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C1" w:rsidRPr="002F50BD" w:rsidRDefault="004756C1">
      <w:pPr>
        <w:rPr>
          <w:rFonts w:ascii="Verdana" w:hAnsi="Verdana"/>
          <w:b/>
          <w:sz w:val="22"/>
          <w:szCs w:val="22"/>
        </w:rPr>
      </w:pPr>
    </w:p>
    <w:p w:rsidR="004756C1" w:rsidRPr="002F50BD" w:rsidRDefault="004756C1">
      <w:pPr>
        <w:jc w:val="center"/>
        <w:rPr>
          <w:rFonts w:ascii="Verdana" w:hAnsi="Verdana"/>
          <w:b/>
          <w:sz w:val="22"/>
          <w:szCs w:val="22"/>
          <w:lang w:val="pt-BR"/>
        </w:rPr>
      </w:pPr>
      <w:r w:rsidRPr="002F50BD">
        <w:rPr>
          <w:rFonts w:ascii="Verdana" w:hAnsi="Verdana"/>
          <w:b/>
          <w:sz w:val="22"/>
          <w:szCs w:val="22"/>
          <w:lang w:val="pt-BR"/>
        </w:rPr>
        <w:t xml:space="preserve">Corte Interamericana de </w:t>
      </w:r>
      <w:r w:rsidR="0089298C" w:rsidRPr="002F50BD">
        <w:rPr>
          <w:rFonts w:ascii="Verdana" w:hAnsi="Verdana"/>
          <w:b/>
          <w:sz w:val="22"/>
          <w:szCs w:val="22"/>
          <w:lang w:val="pt-BR"/>
        </w:rPr>
        <w:t>Direito</w:t>
      </w:r>
      <w:r w:rsidRPr="002F50BD">
        <w:rPr>
          <w:rFonts w:ascii="Verdana" w:hAnsi="Verdana"/>
          <w:b/>
          <w:sz w:val="22"/>
          <w:szCs w:val="22"/>
          <w:lang w:val="pt-BR"/>
        </w:rPr>
        <w:t>s Humanos</w:t>
      </w:r>
    </w:p>
    <w:p w:rsidR="004756C1" w:rsidRPr="002F50BD" w:rsidRDefault="004756C1">
      <w:pPr>
        <w:jc w:val="center"/>
        <w:rPr>
          <w:rFonts w:ascii="Verdana" w:hAnsi="Verdana"/>
          <w:b/>
          <w:sz w:val="22"/>
          <w:szCs w:val="22"/>
          <w:lang w:val="pt-BR"/>
        </w:rPr>
      </w:pPr>
    </w:p>
    <w:p w:rsidR="004756C1" w:rsidRPr="002F50BD" w:rsidRDefault="004756C1">
      <w:pPr>
        <w:jc w:val="center"/>
        <w:rPr>
          <w:rFonts w:ascii="Verdana" w:hAnsi="Verdana"/>
          <w:b/>
          <w:sz w:val="22"/>
          <w:szCs w:val="22"/>
          <w:lang w:val="pt-BR"/>
        </w:rPr>
      </w:pPr>
    </w:p>
    <w:p w:rsidR="004756C1" w:rsidRPr="002F50BD" w:rsidRDefault="004756C1">
      <w:pPr>
        <w:jc w:val="center"/>
        <w:rPr>
          <w:rFonts w:ascii="Verdana" w:hAnsi="Verdana"/>
          <w:b/>
          <w:sz w:val="22"/>
          <w:szCs w:val="22"/>
          <w:lang w:val="pt-BR"/>
        </w:rPr>
      </w:pPr>
      <w:r w:rsidRPr="002F50BD">
        <w:rPr>
          <w:rFonts w:ascii="Verdana" w:hAnsi="Verdana"/>
          <w:b/>
          <w:sz w:val="22"/>
          <w:szCs w:val="22"/>
          <w:lang w:val="pt-BR"/>
        </w:rPr>
        <w:t xml:space="preserve">Caso </w:t>
      </w:r>
      <w:r w:rsidR="002D5D95" w:rsidRPr="002F50BD">
        <w:rPr>
          <w:rFonts w:ascii="Verdana" w:hAnsi="Verdana"/>
          <w:b/>
          <w:sz w:val="22"/>
          <w:szCs w:val="22"/>
          <w:lang w:val="pt-BR"/>
        </w:rPr>
        <w:t xml:space="preserve">da </w:t>
      </w:r>
      <w:r w:rsidR="0089298C" w:rsidRPr="002F50BD">
        <w:rPr>
          <w:rFonts w:ascii="Verdana" w:hAnsi="Verdana"/>
          <w:b/>
          <w:sz w:val="22"/>
          <w:szCs w:val="22"/>
          <w:lang w:val="pt-BR"/>
        </w:rPr>
        <w:t xml:space="preserve">Comunidade </w:t>
      </w:r>
      <w:r w:rsidR="009338FD" w:rsidRPr="002F50BD">
        <w:rPr>
          <w:rFonts w:ascii="Verdana" w:hAnsi="Verdana"/>
          <w:b/>
          <w:sz w:val="22"/>
          <w:szCs w:val="22"/>
          <w:lang w:val="pt-BR"/>
        </w:rPr>
        <w:t>I</w:t>
      </w:r>
      <w:r w:rsidRPr="002F50BD">
        <w:rPr>
          <w:rFonts w:ascii="Verdana" w:hAnsi="Verdana"/>
          <w:b/>
          <w:sz w:val="22"/>
          <w:szCs w:val="22"/>
          <w:lang w:val="pt-BR"/>
        </w:rPr>
        <w:t xml:space="preserve">ndígena Yakye Axa </w:t>
      </w:r>
      <w:r w:rsidRPr="002F50BD">
        <w:rPr>
          <w:rFonts w:ascii="Verdana" w:hAnsi="Verdana"/>
          <w:b/>
          <w:i/>
          <w:sz w:val="22"/>
          <w:szCs w:val="22"/>
          <w:lang w:val="pt-BR"/>
        </w:rPr>
        <w:t>Vs.</w:t>
      </w:r>
      <w:r w:rsidRPr="002F50BD">
        <w:rPr>
          <w:rFonts w:ascii="Verdana" w:hAnsi="Verdana"/>
          <w:b/>
          <w:sz w:val="22"/>
          <w:szCs w:val="22"/>
          <w:lang w:val="pt-BR"/>
        </w:rPr>
        <w:t xml:space="preserve"> </w:t>
      </w:r>
      <w:r w:rsidR="0089298C" w:rsidRPr="002F50BD">
        <w:rPr>
          <w:rFonts w:ascii="Verdana" w:hAnsi="Verdana"/>
          <w:b/>
          <w:sz w:val="22"/>
          <w:szCs w:val="22"/>
          <w:lang w:val="pt-BR"/>
        </w:rPr>
        <w:t>Paraguai</w:t>
      </w:r>
    </w:p>
    <w:p w:rsidR="004756C1" w:rsidRPr="002F50BD" w:rsidRDefault="004756C1">
      <w:pPr>
        <w:jc w:val="center"/>
        <w:rPr>
          <w:rFonts w:ascii="Verdana" w:hAnsi="Verdana"/>
          <w:b/>
          <w:sz w:val="22"/>
          <w:szCs w:val="22"/>
          <w:lang w:val="pt-BR"/>
        </w:rPr>
      </w:pPr>
    </w:p>
    <w:p w:rsidR="004756C1" w:rsidRPr="002F50BD" w:rsidRDefault="004756C1">
      <w:pPr>
        <w:jc w:val="center"/>
        <w:rPr>
          <w:rFonts w:ascii="Verdana" w:hAnsi="Verdana"/>
          <w:b/>
          <w:sz w:val="22"/>
          <w:szCs w:val="22"/>
          <w:lang w:val="pt-BR"/>
        </w:rPr>
      </w:pPr>
    </w:p>
    <w:p w:rsidR="004756C1" w:rsidRPr="002F50BD" w:rsidRDefault="0089298C">
      <w:pPr>
        <w:jc w:val="center"/>
        <w:rPr>
          <w:rFonts w:ascii="Verdana" w:hAnsi="Verdana"/>
          <w:b/>
          <w:sz w:val="22"/>
          <w:szCs w:val="22"/>
          <w:lang w:val="pt-BR"/>
        </w:rPr>
      </w:pPr>
      <w:r w:rsidRPr="002F50BD">
        <w:rPr>
          <w:rFonts w:ascii="Verdana" w:hAnsi="Verdana"/>
          <w:b/>
          <w:sz w:val="22"/>
          <w:szCs w:val="22"/>
          <w:lang w:val="pt-BR"/>
        </w:rPr>
        <w:t>Sentença</w:t>
      </w:r>
      <w:r w:rsidR="004756C1" w:rsidRPr="002F50BD">
        <w:rPr>
          <w:rFonts w:ascii="Verdana" w:hAnsi="Verdana"/>
          <w:b/>
          <w:sz w:val="22"/>
          <w:szCs w:val="22"/>
          <w:lang w:val="pt-BR"/>
        </w:rPr>
        <w:t xml:space="preserve"> de </w:t>
      </w:r>
      <w:r w:rsidR="00063B47" w:rsidRPr="002F50BD">
        <w:rPr>
          <w:rFonts w:ascii="Verdana" w:hAnsi="Verdana"/>
          <w:b/>
          <w:sz w:val="22"/>
          <w:szCs w:val="22"/>
          <w:lang w:val="pt-BR"/>
        </w:rPr>
        <w:t>17</w:t>
      </w:r>
      <w:r w:rsidR="004756C1" w:rsidRPr="002F50BD">
        <w:rPr>
          <w:rFonts w:ascii="Verdana" w:hAnsi="Verdana"/>
          <w:b/>
          <w:sz w:val="22"/>
          <w:szCs w:val="22"/>
          <w:lang w:val="pt-BR"/>
        </w:rPr>
        <w:t xml:space="preserve"> de </w:t>
      </w:r>
      <w:r w:rsidRPr="002F50BD">
        <w:rPr>
          <w:rFonts w:ascii="Verdana" w:hAnsi="Verdana"/>
          <w:b/>
          <w:sz w:val="22"/>
          <w:szCs w:val="22"/>
          <w:lang w:val="pt-BR"/>
        </w:rPr>
        <w:t>junho</w:t>
      </w:r>
      <w:r w:rsidR="004756C1" w:rsidRPr="002F50BD">
        <w:rPr>
          <w:rFonts w:ascii="Verdana" w:hAnsi="Verdana"/>
          <w:b/>
          <w:sz w:val="22"/>
          <w:szCs w:val="22"/>
          <w:lang w:val="pt-BR"/>
        </w:rPr>
        <w:t xml:space="preserve"> de </w:t>
      </w:r>
      <w:r w:rsidR="00063B47" w:rsidRPr="002F50BD">
        <w:rPr>
          <w:rFonts w:ascii="Verdana" w:hAnsi="Verdana"/>
          <w:b/>
          <w:sz w:val="22"/>
          <w:szCs w:val="22"/>
          <w:lang w:val="pt-BR"/>
        </w:rPr>
        <w:t>2005</w:t>
      </w:r>
    </w:p>
    <w:p w:rsidR="004756C1" w:rsidRPr="002F50BD" w:rsidRDefault="00CF451D">
      <w:pPr>
        <w:jc w:val="center"/>
        <w:rPr>
          <w:rFonts w:ascii="Verdana" w:hAnsi="Verdana"/>
          <w:b/>
          <w:i/>
          <w:sz w:val="20"/>
          <w:lang w:val="pt-BR"/>
        </w:rPr>
      </w:pPr>
      <w:r w:rsidRPr="00CF451D">
        <w:rPr>
          <w:rFonts w:ascii="Verdana" w:hAnsi="Verdana"/>
          <w:b/>
          <w:sz w:val="20"/>
          <w:lang w:val="pt-BR"/>
        </w:rPr>
        <w:t>(</w:t>
      </w:r>
      <w:r w:rsidR="0089298C" w:rsidRPr="002F50BD">
        <w:rPr>
          <w:rFonts w:ascii="Verdana" w:hAnsi="Verdana"/>
          <w:b/>
          <w:i/>
          <w:sz w:val="20"/>
          <w:lang w:val="pt-BR"/>
        </w:rPr>
        <w:t>Mérito</w:t>
      </w:r>
      <w:r w:rsidR="004756C1" w:rsidRPr="002F50BD">
        <w:rPr>
          <w:rFonts w:ascii="Verdana" w:hAnsi="Verdana"/>
          <w:b/>
          <w:i/>
          <w:sz w:val="20"/>
          <w:lang w:val="pt-BR"/>
        </w:rPr>
        <w:t>, Repara</w:t>
      </w:r>
      <w:r w:rsidR="0089298C" w:rsidRPr="002F50BD">
        <w:rPr>
          <w:rFonts w:ascii="Verdana" w:hAnsi="Verdana"/>
          <w:b/>
          <w:i/>
          <w:sz w:val="20"/>
          <w:lang w:val="pt-BR"/>
        </w:rPr>
        <w:t>ções e Custas</w:t>
      </w:r>
      <w:r w:rsidRPr="00CF451D">
        <w:rPr>
          <w:rFonts w:ascii="Verdana" w:hAnsi="Verdana"/>
          <w:b/>
          <w:sz w:val="20"/>
          <w:lang w:val="pt-BR"/>
        </w:rPr>
        <w:t>)</w:t>
      </w: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mallCaps/>
          <w:sz w:val="20"/>
          <w:lang w:val="pt-BR"/>
        </w:rPr>
      </w:pPr>
    </w:p>
    <w:p w:rsidR="004756C1" w:rsidRPr="002F50BD" w:rsidRDefault="004756C1">
      <w:pPr>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 xml:space="preserve">caso </w:t>
      </w:r>
      <w:r w:rsidR="002D5D95" w:rsidRPr="002F50BD">
        <w:rPr>
          <w:rFonts w:ascii="Verdana" w:hAnsi="Verdana"/>
          <w:sz w:val="20"/>
          <w:lang w:val="pt-BR"/>
        </w:rPr>
        <w:t xml:space="preserve">da </w:t>
      </w:r>
      <w:r w:rsidRPr="002F50BD">
        <w:rPr>
          <w:rFonts w:ascii="Verdana" w:hAnsi="Verdana"/>
          <w:sz w:val="20"/>
          <w:lang w:val="pt-BR"/>
        </w:rPr>
        <w:t xml:space="preserve">Comunidade </w:t>
      </w:r>
      <w:r w:rsidR="002D5D95" w:rsidRPr="002F50BD">
        <w:rPr>
          <w:rFonts w:ascii="Verdana" w:hAnsi="Verdana"/>
          <w:sz w:val="20"/>
          <w:lang w:val="pt-BR"/>
        </w:rPr>
        <w:t>I</w:t>
      </w:r>
      <w:r w:rsidR="004756C1" w:rsidRPr="002F50BD">
        <w:rPr>
          <w:rFonts w:ascii="Verdana" w:hAnsi="Verdana"/>
          <w:sz w:val="20"/>
          <w:lang w:val="pt-BR"/>
        </w:rPr>
        <w:t xml:space="preserve">ndígena </w:t>
      </w:r>
      <w:bookmarkStart w:id="0" w:name="_GoBack"/>
      <w:bookmarkEnd w:id="0"/>
      <w:r w:rsidR="004756C1" w:rsidRPr="002F50BD">
        <w:rPr>
          <w:rFonts w:ascii="Verdana" w:hAnsi="Verdana"/>
          <w:sz w:val="20"/>
          <w:lang w:val="pt-BR"/>
        </w:rPr>
        <w:t>Yakye Axa,</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 xml:space="preserve">Corte Interamericana de </w:t>
      </w:r>
      <w:r w:rsidRPr="002F50BD">
        <w:rPr>
          <w:rFonts w:ascii="Verdana" w:hAnsi="Verdana"/>
          <w:sz w:val="20"/>
          <w:lang w:val="pt-BR"/>
        </w:rPr>
        <w:t>Direito</w:t>
      </w:r>
      <w:r w:rsidR="004756C1" w:rsidRPr="002F50BD">
        <w:rPr>
          <w:rFonts w:ascii="Verdana" w:hAnsi="Verdana"/>
          <w:sz w:val="20"/>
          <w:lang w:val="pt-BR"/>
        </w:rPr>
        <w:t xml:space="preserve">s Humanos </w:t>
      </w:r>
      <w:r w:rsidR="00CF451D" w:rsidRPr="00CF451D">
        <w:rPr>
          <w:rFonts w:ascii="Verdana" w:hAnsi="Verdana"/>
          <w:sz w:val="20"/>
          <w:lang w:val="pt-BR"/>
        </w:rPr>
        <w:t>(</w:t>
      </w:r>
      <w:r w:rsidRPr="002F50BD">
        <w:rPr>
          <w:rFonts w:ascii="Verdana" w:hAnsi="Verdana"/>
          <w:sz w:val="20"/>
          <w:lang w:val="pt-BR"/>
        </w:rPr>
        <w:t>doravante</w:t>
      </w:r>
      <w:r w:rsidR="004756C1" w:rsidRPr="002F50BD">
        <w:rPr>
          <w:rFonts w:ascii="Verdana" w:hAnsi="Verdana"/>
          <w:sz w:val="20"/>
          <w:lang w:val="pt-BR"/>
        </w:rPr>
        <w:t xml:space="preserve"> </w:t>
      </w:r>
      <w:r w:rsidR="002D5D95" w:rsidRPr="002F50BD">
        <w:rPr>
          <w:rFonts w:ascii="Verdana" w:hAnsi="Verdana"/>
          <w:sz w:val="20"/>
          <w:lang w:val="pt-BR"/>
        </w:rPr>
        <w:t xml:space="preserve">denominada </w:t>
      </w:r>
      <w:r w:rsidRPr="002F50BD">
        <w:rPr>
          <w:rFonts w:ascii="Verdana" w:hAnsi="Verdana"/>
          <w:sz w:val="20"/>
          <w:lang w:val="pt-BR"/>
        </w:rPr>
        <w:t xml:space="preserve">“a </w:t>
      </w:r>
      <w:r w:rsidR="004756C1" w:rsidRPr="002F50BD">
        <w:rPr>
          <w:rFonts w:ascii="Verdana" w:hAnsi="Verdana"/>
          <w:sz w:val="20"/>
          <w:lang w:val="pt-BR"/>
        </w:rPr>
        <w:t xml:space="preserve">Corte”, </w:t>
      </w:r>
      <w:r w:rsidRPr="002F50BD">
        <w:rPr>
          <w:rFonts w:ascii="Verdana" w:hAnsi="Verdana"/>
          <w:sz w:val="20"/>
          <w:lang w:val="pt-BR"/>
        </w:rPr>
        <w:t xml:space="preserve">“a </w:t>
      </w:r>
      <w:r w:rsidR="004756C1" w:rsidRPr="002F50BD">
        <w:rPr>
          <w:rFonts w:ascii="Verdana" w:hAnsi="Verdana"/>
          <w:sz w:val="20"/>
          <w:lang w:val="pt-BR"/>
        </w:rPr>
        <w:t>Corte Interamericana</w:t>
      </w:r>
      <w:r w:rsidRPr="002F50BD">
        <w:rPr>
          <w:rFonts w:ascii="Verdana" w:hAnsi="Verdana"/>
          <w:sz w:val="20"/>
          <w:lang w:val="pt-BR"/>
        </w:rPr>
        <w:t xml:space="preserve">” ou “o </w:t>
      </w:r>
      <w:r w:rsidR="004756C1" w:rsidRPr="002F50BD">
        <w:rPr>
          <w:rFonts w:ascii="Verdana" w:hAnsi="Verdana"/>
          <w:sz w:val="20"/>
          <w:lang w:val="pt-BR"/>
        </w:rPr>
        <w:t>Tribunal”</w:t>
      </w:r>
      <w:r w:rsidR="00CF451D" w:rsidRPr="00CF451D">
        <w:rPr>
          <w:rFonts w:ascii="Verdana" w:hAnsi="Verdana"/>
          <w:sz w:val="20"/>
          <w:lang w:val="pt-BR"/>
        </w:rPr>
        <w:t>)</w:t>
      </w:r>
      <w:r w:rsidR="004756C1" w:rsidRPr="002F50BD">
        <w:rPr>
          <w:rFonts w:ascii="Verdana" w:hAnsi="Verdana"/>
          <w:sz w:val="20"/>
          <w:lang w:val="pt-BR"/>
        </w:rPr>
        <w:t>, integrada</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seguinte</w:t>
      </w:r>
      <w:r w:rsidR="004756C1" w:rsidRPr="002F50BD">
        <w:rPr>
          <w:rFonts w:ascii="Verdana" w:hAnsi="Verdana"/>
          <w:sz w:val="20"/>
          <w:lang w:val="pt-BR"/>
        </w:rPr>
        <w:t xml:space="preserve">s </w:t>
      </w:r>
      <w:r w:rsidRPr="002F50BD">
        <w:rPr>
          <w:rFonts w:ascii="Verdana" w:hAnsi="Verdana"/>
          <w:sz w:val="20"/>
          <w:lang w:val="pt-BR"/>
        </w:rPr>
        <w:t>juízes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Sergio García Ramírez, Presidente; </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Alirio Abreu Burelli, </w:t>
      </w:r>
      <w:r w:rsidR="0089298C" w:rsidRPr="002F50BD">
        <w:rPr>
          <w:rFonts w:ascii="Verdana" w:hAnsi="Verdana"/>
          <w:sz w:val="20"/>
          <w:lang w:val="pt-BR"/>
        </w:rPr>
        <w:t>Vice-Presidente</w:t>
      </w:r>
      <w:r w:rsidRPr="002F50BD">
        <w:rPr>
          <w:rFonts w:ascii="Verdana" w:hAnsi="Verdana"/>
          <w:sz w:val="20"/>
          <w:lang w:val="pt-BR"/>
        </w:rPr>
        <w:t>;</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Oliver Jackman, </w:t>
      </w:r>
      <w:r w:rsidR="0089298C" w:rsidRPr="002F50BD">
        <w:rPr>
          <w:rFonts w:ascii="Verdana" w:hAnsi="Verdana"/>
          <w:sz w:val="20"/>
          <w:lang w:val="pt-BR"/>
        </w:rPr>
        <w:t>Juiz</w:t>
      </w:r>
      <w:r w:rsidRPr="002F50BD">
        <w:rPr>
          <w:rFonts w:ascii="Verdana" w:hAnsi="Verdana"/>
          <w:sz w:val="20"/>
          <w:lang w:val="pt-BR"/>
        </w:rPr>
        <w:t>;</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Antônio A. Cançado Trindade, </w:t>
      </w:r>
      <w:r w:rsidR="0089298C" w:rsidRPr="002F50BD">
        <w:rPr>
          <w:rFonts w:ascii="Verdana" w:hAnsi="Verdana"/>
          <w:sz w:val="20"/>
          <w:lang w:val="pt-BR"/>
        </w:rPr>
        <w:t>Juiz</w:t>
      </w:r>
      <w:r w:rsidRPr="002F50BD">
        <w:rPr>
          <w:rFonts w:ascii="Verdana" w:hAnsi="Verdana"/>
          <w:sz w:val="20"/>
          <w:lang w:val="pt-BR"/>
        </w:rPr>
        <w:t>;</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Cecilia Medina Quiroga, </w:t>
      </w:r>
      <w:r w:rsidR="0089298C" w:rsidRPr="002F50BD">
        <w:rPr>
          <w:rFonts w:ascii="Verdana" w:hAnsi="Verdana"/>
          <w:sz w:val="20"/>
          <w:lang w:val="pt-BR"/>
        </w:rPr>
        <w:t>Ju</w:t>
      </w:r>
      <w:r w:rsidR="002D5D95" w:rsidRPr="002F50BD">
        <w:rPr>
          <w:rFonts w:ascii="Verdana" w:hAnsi="Verdana"/>
          <w:sz w:val="20"/>
          <w:lang w:val="pt-BR"/>
        </w:rPr>
        <w:t>í</w:t>
      </w:r>
      <w:r w:rsidR="0089298C" w:rsidRPr="002F50BD">
        <w:rPr>
          <w:rFonts w:ascii="Verdana" w:hAnsi="Verdana"/>
          <w:sz w:val="20"/>
          <w:lang w:val="pt-BR"/>
        </w:rPr>
        <w:t>z</w:t>
      </w:r>
      <w:r w:rsidRPr="002F50BD">
        <w:rPr>
          <w:rFonts w:ascii="Verdana" w:hAnsi="Verdana"/>
          <w:sz w:val="20"/>
          <w:lang w:val="pt-BR"/>
        </w:rPr>
        <w:t>a;</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Manuel E. Ventura Robles, </w:t>
      </w:r>
      <w:r w:rsidR="0089298C" w:rsidRPr="002F50BD">
        <w:rPr>
          <w:rFonts w:ascii="Verdana" w:hAnsi="Verdana"/>
          <w:sz w:val="20"/>
          <w:lang w:val="pt-BR"/>
        </w:rPr>
        <w:t>Juiz</w:t>
      </w:r>
      <w:r w:rsidRPr="002F50BD">
        <w:rPr>
          <w:rFonts w:ascii="Verdana" w:hAnsi="Verdana"/>
          <w:sz w:val="20"/>
          <w:lang w:val="pt-BR"/>
        </w:rPr>
        <w:t>;</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Diego García-Sayán, </w:t>
      </w:r>
      <w:r w:rsidR="0089298C" w:rsidRPr="002F50BD">
        <w:rPr>
          <w:rFonts w:ascii="Verdana" w:hAnsi="Verdana"/>
          <w:sz w:val="20"/>
          <w:lang w:val="pt-BR"/>
        </w:rPr>
        <w:t>Juiz, e</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Ramón Fogel Pedroso, </w:t>
      </w:r>
      <w:r w:rsidR="0089298C" w:rsidRPr="002F50BD">
        <w:rPr>
          <w:rFonts w:ascii="Verdana" w:hAnsi="Verdana"/>
          <w:sz w:val="20"/>
          <w:lang w:val="pt-BR"/>
        </w:rPr>
        <w:t>Juiz</w:t>
      </w:r>
      <w:r w:rsidRPr="002F50BD">
        <w:rPr>
          <w:rFonts w:ascii="Verdana" w:hAnsi="Verdana"/>
          <w:sz w:val="20"/>
          <w:lang w:val="pt-BR"/>
        </w:rPr>
        <w:t xml:space="preserve"> </w:t>
      </w:r>
      <w:r w:rsidRPr="002F50BD">
        <w:rPr>
          <w:rFonts w:ascii="Verdana" w:hAnsi="Verdana"/>
          <w:i/>
          <w:iCs/>
          <w:sz w:val="20"/>
          <w:lang w:val="pt-BR"/>
        </w:rPr>
        <w:t>ad hoc</w:t>
      </w:r>
      <w:r w:rsidRPr="002F50BD">
        <w:rPr>
          <w:rFonts w:ascii="Verdana" w:hAnsi="Verdana"/>
          <w:sz w:val="20"/>
          <w:lang w:val="pt-BR"/>
        </w:rPr>
        <w:t>;</w:t>
      </w:r>
    </w:p>
    <w:p w:rsidR="004756C1" w:rsidRPr="002F50BD" w:rsidRDefault="004756C1">
      <w:pPr>
        <w:ind w:left="720"/>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presentes, </w:t>
      </w:r>
      <w:r w:rsidR="0089298C" w:rsidRPr="002F50BD">
        <w:rPr>
          <w:rFonts w:ascii="Verdana" w:hAnsi="Verdana"/>
          <w:sz w:val="20"/>
          <w:lang w:val="pt-BR"/>
        </w:rPr>
        <w:t>ademais</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Pablo Saavedra Alessandri, </w:t>
      </w:r>
      <w:r w:rsidR="0089298C" w:rsidRPr="002F50BD">
        <w:rPr>
          <w:rFonts w:ascii="Verdana" w:hAnsi="Verdana"/>
          <w:sz w:val="20"/>
          <w:lang w:val="pt-BR"/>
        </w:rPr>
        <w:t>Secretário; e</w:t>
      </w:r>
    </w:p>
    <w:p w:rsidR="004756C1" w:rsidRPr="002F50BD" w:rsidRDefault="004756C1">
      <w:pPr>
        <w:ind w:left="720"/>
        <w:jc w:val="both"/>
        <w:rPr>
          <w:rFonts w:ascii="Verdana" w:hAnsi="Verdana"/>
          <w:sz w:val="20"/>
          <w:lang w:val="pt-BR"/>
        </w:rPr>
      </w:pPr>
      <w:r w:rsidRPr="002F50BD">
        <w:rPr>
          <w:rFonts w:ascii="Verdana" w:hAnsi="Verdana"/>
          <w:sz w:val="20"/>
          <w:lang w:val="pt-BR"/>
        </w:rPr>
        <w:t xml:space="preserve">Emilia Segares Rodríguez, </w:t>
      </w:r>
      <w:r w:rsidR="00FB33DD" w:rsidRPr="002F50BD">
        <w:rPr>
          <w:rFonts w:ascii="Verdana" w:hAnsi="Verdana"/>
          <w:sz w:val="20"/>
          <w:lang w:val="pt-BR"/>
        </w:rPr>
        <w:t>Secretária Adjunta</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2D5D95">
      <w:pPr>
        <w:jc w:val="both"/>
        <w:rPr>
          <w:rFonts w:ascii="Verdana" w:hAnsi="Verdana"/>
          <w:sz w:val="20"/>
          <w:lang w:val="pt-BR"/>
        </w:rPr>
      </w:pPr>
      <w:r w:rsidRPr="002F50BD">
        <w:rPr>
          <w:rFonts w:ascii="Verdana" w:hAnsi="Verdana"/>
          <w:sz w:val="20"/>
          <w:lang w:val="pt-BR"/>
        </w:rPr>
        <w:t xml:space="preserve">em conformidade </w:t>
      </w:r>
      <w:r w:rsidR="0089298C" w:rsidRPr="002F50BD">
        <w:rPr>
          <w:rFonts w:ascii="Verdana" w:hAnsi="Verdana"/>
          <w:sz w:val="20"/>
          <w:lang w:val="pt-BR"/>
        </w:rPr>
        <w:t>com os artigo</w:t>
      </w:r>
      <w:r w:rsidR="004756C1" w:rsidRPr="002F50BD">
        <w:rPr>
          <w:rFonts w:ascii="Verdana" w:hAnsi="Verdana"/>
          <w:sz w:val="20"/>
          <w:lang w:val="pt-BR"/>
        </w:rPr>
        <w:t xml:space="preserve">s </w:t>
      </w:r>
      <w:r w:rsidR="00063B47" w:rsidRPr="002F50BD">
        <w:rPr>
          <w:rFonts w:ascii="Verdana" w:hAnsi="Verdana"/>
          <w:sz w:val="20"/>
          <w:lang w:val="pt-BR"/>
        </w:rPr>
        <w:t>29</w:t>
      </w:r>
      <w:r w:rsidR="004756C1" w:rsidRPr="002F50BD">
        <w:rPr>
          <w:rFonts w:ascii="Verdana" w:hAnsi="Verdana"/>
          <w:sz w:val="20"/>
          <w:lang w:val="pt-BR"/>
        </w:rPr>
        <w:t xml:space="preserve">, </w:t>
      </w:r>
      <w:r w:rsidR="00063B47" w:rsidRPr="002F50BD">
        <w:rPr>
          <w:rFonts w:ascii="Verdana" w:hAnsi="Verdana"/>
          <w:sz w:val="20"/>
          <w:lang w:val="pt-BR"/>
        </w:rPr>
        <w:t>31</w:t>
      </w:r>
      <w:r w:rsidR="004756C1" w:rsidRPr="002F50BD">
        <w:rPr>
          <w:rFonts w:ascii="Verdana" w:hAnsi="Verdana"/>
          <w:sz w:val="20"/>
          <w:lang w:val="pt-BR"/>
        </w:rPr>
        <w:t xml:space="preserve">, </w:t>
      </w:r>
      <w:r w:rsidR="00063B47" w:rsidRPr="002F50BD">
        <w:rPr>
          <w:rFonts w:ascii="Verdana" w:hAnsi="Verdana"/>
          <w:sz w:val="20"/>
          <w:lang w:val="pt-BR"/>
        </w:rPr>
        <w:t>56</w:t>
      </w:r>
      <w:r w:rsidR="004756C1" w:rsidRPr="002F50BD">
        <w:rPr>
          <w:rFonts w:ascii="Verdana" w:hAnsi="Verdana"/>
          <w:sz w:val="20"/>
          <w:lang w:val="pt-BR"/>
        </w:rPr>
        <w:t xml:space="preserve">, </w:t>
      </w:r>
      <w:r w:rsidR="00063B47" w:rsidRPr="002F50BD">
        <w:rPr>
          <w:rFonts w:ascii="Verdana" w:hAnsi="Verdana"/>
          <w:sz w:val="20"/>
          <w:lang w:val="pt-BR"/>
        </w:rPr>
        <w:t>57</w:t>
      </w:r>
      <w:r w:rsidR="0089298C" w:rsidRPr="002F50BD">
        <w:rPr>
          <w:rFonts w:ascii="Verdana" w:hAnsi="Verdana"/>
          <w:sz w:val="20"/>
          <w:lang w:val="pt-BR"/>
        </w:rPr>
        <w:t xml:space="preserve"> e </w:t>
      </w:r>
      <w:r w:rsidR="00063B47" w:rsidRPr="002F50BD">
        <w:rPr>
          <w:rFonts w:ascii="Verdana" w:hAnsi="Verdana"/>
          <w:sz w:val="20"/>
          <w:lang w:val="pt-BR"/>
        </w:rPr>
        <w:t>58</w:t>
      </w:r>
      <w:r w:rsidR="004756C1" w:rsidRPr="002F50BD">
        <w:rPr>
          <w:rFonts w:ascii="Verdana" w:hAnsi="Verdana"/>
          <w:sz w:val="20"/>
          <w:lang w:val="pt-BR"/>
        </w:rPr>
        <w:t xml:space="preserve"> </w:t>
      </w:r>
      <w:r w:rsidR="0089298C" w:rsidRPr="002F50BD">
        <w:rPr>
          <w:rFonts w:ascii="Verdana" w:hAnsi="Verdana"/>
          <w:sz w:val="20"/>
          <w:lang w:val="pt-BR"/>
        </w:rPr>
        <w:t xml:space="preserve">do Regulamento da </w:t>
      </w:r>
      <w:r w:rsidR="004756C1" w:rsidRPr="002F50BD">
        <w:rPr>
          <w:rFonts w:ascii="Verdana" w:hAnsi="Verdana"/>
          <w:sz w:val="20"/>
          <w:lang w:val="pt-BR"/>
        </w:rPr>
        <w:t xml:space="preserve">Corte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Pr="002F50BD">
        <w:rPr>
          <w:rFonts w:ascii="Verdana" w:hAnsi="Verdana"/>
          <w:sz w:val="20"/>
          <w:lang w:val="pt-BR"/>
        </w:rPr>
        <w:t xml:space="preserve">denominado </w:t>
      </w:r>
      <w:r w:rsidR="0089298C" w:rsidRPr="002F50BD">
        <w:rPr>
          <w:rFonts w:ascii="Verdana" w:hAnsi="Verdana"/>
          <w:sz w:val="20"/>
          <w:lang w:val="pt-BR"/>
        </w:rPr>
        <w:t>“o Regulamento</w:t>
      </w:r>
      <w:r w:rsidR="004756C1" w:rsidRPr="002F50BD">
        <w:rPr>
          <w:rFonts w:ascii="Verdana" w:hAnsi="Verdana"/>
          <w:sz w:val="20"/>
          <w:lang w:val="pt-BR"/>
        </w:rPr>
        <w:t>”</w:t>
      </w:r>
      <w:r w:rsidR="00CF451D" w:rsidRPr="00CF451D">
        <w:rPr>
          <w:rFonts w:ascii="Verdana" w:hAnsi="Verdana"/>
          <w:sz w:val="20"/>
          <w:lang w:val="pt-BR"/>
        </w:rPr>
        <w:t>)</w:t>
      </w:r>
      <w:r w:rsidRPr="002F50BD">
        <w:rPr>
          <w:rFonts w:ascii="Verdana" w:hAnsi="Verdana"/>
          <w:sz w:val="20"/>
          <w:lang w:val="pt-BR"/>
        </w:rPr>
        <w:t>,</w:t>
      </w:r>
      <w:r w:rsidR="004756C1" w:rsidRPr="002F50BD">
        <w:rPr>
          <w:rStyle w:val="FootnoteReference"/>
          <w:rFonts w:ascii="Verdana" w:hAnsi="Verdana"/>
        </w:rPr>
        <w:footnoteReference w:id="1"/>
      </w:r>
      <w:r w:rsidR="0089298C" w:rsidRPr="002F50BD">
        <w:rPr>
          <w:rFonts w:ascii="Verdana" w:hAnsi="Verdana"/>
          <w:sz w:val="20"/>
          <w:lang w:val="pt-BR"/>
        </w:rPr>
        <w:t xml:space="preserve"> e com os artigo</w:t>
      </w:r>
      <w:r w:rsidR="004756C1" w:rsidRPr="002F50BD">
        <w:rPr>
          <w:rFonts w:ascii="Verdana" w:hAnsi="Verdana"/>
          <w:sz w:val="20"/>
          <w:lang w:val="pt-BR"/>
        </w:rPr>
        <w:t xml:space="preserve">s </w:t>
      </w:r>
      <w:r w:rsidR="00063B47" w:rsidRPr="002F50BD">
        <w:rPr>
          <w:rFonts w:ascii="Verdana" w:hAnsi="Verdana"/>
          <w:sz w:val="20"/>
          <w:lang w:val="pt-BR"/>
        </w:rPr>
        <w:t>63</w:t>
      </w:r>
      <w:r w:rsidR="004756C1" w:rsidRPr="002F50BD">
        <w:rPr>
          <w:rFonts w:ascii="Verdana" w:hAnsi="Verdana"/>
          <w:sz w:val="20"/>
          <w:lang w:val="pt-BR"/>
        </w:rPr>
        <w:t>.</w:t>
      </w:r>
      <w:r w:rsidR="00063B47" w:rsidRPr="002F50BD">
        <w:rPr>
          <w:rFonts w:ascii="Verdana" w:hAnsi="Verdana"/>
          <w:sz w:val="20"/>
          <w:lang w:val="pt-BR"/>
        </w:rPr>
        <w:t>2</w:t>
      </w:r>
      <w:r w:rsidR="0089298C" w:rsidRPr="002F50BD">
        <w:rPr>
          <w:rFonts w:ascii="Verdana" w:hAnsi="Verdana"/>
          <w:sz w:val="20"/>
          <w:lang w:val="pt-BR"/>
        </w:rPr>
        <w:t xml:space="preserve"> e </w:t>
      </w:r>
      <w:r w:rsidR="00063B47" w:rsidRPr="002F50BD">
        <w:rPr>
          <w:rFonts w:ascii="Verdana" w:hAnsi="Verdana"/>
          <w:sz w:val="20"/>
          <w:lang w:val="pt-BR"/>
        </w:rPr>
        <w:t>63</w:t>
      </w:r>
      <w:r w:rsidR="004756C1"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 xml:space="preserve">s Humanos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Pr="002F50BD">
        <w:rPr>
          <w:rFonts w:ascii="Verdana" w:hAnsi="Verdana"/>
          <w:sz w:val="20"/>
          <w:lang w:val="pt-BR"/>
        </w:rPr>
        <w:t xml:space="preserve">denominada </w:t>
      </w:r>
      <w:r w:rsidR="0089298C" w:rsidRPr="002F50BD">
        <w:rPr>
          <w:rFonts w:ascii="Verdana" w:hAnsi="Verdana"/>
          <w:sz w:val="20"/>
          <w:lang w:val="pt-BR"/>
        </w:rPr>
        <w:t xml:space="preserve">“a </w:t>
      </w:r>
      <w:r w:rsidR="004756C1" w:rsidRPr="002F50BD">
        <w:rPr>
          <w:rFonts w:ascii="Verdana" w:hAnsi="Verdana"/>
          <w:sz w:val="20"/>
          <w:lang w:val="pt-BR"/>
        </w:rPr>
        <w:t>Conven</w:t>
      </w:r>
      <w:r w:rsidR="0089298C" w:rsidRPr="002F50BD">
        <w:rPr>
          <w:rFonts w:ascii="Verdana" w:hAnsi="Verdana"/>
          <w:sz w:val="20"/>
          <w:lang w:val="pt-BR"/>
        </w:rPr>
        <w:t xml:space="preserve">ção” ou “a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profere a presente Sentença</w:t>
      </w:r>
      <w:r w:rsidR="004756C1" w:rsidRPr="002F50BD">
        <w:rPr>
          <w:rFonts w:ascii="Verdana" w:hAnsi="Verdana"/>
          <w:sz w:val="20"/>
          <w:lang w:val="pt-BR"/>
        </w:rPr>
        <w:t>.</w:t>
      </w: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smallCaps/>
          <w:sz w:val="20"/>
          <w:lang w:val="pt-BR"/>
        </w:rPr>
      </w:pPr>
      <w:r w:rsidRPr="002F50BD">
        <w:rPr>
          <w:rFonts w:ascii="Verdana" w:hAnsi="Verdana"/>
          <w:b/>
          <w:smallCaps/>
          <w:sz w:val="20"/>
          <w:lang w:val="pt-BR"/>
        </w:rPr>
        <w:t>I</w:t>
      </w:r>
    </w:p>
    <w:p w:rsidR="004756C1" w:rsidRPr="002F50BD" w:rsidRDefault="0089298C">
      <w:pPr>
        <w:pStyle w:val="Heading1"/>
        <w:jc w:val="center"/>
        <w:rPr>
          <w:b/>
          <w:smallCaps/>
          <w:sz w:val="20"/>
          <w:lang w:val="pt-BR"/>
        </w:rPr>
      </w:pPr>
      <w:bookmarkStart w:id="1" w:name="_Toc479154420"/>
      <w:bookmarkStart w:id="2" w:name="_Toc479154458"/>
      <w:bookmarkStart w:id="3" w:name="_Toc505326894"/>
      <w:bookmarkStart w:id="4" w:name="_Toc506008626"/>
      <w:bookmarkStart w:id="5" w:name="_Toc506286966"/>
      <w:bookmarkStart w:id="6" w:name="_Toc506363175"/>
      <w:bookmarkStart w:id="7" w:name="_Toc506365986"/>
      <w:bookmarkStart w:id="8" w:name="_Toc506382958"/>
      <w:bookmarkStart w:id="9" w:name="_Toc506626582"/>
      <w:bookmarkStart w:id="10" w:name="_Toc506715424"/>
      <w:bookmarkStart w:id="11" w:name="_Toc506821848"/>
      <w:r w:rsidRPr="002F50BD">
        <w:rPr>
          <w:b/>
          <w:smallCaps/>
          <w:sz w:val="20"/>
          <w:lang w:val="pt-BR"/>
        </w:rPr>
        <w:t xml:space="preserve">Introdução da </w:t>
      </w:r>
      <w:r w:rsidR="004756C1" w:rsidRPr="002F50BD">
        <w:rPr>
          <w:b/>
          <w:smallCaps/>
          <w:sz w:val="20"/>
          <w:lang w:val="pt-BR"/>
        </w:rPr>
        <w:t>causa</w:t>
      </w:r>
      <w:bookmarkEnd w:id="1"/>
      <w:bookmarkEnd w:id="2"/>
      <w:bookmarkEnd w:id="3"/>
      <w:bookmarkEnd w:id="4"/>
      <w:bookmarkEnd w:id="5"/>
      <w:bookmarkEnd w:id="6"/>
      <w:bookmarkEnd w:id="7"/>
      <w:bookmarkEnd w:id="8"/>
      <w:bookmarkEnd w:id="9"/>
      <w:bookmarkEnd w:id="10"/>
      <w:bookmarkEnd w:id="11"/>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2003</w:t>
      </w:r>
      <w:r w:rsidR="00A12CD8"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Interamericana de </w:t>
      </w:r>
      <w:r w:rsidR="0089298C" w:rsidRPr="002F50BD">
        <w:rPr>
          <w:rFonts w:ascii="Verdana" w:hAnsi="Verdana"/>
          <w:sz w:val="20"/>
          <w:lang w:val="pt-BR"/>
        </w:rPr>
        <w:t>Direito</w:t>
      </w:r>
      <w:r w:rsidR="004756C1" w:rsidRPr="002F50BD">
        <w:rPr>
          <w:rFonts w:ascii="Verdana" w:hAnsi="Verdana"/>
          <w:sz w:val="20"/>
          <w:lang w:val="pt-BR"/>
        </w:rPr>
        <w:t xml:space="preserve">s Humanos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D5D95" w:rsidRPr="002F50BD">
        <w:rPr>
          <w:rFonts w:ascii="Verdana" w:hAnsi="Verdana"/>
          <w:sz w:val="20"/>
          <w:lang w:val="pt-BR"/>
        </w:rPr>
        <w:t xml:space="preserve">denominada </w:t>
      </w:r>
      <w:r w:rsidR="0089298C" w:rsidRPr="002F50BD">
        <w:rPr>
          <w:rFonts w:ascii="Verdana" w:hAnsi="Verdana"/>
          <w:sz w:val="20"/>
          <w:lang w:val="pt-BR"/>
        </w:rPr>
        <w:t>“a Comissão” ou “a Comissão</w:t>
      </w:r>
      <w:r w:rsidR="004756C1" w:rsidRPr="002F50BD">
        <w:rPr>
          <w:rFonts w:ascii="Verdana" w:hAnsi="Verdana"/>
          <w:sz w:val="20"/>
          <w:lang w:val="pt-BR"/>
        </w:rPr>
        <w:t xml:space="preserve"> Interamericana”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submeteu </w:t>
      </w:r>
      <w:r w:rsidR="002D5D95"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Corte Interamericana</w:t>
      </w:r>
      <w:r w:rsidR="0089298C" w:rsidRPr="002F50BD">
        <w:rPr>
          <w:rFonts w:ascii="Verdana" w:hAnsi="Verdana"/>
          <w:sz w:val="20"/>
          <w:lang w:val="pt-BR"/>
        </w:rPr>
        <w:t xml:space="preserve"> uma </w:t>
      </w:r>
      <w:r w:rsidR="004756C1" w:rsidRPr="002F50BD">
        <w:rPr>
          <w:rFonts w:ascii="Verdana" w:hAnsi="Verdana"/>
          <w:sz w:val="20"/>
          <w:lang w:val="pt-BR"/>
        </w:rPr>
        <w:t>demanda contra</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do Paraguai</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D5D95" w:rsidRPr="002F50BD">
        <w:rPr>
          <w:rFonts w:ascii="Verdana" w:hAnsi="Verdana"/>
          <w:sz w:val="20"/>
          <w:lang w:val="pt-BR"/>
        </w:rPr>
        <w:lastRenderedPageBreak/>
        <w:t xml:space="preserve">denominado </w:t>
      </w:r>
      <w:r w:rsidR="0089298C" w:rsidRPr="002F50BD">
        <w:rPr>
          <w:rFonts w:ascii="Verdana" w:hAnsi="Verdana"/>
          <w:sz w:val="20"/>
          <w:lang w:val="pt-BR"/>
        </w:rPr>
        <w:t xml:space="preserve">“o </w:t>
      </w:r>
      <w:r w:rsidR="004756C1" w:rsidRPr="002F50BD">
        <w:rPr>
          <w:rFonts w:ascii="Verdana" w:hAnsi="Verdana"/>
          <w:sz w:val="20"/>
          <w:lang w:val="pt-BR"/>
        </w:rPr>
        <w:t>Estado</w:t>
      </w:r>
      <w:r w:rsidR="0089298C" w:rsidRPr="002F50BD">
        <w:rPr>
          <w:rFonts w:ascii="Verdana" w:hAnsi="Verdana"/>
          <w:sz w:val="20"/>
          <w:lang w:val="pt-BR"/>
        </w:rPr>
        <w:t>” ou “Paraguai</w:t>
      </w:r>
      <w:r w:rsidR="004756C1" w:rsidRPr="002F50BD">
        <w:rPr>
          <w:rFonts w:ascii="Verdana" w:hAnsi="Verdana"/>
          <w:sz w:val="20"/>
          <w:lang w:val="pt-BR"/>
        </w:rPr>
        <w:t>”</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qual </w:t>
      </w:r>
      <w:r w:rsidR="004756C1" w:rsidRPr="002F50BD">
        <w:rPr>
          <w:rFonts w:ascii="Verdana" w:hAnsi="Verdana"/>
          <w:sz w:val="20"/>
          <w:lang w:val="pt-BR"/>
        </w:rPr>
        <w:t xml:space="preserve">se </w:t>
      </w:r>
      <w:r w:rsidR="0089298C" w:rsidRPr="002F50BD">
        <w:rPr>
          <w:rFonts w:ascii="Verdana" w:hAnsi="Verdana"/>
          <w:sz w:val="20"/>
          <w:lang w:val="pt-BR"/>
        </w:rPr>
        <w:t>originou na denúncia</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12</w:t>
      </w:r>
      <w:r w:rsidR="004756C1" w:rsidRPr="002F50BD">
        <w:rPr>
          <w:rFonts w:ascii="Verdana" w:hAnsi="Verdana"/>
          <w:sz w:val="20"/>
          <w:lang w:val="pt-BR"/>
        </w:rPr>
        <w:t>.</w:t>
      </w:r>
      <w:r w:rsidRPr="002F50BD">
        <w:rPr>
          <w:rFonts w:ascii="Verdana" w:hAnsi="Verdana"/>
          <w:sz w:val="20"/>
          <w:lang w:val="pt-BR"/>
        </w:rPr>
        <w:t>313</w:t>
      </w:r>
      <w:r w:rsidR="004756C1" w:rsidRPr="002F50BD">
        <w:rPr>
          <w:rFonts w:ascii="Verdana" w:hAnsi="Verdana"/>
          <w:sz w:val="20"/>
          <w:lang w:val="pt-BR"/>
        </w:rPr>
        <w:t xml:space="preserve">, </w:t>
      </w:r>
      <w:r w:rsidR="0089298C" w:rsidRPr="002F50BD">
        <w:rPr>
          <w:rFonts w:ascii="Verdana" w:hAnsi="Verdana"/>
          <w:sz w:val="20"/>
          <w:lang w:val="pt-BR"/>
        </w:rPr>
        <w:t xml:space="preserve">recebida na Secretaria da Comissão </w:t>
      </w:r>
      <w:r w:rsidR="002D5D95" w:rsidRPr="002F50BD">
        <w:rPr>
          <w:rFonts w:ascii="Verdana" w:hAnsi="Verdana"/>
          <w:sz w:val="20"/>
          <w:lang w:val="pt-BR"/>
        </w:rPr>
        <w:t>em</w:t>
      </w:r>
      <w:r w:rsidR="0089298C" w:rsidRPr="002F50BD">
        <w:rPr>
          <w:rFonts w:ascii="Verdana" w:hAnsi="Verdana"/>
          <w:sz w:val="20"/>
          <w:lang w:val="pt-BR"/>
        </w:rPr>
        <w:t xml:space="preserve"> </w:t>
      </w:r>
      <w:r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2000</w:t>
      </w:r>
      <w:r w:rsidR="004756C1" w:rsidRPr="002F50BD">
        <w:rPr>
          <w:rFonts w:ascii="Verdana" w:hAnsi="Verdana"/>
          <w:sz w:val="20"/>
          <w:lang w:val="pt-BR"/>
        </w:rPr>
        <w:t>.</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A Comissão</w:t>
      </w:r>
      <w:r w:rsidR="004756C1" w:rsidRPr="002F50BD">
        <w:rPr>
          <w:rFonts w:ascii="Verdana" w:hAnsi="Verdana"/>
          <w:sz w:val="20"/>
          <w:lang w:val="pt-BR"/>
        </w:rPr>
        <w:t xml:space="preserve"> </w:t>
      </w:r>
      <w:r w:rsidR="0089298C" w:rsidRPr="002F50BD">
        <w:rPr>
          <w:rFonts w:ascii="Verdana" w:hAnsi="Verdana"/>
          <w:sz w:val="20"/>
          <w:lang w:val="pt-BR"/>
        </w:rPr>
        <w:t xml:space="preserve">apresentou a </w:t>
      </w:r>
      <w:r w:rsidR="004756C1" w:rsidRPr="002F50BD">
        <w:rPr>
          <w:rFonts w:ascii="Verdana" w:hAnsi="Verdana"/>
          <w:sz w:val="20"/>
          <w:lang w:val="pt-BR"/>
        </w:rPr>
        <w:t>demanda</w:t>
      </w:r>
      <w:r w:rsidR="0089298C" w:rsidRPr="002F50BD">
        <w:rPr>
          <w:rFonts w:ascii="Verdana" w:hAnsi="Verdana"/>
          <w:sz w:val="20"/>
          <w:lang w:val="pt-BR"/>
        </w:rPr>
        <w:t xml:space="preserve"> com </w:t>
      </w:r>
      <w:r w:rsidR="004756C1" w:rsidRPr="002F50BD">
        <w:rPr>
          <w:rFonts w:ascii="Verdana" w:hAnsi="Verdana"/>
          <w:sz w:val="20"/>
          <w:lang w:val="pt-BR"/>
        </w:rPr>
        <w:t>base</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51</w:t>
      </w:r>
      <w:r w:rsidR="0089298C" w:rsidRPr="002F50BD">
        <w:rPr>
          <w:rFonts w:ascii="Verdana" w:hAnsi="Verdana"/>
          <w:sz w:val="20"/>
          <w:lang w:val="pt-BR"/>
        </w:rPr>
        <w:t xml:space="preserve"> e </w:t>
      </w:r>
      <w:r w:rsidRPr="002F50BD">
        <w:rPr>
          <w:rFonts w:ascii="Verdana" w:hAnsi="Verdana"/>
          <w:sz w:val="20"/>
          <w:lang w:val="pt-BR"/>
        </w:rPr>
        <w:t>61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com o fim </w:t>
      </w:r>
      <w:r w:rsidR="004756C1" w:rsidRPr="002F50BD">
        <w:rPr>
          <w:rFonts w:ascii="Verdana" w:hAnsi="Verdana"/>
          <w:sz w:val="20"/>
          <w:lang w:val="pt-BR"/>
        </w:rPr>
        <w:t>de que</w:t>
      </w:r>
      <w:r w:rsidR="0089298C" w:rsidRPr="002F50BD">
        <w:rPr>
          <w:rFonts w:ascii="Verdana" w:hAnsi="Verdana"/>
          <w:sz w:val="20"/>
          <w:lang w:val="pt-BR"/>
        </w:rPr>
        <w:t xml:space="preserve"> a </w:t>
      </w:r>
      <w:r w:rsidR="004756C1" w:rsidRPr="002F50BD">
        <w:rPr>
          <w:rFonts w:ascii="Verdana" w:hAnsi="Verdana"/>
          <w:sz w:val="20"/>
          <w:lang w:val="pt-BR"/>
        </w:rPr>
        <w:t>Corte decidi</w:t>
      </w:r>
      <w:r w:rsidR="002D5D95" w:rsidRPr="002F50BD">
        <w:rPr>
          <w:rFonts w:ascii="Verdana" w:hAnsi="Verdana"/>
          <w:sz w:val="20"/>
          <w:lang w:val="pt-BR"/>
        </w:rPr>
        <w:t>sse</w:t>
      </w:r>
      <w:r w:rsidR="0089298C" w:rsidRPr="002F50BD">
        <w:rPr>
          <w:rFonts w:ascii="Verdana" w:hAnsi="Verdana"/>
          <w:sz w:val="20"/>
          <w:lang w:val="pt-BR"/>
        </w:rPr>
        <w:t xml:space="preserve"> se o Paraguai</w:t>
      </w:r>
      <w:r w:rsidR="004756C1" w:rsidRPr="002F50BD">
        <w:rPr>
          <w:rFonts w:ascii="Verdana" w:hAnsi="Verdana"/>
          <w:sz w:val="20"/>
          <w:lang w:val="pt-BR"/>
        </w:rPr>
        <w:t xml:space="preserve"> </w:t>
      </w:r>
      <w:r w:rsidR="0089298C" w:rsidRPr="002F50BD">
        <w:rPr>
          <w:rFonts w:ascii="Verdana" w:hAnsi="Verdana"/>
          <w:sz w:val="20"/>
          <w:lang w:val="pt-BR"/>
        </w:rPr>
        <w:t>violou os artigo</w:t>
      </w:r>
      <w:r w:rsidR="004756C1" w:rsidRPr="002F50BD">
        <w:rPr>
          <w:rFonts w:ascii="Verdana" w:hAnsi="Verdana"/>
          <w:sz w:val="20"/>
          <w:lang w:val="pt-BR"/>
        </w:rPr>
        <w:t xml:space="preserve">s </w:t>
      </w:r>
      <w:r w:rsidRPr="002F50BD">
        <w:rPr>
          <w:rFonts w:ascii="Verdana" w:hAnsi="Verdana"/>
          <w:sz w:val="20"/>
          <w:lang w:val="pt-BR"/>
        </w:rPr>
        <w:t>4</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 xml:space="preserve">Direito à </w:t>
      </w:r>
      <w:r w:rsidR="004756C1" w:rsidRPr="002F50BD">
        <w:rPr>
          <w:rFonts w:ascii="Verdana" w:hAnsi="Verdana"/>
          <w:sz w:val="20"/>
          <w:lang w:val="pt-BR"/>
        </w:rPr>
        <w:t>Vida</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8</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Garantias</w:t>
      </w:r>
      <w:r w:rsidR="004756C1" w:rsidRPr="002F50BD">
        <w:rPr>
          <w:rFonts w:ascii="Verdana" w:hAnsi="Verdana"/>
          <w:sz w:val="20"/>
          <w:lang w:val="pt-BR"/>
        </w:rPr>
        <w:t xml:space="preserve"> </w:t>
      </w:r>
      <w:r w:rsidR="0089298C" w:rsidRPr="002F50BD">
        <w:rPr>
          <w:rFonts w:ascii="Verdana" w:hAnsi="Verdana"/>
          <w:sz w:val="20"/>
          <w:lang w:val="pt-BR"/>
        </w:rPr>
        <w:t>Judiciais</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21</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Direito à Propriedade</w:t>
      </w:r>
      <w:r w:rsidR="004756C1" w:rsidRPr="002F50BD">
        <w:rPr>
          <w:rFonts w:ascii="Verdana" w:hAnsi="Verdana"/>
          <w:sz w:val="20"/>
          <w:lang w:val="pt-BR"/>
        </w:rPr>
        <w:t xml:space="preserve"> Privada</w:t>
      </w:r>
      <w:r w:rsidR="00CF451D" w:rsidRPr="00CF451D">
        <w:rPr>
          <w:rFonts w:ascii="Verdana" w:hAnsi="Verdana"/>
          <w:sz w:val="20"/>
          <w:lang w:val="pt-BR"/>
        </w:rPr>
        <w:t>)</w:t>
      </w:r>
      <w:r w:rsidR="0089298C" w:rsidRPr="002F50BD">
        <w:rPr>
          <w:rFonts w:ascii="Verdana" w:hAnsi="Verdana"/>
          <w:sz w:val="20"/>
          <w:lang w:val="pt-BR"/>
        </w:rPr>
        <w:t xml:space="preserve"> e </w:t>
      </w:r>
      <w:r w:rsidRPr="002F50BD">
        <w:rPr>
          <w:rFonts w:ascii="Verdana" w:hAnsi="Verdana"/>
          <w:sz w:val="20"/>
          <w:lang w:val="pt-BR"/>
        </w:rPr>
        <w:t>25</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Proteção</w:t>
      </w:r>
      <w:r w:rsidR="004756C1" w:rsidRPr="002F50BD">
        <w:rPr>
          <w:rFonts w:ascii="Verdana" w:hAnsi="Verdana"/>
          <w:sz w:val="20"/>
          <w:lang w:val="pt-BR"/>
        </w:rPr>
        <w:t xml:space="preserve"> Judicial</w:t>
      </w:r>
      <w:r w:rsidR="00CF451D" w:rsidRPr="00CF451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2D5D95" w:rsidRPr="002F50BD">
        <w:rPr>
          <w:rFonts w:ascii="Verdana" w:hAnsi="Verdana"/>
          <w:sz w:val="20"/>
          <w:lang w:val="pt-BR"/>
        </w:rPr>
        <w:t>à</w:t>
      </w:r>
      <w:r w:rsidR="0089298C" w:rsidRPr="002F50BD">
        <w:rPr>
          <w:rFonts w:ascii="Verdana" w:hAnsi="Verdana"/>
          <w:sz w:val="20"/>
          <w:lang w:val="pt-BR"/>
        </w:rPr>
        <w:t>s obrigações</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as</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Obrigação</w:t>
      </w:r>
      <w:r w:rsidR="004756C1" w:rsidRPr="002F50BD">
        <w:rPr>
          <w:rFonts w:ascii="Verdana" w:hAnsi="Verdana"/>
          <w:sz w:val="20"/>
          <w:lang w:val="pt-BR"/>
        </w:rPr>
        <w:t xml:space="preserve"> de </w:t>
      </w:r>
      <w:r w:rsidR="0089298C" w:rsidRPr="002F50BD">
        <w:rPr>
          <w:rFonts w:ascii="Verdana" w:hAnsi="Verdana"/>
          <w:sz w:val="20"/>
          <w:lang w:val="pt-BR"/>
        </w:rPr>
        <w:t>Respeitar os Direito</w:t>
      </w:r>
      <w:r w:rsidR="004756C1" w:rsidRPr="002F50BD">
        <w:rPr>
          <w:rFonts w:ascii="Verdana" w:hAnsi="Verdana"/>
          <w:sz w:val="20"/>
          <w:lang w:val="pt-BR"/>
        </w:rPr>
        <w:t>s</w:t>
      </w:r>
      <w:r w:rsidR="00CF451D" w:rsidRPr="00CF451D">
        <w:rPr>
          <w:rFonts w:ascii="Verdana" w:hAnsi="Verdana"/>
          <w:sz w:val="20"/>
          <w:lang w:val="pt-BR"/>
        </w:rPr>
        <w:t>)</w:t>
      </w:r>
      <w:r w:rsidR="0089298C" w:rsidRPr="002F50BD">
        <w:rPr>
          <w:rFonts w:ascii="Verdana" w:hAnsi="Verdana"/>
          <w:sz w:val="20"/>
          <w:lang w:val="pt-BR"/>
        </w:rPr>
        <w:t xml:space="preserve"> e </w:t>
      </w:r>
      <w:r w:rsidRPr="002F50BD">
        <w:rPr>
          <w:rFonts w:ascii="Verdana" w:hAnsi="Verdana"/>
          <w:sz w:val="20"/>
          <w:lang w:val="pt-BR"/>
        </w:rPr>
        <w:t>2</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Dever</w:t>
      </w:r>
      <w:r w:rsidR="004756C1" w:rsidRPr="002F50BD">
        <w:rPr>
          <w:rFonts w:ascii="Verdana" w:hAnsi="Verdana"/>
          <w:sz w:val="20"/>
          <w:lang w:val="pt-BR"/>
        </w:rPr>
        <w:t xml:space="preserve"> de </w:t>
      </w:r>
      <w:r w:rsidR="0089298C" w:rsidRPr="002F50BD">
        <w:rPr>
          <w:rFonts w:ascii="Verdana" w:hAnsi="Verdana"/>
          <w:sz w:val="20"/>
          <w:lang w:val="pt-BR"/>
        </w:rPr>
        <w:t>Adot</w:t>
      </w:r>
      <w:r w:rsidR="004756C1" w:rsidRPr="002F50BD">
        <w:rPr>
          <w:rFonts w:ascii="Verdana" w:hAnsi="Verdana"/>
          <w:sz w:val="20"/>
          <w:lang w:val="pt-BR"/>
        </w:rPr>
        <w:t>ar Disposi</w:t>
      </w:r>
      <w:r w:rsidR="0089298C" w:rsidRPr="002F50BD">
        <w:rPr>
          <w:rFonts w:ascii="Verdana" w:hAnsi="Verdana"/>
          <w:sz w:val="20"/>
          <w:lang w:val="pt-BR"/>
        </w:rPr>
        <w:t>ções</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 xml:space="preserve"> Interno</w:t>
      </w:r>
      <w:r w:rsidR="00CF451D" w:rsidRPr="00CF451D">
        <w:rPr>
          <w:rFonts w:ascii="Verdana" w:hAnsi="Verdana"/>
          <w:sz w:val="20"/>
          <w:lang w:val="pt-BR"/>
        </w:rPr>
        <w:t>)</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2D5D95" w:rsidRPr="002F50BD">
        <w:rPr>
          <w:rFonts w:ascii="Verdana" w:hAnsi="Verdana"/>
          <w:sz w:val="20"/>
          <w:lang w:val="pt-BR"/>
        </w:rPr>
        <w:t xml:space="preserve">detrimento </w:t>
      </w:r>
      <w:r w:rsidR="0089298C" w:rsidRPr="002F50BD">
        <w:rPr>
          <w:rFonts w:ascii="Verdana" w:hAnsi="Verdana"/>
          <w:sz w:val="20"/>
          <w:lang w:val="pt-BR"/>
        </w:rPr>
        <w:t xml:space="preserve">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 xml:space="preserve">doravante </w:t>
      </w:r>
      <w:r w:rsidR="002D5D95" w:rsidRPr="002F50BD">
        <w:rPr>
          <w:rFonts w:ascii="Verdana" w:hAnsi="Verdana"/>
          <w:sz w:val="20"/>
          <w:lang w:val="pt-BR"/>
        </w:rPr>
        <w:t xml:space="preserve">denominada </w:t>
      </w:r>
      <w:r w:rsidR="0089298C" w:rsidRPr="002F50BD">
        <w:rPr>
          <w:rFonts w:ascii="Verdana" w:hAnsi="Verdana"/>
          <w:sz w:val="20"/>
          <w:lang w:val="pt-BR"/>
        </w:rPr>
        <w:t xml:space="preserve">a </w:t>
      </w:r>
      <w:r w:rsidR="004756C1" w:rsidRPr="002F50BD">
        <w:rPr>
          <w:rFonts w:ascii="Verdana" w:hAnsi="Verdana"/>
          <w:sz w:val="20"/>
          <w:lang w:val="pt-BR"/>
        </w:rPr>
        <w:t>“</w:t>
      </w:r>
      <w:r w:rsidR="0089298C" w:rsidRPr="002F50BD">
        <w:rPr>
          <w:rFonts w:ascii="Verdana" w:hAnsi="Verdana"/>
          <w:sz w:val="20"/>
          <w:lang w:val="pt-BR"/>
        </w:rPr>
        <w:t xml:space="preserve">Comunidade </w:t>
      </w:r>
      <w:r w:rsidR="004756C1" w:rsidRPr="002F50BD">
        <w:rPr>
          <w:rFonts w:ascii="Verdana" w:hAnsi="Verdana"/>
          <w:sz w:val="20"/>
          <w:lang w:val="pt-BR"/>
        </w:rPr>
        <w:t>indígena Yakye Axa”,</w:t>
      </w:r>
      <w:r w:rsidR="0089298C" w:rsidRPr="002F50BD">
        <w:rPr>
          <w:rFonts w:ascii="Verdana" w:hAnsi="Verdana"/>
          <w:sz w:val="20"/>
          <w:lang w:val="pt-BR"/>
        </w:rPr>
        <w:t xml:space="preserve"> a </w:t>
      </w:r>
      <w:r w:rsidR="004756C1" w:rsidRPr="002F50BD">
        <w:rPr>
          <w:rFonts w:ascii="Verdana" w:hAnsi="Verdana"/>
          <w:sz w:val="20"/>
          <w:lang w:val="pt-BR"/>
        </w:rPr>
        <w:t>“</w:t>
      </w:r>
      <w:r w:rsidR="0089298C" w:rsidRPr="002F50BD">
        <w:rPr>
          <w:rFonts w:ascii="Verdana" w:hAnsi="Verdana"/>
          <w:sz w:val="20"/>
          <w:lang w:val="pt-BR"/>
        </w:rPr>
        <w:t xml:space="preserve">Comunidade </w:t>
      </w:r>
      <w:r w:rsidR="004756C1" w:rsidRPr="002F50BD">
        <w:rPr>
          <w:rFonts w:ascii="Verdana" w:hAnsi="Verdana"/>
          <w:sz w:val="20"/>
          <w:lang w:val="pt-BR"/>
        </w:rPr>
        <w:t>Yakye Axa”,</w:t>
      </w:r>
      <w:r w:rsidR="0089298C" w:rsidRPr="002F50BD">
        <w:rPr>
          <w:rFonts w:ascii="Verdana" w:hAnsi="Verdana"/>
          <w:sz w:val="20"/>
          <w:lang w:val="pt-BR"/>
        </w:rPr>
        <w:t xml:space="preserve"> a </w:t>
      </w:r>
      <w:r w:rsidR="004756C1" w:rsidRPr="002F50BD">
        <w:rPr>
          <w:rFonts w:ascii="Verdana" w:hAnsi="Verdana"/>
          <w:sz w:val="20"/>
          <w:lang w:val="pt-BR"/>
        </w:rPr>
        <w:t>“</w:t>
      </w:r>
      <w:r w:rsidR="0089298C" w:rsidRPr="002F50BD">
        <w:rPr>
          <w:rFonts w:ascii="Verdana" w:hAnsi="Verdana"/>
          <w:sz w:val="20"/>
          <w:lang w:val="pt-BR"/>
        </w:rPr>
        <w:t xml:space="preserve">Comunidade </w:t>
      </w:r>
      <w:r w:rsidR="004756C1" w:rsidRPr="002F50BD">
        <w:rPr>
          <w:rFonts w:ascii="Verdana" w:hAnsi="Verdana"/>
          <w:sz w:val="20"/>
          <w:lang w:val="pt-BR"/>
        </w:rPr>
        <w:t>indígena” o</w:t>
      </w:r>
      <w:r w:rsidR="002D5D95" w:rsidRPr="002F50BD">
        <w:rPr>
          <w:rFonts w:ascii="Verdana" w:hAnsi="Verdana"/>
          <w:sz w:val="20"/>
          <w:lang w:val="pt-BR"/>
        </w:rPr>
        <w:t>u</w:t>
      </w:r>
      <w:r w:rsidR="0089298C" w:rsidRPr="002F50BD">
        <w:rPr>
          <w:rFonts w:ascii="Verdana" w:hAnsi="Verdana"/>
          <w:sz w:val="20"/>
          <w:lang w:val="pt-BR"/>
        </w:rPr>
        <w:t xml:space="preserve"> a </w:t>
      </w:r>
      <w:r w:rsidR="004756C1" w:rsidRPr="002F50BD">
        <w:rPr>
          <w:rFonts w:ascii="Verdana" w:hAnsi="Verdana"/>
          <w:sz w:val="20"/>
          <w:lang w:val="pt-BR"/>
        </w:rPr>
        <w:t>“Comunidad</w:t>
      </w:r>
      <w:r w:rsidR="002D5D95" w:rsidRPr="002F50BD">
        <w:rPr>
          <w:rFonts w:ascii="Verdana" w:hAnsi="Verdana"/>
          <w:sz w:val="20"/>
          <w:lang w:val="pt-BR"/>
        </w:rPr>
        <w:t>e</w:t>
      </w:r>
      <w:r w:rsidR="004756C1" w:rsidRPr="002F50BD">
        <w:rPr>
          <w:rFonts w:ascii="Verdana" w:hAnsi="Verdana"/>
          <w:sz w:val="20"/>
          <w:lang w:val="pt-BR"/>
        </w:rPr>
        <w:t>”</w:t>
      </w:r>
      <w:r w:rsidR="00CF451D" w:rsidRPr="00CF451D">
        <w:rPr>
          <w:rFonts w:ascii="Verdana" w:hAnsi="Verdana"/>
          <w:sz w:val="20"/>
          <w:lang w:val="pt-BR"/>
        </w:rPr>
        <w:t>)</w:t>
      </w:r>
      <w:r w:rsidR="0089298C" w:rsidRPr="002F50BD">
        <w:rPr>
          <w:rFonts w:ascii="Verdana" w:hAnsi="Verdana"/>
          <w:sz w:val="20"/>
          <w:lang w:val="pt-BR"/>
        </w:rPr>
        <w:t xml:space="preserve"> e </w:t>
      </w:r>
      <w:r w:rsidR="00AB454A" w:rsidRPr="002F50BD">
        <w:rPr>
          <w:rFonts w:ascii="Verdana" w:hAnsi="Verdana"/>
          <w:sz w:val="20"/>
          <w:lang w:val="pt-BR"/>
        </w:rPr>
        <w:t xml:space="preserve">seus membros. A </w:t>
      </w:r>
      <w:r w:rsidR="0089298C" w:rsidRPr="002F50BD">
        <w:rPr>
          <w:rFonts w:ascii="Verdana" w:hAnsi="Verdana"/>
          <w:sz w:val="20"/>
          <w:lang w:val="pt-BR"/>
        </w:rPr>
        <w:t>Comissão</w:t>
      </w:r>
      <w:r w:rsidR="004756C1"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Estado n</w:t>
      </w:r>
      <w:r w:rsidR="002D5D95"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garanti</w:t>
      </w:r>
      <w:r w:rsidR="002D5D95" w:rsidRPr="002F50BD">
        <w:rPr>
          <w:rFonts w:ascii="Verdana" w:hAnsi="Verdana"/>
          <w:sz w:val="20"/>
          <w:lang w:val="pt-BR"/>
        </w:rPr>
        <w:t>u</w:t>
      </w:r>
      <w:r w:rsidR="0089298C" w:rsidRPr="002F50BD">
        <w:rPr>
          <w:rFonts w:ascii="Verdana" w:hAnsi="Verdana"/>
          <w:sz w:val="20"/>
          <w:lang w:val="pt-BR"/>
        </w:rPr>
        <w:t xml:space="preserve"> 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ancestral</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e </w:t>
      </w:r>
      <w:r w:rsidR="002D5D95" w:rsidRPr="002F50BD">
        <w:rPr>
          <w:rFonts w:ascii="Verdana" w:hAnsi="Verdana"/>
          <w:sz w:val="20"/>
          <w:lang w:val="pt-BR"/>
        </w:rPr>
        <w:t xml:space="preserve">de </w:t>
      </w:r>
      <w:r w:rsidR="00AB454A" w:rsidRPr="002F50BD">
        <w:rPr>
          <w:rFonts w:ascii="Verdana" w:hAnsi="Verdana"/>
          <w:sz w:val="20"/>
          <w:lang w:val="pt-BR"/>
        </w:rPr>
        <w:t>seus membros</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 xml:space="preserve">que desde </w:t>
      </w:r>
      <w:r w:rsidRPr="002F50BD">
        <w:rPr>
          <w:rFonts w:ascii="Verdana" w:hAnsi="Verdana"/>
          <w:sz w:val="20"/>
          <w:lang w:val="pt-BR"/>
        </w:rPr>
        <w:t>1993</w:t>
      </w:r>
      <w:r w:rsidR="004756C1" w:rsidRPr="002F50BD">
        <w:rPr>
          <w:rFonts w:ascii="Verdana" w:hAnsi="Verdana"/>
          <w:sz w:val="20"/>
          <w:lang w:val="pt-BR"/>
        </w:rPr>
        <w:t xml:space="preserve"> se encontrar</w:t>
      </w:r>
      <w:r w:rsidR="002D5D95" w:rsidRPr="002F50BD">
        <w:rPr>
          <w:rFonts w:ascii="Verdana" w:hAnsi="Verdana"/>
          <w:sz w:val="20"/>
          <w:lang w:val="pt-BR"/>
        </w:rPr>
        <w:t>i</w:t>
      </w:r>
      <w:r w:rsidR="004756C1" w:rsidRPr="002F50BD">
        <w:rPr>
          <w:rFonts w:ascii="Verdana" w:hAnsi="Verdana"/>
          <w:sz w:val="20"/>
          <w:lang w:val="pt-BR"/>
        </w:rPr>
        <w:t>a</w:t>
      </w:r>
      <w:r w:rsidR="0089298C" w:rsidRPr="002F50BD">
        <w:rPr>
          <w:rFonts w:ascii="Verdana" w:hAnsi="Verdana"/>
          <w:sz w:val="20"/>
          <w:lang w:val="pt-BR"/>
        </w:rPr>
        <w:t xml:space="preserve"> em </w:t>
      </w:r>
      <w:r w:rsidR="004756C1" w:rsidRPr="002F50BD">
        <w:rPr>
          <w:rFonts w:ascii="Verdana" w:hAnsi="Verdana"/>
          <w:sz w:val="20"/>
          <w:lang w:val="pt-BR"/>
        </w:rPr>
        <w:t>tramita</w:t>
      </w:r>
      <w:r w:rsidR="0089298C" w:rsidRPr="002F50BD">
        <w:rPr>
          <w:rFonts w:ascii="Verdana" w:hAnsi="Verdana"/>
          <w:sz w:val="20"/>
          <w:lang w:val="pt-BR"/>
        </w:rPr>
        <w:t xml:space="preserve">ção </w:t>
      </w:r>
      <w:r w:rsidR="00060B3A" w:rsidRPr="002F50BD">
        <w:rPr>
          <w:rFonts w:ascii="Verdana" w:hAnsi="Verdana"/>
          <w:sz w:val="20"/>
          <w:lang w:val="pt-BR"/>
        </w:rPr>
        <w:t xml:space="preserve">o pedido </w:t>
      </w:r>
      <w:r w:rsidR="004756C1" w:rsidRPr="002F50BD">
        <w:rPr>
          <w:rFonts w:ascii="Verdana" w:hAnsi="Verdana"/>
          <w:sz w:val="20"/>
          <w:lang w:val="pt-BR"/>
        </w:rPr>
        <w:t>de reivindica</w:t>
      </w:r>
      <w:r w:rsidR="0089298C" w:rsidRPr="002F50BD">
        <w:rPr>
          <w:rFonts w:ascii="Verdana" w:hAnsi="Verdana"/>
          <w:sz w:val="20"/>
          <w:lang w:val="pt-BR"/>
        </w:rPr>
        <w:t>ção</w:t>
      </w:r>
      <w:r w:rsidR="004756C1" w:rsidRPr="002F50BD">
        <w:rPr>
          <w:rFonts w:ascii="Verdana" w:hAnsi="Verdana"/>
          <w:sz w:val="20"/>
          <w:lang w:val="pt-BR"/>
        </w:rPr>
        <w:t xml:space="preserve"> territorial</w:t>
      </w:r>
      <w:r w:rsidR="0089298C" w:rsidRPr="002F50BD">
        <w:rPr>
          <w:rFonts w:ascii="Verdana" w:hAnsi="Verdana"/>
          <w:sz w:val="20"/>
          <w:lang w:val="pt-BR"/>
        </w:rPr>
        <w:t xml:space="preserve"> da </w:t>
      </w:r>
      <w:r w:rsidR="004756C1" w:rsidRPr="002F50BD">
        <w:rPr>
          <w:rFonts w:ascii="Verdana" w:hAnsi="Verdana"/>
          <w:sz w:val="20"/>
          <w:lang w:val="pt-BR"/>
        </w:rPr>
        <w:t>citada Comu</w:t>
      </w:r>
      <w:r w:rsidR="00AB454A" w:rsidRPr="002F50BD">
        <w:rPr>
          <w:rFonts w:ascii="Verdana" w:hAnsi="Verdana"/>
          <w:sz w:val="20"/>
          <w:lang w:val="pt-BR"/>
        </w:rPr>
        <w:t xml:space="preserve">nidade, </w:t>
      </w:r>
      <w:r w:rsidR="0089298C" w:rsidRPr="002F50BD">
        <w:rPr>
          <w:rFonts w:ascii="Verdana" w:hAnsi="Verdana"/>
          <w:sz w:val="20"/>
          <w:lang w:val="pt-BR"/>
        </w:rPr>
        <w:t xml:space="preserve">sem </w:t>
      </w:r>
      <w:r w:rsidR="004756C1" w:rsidRPr="002F50BD">
        <w:rPr>
          <w:rFonts w:ascii="Verdana" w:hAnsi="Verdana"/>
          <w:sz w:val="20"/>
          <w:lang w:val="pt-BR"/>
        </w:rPr>
        <w:t xml:space="preserve">que </w:t>
      </w:r>
      <w:r w:rsidR="002D5D95" w:rsidRPr="002F50BD">
        <w:rPr>
          <w:rFonts w:ascii="Verdana" w:hAnsi="Verdana"/>
          <w:sz w:val="20"/>
          <w:lang w:val="pt-BR"/>
        </w:rPr>
        <w:t>tenha sido resolvid</w:t>
      </w:r>
      <w:r w:rsidR="00060B3A" w:rsidRPr="002F50BD">
        <w:rPr>
          <w:rFonts w:ascii="Verdana" w:hAnsi="Verdana"/>
          <w:sz w:val="20"/>
          <w:lang w:val="pt-BR"/>
        </w:rPr>
        <w:t>o</w:t>
      </w:r>
      <w:r w:rsidR="002D5D95" w:rsidRPr="002F50BD">
        <w:rPr>
          <w:rFonts w:ascii="Verdana" w:hAnsi="Verdana"/>
          <w:sz w:val="20"/>
          <w:lang w:val="pt-BR"/>
        </w:rPr>
        <w:t xml:space="preserve"> </w:t>
      </w:r>
      <w:r w:rsidR="004756C1" w:rsidRPr="002F50BD">
        <w:rPr>
          <w:rFonts w:ascii="Verdana" w:hAnsi="Verdana"/>
          <w:sz w:val="20"/>
          <w:lang w:val="pt-BR"/>
        </w:rPr>
        <w:t>satis</w:t>
      </w:r>
      <w:r w:rsidR="0089298C" w:rsidRPr="002F50BD">
        <w:rPr>
          <w:rFonts w:ascii="Verdana" w:hAnsi="Verdana"/>
          <w:sz w:val="20"/>
          <w:lang w:val="pt-BR"/>
        </w:rPr>
        <w:t>fato</w:t>
      </w:r>
      <w:r w:rsidR="004756C1" w:rsidRPr="002F50BD">
        <w:rPr>
          <w:rFonts w:ascii="Verdana" w:hAnsi="Verdana"/>
          <w:sz w:val="20"/>
          <w:lang w:val="pt-BR"/>
        </w:rPr>
        <w:t>riamente.</w:t>
      </w:r>
      <w:r w:rsidR="00FE08B7">
        <w:rPr>
          <w:rFonts w:ascii="Verdana" w:hAnsi="Verdana"/>
          <w:sz w:val="20"/>
          <w:lang w:val="pt-BR"/>
        </w:rPr>
        <w:t xml:space="preserve"> </w:t>
      </w:r>
      <w:r w:rsidR="004756C1" w:rsidRPr="002F50BD">
        <w:rPr>
          <w:rFonts w:ascii="Verdana" w:hAnsi="Verdana"/>
          <w:sz w:val="20"/>
          <w:lang w:val="pt-BR"/>
        </w:rPr>
        <w:t xml:space="preserve">De </w:t>
      </w:r>
      <w:r w:rsidR="0089298C" w:rsidRPr="002F50BD">
        <w:rPr>
          <w:rFonts w:ascii="Verdana" w:hAnsi="Verdana"/>
          <w:sz w:val="20"/>
          <w:lang w:val="pt-BR"/>
        </w:rPr>
        <w:t xml:space="preserve">acordo com </w:t>
      </w:r>
      <w:r w:rsidR="004756C1" w:rsidRPr="002F50BD">
        <w:rPr>
          <w:rFonts w:ascii="Verdana" w:hAnsi="Verdana"/>
          <w:sz w:val="20"/>
          <w:lang w:val="pt-BR"/>
        </w:rPr>
        <w:t>o manifestado</w:t>
      </w:r>
      <w:r w:rsidR="0089298C" w:rsidRPr="002F50BD">
        <w:rPr>
          <w:rFonts w:ascii="Verdana" w:hAnsi="Verdana"/>
          <w:sz w:val="20"/>
          <w:lang w:val="pt-BR"/>
        </w:rPr>
        <w:t xml:space="preserve"> pela Comissão em sua demanda</w:t>
      </w:r>
      <w:r w:rsidR="004756C1" w:rsidRPr="002F50BD">
        <w:rPr>
          <w:rFonts w:ascii="Verdana" w:hAnsi="Verdana"/>
          <w:sz w:val="20"/>
          <w:lang w:val="pt-BR"/>
        </w:rPr>
        <w:t>,</w:t>
      </w:r>
      <w:r w:rsidR="0089298C" w:rsidRPr="002F50BD">
        <w:rPr>
          <w:rFonts w:ascii="Verdana" w:hAnsi="Verdana"/>
          <w:sz w:val="20"/>
          <w:lang w:val="pt-BR"/>
        </w:rPr>
        <w:t xml:space="preserve"> </w:t>
      </w:r>
      <w:r w:rsidR="00A12CD8" w:rsidRPr="002F50BD">
        <w:rPr>
          <w:rFonts w:ascii="Verdana" w:hAnsi="Verdana"/>
          <w:sz w:val="20"/>
          <w:lang w:val="pt-BR"/>
        </w:rPr>
        <w:t>isso</w:t>
      </w:r>
      <w:r w:rsidR="0089298C" w:rsidRPr="002F50BD">
        <w:rPr>
          <w:rFonts w:ascii="Verdana" w:hAnsi="Verdana"/>
          <w:sz w:val="20"/>
          <w:lang w:val="pt-BR"/>
        </w:rPr>
        <w:t xml:space="preserve"> </w:t>
      </w:r>
      <w:r w:rsidR="004756C1" w:rsidRPr="002F50BD">
        <w:rPr>
          <w:rFonts w:ascii="Verdana" w:hAnsi="Verdana"/>
          <w:sz w:val="20"/>
          <w:lang w:val="pt-BR"/>
        </w:rPr>
        <w:t>signific</w:t>
      </w:r>
      <w:r w:rsidR="002D5D95" w:rsidRPr="002F50BD">
        <w:rPr>
          <w:rFonts w:ascii="Verdana" w:hAnsi="Verdana"/>
          <w:sz w:val="20"/>
          <w:lang w:val="pt-BR"/>
        </w:rPr>
        <w:t>ou</w:t>
      </w:r>
      <w:r w:rsidR="0089298C" w:rsidRPr="002F50BD">
        <w:rPr>
          <w:rFonts w:ascii="Verdana" w:hAnsi="Verdana"/>
          <w:sz w:val="20"/>
          <w:lang w:val="pt-BR"/>
        </w:rPr>
        <w:t xml:space="preserve"> a </w:t>
      </w:r>
      <w:r w:rsidR="004756C1" w:rsidRPr="002F50BD">
        <w:rPr>
          <w:rFonts w:ascii="Verdana" w:hAnsi="Verdana"/>
          <w:sz w:val="20"/>
          <w:lang w:val="pt-BR"/>
        </w:rPr>
        <w:t>im</w:t>
      </w:r>
      <w:r w:rsidR="0089298C" w:rsidRPr="002F50BD">
        <w:rPr>
          <w:rFonts w:ascii="Verdana" w:hAnsi="Verdana"/>
          <w:sz w:val="20"/>
          <w:lang w:val="pt-BR"/>
        </w:rPr>
        <w:t xml:space="preserve">possibilidade da Comunidade e </w:t>
      </w:r>
      <w:r w:rsidR="002D5D95" w:rsidRPr="002F50BD">
        <w:rPr>
          <w:rFonts w:ascii="Verdana" w:hAnsi="Verdana"/>
          <w:sz w:val="20"/>
          <w:lang w:val="pt-BR"/>
        </w:rPr>
        <w:t xml:space="preserve">de </w:t>
      </w:r>
      <w:r w:rsidR="00AB454A" w:rsidRPr="002F50BD">
        <w:rPr>
          <w:rFonts w:ascii="Verdana" w:hAnsi="Verdana"/>
          <w:sz w:val="20"/>
          <w:lang w:val="pt-BR"/>
        </w:rPr>
        <w:t>seus membros</w:t>
      </w:r>
      <w:r w:rsidR="004756C1" w:rsidRPr="002F50BD">
        <w:rPr>
          <w:rFonts w:ascii="Verdana" w:hAnsi="Verdana"/>
          <w:sz w:val="20"/>
          <w:lang w:val="pt-BR"/>
        </w:rPr>
        <w:t xml:space="preserve"> de </w:t>
      </w:r>
      <w:r w:rsidR="002D5D95" w:rsidRPr="002F50BD">
        <w:rPr>
          <w:rFonts w:ascii="Verdana" w:hAnsi="Verdana"/>
          <w:sz w:val="20"/>
          <w:lang w:val="pt-BR"/>
        </w:rPr>
        <w:t xml:space="preserve">ter acesso </w:t>
      </w:r>
      <w:r w:rsidR="0089298C" w:rsidRPr="002F50BD">
        <w:rPr>
          <w:rFonts w:ascii="Verdana" w:hAnsi="Verdana"/>
          <w:sz w:val="20"/>
          <w:lang w:val="pt-BR"/>
        </w:rPr>
        <w:t xml:space="preserve">à propriedade e </w:t>
      </w:r>
      <w:r w:rsidR="002D5D95" w:rsidRPr="002F50BD">
        <w:rPr>
          <w:rFonts w:ascii="Verdana" w:hAnsi="Verdana"/>
          <w:sz w:val="20"/>
          <w:lang w:val="pt-BR"/>
        </w:rPr>
        <w:t xml:space="preserve">à </w:t>
      </w:r>
      <w:r w:rsidR="004756C1" w:rsidRPr="002F50BD">
        <w:rPr>
          <w:rFonts w:ascii="Verdana" w:hAnsi="Verdana"/>
          <w:sz w:val="20"/>
          <w:lang w:val="pt-BR"/>
        </w:rPr>
        <w:t>po</w:t>
      </w:r>
      <w:r w:rsidR="0089298C" w:rsidRPr="002F50BD">
        <w:rPr>
          <w:rFonts w:ascii="Verdana" w:hAnsi="Verdana"/>
          <w:sz w:val="20"/>
          <w:lang w:val="pt-BR"/>
        </w:rPr>
        <w:t>s</w:t>
      </w:r>
      <w:r w:rsidR="002D5D95" w:rsidRPr="002F50BD">
        <w:rPr>
          <w:rFonts w:ascii="Verdana" w:hAnsi="Verdana"/>
          <w:sz w:val="20"/>
          <w:lang w:val="pt-BR"/>
        </w:rPr>
        <w:t>s</w:t>
      </w:r>
      <w:r w:rsidR="0089298C" w:rsidRPr="002F50BD">
        <w:rPr>
          <w:rFonts w:ascii="Verdana" w:hAnsi="Verdana"/>
          <w:sz w:val="20"/>
          <w:lang w:val="pt-BR"/>
        </w:rPr>
        <w:t>e</w:t>
      </w:r>
      <w:r w:rsidR="004756C1" w:rsidRPr="002F50BD">
        <w:rPr>
          <w:rFonts w:ascii="Verdana" w:hAnsi="Verdana"/>
          <w:sz w:val="20"/>
          <w:lang w:val="pt-BR"/>
        </w:rPr>
        <w:t xml:space="preserve"> de </w:t>
      </w:r>
      <w:r w:rsidR="00AB454A" w:rsidRPr="002F50BD">
        <w:rPr>
          <w:rFonts w:ascii="Verdana" w:hAnsi="Verdana"/>
          <w:sz w:val="20"/>
          <w:lang w:val="pt-BR"/>
        </w:rPr>
        <w:t>seu território</w:t>
      </w:r>
      <w:r w:rsidR="0089298C" w:rsidRPr="002F50BD">
        <w:rPr>
          <w:rFonts w:ascii="Verdana" w:hAnsi="Verdana"/>
          <w:sz w:val="20"/>
          <w:lang w:val="pt-BR"/>
        </w:rPr>
        <w:t xml:space="preserve"> e </w:t>
      </w:r>
      <w:r w:rsidR="004756C1" w:rsidRPr="002F50BD">
        <w:rPr>
          <w:rFonts w:ascii="Verdana" w:hAnsi="Verdana"/>
          <w:sz w:val="20"/>
          <w:lang w:val="pt-BR"/>
        </w:rPr>
        <w:t>implic</w:t>
      </w:r>
      <w:r w:rsidR="00060B3A" w:rsidRPr="002F50BD">
        <w:rPr>
          <w:rFonts w:ascii="Verdana" w:hAnsi="Verdana"/>
          <w:sz w:val="20"/>
          <w:lang w:val="pt-BR"/>
        </w:rPr>
        <w:t>ou</w:t>
      </w:r>
      <w:r w:rsidR="004756C1" w:rsidRPr="002F50BD">
        <w:rPr>
          <w:rFonts w:ascii="Verdana" w:hAnsi="Verdana"/>
          <w:sz w:val="20"/>
          <w:lang w:val="pt-BR"/>
        </w:rPr>
        <w:t xml:space="preserve"> </w:t>
      </w:r>
      <w:r w:rsidR="0089298C" w:rsidRPr="002F50BD">
        <w:rPr>
          <w:rFonts w:ascii="Verdana" w:hAnsi="Verdana"/>
          <w:sz w:val="20"/>
          <w:lang w:val="pt-BR"/>
        </w:rPr>
        <w:t>mant</w:t>
      </w:r>
      <w:r w:rsidR="002D5D95" w:rsidRPr="002F50BD">
        <w:rPr>
          <w:rFonts w:ascii="Verdana" w:hAnsi="Verdana"/>
          <w:sz w:val="20"/>
          <w:lang w:val="pt-BR"/>
        </w:rPr>
        <w:t>ê-</w:t>
      </w:r>
      <w:r w:rsidR="004756C1" w:rsidRPr="002F50BD">
        <w:rPr>
          <w:rFonts w:ascii="Verdana" w:hAnsi="Verdana"/>
          <w:sz w:val="20"/>
          <w:lang w:val="pt-BR"/>
        </w:rPr>
        <w:t>la</w:t>
      </w:r>
      <w:r w:rsidR="0089298C" w:rsidRPr="002F50BD">
        <w:rPr>
          <w:rFonts w:ascii="Verdana" w:hAnsi="Verdana"/>
          <w:sz w:val="20"/>
          <w:lang w:val="pt-BR"/>
        </w:rPr>
        <w:t xml:space="preserve"> em um </w:t>
      </w:r>
      <w:r w:rsidR="004756C1" w:rsidRPr="002F50BD">
        <w:rPr>
          <w:rFonts w:ascii="Verdana" w:hAnsi="Verdana"/>
          <w:sz w:val="20"/>
          <w:lang w:val="pt-BR"/>
        </w:rPr>
        <w:t xml:space="preserve">estado de </w:t>
      </w:r>
      <w:r w:rsidR="0089298C" w:rsidRPr="002F50BD">
        <w:rPr>
          <w:rFonts w:ascii="Verdana" w:hAnsi="Verdana"/>
          <w:sz w:val="20"/>
          <w:lang w:val="pt-BR"/>
        </w:rPr>
        <w:t xml:space="preserve">vulnerabilidade </w:t>
      </w:r>
      <w:r w:rsidR="004756C1" w:rsidRPr="002F50BD">
        <w:rPr>
          <w:rFonts w:ascii="Verdana" w:hAnsi="Verdana"/>
          <w:sz w:val="20"/>
          <w:lang w:val="pt-BR"/>
        </w:rPr>
        <w:t>aliment</w:t>
      </w:r>
      <w:r w:rsidR="00060B3A" w:rsidRPr="002F50BD">
        <w:rPr>
          <w:rFonts w:ascii="Verdana" w:hAnsi="Verdana"/>
          <w:sz w:val="20"/>
          <w:lang w:val="pt-BR"/>
        </w:rPr>
        <w:t>ar</w:t>
      </w:r>
      <w:r w:rsidR="004756C1" w:rsidRPr="002F50BD">
        <w:rPr>
          <w:rFonts w:ascii="Verdana" w:hAnsi="Verdana"/>
          <w:sz w:val="20"/>
          <w:lang w:val="pt-BR"/>
        </w:rPr>
        <w:t>, médica</w:t>
      </w:r>
      <w:r w:rsidR="0089298C" w:rsidRPr="002F50BD">
        <w:rPr>
          <w:rFonts w:ascii="Verdana" w:hAnsi="Verdana"/>
          <w:sz w:val="20"/>
          <w:lang w:val="pt-BR"/>
        </w:rPr>
        <w:t xml:space="preserve"> e </w:t>
      </w:r>
      <w:r w:rsidR="004756C1" w:rsidRPr="002F50BD">
        <w:rPr>
          <w:rFonts w:ascii="Verdana" w:hAnsi="Verdana"/>
          <w:sz w:val="20"/>
          <w:lang w:val="pt-BR"/>
        </w:rPr>
        <w:t>sanit</w:t>
      </w:r>
      <w:r w:rsidR="002D5D95" w:rsidRPr="002F50BD">
        <w:rPr>
          <w:rFonts w:ascii="Verdana" w:hAnsi="Verdana"/>
          <w:sz w:val="20"/>
          <w:lang w:val="pt-BR"/>
        </w:rPr>
        <w:t>á</w:t>
      </w:r>
      <w:r w:rsidR="004756C1" w:rsidRPr="002F50BD">
        <w:rPr>
          <w:rFonts w:ascii="Verdana" w:hAnsi="Verdana"/>
          <w:sz w:val="20"/>
          <w:lang w:val="pt-BR"/>
        </w:rPr>
        <w:t xml:space="preserve">ria, </w:t>
      </w:r>
      <w:r w:rsidR="002D5D95" w:rsidRPr="002F50BD">
        <w:rPr>
          <w:rFonts w:ascii="Verdana" w:hAnsi="Verdana"/>
          <w:sz w:val="20"/>
          <w:lang w:val="pt-BR"/>
        </w:rPr>
        <w:t xml:space="preserve">o </w:t>
      </w:r>
      <w:r w:rsidR="004756C1" w:rsidRPr="002F50BD">
        <w:rPr>
          <w:rFonts w:ascii="Verdana" w:hAnsi="Verdana"/>
          <w:sz w:val="20"/>
          <w:lang w:val="pt-BR"/>
        </w:rPr>
        <w:t xml:space="preserve">que </w:t>
      </w:r>
      <w:r w:rsidR="0089298C" w:rsidRPr="002F50BD">
        <w:rPr>
          <w:rFonts w:ascii="Verdana" w:hAnsi="Verdana"/>
          <w:sz w:val="20"/>
          <w:lang w:val="pt-BR"/>
        </w:rPr>
        <w:t xml:space="preserve">ameaça </w:t>
      </w:r>
      <w:r w:rsidR="00060B3A" w:rsidRPr="002F50BD">
        <w:rPr>
          <w:rFonts w:ascii="Verdana" w:hAnsi="Verdana"/>
          <w:sz w:val="20"/>
          <w:lang w:val="pt-BR"/>
        </w:rPr>
        <w:t>de</w:t>
      </w:r>
      <w:r w:rsidR="0089298C" w:rsidRPr="002F50BD">
        <w:rPr>
          <w:rFonts w:ascii="Verdana" w:hAnsi="Verdana"/>
          <w:sz w:val="20"/>
          <w:lang w:val="pt-BR"/>
        </w:rPr>
        <w:t xml:space="preserve"> </w:t>
      </w:r>
      <w:r w:rsidR="004756C1" w:rsidRPr="002F50BD">
        <w:rPr>
          <w:rFonts w:ascii="Verdana" w:hAnsi="Verdana"/>
          <w:sz w:val="20"/>
          <w:lang w:val="pt-BR"/>
        </w:rPr>
        <w:t>forma cont</w:t>
      </w:r>
      <w:r w:rsidR="002D5D95" w:rsidRPr="002F50BD">
        <w:rPr>
          <w:rFonts w:ascii="Verdana" w:hAnsi="Verdana"/>
          <w:sz w:val="20"/>
          <w:lang w:val="pt-BR"/>
        </w:rPr>
        <w:t>í</w:t>
      </w:r>
      <w:r w:rsidR="004756C1" w:rsidRPr="002F50BD">
        <w:rPr>
          <w:rFonts w:ascii="Verdana" w:hAnsi="Verdana"/>
          <w:sz w:val="20"/>
          <w:lang w:val="pt-BR"/>
        </w:rPr>
        <w:t>nua</w:t>
      </w:r>
      <w:r w:rsidR="0089298C" w:rsidRPr="002F50BD">
        <w:rPr>
          <w:rFonts w:ascii="Verdana" w:hAnsi="Verdana"/>
          <w:sz w:val="20"/>
          <w:lang w:val="pt-BR"/>
        </w:rPr>
        <w:t xml:space="preserve"> a </w:t>
      </w:r>
      <w:r w:rsidR="004076AD" w:rsidRPr="002F50BD">
        <w:rPr>
          <w:rFonts w:ascii="Verdana" w:hAnsi="Verdana"/>
          <w:sz w:val="20"/>
          <w:lang w:val="pt-BR"/>
        </w:rPr>
        <w:t>sobrevivência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e a integridade da mesm</w:t>
      </w:r>
      <w:r w:rsidR="004756C1" w:rsidRPr="002F50BD">
        <w:rPr>
          <w:rFonts w:ascii="Verdana" w:hAnsi="Verdana"/>
          <w:sz w:val="20"/>
          <w:lang w:val="pt-BR"/>
        </w:rPr>
        <w:t>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w:t>
      </w:r>
      <w:r w:rsidR="004756C1" w:rsidRPr="002F50BD">
        <w:rPr>
          <w:rFonts w:ascii="Verdana" w:hAnsi="Verdana"/>
          <w:sz w:val="20"/>
          <w:lang w:val="pt-BR"/>
        </w:rPr>
        <w:t>.</w:t>
      </w:r>
      <w:r w:rsidR="004756C1" w:rsidRPr="002F50BD">
        <w:rPr>
          <w:rFonts w:ascii="Verdana" w:hAnsi="Verdana"/>
          <w:sz w:val="20"/>
          <w:lang w:val="pt-BR"/>
        </w:rPr>
        <w:tab/>
      </w:r>
      <w:r w:rsidR="002D5D95" w:rsidRPr="002F50BD">
        <w:rPr>
          <w:rFonts w:ascii="Verdana" w:hAnsi="Verdana"/>
          <w:sz w:val="20"/>
          <w:lang w:val="pt-BR"/>
        </w:rPr>
        <w:t>Igualmente</w:t>
      </w:r>
      <w:r w:rsidR="004756C1" w:rsidRPr="002F50BD">
        <w:rPr>
          <w:rFonts w:ascii="Verdana" w:hAnsi="Verdana"/>
          <w:sz w:val="20"/>
          <w:lang w:val="pt-BR"/>
        </w:rPr>
        <w:t xml:space="preserve">, como </w:t>
      </w:r>
      <w:r w:rsidR="0089298C" w:rsidRPr="002F50BD">
        <w:rPr>
          <w:rFonts w:ascii="Verdana" w:hAnsi="Verdana"/>
          <w:sz w:val="20"/>
          <w:lang w:val="pt-BR"/>
        </w:rPr>
        <w:t xml:space="preserve">consequência do </w:t>
      </w:r>
      <w:r w:rsidR="004756C1" w:rsidRPr="002F50BD">
        <w:rPr>
          <w:rFonts w:ascii="Verdana" w:hAnsi="Verdana"/>
          <w:sz w:val="20"/>
          <w:lang w:val="pt-BR"/>
        </w:rPr>
        <w:t xml:space="preserve">anteriormente </w:t>
      </w:r>
      <w:r w:rsidR="0089298C" w:rsidRPr="002F50BD">
        <w:rPr>
          <w:rFonts w:ascii="Verdana" w:hAnsi="Verdana"/>
          <w:sz w:val="20"/>
          <w:lang w:val="pt-BR"/>
        </w:rPr>
        <w:t>expost</w:t>
      </w:r>
      <w:r w:rsidR="004756C1" w:rsidRPr="002F50BD">
        <w:rPr>
          <w:rFonts w:ascii="Verdana" w:hAnsi="Verdana"/>
          <w:sz w:val="20"/>
          <w:lang w:val="pt-BR"/>
        </w:rPr>
        <w:t>o,</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 xml:space="preserve">solicitou à </w:t>
      </w:r>
      <w:r w:rsidR="004756C1" w:rsidRPr="002F50BD">
        <w:rPr>
          <w:rFonts w:ascii="Verdana" w:hAnsi="Verdana"/>
          <w:sz w:val="20"/>
          <w:lang w:val="pt-BR"/>
        </w:rPr>
        <w:t>Corte que ordene</w:t>
      </w:r>
      <w:r w:rsidR="0089298C" w:rsidRPr="002F50BD">
        <w:rPr>
          <w:rFonts w:ascii="Verdana" w:hAnsi="Verdana"/>
          <w:sz w:val="20"/>
          <w:lang w:val="pt-BR"/>
        </w:rPr>
        <w:t xml:space="preserve"> ao </w:t>
      </w:r>
      <w:r w:rsidR="004756C1" w:rsidRPr="002F50BD">
        <w:rPr>
          <w:rFonts w:ascii="Verdana" w:hAnsi="Verdana"/>
          <w:sz w:val="20"/>
          <w:lang w:val="pt-BR"/>
        </w:rPr>
        <w:t xml:space="preserve">Estado </w:t>
      </w:r>
      <w:r w:rsidR="0089298C" w:rsidRPr="002F50BD">
        <w:rPr>
          <w:rFonts w:ascii="Verdana" w:hAnsi="Verdana"/>
          <w:sz w:val="20"/>
          <w:lang w:val="pt-BR"/>
        </w:rPr>
        <w:t>adot</w:t>
      </w:r>
      <w:r w:rsidR="004756C1" w:rsidRPr="002F50BD">
        <w:rPr>
          <w:rFonts w:ascii="Verdana" w:hAnsi="Verdana"/>
          <w:sz w:val="20"/>
          <w:lang w:val="pt-BR"/>
        </w:rPr>
        <w:t>ar determinadas medidas de repara</w:t>
      </w:r>
      <w:r w:rsidR="0089298C" w:rsidRPr="002F50BD">
        <w:rPr>
          <w:rFonts w:ascii="Verdana" w:hAnsi="Verdana"/>
          <w:sz w:val="20"/>
          <w:lang w:val="pt-BR"/>
        </w:rPr>
        <w:t xml:space="preserve">ção e </w:t>
      </w:r>
      <w:r w:rsidR="004756C1" w:rsidRPr="002F50BD">
        <w:rPr>
          <w:rFonts w:ascii="Verdana" w:hAnsi="Verdana"/>
          <w:sz w:val="20"/>
          <w:lang w:val="pt-BR"/>
        </w:rPr>
        <w:t>reintegrar</w:t>
      </w:r>
      <w:r w:rsidR="0089298C" w:rsidRPr="002F50BD">
        <w:rPr>
          <w:rFonts w:ascii="Verdana" w:hAnsi="Verdana"/>
          <w:sz w:val="20"/>
          <w:lang w:val="pt-BR"/>
        </w:rPr>
        <w:t xml:space="preserve"> as custas e </w:t>
      </w:r>
      <w:r w:rsidR="004756C1" w:rsidRPr="002F50BD">
        <w:rPr>
          <w:rFonts w:ascii="Verdana" w:hAnsi="Verdana"/>
          <w:sz w:val="20"/>
          <w:lang w:val="pt-BR"/>
        </w:rPr>
        <w:t>gastos.</w:t>
      </w:r>
    </w:p>
    <w:p w:rsidR="004756C1" w:rsidRPr="002F50BD" w:rsidRDefault="004756C1">
      <w:pPr>
        <w:jc w:val="both"/>
        <w:rPr>
          <w:rFonts w:ascii="Verdana" w:hAnsi="Verdana"/>
          <w:sz w:val="20"/>
          <w:lang w:val="pt-BR"/>
        </w:rPr>
      </w:pPr>
    </w:p>
    <w:p w:rsidR="004756C1" w:rsidRPr="002F50BD" w:rsidRDefault="004756C1">
      <w:pPr>
        <w:ind w:firstLine="720"/>
        <w:jc w:val="center"/>
        <w:rPr>
          <w:rFonts w:ascii="Verdana" w:hAnsi="Verdana"/>
          <w:b/>
          <w:smallCaps/>
          <w:sz w:val="20"/>
          <w:lang w:val="pt-BR"/>
        </w:rPr>
      </w:pPr>
      <w:r w:rsidRPr="002F50BD">
        <w:rPr>
          <w:rFonts w:ascii="Verdana" w:hAnsi="Verdana"/>
          <w:b/>
          <w:smallCaps/>
          <w:sz w:val="20"/>
          <w:lang w:val="pt-BR"/>
        </w:rPr>
        <w:t>II</w:t>
      </w:r>
    </w:p>
    <w:p w:rsidR="004756C1" w:rsidRPr="002F50BD" w:rsidRDefault="0089298C">
      <w:pPr>
        <w:pStyle w:val="Heading1"/>
        <w:ind w:firstLine="720"/>
        <w:jc w:val="center"/>
        <w:rPr>
          <w:b/>
          <w:smallCaps/>
          <w:sz w:val="20"/>
          <w:lang w:val="pt-BR"/>
        </w:rPr>
      </w:pPr>
      <w:r w:rsidRPr="002F50BD">
        <w:rPr>
          <w:b/>
          <w:smallCaps/>
          <w:sz w:val="20"/>
          <w:lang w:val="pt-BR"/>
        </w:rPr>
        <w:t>Competência</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4</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A Corte</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é </w:t>
      </w:r>
      <w:r w:rsidR="004756C1" w:rsidRPr="002F50BD">
        <w:rPr>
          <w:rFonts w:ascii="Verdana" w:hAnsi="Verdana"/>
          <w:sz w:val="20"/>
          <w:lang w:val="pt-BR"/>
        </w:rPr>
        <w:t xml:space="preserve">competente para </w:t>
      </w:r>
      <w:r w:rsidR="0089298C" w:rsidRPr="002F50BD">
        <w:rPr>
          <w:rFonts w:ascii="Verdana" w:hAnsi="Verdana"/>
          <w:sz w:val="20"/>
          <w:lang w:val="pt-BR"/>
        </w:rPr>
        <w:t>conhecer</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presente caso,</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artigo</w:t>
      </w:r>
      <w:r w:rsidR="004756C1" w:rsidRPr="002F50BD">
        <w:rPr>
          <w:rFonts w:ascii="Verdana" w:hAnsi="Verdana"/>
          <w:sz w:val="20"/>
          <w:lang w:val="pt-BR"/>
        </w:rPr>
        <w:t xml:space="preserve">s </w:t>
      </w:r>
      <w:r w:rsidRPr="002F50BD">
        <w:rPr>
          <w:rFonts w:ascii="Verdana" w:hAnsi="Verdana"/>
          <w:sz w:val="20"/>
          <w:lang w:val="pt-BR"/>
        </w:rPr>
        <w:t>62</w:t>
      </w:r>
      <w:r w:rsidR="0089298C" w:rsidRPr="002F50BD">
        <w:rPr>
          <w:rFonts w:ascii="Verdana" w:hAnsi="Verdana"/>
          <w:sz w:val="20"/>
          <w:lang w:val="pt-BR"/>
        </w:rPr>
        <w:t xml:space="preserve"> e </w:t>
      </w:r>
      <w:r w:rsidRPr="002F50BD">
        <w:rPr>
          <w:rFonts w:ascii="Verdana" w:hAnsi="Verdana"/>
          <w:sz w:val="20"/>
          <w:lang w:val="pt-BR"/>
        </w:rPr>
        <w:t>63</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0089298C" w:rsidRPr="002F50BD">
        <w:rPr>
          <w:rFonts w:ascii="Verdana" w:hAnsi="Verdana"/>
          <w:sz w:val="20"/>
          <w:lang w:val="pt-BR"/>
        </w:rPr>
        <w:t xml:space="preserve"> o Paraguai é </w:t>
      </w:r>
      <w:r w:rsidR="004756C1" w:rsidRPr="002F50BD">
        <w:rPr>
          <w:rFonts w:ascii="Verdana" w:hAnsi="Verdana"/>
          <w:sz w:val="20"/>
          <w:lang w:val="pt-BR"/>
        </w:rPr>
        <w:t>Estado Parte</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desde</w:t>
      </w:r>
      <w:r w:rsidR="0089298C" w:rsidRPr="002F50BD">
        <w:rPr>
          <w:rFonts w:ascii="Verdana" w:hAnsi="Verdana"/>
          <w:sz w:val="20"/>
          <w:lang w:val="pt-BR"/>
        </w:rPr>
        <w:t xml:space="preserve"> </w:t>
      </w:r>
      <w:r w:rsidRPr="002F50BD">
        <w:rPr>
          <w:rFonts w:ascii="Verdana" w:hAnsi="Verdana"/>
          <w:sz w:val="20"/>
          <w:lang w:val="pt-BR"/>
        </w:rPr>
        <w:t>24</w:t>
      </w:r>
      <w:r w:rsidR="004756C1" w:rsidRPr="002F50BD">
        <w:rPr>
          <w:rFonts w:ascii="Verdana" w:hAnsi="Verdana"/>
          <w:sz w:val="20"/>
          <w:lang w:val="pt-BR"/>
        </w:rPr>
        <w:t xml:space="preserve"> de agosto de </w:t>
      </w:r>
      <w:r w:rsidRPr="002F50BD">
        <w:rPr>
          <w:rFonts w:ascii="Verdana" w:hAnsi="Verdana"/>
          <w:sz w:val="20"/>
          <w:lang w:val="pt-BR"/>
        </w:rPr>
        <w:t>1989</w:t>
      </w:r>
      <w:r w:rsidR="0089298C" w:rsidRPr="002F50BD">
        <w:rPr>
          <w:rFonts w:ascii="Verdana" w:hAnsi="Verdana"/>
          <w:sz w:val="20"/>
          <w:lang w:val="pt-BR"/>
        </w:rPr>
        <w:t xml:space="preserve"> e </w:t>
      </w:r>
      <w:r w:rsidR="004756C1" w:rsidRPr="002F50BD">
        <w:rPr>
          <w:rFonts w:ascii="Verdana" w:hAnsi="Verdana"/>
          <w:sz w:val="20"/>
          <w:lang w:val="pt-BR"/>
        </w:rPr>
        <w:t>re</w:t>
      </w:r>
      <w:r w:rsidR="0089298C" w:rsidRPr="002F50BD">
        <w:rPr>
          <w:rFonts w:ascii="Verdana" w:hAnsi="Verdana"/>
          <w:sz w:val="20"/>
          <w:lang w:val="pt-BR"/>
        </w:rPr>
        <w:t>conheceu a competência</w:t>
      </w:r>
      <w:r w:rsidR="004756C1" w:rsidRPr="002F50BD">
        <w:rPr>
          <w:rFonts w:ascii="Verdana" w:hAnsi="Verdana"/>
          <w:sz w:val="20"/>
          <w:lang w:val="pt-BR"/>
        </w:rPr>
        <w:t xml:space="preserve"> contenciosa</w:t>
      </w:r>
      <w:r w:rsidR="0089298C" w:rsidRPr="002F50BD">
        <w:rPr>
          <w:rFonts w:ascii="Verdana" w:hAnsi="Verdana"/>
          <w:sz w:val="20"/>
          <w:lang w:val="pt-BR"/>
        </w:rPr>
        <w:t xml:space="preserve"> da </w:t>
      </w:r>
      <w:r w:rsidR="004756C1" w:rsidRPr="002F50BD">
        <w:rPr>
          <w:rFonts w:ascii="Verdana" w:hAnsi="Verdana"/>
          <w:sz w:val="20"/>
          <w:lang w:val="pt-BR"/>
        </w:rPr>
        <w:t>Corte</w:t>
      </w:r>
      <w:r w:rsidR="0089298C" w:rsidRPr="002F50BD">
        <w:rPr>
          <w:rFonts w:ascii="Verdana" w:hAnsi="Verdana"/>
          <w:sz w:val="20"/>
          <w:lang w:val="pt-BR"/>
        </w:rPr>
        <w:t xml:space="preserve"> em </w:t>
      </w:r>
      <w:r w:rsidRPr="002F50BD">
        <w:rPr>
          <w:rFonts w:ascii="Verdana" w:hAnsi="Verdana"/>
          <w:sz w:val="20"/>
          <w:lang w:val="pt-BR"/>
        </w:rPr>
        <w:t>26</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1993</w:t>
      </w:r>
      <w:r w:rsidR="004756C1" w:rsidRPr="002F50BD">
        <w:rPr>
          <w:rFonts w:ascii="Verdana" w:hAnsi="Verdana"/>
          <w:sz w:val="20"/>
          <w:lang w:val="pt-BR"/>
        </w:rPr>
        <w:t>.</w:t>
      </w:r>
    </w:p>
    <w:p w:rsidR="004756C1" w:rsidRPr="002F50BD" w:rsidRDefault="004756C1">
      <w:pPr>
        <w:ind w:firstLine="720"/>
        <w:jc w:val="both"/>
        <w:rPr>
          <w:rFonts w:ascii="Verdana" w:hAnsi="Verdana"/>
          <w:sz w:val="20"/>
          <w:lang w:val="pt-BR"/>
        </w:rPr>
      </w:pPr>
    </w:p>
    <w:p w:rsidR="004756C1" w:rsidRPr="002F50BD" w:rsidRDefault="004756C1">
      <w:pPr>
        <w:ind w:firstLine="720"/>
        <w:jc w:val="center"/>
        <w:rPr>
          <w:rFonts w:ascii="Verdana" w:hAnsi="Verdana"/>
          <w:b/>
          <w:smallCaps/>
          <w:sz w:val="20"/>
          <w:lang w:val="pt-BR"/>
        </w:rPr>
      </w:pPr>
      <w:r w:rsidRPr="002F50BD">
        <w:rPr>
          <w:rFonts w:ascii="Verdana" w:hAnsi="Verdana"/>
          <w:b/>
          <w:smallCaps/>
          <w:sz w:val="20"/>
          <w:lang w:val="pt-BR"/>
        </w:rPr>
        <w:t>III</w:t>
      </w:r>
    </w:p>
    <w:p w:rsidR="004756C1" w:rsidRPr="002F50BD" w:rsidRDefault="0089298C">
      <w:pPr>
        <w:pStyle w:val="Heading1"/>
        <w:ind w:firstLine="720"/>
        <w:jc w:val="center"/>
        <w:rPr>
          <w:b/>
          <w:smallCaps/>
          <w:sz w:val="20"/>
          <w:lang w:val="pt-BR"/>
        </w:rPr>
      </w:pPr>
      <w:bookmarkStart w:id="12" w:name="_Toc479141676"/>
      <w:bookmarkStart w:id="13" w:name="_Toc479146181"/>
      <w:bookmarkStart w:id="14" w:name="_Toc479154422"/>
      <w:bookmarkStart w:id="15" w:name="_Toc479154460"/>
      <w:bookmarkStart w:id="16" w:name="_Toc505326896"/>
      <w:bookmarkStart w:id="17" w:name="_Toc506008628"/>
      <w:bookmarkStart w:id="18" w:name="_Toc506286968"/>
      <w:bookmarkStart w:id="19" w:name="_Toc506363177"/>
      <w:bookmarkStart w:id="20" w:name="_Toc506365988"/>
      <w:bookmarkStart w:id="21" w:name="_Toc506382960"/>
      <w:bookmarkStart w:id="22" w:name="_Toc506626584"/>
      <w:bookmarkStart w:id="23" w:name="_Toc506715426"/>
      <w:bookmarkStart w:id="24" w:name="_Toc506821850"/>
      <w:r w:rsidRPr="002F50BD">
        <w:rPr>
          <w:b/>
          <w:smallCaps/>
          <w:sz w:val="20"/>
          <w:lang w:val="pt-BR"/>
        </w:rPr>
        <w:t>Procedimento perante a Comissão</w:t>
      </w:r>
      <w:bookmarkEnd w:id="12"/>
      <w:bookmarkEnd w:id="13"/>
      <w:bookmarkEnd w:id="14"/>
      <w:bookmarkEnd w:id="15"/>
      <w:bookmarkEnd w:id="16"/>
      <w:bookmarkEnd w:id="17"/>
      <w:bookmarkEnd w:id="18"/>
      <w:bookmarkEnd w:id="19"/>
      <w:bookmarkEnd w:id="20"/>
      <w:bookmarkEnd w:id="21"/>
      <w:bookmarkEnd w:id="22"/>
      <w:bookmarkEnd w:id="23"/>
      <w:bookmarkEnd w:id="24"/>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2000</w:t>
      </w:r>
      <w:r w:rsidR="00060B3A"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organiza</w:t>
      </w:r>
      <w:r w:rsidR="0089298C" w:rsidRPr="002F50BD">
        <w:rPr>
          <w:rFonts w:ascii="Verdana" w:hAnsi="Verdana"/>
          <w:sz w:val="20"/>
          <w:lang w:val="pt-BR"/>
        </w:rPr>
        <w:t>ções</w:t>
      </w:r>
      <w:r w:rsidR="004756C1" w:rsidRPr="002F50BD">
        <w:rPr>
          <w:rFonts w:ascii="Verdana" w:hAnsi="Verdana"/>
          <w:sz w:val="20"/>
          <w:lang w:val="pt-BR"/>
        </w:rPr>
        <w:t xml:space="preserve"> n</w:t>
      </w:r>
      <w:r w:rsidR="002D5D95"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governamentais </w:t>
      </w:r>
      <w:r w:rsidR="002D5D95" w:rsidRPr="002F50BD">
        <w:rPr>
          <w:rFonts w:ascii="Verdana" w:hAnsi="Verdana"/>
          <w:i/>
          <w:sz w:val="20"/>
          <w:lang w:val="pt-BR"/>
        </w:rPr>
        <w:t>Tierraviva</w:t>
      </w:r>
      <w:r w:rsidR="0089298C" w:rsidRPr="002F50BD">
        <w:rPr>
          <w:rFonts w:ascii="Verdana" w:hAnsi="Verdana"/>
          <w:i/>
          <w:sz w:val="20"/>
          <w:lang w:val="pt-BR"/>
        </w:rPr>
        <w:t xml:space="preserve"> a</w:t>
      </w:r>
      <w:r w:rsidR="002D5D95" w:rsidRPr="002F50BD">
        <w:rPr>
          <w:rFonts w:ascii="Verdana" w:hAnsi="Verdana"/>
          <w:i/>
          <w:sz w:val="20"/>
          <w:lang w:val="pt-BR"/>
        </w:rPr>
        <w:t xml:space="preserve"> </w:t>
      </w:r>
      <w:r w:rsidR="00605AE7" w:rsidRPr="002F50BD">
        <w:rPr>
          <w:rFonts w:ascii="Verdana" w:hAnsi="Verdana"/>
          <w:i/>
          <w:sz w:val="20"/>
          <w:lang w:val="pt-BR"/>
        </w:rPr>
        <w:t>lo</w:t>
      </w:r>
      <w:r w:rsidR="00AB6727" w:rsidRPr="002F50BD">
        <w:rPr>
          <w:rFonts w:ascii="Verdana" w:hAnsi="Verdana"/>
          <w:i/>
          <w:sz w:val="20"/>
          <w:lang w:val="pt-BR"/>
        </w:rPr>
        <w:t xml:space="preserve">s </w:t>
      </w:r>
      <w:r w:rsidR="0089298C" w:rsidRPr="002F50BD">
        <w:rPr>
          <w:rFonts w:ascii="Verdana" w:hAnsi="Verdana"/>
          <w:i/>
          <w:sz w:val="20"/>
          <w:lang w:val="pt-BR"/>
        </w:rPr>
        <w:t>P</w:t>
      </w:r>
      <w:r w:rsidR="002D5D95" w:rsidRPr="002F50BD">
        <w:rPr>
          <w:rFonts w:ascii="Verdana" w:hAnsi="Verdana"/>
          <w:i/>
          <w:sz w:val="20"/>
          <w:lang w:val="pt-BR"/>
        </w:rPr>
        <w:t>ueb</w:t>
      </w:r>
      <w:r w:rsidR="00060B3A" w:rsidRPr="002F50BD">
        <w:rPr>
          <w:rFonts w:ascii="Verdana" w:hAnsi="Verdana"/>
          <w:i/>
          <w:sz w:val="20"/>
          <w:lang w:val="pt-BR"/>
        </w:rPr>
        <w:t>lo</w:t>
      </w:r>
      <w:r w:rsidR="00AB6727" w:rsidRPr="002F50BD">
        <w:rPr>
          <w:rFonts w:ascii="Verdana" w:hAnsi="Verdana"/>
          <w:i/>
          <w:sz w:val="20"/>
          <w:lang w:val="pt-BR"/>
        </w:rPr>
        <w:t xml:space="preserve">s </w:t>
      </w:r>
      <w:r w:rsidR="004756C1" w:rsidRPr="002F50BD">
        <w:rPr>
          <w:rFonts w:ascii="Verdana" w:hAnsi="Verdana"/>
          <w:i/>
          <w:sz w:val="20"/>
          <w:lang w:val="pt-BR"/>
        </w:rPr>
        <w:t xml:space="preserve">Indígenas </w:t>
      </w:r>
      <w:r w:rsidR="0089298C" w:rsidRPr="002F50BD">
        <w:rPr>
          <w:rFonts w:ascii="Verdana" w:hAnsi="Verdana"/>
          <w:i/>
          <w:sz w:val="20"/>
          <w:lang w:val="pt-BR"/>
        </w:rPr>
        <w:t>d</w:t>
      </w:r>
      <w:r w:rsidR="002D5D95" w:rsidRPr="002F50BD">
        <w:rPr>
          <w:rFonts w:ascii="Verdana" w:hAnsi="Verdana"/>
          <w:i/>
          <w:sz w:val="20"/>
          <w:lang w:val="pt-BR"/>
        </w:rPr>
        <w:t>el</w:t>
      </w:r>
      <w:r w:rsidR="0089298C" w:rsidRPr="002F50BD">
        <w:rPr>
          <w:rFonts w:ascii="Verdana" w:hAnsi="Verdana"/>
          <w:i/>
          <w:sz w:val="20"/>
          <w:lang w:val="pt-BR"/>
        </w:rPr>
        <w:t xml:space="preserve"> </w:t>
      </w:r>
      <w:r w:rsidR="004756C1" w:rsidRPr="002F50BD">
        <w:rPr>
          <w:rFonts w:ascii="Verdana" w:hAnsi="Verdana"/>
          <w:i/>
          <w:sz w:val="20"/>
          <w:lang w:val="pt-BR"/>
        </w:rPr>
        <w:t xml:space="preserve">Chaco </w:t>
      </w:r>
      <w:r w:rsidR="002D5D95" w:rsidRPr="002F50BD">
        <w:rPr>
          <w:rFonts w:ascii="Verdana" w:hAnsi="Verdana"/>
          <w:i/>
          <w:sz w:val="20"/>
          <w:lang w:val="pt-BR"/>
        </w:rPr>
        <w:t>p</w:t>
      </w:r>
      <w:r w:rsidR="0089298C" w:rsidRPr="002F50BD">
        <w:rPr>
          <w:rFonts w:ascii="Verdana" w:hAnsi="Verdana"/>
          <w:i/>
          <w:sz w:val="20"/>
          <w:lang w:val="pt-BR"/>
        </w:rPr>
        <w:t>aragua</w:t>
      </w:r>
      <w:r w:rsidR="002D5D95" w:rsidRPr="002F50BD">
        <w:rPr>
          <w:rFonts w:ascii="Verdana" w:hAnsi="Verdana"/>
          <w:i/>
          <w:sz w:val="20"/>
          <w:lang w:val="pt-BR"/>
        </w:rPr>
        <w:t>y</w:t>
      </w:r>
      <w:r w:rsidR="004756C1" w:rsidRPr="002F50BD">
        <w:rPr>
          <w:rFonts w:ascii="Verdana" w:hAnsi="Verdana"/>
          <w:i/>
          <w:sz w:val="20"/>
          <w:lang w:val="pt-BR"/>
        </w:rPr>
        <w:t>o</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D5D95" w:rsidRPr="002F50BD">
        <w:rPr>
          <w:rFonts w:ascii="Verdana" w:hAnsi="Verdana"/>
          <w:sz w:val="20"/>
          <w:lang w:val="pt-BR"/>
        </w:rPr>
        <w:t xml:space="preserve">denominada </w:t>
      </w:r>
      <w:r w:rsidR="004756C1" w:rsidRPr="002F50BD">
        <w:rPr>
          <w:rFonts w:ascii="Verdana" w:hAnsi="Verdana"/>
          <w:sz w:val="20"/>
          <w:lang w:val="pt-BR"/>
        </w:rPr>
        <w:t>“</w:t>
      </w:r>
      <w:r w:rsidR="002D5D95" w:rsidRPr="002F50BD">
        <w:rPr>
          <w:rFonts w:ascii="Verdana" w:hAnsi="Verdana"/>
          <w:sz w:val="20"/>
          <w:lang w:val="pt-BR"/>
        </w:rPr>
        <w:t>Tierraviva</w:t>
      </w:r>
      <w:r w:rsidR="004756C1" w:rsidRPr="002F50BD">
        <w:rPr>
          <w:rFonts w:ascii="Verdana" w:hAnsi="Verdana"/>
          <w:sz w:val="20"/>
          <w:lang w:val="pt-BR"/>
        </w:rPr>
        <w:t>”</w:t>
      </w:r>
      <w:r w:rsidR="00CF451D" w:rsidRPr="00CF451D">
        <w:rPr>
          <w:rFonts w:ascii="Verdana" w:hAnsi="Verdana"/>
          <w:sz w:val="20"/>
          <w:lang w:val="pt-BR"/>
        </w:rPr>
        <w:t>)</w:t>
      </w:r>
      <w:r w:rsidR="0089298C" w:rsidRPr="002F50BD">
        <w:rPr>
          <w:rFonts w:ascii="Verdana" w:hAnsi="Verdana"/>
          <w:sz w:val="20"/>
          <w:lang w:val="pt-BR"/>
        </w:rPr>
        <w:t xml:space="preserve"> e o </w:t>
      </w:r>
      <w:r w:rsidR="004756C1" w:rsidRPr="002F50BD">
        <w:rPr>
          <w:rFonts w:ascii="Verdana" w:hAnsi="Verdana"/>
          <w:sz w:val="20"/>
          <w:lang w:val="pt-BR"/>
        </w:rPr>
        <w:t>Centro</w:t>
      </w:r>
      <w:r w:rsidR="00B94555" w:rsidRPr="002F50BD">
        <w:rPr>
          <w:rFonts w:ascii="Verdana" w:hAnsi="Verdana"/>
          <w:sz w:val="20"/>
          <w:lang w:val="pt-BR"/>
        </w:rPr>
        <w:t xml:space="preserve"> pela Justiça e</w:t>
      </w:r>
      <w:r w:rsidR="0089298C" w:rsidRPr="002F50BD">
        <w:rPr>
          <w:rFonts w:ascii="Verdana" w:hAnsi="Verdana"/>
          <w:sz w:val="20"/>
          <w:lang w:val="pt-BR"/>
        </w:rPr>
        <w:t xml:space="preserve"> o </w:t>
      </w:r>
      <w:r w:rsidR="00CF451D">
        <w:rPr>
          <w:rFonts w:ascii="Verdana" w:hAnsi="Verdana"/>
          <w:sz w:val="20"/>
          <w:lang w:val="pt-BR"/>
        </w:rPr>
        <w:t>Direito Internacional</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D5D95" w:rsidRPr="002F50BD">
        <w:rPr>
          <w:rFonts w:ascii="Verdana" w:hAnsi="Verdana"/>
          <w:sz w:val="20"/>
          <w:lang w:val="pt-BR"/>
        </w:rPr>
        <w:t xml:space="preserve">denominado </w:t>
      </w:r>
      <w:r w:rsidR="004756C1" w:rsidRPr="002F50BD">
        <w:rPr>
          <w:rFonts w:ascii="Verdana" w:hAnsi="Verdana"/>
          <w:sz w:val="20"/>
          <w:lang w:val="pt-BR"/>
        </w:rPr>
        <w:t>“CEJIL”</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apresentaram </w:t>
      </w:r>
      <w:r w:rsidR="002D5D95" w:rsidRPr="002F50BD">
        <w:rPr>
          <w:rFonts w:ascii="Verdana" w:hAnsi="Verdana"/>
          <w:sz w:val="20"/>
          <w:lang w:val="pt-BR"/>
        </w:rPr>
        <w:t>à</w:t>
      </w:r>
      <w:r w:rsidR="0089298C" w:rsidRPr="002F50BD">
        <w:rPr>
          <w:rFonts w:ascii="Verdana" w:hAnsi="Verdana"/>
          <w:sz w:val="20"/>
          <w:lang w:val="pt-BR"/>
        </w:rPr>
        <w:t xml:space="preserve"> Comissão</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uma denúncia pela </w:t>
      </w:r>
      <w:r w:rsidR="004756C1" w:rsidRPr="002F50BD">
        <w:rPr>
          <w:rFonts w:ascii="Verdana" w:hAnsi="Verdana"/>
          <w:sz w:val="20"/>
          <w:lang w:val="pt-BR"/>
        </w:rPr>
        <w:t>su</w:t>
      </w:r>
      <w:r w:rsidR="0089298C" w:rsidRPr="002F50BD">
        <w:rPr>
          <w:rFonts w:ascii="Verdana" w:hAnsi="Verdana"/>
          <w:sz w:val="20"/>
          <w:lang w:val="pt-BR"/>
        </w:rPr>
        <w:t>posta</w:t>
      </w:r>
      <w:r w:rsidR="004756C1" w:rsidRPr="002F50BD">
        <w:rPr>
          <w:rFonts w:ascii="Verdana" w:hAnsi="Verdana"/>
          <w:sz w:val="20"/>
          <w:lang w:val="pt-BR"/>
        </w:rPr>
        <w:t xml:space="preserve"> viola</w:t>
      </w:r>
      <w:r w:rsidR="0089298C" w:rsidRPr="002F50BD">
        <w:rPr>
          <w:rFonts w:ascii="Verdana" w:hAnsi="Verdana"/>
          <w:sz w:val="20"/>
          <w:lang w:val="pt-BR"/>
        </w:rPr>
        <w:t>ção</w:t>
      </w:r>
      <w:r w:rsidR="004756C1" w:rsidRPr="002F50BD">
        <w:rPr>
          <w:rFonts w:ascii="Verdana" w:hAnsi="Verdana"/>
          <w:sz w:val="20"/>
          <w:lang w:val="pt-BR"/>
        </w:rPr>
        <w:t xml:space="preserve"> por parte </w:t>
      </w:r>
      <w:r w:rsidR="0089298C" w:rsidRPr="002F50BD">
        <w:rPr>
          <w:rFonts w:ascii="Verdana" w:hAnsi="Verdana"/>
          <w:sz w:val="20"/>
          <w:lang w:val="pt-BR"/>
        </w:rPr>
        <w:t>do Paraguai</w:t>
      </w:r>
      <w:r w:rsidR="004756C1" w:rsidRPr="002F50BD">
        <w:rPr>
          <w:rFonts w:ascii="Verdana" w:hAnsi="Verdana"/>
          <w:sz w:val="20"/>
          <w:lang w:val="pt-BR"/>
        </w:rPr>
        <w:t xml:space="preserve"> </w:t>
      </w:r>
      <w:r w:rsidR="0089298C" w:rsidRPr="002F50BD">
        <w:rPr>
          <w:rFonts w:ascii="Verdana" w:hAnsi="Verdana"/>
          <w:sz w:val="20"/>
          <w:lang w:val="pt-BR"/>
        </w:rPr>
        <w:t>do direito</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2D5D95" w:rsidRPr="002F50BD">
        <w:rPr>
          <w:rFonts w:ascii="Verdana" w:hAnsi="Verdana"/>
          <w:sz w:val="20"/>
          <w:lang w:val="pt-BR"/>
        </w:rPr>
        <w:t>à</w:t>
      </w:r>
      <w:r w:rsidR="0089298C" w:rsidRPr="002F50BD">
        <w:rPr>
          <w:rFonts w:ascii="Verdana" w:hAnsi="Verdana"/>
          <w:sz w:val="20"/>
          <w:lang w:val="pt-BR"/>
        </w:rPr>
        <w:t>s obrigações</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as</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e </w:t>
      </w:r>
      <w:r w:rsidRPr="002F50BD">
        <w:rPr>
          <w:rFonts w:ascii="Verdana" w:hAnsi="Verdana"/>
          <w:sz w:val="20"/>
          <w:lang w:val="pt-BR"/>
        </w:rPr>
        <w:t>2</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2D5D95" w:rsidRPr="002F50BD">
        <w:rPr>
          <w:rFonts w:ascii="Verdana" w:hAnsi="Verdana"/>
          <w:sz w:val="20"/>
          <w:lang w:val="pt-BR"/>
        </w:rPr>
        <w:t xml:space="preserve">detrimento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FE08B7">
        <w:rPr>
          <w:rFonts w:ascii="Verdana" w:hAnsi="Verdana"/>
          <w:sz w:val="20"/>
          <w:lang w:val="pt-BR"/>
        </w:rPr>
        <w:t xml:space="preserve">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6</w:t>
      </w:r>
      <w:r w:rsidR="004756C1" w:rsidRPr="002F50BD">
        <w:rPr>
          <w:rFonts w:ascii="Verdana" w:hAnsi="Verdana"/>
          <w:sz w:val="20"/>
          <w:lang w:val="pt-BR"/>
        </w:rPr>
        <w:t>.</w:t>
      </w:r>
      <w:r w:rsidR="004756C1" w:rsidRPr="002F50BD">
        <w:rPr>
          <w:rFonts w:ascii="Verdana" w:hAnsi="Verdana"/>
          <w:sz w:val="20"/>
          <w:lang w:val="pt-BR"/>
        </w:rPr>
        <w:tab/>
      </w:r>
      <w:r w:rsidR="002D5D95" w:rsidRPr="002F50BD">
        <w:rPr>
          <w:rFonts w:ascii="Verdana" w:hAnsi="Verdana"/>
          <w:sz w:val="20"/>
          <w:lang w:val="pt-BR"/>
        </w:rPr>
        <w:t>Em</w:t>
      </w:r>
      <w:r w:rsidR="00FB33DD" w:rsidRPr="002F50BD">
        <w:rPr>
          <w:rFonts w:ascii="Verdana" w:hAnsi="Verdana"/>
          <w:sz w:val="20"/>
          <w:lang w:val="pt-BR"/>
        </w:rPr>
        <w:t xml:space="preserve"> </w:t>
      </w:r>
      <w:r w:rsidRPr="002F50BD">
        <w:rPr>
          <w:rFonts w:ascii="Verdana" w:hAnsi="Verdana"/>
          <w:sz w:val="20"/>
          <w:lang w:val="pt-BR"/>
        </w:rPr>
        <w:t>27</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2002</w:t>
      </w:r>
      <w:r w:rsidR="004756C1" w:rsidRPr="002F50BD">
        <w:rPr>
          <w:rFonts w:ascii="Verdana" w:hAnsi="Verdana"/>
          <w:sz w:val="20"/>
          <w:lang w:val="pt-BR"/>
        </w:rPr>
        <w:t>, durante s</w:t>
      </w:r>
      <w:r w:rsidR="002D5D95" w:rsidRPr="002F50BD">
        <w:rPr>
          <w:rFonts w:ascii="Verdana" w:hAnsi="Verdana"/>
          <w:sz w:val="20"/>
          <w:lang w:val="pt-BR"/>
        </w:rPr>
        <w:t>e</w:t>
      </w:r>
      <w:r w:rsidR="004756C1" w:rsidRPr="002F50BD">
        <w:rPr>
          <w:rFonts w:ascii="Verdana" w:hAnsi="Verdana"/>
          <w:sz w:val="20"/>
          <w:lang w:val="pt-BR"/>
        </w:rPr>
        <w:t xml:space="preserve">u </w:t>
      </w:r>
      <w:r w:rsidRPr="002F50BD">
        <w:rPr>
          <w:rFonts w:ascii="Verdana" w:hAnsi="Verdana"/>
          <w:sz w:val="20"/>
          <w:lang w:val="pt-BR"/>
        </w:rPr>
        <w:t>114</w:t>
      </w:r>
      <w:r w:rsidR="004756C1" w:rsidRPr="002F50BD">
        <w:rPr>
          <w:rFonts w:ascii="Verdana" w:hAnsi="Verdana"/>
          <w:sz w:val="20"/>
          <w:lang w:val="pt-BR"/>
        </w:rPr>
        <w:t xml:space="preserve">° Período </w:t>
      </w:r>
      <w:r w:rsidR="0089298C" w:rsidRPr="002F50BD">
        <w:rPr>
          <w:rFonts w:ascii="Verdana" w:hAnsi="Verdana"/>
          <w:sz w:val="20"/>
          <w:lang w:val="pt-BR"/>
        </w:rPr>
        <w:t>Ordinári</w:t>
      </w:r>
      <w:r w:rsidR="004756C1" w:rsidRPr="002F50BD">
        <w:rPr>
          <w:rFonts w:ascii="Verdana" w:hAnsi="Verdana"/>
          <w:sz w:val="20"/>
          <w:lang w:val="pt-BR"/>
        </w:rPr>
        <w:t xml:space="preserve">o de </w:t>
      </w:r>
      <w:r w:rsidR="0089298C" w:rsidRPr="002F50BD">
        <w:rPr>
          <w:rFonts w:ascii="Verdana" w:hAnsi="Verdana"/>
          <w:sz w:val="20"/>
          <w:lang w:val="pt-BR"/>
        </w:rPr>
        <w:t>Sessões</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aprovou o Relatório de Admissibilidade</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2</w:t>
      </w:r>
      <w:r w:rsidR="004756C1" w:rsidRPr="002F50BD">
        <w:rPr>
          <w:rFonts w:ascii="Verdana" w:hAnsi="Verdana"/>
          <w:sz w:val="20"/>
          <w:lang w:val="pt-BR"/>
        </w:rPr>
        <w:t>/</w:t>
      </w:r>
      <w:r w:rsidRPr="002F50BD">
        <w:rPr>
          <w:rFonts w:ascii="Verdana" w:hAnsi="Verdana"/>
          <w:sz w:val="20"/>
          <w:lang w:val="pt-BR"/>
        </w:rPr>
        <w:t>02</w:t>
      </w:r>
      <w:r w:rsidR="004756C1" w:rsidRPr="002F50BD">
        <w:rPr>
          <w:rFonts w:ascii="Verdana" w:hAnsi="Verdana"/>
          <w:sz w:val="20"/>
          <w:lang w:val="pt-BR"/>
        </w:rPr>
        <w:t xml:space="preserve">, </w:t>
      </w:r>
      <w:r w:rsidR="00060B3A" w:rsidRPr="002F50BD">
        <w:rPr>
          <w:rFonts w:ascii="Verdana" w:hAnsi="Verdana"/>
          <w:sz w:val="20"/>
          <w:lang w:val="pt-BR"/>
        </w:rPr>
        <w:t>por meio d</w:t>
      </w:r>
      <w:r w:rsidR="0089298C" w:rsidRPr="002F50BD">
        <w:rPr>
          <w:rFonts w:ascii="Verdana" w:hAnsi="Verdana"/>
          <w:sz w:val="20"/>
          <w:lang w:val="pt-BR"/>
        </w:rPr>
        <w:t>o qual declarou</w:t>
      </w:r>
      <w:r w:rsidR="004756C1" w:rsidRPr="002F50BD">
        <w:rPr>
          <w:rFonts w:ascii="Verdana" w:hAnsi="Verdana"/>
          <w:sz w:val="20"/>
          <w:lang w:val="pt-BR"/>
        </w:rPr>
        <w:t xml:space="preserve"> </w:t>
      </w:r>
      <w:r w:rsidR="0089298C" w:rsidRPr="002F50BD">
        <w:rPr>
          <w:rFonts w:ascii="Verdana" w:hAnsi="Verdana"/>
          <w:sz w:val="20"/>
          <w:lang w:val="pt-BR"/>
        </w:rPr>
        <w:t xml:space="preserve">admissível o </w:t>
      </w:r>
      <w:r w:rsidR="004756C1" w:rsidRPr="002F50BD">
        <w:rPr>
          <w:rFonts w:ascii="Verdana" w:hAnsi="Verdana"/>
          <w:sz w:val="20"/>
          <w:lang w:val="pt-BR"/>
        </w:rPr>
        <w:t>caso</w:t>
      </w:r>
      <w:r w:rsidR="0089298C" w:rsidRPr="002F50BD">
        <w:rPr>
          <w:rFonts w:ascii="Verdana" w:hAnsi="Verdana"/>
          <w:sz w:val="20"/>
          <w:lang w:val="pt-BR"/>
        </w:rPr>
        <w:t xml:space="preserve"> e</w:t>
      </w:r>
      <w:r w:rsidR="004756C1" w:rsidRPr="002F50BD">
        <w:rPr>
          <w:rFonts w:ascii="Verdana" w:hAnsi="Verdana"/>
          <w:sz w:val="20"/>
          <w:lang w:val="pt-BR"/>
        </w:rPr>
        <w:t xml:space="preserve"> se </w:t>
      </w:r>
      <w:r w:rsidR="00060B3A" w:rsidRPr="002F50BD">
        <w:rPr>
          <w:rFonts w:ascii="Verdana" w:hAnsi="Verdana"/>
          <w:sz w:val="20"/>
          <w:lang w:val="pt-BR"/>
        </w:rPr>
        <w:t>colocou</w:t>
      </w:r>
      <w:r w:rsidR="004756C1" w:rsidRPr="002F50BD">
        <w:rPr>
          <w:rFonts w:ascii="Verdana" w:hAnsi="Verdana"/>
          <w:sz w:val="20"/>
          <w:lang w:val="pt-BR"/>
        </w:rPr>
        <w:t xml:space="preserve"> </w:t>
      </w:r>
      <w:r w:rsidR="002D5D95" w:rsidRPr="002F50BD">
        <w:rPr>
          <w:rFonts w:ascii="Verdana" w:hAnsi="Verdana"/>
          <w:sz w:val="20"/>
          <w:lang w:val="pt-BR"/>
        </w:rPr>
        <w:t>à</w:t>
      </w:r>
      <w:r w:rsidR="004756C1" w:rsidRPr="002F50BD">
        <w:rPr>
          <w:rFonts w:ascii="Verdana" w:hAnsi="Verdana"/>
          <w:sz w:val="20"/>
          <w:lang w:val="pt-BR"/>
        </w:rPr>
        <w:t xml:space="preserve"> disposi</w:t>
      </w:r>
      <w:r w:rsidR="0089298C" w:rsidRPr="002F50BD">
        <w:rPr>
          <w:rFonts w:ascii="Verdana" w:hAnsi="Verdana"/>
          <w:sz w:val="20"/>
          <w:lang w:val="pt-BR"/>
        </w:rPr>
        <w:t xml:space="preserve">ção das </w:t>
      </w:r>
      <w:r w:rsidR="004756C1" w:rsidRPr="002F50BD">
        <w:rPr>
          <w:rFonts w:ascii="Verdana" w:hAnsi="Verdana"/>
          <w:sz w:val="20"/>
          <w:lang w:val="pt-BR"/>
        </w:rPr>
        <w:t>partes</w:t>
      </w:r>
      <w:r w:rsidR="0089298C" w:rsidRPr="002F50BD">
        <w:rPr>
          <w:rFonts w:ascii="Verdana" w:hAnsi="Verdana"/>
          <w:sz w:val="20"/>
          <w:lang w:val="pt-BR"/>
        </w:rPr>
        <w:t xml:space="preserve"> com o </w:t>
      </w:r>
      <w:r w:rsidR="004756C1" w:rsidRPr="002F50BD">
        <w:rPr>
          <w:rFonts w:ascii="Verdana" w:hAnsi="Verdana"/>
          <w:sz w:val="20"/>
          <w:lang w:val="pt-BR"/>
        </w:rPr>
        <w:t>objet</w:t>
      </w:r>
      <w:r w:rsidR="002D5D95" w:rsidRPr="002F50BD">
        <w:rPr>
          <w:rFonts w:ascii="Verdana" w:hAnsi="Verdana"/>
          <w:sz w:val="20"/>
          <w:lang w:val="pt-BR"/>
        </w:rPr>
        <w:t>iv</w:t>
      </w:r>
      <w:r w:rsidR="004756C1" w:rsidRPr="002F50BD">
        <w:rPr>
          <w:rFonts w:ascii="Verdana" w:hAnsi="Verdana"/>
          <w:sz w:val="20"/>
          <w:lang w:val="pt-BR"/>
        </w:rPr>
        <w:t xml:space="preserve">o de </w:t>
      </w:r>
      <w:r w:rsidR="0089298C" w:rsidRPr="002F50BD">
        <w:rPr>
          <w:rFonts w:ascii="Verdana" w:hAnsi="Verdana"/>
          <w:sz w:val="20"/>
          <w:lang w:val="pt-BR"/>
        </w:rPr>
        <w:t>alcança</w:t>
      </w:r>
      <w:r w:rsidR="004756C1" w:rsidRPr="002F50BD">
        <w:rPr>
          <w:rFonts w:ascii="Verdana" w:hAnsi="Verdana"/>
          <w:sz w:val="20"/>
          <w:lang w:val="pt-BR"/>
        </w:rPr>
        <w:t>r</w:t>
      </w:r>
      <w:r w:rsidR="0089298C" w:rsidRPr="002F50BD">
        <w:rPr>
          <w:rFonts w:ascii="Verdana" w:hAnsi="Verdana"/>
          <w:sz w:val="20"/>
          <w:lang w:val="pt-BR"/>
        </w:rPr>
        <w:t xml:space="preserve"> uma </w:t>
      </w:r>
      <w:r w:rsidR="004756C1" w:rsidRPr="002F50BD">
        <w:rPr>
          <w:rFonts w:ascii="Verdana" w:hAnsi="Verdana"/>
          <w:sz w:val="20"/>
          <w:lang w:val="pt-BR"/>
        </w:rPr>
        <w:t>solu</w:t>
      </w:r>
      <w:r w:rsidR="0089298C" w:rsidRPr="002F50BD">
        <w:rPr>
          <w:rFonts w:ascii="Verdana" w:hAnsi="Verdana"/>
          <w:sz w:val="20"/>
          <w:lang w:val="pt-BR"/>
        </w:rPr>
        <w:t>ção</w:t>
      </w:r>
      <w:r w:rsidR="004756C1" w:rsidRPr="002F50BD">
        <w:rPr>
          <w:rFonts w:ascii="Verdana" w:hAnsi="Verdana"/>
          <w:sz w:val="20"/>
          <w:lang w:val="pt-BR"/>
        </w:rPr>
        <w:t xml:space="preserve"> amistosa.</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24</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2002</w:t>
      </w:r>
      <w:r w:rsidR="004756C1" w:rsidRPr="002F50BD">
        <w:rPr>
          <w:rFonts w:ascii="Verdana" w:hAnsi="Verdana"/>
          <w:sz w:val="20"/>
          <w:lang w:val="pt-BR"/>
        </w:rPr>
        <w:t>, durante s</w:t>
      </w:r>
      <w:r w:rsidR="002D5D95" w:rsidRPr="002F50BD">
        <w:rPr>
          <w:rFonts w:ascii="Verdana" w:hAnsi="Verdana"/>
          <w:sz w:val="20"/>
          <w:lang w:val="pt-BR"/>
        </w:rPr>
        <w:t>e</w:t>
      </w:r>
      <w:r w:rsidR="004756C1" w:rsidRPr="002F50BD">
        <w:rPr>
          <w:rFonts w:ascii="Verdana" w:hAnsi="Verdana"/>
          <w:sz w:val="20"/>
          <w:lang w:val="pt-BR"/>
        </w:rPr>
        <w:t xml:space="preserve">u </w:t>
      </w:r>
      <w:r w:rsidRPr="002F50BD">
        <w:rPr>
          <w:rFonts w:ascii="Verdana" w:hAnsi="Verdana"/>
          <w:sz w:val="20"/>
          <w:lang w:val="pt-BR"/>
        </w:rPr>
        <w:t>116</w:t>
      </w:r>
      <w:r w:rsidR="004756C1" w:rsidRPr="002F50BD">
        <w:rPr>
          <w:rFonts w:ascii="Verdana" w:hAnsi="Verdana"/>
          <w:sz w:val="20"/>
          <w:lang w:val="pt-BR"/>
        </w:rPr>
        <w:t xml:space="preserve">° Período </w:t>
      </w:r>
      <w:r w:rsidR="0089298C" w:rsidRPr="002F50BD">
        <w:rPr>
          <w:rFonts w:ascii="Verdana" w:hAnsi="Verdana"/>
          <w:sz w:val="20"/>
          <w:lang w:val="pt-BR"/>
        </w:rPr>
        <w:t>Ordinári</w:t>
      </w:r>
      <w:r w:rsidR="004756C1" w:rsidRPr="002F50BD">
        <w:rPr>
          <w:rFonts w:ascii="Verdana" w:hAnsi="Verdana"/>
          <w:sz w:val="20"/>
          <w:lang w:val="pt-BR"/>
        </w:rPr>
        <w:t xml:space="preserve">o de </w:t>
      </w:r>
      <w:r w:rsidR="0089298C" w:rsidRPr="002F50BD">
        <w:rPr>
          <w:rFonts w:ascii="Verdana" w:hAnsi="Verdana"/>
          <w:sz w:val="20"/>
          <w:lang w:val="pt-BR"/>
        </w:rPr>
        <w:t>Sessões</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2D5D95" w:rsidRPr="002F50BD">
        <w:rPr>
          <w:rFonts w:ascii="Verdana" w:hAnsi="Verdana"/>
          <w:sz w:val="20"/>
          <w:lang w:val="pt-BR"/>
        </w:rPr>
        <w:t xml:space="preserve">depois de </w:t>
      </w:r>
      <w:r w:rsidR="0089298C" w:rsidRPr="002F50BD">
        <w:rPr>
          <w:rFonts w:ascii="Verdana" w:hAnsi="Verdana"/>
          <w:sz w:val="20"/>
          <w:lang w:val="pt-BR"/>
        </w:rPr>
        <w:t xml:space="preserve">analisar a </w:t>
      </w:r>
      <w:r w:rsidR="004756C1" w:rsidRPr="002F50BD">
        <w:rPr>
          <w:rFonts w:ascii="Verdana" w:hAnsi="Verdana"/>
          <w:sz w:val="20"/>
          <w:lang w:val="pt-BR"/>
        </w:rPr>
        <w:t>posi</w:t>
      </w:r>
      <w:r w:rsidR="0089298C" w:rsidRPr="002F50BD">
        <w:rPr>
          <w:rFonts w:ascii="Verdana" w:hAnsi="Verdana"/>
          <w:sz w:val="20"/>
          <w:lang w:val="pt-BR"/>
        </w:rPr>
        <w:t xml:space="preserve">ção das </w:t>
      </w:r>
      <w:r w:rsidR="004756C1" w:rsidRPr="002F50BD">
        <w:rPr>
          <w:rFonts w:ascii="Verdana" w:hAnsi="Verdana"/>
          <w:sz w:val="20"/>
          <w:lang w:val="pt-BR"/>
        </w:rPr>
        <w:t>partes</w:t>
      </w:r>
      <w:r w:rsidR="0089298C" w:rsidRPr="002F50BD">
        <w:rPr>
          <w:rFonts w:ascii="Verdana" w:hAnsi="Verdana"/>
          <w:sz w:val="20"/>
          <w:lang w:val="pt-BR"/>
        </w:rPr>
        <w:t xml:space="preserve"> e </w:t>
      </w:r>
      <w:r w:rsidR="002D5D95" w:rsidRPr="002F50BD">
        <w:rPr>
          <w:rFonts w:ascii="Verdana" w:hAnsi="Verdana"/>
          <w:sz w:val="20"/>
          <w:lang w:val="pt-BR"/>
        </w:rPr>
        <w:t>considerando concluí</w:t>
      </w:r>
      <w:r w:rsidR="004756C1" w:rsidRPr="002F50BD">
        <w:rPr>
          <w:rFonts w:ascii="Verdana" w:hAnsi="Verdana"/>
          <w:sz w:val="20"/>
          <w:lang w:val="pt-BR"/>
        </w:rPr>
        <w:t>da</w:t>
      </w:r>
      <w:r w:rsidR="0089298C" w:rsidRPr="002F50BD">
        <w:rPr>
          <w:rFonts w:ascii="Verdana" w:hAnsi="Verdana"/>
          <w:sz w:val="20"/>
          <w:lang w:val="pt-BR"/>
        </w:rPr>
        <w:t xml:space="preserve"> a </w:t>
      </w:r>
      <w:r w:rsidR="004756C1" w:rsidRPr="002F50BD">
        <w:rPr>
          <w:rFonts w:ascii="Verdana" w:hAnsi="Verdana"/>
          <w:sz w:val="20"/>
          <w:lang w:val="pt-BR"/>
        </w:rPr>
        <w:t>etapa de solu</w:t>
      </w:r>
      <w:r w:rsidR="0089298C" w:rsidRPr="002F50BD">
        <w:rPr>
          <w:rFonts w:ascii="Verdana" w:hAnsi="Verdana"/>
          <w:sz w:val="20"/>
          <w:lang w:val="pt-BR"/>
        </w:rPr>
        <w:t>ção</w:t>
      </w:r>
      <w:r w:rsidR="004756C1" w:rsidRPr="002F50BD">
        <w:rPr>
          <w:rFonts w:ascii="Verdana" w:hAnsi="Verdana"/>
          <w:sz w:val="20"/>
          <w:lang w:val="pt-BR"/>
        </w:rPr>
        <w:t xml:space="preserve"> amistosa, </w:t>
      </w:r>
      <w:r w:rsidR="0089298C" w:rsidRPr="002F50BD">
        <w:rPr>
          <w:rFonts w:ascii="Verdana" w:hAnsi="Verdana"/>
          <w:sz w:val="20"/>
          <w:lang w:val="pt-BR"/>
        </w:rPr>
        <w:t>aprovou o Relatório de Mérito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67</w:t>
      </w:r>
      <w:r w:rsidR="004756C1" w:rsidRPr="002F50BD">
        <w:rPr>
          <w:rFonts w:ascii="Verdana" w:hAnsi="Verdana"/>
          <w:sz w:val="20"/>
          <w:lang w:val="pt-BR"/>
        </w:rPr>
        <w:t>/</w:t>
      </w:r>
      <w:r w:rsidRPr="002F50BD">
        <w:rPr>
          <w:rFonts w:ascii="Verdana" w:hAnsi="Verdana"/>
          <w:sz w:val="20"/>
          <w:lang w:val="pt-BR"/>
        </w:rPr>
        <w:t>02</w:t>
      </w:r>
      <w:r w:rsidR="004756C1" w:rsidRPr="002F50BD">
        <w:rPr>
          <w:rFonts w:ascii="Verdana" w:hAnsi="Verdana"/>
          <w:sz w:val="20"/>
          <w:lang w:val="pt-BR"/>
        </w:rPr>
        <w:t>, conforme</w:t>
      </w:r>
      <w:r w:rsidR="0089298C" w:rsidRPr="002F50BD">
        <w:rPr>
          <w:rFonts w:ascii="Verdana" w:hAnsi="Verdana"/>
          <w:sz w:val="20"/>
          <w:lang w:val="pt-BR"/>
        </w:rPr>
        <w:t xml:space="preserve"> o dispost</w:t>
      </w:r>
      <w:r w:rsidR="004756C1" w:rsidRPr="002F50BD">
        <w:rPr>
          <w:rFonts w:ascii="Verdana" w:hAnsi="Verdana"/>
          <w:sz w:val="20"/>
          <w:lang w:val="pt-BR"/>
        </w:rPr>
        <w:t>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50</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w:t>
      </w:r>
      <w:r w:rsidR="002D5D95" w:rsidRPr="002F50BD">
        <w:rPr>
          <w:rFonts w:ascii="Verdana" w:hAnsi="Verdana"/>
          <w:sz w:val="20"/>
          <w:lang w:val="pt-BR"/>
        </w:rPr>
        <w:t>N</w:t>
      </w:r>
      <w:r w:rsidR="0089298C" w:rsidRPr="002F50BD">
        <w:rPr>
          <w:rFonts w:ascii="Verdana" w:hAnsi="Verdana"/>
          <w:sz w:val="20"/>
          <w:lang w:val="pt-BR"/>
        </w:rPr>
        <w:t>este relatório</w:t>
      </w:r>
      <w:r w:rsidR="00C1503E"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recomend</w:t>
      </w:r>
      <w:r w:rsidR="002D5D95" w:rsidRPr="002F50BD">
        <w:rPr>
          <w:rFonts w:ascii="Verdana" w:hAnsi="Verdana"/>
          <w:sz w:val="20"/>
          <w:lang w:val="pt-BR"/>
        </w:rPr>
        <w:t>ou</w:t>
      </w:r>
      <w:r w:rsidR="0089298C" w:rsidRPr="002F50BD">
        <w:rPr>
          <w:rFonts w:ascii="Verdana" w:hAnsi="Verdana"/>
          <w:sz w:val="20"/>
          <w:lang w:val="pt-BR"/>
        </w:rPr>
        <w:t xml:space="preserve"> ao Paraguai</w:t>
      </w:r>
      <w:r w:rsidR="004756C1" w:rsidRPr="002F50BD">
        <w:rPr>
          <w:rFonts w:ascii="Verdana" w:hAnsi="Verdana"/>
          <w:sz w:val="20"/>
          <w:lang w:val="pt-BR"/>
        </w:rPr>
        <w:t>:</w:t>
      </w:r>
    </w:p>
    <w:p w:rsidR="004756C1" w:rsidRPr="002F50BD" w:rsidRDefault="004756C1">
      <w:pPr>
        <w:tabs>
          <w:tab w:val="left" w:pos="7920"/>
        </w:tabs>
        <w:ind w:firstLine="720"/>
        <w:jc w:val="both"/>
        <w:rPr>
          <w:rFonts w:ascii="Verdana" w:hAnsi="Verdana"/>
          <w:sz w:val="20"/>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Adot</w:t>
      </w:r>
      <w:r w:rsidR="004756C1" w:rsidRPr="002F50BD">
        <w:rPr>
          <w:rFonts w:ascii="Verdana" w:hAnsi="Verdana"/>
          <w:sz w:val="16"/>
          <w:lang w:val="pt-BR"/>
        </w:rPr>
        <w:t>ar</w:t>
      </w:r>
      <w:r w:rsidRPr="002F50BD">
        <w:rPr>
          <w:rFonts w:ascii="Verdana" w:hAnsi="Verdana"/>
          <w:sz w:val="16"/>
          <w:lang w:val="pt-BR"/>
        </w:rPr>
        <w:t xml:space="preserve"> </w:t>
      </w:r>
      <w:r w:rsidR="00A50140" w:rsidRPr="002F50BD">
        <w:rPr>
          <w:rFonts w:ascii="Verdana" w:hAnsi="Verdana"/>
          <w:sz w:val="16"/>
          <w:lang w:val="pt-BR"/>
        </w:rPr>
        <w:t xml:space="preserve">com </w:t>
      </w:r>
      <w:r w:rsidRPr="002F50BD">
        <w:rPr>
          <w:rFonts w:ascii="Verdana" w:hAnsi="Verdana"/>
          <w:sz w:val="16"/>
          <w:lang w:val="pt-BR"/>
        </w:rPr>
        <w:t>brevidad</w:t>
      </w:r>
      <w:r w:rsidR="00A50140" w:rsidRPr="002F50BD">
        <w:rPr>
          <w:rFonts w:ascii="Verdana" w:hAnsi="Verdana"/>
          <w:sz w:val="16"/>
          <w:lang w:val="pt-BR"/>
        </w:rPr>
        <w:t xml:space="preserve">e </w:t>
      </w:r>
      <w:r w:rsidRPr="002F50BD">
        <w:rPr>
          <w:rFonts w:ascii="Verdana" w:hAnsi="Verdana"/>
          <w:sz w:val="16"/>
          <w:lang w:val="pt-BR"/>
        </w:rPr>
        <w:t xml:space="preserve">as </w:t>
      </w:r>
      <w:r w:rsidR="004756C1" w:rsidRPr="002F50BD">
        <w:rPr>
          <w:rFonts w:ascii="Verdana" w:hAnsi="Verdana"/>
          <w:sz w:val="16"/>
          <w:lang w:val="pt-BR"/>
        </w:rPr>
        <w:t xml:space="preserve">medidas </w:t>
      </w:r>
      <w:r w:rsidRPr="002F50BD">
        <w:rPr>
          <w:rFonts w:ascii="Verdana" w:hAnsi="Verdana"/>
          <w:sz w:val="16"/>
          <w:lang w:val="pt-BR"/>
        </w:rPr>
        <w:t>necessári</w:t>
      </w:r>
      <w:r w:rsidR="004756C1" w:rsidRPr="002F50BD">
        <w:rPr>
          <w:rFonts w:ascii="Verdana" w:hAnsi="Verdana"/>
          <w:sz w:val="16"/>
          <w:lang w:val="pt-BR"/>
        </w:rPr>
        <w:t>as para</w:t>
      </w:r>
      <w:r w:rsidRPr="002F50BD">
        <w:rPr>
          <w:rFonts w:ascii="Verdana" w:hAnsi="Verdana"/>
          <w:sz w:val="16"/>
          <w:lang w:val="pt-BR"/>
        </w:rPr>
        <w:t xml:space="preserve"> fazer efetiv</w:t>
      </w:r>
      <w:r w:rsidR="004756C1" w:rsidRPr="002F50BD">
        <w:rPr>
          <w:rFonts w:ascii="Verdana" w:hAnsi="Verdana"/>
          <w:sz w:val="16"/>
          <w:lang w:val="pt-BR"/>
        </w:rPr>
        <w:t>o</w:t>
      </w:r>
      <w:r w:rsidRPr="002F50BD">
        <w:rPr>
          <w:rFonts w:ascii="Verdana" w:hAnsi="Verdana"/>
          <w:sz w:val="16"/>
          <w:lang w:val="pt-BR"/>
        </w:rPr>
        <w:t xml:space="preserve"> o direito</w:t>
      </w:r>
      <w:r w:rsidR="004756C1" w:rsidRPr="002F50BD">
        <w:rPr>
          <w:rFonts w:ascii="Verdana" w:hAnsi="Verdana"/>
          <w:sz w:val="16"/>
          <w:lang w:val="pt-BR"/>
        </w:rPr>
        <w:t xml:space="preserve"> de </w:t>
      </w:r>
      <w:r w:rsidRPr="002F50BD">
        <w:rPr>
          <w:rFonts w:ascii="Verdana" w:hAnsi="Verdana"/>
          <w:sz w:val="16"/>
          <w:lang w:val="pt-BR"/>
        </w:rPr>
        <w:t xml:space="preserve">propriedade e a </w:t>
      </w:r>
      <w:r w:rsidR="00A50140" w:rsidRPr="002F50BD">
        <w:rPr>
          <w:rFonts w:ascii="Verdana" w:hAnsi="Verdana"/>
          <w:sz w:val="16"/>
          <w:lang w:val="pt-BR"/>
        </w:rPr>
        <w:t>posse</w:t>
      </w:r>
      <w:r w:rsidRPr="002F50BD">
        <w:rPr>
          <w:rFonts w:ascii="Verdana" w:hAnsi="Verdana"/>
          <w:sz w:val="16"/>
          <w:lang w:val="pt-BR"/>
        </w:rPr>
        <w:t xml:space="preserve"> da Comunidade </w:t>
      </w:r>
      <w:r w:rsidR="004756C1" w:rsidRPr="002F50BD">
        <w:rPr>
          <w:rFonts w:ascii="Verdana" w:hAnsi="Verdana"/>
          <w:sz w:val="16"/>
          <w:lang w:val="pt-BR"/>
        </w:rPr>
        <w:t xml:space="preserve">Indígena Yakye Axa </w:t>
      </w:r>
      <w:r w:rsidRPr="002F50BD">
        <w:rPr>
          <w:rFonts w:ascii="Verdana" w:hAnsi="Verdana"/>
          <w:sz w:val="16"/>
          <w:lang w:val="pt-BR"/>
        </w:rPr>
        <w:t xml:space="preserve">do </w:t>
      </w:r>
      <w:r w:rsidR="0039684E" w:rsidRPr="002F50BD">
        <w:rPr>
          <w:rFonts w:ascii="Verdana" w:hAnsi="Verdana"/>
          <w:sz w:val="16"/>
          <w:lang w:val="pt-BR"/>
        </w:rPr>
        <w:t>Povo Enxet-Lengua</w:t>
      </w:r>
      <w:r w:rsidRPr="002F50BD">
        <w:rPr>
          <w:rFonts w:ascii="Verdana" w:hAnsi="Verdana"/>
          <w:sz w:val="16"/>
          <w:lang w:val="pt-BR"/>
        </w:rPr>
        <w:t xml:space="preserve"> e </w:t>
      </w:r>
      <w:r w:rsidR="00A50140" w:rsidRPr="002F50BD">
        <w:rPr>
          <w:rFonts w:ascii="Verdana" w:hAnsi="Verdana"/>
          <w:sz w:val="16"/>
          <w:lang w:val="pt-BR"/>
        </w:rPr>
        <w:t xml:space="preserve">de </w:t>
      </w:r>
      <w:r w:rsidR="00AB454A" w:rsidRPr="002F50BD">
        <w:rPr>
          <w:rFonts w:ascii="Verdana" w:hAnsi="Verdana"/>
          <w:sz w:val="16"/>
          <w:lang w:val="pt-BR"/>
        </w:rPr>
        <w:t>seus membros</w:t>
      </w:r>
      <w:r w:rsidR="004756C1" w:rsidRPr="002F50BD">
        <w:rPr>
          <w:rFonts w:ascii="Verdana" w:hAnsi="Verdana"/>
          <w:sz w:val="16"/>
          <w:lang w:val="pt-BR"/>
        </w:rPr>
        <w:t xml:space="preserve">, </w:t>
      </w:r>
      <w:r w:rsidRPr="002F50BD">
        <w:rPr>
          <w:rFonts w:ascii="Verdana" w:hAnsi="Verdana"/>
          <w:sz w:val="16"/>
          <w:lang w:val="pt-BR"/>
        </w:rPr>
        <w:t>a respeito</w:t>
      </w:r>
      <w:r w:rsidR="004756C1" w:rsidRPr="002F50BD">
        <w:rPr>
          <w:rFonts w:ascii="Verdana" w:hAnsi="Verdana"/>
          <w:sz w:val="16"/>
          <w:lang w:val="pt-BR"/>
        </w:rPr>
        <w:t xml:space="preserve"> de </w:t>
      </w:r>
      <w:r w:rsidR="00AB454A" w:rsidRPr="002F50BD">
        <w:rPr>
          <w:rFonts w:ascii="Verdana" w:hAnsi="Verdana"/>
          <w:sz w:val="16"/>
          <w:lang w:val="pt-BR"/>
        </w:rPr>
        <w:t>seu território</w:t>
      </w:r>
      <w:r w:rsidR="004756C1" w:rsidRPr="002F50BD">
        <w:rPr>
          <w:rFonts w:ascii="Verdana" w:hAnsi="Verdana"/>
          <w:sz w:val="16"/>
          <w:lang w:val="pt-BR"/>
        </w:rPr>
        <w:t xml:space="preserve"> ancestral, ordenando delimitar, demarcar</w:t>
      </w:r>
      <w:r w:rsidRPr="002F50BD">
        <w:rPr>
          <w:rFonts w:ascii="Verdana" w:hAnsi="Verdana"/>
          <w:sz w:val="16"/>
          <w:lang w:val="pt-BR"/>
        </w:rPr>
        <w:t xml:space="preserve"> e </w:t>
      </w:r>
      <w:r w:rsidR="004756C1" w:rsidRPr="002F50BD">
        <w:rPr>
          <w:rFonts w:ascii="Verdana" w:hAnsi="Verdana"/>
          <w:sz w:val="16"/>
          <w:lang w:val="pt-BR"/>
        </w:rPr>
        <w:t xml:space="preserve">titular </w:t>
      </w:r>
      <w:r w:rsidR="00A50140" w:rsidRPr="002F50BD">
        <w:rPr>
          <w:rFonts w:ascii="Verdana" w:hAnsi="Verdana"/>
          <w:sz w:val="16"/>
          <w:lang w:val="pt-BR"/>
        </w:rPr>
        <w:t>suas terras</w:t>
      </w:r>
      <w:r w:rsidR="004756C1" w:rsidRPr="002F50BD">
        <w:rPr>
          <w:rFonts w:ascii="Verdana" w:hAnsi="Verdana"/>
          <w:sz w:val="16"/>
          <w:lang w:val="pt-BR"/>
        </w:rPr>
        <w:t xml:space="preserve">, </w:t>
      </w:r>
      <w:r w:rsidR="00A50140" w:rsidRPr="002F50BD">
        <w:rPr>
          <w:rFonts w:ascii="Verdana" w:hAnsi="Verdana"/>
          <w:sz w:val="16"/>
          <w:lang w:val="pt-BR"/>
        </w:rPr>
        <w:t xml:space="preserve">de </w:t>
      </w:r>
      <w:r w:rsidR="004756C1" w:rsidRPr="002F50BD">
        <w:rPr>
          <w:rFonts w:ascii="Verdana" w:hAnsi="Verdana"/>
          <w:sz w:val="16"/>
          <w:lang w:val="pt-BR"/>
        </w:rPr>
        <w:t>acord</w:t>
      </w:r>
      <w:r w:rsidR="00A50140" w:rsidRPr="002F50BD">
        <w:rPr>
          <w:rFonts w:ascii="Verdana" w:hAnsi="Verdana"/>
          <w:sz w:val="16"/>
          <w:lang w:val="pt-BR"/>
        </w:rPr>
        <w:t>o</w:t>
      </w:r>
      <w:r w:rsidRPr="002F50BD">
        <w:rPr>
          <w:rFonts w:ascii="Verdana" w:hAnsi="Verdana"/>
          <w:sz w:val="16"/>
          <w:lang w:val="pt-BR"/>
        </w:rPr>
        <w:t xml:space="preserve"> com seu direito</w:t>
      </w:r>
      <w:r w:rsidR="004756C1" w:rsidRPr="002F50BD">
        <w:rPr>
          <w:rFonts w:ascii="Verdana" w:hAnsi="Verdana"/>
          <w:sz w:val="16"/>
          <w:lang w:val="pt-BR"/>
        </w:rPr>
        <w:t xml:space="preserve"> </w:t>
      </w:r>
      <w:r w:rsidRPr="002F50BD">
        <w:rPr>
          <w:rFonts w:ascii="Verdana" w:hAnsi="Verdana"/>
          <w:sz w:val="16"/>
          <w:lang w:val="pt-BR"/>
        </w:rPr>
        <w:t>consuetudinário</w:t>
      </w:r>
      <w:r w:rsidR="004756C1" w:rsidRPr="002F50BD">
        <w:rPr>
          <w:rFonts w:ascii="Verdana" w:hAnsi="Verdana"/>
          <w:sz w:val="16"/>
          <w:lang w:val="pt-BR"/>
        </w:rPr>
        <w:t>, valores, usos</w:t>
      </w:r>
      <w:r w:rsidRPr="002F50BD">
        <w:rPr>
          <w:rFonts w:ascii="Verdana" w:hAnsi="Verdana"/>
          <w:sz w:val="16"/>
          <w:lang w:val="pt-BR"/>
        </w:rPr>
        <w:t xml:space="preserve"> e costume</w:t>
      </w:r>
      <w:r w:rsidR="004756C1" w:rsidRPr="002F50BD">
        <w:rPr>
          <w:rFonts w:ascii="Verdana" w:hAnsi="Verdana"/>
          <w:sz w:val="16"/>
          <w:lang w:val="pt-BR"/>
        </w:rPr>
        <w:t>s.</w:t>
      </w:r>
    </w:p>
    <w:p w:rsidR="004756C1" w:rsidRPr="002F50BD" w:rsidRDefault="004756C1">
      <w:pPr>
        <w:tabs>
          <w:tab w:val="left" w:pos="1080"/>
        </w:tabs>
        <w:ind w:left="720" w:right="720"/>
        <w:jc w:val="both"/>
        <w:rPr>
          <w:rFonts w:ascii="Verdana" w:hAnsi="Verdana"/>
          <w:sz w:val="16"/>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Garantir aos membro</w:t>
      </w:r>
      <w:r w:rsidR="004756C1" w:rsidRPr="002F50BD">
        <w:rPr>
          <w:rFonts w:ascii="Verdana" w:hAnsi="Verdana"/>
          <w:sz w:val="16"/>
          <w:lang w:val="pt-BR"/>
        </w:rPr>
        <w:t>s</w:t>
      </w:r>
      <w:r w:rsidRPr="002F50BD">
        <w:rPr>
          <w:rFonts w:ascii="Verdana" w:hAnsi="Verdana"/>
          <w:sz w:val="16"/>
          <w:lang w:val="pt-BR"/>
        </w:rPr>
        <w:t xml:space="preserve"> da Comunidad</w:t>
      </w:r>
      <w:r w:rsidR="00A50140" w:rsidRPr="002F50BD">
        <w:rPr>
          <w:rFonts w:ascii="Verdana" w:hAnsi="Verdana"/>
          <w:sz w:val="16"/>
          <w:lang w:val="pt-BR"/>
        </w:rPr>
        <w:t xml:space="preserve">e </w:t>
      </w:r>
      <w:r w:rsidRPr="002F50BD">
        <w:rPr>
          <w:rFonts w:ascii="Verdana" w:hAnsi="Verdana"/>
          <w:sz w:val="16"/>
          <w:lang w:val="pt-BR"/>
        </w:rPr>
        <w:t>o exercício</w:t>
      </w:r>
      <w:r w:rsidR="004756C1" w:rsidRPr="002F50BD">
        <w:rPr>
          <w:rFonts w:ascii="Verdana" w:hAnsi="Verdana"/>
          <w:sz w:val="16"/>
          <w:lang w:val="pt-BR"/>
        </w:rPr>
        <w:t xml:space="preserve"> de </w:t>
      </w:r>
      <w:r w:rsidR="004076AD" w:rsidRPr="002F50BD">
        <w:rPr>
          <w:rFonts w:ascii="Verdana" w:hAnsi="Verdana"/>
          <w:sz w:val="16"/>
          <w:lang w:val="pt-BR"/>
        </w:rPr>
        <w:t>suas atividades</w:t>
      </w:r>
      <w:r w:rsidR="004756C1" w:rsidRPr="002F50BD">
        <w:rPr>
          <w:rFonts w:ascii="Verdana" w:hAnsi="Verdana"/>
          <w:sz w:val="16"/>
          <w:lang w:val="pt-BR"/>
        </w:rPr>
        <w:t xml:space="preserve"> tr</w:t>
      </w:r>
      <w:r w:rsidRPr="002F50BD">
        <w:rPr>
          <w:rFonts w:ascii="Verdana" w:hAnsi="Verdana"/>
          <w:sz w:val="16"/>
          <w:lang w:val="pt-BR"/>
        </w:rPr>
        <w:t>adicionais</w:t>
      </w:r>
      <w:r w:rsidR="004756C1" w:rsidRPr="002F50BD">
        <w:rPr>
          <w:rFonts w:ascii="Verdana" w:hAnsi="Verdana"/>
          <w:sz w:val="16"/>
          <w:lang w:val="pt-BR"/>
        </w:rPr>
        <w:t xml:space="preserve"> de </w:t>
      </w:r>
      <w:r w:rsidRPr="002F50BD">
        <w:rPr>
          <w:rFonts w:ascii="Verdana" w:hAnsi="Verdana"/>
          <w:sz w:val="16"/>
          <w:lang w:val="pt-BR"/>
        </w:rPr>
        <w:t>subsistência</w:t>
      </w:r>
      <w:r w:rsidR="004756C1" w:rsidRPr="002F50BD">
        <w:rPr>
          <w:rFonts w:ascii="Verdana" w:hAnsi="Verdana"/>
          <w:sz w:val="16"/>
          <w:lang w:val="pt-BR"/>
        </w:rPr>
        <w:t>.</w:t>
      </w:r>
    </w:p>
    <w:p w:rsidR="004756C1" w:rsidRPr="002F50BD" w:rsidRDefault="004756C1">
      <w:pPr>
        <w:tabs>
          <w:tab w:val="left" w:pos="1080"/>
        </w:tabs>
        <w:ind w:left="720" w:right="720"/>
        <w:jc w:val="both"/>
        <w:rPr>
          <w:rFonts w:ascii="Verdana" w:hAnsi="Verdana"/>
          <w:sz w:val="16"/>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Adot</w:t>
      </w:r>
      <w:r w:rsidR="004756C1" w:rsidRPr="002F50BD">
        <w:rPr>
          <w:rFonts w:ascii="Verdana" w:hAnsi="Verdana"/>
          <w:sz w:val="16"/>
          <w:lang w:val="pt-BR"/>
        </w:rPr>
        <w:t>ar</w:t>
      </w:r>
      <w:r w:rsidRPr="002F50BD">
        <w:rPr>
          <w:rFonts w:ascii="Verdana" w:hAnsi="Verdana"/>
          <w:sz w:val="16"/>
          <w:lang w:val="pt-BR"/>
        </w:rPr>
        <w:t xml:space="preserve"> as </w:t>
      </w:r>
      <w:r w:rsidR="004756C1" w:rsidRPr="002F50BD">
        <w:rPr>
          <w:rFonts w:ascii="Verdana" w:hAnsi="Verdana"/>
          <w:sz w:val="16"/>
          <w:lang w:val="pt-BR"/>
        </w:rPr>
        <w:t xml:space="preserve">medidas </w:t>
      </w:r>
      <w:r w:rsidRPr="002F50BD">
        <w:rPr>
          <w:rFonts w:ascii="Verdana" w:hAnsi="Verdana"/>
          <w:sz w:val="16"/>
          <w:lang w:val="pt-BR"/>
        </w:rPr>
        <w:t>necessári</w:t>
      </w:r>
      <w:r w:rsidR="004756C1" w:rsidRPr="002F50BD">
        <w:rPr>
          <w:rFonts w:ascii="Verdana" w:hAnsi="Verdana"/>
          <w:sz w:val="16"/>
          <w:lang w:val="pt-BR"/>
        </w:rPr>
        <w:t xml:space="preserve">as para que </w:t>
      </w:r>
      <w:r w:rsidR="00060B3A" w:rsidRPr="002F50BD">
        <w:rPr>
          <w:rFonts w:ascii="Verdana" w:hAnsi="Verdana"/>
          <w:sz w:val="16"/>
          <w:lang w:val="pt-BR"/>
        </w:rPr>
        <w:t>tenha fim</w:t>
      </w:r>
      <w:r w:rsidRPr="002F50BD">
        <w:rPr>
          <w:rFonts w:ascii="Verdana" w:hAnsi="Verdana"/>
          <w:sz w:val="16"/>
          <w:lang w:val="pt-BR"/>
        </w:rPr>
        <w:t xml:space="preserve"> o </w:t>
      </w:r>
      <w:r w:rsidR="004756C1" w:rsidRPr="002F50BD">
        <w:rPr>
          <w:rFonts w:ascii="Verdana" w:hAnsi="Verdana"/>
          <w:sz w:val="16"/>
          <w:lang w:val="pt-BR"/>
        </w:rPr>
        <w:t xml:space="preserve">estado de </w:t>
      </w:r>
      <w:r w:rsidR="00060B3A" w:rsidRPr="002F50BD">
        <w:rPr>
          <w:rFonts w:ascii="Verdana" w:hAnsi="Verdana"/>
          <w:sz w:val="16"/>
          <w:lang w:val="pt-BR"/>
        </w:rPr>
        <w:t>emergência alimentar</w:t>
      </w:r>
      <w:r w:rsidR="004756C1" w:rsidRPr="002F50BD">
        <w:rPr>
          <w:rFonts w:ascii="Verdana" w:hAnsi="Verdana"/>
          <w:sz w:val="16"/>
          <w:lang w:val="pt-BR"/>
        </w:rPr>
        <w:t>, médica</w:t>
      </w:r>
      <w:r w:rsidRPr="002F50BD">
        <w:rPr>
          <w:rFonts w:ascii="Verdana" w:hAnsi="Verdana"/>
          <w:sz w:val="16"/>
          <w:lang w:val="pt-BR"/>
        </w:rPr>
        <w:t xml:space="preserve"> e </w:t>
      </w:r>
      <w:r w:rsidR="00A50140" w:rsidRPr="002F50BD">
        <w:rPr>
          <w:rFonts w:ascii="Verdana" w:hAnsi="Verdana"/>
          <w:sz w:val="16"/>
          <w:lang w:val="pt-BR"/>
        </w:rPr>
        <w:t>sanitária</w:t>
      </w:r>
      <w:r w:rsidRPr="002F50BD">
        <w:rPr>
          <w:rFonts w:ascii="Verdana" w:hAnsi="Verdana"/>
          <w:sz w:val="16"/>
          <w:lang w:val="pt-BR"/>
        </w:rPr>
        <w:t xml:space="preserve"> da </w:t>
      </w:r>
      <w:r w:rsidR="00A50140" w:rsidRPr="002F50BD">
        <w:rPr>
          <w:rFonts w:ascii="Verdana" w:hAnsi="Verdana"/>
          <w:sz w:val="16"/>
          <w:lang w:val="pt-BR"/>
        </w:rPr>
        <w:t>Comunidade.</w:t>
      </w:r>
    </w:p>
    <w:p w:rsidR="004756C1" w:rsidRPr="002F50BD" w:rsidRDefault="004756C1">
      <w:pPr>
        <w:tabs>
          <w:tab w:val="left" w:pos="1080"/>
        </w:tabs>
        <w:ind w:left="720" w:right="720"/>
        <w:jc w:val="both"/>
        <w:rPr>
          <w:rFonts w:ascii="Verdana" w:hAnsi="Verdana"/>
          <w:sz w:val="16"/>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Adot</w:t>
      </w:r>
      <w:r w:rsidR="004756C1" w:rsidRPr="002F50BD">
        <w:rPr>
          <w:rFonts w:ascii="Verdana" w:hAnsi="Verdana"/>
          <w:sz w:val="16"/>
          <w:lang w:val="pt-BR"/>
        </w:rPr>
        <w:t>ar</w:t>
      </w:r>
      <w:r w:rsidRPr="002F50BD">
        <w:rPr>
          <w:rFonts w:ascii="Verdana" w:hAnsi="Verdana"/>
          <w:sz w:val="16"/>
          <w:lang w:val="pt-BR"/>
        </w:rPr>
        <w:t xml:space="preserve"> as </w:t>
      </w:r>
      <w:r w:rsidR="004756C1" w:rsidRPr="002F50BD">
        <w:rPr>
          <w:rFonts w:ascii="Verdana" w:hAnsi="Verdana"/>
          <w:sz w:val="16"/>
          <w:lang w:val="pt-BR"/>
        </w:rPr>
        <w:t xml:space="preserve">medidas </w:t>
      </w:r>
      <w:r w:rsidRPr="002F50BD">
        <w:rPr>
          <w:rFonts w:ascii="Verdana" w:hAnsi="Verdana"/>
          <w:sz w:val="16"/>
          <w:lang w:val="pt-BR"/>
        </w:rPr>
        <w:t>necessári</w:t>
      </w:r>
      <w:r w:rsidR="004756C1" w:rsidRPr="002F50BD">
        <w:rPr>
          <w:rFonts w:ascii="Verdana" w:hAnsi="Verdana"/>
          <w:sz w:val="16"/>
          <w:lang w:val="pt-BR"/>
        </w:rPr>
        <w:t xml:space="preserve">as para </w:t>
      </w:r>
      <w:r w:rsidR="008C29C9" w:rsidRPr="002F50BD">
        <w:rPr>
          <w:rFonts w:ascii="Verdana" w:hAnsi="Verdana"/>
          <w:sz w:val="16"/>
          <w:lang w:val="pt-BR"/>
        </w:rPr>
        <w:t xml:space="preserve">proteger </w:t>
      </w:r>
      <w:r w:rsidRPr="002F50BD">
        <w:rPr>
          <w:rFonts w:ascii="Verdana" w:hAnsi="Verdana"/>
          <w:sz w:val="16"/>
          <w:lang w:val="pt-BR"/>
        </w:rPr>
        <w:t xml:space="preserve">o </w:t>
      </w:r>
      <w:r w:rsidR="004756C1" w:rsidRPr="002F50BD">
        <w:rPr>
          <w:rFonts w:ascii="Verdana" w:hAnsi="Verdana"/>
          <w:sz w:val="16"/>
          <w:lang w:val="pt-BR"/>
        </w:rPr>
        <w:t>h</w:t>
      </w:r>
      <w:r w:rsidR="008C29C9" w:rsidRPr="002F50BD">
        <w:rPr>
          <w:rFonts w:ascii="Verdana" w:hAnsi="Verdana"/>
          <w:sz w:val="16"/>
          <w:lang w:val="pt-BR"/>
        </w:rPr>
        <w:t>a</w:t>
      </w:r>
      <w:r w:rsidR="004756C1" w:rsidRPr="002F50BD">
        <w:rPr>
          <w:rFonts w:ascii="Verdana" w:hAnsi="Verdana"/>
          <w:sz w:val="16"/>
          <w:lang w:val="pt-BR"/>
        </w:rPr>
        <w:t>bitat reclamado</w:t>
      </w:r>
      <w:r w:rsidRPr="002F50BD">
        <w:rPr>
          <w:rFonts w:ascii="Verdana" w:hAnsi="Verdana"/>
          <w:sz w:val="16"/>
          <w:lang w:val="pt-BR"/>
        </w:rPr>
        <w:t xml:space="preserve"> pela </w:t>
      </w:r>
      <w:r w:rsidR="004756C1" w:rsidRPr="002F50BD">
        <w:rPr>
          <w:rFonts w:ascii="Verdana" w:hAnsi="Verdana"/>
          <w:sz w:val="16"/>
          <w:lang w:val="pt-BR"/>
        </w:rPr>
        <w:t>Comu</w:t>
      </w:r>
      <w:r w:rsidR="00AB454A" w:rsidRPr="002F50BD">
        <w:rPr>
          <w:rFonts w:ascii="Verdana" w:hAnsi="Verdana"/>
          <w:sz w:val="16"/>
          <w:lang w:val="pt-BR"/>
        </w:rPr>
        <w:t xml:space="preserve">nidade, </w:t>
      </w:r>
      <w:r w:rsidRPr="002F50BD">
        <w:rPr>
          <w:rFonts w:ascii="Verdana" w:hAnsi="Verdana"/>
          <w:sz w:val="16"/>
          <w:lang w:val="pt-BR"/>
        </w:rPr>
        <w:t>enquanto</w:t>
      </w:r>
      <w:r w:rsidR="008C29C9" w:rsidRPr="002F50BD">
        <w:rPr>
          <w:rFonts w:ascii="Verdana" w:hAnsi="Verdana"/>
          <w:sz w:val="16"/>
          <w:lang w:val="pt-BR"/>
        </w:rPr>
        <w:t xml:space="preserve"> </w:t>
      </w:r>
      <w:r w:rsidR="00D75E00" w:rsidRPr="002F50BD">
        <w:rPr>
          <w:rFonts w:ascii="Verdana" w:hAnsi="Verdana"/>
          <w:sz w:val="16"/>
          <w:lang w:val="pt-BR"/>
        </w:rPr>
        <w:t xml:space="preserve">estiver </w:t>
      </w:r>
      <w:r w:rsidRPr="002F50BD">
        <w:rPr>
          <w:rFonts w:ascii="Verdana" w:hAnsi="Verdana"/>
          <w:sz w:val="16"/>
          <w:lang w:val="pt-BR"/>
        </w:rPr>
        <w:t xml:space="preserve">pendente a </w:t>
      </w:r>
      <w:r w:rsidR="004756C1" w:rsidRPr="002F50BD">
        <w:rPr>
          <w:rFonts w:ascii="Verdana" w:hAnsi="Verdana"/>
          <w:sz w:val="16"/>
          <w:lang w:val="pt-BR"/>
        </w:rPr>
        <w:t>titula</w:t>
      </w:r>
      <w:r w:rsidRPr="002F50BD">
        <w:rPr>
          <w:rFonts w:ascii="Verdana" w:hAnsi="Verdana"/>
          <w:sz w:val="16"/>
          <w:lang w:val="pt-BR"/>
        </w:rPr>
        <w:t>ção</w:t>
      </w:r>
      <w:r w:rsidR="004756C1" w:rsidRPr="002F50BD">
        <w:rPr>
          <w:rFonts w:ascii="Verdana" w:hAnsi="Verdana"/>
          <w:sz w:val="16"/>
          <w:lang w:val="pt-BR"/>
        </w:rPr>
        <w:t xml:space="preserve"> </w:t>
      </w:r>
      <w:r w:rsidRPr="002F50BD">
        <w:rPr>
          <w:rFonts w:ascii="Verdana" w:hAnsi="Verdana"/>
          <w:sz w:val="16"/>
          <w:lang w:val="pt-BR"/>
        </w:rPr>
        <w:t>do território</w:t>
      </w:r>
      <w:r w:rsidR="004756C1" w:rsidRPr="002F50BD">
        <w:rPr>
          <w:rFonts w:ascii="Verdana" w:hAnsi="Verdana"/>
          <w:sz w:val="16"/>
          <w:lang w:val="pt-BR"/>
        </w:rPr>
        <w:t xml:space="preserve"> ancestral</w:t>
      </w:r>
      <w:r w:rsidRPr="002F50BD">
        <w:rPr>
          <w:rFonts w:ascii="Verdana" w:hAnsi="Verdana"/>
          <w:sz w:val="16"/>
          <w:lang w:val="pt-BR"/>
        </w:rPr>
        <w:t xml:space="preserve"> em </w:t>
      </w:r>
      <w:r w:rsidR="004756C1" w:rsidRPr="002F50BD">
        <w:rPr>
          <w:rFonts w:ascii="Verdana" w:hAnsi="Verdana"/>
          <w:sz w:val="16"/>
          <w:lang w:val="pt-BR"/>
        </w:rPr>
        <w:t>favor</w:t>
      </w:r>
      <w:r w:rsidRPr="002F50BD">
        <w:rPr>
          <w:rFonts w:ascii="Verdana" w:hAnsi="Verdana"/>
          <w:sz w:val="16"/>
          <w:lang w:val="pt-BR"/>
        </w:rPr>
        <w:t xml:space="preserve"> da Comunidade </w:t>
      </w:r>
      <w:r w:rsidR="004756C1" w:rsidRPr="002F50BD">
        <w:rPr>
          <w:rFonts w:ascii="Verdana" w:hAnsi="Verdana"/>
          <w:sz w:val="16"/>
          <w:lang w:val="pt-BR"/>
        </w:rPr>
        <w:t>Indígena.</w:t>
      </w:r>
    </w:p>
    <w:p w:rsidR="004756C1" w:rsidRPr="002F50BD" w:rsidRDefault="004756C1">
      <w:pPr>
        <w:tabs>
          <w:tab w:val="left" w:pos="1080"/>
        </w:tabs>
        <w:ind w:left="720" w:right="720"/>
        <w:jc w:val="both"/>
        <w:rPr>
          <w:rFonts w:ascii="Verdana" w:hAnsi="Verdana"/>
          <w:sz w:val="16"/>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Estabelece</w:t>
      </w:r>
      <w:r w:rsidR="004756C1" w:rsidRPr="002F50BD">
        <w:rPr>
          <w:rFonts w:ascii="Verdana" w:hAnsi="Verdana"/>
          <w:sz w:val="16"/>
          <w:lang w:val="pt-BR"/>
        </w:rPr>
        <w:t>r</w:t>
      </w:r>
      <w:r w:rsidRPr="002F50BD">
        <w:rPr>
          <w:rFonts w:ascii="Verdana" w:hAnsi="Verdana"/>
          <w:sz w:val="16"/>
          <w:lang w:val="pt-BR"/>
        </w:rPr>
        <w:t xml:space="preserve"> um </w:t>
      </w:r>
      <w:r w:rsidR="004756C1" w:rsidRPr="002F50BD">
        <w:rPr>
          <w:rFonts w:ascii="Verdana" w:hAnsi="Verdana"/>
          <w:sz w:val="16"/>
          <w:lang w:val="pt-BR"/>
        </w:rPr>
        <w:t>recurso judicial eficaz</w:t>
      </w:r>
      <w:r w:rsidRPr="002F50BD">
        <w:rPr>
          <w:rFonts w:ascii="Verdana" w:hAnsi="Verdana"/>
          <w:sz w:val="16"/>
          <w:lang w:val="pt-BR"/>
        </w:rPr>
        <w:t xml:space="preserve"> e </w:t>
      </w:r>
      <w:r w:rsidR="008C29C9" w:rsidRPr="002F50BD">
        <w:rPr>
          <w:rFonts w:ascii="Verdana" w:hAnsi="Verdana"/>
          <w:sz w:val="16"/>
          <w:lang w:val="pt-BR"/>
        </w:rPr>
        <w:t xml:space="preserve">simples </w:t>
      </w:r>
      <w:r w:rsidR="004756C1" w:rsidRPr="002F50BD">
        <w:rPr>
          <w:rFonts w:ascii="Verdana" w:hAnsi="Verdana"/>
          <w:sz w:val="16"/>
          <w:lang w:val="pt-BR"/>
        </w:rPr>
        <w:t>que tutele</w:t>
      </w:r>
      <w:r w:rsidRPr="002F50BD">
        <w:rPr>
          <w:rFonts w:ascii="Verdana" w:hAnsi="Verdana"/>
          <w:sz w:val="16"/>
          <w:lang w:val="pt-BR"/>
        </w:rPr>
        <w:t xml:space="preserve"> o direito dos Povo</w:t>
      </w:r>
      <w:r w:rsidR="00060B3A" w:rsidRPr="002F50BD">
        <w:rPr>
          <w:rFonts w:ascii="Verdana" w:hAnsi="Verdana"/>
          <w:sz w:val="16"/>
          <w:lang w:val="pt-BR"/>
        </w:rPr>
        <w:t>s Indígenas do</w:t>
      </w:r>
      <w:r w:rsidR="004756C1" w:rsidRPr="002F50BD">
        <w:rPr>
          <w:rFonts w:ascii="Verdana" w:hAnsi="Verdana"/>
          <w:sz w:val="16"/>
          <w:lang w:val="pt-BR"/>
        </w:rPr>
        <w:t xml:space="preserve"> </w:t>
      </w:r>
      <w:r w:rsidRPr="002F50BD">
        <w:rPr>
          <w:rFonts w:ascii="Verdana" w:hAnsi="Verdana"/>
          <w:sz w:val="16"/>
          <w:lang w:val="pt-BR"/>
        </w:rPr>
        <w:t>Paraguai</w:t>
      </w:r>
      <w:r w:rsidR="004756C1" w:rsidRPr="002F50BD">
        <w:rPr>
          <w:rFonts w:ascii="Verdana" w:hAnsi="Verdana"/>
          <w:sz w:val="16"/>
          <w:lang w:val="pt-BR"/>
        </w:rPr>
        <w:t xml:space="preserve"> a reivindicar</w:t>
      </w:r>
      <w:r w:rsidRPr="002F50BD">
        <w:rPr>
          <w:rFonts w:ascii="Verdana" w:hAnsi="Verdana"/>
          <w:sz w:val="16"/>
          <w:lang w:val="pt-BR"/>
        </w:rPr>
        <w:t xml:space="preserve"> e </w:t>
      </w:r>
      <w:r w:rsidR="008C29C9" w:rsidRPr="002F50BD">
        <w:rPr>
          <w:rFonts w:ascii="Verdana" w:hAnsi="Verdana"/>
          <w:sz w:val="16"/>
          <w:lang w:val="pt-BR"/>
        </w:rPr>
        <w:t xml:space="preserve">ter acesso </w:t>
      </w:r>
      <w:r w:rsidR="004756C1" w:rsidRPr="002F50BD">
        <w:rPr>
          <w:rFonts w:ascii="Verdana" w:hAnsi="Verdana"/>
          <w:sz w:val="16"/>
          <w:lang w:val="pt-BR"/>
        </w:rPr>
        <w:t>a s</w:t>
      </w:r>
      <w:r w:rsidR="008C29C9" w:rsidRPr="002F50BD">
        <w:rPr>
          <w:rFonts w:ascii="Verdana" w:hAnsi="Verdana"/>
          <w:sz w:val="16"/>
          <w:lang w:val="pt-BR"/>
        </w:rPr>
        <w:t>e</w:t>
      </w:r>
      <w:r w:rsidR="004756C1" w:rsidRPr="002F50BD">
        <w:rPr>
          <w:rFonts w:ascii="Verdana" w:hAnsi="Verdana"/>
          <w:sz w:val="16"/>
          <w:lang w:val="pt-BR"/>
        </w:rPr>
        <w:t xml:space="preserve">us </w:t>
      </w:r>
      <w:r w:rsidRPr="002F50BD">
        <w:rPr>
          <w:rFonts w:ascii="Verdana" w:hAnsi="Verdana"/>
          <w:sz w:val="16"/>
          <w:lang w:val="pt-BR"/>
        </w:rPr>
        <w:t>território</w:t>
      </w:r>
      <w:r w:rsidR="004756C1" w:rsidRPr="002F50BD">
        <w:rPr>
          <w:rFonts w:ascii="Verdana" w:hAnsi="Verdana"/>
          <w:sz w:val="16"/>
          <w:lang w:val="pt-BR"/>
        </w:rPr>
        <w:t>s tr</w:t>
      </w:r>
      <w:r w:rsidRPr="002F50BD">
        <w:rPr>
          <w:rFonts w:ascii="Verdana" w:hAnsi="Verdana"/>
          <w:sz w:val="16"/>
          <w:lang w:val="pt-BR"/>
        </w:rPr>
        <w:t>adicionais</w:t>
      </w:r>
      <w:r w:rsidR="004756C1" w:rsidRPr="002F50BD">
        <w:rPr>
          <w:rFonts w:ascii="Verdana" w:hAnsi="Verdana"/>
          <w:sz w:val="16"/>
          <w:lang w:val="pt-BR"/>
        </w:rPr>
        <w:t>.</w:t>
      </w:r>
    </w:p>
    <w:p w:rsidR="004756C1" w:rsidRPr="002F50BD" w:rsidRDefault="004756C1">
      <w:pPr>
        <w:tabs>
          <w:tab w:val="left" w:pos="1080"/>
        </w:tabs>
        <w:ind w:left="720" w:right="720"/>
        <w:jc w:val="both"/>
        <w:rPr>
          <w:rFonts w:ascii="Verdana" w:hAnsi="Verdana"/>
          <w:sz w:val="16"/>
          <w:lang w:val="pt-BR"/>
        </w:rPr>
      </w:pPr>
    </w:p>
    <w:p w:rsidR="004756C1" w:rsidRPr="002F50BD" w:rsidRDefault="004756C1">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Reparar</w:t>
      </w:r>
      <w:r w:rsidR="00060B3A" w:rsidRPr="002F50BD">
        <w:rPr>
          <w:rFonts w:ascii="Verdana" w:hAnsi="Verdana"/>
          <w:sz w:val="16"/>
          <w:lang w:val="pt-BR"/>
        </w:rPr>
        <w:t>,</w:t>
      </w:r>
      <w:r w:rsidRPr="002F50BD">
        <w:rPr>
          <w:rFonts w:ascii="Verdana" w:hAnsi="Verdana"/>
          <w:sz w:val="16"/>
          <w:lang w:val="pt-BR"/>
        </w:rPr>
        <w:t xml:space="preserve"> tanto</w:t>
      </w:r>
      <w:r w:rsidR="0089298C" w:rsidRPr="002F50BD">
        <w:rPr>
          <w:rFonts w:ascii="Verdana" w:hAnsi="Verdana"/>
          <w:sz w:val="16"/>
          <w:lang w:val="pt-BR"/>
        </w:rPr>
        <w:t xml:space="preserve"> no âmbito</w:t>
      </w:r>
      <w:r w:rsidRPr="002F50BD">
        <w:rPr>
          <w:rFonts w:ascii="Verdana" w:hAnsi="Verdana"/>
          <w:sz w:val="16"/>
          <w:lang w:val="pt-BR"/>
        </w:rPr>
        <w:t xml:space="preserve"> individual como </w:t>
      </w:r>
      <w:r w:rsidR="004076AD" w:rsidRPr="002F50BD">
        <w:rPr>
          <w:rFonts w:ascii="Verdana" w:hAnsi="Verdana"/>
          <w:sz w:val="16"/>
          <w:lang w:val="pt-BR"/>
        </w:rPr>
        <w:t>comunitári</w:t>
      </w:r>
      <w:r w:rsidRPr="002F50BD">
        <w:rPr>
          <w:rFonts w:ascii="Verdana" w:hAnsi="Verdana"/>
          <w:sz w:val="16"/>
          <w:lang w:val="pt-BR"/>
        </w:rPr>
        <w:t>o</w:t>
      </w:r>
      <w:r w:rsidR="00060B3A" w:rsidRPr="002F50BD">
        <w:rPr>
          <w:rFonts w:ascii="Verdana" w:hAnsi="Verdana"/>
          <w:sz w:val="16"/>
          <w:lang w:val="pt-BR"/>
        </w:rPr>
        <w:t>,</w:t>
      </w:r>
      <w:r w:rsidR="0089298C" w:rsidRPr="002F50BD">
        <w:rPr>
          <w:rFonts w:ascii="Verdana" w:hAnsi="Verdana"/>
          <w:sz w:val="16"/>
          <w:lang w:val="pt-BR"/>
        </w:rPr>
        <w:t xml:space="preserve"> as consequência</w:t>
      </w:r>
      <w:r w:rsidRPr="002F50BD">
        <w:rPr>
          <w:rFonts w:ascii="Verdana" w:hAnsi="Verdana"/>
          <w:sz w:val="16"/>
          <w:lang w:val="pt-BR"/>
        </w:rPr>
        <w:t>s</w:t>
      </w:r>
      <w:r w:rsidR="0089298C" w:rsidRPr="002F50BD">
        <w:rPr>
          <w:rFonts w:ascii="Verdana" w:hAnsi="Verdana"/>
          <w:sz w:val="16"/>
          <w:lang w:val="pt-BR"/>
        </w:rPr>
        <w:t xml:space="preserve"> da </w:t>
      </w:r>
      <w:r w:rsidRPr="002F50BD">
        <w:rPr>
          <w:rFonts w:ascii="Verdana" w:hAnsi="Verdana"/>
          <w:sz w:val="16"/>
          <w:lang w:val="pt-BR"/>
        </w:rPr>
        <w:t>viola</w:t>
      </w:r>
      <w:r w:rsidR="0089298C" w:rsidRPr="002F50BD">
        <w:rPr>
          <w:rFonts w:ascii="Verdana" w:hAnsi="Verdana"/>
          <w:sz w:val="16"/>
          <w:lang w:val="pt-BR"/>
        </w:rPr>
        <w:t>ção dos direito</w:t>
      </w:r>
      <w:r w:rsidRPr="002F50BD">
        <w:rPr>
          <w:rFonts w:ascii="Verdana" w:hAnsi="Verdana"/>
          <w:sz w:val="16"/>
          <w:lang w:val="pt-BR"/>
        </w:rPr>
        <w:t>s enunciados.</w:t>
      </w:r>
    </w:p>
    <w:p w:rsidR="004756C1" w:rsidRPr="002F50BD" w:rsidRDefault="004756C1">
      <w:pPr>
        <w:tabs>
          <w:tab w:val="left" w:pos="1080"/>
        </w:tabs>
        <w:ind w:left="720" w:right="720"/>
        <w:jc w:val="both"/>
        <w:rPr>
          <w:rFonts w:ascii="Verdana" w:hAnsi="Verdana"/>
          <w:sz w:val="16"/>
          <w:lang w:val="pt-BR"/>
        </w:rPr>
      </w:pPr>
    </w:p>
    <w:p w:rsidR="004756C1" w:rsidRPr="002F50BD" w:rsidRDefault="0089298C">
      <w:pPr>
        <w:numPr>
          <w:ilvl w:val="0"/>
          <w:numId w:val="4"/>
        </w:numPr>
        <w:tabs>
          <w:tab w:val="left" w:pos="1080"/>
        </w:tabs>
        <w:ind w:left="720" w:right="720"/>
        <w:jc w:val="both"/>
        <w:rPr>
          <w:rFonts w:ascii="Verdana" w:hAnsi="Verdana"/>
          <w:sz w:val="16"/>
          <w:lang w:val="pt-BR"/>
        </w:rPr>
      </w:pPr>
      <w:r w:rsidRPr="002F50BD">
        <w:rPr>
          <w:rFonts w:ascii="Verdana" w:hAnsi="Verdana"/>
          <w:sz w:val="16"/>
          <w:lang w:val="pt-BR"/>
        </w:rPr>
        <w:t>Adot</w:t>
      </w:r>
      <w:r w:rsidR="004756C1" w:rsidRPr="002F50BD">
        <w:rPr>
          <w:rFonts w:ascii="Verdana" w:hAnsi="Verdana"/>
          <w:sz w:val="16"/>
          <w:lang w:val="pt-BR"/>
        </w:rPr>
        <w:t>ar</w:t>
      </w:r>
      <w:r w:rsidRPr="002F50BD">
        <w:rPr>
          <w:rFonts w:ascii="Verdana" w:hAnsi="Verdana"/>
          <w:sz w:val="16"/>
          <w:lang w:val="pt-BR"/>
        </w:rPr>
        <w:t xml:space="preserve"> as </w:t>
      </w:r>
      <w:r w:rsidR="004756C1" w:rsidRPr="002F50BD">
        <w:rPr>
          <w:rFonts w:ascii="Verdana" w:hAnsi="Verdana"/>
          <w:sz w:val="16"/>
          <w:lang w:val="pt-BR"/>
        </w:rPr>
        <w:t xml:space="preserve">medidas </w:t>
      </w:r>
      <w:r w:rsidRPr="002F50BD">
        <w:rPr>
          <w:rFonts w:ascii="Verdana" w:hAnsi="Verdana"/>
          <w:sz w:val="16"/>
          <w:lang w:val="pt-BR"/>
        </w:rPr>
        <w:t>necessári</w:t>
      </w:r>
      <w:r w:rsidR="004756C1" w:rsidRPr="002F50BD">
        <w:rPr>
          <w:rFonts w:ascii="Verdana" w:hAnsi="Verdana"/>
          <w:sz w:val="16"/>
          <w:lang w:val="pt-BR"/>
        </w:rPr>
        <w:t>as para evitar que</w:t>
      </w:r>
      <w:r w:rsidRPr="002F50BD">
        <w:rPr>
          <w:rFonts w:ascii="Verdana" w:hAnsi="Verdana"/>
          <w:sz w:val="16"/>
          <w:lang w:val="pt-BR"/>
        </w:rPr>
        <w:t xml:space="preserve"> no </w:t>
      </w:r>
      <w:r w:rsidR="004756C1" w:rsidRPr="002F50BD">
        <w:rPr>
          <w:rFonts w:ascii="Verdana" w:hAnsi="Verdana"/>
          <w:sz w:val="16"/>
          <w:lang w:val="pt-BR"/>
        </w:rPr>
        <w:t>futuro se produz</w:t>
      </w:r>
      <w:r w:rsidR="008C29C9" w:rsidRPr="002F50BD">
        <w:rPr>
          <w:rFonts w:ascii="Verdana" w:hAnsi="Verdana"/>
          <w:sz w:val="16"/>
          <w:lang w:val="pt-BR"/>
        </w:rPr>
        <w:t>am</w:t>
      </w:r>
      <w:r w:rsidR="004756C1" w:rsidRPr="002F50BD">
        <w:rPr>
          <w:rFonts w:ascii="Verdana" w:hAnsi="Verdana"/>
          <w:sz w:val="16"/>
          <w:lang w:val="pt-BR"/>
        </w:rPr>
        <w:t xml:space="preserve"> </w:t>
      </w:r>
      <w:r w:rsidRPr="002F50BD">
        <w:rPr>
          <w:rFonts w:ascii="Verdana" w:hAnsi="Verdana"/>
          <w:sz w:val="16"/>
          <w:lang w:val="pt-BR"/>
        </w:rPr>
        <w:t>fatos</w:t>
      </w:r>
      <w:r w:rsidR="004756C1" w:rsidRPr="002F50BD">
        <w:rPr>
          <w:rFonts w:ascii="Verdana" w:hAnsi="Verdana"/>
          <w:sz w:val="16"/>
          <w:lang w:val="pt-BR"/>
        </w:rPr>
        <w:t xml:space="preserve"> similares, conforme</w:t>
      </w:r>
      <w:r w:rsidRPr="002F50BD">
        <w:rPr>
          <w:rFonts w:ascii="Verdana" w:hAnsi="Verdana"/>
          <w:sz w:val="16"/>
          <w:lang w:val="pt-BR"/>
        </w:rPr>
        <w:t xml:space="preserve"> o dever</w:t>
      </w:r>
      <w:r w:rsidR="004756C1" w:rsidRPr="002F50BD">
        <w:rPr>
          <w:rFonts w:ascii="Verdana" w:hAnsi="Verdana"/>
          <w:sz w:val="16"/>
          <w:lang w:val="pt-BR"/>
        </w:rPr>
        <w:t xml:space="preserve"> de preven</w:t>
      </w:r>
      <w:r w:rsidRPr="002F50BD">
        <w:rPr>
          <w:rFonts w:ascii="Verdana" w:hAnsi="Verdana"/>
          <w:sz w:val="16"/>
          <w:lang w:val="pt-BR"/>
        </w:rPr>
        <w:t>ção e garantia dos direito</w:t>
      </w:r>
      <w:r w:rsidR="004756C1" w:rsidRPr="002F50BD">
        <w:rPr>
          <w:rFonts w:ascii="Verdana" w:hAnsi="Verdana"/>
          <w:sz w:val="16"/>
          <w:lang w:val="pt-BR"/>
        </w:rPr>
        <w:t xml:space="preserve">s </w:t>
      </w:r>
      <w:r w:rsidRPr="002F50BD">
        <w:rPr>
          <w:rFonts w:ascii="Verdana" w:hAnsi="Verdana"/>
          <w:sz w:val="16"/>
          <w:lang w:val="pt-BR"/>
        </w:rPr>
        <w:t>fundamentais</w:t>
      </w:r>
      <w:r w:rsidR="004756C1" w:rsidRPr="002F50BD">
        <w:rPr>
          <w:rFonts w:ascii="Verdana" w:hAnsi="Verdana"/>
          <w:sz w:val="16"/>
          <w:lang w:val="pt-BR"/>
        </w:rPr>
        <w:t xml:space="preserve"> re</w:t>
      </w:r>
      <w:r w:rsidRPr="002F50BD">
        <w:rPr>
          <w:rFonts w:ascii="Verdana" w:hAnsi="Verdana"/>
          <w:sz w:val="16"/>
          <w:lang w:val="pt-BR"/>
        </w:rPr>
        <w:t>conhecido</w:t>
      </w:r>
      <w:r w:rsidR="004756C1" w:rsidRPr="002F50BD">
        <w:rPr>
          <w:rFonts w:ascii="Verdana" w:hAnsi="Verdana"/>
          <w:sz w:val="16"/>
          <w:lang w:val="pt-BR"/>
        </w:rPr>
        <w:t>s</w:t>
      </w:r>
      <w:r w:rsidRPr="002F50BD">
        <w:rPr>
          <w:rFonts w:ascii="Verdana" w:hAnsi="Verdana"/>
          <w:sz w:val="16"/>
          <w:lang w:val="pt-BR"/>
        </w:rPr>
        <w:t xml:space="preserve"> na </w:t>
      </w:r>
      <w:r w:rsidR="004756C1" w:rsidRPr="002F50BD">
        <w:rPr>
          <w:rFonts w:ascii="Verdana" w:hAnsi="Verdana"/>
          <w:sz w:val="16"/>
          <w:lang w:val="pt-BR"/>
        </w:rPr>
        <w:t>Conven</w:t>
      </w:r>
      <w:r w:rsidRPr="002F50BD">
        <w:rPr>
          <w:rFonts w:ascii="Verdana" w:hAnsi="Verdana"/>
          <w:sz w:val="16"/>
          <w:lang w:val="pt-BR"/>
        </w:rPr>
        <w:t>ção</w:t>
      </w:r>
      <w:r w:rsidR="004756C1" w:rsidRPr="002F50BD">
        <w:rPr>
          <w:rFonts w:ascii="Verdana" w:hAnsi="Verdana"/>
          <w:sz w:val="16"/>
          <w:lang w:val="pt-BR"/>
        </w:rPr>
        <w:t xml:space="preserve"> Americana.</w:t>
      </w:r>
    </w:p>
    <w:p w:rsidR="004756C1" w:rsidRPr="002F50BD" w:rsidRDefault="004756C1">
      <w:pPr>
        <w:pStyle w:val="BodyTextIndent"/>
        <w:ind w:firstLine="0"/>
        <w:rPr>
          <w:rFonts w:ascii="Verdana" w:hAnsi="Verdana"/>
          <w:sz w:val="20"/>
          <w:lang w:val="pt-BR"/>
        </w:rPr>
      </w:pPr>
    </w:p>
    <w:p w:rsidR="004756C1" w:rsidRPr="002F50BD" w:rsidRDefault="00063B47">
      <w:pPr>
        <w:pStyle w:val="BodyTextIndent"/>
        <w:ind w:firstLine="0"/>
        <w:rPr>
          <w:rFonts w:ascii="Verdana" w:hAnsi="Verdana"/>
          <w:sz w:val="20"/>
          <w:lang w:val="pt-BR"/>
        </w:rPr>
      </w:pPr>
      <w:r w:rsidRPr="002F50BD">
        <w:rPr>
          <w:rFonts w:ascii="Verdana" w:hAnsi="Verdana"/>
          <w:sz w:val="20"/>
          <w:lang w:val="pt-BR"/>
        </w:rPr>
        <w:t>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18</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2002</w:t>
      </w:r>
      <w:r w:rsidR="00060B3A"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 xml:space="preserve">transmitiu o relatório </w:t>
      </w:r>
      <w:r w:rsidR="004756C1" w:rsidRPr="002F50BD">
        <w:rPr>
          <w:rFonts w:ascii="Verdana" w:hAnsi="Verdana"/>
          <w:sz w:val="20"/>
          <w:lang w:val="pt-BR"/>
        </w:rPr>
        <w:t xml:space="preserve">anteriormente </w:t>
      </w:r>
      <w:r w:rsidR="0089298C" w:rsidRPr="002F50BD">
        <w:rPr>
          <w:rFonts w:ascii="Verdana" w:hAnsi="Verdana"/>
          <w:sz w:val="20"/>
          <w:lang w:val="pt-BR"/>
        </w:rPr>
        <w:t xml:space="preserve">indicado ao </w:t>
      </w:r>
      <w:r w:rsidR="004756C1" w:rsidRPr="002F50BD">
        <w:rPr>
          <w:rFonts w:ascii="Verdana" w:hAnsi="Verdana"/>
          <w:sz w:val="20"/>
          <w:lang w:val="pt-BR"/>
        </w:rPr>
        <w:t>Estado</w:t>
      </w:r>
      <w:r w:rsidR="0089298C" w:rsidRPr="002F50BD">
        <w:rPr>
          <w:rFonts w:ascii="Verdana" w:hAnsi="Verdana"/>
          <w:sz w:val="20"/>
          <w:lang w:val="pt-BR"/>
        </w:rPr>
        <w:t xml:space="preserve"> e </w:t>
      </w:r>
      <w:r w:rsidR="008C29C9" w:rsidRPr="002F50BD">
        <w:rPr>
          <w:rFonts w:ascii="Verdana" w:hAnsi="Verdana"/>
          <w:sz w:val="20"/>
          <w:lang w:val="pt-BR"/>
        </w:rPr>
        <w:t xml:space="preserve">concedeu-lhe </w:t>
      </w:r>
      <w:r w:rsidR="0089298C" w:rsidRPr="002F50BD">
        <w:rPr>
          <w:rFonts w:ascii="Verdana" w:hAnsi="Verdana"/>
          <w:sz w:val="20"/>
          <w:lang w:val="pt-BR"/>
        </w:rPr>
        <w:t>um prazo</w:t>
      </w:r>
      <w:r w:rsidR="004756C1" w:rsidRPr="002F50BD">
        <w:rPr>
          <w:rFonts w:ascii="Verdana" w:hAnsi="Verdana"/>
          <w:sz w:val="20"/>
          <w:lang w:val="pt-BR"/>
        </w:rPr>
        <w:t xml:space="preserve"> de</w:t>
      </w:r>
      <w:r w:rsidR="0089298C" w:rsidRPr="002F50BD">
        <w:rPr>
          <w:rFonts w:ascii="Verdana" w:hAnsi="Verdana"/>
          <w:sz w:val="20"/>
          <w:lang w:val="pt-BR"/>
        </w:rPr>
        <w:t xml:space="preserve"> dois meses</w:t>
      </w:r>
      <w:r w:rsidR="004756C1" w:rsidRPr="002F50BD">
        <w:rPr>
          <w:rFonts w:ascii="Verdana" w:hAnsi="Verdana"/>
          <w:sz w:val="20"/>
          <w:lang w:val="pt-BR"/>
        </w:rPr>
        <w:t>, contado a partir</w:t>
      </w:r>
      <w:r w:rsidR="0089298C" w:rsidRPr="002F50BD">
        <w:rPr>
          <w:rFonts w:ascii="Verdana" w:hAnsi="Verdana"/>
          <w:sz w:val="20"/>
          <w:lang w:val="pt-BR"/>
        </w:rPr>
        <w:t xml:space="preserve"> da data</w:t>
      </w:r>
      <w:r w:rsidR="004756C1" w:rsidRPr="002F50BD">
        <w:rPr>
          <w:rFonts w:ascii="Verdana" w:hAnsi="Verdana"/>
          <w:sz w:val="20"/>
          <w:lang w:val="pt-BR"/>
        </w:rPr>
        <w:t xml:space="preserve"> de </w:t>
      </w:r>
      <w:r w:rsidR="00A50140" w:rsidRPr="002F50BD">
        <w:rPr>
          <w:rFonts w:ascii="Verdana" w:hAnsi="Verdana"/>
          <w:sz w:val="20"/>
          <w:lang w:val="pt-BR"/>
        </w:rPr>
        <w:t>sua transmissão</w:t>
      </w:r>
      <w:r w:rsidR="004756C1" w:rsidRPr="002F50BD">
        <w:rPr>
          <w:rFonts w:ascii="Verdana" w:hAnsi="Verdana"/>
          <w:sz w:val="20"/>
          <w:lang w:val="pt-BR"/>
        </w:rPr>
        <w:t>, para que informa</w:t>
      </w:r>
      <w:r w:rsidR="008C29C9" w:rsidRPr="002F50BD">
        <w:rPr>
          <w:rFonts w:ascii="Verdana" w:hAnsi="Verdana"/>
          <w:sz w:val="20"/>
          <w:lang w:val="pt-BR"/>
        </w:rPr>
        <w:t>sse</w:t>
      </w:r>
      <w:r w:rsidR="004756C1" w:rsidRPr="002F50BD">
        <w:rPr>
          <w:rFonts w:ascii="Verdana" w:hAnsi="Verdana"/>
          <w:sz w:val="20"/>
          <w:lang w:val="pt-BR"/>
        </w:rPr>
        <w:t xml:space="preserve"> sobre</w:t>
      </w:r>
      <w:r w:rsidR="0089298C" w:rsidRPr="002F50BD">
        <w:rPr>
          <w:rFonts w:ascii="Verdana" w:hAnsi="Verdana"/>
          <w:sz w:val="20"/>
          <w:lang w:val="pt-BR"/>
        </w:rPr>
        <w:t xml:space="preserve"> as </w:t>
      </w:r>
      <w:r w:rsidR="004756C1" w:rsidRPr="002F50BD">
        <w:rPr>
          <w:rFonts w:ascii="Verdana" w:hAnsi="Verdana"/>
          <w:sz w:val="20"/>
          <w:lang w:val="pt-BR"/>
        </w:rPr>
        <w:t xml:space="preserve">medidas </w:t>
      </w:r>
      <w:r w:rsidR="0089298C" w:rsidRPr="002F50BD">
        <w:rPr>
          <w:rFonts w:ascii="Verdana" w:hAnsi="Verdana"/>
          <w:sz w:val="20"/>
          <w:lang w:val="pt-BR"/>
        </w:rPr>
        <w:t>adot</w:t>
      </w:r>
      <w:r w:rsidR="004756C1" w:rsidRPr="002F50BD">
        <w:rPr>
          <w:rFonts w:ascii="Verdana" w:hAnsi="Verdana"/>
          <w:sz w:val="20"/>
          <w:lang w:val="pt-BR"/>
        </w:rPr>
        <w:t xml:space="preserve">adas para </w:t>
      </w:r>
      <w:r w:rsidR="0089298C" w:rsidRPr="002F50BD">
        <w:rPr>
          <w:rFonts w:ascii="Verdana" w:hAnsi="Verdana"/>
          <w:sz w:val="20"/>
          <w:lang w:val="pt-BR"/>
        </w:rPr>
        <w:t xml:space="preserve">cumprir as </w:t>
      </w:r>
      <w:r w:rsidR="004756C1" w:rsidRPr="002F50BD">
        <w:rPr>
          <w:rFonts w:ascii="Verdana" w:hAnsi="Verdana"/>
          <w:sz w:val="20"/>
          <w:lang w:val="pt-BR"/>
        </w:rPr>
        <w:t>recomenda</w:t>
      </w:r>
      <w:r w:rsidR="0089298C" w:rsidRPr="002F50BD">
        <w:rPr>
          <w:rFonts w:ascii="Verdana" w:hAnsi="Verdana"/>
          <w:sz w:val="20"/>
          <w:lang w:val="pt-BR"/>
        </w:rPr>
        <w:t>ções</w:t>
      </w:r>
      <w:r w:rsidR="00AB454A" w:rsidRPr="002F50BD">
        <w:rPr>
          <w:rFonts w:ascii="Verdana" w:hAnsi="Verdana"/>
          <w:sz w:val="20"/>
          <w:lang w:val="pt-BR"/>
        </w:rPr>
        <w:t xml:space="preserve">. Na </w:t>
      </w:r>
      <w:r w:rsidR="0089298C" w:rsidRPr="002F50BD">
        <w:rPr>
          <w:rFonts w:ascii="Verdana" w:hAnsi="Verdana"/>
          <w:sz w:val="20"/>
          <w:lang w:val="pt-BR"/>
        </w:rPr>
        <w:t>mesm</w:t>
      </w:r>
      <w:r w:rsidR="004756C1" w:rsidRPr="002F50BD">
        <w:rPr>
          <w:rFonts w:ascii="Verdana" w:hAnsi="Verdana"/>
          <w:sz w:val="20"/>
          <w:lang w:val="pt-BR"/>
        </w:rPr>
        <w:t xml:space="preserve">a </w:t>
      </w:r>
      <w:r w:rsidR="0089298C" w:rsidRPr="002F50BD">
        <w:rPr>
          <w:rFonts w:ascii="Verdana" w:hAnsi="Verdana"/>
          <w:sz w:val="20"/>
          <w:lang w:val="pt-BR"/>
        </w:rPr>
        <w:t>data</w:t>
      </w:r>
      <w:r w:rsidR="00060B3A"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w:t>
      </w:r>
      <w:r w:rsidR="0089298C" w:rsidRPr="002F50BD">
        <w:rPr>
          <w:rFonts w:ascii="Verdana" w:hAnsi="Verdana"/>
          <w:sz w:val="20"/>
          <w:lang w:val="pt-BR"/>
        </w:rPr>
        <w:t xml:space="preserve"> em cumprimento</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Pr="002F50BD">
        <w:rPr>
          <w:rFonts w:ascii="Verdana" w:hAnsi="Verdana"/>
          <w:sz w:val="20"/>
          <w:lang w:val="pt-BR"/>
        </w:rPr>
        <w:t>43</w:t>
      </w:r>
      <w:r w:rsidR="004756C1" w:rsidRPr="002F50BD">
        <w:rPr>
          <w:rFonts w:ascii="Verdana" w:hAnsi="Verdana"/>
          <w:sz w:val="20"/>
          <w:lang w:val="pt-BR"/>
        </w:rPr>
        <w:t>.</w:t>
      </w:r>
      <w:r w:rsidRPr="002F50BD">
        <w:rPr>
          <w:rFonts w:ascii="Verdana" w:hAnsi="Verdana"/>
          <w:sz w:val="20"/>
          <w:lang w:val="pt-BR"/>
        </w:rPr>
        <w:t>3</w:t>
      </w:r>
      <w:r w:rsidR="004756C1" w:rsidRPr="002F50BD">
        <w:rPr>
          <w:rFonts w:ascii="Verdana" w:hAnsi="Verdana"/>
          <w:sz w:val="20"/>
          <w:lang w:val="pt-BR"/>
        </w:rPr>
        <w:t xml:space="preserve"> de</w:t>
      </w:r>
      <w:r w:rsidR="0089298C" w:rsidRPr="002F50BD">
        <w:rPr>
          <w:rFonts w:ascii="Verdana" w:hAnsi="Verdana"/>
          <w:sz w:val="20"/>
          <w:lang w:val="pt-BR"/>
        </w:rPr>
        <w:t xml:space="preserve"> seu regulamento</w:t>
      </w:r>
      <w:r w:rsidR="004756C1" w:rsidRPr="002F50BD">
        <w:rPr>
          <w:rFonts w:ascii="Verdana" w:hAnsi="Verdana"/>
          <w:sz w:val="20"/>
          <w:lang w:val="pt-BR"/>
        </w:rPr>
        <w:t xml:space="preserve">, </w:t>
      </w:r>
      <w:r w:rsidR="0089298C" w:rsidRPr="002F50BD">
        <w:rPr>
          <w:rFonts w:ascii="Verdana" w:hAnsi="Verdana"/>
          <w:sz w:val="20"/>
          <w:lang w:val="pt-BR"/>
        </w:rPr>
        <w:t>notificou</w:t>
      </w:r>
      <w:r w:rsidR="004756C1" w:rsidRPr="002F50BD">
        <w:rPr>
          <w:rFonts w:ascii="Verdana" w:hAnsi="Verdana"/>
          <w:sz w:val="20"/>
          <w:lang w:val="pt-BR"/>
        </w:rPr>
        <w:t xml:space="preserve"> a </w:t>
      </w:r>
      <w:r w:rsidR="002D5D95" w:rsidRPr="002F50BD">
        <w:rPr>
          <w:rFonts w:ascii="Verdana" w:hAnsi="Verdana"/>
          <w:sz w:val="20"/>
          <w:lang w:val="pt-BR"/>
        </w:rPr>
        <w:t>Tierraviva</w:t>
      </w:r>
      <w:r w:rsidR="0089298C" w:rsidRPr="002F50BD">
        <w:rPr>
          <w:rFonts w:ascii="Verdana" w:hAnsi="Verdana"/>
          <w:sz w:val="20"/>
          <w:lang w:val="pt-BR"/>
        </w:rPr>
        <w:t xml:space="preserve"> e </w:t>
      </w:r>
      <w:r w:rsidR="008C29C9" w:rsidRPr="002F50BD">
        <w:rPr>
          <w:rFonts w:ascii="Verdana" w:hAnsi="Verdana"/>
          <w:sz w:val="20"/>
          <w:lang w:val="pt-BR"/>
        </w:rPr>
        <w:t>o</w:t>
      </w:r>
      <w:r w:rsidR="004756C1" w:rsidRPr="002F50BD">
        <w:rPr>
          <w:rFonts w:ascii="Verdana" w:hAnsi="Verdana"/>
          <w:sz w:val="20"/>
          <w:lang w:val="pt-BR"/>
        </w:rPr>
        <w:t xml:space="preserve"> CEJIL</w:t>
      </w:r>
      <w:r w:rsidR="0089298C" w:rsidRPr="002F50BD">
        <w:rPr>
          <w:rFonts w:ascii="Verdana" w:hAnsi="Verdana"/>
          <w:sz w:val="20"/>
          <w:lang w:val="pt-BR"/>
        </w:rPr>
        <w:t xml:space="preserve"> </w:t>
      </w:r>
      <w:r w:rsidR="008C29C9" w:rsidRPr="002F50BD">
        <w:rPr>
          <w:rFonts w:ascii="Verdana" w:hAnsi="Verdana"/>
          <w:sz w:val="20"/>
          <w:lang w:val="pt-BR"/>
        </w:rPr>
        <w:t xml:space="preserve">sobre </w:t>
      </w:r>
      <w:r w:rsidR="0089298C" w:rsidRPr="002F50BD">
        <w:rPr>
          <w:rFonts w:ascii="Verdana" w:hAnsi="Verdana"/>
          <w:sz w:val="20"/>
          <w:lang w:val="pt-BR"/>
        </w:rPr>
        <w:t>a adoção</w:t>
      </w:r>
      <w:r w:rsidR="004756C1" w:rsidRPr="002F50BD">
        <w:rPr>
          <w:rFonts w:ascii="Verdana" w:hAnsi="Verdana"/>
          <w:sz w:val="20"/>
          <w:lang w:val="pt-BR"/>
        </w:rPr>
        <w:t xml:space="preserve"> </w:t>
      </w:r>
      <w:r w:rsidR="0089298C" w:rsidRPr="002F50BD">
        <w:rPr>
          <w:rFonts w:ascii="Verdana" w:hAnsi="Verdana"/>
          <w:sz w:val="20"/>
          <w:lang w:val="pt-BR"/>
        </w:rPr>
        <w:t>do Relatório de Mérito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67</w:t>
      </w:r>
      <w:r w:rsidR="004756C1" w:rsidRPr="002F50BD">
        <w:rPr>
          <w:rFonts w:ascii="Verdana" w:hAnsi="Verdana"/>
          <w:sz w:val="20"/>
          <w:lang w:val="pt-BR"/>
        </w:rPr>
        <w:t>/</w:t>
      </w:r>
      <w:r w:rsidRPr="002F50BD">
        <w:rPr>
          <w:rFonts w:ascii="Verdana" w:hAnsi="Verdana"/>
          <w:sz w:val="20"/>
          <w:lang w:val="pt-BR"/>
        </w:rPr>
        <w:t>02</w:t>
      </w:r>
      <w:r w:rsidR="0089298C" w:rsidRPr="002F50BD">
        <w:rPr>
          <w:rFonts w:ascii="Verdana" w:hAnsi="Verdana"/>
          <w:sz w:val="20"/>
          <w:lang w:val="pt-BR"/>
        </w:rPr>
        <w:t xml:space="preserve"> e </w:t>
      </w:r>
      <w:r w:rsidR="00A50140" w:rsidRPr="002F50BD">
        <w:rPr>
          <w:rFonts w:ascii="Verdana" w:hAnsi="Verdana"/>
          <w:sz w:val="20"/>
          <w:lang w:val="pt-BR"/>
        </w:rPr>
        <w:t>sua transmissão</w:t>
      </w:r>
      <w:r w:rsidR="0089298C" w:rsidRPr="002F50BD">
        <w:rPr>
          <w:rFonts w:ascii="Verdana" w:hAnsi="Verdana"/>
          <w:sz w:val="20"/>
          <w:lang w:val="pt-BR"/>
        </w:rPr>
        <w:t xml:space="preserve"> ao </w:t>
      </w:r>
      <w:r w:rsidR="004756C1" w:rsidRPr="002F50BD">
        <w:rPr>
          <w:rFonts w:ascii="Verdana" w:hAnsi="Verdana"/>
          <w:sz w:val="20"/>
          <w:lang w:val="pt-BR"/>
        </w:rPr>
        <w:t>Estado</w:t>
      </w:r>
      <w:r w:rsidR="0089298C" w:rsidRPr="002F50BD">
        <w:rPr>
          <w:rFonts w:ascii="Verdana" w:hAnsi="Verdana"/>
          <w:sz w:val="20"/>
          <w:lang w:val="pt-BR"/>
        </w:rPr>
        <w:t xml:space="preserve"> e solicitou</w:t>
      </w:r>
      <w:r w:rsidR="008C29C9" w:rsidRPr="002F50BD">
        <w:rPr>
          <w:rFonts w:ascii="Verdana" w:hAnsi="Verdana"/>
          <w:sz w:val="20"/>
          <w:lang w:val="pt-BR"/>
        </w:rPr>
        <w:t>-lhes</w:t>
      </w:r>
      <w:r w:rsidR="004756C1" w:rsidRPr="002F50BD">
        <w:rPr>
          <w:rFonts w:ascii="Verdana" w:hAnsi="Verdana"/>
          <w:sz w:val="20"/>
          <w:lang w:val="pt-BR"/>
        </w:rPr>
        <w:t xml:space="preserve"> que</w:t>
      </w:r>
      <w:r w:rsidR="00D75E00" w:rsidRPr="002F50BD">
        <w:rPr>
          <w:rFonts w:ascii="Verdana" w:hAnsi="Verdana"/>
          <w:sz w:val="20"/>
          <w:lang w:val="pt-BR"/>
        </w:rPr>
        <w:t>,</w:t>
      </w:r>
      <w:r w:rsidR="004756C1" w:rsidRPr="002F50BD">
        <w:rPr>
          <w:rFonts w:ascii="Verdana" w:hAnsi="Verdana"/>
          <w:sz w:val="20"/>
          <w:lang w:val="pt-BR"/>
        </w:rPr>
        <w:t xml:space="preserve"> dentro </w:t>
      </w:r>
      <w:r w:rsidR="0089298C" w:rsidRPr="002F50BD">
        <w:rPr>
          <w:rFonts w:ascii="Verdana" w:hAnsi="Verdana"/>
          <w:sz w:val="20"/>
          <w:lang w:val="pt-BR"/>
        </w:rPr>
        <w:t>do prazo</w:t>
      </w:r>
      <w:r w:rsidR="004756C1" w:rsidRPr="002F50BD">
        <w:rPr>
          <w:rFonts w:ascii="Verdana" w:hAnsi="Verdana"/>
          <w:sz w:val="20"/>
          <w:lang w:val="pt-BR"/>
        </w:rPr>
        <w:t xml:space="preserve"> de</w:t>
      </w:r>
      <w:r w:rsidR="0089298C" w:rsidRPr="002F50BD">
        <w:rPr>
          <w:rFonts w:ascii="Verdana" w:hAnsi="Verdana"/>
          <w:sz w:val="20"/>
          <w:lang w:val="pt-BR"/>
        </w:rPr>
        <w:t xml:space="preserve"> um mês</w:t>
      </w:r>
      <w:r w:rsidR="00D75E00" w:rsidRPr="002F50BD">
        <w:rPr>
          <w:rFonts w:ascii="Verdana" w:hAnsi="Verdana"/>
          <w:sz w:val="20"/>
          <w:lang w:val="pt-BR"/>
        </w:rPr>
        <w:t>,</w:t>
      </w:r>
      <w:r w:rsidR="0089298C" w:rsidRPr="002F50BD">
        <w:rPr>
          <w:rFonts w:ascii="Verdana" w:hAnsi="Verdana"/>
          <w:sz w:val="20"/>
          <w:lang w:val="pt-BR"/>
        </w:rPr>
        <w:t xml:space="preserve"> apresentassem</w:t>
      </w:r>
      <w:r w:rsidR="004756C1" w:rsidRPr="002F50BD">
        <w:rPr>
          <w:rFonts w:ascii="Verdana" w:hAnsi="Verdana"/>
          <w:sz w:val="20"/>
          <w:lang w:val="pt-BR"/>
        </w:rPr>
        <w:t xml:space="preserve"> su</w:t>
      </w:r>
      <w:r w:rsidR="008C29C9" w:rsidRPr="002F50BD">
        <w:rPr>
          <w:rFonts w:ascii="Verdana" w:hAnsi="Verdana"/>
          <w:sz w:val="20"/>
          <w:lang w:val="pt-BR"/>
        </w:rPr>
        <w:t>a</w:t>
      </w:r>
      <w:r w:rsidR="004756C1" w:rsidRPr="002F50BD">
        <w:rPr>
          <w:rFonts w:ascii="Verdana" w:hAnsi="Verdana"/>
          <w:sz w:val="20"/>
          <w:lang w:val="pt-BR"/>
        </w:rPr>
        <w:t xml:space="preserve"> posi</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 respeito</w:t>
      </w:r>
      <w:r w:rsidR="004756C1" w:rsidRPr="002F50BD">
        <w:rPr>
          <w:rFonts w:ascii="Verdana" w:hAnsi="Verdana"/>
          <w:sz w:val="20"/>
          <w:lang w:val="pt-BR"/>
        </w:rPr>
        <w:t xml:space="preserve"> </w:t>
      </w:r>
      <w:r w:rsidR="0089298C" w:rsidRPr="002F50BD">
        <w:rPr>
          <w:rFonts w:ascii="Verdana" w:hAnsi="Verdana"/>
          <w:sz w:val="20"/>
          <w:lang w:val="pt-BR"/>
        </w:rPr>
        <w:t>d</w:t>
      </w:r>
      <w:r w:rsidR="008C29C9" w:rsidRPr="002F50BD">
        <w:rPr>
          <w:rFonts w:ascii="Verdana" w:hAnsi="Verdana"/>
          <w:sz w:val="20"/>
          <w:lang w:val="pt-BR"/>
        </w:rPr>
        <w:t xml:space="preserve">o envio </w:t>
      </w:r>
      <w:r w:rsidR="0089298C" w:rsidRPr="002F50BD">
        <w:rPr>
          <w:rFonts w:ascii="Verdana" w:hAnsi="Verdana"/>
          <w:sz w:val="20"/>
          <w:lang w:val="pt-BR"/>
        </w:rPr>
        <w:t xml:space="preserve">do </w:t>
      </w:r>
      <w:r w:rsidR="004756C1" w:rsidRPr="002F50BD">
        <w:rPr>
          <w:rFonts w:ascii="Verdana" w:hAnsi="Verdana"/>
          <w:sz w:val="20"/>
          <w:lang w:val="pt-BR"/>
        </w:rPr>
        <w:t>caso</w:t>
      </w:r>
      <w:r w:rsidR="0089298C" w:rsidRPr="002F50BD">
        <w:rPr>
          <w:rFonts w:ascii="Verdana" w:hAnsi="Verdana"/>
          <w:sz w:val="20"/>
          <w:lang w:val="pt-BR"/>
        </w:rPr>
        <w:t xml:space="preserve"> à </w:t>
      </w:r>
      <w:r w:rsidR="004756C1" w:rsidRPr="002F50BD">
        <w:rPr>
          <w:rFonts w:ascii="Verdana" w:hAnsi="Verdana"/>
          <w:sz w:val="20"/>
          <w:lang w:val="pt-BR"/>
        </w:rPr>
        <w:t>Corte.</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19</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2003</w:t>
      </w:r>
      <w:r w:rsidR="004756C1" w:rsidRPr="002F50BD">
        <w:rPr>
          <w:rFonts w:ascii="Verdana" w:hAnsi="Verdana"/>
          <w:sz w:val="20"/>
          <w:lang w:val="pt-BR"/>
        </w:rPr>
        <w:t xml:space="preserve">, </w:t>
      </w:r>
      <w:r w:rsidR="008C29C9" w:rsidRPr="002F50BD">
        <w:rPr>
          <w:rFonts w:ascii="Verdana" w:hAnsi="Verdana"/>
          <w:sz w:val="20"/>
          <w:lang w:val="pt-BR"/>
        </w:rPr>
        <w:t xml:space="preserve">após uma prorrogação de prazo </w:t>
      </w:r>
      <w:r w:rsidR="004756C1" w:rsidRPr="002F50BD">
        <w:rPr>
          <w:rFonts w:ascii="Verdana" w:hAnsi="Verdana"/>
          <w:sz w:val="20"/>
          <w:lang w:val="pt-BR"/>
        </w:rPr>
        <w:t>concedida,</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4076AD" w:rsidRPr="002F50BD">
        <w:rPr>
          <w:rFonts w:ascii="Verdana" w:hAnsi="Verdana"/>
          <w:sz w:val="20"/>
          <w:lang w:val="pt-BR"/>
        </w:rPr>
        <w:t>enviou</w:t>
      </w:r>
      <w:r w:rsidR="004756C1" w:rsidRPr="002F50BD">
        <w:rPr>
          <w:rFonts w:ascii="Verdana" w:hAnsi="Verdana"/>
          <w:sz w:val="20"/>
          <w:lang w:val="pt-BR"/>
        </w:rPr>
        <w:t xml:space="preserve"> su</w:t>
      </w:r>
      <w:r w:rsidR="008C29C9" w:rsidRPr="002F50BD">
        <w:rPr>
          <w:rFonts w:ascii="Verdana" w:hAnsi="Verdana"/>
          <w:sz w:val="20"/>
          <w:lang w:val="pt-BR"/>
        </w:rPr>
        <w:t>a</w:t>
      </w:r>
      <w:r w:rsidR="004756C1" w:rsidRPr="002F50BD">
        <w:rPr>
          <w:rFonts w:ascii="Verdana" w:hAnsi="Verdana"/>
          <w:sz w:val="20"/>
          <w:lang w:val="pt-BR"/>
        </w:rPr>
        <w:t xml:space="preserve"> res</w:t>
      </w:r>
      <w:r w:rsidR="0089298C" w:rsidRPr="002F50BD">
        <w:rPr>
          <w:rFonts w:ascii="Verdana" w:hAnsi="Verdana"/>
          <w:sz w:val="20"/>
          <w:lang w:val="pt-BR"/>
        </w:rPr>
        <w:t xml:space="preserve">posta às </w:t>
      </w:r>
      <w:r w:rsidR="004756C1" w:rsidRPr="002F50BD">
        <w:rPr>
          <w:rFonts w:ascii="Verdana" w:hAnsi="Verdana"/>
          <w:sz w:val="20"/>
          <w:lang w:val="pt-BR"/>
        </w:rPr>
        <w:t>recomenda</w:t>
      </w:r>
      <w:r w:rsidR="0089298C" w:rsidRPr="002F50BD">
        <w:rPr>
          <w:rFonts w:ascii="Verdana" w:hAnsi="Verdana"/>
          <w:sz w:val="20"/>
          <w:lang w:val="pt-BR"/>
        </w:rPr>
        <w:t>ções</w:t>
      </w:r>
      <w:r w:rsidR="004756C1" w:rsidRPr="002F50BD">
        <w:rPr>
          <w:rFonts w:ascii="Verdana" w:hAnsi="Verdana"/>
          <w:sz w:val="20"/>
          <w:lang w:val="pt-BR"/>
        </w:rPr>
        <w:t xml:space="preserve"> realizadas</w:t>
      </w:r>
      <w:r w:rsidR="0089298C" w:rsidRPr="002F50BD">
        <w:rPr>
          <w:rFonts w:ascii="Verdana" w:hAnsi="Verdana"/>
          <w:sz w:val="20"/>
          <w:lang w:val="pt-BR"/>
        </w:rPr>
        <w:t xml:space="preserve"> pela Comissão no Relatório de Mérito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67</w:t>
      </w:r>
      <w:r w:rsidR="004756C1" w:rsidRPr="002F50BD">
        <w:rPr>
          <w:rFonts w:ascii="Verdana" w:hAnsi="Verdana"/>
          <w:sz w:val="20"/>
          <w:lang w:val="pt-BR"/>
        </w:rPr>
        <w:t>/</w:t>
      </w:r>
      <w:r w:rsidRPr="002F50BD">
        <w:rPr>
          <w:rFonts w:ascii="Verdana" w:hAnsi="Verdana"/>
          <w:sz w:val="20"/>
          <w:lang w:val="pt-BR"/>
        </w:rPr>
        <w:t>02</w:t>
      </w:r>
      <w:r w:rsidR="004756C1" w:rsidRPr="002F50BD">
        <w:rPr>
          <w:rFonts w:ascii="Verdana" w:hAnsi="Verdana"/>
          <w:sz w:val="20"/>
          <w:lang w:val="pt-BR"/>
        </w:rPr>
        <w:t xml:space="preserve">. </w:t>
      </w:r>
      <w:r w:rsidR="0089298C" w:rsidRPr="002F50BD">
        <w:rPr>
          <w:rFonts w:ascii="Verdana" w:hAnsi="Verdana"/>
          <w:sz w:val="20"/>
          <w:lang w:val="pt-BR"/>
        </w:rPr>
        <w:t>Depois</w:t>
      </w:r>
      <w:r w:rsidR="004756C1" w:rsidRPr="002F50BD">
        <w:rPr>
          <w:rFonts w:ascii="Verdana" w:hAnsi="Verdana"/>
          <w:sz w:val="20"/>
          <w:lang w:val="pt-BR"/>
        </w:rPr>
        <w:t xml:space="preserve"> de </w:t>
      </w:r>
      <w:r w:rsidR="0089298C" w:rsidRPr="002F50BD">
        <w:rPr>
          <w:rFonts w:ascii="Verdana" w:hAnsi="Verdana"/>
          <w:sz w:val="20"/>
          <w:lang w:val="pt-BR"/>
        </w:rPr>
        <w:t xml:space="preserve">analisar a </w:t>
      </w:r>
      <w:r w:rsidR="004756C1" w:rsidRPr="002F50BD">
        <w:rPr>
          <w:rFonts w:ascii="Verdana" w:hAnsi="Verdana"/>
          <w:sz w:val="20"/>
          <w:lang w:val="pt-BR"/>
        </w:rPr>
        <w:t>res</w:t>
      </w:r>
      <w:r w:rsidR="0089298C" w:rsidRPr="002F50BD">
        <w:rPr>
          <w:rFonts w:ascii="Verdana" w:hAnsi="Verdana"/>
          <w:sz w:val="20"/>
          <w:lang w:val="pt-BR"/>
        </w:rPr>
        <w:t>posta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às </w:t>
      </w:r>
      <w:r w:rsidR="004756C1" w:rsidRPr="002F50BD">
        <w:rPr>
          <w:rFonts w:ascii="Verdana" w:hAnsi="Verdana"/>
          <w:sz w:val="20"/>
          <w:lang w:val="pt-BR"/>
        </w:rPr>
        <w:t>citadas recomenda</w:t>
      </w:r>
      <w:r w:rsidR="0089298C" w:rsidRPr="002F50BD">
        <w:rPr>
          <w:rFonts w:ascii="Verdana" w:hAnsi="Verdana"/>
          <w:sz w:val="20"/>
          <w:lang w:val="pt-BR"/>
        </w:rPr>
        <w:t>ções</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decidiu</w:t>
      </w:r>
      <w:r w:rsidR="004756C1" w:rsidRPr="002F50BD">
        <w:rPr>
          <w:rFonts w:ascii="Verdana" w:hAnsi="Verdana"/>
          <w:sz w:val="20"/>
          <w:lang w:val="pt-BR"/>
        </w:rPr>
        <w:t xml:space="preserve"> </w:t>
      </w:r>
      <w:r w:rsidR="0089298C" w:rsidRPr="002F50BD">
        <w:rPr>
          <w:rFonts w:ascii="Verdana" w:hAnsi="Verdana"/>
          <w:sz w:val="20"/>
          <w:lang w:val="pt-BR"/>
        </w:rPr>
        <w:t xml:space="preserve">submeter o </w:t>
      </w:r>
      <w:r w:rsidR="004756C1" w:rsidRPr="002F50BD">
        <w:rPr>
          <w:rFonts w:ascii="Verdana" w:hAnsi="Verdana"/>
          <w:sz w:val="20"/>
          <w:lang w:val="pt-BR"/>
        </w:rPr>
        <w:t>presente caso</w:t>
      </w:r>
      <w:r w:rsidR="0089298C" w:rsidRPr="002F50BD">
        <w:rPr>
          <w:rFonts w:ascii="Verdana" w:hAnsi="Verdana"/>
          <w:sz w:val="20"/>
          <w:lang w:val="pt-BR"/>
        </w:rPr>
        <w:t xml:space="preserve"> </w:t>
      </w:r>
      <w:r w:rsidR="008C29C9"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Corte Interamericana.</w:t>
      </w:r>
    </w:p>
    <w:p w:rsidR="004756C1" w:rsidRPr="002F50BD" w:rsidRDefault="004756C1">
      <w:pPr>
        <w:ind w:firstLine="720"/>
        <w:jc w:val="both"/>
        <w:rPr>
          <w:rFonts w:ascii="Verdana" w:hAnsi="Verdana"/>
          <w:sz w:val="20"/>
          <w:lang w:val="pt-BR"/>
        </w:rPr>
      </w:pP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IV</w:t>
      </w:r>
    </w:p>
    <w:p w:rsidR="004756C1" w:rsidRPr="002F50BD" w:rsidRDefault="0089298C">
      <w:pPr>
        <w:pStyle w:val="Heading1"/>
        <w:jc w:val="center"/>
        <w:rPr>
          <w:b/>
          <w:smallCaps/>
          <w:sz w:val="20"/>
          <w:lang w:val="pt-BR"/>
        </w:rPr>
      </w:pPr>
      <w:bookmarkStart w:id="25" w:name="_Toc479141677"/>
      <w:bookmarkStart w:id="26" w:name="_Toc479146182"/>
      <w:bookmarkStart w:id="27" w:name="_Toc479154423"/>
      <w:bookmarkStart w:id="28" w:name="_Toc479154461"/>
      <w:bookmarkStart w:id="29" w:name="_Toc505326897"/>
      <w:bookmarkStart w:id="30" w:name="_Toc506008629"/>
      <w:bookmarkStart w:id="31" w:name="_Toc506286969"/>
      <w:bookmarkStart w:id="32" w:name="_Toc506363178"/>
      <w:bookmarkStart w:id="33" w:name="_Toc506365989"/>
      <w:bookmarkStart w:id="34" w:name="_Toc506382961"/>
      <w:bookmarkStart w:id="35" w:name="_Toc506626585"/>
      <w:bookmarkStart w:id="36" w:name="_Toc506715427"/>
      <w:bookmarkStart w:id="37" w:name="_Toc506821851"/>
      <w:r w:rsidRPr="002F50BD">
        <w:rPr>
          <w:b/>
          <w:smallCaps/>
          <w:sz w:val="20"/>
          <w:lang w:val="pt-BR"/>
        </w:rPr>
        <w:t xml:space="preserve">Procedimento perante a </w:t>
      </w:r>
      <w:r w:rsidR="004756C1" w:rsidRPr="002F50BD">
        <w:rPr>
          <w:b/>
          <w:smallCaps/>
          <w:sz w:val="20"/>
          <w:lang w:val="pt-BR"/>
        </w:rPr>
        <w:t>Corte</w:t>
      </w:r>
      <w:bookmarkEnd w:id="25"/>
      <w:bookmarkEnd w:id="26"/>
      <w:bookmarkEnd w:id="27"/>
      <w:bookmarkEnd w:id="28"/>
      <w:bookmarkEnd w:id="29"/>
      <w:bookmarkEnd w:id="30"/>
      <w:bookmarkEnd w:id="31"/>
      <w:bookmarkEnd w:id="32"/>
      <w:bookmarkEnd w:id="33"/>
      <w:bookmarkEnd w:id="34"/>
      <w:bookmarkEnd w:id="35"/>
      <w:bookmarkEnd w:id="36"/>
      <w:bookmarkEnd w:id="37"/>
    </w:p>
    <w:p w:rsidR="004756C1" w:rsidRPr="002F50BD" w:rsidRDefault="004756C1">
      <w:pPr>
        <w:jc w:val="both"/>
        <w:rPr>
          <w:rFonts w:ascii="Verdana" w:hAnsi="Verdana"/>
          <w:smallCaps/>
          <w:sz w:val="20"/>
          <w:lang w:val="pt-BR"/>
        </w:rPr>
      </w:pPr>
    </w:p>
    <w:p w:rsidR="004756C1" w:rsidRPr="002F50BD" w:rsidRDefault="00063B47">
      <w:pPr>
        <w:pStyle w:val="BodyText"/>
        <w:widowControl/>
        <w:rPr>
          <w:rFonts w:ascii="Verdana" w:hAnsi="Verdana"/>
          <w:sz w:val="20"/>
          <w:lang w:val="pt-BR"/>
        </w:rPr>
      </w:pPr>
      <w:r w:rsidRPr="002F50BD">
        <w:rPr>
          <w:rFonts w:ascii="Verdana" w:hAnsi="Verdana"/>
          <w:sz w:val="20"/>
          <w:lang w:val="pt-BR"/>
        </w:rPr>
        <w:t>10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2003</w:t>
      </w:r>
      <w:r w:rsidR="00060B3A"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Interamericana </w:t>
      </w:r>
      <w:r w:rsidR="0089298C" w:rsidRPr="002F50BD">
        <w:rPr>
          <w:rFonts w:ascii="Verdana" w:eastAsia="Times" w:hAnsi="Verdana"/>
          <w:sz w:val="20"/>
          <w:lang w:val="pt-BR"/>
        </w:rPr>
        <w:t xml:space="preserve">apresentou a </w:t>
      </w:r>
      <w:r w:rsidR="004756C1" w:rsidRPr="002F50BD">
        <w:rPr>
          <w:rFonts w:ascii="Verdana" w:eastAsia="Times" w:hAnsi="Verdana"/>
          <w:sz w:val="20"/>
          <w:lang w:val="pt-BR"/>
        </w:rPr>
        <w:t>demanda</w:t>
      </w:r>
      <w:r w:rsidR="0089298C" w:rsidRPr="002F50BD">
        <w:rPr>
          <w:rFonts w:ascii="Verdana" w:eastAsia="Times" w:hAnsi="Verdana"/>
          <w:sz w:val="20"/>
          <w:lang w:val="pt-BR"/>
        </w:rPr>
        <w:t xml:space="preserve"> </w:t>
      </w:r>
      <w:r w:rsidR="008C29C9" w:rsidRPr="002F50BD">
        <w:rPr>
          <w:rFonts w:ascii="Verdana" w:eastAsia="Times" w:hAnsi="Verdana"/>
          <w:sz w:val="20"/>
          <w:lang w:val="pt-BR"/>
        </w:rPr>
        <w:t>à</w:t>
      </w:r>
      <w:r w:rsidR="0089298C" w:rsidRPr="002F50BD">
        <w:rPr>
          <w:rFonts w:ascii="Verdana" w:eastAsia="Times" w:hAnsi="Verdana"/>
          <w:sz w:val="20"/>
          <w:lang w:val="pt-BR"/>
        </w:rPr>
        <w:t xml:space="preserve"> </w:t>
      </w:r>
      <w:r w:rsidR="004756C1" w:rsidRPr="002F50BD">
        <w:rPr>
          <w:rFonts w:ascii="Verdana" w:eastAsia="Times" w:hAnsi="Verdana"/>
          <w:sz w:val="20"/>
          <w:lang w:val="pt-BR"/>
        </w:rPr>
        <w:t>Corte,</w:t>
      </w:r>
      <w:r w:rsidR="0089298C" w:rsidRPr="002F50BD">
        <w:rPr>
          <w:rFonts w:ascii="Verdana" w:eastAsia="Times" w:hAnsi="Verdana"/>
          <w:sz w:val="20"/>
          <w:lang w:val="pt-BR"/>
        </w:rPr>
        <w:t xml:space="preserve"> anexou</w:t>
      </w:r>
      <w:r w:rsidR="004756C1" w:rsidRPr="002F50BD">
        <w:rPr>
          <w:rFonts w:ascii="Verdana" w:eastAsia="Times" w:hAnsi="Verdana"/>
          <w:sz w:val="20"/>
          <w:lang w:val="pt-BR"/>
        </w:rPr>
        <w:t xml:space="preserve"> </w:t>
      </w:r>
      <w:r w:rsidR="0089298C" w:rsidRPr="002F50BD">
        <w:rPr>
          <w:rFonts w:ascii="Verdana" w:eastAsia="Times" w:hAnsi="Verdana"/>
          <w:sz w:val="20"/>
          <w:lang w:val="pt-BR"/>
        </w:rPr>
        <w:t>prova</w:t>
      </w:r>
      <w:r w:rsidR="004756C1" w:rsidRPr="002F50BD">
        <w:rPr>
          <w:rFonts w:ascii="Verdana" w:eastAsia="Times" w:hAnsi="Verdana"/>
          <w:sz w:val="20"/>
          <w:lang w:val="pt-BR"/>
        </w:rPr>
        <w:t xml:space="preserve"> documental</w:t>
      </w:r>
      <w:r w:rsidR="0089298C" w:rsidRPr="002F50BD">
        <w:rPr>
          <w:rFonts w:ascii="Verdana" w:eastAsia="Times" w:hAnsi="Verdana"/>
          <w:sz w:val="20"/>
          <w:lang w:val="pt-BR"/>
        </w:rPr>
        <w:t xml:space="preserve"> e ofereceu</w:t>
      </w:r>
      <w:r w:rsidR="004756C1" w:rsidRPr="002F50BD">
        <w:rPr>
          <w:rFonts w:ascii="Verdana" w:eastAsia="Times" w:hAnsi="Verdana"/>
          <w:sz w:val="20"/>
          <w:lang w:val="pt-BR"/>
        </w:rPr>
        <w:t xml:space="preserve"> </w:t>
      </w:r>
      <w:r w:rsidR="0089298C" w:rsidRPr="002F50BD">
        <w:rPr>
          <w:rFonts w:ascii="Verdana" w:eastAsia="Times" w:hAnsi="Verdana"/>
          <w:sz w:val="20"/>
          <w:lang w:val="pt-BR"/>
        </w:rPr>
        <w:t>prova</w:t>
      </w:r>
      <w:r w:rsidR="004756C1" w:rsidRPr="002F50BD">
        <w:rPr>
          <w:rFonts w:ascii="Verdana" w:eastAsia="Times" w:hAnsi="Verdana"/>
          <w:sz w:val="20"/>
          <w:lang w:val="pt-BR"/>
        </w:rPr>
        <w:t xml:space="preserve"> </w:t>
      </w:r>
      <w:r w:rsidR="0089298C" w:rsidRPr="002F50BD">
        <w:rPr>
          <w:rFonts w:ascii="Verdana" w:eastAsia="Times" w:hAnsi="Verdana"/>
          <w:sz w:val="20"/>
          <w:lang w:val="pt-BR"/>
        </w:rPr>
        <w:t xml:space="preserve">testemunhal e </w:t>
      </w:r>
      <w:r w:rsidR="004756C1" w:rsidRPr="002F50BD">
        <w:rPr>
          <w:rFonts w:ascii="Verdana" w:eastAsia="Times" w:hAnsi="Verdana"/>
          <w:sz w:val="20"/>
          <w:lang w:val="pt-BR"/>
        </w:rPr>
        <w:t xml:space="preserve">pericial.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Pr="002F50BD">
        <w:rPr>
          <w:rFonts w:ascii="Verdana" w:hAnsi="Verdana"/>
          <w:sz w:val="20"/>
          <w:lang w:val="pt-BR"/>
        </w:rPr>
        <w:t>22</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designou</w:t>
      </w:r>
      <w:r w:rsidR="004756C1" w:rsidRPr="002F50BD">
        <w:rPr>
          <w:rFonts w:ascii="Verdana" w:hAnsi="Verdana"/>
          <w:sz w:val="20"/>
          <w:lang w:val="pt-BR"/>
        </w:rPr>
        <w:t xml:space="preserve"> como Delegados</w:t>
      </w:r>
      <w:r w:rsidR="0089298C" w:rsidRPr="002F50BD">
        <w:rPr>
          <w:rFonts w:ascii="Verdana" w:hAnsi="Verdana"/>
          <w:sz w:val="20"/>
          <w:lang w:val="pt-BR"/>
        </w:rPr>
        <w:t xml:space="preserve"> os senhores</w:t>
      </w:r>
      <w:r w:rsidR="004756C1" w:rsidRPr="002F50BD">
        <w:rPr>
          <w:rFonts w:ascii="Verdana" w:hAnsi="Verdana"/>
          <w:sz w:val="20"/>
          <w:lang w:val="pt-BR"/>
        </w:rPr>
        <w:t xml:space="preserve"> José Zalaquett</w:t>
      </w:r>
      <w:r w:rsidR="0089298C" w:rsidRPr="002F50BD">
        <w:rPr>
          <w:rFonts w:ascii="Verdana" w:hAnsi="Verdana"/>
          <w:sz w:val="20"/>
          <w:lang w:val="pt-BR"/>
        </w:rPr>
        <w:t xml:space="preserve"> e </w:t>
      </w:r>
      <w:r w:rsidR="004756C1" w:rsidRPr="002F50BD">
        <w:rPr>
          <w:rFonts w:ascii="Verdana" w:hAnsi="Verdana"/>
          <w:sz w:val="20"/>
          <w:lang w:val="pt-BR"/>
        </w:rPr>
        <w:t>Santiago Canton</w:t>
      </w:r>
      <w:r w:rsidR="0089298C" w:rsidRPr="002F50BD">
        <w:rPr>
          <w:rFonts w:ascii="Verdana" w:hAnsi="Verdana"/>
          <w:sz w:val="20"/>
          <w:lang w:val="pt-BR"/>
        </w:rPr>
        <w:t xml:space="preserve"> e</w:t>
      </w:r>
      <w:r w:rsidR="00CF451D">
        <w:rPr>
          <w:rFonts w:ascii="Verdana" w:hAnsi="Verdana"/>
          <w:sz w:val="20"/>
          <w:lang w:val="pt-BR"/>
        </w:rPr>
        <w:t>,</w:t>
      </w:r>
      <w:r w:rsidR="004756C1" w:rsidRPr="002F50BD">
        <w:rPr>
          <w:rFonts w:ascii="Verdana" w:hAnsi="Verdana"/>
          <w:sz w:val="20"/>
          <w:lang w:val="pt-BR"/>
        </w:rPr>
        <w:t xml:space="preserve"> como </w:t>
      </w:r>
      <w:r w:rsidR="0089298C" w:rsidRPr="002F50BD">
        <w:rPr>
          <w:rFonts w:ascii="Verdana" w:hAnsi="Verdana"/>
          <w:sz w:val="20"/>
          <w:lang w:val="pt-BR"/>
        </w:rPr>
        <w:t>assessores</w:t>
      </w:r>
      <w:r w:rsidR="00D75E00" w:rsidRPr="002F50BD">
        <w:rPr>
          <w:rFonts w:ascii="Verdana" w:hAnsi="Verdana"/>
          <w:sz w:val="20"/>
          <w:lang w:val="pt-BR"/>
        </w:rPr>
        <w:t>,</w:t>
      </w:r>
      <w:r w:rsidR="0089298C" w:rsidRPr="002F50BD">
        <w:rPr>
          <w:rFonts w:ascii="Verdana" w:hAnsi="Verdana"/>
          <w:sz w:val="20"/>
          <w:lang w:val="pt-BR"/>
        </w:rPr>
        <w:t xml:space="preserve"> </w:t>
      </w:r>
      <w:r w:rsidR="008C29C9" w:rsidRPr="002F50BD">
        <w:rPr>
          <w:rFonts w:ascii="Verdana" w:hAnsi="Verdana"/>
          <w:sz w:val="20"/>
          <w:lang w:val="pt-BR"/>
        </w:rPr>
        <w:t>a</w:t>
      </w:r>
      <w:r w:rsidR="0089298C" w:rsidRPr="002F50BD">
        <w:rPr>
          <w:rFonts w:ascii="Verdana" w:hAnsi="Verdana"/>
          <w:sz w:val="20"/>
          <w:lang w:val="pt-BR"/>
        </w:rPr>
        <w:t xml:space="preserve"> senhora</w:t>
      </w:r>
      <w:r w:rsidR="004756C1" w:rsidRPr="002F50BD">
        <w:rPr>
          <w:rFonts w:ascii="Verdana" w:hAnsi="Verdana"/>
          <w:sz w:val="20"/>
          <w:lang w:val="pt-BR"/>
        </w:rPr>
        <w:t xml:space="preserve"> Isabel Madariaga</w:t>
      </w:r>
      <w:r w:rsidR="0089298C" w:rsidRPr="002F50BD">
        <w:rPr>
          <w:rFonts w:ascii="Verdana" w:hAnsi="Verdana"/>
          <w:sz w:val="20"/>
          <w:lang w:val="pt-BR"/>
        </w:rPr>
        <w:t xml:space="preserve"> e os senhores</w:t>
      </w:r>
      <w:r w:rsidR="004756C1" w:rsidRPr="002F50BD">
        <w:rPr>
          <w:rFonts w:ascii="Verdana" w:hAnsi="Verdana"/>
          <w:sz w:val="20"/>
          <w:lang w:val="pt-BR"/>
        </w:rPr>
        <w:t xml:space="preserve"> Ariel Dulitzky e Ignacio Álvarez.</w:t>
      </w:r>
      <w:r w:rsidR="00FE08B7">
        <w:rPr>
          <w:rFonts w:ascii="Verdana" w:hAnsi="Verdana"/>
          <w:sz w:val="20"/>
          <w:lang w:val="pt-BR"/>
        </w:rPr>
        <w:t xml:space="preserve"> </w:t>
      </w:r>
      <w:r w:rsidR="008C29C9" w:rsidRPr="002F50BD">
        <w:rPr>
          <w:rFonts w:ascii="Verdana" w:hAnsi="Verdana"/>
          <w:sz w:val="20"/>
          <w:lang w:val="pt-BR"/>
        </w:rPr>
        <w:t>Além disso</w:t>
      </w:r>
      <w:r w:rsidR="004756C1" w:rsidRPr="002F50BD">
        <w:rPr>
          <w:rFonts w:ascii="Verdana" w:hAnsi="Verdana"/>
          <w:sz w:val="20"/>
          <w:lang w:val="pt-BR"/>
        </w:rPr>
        <w:t xml:space="preserve">,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Pr="002F50BD">
        <w:rPr>
          <w:rFonts w:ascii="Verdana" w:hAnsi="Verdana"/>
          <w:sz w:val="20"/>
          <w:lang w:val="pt-BR"/>
        </w:rPr>
        <w:t>33</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informou</w:t>
      </w:r>
      <w:r w:rsidR="004756C1" w:rsidRPr="002F50BD">
        <w:rPr>
          <w:rFonts w:ascii="Verdana" w:hAnsi="Verdana"/>
          <w:sz w:val="20"/>
          <w:lang w:val="pt-BR"/>
        </w:rPr>
        <w:t xml:space="preserve"> que</w:t>
      </w:r>
      <w:r w:rsidR="0089298C" w:rsidRPr="002F50BD">
        <w:rPr>
          <w:rFonts w:ascii="Verdana" w:hAnsi="Verdana"/>
          <w:sz w:val="20"/>
          <w:lang w:val="pt-BR"/>
        </w:rPr>
        <w:t xml:space="preserve"> 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 xml:space="preserve">s </w:t>
      </w:r>
      <w:r w:rsidR="00060B3A" w:rsidRPr="002F50BD">
        <w:rPr>
          <w:rFonts w:ascii="Verdana" w:hAnsi="Verdana"/>
          <w:sz w:val="20"/>
          <w:lang w:val="pt-BR"/>
        </w:rPr>
        <w:t>seriam</w:t>
      </w:r>
      <w:r w:rsidR="004756C1" w:rsidRPr="002F50BD">
        <w:rPr>
          <w:rFonts w:ascii="Verdana" w:hAnsi="Verdana"/>
          <w:sz w:val="20"/>
          <w:lang w:val="pt-BR"/>
        </w:rPr>
        <w:t xml:space="preserve"> representad</w:t>
      </w:r>
      <w:r w:rsidR="00D75E00" w:rsidRPr="002F50BD">
        <w:rPr>
          <w:rFonts w:ascii="Verdana" w:hAnsi="Verdana"/>
          <w:sz w:val="20"/>
          <w:lang w:val="pt-BR"/>
        </w:rPr>
        <w:t>a</w:t>
      </w:r>
      <w:r w:rsidR="004756C1" w:rsidRPr="002F50BD">
        <w:rPr>
          <w:rFonts w:ascii="Verdana" w:hAnsi="Verdana"/>
          <w:sz w:val="20"/>
          <w:lang w:val="pt-BR"/>
        </w:rPr>
        <w:t xml:space="preserve">s </w:t>
      </w:r>
      <w:r w:rsidR="00D75E00" w:rsidRPr="002F50BD">
        <w:rPr>
          <w:rFonts w:ascii="Verdana" w:hAnsi="Verdana"/>
          <w:sz w:val="20"/>
          <w:lang w:val="pt-BR"/>
        </w:rPr>
        <w:t xml:space="preserve">pelo </w:t>
      </w:r>
      <w:r w:rsidR="004756C1" w:rsidRPr="002F50BD">
        <w:rPr>
          <w:rFonts w:ascii="Verdana" w:hAnsi="Verdana"/>
          <w:sz w:val="20"/>
          <w:lang w:val="pt-BR"/>
        </w:rPr>
        <w:t>CEJIL</w:t>
      </w:r>
      <w:r w:rsidR="0089298C" w:rsidRPr="002F50BD">
        <w:rPr>
          <w:rFonts w:ascii="Verdana" w:hAnsi="Verdana"/>
          <w:sz w:val="20"/>
          <w:lang w:val="pt-BR"/>
        </w:rPr>
        <w:t xml:space="preserve"> e </w:t>
      </w:r>
      <w:r w:rsidR="00D75E00" w:rsidRPr="002F50BD">
        <w:rPr>
          <w:rFonts w:ascii="Verdana" w:hAnsi="Verdana"/>
          <w:sz w:val="20"/>
          <w:lang w:val="pt-BR"/>
        </w:rPr>
        <w:t xml:space="preserve">pela </w:t>
      </w:r>
      <w:r w:rsidR="002D5D95" w:rsidRPr="002F50BD">
        <w:rPr>
          <w:rFonts w:ascii="Verdana" w:hAnsi="Verdana"/>
          <w:sz w:val="20"/>
          <w:lang w:val="pt-BR"/>
        </w:rPr>
        <w:t>Tierraviva</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8C29C9" w:rsidRPr="002F50BD">
        <w:rPr>
          <w:rFonts w:ascii="Verdana" w:hAnsi="Verdana"/>
          <w:sz w:val="20"/>
          <w:lang w:val="pt-BR"/>
        </w:rPr>
        <w:t xml:space="preserve">denominados </w:t>
      </w:r>
      <w:r w:rsidR="0089298C" w:rsidRPr="002F50BD">
        <w:rPr>
          <w:rFonts w:ascii="Verdana" w:hAnsi="Verdana"/>
          <w:sz w:val="20"/>
          <w:lang w:val="pt-BR"/>
        </w:rPr>
        <w:t>“os</w:t>
      </w:r>
      <w:r w:rsidR="004756C1"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r w:rsidR="00CF451D" w:rsidRPr="00CF451D">
        <w:rPr>
          <w:rFonts w:ascii="Verdana" w:hAnsi="Verdana"/>
          <w:sz w:val="20"/>
          <w:lang w:val="pt-BR"/>
        </w:rPr>
        <w:t>)</w:t>
      </w:r>
      <w:r w:rsidR="00AB454A" w:rsidRPr="002F50BD">
        <w:rPr>
          <w:rFonts w:ascii="Verdana" w:hAnsi="Verdana"/>
          <w:sz w:val="20"/>
          <w:lang w:val="pt-BR"/>
        </w:rPr>
        <w:t xml:space="preserve">. </w:t>
      </w:r>
      <w:r w:rsidR="008C29C9"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11</w:t>
      </w:r>
      <w:r w:rsidR="004756C1" w:rsidRPr="002F50BD">
        <w:rPr>
          <w:rFonts w:ascii="Verdana" w:hAnsi="Verdana"/>
          <w:sz w:val="20"/>
          <w:lang w:val="pt-BR"/>
        </w:rPr>
        <w:t xml:space="preserve"> de abril de </w:t>
      </w:r>
      <w:r w:rsidRPr="002F50BD">
        <w:rPr>
          <w:rFonts w:ascii="Verdana" w:hAnsi="Verdana"/>
          <w:sz w:val="20"/>
          <w:lang w:val="pt-BR"/>
        </w:rPr>
        <w:t>2003</w:t>
      </w:r>
      <w:r w:rsidR="00D75E00" w:rsidRPr="002F50BD">
        <w:rPr>
          <w:rFonts w:ascii="Verdana" w:hAnsi="Verdana"/>
          <w:sz w:val="20"/>
          <w:lang w:val="pt-BR"/>
        </w:rPr>
        <w:t>,</w:t>
      </w:r>
      <w:r w:rsidR="0089298C" w:rsidRPr="002F50BD">
        <w:rPr>
          <w:rFonts w:ascii="Verdana" w:hAnsi="Verdana"/>
          <w:sz w:val="20"/>
          <w:lang w:val="pt-BR"/>
        </w:rPr>
        <w:t xml:space="preserve"> a Secretaria da </w:t>
      </w:r>
      <w:r w:rsidR="004756C1" w:rsidRPr="002F50BD">
        <w:rPr>
          <w:rFonts w:ascii="Verdana" w:hAnsi="Verdana"/>
          <w:sz w:val="20"/>
          <w:lang w:val="pt-BR"/>
        </w:rPr>
        <w:t xml:space="preserve">Corte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8C29C9" w:rsidRPr="002F50BD">
        <w:rPr>
          <w:rFonts w:ascii="Verdana" w:hAnsi="Verdana"/>
          <w:sz w:val="20"/>
          <w:lang w:val="pt-BR"/>
        </w:rPr>
        <w:t xml:space="preserve">denominada </w:t>
      </w:r>
      <w:r w:rsidR="0089298C" w:rsidRPr="002F50BD">
        <w:rPr>
          <w:rFonts w:ascii="Verdana" w:hAnsi="Verdana"/>
          <w:sz w:val="20"/>
          <w:lang w:val="pt-BR"/>
        </w:rPr>
        <w:t xml:space="preserve">“a </w:t>
      </w:r>
      <w:r w:rsidR="00FB33DD" w:rsidRPr="002F50BD">
        <w:rPr>
          <w:rFonts w:ascii="Verdana" w:hAnsi="Verdana"/>
          <w:sz w:val="20"/>
          <w:lang w:val="pt-BR"/>
        </w:rPr>
        <w:t>Secretaria”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uma </w:t>
      </w:r>
      <w:r w:rsidR="004756C1" w:rsidRPr="002F50BD">
        <w:rPr>
          <w:rFonts w:ascii="Verdana" w:hAnsi="Verdana"/>
          <w:sz w:val="20"/>
          <w:lang w:val="pt-BR"/>
        </w:rPr>
        <w:t>vez realizado</w:t>
      </w:r>
      <w:r w:rsidR="0089298C" w:rsidRPr="002F50BD">
        <w:rPr>
          <w:rFonts w:ascii="Verdana" w:hAnsi="Verdana"/>
          <w:sz w:val="20"/>
          <w:lang w:val="pt-BR"/>
        </w:rPr>
        <w:t xml:space="preserve"> o exame</w:t>
      </w:r>
      <w:r w:rsidR="004756C1" w:rsidRPr="002F50BD">
        <w:rPr>
          <w:rFonts w:ascii="Verdana" w:hAnsi="Verdana"/>
          <w:sz w:val="20"/>
          <w:lang w:val="pt-BR"/>
        </w:rPr>
        <w:t xml:space="preserve"> preliminar</w:t>
      </w:r>
      <w:r w:rsidR="0089298C" w:rsidRPr="002F50BD">
        <w:rPr>
          <w:rFonts w:ascii="Verdana" w:hAnsi="Verdana"/>
          <w:sz w:val="20"/>
          <w:lang w:val="pt-BR"/>
        </w:rPr>
        <w:t xml:space="preserve"> da </w:t>
      </w:r>
      <w:r w:rsidR="004756C1" w:rsidRPr="002F50BD">
        <w:rPr>
          <w:rFonts w:ascii="Verdana" w:hAnsi="Verdana"/>
          <w:sz w:val="20"/>
          <w:lang w:val="pt-BR"/>
        </w:rPr>
        <w:t>demanda</w:t>
      </w:r>
      <w:r w:rsidR="0089298C" w:rsidRPr="002F50BD">
        <w:rPr>
          <w:rFonts w:ascii="Verdana" w:hAnsi="Verdana"/>
          <w:sz w:val="20"/>
          <w:lang w:val="pt-BR"/>
        </w:rPr>
        <w:t xml:space="preserve"> pelo </w:t>
      </w:r>
      <w:r w:rsidR="004756C1" w:rsidRPr="002F50BD">
        <w:rPr>
          <w:rFonts w:ascii="Verdana" w:hAnsi="Verdana"/>
          <w:sz w:val="20"/>
          <w:lang w:val="pt-BR"/>
        </w:rPr>
        <w:t>Presidente</w:t>
      </w:r>
      <w:r w:rsidR="0089298C" w:rsidRPr="002F50BD">
        <w:rPr>
          <w:rFonts w:ascii="Verdana" w:hAnsi="Verdana"/>
          <w:sz w:val="20"/>
          <w:lang w:val="pt-BR"/>
        </w:rPr>
        <w:t xml:space="preserve"> da </w:t>
      </w:r>
      <w:r w:rsidR="004756C1" w:rsidRPr="002F50BD">
        <w:rPr>
          <w:rFonts w:ascii="Verdana" w:hAnsi="Verdana"/>
          <w:sz w:val="20"/>
          <w:lang w:val="pt-BR"/>
        </w:rPr>
        <w:t xml:space="preserve">Corte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8C29C9" w:rsidRPr="002F50BD">
        <w:rPr>
          <w:rFonts w:ascii="Verdana" w:hAnsi="Verdana"/>
          <w:sz w:val="20"/>
          <w:lang w:val="pt-BR"/>
        </w:rPr>
        <w:t xml:space="preserve">denominado </w:t>
      </w:r>
      <w:r w:rsidR="0089298C" w:rsidRPr="002F50BD">
        <w:rPr>
          <w:rFonts w:ascii="Verdana" w:hAnsi="Verdana"/>
          <w:sz w:val="20"/>
          <w:lang w:val="pt-BR"/>
        </w:rPr>
        <w:t xml:space="preserve">“o </w:t>
      </w:r>
      <w:r w:rsidR="004756C1" w:rsidRPr="002F50BD">
        <w:rPr>
          <w:rFonts w:ascii="Verdana" w:hAnsi="Verdana"/>
          <w:sz w:val="20"/>
          <w:lang w:val="pt-BR"/>
        </w:rPr>
        <w:t>Presidente”</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notificou</w:t>
      </w:r>
      <w:r w:rsidR="002B7B0C" w:rsidRPr="002F50BD">
        <w:rPr>
          <w:rFonts w:ascii="Verdana" w:hAnsi="Verdana"/>
          <w:sz w:val="20"/>
          <w:lang w:val="pt-BR"/>
        </w:rPr>
        <w:t xml:space="preserve"> o Estado sobre a demanda e </w:t>
      </w:r>
      <w:r w:rsidR="0089298C" w:rsidRPr="002F50BD">
        <w:rPr>
          <w:rFonts w:ascii="Verdana" w:hAnsi="Verdana"/>
          <w:sz w:val="20"/>
          <w:lang w:val="pt-BR"/>
        </w:rPr>
        <w:t>seus anexos e</w:t>
      </w:r>
      <w:r w:rsidR="004756C1" w:rsidRPr="002F50BD">
        <w:rPr>
          <w:rFonts w:ascii="Verdana" w:hAnsi="Verdana"/>
          <w:sz w:val="20"/>
          <w:lang w:val="pt-BR"/>
        </w:rPr>
        <w:t xml:space="preserve"> </w:t>
      </w:r>
      <w:r w:rsidR="0089298C" w:rsidRPr="002F50BD">
        <w:rPr>
          <w:rFonts w:ascii="Verdana" w:hAnsi="Verdana"/>
          <w:sz w:val="20"/>
          <w:lang w:val="pt-BR"/>
        </w:rPr>
        <w:t>informou</w:t>
      </w:r>
      <w:r w:rsidR="008C29C9" w:rsidRPr="002F50BD">
        <w:rPr>
          <w:rFonts w:ascii="Verdana" w:hAnsi="Verdana"/>
          <w:sz w:val="20"/>
          <w:lang w:val="pt-BR"/>
        </w:rPr>
        <w:t>-lhe</w:t>
      </w:r>
      <w:r w:rsidR="004756C1" w:rsidRPr="002F50BD">
        <w:rPr>
          <w:rFonts w:ascii="Verdana" w:hAnsi="Verdana"/>
          <w:sz w:val="20"/>
          <w:lang w:val="pt-BR"/>
        </w:rPr>
        <w:t xml:space="preserve"> sobre</w:t>
      </w:r>
      <w:r w:rsidR="0089298C" w:rsidRPr="002F50BD">
        <w:rPr>
          <w:rFonts w:ascii="Verdana" w:hAnsi="Verdana"/>
          <w:sz w:val="20"/>
          <w:lang w:val="pt-BR"/>
        </w:rPr>
        <w:t xml:space="preserve"> os prazo</w:t>
      </w:r>
      <w:r w:rsidR="004756C1" w:rsidRPr="002F50BD">
        <w:rPr>
          <w:rFonts w:ascii="Verdana" w:hAnsi="Verdana"/>
          <w:sz w:val="20"/>
          <w:lang w:val="pt-BR"/>
        </w:rPr>
        <w:t>s para contest</w:t>
      </w:r>
      <w:r w:rsidR="00AB454A" w:rsidRPr="002F50BD">
        <w:rPr>
          <w:rFonts w:ascii="Verdana" w:hAnsi="Verdana"/>
          <w:sz w:val="20"/>
          <w:lang w:val="pt-BR"/>
        </w:rPr>
        <w:t xml:space="preserve">á-la </w:t>
      </w:r>
      <w:r w:rsidR="0089298C" w:rsidRPr="002F50BD">
        <w:rPr>
          <w:rFonts w:ascii="Verdana" w:hAnsi="Verdana"/>
          <w:sz w:val="20"/>
          <w:lang w:val="pt-BR"/>
        </w:rPr>
        <w:t xml:space="preserve">e </w:t>
      </w:r>
      <w:r w:rsidR="004756C1" w:rsidRPr="002F50BD">
        <w:rPr>
          <w:rFonts w:ascii="Verdana" w:hAnsi="Verdana"/>
          <w:sz w:val="20"/>
          <w:lang w:val="pt-BR"/>
        </w:rPr>
        <w:t>designar su</w:t>
      </w:r>
      <w:r w:rsidR="008C29C9" w:rsidRPr="002F50BD">
        <w:rPr>
          <w:rFonts w:ascii="Verdana" w:hAnsi="Verdana"/>
          <w:sz w:val="20"/>
          <w:lang w:val="pt-BR"/>
        </w:rPr>
        <w:t>a</w:t>
      </w:r>
      <w:r w:rsidR="004756C1" w:rsidRPr="002F50BD">
        <w:rPr>
          <w:rFonts w:ascii="Verdana" w:hAnsi="Verdana"/>
          <w:sz w:val="20"/>
          <w:lang w:val="pt-BR"/>
        </w:rPr>
        <w:t xml:space="preserve"> representa</w:t>
      </w:r>
      <w:r w:rsidR="0089298C" w:rsidRPr="002F50BD">
        <w:rPr>
          <w:rFonts w:ascii="Verdana" w:hAnsi="Verdana"/>
          <w:sz w:val="20"/>
          <w:lang w:val="pt-BR"/>
        </w:rPr>
        <w:t>ção no processo</w:t>
      </w:r>
      <w:r w:rsidR="00FB33DD" w:rsidRPr="002F50BD">
        <w:rPr>
          <w:rFonts w:ascii="Verdana" w:hAnsi="Verdana"/>
          <w:sz w:val="20"/>
          <w:lang w:val="pt-BR"/>
        </w:rPr>
        <w:t xml:space="preserve">. </w:t>
      </w:r>
      <w:r w:rsidR="002B7B0C" w:rsidRPr="002F50BD">
        <w:rPr>
          <w:rFonts w:ascii="Verdana" w:hAnsi="Verdana"/>
          <w:sz w:val="20"/>
          <w:lang w:val="pt-BR"/>
        </w:rPr>
        <w:t>Ne</w:t>
      </w:r>
      <w:r w:rsidR="00FB33DD" w:rsidRPr="002F50BD">
        <w:rPr>
          <w:rFonts w:ascii="Verdana" w:hAnsi="Verdana"/>
          <w:sz w:val="20"/>
          <w:lang w:val="pt-BR"/>
        </w:rPr>
        <w:t xml:space="preserve">sse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2B7B0C"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seguindo</w:t>
      </w:r>
      <w:r w:rsidR="004756C1" w:rsidRPr="002F50BD">
        <w:rPr>
          <w:rFonts w:ascii="Verdana" w:hAnsi="Verdana"/>
          <w:sz w:val="20"/>
          <w:lang w:val="pt-BR"/>
        </w:rPr>
        <w:t xml:space="preserve"> </w:t>
      </w:r>
      <w:r w:rsidR="0089298C" w:rsidRPr="002F50BD">
        <w:rPr>
          <w:rFonts w:ascii="Verdana" w:hAnsi="Verdana"/>
          <w:sz w:val="20"/>
          <w:lang w:val="pt-BR"/>
        </w:rPr>
        <w:t>instruções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89298C" w:rsidRPr="002F50BD">
        <w:rPr>
          <w:rFonts w:ascii="Verdana" w:hAnsi="Verdana"/>
          <w:sz w:val="20"/>
          <w:lang w:val="pt-BR"/>
        </w:rPr>
        <w:t xml:space="preserve">informou o </w:t>
      </w:r>
      <w:r w:rsidR="004756C1" w:rsidRPr="002F50BD">
        <w:rPr>
          <w:rFonts w:ascii="Verdana" w:hAnsi="Verdana"/>
          <w:sz w:val="20"/>
          <w:lang w:val="pt-BR"/>
        </w:rPr>
        <w:t xml:space="preserve">Estado </w:t>
      </w:r>
      <w:r w:rsidR="008C29C9" w:rsidRPr="002F50BD">
        <w:rPr>
          <w:rFonts w:ascii="Verdana" w:hAnsi="Verdana"/>
          <w:sz w:val="20"/>
          <w:lang w:val="pt-BR"/>
        </w:rPr>
        <w:t xml:space="preserve">sobre </w:t>
      </w:r>
      <w:r w:rsidR="0089298C" w:rsidRPr="002F50BD">
        <w:rPr>
          <w:rFonts w:ascii="Verdana" w:hAnsi="Verdana"/>
          <w:sz w:val="20"/>
          <w:lang w:val="pt-BR"/>
        </w:rPr>
        <w:t>seu direito</w:t>
      </w:r>
      <w:r w:rsidR="004756C1" w:rsidRPr="002F50BD">
        <w:rPr>
          <w:rFonts w:ascii="Verdana" w:hAnsi="Verdana"/>
          <w:sz w:val="20"/>
          <w:lang w:val="pt-BR"/>
        </w:rPr>
        <w:t xml:space="preserve"> a designar</w:t>
      </w:r>
      <w:r w:rsidR="0089298C" w:rsidRPr="002F50BD">
        <w:rPr>
          <w:rFonts w:ascii="Verdana" w:hAnsi="Verdana"/>
          <w:sz w:val="20"/>
          <w:lang w:val="pt-BR"/>
        </w:rPr>
        <w:t xml:space="preserve"> um juiz</w:t>
      </w:r>
      <w:r w:rsidR="004756C1" w:rsidRPr="002F50BD">
        <w:rPr>
          <w:rFonts w:ascii="Verdana" w:hAnsi="Verdana"/>
          <w:sz w:val="20"/>
          <w:lang w:val="pt-BR"/>
        </w:rPr>
        <w:t xml:space="preserve"> </w:t>
      </w:r>
      <w:r w:rsidR="004756C1" w:rsidRPr="002F50BD">
        <w:rPr>
          <w:rFonts w:ascii="Verdana" w:hAnsi="Verdana"/>
          <w:i/>
          <w:sz w:val="20"/>
          <w:lang w:val="pt-BR"/>
        </w:rPr>
        <w:t xml:space="preserve">ad hoc </w:t>
      </w:r>
      <w:r w:rsidR="004756C1" w:rsidRPr="002F50BD">
        <w:rPr>
          <w:rFonts w:ascii="Verdana" w:hAnsi="Verdana"/>
          <w:sz w:val="20"/>
          <w:lang w:val="pt-BR"/>
        </w:rPr>
        <w:t>para que participa</w:t>
      </w:r>
      <w:r w:rsidR="008C29C9" w:rsidRPr="002F50BD">
        <w:rPr>
          <w:rFonts w:ascii="Verdana" w:hAnsi="Verdana"/>
          <w:sz w:val="20"/>
          <w:lang w:val="pt-BR"/>
        </w:rPr>
        <w:t>sse</w:t>
      </w:r>
      <w:r w:rsidR="0089298C" w:rsidRPr="002F50BD">
        <w:rPr>
          <w:rFonts w:ascii="Verdana" w:hAnsi="Verdana"/>
          <w:sz w:val="20"/>
          <w:lang w:val="pt-BR"/>
        </w:rPr>
        <w:t xml:space="preserve"> </w:t>
      </w:r>
      <w:r w:rsidR="00535F9A" w:rsidRPr="002F50BD">
        <w:rPr>
          <w:rFonts w:ascii="Verdana" w:hAnsi="Verdana"/>
          <w:sz w:val="20"/>
          <w:lang w:val="pt-BR"/>
        </w:rPr>
        <w:t>da apreciação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caso.</w:t>
      </w:r>
      <w:r w:rsidR="00FE08B7">
        <w:rPr>
          <w:rFonts w:ascii="Verdana" w:hAnsi="Verdana"/>
          <w:sz w:val="20"/>
          <w:lang w:val="pt-BR"/>
        </w:rPr>
        <w:t xml:space="preserve"> </w:t>
      </w:r>
      <w:r w:rsidR="004756C1" w:rsidRPr="002F50BD">
        <w:rPr>
          <w:rFonts w:ascii="Verdana" w:hAnsi="Verdana"/>
          <w:sz w:val="20"/>
          <w:lang w:val="pt-BR"/>
        </w:rPr>
        <w:t>Igualmente</w:t>
      </w:r>
      <w:r w:rsidR="00BE346D" w:rsidRPr="002F50BD">
        <w:rPr>
          <w:rFonts w:ascii="Verdana" w:hAnsi="Verdana"/>
          <w:sz w:val="20"/>
          <w:lang w:val="pt-BR"/>
        </w:rPr>
        <w:t xml:space="preserve">, em </w:t>
      </w:r>
      <w:r w:rsidRPr="002F50BD">
        <w:rPr>
          <w:rFonts w:ascii="Verdana" w:hAnsi="Verdana"/>
          <w:sz w:val="20"/>
          <w:lang w:val="pt-BR"/>
        </w:rPr>
        <w:t>10</w:t>
      </w:r>
      <w:r w:rsidR="004756C1" w:rsidRPr="002F50BD">
        <w:rPr>
          <w:rFonts w:ascii="Verdana" w:hAnsi="Verdana"/>
          <w:sz w:val="20"/>
          <w:lang w:val="pt-BR"/>
        </w:rPr>
        <w:t xml:space="preserve"> de abril de </w:t>
      </w:r>
      <w:r w:rsidRPr="002F50BD">
        <w:rPr>
          <w:rFonts w:ascii="Verdana" w:hAnsi="Verdana"/>
          <w:sz w:val="20"/>
          <w:lang w:val="pt-BR"/>
        </w:rPr>
        <w:lastRenderedPageBreak/>
        <w:t>2003</w:t>
      </w:r>
      <w:r w:rsidR="00535F9A"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segundo o disposto no artigo</w:t>
      </w:r>
      <w:r w:rsidR="004756C1" w:rsidRPr="002F50BD">
        <w:rPr>
          <w:rFonts w:ascii="Verdana" w:hAnsi="Verdana"/>
          <w:sz w:val="20"/>
          <w:lang w:val="pt-BR"/>
        </w:rPr>
        <w:t xml:space="preserve"> </w:t>
      </w:r>
      <w:r w:rsidRPr="002F50BD">
        <w:rPr>
          <w:rFonts w:ascii="Verdana" w:hAnsi="Verdana"/>
          <w:sz w:val="20"/>
          <w:lang w:val="pt-BR"/>
        </w:rPr>
        <w:t>35</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.e </w:t>
      </w:r>
      <w:r w:rsidR="0089298C" w:rsidRPr="002F50BD">
        <w:rPr>
          <w:rFonts w:ascii="Verdana" w:hAnsi="Verdana"/>
          <w:sz w:val="20"/>
          <w:lang w:val="pt-BR"/>
        </w:rPr>
        <w:t>do Regulamento</w:t>
      </w:r>
      <w:r w:rsidR="004756C1" w:rsidRPr="002F50BD">
        <w:rPr>
          <w:rFonts w:ascii="Verdana" w:hAnsi="Verdana"/>
          <w:sz w:val="20"/>
          <w:lang w:val="pt-BR"/>
        </w:rPr>
        <w:t xml:space="preserve">, </w:t>
      </w:r>
      <w:r w:rsidR="0089298C" w:rsidRPr="002F50BD">
        <w:rPr>
          <w:rFonts w:ascii="Verdana" w:hAnsi="Verdana"/>
          <w:sz w:val="20"/>
          <w:lang w:val="pt-BR"/>
        </w:rPr>
        <w:t xml:space="preserve">notificou a </w:t>
      </w:r>
      <w:r w:rsidR="004756C1" w:rsidRPr="002F50BD">
        <w:rPr>
          <w:rFonts w:ascii="Verdana" w:hAnsi="Verdana"/>
          <w:sz w:val="20"/>
          <w:lang w:val="pt-BR"/>
        </w:rPr>
        <w:t>demanda</w:t>
      </w:r>
      <w:r w:rsidR="0089298C" w:rsidRPr="002F50BD">
        <w:rPr>
          <w:rFonts w:ascii="Verdana" w:hAnsi="Verdana"/>
          <w:sz w:val="20"/>
          <w:lang w:val="pt-BR"/>
        </w:rPr>
        <w:t xml:space="preserve"> aos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informou</w:t>
      </w:r>
      <w:r w:rsidR="008C29C9" w:rsidRPr="002F50BD">
        <w:rPr>
          <w:rFonts w:ascii="Verdana" w:hAnsi="Verdana"/>
          <w:sz w:val="20"/>
          <w:lang w:val="pt-BR"/>
        </w:rPr>
        <w:t>-lhes</w:t>
      </w:r>
      <w:r w:rsidR="004756C1" w:rsidRPr="002F50BD">
        <w:rPr>
          <w:rFonts w:ascii="Verdana" w:hAnsi="Verdana"/>
          <w:sz w:val="20"/>
          <w:lang w:val="pt-BR"/>
        </w:rPr>
        <w:t xml:space="preserve"> que </w:t>
      </w:r>
      <w:r w:rsidR="00AB454A" w:rsidRPr="002F50BD">
        <w:rPr>
          <w:rFonts w:ascii="Verdana" w:hAnsi="Verdana"/>
          <w:sz w:val="20"/>
          <w:lang w:val="pt-BR"/>
        </w:rPr>
        <w:t>contavam</w:t>
      </w:r>
      <w:r w:rsidR="0089298C" w:rsidRPr="002F50BD">
        <w:rPr>
          <w:rFonts w:ascii="Verdana" w:hAnsi="Verdana"/>
          <w:sz w:val="20"/>
          <w:lang w:val="pt-BR"/>
        </w:rPr>
        <w:t xml:space="preserve"> com um prazo</w:t>
      </w:r>
      <w:r w:rsidR="004756C1" w:rsidRPr="002F50BD">
        <w:rPr>
          <w:rFonts w:ascii="Verdana" w:hAnsi="Verdana"/>
          <w:sz w:val="20"/>
          <w:lang w:val="pt-BR"/>
        </w:rPr>
        <w:t xml:space="preserve"> de </w:t>
      </w:r>
      <w:r w:rsidRPr="002F50BD">
        <w:rPr>
          <w:rFonts w:ascii="Verdana" w:hAnsi="Verdana"/>
          <w:sz w:val="20"/>
          <w:lang w:val="pt-BR"/>
        </w:rPr>
        <w:t>30</w:t>
      </w:r>
      <w:r w:rsidR="004756C1" w:rsidRPr="002F50BD">
        <w:rPr>
          <w:rFonts w:ascii="Verdana" w:hAnsi="Verdana"/>
          <w:sz w:val="20"/>
          <w:lang w:val="pt-BR"/>
        </w:rPr>
        <w:t xml:space="preserve"> </w:t>
      </w:r>
      <w:r w:rsidR="0089298C" w:rsidRPr="002F50BD">
        <w:rPr>
          <w:rFonts w:ascii="Verdana" w:hAnsi="Verdana"/>
          <w:sz w:val="20"/>
          <w:lang w:val="pt-BR"/>
        </w:rPr>
        <w:t>dia</w:t>
      </w:r>
      <w:r w:rsidR="004756C1" w:rsidRPr="002F50BD">
        <w:rPr>
          <w:rFonts w:ascii="Verdana" w:hAnsi="Verdana"/>
          <w:sz w:val="20"/>
          <w:lang w:val="pt-BR"/>
        </w:rPr>
        <w:t>s para</w:t>
      </w:r>
      <w:r w:rsidR="0089298C" w:rsidRPr="002F50BD">
        <w:rPr>
          <w:rFonts w:ascii="Verdana" w:hAnsi="Verdana"/>
          <w:sz w:val="20"/>
          <w:lang w:val="pt-BR"/>
        </w:rPr>
        <w:t xml:space="preserve"> apresentar seu </w:t>
      </w:r>
      <w:r w:rsidR="00AB454A" w:rsidRPr="002F50BD">
        <w:rPr>
          <w:rFonts w:ascii="Verdana" w:hAnsi="Verdana"/>
          <w:sz w:val="20"/>
          <w:lang w:val="pt-BR"/>
        </w:rPr>
        <w:t>escrito de petições</w:t>
      </w:r>
      <w:r w:rsidR="004756C1" w:rsidRPr="002F50BD">
        <w:rPr>
          <w:rFonts w:ascii="Verdana" w:hAnsi="Verdana"/>
          <w:sz w:val="20"/>
          <w:lang w:val="pt-BR"/>
        </w:rPr>
        <w:t>, argumentos</w:t>
      </w:r>
      <w:r w:rsidR="0089298C" w:rsidRPr="002F50BD">
        <w:rPr>
          <w:rFonts w:ascii="Verdana" w:hAnsi="Verdana"/>
          <w:sz w:val="20"/>
          <w:lang w:val="pt-BR"/>
        </w:rPr>
        <w:t xml:space="preserve"> e prova</w:t>
      </w:r>
      <w:r w:rsidR="004756C1" w:rsidRPr="002F50BD">
        <w:rPr>
          <w:rFonts w:ascii="Verdana" w:hAnsi="Verdana"/>
          <w:sz w:val="20"/>
          <w:lang w:val="pt-BR"/>
        </w:rPr>
        <w:t xml:space="preserve">s.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22</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2003</w:t>
      </w:r>
      <w:r w:rsidR="004756C1" w:rsidRPr="002F50BD">
        <w:rPr>
          <w:rFonts w:ascii="Verdana" w:hAnsi="Verdana"/>
          <w:sz w:val="20"/>
          <w:lang w:val="pt-BR"/>
        </w:rPr>
        <w:t xml:space="preserve">, </w:t>
      </w:r>
      <w:r w:rsidR="008C29C9" w:rsidRPr="002F50BD">
        <w:rPr>
          <w:rFonts w:ascii="Verdana" w:hAnsi="Verdana"/>
          <w:sz w:val="20"/>
          <w:lang w:val="pt-BR"/>
        </w:rPr>
        <w:t xml:space="preserve">após </w:t>
      </w:r>
      <w:r w:rsidR="0089298C" w:rsidRPr="002F50BD">
        <w:rPr>
          <w:rFonts w:ascii="Verdana" w:hAnsi="Verdana"/>
          <w:sz w:val="20"/>
          <w:lang w:val="pt-BR"/>
        </w:rPr>
        <w:t xml:space="preserve">uma </w:t>
      </w:r>
      <w:r w:rsidR="008C29C9" w:rsidRPr="002F50BD">
        <w:rPr>
          <w:rFonts w:ascii="Verdana" w:hAnsi="Verdana"/>
          <w:sz w:val="20"/>
          <w:lang w:val="pt-BR"/>
        </w:rPr>
        <w:t xml:space="preserve">prorrogação de prazo </w:t>
      </w:r>
      <w:r w:rsidR="004756C1" w:rsidRPr="002F50BD">
        <w:rPr>
          <w:rFonts w:ascii="Verdana" w:hAnsi="Verdana"/>
          <w:sz w:val="20"/>
          <w:lang w:val="pt-BR"/>
        </w:rPr>
        <w:t>concedida,</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 xml:space="preserve">apresentaram seu </w:t>
      </w:r>
      <w:r w:rsidR="00AB454A" w:rsidRPr="002F50BD">
        <w:rPr>
          <w:rFonts w:ascii="Verdana" w:hAnsi="Verdana"/>
          <w:sz w:val="20"/>
          <w:lang w:val="pt-BR"/>
        </w:rPr>
        <w:t>escrito de petições</w:t>
      </w:r>
      <w:r w:rsidR="004756C1" w:rsidRPr="002F50BD">
        <w:rPr>
          <w:rFonts w:ascii="Verdana" w:hAnsi="Verdana"/>
          <w:sz w:val="20"/>
          <w:lang w:val="pt-BR"/>
        </w:rPr>
        <w:t>, argumentos</w:t>
      </w:r>
      <w:r w:rsidR="0089298C" w:rsidRPr="002F50BD">
        <w:rPr>
          <w:rFonts w:ascii="Verdana" w:hAnsi="Verdana"/>
          <w:sz w:val="20"/>
          <w:lang w:val="pt-BR"/>
        </w:rPr>
        <w:t xml:space="preserve"> e prova</w:t>
      </w:r>
      <w:r w:rsidR="004756C1" w:rsidRPr="002F50BD">
        <w:rPr>
          <w:rFonts w:ascii="Verdana" w:hAnsi="Verdana"/>
          <w:sz w:val="20"/>
          <w:lang w:val="pt-BR"/>
        </w:rPr>
        <w:t xml:space="preserve">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8C29C9" w:rsidRPr="002F50BD">
        <w:rPr>
          <w:rFonts w:ascii="Verdana" w:hAnsi="Verdana"/>
          <w:sz w:val="20"/>
          <w:lang w:val="pt-BR"/>
        </w:rPr>
        <w:t xml:space="preserve">denominado </w:t>
      </w:r>
      <w:r w:rsidR="004756C1" w:rsidRPr="002F50BD">
        <w:rPr>
          <w:rFonts w:ascii="Verdana" w:hAnsi="Verdana"/>
          <w:sz w:val="20"/>
          <w:lang w:val="pt-BR"/>
        </w:rPr>
        <w:t>“</w:t>
      </w:r>
      <w:r w:rsidR="00AB454A" w:rsidRPr="002F50BD">
        <w:rPr>
          <w:rFonts w:ascii="Verdana" w:hAnsi="Verdana"/>
          <w:sz w:val="20"/>
          <w:lang w:val="pt-BR"/>
        </w:rPr>
        <w:t>escrito de petições</w:t>
      </w:r>
      <w:r w:rsidR="0089298C" w:rsidRPr="002F50BD">
        <w:rPr>
          <w:rFonts w:ascii="Verdana" w:hAnsi="Verdana"/>
          <w:sz w:val="20"/>
          <w:lang w:val="pt-BR"/>
        </w:rPr>
        <w:t xml:space="preserve"> e </w:t>
      </w:r>
      <w:r w:rsidR="004756C1" w:rsidRPr="002F50BD">
        <w:rPr>
          <w:rFonts w:ascii="Verdana" w:hAnsi="Verdana"/>
          <w:sz w:val="20"/>
          <w:lang w:val="pt-BR"/>
        </w:rPr>
        <w:t>argumentos”</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802650" w:rsidRPr="002F50BD">
        <w:rPr>
          <w:rFonts w:ascii="Verdana" w:hAnsi="Verdana"/>
          <w:sz w:val="20"/>
          <w:lang w:val="pt-BR"/>
        </w:rPr>
        <w:t xml:space="preserve">acompanhado de </w:t>
      </w:r>
      <w:r w:rsidR="0089298C" w:rsidRPr="002F50BD">
        <w:rPr>
          <w:rFonts w:ascii="Verdana" w:hAnsi="Verdana"/>
          <w:sz w:val="20"/>
          <w:lang w:val="pt-BR"/>
        </w:rPr>
        <w:t>prova</w:t>
      </w:r>
      <w:r w:rsidR="004756C1" w:rsidRPr="002F50BD">
        <w:rPr>
          <w:rFonts w:ascii="Verdana" w:hAnsi="Verdana"/>
          <w:sz w:val="20"/>
          <w:lang w:val="pt-BR"/>
        </w:rPr>
        <w:t xml:space="preserve"> documental</w:t>
      </w:r>
      <w:r w:rsidR="0089298C" w:rsidRPr="002F50BD">
        <w:rPr>
          <w:rFonts w:ascii="Verdana" w:hAnsi="Verdana"/>
          <w:sz w:val="20"/>
          <w:lang w:val="pt-BR"/>
        </w:rPr>
        <w:t xml:space="preserve"> e ofereceram</w:t>
      </w:r>
      <w:r w:rsidR="004756C1" w:rsidRPr="002F50BD">
        <w:rPr>
          <w:rFonts w:ascii="Verdana" w:hAnsi="Verdana"/>
          <w:sz w:val="20"/>
          <w:lang w:val="pt-BR"/>
        </w:rPr>
        <w:t xml:space="preserve"> </w:t>
      </w:r>
      <w:r w:rsidR="0089298C" w:rsidRPr="002F50BD">
        <w:rPr>
          <w:rFonts w:ascii="Verdana" w:hAnsi="Verdana"/>
          <w:sz w:val="20"/>
          <w:lang w:val="pt-BR"/>
        </w:rPr>
        <w:t>prova</w:t>
      </w:r>
      <w:r w:rsidR="004756C1" w:rsidRPr="002F50BD">
        <w:rPr>
          <w:rFonts w:ascii="Verdana" w:hAnsi="Verdana"/>
          <w:sz w:val="20"/>
          <w:lang w:val="pt-BR"/>
        </w:rPr>
        <w:t xml:space="preserve"> </w:t>
      </w:r>
      <w:r w:rsidR="0089298C" w:rsidRPr="002F50BD">
        <w:rPr>
          <w:rFonts w:ascii="Verdana" w:hAnsi="Verdana"/>
          <w:sz w:val="20"/>
          <w:lang w:val="pt-BR"/>
        </w:rPr>
        <w:t xml:space="preserve">testemunhal e </w:t>
      </w:r>
      <w:r w:rsidR="004756C1" w:rsidRPr="002F50BD">
        <w:rPr>
          <w:rFonts w:ascii="Verdana" w:hAnsi="Verdana"/>
          <w:sz w:val="20"/>
          <w:lang w:val="pt-BR"/>
        </w:rPr>
        <w:t xml:space="preserve">pericial.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23</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2003</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designou</w:t>
      </w:r>
      <w:r w:rsidR="004756C1" w:rsidRPr="002F50BD">
        <w:rPr>
          <w:rFonts w:ascii="Verdana" w:hAnsi="Verdana"/>
          <w:sz w:val="20"/>
          <w:lang w:val="pt-BR"/>
        </w:rPr>
        <w:t xml:space="preserve"> como Agente</w:t>
      </w:r>
      <w:r w:rsidR="0089298C" w:rsidRPr="002F50BD">
        <w:rPr>
          <w:rFonts w:ascii="Verdana" w:hAnsi="Verdana"/>
          <w:sz w:val="20"/>
          <w:lang w:val="pt-BR"/>
        </w:rPr>
        <w:t xml:space="preserve"> o senhor </w:t>
      </w:r>
      <w:r w:rsidR="004756C1" w:rsidRPr="002F50BD">
        <w:rPr>
          <w:rFonts w:ascii="Verdana" w:hAnsi="Verdana"/>
          <w:sz w:val="20"/>
          <w:lang w:val="pt-BR"/>
        </w:rPr>
        <w:t>Oscar Martínez Pérez</w:t>
      </w:r>
      <w:r w:rsidR="0089298C" w:rsidRPr="002F50BD">
        <w:rPr>
          <w:rFonts w:ascii="Verdana" w:hAnsi="Verdana"/>
          <w:sz w:val="20"/>
          <w:lang w:val="pt-BR"/>
        </w:rPr>
        <w:t xml:space="preserve"> e</w:t>
      </w:r>
      <w:r w:rsidR="00CF451D">
        <w:rPr>
          <w:rFonts w:ascii="Verdana" w:hAnsi="Verdana"/>
          <w:sz w:val="20"/>
          <w:lang w:val="pt-BR"/>
        </w:rPr>
        <w:t>,</w:t>
      </w:r>
      <w:r w:rsidR="004756C1" w:rsidRPr="002F50BD">
        <w:rPr>
          <w:rFonts w:ascii="Verdana" w:hAnsi="Verdana"/>
          <w:sz w:val="20"/>
          <w:lang w:val="pt-BR"/>
        </w:rPr>
        <w:t xml:space="preserve"> como Agente </w:t>
      </w:r>
      <w:r w:rsidR="008C29C9" w:rsidRPr="002F50BD">
        <w:rPr>
          <w:rFonts w:ascii="Verdana" w:hAnsi="Verdana"/>
          <w:sz w:val="20"/>
          <w:lang w:val="pt-BR"/>
        </w:rPr>
        <w:t>Assistente</w:t>
      </w:r>
      <w:r w:rsidR="00802650" w:rsidRPr="002F50BD">
        <w:rPr>
          <w:rFonts w:ascii="Verdana" w:hAnsi="Verdana"/>
          <w:sz w:val="20"/>
          <w:lang w:val="pt-BR"/>
        </w:rPr>
        <w:t>,</w:t>
      </w:r>
      <w:r w:rsidR="008C29C9" w:rsidRPr="002F50BD">
        <w:rPr>
          <w:rFonts w:ascii="Verdana" w:hAnsi="Verdana"/>
          <w:sz w:val="20"/>
          <w:lang w:val="pt-BR"/>
        </w:rPr>
        <w:t xml:space="preserve"> </w:t>
      </w:r>
      <w:r w:rsidR="0089298C" w:rsidRPr="002F50BD">
        <w:rPr>
          <w:rFonts w:ascii="Verdana" w:hAnsi="Verdana"/>
          <w:sz w:val="20"/>
          <w:lang w:val="pt-BR"/>
        </w:rPr>
        <w:t xml:space="preserve">o senhor </w:t>
      </w:r>
      <w:r w:rsidR="004756C1" w:rsidRPr="002F50BD">
        <w:rPr>
          <w:rFonts w:ascii="Verdana" w:hAnsi="Verdana"/>
          <w:sz w:val="20"/>
          <w:lang w:val="pt-BR"/>
        </w:rPr>
        <w:t xml:space="preserve">Mario Sandoval. </w:t>
      </w:r>
      <w:r w:rsidR="0089298C" w:rsidRPr="002F50BD">
        <w:rPr>
          <w:rFonts w:ascii="Verdana" w:hAnsi="Verdana"/>
          <w:sz w:val="20"/>
          <w:lang w:val="pt-BR"/>
        </w:rPr>
        <w:t>Outrossim</w:t>
      </w:r>
      <w:r w:rsidR="004756C1" w:rsidRPr="002F50BD">
        <w:rPr>
          <w:rFonts w:ascii="Verdana" w:hAnsi="Verdana"/>
          <w:sz w:val="20"/>
          <w:lang w:val="pt-BR"/>
        </w:rPr>
        <w:t xml:space="preserve">, </w:t>
      </w:r>
      <w:r w:rsidR="0089298C" w:rsidRPr="002F50BD">
        <w:rPr>
          <w:rFonts w:ascii="Verdana" w:hAnsi="Verdana"/>
          <w:sz w:val="20"/>
          <w:lang w:val="pt-BR"/>
        </w:rPr>
        <w:t>designou</w:t>
      </w:r>
      <w:r w:rsidR="004756C1" w:rsidRPr="002F50BD">
        <w:rPr>
          <w:rFonts w:ascii="Verdana" w:hAnsi="Verdana"/>
          <w:sz w:val="20"/>
          <w:lang w:val="pt-BR"/>
        </w:rPr>
        <w:t xml:space="preserve"> como </w:t>
      </w:r>
      <w:r w:rsidR="0089298C" w:rsidRPr="002F50BD">
        <w:rPr>
          <w:rFonts w:ascii="Verdana" w:hAnsi="Verdana"/>
          <w:sz w:val="20"/>
          <w:lang w:val="pt-BR"/>
        </w:rPr>
        <w:t>Juiz</w:t>
      </w:r>
      <w:r w:rsidR="004756C1" w:rsidRPr="002F50BD">
        <w:rPr>
          <w:rFonts w:ascii="Verdana" w:hAnsi="Verdana"/>
          <w:sz w:val="20"/>
          <w:lang w:val="pt-BR"/>
        </w:rPr>
        <w:t xml:space="preserve"> </w:t>
      </w:r>
      <w:r w:rsidR="004756C1" w:rsidRPr="002F50BD">
        <w:rPr>
          <w:rFonts w:ascii="Verdana" w:hAnsi="Verdana"/>
          <w:i/>
          <w:sz w:val="20"/>
          <w:lang w:val="pt-BR"/>
        </w:rPr>
        <w:t>ad hoc</w:t>
      </w:r>
      <w:r w:rsidR="0089298C" w:rsidRPr="002F50BD">
        <w:rPr>
          <w:rFonts w:ascii="Verdana" w:hAnsi="Verdana"/>
          <w:sz w:val="20"/>
          <w:lang w:val="pt-BR"/>
        </w:rPr>
        <w:t xml:space="preserve"> o senhor </w:t>
      </w:r>
      <w:r w:rsidR="004756C1" w:rsidRPr="002F50BD">
        <w:rPr>
          <w:rFonts w:ascii="Verdana" w:hAnsi="Verdana"/>
          <w:sz w:val="20"/>
          <w:lang w:val="pt-BR"/>
        </w:rPr>
        <w:t>Ramón Fogel Pedroso</w:t>
      </w:r>
      <w:r w:rsidR="000F2A3D" w:rsidRPr="002F50BD">
        <w:rPr>
          <w:rFonts w:ascii="Verdana" w:hAnsi="Verdana"/>
          <w:sz w:val="20"/>
          <w:lang w:val="pt-BR"/>
        </w:rPr>
        <w:t xml:space="preserve">. Em </w:t>
      </w:r>
      <w:r w:rsidRPr="002F50BD">
        <w:rPr>
          <w:rFonts w:ascii="Verdana" w:hAnsi="Verdana"/>
          <w:sz w:val="20"/>
          <w:lang w:val="pt-BR"/>
        </w:rPr>
        <w:t>23</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2003</w:t>
      </w:r>
      <w:r w:rsidR="004756C1" w:rsidRPr="002F50BD">
        <w:rPr>
          <w:rFonts w:ascii="Verdana" w:hAnsi="Verdana"/>
          <w:sz w:val="20"/>
          <w:lang w:val="pt-BR"/>
        </w:rPr>
        <w:t xml:space="preserve">, </w:t>
      </w:r>
      <w:r w:rsidR="008C29C9" w:rsidRPr="002F50BD">
        <w:rPr>
          <w:rFonts w:ascii="Verdana" w:hAnsi="Verdana"/>
          <w:sz w:val="20"/>
          <w:lang w:val="pt-BR"/>
        </w:rPr>
        <w:t>após a concessão de uma prorrogação de prazo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 xml:space="preserve">apresentou seu escrito </w:t>
      </w:r>
      <w:r w:rsidR="004756C1" w:rsidRPr="002F50BD">
        <w:rPr>
          <w:rFonts w:ascii="Verdana" w:hAnsi="Verdana"/>
          <w:sz w:val="20"/>
          <w:lang w:val="pt-BR"/>
        </w:rPr>
        <w:t>de contesta</w:t>
      </w:r>
      <w:r w:rsidR="0089298C" w:rsidRPr="002F50BD">
        <w:rPr>
          <w:rFonts w:ascii="Verdana" w:hAnsi="Verdana"/>
          <w:sz w:val="20"/>
          <w:lang w:val="pt-BR"/>
        </w:rPr>
        <w:t xml:space="preserve">ção à </w:t>
      </w:r>
      <w:r w:rsidR="004756C1" w:rsidRPr="002F50BD">
        <w:rPr>
          <w:rFonts w:ascii="Verdana" w:hAnsi="Verdana"/>
          <w:sz w:val="20"/>
          <w:lang w:val="pt-BR"/>
        </w:rPr>
        <w:t>demanda</w:t>
      </w:r>
      <w:r w:rsidR="0089298C" w:rsidRPr="002F50BD">
        <w:rPr>
          <w:rFonts w:ascii="Verdana" w:hAnsi="Verdana"/>
          <w:sz w:val="20"/>
          <w:lang w:val="pt-BR"/>
        </w:rPr>
        <w:t xml:space="preserve"> e </w:t>
      </w:r>
      <w:r w:rsidR="004756C1" w:rsidRPr="002F50BD">
        <w:rPr>
          <w:rFonts w:ascii="Verdana" w:hAnsi="Verdana"/>
          <w:sz w:val="20"/>
          <w:lang w:val="pt-BR"/>
        </w:rPr>
        <w:t>de observa</w:t>
      </w:r>
      <w:r w:rsidR="0089298C" w:rsidRPr="002F50BD">
        <w:rPr>
          <w:rFonts w:ascii="Verdana" w:hAnsi="Verdana"/>
          <w:sz w:val="20"/>
          <w:lang w:val="pt-BR"/>
        </w:rPr>
        <w:t xml:space="preserve">ções ao </w:t>
      </w:r>
      <w:r w:rsidR="00AB454A" w:rsidRPr="002F50BD">
        <w:rPr>
          <w:rFonts w:ascii="Verdana" w:hAnsi="Verdana"/>
          <w:sz w:val="20"/>
          <w:lang w:val="pt-BR"/>
        </w:rPr>
        <w:t>escrito de petições</w:t>
      </w:r>
      <w:r w:rsidR="0089298C" w:rsidRPr="002F50BD">
        <w:rPr>
          <w:rFonts w:ascii="Verdana" w:hAnsi="Verdana"/>
          <w:sz w:val="20"/>
          <w:lang w:val="pt-BR"/>
        </w:rPr>
        <w:t xml:space="preserve"> e </w:t>
      </w:r>
      <w:r w:rsidR="004756C1" w:rsidRPr="002F50BD">
        <w:rPr>
          <w:rFonts w:ascii="Verdana" w:hAnsi="Verdana"/>
          <w:sz w:val="20"/>
          <w:lang w:val="pt-BR"/>
        </w:rPr>
        <w:t xml:space="preserve">argumentos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8C29C9" w:rsidRPr="002F50BD">
        <w:rPr>
          <w:rFonts w:ascii="Verdana" w:hAnsi="Verdana"/>
          <w:sz w:val="20"/>
          <w:lang w:val="pt-BR"/>
        </w:rPr>
        <w:t xml:space="preserve">denominado </w:t>
      </w:r>
      <w:r w:rsidR="004756C1" w:rsidRPr="002F50BD">
        <w:rPr>
          <w:rFonts w:ascii="Verdana" w:hAnsi="Verdana"/>
          <w:sz w:val="20"/>
          <w:lang w:val="pt-BR"/>
        </w:rPr>
        <w:t>“contesta</w:t>
      </w:r>
      <w:r w:rsidR="0089298C" w:rsidRPr="002F50BD">
        <w:rPr>
          <w:rFonts w:ascii="Verdana" w:hAnsi="Verdana"/>
          <w:sz w:val="20"/>
          <w:lang w:val="pt-BR"/>
        </w:rPr>
        <w:t xml:space="preserve">ção à </w:t>
      </w:r>
      <w:r w:rsidR="004756C1" w:rsidRPr="002F50BD">
        <w:rPr>
          <w:rFonts w:ascii="Verdana" w:hAnsi="Verdana"/>
          <w:sz w:val="20"/>
          <w:lang w:val="pt-BR"/>
        </w:rPr>
        <w:t>demanda”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ao qual anexou</w:t>
      </w:r>
      <w:r w:rsidR="004756C1" w:rsidRPr="002F50BD">
        <w:rPr>
          <w:rFonts w:ascii="Verdana" w:hAnsi="Verdana"/>
          <w:sz w:val="20"/>
          <w:lang w:val="pt-BR"/>
        </w:rPr>
        <w:t xml:space="preserve"> </w:t>
      </w:r>
      <w:r w:rsidR="0089298C" w:rsidRPr="002F50BD">
        <w:rPr>
          <w:rFonts w:ascii="Verdana" w:hAnsi="Verdana"/>
          <w:sz w:val="20"/>
          <w:lang w:val="pt-BR"/>
        </w:rPr>
        <w:t>prova</w:t>
      </w:r>
      <w:r w:rsidR="004756C1" w:rsidRPr="002F50BD">
        <w:rPr>
          <w:rFonts w:ascii="Verdana" w:hAnsi="Verdana"/>
          <w:sz w:val="20"/>
          <w:lang w:val="pt-BR"/>
        </w:rPr>
        <w:t xml:space="preserve"> documental</w:t>
      </w:r>
      <w:r w:rsidR="0089298C" w:rsidRPr="002F50BD">
        <w:rPr>
          <w:rFonts w:ascii="Verdana" w:hAnsi="Verdana"/>
          <w:sz w:val="20"/>
          <w:lang w:val="pt-BR"/>
        </w:rPr>
        <w:t xml:space="preserve"> e ofereceu</w:t>
      </w:r>
      <w:r w:rsidR="004756C1" w:rsidRPr="002F50BD">
        <w:rPr>
          <w:rFonts w:ascii="Verdana" w:hAnsi="Verdana"/>
          <w:sz w:val="20"/>
          <w:lang w:val="pt-BR"/>
        </w:rPr>
        <w:t xml:space="preserve"> </w:t>
      </w:r>
      <w:r w:rsidR="0089298C" w:rsidRPr="002F50BD">
        <w:rPr>
          <w:rFonts w:ascii="Verdana" w:hAnsi="Verdana"/>
          <w:sz w:val="20"/>
          <w:lang w:val="pt-BR"/>
        </w:rPr>
        <w:t>prova</w:t>
      </w:r>
      <w:r w:rsidR="004756C1" w:rsidRPr="002F50BD">
        <w:rPr>
          <w:rFonts w:ascii="Verdana" w:hAnsi="Verdana"/>
          <w:sz w:val="20"/>
          <w:lang w:val="pt-BR"/>
        </w:rPr>
        <w:t xml:space="preserve"> </w:t>
      </w:r>
      <w:r w:rsidR="0089298C" w:rsidRPr="002F50BD">
        <w:rPr>
          <w:rFonts w:ascii="Verdana" w:hAnsi="Verdana"/>
          <w:sz w:val="20"/>
          <w:lang w:val="pt-BR"/>
        </w:rPr>
        <w:t xml:space="preserve">testemunhal e </w:t>
      </w:r>
      <w:r w:rsidR="004756C1" w:rsidRPr="002F50BD">
        <w:rPr>
          <w:rFonts w:ascii="Verdana" w:hAnsi="Verdana"/>
          <w:sz w:val="20"/>
          <w:lang w:val="pt-BR"/>
        </w:rPr>
        <w:t xml:space="preserve">pericial.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2004</w:t>
      </w:r>
      <w:r w:rsidR="00060B3A"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seguindo</w:t>
      </w:r>
      <w:r w:rsidR="004756C1" w:rsidRPr="002F50BD">
        <w:rPr>
          <w:rFonts w:ascii="Verdana" w:hAnsi="Verdana"/>
          <w:sz w:val="20"/>
          <w:lang w:val="pt-BR"/>
        </w:rPr>
        <w:t xml:space="preserve"> </w:t>
      </w:r>
      <w:r w:rsidR="0089298C" w:rsidRPr="002F50BD">
        <w:rPr>
          <w:rFonts w:ascii="Verdana" w:hAnsi="Verdana"/>
          <w:sz w:val="20"/>
          <w:lang w:val="pt-BR"/>
        </w:rPr>
        <w:t>instruções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89298C" w:rsidRPr="002F50BD">
        <w:rPr>
          <w:rFonts w:ascii="Verdana" w:hAnsi="Verdana"/>
          <w:sz w:val="20"/>
          <w:lang w:val="pt-BR"/>
        </w:rPr>
        <w:t>solicitou à Comissão</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aos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ao Paraguai </w:t>
      </w:r>
      <w:r w:rsidR="00802650" w:rsidRPr="002F50BD">
        <w:rPr>
          <w:rFonts w:ascii="Verdana" w:hAnsi="Verdana"/>
          <w:sz w:val="20"/>
          <w:lang w:val="pt-BR"/>
        </w:rPr>
        <w:t>o envio</w:t>
      </w:r>
      <w:r w:rsidR="0089298C" w:rsidRPr="002F50BD">
        <w:rPr>
          <w:rFonts w:ascii="Verdana" w:hAnsi="Verdana"/>
          <w:sz w:val="20"/>
          <w:lang w:val="pt-BR"/>
        </w:rPr>
        <w:t xml:space="preserve"> das </w:t>
      </w:r>
      <w:r w:rsidR="004756C1" w:rsidRPr="002F50BD">
        <w:rPr>
          <w:rFonts w:ascii="Verdana" w:hAnsi="Verdana"/>
          <w:sz w:val="20"/>
          <w:lang w:val="pt-BR"/>
        </w:rPr>
        <w:t xml:space="preserve">listas definitivas de </w:t>
      </w:r>
      <w:r w:rsidR="0089298C" w:rsidRPr="002F50BD">
        <w:rPr>
          <w:rFonts w:ascii="Verdana" w:hAnsi="Verdana"/>
          <w:sz w:val="20"/>
          <w:lang w:val="pt-BR"/>
        </w:rPr>
        <w:t>testemunha</w:t>
      </w:r>
      <w:r w:rsidR="004756C1" w:rsidRPr="002F50BD">
        <w:rPr>
          <w:rFonts w:ascii="Verdana" w:hAnsi="Verdana"/>
          <w:sz w:val="20"/>
          <w:lang w:val="pt-BR"/>
        </w:rPr>
        <w:t>s</w:t>
      </w:r>
      <w:r w:rsidR="0089298C" w:rsidRPr="002F50BD">
        <w:rPr>
          <w:rFonts w:ascii="Verdana" w:hAnsi="Verdana"/>
          <w:sz w:val="20"/>
          <w:lang w:val="pt-BR"/>
        </w:rPr>
        <w:t xml:space="preserve"> e </w:t>
      </w:r>
      <w:r w:rsidR="008C29C9" w:rsidRPr="002F50BD">
        <w:rPr>
          <w:rFonts w:ascii="Verdana" w:hAnsi="Verdana"/>
          <w:sz w:val="20"/>
          <w:lang w:val="pt-BR"/>
        </w:rPr>
        <w:t xml:space="preserve">de </w:t>
      </w:r>
      <w:r w:rsidR="004756C1" w:rsidRPr="002F50BD">
        <w:rPr>
          <w:rFonts w:ascii="Verdana" w:hAnsi="Verdana"/>
          <w:sz w:val="20"/>
          <w:lang w:val="pt-BR"/>
        </w:rPr>
        <w:t xml:space="preserve">peritos </w:t>
      </w:r>
      <w:r w:rsidR="0089298C" w:rsidRPr="002F50BD">
        <w:rPr>
          <w:rFonts w:ascii="Verdana" w:hAnsi="Verdana"/>
          <w:sz w:val="20"/>
          <w:lang w:val="pt-BR"/>
        </w:rPr>
        <w:t>propost</w:t>
      </w:r>
      <w:r w:rsidR="004756C1" w:rsidRPr="002F50BD">
        <w:rPr>
          <w:rFonts w:ascii="Verdana" w:hAnsi="Verdana"/>
          <w:sz w:val="20"/>
          <w:lang w:val="pt-BR"/>
        </w:rPr>
        <w:t xml:space="preserve">os por </w:t>
      </w:r>
      <w:r w:rsidR="004076AD" w:rsidRPr="002F50BD">
        <w:rPr>
          <w:rFonts w:ascii="Verdana" w:hAnsi="Verdana"/>
          <w:sz w:val="20"/>
          <w:lang w:val="pt-BR"/>
        </w:rPr>
        <w:t>cada um</w:t>
      </w:r>
      <w:r w:rsidR="008C29C9" w:rsidRPr="002F50BD">
        <w:rPr>
          <w:rFonts w:ascii="Verdana" w:hAnsi="Verdana"/>
          <w:sz w:val="20"/>
          <w:lang w:val="pt-BR"/>
        </w:rPr>
        <w:t xml:space="preserve"> </w:t>
      </w:r>
      <w:r w:rsidR="004756C1" w:rsidRPr="002F50BD">
        <w:rPr>
          <w:rFonts w:ascii="Verdana" w:hAnsi="Verdana"/>
          <w:sz w:val="20"/>
          <w:lang w:val="pt-BR"/>
        </w:rPr>
        <w:t>de</w:t>
      </w:r>
      <w:r w:rsidR="0089298C" w:rsidRPr="002F50BD">
        <w:rPr>
          <w:rFonts w:ascii="Verdana" w:hAnsi="Verdana"/>
          <w:sz w:val="20"/>
          <w:lang w:val="pt-BR"/>
        </w:rPr>
        <w:t>le</w:t>
      </w:r>
      <w:r w:rsidR="004756C1" w:rsidRPr="002F50BD">
        <w:rPr>
          <w:rFonts w:ascii="Verdana" w:hAnsi="Verdana"/>
          <w:sz w:val="20"/>
          <w:lang w:val="pt-BR"/>
        </w:rPr>
        <w:t xml:space="preserve">s.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31</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C29C9" w:rsidRPr="002F50BD">
        <w:rPr>
          <w:rFonts w:ascii="Verdana" w:hAnsi="Verdana"/>
          <w:sz w:val="20"/>
          <w:lang w:val="pt-BR"/>
        </w:rPr>
        <w:t xml:space="preserve">emitiu </w:t>
      </w:r>
      <w:r w:rsidR="0089298C" w:rsidRPr="002F50BD">
        <w:rPr>
          <w:rFonts w:ascii="Verdana" w:hAnsi="Verdana"/>
          <w:sz w:val="20"/>
          <w:lang w:val="pt-BR"/>
        </w:rPr>
        <w:t xml:space="preserve">uma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mediante</w:t>
      </w:r>
      <w:r w:rsidR="0089298C" w:rsidRPr="002F50BD">
        <w:rPr>
          <w:rFonts w:ascii="Verdana" w:hAnsi="Verdana"/>
          <w:sz w:val="20"/>
          <w:lang w:val="pt-BR"/>
        </w:rPr>
        <w:t xml:space="preserve"> a qual convocou </w:t>
      </w:r>
      <w:r w:rsidR="008C29C9"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 xml:space="preserve">partes </w:t>
      </w:r>
      <w:r w:rsidR="00802650" w:rsidRPr="002F50BD">
        <w:rPr>
          <w:rFonts w:ascii="Verdana" w:hAnsi="Verdana"/>
          <w:sz w:val="20"/>
          <w:lang w:val="pt-BR"/>
        </w:rPr>
        <w:t xml:space="preserve">para </w:t>
      </w:r>
      <w:r w:rsidR="0089298C" w:rsidRPr="002F50BD">
        <w:rPr>
          <w:rFonts w:ascii="Verdana" w:hAnsi="Verdana"/>
          <w:sz w:val="20"/>
          <w:lang w:val="pt-BR"/>
        </w:rPr>
        <w:t>uma audiência</w:t>
      </w:r>
      <w:r w:rsidR="004756C1" w:rsidRPr="002F50BD">
        <w:rPr>
          <w:rFonts w:ascii="Verdana" w:hAnsi="Verdana"/>
          <w:sz w:val="20"/>
          <w:lang w:val="pt-BR"/>
        </w:rPr>
        <w:t xml:space="preserve"> pública que se</w:t>
      </w:r>
      <w:r w:rsidR="008C29C9" w:rsidRPr="002F50BD">
        <w:rPr>
          <w:rFonts w:ascii="Verdana" w:hAnsi="Verdana"/>
          <w:sz w:val="20"/>
          <w:lang w:val="pt-BR"/>
        </w:rPr>
        <w:t xml:space="preserve">ria celebrada </w:t>
      </w:r>
      <w:r w:rsidR="0089298C" w:rsidRPr="002F50BD">
        <w:rPr>
          <w:rFonts w:ascii="Verdana" w:hAnsi="Verdana"/>
          <w:sz w:val="20"/>
          <w:lang w:val="pt-BR"/>
        </w:rPr>
        <w:t xml:space="preserve">na </w:t>
      </w:r>
      <w:r w:rsidR="004756C1" w:rsidRPr="002F50BD">
        <w:rPr>
          <w:rFonts w:ascii="Verdana" w:hAnsi="Verdana"/>
          <w:sz w:val="20"/>
          <w:lang w:val="pt-BR"/>
        </w:rPr>
        <w:t>sede</w:t>
      </w:r>
      <w:r w:rsidR="0089298C" w:rsidRPr="002F50BD">
        <w:rPr>
          <w:rFonts w:ascii="Verdana" w:hAnsi="Verdana"/>
          <w:sz w:val="20"/>
          <w:lang w:val="pt-BR"/>
        </w:rPr>
        <w:t xml:space="preserve"> da </w:t>
      </w:r>
      <w:r w:rsidR="004756C1" w:rsidRPr="002F50BD">
        <w:rPr>
          <w:rFonts w:ascii="Verdana" w:hAnsi="Verdana"/>
          <w:sz w:val="20"/>
          <w:lang w:val="pt-BR"/>
        </w:rPr>
        <w:t xml:space="preserve">Corte, a partir </w:t>
      </w:r>
      <w:r w:rsidR="0089298C" w:rsidRPr="002F50BD">
        <w:rPr>
          <w:rFonts w:ascii="Verdana" w:hAnsi="Verdana"/>
          <w:sz w:val="20"/>
          <w:lang w:val="pt-BR"/>
        </w:rPr>
        <w:t>d</w:t>
      </w:r>
      <w:r w:rsidR="008C29C9" w:rsidRPr="002F50BD">
        <w:rPr>
          <w:rFonts w:ascii="Verdana" w:hAnsi="Verdana"/>
          <w:sz w:val="20"/>
          <w:lang w:val="pt-BR"/>
        </w:rPr>
        <w:t>e</w:t>
      </w:r>
      <w:r w:rsidR="0089298C"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4756C1" w:rsidRPr="002F50BD">
        <w:rPr>
          <w:rFonts w:ascii="Verdana" w:hAnsi="Verdana"/>
          <w:sz w:val="20"/>
          <w:lang w:val="pt-BR"/>
        </w:rPr>
        <w:t xml:space="preserve">, para </w:t>
      </w:r>
      <w:r w:rsidR="008C29C9" w:rsidRPr="002F50BD">
        <w:rPr>
          <w:rFonts w:ascii="Verdana" w:hAnsi="Verdana"/>
          <w:sz w:val="20"/>
          <w:lang w:val="pt-BR"/>
        </w:rPr>
        <w:t xml:space="preserve">ouvir </w:t>
      </w:r>
      <w:r w:rsidR="0089298C" w:rsidRPr="002F50BD">
        <w:rPr>
          <w:rFonts w:ascii="Verdana" w:hAnsi="Verdana"/>
          <w:sz w:val="20"/>
          <w:lang w:val="pt-BR"/>
        </w:rPr>
        <w:t>suas alegações finais orais</w:t>
      </w:r>
      <w:r w:rsidR="004756C1" w:rsidRPr="002F50BD">
        <w:rPr>
          <w:rFonts w:ascii="Verdana" w:hAnsi="Verdana"/>
          <w:sz w:val="20"/>
          <w:lang w:val="pt-BR"/>
        </w:rPr>
        <w:t xml:space="preserve"> sobre</w:t>
      </w:r>
      <w:r w:rsidR="0089298C" w:rsidRPr="002F50BD">
        <w:rPr>
          <w:rFonts w:ascii="Verdana" w:hAnsi="Verdana"/>
          <w:sz w:val="20"/>
          <w:lang w:val="pt-BR"/>
        </w:rPr>
        <w:t xml:space="preserve"> o mérito e as eventuais</w:t>
      </w:r>
      <w:r w:rsidR="004756C1" w:rsidRPr="002F50BD">
        <w:rPr>
          <w:rFonts w:ascii="Verdana" w:hAnsi="Verdana"/>
          <w:sz w:val="20"/>
          <w:lang w:val="pt-BR"/>
        </w:rPr>
        <w:t xml:space="preserve"> repara</w:t>
      </w:r>
      <w:r w:rsidR="0089298C" w:rsidRPr="002F50BD">
        <w:rPr>
          <w:rFonts w:ascii="Verdana" w:hAnsi="Verdana"/>
          <w:sz w:val="20"/>
          <w:lang w:val="pt-BR"/>
        </w:rPr>
        <w:t>ções e custas</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declara</w:t>
      </w:r>
      <w:r w:rsidR="0089298C" w:rsidRPr="002F50BD">
        <w:rPr>
          <w:rFonts w:ascii="Verdana" w:hAnsi="Verdana"/>
          <w:sz w:val="20"/>
          <w:lang w:val="pt-BR"/>
        </w:rPr>
        <w:t>ções</w:t>
      </w:r>
      <w:r w:rsidR="004756C1" w:rsidRPr="002F50BD">
        <w:rPr>
          <w:rFonts w:ascii="Verdana" w:hAnsi="Verdana"/>
          <w:sz w:val="20"/>
          <w:lang w:val="pt-BR"/>
        </w:rPr>
        <w:t xml:space="preserve"> </w:t>
      </w:r>
      <w:r w:rsidR="004076AD" w:rsidRPr="002F50BD">
        <w:rPr>
          <w:rFonts w:ascii="Verdana" w:hAnsi="Verdana"/>
          <w:sz w:val="20"/>
          <w:lang w:val="pt-BR"/>
        </w:rPr>
        <w:t>testemunhais</w:t>
      </w:r>
      <w:r w:rsidR="0089298C" w:rsidRPr="002F50BD">
        <w:rPr>
          <w:rFonts w:ascii="Verdana" w:hAnsi="Verdana"/>
          <w:sz w:val="20"/>
          <w:lang w:val="pt-BR"/>
        </w:rPr>
        <w:t xml:space="preserve"> dos senhores</w:t>
      </w:r>
      <w:r w:rsidR="004756C1" w:rsidRPr="002F50BD">
        <w:rPr>
          <w:rFonts w:ascii="Verdana" w:hAnsi="Verdana"/>
          <w:sz w:val="20"/>
          <w:lang w:val="pt-BR"/>
        </w:rPr>
        <w:t xml:space="preserve"> Esteban López, </w:t>
      </w:r>
      <w:r w:rsidR="00CD7100" w:rsidRPr="002F50BD">
        <w:rPr>
          <w:rFonts w:ascii="Verdana" w:hAnsi="Verdana"/>
          <w:sz w:val="20"/>
          <w:lang w:val="pt-BR"/>
        </w:rPr>
        <w:t>Tomás Galeano</w:t>
      </w:r>
      <w:r w:rsidR="004756C1" w:rsidRPr="002F50BD">
        <w:rPr>
          <w:rFonts w:ascii="Verdana" w:hAnsi="Verdana"/>
          <w:sz w:val="20"/>
          <w:lang w:val="pt-BR"/>
        </w:rPr>
        <w:t>, Inocencia Gómez, Stephen William Kidd</w:t>
      </w:r>
      <w:r w:rsidR="0089298C" w:rsidRPr="002F50BD">
        <w:rPr>
          <w:rFonts w:ascii="Verdana" w:hAnsi="Verdana"/>
          <w:sz w:val="20"/>
          <w:lang w:val="pt-BR"/>
        </w:rPr>
        <w:t xml:space="preserve"> e </w:t>
      </w:r>
      <w:r w:rsidR="004756C1" w:rsidRPr="002F50BD">
        <w:rPr>
          <w:rFonts w:ascii="Verdana" w:hAnsi="Verdana"/>
          <w:sz w:val="20"/>
          <w:lang w:val="pt-BR"/>
        </w:rPr>
        <w:t xml:space="preserve">Rodrigo </w:t>
      </w:r>
      <w:r w:rsidR="0089298C" w:rsidRPr="002F50BD">
        <w:rPr>
          <w:rFonts w:ascii="Verdana" w:hAnsi="Verdana"/>
          <w:sz w:val="20"/>
          <w:lang w:val="pt-BR"/>
        </w:rPr>
        <w:t>Vila</w:t>
      </w:r>
      <w:r w:rsidR="004756C1" w:rsidRPr="002F50BD">
        <w:rPr>
          <w:rFonts w:ascii="Verdana" w:hAnsi="Verdana"/>
          <w:sz w:val="20"/>
          <w:lang w:val="pt-BR"/>
        </w:rPr>
        <w:t xml:space="preserve">gra Carron,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pela Comissão</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a </w:t>
      </w:r>
      <w:r w:rsidR="004756C1" w:rsidRPr="002F50BD">
        <w:rPr>
          <w:rFonts w:ascii="Verdana" w:hAnsi="Verdana"/>
          <w:sz w:val="20"/>
          <w:lang w:val="pt-BR"/>
        </w:rPr>
        <w:t>declara</w:t>
      </w:r>
      <w:r w:rsidR="0089298C" w:rsidRPr="002F50BD">
        <w:rPr>
          <w:rFonts w:ascii="Verdana" w:hAnsi="Verdana"/>
          <w:sz w:val="20"/>
          <w:lang w:val="pt-BR"/>
        </w:rPr>
        <w:t>ção</w:t>
      </w:r>
      <w:r w:rsidR="004756C1" w:rsidRPr="002F50BD">
        <w:rPr>
          <w:rFonts w:ascii="Verdana" w:hAnsi="Verdana"/>
          <w:sz w:val="20"/>
          <w:lang w:val="pt-BR"/>
        </w:rPr>
        <w:t xml:space="preserve"> pericial </w:t>
      </w:r>
      <w:r w:rsidR="0089298C" w:rsidRPr="002F50BD">
        <w:rPr>
          <w:rFonts w:ascii="Verdana" w:hAnsi="Verdana"/>
          <w:sz w:val="20"/>
          <w:lang w:val="pt-BR"/>
        </w:rPr>
        <w:t xml:space="preserve">do senhor </w:t>
      </w:r>
      <w:r w:rsidR="004756C1" w:rsidRPr="002F50BD">
        <w:rPr>
          <w:rFonts w:ascii="Verdana" w:hAnsi="Verdana"/>
          <w:sz w:val="20"/>
          <w:lang w:val="pt-BR"/>
        </w:rPr>
        <w:t xml:space="preserve">Bartomeu Melia i Lliteres, </w:t>
      </w:r>
      <w:r w:rsidR="0089298C" w:rsidRPr="002F50BD">
        <w:rPr>
          <w:rFonts w:ascii="Verdana" w:hAnsi="Verdana"/>
          <w:sz w:val="20"/>
          <w:lang w:val="pt-BR"/>
        </w:rPr>
        <w:t>propost</w:t>
      </w:r>
      <w:r w:rsidR="004756C1" w:rsidRPr="002F50BD">
        <w:rPr>
          <w:rFonts w:ascii="Verdana" w:hAnsi="Verdana"/>
          <w:sz w:val="20"/>
          <w:lang w:val="pt-BR"/>
        </w:rPr>
        <w:t>o</w:t>
      </w:r>
      <w:r w:rsidR="0089298C"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assim</w:t>
      </w:r>
      <w:r w:rsidR="004756C1" w:rsidRPr="002F50BD">
        <w:rPr>
          <w:rFonts w:ascii="Verdana" w:hAnsi="Verdana"/>
          <w:sz w:val="20"/>
          <w:lang w:val="pt-BR"/>
        </w:rPr>
        <w:t xml:space="preserve"> como</w:t>
      </w:r>
      <w:r w:rsidR="0089298C" w:rsidRPr="002F50BD">
        <w:rPr>
          <w:rFonts w:ascii="Verdana" w:hAnsi="Verdana"/>
          <w:sz w:val="20"/>
          <w:lang w:val="pt-BR"/>
        </w:rPr>
        <w:t xml:space="preserve"> a </w:t>
      </w:r>
      <w:r w:rsidR="004756C1" w:rsidRPr="002F50BD">
        <w:rPr>
          <w:rFonts w:ascii="Verdana" w:hAnsi="Verdana"/>
          <w:sz w:val="20"/>
          <w:lang w:val="pt-BR"/>
        </w:rPr>
        <w:t>declara</w:t>
      </w:r>
      <w:r w:rsidR="0089298C" w:rsidRPr="002F50BD">
        <w:rPr>
          <w:rFonts w:ascii="Verdana" w:hAnsi="Verdana"/>
          <w:sz w:val="20"/>
          <w:lang w:val="pt-BR"/>
        </w:rPr>
        <w:t>ção</w:t>
      </w:r>
      <w:r w:rsidR="004756C1" w:rsidRPr="002F50BD">
        <w:rPr>
          <w:rFonts w:ascii="Verdana" w:hAnsi="Verdana"/>
          <w:sz w:val="20"/>
          <w:lang w:val="pt-BR"/>
        </w:rPr>
        <w:t xml:space="preserve"> pericial </w:t>
      </w:r>
      <w:r w:rsidR="0089298C" w:rsidRPr="002F50BD">
        <w:rPr>
          <w:rFonts w:ascii="Verdana" w:hAnsi="Verdana"/>
          <w:sz w:val="20"/>
          <w:lang w:val="pt-BR"/>
        </w:rPr>
        <w:t xml:space="preserve">do senhor </w:t>
      </w:r>
      <w:r w:rsidR="004756C1" w:rsidRPr="002F50BD">
        <w:rPr>
          <w:rFonts w:ascii="Verdana" w:hAnsi="Verdana"/>
          <w:sz w:val="20"/>
          <w:lang w:val="pt-BR"/>
        </w:rPr>
        <w:t xml:space="preserve">Pablo Balmaceda, </w:t>
      </w:r>
      <w:r w:rsidR="0089298C" w:rsidRPr="002F50BD">
        <w:rPr>
          <w:rFonts w:ascii="Verdana" w:hAnsi="Verdana"/>
          <w:sz w:val="20"/>
          <w:lang w:val="pt-BR"/>
        </w:rPr>
        <w:t>propost</w:t>
      </w:r>
      <w:r w:rsidR="004756C1" w:rsidRPr="002F50BD">
        <w:rPr>
          <w:rFonts w:ascii="Verdana" w:hAnsi="Verdana"/>
          <w:sz w:val="20"/>
          <w:lang w:val="pt-BR"/>
        </w:rPr>
        <w:t>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C29C9"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nesta </w:t>
      </w:r>
      <w:r w:rsidR="004756C1" w:rsidRPr="002F50BD">
        <w:rPr>
          <w:rFonts w:ascii="Verdana" w:hAnsi="Verdana"/>
          <w:sz w:val="20"/>
          <w:lang w:val="pt-BR"/>
        </w:rPr>
        <w:t>Resolu</w:t>
      </w:r>
      <w:r w:rsidR="0089298C" w:rsidRPr="002F50BD">
        <w:rPr>
          <w:rFonts w:ascii="Verdana" w:hAnsi="Verdana"/>
          <w:sz w:val="20"/>
          <w:lang w:val="pt-BR"/>
        </w:rPr>
        <w:t>ção</w:t>
      </w:r>
      <w:r w:rsidR="0080265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requer</w:t>
      </w:r>
      <w:r w:rsidR="008C29C9" w:rsidRPr="002F50BD">
        <w:rPr>
          <w:rFonts w:ascii="Verdana" w:hAnsi="Verdana"/>
          <w:sz w:val="20"/>
          <w:lang w:val="pt-BR"/>
        </w:rPr>
        <w:t>e</w:t>
      </w:r>
      <w:r w:rsidR="0089298C" w:rsidRPr="002F50BD">
        <w:rPr>
          <w:rFonts w:ascii="Verdana" w:hAnsi="Verdana"/>
          <w:sz w:val="20"/>
          <w:lang w:val="pt-BR"/>
        </w:rPr>
        <w:t>u a apresentação</w:t>
      </w:r>
      <w:r w:rsidR="004756C1" w:rsidRPr="002F50BD">
        <w:rPr>
          <w:rFonts w:ascii="Verdana" w:hAnsi="Verdana"/>
          <w:sz w:val="20"/>
          <w:lang w:val="pt-BR"/>
        </w:rPr>
        <w:t>, mediante declara</w:t>
      </w:r>
      <w:r w:rsidR="0089298C" w:rsidRPr="002F50BD">
        <w:rPr>
          <w:rFonts w:ascii="Verdana" w:hAnsi="Verdana"/>
          <w:sz w:val="20"/>
          <w:lang w:val="pt-BR"/>
        </w:rPr>
        <w:t xml:space="preserve">ção </w:t>
      </w:r>
      <w:r w:rsidR="008C29C9" w:rsidRPr="002F50BD">
        <w:rPr>
          <w:rFonts w:ascii="Verdana" w:hAnsi="Verdana"/>
          <w:sz w:val="20"/>
          <w:lang w:val="pt-BR"/>
        </w:rPr>
        <w:t xml:space="preserve">prestada </w:t>
      </w:r>
      <w:r w:rsidR="00AB454A" w:rsidRPr="002F50BD">
        <w:rPr>
          <w:rFonts w:ascii="Verdana" w:hAnsi="Verdana"/>
          <w:sz w:val="20"/>
          <w:lang w:val="pt-BR"/>
        </w:rPr>
        <w:t>perante agente dotado</w:t>
      </w:r>
      <w:r w:rsidR="0089298C" w:rsidRPr="002F50BD">
        <w:rPr>
          <w:rFonts w:ascii="Verdana" w:hAnsi="Verdana"/>
          <w:sz w:val="20"/>
          <w:lang w:val="pt-BR"/>
        </w:rPr>
        <w:t xml:space="preserve"> de fé pública</w:t>
      </w:r>
      <w:r w:rsidR="004756C1" w:rsidRPr="002F50BD">
        <w:rPr>
          <w:rFonts w:ascii="Verdana" w:hAnsi="Verdana"/>
          <w:sz w:val="20"/>
          <w:lang w:val="pt-BR"/>
        </w:rPr>
        <w:t xml:space="preserve"> </w:t>
      </w:r>
      <w:r w:rsidR="00CF451D" w:rsidRPr="00CF451D">
        <w:rPr>
          <w:rFonts w:ascii="Verdana" w:hAnsi="Verdana"/>
          <w:sz w:val="20"/>
          <w:lang w:val="pt-BR"/>
        </w:rPr>
        <w:t>(</w:t>
      </w:r>
      <w:r w:rsidR="008C29C9" w:rsidRPr="002F50BD">
        <w:rPr>
          <w:rFonts w:ascii="Verdana" w:hAnsi="Verdana"/>
          <w:i/>
          <w:sz w:val="20"/>
          <w:lang w:val="pt-BR"/>
        </w:rPr>
        <w:t>affidavit</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do testemunho</w:t>
      </w:r>
      <w:r w:rsidR="004756C1" w:rsidRPr="002F50BD">
        <w:rPr>
          <w:rFonts w:ascii="Verdana" w:hAnsi="Verdana"/>
          <w:sz w:val="20"/>
          <w:lang w:val="pt-BR"/>
        </w:rPr>
        <w:t xml:space="preserve"> </w:t>
      </w:r>
      <w:r w:rsidR="0089298C" w:rsidRPr="002F50BD">
        <w:rPr>
          <w:rFonts w:ascii="Verdana" w:hAnsi="Verdana"/>
          <w:sz w:val="20"/>
          <w:lang w:val="pt-BR"/>
        </w:rPr>
        <w:t xml:space="preserve">do senhor </w:t>
      </w:r>
      <w:r w:rsidR="004756C1" w:rsidRPr="002F50BD">
        <w:rPr>
          <w:rFonts w:ascii="Verdana" w:hAnsi="Verdana"/>
          <w:sz w:val="20"/>
          <w:lang w:val="pt-BR"/>
        </w:rPr>
        <w:t xml:space="preserve">Albino Fernández, </w:t>
      </w:r>
      <w:r w:rsidR="0089298C" w:rsidRPr="002F50BD">
        <w:rPr>
          <w:rFonts w:ascii="Verdana" w:hAnsi="Verdana"/>
          <w:sz w:val="20"/>
          <w:lang w:val="pt-BR"/>
        </w:rPr>
        <w:t>propost</w:t>
      </w:r>
      <w:r w:rsidR="004756C1" w:rsidRPr="002F50BD">
        <w:rPr>
          <w:rFonts w:ascii="Verdana" w:hAnsi="Verdana"/>
          <w:sz w:val="20"/>
          <w:lang w:val="pt-BR"/>
        </w:rPr>
        <w:t>o</w:t>
      </w:r>
      <w:r w:rsidR="0089298C"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do testemunho dos senhores</w:t>
      </w:r>
      <w:r w:rsidR="004756C1" w:rsidRPr="002F50BD">
        <w:rPr>
          <w:rFonts w:ascii="Verdana" w:hAnsi="Verdana"/>
          <w:sz w:val="20"/>
          <w:lang w:val="pt-BR"/>
        </w:rPr>
        <w:t xml:space="preserve"> Oscar Centurión, Teresa Vargas</w:t>
      </w:r>
      <w:r w:rsidR="0089298C" w:rsidRPr="002F50BD">
        <w:rPr>
          <w:rFonts w:ascii="Verdana" w:hAnsi="Verdana"/>
          <w:sz w:val="20"/>
          <w:lang w:val="pt-BR"/>
        </w:rPr>
        <w:t xml:space="preserve"> e </w:t>
      </w:r>
      <w:r w:rsidR="004756C1" w:rsidRPr="002F50BD">
        <w:rPr>
          <w:rFonts w:ascii="Verdana" w:hAnsi="Verdana"/>
          <w:sz w:val="20"/>
          <w:lang w:val="pt-BR"/>
        </w:rPr>
        <w:t xml:space="preserve">Pedro Martínez,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pelo </w:t>
      </w:r>
      <w:r w:rsidR="004756C1" w:rsidRPr="002F50BD">
        <w:rPr>
          <w:rFonts w:ascii="Verdana" w:hAnsi="Verdana"/>
          <w:sz w:val="20"/>
          <w:lang w:val="pt-BR"/>
        </w:rPr>
        <w:t>Estado;</w:t>
      </w:r>
      <w:r w:rsidR="0089298C" w:rsidRPr="002F50BD">
        <w:rPr>
          <w:rFonts w:ascii="Verdana" w:hAnsi="Verdana"/>
          <w:sz w:val="20"/>
          <w:lang w:val="pt-BR"/>
        </w:rPr>
        <w:t xml:space="preserve"> d</w:t>
      </w:r>
      <w:r w:rsidR="008C29C9" w:rsidRPr="002F50BD">
        <w:rPr>
          <w:rFonts w:ascii="Verdana" w:hAnsi="Verdana"/>
          <w:sz w:val="20"/>
          <w:lang w:val="pt-BR"/>
        </w:rPr>
        <w:t>a</w:t>
      </w:r>
      <w:r w:rsidR="0089298C" w:rsidRPr="002F50BD">
        <w:rPr>
          <w:rFonts w:ascii="Verdana" w:hAnsi="Verdana"/>
          <w:sz w:val="20"/>
          <w:lang w:val="pt-BR"/>
        </w:rPr>
        <w:t>s perícia</w:t>
      </w:r>
      <w:r w:rsidR="004756C1" w:rsidRPr="002F50BD">
        <w:rPr>
          <w:rFonts w:ascii="Verdana" w:hAnsi="Verdana"/>
          <w:sz w:val="20"/>
          <w:lang w:val="pt-BR"/>
        </w:rPr>
        <w:t>s</w:t>
      </w:r>
      <w:r w:rsidR="0089298C" w:rsidRPr="002F50BD">
        <w:rPr>
          <w:rFonts w:ascii="Verdana" w:hAnsi="Verdana"/>
          <w:sz w:val="20"/>
          <w:lang w:val="pt-BR"/>
        </w:rPr>
        <w:t xml:space="preserve"> dos senhores</w:t>
      </w:r>
      <w:r w:rsidR="004756C1" w:rsidRPr="002F50BD">
        <w:rPr>
          <w:rFonts w:ascii="Verdana" w:hAnsi="Verdana"/>
          <w:sz w:val="20"/>
          <w:lang w:val="pt-BR"/>
        </w:rPr>
        <w:t xml:space="preserve"> Enrique Castillo, José Antonio Aylwin Oyarzún</w:t>
      </w:r>
      <w:r w:rsidR="0089298C" w:rsidRPr="002F50BD">
        <w:rPr>
          <w:rFonts w:ascii="Verdana" w:hAnsi="Verdana"/>
          <w:sz w:val="20"/>
          <w:lang w:val="pt-BR"/>
        </w:rPr>
        <w:t xml:space="preserve"> e </w:t>
      </w:r>
      <w:r w:rsidR="004756C1" w:rsidRPr="002F50BD">
        <w:rPr>
          <w:rFonts w:ascii="Verdana" w:hAnsi="Verdana"/>
          <w:sz w:val="20"/>
          <w:lang w:val="pt-BR"/>
        </w:rPr>
        <w:t xml:space="preserve">José Alberto Braunstein, </w:t>
      </w:r>
      <w:r w:rsidR="008C29C9" w:rsidRPr="002F50BD">
        <w:rPr>
          <w:rFonts w:ascii="Verdana" w:hAnsi="Verdana"/>
          <w:sz w:val="20"/>
          <w:lang w:val="pt-BR"/>
        </w:rPr>
        <w:t>propostos</w:t>
      </w:r>
      <w:r w:rsidR="0089298C"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e d</w:t>
      </w:r>
      <w:r w:rsidR="008C29C9" w:rsidRPr="002F50BD">
        <w:rPr>
          <w:rFonts w:ascii="Verdana" w:hAnsi="Verdana"/>
          <w:sz w:val="20"/>
          <w:lang w:val="pt-BR"/>
        </w:rPr>
        <w:t>a</w:t>
      </w:r>
      <w:r w:rsidR="0089298C" w:rsidRPr="002F50BD">
        <w:rPr>
          <w:rFonts w:ascii="Verdana" w:hAnsi="Verdana"/>
          <w:sz w:val="20"/>
          <w:lang w:val="pt-BR"/>
        </w:rPr>
        <w:t>s perícia</w:t>
      </w:r>
      <w:r w:rsidR="004756C1" w:rsidRPr="002F50BD">
        <w:rPr>
          <w:rFonts w:ascii="Verdana" w:hAnsi="Verdana"/>
          <w:sz w:val="20"/>
          <w:lang w:val="pt-BR"/>
        </w:rPr>
        <w:t>s</w:t>
      </w:r>
      <w:r w:rsidR="0089298C" w:rsidRPr="002F50BD">
        <w:rPr>
          <w:rFonts w:ascii="Verdana" w:hAnsi="Verdana"/>
          <w:sz w:val="20"/>
          <w:lang w:val="pt-BR"/>
        </w:rPr>
        <w:t xml:space="preserve"> dos senhores</w:t>
      </w:r>
      <w:r w:rsidR="004756C1" w:rsidRPr="002F50BD">
        <w:rPr>
          <w:rFonts w:ascii="Verdana" w:hAnsi="Verdana"/>
          <w:sz w:val="20"/>
          <w:lang w:val="pt-BR"/>
        </w:rPr>
        <w:t xml:space="preserve"> Fulvia Esther Prieto, Bernardo Jaquet</w:t>
      </w:r>
      <w:r w:rsidR="0089298C" w:rsidRPr="002F50BD">
        <w:rPr>
          <w:rFonts w:ascii="Verdana" w:hAnsi="Verdana"/>
          <w:sz w:val="20"/>
          <w:lang w:val="pt-BR"/>
        </w:rPr>
        <w:t xml:space="preserve"> e </w:t>
      </w:r>
      <w:r w:rsidR="004756C1" w:rsidRPr="002F50BD">
        <w:rPr>
          <w:rFonts w:ascii="Verdana" w:hAnsi="Verdana"/>
          <w:sz w:val="20"/>
          <w:lang w:val="pt-BR"/>
        </w:rPr>
        <w:t xml:space="preserve">César Escobar Cattebecke,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pelo </w:t>
      </w:r>
      <w:r w:rsidR="004756C1" w:rsidRPr="002F50BD">
        <w:rPr>
          <w:rFonts w:ascii="Verdana" w:hAnsi="Verdana"/>
          <w:sz w:val="20"/>
          <w:lang w:val="pt-BR"/>
        </w:rPr>
        <w:t>Estado.</w:t>
      </w:r>
      <w:r w:rsidR="00FE08B7">
        <w:rPr>
          <w:rFonts w:ascii="Verdana" w:hAnsi="Verdana"/>
          <w:sz w:val="20"/>
          <w:lang w:val="pt-BR"/>
        </w:rPr>
        <w:t xml:space="preserve">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nesta </w:t>
      </w:r>
      <w:r w:rsidR="004756C1" w:rsidRPr="002F50BD">
        <w:rPr>
          <w:rFonts w:ascii="Verdana" w:hAnsi="Verdana"/>
          <w:sz w:val="20"/>
          <w:lang w:val="pt-BR"/>
        </w:rPr>
        <w:t>Resolu</w:t>
      </w:r>
      <w:r w:rsidR="0089298C" w:rsidRPr="002F50BD">
        <w:rPr>
          <w:rFonts w:ascii="Verdana" w:hAnsi="Verdana"/>
          <w:sz w:val="20"/>
          <w:lang w:val="pt-BR"/>
        </w:rPr>
        <w:t>ção</w:t>
      </w:r>
      <w:r w:rsidR="0080265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 xml:space="preserve">informou às </w:t>
      </w:r>
      <w:r w:rsidR="004756C1" w:rsidRPr="002F50BD">
        <w:rPr>
          <w:rFonts w:ascii="Verdana" w:hAnsi="Verdana"/>
          <w:sz w:val="20"/>
          <w:lang w:val="pt-BR"/>
        </w:rPr>
        <w:t xml:space="preserve">partes que </w:t>
      </w:r>
      <w:r w:rsidR="00AB454A" w:rsidRPr="002F50BD">
        <w:rPr>
          <w:rFonts w:ascii="Verdana" w:hAnsi="Verdana"/>
          <w:sz w:val="20"/>
          <w:lang w:val="pt-BR"/>
        </w:rPr>
        <w:t>contavam</w:t>
      </w:r>
      <w:r w:rsidR="0089298C" w:rsidRPr="002F50BD">
        <w:rPr>
          <w:rFonts w:ascii="Verdana" w:hAnsi="Verdana"/>
          <w:sz w:val="20"/>
          <w:lang w:val="pt-BR"/>
        </w:rPr>
        <w:t xml:space="preserve"> com prazo</w:t>
      </w:r>
      <w:r w:rsidR="004756C1" w:rsidRPr="002F50BD">
        <w:rPr>
          <w:rFonts w:ascii="Verdana" w:hAnsi="Verdana"/>
          <w:sz w:val="20"/>
          <w:lang w:val="pt-BR"/>
        </w:rPr>
        <w:t xml:space="preserve"> </w:t>
      </w:r>
      <w:r w:rsidR="0089298C" w:rsidRPr="002F50BD">
        <w:rPr>
          <w:rFonts w:ascii="Verdana" w:hAnsi="Verdana"/>
          <w:sz w:val="20"/>
          <w:lang w:val="pt-BR"/>
        </w:rPr>
        <w:t xml:space="preserve">até </w:t>
      </w:r>
      <w:r w:rsidRPr="002F50BD">
        <w:rPr>
          <w:rFonts w:ascii="Verdana" w:hAnsi="Verdana"/>
          <w:sz w:val="20"/>
          <w:lang w:val="pt-BR"/>
        </w:rPr>
        <w:t>4</w:t>
      </w:r>
      <w:r w:rsidR="004756C1" w:rsidRPr="002F50BD">
        <w:rPr>
          <w:rFonts w:ascii="Verdana" w:hAnsi="Verdana"/>
          <w:sz w:val="20"/>
          <w:lang w:val="pt-BR"/>
        </w:rPr>
        <w:t xml:space="preserve"> de abril de </w:t>
      </w:r>
      <w:r w:rsidRPr="002F50BD">
        <w:rPr>
          <w:rFonts w:ascii="Verdana" w:hAnsi="Verdana"/>
          <w:sz w:val="20"/>
          <w:lang w:val="pt-BR"/>
        </w:rPr>
        <w:t>2005</w:t>
      </w:r>
      <w:r w:rsidR="004756C1" w:rsidRPr="002F50BD">
        <w:rPr>
          <w:rFonts w:ascii="Verdana" w:hAnsi="Verdana"/>
          <w:sz w:val="20"/>
          <w:lang w:val="pt-BR"/>
        </w:rPr>
        <w:t xml:space="preserve"> para</w:t>
      </w:r>
      <w:r w:rsidR="0089298C" w:rsidRPr="002F50BD">
        <w:rPr>
          <w:rFonts w:ascii="Verdana" w:hAnsi="Verdana"/>
          <w:sz w:val="20"/>
          <w:lang w:val="pt-BR"/>
        </w:rPr>
        <w:t xml:space="preserve"> apresentar suas </w:t>
      </w:r>
      <w:r w:rsidR="008C29C9" w:rsidRPr="002F50BD">
        <w:rPr>
          <w:rFonts w:ascii="Verdana" w:hAnsi="Verdana"/>
          <w:sz w:val="20"/>
          <w:lang w:val="pt-BR"/>
        </w:rPr>
        <w:t>alegações finais escritas</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E46BA3" w:rsidRPr="002F50BD">
        <w:rPr>
          <w:rFonts w:ascii="Verdana" w:hAnsi="Verdana"/>
          <w:sz w:val="20"/>
          <w:lang w:val="pt-BR"/>
        </w:rPr>
        <w:t>a</w:t>
      </w:r>
      <w:r w:rsidR="0089298C" w:rsidRPr="002F50BD">
        <w:rPr>
          <w:rFonts w:ascii="Verdana" w:hAnsi="Verdana"/>
          <w:sz w:val="20"/>
          <w:lang w:val="pt-BR"/>
        </w:rPr>
        <w:t xml:space="preserve">o mérito e </w:t>
      </w:r>
      <w:r w:rsidR="00802650" w:rsidRPr="002F50BD">
        <w:rPr>
          <w:rFonts w:ascii="Verdana" w:hAnsi="Verdana"/>
          <w:sz w:val="20"/>
          <w:lang w:val="pt-BR"/>
        </w:rPr>
        <w:t>à</w:t>
      </w:r>
      <w:r w:rsidR="0089298C" w:rsidRPr="002F50BD">
        <w:rPr>
          <w:rFonts w:ascii="Verdana" w:hAnsi="Verdana"/>
          <w:sz w:val="20"/>
          <w:lang w:val="pt-BR"/>
        </w:rPr>
        <w:t>s eventuais</w:t>
      </w:r>
      <w:r w:rsidR="004756C1" w:rsidRPr="002F50BD">
        <w:rPr>
          <w:rFonts w:ascii="Verdana" w:hAnsi="Verdana"/>
          <w:sz w:val="20"/>
          <w:lang w:val="pt-BR"/>
        </w:rPr>
        <w:t xml:space="preserve"> repara</w:t>
      </w:r>
      <w:r w:rsidR="0089298C" w:rsidRPr="002F50BD">
        <w:rPr>
          <w:rFonts w:ascii="Verdana" w:hAnsi="Verdana"/>
          <w:sz w:val="20"/>
          <w:lang w:val="pt-BR"/>
        </w:rPr>
        <w:t>ções e custas</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15</w:t>
      </w:r>
      <w:r w:rsidR="004756C1" w:rsidRPr="002F50BD">
        <w:rPr>
          <w:rFonts w:ascii="Verdana" w:hAnsi="Verdana"/>
          <w:sz w:val="20"/>
          <w:lang w:val="pt-BR"/>
        </w:rPr>
        <w:t>.</w:t>
      </w:r>
      <w:r w:rsidR="004756C1" w:rsidRPr="002F50BD">
        <w:rPr>
          <w:rFonts w:ascii="Verdana" w:hAnsi="Verdana"/>
          <w:sz w:val="20"/>
          <w:lang w:val="pt-BR"/>
        </w:rPr>
        <w:tab/>
      </w:r>
      <w:r w:rsidR="008C29C9" w:rsidRPr="002F50BD">
        <w:rPr>
          <w:rFonts w:ascii="Verdana" w:hAnsi="Verdana"/>
          <w:sz w:val="20"/>
          <w:lang w:val="pt-BR"/>
        </w:rPr>
        <w:t>N</w:t>
      </w:r>
      <w:r w:rsidR="004756C1" w:rsidRPr="002F50BD">
        <w:rPr>
          <w:rFonts w:ascii="Verdana" w:hAnsi="Verdana"/>
          <w:sz w:val="20"/>
          <w:lang w:val="pt-BR"/>
        </w:rPr>
        <w:t xml:space="preserve">os </w:t>
      </w:r>
      <w:r w:rsidR="0089298C"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12</w:t>
      </w:r>
      <w:r w:rsidR="004756C1" w:rsidRPr="002F50BD">
        <w:rPr>
          <w:rFonts w:ascii="Verdana" w:hAnsi="Verdana"/>
          <w:sz w:val="20"/>
          <w:lang w:val="pt-BR"/>
        </w:rPr>
        <w:t xml:space="preserve">, </w:t>
      </w:r>
      <w:r w:rsidRPr="002F50BD">
        <w:rPr>
          <w:rFonts w:ascii="Verdana" w:hAnsi="Verdana"/>
          <w:sz w:val="20"/>
          <w:lang w:val="pt-BR"/>
        </w:rPr>
        <w:t>14</w:t>
      </w:r>
      <w:r w:rsidR="0089298C" w:rsidRPr="002F50BD">
        <w:rPr>
          <w:rFonts w:ascii="Verdana" w:hAnsi="Verdana"/>
          <w:sz w:val="20"/>
          <w:lang w:val="pt-BR"/>
        </w:rPr>
        <w:t xml:space="preserve"> e </w:t>
      </w:r>
      <w:r w:rsidRPr="002F50BD">
        <w:rPr>
          <w:rFonts w:ascii="Verdana" w:hAnsi="Verdana"/>
          <w:sz w:val="20"/>
          <w:lang w:val="pt-BR"/>
        </w:rPr>
        <w:t>15</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Comissão 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 xml:space="preserve">apresentaram as </w:t>
      </w:r>
      <w:r w:rsidR="004756C1" w:rsidRPr="002F50BD">
        <w:rPr>
          <w:rFonts w:ascii="Verdana" w:hAnsi="Verdana"/>
          <w:sz w:val="20"/>
          <w:lang w:val="pt-BR"/>
        </w:rPr>
        <w:t>declara</w:t>
      </w:r>
      <w:r w:rsidR="0089298C" w:rsidRPr="002F50BD">
        <w:rPr>
          <w:rFonts w:ascii="Verdana" w:hAnsi="Verdana"/>
          <w:sz w:val="20"/>
          <w:lang w:val="pt-BR"/>
        </w:rPr>
        <w:t xml:space="preserve">ções </w:t>
      </w:r>
      <w:r w:rsidR="00E46BA3" w:rsidRPr="002F50BD">
        <w:rPr>
          <w:rFonts w:ascii="Verdana" w:hAnsi="Verdana"/>
          <w:sz w:val="20"/>
          <w:lang w:val="pt-BR"/>
        </w:rPr>
        <w:t>prestadas</w:t>
      </w:r>
      <w:r w:rsidR="00AB454A" w:rsidRPr="002F50BD">
        <w:rPr>
          <w:rFonts w:ascii="Verdana" w:hAnsi="Verdana"/>
          <w:sz w:val="20"/>
          <w:lang w:val="pt-BR"/>
        </w:rPr>
        <w:t xml:space="preserve"> perante agente dotado</w:t>
      </w:r>
      <w:r w:rsidR="0089298C" w:rsidRPr="002F50BD">
        <w:rPr>
          <w:rFonts w:ascii="Verdana" w:hAnsi="Verdana"/>
          <w:sz w:val="20"/>
          <w:lang w:val="pt-BR"/>
        </w:rPr>
        <w:t xml:space="preserve"> de fé pública</w:t>
      </w:r>
      <w:r w:rsidR="004756C1" w:rsidRPr="002F50BD">
        <w:rPr>
          <w:rFonts w:ascii="Verdana" w:hAnsi="Verdana"/>
          <w:sz w:val="20"/>
          <w:lang w:val="pt-BR"/>
        </w:rPr>
        <w:t xml:space="preserve"> </w:t>
      </w:r>
      <w:r w:rsidR="00CF451D" w:rsidRPr="00CF451D">
        <w:rPr>
          <w:rFonts w:ascii="Verdana" w:hAnsi="Verdana"/>
          <w:sz w:val="20"/>
          <w:lang w:val="pt-BR"/>
        </w:rPr>
        <w:t>(</w:t>
      </w:r>
      <w:r w:rsidR="008C29C9" w:rsidRPr="002F50BD">
        <w:rPr>
          <w:rFonts w:ascii="Verdana" w:hAnsi="Verdana"/>
          <w:i/>
          <w:sz w:val="20"/>
          <w:lang w:val="pt-BR"/>
        </w:rPr>
        <w:t>affidavit</w:t>
      </w:r>
      <w:r w:rsidR="004756C1" w:rsidRPr="002F50BD">
        <w:rPr>
          <w:rFonts w:ascii="Verdana" w:hAnsi="Verdana"/>
          <w:sz w:val="20"/>
          <w:lang w:val="pt-BR"/>
        </w:rPr>
        <w:t>s</w:t>
      </w:r>
      <w:r w:rsidR="00CF451D" w:rsidRPr="00CF451D">
        <w:rPr>
          <w:rFonts w:ascii="Verdana" w:hAnsi="Verdana"/>
          <w:sz w:val="20"/>
          <w:lang w:val="pt-BR"/>
        </w:rPr>
        <w:t>)</w:t>
      </w:r>
      <w:r w:rsidR="0089298C" w:rsidRPr="002F50BD">
        <w:rPr>
          <w:rFonts w:ascii="Verdana" w:hAnsi="Verdana"/>
          <w:sz w:val="20"/>
          <w:lang w:val="pt-BR"/>
        </w:rPr>
        <w:t xml:space="preserve"> pel</w:t>
      </w:r>
      <w:r w:rsidR="00E46BA3" w:rsidRPr="002F50BD">
        <w:rPr>
          <w:rFonts w:ascii="Verdana" w:hAnsi="Verdana"/>
          <w:sz w:val="20"/>
          <w:lang w:val="pt-BR"/>
        </w:rPr>
        <w:t>a</w:t>
      </w:r>
      <w:r w:rsidR="0089298C" w:rsidRPr="002F50BD">
        <w:rPr>
          <w:rFonts w:ascii="Verdana" w:hAnsi="Verdana"/>
          <w:sz w:val="20"/>
          <w:lang w:val="pt-BR"/>
        </w:rPr>
        <w:t>s testemunha</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peritos por</w:t>
      </w:r>
      <w:r w:rsidR="0089298C" w:rsidRPr="002F50BD">
        <w:rPr>
          <w:rFonts w:ascii="Verdana" w:hAnsi="Verdana"/>
          <w:sz w:val="20"/>
          <w:lang w:val="pt-BR"/>
        </w:rPr>
        <w:t xml:space="preserve"> ele</w:t>
      </w:r>
      <w:r w:rsidR="004756C1" w:rsidRPr="002F50BD">
        <w:rPr>
          <w:rFonts w:ascii="Verdana" w:hAnsi="Verdana"/>
          <w:sz w:val="20"/>
          <w:lang w:val="pt-BR"/>
        </w:rPr>
        <w:t xml:space="preserve">s </w:t>
      </w:r>
      <w:r w:rsidR="0089298C" w:rsidRPr="002F50BD">
        <w:rPr>
          <w:rFonts w:ascii="Verdana" w:hAnsi="Verdana"/>
          <w:sz w:val="20"/>
          <w:lang w:val="pt-BR"/>
        </w:rPr>
        <w:t>propost</w:t>
      </w:r>
      <w:r w:rsidR="004756C1" w:rsidRPr="002F50BD">
        <w:rPr>
          <w:rFonts w:ascii="Verdana" w:hAnsi="Verdana"/>
          <w:sz w:val="20"/>
          <w:lang w:val="pt-BR"/>
        </w:rPr>
        <w:t>os</w:t>
      </w:r>
      <w:r w:rsidR="000F2A3D" w:rsidRPr="002F50BD">
        <w:rPr>
          <w:rFonts w:ascii="Verdana" w:hAnsi="Verdana"/>
          <w:sz w:val="20"/>
          <w:lang w:val="pt-BR"/>
        </w:rPr>
        <w:t xml:space="preserve">. Em </w:t>
      </w:r>
      <w:r w:rsidRPr="002F50BD">
        <w:rPr>
          <w:rFonts w:ascii="Verdana" w:hAnsi="Verdana"/>
          <w:sz w:val="20"/>
          <w:lang w:val="pt-BR"/>
        </w:rPr>
        <w:t>22</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Estado r</w:t>
      </w:r>
      <w:r w:rsidR="0089298C" w:rsidRPr="002F50BD">
        <w:rPr>
          <w:rFonts w:ascii="Verdana" w:hAnsi="Verdana"/>
          <w:sz w:val="20"/>
          <w:lang w:val="pt-BR"/>
        </w:rPr>
        <w:t>em</w:t>
      </w:r>
      <w:r w:rsidR="00E46BA3" w:rsidRPr="002F50BD">
        <w:rPr>
          <w:rFonts w:ascii="Verdana" w:hAnsi="Verdana"/>
          <w:sz w:val="20"/>
          <w:lang w:val="pt-BR"/>
        </w:rPr>
        <w:t>e</w:t>
      </w:r>
      <w:r w:rsidR="0089298C" w:rsidRPr="002F50BD">
        <w:rPr>
          <w:rFonts w:ascii="Verdana" w:hAnsi="Verdana"/>
          <w:sz w:val="20"/>
          <w:lang w:val="pt-BR"/>
        </w:rPr>
        <w:t>t</w:t>
      </w:r>
      <w:r w:rsidR="00E46BA3" w:rsidRPr="002F50BD">
        <w:rPr>
          <w:rFonts w:ascii="Verdana" w:hAnsi="Verdana"/>
          <w:sz w:val="20"/>
          <w:lang w:val="pt-BR"/>
        </w:rPr>
        <w:t>e</w:t>
      </w:r>
      <w:r w:rsidR="0089298C" w:rsidRPr="002F50BD">
        <w:rPr>
          <w:rFonts w:ascii="Verdana" w:hAnsi="Verdana"/>
          <w:sz w:val="20"/>
          <w:lang w:val="pt-BR"/>
        </w:rPr>
        <w:t xml:space="preserve">u os </w:t>
      </w:r>
      <w:r w:rsidR="008C29C9" w:rsidRPr="002F50BD">
        <w:rPr>
          <w:rFonts w:ascii="Verdana" w:hAnsi="Verdana"/>
          <w:i/>
          <w:sz w:val="20"/>
          <w:lang w:val="pt-BR"/>
        </w:rPr>
        <w:t>affidavit</w:t>
      </w:r>
      <w:r w:rsidR="004756C1" w:rsidRPr="002F50BD">
        <w:rPr>
          <w:rFonts w:ascii="Verdana" w:hAnsi="Verdana"/>
          <w:sz w:val="20"/>
          <w:lang w:val="pt-BR"/>
        </w:rPr>
        <w:t>s de d</w:t>
      </w:r>
      <w:r w:rsidR="00E46BA3" w:rsidRPr="002F50BD">
        <w:rPr>
          <w:rFonts w:ascii="Verdana" w:hAnsi="Verdana"/>
          <w:sz w:val="20"/>
          <w:lang w:val="pt-BR"/>
        </w:rPr>
        <w:t>ua</w:t>
      </w:r>
      <w:r w:rsidR="004756C1" w:rsidRPr="002F50BD">
        <w:rPr>
          <w:rFonts w:ascii="Verdana" w:hAnsi="Verdana"/>
          <w:sz w:val="20"/>
          <w:lang w:val="pt-BR"/>
        </w:rPr>
        <w:t xml:space="preserve">s </w:t>
      </w:r>
      <w:r w:rsidR="0089298C" w:rsidRPr="002F50BD">
        <w:rPr>
          <w:rFonts w:ascii="Verdana" w:hAnsi="Verdana"/>
          <w:sz w:val="20"/>
          <w:lang w:val="pt-BR"/>
        </w:rPr>
        <w:t>testemunha</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de do</w:t>
      </w:r>
      <w:r w:rsidR="00E46BA3" w:rsidRPr="002F50BD">
        <w:rPr>
          <w:rFonts w:ascii="Verdana" w:hAnsi="Verdana"/>
          <w:sz w:val="20"/>
          <w:lang w:val="pt-BR"/>
        </w:rPr>
        <w:t>i</w:t>
      </w:r>
      <w:r w:rsidR="004756C1" w:rsidRPr="002F50BD">
        <w:rPr>
          <w:rFonts w:ascii="Verdana" w:hAnsi="Verdana"/>
          <w:sz w:val="20"/>
          <w:lang w:val="pt-BR"/>
        </w:rPr>
        <w:t>s peritos,</w:t>
      </w:r>
      <w:r w:rsidR="0089298C" w:rsidRPr="002F50BD">
        <w:rPr>
          <w:rFonts w:ascii="Verdana" w:hAnsi="Verdana"/>
          <w:sz w:val="20"/>
          <w:lang w:val="pt-BR"/>
        </w:rPr>
        <w:t xml:space="preserve"> em </w:t>
      </w:r>
      <w:r w:rsidR="004756C1" w:rsidRPr="002F50BD">
        <w:rPr>
          <w:rFonts w:ascii="Verdana" w:hAnsi="Verdana"/>
          <w:sz w:val="20"/>
          <w:lang w:val="pt-BR"/>
        </w:rPr>
        <w:t>res</w:t>
      </w:r>
      <w:r w:rsidR="0089298C" w:rsidRPr="002F50BD">
        <w:rPr>
          <w:rFonts w:ascii="Verdana" w:hAnsi="Verdana"/>
          <w:sz w:val="20"/>
          <w:lang w:val="pt-BR"/>
        </w:rPr>
        <w:t xml:space="preserve">posta à </w:t>
      </w:r>
      <w:r w:rsidR="004756C1" w:rsidRPr="002F50BD">
        <w:rPr>
          <w:rFonts w:ascii="Verdana" w:hAnsi="Verdana"/>
          <w:sz w:val="20"/>
          <w:lang w:val="pt-BR"/>
        </w:rPr>
        <w:t>citada Resolu</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14</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25</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informou</w:t>
      </w:r>
      <w:r w:rsidR="004756C1" w:rsidRPr="002F50BD">
        <w:rPr>
          <w:rFonts w:ascii="Verdana" w:hAnsi="Verdana"/>
          <w:sz w:val="20"/>
          <w:lang w:val="pt-BR"/>
        </w:rPr>
        <w:t xml:space="preserve"> sobre</w:t>
      </w:r>
      <w:r w:rsidR="0089298C" w:rsidRPr="002F50BD">
        <w:rPr>
          <w:rFonts w:ascii="Verdana" w:hAnsi="Verdana"/>
          <w:sz w:val="20"/>
          <w:lang w:val="pt-BR"/>
        </w:rPr>
        <w:t xml:space="preserve"> </w:t>
      </w:r>
      <w:r w:rsidR="00E46BA3"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“desist</w:t>
      </w:r>
      <w:r w:rsidR="00E46BA3" w:rsidRPr="002F50BD">
        <w:rPr>
          <w:rFonts w:ascii="Verdana" w:hAnsi="Verdana"/>
          <w:sz w:val="20"/>
          <w:lang w:val="pt-BR"/>
        </w:rPr>
        <w:t xml:space="preserve">ência </w:t>
      </w:r>
      <w:r w:rsidR="0089298C" w:rsidRPr="002F50BD">
        <w:rPr>
          <w:rFonts w:ascii="Verdana" w:hAnsi="Verdana"/>
          <w:sz w:val="20"/>
          <w:lang w:val="pt-BR"/>
        </w:rPr>
        <w:t>da testemunha</w:t>
      </w:r>
      <w:r w:rsidR="004756C1" w:rsidRPr="002F50BD">
        <w:rPr>
          <w:rFonts w:ascii="Verdana" w:hAnsi="Verdana"/>
          <w:sz w:val="20"/>
          <w:lang w:val="pt-BR"/>
        </w:rPr>
        <w:t xml:space="preserve"> Teresa Vargas</w:t>
      </w:r>
      <w:r w:rsidR="0089298C" w:rsidRPr="002F50BD">
        <w:rPr>
          <w:rFonts w:ascii="Verdana" w:hAnsi="Verdana"/>
          <w:sz w:val="20"/>
          <w:lang w:val="pt-BR"/>
        </w:rPr>
        <w:t xml:space="preserve"> e d</w:t>
      </w:r>
      <w:r w:rsidR="00AB454A" w:rsidRPr="002F50BD">
        <w:rPr>
          <w:rFonts w:ascii="Verdana" w:hAnsi="Verdana"/>
          <w:sz w:val="20"/>
          <w:lang w:val="pt-BR"/>
        </w:rPr>
        <w:t>a perita</w:t>
      </w:r>
      <w:r w:rsidR="004756C1" w:rsidRPr="002F50BD">
        <w:rPr>
          <w:rFonts w:ascii="Verdana" w:hAnsi="Verdana"/>
          <w:sz w:val="20"/>
          <w:lang w:val="pt-BR"/>
        </w:rPr>
        <w:t xml:space="preserve"> Esther Prieto,</w:t>
      </w:r>
      <w:r w:rsidR="0089298C" w:rsidRPr="002F50BD">
        <w:rPr>
          <w:rFonts w:ascii="Verdana" w:hAnsi="Verdana"/>
          <w:sz w:val="20"/>
          <w:lang w:val="pt-BR"/>
        </w:rPr>
        <w:t xml:space="preserve"> a primeira em razão</w:t>
      </w:r>
      <w:r w:rsidR="004756C1" w:rsidRPr="002F50BD">
        <w:rPr>
          <w:rFonts w:ascii="Verdana" w:hAnsi="Verdana"/>
          <w:sz w:val="20"/>
          <w:lang w:val="pt-BR"/>
        </w:rPr>
        <w:t xml:space="preserve"> de su</w:t>
      </w:r>
      <w:r w:rsidR="00E46BA3" w:rsidRPr="002F50BD">
        <w:rPr>
          <w:rFonts w:ascii="Verdana" w:hAnsi="Verdana"/>
          <w:sz w:val="20"/>
          <w:lang w:val="pt-BR"/>
        </w:rPr>
        <w:t>a</w:t>
      </w:r>
      <w:r w:rsidR="004756C1" w:rsidRPr="002F50BD">
        <w:rPr>
          <w:rFonts w:ascii="Verdana" w:hAnsi="Verdana"/>
          <w:sz w:val="20"/>
          <w:lang w:val="pt-BR"/>
        </w:rPr>
        <w:t xml:space="preserve"> </w:t>
      </w:r>
      <w:r w:rsidR="00E46BA3" w:rsidRPr="002F50BD">
        <w:rPr>
          <w:rFonts w:ascii="Verdana" w:hAnsi="Verdana"/>
          <w:sz w:val="20"/>
          <w:lang w:val="pt-BR"/>
        </w:rPr>
        <w:t xml:space="preserve">falta de comparecimento ao Escrivão </w:t>
      </w:r>
      <w:r w:rsidR="0089298C" w:rsidRPr="002F50BD">
        <w:rPr>
          <w:rFonts w:ascii="Verdana" w:hAnsi="Verdana"/>
          <w:sz w:val="20"/>
          <w:lang w:val="pt-BR"/>
        </w:rPr>
        <w:t>Maior do Governo</w:t>
      </w:r>
      <w:r w:rsidR="004756C1" w:rsidRPr="002F50BD">
        <w:rPr>
          <w:rFonts w:ascii="Verdana" w:hAnsi="Verdana"/>
          <w:sz w:val="20"/>
          <w:lang w:val="pt-BR"/>
        </w:rPr>
        <w:t xml:space="preserve"> dentro </w:t>
      </w:r>
      <w:r w:rsidR="0089298C" w:rsidRPr="002F50BD">
        <w:rPr>
          <w:rFonts w:ascii="Verdana" w:hAnsi="Verdana"/>
          <w:sz w:val="20"/>
          <w:lang w:val="pt-BR"/>
        </w:rPr>
        <w:t>do prazo</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 xml:space="preserve">o para tal </w:t>
      </w:r>
      <w:r w:rsidR="0089298C" w:rsidRPr="002F50BD">
        <w:rPr>
          <w:rFonts w:ascii="Verdana" w:hAnsi="Verdana"/>
          <w:sz w:val="20"/>
          <w:lang w:val="pt-BR"/>
        </w:rPr>
        <w:t xml:space="preserve">efeito e a </w:t>
      </w:r>
      <w:r w:rsidR="004756C1" w:rsidRPr="002F50BD">
        <w:rPr>
          <w:rFonts w:ascii="Verdana" w:hAnsi="Verdana"/>
          <w:sz w:val="20"/>
          <w:lang w:val="pt-BR"/>
        </w:rPr>
        <w:t>segunda por su</w:t>
      </w:r>
      <w:r w:rsidR="00E46BA3" w:rsidRPr="002F50BD">
        <w:rPr>
          <w:rFonts w:ascii="Verdana" w:hAnsi="Verdana"/>
          <w:sz w:val="20"/>
          <w:lang w:val="pt-BR"/>
        </w:rPr>
        <w:t>a</w:t>
      </w:r>
      <w:r w:rsidR="004756C1" w:rsidRPr="002F50BD">
        <w:rPr>
          <w:rFonts w:ascii="Verdana" w:hAnsi="Verdana"/>
          <w:sz w:val="20"/>
          <w:lang w:val="pt-BR"/>
        </w:rPr>
        <w:t xml:space="preserve"> desist</w:t>
      </w:r>
      <w:r w:rsidR="00E46BA3" w:rsidRPr="002F50BD">
        <w:rPr>
          <w:rFonts w:ascii="Verdana" w:hAnsi="Verdana"/>
          <w:sz w:val="20"/>
          <w:lang w:val="pt-BR"/>
        </w:rPr>
        <w:t xml:space="preserve">ência </w:t>
      </w:r>
      <w:r w:rsidR="00D2119D" w:rsidRPr="002F50BD">
        <w:rPr>
          <w:rFonts w:ascii="Verdana" w:hAnsi="Verdana"/>
          <w:sz w:val="20"/>
          <w:lang w:val="pt-BR"/>
        </w:rPr>
        <w:t>de</w:t>
      </w:r>
      <w:r w:rsidR="004756C1" w:rsidRPr="002F50BD">
        <w:rPr>
          <w:rFonts w:ascii="Verdana" w:hAnsi="Verdana"/>
          <w:sz w:val="20"/>
          <w:lang w:val="pt-BR"/>
        </w:rPr>
        <w:t xml:space="preserve"> participar</w:t>
      </w:r>
      <w:r w:rsidR="0089298C" w:rsidRPr="002F50BD">
        <w:rPr>
          <w:rFonts w:ascii="Verdana" w:hAnsi="Verdana"/>
          <w:sz w:val="20"/>
          <w:lang w:val="pt-BR"/>
        </w:rPr>
        <w:t xml:space="preserve"> em </w:t>
      </w:r>
      <w:r w:rsidR="004756C1" w:rsidRPr="002F50BD">
        <w:rPr>
          <w:rFonts w:ascii="Verdana" w:hAnsi="Verdana"/>
          <w:sz w:val="20"/>
          <w:lang w:val="pt-BR"/>
        </w:rPr>
        <w:t xml:space="preserve">tal </w:t>
      </w:r>
      <w:r w:rsidR="0089298C" w:rsidRPr="002F50BD">
        <w:rPr>
          <w:rFonts w:ascii="Verdana" w:hAnsi="Verdana"/>
          <w:sz w:val="20"/>
          <w:lang w:val="pt-BR"/>
        </w:rPr>
        <w:t>caráter</w:t>
      </w:r>
      <w:r w:rsidR="004756C1" w:rsidRPr="002F50BD">
        <w:rPr>
          <w:rFonts w:ascii="Verdana" w:hAnsi="Verdana"/>
          <w:sz w:val="20"/>
          <w:lang w:val="pt-BR"/>
        </w:rPr>
        <w:t xml:space="preserve"> por motivos particulares”.</w:t>
      </w:r>
      <w:r w:rsidR="00FE08B7">
        <w:rPr>
          <w:rFonts w:ascii="Verdana" w:hAnsi="Verdana"/>
          <w:sz w:val="20"/>
          <w:lang w:val="pt-BR"/>
        </w:rPr>
        <w:t xml:space="preserve">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afirmaram</w:t>
      </w:r>
      <w:r w:rsidR="004756C1" w:rsidRPr="002F50BD">
        <w:rPr>
          <w:rFonts w:ascii="Verdana" w:hAnsi="Verdana"/>
          <w:sz w:val="20"/>
          <w:lang w:val="pt-BR"/>
        </w:rPr>
        <w:t xml:space="preserve"> que</w:t>
      </w:r>
      <w:r w:rsidR="0089298C" w:rsidRPr="002F50BD">
        <w:rPr>
          <w:rFonts w:ascii="Verdana" w:hAnsi="Verdana"/>
          <w:sz w:val="20"/>
          <w:lang w:val="pt-BR"/>
        </w:rPr>
        <w:t xml:space="preserve"> a razão</w:t>
      </w:r>
      <w:r w:rsidR="004756C1" w:rsidRPr="002F50BD">
        <w:rPr>
          <w:rFonts w:ascii="Verdana" w:hAnsi="Verdana"/>
          <w:sz w:val="20"/>
          <w:lang w:val="pt-BR"/>
        </w:rPr>
        <w:t xml:space="preserve"> dada</w:t>
      </w:r>
      <w:r w:rsidR="0089298C" w:rsidRPr="002F50BD">
        <w:rPr>
          <w:rFonts w:ascii="Verdana" w:hAnsi="Verdana"/>
          <w:sz w:val="20"/>
          <w:lang w:val="pt-BR"/>
        </w:rPr>
        <w:t xml:space="preserve"> pelo </w:t>
      </w:r>
      <w:r w:rsidR="004756C1" w:rsidRPr="002F50BD">
        <w:rPr>
          <w:rFonts w:ascii="Verdana" w:hAnsi="Verdana"/>
          <w:sz w:val="20"/>
          <w:lang w:val="pt-BR"/>
        </w:rPr>
        <w:t>Estado para desistir</w:t>
      </w:r>
      <w:r w:rsidR="0089298C" w:rsidRPr="002F50BD">
        <w:rPr>
          <w:rFonts w:ascii="Verdana" w:hAnsi="Verdana"/>
          <w:sz w:val="20"/>
          <w:lang w:val="pt-BR"/>
        </w:rPr>
        <w:t xml:space="preserve"> da </w:t>
      </w:r>
      <w:r w:rsidR="004756C1" w:rsidRPr="002F50BD">
        <w:rPr>
          <w:rFonts w:ascii="Verdana" w:hAnsi="Verdana"/>
          <w:sz w:val="20"/>
          <w:lang w:val="pt-BR"/>
        </w:rPr>
        <w:t>declara</w:t>
      </w:r>
      <w:r w:rsidR="0089298C" w:rsidRPr="002F50BD">
        <w:rPr>
          <w:rFonts w:ascii="Verdana" w:hAnsi="Verdana"/>
          <w:sz w:val="20"/>
          <w:lang w:val="pt-BR"/>
        </w:rPr>
        <w:t>ção da senhora</w:t>
      </w:r>
      <w:r w:rsidR="004756C1" w:rsidRPr="002F50BD">
        <w:rPr>
          <w:rFonts w:ascii="Verdana" w:hAnsi="Verdana"/>
          <w:sz w:val="20"/>
          <w:lang w:val="pt-BR"/>
        </w:rPr>
        <w:t xml:space="preserve"> Teresa Vargas era “insuficiente”, </w:t>
      </w:r>
      <w:r w:rsidR="00E46BA3" w:rsidRPr="002F50BD">
        <w:rPr>
          <w:rFonts w:ascii="Verdana" w:hAnsi="Verdana"/>
          <w:sz w:val="20"/>
          <w:lang w:val="pt-BR"/>
        </w:rPr>
        <w:t xml:space="preserve">razão pela </w:t>
      </w:r>
      <w:r w:rsidR="0089298C" w:rsidRPr="002F50BD">
        <w:rPr>
          <w:rFonts w:ascii="Verdana" w:hAnsi="Verdana"/>
          <w:sz w:val="20"/>
          <w:lang w:val="pt-BR"/>
        </w:rPr>
        <w:t xml:space="preserve">qual solicitaram à </w:t>
      </w:r>
      <w:r w:rsidR="004756C1" w:rsidRPr="002F50BD">
        <w:rPr>
          <w:rFonts w:ascii="Verdana" w:hAnsi="Verdana"/>
          <w:sz w:val="20"/>
          <w:lang w:val="pt-BR"/>
        </w:rPr>
        <w:t xml:space="preserve">Corte Interamericana que </w:t>
      </w:r>
      <w:r w:rsidR="00E46BA3" w:rsidRPr="002F50BD">
        <w:rPr>
          <w:rFonts w:ascii="Verdana" w:hAnsi="Verdana"/>
          <w:sz w:val="20"/>
          <w:lang w:val="pt-BR"/>
        </w:rPr>
        <w:t xml:space="preserve">requeresse </w:t>
      </w:r>
      <w:r w:rsidR="0089298C" w:rsidRPr="002F50BD">
        <w:rPr>
          <w:rFonts w:ascii="Verdana" w:hAnsi="Verdana"/>
          <w:sz w:val="20"/>
          <w:lang w:val="pt-BR"/>
        </w:rPr>
        <w:t xml:space="preserve">ao </w:t>
      </w:r>
      <w:r w:rsidR="004756C1" w:rsidRPr="002F50BD">
        <w:rPr>
          <w:rFonts w:ascii="Verdana" w:hAnsi="Verdana"/>
          <w:sz w:val="20"/>
          <w:lang w:val="pt-BR"/>
        </w:rPr>
        <w:t>Estado</w:t>
      </w:r>
      <w:r w:rsidR="0089298C" w:rsidRPr="002F50BD">
        <w:rPr>
          <w:rFonts w:ascii="Verdana" w:hAnsi="Verdana"/>
          <w:sz w:val="20"/>
          <w:lang w:val="pt-BR"/>
        </w:rPr>
        <w:t xml:space="preserve"> a apresentação</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AE6BB3" w:rsidRPr="002F50BD">
        <w:rPr>
          <w:rFonts w:ascii="Verdana" w:hAnsi="Verdana"/>
          <w:sz w:val="20"/>
          <w:lang w:val="pt-BR"/>
        </w:rPr>
        <w:t>fundamentaç</w:t>
      </w:r>
      <w:r w:rsidR="00CA42F5" w:rsidRPr="002F50BD">
        <w:rPr>
          <w:rFonts w:ascii="Verdana" w:hAnsi="Verdana"/>
          <w:sz w:val="20"/>
          <w:lang w:val="pt-BR"/>
        </w:rPr>
        <w:t>ão mais ampla</w:t>
      </w:r>
      <w:r w:rsidR="00AE6BB3" w:rsidRPr="002F50BD">
        <w:rPr>
          <w:rFonts w:ascii="Verdana" w:hAnsi="Verdana"/>
          <w:sz w:val="20"/>
          <w:lang w:val="pt-BR"/>
        </w:rPr>
        <w:t xml:space="preserve"> </w:t>
      </w:r>
      <w:r w:rsidR="00E46BA3" w:rsidRPr="002F50BD">
        <w:rPr>
          <w:rFonts w:ascii="Verdana" w:hAnsi="Verdana"/>
          <w:sz w:val="20"/>
          <w:lang w:val="pt-BR"/>
        </w:rPr>
        <w:t>desta desistência</w:t>
      </w:r>
      <w:r w:rsidR="004756C1" w:rsidRPr="002F50BD">
        <w:rPr>
          <w:rFonts w:ascii="Verdana" w:hAnsi="Verdana"/>
          <w:sz w:val="20"/>
          <w:lang w:val="pt-BR"/>
        </w:rPr>
        <w:t xml:space="preserve">. </w:t>
      </w:r>
      <w:r w:rsidR="00E46BA3"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afirmaram</w:t>
      </w:r>
      <w:r w:rsidR="004756C1" w:rsidRPr="002F50BD">
        <w:rPr>
          <w:rFonts w:ascii="Verdana" w:hAnsi="Verdana"/>
          <w:sz w:val="20"/>
          <w:lang w:val="pt-BR"/>
        </w:rPr>
        <w:t xml:space="preserve"> que </w:t>
      </w:r>
      <w:r w:rsidR="0089298C" w:rsidRPr="002F50BD">
        <w:rPr>
          <w:rFonts w:ascii="Verdana" w:hAnsi="Verdana"/>
          <w:sz w:val="20"/>
          <w:lang w:val="pt-BR"/>
        </w:rPr>
        <w:t xml:space="preserve">não possuem </w:t>
      </w:r>
      <w:r w:rsidR="004756C1" w:rsidRPr="002F50BD">
        <w:rPr>
          <w:rFonts w:ascii="Verdana" w:hAnsi="Verdana"/>
          <w:sz w:val="20"/>
          <w:lang w:val="pt-BR"/>
        </w:rPr>
        <w:t>obje</w:t>
      </w:r>
      <w:r w:rsidR="0089298C" w:rsidRPr="002F50BD">
        <w:rPr>
          <w:rFonts w:ascii="Verdana" w:hAnsi="Verdana"/>
          <w:sz w:val="20"/>
          <w:lang w:val="pt-BR"/>
        </w:rPr>
        <w:t xml:space="preserve">ções quanto </w:t>
      </w:r>
      <w:r w:rsidR="00E46BA3" w:rsidRPr="002F50BD">
        <w:rPr>
          <w:rFonts w:ascii="Verdana" w:hAnsi="Verdana"/>
          <w:sz w:val="20"/>
          <w:lang w:val="pt-BR"/>
        </w:rPr>
        <w:t>à</w:t>
      </w:r>
      <w:r w:rsidR="0089298C" w:rsidRPr="002F50BD">
        <w:rPr>
          <w:rFonts w:ascii="Verdana" w:hAnsi="Verdana"/>
          <w:sz w:val="20"/>
          <w:lang w:val="pt-BR"/>
        </w:rPr>
        <w:t xml:space="preserve"> </w:t>
      </w:r>
      <w:r w:rsidR="00E46BA3" w:rsidRPr="002F50BD">
        <w:rPr>
          <w:rFonts w:ascii="Verdana" w:hAnsi="Verdana"/>
          <w:sz w:val="20"/>
          <w:lang w:val="pt-BR"/>
        </w:rPr>
        <w:t>desistência</w:t>
      </w:r>
      <w:r w:rsidR="004756C1" w:rsidRPr="002F50BD">
        <w:rPr>
          <w:rFonts w:ascii="Verdana" w:hAnsi="Verdana"/>
          <w:sz w:val="20"/>
          <w:lang w:val="pt-BR"/>
        </w:rPr>
        <w:t xml:space="preserve"> </w:t>
      </w:r>
      <w:r w:rsidR="0089298C" w:rsidRPr="002F50BD">
        <w:rPr>
          <w:rFonts w:ascii="Verdana" w:hAnsi="Verdana"/>
          <w:sz w:val="20"/>
          <w:lang w:val="pt-BR"/>
        </w:rPr>
        <w:t>d</w:t>
      </w:r>
      <w:r w:rsidR="00E46BA3" w:rsidRPr="002F50BD">
        <w:rPr>
          <w:rFonts w:ascii="Verdana" w:hAnsi="Verdana"/>
          <w:sz w:val="20"/>
          <w:lang w:val="pt-BR"/>
        </w:rPr>
        <w:t>a</w:t>
      </w:r>
      <w:r w:rsidR="0089298C" w:rsidRPr="002F50BD">
        <w:rPr>
          <w:rFonts w:ascii="Verdana" w:hAnsi="Verdana"/>
          <w:sz w:val="20"/>
          <w:lang w:val="pt-BR"/>
        </w:rPr>
        <w:t xml:space="preserve"> perícia da senhora</w:t>
      </w:r>
      <w:r w:rsidR="004756C1" w:rsidRPr="002F50BD">
        <w:rPr>
          <w:rFonts w:ascii="Verdana" w:hAnsi="Verdana"/>
          <w:sz w:val="20"/>
          <w:lang w:val="pt-BR"/>
        </w:rPr>
        <w:t xml:space="preserve"> Fulvia Esther Prieto realizad</w:t>
      </w:r>
      <w:r w:rsidR="00E46BA3" w:rsidRPr="002F50BD">
        <w:rPr>
          <w:rFonts w:ascii="Verdana" w:hAnsi="Verdana"/>
          <w:sz w:val="20"/>
          <w:lang w:val="pt-BR"/>
        </w:rPr>
        <w:t>a</w:t>
      </w:r>
      <w:r w:rsidR="0089298C" w:rsidRPr="002F50BD">
        <w:rPr>
          <w:rFonts w:ascii="Verdana" w:hAnsi="Verdana"/>
          <w:sz w:val="20"/>
          <w:lang w:val="pt-BR"/>
        </w:rPr>
        <w:t xml:space="preserve"> pelo Paraguai</w:t>
      </w:r>
      <w:r w:rsidR="004756C1" w:rsidRPr="002F50BD">
        <w:rPr>
          <w:rFonts w:ascii="Verdana" w:hAnsi="Verdana"/>
          <w:sz w:val="20"/>
          <w:lang w:val="pt-BR"/>
        </w:rPr>
        <w:t>.</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 xml:space="preserve">apresentou uma </w:t>
      </w:r>
      <w:r w:rsidR="004756C1" w:rsidRPr="002F50BD">
        <w:rPr>
          <w:rFonts w:ascii="Verdana" w:hAnsi="Verdana"/>
          <w:sz w:val="20"/>
          <w:lang w:val="pt-BR"/>
        </w:rPr>
        <w:t>nota, mediante</w:t>
      </w:r>
      <w:r w:rsidR="0089298C" w:rsidRPr="002F50BD">
        <w:rPr>
          <w:rFonts w:ascii="Verdana" w:hAnsi="Verdana"/>
          <w:sz w:val="20"/>
          <w:lang w:val="pt-BR"/>
        </w:rPr>
        <w:t xml:space="preserve"> a qual solicitou a inclusão</w:t>
      </w:r>
      <w:r w:rsidR="004756C1" w:rsidRPr="002F50BD">
        <w:rPr>
          <w:rFonts w:ascii="Verdana" w:hAnsi="Verdana"/>
          <w:sz w:val="20"/>
          <w:lang w:val="pt-BR"/>
        </w:rPr>
        <w:t xml:space="preserve"> </w:t>
      </w:r>
      <w:r w:rsidR="0089298C" w:rsidRPr="002F50BD">
        <w:rPr>
          <w:rFonts w:ascii="Verdana" w:hAnsi="Verdana"/>
          <w:sz w:val="20"/>
          <w:lang w:val="pt-BR"/>
        </w:rPr>
        <w:t>d</w:t>
      </w:r>
      <w:r w:rsidR="00E46BA3" w:rsidRPr="002F50BD">
        <w:rPr>
          <w:rFonts w:ascii="Verdana" w:hAnsi="Verdana"/>
          <w:sz w:val="20"/>
          <w:lang w:val="pt-BR"/>
        </w:rPr>
        <w:t>a</w:t>
      </w:r>
      <w:r w:rsidR="0089298C" w:rsidRPr="002F50BD">
        <w:rPr>
          <w:rFonts w:ascii="Verdana" w:hAnsi="Verdana"/>
          <w:sz w:val="20"/>
          <w:lang w:val="pt-BR"/>
        </w:rPr>
        <w:t xml:space="preserve"> testemunha</w:t>
      </w:r>
      <w:r w:rsidR="004756C1" w:rsidRPr="002F50BD">
        <w:rPr>
          <w:rFonts w:ascii="Verdana" w:hAnsi="Verdana"/>
          <w:sz w:val="20"/>
          <w:lang w:val="pt-BR"/>
        </w:rPr>
        <w:t xml:space="preserve"> Oscar Centurión</w:t>
      </w:r>
      <w:r w:rsidR="0089298C" w:rsidRPr="002F50BD">
        <w:rPr>
          <w:rFonts w:ascii="Verdana" w:hAnsi="Verdana"/>
          <w:sz w:val="20"/>
          <w:lang w:val="pt-BR"/>
        </w:rPr>
        <w:t xml:space="preserve"> na </w:t>
      </w:r>
      <w:r w:rsidR="004756C1" w:rsidRPr="002F50BD">
        <w:rPr>
          <w:rFonts w:ascii="Verdana" w:hAnsi="Verdana"/>
          <w:sz w:val="20"/>
          <w:lang w:val="pt-BR"/>
        </w:rPr>
        <w:t>programa</w:t>
      </w:r>
      <w:r w:rsidR="0089298C" w:rsidRPr="002F50BD">
        <w:rPr>
          <w:rFonts w:ascii="Verdana" w:hAnsi="Verdana"/>
          <w:sz w:val="20"/>
          <w:lang w:val="pt-BR"/>
        </w:rPr>
        <w:t>ção da audiência</w:t>
      </w:r>
      <w:r w:rsidR="004756C1" w:rsidRPr="002F50BD">
        <w:rPr>
          <w:rFonts w:ascii="Verdana" w:hAnsi="Verdana"/>
          <w:sz w:val="20"/>
          <w:lang w:val="pt-BR"/>
        </w:rPr>
        <w:t xml:space="preserve"> pública convocada</w:t>
      </w:r>
      <w:r w:rsidR="0089298C" w:rsidRPr="002F50BD">
        <w:rPr>
          <w:rFonts w:ascii="Verdana" w:hAnsi="Verdana"/>
          <w:sz w:val="20"/>
          <w:lang w:val="pt-BR"/>
        </w:rPr>
        <w:t xml:space="preserve"> pela </w:t>
      </w:r>
      <w:r w:rsidR="004756C1" w:rsidRPr="002F50BD">
        <w:rPr>
          <w:rFonts w:ascii="Verdana" w:hAnsi="Verdana"/>
          <w:sz w:val="20"/>
          <w:lang w:val="pt-BR"/>
        </w:rPr>
        <w:t>Corte</w:t>
      </w:r>
      <w:r w:rsidR="00FB33DD" w:rsidRPr="002F50BD">
        <w:rPr>
          <w:rFonts w:ascii="Verdana" w:hAnsi="Verdana"/>
          <w:sz w:val="20"/>
          <w:lang w:val="pt-BR"/>
        </w:rPr>
        <w:t xml:space="preserve">. </w:t>
      </w:r>
      <w:r w:rsidR="00E46BA3" w:rsidRPr="002F50BD">
        <w:rPr>
          <w:rFonts w:ascii="Verdana" w:hAnsi="Verdana"/>
          <w:sz w:val="20"/>
          <w:lang w:val="pt-BR"/>
        </w:rPr>
        <w:t>Ne</w:t>
      </w:r>
      <w:r w:rsidR="00FB33DD" w:rsidRPr="002F50BD">
        <w:rPr>
          <w:rFonts w:ascii="Verdana" w:hAnsi="Verdana"/>
          <w:sz w:val="20"/>
          <w:lang w:val="pt-BR"/>
        </w:rPr>
        <w:t xml:space="preserve">sse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CA42F5"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seguindo</w:t>
      </w:r>
      <w:r w:rsidR="004756C1" w:rsidRPr="002F50BD">
        <w:rPr>
          <w:rFonts w:ascii="Verdana" w:hAnsi="Verdana"/>
          <w:sz w:val="20"/>
          <w:lang w:val="pt-BR"/>
        </w:rPr>
        <w:t xml:space="preserve"> </w:t>
      </w:r>
      <w:r w:rsidR="0089298C" w:rsidRPr="002F50BD">
        <w:rPr>
          <w:rFonts w:ascii="Verdana" w:hAnsi="Verdana"/>
          <w:sz w:val="20"/>
          <w:lang w:val="pt-BR"/>
        </w:rPr>
        <w:t>instruções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Pleno</w:t>
      </w:r>
      <w:r w:rsidR="0089298C" w:rsidRPr="002F50BD">
        <w:rPr>
          <w:rFonts w:ascii="Verdana" w:hAnsi="Verdana"/>
          <w:sz w:val="20"/>
          <w:lang w:val="pt-BR"/>
        </w:rPr>
        <w:t xml:space="preserve"> da </w:t>
      </w:r>
      <w:r w:rsidR="004756C1" w:rsidRPr="002F50BD">
        <w:rPr>
          <w:rFonts w:ascii="Verdana" w:hAnsi="Verdana"/>
          <w:sz w:val="20"/>
          <w:lang w:val="pt-BR"/>
        </w:rPr>
        <w:t xml:space="preserve">Corte, </w:t>
      </w:r>
      <w:r w:rsidR="0089298C" w:rsidRPr="002F50BD">
        <w:rPr>
          <w:rFonts w:ascii="Verdana" w:hAnsi="Verdana"/>
          <w:sz w:val="20"/>
          <w:lang w:val="pt-BR"/>
        </w:rPr>
        <w:t xml:space="preserve">informou o </w:t>
      </w:r>
      <w:r w:rsidR="004756C1" w:rsidRPr="002F50BD">
        <w:rPr>
          <w:rFonts w:ascii="Verdana" w:hAnsi="Verdana"/>
          <w:sz w:val="20"/>
          <w:lang w:val="pt-BR"/>
        </w:rPr>
        <w:t xml:space="preserve">Estado </w:t>
      </w:r>
      <w:r w:rsidR="00E46BA3" w:rsidRPr="002F50BD">
        <w:rPr>
          <w:rFonts w:ascii="Verdana" w:hAnsi="Verdana"/>
          <w:sz w:val="20"/>
          <w:lang w:val="pt-BR"/>
        </w:rPr>
        <w:t xml:space="preserve">de </w:t>
      </w:r>
      <w:r w:rsidR="004756C1" w:rsidRPr="002F50BD">
        <w:rPr>
          <w:rFonts w:ascii="Verdana" w:hAnsi="Verdana"/>
          <w:sz w:val="20"/>
          <w:lang w:val="pt-BR"/>
        </w:rPr>
        <w:t>que</w:t>
      </w:r>
      <w:r w:rsidR="0089298C" w:rsidRPr="002F50BD">
        <w:rPr>
          <w:rFonts w:ascii="Verdana" w:hAnsi="Verdana"/>
          <w:sz w:val="20"/>
          <w:lang w:val="pt-BR"/>
        </w:rPr>
        <w:t xml:space="preserve"> </w:t>
      </w:r>
      <w:r w:rsidR="004756C1" w:rsidRPr="002F50BD">
        <w:rPr>
          <w:rFonts w:ascii="Verdana" w:hAnsi="Verdana"/>
          <w:sz w:val="20"/>
          <w:lang w:val="pt-BR"/>
        </w:rPr>
        <w:t>n</w:t>
      </w:r>
      <w:r w:rsidR="00E46BA3"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considerava</w:t>
      </w:r>
      <w:r w:rsidR="004756C1" w:rsidRPr="002F50BD">
        <w:rPr>
          <w:rFonts w:ascii="Verdana" w:hAnsi="Verdana"/>
          <w:sz w:val="20"/>
          <w:lang w:val="pt-BR"/>
        </w:rPr>
        <w:t xml:space="preserve"> “</w:t>
      </w:r>
      <w:r w:rsidR="0089298C" w:rsidRPr="002F50BD">
        <w:rPr>
          <w:rFonts w:ascii="Verdana" w:hAnsi="Verdana"/>
          <w:sz w:val="20"/>
          <w:lang w:val="pt-BR"/>
        </w:rPr>
        <w:t>necessári</w:t>
      </w:r>
      <w:r w:rsidR="004756C1" w:rsidRPr="002F50BD">
        <w:rPr>
          <w:rFonts w:ascii="Verdana" w:hAnsi="Verdana"/>
          <w:sz w:val="20"/>
          <w:lang w:val="pt-BR"/>
        </w:rPr>
        <w:t xml:space="preserve">o </w:t>
      </w:r>
      <w:r w:rsidR="00E46BA3" w:rsidRPr="002F50BD">
        <w:rPr>
          <w:rFonts w:ascii="Verdana" w:hAnsi="Verdana"/>
          <w:sz w:val="20"/>
          <w:lang w:val="pt-BR"/>
        </w:rPr>
        <w:t>ouvir</w:t>
      </w:r>
      <w:r w:rsidR="0089298C" w:rsidRPr="002F50BD">
        <w:rPr>
          <w:rFonts w:ascii="Verdana" w:hAnsi="Verdana"/>
          <w:sz w:val="20"/>
          <w:lang w:val="pt-BR"/>
        </w:rPr>
        <w:t xml:space="preserve"> uma nova</w:t>
      </w:r>
      <w:r w:rsidR="004756C1" w:rsidRPr="002F50BD">
        <w:rPr>
          <w:rFonts w:ascii="Verdana" w:hAnsi="Verdana"/>
          <w:sz w:val="20"/>
          <w:lang w:val="pt-BR"/>
        </w:rPr>
        <w:t xml:space="preserve"> declara</w:t>
      </w:r>
      <w:r w:rsidR="0089298C" w:rsidRPr="002F50BD">
        <w:rPr>
          <w:rFonts w:ascii="Verdana" w:hAnsi="Verdana"/>
          <w:sz w:val="20"/>
          <w:lang w:val="pt-BR"/>
        </w:rPr>
        <w:t>ção</w:t>
      </w:r>
      <w:r w:rsidR="004756C1" w:rsidRPr="002F50BD">
        <w:rPr>
          <w:rFonts w:ascii="Verdana" w:hAnsi="Verdana"/>
          <w:sz w:val="20"/>
          <w:lang w:val="pt-BR"/>
        </w:rPr>
        <w:t xml:space="preserve"> por parte </w:t>
      </w:r>
      <w:r w:rsidR="0089298C" w:rsidRPr="002F50BD">
        <w:rPr>
          <w:rFonts w:ascii="Verdana" w:hAnsi="Verdana"/>
          <w:sz w:val="20"/>
          <w:lang w:val="pt-BR"/>
        </w:rPr>
        <w:t xml:space="preserve">do senhor </w:t>
      </w:r>
      <w:r w:rsidR="004756C1" w:rsidRPr="002F50BD">
        <w:rPr>
          <w:rFonts w:ascii="Verdana" w:hAnsi="Verdana"/>
          <w:sz w:val="20"/>
          <w:lang w:val="pt-BR"/>
        </w:rPr>
        <w:t>Oscar Centurión,</w:t>
      </w:r>
      <w:r w:rsidR="0089298C" w:rsidRPr="002F50BD">
        <w:rPr>
          <w:rFonts w:ascii="Verdana" w:hAnsi="Verdana"/>
          <w:sz w:val="20"/>
          <w:lang w:val="pt-BR"/>
        </w:rPr>
        <w:t xml:space="preserve"> </w:t>
      </w:r>
      <w:r w:rsidR="00CF451D">
        <w:rPr>
          <w:rFonts w:ascii="Verdana" w:hAnsi="Verdana"/>
          <w:sz w:val="20"/>
          <w:lang w:val="pt-BR"/>
        </w:rPr>
        <w:t xml:space="preserve">e </w:t>
      </w:r>
      <w:r w:rsidR="004756C1" w:rsidRPr="002F50BD">
        <w:rPr>
          <w:rFonts w:ascii="Verdana" w:hAnsi="Verdana"/>
          <w:sz w:val="20"/>
          <w:lang w:val="pt-BR"/>
        </w:rPr>
        <w:t>[…] re</w:t>
      </w:r>
      <w:r w:rsidR="00E46BA3" w:rsidRPr="002F50BD">
        <w:rPr>
          <w:rFonts w:ascii="Verdana" w:hAnsi="Verdana"/>
          <w:sz w:val="20"/>
          <w:lang w:val="pt-BR"/>
        </w:rPr>
        <w:t>jeit</w:t>
      </w:r>
      <w:r w:rsidR="004756C1" w:rsidRPr="002F50BD">
        <w:rPr>
          <w:rFonts w:ascii="Verdana" w:hAnsi="Verdana"/>
          <w:sz w:val="20"/>
          <w:lang w:val="pt-BR"/>
        </w:rPr>
        <w:t>[</w:t>
      </w:r>
      <w:r w:rsidR="00E46BA3" w:rsidRPr="002F50BD">
        <w:rPr>
          <w:rFonts w:ascii="Verdana" w:hAnsi="Verdana"/>
          <w:sz w:val="20"/>
          <w:lang w:val="pt-BR"/>
        </w:rPr>
        <w:t>ou</w:t>
      </w:r>
      <w:r w:rsidR="004756C1" w:rsidRPr="002F50BD">
        <w:rPr>
          <w:rFonts w:ascii="Verdana" w:hAnsi="Verdana"/>
          <w:sz w:val="20"/>
          <w:lang w:val="pt-BR"/>
        </w:rPr>
        <w:t>]</w:t>
      </w:r>
      <w:r w:rsidR="0089298C" w:rsidRPr="002F50BD">
        <w:rPr>
          <w:rFonts w:ascii="Verdana" w:hAnsi="Verdana"/>
          <w:sz w:val="20"/>
          <w:lang w:val="pt-BR"/>
        </w:rPr>
        <w:t xml:space="preserve"> </w:t>
      </w:r>
      <w:r w:rsidR="00E46BA3" w:rsidRPr="002F50BD">
        <w:rPr>
          <w:rFonts w:ascii="Verdana" w:hAnsi="Verdana"/>
          <w:sz w:val="20"/>
          <w:lang w:val="pt-BR"/>
        </w:rPr>
        <w:t xml:space="preserve">o pedido </w:t>
      </w:r>
      <w:r w:rsidR="0089298C" w:rsidRPr="002F50BD">
        <w:rPr>
          <w:rFonts w:ascii="Verdana" w:hAnsi="Verdana"/>
          <w:sz w:val="20"/>
          <w:lang w:val="pt-BR"/>
        </w:rPr>
        <w:t xml:space="preserve">do </w:t>
      </w:r>
      <w:r w:rsidR="004756C1" w:rsidRPr="002F50BD">
        <w:rPr>
          <w:rFonts w:ascii="Verdana" w:hAnsi="Verdana"/>
          <w:sz w:val="20"/>
          <w:lang w:val="pt-BR"/>
        </w:rPr>
        <w:t>Estado por consider</w:t>
      </w:r>
      <w:r w:rsidR="00AB454A" w:rsidRPr="002F50BD">
        <w:rPr>
          <w:rFonts w:ascii="Verdana" w:hAnsi="Verdana"/>
          <w:sz w:val="20"/>
          <w:lang w:val="pt-BR"/>
        </w:rPr>
        <w:t>á-l</w:t>
      </w:r>
      <w:r w:rsidR="00E46BA3" w:rsidRPr="002F50BD">
        <w:rPr>
          <w:rFonts w:ascii="Verdana" w:hAnsi="Verdana"/>
          <w:sz w:val="20"/>
          <w:lang w:val="pt-BR"/>
        </w:rPr>
        <w:t>o</w:t>
      </w:r>
      <w:r w:rsidR="00AB454A" w:rsidRPr="002F50BD">
        <w:rPr>
          <w:rFonts w:ascii="Verdana" w:hAnsi="Verdana"/>
          <w:sz w:val="20"/>
          <w:lang w:val="pt-BR"/>
        </w:rPr>
        <w:t xml:space="preserve"> </w:t>
      </w:r>
      <w:r w:rsidR="0089298C" w:rsidRPr="002F50BD">
        <w:rPr>
          <w:rFonts w:ascii="Verdana" w:hAnsi="Verdana"/>
          <w:sz w:val="20"/>
          <w:lang w:val="pt-BR"/>
        </w:rPr>
        <w:t>extemporâne</w:t>
      </w:r>
      <w:r w:rsidR="00E46BA3" w:rsidRPr="002F50BD">
        <w:rPr>
          <w:rFonts w:ascii="Verdana" w:hAnsi="Verdana"/>
          <w:sz w:val="20"/>
          <w:lang w:val="pt-BR"/>
        </w:rPr>
        <w:t>o</w:t>
      </w:r>
      <w:r w:rsidR="004756C1" w:rsidRPr="002F50BD">
        <w:rPr>
          <w:rFonts w:ascii="Verdana" w:hAnsi="Verdana"/>
          <w:sz w:val="20"/>
          <w:lang w:val="pt-BR"/>
        </w:rPr>
        <w:t xml:space="preserve"> e </w:t>
      </w:r>
      <w:r w:rsidR="00E46BA3" w:rsidRPr="002F50BD">
        <w:rPr>
          <w:rFonts w:ascii="Verdana" w:hAnsi="Verdana"/>
          <w:sz w:val="20"/>
          <w:lang w:val="pt-BR"/>
        </w:rPr>
        <w:t>desnecessário</w:t>
      </w:r>
      <w:r w:rsidR="0089298C" w:rsidRPr="002F50BD">
        <w:rPr>
          <w:rFonts w:ascii="Verdana" w:hAnsi="Verdana"/>
          <w:sz w:val="20"/>
          <w:lang w:val="pt-BR"/>
        </w:rPr>
        <w:t xml:space="preserve"> no </w:t>
      </w:r>
      <w:r w:rsidR="004756C1" w:rsidRPr="002F50BD">
        <w:rPr>
          <w:rFonts w:ascii="Verdana" w:hAnsi="Verdana"/>
          <w:sz w:val="20"/>
          <w:lang w:val="pt-BR"/>
        </w:rPr>
        <w:t xml:space="preserve">presente caso”.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w:t>
      </w:r>
      <w:r w:rsidR="00CF451D">
        <w:rPr>
          <w:rFonts w:ascii="Verdana" w:hAnsi="Verdana"/>
          <w:sz w:val="20"/>
          <w:lang w:val="pt-BR"/>
        </w:rPr>
        <w:t xml:space="preserve">º </w:t>
      </w:r>
      <w:r w:rsidR="004756C1" w:rsidRPr="002F50BD">
        <w:rPr>
          <w:rFonts w:ascii="Verdana" w:hAnsi="Verdana"/>
          <w:sz w:val="20"/>
          <w:lang w:val="pt-BR"/>
        </w:rPr>
        <w:t xml:space="preserve">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Nacional Indígena d</w:t>
      </w:r>
      <w:r w:rsidR="00E46BA3"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 xml:space="preserve">Colômbia </w:t>
      </w:r>
      <w:r w:rsidR="00CF451D" w:rsidRPr="00CF451D">
        <w:rPr>
          <w:rFonts w:ascii="Verdana" w:hAnsi="Verdana"/>
          <w:sz w:val="20"/>
          <w:lang w:val="pt-BR"/>
        </w:rPr>
        <w:t>(</w:t>
      </w:r>
      <w:r w:rsidR="004756C1" w:rsidRPr="002F50BD">
        <w:rPr>
          <w:rFonts w:ascii="Verdana" w:hAnsi="Verdana"/>
          <w:sz w:val="20"/>
          <w:lang w:val="pt-BR"/>
        </w:rPr>
        <w:t>ONIC</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apresentou um </w:t>
      </w:r>
      <w:r w:rsidR="004756C1" w:rsidRPr="002F50BD">
        <w:rPr>
          <w:rFonts w:ascii="Verdana" w:hAnsi="Verdana"/>
          <w:sz w:val="20"/>
          <w:lang w:val="pt-BR"/>
        </w:rPr>
        <w:t>escrito</w:t>
      </w:r>
      <w:r w:rsidR="0089298C" w:rsidRPr="002F50BD">
        <w:rPr>
          <w:rFonts w:ascii="Verdana" w:hAnsi="Verdana"/>
          <w:sz w:val="20"/>
          <w:lang w:val="pt-BR"/>
        </w:rPr>
        <w:t xml:space="preserve"> em qualidade </w:t>
      </w:r>
      <w:r w:rsidR="004756C1" w:rsidRPr="002F50BD">
        <w:rPr>
          <w:rFonts w:ascii="Verdana" w:hAnsi="Verdana"/>
          <w:sz w:val="20"/>
          <w:lang w:val="pt-BR"/>
        </w:rPr>
        <w:t xml:space="preserve">de </w:t>
      </w:r>
      <w:r w:rsidR="004756C1" w:rsidRPr="002F50BD">
        <w:rPr>
          <w:rFonts w:ascii="Verdana" w:hAnsi="Verdana"/>
          <w:i/>
          <w:sz w:val="20"/>
          <w:lang w:val="pt-BR"/>
        </w:rPr>
        <w:t>amicus curiae</w:t>
      </w:r>
      <w:r w:rsidR="0089298C" w:rsidRPr="002F50BD">
        <w:rPr>
          <w:rFonts w:ascii="Verdana" w:hAnsi="Verdana"/>
          <w:sz w:val="20"/>
          <w:lang w:val="pt-BR"/>
        </w:rPr>
        <w:t xml:space="preserve"> no </w:t>
      </w:r>
      <w:r w:rsidR="004756C1" w:rsidRPr="002F50BD">
        <w:rPr>
          <w:rFonts w:ascii="Verdana" w:hAnsi="Verdana"/>
          <w:sz w:val="20"/>
          <w:lang w:val="pt-BR"/>
        </w:rPr>
        <w:t>presente caso.</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 xml:space="preserve">apresentou o </w:t>
      </w:r>
      <w:r w:rsidR="008C29C9" w:rsidRPr="002F50BD">
        <w:rPr>
          <w:rFonts w:ascii="Verdana" w:hAnsi="Verdana"/>
          <w:i/>
          <w:sz w:val="20"/>
          <w:lang w:val="pt-BR"/>
        </w:rPr>
        <w:t>affidavit</w:t>
      </w:r>
      <w:r w:rsidR="0089298C" w:rsidRPr="002F50BD">
        <w:rPr>
          <w:rFonts w:ascii="Verdana" w:hAnsi="Verdana"/>
          <w:sz w:val="20"/>
          <w:lang w:val="pt-BR"/>
        </w:rPr>
        <w:t xml:space="preserve"> da testemunha</w:t>
      </w:r>
      <w:r w:rsidR="004756C1" w:rsidRPr="002F50BD">
        <w:rPr>
          <w:rFonts w:ascii="Verdana" w:hAnsi="Verdana"/>
          <w:sz w:val="20"/>
          <w:lang w:val="pt-BR"/>
        </w:rPr>
        <w:t xml:space="preserve"> Teresa Vargas e </w:t>
      </w:r>
      <w:r w:rsidR="00E46BA3" w:rsidRPr="002F50BD">
        <w:rPr>
          <w:rFonts w:ascii="Verdana" w:hAnsi="Verdana"/>
          <w:sz w:val="20"/>
          <w:lang w:val="pt-BR"/>
        </w:rPr>
        <w:t xml:space="preserve">indicou </w:t>
      </w:r>
      <w:r w:rsidR="0089298C" w:rsidRPr="002F50BD">
        <w:rPr>
          <w:rFonts w:ascii="Verdana" w:hAnsi="Verdana"/>
          <w:sz w:val="20"/>
          <w:lang w:val="pt-BR"/>
        </w:rPr>
        <w:t>as razões pelas quais</w:t>
      </w:r>
      <w:r w:rsidR="004756C1" w:rsidRPr="002F50BD">
        <w:rPr>
          <w:rFonts w:ascii="Verdana" w:hAnsi="Verdana"/>
          <w:sz w:val="20"/>
          <w:lang w:val="pt-BR"/>
        </w:rPr>
        <w:t xml:space="preserve"> </w:t>
      </w:r>
      <w:r w:rsidR="0089298C" w:rsidRPr="002F50BD">
        <w:rPr>
          <w:rFonts w:ascii="Verdana" w:hAnsi="Verdana"/>
          <w:sz w:val="20"/>
          <w:lang w:val="pt-BR"/>
        </w:rPr>
        <w:t>esta</w:t>
      </w:r>
      <w:r w:rsidR="004756C1" w:rsidRPr="002F50BD">
        <w:rPr>
          <w:rFonts w:ascii="Verdana" w:hAnsi="Verdana"/>
          <w:sz w:val="20"/>
          <w:lang w:val="pt-BR"/>
        </w:rPr>
        <w:t xml:space="preserve"> declara</w:t>
      </w:r>
      <w:r w:rsidR="0089298C" w:rsidRPr="002F50BD">
        <w:rPr>
          <w:rFonts w:ascii="Verdana" w:hAnsi="Verdana"/>
          <w:sz w:val="20"/>
          <w:lang w:val="pt-BR"/>
        </w:rPr>
        <w:t>çã</w:t>
      </w:r>
      <w:r w:rsidR="00060B3A" w:rsidRPr="002F50BD">
        <w:rPr>
          <w:rFonts w:ascii="Verdana" w:hAnsi="Verdana"/>
          <w:sz w:val="20"/>
          <w:lang w:val="pt-BR"/>
        </w:rPr>
        <w:t>o</w:t>
      </w:r>
      <w:r w:rsidR="00475EBB" w:rsidRPr="002F50BD">
        <w:rPr>
          <w:rFonts w:ascii="Verdana" w:hAnsi="Verdana"/>
          <w:sz w:val="20"/>
          <w:lang w:val="pt-BR"/>
        </w:rPr>
        <w:t xml:space="preserve"> testemunha</w:t>
      </w:r>
      <w:r w:rsidR="0089298C" w:rsidRPr="002F50BD">
        <w:rPr>
          <w:rFonts w:ascii="Verdana" w:hAnsi="Verdana"/>
          <w:sz w:val="20"/>
          <w:lang w:val="pt-BR"/>
        </w:rPr>
        <w:t>l</w:t>
      </w:r>
      <w:r w:rsidR="004756C1" w:rsidRPr="002F50BD">
        <w:rPr>
          <w:rFonts w:ascii="Verdana" w:hAnsi="Verdana"/>
          <w:sz w:val="20"/>
          <w:lang w:val="pt-BR"/>
        </w:rPr>
        <w:t xml:space="preserve"> </w:t>
      </w:r>
      <w:r w:rsidR="00AB454A" w:rsidRPr="002F50BD">
        <w:rPr>
          <w:rFonts w:ascii="Verdana" w:hAnsi="Verdana"/>
          <w:sz w:val="20"/>
          <w:lang w:val="pt-BR"/>
        </w:rPr>
        <w:t>não havia</w:t>
      </w:r>
      <w:r w:rsidR="00CF451D">
        <w:rPr>
          <w:rFonts w:ascii="Verdana" w:hAnsi="Verdana"/>
          <w:sz w:val="20"/>
          <w:lang w:val="pt-BR"/>
        </w:rPr>
        <w:t xml:space="preserve"> sido </w:t>
      </w:r>
      <w:r w:rsidR="0089298C" w:rsidRPr="002F50BD">
        <w:rPr>
          <w:rFonts w:ascii="Verdana" w:hAnsi="Verdana"/>
          <w:sz w:val="20"/>
          <w:lang w:val="pt-BR"/>
        </w:rPr>
        <w:t xml:space="preserve">apresentada </w:t>
      </w:r>
      <w:r w:rsidR="00E46BA3"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 xml:space="preserve">Corte dentro </w:t>
      </w:r>
      <w:r w:rsidR="0089298C" w:rsidRPr="002F50BD">
        <w:rPr>
          <w:rFonts w:ascii="Verdana" w:hAnsi="Verdana"/>
          <w:sz w:val="20"/>
          <w:lang w:val="pt-BR"/>
        </w:rPr>
        <w:t>do prazo</w:t>
      </w:r>
      <w:r w:rsidR="004756C1" w:rsidRPr="002F50BD">
        <w:rPr>
          <w:rFonts w:ascii="Verdana" w:hAnsi="Verdana"/>
          <w:sz w:val="20"/>
          <w:lang w:val="pt-BR"/>
        </w:rPr>
        <w:t xml:space="preserve"> </w:t>
      </w:r>
      <w:r w:rsidR="00E46BA3" w:rsidRPr="002F50BD">
        <w:rPr>
          <w:rFonts w:ascii="Verdana" w:hAnsi="Verdana"/>
          <w:sz w:val="20"/>
          <w:lang w:val="pt-BR"/>
        </w:rPr>
        <w:t>concedido</w:t>
      </w:r>
      <w:r w:rsidR="00FB33DD" w:rsidRPr="002F50BD">
        <w:rPr>
          <w:rFonts w:ascii="Verdana" w:hAnsi="Verdana"/>
          <w:sz w:val="20"/>
          <w:lang w:val="pt-BR"/>
        </w:rPr>
        <w:t xml:space="preserve">. Esse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4756C1"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seguindo</w:t>
      </w:r>
      <w:r w:rsidR="004756C1" w:rsidRPr="002F50BD">
        <w:rPr>
          <w:rFonts w:ascii="Verdana" w:hAnsi="Verdana"/>
          <w:sz w:val="20"/>
          <w:lang w:val="pt-BR"/>
        </w:rPr>
        <w:t xml:space="preserve"> </w:t>
      </w:r>
      <w:r w:rsidR="0089298C" w:rsidRPr="002F50BD">
        <w:rPr>
          <w:rFonts w:ascii="Verdana" w:hAnsi="Verdana"/>
          <w:sz w:val="20"/>
          <w:lang w:val="pt-BR"/>
        </w:rPr>
        <w:t>instruções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89298C" w:rsidRPr="002F50BD">
        <w:rPr>
          <w:rFonts w:ascii="Verdana" w:hAnsi="Verdana"/>
          <w:sz w:val="20"/>
          <w:lang w:val="pt-BR"/>
        </w:rPr>
        <w:t xml:space="preserve">solicitou à Comissão e aos </w:t>
      </w:r>
      <w:r w:rsidR="008C29C9" w:rsidRPr="002F50BD">
        <w:rPr>
          <w:rFonts w:ascii="Verdana" w:hAnsi="Verdana"/>
          <w:sz w:val="20"/>
          <w:lang w:val="pt-BR"/>
        </w:rPr>
        <w:t>representante</w:t>
      </w:r>
      <w:r w:rsidR="004756C1" w:rsidRPr="002F50BD">
        <w:rPr>
          <w:rFonts w:ascii="Verdana" w:hAnsi="Verdana"/>
          <w:sz w:val="20"/>
          <w:lang w:val="pt-BR"/>
        </w:rPr>
        <w:t xml:space="preserve">s que </w:t>
      </w:r>
      <w:r w:rsidR="0089298C" w:rsidRPr="002F50BD">
        <w:rPr>
          <w:rFonts w:ascii="Verdana" w:hAnsi="Verdana"/>
          <w:sz w:val="20"/>
          <w:lang w:val="pt-BR"/>
        </w:rPr>
        <w:t xml:space="preserve">apresentassem as </w:t>
      </w:r>
      <w:r w:rsidR="004756C1" w:rsidRPr="002F50BD">
        <w:rPr>
          <w:rFonts w:ascii="Verdana" w:hAnsi="Verdana"/>
          <w:sz w:val="20"/>
          <w:lang w:val="pt-BR"/>
        </w:rPr>
        <w:t>observa</w:t>
      </w:r>
      <w:r w:rsidR="0089298C" w:rsidRPr="002F50BD">
        <w:rPr>
          <w:rFonts w:ascii="Verdana" w:hAnsi="Verdana"/>
          <w:sz w:val="20"/>
          <w:lang w:val="pt-BR"/>
        </w:rPr>
        <w:t>ções</w:t>
      </w:r>
      <w:r w:rsidR="004756C1" w:rsidRPr="002F50BD">
        <w:rPr>
          <w:rFonts w:ascii="Verdana" w:hAnsi="Verdana"/>
          <w:sz w:val="20"/>
          <w:lang w:val="pt-BR"/>
        </w:rPr>
        <w:t xml:space="preserve"> que </w:t>
      </w:r>
      <w:r w:rsidR="00E46BA3" w:rsidRPr="002F50BD">
        <w:rPr>
          <w:rFonts w:ascii="Verdana" w:hAnsi="Verdana"/>
          <w:sz w:val="20"/>
          <w:lang w:val="pt-BR"/>
        </w:rPr>
        <w:t>considerassem</w:t>
      </w:r>
      <w:r w:rsidR="004756C1" w:rsidRPr="002F50BD">
        <w:rPr>
          <w:rFonts w:ascii="Verdana" w:hAnsi="Verdana"/>
          <w:sz w:val="20"/>
          <w:lang w:val="pt-BR"/>
        </w:rPr>
        <w:t xml:space="preserve"> pertinentes</w:t>
      </w:r>
      <w:r w:rsidR="0089298C" w:rsidRPr="002F50BD">
        <w:rPr>
          <w:rFonts w:ascii="Verdana" w:hAnsi="Verdana"/>
          <w:sz w:val="20"/>
          <w:lang w:val="pt-BR"/>
        </w:rPr>
        <w:t xml:space="preserve"> à </w:t>
      </w:r>
      <w:r w:rsidR="004756C1" w:rsidRPr="002F50BD">
        <w:rPr>
          <w:rFonts w:ascii="Verdana" w:hAnsi="Verdana"/>
          <w:sz w:val="20"/>
          <w:lang w:val="pt-BR"/>
        </w:rPr>
        <w:t>declara</w:t>
      </w:r>
      <w:r w:rsidR="0089298C" w:rsidRPr="002F50BD">
        <w:rPr>
          <w:rFonts w:ascii="Verdana" w:hAnsi="Verdana"/>
          <w:sz w:val="20"/>
          <w:lang w:val="pt-BR"/>
        </w:rPr>
        <w:t>ção da senhora</w:t>
      </w:r>
      <w:r w:rsidR="004756C1" w:rsidRPr="002F50BD">
        <w:rPr>
          <w:rFonts w:ascii="Verdana" w:hAnsi="Verdana"/>
          <w:sz w:val="20"/>
          <w:lang w:val="pt-BR"/>
        </w:rPr>
        <w:t xml:space="preserve"> Teresa Vargas. </w:t>
      </w:r>
      <w:r w:rsidR="00E46BA3" w:rsidRPr="002F50BD">
        <w:rPr>
          <w:rFonts w:ascii="Verdana" w:hAnsi="Verdana"/>
          <w:sz w:val="20"/>
          <w:lang w:val="pt-BR"/>
        </w:rPr>
        <w:t>N</w:t>
      </w:r>
      <w:r w:rsidR="0089298C" w:rsidRPr="002F50BD">
        <w:rPr>
          <w:rFonts w:ascii="Verdana" w:hAnsi="Verdana"/>
          <w:sz w:val="20"/>
          <w:lang w:val="pt-BR"/>
        </w:rPr>
        <w:t xml:space="preserve">esta </w:t>
      </w:r>
      <w:r w:rsidR="004756C1" w:rsidRPr="002F50BD">
        <w:rPr>
          <w:rFonts w:ascii="Verdana" w:hAnsi="Verdana"/>
          <w:sz w:val="20"/>
          <w:lang w:val="pt-BR"/>
        </w:rPr>
        <w:t>nota,</w:t>
      </w:r>
      <w:r w:rsidR="0089298C" w:rsidRPr="002F50BD">
        <w:rPr>
          <w:rFonts w:ascii="Verdana" w:hAnsi="Verdana"/>
          <w:sz w:val="20"/>
          <w:lang w:val="pt-BR"/>
        </w:rPr>
        <w:t xml:space="preserve"> a Secretaria afirmou</w:t>
      </w:r>
      <w:r w:rsidR="004756C1" w:rsidRPr="002F50BD">
        <w:rPr>
          <w:rFonts w:ascii="Verdana" w:hAnsi="Verdana"/>
          <w:sz w:val="20"/>
          <w:lang w:val="pt-BR"/>
        </w:rPr>
        <w:t xml:space="preserve"> que </w:t>
      </w:r>
      <w:r w:rsidR="0089298C" w:rsidRPr="002F50BD">
        <w:rPr>
          <w:rFonts w:ascii="Verdana" w:hAnsi="Verdana"/>
          <w:sz w:val="20"/>
          <w:lang w:val="pt-BR"/>
        </w:rPr>
        <w:t xml:space="preserve">“o </w:t>
      </w:r>
      <w:r w:rsidR="004756C1" w:rsidRPr="002F50BD">
        <w:rPr>
          <w:rFonts w:ascii="Verdana" w:hAnsi="Verdana"/>
          <w:sz w:val="20"/>
          <w:lang w:val="pt-BR"/>
        </w:rPr>
        <w:t xml:space="preserve">Tribunal </w:t>
      </w:r>
      <w:r w:rsidR="0089298C" w:rsidRPr="002F50BD">
        <w:rPr>
          <w:rFonts w:ascii="Verdana" w:hAnsi="Verdana"/>
          <w:sz w:val="20"/>
          <w:lang w:val="pt-BR"/>
        </w:rPr>
        <w:t>avaliar</w:t>
      </w:r>
      <w:r w:rsidR="004756C1" w:rsidRPr="002F50BD">
        <w:rPr>
          <w:rFonts w:ascii="Verdana" w:hAnsi="Verdana"/>
          <w:sz w:val="20"/>
          <w:lang w:val="pt-BR"/>
        </w:rPr>
        <w:t>á oportunamente</w:t>
      </w:r>
      <w:r w:rsidR="0089298C" w:rsidRPr="002F50BD">
        <w:rPr>
          <w:rFonts w:ascii="Verdana" w:hAnsi="Verdana"/>
          <w:sz w:val="20"/>
          <w:lang w:val="pt-BR"/>
        </w:rPr>
        <w:t xml:space="preserve"> a admissibilidade</w:t>
      </w:r>
      <w:r w:rsidR="004756C1" w:rsidRPr="002F50BD">
        <w:rPr>
          <w:rFonts w:ascii="Verdana" w:hAnsi="Verdana"/>
          <w:sz w:val="20"/>
          <w:lang w:val="pt-BR"/>
        </w:rPr>
        <w:t xml:space="preserve"> </w:t>
      </w:r>
      <w:r w:rsidR="0089298C" w:rsidRPr="002F50BD">
        <w:rPr>
          <w:rFonts w:ascii="Verdana" w:hAnsi="Verdana"/>
          <w:sz w:val="20"/>
          <w:lang w:val="pt-BR"/>
        </w:rPr>
        <w:t>desta</w:t>
      </w:r>
      <w:r w:rsidR="004756C1" w:rsidRPr="002F50BD">
        <w:rPr>
          <w:rFonts w:ascii="Verdana" w:hAnsi="Verdana"/>
          <w:sz w:val="20"/>
          <w:lang w:val="pt-BR"/>
        </w:rPr>
        <w:t xml:space="preserve"> declara</w:t>
      </w:r>
      <w:r w:rsidR="0089298C" w:rsidRPr="002F50BD">
        <w:rPr>
          <w:rFonts w:ascii="Verdana" w:hAnsi="Verdana"/>
          <w:sz w:val="20"/>
          <w:lang w:val="pt-BR"/>
        </w:rPr>
        <w:t>ção</w:t>
      </w:r>
      <w:r w:rsidR="004756C1" w:rsidRPr="002F50BD">
        <w:rPr>
          <w:rFonts w:ascii="Verdana" w:hAnsi="Verdana"/>
          <w:sz w:val="20"/>
          <w:lang w:val="pt-BR"/>
        </w:rPr>
        <w:t xml:space="preserve">”. </w:t>
      </w:r>
    </w:p>
    <w:p w:rsidR="004756C1" w:rsidRPr="002F50BD" w:rsidRDefault="004756C1">
      <w:pPr>
        <w:ind w:firstLine="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21</w:t>
      </w:r>
      <w:r w:rsidR="004756C1" w:rsidRPr="002F50BD">
        <w:rPr>
          <w:rFonts w:ascii="Verdana" w:hAnsi="Verdana"/>
          <w:sz w:val="20"/>
          <w:lang w:val="pt-BR"/>
        </w:rPr>
        <w:t>.</w:t>
      </w:r>
      <w:r w:rsidR="004756C1" w:rsidRPr="002F50BD">
        <w:rPr>
          <w:rFonts w:ascii="Verdana" w:hAnsi="Verdana"/>
          <w:sz w:val="20"/>
          <w:lang w:val="pt-BR"/>
        </w:rPr>
        <w:tab/>
      </w:r>
      <w:r w:rsidR="00E46BA3" w:rsidRPr="002F50BD">
        <w:rPr>
          <w:rFonts w:ascii="Verdana" w:hAnsi="Verdana"/>
          <w:sz w:val="20"/>
          <w:lang w:val="pt-BR"/>
        </w:rPr>
        <w:t>N</w:t>
      </w:r>
      <w:r w:rsidR="004756C1" w:rsidRPr="002F50BD">
        <w:rPr>
          <w:rFonts w:ascii="Verdana" w:hAnsi="Verdana"/>
          <w:sz w:val="20"/>
          <w:lang w:val="pt-BR"/>
        </w:rPr>
        <w:t xml:space="preserve">os </w:t>
      </w:r>
      <w:r w:rsidR="0089298C"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4</w:t>
      </w:r>
      <w:r w:rsidR="0089298C" w:rsidRPr="002F50BD">
        <w:rPr>
          <w:rFonts w:ascii="Verdana" w:hAnsi="Verdana"/>
          <w:sz w:val="20"/>
          <w:lang w:val="pt-BR"/>
        </w:rPr>
        <w:t xml:space="preserve"> e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recebeu</w:t>
      </w:r>
      <w:r w:rsidR="004756C1" w:rsidRPr="002F50BD">
        <w:rPr>
          <w:rFonts w:ascii="Verdana" w:hAnsi="Verdana"/>
          <w:sz w:val="20"/>
          <w:lang w:val="pt-BR"/>
        </w:rPr>
        <w:t>,</w:t>
      </w:r>
      <w:r w:rsidR="0089298C" w:rsidRPr="002F50BD">
        <w:rPr>
          <w:rFonts w:ascii="Verdana" w:hAnsi="Verdana"/>
          <w:sz w:val="20"/>
          <w:lang w:val="pt-BR"/>
        </w:rPr>
        <w:t xml:space="preserve"> em audiência</w:t>
      </w:r>
      <w:r w:rsidR="004756C1" w:rsidRPr="002F50BD">
        <w:rPr>
          <w:rFonts w:ascii="Verdana" w:hAnsi="Verdana"/>
          <w:sz w:val="20"/>
          <w:lang w:val="pt-BR"/>
        </w:rPr>
        <w:t xml:space="preserve"> pública sobre</w:t>
      </w:r>
      <w:r w:rsidR="0089298C" w:rsidRPr="002F50BD">
        <w:rPr>
          <w:rFonts w:ascii="Verdana" w:hAnsi="Verdana"/>
          <w:sz w:val="20"/>
          <w:lang w:val="pt-BR"/>
        </w:rPr>
        <w:t xml:space="preserve"> o mérito e as eventuais</w:t>
      </w:r>
      <w:r w:rsidR="004756C1" w:rsidRPr="002F50BD">
        <w:rPr>
          <w:rFonts w:ascii="Verdana" w:hAnsi="Verdana"/>
          <w:sz w:val="20"/>
          <w:lang w:val="pt-BR"/>
        </w:rPr>
        <w:t xml:space="preserve"> repara</w:t>
      </w:r>
      <w:r w:rsidR="0089298C" w:rsidRPr="002F50BD">
        <w:rPr>
          <w:rFonts w:ascii="Verdana" w:hAnsi="Verdana"/>
          <w:sz w:val="20"/>
          <w:lang w:val="pt-BR"/>
        </w:rPr>
        <w:t>ções e custas</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declara</w:t>
      </w:r>
      <w:r w:rsidR="0089298C" w:rsidRPr="002F50BD">
        <w:rPr>
          <w:rFonts w:ascii="Verdana" w:hAnsi="Verdana"/>
          <w:sz w:val="20"/>
          <w:lang w:val="pt-BR"/>
        </w:rPr>
        <w:t>ções d</w:t>
      </w:r>
      <w:r w:rsidR="00E46BA3" w:rsidRPr="002F50BD">
        <w:rPr>
          <w:rFonts w:ascii="Verdana" w:hAnsi="Verdana"/>
          <w:sz w:val="20"/>
          <w:lang w:val="pt-BR"/>
        </w:rPr>
        <w:t>a</w:t>
      </w:r>
      <w:r w:rsidR="0089298C" w:rsidRPr="002F50BD">
        <w:rPr>
          <w:rFonts w:ascii="Verdana" w:hAnsi="Verdana"/>
          <w:sz w:val="20"/>
          <w:lang w:val="pt-BR"/>
        </w:rPr>
        <w:t>s testemunha</w:t>
      </w:r>
      <w:r w:rsidR="004756C1" w:rsidRPr="002F50BD">
        <w:rPr>
          <w:rFonts w:ascii="Verdana" w:hAnsi="Verdana"/>
          <w:sz w:val="20"/>
          <w:lang w:val="pt-BR"/>
        </w:rPr>
        <w:t>s</w:t>
      </w:r>
      <w:r w:rsidR="0089298C" w:rsidRPr="002F50BD">
        <w:rPr>
          <w:rFonts w:ascii="Verdana" w:hAnsi="Verdana"/>
          <w:sz w:val="20"/>
          <w:lang w:val="pt-BR"/>
        </w:rPr>
        <w:t xml:space="preserve"> e os pareceres dos </w:t>
      </w:r>
      <w:r w:rsidR="004756C1" w:rsidRPr="002F50BD">
        <w:rPr>
          <w:rFonts w:ascii="Verdana" w:hAnsi="Verdana"/>
          <w:sz w:val="20"/>
          <w:lang w:val="pt-BR"/>
        </w:rPr>
        <w:t xml:space="preserve">peritos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pelas </w:t>
      </w:r>
      <w:r w:rsidR="004756C1" w:rsidRPr="002F50BD">
        <w:rPr>
          <w:rFonts w:ascii="Verdana" w:hAnsi="Verdana"/>
          <w:sz w:val="20"/>
          <w:lang w:val="pt-BR"/>
        </w:rPr>
        <w:t xml:space="preserve">partes.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E46BA3" w:rsidRPr="002F50BD">
        <w:rPr>
          <w:rFonts w:ascii="Verdana" w:hAnsi="Verdana"/>
          <w:sz w:val="20"/>
          <w:lang w:val="pt-BR"/>
        </w:rPr>
        <w:t>ouviu</w:t>
      </w:r>
      <w:r w:rsidR="0089298C" w:rsidRPr="002F50BD">
        <w:rPr>
          <w:rFonts w:ascii="Verdana" w:hAnsi="Verdana"/>
          <w:sz w:val="20"/>
          <w:lang w:val="pt-BR"/>
        </w:rPr>
        <w:t xml:space="preserve"> as alegações finais orais da Comissão</w:t>
      </w:r>
      <w:r w:rsidR="004756C1" w:rsidRPr="002F50BD">
        <w:rPr>
          <w:rFonts w:ascii="Verdana" w:hAnsi="Verdana"/>
          <w:sz w:val="20"/>
          <w:lang w:val="pt-BR"/>
        </w:rPr>
        <w:t>,</w:t>
      </w:r>
      <w:r w:rsidR="0089298C" w:rsidRPr="002F50BD">
        <w:rPr>
          <w:rFonts w:ascii="Verdana" w:hAnsi="Verdana"/>
          <w:sz w:val="20"/>
          <w:lang w:val="pt-BR"/>
        </w:rPr>
        <w:t xml:space="preserve"> dos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do </w:t>
      </w:r>
      <w:r w:rsidR="004756C1" w:rsidRPr="002F50BD">
        <w:rPr>
          <w:rFonts w:ascii="Verdana" w:hAnsi="Verdana"/>
          <w:sz w:val="20"/>
          <w:lang w:val="pt-BR"/>
        </w:rPr>
        <w:t xml:space="preserve">Estado. Durante </w:t>
      </w:r>
      <w:r w:rsidR="0089298C" w:rsidRPr="002F50BD">
        <w:rPr>
          <w:rFonts w:ascii="Verdana" w:hAnsi="Verdana"/>
          <w:sz w:val="20"/>
          <w:lang w:val="pt-BR"/>
        </w:rPr>
        <w:t>esta</w:t>
      </w:r>
      <w:r w:rsidR="004756C1" w:rsidRPr="002F50BD">
        <w:rPr>
          <w:rFonts w:ascii="Verdana" w:hAnsi="Verdana"/>
          <w:sz w:val="20"/>
          <w:lang w:val="pt-BR"/>
        </w:rPr>
        <w:t xml:space="preserve"> </w:t>
      </w:r>
      <w:r w:rsidR="0089298C" w:rsidRPr="002F50BD">
        <w:rPr>
          <w:rFonts w:ascii="Verdana" w:hAnsi="Verdana"/>
          <w:sz w:val="20"/>
          <w:lang w:val="pt-BR"/>
        </w:rPr>
        <w:t>audiência</w:t>
      </w:r>
      <w:r w:rsidR="00CA42F5"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perito Bartomeu Meliá i Lliteres</w:t>
      </w:r>
      <w:r w:rsidR="0089298C" w:rsidRPr="002F50BD">
        <w:rPr>
          <w:rFonts w:ascii="Verdana" w:hAnsi="Verdana"/>
          <w:sz w:val="20"/>
          <w:lang w:val="pt-BR"/>
        </w:rPr>
        <w:t xml:space="preserve"> e o </w:t>
      </w:r>
      <w:r w:rsidR="004756C1" w:rsidRPr="002F50BD">
        <w:rPr>
          <w:rFonts w:ascii="Verdana" w:hAnsi="Verdana"/>
          <w:sz w:val="20"/>
          <w:lang w:val="pt-BR"/>
        </w:rPr>
        <w:t xml:space="preserve">Estado </w:t>
      </w:r>
      <w:r w:rsidR="0089298C" w:rsidRPr="002F50BD">
        <w:rPr>
          <w:rFonts w:ascii="Verdana" w:hAnsi="Verdana"/>
          <w:sz w:val="20"/>
          <w:lang w:val="pt-BR"/>
        </w:rPr>
        <w:t>apresentaram</w:t>
      </w:r>
      <w:r w:rsidR="004756C1" w:rsidRPr="002F50BD">
        <w:rPr>
          <w:rFonts w:ascii="Verdana" w:hAnsi="Verdana"/>
          <w:sz w:val="20"/>
          <w:lang w:val="pt-BR"/>
        </w:rPr>
        <w:t xml:space="preserve"> documenta</w:t>
      </w:r>
      <w:r w:rsidR="0089298C" w:rsidRPr="002F50BD">
        <w:rPr>
          <w:rFonts w:ascii="Verdana" w:hAnsi="Verdana"/>
          <w:sz w:val="20"/>
          <w:lang w:val="pt-BR"/>
        </w:rPr>
        <w:t>ção</w:t>
      </w:r>
      <w:r w:rsidR="00CA42F5" w:rsidRPr="002F50BD">
        <w:rPr>
          <w:rFonts w:ascii="Verdana" w:hAnsi="Verdana"/>
          <w:sz w:val="20"/>
          <w:lang w:val="pt-BR"/>
        </w:rPr>
        <w:t xml:space="preserve"> diversa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Compareceram perante a </w:t>
      </w:r>
      <w:r w:rsidR="004756C1" w:rsidRPr="002F50BD">
        <w:rPr>
          <w:rFonts w:ascii="Verdana" w:hAnsi="Verdana"/>
          <w:sz w:val="20"/>
          <w:lang w:val="pt-BR"/>
        </w:rPr>
        <w:t>Corte:</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w:t>
      </w:r>
      <w:r w:rsidR="00E46BA3" w:rsidRPr="002F50BD">
        <w:rPr>
          <w:rFonts w:ascii="Verdana" w:hAnsi="Verdana"/>
          <w:sz w:val="20"/>
          <w:lang w:val="pt-BR"/>
        </w:rPr>
        <w:t>el</w:t>
      </w:r>
      <w:r w:rsidR="0089298C" w:rsidRPr="002F50BD">
        <w:rPr>
          <w:rFonts w:ascii="Verdana" w:hAnsi="Verdana"/>
          <w:sz w:val="20"/>
          <w:lang w:val="pt-BR"/>
        </w:rPr>
        <w:t>a Comissão</w:t>
      </w:r>
      <w:r w:rsidRPr="002F50BD">
        <w:rPr>
          <w:rFonts w:ascii="Verdana" w:hAnsi="Verdana"/>
          <w:sz w:val="20"/>
          <w:lang w:val="pt-BR"/>
        </w:rPr>
        <w:t xml:space="preserve"> Interamericana:</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Isabel Madariaga, </w:t>
      </w:r>
      <w:r w:rsidR="00060B3A" w:rsidRPr="002F50BD">
        <w:rPr>
          <w:rFonts w:ascii="Verdana" w:hAnsi="Verdana"/>
          <w:sz w:val="20"/>
          <w:lang w:val="pt-BR"/>
        </w:rPr>
        <w:t>A</w:t>
      </w:r>
      <w:r w:rsidR="0089298C" w:rsidRPr="002F50BD">
        <w:rPr>
          <w:rFonts w:ascii="Verdana" w:hAnsi="Verdana"/>
          <w:sz w:val="20"/>
          <w:lang w:val="pt-BR"/>
        </w:rPr>
        <w:t>ssessora</w:t>
      </w:r>
      <w:r w:rsidRPr="002F50BD">
        <w:rPr>
          <w:rFonts w:ascii="Verdana" w:hAnsi="Verdana"/>
          <w:sz w:val="20"/>
          <w:lang w:val="pt-BR"/>
        </w:rPr>
        <w:t>;</w:t>
      </w:r>
    </w:p>
    <w:p w:rsidR="004756C1" w:rsidRPr="002F50BD" w:rsidRDefault="004756C1">
      <w:pPr>
        <w:jc w:val="both"/>
        <w:rPr>
          <w:rFonts w:ascii="Verdana" w:hAnsi="Verdana"/>
          <w:sz w:val="20"/>
          <w:lang w:val="pt-BR"/>
        </w:rPr>
      </w:pPr>
      <w:r w:rsidRPr="002F50BD">
        <w:rPr>
          <w:rFonts w:ascii="Verdana" w:hAnsi="Verdana"/>
          <w:sz w:val="20"/>
          <w:lang w:val="pt-BR"/>
        </w:rPr>
        <w:t xml:space="preserve">Víctor H. Madrigal Borloz, </w:t>
      </w:r>
      <w:r w:rsidR="00060B3A" w:rsidRPr="002F50BD">
        <w:rPr>
          <w:rFonts w:ascii="Verdana" w:hAnsi="Verdana"/>
          <w:sz w:val="20"/>
          <w:lang w:val="pt-BR"/>
        </w:rPr>
        <w:t>A</w:t>
      </w:r>
      <w:r w:rsidR="00E46BA3" w:rsidRPr="002F50BD">
        <w:rPr>
          <w:rFonts w:ascii="Verdana" w:hAnsi="Verdana"/>
          <w:sz w:val="20"/>
          <w:lang w:val="pt-BR"/>
        </w:rPr>
        <w:t>s</w:t>
      </w:r>
      <w:r w:rsidRPr="002F50BD">
        <w:rPr>
          <w:rFonts w:ascii="Verdana" w:hAnsi="Verdana"/>
          <w:sz w:val="20"/>
          <w:lang w:val="pt-BR"/>
        </w:rPr>
        <w:t>ses</w:t>
      </w:r>
      <w:r w:rsidR="00E46BA3" w:rsidRPr="002F50BD">
        <w:rPr>
          <w:rFonts w:ascii="Verdana" w:hAnsi="Verdana"/>
          <w:sz w:val="20"/>
          <w:lang w:val="pt-BR"/>
        </w:rPr>
        <w:t>s</w:t>
      </w:r>
      <w:r w:rsidRPr="002F50BD">
        <w:rPr>
          <w:rFonts w:ascii="Verdana" w:hAnsi="Verdana"/>
          <w:sz w:val="20"/>
          <w:lang w:val="pt-BR"/>
        </w:rPr>
        <w:t>or;</w:t>
      </w:r>
    </w:p>
    <w:p w:rsidR="004756C1" w:rsidRPr="002F50BD" w:rsidRDefault="004756C1">
      <w:pPr>
        <w:jc w:val="both"/>
        <w:rPr>
          <w:rFonts w:ascii="Verdana" w:hAnsi="Verdana"/>
          <w:sz w:val="20"/>
          <w:lang w:val="pt-BR"/>
        </w:rPr>
      </w:pPr>
      <w:r w:rsidRPr="002F50BD">
        <w:rPr>
          <w:rFonts w:ascii="Verdana" w:hAnsi="Verdana"/>
          <w:sz w:val="20"/>
          <w:lang w:val="pt-BR"/>
        </w:rPr>
        <w:t xml:space="preserve">Lilly Ching, </w:t>
      </w:r>
      <w:r w:rsidR="00060B3A" w:rsidRPr="002F50BD">
        <w:rPr>
          <w:rFonts w:ascii="Verdana" w:hAnsi="Verdana"/>
          <w:sz w:val="20"/>
          <w:lang w:val="pt-BR"/>
        </w:rPr>
        <w:t>A</w:t>
      </w:r>
      <w:r w:rsidR="0089298C" w:rsidRPr="002F50BD">
        <w:rPr>
          <w:rFonts w:ascii="Verdana" w:hAnsi="Verdana"/>
          <w:sz w:val="20"/>
          <w:lang w:val="pt-BR"/>
        </w:rPr>
        <w:t>ssessora, e</w:t>
      </w:r>
    </w:p>
    <w:p w:rsidR="004756C1" w:rsidRPr="002F50BD" w:rsidRDefault="004756C1">
      <w:pPr>
        <w:jc w:val="both"/>
        <w:rPr>
          <w:rFonts w:ascii="Verdana" w:hAnsi="Verdana"/>
          <w:sz w:val="20"/>
          <w:lang w:val="pt-BR"/>
        </w:rPr>
      </w:pPr>
      <w:r w:rsidRPr="002F50BD">
        <w:rPr>
          <w:rFonts w:ascii="Verdana" w:hAnsi="Verdana"/>
          <w:sz w:val="20"/>
          <w:lang w:val="pt-BR"/>
        </w:rPr>
        <w:t xml:space="preserve">Juan Pablo Albán, </w:t>
      </w:r>
      <w:r w:rsidR="00060B3A" w:rsidRPr="002F50BD">
        <w:rPr>
          <w:rFonts w:ascii="Verdana" w:hAnsi="Verdana"/>
          <w:sz w:val="20"/>
          <w:lang w:val="pt-BR"/>
        </w:rPr>
        <w:t>A</w:t>
      </w:r>
      <w:r w:rsidRPr="002F50BD">
        <w:rPr>
          <w:rFonts w:ascii="Verdana" w:hAnsi="Verdana"/>
          <w:sz w:val="20"/>
          <w:lang w:val="pt-BR"/>
        </w:rPr>
        <w:t>s</w:t>
      </w:r>
      <w:r w:rsidR="00E46BA3" w:rsidRPr="002F50BD">
        <w:rPr>
          <w:rFonts w:ascii="Verdana" w:hAnsi="Verdana"/>
          <w:sz w:val="20"/>
          <w:lang w:val="pt-BR"/>
        </w:rPr>
        <w:t>s</w:t>
      </w:r>
      <w:r w:rsidRPr="002F50BD">
        <w:rPr>
          <w:rFonts w:ascii="Verdana" w:hAnsi="Verdana"/>
          <w:sz w:val="20"/>
          <w:lang w:val="pt-BR"/>
        </w:rPr>
        <w:t>es</w:t>
      </w:r>
      <w:r w:rsidR="00E46BA3" w:rsidRPr="002F50BD">
        <w:rPr>
          <w:rFonts w:ascii="Verdana" w:hAnsi="Verdana"/>
          <w:sz w:val="20"/>
          <w:lang w:val="pt-BR"/>
        </w:rPr>
        <w:t>s</w:t>
      </w:r>
      <w:r w:rsidRPr="002F50BD">
        <w:rPr>
          <w:rFonts w:ascii="Verdana" w:hAnsi="Verdana"/>
          <w:sz w:val="20"/>
          <w:lang w:val="pt-BR"/>
        </w:rPr>
        <w:t>or.</w:t>
      </w:r>
    </w:p>
    <w:p w:rsidR="004756C1" w:rsidRPr="002F50BD" w:rsidRDefault="004756C1">
      <w:pPr>
        <w:jc w:val="both"/>
        <w:rPr>
          <w:rFonts w:ascii="Verdana" w:hAnsi="Verdana"/>
          <w:sz w:val="20"/>
          <w:lang w:val="pt-BR"/>
        </w:rPr>
      </w:pPr>
    </w:p>
    <w:p w:rsidR="004756C1" w:rsidRPr="002F50BD" w:rsidRDefault="00367FD1">
      <w:pPr>
        <w:jc w:val="both"/>
        <w:rPr>
          <w:rFonts w:ascii="Verdana" w:hAnsi="Verdana"/>
          <w:sz w:val="20"/>
          <w:lang w:val="pt-BR"/>
        </w:rPr>
      </w:pPr>
      <w:r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Andrés </w:t>
      </w:r>
      <w:r w:rsidR="003F0E15">
        <w:rPr>
          <w:rFonts w:ascii="Verdana" w:hAnsi="Verdana"/>
          <w:sz w:val="20"/>
          <w:lang w:val="pt-BR"/>
        </w:rPr>
        <w:t>Deje</w:t>
      </w:r>
      <w:r w:rsidRPr="002F50BD">
        <w:rPr>
          <w:rFonts w:ascii="Verdana" w:hAnsi="Verdana"/>
          <w:sz w:val="20"/>
          <w:lang w:val="pt-BR"/>
        </w:rPr>
        <w:t xml:space="preserve">sús Ramírez, </w:t>
      </w:r>
      <w:r w:rsidR="00060B3A" w:rsidRPr="002F50BD">
        <w:rPr>
          <w:rFonts w:ascii="Verdana" w:hAnsi="Verdana"/>
          <w:sz w:val="20"/>
          <w:lang w:val="pt-BR"/>
        </w:rPr>
        <w:t>R</w:t>
      </w:r>
      <w:r w:rsidR="008C29C9" w:rsidRPr="002F50BD">
        <w:rPr>
          <w:rFonts w:ascii="Verdana" w:hAnsi="Verdana"/>
          <w:sz w:val="20"/>
          <w:lang w:val="pt-BR"/>
        </w:rPr>
        <w:t>epresentante</w:t>
      </w:r>
      <w:r w:rsidRPr="002F50BD">
        <w:rPr>
          <w:rFonts w:ascii="Verdana" w:hAnsi="Verdana"/>
          <w:sz w:val="20"/>
          <w:lang w:val="pt-BR"/>
        </w:rPr>
        <w:t>;</w:t>
      </w:r>
    </w:p>
    <w:p w:rsidR="004756C1" w:rsidRPr="002F50BD" w:rsidRDefault="004756C1">
      <w:pPr>
        <w:jc w:val="both"/>
        <w:rPr>
          <w:rFonts w:ascii="Verdana" w:hAnsi="Verdana"/>
          <w:sz w:val="20"/>
          <w:lang w:val="pt-BR"/>
        </w:rPr>
      </w:pPr>
      <w:r w:rsidRPr="002F50BD">
        <w:rPr>
          <w:rFonts w:ascii="Verdana" w:hAnsi="Verdana"/>
          <w:sz w:val="20"/>
          <w:lang w:val="pt-BR"/>
        </w:rPr>
        <w:t xml:space="preserve">Oscar Ayala Amarilla, </w:t>
      </w:r>
      <w:r w:rsidR="00060B3A" w:rsidRPr="002F50BD">
        <w:rPr>
          <w:rFonts w:ascii="Verdana" w:hAnsi="Verdana"/>
          <w:sz w:val="20"/>
          <w:lang w:val="pt-BR"/>
        </w:rPr>
        <w:t>R</w:t>
      </w:r>
      <w:r w:rsidR="008C29C9" w:rsidRPr="002F50BD">
        <w:rPr>
          <w:rFonts w:ascii="Verdana" w:hAnsi="Verdana"/>
          <w:sz w:val="20"/>
          <w:lang w:val="pt-BR"/>
        </w:rPr>
        <w:t>epresentante</w:t>
      </w:r>
      <w:r w:rsidRPr="002F50BD">
        <w:rPr>
          <w:rFonts w:ascii="Verdana" w:hAnsi="Verdana"/>
          <w:sz w:val="20"/>
          <w:lang w:val="pt-BR"/>
        </w:rPr>
        <w:t>;</w:t>
      </w:r>
    </w:p>
    <w:p w:rsidR="004756C1" w:rsidRPr="002F50BD" w:rsidRDefault="00CF451D">
      <w:pPr>
        <w:jc w:val="both"/>
        <w:rPr>
          <w:rFonts w:ascii="Verdana" w:hAnsi="Verdana"/>
          <w:sz w:val="20"/>
          <w:lang w:val="pt-BR"/>
        </w:rPr>
      </w:pPr>
      <w:r>
        <w:rPr>
          <w:rFonts w:ascii="Verdana" w:hAnsi="Verdana"/>
          <w:sz w:val="20"/>
          <w:lang w:val="pt-BR"/>
        </w:rPr>
        <w:t>Vivian</w:t>
      </w:r>
      <w:r w:rsidR="004756C1" w:rsidRPr="002F50BD">
        <w:rPr>
          <w:rFonts w:ascii="Verdana" w:hAnsi="Verdana"/>
          <w:sz w:val="20"/>
          <w:lang w:val="pt-BR"/>
        </w:rPr>
        <w:t xml:space="preserve">a Krsticevic, </w:t>
      </w:r>
      <w:r w:rsidR="00060B3A" w:rsidRPr="002F50BD">
        <w:rPr>
          <w:rFonts w:ascii="Verdana" w:hAnsi="Verdana"/>
          <w:sz w:val="20"/>
          <w:lang w:val="pt-BR"/>
        </w:rPr>
        <w:t>R</w:t>
      </w:r>
      <w:r w:rsidR="008C29C9" w:rsidRPr="002F50BD">
        <w:rPr>
          <w:rFonts w:ascii="Verdana" w:hAnsi="Verdana"/>
          <w:sz w:val="20"/>
          <w:lang w:val="pt-BR"/>
        </w:rPr>
        <w:t>epresentante</w:t>
      </w:r>
      <w:r w:rsidR="004756C1" w:rsidRPr="002F50BD">
        <w:rPr>
          <w:rFonts w:ascii="Verdana" w:hAnsi="Verdana"/>
          <w:sz w:val="20"/>
          <w:lang w:val="pt-BR"/>
        </w:rPr>
        <w:t>;</w:t>
      </w:r>
    </w:p>
    <w:p w:rsidR="004756C1" w:rsidRPr="002F50BD" w:rsidRDefault="004756C1">
      <w:pPr>
        <w:jc w:val="both"/>
        <w:rPr>
          <w:rFonts w:ascii="Verdana" w:hAnsi="Verdana"/>
          <w:sz w:val="20"/>
          <w:lang w:val="pt-BR"/>
        </w:rPr>
      </w:pPr>
      <w:r w:rsidRPr="002F50BD">
        <w:rPr>
          <w:rFonts w:ascii="Verdana" w:hAnsi="Verdana"/>
          <w:sz w:val="20"/>
          <w:lang w:val="pt-BR"/>
        </w:rPr>
        <w:t xml:space="preserve">Tatiana Rincón, </w:t>
      </w:r>
      <w:r w:rsidR="00060B3A" w:rsidRPr="002F50BD">
        <w:rPr>
          <w:rFonts w:ascii="Verdana" w:hAnsi="Verdana"/>
          <w:sz w:val="20"/>
          <w:lang w:val="pt-BR"/>
        </w:rPr>
        <w:t>R</w:t>
      </w:r>
      <w:r w:rsidR="008C29C9" w:rsidRPr="002F50BD">
        <w:rPr>
          <w:rFonts w:ascii="Verdana" w:hAnsi="Verdana"/>
          <w:sz w:val="20"/>
          <w:lang w:val="pt-BR"/>
        </w:rPr>
        <w:t>epresentante</w:t>
      </w:r>
      <w:r w:rsidR="0089298C" w:rsidRPr="002F50BD">
        <w:rPr>
          <w:rFonts w:ascii="Verdana" w:hAnsi="Verdana"/>
          <w:sz w:val="20"/>
          <w:lang w:val="pt-BR"/>
        </w:rPr>
        <w:t>, e</w:t>
      </w:r>
    </w:p>
    <w:p w:rsidR="004756C1" w:rsidRPr="002F50BD" w:rsidRDefault="004756C1">
      <w:pPr>
        <w:jc w:val="both"/>
        <w:rPr>
          <w:rFonts w:ascii="Verdana" w:hAnsi="Verdana"/>
          <w:sz w:val="20"/>
          <w:lang w:val="pt-BR"/>
        </w:rPr>
      </w:pPr>
      <w:r w:rsidRPr="002F50BD">
        <w:rPr>
          <w:rFonts w:ascii="Verdana" w:hAnsi="Verdana"/>
          <w:sz w:val="20"/>
          <w:lang w:val="pt-BR"/>
        </w:rPr>
        <w:t xml:space="preserve">Liliana Tojo, </w:t>
      </w:r>
      <w:r w:rsidR="00060B3A" w:rsidRPr="002F50BD">
        <w:rPr>
          <w:rFonts w:ascii="Verdana" w:hAnsi="Verdana"/>
          <w:sz w:val="20"/>
          <w:lang w:val="pt-BR"/>
        </w:rPr>
        <w:t>R</w:t>
      </w:r>
      <w:r w:rsidR="008C29C9" w:rsidRPr="002F50BD">
        <w:rPr>
          <w:rFonts w:ascii="Verdana" w:hAnsi="Verdana"/>
          <w:sz w:val="20"/>
          <w:lang w:val="pt-BR"/>
        </w:rPr>
        <w:t>epresentante</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w:t>
      </w:r>
      <w:r w:rsidR="00E46BA3" w:rsidRPr="002F50BD">
        <w:rPr>
          <w:rFonts w:ascii="Verdana" w:hAnsi="Verdana"/>
          <w:sz w:val="20"/>
          <w:lang w:val="pt-BR"/>
        </w:rPr>
        <w:t>el</w:t>
      </w:r>
      <w:r w:rsidR="0089298C" w:rsidRPr="002F50BD">
        <w:rPr>
          <w:rFonts w:ascii="Verdana" w:hAnsi="Verdana"/>
          <w:sz w:val="20"/>
          <w:lang w:val="pt-BR"/>
        </w:rPr>
        <w:t xml:space="preserve">o </w:t>
      </w:r>
      <w:r w:rsidRPr="002F50BD">
        <w:rPr>
          <w:rFonts w:ascii="Verdana" w:hAnsi="Verdana"/>
          <w:sz w:val="20"/>
          <w:lang w:val="pt-BR"/>
        </w:rPr>
        <w:t>Estado:</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Oscar Martínez Pérez, Agente; </w:t>
      </w:r>
    </w:p>
    <w:p w:rsidR="004756C1" w:rsidRPr="002F50BD" w:rsidRDefault="00060B3A">
      <w:pPr>
        <w:jc w:val="both"/>
        <w:rPr>
          <w:rFonts w:ascii="Verdana" w:hAnsi="Verdana"/>
          <w:sz w:val="20"/>
          <w:lang w:val="pt-BR"/>
        </w:rPr>
      </w:pPr>
      <w:r w:rsidRPr="002F50BD">
        <w:rPr>
          <w:rFonts w:ascii="Verdana" w:hAnsi="Verdana"/>
          <w:sz w:val="20"/>
          <w:lang w:val="pt-BR"/>
        </w:rPr>
        <w:lastRenderedPageBreak/>
        <w:t>Edgar Taboada, A</w:t>
      </w:r>
      <w:r w:rsidR="00E46BA3" w:rsidRPr="002F50BD">
        <w:rPr>
          <w:rFonts w:ascii="Verdana" w:hAnsi="Verdana"/>
          <w:sz w:val="20"/>
          <w:lang w:val="pt-BR"/>
        </w:rPr>
        <w:t>s</w:t>
      </w:r>
      <w:r w:rsidR="004756C1" w:rsidRPr="002F50BD">
        <w:rPr>
          <w:rFonts w:ascii="Verdana" w:hAnsi="Verdana"/>
          <w:sz w:val="20"/>
          <w:lang w:val="pt-BR"/>
        </w:rPr>
        <w:t>se</w:t>
      </w:r>
      <w:r w:rsidR="00E46BA3" w:rsidRPr="002F50BD">
        <w:rPr>
          <w:rFonts w:ascii="Verdana" w:hAnsi="Verdana"/>
          <w:sz w:val="20"/>
          <w:lang w:val="pt-BR"/>
        </w:rPr>
        <w:t>s</w:t>
      </w:r>
      <w:r w:rsidR="004756C1" w:rsidRPr="002F50BD">
        <w:rPr>
          <w:rFonts w:ascii="Verdana" w:hAnsi="Verdana"/>
          <w:sz w:val="20"/>
          <w:lang w:val="pt-BR"/>
        </w:rPr>
        <w:t>sor;</w:t>
      </w:r>
    </w:p>
    <w:p w:rsidR="004756C1" w:rsidRPr="002F50BD" w:rsidRDefault="00060B3A">
      <w:pPr>
        <w:jc w:val="both"/>
        <w:rPr>
          <w:rFonts w:ascii="Verdana" w:hAnsi="Verdana"/>
          <w:sz w:val="20"/>
          <w:lang w:val="pt-BR"/>
        </w:rPr>
      </w:pPr>
      <w:r w:rsidRPr="002F50BD">
        <w:rPr>
          <w:rFonts w:ascii="Verdana" w:hAnsi="Verdana"/>
          <w:sz w:val="20"/>
          <w:lang w:val="pt-BR"/>
        </w:rPr>
        <w:t>Felipe Mendoza, A</w:t>
      </w:r>
      <w:r w:rsidR="00E46BA3" w:rsidRPr="002F50BD">
        <w:rPr>
          <w:rFonts w:ascii="Verdana" w:hAnsi="Verdana"/>
          <w:sz w:val="20"/>
          <w:lang w:val="pt-BR"/>
        </w:rPr>
        <w:t>s</w:t>
      </w:r>
      <w:r w:rsidR="004756C1" w:rsidRPr="002F50BD">
        <w:rPr>
          <w:rFonts w:ascii="Verdana" w:hAnsi="Verdana"/>
          <w:sz w:val="20"/>
          <w:lang w:val="pt-BR"/>
        </w:rPr>
        <w:t>se</w:t>
      </w:r>
      <w:r w:rsidR="00E46BA3" w:rsidRPr="002F50BD">
        <w:rPr>
          <w:rFonts w:ascii="Verdana" w:hAnsi="Verdana"/>
          <w:sz w:val="20"/>
          <w:lang w:val="pt-BR"/>
        </w:rPr>
        <w:t>s</w:t>
      </w:r>
      <w:r w:rsidR="004756C1" w:rsidRPr="002F50BD">
        <w:rPr>
          <w:rFonts w:ascii="Verdana" w:hAnsi="Verdana"/>
          <w:sz w:val="20"/>
          <w:lang w:val="pt-BR"/>
        </w:rPr>
        <w:t>sor</w:t>
      </w:r>
      <w:r w:rsidR="0089298C" w:rsidRPr="002F50BD">
        <w:rPr>
          <w:rFonts w:ascii="Verdana" w:hAnsi="Verdana"/>
          <w:sz w:val="20"/>
          <w:lang w:val="pt-BR"/>
        </w:rPr>
        <w:t>, e</w:t>
      </w:r>
      <w:r w:rsidR="004756C1" w:rsidRPr="002F50BD">
        <w:rPr>
          <w:rFonts w:ascii="Verdana" w:hAnsi="Verdana"/>
          <w:sz w:val="20"/>
          <w:lang w:val="pt-BR"/>
        </w:rPr>
        <w:t xml:space="preserve"> </w:t>
      </w:r>
    </w:p>
    <w:p w:rsidR="004756C1" w:rsidRPr="002F50BD" w:rsidRDefault="005A2AF3">
      <w:pPr>
        <w:jc w:val="both"/>
        <w:rPr>
          <w:rFonts w:ascii="Verdana" w:hAnsi="Verdana"/>
          <w:sz w:val="20"/>
          <w:lang w:val="pt-BR"/>
        </w:rPr>
      </w:pPr>
      <w:r w:rsidRPr="002F50BD">
        <w:rPr>
          <w:rFonts w:ascii="Verdana" w:hAnsi="Verdana"/>
          <w:sz w:val="20"/>
          <w:lang w:val="pt-BR"/>
        </w:rPr>
        <w:t>Julio</w:t>
      </w:r>
      <w:r w:rsidR="00060B3A" w:rsidRPr="002F50BD">
        <w:rPr>
          <w:rFonts w:ascii="Verdana" w:hAnsi="Verdana"/>
          <w:sz w:val="20"/>
          <w:lang w:val="pt-BR"/>
        </w:rPr>
        <w:t xml:space="preserve"> Duarte Van Humbeck, A</w:t>
      </w:r>
      <w:r w:rsidR="00E46BA3" w:rsidRPr="002F50BD">
        <w:rPr>
          <w:rFonts w:ascii="Verdana" w:hAnsi="Verdana"/>
          <w:sz w:val="20"/>
          <w:lang w:val="pt-BR"/>
        </w:rPr>
        <w:t>s</w:t>
      </w:r>
      <w:r w:rsidR="004756C1" w:rsidRPr="002F50BD">
        <w:rPr>
          <w:rFonts w:ascii="Verdana" w:hAnsi="Verdana"/>
          <w:sz w:val="20"/>
          <w:lang w:val="pt-BR"/>
        </w:rPr>
        <w:t>se</w:t>
      </w:r>
      <w:r w:rsidR="00E46BA3" w:rsidRPr="002F50BD">
        <w:rPr>
          <w:rFonts w:ascii="Verdana" w:hAnsi="Verdana"/>
          <w:sz w:val="20"/>
          <w:lang w:val="pt-BR"/>
        </w:rPr>
        <w:t>s</w:t>
      </w:r>
      <w:r w:rsidR="004756C1" w:rsidRPr="002F50BD">
        <w:rPr>
          <w:rFonts w:ascii="Verdana" w:hAnsi="Verdana"/>
          <w:sz w:val="20"/>
          <w:lang w:val="pt-BR"/>
        </w:rPr>
        <w:t>sor.</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testemunha</w:t>
      </w:r>
      <w:r w:rsidR="004756C1" w:rsidRPr="002F50BD">
        <w:rPr>
          <w:rFonts w:ascii="Verdana" w:hAnsi="Verdana"/>
          <w:sz w:val="20"/>
          <w:lang w:val="pt-BR"/>
        </w:rPr>
        <w:t xml:space="preserve">s </w:t>
      </w:r>
      <w:r w:rsidRPr="002F50BD">
        <w:rPr>
          <w:rFonts w:ascii="Verdana" w:hAnsi="Verdana"/>
          <w:sz w:val="20"/>
          <w:lang w:val="pt-BR"/>
        </w:rPr>
        <w:t>propost</w:t>
      </w:r>
      <w:r w:rsidR="00E46BA3" w:rsidRPr="002F50BD">
        <w:rPr>
          <w:rFonts w:ascii="Verdana" w:hAnsi="Verdana"/>
          <w:sz w:val="20"/>
          <w:lang w:val="pt-BR"/>
        </w:rPr>
        <w:t>a</w:t>
      </w:r>
      <w:r w:rsidR="004756C1" w:rsidRPr="002F50BD">
        <w:rPr>
          <w:rFonts w:ascii="Verdana" w:hAnsi="Verdana"/>
          <w:sz w:val="20"/>
          <w:lang w:val="pt-BR"/>
        </w:rPr>
        <w:t>s</w:t>
      </w:r>
      <w:r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es-AR"/>
        </w:rPr>
      </w:pPr>
      <w:r w:rsidRPr="002F50BD">
        <w:rPr>
          <w:rFonts w:ascii="Verdana" w:hAnsi="Verdana"/>
          <w:sz w:val="20"/>
          <w:lang w:val="es-AR"/>
        </w:rPr>
        <w:t>Esteban López,</w:t>
      </w:r>
    </w:p>
    <w:p w:rsidR="004756C1" w:rsidRPr="002F50BD" w:rsidRDefault="00CD7100">
      <w:pPr>
        <w:jc w:val="both"/>
        <w:rPr>
          <w:rFonts w:ascii="Verdana" w:hAnsi="Verdana"/>
          <w:sz w:val="20"/>
          <w:lang w:val="es-AR"/>
        </w:rPr>
      </w:pPr>
      <w:r w:rsidRPr="002F50BD">
        <w:rPr>
          <w:rFonts w:ascii="Verdana" w:hAnsi="Verdana"/>
          <w:sz w:val="20"/>
          <w:lang w:val="es-AR"/>
        </w:rPr>
        <w:t>Tomás Galeano</w:t>
      </w:r>
      <w:r w:rsidR="004756C1" w:rsidRPr="002F50BD">
        <w:rPr>
          <w:rFonts w:ascii="Verdana" w:hAnsi="Verdana"/>
          <w:sz w:val="20"/>
          <w:lang w:val="es-AR"/>
        </w:rPr>
        <w:t>,</w:t>
      </w:r>
    </w:p>
    <w:p w:rsidR="004756C1" w:rsidRPr="002F50BD" w:rsidRDefault="004756C1">
      <w:pPr>
        <w:jc w:val="both"/>
        <w:rPr>
          <w:rFonts w:ascii="Verdana" w:hAnsi="Verdana"/>
          <w:sz w:val="20"/>
          <w:lang w:val="es-AR"/>
        </w:rPr>
      </w:pPr>
      <w:r w:rsidRPr="002F50BD">
        <w:rPr>
          <w:rFonts w:ascii="Verdana" w:hAnsi="Verdana"/>
          <w:sz w:val="20"/>
          <w:lang w:val="es-AR"/>
        </w:rPr>
        <w:t>Inocencia Gómez,</w:t>
      </w:r>
    </w:p>
    <w:p w:rsidR="004756C1" w:rsidRPr="002F50BD" w:rsidRDefault="004756C1">
      <w:pPr>
        <w:jc w:val="both"/>
        <w:rPr>
          <w:rFonts w:ascii="Verdana" w:hAnsi="Verdana"/>
          <w:sz w:val="20"/>
          <w:lang w:val="pt-BR"/>
        </w:rPr>
      </w:pPr>
      <w:r w:rsidRPr="002F50BD">
        <w:rPr>
          <w:rFonts w:ascii="Verdana" w:hAnsi="Verdana"/>
          <w:sz w:val="20"/>
          <w:lang w:val="pt-BR"/>
        </w:rPr>
        <w:t>Stephen William Kidd</w:t>
      </w:r>
      <w:r w:rsidR="0089298C" w:rsidRPr="002F50BD">
        <w:rPr>
          <w:rFonts w:ascii="Verdana" w:hAnsi="Verdana"/>
          <w:sz w:val="20"/>
          <w:lang w:val="pt-BR"/>
        </w:rPr>
        <w:t>, e</w:t>
      </w:r>
    </w:p>
    <w:p w:rsidR="004756C1" w:rsidRPr="002F50BD" w:rsidRDefault="004756C1">
      <w:pPr>
        <w:jc w:val="both"/>
        <w:rPr>
          <w:rFonts w:ascii="Verdana" w:hAnsi="Verdana"/>
          <w:sz w:val="20"/>
          <w:lang w:val="pt-BR"/>
        </w:rPr>
      </w:pPr>
      <w:r w:rsidRPr="002F50BD">
        <w:rPr>
          <w:rFonts w:ascii="Verdana" w:hAnsi="Verdana"/>
          <w:sz w:val="20"/>
          <w:lang w:val="pt-BR"/>
        </w:rPr>
        <w:t xml:space="preserve">Rodrigo </w:t>
      </w:r>
      <w:r w:rsidR="0089298C" w:rsidRPr="002F50BD">
        <w:rPr>
          <w:rFonts w:ascii="Verdana" w:hAnsi="Verdana"/>
          <w:sz w:val="20"/>
          <w:lang w:val="pt-BR"/>
        </w:rPr>
        <w:t>Vila</w:t>
      </w:r>
      <w:r w:rsidRPr="002F50BD">
        <w:rPr>
          <w:rFonts w:ascii="Verdana" w:hAnsi="Verdana"/>
          <w:sz w:val="20"/>
          <w:lang w:val="pt-BR"/>
        </w:rPr>
        <w:t>gra Carron.</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perito </w:t>
      </w:r>
      <w:r w:rsidR="0089298C" w:rsidRPr="002F50BD">
        <w:rPr>
          <w:rFonts w:ascii="Verdana" w:hAnsi="Verdana"/>
          <w:sz w:val="20"/>
          <w:lang w:val="pt-BR"/>
        </w:rPr>
        <w:t>propost</w:t>
      </w:r>
      <w:r w:rsidRPr="002F50BD">
        <w:rPr>
          <w:rFonts w:ascii="Verdana" w:hAnsi="Verdana"/>
          <w:sz w:val="20"/>
          <w:lang w:val="pt-BR"/>
        </w:rPr>
        <w:t>o</w:t>
      </w:r>
      <w:r w:rsidR="0089298C"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Bartomeu Melia i Lliteres.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perito </w:t>
      </w:r>
      <w:r w:rsidR="0089298C" w:rsidRPr="002F50BD">
        <w:rPr>
          <w:rFonts w:ascii="Verdana" w:hAnsi="Verdana"/>
          <w:sz w:val="20"/>
          <w:lang w:val="pt-BR"/>
        </w:rPr>
        <w:t>propost</w:t>
      </w:r>
      <w:r w:rsidRPr="002F50BD">
        <w:rPr>
          <w:rFonts w:ascii="Verdana" w:hAnsi="Verdana"/>
          <w:sz w:val="20"/>
          <w:lang w:val="pt-BR"/>
        </w:rPr>
        <w:t>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Pablo Balmaceda.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9</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Comissão 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apresentaram</w:t>
      </w:r>
      <w:r w:rsidR="004756C1" w:rsidRPr="002F50BD">
        <w:rPr>
          <w:rFonts w:ascii="Verdana" w:hAnsi="Verdana"/>
          <w:sz w:val="20"/>
          <w:lang w:val="pt-BR"/>
        </w:rPr>
        <w:t xml:space="preserve"> </w:t>
      </w:r>
      <w:r w:rsidR="0089298C" w:rsidRPr="002F50BD">
        <w:rPr>
          <w:rFonts w:ascii="Verdana" w:hAnsi="Verdana"/>
          <w:sz w:val="20"/>
          <w:lang w:val="pt-BR"/>
        </w:rPr>
        <w:t xml:space="preserve">suas observações à </w:t>
      </w:r>
      <w:r w:rsidR="00060B3A" w:rsidRPr="002F50BD">
        <w:rPr>
          <w:rFonts w:ascii="Verdana" w:hAnsi="Verdana"/>
          <w:sz w:val="20"/>
          <w:lang w:val="pt-BR"/>
        </w:rPr>
        <w:t>declaração</w:t>
      </w:r>
      <w:r w:rsidR="00475EBB" w:rsidRPr="002F50BD">
        <w:rPr>
          <w:rFonts w:ascii="Verdana" w:hAnsi="Verdana"/>
          <w:sz w:val="20"/>
          <w:lang w:val="pt-BR"/>
        </w:rPr>
        <w:t xml:space="preserve"> testemunha</w:t>
      </w:r>
      <w:r w:rsidR="0089298C" w:rsidRPr="002F50BD">
        <w:rPr>
          <w:rFonts w:ascii="Verdana" w:hAnsi="Verdana"/>
          <w:sz w:val="20"/>
          <w:lang w:val="pt-BR"/>
        </w:rPr>
        <w:t>l da senhora</w:t>
      </w:r>
      <w:r w:rsidR="004756C1" w:rsidRPr="002F50BD">
        <w:rPr>
          <w:rFonts w:ascii="Verdana" w:hAnsi="Verdana"/>
          <w:sz w:val="20"/>
          <w:lang w:val="pt-BR"/>
        </w:rPr>
        <w:t xml:space="preserve"> Teresa Vargas</w:t>
      </w:r>
      <w:r w:rsidR="0089298C" w:rsidRPr="002F50BD">
        <w:rPr>
          <w:rFonts w:ascii="Verdana" w:hAnsi="Verdana"/>
          <w:sz w:val="20"/>
          <w:lang w:val="pt-BR"/>
        </w:rPr>
        <w:t xml:space="preserve"> e solicitaram à </w:t>
      </w:r>
      <w:r w:rsidR="004756C1" w:rsidRPr="002F50BD">
        <w:rPr>
          <w:rFonts w:ascii="Verdana" w:hAnsi="Verdana"/>
          <w:sz w:val="20"/>
          <w:lang w:val="pt-BR"/>
        </w:rPr>
        <w:t>Corte que</w:t>
      </w:r>
      <w:r w:rsidR="0089298C" w:rsidRPr="002F50BD">
        <w:rPr>
          <w:rFonts w:ascii="Verdana" w:hAnsi="Verdana"/>
          <w:sz w:val="20"/>
          <w:lang w:val="pt-BR"/>
        </w:rPr>
        <w:t xml:space="preserve"> a mesm</w:t>
      </w:r>
      <w:r w:rsidR="004756C1" w:rsidRPr="002F50BD">
        <w:rPr>
          <w:rFonts w:ascii="Verdana" w:hAnsi="Verdana"/>
          <w:sz w:val="20"/>
          <w:lang w:val="pt-BR"/>
        </w:rPr>
        <w:t>a</w:t>
      </w:r>
      <w:r w:rsidR="0089298C" w:rsidRPr="002F50BD">
        <w:rPr>
          <w:rFonts w:ascii="Verdana" w:hAnsi="Verdana"/>
          <w:sz w:val="20"/>
          <w:lang w:val="pt-BR"/>
        </w:rPr>
        <w:t xml:space="preserve"> </w:t>
      </w:r>
      <w:r w:rsidR="00E46BA3" w:rsidRPr="002F50BD">
        <w:rPr>
          <w:rFonts w:ascii="Verdana" w:hAnsi="Verdana"/>
          <w:sz w:val="20"/>
          <w:lang w:val="pt-BR"/>
        </w:rPr>
        <w:t xml:space="preserve">fosse </w:t>
      </w:r>
      <w:r w:rsidR="004756C1" w:rsidRPr="002F50BD">
        <w:rPr>
          <w:rFonts w:ascii="Verdana" w:hAnsi="Verdana"/>
          <w:sz w:val="20"/>
          <w:lang w:val="pt-BR"/>
        </w:rPr>
        <w:t>tomada</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ção</w:t>
      </w:r>
      <w:r w:rsidR="004756C1" w:rsidRPr="002F50BD">
        <w:rPr>
          <w:rFonts w:ascii="Verdana" w:hAnsi="Verdana"/>
          <w:sz w:val="20"/>
          <w:lang w:val="pt-BR"/>
        </w:rPr>
        <w:t>.</w:t>
      </w:r>
    </w:p>
    <w:p w:rsidR="004756C1" w:rsidRPr="002F50BD" w:rsidRDefault="004756C1">
      <w:pPr>
        <w:ind w:firstLine="720"/>
        <w:jc w:val="both"/>
        <w:rPr>
          <w:rFonts w:ascii="Verdana" w:hAnsi="Verdana"/>
          <w:sz w:val="20"/>
          <w:lang w:val="pt-BR"/>
        </w:rPr>
      </w:pPr>
    </w:p>
    <w:p w:rsidR="004756C1" w:rsidRPr="002F50BD" w:rsidRDefault="00063B47">
      <w:pPr>
        <w:pStyle w:val="BodyText2"/>
        <w:widowControl/>
        <w:rPr>
          <w:rFonts w:ascii="Verdana" w:hAnsi="Verdana"/>
          <w:sz w:val="16"/>
          <w:lang w:val="pt-BR"/>
        </w:rPr>
      </w:pPr>
      <w:r w:rsidRPr="002F50BD">
        <w:rPr>
          <w:rFonts w:ascii="Verdana" w:hAnsi="Verdana"/>
          <w:sz w:val="20"/>
          <w:lang w:val="pt-BR"/>
        </w:rPr>
        <w:t>23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15</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w:t>
      </w:r>
      <w:r w:rsidR="00FB33DD" w:rsidRPr="002F50BD">
        <w:rPr>
          <w:rFonts w:ascii="Verdana" w:hAnsi="Verdana"/>
          <w:sz w:val="20"/>
          <w:lang w:val="pt-BR"/>
        </w:rPr>
        <w:t>Secretaria,</w:t>
      </w:r>
      <w:r w:rsidR="004756C1" w:rsidRPr="002F50BD">
        <w:rPr>
          <w:rFonts w:ascii="Verdana" w:hAnsi="Verdana"/>
          <w:sz w:val="20"/>
          <w:lang w:val="pt-BR"/>
        </w:rPr>
        <w:t xml:space="preserve"> </w:t>
      </w:r>
      <w:r w:rsidR="0089298C" w:rsidRPr="002F50BD">
        <w:rPr>
          <w:rFonts w:ascii="Verdana" w:hAnsi="Verdana"/>
          <w:sz w:val="20"/>
          <w:lang w:val="pt-BR"/>
        </w:rPr>
        <w:t>seguindo</w:t>
      </w:r>
      <w:r w:rsidR="004756C1" w:rsidRPr="002F50BD">
        <w:rPr>
          <w:rFonts w:ascii="Verdana" w:hAnsi="Verdana"/>
          <w:sz w:val="20"/>
          <w:lang w:val="pt-BR"/>
        </w:rPr>
        <w:t xml:space="preserve"> </w:t>
      </w:r>
      <w:r w:rsidR="0089298C" w:rsidRPr="002F50BD">
        <w:rPr>
          <w:rFonts w:ascii="Verdana" w:hAnsi="Verdana"/>
          <w:sz w:val="20"/>
          <w:lang w:val="pt-BR"/>
        </w:rPr>
        <w:t>instruções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89298C" w:rsidRPr="002F50BD">
        <w:rPr>
          <w:rFonts w:ascii="Verdana" w:hAnsi="Verdana"/>
          <w:sz w:val="20"/>
          <w:lang w:val="pt-BR"/>
        </w:rPr>
        <w:t xml:space="preserve">solicitou aos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ao </w:t>
      </w:r>
      <w:r w:rsidR="004756C1" w:rsidRPr="002F50BD">
        <w:rPr>
          <w:rFonts w:ascii="Verdana" w:hAnsi="Verdana"/>
          <w:sz w:val="20"/>
          <w:lang w:val="pt-BR"/>
        </w:rPr>
        <w:t>Estado</w:t>
      </w:r>
      <w:r w:rsidR="0089298C" w:rsidRPr="002F50BD">
        <w:rPr>
          <w:rFonts w:ascii="Verdana" w:hAnsi="Verdana"/>
          <w:sz w:val="20"/>
          <w:lang w:val="pt-BR"/>
        </w:rPr>
        <w:t xml:space="preserve"> </w:t>
      </w:r>
      <w:r w:rsidR="00CA42F5" w:rsidRPr="002F50BD">
        <w:rPr>
          <w:rFonts w:ascii="Verdana" w:hAnsi="Verdana"/>
          <w:sz w:val="20"/>
          <w:lang w:val="pt-BR"/>
        </w:rPr>
        <w:t>o envio</w:t>
      </w:r>
      <w:r w:rsidR="004756C1" w:rsidRPr="002F50BD">
        <w:rPr>
          <w:rFonts w:ascii="Verdana" w:hAnsi="Verdana"/>
          <w:sz w:val="20"/>
          <w:lang w:val="pt-BR"/>
        </w:rPr>
        <w:t xml:space="preserve"> de </w:t>
      </w:r>
      <w:r w:rsidR="0089298C" w:rsidRPr="002F50BD">
        <w:rPr>
          <w:rFonts w:ascii="Verdana" w:hAnsi="Verdana"/>
          <w:sz w:val="20"/>
          <w:lang w:val="pt-BR"/>
        </w:rPr>
        <w:t>vários</w:t>
      </w:r>
      <w:r w:rsidR="004756C1" w:rsidRPr="002F50BD">
        <w:rPr>
          <w:rFonts w:ascii="Verdana" w:hAnsi="Verdana"/>
          <w:sz w:val="20"/>
          <w:lang w:val="pt-BR"/>
        </w:rPr>
        <w:t xml:space="preserve"> documentos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 xml:space="preserve">. </w:t>
      </w:r>
    </w:p>
    <w:p w:rsidR="004756C1" w:rsidRPr="002F50BD" w:rsidRDefault="004756C1">
      <w:pPr>
        <w:pStyle w:val="BodyText2"/>
        <w:widowControl/>
        <w:rPr>
          <w:rFonts w:ascii="Verdana" w:hAnsi="Verdana"/>
          <w:sz w:val="16"/>
          <w:lang w:val="pt-BR"/>
        </w:rPr>
      </w:pPr>
    </w:p>
    <w:p w:rsidR="004756C1" w:rsidRPr="002F50BD" w:rsidRDefault="00063B47">
      <w:pPr>
        <w:jc w:val="both"/>
        <w:rPr>
          <w:rFonts w:ascii="Verdana" w:hAnsi="Verdana"/>
          <w:sz w:val="20"/>
          <w:lang w:val="pt-BR"/>
        </w:rPr>
      </w:pPr>
      <w:r w:rsidRPr="002F50BD">
        <w:rPr>
          <w:rFonts w:ascii="Verdana" w:hAnsi="Verdana"/>
          <w:sz w:val="20"/>
          <w:lang w:val="pt-BR"/>
        </w:rPr>
        <w:t>24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4</w:t>
      </w:r>
      <w:r w:rsidR="004756C1" w:rsidRPr="002F50BD">
        <w:rPr>
          <w:rFonts w:ascii="Verdana" w:hAnsi="Verdana"/>
          <w:sz w:val="20"/>
          <w:lang w:val="pt-BR"/>
        </w:rPr>
        <w:t xml:space="preserve"> de abril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o </w:t>
      </w:r>
      <w:r w:rsidR="004756C1" w:rsidRPr="002F50BD">
        <w:rPr>
          <w:rFonts w:ascii="Verdana" w:hAnsi="Verdana"/>
          <w:sz w:val="20"/>
          <w:lang w:val="pt-BR"/>
        </w:rPr>
        <w:t xml:space="preserve">Estado </w:t>
      </w:r>
      <w:r w:rsidR="0089298C" w:rsidRPr="002F50BD">
        <w:rPr>
          <w:rFonts w:ascii="Verdana" w:hAnsi="Verdana"/>
          <w:sz w:val="20"/>
          <w:lang w:val="pt-BR"/>
        </w:rPr>
        <w:t>apresentaram</w:t>
      </w:r>
      <w:r w:rsidR="004756C1" w:rsidRPr="002F50BD">
        <w:rPr>
          <w:rFonts w:ascii="Verdana" w:hAnsi="Verdana"/>
          <w:sz w:val="20"/>
          <w:lang w:val="pt-BR"/>
        </w:rPr>
        <w:t xml:space="preserve">, respectivamente, </w:t>
      </w:r>
      <w:r w:rsidR="0089298C" w:rsidRPr="002F50BD">
        <w:rPr>
          <w:rFonts w:ascii="Verdana" w:hAnsi="Verdana"/>
          <w:sz w:val="20"/>
          <w:lang w:val="pt-BR"/>
        </w:rPr>
        <w:t xml:space="preserve">suas </w:t>
      </w:r>
      <w:r w:rsidR="008C29C9" w:rsidRPr="002F50BD">
        <w:rPr>
          <w:rFonts w:ascii="Verdana" w:hAnsi="Verdana"/>
          <w:sz w:val="20"/>
          <w:lang w:val="pt-BR"/>
        </w:rPr>
        <w:t>alegações finais escritas</w:t>
      </w:r>
      <w:r w:rsidR="004756C1" w:rsidRPr="002F50BD">
        <w:rPr>
          <w:rFonts w:ascii="Verdana" w:hAnsi="Verdana"/>
          <w:sz w:val="20"/>
          <w:lang w:val="pt-BR"/>
        </w:rPr>
        <w:t xml:space="preserve"> sobre</w:t>
      </w:r>
      <w:r w:rsidR="0089298C" w:rsidRPr="002F50BD">
        <w:rPr>
          <w:rFonts w:ascii="Verdana" w:hAnsi="Verdana"/>
          <w:sz w:val="20"/>
          <w:lang w:val="pt-BR"/>
        </w:rPr>
        <w:t xml:space="preserve"> o mérito e as eventuais</w:t>
      </w:r>
      <w:r w:rsidR="004756C1" w:rsidRPr="002F50BD">
        <w:rPr>
          <w:rFonts w:ascii="Verdana" w:hAnsi="Verdana"/>
          <w:sz w:val="20"/>
          <w:lang w:val="pt-BR"/>
        </w:rPr>
        <w:t xml:space="preserve"> repara</w:t>
      </w:r>
      <w:r w:rsidR="0089298C" w:rsidRPr="002F50BD">
        <w:rPr>
          <w:rFonts w:ascii="Verdana" w:hAnsi="Verdana"/>
          <w:sz w:val="20"/>
          <w:lang w:val="pt-BR"/>
        </w:rPr>
        <w:t>ções e custas</w:t>
      </w:r>
      <w:r w:rsidR="004756C1" w:rsidRPr="002F50BD">
        <w:rPr>
          <w:rFonts w:ascii="Verdana" w:hAnsi="Verdana"/>
          <w:sz w:val="20"/>
          <w:lang w:val="pt-BR"/>
        </w:rPr>
        <w:t xml:space="preserve">. </w:t>
      </w:r>
      <w:r w:rsidR="00E46BA3" w:rsidRPr="002F50BD">
        <w:rPr>
          <w:rFonts w:ascii="Verdana" w:hAnsi="Verdana"/>
          <w:sz w:val="20"/>
          <w:lang w:val="pt-BR"/>
        </w:rPr>
        <w:t xml:space="preserve">Juntamente com </w:t>
      </w:r>
      <w:r w:rsidR="0089298C" w:rsidRPr="002F50BD">
        <w:rPr>
          <w:rFonts w:ascii="Verdana" w:hAnsi="Verdana"/>
          <w:sz w:val="20"/>
          <w:lang w:val="pt-BR"/>
        </w:rPr>
        <w:t xml:space="preserve">suas </w:t>
      </w:r>
      <w:r w:rsidR="008C29C9" w:rsidRPr="002F50BD">
        <w:rPr>
          <w:rFonts w:ascii="Verdana" w:hAnsi="Verdana"/>
          <w:sz w:val="20"/>
          <w:lang w:val="pt-BR"/>
        </w:rPr>
        <w:t>alegações finais escritas</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apresentaram</w:t>
      </w:r>
      <w:r w:rsidR="004756C1" w:rsidRPr="002F50BD">
        <w:rPr>
          <w:rFonts w:ascii="Verdana" w:hAnsi="Verdana"/>
          <w:sz w:val="20"/>
          <w:lang w:val="pt-BR"/>
        </w:rPr>
        <w:t xml:space="preserve"> anexos</w:t>
      </w:r>
      <w:r w:rsidR="0089298C" w:rsidRPr="002F50BD">
        <w:rPr>
          <w:rFonts w:ascii="Verdana" w:hAnsi="Verdana"/>
          <w:sz w:val="20"/>
          <w:lang w:val="pt-BR"/>
        </w:rPr>
        <w:t xml:space="preserve"> </w:t>
      </w:r>
      <w:r w:rsidR="00060B3A" w:rsidRPr="002F50BD">
        <w:rPr>
          <w:rFonts w:ascii="Verdana" w:hAnsi="Verdana"/>
          <w:sz w:val="20"/>
          <w:lang w:val="pt-BR"/>
        </w:rPr>
        <w:t xml:space="preserve">como </w:t>
      </w:r>
      <w:r w:rsidR="0089298C" w:rsidRPr="002F50BD">
        <w:rPr>
          <w:rFonts w:ascii="Verdana" w:hAnsi="Verdana"/>
          <w:sz w:val="20"/>
          <w:lang w:val="pt-BR"/>
        </w:rPr>
        <w:t>prova</w:t>
      </w:r>
      <w:r w:rsidR="004756C1" w:rsidRPr="002F50BD">
        <w:rPr>
          <w:rFonts w:ascii="Verdana" w:hAnsi="Verdana"/>
          <w:sz w:val="20"/>
          <w:lang w:val="pt-BR"/>
        </w:rPr>
        <w:t xml:space="preserve"> documental.</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i/>
          <w:sz w:val="20"/>
          <w:lang w:val="pt-BR"/>
        </w:rPr>
      </w:pPr>
      <w:r w:rsidRPr="002F50BD">
        <w:rPr>
          <w:rFonts w:ascii="Verdana" w:hAnsi="Verdana"/>
          <w:sz w:val="20"/>
          <w:lang w:val="pt-BR"/>
        </w:rPr>
        <w:t>25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15</w:t>
      </w:r>
      <w:r w:rsidR="004756C1" w:rsidRPr="002F50BD">
        <w:rPr>
          <w:rFonts w:ascii="Verdana" w:hAnsi="Verdana"/>
          <w:sz w:val="20"/>
          <w:lang w:val="pt-BR"/>
        </w:rPr>
        <w:t xml:space="preserve"> de abril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das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 xml:space="preserve">s </w:t>
      </w:r>
      <w:r w:rsidR="0089298C" w:rsidRPr="002F50BD">
        <w:rPr>
          <w:rFonts w:ascii="Verdana" w:hAnsi="Verdana"/>
          <w:sz w:val="20"/>
          <w:lang w:val="pt-BR"/>
        </w:rPr>
        <w:t>apresentaram</w:t>
      </w:r>
      <w:r w:rsidR="004756C1" w:rsidRPr="002F50BD">
        <w:rPr>
          <w:rFonts w:ascii="Verdana" w:hAnsi="Verdana"/>
          <w:sz w:val="20"/>
          <w:lang w:val="pt-BR"/>
        </w:rPr>
        <w:t xml:space="preserve"> parte </w:t>
      </w:r>
      <w:r w:rsidR="0089298C" w:rsidRPr="002F50BD">
        <w:rPr>
          <w:rFonts w:ascii="Verdana" w:hAnsi="Verdana"/>
          <w:sz w:val="20"/>
          <w:lang w:val="pt-BR"/>
        </w:rPr>
        <w:t>“</w:t>
      </w:r>
      <w:r w:rsidR="00E46BA3" w:rsidRPr="002F50BD">
        <w:rPr>
          <w:rFonts w:ascii="Verdana" w:hAnsi="Verdana"/>
          <w:sz w:val="20"/>
          <w:lang w:val="pt-BR"/>
        </w:rPr>
        <w:t>d</w:t>
      </w:r>
      <w:r w:rsidR="0089298C" w:rsidRPr="002F50BD">
        <w:rPr>
          <w:rFonts w:ascii="Verdana" w:hAnsi="Verdana"/>
          <w:sz w:val="20"/>
          <w:lang w:val="pt-BR"/>
        </w:rPr>
        <w:t>os</w:t>
      </w:r>
      <w:r w:rsidR="004756C1" w:rsidRPr="002F50BD">
        <w:rPr>
          <w:rFonts w:ascii="Verdana" w:hAnsi="Verdana"/>
          <w:sz w:val="20"/>
          <w:lang w:val="pt-BR"/>
        </w:rPr>
        <w:t xml:space="preserve"> documentos que [l</w:t>
      </w:r>
      <w:r w:rsidR="00E46BA3" w:rsidRPr="002F50BD">
        <w:rPr>
          <w:rFonts w:ascii="Verdana" w:hAnsi="Verdana"/>
          <w:sz w:val="20"/>
          <w:lang w:val="pt-BR"/>
        </w:rPr>
        <w:t>h</w:t>
      </w:r>
      <w:r w:rsidR="004756C1" w:rsidRPr="002F50BD">
        <w:rPr>
          <w:rFonts w:ascii="Verdana" w:hAnsi="Verdana"/>
          <w:sz w:val="20"/>
          <w:lang w:val="pt-BR"/>
        </w:rPr>
        <w:t xml:space="preserve">es] </w:t>
      </w:r>
      <w:r w:rsidR="0089298C" w:rsidRPr="002F50BD">
        <w:rPr>
          <w:rFonts w:ascii="Verdana" w:hAnsi="Verdana"/>
          <w:sz w:val="20"/>
          <w:lang w:val="pt-BR"/>
        </w:rPr>
        <w:t>foram</w:t>
      </w:r>
      <w:r w:rsidR="004756C1" w:rsidRPr="002F50BD">
        <w:rPr>
          <w:rFonts w:ascii="Verdana" w:hAnsi="Verdana"/>
          <w:sz w:val="20"/>
          <w:lang w:val="pt-BR"/>
        </w:rPr>
        <w:t xml:space="preserve"> solicitados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060B3A" w:rsidRPr="002F50BD">
        <w:rPr>
          <w:rFonts w:ascii="Verdana" w:hAnsi="Verdana"/>
          <w:sz w:val="20"/>
          <w:lang w:val="pt-BR"/>
        </w:rPr>
        <w:t>a</w:t>
      </w:r>
      <w:r w:rsidR="0089298C" w:rsidRPr="002F50BD">
        <w:rPr>
          <w:rFonts w:ascii="Verdana" w:hAnsi="Verdana"/>
          <w:sz w:val="20"/>
          <w:lang w:val="pt-BR"/>
        </w:rPr>
        <w:t xml:space="preserve">o </w:t>
      </w:r>
      <w:r w:rsidR="004756C1" w:rsidRPr="002F50BD">
        <w:rPr>
          <w:rFonts w:ascii="Verdana" w:hAnsi="Verdana"/>
          <w:sz w:val="20"/>
          <w:lang w:val="pt-BR"/>
        </w:rPr>
        <w:t xml:space="preserve">presente caso. </w:t>
      </w:r>
      <w:r w:rsidR="00E46BA3"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apresentaram</w:t>
      </w:r>
      <w:r w:rsidR="004756C1" w:rsidRPr="002F50BD">
        <w:rPr>
          <w:rFonts w:ascii="Verdana" w:hAnsi="Verdana"/>
          <w:sz w:val="20"/>
          <w:lang w:val="pt-BR"/>
        </w:rPr>
        <w:t xml:space="preserve"> s</w:t>
      </w:r>
      <w:r w:rsidR="00E46BA3" w:rsidRPr="002F50BD">
        <w:rPr>
          <w:rFonts w:ascii="Verdana" w:hAnsi="Verdana"/>
          <w:sz w:val="20"/>
          <w:lang w:val="pt-BR"/>
        </w:rPr>
        <w:t>e</w:t>
      </w:r>
      <w:r w:rsidR="004756C1" w:rsidRPr="002F50BD">
        <w:rPr>
          <w:rFonts w:ascii="Verdana" w:hAnsi="Verdana"/>
          <w:sz w:val="20"/>
          <w:lang w:val="pt-BR"/>
        </w:rPr>
        <w:t xml:space="preserve">us </w:t>
      </w:r>
      <w:r w:rsidR="00E46BA3" w:rsidRPr="002F50BD">
        <w:rPr>
          <w:rFonts w:ascii="Verdana" w:hAnsi="Verdana"/>
          <w:sz w:val="20"/>
          <w:lang w:val="pt-BR"/>
        </w:rPr>
        <w:t xml:space="preserve">esclarecimentos </w:t>
      </w:r>
      <w:r w:rsidR="0089298C" w:rsidRPr="002F50BD">
        <w:rPr>
          <w:rFonts w:ascii="Verdana" w:hAnsi="Verdana"/>
          <w:sz w:val="20"/>
          <w:lang w:val="pt-BR"/>
        </w:rPr>
        <w:t>a respeito da 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solicitada</w:t>
      </w:r>
      <w:r w:rsidR="0089298C" w:rsidRPr="002F50BD">
        <w:rPr>
          <w:rFonts w:ascii="Verdana" w:hAnsi="Verdana"/>
          <w:sz w:val="20"/>
          <w:lang w:val="pt-BR"/>
        </w:rPr>
        <w:t xml:space="preserve"> pela </w:t>
      </w:r>
      <w:r w:rsidR="00FB33DD" w:rsidRPr="002F50BD">
        <w:rPr>
          <w:rFonts w:ascii="Verdana" w:hAnsi="Verdana"/>
          <w:sz w:val="20"/>
          <w:lang w:val="pt-BR"/>
        </w:rPr>
        <w:t>Secretaria,</w:t>
      </w:r>
      <w:r w:rsidR="004756C1" w:rsidRPr="002F50BD">
        <w:rPr>
          <w:rFonts w:ascii="Verdana" w:hAnsi="Verdana"/>
          <w:sz w:val="20"/>
          <w:lang w:val="pt-BR"/>
        </w:rPr>
        <w:t xml:space="preserve"> que </w:t>
      </w:r>
      <w:r w:rsidR="00AB454A" w:rsidRPr="002F50BD">
        <w:rPr>
          <w:rFonts w:ascii="Verdana" w:hAnsi="Verdana"/>
          <w:sz w:val="20"/>
          <w:lang w:val="pt-BR"/>
        </w:rPr>
        <w:t>não havia</w:t>
      </w:r>
      <w:r w:rsidR="004756C1" w:rsidRPr="002F50BD">
        <w:rPr>
          <w:rFonts w:ascii="Verdana" w:hAnsi="Verdana"/>
          <w:sz w:val="20"/>
          <w:lang w:val="pt-BR"/>
        </w:rPr>
        <w:t xml:space="preserve"> podido ser rem</w:t>
      </w:r>
      <w:r w:rsidR="00E46BA3" w:rsidRPr="002F50BD">
        <w:rPr>
          <w:rFonts w:ascii="Verdana" w:hAnsi="Verdana"/>
          <w:sz w:val="20"/>
          <w:lang w:val="pt-BR"/>
        </w:rPr>
        <w:t>e</w:t>
      </w:r>
      <w:r w:rsidR="004756C1" w:rsidRPr="002F50BD">
        <w:rPr>
          <w:rFonts w:ascii="Verdana" w:hAnsi="Verdana"/>
          <w:sz w:val="20"/>
          <w:lang w:val="pt-BR"/>
        </w:rPr>
        <w:t>tida.</w:t>
      </w:r>
    </w:p>
    <w:p w:rsidR="004756C1" w:rsidRPr="002F50BD" w:rsidRDefault="004756C1">
      <w:pPr>
        <w:jc w:val="both"/>
        <w:rPr>
          <w:rFonts w:ascii="Verdana" w:hAnsi="Verdana"/>
          <w:i/>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22</w:t>
      </w:r>
      <w:r w:rsidR="004756C1" w:rsidRPr="002F50BD">
        <w:rPr>
          <w:rFonts w:ascii="Verdana" w:hAnsi="Verdana"/>
          <w:sz w:val="20"/>
          <w:lang w:val="pt-BR"/>
        </w:rPr>
        <w:t xml:space="preserve"> de abril de </w:t>
      </w:r>
      <w:r w:rsidRPr="002F50BD">
        <w:rPr>
          <w:rFonts w:ascii="Verdana" w:hAnsi="Verdana"/>
          <w:sz w:val="20"/>
          <w:lang w:val="pt-BR"/>
        </w:rPr>
        <w:t>2005</w:t>
      </w:r>
      <w:r w:rsidR="00060B3A"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 xml:space="preserve">solicitou uma </w:t>
      </w:r>
      <w:r w:rsidR="00E46BA3" w:rsidRPr="002F50BD">
        <w:rPr>
          <w:rFonts w:ascii="Verdana" w:hAnsi="Verdana"/>
          <w:sz w:val="20"/>
          <w:lang w:val="pt-BR"/>
        </w:rPr>
        <w:t xml:space="preserve">prorrogação </w:t>
      </w:r>
      <w:r w:rsidR="00CA42F5" w:rsidRPr="002F50BD">
        <w:rPr>
          <w:rFonts w:ascii="Verdana" w:hAnsi="Verdana"/>
          <w:sz w:val="20"/>
          <w:lang w:val="pt-BR"/>
        </w:rPr>
        <w:t>d</w:t>
      </w:r>
      <w:r w:rsidR="0089298C" w:rsidRPr="002F50BD">
        <w:rPr>
          <w:rFonts w:ascii="Verdana" w:hAnsi="Verdana"/>
          <w:sz w:val="20"/>
          <w:lang w:val="pt-BR"/>
        </w:rPr>
        <w:t>o prazo</w:t>
      </w:r>
      <w:r w:rsidR="004756C1" w:rsidRPr="002F50BD">
        <w:rPr>
          <w:rFonts w:ascii="Verdana" w:hAnsi="Verdana"/>
          <w:sz w:val="20"/>
          <w:lang w:val="pt-BR"/>
        </w:rPr>
        <w:t xml:space="preserve"> </w:t>
      </w:r>
      <w:r w:rsidR="00E46BA3" w:rsidRPr="002F50BD">
        <w:rPr>
          <w:rFonts w:ascii="Verdana" w:hAnsi="Verdana"/>
          <w:sz w:val="20"/>
          <w:lang w:val="pt-BR"/>
        </w:rPr>
        <w:t xml:space="preserve">concedido </w:t>
      </w:r>
      <w:r w:rsidR="004756C1" w:rsidRPr="002F50BD">
        <w:rPr>
          <w:rFonts w:ascii="Verdana" w:hAnsi="Verdana"/>
          <w:sz w:val="20"/>
          <w:lang w:val="pt-BR"/>
        </w:rPr>
        <w:t>para</w:t>
      </w:r>
      <w:r w:rsidR="0089298C" w:rsidRPr="002F50BD">
        <w:rPr>
          <w:rFonts w:ascii="Verdana" w:hAnsi="Verdana"/>
          <w:sz w:val="20"/>
          <w:lang w:val="pt-BR"/>
        </w:rPr>
        <w:t xml:space="preserve"> a apresentação da 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e </w:t>
      </w:r>
      <w:r w:rsidR="00AB454A" w:rsidRPr="002F50BD">
        <w:rPr>
          <w:rFonts w:ascii="Verdana" w:hAnsi="Verdana"/>
          <w:sz w:val="20"/>
          <w:lang w:val="pt-BR"/>
        </w:rPr>
        <w:t>impugnou</w:t>
      </w:r>
      <w:r w:rsidR="0089298C" w:rsidRPr="002F50BD">
        <w:rPr>
          <w:rFonts w:ascii="Verdana" w:hAnsi="Verdana"/>
          <w:sz w:val="20"/>
          <w:lang w:val="pt-BR"/>
        </w:rPr>
        <w:t xml:space="preserve"> a </w:t>
      </w:r>
      <w:r w:rsidR="004756C1" w:rsidRPr="002F50BD">
        <w:rPr>
          <w:rFonts w:ascii="Verdana" w:hAnsi="Verdana"/>
          <w:sz w:val="20"/>
          <w:lang w:val="pt-BR"/>
        </w:rPr>
        <w:t>documenta</w:t>
      </w:r>
      <w:r w:rsidR="0089298C" w:rsidRPr="002F50BD">
        <w:rPr>
          <w:rFonts w:ascii="Verdana" w:hAnsi="Verdana"/>
          <w:sz w:val="20"/>
          <w:lang w:val="pt-BR"/>
        </w:rPr>
        <w:t xml:space="preserve">ção apresentada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4756C1" w:rsidRPr="002F50BD">
        <w:rPr>
          <w:rFonts w:ascii="Verdana" w:hAnsi="Verdana"/>
          <w:sz w:val="20"/>
          <w:lang w:val="pt-BR"/>
        </w:rPr>
        <w:t xml:space="preserve">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E46BA3" w:rsidRPr="002F50BD">
        <w:rPr>
          <w:rFonts w:ascii="Verdana" w:hAnsi="Verdana"/>
          <w:sz w:val="20"/>
          <w:lang w:val="pt-BR"/>
        </w:rPr>
        <w:t>bem</w:t>
      </w:r>
      <w:r w:rsidR="004756C1" w:rsidRPr="002F50BD">
        <w:rPr>
          <w:rFonts w:ascii="Verdana" w:hAnsi="Verdana"/>
          <w:sz w:val="20"/>
          <w:lang w:val="pt-BR"/>
        </w:rPr>
        <w:t xml:space="preserve"> como</w:t>
      </w:r>
      <w:r w:rsidR="0089298C" w:rsidRPr="002F50BD">
        <w:rPr>
          <w:rFonts w:ascii="Verdana" w:hAnsi="Verdana"/>
          <w:sz w:val="20"/>
          <w:lang w:val="pt-BR"/>
        </w:rPr>
        <w:t xml:space="preserve"> a </w:t>
      </w:r>
      <w:r w:rsidR="004756C1" w:rsidRPr="002F50BD">
        <w:rPr>
          <w:rFonts w:ascii="Verdana" w:hAnsi="Verdana"/>
          <w:sz w:val="20"/>
          <w:lang w:val="pt-BR"/>
        </w:rPr>
        <w:t>documenta</w:t>
      </w:r>
      <w:r w:rsidR="0089298C" w:rsidRPr="002F50BD">
        <w:rPr>
          <w:rFonts w:ascii="Verdana" w:hAnsi="Verdana"/>
          <w:sz w:val="20"/>
          <w:lang w:val="pt-BR"/>
        </w:rPr>
        <w:t>ção</w:t>
      </w:r>
      <w:r w:rsidR="004756C1" w:rsidRPr="002F50BD">
        <w:rPr>
          <w:rFonts w:ascii="Verdana" w:hAnsi="Verdana"/>
          <w:sz w:val="20"/>
          <w:lang w:val="pt-BR"/>
        </w:rPr>
        <w:t xml:space="preserve"> referente a </w:t>
      </w:r>
      <w:r w:rsidR="0089298C" w:rsidRPr="002F50BD">
        <w:rPr>
          <w:rFonts w:ascii="Verdana" w:hAnsi="Verdana"/>
          <w:sz w:val="20"/>
          <w:lang w:val="pt-BR"/>
        </w:rPr>
        <w:t xml:space="preserve">custas e </w:t>
      </w:r>
      <w:r w:rsidR="004756C1" w:rsidRPr="002F50BD">
        <w:rPr>
          <w:rFonts w:ascii="Verdana" w:hAnsi="Verdana"/>
          <w:sz w:val="20"/>
          <w:lang w:val="pt-BR"/>
        </w:rPr>
        <w:t>gastos</w:t>
      </w:r>
      <w:r w:rsidR="0089298C" w:rsidRPr="002F50BD">
        <w:rPr>
          <w:rFonts w:ascii="Verdana" w:hAnsi="Verdana"/>
          <w:sz w:val="20"/>
          <w:lang w:val="pt-BR"/>
        </w:rPr>
        <w:t xml:space="preserve"> apresentada </w:t>
      </w:r>
      <w:r w:rsidR="004756C1" w:rsidRPr="002F50BD">
        <w:rPr>
          <w:rFonts w:ascii="Verdana" w:hAnsi="Verdana"/>
          <w:sz w:val="20"/>
          <w:lang w:val="pt-BR"/>
        </w:rPr>
        <w:t xml:space="preserve">por </w:t>
      </w:r>
      <w:r w:rsidR="00E46BA3" w:rsidRPr="002F50BD">
        <w:rPr>
          <w:rFonts w:ascii="Verdana" w:hAnsi="Verdana"/>
          <w:sz w:val="20"/>
          <w:lang w:val="pt-BR"/>
        </w:rPr>
        <w:t>e</w:t>
      </w:r>
      <w:r w:rsidR="004756C1" w:rsidRPr="002F50BD">
        <w:rPr>
          <w:rFonts w:ascii="Verdana" w:hAnsi="Verdana"/>
          <w:sz w:val="20"/>
          <w:lang w:val="pt-BR"/>
        </w:rPr>
        <w:t>st</w:t>
      </w:r>
      <w:r w:rsidR="00E46BA3" w:rsidRPr="002F50BD">
        <w:rPr>
          <w:rFonts w:ascii="Verdana" w:hAnsi="Verdana"/>
          <w:sz w:val="20"/>
          <w:lang w:val="pt-BR"/>
        </w:rPr>
        <w:t>e</w:t>
      </w:r>
      <w:r w:rsidR="004756C1" w:rsidRPr="002F50BD">
        <w:rPr>
          <w:rFonts w:ascii="Verdana" w:hAnsi="Verdana"/>
          <w:sz w:val="20"/>
          <w:lang w:val="pt-BR"/>
        </w:rPr>
        <w:t>s</w:t>
      </w:r>
      <w:r w:rsidR="00CA42F5" w:rsidRPr="002F50BD">
        <w:rPr>
          <w:rFonts w:ascii="Verdana" w:hAnsi="Verdana"/>
          <w:sz w:val="20"/>
          <w:lang w:val="pt-BR"/>
        </w:rPr>
        <w:t>,</w:t>
      </w:r>
      <w:r w:rsidR="004756C1" w:rsidRPr="002F50BD">
        <w:rPr>
          <w:rFonts w:ascii="Verdana" w:hAnsi="Verdana"/>
          <w:sz w:val="20"/>
          <w:lang w:val="pt-BR"/>
        </w:rPr>
        <w:t xml:space="preserve"> junt</w:t>
      </w:r>
      <w:r w:rsidR="00060B3A" w:rsidRPr="002F50BD">
        <w:rPr>
          <w:rFonts w:ascii="Verdana" w:hAnsi="Verdana"/>
          <w:sz w:val="20"/>
          <w:lang w:val="pt-BR"/>
        </w:rPr>
        <w:t>amente com</w:t>
      </w:r>
      <w:r w:rsidR="004756C1" w:rsidRPr="002F50BD">
        <w:rPr>
          <w:rFonts w:ascii="Verdana" w:hAnsi="Verdana"/>
          <w:sz w:val="20"/>
          <w:lang w:val="pt-BR"/>
        </w:rPr>
        <w:t xml:space="preserve"> </w:t>
      </w:r>
      <w:r w:rsidR="0089298C" w:rsidRPr="002F50BD">
        <w:rPr>
          <w:rFonts w:ascii="Verdana" w:hAnsi="Verdana"/>
          <w:sz w:val="20"/>
          <w:lang w:val="pt-BR"/>
        </w:rPr>
        <w:t xml:space="preserve">suas </w:t>
      </w:r>
      <w:r w:rsidR="008C29C9" w:rsidRPr="002F50BD">
        <w:rPr>
          <w:rFonts w:ascii="Verdana" w:hAnsi="Verdana"/>
          <w:sz w:val="20"/>
          <w:lang w:val="pt-BR"/>
        </w:rPr>
        <w:t>alegações finais escritas</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24</w:t>
      </w:r>
      <w:r w:rsidR="0089298C" w:rsidRPr="002F50BD">
        <w:rPr>
          <w:rFonts w:ascii="Verdana" w:hAnsi="Verdana"/>
          <w:sz w:val="20"/>
          <w:lang w:val="pt-BR"/>
        </w:rPr>
        <w:t xml:space="preserve"> e </w:t>
      </w:r>
      <w:r w:rsidRPr="002F50BD">
        <w:rPr>
          <w:rFonts w:ascii="Verdana" w:hAnsi="Verdana"/>
          <w:sz w:val="20"/>
          <w:lang w:val="pt-BR"/>
        </w:rPr>
        <w:t>25</w:t>
      </w:r>
      <w:r w:rsidR="00E46BA3"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27</w:t>
      </w:r>
      <w:r w:rsidR="00E46BA3" w:rsidRPr="002F50BD">
        <w:rPr>
          <w:rFonts w:ascii="Verdana" w:hAnsi="Verdana"/>
          <w:sz w:val="20"/>
          <w:lang w:val="pt-BR"/>
        </w:rPr>
        <w:t>.</w:t>
      </w:r>
      <w:r w:rsidR="00E46BA3" w:rsidRPr="002F50BD">
        <w:rPr>
          <w:rFonts w:ascii="Verdana" w:hAnsi="Verdana"/>
          <w:sz w:val="20"/>
          <w:lang w:val="pt-BR"/>
        </w:rPr>
        <w:tab/>
        <w:t>N</w:t>
      </w:r>
      <w:r w:rsidR="004756C1" w:rsidRPr="002F50BD">
        <w:rPr>
          <w:rFonts w:ascii="Verdana" w:hAnsi="Verdana"/>
          <w:sz w:val="20"/>
          <w:lang w:val="pt-BR"/>
        </w:rPr>
        <w:t xml:space="preserve">os </w:t>
      </w:r>
      <w:r w:rsidR="0089298C"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4</w:t>
      </w:r>
      <w:r w:rsidR="004756C1" w:rsidRPr="002F50BD">
        <w:rPr>
          <w:rFonts w:ascii="Verdana" w:hAnsi="Verdana"/>
          <w:sz w:val="20"/>
          <w:lang w:val="pt-BR"/>
        </w:rPr>
        <w:t xml:space="preserve">, </w:t>
      </w:r>
      <w:r w:rsidRPr="002F50BD">
        <w:rPr>
          <w:rFonts w:ascii="Verdana" w:hAnsi="Verdana"/>
          <w:sz w:val="20"/>
          <w:lang w:val="pt-BR"/>
        </w:rPr>
        <w:t>17</w:t>
      </w:r>
      <w:r w:rsidR="0089298C" w:rsidRPr="002F50BD">
        <w:rPr>
          <w:rFonts w:ascii="Verdana" w:hAnsi="Verdana"/>
          <w:sz w:val="20"/>
          <w:lang w:val="pt-BR"/>
        </w:rPr>
        <w:t xml:space="preserve"> e </w:t>
      </w:r>
      <w:r w:rsidRPr="002F50BD">
        <w:rPr>
          <w:rFonts w:ascii="Verdana" w:hAnsi="Verdana"/>
          <w:sz w:val="20"/>
          <w:lang w:val="pt-BR"/>
        </w:rPr>
        <w:t>20</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2005</w:t>
      </w:r>
      <w:r w:rsidR="00CA42F5"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E46BA3" w:rsidRPr="002F50BD">
        <w:rPr>
          <w:rFonts w:ascii="Verdana" w:hAnsi="Verdana"/>
          <w:sz w:val="20"/>
          <w:lang w:val="pt-BR"/>
        </w:rPr>
        <w:t xml:space="preserve">enviou </w:t>
      </w:r>
      <w:r w:rsidR="004756C1" w:rsidRPr="002F50BD">
        <w:rPr>
          <w:rFonts w:ascii="Verdana" w:hAnsi="Verdana"/>
          <w:sz w:val="20"/>
          <w:lang w:val="pt-BR"/>
        </w:rPr>
        <w:t>parte</w:t>
      </w:r>
      <w:r w:rsidR="0089298C" w:rsidRPr="002F50BD">
        <w:rPr>
          <w:rFonts w:ascii="Verdana" w:hAnsi="Verdana"/>
          <w:sz w:val="20"/>
          <w:lang w:val="pt-BR"/>
        </w:rPr>
        <w:t xml:space="preserve"> da </w:t>
      </w:r>
      <w:r w:rsidR="004756C1" w:rsidRPr="002F50BD">
        <w:rPr>
          <w:rFonts w:ascii="Verdana" w:hAnsi="Verdana"/>
          <w:sz w:val="20"/>
          <w:lang w:val="pt-BR"/>
        </w:rPr>
        <w:t>documenta</w:t>
      </w:r>
      <w:r w:rsidR="0089298C" w:rsidRPr="002F50BD">
        <w:rPr>
          <w:rFonts w:ascii="Verdana" w:hAnsi="Verdana"/>
          <w:sz w:val="20"/>
          <w:lang w:val="pt-BR"/>
        </w:rPr>
        <w:t>ção</w:t>
      </w:r>
      <w:r w:rsidR="004756C1" w:rsidRPr="002F50BD">
        <w:rPr>
          <w:rFonts w:ascii="Verdana" w:hAnsi="Verdana"/>
          <w:sz w:val="20"/>
          <w:lang w:val="pt-BR"/>
        </w:rPr>
        <w:t xml:space="preserve"> solicitada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w:t>
      </w:r>
      <w:r w:rsidR="0089298C" w:rsidRPr="002F50BD">
        <w:rPr>
          <w:rFonts w:ascii="Verdana" w:hAnsi="Verdana"/>
          <w:sz w:val="20"/>
          <w:lang w:val="pt-BR"/>
        </w:rPr>
        <w:t xml:space="preserve">do Regulamento da </w:t>
      </w:r>
      <w:r w:rsidR="004756C1" w:rsidRPr="002F50BD">
        <w:rPr>
          <w:rFonts w:ascii="Verdana" w:hAnsi="Verdana"/>
          <w:sz w:val="20"/>
          <w:lang w:val="pt-BR"/>
        </w:rPr>
        <w:t xml:space="preserve">Corte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23</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z w:val="20"/>
          <w:lang w:val="pt-BR"/>
        </w:rPr>
      </w:pPr>
      <w:r w:rsidRPr="002F50BD">
        <w:rPr>
          <w:rFonts w:ascii="Verdana" w:hAnsi="Verdana"/>
          <w:b/>
          <w:sz w:val="20"/>
          <w:lang w:val="pt-BR"/>
        </w:rPr>
        <w:t>V</w:t>
      </w:r>
    </w:p>
    <w:p w:rsidR="004756C1" w:rsidRPr="002F50BD" w:rsidRDefault="0089298C">
      <w:pPr>
        <w:pStyle w:val="Heading1"/>
        <w:jc w:val="center"/>
        <w:rPr>
          <w:b/>
          <w:smallCaps/>
          <w:sz w:val="20"/>
          <w:lang w:val="pt-BR"/>
        </w:rPr>
      </w:pPr>
      <w:r w:rsidRPr="002F50BD">
        <w:rPr>
          <w:b/>
          <w:smallCaps/>
          <w:sz w:val="20"/>
          <w:lang w:val="pt-BR"/>
        </w:rPr>
        <w:lastRenderedPageBreak/>
        <w:t>Prova</w:t>
      </w:r>
    </w:p>
    <w:p w:rsidR="004756C1" w:rsidRPr="002F50BD" w:rsidRDefault="004756C1">
      <w:pPr>
        <w:pStyle w:val="Heading1"/>
        <w:rPr>
          <w:smallCaps/>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28</w:t>
      </w:r>
      <w:r w:rsidR="004756C1" w:rsidRPr="002F50BD">
        <w:rPr>
          <w:rFonts w:ascii="Verdana" w:hAnsi="Verdana"/>
          <w:sz w:val="20"/>
          <w:lang w:val="pt-BR"/>
        </w:rPr>
        <w:t>.</w:t>
      </w:r>
      <w:r w:rsidR="004756C1" w:rsidRPr="002F50BD">
        <w:rPr>
          <w:rFonts w:ascii="Verdana" w:hAnsi="Verdana"/>
          <w:sz w:val="20"/>
          <w:lang w:val="pt-BR"/>
        </w:rPr>
        <w:tab/>
        <w:t>Antes de examinar</w:t>
      </w:r>
      <w:r w:rsidR="0089298C" w:rsidRPr="002F50BD">
        <w:rPr>
          <w:rFonts w:ascii="Verdana" w:hAnsi="Verdana"/>
          <w:sz w:val="20"/>
          <w:lang w:val="pt-BR"/>
        </w:rPr>
        <w:t xml:space="preserve"> as prova</w:t>
      </w:r>
      <w:r w:rsidR="004756C1" w:rsidRPr="002F50BD">
        <w:rPr>
          <w:rFonts w:ascii="Verdana" w:hAnsi="Verdana"/>
          <w:sz w:val="20"/>
          <w:lang w:val="pt-BR"/>
        </w:rPr>
        <w:t xml:space="preserve">s </w:t>
      </w:r>
      <w:r w:rsidR="0089298C" w:rsidRPr="002F50BD">
        <w:rPr>
          <w:rFonts w:ascii="Verdana" w:hAnsi="Verdana"/>
          <w:sz w:val="20"/>
          <w:lang w:val="pt-BR"/>
        </w:rPr>
        <w:t>oferecid</w:t>
      </w:r>
      <w:r w:rsidR="004756C1" w:rsidRPr="002F50BD">
        <w:rPr>
          <w:rFonts w:ascii="Verdana" w:hAnsi="Verdana"/>
          <w:sz w:val="20"/>
          <w:lang w:val="pt-BR"/>
        </w:rPr>
        <w:t>as,</w:t>
      </w:r>
      <w:r w:rsidR="0089298C" w:rsidRPr="002F50BD">
        <w:rPr>
          <w:rFonts w:ascii="Verdana" w:hAnsi="Verdana"/>
          <w:sz w:val="20"/>
          <w:lang w:val="pt-BR"/>
        </w:rPr>
        <w:t xml:space="preserve"> a </w:t>
      </w:r>
      <w:r w:rsidR="004756C1" w:rsidRPr="002F50BD">
        <w:rPr>
          <w:rFonts w:ascii="Verdana" w:hAnsi="Verdana"/>
          <w:sz w:val="20"/>
          <w:lang w:val="pt-BR"/>
        </w:rPr>
        <w:t>Corte realizará,</w:t>
      </w:r>
      <w:r w:rsidR="0089298C" w:rsidRPr="002F50BD">
        <w:rPr>
          <w:rFonts w:ascii="Verdana" w:hAnsi="Verdana"/>
          <w:sz w:val="20"/>
          <w:lang w:val="pt-BR"/>
        </w:rPr>
        <w:t xml:space="preserve"> à </w:t>
      </w:r>
      <w:r w:rsidR="004756C1" w:rsidRPr="002F50BD">
        <w:rPr>
          <w:rFonts w:ascii="Verdana" w:hAnsi="Verdana"/>
          <w:sz w:val="20"/>
          <w:lang w:val="pt-BR"/>
        </w:rPr>
        <w:t>luz</w:t>
      </w:r>
      <w:r w:rsidR="0089298C" w:rsidRPr="002F50BD">
        <w:rPr>
          <w:rFonts w:ascii="Verdana" w:hAnsi="Verdana"/>
          <w:sz w:val="20"/>
          <w:lang w:val="pt-BR"/>
        </w:rPr>
        <w:t xml:space="preserve"> do estabelecid</w:t>
      </w:r>
      <w:r w:rsidR="004756C1" w:rsidRPr="002F50BD">
        <w:rPr>
          <w:rFonts w:ascii="Verdana" w:hAnsi="Verdana"/>
          <w:sz w:val="20"/>
          <w:lang w:val="pt-BR"/>
        </w:rPr>
        <w:t>o</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44</w:t>
      </w:r>
      <w:r w:rsidR="0089298C" w:rsidRPr="002F50BD">
        <w:rPr>
          <w:rFonts w:ascii="Verdana" w:hAnsi="Verdana"/>
          <w:sz w:val="20"/>
          <w:lang w:val="pt-BR"/>
        </w:rPr>
        <w:t xml:space="preserve"> e </w:t>
      </w:r>
      <w:r w:rsidRPr="002F50BD">
        <w:rPr>
          <w:rFonts w:ascii="Verdana" w:hAnsi="Verdana"/>
          <w:sz w:val="20"/>
          <w:lang w:val="pt-BR"/>
        </w:rPr>
        <w:t>45</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 xml:space="preserve">, </w:t>
      </w:r>
      <w:r w:rsidR="0089298C" w:rsidRPr="002F50BD">
        <w:rPr>
          <w:rFonts w:ascii="Verdana" w:hAnsi="Verdana"/>
          <w:sz w:val="20"/>
          <w:lang w:val="pt-BR"/>
        </w:rPr>
        <w:t>algumas</w:t>
      </w:r>
      <w:r w:rsidR="004756C1" w:rsidRPr="002F50BD">
        <w:rPr>
          <w:rFonts w:ascii="Verdana" w:hAnsi="Verdana"/>
          <w:sz w:val="20"/>
          <w:lang w:val="pt-BR"/>
        </w:rPr>
        <w:t xml:space="preserve"> considera</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desenvolvida</w:t>
      </w:r>
      <w:r w:rsidR="004756C1" w:rsidRPr="002F50BD">
        <w:rPr>
          <w:rFonts w:ascii="Verdana" w:hAnsi="Verdana"/>
          <w:sz w:val="20"/>
          <w:lang w:val="pt-BR"/>
        </w:rPr>
        <w:t>s</w:t>
      </w:r>
      <w:r w:rsidR="0089298C" w:rsidRPr="002F50BD">
        <w:rPr>
          <w:rFonts w:ascii="Verdana" w:hAnsi="Verdana"/>
          <w:sz w:val="20"/>
          <w:lang w:val="pt-BR"/>
        </w:rPr>
        <w:t xml:space="preserve"> na jurisprudência do </w:t>
      </w:r>
      <w:r w:rsidR="004756C1" w:rsidRPr="002F50BD">
        <w:rPr>
          <w:rFonts w:ascii="Verdana" w:hAnsi="Verdana"/>
          <w:sz w:val="20"/>
          <w:lang w:val="pt-BR"/>
        </w:rPr>
        <w:t>Tribunal</w:t>
      </w:r>
      <w:r w:rsidR="0089298C" w:rsidRPr="002F50BD">
        <w:rPr>
          <w:rFonts w:ascii="Verdana" w:hAnsi="Verdana"/>
          <w:sz w:val="20"/>
          <w:lang w:val="pt-BR"/>
        </w:rPr>
        <w:t xml:space="preserve"> e aplicáveis </w:t>
      </w:r>
      <w:r w:rsidR="004756C1" w:rsidRPr="002F50BD">
        <w:rPr>
          <w:rFonts w:ascii="Verdana" w:hAnsi="Verdana"/>
          <w:sz w:val="20"/>
          <w:lang w:val="pt-BR"/>
        </w:rPr>
        <w:t>a este caso.</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29</w:t>
      </w:r>
      <w:r w:rsidR="004756C1" w:rsidRPr="002F50BD">
        <w:rPr>
          <w:rFonts w:ascii="Verdana" w:hAnsi="Verdana"/>
          <w:sz w:val="20"/>
          <w:lang w:val="pt-BR"/>
        </w:rPr>
        <w:t>.</w:t>
      </w:r>
      <w:r w:rsidR="004756C1" w:rsidRPr="002F50BD">
        <w:rPr>
          <w:rFonts w:ascii="Verdana" w:hAnsi="Verdana"/>
          <w:sz w:val="20"/>
          <w:lang w:val="pt-BR"/>
        </w:rPr>
        <w:tab/>
        <w:t>E</w:t>
      </w:r>
      <w:r w:rsidR="00E46BA3" w:rsidRPr="002F50BD">
        <w:rPr>
          <w:rFonts w:ascii="Verdana" w:hAnsi="Verdana"/>
          <w:sz w:val="20"/>
          <w:lang w:val="pt-BR"/>
        </w:rPr>
        <w:t>m</w:t>
      </w:r>
      <w:r w:rsidR="004756C1" w:rsidRPr="002F50BD">
        <w:rPr>
          <w:rFonts w:ascii="Verdana" w:hAnsi="Verdana"/>
          <w:sz w:val="20"/>
          <w:lang w:val="pt-BR"/>
        </w:rPr>
        <w:t xml:space="preserve"> </w:t>
      </w:r>
      <w:r w:rsidR="0089298C" w:rsidRPr="002F50BD">
        <w:rPr>
          <w:rFonts w:ascii="Verdana" w:hAnsi="Verdana"/>
          <w:sz w:val="20"/>
          <w:lang w:val="pt-BR"/>
        </w:rPr>
        <w:t>matéria probatória</w:t>
      </w:r>
      <w:r w:rsidR="00CA42F5" w:rsidRPr="002F50BD">
        <w:rPr>
          <w:rFonts w:ascii="Verdana" w:hAnsi="Verdana"/>
          <w:sz w:val="20"/>
          <w:lang w:val="pt-BR"/>
        </w:rPr>
        <w:t>,</w:t>
      </w:r>
      <w:r w:rsidR="004756C1" w:rsidRPr="002F50BD">
        <w:rPr>
          <w:rFonts w:ascii="Verdana" w:hAnsi="Verdana"/>
          <w:sz w:val="20"/>
          <w:lang w:val="pt-BR"/>
        </w:rPr>
        <w:t xml:space="preserve"> </w:t>
      </w:r>
      <w:r w:rsidR="00B94555" w:rsidRPr="002F50BD">
        <w:rPr>
          <w:rFonts w:ascii="Verdana" w:hAnsi="Verdana"/>
          <w:sz w:val="20"/>
          <w:lang w:val="pt-BR"/>
        </w:rPr>
        <w:t>vigora</w:t>
      </w:r>
      <w:r w:rsidR="0089298C" w:rsidRPr="002F50BD">
        <w:rPr>
          <w:rFonts w:ascii="Verdana" w:hAnsi="Verdana"/>
          <w:sz w:val="20"/>
          <w:lang w:val="pt-BR"/>
        </w:rPr>
        <w:t xml:space="preserve"> o princípio</w:t>
      </w:r>
      <w:r w:rsidR="004756C1" w:rsidRPr="002F50BD">
        <w:rPr>
          <w:rFonts w:ascii="Verdana" w:hAnsi="Verdana"/>
          <w:sz w:val="20"/>
          <w:lang w:val="pt-BR"/>
        </w:rPr>
        <w:t xml:space="preserve"> </w:t>
      </w:r>
      <w:r w:rsidR="0089298C" w:rsidRPr="002F50BD">
        <w:rPr>
          <w:rFonts w:ascii="Verdana" w:hAnsi="Verdana"/>
          <w:sz w:val="20"/>
          <w:lang w:val="pt-BR"/>
        </w:rPr>
        <w:t>do contraditório</w:t>
      </w:r>
      <w:r w:rsidR="004756C1" w:rsidRPr="002F50BD">
        <w:rPr>
          <w:rFonts w:ascii="Verdana" w:hAnsi="Verdana"/>
          <w:sz w:val="20"/>
          <w:lang w:val="pt-BR"/>
        </w:rPr>
        <w:t>, que</w:t>
      </w:r>
      <w:r w:rsidR="0089298C" w:rsidRPr="002F50BD">
        <w:rPr>
          <w:rFonts w:ascii="Verdana" w:hAnsi="Verdana"/>
          <w:sz w:val="20"/>
          <w:lang w:val="pt-BR"/>
        </w:rPr>
        <w:t xml:space="preserve"> respeita o direito</w:t>
      </w:r>
      <w:r w:rsidR="004756C1" w:rsidRPr="002F50BD">
        <w:rPr>
          <w:rFonts w:ascii="Verdana" w:hAnsi="Verdana"/>
          <w:sz w:val="20"/>
          <w:lang w:val="pt-BR"/>
        </w:rPr>
        <w:t xml:space="preserve"> de </w:t>
      </w:r>
      <w:r w:rsidR="0089298C" w:rsidRPr="002F50BD">
        <w:rPr>
          <w:rFonts w:ascii="Verdana" w:hAnsi="Verdana"/>
          <w:sz w:val="20"/>
          <w:lang w:val="pt-BR"/>
        </w:rPr>
        <w:t xml:space="preserve">defesa das </w:t>
      </w:r>
      <w:r w:rsidR="004756C1" w:rsidRPr="002F50BD">
        <w:rPr>
          <w:rFonts w:ascii="Verdana" w:hAnsi="Verdana"/>
          <w:sz w:val="20"/>
          <w:lang w:val="pt-BR"/>
        </w:rPr>
        <w:t>partes</w:t>
      </w:r>
      <w:r w:rsidR="00D95E71" w:rsidRPr="002F50BD">
        <w:rPr>
          <w:rFonts w:ascii="Verdana" w:hAnsi="Verdana"/>
          <w:sz w:val="20"/>
          <w:lang w:val="pt-BR"/>
        </w:rPr>
        <w:t xml:space="preserve">. O </w:t>
      </w:r>
      <w:r w:rsidR="0089298C"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44</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 xml:space="preserve"> contempla este </w:t>
      </w:r>
      <w:r w:rsidR="0089298C" w:rsidRPr="002F50BD">
        <w:rPr>
          <w:rFonts w:ascii="Verdana" w:hAnsi="Verdana"/>
          <w:sz w:val="20"/>
          <w:lang w:val="pt-BR"/>
        </w:rPr>
        <w:t>princípio</w:t>
      </w:r>
      <w:r w:rsidR="004756C1" w:rsidRPr="002F50BD">
        <w:rPr>
          <w:rFonts w:ascii="Verdana" w:hAnsi="Verdana"/>
          <w:sz w:val="20"/>
          <w:lang w:val="pt-BR"/>
        </w:rPr>
        <w:t>,</w:t>
      </w:r>
      <w:r w:rsidR="0089298C" w:rsidRPr="002F50BD">
        <w:rPr>
          <w:rFonts w:ascii="Verdana" w:hAnsi="Verdana"/>
          <w:sz w:val="20"/>
          <w:lang w:val="pt-BR"/>
        </w:rPr>
        <w:t xml:space="preserve"> no que </w:t>
      </w:r>
      <w:r w:rsidR="00E46BA3" w:rsidRPr="002F50BD">
        <w:rPr>
          <w:rFonts w:ascii="Verdana" w:hAnsi="Verdana"/>
          <w:sz w:val="20"/>
          <w:lang w:val="pt-BR"/>
        </w:rPr>
        <w:t>se refere</w:t>
      </w:r>
      <w:r w:rsidR="0089298C" w:rsidRPr="002F50BD">
        <w:rPr>
          <w:rFonts w:ascii="Verdana" w:hAnsi="Verdana"/>
          <w:sz w:val="20"/>
          <w:lang w:val="pt-BR"/>
        </w:rPr>
        <w:t xml:space="preserve"> à oportunidade em </w:t>
      </w:r>
      <w:r w:rsidR="004756C1" w:rsidRPr="002F50BD">
        <w:rPr>
          <w:rFonts w:ascii="Verdana" w:hAnsi="Verdana"/>
          <w:sz w:val="20"/>
          <w:lang w:val="pt-BR"/>
        </w:rPr>
        <w:t>que</w:t>
      </w:r>
      <w:r w:rsidR="0089298C" w:rsidRPr="002F50BD">
        <w:rPr>
          <w:rFonts w:ascii="Verdana" w:hAnsi="Verdana"/>
          <w:sz w:val="20"/>
          <w:lang w:val="pt-BR"/>
        </w:rPr>
        <w:t xml:space="preserve"> </w:t>
      </w:r>
      <w:r w:rsidR="00060B3A" w:rsidRPr="002F50BD">
        <w:rPr>
          <w:rFonts w:ascii="Verdana" w:hAnsi="Verdana"/>
          <w:sz w:val="20"/>
          <w:lang w:val="pt-BR"/>
        </w:rPr>
        <w:t xml:space="preserve">se </w:t>
      </w:r>
      <w:r w:rsidR="0089298C" w:rsidRPr="002F50BD">
        <w:rPr>
          <w:rFonts w:ascii="Verdana" w:hAnsi="Verdana"/>
          <w:sz w:val="20"/>
          <w:lang w:val="pt-BR"/>
        </w:rPr>
        <w:t>deve oferece</w:t>
      </w:r>
      <w:r w:rsidR="004756C1" w:rsidRPr="002F50BD">
        <w:rPr>
          <w:rFonts w:ascii="Verdana" w:hAnsi="Verdana"/>
          <w:sz w:val="20"/>
          <w:lang w:val="pt-BR"/>
        </w:rPr>
        <w:t>r</w:t>
      </w:r>
      <w:r w:rsidR="0089298C" w:rsidRPr="002F50BD">
        <w:rPr>
          <w:rFonts w:ascii="Verdana" w:hAnsi="Verdana"/>
          <w:sz w:val="20"/>
          <w:lang w:val="pt-BR"/>
        </w:rPr>
        <w:t xml:space="preserve"> a prova</w:t>
      </w:r>
      <w:r w:rsidR="004756C1" w:rsidRPr="002F50BD">
        <w:rPr>
          <w:rFonts w:ascii="Verdana" w:hAnsi="Verdana"/>
          <w:sz w:val="20"/>
          <w:lang w:val="pt-BR"/>
        </w:rPr>
        <w:t xml:space="preserve"> para que</w:t>
      </w:r>
      <w:r w:rsidR="0089298C" w:rsidRPr="002F50BD">
        <w:rPr>
          <w:rFonts w:ascii="Verdana" w:hAnsi="Verdana"/>
          <w:sz w:val="20"/>
          <w:lang w:val="pt-BR"/>
        </w:rPr>
        <w:t xml:space="preserve"> </w:t>
      </w:r>
      <w:r w:rsidR="00E46BA3" w:rsidRPr="002F50BD">
        <w:rPr>
          <w:rFonts w:ascii="Verdana" w:hAnsi="Verdana"/>
          <w:sz w:val="20"/>
          <w:lang w:val="pt-BR"/>
        </w:rPr>
        <w:t xml:space="preserve">haja </w:t>
      </w:r>
      <w:r w:rsidR="0089298C" w:rsidRPr="002F50BD">
        <w:rPr>
          <w:rFonts w:ascii="Verdana" w:hAnsi="Verdana"/>
          <w:sz w:val="20"/>
          <w:lang w:val="pt-BR"/>
        </w:rPr>
        <w:t xml:space="preserve">igualdade </w:t>
      </w:r>
      <w:r w:rsidR="004756C1" w:rsidRPr="002F50BD">
        <w:rPr>
          <w:rFonts w:ascii="Verdana" w:hAnsi="Verdana"/>
          <w:sz w:val="20"/>
          <w:lang w:val="pt-BR"/>
        </w:rPr>
        <w:t>entre</w:t>
      </w:r>
      <w:r w:rsidR="0089298C" w:rsidRPr="002F50BD">
        <w:rPr>
          <w:rFonts w:ascii="Verdana" w:hAnsi="Verdana"/>
          <w:sz w:val="20"/>
          <w:lang w:val="pt-BR"/>
        </w:rPr>
        <w:t xml:space="preserve"> as </w:t>
      </w:r>
      <w:r w:rsidR="004756C1" w:rsidRPr="002F50BD">
        <w:rPr>
          <w:rFonts w:ascii="Verdana" w:hAnsi="Verdana"/>
          <w:sz w:val="20"/>
          <w:lang w:val="pt-BR"/>
        </w:rPr>
        <w:t>partes</w:t>
      </w:r>
      <w:r w:rsidR="00E46BA3" w:rsidRPr="002F50BD">
        <w:rPr>
          <w:rFonts w:ascii="Verdana" w:hAnsi="Verdana"/>
          <w:sz w:val="20"/>
          <w:lang w:val="pt-BR"/>
        </w:rPr>
        <w:t>.</w:t>
      </w:r>
      <w:r w:rsidR="004756C1" w:rsidRPr="002F50BD">
        <w:rPr>
          <w:rStyle w:val="FootnoteReference"/>
          <w:rFonts w:ascii="Verdana" w:hAnsi="Verdana"/>
        </w:rPr>
        <w:footnoteReference w:id="2"/>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Segundo a prática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Tribunal,</w:t>
      </w:r>
      <w:r w:rsidR="0089298C" w:rsidRPr="002F50BD">
        <w:rPr>
          <w:rFonts w:ascii="Verdana" w:hAnsi="Verdana"/>
          <w:sz w:val="20"/>
          <w:lang w:val="pt-BR"/>
        </w:rPr>
        <w:t xml:space="preserve"> ao início </w:t>
      </w:r>
      <w:r w:rsidR="004756C1" w:rsidRPr="002F50BD">
        <w:rPr>
          <w:rFonts w:ascii="Verdana" w:hAnsi="Verdana"/>
          <w:sz w:val="20"/>
          <w:lang w:val="pt-BR"/>
        </w:rPr>
        <w:t xml:space="preserve">de cada etapa </w:t>
      </w:r>
      <w:r w:rsidR="0089298C" w:rsidRPr="002F50BD">
        <w:rPr>
          <w:rFonts w:ascii="Verdana" w:hAnsi="Verdana"/>
          <w:sz w:val="20"/>
          <w:lang w:val="pt-BR"/>
        </w:rPr>
        <w:t>processual</w:t>
      </w:r>
      <w:r w:rsidR="00CA42F5"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 xml:space="preserve">partes </w:t>
      </w:r>
      <w:r w:rsidR="0089298C" w:rsidRPr="002F50BD">
        <w:rPr>
          <w:rFonts w:ascii="Verdana" w:hAnsi="Verdana"/>
          <w:sz w:val="20"/>
          <w:lang w:val="pt-BR"/>
        </w:rPr>
        <w:t>devem</w:t>
      </w:r>
      <w:r w:rsidR="004756C1" w:rsidRPr="002F50BD">
        <w:rPr>
          <w:rFonts w:ascii="Verdana" w:hAnsi="Verdana"/>
          <w:sz w:val="20"/>
          <w:lang w:val="pt-BR"/>
        </w:rPr>
        <w:t xml:space="preserve"> </w:t>
      </w:r>
      <w:r w:rsidR="004076AD" w:rsidRPr="002F50BD">
        <w:rPr>
          <w:rFonts w:ascii="Verdana" w:hAnsi="Verdana"/>
          <w:sz w:val="20"/>
          <w:lang w:val="pt-BR"/>
        </w:rPr>
        <w:t>indica</w:t>
      </w:r>
      <w:r w:rsidR="00E46BA3" w:rsidRPr="002F50BD">
        <w:rPr>
          <w:rFonts w:ascii="Verdana" w:hAnsi="Verdana"/>
          <w:sz w:val="20"/>
          <w:lang w:val="pt-BR"/>
        </w:rPr>
        <w:t>r quais</w:t>
      </w:r>
      <w:r w:rsidR="004756C1" w:rsidRPr="002F50BD">
        <w:rPr>
          <w:rFonts w:ascii="Verdana" w:hAnsi="Verdana"/>
          <w:sz w:val="20"/>
          <w:lang w:val="pt-BR"/>
        </w:rPr>
        <w:t xml:space="preserve"> </w:t>
      </w:r>
      <w:r w:rsidR="0089298C" w:rsidRPr="002F50BD">
        <w:rPr>
          <w:rFonts w:ascii="Verdana" w:hAnsi="Verdana"/>
          <w:sz w:val="20"/>
          <w:lang w:val="pt-BR"/>
        </w:rPr>
        <w:t>prova</w:t>
      </w:r>
      <w:r w:rsidR="004756C1" w:rsidRPr="002F50BD">
        <w:rPr>
          <w:rFonts w:ascii="Verdana" w:hAnsi="Verdana"/>
          <w:sz w:val="20"/>
          <w:lang w:val="pt-BR"/>
        </w:rPr>
        <w:t xml:space="preserve">s </w:t>
      </w:r>
      <w:r w:rsidR="0089298C" w:rsidRPr="002F50BD">
        <w:rPr>
          <w:rFonts w:ascii="Verdana" w:hAnsi="Verdana"/>
          <w:sz w:val="20"/>
          <w:lang w:val="pt-BR"/>
        </w:rPr>
        <w:t>oferece</w:t>
      </w:r>
      <w:r w:rsidR="00E46BA3" w:rsidRPr="002F50BD">
        <w:rPr>
          <w:rFonts w:ascii="Verdana" w:hAnsi="Verdana"/>
          <w:sz w:val="20"/>
          <w:lang w:val="pt-BR"/>
        </w:rPr>
        <w:t>rão</w:t>
      </w:r>
      <w:r w:rsidR="0089298C" w:rsidRPr="002F50BD">
        <w:rPr>
          <w:rFonts w:ascii="Verdana" w:hAnsi="Verdana"/>
          <w:sz w:val="20"/>
          <w:lang w:val="pt-BR"/>
        </w:rPr>
        <w:t xml:space="preserve"> na primeira</w:t>
      </w:r>
      <w:r w:rsidR="004756C1" w:rsidRPr="002F50BD">
        <w:rPr>
          <w:rFonts w:ascii="Verdana" w:hAnsi="Verdana"/>
          <w:sz w:val="20"/>
          <w:lang w:val="pt-BR"/>
        </w:rPr>
        <w:t xml:space="preserve"> </w:t>
      </w:r>
      <w:r w:rsidR="0089298C" w:rsidRPr="002F50BD">
        <w:rPr>
          <w:rFonts w:ascii="Verdana" w:hAnsi="Verdana"/>
          <w:sz w:val="20"/>
          <w:lang w:val="pt-BR"/>
        </w:rPr>
        <w:t xml:space="preserve">oportunidade </w:t>
      </w:r>
      <w:r w:rsidR="004756C1" w:rsidRPr="002F50BD">
        <w:rPr>
          <w:rFonts w:ascii="Verdana" w:hAnsi="Verdana"/>
          <w:sz w:val="20"/>
          <w:lang w:val="pt-BR"/>
        </w:rPr>
        <w:t xml:space="preserve">que </w:t>
      </w:r>
      <w:r w:rsidR="00E46BA3" w:rsidRPr="002F50BD">
        <w:rPr>
          <w:rFonts w:ascii="Verdana" w:hAnsi="Verdana"/>
          <w:sz w:val="20"/>
          <w:lang w:val="pt-BR"/>
        </w:rPr>
        <w:t xml:space="preserve">lhes </w:t>
      </w:r>
      <w:r w:rsidR="00CA42F5" w:rsidRPr="002F50BD">
        <w:rPr>
          <w:rFonts w:ascii="Verdana" w:hAnsi="Verdana"/>
          <w:sz w:val="20"/>
          <w:lang w:val="pt-BR"/>
        </w:rPr>
        <w:t>for</w:t>
      </w:r>
      <w:r w:rsidR="00E46BA3" w:rsidRPr="002F50BD">
        <w:rPr>
          <w:rFonts w:ascii="Verdana" w:hAnsi="Verdana"/>
          <w:sz w:val="20"/>
          <w:lang w:val="pt-BR"/>
        </w:rPr>
        <w:t xml:space="preserve"> concedida</w:t>
      </w:r>
      <w:r w:rsidR="004756C1" w:rsidRPr="002F50BD">
        <w:rPr>
          <w:rFonts w:ascii="Verdana" w:hAnsi="Verdana"/>
          <w:sz w:val="20"/>
          <w:lang w:val="pt-BR"/>
        </w:rPr>
        <w:t xml:space="preserve"> para </w:t>
      </w:r>
      <w:r w:rsidR="0089298C" w:rsidRPr="002F50BD">
        <w:rPr>
          <w:rFonts w:ascii="Verdana" w:hAnsi="Verdana"/>
          <w:sz w:val="20"/>
          <w:lang w:val="pt-BR"/>
        </w:rPr>
        <w:t>pronunciar-se</w:t>
      </w:r>
      <w:r w:rsidR="004756C1" w:rsidRPr="002F50BD">
        <w:rPr>
          <w:rFonts w:ascii="Verdana" w:hAnsi="Verdana"/>
          <w:sz w:val="20"/>
          <w:lang w:val="pt-BR"/>
        </w:rPr>
        <w:t xml:space="preserve"> por escrito.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w:t>
      </w:r>
      <w:r w:rsidR="00D2291C" w:rsidRPr="002F50BD">
        <w:rPr>
          <w:rFonts w:ascii="Verdana" w:hAnsi="Verdana"/>
          <w:sz w:val="20"/>
          <w:lang w:val="pt-BR"/>
        </w:rPr>
        <w:t xml:space="preserve">no </w:t>
      </w:r>
      <w:r w:rsidR="0089298C" w:rsidRPr="002F50BD">
        <w:rPr>
          <w:rFonts w:ascii="Verdana" w:hAnsi="Verdana"/>
          <w:sz w:val="20"/>
          <w:lang w:val="pt-BR"/>
        </w:rPr>
        <w:t xml:space="preserve">exercício das </w:t>
      </w:r>
      <w:r w:rsidR="00E46BA3" w:rsidRPr="002F50BD">
        <w:rPr>
          <w:rFonts w:ascii="Verdana" w:hAnsi="Verdana"/>
          <w:sz w:val="20"/>
          <w:lang w:val="pt-BR"/>
        </w:rPr>
        <w:t>faculdades</w:t>
      </w:r>
      <w:r w:rsidR="0089298C" w:rsidRPr="002F50BD">
        <w:rPr>
          <w:rFonts w:ascii="Verdana" w:hAnsi="Verdana"/>
          <w:sz w:val="20"/>
          <w:lang w:val="pt-BR"/>
        </w:rPr>
        <w:t xml:space="preserve"> </w:t>
      </w:r>
      <w:r w:rsidR="00E46BA3" w:rsidRPr="002F50BD">
        <w:rPr>
          <w:rFonts w:ascii="Verdana" w:hAnsi="Verdana"/>
          <w:sz w:val="20"/>
          <w:lang w:val="pt-BR"/>
        </w:rPr>
        <w:t xml:space="preserve">discricionárias </w:t>
      </w:r>
      <w:r w:rsidR="004756C1" w:rsidRPr="002F50BD">
        <w:rPr>
          <w:rFonts w:ascii="Verdana" w:hAnsi="Verdana"/>
          <w:sz w:val="20"/>
          <w:lang w:val="pt-BR"/>
        </w:rPr>
        <w:t>contempladas</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 xml:space="preserve"> de</w:t>
      </w:r>
      <w:r w:rsidR="0089298C" w:rsidRPr="002F50BD">
        <w:rPr>
          <w:rFonts w:ascii="Verdana" w:hAnsi="Verdana"/>
          <w:sz w:val="20"/>
          <w:lang w:val="pt-BR"/>
        </w:rPr>
        <w:t xml:space="preserve"> seu regulamento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o</w:t>
      </w:r>
      <w:r w:rsidR="00E46BA3" w:rsidRPr="002F50BD">
        <w:rPr>
          <w:rFonts w:ascii="Verdana" w:hAnsi="Verdana"/>
          <w:sz w:val="20"/>
          <w:lang w:val="pt-BR"/>
        </w:rPr>
        <w:t>u</w:t>
      </w:r>
      <w:r w:rsidR="004756C1" w:rsidRPr="002F50BD">
        <w:rPr>
          <w:rFonts w:ascii="Verdana" w:hAnsi="Verdana"/>
          <w:sz w:val="20"/>
          <w:lang w:val="pt-BR"/>
        </w:rPr>
        <w:t xml:space="preserve"> </w:t>
      </w:r>
      <w:r w:rsidR="00E46BA3" w:rsidRPr="002F50BD">
        <w:rPr>
          <w:rFonts w:ascii="Verdana" w:hAnsi="Verdana"/>
          <w:sz w:val="20"/>
          <w:lang w:val="pt-BR"/>
        </w:rPr>
        <w:t>seu Presidente</w:t>
      </w:r>
      <w:r w:rsidR="004756C1" w:rsidRPr="002F50BD">
        <w:rPr>
          <w:rFonts w:ascii="Verdana" w:hAnsi="Verdana"/>
          <w:sz w:val="20"/>
          <w:lang w:val="pt-BR"/>
        </w:rPr>
        <w:t xml:space="preserve"> </w:t>
      </w:r>
      <w:r w:rsidR="0089298C" w:rsidRPr="002F50BD">
        <w:rPr>
          <w:rFonts w:ascii="Verdana" w:hAnsi="Verdana"/>
          <w:sz w:val="20"/>
          <w:lang w:val="pt-BR"/>
        </w:rPr>
        <w:t>poderão</w:t>
      </w:r>
      <w:r w:rsidR="004756C1" w:rsidRPr="002F50BD">
        <w:rPr>
          <w:rFonts w:ascii="Verdana" w:hAnsi="Verdana"/>
          <w:sz w:val="20"/>
          <w:lang w:val="pt-BR"/>
        </w:rPr>
        <w:t xml:space="preserve"> solicitar</w:t>
      </w:r>
      <w:r w:rsidR="0089298C" w:rsidRPr="002F50BD">
        <w:rPr>
          <w:rFonts w:ascii="Verdana" w:hAnsi="Verdana"/>
          <w:sz w:val="20"/>
          <w:lang w:val="pt-BR"/>
        </w:rPr>
        <w:t xml:space="preserve"> às </w:t>
      </w:r>
      <w:r w:rsidR="004756C1" w:rsidRPr="002F50BD">
        <w:rPr>
          <w:rFonts w:ascii="Verdana" w:hAnsi="Verdana"/>
          <w:sz w:val="20"/>
          <w:lang w:val="pt-BR"/>
        </w:rPr>
        <w:t xml:space="preserve">partes elementos </w:t>
      </w:r>
      <w:r w:rsidR="0089298C" w:rsidRPr="002F50BD">
        <w:rPr>
          <w:rFonts w:ascii="Verdana" w:hAnsi="Verdana"/>
          <w:sz w:val="20"/>
          <w:lang w:val="pt-BR"/>
        </w:rPr>
        <w:t>probatório</w:t>
      </w:r>
      <w:r w:rsidR="004756C1" w:rsidRPr="002F50BD">
        <w:rPr>
          <w:rFonts w:ascii="Verdana" w:hAnsi="Verdana"/>
          <w:sz w:val="20"/>
          <w:lang w:val="pt-BR"/>
        </w:rPr>
        <w:t xml:space="preserve">s </w:t>
      </w:r>
      <w:r w:rsidR="0089298C" w:rsidRPr="002F50BD">
        <w:rPr>
          <w:rFonts w:ascii="Verdana" w:hAnsi="Verdana"/>
          <w:sz w:val="20"/>
          <w:lang w:val="pt-BR"/>
        </w:rPr>
        <w:t>adicionais</w:t>
      </w:r>
      <w:r w:rsidR="004756C1" w:rsidRPr="002F50BD">
        <w:rPr>
          <w:rFonts w:ascii="Verdana" w:hAnsi="Verdana"/>
          <w:sz w:val="20"/>
          <w:lang w:val="pt-BR"/>
        </w:rPr>
        <w:t xml:space="preserve">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w:t>
      </w:r>
      <w:r w:rsidR="0089298C" w:rsidRPr="002F50BD">
        <w:rPr>
          <w:rFonts w:ascii="Verdana" w:hAnsi="Verdana"/>
          <w:sz w:val="20"/>
          <w:lang w:val="pt-BR"/>
        </w:rPr>
        <w:t xml:space="preserve"> sem </w:t>
      </w:r>
      <w:r w:rsidR="004756C1" w:rsidRPr="002F50BD">
        <w:rPr>
          <w:rFonts w:ascii="Verdana" w:hAnsi="Verdana"/>
          <w:sz w:val="20"/>
          <w:lang w:val="pt-BR"/>
        </w:rPr>
        <w:t>que</w:t>
      </w:r>
      <w:r w:rsidR="0089298C" w:rsidRPr="002F50BD">
        <w:rPr>
          <w:rFonts w:ascii="Verdana" w:hAnsi="Verdana"/>
          <w:sz w:val="20"/>
          <w:lang w:val="pt-BR"/>
        </w:rPr>
        <w:t xml:space="preserve"> </w:t>
      </w:r>
      <w:r w:rsidR="00E46BA3" w:rsidRPr="002F50BD">
        <w:rPr>
          <w:rFonts w:ascii="Verdana" w:hAnsi="Verdana"/>
          <w:sz w:val="20"/>
          <w:lang w:val="pt-BR"/>
        </w:rPr>
        <w:t xml:space="preserve">isso </w:t>
      </w:r>
      <w:r w:rsidR="004756C1" w:rsidRPr="002F50BD">
        <w:rPr>
          <w:rFonts w:ascii="Verdana" w:hAnsi="Verdana"/>
          <w:sz w:val="20"/>
          <w:lang w:val="pt-BR"/>
        </w:rPr>
        <w:t xml:space="preserve">se </w:t>
      </w:r>
      <w:r w:rsidR="0089298C" w:rsidRPr="002F50BD">
        <w:rPr>
          <w:rFonts w:ascii="Verdana" w:hAnsi="Verdana"/>
          <w:sz w:val="20"/>
          <w:lang w:val="pt-BR"/>
        </w:rPr>
        <w:t>traduza em uma nova</w:t>
      </w:r>
      <w:r w:rsidR="004756C1" w:rsidRPr="002F50BD">
        <w:rPr>
          <w:rFonts w:ascii="Verdana" w:hAnsi="Verdana"/>
          <w:sz w:val="20"/>
          <w:lang w:val="pt-BR"/>
        </w:rPr>
        <w:t xml:space="preserve"> </w:t>
      </w:r>
      <w:r w:rsidR="0089298C" w:rsidRPr="002F50BD">
        <w:rPr>
          <w:rFonts w:ascii="Verdana" w:hAnsi="Verdana"/>
          <w:sz w:val="20"/>
          <w:lang w:val="pt-BR"/>
        </w:rPr>
        <w:t xml:space="preserve">oportunidade </w:t>
      </w:r>
      <w:r w:rsidR="004756C1" w:rsidRPr="002F50BD">
        <w:rPr>
          <w:rFonts w:ascii="Verdana" w:hAnsi="Verdana"/>
          <w:sz w:val="20"/>
          <w:lang w:val="pt-BR"/>
        </w:rPr>
        <w:t xml:space="preserve">para </w:t>
      </w:r>
      <w:r w:rsidR="0089298C" w:rsidRPr="002F50BD">
        <w:rPr>
          <w:rFonts w:ascii="Verdana" w:hAnsi="Verdana"/>
          <w:sz w:val="20"/>
          <w:lang w:val="pt-BR"/>
        </w:rPr>
        <w:t>ampl</w:t>
      </w:r>
      <w:r w:rsidR="00E46BA3" w:rsidRPr="002F50BD">
        <w:rPr>
          <w:rFonts w:ascii="Verdana" w:hAnsi="Verdana"/>
          <w:sz w:val="20"/>
          <w:lang w:val="pt-BR"/>
        </w:rPr>
        <w:t>i</w:t>
      </w:r>
      <w:r w:rsidR="0089298C" w:rsidRPr="002F50BD">
        <w:rPr>
          <w:rFonts w:ascii="Verdana" w:hAnsi="Verdana"/>
          <w:sz w:val="20"/>
          <w:lang w:val="pt-BR"/>
        </w:rPr>
        <w:t>a</w:t>
      </w:r>
      <w:r w:rsidR="004756C1" w:rsidRPr="002F50BD">
        <w:rPr>
          <w:rFonts w:ascii="Verdana" w:hAnsi="Verdana"/>
          <w:sz w:val="20"/>
          <w:lang w:val="pt-BR"/>
        </w:rPr>
        <w:t>r o</w:t>
      </w:r>
      <w:r w:rsidR="00E46BA3" w:rsidRPr="002F50BD">
        <w:rPr>
          <w:rFonts w:ascii="Verdana" w:hAnsi="Verdana"/>
          <w:sz w:val="20"/>
          <w:lang w:val="pt-BR"/>
        </w:rPr>
        <w:t>u</w:t>
      </w:r>
      <w:r w:rsidR="004756C1" w:rsidRPr="002F50BD">
        <w:rPr>
          <w:rFonts w:ascii="Verdana" w:hAnsi="Verdana"/>
          <w:sz w:val="20"/>
          <w:lang w:val="pt-BR"/>
        </w:rPr>
        <w:t xml:space="preserve"> complementar</w:t>
      </w:r>
      <w:r w:rsidR="0089298C" w:rsidRPr="002F50BD">
        <w:rPr>
          <w:rFonts w:ascii="Verdana" w:hAnsi="Verdana"/>
          <w:sz w:val="20"/>
          <w:lang w:val="pt-BR"/>
        </w:rPr>
        <w:t xml:space="preserve"> </w:t>
      </w:r>
      <w:r w:rsidR="00E46BA3" w:rsidRPr="002F50BD">
        <w:rPr>
          <w:rFonts w:ascii="Verdana" w:hAnsi="Verdana"/>
          <w:sz w:val="20"/>
          <w:lang w:val="pt-BR"/>
        </w:rPr>
        <w:t>a</w:t>
      </w:r>
      <w:r w:rsidR="0089298C" w:rsidRPr="002F50BD">
        <w:rPr>
          <w:rFonts w:ascii="Verdana" w:hAnsi="Verdana"/>
          <w:sz w:val="20"/>
          <w:lang w:val="pt-BR"/>
        </w:rPr>
        <w:t>s alegações</w:t>
      </w:r>
      <w:r w:rsidR="004756C1" w:rsidRPr="002F50BD">
        <w:rPr>
          <w:rFonts w:ascii="Verdana" w:hAnsi="Verdana"/>
          <w:sz w:val="20"/>
          <w:lang w:val="pt-BR"/>
        </w:rPr>
        <w:t xml:space="preserve">, </w:t>
      </w:r>
      <w:r w:rsidR="00CF451D">
        <w:rPr>
          <w:rFonts w:ascii="Verdana" w:hAnsi="Verdana"/>
          <w:sz w:val="20"/>
          <w:lang w:val="pt-BR"/>
        </w:rPr>
        <w:t xml:space="preserve">exceto </w:t>
      </w:r>
      <w:r w:rsidR="00060B3A" w:rsidRPr="002F50BD">
        <w:rPr>
          <w:rFonts w:ascii="Verdana" w:hAnsi="Verdana"/>
          <w:sz w:val="20"/>
          <w:lang w:val="pt-BR"/>
        </w:rPr>
        <w:t xml:space="preserve">caso </w:t>
      </w:r>
      <w:r w:rsidR="0089298C" w:rsidRPr="002F50BD">
        <w:rPr>
          <w:rFonts w:ascii="Verdana" w:hAnsi="Verdana"/>
          <w:sz w:val="20"/>
          <w:lang w:val="pt-BR"/>
        </w:rPr>
        <w:t xml:space="preserve">o </w:t>
      </w:r>
      <w:r w:rsidR="004756C1" w:rsidRPr="002F50BD">
        <w:rPr>
          <w:rFonts w:ascii="Verdana" w:hAnsi="Verdana"/>
          <w:sz w:val="20"/>
          <w:lang w:val="pt-BR"/>
        </w:rPr>
        <w:t xml:space="preserve">Tribunal o permita </w:t>
      </w:r>
      <w:r w:rsidR="0089298C" w:rsidRPr="002F50BD">
        <w:rPr>
          <w:rFonts w:ascii="Verdana" w:hAnsi="Verdana"/>
          <w:sz w:val="20"/>
          <w:lang w:val="pt-BR"/>
        </w:rPr>
        <w:t>expressa</w:t>
      </w:r>
      <w:r w:rsidR="004756C1" w:rsidRPr="002F50BD">
        <w:rPr>
          <w:rFonts w:ascii="Verdana" w:hAnsi="Verdana"/>
          <w:sz w:val="20"/>
          <w:lang w:val="pt-BR"/>
        </w:rPr>
        <w:t>mente</w:t>
      </w:r>
      <w:r w:rsidR="00E46BA3" w:rsidRPr="002F50BD">
        <w:rPr>
          <w:rFonts w:ascii="Verdana" w:hAnsi="Verdana"/>
          <w:sz w:val="20"/>
          <w:lang w:val="pt-BR"/>
        </w:rPr>
        <w:t>.</w:t>
      </w:r>
      <w:r w:rsidR="004756C1" w:rsidRPr="002F50BD">
        <w:rPr>
          <w:rStyle w:val="FootnoteReference"/>
          <w:rFonts w:ascii="Verdana" w:hAnsi="Verdana"/>
        </w:rPr>
        <w:footnoteReference w:id="3"/>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31</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A Corte</w:t>
      </w:r>
      <w:r w:rsidR="004756C1" w:rsidRPr="002F50BD">
        <w:rPr>
          <w:rFonts w:ascii="Verdana" w:hAnsi="Verdana"/>
          <w:sz w:val="20"/>
          <w:lang w:val="pt-BR"/>
        </w:rPr>
        <w:t xml:space="preserve"> </w:t>
      </w:r>
      <w:r w:rsidR="004076AD" w:rsidRPr="002F50BD">
        <w:rPr>
          <w:rFonts w:ascii="Verdana" w:hAnsi="Verdana"/>
          <w:sz w:val="20"/>
          <w:lang w:val="pt-BR"/>
        </w:rPr>
        <w:t>indicou</w:t>
      </w:r>
      <w:r w:rsidR="004756C1" w:rsidRPr="002F50BD">
        <w:rPr>
          <w:rFonts w:ascii="Verdana" w:hAnsi="Verdana"/>
          <w:sz w:val="20"/>
          <w:lang w:val="pt-BR"/>
        </w:rPr>
        <w:t>,</w:t>
      </w:r>
      <w:r w:rsidR="0089298C" w:rsidRPr="002F50BD">
        <w:rPr>
          <w:rFonts w:ascii="Verdana" w:hAnsi="Verdana"/>
          <w:sz w:val="20"/>
          <w:lang w:val="pt-BR"/>
        </w:rPr>
        <w:t xml:space="preserve"> quanto à </w:t>
      </w:r>
      <w:r w:rsidR="004756C1" w:rsidRPr="002F50BD">
        <w:rPr>
          <w:rFonts w:ascii="Verdana" w:hAnsi="Verdana"/>
          <w:sz w:val="20"/>
          <w:lang w:val="pt-BR"/>
        </w:rPr>
        <w:t>recep</w:t>
      </w:r>
      <w:r w:rsidR="0089298C" w:rsidRPr="002F50BD">
        <w:rPr>
          <w:rFonts w:ascii="Verdana" w:hAnsi="Verdana"/>
          <w:sz w:val="20"/>
          <w:lang w:val="pt-BR"/>
        </w:rPr>
        <w:t xml:space="preserve">ção e </w:t>
      </w:r>
      <w:r w:rsidR="006C4368" w:rsidRPr="002F50BD">
        <w:rPr>
          <w:rFonts w:ascii="Verdana" w:hAnsi="Verdana"/>
          <w:sz w:val="20"/>
          <w:lang w:val="pt-BR"/>
        </w:rPr>
        <w:t>aprecia</w:t>
      </w:r>
      <w:r w:rsidR="0089298C" w:rsidRPr="002F50BD">
        <w:rPr>
          <w:rFonts w:ascii="Verdana" w:hAnsi="Verdana"/>
          <w:sz w:val="20"/>
          <w:lang w:val="pt-BR"/>
        </w:rPr>
        <w:t>ção da prova</w:t>
      </w:r>
      <w:r w:rsidR="004756C1" w:rsidRPr="002F50BD">
        <w:rPr>
          <w:rFonts w:ascii="Verdana" w:hAnsi="Verdana"/>
          <w:sz w:val="20"/>
          <w:lang w:val="pt-BR"/>
        </w:rPr>
        <w:t>, que</w:t>
      </w:r>
      <w:r w:rsidR="0089298C" w:rsidRPr="002F50BD">
        <w:rPr>
          <w:rFonts w:ascii="Verdana" w:hAnsi="Verdana"/>
          <w:sz w:val="20"/>
          <w:lang w:val="pt-BR"/>
        </w:rPr>
        <w:t xml:space="preserve"> os procedimento</w:t>
      </w:r>
      <w:r w:rsidR="004756C1" w:rsidRPr="002F50BD">
        <w:rPr>
          <w:rFonts w:ascii="Verdana" w:hAnsi="Verdana"/>
          <w:sz w:val="20"/>
          <w:lang w:val="pt-BR"/>
        </w:rPr>
        <w:t xml:space="preserve">s </w:t>
      </w:r>
      <w:r w:rsidR="00E84553" w:rsidRPr="002F50BD">
        <w:rPr>
          <w:rFonts w:ascii="Verdana" w:hAnsi="Verdana"/>
          <w:sz w:val="20"/>
          <w:lang w:val="pt-BR"/>
        </w:rPr>
        <w:t xml:space="preserve">perante </w:t>
      </w:r>
      <w:r w:rsidR="00CF451D">
        <w:rPr>
          <w:rFonts w:ascii="Verdana" w:hAnsi="Verdana"/>
          <w:sz w:val="20"/>
          <w:lang w:val="pt-BR"/>
        </w:rPr>
        <w:t xml:space="preserve">si </w:t>
      </w:r>
      <w:r w:rsidR="00E84553" w:rsidRPr="002F50BD">
        <w:rPr>
          <w:rFonts w:ascii="Verdana" w:hAnsi="Verdana"/>
          <w:sz w:val="20"/>
          <w:lang w:val="pt-BR"/>
        </w:rPr>
        <w:t>tramitam</w:t>
      </w:r>
      <w:r w:rsidR="00E46BA3" w:rsidRPr="002F50BD">
        <w:rPr>
          <w:rFonts w:ascii="Verdana" w:hAnsi="Verdana"/>
          <w:sz w:val="20"/>
          <w:lang w:val="pt-BR"/>
        </w:rPr>
        <w:t xml:space="preserve"> não </w:t>
      </w:r>
      <w:r w:rsidR="0089298C" w:rsidRPr="002F50BD">
        <w:rPr>
          <w:rFonts w:ascii="Verdana" w:hAnsi="Verdana"/>
          <w:sz w:val="20"/>
          <w:lang w:val="pt-BR"/>
        </w:rPr>
        <w:t>estão sujeito</w:t>
      </w:r>
      <w:r w:rsidR="004756C1" w:rsidRPr="002F50BD">
        <w:rPr>
          <w:rFonts w:ascii="Verdana" w:hAnsi="Verdana"/>
          <w:sz w:val="20"/>
          <w:lang w:val="pt-BR"/>
        </w:rPr>
        <w:t>s</w:t>
      </w:r>
      <w:r w:rsidR="0089298C" w:rsidRPr="002F50BD">
        <w:rPr>
          <w:rFonts w:ascii="Verdana" w:hAnsi="Verdana"/>
          <w:sz w:val="20"/>
          <w:lang w:val="pt-BR"/>
        </w:rPr>
        <w:t xml:space="preserve"> às mesm</w:t>
      </w:r>
      <w:r w:rsidR="004756C1" w:rsidRPr="002F50BD">
        <w:rPr>
          <w:rFonts w:ascii="Verdana" w:hAnsi="Verdana"/>
          <w:sz w:val="20"/>
          <w:lang w:val="pt-BR"/>
        </w:rPr>
        <w:t xml:space="preserve">as formalidades </w:t>
      </w:r>
      <w:r w:rsidR="00060B3A" w:rsidRPr="002F50BD">
        <w:rPr>
          <w:rFonts w:ascii="Verdana" w:hAnsi="Verdana"/>
          <w:sz w:val="20"/>
          <w:lang w:val="pt-BR"/>
        </w:rPr>
        <w:t>d</w:t>
      </w:r>
      <w:r w:rsidR="0089298C" w:rsidRPr="002F50BD">
        <w:rPr>
          <w:rFonts w:ascii="Verdana" w:hAnsi="Verdana"/>
          <w:sz w:val="20"/>
          <w:lang w:val="pt-BR"/>
        </w:rPr>
        <w:t>as atuações</w:t>
      </w:r>
      <w:r w:rsidR="004756C1" w:rsidRPr="002F50BD">
        <w:rPr>
          <w:rFonts w:ascii="Verdana" w:hAnsi="Verdana"/>
          <w:sz w:val="20"/>
          <w:lang w:val="pt-BR"/>
        </w:rPr>
        <w:t xml:space="preserve"> </w:t>
      </w:r>
      <w:r w:rsidR="0089298C" w:rsidRPr="002F50BD">
        <w:rPr>
          <w:rFonts w:ascii="Verdana" w:hAnsi="Verdana"/>
          <w:sz w:val="20"/>
          <w:lang w:val="pt-BR"/>
        </w:rPr>
        <w:t>judiciais</w:t>
      </w:r>
      <w:r w:rsidR="004756C1" w:rsidRPr="002F50BD">
        <w:rPr>
          <w:rFonts w:ascii="Verdana" w:hAnsi="Verdana"/>
          <w:b/>
          <w:sz w:val="20"/>
          <w:lang w:val="pt-BR"/>
        </w:rPr>
        <w:t xml:space="preserve"> </w:t>
      </w:r>
      <w:r w:rsidR="004756C1" w:rsidRPr="002F50BD">
        <w:rPr>
          <w:rFonts w:ascii="Verdana" w:hAnsi="Verdana"/>
          <w:sz w:val="20"/>
          <w:lang w:val="pt-BR"/>
        </w:rPr>
        <w:t>internas</w:t>
      </w:r>
      <w:r w:rsidR="0089298C" w:rsidRPr="002F50BD">
        <w:rPr>
          <w:rFonts w:ascii="Verdana" w:hAnsi="Verdana"/>
          <w:sz w:val="20"/>
          <w:lang w:val="pt-BR"/>
        </w:rPr>
        <w:t xml:space="preserve"> e</w:t>
      </w:r>
      <w:r w:rsidR="004756C1" w:rsidRPr="002F50BD">
        <w:rPr>
          <w:rFonts w:ascii="Verdana" w:hAnsi="Verdana"/>
          <w:sz w:val="20"/>
          <w:lang w:val="pt-BR"/>
        </w:rPr>
        <w:t xml:space="preserve"> que</w:t>
      </w:r>
      <w:r w:rsidR="0089298C" w:rsidRPr="002F50BD">
        <w:rPr>
          <w:rFonts w:ascii="Verdana" w:hAnsi="Verdana"/>
          <w:sz w:val="20"/>
          <w:lang w:val="pt-BR"/>
        </w:rPr>
        <w:t xml:space="preserve"> a </w:t>
      </w:r>
      <w:r w:rsidR="004756C1" w:rsidRPr="002F50BD">
        <w:rPr>
          <w:rFonts w:ascii="Verdana" w:hAnsi="Verdana"/>
          <w:sz w:val="20"/>
          <w:lang w:val="pt-BR"/>
        </w:rPr>
        <w:t>incorpora</w:t>
      </w:r>
      <w:r w:rsidR="0089298C" w:rsidRPr="002F50BD">
        <w:rPr>
          <w:rFonts w:ascii="Verdana" w:hAnsi="Verdana"/>
          <w:sz w:val="20"/>
          <w:lang w:val="pt-BR"/>
        </w:rPr>
        <w:t>ção</w:t>
      </w:r>
      <w:r w:rsidR="004756C1" w:rsidRPr="002F50BD">
        <w:rPr>
          <w:rFonts w:ascii="Verdana" w:hAnsi="Verdana"/>
          <w:sz w:val="20"/>
          <w:lang w:val="pt-BR"/>
        </w:rPr>
        <w:t xml:space="preserve"> de determinados elementos</w:t>
      </w:r>
      <w:r w:rsidR="0089298C" w:rsidRPr="002F50BD">
        <w:rPr>
          <w:rFonts w:ascii="Verdana" w:hAnsi="Verdana"/>
          <w:sz w:val="20"/>
          <w:lang w:val="pt-BR"/>
        </w:rPr>
        <w:t xml:space="preserve"> ao </w:t>
      </w:r>
      <w:r w:rsidR="004756C1" w:rsidRPr="002F50BD">
        <w:rPr>
          <w:rFonts w:ascii="Verdana" w:hAnsi="Verdana"/>
          <w:sz w:val="20"/>
          <w:lang w:val="pt-BR"/>
        </w:rPr>
        <w:t xml:space="preserve">acervo </w:t>
      </w:r>
      <w:r w:rsidR="0089298C" w:rsidRPr="002F50BD">
        <w:rPr>
          <w:rFonts w:ascii="Verdana" w:hAnsi="Verdana"/>
          <w:sz w:val="20"/>
          <w:lang w:val="pt-BR"/>
        </w:rPr>
        <w:t xml:space="preserve">probatório deve </w:t>
      </w:r>
      <w:r w:rsidR="004756C1" w:rsidRPr="002F50BD">
        <w:rPr>
          <w:rFonts w:ascii="Verdana" w:hAnsi="Verdana"/>
          <w:sz w:val="20"/>
          <w:lang w:val="pt-BR"/>
        </w:rPr>
        <w:t xml:space="preserve">ser </w:t>
      </w:r>
      <w:r w:rsidR="0089298C" w:rsidRPr="002F50BD">
        <w:rPr>
          <w:rFonts w:ascii="Verdana" w:hAnsi="Verdana"/>
          <w:sz w:val="20"/>
          <w:lang w:val="pt-BR"/>
        </w:rPr>
        <w:t>efetuad</w:t>
      </w:r>
      <w:r w:rsidR="004756C1" w:rsidRPr="002F50BD">
        <w:rPr>
          <w:rFonts w:ascii="Verdana" w:hAnsi="Verdana"/>
          <w:sz w:val="20"/>
          <w:lang w:val="pt-BR"/>
        </w:rPr>
        <w:t xml:space="preserve">a prestando particular </w:t>
      </w:r>
      <w:r w:rsidR="0089298C" w:rsidRPr="002F50BD">
        <w:rPr>
          <w:rFonts w:ascii="Verdana" w:hAnsi="Verdana"/>
          <w:sz w:val="20"/>
          <w:lang w:val="pt-BR"/>
        </w:rPr>
        <w:t>atenção às circunstâncias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caso concreto</w:t>
      </w:r>
      <w:r w:rsidR="0089298C" w:rsidRPr="002F50BD">
        <w:rPr>
          <w:rFonts w:ascii="Verdana" w:hAnsi="Verdana"/>
          <w:sz w:val="20"/>
          <w:lang w:val="pt-BR"/>
        </w:rPr>
        <w:t xml:space="preserve"> e tendo</w:t>
      </w:r>
      <w:r w:rsidR="004756C1" w:rsidRPr="002F50BD">
        <w:rPr>
          <w:rFonts w:ascii="Verdana" w:hAnsi="Verdana"/>
          <w:sz w:val="20"/>
          <w:lang w:val="pt-BR"/>
        </w:rPr>
        <w:t xml:space="preserve"> presentes</w:t>
      </w:r>
      <w:r w:rsidR="0089298C" w:rsidRPr="002F50BD">
        <w:rPr>
          <w:rFonts w:ascii="Verdana" w:hAnsi="Verdana"/>
          <w:sz w:val="20"/>
          <w:lang w:val="pt-BR"/>
        </w:rPr>
        <w:t xml:space="preserve"> os limite</w:t>
      </w:r>
      <w:r w:rsidR="004756C1" w:rsidRPr="002F50BD">
        <w:rPr>
          <w:rFonts w:ascii="Verdana" w:hAnsi="Verdana"/>
          <w:sz w:val="20"/>
          <w:lang w:val="pt-BR"/>
        </w:rPr>
        <w:t xml:space="preserve">s que </w:t>
      </w:r>
      <w:r w:rsidR="004076AD" w:rsidRPr="002F50BD">
        <w:rPr>
          <w:rFonts w:ascii="Verdana" w:hAnsi="Verdana"/>
          <w:sz w:val="20"/>
          <w:lang w:val="pt-BR"/>
        </w:rPr>
        <w:t xml:space="preserve">impõe </w:t>
      </w:r>
      <w:r w:rsidR="0089298C" w:rsidRPr="002F50BD">
        <w:rPr>
          <w:rFonts w:ascii="Verdana" w:hAnsi="Verdana"/>
          <w:sz w:val="20"/>
          <w:lang w:val="pt-BR"/>
        </w:rPr>
        <w:t>o respeito à segurança</w:t>
      </w:r>
      <w:r w:rsidR="004756C1" w:rsidRPr="002F50BD">
        <w:rPr>
          <w:rFonts w:ascii="Verdana" w:hAnsi="Verdana"/>
          <w:sz w:val="20"/>
          <w:lang w:val="pt-BR"/>
        </w:rPr>
        <w:t xml:space="preserve"> jurídica</w:t>
      </w:r>
      <w:r w:rsidR="0089298C" w:rsidRPr="002F50BD">
        <w:rPr>
          <w:rFonts w:ascii="Verdana" w:hAnsi="Verdana"/>
          <w:sz w:val="20"/>
          <w:lang w:val="pt-BR"/>
        </w:rPr>
        <w:t xml:space="preserve"> e ao equilíbrio</w:t>
      </w:r>
      <w:r w:rsidR="004756C1" w:rsidRPr="002F50BD">
        <w:rPr>
          <w:rFonts w:ascii="Verdana" w:hAnsi="Verdana"/>
          <w:sz w:val="20"/>
          <w:lang w:val="pt-BR"/>
        </w:rPr>
        <w:t xml:space="preserve"> </w:t>
      </w:r>
      <w:r w:rsidR="0089298C" w:rsidRPr="002F50BD">
        <w:rPr>
          <w:rFonts w:ascii="Verdana" w:hAnsi="Verdana"/>
          <w:sz w:val="20"/>
          <w:lang w:val="pt-BR"/>
        </w:rPr>
        <w:t xml:space="preserve">processual das </w:t>
      </w:r>
      <w:r w:rsidR="004756C1" w:rsidRPr="002F50BD">
        <w:rPr>
          <w:rFonts w:ascii="Verdana" w:hAnsi="Verdana"/>
          <w:sz w:val="20"/>
          <w:lang w:val="pt-BR"/>
        </w:rPr>
        <w:t xml:space="preserve">partes.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060B3A" w:rsidRPr="002F50BD">
        <w:rPr>
          <w:rFonts w:ascii="Verdana" w:hAnsi="Verdana"/>
          <w:sz w:val="20"/>
          <w:lang w:val="pt-BR"/>
        </w:rPr>
        <w:t>levou</w:t>
      </w:r>
      <w:r w:rsidR="00E46BA3" w:rsidRPr="002F50BD">
        <w:rPr>
          <w:rFonts w:ascii="Verdana" w:hAnsi="Verdana"/>
          <w:sz w:val="20"/>
          <w:lang w:val="pt-BR"/>
        </w:rPr>
        <w:t xml:space="preserve"> </w:t>
      </w:r>
      <w:r w:rsidR="0089298C" w:rsidRPr="002F50BD">
        <w:rPr>
          <w:rFonts w:ascii="Verdana" w:hAnsi="Verdana"/>
          <w:sz w:val="20"/>
          <w:lang w:val="pt-BR"/>
        </w:rPr>
        <w:t xml:space="preserve">em conta </w:t>
      </w:r>
      <w:r w:rsidR="004756C1" w:rsidRPr="002F50BD">
        <w:rPr>
          <w:rFonts w:ascii="Verdana" w:hAnsi="Verdana"/>
          <w:sz w:val="20"/>
          <w:lang w:val="pt-BR"/>
        </w:rPr>
        <w:t>que</w:t>
      </w:r>
      <w:r w:rsidR="0089298C" w:rsidRPr="002F50BD">
        <w:rPr>
          <w:rFonts w:ascii="Verdana" w:hAnsi="Verdana"/>
          <w:sz w:val="20"/>
          <w:lang w:val="pt-BR"/>
        </w:rPr>
        <w:t xml:space="preserve"> a jurisprudência </w:t>
      </w:r>
      <w:r w:rsidR="004756C1" w:rsidRPr="002F50BD">
        <w:rPr>
          <w:rFonts w:ascii="Verdana" w:hAnsi="Verdana"/>
          <w:sz w:val="20"/>
          <w:lang w:val="pt-BR"/>
        </w:rPr>
        <w:t>internacional,</w:t>
      </w:r>
      <w:r w:rsidR="0089298C" w:rsidRPr="002F50BD">
        <w:rPr>
          <w:rFonts w:ascii="Verdana" w:hAnsi="Verdana"/>
          <w:sz w:val="20"/>
          <w:lang w:val="pt-BR"/>
        </w:rPr>
        <w:t xml:space="preserve"> ao </w:t>
      </w:r>
      <w:r w:rsidR="004756C1" w:rsidRPr="002F50BD">
        <w:rPr>
          <w:rFonts w:ascii="Verdana" w:hAnsi="Verdana"/>
          <w:sz w:val="20"/>
          <w:lang w:val="pt-BR"/>
        </w:rPr>
        <w:t>considerar que</w:t>
      </w:r>
      <w:r w:rsidR="0089298C" w:rsidRPr="002F50BD">
        <w:rPr>
          <w:rFonts w:ascii="Verdana" w:hAnsi="Verdana"/>
          <w:sz w:val="20"/>
          <w:lang w:val="pt-BR"/>
        </w:rPr>
        <w:t xml:space="preserve"> os tribunais</w:t>
      </w:r>
      <w:r w:rsidR="004756C1" w:rsidRPr="002F50BD">
        <w:rPr>
          <w:rFonts w:ascii="Verdana" w:hAnsi="Verdana"/>
          <w:sz w:val="20"/>
          <w:lang w:val="pt-BR"/>
        </w:rPr>
        <w:t xml:space="preserve"> </w:t>
      </w:r>
      <w:r w:rsidR="0089298C" w:rsidRPr="002F50BD">
        <w:rPr>
          <w:rFonts w:ascii="Verdana" w:hAnsi="Verdana"/>
          <w:sz w:val="20"/>
          <w:lang w:val="pt-BR"/>
        </w:rPr>
        <w:t>internacionais</w:t>
      </w:r>
      <w:r w:rsidR="004756C1" w:rsidRPr="002F50BD">
        <w:rPr>
          <w:rFonts w:ascii="Verdana" w:hAnsi="Verdana"/>
          <w:sz w:val="20"/>
          <w:lang w:val="pt-BR"/>
        </w:rPr>
        <w:t xml:space="preserve"> </w:t>
      </w:r>
      <w:r w:rsidR="00E46BA3" w:rsidRPr="002F50BD">
        <w:rPr>
          <w:rFonts w:ascii="Verdana" w:hAnsi="Verdana"/>
          <w:sz w:val="20"/>
          <w:lang w:val="pt-BR"/>
        </w:rPr>
        <w:t xml:space="preserve">têm a </w:t>
      </w:r>
      <w:r w:rsidR="0089298C" w:rsidRPr="002F50BD">
        <w:rPr>
          <w:rFonts w:ascii="Verdana" w:hAnsi="Verdana"/>
          <w:sz w:val="20"/>
          <w:lang w:val="pt-BR"/>
        </w:rPr>
        <w:t xml:space="preserve">possibilidade </w:t>
      </w:r>
      <w:r w:rsidR="004756C1" w:rsidRPr="002F50BD">
        <w:rPr>
          <w:rFonts w:ascii="Verdana" w:hAnsi="Verdana"/>
          <w:sz w:val="20"/>
          <w:lang w:val="pt-BR"/>
        </w:rPr>
        <w:t>de</w:t>
      </w:r>
      <w:r w:rsidR="004756C1" w:rsidRPr="002F50BD">
        <w:rPr>
          <w:rFonts w:ascii="Verdana" w:hAnsi="Verdana"/>
          <w:b/>
          <w:sz w:val="20"/>
          <w:lang w:val="pt-BR"/>
        </w:rPr>
        <w:t xml:space="preserve"> </w:t>
      </w:r>
      <w:r w:rsidR="004756C1" w:rsidRPr="002F50BD">
        <w:rPr>
          <w:rFonts w:ascii="Verdana" w:hAnsi="Verdana"/>
          <w:sz w:val="20"/>
          <w:lang w:val="pt-BR"/>
        </w:rPr>
        <w:t>apreciar</w:t>
      </w:r>
      <w:r w:rsidR="0089298C" w:rsidRPr="002F50BD">
        <w:rPr>
          <w:rFonts w:ascii="Verdana" w:hAnsi="Verdana"/>
          <w:sz w:val="20"/>
          <w:lang w:val="pt-BR"/>
        </w:rPr>
        <w:t xml:space="preserve"> e </w:t>
      </w:r>
      <w:r w:rsidR="004756C1" w:rsidRPr="002F50BD">
        <w:rPr>
          <w:rFonts w:ascii="Verdana" w:hAnsi="Verdana"/>
          <w:sz w:val="20"/>
          <w:lang w:val="pt-BR"/>
        </w:rPr>
        <w:t>valorar</w:t>
      </w:r>
      <w:r w:rsidR="0089298C" w:rsidRPr="002F50BD">
        <w:rPr>
          <w:rFonts w:ascii="Verdana" w:hAnsi="Verdana"/>
          <w:sz w:val="20"/>
          <w:lang w:val="pt-BR"/>
        </w:rPr>
        <w:t xml:space="preserve"> as prova</w:t>
      </w:r>
      <w:r w:rsidR="004756C1" w:rsidRPr="002F50BD">
        <w:rPr>
          <w:rFonts w:ascii="Verdana" w:hAnsi="Verdana"/>
          <w:sz w:val="20"/>
          <w:lang w:val="pt-BR"/>
        </w:rPr>
        <w:t xml:space="preserve">s </w:t>
      </w:r>
      <w:r w:rsidR="0089298C" w:rsidRPr="002F50BD">
        <w:rPr>
          <w:rFonts w:ascii="Verdana" w:hAnsi="Verdana"/>
          <w:sz w:val="20"/>
          <w:lang w:val="pt-BR"/>
        </w:rPr>
        <w:t>segundo as regras da crítica sã</w:t>
      </w:r>
      <w:r w:rsidR="004756C1" w:rsidRPr="002F50BD">
        <w:rPr>
          <w:rFonts w:ascii="Verdana" w:hAnsi="Verdana"/>
          <w:sz w:val="20"/>
          <w:lang w:val="pt-BR"/>
        </w:rPr>
        <w:t>, n</w:t>
      </w:r>
      <w:r w:rsidR="00E46BA3"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estabeleceu uma </w:t>
      </w:r>
      <w:r w:rsidR="004756C1" w:rsidRPr="002F50BD">
        <w:rPr>
          <w:rFonts w:ascii="Verdana" w:hAnsi="Verdana"/>
          <w:sz w:val="20"/>
          <w:lang w:val="pt-BR"/>
        </w:rPr>
        <w:t>determina</w:t>
      </w:r>
      <w:r w:rsidR="0089298C" w:rsidRPr="002F50BD">
        <w:rPr>
          <w:rFonts w:ascii="Verdana" w:hAnsi="Verdana"/>
          <w:sz w:val="20"/>
          <w:lang w:val="pt-BR"/>
        </w:rPr>
        <w:t>ção</w:t>
      </w:r>
      <w:r w:rsidR="004756C1" w:rsidRPr="002F50BD">
        <w:rPr>
          <w:rFonts w:ascii="Verdana" w:hAnsi="Verdana"/>
          <w:sz w:val="20"/>
          <w:lang w:val="pt-BR"/>
        </w:rPr>
        <w:t xml:space="preserve"> </w:t>
      </w:r>
      <w:r w:rsidR="00E46BA3" w:rsidRPr="002F50BD">
        <w:rPr>
          <w:rFonts w:ascii="Verdana" w:hAnsi="Verdana"/>
          <w:sz w:val="20"/>
          <w:lang w:val="pt-BR"/>
        </w:rPr>
        <w:t xml:space="preserve">rígida </w:t>
      </w:r>
      <w:r w:rsidR="0089298C" w:rsidRPr="002F50BD">
        <w:rPr>
          <w:rFonts w:ascii="Verdana" w:hAnsi="Verdana"/>
          <w:sz w:val="20"/>
          <w:lang w:val="pt-BR"/>
        </w:rPr>
        <w:t xml:space="preserve">do </w:t>
      </w:r>
      <w:r w:rsidR="004756C1" w:rsidRPr="002F50BD">
        <w:rPr>
          <w:rFonts w:ascii="Verdana" w:hAnsi="Verdana"/>
          <w:i/>
          <w:sz w:val="20"/>
          <w:lang w:val="pt-BR"/>
        </w:rPr>
        <w:t>quantum</w:t>
      </w:r>
      <w:r w:rsidR="0089298C" w:rsidRPr="002F50BD">
        <w:rPr>
          <w:rFonts w:ascii="Verdana" w:hAnsi="Verdana"/>
          <w:sz w:val="20"/>
          <w:lang w:val="pt-BR"/>
        </w:rPr>
        <w:t xml:space="preserve"> da prova</w:t>
      </w:r>
      <w:r w:rsidR="004756C1" w:rsidRPr="002F50BD">
        <w:rPr>
          <w:rFonts w:ascii="Verdana" w:hAnsi="Verdana"/>
          <w:sz w:val="20"/>
          <w:lang w:val="pt-BR"/>
        </w:rPr>
        <w:t xml:space="preserve"> </w:t>
      </w:r>
      <w:r w:rsidR="0089298C" w:rsidRPr="002F50BD">
        <w:rPr>
          <w:rFonts w:ascii="Verdana" w:hAnsi="Verdana"/>
          <w:sz w:val="20"/>
          <w:lang w:val="pt-BR"/>
        </w:rPr>
        <w:t>necessári</w:t>
      </w:r>
      <w:r w:rsidR="004756C1" w:rsidRPr="002F50BD">
        <w:rPr>
          <w:rFonts w:ascii="Verdana" w:hAnsi="Verdana"/>
          <w:sz w:val="20"/>
          <w:lang w:val="pt-BR"/>
        </w:rPr>
        <w:t>a para funda</w:t>
      </w:r>
      <w:r w:rsidR="00E84553" w:rsidRPr="002F50BD">
        <w:rPr>
          <w:rFonts w:ascii="Verdana" w:hAnsi="Verdana"/>
          <w:sz w:val="20"/>
          <w:lang w:val="pt-BR"/>
        </w:rPr>
        <w:t>menta</w:t>
      </w:r>
      <w:r w:rsidR="004756C1" w:rsidRPr="002F50BD">
        <w:rPr>
          <w:rFonts w:ascii="Verdana" w:hAnsi="Verdana"/>
          <w:sz w:val="20"/>
          <w:lang w:val="pt-BR"/>
        </w:rPr>
        <w:t>r</w:t>
      </w:r>
      <w:r w:rsidR="0089298C" w:rsidRPr="002F50BD">
        <w:rPr>
          <w:rFonts w:ascii="Verdana" w:hAnsi="Verdana"/>
          <w:sz w:val="20"/>
          <w:lang w:val="pt-BR"/>
        </w:rPr>
        <w:t xml:space="preserve"> um</w:t>
      </w:r>
      <w:r w:rsidR="00E46BA3" w:rsidRPr="002F50BD">
        <w:rPr>
          <w:rFonts w:ascii="Verdana" w:hAnsi="Verdana"/>
          <w:sz w:val="20"/>
          <w:lang w:val="pt-BR"/>
        </w:rPr>
        <w:t>a</w:t>
      </w:r>
      <w:r w:rsidR="0089298C" w:rsidRPr="002F50BD">
        <w:rPr>
          <w:rFonts w:ascii="Verdana" w:hAnsi="Verdana"/>
          <w:sz w:val="20"/>
          <w:lang w:val="pt-BR"/>
        </w:rPr>
        <w:t xml:space="preserve"> decisão</w:t>
      </w:r>
      <w:r w:rsidR="004756C1" w:rsidRPr="002F50BD">
        <w:rPr>
          <w:rFonts w:ascii="Verdana" w:hAnsi="Verdana"/>
          <w:sz w:val="20"/>
          <w:lang w:val="pt-BR"/>
        </w:rPr>
        <w:t xml:space="preserve">. Este </w:t>
      </w:r>
      <w:r w:rsidR="0089298C" w:rsidRPr="002F50BD">
        <w:rPr>
          <w:rFonts w:ascii="Verdana" w:hAnsi="Verdana"/>
          <w:sz w:val="20"/>
          <w:lang w:val="pt-BR"/>
        </w:rPr>
        <w:t xml:space="preserve">critério é </w:t>
      </w:r>
      <w:r w:rsidR="004756C1" w:rsidRPr="002F50BD">
        <w:rPr>
          <w:rFonts w:ascii="Verdana" w:hAnsi="Verdana"/>
          <w:sz w:val="20"/>
          <w:lang w:val="pt-BR"/>
        </w:rPr>
        <w:t>válido para</w:t>
      </w:r>
      <w:r w:rsidR="0089298C" w:rsidRPr="002F50BD">
        <w:rPr>
          <w:rFonts w:ascii="Verdana" w:hAnsi="Verdana"/>
          <w:sz w:val="20"/>
          <w:lang w:val="pt-BR"/>
        </w:rPr>
        <w:t xml:space="preserve"> os tribunais</w:t>
      </w:r>
      <w:r w:rsidR="004756C1" w:rsidRPr="002F50BD">
        <w:rPr>
          <w:rFonts w:ascii="Verdana" w:hAnsi="Verdana"/>
          <w:sz w:val="20"/>
          <w:lang w:val="pt-BR"/>
        </w:rPr>
        <w:t xml:space="preserve"> </w:t>
      </w:r>
      <w:r w:rsidR="0089298C" w:rsidRPr="002F50BD">
        <w:rPr>
          <w:rFonts w:ascii="Verdana" w:hAnsi="Verdana"/>
          <w:sz w:val="20"/>
          <w:lang w:val="pt-BR"/>
        </w:rPr>
        <w:t>internacionais</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 xml:space="preserve">s humanos, que </w:t>
      </w:r>
      <w:r w:rsidR="0089298C" w:rsidRPr="002F50BD">
        <w:rPr>
          <w:rFonts w:ascii="Verdana" w:hAnsi="Verdana"/>
          <w:sz w:val="20"/>
          <w:lang w:val="pt-BR"/>
        </w:rPr>
        <w:t>dispõe</w:t>
      </w:r>
      <w:r w:rsidR="00E46BA3" w:rsidRPr="002F50BD">
        <w:rPr>
          <w:rFonts w:ascii="Verdana" w:hAnsi="Verdana"/>
          <w:sz w:val="20"/>
          <w:lang w:val="pt-BR"/>
        </w:rPr>
        <w:t>m</w:t>
      </w:r>
      <w:r w:rsidR="004756C1" w:rsidRPr="002F50BD">
        <w:rPr>
          <w:rFonts w:ascii="Verdana" w:hAnsi="Verdana"/>
          <w:sz w:val="20"/>
          <w:lang w:val="pt-BR"/>
        </w:rPr>
        <w:t xml:space="preserve"> de </w:t>
      </w:r>
      <w:r w:rsidR="0089298C" w:rsidRPr="002F50BD">
        <w:rPr>
          <w:rFonts w:ascii="Verdana" w:hAnsi="Verdana"/>
          <w:sz w:val="20"/>
          <w:lang w:val="pt-BR"/>
        </w:rPr>
        <w:t>ampla</w:t>
      </w:r>
      <w:r w:rsidR="004756C1" w:rsidRPr="002F50BD">
        <w:rPr>
          <w:rFonts w:ascii="Verdana" w:hAnsi="Verdana"/>
          <w:sz w:val="20"/>
          <w:lang w:val="pt-BR"/>
        </w:rPr>
        <w:t xml:space="preserve">s </w:t>
      </w:r>
      <w:r w:rsidR="0089298C" w:rsidRPr="002F50BD">
        <w:rPr>
          <w:rFonts w:ascii="Verdana" w:hAnsi="Verdana"/>
          <w:sz w:val="20"/>
          <w:lang w:val="pt-BR"/>
        </w:rPr>
        <w:t xml:space="preserve">faculdades na </w:t>
      </w:r>
      <w:r w:rsidR="006C4368" w:rsidRPr="002F50BD">
        <w:rPr>
          <w:rFonts w:ascii="Verdana" w:hAnsi="Verdana"/>
          <w:sz w:val="20"/>
          <w:lang w:val="pt-BR"/>
        </w:rPr>
        <w:t>aprecia</w:t>
      </w:r>
      <w:r w:rsidR="0089298C" w:rsidRPr="002F50BD">
        <w:rPr>
          <w:rFonts w:ascii="Verdana" w:hAnsi="Verdana"/>
          <w:sz w:val="20"/>
          <w:lang w:val="pt-BR"/>
        </w:rPr>
        <w:t xml:space="preserve">ção da prova </w:t>
      </w:r>
      <w:r w:rsidR="00FB76B4" w:rsidRPr="002F50BD">
        <w:rPr>
          <w:rFonts w:ascii="Verdana" w:hAnsi="Verdana"/>
          <w:sz w:val="20"/>
          <w:lang w:val="pt-BR"/>
        </w:rPr>
        <w:t xml:space="preserve">perante eles </w:t>
      </w:r>
      <w:r w:rsidR="0089298C" w:rsidRPr="002F50BD">
        <w:rPr>
          <w:rFonts w:ascii="Verdana" w:hAnsi="Verdana"/>
          <w:sz w:val="20"/>
          <w:lang w:val="pt-BR"/>
        </w:rPr>
        <w:t>oferecida</w:t>
      </w:r>
      <w:r w:rsidR="004756C1" w:rsidRPr="002F50BD">
        <w:rPr>
          <w:rFonts w:ascii="Verdana" w:hAnsi="Verdana"/>
          <w:sz w:val="20"/>
          <w:lang w:val="pt-BR"/>
        </w:rPr>
        <w:t xml:space="preserve"> sobre</w:t>
      </w:r>
      <w:r w:rsidR="0089298C" w:rsidRPr="002F50BD">
        <w:rPr>
          <w:rFonts w:ascii="Verdana" w:hAnsi="Verdana"/>
          <w:sz w:val="20"/>
          <w:lang w:val="pt-BR"/>
        </w:rPr>
        <w:t xml:space="preserve"> os fatos</w:t>
      </w:r>
      <w:r w:rsidR="004756C1" w:rsidRPr="002F50BD">
        <w:rPr>
          <w:rFonts w:ascii="Verdana" w:hAnsi="Verdana"/>
          <w:sz w:val="20"/>
          <w:lang w:val="pt-BR"/>
        </w:rPr>
        <w:t xml:space="preserve"> pertinentes, de </w:t>
      </w:r>
      <w:r w:rsidR="0089298C" w:rsidRPr="002F50BD">
        <w:rPr>
          <w:rFonts w:ascii="Verdana" w:hAnsi="Verdana"/>
          <w:sz w:val="20"/>
          <w:lang w:val="pt-BR"/>
        </w:rPr>
        <w:t xml:space="preserve">acordo com as regras da </w:t>
      </w:r>
      <w:r w:rsidR="004756C1" w:rsidRPr="002F50BD">
        <w:rPr>
          <w:rFonts w:ascii="Verdana" w:hAnsi="Verdana"/>
          <w:sz w:val="20"/>
          <w:lang w:val="pt-BR"/>
        </w:rPr>
        <w:t>lógica</w:t>
      </w:r>
      <w:r w:rsidR="0089298C" w:rsidRPr="002F50BD">
        <w:rPr>
          <w:rFonts w:ascii="Verdana" w:hAnsi="Verdana"/>
          <w:sz w:val="20"/>
          <w:lang w:val="pt-BR"/>
        </w:rPr>
        <w:t xml:space="preserve"> e com </w:t>
      </w:r>
      <w:r w:rsidR="004756C1" w:rsidRPr="002F50BD">
        <w:rPr>
          <w:rFonts w:ascii="Verdana" w:hAnsi="Verdana"/>
          <w:sz w:val="20"/>
          <w:lang w:val="pt-BR"/>
        </w:rPr>
        <w:t>base</w:t>
      </w:r>
      <w:r w:rsidR="0089298C" w:rsidRPr="002F50BD">
        <w:rPr>
          <w:rFonts w:ascii="Verdana" w:hAnsi="Verdana"/>
          <w:sz w:val="20"/>
          <w:lang w:val="pt-BR"/>
        </w:rPr>
        <w:t xml:space="preserve"> na experiência</w:t>
      </w:r>
      <w:r w:rsidR="00E46BA3" w:rsidRPr="002F50BD">
        <w:rPr>
          <w:rFonts w:ascii="Verdana" w:hAnsi="Verdana"/>
          <w:sz w:val="20"/>
          <w:lang w:val="pt-BR"/>
        </w:rPr>
        <w:t>.</w:t>
      </w:r>
      <w:r w:rsidR="004756C1" w:rsidRPr="002F50BD">
        <w:rPr>
          <w:rStyle w:val="FootnoteReference"/>
          <w:rFonts w:ascii="Verdana" w:hAnsi="Verdana"/>
        </w:rPr>
        <w:footnoteReference w:id="4"/>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32</w:t>
      </w:r>
      <w:r w:rsidR="00E46BA3" w:rsidRPr="002F50BD">
        <w:rPr>
          <w:rFonts w:ascii="Verdana" w:hAnsi="Verdana"/>
          <w:sz w:val="20"/>
          <w:lang w:val="pt-BR"/>
        </w:rPr>
        <w:t>.</w:t>
      </w:r>
      <w:r w:rsidR="00E46BA3" w:rsidRPr="002F50BD">
        <w:rPr>
          <w:rFonts w:ascii="Verdana" w:hAnsi="Verdana"/>
          <w:sz w:val="20"/>
          <w:lang w:val="pt-BR"/>
        </w:rPr>
        <w:tab/>
        <w:t>Com</w:t>
      </w:r>
      <w:r w:rsidR="004756C1" w:rsidRPr="002F50BD">
        <w:rPr>
          <w:rFonts w:ascii="Verdana" w:hAnsi="Verdana"/>
          <w:sz w:val="20"/>
          <w:lang w:val="pt-BR"/>
        </w:rPr>
        <w:t xml:space="preserve"> fundamento</w:t>
      </w:r>
      <w:r w:rsidR="0089298C" w:rsidRPr="002F50BD">
        <w:rPr>
          <w:rFonts w:ascii="Verdana" w:hAnsi="Verdana"/>
          <w:sz w:val="20"/>
          <w:lang w:val="pt-BR"/>
        </w:rPr>
        <w:t xml:space="preserve"> </w:t>
      </w:r>
      <w:r w:rsidR="00E46BA3" w:rsidRPr="002F50BD">
        <w:rPr>
          <w:rFonts w:ascii="Verdana" w:hAnsi="Verdana"/>
          <w:sz w:val="20"/>
          <w:lang w:val="pt-BR"/>
        </w:rPr>
        <w:t xml:space="preserve">no </w:t>
      </w:r>
      <w:r w:rsidR="004756C1" w:rsidRPr="002F50BD">
        <w:rPr>
          <w:rFonts w:ascii="Verdana" w:hAnsi="Verdana"/>
          <w:sz w:val="20"/>
          <w:lang w:val="pt-BR"/>
        </w:rPr>
        <w:t>anterior</w:t>
      </w:r>
      <w:r w:rsidR="00060B3A" w:rsidRPr="002F50BD">
        <w:rPr>
          <w:rFonts w:ascii="Verdana" w:hAnsi="Verdana"/>
          <w:sz w:val="20"/>
          <w:lang w:val="pt-BR"/>
        </w:rPr>
        <w:t>mente exposto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procederá a examinar</w:t>
      </w:r>
      <w:r w:rsidR="0089298C" w:rsidRPr="002F50BD">
        <w:rPr>
          <w:rFonts w:ascii="Verdana" w:hAnsi="Verdana"/>
          <w:sz w:val="20"/>
          <w:lang w:val="pt-BR"/>
        </w:rPr>
        <w:t xml:space="preserve"> e </w:t>
      </w:r>
      <w:r w:rsidR="006C4368" w:rsidRPr="002F50BD">
        <w:rPr>
          <w:rFonts w:ascii="Verdana" w:hAnsi="Verdana"/>
          <w:sz w:val="20"/>
          <w:lang w:val="pt-BR"/>
        </w:rPr>
        <w:t>aprecia</w:t>
      </w:r>
      <w:r w:rsidR="004756C1" w:rsidRPr="002F50BD">
        <w:rPr>
          <w:rFonts w:ascii="Verdana" w:hAnsi="Verdana"/>
          <w:sz w:val="20"/>
          <w:lang w:val="pt-BR"/>
        </w:rPr>
        <w:t>r</w:t>
      </w:r>
      <w:r w:rsidR="0089298C" w:rsidRPr="002F50BD">
        <w:rPr>
          <w:rFonts w:ascii="Verdana" w:hAnsi="Verdana"/>
          <w:sz w:val="20"/>
          <w:lang w:val="pt-BR"/>
        </w:rPr>
        <w:t xml:space="preserve"> os </w:t>
      </w:r>
      <w:r w:rsidR="004756C1" w:rsidRPr="002F50BD">
        <w:rPr>
          <w:rFonts w:ascii="Verdana" w:hAnsi="Verdana"/>
          <w:sz w:val="20"/>
          <w:lang w:val="pt-BR"/>
        </w:rPr>
        <w:t xml:space="preserve">elementos </w:t>
      </w:r>
      <w:r w:rsidR="0089298C" w:rsidRPr="002F50BD">
        <w:rPr>
          <w:rFonts w:ascii="Verdana" w:hAnsi="Verdana"/>
          <w:sz w:val="20"/>
          <w:lang w:val="pt-BR"/>
        </w:rPr>
        <w:t>probatório</w:t>
      </w:r>
      <w:r w:rsidR="004756C1" w:rsidRPr="002F50BD">
        <w:rPr>
          <w:rFonts w:ascii="Verdana" w:hAnsi="Verdana"/>
          <w:sz w:val="20"/>
          <w:lang w:val="pt-BR"/>
        </w:rPr>
        <w:t>s</w:t>
      </w:r>
      <w:r w:rsidR="004756C1" w:rsidRPr="002F50BD">
        <w:rPr>
          <w:rFonts w:ascii="Verdana" w:hAnsi="Verdana"/>
          <w:b/>
          <w:sz w:val="20"/>
          <w:lang w:val="pt-BR"/>
        </w:rPr>
        <w:t xml:space="preserve"> </w:t>
      </w:r>
      <w:r w:rsidR="0089298C" w:rsidRPr="002F50BD">
        <w:rPr>
          <w:rFonts w:ascii="Verdana" w:hAnsi="Verdana"/>
          <w:sz w:val="20"/>
          <w:lang w:val="pt-BR"/>
        </w:rPr>
        <w:t>documentais</w:t>
      </w:r>
      <w:r w:rsidR="004756C1" w:rsidRPr="002F50BD">
        <w:rPr>
          <w:rFonts w:ascii="Verdana" w:hAnsi="Verdana"/>
          <w:sz w:val="20"/>
          <w:lang w:val="pt-BR"/>
        </w:rPr>
        <w:t xml:space="preserve"> rem</w:t>
      </w:r>
      <w:r w:rsidR="00E46BA3" w:rsidRPr="002F50BD">
        <w:rPr>
          <w:rFonts w:ascii="Verdana" w:hAnsi="Verdana"/>
          <w:sz w:val="20"/>
          <w:lang w:val="pt-BR"/>
        </w:rPr>
        <w:t>e</w:t>
      </w:r>
      <w:r w:rsidR="004756C1" w:rsidRPr="002F50BD">
        <w:rPr>
          <w:rFonts w:ascii="Verdana" w:hAnsi="Verdana"/>
          <w:sz w:val="20"/>
          <w:lang w:val="pt-BR"/>
        </w:rPr>
        <w:t>tidos</w:t>
      </w:r>
      <w:r w:rsidR="0089298C" w:rsidRPr="002F50BD">
        <w:rPr>
          <w:rFonts w:ascii="Verdana" w:hAnsi="Verdana"/>
          <w:sz w:val="20"/>
          <w:lang w:val="pt-BR"/>
        </w:rPr>
        <w:t xml:space="preserve"> pela Comissão</w:t>
      </w:r>
      <w:r w:rsidR="004756C1" w:rsidRPr="002F50BD">
        <w:rPr>
          <w:rFonts w:ascii="Verdana" w:hAnsi="Verdana"/>
          <w:sz w:val="20"/>
          <w:lang w:val="pt-BR"/>
        </w:rPr>
        <w:t>,</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w:t>
      </w:r>
      <w:r w:rsidR="00E46BA3" w:rsidRPr="002F50BD">
        <w:rPr>
          <w:rFonts w:ascii="Verdana" w:hAnsi="Verdana"/>
          <w:sz w:val="20"/>
          <w:lang w:val="pt-BR"/>
        </w:rPr>
        <w:t>pel</w:t>
      </w:r>
      <w:r w:rsidR="0089298C" w:rsidRPr="002F50BD">
        <w:rPr>
          <w:rFonts w:ascii="Verdana" w:hAnsi="Verdana"/>
          <w:sz w:val="20"/>
          <w:lang w:val="pt-BR"/>
        </w:rPr>
        <w:t xml:space="preserve">o </w:t>
      </w:r>
      <w:r w:rsidR="004756C1" w:rsidRPr="002F50BD">
        <w:rPr>
          <w:rFonts w:ascii="Verdana" w:hAnsi="Verdana"/>
          <w:sz w:val="20"/>
          <w:lang w:val="pt-BR"/>
        </w:rPr>
        <w:t>Estado</w:t>
      </w:r>
      <w:r w:rsidR="0089298C" w:rsidRPr="002F50BD">
        <w:rPr>
          <w:rFonts w:ascii="Verdana" w:hAnsi="Verdana"/>
          <w:sz w:val="20"/>
          <w:lang w:val="pt-BR"/>
        </w:rPr>
        <w:t xml:space="preserve"> em </w:t>
      </w:r>
      <w:r w:rsidR="004756C1" w:rsidRPr="002F50BD">
        <w:rPr>
          <w:rFonts w:ascii="Verdana" w:hAnsi="Verdana"/>
          <w:sz w:val="20"/>
          <w:lang w:val="pt-BR"/>
        </w:rPr>
        <w:t xml:space="preserve">diversas oportunidades </w:t>
      </w:r>
      <w:r w:rsidR="0089298C" w:rsidRPr="002F50BD">
        <w:rPr>
          <w:rFonts w:ascii="Verdana" w:hAnsi="Verdana"/>
          <w:sz w:val="20"/>
          <w:lang w:val="pt-BR"/>
        </w:rPr>
        <w:t>processuais</w:t>
      </w:r>
      <w:r w:rsidR="004756C1" w:rsidRPr="002F50BD">
        <w:rPr>
          <w:rFonts w:ascii="Verdana" w:hAnsi="Verdana"/>
          <w:sz w:val="20"/>
          <w:lang w:val="pt-BR"/>
        </w:rPr>
        <w:t xml:space="preserve"> o</w:t>
      </w:r>
      <w:r w:rsidR="00E46BA3" w:rsidRPr="002F50BD">
        <w:rPr>
          <w:rFonts w:ascii="Verdana" w:hAnsi="Verdana"/>
          <w:sz w:val="20"/>
          <w:lang w:val="pt-BR"/>
        </w:rPr>
        <w:t>u</w:t>
      </w:r>
      <w:r w:rsidR="004756C1" w:rsidRPr="002F50BD">
        <w:rPr>
          <w:rFonts w:ascii="Verdana" w:hAnsi="Verdana"/>
          <w:sz w:val="20"/>
          <w:lang w:val="pt-BR"/>
        </w:rPr>
        <w:t xml:space="preserve">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que</w:t>
      </w:r>
      <w:r w:rsidR="0089298C" w:rsidRPr="002F50BD">
        <w:rPr>
          <w:rFonts w:ascii="Verdana" w:hAnsi="Verdana"/>
          <w:sz w:val="20"/>
          <w:lang w:val="pt-BR"/>
        </w:rPr>
        <w:t xml:space="preserve"> lhes foi </w:t>
      </w:r>
      <w:r w:rsidR="004756C1" w:rsidRPr="002F50BD">
        <w:rPr>
          <w:rFonts w:ascii="Verdana" w:hAnsi="Verdana"/>
          <w:sz w:val="20"/>
          <w:lang w:val="pt-BR"/>
        </w:rPr>
        <w:t>solicitada</w:t>
      </w:r>
      <w:r w:rsidR="0089298C" w:rsidRPr="002F50BD">
        <w:rPr>
          <w:rFonts w:ascii="Verdana" w:hAnsi="Verdana"/>
          <w:sz w:val="20"/>
          <w:lang w:val="pt-BR"/>
        </w:rPr>
        <w:t xml:space="preserve"> pelo </w:t>
      </w:r>
      <w:r w:rsidR="004756C1" w:rsidRPr="002F50BD">
        <w:rPr>
          <w:rFonts w:ascii="Verdana" w:hAnsi="Verdana"/>
          <w:sz w:val="20"/>
          <w:lang w:val="pt-BR"/>
        </w:rPr>
        <w:t xml:space="preserve">Tribunal, </w:t>
      </w:r>
      <w:r w:rsidR="00313394"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a prova</w:t>
      </w:r>
      <w:r w:rsidR="004756C1" w:rsidRPr="002F50BD">
        <w:rPr>
          <w:rFonts w:ascii="Verdana" w:hAnsi="Verdana"/>
          <w:sz w:val="20"/>
          <w:lang w:val="pt-BR"/>
        </w:rPr>
        <w:t xml:space="preserve"> pericial</w:t>
      </w:r>
      <w:r w:rsidR="0089298C" w:rsidRPr="002F50BD">
        <w:rPr>
          <w:rFonts w:ascii="Verdana" w:hAnsi="Verdana"/>
          <w:sz w:val="20"/>
          <w:lang w:val="pt-BR"/>
        </w:rPr>
        <w:t xml:space="preserve"> e testemunhal oferecida perante a </w:t>
      </w:r>
      <w:r w:rsidR="004756C1" w:rsidRPr="002F50BD">
        <w:rPr>
          <w:rFonts w:ascii="Verdana" w:hAnsi="Verdana"/>
          <w:sz w:val="20"/>
          <w:lang w:val="pt-BR"/>
        </w:rPr>
        <w:t>Corte durante</w:t>
      </w:r>
      <w:r w:rsidR="0089298C" w:rsidRPr="002F50BD">
        <w:rPr>
          <w:rFonts w:ascii="Verdana" w:hAnsi="Verdana"/>
          <w:sz w:val="20"/>
          <w:lang w:val="pt-BR"/>
        </w:rPr>
        <w:t xml:space="preserve"> a audiência</w:t>
      </w:r>
      <w:r w:rsidR="004756C1" w:rsidRPr="002F50BD">
        <w:rPr>
          <w:rFonts w:ascii="Verdana" w:hAnsi="Verdana"/>
          <w:sz w:val="20"/>
          <w:lang w:val="pt-BR"/>
        </w:rPr>
        <w:t xml:space="preserve"> pública, t</w:t>
      </w:r>
      <w:r w:rsidR="00313394" w:rsidRPr="002F50BD">
        <w:rPr>
          <w:rFonts w:ascii="Verdana" w:hAnsi="Verdana"/>
          <w:sz w:val="20"/>
          <w:lang w:val="pt-BR"/>
        </w:rPr>
        <w:t>u</w:t>
      </w:r>
      <w:r w:rsidR="004756C1" w:rsidRPr="002F50BD">
        <w:rPr>
          <w:rFonts w:ascii="Verdana" w:hAnsi="Verdana"/>
          <w:sz w:val="20"/>
          <w:lang w:val="pt-BR"/>
        </w:rPr>
        <w:t xml:space="preserve">do </w:t>
      </w:r>
      <w:r w:rsidR="00F2473F" w:rsidRPr="002F50BD">
        <w:rPr>
          <w:rFonts w:ascii="Verdana" w:hAnsi="Verdana"/>
          <w:sz w:val="20"/>
          <w:lang w:val="pt-BR"/>
        </w:rPr>
        <w:t>aquil</w:t>
      </w:r>
      <w:r w:rsidR="004756C1" w:rsidRPr="002F50BD">
        <w:rPr>
          <w:rFonts w:ascii="Verdana" w:hAnsi="Verdana"/>
          <w:sz w:val="20"/>
          <w:lang w:val="pt-BR"/>
        </w:rPr>
        <w:t xml:space="preserve">o </w:t>
      </w:r>
      <w:r w:rsidR="0089298C" w:rsidRPr="002F50BD">
        <w:rPr>
          <w:rFonts w:ascii="Verdana" w:hAnsi="Verdana"/>
          <w:sz w:val="20"/>
          <w:lang w:val="pt-BR"/>
        </w:rPr>
        <w:t>qu</w:t>
      </w:r>
      <w:r w:rsidR="00313394"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conforma</w:t>
      </w:r>
      <w:r w:rsidR="0089298C" w:rsidRPr="002F50BD">
        <w:rPr>
          <w:rFonts w:ascii="Verdana" w:hAnsi="Verdana"/>
          <w:sz w:val="20"/>
          <w:lang w:val="pt-BR"/>
        </w:rPr>
        <w:t xml:space="preserve"> o </w:t>
      </w:r>
      <w:r w:rsidR="004756C1" w:rsidRPr="002F50BD">
        <w:rPr>
          <w:rFonts w:ascii="Verdana" w:hAnsi="Verdana"/>
          <w:sz w:val="20"/>
          <w:lang w:val="pt-BR"/>
        </w:rPr>
        <w:t xml:space="preserve">acervo </w:t>
      </w:r>
      <w:r w:rsidR="0089298C" w:rsidRPr="002F50BD">
        <w:rPr>
          <w:rFonts w:ascii="Verdana" w:hAnsi="Verdana"/>
          <w:sz w:val="20"/>
          <w:lang w:val="pt-BR"/>
        </w:rPr>
        <w:t>probatório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presente caso.</w:t>
      </w:r>
      <w:r w:rsidR="00FE08B7">
        <w:rPr>
          <w:rFonts w:ascii="Verdana" w:hAnsi="Verdana"/>
          <w:b/>
          <w:sz w:val="20"/>
          <w:lang w:val="pt-BR"/>
        </w:rPr>
        <w:t xml:space="preserve"> </w:t>
      </w:r>
      <w:r w:rsidR="004756C1" w:rsidRPr="002F50BD">
        <w:rPr>
          <w:rFonts w:ascii="Verdana" w:hAnsi="Verdana"/>
          <w:sz w:val="20"/>
          <w:lang w:val="pt-BR"/>
        </w:rPr>
        <w:t>Para</w:t>
      </w:r>
      <w:r w:rsidR="0089298C" w:rsidRPr="002F50BD">
        <w:rPr>
          <w:rFonts w:ascii="Verdana" w:hAnsi="Verdana"/>
          <w:sz w:val="20"/>
          <w:lang w:val="pt-BR"/>
        </w:rPr>
        <w:t xml:space="preserve"> </w:t>
      </w:r>
      <w:r w:rsidR="00313394" w:rsidRPr="002F50BD">
        <w:rPr>
          <w:rFonts w:ascii="Verdana" w:hAnsi="Verdana"/>
          <w:sz w:val="20"/>
          <w:lang w:val="pt-BR"/>
        </w:rPr>
        <w:t xml:space="preserve">tanto, </w:t>
      </w:r>
      <w:r w:rsidR="0089298C" w:rsidRPr="002F50BD">
        <w:rPr>
          <w:rFonts w:ascii="Verdana" w:hAnsi="Verdana"/>
          <w:sz w:val="20"/>
          <w:lang w:val="pt-BR"/>
        </w:rPr>
        <w:t xml:space="preserve">o </w:t>
      </w:r>
      <w:r w:rsidR="004756C1" w:rsidRPr="002F50BD">
        <w:rPr>
          <w:rFonts w:ascii="Verdana" w:hAnsi="Verdana"/>
          <w:sz w:val="20"/>
          <w:lang w:val="pt-BR"/>
        </w:rPr>
        <w:t>Tribunal se a</w:t>
      </w:r>
      <w:r w:rsidR="0089298C" w:rsidRPr="002F50BD">
        <w:rPr>
          <w:rFonts w:ascii="Verdana" w:hAnsi="Verdana"/>
          <w:sz w:val="20"/>
          <w:lang w:val="pt-BR"/>
        </w:rPr>
        <w:t>terá aos princípio</w:t>
      </w:r>
      <w:r w:rsidR="004756C1" w:rsidRPr="002F50BD">
        <w:rPr>
          <w:rFonts w:ascii="Verdana" w:hAnsi="Verdana"/>
          <w:sz w:val="20"/>
          <w:lang w:val="pt-BR"/>
        </w:rPr>
        <w:t>s</w:t>
      </w:r>
      <w:r w:rsidR="0089298C" w:rsidRPr="002F50BD">
        <w:rPr>
          <w:rFonts w:ascii="Verdana" w:hAnsi="Verdana"/>
          <w:sz w:val="20"/>
          <w:lang w:val="pt-BR"/>
        </w:rPr>
        <w:t xml:space="preserve"> da crítica sã</w:t>
      </w:r>
      <w:r w:rsidR="004756C1" w:rsidRPr="002F50BD">
        <w:rPr>
          <w:rFonts w:ascii="Verdana" w:hAnsi="Verdana"/>
          <w:sz w:val="20"/>
          <w:lang w:val="pt-BR"/>
        </w:rPr>
        <w:t xml:space="preserve">, dentro </w:t>
      </w:r>
      <w:r w:rsidR="0089298C" w:rsidRPr="002F50BD">
        <w:rPr>
          <w:rFonts w:ascii="Verdana" w:hAnsi="Verdana"/>
          <w:sz w:val="20"/>
          <w:lang w:val="pt-BR"/>
        </w:rPr>
        <w:t xml:space="preserve">do </w:t>
      </w:r>
      <w:r w:rsidR="004756C1" w:rsidRPr="002F50BD">
        <w:rPr>
          <w:rFonts w:ascii="Verdana" w:hAnsi="Verdana"/>
          <w:sz w:val="20"/>
          <w:lang w:val="pt-BR"/>
        </w:rPr>
        <w:t xml:space="preserve">marco legal </w:t>
      </w:r>
      <w:r w:rsidR="0089298C" w:rsidRPr="002F50BD">
        <w:rPr>
          <w:rFonts w:ascii="Verdana" w:hAnsi="Verdana"/>
          <w:sz w:val="20"/>
          <w:lang w:val="pt-BR"/>
        </w:rPr>
        <w:t>correspondente</w:t>
      </w:r>
      <w:r w:rsidR="004756C1" w:rsidRPr="002F50BD">
        <w:rPr>
          <w:rFonts w:ascii="Verdana" w:hAnsi="Verdana"/>
          <w:sz w:val="20"/>
          <w:lang w:val="pt-BR"/>
        </w:rPr>
        <w:t xml:space="preserve">. </w:t>
      </w:r>
    </w:p>
    <w:p w:rsidR="004756C1" w:rsidRPr="002F50BD" w:rsidRDefault="004756C1">
      <w:pPr>
        <w:rPr>
          <w:rFonts w:ascii="Verdana" w:hAnsi="Verdana"/>
          <w:sz w:val="20"/>
          <w:lang w:val="pt-BR"/>
        </w:rPr>
      </w:pPr>
    </w:p>
    <w:p w:rsidR="004756C1" w:rsidRPr="002F50BD" w:rsidRDefault="004756C1">
      <w:pPr>
        <w:pStyle w:val="Heading4"/>
        <w:spacing w:line="240" w:lineRule="auto"/>
        <w:rPr>
          <w:b w:val="0"/>
          <w:i/>
          <w:lang w:val="pt-BR"/>
        </w:rPr>
      </w:pPr>
      <w:r w:rsidRPr="002F50BD">
        <w:rPr>
          <w:b w:val="0"/>
          <w:i/>
          <w:lang w:val="pt-BR"/>
        </w:rPr>
        <w:lastRenderedPageBreak/>
        <w:t>A</w:t>
      </w:r>
      <w:r w:rsidR="00CF451D" w:rsidRPr="00CF451D">
        <w:rPr>
          <w:b w:val="0"/>
          <w:lang w:val="pt-BR"/>
        </w:rPr>
        <w:t>)</w:t>
      </w:r>
      <w:r w:rsidRPr="002F50BD">
        <w:rPr>
          <w:b w:val="0"/>
          <w:i/>
          <w:lang w:val="pt-BR"/>
        </w:rPr>
        <w:tab/>
      </w:r>
      <w:r w:rsidR="0089298C" w:rsidRPr="002F50BD">
        <w:rPr>
          <w:b w:val="0"/>
          <w:i/>
          <w:lang w:val="pt-BR"/>
        </w:rPr>
        <w:t>Prova</w:t>
      </w:r>
      <w:r w:rsidRPr="002F50BD">
        <w:rPr>
          <w:b w:val="0"/>
          <w:i/>
          <w:lang w:val="pt-BR"/>
        </w:rPr>
        <w:t xml:space="preserve"> documental </w:t>
      </w:r>
    </w:p>
    <w:p w:rsidR="004756C1" w:rsidRPr="002F50BD" w:rsidRDefault="004756C1">
      <w:pPr>
        <w:jc w:val="both"/>
        <w:rPr>
          <w:rFonts w:ascii="Verdana" w:hAnsi="Verdana"/>
          <w:b/>
          <w:smallCaps/>
          <w:sz w:val="20"/>
          <w:lang w:val="pt-BR"/>
        </w:rPr>
      </w:pPr>
    </w:p>
    <w:p w:rsidR="004756C1" w:rsidRPr="002F50BD" w:rsidRDefault="00063B47">
      <w:pPr>
        <w:widowControl w:val="0"/>
        <w:jc w:val="both"/>
        <w:rPr>
          <w:rFonts w:ascii="Verdana" w:hAnsi="Verdana"/>
          <w:i/>
          <w:sz w:val="20"/>
          <w:lang w:val="pt-BR"/>
        </w:rPr>
      </w:pPr>
      <w:r w:rsidRPr="002F50BD">
        <w:rPr>
          <w:rFonts w:ascii="Verdana" w:hAnsi="Verdana"/>
          <w:sz w:val="20"/>
          <w:lang w:val="pt-BR"/>
        </w:rPr>
        <w:t>33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A Comissão</w:t>
      </w:r>
      <w:r w:rsidR="004756C1" w:rsidRPr="002F50BD">
        <w:rPr>
          <w:rFonts w:ascii="Verdana" w:hAnsi="Verdana"/>
          <w:sz w:val="20"/>
          <w:lang w:val="pt-BR"/>
        </w:rPr>
        <w:t xml:space="preserve"> Interamericana </w:t>
      </w:r>
      <w:r w:rsidR="00060B3A" w:rsidRPr="002F50BD">
        <w:rPr>
          <w:rFonts w:ascii="Verdana" w:hAnsi="Verdana"/>
          <w:sz w:val="20"/>
          <w:lang w:val="pt-BR"/>
        </w:rPr>
        <w:t>apresentou</w:t>
      </w:r>
      <w:r w:rsidR="00313394" w:rsidRPr="002F50BD">
        <w:rPr>
          <w:rFonts w:ascii="Verdana" w:hAnsi="Verdana"/>
          <w:sz w:val="20"/>
          <w:lang w:val="pt-BR"/>
        </w:rPr>
        <w:t xml:space="preserve"> </w:t>
      </w:r>
      <w:r w:rsidR="0089298C" w:rsidRPr="002F50BD">
        <w:rPr>
          <w:rFonts w:ascii="Verdana" w:hAnsi="Verdana"/>
          <w:sz w:val="20"/>
          <w:lang w:val="pt-BR"/>
        </w:rPr>
        <w:t>prova</w:t>
      </w:r>
      <w:r w:rsidR="004756C1" w:rsidRPr="002F50BD">
        <w:rPr>
          <w:rFonts w:ascii="Verdana" w:hAnsi="Verdana"/>
          <w:sz w:val="20"/>
          <w:lang w:val="pt-BR"/>
        </w:rPr>
        <w:t xml:space="preserve"> documental</w:t>
      </w:r>
      <w:r w:rsidR="0089298C" w:rsidRPr="002F50BD">
        <w:rPr>
          <w:rFonts w:ascii="Verdana" w:hAnsi="Verdana"/>
          <w:sz w:val="20"/>
          <w:lang w:val="pt-BR"/>
        </w:rPr>
        <w:t xml:space="preserve"> ao </w:t>
      </w:r>
      <w:r w:rsidR="00060B3A" w:rsidRPr="002F50BD">
        <w:rPr>
          <w:rFonts w:ascii="Verdana" w:hAnsi="Verdana"/>
          <w:sz w:val="20"/>
          <w:lang w:val="pt-BR"/>
        </w:rPr>
        <w:t>submeter</w:t>
      </w:r>
      <w:r w:rsidR="0089298C" w:rsidRPr="002F50BD">
        <w:rPr>
          <w:rFonts w:ascii="Verdana" w:hAnsi="Verdana"/>
          <w:sz w:val="20"/>
          <w:lang w:val="pt-BR"/>
        </w:rPr>
        <w:t xml:space="preserve"> a </w:t>
      </w:r>
      <w:r w:rsidR="004756C1" w:rsidRPr="002F50BD">
        <w:rPr>
          <w:rFonts w:ascii="Verdana" w:hAnsi="Verdana"/>
          <w:sz w:val="20"/>
          <w:lang w:val="pt-BR"/>
        </w:rPr>
        <w:t xml:space="preserve">demanda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10</w:t>
      </w:r>
      <w:r w:rsidR="00E0019F" w:rsidRPr="002F50BD">
        <w:rPr>
          <w:rFonts w:ascii="Verdana" w:hAnsi="Verdana"/>
          <w:i/>
          <w:sz w:val="20"/>
          <w:lang w:val="pt-BR"/>
        </w:rPr>
        <w:t xml:space="preserve"> supra</w:t>
      </w:r>
      <w:r w:rsidR="00CF451D" w:rsidRPr="00CF451D">
        <w:rPr>
          <w:rFonts w:ascii="Verdana" w:hAnsi="Verdana"/>
          <w:sz w:val="20"/>
          <w:lang w:val="pt-BR"/>
        </w:rPr>
        <w:t>)</w:t>
      </w:r>
      <w:r w:rsidR="00313394" w:rsidRPr="002F50BD">
        <w:rPr>
          <w:rFonts w:ascii="Verdana" w:hAnsi="Verdana"/>
          <w:sz w:val="20"/>
          <w:lang w:val="pt-BR"/>
        </w:rPr>
        <w:t>.</w:t>
      </w:r>
      <w:r w:rsidR="004756C1" w:rsidRPr="002F50BD">
        <w:rPr>
          <w:rStyle w:val="FootnoteReference"/>
          <w:rFonts w:ascii="Verdana" w:hAnsi="Verdana"/>
        </w:rPr>
        <w:footnoteReference w:id="5"/>
      </w:r>
      <w:r w:rsidR="004756C1" w:rsidRPr="002F50BD">
        <w:rPr>
          <w:rFonts w:ascii="Verdana" w:hAnsi="Verdana"/>
          <w:sz w:val="20"/>
          <w:lang w:val="pt-BR"/>
        </w:rPr>
        <w:t xml:space="preserve"> </w:t>
      </w:r>
    </w:p>
    <w:p w:rsidR="004756C1" w:rsidRPr="002F50BD" w:rsidRDefault="004756C1">
      <w:pPr>
        <w:widowControl w:val="0"/>
        <w:tabs>
          <w:tab w:val="left" w:pos="560"/>
        </w:tabs>
        <w:ind w:right="6"/>
        <w:jc w:val="both"/>
        <w:rPr>
          <w:rFonts w:ascii="Verdana" w:hAnsi="Verdana"/>
          <w:smallCaps/>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34</w:t>
      </w:r>
      <w:r w:rsidR="004756C1" w:rsidRPr="002F50BD">
        <w:rPr>
          <w:rFonts w:ascii="Verdana" w:hAnsi="Verdana"/>
          <w:sz w:val="20"/>
          <w:lang w:val="pt-BR"/>
        </w:rPr>
        <w:t>.</w:t>
      </w:r>
      <w:r w:rsidR="004756C1" w:rsidRPr="002F50BD">
        <w:rPr>
          <w:rFonts w:ascii="Verdana" w:hAnsi="Verdana"/>
          <w:sz w:val="20"/>
          <w:lang w:val="pt-BR"/>
        </w:rPr>
        <w:tab/>
      </w:r>
      <w:r w:rsidR="004076AD" w:rsidRPr="002F50BD">
        <w:rPr>
          <w:rFonts w:ascii="Verdana" w:hAnsi="Verdana"/>
          <w:sz w:val="20"/>
          <w:lang w:val="pt-BR"/>
        </w:rPr>
        <w:t xml:space="preserve">Os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89298C" w:rsidRPr="002F50BD">
        <w:rPr>
          <w:rFonts w:ascii="Verdana" w:hAnsi="Verdana"/>
          <w:sz w:val="20"/>
          <w:lang w:val="pt-BR"/>
        </w:rPr>
        <w:t>apresentaram</w:t>
      </w:r>
      <w:r w:rsidR="004756C1" w:rsidRPr="002F50BD">
        <w:rPr>
          <w:rFonts w:ascii="Verdana" w:hAnsi="Verdana"/>
          <w:sz w:val="20"/>
          <w:lang w:val="pt-BR"/>
        </w:rPr>
        <w:t xml:space="preserve"> </w:t>
      </w:r>
      <w:r w:rsidR="0089298C" w:rsidRPr="002F50BD">
        <w:rPr>
          <w:rFonts w:ascii="Verdana" w:hAnsi="Verdana"/>
          <w:sz w:val="20"/>
          <w:lang w:val="pt-BR"/>
        </w:rPr>
        <w:t>vários</w:t>
      </w:r>
      <w:r w:rsidR="004756C1" w:rsidRPr="002F50BD">
        <w:rPr>
          <w:rFonts w:ascii="Verdana" w:hAnsi="Verdana"/>
          <w:sz w:val="20"/>
          <w:lang w:val="pt-BR"/>
        </w:rPr>
        <w:t xml:space="preserve"> anexos como </w:t>
      </w:r>
      <w:r w:rsidR="0089298C" w:rsidRPr="002F50BD">
        <w:rPr>
          <w:rFonts w:ascii="Verdana" w:hAnsi="Verdana"/>
          <w:sz w:val="20"/>
          <w:lang w:val="pt-BR"/>
        </w:rPr>
        <w:t>prova</w:t>
      </w:r>
      <w:r w:rsidR="00313394" w:rsidRPr="002F50BD">
        <w:rPr>
          <w:rFonts w:ascii="Verdana" w:hAnsi="Verdana"/>
          <w:sz w:val="20"/>
          <w:lang w:val="pt-BR"/>
        </w:rPr>
        <w:t xml:space="preserve"> documental, juntamente com seu </w:t>
      </w:r>
      <w:r w:rsidR="00AB454A" w:rsidRPr="002F50BD">
        <w:rPr>
          <w:rFonts w:ascii="Verdana" w:hAnsi="Verdana"/>
          <w:sz w:val="20"/>
          <w:lang w:val="pt-BR"/>
        </w:rPr>
        <w:t>escrito de petições</w:t>
      </w:r>
      <w:r w:rsidR="0089298C" w:rsidRPr="002F50BD">
        <w:rPr>
          <w:rFonts w:ascii="Verdana" w:hAnsi="Verdana"/>
          <w:sz w:val="20"/>
          <w:lang w:val="pt-BR"/>
        </w:rPr>
        <w:t xml:space="preserve"> e </w:t>
      </w:r>
      <w:r w:rsidR="004756C1" w:rsidRPr="002F50BD">
        <w:rPr>
          <w:rFonts w:ascii="Verdana" w:hAnsi="Verdana"/>
          <w:sz w:val="20"/>
          <w:lang w:val="pt-BR"/>
        </w:rPr>
        <w:t>argumentos</w:t>
      </w:r>
      <w:r w:rsidR="0089298C" w:rsidRPr="002F50BD">
        <w:rPr>
          <w:rFonts w:ascii="Verdana" w:hAnsi="Verdana"/>
          <w:sz w:val="20"/>
          <w:lang w:val="pt-BR"/>
        </w:rPr>
        <w:t xml:space="preserve"> e </w:t>
      </w:r>
      <w:r w:rsidR="00313394" w:rsidRPr="002F50BD">
        <w:rPr>
          <w:rFonts w:ascii="Verdana" w:hAnsi="Verdana"/>
          <w:sz w:val="20"/>
          <w:lang w:val="pt-BR"/>
        </w:rPr>
        <w:t>com a</w:t>
      </w:r>
      <w:r w:rsidR="0089298C" w:rsidRPr="002F50BD">
        <w:rPr>
          <w:rFonts w:ascii="Verdana" w:hAnsi="Verdana"/>
          <w:sz w:val="20"/>
          <w:lang w:val="pt-BR"/>
        </w:rPr>
        <w:t xml:space="preserve">s </w:t>
      </w:r>
      <w:r w:rsidR="008C29C9" w:rsidRPr="002F50BD">
        <w:rPr>
          <w:rFonts w:ascii="Verdana" w:hAnsi="Verdana"/>
          <w:sz w:val="20"/>
          <w:lang w:val="pt-BR"/>
        </w:rPr>
        <w:t>alegações finais escritas</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11</w:t>
      </w:r>
      <w:r w:rsidR="0089298C" w:rsidRPr="002F50BD">
        <w:rPr>
          <w:rFonts w:ascii="Verdana" w:hAnsi="Verdana"/>
          <w:sz w:val="20"/>
          <w:lang w:val="pt-BR"/>
        </w:rPr>
        <w:t xml:space="preserve"> e </w:t>
      </w:r>
      <w:r w:rsidRPr="002F50BD">
        <w:rPr>
          <w:rFonts w:ascii="Verdana" w:hAnsi="Verdana"/>
          <w:sz w:val="20"/>
          <w:lang w:val="pt-BR"/>
        </w:rPr>
        <w:t>24</w:t>
      </w:r>
      <w:r w:rsidR="00313394" w:rsidRPr="002F50BD">
        <w:rPr>
          <w:rFonts w:ascii="Verdana" w:hAnsi="Verdana"/>
          <w:i/>
          <w:sz w:val="20"/>
          <w:lang w:val="pt-BR"/>
        </w:rPr>
        <w:t xml:space="preserve"> supra</w:t>
      </w:r>
      <w:r w:rsidR="00CF451D" w:rsidRPr="00CF451D">
        <w:rPr>
          <w:rFonts w:ascii="Verdana" w:hAnsi="Verdana"/>
          <w:sz w:val="20"/>
          <w:lang w:val="pt-BR"/>
        </w:rPr>
        <w:t>)</w:t>
      </w:r>
      <w:r w:rsidR="00313394" w:rsidRPr="002F50BD">
        <w:rPr>
          <w:rFonts w:ascii="Verdana" w:hAnsi="Verdana"/>
          <w:sz w:val="20"/>
          <w:lang w:val="pt-BR"/>
        </w:rPr>
        <w:t>.</w:t>
      </w:r>
      <w:r w:rsidR="004756C1" w:rsidRPr="002F50BD">
        <w:rPr>
          <w:rStyle w:val="FootnoteReference"/>
          <w:rFonts w:ascii="Verdana" w:hAnsi="Verdana"/>
        </w:rPr>
        <w:footnoteReference w:id="6"/>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4756C1" w:rsidRPr="002F50BD">
        <w:rPr>
          <w:rFonts w:ascii="Verdana" w:hAnsi="Verdana"/>
          <w:sz w:val="20"/>
          <w:lang w:val="pt-BR"/>
        </w:rPr>
        <w:t xml:space="preserve">Estado </w:t>
      </w:r>
      <w:r w:rsidR="00313394" w:rsidRPr="002F50BD">
        <w:rPr>
          <w:rFonts w:ascii="Verdana" w:hAnsi="Verdana"/>
          <w:sz w:val="20"/>
          <w:lang w:val="pt-BR"/>
        </w:rPr>
        <w:t xml:space="preserve">apresentou </w:t>
      </w:r>
      <w:r w:rsidR="0089298C" w:rsidRPr="002F50BD">
        <w:rPr>
          <w:rFonts w:ascii="Verdana" w:hAnsi="Verdana"/>
          <w:sz w:val="20"/>
          <w:lang w:val="pt-BR"/>
        </w:rPr>
        <w:t>prova</w:t>
      </w:r>
      <w:r w:rsidR="004756C1" w:rsidRPr="002F50BD">
        <w:rPr>
          <w:rFonts w:ascii="Verdana" w:hAnsi="Verdana"/>
          <w:sz w:val="20"/>
          <w:lang w:val="pt-BR"/>
        </w:rPr>
        <w:t xml:space="preserve"> documental</w:t>
      </w:r>
      <w:r w:rsidR="0089298C" w:rsidRPr="002F50BD">
        <w:rPr>
          <w:rFonts w:ascii="Verdana" w:hAnsi="Verdana"/>
          <w:sz w:val="20"/>
          <w:lang w:val="pt-BR"/>
        </w:rPr>
        <w:t xml:space="preserve"> ao apresentar seu escrito </w:t>
      </w:r>
      <w:r w:rsidR="004756C1" w:rsidRPr="002F50BD">
        <w:rPr>
          <w:rFonts w:ascii="Verdana" w:hAnsi="Verdana"/>
          <w:sz w:val="20"/>
          <w:lang w:val="pt-BR"/>
        </w:rPr>
        <w:t>de contesta</w:t>
      </w:r>
      <w:r w:rsidR="0089298C" w:rsidRPr="002F50BD">
        <w:rPr>
          <w:rFonts w:ascii="Verdana" w:hAnsi="Verdana"/>
          <w:sz w:val="20"/>
          <w:lang w:val="pt-BR"/>
        </w:rPr>
        <w:t xml:space="preserve">ção à </w:t>
      </w:r>
      <w:r w:rsidR="004756C1" w:rsidRPr="002F50BD">
        <w:rPr>
          <w:rFonts w:ascii="Verdana" w:hAnsi="Verdana"/>
          <w:sz w:val="20"/>
          <w:lang w:val="pt-BR"/>
        </w:rPr>
        <w:t>demanda</w:t>
      </w:r>
      <w:r w:rsidR="0089298C" w:rsidRPr="002F50BD">
        <w:rPr>
          <w:rFonts w:ascii="Verdana" w:hAnsi="Verdana"/>
          <w:sz w:val="20"/>
          <w:lang w:val="pt-BR"/>
        </w:rPr>
        <w:t xml:space="preserve"> e </w:t>
      </w:r>
      <w:r w:rsidR="004756C1" w:rsidRPr="002F50BD">
        <w:rPr>
          <w:rFonts w:ascii="Verdana" w:hAnsi="Verdana"/>
          <w:sz w:val="20"/>
          <w:lang w:val="pt-BR"/>
        </w:rPr>
        <w:t>durante</w:t>
      </w:r>
      <w:r w:rsidR="0089298C" w:rsidRPr="002F50BD">
        <w:rPr>
          <w:rFonts w:ascii="Verdana" w:hAnsi="Verdana"/>
          <w:sz w:val="20"/>
          <w:lang w:val="pt-BR"/>
        </w:rPr>
        <w:t xml:space="preserve"> a </w:t>
      </w:r>
      <w:r w:rsidR="004756C1" w:rsidRPr="002F50BD">
        <w:rPr>
          <w:rFonts w:ascii="Verdana" w:hAnsi="Verdana"/>
          <w:sz w:val="20"/>
          <w:lang w:val="pt-BR"/>
        </w:rPr>
        <w:t>celebra</w:t>
      </w:r>
      <w:r w:rsidR="0089298C" w:rsidRPr="002F50BD">
        <w:rPr>
          <w:rFonts w:ascii="Verdana" w:hAnsi="Verdana"/>
          <w:sz w:val="20"/>
          <w:lang w:val="pt-BR"/>
        </w:rPr>
        <w:t>ção da audiência</w:t>
      </w:r>
      <w:r w:rsidR="004756C1" w:rsidRPr="002F50BD">
        <w:rPr>
          <w:rFonts w:ascii="Verdana" w:hAnsi="Verdana"/>
          <w:sz w:val="20"/>
          <w:lang w:val="pt-BR"/>
        </w:rPr>
        <w:t xml:space="preserve"> pública</w:t>
      </w:r>
      <w:r w:rsidR="0089298C" w:rsidRPr="002F50BD">
        <w:rPr>
          <w:rFonts w:ascii="Verdana" w:hAnsi="Verdana"/>
          <w:sz w:val="20"/>
          <w:lang w:val="pt-BR"/>
        </w:rPr>
        <w:t xml:space="preserve"> no </w:t>
      </w:r>
      <w:r w:rsidR="004756C1" w:rsidRPr="002F50BD">
        <w:rPr>
          <w:rFonts w:ascii="Verdana" w:hAnsi="Verdana"/>
          <w:sz w:val="20"/>
          <w:lang w:val="pt-BR"/>
        </w:rPr>
        <w:t xml:space="preserve">presente caso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12</w:t>
      </w:r>
      <w:r w:rsidR="0089298C" w:rsidRPr="002F50BD">
        <w:rPr>
          <w:rFonts w:ascii="Verdana" w:hAnsi="Verdana"/>
          <w:sz w:val="20"/>
          <w:lang w:val="pt-BR"/>
        </w:rPr>
        <w:t xml:space="preserve"> e </w:t>
      </w:r>
      <w:r w:rsidRPr="002F50BD">
        <w:rPr>
          <w:rFonts w:ascii="Verdana" w:hAnsi="Verdana"/>
          <w:sz w:val="20"/>
          <w:lang w:val="pt-BR"/>
        </w:rPr>
        <w:t>21</w:t>
      </w:r>
      <w:r w:rsidR="00313394" w:rsidRPr="002F50BD">
        <w:rPr>
          <w:rFonts w:ascii="Verdana" w:hAnsi="Verdana"/>
          <w:i/>
          <w:sz w:val="20"/>
          <w:lang w:val="pt-BR"/>
        </w:rPr>
        <w:t xml:space="preserve"> supra</w:t>
      </w:r>
      <w:r w:rsidR="00CF451D" w:rsidRPr="00CF451D">
        <w:rPr>
          <w:rFonts w:ascii="Verdana" w:hAnsi="Verdana"/>
          <w:sz w:val="20"/>
          <w:lang w:val="pt-BR"/>
        </w:rPr>
        <w:t>)</w:t>
      </w:r>
      <w:r w:rsidR="00313394" w:rsidRPr="002F50BD">
        <w:rPr>
          <w:rFonts w:ascii="Verdana" w:hAnsi="Verdana"/>
          <w:sz w:val="20"/>
          <w:lang w:val="pt-BR"/>
        </w:rPr>
        <w:t>.</w:t>
      </w:r>
      <w:r w:rsidR="004756C1" w:rsidRPr="002F50BD">
        <w:rPr>
          <w:rStyle w:val="FootnoteReference"/>
          <w:rFonts w:ascii="Verdana" w:hAnsi="Verdana"/>
        </w:rPr>
        <w:footnoteReference w:id="7"/>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89298C" w:rsidRPr="002F50BD">
        <w:rPr>
          <w:rFonts w:ascii="Verdana" w:hAnsi="Verdana"/>
          <w:sz w:val="20"/>
          <w:lang w:val="pt-BR"/>
        </w:rPr>
        <w:t xml:space="preserve">senhor </w:t>
      </w:r>
      <w:r w:rsidR="004756C1" w:rsidRPr="002F50BD">
        <w:rPr>
          <w:rFonts w:ascii="Verdana" w:hAnsi="Verdana"/>
          <w:sz w:val="20"/>
          <w:lang w:val="pt-BR"/>
        </w:rPr>
        <w:t xml:space="preserve">Bartomeu Melia i Lliteres, perito </w:t>
      </w:r>
      <w:r w:rsidR="0089298C" w:rsidRPr="002F50BD">
        <w:rPr>
          <w:rFonts w:ascii="Verdana" w:hAnsi="Verdana"/>
          <w:sz w:val="20"/>
          <w:lang w:val="pt-BR"/>
        </w:rPr>
        <w:t>propost</w:t>
      </w:r>
      <w:r w:rsidR="004756C1" w:rsidRPr="002F50BD">
        <w:rPr>
          <w:rFonts w:ascii="Verdana" w:hAnsi="Verdana"/>
          <w:sz w:val="20"/>
          <w:lang w:val="pt-BR"/>
        </w:rPr>
        <w:t>o</w:t>
      </w:r>
      <w:r w:rsidR="0089298C"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apresentou</w:t>
      </w:r>
      <w:r w:rsidR="004756C1" w:rsidRPr="002F50BD">
        <w:rPr>
          <w:rFonts w:ascii="Verdana" w:hAnsi="Verdana"/>
          <w:sz w:val="20"/>
          <w:lang w:val="pt-BR"/>
        </w:rPr>
        <w:t xml:space="preserve"> documenta</w:t>
      </w:r>
      <w:r w:rsidR="0089298C" w:rsidRPr="002F50BD">
        <w:rPr>
          <w:rFonts w:ascii="Verdana" w:hAnsi="Verdana"/>
          <w:sz w:val="20"/>
          <w:lang w:val="pt-BR"/>
        </w:rPr>
        <w:t xml:space="preserve">ção </w:t>
      </w:r>
      <w:r w:rsidR="00313394"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 xml:space="preserve">momento de </w:t>
      </w:r>
      <w:r w:rsidR="0089298C" w:rsidRPr="002F50BD">
        <w:rPr>
          <w:rFonts w:ascii="Verdana" w:hAnsi="Verdana"/>
          <w:sz w:val="20"/>
          <w:lang w:val="pt-BR"/>
        </w:rPr>
        <w:t>prestar</w:t>
      </w:r>
      <w:r w:rsidR="004756C1" w:rsidRPr="002F50BD">
        <w:rPr>
          <w:rFonts w:ascii="Verdana" w:hAnsi="Verdana"/>
          <w:sz w:val="20"/>
          <w:lang w:val="pt-BR"/>
        </w:rPr>
        <w:t xml:space="preserve"> </w:t>
      </w:r>
      <w:r w:rsidR="00AB454A" w:rsidRPr="002F50BD">
        <w:rPr>
          <w:rFonts w:ascii="Verdana" w:hAnsi="Verdana"/>
          <w:sz w:val="20"/>
          <w:lang w:val="pt-BR"/>
        </w:rPr>
        <w:t>sua declaração</w:t>
      </w:r>
      <w:r w:rsidR="0089298C" w:rsidRPr="002F50BD">
        <w:rPr>
          <w:rFonts w:ascii="Verdana" w:hAnsi="Verdana"/>
          <w:sz w:val="20"/>
          <w:lang w:val="pt-BR"/>
        </w:rPr>
        <w:t xml:space="preserve"> perante a </w:t>
      </w:r>
      <w:r w:rsidR="004756C1" w:rsidRPr="002F50BD">
        <w:rPr>
          <w:rFonts w:ascii="Verdana" w:hAnsi="Verdana"/>
          <w:sz w:val="20"/>
          <w:lang w:val="pt-BR"/>
        </w:rPr>
        <w:t>Corte Interamericana</w:t>
      </w:r>
      <w:r w:rsidR="0089298C" w:rsidRPr="002F50BD">
        <w:rPr>
          <w:rFonts w:ascii="Verdana" w:hAnsi="Verdana"/>
          <w:sz w:val="20"/>
          <w:lang w:val="pt-BR"/>
        </w:rPr>
        <w:t xml:space="preserve"> na audiência</w:t>
      </w:r>
      <w:r w:rsidR="004756C1" w:rsidRPr="002F50BD">
        <w:rPr>
          <w:rFonts w:ascii="Verdana" w:hAnsi="Verdana"/>
          <w:sz w:val="20"/>
          <w:lang w:val="pt-BR"/>
        </w:rPr>
        <w:t xml:space="preserve"> pública celebrada</w:t>
      </w:r>
      <w:r w:rsidR="0089298C" w:rsidRPr="002F50BD">
        <w:rPr>
          <w:rFonts w:ascii="Verdana" w:hAnsi="Verdana"/>
          <w:sz w:val="20"/>
          <w:lang w:val="pt-BR"/>
        </w:rPr>
        <w:t xml:space="preserve"> no </w:t>
      </w:r>
      <w:r w:rsidR="004756C1" w:rsidRPr="002F50BD">
        <w:rPr>
          <w:rFonts w:ascii="Verdana" w:hAnsi="Verdana"/>
          <w:sz w:val="20"/>
          <w:lang w:val="pt-BR"/>
        </w:rPr>
        <w:t>presente caso</w:t>
      </w:r>
      <w:r w:rsidR="004756C1" w:rsidRPr="002F50BD">
        <w:rPr>
          <w:rStyle w:val="FootnoteReference"/>
          <w:rFonts w:ascii="Verdana" w:hAnsi="Verdana"/>
        </w:rPr>
        <w:footnoteReference w:id="8"/>
      </w:r>
      <w:r w:rsidR="004756C1" w:rsidRPr="002F50BD">
        <w:rPr>
          <w:rFonts w:ascii="Verdana" w:hAnsi="Verdana"/>
          <w:sz w:val="20"/>
          <w:lang w:val="pt-BR"/>
        </w:rPr>
        <w:t xml:space="preserve">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21</w:t>
      </w:r>
      <w:r w:rsidR="00E0019F" w:rsidRPr="002F50BD">
        <w:rPr>
          <w:rFonts w:ascii="Verdana" w:hAnsi="Verdana"/>
          <w:i/>
          <w:sz w:val="20"/>
          <w:lang w:val="pt-BR"/>
        </w:rPr>
        <w:t xml:space="preserve"> supra</w:t>
      </w:r>
      <w:r w:rsidR="00CF451D" w:rsidRPr="00CF451D">
        <w:rPr>
          <w:rFonts w:ascii="Verdana" w:hAnsi="Verdana"/>
          <w:sz w:val="20"/>
          <w:lang w:val="pt-BR"/>
        </w:rPr>
        <w:t>)</w:t>
      </w:r>
      <w:r w:rsidR="00313394" w:rsidRPr="002F50BD">
        <w:rPr>
          <w:rFonts w:ascii="Verdana" w:hAnsi="Verdana"/>
          <w:i/>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37</w:t>
      </w:r>
      <w:r w:rsidR="004756C1" w:rsidRPr="002F50BD">
        <w:rPr>
          <w:rFonts w:ascii="Verdana" w:hAnsi="Verdana"/>
          <w:sz w:val="20"/>
          <w:lang w:val="pt-BR"/>
        </w:rPr>
        <w:t>.</w:t>
      </w:r>
      <w:r w:rsidR="004756C1" w:rsidRPr="002F50BD">
        <w:rPr>
          <w:rFonts w:ascii="Verdana" w:hAnsi="Verdana"/>
          <w:sz w:val="20"/>
          <w:lang w:val="pt-BR"/>
        </w:rPr>
        <w:tab/>
      </w:r>
      <w:r w:rsidR="004076AD" w:rsidRPr="002F50BD">
        <w:rPr>
          <w:rFonts w:ascii="Verdana" w:hAnsi="Verdana"/>
          <w:sz w:val="20"/>
          <w:lang w:val="pt-BR"/>
        </w:rPr>
        <w:t xml:space="preserve">Os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89298C" w:rsidRPr="002F50BD">
        <w:rPr>
          <w:rFonts w:ascii="Verdana" w:hAnsi="Verdana"/>
          <w:sz w:val="20"/>
          <w:lang w:val="pt-BR"/>
        </w:rPr>
        <w:t xml:space="preserve">e o </w:t>
      </w:r>
      <w:r w:rsidR="004756C1" w:rsidRPr="002F50BD">
        <w:rPr>
          <w:rFonts w:ascii="Verdana" w:hAnsi="Verdana"/>
          <w:sz w:val="20"/>
          <w:lang w:val="pt-BR"/>
        </w:rPr>
        <w:t xml:space="preserve">Estado </w:t>
      </w:r>
      <w:r w:rsidR="00313394" w:rsidRPr="002F50BD">
        <w:rPr>
          <w:rFonts w:ascii="Verdana" w:hAnsi="Verdana"/>
          <w:sz w:val="20"/>
          <w:lang w:val="pt-BR"/>
        </w:rPr>
        <w:t xml:space="preserve">enviaram </w:t>
      </w:r>
      <w:r w:rsidR="004756C1" w:rsidRPr="002F50BD">
        <w:rPr>
          <w:rFonts w:ascii="Verdana" w:hAnsi="Verdana"/>
          <w:sz w:val="20"/>
          <w:lang w:val="pt-BR"/>
        </w:rPr>
        <w:t>parte</w:t>
      </w:r>
      <w:r w:rsidR="0089298C" w:rsidRPr="002F50BD">
        <w:rPr>
          <w:rFonts w:ascii="Verdana" w:hAnsi="Verdana"/>
          <w:sz w:val="20"/>
          <w:lang w:val="pt-BR"/>
        </w:rPr>
        <w:t xml:space="preserve"> da </w:t>
      </w:r>
      <w:r w:rsidR="004756C1" w:rsidRPr="002F50BD">
        <w:rPr>
          <w:rFonts w:ascii="Verdana" w:hAnsi="Verdana"/>
          <w:sz w:val="20"/>
          <w:lang w:val="pt-BR"/>
        </w:rPr>
        <w:t>documenta</w:t>
      </w:r>
      <w:r w:rsidR="0089298C" w:rsidRPr="002F50BD">
        <w:rPr>
          <w:rFonts w:ascii="Verdana" w:hAnsi="Verdana"/>
          <w:sz w:val="20"/>
          <w:lang w:val="pt-BR"/>
        </w:rPr>
        <w:t>ção</w:t>
      </w:r>
      <w:r w:rsidR="004756C1" w:rsidRPr="002F50BD">
        <w:rPr>
          <w:rFonts w:ascii="Verdana" w:hAnsi="Verdana"/>
          <w:sz w:val="20"/>
          <w:lang w:val="pt-BR"/>
        </w:rPr>
        <w:t xml:space="preserve"> solicitada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25</w:t>
      </w:r>
      <w:r w:rsidR="0089298C" w:rsidRPr="002F50BD">
        <w:rPr>
          <w:rFonts w:ascii="Verdana" w:hAnsi="Verdana"/>
          <w:sz w:val="20"/>
          <w:lang w:val="pt-BR"/>
        </w:rPr>
        <w:t xml:space="preserve"> e </w:t>
      </w:r>
      <w:r w:rsidRPr="002F50BD">
        <w:rPr>
          <w:rFonts w:ascii="Verdana" w:hAnsi="Verdana"/>
          <w:sz w:val="20"/>
          <w:lang w:val="pt-BR"/>
        </w:rPr>
        <w:t>27</w:t>
      </w:r>
      <w:r w:rsidR="00313394" w:rsidRPr="002F50BD">
        <w:rPr>
          <w:rFonts w:ascii="Verdana" w:hAnsi="Verdana"/>
          <w:i/>
          <w:sz w:val="20"/>
          <w:lang w:val="pt-BR"/>
        </w:rPr>
        <w:t xml:space="preserve"> supra</w:t>
      </w:r>
      <w:r w:rsidR="00CF451D" w:rsidRPr="00CF451D">
        <w:rPr>
          <w:rFonts w:ascii="Verdana" w:hAnsi="Verdana"/>
          <w:sz w:val="20"/>
          <w:lang w:val="pt-BR"/>
        </w:rPr>
        <w:t>)</w:t>
      </w:r>
      <w:r w:rsidR="00313394"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pStyle w:val="BodyText3"/>
        <w:widowControl w:val="0"/>
        <w:rPr>
          <w:rFonts w:ascii="Verdana" w:hAnsi="Verdana"/>
          <w:sz w:val="20"/>
          <w:u w:val="none"/>
          <w:lang w:val="pt-BR"/>
        </w:rPr>
      </w:pPr>
      <w:r w:rsidRPr="002F50BD">
        <w:rPr>
          <w:rFonts w:ascii="Verdana" w:hAnsi="Verdana"/>
          <w:sz w:val="20"/>
          <w:u w:val="none"/>
          <w:lang w:val="pt-BR"/>
        </w:rPr>
        <w:t>38</w:t>
      </w:r>
      <w:r w:rsidR="004756C1" w:rsidRPr="002F50BD">
        <w:rPr>
          <w:rFonts w:ascii="Verdana" w:hAnsi="Verdana"/>
          <w:sz w:val="20"/>
          <w:u w:val="none"/>
          <w:lang w:val="pt-BR"/>
        </w:rPr>
        <w:t>.</w:t>
      </w:r>
      <w:r w:rsidR="004756C1" w:rsidRPr="002F50BD">
        <w:rPr>
          <w:rFonts w:ascii="Verdana" w:hAnsi="Verdana"/>
          <w:sz w:val="20"/>
          <w:u w:val="none"/>
          <w:lang w:val="pt-BR"/>
        </w:rPr>
        <w:tab/>
      </w:r>
      <w:r w:rsidR="00FB33DD" w:rsidRPr="002F50BD">
        <w:rPr>
          <w:rFonts w:ascii="Verdana" w:hAnsi="Verdana"/>
          <w:sz w:val="20"/>
          <w:u w:val="none"/>
          <w:lang w:val="pt-BR"/>
        </w:rPr>
        <w:t>A Comissão</w:t>
      </w:r>
      <w:r w:rsidR="004756C1" w:rsidRPr="002F50BD">
        <w:rPr>
          <w:rFonts w:ascii="Verdana" w:hAnsi="Verdana"/>
          <w:sz w:val="20"/>
          <w:u w:val="none"/>
          <w:lang w:val="pt-BR"/>
        </w:rPr>
        <w:t>,</w:t>
      </w:r>
      <w:r w:rsidR="0089298C" w:rsidRPr="002F50BD">
        <w:rPr>
          <w:rFonts w:ascii="Verdana" w:hAnsi="Verdana"/>
          <w:sz w:val="20"/>
          <w:u w:val="none"/>
          <w:lang w:val="pt-BR"/>
        </w:rPr>
        <w:t xml:space="preserve"> os </w:t>
      </w:r>
      <w:r w:rsidR="008C29C9" w:rsidRPr="002F50BD">
        <w:rPr>
          <w:rFonts w:ascii="Verdana" w:hAnsi="Verdana"/>
          <w:i/>
          <w:sz w:val="20"/>
          <w:u w:val="none"/>
          <w:lang w:val="pt-BR"/>
        </w:rPr>
        <w:t>representante</w:t>
      </w:r>
      <w:r w:rsidR="004756C1" w:rsidRPr="002F50BD">
        <w:rPr>
          <w:rFonts w:ascii="Verdana" w:hAnsi="Verdana"/>
          <w:i/>
          <w:sz w:val="20"/>
          <w:u w:val="none"/>
          <w:lang w:val="pt-BR"/>
        </w:rPr>
        <w:t xml:space="preserve">s </w:t>
      </w:r>
      <w:r w:rsidR="00CF451D" w:rsidRPr="00CF451D">
        <w:rPr>
          <w:rFonts w:ascii="Verdana" w:hAnsi="Verdana"/>
          <w:sz w:val="20"/>
          <w:u w:val="none"/>
          <w:lang w:val="pt-BR"/>
        </w:rPr>
        <w:t>(</w:t>
      </w:r>
      <w:r w:rsidR="00E0019F" w:rsidRPr="002F50BD">
        <w:rPr>
          <w:rFonts w:ascii="Verdana" w:hAnsi="Verdana"/>
          <w:i/>
          <w:sz w:val="20"/>
          <w:u w:val="none"/>
          <w:lang w:val="pt-BR"/>
        </w:rPr>
        <w:t xml:space="preserve">par. </w:t>
      </w:r>
      <w:r w:rsidRPr="002F50BD">
        <w:rPr>
          <w:rFonts w:ascii="Verdana" w:hAnsi="Verdana"/>
          <w:sz w:val="20"/>
          <w:u w:val="none"/>
          <w:lang w:val="pt-BR"/>
        </w:rPr>
        <w:t>15</w:t>
      </w:r>
      <w:r w:rsidR="00E0019F" w:rsidRPr="002F50BD">
        <w:rPr>
          <w:rFonts w:ascii="Verdana" w:hAnsi="Verdana"/>
          <w:i/>
          <w:sz w:val="20"/>
          <w:u w:val="none"/>
          <w:lang w:val="pt-BR"/>
        </w:rPr>
        <w:t xml:space="preserve"> supra</w:t>
      </w:r>
      <w:r w:rsidR="00CF451D" w:rsidRPr="00CF451D">
        <w:rPr>
          <w:rFonts w:ascii="Verdana" w:hAnsi="Verdana"/>
          <w:sz w:val="20"/>
          <w:u w:val="none"/>
          <w:lang w:val="pt-BR"/>
        </w:rPr>
        <w:t>)</w:t>
      </w:r>
      <w:r w:rsidR="0089298C" w:rsidRPr="002F50BD">
        <w:rPr>
          <w:rFonts w:ascii="Verdana" w:hAnsi="Verdana"/>
          <w:sz w:val="20"/>
          <w:u w:val="none"/>
          <w:lang w:val="pt-BR"/>
        </w:rPr>
        <w:t xml:space="preserve"> e o </w:t>
      </w:r>
      <w:r w:rsidR="004756C1" w:rsidRPr="002F50BD">
        <w:rPr>
          <w:rFonts w:ascii="Verdana" w:hAnsi="Verdana"/>
          <w:sz w:val="20"/>
          <w:u w:val="none"/>
          <w:lang w:val="pt-BR"/>
        </w:rPr>
        <w:t xml:space="preserve">Estado </w:t>
      </w:r>
      <w:r w:rsidR="00CF451D" w:rsidRPr="00CF451D">
        <w:rPr>
          <w:rFonts w:ascii="Verdana" w:hAnsi="Verdana"/>
          <w:sz w:val="20"/>
          <w:u w:val="none"/>
          <w:lang w:val="pt-BR"/>
        </w:rPr>
        <w:t>(</w:t>
      </w:r>
      <w:r w:rsidR="0089298C" w:rsidRPr="002F50BD">
        <w:rPr>
          <w:rFonts w:ascii="Verdana" w:hAnsi="Verdana"/>
          <w:sz w:val="20"/>
          <w:u w:val="none"/>
          <w:lang w:val="pt-BR"/>
        </w:rPr>
        <w:t>pars.</w:t>
      </w:r>
      <w:r w:rsidR="004756C1" w:rsidRPr="002F50BD">
        <w:rPr>
          <w:rFonts w:ascii="Verdana" w:hAnsi="Verdana"/>
          <w:sz w:val="20"/>
          <w:u w:val="none"/>
          <w:lang w:val="pt-BR"/>
        </w:rPr>
        <w:t xml:space="preserve"> </w:t>
      </w:r>
      <w:r w:rsidRPr="002F50BD">
        <w:rPr>
          <w:rFonts w:ascii="Verdana" w:hAnsi="Verdana"/>
          <w:sz w:val="20"/>
          <w:u w:val="none"/>
          <w:lang w:val="pt-BR"/>
        </w:rPr>
        <w:t>15</w:t>
      </w:r>
      <w:r w:rsidR="0089298C" w:rsidRPr="002F50BD">
        <w:rPr>
          <w:rFonts w:ascii="Verdana" w:hAnsi="Verdana"/>
          <w:sz w:val="20"/>
          <w:u w:val="none"/>
          <w:lang w:val="pt-BR"/>
        </w:rPr>
        <w:t xml:space="preserve"> e </w:t>
      </w:r>
      <w:r w:rsidRPr="002F50BD">
        <w:rPr>
          <w:rFonts w:ascii="Verdana" w:hAnsi="Verdana"/>
          <w:sz w:val="20"/>
          <w:u w:val="none"/>
          <w:lang w:val="pt-BR"/>
        </w:rPr>
        <w:t>20</w:t>
      </w:r>
      <w:r w:rsidR="00313394" w:rsidRPr="002F50BD">
        <w:rPr>
          <w:rFonts w:ascii="Verdana" w:hAnsi="Verdana"/>
          <w:i/>
          <w:sz w:val="20"/>
          <w:lang w:val="pt-BR"/>
        </w:rPr>
        <w:t xml:space="preserve"> </w:t>
      </w:r>
      <w:r w:rsidR="00313394" w:rsidRPr="00CF451D">
        <w:rPr>
          <w:rFonts w:ascii="Verdana" w:hAnsi="Verdana"/>
          <w:i/>
          <w:sz w:val="20"/>
          <w:u w:val="none"/>
          <w:lang w:val="pt-BR"/>
        </w:rPr>
        <w:t>supra</w:t>
      </w:r>
      <w:r w:rsidR="00CF451D" w:rsidRPr="00CF451D">
        <w:rPr>
          <w:rFonts w:ascii="Verdana" w:hAnsi="Verdana"/>
          <w:sz w:val="20"/>
          <w:u w:val="none"/>
          <w:lang w:val="pt-BR"/>
        </w:rPr>
        <w:t>)</w:t>
      </w:r>
      <w:r w:rsidR="004756C1" w:rsidRPr="002F50BD">
        <w:rPr>
          <w:rFonts w:ascii="Verdana" w:hAnsi="Verdana"/>
          <w:sz w:val="20"/>
          <w:u w:val="none"/>
          <w:lang w:val="pt-BR"/>
        </w:rPr>
        <w:t xml:space="preserve"> </w:t>
      </w:r>
      <w:r w:rsidR="0089298C" w:rsidRPr="002F50BD">
        <w:rPr>
          <w:rFonts w:ascii="Verdana" w:hAnsi="Verdana"/>
          <w:sz w:val="20"/>
          <w:u w:val="none"/>
          <w:lang w:val="pt-BR"/>
        </w:rPr>
        <w:t>rem</w:t>
      </w:r>
      <w:r w:rsidR="00313394" w:rsidRPr="002F50BD">
        <w:rPr>
          <w:rFonts w:ascii="Verdana" w:hAnsi="Verdana"/>
          <w:sz w:val="20"/>
          <w:u w:val="none"/>
          <w:lang w:val="pt-BR"/>
        </w:rPr>
        <w:t>e</w:t>
      </w:r>
      <w:r w:rsidR="0089298C" w:rsidRPr="002F50BD">
        <w:rPr>
          <w:rFonts w:ascii="Verdana" w:hAnsi="Verdana"/>
          <w:sz w:val="20"/>
          <w:u w:val="none"/>
          <w:lang w:val="pt-BR"/>
        </w:rPr>
        <w:t>t</w:t>
      </w:r>
      <w:r w:rsidR="00313394" w:rsidRPr="002F50BD">
        <w:rPr>
          <w:rFonts w:ascii="Verdana" w:hAnsi="Verdana"/>
          <w:sz w:val="20"/>
          <w:u w:val="none"/>
          <w:lang w:val="pt-BR"/>
        </w:rPr>
        <w:t>e</w:t>
      </w:r>
      <w:r w:rsidR="0089298C" w:rsidRPr="002F50BD">
        <w:rPr>
          <w:rFonts w:ascii="Verdana" w:hAnsi="Verdana"/>
          <w:sz w:val="20"/>
          <w:u w:val="none"/>
          <w:lang w:val="pt-BR"/>
        </w:rPr>
        <w:t xml:space="preserve">ram as </w:t>
      </w:r>
      <w:r w:rsidR="004756C1" w:rsidRPr="002F50BD">
        <w:rPr>
          <w:rFonts w:ascii="Verdana" w:hAnsi="Verdana"/>
          <w:sz w:val="20"/>
          <w:u w:val="none"/>
          <w:lang w:val="pt-BR"/>
        </w:rPr>
        <w:t>declara</w:t>
      </w:r>
      <w:r w:rsidR="0089298C" w:rsidRPr="002F50BD">
        <w:rPr>
          <w:rFonts w:ascii="Verdana" w:hAnsi="Verdana"/>
          <w:sz w:val="20"/>
          <w:u w:val="none"/>
          <w:lang w:val="pt-BR"/>
        </w:rPr>
        <w:t xml:space="preserve">ções </w:t>
      </w:r>
      <w:r w:rsidR="00313394" w:rsidRPr="002F50BD">
        <w:rPr>
          <w:rFonts w:ascii="Verdana" w:hAnsi="Verdana"/>
          <w:sz w:val="20"/>
          <w:u w:val="none"/>
          <w:lang w:val="pt-BR"/>
        </w:rPr>
        <w:t xml:space="preserve">prestadas </w:t>
      </w:r>
      <w:r w:rsidR="00AB454A" w:rsidRPr="002F50BD">
        <w:rPr>
          <w:rFonts w:ascii="Verdana" w:hAnsi="Verdana"/>
          <w:sz w:val="20"/>
          <w:u w:val="none"/>
          <w:lang w:val="pt-BR"/>
        </w:rPr>
        <w:t>perante agente dotado</w:t>
      </w:r>
      <w:r w:rsidR="0089298C" w:rsidRPr="002F50BD">
        <w:rPr>
          <w:rFonts w:ascii="Verdana" w:hAnsi="Verdana"/>
          <w:sz w:val="20"/>
          <w:u w:val="none"/>
          <w:lang w:val="pt-BR"/>
        </w:rPr>
        <w:t xml:space="preserve"> de fé pública</w:t>
      </w:r>
      <w:r w:rsidR="004756C1" w:rsidRPr="002F50BD">
        <w:rPr>
          <w:rFonts w:ascii="Verdana" w:hAnsi="Verdana"/>
          <w:sz w:val="20"/>
          <w:u w:val="none"/>
          <w:lang w:val="pt-BR"/>
        </w:rPr>
        <w:t xml:space="preserve"> </w:t>
      </w:r>
      <w:r w:rsidR="00CF451D" w:rsidRPr="00CF451D">
        <w:rPr>
          <w:rFonts w:ascii="Verdana" w:hAnsi="Verdana"/>
          <w:sz w:val="20"/>
          <w:u w:val="none"/>
          <w:lang w:val="pt-BR"/>
        </w:rPr>
        <w:t>(</w:t>
      </w:r>
      <w:r w:rsidR="008C29C9" w:rsidRPr="002F50BD">
        <w:rPr>
          <w:rFonts w:ascii="Verdana" w:hAnsi="Verdana"/>
          <w:i/>
          <w:sz w:val="20"/>
          <w:u w:val="none"/>
          <w:lang w:val="pt-BR"/>
        </w:rPr>
        <w:t>affidavit</w:t>
      </w:r>
      <w:r w:rsidR="00CF451D" w:rsidRPr="00CF451D">
        <w:rPr>
          <w:rFonts w:ascii="Verdana" w:hAnsi="Verdana"/>
          <w:sz w:val="20"/>
          <w:u w:val="none"/>
          <w:lang w:val="pt-BR"/>
        </w:rPr>
        <w:t>)</w:t>
      </w:r>
      <w:r w:rsidR="0089298C" w:rsidRPr="002F50BD">
        <w:rPr>
          <w:rFonts w:ascii="Verdana" w:hAnsi="Verdana"/>
          <w:sz w:val="20"/>
          <w:u w:val="none"/>
          <w:lang w:val="pt-BR"/>
        </w:rPr>
        <w:t xml:space="preserve"> em </w:t>
      </w:r>
      <w:r w:rsidR="004756C1" w:rsidRPr="002F50BD">
        <w:rPr>
          <w:rFonts w:ascii="Verdana" w:hAnsi="Verdana"/>
          <w:sz w:val="20"/>
          <w:u w:val="none"/>
          <w:lang w:val="pt-BR"/>
        </w:rPr>
        <w:t>res</w:t>
      </w:r>
      <w:r w:rsidR="0089298C" w:rsidRPr="002F50BD">
        <w:rPr>
          <w:rFonts w:ascii="Verdana" w:hAnsi="Verdana"/>
          <w:sz w:val="20"/>
          <w:u w:val="none"/>
          <w:lang w:val="pt-BR"/>
        </w:rPr>
        <w:t>posta ao dispost</w:t>
      </w:r>
      <w:r w:rsidR="004756C1" w:rsidRPr="002F50BD">
        <w:rPr>
          <w:rFonts w:ascii="Verdana" w:hAnsi="Verdana"/>
          <w:sz w:val="20"/>
          <w:u w:val="none"/>
          <w:lang w:val="pt-BR"/>
        </w:rPr>
        <w:t>o</w:t>
      </w:r>
      <w:r w:rsidR="0089298C" w:rsidRPr="002F50BD">
        <w:rPr>
          <w:rFonts w:ascii="Verdana" w:hAnsi="Verdana"/>
          <w:sz w:val="20"/>
          <w:u w:val="none"/>
          <w:lang w:val="pt-BR"/>
        </w:rPr>
        <w:t xml:space="preserve"> pelo </w:t>
      </w:r>
      <w:r w:rsidR="004756C1" w:rsidRPr="002F50BD">
        <w:rPr>
          <w:rFonts w:ascii="Verdana" w:hAnsi="Verdana"/>
          <w:sz w:val="20"/>
          <w:u w:val="none"/>
          <w:lang w:val="pt-BR"/>
        </w:rPr>
        <w:t>Presidente</w:t>
      </w:r>
      <w:r w:rsidR="0089298C" w:rsidRPr="002F50BD">
        <w:rPr>
          <w:rFonts w:ascii="Verdana" w:hAnsi="Verdana"/>
          <w:sz w:val="20"/>
          <w:u w:val="none"/>
          <w:lang w:val="pt-BR"/>
        </w:rPr>
        <w:t xml:space="preserve"> na </w:t>
      </w:r>
      <w:r w:rsidR="004756C1" w:rsidRPr="002F50BD">
        <w:rPr>
          <w:rFonts w:ascii="Verdana" w:hAnsi="Verdana"/>
          <w:sz w:val="20"/>
          <w:u w:val="none"/>
          <w:lang w:val="pt-BR"/>
        </w:rPr>
        <w:t>Resolu</w:t>
      </w:r>
      <w:r w:rsidR="0089298C" w:rsidRPr="002F50BD">
        <w:rPr>
          <w:rFonts w:ascii="Verdana" w:hAnsi="Verdana"/>
          <w:sz w:val="20"/>
          <w:u w:val="none"/>
          <w:lang w:val="pt-BR"/>
        </w:rPr>
        <w:t>ção</w:t>
      </w:r>
      <w:r w:rsidR="004756C1" w:rsidRPr="002F50BD">
        <w:rPr>
          <w:rFonts w:ascii="Verdana" w:hAnsi="Verdana"/>
          <w:sz w:val="20"/>
          <w:u w:val="none"/>
          <w:lang w:val="pt-BR"/>
        </w:rPr>
        <w:t xml:space="preserve"> de </w:t>
      </w:r>
      <w:r w:rsidRPr="002F50BD">
        <w:rPr>
          <w:rFonts w:ascii="Verdana" w:hAnsi="Verdana"/>
          <w:sz w:val="20"/>
          <w:u w:val="none"/>
          <w:lang w:val="pt-BR"/>
        </w:rPr>
        <w:t>31</w:t>
      </w:r>
      <w:r w:rsidR="004756C1" w:rsidRPr="002F50BD">
        <w:rPr>
          <w:rFonts w:ascii="Verdana" w:hAnsi="Verdana"/>
          <w:sz w:val="20"/>
          <w:u w:val="none"/>
          <w:lang w:val="pt-BR"/>
        </w:rPr>
        <w:t xml:space="preserve"> de </w:t>
      </w:r>
      <w:r w:rsidR="0089298C" w:rsidRPr="002F50BD">
        <w:rPr>
          <w:rFonts w:ascii="Verdana" w:hAnsi="Verdana"/>
          <w:sz w:val="20"/>
          <w:u w:val="none"/>
          <w:lang w:val="pt-BR"/>
        </w:rPr>
        <w:t>janeiro</w:t>
      </w:r>
      <w:r w:rsidR="004756C1" w:rsidRPr="002F50BD">
        <w:rPr>
          <w:rFonts w:ascii="Verdana" w:hAnsi="Verdana"/>
          <w:sz w:val="20"/>
          <w:u w:val="none"/>
          <w:lang w:val="pt-BR"/>
        </w:rPr>
        <w:t xml:space="preserve"> de </w:t>
      </w:r>
      <w:r w:rsidRPr="002F50BD">
        <w:rPr>
          <w:rFonts w:ascii="Verdana" w:hAnsi="Verdana"/>
          <w:sz w:val="20"/>
          <w:u w:val="none"/>
          <w:lang w:val="pt-BR"/>
        </w:rPr>
        <w:t>2005</w:t>
      </w:r>
      <w:r w:rsidR="004756C1" w:rsidRPr="002F50BD">
        <w:rPr>
          <w:rFonts w:ascii="Verdana" w:hAnsi="Verdana"/>
          <w:sz w:val="20"/>
          <w:u w:val="none"/>
          <w:lang w:val="pt-BR"/>
        </w:rPr>
        <w:t xml:space="preserve"> </w:t>
      </w:r>
      <w:r w:rsidR="00CF451D" w:rsidRPr="00CF451D">
        <w:rPr>
          <w:rFonts w:ascii="Verdana" w:hAnsi="Verdana"/>
          <w:sz w:val="20"/>
          <w:u w:val="none"/>
          <w:lang w:val="pt-BR"/>
        </w:rPr>
        <w:t>(</w:t>
      </w:r>
      <w:r w:rsidR="0089298C" w:rsidRPr="002F50BD">
        <w:rPr>
          <w:rFonts w:ascii="Verdana" w:hAnsi="Verdana"/>
          <w:sz w:val="20"/>
          <w:u w:val="none"/>
          <w:lang w:val="pt-BR"/>
        </w:rPr>
        <w:t>par.</w:t>
      </w:r>
      <w:r w:rsidR="00313394" w:rsidRPr="002F50BD">
        <w:rPr>
          <w:rFonts w:ascii="Verdana" w:hAnsi="Verdana"/>
          <w:sz w:val="20"/>
          <w:u w:val="none"/>
          <w:lang w:val="pt-BR"/>
        </w:rPr>
        <w:t xml:space="preserve"> </w:t>
      </w:r>
      <w:r w:rsidRPr="002F50BD">
        <w:rPr>
          <w:rFonts w:ascii="Verdana" w:hAnsi="Verdana"/>
          <w:sz w:val="20"/>
          <w:u w:val="none"/>
          <w:lang w:val="pt-BR"/>
        </w:rPr>
        <w:t>14</w:t>
      </w:r>
      <w:r w:rsidR="00313394" w:rsidRPr="002F50BD">
        <w:rPr>
          <w:rFonts w:ascii="Verdana" w:hAnsi="Verdana"/>
          <w:i/>
          <w:sz w:val="20"/>
          <w:u w:val="none"/>
          <w:lang w:val="pt-BR"/>
        </w:rPr>
        <w:t xml:space="preserve"> supra</w:t>
      </w:r>
      <w:r w:rsidR="00CF451D" w:rsidRPr="00CF451D">
        <w:rPr>
          <w:rFonts w:ascii="Verdana" w:hAnsi="Verdana"/>
          <w:sz w:val="20"/>
          <w:u w:val="none"/>
          <w:lang w:val="pt-BR"/>
        </w:rPr>
        <w:t>)</w:t>
      </w:r>
      <w:r w:rsidR="004756C1" w:rsidRPr="002F50BD">
        <w:rPr>
          <w:rFonts w:ascii="Verdana" w:hAnsi="Verdana"/>
          <w:sz w:val="20"/>
          <w:u w:val="none"/>
          <w:lang w:val="pt-BR"/>
        </w:rPr>
        <w:t>.</w:t>
      </w:r>
      <w:r w:rsidR="00FE08B7">
        <w:rPr>
          <w:rFonts w:ascii="Verdana" w:hAnsi="Verdana"/>
          <w:sz w:val="20"/>
          <w:u w:val="none"/>
          <w:lang w:val="pt-BR"/>
        </w:rPr>
        <w:t xml:space="preserve"> </w:t>
      </w:r>
      <w:r w:rsidR="004756C1" w:rsidRPr="002F50BD">
        <w:rPr>
          <w:rFonts w:ascii="Verdana" w:hAnsi="Verdana"/>
          <w:sz w:val="20"/>
          <w:u w:val="none"/>
          <w:lang w:val="pt-BR"/>
        </w:rPr>
        <w:t xml:space="preserve">A </w:t>
      </w:r>
      <w:r w:rsidR="00313394" w:rsidRPr="002F50BD">
        <w:rPr>
          <w:rFonts w:ascii="Verdana" w:hAnsi="Verdana"/>
          <w:sz w:val="20"/>
          <w:u w:val="none"/>
          <w:lang w:val="pt-BR"/>
        </w:rPr>
        <w:t>seguir</w:t>
      </w:r>
      <w:r w:rsidR="004756C1" w:rsidRPr="002F50BD">
        <w:rPr>
          <w:rFonts w:ascii="Verdana" w:hAnsi="Verdana"/>
          <w:sz w:val="20"/>
          <w:u w:val="none"/>
          <w:lang w:val="pt-BR"/>
        </w:rPr>
        <w:t>,</w:t>
      </w:r>
      <w:r w:rsidR="0089298C" w:rsidRPr="002F50BD">
        <w:rPr>
          <w:rFonts w:ascii="Verdana" w:hAnsi="Verdana"/>
          <w:sz w:val="20"/>
          <w:u w:val="none"/>
          <w:lang w:val="pt-BR"/>
        </w:rPr>
        <w:t xml:space="preserve"> o </w:t>
      </w:r>
      <w:r w:rsidR="004756C1" w:rsidRPr="002F50BD">
        <w:rPr>
          <w:rFonts w:ascii="Verdana" w:hAnsi="Verdana"/>
          <w:sz w:val="20"/>
          <w:u w:val="none"/>
          <w:lang w:val="pt-BR"/>
        </w:rPr>
        <w:t>Tribunal resume</w:t>
      </w:r>
      <w:r w:rsidR="0089298C" w:rsidRPr="002F50BD">
        <w:rPr>
          <w:rFonts w:ascii="Verdana" w:hAnsi="Verdana"/>
          <w:sz w:val="20"/>
          <w:u w:val="none"/>
          <w:lang w:val="pt-BR"/>
        </w:rPr>
        <w:t xml:space="preserve"> as </w:t>
      </w:r>
      <w:r w:rsidR="004756C1" w:rsidRPr="002F50BD">
        <w:rPr>
          <w:rFonts w:ascii="Verdana" w:hAnsi="Verdana"/>
          <w:sz w:val="20"/>
          <w:u w:val="none"/>
          <w:lang w:val="pt-BR"/>
        </w:rPr>
        <w:t xml:space="preserve">partes relevantes </w:t>
      </w:r>
      <w:r w:rsidR="0089298C" w:rsidRPr="002F50BD">
        <w:rPr>
          <w:rFonts w:ascii="Verdana" w:hAnsi="Verdana"/>
          <w:sz w:val="20"/>
          <w:u w:val="none"/>
          <w:lang w:val="pt-BR"/>
        </w:rPr>
        <w:t>desta</w:t>
      </w:r>
      <w:r w:rsidR="004756C1" w:rsidRPr="002F50BD">
        <w:rPr>
          <w:rFonts w:ascii="Verdana" w:hAnsi="Verdana"/>
          <w:sz w:val="20"/>
          <w:u w:val="none"/>
          <w:lang w:val="pt-BR"/>
        </w:rPr>
        <w:t>s declara</w:t>
      </w:r>
      <w:r w:rsidR="0089298C" w:rsidRPr="002F50BD">
        <w:rPr>
          <w:rFonts w:ascii="Verdana" w:hAnsi="Verdana"/>
          <w:sz w:val="20"/>
          <w:u w:val="none"/>
          <w:lang w:val="pt-BR"/>
        </w:rPr>
        <w:t>ções</w:t>
      </w:r>
      <w:r w:rsidR="004756C1" w:rsidRPr="002F50BD">
        <w:rPr>
          <w:rFonts w:ascii="Verdana" w:hAnsi="Verdana"/>
          <w:sz w:val="20"/>
          <w:u w:val="none"/>
          <w:lang w:val="pt-BR"/>
        </w:rPr>
        <w:t>.</w:t>
      </w:r>
      <w:r w:rsidR="00FE08B7">
        <w:rPr>
          <w:rFonts w:ascii="Verdana" w:hAnsi="Verdana"/>
          <w:sz w:val="20"/>
          <w:u w:val="none"/>
          <w:lang w:val="pt-BR"/>
        </w:rPr>
        <w:t xml:space="preserve"> </w:t>
      </w:r>
    </w:p>
    <w:p w:rsidR="004756C1" w:rsidRPr="002F50BD" w:rsidRDefault="004756C1">
      <w:pPr>
        <w:jc w:val="both"/>
        <w:rPr>
          <w:rFonts w:ascii="Verdana" w:hAnsi="Verdana"/>
          <w:b/>
          <w:smallCaps/>
          <w:sz w:val="20"/>
          <w:lang w:val="pt-BR"/>
        </w:rPr>
      </w:pPr>
    </w:p>
    <w:p w:rsidR="004756C1" w:rsidRPr="002F50BD" w:rsidRDefault="004756C1">
      <w:pPr>
        <w:numPr>
          <w:ilvl w:val="0"/>
          <w:numId w:val="3"/>
        </w:numPr>
        <w:ind w:firstLine="0"/>
        <w:rPr>
          <w:rFonts w:ascii="Verdana" w:hAnsi="Verdana"/>
          <w:b/>
          <w:sz w:val="20"/>
          <w:lang w:val="pt-BR"/>
        </w:rPr>
      </w:pPr>
      <w:r w:rsidRPr="002F50BD">
        <w:rPr>
          <w:rFonts w:ascii="Verdana" w:hAnsi="Verdana"/>
          <w:b/>
          <w:sz w:val="20"/>
          <w:lang w:val="pt-BR"/>
        </w:rPr>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 xml:space="preserve">Albino Fernández, </w:t>
      </w:r>
      <w:r w:rsidR="0089298C" w:rsidRPr="002F50BD">
        <w:rPr>
          <w:rFonts w:ascii="Verdana" w:hAnsi="Verdana"/>
          <w:b/>
          <w:sz w:val="20"/>
          <w:lang w:val="pt-BR"/>
        </w:rPr>
        <w:t>suposta</w:t>
      </w:r>
      <w:r w:rsidRPr="002F50BD">
        <w:rPr>
          <w:rFonts w:ascii="Verdana" w:hAnsi="Verdana"/>
          <w:b/>
          <w:sz w:val="20"/>
          <w:lang w:val="pt-BR"/>
        </w:rPr>
        <w:t xml:space="preserve"> </w:t>
      </w:r>
      <w:r w:rsidR="0089298C" w:rsidRPr="002F50BD">
        <w:rPr>
          <w:rFonts w:ascii="Verdana" w:hAnsi="Verdana"/>
          <w:b/>
          <w:sz w:val="20"/>
          <w:lang w:val="pt-BR"/>
        </w:rPr>
        <w:t>vítima</w:t>
      </w:r>
    </w:p>
    <w:p w:rsidR="004756C1" w:rsidRPr="002F50BD" w:rsidRDefault="004756C1">
      <w:pPr>
        <w:rPr>
          <w:rFonts w:ascii="Verdana" w:hAnsi="Verdana"/>
          <w:sz w:val="20"/>
          <w:lang w:val="pt-BR"/>
        </w:rPr>
      </w:pPr>
    </w:p>
    <w:p w:rsidR="004756C1" w:rsidRPr="002F50BD" w:rsidRDefault="00313394">
      <w:pPr>
        <w:jc w:val="both"/>
        <w:rPr>
          <w:rFonts w:ascii="Verdana" w:hAnsi="Verdana"/>
          <w:sz w:val="20"/>
          <w:lang w:val="pt-BR"/>
        </w:rPr>
      </w:pPr>
      <w:r w:rsidRPr="002F50BD">
        <w:rPr>
          <w:rFonts w:ascii="Verdana" w:hAnsi="Verdana"/>
          <w:sz w:val="20"/>
          <w:lang w:val="pt-BR"/>
        </w:rPr>
        <w:t>É</w:t>
      </w:r>
      <w:r w:rsidR="004756C1" w:rsidRPr="002F50BD">
        <w:rPr>
          <w:rFonts w:ascii="Verdana" w:hAnsi="Verdana"/>
          <w:sz w:val="20"/>
          <w:lang w:val="pt-BR"/>
        </w:rPr>
        <w:t xml:space="preserve"> </w:t>
      </w:r>
      <w:r w:rsidR="0089298C" w:rsidRPr="002F50BD">
        <w:rPr>
          <w:rFonts w:ascii="Verdana" w:hAnsi="Verdana"/>
          <w:sz w:val="20"/>
          <w:lang w:val="pt-BR"/>
        </w:rPr>
        <w:t xml:space="preserve">membro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e </w:t>
      </w:r>
      <w:r w:rsidRPr="002F50BD">
        <w:rPr>
          <w:rFonts w:ascii="Verdana" w:hAnsi="Verdana"/>
          <w:sz w:val="20"/>
          <w:lang w:val="pt-BR"/>
        </w:rPr>
        <w:t xml:space="preserve">atualmente </w:t>
      </w:r>
      <w:r w:rsidR="004756C1" w:rsidRPr="002F50BD">
        <w:rPr>
          <w:rFonts w:ascii="Verdana" w:hAnsi="Verdana"/>
          <w:sz w:val="20"/>
          <w:lang w:val="pt-BR"/>
        </w:rPr>
        <w:t>vive</w:t>
      </w:r>
      <w:r w:rsidR="0089298C" w:rsidRPr="002F50BD">
        <w:rPr>
          <w:rFonts w:ascii="Verdana" w:hAnsi="Verdana"/>
          <w:sz w:val="20"/>
          <w:lang w:val="pt-BR"/>
        </w:rPr>
        <w:t xml:space="preserve"> na </w:t>
      </w:r>
      <w:r w:rsidR="004756C1" w:rsidRPr="002F50BD">
        <w:rPr>
          <w:rFonts w:ascii="Verdana" w:hAnsi="Verdana"/>
          <w:sz w:val="20"/>
          <w:lang w:val="pt-BR"/>
        </w:rPr>
        <w:t>referida Comu</w:t>
      </w:r>
      <w:r w:rsidR="00AB454A" w:rsidRPr="002F50BD">
        <w:rPr>
          <w:rFonts w:ascii="Verdana" w:hAnsi="Verdana"/>
          <w:sz w:val="20"/>
          <w:lang w:val="pt-BR"/>
        </w:rPr>
        <w:t xml:space="preserve">nidade, </w:t>
      </w:r>
      <w:r w:rsidR="0089298C" w:rsidRPr="002F50BD">
        <w:rPr>
          <w:rFonts w:ascii="Verdana" w:hAnsi="Verdana"/>
          <w:sz w:val="20"/>
          <w:lang w:val="pt-BR"/>
        </w:rPr>
        <w:t xml:space="preserve">na </w:t>
      </w:r>
      <w:r w:rsidR="00A25859" w:rsidRPr="002F50BD">
        <w:rPr>
          <w:rFonts w:ascii="Verdana" w:hAnsi="Verdana"/>
          <w:sz w:val="20"/>
          <w:lang w:val="pt-BR"/>
        </w:rPr>
        <w:t xml:space="preserve">estrada entre Pozo </w:t>
      </w:r>
      <w:r w:rsidR="004756C1" w:rsidRPr="002F50BD">
        <w:rPr>
          <w:rFonts w:ascii="Verdana" w:hAnsi="Verdana"/>
          <w:sz w:val="20"/>
          <w:lang w:val="pt-BR"/>
        </w:rPr>
        <w:t>Colorado</w:t>
      </w:r>
      <w:r w:rsidR="0089298C" w:rsidRPr="002F50BD">
        <w:rPr>
          <w:rFonts w:ascii="Verdana" w:hAnsi="Verdana"/>
          <w:sz w:val="20"/>
          <w:lang w:val="pt-BR"/>
        </w:rPr>
        <w:t xml:space="preserve"> e </w:t>
      </w:r>
      <w:r w:rsidRPr="002F50BD">
        <w:rPr>
          <w:rFonts w:ascii="Verdana" w:hAnsi="Verdana"/>
          <w:sz w:val="20"/>
          <w:lang w:val="pt-BR"/>
        </w:rPr>
        <w:t>Concepción</w:t>
      </w:r>
      <w:r w:rsidR="004756C1" w:rsidRPr="002F50BD">
        <w:rPr>
          <w:rFonts w:ascii="Verdana" w:hAnsi="Verdana"/>
          <w:sz w:val="20"/>
          <w:lang w:val="pt-BR"/>
        </w:rPr>
        <w:t xml:space="preserve">. </w:t>
      </w:r>
      <w:r w:rsidRPr="002F50BD">
        <w:rPr>
          <w:rFonts w:ascii="Verdana" w:hAnsi="Verdana"/>
          <w:sz w:val="20"/>
          <w:lang w:val="pt-BR"/>
        </w:rPr>
        <w:t>É</w:t>
      </w:r>
      <w:r w:rsidR="0089298C" w:rsidRPr="002F50BD">
        <w:rPr>
          <w:rFonts w:ascii="Verdana" w:hAnsi="Verdana"/>
          <w:sz w:val="20"/>
          <w:lang w:val="pt-BR"/>
        </w:rPr>
        <w:t xml:space="preserve"> professor da </w:t>
      </w:r>
      <w:r w:rsidR="004076AD" w:rsidRPr="002F50BD">
        <w:rPr>
          <w:rFonts w:ascii="Verdana" w:hAnsi="Verdana"/>
          <w:sz w:val="20"/>
          <w:lang w:val="pt-BR"/>
        </w:rPr>
        <w:t>escola</w:t>
      </w:r>
      <w:r w:rsidR="0089298C" w:rsidRPr="002F50BD">
        <w:rPr>
          <w:rFonts w:ascii="Verdana" w:hAnsi="Verdana"/>
          <w:sz w:val="20"/>
          <w:lang w:val="pt-BR"/>
        </w:rPr>
        <w:t xml:space="preserve"> da Comunidade </w:t>
      </w:r>
      <w:r w:rsidR="004756C1" w:rsidRPr="002F50BD">
        <w:rPr>
          <w:rFonts w:ascii="Verdana" w:hAnsi="Verdana"/>
          <w:sz w:val="20"/>
          <w:lang w:val="pt-BR"/>
        </w:rPr>
        <w:t xml:space="preserve">desde </w:t>
      </w:r>
      <w:r w:rsidR="00063B47" w:rsidRPr="002F50BD">
        <w:rPr>
          <w:rFonts w:ascii="Verdana" w:hAnsi="Verdana"/>
          <w:sz w:val="20"/>
          <w:lang w:val="pt-BR"/>
        </w:rPr>
        <w:t>1994</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Quando</w:t>
      </w:r>
      <w:r w:rsidR="004756C1" w:rsidRPr="002F50BD">
        <w:rPr>
          <w:rFonts w:ascii="Verdana" w:hAnsi="Verdana"/>
          <w:sz w:val="20"/>
          <w:lang w:val="pt-BR"/>
        </w:rPr>
        <w:t xml:space="preserve"> se </w:t>
      </w:r>
      <w:r w:rsidRPr="002F50BD">
        <w:rPr>
          <w:rFonts w:ascii="Verdana" w:hAnsi="Verdana"/>
          <w:sz w:val="20"/>
          <w:lang w:val="pt-BR"/>
        </w:rPr>
        <w:t>iniciou a luta pela terra</w:t>
      </w:r>
      <w:r w:rsidR="00F2473F"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também</w:t>
      </w:r>
      <w:r w:rsidR="004756C1" w:rsidRPr="002F50BD">
        <w:rPr>
          <w:rFonts w:ascii="Verdana" w:hAnsi="Verdana"/>
          <w:sz w:val="20"/>
          <w:lang w:val="pt-BR"/>
        </w:rPr>
        <w:t xml:space="preserve"> </w:t>
      </w:r>
      <w:r w:rsidRPr="002F50BD">
        <w:rPr>
          <w:rFonts w:ascii="Verdana" w:hAnsi="Verdana"/>
          <w:sz w:val="20"/>
          <w:lang w:val="pt-BR"/>
        </w:rPr>
        <w:t>iniciou</w:t>
      </w:r>
      <w:r w:rsidR="00B94555" w:rsidRPr="002F50BD">
        <w:rPr>
          <w:rFonts w:ascii="Verdana" w:hAnsi="Verdana"/>
          <w:sz w:val="20"/>
          <w:lang w:val="pt-BR"/>
        </w:rPr>
        <w:t>-se</w:t>
      </w:r>
      <w:r w:rsidRPr="002F50BD">
        <w:rPr>
          <w:rFonts w:ascii="Verdana" w:hAnsi="Verdana"/>
          <w:sz w:val="20"/>
          <w:lang w:val="pt-BR"/>
        </w:rPr>
        <w:t xml:space="preserve"> a luta</w:t>
      </w:r>
      <w:r w:rsidR="004756C1" w:rsidRPr="002F50BD">
        <w:rPr>
          <w:rFonts w:ascii="Verdana" w:hAnsi="Verdana"/>
          <w:sz w:val="20"/>
          <w:lang w:val="pt-BR"/>
        </w:rPr>
        <w:t xml:space="preserve"> para</w:t>
      </w:r>
      <w:r w:rsidRPr="002F50BD">
        <w:rPr>
          <w:rFonts w:ascii="Verdana" w:hAnsi="Verdana"/>
          <w:sz w:val="20"/>
          <w:lang w:val="pt-BR"/>
        </w:rPr>
        <w:t xml:space="preserve"> a criação</w:t>
      </w:r>
      <w:r w:rsidR="004756C1" w:rsidRPr="002F50BD">
        <w:rPr>
          <w:rFonts w:ascii="Verdana" w:hAnsi="Verdana"/>
          <w:sz w:val="20"/>
          <w:lang w:val="pt-BR"/>
        </w:rPr>
        <w:t xml:space="preserve"> de</w:t>
      </w:r>
      <w:r w:rsidRPr="002F50BD">
        <w:rPr>
          <w:rFonts w:ascii="Verdana" w:hAnsi="Verdana"/>
          <w:sz w:val="20"/>
          <w:lang w:val="pt-BR"/>
        </w:rPr>
        <w:t xml:space="preserve"> uma </w:t>
      </w:r>
      <w:r w:rsidR="004076AD" w:rsidRPr="002F50BD">
        <w:rPr>
          <w:rFonts w:ascii="Verdana" w:hAnsi="Verdana"/>
          <w:sz w:val="20"/>
          <w:lang w:val="pt-BR"/>
        </w:rPr>
        <w:t>escola</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 xml:space="preserve">a qual foi reconhecida pelo </w:t>
      </w:r>
      <w:r w:rsidR="004756C1" w:rsidRPr="002F50BD">
        <w:rPr>
          <w:rFonts w:ascii="Verdana" w:hAnsi="Verdana"/>
          <w:sz w:val="20"/>
          <w:lang w:val="pt-BR"/>
        </w:rPr>
        <w:t>Estado como “</w:t>
      </w:r>
      <w:r w:rsidR="004076AD" w:rsidRPr="002F50BD">
        <w:rPr>
          <w:rFonts w:ascii="Verdana" w:hAnsi="Verdana"/>
          <w:sz w:val="20"/>
          <w:lang w:val="pt-BR"/>
        </w:rPr>
        <w:t>Escola</w:t>
      </w:r>
      <w:r w:rsidR="004756C1" w:rsidRPr="002F50BD">
        <w:rPr>
          <w:rFonts w:ascii="Verdana" w:hAnsi="Verdana"/>
          <w:sz w:val="20"/>
          <w:lang w:val="pt-BR"/>
        </w:rPr>
        <w:t xml:space="preserve"> Indígena”, </w:t>
      </w:r>
      <w:r w:rsidR="00060B3A" w:rsidRPr="002F50BD">
        <w:rPr>
          <w:rFonts w:ascii="Verdana" w:hAnsi="Verdana"/>
          <w:sz w:val="20"/>
          <w:lang w:val="pt-BR"/>
        </w:rPr>
        <w:t>sendo de</w:t>
      </w:r>
      <w:r w:rsidR="00313394" w:rsidRPr="002F50BD">
        <w:rPr>
          <w:rFonts w:ascii="Verdana" w:hAnsi="Verdana"/>
          <w:sz w:val="20"/>
          <w:lang w:val="pt-BR"/>
        </w:rPr>
        <w:t xml:space="preserve">signado um montante </w:t>
      </w:r>
      <w:r w:rsidR="004756C1" w:rsidRPr="002F50BD">
        <w:rPr>
          <w:rFonts w:ascii="Verdana" w:hAnsi="Verdana"/>
          <w:sz w:val="20"/>
          <w:lang w:val="pt-BR"/>
        </w:rPr>
        <w:t>para</w:t>
      </w:r>
      <w:r w:rsidRPr="002F50BD">
        <w:rPr>
          <w:rFonts w:ascii="Verdana" w:hAnsi="Verdana"/>
          <w:sz w:val="20"/>
          <w:lang w:val="pt-BR"/>
        </w:rPr>
        <w:t xml:space="preserve"> o pagamento</w:t>
      </w:r>
      <w:r w:rsidR="004756C1" w:rsidRPr="002F50BD">
        <w:rPr>
          <w:rFonts w:ascii="Verdana" w:hAnsi="Verdana"/>
          <w:sz w:val="20"/>
          <w:lang w:val="pt-BR"/>
        </w:rPr>
        <w:t xml:space="preserve"> de</w:t>
      </w:r>
      <w:r w:rsidRPr="002F50BD">
        <w:rPr>
          <w:rFonts w:ascii="Verdana" w:hAnsi="Verdana"/>
          <w:sz w:val="20"/>
          <w:lang w:val="pt-BR"/>
        </w:rPr>
        <w:t xml:space="preserve"> um </w:t>
      </w:r>
      <w:r w:rsidR="00AB454A" w:rsidRPr="002F50BD">
        <w:rPr>
          <w:rFonts w:ascii="Verdana" w:hAnsi="Verdana"/>
          <w:sz w:val="20"/>
          <w:lang w:val="pt-BR"/>
        </w:rPr>
        <w:t>professor</w:t>
      </w:r>
      <w:r w:rsidRPr="002F50BD">
        <w:rPr>
          <w:rFonts w:ascii="Verdana" w:hAnsi="Verdana"/>
          <w:sz w:val="20"/>
          <w:lang w:val="pt-BR"/>
        </w:rPr>
        <w:t xml:space="preserve"> em </w:t>
      </w:r>
      <w:r w:rsidR="00063B47" w:rsidRPr="002F50BD">
        <w:rPr>
          <w:rFonts w:ascii="Verdana" w:hAnsi="Verdana"/>
          <w:sz w:val="20"/>
          <w:lang w:val="pt-BR"/>
        </w:rPr>
        <w:t>1996</w:t>
      </w:r>
      <w:r w:rsidR="001A0CDE" w:rsidRPr="002F50BD">
        <w:rPr>
          <w:rFonts w:ascii="Verdana" w:hAnsi="Verdana"/>
          <w:sz w:val="20"/>
          <w:lang w:val="pt-BR"/>
        </w:rPr>
        <w:t>. Est</w:t>
      </w:r>
      <w:r w:rsidR="004756C1" w:rsidRPr="002F50BD">
        <w:rPr>
          <w:rFonts w:ascii="Verdana" w:hAnsi="Verdana"/>
          <w:sz w:val="20"/>
          <w:lang w:val="pt-BR"/>
        </w:rPr>
        <w:t xml:space="preserve">a </w:t>
      </w:r>
      <w:r w:rsidR="004076AD" w:rsidRPr="002F50BD">
        <w:rPr>
          <w:rFonts w:ascii="Verdana" w:hAnsi="Verdana"/>
          <w:sz w:val="20"/>
          <w:lang w:val="pt-BR"/>
        </w:rPr>
        <w:t>escola</w:t>
      </w:r>
      <w:r w:rsidR="004756C1" w:rsidRPr="002F50BD">
        <w:rPr>
          <w:rFonts w:ascii="Verdana" w:hAnsi="Verdana"/>
          <w:sz w:val="20"/>
          <w:lang w:val="pt-BR"/>
        </w:rPr>
        <w:t xml:space="preserve"> está situada dentro </w:t>
      </w:r>
      <w:r w:rsidRPr="002F50BD">
        <w:rPr>
          <w:rFonts w:ascii="Verdana" w:hAnsi="Verdana"/>
          <w:sz w:val="20"/>
          <w:lang w:val="pt-BR"/>
        </w:rPr>
        <w:t>do atual</w:t>
      </w:r>
      <w:r w:rsidR="004756C1" w:rsidRPr="002F50BD">
        <w:rPr>
          <w:rFonts w:ascii="Verdana" w:hAnsi="Verdana"/>
          <w:sz w:val="20"/>
          <w:lang w:val="pt-BR"/>
        </w:rPr>
        <w:t xml:space="preserve"> </w:t>
      </w:r>
      <w:r w:rsidR="00AB454A" w:rsidRPr="002F50BD">
        <w:rPr>
          <w:rFonts w:ascii="Verdana" w:hAnsi="Verdana"/>
          <w:sz w:val="20"/>
          <w:lang w:val="pt-BR"/>
        </w:rPr>
        <w:t>assentamento</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 </w:t>
      </w:r>
      <w:r w:rsidR="00313394" w:rsidRPr="002F50BD">
        <w:rPr>
          <w:rFonts w:ascii="Verdana" w:hAnsi="Verdana"/>
          <w:sz w:val="20"/>
          <w:lang w:val="pt-BR"/>
        </w:rPr>
        <w:t>n</w:t>
      </w:r>
      <w:r w:rsidRPr="002F50BD">
        <w:rPr>
          <w:rFonts w:ascii="Verdana" w:hAnsi="Verdana"/>
          <w:sz w:val="20"/>
          <w:lang w:val="pt-BR"/>
        </w:rPr>
        <w:t>ela</w:t>
      </w:r>
      <w:r w:rsidR="004756C1" w:rsidRPr="002F50BD">
        <w:rPr>
          <w:rFonts w:ascii="Verdana" w:hAnsi="Verdana"/>
          <w:sz w:val="20"/>
          <w:lang w:val="pt-BR"/>
        </w:rPr>
        <w:t xml:space="preserve"> </w:t>
      </w:r>
      <w:r w:rsidR="00313394" w:rsidRPr="002F50BD">
        <w:rPr>
          <w:rFonts w:ascii="Verdana" w:hAnsi="Verdana"/>
          <w:sz w:val="20"/>
          <w:lang w:val="pt-BR"/>
        </w:rPr>
        <w:t>estão inscrit</w:t>
      </w:r>
      <w:r w:rsidR="00F2473F" w:rsidRPr="002F50BD">
        <w:rPr>
          <w:rFonts w:ascii="Verdana" w:hAnsi="Verdana"/>
          <w:sz w:val="20"/>
          <w:lang w:val="pt-BR"/>
        </w:rPr>
        <w:t>a</w:t>
      </w:r>
      <w:r w:rsidR="00313394" w:rsidRPr="002F50BD">
        <w:rPr>
          <w:rFonts w:ascii="Verdana" w:hAnsi="Verdana"/>
          <w:sz w:val="20"/>
          <w:lang w:val="pt-BR"/>
        </w:rPr>
        <w:t xml:space="preserve">s </w:t>
      </w:r>
      <w:r w:rsidR="004756C1" w:rsidRPr="002F50BD">
        <w:rPr>
          <w:rFonts w:ascii="Verdana" w:hAnsi="Verdana"/>
          <w:sz w:val="20"/>
          <w:lang w:val="pt-BR"/>
        </w:rPr>
        <w:t xml:space="preserve">regularmente </w:t>
      </w:r>
      <w:r w:rsidR="00063B47" w:rsidRPr="002F50BD">
        <w:rPr>
          <w:rFonts w:ascii="Verdana" w:hAnsi="Verdana"/>
          <w:sz w:val="20"/>
          <w:lang w:val="pt-BR"/>
        </w:rPr>
        <w:t>57</w:t>
      </w:r>
      <w:r w:rsidR="004756C1" w:rsidRPr="002F50BD">
        <w:rPr>
          <w:rFonts w:ascii="Verdana" w:hAnsi="Verdana"/>
          <w:sz w:val="20"/>
          <w:lang w:val="pt-BR"/>
        </w:rPr>
        <w:t xml:space="preserve"> </w:t>
      </w:r>
      <w:r w:rsidRPr="002F50BD">
        <w:rPr>
          <w:rFonts w:ascii="Verdana" w:hAnsi="Verdana"/>
          <w:sz w:val="20"/>
          <w:lang w:val="pt-BR"/>
        </w:rPr>
        <w:t>crianças</w:t>
      </w:r>
      <w:r w:rsidR="004756C1" w:rsidRPr="002F50BD">
        <w:rPr>
          <w:rFonts w:ascii="Verdana" w:hAnsi="Verdana"/>
          <w:sz w:val="20"/>
          <w:lang w:val="pt-BR"/>
        </w:rPr>
        <w:t>.</w:t>
      </w:r>
      <w:r w:rsidR="00FE08B7">
        <w:rPr>
          <w:rFonts w:ascii="Verdana" w:hAnsi="Verdana"/>
          <w:sz w:val="20"/>
          <w:lang w:val="pt-BR"/>
        </w:rPr>
        <w:t xml:space="preserve"> </w:t>
      </w:r>
      <w:r w:rsidR="00313394" w:rsidRPr="002F50BD">
        <w:rPr>
          <w:rFonts w:ascii="Verdana" w:hAnsi="Verdana"/>
          <w:sz w:val="20"/>
          <w:lang w:val="pt-BR"/>
        </w:rPr>
        <w:t>Entretanto</w:t>
      </w:r>
      <w:r w:rsidR="004756C1" w:rsidRPr="002F50BD">
        <w:rPr>
          <w:rFonts w:ascii="Verdana" w:hAnsi="Verdana"/>
          <w:sz w:val="20"/>
          <w:lang w:val="pt-BR"/>
        </w:rPr>
        <w:t xml:space="preserve">, </w:t>
      </w:r>
      <w:r w:rsidRPr="002F50BD">
        <w:rPr>
          <w:rFonts w:ascii="Verdana" w:hAnsi="Verdana"/>
          <w:sz w:val="20"/>
          <w:lang w:val="pt-BR"/>
        </w:rPr>
        <w:t>algu</w:t>
      </w:r>
      <w:r w:rsidR="00313394" w:rsidRPr="002F50BD">
        <w:rPr>
          <w:rFonts w:ascii="Verdana" w:hAnsi="Verdana"/>
          <w:sz w:val="20"/>
          <w:lang w:val="pt-BR"/>
        </w:rPr>
        <w:t>ma</w:t>
      </w:r>
      <w:r w:rsidRPr="002F50BD">
        <w:rPr>
          <w:rFonts w:ascii="Verdana" w:hAnsi="Verdana"/>
          <w:sz w:val="20"/>
          <w:lang w:val="pt-BR"/>
        </w:rPr>
        <w:t>s crianças</w:t>
      </w:r>
      <w:r w:rsidR="00313394" w:rsidRPr="002F50BD">
        <w:rPr>
          <w:rFonts w:ascii="Verdana" w:hAnsi="Verdana"/>
          <w:sz w:val="20"/>
          <w:lang w:val="pt-BR"/>
        </w:rPr>
        <w:t xml:space="preserve"> abandonam</w:t>
      </w:r>
      <w:r w:rsidRPr="002F50BD">
        <w:rPr>
          <w:rFonts w:ascii="Verdana" w:hAnsi="Verdana"/>
          <w:sz w:val="20"/>
          <w:lang w:val="pt-BR"/>
        </w:rPr>
        <w:t xml:space="preserve"> a </w:t>
      </w:r>
      <w:r w:rsidR="004076AD" w:rsidRPr="002F50BD">
        <w:rPr>
          <w:rFonts w:ascii="Verdana" w:hAnsi="Verdana"/>
          <w:sz w:val="20"/>
          <w:lang w:val="pt-BR"/>
        </w:rPr>
        <w:t>escola</w:t>
      </w:r>
      <w:r w:rsidR="00B94555" w:rsidRPr="002F50BD">
        <w:rPr>
          <w:rFonts w:ascii="Verdana" w:hAnsi="Verdana"/>
          <w:sz w:val="20"/>
          <w:lang w:val="pt-BR"/>
        </w:rPr>
        <w:t xml:space="preserve"> porque adoece</w:t>
      </w:r>
      <w:r w:rsidR="00CF451D">
        <w:rPr>
          <w:rFonts w:ascii="Verdana" w:hAnsi="Verdana"/>
          <w:sz w:val="20"/>
          <w:lang w:val="pt-BR"/>
        </w:rPr>
        <w:t>m</w:t>
      </w:r>
      <w:r w:rsidR="004756C1" w:rsidRPr="002F50BD">
        <w:rPr>
          <w:rFonts w:ascii="Verdana" w:hAnsi="Verdana"/>
          <w:sz w:val="20"/>
          <w:lang w:val="pt-BR"/>
        </w:rPr>
        <w:t xml:space="preserve"> o</w:t>
      </w:r>
      <w:r w:rsidR="00313394" w:rsidRPr="002F50BD">
        <w:rPr>
          <w:rFonts w:ascii="Verdana" w:hAnsi="Verdana"/>
          <w:sz w:val="20"/>
          <w:lang w:val="pt-BR"/>
        </w:rPr>
        <w:t>u</w:t>
      </w:r>
      <w:r w:rsidR="004756C1" w:rsidRPr="002F50BD">
        <w:rPr>
          <w:rFonts w:ascii="Verdana" w:hAnsi="Verdana"/>
          <w:sz w:val="20"/>
          <w:lang w:val="pt-BR"/>
        </w:rPr>
        <w:t xml:space="preserve"> porque </w:t>
      </w:r>
      <w:r w:rsidRPr="002F50BD">
        <w:rPr>
          <w:rFonts w:ascii="Verdana" w:hAnsi="Verdana"/>
          <w:sz w:val="20"/>
          <w:lang w:val="pt-BR"/>
        </w:rPr>
        <w:t xml:space="preserve">não possuem </w:t>
      </w:r>
      <w:r w:rsidR="004756C1" w:rsidRPr="002F50BD">
        <w:rPr>
          <w:rFonts w:ascii="Verdana" w:hAnsi="Verdana"/>
          <w:sz w:val="20"/>
          <w:lang w:val="pt-BR"/>
        </w:rPr>
        <w:t>comida</w:t>
      </w:r>
      <w:r w:rsidRPr="002F50BD">
        <w:rPr>
          <w:rFonts w:ascii="Verdana" w:hAnsi="Verdana"/>
          <w:sz w:val="20"/>
          <w:lang w:val="pt-BR"/>
        </w:rPr>
        <w:t xml:space="preserve"> nem</w:t>
      </w:r>
      <w:r w:rsidR="00AB454A" w:rsidRPr="002F50BD">
        <w:rPr>
          <w:rFonts w:ascii="Verdana" w:hAnsi="Verdana"/>
          <w:sz w:val="20"/>
          <w:lang w:val="pt-BR"/>
        </w:rPr>
        <w:t xml:space="preserve"> água</w:t>
      </w:r>
      <w:r w:rsidR="00B94555" w:rsidRPr="002F50BD">
        <w:rPr>
          <w:rFonts w:ascii="Verdana" w:hAnsi="Verdana"/>
          <w:sz w:val="20"/>
          <w:lang w:val="pt-BR"/>
        </w:rPr>
        <w:t>,</w:t>
      </w:r>
      <w:r w:rsidR="00AB454A" w:rsidRPr="002F50BD">
        <w:rPr>
          <w:rFonts w:ascii="Verdana" w:hAnsi="Verdana"/>
          <w:sz w:val="20"/>
          <w:lang w:val="pt-BR"/>
        </w:rPr>
        <w:t xml:space="preserve"> </w:t>
      </w:r>
      <w:r w:rsidRPr="002F50BD">
        <w:rPr>
          <w:rFonts w:ascii="Verdana" w:hAnsi="Verdana"/>
          <w:sz w:val="20"/>
          <w:lang w:val="pt-BR"/>
        </w:rPr>
        <w:t xml:space="preserve">e </w:t>
      </w:r>
      <w:r w:rsidR="004756C1" w:rsidRPr="002F50BD">
        <w:rPr>
          <w:rFonts w:ascii="Verdana" w:hAnsi="Verdana"/>
          <w:sz w:val="20"/>
          <w:lang w:val="pt-BR"/>
        </w:rPr>
        <w:t>n</w:t>
      </w:r>
      <w:r w:rsidR="00313394" w:rsidRPr="002F50BD">
        <w:rPr>
          <w:rFonts w:ascii="Verdana" w:hAnsi="Verdana"/>
          <w:sz w:val="20"/>
          <w:lang w:val="pt-BR"/>
        </w:rPr>
        <w:t>ã</w:t>
      </w:r>
      <w:r w:rsidR="004756C1" w:rsidRPr="002F50BD">
        <w:rPr>
          <w:rFonts w:ascii="Verdana" w:hAnsi="Verdana"/>
          <w:sz w:val="20"/>
          <w:lang w:val="pt-BR"/>
        </w:rPr>
        <w:t>o resist</w:t>
      </w:r>
      <w:r w:rsidR="00313394" w:rsidRPr="002F50BD">
        <w:rPr>
          <w:rFonts w:ascii="Verdana" w:hAnsi="Verdana"/>
          <w:sz w:val="20"/>
          <w:lang w:val="pt-BR"/>
        </w:rPr>
        <w:t xml:space="preserve">em </w:t>
      </w:r>
      <w:r w:rsidR="00313394" w:rsidRPr="002F50BD">
        <w:rPr>
          <w:rFonts w:ascii="Verdana" w:hAnsi="Verdana"/>
          <w:sz w:val="20"/>
          <w:lang w:val="pt-BR"/>
        </w:rPr>
        <w:lastRenderedPageBreak/>
        <w:t xml:space="preserve">ao </w:t>
      </w:r>
      <w:r w:rsidRPr="002F50BD">
        <w:rPr>
          <w:rFonts w:ascii="Verdana" w:hAnsi="Verdana"/>
          <w:sz w:val="20"/>
          <w:lang w:val="pt-BR"/>
        </w:rPr>
        <w:t>estudo</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Outr</w:t>
      </w:r>
      <w:r w:rsidR="00F2473F" w:rsidRPr="002F50BD">
        <w:rPr>
          <w:rFonts w:ascii="Verdana" w:hAnsi="Verdana"/>
          <w:sz w:val="20"/>
          <w:lang w:val="pt-BR"/>
        </w:rPr>
        <w:t>a</w:t>
      </w:r>
      <w:r w:rsidRPr="002F50BD">
        <w:rPr>
          <w:rFonts w:ascii="Verdana" w:hAnsi="Verdana"/>
          <w:sz w:val="20"/>
          <w:lang w:val="pt-BR"/>
        </w:rPr>
        <w:t>s</w:t>
      </w:r>
      <w:r w:rsidR="004756C1" w:rsidRPr="002F50BD">
        <w:rPr>
          <w:rFonts w:ascii="Verdana" w:hAnsi="Verdana"/>
          <w:sz w:val="20"/>
          <w:lang w:val="pt-BR"/>
        </w:rPr>
        <w:t xml:space="preserve"> </w:t>
      </w:r>
      <w:r w:rsidRPr="002F50BD">
        <w:rPr>
          <w:rFonts w:ascii="Verdana" w:hAnsi="Verdana"/>
          <w:sz w:val="20"/>
          <w:lang w:val="pt-BR"/>
        </w:rPr>
        <w:t xml:space="preserve">não possuem </w:t>
      </w:r>
      <w:r w:rsidR="004756C1" w:rsidRPr="002F50BD">
        <w:rPr>
          <w:rFonts w:ascii="Verdana" w:hAnsi="Verdana"/>
          <w:sz w:val="20"/>
          <w:lang w:val="pt-BR"/>
        </w:rPr>
        <w:t>ro</w:t>
      </w:r>
      <w:r w:rsidR="00313394" w:rsidRPr="002F50BD">
        <w:rPr>
          <w:rFonts w:ascii="Verdana" w:hAnsi="Verdana"/>
          <w:sz w:val="20"/>
          <w:lang w:val="pt-BR"/>
        </w:rPr>
        <w:t>u</w:t>
      </w:r>
      <w:r w:rsidR="004756C1" w:rsidRPr="002F50BD">
        <w:rPr>
          <w:rFonts w:ascii="Verdana" w:hAnsi="Verdana"/>
          <w:sz w:val="20"/>
          <w:lang w:val="pt-BR"/>
        </w:rPr>
        <w:t>pa</w:t>
      </w:r>
      <w:r w:rsidRPr="002F50BD">
        <w:rPr>
          <w:rFonts w:ascii="Verdana" w:hAnsi="Verdana"/>
          <w:sz w:val="20"/>
          <w:lang w:val="pt-BR"/>
        </w:rPr>
        <w:t xml:space="preserve"> nem </w:t>
      </w:r>
      <w:r w:rsidR="00313394" w:rsidRPr="002F50BD">
        <w:rPr>
          <w:rFonts w:ascii="Verdana" w:hAnsi="Verdana"/>
          <w:sz w:val="20"/>
          <w:lang w:val="pt-BR"/>
        </w:rPr>
        <w:t>s</w:t>
      </w:r>
      <w:r w:rsidR="004756C1" w:rsidRPr="002F50BD">
        <w:rPr>
          <w:rFonts w:ascii="Verdana" w:hAnsi="Verdana"/>
          <w:sz w:val="20"/>
          <w:lang w:val="pt-BR"/>
        </w:rPr>
        <w:t>apatos</w:t>
      </w:r>
      <w:r w:rsidRPr="002F50BD">
        <w:rPr>
          <w:rFonts w:ascii="Verdana" w:hAnsi="Verdana"/>
          <w:sz w:val="20"/>
          <w:lang w:val="pt-BR"/>
        </w:rPr>
        <w:t xml:space="preserve"> e têm</w:t>
      </w:r>
      <w:r w:rsidR="004756C1" w:rsidRPr="002F50BD">
        <w:rPr>
          <w:rFonts w:ascii="Verdana" w:hAnsi="Verdana"/>
          <w:sz w:val="20"/>
          <w:lang w:val="pt-BR"/>
        </w:rPr>
        <w:t xml:space="preserve"> </w:t>
      </w:r>
      <w:r w:rsidR="004076AD" w:rsidRPr="002F50BD">
        <w:rPr>
          <w:rFonts w:ascii="Verdana" w:hAnsi="Verdana"/>
          <w:sz w:val="20"/>
          <w:lang w:val="pt-BR"/>
        </w:rPr>
        <w:t>vergonha</w:t>
      </w:r>
      <w:r w:rsidR="004756C1" w:rsidRPr="002F50BD">
        <w:rPr>
          <w:rFonts w:ascii="Verdana" w:hAnsi="Verdana"/>
          <w:sz w:val="20"/>
          <w:lang w:val="pt-BR"/>
        </w:rPr>
        <w:t xml:space="preserve"> de a</w:t>
      </w:r>
      <w:r w:rsidR="00313394" w:rsidRPr="002F50BD">
        <w:rPr>
          <w:rFonts w:ascii="Verdana" w:hAnsi="Verdana"/>
          <w:sz w:val="20"/>
          <w:lang w:val="pt-BR"/>
        </w:rPr>
        <w:t>s</w:t>
      </w:r>
      <w:r w:rsidR="004756C1" w:rsidRPr="002F50BD">
        <w:rPr>
          <w:rFonts w:ascii="Verdana" w:hAnsi="Verdana"/>
          <w:sz w:val="20"/>
          <w:lang w:val="pt-BR"/>
        </w:rPr>
        <w:t>sistir a</w:t>
      </w:r>
      <w:r w:rsidR="00313394" w:rsidRPr="002F50BD">
        <w:rPr>
          <w:rFonts w:ascii="Verdana" w:hAnsi="Verdana"/>
          <w:sz w:val="20"/>
          <w:lang w:val="pt-BR"/>
        </w:rPr>
        <w:t>s</w:t>
      </w:r>
      <w:r w:rsidR="004756C1" w:rsidRPr="002F50BD">
        <w:rPr>
          <w:rFonts w:ascii="Verdana" w:hAnsi="Verdana"/>
          <w:sz w:val="20"/>
          <w:lang w:val="pt-BR"/>
        </w:rPr>
        <w:t xml:space="preserve"> </w:t>
      </w:r>
      <w:r w:rsidR="00313394" w:rsidRPr="002F50BD">
        <w:rPr>
          <w:rFonts w:ascii="Verdana" w:hAnsi="Verdana"/>
          <w:sz w:val="20"/>
          <w:lang w:val="pt-BR"/>
        </w:rPr>
        <w:t xml:space="preserve">aulas </w:t>
      </w:r>
      <w:r w:rsidRPr="002F50BD">
        <w:rPr>
          <w:rFonts w:ascii="Verdana" w:hAnsi="Verdana"/>
          <w:sz w:val="20"/>
          <w:lang w:val="pt-BR"/>
        </w:rPr>
        <w:t>assim</w:t>
      </w:r>
      <w:r w:rsidR="004756C1" w:rsidRPr="002F50BD">
        <w:rPr>
          <w:rFonts w:ascii="Verdana" w:hAnsi="Verdana"/>
          <w:sz w:val="20"/>
          <w:lang w:val="pt-BR"/>
        </w:rPr>
        <w:t xml:space="preserve">. </w:t>
      </w:r>
      <w:r w:rsidR="00313394" w:rsidRPr="002F50BD">
        <w:rPr>
          <w:rFonts w:ascii="Verdana" w:hAnsi="Verdana"/>
          <w:sz w:val="20"/>
          <w:lang w:val="pt-BR"/>
        </w:rPr>
        <w:t>O</w:t>
      </w:r>
      <w:r w:rsidRPr="002F50BD">
        <w:rPr>
          <w:rFonts w:ascii="Verdana" w:hAnsi="Verdana"/>
          <w:sz w:val="20"/>
          <w:lang w:val="pt-BR"/>
        </w:rPr>
        <w:t>s pai</w:t>
      </w:r>
      <w:r w:rsidR="004756C1" w:rsidRPr="002F50BD">
        <w:rPr>
          <w:rFonts w:ascii="Verdana" w:hAnsi="Verdana"/>
          <w:sz w:val="20"/>
          <w:lang w:val="pt-BR"/>
        </w:rPr>
        <w:t>s</w:t>
      </w:r>
      <w:r w:rsidRPr="002F50BD">
        <w:rPr>
          <w:rFonts w:ascii="Verdana" w:hAnsi="Verdana"/>
          <w:sz w:val="20"/>
          <w:lang w:val="pt-BR"/>
        </w:rPr>
        <w:t xml:space="preserve"> da maioria das crianças</w:t>
      </w:r>
      <w:r w:rsidR="004756C1" w:rsidRPr="002F50BD">
        <w:rPr>
          <w:rFonts w:ascii="Verdana" w:hAnsi="Verdana"/>
          <w:sz w:val="20"/>
          <w:lang w:val="pt-BR"/>
        </w:rPr>
        <w:t xml:space="preserve"> </w:t>
      </w:r>
      <w:r w:rsidRPr="002F50BD">
        <w:rPr>
          <w:rFonts w:ascii="Verdana" w:hAnsi="Verdana"/>
          <w:sz w:val="20"/>
          <w:lang w:val="pt-BR"/>
        </w:rPr>
        <w:t>não possuem trabalho</w:t>
      </w:r>
      <w:r w:rsidR="004756C1" w:rsidRPr="002F50BD">
        <w:rPr>
          <w:rFonts w:ascii="Verdana" w:hAnsi="Verdana"/>
          <w:sz w:val="20"/>
          <w:lang w:val="pt-BR"/>
        </w:rPr>
        <w:t xml:space="preserve">. </w:t>
      </w:r>
      <w:r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AB454A" w:rsidRPr="002F50BD">
        <w:rPr>
          <w:rFonts w:ascii="Verdana" w:hAnsi="Verdana"/>
          <w:sz w:val="20"/>
          <w:lang w:val="pt-BR"/>
        </w:rPr>
        <w:t>não pode</w:t>
      </w:r>
      <w:r w:rsidR="00313394" w:rsidRPr="002F50BD">
        <w:rPr>
          <w:rFonts w:ascii="Verdana" w:hAnsi="Verdana"/>
          <w:sz w:val="20"/>
          <w:lang w:val="pt-BR"/>
        </w:rPr>
        <w:t>m</w:t>
      </w:r>
      <w:r w:rsidR="004756C1" w:rsidRPr="002F50BD">
        <w:rPr>
          <w:rFonts w:ascii="Verdana" w:hAnsi="Verdana"/>
          <w:sz w:val="20"/>
          <w:lang w:val="pt-BR"/>
        </w:rPr>
        <w:t xml:space="preserve"> cultivar porque</w:t>
      </w:r>
      <w:r w:rsidRPr="002F50BD">
        <w:rPr>
          <w:rFonts w:ascii="Verdana" w:hAnsi="Verdana"/>
          <w:sz w:val="20"/>
          <w:lang w:val="pt-BR"/>
        </w:rPr>
        <w:t xml:space="preserve"> </w:t>
      </w:r>
      <w:r w:rsidR="00F2473F" w:rsidRPr="002F50BD">
        <w:rPr>
          <w:rFonts w:ascii="Verdana" w:hAnsi="Verdana"/>
          <w:sz w:val="20"/>
          <w:lang w:val="pt-BR"/>
        </w:rPr>
        <w:t xml:space="preserve">o local </w:t>
      </w:r>
      <w:r w:rsidRPr="002F50BD">
        <w:rPr>
          <w:rFonts w:ascii="Verdana" w:hAnsi="Verdana"/>
          <w:sz w:val="20"/>
          <w:lang w:val="pt-BR"/>
        </w:rPr>
        <w:t xml:space="preserve">onde estão </w:t>
      </w:r>
      <w:r w:rsidR="004756C1" w:rsidRPr="002F50BD">
        <w:rPr>
          <w:rFonts w:ascii="Verdana" w:hAnsi="Verdana"/>
          <w:sz w:val="20"/>
          <w:lang w:val="pt-BR"/>
        </w:rPr>
        <w:t>a</w:t>
      </w:r>
      <w:r w:rsidR="00313394" w:rsidRPr="002F50BD">
        <w:rPr>
          <w:rFonts w:ascii="Verdana" w:hAnsi="Verdana"/>
          <w:sz w:val="20"/>
          <w:lang w:val="pt-BR"/>
        </w:rPr>
        <w:t>s</w:t>
      </w:r>
      <w:r w:rsidR="004756C1" w:rsidRPr="002F50BD">
        <w:rPr>
          <w:rFonts w:ascii="Verdana" w:hAnsi="Verdana"/>
          <w:sz w:val="20"/>
          <w:lang w:val="pt-BR"/>
        </w:rPr>
        <w:t>sentados</w:t>
      </w:r>
      <w:r w:rsidRPr="002F50BD">
        <w:rPr>
          <w:rFonts w:ascii="Verdana" w:hAnsi="Verdana"/>
          <w:sz w:val="20"/>
          <w:lang w:val="pt-BR"/>
        </w:rPr>
        <w:t xml:space="preserve"> é uma </w:t>
      </w:r>
      <w:r w:rsidR="00060B3A" w:rsidRPr="002F50BD">
        <w:rPr>
          <w:rFonts w:ascii="Verdana" w:hAnsi="Verdana"/>
          <w:sz w:val="20"/>
          <w:lang w:val="pt-BR"/>
        </w:rPr>
        <w:t>faixa de terra</w:t>
      </w:r>
      <w:r w:rsidR="00313394" w:rsidRPr="002F50BD">
        <w:rPr>
          <w:rFonts w:ascii="Verdana" w:hAnsi="Verdana"/>
          <w:sz w:val="20"/>
          <w:lang w:val="pt-BR"/>
        </w:rPr>
        <w:t xml:space="preserve"> </w:t>
      </w:r>
      <w:r w:rsidR="004756C1" w:rsidRPr="002F50BD">
        <w:rPr>
          <w:rFonts w:ascii="Verdana" w:hAnsi="Verdana"/>
          <w:sz w:val="20"/>
          <w:lang w:val="pt-BR"/>
        </w:rPr>
        <w:t>que</w:t>
      </w:r>
      <w:r w:rsidRPr="002F50BD">
        <w:rPr>
          <w:rFonts w:ascii="Verdana" w:hAnsi="Verdana"/>
          <w:sz w:val="20"/>
          <w:lang w:val="pt-BR"/>
        </w:rPr>
        <w:t xml:space="preserve"> as </w:t>
      </w:r>
      <w:r w:rsidR="004756C1" w:rsidRPr="002F50BD">
        <w:rPr>
          <w:rFonts w:ascii="Verdana" w:hAnsi="Verdana"/>
          <w:sz w:val="20"/>
          <w:lang w:val="pt-BR"/>
        </w:rPr>
        <w:t xml:space="preserve">autoridades </w:t>
      </w:r>
      <w:r w:rsidRPr="002F50BD">
        <w:rPr>
          <w:rFonts w:ascii="Verdana" w:hAnsi="Verdana"/>
          <w:sz w:val="20"/>
          <w:lang w:val="pt-BR"/>
        </w:rPr>
        <w:t>qualific</w:t>
      </w:r>
      <w:r w:rsidR="00313394" w:rsidRPr="002F50BD">
        <w:rPr>
          <w:rFonts w:ascii="Verdana" w:hAnsi="Verdana"/>
          <w:sz w:val="20"/>
          <w:lang w:val="pt-BR"/>
        </w:rPr>
        <w:t>am</w:t>
      </w:r>
      <w:r w:rsidR="004756C1" w:rsidRPr="002F50BD">
        <w:rPr>
          <w:rFonts w:ascii="Verdana" w:hAnsi="Verdana"/>
          <w:sz w:val="20"/>
          <w:lang w:val="pt-BR"/>
        </w:rPr>
        <w:t xml:space="preserve"> como “camin</w:t>
      </w:r>
      <w:r w:rsidR="00313394" w:rsidRPr="002F50BD">
        <w:rPr>
          <w:rFonts w:ascii="Verdana" w:hAnsi="Verdana"/>
          <w:sz w:val="20"/>
          <w:lang w:val="pt-BR"/>
        </w:rPr>
        <w:t>h</w:t>
      </w:r>
      <w:r w:rsidR="004756C1" w:rsidRPr="002F50BD">
        <w:rPr>
          <w:rFonts w:ascii="Verdana" w:hAnsi="Verdana"/>
          <w:sz w:val="20"/>
          <w:lang w:val="pt-BR"/>
        </w:rPr>
        <w:t>o público”</w:t>
      </w:r>
      <w:r w:rsidRPr="002F50BD">
        <w:rPr>
          <w:rFonts w:ascii="Verdana" w:hAnsi="Verdana"/>
          <w:sz w:val="20"/>
          <w:lang w:val="pt-BR"/>
        </w:rPr>
        <w:t xml:space="preserve"> e também</w:t>
      </w:r>
      <w:r w:rsidR="004756C1" w:rsidRPr="002F50BD">
        <w:rPr>
          <w:rFonts w:ascii="Verdana" w:hAnsi="Verdana"/>
          <w:sz w:val="20"/>
          <w:lang w:val="pt-BR"/>
        </w:rPr>
        <w:t xml:space="preserve"> porque </w:t>
      </w:r>
      <w:r w:rsidRPr="002F50BD">
        <w:rPr>
          <w:rFonts w:ascii="Verdana" w:hAnsi="Verdana"/>
          <w:sz w:val="20"/>
          <w:lang w:val="pt-BR"/>
        </w:rPr>
        <w:t xml:space="preserve">lhes </w:t>
      </w:r>
      <w:r w:rsidR="00313394" w:rsidRPr="002F50BD">
        <w:rPr>
          <w:rFonts w:ascii="Verdana" w:hAnsi="Verdana"/>
          <w:sz w:val="20"/>
          <w:lang w:val="pt-BR"/>
        </w:rPr>
        <w:t xml:space="preserve">foi </w:t>
      </w:r>
      <w:r w:rsidR="00AB454A" w:rsidRPr="002F50BD">
        <w:rPr>
          <w:rFonts w:ascii="Verdana" w:hAnsi="Verdana"/>
          <w:sz w:val="20"/>
          <w:lang w:val="pt-BR"/>
        </w:rPr>
        <w:t>proibid</w:t>
      </w:r>
      <w:r w:rsidR="004756C1" w:rsidRPr="002F50BD">
        <w:rPr>
          <w:rFonts w:ascii="Verdana" w:hAnsi="Verdana"/>
          <w:sz w:val="20"/>
          <w:lang w:val="pt-BR"/>
        </w:rPr>
        <w:t xml:space="preserve">o </w:t>
      </w:r>
      <w:r w:rsidR="00AB454A" w:rsidRPr="002F50BD">
        <w:rPr>
          <w:rFonts w:ascii="Verdana" w:hAnsi="Verdana"/>
          <w:sz w:val="20"/>
          <w:lang w:val="pt-BR"/>
        </w:rPr>
        <w:t>caça</w:t>
      </w:r>
      <w:r w:rsidR="004756C1" w:rsidRPr="002F50BD">
        <w:rPr>
          <w:rFonts w:ascii="Verdana" w:hAnsi="Verdana"/>
          <w:sz w:val="20"/>
          <w:lang w:val="pt-BR"/>
        </w:rPr>
        <w:t xml:space="preserve">r, </w:t>
      </w:r>
      <w:r w:rsidR="00313394" w:rsidRPr="002F50BD">
        <w:rPr>
          <w:rFonts w:ascii="Verdana" w:hAnsi="Verdana"/>
          <w:sz w:val="20"/>
          <w:lang w:val="pt-BR"/>
        </w:rPr>
        <w:t>retirar lenha</w:t>
      </w:r>
      <w:r w:rsidRPr="002F50BD">
        <w:rPr>
          <w:rFonts w:ascii="Verdana" w:hAnsi="Verdana"/>
          <w:sz w:val="20"/>
          <w:lang w:val="pt-BR"/>
        </w:rPr>
        <w:t xml:space="preserve"> e</w:t>
      </w:r>
      <w:r w:rsidR="00AB454A" w:rsidRPr="002F50BD">
        <w:rPr>
          <w:rFonts w:ascii="Verdana" w:hAnsi="Verdana"/>
          <w:sz w:val="20"/>
          <w:lang w:val="pt-BR"/>
        </w:rPr>
        <w:t xml:space="preserve"> água </w:t>
      </w:r>
      <w:r w:rsidR="004756C1" w:rsidRPr="002F50BD">
        <w:rPr>
          <w:rFonts w:ascii="Verdana" w:hAnsi="Verdana"/>
          <w:sz w:val="20"/>
          <w:lang w:val="pt-BR"/>
        </w:rPr>
        <w:t xml:space="preserve">de </w:t>
      </w:r>
      <w:r w:rsidR="00A50140" w:rsidRPr="002F50BD">
        <w:rPr>
          <w:rFonts w:ascii="Verdana" w:hAnsi="Verdana"/>
          <w:sz w:val="20"/>
          <w:lang w:val="pt-BR"/>
        </w:rPr>
        <w:t>suas terras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Por t</w:t>
      </w:r>
      <w:r w:rsidR="00313394" w:rsidRPr="002F50BD">
        <w:rPr>
          <w:rFonts w:ascii="Verdana" w:hAnsi="Verdana"/>
          <w:sz w:val="20"/>
          <w:lang w:val="pt-BR"/>
        </w:rPr>
        <w:t>u</w:t>
      </w:r>
      <w:r w:rsidR="004756C1" w:rsidRPr="002F50BD">
        <w:rPr>
          <w:rFonts w:ascii="Verdana" w:hAnsi="Verdana"/>
          <w:sz w:val="20"/>
          <w:lang w:val="pt-BR"/>
        </w:rPr>
        <w:t>do</w:t>
      </w:r>
      <w:r w:rsidR="00313394" w:rsidRPr="002F50BD">
        <w:rPr>
          <w:rFonts w:ascii="Verdana" w:hAnsi="Verdana"/>
          <w:sz w:val="20"/>
          <w:lang w:val="pt-BR"/>
        </w:rPr>
        <w:t xml:space="preserve"> isso</w:t>
      </w:r>
      <w:r w:rsidR="00F2473F" w:rsidRPr="002F50BD">
        <w:rPr>
          <w:rFonts w:ascii="Verdana" w:hAnsi="Verdana"/>
          <w:sz w:val="20"/>
          <w:lang w:val="pt-BR"/>
        </w:rPr>
        <w:t>,</w:t>
      </w:r>
      <w:r w:rsidR="00313394" w:rsidRPr="002F50BD">
        <w:rPr>
          <w:rFonts w:ascii="Verdana" w:hAnsi="Verdana"/>
          <w:sz w:val="20"/>
          <w:lang w:val="pt-BR"/>
        </w:rPr>
        <w:t xml:space="preserve"> </w:t>
      </w:r>
      <w:r w:rsidRPr="002F50BD">
        <w:rPr>
          <w:rFonts w:ascii="Verdana" w:hAnsi="Verdana"/>
          <w:sz w:val="20"/>
          <w:lang w:val="pt-BR"/>
        </w:rPr>
        <w:t>os pai</w:t>
      </w:r>
      <w:r w:rsidR="004756C1" w:rsidRPr="002F50BD">
        <w:rPr>
          <w:rFonts w:ascii="Verdana" w:hAnsi="Verdana"/>
          <w:sz w:val="20"/>
          <w:lang w:val="pt-BR"/>
        </w:rPr>
        <w:t>s</w:t>
      </w:r>
      <w:r w:rsidRPr="002F50BD">
        <w:rPr>
          <w:rFonts w:ascii="Verdana" w:hAnsi="Verdana"/>
          <w:sz w:val="20"/>
          <w:lang w:val="pt-BR"/>
        </w:rPr>
        <w:t xml:space="preserve"> e o </w:t>
      </w:r>
      <w:r w:rsidR="00AB454A" w:rsidRPr="002F50BD">
        <w:rPr>
          <w:rFonts w:ascii="Verdana" w:hAnsi="Verdana"/>
          <w:sz w:val="20"/>
          <w:lang w:val="pt-BR"/>
        </w:rPr>
        <w:t>professor</w:t>
      </w:r>
      <w:r w:rsidR="004756C1" w:rsidRPr="002F50BD">
        <w:rPr>
          <w:rFonts w:ascii="Verdana" w:hAnsi="Verdana"/>
          <w:sz w:val="20"/>
          <w:lang w:val="pt-BR"/>
        </w:rPr>
        <w:t xml:space="preserve"> </w:t>
      </w:r>
      <w:r w:rsidR="00AB454A" w:rsidRPr="002F50BD">
        <w:rPr>
          <w:rFonts w:ascii="Verdana" w:hAnsi="Verdana"/>
          <w:sz w:val="20"/>
          <w:lang w:val="pt-BR"/>
        </w:rPr>
        <w:t>sofr</w:t>
      </w:r>
      <w:r w:rsidR="00313394" w:rsidRPr="002F50BD">
        <w:rPr>
          <w:rFonts w:ascii="Verdana" w:hAnsi="Verdana"/>
          <w:sz w:val="20"/>
          <w:lang w:val="pt-BR"/>
        </w:rPr>
        <w:t>em</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casi</w:t>
      </w:r>
      <w:r w:rsidR="00313394" w:rsidRPr="002F50BD">
        <w:rPr>
          <w:rFonts w:ascii="Verdana" w:hAnsi="Verdana"/>
          <w:sz w:val="20"/>
          <w:lang w:val="pt-BR"/>
        </w:rPr>
        <w:t>nha</w:t>
      </w:r>
      <w:r w:rsidRPr="002F50BD">
        <w:rPr>
          <w:rFonts w:ascii="Verdana" w:hAnsi="Verdana"/>
          <w:sz w:val="20"/>
          <w:lang w:val="pt-BR"/>
        </w:rPr>
        <w:t xml:space="preserve"> onde</w:t>
      </w:r>
      <w:r w:rsidR="004756C1" w:rsidRPr="002F50BD">
        <w:rPr>
          <w:rFonts w:ascii="Verdana" w:hAnsi="Verdana"/>
          <w:sz w:val="20"/>
          <w:lang w:val="pt-BR"/>
        </w:rPr>
        <w:t xml:space="preserve"> funciona</w:t>
      </w:r>
      <w:r w:rsidRPr="002F50BD">
        <w:rPr>
          <w:rFonts w:ascii="Verdana" w:hAnsi="Verdana"/>
          <w:sz w:val="20"/>
          <w:lang w:val="pt-BR"/>
        </w:rPr>
        <w:t xml:space="preserve"> a </w:t>
      </w:r>
      <w:r w:rsidR="004076AD" w:rsidRPr="002F50BD">
        <w:rPr>
          <w:rFonts w:ascii="Verdana" w:hAnsi="Verdana"/>
          <w:sz w:val="20"/>
          <w:lang w:val="pt-BR"/>
        </w:rPr>
        <w:t>escola</w:t>
      </w:r>
      <w:r w:rsidR="004756C1" w:rsidRPr="002F50BD">
        <w:rPr>
          <w:rFonts w:ascii="Verdana" w:hAnsi="Verdana"/>
          <w:sz w:val="20"/>
          <w:lang w:val="pt-BR"/>
        </w:rPr>
        <w:t xml:space="preserve"> </w:t>
      </w:r>
      <w:r w:rsidR="00060B3A" w:rsidRPr="002F50BD">
        <w:rPr>
          <w:rFonts w:ascii="Verdana" w:hAnsi="Verdana"/>
          <w:sz w:val="20"/>
          <w:lang w:val="pt-BR"/>
        </w:rPr>
        <w:t>é</w:t>
      </w:r>
      <w:r w:rsidR="00313394" w:rsidRPr="002F50BD">
        <w:rPr>
          <w:rFonts w:ascii="Verdana" w:hAnsi="Verdana"/>
          <w:sz w:val="20"/>
          <w:lang w:val="pt-BR"/>
        </w:rPr>
        <w:t xml:space="preserve"> feita </w:t>
      </w:r>
      <w:r w:rsidR="004756C1" w:rsidRPr="002F50BD">
        <w:rPr>
          <w:rFonts w:ascii="Verdana" w:hAnsi="Verdana"/>
          <w:sz w:val="20"/>
          <w:lang w:val="pt-BR"/>
        </w:rPr>
        <w:t xml:space="preserve">de palma, </w:t>
      </w:r>
      <w:r w:rsidRPr="002F50BD">
        <w:rPr>
          <w:rFonts w:ascii="Verdana" w:hAnsi="Verdana"/>
          <w:sz w:val="20"/>
          <w:lang w:val="pt-BR"/>
        </w:rPr>
        <w:t xml:space="preserve">tem </w:t>
      </w:r>
      <w:r w:rsidR="004756C1" w:rsidRPr="002F50BD">
        <w:rPr>
          <w:rFonts w:ascii="Verdana" w:hAnsi="Verdana"/>
          <w:sz w:val="20"/>
          <w:lang w:val="pt-BR"/>
        </w:rPr>
        <w:t xml:space="preserve">piso de </w:t>
      </w:r>
      <w:r w:rsidRPr="002F50BD">
        <w:rPr>
          <w:rFonts w:ascii="Verdana" w:hAnsi="Verdana"/>
          <w:sz w:val="20"/>
          <w:lang w:val="pt-BR"/>
        </w:rPr>
        <w:t xml:space="preserve">terra e conta com </w:t>
      </w:r>
      <w:r w:rsidR="004756C1" w:rsidRPr="002F50BD">
        <w:rPr>
          <w:rFonts w:ascii="Verdana" w:hAnsi="Verdana"/>
          <w:sz w:val="20"/>
          <w:lang w:val="pt-BR"/>
        </w:rPr>
        <w:t>do</w:t>
      </w:r>
      <w:r w:rsidR="00313394" w:rsidRPr="002F50BD">
        <w:rPr>
          <w:rFonts w:ascii="Verdana" w:hAnsi="Verdana"/>
          <w:sz w:val="20"/>
          <w:lang w:val="pt-BR"/>
        </w:rPr>
        <w:t>i</w:t>
      </w:r>
      <w:r w:rsidR="004756C1" w:rsidRPr="002F50BD">
        <w:rPr>
          <w:rFonts w:ascii="Verdana" w:hAnsi="Verdana"/>
          <w:sz w:val="20"/>
          <w:lang w:val="pt-BR"/>
        </w:rPr>
        <w:t xml:space="preserve">s </w:t>
      </w:r>
      <w:r w:rsidR="00313394" w:rsidRPr="002F50BD">
        <w:rPr>
          <w:rFonts w:ascii="Verdana" w:hAnsi="Verdana"/>
          <w:sz w:val="20"/>
          <w:lang w:val="pt-BR"/>
        </w:rPr>
        <w:t xml:space="preserve">quadros </w:t>
      </w:r>
      <w:r w:rsidRPr="002F50BD">
        <w:rPr>
          <w:rFonts w:ascii="Verdana" w:hAnsi="Verdana"/>
          <w:sz w:val="20"/>
          <w:lang w:val="pt-BR"/>
        </w:rPr>
        <w:t xml:space="preserve">e </w:t>
      </w:r>
      <w:r w:rsidR="00313394" w:rsidRPr="002F50BD">
        <w:rPr>
          <w:rFonts w:ascii="Verdana" w:hAnsi="Verdana"/>
          <w:sz w:val="20"/>
          <w:lang w:val="pt-BR"/>
        </w:rPr>
        <w:t>cadeiras</w:t>
      </w:r>
      <w:r w:rsidRPr="002F50BD">
        <w:rPr>
          <w:rFonts w:ascii="Verdana" w:hAnsi="Verdana"/>
          <w:sz w:val="20"/>
          <w:lang w:val="pt-BR"/>
        </w:rPr>
        <w:t xml:space="preserve"> com </w:t>
      </w:r>
      <w:r w:rsidR="00313394" w:rsidRPr="002F50BD">
        <w:rPr>
          <w:rFonts w:ascii="Verdana" w:hAnsi="Verdana"/>
          <w:sz w:val="20"/>
          <w:lang w:val="pt-BR"/>
        </w:rPr>
        <w:t>escrivaninhas</w:t>
      </w:r>
      <w:r w:rsidR="004756C1" w:rsidRPr="002F50BD">
        <w:rPr>
          <w:rFonts w:ascii="Verdana" w:hAnsi="Verdana"/>
          <w:sz w:val="20"/>
          <w:lang w:val="pt-BR"/>
        </w:rPr>
        <w:t xml:space="preserve">. Esta casa </w:t>
      </w:r>
      <w:r w:rsidRPr="002F50BD">
        <w:rPr>
          <w:rFonts w:ascii="Verdana" w:hAnsi="Verdana"/>
          <w:sz w:val="20"/>
          <w:lang w:val="pt-BR"/>
        </w:rPr>
        <w:t>também</w:t>
      </w:r>
      <w:r w:rsidR="004756C1" w:rsidRPr="002F50BD">
        <w:rPr>
          <w:rFonts w:ascii="Verdana" w:hAnsi="Verdana"/>
          <w:sz w:val="20"/>
          <w:lang w:val="pt-BR"/>
        </w:rPr>
        <w:t xml:space="preserve"> funciona como cap</w:t>
      </w:r>
      <w:r w:rsidR="00313394" w:rsidRPr="002F50BD">
        <w:rPr>
          <w:rFonts w:ascii="Verdana" w:hAnsi="Verdana"/>
          <w:sz w:val="20"/>
          <w:lang w:val="pt-BR"/>
        </w:rPr>
        <w:t>e</w:t>
      </w:r>
      <w:r w:rsidR="004756C1" w:rsidRPr="002F50BD">
        <w:rPr>
          <w:rFonts w:ascii="Verdana" w:hAnsi="Verdana"/>
          <w:sz w:val="20"/>
          <w:lang w:val="pt-BR"/>
        </w:rPr>
        <w:t>la.</w:t>
      </w:r>
      <w:r w:rsidR="00FE08B7">
        <w:rPr>
          <w:rFonts w:ascii="Verdana" w:hAnsi="Verdana"/>
          <w:sz w:val="20"/>
          <w:lang w:val="pt-BR"/>
        </w:rPr>
        <w:t xml:space="preserve"> </w:t>
      </w:r>
      <w:r w:rsidR="004756C1" w:rsidRPr="002F50BD">
        <w:rPr>
          <w:rFonts w:ascii="Verdana" w:hAnsi="Verdana"/>
          <w:sz w:val="20"/>
          <w:lang w:val="pt-BR"/>
        </w:rPr>
        <w:t xml:space="preserve">Por </w:t>
      </w:r>
      <w:r w:rsidR="00313394" w:rsidRPr="002F50BD">
        <w:rPr>
          <w:rFonts w:ascii="Verdana" w:hAnsi="Verdana"/>
          <w:sz w:val="20"/>
          <w:lang w:val="pt-BR"/>
        </w:rPr>
        <w:t>suas condições</w:t>
      </w:r>
      <w:r w:rsidRPr="002F50BD">
        <w:rPr>
          <w:rFonts w:ascii="Verdana" w:hAnsi="Verdana"/>
          <w:sz w:val="20"/>
          <w:lang w:val="pt-BR"/>
        </w:rPr>
        <w:t xml:space="preserve"> e estrutura</w:t>
      </w:r>
      <w:r w:rsidR="004756C1" w:rsidRPr="002F50BD">
        <w:rPr>
          <w:rFonts w:ascii="Verdana" w:hAnsi="Verdana"/>
          <w:sz w:val="20"/>
          <w:lang w:val="pt-BR"/>
        </w:rPr>
        <w:t>,</w:t>
      </w:r>
      <w:r w:rsidRPr="002F50BD">
        <w:rPr>
          <w:rFonts w:ascii="Verdana" w:hAnsi="Verdana"/>
          <w:sz w:val="20"/>
          <w:lang w:val="pt-BR"/>
        </w:rPr>
        <w:t xml:space="preserve"> a </w:t>
      </w:r>
      <w:r w:rsidR="004076AD" w:rsidRPr="002F50BD">
        <w:rPr>
          <w:rFonts w:ascii="Verdana" w:hAnsi="Verdana"/>
          <w:sz w:val="20"/>
          <w:lang w:val="pt-BR"/>
        </w:rPr>
        <w:t>escola</w:t>
      </w:r>
      <w:r w:rsidR="004756C1" w:rsidRPr="002F50BD">
        <w:rPr>
          <w:rFonts w:ascii="Verdana" w:hAnsi="Verdana"/>
          <w:sz w:val="20"/>
          <w:lang w:val="pt-BR"/>
        </w:rPr>
        <w:t xml:space="preserve"> se v</w:t>
      </w:r>
      <w:r w:rsidR="00313394" w:rsidRPr="002F50BD">
        <w:rPr>
          <w:rFonts w:ascii="Verdana" w:hAnsi="Verdana"/>
          <w:sz w:val="20"/>
          <w:lang w:val="pt-BR"/>
        </w:rPr>
        <w:t>ê</w:t>
      </w:r>
      <w:r w:rsidR="004756C1" w:rsidRPr="002F50BD">
        <w:rPr>
          <w:rFonts w:ascii="Verdana" w:hAnsi="Verdana"/>
          <w:sz w:val="20"/>
          <w:lang w:val="pt-BR"/>
        </w:rPr>
        <w:t xml:space="preserve"> </w:t>
      </w:r>
      <w:r w:rsidRPr="002F50BD">
        <w:rPr>
          <w:rFonts w:ascii="Verdana" w:hAnsi="Verdana"/>
          <w:sz w:val="20"/>
          <w:lang w:val="pt-BR"/>
        </w:rPr>
        <w:t>afeta</w:t>
      </w:r>
      <w:r w:rsidR="004756C1" w:rsidRPr="002F50BD">
        <w:rPr>
          <w:rFonts w:ascii="Verdana" w:hAnsi="Verdana"/>
          <w:sz w:val="20"/>
          <w:lang w:val="pt-BR"/>
        </w:rPr>
        <w:t>da especialmente</w:t>
      </w:r>
      <w:r w:rsidRPr="002F50BD">
        <w:rPr>
          <w:rFonts w:ascii="Verdana" w:hAnsi="Verdana"/>
          <w:sz w:val="20"/>
          <w:lang w:val="pt-BR"/>
        </w:rPr>
        <w:t xml:space="preserve"> em época </w:t>
      </w:r>
      <w:r w:rsidR="004756C1" w:rsidRPr="002F50BD">
        <w:rPr>
          <w:rFonts w:ascii="Verdana" w:hAnsi="Verdana"/>
          <w:sz w:val="20"/>
          <w:lang w:val="pt-BR"/>
        </w:rPr>
        <w:t xml:space="preserve">de </w:t>
      </w:r>
      <w:r w:rsidR="00313394" w:rsidRPr="002F50BD">
        <w:rPr>
          <w:rFonts w:ascii="Verdana" w:hAnsi="Verdana"/>
          <w:sz w:val="20"/>
          <w:lang w:val="pt-BR"/>
        </w:rPr>
        <w:t>chuva</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313394">
      <w:pPr>
        <w:jc w:val="both"/>
        <w:rPr>
          <w:rFonts w:ascii="Verdana" w:hAnsi="Verdana"/>
          <w:sz w:val="20"/>
          <w:lang w:val="pt-BR"/>
        </w:rPr>
      </w:pPr>
      <w:r w:rsidRPr="002F50BD">
        <w:rPr>
          <w:rFonts w:ascii="Verdana" w:hAnsi="Verdana"/>
          <w:sz w:val="20"/>
          <w:lang w:val="pt-BR"/>
        </w:rPr>
        <w:t>O</w:t>
      </w:r>
      <w:r w:rsidR="004756C1" w:rsidRPr="002F50BD">
        <w:rPr>
          <w:rFonts w:ascii="Verdana" w:hAnsi="Verdana"/>
          <w:sz w:val="20"/>
          <w:lang w:val="pt-BR"/>
        </w:rPr>
        <w:t xml:space="preserve">s </w:t>
      </w:r>
      <w:r w:rsidR="004076AD" w:rsidRPr="002F50BD">
        <w:rPr>
          <w:rFonts w:ascii="Verdana" w:hAnsi="Verdana"/>
          <w:sz w:val="20"/>
          <w:lang w:val="pt-BR"/>
        </w:rPr>
        <w:t>materiais</w:t>
      </w:r>
      <w:r w:rsidR="004756C1" w:rsidRPr="002F50BD">
        <w:rPr>
          <w:rFonts w:ascii="Verdana" w:hAnsi="Verdana"/>
          <w:sz w:val="20"/>
          <w:lang w:val="pt-BR"/>
        </w:rPr>
        <w:t xml:space="preserve"> </w:t>
      </w:r>
      <w:r w:rsidR="00AB454A" w:rsidRPr="002F50BD">
        <w:rPr>
          <w:rFonts w:ascii="Verdana" w:hAnsi="Verdana"/>
          <w:sz w:val="20"/>
          <w:lang w:val="pt-BR"/>
        </w:rPr>
        <w:t>utiliza</w:t>
      </w:r>
      <w:r w:rsidR="00CF451D">
        <w:rPr>
          <w:rFonts w:ascii="Verdana" w:hAnsi="Verdana"/>
          <w:sz w:val="20"/>
          <w:lang w:val="pt-BR"/>
        </w:rPr>
        <w:t>dos</w:t>
      </w:r>
      <w:r w:rsidR="0089298C" w:rsidRPr="002F50BD">
        <w:rPr>
          <w:rFonts w:ascii="Verdana" w:hAnsi="Verdana"/>
          <w:sz w:val="20"/>
          <w:lang w:val="pt-BR"/>
        </w:rPr>
        <w:t xml:space="preserve"> na </w:t>
      </w:r>
      <w:r w:rsidR="004076AD" w:rsidRPr="002F50BD">
        <w:rPr>
          <w:rFonts w:ascii="Verdana" w:hAnsi="Verdana"/>
          <w:sz w:val="20"/>
          <w:lang w:val="pt-BR"/>
        </w:rPr>
        <w:t>escola</w:t>
      </w:r>
      <w:r w:rsidR="0089298C" w:rsidRPr="002F50BD">
        <w:rPr>
          <w:rFonts w:ascii="Verdana" w:hAnsi="Verdana"/>
          <w:sz w:val="20"/>
          <w:lang w:val="pt-BR"/>
        </w:rPr>
        <w:t xml:space="preserve"> são </w:t>
      </w:r>
      <w:r w:rsidR="004756C1" w:rsidRPr="002F50BD">
        <w:rPr>
          <w:rFonts w:ascii="Verdana" w:hAnsi="Verdana"/>
          <w:sz w:val="20"/>
          <w:lang w:val="pt-BR"/>
        </w:rPr>
        <w:t>entreg</w:t>
      </w:r>
      <w:r w:rsidRPr="002F50BD">
        <w:rPr>
          <w:rFonts w:ascii="Verdana" w:hAnsi="Verdana"/>
          <w:sz w:val="20"/>
          <w:lang w:val="pt-BR"/>
        </w:rPr>
        <w:t>ue</w:t>
      </w:r>
      <w:r w:rsidR="004756C1" w:rsidRPr="002F50BD">
        <w:rPr>
          <w:rFonts w:ascii="Verdana" w:hAnsi="Verdana"/>
          <w:sz w:val="20"/>
          <w:lang w:val="pt-BR"/>
        </w:rPr>
        <w:t>s</w:t>
      </w:r>
      <w:r w:rsidR="0089298C" w:rsidRPr="002F50BD">
        <w:rPr>
          <w:rFonts w:ascii="Verdana" w:hAnsi="Verdana"/>
          <w:sz w:val="20"/>
          <w:lang w:val="pt-BR"/>
        </w:rPr>
        <w:t xml:space="preserve"> pel</w:t>
      </w:r>
      <w:r w:rsidRPr="002F50BD">
        <w:rPr>
          <w:rFonts w:ascii="Verdana" w:hAnsi="Verdana"/>
          <w:sz w:val="20"/>
          <w:lang w:val="pt-BR"/>
        </w:rPr>
        <w:t>o</w:t>
      </w:r>
      <w:r w:rsidR="0089298C" w:rsidRPr="002F50BD">
        <w:rPr>
          <w:rFonts w:ascii="Verdana" w:hAnsi="Verdana"/>
          <w:sz w:val="20"/>
          <w:lang w:val="pt-BR"/>
        </w:rPr>
        <w:t xml:space="preserve"> </w:t>
      </w:r>
      <w:r w:rsidR="00AB454A" w:rsidRPr="002F50BD">
        <w:rPr>
          <w:rFonts w:ascii="Verdana" w:hAnsi="Verdana"/>
          <w:sz w:val="20"/>
          <w:lang w:val="pt-BR"/>
        </w:rPr>
        <w:t>Governo</w:t>
      </w:r>
      <w:r w:rsidR="0089298C" w:rsidRPr="002F50BD">
        <w:rPr>
          <w:rFonts w:ascii="Verdana" w:hAnsi="Verdana"/>
          <w:sz w:val="20"/>
          <w:lang w:val="pt-BR"/>
        </w:rPr>
        <w:t xml:space="preserve"> e pelo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 xml:space="preserve">Indígena. </w:t>
      </w:r>
      <w:r w:rsidRPr="002F50BD">
        <w:rPr>
          <w:rFonts w:ascii="Verdana" w:hAnsi="Verdana"/>
          <w:sz w:val="20"/>
          <w:lang w:val="pt-BR"/>
        </w:rPr>
        <w:t>E</w:t>
      </w:r>
      <w:r w:rsidR="0089298C" w:rsidRPr="002F50BD">
        <w:rPr>
          <w:rFonts w:ascii="Verdana" w:hAnsi="Verdana"/>
          <w:sz w:val="20"/>
          <w:lang w:val="pt-BR"/>
        </w:rPr>
        <w:t xml:space="preserve">stes </w:t>
      </w:r>
      <w:r w:rsidR="004076AD" w:rsidRPr="002F50BD">
        <w:rPr>
          <w:rFonts w:ascii="Verdana" w:hAnsi="Verdana"/>
          <w:sz w:val="20"/>
          <w:lang w:val="pt-BR"/>
        </w:rPr>
        <w:t>materiais</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 xml:space="preserve">o </w:t>
      </w:r>
      <w:r w:rsidR="00AB58EB" w:rsidRPr="002F50BD">
        <w:rPr>
          <w:rFonts w:ascii="Verdana" w:hAnsi="Verdana"/>
          <w:sz w:val="20"/>
          <w:lang w:val="pt-BR"/>
        </w:rPr>
        <w:t xml:space="preserve">são suficientes </w:t>
      </w:r>
      <w:r w:rsidR="004756C1" w:rsidRPr="002F50BD">
        <w:rPr>
          <w:rFonts w:ascii="Verdana" w:hAnsi="Verdana"/>
          <w:sz w:val="20"/>
          <w:lang w:val="pt-BR"/>
        </w:rPr>
        <w:t>para todo</w:t>
      </w:r>
      <w:r w:rsidR="0089298C" w:rsidRPr="002F50BD">
        <w:rPr>
          <w:rFonts w:ascii="Verdana" w:hAnsi="Verdana"/>
          <w:sz w:val="20"/>
          <w:lang w:val="pt-BR"/>
        </w:rPr>
        <w:t xml:space="preserve"> o ano </w:t>
      </w:r>
      <w:r w:rsidR="004756C1" w:rsidRPr="002F50BD">
        <w:rPr>
          <w:rFonts w:ascii="Verdana" w:hAnsi="Verdana"/>
          <w:sz w:val="20"/>
          <w:lang w:val="pt-BR"/>
        </w:rPr>
        <w:t xml:space="preserve">escolar, </w:t>
      </w:r>
      <w:r w:rsidR="00AB58EB" w:rsidRPr="002F50BD">
        <w:rPr>
          <w:rFonts w:ascii="Verdana" w:hAnsi="Verdana"/>
          <w:sz w:val="20"/>
          <w:lang w:val="pt-BR"/>
        </w:rPr>
        <w:t xml:space="preserve">de modo que </w:t>
      </w:r>
      <w:r w:rsidR="0089298C" w:rsidRPr="002F50BD">
        <w:rPr>
          <w:rFonts w:ascii="Verdana" w:hAnsi="Verdana"/>
          <w:sz w:val="20"/>
          <w:lang w:val="pt-BR"/>
        </w:rPr>
        <w:t>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procuram </w:t>
      </w:r>
      <w:r w:rsidR="0089298C" w:rsidRPr="002F50BD">
        <w:rPr>
          <w:rFonts w:ascii="Verdana" w:hAnsi="Verdana"/>
          <w:sz w:val="20"/>
          <w:lang w:val="pt-BR"/>
        </w:rPr>
        <w:t>obter</w:t>
      </w:r>
      <w:r w:rsidR="004756C1" w:rsidRPr="002F50BD">
        <w:rPr>
          <w:rFonts w:ascii="Verdana" w:hAnsi="Verdana"/>
          <w:sz w:val="20"/>
          <w:lang w:val="pt-BR"/>
        </w:rPr>
        <w:t xml:space="preserve"> </w:t>
      </w:r>
      <w:r w:rsidR="0089298C" w:rsidRPr="002F50BD">
        <w:rPr>
          <w:rFonts w:ascii="Verdana" w:hAnsi="Verdana"/>
          <w:sz w:val="20"/>
          <w:lang w:val="pt-BR"/>
        </w:rPr>
        <w:t xml:space="preserve">mais </w:t>
      </w:r>
      <w:r w:rsidR="004076AD" w:rsidRPr="002F50BD">
        <w:rPr>
          <w:rFonts w:ascii="Verdana" w:hAnsi="Verdana"/>
          <w:sz w:val="20"/>
          <w:lang w:val="pt-BR"/>
        </w:rPr>
        <w:t>materiais</w:t>
      </w:r>
      <w:r w:rsidR="0089298C" w:rsidRPr="002F50BD">
        <w:rPr>
          <w:rFonts w:ascii="Verdana" w:hAnsi="Verdana"/>
          <w:sz w:val="20"/>
          <w:lang w:val="pt-BR"/>
        </w:rPr>
        <w:t xml:space="preserve"> através</w:t>
      </w:r>
      <w:r w:rsidR="004756C1" w:rsidRPr="002F50BD">
        <w:rPr>
          <w:rFonts w:ascii="Verdana" w:hAnsi="Verdana"/>
          <w:sz w:val="20"/>
          <w:lang w:val="pt-BR"/>
        </w:rPr>
        <w:t xml:space="preserve"> de </w:t>
      </w:r>
      <w:r w:rsidRPr="002F50BD">
        <w:rPr>
          <w:rFonts w:ascii="Verdana" w:hAnsi="Verdana"/>
          <w:sz w:val="20"/>
          <w:lang w:val="pt-BR"/>
        </w:rPr>
        <w:t>doações</w:t>
      </w:r>
      <w:r w:rsidR="004756C1" w:rsidRPr="002F50BD">
        <w:rPr>
          <w:rFonts w:ascii="Verdana" w:hAnsi="Verdana"/>
          <w:sz w:val="20"/>
          <w:lang w:val="pt-BR"/>
        </w:rPr>
        <w:t>.</w:t>
      </w:r>
      <w:r w:rsidR="00FE08B7">
        <w:rPr>
          <w:rFonts w:ascii="Verdana" w:hAnsi="Verdana"/>
          <w:sz w:val="20"/>
          <w:lang w:val="pt-BR"/>
        </w:rPr>
        <w:t xml:space="preserve"> </w:t>
      </w:r>
      <w:r w:rsidR="005A6BC7"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cartil</w:t>
      </w:r>
      <w:r w:rsidR="005A6BC7" w:rsidRPr="002F50BD">
        <w:rPr>
          <w:rFonts w:ascii="Verdana" w:hAnsi="Verdana"/>
          <w:sz w:val="20"/>
          <w:lang w:val="pt-BR"/>
        </w:rPr>
        <w:t>h</w:t>
      </w:r>
      <w:r w:rsidR="004756C1" w:rsidRPr="002F50BD">
        <w:rPr>
          <w:rFonts w:ascii="Verdana" w:hAnsi="Verdana"/>
          <w:sz w:val="20"/>
          <w:lang w:val="pt-BR"/>
        </w:rPr>
        <w:t>as</w:t>
      </w:r>
      <w:r w:rsidR="0089298C" w:rsidRPr="002F50BD">
        <w:rPr>
          <w:rFonts w:ascii="Verdana" w:hAnsi="Verdana"/>
          <w:sz w:val="20"/>
          <w:lang w:val="pt-BR"/>
        </w:rPr>
        <w:t xml:space="preserve"> e os livro</w:t>
      </w:r>
      <w:r w:rsidR="004756C1" w:rsidRPr="002F50BD">
        <w:rPr>
          <w:rFonts w:ascii="Verdana" w:hAnsi="Verdana"/>
          <w:sz w:val="20"/>
          <w:lang w:val="pt-BR"/>
        </w:rPr>
        <w:t>s de texto</w:t>
      </w:r>
      <w:r w:rsidR="0089298C" w:rsidRPr="002F50BD">
        <w:rPr>
          <w:rFonts w:ascii="Verdana" w:hAnsi="Verdana"/>
          <w:sz w:val="20"/>
          <w:lang w:val="pt-BR"/>
        </w:rPr>
        <w:t xml:space="preserve"> </w:t>
      </w:r>
      <w:r w:rsidR="005A6BC7" w:rsidRPr="002F50BD">
        <w:rPr>
          <w:rFonts w:ascii="Verdana" w:hAnsi="Verdana"/>
          <w:sz w:val="20"/>
          <w:lang w:val="pt-BR"/>
        </w:rPr>
        <w:t xml:space="preserve">são </w:t>
      </w:r>
      <w:r w:rsidR="004756C1" w:rsidRPr="002F50BD">
        <w:rPr>
          <w:rFonts w:ascii="Verdana" w:hAnsi="Verdana"/>
          <w:sz w:val="20"/>
          <w:lang w:val="pt-BR"/>
        </w:rPr>
        <w:t>da</w:t>
      </w:r>
      <w:r w:rsidR="005A6BC7" w:rsidRPr="002F50BD">
        <w:rPr>
          <w:rFonts w:ascii="Verdana" w:hAnsi="Verdana"/>
          <w:sz w:val="20"/>
          <w:lang w:val="pt-BR"/>
        </w:rPr>
        <w:t>dos pela</w:t>
      </w:r>
      <w:r w:rsidR="0089298C" w:rsidRPr="002F50BD">
        <w:rPr>
          <w:rFonts w:ascii="Verdana" w:hAnsi="Verdana"/>
          <w:sz w:val="20"/>
          <w:lang w:val="pt-BR"/>
        </w:rPr>
        <w:t xml:space="preserve"> Supervisão</w:t>
      </w:r>
      <w:r w:rsidR="004756C1" w:rsidRPr="002F50BD">
        <w:rPr>
          <w:rFonts w:ascii="Verdana" w:hAnsi="Verdana"/>
          <w:sz w:val="20"/>
          <w:lang w:val="pt-BR"/>
        </w:rPr>
        <w:t xml:space="preserve"> de Educa</w:t>
      </w:r>
      <w:r w:rsidR="0089298C" w:rsidRPr="002F50BD">
        <w:rPr>
          <w:rFonts w:ascii="Verdana" w:hAnsi="Verdana"/>
          <w:sz w:val="20"/>
          <w:lang w:val="pt-BR"/>
        </w:rPr>
        <w:t>ção</w:t>
      </w:r>
      <w:r w:rsidR="004756C1" w:rsidRPr="002F50BD">
        <w:rPr>
          <w:rFonts w:ascii="Verdana" w:hAnsi="Verdana"/>
          <w:sz w:val="20"/>
          <w:lang w:val="pt-BR"/>
        </w:rPr>
        <w:t xml:space="preserve"> Indígena </w:t>
      </w:r>
      <w:r w:rsidR="0089298C" w:rsidRPr="002F50BD">
        <w:rPr>
          <w:rFonts w:ascii="Verdana" w:hAnsi="Verdana"/>
          <w:sz w:val="20"/>
          <w:lang w:val="pt-BR"/>
        </w:rPr>
        <w:t>do Ministério</w:t>
      </w:r>
      <w:r w:rsidR="004756C1" w:rsidRPr="002F50BD">
        <w:rPr>
          <w:rFonts w:ascii="Verdana" w:hAnsi="Verdana"/>
          <w:sz w:val="20"/>
          <w:lang w:val="pt-BR"/>
        </w:rPr>
        <w:t xml:space="preserve"> de Educa</w:t>
      </w:r>
      <w:r w:rsidR="0089298C" w:rsidRPr="002F50BD">
        <w:rPr>
          <w:rFonts w:ascii="Verdana" w:hAnsi="Verdana"/>
          <w:sz w:val="20"/>
          <w:lang w:val="pt-BR"/>
        </w:rPr>
        <w:t xml:space="preserve">ção e estão em </w:t>
      </w:r>
      <w:r w:rsidR="005A6BC7" w:rsidRPr="002F50BD">
        <w:rPr>
          <w:rFonts w:ascii="Verdana" w:hAnsi="Verdana"/>
          <w:sz w:val="20"/>
          <w:lang w:val="pt-BR"/>
        </w:rPr>
        <w:t>castelhano</w:t>
      </w:r>
      <w:r w:rsidR="0089298C" w:rsidRPr="002F50BD">
        <w:rPr>
          <w:rFonts w:ascii="Verdana" w:hAnsi="Verdana"/>
          <w:sz w:val="20"/>
          <w:lang w:val="pt-BR"/>
        </w:rPr>
        <w:t xml:space="preserve"> e em </w:t>
      </w:r>
      <w:r w:rsidR="005A6BC7" w:rsidRPr="002F50BD">
        <w:rPr>
          <w:rFonts w:ascii="Verdana" w:hAnsi="Verdana"/>
          <w:sz w:val="20"/>
          <w:lang w:val="pt-BR"/>
        </w:rPr>
        <w:t>guarani</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5A6BC7"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lhes </w:t>
      </w:r>
      <w:r w:rsidR="009E775D" w:rsidRPr="002F50BD">
        <w:rPr>
          <w:rFonts w:ascii="Verdana" w:hAnsi="Verdana"/>
          <w:sz w:val="20"/>
          <w:lang w:val="pt-BR"/>
        </w:rPr>
        <w:t xml:space="preserve">são </w:t>
      </w:r>
      <w:r w:rsidR="005A6BC7" w:rsidRPr="002F50BD">
        <w:rPr>
          <w:rFonts w:ascii="Verdana" w:hAnsi="Verdana"/>
          <w:sz w:val="20"/>
          <w:lang w:val="pt-BR"/>
        </w:rPr>
        <w:t>proporciona</w:t>
      </w:r>
      <w:r w:rsidR="009E775D" w:rsidRPr="002F50BD">
        <w:rPr>
          <w:rFonts w:ascii="Verdana" w:hAnsi="Verdana"/>
          <w:sz w:val="20"/>
          <w:lang w:val="pt-BR"/>
        </w:rPr>
        <w:t xml:space="preserve">dos </w:t>
      </w:r>
      <w:r w:rsidR="004756C1" w:rsidRPr="002F50BD">
        <w:rPr>
          <w:rFonts w:ascii="Verdana" w:hAnsi="Verdana"/>
          <w:sz w:val="20"/>
          <w:lang w:val="pt-BR"/>
        </w:rPr>
        <w:t>textos</w:t>
      </w:r>
      <w:r w:rsidR="0089298C" w:rsidRPr="002F50BD">
        <w:rPr>
          <w:rFonts w:ascii="Verdana" w:hAnsi="Verdana"/>
          <w:sz w:val="20"/>
          <w:lang w:val="pt-BR"/>
        </w:rPr>
        <w:t xml:space="preserve"> em </w:t>
      </w:r>
      <w:r w:rsidR="005A6BC7" w:rsidRPr="002F50BD">
        <w:rPr>
          <w:rFonts w:ascii="Verdana" w:hAnsi="Verdana"/>
          <w:sz w:val="20"/>
          <w:lang w:val="pt-BR"/>
        </w:rPr>
        <w:t>seu idioma</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enxet</w:t>
      </w:r>
      <w:r w:rsidR="00CF451D" w:rsidRPr="00CF451D">
        <w:rPr>
          <w:rFonts w:ascii="Verdana" w:hAnsi="Verdana"/>
          <w:sz w:val="20"/>
          <w:lang w:val="pt-BR"/>
        </w:rPr>
        <w:t>)</w:t>
      </w:r>
      <w:r w:rsidR="0089298C" w:rsidRPr="002F50BD">
        <w:rPr>
          <w:rFonts w:ascii="Verdana" w:hAnsi="Verdana"/>
          <w:sz w:val="20"/>
          <w:lang w:val="pt-BR"/>
        </w:rPr>
        <w:t xml:space="preserve"> e</w:t>
      </w:r>
      <w:r w:rsidR="009E775D" w:rsidRPr="002F50BD">
        <w:rPr>
          <w:rFonts w:ascii="Verdana" w:hAnsi="Verdana"/>
          <w:sz w:val="20"/>
          <w:lang w:val="pt-BR"/>
        </w:rPr>
        <w:t>,</w:t>
      </w:r>
      <w:r w:rsidR="004756C1" w:rsidRPr="002F50BD">
        <w:rPr>
          <w:rFonts w:ascii="Verdana" w:hAnsi="Verdana"/>
          <w:sz w:val="20"/>
          <w:lang w:val="pt-BR"/>
        </w:rPr>
        <w:t xml:space="preserve"> por</w:t>
      </w:r>
      <w:r w:rsidR="0089298C" w:rsidRPr="002F50BD">
        <w:rPr>
          <w:rFonts w:ascii="Verdana" w:hAnsi="Verdana"/>
          <w:sz w:val="20"/>
          <w:lang w:val="pt-BR"/>
        </w:rPr>
        <w:t xml:space="preserve"> </w:t>
      </w:r>
      <w:r w:rsidR="005A6BC7" w:rsidRPr="002F50BD">
        <w:rPr>
          <w:rFonts w:ascii="Verdana" w:hAnsi="Verdana"/>
          <w:sz w:val="20"/>
          <w:lang w:val="pt-BR"/>
        </w:rPr>
        <w:t>isso</w:t>
      </w:r>
      <w:r w:rsidR="009E775D" w:rsidRPr="002F50BD">
        <w:rPr>
          <w:rFonts w:ascii="Verdana" w:hAnsi="Verdana"/>
          <w:sz w:val="20"/>
          <w:lang w:val="pt-BR"/>
        </w:rPr>
        <w:t>,</w:t>
      </w:r>
      <w:r w:rsidR="005A6BC7" w:rsidRPr="002F50BD">
        <w:rPr>
          <w:rFonts w:ascii="Verdana" w:hAnsi="Verdana"/>
          <w:sz w:val="20"/>
          <w:lang w:val="pt-BR"/>
        </w:rPr>
        <w:t xml:space="preserve"> não podem ensinar as crianças</w:t>
      </w:r>
      <w:r w:rsidR="004756C1" w:rsidRPr="002F50BD">
        <w:rPr>
          <w:rFonts w:ascii="Verdana" w:hAnsi="Verdana"/>
          <w:sz w:val="20"/>
          <w:lang w:val="pt-BR"/>
        </w:rPr>
        <w:t xml:space="preserve"> que v</w:t>
      </w:r>
      <w:r w:rsidR="005A6BC7" w:rsidRPr="002F50BD">
        <w:rPr>
          <w:rFonts w:ascii="Verdana" w:hAnsi="Verdana"/>
          <w:sz w:val="20"/>
          <w:lang w:val="pt-BR"/>
        </w:rPr>
        <w:t>ão</w:t>
      </w:r>
      <w:r w:rsidR="0089298C" w:rsidRPr="002F50BD">
        <w:rPr>
          <w:rFonts w:ascii="Verdana" w:hAnsi="Verdana"/>
          <w:sz w:val="20"/>
          <w:lang w:val="pt-BR"/>
        </w:rPr>
        <w:t xml:space="preserve"> à </w:t>
      </w:r>
      <w:r w:rsidR="004076AD" w:rsidRPr="002F50BD">
        <w:rPr>
          <w:rFonts w:ascii="Verdana" w:hAnsi="Verdana"/>
          <w:sz w:val="20"/>
          <w:lang w:val="pt-BR"/>
        </w:rPr>
        <w:t>escola</w:t>
      </w:r>
      <w:r w:rsidR="004756C1" w:rsidRPr="002F50BD">
        <w:rPr>
          <w:rFonts w:ascii="Verdana" w:hAnsi="Verdana"/>
          <w:sz w:val="20"/>
          <w:lang w:val="pt-BR"/>
        </w:rPr>
        <w:t>,</w:t>
      </w:r>
      <w:r w:rsidR="0089298C" w:rsidRPr="002F50BD">
        <w:rPr>
          <w:rFonts w:ascii="Verdana" w:hAnsi="Verdana"/>
          <w:sz w:val="20"/>
          <w:lang w:val="pt-BR"/>
        </w:rPr>
        <w:t xml:space="preserve"> o que </w:t>
      </w:r>
      <w:r w:rsidR="004756C1" w:rsidRPr="002F50BD">
        <w:rPr>
          <w:rFonts w:ascii="Verdana" w:hAnsi="Verdana"/>
          <w:sz w:val="20"/>
          <w:lang w:val="pt-BR"/>
        </w:rPr>
        <w:t>p</w:t>
      </w:r>
      <w:r w:rsidR="005A6BC7" w:rsidRPr="002F50BD">
        <w:rPr>
          <w:rFonts w:ascii="Verdana" w:hAnsi="Verdana"/>
          <w:sz w:val="20"/>
          <w:lang w:val="pt-BR"/>
        </w:rPr>
        <w:t>õe</w:t>
      </w:r>
      <w:r w:rsidR="0089298C" w:rsidRPr="002F50BD">
        <w:rPr>
          <w:rFonts w:ascii="Verdana" w:hAnsi="Verdana"/>
          <w:sz w:val="20"/>
          <w:lang w:val="pt-BR"/>
        </w:rPr>
        <w:t xml:space="preserve"> em perigo</w:t>
      </w:r>
      <w:r w:rsidR="004756C1" w:rsidRPr="002F50BD">
        <w:rPr>
          <w:rFonts w:ascii="Verdana" w:hAnsi="Verdana"/>
          <w:sz w:val="20"/>
          <w:lang w:val="pt-BR"/>
        </w:rPr>
        <w:t xml:space="preserve"> </w:t>
      </w:r>
      <w:r w:rsidR="00CF451D">
        <w:rPr>
          <w:rFonts w:ascii="Verdana" w:hAnsi="Verdana"/>
          <w:sz w:val="20"/>
          <w:lang w:val="pt-BR"/>
        </w:rPr>
        <w:t>a</w:t>
      </w:r>
      <w:r w:rsidR="003876AA" w:rsidRPr="002F50BD">
        <w:rPr>
          <w:rFonts w:ascii="Verdana" w:hAnsi="Verdana"/>
          <w:sz w:val="20"/>
          <w:lang w:val="pt-BR"/>
        </w:rPr>
        <w:t xml:space="preserve"> </w:t>
      </w:r>
      <w:r w:rsidR="00A50140" w:rsidRPr="002F50BD">
        <w:rPr>
          <w:rFonts w:ascii="Verdana" w:hAnsi="Verdana"/>
          <w:sz w:val="20"/>
          <w:lang w:val="pt-BR"/>
        </w:rPr>
        <w:t>transmissão</w:t>
      </w:r>
      <w:r w:rsidR="003876AA" w:rsidRPr="002F50BD">
        <w:rPr>
          <w:rFonts w:ascii="Verdana" w:hAnsi="Verdana"/>
          <w:sz w:val="20"/>
          <w:lang w:val="pt-BR"/>
        </w:rPr>
        <w:t xml:space="preserve"> de seu idioma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trans</w:t>
      </w:r>
      <w:r w:rsidRPr="002F50BD">
        <w:rPr>
          <w:rFonts w:ascii="Verdana" w:hAnsi="Verdana"/>
          <w:sz w:val="20"/>
          <w:lang w:val="pt-BR"/>
        </w:rPr>
        <w:t xml:space="preserve">missão dos </w:t>
      </w:r>
      <w:r w:rsidR="004756C1" w:rsidRPr="002F50BD">
        <w:rPr>
          <w:rFonts w:ascii="Verdana" w:hAnsi="Verdana"/>
          <w:sz w:val="20"/>
          <w:lang w:val="pt-BR"/>
        </w:rPr>
        <w:t>valores</w:t>
      </w:r>
      <w:r w:rsidRPr="002F50BD">
        <w:rPr>
          <w:rFonts w:ascii="Verdana" w:hAnsi="Verdana"/>
          <w:sz w:val="20"/>
          <w:lang w:val="pt-BR"/>
        </w:rPr>
        <w:t xml:space="preserve"> e prática</w:t>
      </w:r>
      <w:r w:rsidR="004756C1" w:rsidRPr="002F50BD">
        <w:rPr>
          <w:rFonts w:ascii="Verdana" w:hAnsi="Verdana"/>
          <w:sz w:val="20"/>
          <w:lang w:val="pt-BR"/>
        </w:rPr>
        <w:t>s</w:t>
      </w:r>
      <w:r w:rsidR="00AB454A" w:rsidRPr="002F50BD">
        <w:rPr>
          <w:rFonts w:ascii="Verdana" w:hAnsi="Verdana"/>
          <w:sz w:val="20"/>
          <w:lang w:val="pt-BR"/>
        </w:rPr>
        <w:t xml:space="preserve"> própria</w:t>
      </w:r>
      <w:r w:rsidR="004756C1" w:rsidRPr="002F50BD">
        <w:rPr>
          <w:rFonts w:ascii="Verdana" w:hAnsi="Verdana"/>
          <w:sz w:val="20"/>
          <w:lang w:val="pt-BR"/>
        </w:rPr>
        <w:t xml:space="preserve">s de </w:t>
      </w:r>
      <w:r w:rsidR="005A6BC7" w:rsidRPr="002F50BD">
        <w:rPr>
          <w:rFonts w:ascii="Verdana" w:hAnsi="Verdana"/>
          <w:sz w:val="20"/>
          <w:lang w:val="pt-BR"/>
        </w:rPr>
        <w:t>sua cultura</w:t>
      </w:r>
      <w:r w:rsidRPr="002F50BD">
        <w:rPr>
          <w:rFonts w:ascii="Verdana" w:hAnsi="Verdana"/>
          <w:sz w:val="20"/>
          <w:lang w:val="pt-BR"/>
        </w:rPr>
        <w:t xml:space="preserve"> </w:t>
      </w:r>
      <w:r w:rsidR="009E775D" w:rsidRPr="002F50BD">
        <w:rPr>
          <w:rFonts w:ascii="Verdana" w:hAnsi="Verdana"/>
          <w:sz w:val="20"/>
          <w:lang w:val="pt-BR"/>
        </w:rPr>
        <w:t>é feita</w:t>
      </w:r>
      <w:r w:rsidRPr="002F50BD">
        <w:rPr>
          <w:rFonts w:ascii="Verdana" w:hAnsi="Verdana"/>
          <w:sz w:val="20"/>
          <w:lang w:val="pt-BR"/>
        </w:rPr>
        <w:t xml:space="preserve"> através dos </w:t>
      </w:r>
      <w:r w:rsidR="00060B3A" w:rsidRPr="002F50BD">
        <w:rPr>
          <w:rFonts w:ascii="Verdana" w:hAnsi="Verdana"/>
          <w:sz w:val="20"/>
          <w:lang w:val="pt-BR"/>
        </w:rPr>
        <w:t>idosos</w:t>
      </w:r>
      <w:r w:rsidR="005A6BC7" w:rsidRPr="002F50BD">
        <w:rPr>
          <w:rFonts w:ascii="Verdana" w:hAnsi="Verdana"/>
          <w:sz w:val="20"/>
          <w:lang w:val="pt-BR"/>
        </w:rPr>
        <w:t>. A</w:t>
      </w:r>
      <w:r w:rsidR="00AB454A" w:rsidRPr="002F50BD">
        <w:rPr>
          <w:rFonts w:ascii="Verdana" w:hAnsi="Verdana"/>
          <w:sz w:val="20"/>
          <w:lang w:val="pt-BR"/>
        </w:rPr>
        <w:t xml:space="preserve"> </w:t>
      </w:r>
      <w:r w:rsidRPr="002F50BD">
        <w:rPr>
          <w:rFonts w:ascii="Verdana" w:hAnsi="Verdana"/>
          <w:sz w:val="20"/>
          <w:lang w:val="pt-BR"/>
        </w:rPr>
        <w:t>testemunha</w:t>
      </w:r>
      <w:r w:rsidR="004756C1" w:rsidRPr="002F50BD">
        <w:rPr>
          <w:rFonts w:ascii="Verdana" w:hAnsi="Verdana"/>
          <w:sz w:val="20"/>
          <w:lang w:val="pt-BR"/>
        </w:rPr>
        <w:t xml:space="preserve"> explica</w:t>
      </w:r>
      <w:r w:rsidRPr="002F50BD">
        <w:rPr>
          <w:rFonts w:ascii="Verdana" w:hAnsi="Verdana"/>
          <w:sz w:val="20"/>
          <w:lang w:val="pt-BR"/>
        </w:rPr>
        <w:t xml:space="preserve"> </w:t>
      </w:r>
      <w:r w:rsidR="005A6BC7" w:rsidRPr="002F50BD">
        <w:rPr>
          <w:rFonts w:ascii="Verdana" w:hAnsi="Verdana"/>
          <w:sz w:val="20"/>
          <w:lang w:val="pt-BR"/>
        </w:rPr>
        <w:t>à</w:t>
      </w:r>
      <w:r w:rsidRPr="002F50BD">
        <w:rPr>
          <w:rFonts w:ascii="Verdana" w:hAnsi="Verdana"/>
          <w:sz w:val="20"/>
          <w:lang w:val="pt-BR"/>
        </w:rPr>
        <w:t>s crianças</w:t>
      </w:r>
      <w:r w:rsidR="004756C1" w:rsidRPr="002F50BD">
        <w:rPr>
          <w:rFonts w:ascii="Verdana" w:hAnsi="Verdana"/>
          <w:sz w:val="20"/>
          <w:lang w:val="pt-BR"/>
        </w:rPr>
        <w:t xml:space="preserve"> </w:t>
      </w:r>
      <w:r w:rsidR="005A6BC7" w:rsidRPr="002F50BD">
        <w:rPr>
          <w:rFonts w:ascii="Verdana" w:hAnsi="Verdana"/>
          <w:sz w:val="20"/>
          <w:lang w:val="pt-BR"/>
        </w:rPr>
        <w:t>q</w:t>
      </w:r>
      <w:r w:rsidR="004756C1" w:rsidRPr="002F50BD">
        <w:rPr>
          <w:rFonts w:ascii="Verdana" w:hAnsi="Verdana"/>
          <w:sz w:val="20"/>
          <w:lang w:val="pt-BR"/>
        </w:rPr>
        <w:t>u</w:t>
      </w:r>
      <w:r w:rsidR="005A6BC7" w:rsidRPr="002F50BD">
        <w:rPr>
          <w:rFonts w:ascii="Verdana" w:hAnsi="Verdana"/>
          <w:sz w:val="20"/>
          <w:lang w:val="pt-BR"/>
        </w:rPr>
        <w:t>a</w:t>
      </w:r>
      <w:r w:rsidR="004756C1" w:rsidRPr="002F50BD">
        <w:rPr>
          <w:rFonts w:ascii="Verdana" w:hAnsi="Verdana"/>
          <w:sz w:val="20"/>
          <w:lang w:val="pt-BR"/>
        </w:rPr>
        <w:t xml:space="preserve">ndo </w:t>
      </w:r>
      <w:r w:rsidRPr="002F50BD">
        <w:rPr>
          <w:rFonts w:ascii="Verdana" w:hAnsi="Verdana"/>
          <w:sz w:val="20"/>
          <w:lang w:val="pt-BR"/>
        </w:rPr>
        <w:t xml:space="preserve">há </w:t>
      </w:r>
      <w:r w:rsidR="004756C1" w:rsidRPr="002F50BD">
        <w:rPr>
          <w:rFonts w:ascii="Verdana" w:hAnsi="Verdana"/>
          <w:sz w:val="20"/>
          <w:lang w:val="pt-BR"/>
        </w:rPr>
        <w:t>celebra</w:t>
      </w:r>
      <w:r w:rsidRPr="002F50BD">
        <w:rPr>
          <w:rFonts w:ascii="Verdana" w:hAnsi="Verdana"/>
          <w:sz w:val="20"/>
          <w:lang w:val="pt-BR"/>
        </w:rPr>
        <w:t xml:space="preserve">ções e </w:t>
      </w:r>
      <w:r w:rsidR="004756C1" w:rsidRPr="002F50BD">
        <w:rPr>
          <w:rFonts w:ascii="Verdana" w:hAnsi="Verdana"/>
          <w:sz w:val="20"/>
          <w:lang w:val="pt-BR"/>
        </w:rPr>
        <w:t>temas tr</w:t>
      </w:r>
      <w:r w:rsidRPr="002F50BD">
        <w:rPr>
          <w:rFonts w:ascii="Verdana" w:hAnsi="Verdana"/>
          <w:sz w:val="20"/>
          <w:lang w:val="pt-BR"/>
        </w:rPr>
        <w:t xml:space="preserve">adicionais e dos </w:t>
      </w:r>
      <w:r w:rsidR="004756C1" w:rsidRPr="002F50BD">
        <w:rPr>
          <w:rFonts w:ascii="Verdana" w:hAnsi="Verdana"/>
          <w:sz w:val="20"/>
          <w:lang w:val="pt-BR"/>
        </w:rPr>
        <w:t>ante</w:t>
      </w:r>
      <w:r w:rsidRPr="002F50BD">
        <w:rPr>
          <w:rFonts w:ascii="Verdana" w:hAnsi="Verdana"/>
          <w:sz w:val="20"/>
          <w:lang w:val="pt-BR"/>
        </w:rPr>
        <w:t>passado</w:t>
      </w:r>
      <w:r w:rsidR="004756C1" w:rsidRPr="002F50BD">
        <w:rPr>
          <w:rFonts w:ascii="Verdana" w:hAnsi="Verdana"/>
          <w:sz w:val="20"/>
          <w:lang w:val="pt-BR"/>
        </w:rPr>
        <w:t>s, como</w:t>
      </w:r>
      <w:r w:rsidR="009E775D" w:rsidRPr="002F50BD">
        <w:rPr>
          <w:rFonts w:ascii="Verdana" w:hAnsi="Verdana"/>
          <w:sz w:val="20"/>
          <w:lang w:val="pt-BR"/>
        </w:rPr>
        <w:t>,</w:t>
      </w:r>
      <w:r w:rsidR="004756C1" w:rsidRPr="002F50BD">
        <w:rPr>
          <w:rFonts w:ascii="Verdana" w:hAnsi="Verdana"/>
          <w:sz w:val="20"/>
          <w:lang w:val="pt-BR"/>
        </w:rPr>
        <w:t xml:space="preserve"> por </w:t>
      </w:r>
      <w:r w:rsidRPr="002F50BD">
        <w:rPr>
          <w:rFonts w:ascii="Verdana" w:hAnsi="Verdana"/>
          <w:sz w:val="20"/>
          <w:lang w:val="pt-BR"/>
        </w:rPr>
        <w:t>exemplo</w:t>
      </w:r>
      <w:r w:rsidR="009E775D" w:rsidRPr="002F50BD">
        <w:rPr>
          <w:rFonts w:ascii="Verdana" w:hAnsi="Verdana"/>
          <w:sz w:val="20"/>
          <w:lang w:val="pt-BR"/>
        </w:rPr>
        <w:t>,</w:t>
      </w:r>
      <w:r w:rsidRPr="002F50BD">
        <w:rPr>
          <w:rFonts w:ascii="Verdana" w:hAnsi="Verdana"/>
          <w:sz w:val="20"/>
          <w:lang w:val="pt-BR"/>
        </w:rPr>
        <w:t xml:space="preserve"> as </w:t>
      </w:r>
      <w:r w:rsidR="005A6BC7" w:rsidRPr="002F50BD">
        <w:rPr>
          <w:rFonts w:ascii="Verdana" w:hAnsi="Verdana"/>
          <w:sz w:val="20"/>
          <w:lang w:val="pt-BR"/>
        </w:rPr>
        <w:t>festa</w:t>
      </w:r>
      <w:r w:rsidR="004756C1" w:rsidRPr="002F50BD">
        <w:rPr>
          <w:rFonts w:ascii="Verdana" w:hAnsi="Verdana"/>
          <w:sz w:val="20"/>
          <w:lang w:val="pt-BR"/>
        </w:rPr>
        <w:t xml:space="preserve">s Weykeneten </w:t>
      </w:r>
      <w:r w:rsidR="00CF451D" w:rsidRPr="00CF451D">
        <w:rPr>
          <w:rFonts w:ascii="Verdana" w:hAnsi="Verdana"/>
          <w:sz w:val="20"/>
          <w:lang w:val="pt-BR"/>
        </w:rPr>
        <w:t>(</w:t>
      </w:r>
      <w:r w:rsidR="004756C1" w:rsidRPr="002F50BD">
        <w:rPr>
          <w:rFonts w:ascii="Verdana" w:hAnsi="Verdana"/>
          <w:sz w:val="20"/>
          <w:lang w:val="pt-BR"/>
        </w:rPr>
        <w:t>celebra</w:t>
      </w:r>
      <w:r w:rsidRPr="002F50BD">
        <w:rPr>
          <w:rFonts w:ascii="Verdana" w:hAnsi="Verdana"/>
          <w:sz w:val="20"/>
          <w:lang w:val="pt-BR"/>
        </w:rPr>
        <w:t xml:space="preserve">ção </w:t>
      </w:r>
      <w:r w:rsidR="009E775D" w:rsidRPr="002F50BD">
        <w:rPr>
          <w:rFonts w:ascii="Verdana" w:hAnsi="Verdana"/>
          <w:sz w:val="20"/>
          <w:lang w:val="pt-BR"/>
        </w:rPr>
        <w:t xml:space="preserve">por </w:t>
      </w:r>
      <w:r w:rsidRPr="002F50BD">
        <w:rPr>
          <w:rFonts w:ascii="Verdana" w:hAnsi="Verdana"/>
          <w:sz w:val="20"/>
          <w:lang w:val="pt-BR"/>
        </w:rPr>
        <w:t>ocasião da primeira</w:t>
      </w:r>
      <w:r w:rsidR="004756C1" w:rsidRPr="002F50BD">
        <w:rPr>
          <w:rFonts w:ascii="Verdana" w:hAnsi="Verdana"/>
          <w:sz w:val="20"/>
          <w:lang w:val="pt-BR"/>
        </w:rPr>
        <w:t xml:space="preserve"> menstrua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uma criança </w:t>
      </w:r>
      <w:r w:rsidR="004756C1" w:rsidRPr="002F50BD">
        <w:rPr>
          <w:rFonts w:ascii="Verdana" w:hAnsi="Verdana"/>
          <w:sz w:val="20"/>
          <w:lang w:val="pt-BR"/>
        </w:rPr>
        <w:t>o</w:t>
      </w:r>
      <w:r w:rsidR="005A6BC7" w:rsidRPr="002F50BD">
        <w:rPr>
          <w:rFonts w:ascii="Verdana" w:hAnsi="Verdana"/>
          <w:sz w:val="20"/>
          <w:lang w:val="pt-BR"/>
        </w:rPr>
        <w:t>u</w:t>
      </w:r>
      <w:r w:rsidRPr="002F50BD">
        <w:rPr>
          <w:rFonts w:ascii="Verdana" w:hAnsi="Verdana"/>
          <w:sz w:val="20"/>
          <w:lang w:val="pt-BR"/>
        </w:rPr>
        <w:t xml:space="preserve"> da </w:t>
      </w:r>
      <w:r w:rsidR="004756C1" w:rsidRPr="002F50BD">
        <w:rPr>
          <w:rFonts w:ascii="Verdana" w:hAnsi="Verdana"/>
          <w:sz w:val="20"/>
          <w:lang w:val="pt-BR"/>
        </w:rPr>
        <w:t>puber</w:t>
      </w:r>
      <w:r w:rsidR="005A6BC7" w:rsidRPr="002F50BD">
        <w:rPr>
          <w:rFonts w:ascii="Verdana" w:hAnsi="Verdana"/>
          <w:sz w:val="20"/>
          <w:lang w:val="pt-BR"/>
        </w:rPr>
        <w:t>dade</w:t>
      </w:r>
      <w:r w:rsidR="004756C1" w:rsidRPr="002F50BD">
        <w:rPr>
          <w:rFonts w:ascii="Verdana" w:hAnsi="Verdana"/>
          <w:sz w:val="20"/>
          <w:lang w:val="pt-BR"/>
        </w:rPr>
        <w:t>, habitualmente</w:t>
      </w:r>
      <w:r w:rsidRPr="002F50BD">
        <w:rPr>
          <w:rFonts w:ascii="Verdana" w:hAnsi="Verdana"/>
          <w:sz w:val="20"/>
          <w:lang w:val="pt-BR"/>
        </w:rPr>
        <w:t xml:space="preserve"> aos </w:t>
      </w:r>
      <w:r w:rsidR="00063B47" w:rsidRPr="002F50BD">
        <w:rPr>
          <w:rFonts w:ascii="Verdana" w:hAnsi="Verdana"/>
          <w:sz w:val="20"/>
          <w:lang w:val="pt-BR"/>
        </w:rPr>
        <w:t>15</w:t>
      </w:r>
      <w:r w:rsidR="004756C1" w:rsidRPr="002F50BD">
        <w:rPr>
          <w:rFonts w:ascii="Verdana" w:hAnsi="Verdana"/>
          <w:sz w:val="20"/>
          <w:lang w:val="pt-BR"/>
        </w:rPr>
        <w:t xml:space="preserve"> </w:t>
      </w:r>
      <w:r w:rsidRPr="002F50BD">
        <w:rPr>
          <w:rFonts w:ascii="Verdana" w:hAnsi="Verdana"/>
          <w:sz w:val="20"/>
          <w:lang w:val="pt-BR"/>
        </w:rPr>
        <w:t>anos</w:t>
      </w:r>
      <w:r w:rsidR="004756C1" w:rsidRPr="002F50BD">
        <w:rPr>
          <w:rFonts w:ascii="Verdana" w:hAnsi="Verdana"/>
          <w:sz w:val="20"/>
          <w:lang w:val="pt-BR"/>
        </w:rPr>
        <w:t xml:space="preserve"> de</w:t>
      </w:r>
      <w:r w:rsidRPr="002F50BD">
        <w:rPr>
          <w:rFonts w:ascii="Verdana" w:hAnsi="Verdana"/>
          <w:sz w:val="20"/>
          <w:lang w:val="pt-BR"/>
        </w:rPr>
        <w:t xml:space="preserve"> idade</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O perigo</w:t>
      </w:r>
      <w:r w:rsidR="004756C1" w:rsidRPr="002F50BD">
        <w:rPr>
          <w:rFonts w:ascii="Verdana" w:hAnsi="Verdana"/>
          <w:sz w:val="20"/>
          <w:lang w:val="pt-BR"/>
        </w:rPr>
        <w:t xml:space="preserve"> de perder </w:t>
      </w:r>
      <w:r w:rsidR="005A6BC7" w:rsidRPr="002F50BD">
        <w:rPr>
          <w:rFonts w:ascii="Verdana" w:hAnsi="Verdana"/>
          <w:sz w:val="20"/>
          <w:lang w:val="pt-BR"/>
        </w:rPr>
        <w:t>seu idioma</w:t>
      </w:r>
      <w:r w:rsidR="004756C1" w:rsidRPr="002F50BD">
        <w:rPr>
          <w:rFonts w:ascii="Verdana" w:hAnsi="Verdana"/>
          <w:sz w:val="20"/>
          <w:lang w:val="pt-BR"/>
        </w:rPr>
        <w:t xml:space="preserve">, </w:t>
      </w:r>
      <w:r w:rsidR="005A6BC7" w:rsidRPr="002F50BD">
        <w:rPr>
          <w:rFonts w:ascii="Verdana" w:hAnsi="Verdana"/>
          <w:sz w:val="20"/>
          <w:lang w:val="pt-BR"/>
        </w:rPr>
        <w:t>seus valores</w:t>
      </w:r>
      <w:r w:rsidRPr="002F50BD">
        <w:rPr>
          <w:rFonts w:ascii="Verdana" w:hAnsi="Verdana"/>
          <w:sz w:val="20"/>
          <w:lang w:val="pt-BR"/>
        </w:rPr>
        <w:t xml:space="preserve"> e </w:t>
      </w:r>
      <w:r w:rsidR="005A6BC7" w:rsidRPr="002F50BD">
        <w:rPr>
          <w:rFonts w:ascii="Verdana" w:hAnsi="Verdana"/>
          <w:sz w:val="20"/>
          <w:lang w:val="pt-BR"/>
        </w:rPr>
        <w:t xml:space="preserve">suas </w:t>
      </w:r>
      <w:r w:rsidR="004756C1" w:rsidRPr="002F50BD">
        <w:rPr>
          <w:rFonts w:ascii="Verdana" w:hAnsi="Verdana"/>
          <w:sz w:val="20"/>
          <w:lang w:val="pt-BR"/>
        </w:rPr>
        <w:t>tradi</w:t>
      </w:r>
      <w:r w:rsidRPr="002F50BD">
        <w:rPr>
          <w:rFonts w:ascii="Verdana" w:hAnsi="Verdana"/>
          <w:sz w:val="20"/>
          <w:lang w:val="pt-BR"/>
        </w:rPr>
        <w:t>ções</w:t>
      </w:r>
      <w:r w:rsidR="004756C1" w:rsidRPr="002F50BD">
        <w:rPr>
          <w:rFonts w:ascii="Verdana" w:hAnsi="Verdana"/>
          <w:sz w:val="20"/>
          <w:lang w:val="pt-BR"/>
        </w:rPr>
        <w:t xml:space="preserve"> está </w:t>
      </w:r>
      <w:r w:rsidRPr="002F50BD">
        <w:rPr>
          <w:rFonts w:ascii="Verdana" w:hAnsi="Verdana"/>
          <w:sz w:val="20"/>
          <w:lang w:val="pt-BR"/>
        </w:rPr>
        <w:t>associad</w:t>
      </w:r>
      <w:r w:rsidR="004756C1" w:rsidRPr="002F50BD">
        <w:rPr>
          <w:rFonts w:ascii="Verdana" w:hAnsi="Verdana"/>
          <w:sz w:val="20"/>
          <w:lang w:val="pt-BR"/>
        </w:rPr>
        <w:t xml:space="preserve">o </w:t>
      </w:r>
      <w:r w:rsidRPr="002F50BD">
        <w:rPr>
          <w:rFonts w:ascii="Verdana" w:hAnsi="Verdana"/>
          <w:sz w:val="20"/>
          <w:lang w:val="pt-BR"/>
        </w:rPr>
        <w:t xml:space="preserve">também </w:t>
      </w:r>
      <w:r w:rsidR="00060B3A" w:rsidRPr="002F50BD">
        <w:rPr>
          <w:rFonts w:ascii="Verdana" w:hAnsi="Verdana"/>
          <w:sz w:val="20"/>
          <w:lang w:val="pt-BR"/>
        </w:rPr>
        <w:t>a</w:t>
      </w:r>
      <w:r w:rsidRPr="002F50BD">
        <w:rPr>
          <w:rFonts w:ascii="Verdana" w:hAnsi="Verdana"/>
          <w:sz w:val="20"/>
          <w:lang w:val="pt-BR"/>
        </w:rPr>
        <w:t xml:space="preserve">o fato </w:t>
      </w:r>
      <w:r w:rsidR="004756C1" w:rsidRPr="002F50BD">
        <w:rPr>
          <w:rFonts w:ascii="Verdana" w:hAnsi="Verdana"/>
          <w:sz w:val="20"/>
          <w:lang w:val="pt-BR"/>
        </w:rPr>
        <w:t>de que</w:t>
      </w:r>
      <w:r w:rsidRPr="002F50BD">
        <w:rPr>
          <w:rFonts w:ascii="Verdana" w:hAnsi="Verdana"/>
          <w:sz w:val="20"/>
          <w:lang w:val="pt-BR"/>
        </w:rPr>
        <w:t xml:space="preserve"> os pai</w:t>
      </w:r>
      <w:r w:rsidR="004756C1" w:rsidRPr="002F50BD">
        <w:rPr>
          <w:rFonts w:ascii="Verdana" w:hAnsi="Verdana"/>
          <w:sz w:val="20"/>
          <w:lang w:val="pt-BR"/>
        </w:rPr>
        <w:t>s alterna</w:t>
      </w:r>
      <w:r w:rsidR="005A6BC7" w:rsidRPr="002F50BD">
        <w:rPr>
          <w:rFonts w:ascii="Verdana" w:hAnsi="Verdana"/>
          <w:sz w:val="20"/>
          <w:lang w:val="pt-BR"/>
        </w:rPr>
        <w:t>m</w:t>
      </w:r>
      <w:r w:rsidRPr="002F50BD">
        <w:rPr>
          <w:rFonts w:ascii="Verdana" w:hAnsi="Verdana"/>
          <w:sz w:val="20"/>
          <w:lang w:val="pt-BR"/>
        </w:rPr>
        <w:t xml:space="preserve"> sua vida nas </w:t>
      </w:r>
      <w:r w:rsidR="00060B3A" w:rsidRPr="002F50BD">
        <w:rPr>
          <w:rFonts w:ascii="Verdana" w:hAnsi="Verdana"/>
          <w:sz w:val="20"/>
          <w:lang w:val="pt-BR"/>
        </w:rPr>
        <w:t>fazendas</w:t>
      </w:r>
      <w:r w:rsidR="00B94555" w:rsidRPr="002F50BD">
        <w:rPr>
          <w:rFonts w:ascii="Verdana" w:hAnsi="Verdana"/>
          <w:sz w:val="20"/>
          <w:lang w:val="pt-BR"/>
        </w:rPr>
        <w:t>,</w:t>
      </w:r>
      <w:r w:rsidR="00060B3A" w:rsidRPr="002F50BD">
        <w:rPr>
          <w:rFonts w:ascii="Verdana" w:hAnsi="Verdana"/>
          <w:sz w:val="20"/>
          <w:lang w:val="pt-BR"/>
        </w:rPr>
        <w:t xml:space="preserve"> </w:t>
      </w:r>
      <w:r w:rsidRPr="002F50BD">
        <w:rPr>
          <w:rFonts w:ascii="Verdana" w:hAnsi="Verdana"/>
          <w:sz w:val="20"/>
          <w:lang w:val="pt-BR"/>
        </w:rPr>
        <w:t xml:space="preserve">e </w:t>
      </w:r>
      <w:r w:rsidR="004076AD" w:rsidRPr="002F50BD">
        <w:rPr>
          <w:rFonts w:ascii="Verdana" w:hAnsi="Verdana"/>
          <w:sz w:val="20"/>
          <w:lang w:val="pt-BR"/>
        </w:rPr>
        <w:t>ali</w:t>
      </w:r>
      <w:r w:rsidRPr="002F50BD">
        <w:rPr>
          <w:rFonts w:ascii="Verdana" w:hAnsi="Verdana"/>
          <w:sz w:val="20"/>
          <w:lang w:val="pt-BR"/>
        </w:rPr>
        <w:t xml:space="preserve"> a </w:t>
      </w:r>
      <w:r w:rsidR="004756C1" w:rsidRPr="002F50BD">
        <w:rPr>
          <w:rFonts w:ascii="Verdana" w:hAnsi="Verdana"/>
          <w:sz w:val="20"/>
          <w:lang w:val="pt-BR"/>
        </w:rPr>
        <w:t>socializa</w:t>
      </w:r>
      <w:r w:rsidRPr="002F50BD">
        <w:rPr>
          <w:rFonts w:ascii="Verdana" w:hAnsi="Verdana"/>
          <w:sz w:val="20"/>
          <w:lang w:val="pt-BR"/>
        </w:rPr>
        <w:t>ção</w:t>
      </w:r>
      <w:r w:rsidR="005A6BC7" w:rsidRPr="002F50BD">
        <w:rPr>
          <w:rFonts w:ascii="Verdana" w:hAnsi="Verdana"/>
          <w:sz w:val="20"/>
          <w:lang w:val="pt-BR"/>
        </w:rPr>
        <w:t xml:space="preserve"> se dá</w:t>
      </w:r>
      <w:r w:rsidRPr="002F50BD">
        <w:rPr>
          <w:rFonts w:ascii="Verdana" w:hAnsi="Verdana"/>
          <w:sz w:val="20"/>
          <w:lang w:val="pt-BR"/>
        </w:rPr>
        <w:t xml:space="preserve"> com </w:t>
      </w:r>
      <w:r w:rsidR="005A6BC7"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os que </w:t>
      </w:r>
      <w:r w:rsidR="005A6BC7" w:rsidRPr="002F50BD">
        <w:rPr>
          <w:rFonts w:ascii="Verdana" w:hAnsi="Verdana"/>
          <w:sz w:val="20"/>
          <w:lang w:val="pt-BR"/>
        </w:rPr>
        <w:t>falam</w:t>
      </w:r>
      <w:r w:rsidR="004756C1" w:rsidRPr="002F50BD">
        <w:rPr>
          <w:rFonts w:ascii="Verdana" w:hAnsi="Verdana"/>
          <w:sz w:val="20"/>
          <w:lang w:val="pt-BR"/>
        </w:rPr>
        <w:t xml:space="preserve"> </w:t>
      </w:r>
      <w:r w:rsidR="005A6BC7" w:rsidRPr="002F50BD">
        <w:rPr>
          <w:rFonts w:ascii="Verdana" w:hAnsi="Verdana"/>
          <w:sz w:val="20"/>
          <w:lang w:val="pt-BR"/>
        </w:rPr>
        <w:t>castelhano</w:t>
      </w:r>
      <w:r w:rsidRPr="002F50BD">
        <w:rPr>
          <w:rFonts w:ascii="Verdana" w:hAnsi="Verdana"/>
          <w:sz w:val="20"/>
          <w:lang w:val="pt-BR"/>
        </w:rPr>
        <w:t xml:space="preserve"> e </w:t>
      </w:r>
      <w:r w:rsidR="005A6BC7" w:rsidRPr="002F50BD">
        <w:rPr>
          <w:rFonts w:ascii="Verdana" w:hAnsi="Verdana"/>
          <w:sz w:val="20"/>
          <w:lang w:val="pt-BR"/>
        </w:rPr>
        <w:t>guarani</w:t>
      </w:r>
      <w:r w:rsidR="004756C1" w:rsidRPr="002F50BD">
        <w:rPr>
          <w:rFonts w:ascii="Verdana" w:hAnsi="Verdana"/>
          <w:sz w:val="20"/>
          <w:lang w:val="pt-BR"/>
        </w:rPr>
        <w:t>.</w:t>
      </w:r>
      <w:r w:rsidR="00FE08B7">
        <w:rPr>
          <w:rFonts w:ascii="Verdana" w:hAnsi="Verdana"/>
          <w:sz w:val="20"/>
          <w:lang w:val="pt-BR"/>
        </w:rPr>
        <w:t xml:space="preserve"> </w:t>
      </w:r>
      <w:r w:rsidR="000052B9" w:rsidRPr="002F50BD">
        <w:rPr>
          <w:rFonts w:ascii="Verdana" w:hAnsi="Verdana"/>
          <w:sz w:val="20"/>
          <w:lang w:val="pt-BR"/>
        </w:rPr>
        <w:t>No lugar onde está assentada a Comunidade não podem realizar a</w:t>
      </w:r>
      <w:r w:rsidRPr="002F50BD">
        <w:rPr>
          <w:rFonts w:ascii="Verdana" w:hAnsi="Verdana"/>
          <w:sz w:val="20"/>
          <w:lang w:val="pt-BR"/>
        </w:rPr>
        <w:t xml:space="preserve">s </w:t>
      </w:r>
      <w:r w:rsidR="004756C1" w:rsidRPr="002F50BD">
        <w:rPr>
          <w:rFonts w:ascii="Verdana" w:hAnsi="Verdana"/>
          <w:sz w:val="20"/>
          <w:lang w:val="pt-BR"/>
        </w:rPr>
        <w:t>celebra</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seguindo</w:t>
      </w:r>
      <w:r w:rsidR="004756C1" w:rsidRPr="002F50BD">
        <w:rPr>
          <w:rFonts w:ascii="Verdana" w:hAnsi="Verdana"/>
          <w:sz w:val="20"/>
          <w:lang w:val="pt-BR"/>
        </w:rPr>
        <w:t xml:space="preserve"> </w:t>
      </w:r>
      <w:r w:rsidR="005A6BC7" w:rsidRPr="002F50BD">
        <w:rPr>
          <w:rFonts w:ascii="Verdana" w:hAnsi="Verdana"/>
          <w:sz w:val="20"/>
          <w:lang w:val="pt-BR"/>
        </w:rPr>
        <w:t xml:space="preserve">totalmente </w:t>
      </w:r>
      <w:r w:rsidRPr="002F50BD">
        <w:rPr>
          <w:rFonts w:ascii="Verdana" w:hAnsi="Verdana"/>
          <w:sz w:val="20"/>
          <w:lang w:val="pt-BR"/>
        </w:rPr>
        <w:t xml:space="preserve">a </w:t>
      </w:r>
      <w:r w:rsidR="004756C1" w:rsidRPr="002F50BD">
        <w:rPr>
          <w:rFonts w:ascii="Verdana" w:hAnsi="Verdana"/>
          <w:sz w:val="20"/>
          <w:lang w:val="pt-BR"/>
        </w:rPr>
        <w:t>tradi</w:t>
      </w:r>
      <w:r w:rsidRPr="002F50BD">
        <w:rPr>
          <w:rFonts w:ascii="Verdana" w:hAnsi="Verdana"/>
          <w:sz w:val="20"/>
          <w:lang w:val="pt-BR"/>
        </w:rPr>
        <w:t>ção</w:t>
      </w:r>
      <w:r w:rsidR="004756C1" w:rsidRPr="002F50BD">
        <w:rPr>
          <w:rFonts w:ascii="Verdana" w:hAnsi="Verdana"/>
          <w:sz w:val="20"/>
          <w:lang w:val="pt-BR"/>
        </w:rPr>
        <w:t xml:space="preserve">. </w:t>
      </w:r>
      <w:r w:rsidR="005A6BC7" w:rsidRPr="002F50BD">
        <w:rPr>
          <w:rFonts w:ascii="Verdana" w:hAnsi="Verdana"/>
          <w:sz w:val="20"/>
          <w:lang w:val="pt-BR"/>
        </w:rPr>
        <w:t>Falta-lhes</w:t>
      </w:r>
      <w:r w:rsidR="004756C1" w:rsidRPr="002F50BD">
        <w:rPr>
          <w:rFonts w:ascii="Verdana" w:hAnsi="Verdana"/>
          <w:sz w:val="20"/>
          <w:lang w:val="pt-BR"/>
        </w:rPr>
        <w:t xml:space="preserve">, por </w:t>
      </w:r>
      <w:r w:rsidRPr="002F50BD">
        <w:rPr>
          <w:rFonts w:ascii="Verdana" w:hAnsi="Verdana"/>
          <w:sz w:val="20"/>
          <w:lang w:val="pt-BR"/>
        </w:rPr>
        <w:t>exemplo</w:t>
      </w:r>
      <w:r w:rsidR="004756C1"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 xml:space="preserve">alimentos que </w:t>
      </w:r>
      <w:r w:rsidR="005A6BC7" w:rsidRPr="002F50BD">
        <w:rPr>
          <w:rFonts w:ascii="Verdana" w:hAnsi="Verdana"/>
          <w:sz w:val="20"/>
          <w:lang w:val="pt-BR"/>
        </w:rPr>
        <w:t>utilizariam</w:t>
      </w:r>
      <w:r w:rsidRPr="002F50BD">
        <w:rPr>
          <w:rFonts w:ascii="Verdana" w:hAnsi="Verdana"/>
          <w:sz w:val="20"/>
          <w:lang w:val="pt-BR"/>
        </w:rPr>
        <w:t xml:space="preserve"> nas </w:t>
      </w:r>
      <w:r w:rsidR="004756C1" w:rsidRPr="002F50BD">
        <w:rPr>
          <w:rFonts w:ascii="Verdana" w:hAnsi="Verdana"/>
          <w:sz w:val="20"/>
          <w:lang w:val="pt-BR"/>
        </w:rPr>
        <w:t>celebra</w:t>
      </w:r>
      <w:r w:rsidRPr="002F50BD">
        <w:rPr>
          <w:rFonts w:ascii="Verdana" w:hAnsi="Verdana"/>
          <w:sz w:val="20"/>
          <w:lang w:val="pt-BR"/>
        </w:rPr>
        <w:t>ções</w:t>
      </w:r>
      <w:r w:rsidR="004756C1" w:rsidRPr="002F50BD">
        <w:rPr>
          <w:rFonts w:ascii="Verdana" w:hAnsi="Verdana"/>
          <w:sz w:val="20"/>
          <w:lang w:val="pt-BR"/>
        </w:rPr>
        <w:t>,</w:t>
      </w:r>
      <w:r w:rsidRPr="002F50BD">
        <w:rPr>
          <w:rFonts w:ascii="Verdana" w:hAnsi="Verdana"/>
          <w:sz w:val="20"/>
          <w:lang w:val="pt-BR"/>
        </w:rPr>
        <w:t xml:space="preserve"> os quais</w:t>
      </w:r>
      <w:r w:rsidR="004756C1" w:rsidRPr="002F50BD">
        <w:rPr>
          <w:rFonts w:ascii="Verdana" w:hAnsi="Verdana"/>
          <w:sz w:val="20"/>
          <w:lang w:val="pt-BR"/>
        </w:rPr>
        <w:t xml:space="preserve"> </w:t>
      </w:r>
      <w:r w:rsidR="005A6BC7" w:rsidRPr="002F50BD">
        <w:rPr>
          <w:rFonts w:ascii="Verdana" w:hAnsi="Verdana"/>
          <w:sz w:val="20"/>
          <w:lang w:val="pt-BR"/>
        </w:rPr>
        <w:t xml:space="preserve">poderiam cultivar </w:t>
      </w:r>
      <w:r w:rsidRPr="002F50BD">
        <w:rPr>
          <w:rFonts w:ascii="Verdana" w:hAnsi="Verdana"/>
          <w:sz w:val="20"/>
          <w:lang w:val="pt-BR"/>
        </w:rPr>
        <w:t xml:space="preserve">em </w:t>
      </w:r>
      <w:r w:rsidR="00A50140" w:rsidRPr="002F50BD">
        <w:rPr>
          <w:rFonts w:ascii="Verdana" w:hAnsi="Verdana"/>
          <w:sz w:val="20"/>
          <w:lang w:val="pt-BR"/>
        </w:rPr>
        <w:t>suas terras</w:t>
      </w:r>
      <w:r w:rsidR="004756C1" w:rsidRPr="002F50BD">
        <w:rPr>
          <w:rFonts w:ascii="Verdana" w:hAnsi="Verdana"/>
          <w:sz w:val="20"/>
          <w:lang w:val="pt-BR"/>
        </w:rPr>
        <w:t>. T</w:t>
      </w:r>
      <w:r w:rsidR="005A6BC7" w:rsidRPr="002F50BD">
        <w:rPr>
          <w:rFonts w:ascii="Verdana" w:hAnsi="Verdana"/>
          <w:sz w:val="20"/>
          <w:lang w:val="pt-BR"/>
        </w:rPr>
        <w:t>ud</w:t>
      </w:r>
      <w:r w:rsidR="004756C1" w:rsidRPr="002F50BD">
        <w:rPr>
          <w:rFonts w:ascii="Verdana" w:hAnsi="Verdana"/>
          <w:sz w:val="20"/>
          <w:lang w:val="pt-BR"/>
        </w:rPr>
        <w:t xml:space="preserve">o </w:t>
      </w:r>
      <w:r w:rsidR="005A6BC7" w:rsidRPr="002F50BD">
        <w:rPr>
          <w:rFonts w:ascii="Verdana" w:hAnsi="Verdana"/>
          <w:sz w:val="20"/>
          <w:lang w:val="pt-BR"/>
        </w:rPr>
        <w:t xml:space="preserve">isso </w:t>
      </w:r>
      <w:r w:rsidR="004756C1" w:rsidRPr="002F50BD">
        <w:rPr>
          <w:rFonts w:ascii="Verdana" w:hAnsi="Verdana"/>
          <w:sz w:val="20"/>
          <w:lang w:val="pt-BR"/>
        </w:rPr>
        <w:t>sucede porque</w:t>
      </w:r>
      <w:r w:rsidRPr="002F50BD">
        <w:rPr>
          <w:rFonts w:ascii="Verdana" w:hAnsi="Verdana"/>
          <w:sz w:val="20"/>
          <w:lang w:val="pt-BR"/>
        </w:rPr>
        <w:t xml:space="preserve"> </w:t>
      </w:r>
      <w:r w:rsidR="00E801FF" w:rsidRPr="002F50BD">
        <w:rPr>
          <w:rFonts w:ascii="Verdana" w:hAnsi="Verdana"/>
          <w:sz w:val="20"/>
          <w:lang w:val="pt-BR"/>
        </w:rPr>
        <w:t>à</w:t>
      </w:r>
      <w:r w:rsidRPr="002F50BD">
        <w:rPr>
          <w:rFonts w:ascii="Verdana" w:hAnsi="Verdana"/>
          <w:sz w:val="20"/>
          <w:lang w:val="pt-BR"/>
        </w:rPr>
        <w:t xml:space="preserve"> Comunidade </w:t>
      </w:r>
      <w:r w:rsidR="004756C1" w:rsidRPr="002F50BD">
        <w:rPr>
          <w:rFonts w:ascii="Verdana" w:hAnsi="Verdana"/>
          <w:sz w:val="20"/>
          <w:lang w:val="pt-BR"/>
        </w:rPr>
        <w:t xml:space="preserve">Yakye Axa </w:t>
      </w:r>
      <w:r w:rsidR="00E801FF" w:rsidRPr="002F50BD">
        <w:rPr>
          <w:rFonts w:ascii="Verdana" w:hAnsi="Verdana"/>
          <w:sz w:val="20"/>
          <w:lang w:val="pt-BR"/>
        </w:rPr>
        <w:t xml:space="preserve">está </w:t>
      </w:r>
      <w:r w:rsidR="00AB454A" w:rsidRPr="002F50BD">
        <w:rPr>
          <w:rFonts w:ascii="Verdana" w:hAnsi="Verdana"/>
          <w:sz w:val="20"/>
          <w:lang w:val="pt-BR"/>
        </w:rPr>
        <w:t>proibid</w:t>
      </w:r>
      <w:r w:rsidR="004756C1" w:rsidRPr="002F50BD">
        <w:rPr>
          <w:rFonts w:ascii="Verdana" w:hAnsi="Verdana"/>
          <w:sz w:val="20"/>
          <w:lang w:val="pt-BR"/>
        </w:rPr>
        <w:t>o</w:t>
      </w:r>
      <w:r w:rsidRPr="002F50BD">
        <w:rPr>
          <w:rFonts w:ascii="Verdana" w:hAnsi="Verdana"/>
          <w:sz w:val="20"/>
          <w:lang w:val="pt-BR"/>
        </w:rPr>
        <w:t xml:space="preserve"> o acesso</w:t>
      </w:r>
      <w:r w:rsidR="004756C1" w:rsidRPr="002F50BD">
        <w:rPr>
          <w:rFonts w:ascii="Verdana" w:hAnsi="Verdana"/>
          <w:sz w:val="20"/>
          <w:lang w:val="pt-BR"/>
        </w:rPr>
        <w:t xml:space="preserve"> a </w:t>
      </w:r>
      <w:r w:rsidR="00A50140" w:rsidRPr="002F50BD">
        <w:rPr>
          <w:rFonts w:ascii="Verdana" w:hAnsi="Verdana"/>
          <w:sz w:val="20"/>
          <w:lang w:val="pt-BR"/>
        </w:rPr>
        <w:t>suas terras</w:t>
      </w:r>
      <w:r w:rsidRPr="002F50BD">
        <w:rPr>
          <w:rFonts w:ascii="Verdana" w:hAnsi="Verdana"/>
          <w:sz w:val="20"/>
          <w:lang w:val="pt-BR"/>
        </w:rPr>
        <w:t xml:space="preserve"> e </w:t>
      </w:r>
      <w:r w:rsidR="004756C1" w:rsidRPr="002F50BD">
        <w:rPr>
          <w:rFonts w:ascii="Verdana" w:hAnsi="Verdana"/>
          <w:sz w:val="20"/>
          <w:lang w:val="pt-BR"/>
        </w:rPr>
        <w:t>a s</w:t>
      </w:r>
      <w:r w:rsidR="005A6BC7" w:rsidRPr="002F50BD">
        <w:rPr>
          <w:rFonts w:ascii="Verdana" w:hAnsi="Verdana"/>
          <w:sz w:val="20"/>
          <w:lang w:val="pt-BR"/>
        </w:rPr>
        <w:t>e</w:t>
      </w:r>
      <w:r w:rsidR="004756C1" w:rsidRPr="002F50BD">
        <w:rPr>
          <w:rFonts w:ascii="Verdana" w:hAnsi="Verdana"/>
          <w:sz w:val="20"/>
          <w:lang w:val="pt-BR"/>
        </w:rPr>
        <w:t>u h</w:t>
      </w:r>
      <w:r w:rsidR="005A6BC7" w:rsidRPr="002F50BD">
        <w:rPr>
          <w:rFonts w:ascii="Verdana" w:hAnsi="Verdana"/>
          <w:sz w:val="20"/>
          <w:lang w:val="pt-BR"/>
        </w:rPr>
        <w:t>a</w:t>
      </w:r>
      <w:r w:rsidR="004756C1" w:rsidRPr="002F50BD">
        <w:rPr>
          <w:rFonts w:ascii="Verdana" w:hAnsi="Verdana"/>
          <w:sz w:val="20"/>
          <w:lang w:val="pt-BR"/>
        </w:rPr>
        <w:t>bitat.</w:t>
      </w:r>
    </w:p>
    <w:p w:rsidR="004756C1" w:rsidRPr="002F50BD" w:rsidRDefault="0089298C">
      <w:pPr>
        <w:jc w:val="both"/>
        <w:rPr>
          <w:rFonts w:ascii="Verdana" w:hAnsi="Verdana"/>
          <w:sz w:val="20"/>
          <w:lang w:val="pt-BR"/>
        </w:rPr>
      </w:pPr>
      <w:r w:rsidRPr="002F50BD">
        <w:rPr>
          <w:rFonts w:ascii="Verdana" w:hAnsi="Verdana"/>
          <w:sz w:val="20"/>
          <w:lang w:val="pt-BR"/>
        </w:rPr>
        <w:cr/>
      </w:r>
      <w:r w:rsidR="005A6BC7" w:rsidRPr="002F50BD">
        <w:rPr>
          <w:rFonts w:ascii="Verdana" w:hAnsi="Verdana"/>
          <w:sz w:val="20"/>
          <w:lang w:val="pt-BR"/>
        </w:rPr>
        <w:t>A</w:t>
      </w:r>
      <w:r w:rsidRPr="002F50BD">
        <w:rPr>
          <w:rFonts w:ascii="Verdana" w:hAnsi="Verdana"/>
          <w:sz w:val="20"/>
          <w:lang w:val="pt-BR"/>
        </w:rPr>
        <w:t xml:space="preserve"> testemunha</w:t>
      </w:r>
      <w:r w:rsidR="004756C1" w:rsidRPr="002F50BD">
        <w:rPr>
          <w:rFonts w:ascii="Verdana" w:hAnsi="Verdana"/>
          <w:sz w:val="20"/>
          <w:lang w:val="pt-BR"/>
        </w:rPr>
        <w:t xml:space="preserve"> </w:t>
      </w:r>
      <w:r w:rsidR="004076AD" w:rsidRPr="002F50BD">
        <w:rPr>
          <w:rFonts w:ascii="Verdana" w:hAnsi="Verdana"/>
          <w:sz w:val="20"/>
          <w:lang w:val="pt-BR"/>
        </w:rPr>
        <w:t>presen</w:t>
      </w:r>
      <w:r w:rsidR="005A6BC7" w:rsidRPr="002F50BD">
        <w:rPr>
          <w:rFonts w:ascii="Verdana" w:hAnsi="Verdana"/>
          <w:sz w:val="20"/>
          <w:lang w:val="pt-BR"/>
        </w:rPr>
        <w:t xml:space="preserve">ciou </w:t>
      </w:r>
      <w:r w:rsidRPr="002F50BD">
        <w:rPr>
          <w:rFonts w:ascii="Verdana" w:hAnsi="Verdana"/>
          <w:sz w:val="20"/>
          <w:lang w:val="pt-BR"/>
        </w:rPr>
        <w:t>os fatos</w:t>
      </w:r>
      <w:r w:rsidR="004756C1" w:rsidRPr="002F50BD">
        <w:rPr>
          <w:rFonts w:ascii="Verdana" w:hAnsi="Verdana"/>
          <w:sz w:val="20"/>
          <w:lang w:val="pt-BR"/>
        </w:rPr>
        <w:t xml:space="preserve"> de </w:t>
      </w:r>
      <w:r w:rsidRPr="002F50BD">
        <w:rPr>
          <w:rFonts w:ascii="Verdana" w:hAnsi="Verdana"/>
          <w:sz w:val="20"/>
          <w:lang w:val="pt-BR"/>
        </w:rPr>
        <w:t>violência</w:t>
      </w:r>
      <w:r w:rsidR="004756C1" w:rsidRPr="002F50BD">
        <w:rPr>
          <w:rFonts w:ascii="Verdana" w:hAnsi="Verdana"/>
          <w:sz w:val="20"/>
          <w:lang w:val="pt-BR"/>
        </w:rPr>
        <w:t xml:space="preserve"> de que</w:t>
      </w:r>
      <w:r w:rsidRPr="002F50BD">
        <w:rPr>
          <w:rFonts w:ascii="Verdana" w:hAnsi="Verdana"/>
          <w:sz w:val="20"/>
          <w:lang w:val="pt-BR"/>
        </w:rPr>
        <w:t xml:space="preserve"> foi vítima a </w:t>
      </w:r>
      <w:r w:rsidR="004756C1" w:rsidRPr="002F50BD">
        <w:rPr>
          <w:rFonts w:ascii="Verdana" w:hAnsi="Verdana"/>
          <w:sz w:val="20"/>
          <w:lang w:val="pt-BR"/>
        </w:rPr>
        <w:t>Comunidad</w:t>
      </w:r>
      <w:r w:rsidR="005A6BC7" w:rsidRPr="002F50BD">
        <w:rPr>
          <w:rFonts w:ascii="Verdana" w:hAnsi="Verdana"/>
          <w:sz w:val="20"/>
          <w:lang w:val="pt-BR"/>
        </w:rPr>
        <w:t>e</w:t>
      </w:r>
      <w:r w:rsidR="004756C1" w:rsidRPr="002F50BD">
        <w:rPr>
          <w:rFonts w:ascii="Verdana" w:hAnsi="Verdana"/>
          <w:sz w:val="20"/>
          <w:lang w:val="pt-BR"/>
        </w:rPr>
        <w:t>: ataques</w:t>
      </w:r>
      <w:r w:rsidRPr="002F50BD">
        <w:rPr>
          <w:rFonts w:ascii="Verdana" w:hAnsi="Verdana"/>
          <w:sz w:val="20"/>
          <w:lang w:val="pt-BR"/>
        </w:rPr>
        <w:t xml:space="preserve"> com </w:t>
      </w:r>
      <w:r w:rsidR="004756C1" w:rsidRPr="002F50BD">
        <w:rPr>
          <w:rFonts w:ascii="Verdana" w:hAnsi="Verdana"/>
          <w:sz w:val="20"/>
          <w:lang w:val="pt-BR"/>
        </w:rPr>
        <w:t xml:space="preserve">armas de </w:t>
      </w:r>
      <w:r w:rsidRPr="002F50BD">
        <w:rPr>
          <w:rFonts w:ascii="Verdana" w:hAnsi="Verdana"/>
          <w:sz w:val="20"/>
          <w:lang w:val="pt-BR"/>
        </w:rPr>
        <w:t xml:space="preserve">fogo no mês </w:t>
      </w:r>
      <w:r w:rsidR="004756C1" w:rsidRPr="002F50BD">
        <w:rPr>
          <w:rFonts w:ascii="Verdana" w:hAnsi="Verdana"/>
          <w:sz w:val="20"/>
          <w:lang w:val="pt-BR"/>
        </w:rPr>
        <w:t xml:space="preserve">de agosto de </w:t>
      </w:r>
      <w:r w:rsidR="00063B47" w:rsidRPr="002F50BD">
        <w:rPr>
          <w:rFonts w:ascii="Verdana" w:hAnsi="Verdana"/>
          <w:sz w:val="20"/>
          <w:lang w:val="pt-BR"/>
        </w:rPr>
        <w:t>2000</w:t>
      </w:r>
      <w:r w:rsidRPr="002F50BD">
        <w:rPr>
          <w:rFonts w:ascii="Verdana" w:hAnsi="Verdana"/>
          <w:sz w:val="20"/>
          <w:lang w:val="pt-BR"/>
        </w:rPr>
        <w:t xml:space="preserve"> e ameaça</w:t>
      </w:r>
      <w:r w:rsidR="004756C1" w:rsidRPr="002F50BD">
        <w:rPr>
          <w:rFonts w:ascii="Verdana" w:hAnsi="Verdana"/>
          <w:sz w:val="20"/>
          <w:lang w:val="pt-BR"/>
        </w:rPr>
        <w:t xml:space="preserve">s dirigidas por </w:t>
      </w:r>
      <w:r w:rsidRPr="002F50BD">
        <w:rPr>
          <w:rFonts w:ascii="Verdana" w:hAnsi="Verdana"/>
          <w:sz w:val="20"/>
          <w:lang w:val="pt-BR"/>
        </w:rPr>
        <w:t>homens</w:t>
      </w:r>
      <w:r w:rsidR="004756C1" w:rsidRPr="002F50BD">
        <w:rPr>
          <w:rFonts w:ascii="Verdana" w:hAnsi="Verdana"/>
          <w:sz w:val="20"/>
          <w:lang w:val="pt-BR"/>
        </w:rPr>
        <w:t xml:space="preserve"> encapu</w:t>
      </w:r>
      <w:r w:rsidR="005A6BC7" w:rsidRPr="002F50BD">
        <w:rPr>
          <w:rFonts w:ascii="Verdana" w:hAnsi="Verdana"/>
          <w:sz w:val="20"/>
          <w:lang w:val="pt-BR"/>
        </w:rPr>
        <w:t>z</w:t>
      </w:r>
      <w:r w:rsidR="004756C1" w:rsidRPr="002F50BD">
        <w:rPr>
          <w:rFonts w:ascii="Verdana" w:hAnsi="Verdana"/>
          <w:sz w:val="20"/>
          <w:lang w:val="pt-BR"/>
        </w:rPr>
        <w:t xml:space="preserve">ados que </w:t>
      </w:r>
      <w:r w:rsidR="005A6BC7" w:rsidRPr="002F50BD">
        <w:rPr>
          <w:rFonts w:ascii="Verdana" w:hAnsi="Verdana"/>
          <w:sz w:val="20"/>
          <w:lang w:val="pt-BR"/>
        </w:rPr>
        <w:t xml:space="preserve">fincaram </w:t>
      </w:r>
      <w:r w:rsidRPr="002F50BD">
        <w:rPr>
          <w:rFonts w:ascii="Verdana" w:hAnsi="Verdana"/>
          <w:sz w:val="20"/>
          <w:lang w:val="pt-BR"/>
        </w:rPr>
        <w:t xml:space="preserve">uma </w:t>
      </w:r>
      <w:r w:rsidR="004756C1" w:rsidRPr="002F50BD">
        <w:rPr>
          <w:rFonts w:ascii="Verdana" w:hAnsi="Verdana"/>
          <w:sz w:val="20"/>
          <w:lang w:val="pt-BR"/>
        </w:rPr>
        <w:t>cruz</w:t>
      </w:r>
      <w:r w:rsidRPr="002F50BD">
        <w:rPr>
          <w:rFonts w:ascii="Verdana" w:hAnsi="Verdana"/>
          <w:sz w:val="20"/>
          <w:lang w:val="pt-BR"/>
        </w:rPr>
        <w:t xml:space="preserve"> no </w:t>
      </w:r>
      <w:r w:rsidR="00AB454A" w:rsidRPr="002F50BD">
        <w:rPr>
          <w:rFonts w:ascii="Verdana" w:hAnsi="Verdana"/>
          <w:sz w:val="20"/>
          <w:lang w:val="pt-BR"/>
        </w:rPr>
        <w:t>assentamento</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degolar</w:t>
      </w:r>
      <w:r w:rsidR="005A6BC7" w:rsidRPr="002F50BD">
        <w:rPr>
          <w:rFonts w:ascii="Verdana" w:hAnsi="Verdana"/>
          <w:sz w:val="20"/>
          <w:lang w:val="pt-BR"/>
        </w:rPr>
        <w:t>am</w:t>
      </w:r>
      <w:r w:rsidR="004756C1" w:rsidRPr="002F50BD">
        <w:rPr>
          <w:rFonts w:ascii="Verdana" w:hAnsi="Verdana"/>
          <w:sz w:val="20"/>
          <w:lang w:val="pt-BR"/>
        </w:rPr>
        <w:t xml:space="preserve"> </w:t>
      </w:r>
      <w:r w:rsidRPr="002F50BD">
        <w:rPr>
          <w:rFonts w:ascii="Verdana" w:hAnsi="Verdana"/>
          <w:sz w:val="20"/>
          <w:lang w:val="pt-BR"/>
        </w:rPr>
        <w:t>algumas</w:t>
      </w:r>
      <w:r w:rsidR="004756C1" w:rsidRPr="002F50BD">
        <w:rPr>
          <w:rFonts w:ascii="Verdana" w:hAnsi="Verdana"/>
          <w:sz w:val="20"/>
          <w:lang w:val="pt-BR"/>
        </w:rPr>
        <w:t xml:space="preserve"> </w:t>
      </w:r>
      <w:r w:rsidR="004076AD" w:rsidRPr="002F50BD">
        <w:rPr>
          <w:rFonts w:ascii="Verdana" w:hAnsi="Verdana"/>
          <w:sz w:val="20"/>
          <w:lang w:val="pt-BR"/>
        </w:rPr>
        <w:t>galinha</w:t>
      </w:r>
      <w:r w:rsidR="004756C1" w:rsidRPr="002F50BD">
        <w:rPr>
          <w:rFonts w:ascii="Verdana" w:hAnsi="Verdana"/>
          <w:sz w:val="20"/>
          <w:lang w:val="pt-BR"/>
        </w:rPr>
        <w:t>s</w:t>
      </w:r>
      <w:r w:rsidRPr="002F50BD">
        <w:rPr>
          <w:rFonts w:ascii="Verdana" w:hAnsi="Verdana"/>
          <w:sz w:val="20"/>
          <w:lang w:val="pt-BR"/>
        </w:rPr>
        <w:t xml:space="preserve"> e </w:t>
      </w:r>
      <w:r w:rsidR="005A6BC7" w:rsidRPr="002F50BD">
        <w:rPr>
          <w:rFonts w:ascii="Verdana" w:hAnsi="Verdana"/>
          <w:sz w:val="20"/>
          <w:lang w:val="pt-BR"/>
        </w:rPr>
        <w:t>disseram</w:t>
      </w:r>
      <w:r w:rsidR="004756C1" w:rsidRPr="002F50BD">
        <w:rPr>
          <w:rFonts w:ascii="Verdana" w:hAnsi="Verdana"/>
          <w:sz w:val="20"/>
          <w:lang w:val="pt-BR"/>
        </w:rPr>
        <w:t xml:space="preserve"> que</w:t>
      </w:r>
      <w:r w:rsidR="00313394" w:rsidRPr="002F50BD">
        <w:rPr>
          <w:rFonts w:ascii="Verdana" w:hAnsi="Verdana"/>
          <w:sz w:val="20"/>
          <w:lang w:val="pt-BR"/>
        </w:rPr>
        <w:t xml:space="preserve"> isso </w:t>
      </w:r>
      <w:r w:rsidR="005A6BC7" w:rsidRPr="002F50BD">
        <w:rPr>
          <w:rFonts w:ascii="Verdana" w:hAnsi="Verdana"/>
          <w:sz w:val="20"/>
          <w:lang w:val="pt-BR"/>
        </w:rPr>
        <w:t>ocorrer</w:t>
      </w:r>
      <w:r w:rsidR="00060B3A" w:rsidRPr="002F50BD">
        <w:rPr>
          <w:rFonts w:ascii="Verdana" w:hAnsi="Verdana"/>
          <w:sz w:val="20"/>
          <w:lang w:val="pt-BR"/>
        </w:rPr>
        <w:t xml:space="preserve">ia </w:t>
      </w:r>
      <w:r w:rsidR="004756C1" w:rsidRPr="002F50BD">
        <w:rPr>
          <w:rFonts w:ascii="Verdana" w:hAnsi="Verdana"/>
          <w:sz w:val="20"/>
          <w:lang w:val="pt-BR"/>
        </w:rPr>
        <w:t xml:space="preserve">a </w:t>
      </w:r>
      <w:r w:rsidR="005A6BC7" w:rsidRPr="002F50BD">
        <w:rPr>
          <w:rFonts w:ascii="Verdana" w:hAnsi="Verdana"/>
          <w:sz w:val="20"/>
          <w:lang w:val="pt-BR"/>
        </w:rPr>
        <w:t>seus líderes</w:t>
      </w:r>
      <w:r w:rsidR="00AB454A" w:rsidRPr="002F50BD">
        <w:rPr>
          <w:rFonts w:ascii="Verdana" w:hAnsi="Verdana"/>
          <w:sz w:val="20"/>
          <w:lang w:val="pt-BR"/>
        </w:rPr>
        <w:t xml:space="preserve">. A </w:t>
      </w:r>
      <w:r w:rsidRPr="002F50BD">
        <w:rPr>
          <w:rFonts w:ascii="Verdana" w:hAnsi="Verdana"/>
          <w:sz w:val="20"/>
          <w:lang w:val="pt-BR"/>
        </w:rPr>
        <w:t xml:space="preserve">Comunidade </w:t>
      </w:r>
      <w:r w:rsidR="004756C1" w:rsidRPr="002F50BD">
        <w:rPr>
          <w:rFonts w:ascii="Verdana" w:hAnsi="Verdana"/>
          <w:sz w:val="20"/>
          <w:lang w:val="pt-BR"/>
        </w:rPr>
        <w:t>vive</w:t>
      </w:r>
      <w:r w:rsidRPr="002F50BD">
        <w:rPr>
          <w:rFonts w:ascii="Verdana" w:hAnsi="Verdana"/>
          <w:sz w:val="20"/>
          <w:lang w:val="pt-BR"/>
        </w:rPr>
        <w:t xml:space="preserve"> com medo e </w:t>
      </w:r>
      <w:r w:rsidR="004756C1" w:rsidRPr="002F50BD">
        <w:rPr>
          <w:rFonts w:ascii="Verdana" w:hAnsi="Verdana"/>
          <w:sz w:val="20"/>
          <w:lang w:val="pt-BR"/>
        </w:rPr>
        <w:t xml:space="preserve">tristeza. </w:t>
      </w:r>
      <w:r w:rsidR="005A6BC7" w:rsidRPr="002F50BD">
        <w:rPr>
          <w:rFonts w:ascii="Verdana" w:hAnsi="Verdana"/>
          <w:sz w:val="20"/>
          <w:lang w:val="pt-BR"/>
        </w:rPr>
        <w:t>A</w:t>
      </w:r>
      <w:r w:rsidRPr="002F50BD">
        <w:rPr>
          <w:rFonts w:ascii="Verdana" w:hAnsi="Verdana"/>
          <w:sz w:val="20"/>
          <w:lang w:val="pt-BR"/>
        </w:rPr>
        <w:t xml:space="preserve">s </w:t>
      </w:r>
      <w:r w:rsidR="005A6BC7" w:rsidRPr="002F50BD">
        <w:rPr>
          <w:rFonts w:ascii="Verdana" w:hAnsi="Verdana"/>
          <w:sz w:val="20"/>
          <w:lang w:val="pt-BR"/>
        </w:rPr>
        <w:t>família</w:t>
      </w:r>
      <w:r w:rsidR="004756C1" w:rsidRPr="002F50BD">
        <w:rPr>
          <w:rFonts w:ascii="Verdana" w:hAnsi="Verdana"/>
          <w:sz w:val="20"/>
          <w:lang w:val="pt-BR"/>
        </w:rPr>
        <w:t>s que</w:t>
      </w:r>
      <w:r w:rsidRPr="002F50BD">
        <w:rPr>
          <w:rFonts w:ascii="Verdana" w:hAnsi="Verdana"/>
          <w:sz w:val="20"/>
          <w:lang w:val="pt-BR"/>
        </w:rPr>
        <w:t xml:space="preserve"> a </w:t>
      </w:r>
      <w:r w:rsidR="004756C1" w:rsidRPr="002F50BD">
        <w:rPr>
          <w:rFonts w:ascii="Verdana" w:hAnsi="Verdana"/>
          <w:sz w:val="20"/>
          <w:lang w:val="pt-BR"/>
        </w:rPr>
        <w:t>inte</w:t>
      </w:r>
      <w:r w:rsidRPr="002F50BD">
        <w:rPr>
          <w:rFonts w:ascii="Verdana" w:hAnsi="Verdana"/>
          <w:sz w:val="20"/>
          <w:lang w:val="pt-BR"/>
        </w:rPr>
        <w:t>gra</w:t>
      </w:r>
      <w:r w:rsidR="005A6BC7" w:rsidRPr="002F50BD">
        <w:rPr>
          <w:rFonts w:ascii="Verdana" w:hAnsi="Verdana"/>
          <w:sz w:val="20"/>
          <w:lang w:val="pt-BR"/>
        </w:rPr>
        <w:t xml:space="preserve">m não </w:t>
      </w:r>
      <w:r w:rsidRPr="002F50BD">
        <w:rPr>
          <w:rFonts w:ascii="Verdana" w:hAnsi="Verdana"/>
          <w:sz w:val="20"/>
          <w:lang w:val="pt-BR"/>
        </w:rPr>
        <w:t xml:space="preserve">vivem </w:t>
      </w:r>
      <w:r w:rsidR="004756C1" w:rsidRPr="002F50BD">
        <w:rPr>
          <w:rFonts w:ascii="Verdana" w:hAnsi="Verdana"/>
          <w:sz w:val="20"/>
          <w:lang w:val="pt-BR"/>
        </w:rPr>
        <w:t>tranquilas por n</w:t>
      </w:r>
      <w:r w:rsidR="005A6BC7"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ter</w:t>
      </w:r>
      <w:r w:rsidR="005A6BC7" w:rsidRPr="002F50BD">
        <w:rPr>
          <w:rFonts w:ascii="Verdana" w:hAnsi="Verdana"/>
          <w:sz w:val="20"/>
          <w:lang w:val="pt-BR"/>
        </w:rPr>
        <w:t>em</w:t>
      </w:r>
      <w:r w:rsidRPr="002F50BD">
        <w:rPr>
          <w:rFonts w:ascii="Verdana" w:hAnsi="Verdana"/>
          <w:sz w:val="20"/>
          <w:lang w:val="pt-BR"/>
        </w:rPr>
        <w:t xml:space="preserve"> terra e</w:t>
      </w:r>
      <w:r w:rsidR="00060B3A" w:rsidRPr="002F50BD">
        <w:rPr>
          <w:rFonts w:ascii="Verdana" w:hAnsi="Verdana"/>
          <w:sz w:val="20"/>
          <w:lang w:val="pt-BR"/>
        </w:rPr>
        <w:t xml:space="preserve"> por</w:t>
      </w:r>
      <w:r w:rsidRPr="002F50BD">
        <w:rPr>
          <w:rFonts w:ascii="Verdana" w:hAnsi="Verdana"/>
          <w:sz w:val="20"/>
          <w:lang w:val="pt-BR"/>
        </w:rPr>
        <w:t xml:space="preserve"> ter</w:t>
      </w:r>
      <w:r w:rsidR="005A6BC7" w:rsidRPr="002F50BD">
        <w:rPr>
          <w:rFonts w:ascii="Verdana" w:hAnsi="Verdana"/>
          <w:sz w:val="20"/>
          <w:lang w:val="pt-BR"/>
        </w:rPr>
        <w:t xml:space="preserve">em de </w:t>
      </w:r>
      <w:r w:rsidRPr="002F50BD">
        <w:rPr>
          <w:rFonts w:ascii="Verdana" w:hAnsi="Verdana"/>
          <w:sz w:val="20"/>
          <w:lang w:val="pt-BR"/>
        </w:rPr>
        <w:t xml:space="preserve">viver ao </w:t>
      </w:r>
      <w:r w:rsidR="005A6BC7" w:rsidRPr="002F50BD">
        <w:rPr>
          <w:rFonts w:ascii="Verdana" w:hAnsi="Verdana"/>
          <w:sz w:val="20"/>
          <w:lang w:val="pt-BR"/>
        </w:rPr>
        <w:t xml:space="preserve">lado </w:t>
      </w:r>
      <w:r w:rsidR="004756C1" w:rsidRPr="002F50BD">
        <w:rPr>
          <w:rFonts w:ascii="Verdana" w:hAnsi="Verdana"/>
          <w:sz w:val="20"/>
          <w:lang w:val="pt-BR"/>
        </w:rPr>
        <w:t>de</w:t>
      </w:r>
      <w:r w:rsidRPr="002F50BD">
        <w:rPr>
          <w:rFonts w:ascii="Verdana" w:hAnsi="Verdana"/>
          <w:sz w:val="20"/>
          <w:lang w:val="pt-BR"/>
        </w:rPr>
        <w:t xml:space="preserve"> uma </w:t>
      </w:r>
      <w:r w:rsidR="005A6BC7" w:rsidRPr="002F50BD">
        <w:rPr>
          <w:rFonts w:ascii="Verdana" w:hAnsi="Verdana"/>
          <w:sz w:val="20"/>
          <w:lang w:val="pt-BR"/>
        </w:rPr>
        <w:t>rodovia</w:t>
      </w:r>
      <w:r w:rsidR="004756C1" w:rsidRPr="002F50BD">
        <w:rPr>
          <w:rFonts w:ascii="Verdana" w:hAnsi="Verdana"/>
          <w:sz w:val="20"/>
          <w:lang w:val="pt-BR"/>
        </w:rPr>
        <w:t>,</w:t>
      </w:r>
      <w:r w:rsidRPr="002F50BD">
        <w:rPr>
          <w:rFonts w:ascii="Verdana" w:hAnsi="Verdana"/>
          <w:sz w:val="20"/>
          <w:lang w:val="pt-BR"/>
        </w:rPr>
        <w:t xml:space="preserve"> </w:t>
      </w:r>
      <w:r w:rsidR="005A6BC7" w:rsidRPr="002F50BD">
        <w:rPr>
          <w:rFonts w:ascii="Verdana" w:hAnsi="Verdana"/>
          <w:sz w:val="20"/>
          <w:lang w:val="pt-BR"/>
        </w:rPr>
        <w:t>onde os</w:t>
      </w:r>
      <w:r w:rsidRPr="002F50BD">
        <w:rPr>
          <w:rFonts w:ascii="Verdana" w:hAnsi="Verdana"/>
          <w:sz w:val="20"/>
          <w:lang w:val="pt-BR"/>
        </w:rPr>
        <w:t xml:space="preserve"> </w:t>
      </w:r>
      <w:r w:rsidR="00AB454A" w:rsidRPr="002F50BD">
        <w:rPr>
          <w:rFonts w:ascii="Verdana" w:hAnsi="Verdana"/>
          <w:sz w:val="20"/>
          <w:lang w:val="pt-BR"/>
        </w:rPr>
        <w:t>veícu</w:t>
      </w:r>
      <w:r w:rsidR="00060B3A" w:rsidRPr="002F50BD">
        <w:rPr>
          <w:rFonts w:ascii="Verdana" w:hAnsi="Verdana"/>
          <w:sz w:val="20"/>
          <w:lang w:val="pt-BR"/>
        </w:rPr>
        <w:t>lo</w:t>
      </w:r>
      <w:r w:rsidR="00AB6727" w:rsidRPr="002F50BD">
        <w:rPr>
          <w:rFonts w:ascii="Verdana" w:hAnsi="Verdana"/>
          <w:sz w:val="20"/>
          <w:lang w:val="pt-BR"/>
        </w:rPr>
        <w:t xml:space="preserve">s </w:t>
      </w:r>
      <w:r w:rsidR="005A6BC7" w:rsidRPr="002F50BD">
        <w:rPr>
          <w:rFonts w:ascii="Verdana" w:hAnsi="Verdana"/>
          <w:sz w:val="20"/>
          <w:lang w:val="pt-BR"/>
        </w:rPr>
        <w:t xml:space="preserve">transitam em </w:t>
      </w:r>
      <w:r w:rsidR="004756C1" w:rsidRPr="002F50BD">
        <w:rPr>
          <w:rFonts w:ascii="Verdana" w:hAnsi="Verdana"/>
          <w:sz w:val="20"/>
          <w:lang w:val="pt-BR"/>
        </w:rPr>
        <w:t>alta velocidade</w:t>
      </w:r>
      <w:r w:rsidRPr="002F50BD">
        <w:rPr>
          <w:rFonts w:ascii="Verdana" w:hAnsi="Verdana"/>
          <w:sz w:val="20"/>
          <w:lang w:val="pt-BR"/>
        </w:rPr>
        <w:t xml:space="preserve"> e há perigo</w:t>
      </w:r>
      <w:r w:rsidR="004756C1" w:rsidRPr="002F50BD">
        <w:rPr>
          <w:rFonts w:ascii="Verdana" w:hAnsi="Verdana"/>
          <w:sz w:val="20"/>
          <w:lang w:val="pt-BR"/>
        </w:rPr>
        <w:t xml:space="preserve"> de </w:t>
      </w:r>
      <w:r w:rsidR="00AB454A" w:rsidRPr="002F50BD">
        <w:rPr>
          <w:rFonts w:ascii="Verdana" w:hAnsi="Verdana"/>
          <w:sz w:val="20"/>
          <w:lang w:val="pt-BR"/>
        </w:rPr>
        <w:t>acident</w:t>
      </w:r>
      <w:r w:rsidR="004756C1" w:rsidRPr="002F50BD">
        <w:rPr>
          <w:rFonts w:ascii="Verdana" w:hAnsi="Verdana"/>
          <w:sz w:val="20"/>
          <w:lang w:val="pt-BR"/>
        </w:rPr>
        <w:t>es, como</w:t>
      </w:r>
      <w:r w:rsidRPr="002F50BD">
        <w:rPr>
          <w:rFonts w:ascii="Verdana" w:hAnsi="Verdana"/>
          <w:sz w:val="20"/>
          <w:lang w:val="pt-BR"/>
        </w:rPr>
        <w:t xml:space="preserve"> o ocorrid</w:t>
      </w:r>
      <w:r w:rsidR="004756C1" w:rsidRPr="002F50BD">
        <w:rPr>
          <w:rFonts w:ascii="Verdana" w:hAnsi="Verdana"/>
          <w:sz w:val="20"/>
          <w:lang w:val="pt-BR"/>
        </w:rPr>
        <w:t>o</w:t>
      </w:r>
      <w:r w:rsidRPr="002F50BD">
        <w:rPr>
          <w:rFonts w:ascii="Verdana" w:hAnsi="Verdana"/>
          <w:sz w:val="20"/>
          <w:lang w:val="pt-BR"/>
        </w:rPr>
        <w:t xml:space="preserve"> no mês </w:t>
      </w:r>
      <w:r w:rsidR="004756C1" w:rsidRPr="002F50BD">
        <w:rPr>
          <w:rFonts w:ascii="Verdana" w:hAnsi="Verdana"/>
          <w:sz w:val="20"/>
          <w:lang w:val="pt-BR"/>
        </w:rPr>
        <w:t xml:space="preserve">de </w:t>
      </w:r>
      <w:r w:rsidRPr="002F50BD">
        <w:rPr>
          <w:rFonts w:ascii="Verdana" w:hAnsi="Verdana"/>
          <w:sz w:val="20"/>
          <w:lang w:val="pt-BR"/>
        </w:rPr>
        <w:t>outubro</w:t>
      </w:r>
      <w:r w:rsidR="004756C1" w:rsidRPr="002F50BD">
        <w:rPr>
          <w:rFonts w:ascii="Verdana" w:hAnsi="Verdana"/>
          <w:sz w:val="20"/>
          <w:lang w:val="pt-BR"/>
        </w:rPr>
        <w:t xml:space="preserve"> de </w:t>
      </w:r>
      <w:r w:rsidR="00063B47" w:rsidRPr="002F50BD">
        <w:rPr>
          <w:rFonts w:ascii="Verdana" w:hAnsi="Verdana"/>
          <w:sz w:val="20"/>
          <w:lang w:val="pt-BR"/>
        </w:rPr>
        <w:t>2004</w:t>
      </w:r>
      <w:r w:rsidR="004756C1" w:rsidRPr="002F50BD">
        <w:rPr>
          <w:rFonts w:ascii="Verdana" w:hAnsi="Verdana"/>
          <w:sz w:val="20"/>
          <w:lang w:val="pt-BR"/>
        </w:rPr>
        <w:t xml:space="preserve"> </w:t>
      </w:r>
      <w:r w:rsidR="00E801FF" w:rsidRPr="002F50BD">
        <w:rPr>
          <w:rFonts w:ascii="Verdana" w:hAnsi="Verdana"/>
          <w:sz w:val="20"/>
          <w:lang w:val="pt-BR"/>
        </w:rPr>
        <w:t>com</w:t>
      </w:r>
      <w:r w:rsidR="004756C1" w:rsidRPr="002F50BD">
        <w:rPr>
          <w:rFonts w:ascii="Verdana" w:hAnsi="Verdana"/>
          <w:sz w:val="20"/>
          <w:lang w:val="pt-BR"/>
        </w:rPr>
        <w:t xml:space="preserve"> do</w:t>
      </w:r>
      <w:r w:rsidR="005A6BC7" w:rsidRPr="002F50BD">
        <w:rPr>
          <w:rFonts w:ascii="Verdana" w:hAnsi="Verdana"/>
          <w:sz w:val="20"/>
          <w:lang w:val="pt-BR"/>
        </w:rPr>
        <w:t>i</w:t>
      </w:r>
      <w:r w:rsidR="004756C1" w:rsidRPr="002F50BD">
        <w:rPr>
          <w:rFonts w:ascii="Verdana" w:hAnsi="Verdana"/>
          <w:sz w:val="20"/>
          <w:lang w:val="pt-BR"/>
        </w:rPr>
        <w:t xml:space="preserve">s </w:t>
      </w:r>
      <w:r w:rsidRPr="002F50BD">
        <w:rPr>
          <w:rFonts w:ascii="Verdana" w:hAnsi="Verdana"/>
          <w:sz w:val="20"/>
          <w:lang w:val="pt-BR"/>
        </w:rPr>
        <w:t>jovens</w:t>
      </w:r>
      <w:r w:rsidR="004756C1"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w:t>
      </w:r>
      <w:r w:rsidR="00A50140" w:rsidRPr="002F50BD">
        <w:rPr>
          <w:rFonts w:ascii="Verdana" w:hAnsi="Verdana"/>
          <w:sz w:val="20"/>
          <w:lang w:val="pt-BR"/>
        </w:rPr>
        <w:t>Comunidade.</w:t>
      </w:r>
      <w:r w:rsidR="00FE08B7">
        <w:rPr>
          <w:rFonts w:ascii="Verdana" w:hAnsi="Verdana"/>
          <w:sz w:val="20"/>
          <w:lang w:val="pt-BR"/>
        </w:rPr>
        <w:t xml:space="preserve"> </w:t>
      </w:r>
      <w:r w:rsidR="004756C1" w:rsidRPr="002F50BD">
        <w:rPr>
          <w:rFonts w:ascii="Verdana" w:hAnsi="Verdana"/>
          <w:sz w:val="20"/>
          <w:lang w:val="pt-BR"/>
        </w:rPr>
        <w:t>U</w:t>
      </w:r>
      <w:r w:rsidR="005A6BC7"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destes jovens</w:t>
      </w:r>
      <w:r w:rsidR="004756C1" w:rsidRPr="002F50BD">
        <w:rPr>
          <w:rFonts w:ascii="Verdana" w:hAnsi="Verdana"/>
          <w:sz w:val="20"/>
          <w:lang w:val="pt-BR"/>
        </w:rPr>
        <w:t xml:space="preserve">, Wilfredo Gómez Fernández, </w:t>
      </w:r>
      <w:r w:rsidRPr="002F50BD">
        <w:rPr>
          <w:rFonts w:ascii="Verdana" w:hAnsi="Verdana"/>
          <w:sz w:val="20"/>
          <w:lang w:val="pt-BR"/>
        </w:rPr>
        <w:t xml:space="preserve">faleceu e o </w:t>
      </w:r>
      <w:r w:rsidR="004756C1" w:rsidRPr="002F50BD">
        <w:rPr>
          <w:rFonts w:ascii="Verdana" w:hAnsi="Verdana"/>
          <w:sz w:val="20"/>
          <w:lang w:val="pt-BR"/>
        </w:rPr>
        <w:t>o</w:t>
      </w:r>
      <w:r w:rsidR="005A6BC7" w:rsidRPr="002F50BD">
        <w:rPr>
          <w:rFonts w:ascii="Verdana" w:hAnsi="Verdana"/>
          <w:sz w:val="20"/>
          <w:lang w:val="pt-BR"/>
        </w:rPr>
        <w:t>u</w:t>
      </w:r>
      <w:r w:rsidR="004756C1" w:rsidRPr="002F50BD">
        <w:rPr>
          <w:rFonts w:ascii="Verdana" w:hAnsi="Verdana"/>
          <w:sz w:val="20"/>
          <w:lang w:val="pt-BR"/>
        </w:rPr>
        <w:t xml:space="preserve">tro, Arsenio Ramos, </w:t>
      </w:r>
      <w:r w:rsidRPr="002F50BD">
        <w:rPr>
          <w:rFonts w:ascii="Verdana" w:hAnsi="Verdana"/>
          <w:sz w:val="20"/>
          <w:lang w:val="pt-BR"/>
        </w:rPr>
        <w:t xml:space="preserve">perdeu uma </w:t>
      </w:r>
      <w:r w:rsidR="00AB454A" w:rsidRPr="002F50BD">
        <w:rPr>
          <w:rFonts w:ascii="Verdana" w:hAnsi="Verdana"/>
          <w:sz w:val="20"/>
          <w:lang w:val="pt-BR"/>
        </w:rPr>
        <w:t>perna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Do</w:t>
      </w:r>
      <w:r w:rsidR="00AD23C8" w:rsidRPr="002F50BD">
        <w:rPr>
          <w:rFonts w:ascii="Verdana" w:hAnsi="Verdana"/>
          <w:sz w:val="20"/>
          <w:lang w:val="pt-BR"/>
        </w:rPr>
        <w:t>i</w:t>
      </w:r>
      <w:r w:rsidRPr="002F50BD">
        <w:rPr>
          <w:rFonts w:ascii="Verdana" w:hAnsi="Verdana"/>
          <w:sz w:val="20"/>
          <w:lang w:val="pt-BR"/>
        </w:rPr>
        <w:t>s</w:t>
      </w:r>
      <w:r w:rsidR="0089298C" w:rsidRPr="002F50BD">
        <w:rPr>
          <w:rFonts w:ascii="Verdana" w:hAnsi="Verdana"/>
          <w:sz w:val="20"/>
          <w:lang w:val="pt-BR"/>
        </w:rPr>
        <w:t xml:space="preserve"> dos filho</w:t>
      </w:r>
      <w:r w:rsidRPr="002F50BD">
        <w:rPr>
          <w:rFonts w:ascii="Verdana" w:hAnsi="Verdana"/>
          <w:sz w:val="20"/>
          <w:lang w:val="pt-BR"/>
        </w:rPr>
        <w:t xml:space="preserve">s </w:t>
      </w:r>
      <w:r w:rsidR="0089298C" w:rsidRPr="002F50BD">
        <w:rPr>
          <w:rFonts w:ascii="Verdana" w:hAnsi="Verdana"/>
          <w:sz w:val="20"/>
          <w:lang w:val="pt-BR"/>
        </w:rPr>
        <w:t>d</w:t>
      </w:r>
      <w:r w:rsidR="005A6BC7" w:rsidRPr="002F50BD">
        <w:rPr>
          <w:rFonts w:ascii="Verdana" w:hAnsi="Verdana"/>
          <w:sz w:val="20"/>
          <w:lang w:val="pt-BR"/>
        </w:rPr>
        <w:t>a</w:t>
      </w:r>
      <w:r w:rsidR="0089298C" w:rsidRPr="002F50BD">
        <w:rPr>
          <w:rFonts w:ascii="Verdana" w:hAnsi="Verdana"/>
          <w:sz w:val="20"/>
          <w:lang w:val="pt-BR"/>
        </w:rPr>
        <w:t xml:space="preserve"> testemunha</w:t>
      </w:r>
      <w:r w:rsidRPr="002F50BD">
        <w:rPr>
          <w:rFonts w:ascii="Verdana" w:hAnsi="Verdana"/>
          <w:sz w:val="20"/>
          <w:lang w:val="pt-BR"/>
        </w:rPr>
        <w:t>, Mauro de do</w:t>
      </w:r>
      <w:r w:rsidR="005A6BC7" w:rsidRPr="002F50BD">
        <w:rPr>
          <w:rFonts w:ascii="Verdana" w:hAnsi="Verdana"/>
          <w:sz w:val="20"/>
          <w:lang w:val="pt-BR"/>
        </w:rPr>
        <w:t>i</w:t>
      </w:r>
      <w:r w:rsidRPr="002F50BD">
        <w:rPr>
          <w:rFonts w:ascii="Verdana" w:hAnsi="Verdana"/>
          <w:sz w:val="20"/>
          <w:lang w:val="pt-BR"/>
        </w:rPr>
        <w:t xml:space="preserve">s </w:t>
      </w:r>
      <w:r w:rsidR="0089298C" w:rsidRPr="002F50BD">
        <w:rPr>
          <w:rFonts w:ascii="Verdana" w:hAnsi="Verdana"/>
          <w:sz w:val="20"/>
          <w:lang w:val="pt-BR"/>
        </w:rPr>
        <w:t>anos</w:t>
      </w:r>
      <w:r w:rsidRPr="002F50BD">
        <w:rPr>
          <w:rFonts w:ascii="Verdana" w:hAnsi="Verdana"/>
          <w:sz w:val="20"/>
          <w:lang w:val="pt-BR"/>
        </w:rPr>
        <w:t xml:space="preserve"> de</w:t>
      </w:r>
      <w:r w:rsidR="0089298C" w:rsidRPr="002F50BD">
        <w:rPr>
          <w:rFonts w:ascii="Verdana" w:hAnsi="Verdana"/>
          <w:sz w:val="20"/>
          <w:lang w:val="pt-BR"/>
        </w:rPr>
        <w:t xml:space="preserve"> idade e </w:t>
      </w:r>
      <w:r w:rsidRPr="002F50BD">
        <w:rPr>
          <w:rFonts w:ascii="Verdana" w:hAnsi="Verdana"/>
          <w:sz w:val="20"/>
          <w:lang w:val="pt-BR"/>
        </w:rPr>
        <w:t>Fidelina de</w:t>
      </w:r>
      <w:r w:rsidR="0089298C" w:rsidRPr="002F50BD">
        <w:rPr>
          <w:rFonts w:ascii="Verdana" w:hAnsi="Verdana"/>
          <w:sz w:val="20"/>
          <w:lang w:val="pt-BR"/>
        </w:rPr>
        <w:t xml:space="preserve"> um ano e </w:t>
      </w:r>
      <w:r w:rsidRPr="002F50BD">
        <w:rPr>
          <w:rFonts w:ascii="Verdana" w:hAnsi="Verdana"/>
          <w:sz w:val="20"/>
          <w:lang w:val="pt-BR"/>
        </w:rPr>
        <w:t xml:space="preserve">meio, </w:t>
      </w:r>
      <w:r w:rsidR="004076AD" w:rsidRPr="002F50BD">
        <w:rPr>
          <w:rFonts w:ascii="Verdana" w:hAnsi="Verdana"/>
          <w:sz w:val="20"/>
          <w:lang w:val="pt-BR"/>
        </w:rPr>
        <w:t>morreram</w:t>
      </w:r>
      <w:r w:rsidRPr="002F50BD">
        <w:rPr>
          <w:rFonts w:ascii="Verdana" w:hAnsi="Verdana"/>
          <w:sz w:val="20"/>
          <w:lang w:val="pt-BR"/>
        </w:rPr>
        <w:t xml:space="preserve"> como </w:t>
      </w:r>
      <w:r w:rsidR="0089298C" w:rsidRPr="002F50BD">
        <w:rPr>
          <w:rFonts w:ascii="Verdana" w:hAnsi="Verdana"/>
          <w:sz w:val="20"/>
          <w:lang w:val="pt-BR"/>
        </w:rPr>
        <w:t xml:space="preserve">consequência das </w:t>
      </w:r>
      <w:r w:rsidRPr="002F50BD">
        <w:rPr>
          <w:rFonts w:ascii="Verdana" w:hAnsi="Verdana"/>
          <w:sz w:val="20"/>
          <w:lang w:val="pt-BR"/>
        </w:rPr>
        <w:t>condi</w:t>
      </w:r>
      <w:r w:rsidR="0089298C" w:rsidRPr="002F50BD">
        <w:rPr>
          <w:rFonts w:ascii="Verdana" w:hAnsi="Verdana"/>
          <w:sz w:val="20"/>
          <w:lang w:val="pt-BR"/>
        </w:rPr>
        <w:t xml:space="preserve">ções em </w:t>
      </w:r>
      <w:r w:rsidRPr="002F50BD">
        <w:rPr>
          <w:rFonts w:ascii="Verdana" w:hAnsi="Verdana"/>
          <w:sz w:val="20"/>
          <w:lang w:val="pt-BR"/>
        </w:rPr>
        <w:t xml:space="preserve">que </w:t>
      </w:r>
      <w:r w:rsidR="0089298C" w:rsidRPr="002F50BD">
        <w:rPr>
          <w:rFonts w:ascii="Verdana" w:hAnsi="Verdana"/>
          <w:sz w:val="20"/>
          <w:lang w:val="pt-BR"/>
        </w:rPr>
        <w:t xml:space="preserve">viveram ao </w:t>
      </w:r>
      <w:r w:rsidR="005A6BC7" w:rsidRPr="002F50BD">
        <w:rPr>
          <w:rFonts w:ascii="Verdana" w:hAnsi="Verdana"/>
          <w:sz w:val="20"/>
          <w:lang w:val="pt-BR"/>
        </w:rPr>
        <w:t xml:space="preserve">lado </w:t>
      </w:r>
      <w:r w:rsidR="0089298C" w:rsidRPr="002F50BD">
        <w:rPr>
          <w:rFonts w:ascii="Verdana" w:hAnsi="Verdana"/>
          <w:sz w:val="20"/>
          <w:lang w:val="pt-BR"/>
        </w:rPr>
        <w:t xml:space="preserve">da </w:t>
      </w:r>
      <w:r w:rsidR="005A6BC7" w:rsidRPr="002F50BD">
        <w:rPr>
          <w:rFonts w:ascii="Verdana" w:hAnsi="Verdana"/>
          <w:sz w:val="20"/>
          <w:lang w:val="pt-BR"/>
        </w:rPr>
        <w:t>rodovia</w:t>
      </w:r>
      <w:r w:rsidRPr="002F50BD">
        <w:rPr>
          <w:rFonts w:ascii="Verdana" w:hAnsi="Verdana"/>
          <w:sz w:val="20"/>
          <w:lang w:val="pt-BR"/>
        </w:rPr>
        <w:t>,</w:t>
      </w:r>
      <w:r w:rsidR="0089298C" w:rsidRPr="002F50BD">
        <w:rPr>
          <w:rFonts w:ascii="Verdana" w:hAnsi="Verdana"/>
          <w:sz w:val="20"/>
          <w:lang w:val="pt-BR"/>
        </w:rPr>
        <w:t xml:space="preserve"> sem ter</w:t>
      </w:r>
      <w:r w:rsidR="00060B3A" w:rsidRPr="002F50BD">
        <w:rPr>
          <w:rFonts w:ascii="Verdana" w:hAnsi="Verdana"/>
          <w:sz w:val="20"/>
          <w:lang w:val="pt-BR"/>
        </w:rPr>
        <w:t>em</w:t>
      </w:r>
      <w:r w:rsidR="0089298C" w:rsidRPr="002F50BD">
        <w:rPr>
          <w:rFonts w:ascii="Verdana" w:hAnsi="Verdana"/>
          <w:sz w:val="20"/>
          <w:lang w:val="pt-BR"/>
        </w:rPr>
        <w:t xml:space="preserve"> sequer um posto </w:t>
      </w:r>
      <w:r w:rsidRPr="002F50BD">
        <w:rPr>
          <w:rFonts w:ascii="Verdana" w:hAnsi="Verdana"/>
          <w:sz w:val="20"/>
          <w:lang w:val="pt-BR"/>
        </w:rPr>
        <w:t>o</w:t>
      </w:r>
      <w:r w:rsidR="005A6BC7" w:rsidRPr="002F50BD">
        <w:rPr>
          <w:rFonts w:ascii="Verdana" w:hAnsi="Verdana"/>
          <w:sz w:val="20"/>
          <w:lang w:val="pt-BR"/>
        </w:rPr>
        <w:t>u</w:t>
      </w:r>
      <w:r w:rsidRPr="002F50BD">
        <w:rPr>
          <w:rFonts w:ascii="Verdana" w:hAnsi="Verdana"/>
          <w:sz w:val="20"/>
          <w:lang w:val="pt-BR"/>
        </w:rPr>
        <w:t xml:space="preserve"> </w:t>
      </w:r>
      <w:r w:rsidR="00060B3A" w:rsidRPr="002F50BD">
        <w:rPr>
          <w:rFonts w:ascii="Verdana" w:hAnsi="Verdana"/>
          <w:sz w:val="20"/>
          <w:lang w:val="pt-BR"/>
        </w:rPr>
        <w:t xml:space="preserve">um </w:t>
      </w:r>
      <w:r w:rsidRPr="002F50BD">
        <w:rPr>
          <w:rFonts w:ascii="Verdana" w:hAnsi="Verdana"/>
          <w:sz w:val="20"/>
          <w:lang w:val="pt-BR"/>
        </w:rPr>
        <w:t xml:space="preserve">promotor de </w:t>
      </w:r>
      <w:r w:rsidR="0089298C" w:rsidRPr="002F50BD">
        <w:rPr>
          <w:rFonts w:ascii="Verdana" w:hAnsi="Verdana"/>
          <w:sz w:val="20"/>
          <w:lang w:val="pt-BR"/>
        </w:rPr>
        <w:t>saúde</w:t>
      </w:r>
      <w:r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Devido à </w:t>
      </w:r>
      <w:r w:rsidR="004756C1" w:rsidRPr="002F50BD">
        <w:rPr>
          <w:rFonts w:ascii="Verdana" w:hAnsi="Verdana"/>
          <w:sz w:val="20"/>
          <w:lang w:val="pt-BR"/>
        </w:rPr>
        <w:t xml:space="preserve">falta de </w:t>
      </w:r>
      <w:r w:rsidRPr="002F50BD">
        <w:rPr>
          <w:rFonts w:ascii="Verdana" w:hAnsi="Verdana"/>
          <w:sz w:val="20"/>
          <w:lang w:val="pt-BR"/>
        </w:rPr>
        <w:t>terra</w:t>
      </w:r>
      <w:r w:rsidR="005A6BC7" w:rsidRPr="002F50BD">
        <w:rPr>
          <w:rFonts w:ascii="Verdana" w:hAnsi="Verdana"/>
          <w:sz w:val="20"/>
          <w:lang w:val="pt-BR"/>
        </w:rPr>
        <w:t>,</w:t>
      </w:r>
      <w:r w:rsidRPr="002F50BD">
        <w:rPr>
          <w:rFonts w:ascii="Verdana" w:hAnsi="Verdana"/>
          <w:sz w:val="20"/>
          <w:lang w:val="pt-BR"/>
        </w:rPr>
        <w:t xml:space="preserve"> as morte</w:t>
      </w:r>
      <w:r w:rsidR="004756C1" w:rsidRPr="002F50BD">
        <w:rPr>
          <w:rFonts w:ascii="Verdana" w:hAnsi="Verdana"/>
          <w:sz w:val="20"/>
          <w:lang w:val="pt-BR"/>
        </w:rPr>
        <w:t>s</w:t>
      </w:r>
      <w:r w:rsidRPr="002F50BD">
        <w:rPr>
          <w:rFonts w:ascii="Verdana" w:hAnsi="Verdana"/>
          <w:sz w:val="20"/>
          <w:lang w:val="pt-BR"/>
        </w:rPr>
        <w:t xml:space="preserve"> são uma </w:t>
      </w:r>
      <w:r w:rsidR="004756C1" w:rsidRPr="002F50BD">
        <w:rPr>
          <w:rFonts w:ascii="Verdana" w:hAnsi="Verdana"/>
          <w:sz w:val="20"/>
          <w:lang w:val="pt-BR"/>
        </w:rPr>
        <w:t>des</w:t>
      </w:r>
      <w:r w:rsidRPr="002F50BD">
        <w:rPr>
          <w:rFonts w:ascii="Verdana" w:hAnsi="Verdana"/>
          <w:sz w:val="20"/>
          <w:lang w:val="pt-BR"/>
        </w:rPr>
        <w:t>graça</w:t>
      </w:r>
      <w:r w:rsidR="004756C1" w:rsidRPr="002F50BD">
        <w:rPr>
          <w:rFonts w:ascii="Verdana" w:hAnsi="Verdana"/>
          <w:sz w:val="20"/>
          <w:lang w:val="pt-BR"/>
        </w:rPr>
        <w:t xml:space="preserve"> para</w:t>
      </w:r>
      <w:r w:rsidRPr="002F50BD">
        <w:rPr>
          <w:rFonts w:ascii="Verdana" w:hAnsi="Verdana"/>
          <w:sz w:val="20"/>
          <w:lang w:val="pt-BR"/>
        </w:rPr>
        <w:t xml:space="preserve"> a </w:t>
      </w:r>
      <w:r w:rsidR="00A50140" w:rsidRPr="002F50BD">
        <w:rPr>
          <w:rFonts w:ascii="Verdana" w:hAnsi="Verdana"/>
          <w:sz w:val="20"/>
          <w:lang w:val="pt-BR"/>
        </w:rPr>
        <w:t>Comunidade.</w:t>
      </w:r>
      <w:r w:rsidR="004756C1" w:rsidRPr="002F50BD">
        <w:rPr>
          <w:rFonts w:ascii="Verdana" w:hAnsi="Verdana"/>
          <w:sz w:val="20"/>
          <w:lang w:val="pt-BR"/>
        </w:rPr>
        <w:t xml:space="preserve"> </w:t>
      </w:r>
      <w:r w:rsidR="005A6BC7" w:rsidRPr="002F50BD">
        <w:rPr>
          <w:rFonts w:ascii="Verdana" w:hAnsi="Verdana"/>
          <w:sz w:val="20"/>
          <w:lang w:val="pt-BR"/>
        </w:rPr>
        <w:t>A</w:t>
      </w:r>
      <w:r w:rsidRPr="002F50BD">
        <w:rPr>
          <w:rFonts w:ascii="Verdana" w:hAnsi="Verdana"/>
          <w:sz w:val="20"/>
          <w:lang w:val="pt-BR"/>
        </w:rPr>
        <w:t>s morte</w:t>
      </w:r>
      <w:r w:rsidR="004756C1" w:rsidRPr="002F50BD">
        <w:rPr>
          <w:rFonts w:ascii="Verdana" w:hAnsi="Verdana"/>
          <w:sz w:val="20"/>
          <w:lang w:val="pt-BR"/>
        </w:rPr>
        <w:t xml:space="preserve">s </w:t>
      </w:r>
      <w:r w:rsidR="005A6BC7" w:rsidRPr="002F50BD">
        <w:rPr>
          <w:rFonts w:ascii="Verdana" w:hAnsi="Verdana"/>
          <w:sz w:val="20"/>
          <w:lang w:val="pt-BR"/>
        </w:rPr>
        <w:t>fazem</w:t>
      </w:r>
      <w:r w:rsidR="004756C1" w:rsidRPr="002F50BD">
        <w:rPr>
          <w:rFonts w:ascii="Verdana" w:hAnsi="Verdana"/>
          <w:sz w:val="20"/>
          <w:lang w:val="pt-BR"/>
        </w:rPr>
        <w:t xml:space="preserve"> </w:t>
      </w:r>
      <w:r w:rsidR="0028028C" w:rsidRPr="002F50BD">
        <w:rPr>
          <w:rFonts w:ascii="Verdana" w:hAnsi="Verdana"/>
          <w:sz w:val="20"/>
          <w:lang w:val="pt-BR"/>
        </w:rPr>
        <w:t xml:space="preserve">com </w:t>
      </w:r>
      <w:r w:rsidR="004756C1" w:rsidRPr="002F50BD">
        <w:rPr>
          <w:rFonts w:ascii="Verdana" w:hAnsi="Verdana"/>
          <w:sz w:val="20"/>
          <w:lang w:val="pt-BR"/>
        </w:rPr>
        <w:t>que</w:t>
      </w:r>
      <w:r w:rsidRPr="002F50BD">
        <w:rPr>
          <w:rFonts w:ascii="Verdana" w:hAnsi="Verdana"/>
          <w:sz w:val="20"/>
          <w:lang w:val="pt-BR"/>
        </w:rPr>
        <w:t xml:space="preserve"> as </w:t>
      </w:r>
      <w:r w:rsidR="005A6BC7" w:rsidRPr="002F50BD">
        <w:rPr>
          <w:rFonts w:ascii="Verdana" w:hAnsi="Verdana"/>
          <w:sz w:val="20"/>
          <w:lang w:val="pt-BR"/>
        </w:rPr>
        <w:t>família</w:t>
      </w:r>
      <w:r w:rsidR="004756C1" w:rsidRPr="002F50BD">
        <w:rPr>
          <w:rFonts w:ascii="Verdana" w:hAnsi="Verdana"/>
          <w:sz w:val="20"/>
          <w:lang w:val="pt-BR"/>
        </w:rPr>
        <w:t>s, por su</w:t>
      </w:r>
      <w:r w:rsidR="005A6BC7" w:rsidRPr="002F50BD">
        <w:rPr>
          <w:rFonts w:ascii="Verdana" w:hAnsi="Verdana"/>
          <w:sz w:val="20"/>
          <w:lang w:val="pt-BR"/>
        </w:rPr>
        <w:t>a</w:t>
      </w:r>
      <w:r w:rsidR="004756C1" w:rsidRPr="002F50BD">
        <w:rPr>
          <w:rFonts w:ascii="Verdana" w:hAnsi="Verdana"/>
          <w:sz w:val="20"/>
          <w:lang w:val="pt-BR"/>
        </w:rPr>
        <w:t xml:space="preserve">s </w:t>
      </w:r>
      <w:r w:rsidR="004076AD" w:rsidRPr="002F50BD">
        <w:rPr>
          <w:rFonts w:ascii="Verdana" w:hAnsi="Verdana"/>
          <w:sz w:val="20"/>
          <w:lang w:val="pt-BR"/>
        </w:rPr>
        <w:t>crenças</w:t>
      </w:r>
      <w:r w:rsidR="004756C1" w:rsidRPr="002F50BD">
        <w:rPr>
          <w:rFonts w:ascii="Verdana" w:hAnsi="Verdana"/>
          <w:sz w:val="20"/>
          <w:lang w:val="pt-BR"/>
        </w:rPr>
        <w:t xml:space="preserve">, </w:t>
      </w:r>
      <w:r w:rsidRPr="002F50BD">
        <w:rPr>
          <w:rFonts w:ascii="Verdana" w:hAnsi="Verdana"/>
          <w:sz w:val="20"/>
          <w:lang w:val="pt-BR"/>
        </w:rPr>
        <w:t xml:space="preserve">tenham </w:t>
      </w:r>
      <w:r w:rsidR="005A6BC7" w:rsidRPr="002F50BD">
        <w:rPr>
          <w:rFonts w:ascii="Verdana" w:hAnsi="Verdana"/>
          <w:sz w:val="20"/>
          <w:lang w:val="pt-BR"/>
        </w:rPr>
        <w:t xml:space="preserve">de se </w:t>
      </w:r>
      <w:r w:rsidR="004756C1" w:rsidRPr="002F50BD">
        <w:rPr>
          <w:rFonts w:ascii="Verdana" w:hAnsi="Verdana"/>
          <w:sz w:val="20"/>
          <w:lang w:val="pt-BR"/>
        </w:rPr>
        <w:t xml:space="preserve">mudar de </w:t>
      </w:r>
      <w:r w:rsidR="00AB454A" w:rsidRPr="002F50BD">
        <w:rPr>
          <w:rFonts w:ascii="Verdana" w:hAnsi="Verdana"/>
          <w:sz w:val="20"/>
          <w:lang w:val="pt-BR"/>
        </w:rPr>
        <w:t>sua casa</w:t>
      </w:r>
      <w:r w:rsidR="004756C1" w:rsidRPr="002F50BD">
        <w:rPr>
          <w:rFonts w:ascii="Verdana" w:hAnsi="Verdana"/>
          <w:sz w:val="20"/>
          <w:lang w:val="pt-BR"/>
        </w:rPr>
        <w:t xml:space="preserve"> para </w:t>
      </w:r>
      <w:r w:rsidR="005A6BC7" w:rsidRPr="002F50BD">
        <w:rPr>
          <w:rFonts w:ascii="Verdana" w:hAnsi="Verdana"/>
          <w:sz w:val="20"/>
          <w:lang w:val="pt-BR"/>
        </w:rPr>
        <w:t>afastar-se</w:t>
      </w:r>
      <w:r w:rsidR="004756C1" w:rsidRPr="002F50BD">
        <w:rPr>
          <w:rFonts w:ascii="Verdana" w:hAnsi="Verdana"/>
          <w:sz w:val="20"/>
          <w:lang w:val="pt-BR"/>
        </w:rPr>
        <w:t xml:space="preserve"> d</w:t>
      </w:r>
      <w:r w:rsidRPr="002F50BD">
        <w:rPr>
          <w:rFonts w:ascii="Verdana" w:hAnsi="Verdana"/>
          <w:sz w:val="20"/>
          <w:lang w:val="pt-BR"/>
        </w:rPr>
        <w:t xml:space="preserve">a </w:t>
      </w:r>
      <w:r w:rsidR="005A6BC7" w:rsidRPr="002F50BD">
        <w:rPr>
          <w:rFonts w:ascii="Verdana" w:hAnsi="Verdana"/>
          <w:sz w:val="20"/>
          <w:lang w:val="pt-BR"/>
        </w:rPr>
        <w:t>“</w:t>
      </w:r>
      <w:r w:rsidR="004076AD" w:rsidRPr="002F50BD">
        <w:rPr>
          <w:rFonts w:ascii="Verdana" w:hAnsi="Verdana"/>
          <w:sz w:val="20"/>
          <w:lang w:val="pt-BR"/>
        </w:rPr>
        <w:t>presença</w:t>
      </w:r>
      <w:r w:rsidR="004756C1" w:rsidRPr="002F50BD">
        <w:rPr>
          <w:rFonts w:ascii="Verdana" w:hAnsi="Verdana"/>
          <w:sz w:val="20"/>
          <w:lang w:val="pt-BR"/>
        </w:rPr>
        <w:t xml:space="preserve">” </w:t>
      </w:r>
      <w:r w:rsidRPr="002F50BD">
        <w:rPr>
          <w:rFonts w:ascii="Verdana" w:hAnsi="Verdana"/>
          <w:sz w:val="20"/>
          <w:lang w:val="pt-BR"/>
        </w:rPr>
        <w:t xml:space="preserve">do </w:t>
      </w:r>
      <w:r w:rsidR="005A6BC7" w:rsidRPr="002F50BD">
        <w:rPr>
          <w:rFonts w:ascii="Verdana" w:hAnsi="Verdana"/>
          <w:sz w:val="20"/>
          <w:lang w:val="pt-BR"/>
        </w:rPr>
        <w:t xml:space="preserve">ente </w:t>
      </w:r>
      <w:r w:rsidR="004756C1" w:rsidRPr="002F50BD">
        <w:rPr>
          <w:rFonts w:ascii="Verdana" w:hAnsi="Verdana"/>
          <w:sz w:val="20"/>
          <w:lang w:val="pt-BR"/>
        </w:rPr>
        <w:t xml:space="preserve">querido </w:t>
      </w:r>
      <w:r w:rsidRPr="002F50BD">
        <w:rPr>
          <w:rFonts w:ascii="Verdana" w:hAnsi="Verdana"/>
          <w:sz w:val="20"/>
          <w:lang w:val="pt-BR"/>
        </w:rPr>
        <w:t>falecid</w:t>
      </w:r>
      <w:r w:rsidR="004756C1" w:rsidRPr="002F50BD">
        <w:rPr>
          <w:rFonts w:ascii="Verdana" w:hAnsi="Verdana"/>
          <w:sz w:val="20"/>
          <w:lang w:val="pt-BR"/>
        </w:rPr>
        <w:t xml:space="preserve">o. </w:t>
      </w:r>
      <w:r w:rsidRPr="002F50BD">
        <w:rPr>
          <w:rFonts w:ascii="Verdana" w:hAnsi="Verdana"/>
          <w:sz w:val="20"/>
          <w:lang w:val="pt-BR"/>
        </w:rPr>
        <w:t>Quando</w:t>
      </w:r>
      <w:r w:rsidR="004756C1" w:rsidRPr="002F50BD">
        <w:rPr>
          <w:rFonts w:ascii="Verdana" w:hAnsi="Verdana"/>
          <w:sz w:val="20"/>
          <w:lang w:val="pt-BR"/>
        </w:rPr>
        <w:t xml:space="preserve"> </w:t>
      </w:r>
      <w:r w:rsidRPr="002F50BD">
        <w:rPr>
          <w:rFonts w:ascii="Verdana" w:hAnsi="Verdana"/>
          <w:sz w:val="20"/>
          <w:lang w:val="pt-BR"/>
        </w:rPr>
        <w:t>sua mãe</w:t>
      </w:r>
      <w:r w:rsidR="004756C1" w:rsidRPr="002F50BD">
        <w:rPr>
          <w:rFonts w:ascii="Verdana" w:hAnsi="Verdana"/>
          <w:sz w:val="20"/>
          <w:lang w:val="pt-BR"/>
        </w:rPr>
        <w:t xml:space="preserve"> </w:t>
      </w:r>
      <w:r w:rsidRPr="002F50BD">
        <w:rPr>
          <w:rFonts w:ascii="Verdana" w:hAnsi="Verdana"/>
          <w:sz w:val="20"/>
          <w:lang w:val="pt-BR"/>
        </w:rPr>
        <w:t>morreu</w:t>
      </w:r>
      <w:r w:rsidR="004756C1" w:rsidRPr="002F50BD">
        <w:rPr>
          <w:rFonts w:ascii="Verdana" w:hAnsi="Verdana"/>
          <w:sz w:val="20"/>
          <w:lang w:val="pt-BR"/>
        </w:rPr>
        <w:t>,</w:t>
      </w:r>
      <w:r w:rsidRPr="002F50BD">
        <w:rPr>
          <w:rFonts w:ascii="Verdana" w:hAnsi="Verdana"/>
          <w:sz w:val="20"/>
          <w:lang w:val="pt-BR"/>
        </w:rPr>
        <w:t xml:space="preserve"> </w:t>
      </w:r>
      <w:r w:rsidR="005A6BC7" w:rsidRPr="002F50BD">
        <w:rPr>
          <w:rFonts w:ascii="Verdana" w:hAnsi="Verdana"/>
          <w:sz w:val="20"/>
          <w:lang w:val="pt-BR"/>
        </w:rPr>
        <w:t>a</w:t>
      </w:r>
      <w:r w:rsidRPr="002F50BD">
        <w:rPr>
          <w:rFonts w:ascii="Verdana" w:hAnsi="Verdana"/>
          <w:sz w:val="20"/>
          <w:lang w:val="pt-BR"/>
        </w:rPr>
        <w:t xml:space="preserve"> testemunha</w:t>
      </w:r>
      <w:r w:rsidR="004756C1" w:rsidRPr="002F50BD">
        <w:rPr>
          <w:rFonts w:ascii="Verdana" w:hAnsi="Verdana"/>
          <w:sz w:val="20"/>
          <w:lang w:val="pt-BR"/>
        </w:rPr>
        <w:t xml:space="preserve"> desmont</w:t>
      </w:r>
      <w:r w:rsidR="005A6BC7" w:rsidRPr="002F50BD">
        <w:rPr>
          <w:rFonts w:ascii="Verdana" w:hAnsi="Verdana"/>
          <w:sz w:val="20"/>
          <w:lang w:val="pt-BR"/>
        </w:rPr>
        <w:t>ou</w:t>
      </w:r>
      <w:r w:rsidR="004756C1" w:rsidRPr="002F50BD">
        <w:rPr>
          <w:rFonts w:ascii="Verdana" w:hAnsi="Verdana"/>
          <w:sz w:val="20"/>
          <w:lang w:val="pt-BR"/>
        </w:rPr>
        <w:t xml:space="preserve"> </w:t>
      </w:r>
      <w:r w:rsidR="00AB454A" w:rsidRPr="002F50BD">
        <w:rPr>
          <w:rFonts w:ascii="Verdana" w:hAnsi="Verdana"/>
          <w:sz w:val="20"/>
          <w:lang w:val="pt-BR"/>
        </w:rPr>
        <w:t>sua casa</w:t>
      </w:r>
      <w:r w:rsidRPr="002F50BD">
        <w:rPr>
          <w:rFonts w:ascii="Verdana" w:hAnsi="Verdana"/>
          <w:sz w:val="20"/>
          <w:lang w:val="pt-BR"/>
        </w:rPr>
        <w:t xml:space="preserve"> e </w:t>
      </w:r>
      <w:r w:rsidR="005A6BC7" w:rsidRPr="002F50BD">
        <w:rPr>
          <w:rFonts w:ascii="Verdana" w:hAnsi="Verdana"/>
          <w:sz w:val="20"/>
          <w:lang w:val="pt-BR"/>
        </w:rPr>
        <w:t>construiu</w:t>
      </w:r>
      <w:r w:rsidRPr="002F50BD">
        <w:rPr>
          <w:rFonts w:ascii="Verdana" w:hAnsi="Verdana"/>
          <w:sz w:val="20"/>
          <w:lang w:val="pt-BR"/>
        </w:rPr>
        <w:t xml:space="preserve"> outra em um </w:t>
      </w:r>
      <w:r w:rsidR="004756C1" w:rsidRPr="002F50BD">
        <w:rPr>
          <w:rFonts w:ascii="Verdana" w:hAnsi="Verdana"/>
          <w:sz w:val="20"/>
          <w:lang w:val="pt-BR"/>
        </w:rPr>
        <w:t xml:space="preserve">lugar </w:t>
      </w:r>
      <w:r w:rsidR="005A6BC7" w:rsidRPr="002F50BD">
        <w:rPr>
          <w:rFonts w:ascii="Verdana" w:hAnsi="Verdana"/>
          <w:sz w:val="20"/>
          <w:lang w:val="pt-BR"/>
        </w:rPr>
        <w:t>próximo</w:t>
      </w:r>
      <w:r w:rsidR="004756C1" w:rsidRPr="002F50BD">
        <w:rPr>
          <w:rFonts w:ascii="Verdana" w:hAnsi="Verdana"/>
          <w:sz w:val="20"/>
          <w:lang w:val="pt-BR"/>
        </w:rPr>
        <w:t xml:space="preserve">. </w:t>
      </w:r>
      <w:r w:rsidR="005A6BC7" w:rsidRPr="002F50BD">
        <w:rPr>
          <w:rFonts w:ascii="Verdana" w:hAnsi="Verdana"/>
          <w:sz w:val="20"/>
          <w:lang w:val="pt-BR"/>
        </w:rPr>
        <w:t>N</w:t>
      </w:r>
      <w:r w:rsidRPr="002F50BD">
        <w:rPr>
          <w:rFonts w:ascii="Verdana" w:hAnsi="Verdana"/>
          <w:sz w:val="20"/>
          <w:lang w:val="pt-BR"/>
        </w:rPr>
        <w:t>as terra</w:t>
      </w:r>
      <w:r w:rsidR="004756C1" w:rsidRPr="002F50BD">
        <w:rPr>
          <w:rFonts w:ascii="Verdana" w:hAnsi="Verdana"/>
          <w:sz w:val="20"/>
          <w:lang w:val="pt-BR"/>
        </w:rPr>
        <w:t xml:space="preserve">s </w:t>
      </w:r>
      <w:r w:rsidR="004756C1" w:rsidRPr="002F50BD">
        <w:rPr>
          <w:rFonts w:ascii="Verdana" w:hAnsi="Verdana"/>
          <w:sz w:val="20"/>
          <w:lang w:val="pt-BR"/>
        </w:rPr>
        <w:lastRenderedPageBreak/>
        <w:t>de Yakye Axa,</w:t>
      </w:r>
      <w:r w:rsidRPr="002F50BD">
        <w:rPr>
          <w:rFonts w:ascii="Verdana" w:hAnsi="Verdana"/>
          <w:sz w:val="20"/>
          <w:lang w:val="pt-BR"/>
        </w:rPr>
        <w:t xml:space="preserve"> a </w:t>
      </w:r>
      <w:r w:rsidR="005A6BC7" w:rsidRPr="002F50BD">
        <w:rPr>
          <w:rFonts w:ascii="Verdana" w:hAnsi="Verdana"/>
          <w:sz w:val="20"/>
          <w:lang w:val="pt-BR"/>
        </w:rPr>
        <w:t>l</w:t>
      </w:r>
      <w:r w:rsidR="004756C1" w:rsidRPr="002F50BD">
        <w:rPr>
          <w:rFonts w:ascii="Verdana" w:hAnsi="Verdana"/>
          <w:sz w:val="20"/>
          <w:lang w:val="pt-BR"/>
        </w:rPr>
        <w:t xml:space="preserve">este </w:t>
      </w:r>
      <w:r w:rsidR="00060B3A" w:rsidRPr="002F50BD">
        <w:rPr>
          <w:rFonts w:ascii="Verdana" w:hAnsi="Verdana"/>
          <w:sz w:val="20"/>
          <w:lang w:val="pt-BR"/>
        </w:rPr>
        <w:t>da</w:t>
      </w:r>
      <w:r w:rsidRPr="002F50BD">
        <w:rPr>
          <w:rFonts w:ascii="Verdana" w:hAnsi="Verdana"/>
          <w:sz w:val="20"/>
          <w:lang w:val="pt-BR"/>
        </w:rPr>
        <w:t xml:space="preserve"> </w:t>
      </w:r>
      <w:r w:rsidR="005A6BC7" w:rsidRPr="002F50BD">
        <w:rPr>
          <w:rFonts w:ascii="Verdana" w:hAnsi="Verdana"/>
          <w:sz w:val="20"/>
          <w:lang w:val="pt-BR"/>
        </w:rPr>
        <w:t>casa</w:t>
      </w:r>
      <w:r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se </w:t>
      </w:r>
      <w:r w:rsidRPr="002F50BD">
        <w:rPr>
          <w:rFonts w:ascii="Verdana" w:hAnsi="Verdana"/>
          <w:sz w:val="20"/>
          <w:lang w:val="pt-BR"/>
        </w:rPr>
        <w:t>encontra o cemitério</w:t>
      </w:r>
      <w:r w:rsidR="004756C1" w:rsidRPr="002F50BD">
        <w:rPr>
          <w:rFonts w:ascii="Verdana" w:hAnsi="Verdana"/>
          <w:sz w:val="20"/>
          <w:lang w:val="pt-BR"/>
        </w:rPr>
        <w:t xml:space="preserve"> de </w:t>
      </w:r>
      <w:r w:rsidR="005A6BC7" w:rsidRPr="002F50BD">
        <w:rPr>
          <w:rFonts w:ascii="Verdana" w:hAnsi="Verdana"/>
          <w:sz w:val="20"/>
          <w:lang w:val="pt-BR"/>
        </w:rPr>
        <w:t>seus antepassados</w:t>
      </w:r>
      <w:r w:rsidR="004756C1" w:rsidRPr="002F50BD">
        <w:rPr>
          <w:rFonts w:ascii="Verdana" w:hAnsi="Verdana"/>
          <w:sz w:val="20"/>
          <w:lang w:val="pt-BR"/>
        </w:rPr>
        <w:t>.</w:t>
      </w:r>
      <w:r w:rsidR="00FE08B7">
        <w:rPr>
          <w:rFonts w:ascii="Verdana" w:hAnsi="Verdana"/>
          <w:sz w:val="20"/>
          <w:lang w:val="pt-BR"/>
        </w:rPr>
        <w:t xml:space="preserve"> </w:t>
      </w:r>
      <w:r w:rsidR="005A6BC7" w:rsidRPr="002F50BD">
        <w:rPr>
          <w:rFonts w:ascii="Verdana" w:hAnsi="Verdana"/>
          <w:sz w:val="20"/>
          <w:lang w:val="pt-BR"/>
        </w:rPr>
        <w:t xml:space="preserve">Caso recuperem </w:t>
      </w:r>
      <w:r w:rsidR="00A50140" w:rsidRPr="002F50BD">
        <w:rPr>
          <w:rFonts w:ascii="Verdana" w:hAnsi="Verdana"/>
          <w:sz w:val="20"/>
          <w:lang w:val="pt-BR"/>
        </w:rPr>
        <w:t>suas terras</w:t>
      </w:r>
      <w:r w:rsidR="004756C1" w:rsidRPr="002F50BD">
        <w:rPr>
          <w:rFonts w:ascii="Verdana" w:hAnsi="Verdana"/>
          <w:sz w:val="20"/>
          <w:lang w:val="pt-BR"/>
        </w:rPr>
        <w:t xml:space="preserve">, </w:t>
      </w:r>
      <w:r w:rsidR="004076AD" w:rsidRPr="002F50BD">
        <w:rPr>
          <w:rFonts w:ascii="Verdana" w:hAnsi="Verdana"/>
          <w:sz w:val="20"/>
          <w:lang w:val="pt-BR"/>
        </w:rPr>
        <w:t>ali</w:t>
      </w:r>
      <w:r w:rsidR="004756C1" w:rsidRPr="002F50BD">
        <w:rPr>
          <w:rFonts w:ascii="Verdana" w:hAnsi="Verdana"/>
          <w:sz w:val="20"/>
          <w:lang w:val="pt-BR"/>
        </w:rPr>
        <w:t xml:space="preserve"> seguir</w:t>
      </w:r>
      <w:r w:rsidR="005A6BC7" w:rsidRPr="002F50BD">
        <w:rPr>
          <w:rFonts w:ascii="Verdana" w:hAnsi="Verdana"/>
          <w:sz w:val="20"/>
          <w:lang w:val="pt-BR"/>
        </w:rPr>
        <w:t>iam</w:t>
      </w:r>
      <w:r w:rsidR="004756C1" w:rsidRPr="002F50BD">
        <w:rPr>
          <w:rFonts w:ascii="Verdana" w:hAnsi="Verdana"/>
          <w:sz w:val="20"/>
          <w:lang w:val="pt-BR"/>
        </w:rPr>
        <w:t xml:space="preserve"> enterrando </w:t>
      </w:r>
      <w:r w:rsidR="005A6BC7" w:rsidRPr="002F50BD">
        <w:rPr>
          <w:rFonts w:ascii="Verdana" w:hAnsi="Verdana"/>
          <w:sz w:val="20"/>
          <w:lang w:val="pt-BR"/>
        </w:rPr>
        <w:t>seus mortos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Para </w:t>
      </w:r>
      <w:r w:rsidR="005A6BC7" w:rsidRPr="002F50BD">
        <w:rPr>
          <w:rFonts w:ascii="Verdana" w:hAnsi="Verdana"/>
          <w:sz w:val="20"/>
          <w:lang w:val="pt-BR"/>
        </w:rPr>
        <w:t xml:space="preserve">mudar </w:t>
      </w:r>
      <w:r w:rsidR="0089298C" w:rsidRPr="002F50BD">
        <w:rPr>
          <w:rFonts w:ascii="Verdana" w:hAnsi="Verdana"/>
          <w:sz w:val="20"/>
          <w:lang w:val="pt-BR"/>
        </w:rPr>
        <w:t>e melhor</w:t>
      </w:r>
      <w:r w:rsidRPr="002F50BD">
        <w:rPr>
          <w:rFonts w:ascii="Verdana" w:hAnsi="Verdana"/>
          <w:sz w:val="20"/>
          <w:lang w:val="pt-BR"/>
        </w:rPr>
        <w:t>ar toda esta situa</w:t>
      </w:r>
      <w:r w:rsidR="0089298C" w:rsidRPr="002F50BD">
        <w:rPr>
          <w:rFonts w:ascii="Verdana" w:hAnsi="Verdana"/>
          <w:sz w:val="20"/>
          <w:lang w:val="pt-BR"/>
        </w:rPr>
        <w:t>ção</w:t>
      </w:r>
      <w:r w:rsidR="00D3346E" w:rsidRPr="002F50BD">
        <w:rPr>
          <w:rFonts w:ascii="Verdana" w:hAnsi="Verdana"/>
          <w:sz w:val="20"/>
          <w:lang w:val="pt-BR"/>
        </w:rPr>
        <w:t>,</w:t>
      </w:r>
      <w:r w:rsidRPr="002F50BD">
        <w:rPr>
          <w:rFonts w:ascii="Verdana" w:hAnsi="Verdana"/>
          <w:sz w:val="20"/>
          <w:lang w:val="pt-BR"/>
        </w:rPr>
        <w:t xml:space="preserve"> </w:t>
      </w:r>
      <w:r w:rsidR="005A6BC7" w:rsidRPr="002F50BD">
        <w:rPr>
          <w:rFonts w:ascii="Verdana" w:hAnsi="Verdana"/>
          <w:sz w:val="20"/>
          <w:lang w:val="pt-BR"/>
        </w:rPr>
        <w:t>necessitam</w:t>
      </w:r>
      <w:r w:rsidRPr="002F50BD">
        <w:rPr>
          <w:rFonts w:ascii="Verdana" w:hAnsi="Verdana"/>
          <w:sz w:val="20"/>
          <w:lang w:val="pt-BR"/>
        </w:rPr>
        <w:t xml:space="preserve"> </w:t>
      </w:r>
      <w:r w:rsidR="00060B3A" w:rsidRPr="002F50BD">
        <w:rPr>
          <w:rFonts w:ascii="Verdana" w:hAnsi="Verdana"/>
          <w:sz w:val="20"/>
          <w:lang w:val="pt-BR"/>
        </w:rPr>
        <w:t xml:space="preserve">de </w:t>
      </w:r>
      <w:r w:rsidR="00A50140" w:rsidRPr="002F50BD">
        <w:rPr>
          <w:rFonts w:ascii="Verdana" w:hAnsi="Verdana"/>
          <w:sz w:val="20"/>
          <w:lang w:val="pt-BR"/>
        </w:rPr>
        <w:t>suas terras</w:t>
      </w:r>
      <w:r w:rsidRPr="002F50BD">
        <w:rPr>
          <w:rFonts w:ascii="Verdana" w:hAnsi="Verdana"/>
          <w:sz w:val="20"/>
          <w:lang w:val="pt-BR"/>
        </w:rPr>
        <w:t>.</w:t>
      </w:r>
      <w:r w:rsidR="0089298C" w:rsidRPr="002F50BD">
        <w:rPr>
          <w:rFonts w:ascii="Verdana" w:hAnsi="Verdana"/>
          <w:sz w:val="20"/>
          <w:lang w:val="pt-BR"/>
        </w:rPr>
        <w:t xml:space="preserve"> </w:t>
      </w:r>
      <w:r w:rsidR="005A6BC7" w:rsidRPr="002F50BD">
        <w:rPr>
          <w:rFonts w:ascii="Verdana" w:hAnsi="Verdana"/>
          <w:sz w:val="20"/>
          <w:lang w:val="pt-BR"/>
        </w:rPr>
        <w:t>S</w:t>
      </w:r>
      <w:r w:rsidR="0089298C" w:rsidRPr="002F50BD">
        <w:rPr>
          <w:rFonts w:ascii="Verdana" w:hAnsi="Verdana"/>
          <w:sz w:val="20"/>
          <w:lang w:val="pt-BR"/>
        </w:rPr>
        <w:t xml:space="preserve">em </w:t>
      </w:r>
      <w:r w:rsidR="00A50140" w:rsidRPr="002F50BD">
        <w:rPr>
          <w:rFonts w:ascii="Verdana" w:hAnsi="Verdana"/>
          <w:sz w:val="20"/>
          <w:lang w:val="pt-BR"/>
        </w:rPr>
        <w:t>suas terras</w:t>
      </w:r>
      <w:r w:rsidR="00D3346E" w:rsidRPr="002F50BD">
        <w:rPr>
          <w:rFonts w:ascii="Verdana" w:hAnsi="Verdana"/>
          <w:sz w:val="20"/>
          <w:lang w:val="pt-BR"/>
        </w:rPr>
        <w:t>,</w:t>
      </w:r>
      <w:r w:rsidRPr="002F50BD">
        <w:rPr>
          <w:rFonts w:ascii="Verdana" w:hAnsi="Verdana"/>
          <w:sz w:val="20"/>
          <w:lang w:val="pt-BR"/>
        </w:rPr>
        <w:t xml:space="preserve"> </w:t>
      </w:r>
      <w:r w:rsidR="00AB454A" w:rsidRPr="002F50BD">
        <w:rPr>
          <w:rFonts w:ascii="Verdana" w:hAnsi="Verdana"/>
          <w:sz w:val="20"/>
          <w:lang w:val="pt-BR"/>
        </w:rPr>
        <w:t>sofr</w:t>
      </w:r>
      <w:r w:rsidRPr="002F50BD">
        <w:rPr>
          <w:rFonts w:ascii="Verdana" w:hAnsi="Verdana"/>
          <w:sz w:val="20"/>
          <w:lang w:val="pt-BR"/>
        </w:rPr>
        <w:t>e</w:t>
      </w:r>
      <w:r w:rsidR="0089298C" w:rsidRPr="002F50BD">
        <w:rPr>
          <w:rFonts w:ascii="Verdana" w:hAnsi="Verdana"/>
          <w:sz w:val="20"/>
          <w:lang w:val="pt-BR"/>
        </w:rPr>
        <w:t xml:space="preserve"> o </w:t>
      </w:r>
      <w:r w:rsidR="00AB454A" w:rsidRPr="002F50BD">
        <w:rPr>
          <w:rFonts w:ascii="Verdana" w:hAnsi="Verdana"/>
          <w:sz w:val="20"/>
          <w:lang w:val="pt-BR"/>
        </w:rPr>
        <w:t>professor</w:t>
      </w:r>
      <w:r w:rsidRPr="002F50BD">
        <w:rPr>
          <w:rFonts w:ascii="Verdana" w:hAnsi="Verdana"/>
          <w:sz w:val="20"/>
          <w:lang w:val="pt-BR"/>
        </w:rPr>
        <w:t xml:space="preserve">, </w:t>
      </w:r>
      <w:r w:rsidR="005A6BC7" w:rsidRPr="002F50BD">
        <w:rPr>
          <w:rFonts w:ascii="Verdana" w:hAnsi="Verdana"/>
          <w:sz w:val="20"/>
          <w:lang w:val="pt-BR"/>
        </w:rPr>
        <w:t>sofrem</w:t>
      </w:r>
      <w:r w:rsidR="0089298C" w:rsidRPr="002F50BD">
        <w:rPr>
          <w:rFonts w:ascii="Verdana" w:hAnsi="Verdana"/>
          <w:sz w:val="20"/>
          <w:lang w:val="pt-BR"/>
        </w:rPr>
        <w:t xml:space="preserve"> </w:t>
      </w:r>
      <w:r w:rsidR="005A6BC7" w:rsidRPr="002F50BD">
        <w:rPr>
          <w:rFonts w:ascii="Verdana" w:hAnsi="Verdana"/>
          <w:sz w:val="20"/>
          <w:lang w:val="pt-BR"/>
        </w:rPr>
        <w:t>as crianças</w:t>
      </w:r>
      <w:r w:rsidR="0089298C" w:rsidRPr="002F50BD">
        <w:rPr>
          <w:rFonts w:ascii="Verdana" w:hAnsi="Verdana"/>
          <w:sz w:val="20"/>
          <w:lang w:val="pt-BR"/>
        </w:rPr>
        <w:t xml:space="preserve"> e </w:t>
      </w:r>
      <w:r w:rsidR="005A6BC7" w:rsidRPr="002F50BD">
        <w:rPr>
          <w:rFonts w:ascii="Verdana" w:hAnsi="Verdana"/>
          <w:sz w:val="20"/>
          <w:lang w:val="pt-BR"/>
        </w:rPr>
        <w:t>sofrem</w:t>
      </w:r>
      <w:r w:rsidRPr="002F50BD">
        <w:rPr>
          <w:rFonts w:ascii="Verdana" w:hAnsi="Verdana"/>
          <w:sz w:val="20"/>
          <w:lang w:val="pt-BR"/>
        </w:rPr>
        <w:t xml:space="preserve"> </w:t>
      </w:r>
      <w:r w:rsidR="0089298C" w:rsidRPr="002F50BD">
        <w:rPr>
          <w:rFonts w:ascii="Verdana" w:hAnsi="Verdana"/>
          <w:sz w:val="20"/>
          <w:lang w:val="pt-BR"/>
        </w:rPr>
        <w:t>seus pais</w:t>
      </w:r>
      <w:r w:rsidRPr="002F50BD">
        <w:rPr>
          <w:rFonts w:ascii="Verdana" w:hAnsi="Verdana"/>
          <w:sz w:val="20"/>
          <w:lang w:val="pt-BR"/>
        </w:rPr>
        <w:t>.</w:t>
      </w:r>
    </w:p>
    <w:p w:rsidR="004756C1" w:rsidRPr="002F50BD" w:rsidRDefault="004756C1">
      <w:pPr>
        <w:jc w:val="both"/>
        <w:rPr>
          <w:rFonts w:ascii="Verdana" w:hAnsi="Verdana"/>
          <w:b/>
          <w:sz w:val="20"/>
          <w:lang w:val="pt-BR"/>
        </w:rPr>
      </w:pPr>
    </w:p>
    <w:p w:rsidR="004756C1" w:rsidRPr="002F50BD" w:rsidRDefault="004756C1">
      <w:pPr>
        <w:numPr>
          <w:ilvl w:val="0"/>
          <w:numId w:val="3"/>
        </w:numPr>
        <w:ind w:firstLine="0"/>
        <w:jc w:val="both"/>
        <w:rPr>
          <w:rFonts w:ascii="Verdana" w:hAnsi="Verdana"/>
          <w:b/>
          <w:sz w:val="20"/>
          <w:lang w:val="pt-BR"/>
        </w:rPr>
      </w:pPr>
      <w:r w:rsidRPr="002F50BD">
        <w:rPr>
          <w:rFonts w:ascii="Verdana" w:hAnsi="Verdana"/>
          <w:b/>
          <w:sz w:val="20"/>
          <w:lang w:val="pt-BR"/>
        </w:rPr>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Enrique Castillo, perito</w:t>
      </w:r>
    </w:p>
    <w:p w:rsidR="004756C1" w:rsidRPr="002F50BD" w:rsidRDefault="0089298C">
      <w:pPr>
        <w:jc w:val="both"/>
        <w:rPr>
          <w:rFonts w:ascii="Verdana" w:hAnsi="Verdana"/>
          <w:sz w:val="20"/>
          <w:lang w:val="pt-BR"/>
        </w:rPr>
      </w:pPr>
      <w:r w:rsidRPr="002F50BD">
        <w:rPr>
          <w:rFonts w:ascii="Verdana" w:hAnsi="Verdana"/>
          <w:sz w:val="20"/>
          <w:lang w:val="pt-BR"/>
        </w:rPr>
        <w:cr/>
        <w:t>A Constituição</w:t>
      </w:r>
      <w:r w:rsidR="004756C1" w:rsidRPr="002F50BD">
        <w:rPr>
          <w:rFonts w:ascii="Verdana" w:hAnsi="Verdana"/>
          <w:sz w:val="20"/>
          <w:lang w:val="pt-BR"/>
        </w:rPr>
        <w:t xml:space="preserve"> Nacional </w:t>
      </w:r>
      <w:r w:rsidRPr="002F50BD">
        <w:rPr>
          <w:rFonts w:ascii="Verdana" w:hAnsi="Verdana"/>
          <w:sz w:val="20"/>
          <w:lang w:val="pt-BR"/>
        </w:rPr>
        <w:t>do Paraguai</w:t>
      </w:r>
      <w:r w:rsidR="004756C1" w:rsidRPr="002F50BD">
        <w:rPr>
          <w:rFonts w:ascii="Verdana" w:hAnsi="Verdana"/>
          <w:sz w:val="20"/>
          <w:lang w:val="pt-BR"/>
        </w:rPr>
        <w:t>, sancionada</w:t>
      </w:r>
      <w:r w:rsidRPr="002F50BD">
        <w:rPr>
          <w:rFonts w:ascii="Verdana" w:hAnsi="Verdana"/>
          <w:sz w:val="20"/>
          <w:lang w:val="pt-BR"/>
        </w:rPr>
        <w:t xml:space="preserve"> e </w:t>
      </w:r>
      <w:r w:rsidR="004756C1" w:rsidRPr="002F50BD">
        <w:rPr>
          <w:rFonts w:ascii="Verdana" w:hAnsi="Verdana"/>
          <w:sz w:val="20"/>
          <w:lang w:val="pt-BR"/>
        </w:rPr>
        <w:t>promulgada</w:t>
      </w:r>
      <w:r w:rsidRPr="002F50BD">
        <w:rPr>
          <w:rFonts w:ascii="Verdana" w:hAnsi="Verdana"/>
          <w:sz w:val="20"/>
          <w:lang w:val="pt-BR"/>
        </w:rPr>
        <w:t xml:space="preserve"> em </w:t>
      </w:r>
      <w:r w:rsidR="00063B47" w:rsidRPr="002F50BD">
        <w:rPr>
          <w:rFonts w:ascii="Verdana" w:hAnsi="Verdana"/>
          <w:sz w:val="20"/>
          <w:lang w:val="pt-BR"/>
        </w:rPr>
        <w:t>20</w:t>
      </w:r>
      <w:r w:rsidR="004756C1" w:rsidRPr="002F50BD">
        <w:rPr>
          <w:rFonts w:ascii="Verdana" w:hAnsi="Verdana"/>
          <w:sz w:val="20"/>
          <w:lang w:val="pt-BR"/>
        </w:rPr>
        <w:t xml:space="preserve"> de </w:t>
      </w:r>
      <w:r w:rsidRPr="002F50BD">
        <w:rPr>
          <w:rFonts w:ascii="Verdana" w:hAnsi="Verdana"/>
          <w:sz w:val="20"/>
          <w:lang w:val="pt-BR"/>
        </w:rPr>
        <w:t>junho</w:t>
      </w:r>
      <w:r w:rsidR="004756C1" w:rsidRPr="002F50BD">
        <w:rPr>
          <w:rFonts w:ascii="Verdana" w:hAnsi="Verdana"/>
          <w:sz w:val="20"/>
          <w:lang w:val="pt-BR"/>
        </w:rPr>
        <w:t xml:space="preserve"> de </w:t>
      </w:r>
      <w:r w:rsidR="00063B47" w:rsidRPr="002F50BD">
        <w:rPr>
          <w:rFonts w:ascii="Verdana" w:hAnsi="Verdana"/>
          <w:sz w:val="20"/>
          <w:lang w:val="pt-BR"/>
        </w:rPr>
        <w:t>1992</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r w:rsidRPr="002F50BD">
        <w:rPr>
          <w:rFonts w:ascii="Verdana" w:hAnsi="Verdana"/>
          <w:sz w:val="20"/>
          <w:lang w:val="pt-BR"/>
        </w:rPr>
        <w:t xml:space="preserve"> o Paraguai</w:t>
      </w:r>
      <w:r w:rsidR="004756C1" w:rsidRPr="002F50BD">
        <w:rPr>
          <w:rFonts w:ascii="Verdana" w:hAnsi="Verdana"/>
          <w:sz w:val="20"/>
          <w:lang w:val="pt-BR"/>
        </w:rPr>
        <w:t xml:space="preserve"> se </w:t>
      </w:r>
      <w:r w:rsidRPr="002F50BD">
        <w:rPr>
          <w:rFonts w:ascii="Verdana" w:hAnsi="Verdana"/>
          <w:sz w:val="20"/>
          <w:lang w:val="pt-BR"/>
        </w:rPr>
        <w:t xml:space="preserve">constitui </w:t>
      </w:r>
      <w:r w:rsidR="00187773" w:rsidRPr="002F50BD">
        <w:rPr>
          <w:rFonts w:ascii="Verdana" w:hAnsi="Verdana"/>
          <w:sz w:val="20"/>
          <w:lang w:val="pt-BR"/>
        </w:rPr>
        <w:t xml:space="preserve">como </w:t>
      </w:r>
      <w:r w:rsidR="001A0CDE" w:rsidRPr="002F50BD">
        <w:rPr>
          <w:rFonts w:ascii="Verdana" w:hAnsi="Verdana"/>
          <w:sz w:val="20"/>
          <w:lang w:val="pt-BR"/>
        </w:rPr>
        <w:t xml:space="preserve">um </w:t>
      </w:r>
      <w:r w:rsidR="004756C1" w:rsidRPr="002F50BD">
        <w:rPr>
          <w:rFonts w:ascii="Verdana" w:hAnsi="Verdana"/>
          <w:sz w:val="20"/>
          <w:lang w:val="pt-BR"/>
        </w:rPr>
        <w:t xml:space="preserve">Estado Social de </w:t>
      </w:r>
      <w:r w:rsidRPr="002F50BD">
        <w:rPr>
          <w:rFonts w:ascii="Verdana" w:hAnsi="Verdana"/>
          <w:sz w:val="20"/>
          <w:lang w:val="pt-BR"/>
        </w:rPr>
        <w:t xml:space="preserve">Direito e </w:t>
      </w:r>
      <w:r w:rsidR="001A0CDE" w:rsidRPr="002F50BD">
        <w:rPr>
          <w:rFonts w:ascii="Verdana" w:hAnsi="Verdana"/>
          <w:sz w:val="20"/>
          <w:lang w:val="pt-BR"/>
        </w:rPr>
        <w:t>P</w:t>
      </w:r>
      <w:r w:rsidR="004756C1" w:rsidRPr="002F50BD">
        <w:rPr>
          <w:rFonts w:ascii="Verdana" w:hAnsi="Verdana"/>
          <w:sz w:val="20"/>
          <w:lang w:val="pt-BR"/>
        </w:rPr>
        <w:t>luricultural</w:t>
      </w:r>
      <w:r w:rsidR="00AB454A" w:rsidRPr="002F50BD">
        <w:rPr>
          <w:rFonts w:ascii="Verdana" w:hAnsi="Verdana"/>
          <w:sz w:val="20"/>
          <w:lang w:val="pt-BR"/>
        </w:rPr>
        <w:t xml:space="preserve">. A </w:t>
      </w:r>
      <w:r w:rsidR="004756C1" w:rsidRPr="002F50BD">
        <w:rPr>
          <w:rFonts w:ascii="Verdana" w:hAnsi="Verdana"/>
          <w:sz w:val="20"/>
          <w:lang w:val="pt-BR"/>
        </w:rPr>
        <w:t>Condi</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de</w:t>
      </w:r>
      <w:r w:rsidR="001A0CDE" w:rsidRPr="002F50BD">
        <w:rPr>
          <w:rFonts w:ascii="Verdana" w:hAnsi="Verdana"/>
          <w:sz w:val="20"/>
          <w:lang w:val="pt-BR"/>
        </w:rPr>
        <w:t xml:space="preserve"> E</w:t>
      </w:r>
      <w:r w:rsidRPr="002F50BD">
        <w:rPr>
          <w:rFonts w:ascii="Verdana" w:hAnsi="Verdana"/>
          <w:sz w:val="20"/>
          <w:lang w:val="pt-BR"/>
        </w:rPr>
        <w:t>sta</w:t>
      </w:r>
      <w:r w:rsidR="001A0CDE" w:rsidRPr="002F50BD">
        <w:rPr>
          <w:rFonts w:ascii="Verdana" w:hAnsi="Verdana"/>
          <w:sz w:val="20"/>
          <w:lang w:val="pt-BR"/>
        </w:rPr>
        <w:t>do pluricultural situ</w:t>
      </w:r>
      <w:r w:rsidR="004756C1" w:rsidRPr="002F50BD">
        <w:rPr>
          <w:rFonts w:ascii="Verdana" w:hAnsi="Verdana"/>
          <w:sz w:val="20"/>
          <w:lang w:val="pt-BR"/>
        </w:rPr>
        <w:t>a</w:t>
      </w:r>
      <w:r w:rsidR="001A0CDE" w:rsidRPr="002F50BD">
        <w:rPr>
          <w:rFonts w:ascii="Verdana" w:hAnsi="Verdana"/>
          <w:sz w:val="20"/>
          <w:lang w:val="pt-BR"/>
        </w:rPr>
        <w:t xml:space="preserve"> </w:t>
      </w:r>
      <w:r w:rsidRPr="002F50BD">
        <w:rPr>
          <w:rFonts w:ascii="Verdana" w:hAnsi="Verdana"/>
          <w:sz w:val="20"/>
          <w:lang w:val="pt-BR"/>
        </w:rPr>
        <w:t xml:space="preserve">o Paraguai em uma </w:t>
      </w:r>
      <w:r w:rsidR="004756C1" w:rsidRPr="002F50BD">
        <w:rPr>
          <w:rFonts w:ascii="Verdana" w:hAnsi="Verdana"/>
          <w:sz w:val="20"/>
          <w:lang w:val="pt-BR"/>
        </w:rPr>
        <w:t>posi</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avançad</w:t>
      </w:r>
      <w:r w:rsidR="004756C1" w:rsidRPr="002F50BD">
        <w:rPr>
          <w:rFonts w:ascii="Verdana" w:hAnsi="Verdana"/>
          <w:sz w:val="20"/>
          <w:lang w:val="pt-BR"/>
        </w:rPr>
        <w:t>a</w:t>
      </w:r>
      <w:r w:rsidRPr="002F50BD">
        <w:rPr>
          <w:rFonts w:ascii="Verdana" w:hAnsi="Verdana"/>
          <w:sz w:val="20"/>
          <w:lang w:val="pt-BR"/>
        </w:rPr>
        <w:t xml:space="preserve"> no direito</w:t>
      </w:r>
      <w:r w:rsidR="004756C1" w:rsidRPr="002F50BD">
        <w:rPr>
          <w:rFonts w:ascii="Verdana" w:hAnsi="Verdana"/>
          <w:sz w:val="20"/>
          <w:lang w:val="pt-BR"/>
        </w:rPr>
        <w:t xml:space="preserve"> </w:t>
      </w:r>
      <w:r w:rsidR="001A0CDE" w:rsidRPr="002F50BD">
        <w:rPr>
          <w:rFonts w:ascii="Verdana" w:hAnsi="Verdana"/>
          <w:sz w:val="20"/>
          <w:lang w:val="pt-BR"/>
        </w:rPr>
        <w:t>ibero-americano</w:t>
      </w:r>
      <w:r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 xml:space="preserve">que </w:t>
      </w:r>
      <w:r w:rsidR="001A0CDE" w:rsidRPr="002F50BD">
        <w:rPr>
          <w:rFonts w:ascii="Verdana" w:hAnsi="Verdana"/>
          <w:sz w:val="20"/>
          <w:lang w:val="pt-BR"/>
        </w:rPr>
        <w:t xml:space="preserve">além </w:t>
      </w:r>
      <w:r w:rsidR="004756C1" w:rsidRPr="002F50BD">
        <w:rPr>
          <w:rFonts w:ascii="Verdana" w:hAnsi="Verdana"/>
          <w:sz w:val="20"/>
          <w:lang w:val="pt-BR"/>
        </w:rPr>
        <w:t>de re</w:t>
      </w:r>
      <w:r w:rsidRPr="002F50BD">
        <w:rPr>
          <w:rFonts w:ascii="Verdana" w:hAnsi="Verdana"/>
          <w:sz w:val="20"/>
          <w:lang w:val="pt-BR"/>
        </w:rPr>
        <w:t xml:space="preserve">conhecer o </w:t>
      </w:r>
      <w:r w:rsidR="00DC0F25" w:rsidRPr="002F50BD">
        <w:rPr>
          <w:rFonts w:ascii="Verdana" w:hAnsi="Verdana"/>
          <w:sz w:val="20"/>
          <w:lang w:val="pt-BR"/>
        </w:rPr>
        <w:t>componente</w:t>
      </w:r>
      <w:r w:rsidR="004756C1" w:rsidRPr="002F50BD">
        <w:rPr>
          <w:rFonts w:ascii="Verdana" w:hAnsi="Verdana"/>
          <w:sz w:val="20"/>
          <w:lang w:val="pt-BR"/>
        </w:rPr>
        <w:t xml:space="preserve"> indígena</w:t>
      </w:r>
      <w:r w:rsidRPr="002F50BD">
        <w:rPr>
          <w:rFonts w:ascii="Verdana" w:hAnsi="Verdana"/>
          <w:sz w:val="20"/>
          <w:lang w:val="pt-BR"/>
        </w:rPr>
        <w:t xml:space="preserve"> em </w:t>
      </w:r>
      <w:r w:rsidR="001A0CDE" w:rsidRPr="002F50BD">
        <w:rPr>
          <w:rFonts w:ascii="Verdana" w:hAnsi="Verdana"/>
          <w:sz w:val="20"/>
          <w:lang w:val="pt-BR"/>
        </w:rPr>
        <w:t>sua estrutura</w:t>
      </w:r>
      <w:r w:rsidR="004756C1" w:rsidRPr="002F50BD">
        <w:rPr>
          <w:rFonts w:ascii="Verdana" w:hAnsi="Verdana"/>
          <w:sz w:val="20"/>
          <w:lang w:val="pt-BR"/>
        </w:rPr>
        <w:t xml:space="preserve"> social, implica</w:t>
      </w:r>
      <w:r w:rsidRPr="002F50BD">
        <w:rPr>
          <w:rFonts w:ascii="Verdana" w:hAnsi="Verdana"/>
          <w:sz w:val="20"/>
          <w:lang w:val="pt-BR"/>
        </w:rPr>
        <w:t xml:space="preserve"> </w:t>
      </w:r>
      <w:r w:rsidR="00187773" w:rsidRPr="002F50BD">
        <w:rPr>
          <w:rFonts w:ascii="Verdana" w:hAnsi="Verdana"/>
          <w:sz w:val="20"/>
          <w:lang w:val="pt-BR"/>
        </w:rPr>
        <w:t>n</w:t>
      </w:r>
      <w:r w:rsidRPr="002F50BD">
        <w:rPr>
          <w:rFonts w:ascii="Verdana" w:hAnsi="Verdana"/>
          <w:sz w:val="20"/>
          <w:lang w:val="pt-BR"/>
        </w:rPr>
        <w:t xml:space="preserve">a </w:t>
      </w:r>
      <w:r w:rsidR="004756C1" w:rsidRPr="002F50BD">
        <w:rPr>
          <w:rFonts w:ascii="Verdana" w:hAnsi="Verdana"/>
          <w:sz w:val="20"/>
          <w:lang w:val="pt-BR"/>
        </w:rPr>
        <w:t>recep</w:t>
      </w:r>
      <w:r w:rsidRPr="002F50BD">
        <w:rPr>
          <w:rFonts w:ascii="Verdana" w:hAnsi="Verdana"/>
          <w:sz w:val="20"/>
          <w:lang w:val="pt-BR"/>
        </w:rPr>
        <w:t xml:space="preserve">ção em </w:t>
      </w:r>
      <w:r w:rsidR="001A0CDE" w:rsidRPr="002F50BD">
        <w:rPr>
          <w:rFonts w:ascii="Verdana" w:hAnsi="Verdana"/>
          <w:sz w:val="20"/>
          <w:lang w:val="pt-BR"/>
        </w:rPr>
        <w:t>seu sistema</w:t>
      </w:r>
      <w:r w:rsidR="004756C1" w:rsidRPr="002F50BD">
        <w:rPr>
          <w:rFonts w:ascii="Verdana" w:hAnsi="Verdana"/>
          <w:sz w:val="20"/>
          <w:lang w:val="pt-BR"/>
        </w:rPr>
        <w:t xml:space="preserve"> </w:t>
      </w:r>
      <w:r w:rsidR="00060B3A" w:rsidRPr="002F50BD">
        <w:rPr>
          <w:rFonts w:ascii="Verdana" w:hAnsi="Verdana"/>
          <w:sz w:val="20"/>
          <w:lang w:val="pt-BR"/>
        </w:rPr>
        <w:t>jurídico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w:t>
      </w:r>
      <w:r w:rsidRPr="002F50BD">
        <w:rPr>
          <w:rFonts w:ascii="Verdana" w:hAnsi="Verdana"/>
          <w:sz w:val="20"/>
          <w:lang w:val="pt-BR"/>
        </w:rPr>
        <w:t>consuetudinário</w:t>
      </w:r>
      <w:r w:rsidR="004756C1" w:rsidRPr="002F50BD">
        <w:rPr>
          <w:rFonts w:ascii="Verdana" w:hAnsi="Verdana"/>
          <w:sz w:val="20"/>
          <w:lang w:val="pt-BR"/>
        </w:rPr>
        <w:t xml:space="preserve"> ab</w:t>
      </w:r>
      <w:r w:rsidR="001A0CDE" w:rsidRPr="002F50BD">
        <w:rPr>
          <w:rFonts w:ascii="Verdana" w:hAnsi="Verdana"/>
          <w:sz w:val="20"/>
          <w:lang w:val="pt-BR"/>
        </w:rPr>
        <w:t>orí</w:t>
      </w:r>
      <w:r w:rsidRPr="002F50BD">
        <w:rPr>
          <w:rFonts w:ascii="Verdana" w:hAnsi="Verdana"/>
          <w:sz w:val="20"/>
          <w:lang w:val="pt-BR"/>
        </w:rPr>
        <w:t>ge</w:t>
      </w:r>
      <w:r w:rsidR="001A0CDE" w:rsidRPr="002F50BD">
        <w:rPr>
          <w:rFonts w:ascii="Verdana" w:hAnsi="Verdana"/>
          <w:sz w:val="20"/>
          <w:lang w:val="pt-BR"/>
        </w:rPr>
        <w:t xml:space="preserve">ne. </w:t>
      </w:r>
      <w:r w:rsidR="00CF451D">
        <w:rPr>
          <w:rFonts w:ascii="Verdana" w:hAnsi="Verdana"/>
          <w:sz w:val="20"/>
          <w:lang w:val="pt-BR"/>
        </w:rPr>
        <w:t>Nesse sentido,</w:t>
      </w:r>
      <w:r w:rsidRPr="002F50BD">
        <w:rPr>
          <w:rFonts w:ascii="Verdana" w:hAnsi="Verdana"/>
          <w:sz w:val="20"/>
          <w:lang w:val="pt-BR"/>
        </w:rPr>
        <w:t xml:space="preserve"> o </w:t>
      </w:r>
      <w:r w:rsidR="004756C1" w:rsidRPr="002F50BD">
        <w:rPr>
          <w:rFonts w:ascii="Verdana" w:hAnsi="Verdana"/>
          <w:sz w:val="20"/>
          <w:lang w:val="pt-BR"/>
        </w:rPr>
        <w:t>capitulo V</w:t>
      </w:r>
      <w:r w:rsidRPr="002F50BD">
        <w:rPr>
          <w:rFonts w:ascii="Verdana" w:hAnsi="Verdana"/>
          <w:sz w:val="20"/>
          <w:lang w:val="pt-BR"/>
        </w:rPr>
        <w:t xml:space="preserve"> da Constituição</w:t>
      </w:r>
      <w:r w:rsidR="004756C1" w:rsidRPr="002F50BD">
        <w:rPr>
          <w:rFonts w:ascii="Verdana" w:hAnsi="Verdana"/>
          <w:sz w:val="20"/>
          <w:lang w:val="pt-BR"/>
        </w:rPr>
        <w:t xml:space="preserve"> se ocupa de definir</w:t>
      </w:r>
      <w:r w:rsidRPr="002F50BD">
        <w:rPr>
          <w:rFonts w:ascii="Verdana" w:hAnsi="Verdana"/>
          <w:sz w:val="20"/>
          <w:lang w:val="pt-BR"/>
        </w:rPr>
        <w:t xml:space="preserve"> um </w:t>
      </w:r>
      <w:r w:rsidR="004756C1" w:rsidRPr="002F50BD">
        <w:rPr>
          <w:rFonts w:ascii="Verdana" w:hAnsi="Verdana"/>
          <w:sz w:val="20"/>
          <w:lang w:val="pt-BR"/>
        </w:rPr>
        <w:t xml:space="preserve">sistema legal especial </w:t>
      </w:r>
      <w:r w:rsidRPr="002F50BD">
        <w:rPr>
          <w:rFonts w:ascii="Verdana" w:hAnsi="Verdana"/>
          <w:sz w:val="20"/>
          <w:lang w:val="pt-BR"/>
        </w:rPr>
        <w:t xml:space="preserve">aplicável </w:t>
      </w:r>
      <w:r w:rsidR="004756C1" w:rsidRPr="002F50BD">
        <w:rPr>
          <w:rFonts w:ascii="Verdana" w:hAnsi="Verdana"/>
          <w:sz w:val="20"/>
          <w:lang w:val="pt-BR"/>
        </w:rPr>
        <w:t>exclusivamente</w:t>
      </w:r>
      <w:r w:rsidRPr="002F50BD">
        <w:rPr>
          <w:rFonts w:ascii="Verdana" w:hAnsi="Verdana"/>
          <w:sz w:val="20"/>
          <w:lang w:val="pt-BR"/>
        </w:rPr>
        <w:t xml:space="preserve"> aos povo</w:t>
      </w:r>
      <w:r w:rsidR="004756C1" w:rsidRPr="002F50BD">
        <w:rPr>
          <w:rFonts w:ascii="Verdana" w:hAnsi="Verdana"/>
          <w:sz w:val="20"/>
          <w:lang w:val="pt-BR"/>
        </w:rPr>
        <w:t xml:space="preserve">s aborígenes </w:t>
      </w:r>
      <w:r w:rsidRPr="002F50BD">
        <w:rPr>
          <w:rFonts w:ascii="Verdana" w:hAnsi="Verdana"/>
          <w:sz w:val="20"/>
          <w:lang w:val="pt-BR"/>
        </w:rPr>
        <w:t>do Paraguai</w:t>
      </w:r>
      <w:r w:rsidR="004756C1" w:rsidRPr="002F50BD">
        <w:rPr>
          <w:rFonts w:ascii="Verdana" w:hAnsi="Verdana"/>
          <w:sz w:val="20"/>
          <w:lang w:val="pt-BR"/>
        </w:rPr>
        <w:t>, re</w:t>
      </w:r>
      <w:r w:rsidR="001A0CDE" w:rsidRPr="002F50BD">
        <w:rPr>
          <w:rFonts w:ascii="Verdana" w:hAnsi="Verdana"/>
          <w:sz w:val="20"/>
          <w:lang w:val="pt-BR"/>
        </w:rPr>
        <w:t>conhece</w:t>
      </w:r>
      <w:r w:rsidR="004756C1" w:rsidRPr="002F50BD">
        <w:rPr>
          <w:rFonts w:ascii="Verdana" w:hAnsi="Verdana"/>
          <w:sz w:val="20"/>
          <w:lang w:val="pt-BR"/>
        </w:rPr>
        <w:t>ndo</w:t>
      </w:r>
      <w:r w:rsidR="001A0CDE" w:rsidRPr="002F50BD">
        <w:rPr>
          <w:rFonts w:ascii="Verdana" w:hAnsi="Verdana"/>
          <w:sz w:val="20"/>
          <w:lang w:val="pt-BR"/>
        </w:rPr>
        <w:t>-</w:t>
      </w:r>
      <w:r w:rsidR="004756C1" w:rsidRPr="002F50BD">
        <w:rPr>
          <w:rFonts w:ascii="Verdana" w:hAnsi="Verdana"/>
          <w:sz w:val="20"/>
          <w:lang w:val="pt-BR"/>
        </w:rPr>
        <w:t>l</w:t>
      </w:r>
      <w:r w:rsidR="001A0CDE" w:rsidRPr="002F50BD">
        <w:rPr>
          <w:rFonts w:ascii="Verdana" w:hAnsi="Verdana"/>
          <w:sz w:val="20"/>
          <w:lang w:val="pt-BR"/>
        </w:rPr>
        <w:t>h</w:t>
      </w:r>
      <w:r w:rsidR="004756C1" w:rsidRPr="002F50BD">
        <w:rPr>
          <w:rFonts w:ascii="Verdana" w:hAnsi="Verdana"/>
          <w:sz w:val="20"/>
          <w:lang w:val="pt-BR"/>
        </w:rPr>
        <w:t>es</w:t>
      </w:r>
      <w:r w:rsidRPr="002F50BD">
        <w:rPr>
          <w:rFonts w:ascii="Verdana" w:hAnsi="Verdana"/>
          <w:sz w:val="20"/>
          <w:lang w:val="pt-BR"/>
        </w:rPr>
        <w:t xml:space="preserve"> uma série</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 xml:space="preserve">s, </w:t>
      </w:r>
      <w:r w:rsidRPr="002F50BD">
        <w:rPr>
          <w:rFonts w:ascii="Verdana" w:hAnsi="Verdana"/>
          <w:sz w:val="20"/>
          <w:lang w:val="pt-BR"/>
        </w:rPr>
        <w:t>garantias e liberdades</w:t>
      </w:r>
      <w:r w:rsidR="004756C1" w:rsidRPr="002F50BD">
        <w:rPr>
          <w:rFonts w:ascii="Verdana" w:hAnsi="Verdana"/>
          <w:sz w:val="20"/>
          <w:lang w:val="pt-BR"/>
        </w:rPr>
        <w:t xml:space="preserve"> p</w:t>
      </w:r>
      <w:r w:rsidR="001A0CDE" w:rsidRPr="002F50BD">
        <w:rPr>
          <w:rFonts w:ascii="Verdana" w:hAnsi="Verdana"/>
          <w:sz w:val="20"/>
          <w:lang w:val="pt-BR"/>
        </w:rPr>
        <w:t xml:space="preserve">eculiares que se </w:t>
      </w:r>
      <w:r w:rsidR="00C76C86" w:rsidRPr="002F50BD">
        <w:rPr>
          <w:rFonts w:ascii="Verdana" w:hAnsi="Verdana"/>
          <w:sz w:val="20"/>
          <w:lang w:val="pt-BR"/>
        </w:rPr>
        <w:t xml:space="preserve">harmonizam com </w:t>
      </w:r>
      <w:r w:rsidRPr="002F50BD">
        <w:rPr>
          <w:rFonts w:ascii="Verdana" w:hAnsi="Verdana"/>
          <w:sz w:val="20"/>
          <w:lang w:val="pt-BR"/>
        </w:rPr>
        <w:t xml:space="preserve">a identidade </w:t>
      </w:r>
      <w:r w:rsidR="004756C1" w:rsidRPr="002F50BD">
        <w:rPr>
          <w:rFonts w:ascii="Verdana" w:hAnsi="Verdana"/>
          <w:sz w:val="20"/>
          <w:lang w:val="pt-BR"/>
        </w:rPr>
        <w:t>cultural</w:t>
      </w:r>
      <w:r w:rsidRPr="002F50BD">
        <w:rPr>
          <w:rFonts w:ascii="Verdana" w:hAnsi="Verdana"/>
          <w:sz w:val="20"/>
          <w:lang w:val="pt-BR"/>
        </w:rPr>
        <w:t xml:space="preserve"> e 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des</w:t>
      </w:r>
      <w:r w:rsidRPr="002F50BD">
        <w:rPr>
          <w:rFonts w:ascii="Verdana" w:hAnsi="Verdana"/>
          <w:sz w:val="20"/>
          <w:lang w:val="pt-BR"/>
        </w:rPr>
        <w:t xml:space="preserve">igualdade em </w:t>
      </w:r>
      <w:r w:rsidR="004756C1" w:rsidRPr="002F50BD">
        <w:rPr>
          <w:rFonts w:ascii="Verdana" w:hAnsi="Verdana"/>
          <w:sz w:val="20"/>
          <w:lang w:val="pt-BR"/>
        </w:rPr>
        <w:t xml:space="preserve">que se </w:t>
      </w:r>
      <w:r w:rsidRPr="002F50BD">
        <w:rPr>
          <w:rFonts w:ascii="Verdana" w:hAnsi="Verdana"/>
          <w:sz w:val="20"/>
          <w:lang w:val="pt-BR"/>
        </w:rPr>
        <w:t>encontram</w:t>
      </w:r>
      <w:r w:rsidR="004756C1" w:rsidRPr="002F50BD">
        <w:rPr>
          <w:rFonts w:ascii="Verdana" w:hAnsi="Verdana"/>
          <w:sz w:val="20"/>
          <w:lang w:val="pt-BR"/>
        </w:rPr>
        <w:t xml:space="preserve"> </w:t>
      </w:r>
      <w:r w:rsidRPr="002F50BD">
        <w:rPr>
          <w:rFonts w:ascii="Verdana" w:hAnsi="Verdana"/>
          <w:sz w:val="20"/>
          <w:lang w:val="pt-BR"/>
        </w:rPr>
        <w:t>este</w:t>
      </w:r>
      <w:r w:rsidR="004756C1" w:rsidRPr="002F50BD">
        <w:rPr>
          <w:rFonts w:ascii="Verdana" w:hAnsi="Verdana"/>
          <w:sz w:val="20"/>
          <w:lang w:val="pt-BR"/>
        </w:rPr>
        <w:t xml:space="preserve">s </w:t>
      </w:r>
      <w:r w:rsidRPr="002F50BD">
        <w:rPr>
          <w:rFonts w:ascii="Verdana" w:hAnsi="Verdana"/>
          <w:sz w:val="20"/>
          <w:lang w:val="pt-BR"/>
        </w:rPr>
        <w:t>povo</w:t>
      </w:r>
      <w:r w:rsidR="004756C1" w:rsidRPr="002F50BD">
        <w:rPr>
          <w:rFonts w:ascii="Verdana" w:hAnsi="Verdana"/>
          <w:sz w:val="20"/>
          <w:lang w:val="pt-BR"/>
        </w:rPr>
        <w:t>s</w:t>
      </w:r>
      <w:r w:rsidR="00D95E71" w:rsidRPr="002F50BD">
        <w:rPr>
          <w:rFonts w:ascii="Verdana" w:hAnsi="Verdana"/>
          <w:sz w:val="20"/>
          <w:lang w:val="pt-BR"/>
        </w:rPr>
        <w:t xml:space="preserve">. O </w:t>
      </w:r>
      <w:r w:rsidRPr="002F50BD">
        <w:rPr>
          <w:rFonts w:ascii="Verdana" w:hAnsi="Verdana"/>
          <w:sz w:val="20"/>
          <w:lang w:val="pt-BR"/>
        </w:rPr>
        <w:t>artigo</w:t>
      </w:r>
      <w:r w:rsidR="004756C1" w:rsidRPr="002F50BD">
        <w:rPr>
          <w:rFonts w:ascii="Verdana" w:hAnsi="Verdana"/>
          <w:sz w:val="20"/>
          <w:lang w:val="pt-BR"/>
        </w:rPr>
        <w:t xml:space="preserve"> </w:t>
      </w:r>
      <w:r w:rsidR="00063B47" w:rsidRPr="002F50BD">
        <w:rPr>
          <w:rFonts w:ascii="Verdana" w:hAnsi="Verdana"/>
          <w:sz w:val="20"/>
          <w:lang w:val="pt-BR"/>
        </w:rPr>
        <w:t>64</w:t>
      </w:r>
      <w:r w:rsidRPr="002F50BD">
        <w:rPr>
          <w:rFonts w:ascii="Verdana" w:hAnsi="Verdana"/>
          <w:sz w:val="20"/>
          <w:lang w:val="pt-BR"/>
        </w:rPr>
        <w:t xml:space="preserve"> da Constituição</w:t>
      </w:r>
      <w:r w:rsidR="004756C1" w:rsidRPr="002F50BD">
        <w:rPr>
          <w:rFonts w:ascii="Verdana" w:hAnsi="Verdana"/>
          <w:sz w:val="20"/>
          <w:lang w:val="pt-BR"/>
        </w:rPr>
        <w:t xml:space="preserve"> Nacional consagra</w:t>
      </w:r>
      <w:r w:rsidRPr="002F50BD">
        <w:rPr>
          <w:rFonts w:ascii="Verdana" w:hAnsi="Verdana"/>
          <w:sz w:val="20"/>
          <w:lang w:val="pt-BR"/>
        </w:rPr>
        <w:t xml:space="preserve"> o direito das </w:t>
      </w:r>
      <w:r w:rsidR="004756C1" w:rsidRPr="002F50BD">
        <w:rPr>
          <w:rFonts w:ascii="Verdana" w:hAnsi="Verdana"/>
          <w:sz w:val="20"/>
          <w:lang w:val="pt-BR"/>
        </w:rPr>
        <w:t xml:space="preserve">comunidades indígenas </w:t>
      </w:r>
      <w:r w:rsidR="000F196F" w:rsidRPr="002F50BD">
        <w:rPr>
          <w:rFonts w:ascii="Verdana" w:hAnsi="Verdana"/>
          <w:sz w:val="20"/>
          <w:lang w:val="pt-BR"/>
        </w:rPr>
        <w:t>de</w:t>
      </w:r>
      <w:r w:rsidR="004756C1" w:rsidRPr="002F50BD">
        <w:rPr>
          <w:rFonts w:ascii="Verdana" w:hAnsi="Verdana"/>
          <w:sz w:val="20"/>
          <w:lang w:val="pt-BR"/>
        </w:rPr>
        <w:t xml:space="preserve"> gozar</w:t>
      </w:r>
      <w:r w:rsidRPr="002F50BD">
        <w:rPr>
          <w:rFonts w:ascii="Verdana" w:hAnsi="Verdana"/>
          <w:sz w:val="20"/>
          <w:lang w:val="pt-BR"/>
        </w:rPr>
        <w:t xml:space="preserve"> da propriedade</w:t>
      </w:r>
      <w:r w:rsidR="004756C1" w:rsidRPr="002F50BD">
        <w:rPr>
          <w:rFonts w:ascii="Verdana" w:hAnsi="Verdana"/>
          <w:sz w:val="20"/>
          <w:lang w:val="pt-BR"/>
        </w:rPr>
        <w:t xml:space="preserve"> </w:t>
      </w:r>
      <w:r w:rsidRPr="002F50BD">
        <w:rPr>
          <w:rFonts w:ascii="Verdana" w:hAnsi="Verdana"/>
          <w:sz w:val="20"/>
          <w:lang w:val="pt-BR"/>
        </w:rPr>
        <w:t>coletiv</w:t>
      </w:r>
      <w:r w:rsidR="004756C1" w:rsidRPr="002F50BD">
        <w:rPr>
          <w:rFonts w:ascii="Verdana" w:hAnsi="Verdana"/>
          <w:sz w:val="20"/>
          <w:lang w:val="pt-BR"/>
        </w:rPr>
        <w:t>a o</w:t>
      </w:r>
      <w:r w:rsidR="001A0CDE" w:rsidRPr="002F50BD">
        <w:rPr>
          <w:rFonts w:ascii="Verdana" w:hAnsi="Verdana"/>
          <w:sz w:val="20"/>
          <w:lang w:val="pt-BR"/>
        </w:rPr>
        <w:t>u</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Pr="002F50BD">
        <w:rPr>
          <w:rFonts w:ascii="Verdana" w:hAnsi="Verdana"/>
          <w:sz w:val="20"/>
          <w:lang w:val="pt-BR"/>
        </w:rPr>
        <w:t xml:space="preserve"> da terra</w:t>
      </w:r>
      <w:r w:rsidR="004756C1" w:rsidRPr="002F50BD">
        <w:rPr>
          <w:rFonts w:ascii="Verdana" w:hAnsi="Verdana"/>
          <w:sz w:val="20"/>
          <w:lang w:val="pt-BR"/>
        </w:rPr>
        <w:t xml:space="preserve"> </w:t>
      </w:r>
      <w:r w:rsidR="001A0CDE" w:rsidRPr="002F50BD">
        <w:rPr>
          <w:rFonts w:ascii="Verdana" w:hAnsi="Verdana"/>
          <w:sz w:val="20"/>
          <w:lang w:val="pt-BR"/>
        </w:rPr>
        <w:t xml:space="preserve">local </w:t>
      </w:r>
      <w:r w:rsidR="004756C1" w:rsidRPr="002F50BD">
        <w:rPr>
          <w:rFonts w:ascii="Verdana" w:hAnsi="Verdana"/>
          <w:sz w:val="20"/>
          <w:lang w:val="pt-BR"/>
        </w:rPr>
        <w:t>de s</w:t>
      </w:r>
      <w:r w:rsidR="001A0CDE" w:rsidRPr="002F50BD">
        <w:rPr>
          <w:rFonts w:ascii="Verdana" w:hAnsi="Verdana"/>
          <w:sz w:val="20"/>
          <w:lang w:val="pt-BR"/>
        </w:rPr>
        <w:t>eu ha</w:t>
      </w:r>
      <w:r w:rsidR="004756C1" w:rsidRPr="002F50BD">
        <w:rPr>
          <w:rFonts w:ascii="Verdana" w:hAnsi="Verdana"/>
          <w:sz w:val="20"/>
          <w:lang w:val="pt-BR"/>
        </w:rPr>
        <w:t>bitat tradicional,</w:t>
      </w:r>
      <w:r w:rsidRPr="002F50BD">
        <w:rPr>
          <w:rFonts w:ascii="Verdana" w:hAnsi="Verdana"/>
          <w:sz w:val="20"/>
          <w:lang w:val="pt-BR"/>
        </w:rPr>
        <w:t xml:space="preserve"> a qual dever</w:t>
      </w:r>
      <w:r w:rsidR="004756C1" w:rsidRPr="002F50BD">
        <w:rPr>
          <w:rFonts w:ascii="Verdana" w:hAnsi="Verdana"/>
          <w:sz w:val="20"/>
          <w:lang w:val="pt-BR"/>
        </w:rPr>
        <w:t>á</w:t>
      </w:r>
      <w:r w:rsidRPr="002F50BD">
        <w:rPr>
          <w:rFonts w:ascii="Verdana" w:hAnsi="Verdana"/>
          <w:sz w:val="20"/>
          <w:lang w:val="pt-BR"/>
        </w:rPr>
        <w:t xml:space="preserve"> ter a extensão e a qualidade </w:t>
      </w:r>
      <w:r w:rsidR="004756C1" w:rsidRPr="002F50BD">
        <w:rPr>
          <w:rFonts w:ascii="Verdana" w:hAnsi="Verdana"/>
          <w:sz w:val="20"/>
          <w:lang w:val="pt-BR"/>
        </w:rPr>
        <w:t>suficiente</w:t>
      </w:r>
      <w:r w:rsidR="000F196F" w:rsidRPr="002F50BD">
        <w:rPr>
          <w:rFonts w:ascii="Verdana" w:hAnsi="Verdana"/>
          <w:sz w:val="20"/>
          <w:lang w:val="pt-BR"/>
        </w:rPr>
        <w:t>s</w:t>
      </w:r>
      <w:r w:rsidR="004756C1" w:rsidRPr="002F50BD">
        <w:rPr>
          <w:rFonts w:ascii="Verdana" w:hAnsi="Verdana"/>
          <w:sz w:val="20"/>
          <w:lang w:val="pt-BR"/>
        </w:rPr>
        <w:t xml:space="preserve"> para permitir</w:t>
      </w:r>
      <w:r w:rsidRPr="002F50BD">
        <w:rPr>
          <w:rFonts w:ascii="Verdana" w:hAnsi="Verdana"/>
          <w:sz w:val="20"/>
          <w:lang w:val="pt-BR"/>
        </w:rPr>
        <w:t xml:space="preserve"> à comunidade </w:t>
      </w:r>
      <w:r w:rsidR="001A0CDE" w:rsidRPr="002F50BD">
        <w:rPr>
          <w:rFonts w:ascii="Verdana" w:hAnsi="Verdana"/>
          <w:sz w:val="20"/>
          <w:lang w:val="pt-BR"/>
        </w:rPr>
        <w:t>gerir</w:t>
      </w:r>
      <w:r w:rsidR="004756C1" w:rsidRPr="002F50BD">
        <w:rPr>
          <w:rFonts w:ascii="Verdana" w:hAnsi="Verdana"/>
          <w:sz w:val="20"/>
          <w:lang w:val="pt-BR"/>
        </w:rPr>
        <w:t xml:space="preserve"> s</w:t>
      </w:r>
      <w:r w:rsidR="001A0CDE" w:rsidRPr="002F50BD">
        <w:rPr>
          <w:rFonts w:ascii="Verdana" w:hAnsi="Verdana"/>
          <w:sz w:val="20"/>
          <w:lang w:val="pt-BR"/>
        </w:rPr>
        <w:t>e</w:t>
      </w:r>
      <w:r w:rsidR="004756C1" w:rsidRPr="002F50BD">
        <w:rPr>
          <w:rFonts w:ascii="Verdana" w:hAnsi="Verdana"/>
          <w:sz w:val="20"/>
          <w:lang w:val="pt-BR"/>
        </w:rPr>
        <w:t>u modo de vida tradicional</w:t>
      </w:r>
      <w:r w:rsidR="00AB454A" w:rsidRPr="002F50BD">
        <w:rPr>
          <w:rFonts w:ascii="Verdana" w:hAnsi="Verdana"/>
          <w:sz w:val="20"/>
          <w:lang w:val="pt-BR"/>
        </w:rPr>
        <w:t xml:space="preserve">. A </w:t>
      </w:r>
      <w:r w:rsidR="004756C1" w:rsidRPr="002F50BD">
        <w:rPr>
          <w:rFonts w:ascii="Verdana" w:hAnsi="Verdana"/>
          <w:sz w:val="20"/>
          <w:lang w:val="pt-BR"/>
        </w:rPr>
        <w:t xml:space="preserve">norma </w:t>
      </w:r>
      <w:r w:rsidR="004076AD" w:rsidRPr="002F50BD">
        <w:rPr>
          <w:rFonts w:ascii="Verdana" w:hAnsi="Verdana"/>
          <w:sz w:val="20"/>
          <w:lang w:val="pt-BR"/>
        </w:rPr>
        <w:t xml:space="preserve">impõe </w:t>
      </w:r>
      <w:r w:rsidRPr="002F50BD">
        <w:rPr>
          <w:rFonts w:ascii="Verdana" w:hAnsi="Verdana"/>
          <w:sz w:val="20"/>
          <w:lang w:val="pt-BR"/>
        </w:rPr>
        <w:t xml:space="preserve">ao </w:t>
      </w:r>
      <w:r w:rsidR="004756C1" w:rsidRPr="002F50BD">
        <w:rPr>
          <w:rFonts w:ascii="Verdana" w:hAnsi="Verdana"/>
          <w:sz w:val="20"/>
          <w:lang w:val="pt-BR"/>
        </w:rPr>
        <w:t>Estado</w:t>
      </w:r>
      <w:r w:rsidRPr="002F50BD">
        <w:rPr>
          <w:rFonts w:ascii="Verdana" w:hAnsi="Verdana"/>
          <w:sz w:val="20"/>
          <w:lang w:val="pt-BR"/>
        </w:rPr>
        <w:t xml:space="preserve"> a obrigação</w:t>
      </w:r>
      <w:r w:rsidR="004756C1" w:rsidRPr="002F50BD">
        <w:rPr>
          <w:rFonts w:ascii="Verdana" w:hAnsi="Verdana"/>
          <w:sz w:val="20"/>
          <w:lang w:val="pt-BR"/>
        </w:rPr>
        <w:t xml:space="preserve"> de adquirir </w:t>
      </w:r>
      <w:r w:rsidRPr="002F50BD">
        <w:rPr>
          <w:rFonts w:ascii="Verdana" w:hAnsi="Verdana"/>
          <w:sz w:val="20"/>
          <w:lang w:val="pt-BR"/>
        </w:rPr>
        <w:t>esta</w:t>
      </w:r>
      <w:r w:rsidR="004756C1" w:rsidRPr="002F50BD">
        <w:rPr>
          <w:rFonts w:ascii="Verdana" w:hAnsi="Verdana"/>
          <w:sz w:val="20"/>
          <w:lang w:val="pt-BR"/>
        </w:rPr>
        <w:t xml:space="preserve">s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e </w:t>
      </w:r>
      <w:r w:rsidR="001A0CDE" w:rsidRPr="002F50BD">
        <w:rPr>
          <w:rFonts w:ascii="Verdana" w:hAnsi="Verdana"/>
          <w:sz w:val="20"/>
          <w:lang w:val="pt-BR"/>
        </w:rPr>
        <w:t>transferi-l</w:t>
      </w:r>
      <w:r w:rsidR="004756C1" w:rsidRPr="002F50BD">
        <w:rPr>
          <w:rFonts w:ascii="Verdana" w:hAnsi="Verdana"/>
          <w:sz w:val="20"/>
          <w:lang w:val="pt-BR"/>
        </w:rPr>
        <w:t>as</w:t>
      </w:r>
      <w:r w:rsidRPr="002F50BD">
        <w:rPr>
          <w:rFonts w:ascii="Verdana" w:hAnsi="Verdana"/>
          <w:sz w:val="20"/>
          <w:lang w:val="pt-BR"/>
        </w:rPr>
        <w:t xml:space="preserve"> à Comunidade </w:t>
      </w:r>
      <w:r w:rsidR="004756C1" w:rsidRPr="002F50BD">
        <w:rPr>
          <w:rFonts w:ascii="Verdana" w:hAnsi="Verdana"/>
          <w:sz w:val="20"/>
          <w:lang w:val="pt-BR"/>
        </w:rPr>
        <w:t>de modo gratuito, de</w:t>
      </w:r>
      <w:r w:rsidR="001A0CDE" w:rsidRPr="002F50BD">
        <w:rPr>
          <w:rFonts w:ascii="Verdana" w:hAnsi="Verdana"/>
          <w:sz w:val="20"/>
          <w:lang w:val="pt-BR"/>
        </w:rPr>
        <w:t xml:space="preserve">vendo assegurar-se </w:t>
      </w:r>
      <w:r w:rsidR="004756C1" w:rsidRPr="002F50BD">
        <w:rPr>
          <w:rFonts w:ascii="Verdana" w:hAnsi="Verdana"/>
          <w:sz w:val="20"/>
          <w:lang w:val="pt-BR"/>
        </w:rPr>
        <w:t xml:space="preserve">previamente </w:t>
      </w:r>
      <w:r w:rsidR="001A0CDE" w:rsidRPr="002F50BD">
        <w:rPr>
          <w:rFonts w:ascii="Verdana" w:hAnsi="Verdana"/>
          <w:sz w:val="20"/>
          <w:lang w:val="pt-BR"/>
        </w:rPr>
        <w:t xml:space="preserve">de </w:t>
      </w:r>
      <w:r w:rsidR="004756C1" w:rsidRPr="002F50BD">
        <w:rPr>
          <w:rFonts w:ascii="Verdana" w:hAnsi="Verdana"/>
          <w:sz w:val="20"/>
          <w:lang w:val="pt-BR"/>
        </w:rPr>
        <w:t>que se trata</w:t>
      </w:r>
      <w:r w:rsidRPr="002F50BD">
        <w:rPr>
          <w:rFonts w:ascii="Verdana" w:hAnsi="Verdana"/>
          <w:sz w:val="20"/>
          <w:lang w:val="pt-BR"/>
        </w:rPr>
        <w:t xml:space="preserve"> das terra</w:t>
      </w:r>
      <w:r w:rsidR="004756C1" w:rsidRPr="002F50BD">
        <w:rPr>
          <w:rFonts w:ascii="Verdana" w:hAnsi="Verdana"/>
          <w:sz w:val="20"/>
          <w:lang w:val="pt-BR"/>
        </w:rPr>
        <w:t xml:space="preserve">s que </w:t>
      </w:r>
      <w:r w:rsidRPr="002F50BD">
        <w:rPr>
          <w:rFonts w:ascii="Verdana" w:hAnsi="Verdana"/>
          <w:sz w:val="20"/>
          <w:lang w:val="pt-BR"/>
        </w:rPr>
        <w:t xml:space="preserve">correspondem ao </w:t>
      </w:r>
      <w:r w:rsidR="001A0CDE" w:rsidRPr="002F50BD">
        <w:rPr>
          <w:rFonts w:ascii="Verdana" w:hAnsi="Verdana"/>
          <w:sz w:val="20"/>
          <w:lang w:val="pt-BR"/>
        </w:rPr>
        <w:t>ha</w:t>
      </w:r>
      <w:r w:rsidR="004756C1" w:rsidRPr="002F50BD">
        <w:rPr>
          <w:rFonts w:ascii="Verdana" w:hAnsi="Verdana"/>
          <w:sz w:val="20"/>
          <w:lang w:val="pt-BR"/>
        </w:rPr>
        <w:t>bitat tradicional</w:t>
      </w:r>
      <w:r w:rsidRPr="002F50BD">
        <w:rPr>
          <w:rFonts w:ascii="Verdana" w:hAnsi="Verdana"/>
          <w:sz w:val="20"/>
          <w:lang w:val="pt-BR"/>
        </w:rPr>
        <w:t xml:space="preserve"> da </w:t>
      </w:r>
      <w:r w:rsidR="004756C1" w:rsidRPr="002F50BD">
        <w:rPr>
          <w:rFonts w:ascii="Verdana" w:hAnsi="Verdana"/>
          <w:sz w:val="20"/>
          <w:lang w:val="pt-BR"/>
        </w:rPr>
        <w:t>na</w:t>
      </w:r>
      <w:r w:rsidRPr="002F50BD">
        <w:rPr>
          <w:rFonts w:ascii="Verdana" w:hAnsi="Verdana"/>
          <w:sz w:val="20"/>
          <w:lang w:val="pt-BR"/>
        </w:rPr>
        <w:t>ção</w:t>
      </w:r>
      <w:r w:rsidR="004756C1" w:rsidRPr="002F50BD">
        <w:rPr>
          <w:rFonts w:ascii="Verdana" w:hAnsi="Verdana"/>
          <w:sz w:val="20"/>
          <w:lang w:val="pt-BR"/>
        </w:rPr>
        <w:t xml:space="preserve"> indígena</w:t>
      </w:r>
      <w:r w:rsidR="00D95E71" w:rsidRPr="002F50BD">
        <w:rPr>
          <w:rFonts w:ascii="Verdana" w:hAnsi="Verdana"/>
          <w:sz w:val="20"/>
          <w:lang w:val="pt-BR"/>
        </w:rPr>
        <w:t xml:space="preserve">. O </w:t>
      </w:r>
      <w:r w:rsidR="001A0CDE" w:rsidRPr="002F50BD">
        <w:rPr>
          <w:rFonts w:ascii="Verdana" w:hAnsi="Verdana"/>
          <w:sz w:val="20"/>
          <w:lang w:val="pt-BR"/>
        </w:rPr>
        <w:t>habitat</w:t>
      </w:r>
      <w:r w:rsidR="004756C1" w:rsidRPr="002F50BD">
        <w:rPr>
          <w:rFonts w:ascii="Verdana" w:hAnsi="Verdana"/>
          <w:sz w:val="20"/>
          <w:lang w:val="pt-BR"/>
        </w:rPr>
        <w:t xml:space="preserve"> tradicional, </w:t>
      </w:r>
      <w:r w:rsidR="007801FA" w:rsidRPr="002F50BD">
        <w:rPr>
          <w:rFonts w:ascii="Verdana" w:hAnsi="Verdana"/>
          <w:sz w:val="20"/>
          <w:lang w:val="pt-BR"/>
        </w:rPr>
        <w:t>além</w:t>
      </w:r>
      <w:r w:rsidR="004756C1" w:rsidRPr="002F50BD">
        <w:rPr>
          <w:rFonts w:ascii="Verdana" w:hAnsi="Verdana"/>
          <w:sz w:val="20"/>
          <w:lang w:val="pt-BR"/>
        </w:rPr>
        <w:t xml:space="preserve"> de ser</w:t>
      </w:r>
      <w:r w:rsidRPr="002F50BD">
        <w:rPr>
          <w:rFonts w:ascii="Verdana" w:hAnsi="Verdana"/>
          <w:sz w:val="20"/>
          <w:lang w:val="pt-BR"/>
        </w:rPr>
        <w:t xml:space="preserve"> </w:t>
      </w:r>
      <w:r w:rsidR="007801FA" w:rsidRPr="002F50BD">
        <w:rPr>
          <w:rFonts w:ascii="Verdana" w:hAnsi="Verdana"/>
          <w:sz w:val="20"/>
          <w:lang w:val="pt-BR"/>
        </w:rPr>
        <w:t xml:space="preserve">a sede </w:t>
      </w:r>
      <w:r w:rsidR="004756C1" w:rsidRPr="002F50BD">
        <w:rPr>
          <w:rFonts w:ascii="Verdana" w:hAnsi="Verdana"/>
          <w:sz w:val="20"/>
          <w:lang w:val="pt-BR"/>
        </w:rPr>
        <w:t xml:space="preserve">tradicional </w:t>
      </w:r>
      <w:r w:rsidRPr="002F50BD">
        <w:rPr>
          <w:rFonts w:ascii="Verdana" w:hAnsi="Verdana"/>
          <w:sz w:val="20"/>
          <w:lang w:val="pt-BR"/>
        </w:rPr>
        <w:t>do povo</w:t>
      </w:r>
      <w:r w:rsidR="004756C1" w:rsidRPr="002F50BD">
        <w:rPr>
          <w:rFonts w:ascii="Verdana" w:hAnsi="Verdana"/>
          <w:sz w:val="20"/>
          <w:lang w:val="pt-BR"/>
        </w:rPr>
        <w:t xml:space="preserve"> indígena,</w:t>
      </w:r>
      <w:r w:rsidRPr="002F50BD">
        <w:rPr>
          <w:rFonts w:ascii="Verdana" w:hAnsi="Verdana"/>
          <w:sz w:val="20"/>
          <w:lang w:val="pt-BR"/>
        </w:rPr>
        <w:t xml:space="preserve"> deve apresentar as </w:t>
      </w:r>
      <w:r w:rsidR="004756C1" w:rsidRPr="002F50BD">
        <w:rPr>
          <w:rFonts w:ascii="Verdana" w:hAnsi="Verdana"/>
          <w:sz w:val="20"/>
          <w:lang w:val="pt-BR"/>
        </w:rPr>
        <w:t>características ecológicas</w:t>
      </w:r>
      <w:r w:rsidRPr="002F50BD">
        <w:rPr>
          <w:rFonts w:ascii="Verdana" w:hAnsi="Verdana"/>
          <w:sz w:val="20"/>
          <w:lang w:val="pt-BR"/>
        </w:rPr>
        <w:t xml:space="preserve"> e </w:t>
      </w:r>
      <w:r w:rsidR="004756C1" w:rsidRPr="002F50BD">
        <w:rPr>
          <w:rFonts w:ascii="Verdana" w:hAnsi="Verdana"/>
          <w:sz w:val="20"/>
          <w:lang w:val="pt-BR"/>
        </w:rPr>
        <w:t>ambien</w:t>
      </w:r>
      <w:r w:rsidRPr="002F50BD">
        <w:rPr>
          <w:rFonts w:ascii="Verdana" w:hAnsi="Verdana"/>
          <w:sz w:val="20"/>
          <w:lang w:val="pt-BR"/>
        </w:rPr>
        <w:t>tais</w:t>
      </w:r>
      <w:r w:rsidR="004756C1" w:rsidRPr="002F50BD">
        <w:rPr>
          <w:rFonts w:ascii="Verdana" w:hAnsi="Verdana"/>
          <w:sz w:val="20"/>
          <w:lang w:val="pt-BR"/>
        </w:rPr>
        <w:t xml:space="preserve"> que </w:t>
      </w:r>
      <w:r w:rsidRPr="002F50BD">
        <w:rPr>
          <w:rFonts w:ascii="Verdana" w:hAnsi="Verdana"/>
          <w:sz w:val="20"/>
          <w:lang w:val="pt-BR"/>
        </w:rPr>
        <w:t xml:space="preserve">correspondem </w:t>
      </w:r>
      <w:r w:rsidR="007801FA" w:rsidRPr="002F50BD">
        <w:rPr>
          <w:rFonts w:ascii="Verdana" w:hAnsi="Verdana"/>
          <w:sz w:val="20"/>
          <w:lang w:val="pt-BR"/>
        </w:rPr>
        <w:t>a</w:t>
      </w:r>
      <w:r w:rsidRPr="002F50BD">
        <w:rPr>
          <w:rFonts w:ascii="Verdana" w:hAnsi="Verdana"/>
          <w:sz w:val="20"/>
          <w:lang w:val="pt-BR"/>
        </w:rPr>
        <w:t xml:space="preserve">o </w:t>
      </w:r>
      <w:r w:rsidR="004756C1" w:rsidRPr="002F50BD">
        <w:rPr>
          <w:rFonts w:ascii="Verdana" w:hAnsi="Verdana"/>
          <w:sz w:val="20"/>
          <w:lang w:val="pt-BR"/>
        </w:rPr>
        <w:t>modo tradicional de vida</w:t>
      </w:r>
      <w:r w:rsidRPr="002F50BD">
        <w:rPr>
          <w:rFonts w:ascii="Verdana" w:hAnsi="Verdana"/>
          <w:sz w:val="20"/>
          <w:lang w:val="pt-BR"/>
        </w:rPr>
        <w:t xml:space="preserve"> da </w:t>
      </w:r>
      <w:r w:rsidR="00A50140" w:rsidRPr="002F50BD">
        <w:rPr>
          <w:rFonts w:ascii="Verdana" w:hAnsi="Verdana"/>
          <w:sz w:val="20"/>
          <w:lang w:val="pt-BR"/>
        </w:rPr>
        <w:t>comunidade.</w:t>
      </w:r>
      <w:r w:rsidR="00FE08B7">
        <w:rPr>
          <w:rFonts w:ascii="Verdana" w:hAnsi="Verdana"/>
          <w:sz w:val="20"/>
          <w:lang w:val="pt-BR"/>
        </w:rPr>
        <w:t xml:space="preserve"> </w:t>
      </w:r>
      <w:r w:rsidR="004756C1" w:rsidRPr="002F50BD">
        <w:rPr>
          <w:rFonts w:ascii="Verdana" w:hAnsi="Verdana"/>
          <w:sz w:val="20"/>
          <w:lang w:val="pt-BR"/>
        </w:rPr>
        <w:t xml:space="preserve"> </w:t>
      </w:r>
      <w:r w:rsidR="00060B3A"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o Paraguai</w:t>
      </w:r>
      <w:r w:rsidR="004756C1" w:rsidRPr="002F50BD">
        <w:rPr>
          <w:rFonts w:ascii="Verdana" w:hAnsi="Verdana"/>
          <w:sz w:val="20"/>
          <w:lang w:val="pt-BR"/>
        </w:rPr>
        <w:t xml:space="preserve"> implement</w:t>
      </w:r>
      <w:r w:rsidR="007801FA" w:rsidRPr="002F50BD">
        <w:rPr>
          <w:rFonts w:ascii="Verdana" w:hAnsi="Verdana"/>
          <w:sz w:val="20"/>
          <w:lang w:val="pt-BR"/>
        </w:rPr>
        <w:t>ou</w:t>
      </w:r>
      <w:r w:rsidR="004756C1" w:rsidRPr="002F50BD">
        <w:rPr>
          <w:rFonts w:ascii="Verdana" w:hAnsi="Verdana"/>
          <w:sz w:val="20"/>
          <w:lang w:val="pt-BR"/>
        </w:rPr>
        <w:t xml:space="preserve"> legisla</w:t>
      </w:r>
      <w:r w:rsidRPr="002F50BD">
        <w:rPr>
          <w:rFonts w:ascii="Verdana" w:hAnsi="Verdana"/>
          <w:sz w:val="20"/>
          <w:lang w:val="pt-BR"/>
        </w:rPr>
        <w:t>ção</w:t>
      </w:r>
      <w:r w:rsidR="004756C1" w:rsidRPr="002F50BD">
        <w:rPr>
          <w:rFonts w:ascii="Verdana" w:hAnsi="Verdana"/>
          <w:sz w:val="20"/>
          <w:lang w:val="pt-BR"/>
        </w:rPr>
        <w:t xml:space="preserve"> que </w:t>
      </w:r>
      <w:r w:rsidR="007801FA" w:rsidRPr="002F50BD">
        <w:rPr>
          <w:rFonts w:ascii="Verdana" w:hAnsi="Verdana"/>
          <w:sz w:val="20"/>
          <w:lang w:val="pt-BR"/>
        </w:rPr>
        <w:t>desenvolve</w:t>
      </w:r>
      <w:r w:rsidRPr="002F50BD">
        <w:rPr>
          <w:rFonts w:ascii="Verdana" w:hAnsi="Verdana"/>
          <w:sz w:val="20"/>
          <w:lang w:val="pt-BR"/>
        </w:rPr>
        <w:t xml:space="preserve"> o direito dos povo</w:t>
      </w:r>
      <w:r w:rsidR="004756C1" w:rsidRPr="002F50BD">
        <w:rPr>
          <w:rFonts w:ascii="Verdana" w:hAnsi="Verdana"/>
          <w:sz w:val="20"/>
          <w:lang w:val="pt-BR"/>
        </w:rPr>
        <w:t>s indígenas consagrado constitucionalmente</w:t>
      </w:r>
      <w:r w:rsidRPr="002F50BD">
        <w:rPr>
          <w:rFonts w:ascii="Verdana" w:hAnsi="Verdana"/>
          <w:sz w:val="20"/>
          <w:lang w:val="pt-BR"/>
        </w:rPr>
        <w:t xml:space="preserve"> e estabelece os procedimento</w:t>
      </w:r>
      <w:r w:rsidR="004756C1" w:rsidRPr="002F50BD">
        <w:rPr>
          <w:rFonts w:ascii="Verdana" w:hAnsi="Verdana"/>
          <w:sz w:val="20"/>
          <w:lang w:val="pt-BR"/>
        </w:rPr>
        <w:t>s a seguir para</w:t>
      </w:r>
      <w:r w:rsidRPr="002F50BD">
        <w:rPr>
          <w:rFonts w:ascii="Verdana" w:hAnsi="Verdana"/>
          <w:sz w:val="20"/>
          <w:lang w:val="pt-BR"/>
        </w:rPr>
        <w:t xml:space="preserve"> a </w:t>
      </w:r>
      <w:r w:rsidR="004756C1" w:rsidRPr="002F50BD">
        <w:rPr>
          <w:rFonts w:ascii="Verdana" w:hAnsi="Verdana"/>
          <w:sz w:val="20"/>
          <w:lang w:val="pt-BR"/>
        </w:rPr>
        <w:t>adjudica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 re</w:t>
      </w:r>
      <w:r w:rsidRPr="002F50BD">
        <w:rPr>
          <w:rFonts w:ascii="Verdana" w:hAnsi="Verdana"/>
          <w:sz w:val="20"/>
          <w:lang w:val="pt-BR"/>
        </w:rPr>
        <w:t>conhecimento</w:t>
      </w:r>
      <w:r w:rsidR="004756C1" w:rsidRPr="002F50BD">
        <w:rPr>
          <w:rFonts w:ascii="Verdana" w:hAnsi="Verdana"/>
          <w:sz w:val="20"/>
          <w:lang w:val="pt-BR"/>
        </w:rPr>
        <w:t xml:space="preserve"> de líderes</w:t>
      </w:r>
      <w:r w:rsidRPr="002F50BD">
        <w:rPr>
          <w:rFonts w:ascii="Verdana" w:hAnsi="Verdana"/>
          <w:sz w:val="20"/>
          <w:lang w:val="pt-BR"/>
        </w:rPr>
        <w:t xml:space="preserve"> e </w:t>
      </w:r>
      <w:r w:rsidR="004756C1" w:rsidRPr="002F50BD">
        <w:rPr>
          <w:rFonts w:ascii="Verdana" w:hAnsi="Verdana"/>
          <w:sz w:val="20"/>
          <w:lang w:val="pt-BR"/>
        </w:rPr>
        <w:t>re</w:t>
      </w:r>
      <w:r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 de</w:t>
      </w:r>
      <w:r w:rsidRPr="002F50BD">
        <w:rPr>
          <w:rFonts w:ascii="Verdana" w:hAnsi="Verdana"/>
          <w:sz w:val="20"/>
          <w:lang w:val="pt-BR"/>
        </w:rPr>
        <w:t xml:space="preserve"> uma comunidade </w:t>
      </w:r>
      <w:r w:rsidR="004756C1" w:rsidRPr="002F50BD">
        <w:rPr>
          <w:rFonts w:ascii="Verdana" w:hAnsi="Verdana"/>
          <w:sz w:val="20"/>
          <w:lang w:val="pt-BR"/>
        </w:rPr>
        <w:t>indígena.</w:t>
      </w:r>
    </w:p>
    <w:p w:rsidR="004756C1" w:rsidRPr="002F50BD" w:rsidRDefault="0089298C">
      <w:pPr>
        <w:jc w:val="both"/>
        <w:rPr>
          <w:rFonts w:ascii="Verdana" w:hAnsi="Verdana"/>
          <w:sz w:val="20"/>
          <w:lang w:val="pt-BR"/>
        </w:rPr>
      </w:pPr>
      <w:r w:rsidRPr="002F50BD">
        <w:rPr>
          <w:rFonts w:ascii="Verdana" w:hAnsi="Verdana"/>
          <w:sz w:val="20"/>
          <w:lang w:val="pt-BR"/>
        </w:rPr>
        <w:cr/>
        <w:t>O procedimento</w:t>
      </w:r>
      <w:r w:rsidR="004756C1" w:rsidRPr="002F50BD">
        <w:rPr>
          <w:rFonts w:ascii="Verdana" w:hAnsi="Verdana"/>
          <w:sz w:val="20"/>
          <w:lang w:val="pt-BR"/>
        </w:rPr>
        <w:t xml:space="preserve"> de legaliza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 xml:space="preserve">s para comunidades indígenas, </w:t>
      </w:r>
      <w:r w:rsidRPr="002F50BD">
        <w:rPr>
          <w:rFonts w:ascii="Verdana" w:hAnsi="Verdana"/>
          <w:sz w:val="20"/>
          <w:lang w:val="pt-BR"/>
        </w:rPr>
        <w:t>ainda que</w:t>
      </w:r>
      <w:r w:rsidR="004756C1" w:rsidRPr="002F50BD">
        <w:rPr>
          <w:rFonts w:ascii="Verdana" w:hAnsi="Verdana"/>
          <w:sz w:val="20"/>
          <w:lang w:val="pt-BR"/>
        </w:rPr>
        <w:t xml:space="preserve"> </w:t>
      </w:r>
      <w:r w:rsidR="007801FA" w:rsidRPr="002F50BD">
        <w:rPr>
          <w:rFonts w:ascii="Verdana" w:hAnsi="Verdana"/>
          <w:sz w:val="20"/>
          <w:lang w:val="pt-BR"/>
        </w:rPr>
        <w:t xml:space="preserve">tenha alcançado </w:t>
      </w:r>
      <w:r w:rsidR="004756C1" w:rsidRPr="002F50BD">
        <w:rPr>
          <w:rFonts w:ascii="Verdana" w:hAnsi="Verdana"/>
          <w:sz w:val="20"/>
          <w:lang w:val="pt-BR"/>
        </w:rPr>
        <w:t>resultados positivos</w:t>
      </w:r>
      <w:r w:rsidRPr="002F50BD">
        <w:rPr>
          <w:rFonts w:ascii="Verdana" w:hAnsi="Verdana"/>
          <w:sz w:val="20"/>
          <w:lang w:val="pt-BR"/>
        </w:rPr>
        <w:t xml:space="preserve"> em </w:t>
      </w:r>
      <w:r w:rsidR="004756C1" w:rsidRPr="002F50BD">
        <w:rPr>
          <w:rFonts w:ascii="Verdana" w:hAnsi="Verdana"/>
          <w:sz w:val="20"/>
          <w:lang w:val="pt-BR"/>
        </w:rPr>
        <w:t>casos</w:t>
      </w:r>
      <w:r w:rsidRPr="002F50BD">
        <w:rPr>
          <w:rFonts w:ascii="Verdana" w:hAnsi="Verdana"/>
          <w:sz w:val="20"/>
          <w:lang w:val="pt-BR"/>
        </w:rPr>
        <w:t xml:space="preserve"> </w:t>
      </w:r>
      <w:r w:rsidR="007801FA" w:rsidRPr="002F50BD">
        <w:rPr>
          <w:rFonts w:ascii="Verdana" w:hAnsi="Verdana"/>
          <w:sz w:val="20"/>
          <w:lang w:val="pt-BR"/>
        </w:rPr>
        <w:t xml:space="preserve">nos quais </w:t>
      </w:r>
      <w:r w:rsidRPr="002F50BD">
        <w:rPr>
          <w:rFonts w:ascii="Verdana" w:hAnsi="Verdana"/>
          <w:sz w:val="20"/>
          <w:lang w:val="pt-BR"/>
        </w:rPr>
        <w:t xml:space="preserve">os </w:t>
      </w:r>
      <w:r w:rsidR="007801FA" w:rsidRPr="002F50BD">
        <w:rPr>
          <w:rFonts w:ascii="Verdana" w:hAnsi="Verdana"/>
          <w:sz w:val="20"/>
          <w:lang w:val="pt-BR"/>
        </w:rPr>
        <w:t xml:space="preserve">proprietários de terra aceitaram </w:t>
      </w:r>
      <w:r w:rsidR="004756C1" w:rsidRPr="002F50BD">
        <w:rPr>
          <w:rFonts w:ascii="Verdana" w:hAnsi="Verdana"/>
          <w:sz w:val="20"/>
          <w:lang w:val="pt-BR"/>
        </w:rPr>
        <w:t>negociar</w:t>
      </w:r>
      <w:r w:rsidRPr="002F50BD">
        <w:rPr>
          <w:rFonts w:ascii="Verdana" w:hAnsi="Verdana"/>
          <w:sz w:val="20"/>
          <w:lang w:val="pt-BR"/>
        </w:rPr>
        <w:t xml:space="preserve"> a transferência dos </w:t>
      </w:r>
      <w:r w:rsidR="007801FA" w:rsidRPr="002F50BD">
        <w:rPr>
          <w:rFonts w:ascii="Verdana" w:hAnsi="Verdana"/>
          <w:sz w:val="20"/>
          <w:lang w:val="pt-BR"/>
        </w:rPr>
        <w:t>imóvei</w:t>
      </w:r>
      <w:r w:rsidR="004756C1" w:rsidRPr="002F50BD">
        <w:rPr>
          <w:rFonts w:ascii="Verdana" w:hAnsi="Verdana"/>
          <w:sz w:val="20"/>
          <w:lang w:val="pt-BR"/>
        </w:rPr>
        <w:t>s reivindicados,</w:t>
      </w:r>
      <w:r w:rsidRPr="002F50BD">
        <w:rPr>
          <w:rFonts w:ascii="Verdana" w:hAnsi="Verdana"/>
          <w:sz w:val="20"/>
          <w:lang w:val="pt-BR"/>
        </w:rPr>
        <w:t xml:space="preserve"> foi abert</w:t>
      </w:r>
      <w:r w:rsidR="004756C1" w:rsidRPr="002F50BD">
        <w:rPr>
          <w:rFonts w:ascii="Verdana" w:hAnsi="Verdana"/>
          <w:sz w:val="20"/>
          <w:lang w:val="pt-BR"/>
        </w:rPr>
        <w:t xml:space="preserve">amente ineficaz </w:t>
      </w:r>
      <w:r w:rsidR="00CF451D">
        <w:rPr>
          <w:rFonts w:ascii="Verdana" w:hAnsi="Verdana"/>
          <w:sz w:val="20"/>
          <w:lang w:val="pt-BR"/>
        </w:rPr>
        <w:t xml:space="preserve">nos </w:t>
      </w:r>
      <w:r w:rsidR="004756C1" w:rsidRPr="002F50BD">
        <w:rPr>
          <w:rFonts w:ascii="Verdana" w:hAnsi="Verdana"/>
          <w:sz w:val="20"/>
          <w:lang w:val="pt-BR"/>
        </w:rPr>
        <w:t>casos</w:t>
      </w:r>
      <w:r w:rsidRPr="002F50BD">
        <w:rPr>
          <w:rFonts w:ascii="Verdana" w:hAnsi="Verdana"/>
          <w:sz w:val="20"/>
          <w:lang w:val="pt-BR"/>
        </w:rPr>
        <w:t xml:space="preserve"> em </w:t>
      </w:r>
      <w:r w:rsidR="004756C1" w:rsidRPr="002F50BD">
        <w:rPr>
          <w:rFonts w:ascii="Verdana" w:hAnsi="Verdana"/>
          <w:sz w:val="20"/>
          <w:lang w:val="pt-BR"/>
        </w:rPr>
        <w:t>que</w:t>
      </w:r>
      <w:r w:rsidRPr="002F50BD">
        <w:rPr>
          <w:rFonts w:ascii="Verdana" w:hAnsi="Verdana"/>
          <w:sz w:val="20"/>
          <w:lang w:val="pt-BR"/>
        </w:rPr>
        <w:t xml:space="preserve"> os </w:t>
      </w:r>
      <w:r w:rsidR="007801FA" w:rsidRPr="002F50BD">
        <w:rPr>
          <w:rFonts w:ascii="Verdana" w:hAnsi="Verdana"/>
          <w:sz w:val="20"/>
          <w:lang w:val="pt-BR"/>
        </w:rPr>
        <w:t>proprietário</w:t>
      </w:r>
      <w:r w:rsidR="004756C1" w:rsidRPr="002F50BD">
        <w:rPr>
          <w:rFonts w:ascii="Verdana" w:hAnsi="Verdana"/>
          <w:sz w:val="20"/>
          <w:lang w:val="pt-BR"/>
        </w:rPr>
        <w:t>s se mostra</w:t>
      </w:r>
      <w:r w:rsidR="007801FA" w:rsidRPr="002F50BD">
        <w:rPr>
          <w:rFonts w:ascii="Verdana" w:hAnsi="Verdana"/>
          <w:sz w:val="20"/>
          <w:lang w:val="pt-BR"/>
        </w:rPr>
        <w:t>ram</w:t>
      </w:r>
      <w:r w:rsidR="004756C1" w:rsidRPr="002F50BD">
        <w:rPr>
          <w:rFonts w:ascii="Verdana" w:hAnsi="Verdana"/>
          <w:sz w:val="20"/>
          <w:lang w:val="pt-BR"/>
        </w:rPr>
        <w:t xml:space="preserve"> intransigentes. Para </w:t>
      </w:r>
      <w:r w:rsidRPr="002F50BD">
        <w:rPr>
          <w:rFonts w:ascii="Verdana" w:hAnsi="Verdana"/>
          <w:sz w:val="20"/>
          <w:lang w:val="pt-BR"/>
        </w:rPr>
        <w:t>qualquer</w:t>
      </w:r>
      <w:r w:rsidR="004756C1" w:rsidRPr="002F50BD">
        <w:rPr>
          <w:rFonts w:ascii="Verdana" w:hAnsi="Verdana"/>
          <w:sz w:val="20"/>
          <w:lang w:val="pt-BR"/>
        </w:rPr>
        <w:t xml:space="preserve"> </w:t>
      </w:r>
      <w:r w:rsidR="00F8433D" w:rsidRPr="002F50BD">
        <w:rPr>
          <w:rFonts w:ascii="Verdana" w:hAnsi="Verdana"/>
          <w:sz w:val="20"/>
          <w:lang w:val="pt-BR"/>
        </w:rPr>
        <w:t>proprietário de terra</w:t>
      </w:r>
      <w:r w:rsidR="0087251E" w:rsidRPr="002F50BD">
        <w:rPr>
          <w:rFonts w:ascii="Verdana" w:hAnsi="Verdana"/>
          <w:sz w:val="20"/>
          <w:lang w:val="pt-BR"/>
        </w:rPr>
        <w:t>,</w:t>
      </w:r>
      <w:r w:rsidR="00F8433D" w:rsidRPr="002F50BD">
        <w:rPr>
          <w:rFonts w:ascii="Verdana" w:hAnsi="Verdana"/>
          <w:sz w:val="20"/>
          <w:lang w:val="pt-BR"/>
        </w:rPr>
        <w:t xml:space="preserve"> </w:t>
      </w:r>
      <w:r w:rsidR="004756C1" w:rsidRPr="002F50BD">
        <w:rPr>
          <w:rFonts w:ascii="Verdana" w:hAnsi="Verdana"/>
          <w:sz w:val="20"/>
          <w:lang w:val="pt-BR"/>
        </w:rPr>
        <w:t xml:space="preserve">basta opor como </w:t>
      </w:r>
      <w:r w:rsidRPr="002F50BD">
        <w:rPr>
          <w:rFonts w:ascii="Verdana" w:hAnsi="Verdana"/>
          <w:sz w:val="20"/>
          <w:lang w:val="pt-BR"/>
        </w:rPr>
        <w:t>defesa</w:t>
      </w:r>
      <w:r w:rsidR="004756C1" w:rsidRPr="002F50BD">
        <w:rPr>
          <w:rFonts w:ascii="Verdana" w:hAnsi="Verdana"/>
          <w:sz w:val="20"/>
          <w:lang w:val="pt-BR"/>
        </w:rPr>
        <w:t xml:space="preserve"> </w:t>
      </w:r>
      <w:r w:rsidR="0087251E" w:rsidRPr="002F50BD">
        <w:rPr>
          <w:rFonts w:ascii="Verdana" w:hAnsi="Verdana"/>
          <w:sz w:val="20"/>
          <w:lang w:val="pt-BR"/>
        </w:rPr>
        <w:t>em face d</w:t>
      </w:r>
      <w:r w:rsidRPr="002F50BD">
        <w:rPr>
          <w:rFonts w:ascii="Verdana" w:hAnsi="Verdana"/>
          <w:sz w:val="20"/>
          <w:lang w:val="pt-BR"/>
        </w:rPr>
        <w:t>os direito</w:t>
      </w:r>
      <w:r w:rsidR="004756C1" w:rsidRPr="002F50BD">
        <w:rPr>
          <w:rFonts w:ascii="Verdana" w:hAnsi="Verdana"/>
          <w:sz w:val="20"/>
          <w:lang w:val="pt-BR"/>
        </w:rPr>
        <w:t xml:space="preserve">s indígenas sobre </w:t>
      </w:r>
      <w:r w:rsidR="00A50140" w:rsidRPr="002F50BD">
        <w:rPr>
          <w:rFonts w:ascii="Verdana" w:hAnsi="Verdana"/>
          <w:sz w:val="20"/>
          <w:lang w:val="pt-BR"/>
        </w:rPr>
        <w:t>suas terras</w:t>
      </w:r>
      <w:r w:rsidRPr="002F50BD">
        <w:rPr>
          <w:rFonts w:ascii="Verdana" w:hAnsi="Verdana"/>
          <w:sz w:val="20"/>
          <w:lang w:val="pt-BR"/>
        </w:rPr>
        <w:t xml:space="preserve"> o </w:t>
      </w:r>
      <w:r w:rsidR="004756C1" w:rsidRPr="002F50BD">
        <w:rPr>
          <w:rFonts w:ascii="Verdana" w:hAnsi="Verdana"/>
          <w:sz w:val="20"/>
          <w:lang w:val="pt-BR"/>
        </w:rPr>
        <w:t xml:space="preserve">argumento de </w:t>
      </w:r>
      <w:r w:rsidR="00AB454A" w:rsidRPr="002F50BD">
        <w:rPr>
          <w:rFonts w:ascii="Verdana" w:hAnsi="Verdana"/>
          <w:sz w:val="20"/>
          <w:lang w:val="pt-BR"/>
        </w:rPr>
        <w:t>exploração</w:t>
      </w:r>
      <w:r w:rsidR="004756C1" w:rsidRPr="002F50BD">
        <w:rPr>
          <w:rFonts w:ascii="Verdana" w:hAnsi="Verdana"/>
          <w:sz w:val="20"/>
          <w:lang w:val="pt-BR"/>
        </w:rPr>
        <w:t xml:space="preserve"> racional. </w:t>
      </w:r>
      <w:r w:rsidR="00F8433D" w:rsidRPr="002F50BD">
        <w:rPr>
          <w:rFonts w:ascii="Verdana" w:hAnsi="Verdana"/>
          <w:sz w:val="20"/>
          <w:lang w:val="pt-BR"/>
        </w:rPr>
        <w:t>Este é</w:t>
      </w:r>
      <w:r w:rsidRPr="002F50BD">
        <w:rPr>
          <w:rFonts w:ascii="Verdana" w:hAnsi="Verdana"/>
          <w:sz w:val="20"/>
          <w:lang w:val="pt-BR"/>
        </w:rPr>
        <w:t xml:space="preserve"> um </w:t>
      </w:r>
      <w:r w:rsidR="00F8433D" w:rsidRPr="002F50BD">
        <w:rPr>
          <w:rFonts w:ascii="Verdana" w:hAnsi="Verdana"/>
          <w:sz w:val="20"/>
          <w:lang w:val="pt-BR"/>
        </w:rPr>
        <w:t>problema de arquite</w:t>
      </w:r>
      <w:r w:rsidR="004756C1" w:rsidRPr="002F50BD">
        <w:rPr>
          <w:rFonts w:ascii="Verdana" w:hAnsi="Verdana"/>
          <w:sz w:val="20"/>
          <w:lang w:val="pt-BR"/>
        </w:rPr>
        <w:t xml:space="preserve">tura jurídica, de </w:t>
      </w:r>
      <w:r w:rsidRPr="002F50BD">
        <w:rPr>
          <w:rFonts w:ascii="Verdana" w:hAnsi="Verdana"/>
          <w:sz w:val="20"/>
          <w:lang w:val="pt-BR"/>
        </w:rPr>
        <w:t>ausência</w:t>
      </w:r>
      <w:r w:rsidR="004756C1" w:rsidRPr="002F50BD">
        <w:rPr>
          <w:rFonts w:ascii="Verdana" w:hAnsi="Verdana"/>
          <w:sz w:val="20"/>
          <w:lang w:val="pt-BR"/>
        </w:rPr>
        <w:t xml:space="preserve"> de recursos </w:t>
      </w:r>
      <w:r w:rsidRPr="002F50BD">
        <w:rPr>
          <w:rFonts w:ascii="Verdana" w:hAnsi="Verdana"/>
          <w:sz w:val="20"/>
          <w:lang w:val="pt-BR"/>
        </w:rPr>
        <w:t>legais</w:t>
      </w:r>
      <w:r w:rsidR="004756C1" w:rsidRPr="002F50BD">
        <w:rPr>
          <w:rFonts w:ascii="Verdana" w:hAnsi="Verdana"/>
          <w:sz w:val="20"/>
          <w:lang w:val="pt-BR"/>
        </w:rPr>
        <w:t xml:space="preserve"> dotados de suficiente </w:t>
      </w:r>
      <w:r w:rsidRPr="002F50BD">
        <w:rPr>
          <w:rFonts w:ascii="Verdana" w:hAnsi="Verdana"/>
          <w:sz w:val="20"/>
          <w:lang w:val="pt-BR"/>
        </w:rPr>
        <w:t>império</w:t>
      </w:r>
      <w:r w:rsidR="004756C1" w:rsidRPr="002F50BD">
        <w:rPr>
          <w:rFonts w:ascii="Verdana" w:hAnsi="Verdana"/>
          <w:sz w:val="20"/>
          <w:lang w:val="pt-BR"/>
        </w:rPr>
        <w:t xml:space="preserve"> para</w:t>
      </w:r>
      <w:r w:rsidRPr="002F50BD">
        <w:rPr>
          <w:rFonts w:ascii="Verdana" w:hAnsi="Verdana"/>
          <w:sz w:val="20"/>
          <w:lang w:val="pt-BR"/>
        </w:rPr>
        <w:t xml:space="preserve"> fazer efetiv</w:t>
      </w:r>
      <w:r w:rsidR="004756C1" w:rsidRPr="002F50BD">
        <w:rPr>
          <w:rFonts w:ascii="Verdana" w:hAnsi="Verdana"/>
          <w:sz w:val="20"/>
          <w:lang w:val="pt-BR"/>
        </w:rPr>
        <w:t>os</w:t>
      </w:r>
      <w:r w:rsidRPr="002F50BD">
        <w:rPr>
          <w:rFonts w:ascii="Verdana" w:hAnsi="Verdana"/>
          <w:sz w:val="20"/>
          <w:lang w:val="pt-BR"/>
        </w:rPr>
        <w:t xml:space="preserve"> os direito</w:t>
      </w:r>
      <w:r w:rsidR="004756C1" w:rsidRPr="002F50BD">
        <w:rPr>
          <w:rFonts w:ascii="Verdana" w:hAnsi="Verdana"/>
          <w:sz w:val="20"/>
          <w:lang w:val="pt-BR"/>
        </w:rPr>
        <w:t xml:space="preserve">s de </w:t>
      </w:r>
      <w:r w:rsidRPr="002F50BD">
        <w:rPr>
          <w:rFonts w:ascii="Verdana" w:hAnsi="Verdana"/>
          <w:sz w:val="20"/>
          <w:lang w:val="pt-BR"/>
        </w:rPr>
        <w:t>propriedade</w:t>
      </w:r>
      <w:r w:rsidR="004756C1" w:rsidRPr="002F50BD">
        <w:rPr>
          <w:rFonts w:ascii="Verdana" w:hAnsi="Verdana"/>
          <w:sz w:val="20"/>
          <w:lang w:val="pt-BR"/>
        </w:rPr>
        <w:t xml:space="preserve"> indígena</w:t>
      </w:r>
      <w:r w:rsidR="001A0CDE" w:rsidRPr="002F50BD">
        <w:rPr>
          <w:rFonts w:ascii="Verdana" w:hAnsi="Verdana"/>
          <w:sz w:val="20"/>
          <w:lang w:val="pt-BR"/>
        </w:rPr>
        <w:t xml:space="preserve">. </w:t>
      </w:r>
      <w:r w:rsidR="00CF451D">
        <w:rPr>
          <w:rFonts w:ascii="Verdana" w:hAnsi="Verdana"/>
          <w:sz w:val="20"/>
          <w:lang w:val="pt-BR"/>
        </w:rPr>
        <w:t>Nesse sentido,</w:t>
      </w:r>
      <w:r w:rsidR="004756C1" w:rsidRPr="002F50BD">
        <w:rPr>
          <w:rFonts w:ascii="Verdana" w:hAnsi="Verdana"/>
          <w:sz w:val="20"/>
          <w:lang w:val="pt-BR"/>
        </w:rPr>
        <w:t xml:space="preserve"> todo</w:t>
      </w:r>
      <w:r w:rsidRPr="002F50BD">
        <w:rPr>
          <w:rFonts w:ascii="Verdana" w:hAnsi="Verdana"/>
          <w:sz w:val="20"/>
          <w:lang w:val="pt-BR"/>
        </w:rPr>
        <w:t xml:space="preserve"> o direito</w:t>
      </w:r>
      <w:r w:rsidR="004756C1" w:rsidRPr="002F50BD">
        <w:rPr>
          <w:rFonts w:ascii="Verdana" w:hAnsi="Verdana"/>
          <w:sz w:val="20"/>
          <w:lang w:val="pt-BR"/>
        </w:rPr>
        <w:t xml:space="preserve"> material</w:t>
      </w:r>
      <w:r w:rsidRPr="002F50BD">
        <w:rPr>
          <w:rFonts w:ascii="Verdana" w:hAnsi="Verdana"/>
          <w:sz w:val="20"/>
          <w:lang w:val="pt-BR"/>
        </w:rPr>
        <w:t xml:space="preserve"> das </w:t>
      </w:r>
      <w:r w:rsidR="004756C1" w:rsidRPr="002F50BD">
        <w:rPr>
          <w:rFonts w:ascii="Verdana" w:hAnsi="Verdana"/>
          <w:sz w:val="20"/>
          <w:lang w:val="pt-BR"/>
        </w:rPr>
        <w:t xml:space="preserve">comunidades indígenas sobre </w:t>
      </w:r>
      <w:r w:rsidR="00A50140" w:rsidRPr="002F50BD">
        <w:rPr>
          <w:rFonts w:ascii="Verdana" w:hAnsi="Verdana"/>
          <w:sz w:val="20"/>
          <w:lang w:val="pt-BR"/>
        </w:rPr>
        <w:t>suas terras</w:t>
      </w:r>
      <w:r w:rsidR="004756C1" w:rsidRPr="002F50BD">
        <w:rPr>
          <w:rFonts w:ascii="Verdana" w:hAnsi="Verdana"/>
          <w:sz w:val="20"/>
          <w:lang w:val="pt-BR"/>
        </w:rPr>
        <w:t xml:space="preserve"> consagrado de modo </w:t>
      </w:r>
      <w:r w:rsidRPr="002F50BD">
        <w:rPr>
          <w:rFonts w:ascii="Verdana" w:hAnsi="Verdana"/>
          <w:sz w:val="20"/>
          <w:lang w:val="pt-BR"/>
        </w:rPr>
        <w:t>avançad</w:t>
      </w:r>
      <w:r w:rsidR="004756C1" w:rsidRPr="002F50BD">
        <w:rPr>
          <w:rFonts w:ascii="Verdana" w:hAnsi="Verdana"/>
          <w:sz w:val="20"/>
          <w:lang w:val="pt-BR"/>
        </w:rPr>
        <w:t>o</w:t>
      </w:r>
      <w:r w:rsidRPr="002F50BD">
        <w:rPr>
          <w:rFonts w:ascii="Verdana" w:hAnsi="Verdana"/>
          <w:sz w:val="20"/>
          <w:lang w:val="pt-BR"/>
        </w:rPr>
        <w:t xml:space="preserve"> pelo </w:t>
      </w:r>
      <w:r w:rsidR="004756C1" w:rsidRPr="002F50BD">
        <w:rPr>
          <w:rFonts w:ascii="Verdana" w:hAnsi="Verdana"/>
          <w:sz w:val="20"/>
          <w:lang w:val="pt-BR"/>
        </w:rPr>
        <w:t xml:space="preserve">sistema jurídico </w:t>
      </w:r>
      <w:r w:rsidR="00F8433D"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 carece de concre</w:t>
      </w:r>
      <w:r w:rsidR="00060B3A" w:rsidRPr="002F50BD">
        <w:rPr>
          <w:rFonts w:ascii="Verdana" w:hAnsi="Verdana"/>
          <w:sz w:val="20"/>
          <w:lang w:val="pt-BR"/>
        </w:rPr>
        <w:t>tude</w:t>
      </w:r>
      <w:r w:rsidR="004756C1" w:rsidRPr="002F50BD">
        <w:rPr>
          <w:rFonts w:ascii="Verdana" w:hAnsi="Verdana"/>
          <w:sz w:val="20"/>
          <w:lang w:val="pt-BR"/>
        </w:rPr>
        <w:t xml:space="preserve">, </w:t>
      </w:r>
      <w:r w:rsidRPr="002F50BD">
        <w:rPr>
          <w:rFonts w:ascii="Verdana" w:hAnsi="Verdana"/>
          <w:sz w:val="20"/>
          <w:lang w:val="pt-BR"/>
        </w:rPr>
        <w:t xml:space="preserve">devido à </w:t>
      </w:r>
      <w:r w:rsidR="004756C1" w:rsidRPr="002F50BD">
        <w:rPr>
          <w:rFonts w:ascii="Verdana" w:hAnsi="Verdana"/>
          <w:sz w:val="20"/>
          <w:lang w:val="pt-BR"/>
        </w:rPr>
        <w:t>falta de</w:t>
      </w:r>
      <w:r w:rsidRPr="002F50BD">
        <w:rPr>
          <w:rFonts w:ascii="Verdana" w:hAnsi="Verdana"/>
          <w:sz w:val="20"/>
          <w:lang w:val="pt-BR"/>
        </w:rPr>
        <w:t xml:space="preserve"> um </w:t>
      </w:r>
      <w:r w:rsidR="004756C1" w:rsidRPr="002F50BD">
        <w:rPr>
          <w:rFonts w:ascii="Verdana" w:hAnsi="Verdana"/>
          <w:sz w:val="20"/>
          <w:lang w:val="pt-BR"/>
        </w:rPr>
        <w:t xml:space="preserve">elemento básico de toda norma jurídica: </w:t>
      </w:r>
      <w:r w:rsidRPr="002F50BD">
        <w:rPr>
          <w:rFonts w:ascii="Verdana" w:hAnsi="Verdana"/>
          <w:sz w:val="20"/>
          <w:lang w:val="pt-BR"/>
        </w:rPr>
        <w:t>seu caráter</w:t>
      </w:r>
      <w:r w:rsidR="004756C1" w:rsidRPr="002F50BD">
        <w:rPr>
          <w:rFonts w:ascii="Verdana" w:hAnsi="Verdana"/>
          <w:sz w:val="20"/>
          <w:lang w:val="pt-BR"/>
        </w:rPr>
        <w:t xml:space="preserve"> </w:t>
      </w:r>
      <w:r w:rsidR="0087251E" w:rsidRPr="002F50BD">
        <w:rPr>
          <w:rFonts w:ascii="Verdana" w:hAnsi="Verdana"/>
          <w:sz w:val="20"/>
          <w:lang w:val="pt-BR"/>
        </w:rPr>
        <w:t xml:space="preserve">operacional </w:t>
      </w:r>
      <w:r w:rsidR="004756C1" w:rsidRPr="002F50BD">
        <w:rPr>
          <w:rFonts w:ascii="Verdana" w:hAnsi="Verdana"/>
          <w:sz w:val="20"/>
          <w:lang w:val="pt-BR"/>
        </w:rPr>
        <w:t>o</w:t>
      </w:r>
      <w:r w:rsidR="00F8433D"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 xml:space="preserve">processual </w:t>
      </w:r>
      <w:r w:rsidR="00F8433D" w:rsidRPr="002F50BD">
        <w:rPr>
          <w:rFonts w:ascii="Verdana" w:hAnsi="Verdana"/>
          <w:sz w:val="20"/>
          <w:lang w:val="pt-BR"/>
        </w:rPr>
        <w:t>que conv</w:t>
      </w:r>
      <w:r w:rsidR="004756C1" w:rsidRPr="002F50BD">
        <w:rPr>
          <w:rFonts w:ascii="Verdana" w:hAnsi="Verdana"/>
          <w:sz w:val="20"/>
          <w:lang w:val="pt-BR"/>
        </w:rPr>
        <w:t>erta</w:t>
      </w:r>
      <w:r w:rsidRPr="002F50BD">
        <w:rPr>
          <w:rFonts w:ascii="Verdana" w:hAnsi="Verdana"/>
          <w:sz w:val="20"/>
          <w:lang w:val="pt-BR"/>
        </w:rPr>
        <w:t xml:space="preserve"> a </w:t>
      </w:r>
      <w:r w:rsidR="00F8433D" w:rsidRPr="002F50BD">
        <w:rPr>
          <w:rFonts w:ascii="Verdana" w:hAnsi="Verdana"/>
          <w:sz w:val="20"/>
          <w:lang w:val="pt-BR"/>
        </w:rPr>
        <w:t>norma abstra</w:t>
      </w:r>
      <w:r w:rsidR="004756C1" w:rsidRPr="002F50BD">
        <w:rPr>
          <w:rFonts w:ascii="Verdana" w:hAnsi="Verdana"/>
          <w:sz w:val="20"/>
          <w:lang w:val="pt-BR"/>
        </w:rPr>
        <w:t>ta</w:t>
      </w:r>
      <w:r w:rsidRPr="002F50BD">
        <w:rPr>
          <w:rFonts w:ascii="Verdana" w:hAnsi="Verdana"/>
          <w:sz w:val="20"/>
          <w:lang w:val="pt-BR"/>
        </w:rPr>
        <w:t xml:space="preserve"> em realidade prática</w:t>
      </w:r>
      <w:r w:rsidR="004756C1" w:rsidRPr="002F50BD">
        <w:rPr>
          <w:rFonts w:ascii="Verdana" w:hAnsi="Verdana"/>
          <w:sz w:val="20"/>
          <w:lang w:val="pt-BR"/>
        </w:rPr>
        <w:t>, de modo eficiente</w:t>
      </w:r>
      <w:r w:rsidRPr="002F50BD">
        <w:rPr>
          <w:rFonts w:ascii="Verdana" w:hAnsi="Verdana"/>
          <w:sz w:val="20"/>
          <w:lang w:val="pt-BR"/>
        </w:rPr>
        <w:t xml:space="preserve"> e </w:t>
      </w:r>
      <w:r w:rsidR="004756C1" w:rsidRPr="002F50BD">
        <w:rPr>
          <w:rFonts w:ascii="Verdana" w:hAnsi="Verdana"/>
          <w:sz w:val="20"/>
          <w:lang w:val="pt-BR"/>
        </w:rPr>
        <w:t>operativo.</w:t>
      </w:r>
      <w:r w:rsidR="00FE08B7">
        <w:rPr>
          <w:rFonts w:ascii="Verdana" w:hAnsi="Verdana"/>
          <w:sz w:val="20"/>
          <w:lang w:val="pt-BR"/>
        </w:rPr>
        <w:t xml:space="preserve"> </w:t>
      </w:r>
      <w:r w:rsidR="004756C1" w:rsidRPr="002F50BD">
        <w:rPr>
          <w:rFonts w:ascii="Verdana" w:hAnsi="Verdana"/>
          <w:sz w:val="20"/>
          <w:lang w:val="pt-BR"/>
        </w:rPr>
        <w:t xml:space="preserve">A </w:t>
      </w:r>
      <w:r w:rsidR="00F8433D" w:rsidRPr="002F50BD">
        <w:rPr>
          <w:rFonts w:ascii="Verdana" w:hAnsi="Verdana"/>
          <w:sz w:val="20"/>
          <w:lang w:val="pt-BR"/>
        </w:rPr>
        <w:t xml:space="preserve">isso </w:t>
      </w:r>
      <w:r w:rsidR="004756C1" w:rsidRPr="002F50BD">
        <w:rPr>
          <w:rFonts w:ascii="Verdana" w:hAnsi="Verdana"/>
          <w:sz w:val="20"/>
          <w:lang w:val="pt-BR"/>
        </w:rPr>
        <w:t>se</w:t>
      </w:r>
      <w:r w:rsidRPr="002F50BD">
        <w:rPr>
          <w:rFonts w:ascii="Verdana" w:hAnsi="Verdana"/>
          <w:sz w:val="20"/>
          <w:lang w:val="pt-BR"/>
        </w:rPr>
        <w:t xml:space="preserve"> deve </w:t>
      </w:r>
      <w:r w:rsidR="00F8433D" w:rsidRPr="002F50BD">
        <w:rPr>
          <w:rFonts w:ascii="Verdana" w:hAnsi="Verdana"/>
          <w:sz w:val="20"/>
          <w:lang w:val="pt-BR"/>
        </w:rPr>
        <w:t>so</w:t>
      </w:r>
      <w:r w:rsidR="004756C1" w:rsidRPr="002F50BD">
        <w:rPr>
          <w:rFonts w:ascii="Verdana" w:hAnsi="Verdana"/>
          <w:sz w:val="20"/>
          <w:lang w:val="pt-BR"/>
        </w:rPr>
        <w:t>mar</w:t>
      </w:r>
      <w:r w:rsidRPr="002F50BD">
        <w:rPr>
          <w:rFonts w:ascii="Verdana" w:hAnsi="Verdana"/>
          <w:sz w:val="20"/>
          <w:lang w:val="pt-BR"/>
        </w:rPr>
        <w:t xml:space="preserve"> a </w:t>
      </w:r>
      <w:r w:rsidR="004756C1" w:rsidRPr="002F50BD">
        <w:rPr>
          <w:rFonts w:ascii="Verdana" w:hAnsi="Verdana"/>
          <w:sz w:val="20"/>
          <w:lang w:val="pt-BR"/>
        </w:rPr>
        <w:t xml:space="preserve">insuficiente </w:t>
      </w:r>
      <w:r w:rsidR="00EC33C7" w:rsidRPr="002F50BD">
        <w:rPr>
          <w:rFonts w:ascii="Verdana" w:hAnsi="Verdana"/>
          <w:sz w:val="20"/>
          <w:lang w:val="pt-BR"/>
        </w:rPr>
        <w:t xml:space="preserve">destinação </w:t>
      </w:r>
      <w:r w:rsidR="004756C1" w:rsidRPr="002F50BD">
        <w:rPr>
          <w:rFonts w:ascii="Verdana" w:hAnsi="Verdana"/>
          <w:sz w:val="20"/>
          <w:lang w:val="pt-BR"/>
        </w:rPr>
        <w:t xml:space="preserve">de recursos </w:t>
      </w:r>
      <w:r w:rsidRPr="002F50BD">
        <w:rPr>
          <w:rFonts w:ascii="Verdana" w:hAnsi="Verdana"/>
          <w:sz w:val="20"/>
          <w:lang w:val="pt-BR"/>
        </w:rPr>
        <w:t>econômic</w:t>
      </w:r>
      <w:r w:rsidR="004756C1" w:rsidRPr="002F50BD">
        <w:rPr>
          <w:rFonts w:ascii="Verdana" w:hAnsi="Verdana"/>
          <w:sz w:val="20"/>
          <w:lang w:val="pt-BR"/>
        </w:rPr>
        <w:t>os</w:t>
      </w:r>
      <w:r w:rsidRPr="002F50BD">
        <w:rPr>
          <w:rFonts w:ascii="Verdana" w:hAnsi="Verdana"/>
          <w:sz w:val="20"/>
          <w:lang w:val="pt-BR"/>
        </w:rPr>
        <w:t xml:space="preserve"> ao </w:t>
      </w:r>
      <w:r w:rsidR="004756C1" w:rsidRPr="002F50BD">
        <w:rPr>
          <w:rFonts w:ascii="Verdana" w:hAnsi="Verdana"/>
          <w:sz w:val="20"/>
          <w:lang w:val="pt-BR"/>
        </w:rPr>
        <w:t>INDI, para</w:t>
      </w:r>
      <w:r w:rsidRPr="002F50BD">
        <w:rPr>
          <w:rFonts w:ascii="Verdana" w:hAnsi="Verdana"/>
          <w:sz w:val="20"/>
          <w:lang w:val="pt-BR"/>
        </w:rPr>
        <w:t xml:space="preserve"> a </w:t>
      </w:r>
      <w:r w:rsidR="004756C1" w:rsidRPr="002F50BD">
        <w:rPr>
          <w:rFonts w:ascii="Verdana" w:hAnsi="Verdana"/>
          <w:sz w:val="20"/>
          <w:lang w:val="pt-BR"/>
        </w:rPr>
        <w:t>implementa</w:t>
      </w:r>
      <w:r w:rsidRPr="002F50BD">
        <w:rPr>
          <w:rFonts w:ascii="Verdana" w:hAnsi="Verdana"/>
          <w:sz w:val="20"/>
          <w:lang w:val="pt-BR"/>
        </w:rPr>
        <w:t xml:space="preserve">ção das </w:t>
      </w:r>
      <w:r w:rsidR="004756C1" w:rsidRPr="002F50BD">
        <w:rPr>
          <w:rFonts w:ascii="Verdana" w:hAnsi="Verdana"/>
          <w:sz w:val="20"/>
          <w:lang w:val="pt-BR"/>
        </w:rPr>
        <w:t>políticas públicas</w:t>
      </w:r>
      <w:r w:rsidRPr="002F50BD">
        <w:rPr>
          <w:rFonts w:ascii="Verdana" w:hAnsi="Verdana"/>
          <w:sz w:val="20"/>
          <w:lang w:val="pt-BR"/>
        </w:rPr>
        <w:t xml:space="preserve"> em benefício das </w:t>
      </w:r>
      <w:r w:rsidR="004756C1" w:rsidRPr="002F50BD">
        <w:rPr>
          <w:rFonts w:ascii="Verdana" w:hAnsi="Verdana"/>
          <w:sz w:val="20"/>
          <w:lang w:val="pt-BR"/>
        </w:rPr>
        <w:t xml:space="preserve">comunidades indígenas. </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c.</w:t>
      </w:r>
      <w:r w:rsidRPr="002F50BD">
        <w:rPr>
          <w:rFonts w:ascii="Verdana" w:hAnsi="Verdana"/>
          <w:b/>
          <w:sz w:val="20"/>
          <w:lang w:val="pt-BR"/>
        </w:rPr>
        <w:tab/>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Antonio Aylwin Oyarzún, perito</w:t>
      </w:r>
    </w:p>
    <w:p w:rsidR="004756C1" w:rsidRPr="002F50BD" w:rsidRDefault="0089298C">
      <w:pPr>
        <w:jc w:val="both"/>
        <w:rPr>
          <w:rFonts w:ascii="Verdana" w:hAnsi="Verdana"/>
          <w:sz w:val="20"/>
          <w:lang w:val="pt-BR"/>
        </w:rPr>
      </w:pPr>
      <w:r w:rsidRPr="002F50BD">
        <w:rPr>
          <w:rFonts w:ascii="Verdana" w:hAnsi="Verdana"/>
          <w:sz w:val="20"/>
          <w:lang w:val="pt-BR"/>
        </w:rPr>
        <w:cr/>
        <w:t xml:space="preserve">A doutrina e a jurisprudência </w:t>
      </w:r>
      <w:r w:rsidR="004756C1" w:rsidRPr="002F50BD">
        <w:rPr>
          <w:rFonts w:ascii="Verdana" w:hAnsi="Verdana"/>
          <w:sz w:val="20"/>
          <w:lang w:val="pt-BR"/>
        </w:rPr>
        <w:t>internacional</w:t>
      </w:r>
      <w:r w:rsidRPr="002F50BD">
        <w:rPr>
          <w:rFonts w:ascii="Verdana" w:hAnsi="Verdana"/>
          <w:sz w:val="20"/>
          <w:lang w:val="pt-BR"/>
        </w:rPr>
        <w:t xml:space="preserve"> e </w:t>
      </w:r>
      <w:r w:rsidR="004756C1" w:rsidRPr="002F50BD">
        <w:rPr>
          <w:rFonts w:ascii="Verdana" w:hAnsi="Verdana"/>
          <w:sz w:val="20"/>
          <w:lang w:val="pt-BR"/>
        </w:rPr>
        <w:t>comparada aborda</w:t>
      </w:r>
      <w:r w:rsidR="005D1589" w:rsidRPr="002F50BD">
        <w:rPr>
          <w:rFonts w:ascii="Verdana" w:hAnsi="Verdana"/>
          <w:sz w:val="20"/>
          <w:lang w:val="pt-BR"/>
        </w:rPr>
        <w:t>ram</w:t>
      </w:r>
      <w:r w:rsidRPr="002F50BD">
        <w:rPr>
          <w:rFonts w:ascii="Verdana" w:hAnsi="Verdana"/>
          <w:sz w:val="20"/>
          <w:lang w:val="pt-BR"/>
        </w:rPr>
        <w:t xml:space="preserve"> o </w:t>
      </w:r>
      <w:r w:rsidR="004756C1" w:rsidRPr="002F50BD">
        <w:rPr>
          <w:rFonts w:ascii="Verdana" w:hAnsi="Verdana"/>
          <w:sz w:val="20"/>
          <w:lang w:val="pt-BR"/>
        </w:rPr>
        <w:t xml:space="preserve">tema </w:t>
      </w:r>
      <w:r w:rsidRPr="002F50BD">
        <w:rPr>
          <w:rFonts w:ascii="Verdana" w:hAnsi="Verdana"/>
          <w:sz w:val="20"/>
          <w:lang w:val="pt-BR"/>
        </w:rPr>
        <w:t>do direito dos povo</w:t>
      </w:r>
      <w:r w:rsidR="004756C1" w:rsidRPr="002F50BD">
        <w:rPr>
          <w:rFonts w:ascii="Verdana" w:hAnsi="Verdana"/>
          <w:sz w:val="20"/>
          <w:lang w:val="pt-BR"/>
        </w:rPr>
        <w:t xml:space="preserve">s indígenas sobre </w:t>
      </w:r>
      <w:r w:rsidR="00385366" w:rsidRPr="002F50BD">
        <w:rPr>
          <w:rFonts w:ascii="Verdana" w:hAnsi="Verdana"/>
          <w:sz w:val="20"/>
          <w:lang w:val="pt-BR"/>
        </w:rPr>
        <w:t>seus territórios</w:t>
      </w:r>
      <w:r w:rsidR="001A0CDE" w:rsidRPr="002F50BD">
        <w:rPr>
          <w:rFonts w:ascii="Verdana" w:hAnsi="Verdana"/>
          <w:sz w:val="20"/>
          <w:lang w:val="pt-BR"/>
        </w:rPr>
        <w:t xml:space="preserve">. </w:t>
      </w:r>
      <w:r w:rsidR="00CF451D">
        <w:rPr>
          <w:rFonts w:ascii="Verdana" w:hAnsi="Verdana"/>
          <w:sz w:val="20"/>
          <w:lang w:val="pt-BR"/>
        </w:rPr>
        <w:t>Nesse sentido,</w:t>
      </w:r>
      <w:r w:rsidR="004756C1" w:rsidRPr="002F50BD">
        <w:rPr>
          <w:rFonts w:ascii="Verdana" w:hAnsi="Verdana"/>
          <w:sz w:val="20"/>
          <w:lang w:val="pt-BR"/>
        </w:rPr>
        <w:t xml:space="preserve"> </w:t>
      </w:r>
      <w:r w:rsidR="004076AD" w:rsidRPr="002F50BD">
        <w:rPr>
          <w:rFonts w:ascii="Verdana" w:hAnsi="Verdana"/>
          <w:sz w:val="20"/>
          <w:lang w:val="pt-BR"/>
        </w:rPr>
        <w:t>desenvolv</w:t>
      </w:r>
      <w:r w:rsidR="005D1589" w:rsidRPr="002F50BD">
        <w:rPr>
          <w:rFonts w:ascii="Verdana" w:hAnsi="Verdana"/>
          <w:sz w:val="20"/>
          <w:lang w:val="pt-BR"/>
        </w:rPr>
        <w:t>eram</w:t>
      </w:r>
      <w:r w:rsidRPr="002F50BD">
        <w:rPr>
          <w:rFonts w:ascii="Verdana" w:hAnsi="Verdana"/>
          <w:sz w:val="20"/>
          <w:lang w:val="pt-BR"/>
        </w:rPr>
        <w:t xml:space="preserve"> o conceito</w:t>
      </w:r>
      <w:r w:rsidR="004756C1" w:rsidRPr="002F50BD">
        <w:rPr>
          <w:rFonts w:ascii="Verdana" w:hAnsi="Verdana"/>
          <w:sz w:val="20"/>
          <w:lang w:val="pt-BR"/>
        </w:rPr>
        <w:t xml:space="preserve"> de “</w:t>
      </w:r>
      <w:r w:rsidRPr="002F50BD">
        <w:rPr>
          <w:rFonts w:ascii="Verdana" w:hAnsi="Verdana"/>
          <w:sz w:val="20"/>
          <w:lang w:val="pt-BR"/>
        </w:rPr>
        <w:t>território</w:t>
      </w:r>
      <w:r w:rsidR="004756C1" w:rsidRPr="002F50BD">
        <w:rPr>
          <w:rFonts w:ascii="Verdana" w:hAnsi="Verdana"/>
          <w:sz w:val="20"/>
          <w:lang w:val="pt-BR"/>
        </w:rPr>
        <w:t xml:space="preserve"> indígena”,</w:t>
      </w:r>
      <w:r w:rsidRPr="002F50BD">
        <w:rPr>
          <w:rFonts w:ascii="Verdana" w:hAnsi="Verdana"/>
          <w:sz w:val="20"/>
          <w:lang w:val="pt-BR"/>
        </w:rPr>
        <w:t xml:space="preserve"> o qual </w:t>
      </w:r>
      <w:r w:rsidR="004756C1" w:rsidRPr="002F50BD">
        <w:rPr>
          <w:rFonts w:ascii="Verdana" w:hAnsi="Verdana"/>
          <w:sz w:val="20"/>
          <w:lang w:val="pt-BR"/>
        </w:rPr>
        <w:t xml:space="preserve">se </w:t>
      </w:r>
      <w:r w:rsidRPr="002F50BD">
        <w:rPr>
          <w:rFonts w:ascii="Verdana" w:hAnsi="Verdana"/>
          <w:sz w:val="20"/>
          <w:lang w:val="pt-BR"/>
        </w:rPr>
        <w:t>refere</w:t>
      </w:r>
      <w:r w:rsidR="00AB454A" w:rsidRPr="002F50BD">
        <w:rPr>
          <w:rFonts w:ascii="Verdana" w:hAnsi="Verdana"/>
          <w:sz w:val="20"/>
          <w:lang w:val="pt-BR"/>
        </w:rPr>
        <w:t xml:space="preserve"> não apenas</w:t>
      </w:r>
      <w:r w:rsidR="004756C1" w:rsidRPr="002F50BD">
        <w:rPr>
          <w:rFonts w:ascii="Verdana" w:hAnsi="Verdana"/>
          <w:sz w:val="20"/>
          <w:lang w:val="pt-BR"/>
        </w:rPr>
        <w:t xml:space="preserve"> a aspectos de </w:t>
      </w:r>
      <w:r w:rsidRPr="002F50BD">
        <w:rPr>
          <w:rFonts w:ascii="Verdana" w:hAnsi="Verdana"/>
          <w:sz w:val="20"/>
          <w:lang w:val="pt-BR"/>
        </w:rPr>
        <w:t>caráter</w:t>
      </w:r>
      <w:r w:rsidR="004756C1" w:rsidRPr="002F50BD">
        <w:rPr>
          <w:rFonts w:ascii="Verdana" w:hAnsi="Verdana"/>
          <w:sz w:val="20"/>
          <w:lang w:val="pt-BR"/>
        </w:rPr>
        <w:t xml:space="preserve"> material, vinculados</w:t>
      </w:r>
      <w:r w:rsidRPr="002F50BD">
        <w:rPr>
          <w:rFonts w:ascii="Verdana" w:hAnsi="Verdana"/>
          <w:sz w:val="20"/>
          <w:lang w:val="pt-BR"/>
        </w:rPr>
        <w:t xml:space="preserve"> aos espaço</w:t>
      </w:r>
      <w:r w:rsidR="004756C1" w:rsidRPr="002F50BD">
        <w:rPr>
          <w:rFonts w:ascii="Verdana" w:hAnsi="Verdana"/>
          <w:sz w:val="20"/>
          <w:lang w:val="pt-BR"/>
        </w:rPr>
        <w:t>s físicos ancestralmente pos</w:t>
      </w:r>
      <w:r w:rsidR="005D1589" w:rsidRPr="002F50BD">
        <w:rPr>
          <w:rFonts w:ascii="Verdana" w:hAnsi="Verdana"/>
          <w:sz w:val="20"/>
          <w:lang w:val="pt-BR"/>
        </w:rPr>
        <w:t>su</w:t>
      </w:r>
      <w:r w:rsidR="004756C1" w:rsidRPr="002F50BD">
        <w:rPr>
          <w:rFonts w:ascii="Verdana" w:hAnsi="Verdana"/>
          <w:sz w:val="20"/>
          <w:lang w:val="pt-BR"/>
        </w:rPr>
        <w:t>ídos</w:t>
      </w:r>
      <w:r w:rsidRPr="002F50BD">
        <w:rPr>
          <w:rFonts w:ascii="Verdana" w:hAnsi="Verdana"/>
          <w:sz w:val="20"/>
          <w:lang w:val="pt-BR"/>
        </w:rPr>
        <w:t xml:space="preserve"> e </w:t>
      </w:r>
      <w:r w:rsidR="00EC33C7" w:rsidRPr="002F50BD">
        <w:rPr>
          <w:rFonts w:ascii="Verdana" w:hAnsi="Verdana"/>
          <w:sz w:val="20"/>
          <w:lang w:val="pt-BR"/>
        </w:rPr>
        <w:t>a</w:t>
      </w:r>
      <w:r w:rsidRPr="002F50BD">
        <w:rPr>
          <w:rFonts w:ascii="Verdana" w:hAnsi="Verdana"/>
          <w:sz w:val="20"/>
          <w:lang w:val="pt-BR"/>
        </w:rPr>
        <w:t xml:space="preserve">os </w:t>
      </w:r>
      <w:r w:rsidR="004756C1" w:rsidRPr="002F50BD">
        <w:rPr>
          <w:rFonts w:ascii="Verdana" w:hAnsi="Verdana"/>
          <w:sz w:val="20"/>
          <w:lang w:val="pt-BR"/>
        </w:rPr>
        <w:t xml:space="preserve">recursos </w:t>
      </w:r>
      <w:r w:rsidR="005D1589" w:rsidRPr="002F50BD">
        <w:rPr>
          <w:rFonts w:ascii="Verdana" w:hAnsi="Verdana"/>
          <w:sz w:val="20"/>
          <w:lang w:val="pt-BR"/>
        </w:rPr>
        <w:t xml:space="preserve">neles </w:t>
      </w:r>
      <w:r w:rsidR="005D1589" w:rsidRPr="002F50BD">
        <w:rPr>
          <w:rFonts w:ascii="Verdana" w:hAnsi="Verdana"/>
          <w:sz w:val="20"/>
          <w:lang w:val="pt-BR"/>
        </w:rPr>
        <w:lastRenderedPageBreak/>
        <w:t>existentes</w:t>
      </w:r>
      <w:r w:rsidR="004756C1" w:rsidRPr="002F50BD">
        <w:rPr>
          <w:rFonts w:ascii="Verdana" w:hAnsi="Verdana"/>
          <w:sz w:val="20"/>
          <w:lang w:val="pt-BR"/>
        </w:rPr>
        <w:t>,</w:t>
      </w:r>
      <w:r w:rsidRPr="002F50BD">
        <w:rPr>
          <w:rFonts w:ascii="Verdana" w:hAnsi="Verdana"/>
          <w:sz w:val="20"/>
          <w:lang w:val="pt-BR"/>
        </w:rPr>
        <w:t xml:space="preserve"> mas também</w:t>
      </w:r>
      <w:r w:rsidR="004756C1" w:rsidRPr="002F50BD">
        <w:rPr>
          <w:rFonts w:ascii="Verdana" w:hAnsi="Verdana"/>
          <w:sz w:val="20"/>
          <w:lang w:val="pt-BR"/>
        </w:rPr>
        <w:t xml:space="preserve"> a </w:t>
      </w:r>
      <w:r w:rsidR="00DC0F25" w:rsidRPr="002F50BD">
        <w:rPr>
          <w:rFonts w:ascii="Verdana" w:hAnsi="Verdana"/>
          <w:sz w:val="20"/>
          <w:lang w:val="pt-BR"/>
        </w:rPr>
        <w:t>componente</w:t>
      </w:r>
      <w:r w:rsidR="004756C1" w:rsidRPr="002F50BD">
        <w:rPr>
          <w:rFonts w:ascii="Verdana" w:hAnsi="Verdana"/>
          <w:sz w:val="20"/>
          <w:lang w:val="pt-BR"/>
        </w:rPr>
        <w:t xml:space="preserve">s </w:t>
      </w:r>
      <w:r w:rsidRPr="002F50BD">
        <w:rPr>
          <w:rFonts w:ascii="Verdana" w:hAnsi="Verdana"/>
          <w:sz w:val="20"/>
          <w:lang w:val="pt-BR"/>
        </w:rPr>
        <w:t>i</w:t>
      </w:r>
      <w:r w:rsidR="004076AD" w:rsidRPr="002F50BD">
        <w:rPr>
          <w:rFonts w:ascii="Verdana" w:hAnsi="Verdana"/>
          <w:sz w:val="20"/>
          <w:lang w:val="pt-BR"/>
        </w:rPr>
        <w:t>materiais</w:t>
      </w:r>
      <w:r w:rsidR="004756C1" w:rsidRPr="002F50BD">
        <w:rPr>
          <w:rFonts w:ascii="Verdana" w:hAnsi="Verdana"/>
          <w:sz w:val="20"/>
          <w:lang w:val="pt-BR"/>
        </w:rPr>
        <w:t xml:space="preserve">, de </w:t>
      </w:r>
      <w:r w:rsidRPr="002F50BD">
        <w:rPr>
          <w:rFonts w:ascii="Verdana" w:hAnsi="Verdana"/>
          <w:sz w:val="20"/>
          <w:lang w:val="pt-BR"/>
        </w:rPr>
        <w:t>caráter</w:t>
      </w:r>
      <w:r w:rsidR="004756C1" w:rsidRPr="002F50BD">
        <w:rPr>
          <w:rFonts w:ascii="Verdana" w:hAnsi="Verdana"/>
          <w:sz w:val="20"/>
          <w:lang w:val="pt-BR"/>
        </w:rPr>
        <w:t xml:space="preserve"> político, simbólico, cultural.</w:t>
      </w:r>
      <w:r w:rsidR="00FE08B7">
        <w:rPr>
          <w:rFonts w:ascii="Verdana" w:hAnsi="Verdana"/>
          <w:sz w:val="20"/>
          <w:lang w:val="pt-BR"/>
        </w:rPr>
        <w:t xml:space="preserve"> </w:t>
      </w:r>
      <w:r w:rsidR="005D1589" w:rsidRPr="002F50BD">
        <w:rPr>
          <w:rFonts w:ascii="Verdana" w:hAnsi="Verdana"/>
          <w:sz w:val="20"/>
          <w:lang w:val="pt-BR"/>
        </w:rPr>
        <w:t>Além disso</w:t>
      </w:r>
      <w:r w:rsidR="004756C1" w:rsidRPr="002F50BD">
        <w:rPr>
          <w:rFonts w:ascii="Verdana" w:hAnsi="Verdana"/>
          <w:sz w:val="20"/>
          <w:lang w:val="pt-BR"/>
        </w:rPr>
        <w:t>, re</w:t>
      </w:r>
      <w:r w:rsidRPr="002F50BD">
        <w:rPr>
          <w:rFonts w:ascii="Verdana" w:hAnsi="Verdana"/>
          <w:sz w:val="20"/>
          <w:lang w:val="pt-BR"/>
        </w:rPr>
        <w:t>conhec</w:t>
      </w:r>
      <w:r w:rsidR="005D1589" w:rsidRPr="002F50BD">
        <w:rPr>
          <w:rFonts w:ascii="Verdana" w:hAnsi="Verdana"/>
          <w:sz w:val="20"/>
          <w:lang w:val="pt-BR"/>
        </w:rPr>
        <w:t>eram</w:t>
      </w:r>
      <w:r w:rsidR="004756C1" w:rsidRPr="002F50BD">
        <w:rPr>
          <w:rFonts w:ascii="Verdana" w:hAnsi="Verdana"/>
          <w:sz w:val="20"/>
          <w:lang w:val="pt-BR"/>
        </w:rPr>
        <w:t xml:space="preserve"> que</w:t>
      </w:r>
      <w:r w:rsidRPr="002F50BD">
        <w:rPr>
          <w:rFonts w:ascii="Verdana" w:hAnsi="Verdana"/>
          <w:sz w:val="20"/>
          <w:lang w:val="pt-BR"/>
        </w:rPr>
        <w:t xml:space="preserve"> a </w:t>
      </w:r>
      <w:r w:rsidR="004756C1" w:rsidRPr="002F50BD">
        <w:rPr>
          <w:rFonts w:ascii="Verdana" w:hAnsi="Verdana"/>
          <w:sz w:val="20"/>
          <w:lang w:val="pt-BR"/>
        </w:rPr>
        <w:t>ocupa</w:t>
      </w:r>
      <w:r w:rsidRPr="002F50BD">
        <w:rPr>
          <w:rFonts w:ascii="Verdana" w:hAnsi="Verdana"/>
          <w:sz w:val="20"/>
          <w:lang w:val="pt-BR"/>
        </w:rPr>
        <w:t xml:space="preserve">ção e o </w:t>
      </w:r>
      <w:r w:rsidR="004756C1" w:rsidRPr="002F50BD">
        <w:rPr>
          <w:rFonts w:ascii="Verdana" w:hAnsi="Verdana"/>
          <w:sz w:val="20"/>
          <w:lang w:val="pt-BR"/>
        </w:rPr>
        <w:t>uso ancestral indígena sobre</w:t>
      </w:r>
      <w:r w:rsidRPr="002F50BD">
        <w:rPr>
          <w:rFonts w:ascii="Verdana" w:hAnsi="Verdana"/>
          <w:sz w:val="20"/>
          <w:lang w:val="pt-BR"/>
        </w:rPr>
        <w:t xml:space="preserve"> as terra</w:t>
      </w:r>
      <w:r w:rsidR="004756C1" w:rsidRPr="002F50BD">
        <w:rPr>
          <w:rFonts w:ascii="Verdana" w:hAnsi="Verdana"/>
          <w:sz w:val="20"/>
          <w:lang w:val="pt-BR"/>
        </w:rPr>
        <w:t xml:space="preserve">s, </w:t>
      </w:r>
      <w:r w:rsidRPr="002F50BD">
        <w:rPr>
          <w:rFonts w:ascii="Verdana" w:hAnsi="Verdana"/>
          <w:sz w:val="20"/>
          <w:lang w:val="pt-BR"/>
        </w:rPr>
        <w:t>território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recursos </w:t>
      </w:r>
      <w:r w:rsidR="005D1589" w:rsidRPr="002F50BD">
        <w:rPr>
          <w:rFonts w:ascii="Verdana" w:hAnsi="Verdana"/>
          <w:sz w:val="20"/>
          <w:lang w:val="pt-BR"/>
        </w:rPr>
        <w:t>naturais</w:t>
      </w:r>
      <w:r w:rsidR="004756C1" w:rsidRPr="002F50BD">
        <w:rPr>
          <w:rFonts w:ascii="Verdana" w:hAnsi="Verdana"/>
          <w:sz w:val="20"/>
          <w:lang w:val="pt-BR"/>
        </w:rPr>
        <w:t xml:space="preserve"> d</w:t>
      </w:r>
      <w:r w:rsidR="00060B3A" w:rsidRPr="002F50BD">
        <w:rPr>
          <w:rFonts w:ascii="Verdana" w:hAnsi="Verdana"/>
          <w:sz w:val="20"/>
          <w:lang w:val="pt-BR"/>
        </w:rPr>
        <w:t>á</w:t>
      </w:r>
      <w:r w:rsidR="004756C1" w:rsidRPr="002F50BD">
        <w:rPr>
          <w:rFonts w:ascii="Verdana" w:hAnsi="Verdana"/>
          <w:sz w:val="20"/>
          <w:lang w:val="pt-BR"/>
        </w:rPr>
        <w:t xml:space="preserve"> lugar a</w:t>
      </w:r>
      <w:r w:rsidRPr="002F50BD">
        <w:rPr>
          <w:rFonts w:ascii="Verdana" w:hAnsi="Verdana"/>
          <w:sz w:val="20"/>
          <w:lang w:val="pt-BR"/>
        </w:rPr>
        <w:t xml:space="preserve"> um </w:t>
      </w:r>
      <w:r w:rsidR="004756C1" w:rsidRPr="002F50BD">
        <w:rPr>
          <w:rFonts w:ascii="Verdana" w:hAnsi="Verdana"/>
          <w:sz w:val="20"/>
          <w:lang w:val="pt-BR"/>
        </w:rPr>
        <w:t xml:space="preserve">“título </w:t>
      </w:r>
      <w:r w:rsidR="005D1589" w:rsidRPr="002F50BD">
        <w:rPr>
          <w:rFonts w:ascii="Verdana" w:hAnsi="Verdana"/>
          <w:sz w:val="20"/>
          <w:lang w:val="pt-BR"/>
        </w:rPr>
        <w:t>originário</w:t>
      </w:r>
      <w:r w:rsidR="004756C1" w:rsidRPr="002F50BD">
        <w:rPr>
          <w:rFonts w:ascii="Verdana" w:hAnsi="Verdana"/>
          <w:sz w:val="20"/>
          <w:lang w:val="pt-BR"/>
        </w:rPr>
        <w:t>” indígena sobre</w:t>
      </w:r>
      <w:r w:rsidRPr="002F50BD">
        <w:rPr>
          <w:rFonts w:ascii="Verdana" w:hAnsi="Verdana"/>
          <w:sz w:val="20"/>
          <w:lang w:val="pt-BR"/>
        </w:rPr>
        <w:t xml:space="preserve"> os mesm</w:t>
      </w:r>
      <w:r w:rsidR="004756C1" w:rsidRPr="002F50BD">
        <w:rPr>
          <w:rFonts w:ascii="Verdana" w:hAnsi="Verdana"/>
          <w:sz w:val="20"/>
          <w:lang w:val="pt-BR"/>
        </w:rPr>
        <w:t>os</w:t>
      </w:r>
      <w:r w:rsidR="005D1589" w:rsidRPr="002F50BD">
        <w:rPr>
          <w:rFonts w:ascii="Verdana" w:hAnsi="Verdana"/>
          <w:sz w:val="20"/>
          <w:lang w:val="pt-BR"/>
        </w:rPr>
        <w:t xml:space="preserve">, </w:t>
      </w:r>
      <w:r w:rsidR="00060B3A" w:rsidRPr="002F50BD">
        <w:rPr>
          <w:rFonts w:ascii="Verdana" w:hAnsi="Verdana"/>
          <w:sz w:val="20"/>
          <w:lang w:val="pt-BR"/>
        </w:rPr>
        <w:t xml:space="preserve">que </w:t>
      </w:r>
      <w:r w:rsidRPr="002F50BD">
        <w:rPr>
          <w:rFonts w:ascii="Verdana" w:hAnsi="Verdana"/>
          <w:sz w:val="20"/>
          <w:lang w:val="pt-BR"/>
        </w:rPr>
        <w:t xml:space="preserve">é </w:t>
      </w:r>
      <w:r w:rsidR="004756C1" w:rsidRPr="002F50BD">
        <w:rPr>
          <w:rFonts w:ascii="Verdana" w:hAnsi="Verdana"/>
          <w:sz w:val="20"/>
          <w:lang w:val="pt-BR"/>
        </w:rPr>
        <w:t>anterior</w:t>
      </w:r>
      <w:r w:rsidRPr="002F50BD">
        <w:rPr>
          <w:rFonts w:ascii="Verdana" w:hAnsi="Verdana"/>
          <w:sz w:val="20"/>
          <w:lang w:val="pt-BR"/>
        </w:rPr>
        <w:t xml:space="preserve"> ao dos </w:t>
      </w:r>
      <w:r w:rsidR="004756C1" w:rsidRPr="002F50BD">
        <w:rPr>
          <w:rFonts w:ascii="Verdana" w:hAnsi="Verdana"/>
          <w:sz w:val="20"/>
          <w:lang w:val="pt-BR"/>
        </w:rPr>
        <w:t>Estados</w:t>
      </w:r>
      <w:r w:rsidRPr="002F50BD">
        <w:rPr>
          <w:rFonts w:ascii="Verdana" w:hAnsi="Verdana"/>
          <w:sz w:val="20"/>
          <w:lang w:val="pt-BR"/>
        </w:rPr>
        <w:t xml:space="preserve"> e aos processo</w:t>
      </w:r>
      <w:r w:rsidR="004756C1" w:rsidRPr="002F50BD">
        <w:rPr>
          <w:rFonts w:ascii="Verdana" w:hAnsi="Verdana"/>
          <w:sz w:val="20"/>
          <w:lang w:val="pt-BR"/>
        </w:rPr>
        <w:t>s de coloniza</w:t>
      </w:r>
      <w:r w:rsidRPr="002F50BD">
        <w:rPr>
          <w:rFonts w:ascii="Verdana" w:hAnsi="Verdana"/>
          <w:sz w:val="20"/>
          <w:lang w:val="pt-BR"/>
        </w:rPr>
        <w:t xml:space="preserve">ção e </w:t>
      </w:r>
      <w:r w:rsidR="004756C1" w:rsidRPr="002F50BD">
        <w:rPr>
          <w:rFonts w:ascii="Verdana" w:hAnsi="Verdana"/>
          <w:sz w:val="20"/>
          <w:lang w:val="pt-BR"/>
        </w:rPr>
        <w:t xml:space="preserve">que, por </w:t>
      </w:r>
      <w:r w:rsidR="005D1589" w:rsidRPr="002F50BD">
        <w:rPr>
          <w:rFonts w:ascii="Verdana" w:hAnsi="Verdana"/>
          <w:sz w:val="20"/>
          <w:lang w:val="pt-BR"/>
        </w:rPr>
        <w:t>isso</w:t>
      </w:r>
      <w:r w:rsidR="004756C1" w:rsidRPr="002F50BD">
        <w:rPr>
          <w:rFonts w:ascii="Verdana" w:hAnsi="Verdana"/>
          <w:sz w:val="20"/>
          <w:lang w:val="pt-BR"/>
        </w:rPr>
        <w:t xml:space="preserve"> </w:t>
      </w:r>
      <w:r w:rsidRPr="002F50BD">
        <w:rPr>
          <w:rFonts w:ascii="Verdana" w:hAnsi="Verdana"/>
          <w:sz w:val="20"/>
          <w:lang w:val="pt-BR"/>
        </w:rPr>
        <w:t>mesm</w:t>
      </w:r>
      <w:r w:rsidR="004756C1" w:rsidRPr="002F50BD">
        <w:rPr>
          <w:rFonts w:ascii="Verdana" w:hAnsi="Verdana"/>
          <w:sz w:val="20"/>
          <w:lang w:val="pt-BR"/>
        </w:rPr>
        <w:t xml:space="preserve">o, </w:t>
      </w:r>
      <w:r w:rsidR="00AB454A" w:rsidRPr="002F50BD">
        <w:rPr>
          <w:rFonts w:ascii="Verdana" w:hAnsi="Verdana"/>
          <w:sz w:val="20"/>
          <w:lang w:val="pt-BR"/>
        </w:rPr>
        <w:t>não pode</w:t>
      </w:r>
      <w:r w:rsidR="004756C1" w:rsidRPr="002F50BD">
        <w:rPr>
          <w:rFonts w:ascii="Verdana" w:hAnsi="Verdana"/>
          <w:sz w:val="20"/>
          <w:lang w:val="pt-BR"/>
        </w:rPr>
        <w:t xml:space="preserve"> ser extin</w:t>
      </w:r>
      <w:r w:rsidR="005D1589" w:rsidRPr="002F50BD">
        <w:rPr>
          <w:rFonts w:ascii="Verdana" w:hAnsi="Verdana"/>
          <w:sz w:val="20"/>
          <w:lang w:val="pt-BR"/>
        </w:rPr>
        <w:t>to</w:t>
      </w:r>
      <w:r w:rsidR="004756C1" w:rsidRPr="002F50BD">
        <w:rPr>
          <w:rFonts w:ascii="Verdana" w:hAnsi="Verdana"/>
          <w:sz w:val="20"/>
          <w:lang w:val="pt-BR"/>
        </w:rPr>
        <w:t xml:space="preserve"> unilateralmente</w:t>
      </w:r>
      <w:r w:rsidRPr="002F50BD">
        <w:rPr>
          <w:rFonts w:ascii="Verdana" w:hAnsi="Verdana"/>
          <w:sz w:val="20"/>
          <w:lang w:val="pt-BR"/>
        </w:rPr>
        <w:t xml:space="preserve"> sem o consentimento dos </w:t>
      </w:r>
      <w:r w:rsidR="004756C1" w:rsidRPr="002F50BD">
        <w:rPr>
          <w:rFonts w:ascii="Verdana" w:hAnsi="Verdana"/>
          <w:sz w:val="20"/>
          <w:lang w:val="pt-BR"/>
        </w:rPr>
        <w:t>indígenas</w:t>
      </w:r>
      <w:r w:rsidR="001A0CDE" w:rsidRPr="002F50BD">
        <w:rPr>
          <w:rFonts w:ascii="Verdana" w:hAnsi="Verdana"/>
          <w:sz w:val="20"/>
          <w:lang w:val="pt-BR"/>
        </w:rPr>
        <w:t>. Est</w:t>
      </w:r>
      <w:r w:rsidR="004756C1" w:rsidRPr="002F50BD">
        <w:rPr>
          <w:rFonts w:ascii="Verdana" w:hAnsi="Verdana"/>
          <w:sz w:val="20"/>
          <w:lang w:val="pt-BR"/>
        </w:rPr>
        <w:t xml:space="preserve">e </w:t>
      </w:r>
      <w:r w:rsidRPr="002F50BD">
        <w:rPr>
          <w:rFonts w:ascii="Verdana" w:hAnsi="Verdana"/>
          <w:sz w:val="20"/>
          <w:lang w:val="pt-BR"/>
        </w:rPr>
        <w:t>conceito</w:t>
      </w:r>
      <w:r w:rsidR="004756C1" w:rsidRPr="002F50BD">
        <w:rPr>
          <w:rFonts w:ascii="Verdana" w:hAnsi="Verdana"/>
          <w:sz w:val="20"/>
          <w:lang w:val="pt-BR"/>
        </w:rPr>
        <w:t xml:space="preserve"> </w:t>
      </w:r>
      <w:r w:rsidRPr="002F50BD">
        <w:rPr>
          <w:rFonts w:ascii="Verdana" w:hAnsi="Verdana"/>
          <w:sz w:val="20"/>
          <w:lang w:val="pt-BR"/>
        </w:rPr>
        <w:t xml:space="preserve">tem </w:t>
      </w:r>
      <w:r w:rsidR="004756C1" w:rsidRPr="002F50BD">
        <w:rPr>
          <w:rFonts w:ascii="Verdana" w:hAnsi="Verdana"/>
          <w:sz w:val="20"/>
          <w:lang w:val="pt-BR"/>
        </w:rPr>
        <w:t>importantes implica</w:t>
      </w:r>
      <w:r w:rsidR="005D1589" w:rsidRPr="002F50BD">
        <w:rPr>
          <w:rFonts w:ascii="Verdana" w:hAnsi="Verdana"/>
          <w:sz w:val="20"/>
          <w:lang w:val="pt-BR"/>
        </w:rPr>
        <w:t>ções</w:t>
      </w:r>
      <w:r w:rsidRPr="002F50BD">
        <w:rPr>
          <w:rFonts w:ascii="Verdana" w:hAnsi="Verdana"/>
          <w:sz w:val="20"/>
          <w:lang w:val="pt-BR"/>
        </w:rPr>
        <w:t xml:space="preserve"> no direito</w:t>
      </w:r>
      <w:r w:rsidR="004756C1" w:rsidRPr="002F50BD">
        <w:rPr>
          <w:rFonts w:ascii="Verdana" w:hAnsi="Verdana"/>
          <w:sz w:val="20"/>
          <w:lang w:val="pt-BR"/>
        </w:rPr>
        <w:t xml:space="preserve"> comparado, po</w:t>
      </w:r>
      <w:r w:rsidR="005D1589" w:rsidRPr="002F50BD">
        <w:rPr>
          <w:rFonts w:ascii="Verdana" w:hAnsi="Verdana"/>
          <w:sz w:val="20"/>
          <w:lang w:val="pt-BR"/>
        </w:rPr>
        <w:t>s</w:t>
      </w:r>
      <w:r w:rsidR="004756C1" w:rsidRPr="002F50BD">
        <w:rPr>
          <w:rFonts w:ascii="Verdana" w:hAnsi="Verdana"/>
          <w:sz w:val="20"/>
          <w:lang w:val="pt-BR"/>
        </w:rPr>
        <w:t>sibilitando</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 xml:space="preserve">conhecimento e </w:t>
      </w:r>
      <w:r w:rsidR="005D1589" w:rsidRPr="002F50BD">
        <w:rPr>
          <w:rFonts w:ascii="Verdana" w:hAnsi="Verdana"/>
          <w:sz w:val="20"/>
          <w:lang w:val="pt-BR"/>
        </w:rPr>
        <w:t xml:space="preserve">a </w:t>
      </w:r>
      <w:r w:rsidR="004756C1" w:rsidRPr="002F50BD">
        <w:rPr>
          <w:rFonts w:ascii="Verdana" w:hAnsi="Verdana"/>
          <w:sz w:val="20"/>
          <w:lang w:val="pt-BR"/>
        </w:rPr>
        <w:t>demarca</w:t>
      </w:r>
      <w:r w:rsidRPr="002F50BD">
        <w:rPr>
          <w:rFonts w:ascii="Verdana" w:hAnsi="Verdana"/>
          <w:sz w:val="20"/>
          <w:lang w:val="pt-BR"/>
        </w:rPr>
        <w:t xml:space="preserve">ção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 xml:space="preserve">Estados de </w:t>
      </w:r>
      <w:r w:rsidRPr="002F50BD">
        <w:rPr>
          <w:rFonts w:ascii="Verdana" w:hAnsi="Verdana"/>
          <w:sz w:val="20"/>
          <w:lang w:val="pt-BR"/>
        </w:rPr>
        <w:t>terra</w:t>
      </w:r>
      <w:r w:rsidR="004756C1" w:rsidRPr="002F50BD">
        <w:rPr>
          <w:rFonts w:ascii="Verdana" w:hAnsi="Verdana"/>
          <w:sz w:val="20"/>
          <w:lang w:val="pt-BR"/>
        </w:rPr>
        <w:t xml:space="preserve">s, </w:t>
      </w:r>
      <w:r w:rsidRPr="002F50BD">
        <w:rPr>
          <w:rFonts w:ascii="Verdana" w:hAnsi="Verdana"/>
          <w:sz w:val="20"/>
          <w:lang w:val="pt-BR"/>
        </w:rPr>
        <w:t>território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recursos</w:t>
      </w:r>
      <w:r w:rsidRPr="002F50BD">
        <w:rPr>
          <w:rFonts w:ascii="Verdana" w:hAnsi="Verdana"/>
          <w:sz w:val="20"/>
          <w:lang w:val="pt-BR"/>
        </w:rPr>
        <w:t xml:space="preserve"> </w:t>
      </w:r>
      <w:r w:rsidR="00EC33C7" w:rsidRPr="002F50BD">
        <w:rPr>
          <w:rFonts w:ascii="Verdana" w:hAnsi="Verdana"/>
          <w:sz w:val="20"/>
          <w:lang w:val="pt-BR"/>
        </w:rPr>
        <w:t>d</w:t>
      </w:r>
      <w:r w:rsidRPr="002F50BD">
        <w:rPr>
          <w:rFonts w:ascii="Verdana" w:hAnsi="Verdana"/>
          <w:sz w:val="20"/>
          <w:lang w:val="pt-BR"/>
        </w:rPr>
        <w:t>os povo</w:t>
      </w:r>
      <w:r w:rsidR="004756C1" w:rsidRPr="002F50BD">
        <w:rPr>
          <w:rFonts w:ascii="Verdana" w:hAnsi="Verdana"/>
          <w:sz w:val="20"/>
          <w:lang w:val="pt-BR"/>
        </w:rPr>
        <w:t>s indígenas,</w:t>
      </w:r>
      <w:r w:rsidRPr="002F50BD">
        <w:rPr>
          <w:rFonts w:ascii="Verdana" w:hAnsi="Verdana"/>
          <w:sz w:val="20"/>
          <w:lang w:val="pt-BR"/>
        </w:rPr>
        <w:t xml:space="preserve"> ainda</w:t>
      </w:r>
      <w:r w:rsidR="004756C1" w:rsidRPr="002F50BD">
        <w:rPr>
          <w:rFonts w:ascii="Verdana" w:hAnsi="Verdana"/>
          <w:sz w:val="20"/>
          <w:lang w:val="pt-BR"/>
        </w:rPr>
        <w:t xml:space="preserve"> </w:t>
      </w:r>
      <w:r w:rsidR="00060B3A" w:rsidRPr="002F50BD">
        <w:rPr>
          <w:rFonts w:ascii="Verdana" w:hAnsi="Verdana"/>
          <w:sz w:val="20"/>
          <w:lang w:val="pt-BR"/>
        </w:rPr>
        <w:t>quando exist</w:t>
      </w:r>
      <w:r w:rsidR="00F705D1" w:rsidRPr="002F50BD">
        <w:rPr>
          <w:rFonts w:ascii="Verdana" w:hAnsi="Verdana"/>
          <w:sz w:val="20"/>
          <w:lang w:val="pt-BR"/>
        </w:rPr>
        <w:t>a</w:t>
      </w:r>
      <w:r w:rsidR="00060B3A" w:rsidRPr="002F50BD">
        <w:rPr>
          <w:rFonts w:ascii="Verdana" w:hAnsi="Verdana"/>
          <w:sz w:val="20"/>
          <w:lang w:val="pt-BR"/>
        </w:rPr>
        <w:t xml:space="preserve">m </w:t>
      </w:r>
      <w:r w:rsidRPr="002F50BD">
        <w:rPr>
          <w:rFonts w:ascii="Verdana" w:hAnsi="Verdana"/>
          <w:sz w:val="20"/>
          <w:lang w:val="pt-BR"/>
        </w:rPr>
        <w:t>outros</w:t>
      </w:r>
      <w:r w:rsidR="004756C1" w:rsidRPr="002F50BD">
        <w:rPr>
          <w:rFonts w:ascii="Verdana" w:hAnsi="Verdana"/>
          <w:sz w:val="20"/>
          <w:lang w:val="pt-BR"/>
        </w:rPr>
        <w:t xml:space="preserve"> títu</w:t>
      </w:r>
      <w:r w:rsidR="00060B3A" w:rsidRPr="002F50BD">
        <w:rPr>
          <w:rFonts w:ascii="Verdana" w:hAnsi="Verdana"/>
          <w:sz w:val="20"/>
          <w:lang w:val="pt-BR"/>
        </w:rPr>
        <w:t>los</w:t>
      </w:r>
      <w:r w:rsidR="00AB6727" w:rsidRPr="002F50BD">
        <w:rPr>
          <w:rFonts w:ascii="Verdana" w:hAnsi="Verdana"/>
          <w:sz w:val="20"/>
          <w:lang w:val="pt-BR"/>
        </w:rPr>
        <w:t xml:space="preserve"> </w:t>
      </w:r>
      <w:r w:rsidR="005D1589" w:rsidRPr="002F50BD">
        <w:rPr>
          <w:rFonts w:ascii="Verdana" w:hAnsi="Verdana"/>
          <w:sz w:val="20"/>
          <w:lang w:val="pt-BR"/>
        </w:rPr>
        <w:t xml:space="preserve">concedidos </w:t>
      </w:r>
      <w:r w:rsidR="00F705D1" w:rsidRPr="002F50BD">
        <w:rPr>
          <w:rFonts w:ascii="Verdana" w:hAnsi="Verdana"/>
          <w:sz w:val="20"/>
          <w:lang w:val="pt-BR"/>
        </w:rPr>
        <w:t>em relação à</w:t>
      </w:r>
      <w:r w:rsidRPr="002F50BD">
        <w:rPr>
          <w:rFonts w:ascii="Verdana" w:hAnsi="Verdana"/>
          <w:sz w:val="20"/>
          <w:lang w:val="pt-BR"/>
        </w:rPr>
        <w:t>queles</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A Constituição</w:t>
      </w:r>
      <w:r w:rsidR="004756C1" w:rsidRPr="002F50BD">
        <w:rPr>
          <w:rFonts w:ascii="Verdana" w:hAnsi="Verdana"/>
          <w:sz w:val="20"/>
          <w:lang w:val="pt-BR"/>
        </w:rPr>
        <w:t xml:space="preserve"> Política </w:t>
      </w:r>
      <w:r w:rsidRPr="002F50BD">
        <w:rPr>
          <w:rFonts w:ascii="Verdana" w:hAnsi="Verdana"/>
          <w:sz w:val="20"/>
          <w:lang w:val="pt-BR"/>
        </w:rPr>
        <w:t>do Paraguai</w:t>
      </w:r>
      <w:r w:rsidR="004756C1" w:rsidRPr="002F50BD">
        <w:rPr>
          <w:rFonts w:ascii="Verdana" w:hAnsi="Verdana"/>
          <w:sz w:val="20"/>
          <w:lang w:val="pt-BR"/>
        </w:rPr>
        <w:t xml:space="preserve"> de </w:t>
      </w:r>
      <w:r w:rsidR="00063B47" w:rsidRPr="002F50BD">
        <w:rPr>
          <w:rFonts w:ascii="Verdana" w:hAnsi="Verdana"/>
          <w:sz w:val="20"/>
          <w:lang w:val="pt-BR"/>
        </w:rPr>
        <w:t>1992</w:t>
      </w:r>
      <w:r w:rsidR="004756C1" w:rsidRPr="002F50BD">
        <w:rPr>
          <w:rFonts w:ascii="Verdana" w:hAnsi="Verdana"/>
          <w:sz w:val="20"/>
          <w:lang w:val="pt-BR"/>
        </w:rPr>
        <w:t xml:space="preserve"> dedica s</w:t>
      </w:r>
      <w:r w:rsidR="005D1589" w:rsidRPr="002F50BD">
        <w:rPr>
          <w:rFonts w:ascii="Verdana" w:hAnsi="Verdana"/>
          <w:sz w:val="20"/>
          <w:lang w:val="pt-BR"/>
        </w:rPr>
        <w:t>e</w:t>
      </w:r>
      <w:r w:rsidR="004756C1" w:rsidRPr="002F50BD">
        <w:rPr>
          <w:rFonts w:ascii="Verdana" w:hAnsi="Verdana"/>
          <w:sz w:val="20"/>
          <w:lang w:val="pt-BR"/>
        </w:rPr>
        <w:t>u Capítulo V</w:t>
      </w:r>
      <w:r w:rsidRPr="002F50BD">
        <w:rPr>
          <w:rFonts w:ascii="Verdana" w:hAnsi="Verdana"/>
          <w:sz w:val="20"/>
          <w:lang w:val="pt-BR"/>
        </w:rPr>
        <w:t xml:space="preserve"> aos Povo</w:t>
      </w:r>
      <w:r w:rsidR="004756C1" w:rsidRPr="002F50BD">
        <w:rPr>
          <w:rFonts w:ascii="Verdana" w:hAnsi="Verdana"/>
          <w:sz w:val="20"/>
          <w:lang w:val="pt-BR"/>
        </w:rPr>
        <w:t>s Indígenas</w:t>
      </w:r>
      <w:r w:rsidR="001A0CDE" w:rsidRPr="002F50BD">
        <w:rPr>
          <w:rFonts w:ascii="Verdana" w:hAnsi="Verdana"/>
          <w:sz w:val="20"/>
          <w:lang w:val="pt-BR"/>
        </w:rPr>
        <w:t>. Est</w:t>
      </w:r>
      <w:r w:rsidR="004756C1" w:rsidRPr="002F50BD">
        <w:rPr>
          <w:rFonts w:ascii="Verdana" w:hAnsi="Verdana"/>
          <w:sz w:val="20"/>
          <w:lang w:val="pt-BR"/>
        </w:rPr>
        <w:t>as normas</w:t>
      </w:r>
      <w:r w:rsidRPr="002F50BD">
        <w:rPr>
          <w:rFonts w:ascii="Verdana" w:hAnsi="Verdana"/>
          <w:sz w:val="20"/>
          <w:lang w:val="pt-BR"/>
        </w:rPr>
        <w:t xml:space="preserve"> são mais favoráveis em vários</w:t>
      </w:r>
      <w:r w:rsidR="004756C1" w:rsidRPr="002F50BD">
        <w:rPr>
          <w:rFonts w:ascii="Verdana" w:hAnsi="Verdana"/>
          <w:sz w:val="20"/>
          <w:lang w:val="pt-BR"/>
        </w:rPr>
        <w:t xml:space="preserve"> aspectos para</w:t>
      </w:r>
      <w:r w:rsidRPr="002F50BD">
        <w:rPr>
          <w:rFonts w:ascii="Verdana" w:hAnsi="Verdana"/>
          <w:sz w:val="20"/>
          <w:lang w:val="pt-BR"/>
        </w:rPr>
        <w:t xml:space="preserve"> os direito</w:t>
      </w:r>
      <w:r w:rsidR="004756C1" w:rsidRPr="002F50BD">
        <w:rPr>
          <w:rFonts w:ascii="Verdana" w:hAnsi="Verdana"/>
          <w:sz w:val="20"/>
          <w:lang w:val="pt-BR"/>
        </w:rPr>
        <w:t>s</w:t>
      </w:r>
      <w:r w:rsidRPr="002F50BD">
        <w:rPr>
          <w:rFonts w:ascii="Verdana" w:hAnsi="Verdana"/>
          <w:sz w:val="20"/>
          <w:lang w:val="pt-BR"/>
        </w:rPr>
        <w:t xml:space="preserve"> dos povo</w:t>
      </w:r>
      <w:r w:rsidR="004756C1" w:rsidRPr="002F50BD">
        <w:rPr>
          <w:rFonts w:ascii="Verdana" w:hAnsi="Verdana"/>
          <w:sz w:val="20"/>
          <w:lang w:val="pt-BR"/>
        </w:rPr>
        <w:t xml:space="preserve">s indígenas sobre </w:t>
      </w:r>
      <w:r w:rsidR="00A50140" w:rsidRPr="002F50BD">
        <w:rPr>
          <w:rFonts w:ascii="Verdana" w:hAnsi="Verdana"/>
          <w:sz w:val="20"/>
          <w:lang w:val="pt-BR"/>
        </w:rPr>
        <w:t>suas terras</w:t>
      </w:r>
      <w:r w:rsidR="004756C1" w:rsidRPr="002F50BD">
        <w:rPr>
          <w:rFonts w:ascii="Verdana" w:hAnsi="Verdana"/>
          <w:sz w:val="20"/>
          <w:lang w:val="pt-BR"/>
        </w:rPr>
        <w:t xml:space="preserve">, </w:t>
      </w:r>
      <w:r w:rsidRPr="002F50BD">
        <w:rPr>
          <w:rFonts w:ascii="Verdana" w:hAnsi="Verdana"/>
          <w:sz w:val="20"/>
          <w:lang w:val="pt-BR"/>
        </w:rPr>
        <w:t>território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recursos </w:t>
      </w:r>
      <w:r w:rsidR="005D1589" w:rsidRPr="002F50BD">
        <w:rPr>
          <w:rFonts w:ascii="Verdana" w:hAnsi="Verdana"/>
          <w:sz w:val="20"/>
          <w:lang w:val="pt-BR"/>
        </w:rPr>
        <w:t>naturais</w:t>
      </w:r>
      <w:r w:rsidR="004756C1" w:rsidRPr="002F50BD">
        <w:rPr>
          <w:rFonts w:ascii="Verdana" w:hAnsi="Verdana"/>
          <w:sz w:val="20"/>
          <w:lang w:val="pt-BR"/>
        </w:rPr>
        <w:t xml:space="preserve"> </w:t>
      </w:r>
      <w:r w:rsidR="00F705D1" w:rsidRPr="002F50BD">
        <w:rPr>
          <w:rFonts w:ascii="Verdana" w:hAnsi="Verdana"/>
          <w:sz w:val="20"/>
          <w:lang w:val="pt-BR"/>
        </w:rPr>
        <w:t xml:space="preserve">do </w:t>
      </w:r>
      <w:r w:rsidR="004756C1" w:rsidRPr="002F50BD">
        <w:rPr>
          <w:rFonts w:ascii="Verdana" w:hAnsi="Verdana"/>
          <w:sz w:val="20"/>
          <w:lang w:val="pt-BR"/>
        </w:rPr>
        <w:t>que</w:t>
      </w:r>
      <w:r w:rsidRPr="002F50BD">
        <w:rPr>
          <w:rFonts w:ascii="Verdana" w:hAnsi="Verdana"/>
          <w:sz w:val="20"/>
          <w:lang w:val="pt-BR"/>
        </w:rPr>
        <w:t xml:space="preserve"> os </w:t>
      </w:r>
      <w:r w:rsidR="004756C1" w:rsidRPr="002F50BD">
        <w:rPr>
          <w:rFonts w:ascii="Verdana" w:hAnsi="Verdana"/>
          <w:sz w:val="20"/>
          <w:lang w:val="pt-BR"/>
        </w:rPr>
        <w:t xml:space="preserve">instrumentos </w:t>
      </w:r>
      <w:r w:rsidRPr="002F50BD">
        <w:rPr>
          <w:rFonts w:ascii="Verdana" w:hAnsi="Verdana"/>
          <w:sz w:val="20"/>
          <w:lang w:val="pt-BR"/>
        </w:rPr>
        <w:t>internacionais</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s humanos sobre</w:t>
      </w:r>
      <w:r w:rsidRPr="002F50BD">
        <w:rPr>
          <w:rFonts w:ascii="Verdana" w:hAnsi="Verdana"/>
          <w:sz w:val="20"/>
          <w:lang w:val="pt-BR"/>
        </w:rPr>
        <w:t xml:space="preserve"> a </w:t>
      </w:r>
      <w:r w:rsidR="005D1589" w:rsidRPr="002F50BD">
        <w:rPr>
          <w:rFonts w:ascii="Verdana" w:hAnsi="Verdana"/>
          <w:sz w:val="20"/>
          <w:lang w:val="pt-BR"/>
        </w:rPr>
        <w:t>maté</w:t>
      </w:r>
      <w:r w:rsidR="004756C1" w:rsidRPr="002F50BD">
        <w:rPr>
          <w:rFonts w:ascii="Verdana" w:hAnsi="Verdana"/>
          <w:sz w:val="20"/>
          <w:lang w:val="pt-BR"/>
        </w:rPr>
        <w:t>ria</w:t>
      </w:r>
      <w:r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Pr="002F50BD">
        <w:rPr>
          <w:rFonts w:ascii="Verdana" w:hAnsi="Verdana"/>
          <w:sz w:val="20"/>
          <w:lang w:val="pt-BR"/>
        </w:rPr>
        <w:t xml:space="preserve"> </w:t>
      </w:r>
      <w:r w:rsidR="00F705D1" w:rsidRPr="002F50BD">
        <w:rPr>
          <w:rFonts w:ascii="Verdana" w:hAnsi="Verdana"/>
          <w:sz w:val="20"/>
          <w:lang w:val="pt-BR"/>
        </w:rPr>
        <w:t>e</w:t>
      </w:r>
      <w:r w:rsidRPr="002F50BD">
        <w:rPr>
          <w:rFonts w:ascii="Verdana" w:hAnsi="Verdana"/>
          <w:sz w:val="20"/>
          <w:lang w:val="pt-BR"/>
        </w:rPr>
        <w:t>s</w:t>
      </w:r>
      <w:r w:rsidR="00F705D1" w:rsidRPr="002F50BD">
        <w:rPr>
          <w:rFonts w:ascii="Verdana" w:hAnsi="Verdana"/>
          <w:sz w:val="20"/>
          <w:lang w:val="pt-BR"/>
        </w:rPr>
        <w:t>t</w:t>
      </w:r>
      <w:r w:rsidRPr="002F50BD">
        <w:rPr>
          <w:rFonts w:ascii="Verdana" w:hAnsi="Verdana"/>
          <w:sz w:val="20"/>
          <w:lang w:val="pt-BR"/>
        </w:rPr>
        <w:t xml:space="preserve">ão </w:t>
      </w:r>
      <w:r w:rsidR="00F705D1" w:rsidRPr="002F50BD">
        <w:rPr>
          <w:rFonts w:ascii="Verdana" w:hAnsi="Verdana"/>
          <w:sz w:val="20"/>
          <w:lang w:val="pt-BR"/>
        </w:rPr>
        <w:t>em consonância</w:t>
      </w:r>
      <w:r w:rsidRPr="002F50BD">
        <w:rPr>
          <w:rFonts w:ascii="Verdana" w:hAnsi="Verdana"/>
          <w:sz w:val="20"/>
          <w:lang w:val="pt-BR"/>
        </w:rPr>
        <w:t xml:space="preserve"> com a </w:t>
      </w:r>
      <w:r w:rsidR="004756C1" w:rsidRPr="002F50BD">
        <w:rPr>
          <w:rFonts w:ascii="Verdana" w:hAnsi="Verdana"/>
          <w:sz w:val="20"/>
          <w:lang w:val="pt-BR"/>
        </w:rPr>
        <w:t>evolu</w:t>
      </w:r>
      <w:r w:rsidRPr="002F50BD">
        <w:rPr>
          <w:rFonts w:ascii="Verdana" w:hAnsi="Verdana"/>
          <w:sz w:val="20"/>
          <w:lang w:val="pt-BR"/>
        </w:rPr>
        <w:t xml:space="preserve">ção da doutrina e </w:t>
      </w:r>
      <w:r w:rsidR="005D1589" w:rsidRPr="002F50BD">
        <w:rPr>
          <w:rFonts w:ascii="Verdana" w:hAnsi="Verdana"/>
          <w:sz w:val="20"/>
          <w:lang w:val="pt-BR"/>
        </w:rPr>
        <w:t>d</w:t>
      </w:r>
      <w:r w:rsidRPr="002F50BD">
        <w:rPr>
          <w:rFonts w:ascii="Verdana" w:hAnsi="Verdana"/>
          <w:sz w:val="20"/>
          <w:lang w:val="pt-BR"/>
        </w:rPr>
        <w:t xml:space="preserve">a jurisprudência </w:t>
      </w:r>
      <w:r w:rsidR="004756C1" w:rsidRPr="002F50BD">
        <w:rPr>
          <w:rFonts w:ascii="Verdana" w:hAnsi="Verdana"/>
          <w:sz w:val="20"/>
          <w:lang w:val="pt-BR"/>
        </w:rPr>
        <w:t>internacional</w:t>
      </w:r>
      <w:r w:rsidR="00E6530C" w:rsidRPr="002F50BD">
        <w:rPr>
          <w:rFonts w:ascii="Verdana" w:hAnsi="Verdana"/>
          <w:sz w:val="20"/>
          <w:lang w:val="pt-BR"/>
        </w:rPr>
        <w:t>. Dest</w:t>
      </w:r>
      <w:r w:rsidRPr="002F50BD">
        <w:rPr>
          <w:rFonts w:ascii="Verdana" w:hAnsi="Verdana"/>
          <w:sz w:val="20"/>
          <w:lang w:val="pt-BR"/>
        </w:rPr>
        <w:t>a maneira</w:t>
      </w:r>
      <w:r w:rsidR="00F705D1" w:rsidRPr="002F50BD">
        <w:rPr>
          <w:rFonts w:ascii="Verdana" w:hAnsi="Verdana"/>
          <w:sz w:val="20"/>
          <w:lang w:val="pt-BR"/>
        </w:rPr>
        <w:t>,</w:t>
      </w:r>
      <w:r w:rsidRPr="002F50BD">
        <w:rPr>
          <w:rFonts w:ascii="Verdana" w:hAnsi="Verdana"/>
          <w:sz w:val="20"/>
          <w:lang w:val="pt-BR"/>
        </w:rPr>
        <w:t xml:space="preserve"> o ordenamento</w:t>
      </w:r>
      <w:r w:rsidR="004756C1" w:rsidRPr="002F50BD">
        <w:rPr>
          <w:rFonts w:ascii="Verdana" w:hAnsi="Verdana"/>
          <w:sz w:val="20"/>
          <w:lang w:val="pt-BR"/>
        </w:rPr>
        <w:t xml:space="preserve"> jurídico constitucional </w:t>
      </w:r>
      <w:r w:rsidR="00E6530C"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o </w:t>
      </w:r>
      <w:r w:rsidRPr="002F50BD">
        <w:rPr>
          <w:rFonts w:ascii="Verdana" w:hAnsi="Verdana"/>
          <w:sz w:val="20"/>
          <w:lang w:val="pt-BR"/>
        </w:rPr>
        <w:t xml:space="preserve">constitui um </w:t>
      </w:r>
      <w:r w:rsidR="004756C1" w:rsidRPr="002F50BD">
        <w:rPr>
          <w:rFonts w:ascii="Verdana" w:hAnsi="Verdana"/>
          <w:sz w:val="20"/>
          <w:lang w:val="pt-BR"/>
        </w:rPr>
        <w:t xml:space="preserve">marco </w:t>
      </w:r>
      <w:r w:rsidRPr="002F50BD">
        <w:rPr>
          <w:rFonts w:ascii="Verdana" w:hAnsi="Verdana"/>
          <w:sz w:val="20"/>
          <w:lang w:val="pt-BR"/>
        </w:rPr>
        <w:t>adequad</w:t>
      </w:r>
      <w:r w:rsidR="004756C1" w:rsidRPr="002F50BD">
        <w:rPr>
          <w:rFonts w:ascii="Verdana" w:hAnsi="Verdana"/>
          <w:sz w:val="20"/>
          <w:lang w:val="pt-BR"/>
        </w:rPr>
        <w:t>o para</w:t>
      </w:r>
      <w:r w:rsidRPr="002F50BD">
        <w:rPr>
          <w:rFonts w:ascii="Verdana" w:hAnsi="Verdana"/>
          <w:sz w:val="20"/>
          <w:lang w:val="pt-BR"/>
        </w:rPr>
        <w:t xml:space="preserve"> a proteção dos povo</w:t>
      </w:r>
      <w:r w:rsidR="004756C1" w:rsidRPr="002F50BD">
        <w:rPr>
          <w:rFonts w:ascii="Verdana" w:hAnsi="Verdana"/>
          <w:sz w:val="20"/>
          <w:lang w:val="pt-BR"/>
        </w:rPr>
        <w:t xml:space="preserve">s indígenas. </w:t>
      </w:r>
      <w:r w:rsidR="00E6530C" w:rsidRPr="002F50BD">
        <w:rPr>
          <w:rFonts w:ascii="Verdana" w:hAnsi="Verdana"/>
          <w:sz w:val="20"/>
          <w:lang w:val="pt-BR"/>
        </w:rPr>
        <w:t>No entanto</w:t>
      </w:r>
      <w:r w:rsidR="004756C1" w:rsidRPr="002F50BD">
        <w:rPr>
          <w:rFonts w:ascii="Verdana" w:hAnsi="Verdana"/>
          <w:sz w:val="20"/>
          <w:lang w:val="pt-BR"/>
        </w:rPr>
        <w:t>,</w:t>
      </w:r>
      <w:r w:rsidRPr="002F50BD">
        <w:rPr>
          <w:rFonts w:ascii="Verdana" w:hAnsi="Verdana"/>
          <w:sz w:val="20"/>
          <w:lang w:val="pt-BR"/>
        </w:rPr>
        <w:t xml:space="preserve"> </w:t>
      </w:r>
      <w:r w:rsidR="00E6530C" w:rsidRPr="002F50BD">
        <w:rPr>
          <w:rFonts w:ascii="Verdana" w:hAnsi="Verdana"/>
          <w:sz w:val="20"/>
          <w:lang w:val="pt-BR"/>
        </w:rPr>
        <w:t xml:space="preserve">da mesma maneira </w:t>
      </w:r>
      <w:r w:rsidR="004756C1" w:rsidRPr="002F50BD">
        <w:rPr>
          <w:rFonts w:ascii="Verdana" w:hAnsi="Verdana"/>
          <w:sz w:val="20"/>
          <w:lang w:val="pt-BR"/>
        </w:rPr>
        <w:t>que</w:t>
      </w:r>
      <w:r w:rsidRPr="002F50BD">
        <w:rPr>
          <w:rFonts w:ascii="Verdana" w:hAnsi="Verdana"/>
          <w:sz w:val="20"/>
          <w:lang w:val="pt-BR"/>
        </w:rPr>
        <w:t xml:space="preserve"> em muito</w:t>
      </w:r>
      <w:r w:rsidR="004756C1" w:rsidRPr="002F50BD">
        <w:rPr>
          <w:rFonts w:ascii="Verdana" w:hAnsi="Verdana"/>
          <w:sz w:val="20"/>
          <w:lang w:val="pt-BR"/>
        </w:rPr>
        <w:t>s Estados,</w:t>
      </w:r>
      <w:r w:rsidRPr="002F50BD">
        <w:rPr>
          <w:rFonts w:ascii="Verdana" w:hAnsi="Verdana"/>
          <w:sz w:val="20"/>
          <w:lang w:val="pt-BR"/>
        </w:rPr>
        <w:t xml:space="preserve"> as dificuldades</w:t>
      </w:r>
      <w:r w:rsidR="004756C1" w:rsidRPr="002F50BD">
        <w:rPr>
          <w:rFonts w:ascii="Verdana" w:hAnsi="Verdana"/>
          <w:sz w:val="20"/>
          <w:lang w:val="pt-BR"/>
        </w:rPr>
        <w:t xml:space="preserve"> para</w:t>
      </w:r>
      <w:r w:rsidRPr="002F50BD">
        <w:rPr>
          <w:rFonts w:ascii="Verdana" w:hAnsi="Verdana"/>
          <w:sz w:val="20"/>
          <w:lang w:val="pt-BR"/>
        </w:rPr>
        <w:t xml:space="preserve"> a vigência dos direito</w:t>
      </w:r>
      <w:r w:rsidR="004756C1" w:rsidRPr="002F50BD">
        <w:rPr>
          <w:rFonts w:ascii="Verdana" w:hAnsi="Verdana"/>
          <w:sz w:val="20"/>
          <w:lang w:val="pt-BR"/>
        </w:rPr>
        <w:t>s consagrados</w:t>
      </w:r>
      <w:r w:rsidRPr="002F50BD">
        <w:rPr>
          <w:rFonts w:ascii="Verdana" w:hAnsi="Verdana"/>
          <w:sz w:val="20"/>
          <w:lang w:val="pt-BR"/>
        </w:rPr>
        <w:t xml:space="preserve"> na </w:t>
      </w:r>
      <w:r w:rsidR="004756C1" w:rsidRPr="002F50BD">
        <w:rPr>
          <w:rFonts w:ascii="Verdana" w:hAnsi="Verdana"/>
          <w:sz w:val="20"/>
          <w:lang w:val="pt-BR"/>
        </w:rPr>
        <w:t>Carta fundamental prov</w:t>
      </w:r>
      <w:r w:rsidR="00E6530C" w:rsidRPr="002F50BD">
        <w:rPr>
          <w:rFonts w:ascii="Verdana" w:hAnsi="Verdana"/>
          <w:sz w:val="20"/>
          <w:lang w:val="pt-BR"/>
        </w:rPr>
        <w:t xml:space="preserve">êm na verdade </w:t>
      </w:r>
      <w:r w:rsidRPr="002F50BD">
        <w:rPr>
          <w:rFonts w:ascii="Verdana" w:hAnsi="Verdana"/>
          <w:sz w:val="20"/>
          <w:lang w:val="pt-BR"/>
        </w:rPr>
        <w:t>da ausência</w:t>
      </w:r>
      <w:r w:rsidR="004756C1" w:rsidRPr="002F50BD">
        <w:rPr>
          <w:rFonts w:ascii="Verdana" w:hAnsi="Verdana"/>
          <w:sz w:val="20"/>
          <w:lang w:val="pt-BR"/>
        </w:rPr>
        <w:t xml:space="preserve"> de políticas públicas que </w:t>
      </w:r>
      <w:r w:rsidRPr="002F50BD">
        <w:rPr>
          <w:rFonts w:ascii="Verdana" w:hAnsi="Verdana"/>
          <w:sz w:val="20"/>
          <w:lang w:val="pt-BR"/>
        </w:rPr>
        <w:t>permitam fazer efetiv</w:t>
      </w:r>
      <w:r w:rsidR="004756C1" w:rsidRPr="002F50BD">
        <w:rPr>
          <w:rFonts w:ascii="Verdana" w:hAnsi="Verdana"/>
          <w:sz w:val="20"/>
          <w:lang w:val="pt-BR"/>
        </w:rPr>
        <w:t>os</w:t>
      </w:r>
      <w:r w:rsidRPr="002F50BD">
        <w:rPr>
          <w:rFonts w:ascii="Verdana" w:hAnsi="Verdana"/>
          <w:sz w:val="20"/>
          <w:lang w:val="pt-BR"/>
        </w:rPr>
        <w:t xml:space="preserve"> tais direito</w:t>
      </w:r>
      <w:r w:rsidR="004756C1" w:rsidRPr="002F50BD">
        <w:rPr>
          <w:rFonts w:ascii="Verdana" w:hAnsi="Verdana"/>
          <w:sz w:val="20"/>
          <w:lang w:val="pt-BR"/>
        </w:rPr>
        <w:t>s humanos.</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d.</w:t>
      </w:r>
      <w:r w:rsidRPr="002F50BD">
        <w:rPr>
          <w:rFonts w:ascii="Verdana" w:hAnsi="Verdana"/>
          <w:b/>
          <w:sz w:val="20"/>
          <w:lang w:val="pt-BR"/>
        </w:rPr>
        <w:tab/>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José Alberto Braunstein, perito</w:t>
      </w:r>
    </w:p>
    <w:p w:rsidR="004756C1" w:rsidRPr="002F50BD" w:rsidRDefault="004756C1">
      <w:pPr>
        <w:jc w:val="both"/>
        <w:rPr>
          <w:rFonts w:ascii="Verdana" w:hAnsi="Verdana"/>
          <w:i/>
          <w:sz w:val="20"/>
          <w:lang w:val="pt-BR"/>
        </w:rPr>
      </w:pPr>
    </w:p>
    <w:p w:rsidR="004756C1" w:rsidRPr="002F50BD" w:rsidRDefault="00E6530C">
      <w:pPr>
        <w:jc w:val="both"/>
        <w:rPr>
          <w:rFonts w:ascii="Verdana" w:hAnsi="Verdana"/>
          <w:sz w:val="20"/>
          <w:lang w:val="pt-BR"/>
        </w:rPr>
      </w:pPr>
      <w:r w:rsidRPr="002F50BD">
        <w:rPr>
          <w:rFonts w:ascii="Verdana" w:hAnsi="Verdana"/>
          <w:sz w:val="20"/>
          <w:lang w:val="pt-BR"/>
        </w:rPr>
        <w:t>O</w:t>
      </w:r>
      <w:r w:rsidR="004756C1" w:rsidRPr="002F50BD">
        <w:rPr>
          <w:rFonts w:ascii="Verdana" w:hAnsi="Verdana"/>
          <w:sz w:val="20"/>
          <w:lang w:val="pt-BR"/>
        </w:rPr>
        <w:t xml:space="preserve">s indígenas </w:t>
      </w:r>
      <w:r w:rsidR="0089298C" w:rsidRPr="002F50BD">
        <w:rPr>
          <w:rFonts w:ascii="Verdana" w:hAnsi="Verdana"/>
          <w:sz w:val="20"/>
          <w:lang w:val="pt-BR"/>
        </w:rPr>
        <w:t xml:space="preserve">do Grande </w:t>
      </w:r>
      <w:r w:rsidR="004756C1" w:rsidRPr="002F50BD">
        <w:rPr>
          <w:rFonts w:ascii="Verdana" w:hAnsi="Verdana"/>
          <w:sz w:val="20"/>
          <w:lang w:val="pt-BR"/>
        </w:rPr>
        <w:t>Chaco</w:t>
      </w:r>
      <w:r w:rsidR="0089298C" w:rsidRPr="002F50BD">
        <w:rPr>
          <w:rFonts w:ascii="Verdana" w:hAnsi="Verdana"/>
          <w:sz w:val="20"/>
          <w:lang w:val="pt-BR"/>
        </w:rPr>
        <w:t xml:space="preserve"> são um </w:t>
      </w:r>
      <w:r w:rsidR="004756C1" w:rsidRPr="002F50BD">
        <w:rPr>
          <w:rFonts w:ascii="Verdana" w:hAnsi="Verdana"/>
          <w:sz w:val="20"/>
          <w:lang w:val="pt-BR"/>
        </w:rPr>
        <w:t xml:space="preserve">grupo </w:t>
      </w:r>
      <w:r w:rsidRPr="002F50BD">
        <w:rPr>
          <w:rFonts w:ascii="Verdana" w:hAnsi="Verdana"/>
          <w:sz w:val="20"/>
          <w:lang w:val="pt-BR"/>
        </w:rPr>
        <w:t>heterogêneo</w:t>
      </w:r>
      <w:r w:rsidR="004756C1" w:rsidRPr="002F50BD">
        <w:rPr>
          <w:rFonts w:ascii="Verdana" w:hAnsi="Verdana"/>
          <w:sz w:val="20"/>
          <w:lang w:val="pt-BR"/>
        </w:rPr>
        <w:t xml:space="preserve"> de </w:t>
      </w:r>
      <w:r w:rsidR="0089298C" w:rsidRPr="002F50BD">
        <w:rPr>
          <w:rFonts w:ascii="Verdana" w:hAnsi="Verdana"/>
          <w:sz w:val="20"/>
          <w:lang w:val="pt-BR"/>
        </w:rPr>
        <w:t xml:space="preserve">mais </w:t>
      </w:r>
      <w:r w:rsidR="004756C1" w:rsidRPr="002F50BD">
        <w:rPr>
          <w:rFonts w:ascii="Verdana" w:hAnsi="Verdana"/>
          <w:sz w:val="20"/>
          <w:lang w:val="pt-BR"/>
        </w:rPr>
        <w:t>o</w:t>
      </w:r>
      <w:r w:rsidRPr="002F50BD">
        <w:rPr>
          <w:rFonts w:ascii="Verdana" w:hAnsi="Verdana"/>
          <w:sz w:val="20"/>
          <w:lang w:val="pt-BR"/>
        </w:rPr>
        <w:t>u</w:t>
      </w:r>
      <w:r w:rsidR="004756C1" w:rsidRPr="002F50BD">
        <w:rPr>
          <w:rFonts w:ascii="Verdana" w:hAnsi="Verdana"/>
          <w:sz w:val="20"/>
          <w:lang w:val="pt-BR"/>
        </w:rPr>
        <w:t xml:space="preserve"> menos </w:t>
      </w:r>
      <w:r w:rsidRPr="002F50BD">
        <w:rPr>
          <w:rFonts w:ascii="Verdana" w:hAnsi="Verdana"/>
          <w:sz w:val="20"/>
          <w:lang w:val="pt-BR"/>
        </w:rPr>
        <w:t>meia</w:t>
      </w:r>
      <w:r w:rsidR="0089298C" w:rsidRPr="002F50BD">
        <w:rPr>
          <w:rFonts w:ascii="Verdana" w:hAnsi="Verdana"/>
          <w:sz w:val="20"/>
          <w:lang w:val="pt-BR"/>
        </w:rPr>
        <w:t xml:space="preserve"> </w:t>
      </w:r>
      <w:r w:rsidRPr="002F50BD">
        <w:rPr>
          <w:rFonts w:ascii="Verdana" w:hAnsi="Verdana"/>
          <w:sz w:val="20"/>
          <w:lang w:val="pt-BR"/>
        </w:rPr>
        <w:t>centena</w:t>
      </w:r>
      <w:r w:rsidR="004756C1" w:rsidRPr="002F50BD">
        <w:rPr>
          <w:rFonts w:ascii="Verdana" w:hAnsi="Verdana"/>
          <w:sz w:val="20"/>
          <w:lang w:val="pt-BR"/>
        </w:rPr>
        <w:t xml:space="preserve"> de </w:t>
      </w:r>
      <w:r w:rsidR="0089298C" w:rsidRPr="002F50BD">
        <w:rPr>
          <w:rFonts w:ascii="Verdana" w:hAnsi="Verdana"/>
          <w:sz w:val="20"/>
          <w:lang w:val="pt-BR"/>
        </w:rPr>
        <w:t>povo</w:t>
      </w:r>
      <w:r w:rsidR="004756C1" w:rsidRPr="002F50BD">
        <w:rPr>
          <w:rFonts w:ascii="Verdana" w:hAnsi="Verdana"/>
          <w:sz w:val="20"/>
          <w:lang w:val="pt-BR"/>
        </w:rPr>
        <w:t xml:space="preserve">s </w:t>
      </w:r>
      <w:r w:rsidR="0089298C" w:rsidRPr="002F50BD">
        <w:rPr>
          <w:rFonts w:ascii="Verdana" w:hAnsi="Verdana"/>
          <w:sz w:val="20"/>
          <w:lang w:val="pt-BR"/>
        </w:rPr>
        <w:t>cuja</w:t>
      </w:r>
      <w:r w:rsidR="004756C1" w:rsidRPr="002F50BD">
        <w:rPr>
          <w:rFonts w:ascii="Verdana" w:hAnsi="Verdana"/>
          <w:sz w:val="20"/>
          <w:lang w:val="pt-BR"/>
        </w:rPr>
        <w:t xml:space="preserve"> aparente</w:t>
      </w:r>
      <w:r w:rsidR="0089298C" w:rsidRPr="002F50BD">
        <w:rPr>
          <w:rFonts w:ascii="Verdana" w:hAnsi="Verdana"/>
          <w:sz w:val="20"/>
          <w:lang w:val="pt-BR"/>
        </w:rPr>
        <w:t xml:space="preserve"> unidade </w:t>
      </w:r>
      <w:r w:rsidR="004756C1" w:rsidRPr="002F50BD">
        <w:rPr>
          <w:rFonts w:ascii="Verdana" w:hAnsi="Verdana"/>
          <w:sz w:val="20"/>
          <w:lang w:val="pt-BR"/>
        </w:rPr>
        <w:t>surge</w:t>
      </w:r>
      <w:r w:rsidR="0089298C" w:rsidRPr="002F50BD">
        <w:rPr>
          <w:rFonts w:ascii="Verdana" w:hAnsi="Verdana"/>
          <w:sz w:val="20"/>
          <w:lang w:val="pt-BR"/>
        </w:rPr>
        <w:t xml:space="preserve"> da </w:t>
      </w:r>
      <w:r w:rsidR="004756C1" w:rsidRPr="002F50BD">
        <w:rPr>
          <w:rFonts w:ascii="Verdana" w:hAnsi="Verdana"/>
          <w:sz w:val="20"/>
          <w:lang w:val="pt-BR"/>
        </w:rPr>
        <w:t>rela</w:t>
      </w:r>
      <w:r w:rsidR="0089298C" w:rsidRPr="002F50BD">
        <w:rPr>
          <w:rFonts w:ascii="Verdana" w:hAnsi="Verdana"/>
          <w:sz w:val="20"/>
          <w:lang w:val="pt-BR"/>
        </w:rPr>
        <w:t>ção</w:t>
      </w:r>
      <w:r w:rsidR="004756C1" w:rsidRPr="002F50BD">
        <w:rPr>
          <w:rFonts w:ascii="Verdana" w:hAnsi="Verdana"/>
          <w:sz w:val="20"/>
          <w:lang w:val="pt-BR"/>
        </w:rPr>
        <w:t xml:space="preserve"> a</w:t>
      </w:r>
      <w:r w:rsidRPr="002F50BD">
        <w:rPr>
          <w:rFonts w:ascii="Verdana" w:hAnsi="Verdana"/>
          <w:sz w:val="20"/>
          <w:lang w:val="pt-BR"/>
        </w:rPr>
        <w:t>s</w:t>
      </w:r>
      <w:r w:rsidR="004756C1" w:rsidRPr="002F50BD">
        <w:rPr>
          <w:rFonts w:ascii="Verdana" w:hAnsi="Verdana"/>
          <w:sz w:val="20"/>
          <w:lang w:val="pt-BR"/>
        </w:rPr>
        <w:t>simétrica que todos</w:t>
      </w:r>
      <w:r w:rsidR="0089298C" w:rsidRPr="002F50BD">
        <w:rPr>
          <w:rFonts w:ascii="Verdana" w:hAnsi="Verdana"/>
          <w:sz w:val="20"/>
          <w:lang w:val="pt-BR"/>
        </w:rPr>
        <w:t xml:space="preserve"> ele</w:t>
      </w:r>
      <w:r w:rsidR="004756C1" w:rsidRPr="002F50BD">
        <w:rPr>
          <w:rFonts w:ascii="Verdana" w:hAnsi="Verdana"/>
          <w:sz w:val="20"/>
          <w:lang w:val="pt-BR"/>
        </w:rPr>
        <w:t xml:space="preserve">s </w:t>
      </w:r>
      <w:r w:rsidR="00AB454A" w:rsidRPr="002F50BD">
        <w:rPr>
          <w:rFonts w:ascii="Verdana" w:hAnsi="Verdana"/>
          <w:sz w:val="20"/>
          <w:lang w:val="pt-BR"/>
        </w:rPr>
        <w:t>possu</w:t>
      </w:r>
      <w:r w:rsidRPr="002F50BD">
        <w:rPr>
          <w:rFonts w:ascii="Verdana" w:hAnsi="Verdana"/>
          <w:sz w:val="20"/>
          <w:lang w:val="pt-BR"/>
        </w:rPr>
        <w:t>em</w:t>
      </w:r>
      <w:r w:rsidR="0089298C" w:rsidRPr="002F50BD">
        <w:rPr>
          <w:rFonts w:ascii="Verdana" w:hAnsi="Verdana"/>
          <w:sz w:val="20"/>
          <w:lang w:val="pt-BR"/>
        </w:rPr>
        <w:t xml:space="preserve"> com a sociedade </w:t>
      </w:r>
      <w:r w:rsidR="004756C1" w:rsidRPr="002F50BD">
        <w:rPr>
          <w:rFonts w:ascii="Verdana" w:hAnsi="Verdana"/>
          <w:sz w:val="20"/>
          <w:lang w:val="pt-BR"/>
        </w:rPr>
        <w:t xml:space="preserve">global. </w:t>
      </w:r>
      <w:r w:rsidRPr="002F50BD">
        <w:rPr>
          <w:rFonts w:ascii="Verdana" w:hAnsi="Verdana"/>
          <w:sz w:val="20"/>
          <w:lang w:val="pt-BR"/>
        </w:rPr>
        <w:t>T</w:t>
      </w:r>
      <w:r w:rsidR="004756C1" w:rsidRPr="002F50BD">
        <w:rPr>
          <w:rFonts w:ascii="Verdana" w:hAnsi="Verdana"/>
          <w:sz w:val="20"/>
          <w:lang w:val="pt-BR"/>
        </w:rPr>
        <w:t>rata</w:t>
      </w:r>
      <w:r w:rsidRPr="002F50BD">
        <w:rPr>
          <w:rFonts w:ascii="Verdana" w:hAnsi="Verdana"/>
          <w:sz w:val="20"/>
          <w:lang w:val="pt-BR"/>
        </w:rPr>
        <w:t>-se</w:t>
      </w:r>
      <w:r w:rsidR="004756C1" w:rsidRPr="002F50BD">
        <w:rPr>
          <w:rFonts w:ascii="Verdana" w:hAnsi="Verdana"/>
          <w:sz w:val="20"/>
          <w:lang w:val="pt-BR"/>
        </w:rPr>
        <w:t xml:space="preserve"> de</w:t>
      </w:r>
      <w:r w:rsidR="0089298C" w:rsidRPr="002F50BD">
        <w:rPr>
          <w:rFonts w:ascii="Verdana" w:hAnsi="Verdana"/>
          <w:sz w:val="20"/>
          <w:lang w:val="pt-BR"/>
        </w:rPr>
        <w:t xml:space="preserve"> uma população</w:t>
      </w:r>
      <w:r w:rsidRPr="002F50BD">
        <w:rPr>
          <w:rFonts w:ascii="Verdana" w:hAnsi="Verdana"/>
          <w:sz w:val="20"/>
          <w:lang w:val="pt-BR"/>
        </w:rPr>
        <w:t xml:space="preserve"> amerí</w:t>
      </w:r>
      <w:r w:rsidR="004756C1" w:rsidRPr="002F50BD">
        <w:rPr>
          <w:rFonts w:ascii="Verdana" w:hAnsi="Verdana"/>
          <w:sz w:val="20"/>
          <w:lang w:val="pt-BR"/>
        </w:rPr>
        <w:t>ndia estimada</w:t>
      </w:r>
      <w:r w:rsidR="0089298C" w:rsidRPr="002F50BD">
        <w:rPr>
          <w:rFonts w:ascii="Verdana" w:hAnsi="Verdana"/>
          <w:sz w:val="20"/>
          <w:lang w:val="pt-BR"/>
        </w:rPr>
        <w:t xml:space="preserve"> em </w:t>
      </w:r>
      <w:r w:rsidRPr="002F50BD">
        <w:rPr>
          <w:rFonts w:ascii="Verdana" w:hAnsi="Verdana"/>
          <w:sz w:val="20"/>
          <w:lang w:val="pt-BR"/>
        </w:rPr>
        <w:t xml:space="preserve">cerca de </w:t>
      </w:r>
      <w:r w:rsidR="00E221FD">
        <w:rPr>
          <w:rFonts w:ascii="Verdana" w:hAnsi="Verdana"/>
          <w:sz w:val="20"/>
          <w:lang w:val="pt-BR"/>
        </w:rPr>
        <w:t>260</w:t>
      </w:r>
      <w:r w:rsidR="004756C1" w:rsidRPr="002F50BD">
        <w:rPr>
          <w:rFonts w:ascii="Verdana" w:hAnsi="Verdana"/>
          <w:sz w:val="20"/>
          <w:lang w:val="pt-BR"/>
        </w:rPr>
        <w:t xml:space="preserve"> mil </w:t>
      </w:r>
      <w:r w:rsidR="0089298C" w:rsidRPr="002F50BD">
        <w:rPr>
          <w:rFonts w:ascii="Verdana" w:hAnsi="Verdana"/>
          <w:sz w:val="20"/>
          <w:lang w:val="pt-BR"/>
        </w:rPr>
        <w:t>pessoa</w:t>
      </w:r>
      <w:r w:rsidR="004756C1" w:rsidRPr="002F50BD">
        <w:rPr>
          <w:rFonts w:ascii="Verdana" w:hAnsi="Verdana"/>
          <w:sz w:val="20"/>
          <w:lang w:val="pt-BR"/>
        </w:rPr>
        <w:t xml:space="preserve">s que </w:t>
      </w:r>
      <w:r w:rsidR="005A6BC7" w:rsidRPr="002F50BD">
        <w:rPr>
          <w:rFonts w:ascii="Verdana" w:hAnsi="Verdana"/>
          <w:sz w:val="20"/>
          <w:lang w:val="pt-BR"/>
        </w:rPr>
        <w:t>falam</w:t>
      </w:r>
      <w:r w:rsidR="004756C1" w:rsidRPr="002F50BD">
        <w:rPr>
          <w:rFonts w:ascii="Verdana" w:hAnsi="Verdana"/>
          <w:sz w:val="20"/>
          <w:lang w:val="pt-BR"/>
        </w:rPr>
        <w:t xml:space="preserve"> </w:t>
      </w:r>
      <w:r w:rsidR="00E221FD">
        <w:rPr>
          <w:rFonts w:ascii="Verdana" w:hAnsi="Verdana"/>
          <w:sz w:val="20"/>
          <w:lang w:val="pt-BR"/>
        </w:rPr>
        <w:t>17</w:t>
      </w:r>
      <w:r w:rsidRPr="002F50BD">
        <w:rPr>
          <w:rFonts w:ascii="Verdana" w:hAnsi="Verdana"/>
          <w:sz w:val="20"/>
          <w:lang w:val="pt-BR"/>
        </w:rPr>
        <w:t xml:space="preserve"> </w:t>
      </w:r>
      <w:r w:rsidR="00CD3DEB" w:rsidRPr="002F50BD">
        <w:rPr>
          <w:rFonts w:ascii="Verdana" w:hAnsi="Verdana"/>
          <w:sz w:val="20"/>
          <w:lang w:val="pt-BR"/>
        </w:rPr>
        <w:t>língua</w:t>
      </w:r>
      <w:r w:rsidR="004756C1" w:rsidRPr="002F50BD">
        <w:rPr>
          <w:rFonts w:ascii="Verdana" w:hAnsi="Verdana"/>
          <w:sz w:val="20"/>
          <w:lang w:val="pt-BR"/>
        </w:rPr>
        <w:t>s re</w:t>
      </w:r>
      <w:r w:rsidR="00AB454A" w:rsidRPr="002F50BD">
        <w:rPr>
          <w:rFonts w:ascii="Verdana" w:hAnsi="Verdana"/>
          <w:sz w:val="20"/>
          <w:lang w:val="pt-BR"/>
        </w:rPr>
        <w:t>conheci</w:t>
      </w:r>
      <w:r w:rsidR="004756C1" w:rsidRPr="002F50BD">
        <w:rPr>
          <w:rFonts w:ascii="Verdana" w:hAnsi="Verdana"/>
          <w:sz w:val="20"/>
          <w:lang w:val="pt-BR"/>
        </w:rPr>
        <w:t>das</w:t>
      </w:r>
      <w:r w:rsidR="004B3E38" w:rsidRPr="002F50BD">
        <w:rPr>
          <w:rFonts w:ascii="Verdana" w:hAnsi="Verdana"/>
          <w:sz w:val="20"/>
          <w:lang w:val="pt-BR"/>
        </w:rPr>
        <w:t>,</w:t>
      </w:r>
      <w:r w:rsidR="004756C1" w:rsidRPr="002F50BD">
        <w:rPr>
          <w:rFonts w:ascii="Verdana" w:hAnsi="Verdana"/>
          <w:sz w:val="20"/>
          <w:lang w:val="pt-BR"/>
        </w:rPr>
        <w:t xml:space="preserve"> </w:t>
      </w:r>
      <w:r w:rsidR="004076AD" w:rsidRPr="002F50BD">
        <w:rPr>
          <w:rFonts w:ascii="Verdana" w:hAnsi="Verdana"/>
          <w:sz w:val="20"/>
          <w:lang w:val="pt-BR"/>
        </w:rPr>
        <w:t>pertencente</w:t>
      </w:r>
      <w:r w:rsidR="004756C1" w:rsidRPr="002F50BD">
        <w:rPr>
          <w:rFonts w:ascii="Verdana" w:hAnsi="Verdana"/>
          <w:sz w:val="20"/>
          <w:lang w:val="pt-BR"/>
        </w:rPr>
        <w:t>s a seis grupos ling</w:t>
      </w:r>
      <w:r w:rsidR="003F3630">
        <w:rPr>
          <w:rFonts w:ascii="Verdana" w:hAnsi="Verdana"/>
          <w:sz w:val="20"/>
          <w:lang w:val="pt-BR"/>
        </w:rPr>
        <w:t>u</w:t>
      </w:r>
      <w:r w:rsidR="004756C1" w:rsidRPr="002F50BD">
        <w:rPr>
          <w:rFonts w:ascii="Verdana" w:hAnsi="Verdana"/>
          <w:sz w:val="20"/>
          <w:lang w:val="pt-BR"/>
        </w:rPr>
        <w:t>ísticos</w:t>
      </w:r>
      <w:r w:rsidR="00AB454A" w:rsidRPr="002F50BD">
        <w:rPr>
          <w:rFonts w:ascii="Verdana" w:hAnsi="Verdana"/>
          <w:sz w:val="20"/>
          <w:lang w:val="pt-BR"/>
        </w:rPr>
        <w:t xml:space="preserve">. Na </w:t>
      </w:r>
      <w:r w:rsidR="00CD3DEB" w:rsidRPr="002F50BD">
        <w:rPr>
          <w:rFonts w:ascii="Verdana" w:hAnsi="Verdana"/>
          <w:sz w:val="20"/>
          <w:lang w:val="pt-BR"/>
        </w:rPr>
        <w:t>atualidade</w:t>
      </w:r>
      <w:r w:rsidR="004B3E38" w:rsidRPr="002F50BD">
        <w:rPr>
          <w:rFonts w:ascii="Verdana" w:hAnsi="Verdana"/>
          <w:sz w:val="20"/>
          <w:lang w:val="pt-BR"/>
        </w:rPr>
        <w:t>,</w:t>
      </w:r>
      <w:r w:rsidR="00CD3DEB" w:rsidRPr="002F50BD">
        <w:rPr>
          <w:rFonts w:ascii="Verdana" w:hAnsi="Verdana"/>
          <w:sz w:val="20"/>
          <w:lang w:val="pt-BR"/>
        </w:rPr>
        <w:t xml:space="preserve"> </w:t>
      </w:r>
      <w:r w:rsidR="0089298C" w:rsidRPr="002F50BD">
        <w:rPr>
          <w:rFonts w:ascii="Verdana" w:hAnsi="Verdana"/>
          <w:sz w:val="20"/>
          <w:lang w:val="pt-BR"/>
        </w:rPr>
        <w:t xml:space="preserve">a </w:t>
      </w:r>
      <w:r w:rsidR="004756C1" w:rsidRPr="002F50BD">
        <w:rPr>
          <w:rFonts w:ascii="Verdana" w:hAnsi="Verdana"/>
          <w:sz w:val="20"/>
          <w:lang w:val="pt-BR"/>
        </w:rPr>
        <w:t>situa</w:t>
      </w:r>
      <w:r w:rsidR="0089298C" w:rsidRPr="002F50BD">
        <w:rPr>
          <w:rFonts w:ascii="Verdana" w:hAnsi="Verdana"/>
          <w:sz w:val="20"/>
          <w:lang w:val="pt-BR"/>
        </w:rPr>
        <w:t xml:space="preserve">ção dos </w:t>
      </w:r>
      <w:r w:rsidR="004756C1" w:rsidRPr="002F50BD">
        <w:rPr>
          <w:rFonts w:ascii="Verdana" w:hAnsi="Verdana"/>
          <w:sz w:val="20"/>
          <w:lang w:val="pt-BR"/>
        </w:rPr>
        <w:t xml:space="preserve">indígenas </w:t>
      </w:r>
      <w:r w:rsidR="0089298C" w:rsidRPr="002F50BD">
        <w:rPr>
          <w:rFonts w:ascii="Verdana" w:hAnsi="Verdana"/>
          <w:sz w:val="20"/>
          <w:lang w:val="pt-BR"/>
        </w:rPr>
        <w:t xml:space="preserve">do </w:t>
      </w:r>
      <w:r w:rsidR="004756C1" w:rsidRPr="002F50BD">
        <w:rPr>
          <w:rFonts w:ascii="Verdana" w:hAnsi="Verdana"/>
          <w:sz w:val="20"/>
          <w:lang w:val="pt-BR"/>
        </w:rPr>
        <w:t>Chaco</w:t>
      </w:r>
      <w:r w:rsidR="0089298C" w:rsidRPr="002F50BD">
        <w:rPr>
          <w:rFonts w:ascii="Verdana" w:hAnsi="Verdana"/>
          <w:sz w:val="20"/>
          <w:lang w:val="pt-BR"/>
        </w:rPr>
        <w:t xml:space="preserve"> é </w:t>
      </w:r>
      <w:r w:rsidR="004756C1" w:rsidRPr="002F50BD">
        <w:rPr>
          <w:rFonts w:ascii="Verdana" w:hAnsi="Verdana"/>
          <w:sz w:val="20"/>
          <w:lang w:val="pt-BR"/>
        </w:rPr>
        <w:t xml:space="preserve">altamente </w:t>
      </w:r>
      <w:r w:rsidR="004076AD" w:rsidRPr="002F50BD">
        <w:rPr>
          <w:rFonts w:ascii="Verdana" w:hAnsi="Verdana"/>
          <w:sz w:val="20"/>
          <w:lang w:val="pt-BR"/>
        </w:rPr>
        <w:t>dinâmic</w:t>
      </w:r>
      <w:r w:rsidR="004756C1" w:rsidRPr="002F50BD">
        <w:rPr>
          <w:rFonts w:ascii="Verdana" w:hAnsi="Verdana"/>
          <w:sz w:val="20"/>
          <w:lang w:val="pt-BR"/>
        </w:rPr>
        <w:t>a.</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Quando</w:t>
      </w:r>
      <w:r w:rsidR="004756C1" w:rsidRPr="002F50BD">
        <w:rPr>
          <w:rFonts w:ascii="Verdana" w:hAnsi="Verdana"/>
          <w:sz w:val="20"/>
          <w:lang w:val="pt-BR"/>
        </w:rPr>
        <w:t xml:space="preserve"> se</w:t>
      </w:r>
      <w:r w:rsidRPr="002F50BD">
        <w:rPr>
          <w:rFonts w:ascii="Verdana" w:hAnsi="Verdana"/>
          <w:sz w:val="20"/>
          <w:lang w:val="pt-BR"/>
        </w:rPr>
        <w:t xml:space="preserve"> faz referência </w:t>
      </w:r>
      <w:r w:rsidR="004756C1" w:rsidRPr="002F50BD">
        <w:rPr>
          <w:rFonts w:ascii="Verdana" w:hAnsi="Verdana"/>
          <w:sz w:val="20"/>
          <w:lang w:val="pt-BR"/>
        </w:rPr>
        <w:t xml:space="preserve">a </w:t>
      </w:r>
      <w:r w:rsidRPr="002F50BD">
        <w:rPr>
          <w:rFonts w:ascii="Verdana" w:hAnsi="Verdana"/>
          <w:sz w:val="20"/>
          <w:lang w:val="pt-BR"/>
        </w:rPr>
        <w:t>povo</w:t>
      </w:r>
      <w:r w:rsidR="004756C1" w:rsidRPr="002F50BD">
        <w:rPr>
          <w:rFonts w:ascii="Verdana" w:hAnsi="Verdana"/>
          <w:sz w:val="20"/>
          <w:lang w:val="pt-BR"/>
        </w:rPr>
        <w:t xml:space="preserve">s indígenas </w:t>
      </w:r>
      <w:r w:rsidRPr="002F50BD">
        <w:rPr>
          <w:rFonts w:ascii="Verdana" w:hAnsi="Verdana"/>
          <w:sz w:val="20"/>
          <w:lang w:val="pt-BR"/>
        </w:rPr>
        <w:t xml:space="preserve">do </w:t>
      </w:r>
      <w:r w:rsidR="004756C1" w:rsidRPr="002F50BD">
        <w:rPr>
          <w:rFonts w:ascii="Verdana" w:hAnsi="Verdana"/>
          <w:sz w:val="20"/>
          <w:lang w:val="pt-BR"/>
        </w:rPr>
        <w:t>Chaco</w:t>
      </w:r>
      <w:r w:rsidR="004B3E38" w:rsidRPr="002F50BD">
        <w:rPr>
          <w:rFonts w:ascii="Verdana" w:hAnsi="Verdana"/>
          <w:sz w:val="20"/>
          <w:lang w:val="pt-BR"/>
        </w:rPr>
        <w:t>,</w:t>
      </w:r>
      <w:r w:rsidR="004756C1" w:rsidRPr="002F50BD">
        <w:rPr>
          <w:rFonts w:ascii="Verdana" w:hAnsi="Verdana"/>
          <w:sz w:val="20"/>
          <w:lang w:val="pt-BR"/>
        </w:rPr>
        <w:t xml:space="preserve"> se </w:t>
      </w:r>
      <w:r w:rsidRPr="002F50BD">
        <w:rPr>
          <w:rFonts w:ascii="Verdana" w:hAnsi="Verdana"/>
          <w:sz w:val="20"/>
          <w:lang w:val="pt-BR"/>
        </w:rPr>
        <w:t xml:space="preserve">fala </w:t>
      </w:r>
      <w:r w:rsidR="00CD3DEB" w:rsidRPr="002F50BD">
        <w:rPr>
          <w:rFonts w:ascii="Verdana" w:hAnsi="Verdana"/>
          <w:sz w:val="20"/>
          <w:lang w:val="pt-BR"/>
        </w:rPr>
        <w:t>d</w:t>
      </w:r>
      <w:r w:rsidRPr="002F50BD">
        <w:rPr>
          <w:rFonts w:ascii="Verdana" w:hAnsi="Verdana"/>
          <w:sz w:val="20"/>
          <w:lang w:val="pt-BR"/>
        </w:rPr>
        <w:t>aquelas</w:t>
      </w:r>
      <w:r w:rsidR="004756C1" w:rsidRPr="002F50BD">
        <w:rPr>
          <w:rFonts w:ascii="Verdana" w:hAnsi="Verdana"/>
          <w:sz w:val="20"/>
          <w:lang w:val="pt-BR"/>
        </w:rPr>
        <w:t xml:space="preserve"> unidades </w:t>
      </w:r>
      <w:r w:rsidR="00AB454A" w:rsidRPr="002F50BD">
        <w:rPr>
          <w:rFonts w:ascii="Verdana" w:hAnsi="Verdana"/>
          <w:sz w:val="20"/>
          <w:lang w:val="pt-BR"/>
        </w:rPr>
        <w:t>territoriais</w:t>
      </w:r>
      <w:r w:rsidR="004756C1" w:rsidRPr="002F50BD">
        <w:rPr>
          <w:rFonts w:ascii="Verdana" w:hAnsi="Verdana"/>
          <w:sz w:val="20"/>
          <w:lang w:val="pt-BR"/>
        </w:rPr>
        <w:t>, ling</w:t>
      </w:r>
      <w:r w:rsidR="003F3630">
        <w:rPr>
          <w:rFonts w:ascii="Verdana" w:hAnsi="Verdana"/>
          <w:sz w:val="20"/>
          <w:lang w:val="pt-BR"/>
        </w:rPr>
        <w:t>u</w:t>
      </w:r>
      <w:r w:rsidR="004756C1" w:rsidRPr="002F50BD">
        <w:rPr>
          <w:rFonts w:ascii="Verdana" w:hAnsi="Verdana"/>
          <w:sz w:val="20"/>
          <w:lang w:val="pt-BR"/>
        </w:rPr>
        <w:t>ísticas e históricas que</w:t>
      </w:r>
      <w:r w:rsidR="00060B3A" w:rsidRPr="002F50BD">
        <w:rPr>
          <w:rFonts w:ascii="Verdana" w:hAnsi="Verdana"/>
          <w:sz w:val="20"/>
          <w:lang w:val="pt-BR"/>
        </w:rPr>
        <w:t>,</w:t>
      </w:r>
      <w:r w:rsidRPr="002F50BD">
        <w:rPr>
          <w:rFonts w:ascii="Verdana" w:hAnsi="Verdana"/>
          <w:sz w:val="20"/>
          <w:lang w:val="pt-BR"/>
        </w:rPr>
        <w:t xml:space="preserve"> em tempo</w:t>
      </w:r>
      <w:r w:rsidR="004756C1" w:rsidRPr="002F50BD">
        <w:rPr>
          <w:rFonts w:ascii="Verdana" w:hAnsi="Verdana"/>
          <w:sz w:val="20"/>
          <w:lang w:val="pt-BR"/>
        </w:rPr>
        <w:t>s anteriores</w:t>
      </w:r>
      <w:r w:rsidRPr="002F50BD">
        <w:rPr>
          <w:rFonts w:ascii="Verdana" w:hAnsi="Verdana"/>
          <w:sz w:val="20"/>
          <w:lang w:val="pt-BR"/>
        </w:rPr>
        <w:t xml:space="preserve"> à </w:t>
      </w:r>
      <w:r w:rsidR="004756C1" w:rsidRPr="002F50BD">
        <w:rPr>
          <w:rFonts w:ascii="Verdana" w:hAnsi="Verdana"/>
          <w:sz w:val="20"/>
          <w:lang w:val="pt-BR"/>
        </w:rPr>
        <w:t>desarticula</w:t>
      </w:r>
      <w:r w:rsidRPr="002F50BD">
        <w:rPr>
          <w:rFonts w:ascii="Verdana" w:hAnsi="Verdana"/>
          <w:sz w:val="20"/>
          <w:lang w:val="pt-BR"/>
        </w:rPr>
        <w:t>ção</w:t>
      </w:r>
      <w:r w:rsidR="004756C1" w:rsidRPr="002F50BD">
        <w:rPr>
          <w:rFonts w:ascii="Verdana" w:hAnsi="Verdana"/>
          <w:sz w:val="20"/>
          <w:lang w:val="pt-BR"/>
        </w:rPr>
        <w:t xml:space="preserve"> que </w:t>
      </w:r>
      <w:r w:rsidR="00CD3DEB" w:rsidRPr="002F50BD">
        <w:rPr>
          <w:rFonts w:ascii="Verdana" w:hAnsi="Verdana"/>
          <w:sz w:val="20"/>
          <w:lang w:val="pt-BR"/>
        </w:rPr>
        <w:t>resultou</w:t>
      </w:r>
      <w:r w:rsidRPr="002F50BD">
        <w:rPr>
          <w:rFonts w:ascii="Verdana" w:hAnsi="Verdana"/>
          <w:sz w:val="20"/>
          <w:lang w:val="pt-BR"/>
        </w:rPr>
        <w:t xml:space="preserve"> da </w:t>
      </w:r>
      <w:r w:rsidR="004756C1" w:rsidRPr="002F50BD">
        <w:rPr>
          <w:rFonts w:ascii="Verdana" w:hAnsi="Verdana"/>
          <w:sz w:val="20"/>
          <w:lang w:val="pt-BR"/>
        </w:rPr>
        <w:t>ocupa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 xml:space="preserve">a </w:t>
      </w:r>
      <w:r w:rsidRPr="002F50BD">
        <w:rPr>
          <w:rFonts w:ascii="Verdana" w:hAnsi="Verdana"/>
          <w:sz w:val="20"/>
          <w:lang w:val="pt-BR"/>
        </w:rPr>
        <w:t xml:space="preserve">do território pelo </w:t>
      </w:r>
      <w:r w:rsidR="004756C1" w:rsidRPr="002F50BD">
        <w:rPr>
          <w:rFonts w:ascii="Verdana" w:hAnsi="Verdana"/>
          <w:sz w:val="20"/>
          <w:lang w:val="pt-BR"/>
        </w:rPr>
        <w:t xml:space="preserve">Estado </w:t>
      </w:r>
      <w:r w:rsidR="00CD3DEB"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w:t>
      </w:r>
      <w:r w:rsidR="00060B3A"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estavam</w:t>
      </w:r>
      <w:r w:rsidR="00CD3DEB" w:rsidRPr="002F50BD">
        <w:rPr>
          <w:rFonts w:ascii="Verdana" w:hAnsi="Verdana"/>
          <w:sz w:val="20"/>
          <w:lang w:val="pt-BR"/>
        </w:rPr>
        <w:t xml:space="preserve"> </w:t>
      </w:r>
      <w:r w:rsidR="00060B3A" w:rsidRPr="002F50BD">
        <w:rPr>
          <w:rFonts w:ascii="Verdana" w:hAnsi="Verdana"/>
          <w:sz w:val="20"/>
          <w:lang w:val="pt-BR"/>
        </w:rPr>
        <w:t xml:space="preserve">efetivamente </w:t>
      </w:r>
      <w:r w:rsidR="00CD3DEB" w:rsidRPr="002F50BD">
        <w:rPr>
          <w:rFonts w:ascii="Verdana" w:hAnsi="Verdana"/>
          <w:sz w:val="20"/>
          <w:lang w:val="pt-BR"/>
        </w:rPr>
        <w:t>constituí</w:t>
      </w:r>
      <w:r w:rsidR="004756C1" w:rsidRPr="002F50BD">
        <w:rPr>
          <w:rFonts w:ascii="Verdana" w:hAnsi="Verdana"/>
          <w:sz w:val="20"/>
          <w:lang w:val="pt-BR"/>
        </w:rPr>
        <w:t>das como sociedades</w:t>
      </w:r>
      <w:r w:rsidRPr="002F50BD">
        <w:rPr>
          <w:rFonts w:ascii="Verdana" w:hAnsi="Verdana"/>
          <w:sz w:val="20"/>
          <w:lang w:val="pt-BR"/>
        </w:rPr>
        <w:t xml:space="preserve"> com uma estrutura</w:t>
      </w:r>
      <w:r w:rsidR="004756C1" w:rsidRPr="002F50BD">
        <w:rPr>
          <w:rFonts w:ascii="Verdana" w:hAnsi="Verdana"/>
          <w:sz w:val="20"/>
          <w:lang w:val="pt-BR"/>
        </w:rPr>
        <w:t xml:space="preserve"> política, </w:t>
      </w:r>
      <w:r w:rsidRPr="002F50BD">
        <w:rPr>
          <w:rFonts w:ascii="Verdana" w:hAnsi="Verdana"/>
          <w:sz w:val="20"/>
          <w:lang w:val="pt-BR"/>
        </w:rPr>
        <w:t xml:space="preserve">controle </w:t>
      </w:r>
      <w:r w:rsidR="004756C1" w:rsidRPr="002F50BD">
        <w:rPr>
          <w:rFonts w:ascii="Verdana" w:hAnsi="Verdana"/>
          <w:sz w:val="20"/>
          <w:lang w:val="pt-BR"/>
        </w:rPr>
        <w:t>social</w:t>
      </w:r>
      <w:r w:rsidRPr="002F50BD">
        <w:rPr>
          <w:rFonts w:ascii="Verdana" w:hAnsi="Verdana"/>
          <w:sz w:val="20"/>
          <w:lang w:val="pt-BR"/>
        </w:rPr>
        <w:t xml:space="preserve"> e </w:t>
      </w:r>
      <w:r w:rsidR="004756C1" w:rsidRPr="002F50BD">
        <w:rPr>
          <w:rFonts w:ascii="Verdana" w:hAnsi="Verdana"/>
          <w:sz w:val="20"/>
          <w:lang w:val="pt-BR"/>
        </w:rPr>
        <w:t>organiza</w:t>
      </w:r>
      <w:r w:rsidRPr="002F50BD">
        <w:rPr>
          <w:rFonts w:ascii="Verdana" w:hAnsi="Verdana"/>
          <w:sz w:val="20"/>
          <w:lang w:val="pt-BR"/>
        </w:rPr>
        <w:t>ções</w:t>
      </w:r>
      <w:r w:rsidR="00AB454A" w:rsidRPr="002F50BD">
        <w:rPr>
          <w:rFonts w:ascii="Verdana" w:hAnsi="Verdana"/>
          <w:sz w:val="20"/>
          <w:lang w:val="pt-BR"/>
        </w:rPr>
        <w:t xml:space="preserve"> própria</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diferentes</w:t>
      </w:r>
      <w:r w:rsidRPr="002F50BD">
        <w:rPr>
          <w:rFonts w:ascii="Verdana" w:hAnsi="Verdana"/>
          <w:sz w:val="20"/>
          <w:lang w:val="pt-BR"/>
        </w:rPr>
        <w:t xml:space="preserve"> das </w:t>
      </w:r>
      <w:r w:rsidR="004756C1" w:rsidRPr="002F50BD">
        <w:rPr>
          <w:rFonts w:ascii="Verdana" w:hAnsi="Verdana"/>
          <w:sz w:val="20"/>
          <w:lang w:val="pt-BR"/>
        </w:rPr>
        <w:t xml:space="preserve">de </w:t>
      </w:r>
      <w:r w:rsidRPr="002F50BD">
        <w:rPr>
          <w:rFonts w:ascii="Verdana" w:hAnsi="Verdana"/>
          <w:sz w:val="20"/>
          <w:lang w:val="pt-BR"/>
        </w:rPr>
        <w:t xml:space="preserve">qualquer outra </w:t>
      </w:r>
      <w:r w:rsidR="004756C1" w:rsidRPr="002F50BD">
        <w:rPr>
          <w:rFonts w:ascii="Verdana" w:hAnsi="Verdana"/>
          <w:sz w:val="20"/>
          <w:lang w:val="pt-BR"/>
        </w:rPr>
        <w:t>sociedad</w:t>
      </w:r>
      <w:r w:rsidR="00CD3DEB" w:rsidRPr="002F50BD">
        <w:rPr>
          <w:rFonts w:ascii="Verdana" w:hAnsi="Verdana"/>
          <w:sz w:val="20"/>
          <w:lang w:val="pt-BR"/>
        </w:rPr>
        <w:t>e</w:t>
      </w:r>
      <w:r w:rsidR="00AB454A" w:rsidRPr="002F50BD">
        <w:rPr>
          <w:rFonts w:ascii="Verdana" w:hAnsi="Verdana"/>
          <w:sz w:val="20"/>
          <w:lang w:val="pt-BR"/>
        </w:rPr>
        <w:t xml:space="preserve">. Isto é, </w:t>
      </w:r>
      <w:r w:rsidR="004756C1" w:rsidRPr="002F50BD">
        <w:rPr>
          <w:rFonts w:ascii="Verdana" w:hAnsi="Verdana"/>
          <w:sz w:val="20"/>
          <w:lang w:val="pt-BR"/>
        </w:rPr>
        <w:t xml:space="preserve">a </w:t>
      </w:r>
      <w:r w:rsidR="004076AD" w:rsidRPr="002F50BD">
        <w:rPr>
          <w:rFonts w:ascii="Verdana" w:hAnsi="Verdana"/>
          <w:sz w:val="20"/>
          <w:lang w:val="pt-BR"/>
        </w:rPr>
        <w:t>cada um</w:t>
      </w:r>
      <w:r w:rsidR="00CD3DEB" w:rsidRPr="002F50BD">
        <w:rPr>
          <w:rFonts w:ascii="Verdana" w:hAnsi="Verdana"/>
          <w:sz w:val="20"/>
          <w:lang w:val="pt-BR"/>
        </w:rPr>
        <w:t xml:space="preserve"> </w:t>
      </w:r>
      <w:r w:rsidRPr="002F50BD">
        <w:rPr>
          <w:rFonts w:ascii="Verdana" w:hAnsi="Verdana"/>
          <w:sz w:val="20"/>
          <w:lang w:val="pt-BR"/>
        </w:rPr>
        <w:t>destes povo</w:t>
      </w:r>
      <w:r w:rsidR="004756C1" w:rsidRPr="002F50BD">
        <w:rPr>
          <w:rFonts w:ascii="Verdana" w:hAnsi="Verdana"/>
          <w:sz w:val="20"/>
          <w:lang w:val="pt-BR"/>
        </w:rPr>
        <w:t>s cor</w:t>
      </w:r>
      <w:r w:rsidR="004076AD" w:rsidRPr="002F50BD">
        <w:rPr>
          <w:rFonts w:ascii="Verdana" w:hAnsi="Verdana"/>
          <w:sz w:val="20"/>
          <w:lang w:val="pt-BR"/>
        </w:rPr>
        <w:t>respondeu</w:t>
      </w:r>
      <w:r w:rsidRPr="002F50BD">
        <w:rPr>
          <w:rFonts w:ascii="Verdana" w:hAnsi="Verdana"/>
          <w:sz w:val="20"/>
          <w:lang w:val="pt-BR"/>
        </w:rPr>
        <w:t xml:space="preserve"> na história</w:t>
      </w:r>
      <w:r w:rsidR="00060B3A" w:rsidRPr="002F50BD">
        <w:rPr>
          <w:rFonts w:ascii="Verdana" w:hAnsi="Verdana"/>
          <w:sz w:val="20"/>
          <w:lang w:val="pt-BR"/>
        </w:rPr>
        <w:t xml:space="preserve"> </w:t>
      </w:r>
      <w:r w:rsidRPr="002F50BD">
        <w:rPr>
          <w:rFonts w:ascii="Verdana" w:hAnsi="Verdana"/>
          <w:sz w:val="20"/>
          <w:lang w:val="pt-BR"/>
        </w:rPr>
        <w:t xml:space="preserve">uma </w:t>
      </w:r>
      <w:r w:rsidR="004756C1" w:rsidRPr="002F50BD">
        <w:rPr>
          <w:rFonts w:ascii="Verdana" w:hAnsi="Verdana"/>
          <w:sz w:val="20"/>
          <w:lang w:val="pt-BR"/>
        </w:rPr>
        <w:t>normativa,</w:t>
      </w:r>
      <w:r w:rsidRPr="002F50BD">
        <w:rPr>
          <w:rFonts w:ascii="Verdana" w:hAnsi="Verdana"/>
          <w:sz w:val="20"/>
          <w:lang w:val="pt-BR"/>
        </w:rPr>
        <w:t xml:space="preserve"> uma </w:t>
      </w:r>
      <w:r w:rsidR="00673A61" w:rsidRPr="002F50BD">
        <w:rPr>
          <w:rFonts w:ascii="Verdana" w:hAnsi="Verdana"/>
          <w:sz w:val="20"/>
          <w:lang w:val="pt-BR"/>
        </w:rPr>
        <w:t xml:space="preserve">chefia </w:t>
      </w:r>
      <w:r w:rsidRPr="002F50BD">
        <w:rPr>
          <w:rFonts w:ascii="Verdana" w:hAnsi="Verdana"/>
          <w:sz w:val="20"/>
          <w:lang w:val="pt-BR"/>
        </w:rPr>
        <w:t xml:space="preserve">e um </w:t>
      </w:r>
      <w:r w:rsidR="004756C1" w:rsidRPr="002F50BD">
        <w:rPr>
          <w:rFonts w:ascii="Verdana" w:hAnsi="Verdana"/>
          <w:sz w:val="20"/>
          <w:lang w:val="pt-BR"/>
        </w:rPr>
        <w:t xml:space="preserve">sistema de </w:t>
      </w:r>
      <w:r w:rsidRPr="002F50BD">
        <w:rPr>
          <w:rFonts w:ascii="Verdana" w:hAnsi="Verdana"/>
          <w:sz w:val="20"/>
          <w:lang w:val="pt-BR"/>
        </w:rPr>
        <w:t xml:space="preserve">controle </w:t>
      </w:r>
      <w:r w:rsidR="004756C1" w:rsidRPr="002F50BD">
        <w:rPr>
          <w:rFonts w:ascii="Verdana" w:hAnsi="Verdana"/>
          <w:sz w:val="20"/>
          <w:lang w:val="pt-BR"/>
        </w:rPr>
        <w:t xml:space="preserve">social </w:t>
      </w:r>
      <w:r w:rsidRPr="002F50BD">
        <w:rPr>
          <w:rFonts w:ascii="Verdana" w:hAnsi="Verdana"/>
          <w:sz w:val="20"/>
          <w:lang w:val="pt-BR"/>
        </w:rPr>
        <w:t>independente</w:t>
      </w:r>
      <w:r w:rsidR="004756C1" w:rsidRPr="002F50BD">
        <w:rPr>
          <w:rFonts w:ascii="Verdana" w:hAnsi="Verdana"/>
          <w:sz w:val="20"/>
          <w:lang w:val="pt-BR"/>
        </w:rPr>
        <w:t>s</w:t>
      </w:r>
      <w:r w:rsidRPr="002F50BD">
        <w:rPr>
          <w:rFonts w:ascii="Verdana" w:hAnsi="Verdana"/>
          <w:sz w:val="20"/>
          <w:lang w:val="pt-BR"/>
        </w:rPr>
        <w:t xml:space="preserve"> e os </w:t>
      </w:r>
      <w:r w:rsidR="00673A61" w:rsidRPr="002F50BD">
        <w:rPr>
          <w:rFonts w:ascii="Verdana" w:hAnsi="Verdana"/>
          <w:sz w:val="20"/>
          <w:lang w:val="pt-BR"/>
        </w:rPr>
        <w:t>descend</w:t>
      </w:r>
      <w:r w:rsidR="004756C1" w:rsidRPr="002F50BD">
        <w:rPr>
          <w:rFonts w:ascii="Verdana" w:hAnsi="Verdana"/>
          <w:sz w:val="20"/>
          <w:lang w:val="pt-BR"/>
        </w:rPr>
        <w:t xml:space="preserve">entes de </w:t>
      </w:r>
      <w:r w:rsidR="00AB454A" w:rsidRPr="002F50BD">
        <w:rPr>
          <w:rFonts w:ascii="Verdana" w:hAnsi="Verdana"/>
          <w:sz w:val="20"/>
          <w:lang w:val="pt-BR"/>
        </w:rPr>
        <w:t>seus integrantes</w:t>
      </w:r>
      <w:r w:rsidR="004756C1" w:rsidRPr="002F50BD">
        <w:rPr>
          <w:rFonts w:ascii="Verdana" w:hAnsi="Verdana"/>
          <w:sz w:val="20"/>
          <w:lang w:val="pt-BR"/>
        </w:rPr>
        <w:t xml:space="preserve"> </w:t>
      </w:r>
      <w:r w:rsidR="00673A61" w:rsidRPr="002F50BD">
        <w:rPr>
          <w:rFonts w:ascii="Verdana" w:hAnsi="Verdana"/>
          <w:sz w:val="20"/>
          <w:lang w:val="pt-BR"/>
        </w:rPr>
        <w:t>possuem</w:t>
      </w:r>
      <w:r w:rsidR="004756C1" w:rsidRPr="002F50BD">
        <w:rPr>
          <w:rFonts w:ascii="Verdana" w:hAnsi="Verdana"/>
          <w:sz w:val="20"/>
          <w:lang w:val="pt-BR"/>
        </w:rPr>
        <w:t xml:space="preserve"> </w:t>
      </w:r>
      <w:r w:rsidRPr="002F50BD">
        <w:rPr>
          <w:rFonts w:ascii="Verdana" w:hAnsi="Verdana"/>
          <w:sz w:val="20"/>
          <w:lang w:val="pt-BR"/>
        </w:rPr>
        <w:t>até hoje consciência</w:t>
      </w:r>
      <w:r w:rsidR="004756C1" w:rsidRPr="002F50BD">
        <w:rPr>
          <w:rFonts w:ascii="Verdana" w:hAnsi="Verdana"/>
          <w:sz w:val="20"/>
          <w:lang w:val="pt-BR"/>
        </w:rPr>
        <w:t xml:space="preserve"> de</w:t>
      </w:r>
      <w:r w:rsidRPr="002F50BD">
        <w:rPr>
          <w:rFonts w:ascii="Verdana" w:hAnsi="Verdana"/>
          <w:sz w:val="20"/>
          <w:lang w:val="pt-BR"/>
        </w:rPr>
        <w:t xml:space="preserve"> uma história </w:t>
      </w:r>
      <w:r w:rsidR="004756C1" w:rsidRPr="002F50BD">
        <w:rPr>
          <w:rFonts w:ascii="Verdana" w:hAnsi="Verdana"/>
          <w:sz w:val="20"/>
          <w:lang w:val="pt-BR"/>
        </w:rPr>
        <w:t xml:space="preserve">exclusiva </w:t>
      </w:r>
      <w:r w:rsidRPr="002F50BD">
        <w:rPr>
          <w:rFonts w:ascii="Verdana" w:hAnsi="Verdana"/>
          <w:sz w:val="20"/>
          <w:lang w:val="pt-BR"/>
        </w:rPr>
        <w:t>comum</w:t>
      </w:r>
      <w:r w:rsidR="00AB454A" w:rsidRPr="002F50BD">
        <w:rPr>
          <w:rFonts w:ascii="Verdana" w:hAnsi="Verdana"/>
          <w:sz w:val="20"/>
          <w:lang w:val="pt-BR"/>
        </w:rPr>
        <w:t xml:space="preserve">. No </w:t>
      </w:r>
      <w:r w:rsidR="004756C1" w:rsidRPr="002F50BD">
        <w:rPr>
          <w:rFonts w:ascii="Verdana" w:hAnsi="Verdana"/>
          <w:sz w:val="20"/>
          <w:lang w:val="pt-BR"/>
        </w:rPr>
        <w:t>se</w:t>
      </w:r>
      <w:r w:rsidR="00673A61" w:rsidRPr="002F50BD">
        <w:rPr>
          <w:rFonts w:ascii="Verdana" w:hAnsi="Verdana"/>
          <w:sz w:val="20"/>
          <w:lang w:val="pt-BR"/>
        </w:rPr>
        <w:t>i</w:t>
      </w:r>
      <w:r w:rsidR="004756C1" w:rsidRPr="002F50BD">
        <w:rPr>
          <w:rFonts w:ascii="Verdana" w:hAnsi="Verdana"/>
          <w:sz w:val="20"/>
          <w:lang w:val="pt-BR"/>
        </w:rPr>
        <w:t xml:space="preserve">o de </w:t>
      </w:r>
      <w:r w:rsidR="004076AD" w:rsidRPr="002F50BD">
        <w:rPr>
          <w:rFonts w:ascii="Verdana" w:hAnsi="Verdana"/>
          <w:sz w:val="20"/>
          <w:lang w:val="pt-BR"/>
        </w:rPr>
        <w:t>cada um</w:t>
      </w:r>
      <w:r w:rsidR="00673A61" w:rsidRPr="002F50BD">
        <w:rPr>
          <w:rFonts w:ascii="Verdana" w:hAnsi="Verdana"/>
          <w:sz w:val="20"/>
          <w:lang w:val="pt-BR"/>
        </w:rPr>
        <w:t xml:space="preserve"> </w:t>
      </w:r>
      <w:r w:rsidRPr="002F50BD">
        <w:rPr>
          <w:rFonts w:ascii="Verdana" w:hAnsi="Verdana"/>
          <w:sz w:val="20"/>
          <w:lang w:val="pt-BR"/>
        </w:rPr>
        <w:t xml:space="preserve">destes </w:t>
      </w:r>
      <w:r w:rsidR="004756C1" w:rsidRPr="002F50BD">
        <w:rPr>
          <w:rFonts w:ascii="Verdana" w:hAnsi="Verdana"/>
          <w:sz w:val="20"/>
          <w:lang w:val="pt-BR"/>
        </w:rPr>
        <w:t>sistemas normativos,</w:t>
      </w:r>
      <w:r w:rsidRPr="002F50BD">
        <w:rPr>
          <w:rFonts w:ascii="Verdana" w:hAnsi="Verdana"/>
          <w:sz w:val="20"/>
          <w:lang w:val="pt-BR"/>
        </w:rPr>
        <w:t xml:space="preserve"> os sujeito</w:t>
      </w:r>
      <w:r w:rsidR="004756C1" w:rsidRPr="002F50BD">
        <w:rPr>
          <w:rFonts w:ascii="Verdana" w:hAnsi="Verdana"/>
          <w:sz w:val="20"/>
          <w:lang w:val="pt-BR"/>
        </w:rPr>
        <w:t xml:space="preserve">s de </w:t>
      </w:r>
      <w:r w:rsidRPr="002F50BD">
        <w:rPr>
          <w:rFonts w:ascii="Verdana" w:hAnsi="Verdana"/>
          <w:sz w:val="20"/>
          <w:lang w:val="pt-BR"/>
        </w:rPr>
        <w:t>direito</w:t>
      </w:r>
      <w:r w:rsidR="00673A61" w:rsidRPr="002F50BD">
        <w:rPr>
          <w:rFonts w:ascii="Verdana" w:hAnsi="Verdana"/>
          <w:sz w:val="20"/>
          <w:lang w:val="pt-BR"/>
        </w:rPr>
        <w:t xml:space="preserve"> eram</w:t>
      </w:r>
      <w:r w:rsidR="004756C1" w:rsidRPr="002F50BD">
        <w:rPr>
          <w:rFonts w:ascii="Verdana" w:hAnsi="Verdana"/>
          <w:sz w:val="20"/>
          <w:lang w:val="pt-BR"/>
        </w:rPr>
        <w:t xml:space="preserve">, </w:t>
      </w:r>
      <w:r w:rsidRPr="002F50BD">
        <w:rPr>
          <w:rFonts w:ascii="Verdana" w:hAnsi="Verdana"/>
          <w:sz w:val="20"/>
          <w:lang w:val="pt-BR"/>
        </w:rPr>
        <w:t xml:space="preserve">mais </w:t>
      </w:r>
      <w:r w:rsidR="004756C1" w:rsidRPr="002F50BD">
        <w:rPr>
          <w:rFonts w:ascii="Verdana" w:hAnsi="Verdana"/>
          <w:sz w:val="20"/>
          <w:lang w:val="pt-BR"/>
        </w:rPr>
        <w:t xml:space="preserve">que </w:t>
      </w:r>
      <w:r w:rsidRPr="002F50BD">
        <w:rPr>
          <w:rFonts w:ascii="Verdana" w:hAnsi="Verdana"/>
          <w:sz w:val="20"/>
          <w:lang w:val="pt-BR"/>
        </w:rPr>
        <w:t>pessoa</w:t>
      </w:r>
      <w:r w:rsidR="004756C1" w:rsidRPr="002F50BD">
        <w:rPr>
          <w:rFonts w:ascii="Verdana" w:hAnsi="Verdana"/>
          <w:sz w:val="20"/>
          <w:lang w:val="pt-BR"/>
        </w:rPr>
        <w:t xml:space="preserve">s </w:t>
      </w:r>
      <w:r w:rsidRPr="002F50BD">
        <w:rPr>
          <w:rFonts w:ascii="Verdana" w:hAnsi="Verdana"/>
          <w:sz w:val="20"/>
          <w:lang w:val="pt-BR"/>
        </w:rPr>
        <w:t>individuais</w:t>
      </w:r>
      <w:r w:rsidR="004756C1" w:rsidRPr="002F50BD">
        <w:rPr>
          <w:rFonts w:ascii="Verdana" w:hAnsi="Verdana"/>
          <w:sz w:val="20"/>
          <w:lang w:val="pt-BR"/>
        </w:rPr>
        <w:t xml:space="preserve">, </w:t>
      </w:r>
      <w:r w:rsidR="00673A61" w:rsidRPr="002F50BD">
        <w:rPr>
          <w:rFonts w:ascii="Verdana" w:hAnsi="Verdana"/>
          <w:sz w:val="20"/>
          <w:lang w:val="pt-BR"/>
        </w:rPr>
        <w:t>grupos</w:t>
      </w:r>
      <w:r w:rsidR="004756C1" w:rsidRPr="002F50BD">
        <w:rPr>
          <w:rFonts w:ascii="Verdana" w:hAnsi="Verdana"/>
          <w:sz w:val="20"/>
          <w:lang w:val="pt-BR"/>
        </w:rPr>
        <w:t xml:space="preserve"> </w:t>
      </w:r>
      <w:r w:rsidR="00493846" w:rsidRPr="002F50BD">
        <w:rPr>
          <w:rFonts w:ascii="Verdana" w:hAnsi="Verdana"/>
          <w:sz w:val="20"/>
          <w:lang w:val="pt-BR"/>
        </w:rPr>
        <w:t xml:space="preserve">organizados </w:t>
      </w:r>
      <w:r w:rsidR="004756C1" w:rsidRPr="002F50BD">
        <w:rPr>
          <w:rFonts w:ascii="Verdana" w:hAnsi="Verdana"/>
          <w:sz w:val="20"/>
          <w:lang w:val="pt-BR"/>
        </w:rPr>
        <w:t xml:space="preserve">como </w:t>
      </w:r>
      <w:r w:rsidR="005A6BC7" w:rsidRPr="002F50BD">
        <w:rPr>
          <w:rFonts w:ascii="Verdana" w:hAnsi="Verdana"/>
          <w:sz w:val="20"/>
          <w:lang w:val="pt-BR"/>
        </w:rPr>
        <w:t>família</w:t>
      </w:r>
      <w:r w:rsidR="004756C1" w:rsidRPr="002F50BD">
        <w:rPr>
          <w:rFonts w:ascii="Verdana" w:hAnsi="Verdana"/>
          <w:sz w:val="20"/>
          <w:lang w:val="pt-BR"/>
        </w:rPr>
        <w:t>s. Por</w:t>
      </w:r>
      <w:r w:rsidRPr="002F50BD">
        <w:rPr>
          <w:rFonts w:ascii="Verdana" w:hAnsi="Verdana"/>
          <w:sz w:val="20"/>
          <w:lang w:val="pt-BR"/>
        </w:rPr>
        <w:t xml:space="preserve"> </w:t>
      </w:r>
      <w:r w:rsidR="00673A61" w:rsidRPr="002F50BD">
        <w:rPr>
          <w:rFonts w:ascii="Verdana" w:hAnsi="Verdana"/>
          <w:sz w:val="20"/>
          <w:lang w:val="pt-BR"/>
        </w:rPr>
        <w:t>isso</w:t>
      </w:r>
      <w:r w:rsidR="004756C1" w:rsidRPr="002F50BD">
        <w:rPr>
          <w:rFonts w:ascii="Verdana" w:hAnsi="Verdana"/>
          <w:sz w:val="20"/>
          <w:lang w:val="pt-BR"/>
        </w:rPr>
        <w:t>,</w:t>
      </w:r>
      <w:r w:rsidRPr="002F50BD">
        <w:rPr>
          <w:rFonts w:ascii="Verdana" w:hAnsi="Verdana"/>
          <w:sz w:val="20"/>
          <w:lang w:val="pt-BR"/>
        </w:rPr>
        <w:t xml:space="preserve"> as </w:t>
      </w:r>
      <w:r w:rsidR="004756C1" w:rsidRPr="002F50BD">
        <w:rPr>
          <w:rFonts w:ascii="Verdana" w:hAnsi="Verdana"/>
          <w:sz w:val="20"/>
          <w:lang w:val="pt-BR"/>
        </w:rPr>
        <w:t>comunidades</w:t>
      </w:r>
      <w:r w:rsidR="00673A61" w:rsidRPr="002F50BD">
        <w:rPr>
          <w:rFonts w:ascii="Verdana" w:hAnsi="Verdana"/>
          <w:sz w:val="20"/>
          <w:lang w:val="pt-BR"/>
        </w:rPr>
        <w:t xml:space="preserve"> modernas</w:t>
      </w:r>
      <w:r w:rsidR="004756C1" w:rsidRPr="002F50BD">
        <w:rPr>
          <w:rFonts w:ascii="Verdana" w:hAnsi="Verdana"/>
          <w:sz w:val="20"/>
          <w:lang w:val="pt-BR"/>
        </w:rPr>
        <w:t>, que</w:t>
      </w:r>
      <w:r w:rsidRPr="002F50BD">
        <w:rPr>
          <w:rFonts w:ascii="Verdana" w:hAnsi="Verdana"/>
          <w:sz w:val="20"/>
          <w:lang w:val="pt-BR"/>
        </w:rPr>
        <w:t xml:space="preserve"> são a expressão</w:t>
      </w:r>
      <w:r w:rsidR="004756C1" w:rsidRPr="002F50BD">
        <w:rPr>
          <w:rFonts w:ascii="Verdana" w:hAnsi="Verdana"/>
          <w:sz w:val="20"/>
          <w:lang w:val="pt-BR"/>
        </w:rPr>
        <w:t xml:space="preserve"> sedentarizada</w:t>
      </w:r>
      <w:r w:rsidRPr="002F50BD">
        <w:rPr>
          <w:rFonts w:ascii="Verdana" w:hAnsi="Verdana"/>
          <w:sz w:val="20"/>
          <w:lang w:val="pt-BR"/>
        </w:rPr>
        <w:t xml:space="preserve"> </w:t>
      </w:r>
      <w:r w:rsidR="00673A61" w:rsidRPr="002F50BD">
        <w:rPr>
          <w:rFonts w:ascii="Verdana" w:hAnsi="Verdana"/>
          <w:sz w:val="20"/>
          <w:lang w:val="pt-BR"/>
        </w:rPr>
        <w:t>do</w:t>
      </w:r>
      <w:r w:rsidRPr="002F50BD">
        <w:rPr>
          <w:rFonts w:ascii="Verdana" w:hAnsi="Verdana"/>
          <w:sz w:val="20"/>
          <w:lang w:val="pt-BR"/>
        </w:rPr>
        <w:t xml:space="preserve">s </w:t>
      </w:r>
      <w:r w:rsidR="00673A61" w:rsidRPr="002F50BD">
        <w:rPr>
          <w:rFonts w:ascii="Verdana" w:hAnsi="Verdana"/>
          <w:sz w:val="20"/>
          <w:lang w:val="pt-BR"/>
        </w:rPr>
        <w:t xml:space="preserve">grupos </w:t>
      </w:r>
      <w:r w:rsidR="004756C1" w:rsidRPr="002F50BD">
        <w:rPr>
          <w:rFonts w:ascii="Verdana" w:hAnsi="Verdana"/>
          <w:sz w:val="20"/>
          <w:lang w:val="pt-BR"/>
        </w:rPr>
        <w:t>tr</w:t>
      </w:r>
      <w:r w:rsidRPr="002F50BD">
        <w:rPr>
          <w:rFonts w:ascii="Verdana" w:hAnsi="Verdana"/>
          <w:sz w:val="20"/>
          <w:lang w:val="pt-BR"/>
        </w:rPr>
        <w:t>adicionais</w:t>
      </w:r>
      <w:r w:rsidR="004756C1" w:rsidRPr="002F50BD">
        <w:rPr>
          <w:rFonts w:ascii="Verdana" w:hAnsi="Verdana"/>
          <w:sz w:val="20"/>
          <w:lang w:val="pt-BR"/>
        </w:rPr>
        <w:t xml:space="preserve">, </w:t>
      </w:r>
      <w:r w:rsidR="004076AD" w:rsidRPr="002F50BD">
        <w:rPr>
          <w:rFonts w:ascii="Verdana" w:hAnsi="Verdana"/>
          <w:sz w:val="20"/>
          <w:lang w:val="pt-BR"/>
        </w:rPr>
        <w:t>deveria</w:t>
      </w:r>
      <w:r w:rsidR="00060B3A" w:rsidRPr="002F50BD">
        <w:rPr>
          <w:rFonts w:ascii="Verdana" w:hAnsi="Verdana"/>
          <w:sz w:val="20"/>
          <w:lang w:val="pt-BR"/>
        </w:rPr>
        <w:t>m ser considerada</w:t>
      </w:r>
      <w:r w:rsidR="004756C1" w:rsidRPr="002F50BD">
        <w:rPr>
          <w:rFonts w:ascii="Verdana" w:hAnsi="Verdana"/>
          <w:sz w:val="20"/>
          <w:lang w:val="pt-BR"/>
        </w:rPr>
        <w:t xml:space="preserve">s </w:t>
      </w:r>
      <w:r w:rsidRPr="002F50BD">
        <w:rPr>
          <w:rFonts w:ascii="Verdana" w:hAnsi="Verdana"/>
          <w:sz w:val="20"/>
          <w:lang w:val="pt-BR"/>
        </w:rPr>
        <w:t>sujeito</w:t>
      </w:r>
      <w:r w:rsidR="004756C1" w:rsidRPr="002F50BD">
        <w:rPr>
          <w:rFonts w:ascii="Verdana" w:hAnsi="Verdana"/>
          <w:sz w:val="20"/>
          <w:lang w:val="pt-BR"/>
        </w:rPr>
        <w:t xml:space="preserve">s de </w:t>
      </w:r>
      <w:r w:rsidRPr="002F50BD">
        <w:rPr>
          <w:rFonts w:ascii="Verdana" w:hAnsi="Verdana"/>
          <w:sz w:val="20"/>
          <w:lang w:val="pt-BR"/>
        </w:rPr>
        <w:t xml:space="preserve">direito se o respeito </w:t>
      </w:r>
      <w:r w:rsidR="00493846" w:rsidRPr="002F50BD">
        <w:rPr>
          <w:rFonts w:ascii="Verdana" w:hAnsi="Verdana"/>
          <w:sz w:val="20"/>
          <w:lang w:val="pt-BR"/>
        </w:rPr>
        <w:t>à</w:t>
      </w:r>
      <w:r w:rsidRPr="002F50BD">
        <w:rPr>
          <w:rFonts w:ascii="Verdana" w:hAnsi="Verdana"/>
          <w:sz w:val="20"/>
          <w:lang w:val="pt-BR"/>
        </w:rPr>
        <w:t>s categoria</w:t>
      </w:r>
      <w:r w:rsidR="004756C1" w:rsidRPr="002F50BD">
        <w:rPr>
          <w:rFonts w:ascii="Verdana" w:hAnsi="Verdana"/>
          <w:sz w:val="20"/>
          <w:lang w:val="pt-BR"/>
        </w:rPr>
        <w:t>s</w:t>
      </w:r>
      <w:r w:rsidRPr="002F50BD">
        <w:rPr>
          <w:rFonts w:ascii="Verdana" w:hAnsi="Verdana"/>
          <w:sz w:val="20"/>
          <w:lang w:val="pt-BR"/>
        </w:rPr>
        <w:t xml:space="preserve"> dos </w:t>
      </w:r>
      <w:r w:rsidR="004756C1" w:rsidRPr="002F50BD">
        <w:rPr>
          <w:rFonts w:ascii="Verdana" w:hAnsi="Verdana"/>
          <w:sz w:val="20"/>
          <w:lang w:val="pt-BR"/>
        </w:rPr>
        <w:t xml:space="preserve">sistemas normativos </w:t>
      </w:r>
      <w:r w:rsidRPr="002F50BD">
        <w:rPr>
          <w:rFonts w:ascii="Verdana" w:hAnsi="Verdana"/>
          <w:sz w:val="20"/>
          <w:lang w:val="pt-BR"/>
        </w:rPr>
        <w:t>originais</w:t>
      </w:r>
      <w:r w:rsidR="00673A61" w:rsidRPr="002F50BD">
        <w:rPr>
          <w:rFonts w:ascii="Verdana" w:hAnsi="Verdana"/>
          <w:sz w:val="20"/>
          <w:lang w:val="pt-BR"/>
        </w:rPr>
        <w:t xml:space="preserve"> é um objetivo</w:t>
      </w:r>
      <w:r w:rsidR="00AB454A" w:rsidRPr="002F50BD">
        <w:rPr>
          <w:rFonts w:ascii="Verdana" w:hAnsi="Verdana"/>
          <w:sz w:val="20"/>
          <w:lang w:val="pt-BR"/>
        </w:rPr>
        <w:t xml:space="preserve">. No </w:t>
      </w:r>
      <w:r w:rsidR="004756C1" w:rsidRPr="002F50BD">
        <w:rPr>
          <w:rFonts w:ascii="Verdana" w:hAnsi="Verdana"/>
          <w:sz w:val="20"/>
          <w:lang w:val="pt-BR"/>
        </w:rPr>
        <w:t>caso particular, se</w:t>
      </w:r>
      <w:r w:rsidRPr="002F50BD">
        <w:rPr>
          <w:rFonts w:ascii="Verdana" w:hAnsi="Verdana"/>
          <w:sz w:val="20"/>
          <w:lang w:val="pt-BR"/>
        </w:rPr>
        <w:t xml:space="preserve"> faz referência ao povo dos </w:t>
      </w:r>
      <w:r w:rsidR="004756C1" w:rsidRPr="002F50BD">
        <w:rPr>
          <w:rFonts w:ascii="Verdana" w:hAnsi="Verdana"/>
          <w:sz w:val="20"/>
          <w:lang w:val="pt-BR"/>
        </w:rPr>
        <w:t>Chanawatsan, o</w:t>
      </w:r>
      <w:r w:rsidR="00673A61" w:rsidRPr="002F50BD">
        <w:rPr>
          <w:rFonts w:ascii="Verdana" w:hAnsi="Verdana"/>
          <w:sz w:val="20"/>
          <w:lang w:val="pt-BR"/>
        </w:rPr>
        <w:t>u</w:t>
      </w:r>
      <w:r w:rsidRPr="002F50BD">
        <w:rPr>
          <w:rFonts w:ascii="Verdana" w:hAnsi="Verdana"/>
          <w:sz w:val="20"/>
          <w:lang w:val="pt-BR"/>
        </w:rPr>
        <w:t xml:space="preserve"> seja</w:t>
      </w:r>
      <w:r w:rsidR="00060B3A" w:rsidRPr="002F50BD">
        <w:rPr>
          <w:rFonts w:ascii="Verdana" w:hAnsi="Verdana"/>
          <w:sz w:val="20"/>
          <w:lang w:val="pt-BR"/>
        </w:rPr>
        <w:t>,</w:t>
      </w:r>
      <w:r w:rsidRPr="002F50BD">
        <w:rPr>
          <w:rFonts w:ascii="Verdana" w:hAnsi="Verdana"/>
          <w:sz w:val="20"/>
          <w:lang w:val="pt-BR"/>
        </w:rPr>
        <w:t xml:space="preserve"> aos </w:t>
      </w:r>
      <w:r w:rsidR="004756C1" w:rsidRPr="002F50BD">
        <w:rPr>
          <w:rFonts w:ascii="Verdana" w:hAnsi="Verdana"/>
          <w:sz w:val="20"/>
          <w:lang w:val="pt-BR"/>
        </w:rPr>
        <w:t xml:space="preserve">indígenas que </w:t>
      </w:r>
      <w:r w:rsidR="00673A61" w:rsidRPr="002F50BD">
        <w:rPr>
          <w:rFonts w:ascii="Verdana" w:hAnsi="Verdana"/>
          <w:sz w:val="20"/>
          <w:lang w:val="pt-BR"/>
        </w:rPr>
        <w:t xml:space="preserve">falavam </w:t>
      </w:r>
      <w:r w:rsidRPr="002F50BD">
        <w:rPr>
          <w:rFonts w:ascii="Verdana" w:hAnsi="Verdana"/>
          <w:sz w:val="20"/>
          <w:lang w:val="pt-BR"/>
        </w:rPr>
        <w:t xml:space="preserve">um </w:t>
      </w:r>
      <w:r w:rsidR="00673A61" w:rsidRPr="002F50BD">
        <w:rPr>
          <w:rFonts w:ascii="Verdana" w:hAnsi="Verdana"/>
          <w:sz w:val="20"/>
          <w:lang w:val="pt-BR"/>
        </w:rPr>
        <w:t>diale</w:t>
      </w:r>
      <w:r w:rsidR="004756C1" w:rsidRPr="002F50BD">
        <w:rPr>
          <w:rFonts w:ascii="Verdana" w:hAnsi="Verdana"/>
          <w:sz w:val="20"/>
          <w:lang w:val="pt-BR"/>
        </w:rPr>
        <w:t xml:space="preserve">to </w:t>
      </w:r>
      <w:r w:rsidRPr="002F50BD">
        <w:rPr>
          <w:rFonts w:ascii="Verdana" w:hAnsi="Verdana"/>
          <w:sz w:val="20"/>
          <w:lang w:val="pt-BR"/>
        </w:rPr>
        <w:t xml:space="preserve">do </w:t>
      </w:r>
      <w:r w:rsidR="004756C1" w:rsidRPr="002F50BD">
        <w:rPr>
          <w:rFonts w:ascii="Verdana" w:hAnsi="Verdana"/>
          <w:sz w:val="20"/>
          <w:lang w:val="pt-BR"/>
        </w:rPr>
        <w:t xml:space="preserve">enxet </w:t>
      </w:r>
      <w:r w:rsidR="00CF451D" w:rsidRPr="00CF451D">
        <w:rPr>
          <w:rFonts w:ascii="Verdana" w:hAnsi="Verdana"/>
          <w:sz w:val="20"/>
          <w:lang w:val="pt-BR"/>
        </w:rPr>
        <w:t>(</w:t>
      </w:r>
      <w:r w:rsidR="00060B3A" w:rsidRPr="002F50BD">
        <w:rPr>
          <w:rFonts w:ascii="Verdana" w:hAnsi="Verdana"/>
          <w:sz w:val="20"/>
          <w:lang w:val="pt-BR"/>
        </w:rPr>
        <w:t>le</w:t>
      </w:r>
      <w:r w:rsidR="00CD3DEB" w:rsidRPr="002F50BD">
        <w:rPr>
          <w:rFonts w:ascii="Verdana" w:hAnsi="Verdana"/>
          <w:sz w:val="20"/>
          <w:lang w:val="pt-BR"/>
        </w:rPr>
        <w:t>ngua</w:t>
      </w:r>
      <w:r w:rsidR="00CF451D" w:rsidRPr="00CF451D">
        <w:rPr>
          <w:rFonts w:ascii="Verdana" w:hAnsi="Verdana"/>
          <w:sz w:val="20"/>
          <w:lang w:val="pt-BR"/>
        </w:rPr>
        <w:t>)</w:t>
      </w:r>
      <w:r w:rsidR="004756C1" w:rsidRPr="002F50BD">
        <w:rPr>
          <w:rFonts w:ascii="Verdana" w:hAnsi="Verdana"/>
          <w:sz w:val="20"/>
          <w:lang w:val="pt-BR"/>
        </w:rPr>
        <w:t>, que vi</w:t>
      </w:r>
      <w:r w:rsidRPr="002F50BD">
        <w:rPr>
          <w:rFonts w:ascii="Verdana" w:hAnsi="Verdana"/>
          <w:sz w:val="20"/>
          <w:lang w:val="pt-BR"/>
        </w:rPr>
        <w:t>via</w:t>
      </w:r>
      <w:r w:rsidR="00673A61" w:rsidRPr="002F50BD">
        <w:rPr>
          <w:rFonts w:ascii="Verdana" w:hAnsi="Verdana"/>
          <w:sz w:val="20"/>
          <w:lang w:val="pt-BR"/>
        </w:rPr>
        <w:t>m</w:t>
      </w:r>
      <w:r w:rsidR="004756C1" w:rsidRPr="002F50BD">
        <w:rPr>
          <w:rFonts w:ascii="Verdana" w:hAnsi="Verdana"/>
          <w:sz w:val="20"/>
          <w:lang w:val="pt-BR"/>
        </w:rPr>
        <w:t xml:space="preserve"> junto</w:t>
      </w:r>
      <w:r w:rsidRPr="002F50BD">
        <w:rPr>
          <w:rFonts w:ascii="Verdana" w:hAnsi="Verdana"/>
          <w:sz w:val="20"/>
          <w:lang w:val="pt-BR"/>
        </w:rPr>
        <w:t xml:space="preserve"> ao </w:t>
      </w:r>
      <w:r w:rsidR="00673A61" w:rsidRPr="002F50BD">
        <w:rPr>
          <w:rFonts w:ascii="Verdana" w:hAnsi="Verdana"/>
          <w:sz w:val="20"/>
          <w:lang w:val="pt-BR"/>
        </w:rPr>
        <w:t>R</w:t>
      </w:r>
      <w:r w:rsidRPr="002F50BD">
        <w:rPr>
          <w:rFonts w:ascii="Verdana" w:hAnsi="Verdana"/>
          <w:sz w:val="20"/>
          <w:lang w:val="pt-BR"/>
        </w:rPr>
        <w:t>io Paraguai</w:t>
      </w:r>
      <w:r w:rsidR="004756C1" w:rsidRPr="002F50BD">
        <w:rPr>
          <w:rFonts w:ascii="Verdana" w:hAnsi="Verdana"/>
          <w:sz w:val="20"/>
          <w:lang w:val="pt-BR"/>
        </w:rPr>
        <w:t xml:space="preserve">, </w:t>
      </w:r>
      <w:r w:rsidR="00673A61" w:rsidRPr="002F50BD">
        <w:rPr>
          <w:rFonts w:ascii="Verdana" w:hAnsi="Verdana"/>
          <w:sz w:val="20"/>
          <w:lang w:val="pt-BR"/>
        </w:rPr>
        <w:t xml:space="preserve">em </w:t>
      </w:r>
      <w:r w:rsidR="004756C1" w:rsidRPr="002F50BD">
        <w:rPr>
          <w:rFonts w:ascii="Verdana" w:hAnsi="Verdana"/>
          <w:sz w:val="20"/>
          <w:lang w:val="pt-BR"/>
        </w:rPr>
        <w:t>frente</w:t>
      </w:r>
      <w:r w:rsidRPr="002F50BD">
        <w:rPr>
          <w:rFonts w:ascii="Verdana" w:hAnsi="Verdana"/>
          <w:sz w:val="20"/>
          <w:lang w:val="pt-BR"/>
        </w:rPr>
        <w:t xml:space="preserve"> à cidade</w:t>
      </w:r>
      <w:r w:rsidR="004756C1" w:rsidRPr="002F50BD">
        <w:rPr>
          <w:rFonts w:ascii="Verdana" w:hAnsi="Verdana"/>
          <w:sz w:val="20"/>
          <w:lang w:val="pt-BR"/>
        </w:rPr>
        <w:t xml:space="preserve"> de </w:t>
      </w:r>
      <w:r w:rsidR="00313394" w:rsidRPr="002F50BD">
        <w:rPr>
          <w:rFonts w:ascii="Verdana" w:hAnsi="Verdana"/>
          <w:sz w:val="20"/>
          <w:lang w:val="pt-BR"/>
        </w:rPr>
        <w:t>Concepción</w:t>
      </w:r>
      <w:r w:rsidRPr="002F50BD">
        <w:rPr>
          <w:rFonts w:ascii="Verdana" w:hAnsi="Verdana"/>
          <w:sz w:val="20"/>
          <w:lang w:val="pt-BR"/>
        </w:rPr>
        <w:t>, e</w:t>
      </w:r>
      <w:r w:rsidR="004756C1" w:rsidRPr="002F50BD">
        <w:rPr>
          <w:rFonts w:ascii="Verdana" w:hAnsi="Verdana"/>
          <w:sz w:val="20"/>
          <w:lang w:val="pt-BR"/>
        </w:rPr>
        <w:t xml:space="preserve"> que </w:t>
      </w:r>
      <w:r w:rsidRPr="002F50BD">
        <w:rPr>
          <w:rFonts w:ascii="Verdana" w:hAnsi="Verdana"/>
          <w:sz w:val="20"/>
          <w:lang w:val="pt-BR"/>
        </w:rPr>
        <w:t xml:space="preserve">tinham um </w:t>
      </w:r>
      <w:r w:rsidR="004756C1" w:rsidRPr="002F50BD">
        <w:rPr>
          <w:rFonts w:ascii="Verdana" w:hAnsi="Verdana"/>
          <w:sz w:val="20"/>
          <w:lang w:val="pt-BR"/>
        </w:rPr>
        <w:t>modo de ocupa</w:t>
      </w:r>
      <w:r w:rsidRPr="002F50BD">
        <w:rPr>
          <w:rFonts w:ascii="Verdana" w:hAnsi="Verdana"/>
          <w:sz w:val="20"/>
          <w:lang w:val="pt-BR"/>
        </w:rPr>
        <w:t>ção</w:t>
      </w:r>
      <w:r w:rsidR="004756C1" w:rsidRPr="002F50BD">
        <w:rPr>
          <w:rFonts w:ascii="Verdana" w:hAnsi="Verdana"/>
          <w:sz w:val="20"/>
          <w:lang w:val="pt-BR"/>
        </w:rPr>
        <w:t xml:space="preserve"> tradicional de </w:t>
      </w:r>
      <w:r w:rsidR="00AB454A" w:rsidRPr="002F50BD">
        <w:rPr>
          <w:rFonts w:ascii="Verdana" w:hAnsi="Verdana"/>
          <w:sz w:val="20"/>
          <w:lang w:val="pt-BR"/>
        </w:rPr>
        <w:t>caça</w:t>
      </w:r>
      <w:r w:rsidR="004756C1" w:rsidRPr="002F50BD">
        <w:rPr>
          <w:rFonts w:ascii="Verdana" w:hAnsi="Verdana"/>
          <w:sz w:val="20"/>
          <w:lang w:val="pt-BR"/>
        </w:rPr>
        <w:t>dores-</w:t>
      </w:r>
      <w:r w:rsidR="00673A61" w:rsidRPr="002F50BD">
        <w:rPr>
          <w:rFonts w:ascii="Verdana" w:hAnsi="Verdana"/>
          <w:sz w:val="20"/>
          <w:lang w:val="pt-BR"/>
        </w:rPr>
        <w:t>cole</w:t>
      </w:r>
      <w:r w:rsidR="004756C1" w:rsidRPr="002F50BD">
        <w:rPr>
          <w:rFonts w:ascii="Verdana" w:hAnsi="Verdana"/>
          <w:sz w:val="20"/>
          <w:lang w:val="pt-BR"/>
        </w:rPr>
        <w:t>tores.</w:t>
      </w:r>
    </w:p>
    <w:p w:rsidR="004756C1" w:rsidRPr="002F50BD" w:rsidRDefault="004756C1">
      <w:pPr>
        <w:jc w:val="both"/>
        <w:rPr>
          <w:rFonts w:ascii="Verdana" w:hAnsi="Verdana"/>
          <w:sz w:val="20"/>
          <w:lang w:val="pt-BR"/>
        </w:rPr>
      </w:pPr>
    </w:p>
    <w:p w:rsidR="004756C1" w:rsidRPr="002F50BD" w:rsidRDefault="00CE0857">
      <w:pPr>
        <w:jc w:val="both"/>
        <w:rPr>
          <w:rFonts w:ascii="Verdana" w:hAnsi="Verdana"/>
          <w:sz w:val="20"/>
          <w:lang w:val="pt-BR"/>
        </w:rPr>
      </w:pPr>
      <w:r w:rsidRPr="002F50BD">
        <w:rPr>
          <w:rFonts w:ascii="Verdana" w:hAnsi="Verdana"/>
          <w:sz w:val="20"/>
          <w:lang w:val="pt-BR"/>
        </w:rPr>
        <w:t>Com</w:t>
      </w:r>
      <w:r w:rsidR="004756C1" w:rsidRPr="002F50BD">
        <w:rPr>
          <w:rFonts w:ascii="Verdana" w:hAnsi="Verdana"/>
          <w:sz w:val="20"/>
          <w:lang w:val="pt-BR"/>
        </w:rPr>
        <w:t xml:space="preserve"> </w:t>
      </w:r>
      <w:r w:rsidR="0089298C" w:rsidRPr="002F50BD">
        <w:rPr>
          <w:rFonts w:ascii="Verdana" w:hAnsi="Verdana"/>
          <w:sz w:val="20"/>
          <w:lang w:val="pt-BR"/>
        </w:rPr>
        <w:t xml:space="preserve">respeito à </w:t>
      </w:r>
      <w:r w:rsidR="00A50140" w:rsidRPr="002F50BD">
        <w:rPr>
          <w:rFonts w:ascii="Verdana" w:hAnsi="Verdana"/>
          <w:sz w:val="20"/>
          <w:lang w:val="pt-BR"/>
        </w:rPr>
        <w:t>posse</w:t>
      </w:r>
      <w:r w:rsidR="0089298C" w:rsidRPr="002F50BD">
        <w:rPr>
          <w:rFonts w:ascii="Verdana" w:hAnsi="Verdana"/>
          <w:sz w:val="20"/>
          <w:lang w:val="pt-BR"/>
        </w:rPr>
        <w:t xml:space="preserve"> da terra</w:t>
      </w:r>
      <w:r w:rsidR="004756C1" w:rsidRPr="002F50BD">
        <w:rPr>
          <w:rFonts w:ascii="Verdana" w:hAnsi="Verdana"/>
          <w:sz w:val="20"/>
          <w:lang w:val="pt-BR"/>
        </w:rPr>
        <w:t xml:space="preserve"> indígena</w:t>
      </w:r>
      <w:r w:rsidR="00493846" w:rsidRPr="002F50BD">
        <w:rPr>
          <w:rFonts w:ascii="Verdana" w:hAnsi="Verdana"/>
          <w:sz w:val="20"/>
          <w:lang w:val="pt-BR"/>
        </w:rPr>
        <w:t>,</w:t>
      </w:r>
      <w:r w:rsidR="0089298C" w:rsidRPr="002F50BD">
        <w:rPr>
          <w:rFonts w:ascii="Verdana" w:hAnsi="Verdana"/>
          <w:sz w:val="20"/>
          <w:lang w:val="pt-BR"/>
        </w:rPr>
        <w:t xml:space="preserve"> deve</w:t>
      </w:r>
      <w:r w:rsidR="00060B3A" w:rsidRPr="002F50BD">
        <w:rPr>
          <w:rFonts w:ascii="Verdana" w:hAnsi="Verdana"/>
          <w:sz w:val="20"/>
          <w:lang w:val="pt-BR"/>
        </w:rPr>
        <w:t>-se</w:t>
      </w:r>
      <w:r w:rsidR="0089298C" w:rsidRPr="002F50BD">
        <w:rPr>
          <w:rFonts w:ascii="Verdana" w:hAnsi="Verdana"/>
          <w:sz w:val="20"/>
          <w:lang w:val="pt-BR"/>
        </w:rPr>
        <w:t xml:space="preserve"> </w:t>
      </w:r>
      <w:r w:rsidR="004076AD" w:rsidRPr="002F50BD">
        <w:rPr>
          <w:rFonts w:ascii="Verdana" w:hAnsi="Verdana"/>
          <w:sz w:val="20"/>
          <w:lang w:val="pt-BR"/>
        </w:rPr>
        <w:t>indica</w:t>
      </w:r>
      <w:r w:rsidR="004756C1" w:rsidRPr="002F50BD">
        <w:rPr>
          <w:rFonts w:ascii="Verdana" w:hAnsi="Verdana"/>
          <w:sz w:val="20"/>
          <w:lang w:val="pt-BR"/>
        </w:rPr>
        <w:t>r que</w:t>
      </w:r>
      <w:r w:rsidR="0089298C" w:rsidRPr="002F50BD">
        <w:rPr>
          <w:rFonts w:ascii="Verdana" w:hAnsi="Verdana"/>
          <w:sz w:val="20"/>
          <w:lang w:val="pt-BR"/>
        </w:rPr>
        <w:t xml:space="preserve"> a </w:t>
      </w:r>
      <w:r w:rsidR="004756C1" w:rsidRPr="002F50BD">
        <w:rPr>
          <w:rFonts w:ascii="Verdana" w:hAnsi="Verdana"/>
          <w:sz w:val="20"/>
          <w:lang w:val="pt-BR"/>
        </w:rPr>
        <w:t xml:space="preserve">forma </w:t>
      </w:r>
      <w:r w:rsidR="0089298C" w:rsidRPr="002F50BD">
        <w:rPr>
          <w:rFonts w:ascii="Verdana" w:hAnsi="Verdana"/>
          <w:sz w:val="20"/>
          <w:lang w:val="pt-BR"/>
        </w:rPr>
        <w:t>adot</w:t>
      </w:r>
      <w:r w:rsidR="004756C1" w:rsidRPr="002F50BD">
        <w:rPr>
          <w:rFonts w:ascii="Verdana" w:hAnsi="Verdana"/>
          <w:sz w:val="20"/>
          <w:lang w:val="pt-BR"/>
        </w:rPr>
        <w:t>a</w:t>
      </w:r>
      <w:r w:rsidRPr="002F50BD">
        <w:rPr>
          <w:rFonts w:ascii="Verdana" w:hAnsi="Verdana"/>
          <w:sz w:val="20"/>
          <w:lang w:val="pt-BR"/>
        </w:rPr>
        <w:t>da</w:t>
      </w:r>
      <w:r w:rsidR="0089298C" w:rsidRPr="002F50BD">
        <w:rPr>
          <w:rFonts w:ascii="Verdana" w:hAnsi="Verdana"/>
          <w:sz w:val="20"/>
          <w:lang w:val="pt-BR"/>
        </w:rPr>
        <w:t xml:space="preserve"> </w:t>
      </w:r>
      <w:r w:rsidRPr="002F50BD">
        <w:rPr>
          <w:rFonts w:ascii="Verdana" w:hAnsi="Verdana"/>
          <w:sz w:val="20"/>
          <w:lang w:val="pt-BR"/>
        </w:rPr>
        <w:t>pel</w:t>
      </w:r>
      <w:r w:rsidR="0089298C" w:rsidRPr="002F50BD">
        <w:rPr>
          <w:rFonts w:ascii="Verdana" w:hAnsi="Verdana"/>
          <w:sz w:val="20"/>
          <w:lang w:val="pt-BR"/>
        </w:rPr>
        <w:t>a mesm</w:t>
      </w:r>
      <w:r w:rsidR="004756C1" w:rsidRPr="002F50BD">
        <w:rPr>
          <w:rFonts w:ascii="Verdana" w:hAnsi="Verdana"/>
          <w:sz w:val="20"/>
          <w:lang w:val="pt-BR"/>
        </w:rPr>
        <w:t>a</w:t>
      </w:r>
      <w:r w:rsidR="0089298C" w:rsidRPr="002F50BD">
        <w:rPr>
          <w:rFonts w:ascii="Verdana" w:hAnsi="Verdana"/>
          <w:sz w:val="20"/>
          <w:lang w:val="pt-BR"/>
        </w:rPr>
        <w:t xml:space="preserve"> é </w:t>
      </w:r>
      <w:r w:rsidR="004756C1" w:rsidRPr="002F50BD">
        <w:rPr>
          <w:rFonts w:ascii="Verdana" w:hAnsi="Verdana"/>
          <w:sz w:val="20"/>
          <w:lang w:val="pt-BR"/>
        </w:rPr>
        <w:t>sensi</w:t>
      </w:r>
      <w:r w:rsidR="0089298C" w:rsidRPr="002F50BD">
        <w:rPr>
          <w:rFonts w:ascii="Verdana" w:hAnsi="Verdana"/>
          <w:sz w:val="20"/>
          <w:lang w:val="pt-BR"/>
        </w:rPr>
        <w:t xml:space="preserve">velmente </w:t>
      </w:r>
      <w:r w:rsidR="004756C1" w:rsidRPr="002F50BD">
        <w:rPr>
          <w:rFonts w:ascii="Verdana" w:hAnsi="Verdana"/>
          <w:sz w:val="20"/>
          <w:lang w:val="pt-BR"/>
        </w:rPr>
        <w:t>distinta</w:t>
      </w:r>
      <w:r w:rsidR="0089298C" w:rsidRPr="002F50BD">
        <w:rPr>
          <w:rFonts w:ascii="Verdana" w:hAnsi="Verdana"/>
          <w:sz w:val="20"/>
          <w:lang w:val="pt-BR"/>
        </w:rPr>
        <w:t xml:space="preserve"> à </w:t>
      </w:r>
      <w:r w:rsidR="004756C1" w:rsidRPr="002F50BD">
        <w:rPr>
          <w:rFonts w:ascii="Verdana" w:hAnsi="Verdana"/>
          <w:sz w:val="20"/>
          <w:lang w:val="pt-BR"/>
        </w:rPr>
        <w:t>regulada</w:t>
      </w:r>
      <w:r w:rsidR="0089298C" w:rsidRPr="002F50BD">
        <w:rPr>
          <w:rFonts w:ascii="Verdana" w:hAnsi="Verdana"/>
          <w:sz w:val="20"/>
          <w:lang w:val="pt-BR"/>
        </w:rPr>
        <w:t xml:space="preserve"> nos </w:t>
      </w:r>
      <w:r w:rsidR="004756C1" w:rsidRPr="002F50BD">
        <w:rPr>
          <w:rFonts w:ascii="Verdana" w:hAnsi="Verdana"/>
          <w:sz w:val="20"/>
          <w:lang w:val="pt-BR"/>
        </w:rPr>
        <w:t>códigos jurídicos</w:t>
      </w:r>
      <w:r w:rsidR="0089298C" w:rsidRPr="002F50BD">
        <w:rPr>
          <w:rFonts w:ascii="Verdana" w:hAnsi="Verdana"/>
          <w:sz w:val="20"/>
          <w:lang w:val="pt-BR"/>
        </w:rPr>
        <w:t xml:space="preserve"> e</w:t>
      </w:r>
      <w:r w:rsidRPr="002F50BD">
        <w:rPr>
          <w:rFonts w:ascii="Verdana" w:hAnsi="Verdana"/>
          <w:sz w:val="20"/>
          <w:lang w:val="pt-BR"/>
        </w:rPr>
        <w:t>,</w:t>
      </w:r>
      <w:r w:rsidR="0089298C" w:rsidRPr="002F50BD">
        <w:rPr>
          <w:rFonts w:ascii="Verdana" w:hAnsi="Verdana"/>
          <w:sz w:val="20"/>
          <w:lang w:val="pt-BR"/>
        </w:rPr>
        <w:t xml:space="preserve"> portanto</w:t>
      </w:r>
      <w:r w:rsidR="004756C1" w:rsidRPr="002F50BD">
        <w:rPr>
          <w:rFonts w:ascii="Verdana" w:hAnsi="Verdana"/>
          <w:sz w:val="20"/>
          <w:lang w:val="pt-BR"/>
        </w:rPr>
        <w:t xml:space="preserve">, </w:t>
      </w:r>
      <w:r w:rsidR="0089298C" w:rsidRPr="002F50BD">
        <w:rPr>
          <w:rFonts w:ascii="Verdana" w:hAnsi="Verdana"/>
          <w:sz w:val="20"/>
          <w:lang w:val="pt-BR"/>
        </w:rPr>
        <w:t>também</w:t>
      </w:r>
      <w:r w:rsidR="004756C1" w:rsidRPr="002F50BD">
        <w:rPr>
          <w:rFonts w:ascii="Verdana" w:hAnsi="Verdana"/>
          <w:sz w:val="20"/>
          <w:lang w:val="pt-BR"/>
        </w:rPr>
        <w:t xml:space="preserve"> o</w:t>
      </w:r>
      <w:r w:rsidR="0089298C" w:rsidRPr="002F50BD">
        <w:rPr>
          <w:rFonts w:ascii="Verdana" w:hAnsi="Verdana"/>
          <w:sz w:val="20"/>
          <w:lang w:val="pt-BR"/>
        </w:rPr>
        <w:t xml:space="preserve"> são os </w:t>
      </w:r>
      <w:r w:rsidRPr="002F50BD">
        <w:rPr>
          <w:rFonts w:ascii="Verdana" w:hAnsi="Verdana"/>
          <w:sz w:val="20"/>
          <w:lang w:val="pt-BR"/>
        </w:rPr>
        <w:t>signos que identificam</w:t>
      </w:r>
      <w:r w:rsidR="004756C1" w:rsidRPr="002F50BD">
        <w:rPr>
          <w:rFonts w:ascii="Verdana" w:hAnsi="Verdana"/>
          <w:sz w:val="20"/>
          <w:lang w:val="pt-BR"/>
        </w:rPr>
        <w:t xml:space="preserve"> </w:t>
      </w:r>
      <w:r w:rsidR="0089298C" w:rsidRPr="002F50BD">
        <w:rPr>
          <w:rFonts w:ascii="Verdana" w:hAnsi="Verdana"/>
          <w:sz w:val="20"/>
          <w:lang w:val="pt-BR"/>
        </w:rPr>
        <w:t>este</w:t>
      </w:r>
      <w:r w:rsidRPr="002F50BD">
        <w:rPr>
          <w:rFonts w:ascii="Verdana" w:hAnsi="Verdana"/>
          <w:sz w:val="20"/>
          <w:lang w:val="pt-BR"/>
        </w:rPr>
        <w:t xml:space="preserve"> a</w:t>
      </w:r>
      <w:r w:rsidR="004756C1" w:rsidRPr="002F50BD">
        <w:rPr>
          <w:rFonts w:ascii="Verdana" w:hAnsi="Verdana"/>
          <w:sz w:val="20"/>
          <w:lang w:val="pt-BR"/>
        </w:rPr>
        <w:t>to</w:t>
      </w:r>
      <w:r w:rsidR="00AB454A" w:rsidRPr="002F50BD">
        <w:rPr>
          <w:rFonts w:ascii="Verdana" w:hAnsi="Verdana"/>
          <w:sz w:val="20"/>
          <w:lang w:val="pt-BR"/>
        </w:rPr>
        <w:t xml:space="preserve">. A </w:t>
      </w:r>
      <w:r w:rsidR="004756C1" w:rsidRPr="002F50BD">
        <w:rPr>
          <w:rFonts w:ascii="Verdana" w:hAnsi="Verdana"/>
          <w:sz w:val="20"/>
          <w:lang w:val="pt-BR"/>
        </w:rPr>
        <w:t>ocupa</w:t>
      </w:r>
      <w:r w:rsidR="0089298C" w:rsidRPr="002F50BD">
        <w:rPr>
          <w:rFonts w:ascii="Verdana" w:hAnsi="Verdana"/>
          <w:sz w:val="20"/>
          <w:lang w:val="pt-BR"/>
        </w:rPr>
        <w:t>ção</w:t>
      </w:r>
      <w:r w:rsidR="004756C1" w:rsidRPr="002F50BD">
        <w:rPr>
          <w:rFonts w:ascii="Verdana" w:hAnsi="Verdana"/>
          <w:sz w:val="20"/>
          <w:lang w:val="pt-BR"/>
        </w:rPr>
        <w:t xml:space="preserve"> se </w:t>
      </w:r>
      <w:r w:rsidR="0089298C" w:rsidRPr="002F50BD">
        <w:rPr>
          <w:rFonts w:ascii="Verdana" w:hAnsi="Verdana"/>
          <w:sz w:val="20"/>
          <w:lang w:val="pt-BR"/>
        </w:rPr>
        <w:t>manifesta</w:t>
      </w:r>
      <w:r w:rsidR="004756C1" w:rsidRPr="002F50BD">
        <w:rPr>
          <w:rFonts w:ascii="Verdana" w:hAnsi="Verdana"/>
          <w:sz w:val="20"/>
          <w:lang w:val="pt-BR"/>
        </w:rPr>
        <w:t xml:space="preserve"> de </w:t>
      </w:r>
      <w:r w:rsidR="0089298C" w:rsidRPr="002F50BD">
        <w:rPr>
          <w:rFonts w:ascii="Verdana" w:hAnsi="Verdana"/>
          <w:sz w:val="20"/>
          <w:lang w:val="pt-BR"/>
        </w:rPr>
        <w:t>maneira</w:t>
      </w:r>
      <w:r w:rsidR="004756C1" w:rsidRPr="002F50BD">
        <w:rPr>
          <w:rFonts w:ascii="Verdana" w:hAnsi="Verdana"/>
          <w:sz w:val="20"/>
          <w:lang w:val="pt-BR"/>
        </w:rPr>
        <w:t xml:space="preserve"> diferente</w:t>
      </w:r>
      <w:r w:rsidR="0089298C" w:rsidRPr="002F50BD">
        <w:rPr>
          <w:rFonts w:ascii="Verdana" w:hAnsi="Verdana"/>
          <w:sz w:val="20"/>
          <w:lang w:val="pt-BR"/>
        </w:rPr>
        <w:t xml:space="preserve"> e </w:t>
      </w:r>
      <w:r w:rsidR="00010AFB" w:rsidRPr="002F50BD">
        <w:rPr>
          <w:rFonts w:ascii="Verdana" w:hAnsi="Verdana"/>
          <w:sz w:val="20"/>
          <w:lang w:val="pt-BR"/>
        </w:rPr>
        <w:t xml:space="preserve">nem </w:t>
      </w:r>
      <w:r w:rsidR="0089298C" w:rsidRPr="002F50BD">
        <w:rPr>
          <w:rFonts w:ascii="Verdana" w:hAnsi="Verdana"/>
          <w:sz w:val="20"/>
          <w:lang w:val="pt-BR"/>
        </w:rPr>
        <w:t xml:space="preserve">sempre é </w:t>
      </w:r>
      <w:r w:rsidR="004756C1" w:rsidRPr="002F50BD">
        <w:rPr>
          <w:rFonts w:ascii="Verdana" w:hAnsi="Verdana"/>
          <w:sz w:val="20"/>
          <w:lang w:val="pt-BR"/>
        </w:rPr>
        <w:t>evidente</w:t>
      </w:r>
      <w:r w:rsidR="0089298C" w:rsidRPr="002F50BD">
        <w:rPr>
          <w:rFonts w:ascii="Verdana" w:hAnsi="Verdana"/>
          <w:sz w:val="20"/>
          <w:lang w:val="pt-BR"/>
        </w:rPr>
        <w:t xml:space="preserve"> pelo </w:t>
      </w:r>
      <w:r w:rsidR="004756C1" w:rsidRPr="002F50BD">
        <w:rPr>
          <w:rFonts w:ascii="Verdana" w:hAnsi="Verdana"/>
          <w:sz w:val="20"/>
          <w:lang w:val="pt-BR"/>
        </w:rPr>
        <w:t xml:space="preserve">modo cultural de </w:t>
      </w:r>
      <w:r w:rsidR="0089298C" w:rsidRPr="002F50BD">
        <w:rPr>
          <w:rFonts w:ascii="Verdana" w:hAnsi="Verdana"/>
          <w:sz w:val="20"/>
          <w:lang w:val="pt-BR"/>
        </w:rPr>
        <w:t>produção</w:t>
      </w:r>
      <w:r w:rsidR="004756C1" w:rsidRPr="002F50BD">
        <w:rPr>
          <w:rFonts w:ascii="Verdana" w:hAnsi="Verdana"/>
          <w:sz w:val="20"/>
          <w:lang w:val="pt-BR"/>
        </w:rPr>
        <w:t xml:space="preserve"> que n</w:t>
      </w:r>
      <w:r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inclui a prática</w:t>
      </w:r>
      <w:r w:rsidR="004756C1" w:rsidRPr="002F50BD">
        <w:rPr>
          <w:rFonts w:ascii="Verdana" w:hAnsi="Verdana"/>
          <w:sz w:val="20"/>
          <w:lang w:val="pt-BR"/>
        </w:rPr>
        <w:t xml:space="preserve"> de transforma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massiva da natureza, e pel</w:t>
      </w:r>
      <w:r w:rsidR="00C76C86" w:rsidRPr="002F50BD">
        <w:rPr>
          <w:rFonts w:ascii="Verdana" w:hAnsi="Verdana"/>
          <w:sz w:val="20"/>
          <w:lang w:val="pt-BR"/>
        </w:rPr>
        <w:t>a</w:t>
      </w:r>
      <w:r w:rsidR="0089298C" w:rsidRPr="002F50BD">
        <w:rPr>
          <w:rFonts w:ascii="Verdana" w:hAnsi="Verdana"/>
          <w:sz w:val="20"/>
          <w:lang w:val="pt-BR"/>
        </w:rPr>
        <w:t xml:space="preserve"> </w:t>
      </w:r>
      <w:r w:rsidR="00AB454A" w:rsidRPr="002F50BD">
        <w:rPr>
          <w:rFonts w:ascii="Verdana" w:hAnsi="Verdana"/>
          <w:sz w:val="20"/>
          <w:lang w:val="pt-BR"/>
        </w:rPr>
        <w:t xml:space="preserve">notável </w:t>
      </w:r>
      <w:r w:rsidR="00C76C86" w:rsidRPr="002F50BD">
        <w:rPr>
          <w:rFonts w:ascii="Verdana" w:hAnsi="Verdana"/>
          <w:sz w:val="20"/>
          <w:lang w:val="pt-BR"/>
        </w:rPr>
        <w:t xml:space="preserve">adaptação ao </w:t>
      </w:r>
      <w:r w:rsidR="0089298C" w:rsidRPr="002F50BD">
        <w:rPr>
          <w:rFonts w:ascii="Verdana" w:hAnsi="Verdana"/>
          <w:sz w:val="20"/>
          <w:lang w:val="pt-BR"/>
        </w:rPr>
        <w:t xml:space="preserve">meio </w:t>
      </w:r>
      <w:r w:rsidR="00060B3A" w:rsidRPr="002F50BD">
        <w:rPr>
          <w:rFonts w:ascii="Verdana" w:hAnsi="Verdana"/>
          <w:sz w:val="20"/>
          <w:lang w:val="pt-BR"/>
        </w:rPr>
        <w:t xml:space="preserve">ambiente </w:t>
      </w:r>
      <w:r w:rsidR="004756C1" w:rsidRPr="002F50BD">
        <w:rPr>
          <w:rFonts w:ascii="Verdana" w:hAnsi="Verdana"/>
          <w:sz w:val="20"/>
          <w:lang w:val="pt-BR"/>
        </w:rPr>
        <w:t>que</w:t>
      </w:r>
      <w:r w:rsidR="0089298C" w:rsidRPr="002F50BD">
        <w:rPr>
          <w:rFonts w:ascii="Verdana" w:hAnsi="Verdana"/>
          <w:sz w:val="20"/>
          <w:lang w:val="pt-BR"/>
        </w:rPr>
        <w:t xml:space="preserve"> estes povo</w:t>
      </w:r>
      <w:r w:rsidRPr="002F50BD">
        <w:rPr>
          <w:rFonts w:ascii="Verdana" w:hAnsi="Verdana"/>
          <w:sz w:val="20"/>
          <w:lang w:val="pt-BR"/>
        </w:rPr>
        <w:t>s adquiri</w:t>
      </w:r>
      <w:r w:rsidR="004756C1" w:rsidRPr="002F50BD">
        <w:rPr>
          <w:rFonts w:ascii="Verdana" w:hAnsi="Verdana"/>
          <w:sz w:val="20"/>
          <w:lang w:val="pt-BR"/>
        </w:rPr>
        <w:t>r</w:t>
      </w:r>
      <w:r w:rsidRPr="002F50BD">
        <w:rPr>
          <w:rFonts w:ascii="Verdana" w:hAnsi="Verdana"/>
          <w:sz w:val="20"/>
          <w:lang w:val="pt-BR"/>
        </w:rPr>
        <w:t>am</w:t>
      </w:r>
      <w:r w:rsidR="0089298C" w:rsidRPr="002F50BD">
        <w:rPr>
          <w:rFonts w:ascii="Verdana" w:hAnsi="Verdana"/>
          <w:sz w:val="20"/>
          <w:lang w:val="pt-BR"/>
        </w:rPr>
        <w:t xml:space="preserve"> ao </w:t>
      </w:r>
      <w:r w:rsidRPr="002F50BD">
        <w:rPr>
          <w:rFonts w:ascii="Verdana" w:hAnsi="Verdana"/>
          <w:sz w:val="20"/>
          <w:lang w:val="pt-BR"/>
        </w:rPr>
        <w:t xml:space="preserve">longo </w:t>
      </w:r>
      <w:r w:rsidR="0089298C" w:rsidRPr="002F50BD">
        <w:rPr>
          <w:rFonts w:ascii="Verdana" w:hAnsi="Verdana"/>
          <w:sz w:val="20"/>
          <w:lang w:val="pt-BR"/>
        </w:rPr>
        <w:t xml:space="preserve">das </w:t>
      </w:r>
      <w:r w:rsidR="004756C1" w:rsidRPr="002F50BD">
        <w:rPr>
          <w:rFonts w:ascii="Verdana" w:hAnsi="Verdana"/>
          <w:sz w:val="20"/>
          <w:lang w:val="pt-BR"/>
        </w:rPr>
        <w:t>gera</w:t>
      </w:r>
      <w:r w:rsidR="0089298C"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A</w:t>
      </w:r>
      <w:r w:rsidR="004076AD" w:rsidRPr="002F50BD">
        <w:rPr>
          <w:rFonts w:ascii="Verdana" w:hAnsi="Verdana"/>
          <w:sz w:val="20"/>
          <w:lang w:val="pt-BR"/>
        </w:rPr>
        <w:t xml:space="preserve">pesar </w:t>
      </w:r>
      <w:r w:rsidR="0089298C" w:rsidRPr="002F50BD">
        <w:rPr>
          <w:rFonts w:ascii="Verdana" w:hAnsi="Verdana"/>
          <w:sz w:val="20"/>
          <w:lang w:val="pt-BR"/>
        </w:rPr>
        <w:t xml:space="preserve">da </w:t>
      </w:r>
      <w:r w:rsidR="004756C1" w:rsidRPr="002F50BD">
        <w:rPr>
          <w:rFonts w:ascii="Verdana" w:hAnsi="Verdana"/>
          <w:sz w:val="20"/>
          <w:lang w:val="pt-BR"/>
        </w:rPr>
        <w:lastRenderedPageBreak/>
        <w:t>sutileza</w:t>
      </w:r>
      <w:r w:rsidR="0089298C" w:rsidRPr="002F50BD">
        <w:rPr>
          <w:rFonts w:ascii="Verdana" w:hAnsi="Verdana"/>
          <w:sz w:val="20"/>
          <w:lang w:val="pt-BR"/>
        </w:rPr>
        <w:t xml:space="preserve"> com </w:t>
      </w:r>
      <w:r w:rsidR="004756C1" w:rsidRPr="002F50BD">
        <w:rPr>
          <w:rFonts w:ascii="Verdana" w:hAnsi="Verdana"/>
          <w:sz w:val="20"/>
          <w:lang w:val="pt-BR"/>
        </w:rPr>
        <w:t xml:space="preserve">que </w:t>
      </w:r>
      <w:r w:rsidR="0089298C" w:rsidRPr="002F50BD">
        <w:rPr>
          <w:rFonts w:ascii="Verdana" w:hAnsi="Verdana"/>
          <w:sz w:val="20"/>
          <w:lang w:val="pt-BR"/>
        </w:rPr>
        <w:t xml:space="preserve">aparecem os </w:t>
      </w:r>
      <w:r w:rsidR="00060B3A" w:rsidRPr="002F50BD">
        <w:rPr>
          <w:rFonts w:ascii="Verdana" w:hAnsi="Verdana"/>
          <w:sz w:val="20"/>
          <w:lang w:val="pt-BR"/>
        </w:rPr>
        <w:t xml:space="preserve">sinais </w:t>
      </w:r>
      <w:r w:rsidR="0089298C" w:rsidRPr="002F50BD">
        <w:rPr>
          <w:rFonts w:ascii="Verdana" w:hAnsi="Verdana"/>
          <w:sz w:val="20"/>
          <w:lang w:val="pt-BR"/>
        </w:rPr>
        <w:t xml:space="preserve">da </w:t>
      </w:r>
      <w:r w:rsidR="00A50140" w:rsidRPr="002F50BD">
        <w:rPr>
          <w:rFonts w:ascii="Verdana" w:hAnsi="Verdana"/>
          <w:sz w:val="20"/>
          <w:lang w:val="pt-BR"/>
        </w:rPr>
        <w:t>posse</w:t>
      </w:r>
      <w:r w:rsidR="004756C1" w:rsidRPr="002F50BD">
        <w:rPr>
          <w:rFonts w:ascii="Verdana" w:hAnsi="Verdana"/>
          <w:sz w:val="20"/>
          <w:lang w:val="pt-BR"/>
        </w:rPr>
        <w:t>,</w:t>
      </w:r>
      <w:r w:rsidR="0089298C" w:rsidRPr="002F50BD">
        <w:rPr>
          <w:rFonts w:ascii="Verdana" w:hAnsi="Verdana"/>
          <w:sz w:val="20"/>
          <w:lang w:val="pt-BR"/>
        </w:rPr>
        <w:t xml:space="preserve"> os </w:t>
      </w:r>
      <w:r w:rsidRPr="002F50BD">
        <w:rPr>
          <w:rFonts w:ascii="Verdana" w:hAnsi="Verdana"/>
          <w:sz w:val="20"/>
          <w:lang w:val="pt-BR"/>
        </w:rPr>
        <w:t xml:space="preserve">locais </w:t>
      </w:r>
      <w:r w:rsidR="004756C1" w:rsidRPr="002F50BD">
        <w:rPr>
          <w:rFonts w:ascii="Verdana" w:hAnsi="Verdana"/>
          <w:sz w:val="20"/>
          <w:lang w:val="pt-BR"/>
        </w:rPr>
        <w:t xml:space="preserve">de </w:t>
      </w:r>
      <w:r w:rsidR="00AB454A" w:rsidRPr="002F50BD">
        <w:rPr>
          <w:rFonts w:ascii="Verdana" w:hAnsi="Verdana"/>
          <w:sz w:val="20"/>
          <w:lang w:val="pt-BR"/>
        </w:rPr>
        <w:t>assentamento</w:t>
      </w:r>
      <w:r w:rsidR="004756C1" w:rsidRPr="002F50BD">
        <w:rPr>
          <w:rFonts w:ascii="Verdana" w:hAnsi="Verdana"/>
          <w:sz w:val="20"/>
          <w:lang w:val="pt-BR"/>
        </w:rPr>
        <w:t xml:space="preserve"> </w:t>
      </w:r>
      <w:r w:rsidRPr="002F50BD">
        <w:rPr>
          <w:rFonts w:ascii="Verdana" w:hAnsi="Verdana"/>
          <w:sz w:val="20"/>
          <w:lang w:val="pt-BR"/>
        </w:rPr>
        <w:t>periódico</w:t>
      </w:r>
      <w:r w:rsidR="004756C1" w:rsidRPr="002F50BD">
        <w:rPr>
          <w:rFonts w:ascii="Verdana" w:hAnsi="Verdana"/>
          <w:sz w:val="20"/>
          <w:lang w:val="pt-BR"/>
        </w:rPr>
        <w:t>,</w:t>
      </w:r>
      <w:r w:rsidR="0089298C" w:rsidRPr="002F50BD">
        <w:rPr>
          <w:rFonts w:ascii="Verdana" w:hAnsi="Verdana"/>
          <w:sz w:val="20"/>
          <w:lang w:val="pt-BR"/>
        </w:rPr>
        <w:t xml:space="preserve"> </w:t>
      </w:r>
      <w:r w:rsidR="00EA7AB9" w:rsidRPr="002F50BD">
        <w:rPr>
          <w:rFonts w:ascii="Verdana" w:hAnsi="Verdana"/>
          <w:sz w:val="20"/>
          <w:lang w:val="pt-BR"/>
        </w:rPr>
        <w:t>o</w:t>
      </w:r>
      <w:r w:rsidR="0089298C" w:rsidRPr="002F50BD">
        <w:rPr>
          <w:rFonts w:ascii="Verdana" w:hAnsi="Verdana"/>
          <w:sz w:val="20"/>
          <w:lang w:val="pt-BR"/>
        </w:rPr>
        <w:t xml:space="preserve">s </w:t>
      </w:r>
      <w:r w:rsidR="00EA7AB9" w:rsidRPr="002F50BD">
        <w:rPr>
          <w:rFonts w:ascii="Verdana" w:hAnsi="Verdana"/>
          <w:sz w:val="20"/>
          <w:lang w:val="pt-BR"/>
        </w:rPr>
        <w:t>pontos de água</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po</w:t>
      </w:r>
      <w:r w:rsidRPr="002F50BD">
        <w:rPr>
          <w:rFonts w:ascii="Verdana" w:hAnsi="Verdana"/>
          <w:sz w:val="20"/>
          <w:lang w:val="pt-BR"/>
        </w:rPr>
        <w:t>ç</w:t>
      </w:r>
      <w:r w:rsidR="004756C1" w:rsidRPr="002F50BD">
        <w:rPr>
          <w:rFonts w:ascii="Verdana" w:hAnsi="Verdana"/>
          <w:sz w:val="20"/>
          <w:lang w:val="pt-BR"/>
        </w:rPr>
        <w:t>os,</w:t>
      </w:r>
      <w:r w:rsidR="0089298C" w:rsidRPr="002F50BD">
        <w:rPr>
          <w:rFonts w:ascii="Verdana" w:hAnsi="Verdana"/>
          <w:sz w:val="20"/>
          <w:lang w:val="pt-BR"/>
        </w:rPr>
        <w:t xml:space="preserve"> os território</w:t>
      </w:r>
      <w:r w:rsidR="004756C1" w:rsidRPr="002F50BD">
        <w:rPr>
          <w:rFonts w:ascii="Verdana" w:hAnsi="Verdana"/>
          <w:sz w:val="20"/>
          <w:lang w:val="pt-BR"/>
        </w:rPr>
        <w:t xml:space="preserve">s de </w:t>
      </w:r>
      <w:r w:rsidR="00AB454A" w:rsidRPr="002F50BD">
        <w:rPr>
          <w:rFonts w:ascii="Verdana" w:hAnsi="Verdana"/>
          <w:sz w:val="20"/>
          <w:lang w:val="pt-BR"/>
        </w:rPr>
        <w:t>caça</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 xml:space="preserve">zonas de </w:t>
      </w:r>
      <w:r w:rsidR="003D5A53" w:rsidRPr="002F50BD">
        <w:rPr>
          <w:rFonts w:ascii="Verdana" w:hAnsi="Verdana"/>
          <w:sz w:val="20"/>
          <w:lang w:val="pt-BR"/>
        </w:rPr>
        <w:t>coleta</w:t>
      </w:r>
      <w:r w:rsidR="004756C1" w:rsidRPr="002F50BD">
        <w:rPr>
          <w:rFonts w:ascii="Verdana" w:hAnsi="Verdana"/>
          <w:sz w:val="20"/>
          <w:lang w:val="pt-BR"/>
        </w:rPr>
        <w:t xml:space="preserve"> o</w:t>
      </w:r>
      <w:r w:rsidR="003D5A53" w:rsidRPr="002F50BD">
        <w:rPr>
          <w:rFonts w:ascii="Verdana" w:hAnsi="Verdana"/>
          <w:sz w:val="20"/>
          <w:lang w:val="pt-BR"/>
        </w:rPr>
        <w:t>u</w:t>
      </w:r>
      <w:r w:rsidR="004756C1" w:rsidRPr="002F50BD">
        <w:rPr>
          <w:rFonts w:ascii="Verdana" w:hAnsi="Verdana"/>
          <w:sz w:val="20"/>
          <w:lang w:val="pt-BR"/>
        </w:rPr>
        <w:t xml:space="preserve"> de pesca,</w:t>
      </w:r>
      <w:r w:rsidR="0089298C" w:rsidRPr="002F50BD">
        <w:rPr>
          <w:rFonts w:ascii="Verdana" w:hAnsi="Verdana"/>
          <w:sz w:val="20"/>
          <w:lang w:val="pt-BR"/>
        </w:rPr>
        <w:t xml:space="preserve"> os </w:t>
      </w:r>
      <w:r w:rsidR="003D5A53" w:rsidRPr="002F50BD">
        <w:rPr>
          <w:rFonts w:ascii="Verdana" w:hAnsi="Verdana"/>
          <w:sz w:val="20"/>
          <w:lang w:val="pt-BR"/>
        </w:rPr>
        <w:t xml:space="preserve">cemitérios </w:t>
      </w:r>
      <w:r w:rsidR="0089298C" w:rsidRPr="002F50BD">
        <w:rPr>
          <w:rFonts w:ascii="Verdana" w:hAnsi="Verdana"/>
          <w:sz w:val="20"/>
          <w:lang w:val="pt-BR"/>
        </w:rPr>
        <w:t xml:space="preserve">quase </w:t>
      </w:r>
      <w:r w:rsidR="004756C1" w:rsidRPr="002F50BD">
        <w:rPr>
          <w:rFonts w:ascii="Verdana" w:hAnsi="Verdana"/>
          <w:sz w:val="20"/>
          <w:lang w:val="pt-BR"/>
        </w:rPr>
        <w:t>impercept</w:t>
      </w:r>
      <w:r w:rsidR="0089298C" w:rsidRPr="002F50BD">
        <w:rPr>
          <w:rFonts w:ascii="Verdana" w:hAnsi="Verdana"/>
          <w:sz w:val="20"/>
          <w:lang w:val="pt-BR"/>
        </w:rPr>
        <w:t>íveis</w:t>
      </w:r>
      <w:r w:rsidR="004756C1" w:rsidRPr="002F50BD">
        <w:rPr>
          <w:rFonts w:ascii="Verdana" w:hAnsi="Verdana"/>
          <w:sz w:val="20"/>
          <w:lang w:val="pt-BR"/>
        </w:rPr>
        <w:t>, etc.,</w:t>
      </w:r>
      <w:r w:rsidR="0089298C" w:rsidRPr="002F50BD">
        <w:rPr>
          <w:rFonts w:ascii="Verdana" w:hAnsi="Verdana"/>
          <w:sz w:val="20"/>
          <w:lang w:val="pt-BR"/>
        </w:rPr>
        <w:t xml:space="preserve"> estão </w:t>
      </w:r>
      <w:r w:rsidR="004756C1" w:rsidRPr="002F50BD">
        <w:rPr>
          <w:rFonts w:ascii="Verdana" w:hAnsi="Verdana"/>
          <w:sz w:val="20"/>
          <w:lang w:val="pt-BR"/>
        </w:rPr>
        <w:t>marcados de forma indel</w:t>
      </w:r>
      <w:r w:rsidR="003D5A53" w:rsidRPr="002F50BD">
        <w:rPr>
          <w:rFonts w:ascii="Verdana" w:hAnsi="Verdana"/>
          <w:sz w:val="20"/>
          <w:lang w:val="pt-BR"/>
        </w:rPr>
        <w:t>ével</w:t>
      </w:r>
      <w:r w:rsidR="0089298C" w:rsidRPr="002F50BD">
        <w:rPr>
          <w:rFonts w:ascii="Verdana" w:hAnsi="Verdana"/>
          <w:sz w:val="20"/>
          <w:lang w:val="pt-BR"/>
        </w:rPr>
        <w:t xml:space="preserve"> na memória </w:t>
      </w:r>
      <w:r w:rsidR="004756C1" w:rsidRPr="002F50BD">
        <w:rPr>
          <w:rFonts w:ascii="Verdana" w:hAnsi="Verdana"/>
          <w:sz w:val="20"/>
          <w:lang w:val="pt-BR"/>
        </w:rPr>
        <w:t xml:space="preserve">histórica </w:t>
      </w:r>
      <w:r w:rsidR="0089298C" w:rsidRPr="002F50BD">
        <w:rPr>
          <w:rFonts w:ascii="Verdana" w:hAnsi="Verdana"/>
          <w:sz w:val="20"/>
          <w:lang w:val="pt-BR"/>
        </w:rPr>
        <w:t>destes povo</w:t>
      </w:r>
      <w:r w:rsidR="004756C1" w:rsidRPr="002F50BD">
        <w:rPr>
          <w:rFonts w:ascii="Verdana" w:hAnsi="Verdana"/>
          <w:sz w:val="20"/>
          <w:lang w:val="pt-BR"/>
        </w:rPr>
        <w:t>s</w:t>
      </w:r>
      <w:r w:rsidR="003D5A53" w:rsidRPr="002F50BD">
        <w:rPr>
          <w:rFonts w:ascii="Verdana" w:hAnsi="Verdana"/>
          <w:sz w:val="20"/>
          <w:lang w:val="pt-BR"/>
        </w:rPr>
        <w:t>. Ess</w:t>
      </w:r>
      <w:r w:rsidR="0089298C" w:rsidRPr="002F50BD">
        <w:rPr>
          <w:rFonts w:ascii="Verdana" w:hAnsi="Verdana"/>
          <w:sz w:val="20"/>
          <w:lang w:val="pt-BR"/>
        </w:rPr>
        <w:t xml:space="preserve">a memória </w:t>
      </w:r>
      <w:r w:rsidR="004756C1" w:rsidRPr="002F50BD">
        <w:rPr>
          <w:rFonts w:ascii="Verdana" w:hAnsi="Verdana"/>
          <w:sz w:val="20"/>
          <w:lang w:val="pt-BR"/>
        </w:rPr>
        <w:t>histórica, indis</w:t>
      </w:r>
      <w:r w:rsidR="003D5A53" w:rsidRPr="002F50BD">
        <w:rPr>
          <w:rFonts w:ascii="Verdana" w:hAnsi="Verdana"/>
          <w:sz w:val="20"/>
          <w:lang w:val="pt-BR"/>
        </w:rPr>
        <w:t>s</w:t>
      </w:r>
      <w:r w:rsidR="004756C1" w:rsidRPr="002F50BD">
        <w:rPr>
          <w:rFonts w:ascii="Verdana" w:hAnsi="Verdana"/>
          <w:sz w:val="20"/>
          <w:lang w:val="pt-BR"/>
        </w:rPr>
        <w:t>oci</w:t>
      </w:r>
      <w:r w:rsidR="003D5A53" w:rsidRPr="002F50BD">
        <w:rPr>
          <w:rFonts w:ascii="Verdana" w:hAnsi="Verdana"/>
          <w:sz w:val="20"/>
          <w:lang w:val="pt-BR"/>
        </w:rPr>
        <w:t>ável</w:t>
      </w:r>
      <w:r w:rsidR="0089298C" w:rsidRPr="002F50BD">
        <w:rPr>
          <w:rFonts w:ascii="Verdana" w:hAnsi="Verdana"/>
          <w:sz w:val="20"/>
          <w:lang w:val="pt-BR"/>
        </w:rPr>
        <w:t xml:space="preserve"> da </w:t>
      </w:r>
      <w:r w:rsidR="003D5A53" w:rsidRPr="002F50BD">
        <w:rPr>
          <w:rFonts w:ascii="Verdana" w:hAnsi="Verdana"/>
          <w:sz w:val="20"/>
          <w:lang w:val="pt-BR"/>
        </w:rPr>
        <w:t>geografi</w:t>
      </w:r>
      <w:r w:rsidR="004756C1" w:rsidRPr="002F50BD">
        <w:rPr>
          <w:rFonts w:ascii="Verdana" w:hAnsi="Verdana"/>
          <w:sz w:val="20"/>
          <w:lang w:val="pt-BR"/>
        </w:rPr>
        <w:t>a,</w:t>
      </w:r>
      <w:r w:rsidR="0089298C" w:rsidRPr="002F50BD">
        <w:rPr>
          <w:rFonts w:ascii="Verdana" w:hAnsi="Verdana"/>
          <w:sz w:val="20"/>
          <w:lang w:val="pt-BR"/>
        </w:rPr>
        <w:t xml:space="preserve"> é </w:t>
      </w:r>
      <w:r w:rsidR="003D5A53" w:rsidRPr="002F50BD">
        <w:rPr>
          <w:rFonts w:ascii="Verdana" w:hAnsi="Verdana"/>
          <w:sz w:val="20"/>
          <w:lang w:val="pt-BR"/>
        </w:rPr>
        <w:t>o</w:t>
      </w:r>
      <w:r w:rsidR="0089298C" w:rsidRPr="002F50BD">
        <w:rPr>
          <w:rFonts w:ascii="Verdana" w:hAnsi="Verdana"/>
          <w:sz w:val="20"/>
          <w:lang w:val="pt-BR"/>
        </w:rPr>
        <w:t xml:space="preserve"> </w:t>
      </w:r>
      <w:r w:rsidR="004756C1" w:rsidRPr="002F50BD">
        <w:rPr>
          <w:rFonts w:ascii="Verdana" w:hAnsi="Verdana"/>
          <w:sz w:val="20"/>
          <w:lang w:val="pt-BR"/>
        </w:rPr>
        <w:t xml:space="preserve">principal </w:t>
      </w:r>
      <w:r w:rsidR="003D5A53" w:rsidRPr="002F50BD">
        <w:rPr>
          <w:rFonts w:ascii="Verdana" w:hAnsi="Verdana"/>
          <w:sz w:val="20"/>
          <w:lang w:val="pt-BR"/>
        </w:rPr>
        <w:t xml:space="preserve">sinal </w:t>
      </w:r>
      <w:r w:rsidR="004756C1" w:rsidRPr="002F50BD">
        <w:rPr>
          <w:rFonts w:ascii="Verdana" w:hAnsi="Verdana"/>
          <w:sz w:val="20"/>
          <w:lang w:val="pt-BR"/>
        </w:rPr>
        <w:t xml:space="preserve">de </w:t>
      </w:r>
      <w:r w:rsidR="00A50140" w:rsidRPr="002F50BD">
        <w:rPr>
          <w:rFonts w:ascii="Verdana" w:hAnsi="Verdana"/>
          <w:sz w:val="20"/>
          <w:lang w:val="pt-BR"/>
        </w:rPr>
        <w:t>posse</w:t>
      </w:r>
      <w:r w:rsidR="004756C1" w:rsidRPr="002F50BD">
        <w:rPr>
          <w:rFonts w:ascii="Verdana" w:hAnsi="Verdana"/>
          <w:sz w:val="20"/>
          <w:lang w:val="pt-BR"/>
        </w:rPr>
        <w:t xml:space="preserve"> tradicional. </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rela</w:t>
      </w:r>
      <w:r w:rsidRPr="002F50BD">
        <w:rPr>
          <w:rFonts w:ascii="Verdana" w:hAnsi="Verdana"/>
          <w:sz w:val="20"/>
          <w:lang w:val="pt-BR"/>
        </w:rPr>
        <w:t>ção</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indígenas man</w:t>
      </w:r>
      <w:r w:rsidRPr="002F50BD">
        <w:rPr>
          <w:rFonts w:ascii="Verdana" w:hAnsi="Verdana"/>
          <w:sz w:val="20"/>
          <w:lang w:val="pt-BR"/>
        </w:rPr>
        <w:t xml:space="preserve">têm com a terra na </w:t>
      </w:r>
      <w:r w:rsidR="001902F5" w:rsidRPr="002F50BD">
        <w:rPr>
          <w:rFonts w:ascii="Verdana" w:hAnsi="Verdana"/>
          <w:sz w:val="20"/>
          <w:lang w:val="pt-BR"/>
        </w:rPr>
        <w:t>qual habitam</w:t>
      </w:r>
      <w:r w:rsidRPr="002F50BD">
        <w:rPr>
          <w:rFonts w:ascii="Verdana" w:hAnsi="Verdana"/>
          <w:sz w:val="20"/>
          <w:lang w:val="pt-BR"/>
        </w:rPr>
        <w:t xml:space="preserve"> é </w:t>
      </w:r>
      <w:r w:rsidR="004756C1" w:rsidRPr="002F50BD">
        <w:rPr>
          <w:rFonts w:ascii="Verdana" w:hAnsi="Verdana"/>
          <w:sz w:val="20"/>
          <w:lang w:val="pt-BR"/>
        </w:rPr>
        <w:t>de</w:t>
      </w:r>
      <w:r w:rsidRPr="002F50BD">
        <w:rPr>
          <w:rFonts w:ascii="Verdana" w:hAnsi="Verdana"/>
          <w:sz w:val="20"/>
          <w:lang w:val="pt-BR"/>
        </w:rPr>
        <w:t xml:space="preserve"> uma qualidade </w:t>
      </w:r>
      <w:r w:rsidR="004756C1" w:rsidRPr="002F50BD">
        <w:rPr>
          <w:rFonts w:ascii="Verdana" w:hAnsi="Verdana"/>
          <w:sz w:val="20"/>
          <w:lang w:val="pt-BR"/>
        </w:rPr>
        <w:t>tal que su</w:t>
      </w:r>
      <w:r w:rsidR="001902F5" w:rsidRPr="002F50BD">
        <w:rPr>
          <w:rFonts w:ascii="Verdana" w:hAnsi="Verdana"/>
          <w:sz w:val="20"/>
          <w:lang w:val="pt-BR"/>
        </w:rPr>
        <w:t>a</w:t>
      </w:r>
      <w:r w:rsidR="004756C1" w:rsidRPr="002F50BD">
        <w:rPr>
          <w:rFonts w:ascii="Verdana" w:hAnsi="Verdana"/>
          <w:sz w:val="20"/>
          <w:lang w:val="pt-BR"/>
        </w:rPr>
        <w:t xml:space="preserve"> desvincula</w:t>
      </w:r>
      <w:r w:rsidRPr="002F50BD">
        <w:rPr>
          <w:rFonts w:ascii="Verdana" w:hAnsi="Verdana"/>
          <w:sz w:val="20"/>
          <w:lang w:val="pt-BR"/>
        </w:rPr>
        <w:t>ção da mesm</w:t>
      </w:r>
      <w:r w:rsidR="004756C1" w:rsidRPr="002F50BD">
        <w:rPr>
          <w:rFonts w:ascii="Verdana" w:hAnsi="Verdana"/>
          <w:sz w:val="20"/>
          <w:lang w:val="pt-BR"/>
        </w:rPr>
        <w:t xml:space="preserve">a implica </w:t>
      </w:r>
      <w:r w:rsidR="009D3156" w:rsidRPr="002F50BD">
        <w:rPr>
          <w:rFonts w:ascii="Verdana" w:hAnsi="Verdana"/>
          <w:sz w:val="20"/>
          <w:lang w:val="pt-BR"/>
        </w:rPr>
        <w:t xml:space="preserve">um </w:t>
      </w:r>
      <w:r w:rsidRPr="002F50BD">
        <w:rPr>
          <w:rFonts w:ascii="Verdana" w:hAnsi="Verdana"/>
          <w:sz w:val="20"/>
          <w:lang w:val="pt-BR"/>
        </w:rPr>
        <w:t>risco</w:t>
      </w:r>
      <w:r w:rsidR="004756C1" w:rsidRPr="002F50BD">
        <w:rPr>
          <w:rFonts w:ascii="Verdana" w:hAnsi="Verdana"/>
          <w:sz w:val="20"/>
          <w:lang w:val="pt-BR"/>
        </w:rPr>
        <w:t xml:space="preserve"> </w:t>
      </w:r>
      <w:r w:rsidRPr="002F50BD">
        <w:rPr>
          <w:rFonts w:ascii="Verdana" w:hAnsi="Verdana"/>
          <w:sz w:val="20"/>
          <w:lang w:val="pt-BR"/>
        </w:rPr>
        <w:t xml:space="preserve">certo </w:t>
      </w:r>
      <w:r w:rsidR="004756C1" w:rsidRPr="002F50BD">
        <w:rPr>
          <w:rFonts w:ascii="Verdana" w:hAnsi="Verdana"/>
          <w:sz w:val="20"/>
          <w:lang w:val="pt-BR"/>
        </w:rPr>
        <w:t>de</w:t>
      </w:r>
      <w:r w:rsidRPr="002F50BD">
        <w:rPr>
          <w:rFonts w:ascii="Verdana" w:hAnsi="Verdana"/>
          <w:sz w:val="20"/>
          <w:lang w:val="pt-BR"/>
        </w:rPr>
        <w:t xml:space="preserve"> perda</w:t>
      </w:r>
      <w:r w:rsidR="004756C1" w:rsidRPr="002F50BD">
        <w:rPr>
          <w:rFonts w:ascii="Verdana" w:hAnsi="Verdana"/>
          <w:sz w:val="20"/>
          <w:lang w:val="pt-BR"/>
        </w:rPr>
        <w:t xml:space="preserve"> étnica</w:t>
      </w:r>
      <w:r w:rsidRPr="002F50BD">
        <w:rPr>
          <w:rFonts w:ascii="Verdana" w:hAnsi="Verdana"/>
          <w:sz w:val="20"/>
          <w:lang w:val="pt-BR"/>
        </w:rPr>
        <w:t xml:space="preserve"> e </w:t>
      </w:r>
      <w:r w:rsidR="004756C1" w:rsidRPr="002F50BD">
        <w:rPr>
          <w:rFonts w:ascii="Verdana" w:hAnsi="Verdana"/>
          <w:sz w:val="20"/>
          <w:lang w:val="pt-BR"/>
        </w:rPr>
        <w:t xml:space="preserve">cultural </w:t>
      </w:r>
      <w:r w:rsidR="009D3156" w:rsidRPr="002F50BD">
        <w:rPr>
          <w:rFonts w:ascii="Verdana" w:hAnsi="Verdana"/>
          <w:sz w:val="20"/>
          <w:lang w:val="pt-BR"/>
        </w:rPr>
        <w:t>irreparável</w:t>
      </w:r>
      <w:r w:rsidR="004756C1" w:rsidRPr="002F50BD">
        <w:rPr>
          <w:rFonts w:ascii="Verdana" w:hAnsi="Verdana"/>
          <w:sz w:val="20"/>
          <w:lang w:val="pt-BR"/>
        </w:rPr>
        <w:t>,</w:t>
      </w:r>
      <w:r w:rsidRPr="002F50BD">
        <w:rPr>
          <w:rFonts w:ascii="Verdana" w:hAnsi="Verdana"/>
          <w:sz w:val="20"/>
          <w:lang w:val="pt-BR"/>
        </w:rPr>
        <w:t xml:space="preserve"> com a consequente </w:t>
      </w:r>
      <w:r w:rsidR="00EA7AB9" w:rsidRPr="002F50BD">
        <w:rPr>
          <w:rFonts w:ascii="Verdana" w:hAnsi="Verdana"/>
          <w:sz w:val="20"/>
          <w:lang w:val="pt-BR"/>
        </w:rPr>
        <w:t xml:space="preserve">lacuna </w:t>
      </w:r>
      <w:r w:rsidR="004756C1" w:rsidRPr="002F50BD">
        <w:rPr>
          <w:rFonts w:ascii="Verdana" w:hAnsi="Verdana"/>
          <w:sz w:val="20"/>
          <w:lang w:val="pt-BR"/>
        </w:rPr>
        <w:t>para</w:t>
      </w:r>
      <w:r w:rsidRPr="002F50BD">
        <w:rPr>
          <w:rFonts w:ascii="Verdana" w:hAnsi="Verdana"/>
          <w:sz w:val="20"/>
          <w:lang w:val="pt-BR"/>
        </w:rPr>
        <w:t xml:space="preserve"> a </w:t>
      </w:r>
      <w:r w:rsidR="004756C1" w:rsidRPr="002F50BD">
        <w:rPr>
          <w:rFonts w:ascii="Verdana" w:hAnsi="Verdana"/>
          <w:sz w:val="20"/>
          <w:lang w:val="pt-BR"/>
        </w:rPr>
        <w:t>diversidad</w:t>
      </w:r>
      <w:r w:rsidR="009D3156" w:rsidRPr="002F50BD">
        <w:rPr>
          <w:rFonts w:ascii="Verdana" w:hAnsi="Verdana"/>
          <w:sz w:val="20"/>
          <w:lang w:val="pt-BR"/>
        </w:rPr>
        <w:t>e</w:t>
      </w:r>
      <w:r w:rsidR="004756C1" w:rsidRPr="002F50BD">
        <w:rPr>
          <w:rFonts w:ascii="Verdana" w:hAnsi="Verdana"/>
          <w:sz w:val="20"/>
          <w:lang w:val="pt-BR"/>
        </w:rPr>
        <w:t xml:space="preserve"> que </w:t>
      </w:r>
      <w:r w:rsidR="00EA7AB9" w:rsidRPr="002F50BD">
        <w:rPr>
          <w:rFonts w:ascii="Verdana" w:hAnsi="Verdana"/>
          <w:sz w:val="20"/>
          <w:lang w:val="pt-BR"/>
        </w:rPr>
        <w:t xml:space="preserve">resultaria de </w:t>
      </w:r>
      <w:r w:rsidR="004756C1" w:rsidRPr="002F50BD">
        <w:rPr>
          <w:rFonts w:ascii="Verdana" w:hAnsi="Verdana"/>
          <w:sz w:val="20"/>
          <w:lang w:val="pt-BR"/>
        </w:rPr>
        <w:t>tal</w:t>
      </w:r>
      <w:r w:rsidRPr="002F50BD">
        <w:rPr>
          <w:rFonts w:ascii="Verdana" w:hAnsi="Verdana"/>
          <w:sz w:val="20"/>
          <w:lang w:val="pt-BR"/>
        </w:rPr>
        <w:t xml:space="preserve"> fato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AB6727">
      <w:pPr>
        <w:jc w:val="both"/>
        <w:rPr>
          <w:rFonts w:ascii="Verdana" w:hAnsi="Verdana"/>
          <w:sz w:val="20"/>
          <w:lang w:val="pt-BR"/>
        </w:rPr>
      </w:pPr>
      <w:r w:rsidRPr="002F50BD">
        <w:rPr>
          <w:rFonts w:ascii="Verdana" w:hAnsi="Verdana"/>
          <w:sz w:val="20"/>
          <w:lang w:val="pt-BR"/>
        </w:rPr>
        <w:t xml:space="preserve">Os </w:t>
      </w:r>
      <w:r w:rsidR="00AB454A" w:rsidRPr="002F50BD">
        <w:rPr>
          <w:rFonts w:ascii="Verdana" w:hAnsi="Verdana"/>
          <w:sz w:val="20"/>
          <w:lang w:val="pt-BR"/>
        </w:rPr>
        <w:t>caça</w:t>
      </w:r>
      <w:r w:rsidR="004756C1" w:rsidRPr="002F50BD">
        <w:rPr>
          <w:rFonts w:ascii="Verdana" w:hAnsi="Verdana"/>
          <w:sz w:val="20"/>
          <w:lang w:val="pt-BR"/>
        </w:rPr>
        <w:t xml:space="preserve">dores-coletores </w:t>
      </w:r>
      <w:r w:rsidRPr="002F50BD">
        <w:rPr>
          <w:rFonts w:ascii="Verdana" w:hAnsi="Verdana"/>
          <w:sz w:val="20"/>
          <w:lang w:val="pt-BR"/>
        </w:rPr>
        <w:t>móveis</w:t>
      </w:r>
      <w:r w:rsidR="004756C1" w:rsidRPr="002F50BD">
        <w:rPr>
          <w:rFonts w:ascii="Verdana" w:hAnsi="Verdana"/>
          <w:sz w:val="20"/>
          <w:lang w:val="pt-BR"/>
        </w:rPr>
        <w:t xml:space="preserve"> </w:t>
      </w:r>
      <w:r w:rsidRPr="002F50BD">
        <w:rPr>
          <w:rFonts w:ascii="Verdana" w:hAnsi="Verdana"/>
          <w:sz w:val="20"/>
          <w:lang w:val="pt-BR"/>
        </w:rPr>
        <w:t>percorriam</w:t>
      </w:r>
      <w:r w:rsidR="004756C1" w:rsidRPr="002F50BD">
        <w:rPr>
          <w:rFonts w:ascii="Verdana" w:hAnsi="Verdana"/>
          <w:sz w:val="20"/>
          <w:lang w:val="pt-BR"/>
        </w:rPr>
        <w:t xml:space="preserve"> </w:t>
      </w:r>
      <w:r w:rsidR="00AB454A" w:rsidRPr="002F50BD">
        <w:rPr>
          <w:rFonts w:ascii="Verdana" w:hAnsi="Verdana"/>
          <w:sz w:val="20"/>
          <w:lang w:val="pt-BR"/>
        </w:rPr>
        <w:t>seu território</w:t>
      </w:r>
      <w:r w:rsidR="004756C1" w:rsidRPr="002F50BD">
        <w:rPr>
          <w:rFonts w:ascii="Verdana" w:hAnsi="Verdana"/>
          <w:sz w:val="20"/>
          <w:lang w:val="pt-BR"/>
        </w:rPr>
        <w:t xml:space="preserve"> </w:t>
      </w:r>
      <w:r w:rsidRPr="002F50BD">
        <w:rPr>
          <w:rFonts w:ascii="Verdana" w:hAnsi="Verdana"/>
          <w:sz w:val="20"/>
          <w:lang w:val="pt-BR"/>
        </w:rPr>
        <w:t>utilizando</w:t>
      </w:r>
      <w:r w:rsidR="0089298C" w:rsidRPr="002F50BD">
        <w:rPr>
          <w:rFonts w:ascii="Verdana" w:hAnsi="Verdana"/>
          <w:sz w:val="20"/>
          <w:lang w:val="pt-BR"/>
        </w:rPr>
        <w:t xml:space="preserve"> a natureza na </w:t>
      </w:r>
      <w:r w:rsidR="004756C1" w:rsidRPr="002F50BD">
        <w:rPr>
          <w:rFonts w:ascii="Verdana" w:hAnsi="Verdana"/>
          <w:sz w:val="20"/>
          <w:lang w:val="pt-BR"/>
        </w:rPr>
        <w:t>medida</w:t>
      </w:r>
      <w:r w:rsidR="0089298C" w:rsidRPr="002F50BD">
        <w:rPr>
          <w:rFonts w:ascii="Verdana" w:hAnsi="Verdana"/>
          <w:sz w:val="20"/>
          <w:lang w:val="pt-BR"/>
        </w:rPr>
        <w:t xml:space="preserve"> em </w:t>
      </w:r>
      <w:r w:rsidR="004756C1" w:rsidRPr="002F50BD">
        <w:rPr>
          <w:rFonts w:ascii="Verdana" w:hAnsi="Verdana"/>
          <w:sz w:val="20"/>
          <w:lang w:val="pt-BR"/>
        </w:rPr>
        <w:t>que</w:t>
      </w:r>
      <w:r w:rsidR="0089298C" w:rsidRPr="002F50BD">
        <w:rPr>
          <w:rFonts w:ascii="Verdana" w:hAnsi="Verdana"/>
          <w:sz w:val="20"/>
          <w:lang w:val="pt-BR"/>
        </w:rPr>
        <w:t xml:space="preserve"> os </w:t>
      </w:r>
      <w:r w:rsidR="004756C1" w:rsidRPr="002F50BD">
        <w:rPr>
          <w:rFonts w:ascii="Verdana" w:hAnsi="Verdana"/>
          <w:sz w:val="20"/>
          <w:lang w:val="pt-BR"/>
        </w:rPr>
        <w:t xml:space="preserve">recursos </w:t>
      </w:r>
      <w:r w:rsidR="0089298C" w:rsidRPr="002F50BD">
        <w:rPr>
          <w:rFonts w:ascii="Verdana" w:hAnsi="Verdana"/>
          <w:sz w:val="20"/>
          <w:lang w:val="pt-BR"/>
        </w:rPr>
        <w:t>próprio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4756C1" w:rsidRPr="002F50BD">
        <w:rPr>
          <w:rFonts w:ascii="Verdana" w:hAnsi="Verdana"/>
          <w:sz w:val="20"/>
          <w:lang w:val="pt-BR"/>
        </w:rPr>
        <w:t>ciclo anual</w:t>
      </w:r>
      <w:r w:rsidR="0089298C" w:rsidRPr="002F50BD">
        <w:rPr>
          <w:rFonts w:ascii="Verdana" w:hAnsi="Verdana"/>
          <w:sz w:val="20"/>
          <w:lang w:val="pt-BR"/>
        </w:rPr>
        <w:t xml:space="preserve"> e a </w:t>
      </w:r>
      <w:r w:rsidRPr="002F50BD">
        <w:rPr>
          <w:rFonts w:ascii="Verdana" w:hAnsi="Verdana"/>
          <w:sz w:val="20"/>
          <w:lang w:val="pt-BR"/>
        </w:rPr>
        <w:t>tecnologia</w:t>
      </w:r>
      <w:r w:rsidR="004756C1" w:rsidRPr="002F50BD">
        <w:rPr>
          <w:rFonts w:ascii="Verdana" w:hAnsi="Verdana"/>
          <w:sz w:val="20"/>
          <w:lang w:val="pt-BR"/>
        </w:rPr>
        <w:t xml:space="preserve"> cultural</w:t>
      </w:r>
      <w:r w:rsidR="0089298C" w:rsidRPr="002F50BD">
        <w:rPr>
          <w:rFonts w:ascii="Verdana" w:hAnsi="Verdana"/>
          <w:sz w:val="20"/>
          <w:lang w:val="pt-BR"/>
        </w:rPr>
        <w:t xml:space="preserve"> lhes </w:t>
      </w:r>
      <w:r w:rsidR="004756C1" w:rsidRPr="002F50BD">
        <w:rPr>
          <w:rFonts w:ascii="Verdana" w:hAnsi="Verdana"/>
          <w:sz w:val="20"/>
          <w:lang w:val="pt-BR"/>
        </w:rPr>
        <w:t>permit</w:t>
      </w:r>
      <w:r w:rsidRPr="002F50BD">
        <w:rPr>
          <w:rFonts w:ascii="Verdana" w:hAnsi="Verdana"/>
          <w:sz w:val="20"/>
          <w:lang w:val="pt-BR"/>
        </w:rPr>
        <w:t>iam aproveitá-la</w:t>
      </w:r>
      <w:r w:rsidR="00E6530C" w:rsidRPr="002F50BD">
        <w:rPr>
          <w:rFonts w:ascii="Verdana" w:hAnsi="Verdana"/>
          <w:sz w:val="20"/>
          <w:lang w:val="pt-BR"/>
        </w:rPr>
        <w:t>. Dest</w:t>
      </w:r>
      <w:r w:rsidR="0089298C" w:rsidRPr="002F50BD">
        <w:rPr>
          <w:rFonts w:ascii="Verdana" w:hAnsi="Verdana"/>
          <w:sz w:val="20"/>
          <w:lang w:val="pt-BR"/>
        </w:rPr>
        <w:t xml:space="preserve">e </w:t>
      </w:r>
      <w:r w:rsidR="004756C1" w:rsidRPr="002F50BD">
        <w:rPr>
          <w:rFonts w:ascii="Verdana" w:hAnsi="Verdana"/>
          <w:sz w:val="20"/>
          <w:lang w:val="pt-BR"/>
        </w:rPr>
        <w:t>modo,</w:t>
      </w:r>
      <w:r w:rsidR="0089298C" w:rsidRPr="002F50BD">
        <w:rPr>
          <w:rFonts w:ascii="Verdana" w:hAnsi="Verdana"/>
          <w:sz w:val="20"/>
          <w:lang w:val="pt-BR"/>
        </w:rPr>
        <w:t xml:space="preserve"> as ativ</w:t>
      </w:r>
      <w:r w:rsidR="004756C1" w:rsidRPr="002F50BD">
        <w:rPr>
          <w:rFonts w:ascii="Verdana" w:hAnsi="Verdana"/>
          <w:sz w:val="20"/>
          <w:lang w:val="pt-BR"/>
        </w:rPr>
        <w:t xml:space="preserve">idades de </w:t>
      </w:r>
      <w:r w:rsidR="0089298C" w:rsidRPr="002F50BD">
        <w:rPr>
          <w:rFonts w:ascii="Verdana" w:hAnsi="Verdana"/>
          <w:sz w:val="20"/>
          <w:lang w:val="pt-BR"/>
        </w:rPr>
        <w:t>produção</w:t>
      </w:r>
      <w:r w:rsidR="004756C1" w:rsidRPr="002F50BD">
        <w:rPr>
          <w:rFonts w:ascii="Verdana" w:hAnsi="Verdana"/>
          <w:sz w:val="20"/>
          <w:lang w:val="pt-BR"/>
        </w:rPr>
        <w:t xml:space="preserve"> tr</w:t>
      </w:r>
      <w:r w:rsidR="0089298C" w:rsidRPr="002F50BD">
        <w:rPr>
          <w:rFonts w:ascii="Verdana" w:hAnsi="Verdana"/>
          <w:sz w:val="20"/>
          <w:lang w:val="pt-BR"/>
        </w:rPr>
        <w:t>adicionais</w:t>
      </w:r>
      <w:r w:rsidR="004756C1" w:rsidRPr="002F50BD">
        <w:rPr>
          <w:rFonts w:ascii="Verdana" w:hAnsi="Verdana"/>
          <w:sz w:val="20"/>
          <w:lang w:val="pt-BR"/>
        </w:rPr>
        <w:t xml:space="preserve"> </w:t>
      </w:r>
      <w:r w:rsidR="0089298C" w:rsidRPr="002F50BD">
        <w:rPr>
          <w:rFonts w:ascii="Verdana" w:hAnsi="Verdana"/>
          <w:sz w:val="20"/>
          <w:lang w:val="pt-BR"/>
        </w:rPr>
        <w:t>estavam</w:t>
      </w:r>
      <w:r w:rsidR="004756C1" w:rsidRPr="002F50BD">
        <w:rPr>
          <w:rFonts w:ascii="Verdana" w:hAnsi="Verdana"/>
          <w:sz w:val="20"/>
          <w:lang w:val="pt-BR"/>
        </w:rPr>
        <w:t xml:space="preserve"> </w:t>
      </w:r>
      <w:r w:rsidR="00C76C86" w:rsidRPr="002F50BD">
        <w:rPr>
          <w:rFonts w:ascii="Verdana" w:hAnsi="Verdana"/>
          <w:sz w:val="20"/>
          <w:lang w:val="pt-BR"/>
        </w:rPr>
        <w:t>determinadas</w:t>
      </w:r>
      <w:r w:rsidRPr="002F50BD">
        <w:rPr>
          <w:rFonts w:ascii="Verdana" w:hAnsi="Verdana"/>
          <w:sz w:val="20"/>
          <w:lang w:val="pt-BR"/>
        </w:rPr>
        <w:t xml:space="preserve"> </w:t>
      </w:r>
      <w:r w:rsidR="0089298C" w:rsidRPr="002F50BD">
        <w:rPr>
          <w:rFonts w:ascii="Verdana" w:hAnsi="Verdana"/>
          <w:sz w:val="20"/>
          <w:lang w:val="pt-BR"/>
        </w:rPr>
        <w:t xml:space="preserve">pelas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 xml:space="preserve">sazonais </w:t>
      </w:r>
      <w:r w:rsidR="0089298C" w:rsidRPr="002F50BD">
        <w:rPr>
          <w:rFonts w:ascii="Verdana" w:hAnsi="Verdana"/>
          <w:sz w:val="20"/>
          <w:lang w:val="pt-BR"/>
        </w:rPr>
        <w:t xml:space="preserve">e pela </w:t>
      </w:r>
      <w:r w:rsidRPr="002F50BD">
        <w:rPr>
          <w:rFonts w:ascii="Verdana" w:hAnsi="Verdana"/>
          <w:sz w:val="20"/>
          <w:lang w:val="pt-BR"/>
        </w:rPr>
        <w:t xml:space="preserve">consequente </w:t>
      </w:r>
      <w:r w:rsidR="0089298C" w:rsidRPr="002F50BD">
        <w:rPr>
          <w:rFonts w:ascii="Verdana" w:hAnsi="Verdana"/>
          <w:sz w:val="20"/>
          <w:lang w:val="pt-BR"/>
        </w:rPr>
        <w:t>existência</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determinados momentos, de</w:t>
      </w:r>
      <w:r w:rsidR="0089298C" w:rsidRPr="002F50BD">
        <w:rPr>
          <w:rFonts w:ascii="Verdana" w:hAnsi="Verdana"/>
          <w:sz w:val="20"/>
          <w:lang w:val="pt-BR"/>
        </w:rPr>
        <w:t xml:space="preserve"> certos</w:t>
      </w:r>
      <w:r w:rsidR="004756C1" w:rsidRPr="002F50BD">
        <w:rPr>
          <w:rFonts w:ascii="Verdana" w:hAnsi="Verdana"/>
          <w:sz w:val="20"/>
          <w:lang w:val="pt-BR"/>
        </w:rPr>
        <w:t xml:space="preserve"> </w:t>
      </w:r>
      <w:r w:rsidR="0089298C" w:rsidRPr="002F50BD">
        <w:rPr>
          <w:rFonts w:ascii="Verdana" w:hAnsi="Verdana"/>
          <w:sz w:val="20"/>
          <w:lang w:val="pt-BR"/>
        </w:rPr>
        <w:t xml:space="preserve">bens nas </w:t>
      </w:r>
      <w:r w:rsidR="004756C1" w:rsidRPr="002F50BD">
        <w:rPr>
          <w:rFonts w:ascii="Verdana" w:hAnsi="Verdana"/>
          <w:sz w:val="20"/>
          <w:lang w:val="pt-BR"/>
        </w:rPr>
        <w:t xml:space="preserve">diversas partes </w:t>
      </w:r>
      <w:r w:rsidR="0089298C" w:rsidRPr="002F50BD">
        <w:rPr>
          <w:rFonts w:ascii="Verdana" w:hAnsi="Verdana"/>
          <w:sz w:val="20"/>
          <w:lang w:val="pt-BR"/>
        </w:rPr>
        <w:t>do território</w:t>
      </w:r>
      <w:r w:rsidR="004756C1" w:rsidRPr="002F50BD">
        <w:rPr>
          <w:rFonts w:ascii="Verdana" w:hAnsi="Verdana"/>
          <w:sz w:val="20"/>
          <w:lang w:val="pt-BR"/>
        </w:rPr>
        <w:t xml:space="preserve"> que cada </w:t>
      </w:r>
      <w:r w:rsidR="0089298C" w:rsidRPr="002F50BD">
        <w:rPr>
          <w:rFonts w:ascii="Verdana" w:hAnsi="Verdana"/>
          <w:sz w:val="20"/>
          <w:lang w:val="pt-BR"/>
        </w:rPr>
        <w:t>povo</w:t>
      </w:r>
      <w:r w:rsidR="004756C1" w:rsidRPr="002F50BD">
        <w:rPr>
          <w:rFonts w:ascii="Verdana" w:hAnsi="Verdana"/>
          <w:sz w:val="20"/>
          <w:lang w:val="pt-BR"/>
        </w:rPr>
        <w:t xml:space="preserve"> ocupa</w:t>
      </w:r>
      <w:r w:rsidRPr="002F50BD">
        <w:rPr>
          <w:rFonts w:ascii="Verdana" w:hAnsi="Verdana"/>
          <w:sz w:val="20"/>
          <w:lang w:val="pt-BR"/>
        </w:rPr>
        <w:t>v</w:t>
      </w:r>
      <w:r w:rsidR="004756C1" w:rsidRPr="002F50BD">
        <w:rPr>
          <w:rFonts w:ascii="Verdana" w:hAnsi="Verdana"/>
          <w:sz w:val="20"/>
          <w:lang w:val="pt-BR"/>
        </w:rPr>
        <w:t>a</w:t>
      </w:r>
      <w:r w:rsidR="00AB454A" w:rsidRPr="002F50BD">
        <w:rPr>
          <w:rFonts w:ascii="Verdana" w:hAnsi="Verdana"/>
          <w:sz w:val="20"/>
          <w:lang w:val="pt-BR"/>
        </w:rPr>
        <w:t xml:space="preserve">. A </w:t>
      </w:r>
      <w:r w:rsidR="004756C1" w:rsidRPr="002F50BD">
        <w:rPr>
          <w:rFonts w:ascii="Verdana" w:hAnsi="Verdana"/>
          <w:sz w:val="20"/>
          <w:lang w:val="pt-BR"/>
        </w:rPr>
        <w:t>ocupa</w:t>
      </w:r>
      <w:r w:rsidR="0089298C" w:rsidRPr="002F50BD">
        <w:rPr>
          <w:rFonts w:ascii="Verdana" w:hAnsi="Verdana"/>
          <w:sz w:val="20"/>
          <w:lang w:val="pt-BR"/>
        </w:rPr>
        <w:t>ção</w:t>
      </w:r>
      <w:r w:rsidR="004756C1" w:rsidRPr="002F50BD">
        <w:rPr>
          <w:rFonts w:ascii="Verdana" w:hAnsi="Verdana"/>
          <w:sz w:val="20"/>
          <w:lang w:val="pt-BR"/>
        </w:rPr>
        <w:t xml:space="preserve"> </w:t>
      </w:r>
      <w:r w:rsidR="00060B3A" w:rsidRPr="002F50BD">
        <w:rPr>
          <w:rFonts w:ascii="Verdana" w:hAnsi="Verdana"/>
          <w:sz w:val="20"/>
          <w:lang w:val="pt-BR"/>
        </w:rPr>
        <w:t xml:space="preserve">de seu território </w:t>
      </w:r>
      <w:r w:rsidR="0089298C" w:rsidRPr="002F50BD">
        <w:rPr>
          <w:rFonts w:ascii="Verdana" w:hAnsi="Verdana"/>
          <w:sz w:val="20"/>
          <w:lang w:val="pt-BR"/>
        </w:rPr>
        <w:t>realiza</w:t>
      </w:r>
      <w:r w:rsidRPr="002F50BD">
        <w:rPr>
          <w:rFonts w:ascii="Verdana" w:hAnsi="Verdana"/>
          <w:sz w:val="20"/>
          <w:lang w:val="pt-BR"/>
        </w:rPr>
        <w:t>da pel</w:t>
      </w:r>
      <w:r w:rsidR="0089298C" w:rsidRPr="002F50BD">
        <w:rPr>
          <w:rFonts w:ascii="Verdana" w:hAnsi="Verdana"/>
          <w:sz w:val="20"/>
          <w:lang w:val="pt-BR"/>
        </w:rPr>
        <w:t xml:space="preserve">os </w:t>
      </w:r>
      <w:r w:rsidR="004756C1" w:rsidRPr="002F50BD">
        <w:rPr>
          <w:rFonts w:ascii="Verdana" w:hAnsi="Verdana"/>
          <w:sz w:val="20"/>
          <w:lang w:val="pt-BR"/>
        </w:rPr>
        <w:t xml:space="preserve">indígenas </w:t>
      </w:r>
      <w:r w:rsidR="0089298C" w:rsidRPr="002F50BD">
        <w:rPr>
          <w:rFonts w:ascii="Verdana" w:hAnsi="Verdana"/>
          <w:sz w:val="20"/>
          <w:lang w:val="pt-BR"/>
        </w:rPr>
        <w:t xml:space="preserve">não possui </w:t>
      </w:r>
      <w:r w:rsidR="004756C1" w:rsidRPr="002F50BD">
        <w:rPr>
          <w:rFonts w:ascii="Verdana" w:hAnsi="Verdana"/>
          <w:sz w:val="20"/>
          <w:lang w:val="pt-BR"/>
        </w:rPr>
        <w:t xml:space="preserve">nada de </w:t>
      </w:r>
      <w:r w:rsidRPr="002F50BD">
        <w:rPr>
          <w:rFonts w:ascii="Verdana" w:hAnsi="Verdana"/>
          <w:sz w:val="20"/>
          <w:lang w:val="pt-BR"/>
        </w:rPr>
        <w:t>casual</w:t>
      </w:r>
      <w:r w:rsidR="004756C1" w:rsidRPr="002F50BD">
        <w:rPr>
          <w:rFonts w:ascii="Verdana" w:hAnsi="Verdana"/>
          <w:sz w:val="20"/>
          <w:lang w:val="pt-BR"/>
        </w:rPr>
        <w:t xml:space="preserve"> o</w:t>
      </w:r>
      <w:r w:rsidRPr="002F50BD">
        <w:rPr>
          <w:rFonts w:ascii="Verdana" w:hAnsi="Verdana"/>
          <w:sz w:val="20"/>
          <w:lang w:val="pt-BR"/>
        </w:rPr>
        <w:t>u</w:t>
      </w:r>
      <w:r w:rsidR="004756C1" w:rsidRPr="002F50BD">
        <w:rPr>
          <w:rFonts w:ascii="Verdana" w:hAnsi="Verdana"/>
          <w:sz w:val="20"/>
          <w:lang w:val="pt-BR"/>
        </w:rPr>
        <w:t xml:space="preserve"> esporádico</w:t>
      </w:r>
      <w:r w:rsidR="0089298C" w:rsidRPr="002F50BD">
        <w:rPr>
          <w:rFonts w:ascii="Verdana" w:hAnsi="Verdana"/>
          <w:sz w:val="20"/>
          <w:lang w:val="pt-BR"/>
        </w:rPr>
        <w:t xml:space="preserve"> se a </w:t>
      </w:r>
      <w:r w:rsidR="004756C1" w:rsidRPr="002F50BD">
        <w:rPr>
          <w:rFonts w:ascii="Verdana" w:hAnsi="Verdana"/>
          <w:sz w:val="20"/>
          <w:lang w:val="pt-BR"/>
        </w:rPr>
        <w:t>observa</w:t>
      </w:r>
      <w:r w:rsidR="00E8414F" w:rsidRPr="002F50BD">
        <w:rPr>
          <w:rFonts w:ascii="Verdana" w:hAnsi="Verdana"/>
          <w:sz w:val="20"/>
          <w:lang w:val="pt-BR"/>
        </w:rPr>
        <w:t>r</w:t>
      </w:r>
      <w:r w:rsidR="004756C1" w:rsidRPr="002F50BD">
        <w:rPr>
          <w:rFonts w:ascii="Verdana" w:hAnsi="Verdana"/>
          <w:sz w:val="20"/>
          <w:lang w:val="pt-BR"/>
        </w:rPr>
        <w:t xml:space="preserve">mos </w:t>
      </w:r>
      <w:r w:rsidRPr="002F50BD">
        <w:rPr>
          <w:rFonts w:ascii="Verdana" w:hAnsi="Verdana"/>
          <w:sz w:val="20"/>
          <w:lang w:val="pt-BR"/>
        </w:rPr>
        <w:t xml:space="preserve">desde a </w:t>
      </w:r>
      <w:r w:rsidR="004756C1" w:rsidRPr="002F50BD">
        <w:rPr>
          <w:rFonts w:ascii="Verdana" w:hAnsi="Verdana"/>
          <w:sz w:val="20"/>
          <w:lang w:val="pt-BR"/>
        </w:rPr>
        <w:t>óptica</w:t>
      </w:r>
      <w:r w:rsidR="0089298C" w:rsidRPr="002F50BD">
        <w:rPr>
          <w:rFonts w:ascii="Verdana" w:hAnsi="Verdana"/>
          <w:sz w:val="20"/>
          <w:lang w:val="pt-BR"/>
        </w:rPr>
        <w:t xml:space="preserve"> da </w:t>
      </w:r>
      <w:r w:rsidR="004756C1" w:rsidRPr="002F50BD">
        <w:rPr>
          <w:rFonts w:ascii="Verdana" w:hAnsi="Verdana"/>
          <w:sz w:val="20"/>
          <w:lang w:val="pt-BR"/>
        </w:rPr>
        <w:t>racionalidad</w:t>
      </w:r>
      <w:r w:rsidRPr="002F50BD">
        <w:rPr>
          <w:rFonts w:ascii="Verdana" w:hAnsi="Verdana"/>
          <w:sz w:val="20"/>
          <w:lang w:val="pt-BR"/>
        </w:rPr>
        <w:t>e</w:t>
      </w:r>
      <w:r w:rsidR="004756C1" w:rsidRPr="002F50BD">
        <w:rPr>
          <w:rFonts w:ascii="Verdana" w:hAnsi="Verdana"/>
          <w:sz w:val="20"/>
          <w:lang w:val="pt-BR"/>
        </w:rPr>
        <w:t xml:space="preserve"> interna de cada cultura</w:t>
      </w:r>
      <w:r w:rsidR="00D95E71" w:rsidRPr="002F50BD">
        <w:rPr>
          <w:rFonts w:ascii="Verdana" w:hAnsi="Verdana"/>
          <w:sz w:val="20"/>
          <w:lang w:val="pt-BR"/>
        </w:rPr>
        <w:t xml:space="preserve">. O </w:t>
      </w:r>
      <w:r w:rsidR="0089298C" w:rsidRPr="002F50BD">
        <w:rPr>
          <w:rFonts w:ascii="Verdana" w:hAnsi="Verdana"/>
          <w:sz w:val="20"/>
          <w:lang w:val="pt-BR"/>
        </w:rPr>
        <w:t>território</w:t>
      </w:r>
      <w:r w:rsidR="004756C1" w:rsidRPr="002F50BD">
        <w:rPr>
          <w:rFonts w:ascii="Verdana" w:hAnsi="Verdana"/>
          <w:sz w:val="20"/>
          <w:lang w:val="pt-BR"/>
        </w:rPr>
        <w:t>,</w:t>
      </w:r>
      <w:r w:rsidR="0089298C" w:rsidRPr="002F50BD">
        <w:rPr>
          <w:rFonts w:ascii="Verdana" w:hAnsi="Verdana"/>
          <w:sz w:val="20"/>
          <w:lang w:val="pt-BR"/>
        </w:rPr>
        <w:t xml:space="preserve"> a totalidade do espaço</w:t>
      </w:r>
      <w:r w:rsidR="004756C1" w:rsidRPr="002F50BD">
        <w:rPr>
          <w:rFonts w:ascii="Verdana" w:hAnsi="Verdana"/>
          <w:sz w:val="20"/>
          <w:lang w:val="pt-BR"/>
        </w:rPr>
        <w:t xml:space="preserve"> que</w:t>
      </w:r>
      <w:r w:rsidR="0089298C" w:rsidRPr="002F50BD">
        <w:rPr>
          <w:rFonts w:ascii="Verdana" w:hAnsi="Verdana"/>
          <w:sz w:val="20"/>
          <w:lang w:val="pt-BR"/>
        </w:rPr>
        <w:t xml:space="preserve"> um</w:t>
      </w:r>
      <w:r w:rsidRPr="002F50BD">
        <w:rPr>
          <w:rFonts w:ascii="Verdana" w:hAnsi="Verdana"/>
          <w:sz w:val="20"/>
          <w:lang w:val="pt-BR"/>
        </w:rPr>
        <w:t xml:space="preserve"> grupo </w:t>
      </w:r>
      <w:r w:rsidR="004756C1" w:rsidRPr="002F50BD">
        <w:rPr>
          <w:rFonts w:ascii="Verdana" w:hAnsi="Verdana"/>
          <w:sz w:val="20"/>
          <w:lang w:val="pt-BR"/>
        </w:rPr>
        <w:t>utiliz</w:t>
      </w:r>
      <w:r w:rsidRPr="002F50BD">
        <w:rPr>
          <w:rFonts w:ascii="Verdana" w:hAnsi="Verdana"/>
          <w:sz w:val="20"/>
          <w:lang w:val="pt-BR"/>
        </w:rPr>
        <w:t xml:space="preserve">ava </w:t>
      </w:r>
      <w:r w:rsidR="0089298C" w:rsidRPr="002F50BD">
        <w:rPr>
          <w:rFonts w:ascii="Verdana" w:hAnsi="Verdana"/>
          <w:sz w:val="20"/>
          <w:lang w:val="pt-BR"/>
        </w:rPr>
        <w:t xml:space="preserve">e pelo </w:t>
      </w:r>
      <w:r w:rsidR="004756C1" w:rsidRPr="002F50BD">
        <w:rPr>
          <w:rFonts w:ascii="Verdana" w:hAnsi="Verdana"/>
          <w:sz w:val="20"/>
          <w:lang w:val="pt-BR"/>
        </w:rPr>
        <w:t>qu</w:t>
      </w:r>
      <w:r w:rsidRPr="002F50BD">
        <w:rPr>
          <w:rFonts w:ascii="Verdana" w:hAnsi="Verdana"/>
          <w:sz w:val="20"/>
          <w:lang w:val="pt-BR"/>
        </w:rPr>
        <w:t>al</w:t>
      </w:r>
      <w:r w:rsidR="004756C1" w:rsidRPr="002F50BD">
        <w:rPr>
          <w:rFonts w:ascii="Verdana" w:hAnsi="Verdana"/>
          <w:sz w:val="20"/>
          <w:lang w:val="pt-BR"/>
        </w:rPr>
        <w:t xml:space="preserve"> circul</w:t>
      </w:r>
      <w:r w:rsidRPr="002F50BD">
        <w:rPr>
          <w:rFonts w:ascii="Verdana" w:hAnsi="Verdana"/>
          <w:sz w:val="20"/>
          <w:lang w:val="pt-BR"/>
        </w:rPr>
        <w:t xml:space="preserve">ava, </w:t>
      </w:r>
      <w:r w:rsidR="004756C1" w:rsidRPr="002F50BD">
        <w:rPr>
          <w:rFonts w:ascii="Verdana" w:hAnsi="Verdana"/>
          <w:sz w:val="20"/>
          <w:lang w:val="pt-BR"/>
        </w:rPr>
        <w:t>era</w:t>
      </w:r>
      <w:r w:rsidR="0089298C" w:rsidRPr="002F50BD">
        <w:rPr>
          <w:rFonts w:ascii="Verdana" w:hAnsi="Verdana"/>
          <w:sz w:val="20"/>
          <w:lang w:val="pt-BR"/>
        </w:rPr>
        <w:t xml:space="preserve"> </w:t>
      </w:r>
      <w:r w:rsidR="004756C1" w:rsidRPr="002F50BD">
        <w:rPr>
          <w:rFonts w:ascii="Verdana" w:hAnsi="Verdana"/>
          <w:sz w:val="20"/>
          <w:lang w:val="pt-BR"/>
        </w:rPr>
        <w:t>definitiva</w:t>
      </w:r>
      <w:r w:rsidRPr="002F50BD">
        <w:rPr>
          <w:rFonts w:ascii="Verdana" w:hAnsi="Verdana"/>
          <w:sz w:val="20"/>
          <w:lang w:val="pt-BR"/>
        </w:rPr>
        <w:t>mente</w:t>
      </w:r>
      <w:r w:rsidR="0089298C" w:rsidRPr="002F50BD">
        <w:rPr>
          <w:rFonts w:ascii="Verdana" w:hAnsi="Verdana"/>
          <w:sz w:val="20"/>
          <w:lang w:val="pt-BR"/>
        </w:rPr>
        <w:t xml:space="preserve"> uma grande </w:t>
      </w:r>
      <w:r w:rsidRPr="002F50BD">
        <w:rPr>
          <w:rFonts w:ascii="Verdana" w:hAnsi="Verdana"/>
          <w:sz w:val="20"/>
          <w:lang w:val="pt-BR"/>
        </w:rPr>
        <w:t xml:space="preserve">moradia </w:t>
      </w:r>
      <w:r w:rsidR="004756C1" w:rsidRPr="002F50BD">
        <w:rPr>
          <w:rFonts w:ascii="Verdana" w:hAnsi="Verdana"/>
          <w:sz w:val="20"/>
          <w:lang w:val="pt-BR"/>
        </w:rPr>
        <w:t>que</w:t>
      </w:r>
      <w:r w:rsidR="0089298C" w:rsidRPr="002F50BD">
        <w:rPr>
          <w:rFonts w:ascii="Verdana" w:hAnsi="Verdana"/>
          <w:sz w:val="20"/>
          <w:lang w:val="pt-BR"/>
        </w:rPr>
        <w:t xml:space="preserve"> uma </w:t>
      </w:r>
      <w:r w:rsidR="004756C1" w:rsidRPr="002F50BD">
        <w:rPr>
          <w:rFonts w:ascii="Verdana" w:hAnsi="Verdana"/>
          <w:sz w:val="20"/>
          <w:lang w:val="pt-BR"/>
        </w:rPr>
        <w:t xml:space="preserve">enorme </w:t>
      </w:r>
      <w:r w:rsidR="0089298C" w:rsidRPr="002F50BD">
        <w:rPr>
          <w:rFonts w:ascii="Verdana" w:hAnsi="Verdana"/>
          <w:sz w:val="20"/>
          <w:lang w:val="pt-BR"/>
        </w:rPr>
        <w:t xml:space="preserve">família </w:t>
      </w:r>
      <w:r w:rsidR="004756C1" w:rsidRPr="002F50BD">
        <w:rPr>
          <w:rFonts w:ascii="Verdana" w:hAnsi="Verdana"/>
          <w:sz w:val="20"/>
          <w:lang w:val="pt-BR"/>
        </w:rPr>
        <w:t>utiliz</w:t>
      </w:r>
      <w:r w:rsidRPr="002F50BD">
        <w:rPr>
          <w:rFonts w:ascii="Verdana" w:hAnsi="Verdana"/>
          <w:sz w:val="20"/>
          <w:lang w:val="pt-BR"/>
        </w:rPr>
        <w:t xml:space="preserve">ava </w:t>
      </w:r>
      <w:r w:rsidR="004756C1" w:rsidRPr="002F50BD">
        <w:rPr>
          <w:rFonts w:ascii="Verdana" w:hAnsi="Verdana"/>
          <w:sz w:val="20"/>
          <w:lang w:val="pt-BR"/>
        </w:rPr>
        <w:t>completamente</w:t>
      </w:r>
      <w:r w:rsidR="0089298C" w:rsidRPr="002F50BD">
        <w:rPr>
          <w:rFonts w:ascii="Verdana" w:hAnsi="Verdana"/>
          <w:sz w:val="20"/>
          <w:lang w:val="pt-BR"/>
        </w:rPr>
        <w:t xml:space="preserve"> ao </w:t>
      </w:r>
      <w:r w:rsidR="004756C1" w:rsidRPr="002F50BD">
        <w:rPr>
          <w:rFonts w:ascii="Verdana" w:hAnsi="Verdana"/>
          <w:sz w:val="20"/>
          <w:lang w:val="pt-BR"/>
        </w:rPr>
        <w:t>l</w:t>
      </w:r>
      <w:r w:rsidRPr="002F50BD">
        <w:rPr>
          <w:rFonts w:ascii="Verdana" w:hAnsi="Verdana"/>
          <w:sz w:val="20"/>
          <w:lang w:val="pt-BR"/>
        </w:rPr>
        <w:t>ong</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ciclo anual.</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rela</w:t>
      </w:r>
      <w:r w:rsidRPr="002F50BD">
        <w:rPr>
          <w:rFonts w:ascii="Verdana" w:hAnsi="Verdana"/>
          <w:sz w:val="20"/>
          <w:lang w:val="pt-BR"/>
        </w:rPr>
        <w:t>ção</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indígenas man</w:t>
      </w:r>
      <w:r w:rsidRPr="002F50BD">
        <w:rPr>
          <w:rFonts w:ascii="Verdana" w:hAnsi="Verdana"/>
          <w:sz w:val="20"/>
          <w:lang w:val="pt-BR"/>
        </w:rPr>
        <w:t>têm com a terra</w:t>
      </w:r>
      <w:r w:rsidR="004756C1" w:rsidRPr="002F50BD">
        <w:rPr>
          <w:rFonts w:ascii="Verdana" w:hAnsi="Verdana"/>
          <w:sz w:val="20"/>
          <w:lang w:val="pt-BR"/>
        </w:rPr>
        <w:t xml:space="preserve"> </w:t>
      </w:r>
      <w:r w:rsidR="00060B3A" w:rsidRPr="002F50BD">
        <w:rPr>
          <w:rFonts w:ascii="Verdana" w:hAnsi="Verdana"/>
          <w:sz w:val="20"/>
          <w:lang w:val="pt-BR"/>
        </w:rPr>
        <w:t>possui</w:t>
      </w:r>
      <w:r w:rsidR="00AB6727" w:rsidRPr="002F50BD">
        <w:rPr>
          <w:rFonts w:ascii="Verdana" w:hAnsi="Verdana"/>
          <w:sz w:val="20"/>
          <w:lang w:val="pt-BR"/>
        </w:rPr>
        <w:t xml:space="preserve">, além disso, </w:t>
      </w:r>
      <w:r w:rsidR="004756C1" w:rsidRPr="002F50BD">
        <w:rPr>
          <w:rFonts w:ascii="Verdana" w:hAnsi="Verdana"/>
          <w:sz w:val="20"/>
          <w:lang w:val="pt-BR"/>
        </w:rPr>
        <w:t>aspectos n</w:t>
      </w:r>
      <w:r w:rsidR="00AB6727" w:rsidRPr="002F50BD">
        <w:rPr>
          <w:rFonts w:ascii="Verdana" w:hAnsi="Verdana"/>
          <w:sz w:val="20"/>
          <w:lang w:val="pt-BR"/>
        </w:rPr>
        <w:t>ã</w:t>
      </w:r>
      <w:r w:rsidR="004756C1" w:rsidRPr="002F50BD">
        <w:rPr>
          <w:rFonts w:ascii="Verdana" w:hAnsi="Verdana"/>
          <w:sz w:val="20"/>
          <w:lang w:val="pt-BR"/>
        </w:rPr>
        <w:t>o utilit</w:t>
      </w:r>
      <w:r w:rsidR="00AB6727" w:rsidRPr="002F50BD">
        <w:rPr>
          <w:rFonts w:ascii="Verdana" w:hAnsi="Verdana"/>
          <w:sz w:val="20"/>
          <w:lang w:val="pt-BR"/>
        </w:rPr>
        <w:t>á</w:t>
      </w:r>
      <w:r w:rsidR="004756C1" w:rsidRPr="002F50BD">
        <w:rPr>
          <w:rFonts w:ascii="Verdana" w:hAnsi="Verdana"/>
          <w:sz w:val="20"/>
          <w:lang w:val="pt-BR"/>
        </w:rPr>
        <w:t>rios</w:t>
      </w:r>
      <w:r w:rsidR="00BE346D" w:rsidRPr="002F50BD">
        <w:rPr>
          <w:rFonts w:ascii="Verdana" w:hAnsi="Verdana"/>
          <w:sz w:val="20"/>
          <w:lang w:val="pt-BR"/>
        </w:rPr>
        <w:t xml:space="preserve">. Os </w:t>
      </w:r>
      <w:r w:rsidRPr="002F50BD">
        <w:rPr>
          <w:rFonts w:ascii="Verdana" w:hAnsi="Verdana"/>
          <w:sz w:val="20"/>
          <w:lang w:val="pt-BR"/>
        </w:rPr>
        <w:t>âmbito</w:t>
      </w:r>
      <w:r w:rsidR="004756C1" w:rsidRPr="002F50BD">
        <w:rPr>
          <w:rFonts w:ascii="Verdana" w:hAnsi="Verdana"/>
          <w:sz w:val="20"/>
          <w:lang w:val="pt-BR"/>
        </w:rPr>
        <w:t>s cosmológicos</w:t>
      </w:r>
      <w:r w:rsidRPr="002F50BD">
        <w:rPr>
          <w:rFonts w:ascii="Verdana" w:hAnsi="Verdana"/>
          <w:sz w:val="20"/>
          <w:lang w:val="pt-BR"/>
        </w:rPr>
        <w:t xml:space="preserve"> dos </w:t>
      </w:r>
      <w:r w:rsidR="004756C1" w:rsidRPr="002F50BD">
        <w:rPr>
          <w:rFonts w:ascii="Verdana" w:hAnsi="Verdana"/>
          <w:i/>
          <w:sz w:val="20"/>
          <w:lang w:val="pt-BR"/>
        </w:rPr>
        <w:t>chaqueños</w:t>
      </w:r>
      <w:r w:rsidRPr="002F50BD">
        <w:rPr>
          <w:rFonts w:ascii="Verdana" w:hAnsi="Verdana"/>
          <w:sz w:val="20"/>
          <w:lang w:val="pt-BR"/>
        </w:rPr>
        <w:t xml:space="preserve"> estão </w:t>
      </w:r>
      <w:r w:rsidR="004756C1" w:rsidRPr="002F50BD">
        <w:rPr>
          <w:rFonts w:ascii="Verdana" w:hAnsi="Verdana"/>
          <w:sz w:val="20"/>
          <w:lang w:val="pt-BR"/>
        </w:rPr>
        <w:t>regidos por “</w:t>
      </w:r>
      <w:r w:rsidRPr="002F50BD">
        <w:rPr>
          <w:rFonts w:ascii="Verdana" w:hAnsi="Verdana"/>
          <w:sz w:val="20"/>
          <w:lang w:val="pt-BR"/>
        </w:rPr>
        <w:t>senhores</w:t>
      </w:r>
      <w:r w:rsidR="004756C1" w:rsidRPr="002F50BD">
        <w:rPr>
          <w:rFonts w:ascii="Verdana" w:hAnsi="Verdana"/>
          <w:sz w:val="20"/>
          <w:lang w:val="pt-BR"/>
        </w:rPr>
        <w:t>”</w:t>
      </w:r>
      <w:r w:rsidRPr="002F50BD">
        <w:rPr>
          <w:rFonts w:ascii="Verdana" w:hAnsi="Verdana"/>
          <w:sz w:val="20"/>
          <w:lang w:val="pt-BR"/>
        </w:rPr>
        <w:t xml:space="preserve"> dos </w:t>
      </w:r>
      <w:r w:rsidR="004756C1" w:rsidRPr="002F50BD">
        <w:rPr>
          <w:rFonts w:ascii="Verdana" w:hAnsi="Verdana"/>
          <w:sz w:val="20"/>
          <w:lang w:val="pt-BR"/>
        </w:rPr>
        <w:t>entes que o comp</w:t>
      </w:r>
      <w:r w:rsidR="00AB6727" w:rsidRPr="002F50BD">
        <w:rPr>
          <w:rFonts w:ascii="Verdana" w:hAnsi="Verdana"/>
          <w:sz w:val="20"/>
          <w:lang w:val="pt-BR"/>
        </w:rPr>
        <w:t>õem</w:t>
      </w:r>
      <w:r w:rsidR="004756C1" w:rsidRPr="002F50BD">
        <w:rPr>
          <w:rFonts w:ascii="Verdana" w:hAnsi="Verdana"/>
          <w:sz w:val="20"/>
          <w:lang w:val="pt-BR"/>
        </w:rPr>
        <w:t>,</w:t>
      </w:r>
      <w:r w:rsidRPr="002F50BD">
        <w:rPr>
          <w:rFonts w:ascii="Verdana" w:hAnsi="Verdana"/>
          <w:sz w:val="20"/>
          <w:lang w:val="pt-BR"/>
        </w:rPr>
        <w:t xml:space="preserve"> com frequência</w:t>
      </w:r>
      <w:r w:rsidR="004756C1" w:rsidRPr="002F50BD">
        <w:rPr>
          <w:rFonts w:ascii="Verdana" w:hAnsi="Verdana"/>
          <w:sz w:val="20"/>
          <w:lang w:val="pt-BR"/>
        </w:rPr>
        <w:t xml:space="preserve"> esp</w:t>
      </w:r>
      <w:r w:rsidR="00AB6727" w:rsidRPr="002F50BD">
        <w:rPr>
          <w:rFonts w:ascii="Verdana" w:hAnsi="Verdana"/>
          <w:sz w:val="20"/>
          <w:lang w:val="pt-BR"/>
        </w:rPr>
        <w:t>é</w:t>
      </w:r>
      <w:r w:rsidR="004756C1" w:rsidRPr="002F50BD">
        <w:rPr>
          <w:rFonts w:ascii="Verdana" w:hAnsi="Verdana"/>
          <w:sz w:val="20"/>
          <w:lang w:val="pt-BR"/>
        </w:rPr>
        <w:t>cies o</w:t>
      </w:r>
      <w:r w:rsidR="00AB6727" w:rsidRPr="002F50BD">
        <w:rPr>
          <w:rFonts w:ascii="Verdana" w:hAnsi="Verdana"/>
          <w:sz w:val="20"/>
          <w:lang w:val="pt-BR"/>
        </w:rPr>
        <w:t>u</w:t>
      </w:r>
      <w:r w:rsidR="004756C1" w:rsidRPr="002F50BD">
        <w:rPr>
          <w:rFonts w:ascii="Verdana" w:hAnsi="Verdana"/>
          <w:sz w:val="20"/>
          <w:lang w:val="pt-BR"/>
        </w:rPr>
        <w:t xml:space="preserve"> grupos de </w:t>
      </w:r>
      <w:r w:rsidRPr="002F50BD">
        <w:rPr>
          <w:rFonts w:ascii="Verdana" w:hAnsi="Verdana"/>
          <w:sz w:val="20"/>
          <w:lang w:val="pt-BR"/>
        </w:rPr>
        <w:t>animais</w:t>
      </w:r>
      <w:r w:rsidR="004756C1" w:rsidRPr="002F50BD">
        <w:rPr>
          <w:rFonts w:ascii="Verdana" w:hAnsi="Verdana"/>
          <w:sz w:val="20"/>
          <w:lang w:val="pt-BR"/>
        </w:rPr>
        <w:t xml:space="preserve"> o</w:t>
      </w:r>
      <w:r w:rsidR="00AB6727" w:rsidRPr="002F50BD">
        <w:rPr>
          <w:rFonts w:ascii="Verdana" w:hAnsi="Verdana"/>
          <w:sz w:val="20"/>
          <w:lang w:val="pt-BR"/>
        </w:rPr>
        <w:t>u</w:t>
      </w:r>
      <w:r w:rsidR="004756C1" w:rsidRPr="002F50BD">
        <w:rPr>
          <w:rFonts w:ascii="Verdana" w:hAnsi="Verdana"/>
          <w:sz w:val="20"/>
          <w:lang w:val="pt-BR"/>
        </w:rPr>
        <w:t xml:space="preserve"> plantas</w:t>
      </w:r>
      <w:r w:rsidR="001A0CDE" w:rsidRPr="002F50BD">
        <w:rPr>
          <w:rFonts w:ascii="Verdana" w:hAnsi="Verdana"/>
          <w:sz w:val="20"/>
          <w:lang w:val="pt-BR"/>
        </w:rPr>
        <w:t>. Est</w:t>
      </w:r>
      <w:r w:rsidRPr="002F50BD">
        <w:rPr>
          <w:rFonts w:ascii="Verdana" w:hAnsi="Verdana"/>
          <w:sz w:val="20"/>
          <w:lang w:val="pt-BR"/>
        </w:rPr>
        <w:t xml:space="preserve">es </w:t>
      </w:r>
      <w:r w:rsidR="004756C1" w:rsidRPr="002F50BD">
        <w:rPr>
          <w:rFonts w:ascii="Verdana" w:hAnsi="Verdana"/>
          <w:sz w:val="20"/>
          <w:lang w:val="pt-BR"/>
        </w:rPr>
        <w:t>“</w:t>
      </w:r>
      <w:r w:rsidRPr="002F50BD">
        <w:rPr>
          <w:rFonts w:ascii="Verdana" w:hAnsi="Verdana"/>
          <w:sz w:val="20"/>
          <w:lang w:val="pt-BR"/>
        </w:rPr>
        <w:t>senhores</w:t>
      </w:r>
      <w:r w:rsidR="00AB6727" w:rsidRPr="002F50BD">
        <w:rPr>
          <w:rFonts w:ascii="Verdana" w:hAnsi="Verdana"/>
          <w:sz w:val="20"/>
          <w:lang w:val="pt-BR"/>
        </w:rPr>
        <w:t>” simbolizam</w:t>
      </w:r>
      <w:r w:rsidRPr="002F50BD">
        <w:rPr>
          <w:rFonts w:ascii="Verdana" w:hAnsi="Verdana"/>
          <w:sz w:val="20"/>
          <w:lang w:val="pt-BR"/>
        </w:rPr>
        <w:t xml:space="preserve"> o </w:t>
      </w:r>
      <w:r w:rsidR="004756C1" w:rsidRPr="002F50BD">
        <w:rPr>
          <w:rFonts w:ascii="Verdana" w:hAnsi="Verdana"/>
          <w:sz w:val="20"/>
          <w:lang w:val="pt-BR"/>
        </w:rPr>
        <w:t>conjunto</w:t>
      </w:r>
      <w:r w:rsidRPr="002F50BD">
        <w:rPr>
          <w:rFonts w:ascii="Verdana" w:hAnsi="Verdana"/>
          <w:sz w:val="20"/>
          <w:lang w:val="pt-BR"/>
        </w:rPr>
        <w:t xml:space="preserve"> e </w:t>
      </w:r>
      <w:r w:rsidR="00AB454A" w:rsidRPr="002F50BD">
        <w:rPr>
          <w:rFonts w:ascii="Verdana" w:hAnsi="Verdana"/>
          <w:sz w:val="20"/>
          <w:lang w:val="pt-BR"/>
        </w:rPr>
        <w:t>representam</w:t>
      </w:r>
      <w:r w:rsidR="004756C1" w:rsidRPr="002F50BD">
        <w:rPr>
          <w:rFonts w:ascii="Verdana" w:hAnsi="Verdana"/>
          <w:sz w:val="20"/>
          <w:lang w:val="pt-BR"/>
        </w:rPr>
        <w:t xml:space="preserve">, de </w:t>
      </w:r>
      <w:r w:rsidR="00AB454A" w:rsidRPr="002F50BD">
        <w:rPr>
          <w:rFonts w:ascii="Verdana" w:hAnsi="Verdana"/>
          <w:sz w:val="20"/>
          <w:lang w:val="pt-BR"/>
        </w:rPr>
        <w:t>algum</w:t>
      </w:r>
      <w:r w:rsidR="004756C1" w:rsidRPr="002F50BD">
        <w:rPr>
          <w:rFonts w:ascii="Verdana" w:hAnsi="Verdana"/>
          <w:sz w:val="20"/>
          <w:lang w:val="pt-BR"/>
        </w:rPr>
        <w:t xml:space="preserve"> modo,</w:t>
      </w:r>
      <w:r w:rsidRPr="002F50BD">
        <w:rPr>
          <w:rFonts w:ascii="Verdana" w:hAnsi="Verdana"/>
          <w:sz w:val="20"/>
          <w:lang w:val="pt-BR"/>
        </w:rPr>
        <w:t xml:space="preserve"> a potência da espécie </w:t>
      </w:r>
      <w:r w:rsidR="004756C1" w:rsidRPr="002F50BD">
        <w:rPr>
          <w:rFonts w:ascii="Verdana" w:hAnsi="Verdana"/>
          <w:sz w:val="20"/>
          <w:lang w:val="pt-BR"/>
        </w:rPr>
        <w:t>o</w:t>
      </w:r>
      <w:r w:rsidR="00AB6727"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grupo de que se trata.</w:t>
      </w:r>
      <w:r w:rsidR="00FE08B7">
        <w:rPr>
          <w:rFonts w:ascii="Verdana" w:hAnsi="Verdana"/>
          <w:sz w:val="20"/>
          <w:lang w:val="pt-BR"/>
        </w:rPr>
        <w:t xml:space="preserve"> </w:t>
      </w:r>
      <w:r w:rsidRPr="002F50BD">
        <w:rPr>
          <w:rFonts w:ascii="Verdana" w:hAnsi="Verdana"/>
          <w:sz w:val="20"/>
          <w:lang w:val="pt-BR"/>
        </w:rPr>
        <w:t>Ademais</w:t>
      </w:r>
      <w:r w:rsidR="00AB6727" w:rsidRPr="002F50BD">
        <w:rPr>
          <w:rFonts w:ascii="Verdana" w:hAnsi="Verdana"/>
          <w:sz w:val="20"/>
          <w:lang w:val="pt-BR"/>
        </w:rPr>
        <w:t>,</w:t>
      </w:r>
      <w:r w:rsidRPr="002F50BD">
        <w:rPr>
          <w:rFonts w:ascii="Verdana" w:hAnsi="Verdana"/>
          <w:sz w:val="20"/>
          <w:lang w:val="pt-BR"/>
        </w:rPr>
        <w:t xml:space="preserve"> estes </w:t>
      </w:r>
      <w:r w:rsidR="00AB6727" w:rsidRPr="002F50BD">
        <w:rPr>
          <w:rFonts w:ascii="Verdana" w:hAnsi="Verdana"/>
          <w:sz w:val="20"/>
          <w:lang w:val="pt-BR"/>
        </w:rPr>
        <w:t>personagens</w:t>
      </w:r>
      <w:r w:rsidR="004756C1" w:rsidRPr="002F50BD">
        <w:rPr>
          <w:rFonts w:ascii="Verdana" w:hAnsi="Verdana"/>
          <w:sz w:val="20"/>
          <w:lang w:val="pt-BR"/>
        </w:rPr>
        <w:t xml:space="preserve"> </w:t>
      </w:r>
      <w:r w:rsidR="00AB6727" w:rsidRPr="002F50BD">
        <w:rPr>
          <w:rFonts w:ascii="Verdana" w:hAnsi="Verdana"/>
          <w:sz w:val="20"/>
          <w:lang w:val="pt-BR"/>
        </w:rPr>
        <w:t>causam</w:t>
      </w:r>
      <w:r w:rsidRPr="002F50BD">
        <w:rPr>
          <w:rFonts w:ascii="Verdana" w:hAnsi="Verdana"/>
          <w:sz w:val="20"/>
          <w:lang w:val="pt-BR"/>
        </w:rPr>
        <w:t xml:space="preserve"> </w:t>
      </w:r>
      <w:r w:rsidR="00060B3A" w:rsidRPr="002F50BD">
        <w:rPr>
          <w:rFonts w:ascii="Verdana" w:hAnsi="Verdana"/>
          <w:sz w:val="20"/>
          <w:lang w:val="pt-BR"/>
        </w:rPr>
        <w:t>tanto</w:t>
      </w:r>
      <w:r w:rsidR="00AB6727" w:rsidRPr="002F50BD">
        <w:rPr>
          <w:rFonts w:ascii="Verdana" w:hAnsi="Verdana"/>
          <w:sz w:val="20"/>
          <w:lang w:val="pt-BR"/>
        </w:rPr>
        <w:t xml:space="preserve"> doenças ou </w:t>
      </w:r>
      <w:r w:rsidR="004756C1" w:rsidRPr="002F50BD">
        <w:rPr>
          <w:rFonts w:ascii="Verdana" w:hAnsi="Verdana"/>
          <w:sz w:val="20"/>
          <w:lang w:val="pt-BR"/>
        </w:rPr>
        <w:t>dist</w:t>
      </w:r>
      <w:r w:rsidR="00AB6727" w:rsidRPr="002F50BD">
        <w:rPr>
          <w:rFonts w:ascii="Verdana" w:hAnsi="Verdana"/>
          <w:sz w:val="20"/>
          <w:lang w:val="pt-BR"/>
        </w:rPr>
        <w:t>ú</w:t>
      </w:r>
      <w:r w:rsidR="004756C1" w:rsidRPr="002F50BD">
        <w:rPr>
          <w:rFonts w:ascii="Verdana" w:hAnsi="Verdana"/>
          <w:sz w:val="20"/>
          <w:lang w:val="pt-BR"/>
        </w:rPr>
        <w:t>rbios</w:t>
      </w:r>
      <w:r w:rsidRPr="002F50BD">
        <w:rPr>
          <w:rFonts w:ascii="Verdana" w:hAnsi="Verdana"/>
          <w:sz w:val="20"/>
          <w:lang w:val="pt-BR"/>
        </w:rPr>
        <w:t xml:space="preserve"> da personalidade,</w:t>
      </w:r>
      <w:r w:rsidR="00AB6727" w:rsidRPr="002F50BD">
        <w:rPr>
          <w:rFonts w:ascii="Verdana" w:hAnsi="Verdana"/>
          <w:sz w:val="20"/>
          <w:lang w:val="pt-BR"/>
        </w:rPr>
        <w:t xml:space="preserve"> </w:t>
      </w:r>
      <w:r w:rsidR="00060B3A" w:rsidRPr="002F50BD">
        <w:rPr>
          <w:rFonts w:ascii="Verdana" w:hAnsi="Verdana"/>
          <w:sz w:val="20"/>
          <w:lang w:val="pt-BR"/>
        </w:rPr>
        <w:t xml:space="preserve">como </w:t>
      </w:r>
      <w:r w:rsidR="004756C1" w:rsidRPr="002F50BD">
        <w:rPr>
          <w:rFonts w:ascii="Verdana" w:hAnsi="Verdana"/>
          <w:sz w:val="20"/>
          <w:lang w:val="pt-BR"/>
        </w:rPr>
        <w:t>des</w:t>
      </w:r>
      <w:r w:rsidRPr="002F50BD">
        <w:rPr>
          <w:rFonts w:ascii="Verdana" w:hAnsi="Verdana"/>
          <w:sz w:val="20"/>
          <w:lang w:val="pt-BR"/>
        </w:rPr>
        <w:t>graça</w:t>
      </w:r>
      <w:r w:rsidR="004756C1" w:rsidRPr="002F50BD">
        <w:rPr>
          <w:rFonts w:ascii="Verdana" w:hAnsi="Verdana"/>
          <w:sz w:val="20"/>
          <w:lang w:val="pt-BR"/>
        </w:rPr>
        <w:t>s o</w:t>
      </w:r>
      <w:r w:rsidR="00AB6727" w:rsidRPr="002F50BD">
        <w:rPr>
          <w:rFonts w:ascii="Verdana" w:hAnsi="Verdana"/>
          <w:sz w:val="20"/>
          <w:lang w:val="pt-BR"/>
        </w:rPr>
        <w:t>u</w:t>
      </w:r>
      <w:r w:rsidR="004756C1" w:rsidRPr="002F50BD">
        <w:rPr>
          <w:rFonts w:ascii="Verdana" w:hAnsi="Verdana"/>
          <w:sz w:val="20"/>
          <w:lang w:val="pt-BR"/>
        </w:rPr>
        <w:t xml:space="preserve"> catástrofes </w:t>
      </w:r>
      <w:r w:rsidRPr="002F50BD">
        <w:rPr>
          <w:rFonts w:ascii="Verdana" w:hAnsi="Verdana"/>
          <w:sz w:val="20"/>
          <w:lang w:val="pt-BR"/>
        </w:rPr>
        <w:t xml:space="preserve">do meio </w:t>
      </w:r>
      <w:r w:rsidR="004756C1" w:rsidRPr="002F50BD">
        <w:rPr>
          <w:rFonts w:ascii="Verdana" w:hAnsi="Verdana"/>
          <w:sz w:val="20"/>
          <w:lang w:val="pt-BR"/>
        </w:rPr>
        <w:t>ambiente</w:t>
      </w:r>
      <w:r w:rsidR="00BE346D" w:rsidRPr="002F50BD">
        <w:rPr>
          <w:rFonts w:ascii="Verdana" w:hAnsi="Verdana"/>
          <w:sz w:val="20"/>
          <w:lang w:val="pt-BR"/>
        </w:rPr>
        <w:t xml:space="preserve">. Os </w:t>
      </w:r>
      <w:r w:rsidR="00AB6727" w:rsidRPr="002F50BD">
        <w:rPr>
          <w:rFonts w:ascii="Verdana" w:hAnsi="Verdana"/>
          <w:sz w:val="20"/>
          <w:lang w:val="pt-BR"/>
        </w:rPr>
        <w:t>xamãs</w:t>
      </w:r>
      <w:r w:rsidR="004756C1" w:rsidRPr="002F50BD">
        <w:rPr>
          <w:rFonts w:ascii="Verdana" w:hAnsi="Verdana"/>
          <w:sz w:val="20"/>
          <w:lang w:val="pt-BR"/>
        </w:rPr>
        <w:t xml:space="preserve"> </w:t>
      </w:r>
      <w:r w:rsidR="004756C1" w:rsidRPr="002F50BD">
        <w:rPr>
          <w:rFonts w:ascii="Verdana" w:hAnsi="Verdana"/>
          <w:i/>
          <w:sz w:val="20"/>
          <w:lang w:val="pt-BR"/>
        </w:rPr>
        <w:t>chaqueños</w:t>
      </w:r>
      <w:r w:rsidR="00AB6727" w:rsidRPr="002F50BD">
        <w:rPr>
          <w:rFonts w:ascii="Verdana" w:hAnsi="Verdana"/>
          <w:sz w:val="20"/>
          <w:lang w:val="pt-BR"/>
        </w:rPr>
        <w:t xml:space="preserve"> desenvolvem</w:t>
      </w:r>
      <w:r w:rsidRPr="002F50BD">
        <w:rPr>
          <w:rFonts w:ascii="Verdana" w:hAnsi="Verdana"/>
          <w:sz w:val="20"/>
          <w:lang w:val="pt-BR"/>
        </w:rPr>
        <w:t xml:space="preserve"> o </w:t>
      </w:r>
      <w:r w:rsidR="00AB6727" w:rsidRPr="002F50BD">
        <w:rPr>
          <w:rFonts w:ascii="Verdana" w:hAnsi="Verdana"/>
          <w:sz w:val="20"/>
          <w:lang w:val="pt-BR"/>
        </w:rPr>
        <w:t>ê</w:t>
      </w:r>
      <w:r w:rsidR="004756C1" w:rsidRPr="002F50BD">
        <w:rPr>
          <w:rFonts w:ascii="Verdana" w:hAnsi="Verdana"/>
          <w:sz w:val="20"/>
          <w:lang w:val="pt-BR"/>
        </w:rPr>
        <w:t>xtas</w:t>
      </w:r>
      <w:r w:rsidR="00AB6727" w:rsidRPr="002F50BD">
        <w:rPr>
          <w:rFonts w:ascii="Verdana" w:hAnsi="Verdana"/>
          <w:sz w:val="20"/>
          <w:lang w:val="pt-BR"/>
        </w:rPr>
        <w:t>e</w:t>
      </w:r>
      <w:r w:rsidR="004756C1" w:rsidRPr="002F50BD">
        <w:rPr>
          <w:rFonts w:ascii="Verdana" w:hAnsi="Verdana"/>
          <w:sz w:val="20"/>
          <w:lang w:val="pt-BR"/>
        </w:rPr>
        <w:t xml:space="preserve"> para comunicar</w:t>
      </w:r>
      <w:r w:rsidR="00AB6727"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com ele</w:t>
      </w:r>
      <w:r w:rsidR="004756C1" w:rsidRPr="002F50BD">
        <w:rPr>
          <w:rFonts w:ascii="Verdana" w:hAnsi="Verdana"/>
          <w:sz w:val="20"/>
          <w:lang w:val="pt-BR"/>
        </w:rPr>
        <w:t>s</w:t>
      </w:r>
      <w:r w:rsidRPr="002F50BD">
        <w:rPr>
          <w:rFonts w:ascii="Verdana" w:hAnsi="Verdana"/>
          <w:sz w:val="20"/>
          <w:lang w:val="pt-BR"/>
        </w:rPr>
        <w:t xml:space="preserve"> e </w:t>
      </w:r>
      <w:r w:rsidR="00E221FD">
        <w:rPr>
          <w:rFonts w:ascii="Verdana" w:hAnsi="Verdana"/>
          <w:sz w:val="20"/>
          <w:lang w:val="pt-BR"/>
        </w:rPr>
        <w:t>tentar</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 xml:space="preserve"> negociar</w:t>
      </w:r>
      <w:r w:rsidRPr="002F50BD">
        <w:rPr>
          <w:rFonts w:ascii="Verdana" w:hAnsi="Verdana"/>
          <w:sz w:val="20"/>
          <w:lang w:val="pt-BR"/>
        </w:rPr>
        <w:t xml:space="preserve"> a </w:t>
      </w:r>
      <w:r w:rsidR="004756C1" w:rsidRPr="002F50BD">
        <w:rPr>
          <w:rFonts w:ascii="Verdana" w:hAnsi="Verdana"/>
          <w:sz w:val="20"/>
          <w:lang w:val="pt-BR"/>
        </w:rPr>
        <w:t>terapia o</w:t>
      </w:r>
      <w:r w:rsidR="00AB6727" w:rsidRPr="002F50BD">
        <w:rPr>
          <w:rFonts w:ascii="Verdana" w:hAnsi="Verdana"/>
          <w:sz w:val="20"/>
          <w:lang w:val="pt-BR"/>
        </w:rPr>
        <w:t>u</w:t>
      </w:r>
      <w:r w:rsidRPr="002F50BD">
        <w:rPr>
          <w:rFonts w:ascii="Verdana" w:hAnsi="Verdana"/>
          <w:sz w:val="20"/>
          <w:lang w:val="pt-BR"/>
        </w:rPr>
        <w:t xml:space="preserve"> a boa vontade destes </w:t>
      </w:r>
      <w:r w:rsidR="004756C1" w:rsidRPr="002F50BD">
        <w:rPr>
          <w:rFonts w:ascii="Verdana" w:hAnsi="Verdana"/>
          <w:sz w:val="20"/>
          <w:lang w:val="pt-BR"/>
        </w:rPr>
        <w:t xml:space="preserve">seres </w:t>
      </w:r>
      <w:r w:rsidRPr="002F50BD">
        <w:rPr>
          <w:rFonts w:ascii="Verdana" w:hAnsi="Verdana"/>
          <w:sz w:val="20"/>
          <w:lang w:val="pt-BR"/>
        </w:rPr>
        <w:t>segundo as necessidad</w:t>
      </w:r>
      <w:r w:rsidR="004756C1" w:rsidRPr="002F50BD">
        <w:rPr>
          <w:rFonts w:ascii="Verdana" w:hAnsi="Verdana"/>
          <w:sz w:val="20"/>
          <w:lang w:val="pt-BR"/>
        </w:rPr>
        <w:t>es d</w:t>
      </w:r>
      <w:r w:rsidR="00AB6727" w:rsidRPr="002F50BD">
        <w:rPr>
          <w:rFonts w:ascii="Verdana" w:hAnsi="Verdana"/>
          <w:sz w:val="20"/>
          <w:lang w:val="pt-BR"/>
        </w:rPr>
        <w:t>aqueles</w:t>
      </w:r>
      <w:r w:rsidR="004756C1" w:rsidRPr="002F50BD">
        <w:rPr>
          <w:rFonts w:ascii="Verdana" w:hAnsi="Verdana"/>
          <w:sz w:val="20"/>
          <w:lang w:val="pt-BR"/>
        </w:rPr>
        <w:t xml:space="preserve"> </w:t>
      </w:r>
      <w:r w:rsidRPr="002F50BD">
        <w:rPr>
          <w:rFonts w:ascii="Verdana" w:hAnsi="Verdana"/>
          <w:sz w:val="20"/>
          <w:lang w:val="pt-BR"/>
        </w:rPr>
        <w:t>que</w:t>
      </w:r>
      <w:r w:rsidR="00AB6727" w:rsidRPr="002F50BD">
        <w:rPr>
          <w:rFonts w:ascii="Verdana" w:hAnsi="Verdana"/>
          <w:sz w:val="20"/>
          <w:lang w:val="pt-BR"/>
        </w:rPr>
        <w:t xml:space="preserve"> recorrem </w:t>
      </w:r>
      <w:r w:rsidR="004756C1" w:rsidRPr="002F50BD">
        <w:rPr>
          <w:rFonts w:ascii="Verdana" w:hAnsi="Verdana"/>
          <w:sz w:val="20"/>
          <w:lang w:val="pt-BR"/>
        </w:rPr>
        <w:t>a</w:t>
      </w:r>
      <w:r w:rsidRPr="002F50BD">
        <w:rPr>
          <w:rFonts w:ascii="Verdana" w:hAnsi="Verdana"/>
          <w:sz w:val="20"/>
          <w:lang w:val="pt-BR"/>
        </w:rPr>
        <w:t xml:space="preserve"> ele</w:t>
      </w:r>
      <w:r w:rsidR="004756C1" w:rsidRPr="002F50BD">
        <w:rPr>
          <w:rFonts w:ascii="Verdana" w:hAnsi="Verdana"/>
          <w:sz w:val="20"/>
          <w:lang w:val="pt-BR"/>
        </w:rPr>
        <w:t>s.</w:t>
      </w:r>
      <w:r w:rsidR="00FE08B7">
        <w:rPr>
          <w:rFonts w:ascii="Verdana" w:hAnsi="Verdana"/>
          <w:sz w:val="20"/>
          <w:lang w:val="pt-BR"/>
        </w:rPr>
        <w:t xml:space="preserve"> </w:t>
      </w:r>
      <w:r w:rsidR="00AB6727" w:rsidRPr="002F50BD">
        <w:rPr>
          <w:rFonts w:ascii="Verdana" w:hAnsi="Verdana"/>
          <w:sz w:val="20"/>
          <w:lang w:val="pt-BR"/>
        </w:rPr>
        <w:t xml:space="preserve">Xamã, curandeiro, </w:t>
      </w:r>
      <w:r w:rsidR="004756C1" w:rsidRPr="002F50BD">
        <w:rPr>
          <w:rFonts w:ascii="Verdana" w:hAnsi="Verdana"/>
          <w:sz w:val="20"/>
          <w:lang w:val="pt-BR"/>
        </w:rPr>
        <w:t>mago o</w:t>
      </w:r>
      <w:r w:rsidR="00AB6727" w:rsidRPr="002F50BD">
        <w:rPr>
          <w:rFonts w:ascii="Verdana" w:hAnsi="Verdana"/>
          <w:sz w:val="20"/>
          <w:lang w:val="pt-BR"/>
        </w:rPr>
        <w:t>u</w:t>
      </w:r>
      <w:r w:rsidR="004756C1" w:rsidRPr="002F50BD">
        <w:rPr>
          <w:rFonts w:ascii="Verdana" w:hAnsi="Verdana"/>
          <w:sz w:val="20"/>
          <w:lang w:val="pt-BR"/>
        </w:rPr>
        <w:t xml:space="preserve"> bru</w:t>
      </w:r>
      <w:r w:rsidR="00AB6727" w:rsidRPr="002F50BD">
        <w:rPr>
          <w:rFonts w:ascii="Verdana" w:hAnsi="Verdana"/>
          <w:sz w:val="20"/>
          <w:lang w:val="pt-BR"/>
        </w:rPr>
        <w:t>x</w:t>
      </w:r>
      <w:r w:rsidR="004756C1" w:rsidRPr="002F50BD">
        <w:rPr>
          <w:rFonts w:ascii="Verdana" w:hAnsi="Verdana"/>
          <w:sz w:val="20"/>
          <w:lang w:val="pt-BR"/>
        </w:rPr>
        <w:t xml:space="preserve">o </w:t>
      </w:r>
      <w:r w:rsidRPr="002F50BD">
        <w:rPr>
          <w:rFonts w:ascii="Verdana" w:hAnsi="Verdana"/>
          <w:sz w:val="20"/>
          <w:lang w:val="pt-BR"/>
        </w:rPr>
        <w:t>pode</w:t>
      </w:r>
      <w:r w:rsidR="00AB6727" w:rsidRPr="002F50BD">
        <w:rPr>
          <w:rFonts w:ascii="Verdana" w:hAnsi="Verdana"/>
          <w:sz w:val="20"/>
          <w:lang w:val="pt-BR"/>
        </w:rPr>
        <w:t>m</w:t>
      </w:r>
      <w:r w:rsidR="004756C1" w:rsidRPr="002F50BD">
        <w:rPr>
          <w:rFonts w:ascii="Verdana" w:hAnsi="Verdana"/>
          <w:sz w:val="20"/>
          <w:lang w:val="pt-BR"/>
        </w:rPr>
        <w:t xml:space="preserve"> ser sin</w:t>
      </w:r>
      <w:r w:rsidR="00AB6727" w:rsidRPr="002F50BD">
        <w:rPr>
          <w:rFonts w:ascii="Verdana" w:hAnsi="Verdana"/>
          <w:sz w:val="20"/>
          <w:lang w:val="pt-BR"/>
        </w:rPr>
        <w:t>ô</w:t>
      </w:r>
      <w:r w:rsidR="004756C1" w:rsidRPr="002F50BD">
        <w:rPr>
          <w:rFonts w:ascii="Verdana" w:hAnsi="Verdana"/>
          <w:sz w:val="20"/>
          <w:lang w:val="pt-BR"/>
        </w:rPr>
        <w:t>nimos</w:t>
      </w:r>
      <w:r w:rsidRPr="002F50BD">
        <w:rPr>
          <w:rFonts w:ascii="Verdana" w:hAnsi="Verdana"/>
          <w:sz w:val="20"/>
          <w:lang w:val="pt-BR"/>
        </w:rPr>
        <w:t xml:space="preserve"> no Grande </w:t>
      </w:r>
      <w:r w:rsidR="004756C1" w:rsidRPr="002F50BD">
        <w:rPr>
          <w:rFonts w:ascii="Verdana" w:hAnsi="Verdana"/>
          <w:sz w:val="20"/>
          <w:lang w:val="pt-BR"/>
        </w:rPr>
        <w:t>Chaco</w:t>
      </w:r>
      <w:r w:rsidR="001A0CDE" w:rsidRPr="002F50BD">
        <w:rPr>
          <w:rFonts w:ascii="Verdana" w:hAnsi="Verdana"/>
          <w:sz w:val="20"/>
          <w:lang w:val="pt-BR"/>
        </w:rPr>
        <w:t xml:space="preserve">. </w:t>
      </w:r>
      <w:r w:rsidR="00AB6727" w:rsidRPr="002F50BD">
        <w:rPr>
          <w:rFonts w:ascii="Verdana" w:hAnsi="Verdana"/>
          <w:sz w:val="20"/>
          <w:lang w:val="pt-BR"/>
        </w:rPr>
        <w:t xml:space="preserve">Isto </w:t>
      </w:r>
      <w:r w:rsidR="004756C1" w:rsidRPr="002F50BD">
        <w:rPr>
          <w:rFonts w:ascii="Verdana" w:hAnsi="Verdana"/>
          <w:sz w:val="20"/>
          <w:lang w:val="pt-BR"/>
        </w:rPr>
        <w:t>porque</w:t>
      </w:r>
      <w:r w:rsidR="00014595" w:rsidRPr="002F50BD">
        <w:rPr>
          <w:rFonts w:ascii="Verdana" w:hAnsi="Verdana"/>
          <w:sz w:val="20"/>
          <w:lang w:val="pt-BR"/>
        </w:rPr>
        <w:t>,</w:t>
      </w:r>
      <w:r w:rsidR="004756C1" w:rsidRPr="002F50BD">
        <w:rPr>
          <w:rFonts w:ascii="Verdana" w:hAnsi="Verdana"/>
          <w:sz w:val="20"/>
          <w:lang w:val="pt-BR"/>
        </w:rPr>
        <w:t xml:space="preserve"> </w:t>
      </w:r>
      <w:r w:rsidR="00AB454A" w:rsidRPr="002F50BD">
        <w:rPr>
          <w:rFonts w:ascii="Verdana" w:hAnsi="Verdana"/>
          <w:sz w:val="20"/>
          <w:lang w:val="pt-BR"/>
        </w:rPr>
        <w:t xml:space="preserve">do </w:t>
      </w:r>
      <w:r w:rsidRPr="002F50BD">
        <w:rPr>
          <w:rFonts w:ascii="Verdana" w:hAnsi="Verdana"/>
          <w:sz w:val="20"/>
          <w:lang w:val="pt-BR"/>
        </w:rPr>
        <w:t xml:space="preserve">ponto </w:t>
      </w:r>
      <w:r w:rsidR="004756C1" w:rsidRPr="002F50BD">
        <w:rPr>
          <w:rFonts w:ascii="Verdana" w:hAnsi="Verdana"/>
          <w:sz w:val="20"/>
          <w:lang w:val="pt-BR"/>
        </w:rPr>
        <w:t>de vista funcional</w:t>
      </w:r>
      <w:r w:rsidR="00060B3A" w:rsidRPr="002F50BD">
        <w:rPr>
          <w:rFonts w:ascii="Verdana" w:hAnsi="Verdana"/>
          <w:sz w:val="20"/>
          <w:lang w:val="pt-BR"/>
        </w:rPr>
        <w:t>,</w:t>
      </w:r>
      <w:r w:rsidRPr="002F50BD">
        <w:rPr>
          <w:rFonts w:ascii="Verdana" w:hAnsi="Verdana"/>
          <w:sz w:val="20"/>
          <w:lang w:val="pt-BR"/>
        </w:rPr>
        <w:t xml:space="preserve"> o </w:t>
      </w:r>
      <w:r w:rsidR="00AB6727" w:rsidRPr="002F50BD">
        <w:rPr>
          <w:rFonts w:ascii="Verdana" w:hAnsi="Verdana"/>
          <w:sz w:val="20"/>
          <w:lang w:val="pt-BR"/>
        </w:rPr>
        <w:t>xamã</w:t>
      </w:r>
      <w:r w:rsidRPr="002F50BD">
        <w:rPr>
          <w:rFonts w:ascii="Verdana" w:hAnsi="Verdana"/>
          <w:sz w:val="20"/>
          <w:lang w:val="pt-BR"/>
        </w:rPr>
        <w:t xml:space="preserve"> é um </w:t>
      </w:r>
      <w:r w:rsidR="00AB6727" w:rsidRPr="002F50BD">
        <w:rPr>
          <w:rFonts w:ascii="Verdana" w:hAnsi="Verdana"/>
          <w:sz w:val="20"/>
          <w:lang w:val="pt-BR"/>
        </w:rPr>
        <w:t>curandeiro</w:t>
      </w:r>
      <w:r w:rsidR="004756C1" w:rsidRPr="002F50BD">
        <w:rPr>
          <w:rFonts w:ascii="Verdana" w:hAnsi="Verdana"/>
          <w:sz w:val="20"/>
          <w:lang w:val="pt-BR"/>
        </w:rPr>
        <w:t>,</w:t>
      </w:r>
      <w:r w:rsidRPr="002F50BD">
        <w:rPr>
          <w:rFonts w:ascii="Verdana" w:hAnsi="Verdana"/>
          <w:sz w:val="20"/>
          <w:lang w:val="pt-BR"/>
        </w:rPr>
        <w:t xml:space="preserve"> um </w:t>
      </w:r>
      <w:r w:rsidR="004756C1" w:rsidRPr="002F50BD">
        <w:rPr>
          <w:rFonts w:ascii="Verdana" w:hAnsi="Verdana"/>
          <w:sz w:val="20"/>
          <w:lang w:val="pt-BR"/>
        </w:rPr>
        <w:t>agente</w:t>
      </w:r>
      <w:r w:rsidR="00060B3A" w:rsidRPr="002F50BD">
        <w:rPr>
          <w:rFonts w:ascii="Verdana" w:hAnsi="Verdana"/>
          <w:sz w:val="20"/>
          <w:lang w:val="pt-BR"/>
        </w:rPr>
        <w:t xml:space="preserve"> a</w:t>
      </w:r>
      <w:r w:rsidRPr="002F50BD">
        <w:rPr>
          <w:rFonts w:ascii="Verdana" w:hAnsi="Verdana"/>
          <w:sz w:val="20"/>
          <w:lang w:val="pt-BR"/>
        </w:rPr>
        <w:t xml:space="preserve"> serviço da saúde</w:t>
      </w:r>
      <w:r w:rsidR="004756C1" w:rsidRPr="002F50BD">
        <w:rPr>
          <w:rFonts w:ascii="Verdana" w:hAnsi="Verdana"/>
          <w:sz w:val="20"/>
          <w:lang w:val="pt-BR"/>
        </w:rPr>
        <w:t>,</w:t>
      </w:r>
      <w:r w:rsidRPr="002F50BD">
        <w:rPr>
          <w:rFonts w:ascii="Verdana" w:hAnsi="Verdana"/>
          <w:sz w:val="20"/>
          <w:lang w:val="pt-BR"/>
        </w:rPr>
        <w:t xml:space="preserve"> um </w:t>
      </w:r>
      <w:r w:rsidR="004756C1" w:rsidRPr="002F50BD">
        <w:rPr>
          <w:rFonts w:ascii="Verdana" w:hAnsi="Verdana"/>
          <w:sz w:val="20"/>
          <w:lang w:val="pt-BR"/>
        </w:rPr>
        <w:t>médico ocupa</w:t>
      </w:r>
      <w:r w:rsidR="00AB6727" w:rsidRPr="002F50BD">
        <w:rPr>
          <w:rFonts w:ascii="Verdana" w:hAnsi="Verdana"/>
          <w:sz w:val="20"/>
          <w:lang w:val="pt-BR"/>
        </w:rPr>
        <w:t>n</w:t>
      </w:r>
      <w:r w:rsidR="004756C1" w:rsidRPr="002F50BD">
        <w:rPr>
          <w:rFonts w:ascii="Verdana" w:hAnsi="Verdana"/>
          <w:sz w:val="20"/>
          <w:lang w:val="pt-BR"/>
        </w:rPr>
        <w:t>do</w:t>
      </w:r>
      <w:r w:rsidR="00AB6727" w:rsidRPr="002F50BD">
        <w:rPr>
          <w:rFonts w:ascii="Verdana" w:hAnsi="Verdana"/>
          <w:sz w:val="20"/>
          <w:lang w:val="pt-BR"/>
        </w:rPr>
        <w:t>-se</w:t>
      </w:r>
      <w:r w:rsidR="004756C1" w:rsidRPr="002F50BD">
        <w:rPr>
          <w:rFonts w:ascii="Verdana" w:hAnsi="Verdana"/>
          <w:sz w:val="20"/>
          <w:lang w:val="pt-BR"/>
        </w:rPr>
        <w:t xml:space="preserve"> de </w:t>
      </w:r>
      <w:r w:rsidRPr="002F50BD">
        <w:rPr>
          <w:rFonts w:ascii="Verdana" w:hAnsi="Verdana"/>
          <w:sz w:val="20"/>
          <w:lang w:val="pt-BR"/>
        </w:rPr>
        <w:t>ajuda</w:t>
      </w:r>
      <w:r w:rsidR="00060B3A" w:rsidRPr="002F50BD">
        <w:rPr>
          <w:rFonts w:ascii="Verdana" w:hAnsi="Verdana"/>
          <w:sz w:val="20"/>
          <w:lang w:val="pt-BR"/>
        </w:rPr>
        <w:t>r o</w:t>
      </w:r>
      <w:r w:rsidR="004756C1" w:rsidRPr="002F50BD">
        <w:rPr>
          <w:rFonts w:ascii="Verdana" w:hAnsi="Verdana"/>
          <w:sz w:val="20"/>
          <w:lang w:val="pt-BR"/>
        </w:rPr>
        <w:t xml:space="preserve"> s</w:t>
      </w:r>
      <w:r w:rsidR="00AB6727" w:rsidRPr="002F50BD">
        <w:rPr>
          <w:rFonts w:ascii="Verdana" w:hAnsi="Verdana"/>
          <w:sz w:val="20"/>
          <w:lang w:val="pt-BR"/>
        </w:rPr>
        <w:t>e</w:t>
      </w:r>
      <w:r w:rsidR="004756C1" w:rsidRPr="002F50BD">
        <w:rPr>
          <w:rFonts w:ascii="Verdana" w:hAnsi="Verdana"/>
          <w:sz w:val="20"/>
          <w:lang w:val="pt-BR"/>
        </w:rPr>
        <w:t xml:space="preserve">u </w:t>
      </w:r>
      <w:r w:rsidR="00AB6727" w:rsidRPr="002F50BD">
        <w:rPr>
          <w:rFonts w:ascii="Verdana" w:hAnsi="Verdana"/>
          <w:sz w:val="20"/>
          <w:lang w:val="pt-BR"/>
        </w:rPr>
        <w:t xml:space="preserve">povo </w:t>
      </w:r>
      <w:r w:rsidR="004756C1" w:rsidRPr="002F50BD">
        <w:rPr>
          <w:rFonts w:ascii="Verdana" w:hAnsi="Verdana"/>
          <w:sz w:val="20"/>
          <w:lang w:val="pt-BR"/>
        </w:rPr>
        <w:t xml:space="preserve">a </w:t>
      </w:r>
      <w:r w:rsidRPr="002F50BD">
        <w:rPr>
          <w:rFonts w:ascii="Verdana" w:hAnsi="Verdana"/>
          <w:sz w:val="20"/>
          <w:lang w:val="pt-BR"/>
        </w:rPr>
        <w:t xml:space="preserve">manter </w:t>
      </w:r>
      <w:r w:rsidR="00014595" w:rsidRPr="002F50BD">
        <w:rPr>
          <w:rFonts w:ascii="Verdana" w:hAnsi="Verdana"/>
          <w:sz w:val="20"/>
          <w:lang w:val="pt-BR"/>
        </w:rPr>
        <w:t xml:space="preserve">o </w:t>
      </w:r>
      <w:r w:rsidRPr="002F50BD">
        <w:rPr>
          <w:rFonts w:ascii="Verdana" w:hAnsi="Verdana"/>
          <w:sz w:val="20"/>
          <w:lang w:val="pt-BR"/>
        </w:rPr>
        <w:t xml:space="preserve">equilíbrio com a </w:t>
      </w:r>
      <w:r w:rsidR="004756C1" w:rsidRPr="002F50BD">
        <w:rPr>
          <w:rFonts w:ascii="Verdana" w:hAnsi="Verdana"/>
          <w:sz w:val="20"/>
          <w:lang w:val="pt-BR"/>
        </w:rPr>
        <w:t xml:space="preserve">vida; </w:t>
      </w:r>
      <w:r w:rsidR="00AB454A" w:rsidRPr="002F50BD">
        <w:rPr>
          <w:rFonts w:ascii="Verdana" w:hAnsi="Verdana"/>
          <w:sz w:val="20"/>
          <w:lang w:val="pt-BR"/>
        </w:rPr>
        <w:t xml:space="preserve">do </w:t>
      </w:r>
      <w:r w:rsidRPr="002F50BD">
        <w:rPr>
          <w:rFonts w:ascii="Verdana" w:hAnsi="Verdana"/>
          <w:sz w:val="20"/>
          <w:lang w:val="pt-BR"/>
        </w:rPr>
        <w:t xml:space="preserve">ponto </w:t>
      </w:r>
      <w:r w:rsidR="004756C1" w:rsidRPr="002F50BD">
        <w:rPr>
          <w:rFonts w:ascii="Verdana" w:hAnsi="Verdana"/>
          <w:sz w:val="20"/>
          <w:lang w:val="pt-BR"/>
        </w:rPr>
        <w:t>de vista religioso</w:t>
      </w:r>
      <w:r w:rsidR="00014595" w:rsidRPr="002F50BD">
        <w:rPr>
          <w:rFonts w:ascii="Verdana" w:hAnsi="Verdana"/>
          <w:sz w:val="20"/>
          <w:lang w:val="pt-BR"/>
        </w:rPr>
        <w:t>,</w:t>
      </w:r>
      <w:r w:rsidRPr="002F50BD">
        <w:rPr>
          <w:rFonts w:ascii="Verdana" w:hAnsi="Verdana"/>
          <w:sz w:val="20"/>
          <w:lang w:val="pt-BR"/>
        </w:rPr>
        <w:t xml:space="preserve"> os </w:t>
      </w:r>
      <w:r w:rsidR="00AB6727" w:rsidRPr="002F50BD">
        <w:rPr>
          <w:rFonts w:ascii="Verdana" w:hAnsi="Verdana"/>
          <w:sz w:val="20"/>
          <w:lang w:val="pt-BR"/>
        </w:rPr>
        <w:t>xamãs</w:t>
      </w:r>
      <w:r w:rsidRPr="002F50BD">
        <w:rPr>
          <w:rFonts w:ascii="Verdana" w:hAnsi="Verdana"/>
          <w:sz w:val="20"/>
          <w:lang w:val="pt-BR"/>
        </w:rPr>
        <w:t xml:space="preserve"> são </w:t>
      </w:r>
      <w:r w:rsidR="004756C1" w:rsidRPr="002F50BD">
        <w:rPr>
          <w:rFonts w:ascii="Verdana" w:hAnsi="Verdana"/>
          <w:sz w:val="20"/>
          <w:lang w:val="pt-BR"/>
        </w:rPr>
        <w:t>interme</w:t>
      </w:r>
      <w:r w:rsidRPr="002F50BD">
        <w:rPr>
          <w:rFonts w:ascii="Verdana" w:hAnsi="Verdana"/>
          <w:sz w:val="20"/>
          <w:lang w:val="pt-BR"/>
        </w:rPr>
        <w:t>diário</w:t>
      </w:r>
      <w:r w:rsidR="004756C1" w:rsidRPr="002F50BD">
        <w:rPr>
          <w:rFonts w:ascii="Verdana" w:hAnsi="Verdana"/>
          <w:sz w:val="20"/>
          <w:lang w:val="pt-BR"/>
        </w:rPr>
        <w:t>s</w:t>
      </w:r>
      <w:r w:rsidRPr="002F50BD">
        <w:rPr>
          <w:rFonts w:ascii="Verdana" w:hAnsi="Verdana"/>
          <w:sz w:val="20"/>
          <w:lang w:val="pt-BR"/>
        </w:rPr>
        <w:t xml:space="preserve"> </w:t>
      </w:r>
      <w:r w:rsidR="00E221FD">
        <w:rPr>
          <w:rFonts w:ascii="Verdana" w:hAnsi="Verdana"/>
          <w:sz w:val="20"/>
          <w:lang w:val="pt-BR"/>
        </w:rPr>
        <w:t>de</w:t>
      </w:r>
      <w:r w:rsidRPr="002F50BD">
        <w:rPr>
          <w:rFonts w:ascii="Verdana" w:hAnsi="Verdana"/>
          <w:sz w:val="20"/>
          <w:lang w:val="pt-BR"/>
        </w:rPr>
        <w:t xml:space="preserve"> </w:t>
      </w:r>
      <w:r w:rsidR="004756C1" w:rsidRPr="002F50BD">
        <w:rPr>
          <w:rFonts w:ascii="Verdana" w:hAnsi="Verdana"/>
          <w:sz w:val="20"/>
          <w:lang w:val="pt-BR"/>
        </w:rPr>
        <w:t>seres poderosos que intera</w:t>
      </w:r>
      <w:r w:rsidR="00AB6727" w:rsidRPr="002F50BD">
        <w:rPr>
          <w:rFonts w:ascii="Verdana" w:hAnsi="Verdana"/>
          <w:sz w:val="20"/>
          <w:lang w:val="pt-BR"/>
        </w:rPr>
        <w:t xml:space="preserve">gem </w:t>
      </w:r>
      <w:r w:rsidRPr="002F50BD">
        <w:rPr>
          <w:rFonts w:ascii="Verdana" w:hAnsi="Verdana"/>
          <w:sz w:val="20"/>
          <w:lang w:val="pt-BR"/>
        </w:rPr>
        <w:t>com os homens; e</w:t>
      </w:r>
      <w:r w:rsidR="004756C1" w:rsidRPr="002F50BD">
        <w:rPr>
          <w:rFonts w:ascii="Verdana" w:hAnsi="Verdana"/>
          <w:sz w:val="20"/>
          <w:lang w:val="pt-BR"/>
        </w:rPr>
        <w:t xml:space="preserve">, </w:t>
      </w:r>
      <w:r w:rsidR="00AB454A" w:rsidRPr="002F50BD">
        <w:rPr>
          <w:rFonts w:ascii="Verdana" w:hAnsi="Verdana"/>
          <w:sz w:val="20"/>
          <w:lang w:val="pt-BR"/>
        </w:rPr>
        <w:t xml:space="preserve">do </w:t>
      </w:r>
      <w:r w:rsidRPr="002F50BD">
        <w:rPr>
          <w:rFonts w:ascii="Verdana" w:hAnsi="Verdana"/>
          <w:sz w:val="20"/>
          <w:lang w:val="pt-BR"/>
        </w:rPr>
        <w:t xml:space="preserve">ponto </w:t>
      </w:r>
      <w:r w:rsidR="004756C1" w:rsidRPr="002F50BD">
        <w:rPr>
          <w:rFonts w:ascii="Verdana" w:hAnsi="Verdana"/>
          <w:sz w:val="20"/>
          <w:lang w:val="pt-BR"/>
        </w:rPr>
        <w:t>de vista</w:t>
      </w:r>
      <w:r w:rsidRPr="002F50BD">
        <w:rPr>
          <w:rFonts w:ascii="Verdana" w:hAnsi="Verdana"/>
          <w:sz w:val="20"/>
          <w:lang w:val="pt-BR"/>
        </w:rPr>
        <w:t xml:space="preserve"> da estrutura da </w:t>
      </w:r>
      <w:r w:rsidR="004756C1" w:rsidRPr="002F50BD">
        <w:rPr>
          <w:rFonts w:ascii="Verdana" w:hAnsi="Verdana"/>
          <w:sz w:val="20"/>
          <w:lang w:val="pt-BR"/>
        </w:rPr>
        <w:t>sociedad</w:t>
      </w:r>
      <w:r w:rsidR="00AB6727" w:rsidRPr="002F50BD">
        <w:rPr>
          <w:rFonts w:ascii="Verdana" w:hAnsi="Verdana"/>
          <w:sz w:val="20"/>
          <w:lang w:val="pt-BR"/>
        </w:rPr>
        <w:t>e</w:t>
      </w:r>
      <w:r w:rsidR="004756C1" w:rsidRPr="002F50BD">
        <w:rPr>
          <w:rFonts w:ascii="Verdana" w:hAnsi="Verdana"/>
          <w:sz w:val="20"/>
          <w:lang w:val="pt-BR"/>
        </w:rPr>
        <w:t>,</w:t>
      </w:r>
      <w:r w:rsidRPr="002F50BD">
        <w:rPr>
          <w:rFonts w:ascii="Verdana" w:hAnsi="Verdana"/>
          <w:sz w:val="20"/>
          <w:lang w:val="pt-BR"/>
        </w:rPr>
        <w:t xml:space="preserve"> o </w:t>
      </w:r>
      <w:r w:rsidR="00AB6727" w:rsidRPr="002F50BD">
        <w:rPr>
          <w:rFonts w:ascii="Verdana" w:hAnsi="Verdana"/>
          <w:sz w:val="20"/>
          <w:lang w:val="pt-BR"/>
        </w:rPr>
        <w:t>xamã</w:t>
      </w:r>
      <w:r w:rsidR="004756C1" w:rsidRPr="002F50BD">
        <w:rPr>
          <w:rFonts w:ascii="Verdana" w:hAnsi="Verdana"/>
          <w:sz w:val="20"/>
          <w:lang w:val="pt-BR"/>
        </w:rPr>
        <w:t>, que ocupa</w:t>
      </w:r>
      <w:r w:rsidRPr="002F50BD">
        <w:rPr>
          <w:rFonts w:ascii="Verdana" w:hAnsi="Verdana"/>
          <w:sz w:val="20"/>
          <w:lang w:val="pt-BR"/>
        </w:rPr>
        <w:t xml:space="preserve"> uma </w:t>
      </w:r>
      <w:r w:rsidR="004756C1" w:rsidRPr="002F50BD">
        <w:rPr>
          <w:rFonts w:ascii="Verdana" w:hAnsi="Verdana"/>
          <w:sz w:val="20"/>
          <w:lang w:val="pt-BR"/>
        </w:rPr>
        <w:t>posi</w:t>
      </w:r>
      <w:r w:rsidRPr="002F50BD">
        <w:rPr>
          <w:rFonts w:ascii="Verdana" w:hAnsi="Verdana"/>
          <w:sz w:val="20"/>
          <w:lang w:val="pt-BR"/>
        </w:rPr>
        <w:t>ção</w:t>
      </w:r>
      <w:r w:rsidR="004756C1" w:rsidRPr="002F50BD">
        <w:rPr>
          <w:rFonts w:ascii="Verdana" w:hAnsi="Verdana"/>
          <w:sz w:val="20"/>
          <w:lang w:val="pt-BR"/>
        </w:rPr>
        <w:t xml:space="preserve"> única</w:t>
      </w:r>
      <w:r w:rsidRPr="002F50BD">
        <w:rPr>
          <w:rFonts w:ascii="Verdana" w:hAnsi="Verdana"/>
          <w:sz w:val="20"/>
          <w:lang w:val="pt-BR"/>
        </w:rPr>
        <w:t xml:space="preserve"> e necessári</w:t>
      </w:r>
      <w:r w:rsidR="004756C1" w:rsidRPr="002F50BD">
        <w:rPr>
          <w:rFonts w:ascii="Verdana" w:hAnsi="Verdana"/>
          <w:sz w:val="20"/>
          <w:lang w:val="pt-BR"/>
        </w:rPr>
        <w:t xml:space="preserve">a, </w:t>
      </w:r>
      <w:r w:rsidR="00AB6727" w:rsidRPr="002F50BD">
        <w:rPr>
          <w:rFonts w:ascii="Verdana" w:hAnsi="Verdana"/>
          <w:sz w:val="20"/>
          <w:lang w:val="pt-BR"/>
        </w:rPr>
        <w:t>com freq</w:t>
      </w:r>
      <w:r w:rsidR="003F3630">
        <w:rPr>
          <w:rFonts w:ascii="Verdana" w:hAnsi="Verdana"/>
          <w:sz w:val="20"/>
          <w:lang w:val="pt-BR"/>
        </w:rPr>
        <w:t>u</w:t>
      </w:r>
      <w:r w:rsidR="00AB6727" w:rsidRPr="002F50BD">
        <w:rPr>
          <w:rFonts w:ascii="Verdana" w:hAnsi="Verdana"/>
          <w:sz w:val="20"/>
          <w:lang w:val="pt-BR"/>
        </w:rPr>
        <w:t>ência</w:t>
      </w:r>
      <w:r w:rsidR="00014595" w:rsidRPr="002F50BD">
        <w:rPr>
          <w:rFonts w:ascii="Verdana" w:hAnsi="Verdana"/>
          <w:sz w:val="20"/>
          <w:lang w:val="pt-BR"/>
        </w:rPr>
        <w:t>,</w:t>
      </w:r>
      <w:r w:rsidR="00AB6727" w:rsidRPr="002F50BD">
        <w:rPr>
          <w:rFonts w:ascii="Verdana" w:hAnsi="Verdana"/>
          <w:sz w:val="20"/>
          <w:lang w:val="pt-BR"/>
        </w:rPr>
        <w:t xml:space="preserve"> </w:t>
      </w:r>
      <w:r w:rsidR="004756C1" w:rsidRPr="002F50BD">
        <w:rPr>
          <w:rFonts w:ascii="Verdana" w:hAnsi="Verdana"/>
          <w:sz w:val="20"/>
          <w:lang w:val="pt-BR"/>
        </w:rPr>
        <w:t xml:space="preserve">lidera </w:t>
      </w:r>
      <w:r w:rsidRPr="002F50BD">
        <w:rPr>
          <w:rFonts w:ascii="Verdana" w:hAnsi="Verdana"/>
          <w:sz w:val="20"/>
          <w:lang w:val="pt-BR"/>
        </w:rPr>
        <w:t>algum</w:t>
      </w:r>
      <w:r w:rsidR="00AB6727" w:rsidRPr="002F50BD">
        <w:rPr>
          <w:rFonts w:ascii="Verdana" w:hAnsi="Verdana"/>
          <w:sz w:val="20"/>
          <w:lang w:val="pt-BR"/>
        </w:rPr>
        <w:t>a</w:t>
      </w:r>
      <w:r w:rsidRPr="002F50BD">
        <w:rPr>
          <w:rFonts w:ascii="Verdana" w:hAnsi="Verdana"/>
          <w:sz w:val="20"/>
          <w:lang w:val="pt-BR"/>
        </w:rPr>
        <w:t xml:space="preserve"> d</w:t>
      </w:r>
      <w:r w:rsidR="00AB6727" w:rsidRPr="002F50BD">
        <w:rPr>
          <w:rFonts w:ascii="Verdana" w:hAnsi="Verdana"/>
          <w:sz w:val="20"/>
          <w:lang w:val="pt-BR"/>
        </w:rPr>
        <w:t>a</w:t>
      </w:r>
      <w:r w:rsidRPr="002F50BD">
        <w:rPr>
          <w:rFonts w:ascii="Verdana" w:hAnsi="Verdana"/>
          <w:sz w:val="20"/>
          <w:lang w:val="pt-BR"/>
        </w:rPr>
        <w:t>s ordens</w:t>
      </w:r>
      <w:r w:rsidR="004756C1" w:rsidRPr="002F50BD">
        <w:rPr>
          <w:rFonts w:ascii="Verdana" w:hAnsi="Verdana"/>
          <w:sz w:val="20"/>
          <w:lang w:val="pt-BR"/>
        </w:rPr>
        <w:t xml:space="preserve"> </w:t>
      </w:r>
      <w:r w:rsidRPr="002F50BD">
        <w:rPr>
          <w:rFonts w:ascii="Verdana" w:hAnsi="Verdana"/>
          <w:sz w:val="20"/>
          <w:lang w:val="pt-BR"/>
        </w:rPr>
        <w:t>sociais</w:t>
      </w:r>
      <w:r w:rsidR="004756C1" w:rsidRPr="002F50BD">
        <w:rPr>
          <w:rFonts w:ascii="Verdana" w:hAnsi="Verdana"/>
          <w:sz w:val="20"/>
          <w:lang w:val="pt-BR"/>
        </w:rPr>
        <w:t xml:space="preserve"> </w:t>
      </w:r>
      <w:r w:rsidRPr="002F50BD">
        <w:rPr>
          <w:rFonts w:ascii="Verdana" w:hAnsi="Verdana"/>
          <w:sz w:val="20"/>
          <w:lang w:val="pt-BR"/>
        </w:rPr>
        <w:t>própri</w:t>
      </w:r>
      <w:r w:rsidR="00AB6727" w:rsidRPr="002F50BD">
        <w:rPr>
          <w:rFonts w:ascii="Verdana" w:hAnsi="Verdana"/>
          <w:sz w:val="20"/>
          <w:lang w:val="pt-BR"/>
        </w:rPr>
        <w:t>a</w:t>
      </w:r>
      <w:r w:rsidR="004756C1" w:rsidRPr="002F50BD">
        <w:rPr>
          <w:rFonts w:ascii="Verdana" w:hAnsi="Verdana"/>
          <w:sz w:val="20"/>
          <w:lang w:val="pt-BR"/>
        </w:rPr>
        <w:t>s</w:t>
      </w:r>
      <w:r w:rsidRPr="002F50BD">
        <w:rPr>
          <w:rFonts w:ascii="Verdana" w:hAnsi="Verdana"/>
          <w:sz w:val="20"/>
          <w:lang w:val="pt-BR"/>
        </w:rPr>
        <w:t xml:space="preserve"> dos </w:t>
      </w:r>
      <w:r w:rsidR="004756C1" w:rsidRPr="002F50BD">
        <w:rPr>
          <w:rFonts w:ascii="Verdana" w:hAnsi="Verdana"/>
          <w:sz w:val="20"/>
          <w:lang w:val="pt-BR"/>
        </w:rPr>
        <w:t xml:space="preserve">indígenas </w:t>
      </w:r>
      <w:r w:rsidR="004756C1" w:rsidRPr="002F50BD">
        <w:rPr>
          <w:rFonts w:ascii="Verdana" w:hAnsi="Verdana"/>
          <w:i/>
          <w:sz w:val="20"/>
          <w:lang w:val="pt-BR"/>
        </w:rPr>
        <w:t>chaqueños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Entre</w:t>
      </w:r>
      <w:r w:rsidR="0089298C" w:rsidRPr="002F50BD">
        <w:rPr>
          <w:rFonts w:ascii="Verdana" w:hAnsi="Verdana"/>
          <w:sz w:val="20"/>
          <w:lang w:val="pt-BR"/>
        </w:rPr>
        <w:t xml:space="preserve"> os </w:t>
      </w:r>
      <w:r w:rsidRPr="002F50BD">
        <w:rPr>
          <w:rFonts w:ascii="Verdana" w:hAnsi="Verdana"/>
          <w:sz w:val="20"/>
          <w:lang w:val="pt-BR"/>
        </w:rPr>
        <w:t xml:space="preserve">indígenas </w:t>
      </w:r>
      <w:r w:rsidR="0089298C" w:rsidRPr="002F50BD">
        <w:rPr>
          <w:rFonts w:ascii="Verdana" w:hAnsi="Verdana"/>
          <w:sz w:val="20"/>
          <w:lang w:val="pt-BR"/>
        </w:rPr>
        <w:t xml:space="preserve">do </w:t>
      </w:r>
      <w:r w:rsidRPr="002F50BD">
        <w:rPr>
          <w:rFonts w:ascii="Verdana" w:hAnsi="Verdana"/>
          <w:sz w:val="20"/>
          <w:lang w:val="pt-BR"/>
        </w:rPr>
        <w:t>Chaco se pensa que</w:t>
      </w:r>
      <w:r w:rsidR="0089298C" w:rsidRPr="002F50BD">
        <w:rPr>
          <w:rFonts w:ascii="Verdana" w:hAnsi="Verdana"/>
          <w:sz w:val="20"/>
          <w:lang w:val="pt-BR"/>
        </w:rPr>
        <w:t xml:space="preserve"> a </w:t>
      </w:r>
      <w:r w:rsidRPr="002F50BD">
        <w:rPr>
          <w:rFonts w:ascii="Verdana" w:hAnsi="Verdana"/>
          <w:sz w:val="20"/>
          <w:lang w:val="pt-BR"/>
        </w:rPr>
        <w:t>compa</w:t>
      </w:r>
      <w:r w:rsidR="00AB6727" w:rsidRPr="002F50BD">
        <w:rPr>
          <w:rFonts w:ascii="Verdana" w:hAnsi="Verdana"/>
          <w:sz w:val="20"/>
          <w:lang w:val="pt-BR"/>
        </w:rPr>
        <w:t xml:space="preserve">ixão </w:t>
      </w:r>
      <w:r w:rsidRPr="002F50BD">
        <w:rPr>
          <w:rFonts w:ascii="Verdana" w:hAnsi="Verdana"/>
          <w:sz w:val="20"/>
          <w:lang w:val="pt-BR"/>
        </w:rPr>
        <w:t>que</w:t>
      </w:r>
      <w:r w:rsidR="0089298C" w:rsidRPr="002F50BD">
        <w:rPr>
          <w:rFonts w:ascii="Verdana" w:hAnsi="Verdana"/>
          <w:sz w:val="20"/>
          <w:lang w:val="pt-BR"/>
        </w:rPr>
        <w:t xml:space="preserve"> os homens</w:t>
      </w:r>
      <w:r w:rsidR="00AB6727" w:rsidRPr="002F50BD">
        <w:rPr>
          <w:rFonts w:ascii="Verdana" w:hAnsi="Verdana"/>
          <w:sz w:val="20"/>
          <w:lang w:val="pt-BR"/>
        </w:rPr>
        <w:t xml:space="preserve"> provocam</w:t>
      </w:r>
      <w:r w:rsidRPr="002F50BD">
        <w:rPr>
          <w:rFonts w:ascii="Verdana" w:hAnsi="Verdana"/>
          <w:sz w:val="20"/>
          <w:lang w:val="pt-BR"/>
        </w:rPr>
        <w:t xml:space="preserve"> </w:t>
      </w:r>
      <w:r w:rsidR="00AB6727" w:rsidRPr="002F50BD">
        <w:rPr>
          <w:rFonts w:ascii="Verdana" w:hAnsi="Verdana"/>
          <w:sz w:val="20"/>
          <w:lang w:val="pt-BR"/>
        </w:rPr>
        <w:t>n</w:t>
      </w:r>
      <w:r w:rsidR="0089298C" w:rsidRPr="002F50BD">
        <w:rPr>
          <w:rFonts w:ascii="Verdana" w:hAnsi="Verdana"/>
          <w:sz w:val="20"/>
          <w:lang w:val="pt-BR"/>
        </w:rPr>
        <w:t>este</w:t>
      </w:r>
      <w:r w:rsidRPr="002F50BD">
        <w:rPr>
          <w:rFonts w:ascii="Verdana" w:hAnsi="Verdana"/>
          <w:sz w:val="20"/>
          <w:lang w:val="pt-BR"/>
        </w:rPr>
        <w:t>s seres</w:t>
      </w:r>
      <w:r w:rsidR="0089298C" w:rsidRPr="002F50BD">
        <w:rPr>
          <w:rFonts w:ascii="Verdana" w:hAnsi="Verdana"/>
          <w:sz w:val="20"/>
          <w:lang w:val="pt-BR"/>
        </w:rPr>
        <w:t xml:space="preserve"> é o que faz </w:t>
      </w:r>
      <w:r w:rsidR="00014595" w:rsidRPr="002F50BD">
        <w:rPr>
          <w:rFonts w:ascii="Verdana" w:hAnsi="Verdana"/>
          <w:sz w:val="20"/>
          <w:lang w:val="pt-BR"/>
        </w:rPr>
        <w:t xml:space="preserve">com </w:t>
      </w:r>
      <w:r w:rsidRPr="002F50BD">
        <w:rPr>
          <w:rFonts w:ascii="Verdana" w:hAnsi="Verdana"/>
          <w:sz w:val="20"/>
          <w:lang w:val="pt-BR"/>
        </w:rPr>
        <w:t>que</w:t>
      </w:r>
      <w:r w:rsidR="0089298C" w:rsidRPr="002F50BD">
        <w:rPr>
          <w:rFonts w:ascii="Verdana" w:hAnsi="Verdana"/>
          <w:sz w:val="20"/>
          <w:lang w:val="pt-BR"/>
        </w:rPr>
        <w:t xml:space="preserve"> ele</w:t>
      </w:r>
      <w:r w:rsidRPr="002F50BD">
        <w:rPr>
          <w:rFonts w:ascii="Verdana" w:hAnsi="Verdana"/>
          <w:sz w:val="20"/>
          <w:lang w:val="pt-BR"/>
        </w:rPr>
        <w:t xml:space="preserve">s </w:t>
      </w:r>
      <w:r w:rsidR="0089298C" w:rsidRPr="002F50BD">
        <w:rPr>
          <w:rFonts w:ascii="Verdana" w:hAnsi="Verdana"/>
          <w:sz w:val="20"/>
          <w:lang w:val="pt-BR"/>
        </w:rPr>
        <w:t>permitam a tarefa</w:t>
      </w:r>
      <w:r w:rsidRPr="002F50BD">
        <w:rPr>
          <w:rFonts w:ascii="Verdana" w:hAnsi="Verdana"/>
          <w:sz w:val="20"/>
          <w:lang w:val="pt-BR"/>
        </w:rPr>
        <w:t xml:space="preserve"> produtiva</w:t>
      </w:r>
      <w:r w:rsidR="0089298C" w:rsidRPr="002F50BD">
        <w:rPr>
          <w:rFonts w:ascii="Verdana" w:hAnsi="Verdana"/>
          <w:sz w:val="20"/>
          <w:lang w:val="pt-BR"/>
        </w:rPr>
        <w:t xml:space="preserve"> nos espaço</w:t>
      </w:r>
      <w:r w:rsidRPr="002F50BD">
        <w:rPr>
          <w:rFonts w:ascii="Verdana" w:hAnsi="Verdana"/>
          <w:sz w:val="20"/>
          <w:lang w:val="pt-BR"/>
        </w:rPr>
        <w:t xml:space="preserve">s que </w:t>
      </w:r>
      <w:r w:rsidR="00AE4DEA" w:rsidRPr="002F50BD">
        <w:rPr>
          <w:rFonts w:ascii="Verdana" w:hAnsi="Verdana"/>
          <w:sz w:val="20"/>
          <w:lang w:val="pt-BR"/>
        </w:rPr>
        <w:t xml:space="preserve">regem </w:t>
      </w:r>
      <w:r w:rsidR="00E10DBB" w:rsidRPr="002F50BD">
        <w:rPr>
          <w:rFonts w:ascii="Verdana" w:hAnsi="Verdana"/>
          <w:sz w:val="20"/>
          <w:lang w:val="pt-BR"/>
        </w:rPr>
        <w:t xml:space="preserve">e que concedam </w:t>
      </w:r>
      <w:r w:rsidR="0089298C" w:rsidRPr="002F50BD">
        <w:rPr>
          <w:rFonts w:ascii="Verdana" w:hAnsi="Verdana"/>
          <w:sz w:val="20"/>
          <w:lang w:val="pt-BR"/>
        </w:rPr>
        <w:t>os bens</w:t>
      </w:r>
      <w:r w:rsidRPr="002F50BD">
        <w:rPr>
          <w:rFonts w:ascii="Verdana" w:hAnsi="Verdana"/>
          <w:sz w:val="20"/>
          <w:lang w:val="pt-BR"/>
        </w:rPr>
        <w:t xml:space="preserve"> que </w:t>
      </w:r>
      <w:r w:rsidR="005A6BC7" w:rsidRPr="002F50BD">
        <w:rPr>
          <w:rFonts w:ascii="Verdana" w:hAnsi="Verdana"/>
          <w:sz w:val="20"/>
          <w:lang w:val="pt-BR"/>
        </w:rPr>
        <w:t>fazem</w:t>
      </w:r>
      <w:r w:rsidRPr="002F50BD">
        <w:rPr>
          <w:rFonts w:ascii="Verdana" w:hAnsi="Verdana"/>
          <w:sz w:val="20"/>
          <w:lang w:val="pt-BR"/>
        </w:rPr>
        <w:t xml:space="preserve"> </w:t>
      </w:r>
      <w:r w:rsidR="0089298C" w:rsidRPr="002F50BD">
        <w:rPr>
          <w:rFonts w:ascii="Verdana" w:hAnsi="Verdana"/>
          <w:sz w:val="20"/>
          <w:lang w:val="pt-BR"/>
        </w:rPr>
        <w:t xml:space="preserve">possível </w:t>
      </w:r>
      <w:r w:rsidRPr="002F50BD">
        <w:rPr>
          <w:rFonts w:ascii="Verdana" w:hAnsi="Verdana"/>
          <w:sz w:val="20"/>
          <w:lang w:val="pt-BR"/>
        </w:rPr>
        <w:t>su</w:t>
      </w:r>
      <w:r w:rsidR="00E10DBB"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subsistência</w:t>
      </w:r>
      <w:r w:rsidR="001A0CDE" w:rsidRPr="002F50BD">
        <w:rPr>
          <w:rFonts w:ascii="Verdana" w:hAnsi="Verdana"/>
          <w:sz w:val="20"/>
          <w:lang w:val="pt-BR"/>
        </w:rPr>
        <w:t>. Est</w:t>
      </w:r>
      <w:r w:rsidRPr="002F50BD">
        <w:rPr>
          <w:rFonts w:ascii="Verdana" w:hAnsi="Verdana"/>
          <w:sz w:val="20"/>
          <w:lang w:val="pt-BR"/>
        </w:rPr>
        <w:t xml:space="preserve">a </w:t>
      </w:r>
      <w:r w:rsidR="0089298C" w:rsidRPr="002F50BD">
        <w:rPr>
          <w:rFonts w:ascii="Verdana" w:hAnsi="Verdana"/>
          <w:sz w:val="20"/>
          <w:lang w:val="pt-BR"/>
        </w:rPr>
        <w:t>maneira</w:t>
      </w:r>
      <w:r w:rsidRPr="002F50BD">
        <w:rPr>
          <w:rFonts w:ascii="Verdana" w:hAnsi="Verdana"/>
          <w:sz w:val="20"/>
          <w:lang w:val="pt-BR"/>
        </w:rPr>
        <w:t xml:space="preserve"> de pensar </w:t>
      </w:r>
      <w:r w:rsidR="0089298C" w:rsidRPr="002F50BD">
        <w:rPr>
          <w:rFonts w:ascii="Verdana" w:hAnsi="Verdana"/>
          <w:sz w:val="20"/>
          <w:lang w:val="pt-BR"/>
        </w:rPr>
        <w:t>pode</w:t>
      </w:r>
      <w:r w:rsidRPr="002F50BD">
        <w:rPr>
          <w:rFonts w:ascii="Verdana" w:hAnsi="Verdana"/>
          <w:sz w:val="20"/>
          <w:lang w:val="pt-BR"/>
        </w:rPr>
        <w:t xml:space="preserve"> resumir</w:t>
      </w:r>
      <w:r w:rsidR="00E10DBB" w:rsidRPr="002F50BD">
        <w:rPr>
          <w:rFonts w:ascii="Verdana" w:hAnsi="Verdana"/>
          <w:sz w:val="20"/>
          <w:lang w:val="pt-BR"/>
        </w:rPr>
        <w:t>-</w:t>
      </w:r>
      <w:r w:rsidRPr="002F50BD">
        <w:rPr>
          <w:rFonts w:ascii="Verdana" w:hAnsi="Verdana"/>
          <w:sz w:val="20"/>
          <w:lang w:val="pt-BR"/>
        </w:rPr>
        <w:t>se</w:t>
      </w:r>
      <w:r w:rsidR="0089298C" w:rsidRPr="002F50BD">
        <w:rPr>
          <w:rFonts w:ascii="Verdana" w:hAnsi="Verdana"/>
          <w:sz w:val="20"/>
          <w:lang w:val="pt-BR"/>
        </w:rPr>
        <w:t xml:space="preserve"> na </w:t>
      </w:r>
      <w:r w:rsidRPr="002F50BD">
        <w:rPr>
          <w:rFonts w:ascii="Verdana" w:hAnsi="Verdana"/>
          <w:sz w:val="20"/>
          <w:lang w:val="pt-BR"/>
        </w:rPr>
        <w:t>fórmula “</w:t>
      </w:r>
      <w:r w:rsidR="0089298C" w:rsidRPr="002F50BD">
        <w:rPr>
          <w:rFonts w:ascii="Verdana" w:hAnsi="Verdana"/>
          <w:sz w:val="20"/>
          <w:lang w:val="pt-BR"/>
        </w:rPr>
        <w:t>viver com a natureza</w:t>
      </w:r>
      <w:r w:rsidRPr="002F50BD">
        <w:rPr>
          <w:rFonts w:ascii="Verdana" w:hAnsi="Verdana"/>
          <w:sz w:val="20"/>
          <w:lang w:val="pt-BR"/>
        </w:rPr>
        <w:t xml:space="preserve">”, </w:t>
      </w:r>
      <w:r w:rsidR="00E10DBB" w:rsidRPr="002F50BD">
        <w:rPr>
          <w:rFonts w:ascii="Verdana" w:hAnsi="Verdana"/>
          <w:sz w:val="20"/>
          <w:lang w:val="pt-BR"/>
        </w:rPr>
        <w:t xml:space="preserve">diferentemente </w:t>
      </w:r>
      <w:r w:rsidR="0089298C" w:rsidRPr="002F50BD">
        <w:rPr>
          <w:rFonts w:ascii="Verdana" w:hAnsi="Verdana"/>
          <w:sz w:val="20"/>
          <w:lang w:val="pt-BR"/>
        </w:rPr>
        <w:t xml:space="preserve">da </w:t>
      </w:r>
      <w:r w:rsidRPr="002F50BD">
        <w:rPr>
          <w:rFonts w:ascii="Verdana" w:hAnsi="Verdana"/>
          <w:sz w:val="20"/>
          <w:lang w:val="pt-BR"/>
        </w:rPr>
        <w:t>que prevalece</w:t>
      </w:r>
      <w:r w:rsidR="0089298C" w:rsidRPr="002F50BD">
        <w:rPr>
          <w:rFonts w:ascii="Verdana" w:hAnsi="Verdana"/>
          <w:sz w:val="20"/>
          <w:lang w:val="pt-BR"/>
        </w:rPr>
        <w:t xml:space="preserve"> em nossa</w:t>
      </w:r>
      <w:r w:rsidRPr="002F50BD">
        <w:rPr>
          <w:rFonts w:ascii="Verdana" w:hAnsi="Verdana"/>
          <w:sz w:val="20"/>
          <w:lang w:val="pt-BR"/>
        </w:rPr>
        <w:t xml:space="preserve"> cultura,</w:t>
      </w:r>
      <w:r w:rsidR="0089298C" w:rsidRPr="002F50BD">
        <w:rPr>
          <w:rFonts w:ascii="Verdana" w:hAnsi="Verdana"/>
          <w:sz w:val="20"/>
          <w:lang w:val="pt-BR"/>
        </w:rPr>
        <w:t xml:space="preserve"> na </w:t>
      </w:r>
      <w:r w:rsidRPr="002F50BD">
        <w:rPr>
          <w:rFonts w:ascii="Verdana" w:hAnsi="Verdana"/>
          <w:sz w:val="20"/>
          <w:lang w:val="pt-BR"/>
        </w:rPr>
        <w:t>qu</w:t>
      </w:r>
      <w:r w:rsidR="00E10DBB" w:rsidRPr="002F50BD">
        <w:rPr>
          <w:rFonts w:ascii="Verdana" w:hAnsi="Verdana"/>
          <w:sz w:val="20"/>
          <w:lang w:val="pt-BR"/>
        </w:rPr>
        <w:t>al</w:t>
      </w:r>
      <w:r w:rsidR="0089298C" w:rsidRPr="002F50BD">
        <w:rPr>
          <w:rFonts w:ascii="Verdana" w:hAnsi="Verdana"/>
          <w:sz w:val="20"/>
          <w:lang w:val="pt-BR"/>
        </w:rPr>
        <w:t xml:space="preserve"> o bem econômic</w:t>
      </w:r>
      <w:r w:rsidRPr="002F50BD">
        <w:rPr>
          <w:rFonts w:ascii="Verdana" w:hAnsi="Verdana"/>
          <w:sz w:val="20"/>
          <w:lang w:val="pt-BR"/>
        </w:rPr>
        <w:t>o está parcialmente identificado</w:t>
      </w:r>
      <w:r w:rsidR="0089298C" w:rsidRPr="002F50BD">
        <w:rPr>
          <w:rFonts w:ascii="Verdana" w:hAnsi="Verdana"/>
          <w:sz w:val="20"/>
          <w:lang w:val="pt-BR"/>
        </w:rPr>
        <w:t xml:space="preserve"> com o controle da natureza</w:t>
      </w:r>
      <w:r w:rsidRPr="002F50BD">
        <w:rPr>
          <w:rFonts w:ascii="Verdana" w:hAnsi="Verdana"/>
          <w:sz w:val="20"/>
          <w:lang w:val="pt-BR"/>
        </w:rPr>
        <w:t>, resumi</w:t>
      </w:r>
      <w:r w:rsidR="00E10DBB" w:rsidRPr="002F50BD">
        <w:rPr>
          <w:rFonts w:ascii="Verdana" w:hAnsi="Verdana"/>
          <w:sz w:val="20"/>
          <w:lang w:val="pt-BR"/>
        </w:rPr>
        <w:t>da</w:t>
      </w:r>
      <w:r w:rsidR="0089298C" w:rsidRPr="002F50BD">
        <w:rPr>
          <w:rFonts w:ascii="Verdana" w:hAnsi="Verdana"/>
          <w:sz w:val="20"/>
          <w:lang w:val="pt-BR"/>
        </w:rPr>
        <w:t xml:space="preserve"> </w:t>
      </w:r>
      <w:r w:rsidR="00E10DBB" w:rsidRPr="002F50BD">
        <w:rPr>
          <w:rFonts w:ascii="Verdana" w:hAnsi="Verdana"/>
          <w:sz w:val="20"/>
          <w:lang w:val="pt-BR"/>
        </w:rPr>
        <w:t>n</w:t>
      </w:r>
      <w:r w:rsidR="0089298C" w:rsidRPr="002F50BD">
        <w:rPr>
          <w:rFonts w:ascii="Verdana" w:hAnsi="Verdana"/>
          <w:sz w:val="20"/>
          <w:lang w:val="pt-BR"/>
        </w:rPr>
        <w:t xml:space="preserve">a </w:t>
      </w:r>
      <w:r w:rsidRPr="002F50BD">
        <w:rPr>
          <w:rFonts w:ascii="Verdana" w:hAnsi="Verdana"/>
          <w:sz w:val="20"/>
          <w:lang w:val="pt-BR"/>
        </w:rPr>
        <w:t>fórmula “</w:t>
      </w:r>
      <w:r w:rsidR="0089298C" w:rsidRPr="002F50BD">
        <w:rPr>
          <w:rFonts w:ascii="Verdana" w:hAnsi="Verdana"/>
          <w:sz w:val="20"/>
          <w:lang w:val="pt-BR"/>
        </w:rPr>
        <w:t>viver da natureza</w:t>
      </w:r>
      <w:r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século </w:t>
      </w:r>
      <w:r w:rsidR="004756C1" w:rsidRPr="002F50BD">
        <w:rPr>
          <w:rFonts w:ascii="Verdana" w:hAnsi="Verdana"/>
          <w:sz w:val="20"/>
          <w:lang w:val="pt-BR"/>
        </w:rPr>
        <w:t>XIX</w:t>
      </w:r>
      <w:r w:rsidR="00AE4DEA"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quando</w:t>
      </w:r>
      <w:r w:rsidR="004756C1" w:rsidRPr="002F50BD">
        <w:rPr>
          <w:rFonts w:ascii="Verdana" w:hAnsi="Verdana"/>
          <w:sz w:val="20"/>
          <w:lang w:val="pt-BR"/>
        </w:rPr>
        <w:t xml:space="preserve"> Argentina, </w:t>
      </w:r>
      <w:r w:rsidRPr="002F50BD">
        <w:rPr>
          <w:rFonts w:ascii="Verdana" w:hAnsi="Verdana"/>
          <w:sz w:val="20"/>
          <w:lang w:val="pt-BR"/>
        </w:rPr>
        <w:t>Bolívia e Paraguai</w:t>
      </w:r>
      <w:r w:rsidR="004756C1" w:rsidRPr="002F50BD">
        <w:rPr>
          <w:rFonts w:ascii="Verdana" w:hAnsi="Verdana"/>
          <w:sz w:val="20"/>
          <w:lang w:val="pt-BR"/>
        </w:rPr>
        <w:t xml:space="preserve"> se </w:t>
      </w:r>
      <w:r w:rsidRPr="002F50BD">
        <w:rPr>
          <w:rFonts w:ascii="Verdana" w:hAnsi="Verdana"/>
          <w:sz w:val="20"/>
          <w:lang w:val="pt-BR"/>
        </w:rPr>
        <w:t>estabeleceram</w:t>
      </w:r>
      <w:r w:rsidR="004756C1" w:rsidRPr="002F50BD">
        <w:rPr>
          <w:rFonts w:ascii="Verdana" w:hAnsi="Verdana"/>
          <w:sz w:val="20"/>
          <w:lang w:val="pt-BR"/>
        </w:rPr>
        <w:t xml:space="preserve"> como na</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independente</w:t>
      </w:r>
      <w:r w:rsidR="004756C1" w:rsidRPr="002F50BD">
        <w:rPr>
          <w:rFonts w:ascii="Verdana" w:hAnsi="Verdana"/>
          <w:sz w:val="20"/>
          <w:lang w:val="pt-BR"/>
        </w:rPr>
        <w:t>s,</w:t>
      </w:r>
      <w:r w:rsidRPr="002F50BD">
        <w:rPr>
          <w:rFonts w:ascii="Verdana" w:hAnsi="Verdana"/>
          <w:sz w:val="20"/>
          <w:lang w:val="pt-BR"/>
        </w:rPr>
        <w:t xml:space="preserve"> a maior </w:t>
      </w:r>
      <w:r w:rsidR="004756C1" w:rsidRPr="002F50BD">
        <w:rPr>
          <w:rFonts w:ascii="Verdana" w:hAnsi="Verdana"/>
          <w:sz w:val="20"/>
          <w:lang w:val="pt-BR"/>
        </w:rPr>
        <w:t>parte</w:t>
      </w:r>
      <w:r w:rsidRPr="002F50BD">
        <w:rPr>
          <w:rFonts w:ascii="Verdana" w:hAnsi="Verdana"/>
          <w:sz w:val="20"/>
          <w:lang w:val="pt-BR"/>
        </w:rPr>
        <w:t xml:space="preserve"> da região</w:t>
      </w:r>
      <w:r w:rsidR="004756C1" w:rsidRPr="002F50BD">
        <w:rPr>
          <w:rFonts w:ascii="Verdana" w:hAnsi="Verdana"/>
          <w:sz w:val="20"/>
          <w:lang w:val="pt-BR"/>
        </w:rPr>
        <w:t xml:space="preserve"> </w:t>
      </w:r>
      <w:r w:rsidR="004756C1" w:rsidRPr="002F50BD">
        <w:rPr>
          <w:rFonts w:ascii="Verdana" w:hAnsi="Verdana"/>
          <w:i/>
          <w:sz w:val="20"/>
          <w:lang w:val="pt-BR"/>
        </w:rPr>
        <w:t>chaqueña</w:t>
      </w:r>
      <w:r w:rsidR="004756C1" w:rsidRPr="002F50BD">
        <w:rPr>
          <w:rFonts w:ascii="Verdana" w:hAnsi="Verdana"/>
          <w:sz w:val="20"/>
          <w:lang w:val="pt-BR"/>
        </w:rPr>
        <w:t>,</w:t>
      </w:r>
      <w:r w:rsidRPr="002F50BD">
        <w:rPr>
          <w:rFonts w:ascii="Verdana" w:hAnsi="Verdana"/>
          <w:sz w:val="20"/>
          <w:lang w:val="pt-BR"/>
        </w:rPr>
        <w:t xml:space="preserve"> </w:t>
      </w:r>
      <w:r w:rsidR="00E10DBB" w:rsidRPr="002F50BD">
        <w:rPr>
          <w:rFonts w:ascii="Verdana" w:hAnsi="Verdana"/>
          <w:sz w:val="20"/>
          <w:lang w:val="pt-BR"/>
        </w:rPr>
        <w:t>no</w:t>
      </w:r>
      <w:r w:rsidRPr="002F50BD">
        <w:rPr>
          <w:rFonts w:ascii="Verdana" w:hAnsi="Verdana"/>
          <w:sz w:val="20"/>
          <w:lang w:val="pt-BR"/>
        </w:rPr>
        <w:t xml:space="preserve"> meio dos três </w:t>
      </w:r>
      <w:r w:rsidR="004756C1" w:rsidRPr="002F50BD">
        <w:rPr>
          <w:rFonts w:ascii="Verdana" w:hAnsi="Verdana"/>
          <w:sz w:val="20"/>
          <w:lang w:val="pt-BR"/>
        </w:rPr>
        <w:t xml:space="preserve">Estados emergentes, </w:t>
      </w:r>
      <w:r w:rsidR="00AB454A" w:rsidRPr="002F50BD">
        <w:rPr>
          <w:rFonts w:ascii="Verdana" w:hAnsi="Verdana"/>
          <w:sz w:val="20"/>
          <w:lang w:val="pt-BR"/>
        </w:rPr>
        <w:t>não havia</w:t>
      </w:r>
      <w:r w:rsidR="004756C1" w:rsidRPr="002F50BD">
        <w:rPr>
          <w:rFonts w:ascii="Verdana" w:hAnsi="Verdana"/>
          <w:sz w:val="20"/>
          <w:lang w:val="pt-BR"/>
        </w:rPr>
        <w:t xml:space="preserve"> sido ocupada</w:t>
      </w:r>
      <w:r w:rsidRPr="002F50BD">
        <w:rPr>
          <w:rFonts w:ascii="Verdana" w:hAnsi="Verdana"/>
          <w:sz w:val="20"/>
          <w:lang w:val="pt-BR"/>
        </w:rPr>
        <w:t xml:space="preserve"> pe</w:t>
      </w:r>
      <w:r w:rsidR="00E10DBB" w:rsidRPr="002F50BD">
        <w:rPr>
          <w:rFonts w:ascii="Verdana" w:hAnsi="Verdana"/>
          <w:sz w:val="20"/>
          <w:lang w:val="pt-BR"/>
        </w:rPr>
        <w:t>los brancos</w:t>
      </w:r>
      <w:r w:rsidR="004756C1" w:rsidRPr="002F50BD">
        <w:rPr>
          <w:rFonts w:ascii="Verdana" w:hAnsi="Verdana"/>
          <w:sz w:val="20"/>
          <w:lang w:val="pt-BR"/>
        </w:rPr>
        <w:t xml:space="preserve">. </w:t>
      </w:r>
      <w:r w:rsidRPr="002F50BD">
        <w:rPr>
          <w:rFonts w:ascii="Verdana" w:hAnsi="Verdana"/>
          <w:sz w:val="20"/>
          <w:lang w:val="pt-BR"/>
        </w:rPr>
        <w:t xml:space="preserve">Depois da </w:t>
      </w:r>
      <w:r w:rsidR="004756C1" w:rsidRPr="002F50BD">
        <w:rPr>
          <w:rFonts w:ascii="Verdana" w:hAnsi="Verdana"/>
          <w:sz w:val="20"/>
          <w:lang w:val="pt-BR"/>
        </w:rPr>
        <w:t xml:space="preserve">guerra de </w:t>
      </w:r>
      <w:r w:rsidR="00063B47" w:rsidRPr="002F50BD">
        <w:rPr>
          <w:rFonts w:ascii="Verdana" w:hAnsi="Verdana"/>
          <w:sz w:val="20"/>
          <w:lang w:val="pt-BR"/>
        </w:rPr>
        <w:t>1870</w:t>
      </w:r>
      <w:r w:rsidR="004756C1" w:rsidRPr="002F50BD">
        <w:rPr>
          <w:rFonts w:ascii="Verdana" w:hAnsi="Verdana"/>
          <w:sz w:val="20"/>
          <w:lang w:val="pt-BR"/>
        </w:rPr>
        <w:t xml:space="preserve">, </w:t>
      </w:r>
      <w:r w:rsidRPr="002F50BD">
        <w:rPr>
          <w:rFonts w:ascii="Verdana" w:hAnsi="Verdana"/>
          <w:sz w:val="20"/>
          <w:lang w:val="pt-BR"/>
        </w:rPr>
        <w:t xml:space="preserve">começou um </w:t>
      </w:r>
      <w:r w:rsidR="004756C1" w:rsidRPr="002F50BD">
        <w:rPr>
          <w:rFonts w:ascii="Verdana" w:hAnsi="Verdana"/>
          <w:sz w:val="20"/>
          <w:lang w:val="pt-BR"/>
        </w:rPr>
        <w:t xml:space="preserve">período de </w:t>
      </w:r>
      <w:r w:rsidRPr="002F50BD">
        <w:rPr>
          <w:rFonts w:ascii="Verdana" w:hAnsi="Verdana"/>
          <w:sz w:val="20"/>
          <w:lang w:val="pt-BR"/>
        </w:rPr>
        <w:t xml:space="preserve">grande </w:t>
      </w:r>
      <w:r w:rsidR="004756C1" w:rsidRPr="002F50BD">
        <w:rPr>
          <w:rFonts w:ascii="Verdana" w:hAnsi="Verdana"/>
          <w:sz w:val="20"/>
          <w:lang w:val="pt-BR"/>
        </w:rPr>
        <w:t>especula</w:t>
      </w:r>
      <w:r w:rsidRPr="002F50BD">
        <w:rPr>
          <w:rFonts w:ascii="Verdana" w:hAnsi="Verdana"/>
          <w:sz w:val="20"/>
          <w:lang w:val="pt-BR"/>
        </w:rPr>
        <w:t>ção</w:t>
      </w:r>
      <w:r w:rsidR="004756C1" w:rsidRPr="002F50BD">
        <w:rPr>
          <w:rFonts w:ascii="Verdana" w:hAnsi="Verdana"/>
          <w:sz w:val="20"/>
          <w:lang w:val="pt-BR"/>
        </w:rPr>
        <w:t xml:space="preserve"> </w:t>
      </w:r>
      <w:r w:rsidR="00E10DBB" w:rsidRPr="002F50BD">
        <w:rPr>
          <w:rFonts w:ascii="Verdana" w:hAnsi="Verdana"/>
          <w:sz w:val="20"/>
          <w:lang w:val="pt-BR"/>
        </w:rPr>
        <w:t>imobiliária</w:t>
      </w:r>
      <w:r w:rsidR="004756C1" w:rsidRPr="002F50BD">
        <w:rPr>
          <w:rFonts w:ascii="Verdana" w:hAnsi="Verdana"/>
          <w:sz w:val="20"/>
          <w:lang w:val="pt-BR"/>
        </w:rPr>
        <w:t>, bas</w:t>
      </w:r>
      <w:r w:rsidR="00E10DBB" w:rsidRPr="002F50BD">
        <w:rPr>
          <w:rFonts w:ascii="Verdana" w:hAnsi="Verdana"/>
          <w:sz w:val="20"/>
          <w:lang w:val="pt-BR"/>
        </w:rPr>
        <w:t>e</w:t>
      </w:r>
      <w:r w:rsidR="004756C1" w:rsidRPr="002F50BD">
        <w:rPr>
          <w:rFonts w:ascii="Verdana" w:hAnsi="Verdana"/>
          <w:sz w:val="20"/>
          <w:lang w:val="pt-BR"/>
        </w:rPr>
        <w:t>ada</w:t>
      </w:r>
      <w:r w:rsidRPr="002F50BD">
        <w:rPr>
          <w:rFonts w:ascii="Verdana" w:hAnsi="Verdana"/>
          <w:sz w:val="20"/>
          <w:lang w:val="pt-BR"/>
        </w:rPr>
        <w:t xml:space="preserve"> na </w:t>
      </w:r>
      <w:r w:rsidR="00E10DBB" w:rsidRPr="002F50BD">
        <w:rPr>
          <w:rFonts w:ascii="Verdana" w:hAnsi="Verdana"/>
          <w:sz w:val="20"/>
          <w:lang w:val="pt-BR"/>
        </w:rPr>
        <w:t>apropriação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 indígenas por parte</w:t>
      </w:r>
      <w:r w:rsidRPr="002F50BD">
        <w:rPr>
          <w:rFonts w:ascii="Verdana" w:hAnsi="Verdana"/>
          <w:sz w:val="20"/>
          <w:lang w:val="pt-BR"/>
        </w:rPr>
        <w:t xml:space="preserve"> dos </w:t>
      </w:r>
      <w:r w:rsidR="004756C1" w:rsidRPr="002F50BD">
        <w:rPr>
          <w:rFonts w:ascii="Verdana" w:hAnsi="Verdana"/>
          <w:sz w:val="20"/>
          <w:lang w:val="pt-BR"/>
        </w:rPr>
        <w:t xml:space="preserve">Estados </w:t>
      </w:r>
      <w:r w:rsidRPr="002F50BD">
        <w:rPr>
          <w:rFonts w:ascii="Verdana" w:hAnsi="Verdana"/>
          <w:sz w:val="20"/>
          <w:lang w:val="pt-BR"/>
        </w:rPr>
        <w:t>nacionais</w:t>
      </w:r>
      <w:r w:rsidR="004756C1" w:rsidRPr="002F50BD">
        <w:rPr>
          <w:rFonts w:ascii="Verdana" w:hAnsi="Verdana"/>
          <w:sz w:val="20"/>
          <w:lang w:val="pt-BR"/>
        </w:rPr>
        <w:t>, durante</w:t>
      </w:r>
      <w:r w:rsidRPr="002F50BD">
        <w:rPr>
          <w:rFonts w:ascii="Verdana" w:hAnsi="Verdana"/>
          <w:sz w:val="20"/>
          <w:lang w:val="pt-BR"/>
        </w:rPr>
        <w:t xml:space="preserve"> o </w:t>
      </w:r>
      <w:r w:rsidR="004756C1" w:rsidRPr="002F50BD">
        <w:rPr>
          <w:rFonts w:ascii="Verdana" w:hAnsi="Verdana"/>
          <w:sz w:val="20"/>
          <w:lang w:val="pt-BR"/>
        </w:rPr>
        <w:t>qu</w:t>
      </w:r>
      <w:r w:rsidR="00E10DBB" w:rsidRPr="002F50BD">
        <w:rPr>
          <w:rFonts w:ascii="Verdana" w:hAnsi="Verdana"/>
          <w:sz w:val="20"/>
          <w:lang w:val="pt-BR"/>
        </w:rPr>
        <w:t>al</w:t>
      </w:r>
      <w:r w:rsidR="004756C1" w:rsidRPr="002F50BD">
        <w:rPr>
          <w:rFonts w:ascii="Verdana" w:hAnsi="Verdana"/>
          <w:sz w:val="20"/>
          <w:lang w:val="pt-BR"/>
        </w:rPr>
        <w:t xml:space="preserve"> se </w:t>
      </w:r>
      <w:r w:rsidR="00E10DBB" w:rsidRPr="002F50BD">
        <w:rPr>
          <w:rFonts w:ascii="Verdana" w:hAnsi="Verdana"/>
          <w:sz w:val="20"/>
          <w:lang w:val="pt-BR"/>
        </w:rPr>
        <w:t>privatizou</w:t>
      </w:r>
      <w:r w:rsidRPr="002F50BD">
        <w:rPr>
          <w:rFonts w:ascii="Verdana" w:hAnsi="Verdana"/>
          <w:sz w:val="20"/>
          <w:lang w:val="pt-BR"/>
        </w:rPr>
        <w:t xml:space="preserve"> </w:t>
      </w:r>
      <w:r w:rsidR="00E10DBB"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w:t>
      </w:r>
      <w:r w:rsidRPr="002F50BD">
        <w:rPr>
          <w:rFonts w:ascii="Verdana" w:hAnsi="Verdana"/>
          <w:sz w:val="20"/>
          <w:lang w:val="pt-BR"/>
        </w:rPr>
        <w:t xml:space="preserve"> na </w:t>
      </w:r>
      <w:r w:rsidR="004756C1" w:rsidRPr="002F50BD">
        <w:rPr>
          <w:rFonts w:ascii="Verdana" w:hAnsi="Verdana"/>
          <w:sz w:val="20"/>
          <w:lang w:val="pt-BR"/>
        </w:rPr>
        <w:t>qu</w:t>
      </w:r>
      <w:r w:rsidR="00E10DBB" w:rsidRPr="002F50BD">
        <w:rPr>
          <w:rFonts w:ascii="Verdana" w:hAnsi="Verdana"/>
          <w:sz w:val="20"/>
          <w:lang w:val="pt-BR"/>
        </w:rPr>
        <w:t>al</w:t>
      </w:r>
      <w:r w:rsidR="004756C1" w:rsidRPr="002F50BD">
        <w:rPr>
          <w:rFonts w:ascii="Verdana" w:hAnsi="Verdana"/>
          <w:sz w:val="20"/>
          <w:lang w:val="pt-BR"/>
        </w:rPr>
        <w:t xml:space="preserve"> </w:t>
      </w:r>
      <w:r w:rsidR="00E10DBB" w:rsidRPr="002F50BD">
        <w:rPr>
          <w:rFonts w:ascii="Verdana" w:hAnsi="Verdana"/>
          <w:sz w:val="20"/>
          <w:lang w:val="pt-BR"/>
        </w:rPr>
        <w:t>habitavam</w:t>
      </w:r>
      <w:r w:rsidRPr="002F50BD">
        <w:rPr>
          <w:rFonts w:ascii="Verdana" w:hAnsi="Verdana"/>
          <w:sz w:val="20"/>
          <w:lang w:val="pt-BR"/>
        </w:rPr>
        <w:t xml:space="preserve"> os </w:t>
      </w:r>
      <w:r w:rsidR="00E10DBB" w:rsidRPr="002F50BD">
        <w:rPr>
          <w:rFonts w:ascii="Verdana" w:hAnsi="Verdana"/>
          <w:sz w:val="20"/>
          <w:lang w:val="pt-BR"/>
        </w:rPr>
        <w:t>indígenas Lengua</w:t>
      </w:r>
      <w:r w:rsidRPr="002F50BD">
        <w:rPr>
          <w:rFonts w:ascii="Verdana" w:hAnsi="Verdana"/>
          <w:sz w:val="20"/>
          <w:lang w:val="pt-BR"/>
        </w:rPr>
        <w:t xml:space="preserve"> e </w:t>
      </w:r>
      <w:r w:rsidR="004756C1" w:rsidRPr="002F50BD">
        <w:rPr>
          <w:rFonts w:ascii="Verdana" w:hAnsi="Verdana"/>
          <w:sz w:val="20"/>
          <w:lang w:val="pt-BR"/>
        </w:rPr>
        <w:t xml:space="preserve">se </w:t>
      </w:r>
      <w:r w:rsidR="00E10DBB" w:rsidRPr="002F50BD">
        <w:rPr>
          <w:rFonts w:ascii="Verdana" w:hAnsi="Verdana"/>
          <w:sz w:val="20"/>
          <w:lang w:val="pt-BR"/>
        </w:rPr>
        <w:t>instalou</w:t>
      </w:r>
      <w:r w:rsidRPr="002F50BD">
        <w:rPr>
          <w:rFonts w:ascii="Verdana" w:hAnsi="Verdana"/>
          <w:sz w:val="20"/>
          <w:lang w:val="pt-BR"/>
        </w:rPr>
        <w:t xml:space="preserve"> a </w:t>
      </w:r>
      <w:r w:rsidR="004756C1" w:rsidRPr="002F50BD">
        <w:rPr>
          <w:rFonts w:ascii="Verdana" w:hAnsi="Verdana"/>
          <w:sz w:val="20"/>
          <w:lang w:val="pt-BR"/>
        </w:rPr>
        <w:t>ind</w:t>
      </w:r>
      <w:r w:rsidR="00E10DBB" w:rsidRPr="002F50BD">
        <w:rPr>
          <w:rFonts w:ascii="Verdana" w:hAnsi="Verdana"/>
          <w:sz w:val="20"/>
          <w:lang w:val="pt-BR"/>
        </w:rPr>
        <w:t>ú</w:t>
      </w:r>
      <w:r w:rsidR="004756C1" w:rsidRPr="002F50BD">
        <w:rPr>
          <w:rFonts w:ascii="Verdana" w:hAnsi="Verdana"/>
          <w:sz w:val="20"/>
          <w:lang w:val="pt-BR"/>
        </w:rPr>
        <w:t xml:space="preserve">stria </w:t>
      </w:r>
      <w:r w:rsidRPr="002F50BD">
        <w:rPr>
          <w:rFonts w:ascii="Verdana" w:hAnsi="Verdana"/>
          <w:sz w:val="20"/>
          <w:lang w:val="pt-BR"/>
        </w:rPr>
        <w:t>d</w:t>
      </w:r>
      <w:r w:rsidR="00E10DBB" w:rsidRPr="002F50BD">
        <w:rPr>
          <w:rFonts w:ascii="Verdana" w:hAnsi="Verdana"/>
          <w:sz w:val="20"/>
          <w:lang w:val="pt-BR"/>
        </w:rPr>
        <w:t>e curtimento</w:t>
      </w:r>
      <w:r w:rsidRPr="002F50BD">
        <w:rPr>
          <w:rFonts w:ascii="Verdana" w:hAnsi="Verdana"/>
          <w:sz w:val="20"/>
          <w:lang w:val="pt-BR"/>
        </w:rPr>
        <w:t xml:space="preserve"> </w:t>
      </w:r>
      <w:r w:rsidR="00E10DBB" w:rsidRPr="002F50BD">
        <w:rPr>
          <w:rFonts w:ascii="Verdana" w:hAnsi="Verdana"/>
          <w:sz w:val="20"/>
          <w:lang w:val="pt-BR"/>
        </w:rPr>
        <w:t>no</w:t>
      </w:r>
      <w:r w:rsidRPr="002F50BD">
        <w:rPr>
          <w:rFonts w:ascii="Verdana" w:hAnsi="Verdana"/>
          <w:sz w:val="20"/>
          <w:lang w:val="pt-BR"/>
        </w:rPr>
        <w:t xml:space="preserve"> Paraguai</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lastRenderedPageBreak/>
        <w:t>Co</w:t>
      </w:r>
      <w:r w:rsidR="00E10DBB" w:rsidRPr="002F50BD">
        <w:rPr>
          <w:rFonts w:ascii="Verdana" w:hAnsi="Verdana"/>
          <w:sz w:val="20"/>
          <w:lang w:val="pt-BR"/>
        </w:rPr>
        <w:t>m</w:t>
      </w:r>
      <w:r w:rsidR="0089298C" w:rsidRPr="002F50BD">
        <w:rPr>
          <w:rFonts w:ascii="Verdana" w:hAnsi="Verdana"/>
          <w:sz w:val="20"/>
          <w:lang w:val="pt-BR"/>
        </w:rPr>
        <w:t xml:space="preserve"> respeito ao estabelecimento</w:t>
      </w:r>
      <w:r w:rsidRPr="002F50BD">
        <w:rPr>
          <w:rFonts w:ascii="Verdana" w:hAnsi="Verdana"/>
          <w:sz w:val="20"/>
          <w:lang w:val="pt-BR"/>
        </w:rPr>
        <w:t xml:space="preserve"> de </w:t>
      </w:r>
      <w:r w:rsidR="0089298C" w:rsidRPr="002F50BD">
        <w:rPr>
          <w:rFonts w:ascii="Verdana" w:hAnsi="Verdana"/>
          <w:sz w:val="20"/>
          <w:lang w:val="pt-BR"/>
        </w:rPr>
        <w:t>missões</w:t>
      </w:r>
      <w:r w:rsidRPr="002F50BD">
        <w:rPr>
          <w:rFonts w:ascii="Verdana" w:hAnsi="Verdana"/>
          <w:sz w:val="20"/>
          <w:lang w:val="pt-BR"/>
        </w:rPr>
        <w:t xml:space="preserve"> religiosas,</w:t>
      </w:r>
      <w:r w:rsidR="0089298C" w:rsidRPr="002F50BD">
        <w:rPr>
          <w:rFonts w:ascii="Verdana" w:hAnsi="Verdana"/>
          <w:sz w:val="20"/>
          <w:lang w:val="pt-BR"/>
        </w:rPr>
        <w:t xml:space="preserve"> o </w:t>
      </w:r>
      <w:r w:rsidRPr="002F50BD">
        <w:rPr>
          <w:rFonts w:ascii="Verdana" w:hAnsi="Verdana"/>
          <w:sz w:val="20"/>
          <w:lang w:val="pt-BR"/>
        </w:rPr>
        <w:t xml:space="preserve">perito </w:t>
      </w:r>
      <w:r w:rsidR="0089298C" w:rsidRPr="002F50BD">
        <w:rPr>
          <w:rFonts w:ascii="Verdana" w:hAnsi="Verdana"/>
          <w:sz w:val="20"/>
          <w:lang w:val="pt-BR"/>
        </w:rPr>
        <w:t>assinalou</w:t>
      </w:r>
      <w:r w:rsidRPr="002F50BD">
        <w:rPr>
          <w:rFonts w:ascii="Verdana" w:hAnsi="Verdana"/>
          <w:sz w:val="20"/>
          <w:lang w:val="pt-BR"/>
        </w:rPr>
        <w:t xml:space="preserve"> que</w:t>
      </w:r>
      <w:r w:rsidR="0089298C" w:rsidRPr="002F50BD">
        <w:rPr>
          <w:rFonts w:ascii="Verdana" w:hAnsi="Verdana"/>
          <w:sz w:val="20"/>
          <w:lang w:val="pt-BR"/>
        </w:rPr>
        <w:t xml:space="preserve"> a </w:t>
      </w:r>
      <w:r w:rsidR="00AB454A" w:rsidRPr="002F50BD">
        <w:rPr>
          <w:rFonts w:ascii="Verdana" w:hAnsi="Verdana"/>
          <w:sz w:val="20"/>
          <w:lang w:val="pt-BR"/>
        </w:rPr>
        <w:t>religião</w:t>
      </w:r>
      <w:r w:rsidR="0089298C" w:rsidRPr="002F50BD">
        <w:rPr>
          <w:rFonts w:ascii="Verdana" w:hAnsi="Verdana"/>
          <w:sz w:val="20"/>
          <w:lang w:val="pt-BR"/>
        </w:rPr>
        <w:t xml:space="preserve"> e </w:t>
      </w:r>
      <w:r w:rsidR="00E10DBB" w:rsidRPr="002F50BD">
        <w:rPr>
          <w:rFonts w:ascii="Verdana" w:hAnsi="Verdana"/>
          <w:sz w:val="20"/>
          <w:lang w:val="pt-BR"/>
        </w:rPr>
        <w:t>o</w:t>
      </w:r>
      <w:r w:rsidR="0089298C" w:rsidRPr="002F50BD">
        <w:rPr>
          <w:rFonts w:ascii="Verdana" w:hAnsi="Verdana"/>
          <w:sz w:val="20"/>
          <w:lang w:val="pt-BR"/>
        </w:rPr>
        <w:t xml:space="preserve"> ensino</w:t>
      </w:r>
      <w:r w:rsidRPr="002F50BD">
        <w:rPr>
          <w:rFonts w:ascii="Verdana" w:hAnsi="Verdana"/>
          <w:sz w:val="20"/>
          <w:lang w:val="pt-BR"/>
        </w:rPr>
        <w:t xml:space="preserve"> </w:t>
      </w:r>
      <w:r w:rsidR="0089298C" w:rsidRPr="002F50BD">
        <w:rPr>
          <w:rFonts w:ascii="Verdana" w:hAnsi="Verdana"/>
          <w:sz w:val="20"/>
          <w:lang w:val="pt-BR"/>
        </w:rPr>
        <w:t xml:space="preserve">do </w:t>
      </w:r>
      <w:r w:rsidRPr="002F50BD">
        <w:rPr>
          <w:rFonts w:ascii="Verdana" w:hAnsi="Verdana"/>
          <w:sz w:val="20"/>
          <w:lang w:val="pt-BR"/>
        </w:rPr>
        <w:t xml:space="preserve">cristianismo para desencadear </w:t>
      </w:r>
      <w:r w:rsidR="0089298C" w:rsidRPr="002F50BD">
        <w:rPr>
          <w:rFonts w:ascii="Verdana" w:hAnsi="Verdana"/>
          <w:sz w:val="20"/>
          <w:lang w:val="pt-BR"/>
        </w:rPr>
        <w:t>processo</w:t>
      </w:r>
      <w:r w:rsidRPr="002F50BD">
        <w:rPr>
          <w:rFonts w:ascii="Verdana" w:hAnsi="Verdana"/>
          <w:sz w:val="20"/>
          <w:lang w:val="pt-BR"/>
        </w:rPr>
        <w:t>s de</w:t>
      </w:r>
      <w:r w:rsidR="0089298C" w:rsidRPr="002F50BD">
        <w:rPr>
          <w:rFonts w:ascii="Verdana" w:hAnsi="Verdana"/>
          <w:sz w:val="20"/>
          <w:lang w:val="pt-BR"/>
        </w:rPr>
        <w:t xml:space="preserve"> </w:t>
      </w:r>
      <w:r w:rsidR="00060B3A" w:rsidRPr="002F50BD">
        <w:rPr>
          <w:rFonts w:ascii="Verdana" w:hAnsi="Verdana"/>
          <w:sz w:val="20"/>
          <w:lang w:val="pt-BR"/>
        </w:rPr>
        <w:t>mudança</w:t>
      </w:r>
      <w:r w:rsidR="0089298C" w:rsidRPr="002F50BD">
        <w:rPr>
          <w:rFonts w:ascii="Verdana" w:hAnsi="Verdana"/>
          <w:sz w:val="20"/>
          <w:lang w:val="pt-BR"/>
        </w:rPr>
        <w:t xml:space="preserve"> e </w:t>
      </w:r>
      <w:r w:rsidR="00E10DBB" w:rsidRPr="002F50BD">
        <w:rPr>
          <w:rFonts w:ascii="Verdana" w:hAnsi="Verdana"/>
          <w:sz w:val="20"/>
          <w:lang w:val="pt-BR"/>
        </w:rPr>
        <w:t xml:space="preserve">de </w:t>
      </w:r>
      <w:r w:rsidRPr="002F50BD">
        <w:rPr>
          <w:rFonts w:ascii="Verdana" w:hAnsi="Verdana"/>
          <w:sz w:val="20"/>
          <w:lang w:val="pt-BR"/>
        </w:rPr>
        <w:t>a</w:t>
      </w:r>
      <w:r w:rsidR="00E10DBB" w:rsidRPr="002F50BD">
        <w:rPr>
          <w:rFonts w:ascii="Verdana" w:hAnsi="Verdana"/>
          <w:sz w:val="20"/>
          <w:lang w:val="pt-BR"/>
        </w:rPr>
        <w:t>s</w:t>
      </w:r>
      <w:r w:rsidRPr="002F50BD">
        <w:rPr>
          <w:rFonts w:ascii="Verdana" w:hAnsi="Verdana"/>
          <w:sz w:val="20"/>
          <w:lang w:val="pt-BR"/>
        </w:rPr>
        <w:t>simila</w:t>
      </w:r>
      <w:r w:rsidR="0089298C" w:rsidRPr="002F50BD">
        <w:rPr>
          <w:rFonts w:ascii="Verdana" w:hAnsi="Verdana"/>
          <w:sz w:val="20"/>
          <w:lang w:val="pt-BR"/>
        </w:rPr>
        <w:t xml:space="preserve">ção dos </w:t>
      </w:r>
      <w:r w:rsidRPr="002F50BD">
        <w:rPr>
          <w:rFonts w:ascii="Verdana" w:hAnsi="Verdana"/>
          <w:sz w:val="20"/>
          <w:lang w:val="pt-BR"/>
        </w:rPr>
        <w:t>indígenas</w:t>
      </w:r>
      <w:r w:rsidR="0089298C" w:rsidRPr="002F50BD">
        <w:rPr>
          <w:rFonts w:ascii="Verdana" w:hAnsi="Verdana"/>
          <w:sz w:val="20"/>
          <w:lang w:val="pt-BR"/>
        </w:rPr>
        <w:t xml:space="preserve"> à </w:t>
      </w:r>
      <w:r w:rsidRPr="002F50BD">
        <w:rPr>
          <w:rFonts w:ascii="Verdana" w:hAnsi="Verdana"/>
          <w:sz w:val="20"/>
          <w:lang w:val="pt-BR"/>
        </w:rPr>
        <w:t xml:space="preserve">cultura ocidental </w:t>
      </w:r>
      <w:r w:rsidR="0089298C" w:rsidRPr="002F50BD">
        <w:rPr>
          <w:rFonts w:ascii="Verdana" w:hAnsi="Verdana"/>
          <w:sz w:val="20"/>
          <w:lang w:val="pt-BR"/>
        </w:rPr>
        <w:t>est</w:t>
      </w:r>
      <w:r w:rsidR="007D266B" w:rsidRPr="002F50BD">
        <w:rPr>
          <w:rFonts w:ascii="Verdana" w:hAnsi="Verdana"/>
          <w:sz w:val="20"/>
          <w:lang w:val="pt-BR"/>
        </w:rPr>
        <w:t>iveram</w:t>
      </w:r>
      <w:r w:rsidRPr="002F50BD">
        <w:rPr>
          <w:rFonts w:ascii="Verdana" w:hAnsi="Verdana"/>
          <w:sz w:val="20"/>
          <w:lang w:val="pt-BR"/>
        </w:rPr>
        <w:t xml:space="preserve"> presente</w:t>
      </w:r>
      <w:r w:rsidR="007D266B" w:rsidRPr="002F50BD">
        <w:rPr>
          <w:rFonts w:ascii="Verdana" w:hAnsi="Verdana"/>
          <w:sz w:val="20"/>
          <w:lang w:val="pt-BR"/>
        </w:rPr>
        <w:t>s</w:t>
      </w:r>
      <w:r w:rsidRPr="002F50BD">
        <w:rPr>
          <w:rFonts w:ascii="Verdana" w:hAnsi="Verdana"/>
          <w:sz w:val="20"/>
          <w:lang w:val="pt-BR"/>
        </w:rPr>
        <w:t xml:space="preserve"> </w:t>
      </w:r>
      <w:r w:rsidR="00AB454A" w:rsidRPr="002F50BD">
        <w:rPr>
          <w:rFonts w:ascii="Verdana" w:hAnsi="Verdana"/>
          <w:sz w:val="20"/>
          <w:lang w:val="pt-BR"/>
        </w:rPr>
        <w:t xml:space="preserve">desde o </w:t>
      </w:r>
      <w:r w:rsidR="0089298C" w:rsidRPr="002F50BD">
        <w:rPr>
          <w:rFonts w:ascii="Verdana" w:hAnsi="Verdana"/>
          <w:sz w:val="20"/>
          <w:lang w:val="pt-BR"/>
        </w:rPr>
        <w:t xml:space="preserve">primeiro </w:t>
      </w:r>
      <w:r w:rsidRPr="002F50BD">
        <w:rPr>
          <w:rFonts w:ascii="Verdana" w:hAnsi="Verdana"/>
          <w:sz w:val="20"/>
          <w:lang w:val="pt-BR"/>
        </w:rPr>
        <w:t>momento</w:t>
      </w:r>
      <w:r w:rsidR="0089298C" w:rsidRPr="002F50BD">
        <w:rPr>
          <w:rFonts w:ascii="Verdana" w:hAnsi="Verdana"/>
          <w:sz w:val="20"/>
          <w:lang w:val="pt-BR"/>
        </w:rPr>
        <w:t xml:space="preserve"> da </w:t>
      </w:r>
      <w:r w:rsidRPr="002F50BD">
        <w:rPr>
          <w:rFonts w:ascii="Verdana" w:hAnsi="Verdana"/>
          <w:sz w:val="20"/>
          <w:lang w:val="pt-BR"/>
        </w:rPr>
        <w:t>conquista.</w:t>
      </w:r>
      <w:r w:rsidR="00FE08B7">
        <w:rPr>
          <w:rFonts w:ascii="Verdana" w:hAnsi="Verdana"/>
          <w:sz w:val="20"/>
          <w:lang w:val="pt-BR"/>
        </w:rPr>
        <w:t xml:space="preserve"> </w:t>
      </w:r>
      <w:r w:rsidRPr="002F50BD">
        <w:rPr>
          <w:rFonts w:ascii="Verdana" w:hAnsi="Verdana"/>
          <w:sz w:val="20"/>
          <w:lang w:val="pt-BR"/>
        </w:rPr>
        <w:t>A partir</w:t>
      </w:r>
      <w:r w:rsidR="00060B3A" w:rsidRPr="002F50BD">
        <w:rPr>
          <w:rFonts w:ascii="Verdana" w:hAnsi="Verdana"/>
          <w:sz w:val="20"/>
          <w:lang w:val="pt-BR"/>
        </w:rPr>
        <w:t xml:space="preserve"> do</w:t>
      </w:r>
      <w:r w:rsidR="0089298C" w:rsidRPr="002F50BD">
        <w:rPr>
          <w:rFonts w:ascii="Verdana" w:hAnsi="Verdana"/>
          <w:sz w:val="20"/>
          <w:lang w:val="pt-BR"/>
        </w:rPr>
        <w:t xml:space="preserve"> fi</w:t>
      </w:r>
      <w:r w:rsidR="00060B3A" w:rsidRPr="002F50BD">
        <w:rPr>
          <w:rFonts w:ascii="Verdana" w:hAnsi="Verdana"/>
          <w:sz w:val="20"/>
          <w:lang w:val="pt-BR"/>
        </w:rPr>
        <w:t>m</w:t>
      </w:r>
      <w:r w:rsidR="0089298C" w:rsidRPr="002F50BD">
        <w:rPr>
          <w:rFonts w:ascii="Verdana" w:hAnsi="Verdana"/>
          <w:sz w:val="20"/>
          <w:lang w:val="pt-BR"/>
        </w:rPr>
        <w:t xml:space="preserve"> do século </w:t>
      </w:r>
      <w:r w:rsidRPr="002F50BD">
        <w:rPr>
          <w:rFonts w:ascii="Verdana" w:hAnsi="Verdana"/>
          <w:sz w:val="20"/>
          <w:lang w:val="pt-BR"/>
        </w:rPr>
        <w:t>XIX</w:t>
      </w:r>
      <w:r w:rsidR="007D266B" w:rsidRPr="002F50BD">
        <w:rPr>
          <w:rFonts w:ascii="Verdana" w:hAnsi="Verdana"/>
          <w:sz w:val="20"/>
          <w:lang w:val="pt-BR"/>
        </w:rPr>
        <w:t>,</w:t>
      </w:r>
      <w:r w:rsidR="0089298C" w:rsidRPr="002F50BD">
        <w:rPr>
          <w:rFonts w:ascii="Verdana" w:hAnsi="Verdana"/>
          <w:sz w:val="20"/>
          <w:lang w:val="pt-BR"/>
        </w:rPr>
        <w:t xml:space="preserve"> os </w:t>
      </w:r>
      <w:r w:rsidRPr="002F50BD">
        <w:rPr>
          <w:rFonts w:ascii="Verdana" w:hAnsi="Verdana"/>
          <w:sz w:val="20"/>
          <w:lang w:val="pt-BR"/>
        </w:rPr>
        <w:t xml:space="preserve">anglicanos </w:t>
      </w:r>
      <w:r w:rsidR="0089298C" w:rsidRPr="002F50BD">
        <w:rPr>
          <w:rFonts w:ascii="Verdana" w:hAnsi="Verdana"/>
          <w:sz w:val="20"/>
          <w:lang w:val="pt-BR"/>
        </w:rPr>
        <w:t>começaram</w:t>
      </w:r>
      <w:r w:rsidRPr="002F50BD">
        <w:rPr>
          <w:rFonts w:ascii="Verdana" w:hAnsi="Verdana"/>
          <w:sz w:val="20"/>
          <w:lang w:val="pt-BR"/>
        </w:rPr>
        <w:t xml:space="preserve"> a instalar </w:t>
      </w:r>
      <w:r w:rsidR="0089298C" w:rsidRPr="002F50BD">
        <w:rPr>
          <w:rFonts w:ascii="Verdana" w:hAnsi="Verdana"/>
          <w:sz w:val="20"/>
          <w:lang w:val="pt-BR"/>
        </w:rPr>
        <w:t>várias</w:t>
      </w:r>
      <w:r w:rsidRPr="002F50BD">
        <w:rPr>
          <w:rFonts w:ascii="Verdana" w:hAnsi="Verdana"/>
          <w:sz w:val="20"/>
          <w:lang w:val="pt-BR"/>
        </w:rPr>
        <w:t xml:space="preserve"> </w:t>
      </w:r>
      <w:r w:rsidR="0089298C" w:rsidRPr="002F50BD">
        <w:rPr>
          <w:rFonts w:ascii="Verdana" w:hAnsi="Verdana"/>
          <w:sz w:val="20"/>
          <w:lang w:val="pt-BR"/>
        </w:rPr>
        <w:t>missões</w:t>
      </w:r>
      <w:r w:rsidRPr="002F50BD">
        <w:rPr>
          <w:rFonts w:ascii="Verdana" w:hAnsi="Verdana"/>
          <w:sz w:val="20"/>
          <w:lang w:val="pt-BR"/>
        </w:rPr>
        <w:t>. W.B. Grubb fund</w:t>
      </w:r>
      <w:r w:rsidR="00E10DBB" w:rsidRPr="002F50BD">
        <w:rPr>
          <w:rFonts w:ascii="Verdana" w:hAnsi="Verdana"/>
          <w:sz w:val="20"/>
          <w:lang w:val="pt-BR"/>
        </w:rPr>
        <w:t>ou</w:t>
      </w:r>
      <w:r w:rsidRPr="002F50BD">
        <w:rPr>
          <w:rFonts w:ascii="Verdana" w:hAnsi="Verdana"/>
          <w:sz w:val="20"/>
          <w:lang w:val="pt-BR"/>
        </w:rPr>
        <w:t xml:space="preserve"> entre</w:t>
      </w:r>
      <w:r w:rsidR="0089298C" w:rsidRPr="002F50BD">
        <w:rPr>
          <w:rFonts w:ascii="Verdana" w:hAnsi="Verdana"/>
          <w:sz w:val="20"/>
          <w:lang w:val="pt-BR"/>
        </w:rPr>
        <w:t xml:space="preserve"> os </w:t>
      </w:r>
      <w:r w:rsidR="00E10DBB" w:rsidRPr="002F50BD">
        <w:rPr>
          <w:rFonts w:ascii="Verdana" w:hAnsi="Verdana"/>
          <w:sz w:val="20"/>
          <w:lang w:val="pt-BR"/>
        </w:rPr>
        <w:t>indígenas Lengua</w:t>
      </w:r>
      <w:r w:rsidR="0089298C" w:rsidRPr="002F50BD">
        <w:rPr>
          <w:rFonts w:ascii="Verdana" w:hAnsi="Verdana"/>
          <w:sz w:val="20"/>
          <w:lang w:val="pt-BR"/>
        </w:rPr>
        <w:t xml:space="preserve"> a missão</w:t>
      </w:r>
      <w:r w:rsidRPr="002F50BD">
        <w:rPr>
          <w:rFonts w:ascii="Verdana" w:hAnsi="Verdana"/>
          <w:sz w:val="20"/>
          <w:lang w:val="pt-BR"/>
        </w:rPr>
        <w:t xml:space="preserve"> de Makxlawaya</w:t>
      </w:r>
      <w:r w:rsidR="0089298C" w:rsidRPr="002F50BD">
        <w:rPr>
          <w:rFonts w:ascii="Verdana" w:hAnsi="Verdana"/>
          <w:sz w:val="20"/>
          <w:lang w:val="pt-BR"/>
        </w:rPr>
        <w:t xml:space="preserve"> no </w:t>
      </w:r>
      <w:r w:rsidRPr="002F50BD">
        <w:rPr>
          <w:rFonts w:ascii="Verdana" w:hAnsi="Verdana"/>
          <w:sz w:val="20"/>
          <w:lang w:val="pt-BR"/>
        </w:rPr>
        <w:t xml:space="preserve">Chaco </w:t>
      </w:r>
      <w:r w:rsidR="0089298C" w:rsidRPr="002F50BD">
        <w:rPr>
          <w:rFonts w:ascii="Verdana" w:hAnsi="Verdana"/>
          <w:sz w:val="20"/>
          <w:lang w:val="pt-BR"/>
        </w:rPr>
        <w:t>Paraguai</w:t>
      </w:r>
      <w:r w:rsidRPr="002F50BD">
        <w:rPr>
          <w:rFonts w:ascii="Verdana" w:hAnsi="Verdana"/>
          <w:sz w:val="20"/>
          <w:lang w:val="pt-BR"/>
        </w:rPr>
        <w:t xml:space="preserve">o. </w:t>
      </w:r>
    </w:p>
    <w:p w:rsidR="004756C1" w:rsidRPr="002F50BD" w:rsidRDefault="004756C1">
      <w:pPr>
        <w:jc w:val="both"/>
        <w:rPr>
          <w:rFonts w:ascii="Verdana" w:hAnsi="Verdana"/>
          <w:sz w:val="20"/>
          <w:lang w:val="pt-BR"/>
        </w:rPr>
      </w:pPr>
    </w:p>
    <w:p w:rsidR="004756C1" w:rsidRPr="002F50BD" w:rsidRDefault="00E10DBB">
      <w:pPr>
        <w:jc w:val="both"/>
        <w:rPr>
          <w:rFonts w:ascii="Verdana" w:hAnsi="Verdana"/>
          <w:sz w:val="20"/>
          <w:lang w:val="pt-BR"/>
        </w:rPr>
      </w:pPr>
      <w:r w:rsidRPr="002F50BD">
        <w:rPr>
          <w:rFonts w:ascii="Verdana" w:hAnsi="Verdana"/>
          <w:sz w:val="20"/>
          <w:lang w:val="pt-BR"/>
        </w:rPr>
        <w:t>Entretanto</w:t>
      </w:r>
      <w:r w:rsidR="004756C1" w:rsidRPr="002F50BD">
        <w:rPr>
          <w:rFonts w:ascii="Verdana" w:hAnsi="Verdana"/>
          <w:sz w:val="20"/>
          <w:lang w:val="pt-BR"/>
        </w:rPr>
        <w:t>,</w:t>
      </w:r>
      <w:r w:rsidR="0089298C" w:rsidRPr="002F50BD">
        <w:rPr>
          <w:rFonts w:ascii="Verdana" w:hAnsi="Verdana"/>
          <w:sz w:val="20"/>
          <w:lang w:val="pt-BR"/>
        </w:rPr>
        <w:t xml:space="preserve"> os processo</w:t>
      </w:r>
      <w:r w:rsidR="004756C1" w:rsidRPr="002F50BD">
        <w:rPr>
          <w:rFonts w:ascii="Verdana" w:hAnsi="Verdana"/>
          <w:sz w:val="20"/>
          <w:lang w:val="pt-BR"/>
        </w:rPr>
        <w:t xml:space="preserve">s que </w:t>
      </w:r>
      <w:r w:rsidR="0089298C" w:rsidRPr="002F50BD">
        <w:rPr>
          <w:rFonts w:ascii="Verdana" w:hAnsi="Verdana"/>
          <w:sz w:val="20"/>
          <w:lang w:val="pt-BR"/>
        </w:rPr>
        <w:t>afetaram</w:t>
      </w:r>
      <w:r w:rsidR="004756C1" w:rsidRPr="002F50BD">
        <w:rPr>
          <w:rFonts w:ascii="Verdana" w:hAnsi="Verdana"/>
          <w:sz w:val="20"/>
          <w:lang w:val="pt-BR"/>
        </w:rPr>
        <w:t xml:space="preserve"> </w:t>
      </w:r>
      <w:r w:rsidR="0089298C" w:rsidRPr="002F50BD">
        <w:rPr>
          <w:rFonts w:ascii="Verdana" w:hAnsi="Verdana"/>
          <w:sz w:val="20"/>
          <w:lang w:val="pt-BR"/>
        </w:rPr>
        <w:t xml:space="preserve">mais </w:t>
      </w:r>
      <w:r w:rsidR="004756C1" w:rsidRPr="002F50BD">
        <w:rPr>
          <w:rFonts w:ascii="Verdana" w:hAnsi="Verdana"/>
          <w:sz w:val="20"/>
          <w:lang w:val="pt-BR"/>
        </w:rPr>
        <w:t>profundamente</w:t>
      </w:r>
      <w:r w:rsidR="0089298C" w:rsidRPr="002F50BD">
        <w:rPr>
          <w:rFonts w:ascii="Verdana" w:hAnsi="Verdana"/>
          <w:sz w:val="20"/>
          <w:lang w:val="pt-BR"/>
        </w:rPr>
        <w:t xml:space="preserve"> </w:t>
      </w:r>
      <w:r w:rsidR="007D266B"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 xml:space="preserve">culturas </w:t>
      </w:r>
      <w:r w:rsidR="0089298C" w:rsidRPr="002F50BD">
        <w:rPr>
          <w:rFonts w:ascii="Verdana" w:hAnsi="Verdana"/>
          <w:sz w:val="20"/>
          <w:lang w:val="pt-BR"/>
        </w:rPr>
        <w:t xml:space="preserve">do Grande </w:t>
      </w:r>
      <w:r w:rsidR="004756C1" w:rsidRPr="002F50BD">
        <w:rPr>
          <w:rFonts w:ascii="Verdana" w:hAnsi="Verdana"/>
          <w:sz w:val="20"/>
          <w:lang w:val="pt-BR"/>
        </w:rPr>
        <w:t>Chaco es</w:t>
      </w:r>
      <w:r w:rsidR="0089298C" w:rsidRPr="002F50BD">
        <w:rPr>
          <w:rFonts w:ascii="Verdana" w:hAnsi="Verdana"/>
          <w:sz w:val="20"/>
          <w:lang w:val="pt-BR"/>
        </w:rPr>
        <w:t>tiveram</w:t>
      </w:r>
      <w:r w:rsidR="004756C1" w:rsidRPr="002F50BD">
        <w:rPr>
          <w:rFonts w:ascii="Verdana" w:hAnsi="Verdana"/>
          <w:sz w:val="20"/>
          <w:lang w:val="pt-BR"/>
        </w:rPr>
        <w:t xml:space="preserve"> relacionados</w:t>
      </w:r>
      <w:r w:rsidR="0089298C" w:rsidRPr="002F50BD">
        <w:rPr>
          <w:rFonts w:ascii="Verdana" w:hAnsi="Verdana"/>
          <w:sz w:val="20"/>
          <w:lang w:val="pt-BR"/>
        </w:rPr>
        <w:t xml:space="preserve"> com a </w:t>
      </w:r>
      <w:r w:rsidR="004756C1" w:rsidRPr="002F50BD">
        <w:rPr>
          <w:rFonts w:ascii="Verdana" w:hAnsi="Verdana"/>
          <w:sz w:val="20"/>
          <w:lang w:val="pt-BR"/>
        </w:rPr>
        <w:t>incorpora</w:t>
      </w:r>
      <w:r w:rsidR="0089298C" w:rsidRPr="002F50BD">
        <w:rPr>
          <w:rFonts w:ascii="Verdana" w:hAnsi="Verdana"/>
          <w:sz w:val="20"/>
          <w:lang w:val="pt-BR"/>
        </w:rPr>
        <w:t xml:space="preserve">ção </w:t>
      </w:r>
      <w:r w:rsidRPr="002F50BD">
        <w:rPr>
          <w:rFonts w:ascii="Verdana" w:hAnsi="Verdana"/>
          <w:sz w:val="20"/>
          <w:lang w:val="pt-BR"/>
        </w:rPr>
        <w:t xml:space="preserve">dos povos indígenas </w:t>
      </w:r>
      <w:r w:rsidR="0089298C" w:rsidRPr="002F50BD">
        <w:rPr>
          <w:rFonts w:ascii="Verdana" w:hAnsi="Verdana"/>
          <w:sz w:val="20"/>
          <w:lang w:val="pt-BR"/>
        </w:rPr>
        <w:t xml:space="preserve">ao </w:t>
      </w:r>
      <w:r w:rsidR="004756C1" w:rsidRPr="002F50BD">
        <w:rPr>
          <w:rFonts w:ascii="Verdana" w:hAnsi="Verdana"/>
          <w:sz w:val="20"/>
          <w:lang w:val="pt-BR"/>
        </w:rPr>
        <w:t>mercado</w:t>
      </w:r>
      <w:r w:rsidR="001A0CDE" w:rsidRPr="002F50BD">
        <w:rPr>
          <w:rFonts w:ascii="Verdana" w:hAnsi="Verdana"/>
          <w:sz w:val="20"/>
          <w:lang w:val="pt-BR"/>
        </w:rPr>
        <w:t>. Est</w:t>
      </w:r>
      <w:r w:rsidR="0089298C" w:rsidRPr="002F50BD">
        <w:rPr>
          <w:rFonts w:ascii="Verdana" w:hAnsi="Verdana"/>
          <w:sz w:val="20"/>
          <w:lang w:val="pt-BR"/>
        </w:rPr>
        <w:t>e</w:t>
      </w:r>
      <w:r w:rsidR="004756C1" w:rsidRPr="002F50BD">
        <w:rPr>
          <w:rFonts w:ascii="Verdana" w:hAnsi="Verdana"/>
          <w:sz w:val="20"/>
          <w:lang w:val="pt-BR"/>
        </w:rPr>
        <w:t xml:space="preserve">s </w:t>
      </w:r>
      <w:r w:rsidR="0089298C" w:rsidRPr="002F50BD">
        <w:rPr>
          <w:rFonts w:ascii="Verdana" w:hAnsi="Verdana"/>
          <w:sz w:val="20"/>
          <w:lang w:val="pt-BR"/>
        </w:rPr>
        <w:t>processo</w:t>
      </w:r>
      <w:r w:rsidR="004756C1" w:rsidRPr="002F50BD">
        <w:rPr>
          <w:rFonts w:ascii="Verdana" w:hAnsi="Verdana"/>
          <w:sz w:val="20"/>
          <w:lang w:val="pt-BR"/>
        </w:rPr>
        <w:t xml:space="preserve">s </w:t>
      </w:r>
      <w:r w:rsidR="0089298C" w:rsidRPr="002F50BD">
        <w:rPr>
          <w:rFonts w:ascii="Verdana" w:hAnsi="Verdana"/>
          <w:sz w:val="20"/>
          <w:lang w:val="pt-BR"/>
        </w:rPr>
        <w:t>pode</w:t>
      </w:r>
      <w:r w:rsidRPr="002F50BD">
        <w:rPr>
          <w:rFonts w:ascii="Verdana" w:hAnsi="Verdana"/>
          <w:sz w:val="20"/>
          <w:lang w:val="pt-BR"/>
        </w:rPr>
        <w:t xml:space="preserve">m ser caracterizados </w:t>
      </w:r>
      <w:r w:rsidR="0089298C" w:rsidRPr="002F50BD">
        <w:rPr>
          <w:rFonts w:ascii="Verdana" w:hAnsi="Verdana"/>
          <w:sz w:val="20"/>
          <w:lang w:val="pt-BR"/>
        </w:rPr>
        <w:t xml:space="preserve">pelas </w:t>
      </w:r>
      <w:r w:rsidR="004756C1" w:rsidRPr="002F50BD">
        <w:rPr>
          <w:rFonts w:ascii="Verdana" w:hAnsi="Verdana"/>
          <w:sz w:val="20"/>
          <w:lang w:val="pt-BR"/>
        </w:rPr>
        <w:t>migra</w:t>
      </w:r>
      <w:r w:rsidR="0089298C"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 xml:space="preserve">sazonais ou </w:t>
      </w:r>
      <w:r w:rsidR="004756C1" w:rsidRPr="002F50BD">
        <w:rPr>
          <w:rFonts w:ascii="Verdana" w:hAnsi="Verdana"/>
          <w:sz w:val="20"/>
          <w:lang w:val="pt-BR"/>
        </w:rPr>
        <w:t xml:space="preserve">definitivas que </w:t>
      </w:r>
      <w:r w:rsidR="004076AD" w:rsidRPr="002F50BD">
        <w:rPr>
          <w:rFonts w:ascii="Verdana" w:hAnsi="Verdana"/>
          <w:sz w:val="20"/>
          <w:lang w:val="pt-BR"/>
        </w:rPr>
        <w:t>originaram</w:t>
      </w:r>
      <w:r w:rsidR="0089298C" w:rsidRPr="002F50BD">
        <w:rPr>
          <w:rFonts w:ascii="Verdana" w:hAnsi="Verdana"/>
          <w:sz w:val="20"/>
          <w:lang w:val="pt-BR"/>
        </w:rPr>
        <w:t xml:space="preserve"> e pela </w:t>
      </w:r>
      <w:r w:rsidR="004756C1" w:rsidRPr="002F50BD">
        <w:rPr>
          <w:rFonts w:ascii="Verdana" w:hAnsi="Verdana"/>
          <w:sz w:val="20"/>
          <w:lang w:val="pt-BR"/>
        </w:rPr>
        <w:t>sedentariza</w:t>
      </w:r>
      <w:r w:rsidR="0089298C" w:rsidRPr="002F50BD">
        <w:rPr>
          <w:rFonts w:ascii="Verdana" w:hAnsi="Verdana"/>
          <w:sz w:val="20"/>
          <w:lang w:val="pt-BR"/>
        </w:rPr>
        <w:t>ção</w:t>
      </w:r>
      <w:r w:rsidR="004756C1" w:rsidRPr="002F50BD">
        <w:rPr>
          <w:rFonts w:ascii="Verdana" w:hAnsi="Verdana"/>
          <w:sz w:val="20"/>
          <w:lang w:val="pt-BR"/>
        </w:rPr>
        <w:t>, que</w:t>
      </w:r>
      <w:r w:rsidR="0089298C" w:rsidRPr="002F50BD">
        <w:rPr>
          <w:rFonts w:ascii="Verdana" w:hAnsi="Verdana"/>
          <w:sz w:val="20"/>
          <w:lang w:val="pt-BR"/>
        </w:rPr>
        <w:t xml:space="preserve"> foi </w:t>
      </w:r>
      <w:r w:rsidR="004076AD" w:rsidRPr="002F50BD">
        <w:rPr>
          <w:rFonts w:ascii="Verdana" w:hAnsi="Verdana"/>
          <w:sz w:val="20"/>
          <w:lang w:val="pt-BR"/>
        </w:rPr>
        <w:t>sua conclusão</w:t>
      </w:r>
      <w:r w:rsidR="004756C1" w:rsidRPr="002F50BD">
        <w:rPr>
          <w:rFonts w:ascii="Verdana" w:hAnsi="Verdana"/>
          <w:sz w:val="20"/>
          <w:lang w:val="pt-BR"/>
        </w:rPr>
        <w:t xml:space="preserve"> natural. </w:t>
      </w:r>
    </w:p>
    <w:p w:rsidR="004756C1" w:rsidRPr="002F50BD" w:rsidRDefault="0089298C">
      <w:pPr>
        <w:jc w:val="both"/>
        <w:rPr>
          <w:rFonts w:ascii="Verdana" w:hAnsi="Verdana"/>
          <w:sz w:val="20"/>
          <w:lang w:val="pt-BR"/>
        </w:rPr>
      </w:pPr>
      <w:r w:rsidRPr="002F50BD">
        <w:rPr>
          <w:rFonts w:ascii="Verdana" w:hAnsi="Verdana"/>
          <w:sz w:val="20"/>
          <w:lang w:val="pt-BR"/>
        </w:rPr>
        <w:cr/>
        <w:t>A efetiv</w:t>
      </w:r>
      <w:r w:rsidR="004756C1" w:rsidRPr="002F50BD">
        <w:rPr>
          <w:rFonts w:ascii="Verdana" w:hAnsi="Verdana"/>
          <w:sz w:val="20"/>
          <w:lang w:val="pt-BR"/>
        </w:rPr>
        <w:t xml:space="preserve">a </w:t>
      </w:r>
      <w:r w:rsidR="00E10DBB" w:rsidRPr="002F50BD">
        <w:rPr>
          <w:rFonts w:ascii="Verdana" w:hAnsi="Verdana"/>
          <w:sz w:val="20"/>
          <w:lang w:val="pt-BR"/>
        </w:rPr>
        <w:t xml:space="preserve">expropriação </w:t>
      </w:r>
      <w:r w:rsidR="004756C1" w:rsidRPr="002F50BD">
        <w:rPr>
          <w:rFonts w:ascii="Verdana" w:hAnsi="Verdana"/>
          <w:sz w:val="20"/>
          <w:lang w:val="pt-BR"/>
        </w:rPr>
        <w:t xml:space="preserve">original </w:t>
      </w:r>
      <w:r w:rsidRPr="002F50BD">
        <w:rPr>
          <w:rFonts w:ascii="Verdana" w:hAnsi="Verdana"/>
          <w:sz w:val="20"/>
          <w:lang w:val="pt-BR"/>
        </w:rPr>
        <w:t>produzid</w:t>
      </w:r>
      <w:r w:rsidR="004756C1" w:rsidRPr="002F50BD">
        <w:rPr>
          <w:rFonts w:ascii="Verdana" w:hAnsi="Verdana"/>
          <w:sz w:val="20"/>
          <w:lang w:val="pt-BR"/>
        </w:rPr>
        <w:t>a</w:t>
      </w:r>
      <w:r w:rsidRPr="002F50BD">
        <w:rPr>
          <w:rFonts w:ascii="Verdana" w:hAnsi="Verdana"/>
          <w:sz w:val="20"/>
          <w:lang w:val="pt-BR"/>
        </w:rPr>
        <w:t xml:space="preserve"> no fato </w:t>
      </w:r>
      <w:r w:rsidR="004756C1" w:rsidRPr="002F50BD">
        <w:rPr>
          <w:rFonts w:ascii="Verdana" w:hAnsi="Verdana"/>
          <w:sz w:val="20"/>
          <w:lang w:val="pt-BR"/>
        </w:rPr>
        <w:t>histórico institucional</w:t>
      </w:r>
      <w:r w:rsidRPr="002F50BD">
        <w:rPr>
          <w:rFonts w:ascii="Verdana" w:hAnsi="Verdana"/>
          <w:sz w:val="20"/>
          <w:lang w:val="pt-BR"/>
        </w:rPr>
        <w:t xml:space="preserve"> da </w:t>
      </w:r>
      <w:r w:rsidR="004756C1" w:rsidRPr="002F50BD">
        <w:rPr>
          <w:rFonts w:ascii="Verdana" w:hAnsi="Verdana"/>
          <w:sz w:val="20"/>
          <w:lang w:val="pt-BR"/>
        </w:rPr>
        <w:t>ocupa</w:t>
      </w:r>
      <w:r w:rsidRPr="002F50BD">
        <w:rPr>
          <w:rFonts w:ascii="Verdana" w:hAnsi="Verdana"/>
          <w:sz w:val="20"/>
          <w:lang w:val="pt-BR"/>
        </w:rPr>
        <w:t>ção</w:t>
      </w:r>
      <w:r w:rsidR="004756C1" w:rsidRPr="002F50BD">
        <w:rPr>
          <w:rFonts w:ascii="Verdana" w:hAnsi="Verdana"/>
          <w:sz w:val="20"/>
          <w:lang w:val="pt-BR"/>
        </w:rPr>
        <w:t xml:space="preserve"> física </w:t>
      </w:r>
      <w:r w:rsidRPr="002F50BD">
        <w:rPr>
          <w:rFonts w:ascii="Verdana" w:hAnsi="Verdana"/>
          <w:sz w:val="20"/>
          <w:lang w:val="pt-BR"/>
        </w:rPr>
        <w:t>do território</w:t>
      </w:r>
      <w:r w:rsidR="004756C1" w:rsidRPr="002F50BD">
        <w:rPr>
          <w:rFonts w:ascii="Verdana" w:hAnsi="Verdana"/>
          <w:sz w:val="20"/>
          <w:lang w:val="pt-BR"/>
        </w:rPr>
        <w:t xml:space="preserve"> ocult</w:t>
      </w:r>
      <w:r w:rsidR="00E10DBB" w:rsidRPr="002F50BD">
        <w:rPr>
          <w:rFonts w:ascii="Verdana" w:hAnsi="Verdana"/>
          <w:sz w:val="20"/>
          <w:lang w:val="pt-BR"/>
        </w:rPr>
        <w:t>ou</w:t>
      </w:r>
      <w:r w:rsidRPr="002F50BD">
        <w:rPr>
          <w:rFonts w:ascii="Verdana" w:hAnsi="Verdana"/>
          <w:sz w:val="20"/>
          <w:lang w:val="pt-BR"/>
        </w:rPr>
        <w:t xml:space="preserve"> a existência das pessoa</w:t>
      </w:r>
      <w:r w:rsidR="004756C1" w:rsidRPr="002F50BD">
        <w:rPr>
          <w:rFonts w:ascii="Verdana" w:hAnsi="Verdana"/>
          <w:sz w:val="20"/>
          <w:lang w:val="pt-BR"/>
        </w:rPr>
        <w:t xml:space="preserve">s jurídicas </w:t>
      </w:r>
      <w:r w:rsidR="00E10DBB" w:rsidRPr="002F50BD">
        <w:rPr>
          <w:rFonts w:ascii="Verdana" w:hAnsi="Verdana"/>
          <w:sz w:val="20"/>
          <w:lang w:val="pt-BR"/>
        </w:rPr>
        <w:t>desapropriadas</w:t>
      </w:r>
      <w:r w:rsidRPr="002F50BD">
        <w:rPr>
          <w:rFonts w:ascii="Verdana" w:hAnsi="Verdana"/>
          <w:sz w:val="20"/>
          <w:lang w:val="pt-BR"/>
        </w:rPr>
        <w:t xml:space="preserve"> e a consciência da extensão e </w:t>
      </w:r>
      <w:r w:rsidR="00E10DBB" w:rsidRPr="002F50BD">
        <w:rPr>
          <w:rFonts w:ascii="Verdana" w:hAnsi="Verdana"/>
          <w:sz w:val="20"/>
          <w:lang w:val="pt-BR"/>
        </w:rPr>
        <w:t xml:space="preserve">dos </w:t>
      </w:r>
      <w:r w:rsidRPr="002F50BD">
        <w:rPr>
          <w:rFonts w:ascii="Verdana" w:hAnsi="Verdana"/>
          <w:sz w:val="20"/>
          <w:lang w:val="pt-BR"/>
        </w:rPr>
        <w:t>limite</w:t>
      </w:r>
      <w:r w:rsidR="004756C1" w:rsidRPr="002F50BD">
        <w:rPr>
          <w:rFonts w:ascii="Verdana" w:hAnsi="Verdana"/>
          <w:sz w:val="20"/>
          <w:lang w:val="pt-BR"/>
        </w:rPr>
        <w:t>s de s</w:t>
      </w:r>
      <w:r w:rsidR="00E10DBB" w:rsidRPr="002F50BD">
        <w:rPr>
          <w:rFonts w:ascii="Verdana" w:hAnsi="Verdana"/>
          <w:sz w:val="20"/>
          <w:lang w:val="pt-BR"/>
        </w:rPr>
        <w:t>e</w:t>
      </w:r>
      <w:r w:rsidR="004756C1" w:rsidRPr="002F50BD">
        <w:rPr>
          <w:rFonts w:ascii="Verdana" w:hAnsi="Verdana"/>
          <w:sz w:val="20"/>
          <w:lang w:val="pt-BR"/>
        </w:rPr>
        <w:t xml:space="preserve">us antigos </w:t>
      </w:r>
      <w:r w:rsidRPr="002F50BD">
        <w:rPr>
          <w:rFonts w:ascii="Verdana" w:hAnsi="Verdana"/>
          <w:sz w:val="20"/>
          <w:lang w:val="pt-BR"/>
        </w:rPr>
        <w:t>território</w:t>
      </w:r>
      <w:r w:rsidR="004756C1" w:rsidRPr="002F50BD">
        <w:rPr>
          <w:rFonts w:ascii="Verdana" w:hAnsi="Verdana"/>
          <w:sz w:val="20"/>
          <w:lang w:val="pt-BR"/>
        </w:rPr>
        <w:t xml:space="preserve">s. </w:t>
      </w:r>
      <w:r w:rsidR="00E10DBB" w:rsidRPr="002F50BD">
        <w:rPr>
          <w:rFonts w:ascii="Verdana" w:hAnsi="Verdana"/>
          <w:sz w:val="20"/>
          <w:lang w:val="pt-BR"/>
        </w:rPr>
        <w:t>É</w:t>
      </w:r>
      <w:r w:rsidRPr="002F50BD">
        <w:rPr>
          <w:rFonts w:ascii="Verdana" w:hAnsi="Verdana"/>
          <w:sz w:val="20"/>
          <w:lang w:val="pt-BR"/>
        </w:rPr>
        <w:t xml:space="preserve"> </w:t>
      </w:r>
      <w:r w:rsidR="004756C1" w:rsidRPr="002F50BD">
        <w:rPr>
          <w:rFonts w:ascii="Verdana" w:hAnsi="Verdana"/>
          <w:sz w:val="20"/>
          <w:lang w:val="pt-BR"/>
        </w:rPr>
        <w:t>claro que</w:t>
      </w:r>
      <w:r w:rsidR="007D266B" w:rsidRPr="002F50BD">
        <w:rPr>
          <w:rFonts w:ascii="Verdana" w:hAnsi="Verdana"/>
          <w:sz w:val="20"/>
          <w:lang w:val="pt-BR"/>
        </w:rPr>
        <w:t>,</w:t>
      </w:r>
      <w:r w:rsidRPr="002F50BD">
        <w:rPr>
          <w:rFonts w:ascii="Verdana" w:hAnsi="Verdana"/>
          <w:sz w:val="20"/>
          <w:lang w:val="pt-BR"/>
        </w:rPr>
        <w:t xml:space="preserve"> pelo caráter da </w:t>
      </w:r>
      <w:r w:rsidR="004756C1" w:rsidRPr="002F50BD">
        <w:rPr>
          <w:rFonts w:ascii="Verdana" w:hAnsi="Verdana"/>
          <w:sz w:val="20"/>
          <w:lang w:val="pt-BR"/>
        </w:rPr>
        <w:t>ocupa</w:t>
      </w:r>
      <w:r w:rsidRPr="002F50BD">
        <w:rPr>
          <w:rFonts w:ascii="Verdana" w:hAnsi="Verdana"/>
          <w:sz w:val="20"/>
          <w:lang w:val="pt-BR"/>
        </w:rPr>
        <w:t xml:space="preserve">ção e </w:t>
      </w:r>
      <w:r w:rsidR="00A50140" w:rsidRPr="002F50BD">
        <w:rPr>
          <w:rFonts w:ascii="Verdana" w:hAnsi="Verdana"/>
          <w:sz w:val="20"/>
          <w:lang w:val="pt-BR"/>
        </w:rPr>
        <w:t>posse</w:t>
      </w:r>
      <w:r w:rsidRPr="002F50BD">
        <w:rPr>
          <w:rFonts w:ascii="Verdana" w:hAnsi="Verdana"/>
          <w:sz w:val="20"/>
          <w:lang w:val="pt-BR"/>
        </w:rPr>
        <w:t xml:space="preserve"> da terra</w:t>
      </w:r>
      <w:r w:rsidR="004756C1" w:rsidRPr="002F50BD">
        <w:rPr>
          <w:rFonts w:ascii="Verdana" w:hAnsi="Verdana"/>
          <w:sz w:val="20"/>
          <w:lang w:val="pt-BR"/>
        </w:rPr>
        <w:t xml:space="preserve"> que caracteriza</w:t>
      </w:r>
      <w:r w:rsidRPr="002F50BD">
        <w:rPr>
          <w:rFonts w:ascii="Verdana" w:hAnsi="Verdana"/>
          <w:sz w:val="20"/>
          <w:lang w:val="pt-BR"/>
        </w:rPr>
        <w:t xml:space="preserve"> os </w:t>
      </w:r>
      <w:r w:rsidR="004756C1" w:rsidRPr="002F50BD">
        <w:rPr>
          <w:rFonts w:ascii="Verdana" w:hAnsi="Verdana"/>
          <w:sz w:val="20"/>
          <w:lang w:val="pt-BR"/>
        </w:rPr>
        <w:t xml:space="preserve">grupos indígenas </w:t>
      </w:r>
      <w:r w:rsidR="004756C1" w:rsidRPr="002F50BD">
        <w:rPr>
          <w:rFonts w:ascii="Verdana" w:hAnsi="Verdana"/>
          <w:i/>
          <w:sz w:val="20"/>
          <w:lang w:val="pt-BR"/>
        </w:rPr>
        <w:t>chaqueños</w:t>
      </w:r>
      <w:r w:rsidR="004756C1" w:rsidRPr="002F50BD">
        <w:rPr>
          <w:rFonts w:ascii="Verdana" w:hAnsi="Verdana"/>
          <w:sz w:val="20"/>
          <w:lang w:val="pt-BR"/>
        </w:rPr>
        <w:t>,</w:t>
      </w:r>
      <w:r w:rsidRPr="002F50BD">
        <w:rPr>
          <w:rFonts w:ascii="Verdana" w:hAnsi="Verdana"/>
          <w:sz w:val="20"/>
          <w:lang w:val="pt-BR"/>
        </w:rPr>
        <w:t xml:space="preserve"> as pessoa</w:t>
      </w:r>
      <w:r w:rsidR="004756C1" w:rsidRPr="002F50BD">
        <w:rPr>
          <w:rFonts w:ascii="Verdana" w:hAnsi="Verdana"/>
          <w:sz w:val="20"/>
          <w:lang w:val="pt-BR"/>
        </w:rPr>
        <w:t xml:space="preserve">s jurídicas a que nos referimos como </w:t>
      </w:r>
      <w:r w:rsidRPr="002F50BD">
        <w:rPr>
          <w:rFonts w:ascii="Verdana" w:hAnsi="Verdana"/>
          <w:sz w:val="20"/>
          <w:lang w:val="pt-BR"/>
        </w:rPr>
        <w:t>sujeito</w:t>
      </w:r>
      <w:r w:rsidR="004756C1" w:rsidRPr="002F50BD">
        <w:rPr>
          <w:rFonts w:ascii="Verdana" w:hAnsi="Verdana"/>
          <w:sz w:val="20"/>
          <w:lang w:val="pt-BR"/>
        </w:rPr>
        <w:t xml:space="preserve">s de </w:t>
      </w:r>
      <w:r w:rsidRPr="002F50BD">
        <w:rPr>
          <w:rFonts w:ascii="Verdana" w:hAnsi="Verdana"/>
          <w:sz w:val="20"/>
          <w:lang w:val="pt-BR"/>
        </w:rPr>
        <w:t xml:space="preserve">direito são </w:t>
      </w:r>
      <w:r w:rsidR="004756C1" w:rsidRPr="002F50BD">
        <w:rPr>
          <w:rFonts w:ascii="Verdana" w:hAnsi="Verdana"/>
          <w:sz w:val="20"/>
          <w:lang w:val="pt-BR"/>
        </w:rPr>
        <w:t xml:space="preserve">grupos </w:t>
      </w:r>
      <w:r w:rsidRPr="002F50BD">
        <w:rPr>
          <w:rFonts w:ascii="Verdana" w:hAnsi="Verdana"/>
          <w:sz w:val="20"/>
          <w:lang w:val="pt-BR"/>
        </w:rPr>
        <w:t>sociais</w:t>
      </w:r>
      <w:r w:rsidR="004756C1" w:rsidRPr="002F50BD">
        <w:rPr>
          <w:rFonts w:ascii="Verdana" w:hAnsi="Verdana"/>
          <w:sz w:val="20"/>
          <w:lang w:val="pt-BR"/>
        </w:rPr>
        <w:t xml:space="preserve"> que </w:t>
      </w:r>
      <w:r w:rsidR="00E10DBB" w:rsidRPr="002F50BD">
        <w:rPr>
          <w:rFonts w:ascii="Verdana" w:hAnsi="Verdana"/>
          <w:sz w:val="20"/>
          <w:lang w:val="pt-BR"/>
        </w:rPr>
        <w:t>ocupavam</w:t>
      </w:r>
      <w:r w:rsidR="004756C1" w:rsidRPr="002F50BD">
        <w:rPr>
          <w:rFonts w:ascii="Verdana" w:hAnsi="Verdana"/>
          <w:sz w:val="20"/>
          <w:lang w:val="pt-BR"/>
        </w:rPr>
        <w:t xml:space="preserve"> determinadas </w:t>
      </w:r>
      <w:r w:rsidR="00E10DBB" w:rsidRPr="002F50BD">
        <w:rPr>
          <w:rFonts w:ascii="Verdana" w:hAnsi="Verdana"/>
          <w:sz w:val="20"/>
          <w:lang w:val="pt-BR"/>
        </w:rPr>
        <w:t>superfície</w:t>
      </w:r>
      <w:r w:rsidR="004756C1" w:rsidRPr="002F50BD">
        <w:rPr>
          <w:rFonts w:ascii="Verdana" w:hAnsi="Verdana"/>
          <w:sz w:val="20"/>
          <w:lang w:val="pt-BR"/>
        </w:rPr>
        <w:t>s geográficas</w:t>
      </w:r>
      <w:r w:rsidR="00E10DBB" w:rsidRPr="002F50BD">
        <w:rPr>
          <w:rFonts w:ascii="Verdana" w:hAnsi="Verdana"/>
          <w:sz w:val="20"/>
          <w:lang w:val="pt-BR"/>
        </w:rPr>
        <w:t xml:space="preserve"> de modo soberano. É </w:t>
      </w:r>
      <w:r w:rsidRPr="002F50BD">
        <w:rPr>
          <w:rFonts w:ascii="Verdana" w:hAnsi="Verdana"/>
          <w:sz w:val="20"/>
          <w:lang w:val="pt-BR"/>
        </w:rPr>
        <w:t xml:space="preserve">o </w:t>
      </w:r>
      <w:r w:rsidR="004756C1" w:rsidRPr="002F50BD">
        <w:rPr>
          <w:rFonts w:ascii="Verdana" w:hAnsi="Verdana"/>
          <w:sz w:val="20"/>
          <w:lang w:val="pt-BR"/>
        </w:rPr>
        <w:t>caso</w:t>
      </w:r>
      <w:r w:rsidRPr="002F50BD">
        <w:rPr>
          <w:rFonts w:ascii="Verdana" w:hAnsi="Verdana"/>
          <w:sz w:val="20"/>
          <w:lang w:val="pt-BR"/>
        </w:rPr>
        <w:t xml:space="preserve"> da atual</w:t>
      </w:r>
      <w:r w:rsidR="004756C1" w:rsidRPr="002F50BD">
        <w:rPr>
          <w:rFonts w:ascii="Verdana" w:hAnsi="Verdana"/>
          <w:sz w:val="20"/>
          <w:lang w:val="pt-BR"/>
        </w:rPr>
        <w:t xml:space="preserve"> </w:t>
      </w:r>
      <w:r w:rsidRPr="002F50BD">
        <w:rPr>
          <w:rFonts w:ascii="Verdana" w:hAnsi="Verdana"/>
          <w:sz w:val="20"/>
          <w:lang w:val="pt-BR"/>
        </w:rPr>
        <w:t xml:space="preserve">Comunidade </w:t>
      </w:r>
      <w:r w:rsidR="004756C1" w:rsidRPr="002F50BD">
        <w:rPr>
          <w:rFonts w:ascii="Verdana" w:hAnsi="Verdana"/>
          <w:sz w:val="20"/>
          <w:lang w:val="pt-BR"/>
        </w:rPr>
        <w:t xml:space="preserve">Yakye Axa, </w:t>
      </w:r>
      <w:r w:rsidRPr="002F50BD">
        <w:rPr>
          <w:rFonts w:ascii="Verdana" w:hAnsi="Verdana"/>
          <w:sz w:val="20"/>
          <w:lang w:val="pt-BR"/>
        </w:rPr>
        <w:t>expressão</w:t>
      </w:r>
      <w:r w:rsidR="004756C1" w:rsidRPr="002F50BD">
        <w:rPr>
          <w:rFonts w:ascii="Verdana" w:hAnsi="Verdana"/>
          <w:sz w:val="20"/>
          <w:lang w:val="pt-BR"/>
        </w:rPr>
        <w:t xml:space="preserve"> sedentarizada de</w:t>
      </w:r>
      <w:r w:rsidR="00E10DBB" w:rsidRPr="002F50BD">
        <w:rPr>
          <w:rFonts w:ascii="Verdana" w:hAnsi="Verdana"/>
          <w:sz w:val="20"/>
          <w:lang w:val="pt-BR"/>
        </w:rPr>
        <w:t xml:space="preserve"> um</w:t>
      </w:r>
      <w:r w:rsidRPr="002F50BD">
        <w:rPr>
          <w:rFonts w:ascii="Verdana" w:hAnsi="Verdana"/>
          <w:sz w:val="20"/>
          <w:lang w:val="pt-BR"/>
        </w:rPr>
        <w:t xml:space="preserve"> d</w:t>
      </w:r>
      <w:r w:rsidR="00E10DBB" w:rsidRPr="002F50BD">
        <w:rPr>
          <w:rFonts w:ascii="Verdana" w:hAnsi="Verdana"/>
          <w:sz w:val="20"/>
          <w:lang w:val="pt-BR"/>
        </w:rPr>
        <w:t xml:space="preserve">os grupos </w:t>
      </w:r>
      <w:r w:rsidRPr="002F50BD">
        <w:rPr>
          <w:rFonts w:ascii="Verdana" w:hAnsi="Verdana"/>
          <w:sz w:val="20"/>
          <w:lang w:val="pt-BR"/>
        </w:rPr>
        <w:t>do povo</w:t>
      </w:r>
      <w:r w:rsidR="004756C1" w:rsidRPr="002F50BD">
        <w:rPr>
          <w:rFonts w:ascii="Verdana" w:hAnsi="Verdana"/>
          <w:sz w:val="20"/>
          <w:lang w:val="pt-BR"/>
        </w:rPr>
        <w:t xml:space="preserve"> Chanawatsan.</w:t>
      </w:r>
    </w:p>
    <w:p w:rsidR="004756C1" w:rsidRPr="002F50BD" w:rsidRDefault="004756C1">
      <w:pPr>
        <w:jc w:val="both"/>
        <w:rPr>
          <w:rFonts w:ascii="Verdana" w:hAnsi="Verdana"/>
          <w:sz w:val="20"/>
          <w:lang w:val="pt-BR"/>
        </w:rPr>
      </w:pPr>
    </w:p>
    <w:p w:rsidR="004756C1" w:rsidRPr="002F50BD" w:rsidRDefault="004756C1">
      <w:pPr>
        <w:tabs>
          <w:tab w:val="left" w:pos="720"/>
        </w:tabs>
        <w:ind w:left="720"/>
        <w:jc w:val="both"/>
        <w:rPr>
          <w:rFonts w:ascii="Verdana" w:hAnsi="Verdana"/>
          <w:b/>
          <w:sz w:val="20"/>
          <w:lang w:val="pt-BR"/>
        </w:rPr>
      </w:pPr>
      <w:r w:rsidRPr="002F50BD">
        <w:rPr>
          <w:rFonts w:ascii="Verdana" w:hAnsi="Verdana"/>
          <w:b/>
          <w:sz w:val="20"/>
          <w:lang w:val="pt-BR"/>
        </w:rPr>
        <w:t>e.</w:t>
      </w:r>
      <w:r w:rsidRPr="002F50BD">
        <w:rPr>
          <w:rFonts w:ascii="Verdana" w:hAnsi="Verdana"/>
          <w:b/>
          <w:sz w:val="20"/>
          <w:lang w:val="pt-BR"/>
        </w:rPr>
        <w:tab/>
        <w:t>Declara</w:t>
      </w:r>
      <w:r w:rsidR="0089298C" w:rsidRPr="002F50BD">
        <w:rPr>
          <w:rFonts w:ascii="Verdana" w:hAnsi="Verdana"/>
          <w:b/>
          <w:sz w:val="20"/>
          <w:lang w:val="pt-BR"/>
        </w:rPr>
        <w:t>ção da senhora</w:t>
      </w:r>
      <w:r w:rsidRPr="002F50BD">
        <w:rPr>
          <w:rFonts w:ascii="Verdana" w:hAnsi="Verdana"/>
          <w:b/>
          <w:sz w:val="20"/>
          <w:lang w:val="pt-BR"/>
        </w:rPr>
        <w:t xml:space="preserve"> Teresa de Jesús Vargas, </w:t>
      </w:r>
      <w:r w:rsidR="0089298C" w:rsidRPr="002F50BD">
        <w:rPr>
          <w:rFonts w:ascii="Verdana" w:hAnsi="Verdana"/>
          <w:b/>
          <w:sz w:val="20"/>
          <w:lang w:val="pt-BR"/>
        </w:rPr>
        <w:t>testemunha</w:t>
      </w:r>
    </w:p>
    <w:p w:rsidR="004756C1" w:rsidRPr="002F50BD" w:rsidRDefault="0089298C">
      <w:pPr>
        <w:jc w:val="both"/>
        <w:rPr>
          <w:rFonts w:ascii="Verdana" w:hAnsi="Verdana"/>
          <w:sz w:val="20"/>
          <w:lang w:val="pt-BR"/>
        </w:rPr>
      </w:pPr>
      <w:r w:rsidRPr="002F50BD">
        <w:rPr>
          <w:rFonts w:ascii="Verdana" w:hAnsi="Verdana"/>
          <w:sz w:val="20"/>
          <w:lang w:val="pt-BR"/>
        </w:rPr>
        <w:cr/>
        <w:t>A testemunha</w:t>
      </w:r>
      <w:r w:rsidR="004756C1" w:rsidRPr="002F50BD">
        <w:rPr>
          <w:rFonts w:ascii="Verdana" w:hAnsi="Verdana"/>
          <w:sz w:val="20"/>
          <w:lang w:val="pt-BR"/>
        </w:rPr>
        <w:t xml:space="preserve"> </w:t>
      </w:r>
      <w:r w:rsidRPr="002F50BD">
        <w:rPr>
          <w:rFonts w:ascii="Verdana" w:hAnsi="Verdana"/>
          <w:sz w:val="20"/>
          <w:lang w:val="pt-BR"/>
        </w:rPr>
        <w:t>conhece o processo</w:t>
      </w:r>
      <w:r w:rsidR="004756C1" w:rsidRPr="002F50BD">
        <w:rPr>
          <w:rFonts w:ascii="Verdana" w:hAnsi="Verdana"/>
          <w:sz w:val="20"/>
          <w:lang w:val="pt-BR"/>
        </w:rPr>
        <w:t xml:space="preserve"> de reivindica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do território</w:t>
      </w:r>
      <w:r w:rsidR="004756C1" w:rsidRPr="002F50BD">
        <w:rPr>
          <w:rFonts w:ascii="Verdana" w:hAnsi="Verdana"/>
          <w:sz w:val="20"/>
          <w:lang w:val="pt-BR"/>
        </w:rPr>
        <w:t xml:space="preserve"> iniciado</w:t>
      </w:r>
      <w:r w:rsidRPr="002F50BD">
        <w:rPr>
          <w:rFonts w:ascii="Verdana" w:hAnsi="Verdana"/>
          <w:sz w:val="20"/>
          <w:lang w:val="pt-BR"/>
        </w:rPr>
        <w:t xml:space="preserve"> pela Comunidade </w:t>
      </w:r>
      <w:r w:rsidR="004756C1" w:rsidRPr="002F50BD">
        <w:rPr>
          <w:rFonts w:ascii="Verdana" w:hAnsi="Verdana"/>
          <w:sz w:val="20"/>
          <w:lang w:val="pt-BR"/>
        </w:rPr>
        <w:t xml:space="preserve">Yakye Axa </w:t>
      </w:r>
      <w:r w:rsidR="00E10DBB"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 xml:space="preserve">Indígena, </w:t>
      </w:r>
      <w:r w:rsidR="00060B3A" w:rsidRPr="002F50BD">
        <w:rPr>
          <w:rFonts w:ascii="Verdana" w:hAnsi="Verdana"/>
          <w:sz w:val="20"/>
          <w:lang w:val="pt-BR"/>
        </w:rPr>
        <w:t>bem</w:t>
      </w:r>
      <w:r w:rsidR="004756C1" w:rsidRPr="002F50BD">
        <w:rPr>
          <w:rFonts w:ascii="Verdana" w:hAnsi="Verdana"/>
          <w:sz w:val="20"/>
          <w:lang w:val="pt-BR"/>
        </w:rPr>
        <w:t xml:space="preserve"> como</w:t>
      </w:r>
      <w:r w:rsidRPr="002F50BD">
        <w:rPr>
          <w:rFonts w:ascii="Verdana" w:hAnsi="Verdana"/>
          <w:sz w:val="20"/>
          <w:lang w:val="pt-BR"/>
        </w:rPr>
        <w:t xml:space="preserve"> as gestões</w:t>
      </w:r>
      <w:r w:rsidR="004756C1" w:rsidRPr="002F50BD">
        <w:rPr>
          <w:rFonts w:ascii="Verdana" w:hAnsi="Verdana"/>
          <w:sz w:val="20"/>
          <w:lang w:val="pt-BR"/>
        </w:rPr>
        <w:t xml:space="preserve"> de </w:t>
      </w:r>
      <w:r w:rsidRPr="002F50BD">
        <w:rPr>
          <w:rFonts w:ascii="Verdana" w:hAnsi="Verdana"/>
          <w:sz w:val="20"/>
          <w:lang w:val="pt-BR"/>
        </w:rPr>
        <w:t>assistência diret</w:t>
      </w:r>
      <w:r w:rsidR="004756C1" w:rsidRPr="002F50BD">
        <w:rPr>
          <w:rFonts w:ascii="Verdana" w:hAnsi="Verdana"/>
          <w:sz w:val="20"/>
          <w:lang w:val="pt-BR"/>
        </w:rPr>
        <w:t>a que, dentro de s</w:t>
      </w:r>
      <w:r w:rsidR="00E10DBB" w:rsidRPr="002F50BD">
        <w:rPr>
          <w:rFonts w:ascii="Verdana" w:hAnsi="Verdana"/>
          <w:sz w:val="20"/>
          <w:lang w:val="pt-BR"/>
        </w:rPr>
        <w:t>e</w:t>
      </w:r>
      <w:r w:rsidR="004756C1" w:rsidRPr="002F50BD">
        <w:rPr>
          <w:rFonts w:ascii="Verdana" w:hAnsi="Verdana"/>
          <w:sz w:val="20"/>
          <w:lang w:val="pt-BR"/>
        </w:rPr>
        <w:t xml:space="preserve">us limitados recursos, </w:t>
      </w:r>
      <w:r w:rsidRPr="002F50BD">
        <w:rPr>
          <w:rFonts w:ascii="Verdana" w:hAnsi="Verdana"/>
          <w:sz w:val="20"/>
          <w:lang w:val="pt-BR"/>
        </w:rPr>
        <w:t>esta</w:t>
      </w:r>
      <w:r w:rsidR="004756C1" w:rsidRPr="002F50BD">
        <w:rPr>
          <w:rFonts w:ascii="Verdana" w:hAnsi="Verdana"/>
          <w:sz w:val="20"/>
          <w:lang w:val="pt-BR"/>
        </w:rPr>
        <w:t xml:space="preserve"> </w:t>
      </w:r>
      <w:r w:rsidRPr="002F50BD">
        <w:rPr>
          <w:rFonts w:ascii="Verdana" w:hAnsi="Verdana"/>
          <w:sz w:val="20"/>
          <w:lang w:val="pt-BR"/>
        </w:rPr>
        <w:t>instituição</w:t>
      </w:r>
      <w:r w:rsidR="004756C1" w:rsidRPr="002F50BD">
        <w:rPr>
          <w:rFonts w:ascii="Verdana" w:hAnsi="Verdana"/>
          <w:sz w:val="20"/>
          <w:lang w:val="pt-BR"/>
        </w:rPr>
        <w:t xml:space="preserve"> </w:t>
      </w:r>
      <w:r w:rsidR="004076AD" w:rsidRPr="002F50BD">
        <w:rPr>
          <w:rFonts w:ascii="Verdana" w:hAnsi="Verdana"/>
          <w:sz w:val="20"/>
          <w:lang w:val="pt-BR"/>
        </w:rPr>
        <w:t>realizou</w:t>
      </w:r>
      <w:r w:rsidR="005B22C9" w:rsidRPr="002F50BD">
        <w:rPr>
          <w:rFonts w:ascii="Verdana" w:hAnsi="Verdana"/>
          <w:sz w:val="20"/>
          <w:lang w:val="pt-BR"/>
        </w:rPr>
        <w:t xml:space="preserve"> em</w:t>
      </w:r>
      <w:r w:rsidR="004756C1" w:rsidRPr="002F50BD">
        <w:rPr>
          <w:rFonts w:ascii="Verdana" w:hAnsi="Verdana"/>
          <w:sz w:val="20"/>
          <w:lang w:val="pt-BR"/>
        </w:rPr>
        <w:t xml:space="preserve"> favor</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076AD" w:rsidRPr="002F50BD">
        <w:rPr>
          <w:rFonts w:ascii="Verdana" w:hAnsi="Verdana"/>
          <w:sz w:val="20"/>
          <w:lang w:val="pt-BR"/>
        </w:rPr>
        <w:t xml:space="preserve">já </w:t>
      </w:r>
      <w:r w:rsidR="004756C1" w:rsidRPr="002F50BD">
        <w:rPr>
          <w:rFonts w:ascii="Verdana" w:hAnsi="Verdana"/>
          <w:sz w:val="20"/>
          <w:lang w:val="pt-BR"/>
        </w:rPr>
        <w:t>que</w:t>
      </w:r>
      <w:r w:rsidRPr="002F50BD">
        <w:rPr>
          <w:rFonts w:ascii="Verdana" w:hAnsi="Verdana"/>
          <w:sz w:val="20"/>
          <w:lang w:val="pt-BR"/>
        </w:rPr>
        <w:t xml:space="preserve"> foi </w:t>
      </w:r>
      <w:r w:rsidR="004756C1" w:rsidRPr="002F50BD">
        <w:rPr>
          <w:rFonts w:ascii="Verdana" w:hAnsi="Verdana"/>
          <w:sz w:val="20"/>
          <w:lang w:val="pt-BR"/>
        </w:rPr>
        <w:t>membr</w:t>
      </w:r>
      <w:r w:rsidR="00E10DBB" w:rsidRPr="002F50BD">
        <w:rPr>
          <w:rFonts w:ascii="Verdana" w:hAnsi="Verdana"/>
          <w:sz w:val="20"/>
          <w:lang w:val="pt-BR"/>
        </w:rPr>
        <w:t>o</w:t>
      </w:r>
      <w:r w:rsidR="004756C1" w:rsidRPr="002F50BD">
        <w:rPr>
          <w:rFonts w:ascii="Verdana" w:hAnsi="Verdana"/>
          <w:sz w:val="20"/>
          <w:lang w:val="pt-BR"/>
        </w:rPr>
        <w:t xml:space="preserve"> </w:t>
      </w:r>
      <w:r w:rsidRPr="002F50BD">
        <w:rPr>
          <w:rFonts w:ascii="Verdana" w:hAnsi="Verdana"/>
          <w:sz w:val="20"/>
          <w:lang w:val="pt-BR"/>
        </w:rPr>
        <w:t>do Conselho</w:t>
      </w:r>
      <w:r w:rsidR="004756C1" w:rsidRPr="002F50BD">
        <w:rPr>
          <w:rFonts w:ascii="Verdana" w:hAnsi="Verdana"/>
          <w:sz w:val="20"/>
          <w:lang w:val="pt-BR"/>
        </w:rPr>
        <w:t xml:space="preserve"> </w:t>
      </w:r>
      <w:r w:rsidRPr="002F50BD">
        <w:rPr>
          <w:rFonts w:ascii="Verdana" w:hAnsi="Verdana"/>
          <w:sz w:val="20"/>
          <w:lang w:val="pt-BR"/>
        </w:rPr>
        <w:t>Diret</w:t>
      </w:r>
      <w:r w:rsidR="004756C1" w:rsidRPr="002F50BD">
        <w:rPr>
          <w:rFonts w:ascii="Verdana" w:hAnsi="Verdana"/>
          <w:sz w:val="20"/>
          <w:lang w:val="pt-BR"/>
        </w:rPr>
        <w:t xml:space="preserve">ivo </w:t>
      </w:r>
      <w:r w:rsidRPr="002F50BD">
        <w:rPr>
          <w:rFonts w:ascii="Verdana" w:hAnsi="Verdana"/>
          <w:sz w:val="20"/>
          <w:lang w:val="pt-BR"/>
        </w:rPr>
        <w:t xml:space="preserve">do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 durante</w:t>
      </w:r>
      <w:r w:rsidRPr="002F50BD">
        <w:rPr>
          <w:rFonts w:ascii="Verdana" w:hAnsi="Verdana"/>
          <w:sz w:val="20"/>
          <w:lang w:val="pt-BR"/>
        </w:rPr>
        <w:t xml:space="preserve"> os anos</w:t>
      </w:r>
      <w:r w:rsidR="004756C1" w:rsidRPr="002F50BD">
        <w:rPr>
          <w:rFonts w:ascii="Verdana" w:hAnsi="Verdana"/>
          <w:sz w:val="20"/>
          <w:lang w:val="pt-BR"/>
        </w:rPr>
        <w:t xml:space="preserve"> </w:t>
      </w:r>
      <w:r w:rsidR="00060B3A" w:rsidRPr="002F50BD">
        <w:rPr>
          <w:rFonts w:ascii="Verdana" w:hAnsi="Verdana"/>
          <w:sz w:val="20"/>
          <w:lang w:val="pt-BR"/>
        </w:rPr>
        <w:t xml:space="preserve">de </w:t>
      </w:r>
      <w:r w:rsidR="00063B47" w:rsidRPr="002F50BD">
        <w:rPr>
          <w:rFonts w:ascii="Verdana" w:hAnsi="Verdana"/>
          <w:sz w:val="20"/>
          <w:lang w:val="pt-BR"/>
        </w:rPr>
        <w:t>1999</w:t>
      </w:r>
      <w:r w:rsidR="004756C1" w:rsidRPr="002F50BD">
        <w:rPr>
          <w:rFonts w:ascii="Verdana" w:hAnsi="Verdana"/>
          <w:sz w:val="20"/>
          <w:lang w:val="pt-BR"/>
        </w:rPr>
        <w:t xml:space="preserve"> a </w:t>
      </w:r>
      <w:r w:rsidR="00063B47" w:rsidRPr="002F50BD">
        <w:rPr>
          <w:rFonts w:ascii="Verdana" w:hAnsi="Verdana"/>
          <w:sz w:val="20"/>
          <w:lang w:val="pt-BR"/>
        </w:rPr>
        <w:t>2003</w:t>
      </w:r>
      <w:r w:rsidR="001A0CDE" w:rsidRPr="002F50BD">
        <w:rPr>
          <w:rFonts w:ascii="Verdana" w:hAnsi="Verdana"/>
          <w:sz w:val="20"/>
          <w:lang w:val="pt-BR"/>
        </w:rPr>
        <w:t>. Est</w:t>
      </w:r>
      <w:r w:rsidRPr="002F50BD">
        <w:rPr>
          <w:rFonts w:ascii="Verdana" w:hAnsi="Verdana"/>
          <w:sz w:val="20"/>
          <w:lang w:val="pt-BR"/>
        </w:rPr>
        <w:t>a</w:t>
      </w:r>
      <w:r w:rsidR="004756C1" w:rsidRPr="002F50BD">
        <w:rPr>
          <w:rFonts w:ascii="Verdana" w:hAnsi="Verdana"/>
          <w:sz w:val="20"/>
          <w:lang w:val="pt-BR"/>
        </w:rPr>
        <w:t xml:space="preserve">s </w:t>
      </w:r>
      <w:r w:rsidRPr="002F50BD">
        <w:rPr>
          <w:rFonts w:ascii="Verdana" w:hAnsi="Verdana"/>
          <w:sz w:val="20"/>
          <w:lang w:val="pt-BR"/>
        </w:rPr>
        <w:t>gestões</w:t>
      </w:r>
      <w:r w:rsidR="004756C1" w:rsidRPr="002F50BD">
        <w:rPr>
          <w:rFonts w:ascii="Verdana" w:hAnsi="Verdana"/>
          <w:sz w:val="20"/>
          <w:lang w:val="pt-BR"/>
        </w:rPr>
        <w:t xml:space="preserve"> n</w:t>
      </w:r>
      <w:r w:rsidR="00E10DBB"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tiveram</w:t>
      </w:r>
      <w:r w:rsidR="004756C1" w:rsidRPr="002F50BD">
        <w:rPr>
          <w:rFonts w:ascii="Verdana" w:hAnsi="Verdana"/>
          <w:sz w:val="20"/>
          <w:lang w:val="pt-BR"/>
        </w:rPr>
        <w:t xml:space="preserve"> </w:t>
      </w:r>
      <w:r w:rsidRPr="002F50BD">
        <w:rPr>
          <w:rFonts w:ascii="Verdana" w:hAnsi="Verdana"/>
          <w:sz w:val="20"/>
          <w:lang w:val="pt-BR"/>
        </w:rPr>
        <w:t>êxito</w:t>
      </w:r>
      <w:r w:rsidR="004756C1" w:rsidRPr="002F50BD">
        <w:rPr>
          <w:rFonts w:ascii="Verdana" w:hAnsi="Verdana"/>
          <w:sz w:val="20"/>
          <w:lang w:val="pt-BR"/>
        </w:rPr>
        <w:t xml:space="preserve">. </w:t>
      </w:r>
      <w:r w:rsidR="00E10DBB" w:rsidRPr="002F50BD">
        <w:rPr>
          <w:rFonts w:ascii="Verdana" w:hAnsi="Verdana"/>
          <w:sz w:val="20"/>
          <w:lang w:val="pt-BR"/>
        </w:rPr>
        <w:t xml:space="preserve">Na época </w:t>
      </w:r>
      <w:r w:rsidRPr="002F50BD">
        <w:rPr>
          <w:rFonts w:ascii="Verdana" w:hAnsi="Verdana"/>
          <w:sz w:val="20"/>
          <w:lang w:val="pt-BR"/>
        </w:rPr>
        <w:t xml:space="preserve">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 xml:space="preserve">Indígena </w:t>
      </w:r>
      <w:r w:rsidRPr="002F50BD">
        <w:rPr>
          <w:rFonts w:ascii="Verdana" w:hAnsi="Verdana"/>
          <w:sz w:val="20"/>
          <w:lang w:val="pt-BR"/>
        </w:rPr>
        <w:t>chegou</w:t>
      </w:r>
      <w:r w:rsidR="004756C1" w:rsidRPr="002F50BD">
        <w:rPr>
          <w:rFonts w:ascii="Verdana" w:hAnsi="Verdana"/>
          <w:sz w:val="20"/>
          <w:lang w:val="pt-BR"/>
        </w:rPr>
        <w:t xml:space="preserve"> a</w:t>
      </w:r>
      <w:r w:rsidRPr="002F50BD">
        <w:rPr>
          <w:rFonts w:ascii="Verdana" w:hAnsi="Verdana"/>
          <w:sz w:val="20"/>
          <w:lang w:val="pt-BR"/>
        </w:rPr>
        <w:t xml:space="preserve"> um acordo com a Comunidade </w:t>
      </w:r>
      <w:r w:rsidR="00E10DBB" w:rsidRPr="002F50BD">
        <w:rPr>
          <w:rFonts w:ascii="Verdana" w:hAnsi="Verdana"/>
          <w:sz w:val="20"/>
          <w:lang w:val="pt-BR"/>
        </w:rPr>
        <w:t>para</w:t>
      </w:r>
      <w:r w:rsidR="004756C1" w:rsidRPr="002F50BD">
        <w:rPr>
          <w:rFonts w:ascii="Verdana" w:hAnsi="Verdana"/>
          <w:sz w:val="20"/>
          <w:lang w:val="pt-BR"/>
        </w:rPr>
        <w:t xml:space="preserve"> iniciar</w:t>
      </w:r>
      <w:r w:rsidRPr="002F50BD">
        <w:rPr>
          <w:rFonts w:ascii="Verdana" w:hAnsi="Verdana"/>
          <w:sz w:val="20"/>
          <w:lang w:val="pt-BR"/>
        </w:rPr>
        <w:t xml:space="preserve"> a restituição</w:t>
      </w:r>
      <w:r w:rsidR="004756C1" w:rsidRPr="002F50BD">
        <w:rPr>
          <w:rFonts w:ascii="Verdana" w:hAnsi="Verdana"/>
          <w:sz w:val="20"/>
          <w:lang w:val="pt-BR"/>
        </w:rPr>
        <w:t xml:space="preserve"> de </w:t>
      </w:r>
      <w:r w:rsidR="00063B47" w:rsidRPr="002F50BD">
        <w:rPr>
          <w:rFonts w:ascii="Verdana" w:hAnsi="Verdana"/>
          <w:sz w:val="20"/>
          <w:lang w:val="pt-BR"/>
        </w:rPr>
        <w:t>7</w:t>
      </w:r>
      <w:r w:rsidR="004756C1" w:rsidRPr="002F50BD">
        <w:rPr>
          <w:rFonts w:ascii="Verdana" w:hAnsi="Verdana"/>
          <w:sz w:val="20"/>
          <w:lang w:val="pt-BR"/>
        </w:rPr>
        <w:t>.</w:t>
      </w:r>
      <w:r w:rsidR="00063B47" w:rsidRPr="002F50BD">
        <w:rPr>
          <w:rFonts w:ascii="Verdana" w:hAnsi="Verdana"/>
          <w:sz w:val="20"/>
          <w:lang w:val="pt-BR"/>
        </w:rPr>
        <w:t>900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w:t>
      </w:r>
      <w:r w:rsidR="00E10DBB" w:rsidRPr="002F50BD">
        <w:rPr>
          <w:rFonts w:ascii="Verdana" w:hAnsi="Verdana"/>
          <w:sz w:val="20"/>
          <w:lang w:val="pt-BR"/>
        </w:rPr>
        <w:t xml:space="preserve"> </w:t>
      </w:r>
      <w:r w:rsidR="00060B3A" w:rsidRPr="002F50BD">
        <w:rPr>
          <w:rFonts w:ascii="Verdana" w:hAnsi="Verdana"/>
          <w:sz w:val="20"/>
          <w:lang w:val="pt-BR"/>
        </w:rPr>
        <w:t>porém</w:t>
      </w:r>
      <w:r w:rsidR="004756C1" w:rsidRPr="002F50BD">
        <w:rPr>
          <w:rFonts w:ascii="Verdana" w:hAnsi="Verdana"/>
          <w:sz w:val="20"/>
          <w:lang w:val="pt-BR"/>
        </w:rPr>
        <w:t>, esta peti</w:t>
      </w:r>
      <w:r w:rsidRPr="002F50BD">
        <w:rPr>
          <w:rFonts w:ascii="Verdana" w:hAnsi="Verdana"/>
          <w:sz w:val="20"/>
          <w:lang w:val="pt-BR"/>
        </w:rPr>
        <w:t xml:space="preserve">ção foi </w:t>
      </w:r>
      <w:r w:rsidR="00E221FD">
        <w:rPr>
          <w:rFonts w:ascii="Verdana" w:hAnsi="Verdana"/>
          <w:sz w:val="20"/>
          <w:lang w:val="pt-BR"/>
        </w:rPr>
        <w:t>rejeitada</w:t>
      </w:r>
      <w:r w:rsidRPr="002F50BD">
        <w:rPr>
          <w:rFonts w:ascii="Verdana" w:hAnsi="Verdana"/>
          <w:sz w:val="20"/>
          <w:lang w:val="pt-BR"/>
        </w:rPr>
        <w:t xml:space="preserve"> pelo </w:t>
      </w:r>
      <w:r w:rsidR="004756C1" w:rsidRPr="002F50BD">
        <w:rPr>
          <w:rFonts w:ascii="Verdana" w:hAnsi="Verdana"/>
          <w:sz w:val="20"/>
          <w:lang w:val="pt-BR"/>
        </w:rPr>
        <w:t xml:space="preserve">Parlamento </w:t>
      </w:r>
      <w:r w:rsidRPr="002F50BD">
        <w:rPr>
          <w:rFonts w:ascii="Verdana" w:hAnsi="Verdana"/>
          <w:sz w:val="20"/>
          <w:lang w:val="pt-BR"/>
        </w:rPr>
        <w:t>do Paraguai</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A testemunha</w:t>
      </w:r>
      <w:r w:rsidR="004756C1" w:rsidRPr="002F50BD">
        <w:rPr>
          <w:rFonts w:ascii="Verdana" w:hAnsi="Verdana"/>
          <w:sz w:val="20"/>
          <w:lang w:val="pt-BR"/>
        </w:rPr>
        <w:t xml:space="preserve"> </w:t>
      </w:r>
      <w:r w:rsidRPr="002F50BD">
        <w:rPr>
          <w:rFonts w:ascii="Verdana" w:hAnsi="Verdana"/>
          <w:sz w:val="20"/>
          <w:lang w:val="pt-BR"/>
        </w:rPr>
        <w:t xml:space="preserve">afirma </w:t>
      </w:r>
      <w:r w:rsidR="004756C1" w:rsidRPr="002F50BD">
        <w:rPr>
          <w:rFonts w:ascii="Verdana" w:hAnsi="Verdana"/>
          <w:sz w:val="20"/>
          <w:lang w:val="pt-BR"/>
        </w:rPr>
        <w:t>que</w:t>
      </w:r>
      <w:r w:rsidRPr="002F50BD">
        <w:rPr>
          <w:rFonts w:ascii="Verdana" w:hAnsi="Verdana"/>
          <w:sz w:val="20"/>
          <w:lang w:val="pt-BR"/>
        </w:rPr>
        <w:t xml:space="preserve"> a Comunidade </w:t>
      </w:r>
      <w:r w:rsidR="004756C1" w:rsidRPr="002F50BD">
        <w:rPr>
          <w:rFonts w:ascii="Verdana" w:hAnsi="Verdana"/>
          <w:sz w:val="20"/>
          <w:lang w:val="pt-BR"/>
        </w:rPr>
        <w:t xml:space="preserve">Yakye Axa </w:t>
      </w:r>
      <w:r w:rsidR="00E10DBB" w:rsidRPr="002F50BD">
        <w:rPr>
          <w:rFonts w:ascii="Verdana" w:hAnsi="Verdana"/>
          <w:sz w:val="20"/>
          <w:lang w:val="pt-BR"/>
        </w:rPr>
        <w:t xml:space="preserve">se origina </w:t>
      </w:r>
      <w:r w:rsidR="004756C1" w:rsidRPr="002F50BD">
        <w:rPr>
          <w:rFonts w:ascii="Verdana" w:hAnsi="Verdana"/>
          <w:sz w:val="20"/>
          <w:lang w:val="pt-BR"/>
        </w:rPr>
        <w:t>ancestralmente</w:t>
      </w:r>
      <w:r w:rsidRPr="002F50BD">
        <w:rPr>
          <w:rFonts w:ascii="Verdana" w:hAnsi="Verdana"/>
          <w:sz w:val="20"/>
          <w:lang w:val="pt-BR"/>
        </w:rPr>
        <w:t xml:space="preserve"> da região</w:t>
      </w:r>
      <w:r w:rsidR="004756C1" w:rsidRPr="002F50BD">
        <w:rPr>
          <w:rFonts w:ascii="Verdana" w:hAnsi="Verdana"/>
          <w:sz w:val="20"/>
          <w:lang w:val="pt-BR"/>
        </w:rPr>
        <w:t xml:space="preserve"> reivindicada como </w:t>
      </w:r>
      <w:r w:rsidR="00A50140" w:rsidRPr="002F50BD">
        <w:rPr>
          <w:rFonts w:ascii="Verdana" w:hAnsi="Verdana"/>
          <w:sz w:val="20"/>
          <w:lang w:val="pt-BR"/>
        </w:rPr>
        <w:t>suas terras</w:t>
      </w:r>
      <w:r w:rsidR="00BE346D" w:rsidRPr="002F50BD">
        <w:rPr>
          <w:rFonts w:ascii="Verdana" w:hAnsi="Verdana"/>
          <w:sz w:val="20"/>
          <w:lang w:val="pt-BR"/>
        </w:rPr>
        <w:t xml:space="preserve">. A </w:t>
      </w:r>
      <w:r w:rsidRPr="002F50BD">
        <w:rPr>
          <w:rFonts w:ascii="Verdana" w:hAnsi="Verdana"/>
          <w:sz w:val="20"/>
          <w:lang w:val="pt-BR"/>
        </w:rPr>
        <w:t xml:space="preserve">Comunidade </w:t>
      </w:r>
      <w:r w:rsidR="00AB454A" w:rsidRPr="002F50BD">
        <w:rPr>
          <w:rFonts w:ascii="Verdana" w:hAnsi="Verdana"/>
          <w:sz w:val="20"/>
          <w:lang w:val="pt-BR"/>
        </w:rPr>
        <w:t>saiu</w:t>
      </w:r>
      <w:r w:rsidR="004756C1" w:rsidRPr="002F50BD">
        <w:rPr>
          <w:rFonts w:ascii="Verdana" w:hAnsi="Verdana"/>
          <w:sz w:val="20"/>
          <w:lang w:val="pt-BR"/>
        </w:rPr>
        <w:t xml:space="preserve"> de </w:t>
      </w:r>
      <w:r w:rsidR="00A50140" w:rsidRPr="002F50BD">
        <w:rPr>
          <w:rFonts w:ascii="Verdana" w:hAnsi="Verdana"/>
          <w:sz w:val="20"/>
          <w:lang w:val="pt-BR"/>
        </w:rPr>
        <w:t>suas terras</w:t>
      </w:r>
      <w:r w:rsidR="004756C1" w:rsidRPr="002F50BD">
        <w:rPr>
          <w:rFonts w:ascii="Verdana" w:hAnsi="Verdana"/>
          <w:sz w:val="20"/>
          <w:lang w:val="pt-BR"/>
        </w:rPr>
        <w:t xml:space="preserve"> </w:t>
      </w:r>
      <w:r w:rsidRPr="002F50BD">
        <w:rPr>
          <w:rFonts w:ascii="Verdana" w:hAnsi="Verdana"/>
          <w:sz w:val="20"/>
          <w:lang w:val="pt-BR"/>
        </w:rPr>
        <w:t>devido</w:t>
      </w:r>
      <w:r w:rsidR="004756C1" w:rsidRPr="002F50BD">
        <w:rPr>
          <w:rFonts w:ascii="Verdana" w:hAnsi="Verdana"/>
          <w:sz w:val="20"/>
          <w:lang w:val="pt-BR"/>
        </w:rPr>
        <w:t xml:space="preserve"> a </w:t>
      </w:r>
      <w:r w:rsidRPr="002F50BD">
        <w:rPr>
          <w:rFonts w:ascii="Verdana" w:hAnsi="Verdana"/>
          <w:sz w:val="20"/>
          <w:lang w:val="pt-BR"/>
        </w:rPr>
        <w:t>circunstâncias</w:t>
      </w:r>
      <w:r w:rsidR="004756C1" w:rsidRPr="002F50BD">
        <w:rPr>
          <w:rFonts w:ascii="Verdana" w:hAnsi="Verdana"/>
          <w:sz w:val="20"/>
          <w:lang w:val="pt-BR"/>
        </w:rPr>
        <w:t xml:space="preserve"> de </w:t>
      </w:r>
      <w:r w:rsidRPr="002F50BD">
        <w:rPr>
          <w:rFonts w:ascii="Verdana" w:hAnsi="Verdana"/>
          <w:sz w:val="20"/>
          <w:lang w:val="pt-BR"/>
        </w:rPr>
        <w:t xml:space="preserve">sobrevivência e foi </w:t>
      </w:r>
      <w:r w:rsidR="004756C1" w:rsidRPr="002F50BD">
        <w:rPr>
          <w:rFonts w:ascii="Verdana" w:hAnsi="Verdana"/>
          <w:sz w:val="20"/>
          <w:lang w:val="pt-BR"/>
        </w:rPr>
        <w:t>trasladada</w:t>
      </w:r>
      <w:r w:rsidRPr="002F50BD">
        <w:rPr>
          <w:rFonts w:ascii="Verdana" w:hAnsi="Verdana"/>
          <w:sz w:val="20"/>
          <w:lang w:val="pt-BR"/>
        </w:rPr>
        <w:t xml:space="preserve"> à </w:t>
      </w:r>
      <w:r w:rsidR="004756C1" w:rsidRPr="002F50BD">
        <w:rPr>
          <w:rFonts w:ascii="Verdana" w:hAnsi="Verdana"/>
          <w:sz w:val="20"/>
          <w:lang w:val="pt-BR"/>
        </w:rPr>
        <w:t>co</w:t>
      </w:r>
      <w:r w:rsidR="00E10DBB" w:rsidRPr="002F50BD">
        <w:rPr>
          <w:rFonts w:ascii="Verdana" w:hAnsi="Verdana"/>
          <w:sz w:val="20"/>
          <w:lang w:val="pt-BR"/>
        </w:rPr>
        <w:t>lô</w:t>
      </w:r>
      <w:r w:rsidR="004756C1" w:rsidRPr="002F50BD">
        <w:rPr>
          <w:rFonts w:ascii="Verdana" w:hAnsi="Verdana"/>
          <w:sz w:val="20"/>
          <w:lang w:val="pt-BR"/>
        </w:rPr>
        <w:t>nia</w:t>
      </w:r>
      <w:r w:rsidRPr="002F50BD">
        <w:rPr>
          <w:rFonts w:ascii="Verdana" w:hAnsi="Verdana"/>
          <w:sz w:val="20"/>
          <w:lang w:val="pt-BR"/>
        </w:rPr>
        <w:t xml:space="preserve"> </w:t>
      </w:r>
      <w:r w:rsidR="00060B3A" w:rsidRPr="002F50BD">
        <w:rPr>
          <w:rFonts w:ascii="Verdana" w:hAnsi="Verdana"/>
          <w:sz w:val="20"/>
          <w:lang w:val="pt-BR"/>
        </w:rPr>
        <w:t xml:space="preserve">de </w:t>
      </w:r>
      <w:r w:rsidR="00E10DBB" w:rsidRPr="002F50BD">
        <w:rPr>
          <w:rFonts w:ascii="Verdana" w:hAnsi="Verdana"/>
          <w:sz w:val="20"/>
          <w:lang w:val="pt-BR"/>
        </w:rPr>
        <w:t xml:space="preserve">El </w:t>
      </w:r>
      <w:r w:rsidR="004756C1" w:rsidRPr="002F50BD">
        <w:rPr>
          <w:rFonts w:ascii="Verdana" w:hAnsi="Verdana"/>
          <w:sz w:val="20"/>
          <w:lang w:val="pt-BR"/>
        </w:rPr>
        <w:t xml:space="preserve">Estribo. </w:t>
      </w:r>
      <w:r w:rsidR="006F3519" w:rsidRPr="002F50BD">
        <w:rPr>
          <w:rFonts w:ascii="Verdana" w:hAnsi="Verdana"/>
          <w:sz w:val="20"/>
          <w:lang w:val="pt-BR"/>
        </w:rPr>
        <w:t>Algu</w:t>
      </w:r>
      <w:r w:rsidR="00E10DBB" w:rsidRPr="002F50BD">
        <w:rPr>
          <w:rFonts w:ascii="Verdana" w:hAnsi="Verdana"/>
          <w:sz w:val="20"/>
          <w:lang w:val="pt-BR"/>
        </w:rPr>
        <w:t>m t</w:t>
      </w:r>
      <w:r w:rsidRPr="002F50BD">
        <w:rPr>
          <w:rFonts w:ascii="Verdana" w:hAnsi="Verdana"/>
          <w:sz w:val="20"/>
          <w:lang w:val="pt-BR"/>
        </w:rPr>
        <w:t>empo</w:t>
      </w:r>
      <w:r w:rsidR="004756C1" w:rsidRPr="002F50BD">
        <w:rPr>
          <w:rFonts w:ascii="Verdana" w:hAnsi="Verdana"/>
          <w:sz w:val="20"/>
          <w:lang w:val="pt-BR"/>
        </w:rPr>
        <w:t xml:space="preserve"> </w:t>
      </w:r>
      <w:r w:rsidRPr="002F50BD">
        <w:rPr>
          <w:rFonts w:ascii="Verdana" w:hAnsi="Verdana"/>
          <w:sz w:val="20"/>
          <w:lang w:val="pt-BR"/>
        </w:rPr>
        <w:t>depois</w:t>
      </w:r>
      <w:r w:rsidR="004756C1" w:rsidRPr="002F50BD">
        <w:rPr>
          <w:rFonts w:ascii="Verdana" w:hAnsi="Verdana"/>
          <w:sz w:val="20"/>
          <w:lang w:val="pt-BR"/>
        </w:rPr>
        <w:t xml:space="preserve">, </w:t>
      </w:r>
      <w:r w:rsidR="00E10DBB" w:rsidRPr="002F50BD">
        <w:rPr>
          <w:rFonts w:ascii="Verdana" w:hAnsi="Verdana"/>
          <w:sz w:val="20"/>
          <w:lang w:val="pt-BR"/>
        </w:rPr>
        <w:t xml:space="preserve">em função da </w:t>
      </w:r>
      <w:r w:rsidR="004756C1" w:rsidRPr="002F50BD">
        <w:rPr>
          <w:rFonts w:ascii="Verdana" w:hAnsi="Verdana"/>
          <w:sz w:val="20"/>
          <w:lang w:val="pt-BR"/>
        </w:rPr>
        <w:t>vida que se</w:t>
      </w:r>
      <w:r w:rsidRPr="002F50BD">
        <w:rPr>
          <w:rFonts w:ascii="Verdana" w:hAnsi="Verdana"/>
          <w:sz w:val="20"/>
          <w:lang w:val="pt-BR"/>
        </w:rPr>
        <w:t xml:space="preserve"> lev</w:t>
      </w:r>
      <w:r w:rsidR="00AB6727" w:rsidRPr="002F50BD">
        <w:rPr>
          <w:rFonts w:ascii="Verdana" w:hAnsi="Verdana"/>
          <w:sz w:val="20"/>
          <w:lang w:val="pt-BR"/>
        </w:rPr>
        <w:t xml:space="preserve">ava </w:t>
      </w:r>
      <w:r w:rsidRPr="002F50BD">
        <w:rPr>
          <w:rFonts w:ascii="Verdana" w:hAnsi="Verdana"/>
          <w:sz w:val="20"/>
          <w:lang w:val="pt-BR"/>
        </w:rPr>
        <w:t xml:space="preserve">neste </w:t>
      </w:r>
      <w:r w:rsidR="004756C1" w:rsidRPr="002F50BD">
        <w:rPr>
          <w:rFonts w:ascii="Verdana" w:hAnsi="Verdana"/>
          <w:sz w:val="20"/>
          <w:lang w:val="pt-BR"/>
        </w:rPr>
        <w:t>lugar,</w:t>
      </w:r>
      <w:r w:rsidRPr="002F50BD">
        <w:rPr>
          <w:rFonts w:ascii="Verdana" w:hAnsi="Verdana"/>
          <w:sz w:val="20"/>
          <w:lang w:val="pt-BR"/>
        </w:rPr>
        <w:t xml:space="preserve"> a Comunidade decidiu</w:t>
      </w:r>
      <w:r w:rsidR="004756C1" w:rsidRPr="002F50BD">
        <w:rPr>
          <w:rFonts w:ascii="Verdana" w:hAnsi="Verdana"/>
          <w:sz w:val="20"/>
          <w:lang w:val="pt-BR"/>
        </w:rPr>
        <w:t xml:space="preserve"> </w:t>
      </w:r>
      <w:r w:rsidR="00E10DBB" w:rsidRPr="002F50BD">
        <w:rPr>
          <w:rFonts w:ascii="Verdana" w:hAnsi="Verdana"/>
          <w:sz w:val="20"/>
          <w:lang w:val="pt-BR"/>
        </w:rPr>
        <w:t>regressar</w:t>
      </w:r>
      <w:r w:rsidR="004756C1" w:rsidRPr="002F50BD">
        <w:rPr>
          <w:rFonts w:ascii="Verdana" w:hAnsi="Verdana"/>
          <w:sz w:val="20"/>
          <w:lang w:val="pt-BR"/>
        </w:rPr>
        <w:t xml:space="preserve"> a </w:t>
      </w:r>
      <w:r w:rsidR="00A50140" w:rsidRPr="002F50BD">
        <w:rPr>
          <w:rFonts w:ascii="Verdana" w:hAnsi="Verdana"/>
          <w:sz w:val="20"/>
          <w:lang w:val="pt-BR"/>
        </w:rPr>
        <w:t>suas terras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w:t>
      </w:r>
      <w:r w:rsidR="00E10DBB" w:rsidRPr="002F50BD">
        <w:rPr>
          <w:rFonts w:ascii="Verdana" w:hAnsi="Verdana"/>
          <w:sz w:val="20"/>
          <w:lang w:val="pt-BR"/>
        </w:rPr>
        <w:t>A</w:t>
      </w:r>
      <w:r w:rsidRPr="002F50BD">
        <w:rPr>
          <w:rFonts w:ascii="Verdana" w:hAnsi="Verdana"/>
          <w:sz w:val="20"/>
          <w:lang w:val="pt-BR"/>
        </w:rPr>
        <w:t xml:space="preserve">o </w:t>
      </w:r>
      <w:r w:rsidR="004756C1" w:rsidRPr="002F50BD">
        <w:rPr>
          <w:rFonts w:ascii="Verdana" w:hAnsi="Verdana"/>
          <w:sz w:val="20"/>
          <w:lang w:val="pt-BR"/>
        </w:rPr>
        <w:t xml:space="preserve">tomar </w:t>
      </w:r>
      <w:r w:rsidRPr="002F50BD">
        <w:rPr>
          <w:rFonts w:ascii="Verdana" w:hAnsi="Verdana"/>
          <w:sz w:val="20"/>
          <w:lang w:val="pt-BR"/>
        </w:rPr>
        <w:t>conhecimento</w:t>
      </w:r>
      <w:r w:rsidR="004756C1" w:rsidRPr="002F50BD">
        <w:rPr>
          <w:rFonts w:ascii="Verdana" w:hAnsi="Verdana"/>
          <w:sz w:val="20"/>
          <w:lang w:val="pt-BR"/>
        </w:rPr>
        <w:t xml:space="preserve"> </w:t>
      </w:r>
      <w:r w:rsidR="00E10DBB" w:rsidRPr="002F50BD">
        <w:rPr>
          <w:rFonts w:ascii="Verdana" w:hAnsi="Verdana"/>
          <w:sz w:val="20"/>
          <w:lang w:val="pt-BR"/>
        </w:rPr>
        <w:t xml:space="preserve">de </w:t>
      </w:r>
      <w:r w:rsidR="004756C1" w:rsidRPr="002F50BD">
        <w:rPr>
          <w:rFonts w:ascii="Verdana" w:hAnsi="Verdana"/>
          <w:sz w:val="20"/>
          <w:lang w:val="pt-BR"/>
        </w:rPr>
        <w:t>que</w:t>
      </w:r>
      <w:r w:rsidRPr="002F50BD">
        <w:rPr>
          <w:rFonts w:ascii="Verdana" w:hAnsi="Verdana"/>
          <w:sz w:val="20"/>
          <w:lang w:val="pt-BR"/>
        </w:rPr>
        <w:t xml:space="preserve"> 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favorec</w:t>
      </w:r>
      <w:r w:rsidR="00E10DBB" w:rsidRPr="002F50BD">
        <w:rPr>
          <w:rFonts w:ascii="Verdana" w:hAnsi="Verdana"/>
          <w:sz w:val="20"/>
          <w:lang w:val="pt-BR"/>
        </w:rPr>
        <w:t>i</w:t>
      </w:r>
      <w:r w:rsidR="004756C1" w:rsidRPr="002F50BD">
        <w:rPr>
          <w:rFonts w:ascii="Verdana" w:hAnsi="Verdana"/>
          <w:sz w:val="20"/>
          <w:lang w:val="pt-BR"/>
        </w:rPr>
        <w:t>a</w:t>
      </w:r>
      <w:r w:rsidRPr="002F50BD">
        <w:rPr>
          <w:rFonts w:ascii="Verdana" w:hAnsi="Verdana"/>
          <w:sz w:val="20"/>
          <w:lang w:val="pt-BR"/>
        </w:rPr>
        <w:t xml:space="preserve"> o direito</w:t>
      </w:r>
      <w:r w:rsidR="004756C1" w:rsidRPr="002F50BD">
        <w:rPr>
          <w:rFonts w:ascii="Verdana" w:hAnsi="Verdana"/>
          <w:sz w:val="20"/>
          <w:lang w:val="pt-BR"/>
        </w:rPr>
        <w:t xml:space="preserve"> </w:t>
      </w:r>
      <w:r w:rsidR="006F3519" w:rsidRPr="002F50BD">
        <w:rPr>
          <w:rFonts w:ascii="Verdana" w:hAnsi="Verdana"/>
          <w:sz w:val="20"/>
          <w:lang w:val="pt-BR"/>
        </w:rPr>
        <w:t xml:space="preserve">à restituição de </w:t>
      </w:r>
      <w:r w:rsidR="00A50140" w:rsidRPr="002F50BD">
        <w:rPr>
          <w:rFonts w:ascii="Verdana" w:hAnsi="Verdana"/>
          <w:sz w:val="20"/>
          <w:lang w:val="pt-BR"/>
        </w:rPr>
        <w:t>suas terras</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 xml:space="preserve">s </w:t>
      </w:r>
      <w:r w:rsidRPr="002F50BD">
        <w:rPr>
          <w:rFonts w:ascii="Verdana" w:hAnsi="Verdana"/>
          <w:sz w:val="20"/>
          <w:lang w:val="pt-BR"/>
        </w:rPr>
        <w:t>desta</w:t>
      </w:r>
      <w:r w:rsidR="004756C1" w:rsidRPr="002F50BD">
        <w:rPr>
          <w:rFonts w:ascii="Verdana" w:hAnsi="Verdana"/>
          <w:sz w:val="20"/>
          <w:lang w:val="pt-BR"/>
        </w:rPr>
        <w:t xml:space="preserve"> </w:t>
      </w:r>
      <w:r w:rsidRPr="002F50BD">
        <w:rPr>
          <w:rFonts w:ascii="Verdana" w:hAnsi="Verdana"/>
          <w:sz w:val="20"/>
          <w:lang w:val="pt-BR"/>
        </w:rPr>
        <w:t xml:space="preserve">Comunidade </w:t>
      </w:r>
      <w:r w:rsidR="004756C1" w:rsidRPr="002F50BD">
        <w:rPr>
          <w:rFonts w:ascii="Verdana" w:hAnsi="Verdana"/>
          <w:sz w:val="20"/>
          <w:lang w:val="pt-BR"/>
        </w:rPr>
        <w:t>“</w:t>
      </w:r>
      <w:r w:rsidR="00E10DBB" w:rsidRPr="002F50BD">
        <w:rPr>
          <w:rFonts w:ascii="Verdana" w:hAnsi="Verdana"/>
          <w:sz w:val="20"/>
          <w:lang w:val="pt-BR"/>
        </w:rPr>
        <w:t>regressam</w:t>
      </w:r>
      <w:r w:rsidR="004756C1" w:rsidRPr="002F50BD">
        <w:rPr>
          <w:rFonts w:ascii="Verdana" w:hAnsi="Verdana"/>
          <w:sz w:val="20"/>
          <w:lang w:val="pt-BR"/>
        </w:rPr>
        <w:t xml:space="preserve"> </w:t>
      </w:r>
      <w:r w:rsidR="00AB454A" w:rsidRPr="002F50BD">
        <w:rPr>
          <w:rFonts w:ascii="Verdana" w:hAnsi="Verdana"/>
          <w:sz w:val="20"/>
          <w:lang w:val="pt-BR"/>
        </w:rPr>
        <w:t>voluntariamente</w:t>
      </w:r>
      <w:r w:rsidR="004756C1" w:rsidRPr="002F50BD">
        <w:rPr>
          <w:rFonts w:ascii="Verdana" w:hAnsi="Verdana"/>
          <w:sz w:val="20"/>
          <w:lang w:val="pt-BR"/>
        </w:rPr>
        <w:t xml:space="preserve"> e </w:t>
      </w:r>
      <w:r w:rsidRPr="002F50BD">
        <w:rPr>
          <w:rFonts w:ascii="Verdana" w:hAnsi="Verdana"/>
          <w:sz w:val="20"/>
          <w:lang w:val="pt-BR"/>
        </w:rPr>
        <w:t>iniciam o processo</w:t>
      </w:r>
      <w:r w:rsidR="004756C1" w:rsidRPr="002F50BD">
        <w:rPr>
          <w:rFonts w:ascii="Verdana" w:hAnsi="Verdana"/>
          <w:sz w:val="20"/>
          <w:lang w:val="pt-BR"/>
        </w:rPr>
        <w:t xml:space="preserve"> de reivindica</w:t>
      </w:r>
      <w:r w:rsidRPr="002F50BD">
        <w:rPr>
          <w:rFonts w:ascii="Verdana" w:hAnsi="Verdana"/>
          <w:sz w:val="20"/>
          <w:lang w:val="pt-BR"/>
        </w:rPr>
        <w:t>ção</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f.</w:t>
      </w:r>
      <w:r w:rsidRPr="002F50BD">
        <w:rPr>
          <w:rFonts w:ascii="Verdana" w:hAnsi="Verdana"/>
          <w:b/>
          <w:sz w:val="20"/>
          <w:lang w:val="pt-BR"/>
        </w:rPr>
        <w:tab/>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 xml:space="preserve">Oscar Centurión, </w:t>
      </w:r>
      <w:r w:rsidR="0089298C" w:rsidRPr="002F50BD">
        <w:rPr>
          <w:rFonts w:ascii="Verdana" w:hAnsi="Verdana"/>
          <w:b/>
          <w:sz w:val="20"/>
          <w:lang w:val="pt-BR"/>
        </w:rPr>
        <w:t>testemunha</w:t>
      </w:r>
    </w:p>
    <w:p w:rsidR="004756C1" w:rsidRPr="002F50BD" w:rsidRDefault="0089298C">
      <w:pPr>
        <w:jc w:val="both"/>
        <w:rPr>
          <w:rFonts w:ascii="Verdana" w:hAnsi="Verdana"/>
          <w:b/>
          <w:sz w:val="20"/>
          <w:lang w:val="pt-BR"/>
        </w:rPr>
      </w:pPr>
      <w:r w:rsidRPr="002F50BD">
        <w:rPr>
          <w:rFonts w:ascii="Verdana" w:hAnsi="Verdana"/>
          <w:b/>
          <w:sz w:val="20"/>
          <w:lang w:val="pt-BR"/>
        </w:rPr>
        <w:cr/>
      </w:r>
      <w:r w:rsidR="00367FD1" w:rsidRPr="002F50BD">
        <w:rPr>
          <w:rFonts w:ascii="Verdana" w:hAnsi="Verdana"/>
          <w:sz w:val="20"/>
          <w:lang w:val="pt-BR"/>
        </w:rPr>
        <w:t xml:space="preserve">A </w:t>
      </w:r>
      <w:r w:rsidRPr="002F50BD">
        <w:rPr>
          <w:rFonts w:ascii="Verdana" w:hAnsi="Verdana"/>
          <w:sz w:val="20"/>
          <w:lang w:val="pt-BR"/>
        </w:rPr>
        <w:t>testemunha é o atual</w:t>
      </w:r>
      <w:r w:rsidR="004756C1" w:rsidRPr="002F50BD">
        <w:rPr>
          <w:rFonts w:ascii="Verdana" w:hAnsi="Verdana"/>
          <w:sz w:val="20"/>
          <w:lang w:val="pt-BR"/>
        </w:rPr>
        <w:t xml:space="preserve"> presidente </w:t>
      </w:r>
      <w:r w:rsidRPr="002F50BD">
        <w:rPr>
          <w:rFonts w:ascii="Verdana" w:hAnsi="Verdana"/>
          <w:sz w:val="20"/>
          <w:lang w:val="pt-BR"/>
        </w:rPr>
        <w:t>do Conselho</w:t>
      </w:r>
      <w:r w:rsidR="004756C1" w:rsidRPr="002F50BD">
        <w:rPr>
          <w:rFonts w:ascii="Verdana" w:hAnsi="Verdana"/>
          <w:sz w:val="20"/>
          <w:lang w:val="pt-BR"/>
        </w:rPr>
        <w:t xml:space="preserve"> </w:t>
      </w:r>
      <w:r w:rsidRPr="002F50BD">
        <w:rPr>
          <w:rFonts w:ascii="Verdana" w:hAnsi="Verdana"/>
          <w:sz w:val="20"/>
          <w:lang w:val="pt-BR"/>
        </w:rPr>
        <w:t>Diret</w:t>
      </w:r>
      <w:r w:rsidR="004756C1" w:rsidRPr="002F50BD">
        <w:rPr>
          <w:rFonts w:ascii="Verdana" w:hAnsi="Verdana"/>
          <w:sz w:val="20"/>
          <w:lang w:val="pt-BR"/>
        </w:rPr>
        <w:t xml:space="preserve">ivo </w:t>
      </w:r>
      <w:r w:rsidRPr="002F50BD">
        <w:rPr>
          <w:rFonts w:ascii="Verdana" w:hAnsi="Verdana"/>
          <w:sz w:val="20"/>
          <w:lang w:val="pt-BR"/>
        </w:rPr>
        <w:t xml:space="preserve">do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 Indica que</w:t>
      </w:r>
      <w:r w:rsidRPr="002F50BD">
        <w:rPr>
          <w:rFonts w:ascii="Verdana" w:hAnsi="Verdana"/>
          <w:sz w:val="20"/>
          <w:lang w:val="pt-BR"/>
        </w:rPr>
        <w:t xml:space="preserve"> o </w:t>
      </w:r>
      <w:r w:rsidR="004756C1" w:rsidRPr="002F50BD">
        <w:rPr>
          <w:rFonts w:ascii="Verdana" w:hAnsi="Verdana"/>
          <w:sz w:val="20"/>
          <w:lang w:val="pt-BR"/>
        </w:rPr>
        <w:t xml:space="preserve">grupo de </w:t>
      </w:r>
      <w:r w:rsidR="005A6BC7" w:rsidRPr="002F50BD">
        <w:rPr>
          <w:rFonts w:ascii="Verdana" w:hAnsi="Verdana"/>
          <w:sz w:val="20"/>
          <w:lang w:val="pt-BR"/>
        </w:rPr>
        <w:t>família</w:t>
      </w:r>
      <w:r w:rsidR="004756C1" w:rsidRPr="002F50BD">
        <w:rPr>
          <w:rFonts w:ascii="Verdana" w:hAnsi="Verdana"/>
          <w:sz w:val="20"/>
          <w:lang w:val="pt-BR"/>
        </w:rPr>
        <w:t xml:space="preserve">s que </w:t>
      </w:r>
      <w:r w:rsidRPr="002F50BD">
        <w:rPr>
          <w:rFonts w:ascii="Verdana" w:hAnsi="Verdana"/>
          <w:sz w:val="20"/>
          <w:lang w:val="pt-BR"/>
        </w:rPr>
        <w:t>agora</w:t>
      </w:r>
      <w:r w:rsidR="004756C1" w:rsidRPr="002F50BD">
        <w:rPr>
          <w:rFonts w:ascii="Verdana" w:hAnsi="Verdana"/>
          <w:sz w:val="20"/>
          <w:lang w:val="pt-BR"/>
        </w:rPr>
        <w:t xml:space="preserve"> conforma</w:t>
      </w:r>
      <w:r w:rsidRPr="002F50BD">
        <w:rPr>
          <w:rFonts w:ascii="Verdana" w:hAnsi="Verdana"/>
          <w:sz w:val="20"/>
          <w:lang w:val="pt-BR"/>
        </w:rPr>
        <w:t xml:space="preserve"> a Comunidade </w:t>
      </w:r>
      <w:r w:rsidR="004756C1" w:rsidRPr="002F50BD">
        <w:rPr>
          <w:rFonts w:ascii="Verdana" w:hAnsi="Verdana"/>
          <w:sz w:val="20"/>
          <w:lang w:val="pt-BR"/>
        </w:rPr>
        <w:t xml:space="preserve">indígena Yakye Axa </w:t>
      </w:r>
      <w:r w:rsidR="00AB454A" w:rsidRPr="002F50BD">
        <w:rPr>
          <w:rFonts w:ascii="Verdana" w:hAnsi="Verdana"/>
          <w:sz w:val="20"/>
          <w:lang w:val="pt-BR"/>
        </w:rPr>
        <w:t>pertence</w:t>
      </w:r>
      <w:r w:rsidR="004756C1" w:rsidRPr="002F50BD">
        <w:rPr>
          <w:rFonts w:ascii="Verdana" w:hAnsi="Verdana"/>
          <w:sz w:val="20"/>
          <w:lang w:val="pt-BR"/>
        </w:rPr>
        <w:t xml:space="preserve"> </w:t>
      </w:r>
      <w:r w:rsidRPr="002F50BD">
        <w:rPr>
          <w:rFonts w:ascii="Verdana" w:hAnsi="Verdana"/>
          <w:sz w:val="20"/>
          <w:lang w:val="pt-BR"/>
        </w:rPr>
        <w:t>origin</w:t>
      </w:r>
      <w:r w:rsidR="00367FD1" w:rsidRPr="002F50BD">
        <w:rPr>
          <w:rFonts w:ascii="Verdana" w:hAnsi="Verdana"/>
          <w:sz w:val="20"/>
          <w:lang w:val="pt-BR"/>
        </w:rPr>
        <w:t>a</w:t>
      </w:r>
      <w:r w:rsidRPr="002F50BD">
        <w:rPr>
          <w:rFonts w:ascii="Verdana" w:hAnsi="Verdana"/>
          <w:sz w:val="20"/>
          <w:lang w:val="pt-BR"/>
        </w:rPr>
        <w:t>ria</w:t>
      </w:r>
      <w:r w:rsidR="004756C1" w:rsidRPr="002F50BD">
        <w:rPr>
          <w:rFonts w:ascii="Verdana" w:hAnsi="Verdana"/>
          <w:sz w:val="20"/>
          <w:lang w:val="pt-BR"/>
        </w:rPr>
        <w:t>mente</w:t>
      </w:r>
      <w:r w:rsidRPr="002F50BD">
        <w:rPr>
          <w:rFonts w:ascii="Verdana" w:hAnsi="Verdana"/>
          <w:sz w:val="20"/>
          <w:lang w:val="pt-BR"/>
        </w:rPr>
        <w:t xml:space="preserve"> à Comunidade d</w:t>
      </w:r>
      <w:r w:rsidR="00367FD1" w:rsidRPr="002F50BD">
        <w:rPr>
          <w:rFonts w:ascii="Verdana" w:hAnsi="Verdana"/>
          <w:sz w:val="20"/>
          <w:lang w:val="pt-BR"/>
        </w:rPr>
        <w:t>e El</w:t>
      </w:r>
      <w:r w:rsidRPr="002F50BD">
        <w:rPr>
          <w:rFonts w:ascii="Verdana" w:hAnsi="Verdana"/>
          <w:sz w:val="20"/>
          <w:lang w:val="pt-BR"/>
        </w:rPr>
        <w:t xml:space="preserve"> </w:t>
      </w:r>
      <w:r w:rsidR="004756C1" w:rsidRPr="002F50BD">
        <w:rPr>
          <w:rFonts w:ascii="Verdana" w:hAnsi="Verdana"/>
          <w:sz w:val="20"/>
          <w:lang w:val="pt-BR"/>
        </w:rPr>
        <w:t>Estribo,</w:t>
      </w:r>
      <w:r w:rsidRPr="002F50BD">
        <w:rPr>
          <w:rFonts w:ascii="Verdana" w:hAnsi="Verdana"/>
          <w:sz w:val="20"/>
          <w:lang w:val="pt-BR"/>
        </w:rPr>
        <w:t xml:space="preserve"> da qual </w:t>
      </w:r>
      <w:r w:rsidR="00367FD1" w:rsidRPr="002F50BD">
        <w:rPr>
          <w:rFonts w:ascii="Verdana" w:hAnsi="Verdana"/>
          <w:sz w:val="20"/>
          <w:lang w:val="pt-BR"/>
        </w:rPr>
        <w:t>se separou</w:t>
      </w:r>
      <w:r w:rsidR="004756C1" w:rsidRPr="002F50BD">
        <w:rPr>
          <w:rFonts w:ascii="Verdana" w:hAnsi="Verdana"/>
          <w:sz w:val="20"/>
          <w:lang w:val="pt-BR"/>
        </w:rPr>
        <w:t>, reagrup</w:t>
      </w:r>
      <w:r w:rsidR="00367FD1" w:rsidRPr="002F50BD">
        <w:rPr>
          <w:rFonts w:ascii="Verdana" w:hAnsi="Verdana"/>
          <w:sz w:val="20"/>
          <w:lang w:val="pt-BR"/>
        </w:rPr>
        <w:t>a</w:t>
      </w:r>
      <w:r w:rsidR="004756C1" w:rsidRPr="002F50BD">
        <w:rPr>
          <w:rFonts w:ascii="Verdana" w:hAnsi="Verdana"/>
          <w:sz w:val="20"/>
          <w:lang w:val="pt-BR"/>
        </w:rPr>
        <w:t>ndo</w:t>
      </w:r>
      <w:r w:rsidR="00367FD1"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e </w:t>
      </w:r>
      <w:r w:rsidR="004756C1" w:rsidRPr="002F50BD">
        <w:rPr>
          <w:rFonts w:ascii="Verdana" w:hAnsi="Verdana"/>
          <w:sz w:val="20"/>
          <w:lang w:val="pt-BR"/>
        </w:rPr>
        <w:t>conformando</w:t>
      </w:r>
      <w:r w:rsidRPr="002F50BD">
        <w:rPr>
          <w:rFonts w:ascii="Verdana" w:hAnsi="Verdana"/>
          <w:sz w:val="20"/>
          <w:lang w:val="pt-BR"/>
        </w:rPr>
        <w:t xml:space="preserve"> a Comunidade </w:t>
      </w:r>
      <w:r w:rsidR="004756C1" w:rsidRPr="002F50BD">
        <w:rPr>
          <w:rFonts w:ascii="Verdana" w:hAnsi="Verdana"/>
          <w:sz w:val="20"/>
          <w:lang w:val="pt-BR"/>
        </w:rPr>
        <w:t xml:space="preserve">Yakye Axa, de </w:t>
      </w:r>
      <w:r w:rsidRPr="002F50BD">
        <w:rPr>
          <w:rFonts w:ascii="Verdana" w:hAnsi="Verdana"/>
          <w:sz w:val="20"/>
          <w:lang w:val="pt-BR"/>
        </w:rPr>
        <w:t xml:space="preserve">acordo com a faculdade </w:t>
      </w:r>
      <w:r w:rsidR="004756C1" w:rsidRPr="002F50BD">
        <w:rPr>
          <w:rFonts w:ascii="Verdana" w:hAnsi="Verdana"/>
          <w:sz w:val="20"/>
          <w:lang w:val="pt-BR"/>
        </w:rPr>
        <w:t>consagrada</w:t>
      </w:r>
      <w:r w:rsidRPr="002F50BD">
        <w:rPr>
          <w:rFonts w:ascii="Verdana" w:hAnsi="Verdana"/>
          <w:sz w:val="20"/>
          <w:lang w:val="pt-BR"/>
        </w:rPr>
        <w:t xml:space="preserv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 xml:space="preserve"> sobre</w:t>
      </w:r>
      <w:r w:rsidRPr="002F50BD">
        <w:rPr>
          <w:rFonts w:ascii="Verdana" w:hAnsi="Verdana"/>
          <w:sz w:val="20"/>
          <w:lang w:val="pt-BR"/>
        </w:rPr>
        <w:t xml:space="preserve"> o </w:t>
      </w:r>
      <w:r w:rsidR="004756C1" w:rsidRPr="002F50BD">
        <w:rPr>
          <w:rFonts w:ascii="Verdana" w:hAnsi="Verdana"/>
          <w:sz w:val="20"/>
          <w:lang w:val="pt-BR"/>
        </w:rPr>
        <w:t>Estatuto</w:t>
      </w:r>
      <w:r w:rsidRPr="002F50BD">
        <w:rPr>
          <w:rFonts w:ascii="Verdana" w:hAnsi="Verdana"/>
          <w:sz w:val="20"/>
          <w:lang w:val="pt-BR"/>
        </w:rPr>
        <w:t xml:space="preserve"> das </w:t>
      </w:r>
      <w:r w:rsidR="004756C1" w:rsidRPr="002F50BD">
        <w:rPr>
          <w:rFonts w:ascii="Verdana" w:hAnsi="Verdana"/>
          <w:sz w:val="20"/>
          <w:lang w:val="pt-BR"/>
        </w:rPr>
        <w:t>Comunidades Indígenas</w:t>
      </w:r>
      <w:r w:rsidRPr="002F50BD">
        <w:rPr>
          <w:rFonts w:ascii="Verdana" w:hAnsi="Verdana"/>
          <w:sz w:val="20"/>
          <w:lang w:val="pt-BR"/>
        </w:rPr>
        <w:t xml:space="preserve">. A </w:t>
      </w:r>
      <w:r w:rsidR="004756C1" w:rsidRPr="002F50BD">
        <w:rPr>
          <w:rFonts w:ascii="Verdana" w:hAnsi="Verdana"/>
          <w:sz w:val="20"/>
          <w:lang w:val="pt-BR"/>
        </w:rPr>
        <w:t>partir</w:t>
      </w:r>
      <w:r w:rsidRPr="002F50BD">
        <w:rPr>
          <w:rFonts w:ascii="Verdana" w:hAnsi="Verdana"/>
          <w:sz w:val="20"/>
          <w:lang w:val="pt-BR"/>
        </w:rPr>
        <w:t xml:space="preserve"> desse </w:t>
      </w:r>
      <w:r w:rsidR="004756C1" w:rsidRPr="002F50BD">
        <w:rPr>
          <w:rFonts w:ascii="Verdana" w:hAnsi="Verdana"/>
          <w:sz w:val="20"/>
          <w:lang w:val="pt-BR"/>
        </w:rPr>
        <w:t>momento,</w:t>
      </w:r>
      <w:r w:rsidRPr="002F50BD">
        <w:rPr>
          <w:rFonts w:ascii="Verdana" w:hAnsi="Verdana"/>
          <w:sz w:val="20"/>
          <w:lang w:val="pt-BR"/>
        </w:rPr>
        <w:t xml:space="preserve"> a Comunidade iniciou o processo</w:t>
      </w:r>
      <w:r w:rsidR="004756C1" w:rsidRPr="002F50BD">
        <w:rPr>
          <w:rFonts w:ascii="Verdana" w:hAnsi="Verdana"/>
          <w:sz w:val="20"/>
          <w:lang w:val="pt-BR"/>
        </w:rPr>
        <w:t xml:space="preserve"> de reivindica</w:t>
      </w:r>
      <w:r w:rsidRPr="002F50BD">
        <w:rPr>
          <w:rFonts w:ascii="Verdana" w:hAnsi="Verdana"/>
          <w:sz w:val="20"/>
          <w:lang w:val="pt-BR"/>
        </w:rPr>
        <w:t>ção das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4756C1" w:rsidRPr="002F50BD">
        <w:rPr>
          <w:rFonts w:ascii="Verdana" w:hAnsi="Verdana"/>
          <w:sz w:val="20"/>
          <w:lang w:val="pt-BR"/>
        </w:rPr>
        <w:t xml:space="preserve">, que </w:t>
      </w:r>
      <w:r w:rsidR="00060B3A" w:rsidRPr="002F50BD">
        <w:rPr>
          <w:rFonts w:ascii="Verdana" w:hAnsi="Verdana"/>
          <w:sz w:val="20"/>
          <w:lang w:val="pt-BR"/>
        </w:rPr>
        <w:t xml:space="preserve">se </w:t>
      </w:r>
      <w:r w:rsidRPr="002F50BD">
        <w:rPr>
          <w:rFonts w:ascii="Verdana" w:hAnsi="Verdana"/>
          <w:sz w:val="20"/>
          <w:lang w:val="pt-BR"/>
        </w:rPr>
        <w:t>constitu</w:t>
      </w:r>
      <w:r w:rsidR="00367FD1" w:rsidRPr="002F50BD">
        <w:rPr>
          <w:rFonts w:ascii="Verdana" w:hAnsi="Verdana"/>
          <w:sz w:val="20"/>
          <w:lang w:val="pt-BR"/>
        </w:rPr>
        <w:t>em</w:t>
      </w:r>
      <w:r w:rsidRPr="002F50BD">
        <w:rPr>
          <w:rFonts w:ascii="Verdana" w:hAnsi="Verdana"/>
          <w:sz w:val="20"/>
          <w:lang w:val="pt-BR"/>
        </w:rPr>
        <w:t xml:space="preserve"> </w:t>
      </w:r>
      <w:r w:rsidR="00367FD1" w:rsidRPr="002F50BD">
        <w:rPr>
          <w:rFonts w:ascii="Verdana" w:hAnsi="Verdana"/>
          <w:sz w:val="20"/>
          <w:lang w:val="pt-BR"/>
        </w:rPr>
        <w:t xml:space="preserve">em </w:t>
      </w:r>
      <w:r w:rsidRPr="002F50BD">
        <w:rPr>
          <w:rFonts w:ascii="Verdana" w:hAnsi="Verdana"/>
          <w:sz w:val="20"/>
          <w:lang w:val="pt-BR"/>
        </w:rPr>
        <w:t xml:space="preserve">uma </w:t>
      </w:r>
      <w:r w:rsidR="00367FD1" w:rsidRPr="002F50BD">
        <w:rPr>
          <w:rFonts w:ascii="Verdana" w:hAnsi="Verdana"/>
          <w:sz w:val="20"/>
          <w:lang w:val="pt-BR"/>
        </w:rPr>
        <w:t xml:space="preserve">fazenda de gado </w:t>
      </w:r>
      <w:r w:rsidRPr="002F50BD">
        <w:rPr>
          <w:rFonts w:ascii="Verdana" w:hAnsi="Verdana"/>
          <w:sz w:val="20"/>
          <w:lang w:val="pt-BR"/>
        </w:rPr>
        <w:t xml:space="preserve">em </w:t>
      </w:r>
      <w:r w:rsidR="004756C1" w:rsidRPr="002F50BD">
        <w:rPr>
          <w:rFonts w:ascii="Verdana" w:hAnsi="Verdana"/>
          <w:sz w:val="20"/>
          <w:lang w:val="pt-BR"/>
        </w:rPr>
        <w:t xml:space="preserve">plena </w:t>
      </w:r>
      <w:r w:rsidRPr="002F50BD">
        <w:rPr>
          <w:rFonts w:ascii="Verdana" w:hAnsi="Verdana"/>
          <w:sz w:val="20"/>
          <w:lang w:val="pt-BR"/>
        </w:rPr>
        <w:t>produção</w:t>
      </w:r>
      <w:r w:rsidR="004756C1" w:rsidRPr="002F50BD">
        <w:rPr>
          <w:rFonts w:ascii="Verdana" w:hAnsi="Verdana"/>
          <w:sz w:val="20"/>
          <w:lang w:val="pt-BR"/>
        </w:rPr>
        <w:t>.</w:t>
      </w:r>
    </w:p>
    <w:p w:rsidR="004756C1" w:rsidRPr="002F50BD" w:rsidRDefault="004756C1">
      <w:pPr>
        <w:jc w:val="both"/>
        <w:rPr>
          <w:rFonts w:ascii="Verdana" w:hAnsi="Verdana"/>
          <w:b/>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E</w:t>
      </w:r>
      <w:r w:rsidR="00367FD1"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s</w:t>
      </w:r>
      <w:r w:rsidR="00367FD1" w:rsidRPr="002F50BD">
        <w:rPr>
          <w:rFonts w:ascii="Verdana" w:hAnsi="Verdana"/>
          <w:sz w:val="20"/>
          <w:lang w:val="pt-BR"/>
        </w:rPr>
        <w:t xml:space="preserve">ua condição </w:t>
      </w:r>
      <w:r w:rsidRPr="002F50BD">
        <w:rPr>
          <w:rFonts w:ascii="Verdana" w:hAnsi="Verdana"/>
          <w:sz w:val="20"/>
          <w:lang w:val="pt-BR"/>
        </w:rPr>
        <w:t xml:space="preserve">de Presidente </w:t>
      </w:r>
      <w:r w:rsidR="0089298C" w:rsidRPr="002F50BD">
        <w:rPr>
          <w:rFonts w:ascii="Verdana" w:hAnsi="Verdana"/>
          <w:sz w:val="20"/>
          <w:lang w:val="pt-BR"/>
        </w:rPr>
        <w:t>do Conselho</w:t>
      </w:r>
      <w:r w:rsidRPr="002F50BD">
        <w:rPr>
          <w:rFonts w:ascii="Verdana" w:hAnsi="Verdana"/>
          <w:sz w:val="20"/>
          <w:lang w:val="pt-BR"/>
        </w:rPr>
        <w:t xml:space="preserve"> </w:t>
      </w:r>
      <w:r w:rsidR="0089298C" w:rsidRPr="002F50BD">
        <w:rPr>
          <w:rFonts w:ascii="Verdana" w:hAnsi="Verdana"/>
          <w:sz w:val="20"/>
          <w:lang w:val="pt-BR"/>
        </w:rPr>
        <w:t>Diret</w:t>
      </w:r>
      <w:r w:rsidRPr="002F50BD">
        <w:rPr>
          <w:rFonts w:ascii="Verdana" w:hAnsi="Verdana"/>
          <w:sz w:val="20"/>
          <w:lang w:val="pt-BR"/>
        </w:rPr>
        <w:t xml:space="preserve">ivo </w:t>
      </w:r>
      <w:r w:rsidR="0089298C" w:rsidRPr="002F50BD">
        <w:rPr>
          <w:rFonts w:ascii="Verdana" w:hAnsi="Verdana"/>
          <w:sz w:val="20"/>
          <w:lang w:val="pt-BR"/>
        </w:rPr>
        <w:t xml:space="preserve">do </w:t>
      </w:r>
      <w:r w:rsidRPr="002F50BD">
        <w:rPr>
          <w:rFonts w:ascii="Verdana" w:hAnsi="Verdana"/>
          <w:sz w:val="20"/>
          <w:lang w:val="pt-BR"/>
        </w:rPr>
        <w:t xml:space="preserve">Instituto </w:t>
      </w:r>
      <w:r w:rsidR="0089298C" w:rsidRPr="002F50BD">
        <w:rPr>
          <w:rFonts w:ascii="Verdana" w:hAnsi="Verdana"/>
          <w:sz w:val="20"/>
          <w:lang w:val="pt-BR"/>
        </w:rPr>
        <w:t>Paraguai</w:t>
      </w:r>
      <w:r w:rsidRPr="002F50BD">
        <w:rPr>
          <w:rFonts w:ascii="Verdana" w:hAnsi="Verdana"/>
          <w:sz w:val="20"/>
          <w:lang w:val="pt-BR"/>
        </w:rPr>
        <w:t xml:space="preserve">o </w:t>
      </w:r>
      <w:r w:rsidR="0089298C" w:rsidRPr="002F50BD">
        <w:rPr>
          <w:rFonts w:ascii="Verdana" w:hAnsi="Verdana"/>
          <w:sz w:val="20"/>
          <w:lang w:val="pt-BR"/>
        </w:rPr>
        <w:t xml:space="preserve">do </w:t>
      </w:r>
      <w:r w:rsidR="00367FD1" w:rsidRPr="002F50BD">
        <w:rPr>
          <w:rFonts w:ascii="Verdana" w:hAnsi="Verdana"/>
          <w:sz w:val="20"/>
          <w:lang w:val="pt-BR"/>
        </w:rPr>
        <w:t>Indígena</w:t>
      </w:r>
      <w:r w:rsidR="006F3519" w:rsidRPr="002F50BD">
        <w:rPr>
          <w:rFonts w:ascii="Verdana" w:hAnsi="Verdana"/>
          <w:sz w:val="20"/>
          <w:lang w:val="pt-BR"/>
        </w:rPr>
        <w:t>,</w:t>
      </w:r>
      <w:r w:rsidR="00367FD1" w:rsidRPr="002F50BD">
        <w:rPr>
          <w:rFonts w:ascii="Verdana" w:hAnsi="Verdana"/>
          <w:sz w:val="20"/>
          <w:lang w:val="pt-BR"/>
        </w:rPr>
        <w:t xml:space="preserve"> contactou</w:t>
      </w:r>
      <w:r w:rsidRPr="002F50BD">
        <w:rPr>
          <w:rFonts w:ascii="Verdana" w:hAnsi="Verdana"/>
          <w:sz w:val="20"/>
          <w:lang w:val="pt-BR"/>
        </w:rPr>
        <w:t xml:space="preserve"> todos</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 a</w:t>
      </w:r>
      <w:r w:rsidR="0089298C" w:rsidRPr="002F50BD">
        <w:rPr>
          <w:rFonts w:ascii="Verdana" w:hAnsi="Verdana"/>
          <w:sz w:val="20"/>
          <w:lang w:val="pt-BR"/>
        </w:rPr>
        <w:t xml:space="preserve"> fim </w:t>
      </w:r>
      <w:r w:rsidRPr="002F50BD">
        <w:rPr>
          <w:rFonts w:ascii="Verdana" w:hAnsi="Verdana"/>
          <w:sz w:val="20"/>
          <w:lang w:val="pt-BR"/>
        </w:rPr>
        <w:t xml:space="preserve">de </w:t>
      </w:r>
      <w:r w:rsidR="0089298C" w:rsidRPr="002F50BD">
        <w:rPr>
          <w:rFonts w:ascii="Verdana" w:hAnsi="Verdana"/>
          <w:sz w:val="20"/>
          <w:lang w:val="pt-BR"/>
        </w:rPr>
        <w:t>obter</w:t>
      </w:r>
      <w:r w:rsidRPr="002F50BD">
        <w:rPr>
          <w:rFonts w:ascii="Verdana" w:hAnsi="Verdana"/>
          <w:sz w:val="20"/>
          <w:lang w:val="pt-BR"/>
        </w:rPr>
        <w:t xml:space="preserve"> </w:t>
      </w:r>
      <w:r w:rsidR="00AB454A" w:rsidRPr="002F50BD">
        <w:rPr>
          <w:rFonts w:ascii="Verdana" w:hAnsi="Verdana"/>
          <w:sz w:val="20"/>
          <w:lang w:val="pt-BR"/>
        </w:rPr>
        <w:t xml:space="preserve">seu </w:t>
      </w:r>
      <w:r w:rsidR="00AB454A" w:rsidRPr="002F50BD">
        <w:rPr>
          <w:rFonts w:ascii="Verdana" w:hAnsi="Verdana"/>
          <w:sz w:val="20"/>
          <w:lang w:val="pt-BR"/>
        </w:rPr>
        <w:lastRenderedPageBreak/>
        <w:t>consentimento</w:t>
      </w:r>
      <w:r w:rsidRPr="002F50BD">
        <w:rPr>
          <w:rFonts w:ascii="Verdana" w:hAnsi="Verdana"/>
          <w:sz w:val="20"/>
          <w:lang w:val="pt-BR"/>
        </w:rPr>
        <w:t xml:space="preserve"> para </w:t>
      </w:r>
      <w:r w:rsidR="0089298C" w:rsidRPr="002F50BD">
        <w:rPr>
          <w:rFonts w:ascii="Verdana" w:hAnsi="Verdana"/>
          <w:sz w:val="20"/>
          <w:lang w:val="pt-BR"/>
        </w:rPr>
        <w:t>tentar</w:t>
      </w:r>
      <w:r w:rsidRPr="002F50BD">
        <w:rPr>
          <w:rFonts w:ascii="Verdana" w:hAnsi="Verdana"/>
          <w:sz w:val="20"/>
          <w:lang w:val="pt-BR"/>
        </w:rPr>
        <w:t xml:space="preserve"> buscar </w:t>
      </w:r>
      <w:r w:rsidR="0089298C" w:rsidRPr="002F50BD">
        <w:rPr>
          <w:rFonts w:ascii="Verdana" w:hAnsi="Verdana"/>
          <w:sz w:val="20"/>
          <w:lang w:val="pt-BR"/>
        </w:rPr>
        <w:t>alguma</w:t>
      </w:r>
      <w:r w:rsidRPr="002F50BD">
        <w:rPr>
          <w:rFonts w:ascii="Verdana" w:hAnsi="Verdana"/>
          <w:sz w:val="20"/>
          <w:lang w:val="pt-BR"/>
        </w:rPr>
        <w:t xml:space="preserve"> </w:t>
      </w:r>
      <w:r w:rsidR="00367FD1" w:rsidRPr="002F50BD">
        <w:rPr>
          <w:rFonts w:ascii="Verdana" w:hAnsi="Verdana"/>
          <w:sz w:val="20"/>
          <w:lang w:val="pt-BR"/>
        </w:rPr>
        <w:t xml:space="preserve">solução </w:t>
      </w:r>
      <w:r w:rsidRPr="002F50BD">
        <w:rPr>
          <w:rFonts w:ascii="Verdana" w:hAnsi="Verdana"/>
          <w:sz w:val="20"/>
          <w:lang w:val="pt-BR"/>
        </w:rPr>
        <w:t xml:space="preserve">alternativa </w:t>
      </w:r>
      <w:r w:rsidR="0089298C" w:rsidRPr="002F50BD">
        <w:rPr>
          <w:rFonts w:ascii="Verdana" w:hAnsi="Verdana"/>
          <w:sz w:val="20"/>
          <w:lang w:val="pt-BR"/>
        </w:rPr>
        <w:t xml:space="preserve">à solicitação </w:t>
      </w:r>
      <w:r w:rsidRPr="002F50BD">
        <w:rPr>
          <w:rFonts w:ascii="Verdana" w:hAnsi="Verdana"/>
          <w:sz w:val="20"/>
          <w:lang w:val="pt-BR"/>
        </w:rPr>
        <w:t>de reivindica</w:t>
      </w:r>
      <w:r w:rsidR="0089298C" w:rsidRPr="002F50BD">
        <w:rPr>
          <w:rFonts w:ascii="Verdana" w:hAnsi="Verdana"/>
          <w:sz w:val="20"/>
          <w:lang w:val="pt-BR"/>
        </w:rPr>
        <w:t>ção</w:t>
      </w:r>
      <w:r w:rsidRPr="002F50BD">
        <w:rPr>
          <w:rFonts w:ascii="Verdana" w:hAnsi="Verdana"/>
          <w:sz w:val="20"/>
          <w:lang w:val="pt-BR"/>
        </w:rPr>
        <w:t xml:space="preserve"> de </w:t>
      </w:r>
      <w:r w:rsidR="00A50140" w:rsidRPr="002F50BD">
        <w:rPr>
          <w:rFonts w:ascii="Verdana" w:hAnsi="Verdana"/>
          <w:sz w:val="20"/>
          <w:lang w:val="pt-BR"/>
        </w:rPr>
        <w:t>suas terras</w:t>
      </w:r>
      <w:r w:rsidRPr="002F50BD">
        <w:rPr>
          <w:rFonts w:ascii="Verdana" w:hAnsi="Verdana"/>
          <w:sz w:val="20"/>
          <w:lang w:val="pt-BR"/>
        </w:rPr>
        <w:t xml:space="preserve"> </w:t>
      </w:r>
      <w:r w:rsidR="00AB454A" w:rsidRPr="002F50BD">
        <w:rPr>
          <w:rFonts w:ascii="Verdana" w:hAnsi="Verdana"/>
          <w:sz w:val="20"/>
          <w:lang w:val="pt-BR"/>
        </w:rPr>
        <w:t>ancestrais</w:t>
      </w:r>
      <w:r w:rsidRPr="002F50BD">
        <w:rPr>
          <w:rFonts w:ascii="Verdana" w:hAnsi="Verdana"/>
          <w:sz w:val="20"/>
          <w:lang w:val="pt-BR"/>
        </w:rPr>
        <w:t>. Para</w:t>
      </w:r>
      <w:r w:rsidR="0089298C" w:rsidRPr="002F50BD">
        <w:rPr>
          <w:rFonts w:ascii="Verdana" w:hAnsi="Verdana"/>
          <w:sz w:val="20"/>
          <w:lang w:val="pt-BR"/>
        </w:rPr>
        <w:t xml:space="preserve"> </w:t>
      </w:r>
      <w:r w:rsidR="00367FD1" w:rsidRPr="002F50BD">
        <w:rPr>
          <w:rFonts w:ascii="Verdana" w:hAnsi="Verdana"/>
          <w:sz w:val="20"/>
          <w:lang w:val="pt-BR"/>
        </w:rPr>
        <w:t>isso</w:t>
      </w:r>
      <w:r w:rsidRPr="002F50BD">
        <w:rPr>
          <w:rFonts w:ascii="Verdana" w:hAnsi="Verdana"/>
          <w:sz w:val="20"/>
          <w:lang w:val="pt-BR"/>
        </w:rPr>
        <w:t xml:space="preserve">, </w:t>
      </w:r>
      <w:r w:rsidR="0089298C" w:rsidRPr="002F50BD">
        <w:rPr>
          <w:rFonts w:ascii="Verdana" w:hAnsi="Verdana"/>
          <w:sz w:val="20"/>
          <w:lang w:val="pt-BR"/>
        </w:rPr>
        <w:t>solicitou uma ampl</w:t>
      </w:r>
      <w:r w:rsidR="00367FD1" w:rsidRPr="002F50BD">
        <w:rPr>
          <w:rFonts w:ascii="Verdana" w:hAnsi="Verdana"/>
          <w:sz w:val="20"/>
          <w:lang w:val="pt-BR"/>
        </w:rPr>
        <w:t>i</w:t>
      </w:r>
      <w:r w:rsidR="0089298C" w:rsidRPr="002F50BD">
        <w:rPr>
          <w:rFonts w:ascii="Verdana" w:hAnsi="Verdana"/>
          <w:sz w:val="20"/>
          <w:lang w:val="pt-BR"/>
        </w:rPr>
        <w:t>ação</w:t>
      </w:r>
      <w:r w:rsidRPr="002F50BD">
        <w:rPr>
          <w:rFonts w:ascii="Verdana" w:hAnsi="Verdana"/>
          <w:sz w:val="20"/>
          <w:lang w:val="pt-BR"/>
        </w:rPr>
        <w:t xml:space="preserve"> </w:t>
      </w:r>
      <w:r w:rsidR="00367FD1" w:rsidRPr="002F50BD">
        <w:rPr>
          <w:rFonts w:ascii="Verdana" w:hAnsi="Verdana"/>
          <w:sz w:val="20"/>
          <w:lang w:val="pt-BR"/>
        </w:rPr>
        <w:t>orçamentária</w:t>
      </w:r>
      <w:r w:rsidR="0089298C" w:rsidRPr="002F50BD">
        <w:rPr>
          <w:rFonts w:ascii="Verdana" w:hAnsi="Verdana"/>
          <w:sz w:val="20"/>
          <w:lang w:val="pt-BR"/>
        </w:rPr>
        <w:t xml:space="preserve"> com o </w:t>
      </w:r>
      <w:r w:rsidRPr="002F50BD">
        <w:rPr>
          <w:rFonts w:ascii="Verdana" w:hAnsi="Verdana"/>
          <w:sz w:val="20"/>
          <w:lang w:val="pt-BR"/>
        </w:rPr>
        <w:t>objet</w:t>
      </w:r>
      <w:r w:rsidR="00367FD1" w:rsidRPr="002F50BD">
        <w:rPr>
          <w:rFonts w:ascii="Verdana" w:hAnsi="Verdana"/>
          <w:sz w:val="20"/>
          <w:lang w:val="pt-BR"/>
        </w:rPr>
        <w:t>iv</w:t>
      </w:r>
      <w:r w:rsidRPr="002F50BD">
        <w:rPr>
          <w:rFonts w:ascii="Verdana" w:hAnsi="Verdana"/>
          <w:sz w:val="20"/>
          <w:lang w:val="pt-BR"/>
        </w:rPr>
        <w:t xml:space="preserve">o de </w:t>
      </w:r>
      <w:r w:rsidR="0089298C" w:rsidRPr="002F50BD">
        <w:rPr>
          <w:rFonts w:ascii="Verdana" w:hAnsi="Verdana"/>
          <w:sz w:val="20"/>
          <w:lang w:val="pt-BR"/>
        </w:rPr>
        <w:t>obter</w:t>
      </w:r>
      <w:r w:rsidRPr="002F50BD">
        <w:rPr>
          <w:rFonts w:ascii="Verdana" w:hAnsi="Verdana"/>
          <w:sz w:val="20"/>
          <w:lang w:val="pt-BR"/>
        </w:rPr>
        <w:t xml:space="preserve"> recursos </w:t>
      </w:r>
      <w:r w:rsidR="0089298C" w:rsidRPr="002F50BD">
        <w:rPr>
          <w:rFonts w:ascii="Verdana" w:hAnsi="Verdana"/>
          <w:sz w:val="20"/>
          <w:lang w:val="pt-BR"/>
        </w:rPr>
        <w:t>econômic</w:t>
      </w:r>
      <w:r w:rsidRPr="002F50BD">
        <w:rPr>
          <w:rFonts w:ascii="Verdana" w:hAnsi="Verdana"/>
          <w:sz w:val="20"/>
          <w:lang w:val="pt-BR"/>
        </w:rPr>
        <w:t>os para</w:t>
      </w:r>
      <w:r w:rsidR="0089298C" w:rsidRPr="002F50BD">
        <w:rPr>
          <w:rFonts w:ascii="Verdana" w:hAnsi="Verdana"/>
          <w:sz w:val="20"/>
          <w:lang w:val="pt-BR"/>
        </w:rPr>
        <w:t xml:space="preserve"> a </w:t>
      </w:r>
      <w:r w:rsidRPr="002F50BD">
        <w:rPr>
          <w:rFonts w:ascii="Verdana" w:hAnsi="Verdana"/>
          <w:sz w:val="20"/>
          <w:lang w:val="pt-BR"/>
        </w:rPr>
        <w:t>aquisi</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alguma</w:t>
      </w:r>
      <w:r w:rsidRPr="002F50BD">
        <w:rPr>
          <w:rFonts w:ascii="Verdana" w:hAnsi="Verdana"/>
          <w:sz w:val="20"/>
          <w:lang w:val="pt-BR"/>
        </w:rPr>
        <w:t xml:space="preserve"> </w:t>
      </w:r>
      <w:r w:rsidR="0089298C" w:rsidRPr="002F50BD">
        <w:rPr>
          <w:rFonts w:ascii="Verdana" w:hAnsi="Verdana"/>
          <w:sz w:val="20"/>
          <w:lang w:val="pt-BR"/>
        </w:rPr>
        <w:t>propriedade</w:t>
      </w:r>
      <w:r w:rsidRPr="002F50BD">
        <w:rPr>
          <w:rFonts w:ascii="Verdana" w:hAnsi="Verdana"/>
          <w:sz w:val="20"/>
          <w:lang w:val="pt-BR"/>
        </w:rPr>
        <w:t xml:space="preserve"> que satisf</w:t>
      </w:r>
      <w:r w:rsidR="00367FD1" w:rsidRPr="002F50BD">
        <w:rPr>
          <w:rFonts w:ascii="Verdana" w:hAnsi="Verdana"/>
          <w:sz w:val="20"/>
          <w:lang w:val="pt-BR"/>
        </w:rPr>
        <w:t>izesse</w:t>
      </w:r>
      <w:r w:rsidR="0089298C" w:rsidRPr="002F50BD">
        <w:rPr>
          <w:rFonts w:ascii="Verdana" w:hAnsi="Verdana"/>
          <w:sz w:val="20"/>
          <w:lang w:val="pt-BR"/>
        </w:rPr>
        <w:t xml:space="preserve"> os interesses dos membro</w:t>
      </w:r>
      <w:r w:rsidRPr="002F50BD">
        <w:rPr>
          <w:rFonts w:ascii="Verdana" w:hAnsi="Verdana"/>
          <w:sz w:val="20"/>
          <w:lang w:val="pt-BR"/>
        </w:rPr>
        <w:t>s</w:t>
      </w:r>
      <w:r w:rsidR="0089298C" w:rsidRPr="002F50BD">
        <w:rPr>
          <w:rFonts w:ascii="Verdana" w:hAnsi="Verdana"/>
          <w:sz w:val="20"/>
          <w:lang w:val="pt-BR"/>
        </w:rPr>
        <w:t xml:space="preserve"> da </w:t>
      </w:r>
      <w:r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que</w:t>
      </w:r>
      <w:r w:rsidRPr="002F50BD">
        <w:rPr>
          <w:rFonts w:ascii="Verdana" w:hAnsi="Verdana"/>
          <w:sz w:val="20"/>
          <w:lang w:val="pt-BR"/>
        </w:rPr>
        <w:t xml:space="preserve"> </w:t>
      </w:r>
      <w:r w:rsidR="0089298C" w:rsidRPr="002F50BD">
        <w:rPr>
          <w:rFonts w:ascii="Verdana" w:hAnsi="Verdana"/>
          <w:sz w:val="20"/>
          <w:lang w:val="pt-BR"/>
        </w:rPr>
        <w:t>demonstrar</w:t>
      </w:r>
      <w:r w:rsidR="00367FD1" w:rsidRPr="002F50BD">
        <w:rPr>
          <w:rFonts w:ascii="Verdana" w:hAnsi="Verdana"/>
          <w:sz w:val="20"/>
          <w:lang w:val="pt-BR"/>
        </w:rPr>
        <w:t>am</w:t>
      </w:r>
      <w:r w:rsidRPr="002F50BD">
        <w:rPr>
          <w:rFonts w:ascii="Verdana" w:hAnsi="Verdana"/>
          <w:sz w:val="20"/>
          <w:lang w:val="pt-BR"/>
        </w:rPr>
        <w:t xml:space="preserve"> estar </w:t>
      </w:r>
      <w:r w:rsidR="0089298C" w:rsidRPr="002F50BD">
        <w:rPr>
          <w:rFonts w:ascii="Verdana" w:hAnsi="Verdana"/>
          <w:sz w:val="20"/>
          <w:lang w:val="pt-BR"/>
        </w:rPr>
        <w:t>abert</w:t>
      </w:r>
      <w:r w:rsidRPr="002F50BD">
        <w:rPr>
          <w:rFonts w:ascii="Verdana" w:hAnsi="Verdana"/>
          <w:sz w:val="20"/>
          <w:lang w:val="pt-BR"/>
        </w:rPr>
        <w:t>os</w:t>
      </w:r>
      <w:r w:rsidR="0089298C" w:rsidRPr="002F50BD">
        <w:rPr>
          <w:rFonts w:ascii="Verdana" w:hAnsi="Verdana"/>
          <w:sz w:val="20"/>
          <w:lang w:val="pt-BR"/>
        </w:rPr>
        <w:t xml:space="preserve"> à busca desta </w:t>
      </w:r>
      <w:r w:rsidRPr="002F50BD">
        <w:rPr>
          <w:rFonts w:ascii="Verdana" w:hAnsi="Verdana"/>
          <w:sz w:val="20"/>
          <w:lang w:val="pt-BR"/>
        </w:rPr>
        <w:t>alternativa.</w:t>
      </w:r>
      <w:r w:rsidR="00FE08B7">
        <w:rPr>
          <w:rFonts w:ascii="Verdana" w:hAnsi="Verdana"/>
          <w:sz w:val="20"/>
          <w:lang w:val="pt-BR"/>
        </w:rPr>
        <w:t xml:space="preserve"> </w:t>
      </w:r>
      <w:r w:rsidR="00367FD1" w:rsidRPr="002F50BD">
        <w:rPr>
          <w:rFonts w:ascii="Verdana" w:hAnsi="Verdana"/>
          <w:sz w:val="20"/>
          <w:lang w:val="pt-BR"/>
        </w:rPr>
        <w:t xml:space="preserve">Infelizmente, </w:t>
      </w:r>
      <w:r w:rsidR="0089298C" w:rsidRPr="002F50BD">
        <w:rPr>
          <w:rFonts w:ascii="Verdana" w:hAnsi="Verdana"/>
          <w:sz w:val="20"/>
          <w:lang w:val="pt-BR"/>
        </w:rPr>
        <w:t>e</w:t>
      </w:r>
      <w:r w:rsidR="004076AD" w:rsidRPr="002F50BD">
        <w:rPr>
          <w:rFonts w:ascii="Verdana" w:hAnsi="Verdana"/>
          <w:sz w:val="20"/>
          <w:lang w:val="pt-BR"/>
        </w:rPr>
        <w:t xml:space="preserve"> apesar </w:t>
      </w:r>
      <w:r w:rsidR="0089298C" w:rsidRPr="002F50BD">
        <w:rPr>
          <w:rFonts w:ascii="Verdana" w:hAnsi="Verdana"/>
          <w:sz w:val="20"/>
          <w:lang w:val="pt-BR"/>
        </w:rPr>
        <w:t>do esforço</w:t>
      </w:r>
      <w:r w:rsidRPr="002F50BD">
        <w:rPr>
          <w:rFonts w:ascii="Verdana" w:hAnsi="Verdana"/>
          <w:sz w:val="20"/>
          <w:lang w:val="pt-BR"/>
        </w:rPr>
        <w:t xml:space="preserve"> realizado</w:t>
      </w:r>
      <w:r w:rsidR="0089298C" w:rsidRPr="002F50BD">
        <w:rPr>
          <w:rFonts w:ascii="Verdana" w:hAnsi="Verdana"/>
          <w:sz w:val="20"/>
          <w:lang w:val="pt-BR"/>
        </w:rPr>
        <w:t xml:space="preserve"> pelo Governo</w:t>
      </w:r>
      <w:r w:rsidRPr="002F50BD">
        <w:rPr>
          <w:rFonts w:ascii="Verdana" w:hAnsi="Verdana"/>
          <w:sz w:val="20"/>
          <w:lang w:val="pt-BR"/>
        </w:rPr>
        <w:t xml:space="preserve"> Nacional,</w:t>
      </w:r>
      <w:r w:rsidR="0089298C" w:rsidRPr="002F50BD">
        <w:rPr>
          <w:rFonts w:ascii="Verdana" w:hAnsi="Verdana"/>
          <w:sz w:val="20"/>
          <w:lang w:val="pt-BR"/>
        </w:rPr>
        <w:t xml:space="preserve"> o projeto foi </w:t>
      </w:r>
      <w:r w:rsidR="00E221FD">
        <w:rPr>
          <w:rFonts w:ascii="Verdana" w:hAnsi="Verdana"/>
          <w:sz w:val="20"/>
          <w:lang w:val="pt-BR"/>
        </w:rPr>
        <w:t>rejeitado</w:t>
      </w:r>
      <w:r w:rsidR="0089298C" w:rsidRPr="002F50BD">
        <w:rPr>
          <w:rFonts w:ascii="Verdana" w:hAnsi="Verdana"/>
          <w:sz w:val="20"/>
          <w:lang w:val="pt-BR"/>
        </w:rPr>
        <w:t xml:space="preserve"> pela </w:t>
      </w:r>
      <w:r w:rsidRPr="002F50BD">
        <w:rPr>
          <w:rFonts w:ascii="Verdana" w:hAnsi="Verdana"/>
          <w:sz w:val="20"/>
          <w:lang w:val="pt-BR"/>
        </w:rPr>
        <w:t>C</w:t>
      </w:r>
      <w:r w:rsidR="00367FD1" w:rsidRPr="002F50BD">
        <w:rPr>
          <w:rFonts w:ascii="Verdana" w:hAnsi="Verdana"/>
          <w:sz w:val="20"/>
          <w:lang w:val="pt-BR"/>
        </w:rPr>
        <w:t>â</w:t>
      </w:r>
      <w:r w:rsidRPr="002F50BD">
        <w:rPr>
          <w:rFonts w:ascii="Verdana" w:hAnsi="Verdana"/>
          <w:sz w:val="20"/>
          <w:lang w:val="pt-BR"/>
        </w:rPr>
        <w:t xml:space="preserve">mara de Senadores </w:t>
      </w:r>
      <w:r w:rsidR="0089298C" w:rsidRPr="002F50BD">
        <w:rPr>
          <w:rFonts w:ascii="Verdana" w:hAnsi="Verdana"/>
          <w:sz w:val="20"/>
          <w:lang w:val="pt-BR"/>
        </w:rPr>
        <w:t>do Congresso</w:t>
      </w:r>
      <w:r w:rsidRPr="002F50BD">
        <w:rPr>
          <w:rFonts w:ascii="Verdana" w:hAnsi="Verdana"/>
          <w:sz w:val="20"/>
          <w:lang w:val="pt-BR"/>
        </w:rPr>
        <w:t xml:space="preserve"> Nacional. </w:t>
      </w:r>
      <w:r w:rsidR="00367FD1" w:rsidRPr="002F50BD">
        <w:rPr>
          <w:rFonts w:ascii="Verdana" w:hAnsi="Verdana"/>
          <w:sz w:val="20"/>
          <w:lang w:val="pt-BR"/>
        </w:rPr>
        <w:t>E</w:t>
      </w:r>
      <w:r w:rsidR="0089298C" w:rsidRPr="002F50BD">
        <w:rPr>
          <w:rFonts w:ascii="Verdana" w:hAnsi="Verdana"/>
          <w:sz w:val="20"/>
          <w:lang w:val="pt-BR"/>
        </w:rPr>
        <w:t>m outra oportunidade</w:t>
      </w:r>
      <w:r w:rsidR="006F3519" w:rsidRPr="002F50BD">
        <w:rPr>
          <w:rFonts w:ascii="Verdana" w:hAnsi="Verdana"/>
          <w:sz w:val="20"/>
          <w:lang w:val="pt-BR"/>
        </w:rPr>
        <w:t>,</w:t>
      </w:r>
      <w:r w:rsidR="0089298C" w:rsidRPr="002F50BD">
        <w:rPr>
          <w:rFonts w:ascii="Verdana" w:hAnsi="Verdana"/>
          <w:sz w:val="20"/>
          <w:lang w:val="pt-BR"/>
        </w:rPr>
        <w:t xml:space="preserve"> </w:t>
      </w:r>
      <w:r w:rsidR="00367FD1" w:rsidRPr="002F50BD">
        <w:rPr>
          <w:rFonts w:ascii="Verdana" w:hAnsi="Verdana"/>
          <w:sz w:val="20"/>
          <w:lang w:val="pt-BR"/>
        </w:rPr>
        <w:t xml:space="preserve">foi feita </w:t>
      </w:r>
      <w:r w:rsidR="0089298C" w:rsidRPr="002F50BD">
        <w:rPr>
          <w:rFonts w:ascii="Verdana" w:hAnsi="Verdana"/>
          <w:sz w:val="20"/>
          <w:lang w:val="pt-BR"/>
        </w:rPr>
        <w:t xml:space="preserve">uma </w:t>
      </w:r>
      <w:r w:rsidRPr="002F50BD">
        <w:rPr>
          <w:rFonts w:ascii="Verdana" w:hAnsi="Verdana"/>
          <w:sz w:val="20"/>
          <w:lang w:val="pt-BR"/>
        </w:rPr>
        <w:t>consulta</w:t>
      </w:r>
      <w:r w:rsidR="0089298C" w:rsidRPr="002F50BD">
        <w:rPr>
          <w:rFonts w:ascii="Verdana" w:hAnsi="Verdana"/>
          <w:sz w:val="20"/>
          <w:lang w:val="pt-BR"/>
        </w:rPr>
        <w:t xml:space="preserve"> aos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 para</w:t>
      </w:r>
      <w:r w:rsidR="0089298C" w:rsidRPr="002F50BD">
        <w:rPr>
          <w:rFonts w:ascii="Verdana" w:hAnsi="Verdana"/>
          <w:sz w:val="20"/>
          <w:lang w:val="pt-BR"/>
        </w:rPr>
        <w:t xml:space="preserve"> a </w:t>
      </w:r>
      <w:r w:rsidRPr="002F50BD">
        <w:rPr>
          <w:rFonts w:ascii="Verdana" w:hAnsi="Verdana"/>
          <w:sz w:val="20"/>
          <w:lang w:val="pt-BR"/>
        </w:rPr>
        <w:t>aquisi</w:t>
      </w:r>
      <w:r w:rsidR="0089298C" w:rsidRPr="002F50BD">
        <w:rPr>
          <w:rFonts w:ascii="Verdana" w:hAnsi="Verdana"/>
          <w:sz w:val="20"/>
          <w:lang w:val="pt-BR"/>
        </w:rPr>
        <w:t>ção</w:t>
      </w:r>
      <w:r w:rsidRPr="002F50BD">
        <w:rPr>
          <w:rFonts w:ascii="Verdana" w:hAnsi="Verdana"/>
          <w:sz w:val="20"/>
          <w:lang w:val="pt-BR"/>
        </w:rPr>
        <w:t xml:space="preserve"> de </w:t>
      </w:r>
      <w:r w:rsidR="00063B47" w:rsidRPr="002F50BD">
        <w:rPr>
          <w:rFonts w:ascii="Verdana" w:hAnsi="Verdana"/>
          <w:sz w:val="20"/>
          <w:lang w:val="pt-BR"/>
        </w:rPr>
        <w:t>25</w:t>
      </w:r>
      <w:r w:rsidRPr="002F50BD">
        <w:rPr>
          <w:rFonts w:ascii="Verdana" w:hAnsi="Verdana"/>
          <w:sz w:val="20"/>
          <w:lang w:val="pt-BR"/>
        </w:rPr>
        <w:t>.</w:t>
      </w:r>
      <w:r w:rsidR="00063B47" w:rsidRPr="002F50BD">
        <w:rPr>
          <w:rFonts w:ascii="Verdana" w:hAnsi="Verdana"/>
          <w:sz w:val="20"/>
          <w:lang w:val="pt-BR"/>
        </w:rPr>
        <w:t>000</w:t>
      </w:r>
      <w:r w:rsidRPr="002F50BD">
        <w:rPr>
          <w:rFonts w:ascii="Verdana" w:hAnsi="Verdana"/>
          <w:sz w:val="20"/>
          <w:lang w:val="pt-BR"/>
        </w:rPr>
        <w:t xml:space="preserve"> </w:t>
      </w:r>
      <w:r w:rsidR="00E10DBB" w:rsidRPr="002F50BD">
        <w:rPr>
          <w:rFonts w:ascii="Verdana" w:hAnsi="Verdana"/>
          <w:sz w:val="20"/>
          <w:lang w:val="pt-BR"/>
        </w:rPr>
        <w:t>hectares</w:t>
      </w:r>
      <w:r w:rsidR="0089298C" w:rsidRPr="002F50BD">
        <w:rPr>
          <w:rFonts w:ascii="Verdana" w:hAnsi="Verdana"/>
          <w:sz w:val="20"/>
          <w:lang w:val="pt-BR"/>
        </w:rPr>
        <w:t xml:space="preserve"> </w:t>
      </w:r>
      <w:r w:rsidR="00367FD1" w:rsidRPr="002F50BD">
        <w:rPr>
          <w:rFonts w:ascii="Verdana" w:hAnsi="Verdana"/>
          <w:sz w:val="20"/>
          <w:lang w:val="pt-BR"/>
        </w:rPr>
        <w:t>próximos a</w:t>
      </w:r>
      <w:r w:rsidR="0089298C" w:rsidRPr="002F50BD">
        <w:rPr>
          <w:rFonts w:ascii="Verdana" w:hAnsi="Verdana"/>
          <w:sz w:val="20"/>
          <w:lang w:val="pt-BR"/>
        </w:rPr>
        <w:t xml:space="preserve">o </w:t>
      </w:r>
      <w:r w:rsidRPr="002F50BD">
        <w:rPr>
          <w:rFonts w:ascii="Verdana" w:hAnsi="Verdana"/>
          <w:sz w:val="20"/>
          <w:lang w:val="pt-BR"/>
        </w:rPr>
        <w:t xml:space="preserve">lugar reivindicado por </w:t>
      </w:r>
      <w:r w:rsidR="00367FD1" w:rsidRPr="002F50BD">
        <w:rPr>
          <w:rFonts w:ascii="Verdana" w:hAnsi="Verdana"/>
          <w:sz w:val="20"/>
          <w:lang w:val="pt-BR"/>
        </w:rPr>
        <w:t>ela</w:t>
      </w:r>
      <w:r w:rsidRPr="002F50BD">
        <w:rPr>
          <w:rFonts w:ascii="Verdana" w:hAnsi="Verdana"/>
          <w:sz w:val="20"/>
          <w:lang w:val="pt-BR"/>
        </w:rPr>
        <w:t>;</w:t>
      </w:r>
      <w:r w:rsidR="0089298C" w:rsidRPr="002F50BD">
        <w:rPr>
          <w:rFonts w:ascii="Verdana" w:hAnsi="Verdana"/>
          <w:sz w:val="20"/>
          <w:lang w:val="pt-BR"/>
        </w:rPr>
        <w:t xml:space="preserve"> </w:t>
      </w:r>
      <w:r w:rsidR="00367FD1" w:rsidRPr="002F50BD">
        <w:rPr>
          <w:rFonts w:ascii="Verdana" w:hAnsi="Verdana"/>
          <w:sz w:val="20"/>
          <w:lang w:val="pt-BR"/>
        </w:rPr>
        <w:t>no entanto</w:t>
      </w:r>
      <w:r w:rsidRPr="002F50BD">
        <w:rPr>
          <w:rFonts w:ascii="Verdana" w:hAnsi="Verdana"/>
          <w:sz w:val="20"/>
          <w:lang w:val="pt-BR"/>
        </w:rPr>
        <w:t xml:space="preserve">, esta </w:t>
      </w:r>
      <w:r w:rsidR="0089298C" w:rsidRPr="002F50BD">
        <w:rPr>
          <w:rFonts w:ascii="Verdana" w:hAnsi="Verdana"/>
          <w:sz w:val="20"/>
          <w:lang w:val="pt-BR"/>
        </w:rPr>
        <w:t>propost</w:t>
      </w:r>
      <w:r w:rsidRPr="002F50BD">
        <w:rPr>
          <w:rFonts w:ascii="Verdana" w:hAnsi="Verdana"/>
          <w:sz w:val="20"/>
          <w:lang w:val="pt-BR"/>
        </w:rPr>
        <w:t>a</w:t>
      </w:r>
      <w:r w:rsidR="0089298C" w:rsidRPr="002F50BD">
        <w:rPr>
          <w:rFonts w:ascii="Verdana" w:hAnsi="Verdana"/>
          <w:sz w:val="20"/>
          <w:lang w:val="pt-BR"/>
        </w:rPr>
        <w:t xml:space="preserve"> foi </w:t>
      </w:r>
      <w:r w:rsidR="00E221FD">
        <w:rPr>
          <w:rFonts w:ascii="Verdana" w:hAnsi="Verdana"/>
          <w:sz w:val="20"/>
          <w:lang w:val="pt-BR"/>
        </w:rPr>
        <w:t>rejeitada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membro</w:t>
      </w:r>
      <w:r w:rsidRPr="002F50BD">
        <w:rPr>
          <w:rFonts w:ascii="Verdana" w:hAnsi="Verdana"/>
          <w:sz w:val="20"/>
          <w:lang w:val="pt-BR"/>
        </w:rPr>
        <w:t>s</w:t>
      </w:r>
      <w:r w:rsidR="0089298C" w:rsidRPr="002F50BD">
        <w:rPr>
          <w:rFonts w:ascii="Verdana" w:hAnsi="Verdana"/>
          <w:sz w:val="20"/>
          <w:lang w:val="pt-BR"/>
        </w:rPr>
        <w:t xml:space="preserve"> da Comunidade em razão</w:t>
      </w:r>
      <w:r w:rsidRPr="002F50BD">
        <w:rPr>
          <w:rFonts w:ascii="Verdana" w:hAnsi="Verdana"/>
          <w:sz w:val="20"/>
          <w:lang w:val="pt-BR"/>
        </w:rPr>
        <w:t xml:space="preserve"> de que </w:t>
      </w:r>
      <w:r w:rsidR="0089298C" w:rsidRPr="002F50BD">
        <w:rPr>
          <w:rFonts w:ascii="Verdana" w:hAnsi="Verdana"/>
          <w:sz w:val="20"/>
          <w:lang w:val="pt-BR"/>
        </w:rPr>
        <w:t>este</w:t>
      </w:r>
      <w:r w:rsidRPr="002F50BD">
        <w:rPr>
          <w:rFonts w:ascii="Verdana" w:hAnsi="Verdana"/>
          <w:sz w:val="20"/>
          <w:lang w:val="pt-BR"/>
        </w:rPr>
        <w:t xml:space="preserve"> lugar </w:t>
      </w:r>
      <w:r w:rsidR="0089298C" w:rsidRPr="002F50BD">
        <w:rPr>
          <w:rFonts w:ascii="Verdana" w:hAnsi="Verdana"/>
          <w:sz w:val="20"/>
          <w:lang w:val="pt-BR"/>
        </w:rPr>
        <w:t>estava</w:t>
      </w:r>
      <w:r w:rsidRPr="002F50BD">
        <w:rPr>
          <w:rFonts w:ascii="Verdana" w:hAnsi="Verdana"/>
          <w:sz w:val="20"/>
          <w:lang w:val="pt-BR"/>
        </w:rPr>
        <w:t xml:space="preserve"> </w:t>
      </w:r>
      <w:r w:rsidR="0089298C" w:rsidRPr="002F50BD">
        <w:rPr>
          <w:rFonts w:ascii="Verdana" w:hAnsi="Verdana"/>
          <w:sz w:val="20"/>
          <w:lang w:val="pt-BR"/>
        </w:rPr>
        <w:t>sendo</w:t>
      </w:r>
      <w:r w:rsidRPr="002F50BD">
        <w:rPr>
          <w:rFonts w:ascii="Verdana" w:hAnsi="Verdana"/>
          <w:sz w:val="20"/>
          <w:lang w:val="pt-BR"/>
        </w:rPr>
        <w:t xml:space="preserve"> reclamado por</w:t>
      </w:r>
      <w:r w:rsidR="0089298C" w:rsidRPr="002F50BD">
        <w:rPr>
          <w:rFonts w:ascii="Verdana" w:hAnsi="Verdana"/>
          <w:sz w:val="20"/>
          <w:lang w:val="pt-BR"/>
        </w:rPr>
        <w:t xml:space="preserve"> outra comunidade </w:t>
      </w:r>
      <w:r w:rsidRPr="002F50BD">
        <w:rPr>
          <w:rFonts w:ascii="Verdana" w:hAnsi="Verdana"/>
          <w:sz w:val="20"/>
          <w:lang w:val="pt-BR"/>
        </w:rPr>
        <w:t xml:space="preserve">indígena </w:t>
      </w:r>
      <w:r w:rsidR="0089298C" w:rsidRPr="002F50BD">
        <w:rPr>
          <w:rFonts w:ascii="Verdana" w:hAnsi="Verdana"/>
          <w:sz w:val="20"/>
          <w:lang w:val="pt-BR"/>
        </w:rPr>
        <w:t>vizinha</w:t>
      </w:r>
      <w:r w:rsidR="00D95E71" w:rsidRPr="002F50BD">
        <w:rPr>
          <w:rFonts w:ascii="Verdana" w:hAnsi="Verdana"/>
          <w:sz w:val="20"/>
          <w:lang w:val="pt-BR"/>
        </w:rPr>
        <w:t xml:space="preserve">. O </w:t>
      </w:r>
      <w:r w:rsidRPr="002F50BD">
        <w:rPr>
          <w:rFonts w:ascii="Verdana" w:hAnsi="Verdana"/>
          <w:sz w:val="20"/>
          <w:lang w:val="pt-BR"/>
        </w:rPr>
        <w:t xml:space="preserve">Instituto </w:t>
      </w:r>
      <w:r w:rsidR="0089298C" w:rsidRPr="002F50BD">
        <w:rPr>
          <w:rFonts w:ascii="Verdana" w:hAnsi="Verdana"/>
          <w:sz w:val="20"/>
          <w:lang w:val="pt-BR"/>
        </w:rPr>
        <w:t>Paraguai</w:t>
      </w:r>
      <w:r w:rsidRPr="002F50BD">
        <w:rPr>
          <w:rFonts w:ascii="Verdana" w:hAnsi="Verdana"/>
          <w:sz w:val="20"/>
          <w:lang w:val="pt-BR"/>
        </w:rPr>
        <w:t xml:space="preserve">o </w:t>
      </w:r>
      <w:r w:rsidR="0089298C" w:rsidRPr="002F50BD">
        <w:rPr>
          <w:rFonts w:ascii="Verdana" w:hAnsi="Verdana"/>
          <w:sz w:val="20"/>
          <w:lang w:val="pt-BR"/>
        </w:rPr>
        <w:t xml:space="preserve">do </w:t>
      </w:r>
      <w:r w:rsidRPr="002F50BD">
        <w:rPr>
          <w:rFonts w:ascii="Verdana" w:hAnsi="Verdana"/>
          <w:sz w:val="20"/>
          <w:lang w:val="pt-BR"/>
        </w:rPr>
        <w:t>Indígena, n</w:t>
      </w:r>
      <w:r w:rsidR="00367FD1" w:rsidRPr="002F50BD">
        <w:rPr>
          <w:rFonts w:ascii="Verdana" w:hAnsi="Verdana"/>
          <w:sz w:val="20"/>
          <w:lang w:val="pt-BR"/>
        </w:rPr>
        <w:t>ã</w:t>
      </w:r>
      <w:r w:rsidRPr="002F50BD">
        <w:rPr>
          <w:rFonts w:ascii="Verdana" w:hAnsi="Verdana"/>
          <w:sz w:val="20"/>
          <w:lang w:val="pt-BR"/>
        </w:rPr>
        <w:t>o obstante</w:t>
      </w:r>
      <w:r w:rsidR="00367FD1" w:rsidRPr="002F50BD">
        <w:rPr>
          <w:rFonts w:ascii="Verdana" w:hAnsi="Verdana"/>
          <w:sz w:val="20"/>
          <w:lang w:val="pt-BR"/>
        </w:rPr>
        <w:t xml:space="preserve"> isso</w:t>
      </w:r>
      <w:r w:rsidRPr="002F50BD">
        <w:rPr>
          <w:rFonts w:ascii="Verdana" w:hAnsi="Verdana"/>
          <w:sz w:val="20"/>
          <w:lang w:val="pt-BR"/>
        </w:rPr>
        <w:t>,</w:t>
      </w:r>
      <w:r w:rsidR="00367FD1" w:rsidRPr="002F50BD">
        <w:rPr>
          <w:rFonts w:ascii="Verdana" w:hAnsi="Verdana"/>
          <w:sz w:val="20"/>
          <w:lang w:val="pt-BR"/>
        </w:rPr>
        <w:t xml:space="preserve"> </w:t>
      </w:r>
      <w:r w:rsidR="006F3519" w:rsidRPr="002F50BD">
        <w:rPr>
          <w:rFonts w:ascii="Verdana" w:hAnsi="Verdana"/>
          <w:sz w:val="20"/>
          <w:lang w:val="pt-BR"/>
        </w:rPr>
        <w:t>pretende</w:t>
      </w:r>
      <w:r w:rsidRPr="002F50BD">
        <w:rPr>
          <w:rFonts w:ascii="Verdana" w:hAnsi="Verdana"/>
          <w:sz w:val="20"/>
          <w:lang w:val="pt-BR"/>
        </w:rPr>
        <w:t xml:space="preserve"> </w:t>
      </w:r>
      <w:r w:rsidR="00367FD1" w:rsidRPr="002F50BD">
        <w:rPr>
          <w:rFonts w:ascii="Verdana" w:hAnsi="Verdana"/>
          <w:sz w:val="20"/>
          <w:lang w:val="pt-BR"/>
        </w:rPr>
        <w:t xml:space="preserve">continuar </w:t>
      </w:r>
      <w:r w:rsidR="00CA5630" w:rsidRPr="002F50BD">
        <w:rPr>
          <w:rFonts w:ascii="Verdana" w:hAnsi="Verdana"/>
          <w:sz w:val="20"/>
          <w:lang w:val="pt-BR"/>
        </w:rPr>
        <w:t>busca</w:t>
      </w:r>
      <w:r w:rsidR="004F64EE" w:rsidRPr="002F50BD">
        <w:rPr>
          <w:rFonts w:ascii="Verdana" w:hAnsi="Verdana"/>
          <w:sz w:val="20"/>
          <w:lang w:val="pt-BR"/>
        </w:rPr>
        <w:t>n</w:t>
      </w:r>
      <w:r w:rsidR="00367FD1" w:rsidRPr="002F50BD">
        <w:rPr>
          <w:rFonts w:ascii="Verdana" w:hAnsi="Verdana"/>
          <w:sz w:val="20"/>
          <w:lang w:val="pt-BR"/>
        </w:rPr>
        <w:t xml:space="preserve">do uma </w:t>
      </w:r>
      <w:r w:rsidRPr="002F50BD">
        <w:rPr>
          <w:rFonts w:ascii="Verdana" w:hAnsi="Verdana"/>
          <w:sz w:val="20"/>
          <w:lang w:val="pt-BR"/>
        </w:rPr>
        <w:t>solu</w:t>
      </w:r>
      <w:r w:rsidR="0089298C" w:rsidRPr="002F50BD">
        <w:rPr>
          <w:rFonts w:ascii="Verdana" w:hAnsi="Verdana"/>
          <w:sz w:val="20"/>
          <w:lang w:val="pt-BR"/>
        </w:rPr>
        <w:t>ção</w:t>
      </w:r>
      <w:r w:rsidRPr="002F50BD">
        <w:rPr>
          <w:rFonts w:ascii="Verdana" w:hAnsi="Verdana"/>
          <w:sz w:val="20"/>
          <w:lang w:val="pt-BR"/>
        </w:rPr>
        <w:t xml:space="preserve"> </w:t>
      </w:r>
      <w:r w:rsidR="00367FD1" w:rsidRPr="002F50BD">
        <w:rPr>
          <w:rFonts w:ascii="Verdana" w:hAnsi="Verdana"/>
          <w:sz w:val="20"/>
          <w:lang w:val="pt-BR"/>
        </w:rPr>
        <w:t xml:space="preserve">para </w:t>
      </w:r>
      <w:r w:rsidR="0089298C" w:rsidRPr="002F50BD">
        <w:rPr>
          <w:rFonts w:ascii="Verdana" w:hAnsi="Verdana"/>
          <w:sz w:val="20"/>
          <w:lang w:val="pt-BR"/>
        </w:rPr>
        <w:t xml:space="preserve">o </w:t>
      </w:r>
      <w:r w:rsidRPr="002F50BD">
        <w:rPr>
          <w:rFonts w:ascii="Verdana" w:hAnsi="Verdana"/>
          <w:sz w:val="20"/>
          <w:lang w:val="pt-BR"/>
        </w:rPr>
        <w:t xml:space="preserve">pedido de </w:t>
      </w:r>
      <w:r w:rsidR="0089298C" w:rsidRPr="002F50BD">
        <w:rPr>
          <w:rFonts w:ascii="Verdana" w:hAnsi="Verdana"/>
          <w:sz w:val="20"/>
          <w:lang w:val="pt-BR"/>
        </w:rPr>
        <w:t>terra</w:t>
      </w:r>
      <w:r w:rsidRPr="002F50BD">
        <w:rPr>
          <w:rFonts w:ascii="Verdana" w:hAnsi="Verdana"/>
          <w:sz w:val="20"/>
          <w:lang w:val="pt-BR"/>
        </w:rPr>
        <w:t>s</w:t>
      </w:r>
      <w:r w:rsidR="0089298C" w:rsidRPr="002F50BD">
        <w:rPr>
          <w:rFonts w:ascii="Verdana" w:hAnsi="Verdana"/>
          <w:sz w:val="20"/>
          <w:lang w:val="pt-BR"/>
        </w:rPr>
        <w:t xml:space="preserve"> da Comunidade e </w:t>
      </w:r>
      <w:r w:rsidRPr="002F50BD">
        <w:rPr>
          <w:rFonts w:ascii="Verdana" w:hAnsi="Verdana"/>
          <w:sz w:val="20"/>
          <w:lang w:val="pt-BR"/>
        </w:rPr>
        <w:t>busca</w:t>
      </w:r>
      <w:r w:rsidR="006F3519" w:rsidRPr="002F50BD">
        <w:rPr>
          <w:rFonts w:ascii="Verdana" w:hAnsi="Verdana"/>
          <w:sz w:val="20"/>
          <w:lang w:val="pt-BR"/>
        </w:rPr>
        <w:t>ndo</w:t>
      </w:r>
      <w:r w:rsidR="0089298C" w:rsidRPr="002F50BD">
        <w:rPr>
          <w:rFonts w:ascii="Verdana" w:hAnsi="Verdana"/>
          <w:sz w:val="20"/>
          <w:lang w:val="pt-BR"/>
        </w:rPr>
        <w:t xml:space="preserve"> os </w:t>
      </w:r>
      <w:r w:rsidR="00367FD1" w:rsidRPr="002F50BD">
        <w:rPr>
          <w:rFonts w:ascii="Verdana" w:hAnsi="Verdana"/>
          <w:sz w:val="20"/>
          <w:lang w:val="pt-BR"/>
        </w:rPr>
        <w:t xml:space="preserve">fundos </w:t>
      </w:r>
      <w:r w:rsidRPr="002F50BD">
        <w:rPr>
          <w:rFonts w:ascii="Verdana" w:hAnsi="Verdana"/>
          <w:sz w:val="20"/>
          <w:lang w:val="pt-BR"/>
        </w:rPr>
        <w:t>para</w:t>
      </w:r>
      <w:r w:rsidR="0089298C" w:rsidRPr="002F50BD">
        <w:rPr>
          <w:rFonts w:ascii="Verdana" w:hAnsi="Verdana"/>
          <w:sz w:val="20"/>
          <w:lang w:val="pt-BR"/>
        </w:rPr>
        <w:t xml:space="preserve"> a </w:t>
      </w:r>
      <w:r w:rsidR="00367FD1" w:rsidRPr="002F50BD">
        <w:rPr>
          <w:rFonts w:ascii="Verdana" w:hAnsi="Verdana"/>
          <w:sz w:val="20"/>
          <w:lang w:val="pt-BR"/>
        </w:rPr>
        <w:t>aquisição</w:t>
      </w:r>
      <w:r w:rsidR="0089298C" w:rsidRPr="002F50BD">
        <w:rPr>
          <w:rFonts w:ascii="Verdana" w:hAnsi="Verdana"/>
          <w:sz w:val="20"/>
          <w:lang w:val="pt-BR"/>
        </w:rPr>
        <w:t xml:space="preserve"> das mesm</w:t>
      </w:r>
      <w:r w:rsidRPr="002F50BD">
        <w:rPr>
          <w:rFonts w:ascii="Verdana" w:hAnsi="Verdana"/>
          <w:sz w:val="20"/>
          <w:lang w:val="pt-BR"/>
        </w:rPr>
        <w:t xml:space="preserve">as. </w:t>
      </w:r>
    </w:p>
    <w:p w:rsidR="004756C1" w:rsidRPr="002F50BD" w:rsidRDefault="0089298C">
      <w:pPr>
        <w:jc w:val="both"/>
        <w:rPr>
          <w:rFonts w:ascii="Verdana" w:hAnsi="Verdana"/>
          <w:sz w:val="20"/>
          <w:lang w:val="pt-BR"/>
        </w:rPr>
      </w:pPr>
      <w:r w:rsidRPr="002F50BD">
        <w:rPr>
          <w:rFonts w:ascii="Verdana" w:hAnsi="Verdana"/>
          <w:sz w:val="20"/>
          <w:lang w:val="pt-BR"/>
        </w:rPr>
        <w:cr/>
        <w:t xml:space="preserve">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 xml:space="preserve">Indígena </w:t>
      </w:r>
      <w:r w:rsidRPr="002F50BD">
        <w:rPr>
          <w:rFonts w:ascii="Verdana" w:hAnsi="Verdana"/>
          <w:sz w:val="20"/>
          <w:lang w:val="pt-BR"/>
        </w:rPr>
        <w:t xml:space="preserve">estabeleceu um plano </w:t>
      </w:r>
      <w:r w:rsidR="004756C1" w:rsidRPr="002F50BD">
        <w:rPr>
          <w:rFonts w:ascii="Verdana" w:hAnsi="Verdana"/>
          <w:sz w:val="20"/>
          <w:lang w:val="pt-BR"/>
        </w:rPr>
        <w:t xml:space="preserve">de </w:t>
      </w:r>
      <w:r w:rsidR="004076AD" w:rsidRPr="002F50BD">
        <w:rPr>
          <w:rFonts w:ascii="Verdana" w:hAnsi="Verdana"/>
          <w:sz w:val="20"/>
          <w:lang w:val="pt-BR"/>
        </w:rPr>
        <w:t>ação</w:t>
      </w:r>
      <w:r w:rsidR="004756C1" w:rsidRPr="002F50BD">
        <w:rPr>
          <w:rFonts w:ascii="Verdana" w:hAnsi="Verdana"/>
          <w:sz w:val="20"/>
          <w:lang w:val="pt-BR"/>
        </w:rPr>
        <w:t xml:space="preserve"> para</w:t>
      </w:r>
      <w:r w:rsidRPr="002F50BD">
        <w:rPr>
          <w:rFonts w:ascii="Verdana" w:hAnsi="Verdana"/>
          <w:sz w:val="20"/>
          <w:lang w:val="pt-BR"/>
        </w:rPr>
        <w:t xml:space="preserve"> o cumprimento </w:t>
      </w:r>
      <w:r w:rsidR="00367FD1" w:rsidRPr="002F50BD">
        <w:rPr>
          <w:rFonts w:ascii="Verdana" w:hAnsi="Verdana"/>
          <w:sz w:val="20"/>
          <w:lang w:val="pt-BR"/>
        </w:rPr>
        <w:t xml:space="preserve">da </w:t>
      </w:r>
      <w:r w:rsidRPr="002F50BD">
        <w:rPr>
          <w:rFonts w:ascii="Verdana" w:hAnsi="Verdana"/>
          <w:sz w:val="20"/>
          <w:lang w:val="pt-BR"/>
        </w:rPr>
        <w:t xml:space="preserve">assistência </w:t>
      </w:r>
      <w:r w:rsidR="004756C1" w:rsidRPr="002F50BD">
        <w:rPr>
          <w:rFonts w:ascii="Verdana" w:hAnsi="Verdana"/>
          <w:sz w:val="20"/>
          <w:lang w:val="pt-BR"/>
        </w:rPr>
        <w:t>alimentar</w:t>
      </w:r>
      <w:r w:rsidRPr="002F50BD">
        <w:rPr>
          <w:rFonts w:ascii="Verdana" w:hAnsi="Verdana"/>
          <w:sz w:val="20"/>
          <w:lang w:val="pt-BR"/>
        </w:rPr>
        <w:t xml:space="preserve"> e </w:t>
      </w:r>
      <w:r w:rsidR="004756C1" w:rsidRPr="002F50BD">
        <w:rPr>
          <w:rFonts w:ascii="Verdana" w:hAnsi="Verdana"/>
          <w:sz w:val="20"/>
          <w:lang w:val="pt-BR"/>
        </w:rPr>
        <w:t xml:space="preserve">de </w:t>
      </w:r>
      <w:r w:rsidRPr="002F50BD">
        <w:rPr>
          <w:rFonts w:ascii="Verdana" w:hAnsi="Verdana"/>
          <w:sz w:val="20"/>
          <w:lang w:val="pt-BR"/>
        </w:rPr>
        <w:t>saúde</w:t>
      </w:r>
      <w:r w:rsidR="004756C1" w:rsidRPr="002F50BD">
        <w:rPr>
          <w:rFonts w:ascii="Verdana" w:hAnsi="Verdana"/>
          <w:sz w:val="20"/>
          <w:lang w:val="pt-BR"/>
        </w:rPr>
        <w:t xml:space="preserve"> para</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e </w:t>
      </w:r>
      <w:r w:rsidR="004756C1" w:rsidRPr="002F50BD">
        <w:rPr>
          <w:rFonts w:ascii="Verdana" w:hAnsi="Verdana"/>
          <w:sz w:val="20"/>
          <w:lang w:val="pt-BR"/>
        </w:rPr>
        <w:t>prest</w:t>
      </w:r>
      <w:r w:rsidR="00367FD1" w:rsidRPr="002F50BD">
        <w:rPr>
          <w:rFonts w:ascii="Verdana" w:hAnsi="Verdana"/>
          <w:sz w:val="20"/>
          <w:lang w:val="pt-BR"/>
        </w:rPr>
        <w:t>ou</w:t>
      </w:r>
      <w:r w:rsidR="004756C1" w:rsidRPr="002F50BD">
        <w:rPr>
          <w:rFonts w:ascii="Verdana" w:hAnsi="Verdana"/>
          <w:sz w:val="20"/>
          <w:lang w:val="pt-BR"/>
        </w:rPr>
        <w:t xml:space="preserve"> </w:t>
      </w:r>
      <w:r w:rsidRPr="002F50BD">
        <w:rPr>
          <w:rFonts w:ascii="Verdana" w:hAnsi="Verdana"/>
          <w:sz w:val="20"/>
          <w:lang w:val="pt-BR"/>
        </w:rPr>
        <w:t xml:space="preserve">assistência </w:t>
      </w:r>
      <w:r w:rsidR="004756C1" w:rsidRPr="002F50BD">
        <w:rPr>
          <w:rFonts w:ascii="Verdana" w:hAnsi="Verdana"/>
          <w:sz w:val="20"/>
          <w:lang w:val="pt-BR"/>
        </w:rPr>
        <w:t xml:space="preserve">de </w:t>
      </w:r>
      <w:r w:rsidRPr="002F50BD">
        <w:rPr>
          <w:rFonts w:ascii="Verdana" w:hAnsi="Verdana"/>
          <w:sz w:val="20"/>
          <w:lang w:val="pt-BR"/>
        </w:rPr>
        <w:t xml:space="preserve">acordo </w:t>
      </w:r>
      <w:r w:rsidR="00367FD1" w:rsidRPr="002F50BD">
        <w:rPr>
          <w:rFonts w:ascii="Verdana" w:hAnsi="Verdana"/>
          <w:sz w:val="20"/>
          <w:lang w:val="pt-BR"/>
        </w:rPr>
        <w:t>com a</w:t>
      </w:r>
      <w:r w:rsidRPr="002F50BD">
        <w:rPr>
          <w:rFonts w:ascii="Verdana" w:hAnsi="Verdana"/>
          <w:sz w:val="20"/>
          <w:lang w:val="pt-BR"/>
        </w:rPr>
        <w:t xml:space="preserve">s </w:t>
      </w:r>
      <w:r w:rsidR="004076AD" w:rsidRPr="002F50BD">
        <w:rPr>
          <w:rFonts w:ascii="Verdana" w:hAnsi="Verdana"/>
          <w:sz w:val="20"/>
          <w:lang w:val="pt-BR"/>
        </w:rPr>
        <w:t>possibilidade</w:t>
      </w:r>
      <w:r w:rsidR="004756C1" w:rsidRPr="002F50BD">
        <w:rPr>
          <w:rFonts w:ascii="Verdana" w:hAnsi="Verdana"/>
          <w:sz w:val="20"/>
          <w:lang w:val="pt-BR"/>
        </w:rPr>
        <w:t xml:space="preserve">s </w:t>
      </w:r>
      <w:r w:rsidRPr="002F50BD">
        <w:rPr>
          <w:rFonts w:ascii="Verdana" w:hAnsi="Verdana"/>
          <w:sz w:val="20"/>
          <w:lang w:val="pt-BR"/>
        </w:rPr>
        <w:t>desta</w:t>
      </w:r>
      <w:r w:rsidR="004756C1" w:rsidRPr="002F50BD">
        <w:rPr>
          <w:rFonts w:ascii="Verdana" w:hAnsi="Verdana"/>
          <w:sz w:val="20"/>
          <w:lang w:val="pt-BR"/>
        </w:rPr>
        <w:t xml:space="preserve"> </w:t>
      </w:r>
      <w:r w:rsidRPr="002F50BD">
        <w:rPr>
          <w:rFonts w:ascii="Verdana" w:hAnsi="Verdana"/>
          <w:sz w:val="20"/>
          <w:lang w:val="pt-BR"/>
        </w:rPr>
        <w:t>instituição</w:t>
      </w:r>
      <w:r w:rsidR="004756C1" w:rsidRPr="002F50BD">
        <w:rPr>
          <w:rFonts w:ascii="Verdana" w:hAnsi="Verdana"/>
          <w:sz w:val="20"/>
          <w:lang w:val="pt-BR"/>
        </w:rPr>
        <w:t>.</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g.</w:t>
      </w:r>
      <w:r w:rsidRPr="002F50BD">
        <w:rPr>
          <w:rFonts w:ascii="Verdana" w:hAnsi="Verdana"/>
          <w:b/>
          <w:sz w:val="20"/>
          <w:lang w:val="pt-BR"/>
        </w:rPr>
        <w:tab/>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Pedro Martínez González, perito</w:t>
      </w:r>
    </w:p>
    <w:p w:rsidR="004756C1" w:rsidRPr="002F50BD" w:rsidRDefault="0089298C">
      <w:pPr>
        <w:jc w:val="both"/>
        <w:rPr>
          <w:rFonts w:ascii="Verdana" w:hAnsi="Verdana"/>
          <w:sz w:val="20"/>
          <w:lang w:val="pt-BR"/>
        </w:rPr>
      </w:pPr>
      <w:r w:rsidRPr="002F50BD">
        <w:rPr>
          <w:rFonts w:ascii="Verdana" w:hAnsi="Verdana"/>
          <w:b/>
          <w:sz w:val="20"/>
          <w:lang w:val="pt-BR"/>
        </w:rPr>
        <w:cr/>
      </w:r>
      <w:r w:rsidRPr="002F50BD">
        <w:rPr>
          <w:rFonts w:ascii="Verdana" w:hAnsi="Verdana"/>
          <w:sz w:val="20"/>
          <w:lang w:val="pt-BR"/>
        </w:rPr>
        <w:t>O</w:t>
      </w:r>
      <w:r w:rsidRPr="002F50BD">
        <w:rPr>
          <w:rFonts w:ascii="Verdana" w:hAnsi="Verdana"/>
          <w:b/>
          <w:sz w:val="20"/>
          <w:lang w:val="pt-BR"/>
        </w:rPr>
        <w:t xml:space="preserve"> </w:t>
      </w:r>
      <w:r w:rsidR="004756C1" w:rsidRPr="002F50BD">
        <w:rPr>
          <w:rFonts w:ascii="Verdana" w:hAnsi="Verdana"/>
          <w:sz w:val="20"/>
          <w:lang w:val="pt-BR"/>
        </w:rPr>
        <w:t xml:space="preserve">perito </w:t>
      </w:r>
      <w:r w:rsidRPr="002F50BD">
        <w:rPr>
          <w:rFonts w:ascii="Verdana" w:hAnsi="Verdana"/>
          <w:sz w:val="20"/>
          <w:lang w:val="pt-BR"/>
        </w:rPr>
        <w:t xml:space="preserve">conhece </w:t>
      </w:r>
      <w:r w:rsidR="00367FD1" w:rsidRPr="002F50BD">
        <w:rPr>
          <w:rFonts w:ascii="Verdana" w:hAnsi="Verdana"/>
          <w:sz w:val="20"/>
          <w:lang w:val="pt-BR"/>
        </w:rPr>
        <w:t>a</w:t>
      </w:r>
      <w:r w:rsidRPr="002F50BD">
        <w:rPr>
          <w:rFonts w:ascii="Verdana" w:hAnsi="Verdana"/>
          <w:sz w:val="20"/>
          <w:lang w:val="pt-BR"/>
        </w:rPr>
        <w:t xml:space="preserve"> Comunidade </w:t>
      </w:r>
      <w:r w:rsidR="004756C1" w:rsidRPr="002F50BD">
        <w:rPr>
          <w:rFonts w:ascii="Verdana" w:hAnsi="Verdana"/>
          <w:sz w:val="20"/>
          <w:lang w:val="pt-BR"/>
        </w:rPr>
        <w:t xml:space="preserve">indígena Yakye Axa, </w:t>
      </w:r>
      <w:r w:rsidR="005A6BC7" w:rsidRPr="002F50BD">
        <w:rPr>
          <w:rFonts w:ascii="Verdana" w:hAnsi="Verdana"/>
          <w:sz w:val="20"/>
          <w:lang w:val="pt-BR"/>
        </w:rPr>
        <w:t>seus líderes</w:t>
      </w:r>
      <w:r w:rsidRPr="002F50BD">
        <w:rPr>
          <w:rFonts w:ascii="Verdana" w:hAnsi="Verdana"/>
          <w:sz w:val="20"/>
          <w:lang w:val="pt-BR"/>
        </w:rPr>
        <w:t xml:space="preserve"> e seus </w:t>
      </w:r>
      <w:r w:rsidR="008C29C9" w:rsidRPr="002F50BD">
        <w:rPr>
          <w:rFonts w:ascii="Verdana" w:hAnsi="Verdana"/>
          <w:sz w:val="20"/>
          <w:lang w:val="pt-BR"/>
        </w:rPr>
        <w:t>representante</w:t>
      </w:r>
      <w:r w:rsidRPr="002F50BD">
        <w:rPr>
          <w:rFonts w:ascii="Verdana" w:hAnsi="Verdana"/>
          <w:sz w:val="20"/>
          <w:lang w:val="pt-BR"/>
        </w:rPr>
        <w:t>s</w:t>
      </w:r>
      <w:r w:rsidR="004756C1" w:rsidRPr="002F50BD">
        <w:rPr>
          <w:rFonts w:ascii="Verdana" w:hAnsi="Verdana"/>
          <w:sz w:val="20"/>
          <w:lang w:val="pt-BR"/>
        </w:rPr>
        <w:t xml:space="preserve"> </w:t>
      </w:r>
      <w:r w:rsidRPr="002F50BD">
        <w:rPr>
          <w:rFonts w:ascii="Verdana" w:hAnsi="Verdana"/>
          <w:sz w:val="20"/>
          <w:lang w:val="pt-BR"/>
        </w:rPr>
        <w:t>legais</w:t>
      </w:r>
      <w:r w:rsidR="004756C1" w:rsidRPr="002F50BD">
        <w:rPr>
          <w:rFonts w:ascii="Verdana" w:hAnsi="Verdana"/>
          <w:sz w:val="20"/>
          <w:lang w:val="pt-BR"/>
        </w:rPr>
        <w:t>.</w:t>
      </w:r>
      <w:r w:rsidR="00FE08B7">
        <w:rPr>
          <w:rFonts w:ascii="Verdana" w:hAnsi="Verdana"/>
          <w:sz w:val="20"/>
          <w:lang w:val="pt-BR"/>
        </w:rPr>
        <w:t xml:space="preserve"> </w:t>
      </w:r>
      <w:r w:rsidR="00367FD1" w:rsidRPr="002F50BD">
        <w:rPr>
          <w:rFonts w:ascii="Verdana" w:hAnsi="Verdana"/>
          <w:sz w:val="20"/>
          <w:lang w:val="pt-BR"/>
        </w:rPr>
        <w:t>A</w:t>
      </w:r>
      <w:r w:rsidRPr="002F50BD">
        <w:rPr>
          <w:rFonts w:ascii="Verdana" w:hAnsi="Verdana"/>
          <w:sz w:val="20"/>
          <w:lang w:val="pt-BR"/>
        </w:rPr>
        <w:t>través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006F3519" w:rsidRPr="002F50BD">
        <w:rPr>
          <w:rFonts w:ascii="Verdana" w:hAnsi="Verdana"/>
          <w:sz w:val="20"/>
          <w:lang w:val="pt-BR"/>
        </w:rPr>
        <w:t>,</w:t>
      </w:r>
      <w:r w:rsidR="004756C1" w:rsidRPr="002F50BD">
        <w:rPr>
          <w:rFonts w:ascii="Verdana" w:hAnsi="Verdana"/>
          <w:sz w:val="20"/>
          <w:lang w:val="pt-BR"/>
        </w:rPr>
        <w:t xml:space="preserve"> </w:t>
      </w:r>
      <w:r w:rsidR="004076AD" w:rsidRPr="002F50BD">
        <w:rPr>
          <w:rFonts w:ascii="Verdana" w:hAnsi="Verdana"/>
          <w:sz w:val="20"/>
          <w:lang w:val="pt-BR"/>
        </w:rPr>
        <w:t>realizou</w:t>
      </w:r>
      <w:r w:rsidR="004756C1" w:rsidRPr="002F50BD">
        <w:rPr>
          <w:rFonts w:ascii="Verdana" w:hAnsi="Verdana"/>
          <w:sz w:val="20"/>
          <w:lang w:val="pt-BR"/>
        </w:rPr>
        <w:t xml:space="preserve"> </w:t>
      </w:r>
      <w:r w:rsidR="00E221FD">
        <w:rPr>
          <w:rFonts w:ascii="Verdana" w:hAnsi="Verdana"/>
          <w:sz w:val="20"/>
          <w:lang w:val="pt-BR"/>
        </w:rPr>
        <w:t>ações</w:t>
      </w:r>
      <w:r w:rsidR="004756C1" w:rsidRPr="002F50BD">
        <w:rPr>
          <w:rFonts w:ascii="Verdana" w:hAnsi="Verdana"/>
          <w:sz w:val="20"/>
          <w:lang w:val="pt-BR"/>
        </w:rPr>
        <w:t xml:space="preserve"> para atender</w:t>
      </w:r>
      <w:r w:rsidRPr="002F50BD">
        <w:rPr>
          <w:rFonts w:ascii="Verdana" w:hAnsi="Verdana"/>
          <w:sz w:val="20"/>
          <w:lang w:val="pt-BR"/>
        </w:rPr>
        <w:t xml:space="preserve"> as necessidad</w:t>
      </w:r>
      <w:r w:rsidR="004756C1" w:rsidRPr="002F50BD">
        <w:rPr>
          <w:rFonts w:ascii="Verdana" w:hAnsi="Verdana"/>
          <w:sz w:val="20"/>
          <w:lang w:val="pt-BR"/>
        </w:rPr>
        <w:t xml:space="preserve">es de </w:t>
      </w:r>
      <w:r w:rsidRPr="002F50BD">
        <w:rPr>
          <w:rFonts w:ascii="Verdana" w:hAnsi="Verdana"/>
          <w:sz w:val="20"/>
          <w:lang w:val="pt-BR"/>
        </w:rPr>
        <w:t>saúde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referida Comu</w:t>
      </w:r>
      <w:r w:rsidR="00AB454A" w:rsidRPr="002F50BD">
        <w:rPr>
          <w:rFonts w:ascii="Verdana" w:hAnsi="Verdana"/>
          <w:sz w:val="20"/>
          <w:lang w:val="pt-BR"/>
        </w:rPr>
        <w:t xml:space="preserve">nidade, </w:t>
      </w:r>
      <w:r w:rsidRPr="002F50BD">
        <w:rPr>
          <w:rFonts w:ascii="Verdana" w:hAnsi="Verdana"/>
          <w:sz w:val="20"/>
          <w:lang w:val="pt-BR"/>
        </w:rPr>
        <w:t xml:space="preserve">em </w:t>
      </w:r>
      <w:r w:rsidR="004756C1" w:rsidRPr="002F50BD">
        <w:rPr>
          <w:rFonts w:ascii="Verdana" w:hAnsi="Verdana"/>
          <w:sz w:val="20"/>
          <w:lang w:val="pt-BR"/>
        </w:rPr>
        <w:t>particular</w:t>
      </w:r>
      <w:r w:rsidRPr="002F50BD">
        <w:rPr>
          <w:rFonts w:ascii="Verdana" w:hAnsi="Verdana"/>
          <w:sz w:val="20"/>
          <w:lang w:val="pt-BR"/>
        </w:rPr>
        <w:t xml:space="preserve"> </w:t>
      </w:r>
      <w:r w:rsidR="00367FD1" w:rsidRPr="002F50BD">
        <w:rPr>
          <w:rFonts w:ascii="Verdana" w:hAnsi="Verdana"/>
          <w:sz w:val="20"/>
          <w:lang w:val="pt-BR"/>
        </w:rPr>
        <w:t xml:space="preserve">ofereceu-lhes </w:t>
      </w:r>
      <w:r w:rsidRPr="002F50BD">
        <w:rPr>
          <w:rFonts w:ascii="Verdana" w:hAnsi="Verdana"/>
          <w:sz w:val="20"/>
          <w:lang w:val="pt-BR"/>
        </w:rPr>
        <w:t xml:space="preserve">assistência </w:t>
      </w:r>
      <w:r w:rsidR="004756C1" w:rsidRPr="002F50BD">
        <w:rPr>
          <w:rFonts w:ascii="Verdana" w:hAnsi="Verdana"/>
          <w:sz w:val="20"/>
          <w:lang w:val="pt-BR"/>
        </w:rPr>
        <w:t>médica prim</w:t>
      </w:r>
      <w:r w:rsidR="00367FD1" w:rsidRPr="002F50BD">
        <w:rPr>
          <w:rFonts w:ascii="Verdana" w:hAnsi="Verdana"/>
          <w:sz w:val="20"/>
          <w:lang w:val="pt-BR"/>
        </w:rPr>
        <w:t>á</w:t>
      </w:r>
      <w:r w:rsidR="004756C1" w:rsidRPr="002F50BD">
        <w:rPr>
          <w:rFonts w:ascii="Verdana" w:hAnsi="Verdana"/>
          <w:sz w:val="20"/>
          <w:lang w:val="pt-BR"/>
        </w:rPr>
        <w:t xml:space="preserve">ria. </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h.</w:t>
      </w:r>
      <w:r w:rsidRPr="002F50BD">
        <w:rPr>
          <w:rFonts w:ascii="Verdana" w:hAnsi="Verdana"/>
          <w:b/>
          <w:sz w:val="20"/>
          <w:lang w:val="pt-BR"/>
        </w:rPr>
        <w:tab/>
        <w:t>Declara</w:t>
      </w:r>
      <w:r w:rsidR="0089298C" w:rsidRPr="002F50BD">
        <w:rPr>
          <w:rFonts w:ascii="Verdana" w:hAnsi="Verdana"/>
          <w:b/>
          <w:sz w:val="20"/>
          <w:lang w:val="pt-BR"/>
        </w:rPr>
        <w:t>ção</w:t>
      </w:r>
      <w:r w:rsidRPr="002F50BD">
        <w:rPr>
          <w:rFonts w:ascii="Verdana" w:hAnsi="Verdana"/>
          <w:b/>
          <w:sz w:val="20"/>
          <w:lang w:val="pt-BR"/>
        </w:rPr>
        <w:t xml:space="preserve"> </w:t>
      </w:r>
      <w:r w:rsidR="0089298C" w:rsidRPr="002F50BD">
        <w:rPr>
          <w:rFonts w:ascii="Verdana" w:hAnsi="Verdana"/>
          <w:b/>
          <w:sz w:val="20"/>
          <w:lang w:val="pt-BR"/>
        </w:rPr>
        <w:t xml:space="preserve">do senhor </w:t>
      </w:r>
      <w:r w:rsidRPr="002F50BD">
        <w:rPr>
          <w:rFonts w:ascii="Verdana" w:hAnsi="Verdana"/>
          <w:b/>
          <w:sz w:val="20"/>
          <w:lang w:val="pt-BR"/>
        </w:rPr>
        <w:t>César Escobar Catebecke, perito</w:t>
      </w:r>
    </w:p>
    <w:p w:rsidR="004756C1" w:rsidRPr="002F50BD" w:rsidRDefault="004756C1">
      <w:pPr>
        <w:jc w:val="both"/>
        <w:rPr>
          <w:rFonts w:ascii="Verdana" w:hAnsi="Verdana"/>
          <w:b/>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D</w:t>
      </w:r>
      <w:r w:rsidR="0089298C" w:rsidRPr="002F50BD">
        <w:rPr>
          <w:rFonts w:ascii="Verdana" w:hAnsi="Verdana"/>
          <w:sz w:val="20"/>
          <w:lang w:val="pt-BR"/>
        </w:rPr>
        <w:t xml:space="preserve">escreveu a </w:t>
      </w:r>
      <w:r w:rsidRPr="002F50BD">
        <w:rPr>
          <w:rFonts w:ascii="Verdana" w:hAnsi="Verdana"/>
          <w:sz w:val="20"/>
          <w:lang w:val="pt-BR"/>
        </w:rPr>
        <w:t>infra</w:t>
      </w:r>
      <w:r w:rsidR="0089298C" w:rsidRPr="002F50BD">
        <w:rPr>
          <w:rFonts w:ascii="Verdana" w:hAnsi="Verdana"/>
          <w:sz w:val="20"/>
          <w:lang w:val="pt-BR"/>
        </w:rPr>
        <w:t>estrutura</w:t>
      </w:r>
      <w:r w:rsidRPr="002F50BD">
        <w:rPr>
          <w:rFonts w:ascii="Verdana" w:hAnsi="Verdana"/>
          <w:sz w:val="20"/>
          <w:lang w:val="pt-BR"/>
        </w:rPr>
        <w:t xml:space="preserve"> médica</w:t>
      </w:r>
      <w:r w:rsidR="0089298C" w:rsidRPr="002F50BD">
        <w:rPr>
          <w:rFonts w:ascii="Verdana" w:hAnsi="Verdana"/>
          <w:sz w:val="20"/>
          <w:lang w:val="pt-BR"/>
        </w:rPr>
        <w:t xml:space="preserve"> com </w:t>
      </w:r>
      <w:r w:rsidRPr="002F50BD">
        <w:rPr>
          <w:rFonts w:ascii="Verdana" w:hAnsi="Verdana"/>
          <w:sz w:val="20"/>
          <w:lang w:val="pt-BR"/>
        </w:rPr>
        <w:t>que</w:t>
      </w:r>
      <w:r w:rsidR="0089298C" w:rsidRPr="002F50BD">
        <w:rPr>
          <w:rFonts w:ascii="Verdana" w:hAnsi="Verdana"/>
          <w:sz w:val="20"/>
          <w:lang w:val="pt-BR"/>
        </w:rPr>
        <w:t xml:space="preserve"> conta a população</w:t>
      </w:r>
      <w:r w:rsidRPr="002F50BD">
        <w:rPr>
          <w:rFonts w:ascii="Verdana" w:hAnsi="Verdana"/>
          <w:sz w:val="20"/>
          <w:lang w:val="pt-BR"/>
        </w:rPr>
        <w:t xml:space="preserve"> </w:t>
      </w:r>
      <w:r w:rsidR="00367FD1" w:rsidRPr="002F50BD">
        <w:rPr>
          <w:rFonts w:ascii="Verdana" w:hAnsi="Verdana"/>
          <w:sz w:val="20"/>
          <w:lang w:val="pt-BR"/>
        </w:rPr>
        <w:t>p</w:t>
      </w:r>
      <w:r w:rsidR="0089298C" w:rsidRPr="002F50BD">
        <w:rPr>
          <w:rFonts w:ascii="Verdana" w:hAnsi="Verdana"/>
          <w:sz w:val="20"/>
          <w:lang w:val="pt-BR"/>
        </w:rPr>
        <w:t>araguai</w:t>
      </w:r>
      <w:r w:rsidRPr="002F50BD">
        <w:rPr>
          <w:rFonts w:ascii="Verdana" w:hAnsi="Verdana"/>
          <w:sz w:val="20"/>
          <w:lang w:val="pt-BR"/>
        </w:rPr>
        <w:t xml:space="preserve">a </w:t>
      </w:r>
      <w:r w:rsidR="00367FD1" w:rsidRPr="002F50BD">
        <w:rPr>
          <w:rFonts w:ascii="Verdana" w:hAnsi="Verdana"/>
          <w:sz w:val="20"/>
          <w:lang w:val="pt-BR"/>
        </w:rPr>
        <w:t xml:space="preserve">em </w:t>
      </w:r>
      <w:r w:rsidR="0089298C" w:rsidRPr="002F50BD">
        <w:rPr>
          <w:rFonts w:ascii="Verdana" w:hAnsi="Verdana"/>
          <w:sz w:val="20"/>
          <w:lang w:val="pt-BR"/>
        </w:rPr>
        <w:t xml:space="preserve">geral e em </w:t>
      </w:r>
      <w:r w:rsidRPr="002F50BD">
        <w:rPr>
          <w:rFonts w:ascii="Verdana" w:hAnsi="Verdana"/>
          <w:sz w:val="20"/>
          <w:lang w:val="pt-BR"/>
        </w:rPr>
        <w:t>especial</w:t>
      </w:r>
      <w:r w:rsidR="00E221FD">
        <w:rPr>
          <w:rFonts w:ascii="Verdana" w:hAnsi="Verdana"/>
          <w:sz w:val="20"/>
          <w:lang w:val="pt-BR"/>
        </w:rPr>
        <w:t>,</w:t>
      </w:r>
      <w:r w:rsidR="0089298C" w:rsidRPr="002F50BD">
        <w:rPr>
          <w:rFonts w:ascii="Verdana" w:hAnsi="Verdana"/>
          <w:sz w:val="20"/>
          <w:lang w:val="pt-BR"/>
        </w:rPr>
        <w:t xml:space="preserve"> a população</w:t>
      </w:r>
      <w:r w:rsidRPr="002F50BD">
        <w:rPr>
          <w:rFonts w:ascii="Verdana" w:hAnsi="Verdana"/>
          <w:sz w:val="20"/>
          <w:lang w:val="pt-BR"/>
        </w:rPr>
        <w:t xml:space="preserve"> indígena </w:t>
      </w:r>
      <w:r w:rsidR="0089298C" w:rsidRPr="002F50BD">
        <w:rPr>
          <w:rFonts w:ascii="Verdana" w:hAnsi="Verdana"/>
          <w:sz w:val="20"/>
          <w:lang w:val="pt-BR"/>
        </w:rPr>
        <w:t xml:space="preserve">do </w:t>
      </w:r>
      <w:r w:rsidRPr="002F50BD">
        <w:rPr>
          <w:rFonts w:ascii="Verdana" w:hAnsi="Verdana"/>
          <w:sz w:val="20"/>
          <w:lang w:val="pt-BR"/>
        </w:rPr>
        <w:t xml:space="preserve">Chaco, </w:t>
      </w:r>
      <w:r w:rsidR="00E221FD">
        <w:rPr>
          <w:rFonts w:ascii="Verdana" w:hAnsi="Verdana"/>
          <w:sz w:val="20"/>
          <w:lang w:val="pt-BR"/>
        </w:rPr>
        <w:t>e</w:t>
      </w:r>
      <w:r w:rsidR="0089298C" w:rsidRPr="002F50BD">
        <w:rPr>
          <w:rFonts w:ascii="Verdana" w:hAnsi="Verdana"/>
          <w:sz w:val="20"/>
          <w:lang w:val="pt-BR"/>
        </w:rPr>
        <w:t xml:space="preserve"> em </w:t>
      </w:r>
      <w:r w:rsidRPr="002F50BD">
        <w:rPr>
          <w:rFonts w:ascii="Verdana" w:hAnsi="Verdana"/>
          <w:sz w:val="20"/>
          <w:lang w:val="pt-BR"/>
        </w:rPr>
        <w:t>qu</w:t>
      </w:r>
      <w:r w:rsidR="00367FD1" w:rsidRPr="002F50BD">
        <w:rPr>
          <w:rFonts w:ascii="Verdana" w:hAnsi="Verdana"/>
          <w:sz w:val="20"/>
          <w:lang w:val="pt-BR"/>
        </w:rPr>
        <w:t>e</w:t>
      </w:r>
      <w:r w:rsidRPr="002F50BD">
        <w:rPr>
          <w:rFonts w:ascii="Verdana" w:hAnsi="Verdana"/>
          <w:sz w:val="20"/>
          <w:lang w:val="pt-BR"/>
        </w:rPr>
        <w:t xml:space="preserve"> consiste</w:t>
      </w:r>
      <w:r w:rsidR="0089298C" w:rsidRPr="002F50BD">
        <w:rPr>
          <w:rFonts w:ascii="Verdana" w:hAnsi="Verdana"/>
          <w:sz w:val="20"/>
          <w:lang w:val="pt-BR"/>
        </w:rPr>
        <w:t xml:space="preserve"> a assistência em matéria </w:t>
      </w:r>
      <w:r w:rsidRPr="002F50BD">
        <w:rPr>
          <w:rFonts w:ascii="Verdana" w:hAnsi="Verdana"/>
          <w:sz w:val="20"/>
          <w:lang w:val="pt-BR"/>
        </w:rPr>
        <w:t xml:space="preserve">de </w:t>
      </w:r>
      <w:r w:rsidR="0089298C" w:rsidRPr="002F50BD">
        <w:rPr>
          <w:rFonts w:ascii="Verdana" w:hAnsi="Verdana"/>
          <w:sz w:val="20"/>
          <w:lang w:val="pt-BR"/>
        </w:rPr>
        <w:t>saúde</w:t>
      </w:r>
      <w:r w:rsidRPr="002F50BD">
        <w:rPr>
          <w:rFonts w:ascii="Verdana" w:hAnsi="Verdana"/>
          <w:sz w:val="20"/>
          <w:lang w:val="pt-BR"/>
        </w:rPr>
        <w:t xml:space="preserve"> presta</w:t>
      </w:r>
      <w:r w:rsidR="00367FD1" w:rsidRPr="002F50BD">
        <w:rPr>
          <w:rFonts w:ascii="Verdana" w:hAnsi="Verdana"/>
          <w:sz w:val="20"/>
          <w:lang w:val="pt-BR"/>
        </w:rPr>
        <w:t>da</w:t>
      </w:r>
      <w:r w:rsidR="0089298C" w:rsidRPr="002F50BD">
        <w:rPr>
          <w:rFonts w:ascii="Verdana" w:hAnsi="Verdana"/>
          <w:sz w:val="20"/>
          <w:lang w:val="pt-BR"/>
        </w:rPr>
        <w:t xml:space="preserve"> </w:t>
      </w:r>
      <w:r w:rsidR="00367FD1" w:rsidRPr="002F50BD">
        <w:rPr>
          <w:rFonts w:ascii="Verdana" w:hAnsi="Verdana"/>
          <w:sz w:val="20"/>
          <w:lang w:val="pt-BR"/>
        </w:rPr>
        <w:t>pel</w:t>
      </w:r>
      <w:r w:rsidR="0089298C" w:rsidRPr="002F50BD">
        <w:rPr>
          <w:rFonts w:ascii="Verdana" w:hAnsi="Verdana"/>
          <w:sz w:val="20"/>
          <w:lang w:val="pt-BR"/>
        </w:rPr>
        <w:t xml:space="preserve">o </w:t>
      </w:r>
      <w:r w:rsidRPr="002F50BD">
        <w:rPr>
          <w:rFonts w:ascii="Verdana" w:hAnsi="Verdana"/>
          <w:sz w:val="20"/>
          <w:lang w:val="pt-BR"/>
        </w:rPr>
        <w:t>Estado</w:t>
      </w:r>
      <w:r w:rsidR="0089298C" w:rsidRPr="002F50BD">
        <w:rPr>
          <w:rFonts w:ascii="Verdana" w:hAnsi="Verdana"/>
          <w:sz w:val="20"/>
          <w:lang w:val="pt-BR"/>
        </w:rPr>
        <w:t xml:space="preserve"> às </w:t>
      </w:r>
      <w:r w:rsidRPr="002F50BD">
        <w:rPr>
          <w:rFonts w:ascii="Verdana" w:hAnsi="Verdana"/>
          <w:sz w:val="20"/>
          <w:lang w:val="pt-BR"/>
        </w:rPr>
        <w:t>comunidades indígenas</w:t>
      </w:r>
      <w:r w:rsidR="0089298C" w:rsidRPr="002F50BD">
        <w:rPr>
          <w:rFonts w:ascii="Verdana" w:hAnsi="Verdana"/>
          <w:sz w:val="20"/>
          <w:lang w:val="pt-BR"/>
        </w:rPr>
        <w:t xml:space="preserve"> e os benefício</w:t>
      </w:r>
      <w:r w:rsidRPr="002F50BD">
        <w:rPr>
          <w:rFonts w:ascii="Verdana" w:hAnsi="Verdana"/>
          <w:sz w:val="20"/>
          <w:lang w:val="pt-BR"/>
        </w:rPr>
        <w:t xml:space="preserve">s </w:t>
      </w:r>
      <w:r w:rsidR="0089298C" w:rsidRPr="002F50BD">
        <w:rPr>
          <w:rFonts w:ascii="Verdana" w:hAnsi="Verdana"/>
          <w:sz w:val="20"/>
          <w:lang w:val="pt-BR"/>
        </w:rPr>
        <w:t xml:space="preserve">adicionais </w:t>
      </w:r>
      <w:r w:rsidR="00E221FD">
        <w:rPr>
          <w:rFonts w:ascii="Verdana" w:hAnsi="Verdana"/>
          <w:sz w:val="20"/>
          <w:lang w:val="pt-BR"/>
        </w:rPr>
        <w:t>disponíveis</w:t>
      </w:r>
      <w:r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 xml:space="preserve">O </w:t>
      </w:r>
      <w:r w:rsidR="004756C1" w:rsidRPr="002F50BD">
        <w:rPr>
          <w:rFonts w:ascii="Verdana" w:hAnsi="Verdana"/>
          <w:sz w:val="20"/>
          <w:lang w:val="pt-BR"/>
        </w:rPr>
        <w:t>perito considera que</w:t>
      </w:r>
      <w:r w:rsidRPr="002F50BD">
        <w:rPr>
          <w:rFonts w:ascii="Verdana" w:hAnsi="Verdana"/>
          <w:sz w:val="20"/>
          <w:lang w:val="pt-BR"/>
        </w:rPr>
        <w:t xml:space="preserve"> o </w:t>
      </w:r>
      <w:r w:rsidR="00367FD1" w:rsidRPr="002F50BD">
        <w:rPr>
          <w:rFonts w:ascii="Verdana" w:hAnsi="Verdana"/>
          <w:sz w:val="20"/>
          <w:lang w:val="pt-BR"/>
        </w:rPr>
        <w:t>falecimento</w:t>
      </w:r>
      <w:r w:rsidR="004756C1" w:rsidRPr="002F50BD">
        <w:rPr>
          <w:rFonts w:ascii="Verdana" w:hAnsi="Verdana"/>
          <w:sz w:val="20"/>
          <w:lang w:val="pt-BR"/>
        </w:rPr>
        <w:t xml:space="preserve"> de</w:t>
      </w:r>
      <w:r w:rsidRPr="002F50BD">
        <w:rPr>
          <w:rFonts w:ascii="Verdana" w:hAnsi="Verdana"/>
          <w:sz w:val="20"/>
          <w:lang w:val="pt-BR"/>
        </w:rPr>
        <w:t xml:space="preserve"> uma pessoa pelas </w:t>
      </w:r>
      <w:r w:rsidR="00367FD1" w:rsidRPr="002F50BD">
        <w:rPr>
          <w:rFonts w:ascii="Verdana" w:hAnsi="Verdana"/>
          <w:sz w:val="20"/>
          <w:lang w:val="pt-BR"/>
        </w:rPr>
        <w:t>enfermidades</w:t>
      </w:r>
      <w:r w:rsidR="004756C1" w:rsidRPr="002F50BD">
        <w:rPr>
          <w:rFonts w:ascii="Verdana" w:hAnsi="Verdana"/>
          <w:sz w:val="20"/>
          <w:lang w:val="pt-BR"/>
        </w:rPr>
        <w:t xml:space="preserve"> de </w:t>
      </w:r>
      <w:r w:rsidR="00367FD1" w:rsidRPr="002F50BD">
        <w:rPr>
          <w:rFonts w:ascii="Verdana" w:hAnsi="Verdana"/>
          <w:sz w:val="20"/>
          <w:lang w:val="pt-BR"/>
        </w:rPr>
        <w:t>insuficiência</w:t>
      </w:r>
      <w:r w:rsidR="004756C1" w:rsidRPr="002F50BD">
        <w:rPr>
          <w:rFonts w:ascii="Verdana" w:hAnsi="Verdana"/>
          <w:sz w:val="20"/>
          <w:lang w:val="pt-BR"/>
        </w:rPr>
        <w:t xml:space="preserve"> </w:t>
      </w:r>
      <w:r w:rsidR="00367FD1" w:rsidRPr="002F50BD">
        <w:rPr>
          <w:rFonts w:ascii="Verdana" w:hAnsi="Verdana"/>
          <w:sz w:val="20"/>
          <w:lang w:val="pt-BR"/>
        </w:rPr>
        <w:t>cardíaca</w:t>
      </w:r>
      <w:r w:rsidR="004756C1" w:rsidRPr="002F50BD">
        <w:rPr>
          <w:rFonts w:ascii="Verdana" w:hAnsi="Verdana"/>
          <w:sz w:val="20"/>
          <w:lang w:val="pt-BR"/>
        </w:rPr>
        <w:t xml:space="preserve">, </w:t>
      </w:r>
      <w:r w:rsidR="00367FD1" w:rsidRPr="002F50BD">
        <w:rPr>
          <w:rFonts w:ascii="Verdana" w:hAnsi="Verdana"/>
          <w:sz w:val="20"/>
          <w:lang w:val="pt-BR"/>
        </w:rPr>
        <w:t>tuberculose</w:t>
      </w:r>
      <w:r w:rsidR="004756C1" w:rsidRPr="002F50BD">
        <w:rPr>
          <w:rFonts w:ascii="Verdana" w:hAnsi="Verdana"/>
          <w:sz w:val="20"/>
          <w:lang w:val="pt-BR"/>
        </w:rPr>
        <w:t xml:space="preserve">, </w:t>
      </w:r>
      <w:r w:rsidR="00367FD1" w:rsidRPr="002F50BD">
        <w:rPr>
          <w:rFonts w:ascii="Verdana" w:hAnsi="Verdana"/>
          <w:sz w:val="20"/>
          <w:lang w:val="pt-BR"/>
        </w:rPr>
        <w:t>disenteria</w:t>
      </w:r>
      <w:r w:rsidR="004756C1" w:rsidRPr="002F50BD">
        <w:rPr>
          <w:rFonts w:ascii="Verdana" w:hAnsi="Verdana"/>
          <w:sz w:val="20"/>
          <w:lang w:val="pt-BR"/>
        </w:rPr>
        <w:t xml:space="preserve">, </w:t>
      </w:r>
      <w:r w:rsidR="00367FD1" w:rsidRPr="002F50BD">
        <w:rPr>
          <w:rFonts w:ascii="Verdana" w:hAnsi="Verdana"/>
          <w:sz w:val="20"/>
          <w:lang w:val="pt-BR"/>
        </w:rPr>
        <w:t>tétano</w:t>
      </w:r>
      <w:r w:rsidR="004756C1" w:rsidRPr="002F50BD">
        <w:rPr>
          <w:rFonts w:ascii="Verdana" w:hAnsi="Verdana"/>
          <w:sz w:val="20"/>
          <w:lang w:val="pt-BR"/>
        </w:rPr>
        <w:t xml:space="preserve">, caquexia, </w:t>
      </w:r>
      <w:r w:rsidR="00367FD1" w:rsidRPr="002F50BD">
        <w:rPr>
          <w:rFonts w:ascii="Verdana" w:hAnsi="Verdana"/>
          <w:sz w:val="20"/>
          <w:lang w:val="pt-BR"/>
        </w:rPr>
        <w:t>meningite</w:t>
      </w:r>
      <w:r w:rsidR="004756C1" w:rsidRPr="002F50BD">
        <w:rPr>
          <w:rFonts w:ascii="Verdana" w:hAnsi="Verdana"/>
          <w:sz w:val="20"/>
          <w:lang w:val="pt-BR"/>
        </w:rPr>
        <w:t xml:space="preserve">, </w:t>
      </w:r>
      <w:r w:rsidR="00367FD1" w:rsidRPr="002F50BD">
        <w:rPr>
          <w:rFonts w:ascii="Verdana" w:hAnsi="Verdana"/>
          <w:sz w:val="20"/>
          <w:lang w:val="pt-BR"/>
        </w:rPr>
        <w:t>bronquite</w:t>
      </w:r>
      <w:r w:rsidR="004756C1" w:rsidRPr="002F50BD">
        <w:rPr>
          <w:rFonts w:ascii="Verdana" w:hAnsi="Verdana"/>
          <w:sz w:val="20"/>
          <w:lang w:val="pt-BR"/>
        </w:rPr>
        <w:t xml:space="preserve"> o</w:t>
      </w:r>
      <w:r w:rsidR="00367FD1" w:rsidRPr="002F50BD">
        <w:rPr>
          <w:rFonts w:ascii="Verdana" w:hAnsi="Verdana"/>
          <w:sz w:val="20"/>
          <w:lang w:val="pt-BR"/>
        </w:rPr>
        <w:t>u</w:t>
      </w:r>
      <w:r w:rsidR="004756C1" w:rsidRPr="002F50BD">
        <w:rPr>
          <w:rFonts w:ascii="Verdana" w:hAnsi="Verdana"/>
          <w:sz w:val="20"/>
          <w:lang w:val="pt-BR"/>
        </w:rPr>
        <w:t xml:space="preserve"> </w:t>
      </w:r>
      <w:r w:rsidR="00367FD1" w:rsidRPr="002F50BD">
        <w:rPr>
          <w:rFonts w:ascii="Verdana" w:hAnsi="Verdana"/>
          <w:sz w:val="20"/>
          <w:lang w:val="pt-BR"/>
        </w:rPr>
        <w:t>afogamento</w:t>
      </w:r>
      <w:r w:rsidR="004756C1" w:rsidRPr="002F50BD">
        <w:rPr>
          <w:rFonts w:ascii="Verdana" w:hAnsi="Verdana"/>
          <w:sz w:val="20"/>
          <w:lang w:val="pt-BR"/>
        </w:rPr>
        <w:t xml:space="preserve"> </w:t>
      </w:r>
      <w:r w:rsidR="00AB454A" w:rsidRPr="002F50BD">
        <w:rPr>
          <w:rFonts w:ascii="Verdana" w:hAnsi="Verdana"/>
          <w:sz w:val="20"/>
          <w:lang w:val="pt-BR"/>
        </w:rPr>
        <w:t>não pode</w:t>
      </w:r>
      <w:r w:rsidR="004756C1" w:rsidRPr="002F50BD">
        <w:rPr>
          <w:rFonts w:ascii="Verdana" w:hAnsi="Verdana"/>
          <w:sz w:val="20"/>
          <w:lang w:val="pt-BR"/>
        </w:rPr>
        <w:t xml:space="preserve"> ser </w:t>
      </w:r>
      <w:r w:rsidR="00367FD1" w:rsidRPr="002F50BD">
        <w:rPr>
          <w:rFonts w:ascii="Verdana" w:hAnsi="Verdana"/>
          <w:sz w:val="20"/>
          <w:lang w:val="pt-BR"/>
        </w:rPr>
        <w:t>atribuído</w:t>
      </w:r>
      <w:r w:rsidRPr="002F50BD">
        <w:rPr>
          <w:rFonts w:ascii="Verdana" w:hAnsi="Verdana"/>
          <w:sz w:val="20"/>
          <w:lang w:val="pt-BR"/>
        </w:rPr>
        <w:t xml:space="preserve"> ao </w:t>
      </w:r>
      <w:r w:rsidR="004756C1" w:rsidRPr="002F50BD">
        <w:rPr>
          <w:rFonts w:ascii="Verdana" w:hAnsi="Verdana"/>
          <w:sz w:val="20"/>
          <w:lang w:val="pt-BR"/>
        </w:rPr>
        <w:t xml:space="preserve">Estado, </w:t>
      </w:r>
      <w:r w:rsidR="004F64EE" w:rsidRPr="002F50BD">
        <w:rPr>
          <w:rFonts w:ascii="Verdana" w:hAnsi="Verdana"/>
          <w:sz w:val="20"/>
          <w:lang w:val="pt-BR"/>
        </w:rPr>
        <w:t>levando-se</w:t>
      </w:r>
      <w:r w:rsidRPr="002F50BD">
        <w:rPr>
          <w:rFonts w:ascii="Verdana" w:hAnsi="Verdana"/>
          <w:sz w:val="20"/>
          <w:lang w:val="pt-BR"/>
        </w:rPr>
        <w:t xml:space="preserve"> em conta </w:t>
      </w:r>
      <w:r w:rsidR="004756C1" w:rsidRPr="002F50BD">
        <w:rPr>
          <w:rFonts w:ascii="Verdana" w:hAnsi="Verdana"/>
          <w:sz w:val="20"/>
          <w:lang w:val="pt-BR"/>
        </w:rPr>
        <w:t xml:space="preserve">que estas </w:t>
      </w:r>
      <w:r w:rsidR="00367FD1" w:rsidRPr="002F50BD">
        <w:rPr>
          <w:rFonts w:ascii="Verdana" w:hAnsi="Verdana"/>
          <w:sz w:val="20"/>
          <w:lang w:val="pt-BR"/>
        </w:rPr>
        <w:t>doenças</w:t>
      </w:r>
      <w:r w:rsidRPr="002F50BD">
        <w:rPr>
          <w:rFonts w:ascii="Verdana" w:hAnsi="Verdana"/>
          <w:sz w:val="20"/>
          <w:lang w:val="pt-BR"/>
        </w:rPr>
        <w:t xml:space="preserve"> são comuns</w:t>
      </w:r>
      <w:r w:rsidR="004756C1" w:rsidRPr="002F50BD">
        <w:rPr>
          <w:rFonts w:ascii="Verdana" w:hAnsi="Verdana"/>
          <w:sz w:val="20"/>
          <w:lang w:val="pt-BR"/>
        </w:rPr>
        <w:t xml:space="preserve"> </w:t>
      </w:r>
      <w:r w:rsidR="004F64EE" w:rsidRPr="002F50BD">
        <w:rPr>
          <w:rFonts w:ascii="Verdana" w:hAnsi="Verdana"/>
          <w:sz w:val="20"/>
          <w:lang w:val="pt-BR"/>
        </w:rPr>
        <w:t xml:space="preserve">a </w:t>
      </w:r>
      <w:r w:rsidR="004756C1" w:rsidRPr="002F50BD">
        <w:rPr>
          <w:rFonts w:ascii="Verdana" w:hAnsi="Verdana"/>
          <w:sz w:val="20"/>
          <w:lang w:val="pt-BR"/>
        </w:rPr>
        <w:t>todos</w:t>
      </w:r>
      <w:r w:rsidRPr="002F50BD">
        <w:rPr>
          <w:rFonts w:ascii="Verdana" w:hAnsi="Verdana"/>
          <w:sz w:val="20"/>
          <w:lang w:val="pt-BR"/>
        </w:rPr>
        <w:t xml:space="preserve"> os </w:t>
      </w:r>
      <w:r w:rsidR="00367FD1" w:rsidRPr="002F50BD">
        <w:rPr>
          <w:rFonts w:ascii="Verdana" w:hAnsi="Verdana"/>
          <w:sz w:val="20"/>
          <w:lang w:val="pt-BR"/>
        </w:rPr>
        <w:t xml:space="preserve">moradores </w:t>
      </w:r>
      <w:r w:rsidRPr="002F50BD">
        <w:rPr>
          <w:rFonts w:ascii="Verdana" w:hAnsi="Verdana"/>
          <w:sz w:val="20"/>
          <w:lang w:val="pt-BR"/>
        </w:rPr>
        <w:t xml:space="preserve">da </w:t>
      </w:r>
      <w:r w:rsidR="00367FD1" w:rsidRPr="002F50BD">
        <w:rPr>
          <w:rFonts w:ascii="Verdana" w:hAnsi="Verdana"/>
          <w:sz w:val="20"/>
          <w:lang w:val="pt-BR"/>
        </w:rPr>
        <w:t>região</w:t>
      </w:r>
      <w:r w:rsidR="004756C1" w:rsidRPr="002F50BD">
        <w:rPr>
          <w:rFonts w:ascii="Verdana" w:hAnsi="Verdana"/>
          <w:sz w:val="20"/>
          <w:lang w:val="pt-BR"/>
        </w:rPr>
        <w:t>,</w:t>
      </w:r>
      <w:r w:rsidRPr="002F50BD">
        <w:rPr>
          <w:rFonts w:ascii="Verdana" w:hAnsi="Verdana"/>
          <w:sz w:val="20"/>
          <w:lang w:val="pt-BR"/>
        </w:rPr>
        <w:t xml:space="preserve"> sejam estes </w:t>
      </w:r>
      <w:r w:rsidR="004756C1" w:rsidRPr="002F50BD">
        <w:rPr>
          <w:rFonts w:ascii="Verdana" w:hAnsi="Verdana"/>
          <w:sz w:val="20"/>
          <w:lang w:val="pt-BR"/>
        </w:rPr>
        <w:t>latinos o</w:t>
      </w:r>
      <w:r w:rsidR="00367FD1" w:rsidRPr="002F50BD">
        <w:rPr>
          <w:rFonts w:ascii="Verdana" w:hAnsi="Verdana"/>
          <w:sz w:val="20"/>
          <w:lang w:val="pt-BR"/>
        </w:rPr>
        <w:t>u</w:t>
      </w:r>
      <w:r w:rsidR="004756C1" w:rsidRPr="002F50BD">
        <w:rPr>
          <w:rFonts w:ascii="Verdana" w:hAnsi="Verdana"/>
          <w:sz w:val="20"/>
          <w:lang w:val="pt-BR"/>
        </w:rPr>
        <w:t xml:space="preserve"> menonitas</w:t>
      </w:r>
      <w:r w:rsidRPr="002F50BD">
        <w:rPr>
          <w:rFonts w:ascii="Verdana" w:hAnsi="Verdana"/>
          <w:sz w:val="20"/>
          <w:lang w:val="pt-BR"/>
        </w:rPr>
        <w:t>, e</w:t>
      </w:r>
      <w:r w:rsidR="004756C1" w:rsidRPr="002F50BD">
        <w:rPr>
          <w:rFonts w:ascii="Verdana" w:hAnsi="Verdana"/>
          <w:sz w:val="20"/>
          <w:lang w:val="pt-BR"/>
        </w:rPr>
        <w:t xml:space="preserve"> que</w:t>
      </w:r>
      <w:r w:rsidRPr="002F50BD">
        <w:rPr>
          <w:rFonts w:ascii="Verdana" w:hAnsi="Verdana"/>
          <w:sz w:val="20"/>
          <w:lang w:val="pt-BR"/>
        </w:rPr>
        <w:t xml:space="preserve"> o </w:t>
      </w:r>
      <w:r w:rsidR="004756C1" w:rsidRPr="002F50BD">
        <w:rPr>
          <w:rFonts w:ascii="Verdana" w:hAnsi="Verdana"/>
          <w:sz w:val="20"/>
          <w:lang w:val="pt-BR"/>
        </w:rPr>
        <w:t>Estado toma medidas preventivas a</w:t>
      </w:r>
      <w:r w:rsidRPr="002F50BD">
        <w:rPr>
          <w:rFonts w:ascii="Verdana" w:hAnsi="Verdana"/>
          <w:sz w:val="20"/>
          <w:lang w:val="pt-BR"/>
        </w:rPr>
        <w:t xml:space="preserve"> fim </w:t>
      </w:r>
      <w:r w:rsidR="004756C1" w:rsidRPr="002F50BD">
        <w:rPr>
          <w:rFonts w:ascii="Verdana" w:hAnsi="Verdana"/>
          <w:sz w:val="20"/>
          <w:lang w:val="pt-BR"/>
        </w:rPr>
        <w:t>de evitar</w:t>
      </w:r>
      <w:r w:rsidRPr="002F50BD">
        <w:rPr>
          <w:rFonts w:ascii="Verdana" w:hAnsi="Verdana"/>
          <w:sz w:val="20"/>
          <w:lang w:val="pt-BR"/>
        </w:rPr>
        <w:t xml:space="preserve"> </w:t>
      </w:r>
      <w:r w:rsidR="00367FD1" w:rsidRPr="002F50BD">
        <w:rPr>
          <w:rFonts w:ascii="Verdana" w:hAnsi="Verdana"/>
          <w:sz w:val="20"/>
          <w:lang w:val="pt-BR"/>
        </w:rPr>
        <w:t xml:space="preserve">estes </w:t>
      </w:r>
      <w:r w:rsidR="004756C1" w:rsidRPr="002F50BD">
        <w:rPr>
          <w:rFonts w:ascii="Verdana" w:hAnsi="Verdana"/>
          <w:sz w:val="20"/>
          <w:lang w:val="pt-BR"/>
        </w:rPr>
        <w:t>males</w:t>
      </w:r>
      <w:r w:rsidRPr="002F50BD">
        <w:rPr>
          <w:rFonts w:ascii="Verdana" w:hAnsi="Verdana"/>
          <w:sz w:val="20"/>
          <w:lang w:val="pt-BR"/>
        </w:rPr>
        <w:t xml:space="preserve"> às </w:t>
      </w:r>
      <w:r w:rsidR="004756C1" w:rsidRPr="002F50BD">
        <w:rPr>
          <w:rFonts w:ascii="Verdana" w:hAnsi="Verdana"/>
          <w:sz w:val="20"/>
          <w:lang w:val="pt-BR"/>
        </w:rPr>
        <w:t>comunidades.</w:t>
      </w:r>
    </w:p>
    <w:p w:rsidR="004756C1" w:rsidRPr="002F50BD" w:rsidRDefault="004756C1">
      <w:pPr>
        <w:jc w:val="both"/>
        <w:rPr>
          <w:rFonts w:ascii="Verdana" w:hAnsi="Verdana"/>
          <w:sz w:val="20"/>
          <w:lang w:val="pt-BR"/>
        </w:rPr>
      </w:pPr>
    </w:p>
    <w:p w:rsidR="004756C1" w:rsidRPr="002F50BD" w:rsidRDefault="004756C1">
      <w:pPr>
        <w:pStyle w:val="Heading8"/>
        <w:rPr>
          <w:rFonts w:ascii="Verdana" w:hAnsi="Verdana"/>
          <w:b w:val="0"/>
          <w:i/>
          <w:caps/>
          <w:sz w:val="20"/>
          <w:lang w:val="pt-BR"/>
        </w:rPr>
      </w:pPr>
      <w:r w:rsidRPr="002F50BD">
        <w:rPr>
          <w:rFonts w:ascii="Verdana" w:hAnsi="Verdana"/>
          <w:b w:val="0"/>
          <w:i/>
          <w:caps/>
          <w:sz w:val="20"/>
          <w:lang w:val="pt-BR"/>
        </w:rPr>
        <w:t>B</w:t>
      </w:r>
      <w:r w:rsidR="00CF451D" w:rsidRPr="00CF451D">
        <w:rPr>
          <w:rFonts w:ascii="Verdana" w:hAnsi="Verdana"/>
          <w:b w:val="0"/>
          <w:caps/>
          <w:sz w:val="20"/>
          <w:lang w:val="pt-BR"/>
        </w:rPr>
        <w:t>)</w:t>
      </w:r>
      <w:r w:rsidRPr="002F50BD">
        <w:rPr>
          <w:rFonts w:ascii="Verdana" w:hAnsi="Verdana"/>
          <w:b w:val="0"/>
          <w:i/>
          <w:caps/>
          <w:sz w:val="20"/>
          <w:lang w:val="pt-BR"/>
        </w:rPr>
        <w:tab/>
      </w:r>
      <w:r w:rsidR="0089298C" w:rsidRPr="002F50BD">
        <w:rPr>
          <w:rFonts w:ascii="Verdana" w:hAnsi="Verdana"/>
          <w:b w:val="0"/>
          <w:i/>
          <w:smallCaps/>
          <w:sz w:val="20"/>
          <w:lang w:val="pt-BR"/>
        </w:rPr>
        <w:t>Prova</w:t>
      </w:r>
      <w:r w:rsidRPr="002F50BD">
        <w:rPr>
          <w:rFonts w:ascii="Verdana" w:hAnsi="Verdana"/>
          <w:b w:val="0"/>
          <w:i/>
          <w:smallCaps/>
          <w:sz w:val="20"/>
          <w:lang w:val="pt-BR"/>
        </w:rPr>
        <w:t xml:space="preserve"> </w:t>
      </w:r>
      <w:r w:rsidR="0089298C" w:rsidRPr="002F50BD">
        <w:rPr>
          <w:rFonts w:ascii="Verdana" w:hAnsi="Verdana"/>
          <w:b w:val="0"/>
          <w:i/>
          <w:smallCaps/>
          <w:sz w:val="20"/>
          <w:lang w:val="pt-BR"/>
        </w:rPr>
        <w:t>testemunhal</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39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4</w:t>
      </w:r>
      <w:r w:rsidR="0089298C" w:rsidRPr="002F50BD">
        <w:rPr>
          <w:rFonts w:ascii="Verdana" w:hAnsi="Verdana"/>
          <w:sz w:val="20"/>
          <w:lang w:val="pt-BR"/>
        </w:rPr>
        <w:t xml:space="preserve"> e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1B6C94"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recebeu em audiência</w:t>
      </w:r>
      <w:r w:rsidR="004756C1" w:rsidRPr="002F50BD">
        <w:rPr>
          <w:rFonts w:ascii="Verdana" w:hAnsi="Verdana"/>
          <w:sz w:val="20"/>
          <w:lang w:val="pt-BR"/>
        </w:rPr>
        <w:t xml:space="preserve"> pública</w:t>
      </w:r>
      <w:r w:rsidR="0089298C" w:rsidRPr="002F50BD">
        <w:rPr>
          <w:rFonts w:ascii="Verdana" w:hAnsi="Verdana"/>
          <w:sz w:val="20"/>
          <w:lang w:val="pt-BR"/>
        </w:rPr>
        <w:t xml:space="preserve"> as </w:t>
      </w:r>
      <w:r w:rsidR="004756C1" w:rsidRPr="002F50BD">
        <w:rPr>
          <w:rFonts w:ascii="Verdana" w:hAnsi="Verdana"/>
          <w:sz w:val="20"/>
          <w:lang w:val="pt-BR"/>
        </w:rPr>
        <w:t>declara</w:t>
      </w:r>
      <w:r w:rsidR="00367FD1" w:rsidRPr="002F50BD">
        <w:rPr>
          <w:rFonts w:ascii="Verdana" w:hAnsi="Verdana"/>
          <w:sz w:val="20"/>
          <w:lang w:val="pt-BR"/>
        </w:rPr>
        <w:t>ções da</w:t>
      </w:r>
      <w:r w:rsidR="0089298C" w:rsidRPr="002F50BD">
        <w:rPr>
          <w:rFonts w:ascii="Verdana" w:hAnsi="Verdana"/>
          <w:sz w:val="20"/>
          <w:lang w:val="pt-BR"/>
        </w:rPr>
        <w:t>s testemunha</w:t>
      </w:r>
      <w:r w:rsidR="004756C1" w:rsidRPr="002F50BD">
        <w:rPr>
          <w:rFonts w:ascii="Verdana" w:hAnsi="Verdana"/>
          <w:sz w:val="20"/>
          <w:lang w:val="pt-BR"/>
        </w:rPr>
        <w:t>s</w:t>
      </w:r>
      <w:r w:rsidR="0089298C" w:rsidRPr="002F50BD">
        <w:rPr>
          <w:rFonts w:ascii="Verdana" w:hAnsi="Verdana"/>
          <w:sz w:val="20"/>
          <w:lang w:val="pt-BR"/>
        </w:rPr>
        <w:t xml:space="preserve"> e </w:t>
      </w:r>
      <w:r w:rsidR="00367FD1" w:rsidRPr="002F50BD">
        <w:rPr>
          <w:rFonts w:ascii="Verdana" w:hAnsi="Verdana"/>
          <w:sz w:val="20"/>
          <w:lang w:val="pt-BR"/>
        </w:rPr>
        <w:t xml:space="preserve">dos </w:t>
      </w:r>
      <w:r w:rsidR="004756C1" w:rsidRPr="002F50BD">
        <w:rPr>
          <w:rFonts w:ascii="Verdana" w:hAnsi="Verdana"/>
          <w:sz w:val="20"/>
          <w:lang w:val="pt-BR"/>
        </w:rPr>
        <w:t xml:space="preserve">peritos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pela Comissão</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21</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A </w:t>
      </w:r>
      <w:r w:rsidR="00367FD1" w:rsidRPr="002F50BD">
        <w:rPr>
          <w:rFonts w:ascii="Verdana" w:hAnsi="Verdana"/>
          <w:sz w:val="20"/>
          <w:lang w:val="pt-BR"/>
        </w:rPr>
        <w:t>seguir</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Tribunal resume</w:t>
      </w:r>
      <w:r w:rsidR="0089298C" w:rsidRPr="002F50BD">
        <w:rPr>
          <w:rFonts w:ascii="Verdana" w:hAnsi="Verdana"/>
          <w:sz w:val="20"/>
          <w:lang w:val="pt-BR"/>
        </w:rPr>
        <w:t xml:space="preserve"> as </w:t>
      </w:r>
      <w:r w:rsidR="004756C1" w:rsidRPr="002F50BD">
        <w:rPr>
          <w:rFonts w:ascii="Verdana" w:hAnsi="Verdana"/>
          <w:sz w:val="20"/>
          <w:lang w:val="pt-BR"/>
        </w:rPr>
        <w:t xml:space="preserve">partes relevantes </w:t>
      </w:r>
      <w:r w:rsidR="0089298C" w:rsidRPr="002F50BD">
        <w:rPr>
          <w:rFonts w:ascii="Verdana" w:hAnsi="Verdana"/>
          <w:sz w:val="20"/>
          <w:lang w:val="pt-BR"/>
        </w:rPr>
        <w:t>deste</w:t>
      </w:r>
      <w:r w:rsidR="004756C1" w:rsidRPr="002F50BD">
        <w:rPr>
          <w:rFonts w:ascii="Verdana" w:hAnsi="Verdana"/>
          <w:sz w:val="20"/>
          <w:lang w:val="pt-BR"/>
        </w:rPr>
        <w:t xml:space="preserve">s </w:t>
      </w:r>
      <w:r w:rsidR="0089298C" w:rsidRPr="002F50BD">
        <w:rPr>
          <w:rFonts w:ascii="Verdana" w:hAnsi="Verdana"/>
          <w:sz w:val="20"/>
          <w:lang w:val="pt-BR"/>
        </w:rPr>
        <w:t>testemunho</w:t>
      </w:r>
      <w:r w:rsidR="004756C1" w:rsidRPr="002F50BD">
        <w:rPr>
          <w:rFonts w:ascii="Verdana" w:hAnsi="Verdana"/>
          <w:sz w:val="20"/>
          <w:lang w:val="pt-BR"/>
        </w:rPr>
        <w:t>s.</w:t>
      </w:r>
    </w:p>
    <w:p w:rsidR="004756C1" w:rsidRPr="002F50BD" w:rsidRDefault="004756C1">
      <w:pPr>
        <w:pStyle w:val="BodyText"/>
        <w:rPr>
          <w:rFonts w:ascii="Verdana" w:hAnsi="Verdana"/>
          <w:b/>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a.</w:t>
      </w:r>
      <w:r w:rsidRPr="002F50BD">
        <w:rPr>
          <w:rFonts w:ascii="Verdana" w:hAnsi="Verdana"/>
          <w:b/>
          <w:sz w:val="20"/>
          <w:lang w:val="pt-BR"/>
        </w:rPr>
        <w:tab/>
        <w:t xml:space="preserve">Esteban López, </w:t>
      </w:r>
      <w:r w:rsidR="0089298C" w:rsidRPr="002F50BD">
        <w:rPr>
          <w:rFonts w:ascii="Verdana" w:hAnsi="Verdana"/>
          <w:b/>
          <w:sz w:val="20"/>
          <w:lang w:val="pt-BR"/>
        </w:rPr>
        <w:t>suposta</w:t>
      </w:r>
      <w:r w:rsidRPr="002F50BD">
        <w:rPr>
          <w:rFonts w:ascii="Verdana" w:hAnsi="Verdana"/>
          <w:b/>
          <w:sz w:val="20"/>
          <w:lang w:val="pt-BR"/>
        </w:rPr>
        <w:t xml:space="preserve"> </w:t>
      </w:r>
      <w:r w:rsidR="0089298C" w:rsidRPr="002F50BD">
        <w:rPr>
          <w:rFonts w:ascii="Verdana" w:hAnsi="Verdana"/>
          <w:b/>
          <w:sz w:val="20"/>
          <w:lang w:val="pt-BR"/>
        </w:rPr>
        <w:t>vítima</w:t>
      </w:r>
      <w:r w:rsidR="00E221FD">
        <w:rPr>
          <w:rFonts w:ascii="Verdana" w:hAnsi="Verdana"/>
          <w:b/>
          <w:sz w:val="20"/>
          <w:lang w:val="pt-BR"/>
        </w:rPr>
        <w:t>,</w:t>
      </w:r>
      <w:r w:rsidR="0089298C" w:rsidRPr="002F50BD">
        <w:rPr>
          <w:rFonts w:ascii="Verdana" w:hAnsi="Verdana"/>
          <w:b/>
          <w:sz w:val="20"/>
          <w:lang w:val="pt-BR"/>
        </w:rPr>
        <w:t xml:space="preserve"> </w:t>
      </w:r>
      <w:r w:rsidRPr="002F50BD">
        <w:rPr>
          <w:rFonts w:ascii="Verdana" w:hAnsi="Verdana"/>
          <w:b/>
          <w:sz w:val="20"/>
          <w:lang w:val="pt-BR"/>
        </w:rPr>
        <w:t>líder</w:t>
      </w:r>
      <w:r w:rsidR="0089298C" w:rsidRPr="002F50BD">
        <w:rPr>
          <w:rFonts w:ascii="Verdana" w:hAnsi="Verdana"/>
          <w:b/>
          <w:sz w:val="20"/>
          <w:lang w:val="pt-BR"/>
        </w:rPr>
        <w:t xml:space="preserve"> </w:t>
      </w:r>
      <w:r w:rsidR="004F64EE" w:rsidRPr="002F50BD">
        <w:rPr>
          <w:rFonts w:ascii="Verdana" w:hAnsi="Verdana"/>
          <w:b/>
          <w:sz w:val="20"/>
          <w:lang w:val="pt-BR"/>
        </w:rPr>
        <w:t>d</w:t>
      </w:r>
      <w:r w:rsidR="0089298C" w:rsidRPr="002F50BD">
        <w:rPr>
          <w:rFonts w:ascii="Verdana" w:hAnsi="Verdana"/>
          <w:b/>
          <w:sz w:val="20"/>
          <w:lang w:val="pt-BR"/>
        </w:rPr>
        <w:t xml:space="preserve">a Comunidade </w:t>
      </w:r>
      <w:r w:rsidRPr="002F50BD">
        <w:rPr>
          <w:rFonts w:ascii="Verdana" w:hAnsi="Verdana"/>
          <w:b/>
          <w:sz w:val="20"/>
          <w:lang w:val="pt-BR"/>
        </w:rPr>
        <w:t>Yakye Axa</w:t>
      </w:r>
    </w:p>
    <w:p w:rsidR="004756C1" w:rsidRPr="002F50BD" w:rsidRDefault="004756C1">
      <w:pPr>
        <w:jc w:val="both"/>
        <w:rPr>
          <w:rFonts w:ascii="Verdana" w:hAnsi="Verdana"/>
          <w:sz w:val="20"/>
          <w:lang w:val="pt-BR"/>
        </w:rPr>
      </w:pPr>
    </w:p>
    <w:p w:rsidR="004756C1" w:rsidRPr="002F50BD" w:rsidRDefault="00367FD1">
      <w:pPr>
        <w:jc w:val="both"/>
        <w:rPr>
          <w:rFonts w:ascii="Verdana" w:hAnsi="Verdana"/>
          <w:sz w:val="20"/>
          <w:lang w:val="pt-BR"/>
        </w:rPr>
      </w:pPr>
      <w:r w:rsidRPr="002F50BD">
        <w:rPr>
          <w:rFonts w:ascii="Verdana" w:hAnsi="Verdana"/>
          <w:sz w:val="20"/>
          <w:lang w:val="pt-BR"/>
        </w:rPr>
        <w:t>É</w:t>
      </w:r>
      <w:r w:rsidR="004756C1" w:rsidRPr="002F50BD">
        <w:rPr>
          <w:rFonts w:ascii="Verdana" w:hAnsi="Verdana"/>
          <w:sz w:val="20"/>
          <w:lang w:val="pt-BR"/>
        </w:rPr>
        <w:t xml:space="preserve"> </w:t>
      </w:r>
      <w:r w:rsidR="0089298C" w:rsidRPr="002F50BD">
        <w:rPr>
          <w:rFonts w:ascii="Verdana" w:hAnsi="Verdana"/>
          <w:sz w:val="20"/>
          <w:lang w:val="pt-BR"/>
        </w:rPr>
        <w:t xml:space="preserve">membro e </w:t>
      </w:r>
      <w:r w:rsidR="004756C1" w:rsidRPr="002F50BD">
        <w:rPr>
          <w:rFonts w:ascii="Verdana" w:hAnsi="Verdana"/>
          <w:sz w:val="20"/>
          <w:lang w:val="pt-BR"/>
        </w:rPr>
        <w:t>líder</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 </w:t>
      </w:r>
      <w:r w:rsidR="00AB454A" w:rsidRPr="002F50BD">
        <w:rPr>
          <w:rFonts w:ascii="Verdana" w:hAnsi="Verdana"/>
          <w:sz w:val="20"/>
          <w:lang w:val="pt-BR"/>
        </w:rPr>
        <w:t>pertence</w:t>
      </w:r>
      <w:r w:rsidR="0089298C" w:rsidRPr="002F50BD">
        <w:rPr>
          <w:rFonts w:ascii="Verdana" w:hAnsi="Verdana"/>
          <w:sz w:val="20"/>
          <w:lang w:val="pt-BR"/>
        </w:rPr>
        <w:t xml:space="preserve"> ao povo</w:t>
      </w:r>
      <w:r w:rsidR="004756C1" w:rsidRPr="002F50BD">
        <w:rPr>
          <w:rFonts w:ascii="Verdana" w:hAnsi="Verdana"/>
          <w:sz w:val="20"/>
          <w:lang w:val="pt-BR"/>
        </w:rPr>
        <w:t xml:space="preserve"> indígena Enxet</w:t>
      </w:r>
      <w:r w:rsidR="0089298C" w:rsidRPr="002F50BD">
        <w:rPr>
          <w:rFonts w:ascii="Verdana" w:hAnsi="Verdana"/>
          <w:sz w:val="20"/>
          <w:lang w:val="pt-BR"/>
        </w:rPr>
        <w:t xml:space="preserve"> </w:t>
      </w:r>
      <w:r w:rsidR="004F64EE" w:rsidRPr="002F50BD">
        <w:rPr>
          <w:rFonts w:ascii="Verdana" w:hAnsi="Verdana"/>
          <w:sz w:val="20"/>
          <w:lang w:val="pt-BR"/>
        </w:rPr>
        <w:t>S</w:t>
      </w:r>
      <w:r w:rsidR="0089298C" w:rsidRPr="002F50BD">
        <w:rPr>
          <w:rFonts w:ascii="Verdana" w:hAnsi="Verdana"/>
          <w:sz w:val="20"/>
          <w:lang w:val="pt-BR"/>
        </w:rPr>
        <w:t xml:space="preserve">ul do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o.</w:t>
      </w:r>
      <w:r w:rsidR="00FE08B7">
        <w:rPr>
          <w:rFonts w:ascii="Verdana" w:hAnsi="Verdana"/>
          <w:sz w:val="20"/>
          <w:lang w:val="pt-BR"/>
        </w:rPr>
        <w:t xml:space="preserve"> </w:t>
      </w:r>
      <w:r w:rsidR="004756C1" w:rsidRPr="002F50BD">
        <w:rPr>
          <w:rFonts w:ascii="Verdana" w:hAnsi="Verdana"/>
          <w:sz w:val="20"/>
          <w:lang w:val="pt-BR"/>
        </w:rPr>
        <w:t>Su</w:t>
      </w:r>
      <w:r w:rsidRPr="002F50BD">
        <w:rPr>
          <w:rFonts w:ascii="Verdana" w:hAnsi="Verdana"/>
          <w:sz w:val="20"/>
          <w:lang w:val="pt-BR"/>
        </w:rPr>
        <w:t>a</w:t>
      </w:r>
      <w:r w:rsidR="004756C1" w:rsidRPr="002F50BD">
        <w:rPr>
          <w:rFonts w:ascii="Verdana" w:hAnsi="Verdana"/>
          <w:sz w:val="20"/>
          <w:lang w:val="pt-BR"/>
        </w:rPr>
        <w:t xml:space="preserve"> </w:t>
      </w:r>
      <w:r w:rsidR="00CD3DEB" w:rsidRPr="002F50BD">
        <w:rPr>
          <w:rFonts w:ascii="Verdana" w:hAnsi="Verdana"/>
          <w:sz w:val="20"/>
          <w:lang w:val="pt-BR"/>
        </w:rPr>
        <w:t>língua</w:t>
      </w:r>
      <w:r w:rsidR="004756C1" w:rsidRPr="002F50BD">
        <w:rPr>
          <w:rFonts w:ascii="Verdana" w:hAnsi="Verdana"/>
          <w:sz w:val="20"/>
          <w:lang w:val="pt-BR"/>
        </w:rPr>
        <w:t xml:space="preserve"> materna</w:t>
      </w:r>
      <w:r w:rsidR="0089298C" w:rsidRPr="002F50BD">
        <w:rPr>
          <w:rFonts w:ascii="Verdana" w:hAnsi="Verdana"/>
          <w:sz w:val="20"/>
          <w:lang w:val="pt-BR"/>
        </w:rPr>
        <w:t xml:space="preserve"> é o </w:t>
      </w:r>
      <w:r w:rsidR="004756C1" w:rsidRPr="002F50BD">
        <w:rPr>
          <w:rFonts w:ascii="Verdana" w:hAnsi="Verdana"/>
          <w:sz w:val="20"/>
          <w:lang w:val="pt-BR"/>
        </w:rPr>
        <w:t>enxet</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Pr="002F50BD">
        <w:rPr>
          <w:rFonts w:ascii="Verdana" w:hAnsi="Verdana"/>
          <w:sz w:val="20"/>
          <w:lang w:val="pt-BR"/>
        </w:rPr>
        <w:t>além disso</w:t>
      </w:r>
      <w:r w:rsidR="004756C1" w:rsidRPr="002F50BD">
        <w:rPr>
          <w:rFonts w:ascii="Verdana" w:hAnsi="Verdana"/>
          <w:sz w:val="20"/>
          <w:lang w:val="pt-BR"/>
        </w:rPr>
        <w:t xml:space="preserve">, </w:t>
      </w:r>
      <w:r w:rsidR="0089298C" w:rsidRPr="002F50BD">
        <w:rPr>
          <w:rFonts w:ascii="Verdana" w:hAnsi="Verdana"/>
          <w:sz w:val="20"/>
          <w:lang w:val="pt-BR"/>
        </w:rPr>
        <w:t xml:space="preserve">fala o </w:t>
      </w:r>
      <w:r w:rsidR="005A6BC7" w:rsidRPr="002F50BD">
        <w:rPr>
          <w:rFonts w:ascii="Verdana" w:hAnsi="Verdana"/>
          <w:sz w:val="20"/>
          <w:lang w:val="pt-BR"/>
        </w:rPr>
        <w:t>guarani</w:t>
      </w:r>
      <w:r w:rsidR="0089298C" w:rsidRPr="002F50BD">
        <w:rPr>
          <w:rFonts w:ascii="Verdana" w:hAnsi="Verdana"/>
          <w:sz w:val="20"/>
          <w:lang w:val="pt-BR"/>
        </w:rPr>
        <w:t xml:space="preserve"> e o espanhol</w:t>
      </w:r>
      <w:r w:rsidR="004756C1" w:rsidRPr="002F50BD">
        <w:rPr>
          <w:rFonts w:ascii="Verdana" w:hAnsi="Verdana"/>
          <w:sz w:val="20"/>
          <w:lang w:val="pt-BR"/>
        </w:rPr>
        <w:t>. Na</w:t>
      </w:r>
      <w:r w:rsidRPr="002F50BD">
        <w:rPr>
          <w:rFonts w:ascii="Verdana" w:hAnsi="Verdana"/>
          <w:sz w:val="20"/>
          <w:lang w:val="pt-BR"/>
        </w:rPr>
        <w:t>s</w:t>
      </w:r>
      <w:r w:rsidR="004756C1" w:rsidRPr="002F50BD">
        <w:rPr>
          <w:rFonts w:ascii="Verdana" w:hAnsi="Verdana"/>
          <w:sz w:val="20"/>
          <w:lang w:val="pt-BR"/>
        </w:rPr>
        <w:t>c</w:t>
      </w:r>
      <w:r w:rsidRPr="002F50BD">
        <w:rPr>
          <w:rFonts w:ascii="Verdana" w:hAnsi="Verdana"/>
          <w:sz w:val="20"/>
          <w:lang w:val="pt-BR"/>
        </w:rPr>
        <w:t>eu</w:t>
      </w:r>
      <w:r w:rsidR="0089298C" w:rsidRPr="002F50BD">
        <w:rPr>
          <w:rFonts w:ascii="Verdana" w:hAnsi="Verdana"/>
          <w:sz w:val="20"/>
          <w:lang w:val="pt-BR"/>
        </w:rPr>
        <w:t xml:space="preserve"> na </w:t>
      </w:r>
      <w:r w:rsidR="004756C1" w:rsidRPr="002F50BD">
        <w:rPr>
          <w:rFonts w:ascii="Verdana" w:hAnsi="Verdana"/>
          <w:i/>
          <w:sz w:val="20"/>
          <w:lang w:val="pt-BR"/>
        </w:rPr>
        <w:t>Estancia Loma Porá</w:t>
      </w:r>
      <w:r w:rsidR="004756C1" w:rsidRPr="002F50BD">
        <w:rPr>
          <w:rFonts w:ascii="Verdana" w:hAnsi="Verdana"/>
          <w:sz w:val="20"/>
          <w:lang w:val="pt-BR"/>
        </w:rPr>
        <w:t xml:space="preserve">, </w:t>
      </w:r>
      <w:r w:rsidR="0089298C" w:rsidRPr="002F50BD">
        <w:rPr>
          <w:rFonts w:ascii="Verdana" w:hAnsi="Verdana"/>
          <w:sz w:val="20"/>
          <w:lang w:val="pt-BR"/>
        </w:rPr>
        <w:t>localizad</w:t>
      </w:r>
      <w:r w:rsidR="004756C1" w:rsidRPr="002F50BD">
        <w:rPr>
          <w:rFonts w:ascii="Verdana" w:hAnsi="Verdana"/>
          <w:sz w:val="20"/>
          <w:lang w:val="pt-BR"/>
        </w:rPr>
        <w:t xml:space="preserve">a </w:t>
      </w:r>
      <w:r w:rsidR="00E221FD">
        <w:rPr>
          <w:rFonts w:ascii="Verdana" w:hAnsi="Verdana"/>
          <w:sz w:val="20"/>
          <w:lang w:val="pt-BR"/>
        </w:rPr>
        <w:t xml:space="preserve">a </w:t>
      </w:r>
      <w:r w:rsidR="004756C1" w:rsidRPr="002F50BD">
        <w:rPr>
          <w:rFonts w:ascii="Verdana" w:hAnsi="Verdana"/>
          <w:sz w:val="20"/>
          <w:lang w:val="pt-BR"/>
        </w:rPr>
        <w:t xml:space="preserve">aproximadamente </w:t>
      </w:r>
      <w:r w:rsidR="00063B47" w:rsidRPr="002F50BD">
        <w:rPr>
          <w:rFonts w:ascii="Verdana" w:hAnsi="Verdana"/>
          <w:sz w:val="20"/>
          <w:lang w:val="pt-BR"/>
        </w:rPr>
        <w:t>45</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de dist</w:t>
      </w:r>
      <w:r w:rsidRPr="002F50BD">
        <w:rPr>
          <w:rFonts w:ascii="Verdana" w:hAnsi="Verdana"/>
          <w:sz w:val="20"/>
          <w:lang w:val="pt-BR"/>
        </w:rPr>
        <w:t>â</w:t>
      </w:r>
      <w:r w:rsidR="004756C1" w:rsidRPr="002F50BD">
        <w:rPr>
          <w:rFonts w:ascii="Verdana" w:hAnsi="Verdana"/>
          <w:sz w:val="20"/>
          <w:lang w:val="pt-BR"/>
        </w:rPr>
        <w:t>ncia de Yakye Axa</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005B6718"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depois da morte</w:t>
      </w:r>
      <w:r w:rsidR="004756C1" w:rsidRPr="002F50BD">
        <w:rPr>
          <w:rFonts w:ascii="Verdana" w:hAnsi="Verdana"/>
          <w:sz w:val="20"/>
          <w:lang w:val="pt-BR"/>
        </w:rPr>
        <w:t xml:space="preserve"> de </w:t>
      </w:r>
      <w:r w:rsidR="0089298C" w:rsidRPr="002F50BD">
        <w:rPr>
          <w:rFonts w:ascii="Verdana" w:hAnsi="Verdana"/>
          <w:sz w:val="20"/>
          <w:lang w:val="pt-BR"/>
        </w:rPr>
        <w:t>seu pai</w:t>
      </w:r>
      <w:r w:rsidR="005B6718"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grande </w:t>
      </w:r>
      <w:r w:rsidR="004756C1" w:rsidRPr="002F50BD">
        <w:rPr>
          <w:rFonts w:ascii="Verdana" w:hAnsi="Verdana"/>
          <w:sz w:val="20"/>
          <w:lang w:val="pt-BR"/>
        </w:rPr>
        <w:t>parte de</w:t>
      </w:r>
      <w:r w:rsidR="0089298C" w:rsidRPr="002F50BD">
        <w:rPr>
          <w:rFonts w:ascii="Verdana" w:hAnsi="Verdana"/>
          <w:sz w:val="20"/>
          <w:lang w:val="pt-BR"/>
        </w:rPr>
        <w:t xml:space="preserve"> sua família </w:t>
      </w:r>
      <w:r w:rsidR="004756C1" w:rsidRPr="002F50BD">
        <w:rPr>
          <w:rFonts w:ascii="Verdana" w:hAnsi="Verdana"/>
          <w:sz w:val="20"/>
          <w:lang w:val="pt-BR"/>
        </w:rPr>
        <w:t xml:space="preserve">se </w:t>
      </w:r>
      <w:r w:rsidRPr="002F50BD">
        <w:rPr>
          <w:rFonts w:ascii="Verdana" w:hAnsi="Verdana"/>
          <w:sz w:val="20"/>
          <w:lang w:val="pt-BR"/>
        </w:rPr>
        <w:t>mudou</w:t>
      </w:r>
      <w:r w:rsidR="004F64EE" w:rsidRPr="002F50BD">
        <w:rPr>
          <w:rFonts w:ascii="Verdana" w:hAnsi="Verdana"/>
          <w:sz w:val="20"/>
          <w:lang w:val="pt-BR"/>
        </w:rPr>
        <w:t xml:space="preserve">” </w:t>
      </w:r>
      <w:r w:rsidR="005B6718" w:rsidRPr="002F50BD">
        <w:rPr>
          <w:rFonts w:ascii="Verdana" w:hAnsi="Verdana"/>
          <w:sz w:val="20"/>
          <w:lang w:val="pt-BR"/>
        </w:rPr>
        <w:t>par</w:t>
      </w:r>
      <w:r w:rsidR="004F64EE" w:rsidRPr="002F50BD">
        <w:rPr>
          <w:rFonts w:ascii="Verdana" w:hAnsi="Verdana"/>
          <w:sz w:val="20"/>
          <w:lang w:val="pt-BR"/>
        </w:rPr>
        <w:t>a esse lugar</w:t>
      </w:r>
      <w:r w:rsidR="004756C1" w:rsidRPr="002F50BD">
        <w:rPr>
          <w:rFonts w:ascii="Verdana" w:hAnsi="Verdana"/>
          <w:sz w:val="20"/>
          <w:lang w:val="pt-BR"/>
        </w:rPr>
        <w:t>, “como</w:t>
      </w:r>
      <w:r w:rsidR="0089298C" w:rsidRPr="002F50BD">
        <w:rPr>
          <w:rFonts w:ascii="Verdana" w:hAnsi="Verdana"/>
          <w:sz w:val="20"/>
          <w:lang w:val="pt-BR"/>
        </w:rPr>
        <w:t xml:space="preserve"> é a </w:t>
      </w:r>
      <w:r w:rsidR="004756C1" w:rsidRPr="002F50BD">
        <w:rPr>
          <w:rFonts w:ascii="Verdana" w:hAnsi="Verdana"/>
          <w:sz w:val="20"/>
          <w:lang w:val="pt-BR"/>
        </w:rPr>
        <w:t>cultura</w:t>
      </w:r>
      <w:r w:rsidR="0089298C" w:rsidRPr="002F50BD">
        <w:rPr>
          <w:rFonts w:ascii="Verdana" w:hAnsi="Verdana"/>
          <w:sz w:val="20"/>
          <w:lang w:val="pt-BR"/>
        </w:rPr>
        <w:t xml:space="preserve"> dos povo</w:t>
      </w:r>
      <w:r w:rsidR="004756C1" w:rsidRPr="002F50BD">
        <w:rPr>
          <w:rFonts w:ascii="Verdana" w:hAnsi="Verdana"/>
          <w:sz w:val="20"/>
          <w:lang w:val="pt-BR"/>
        </w:rPr>
        <w:t xml:space="preserve">s </w:t>
      </w:r>
      <w:r w:rsidR="004756C1" w:rsidRPr="002F50BD">
        <w:rPr>
          <w:rFonts w:ascii="Verdana" w:hAnsi="Verdana"/>
          <w:sz w:val="20"/>
          <w:lang w:val="pt-BR"/>
        </w:rPr>
        <w:lastRenderedPageBreak/>
        <w:t>indígenas.</w:t>
      </w:r>
      <w:r w:rsidR="00FE08B7">
        <w:rPr>
          <w:rFonts w:ascii="Verdana" w:hAnsi="Verdana"/>
          <w:sz w:val="20"/>
          <w:lang w:val="pt-BR"/>
        </w:rPr>
        <w:t xml:space="preserve"> </w:t>
      </w:r>
      <w:r w:rsidRPr="002F50BD">
        <w:rPr>
          <w:rFonts w:ascii="Verdana" w:hAnsi="Verdana"/>
          <w:sz w:val="20"/>
          <w:lang w:val="pt-BR"/>
        </w:rPr>
        <w:t xml:space="preserve">Entretanto, seus parentes </w:t>
      </w:r>
      <w:r w:rsidR="0089298C" w:rsidRPr="002F50BD">
        <w:rPr>
          <w:rFonts w:ascii="Verdana" w:hAnsi="Verdana"/>
          <w:sz w:val="20"/>
          <w:lang w:val="pt-BR"/>
        </w:rPr>
        <w:t xml:space="preserve">e </w:t>
      </w:r>
      <w:r w:rsidRPr="002F50BD">
        <w:rPr>
          <w:rFonts w:ascii="Verdana" w:hAnsi="Verdana"/>
          <w:sz w:val="20"/>
          <w:lang w:val="pt-BR"/>
        </w:rPr>
        <w:t>seus avós</w:t>
      </w:r>
      <w:r w:rsidR="004756C1" w:rsidRPr="002F50BD">
        <w:rPr>
          <w:rFonts w:ascii="Verdana" w:hAnsi="Verdana"/>
          <w:sz w:val="20"/>
          <w:lang w:val="pt-BR"/>
        </w:rPr>
        <w:t xml:space="preserve"> perten</w:t>
      </w:r>
      <w:r w:rsidRPr="002F50BD">
        <w:rPr>
          <w:rFonts w:ascii="Verdana" w:hAnsi="Verdana"/>
          <w:sz w:val="20"/>
          <w:lang w:val="pt-BR"/>
        </w:rPr>
        <w:t xml:space="preserve">ceram </w:t>
      </w:r>
      <w:r w:rsidR="0089298C" w:rsidRPr="002F50BD">
        <w:rPr>
          <w:rFonts w:ascii="Verdana" w:hAnsi="Verdana"/>
          <w:sz w:val="20"/>
          <w:lang w:val="pt-BR"/>
        </w:rPr>
        <w:t xml:space="preserve">à família </w:t>
      </w:r>
      <w:r w:rsidR="004756C1" w:rsidRPr="002F50BD">
        <w:rPr>
          <w:rFonts w:ascii="Verdana" w:hAnsi="Verdana"/>
          <w:sz w:val="20"/>
          <w:lang w:val="pt-BR"/>
        </w:rPr>
        <w:t>Yakye Axa</w:t>
      </w:r>
      <w:r w:rsidRPr="002F50BD">
        <w:rPr>
          <w:rFonts w:ascii="Verdana" w:hAnsi="Verdana"/>
          <w:sz w:val="20"/>
          <w:lang w:val="pt-BR"/>
        </w:rPr>
        <w:t>. A</w:t>
      </w:r>
      <w:r w:rsidR="00AB454A" w:rsidRPr="002F50BD">
        <w:rPr>
          <w:rFonts w:ascii="Verdana" w:hAnsi="Verdana"/>
          <w:sz w:val="20"/>
          <w:lang w:val="pt-BR"/>
        </w:rPr>
        <w:t xml:space="preserve"> </w:t>
      </w:r>
      <w:r w:rsidR="0089298C" w:rsidRPr="002F50BD">
        <w:rPr>
          <w:rFonts w:ascii="Verdana" w:hAnsi="Verdana"/>
          <w:sz w:val="20"/>
          <w:lang w:val="pt-BR"/>
        </w:rPr>
        <w:t>testemunha</w:t>
      </w:r>
      <w:r w:rsidR="004756C1" w:rsidRPr="002F50BD">
        <w:rPr>
          <w:rFonts w:ascii="Verdana" w:hAnsi="Verdana"/>
          <w:sz w:val="20"/>
          <w:lang w:val="pt-BR"/>
        </w:rPr>
        <w:t xml:space="preserve"> </w:t>
      </w:r>
      <w:r w:rsidR="0089298C" w:rsidRPr="002F50BD">
        <w:rPr>
          <w:rFonts w:ascii="Verdana" w:hAnsi="Verdana"/>
          <w:sz w:val="20"/>
          <w:lang w:val="pt-BR"/>
        </w:rPr>
        <w:t xml:space="preserve">chegou à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Yakye Axa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quando</w:t>
      </w:r>
      <w:r w:rsidR="004756C1" w:rsidRPr="002F50BD">
        <w:rPr>
          <w:rFonts w:ascii="Verdana" w:hAnsi="Verdana"/>
          <w:sz w:val="20"/>
          <w:lang w:val="pt-BR"/>
        </w:rPr>
        <w:t xml:space="preserve"> </w:t>
      </w:r>
      <w:r w:rsidR="0089298C" w:rsidRPr="002F50BD">
        <w:rPr>
          <w:rFonts w:ascii="Verdana" w:hAnsi="Verdana"/>
          <w:sz w:val="20"/>
          <w:lang w:val="pt-BR"/>
        </w:rPr>
        <w:t>tinha</w:t>
      </w:r>
      <w:r w:rsidR="004756C1" w:rsidRPr="002F50BD">
        <w:rPr>
          <w:rFonts w:ascii="Verdana" w:hAnsi="Verdana"/>
          <w:sz w:val="20"/>
          <w:lang w:val="pt-BR"/>
        </w:rPr>
        <w:t xml:space="preserve"> </w:t>
      </w:r>
      <w:r w:rsidR="00063B47" w:rsidRPr="002F50BD">
        <w:rPr>
          <w:rFonts w:ascii="Verdana" w:hAnsi="Verdana"/>
          <w:sz w:val="20"/>
          <w:lang w:val="pt-BR"/>
        </w:rPr>
        <w:t>14</w:t>
      </w:r>
      <w:r w:rsidR="004756C1" w:rsidRPr="002F50BD">
        <w:rPr>
          <w:rFonts w:ascii="Verdana" w:hAnsi="Verdana"/>
          <w:sz w:val="20"/>
          <w:lang w:val="pt-BR"/>
        </w:rPr>
        <w:t xml:space="preserve"> </w:t>
      </w:r>
      <w:r w:rsidR="0089298C" w:rsidRPr="002F50BD">
        <w:rPr>
          <w:rFonts w:ascii="Verdana" w:hAnsi="Verdana"/>
          <w:sz w:val="20"/>
          <w:lang w:val="pt-BR"/>
        </w:rPr>
        <w:t>anos</w:t>
      </w:r>
      <w:r w:rsidR="004756C1" w:rsidRPr="002F50BD">
        <w:rPr>
          <w:rFonts w:ascii="Verdana" w:hAnsi="Verdana"/>
          <w:sz w:val="20"/>
          <w:lang w:val="pt-BR"/>
        </w:rPr>
        <w:t xml:space="preserve"> de</w:t>
      </w:r>
      <w:r w:rsidR="0089298C" w:rsidRPr="002F50BD">
        <w:rPr>
          <w:rFonts w:ascii="Verdana" w:hAnsi="Verdana"/>
          <w:sz w:val="20"/>
          <w:lang w:val="pt-BR"/>
        </w:rPr>
        <w:t xml:space="preserve"> idade</w:t>
      </w:r>
      <w:r w:rsidR="004756C1" w:rsidRPr="002F50BD">
        <w:rPr>
          <w:rFonts w:ascii="Verdana" w:hAnsi="Verdana"/>
          <w:sz w:val="20"/>
          <w:lang w:val="pt-BR"/>
        </w:rPr>
        <w:t>,</w:t>
      </w:r>
      <w:r w:rsidR="0089298C"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trabalhou</w:t>
      </w:r>
      <w:r w:rsidR="004756C1" w:rsidRPr="002F50BD">
        <w:rPr>
          <w:rFonts w:ascii="Verdana" w:hAnsi="Verdana"/>
          <w:sz w:val="20"/>
          <w:lang w:val="pt-BR"/>
        </w:rPr>
        <w:t xml:space="preserve">, entre </w:t>
      </w:r>
      <w:r w:rsidR="0089298C" w:rsidRPr="002F50BD">
        <w:rPr>
          <w:rFonts w:ascii="Verdana" w:hAnsi="Verdana"/>
          <w:sz w:val="20"/>
          <w:lang w:val="pt-BR"/>
        </w:rPr>
        <w:t>outra</w:t>
      </w:r>
      <w:r w:rsidR="004756C1" w:rsidRPr="002F50BD">
        <w:rPr>
          <w:rFonts w:ascii="Verdana" w:hAnsi="Verdana"/>
          <w:sz w:val="20"/>
          <w:lang w:val="pt-BR"/>
        </w:rPr>
        <w:t>s co</w:t>
      </w:r>
      <w:r w:rsidR="005B6718" w:rsidRPr="002F50BD">
        <w:rPr>
          <w:rFonts w:ascii="Verdana" w:hAnsi="Verdana"/>
          <w:sz w:val="20"/>
          <w:lang w:val="pt-BR"/>
        </w:rPr>
        <w:t>i</w:t>
      </w:r>
      <w:r w:rsidR="004756C1" w:rsidRPr="002F50BD">
        <w:rPr>
          <w:rFonts w:ascii="Verdana" w:hAnsi="Verdana"/>
          <w:sz w:val="20"/>
          <w:lang w:val="pt-BR"/>
        </w:rPr>
        <w:t>sas, como tr</w:t>
      </w:r>
      <w:r w:rsidR="004076AD" w:rsidRPr="002F50BD">
        <w:rPr>
          <w:rFonts w:ascii="Verdana" w:hAnsi="Verdana"/>
          <w:sz w:val="20"/>
          <w:lang w:val="pt-BR"/>
        </w:rPr>
        <w:t>ator</w:t>
      </w:r>
      <w:r w:rsidR="004756C1" w:rsidRPr="002F50BD">
        <w:rPr>
          <w:rFonts w:ascii="Verdana" w:hAnsi="Verdana"/>
          <w:sz w:val="20"/>
          <w:lang w:val="pt-BR"/>
        </w:rPr>
        <w:t>ista, cortando postes</w:t>
      </w:r>
      <w:r w:rsidR="0089298C" w:rsidRPr="002F50BD">
        <w:rPr>
          <w:rFonts w:ascii="Verdana" w:hAnsi="Verdana"/>
          <w:sz w:val="20"/>
          <w:lang w:val="pt-BR"/>
        </w:rPr>
        <w:t xml:space="preserve"> e fazendo</w:t>
      </w:r>
      <w:r w:rsidR="004756C1" w:rsidRPr="002F50BD">
        <w:rPr>
          <w:rFonts w:ascii="Verdana" w:hAnsi="Verdana"/>
          <w:sz w:val="20"/>
          <w:lang w:val="pt-BR"/>
        </w:rPr>
        <w:t xml:space="preserve"> alambrado.</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EA706C" w:rsidRPr="002F50BD">
        <w:rPr>
          <w:rFonts w:ascii="Verdana" w:hAnsi="Verdana"/>
          <w:sz w:val="20"/>
          <w:lang w:val="pt-BR"/>
        </w:rPr>
        <w:t xml:space="preserve">de </w:t>
      </w:r>
      <w:r w:rsidR="00063B47" w:rsidRPr="002F50BD">
        <w:rPr>
          <w:rFonts w:ascii="Verdana" w:hAnsi="Verdana"/>
          <w:sz w:val="20"/>
          <w:lang w:val="pt-BR"/>
        </w:rPr>
        <w:t>1980</w:t>
      </w:r>
      <w:r w:rsidR="005B6718"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475EBB" w:rsidRPr="002F50BD">
        <w:rPr>
          <w:rFonts w:ascii="Verdana" w:hAnsi="Verdana"/>
          <w:sz w:val="20"/>
          <w:lang w:val="pt-BR"/>
        </w:rPr>
        <w:t>não tiveram</w:t>
      </w:r>
      <w:r w:rsidRPr="002F50BD">
        <w:rPr>
          <w:rFonts w:ascii="Verdana" w:hAnsi="Verdana"/>
          <w:sz w:val="20"/>
          <w:lang w:val="pt-BR"/>
        </w:rPr>
        <w:t xml:space="preserve"> outra </w:t>
      </w:r>
      <w:r w:rsidR="004756C1" w:rsidRPr="002F50BD">
        <w:rPr>
          <w:rFonts w:ascii="Verdana" w:hAnsi="Verdana"/>
          <w:sz w:val="20"/>
          <w:lang w:val="pt-BR"/>
        </w:rPr>
        <w:t>op</w:t>
      </w:r>
      <w:r w:rsidRPr="002F50BD">
        <w:rPr>
          <w:rFonts w:ascii="Verdana" w:hAnsi="Verdana"/>
          <w:sz w:val="20"/>
          <w:lang w:val="pt-BR"/>
        </w:rPr>
        <w:t>ção</w:t>
      </w:r>
      <w:r w:rsidR="004756C1" w:rsidRPr="002F50BD">
        <w:rPr>
          <w:rFonts w:ascii="Verdana" w:hAnsi="Verdana"/>
          <w:sz w:val="20"/>
          <w:lang w:val="pt-BR"/>
        </w:rPr>
        <w:t xml:space="preserve"> </w:t>
      </w:r>
      <w:r w:rsidR="002576EC" w:rsidRPr="002F50BD">
        <w:rPr>
          <w:rFonts w:ascii="Verdana" w:hAnsi="Verdana"/>
          <w:sz w:val="20"/>
          <w:lang w:val="pt-BR"/>
        </w:rPr>
        <w:t>senão</w:t>
      </w:r>
      <w:r w:rsidR="004756C1" w:rsidRPr="002F50BD">
        <w:rPr>
          <w:rFonts w:ascii="Verdana" w:hAnsi="Verdana"/>
          <w:sz w:val="20"/>
          <w:lang w:val="pt-BR"/>
        </w:rPr>
        <w:t xml:space="preserve"> ser</w:t>
      </w:r>
      <w:r w:rsidR="00475EBB" w:rsidRPr="002F50BD">
        <w:rPr>
          <w:rFonts w:ascii="Verdana" w:hAnsi="Verdana"/>
          <w:sz w:val="20"/>
          <w:lang w:val="pt-BR"/>
        </w:rPr>
        <w:t>em</w:t>
      </w:r>
      <w:r w:rsidR="004756C1" w:rsidRPr="002F50BD">
        <w:rPr>
          <w:rFonts w:ascii="Verdana" w:hAnsi="Verdana"/>
          <w:sz w:val="20"/>
          <w:lang w:val="pt-BR"/>
        </w:rPr>
        <w:t xml:space="preserve"> </w:t>
      </w:r>
      <w:r w:rsidR="00475EBB" w:rsidRPr="002F50BD">
        <w:rPr>
          <w:rFonts w:ascii="Verdana" w:hAnsi="Verdana"/>
          <w:sz w:val="20"/>
          <w:lang w:val="pt-BR"/>
        </w:rPr>
        <w:t>empregado</w:t>
      </w:r>
      <w:r w:rsidR="004756C1" w:rsidRPr="002F50BD">
        <w:rPr>
          <w:rFonts w:ascii="Verdana" w:hAnsi="Verdana"/>
          <w:sz w:val="20"/>
          <w:lang w:val="pt-BR"/>
        </w:rPr>
        <w:t>s</w:t>
      </w:r>
      <w:r w:rsidRPr="002F50BD">
        <w:rPr>
          <w:rFonts w:ascii="Verdana" w:hAnsi="Verdana"/>
          <w:sz w:val="20"/>
          <w:lang w:val="pt-BR"/>
        </w:rPr>
        <w:t xml:space="preserve"> </w:t>
      </w:r>
      <w:r w:rsidR="00475EBB" w:rsidRPr="002F50BD">
        <w:rPr>
          <w:rFonts w:ascii="Verdana" w:hAnsi="Verdana"/>
          <w:sz w:val="20"/>
          <w:lang w:val="pt-BR"/>
        </w:rPr>
        <w:t>pel</w:t>
      </w:r>
      <w:r w:rsidRPr="002F50BD">
        <w:rPr>
          <w:rFonts w:ascii="Verdana" w:hAnsi="Verdana"/>
          <w:sz w:val="20"/>
          <w:lang w:val="pt-BR"/>
        </w:rPr>
        <w:t xml:space="preserve">a </w:t>
      </w:r>
      <w:r w:rsidR="004756C1" w:rsidRPr="002F50BD">
        <w:rPr>
          <w:rFonts w:ascii="Verdana" w:hAnsi="Verdana"/>
          <w:sz w:val="20"/>
          <w:lang w:val="pt-BR"/>
        </w:rPr>
        <w:t xml:space="preserve">empresa privada que </w:t>
      </w:r>
      <w:r w:rsidRPr="002F50BD">
        <w:rPr>
          <w:rFonts w:ascii="Verdana" w:hAnsi="Verdana"/>
          <w:sz w:val="20"/>
          <w:lang w:val="pt-BR"/>
        </w:rPr>
        <w:t xml:space="preserve">estava na </w:t>
      </w:r>
      <w:r w:rsidR="00060B3A" w:rsidRPr="002F50BD">
        <w:rPr>
          <w:rFonts w:ascii="Verdana" w:hAnsi="Verdana"/>
          <w:i/>
          <w:sz w:val="20"/>
          <w:lang w:val="pt-BR"/>
        </w:rPr>
        <w:t>Estancia Loma Verde</w:t>
      </w:r>
      <w:r w:rsidR="00AB454A" w:rsidRPr="002F50BD">
        <w:rPr>
          <w:rFonts w:ascii="Verdana" w:hAnsi="Verdana"/>
          <w:sz w:val="20"/>
          <w:lang w:val="pt-BR"/>
        </w:rPr>
        <w:t xml:space="preserve">. A </w:t>
      </w:r>
      <w:r w:rsidRPr="002F50BD">
        <w:rPr>
          <w:rFonts w:ascii="Verdana" w:hAnsi="Verdana"/>
          <w:sz w:val="20"/>
          <w:lang w:val="pt-BR"/>
        </w:rPr>
        <w:t>igreja</w:t>
      </w:r>
      <w:r w:rsidR="004756C1" w:rsidRPr="002F50BD">
        <w:rPr>
          <w:rFonts w:ascii="Verdana" w:hAnsi="Verdana"/>
          <w:sz w:val="20"/>
          <w:lang w:val="pt-BR"/>
        </w:rPr>
        <w:t xml:space="preserve"> anglicana</w:t>
      </w:r>
      <w:r w:rsidRPr="002F50BD">
        <w:rPr>
          <w:rFonts w:ascii="Verdana" w:hAnsi="Verdana"/>
          <w:sz w:val="20"/>
          <w:lang w:val="pt-BR"/>
        </w:rPr>
        <w:t xml:space="preserve"> lhes </w:t>
      </w:r>
      <w:r w:rsidR="00475EBB" w:rsidRPr="002F50BD">
        <w:rPr>
          <w:rFonts w:ascii="Verdana" w:hAnsi="Verdana"/>
          <w:sz w:val="20"/>
          <w:lang w:val="pt-BR"/>
        </w:rPr>
        <w:t>disse</w:t>
      </w:r>
      <w:r w:rsidR="004756C1" w:rsidRPr="002F50BD">
        <w:rPr>
          <w:rFonts w:ascii="Verdana" w:hAnsi="Verdana"/>
          <w:sz w:val="20"/>
          <w:lang w:val="pt-BR"/>
        </w:rPr>
        <w:t xml:space="preserve"> que </w:t>
      </w:r>
      <w:r w:rsidRPr="002F50BD">
        <w:rPr>
          <w:rFonts w:ascii="Verdana" w:hAnsi="Verdana"/>
          <w:sz w:val="20"/>
          <w:lang w:val="pt-BR"/>
        </w:rPr>
        <w:t>estavam</w:t>
      </w:r>
      <w:r w:rsidR="004756C1" w:rsidRPr="002F50BD">
        <w:rPr>
          <w:rFonts w:ascii="Verdana" w:hAnsi="Verdana"/>
          <w:sz w:val="20"/>
          <w:lang w:val="pt-BR"/>
        </w:rPr>
        <w:t xml:space="preserve"> </w:t>
      </w:r>
      <w:r w:rsidRPr="002F50BD">
        <w:rPr>
          <w:rFonts w:ascii="Verdana" w:hAnsi="Verdana"/>
          <w:sz w:val="20"/>
          <w:lang w:val="pt-BR"/>
        </w:rPr>
        <w:t>sendo</w:t>
      </w:r>
      <w:r w:rsidR="004756C1" w:rsidRPr="002F50BD">
        <w:rPr>
          <w:rFonts w:ascii="Verdana" w:hAnsi="Verdana"/>
          <w:sz w:val="20"/>
          <w:lang w:val="pt-BR"/>
        </w:rPr>
        <w:t xml:space="preserve"> “</w:t>
      </w:r>
      <w:r w:rsidR="00475EBB" w:rsidRPr="002F50BD">
        <w:rPr>
          <w:rFonts w:ascii="Verdana" w:hAnsi="Verdana"/>
          <w:sz w:val="20"/>
          <w:lang w:val="pt-BR"/>
        </w:rPr>
        <w:t>explorad</w:t>
      </w:r>
      <w:r w:rsidR="004756C1" w:rsidRPr="002F50BD">
        <w:rPr>
          <w:rFonts w:ascii="Verdana" w:hAnsi="Verdana"/>
          <w:sz w:val="20"/>
          <w:lang w:val="pt-BR"/>
        </w:rPr>
        <w:t>os”</w:t>
      </w:r>
      <w:r w:rsidRPr="002F50BD">
        <w:rPr>
          <w:rFonts w:ascii="Verdana" w:hAnsi="Verdana"/>
          <w:sz w:val="20"/>
          <w:lang w:val="pt-BR"/>
        </w:rPr>
        <w:t xml:space="preserve"> e </w:t>
      </w:r>
      <w:r w:rsidR="004756C1" w:rsidRPr="002F50BD">
        <w:rPr>
          <w:rFonts w:ascii="Verdana" w:hAnsi="Verdana"/>
          <w:sz w:val="20"/>
          <w:lang w:val="pt-BR"/>
        </w:rPr>
        <w:t>que n</w:t>
      </w:r>
      <w:r w:rsidR="00475EBB" w:rsidRPr="002F50BD">
        <w:rPr>
          <w:rFonts w:ascii="Verdana" w:hAnsi="Verdana"/>
          <w:sz w:val="20"/>
          <w:lang w:val="pt-BR"/>
        </w:rPr>
        <w:t>ã</w:t>
      </w:r>
      <w:r w:rsidR="004756C1" w:rsidRPr="002F50BD">
        <w:rPr>
          <w:rFonts w:ascii="Verdana" w:hAnsi="Verdana"/>
          <w:sz w:val="20"/>
          <w:lang w:val="pt-BR"/>
        </w:rPr>
        <w:t>o merec</w:t>
      </w:r>
      <w:r w:rsidR="00475EBB" w:rsidRPr="002F50BD">
        <w:rPr>
          <w:rFonts w:ascii="Verdana" w:hAnsi="Verdana"/>
          <w:sz w:val="20"/>
          <w:lang w:val="pt-BR"/>
        </w:rPr>
        <w:t xml:space="preserve">iam </w:t>
      </w:r>
      <w:r w:rsidR="004756C1" w:rsidRPr="002F50BD">
        <w:rPr>
          <w:rFonts w:ascii="Verdana" w:hAnsi="Verdana"/>
          <w:sz w:val="20"/>
          <w:lang w:val="pt-BR"/>
        </w:rPr>
        <w:t>“</w:t>
      </w:r>
      <w:r w:rsidRPr="002F50BD">
        <w:rPr>
          <w:rFonts w:ascii="Verdana" w:hAnsi="Verdana"/>
          <w:sz w:val="20"/>
          <w:lang w:val="pt-BR"/>
        </w:rPr>
        <w:t>viver</w:t>
      </w:r>
      <w:r w:rsidR="004756C1" w:rsidRPr="002F50BD">
        <w:rPr>
          <w:rFonts w:ascii="Verdana" w:hAnsi="Verdana"/>
          <w:sz w:val="20"/>
          <w:lang w:val="pt-BR"/>
        </w:rPr>
        <w:t xml:space="preserve"> </w:t>
      </w:r>
      <w:r w:rsidRPr="002F50BD">
        <w:rPr>
          <w:rFonts w:ascii="Verdana" w:hAnsi="Verdana"/>
          <w:sz w:val="20"/>
          <w:lang w:val="pt-BR"/>
        </w:rPr>
        <w:t xml:space="preserve">mais </w:t>
      </w:r>
      <w:r w:rsidR="00FB33DD" w:rsidRPr="002F50BD">
        <w:rPr>
          <w:rFonts w:ascii="Verdana" w:hAnsi="Verdana"/>
          <w:sz w:val="20"/>
          <w:lang w:val="pt-BR"/>
        </w:rPr>
        <w:t>nessa</w:t>
      </w:r>
      <w:r w:rsidRPr="002F50BD">
        <w:rPr>
          <w:rFonts w:ascii="Verdana" w:hAnsi="Verdana"/>
          <w:sz w:val="20"/>
          <w:lang w:val="pt-BR"/>
        </w:rPr>
        <w:t xml:space="preserve"> </w:t>
      </w:r>
      <w:r w:rsidR="004756C1" w:rsidRPr="002F50BD">
        <w:rPr>
          <w:rFonts w:ascii="Verdana" w:hAnsi="Verdana"/>
          <w:sz w:val="20"/>
          <w:lang w:val="pt-BR"/>
        </w:rPr>
        <w:t>condi</w:t>
      </w:r>
      <w:r w:rsidRPr="002F50BD">
        <w:rPr>
          <w:rFonts w:ascii="Verdana" w:hAnsi="Verdana"/>
          <w:sz w:val="20"/>
          <w:lang w:val="pt-BR"/>
        </w:rPr>
        <w:t>ção</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Entre</w:t>
      </w:r>
      <w:r w:rsidRPr="002F50BD">
        <w:rPr>
          <w:rFonts w:ascii="Verdana" w:hAnsi="Verdana"/>
          <w:sz w:val="20"/>
          <w:lang w:val="pt-BR"/>
        </w:rPr>
        <w:t xml:space="preserve"> os anos</w:t>
      </w:r>
      <w:r w:rsidR="004756C1" w:rsidRPr="002F50BD">
        <w:rPr>
          <w:rFonts w:ascii="Verdana" w:hAnsi="Verdana"/>
          <w:sz w:val="20"/>
          <w:lang w:val="pt-BR"/>
        </w:rPr>
        <w:t xml:space="preserve"> </w:t>
      </w:r>
      <w:r w:rsidR="00475EBB" w:rsidRPr="002F50BD">
        <w:rPr>
          <w:rFonts w:ascii="Verdana" w:hAnsi="Verdana"/>
          <w:sz w:val="20"/>
          <w:lang w:val="pt-BR"/>
        </w:rPr>
        <w:t xml:space="preserve">de </w:t>
      </w:r>
      <w:r w:rsidR="00063B47" w:rsidRPr="002F50BD">
        <w:rPr>
          <w:rFonts w:ascii="Verdana" w:hAnsi="Verdana"/>
          <w:sz w:val="20"/>
          <w:lang w:val="pt-BR"/>
        </w:rPr>
        <w:t>1984</w:t>
      </w:r>
      <w:r w:rsidRPr="002F50BD">
        <w:rPr>
          <w:rFonts w:ascii="Verdana" w:hAnsi="Verdana"/>
          <w:sz w:val="20"/>
          <w:lang w:val="pt-BR"/>
        </w:rPr>
        <w:t xml:space="preserve"> e </w:t>
      </w:r>
      <w:r w:rsidR="00063B47" w:rsidRPr="002F50BD">
        <w:rPr>
          <w:rFonts w:ascii="Verdana" w:hAnsi="Verdana"/>
          <w:sz w:val="20"/>
          <w:lang w:val="pt-BR"/>
        </w:rPr>
        <w:t>1985</w:t>
      </w:r>
      <w:r w:rsidR="002576EC" w:rsidRPr="002F50BD">
        <w:rPr>
          <w:rFonts w:ascii="Verdana" w:hAnsi="Verdana"/>
          <w:sz w:val="20"/>
          <w:lang w:val="pt-BR"/>
        </w:rPr>
        <w:t>,</w:t>
      </w:r>
      <w:r w:rsidRPr="002F50BD">
        <w:rPr>
          <w:rFonts w:ascii="Verdana" w:hAnsi="Verdana"/>
          <w:sz w:val="20"/>
          <w:lang w:val="pt-BR"/>
        </w:rPr>
        <w:t xml:space="preserve"> a igreja</w:t>
      </w:r>
      <w:r w:rsidR="004756C1" w:rsidRPr="002F50BD">
        <w:rPr>
          <w:rFonts w:ascii="Verdana" w:hAnsi="Verdana"/>
          <w:sz w:val="20"/>
          <w:lang w:val="pt-BR"/>
        </w:rPr>
        <w:t xml:space="preserve"> anglicana promet</w:t>
      </w:r>
      <w:r w:rsidR="00475EBB" w:rsidRPr="002F50BD">
        <w:rPr>
          <w:rFonts w:ascii="Verdana" w:hAnsi="Verdana"/>
          <w:sz w:val="20"/>
          <w:lang w:val="pt-BR"/>
        </w:rPr>
        <w:t>eu</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entregar</w:t>
      </w:r>
      <w:r w:rsidR="00475EBB" w:rsidRPr="002F50BD">
        <w:rPr>
          <w:rFonts w:ascii="Verdana" w:hAnsi="Verdana"/>
          <w:sz w:val="20"/>
          <w:lang w:val="pt-BR"/>
        </w:rPr>
        <w:t>-</w:t>
      </w:r>
      <w:r w:rsidR="004756C1" w:rsidRPr="002F50BD">
        <w:rPr>
          <w:rFonts w:ascii="Verdana" w:hAnsi="Verdana"/>
          <w:sz w:val="20"/>
          <w:lang w:val="pt-BR"/>
        </w:rPr>
        <w:t>l</w:t>
      </w:r>
      <w:r w:rsidR="00475EBB" w:rsidRPr="002F50BD">
        <w:rPr>
          <w:rFonts w:ascii="Verdana" w:hAnsi="Verdana"/>
          <w:sz w:val="20"/>
          <w:lang w:val="pt-BR"/>
        </w:rPr>
        <w:t>h</w:t>
      </w:r>
      <w:r w:rsidR="004756C1" w:rsidRPr="002F50BD">
        <w:rPr>
          <w:rFonts w:ascii="Verdana" w:hAnsi="Verdana"/>
          <w:sz w:val="20"/>
          <w:lang w:val="pt-BR"/>
        </w:rPr>
        <w:t xml:space="preserve">es </w:t>
      </w:r>
      <w:r w:rsidRPr="002F50BD">
        <w:rPr>
          <w:rFonts w:ascii="Verdana" w:hAnsi="Verdana"/>
          <w:sz w:val="20"/>
          <w:lang w:val="pt-BR"/>
        </w:rPr>
        <w:t>nova</w:t>
      </w:r>
      <w:r w:rsidR="004756C1" w:rsidRPr="002F50BD">
        <w:rPr>
          <w:rFonts w:ascii="Verdana" w:hAnsi="Verdana"/>
          <w:sz w:val="20"/>
          <w:lang w:val="pt-BR"/>
        </w:rPr>
        <w:t xml:space="preserve">s </w:t>
      </w:r>
      <w:r w:rsidRPr="002F50BD">
        <w:rPr>
          <w:rFonts w:ascii="Verdana" w:hAnsi="Verdana"/>
          <w:sz w:val="20"/>
          <w:lang w:val="pt-BR"/>
        </w:rPr>
        <w:t>terra</w:t>
      </w:r>
      <w:r w:rsidR="004756C1" w:rsidRPr="002F50BD">
        <w:rPr>
          <w:rFonts w:ascii="Verdana" w:hAnsi="Verdana"/>
          <w:sz w:val="20"/>
          <w:lang w:val="pt-BR"/>
        </w:rPr>
        <w:t>s aptas</w:t>
      </w:r>
      <w:r w:rsidRPr="002F50BD">
        <w:rPr>
          <w:rFonts w:ascii="Verdana" w:hAnsi="Verdana"/>
          <w:sz w:val="20"/>
          <w:lang w:val="pt-BR"/>
        </w:rPr>
        <w:t xml:space="preserve"> e ele</w:t>
      </w:r>
      <w:r w:rsidR="004756C1" w:rsidRPr="002F50BD">
        <w:rPr>
          <w:rFonts w:ascii="Verdana" w:hAnsi="Verdana"/>
          <w:sz w:val="20"/>
          <w:lang w:val="pt-BR"/>
        </w:rPr>
        <w:t xml:space="preserve">s </w:t>
      </w:r>
      <w:r w:rsidR="00475EBB" w:rsidRPr="002F50BD">
        <w:rPr>
          <w:rFonts w:ascii="Verdana" w:hAnsi="Verdana"/>
          <w:sz w:val="20"/>
          <w:lang w:val="pt-BR"/>
        </w:rPr>
        <w:t xml:space="preserve">então </w:t>
      </w:r>
      <w:r w:rsidRPr="002F50BD">
        <w:rPr>
          <w:rFonts w:ascii="Verdana" w:hAnsi="Verdana"/>
          <w:sz w:val="20"/>
          <w:lang w:val="pt-BR"/>
        </w:rPr>
        <w:t>decidiram</w:t>
      </w:r>
      <w:r w:rsidR="004756C1" w:rsidRPr="002F50BD">
        <w:rPr>
          <w:rFonts w:ascii="Verdana" w:hAnsi="Verdana"/>
          <w:sz w:val="20"/>
          <w:lang w:val="pt-BR"/>
        </w:rPr>
        <w:t xml:space="preserve"> </w:t>
      </w:r>
      <w:r w:rsidRPr="002F50BD">
        <w:rPr>
          <w:rFonts w:ascii="Verdana" w:hAnsi="Verdana"/>
          <w:sz w:val="20"/>
          <w:lang w:val="pt-BR"/>
        </w:rPr>
        <w:t>sair</w:t>
      </w:r>
      <w:r w:rsidR="004756C1" w:rsidRPr="002F50BD">
        <w:rPr>
          <w:rFonts w:ascii="Verdana" w:hAnsi="Verdana"/>
          <w:sz w:val="20"/>
          <w:lang w:val="pt-BR"/>
        </w:rPr>
        <w:t xml:space="preserve"> de su</w:t>
      </w:r>
      <w:r w:rsidR="00475EBB"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 xml:space="preserve">terra em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se </w:t>
      </w:r>
      <w:r w:rsidR="00475EBB" w:rsidRPr="002F50BD">
        <w:rPr>
          <w:rFonts w:ascii="Verdana" w:hAnsi="Verdana"/>
          <w:sz w:val="20"/>
          <w:lang w:val="pt-BR"/>
        </w:rPr>
        <w:t>mudaram para a</w:t>
      </w:r>
      <w:r w:rsidRPr="002F50BD">
        <w:rPr>
          <w:rFonts w:ascii="Verdana" w:hAnsi="Verdana"/>
          <w:sz w:val="20"/>
          <w:lang w:val="pt-BR"/>
        </w:rPr>
        <w:t xml:space="preserve"> </w:t>
      </w:r>
      <w:r w:rsidR="004756C1" w:rsidRPr="002F50BD">
        <w:rPr>
          <w:rFonts w:ascii="Verdana" w:hAnsi="Verdana"/>
          <w:i/>
          <w:sz w:val="20"/>
          <w:lang w:val="pt-BR"/>
        </w:rPr>
        <w:t>Estancia</w:t>
      </w:r>
      <w:r w:rsidRPr="002F50BD">
        <w:rPr>
          <w:rFonts w:ascii="Verdana" w:hAnsi="Verdana"/>
          <w:i/>
          <w:sz w:val="20"/>
          <w:lang w:val="pt-BR"/>
        </w:rPr>
        <w:t xml:space="preserve"> </w:t>
      </w:r>
      <w:r w:rsidR="00475EBB" w:rsidRPr="002F50BD">
        <w:rPr>
          <w:rFonts w:ascii="Verdana" w:hAnsi="Verdana"/>
          <w:i/>
          <w:sz w:val="20"/>
          <w:lang w:val="pt-BR"/>
        </w:rPr>
        <w:t>El</w:t>
      </w:r>
      <w:r w:rsidR="00FE08B7">
        <w:rPr>
          <w:rFonts w:ascii="Verdana" w:hAnsi="Verdana"/>
          <w:i/>
          <w:sz w:val="20"/>
          <w:lang w:val="pt-BR"/>
        </w:rPr>
        <w:t xml:space="preserve"> </w:t>
      </w:r>
      <w:r w:rsidR="004756C1" w:rsidRPr="002F50BD">
        <w:rPr>
          <w:rFonts w:ascii="Verdana" w:hAnsi="Verdana"/>
          <w:i/>
          <w:sz w:val="20"/>
          <w:lang w:val="pt-BR"/>
        </w:rPr>
        <w:t>Estribo</w:t>
      </w:r>
      <w:r w:rsidR="004756C1" w:rsidRPr="002F50BD">
        <w:rPr>
          <w:rFonts w:ascii="Verdana" w:hAnsi="Verdana"/>
          <w:sz w:val="20"/>
          <w:lang w:val="pt-BR"/>
        </w:rPr>
        <w:t xml:space="preserve">. </w:t>
      </w:r>
      <w:r w:rsidR="00475EBB" w:rsidRPr="002F50BD">
        <w:rPr>
          <w:rFonts w:ascii="Verdana" w:hAnsi="Verdana"/>
          <w:sz w:val="20"/>
          <w:lang w:val="pt-BR"/>
        </w:rPr>
        <w:t>N</w:t>
      </w:r>
      <w:r w:rsidRPr="002F50BD">
        <w:rPr>
          <w:rFonts w:ascii="Verdana" w:hAnsi="Verdana"/>
          <w:sz w:val="20"/>
          <w:lang w:val="pt-BR"/>
        </w:rPr>
        <w:t xml:space="preserve">esta </w:t>
      </w:r>
      <w:r w:rsidR="004F64EE" w:rsidRPr="002F50BD">
        <w:rPr>
          <w:rFonts w:ascii="Verdana" w:hAnsi="Verdana"/>
          <w:sz w:val="20"/>
          <w:lang w:val="pt-BR"/>
        </w:rPr>
        <w:t>fazenda</w:t>
      </w:r>
      <w:r w:rsidR="00CA4C95" w:rsidRPr="002F50BD">
        <w:rPr>
          <w:rFonts w:ascii="Verdana" w:hAnsi="Verdana"/>
          <w:sz w:val="20"/>
          <w:lang w:val="pt-BR"/>
        </w:rPr>
        <w:t>,</w:t>
      </w:r>
      <w:r w:rsidR="00475EBB" w:rsidRPr="002F50BD">
        <w:rPr>
          <w:rFonts w:ascii="Verdana" w:hAnsi="Verdana"/>
          <w:sz w:val="20"/>
          <w:lang w:val="pt-BR"/>
        </w:rPr>
        <w:t xml:space="preserve"> </w:t>
      </w:r>
      <w:r w:rsidRPr="002F50BD">
        <w:rPr>
          <w:rFonts w:ascii="Verdana" w:hAnsi="Verdana"/>
          <w:sz w:val="20"/>
          <w:lang w:val="pt-BR"/>
        </w:rPr>
        <w:t>os membro</w:t>
      </w:r>
      <w:r w:rsidR="004756C1" w:rsidRPr="002F50BD">
        <w:rPr>
          <w:rFonts w:ascii="Verdana" w:hAnsi="Verdana"/>
          <w:sz w:val="20"/>
          <w:lang w:val="pt-BR"/>
        </w:rPr>
        <w:t>s</w:t>
      </w:r>
      <w:r w:rsidRPr="002F50BD">
        <w:rPr>
          <w:rFonts w:ascii="Verdana" w:hAnsi="Verdana"/>
          <w:sz w:val="20"/>
          <w:lang w:val="pt-BR"/>
        </w:rPr>
        <w:t xml:space="preserve"> da Comunidade também</w:t>
      </w:r>
      <w:r w:rsidR="004756C1" w:rsidRPr="002F50BD">
        <w:rPr>
          <w:rFonts w:ascii="Verdana" w:hAnsi="Verdana"/>
          <w:sz w:val="20"/>
          <w:lang w:val="pt-BR"/>
        </w:rPr>
        <w:t xml:space="preserve"> vi</w:t>
      </w:r>
      <w:r w:rsidRPr="002F50BD">
        <w:rPr>
          <w:rFonts w:ascii="Verdana" w:hAnsi="Verdana"/>
          <w:sz w:val="20"/>
          <w:lang w:val="pt-BR"/>
        </w:rPr>
        <w:t>via</w:t>
      </w:r>
      <w:r w:rsidR="00475EBB" w:rsidRPr="002F50BD">
        <w:rPr>
          <w:rFonts w:ascii="Verdana" w:hAnsi="Verdana"/>
          <w:sz w:val="20"/>
          <w:lang w:val="pt-BR"/>
        </w:rPr>
        <w:t>m</w:t>
      </w:r>
      <w:r w:rsidRPr="002F50BD">
        <w:rPr>
          <w:rFonts w:ascii="Verdana" w:hAnsi="Verdana"/>
          <w:sz w:val="20"/>
          <w:lang w:val="pt-BR"/>
        </w:rPr>
        <w:t xml:space="preserve"> em uma </w:t>
      </w:r>
      <w:r w:rsidR="00475EBB" w:rsidRPr="002F50BD">
        <w:rPr>
          <w:rFonts w:ascii="Verdana" w:hAnsi="Verdana"/>
          <w:sz w:val="20"/>
          <w:lang w:val="pt-BR"/>
        </w:rPr>
        <w:t xml:space="preserve">precária </w:t>
      </w:r>
      <w:r w:rsidR="004756C1" w:rsidRPr="002F50BD">
        <w:rPr>
          <w:rFonts w:ascii="Verdana" w:hAnsi="Verdana"/>
          <w:sz w:val="20"/>
          <w:lang w:val="pt-BR"/>
        </w:rPr>
        <w:t>condi</w:t>
      </w:r>
      <w:r w:rsidRPr="002F50BD">
        <w:rPr>
          <w:rFonts w:ascii="Verdana" w:hAnsi="Verdana"/>
          <w:sz w:val="20"/>
          <w:lang w:val="pt-BR"/>
        </w:rPr>
        <w:t>ção</w:t>
      </w:r>
      <w:r w:rsidR="004756C1" w:rsidRPr="002F50BD">
        <w:rPr>
          <w:rFonts w:ascii="Verdana" w:hAnsi="Verdana"/>
          <w:sz w:val="20"/>
          <w:lang w:val="pt-BR"/>
        </w:rPr>
        <w:t xml:space="preserve"> de vida,</w:t>
      </w:r>
      <w:r w:rsidR="00AB454A" w:rsidRPr="002F50BD">
        <w:rPr>
          <w:rFonts w:ascii="Verdana" w:hAnsi="Verdana"/>
          <w:sz w:val="20"/>
          <w:lang w:val="pt-BR"/>
        </w:rPr>
        <w:t xml:space="preserve"> não tinha</w:t>
      </w:r>
      <w:r w:rsidRPr="002F50BD">
        <w:rPr>
          <w:rFonts w:ascii="Verdana" w:hAnsi="Verdana"/>
          <w:sz w:val="20"/>
          <w:lang w:val="pt-BR"/>
        </w:rPr>
        <w:t>m</w:t>
      </w:r>
      <w:r w:rsidR="004756C1" w:rsidRPr="002F50BD">
        <w:rPr>
          <w:rFonts w:ascii="Verdana" w:hAnsi="Verdana"/>
          <w:sz w:val="20"/>
          <w:lang w:val="pt-BR"/>
        </w:rPr>
        <w:t xml:space="preserve"> alimento</w:t>
      </w:r>
      <w:r w:rsidRPr="002F50BD">
        <w:rPr>
          <w:rFonts w:ascii="Verdana" w:hAnsi="Verdana"/>
          <w:sz w:val="20"/>
          <w:lang w:val="pt-BR"/>
        </w:rPr>
        <w:t xml:space="preserve"> nem</w:t>
      </w:r>
      <w:r w:rsidR="00475EBB" w:rsidRPr="002F50BD">
        <w:rPr>
          <w:rFonts w:ascii="Verdana" w:hAnsi="Verdana"/>
          <w:sz w:val="20"/>
          <w:lang w:val="pt-BR"/>
        </w:rPr>
        <w:t xml:space="preserve"> água</w:t>
      </w:r>
      <w:r w:rsidR="004756C1" w:rsidRPr="002F50BD">
        <w:rPr>
          <w:rFonts w:ascii="Verdana" w:hAnsi="Verdana"/>
          <w:sz w:val="20"/>
          <w:lang w:val="pt-BR"/>
        </w:rPr>
        <w:t xml:space="preserve">. </w:t>
      </w:r>
      <w:r w:rsidR="00475EBB"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a Comunidade perdeu</w:t>
      </w:r>
      <w:r w:rsidR="004756C1" w:rsidRPr="002F50BD">
        <w:rPr>
          <w:rFonts w:ascii="Verdana" w:hAnsi="Verdana"/>
          <w:sz w:val="20"/>
          <w:lang w:val="pt-BR"/>
        </w:rPr>
        <w:t xml:space="preserve"> </w:t>
      </w:r>
      <w:r w:rsidRPr="002F50BD">
        <w:rPr>
          <w:rFonts w:ascii="Verdana" w:hAnsi="Verdana"/>
          <w:sz w:val="20"/>
          <w:lang w:val="pt-BR"/>
        </w:rPr>
        <w:t>vári</w:t>
      </w:r>
      <w:r w:rsidR="005A6BC7" w:rsidRPr="002F50BD">
        <w:rPr>
          <w:rFonts w:ascii="Verdana" w:hAnsi="Verdana"/>
          <w:sz w:val="20"/>
          <w:lang w:val="pt-BR"/>
        </w:rPr>
        <w:t>as crianças</w:t>
      </w:r>
      <w:r w:rsidR="004756C1" w:rsidRPr="002F50BD">
        <w:rPr>
          <w:rFonts w:ascii="Verdana" w:hAnsi="Verdana"/>
          <w:sz w:val="20"/>
          <w:lang w:val="pt-BR"/>
        </w:rPr>
        <w:t xml:space="preserve">, </w:t>
      </w:r>
      <w:r w:rsidRPr="002F50BD">
        <w:rPr>
          <w:rFonts w:ascii="Verdana" w:hAnsi="Verdana"/>
          <w:sz w:val="20"/>
          <w:lang w:val="pt-BR"/>
        </w:rPr>
        <w:t>jovens e senhora</w:t>
      </w:r>
      <w:r w:rsidR="004756C1" w:rsidRPr="002F50BD">
        <w:rPr>
          <w:rFonts w:ascii="Verdana" w:hAnsi="Verdana"/>
          <w:sz w:val="20"/>
          <w:lang w:val="pt-BR"/>
        </w:rPr>
        <w:t>s</w:t>
      </w:r>
      <w:r w:rsidR="00AB454A" w:rsidRPr="002F50BD">
        <w:rPr>
          <w:rFonts w:ascii="Verdana" w:hAnsi="Verdana"/>
          <w:sz w:val="20"/>
          <w:lang w:val="pt-BR"/>
        </w:rPr>
        <w:t xml:space="preserve">. </w:t>
      </w:r>
      <w:r w:rsidR="00475EBB" w:rsidRPr="002F50BD">
        <w:rPr>
          <w:rFonts w:ascii="Verdana" w:hAnsi="Verdana"/>
          <w:sz w:val="20"/>
          <w:lang w:val="pt-BR"/>
        </w:rPr>
        <w:t>A</w:t>
      </w:r>
      <w:r w:rsidR="00AB454A" w:rsidRPr="002F50BD">
        <w:rPr>
          <w:rFonts w:ascii="Verdana" w:hAnsi="Verdana"/>
          <w:sz w:val="20"/>
          <w:lang w:val="pt-BR"/>
        </w:rPr>
        <w:t xml:space="preserve"> </w:t>
      </w:r>
      <w:r w:rsidRPr="002F50BD">
        <w:rPr>
          <w:rFonts w:ascii="Verdana" w:hAnsi="Verdana"/>
          <w:sz w:val="20"/>
          <w:lang w:val="pt-BR"/>
        </w:rPr>
        <w:t>testemunha</w:t>
      </w:r>
      <w:r w:rsidR="004756C1" w:rsidRPr="002F50BD">
        <w:rPr>
          <w:rFonts w:ascii="Verdana" w:hAnsi="Verdana"/>
          <w:sz w:val="20"/>
          <w:lang w:val="pt-BR"/>
        </w:rPr>
        <w:t xml:space="preserve"> </w:t>
      </w:r>
      <w:r w:rsidRPr="002F50BD">
        <w:rPr>
          <w:rFonts w:ascii="Verdana" w:hAnsi="Verdana"/>
          <w:sz w:val="20"/>
          <w:lang w:val="pt-BR"/>
        </w:rPr>
        <w:t>perdeu</w:t>
      </w:r>
      <w:r w:rsidR="004756C1" w:rsidRPr="002F50BD">
        <w:rPr>
          <w:rFonts w:ascii="Verdana" w:hAnsi="Verdana"/>
          <w:sz w:val="20"/>
          <w:lang w:val="pt-BR"/>
        </w:rPr>
        <w:t xml:space="preserve"> do</w:t>
      </w:r>
      <w:r w:rsidR="00475EBB" w:rsidRPr="002F50BD">
        <w:rPr>
          <w:rFonts w:ascii="Verdana" w:hAnsi="Verdana"/>
          <w:sz w:val="20"/>
          <w:lang w:val="pt-BR"/>
        </w:rPr>
        <w:t>i</w:t>
      </w:r>
      <w:r w:rsidR="004756C1" w:rsidRPr="002F50BD">
        <w:rPr>
          <w:rFonts w:ascii="Verdana" w:hAnsi="Verdana"/>
          <w:sz w:val="20"/>
          <w:lang w:val="pt-BR"/>
        </w:rPr>
        <w:t xml:space="preserve">s </w:t>
      </w:r>
      <w:r w:rsidRPr="002F50BD">
        <w:rPr>
          <w:rFonts w:ascii="Verdana" w:hAnsi="Verdana"/>
          <w:sz w:val="20"/>
          <w:lang w:val="pt-BR"/>
        </w:rPr>
        <w:t>filho</w:t>
      </w:r>
      <w:r w:rsidR="004756C1" w:rsidRPr="002F50BD">
        <w:rPr>
          <w:rFonts w:ascii="Verdana" w:hAnsi="Verdana"/>
          <w:sz w:val="20"/>
          <w:lang w:val="pt-BR"/>
        </w:rPr>
        <w:t>s.</w:t>
      </w:r>
      <w:r w:rsidR="00FE08B7">
        <w:rPr>
          <w:rFonts w:ascii="Verdana" w:hAnsi="Verdana"/>
          <w:sz w:val="20"/>
          <w:lang w:val="pt-BR"/>
        </w:rPr>
        <w:t xml:space="preserve"> </w:t>
      </w:r>
      <w:r w:rsidR="004756C1" w:rsidRPr="002F50BD">
        <w:rPr>
          <w:rFonts w:ascii="Verdana" w:hAnsi="Verdana"/>
          <w:sz w:val="20"/>
          <w:lang w:val="pt-BR"/>
        </w:rPr>
        <w:t xml:space="preserve">Por esta </w:t>
      </w:r>
      <w:r w:rsidRPr="002F50BD">
        <w:rPr>
          <w:rFonts w:ascii="Verdana" w:hAnsi="Verdana"/>
          <w:sz w:val="20"/>
          <w:lang w:val="pt-BR"/>
        </w:rPr>
        <w:t>razão</w:t>
      </w:r>
      <w:r w:rsidR="004756C1" w:rsidRPr="002F50BD">
        <w:rPr>
          <w:rFonts w:ascii="Verdana" w:hAnsi="Verdana"/>
          <w:sz w:val="20"/>
          <w:lang w:val="pt-BR"/>
        </w:rPr>
        <w:t xml:space="preserve">, </w:t>
      </w:r>
      <w:r w:rsidRPr="002F50BD">
        <w:rPr>
          <w:rFonts w:ascii="Verdana" w:hAnsi="Verdana"/>
          <w:sz w:val="20"/>
          <w:lang w:val="pt-BR"/>
        </w:rPr>
        <w:t>decidiram</w:t>
      </w:r>
      <w:r w:rsidR="004756C1" w:rsidRPr="002F50BD">
        <w:rPr>
          <w:rFonts w:ascii="Verdana" w:hAnsi="Verdana"/>
          <w:sz w:val="20"/>
          <w:lang w:val="pt-BR"/>
        </w:rPr>
        <w:t xml:space="preserve"> </w:t>
      </w:r>
      <w:r w:rsidR="004F64EE" w:rsidRPr="002F50BD">
        <w:rPr>
          <w:rFonts w:ascii="Verdana" w:hAnsi="Verdana"/>
          <w:sz w:val="20"/>
          <w:lang w:val="pt-BR"/>
        </w:rPr>
        <w:t>conversar</w:t>
      </w:r>
      <w:r w:rsidRPr="002F50BD">
        <w:rPr>
          <w:rFonts w:ascii="Verdana" w:hAnsi="Verdana"/>
          <w:sz w:val="20"/>
          <w:lang w:val="pt-BR"/>
        </w:rPr>
        <w:t xml:space="preserve"> com as pessoa</w:t>
      </w:r>
      <w:r w:rsidR="004756C1" w:rsidRPr="002F50BD">
        <w:rPr>
          <w:rFonts w:ascii="Verdana" w:hAnsi="Verdana"/>
          <w:sz w:val="20"/>
          <w:lang w:val="pt-BR"/>
        </w:rPr>
        <w:t xml:space="preserve">s que </w:t>
      </w:r>
      <w:r w:rsidR="00475EBB" w:rsidRPr="002F50BD">
        <w:rPr>
          <w:rFonts w:ascii="Verdana" w:hAnsi="Verdana"/>
          <w:sz w:val="20"/>
          <w:lang w:val="pt-BR"/>
        </w:rPr>
        <w:t xml:space="preserve">saíram </w:t>
      </w:r>
      <w:r w:rsidR="004756C1" w:rsidRPr="002F50BD">
        <w:rPr>
          <w:rFonts w:ascii="Verdana" w:hAnsi="Verdana"/>
          <w:sz w:val="20"/>
          <w:lang w:val="pt-BR"/>
        </w:rPr>
        <w:t>de Yakye Axa para buscar</w:t>
      </w:r>
      <w:r w:rsidRPr="002F50BD">
        <w:rPr>
          <w:rFonts w:ascii="Verdana" w:hAnsi="Verdana"/>
          <w:sz w:val="20"/>
          <w:lang w:val="pt-BR"/>
        </w:rPr>
        <w:t xml:space="preserve"> </w:t>
      </w:r>
      <w:r w:rsidR="00475EBB" w:rsidRPr="002F50BD">
        <w:rPr>
          <w:rFonts w:ascii="Verdana" w:hAnsi="Verdana"/>
          <w:sz w:val="20"/>
          <w:lang w:val="pt-BR"/>
        </w:rPr>
        <w:t>uma</w:t>
      </w:r>
      <w:r w:rsidRPr="002F50BD">
        <w:rPr>
          <w:rFonts w:ascii="Verdana" w:hAnsi="Verdana"/>
          <w:sz w:val="20"/>
          <w:lang w:val="pt-BR"/>
        </w:rPr>
        <w:t xml:space="preserve"> </w:t>
      </w:r>
      <w:r w:rsidR="004756C1" w:rsidRPr="002F50BD">
        <w:rPr>
          <w:rFonts w:ascii="Verdana" w:hAnsi="Verdana"/>
          <w:sz w:val="20"/>
          <w:lang w:val="pt-BR"/>
        </w:rPr>
        <w:t xml:space="preserve">forma </w:t>
      </w:r>
      <w:r w:rsidR="00475EBB" w:rsidRPr="002F50BD">
        <w:rPr>
          <w:rFonts w:ascii="Verdana" w:hAnsi="Verdana"/>
          <w:sz w:val="20"/>
          <w:lang w:val="pt-BR"/>
        </w:rPr>
        <w:t xml:space="preserve">para </w:t>
      </w:r>
      <w:r w:rsidR="004756C1" w:rsidRPr="002F50BD">
        <w:rPr>
          <w:rFonts w:ascii="Verdana" w:hAnsi="Verdana"/>
          <w:sz w:val="20"/>
          <w:lang w:val="pt-BR"/>
        </w:rPr>
        <w:t>ver como po</w:t>
      </w:r>
      <w:r w:rsidRPr="002F50BD">
        <w:rPr>
          <w:rFonts w:ascii="Verdana" w:hAnsi="Verdana"/>
          <w:sz w:val="20"/>
          <w:lang w:val="pt-BR"/>
        </w:rPr>
        <w:t>dia</w:t>
      </w:r>
      <w:r w:rsidR="00475EBB" w:rsidRPr="002F50BD">
        <w:rPr>
          <w:rFonts w:ascii="Verdana" w:hAnsi="Verdana"/>
          <w:sz w:val="20"/>
          <w:lang w:val="pt-BR"/>
        </w:rPr>
        <w:t>m</w:t>
      </w:r>
      <w:r w:rsidR="004756C1" w:rsidRPr="002F50BD">
        <w:rPr>
          <w:rFonts w:ascii="Verdana" w:hAnsi="Verdana"/>
          <w:sz w:val="20"/>
          <w:lang w:val="pt-BR"/>
        </w:rPr>
        <w:t xml:space="preserve"> reivindicar</w:t>
      </w:r>
      <w:r w:rsidRPr="002F50BD">
        <w:rPr>
          <w:rFonts w:ascii="Verdana" w:hAnsi="Verdana"/>
          <w:sz w:val="20"/>
          <w:lang w:val="pt-BR"/>
        </w:rPr>
        <w:t xml:space="preserve"> a terra</w:t>
      </w:r>
      <w:r w:rsidR="004756C1" w:rsidRPr="002F50BD">
        <w:rPr>
          <w:rFonts w:ascii="Verdana" w:hAnsi="Verdana"/>
          <w:sz w:val="20"/>
          <w:lang w:val="pt-BR"/>
        </w:rPr>
        <w:t xml:space="preserve"> que</w:t>
      </w:r>
      <w:r w:rsidRPr="002F50BD">
        <w:rPr>
          <w:rFonts w:ascii="Verdana" w:hAnsi="Verdana"/>
          <w:sz w:val="20"/>
          <w:lang w:val="pt-BR"/>
        </w:rPr>
        <w:t xml:space="preserve"> foi </w:t>
      </w:r>
      <w:r w:rsidR="004756C1" w:rsidRPr="002F50BD">
        <w:rPr>
          <w:rFonts w:ascii="Verdana" w:hAnsi="Verdana"/>
          <w:sz w:val="20"/>
          <w:lang w:val="pt-BR"/>
        </w:rPr>
        <w:t xml:space="preserve">de </w:t>
      </w:r>
      <w:r w:rsidR="005A6BC7" w:rsidRPr="002F50BD">
        <w:rPr>
          <w:rFonts w:ascii="Verdana" w:hAnsi="Verdana"/>
          <w:sz w:val="20"/>
          <w:lang w:val="pt-BR"/>
        </w:rPr>
        <w:t>seus antepassados</w:t>
      </w:r>
      <w:r w:rsidR="00475EBB" w:rsidRPr="002F50BD">
        <w:rPr>
          <w:rFonts w:ascii="Verdana" w:hAnsi="Verdana"/>
          <w:sz w:val="20"/>
          <w:lang w:val="pt-BR"/>
        </w:rPr>
        <w:t>. Ness</w:t>
      </w:r>
      <w:r w:rsidR="00FB33DD"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oportu</w:t>
      </w:r>
      <w:r w:rsidR="00AB454A" w:rsidRPr="002F50BD">
        <w:rPr>
          <w:rFonts w:ascii="Verdana" w:hAnsi="Verdana"/>
          <w:sz w:val="20"/>
          <w:lang w:val="pt-BR"/>
        </w:rPr>
        <w:t xml:space="preserve">nidade, </w:t>
      </w:r>
      <w:r w:rsidR="004756C1" w:rsidRPr="002F50BD">
        <w:rPr>
          <w:rFonts w:ascii="Verdana" w:hAnsi="Verdana"/>
          <w:sz w:val="20"/>
          <w:lang w:val="pt-BR"/>
        </w:rPr>
        <w:t>todos</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tomaram a decisão</w:t>
      </w:r>
      <w:r w:rsidR="004756C1" w:rsidRPr="002F50BD">
        <w:rPr>
          <w:rFonts w:ascii="Verdana" w:hAnsi="Verdana"/>
          <w:sz w:val="20"/>
          <w:lang w:val="pt-BR"/>
        </w:rPr>
        <w:t xml:space="preserve"> de </w:t>
      </w:r>
      <w:r w:rsidR="00475EBB" w:rsidRPr="002F50BD">
        <w:rPr>
          <w:rFonts w:ascii="Verdana" w:hAnsi="Verdana"/>
          <w:sz w:val="20"/>
          <w:lang w:val="pt-BR"/>
        </w:rPr>
        <w:t xml:space="preserve">regressar </w:t>
      </w:r>
      <w:r w:rsidR="004756C1" w:rsidRPr="002F50BD">
        <w:rPr>
          <w:rFonts w:ascii="Verdana" w:hAnsi="Verdana"/>
          <w:sz w:val="20"/>
          <w:lang w:val="pt-BR"/>
        </w:rPr>
        <w:t xml:space="preserve">a Yakye Axa, </w:t>
      </w:r>
      <w:r w:rsidR="00C76C86" w:rsidRPr="002F50BD">
        <w:rPr>
          <w:rFonts w:ascii="Verdana" w:hAnsi="Verdana"/>
          <w:sz w:val="20"/>
          <w:lang w:val="pt-BR"/>
        </w:rPr>
        <w:t>por meio de</w:t>
      </w:r>
      <w:r w:rsidRPr="002F50BD">
        <w:rPr>
          <w:rFonts w:ascii="Verdana" w:hAnsi="Verdana"/>
          <w:sz w:val="20"/>
          <w:lang w:val="pt-BR"/>
        </w:rPr>
        <w:t xml:space="preserve"> um acordo</w:t>
      </w:r>
      <w:r w:rsidR="004756C1" w:rsidRPr="002F50BD">
        <w:rPr>
          <w:rFonts w:ascii="Verdana" w:hAnsi="Verdana"/>
          <w:sz w:val="20"/>
          <w:lang w:val="pt-BR"/>
        </w:rPr>
        <w:t xml:space="preserve"> o</w:t>
      </w:r>
      <w:r w:rsidR="00475EBB" w:rsidRPr="002F50BD">
        <w:rPr>
          <w:rFonts w:ascii="Verdana" w:hAnsi="Verdana"/>
          <w:sz w:val="20"/>
          <w:lang w:val="pt-BR"/>
        </w:rPr>
        <w:t>u</w:t>
      </w:r>
      <w:r w:rsidRPr="002F50BD">
        <w:rPr>
          <w:rFonts w:ascii="Verdana" w:hAnsi="Verdana"/>
          <w:sz w:val="20"/>
          <w:lang w:val="pt-BR"/>
        </w:rPr>
        <w:t xml:space="preserve"> um </w:t>
      </w:r>
      <w:r w:rsidR="004756C1" w:rsidRPr="002F50BD">
        <w:rPr>
          <w:rFonts w:ascii="Verdana" w:hAnsi="Verdana"/>
          <w:sz w:val="20"/>
          <w:lang w:val="pt-BR"/>
        </w:rPr>
        <w:t>consenso,</w:t>
      </w:r>
      <w:r w:rsidRPr="002F50BD">
        <w:rPr>
          <w:rFonts w:ascii="Verdana" w:hAnsi="Verdana"/>
          <w:sz w:val="20"/>
          <w:lang w:val="pt-BR"/>
        </w:rPr>
        <w:t xml:space="preserve"> </w:t>
      </w:r>
      <w:r w:rsidR="003674A1" w:rsidRPr="002F50BD">
        <w:rPr>
          <w:rFonts w:ascii="Verdana" w:hAnsi="Verdana"/>
          <w:sz w:val="20"/>
          <w:lang w:val="pt-BR"/>
        </w:rPr>
        <w:t xml:space="preserve">oportunidade </w:t>
      </w:r>
      <w:r w:rsidRPr="002F50BD">
        <w:rPr>
          <w:rFonts w:ascii="Verdana" w:hAnsi="Verdana"/>
          <w:sz w:val="20"/>
          <w:lang w:val="pt-BR"/>
        </w:rPr>
        <w:t>n</w:t>
      </w:r>
      <w:r w:rsidR="003674A1"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qu</w:t>
      </w:r>
      <w:r w:rsidR="00475EBB" w:rsidRPr="002F50BD">
        <w:rPr>
          <w:rFonts w:ascii="Verdana" w:hAnsi="Verdana"/>
          <w:sz w:val="20"/>
          <w:lang w:val="pt-BR"/>
        </w:rPr>
        <w:t>al</w:t>
      </w:r>
      <w:r w:rsidR="00C76C86" w:rsidRPr="002F50BD">
        <w:rPr>
          <w:rFonts w:ascii="Verdana" w:hAnsi="Verdana"/>
          <w:sz w:val="20"/>
          <w:lang w:val="pt-BR"/>
        </w:rPr>
        <w:t xml:space="preserve"> também </w:t>
      </w:r>
      <w:r w:rsidR="003F61C3" w:rsidRPr="002F50BD">
        <w:rPr>
          <w:rFonts w:ascii="Verdana" w:hAnsi="Verdana"/>
          <w:sz w:val="20"/>
          <w:lang w:val="pt-BR"/>
        </w:rPr>
        <w:t xml:space="preserve">designaram </w:t>
      </w:r>
      <w:r w:rsidR="005A6BC7" w:rsidRPr="002F50BD">
        <w:rPr>
          <w:rFonts w:ascii="Verdana" w:hAnsi="Verdana"/>
          <w:sz w:val="20"/>
          <w:lang w:val="pt-BR"/>
        </w:rPr>
        <w:t>seus líderes</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475EBB" w:rsidRPr="002F50BD">
        <w:rPr>
          <w:rFonts w:ascii="Verdana" w:hAnsi="Verdana"/>
          <w:sz w:val="20"/>
          <w:lang w:val="pt-BR"/>
        </w:rPr>
        <w:t xml:space="preserve">de </w:t>
      </w:r>
      <w:r w:rsidR="00063B47" w:rsidRPr="002F50BD">
        <w:rPr>
          <w:rFonts w:ascii="Verdana" w:hAnsi="Verdana"/>
          <w:sz w:val="20"/>
          <w:lang w:val="pt-BR"/>
        </w:rPr>
        <w:t>1993</w:t>
      </w:r>
      <w:r w:rsidR="003F61C3" w:rsidRPr="002F50BD">
        <w:rPr>
          <w:rFonts w:ascii="Verdana" w:hAnsi="Verdana"/>
          <w:sz w:val="20"/>
          <w:lang w:val="pt-BR"/>
        </w:rPr>
        <w:t>,</w:t>
      </w:r>
      <w:r w:rsidRPr="002F50BD">
        <w:rPr>
          <w:rFonts w:ascii="Verdana" w:hAnsi="Verdana"/>
          <w:sz w:val="20"/>
          <w:lang w:val="pt-BR"/>
        </w:rPr>
        <w:t xml:space="preserve"> a Comunidade </w:t>
      </w:r>
      <w:r w:rsidR="004756C1" w:rsidRPr="002F50BD">
        <w:rPr>
          <w:rFonts w:ascii="Verdana" w:hAnsi="Verdana"/>
          <w:sz w:val="20"/>
          <w:lang w:val="pt-BR"/>
        </w:rPr>
        <w:t xml:space="preserve">Yakye Axa </w:t>
      </w:r>
      <w:r w:rsidRPr="002F50BD">
        <w:rPr>
          <w:rFonts w:ascii="Verdana" w:hAnsi="Verdana"/>
          <w:sz w:val="20"/>
          <w:lang w:val="pt-BR"/>
        </w:rPr>
        <w:t xml:space="preserve">iniciou </w:t>
      </w:r>
      <w:r w:rsidR="00475EBB"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Pr="002F50BD">
        <w:rPr>
          <w:rFonts w:ascii="Verdana" w:hAnsi="Verdana"/>
          <w:sz w:val="20"/>
          <w:lang w:val="pt-BR"/>
        </w:rPr>
        <w:t xml:space="preserve"> e 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w:t>
      </w:r>
      <w:r w:rsidRPr="002F50BD">
        <w:rPr>
          <w:rFonts w:ascii="Verdana" w:hAnsi="Verdana"/>
          <w:sz w:val="20"/>
          <w:lang w:val="pt-BR"/>
        </w:rPr>
        <w:t xml:space="preserve"> uma série</w:t>
      </w:r>
      <w:r w:rsidR="004756C1" w:rsidRPr="002F50BD">
        <w:rPr>
          <w:rFonts w:ascii="Verdana" w:hAnsi="Verdana"/>
          <w:sz w:val="20"/>
          <w:lang w:val="pt-BR"/>
        </w:rPr>
        <w:t xml:space="preserve"> de </w:t>
      </w:r>
      <w:r w:rsidRPr="002F50BD">
        <w:rPr>
          <w:rFonts w:ascii="Verdana" w:hAnsi="Verdana"/>
          <w:sz w:val="20"/>
          <w:lang w:val="pt-BR"/>
        </w:rPr>
        <w:t>processo</w:t>
      </w:r>
      <w:r w:rsidR="004756C1" w:rsidRPr="002F50BD">
        <w:rPr>
          <w:rFonts w:ascii="Verdana" w:hAnsi="Verdana"/>
          <w:sz w:val="20"/>
          <w:lang w:val="pt-BR"/>
        </w:rPr>
        <w:t xml:space="preserve">s </w:t>
      </w:r>
      <w:r w:rsidRPr="002F50BD">
        <w:rPr>
          <w:rFonts w:ascii="Verdana" w:hAnsi="Verdana"/>
          <w:sz w:val="20"/>
          <w:lang w:val="pt-BR"/>
        </w:rPr>
        <w:t>legais</w:t>
      </w:r>
      <w:r w:rsidR="004756C1" w:rsidRPr="002F50BD">
        <w:rPr>
          <w:rFonts w:ascii="Verdana" w:hAnsi="Verdana"/>
          <w:sz w:val="20"/>
          <w:lang w:val="pt-BR"/>
        </w:rPr>
        <w:t xml:space="preserve"> relacionados</w:t>
      </w:r>
      <w:r w:rsidRPr="002F50BD">
        <w:rPr>
          <w:rFonts w:ascii="Verdana" w:hAnsi="Verdana"/>
          <w:sz w:val="20"/>
          <w:lang w:val="pt-BR"/>
        </w:rPr>
        <w:t xml:space="preserve"> </w:t>
      </w:r>
      <w:r w:rsidR="00E221FD">
        <w:rPr>
          <w:rFonts w:ascii="Verdana" w:hAnsi="Verdana"/>
          <w:sz w:val="20"/>
          <w:lang w:val="pt-BR"/>
        </w:rPr>
        <w:t>à</w:t>
      </w:r>
      <w:r w:rsidRPr="002F50BD">
        <w:rPr>
          <w:rFonts w:ascii="Verdana" w:hAnsi="Verdana"/>
          <w:sz w:val="20"/>
          <w:lang w:val="pt-BR"/>
        </w:rPr>
        <w:t xml:space="preserve"> </w:t>
      </w:r>
      <w:r w:rsidR="004756C1" w:rsidRPr="002F50BD">
        <w:rPr>
          <w:rFonts w:ascii="Verdana" w:hAnsi="Verdana"/>
          <w:sz w:val="20"/>
          <w:lang w:val="pt-BR"/>
        </w:rPr>
        <w:t>reivindica</w:t>
      </w:r>
      <w:r w:rsidRPr="002F50BD">
        <w:rPr>
          <w:rFonts w:ascii="Verdana" w:hAnsi="Verdana"/>
          <w:sz w:val="20"/>
          <w:lang w:val="pt-BR"/>
        </w:rPr>
        <w:t>ção</w:t>
      </w:r>
      <w:r w:rsidR="004756C1" w:rsidRPr="002F50BD">
        <w:rPr>
          <w:rFonts w:ascii="Verdana" w:hAnsi="Verdana"/>
          <w:sz w:val="20"/>
          <w:lang w:val="pt-BR"/>
        </w:rPr>
        <w:t xml:space="preserve"> de </w:t>
      </w:r>
      <w:r w:rsidR="00475EBB" w:rsidRPr="002F50BD">
        <w:rPr>
          <w:rFonts w:ascii="Verdana" w:hAnsi="Verdana"/>
          <w:sz w:val="20"/>
          <w:lang w:val="pt-BR"/>
        </w:rPr>
        <w:t>sua terra</w:t>
      </w:r>
      <w:r w:rsidR="004756C1" w:rsidRPr="002F50BD">
        <w:rPr>
          <w:rFonts w:ascii="Verdana" w:hAnsi="Verdana"/>
          <w:sz w:val="20"/>
          <w:lang w:val="pt-BR"/>
        </w:rPr>
        <w:t>,</w:t>
      </w:r>
      <w:r w:rsidRPr="002F50BD">
        <w:rPr>
          <w:rFonts w:ascii="Verdana" w:hAnsi="Verdana"/>
          <w:sz w:val="20"/>
          <w:lang w:val="pt-BR"/>
        </w:rPr>
        <w:t xml:space="preserve"> </w:t>
      </w:r>
      <w:r w:rsidR="00475EBB" w:rsidRPr="002F50BD">
        <w:rPr>
          <w:rFonts w:ascii="Verdana" w:hAnsi="Verdana"/>
          <w:sz w:val="20"/>
          <w:lang w:val="pt-BR"/>
        </w:rPr>
        <w:t>no entanto</w:t>
      </w:r>
      <w:r w:rsidR="004756C1" w:rsidRPr="002F50BD">
        <w:rPr>
          <w:rFonts w:ascii="Verdana" w:hAnsi="Verdana"/>
          <w:sz w:val="20"/>
          <w:lang w:val="pt-BR"/>
        </w:rPr>
        <w:t>, n</w:t>
      </w:r>
      <w:r w:rsidR="00475EBB" w:rsidRPr="002F50BD">
        <w:rPr>
          <w:rFonts w:ascii="Verdana" w:hAnsi="Verdana"/>
          <w:sz w:val="20"/>
          <w:lang w:val="pt-BR"/>
        </w:rPr>
        <w:t>ã</w:t>
      </w:r>
      <w:r w:rsidR="004756C1" w:rsidRPr="002F50BD">
        <w:rPr>
          <w:rFonts w:ascii="Verdana" w:hAnsi="Verdana"/>
          <w:sz w:val="20"/>
          <w:lang w:val="pt-BR"/>
        </w:rPr>
        <w:t xml:space="preserve">o </w:t>
      </w:r>
      <w:r w:rsidR="004076AD" w:rsidRPr="002F50BD">
        <w:rPr>
          <w:rFonts w:ascii="Verdana" w:hAnsi="Verdana"/>
          <w:sz w:val="20"/>
          <w:lang w:val="pt-BR"/>
        </w:rPr>
        <w:t>receb</w:t>
      </w:r>
      <w:r w:rsidR="00475EBB" w:rsidRPr="002F50BD">
        <w:rPr>
          <w:rFonts w:ascii="Verdana" w:hAnsi="Verdana"/>
          <w:sz w:val="20"/>
          <w:lang w:val="pt-BR"/>
        </w:rPr>
        <w:t>eram</w:t>
      </w:r>
      <w:r w:rsidR="004756C1" w:rsidRPr="002F50BD">
        <w:rPr>
          <w:rFonts w:ascii="Verdana" w:hAnsi="Verdana"/>
          <w:sz w:val="20"/>
          <w:lang w:val="pt-BR"/>
        </w:rPr>
        <w:t xml:space="preserve"> res</w:t>
      </w:r>
      <w:r w:rsidRPr="002F50BD">
        <w:rPr>
          <w:rFonts w:ascii="Verdana" w:hAnsi="Verdana"/>
          <w:sz w:val="20"/>
          <w:lang w:val="pt-BR"/>
        </w:rPr>
        <w:t>posta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475EBB" w:rsidRPr="002F50BD">
        <w:rPr>
          <w:rFonts w:ascii="Verdana" w:hAnsi="Verdana"/>
          <w:sz w:val="20"/>
          <w:lang w:val="pt-BR"/>
        </w:rPr>
        <w:t xml:space="preserve">de </w:t>
      </w:r>
      <w:r w:rsidR="00063B47" w:rsidRPr="002F50BD">
        <w:rPr>
          <w:rFonts w:ascii="Verdana" w:hAnsi="Verdana"/>
          <w:sz w:val="20"/>
          <w:lang w:val="pt-BR"/>
        </w:rPr>
        <w:t>1994</w:t>
      </w:r>
      <w:r w:rsidR="003F61C3" w:rsidRPr="002F50BD">
        <w:rPr>
          <w:rFonts w:ascii="Verdana" w:hAnsi="Verdana"/>
          <w:sz w:val="20"/>
          <w:lang w:val="pt-BR"/>
        </w:rPr>
        <w:t>,</w:t>
      </w:r>
      <w:r w:rsidRPr="002F50BD">
        <w:rPr>
          <w:rFonts w:ascii="Verdana" w:hAnsi="Verdana"/>
          <w:sz w:val="20"/>
          <w:lang w:val="pt-BR"/>
        </w:rPr>
        <w:t xml:space="preserve"> três </w:t>
      </w:r>
      <w:r w:rsidR="005A6BC7" w:rsidRPr="002F50BD">
        <w:rPr>
          <w:rFonts w:ascii="Verdana" w:hAnsi="Verdana"/>
          <w:sz w:val="20"/>
          <w:lang w:val="pt-BR"/>
        </w:rPr>
        <w:t>família</w:t>
      </w:r>
      <w:r w:rsidR="004756C1" w:rsidRPr="002F50BD">
        <w:rPr>
          <w:rFonts w:ascii="Verdana" w:hAnsi="Verdana"/>
          <w:sz w:val="20"/>
          <w:lang w:val="pt-BR"/>
        </w:rPr>
        <w:t xml:space="preserve">s </w:t>
      </w:r>
      <w:r w:rsidR="004076AD" w:rsidRPr="002F50BD">
        <w:rPr>
          <w:rFonts w:ascii="Verdana" w:hAnsi="Verdana"/>
          <w:sz w:val="20"/>
          <w:lang w:val="pt-BR"/>
        </w:rPr>
        <w:t>pertencente</w:t>
      </w:r>
      <w:r w:rsidR="004756C1" w:rsidRPr="002F50BD">
        <w:rPr>
          <w:rFonts w:ascii="Verdana" w:hAnsi="Verdana"/>
          <w:sz w:val="20"/>
          <w:lang w:val="pt-BR"/>
        </w:rPr>
        <w:t>s</w:t>
      </w:r>
      <w:r w:rsidRPr="002F50BD">
        <w:rPr>
          <w:rFonts w:ascii="Verdana" w:hAnsi="Verdana"/>
          <w:sz w:val="20"/>
          <w:lang w:val="pt-BR"/>
        </w:rPr>
        <w:t xml:space="preserve"> à Comunidade </w:t>
      </w:r>
      <w:r w:rsidR="00AB454A" w:rsidRPr="002F50BD">
        <w:rPr>
          <w:rFonts w:ascii="Verdana" w:hAnsi="Verdana"/>
          <w:sz w:val="20"/>
          <w:lang w:val="pt-BR"/>
        </w:rPr>
        <w:t>permaneciam</w:t>
      </w:r>
      <w:r w:rsidRPr="002F50BD">
        <w:rPr>
          <w:rFonts w:ascii="Verdana" w:hAnsi="Verdana"/>
          <w:sz w:val="20"/>
          <w:lang w:val="pt-BR"/>
        </w:rPr>
        <w:t xml:space="preserve"> em </w:t>
      </w:r>
      <w:r w:rsidR="004756C1" w:rsidRPr="002F50BD">
        <w:rPr>
          <w:rFonts w:ascii="Verdana" w:hAnsi="Verdana"/>
          <w:sz w:val="20"/>
          <w:lang w:val="pt-BR"/>
        </w:rPr>
        <w:t xml:space="preserve">Loma Verde como </w:t>
      </w:r>
      <w:r w:rsidR="00475EBB" w:rsidRPr="002F50BD">
        <w:rPr>
          <w:rFonts w:ascii="Verdana" w:hAnsi="Verdana"/>
          <w:sz w:val="20"/>
          <w:lang w:val="pt-BR"/>
        </w:rPr>
        <w:t>empregado</w:t>
      </w:r>
      <w:r w:rsidR="004756C1" w:rsidRPr="002F50BD">
        <w:rPr>
          <w:rFonts w:ascii="Verdana" w:hAnsi="Verdana"/>
          <w:sz w:val="20"/>
          <w:lang w:val="pt-BR"/>
        </w:rPr>
        <w:t>s</w:t>
      </w:r>
      <w:r w:rsidR="00AB454A" w:rsidRPr="002F50BD">
        <w:rPr>
          <w:rFonts w:ascii="Verdana" w:hAnsi="Verdana"/>
          <w:sz w:val="20"/>
          <w:lang w:val="pt-BR"/>
        </w:rPr>
        <w:t xml:space="preserve">. No </w:t>
      </w:r>
      <w:r w:rsidRPr="002F50BD">
        <w:rPr>
          <w:rFonts w:ascii="Verdana" w:hAnsi="Verdana"/>
          <w:sz w:val="20"/>
          <w:lang w:val="pt-BR"/>
        </w:rPr>
        <w:t xml:space="preserve">ano </w:t>
      </w:r>
      <w:r w:rsidR="00475EBB" w:rsidRPr="002F50BD">
        <w:rPr>
          <w:rFonts w:ascii="Verdana" w:hAnsi="Verdana"/>
          <w:sz w:val="20"/>
          <w:lang w:val="pt-BR"/>
        </w:rPr>
        <w:t xml:space="preserve">de </w:t>
      </w:r>
      <w:r w:rsidR="00063B47" w:rsidRPr="002F50BD">
        <w:rPr>
          <w:rFonts w:ascii="Verdana" w:hAnsi="Verdana"/>
          <w:sz w:val="20"/>
          <w:lang w:val="pt-BR"/>
        </w:rPr>
        <w:t>1996</w:t>
      </w:r>
      <w:r w:rsidR="004756C1" w:rsidRPr="002F50BD">
        <w:rPr>
          <w:rFonts w:ascii="Verdana" w:hAnsi="Verdana"/>
          <w:sz w:val="20"/>
          <w:lang w:val="pt-BR"/>
        </w:rPr>
        <w:t>,</w:t>
      </w:r>
      <w:r w:rsidRPr="002F50BD">
        <w:rPr>
          <w:rFonts w:ascii="Verdana" w:hAnsi="Verdana"/>
          <w:sz w:val="20"/>
          <w:lang w:val="pt-BR"/>
        </w:rPr>
        <w:t xml:space="preserve"> a maioria dos membro</w:t>
      </w:r>
      <w:r w:rsidR="004756C1" w:rsidRPr="002F50BD">
        <w:rPr>
          <w:rFonts w:ascii="Verdana" w:hAnsi="Verdana"/>
          <w:sz w:val="20"/>
          <w:lang w:val="pt-BR"/>
        </w:rPr>
        <w:t>s</w:t>
      </w:r>
      <w:r w:rsidRPr="002F50BD">
        <w:rPr>
          <w:rFonts w:ascii="Verdana" w:hAnsi="Verdana"/>
          <w:sz w:val="20"/>
          <w:lang w:val="pt-BR"/>
        </w:rPr>
        <w:t xml:space="preserve"> da Comunidade tentou</w:t>
      </w:r>
      <w:r w:rsidR="004756C1" w:rsidRPr="002F50BD">
        <w:rPr>
          <w:rFonts w:ascii="Verdana" w:hAnsi="Verdana"/>
          <w:sz w:val="20"/>
          <w:lang w:val="pt-BR"/>
        </w:rPr>
        <w:t xml:space="preserve"> </w:t>
      </w:r>
      <w:r w:rsidR="00E10DBB" w:rsidRPr="002F50BD">
        <w:rPr>
          <w:rFonts w:ascii="Verdana" w:hAnsi="Verdana"/>
          <w:sz w:val="20"/>
          <w:lang w:val="pt-BR"/>
        </w:rPr>
        <w:t>regressar</w:t>
      </w:r>
      <w:r w:rsidR="004756C1" w:rsidRPr="002F50BD">
        <w:rPr>
          <w:rFonts w:ascii="Verdana" w:hAnsi="Verdana"/>
          <w:sz w:val="20"/>
          <w:lang w:val="pt-BR"/>
        </w:rPr>
        <w:t xml:space="preserve"> a Yakye Axa, </w:t>
      </w:r>
      <w:r w:rsidRPr="002F50BD">
        <w:rPr>
          <w:rFonts w:ascii="Verdana" w:hAnsi="Verdana"/>
          <w:sz w:val="20"/>
          <w:lang w:val="pt-BR"/>
        </w:rPr>
        <w:t xml:space="preserve">mas </w:t>
      </w:r>
      <w:r w:rsidR="00AB454A" w:rsidRPr="002F50BD">
        <w:rPr>
          <w:rFonts w:ascii="Verdana" w:hAnsi="Verdana"/>
          <w:sz w:val="20"/>
          <w:lang w:val="pt-BR"/>
        </w:rPr>
        <w:t>proibi</w:t>
      </w:r>
      <w:r w:rsidR="003F61C3" w:rsidRPr="002F50BD">
        <w:rPr>
          <w:rFonts w:ascii="Verdana" w:hAnsi="Verdana"/>
          <w:sz w:val="20"/>
          <w:lang w:val="pt-BR"/>
        </w:rPr>
        <w:t>ram</w:t>
      </w:r>
      <w:r w:rsidRPr="002F50BD">
        <w:rPr>
          <w:rFonts w:ascii="Verdana" w:hAnsi="Verdana"/>
          <w:sz w:val="20"/>
          <w:lang w:val="pt-BR"/>
        </w:rPr>
        <w:t xml:space="preserve"> </w:t>
      </w:r>
      <w:r w:rsidR="003F61C3" w:rsidRPr="002F50BD">
        <w:rPr>
          <w:rFonts w:ascii="Verdana" w:hAnsi="Verdana"/>
          <w:sz w:val="20"/>
          <w:lang w:val="pt-BR"/>
        </w:rPr>
        <w:t>su</w:t>
      </w:r>
      <w:r w:rsidRPr="002F50BD">
        <w:rPr>
          <w:rFonts w:ascii="Verdana" w:hAnsi="Verdana"/>
          <w:sz w:val="20"/>
          <w:lang w:val="pt-BR"/>
        </w:rPr>
        <w:t xml:space="preserve">a </w:t>
      </w:r>
      <w:r w:rsidR="004756C1" w:rsidRPr="002F50BD">
        <w:rPr>
          <w:rFonts w:ascii="Verdana" w:hAnsi="Verdana"/>
          <w:sz w:val="20"/>
          <w:lang w:val="pt-BR"/>
        </w:rPr>
        <w:t>entrada.</w:t>
      </w:r>
      <w:r w:rsidR="00FE08B7">
        <w:rPr>
          <w:rFonts w:ascii="Verdana" w:hAnsi="Verdana"/>
          <w:sz w:val="20"/>
          <w:lang w:val="pt-BR"/>
        </w:rPr>
        <w:t xml:space="preserve"> </w:t>
      </w:r>
      <w:r w:rsidR="004756C1" w:rsidRPr="002F50BD">
        <w:rPr>
          <w:rFonts w:ascii="Verdana" w:hAnsi="Verdana"/>
          <w:sz w:val="20"/>
          <w:lang w:val="pt-BR"/>
        </w:rPr>
        <w:t>Por</w:t>
      </w:r>
      <w:r w:rsidRPr="002F50BD">
        <w:rPr>
          <w:rFonts w:ascii="Verdana" w:hAnsi="Verdana"/>
          <w:sz w:val="20"/>
          <w:lang w:val="pt-BR"/>
        </w:rPr>
        <w:t xml:space="preserve"> </w:t>
      </w:r>
      <w:r w:rsidR="00475EBB" w:rsidRPr="002F50BD">
        <w:rPr>
          <w:rFonts w:ascii="Verdana" w:hAnsi="Verdana"/>
          <w:sz w:val="20"/>
          <w:lang w:val="pt-BR"/>
        </w:rPr>
        <w:t>isso</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 xml:space="preserve">s </w:t>
      </w:r>
      <w:r w:rsidRPr="002F50BD">
        <w:rPr>
          <w:rFonts w:ascii="Verdana" w:hAnsi="Verdana"/>
          <w:sz w:val="20"/>
          <w:lang w:val="pt-BR"/>
        </w:rPr>
        <w:t>chegaram ao acordo</w:t>
      </w:r>
      <w:r w:rsidR="004756C1" w:rsidRPr="002F50BD">
        <w:rPr>
          <w:rFonts w:ascii="Verdana" w:hAnsi="Verdana"/>
          <w:sz w:val="20"/>
          <w:lang w:val="pt-BR"/>
        </w:rPr>
        <w:t xml:space="preserve"> de instalar</w:t>
      </w:r>
      <w:r w:rsidR="00475EBB" w:rsidRPr="002F50BD">
        <w:rPr>
          <w:rFonts w:ascii="Verdana" w:hAnsi="Verdana"/>
          <w:sz w:val="20"/>
          <w:lang w:val="pt-BR"/>
        </w:rPr>
        <w:t>-</w:t>
      </w:r>
      <w:r w:rsidR="004756C1" w:rsidRPr="002F50BD">
        <w:rPr>
          <w:rFonts w:ascii="Verdana" w:hAnsi="Verdana"/>
          <w:sz w:val="20"/>
          <w:lang w:val="pt-BR"/>
        </w:rPr>
        <w:t>se</w:t>
      </w:r>
      <w:r w:rsidR="00475EBB" w:rsidRPr="002F50BD">
        <w:rPr>
          <w:rFonts w:ascii="Verdana" w:hAnsi="Verdana"/>
          <w:sz w:val="20"/>
          <w:lang w:val="pt-BR"/>
        </w:rPr>
        <w:t xml:space="preserve"> às margens </w:t>
      </w:r>
      <w:r w:rsidR="004756C1" w:rsidRPr="002F50BD">
        <w:rPr>
          <w:rFonts w:ascii="Verdana" w:hAnsi="Verdana"/>
          <w:sz w:val="20"/>
          <w:lang w:val="pt-BR"/>
        </w:rPr>
        <w:t>de</w:t>
      </w:r>
      <w:r w:rsidRPr="002F50BD">
        <w:rPr>
          <w:rFonts w:ascii="Verdana" w:hAnsi="Verdana"/>
          <w:sz w:val="20"/>
          <w:lang w:val="pt-BR"/>
        </w:rPr>
        <w:t xml:space="preserve"> uma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00475EBB" w:rsidRPr="002F50BD">
        <w:rPr>
          <w:rFonts w:ascii="Verdana" w:hAnsi="Verdana"/>
          <w:sz w:val="20"/>
          <w:lang w:val="pt-BR"/>
        </w:rPr>
        <w:t xml:space="preserve">em </w:t>
      </w:r>
      <w:r w:rsidR="004756C1" w:rsidRPr="002F50BD">
        <w:rPr>
          <w:rFonts w:ascii="Verdana" w:hAnsi="Verdana"/>
          <w:sz w:val="20"/>
          <w:lang w:val="pt-BR"/>
        </w:rPr>
        <w:t>frente</w:t>
      </w:r>
      <w:r w:rsidRPr="002F50BD">
        <w:rPr>
          <w:rFonts w:ascii="Verdana" w:hAnsi="Verdana"/>
          <w:sz w:val="20"/>
          <w:lang w:val="pt-BR"/>
        </w:rPr>
        <w:t xml:space="preserve"> à terra da </w:t>
      </w:r>
      <w:r w:rsidR="00060B3A" w:rsidRPr="002F50BD">
        <w:rPr>
          <w:rFonts w:ascii="Verdana" w:hAnsi="Verdana"/>
          <w:i/>
          <w:sz w:val="20"/>
          <w:lang w:val="pt-BR"/>
        </w:rPr>
        <w:t>Estancia Loma Verde</w:t>
      </w:r>
      <w:r w:rsidR="004756C1" w:rsidRPr="002F50BD">
        <w:rPr>
          <w:rFonts w:ascii="Verdana" w:hAnsi="Verdana"/>
          <w:sz w:val="20"/>
          <w:lang w:val="pt-BR"/>
        </w:rPr>
        <w:t>, que</w:t>
      </w:r>
      <w:r w:rsidRPr="002F50BD">
        <w:rPr>
          <w:rFonts w:ascii="Verdana" w:hAnsi="Verdana"/>
          <w:sz w:val="20"/>
          <w:lang w:val="pt-BR"/>
        </w:rPr>
        <w:t xml:space="preserve"> é a terra</w:t>
      </w:r>
      <w:r w:rsidR="004756C1" w:rsidRPr="002F50BD">
        <w:rPr>
          <w:rFonts w:ascii="Verdana" w:hAnsi="Verdana"/>
          <w:sz w:val="20"/>
          <w:lang w:val="pt-BR"/>
        </w:rPr>
        <w:t xml:space="preserve"> “</w:t>
      </w:r>
      <w:r w:rsidR="004076AD" w:rsidRPr="002F50BD">
        <w:rPr>
          <w:rFonts w:ascii="Verdana" w:hAnsi="Verdana"/>
          <w:sz w:val="20"/>
          <w:lang w:val="pt-BR"/>
        </w:rPr>
        <w:t>pertencente</w:t>
      </w:r>
      <w:r w:rsidR="004756C1" w:rsidRPr="002F50BD">
        <w:rPr>
          <w:rFonts w:ascii="Verdana" w:hAnsi="Verdana"/>
          <w:sz w:val="20"/>
          <w:lang w:val="pt-BR"/>
        </w:rPr>
        <w:t xml:space="preserve"> a </w:t>
      </w:r>
      <w:r w:rsidR="005A6BC7" w:rsidRPr="002F50BD">
        <w:rPr>
          <w:rFonts w:ascii="Verdana" w:hAnsi="Verdana"/>
          <w:sz w:val="20"/>
          <w:lang w:val="pt-BR"/>
        </w:rPr>
        <w:t>seus antepassados</w:t>
      </w:r>
      <w:r w:rsidRPr="002F50BD">
        <w:rPr>
          <w:rFonts w:ascii="Verdana" w:hAnsi="Verdana"/>
          <w:sz w:val="20"/>
          <w:lang w:val="pt-BR"/>
        </w:rPr>
        <w:t xml:space="preserve"> e </w:t>
      </w:r>
      <w:r w:rsidR="004756C1" w:rsidRPr="002F50BD">
        <w:rPr>
          <w:rFonts w:ascii="Verdana" w:hAnsi="Verdana"/>
          <w:sz w:val="20"/>
          <w:lang w:val="pt-BR"/>
        </w:rPr>
        <w:t>que</w:t>
      </w:r>
      <w:r w:rsidRPr="002F50BD">
        <w:rPr>
          <w:rFonts w:ascii="Verdana" w:hAnsi="Verdana"/>
          <w:sz w:val="20"/>
          <w:lang w:val="pt-BR"/>
        </w:rPr>
        <w:t xml:space="preserve"> foi </w:t>
      </w:r>
      <w:r w:rsidR="004756C1" w:rsidRPr="002F50BD">
        <w:rPr>
          <w:rFonts w:ascii="Verdana" w:hAnsi="Verdana"/>
          <w:sz w:val="20"/>
          <w:lang w:val="pt-BR"/>
        </w:rPr>
        <w:t>perdida”.</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Yakye Axa</w:t>
      </w:r>
      <w:r w:rsidR="0089298C" w:rsidRPr="002F50BD">
        <w:rPr>
          <w:rFonts w:ascii="Verdana" w:hAnsi="Verdana"/>
          <w:sz w:val="20"/>
          <w:lang w:val="pt-BR"/>
        </w:rPr>
        <w:t xml:space="preserve"> é um </w:t>
      </w:r>
      <w:r w:rsidRPr="002F50BD">
        <w:rPr>
          <w:rFonts w:ascii="Verdana" w:hAnsi="Verdana"/>
          <w:sz w:val="20"/>
          <w:lang w:val="pt-BR"/>
        </w:rPr>
        <w:t>lugar sagrado</w:t>
      </w:r>
      <w:r w:rsidR="0089298C" w:rsidRPr="002F50BD">
        <w:rPr>
          <w:rFonts w:ascii="Verdana" w:hAnsi="Verdana"/>
          <w:sz w:val="20"/>
          <w:lang w:val="pt-BR"/>
        </w:rPr>
        <w:t xml:space="preserve"> </w:t>
      </w:r>
      <w:r w:rsidR="00475EBB" w:rsidRPr="002F50BD">
        <w:rPr>
          <w:rFonts w:ascii="Verdana" w:hAnsi="Verdana"/>
          <w:sz w:val="20"/>
          <w:lang w:val="pt-BR"/>
        </w:rPr>
        <w:t xml:space="preserve">onde </w:t>
      </w:r>
      <w:r w:rsidR="0089298C" w:rsidRPr="002F50BD">
        <w:rPr>
          <w:rFonts w:ascii="Verdana" w:hAnsi="Verdana"/>
          <w:sz w:val="20"/>
          <w:lang w:val="pt-BR"/>
        </w:rPr>
        <w:t>viveram</w:t>
      </w:r>
      <w:r w:rsidRPr="002F50BD">
        <w:rPr>
          <w:rFonts w:ascii="Verdana" w:hAnsi="Verdana"/>
          <w:sz w:val="20"/>
          <w:lang w:val="pt-BR"/>
        </w:rPr>
        <w:t xml:space="preserve"> </w:t>
      </w:r>
      <w:r w:rsidR="005A6BC7" w:rsidRPr="002F50BD">
        <w:rPr>
          <w:rFonts w:ascii="Verdana" w:hAnsi="Verdana"/>
          <w:sz w:val="20"/>
          <w:lang w:val="pt-BR"/>
        </w:rPr>
        <w:t>seus antepassados</w:t>
      </w:r>
      <w:r w:rsidR="00AB454A" w:rsidRPr="002F50BD">
        <w:rPr>
          <w:rFonts w:ascii="Verdana" w:hAnsi="Verdana"/>
          <w:sz w:val="20"/>
          <w:lang w:val="pt-BR"/>
        </w:rPr>
        <w:t xml:space="preserve">. </w:t>
      </w:r>
      <w:r w:rsidR="00475EBB" w:rsidRPr="002F50BD">
        <w:rPr>
          <w:rFonts w:ascii="Verdana" w:hAnsi="Verdana"/>
          <w:sz w:val="20"/>
          <w:lang w:val="pt-BR"/>
        </w:rPr>
        <w:t>A</w:t>
      </w:r>
      <w:r w:rsidR="00AB454A" w:rsidRPr="002F50BD">
        <w:rPr>
          <w:rFonts w:ascii="Verdana" w:hAnsi="Verdana"/>
          <w:sz w:val="20"/>
          <w:lang w:val="pt-BR"/>
        </w:rPr>
        <w:t xml:space="preserve"> </w:t>
      </w:r>
      <w:r w:rsidR="0089298C" w:rsidRPr="002F50BD">
        <w:rPr>
          <w:rFonts w:ascii="Verdana" w:hAnsi="Verdana"/>
          <w:sz w:val="20"/>
          <w:lang w:val="pt-BR"/>
        </w:rPr>
        <w:t>testemunha</w:t>
      </w:r>
      <w:r w:rsidRPr="002F50BD">
        <w:rPr>
          <w:rFonts w:ascii="Verdana" w:hAnsi="Verdana"/>
          <w:sz w:val="20"/>
          <w:lang w:val="pt-BR"/>
        </w:rPr>
        <w:t xml:space="preserve"> </w:t>
      </w:r>
      <w:r w:rsidR="0089298C" w:rsidRPr="002F50BD">
        <w:rPr>
          <w:rFonts w:ascii="Verdana" w:hAnsi="Verdana"/>
          <w:sz w:val="20"/>
          <w:lang w:val="pt-BR"/>
        </w:rPr>
        <w:t>recorda</w:t>
      </w:r>
      <w:r w:rsidRPr="002F50BD">
        <w:rPr>
          <w:rFonts w:ascii="Verdana" w:hAnsi="Verdana"/>
          <w:sz w:val="20"/>
          <w:lang w:val="pt-BR"/>
        </w:rPr>
        <w:t xml:space="preserve"> que </w:t>
      </w:r>
      <w:r w:rsidR="00063B47" w:rsidRPr="002F50BD">
        <w:rPr>
          <w:rFonts w:ascii="Verdana" w:hAnsi="Verdana"/>
          <w:sz w:val="20"/>
          <w:lang w:val="pt-BR"/>
        </w:rPr>
        <w:t>47</w:t>
      </w:r>
      <w:r w:rsidRPr="002F50BD">
        <w:rPr>
          <w:rFonts w:ascii="Verdana" w:hAnsi="Verdana"/>
          <w:sz w:val="20"/>
          <w:lang w:val="pt-BR"/>
        </w:rPr>
        <w:t xml:space="preserve"> </w:t>
      </w:r>
      <w:r w:rsidR="0089298C" w:rsidRPr="002F50BD">
        <w:rPr>
          <w:rFonts w:ascii="Verdana" w:hAnsi="Verdana"/>
          <w:sz w:val="20"/>
          <w:lang w:val="pt-BR"/>
        </w:rPr>
        <w:t>pessoa</w:t>
      </w:r>
      <w:r w:rsidRPr="002F50BD">
        <w:rPr>
          <w:rFonts w:ascii="Verdana" w:hAnsi="Verdana"/>
          <w:sz w:val="20"/>
          <w:lang w:val="pt-BR"/>
        </w:rPr>
        <w:t xml:space="preserve">s </w:t>
      </w:r>
      <w:r w:rsidR="004076AD" w:rsidRPr="002F50BD">
        <w:rPr>
          <w:rFonts w:ascii="Verdana" w:hAnsi="Verdana"/>
          <w:sz w:val="20"/>
          <w:lang w:val="pt-BR"/>
        </w:rPr>
        <w:t>morreram</w:t>
      </w:r>
      <w:r w:rsidR="0089298C" w:rsidRPr="002F50BD">
        <w:rPr>
          <w:rFonts w:ascii="Verdana" w:hAnsi="Verdana"/>
          <w:sz w:val="20"/>
          <w:lang w:val="pt-BR"/>
        </w:rPr>
        <w:t xml:space="preserve"> e foram</w:t>
      </w:r>
      <w:r w:rsidRPr="002F50BD">
        <w:rPr>
          <w:rFonts w:ascii="Verdana" w:hAnsi="Verdana"/>
          <w:sz w:val="20"/>
          <w:lang w:val="pt-BR"/>
        </w:rPr>
        <w:t xml:space="preserve"> enterradas</w:t>
      </w:r>
      <w:r w:rsidR="0089298C" w:rsidRPr="002F50BD">
        <w:rPr>
          <w:rFonts w:ascii="Verdana" w:hAnsi="Verdana"/>
          <w:sz w:val="20"/>
          <w:lang w:val="pt-BR"/>
        </w:rPr>
        <w:t xml:space="preserve"> </w:t>
      </w:r>
      <w:r w:rsidR="00FB33DD" w:rsidRPr="002F50BD">
        <w:rPr>
          <w:rFonts w:ascii="Verdana" w:hAnsi="Verdana"/>
          <w:sz w:val="20"/>
          <w:lang w:val="pt-BR"/>
        </w:rPr>
        <w:t>nesse</w:t>
      </w:r>
      <w:r w:rsidR="0089298C" w:rsidRPr="002F50BD">
        <w:rPr>
          <w:rFonts w:ascii="Verdana" w:hAnsi="Verdana"/>
          <w:sz w:val="20"/>
          <w:lang w:val="pt-BR"/>
        </w:rPr>
        <w:t xml:space="preserve"> </w:t>
      </w:r>
      <w:r w:rsidRPr="002F50BD">
        <w:rPr>
          <w:rFonts w:ascii="Verdana" w:hAnsi="Verdana"/>
          <w:sz w:val="20"/>
          <w:lang w:val="pt-BR"/>
        </w:rPr>
        <w:t xml:space="preserve">lugar. </w:t>
      </w:r>
    </w:p>
    <w:p w:rsidR="004756C1" w:rsidRPr="002F50BD" w:rsidRDefault="0089298C">
      <w:pPr>
        <w:jc w:val="both"/>
        <w:rPr>
          <w:rFonts w:ascii="Verdana" w:hAnsi="Verdana"/>
          <w:sz w:val="20"/>
          <w:lang w:val="pt-BR"/>
        </w:rPr>
      </w:pPr>
      <w:r w:rsidRPr="002F50BD">
        <w:rPr>
          <w:rFonts w:ascii="Verdana" w:hAnsi="Verdana"/>
          <w:sz w:val="20"/>
          <w:lang w:val="pt-BR"/>
        </w:rPr>
        <w:cr/>
        <w:t xml:space="preserve">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vida</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no </w:t>
      </w:r>
      <w:r w:rsidR="004756C1" w:rsidRPr="002F50BD">
        <w:rPr>
          <w:rFonts w:ascii="Verdana" w:hAnsi="Verdana"/>
          <w:sz w:val="20"/>
          <w:lang w:val="pt-BR"/>
        </w:rPr>
        <w:t>lugar</w:t>
      </w:r>
      <w:r w:rsidRPr="002F50BD">
        <w:rPr>
          <w:rFonts w:ascii="Verdana" w:hAnsi="Verdana"/>
          <w:sz w:val="20"/>
          <w:lang w:val="pt-BR"/>
        </w:rPr>
        <w:t xml:space="preserve"> onde estão atual</w:t>
      </w:r>
      <w:r w:rsidR="004756C1" w:rsidRPr="002F50BD">
        <w:rPr>
          <w:rFonts w:ascii="Verdana" w:hAnsi="Verdana"/>
          <w:sz w:val="20"/>
          <w:lang w:val="pt-BR"/>
        </w:rPr>
        <w:t>mente a</w:t>
      </w:r>
      <w:r w:rsidR="00475EBB" w:rsidRPr="002F50BD">
        <w:rPr>
          <w:rFonts w:ascii="Verdana" w:hAnsi="Verdana"/>
          <w:sz w:val="20"/>
          <w:lang w:val="pt-BR"/>
        </w:rPr>
        <w:t>s</w:t>
      </w:r>
      <w:r w:rsidR="004756C1" w:rsidRPr="002F50BD">
        <w:rPr>
          <w:rFonts w:ascii="Verdana" w:hAnsi="Verdana"/>
          <w:sz w:val="20"/>
          <w:lang w:val="pt-BR"/>
        </w:rPr>
        <w:t>sentados</w:t>
      </w:r>
      <w:r w:rsidRPr="002F50BD">
        <w:rPr>
          <w:rFonts w:ascii="Verdana" w:hAnsi="Verdana"/>
          <w:sz w:val="20"/>
          <w:lang w:val="pt-BR"/>
        </w:rPr>
        <w:t xml:space="preserve"> são </w:t>
      </w:r>
      <w:r w:rsidR="004756C1" w:rsidRPr="002F50BD">
        <w:rPr>
          <w:rFonts w:ascii="Verdana" w:hAnsi="Verdana"/>
          <w:sz w:val="20"/>
          <w:lang w:val="pt-BR"/>
        </w:rPr>
        <w:t>difíc</w:t>
      </w:r>
      <w:r w:rsidR="00475EBB" w:rsidRPr="002F50BD">
        <w:rPr>
          <w:rFonts w:ascii="Verdana" w:hAnsi="Verdana"/>
          <w:sz w:val="20"/>
          <w:lang w:val="pt-BR"/>
        </w:rPr>
        <w:t>ei</w:t>
      </w:r>
      <w:r w:rsidR="004756C1" w:rsidRPr="002F50BD">
        <w:rPr>
          <w:rFonts w:ascii="Verdana" w:hAnsi="Verdana"/>
          <w:sz w:val="20"/>
          <w:lang w:val="pt-BR"/>
        </w:rPr>
        <w:t>s</w:t>
      </w:r>
      <w:r w:rsidR="00D95E71" w:rsidRPr="002F50BD">
        <w:rPr>
          <w:rFonts w:ascii="Verdana" w:hAnsi="Verdana"/>
          <w:sz w:val="20"/>
          <w:lang w:val="pt-BR"/>
        </w:rPr>
        <w:t xml:space="preserve">. O </w:t>
      </w:r>
      <w:r w:rsidR="00AB454A" w:rsidRPr="002F50BD">
        <w:rPr>
          <w:rFonts w:ascii="Verdana" w:hAnsi="Verdana"/>
          <w:sz w:val="20"/>
          <w:lang w:val="pt-BR"/>
        </w:rPr>
        <w:t>assentamento</w:t>
      </w:r>
      <w:r w:rsidR="004756C1" w:rsidRPr="002F50BD">
        <w:rPr>
          <w:rFonts w:ascii="Verdana" w:hAnsi="Verdana"/>
          <w:sz w:val="20"/>
          <w:lang w:val="pt-BR"/>
        </w:rPr>
        <w:t xml:space="preserve"> está rodeado de </w:t>
      </w:r>
      <w:r w:rsidRPr="002F50BD">
        <w:rPr>
          <w:rFonts w:ascii="Verdana" w:hAnsi="Verdana"/>
          <w:sz w:val="20"/>
          <w:lang w:val="pt-BR"/>
        </w:rPr>
        <w:t>terra</w:t>
      </w:r>
      <w:r w:rsidR="004756C1" w:rsidRPr="002F50BD">
        <w:rPr>
          <w:rFonts w:ascii="Verdana" w:hAnsi="Verdana"/>
          <w:sz w:val="20"/>
          <w:lang w:val="pt-BR"/>
        </w:rPr>
        <w:t xml:space="preserve">s de </w:t>
      </w:r>
      <w:r w:rsidR="00475EBB" w:rsidRPr="002F50BD">
        <w:rPr>
          <w:rFonts w:ascii="Verdana" w:hAnsi="Verdana"/>
          <w:sz w:val="20"/>
          <w:lang w:val="pt-BR"/>
        </w:rPr>
        <w:t>criadores de gado</w:t>
      </w:r>
      <w:r w:rsidR="004756C1" w:rsidRPr="002F50BD">
        <w:rPr>
          <w:rFonts w:ascii="Verdana" w:hAnsi="Verdana"/>
          <w:sz w:val="20"/>
          <w:lang w:val="pt-BR"/>
        </w:rPr>
        <w:t>,</w:t>
      </w:r>
      <w:r w:rsidRPr="002F50BD">
        <w:rPr>
          <w:rFonts w:ascii="Verdana" w:hAnsi="Verdana"/>
          <w:sz w:val="20"/>
          <w:lang w:val="pt-BR"/>
        </w:rPr>
        <w:t xml:space="preserve"> </w:t>
      </w:r>
      <w:r w:rsidR="001D6D75" w:rsidRPr="002F50BD">
        <w:rPr>
          <w:rFonts w:ascii="Verdana" w:hAnsi="Verdana"/>
          <w:sz w:val="20"/>
          <w:lang w:val="pt-BR"/>
        </w:rPr>
        <w:t>nas</w:t>
      </w:r>
      <w:r w:rsidRPr="002F50BD">
        <w:rPr>
          <w:rFonts w:ascii="Verdana" w:hAnsi="Verdana"/>
          <w:sz w:val="20"/>
          <w:lang w:val="pt-BR"/>
        </w:rPr>
        <w:t xml:space="preserve"> quais</w:t>
      </w:r>
      <w:r w:rsidR="004756C1" w:rsidRPr="002F50BD">
        <w:rPr>
          <w:rFonts w:ascii="Verdana" w:hAnsi="Verdana"/>
          <w:sz w:val="20"/>
          <w:lang w:val="pt-BR"/>
        </w:rPr>
        <w:t xml:space="preserve"> </w:t>
      </w:r>
      <w:r w:rsidR="001D6D75" w:rsidRPr="002F50BD">
        <w:rPr>
          <w:rFonts w:ascii="Verdana" w:hAnsi="Verdana"/>
          <w:sz w:val="20"/>
          <w:lang w:val="pt-BR"/>
        </w:rPr>
        <w:t>estão proibidos de entrar</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475EBB" w:rsidRPr="002F50BD">
        <w:rPr>
          <w:rFonts w:ascii="Verdana" w:hAnsi="Verdana"/>
          <w:sz w:val="20"/>
          <w:lang w:val="pt-BR"/>
        </w:rPr>
        <w:t>ã</w:t>
      </w:r>
      <w:r w:rsidR="004756C1" w:rsidRPr="002F50BD">
        <w:rPr>
          <w:rFonts w:ascii="Verdana" w:hAnsi="Verdana"/>
          <w:sz w:val="20"/>
          <w:lang w:val="pt-BR"/>
        </w:rPr>
        <w:t xml:space="preserve">o </w:t>
      </w:r>
      <w:r w:rsidR="00475EBB" w:rsidRPr="002F50BD">
        <w:rPr>
          <w:rFonts w:ascii="Verdana" w:hAnsi="Verdana"/>
          <w:sz w:val="20"/>
          <w:lang w:val="pt-BR"/>
        </w:rPr>
        <w:t xml:space="preserve">podem </w:t>
      </w:r>
      <w:r w:rsidR="00AB454A" w:rsidRPr="002F50BD">
        <w:rPr>
          <w:rFonts w:ascii="Verdana" w:hAnsi="Verdana"/>
          <w:sz w:val="20"/>
          <w:lang w:val="pt-BR"/>
        </w:rPr>
        <w:t>caça</w:t>
      </w:r>
      <w:r w:rsidR="004756C1" w:rsidRPr="002F50BD">
        <w:rPr>
          <w:rFonts w:ascii="Verdana" w:hAnsi="Verdana"/>
          <w:sz w:val="20"/>
          <w:lang w:val="pt-BR"/>
        </w:rPr>
        <w:t xml:space="preserve">r </w:t>
      </w:r>
      <w:r w:rsidRPr="002F50BD">
        <w:rPr>
          <w:rFonts w:ascii="Verdana" w:hAnsi="Verdana"/>
          <w:sz w:val="20"/>
          <w:lang w:val="pt-BR"/>
        </w:rPr>
        <w:t>livremente</w:t>
      </w:r>
      <w:r w:rsidR="004756C1" w:rsidRPr="002F50BD">
        <w:rPr>
          <w:rFonts w:ascii="Verdana" w:hAnsi="Verdana"/>
          <w:sz w:val="20"/>
          <w:lang w:val="pt-BR"/>
        </w:rPr>
        <w:t xml:space="preserve">, </w:t>
      </w:r>
      <w:r w:rsidRPr="002F50BD">
        <w:rPr>
          <w:rFonts w:ascii="Verdana" w:hAnsi="Verdana"/>
          <w:sz w:val="20"/>
          <w:lang w:val="pt-BR"/>
        </w:rPr>
        <w:t>têm</w:t>
      </w:r>
      <w:r w:rsidR="004756C1" w:rsidRPr="002F50BD">
        <w:rPr>
          <w:rFonts w:ascii="Verdana" w:hAnsi="Verdana"/>
          <w:sz w:val="20"/>
          <w:lang w:val="pt-BR"/>
        </w:rPr>
        <w:t xml:space="preserve"> problemas para buscar alimentos</w:t>
      </w:r>
      <w:r w:rsidRPr="002F50BD">
        <w:rPr>
          <w:rFonts w:ascii="Verdana" w:hAnsi="Verdana"/>
          <w:sz w:val="20"/>
          <w:lang w:val="pt-BR"/>
        </w:rPr>
        <w:t xml:space="preserve"> e </w:t>
      </w:r>
      <w:r w:rsidR="004756C1" w:rsidRPr="002F50BD">
        <w:rPr>
          <w:rFonts w:ascii="Verdana" w:hAnsi="Verdana"/>
          <w:sz w:val="20"/>
          <w:lang w:val="pt-BR"/>
        </w:rPr>
        <w:t>para “proteger</w:t>
      </w:r>
      <w:r w:rsidR="00475EBB"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pelo </w:t>
      </w:r>
      <w:r w:rsidR="004756C1" w:rsidRPr="002F50BD">
        <w:rPr>
          <w:rFonts w:ascii="Verdana" w:hAnsi="Verdana"/>
          <w:sz w:val="20"/>
          <w:lang w:val="pt-BR"/>
        </w:rPr>
        <w:t>campo para n</w:t>
      </w:r>
      <w:r w:rsidR="00475EBB"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ter conflito</w:t>
      </w:r>
      <w:r w:rsidR="004756C1" w:rsidRPr="002F50BD">
        <w:rPr>
          <w:rFonts w:ascii="Verdana" w:hAnsi="Verdana"/>
          <w:sz w:val="20"/>
          <w:lang w:val="pt-BR"/>
        </w:rPr>
        <w:t>s</w:t>
      </w:r>
      <w:r w:rsidRPr="002F50BD">
        <w:rPr>
          <w:rFonts w:ascii="Verdana" w:hAnsi="Verdana"/>
          <w:sz w:val="20"/>
          <w:lang w:val="pt-BR"/>
        </w:rPr>
        <w:t xml:space="preserve"> com pessoa</w:t>
      </w:r>
      <w:r w:rsidR="004756C1" w:rsidRPr="002F50BD">
        <w:rPr>
          <w:rFonts w:ascii="Verdana" w:hAnsi="Verdana"/>
          <w:sz w:val="20"/>
          <w:lang w:val="pt-BR"/>
        </w:rPr>
        <w:t>s b</w:t>
      </w:r>
      <w:r w:rsidR="00475EBB" w:rsidRPr="002F50BD">
        <w:rPr>
          <w:rFonts w:ascii="Verdana" w:hAnsi="Verdana"/>
          <w:sz w:val="20"/>
          <w:lang w:val="pt-BR"/>
        </w:rPr>
        <w:t>r</w:t>
      </w:r>
      <w:r w:rsidR="004756C1" w:rsidRPr="002F50BD">
        <w:rPr>
          <w:rFonts w:ascii="Verdana" w:hAnsi="Verdana"/>
          <w:sz w:val="20"/>
          <w:lang w:val="pt-BR"/>
        </w:rPr>
        <w:t xml:space="preserve">ancas”. </w:t>
      </w:r>
      <w:r w:rsidR="00475EBB" w:rsidRPr="002F50BD">
        <w:rPr>
          <w:rFonts w:ascii="Verdana" w:hAnsi="Verdana"/>
          <w:sz w:val="20"/>
          <w:lang w:val="pt-BR"/>
        </w:rPr>
        <w:t>O</w:t>
      </w:r>
      <w:r w:rsidRPr="002F50BD">
        <w:rPr>
          <w:rFonts w:ascii="Verdana" w:hAnsi="Verdana"/>
          <w:sz w:val="20"/>
          <w:lang w:val="pt-BR"/>
        </w:rPr>
        <w:t xml:space="preserve">s homens da Comunidade </w:t>
      </w:r>
      <w:r w:rsidR="00AB454A" w:rsidRPr="002F50BD">
        <w:rPr>
          <w:rFonts w:ascii="Verdana" w:hAnsi="Verdana"/>
          <w:sz w:val="20"/>
          <w:lang w:val="pt-BR"/>
        </w:rPr>
        <w:t xml:space="preserve">não </w:t>
      </w:r>
      <w:r w:rsidR="00475EBB" w:rsidRPr="002F50BD">
        <w:rPr>
          <w:rFonts w:ascii="Verdana" w:hAnsi="Verdana"/>
          <w:sz w:val="20"/>
          <w:lang w:val="pt-BR"/>
        </w:rPr>
        <w:t xml:space="preserve">podem </w:t>
      </w:r>
      <w:r w:rsidR="004756C1" w:rsidRPr="002F50BD">
        <w:rPr>
          <w:rFonts w:ascii="Verdana" w:hAnsi="Verdana"/>
          <w:sz w:val="20"/>
          <w:lang w:val="pt-BR"/>
        </w:rPr>
        <w:t>dar alimentos a s</w:t>
      </w:r>
      <w:r w:rsidR="00475EBB"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filho</w:t>
      </w:r>
      <w:r w:rsidR="004756C1" w:rsidRPr="002F50BD">
        <w:rPr>
          <w:rFonts w:ascii="Verdana" w:hAnsi="Verdana"/>
          <w:sz w:val="20"/>
          <w:lang w:val="pt-BR"/>
        </w:rPr>
        <w:t>s</w:t>
      </w:r>
      <w:r w:rsidRPr="002F50BD">
        <w:rPr>
          <w:rFonts w:ascii="Verdana" w:hAnsi="Verdana"/>
          <w:sz w:val="20"/>
          <w:lang w:val="pt-BR"/>
        </w:rPr>
        <w:t xml:space="preserve"> </w:t>
      </w:r>
      <w:r w:rsidR="00475EBB" w:rsidRPr="002F50BD">
        <w:rPr>
          <w:rFonts w:ascii="Verdana" w:hAnsi="Verdana"/>
          <w:sz w:val="20"/>
          <w:lang w:val="pt-BR"/>
        </w:rPr>
        <w:t>regularmente</w:t>
      </w:r>
      <w:r w:rsidR="00AB454A" w:rsidRPr="002F50BD">
        <w:rPr>
          <w:rFonts w:ascii="Verdana" w:hAnsi="Verdana"/>
          <w:sz w:val="20"/>
          <w:lang w:val="pt-BR"/>
        </w:rPr>
        <w:t xml:space="preserve">. </w:t>
      </w:r>
      <w:r w:rsidR="00475EBB" w:rsidRPr="002F50BD">
        <w:rPr>
          <w:rFonts w:ascii="Verdana" w:hAnsi="Verdana"/>
          <w:sz w:val="20"/>
          <w:lang w:val="pt-BR"/>
        </w:rPr>
        <w:t>A</w:t>
      </w:r>
      <w:r w:rsidR="00AB454A" w:rsidRPr="002F50BD">
        <w:rPr>
          <w:rFonts w:ascii="Verdana" w:hAnsi="Verdana"/>
          <w:sz w:val="20"/>
          <w:lang w:val="pt-BR"/>
        </w:rPr>
        <w:t xml:space="preserve"> </w:t>
      </w:r>
      <w:r w:rsidRPr="002F50BD">
        <w:rPr>
          <w:rFonts w:ascii="Verdana" w:hAnsi="Verdana"/>
          <w:sz w:val="20"/>
          <w:lang w:val="pt-BR"/>
        </w:rPr>
        <w:t>testemunha</w:t>
      </w:r>
      <w:r w:rsidR="004756C1" w:rsidRPr="002F50BD">
        <w:rPr>
          <w:rFonts w:ascii="Verdana" w:hAnsi="Verdana"/>
          <w:sz w:val="20"/>
          <w:lang w:val="pt-BR"/>
        </w:rPr>
        <w:t xml:space="preserve"> </w:t>
      </w:r>
      <w:r w:rsidRPr="002F50BD">
        <w:rPr>
          <w:rFonts w:ascii="Verdana" w:hAnsi="Verdana"/>
          <w:sz w:val="20"/>
          <w:lang w:val="pt-BR"/>
        </w:rPr>
        <w:t xml:space="preserve">tem </w:t>
      </w:r>
      <w:r w:rsidR="00475EBB" w:rsidRPr="002F50BD">
        <w:rPr>
          <w:rFonts w:ascii="Verdana" w:hAnsi="Verdana"/>
          <w:sz w:val="20"/>
          <w:lang w:val="pt-BR"/>
        </w:rPr>
        <w:t xml:space="preserve">de </w:t>
      </w:r>
      <w:r w:rsidR="00AB454A" w:rsidRPr="002F50BD">
        <w:rPr>
          <w:rFonts w:ascii="Verdana" w:hAnsi="Verdana"/>
          <w:sz w:val="20"/>
          <w:lang w:val="pt-BR"/>
        </w:rPr>
        <w:t>trasladar-se</w:t>
      </w:r>
      <w:r w:rsidR="004756C1" w:rsidRPr="002F50BD">
        <w:rPr>
          <w:rFonts w:ascii="Verdana" w:hAnsi="Verdana"/>
          <w:sz w:val="20"/>
          <w:lang w:val="pt-BR"/>
        </w:rPr>
        <w:t xml:space="preserve"> para conseguir</w:t>
      </w:r>
      <w:r w:rsidR="00AB454A" w:rsidRPr="002F50BD">
        <w:rPr>
          <w:rFonts w:ascii="Verdana" w:hAnsi="Verdana"/>
          <w:sz w:val="20"/>
          <w:lang w:val="pt-BR"/>
        </w:rPr>
        <w:t xml:space="preserve"> água </w:t>
      </w:r>
      <w:r w:rsidRPr="002F50BD">
        <w:rPr>
          <w:rFonts w:ascii="Verdana" w:hAnsi="Verdana"/>
          <w:sz w:val="20"/>
          <w:lang w:val="pt-BR"/>
        </w:rPr>
        <w:t xml:space="preserve">e </w:t>
      </w:r>
      <w:r w:rsidR="004756C1" w:rsidRPr="002F50BD">
        <w:rPr>
          <w:rFonts w:ascii="Verdana" w:hAnsi="Verdana"/>
          <w:sz w:val="20"/>
          <w:lang w:val="pt-BR"/>
        </w:rPr>
        <w:t>alimentos para</w:t>
      </w:r>
      <w:r w:rsidRPr="002F50BD">
        <w:rPr>
          <w:rFonts w:ascii="Verdana" w:hAnsi="Verdana"/>
          <w:sz w:val="20"/>
          <w:lang w:val="pt-BR"/>
        </w:rPr>
        <w:t xml:space="preserve"> </w:t>
      </w:r>
      <w:r w:rsidR="005A6BC7" w:rsidRPr="002F50BD">
        <w:rPr>
          <w:rFonts w:ascii="Verdana" w:hAnsi="Verdana"/>
          <w:sz w:val="20"/>
          <w:lang w:val="pt-BR"/>
        </w:rPr>
        <w:t>as crianças</w:t>
      </w:r>
      <w:r w:rsidR="00AB454A" w:rsidRPr="002F50BD">
        <w:rPr>
          <w:rFonts w:ascii="Verdana" w:hAnsi="Verdana"/>
          <w:sz w:val="20"/>
          <w:lang w:val="pt-BR"/>
        </w:rPr>
        <w:t xml:space="preserve">. A </w:t>
      </w:r>
      <w:r w:rsidRPr="002F50BD">
        <w:rPr>
          <w:rFonts w:ascii="Verdana" w:hAnsi="Verdana"/>
          <w:sz w:val="20"/>
          <w:lang w:val="pt-BR"/>
        </w:rPr>
        <w:t>grande maioria dos membro</w:t>
      </w:r>
      <w:r w:rsidR="004756C1" w:rsidRPr="002F50BD">
        <w:rPr>
          <w:rFonts w:ascii="Verdana" w:hAnsi="Verdana"/>
          <w:sz w:val="20"/>
          <w:lang w:val="pt-BR"/>
        </w:rPr>
        <w:t>s</w:t>
      </w:r>
      <w:r w:rsidRPr="002F50BD">
        <w:rPr>
          <w:rFonts w:ascii="Verdana" w:hAnsi="Verdana"/>
          <w:sz w:val="20"/>
          <w:lang w:val="pt-BR"/>
        </w:rPr>
        <w:t xml:space="preserve"> da Comunidade não possui trabalho</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 xml:space="preserve">O </w:t>
      </w:r>
      <w:r w:rsidR="004756C1" w:rsidRPr="002F50BD">
        <w:rPr>
          <w:rFonts w:ascii="Verdana" w:hAnsi="Verdana"/>
          <w:sz w:val="20"/>
          <w:lang w:val="pt-BR"/>
        </w:rPr>
        <w:t>Estado prov</w:t>
      </w:r>
      <w:r w:rsidR="00475EBB" w:rsidRPr="002F50BD">
        <w:rPr>
          <w:rFonts w:ascii="Verdana" w:hAnsi="Verdana"/>
          <w:sz w:val="20"/>
          <w:lang w:val="pt-BR"/>
        </w:rPr>
        <w:t>ê</w:t>
      </w:r>
      <w:r w:rsidR="004756C1" w:rsidRPr="002F50BD">
        <w:rPr>
          <w:rFonts w:ascii="Verdana" w:hAnsi="Verdana"/>
          <w:sz w:val="20"/>
          <w:lang w:val="pt-BR"/>
        </w:rPr>
        <w:t xml:space="preserve"> </w:t>
      </w:r>
      <w:r w:rsidRPr="002F50BD">
        <w:rPr>
          <w:rFonts w:ascii="Verdana" w:hAnsi="Verdana"/>
          <w:sz w:val="20"/>
          <w:lang w:val="pt-BR"/>
        </w:rPr>
        <w:t xml:space="preserve">alguns </w:t>
      </w:r>
      <w:r w:rsidR="004756C1" w:rsidRPr="002F50BD">
        <w:rPr>
          <w:rFonts w:ascii="Verdana" w:hAnsi="Verdana"/>
          <w:sz w:val="20"/>
          <w:lang w:val="pt-BR"/>
        </w:rPr>
        <w:t>alimentos</w:t>
      </w:r>
      <w:r w:rsidRPr="002F50BD">
        <w:rPr>
          <w:rFonts w:ascii="Verdana" w:hAnsi="Verdana"/>
          <w:sz w:val="20"/>
          <w:lang w:val="pt-BR"/>
        </w:rPr>
        <w:t xml:space="preserve"> à </w:t>
      </w:r>
      <w:r w:rsidR="00A50140" w:rsidRPr="002F50BD">
        <w:rPr>
          <w:rFonts w:ascii="Verdana" w:hAnsi="Verdana"/>
          <w:sz w:val="20"/>
          <w:lang w:val="pt-BR"/>
        </w:rPr>
        <w:t>Comunidade.</w:t>
      </w:r>
      <w:r w:rsidR="004756C1" w:rsidRPr="002F50BD">
        <w:rPr>
          <w:rFonts w:ascii="Verdana" w:hAnsi="Verdana"/>
          <w:sz w:val="20"/>
          <w:lang w:val="pt-BR"/>
        </w:rPr>
        <w:t xml:space="preserve"> </w:t>
      </w:r>
      <w:r w:rsidR="00475EBB" w:rsidRPr="002F50BD">
        <w:rPr>
          <w:rFonts w:ascii="Verdana" w:hAnsi="Verdana"/>
          <w:sz w:val="20"/>
          <w:lang w:val="pt-BR"/>
        </w:rPr>
        <w:t>E</w:t>
      </w:r>
      <w:r w:rsidRPr="002F50BD">
        <w:rPr>
          <w:rFonts w:ascii="Verdana" w:hAnsi="Verdana"/>
          <w:sz w:val="20"/>
          <w:lang w:val="pt-BR"/>
        </w:rPr>
        <w:t>m tempo</w:t>
      </w:r>
      <w:r w:rsidR="004756C1" w:rsidRPr="002F50BD">
        <w:rPr>
          <w:rFonts w:ascii="Verdana" w:hAnsi="Verdana"/>
          <w:sz w:val="20"/>
          <w:lang w:val="pt-BR"/>
        </w:rPr>
        <w:t xml:space="preserve"> de </w:t>
      </w:r>
      <w:r w:rsidR="00475EBB" w:rsidRPr="002F50BD">
        <w:rPr>
          <w:rFonts w:ascii="Verdana" w:hAnsi="Verdana"/>
          <w:sz w:val="20"/>
          <w:lang w:val="pt-BR"/>
        </w:rPr>
        <w:t>seca</w:t>
      </w:r>
      <w:r w:rsidR="001D6D75" w:rsidRPr="002F50BD">
        <w:rPr>
          <w:rFonts w:ascii="Verdana" w:hAnsi="Verdana"/>
          <w:sz w:val="20"/>
          <w:lang w:val="pt-BR"/>
        </w:rPr>
        <w:t>,</w:t>
      </w:r>
      <w:r w:rsidR="00475EBB" w:rsidRPr="002F50BD">
        <w:rPr>
          <w:rFonts w:ascii="Verdana" w:hAnsi="Verdana"/>
          <w:sz w:val="20"/>
          <w:lang w:val="pt-BR"/>
        </w:rPr>
        <w:t xml:space="preserve"> </w:t>
      </w:r>
      <w:r w:rsidRPr="002F50BD">
        <w:rPr>
          <w:rFonts w:ascii="Verdana" w:hAnsi="Verdana"/>
          <w:sz w:val="20"/>
          <w:lang w:val="pt-BR"/>
        </w:rPr>
        <w:t xml:space="preserve">os </w:t>
      </w:r>
      <w:r w:rsidR="00475EBB" w:rsidRPr="002F50BD">
        <w:rPr>
          <w:rFonts w:ascii="Verdana" w:hAnsi="Verdana"/>
          <w:sz w:val="20"/>
          <w:lang w:val="pt-BR"/>
        </w:rPr>
        <w:t>alimentos chegam</w:t>
      </w:r>
      <w:r w:rsidR="004756C1" w:rsidRPr="002F50BD">
        <w:rPr>
          <w:rFonts w:ascii="Verdana" w:hAnsi="Verdana"/>
          <w:sz w:val="20"/>
          <w:lang w:val="pt-BR"/>
        </w:rPr>
        <w:t xml:space="preserve"> d</w:t>
      </w:r>
      <w:r w:rsidR="00475EBB" w:rsidRPr="002F50BD">
        <w:rPr>
          <w:rFonts w:ascii="Verdana" w:hAnsi="Verdana"/>
          <w:sz w:val="20"/>
          <w:lang w:val="pt-BR"/>
        </w:rPr>
        <w:t>ua</w:t>
      </w:r>
      <w:r w:rsidR="004756C1" w:rsidRPr="002F50BD">
        <w:rPr>
          <w:rFonts w:ascii="Verdana" w:hAnsi="Verdana"/>
          <w:sz w:val="20"/>
          <w:lang w:val="pt-BR"/>
        </w:rPr>
        <w:t xml:space="preserve">s </w:t>
      </w:r>
      <w:r w:rsidRPr="002F50BD">
        <w:rPr>
          <w:rFonts w:ascii="Verdana" w:hAnsi="Verdana"/>
          <w:sz w:val="20"/>
          <w:lang w:val="pt-BR"/>
        </w:rPr>
        <w:t xml:space="preserve">vezes </w:t>
      </w:r>
      <w:r w:rsidR="00475EBB" w:rsidRPr="002F50BD">
        <w:rPr>
          <w:rFonts w:ascii="Verdana" w:hAnsi="Verdana"/>
          <w:sz w:val="20"/>
          <w:lang w:val="pt-BR"/>
        </w:rPr>
        <w:t>por mês</w:t>
      </w:r>
      <w:r w:rsidR="004756C1" w:rsidRPr="002F50BD">
        <w:rPr>
          <w:rFonts w:ascii="Verdana" w:hAnsi="Verdana"/>
          <w:sz w:val="20"/>
          <w:lang w:val="pt-BR"/>
        </w:rPr>
        <w:t xml:space="preserve">, </w:t>
      </w:r>
      <w:r w:rsidRPr="002F50BD">
        <w:rPr>
          <w:rFonts w:ascii="Verdana" w:hAnsi="Verdana"/>
          <w:sz w:val="20"/>
          <w:lang w:val="pt-BR"/>
        </w:rPr>
        <w:t>mas</w:t>
      </w:r>
      <w:r w:rsidR="00313394" w:rsidRPr="002F50BD">
        <w:rPr>
          <w:rFonts w:ascii="Verdana" w:hAnsi="Verdana"/>
          <w:sz w:val="20"/>
          <w:lang w:val="pt-BR"/>
        </w:rPr>
        <w:t xml:space="preserve"> isso </w:t>
      </w:r>
      <w:r w:rsidR="004756C1" w:rsidRPr="002F50BD">
        <w:rPr>
          <w:rFonts w:ascii="Verdana" w:hAnsi="Verdana"/>
          <w:sz w:val="20"/>
          <w:lang w:val="pt-BR"/>
        </w:rPr>
        <w:t xml:space="preserve">dura </w:t>
      </w:r>
      <w:r w:rsidRPr="002F50BD">
        <w:rPr>
          <w:rFonts w:ascii="Verdana" w:hAnsi="Verdana"/>
          <w:sz w:val="20"/>
          <w:lang w:val="pt-BR"/>
        </w:rPr>
        <w:t>apenas</w:t>
      </w:r>
      <w:r w:rsidR="004756C1" w:rsidRPr="002F50BD">
        <w:rPr>
          <w:rFonts w:ascii="Verdana" w:hAnsi="Verdana"/>
          <w:sz w:val="20"/>
          <w:lang w:val="pt-BR"/>
        </w:rPr>
        <w:t xml:space="preserve"> seis </w:t>
      </w:r>
      <w:r w:rsidRPr="002F50BD">
        <w:rPr>
          <w:rFonts w:ascii="Verdana" w:hAnsi="Verdana"/>
          <w:sz w:val="20"/>
          <w:lang w:val="pt-BR"/>
        </w:rPr>
        <w:t>dia</w:t>
      </w:r>
      <w:r w:rsidR="004756C1"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475EBB">
      <w:pPr>
        <w:jc w:val="both"/>
        <w:rPr>
          <w:rFonts w:ascii="Verdana" w:hAnsi="Verdana"/>
          <w:sz w:val="20"/>
          <w:lang w:val="pt-BR"/>
        </w:rPr>
      </w:pPr>
      <w:r w:rsidRPr="002F50BD">
        <w:rPr>
          <w:rFonts w:ascii="Verdana" w:hAnsi="Verdana"/>
          <w:sz w:val="20"/>
          <w:lang w:val="pt-BR"/>
        </w:rPr>
        <w:t xml:space="preserve">Após </w:t>
      </w:r>
      <w:r w:rsidR="004756C1" w:rsidRPr="002F50BD">
        <w:rPr>
          <w:rFonts w:ascii="Verdana" w:hAnsi="Verdana"/>
          <w:sz w:val="20"/>
          <w:lang w:val="pt-BR"/>
        </w:rPr>
        <w:t>iniciado</w:t>
      </w:r>
      <w:r w:rsidR="0089298C" w:rsidRPr="002F50BD">
        <w:rPr>
          <w:rFonts w:ascii="Verdana" w:hAnsi="Verdana"/>
          <w:sz w:val="20"/>
          <w:lang w:val="pt-BR"/>
        </w:rPr>
        <w:t xml:space="preserve"> o processo</w:t>
      </w:r>
      <w:r w:rsidR="004756C1" w:rsidRPr="002F50BD">
        <w:rPr>
          <w:rFonts w:ascii="Verdana" w:hAnsi="Verdana"/>
          <w:sz w:val="20"/>
          <w:lang w:val="pt-BR"/>
        </w:rPr>
        <w:t xml:space="preserve">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a Comunidade </w:t>
      </w:r>
      <w:r w:rsidR="004076AD" w:rsidRPr="002F50BD">
        <w:rPr>
          <w:rFonts w:ascii="Verdana" w:hAnsi="Verdana"/>
          <w:sz w:val="20"/>
          <w:lang w:val="pt-BR"/>
        </w:rPr>
        <w:t>receb</w:t>
      </w:r>
      <w:r w:rsidRPr="002F50BD">
        <w:rPr>
          <w:rFonts w:ascii="Verdana" w:hAnsi="Verdana"/>
          <w:sz w:val="20"/>
          <w:lang w:val="pt-BR"/>
        </w:rPr>
        <w:t>eu</w:t>
      </w:r>
      <w:r w:rsidR="004756C1" w:rsidRPr="002F50BD">
        <w:rPr>
          <w:rFonts w:ascii="Verdana" w:hAnsi="Verdana"/>
          <w:sz w:val="20"/>
          <w:lang w:val="pt-BR"/>
        </w:rPr>
        <w:t xml:space="preserve"> constantes </w:t>
      </w:r>
      <w:r w:rsidR="0089298C" w:rsidRPr="002F50BD">
        <w:rPr>
          <w:rFonts w:ascii="Verdana" w:hAnsi="Verdana"/>
          <w:sz w:val="20"/>
          <w:lang w:val="pt-BR"/>
        </w:rPr>
        <w:t>ameaça</w:t>
      </w:r>
      <w:r w:rsidR="004756C1" w:rsidRPr="002F50BD">
        <w:rPr>
          <w:rFonts w:ascii="Verdana" w:hAnsi="Verdana"/>
          <w:sz w:val="20"/>
          <w:lang w:val="pt-BR"/>
        </w:rPr>
        <w:t>s por parte</w:t>
      </w:r>
      <w:r w:rsidR="0089298C" w:rsidRPr="002F50BD">
        <w:rPr>
          <w:rFonts w:ascii="Verdana" w:hAnsi="Verdana"/>
          <w:sz w:val="20"/>
          <w:lang w:val="pt-BR"/>
        </w:rPr>
        <w:t xml:space="preserve"> dos </w:t>
      </w:r>
      <w:r w:rsidR="007801FA" w:rsidRPr="002F50BD">
        <w:rPr>
          <w:rFonts w:ascii="Verdana" w:hAnsi="Verdana"/>
          <w:sz w:val="20"/>
          <w:lang w:val="pt-BR"/>
        </w:rPr>
        <w:t>proprietário</w:t>
      </w:r>
      <w:r w:rsidR="004756C1" w:rsidRPr="002F50BD">
        <w:rPr>
          <w:rFonts w:ascii="Verdana" w:hAnsi="Verdana"/>
          <w:sz w:val="20"/>
          <w:lang w:val="pt-BR"/>
        </w:rPr>
        <w:t>s</w:t>
      </w:r>
      <w:r w:rsidR="0089298C" w:rsidRPr="002F50BD">
        <w:rPr>
          <w:rFonts w:ascii="Verdana" w:hAnsi="Verdana"/>
          <w:sz w:val="20"/>
          <w:lang w:val="pt-BR"/>
        </w:rPr>
        <w:t xml:space="preserve"> das terra</w:t>
      </w:r>
      <w:r w:rsidR="004756C1" w:rsidRPr="002F50BD">
        <w:rPr>
          <w:rFonts w:ascii="Verdana" w:hAnsi="Verdana"/>
          <w:sz w:val="20"/>
          <w:lang w:val="pt-BR"/>
        </w:rPr>
        <w:t>s reclamadas o</w:t>
      </w:r>
      <w:r w:rsidRPr="002F50BD">
        <w:rPr>
          <w:rFonts w:ascii="Verdana" w:hAnsi="Verdana"/>
          <w:sz w:val="20"/>
          <w:lang w:val="pt-BR"/>
        </w:rPr>
        <w:t>u</w:t>
      </w:r>
      <w:r w:rsidR="004756C1" w:rsidRPr="002F50BD">
        <w:rPr>
          <w:rFonts w:ascii="Verdana" w:hAnsi="Verdana"/>
          <w:sz w:val="20"/>
          <w:lang w:val="pt-BR"/>
        </w:rPr>
        <w:t xml:space="preserve"> de </w:t>
      </w:r>
      <w:r w:rsidR="0089298C" w:rsidRPr="002F50BD">
        <w:rPr>
          <w:rFonts w:ascii="Verdana" w:hAnsi="Verdana"/>
          <w:sz w:val="20"/>
          <w:lang w:val="pt-BR"/>
        </w:rPr>
        <w:t>pessoa</w:t>
      </w:r>
      <w:r w:rsidR="004756C1" w:rsidRPr="002F50BD">
        <w:rPr>
          <w:rFonts w:ascii="Verdana" w:hAnsi="Verdana"/>
          <w:sz w:val="20"/>
          <w:lang w:val="pt-BR"/>
        </w:rPr>
        <w:t xml:space="preserve">s contratadas por </w:t>
      </w:r>
      <w:r w:rsidRPr="002F50BD">
        <w:rPr>
          <w:rFonts w:ascii="Verdana" w:hAnsi="Verdana"/>
          <w:sz w:val="20"/>
          <w:lang w:val="pt-BR"/>
        </w:rPr>
        <w:t>eles</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U</w:t>
      </w:r>
      <w:r w:rsidR="0089298C" w:rsidRPr="002F50BD">
        <w:rPr>
          <w:rFonts w:ascii="Verdana" w:hAnsi="Verdana"/>
          <w:sz w:val="20"/>
          <w:lang w:val="pt-BR"/>
        </w:rPr>
        <w:t>ma noite</w:t>
      </w:r>
      <w:r w:rsidRPr="002F50BD">
        <w:rPr>
          <w:rFonts w:ascii="Verdana" w:hAnsi="Verdana"/>
          <w:sz w:val="20"/>
          <w:lang w:val="pt-BR"/>
        </w:rPr>
        <w:t>,</w:t>
      </w:r>
      <w:r w:rsidR="0089298C" w:rsidRPr="002F50BD">
        <w:rPr>
          <w:rFonts w:ascii="Verdana" w:hAnsi="Verdana"/>
          <w:sz w:val="20"/>
          <w:lang w:val="pt-BR"/>
        </w:rPr>
        <w:t xml:space="preserve"> três pessoa</w:t>
      </w:r>
      <w:r w:rsidR="004756C1" w:rsidRPr="002F50BD">
        <w:rPr>
          <w:rFonts w:ascii="Verdana" w:hAnsi="Verdana"/>
          <w:sz w:val="20"/>
          <w:lang w:val="pt-BR"/>
        </w:rPr>
        <w:t>s vestidas</w:t>
      </w:r>
      <w:r w:rsidR="0089298C" w:rsidRPr="002F50BD">
        <w:rPr>
          <w:rFonts w:ascii="Verdana" w:hAnsi="Verdana"/>
          <w:sz w:val="20"/>
          <w:lang w:val="pt-BR"/>
        </w:rPr>
        <w:t xml:space="preserve"> com </w:t>
      </w:r>
      <w:r w:rsidR="004756C1" w:rsidRPr="002F50BD">
        <w:rPr>
          <w:rFonts w:ascii="Verdana" w:hAnsi="Verdana"/>
          <w:sz w:val="20"/>
          <w:lang w:val="pt-BR"/>
        </w:rPr>
        <w:t>ro</w:t>
      </w:r>
      <w:r w:rsidRPr="002F50BD">
        <w:rPr>
          <w:rFonts w:ascii="Verdana" w:hAnsi="Verdana"/>
          <w:sz w:val="20"/>
          <w:lang w:val="pt-BR"/>
        </w:rPr>
        <w:t>u</w:t>
      </w:r>
      <w:r w:rsidR="004756C1" w:rsidRPr="002F50BD">
        <w:rPr>
          <w:rFonts w:ascii="Verdana" w:hAnsi="Verdana"/>
          <w:sz w:val="20"/>
          <w:lang w:val="pt-BR"/>
        </w:rPr>
        <w:t xml:space="preserve">pa </w:t>
      </w:r>
      <w:r w:rsidRPr="002F50BD">
        <w:rPr>
          <w:rFonts w:ascii="Verdana" w:hAnsi="Verdana"/>
          <w:sz w:val="20"/>
          <w:lang w:val="pt-BR"/>
        </w:rPr>
        <w:t>comprida</w:t>
      </w:r>
      <w:r w:rsidR="004756C1" w:rsidRPr="002F50BD">
        <w:rPr>
          <w:rFonts w:ascii="Verdana" w:hAnsi="Verdana"/>
          <w:sz w:val="20"/>
          <w:lang w:val="pt-BR"/>
        </w:rPr>
        <w:t>, como</w:t>
      </w:r>
      <w:r w:rsidR="0089298C" w:rsidRPr="002F50BD">
        <w:rPr>
          <w:rFonts w:ascii="Verdana" w:hAnsi="Verdana"/>
          <w:sz w:val="20"/>
          <w:lang w:val="pt-BR"/>
        </w:rPr>
        <w:t xml:space="preserve"> a </w:t>
      </w:r>
      <w:r w:rsidR="004756C1" w:rsidRPr="002F50BD">
        <w:rPr>
          <w:rFonts w:ascii="Verdana" w:hAnsi="Verdana"/>
          <w:sz w:val="20"/>
          <w:lang w:val="pt-BR"/>
        </w:rPr>
        <w:t>de</w:t>
      </w:r>
      <w:r w:rsidR="0089298C" w:rsidRPr="002F50BD">
        <w:rPr>
          <w:rFonts w:ascii="Verdana" w:hAnsi="Verdana"/>
          <w:sz w:val="20"/>
          <w:lang w:val="pt-BR"/>
        </w:rPr>
        <w:t xml:space="preserve"> um </w:t>
      </w:r>
      <w:r w:rsidRPr="002F50BD">
        <w:rPr>
          <w:rFonts w:ascii="Verdana" w:hAnsi="Verdana"/>
          <w:sz w:val="20"/>
          <w:lang w:val="pt-BR"/>
        </w:rPr>
        <w:t>padre</w:t>
      </w:r>
      <w:r w:rsidR="004756C1" w:rsidRPr="002F50BD">
        <w:rPr>
          <w:rFonts w:ascii="Verdana" w:hAnsi="Verdana"/>
          <w:sz w:val="20"/>
          <w:lang w:val="pt-BR"/>
        </w:rPr>
        <w:t xml:space="preserve">, </w:t>
      </w:r>
      <w:r w:rsidR="0089298C" w:rsidRPr="002F50BD">
        <w:rPr>
          <w:rFonts w:ascii="Verdana" w:hAnsi="Verdana"/>
          <w:sz w:val="20"/>
          <w:lang w:val="pt-BR"/>
        </w:rPr>
        <w:t>ingressar</w:t>
      </w:r>
      <w:r w:rsidRPr="002F50BD">
        <w:rPr>
          <w:rFonts w:ascii="Verdana" w:hAnsi="Verdana"/>
          <w:sz w:val="20"/>
          <w:lang w:val="pt-BR"/>
        </w:rPr>
        <w:t>am</w:t>
      </w:r>
      <w:r w:rsidR="0089298C" w:rsidRPr="002F50BD">
        <w:rPr>
          <w:rFonts w:ascii="Verdana" w:hAnsi="Verdana"/>
          <w:sz w:val="20"/>
          <w:lang w:val="pt-BR"/>
        </w:rPr>
        <w:t xml:space="preserve"> </w:t>
      </w:r>
      <w:r w:rsidR="001D6D75" w:rsidRPr="002F50BD">
        <w:rPr>
          <w:rFonts w:ascii="Verdana" w:hAnsi="Verdana"/>
          <w:sz w:val="20"/>
          <w:lang w:val="pt-BR"/>
        </w:rPr>
        <w:t>na</w:t>
      </w:r>
      <w:r w:rsidR="0089298C" w:rsidRPr="002F50BD">
        <w:rPr>
          <w:rFonts w:ascii="Verdana" w:hAnsi="Verdana"/>
          <w:sz w:val="20"/>
          <w:lang w:val="pt-BR"/>
        </w:rPr>
        <w:t xml:space="preserve"> Comunidade com </w:t>
      </w:r>
      <w:r w:rsidR="004756C1" w:rsidRPr="002F50BD">
        <w:rPr>
          <w:rFonts w:ascii="Verdana" w:hAnsi="Verdana"/>
          <w:sz w:val="20"/>
          <w:lang w:val="pt-BR"/>
        </w:rPr>
        <w:t xml:space="preserve">armas de </w:t>
      </w:r>
      <w:r w:rsidR="0089298C" w:rsidRPr="002F50BD">
        <w:rPr>
          <w:rFonts w:ascii="Verdana" w:hAnsi="Verdana"/>
          <w:sz w:val="20"/>
          <w:lang w:val="pt-BR"/>
        </w:rPr>
        <w:t>fogo</w:t>
      </w:r>
      <w:r w:rsidR="004756C1" w:rsidRPr="002F50BD">
        <w:rPr>
          <w:rFonts w:ascii="Verdana" w:hAnsi="Verdana"/>
          <w:sz w:val="20"/>
          <w:lang w:val="pt-BR"/>
        </w:rPr>
        <w:t>, disparando de casa</w:t>
      </w:r>
      <w:r w:rsidR="0089298C" w:rsidRPr="002F50BD">
        <w:rPr>
          <w:rFonts w:ascii="Verdana" w:hAnsi="Verdana"/>
          <w:sz w:val="20"/>
          <w:lang w:val="pt-BR"/>
        </w:rPr>
        <w:t xml:space="preserve"> em </w:t>
      </w:r>
      <w:r w:rsidR="004756C1" w:rsidRPr="002F50BD">
        <w:rPr>
          <w:rFonts w:ascii="Verdana" w:hAnsi="Verdana"/>
          <w:sz w:val="20"/>
          <w:lang w:val="pt-BR"/>
        </w:rPr>
        <w:t>casa</w:t>
      </w:r>
      <w:r w:rsidR="001A0CDE" w:rsidRPr="002F50BD">
        <w:rPr>
          <w:rFonts w:ascii="Verdana" w:hAnsi="Verdana"/>
          <w:sz w:val="20"/>
          <w:lang w:val="pt-BR"/>
        </w:rPr>
        <w:t>. Est</w:t>
      </w:r>
      <w:r w:rsidR="0089298C" w:rsidRPr="002F50BD">
        <w:rPr>
          <w:rFonts w:ascii="Verdana" w:hAnsi="Verdana"/>
          <w:sz w:val="20"/>
          <w:lang w:val="pt-BR"/>
        </w:rPr>
        <w:t>es homens</w:t>
      </w:r>
      <w:r w:rsidR="004756C1" w:rsidRPr="002F50BD">
        <w:rPr>
          <w:rFonts w:ascii="Verdana" w:hAnsi="Verdana"/>
          <w:sz w:val="20"/>
          <w:lang w:val="pt-BR"/>
        </w:rPr>
        <w:t xml:space="preserve"> </w:t>
      </w:r>
      <w:r w:rsidRPr="002F50BD">
        <w:rPr>
          <w:rFonts w:ascii="Verdana" w:hAnsi="Verdana"/>
          <w:sz w:val="20"/>
          <w:lang w:val="pt-BR"/>
        </w:rPr>
        <w:t xml:space="preserve">fincaram </w:t>
      </w:r>
      <w:r w:rsidR="0089298C" w:rsidRPr="002F50BD">
        <w:rPr>
          <w:rFonts w:ascii="Verdana" w:hAnsi="Verdana"/>
          <w:sz w:val="20"/>
          <w:lang w:val="pt-BR"/>
        </w:rPr>
        <w:t xml:space="preserve">uma </w:t>
      </w:r>
      <w:r w:rsidR="004756C1" w:rsidRPr="002F50BD">
        <w:rPr>
          <w:rFonts w:ascii="Verdana" w:hAnsi="Verdana"/>
          <w:sz w:val="20"/>
          <w:lang w:val="pt-BR"/>
        </w:rPr>
        <w:t>cruz</w:t>
      </w:r>
      <w:r w:rsidR="0089298C" w:rsidRPr="002F50BD">
        <w:rPr>
          <w:rFonts w:ascii="Verdana" w:hAnsi="Verdana"/>
          <w:sz w:val="20"/>
          <w:lang w:val="pt-BR"/>
        </w:rPr>
        <w:t xml:space="preserve"> no </w:t>
      </w:r>
      <w:r w:rsidR="00AB454A" w:rsidRPr="002F50BD">
        <w:rPr>
          <w:rFonts w:ascii="Verdana" w:hAnsi="Verdana"/>
          <w:sz w:val="20"/>
          <w:lang w:val="pt-BR"/>
        </w:rPr>
        <w:t>assentamento</w:t>
      </w:r>
      <w:r w:rsidR="0089298C" w:rsidRPr="002F50BD">
        <w:rPr>
          <w:rFonts w:ascii="Verdana" w:hAnsi="Verdana"/>
          <w:sz w:val="20"/>
          <w:lang w:val="pt-BR"/>
        </w:rPr>
        <w:t xml:space="preserve"> da Comunidade e </w:t>
      </w:r>
      <w:r w:rsidRPr="002F50BD">
        <w:rPr>
          <w:rFonts w:ascii="Verdana" w:hAnsi="Verdana"/>
          <w:sz w:val="20"/>
          <w:lang w:val="pt-BR"/>
        </w:rPr>
        <w:t>penduraram</w:t>
      </w:r>
      <w:r w:rsidR="0089298C" w:rsidRPr="002F50BD">
        <w:rPr>
          <w:rFonts w:ascii="Verdana" w:hAnsi="Verdana"/>
          <w:sz w:val="20"/>
          <w:lang w:val="pt-BR"/>
        </w:rPr>
        <w:t xml:space="preserve"> uma </w:t>
      </w:r>
      <w:r w:rsidR="004076AD" w:rsidRPr="002F50BD">
        <w:rPr>
          <w:rFonts w:ascii="Verdana" w:hAnsi="Verdana"/>
          <w:sz w:val="20"/>
          <w:lang w:val="pt-BR"/>
        </w:rPr>
        <w:t>galinha</w:t>
      </w:r>
      <w:r w:rsidR="004756C1" w:rsidRPr="002F50BD">
        <w:rPr>
          <w:rFonts w:ascii="Verdana" w:hAnsi="Verdana"/>
          <w:sz w:val="20"/>
          <w:lang w:val="pt-BR"/>
        </w:rPr>
        <w:t xml:space="preserve"> </w:t>
      </w:r>
      <w:r w:rsidR="0089298C" w:rsidRPr="002F50BD">
        <w:rPr>
          <w:rFonts w:ascii="Verdana" w:hAnsi="Verdana"/>
          <w:sz w:val="20"/>
          <w:lang w:val="pt-BR"/>
        </w:rPr>
        <w:t>degolad</w:t>
      </w:r>
      <w:r w:rsidR="004756C1" w:rsidRPr="002F50BD">
        <w:rPr>
          <w:rFonts w:ascii="Verdana" w:hAnsi="Verdana"/>
          <w:sz w:val="20"/>
          <w:lang w:val="pt-BR"/>
        </w:rPr>
        <w:t xml:space="preserve">a. </w:t>
      </w:r>
      <w:r w:rsidRPr="002F50BD">
        <w:rPr>
          <w:rFonts w:ascii="Verdana" w:hAnsi="Verdana"/>
          <w:sz w:val="20"/>
          <w:lang w:val="pt-BR"/>
        </w:rPr>
        <w:t>A</w:t>
      </w:r>
      <w:r w:rsidR="0089298C" w:rsidRPr="002F50BD">
        <w:rPr>
          <w:rFonts w:ascii="Verdana" w:hAnsi="Verdana"/>
          <w:sz w:val="20"/>
          <w:lang w:val="pt-BR"/>
        </w:rPr>
        <w:t xml:space="preserve">o </w:t>
      </w:r>
      <w:r w:rsidRPr="002F50BD">
        <w:rPr>
          <w:rFonts w:ascii="Verdana" w:hAnsi="Verdana"/>
          <w:sz w:val="20"/>
          <w:lang w:val="pt-BR"/>
        </w:rPr>
        <w:t>saírem</w:t>
      </w:r>
      <w:r w:rsidR="004756C1" w:rsidRPr="002F50BD">
        <w:rPr>
          <w:rFonts w:ascii="Verdana" w:hAnsi="Verdana"/>
          <w:sz w:val="20"/>
          <w:lang w:val="pt-BR"/>
        </w:rPr>
        <w:t xml:space="preserve">, </w:t>
      </w:r>
      <w:r w:rsidR="005A6BC7" w:rsidRPr="002F50BD">
        <w:rPr>
          <w:rFonts w:ascii="Verdana" w:hAnsi="Verdana"/>
          <w:sz w:val="20"/>
          <w:lang w:val="pt-BR"/>
        </w:rPr>
        <w:t>disseram</w:t>
      </w:r>
      <w:r w:rsidR="004756C1" w:rsidRPr="002F50BD">
        <w:rPr>
          <w:rFonts w:ascii="Verdana" w:hAnsi="Verdana"/>
          <w:sz w:val="20"/>
          <w:lang w:val="pt-BR"/>
        </w:rPr>
        <w:t xml:space="preserve"> que </w:t>
      </w:r>
      <w:r w:rsidR="0089298C" w:rsidRPr="002F50BD">
        <w:rPr>
          <w:rFonts w:ascii="Verdana" w:hAnsi="Verdana"/>
          <w:sz w:val="20"/>
          <w:lang w:val="pt-BR"/>
        </w:rPr>
        <w:t>faria</w:t>
      </w:r>
      <w:r w:rsidRPr="002F50BD">
        <w:rPr>
          <w:rFonts w:ascii="Verdana" w:hAnsi="Verdana"/>
          <w:sz w:val="20"/>
          <w:lang w:val="pt-BR"/>
        </w:rPr>
        <w:t>m</w:t>
      </w:r>
      <w:r w:rsidR="004756C1" w:rsidRPr="002F50BD">
        <w:rPr>
          <w:rFonts w:ascii="Verdana" w:hAnsi="Verdana"/>
          <w:sz w:val="20"/>
          <w:lang w:val="pt-BR"/>
        </w:rPr>
        <w:t xml:space="preserve"> o </w:t>
      </w:r>
      <w:r w:rsidR="0089298C" w:rsidRPr="002F50BD">
        <w:rPr>
          <w:rFonts w:ascii="Verdana" w:hAnsi="Verdana"/>
          <w:sz w:val="20"/>
          <w:lang w:val="pt-BR"/>
        </w:rPr>
        <w:t>mesm</w:t>
      </w:r>
      <w:r w:rsidR="004756C1" w:rsidRPr="002F50BD">
        <w:rPr>
          <w:rFonts w:ascii="Verdana" w:hAnsi="Verdana"/>
          <w:sz w:val="20"/>
          <w:lang w:val="pt-BR"/>
        </w:rPr>
        <w:t>o</w:t>
      </w:r>
      <w:r w:rsidR="0089298C" w:rsidRPr="002F50BD">
        <w:rPr>
          <w:rFonts w:ascii="Verdana" w:hAnsi="Verdana"/>
          <w:sz w:val="20"/>
          <w:lang w:val="pt-BR"/>
        </w:rPr>
        <w:t xml:space="preserve"> aos </w:t>
      </w:r>
      <w:r w:rsidR="004756C1" w:rsidRPr="002F50BD">
        <w:rPr>
          <w:rFonts w:ascii="Verdana" w:hAnsi="Verdana"/>
          <w:sz w:val="20"/>
          <w:lang w:val="pt-BR"/>
        </w:rPr>
        <w:lastRenderedPageBreak/>
        <w:t>indígenas</w:t>
      </w:r>
      <w:r w:rsidR="0089298C" w:rsidRPr="002F50BD">
        <w:rPr>
          <w:rFonts w:ascii="Verdana" w:hAnsi="Verdana"/>
          <w:sz w:val="20"/>
          <w:lang w:val="pt-BR"/>
        </w:rPr>
        <w:t xml:space="preserve"> da </w:t>
      </w:r>
      <w:r w:rsidR="00A50140" w:rsidRPr="002F50BD">
        <w:rPr>
          <w:rFonts w:ascii="Verdana" w:hAnsi="Verdana"/>
          <w:sz w:val="20"/>
          <w:lang w:val="pt-BR"/>
        </w:rPr>
        <w:t>Comunidade.</w:t>
      </w:r>
      <w:r w:rsidR="004756C1" w:rsidRPr="002F50BD">
        <w:rPr>
          <w:rFonts w:ascii="Verdana" w:hAnsi="Verdana"/>
          <w:sz w:val="20"/>
          <w:lang w:val="pt-BR"/>
        </w:rPr>
        <w:t xml:space="preserve"> </w:t>
      </w:r>
      <w:r w:rsidRPr="002F50BD">
        <w:rPr>
          <w:rFonts w:ascii="Verdana" w:hAnsi="Verdana"/>
          <w:sz w:val="20"/>
          <w:lang w:val="pt-BR"/>
        </w:rPr>
        <w:t xml:space="preserve">Apesar de </w:t>
      </w:r>
      <w:r w:rsidR="0089298C" w:rsidRPr="002F50BD">
        <w:rPr>
          <w:rFonts w:ascii="Verdana" w:hAnsi="Verdana"/>
          <w:sz w:val="20"/>
          <w:lang w:val="pt-BR"/>
        </w:rPr>
        <w:t>estes fatos</w:t>
      </w:r>
      <w:r w:rsidR="00FE08B7">
        <w:rPr>
          <w:rFonts w:ascii="Verdana" w:hAnsi="Verdana"/>
          <w:sz w:val="20"/>
          <w:lang w:val="pt-BR"/>
        </w:rPr>
        <w:t xml:space="preserve"> </w:t>
      </w:r>
      <w:r w:rsidR="001A4D2B" w:rsidRPr="002F50BD">
        <w:rPr>
          <w:rFonts w:ascii="Verdana" w:hAnsi="Verdana"/>
          <w:sz w:val="20"/>
          <w:lang w:val="pt-BR"/>
        </w:rPr>
        <w:t xml:space="preserve">terem sido </w:t>
      </w:r>
      <w:r w:rsidR="004756C1" w:rsidRPr="002F50BD">
        <w:rPr>
          <w:rFonts w:ascii="Verdana" w:hAnsi="Verdana"/>
          <w:sz w:val="20"/>
          <w:lang w:val="pt-BR"/>
        </w:rPr>
        <w:t xml:space="preserve">denunciados </w:t>
      </w:r>
      <w:r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as </w:t>
      </w:r>
      <w:r w:rsidR="004756C1" w:rsidRPr="002F50BD">
        <w:rPr>
          <w:rFonts w:ascii="Verdana" w:hAnsi="Verdana"/>
          <w:sz w:val="20"/>
          <w:lang w:val="pt-BR"/>
        </w:rPr>
        <w:t xml:space="preserve">autoridades </w:t>
      </w:r>
      <w:r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as, n</w:t>
      </w:r>
      <w:r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houve </w:t>
      </w:r>
      <w:r w:rsidR="004756C1" w:rsidRPr="002F50BD">
        <w:rPr>
          <w:rFonts w:ascii="Verdana" w:hAnsi="Verdana"/>
          <w:sz w:val="20"/>
          <w:lang w:val="pt-BR"/>
        </w:rPr>
        <w:t xml:space="preserve">resultados. </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Durante</w:t>
      </w:r>
      <w:r w:rsidR="0089298C" w:rsidRPr="002F50BD">
        <w:rPr>
          <w:rFonts w:ascii="Verdana" w:hAnsi="Verdana"/>
          <w:sz w:val="20"/>
          <w:lang w:val="pt-BR"/>
        </w:rPr>
        <w:t xml:space="preserve"> o trâmite</w:t>
      </w:r>
      <w:r w:rsidRPr="002F50BD">
        <w:rPr>
          <w:rFonts w:ascii="Verdana" w:hAnsi="Verdana"/>
          <w:sz w:val="20"/>
          <w:lang w:val="pt-BR"/>
        </w:rPr>
        <w:t xml:space="preserve"> </w:t>
      </w:r>
      <w:r w:rsidR="0089298C" w:rsidRPr="002F50BD">
        <w:rPr>
          <w:rFonts w:ascii="Verdana" w:hAnsi="Verdana"/>
          <w:sz w:val="20"/>
          <w:lang w:val="pt-BR"/>
        </w:rPr>
        <w:t>do processo</w:t>
      </w:r>
      <w:r w:rsidRPr="002F50BD">
        <w:rPr>
          <w:rFonts w:ascii="Verdana" w:hAnsi="Verdana"/>
          <w:sz w:val="20"/>
          <w:lang w:val="pt-BR"/>
        </w:rPr>
        <w:t xml:space="preserve"> 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s,</w:t>
      </w:r>
      <w:r w:rsidR="0089298C" w:rsidRPr="002F50BD">
        <w:rPr>
          <w:rFonts w:ascii="Verdana" w:hAnsi="Verdana"/>
          <w:sz w:val="20"/>
          <w:lang w:val="pt-BR"/>
        </w:rPr>
        <w:t xml:space="preserve"> </w:t>
      </w:r>
      <w:r w:rsidR="00475EBB" w:rsidRPr="002F50BD">
        <w:rPr>
          <w:rFonts w:ascii="Verdana" w:hAnsi="Verdana"/>
          <w:sz w:val="20"/>
          <w:lang w:val="pt-BR"/>
        </w:rPr>
        <w:t>a testemunha</w:t>
      </w:r>
      <w:r w:rsidRPr="002F50BD">
        <w:rPr>
          <w:rFonts w:ascii="Verdana" w:hAnsi="Verdana"/>
          <w:sz w:val="20"/>
          <w:lang w:val="pt-BR"/>
        </w:rPr>
        <w:t xml:space="preserve"> </w:t>
      </w:r>
      <w:r w:rsidR="00CD7100" w:rsidRPr="002F50BD">
        <w:rPr>
          <w:rFonts w:ascii="Verdana" w:hAnsi="Verdana"/>
          <w:sz w:val="20"/>
          <w:lang w:val="pt-BR"/>
        </w:rPr>
        <w:t>visitou</w:t>
      </w:r>
      <w:r w:rsidRPr="002F50BD">
        <w:rPr>
          <w:rFonts w:ascii="Verdana" w:hAnsi="Verdana"/>
          <w:sz w:val="20"/>
          <w:lang w:val="pt-BR"/>
        </w:rPr>
        <w:t xml:space="preserve"> regularmente</w:t>
      </w:r>
      <w:r w:rsidR="0089298C" w:rsidRPr="002F50BD">
        <w:rPr>
          <w:rFonts w:ascii="Verdana" w:hAnsi="Verdana"/>
          <w:sz w:val="20"/>
          <w:lang w:val="pt-BR"/>
        </w:rPr>
        <w:t xml:space="preserve"> o </w:t>
      </w:r>
      <w:r w:rsidRPr="002F50BD">
        <w:rPr>
          <w:rFonts w:ascii="Verdana" w:hAnsi="Verdana"/>
          <w:sz w:val="20"/>
          <w:lang w:val="pt-BR"/>
        </w:rPr>
        <w:t xml:space="preserve">Instituto </w:t>
      </w:r>
      <w:r w:rsidR="0089298C" w:rsidRPr="002F50BD">
        <w:rPr>
          <w:rFonts w:ascii="Verdana" w:hAnsi="Verdana"/>
          <w:sz w:val="20"/>
          <w:lang w:val="pt-BR"/>
        </w:rPr>
        <w:t>Paraguai</w:t>
      </w:r>
      <w:r w:rsidRPr="002F50BD">
        <w:rPr>
          <w:rFonts w:ascii="Verdana" w:hAnsi="Verdana"/>
          <w:sz w:val="20"/>
          <w:lang w:val="pt-BR"/>
        </w:rPr>
        <w:t xml:space="preserve">o </w:t>
      </w:r>
      <w:r w:rsidR="0089298C" w:rsidRPr="002F50BD">
        <w:rPr>
          <w:rFonts w:ascii="Verdana" w:hAnsi="Verdana"/>
          <w:sz w:val="20"/>
          <w:lang w:val="pt-BR"/>
        </w:rPr>
        <w:t xml:space="preserve">do </w:t>
      </w:r>
      <w:r w:rsidRPr="002F50BD">
        <w:rPr>
          <w:rFonts w:ascii="Verdana" w:hAnsi="Verdana"/>
          <w:sz w:val="20"/>
          <w:lang w:val="pt-BR"/>
        </w:rPr>
        <w:t xml:space="preserve">Indígena para solicitar </w:t>
      </w:r>
      <w:r w:rsidR="00CD7100" w:rsidRPr="002F50BD">
        <w:rPr>
          <w:rFonts w:ascii="Verdana" w:hAnsi="Verdana"/>
          <w:sz w:val="20"/>
          <w:lang w:val="pt-BR"/>
        </w:rPr>
        <w:t>alimentos</w:t>
      </w:r>
      <w:r w:rsidRPr="002F50BD">
        <w:rPr>
          <w:rFonts w:ascii="Verdana" w:hAnsi="Verdana"/>
          <w:sz w:val="20"/>
          <w:lang w:val="pt-BR"/>
        </w:rPr>
        <w:t>, medicamentos</w:t>
      </w:r>
      <w:r w:rsidR="0089298C" w:rsidRPr="002F50BD">
        <w:rPr>
          <w:rFonts w:ascii="Verdana" w:hAnsi="Verdana"/>
          <w:sz w:val="20"/>
          <w:lang w:val="pt-BR"/>
        </w:rPr>
        <w:t xml:space="preserve"> e qualquer</w:t>
      </w:r>
      <w:r w:rsidRPr="002F50BD">
        <w:rPr>
          <w:rFonts w:ascii="Verdana" w:hAnsi="Verdana"/>
          <w:sz w:val="20"/>
          <w:lang w:val="pt-BR"/>
        </w:rPr>
        <w:t xml:space="preserve"> tipo de </w:t>
      </w:r>
      <w:r w:rsidR="0089298C" w:rsidRPr="002F50BD">
        <w:rPr>
          <w:rFonts w:ascii="Verdana" w:hAnsi="Verdana"/>
          <w:sz w:val="20"/>
          <w:lang w:val="pt-BR"/>
        </w:rPr>
        <w:t>ajuda e p</w:t>
      </w:r>
      <w:r w:rsidR="00CD7100" w:rsidRPr="002F50BD">
        <w:rPr>
          <w:rFonts w:ascii="Verdana" w:hAnsi="Verdana"/>
          <w:sz w:val="20"/>
          <w:lang w:val="pt-BR"/>
        </w:rPr>
        <w:t>ô</w:t>
      </w:r>
      <w:r w:rsidR="0089298C" w:rsidRPr="002F50BD">
        <w:rPr>
          <w:rFonts w:ascii="Verdana" w:hAnsi="Verdana"/>
          <w:sz w:val="20"/>
          <w:lang w:val="pt-BR"/>
        </w:rPr>
        <w:t xml:space="preserve">de </w:t>
      </w:r>
      <w:r w:rsidRPr="002F50BD">
        <w:rPr>
          <w:rFonts w:ascii="Verdana" w:hAnsi="Verdana"/>
          <w:sz w:val="20"/>
          <w:lang w:val="pt-BR"/>
        </w:rPr>
        <w:t>conta</w:t>
      </w:r>
      <w:r w:rsidR="004F64EE" w:rsidRPr="002F50BD">
        <w:rPr>
          <w:rFonts w:ascii="Verdana" w:hAnsi="Verdana"/>
          <w:sz w:val="20"/>
          <w:lang w:val="pt-BR"/>
        </w:rPr>
        <w:t>c</w:t>
      </w:r>
      <w:r w:rsidRPr="002F50BD">
        <w:rPr>
          <w:rFonts w:ascii="Verdana" w:hAnsi="Verdana"/>
          <w:sz w:val="20"/>
          <w:lang w:val="pt-BR"/>
        </w:rPr>
        <w:t xml:space="preserve">tar </w:t>
      </w:r>
      <w:r w:rsidR="0089298C" w:rsidRPr="002F50BD">
        <w:rPr>
          <w:rFonts w:ascii="Verdana" w:hAnsi="Verdana"/>
          <w:sz w:val="20"/>
          <w:lang w:val="pt-BR"/>
        </w:rPr>
        <w:t>pessoa</w:t>
      </w:r>
      <w:r w:rsidRPr="002F50BD">
        <w:rPr>
          <w:rFonts w:ascii="Verdana" w:hAnsi="Verdana"/>
          <w:sz w:val="20"/>
          <w:lang w:val="pt-BR"/>
        </w:rPr>
        <w:t>lmente tanto</w:t>
      </w:r>
      <w:r w:rsidR="0089298C" w:rsidRPr="002F50BD">
        <w:rPr>
          <w:rFonts w:ascii="Verdana" w:hAnsi="Verdana"/>
          <w:sz w:val="20"/>
          <w:lang w:val="pt-BR"/>
        </w:rPr>
        <w:t xml:space="preserve"> o </w:t>
      </w:r>
      <w:r w:rsidRPr="002F50BD">
        <w:rPr>
          <w:rFonts w:ascii="Verdana" w:hAnsi="Verdana"/>
          <w:sz w:val="20"/>
          <w:lang w:val="pt-BR"/>
        </w:rPr>
        <w:t>Presidente</w:t>
      </w:r>
      <w:r w:rsidR="0089298C" w:rsidRPr="002F50BD">
        <w:rPr>
          <w:rFonts w:ascii="Verdana" w:hAnsi="Verdana"/>
          <w:sz w:val="20"/>
          <w:lang w:val="pt-BR"/>
        </w:rPr>
        <w:t xml:space="preserve"> desse </w:t>
      </w:r>
      <w:r w:rsidRPr="002F50BD">
        <w:rPr>
          <w:rFonts w:ascii="Verdana" w:hAnsi="Verdana"/>
          <w:sz w:val="20"/>
          <w:lang w:val="pt-BR"/>
        </w:rPr>
        <w:t xml:space="preserve">organismo como </w:t>
      </w:r>
      <w:r w:rsidR="0089298C" w:rsidRPr="002F50BD">
        <w:rPr>
          <w:rFonts w:ascii="Verdana" w:hAnsi="Verdana"/>
          <w:sz w:val="20"/>
          <w:lang w:val="pt-BR"/>
        </w:rPr>
        <w:t>outros</w:t>
      </w:r>
      <w:r w:rsidRPr="002F50BD">
        <w:rPr>
          <w:rFonts w:ascii="Verdana" w:hAnsi="Verdana"/>
          <w:sz w:val="20"/>
          <w:lang w:val="pt-BR"/>
        </w:rPr>
        <w:t xml:space="preserve"> </w:t>
      </w:r>
      <w:r w:rsidR="0089298C" w:rsidRPr="002F50BD">
        <w:rPr>
          <w:rFonts w:ascii="Verdana" w:hAnsi="Verdana"/>
          <w:sz w:val="20"/>
          <w:lang w:val="pt-BR"/>
        </w:rPr>
        <w:t>funcionári</w:t>
      </w:r>
      <w:r w:rsidR="00CD7100" w:rsidRPr="002F50BD">
        <w:rPr>
          <w:rFonts w:ascii="Verdana" w:hAnsi="Verdana"/>
          <w:sz w:val="20"/>
          <w:lang w:val="pt-BR"/>
        </w:rPr>
        <w:t>os.</w:t>
      </w:r>
      <w:r w:rsidR="00FE08B7">
        <w:rPr>
          <w:rFonts w:ascii="Verdana" w:hAnsi="Verdana"/>
          <w:sz w:val="20"/>
          <w:lang w:val="pt-BR"/>
        </w:rPr>
        <w:t xml:space="preserve"> </w:t>
      </w:r>
      <w:r w:rsidR="00CD7100" w:rsidRPr="002F50BD">
        <w:rPr>
          <w:rFonts w:ascii="Verdana" w:hAnsi="Verdana"/>
          <w:sz w:val="20"/>
          <w:lang w:val="pt-BR"/>
        </w:rPr>
        <w:t xml:space="preserve">Às </w:t>
      </w:r>
      <w:r w:rsidR="0089298C" w:rsidRPr="002F50BD">
        <w:rPr>
          <w:rFonts w:ascii="Verdana" w:hAnsi="Verdana"/>
          <w:sz w:val="20"/>
          <w:lang w:val="pt-BR"/>
        </w:rPr>
        <w:t>vezes</w:t>
      </w:r>
      <w:r w:rsidR="000069AA" w:rsidRPr="002F50BD">
        <w:rPr>
          <w:rFonts w:ascii="Verdana" w:hAnsi="Verdana"/>
          <w:sz w:val="20"/>
          <w:lang w:val="pt-BR"/>
        </w:rPr>
        <w:t>,</w:t>
      </w:r>
      <w:r w:rsidRPr="002F50BD">
        <w:rPr>
          <w:rFonts w:ascii="Verdana" w:hAnsi="Verdana"/>
          <w:sz w:val="20"/>
          <w:lang w:val="pt-BR"/>
        </w:rPr>
        <w:t xml:space="preserve"> </w:t>
      </w:r>
      <w:r w:rsidR="00CD7100" w:rsidRPr="002F50BD">
        <w:rPr>
          <w:rFonts w:ascii="Verdana" w:hAnsi="Verdana"/>
          <w:sz w:val="20"/>
          <w:lang w:val="pt-BR"/>
        </w:rPr>
        <w:t>recebia</w:t>
      </w:r>
      <w:r w:rsidRPr="002F50BD">
        <w:rPr>
          <w:rFonts w:ascii="Verdana" w:hAnsi="Verdana"/>
          <w:sz w:val="20"/>
          <w:lang w:val="pt-BR"/>
        </w:rPr>
        <w:t xml:space="preserve"> </w:t>
      </w:r>
      <w:r w:rsidR="0089298C" w:rsidRPr="002F50BD">
        <w:rPr>
          <w:rFonts w:ascii="Verdana" w:hAnsi="Verdana"/>
          <w:sz w:val="20"/>
          <w:lang w:val="pt-BR"/>
        </w:rPr>
        <w:t>ajuda</w:t>
      </w:r>
      <w:r w:rsidRPr="002F50BD">
        <w:rPr>
          <w:rFonts w:ascii="Verdana" w:hAnsi="Verdana"/>
          <w:sz w:val="20"/>
          <w:lang w:val="pt-BR"/>
        </w:rPr>
        <w:t xml:space="preserve"> </w:t>
      </w:r>
      <w:r w:rsidR="0089298C" w:rsidRPr="002F50BD">
        <w:rPr>
          <w:rFonts w:ascii="Verdana" w:hAnsi="Verdana"/>
          <w:sz w:val="20"/>
          <w:lang w:val="pt-BR"/>
        </w:rPr>
        <w:t xml:space="preserve">do </w:t>
      </w:r>
      <w:r w:rsidRPr="002F50BD">
        <w:rPr>
          <w:rFonts w:ascii="Verdana" w:hAnsi="Verdana"/>
          <w:sz w:val="20"/>
          <w:lang w:val="pt-BR"/>
        </w:rPr>
        <w:t xml:space="preserve">INDI, </w:t>
      </w:r>
      <w:r w:rsidR="00CD7100" w:rsidRPr="002F50BD">
        <w:rPr>
          <w:rFonts w:ascii="Verdana" w:hAnsi="Verdana"/>
          <w:sz w:val="20"/>
          <w:lang w:val="pt-BR"/>
        </w:rPr>
        <w:t>às</w:t>
      </w:r>
      <w:r w:rsidRPr="002F50BD">
        <w:rPr>
          <w:rFonts w:ascii="Verdana" w:hAnsi="Verdana"/>
          <w:sz w:val="20"/>
          <w:lang w:val="pt-BR"/>
        </w:rPr>
        <w:t xml:space="preserve"> </w:t>
      </w:r>
      <w:r w:rsidR="0089298C" w:rsidRPr="002F50BD">
        <w:rPr>
          <w:rFonts w:ascii="Verdana" w:hAnsi="Verdana"/>
          <w:sz w:val="20"/>
          <w:lang w:val="pt-BR"/>
        </w:rPr>
        <w:t>vezes</w:t>
      </w:r>
      <w:r w:rsidR="000069AA" w:rsidRPr="002F50BD">
        <w:rPr>
          <w:rFonts w:ascii="Verdana" w:hAnsi="Verdana"/>
          <w:sz w:val="20"/>
          <w:lang w:val="pt-BR"/>
        </w:rPr>
        <w:t>,</w:t>
      </w:r>
      <w:r w:rsidRPr="002F50BD">
        <w:rPr>
          <w:rFonts w:ascii="Verdana" w:hAnsi="Verdana"/>
          <w:sz w:val="20"/>
          <w:lang w:val="pt-BR"/>
        </w:rPr>
        <w:t xml:space="preserve"> n</w:t>
      </w:r>
      <w:r w:rsidR="00CD7100" w:rsidRPr="002F50BD">
        <w:rPr>
          <w:rFonts w:ascii="Verdana" w:hAnsi="Verdana"/>
          <w:sz w:val="20"/>
          <w:lang w:val="pt-BR"/>
        </w:rPr>
        <w:t>ã</w:t>
      </w:r>
      <w:r w:rsidRPr="002F50BD">
        <w:rPr>
          <w:rFonts w:ascii="Verdana" w:hAnsi="Verdana"/>
          <w:sz w:val="20"/>
          <w:lang w:val="pt-BR"/>
        </w:rPr>
        <w:t>o.</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E</w:t>
      </w:r>
      <w:r w:rsidR="00CD7100"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setembro</w:t>
      </w:r>
      <w:r w:rsidRPr="002F50BD">
        <w:rPr>
          <w:rFonts w:ascii="Verdana" w:hAnsi="Verdana"/>
          <w:sz w:val="20"/>
          <w:lang w:val="pt-BR"/>
        </w:rPr>
        <w:t xml:space="preserve"> </w:t>
      </w:r>
      <w:r w:rsidR="00CD7100" w:rsidRPr="002F50BD">
        <w:rPr>
          <w:rFonts w:ascii="Verdana" w:hAnsi="Verdana"/>
          <w:sz w:val="20"/>
          <w:lang w:val="pt-BR"/>
        </w:rPr>
        <w:t xml:space="preserve">de </w:t>
      </w:r>
      <w:r w:rsidR="00063B47" w:rsidRPr="002F50BD">
        <w:rPr>
          <w:rFonts w:ascii="Verdana" w:hAnsi="Verdana"/>
          <w:sz w:val="20"/>
          <w:lang w:val="pt-BR"/>
        </w:rPr>
        <w:t>2001</w:t>
      </w:r>
      <w:r w:rsidR="000069AA" w:rsidRPr="002F50BD">
        <w:rPr>
          <w:rFonts w:ascii="Verdana" w:hAnsi="Verdana"/>
          <w:sz w:val="20"/>
          <w:lang w:val="pt-BR"/>
        </w:rPr>
        <w:t>,</w:t>
      </w:r>
      <w:r w:rsidR="0089298C" w:rsidRPr="002F50BD">
        <w:rPr>
          <w:rFonts w:ascii="Verdana" w:hAnsi="Verdana"/>
          <w:sz w:val="20"/>
          <w:lang w:val="pt-BR"/>
        </w:rPr>
        <w:t xml:space="preserve"> </w:t>
      </w:r>
      <w:r w:rsidR="00475EBB" w:rsidRPr="002F50BD">
        <w:rPr>
          <w:rFonts w:ascii="Verdana" w:hAnsi="Verdana"/>
          <w:sz w:val="20"/>
          <w:lang w:val="pt-BR"/>
        </w:rPr>
        <w:t>a testemunha</w:t>
      </w:r>
      <w:r w:rsidRPr="002F50BD">
        <w:rPr>
          <w:rFonts w:ascii="Verdana" w:hAnsi="Verdana"/>
          <w:sz w:val="20"/>
          <w:lang w:val="pt-BR"/>
        </w:rPr>
        <w:t xml:space="preserve"> </w:t>
      </w:r>
      <w:r w:rsidR="0089298C" w:rsidRPr="002F50BD">
        <w:rPr>
          <w:rFonts w:ascii="Verdana" w:hAnsi="Verdana"/>
          <w:sz w:val="20"/>
          <w:lang w:val="pt-BR"/>
        </w:rPr>
        <w:t>recebeu</w:t>
      </w:r>
      <w:r w:rsidRPr="002F50BD">
        <w:rPr>
          <w:rFonts w:ascii="Verdana" w:hAnsi="Verdana"/>
          <w:sz w:val="20"/>
          <w:lang w:val="pt-BR"/>
        </w:rPr>
        <w:t xml:space="preserve"> </w:t>
      </w:r>
      <w:r w:rsidR="00AB454A" w:rsidRPr="002F50BD">
        <w:rPr>
          <w:rFonts w:ascii="Verdana" w:hAnsi="Verdana"/>
          <w:sz w:val="20"/>
          <w:lang w:val="pt-BR"/>
        </w:rPr>
        <w:t>pressões</w:t>
      </w:r>
      <w:r w:rsidRPr="002F50BD">
        <w:rPr>
          <w:rFonts w:ascii="Verdana" w:hAnsi="Verdana"/>
          <w:sz w:val="20"/>
          <w:lang w:val="pt-BR"/>
        </w:rPr>
        <w:t xml:space="preserve"> para </w:t>
      </w:r>
      <w:r w:rsidR="0089298C" w:rsidRPr="002F50BD">
        <w:rPr>
          <w:rFonts w:ascii="Verdana" w:hAnsi="Verdana"/>
          <w:sz w:val="20"/>
          <w:lang w:val="pt-BR"/>
        </w:rPr>
        <w:t>aceit</w:t>
      </w:r>
      <w:r w:rsidRPr="002F50BD">
        <w:rPr>
          <w:rFonts w:ascii="Verdana" w:hAnsi="Verdana"/>
          <w:sz w:val="20"/>
          <w:lang w:val="pt-BR"/>
        </w:rPr>
        <w:t>ar</w:t>
      </w:r>
      <w:r w:rsidR="0089298C" w:rsidRPr="002F50BD">
        <w:rPr>
          <w:rFonts w:ascii="Verdana" w:hAnsi="Verdana"/>
          <w:sz w:val="20"/>
          <w:lang w:val="pt-BR"/>
        </w:rPr>
        <w:t xml:space="preserve"> uma </w:t>
      </w:r>
      <w:r w:rsidRPr="002F50BD">
        <w:rPr>
          <w:rFonts w:ascii="Verdana" w:hAnsi="Verdana"/>
          <w:sz w:val="20"/>
          <w:lang w:val="pt-BR"/>
        </w:rPr>
        <w:t>oferta de adjudica</w:t>
      </w:r>
      <w:r w:rsidR="0089298C" w:rsidRPr="002F50BD">
        <w:rPr>
          <w:rFonts w:ascii="Verdana" w:hAnsi="Verdana"/>
          <w:sz w:val="20"/>
          <w:lang w:val="pt-BR"/>
        </w:rPr>
        <w:t>ção</w:t>
      </w:r>
      <w:r w:rsidRPr="002F50BD">
        <w:rPr>
          <w:rFonts w:ascii="Verdana" w:hAnsi="Verdana"/>
          <w:sz w:val="20"/>
          <w:lang w:val="pt-BR"/>
        </w:rPr>
        <w:t xml:space="preserve"> de</w:t>
      </w:r>
      <w:r w:rsidR="0089298C" w:rsidRPr="002F50BD">
        <w:rPr>
          <w:rFonts w:ascii="Verdana" w:hAnsi="Verdana"/>
          <w:sz w:val="20"/>
          <w:lang w:val="pt-BR"/>
        </w:rPr>
        <w:t xml:space="preserve"> uma terra com </w:t>
      </w:r>
      <w:r w:rsidR="00063B47" w:rsidRPr="002F50BD">
        <w:rPr>
          <w:rFonts w:ascii="Verdana" w:hAnsi="Verdana"/>
          <w:sz w:val="20"/>
          <w:lang w:val="pt-BR"/>
        </w:rPr>
        <w:t>3</w:t>
      </w:r>
      <w:r w:rsidRPr="002F50BD">
        <w:rPr>
          <w:rFonts w:ascii="Verdana" w:hAnsi="Verdana"/>
          <w:sz w:val="20"/>
          <w:lang w:val="pt-BR"/>
        </w:rPr>
        <w:t>.</w:t>
      </w:r>
      <w:r w:rsidR="00063B47" w:rsidRPr="002F50BD">
        <w:rPr>
          <w:rFonts w:ascii="Verdana" w:hAnsi="Verdana"/>
          <w:sz w:val="20"/>
          <w:lang w:val="pt-BR"/>
        </w:rPr>
        <w:t>0000</w:t>
      </w:r>
      <w:r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w:t>
      </w:r>
      <w:r w:rsidR="004F64EE" w:rsidRPr="002F50BD">
        <w:rPr>
          <w:rFonts w:ascii="Verdana" w:hAnsi="Verdana"/>
          <w:sz w:val="20"/>
          <w:lang w:val="pt-BR"/>
        </w:rPr>
        <w:t>Diante d</w:t>
      </w:r>
      <w:r w:rsidRPr="002F50BD">
        <w:rPr>
          <w:rFonts w:ascii="Verdana" w:hAnsi="Verdana"/>
          <w:sz w:val="20"/>
          <w:lang w:val="pt-BR"/>
        </w:rPr>
        <w:t xml:space="preserve">estas </w:t>
      </w:r>
      <w:r w:rsidR="00AB454A" w:rsidRPr="002F50BD">
        <w:rPr>
          <w:rFonts w:ascii="Verdana" w:hAnsi="Verdana"/>
          <w:sz w:val="20"/>
          <w:lang w:val="pt-BR"/>
        </w:rPr>
        <w:t>pressões</w:t>
      </w:r>
      <w:r w:rsidRPr="002F50BD">
        <w:rPr>
          <w:rFonts w:ascii="Verdana" w:hAnsi="Verdana"/>
          <w:sz w:val="20"/>
          <w:lang w:val="pt-BR"/>
        </w:rPr>
        <w:t>,</w:t>
      </w:r>
      <w:r w:rsidR="0089298C" w:rsidRPr="002F50BD">
        <w:rPr>
          <w:rFonts w:ascii="Verdana" w:hAnsi="Verdana"/>
          <w:sz w:val="20"/>
          <w:lang w:val="pt-BR"/>
        </w:rPr>
        <w:t xml:space="preserve"> </w:t>
      </w:r>
      <w:r w:rsidR="00475EBB" w:rsidRPr="002F50BD">
        <w:rPr>
          <w:rFonts w:ascii="Verdana" w:hAnsi="Verdana"/>
          <w:sz w:val="20"/>
          <w:lang w:val="pt-BR"/>
        </w:rPr>
        <w:t>a testemunha</w:t>
      </w:r>
      <w:r w:rsidRPr="002F50BD">
        <w:rPr>
          <w:rFonts w:ascii="Verdana" w:hAnsi="Verdana"/>
          <w:sz w:val="20"/>
          <w:lang w:val="pt-BR"/>
        </w:rPr>
        <w:t xml:space="preserve"> </w:t>
      </w:r>
      <w:r w:rsidR="00CD7100" w:rsidRPr="002F50BD">
        <w:rPr>
          <w:rFonts w:ascii="Verdana" w:hAnsi="Verdana"/>
          <w:sz w:val="20"/>
          <w:lang w:val="pt-BR"/>
        </w:rPr>
        <w:t>queria</w:t>
      </w:r>
      <w:r w:rsidRPr="002F50BD">
        <w:rPr>
          <w:rFonts w:ascii="Verdana" w:hAnsi="Verdana"/>
          <w:sz w:val="20"/>
          <w:lang w:val="pt-BR"/>
        </w:rPr>
        <w:t xml:space="preserve"> renunciar como líder, </w:t>
      </w:r>
      <w:r w:rsidR="0089298C" w:rsidRPr="002F50BD">
        <w:rPr>
          <w:rFonts w:ascii="Verdana" w:hAnsi="Verdana"/>
          <w:sz w:val="20"/>
          <w:lang w:val="pt-BR"/>
        </w:rPr>
        <w:t>mas a maioria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se </w:t>
      </w:r>
      <w:r w:rsidR="0089298C" w:rsidRPr="002F50BD">
        <w:rPr>
          <w:rFonts w:ascii="Verdana" w:hAnsi="Verdana"/>
          <w:sz w:val="20"/>
          <w:lang w:val="pt-BR"/>
        </w:rPr>
        <w:t>neg</w:t>
      </w:r>
      <w:r w:rsidR="00CD7100" w:rsidRPr="002F50BD">
        <w:rPr>
          <w:rFonts w:ascii="Verdana" w:hAnsi="Verdana"/>
          <w:sz w:val="20"/>
          <w:lang w:val="pt-BR"/>
        </w:rPr>
        <w:t>ou</w:t>
      </w:r>
      <w:r w:rsidRPr="002F50BD">
        <w:rPr>
          <w:rFonts w:ascii="Verdana" w:hAnsi="Verdana"/>
          <w:sz w:val="20"/>
          <w:lang w:val="pt-BR"/>
        </w:rPr>
        <w:t xml:space="preserve">. </w:t>
      </w:r>
      <w:r w:rsidR="00CD7100" w:rsidRPr="002F50BD">
        <w:rPr>
          <w:rFonts w:ascii="Verdana" w:hAnsi="Verdana"/>
          <w:sz w:val="20"/>
          <w:lang w:val="pt-BR"/>
        </w:rPr>
        <w:t>O</w:t>
      </w:r>
      <w:r w:rsidR="0089298C" w:rsidRPr="002F50BD">
        <w:rPr>
          <w:rFonts w:ascii="Verdana" w:hAnsi="Verdana"/>
          <w:sz w:val="20"/>
          <w:lang w:val="pt-BR"/>
        </w:rPr>
        <w:t>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se </w:t>
      </w:r>
      <w:r w:rsidR="00475EBB" w:rsidRPr="002F50BD">
        <w:rPr>
          <w:rFonts w:ascii="Verdana" w:hAnsi="Verdana"/>
          <w:sz w:val="20"/>
          <w:lang w:val="pt-BR"/>
        </w:rPr>
        <w:t>reuniram</w:t>
      </w:r>
      <w:r w:rsidRPr="002F50BD">
        <w:rPr>
          <w:rFonts w:ascii="Verdana" w:hAnsi="Verdana"/>
          <w:sz w:val="20"/>
          <w:lang w:val="pt-BR"/>
        </w:rPr>
        <w:t>,</w:t>
      </w:r>
      <w:r w:rsidR="0089298C" w:rsidRPr="002F50BD">
        <w:rPr>
          <w:rFonts w:ascii="Verdana" w:hAnsi="Verdana"/>
          <w:sz w:val="20"/>
          <w:lang w:val="pt-BR"/>
        </w:rPr>
        <w:t xml:space="preserve"> a maioria</w:t>
      </w:r>
      <w:r w:rsidRPr="002F50BD">
        <w:rPr>
          <w:rFonts w:ascii="Verdana" w:hAnsi="Verdana"/>
          <w:sz w:val="20"/>
          <w:lang w:val="pt-BR"/>
        </w:rPr>
        <w:t xml:space="preserve"> n</w:t>
      </w:r>
      <w:r w:rsidR="00CD7100"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 xml:space="preserve">aceitou a </w:t>
      </w:r>
      <w:r w:rsidRPr="002F50BD">
        <w:rPr>
          <w:rFonts w:ascii="Verdana" w:hAnsi="Verdana"/>
          <w:sz w:val="20"/>
          <w:lang w:val="pt-BR"/>
        </w:rPr>
        <w:t xml:space="preserve">oferta, </w:t>
      </w:r>
      <w:r w:rsidR="0089298C" w:rsidRPr="002F50BD">
        <w:rPr>
          <w:rFonts w:ascii="Verdana" w:hAnsi="Verdana"/>
          <w:sz w:val="20"/>
          <w:lang w:val="pt-BR"/>
        </w:rPr>
        <w:t>mas</w:t>
      </w:r>
      <w:r w:rsidRPr="002F50BD">
        <w:rPr>
          <w:rFonts w:ascii="Verdana" w:hAnsi="Verdana"/>
          <w:sz w:val="20"/>
          <w:lang w:val="pt-BR"/>
        </w:rPr>
        <w:t xml:space="preserve"> </w:t>
      </w:r>
      <w:r w:rsidR="0089298C" w:rsidRPr="002F50BD">
        <w:rPr>
          <w:rFonts w:ascii="Verdana" w:hAnsi="Verdana"/>
          <w:sz w:val="20"/>
          <w:lang w:val="pt-BR"/>
        </w:rPr>
        <w:t xml:space="preserve">outros </w:t>
      </w:r>
      <w:r w:rsidR="00CD7100" w:rsidRPr="002F50BD">
        <w:rPr>
          <w:rFonts w:ascii="Verdana" w:hAnsi="Verdana"/>
          <w:sz w:val="20"/>
          <w:lang w:val="pt-BR"/>
        </w:rPr>
        <w:t>a aceitaram</w:t>
      </w:r>
      <w:r w:rsidRPr="002F50BD">
        <w:rPr>
          <w:rFonts w:ascii="Verdana" w:hAnsi="Verdana"/>
          <w:sz w:val="20"/>
          <w:lang w:val="pt-BR"/>
        </w:rPr>
        <w:t xml:space="preserve">, </w:t>
      </w:r>
      <w:r w:rsidR="00CD7100" w:rsidRPr="002F50BD">
        <w:rPr>
          <w:rFonts w:ascii="Verdana" w:hAnsi="Verdana"/>
          <w:sz w:val="20"/>
          <w:lang w:val="pt-BR"/>
        </w:rPr>
        <w:t xml:space="preserve">de maneira </w:t>
      </w:r>
      <w:r w:rsidRPr="002F50BD">
        <w:rPr>
          <w:rFonts w:ascii="Verdana" w:hAnsi="Verdana"/>
          <w:sz w:val="20"/>
          <w:lang w:val="pt-BR"/>
        </w:rPr>
        <w:t>que</w:t>
      </w:r>
      <w:r w:rsidR="0089298C" w:rsidRPr="002F50BD">
        <w:rPr>
          <w:rFonts w:ascii="Verdana" w:hAnsi="Verdana"/>
          <w:sz w:val="20"/>
          <w:lang w:val="pt-BR"/>
        </w:rPr>
        <w:t xml:space="preserve"> </w:t>
      </w:r>
      <w:r w:rsidR="00475EBB" w:rsidRPr="002F50BD">
        <w:rPr>
          <w:rFonts w:ascii="Verdana" w:hAnsi="Verdana"/>
          <w:sz w:val="20"/>
          <w:lang w:val="pt-BR"/>
        </w:rPr>
        <w:t>a testemunha</w:t>
      </w:r>
      <w:r w:rsidR="00CD7100" w:rsidRPr="002F50BD">
        <w:rPr>
          <w:rFonts w:ascii="Verdana" w:hAnsi="Verdana"/>
          <w:sz w:val="20"/>
          <w:lang w:val="pt-BR"/>
        </w:rPr>
        <w:t>, muito nervoso,</w:t>
      </w:r>
      <w:r w:rsidRPr="002F50BD">
        <w:rPr>
          <w:rFonts w:ascii="Verdana" w:hAnsi="Verdana"/>
          <w:sz w:val="20"/>
          <w:lang w:val="pt-BR"/>
        </w:rPr>
        <w:t xml:space="preserve"> </w:t>
      </w:r>
      <w:r w:rsidR="00475EBB" w:rsidRPr="002F50BD">
        <w:rPr>
          <w:rFonts w:ascii="Verdana" w:hAnsi="Verdana"/>
          <w:sz w:val="20"/>
          <w:lang w:val="pt-BR"/>
        </w:rPr>
        <w:t>assinou</w:t>
      </w:r>
      <w:r w:rsidRPr="002F50BD">
        <w:rPr>
          <w:rFonts w:ascii="Verdana" w:hAnsi="Verdana"/>
          <w:sz w:val="20"/>
          <w:lang w:val="pt-BR"/>
        </w:rPr>
        <w:t xml:space="preserve"> </w:t>
      </w:r>
      <w:r w:rsidR="0089298C" w:rsidRPr="002F50BD">
        <w:rPr>
          <w:rFonts w:ascii="Verdana" w:hAnsi="Verdana"/>
          <w:sz w:val="20"/>
          <w:lang w:val="pt-BR"/>
        </w:rPr>
        <w:t>certa</w:t>
      </w:r>
      <w:r w:rsidRPr="002F50BD">
        <w:rPr>
          <w:rFonts w:ascii="Verdana" w:hAnsi="Verdana"/>
          <w:sz w:val="20"/>
          <w:lang w:val="pt-BR"/>
        </w:rPr>
        <w:t xml:space="preserve"> documenta</w:t>
      </w:r>
      <w:r w:rsidR="0089298C" w:rsidRPr="002F50BD">
        <w:rPr>
          <w:rFonts w:ascii="Verdana" w:hAnsi="Verdana"/>
          <w:sz w:val="20"/>
          <w:lang w:val="pt-BR"/>
        </w:rPr>
        <w:t>ção</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Igualmente,</w:t>
      </w:r>
      <w:r w:rsidR="0089298C" w:rsidRPr="002F50BD">
        <w:rPr>
          <w:rFonts w:ascii="Verdana" w:hAnsi="Verdana"/>
          <w:sz w:val="20"/>
          <w:lang w:val="pt-BR"/>
        </w:rPr>
        <w:t xml:space="preserve"> a Comunidade recebeu</w:t>
      </w:r>
      <w:r w:rsidRPr="002F50BD">
        <w:rPr>
          <w:rFonts w:ascii="Verdana" w:hAnsi="Verdana"/>
          <w:sz w:val="20"/>
          <w:lang w:val="pt-BR"/>
        </w:rPr>
        <w:t xml:space="preserve"> </w:t>
      </w:r>
      <w:r w:rsidR="0089298C" w:rsidRPr="002F50BD">
        <w:rPr>
          <w:rFonts w:ascii="Verdana" w:hAnsi="Verdana"/>
          <w:sz w:val="20"/>
          <w:lang w:val="pt-BR"/>
        </w:rPr>
        <w:t>outra</w:t>
      </w:r>
      <w:r w:rsidRPr="002F50BD">
        <w:rPr>
          <w:rFonts w:ascii="Verdana" w:hAnsi="Verdana"/>
          <w:sz w:val="20"/>
          <w:lang w:val="pt-BR"/>
        </w:rPr>
        <w:t xml:space="preserve">s ofertas de </w:t>
      </w:r>
      <w:r w:rsidR="0089298C" w:rsidRPr="002F50BD">
        <w:rPr>
          <w:rFonts w:ascii="Verdana" w:hAnsi="Verdana"/>
          <w:sz w:val="20"/>
          <w:lang w:val="pt-BR"/>
        </w:rPr>
        <w:t>terra</w:t>
      </w:r>
      <w:r w:rsidRPr="002F50BD">
        <w:rPr>
          <w:rFonts w:ascii="Verdana" w:hAnsi="Verdana"/>
          <w:sz w:val="20"/>
          <w:lang w:val="pt-BR"/>
        </w:rPr>
        <w:t>s</w:t>
      </w:r>
      <w:r w:rsidR="00CD7100" w:rsidRPr="002F50BD">
        <w:rPr>
          <w:rFonts w:ascii="Verdana" w:hAnsi="Verdana"/>
          <w:sz w:val="20"/>
          <w:lang w:val="pt-BR"/>
        </w:rPr>
        <w:t>. Em</w:t>
      </w:r>
      <w:r w:rsidR="0089298C" w:rsidRPr="002F50BD">
        <w:rPr>
          <w:rFonts w:ascii="Verdana" w:hAnsi="Verdana"/>
          <w:sz w:val="20"/>
          <w:lang w:val="pt-BR"/>
        </w:rPr>
        <w:t xml:space="preserve"> </w:t>
      </w:r>
      <w:r w:rsidRPr="002F50BD">
        <w:rPr>
          <w:rFonts w:ascii="Verdana" w:hAnsi="Verdana"/>
          <w:sz w:val="20"/>
          <w:lang w:val="pt-BR"/>
        </w:rPr>
        <w:t>d</w:t>
      </w:r>
      <w:r w:rsidR="00CD7100" w:rsidRPr="002F50BD">
        <w:rPr>
          <w:rFonts w:ascii="Verdana" w:hAnsi="Verdana"/>
          <w:sz w:val="20"/>
          <w:lang w:val="pt-BR"/>
        </w:rPr>
        <w:t>ua</w:t>
      </w:r>
      <w:r w:rsidRPr="002F50BD">
        <w:rPr>
          <w:rFonts w:ascii="Verdana" w:hAnsi="Verdana"/>
          <w:sz w:val="20"/>
          <w:lang w:val="pt-BR"/>
        </w:rPr>
        <w:t>s oportunidades</w:t>
      </w:r>
      <w:r w:rsidR="000069AA"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Instituto </w:t>
      </w:r>
      <w:r w:rsidR="0089298C" w:rsidRPr="002F50BD">
        <w:rPr>
          <w:rFonts w:ascii="Verdana" w:hAnsi="Verdana"/>
          <w:sz w:val="20"/>
          <w:lang w:val="pt-BR"/>
        </w:rPr>
        <w:t>Paraguai</w:t>
      </w:r>
      <w:r w:rsidRPr="002F50BD">
        <w:rPr>
          <w:rFonts w:ascii="Verdana" w:hAnsi="Verdana"/>
          <w:sz w:val="20"/>
          <w:lang w:val="pt-BR"/>
        </w:rPr>
        <w:t xml:space="preserve">o </w:t>
      </w:r>
      <w:r w:rsidR="0089298C" w:rsidRPr="002F50BD">
        <w:rPr>
          <w:rFonts w:ascii="Verdana" w:hAnsi="Verdana"/>
          <w:sz w:val="20"/>
          <w:lang w:val="pt-BR"/>
        </w:rPr>
        <w:t xml:space="preserve">do </w:t>
      </w:r>
      <w:r w:rsidRPr="002F50BD">
        <w:rPr>
          <w:rFonts w:ascii="Verdana" w:hAnsi="Verdana"/>
          <w:sz w:val="20"/>
          <w:lang w:val="pt-BR"/>
        </w:rPr>
        <w:t>Indígena l</w:t>
      </w:r>
      <w:r w:rsidR="00CD7100" w:rsidRPr="002F50BD">
        <w:rPr>
          <w:rFonts w:ascii="Verdana" w:hAnsi="Verdana"/>
          <w:sz w:val="20"/>
          <w:lang w:val="pt-BR"/>
        </w:rPr>
        <w:t>h</w:t>
      </w:r>
      <w:r w:rsidRPr="002F50BD">
        <w:rPr>
          <w:rFonts w:ascii="Verdana" w:hAnsi="Verdana"/>
          <w:sz w:val="20"/>
          <w:lang w:val="pt-BR"/>
        </w:rPr>
        <w:t xml:space="preserve">e </w:t>
      </w:r>
      <w:r w:rsidR="0089298C" w:rsidRPr="002F50BD">
        <w:rPr>
          <w:rFonts w:ascii="Verdana" w:hAnsi="Verdana"/>
          <w:sz w:val="20"/>
          <w:lang w:val="pt-BR"/>
        </w:rPr>
        <w:t>ofereceu uma terra</w:t>
      </w:r>
      <w:r w:rsidRPr="002F50BD">
        <w:rPr>
          <w:rFonts w:ascii="Verdana" w:hAnsi="Verdana"/>
          <w:sz w:val="20"/>
          <w:lang w:val="pt-BR"/>
        </w:rPr>
        <w:t xml:space="preserve"> de </w:t>
      </w:r>
      <w:r w:rsidR="00063B47" w:rsidRPr="002F50BD">
        <w:rPr>
          <w:rFonts w:ascii="Verdana" w:hAnsi="Verdana"/>
          <w:sz w:val="20"/>
          <w:lang w:val="pt-BR"/>
        </w:rPr>
        <w:t>25</w:t>
      </w:r>
      <w:r w:rsidRPr="002F50BD">
        <w:rPr>
          <w:rFonts w:ascii="Verdana" w:hAnsi="Verdana"/>
          <w:sz w:val="20"/>
          <w:lang w:val="pt-BR"/>
        </w:rPr>
        <w:t>.</w:t>
      </w:r>
      <w:r w:rsidR="00063B47" w:rsidRPr="002F50BD">
        <w:rPr>
          <w:rFonts w:ascii="Verdana" w:hAnsi="Verdana"/>
          <w:sz w:val="20"/>
          <w:lang w:val="pt-BR"/>
        </w:rPr>
        <w:t>000</w:t>
      </w:r>
      <w:r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w:t>
      </w:r>
      <w:r w:rsidR="0089298C" w:rsidRPr="002F50BD">
        <w:rPr>
          <w:rFonts w:ascii="Verdana" w:hAnsi="Verdana"/>
          <w:sz w:val="20"/>
          <w:lang w:val="pt-BR"/>
        </w:rPr>
        <w:t>Mas</w:t>
      </w:r>
      <w:r w:rsidRPr="002F50BD">
        <w:rPr>
          <w:rFonts w:ascii="Verdana" w:hAnsi="Verdana"/>
          <w:sz w:val="20"/>
          <w:lang w:val="pt-BR"/>
        </w:rPr>
        <w:t>, como</w:t>
      </w:r>
      <w:r w:rsidR="00AB454A" w:rsidRPr="002F50BD">
        <w:rPr>
          <w:rFonts w:ascii="Verdana" w:hAnsi="Verdana"/>
          <w:sz w:val="20"/>
          <w:lang w:val="pt-BR"/>
        </w:rPr>
        <w:t xml:space="preserve"> houve </w:t>
      </w:r>
      <w:r w:rsidR="0089298C" w:rsidRPr="002F50BD">
        <w:rPr>
          <w:rFonts w:ascii="Verdana" w:hAnsi="Verdana"/>
          <w:sz w:val="20"/>
          <w:lang w:val="pt-BR"/>
        </w:rPr>
        <w:t xml:space="preserve">um </w:t>
      </w:r>
      <w:r w:rsidRPr="002F50BD">
        <w:rPr>
          <w:rFonts w:ascii="Verdana" w:hAnsi="Verdana"/>
          <w:sz w:val="20"/>
          <w:lang w:val="pt-BR"/>
        </w:rPr>
        <w:t xml:space="preserve">pedido </w:t>
      </w:r>
      <w:r w:rsidR="0089298C" w:rsidRPr="002F50BD">
        <w:rPr>
          <w:rFonts w:ascii="Verdana" w:hAnsi="Verdana"/>
          <w:sz w:val="20"/>
          <w:lang w:val="pt-BR"/>
        </w:rPr>
        <w:t>prévio</w:t>
      </w:r>
      <w:r w:rsidRPr="002F50BD">
        <w:rPr>
          <w:rFonts w:ascii="Verdana" w:hAnsi="Verdana"/>
          <w:sz w:val="20"/>
          <w:lang w:val="pt-BR"/>
        </w:rPr>
        <w:t xml:space="preserve"> de</w:t>
      </w:r>
      <w:r w:rsidR="0089298C" w:rsidRPr="002F50BD">
        <w:rPr>
          <w:rFonts w:ascii="Verdana" w:hAnsi="Verdana"/>
          <w:sz w:val="20"/>
          <w:lang w:val="pt-BR"/>
        </w:rPr>
        <w:t xml:space="preserve"> outra comunidade </w:t>
      </w:r>
      <w:r w:rsidRPr="002F50BD">
        <w:rPr>
          <w:rFonts w:ascii="Verdana" w:hAnsi="Verdana"/>
          <w:sz w:val="20"/>
          <w:lang w:val="pt-BR"/>
        </w:rPr>
        <w:t>indígena sobre</w:t>
      </w:r>
      <w:r w:rsidR="0089298C" w:rsidRPr="002F50BD">
        <w:rPr>
          <w:rFonts w:ascii="Verdana" w:hAnsi="Verdana"/>
          <w:sz w:val="20"/>
          <w:lang w:val="pt-BR"/>
        </w:rPr>
        <w:t xml:space="preserve"> essa terra e a Comunidade </w:t>
      </w:r>
      <w:r w:rsidRPr="002F50BD">
        <w:rPr>
          <w:rFonts w:ascii="Verdana" w:hAnsi="Verdana"/>
          <w:sz w:val="20"/>
          <w:lang w:val="pt-BR"/>
        </w:rPr>
        <w:t>Yakye Axa n</w:t>
      </w:r>
      <w:r w:rsidR="00CD7100"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chegou</w:t>
      </w:r>
      <w:r w:rsidRPr="002F50BD">
        <w:rPr>
          <w:rFonts w:ascii="Verdana" w:hAnsi="Verdana"/>
          <w:sz w:val="20"/>
          <w:lang w:val="pt-BR"/>
        </w:rPr>
        <w:t xml:space="preserve"> a</w:t>
      </w:r>
      <w:r w:rsidR="0089298C" w:rsidRPr="002F50BD">
        <w:rPr>
          <w:rFonts w:ascii="Verdana" w:hAnsi="Verdana"/>
          <w:sz w:val="20"/>
          <w:lang w:val="pt-BR"/>
        </w:rPr>
        <w:t xml:space="preserve"> um acordo com ele</w:t>
      </w:r>
      <w:r w:rsidRPr="002F50BD">
        <w:rPr>
          <w:rFonts w:ascii="Verdana" w:hAnsi="Verdana"/>
          <w:sz w:val="20"/>
          <w:lang w:val="pt-BR"/>
        </w:rPr>
        <w:t xml:space="preserve">s, </w:t>
      </w:r>
      <w:r w:rsidR="004F64EE" w:rsidRPr="002F50BD">
        <w:rPr>
          <w:rFonts w:ascii="Verdana" w:hAnsi="Verdana"/>
          <w:sz w:val="20"/>
          <w:lang w:val="pt-BR"/>
        </w:rPr>
        <w:t xml:space="preserve">esta oferta </w:t>
      </w:r>
      <w:r w:rsidRPr="002F50BD">
        <w:rPr>
          <w:rFonts w:ascii="Verdana" w:hAnsi="Verdana"/>
          <w:sz w:val="20"/>
          <w:lang w:val="pt-BR"/>
        </w:rPr>
        <w:t>n</w:t>
      </w:r>
      <w:r w:rsidR="00CD7100" w:rsidRPr="002F50BD">
        <w:rPr>
          <w:rFonts w:ascii="Verdana" w:hAnsi="Verdana"/>
          <w:sz w:val="20"/>
          <w:lang w:val="pt-BR"/>
        </w:rPr>
        <w:t>ã</w:t>
      </w:r>
      <w:r w:rsidRPr="002F50BD">
        <w:rPr>
          <w:rFonts w:ascii="Verdana" w:hAnsi="Verdana"/>
          <w:sz w:val="20"/>
          <w:lang w:val="pt-BR"/>
        </w:rPr>
        <w:t xml:space="preserve">o </w:t>
      </w:r>
      <w:r w:rsidR="00CD7100" w:rsidRPr="002F50BD">
        <w:rPr>
          <w:rFonts w:ascii="Verdana" w:hAnsi="Verdana"/>
          <w:sz w:val="20"/>
          <w:lang w:val="pt-BR"/>
        </w:rPr>
        <w:t>foi aceita</w:t>
      </w:r>
      <w:r w:rsidRPr="002F50BD">
        <w:rPr>
          <w:rFonts w:ascii="Verdana" w:hAnsi="Verdana"/>
          <w:sz w:val="20"/>
          <w:lang w:val="pt-BR"/>
        </w:rPr>
        <w:t>.</w:t>
      </w:r>
      <w:r w:rsidR="00FE08B7">
        <w:rPr>
          <w:rFonts w:ascii="Verdana" w:hAnsi="Verdana"/>
          <w:sz w:val="20"/>
          <w:lang w:val="pt-BR"/>
        </w:rPr>
        <w:t xml:space="preserve"> </w:t>
      </w:r>
      <w:r w:rsidR="00CD7100" w:rsidRPr="002F50BD">
        <w:rPr>
          <w:rFonts w:ascii="Verdana" w:hAnsi="Verdana"/>
          <w:sz w:val="20"/>
          <w:lang w:val="pt-BR"/>
        </w:rPr>
        <w:t>F</w:t>
      </w:r>
      <w:r w:rsidR="0089298C" w:rsidRPr="002F50BD">
        <w:rPr>
          <w:rFonts w:ascii="Verdana" w:hAnsi="Verdana"/>
          <w:sz w:val="20"/>
          <w:lang w:val="pt-BR"/>
        </w:rPr>
        <w:t>oi melhor</w:t>
      </w:r>
      <w:r w:rsidRPr="002F50BD">
        <w:rPr>
          <w:rFonts w:ascii="Verdana" w:hAnsi="Verdana"/>
          <w:sz w:val="20"/>
          <w:lang w:val="pt-BR"/>
        </w:rPr>
        <w:t xml:space="preserve"> n</w:t>
      </w:r>
      <w:r w:rsidR="00CD7100"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aceit</w:t>
      </w:r>
      <w:r w:rsidRPr="002F50BD">
        <w:rPr>
          <w:rFonts w:ascii="Verdana" w:hAnsi="Verdana"/>
          <w:sz w:val="20"/>
          <w:lang w:val="pt-BR"/>
        </w:rPr>
        <w:t>ar</w:t>
      </w:r>
      <w:r w:rsidR="0089298C" w:rsidRPr="002F50BD">
        <w:rPr>
          <w:rFonts w:ascii="Verdana" w:hAnsi="Verdana"/>
          <w:sz w:val="20"/>
          <w:lang w:val="pt-BR"/>
        </w:rPr>
        <w:t xml:space="preserve"> e </w:t>
      </w:r>
      <w:r w:rsidR="00CD7100" w:rsidRPr="002F50BD">
        <w:rPr>
          <w:rFonts w:ascii="Verdana" w:hAnsi="Verdana"/>
          <w:sz w:val="20"/>
          <w:lang w:val="pt-BR"/>
        </w:rPr>
        <w:t>deixá-lo</w:t>
      </w:r>
      <w:r w:rsidR="00AB6727" w:rsidRPr="002F50BD">
        <w:rPr>
          <w:rFonts w:ascii="Verdana" w:hAnsi="Verdana"/>
          <w:sz w:val="20"/>
          <w:lang w:val="pt-BR"/>
        </w:rPr>
        <w:t xml:space="preserve">s </w:t>
      </w:r>
      <w:r w:rsidR="0089298C" w:rsidRPr="002F50BD">
        <w:rPr>
          <w:rFonts w:ascii="Verdana" w:hAnsi="Verdana"/>
          <w:sz w:val="20"/>
          <w:lang w:val="pt-BR"/>
        </w:rPr>
        <w:t xml:space="preserve">em </w:t>
      </w:r>
      <w:r w:rsidRPr="002F50BD">
        <w:rPr>
          <w:rFonts w:ascii="Verdana" w:hAnsi="Verdana"/>
          <w:sz w:val="20"/>
          <w:lang w:val="pt-BR"/>
        </w:rPr>
        <w:t>paz</w:t>
      </w:r>
      <w:r w:rsidR="00CD7100" w:rsidRPr="002F50BD">
        <w:rPr>
          <w:rFonts w:ascii="Verdana" w:hAnsi="Verdana"/>
          <w:sz w:val="20"/>
          <w:lang w:val="pt-BR"/>
        </w:rPr>
        <w:t>. Em</w:t>
      </w:r>
      <w:r w:rsidR="0089298C" w:rsidRPr="002F50BD">
        <w:rPr>
          <w:rFonts w:ascii="Verdana" w:hAnsi="Verdana"/>
          <w:sz w:val="20"/>
          <w:lang w:val="pt-BR"/>
        </w:rPr>
        <w:t xml:space="preserve"> outra </w:t>
      </w:r>
      <w:r w:rsidRPr="002F50BD">
        <w:rPr>
          <w:rFonts w:ascii="Verdana" w:hAnsi="Verdana"/>
          <w:sz w:val="20"/>
          <w:lang w:val="pt-BR"/>
        </w:rPr>
        <w:t>oportu</w:t>
      </w:r>
      <w:r w:rsidR="00AB454A" w:rsidRPr="002F50BD">
        <w:rPr>
          <w:rFonts w:ascii="Verdana" w:hAnsi="Verdana"/>
          <w:sz w:val="20"/>
          <w:lang w:val="pt-BR"/>
        </w:rPr>
        <w:t xml:space="preserve">nidade, </w:t>
      </w:r>
      <w:r w:rsidR="0089298C" w:rsidRPr="002F50BD">
        <w:rPr>
          <w:rFonts w:ascii="Verdana" w:hAnsi="Verdana"/>
          <w:sz w:val="20"/>
          <w:lang w:val="pt-BR"/>
        </w:rPr>
        <w:t xml:space="preserve">a Comunidade </w:t>
      </w:r>
      <w:r w:rsidR="00CD7100" w:rsidRPr="002F50BD">
        <w:rPr>
          <w:rFonts w:ascii="Verdana" w:hAnsi="Verdana"/>
          <w:sz w:val="20"/>
          <w:lang w:val="pt-BR"/>
        </w:rPr>
        <w:t xml:space="preserve">rejeitou </w:t>
      </w:r>
      <w:r w:rsidR="0089298C" w:rsidRPr="002F50BD">
        <w:rPr>
          <w:rFonts w:ascii="Verdana" w:hAnsi="Verdana"/>
          <w:sz w:val="20"/>
          <w:lang w:val="pt-BR"/>
        </w:rPr>
        <w:t xml:space="preserve">uma </w:t>
      </w:r>
      <w:r w:rsidRPr="002F50BD">
        <w:rPr>
          <w:rFonts w:ascii="Verdana" w:hAnsi="Verdana"/>
          <w:sz w:val="20"/>
          <w:lang w:val="pt-BR"/>
        </w:rPr>
        <w:t>exprop</w:t>
      </w:r>
      <w:r w:rsidR="00CD7100" w:rsidRPr="002F50BD">
        <w:rPr>
          <w:rFonts w:ascii="Verdana" w:hAnsi="Verdana"/>
          <w:sz w:val="20"/>
          <w:lang w:val="pt-BR"/>
        </w:rPr>
        <w:t>r</w:t>
      </w:r>
      <w:r w:rsidRPr="002F50BD">
        <w:rPr>
          <w:rFonts w:ascii="Verdana" w:hAnsi="Verdana"/>
          <w:sz w:val="20"/>
          <w:lang w:val="pt-BR"/>
        </w:rPr>
        <w:t>ia</w:t>
      </w:r>
      <w:r w:rsidR="0089298C" w:rsidRPr="002F50BD">
        <w:rPr>
          <w:rFonts w:ascii="Verdana" w:hAnsi="Verdana"/>
          <w:sz w:val="20"/>
          <w:lang w:val="pt-BR"/>
        </w:rPr>
        <w:t>ção</w:t>
      </w:r>
      <w:r w:rsidRPr="002F50BD">
        <w:rPr>
          <w:rFonts w:ascii="Verdana" w:hAnsi="Verdana"/>
          <w:sz w:val="20"/>
          <w:lang w:val="pt-BR"/>
        </w:rPr>
        <w:t xml:space="preserve"> de </w:t>
      </w:r>
      <w:r w:rsidR="00063B47" w:rsidRPr="002F50BD">
        <w:rPr>
          <w:rFonts w:ascii="Verdana" w:hAnsi="Verdana"/>
          <w:sz w:val="20"/>
          <w:lang w:val="pt-BR"/>
        </w:rPr>
        <w:t>15</w:t>
      </w:r>
      <w:r w:rsidRPr="002F50BD">
        <w:rPr>
          <w:rFonts w:ascii="Verdana" w:hAnsi="Verdana"/>
          <w:sz w:val="20"/>
          <w:lang w:val="pt-BR"/>
        </w:rPr>
        <w:t>.</w:t>
      </w:r>
      <w:r w:rsidR="00063B47" w:rsidRPr="002F50BD">
        <w:rPr>
          <w:rFonts w:ascii="Verdana" w:hAnsi="Verdana"/>
          <w:sz w:val="20"/>
          <w:lang w:val="pt-BR"/>
        </w:rPr>
        <w:t>000</w:t>
      </w:r>
      <w:r w:rsidRPr="002F50BD">
        <w:rPr>
          <w:rFonts w:ascii="Verdana" w:hAnsi="Verdana"/>
          <w:sz w:val="20"/>
          <w:lang w:val="pt-BR"/>
        </w:rPr>
        <w:t xml:space="preserve"> </w:t>
      </w:r>
      <w:r w:rsidR="00E10DBB" w:rsidRPr="002F50BD">
        <w:rPr>
          <w:rFonts w:ascii="Verdana" w:hAnsi="Verdana"/>
          <w:sz w:val="20"/>
          <w:lang w:val="pt-BR"/>
        </w:rPr>
        <w:t>hectares</w:t>
      </w:r>
      <w:r w:rsidR="0089298C" w:rsidRPr="002F50BD">
        <w:rPr>
          <w:rFonts w:ascii="Verdana" w:hAnsi="Verdana"/>
          <w:sz w:val="20"/>
          <w:lang w:val="pt-BR"/>
        </w:rPr>
        <w:t xml:space="preserve"> na terra dos </w:t>
      </w:r>
      <w:r w:rsidRPr="002F50BD">
        <w:rPr>
          <w:rFonts w:ascii="Verdana" w:hAnsi="Verdana"/>
          <w:sz w:val="20"/>
          <w:lang w:val="pt-BR"/>
        </w:rPr>
        <w:t>Chanawatsan,</w:t>
      </w:r>
      <w:r w:rsidR="0089298C" w:rsidRPr="002F50BD">
        <w:rPr>
          <w:rFonts w:ascii="Verdana" w:hAnsi="Verdana"/>
          <w:sz w:val="20"/>
          <w:lang w:val="pt-BR"/>
        </w:rPr>
        <w:t xml:space="preserve"> em </w:t>
      </w:r>
      <w:r w:rsidRPr="002F50BD">
        <w:rPr>
          <w:rFonts w:ascii="Verdana" w:hAnsi="Verdana"/>
          <w:sz w:val="20"/>
          <w:lang w:val="pt-BR"/>
        </w:rPr>
        <w:t>Naranjaty,</w:t>
      </w:r>
      <w:r w:rsidR="0089298C" w:rsidRPr="002F50BD">
        <w:rPr>
          <w:rFonts w:ascii="Verdana" w:hAnsi="Verdana"/>
          <w:sz w:val="20"/>
          <w:lang w:val="pt-BR"/>
        </w:rPr>
        <w:t xml:space="preserve"> </w:t>
      </w:r>
      <w:r w:rsidR="00CD7100" w:rsidRPr="002F50BD">
        <w:rPr>
          <w:rFonts w:ascii="Verdana" w:hAnsi="Verdana"/>
          <w:sz w:val="20"/>
          <w:lang w:val="pt-BR"/>
        </w:rPr>
        <w:t xml:space="preserve">a respeito </w:t>
      </w:r>
      <w:r w:rsidR="0089298C" w:rsidRPr="002F50BD">
        <w:rPr>
          <w:rFonts w:ascii="Verdana" w:hAnsi="Verdana"/>
          <w:sz w:val="20"/>
          <w:lang w:val="pt-BR"/>
        </w:rPr>
        <w:t xml:space="preserve">da </w:t>
      </w:r>
      <w:r w:rsidRPr="002F50BD">
        <w:rPr>
          <w:rFonts w:ascii="Verdana" w:hAnsi="Verdana"/>
          <w:sz w:val="20"/>
          <w:lang w:val="pt-BR"/>
        </w:rPr>
        <w:t>qu</w:t>
      </w:r>
      <w:r w:rsidR="00CD7100" w:rsidRPr="002F50BD">
        <w:rPr>
          <w:rFonts w:ascii="Verdana" w:hAnsi="Verdana"/>
          <w:sz w:val="20"/>
          <w:lang w:val="pt-BR"/>
        </w:rPr>
        <w:t xml:space="preserve">al lhes corresponderiam </w:t>
      </w:r>
      <w:r w:rsidR="00063B47" w:rsidRPr="002F50BD">
        <w:rPr>
          <w:rFonts w:ascii="Verdana" w:hAnsi="Verdana"/>
          <w:sz w:val="20"/>
          <w:lang w:val="pt-BR"/>
        </w:rPr>
        <w:t>7</w:t>
      </w:r>
      <w:r w:rsidRPr="002F50BD">
        <w:rPr>
          <w:rFonts w:ascii="Verdana" w:hAnsi="Verdana"/>
          <w:sz w:val="20"/>
          <w:lang w:val="pt-BR"/>
        </w:rPr>
        <w:t>.</w:t>
      </w:r>
      <w:r w:rsidR="00063B47" w:rsidRPr="002F50BD">
        <w:rPr>
          <w:rFonts w:ascii="Verdana" w:hAnsi="Verdana"/>
          <w:sz w:val="20"/>
          <w:lang w:val="pt-BR"/>
        </w:rPr>
        <w:t>500</w:t>
      </w:r>
      <w:r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porque </w:t>
      </w:r>
      <w:r w:rsidR="0089298C" w:rsidRPr="002F50BD">
        <w:rPr>
          <w:rFonts w:ascii="Verdana" w:hAnsi="Verdana"/>
          <w:sz w:val="20"/>
          <w:lang w:val="pt-BR"/>
        </w:rPr>
        <w:t>recebeu</w:t>
      </w:r>
      <w:r w:rsidRPr="002F50BD">
        <w:rPr>
          <w:rFonts w:ascii="Verdana" w:hAnsi="Verdana"/>
          <w:sz w:val="20"/>
          <w:lang w:val="pt-BR"/>
        </w:rPr>
        <w:t xml:space="preserve"> </w:t>
      </w:r>
      <w:r w:rsidR="0089298C" w:rsidRPr="002F50BD">
        <w:rPr>
          <w:rFonts w:ascii="Verdana" w:hAnsi="Verdana"/>
          <w:sz w:val="20"/>
          <w:lang w:val="pt-BR"/>
        </w:rPr>
        <w:t xml:space="preserve">“a </w:t>
      </w:r>
      <w:r w:rsidRPr="002F50BD">
        <w:rPr>
          <w:rFonts w:ascii="Verdana" w:hAnsi="Verdana"/>
          <w:sz w:val="20"/>
          <w:lang w:val="pt-BR"/>
        </w:rPr>
        <w:t>notifica</w:t>
      </w:r>
      <w:r w:rsidR="0089298C" w:rsidRPr="002F50BD">
        <w:rPr>
          <w:rFonts w:ascii="Verdana" w:hAnsi="Verdana"/>
          <w:sz w:val="20"/>
          <w:lang w:val="pt-BR"/>
        </w:rPr>
        <w:t xml:space="preserve">ção sem </w:t>
      </w:r>
      <w:r w:rsidRPr="002F50BD">
        <w:rPr>
          <w:rFonts w:ascii="Verdana" w:hAnsi="Verdana"/>
          <w:sz w:val="20"/>
          <w:lang w:val="pt-BR"/>
        </w:rPr>
        <w:t>consulta”.</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b.</w:t>
      </w:r>
      <w:r w:rsidRPr="002F50BD">
        <w:rPr>
          <w:rFonts w:ascii="Verdana" w:hAnsi="Verdana"/>
          <w:b/>
          <w:sz w:val="20"/>
          <w:lang w:val="pt-BR"/>
        </w:rPr>
        <w:tab/>
      </w:r>
      <w:r w:rsidR="00CD7100" w:rsidRPr="002F50BD">
        <w:rPr>
          <w:rFonts w:ascii="Verdana" w:hAnsi="Verdana"/>
          <w:b/>
          <w:sz w:val="20"/>
          <w:lang w:val="pt-BR"/>
        </w:rPr>
        <w:t>Tomás Galeano</w:t>
      </w:r>
      <w:r w:rsidRPr="002F50BD">
        <w:rPr>
          <w:rFonts w:ascii="Verdana" w:hAnsi="Verdana"/>
          <w:b/>
          <w:sz w:val="20"/>
          <w:lang w:val="pt-BR"/>
        </w:rPr>
        <w:t xml:space="preserve">, </w:t>
      </w:r>
      <w:r w:rsidR="0089298C" w:rsidRPr="002F50BD">
        <w:rPr>
          <w:rFonts w:ascii="Verdana" w:hAnsi="Verdana"/>
          <w:b/>
          <w:sz w:val="20"/>
          <w:lang w:val="pt-BR"/>
        </w:rPr>
        <w:t>suposta</w:t>
      </w:r>
      <w:r w:rsidRPr="002F50BD">
        <w:rPr>
          <w:rFonts w:ascii="Verdana" w:hAnsi="Verdana"/>
          <w:b/>
          <w:sz w:val="20"/>
          <w:lang w:val="pt-BR"/>
        </w:rPr>
        <w:t xml:space="preserve"> </w:t>
      </w:r>
      <w:r w:rsidR="0089298C" w:rsidRPr="002F50BD">
        <w:rPr>
          <w:rFonts w:ascii="Verdana" w:hAnsi="Verdana"/>
          <w:b/>
          <w:sz w:val="20"/>
          <w:lang w:val="pt-BR"/>
        </w:rPr>
        <w:t>vítima</w:t>
      </w:r>
      <w:r w:rsidR="00E221FD">
        <w:rPr>
          <w:rFonts w:ascii="Verdana" w:hAnsi="Verdana"/>
          <w:b/>
          <w:sz w:val="20"/>
          <w:lang w:val="pt-BR"/>
        </w:rPr>
        <w:t>,</w:t>
      </w:r>
      <w:r w:rsidR="0089298C" w:rsidRPr="002F50BD">
        <w:rPr>
          <w:rFonts w:ascii="Verdana" w:hAnsi="Verdana"/>
          <w:b/>
          <w:sz w:val="20"/>
          <w:lang w:val="pt-BR"/>
        </w:rPr>
        <w:t xml:space="preserve"> </w:t>
      </w:r>
      <w:r w:rsidRPr="002F50BD">
        <w:rPr>
          <w:rFonts w:ascii="Verdana" w:hAnsi="Verdana"/>
          <w:b/>
          <w:sz w:val="20"/>
          <w:lang w:val="pt-BR"/>
        </w:rPr>
        <w:t>líder</w:t>
      </w:r>
      <w:r w:rsidR="0089298C" w:rsidRPr="002F50BD">
        <w:rPr>
          <w:rFonts w:ascii="Verdana" w:hAnsi="Verdana"/>
          <w:b/>
          <w:sz w:val="20"/>
          <w:lang w:val="pt-BR"/>
        </w:rPr>
        <w:t xml:space="preserve"> da Comunidade </w:t>
      </w:r>
      <w:r w:rsidRPr="002F50BD">
        <w:rPr>
          <w:rFonts w:ascii="Verdana" w:hAnsi="Verdana"/>
          <w:b/>
          <w:sz w:val="20"/>
          <w:lang w:val="pt-BR"/>
        </w:rPr>
        <w:t>Yakye Axa</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Su</w:t>
      </w:r>
      <w:r w:rsidR="00CD7100" w:rsidRPr="002F50BD">
        <w:rPr>
          <w:rFonts w:ascii="Verdana" w:hAnsi="Verdana"/>
          <w:sz w:val="20"/>
          <w:lang w:val="pt-BR"/>
        </w:rPr>
        <w:t>a</w:t>
      </w:r>
      <w:r w:rsidRPr="002F50BD">
        <w:rPr>
          <w:rFonts w:ascii="Verdana" w:hAnsi="Verdana"/>
          <w:sz w:val="20"/>
          <w:lang w:val="pt-BR"/>
        </w:rPr>
        <w:t xml:space="preserve"> etnia</w:t>
      </w:r>
      <w:r w:rsidR="0089298C" w:rsidRPr="002F50BD">
        <w:rPr>
          <w:rFonts w:ascii="Verdana" w:hAnsi="Verdana"/>
          <w:sz w:val="20"/>
          <w:lang w:val="pt-BR"/>
        </w:rPr>
        <w:t xml:space="preserve"> é </w:t>
      </w:r>
      <w:r w:rsidRPr="002F50BD">
        <w:rPr>
          <w:rFonts w:ascii="Verdana" w:hAnsi="Verdana"/>
          <w:sz w:val="20"/>
          <w:lang w:val="pt-BR"/>
        </w:rPr>
        <w:t>Enxet</w:t>
      </w:r>
      <w:r w:rsidR="00E10DBB" w:rsidRPr="002F50BD">
        <w:rPr>
          <w:rFonts w:ascii="Verdana" w:hAnsi="Verdana"/>
          <w:sz w:val="20"/>
          <w:lang w:val="pt-BR"/>
        </w:rPr>
        <w:t xml:space="preserve">. É </w:t>
      </w:r>
      <w:r w:rsidR="0089298C" w:rsidRPr="002F50BD">
        <w:rPr>
          <w:rFonts w:ascii="Verdana" w:hAnsi="Verdana"/>
          <w:sz w:val="20"/>
          <w:lang w:val="pt-BR"/>
        </w:rPr>
        <w:t xml:space="preserve">o </w:t>
      </w:r>
      <w:r w:rsidRPr="002F50BD">
        <w:rPr>
          <w:rFonts w:ascii="Verdana" w:hAnsi="Verdana"/>
          <w:sz w:val="20"/>
          <w:lang w:val="pt-BR"/>
        </w:rPr>
        <w:t>cacique</w:t>
      </w:r>
      <w:r w:rsidR="0089298C" w:rsidRPr="002F50BD">
        <w:rPr>
          <w:rFonts w:ascii="Verdana" w:hAnsi="Verdana"/>
          <w:sz w:val="20"/>
          <w:lang w:val="pt-BR"/>
        </w:rPr>
        <w:t xml:space="preserve"> da Comunidade </w:t>
      </w:r>
      <w:r w:rsidRPr="002F50BD">
        <w:rPr>
          <w:rFonts w:ascii="Verdana" w:hAnsi="Verdana"/>
          <w:sz w:val="20"/>
          <w:lang w:val="pt-BR"/>
        </w:rPr>
        <w:t xml:space="preserve">Yakye Axa, como </w:t>
      </w:r>
      <w:r w:rsidR="0089298C" w:rsidRPr="002F50BD">
        <w:rPr>
          <w:rFonts w:ascii="Verdana" w:hAnsi="Verdana"/>
          <w:sz w:val="20"/>
          <w:lang w:val="pt-BR"/>
        </w:rPr>
        <w:t>foram</w:t>
      </w:r>
      <w:r w:rsidRPr="002F50BD">
        <w:rPr>
          <w:rFonts w:ascii="Verdana" w:hAnsi="Verdana"/>
          <w:sz w:val="20"/>
          <w:lang w:val="pt-BR"/>
        </w:rPr>
        <w:t xml:space="preserve"> </w:t>
      </w:r>
      <w:r w:rsidR="00CD7100" w:rsidRPr="002F50BD">
        <w:rPr>
          <w:rFonts w:ascii="Verdana" w:hAnsi="Verdana"/>
          <w:sz w:val="20"/>
          <w:lang w:val="pt-BR"/>
        </w:rPr>
        <w:t xml:space="preserve">também </w:t>
      </w:r>
      <w:r w:rsidR="005A6BC7" w:rsidRPr="002F50BD">
        <w:rPr>
          <w:rFonts w:ascii="Verdana" w:hAnsi="Verdana"/>
          <w:sz w:val="20"/>
          <w:lang w:val="pt-BR"/>
        </w:rPr>
        <w:t>seus antepassados</w:t>
      </w:r>
      <w:r w:rsidRPr="002F50BD">
        <w:rPr>
          <w:rFonts w:ascii="Verdana" w:hAnsi="Verdana"/>
          <w:sz w:val="20"/>
          <w:lang w:val="pt-BR"/>
        </w:rPr>
        <w:t xml:space="preserve">. </w:t>
      </w:r>
      <w:r w:rsidR="00CD7100" w:rsidRPr="002F50BD">
        <w:rPr>
          <w:rFonts w:ascii="Verdana" w:hAnsi="Verdana"/>
          <w:sz w:val="20"/>
          <w:lang w:val="pt-BR"/>
        </w:rPr>
        <w:t>Nasceu</w:t>
      </w:r>
      <w:r w:rsidR="0089298C" w:rsidRPr="002F50BD">
        <w:rPr>
          <w:rFonts w:ascii="Verdana" w:hAnsi="Verdana"/>
          <w:sz w:val="20"/>
          <w:lang w:val="pt-BR"/>
        </w:rPr>
        <w:t xml:space="preserve"> e </w:t>
      </w:r>
      <w:r w:rsidR="00CD7100" w:rsidRPr="002F50BD">
        <w:rPr>
          <w:rFonts w:ascii="Verdana" w:hAnsi="Verdana"/>
          <w:sz w:val="20"/>
          <w:lang w:val="pt-BR"/>
        </w:rPr>
        <w:t>cresceu</w:t>
      </w:r>
      <w:r w:rsidR="0089298C" w:rsidRPr="002F50BD">
        <w:rPr>
          <w:rFonts w:ascii="Verdana" w:hAnsi="Verdana"/>
          <w:sz w:val="20"/>
          <w:lang w:val="pt-BR"/>
        </w:rPr>
        <w:t xml:space="preserve"> em </w:t>
      </w:r>
      <w:r w:rsidRPr="002F50BD">
        <w:rPr>
          <w:rFonts w:ascii="Verdana" w:hAnsi="Verdana"/>
          <w:sz w:val="20"/>
          <w:lang w:val="pt-BR"/>
        </w:rPr>
        <w:t>Yakye Axa,</w:t>
      </w:r>
      <w:r w:rsidR="0089298C" w:rsidRPr="002F50BD">
        <w:rPr>
          <w:rFonts w:ascii="Verdana" w:hAnsi="Verdana"/>
          <w:sz w:val="20"/>
          <w:lang w:val="pt-BR"/>
        </w:rPr>
        <w:t xml:space="preserve"> onde</w:t>
      </w:r>
      <w:r w:rsidRPr="002F50BD">
        <w:rPr>
          <w:rFonts w:ascii="Verdana" w:hAnsi="Verdana"/>
          <w:sz w:val="20"/>
          <w:lang w:val="pt-BR"/>
        </w:rPr>
        <w:t xml:space="preserve"> </w:t>
      </w:r>
      <w:r w:rsidR="0089298C" w:rsidRPr="002F50BD">
        <w:rPr>
          <w:rFonts w:ascii="Verdana" w:hAnsi="Verdana"/>
          <w:sz w:val="20"/>
          <w:lang w:val="pt-BR"/>
        </w:rPr>
        <w:t>seus pais</w:t>
      </w:r>
      <w:r w:rsidRPr="002F50BD">
        <w:rPr>
          <w:rFonts w:ascii="Verdana" w:hAnsi="Verdana"/>
          <w:sz w:val="20"/>
          <w:lang w:val="pt-BR"/>
        </w:rPr>
        <w:t xml:space="preserve"> </w:t>
      </w:r>
      <w:r w:rsidR="00CD7100" w:rsidRPr="002F50BD">
        <w:rPr>
          <w:rFonts w:ascii="Verdana" w:hAnsi="Verdana"/>
          <w:sz w:val="20"/>
          <w:lang w:val="pt-BR"/>
        </w:rPr>
        <w:t>viviam</w:t>
      </w:r>
      <w:r w:rsidRPr="002F50BD">
        <w:rPr>
          <w:rFonts w:ascii="Verdana" w:hAnsi="Verdana"/>
          <w:sz w:val="20"/>
          <w:lang w:val="pt-BR"/>
        </w:rPr>
        <w:t xml:space="preserve"> anteriormente.</w:t>
      </w:r>
    </w:p>
    <w:p w:rsidR="004756C1" w:rsidRPr="002F50BD" w:rsidRDefault="004756C1">
      <w:pPr>
        <w:jc w:val="both"/>
        <w:rPr>
          <w:rFonts w:ascii="Verdana" w:hAnsi="Verdana"/>
          <w:sz w:val="20"/>
          <w:lang w:val="pt-BR"/>
        </w:rPr>
      </w:pPr>
    </w:p>
    <w:p w:rsidR="004756C1" w:rsidRPr="002F50BD" w:rsidRDefault="00CD7100">
      <w:pPr>
        <w:jc w:val="both"/>
        <w:rPr>
          <w:rFonts w:ascii="Verdana" w:hAnsi="Verdana"/>
          <w:sz w:val="20"/>
          <w:lang w:val="pt-BR"/>
        </w:rPr>
      </w:pPr>
      <w:r w:rsidRPr="002F50BD">
        <w:rPr>
          <w:rFonts w:ascii="Verdana" w:hAnsi="Verdana"/>
          <w:sz w:val="20"/>
          <w:lang w:val="pt-BR"/>
        </w:rPr>
        <w:t xml:space="preserve">No </w:t>
      </w:r>
      <w:r w:rsidR="0089298C" w:rsidRPr="002F50BD">
        <w:rPr>
          <w:rFonts w:ascii="Verdana" w:hAnsi="Verdana"/>
          <w:sz w:val="20"/>
          <w:lang w:val="pt-BR"/>
        </w:rPr>
        <w:t>começo</w:t>
      </w:r>
      <w:r w:rsidR="004756C1" w:rsidRPr="002F50BD">
        <w:rPr>
          <w:rFonts w:ascii="Verdana" w:hAnsi="Verdana"/>
          <w:sz w:val="20"/>
          <w:lang w:val="pt-BR"/>
        </w:rPr>
        <w:t>,</w:t>
      </w:r>
      <w:r w:rsidR="0089298C" w:rsidRPr="002F50BD">
        <w:rPr>
          <w:rFonts w:ascii="Verdana" w:hAnsi="Verdana"/>
          <w:sz w:val="20"/>
          <w:lang w:val="pt-BR"/>
        </w:rPr>
        <w:t xml:space="preserve"> a </w:t>
      </w:r>
      <w:r w:rsidR="004F64EE" w:rsidRPr="002F50BD">
        <w:rPr>
          <w:rFonts w:ascii="Verdana" w:hAnsi="Verdana"/>
          <w:sz w:val="20"/>
          <w:lang w:val="pt-BR"/>
        </w:rPr>
        <w:t>fazenda</w:t>
      </w:r>
      <w:r w:rsidRPr="002F50BD">
        <w:rPr>
          <w:rFonts w:ascii="Verdana" w:hAnsi="Verdana"/>
          <w:sz w:val="20"/>
          <w:lang w:val="pt-BR"/>
        </w:rPr>
        <w:t xml:space="preserve"> </w:t>
      </w:r>
      <w:r w:rsidR="0089298C" w:rsidRPr="002F50BD">
        <w:rPr>
          <w:rFonts w:ascii="Verdana" w:hAnsi="Verdana"/>
          <w:sz w:val="20"/>
          <w:lang w:val="pt-BR"/>
        </w:rPr>
        <w:t>foi nomea</w:t>
      </w:r>
      <w:r w:rsidR="004756C1" w:rsidRPr="002F50BD">
        <w:rPr>
          <w:rFonts w:ascii="Verdana" w:hAnsi="Verdana"/>
          <w:sz w:val="20"/>
          <w:lang w:val="pt-BR"/>
        </w:rPr>
        <w:t xml:space="preserve">da </w:t>
      </w:r>
      <w:r w:rsidR="004756C1" w:rsidRPr="002F50BD">
        <w:rPr>
          <w:rFonts w:ascii="Verdana" w:hAnsi="Verdana"/>
          <w:i/>
          <w:sz w:val="20"/>
          <w:lang w:val="pt-BR"/>
        </w:rPr>
        <w:t>Loma Verde</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Era</w:t>
      </w:r>
      <w:r w:rsidR="0089298C" w:rsidRPr="002F50BD">
        <w:rPr>
          <w:rFonts w:ascii="Verdana" w:hAnsi="Verdana"/>
          <w:sz w:val="20"/>
          <w:lang w:val="pt-BR"/>
        </w:rPr>
        <w:t xml:space="preserve"> uma </w:t>
      </w:r>
      <w:r w:rsidR="004F64EE" w:rsidRPr="002F50BD">
        <w:rPr>
          <w:rFonts w:ascii="Verdana" w:hAnsi="Verdana"/>
          <w:sz w:val="20"/>
          <w:lang w:val="pt-BR"/>
        </w:rPr>
        <w:t>fazenda</w:t>
      </w:r>
      <w:r w:rsidRPr="002F50BD">
        <w:rPr>
          <w:rFonts w:ascii="Verdana" w:hAnsi="Verdana"/>
          <w:sz w:val="20"/>
          <w:lang w:val="pt-BR"/>
        </w:rPr>
        <w:t xml:space="preserve"> </w:t>
      </w:r>
      <w:r w:rsidR="0089298C" w:rsidRPr="002F50BD">
        <w:rPr>
          <w:rFonts w:ascii="Verdana" w:hAnsi="Verdana"/>
          <w:sz w:val="20"/>
          <w:lang w:val="pt-BR"/>
        </w:rPr>
        <w:t>pequena e havia</w:t>
      </w:r>
      <w:r w:rsidR="004756C1" w:rsidRPr="002F50BD">
        <w:rPr>
          <w:rFonts w:ascii="Verdana" w:hAnsi="Verdana"/>
          <w:sz w:val="20"/>
          <w:lang w:val="pt-BR"/>
        </w:rPr>
        <w:t xml:space="preserve"> diversidad</w:t>
      </w:r>
      <w:r w:rsidRPr="002F50BD">
        <w:rPr>
          <w:rFonts w:ascii="Verdana" w:hAnsi="Verdana"/>
          <w:sz w:val="20"/>
          <w:lang w:val="pt-BR"/>
        </w:rPr>
        <w:t>e</w:t>
      </w:r>
      <w:r w:rsidR="0089298C" w:rsidRPr="002F50BD">
        <w:rPr>
          <w:rFonts w:ascii="Verdana" w:hAnsi="Verdana"/>
          <w:sz w:val="20"/>
          <w:lang w:val="pt-BR"/>
        </w:rPr>
        <w:t xml:space="preserve"> no </w:t>
      </w:r>
      <w:r w:rsidR="004756C1" w:rsidRPr="002F50BD">
        <w:rPr>
          <w:rFonts w:ascii="Verdana" w:hAnsi="Verdana"/>
          <w:sz w:val="20"/>
          <w:lang w:val="pt-BR"/>
        </w:rPr>
        <w:t>lugar,</w:t>
      </w:r>
      <w:r w:rsidR="004076AD" w:rsidRPr="002F50BD">
        <w:rPr>
          <w:rFonts w:ascii="Verdana" w:hAnsi="Verdana"/>
          <w:sz w:val="20"/>
          <w:lang w:val="pt-BR"/>
        </w:rPr>
        <w:t xml:space="preserve"> havia </w:t>
      </w:r>
      <w:r w:rsidR="004756C1" w:rsidRPr="002F50BD">
        <w:rPr>
          <w:rFonts w:ascii="Verdana" w:hAnsi="Verdana"/>
          <w:sz w:val="20"/>
          <w:lang w:val="pt-BR"/>
        </w:rPr>
        <w:t>crio</w:t>
      </w:r>
      <w:r w:rsidRPr="002F50BD">
        <w:rPr>
          <w:rFonts w:ascii="Verdana" w:hAnsi="Verdana"/>
          <w:sz w:val="20"/>
          <w:lang w:val="pt-BR"/>
        </w:rPr>
        <w:t>u</w:t>
      </w:r>
      <w:r w:rsidR="004756C1" w:rsidRPr="002F50BD">
        <w:rPr>
          <w:rFonts w:ascii="Verdana" w:hAnsi="Verdana"/>
          <w:sz w:val="20"/>
          <w:lang w:val="pt-BR"/>
        </w:rPr>
        <w:t>l</w:t>
      </w:r>
      <w:r w:rsidRPr="002F50BD">
        <w:rPr>
          <w:rFonts w:ascii="Verdana" w:hAnsi="Verdana"/>
          <w:sz w:val="20"/>
          <w:lang w:val="pt-BR"/>
        </w:rPr>
        <w:t>o</w:t>
      </w:r>
      <w:r w:rsidR="00AB6727" w:rsidRPr="002F50BD">
        <w:rPr>
          <w:rFonts w:ascii="Verdana" w:hAnsi="Verdana"/>
          <w:sz w:val="20"/>
          <w:lang w:val="pt-BR"/>
        </w:rPr>
        <w:t xml:space="preserve">s </w:t>
      </w:r>
      <w:r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os e indígenas.</w:t>
      </w:r>
      <w:r w:rsidR="00FE08B7">
        <w:rPr>
          <w:rFonts w:ascii="Verdana" w:hAnsi="Verdana"/>
          <w:sz w:val="20"/>
          <w:lang w:val="pt-BR"/>
        </w:rPr>
        <w:t xml:space="preserve"> </w:t>
      </w:r>
      <w:r w:rsidRPr="002F50BD">
        <w:rPr>
          <w:rFonts w:ascii="Verdana" w:hAnsi="Verdana"/>
          <w:sz w:val="20"/>
          <w:lang w:val="pt-BR"/>
        </w:rPr>
        <w:t>N</w:t>
      </w:r>
      <w:r w:rsidR="004076AD" w:rsidRPr="002F50BD">
        <w:rPr>
          <w:rFonts w:ascii="Verdana" w:hAnsi="Verdana"/>
          <w:sz w:val="20"/>
          <w:lang w:val="pt-BR"/>
        </w:rPr>
        <w:t>aquel</w:t>
      </w:r>
      <w:r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tempo</w:t>
      </w:r>
      <w:r w:rsidR="007C6FF4" w:rsidRPr="002F50BD">
        <w:rPr>
          <w:rFonts w:ascii="Verdana" w:hAnsi="Verdana"/>
          <w:sz w:val="20"/>
          <w:lang w:val="pt-BR"/>
        </w:rPr>
        <w:t>,</w:t>
      </w:r>
      <w:r w:rsidR="0089298C" w:rsidRPr="002F50BD">
        <w:rPr>
          <w:rFonts w:ascii="Verdana" w:hAnsi="Verdana"/>
          <w:sz w:val="20"/>
          <w:lang w:val="pt-BR"/>
        </w:rPr>
        <w:t xml:space="preserve"> os </w:t>
      </w:r>
      <w:r w:rsidR="00AB454A" w:rsidRPr="002F50BD">
        <w:rPr>
          <w:rFonts w:ascii="Verdana" w:hAnsi="Verdana"/>
          <w:sz w:val="20"/>
          <w:lang w:val="pt-BR"/>
        </w:rPr>
        <w:t>irmãos</w:t>
      </w:r>
      <w:r w:rsidR="004756C1" w:rsidRPr="002F50BD">
        <w:rPr>
          <w:rFonts w:ascii="Verdana" w:hAnsi="Verdana"/>
          <w:sz w:val="20"/>
          <w:lang w:val="pt-BR"/>
        </w:rPr>
        <w:t xml:space="preserve"> crio</w:t>
      </w:r>
      <w:r w:rsidRPr="002F50BD">
        <w:rPr>
          <w:rFonts w:ascii="Verdana" w:hAnsi="Verdana"/>
          <w:sz w:val="20"/>
          <w:lang w:val="pt-BR"/>
        </w:rPr>
        <w:t>u</w:t>
      </w:r>
      <w:r w:rsidR="004756C1" w:rsidRPr="002F50BD">
        <w:rPr>
          <w:rFonts w:ascii="Verdana" w:hAnsi="Verdana"/>
          <w:sz w:val="20"/>
          <w:lang w:val="pt-BR"/>
        </w:rPr>
        <w:t>l</w:t>
      </w:r>
      <w:r w:rsidRPr="002F50BD">
        <w:rPr>
          <w:rFonts w:ascii="Verdana" w:hAnsi="Verdana"/>
          <w:sz w:val="20"/>
          <w:lang w:val="pt-BR"/>
        </w:rPr>
        <w:t>o</w:t>
      </w:r>
      <w:r w:rsidR="00AB6727" w:rsidRPr="002F50BD">
        <w:rPr>
          <w:rFonts w:ascii="Verdana" w:hAnsi="Verdana"/>
          <w:sz w:val="20"/>
          <w:lang w:val="pt-BR"/>
        </w:rPr>
        <w:t xml:space="preserve">s </w:t>
      </w:r>
      <w:r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os</w:t>
      </w:r>
      <w:r w:rsidR="0089298C" w:rsidRPr="002F50BD">
        <w:rPr>
          <w:rFonts w:ascii="Verdana" w:hAnsi="Verdana"/>
          <w:sz w:val="20"/>
          <w:lang w:val="pt-BR"/>
        </w:rPr>
        <w:t xml:space="preserve"> e os </w:t>
      </w:r>
      <w:r w:rsidR="004756C1" w:rsidRPr="002F50BD">
        <w:rPr>
          <w:rFonts w:ascii="Verdana" w:hAnsi="Verdana"/>
          <w:sz w:val="20"/>
          <w:lang w:val="pt-BR"/>
        </w:rPr>
        <w:t>indígenas con</w:t>
      </w:r>
      <w:r w:rsidRPr="002F50BD">
        <w:rPr>
          <w:rFonts w:ascii="Verdana" w:hAnsi="Verdana"/>
          <w:sz w:val="20"/>
          <w:lang w:val="pt-BR"/>
        </w:rPr>
        <w:t>viviam</w:t>
      </w:r>
      <w:r w:rsidR="004756C1" w:rsidRPr="002F50BD">
        <w:rPr>
          <w:rFonts w:ascii="Verdana" w:hAnsi="Verdana"/>
          <w:sz w:val="20"/>
          <w:lang w:val="pt-BR"/>
        </w:rPr>
        <w:t xml:space="preserve"> </w:t>
      </w:r>
      <w:r w:rsidR="0089298C" w:rsidRPr="002F50BD">
        <w:rPr>
          <w:rFonts w:ascii="Verdana" w:hAnsi="Verdana"/>
          <w:sz w:val="20"/>
          <w:lang w:val="pt-BR"/>
        </w:rPr>
        <w:t>muito</w:t>
      </w:r>
      <w:r w:rsidR="004756C1" w:rsidRPr="002F50BD">
        <w:rPr>
          <w:rFonts w:ascii="Verdana" w:hAnsi="Verdana"/>
          <w:sz w:val="20"/>
          <w:lang w:val="pt-BR"/>
        </w:rPr>
        <w:t xml:space="preserve"> b</w:t>
      </w:r>
      <w:r w:rsidRPr="002F50BD">
        <w:rPr>
          <w:rFonts w:ascii="Verdana" w:hAnsi="Verdana"/>
          <w:sz w:val="20"/>
          <w:lang w:val="pt-BR"/>
        </w:rPr>
        <w:t>em</w:t>
      </w:r>
      <w:r w:rsidR="004756C1" w:rsidRPr="002F50BD">
        <w:rPr>
          <w:rFonts w:ascii="Verdana" w:hAnsi="Verdana"/>
          <w:sz w:val="20"/>
          <w:lang w:val="pt-BR"/>
        </w:rPr>
        <w:t xml:space="preserve">, </w:t>
      </w:r>
      <w:r w:rsidRPr="002F50BD">
        <w:rPr>
          <w:rFonts w:ascii="Verdana" w:hAnsi="Verdana"/>
          <w:sz w:val="20"/>
          <w:lang w:val="pt-BR"/>
        </w:rPr>
        <w:t xml:space="preserve">era possível </w:t>
      </w:r>
      <w:r w:rsidR="004756C1" w:rsidRPr="002F50BD">
        <w:rPr>
          <w:rFonts w:ascii="Verdana" w:hAnsi="Verdana"/>
          <w:sz w:val="20"/>
          <w:lang w:val="pt-BR"/>
        </w:rPr>
        <w:t>ver</w:t>
      </w:r>
      <w:r w:rsidR="0089298C" w:rsidRPr="002F50BD">
        <w:rPr>
          <w:rFonts w:ascii="Verdana" w:hAnsi="Verdana"/>
          <w:sz w:val="20"/>
          <w:lang w:val="pt-BR"/>
        </w:rPr>
        <w:t xml:space="preserve"> a tranquilidade e a </w:t>
      </w:r>
      <w:r w:rsidR="004756C1" w:rsidRPr="002F50BD">
        <w:rPr>
          <w:rFonts w:ascii="Verdana" w:hAnsi="Verdana"/>
          <w:sz w:val="20"/>
          <w:lang w:val="pt-BR"/>
        </w:rPr>
        <w:t>manifesta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amor</w:t>
      </w:r>
      <w:r w:rsidR="00AB454A" w:rsidRPr="002F50BD">
        <w:rPr>
          <w:rFonts w:ascii="Verdana" w:hAnsi="Verdana"/>
          <w:sz w:val="20"/>
          <w:lang w:val="pt-BR"/>
        </w:rPr>
        <w:t xml:space="preserve">. A </w:t>
      </w:r>
      <w:r w:rsidR="004756C1" w:rsidRPr="002F50BD">
        <w:rPr>
          <w:rFonts w:ascii="Verdana" w:hAnsi="Verdana"/>
          <w:sz w:val="20"/>
          <w:lang w:val="pt-BR"/>
        </w:rPr>
        <w:t>rela</w:t>
      </w:r>
      <w:r w:rsidR="0089298C" w:rsidRPr="002F50BD">
        <w:rPr>
          <w:rFonts w:ascii="Verdana" w:hAnsi="Verdana"/>
          <w:sz w:val="20"/>
          <w:lang w:val="pt-BR"/>
        </w:rPr>
        <w:t xml:space="preserve">ção com o primeiro </w:t>
      </w:r>
      <w:r w:rsidR="00AB454A" w:rsidRPr="002F50BD">
        <w:rPr>
          <w:rFonts w:ascii="Verdana" w:hAnsi="Verdana"/>
          <w:sz w:val="20"/>
          <w:lang w:val="pt-BR"/>
        </w:rPr>
        <w:t>don</w:t>
      </w:r>
      <w:r w:rsidR="004756C1" w:rsidRPr="002F50BD">
        <w:rPr>
          <w:rFonts w:ascii="Verdana" w:hAnsi="Verdana"/>
          <w:sz w:val="20"/>
          <w:lang w:val="pt-BR"/>
        </w:rPr>
        <w:t>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Pr="002F50BD">
        <w:rPr>
          <w:rFonts w:ascii="Verdana" w:hAnsi="Verdana"/>
          <w:sz w:val="20"/>
          <w:lang w:val="pt-BR"/>
        </w:rPr>
        <w:t xml:space="preserve"> e</w:t>
      </w:r>
      <w:r w:rsidR="0089298C" w:rsidRPr="002F50BD">
        <w:rPr>
          <w:rFonts w:ascii="Verdana" w:hAnsi="Verdana"/>
          <w:sz w:val="20"/>
          <w:lang w:val="pt-BR"/>
        </w:rPr>
        <w:t>stava</w:t>
      </w:r>
      <w:r w:rsidR="004756C1" w:rsidRPr="002F50BD">
        <w:rPr>
          <w:rFonts w:ascii="Verdana" w:hAnsi="Verdana"/>
          <w:sz w:val="20"/>
          <w:lang w:val="pt-BR"/>
        </w:rPr>
        <w:t xml:space="preserve"> </w:t>
      </w:r>
      <w:r w:rsidR="0089298C" w:rsidRPr="002F50BD">
        <w:rPr>
          <w:rFonts w:ascii="Verdana" w:hAnsi="Verdana"/>
          <w:sz w:val="20"/>
          <w:lang w:val="pt-BR"/>
        </w:rPr>
        <w:t>muito</w:t>
      </w:r>
      <w:r w:rsidR="004756C1" w:rsidRPr="002F50BD">
        <w:rPr>
          <w:rFonts w:ascii="Verdana" w:hAnsi="Verdana"/>
          <w:sz w:val="20"/>
          <w:lang w:val="pt-BR"/>
        </w:rPr>
        <w:t xml:space="preserve"> </w:t>
      </w:r>
      <w:r w:rsidRPr="002F50BD">
        <w:rPr>
          <w:rFonts w:ascii="Verdana" w:hAnsi="Verdana"/>
          <w:sz w:val="20"/>
          <w:lang w:val="pt-BR"/>
        </w:rPr>
        <w:t>bem</w:t>
      </w:r>
      <w:r w:rsidR="004756C1" w:rsidRPr="002F50BD">
        <w:rPr>
          <w:rFonts w:ascii="Verdana" w:hAnsi="Verdana"/>
          <w:sz w:val="20"/>
          <w:lang w:val="pt-BR"/>
        </w:rPr>
        <w:t xml:space="preserve">, </w:t>
      </w:r>
      <w:r w:rsidR="0089298C" w:rsidRPr="002F50BD">
        <w:rPr>
          <w:rFonts w:ascii="Verdana" w:hAnsi="Verdana"/>
          <w:sz w:val="20"/>
          <w:lang w:val="pt-BR"/>
        </w:rPr>
        <w:t>mas</w:t>
      </w:r>
      <w:r w:rsidR="00AB454A" w:rsidRPr="002F50BD">
        <w:rPr>
          <w:rFonts w:ascii="Verdana" w:hAnsi="Verdana"/>
          <w:sz w:val="20"/>
          <w:lang w:val="pt-BR"/>
        </w:rPr>
        <w:t xml:space="preserve"> houve </w:t>
      </w:r>
      <w:r w:rsidR="0089298C" w:rsidRPr="002F50BD">
        <w:rPr>
          <w:rFonts w:ascii="Verdana" w:hAnsi="Verdana"/>
          <w:sz w:val="20"/>
          <w:lang w:val="pt-BR"/>
        </w:rPr>
        <w:t>vári</w:t>
      </w:r>
      <w:r w:rsidRPr="002F50BD">
        <w:rPr>
          <w:rFonts w:ascii="Verdana" w:hAnsi="Verdana"/>
          <w:sz w:val="20"/>
          <w:lang w:val="pt-BR"/>
        </w:rPr>
        <w:t>a</w:t>
      </w:r>
      <w:r w:rsidR="0089298C" w:rsidRPr="002F50BD">
        <w:rPr>
          <w:rFonts w:ascii="Verdana" w:hAnsi="Verdana"/>
          <w:sz w:val="20"/>
          <w:lang w:val="pt-BR"/>
        </w:rPr>
        <w:t>s</w:t>
      </w:r>
      <w:r w:rsidR="004756C1" w:rsidRPr="002F50BD">
        <w:rPr>
          <w:rFonts w:ascii="Verdana" w:hAnsi="Verdana"/>
          <w:sz w:val="20"/>
          <w:lang w:val="pt-BR"/>
        </w:rPr>
        <w:t xml:space="preserve"> </w:t>
      </w:r>
      <w:r w:rsidRPr="002F50BD">
        <w:rPr>
          <w:rFonts w:ascii="Verdana" w:hAnsi="Verdana"/>
          <w:sz w:val="20"/>
          <w:lang w:val="pt-BR"/>
        </w:rPr>
        <w:t xml:space="preserve">mudanças de donos </w:t>
      </w:r>
      <w:r w:rsidR="0089298C" w:rsidRPr="002F50BD">
        <w:rPr>
          <w:rFonts w:ascii="Verdana" w:hAnsi="Verdana"/>
          <w:sz w:val="20"/>
          <w:lang w:val="pt-BR"/>
        </w:rPr>
        <w:t xml:space="preserve">na </w:t>
      </w:r>
      <w:r w:rsidR="004756C1" w:rsidRPr="002F50BD" w:rsidDel="00130F9B">
        <w:rPr>
          <w:rFonts w:ascii="Verdana" w:hAnsi="Verdana"/>
          <w:i/>
          <w:sz w:val="20"/>
          <w:lang w:val="pt-BR"/>
        </w:rPr>
        <w:t>E</w:t>
      </w:r>
      <w:r w:rsidR="004756C1" w:rsidRPr="002F50BD">
        <w:rPr>
          <w:rFonts w:ascii="Verdana" w:hAnsi="Verdana"/>
          <w:i/>
          <w:sz w:val="20"/>
          <w:lang w:val="pt-BR"/>
        </w:rPr>
        <w:t>stancia</w:t>
      </w:r>
      <w:r w:rsidR="0089298C" w:rsidRPr="002F50BD">
        <w:rPr>
          <w:rFonts w:ascii="Verdana" w:hAnsi="Verdana"/>
          <w:sz w:val="20"/>
          <w:lang w:val="pt-BR"/>
        </w:rPr>
        <w:t xml:space="preserve"> e</w:t>
      </w:r>
      <w:r w:rsidR="007C6FF4"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de repente</w:t>
      </w:r>
      <w:r w:rsidR="007C6FF4" w:rsidRPr="002F50BD">
        <w:rPr>
          <w:rFonts w:ascii="Verdana" w:hAnsi="Verdana"/>
          <w:sz w:val="20"/>
          <w:lang w:val="pt-BR"/>
        </w:rPr>
        <w:t>,</w:t>
      </w:r>
      <w:r w:rsidR="0089298C" w:rsidRPr="002F50BD">
        <w:rPr>
          <w:rFonts w:ascii="Verdana" w:hAnsi="Verdana"/>
          <w:sz w:val="20"/>
          <w:lang w:val="pt-BR"/>
        </w:rPr>
        <w:t xml:space="preserve"> veio um</w:t>
      </w:r>
      <w:r w:rsidRPr="002F50BD">
        <w:rPr>
          <w:rFonts w:ascii="Verdana" w:hAnsi="Verdana"/>
          <w:sz w:val="20"/>
          <w:lang w:val="pt-BR"/>
        </w:rPr>
        <w:t>a</w:t>
      </w:r>
      <w:r w:rsidR="0089298C" w:rsidRPr="002F50BD">
        <w:rPr>
          <w:rFonts w:ascii="Verdana" w:hAnsi="Verdana"/>
          <w:sz w:val="20"/>
          <w:lang w:val="pt-BR"/>
        </w:rPr>
        <w:t xml:space="preserve"> </w:t>
      </w:r>
      <w:r w:rsidRPr="002F50BD">
        <w:rPr>
          <w:rFonts w:ascii="Verdana" w:hAnsi="Verdana"/>
          <w:sz w:val="20"/>
          <w:lang w:val="pt-BR"/>
        </w:rPr>
        <w:t xml:space="preserve">mudança </w:t>
      </w:r>
      <w:r w:rsidR="004756C1" w:rsidRPr="002F50BD">
        <w:rPr>
          <w:rFonts w:ascii="Verdana" w:hAnsi="Verdana"/>
          <w:sz w:val="20"/>
          <w:lang w:val="pt-BR"/>
        </w:rPr>
        <w:t xml:space="preserve">de </w:t>
      </w:r>
      <w:r w:rsidR="0089298C" w:rsidRPr="002F50BD">
        <w:rPr>
          <w:rFonts w:ascii="Verdana" w:hAnsi="Verdana"/>
          <w:sz w:val="20"/>
          <w:lang w:val="pt-BR"/>
        </w:rPr>
        <w:t xml:space="preserve">atitude </w:t>
      </w:r>
      <w:r w:rsidR="004756C1" w:rsidRPr="002F50BD">
        <w:rPr>
          <w:rFonts w:ascii="Verdana" w:hAnsi="Verdana"/>
          <w:sz w:val="20"/>
          <w:lang w:val="pt-BR"/>
        </w:rPr>
        <w:t>de</w:t>
      </w:r>
      <w:r w:rsidR="0089298C" w:rsidRPr="002F50BD">
        <w:rPr>
          <w:rFonts w:ascii="Verdana" w:hAnsi="Verdana"/>
          <w:sz w:val="20"/>
          <w:lang w:val="pt-BR"/>
        </w:rPr>
        <w:t xml:space="preserve"> um </w:t>
      </w:r>
      <w:r w:rsidRPr="002F50BD">
        <w:rPr>
          <w:rFonts w:ascii="Verdana" w:hAnsi="Verdana"/>
          <w:sz w:val="20"/>
          <w:lang w:val="pt-BR"/>
        </w:rPr>
        <w:t xml:space="preserve">proprietário contra </w:t>
      </w:r>
      <w:r w:rsidR="0089298C" w:rsidRPr="002F50BD">
        <w:rPr>
          <w:rFonts w:ascii="Verdana" w:hAnsi="Verdana"/>
          <w:sz w:val="20"/>
          <w:lang w:val="pt-BR"/>
        </w:rPr>
        <w:t>a Comunidade e ess</w:t>
      </w:r>
      <w:r w:rsidRPr="002F50BD">
        <w:rPr>
          <w:rFonts w:ascii="Verdana" w:hAnsi="Verdana"/>
          <w:sz w:val="20"/>
          <w:lang w:val="pt-BR"/>
        </w:rPr>
        <w:t xml:space="preserve">a mudança não se adaptou </w:t>
      </w:r>
      <w:r w:rsidR="0089298C" w:rsidRPr="002F50BD">
        <w:rPr>
          <w:rFonts w:ascii="Verdana" w:hAnsi="Verdana"/>
          <w:sz w:val="20"/>
          <w:lang w:val="pt-BR"/>
        </w:rPr>
        <w:t xml:space="preserve">à </w:t>
      </w:r>
      <w:r w:rsidR="004756C1" w:rsidRPr="002F50BD">
        <w:rPr>
          <w:rFonts w:ascii="Verdana" w:hAnsi="Verdana"/>
          <w:sz w:val="20"/>
          <w:lang w:val="pt-BR"/>
        </w:rPr>
        <w:t xml:space="preserve">forma de </w:t>
      </w:r>
      <w:r w:rsidR="0089298C" w:rsidRPr="002F50BD">
        <w:rPr>
          <w:rFonts w:ascii="Verdana" w:hAnsi="Verdana"/>
          <w:sz w:val="20"/>
          <w:lang w:val="pt-BR"/>
        </w:rPr>
        <w:t>convivência dos membro</w:t>
      </w:r>
      <w:r w:rsidR="004756C1"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00DB51F0"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que</w:t>
      </w:r>
      <w:r w:rsidR="0089298C" w:rsidRPr="002F50BD">
        <w:rPr>
          <w:rFonts w:ascii="Verdana" w:hAnsi="Verdana"/>
          <w:sz w:val="20"/>
          <w:lang w:val="pt-BR"/>
        </w:rPr>
        <w:t xml:space="preserve"> são </w:t>
      </w:r>
      <w:r w:rsidR="004756C1" w:rsidRPr="002F50BD">
        <w:rPr>
          <w:rFonts w:ascii="Verdana" w:hAnsi="Verdana"/>
          <w:sz w:val="20"/>
          <w:lang w:val="pt-BR"/>
        </w:rPr>
        <w:t>Enxet, n</w:t>
      </w:r>
      <w:r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queriam</w:t>
      </w:r>
      <w:r w:rsidR="004756C1" w:rsidRPr="002F50BD">
        <w:rPr>
          <w:rFonts w:ascii="Verdana" w:hAnsi="Verdana"/>
          <w:sz w:val="20"/>
          <w:lang w:val="pt-BR"/>
        </w:rPr>
        <w:t xml:space="preserve"> </w:t>
      </w:r>
      <w:r w:rsidR="0089298C" w:rsidRPr="002F50BD">
        <w:rPr>
          <w:rFonts w:ascii="Verdana" w:hAnsi="Verdana"/>
          <w:sz w:val="20"/>
          <w:lang w:val="pt-BR"/>
        </w:rPr>
        <w:t>sair</w:t>
      </w:r>
      <w:r w:rsidR="004756C1" w:rsidRPr="002F50BD">
        <w:rPr>
          <w:rFonts w:ascii="Verdana" w:hAnsi="Verdana"/>
          <w:sz w:val="20"/>
          <w:lang w:val="pt-BR"/>
        </w:rPr>
        <w:t xml:space="preserve"> de Yakye Axa</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 xml:space="preserve">que </w:t>
      </w:r>
      <w:r w:rsidR="004076AD" w:rsidRPr="002F50BD">
        <w:rPr>
          <w:rFonts w:ascii="Verdana" w:hAnsi="Verdana"/>
          <w:sz w:val="20"/>
          <w:lang w:val="pt-BR"/>
        </w:rPr>
        <w:t>ali</w:t>
      </w:r>
      <w:r w:rsidR="004756C1" w:rsidRPr="002F50BD">
        <w:rPr>
          <w:rFonts w:ascii="Verdana" w:hAnsi="Verdana"/>
          <w:sz w:val="20"/>
          <w:lang w:val="pt-BR"/>
        </w:rPr>
        <w:t xml:space="preserve"> </w:t>
      </w:r>
      <w:r w:rsidR="0089298C" w:rsidRPr="002F50BD">
        <w:rPr>
          <w:rFonts w:ascii="Verdana" w:hAnsi="Verdana"/>
          <w:sz w:val="20"/>
          <w:lang w:val="pt-BR"/>
        </w:rPr>
        <w:t xml:space="preserve">tinham a </w:t>
      </w:r>
      <w:r w:rsidR="004756C1" w:rsidRPr="002F50BD">
        <w:rPr>
          <w:rFonts w:ascii="Verdana" w:hAnsi="Verdana"/>
          <w:sz w:val="20"/>
          <w:lang w:val="pt-BR"/>
        </w:rPr>
        <w:t>riqueza</w:t>
      </w:r>
      <w:r w:rsidR="0089298C" w:rsidRPr="002F50BD">
        <w:rPr>
          <w:rFonts w:ascii="Verdana" w:hAnsi="Verdana"/>
          <w:sz w:val="20"/>
          <w:lang w:val="pt-BR"/>
        </w:rPr>
        <w:t xml:space="preserve"> e os </w:t>
      </w:r>
      <w:r w:rsidR="004756C1" w:rsidRPr="002F50BD">
        <w:rPr>
          <w:rFonts w:ascii="Verdana" w:hAnsi="Verdana"/>
          <w:sz w:val="20"/>
          <w:lang w:val="pt-BR"/>
        </w:rPr>
        <w:t>recursos que</w:t>
      </w:r>
      <w:r w:rsidR="0089298C" w:rsidRPr="002F50BD">
        <w:rPr>
          <w:rFonts w:ascii="Verdana" w:hAnsi="Verdana"/>
          <w:sz w:val="20"/>
          <w:lang w:val="pt-BR"/>
        </w:rPr>
        <w:t xml:space="preserve"> estão n</w:t>
      </w:r>
      <w:r w:rsidRPr="002F50BD">
        <w:rPr>
          <w:rFonts w:ascii="Verdana" w:hAnsi="Verdana"/>
          <w:sz w:val="20"/>
          <w:lang w:val="pt-BR"/>
        </w:rPr>
        <w:t xml:space="preserve">a floresta </w:t>
      </w:r>
      <w:r w:rsidR="0089298C" w:rsidRPr="002F50BD">
        <w:rPr>
          <w:rFonts w:ascii="Verdana" w:hAnsi="Verdana"/>
          <w:sz w:val="20"/>
          <w:lang w:val="pt-BR"/>
        </w:rPr>
        <w:t>e n</w:t>
      </w:r>
      <w:r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lag</w:t>
      </w:r>
      <w:r w:rsidRPr="002F50BD">
        <w:rPr>
          <w:rFonts w:ascii="Verdana" w:hAnsi="Verdana"/>
          <w:sz w:val="20"/>
          <w:lang w:val="pt-BR"/>
        </w:rPr>
        <w:t>oa</w:t>
      </w:r>
      <w:r w:rsidR="004756C1" w:rsidRPr="002F50BD">
        <w:rPr>
          <w:rFonts w:ascii="Verdana" w:hAnsi="Verdana"/>
          <w:sz w:val="20"/>
          <w:lang w:val="pt-BR"/>
        </w:rPr>
        <w:t>s.</w:t>
      </w:r>
    </w:p>
    <w:p w:rsidR="004756C1" w:rsidRPr="002F50BD" w:rsidRDefault="0089298C">
      <w:pPr>
        <w:jc w:val="both"/>
        <w:rPr>
          <w:rFonts w:ascii="Verdana" w:hAnsi="Verdana"/>
          <w:sz w:val="20"/>
          <w:lang w:val="pt-BR"/>
        </w:rPr>
      </w:pPr>
      <w:r w:rsidRPr="002F50BD">
        <w:rPr>
          <w:rFonts w:ascii="Verdana" w:hAnsi="Verdana"/>
          <w:sz w:val="20"/>
          <w:lang w:val="pt-BR"/>
        </w:rPr>
        <w:cr/>
      </w:r>
      <w:r w:rsidR="00475EBB" w:rsidRPr="002F50BD">
        <w:rPr>
          <w:rFonts w:ascii="Verdana" w:hAnsi="Verdana"/>
          <w:sz w:val="20"/>
          <w:lang w:val="pt-BR"/>
        </w:rPr>
        <w:t>A testemunha</w:t>
      </w:r>
      <w:r w:rsidR="004756C1" w:rsidRPr="002F50BD">
        <w:rPr>
          <w:rFonts w:ascii="Verdana" w:hAnsi="Verdana"/>
          <w:sz w:val="20"/>
          <w:lang w:val="pt-BR"/>
        </w:rPr>
        <w:t xml:space="preserve"> n</w:t>
      </w:r>
      <w:r w:rsidR="00CD7100" w:rsidRPr="002F50BD">
        <w:rPr>
          <w:rFonts w:ascii="Verdana" w:hAnsi="Verdana"/>
          <w:sz w:val="20"/>
          <w:lang w:val="pt-BR"/>
        </w:rPr>
        <w:t>ã</w:t>
      </w:r>
      <w:r w:rsidR="004756C1" w:rsidRPr="002F50BD">
        <w:rPr>
          <w:rFonts w:ascii="Verdana" w:hAnsi="Verdana"/>
          <w:sz w:val="20"/>
          <w:lang w:val="pt-BR"/>
        </w:rPr>
        <w:t>o sabe por qu</w:t>
      </w:r>
      <w:r w:rsidR="00CD7100" w:rsidRPr="002F50BD">
        <w:rPr>
          <w:rFonts w:ascii="Verdana" w:hAnsi="Verdana"/>
          <w:sz w:val="20"/>
          <w:lang w:val="pt-BR"/>
        </w:rPr>
        <w:t>e</w:t>
      </w:r>
      <w:r w:rsidR="004756C1" w:rsidRPr="002F50BD">
        <w:rPr>
          <w:rFonts w:ascii="Verdana" w:hAnsi="Verdana"/>
          <w:sz w:val="20"/>
          <w:lang w:val="pt-BR"/>
        </w:rPr>
        <w:t xml:space="preserve"> s</w:t>
      </w:r>
      <w:r w:rsidR="00CD7100" w:rsidRPr="002F50BD">
        <w:rPr>
          <w:rFonts w:ascii="Verdana" w:hAnsi="Verdana"/>
          <w:sz w:val="20"/>
          <w:lang w:val="pt-BR"/>
        </w:rPr>
        <w:t>e</w:t>
      </w:r>
      <w:r w:rsidR="004756C1" w:rsidRPr="002F50BD">
        <w:rPr>
          <w:rFonts w:ascii="Verdana" w:hAnsi="Verdana"/>
          <w:sz w:val="20"/>
          <w:lang w:val="pt-BR"/>
        </w:rPr>
        <w:t xml:space="preserve">u grupo </w:t>
      </w:r>
      <w:r w:rsidR="00AB454A" w:rsidRPr="002F50BD">
        <w:rPr>
          <w:rFonts w:ascii="Verdana" w:hAnsi="Verdana"/>
          <w:sz w:val="20"/>
          <w:lang w:val="pt-BR"/>
        </w:rPr>
        <w:t>saiu</w:t>
      </w:r>
      <w:r w:rsidR="004756C1" w:rsidRPr="002F50BD">
        <w:rPr>
          <w:rFonts w:ascii="Verdana" w:hAnsi="Verdana"/>
          <w:sz w:val="20"/>
          <w:lang w:val="pt-BR"/>
        </w:rPr>
        <w:t xml:space="preserve"> de Yakye Axa. </w:t>
      </w:r>
      <w:r w:rsidR="00CD7100" w:rsidRPr="002F50BD">
        <w:rPr>
          <w:rFonts w:ascii="Verdana" w:hAnsi="Verdana"/>
          <w:sz w:val="20"/>
          <w:lang w:val="pt-BR"/>
        </w:rPr>
        <w:t>U</w:t>
      </w:r>
      <w:r w:rsidRPr="002F50BD">
        <w:rPr>
          <w:rFonts w:ascii="Verdana" w:hAnsi="Verdana"/>
          <w:sz w:val="20"/>
          <w:lang w:val="pt-BR"/>
        </w:rPr>
        <w:t>m dia</w:t>
      </w:r>
      <w:r w:rsidR="00CD7100" w:rsidRPr="002F50BD">
        <w:rPr>
          <w:rFonts w:ascii="Verdana" w:hAnsi="Verdana"/>
          <w:sz w:val="20"/>
          <w:lang w:val="pt-BR"/>
        </w:rPr>
        <w:t>,</w:t>
      </w:r>
      <w:r w:rsidR="004756C1" w:rsidRPr="002F50BD">
        <w:rPr>
          <w:rFonts w:ascii="Verdana" w:hAnsi="Verdana"/>
          <w:sz w:val="20"/>
          <w:lang w:val="pt-BR"/>
        </w:rPr>
        <w:t xml:space="preserve"> de repente</w:t>
      </w:r>
      <w:r w:rsidR="00CD7100"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chegaram</w:t>
      </w:r>
      <w:r w:rsidR="004756C1" w:rsidRPr="002F50BD">
        <w:rPr>
          <w:rFonts w:ascii="Verdana" w:hAnsi="Verdana"/>
          <w:sz w:val="20"/>
          <w:lang w:val="pt-BR"/>
        </w:rPr>
        <w:t xml:space="preserve"> </w:t>
      </w:r>
      <w:r w:rsidRPr="002F50BD">
        <w:rPr>
          <w:rFonts w:ascii="Verdana" w:hAnsi="Verdana"/>
          <w:sz w:val="20"/>
          <w:lang w:val="pt-BR"/>
        </w:rPr>
        <w:t>vários</w:t>
      </w:r>
      <w:r w:rsidR="004756C1" w:rsidRPr="002F50BD">
        <w:rPr>
          <w:rFonts w:ascii="Verdana" w:hAnsi="Verdana"/>
          <w:sz w:val="20"/>
          <w:lang w:val="pt-BR"/>
        </w:rPr>
        <w:t xml:space="preserve"> </w:t>
      </w:r>
      <w:r w:rsidR="00AB454A" w:rsidRPr="002F50BD">
        <w:rPr>
          <w:rFonts w:ascii="Verdana" w:hAnsi="Verdana"/>
          <w:sz w:val="20"/>
          <w:lang w:val="pt-BR"/>
        </w:rPr>
        <w:t>veícu</w:t>
      </w:r>
      <w:r w:rsidR="00CD7100" w:rsidRPr="002F50BD">
        <w:rPr>
          <w:rFonts w:ascii="Verdana" w:hAnsi="Verdana"/>
          <w:sz w:val="20"/>
          <w:lang w:val="pt-BR"/>
        </w:rPr>
        <w:t>lo</w:t>
      </w:r>
      <w:r w:rsidR="00AB6727" w:rsidRPr="002F50BD">
        <w:rPr>
          <w:rFonts w:ascii="Verdana" w:hAnsi="Verdana"/>
          <w:sz w:val="20"/>
          <w:lang w:val="pt-BR"/>
        </w:rPr>
        <w:t xml:space="preserve">s </w:t>
      </w:r>
      <w:r w:rsidRPr="002F50BD">
        <w:rPr>
          <w:rFonts w:ascii="Verdana" w:hAnsi="Verdana"/>
          <w:sz w:val="20"/>
          <w:lang w:val="pt-BR"/>
        </w:rPr>
        <w:t xml:space="preserve">e lhes </w:t>
      </w:r>
      <w:r w:rsidR="005A6BC7" w:rsidRPr="002F50BD">
        <w:rPr>
          <w:rFonts w:ascii="Verdana" w:hAnsi="Verdana"/>
          <w:sz w:val="20"/>
          <w:lang w:val="pt-BR"/>
        </w:rPr>
        <w:t>disseram</w:t>
      </w:r>
      <w:r w:rsidR="004756C1" w:rsidRPr="002F50BD">
        <w:rPr>
          <w:rFonts w:ascii="Verdana" w:hAnsi="Verdana"/>
          <w:sz w:val="20"/>
          <w:lang w:val="pt-BR"/>
        </w:rPr>
        <w:t xml:space="preserve"> que </w:t>
      </w:r>
      <w:r w:rsidRPr="002F50BD">
        <w:rPr>
          <w:rFonts w:ascii="Verdana" w:hAnsi="Verdana"/>
          <w:sz w:val="20"/>
          <w:lang w:val="pt-BR"/>
        </w:rPr>
        <w:t>tinham</w:t>
      </w:r>
      <w:r w:rsidR="004756C1" w:rsidRPr="002F50BD">
        <w:rPr>
          <w:rFonts w:ascii="Verdana" w:hAnsi="Verdana"/>
          <w:sz w:val="20"/>
          <w:lang w:val="pt-BR"/>
        </w:rPr>
        <w:t xml:space="preserve"> que subir</w:t>
      </w:r>
      <w:r w:rsidRPr="002F50BD">
        <w:rPr>
          <w:rFonts w:ascii="Verdana" w:hAnsi="Verdana"/>
          <w:sz w:val="20"/>
          <w:lang w:val="pt-BR"/>
        </w:rPr>
        <w:t xml:space="preserve"> </w:t>
      </w:r>
      <w:r w:rsidR="00CD7100" w:rsidRPr="002F50BD">
        <w:rPr>
          <w:rFonts w:ascii="Verdana" w:hAnsi="Verdana"/>
          <w:sz w:val="20"/>
          <w:lang w:val="pt-BR"/>
        </w:rPr>
        <w:t>n</w:t>
      </w:r>
      <w:r w:rsidRPr="002F50BD">
        <w:rPr>
          <w:rFonts w:ascii="Verdana" w:hAnsi="Verdana"/>
          <w:sz w:val="20"/>
          <w:lang w:val="pt-BR"/>
        </w:rPr>
        <w:t>ele</w:t>
      </w:r>
      <w:r w:rsidR="004756C1" w:rsidRPr="002F50BD">
        <w:rPr>
          <w:rFonts w:ascii="Verdana" w:hAnsi="Verdana"/>
          <w:sz w:val="20"/>
          <w:lang w:val="pt-BR"/>
        </w:rPr>
        <w:t>s.</w:t>
      </w:r>
      <w:r w:rsidR="00FE08B7">
        <w:rPr>
          <w:rFonts w:ascii="Verdana" w:hAnsi="Verdana"/>
          <w:sz w:val="20"/>
          <w:lang w:val="pt-BR"/>
        </w:rPr>
        <w:t xml:space="preserve"> </w:t>
      </w:r>
      <w:r w:rsidR="00CD7100" w:rsidRPr="002F50BD">
        <w:rPr>
          <w:rFonts w:ascii="Verdana" w:hAnsi="Verdana"/>
          <w:sz w:val="20"/>
          <w:lang w:val="pt-BR"/>
        </w:rPr>
        <w:t xml:space="preserve">Foram levados </w:t>
      </w:r>
      <w:r w:rsidRPr="002F50BD">
        <w:rPr>
          <w:rFonts w:ascii="Verdana" w:hAnsi="Verdana"/>
          <w:sz w:val="20"/>
          <w:lang w:val="pt-BR"/>
        </w:rPr>
        <w:t>até a missão</w:t>
      </w:r>
      <w:r w:rsidR="004756C1" w:rsidRPr="002F50BD">
        <w:rPr>
          <w:rFonts w:ascii="Verdana" w:hAnsi="Verdana"/>
          <w:sz w:val="20"/>
          <w:lang w:val="pt-BR"/>
        </w:rPr>
        <w:t xml:space="preserve"> inglesa, Makxlawaya</w:t>
      </w:r>
      <w:r w:rsidRPr="002F50BD">
        <w:rPr>
          <w:rFonts w:ascii="Verdana" w:hAnsi="Verdana"/>
          <w:sz w:val="20"/>
          <w:lang w:val="pt-BR"/>
        </w:rPr>
        <w:t>, e</w:t>
      </w:r>
      <w:r w:rsidR="004756C1" w:rsidRPr="002F50BD">
        <w:rPr>
          <w:rFonts w:ascii="Verdana" w:hAnsi="Verdana"/>
          <w:sz w:val="20"/>
          <w:lang w:val="pt-BR"/>
        </w:rPr>
        <w:t xml:space="preserve"> </w:t>
      </w:r>
      <w:r w:rsidR="00CD7100" w:rsidRPr="002F50BD">
        <w:rPr>
          <w:rFonts w:ascii="Verdana" w:hAnsi="Verdana"/>
          <w:sz w:val="20"/>
          <w:lang w:val="pt-BR"/>
        </w:rPr>
        <w:t xml:space="preserve">depois </w:t>
      </w:r>
      <w:r w:rsidR="004756C1" w:rsidRPr="002F50BD">
        <w:rPr>
          <w:rFonts w:ascii="Verdana" w:hAnsi="Verdana"/>
          <w:sz w:val="20"/>
          <w:lang w:val="pt-BR"/>
        </w:rPr>
        <w:t>a</w:t>
      </w:r>
      <w:r w:rsidRPr="002F50BD">
        <w:rPr>
          <w:rFonts w:ascii="Verdana" w:hAnsi="Verdana"/>
          <w:sz w:val="20"/>
          <w:lang w:val="pt-BR"/>
        </w:rPr>
        <w:t xml:space="preserve"> </w:t>
      </w:r>
      <w:r w:rsidR="00CD7100" w:rsidRPr="002F50BD">
        <w:rPr>
          <w:rFonts w:ascii="Verdana" w:hAnsi="Verdana"/>
          <w:sz w:val="20"/>
          <w:lang w:val="pt-BR"/>
        </w:rPr>
        <w:t>El</w:t>
      </w:r>
      <w:r w:rsidRPr="002F50BD">
        <w:rPr>
          <w:rFonts w:ascii="Verdana" w:hAnsi="Verdana"/>
          <w:sz w:val="20"/>
          <w:lang w:val="pt-BR"/>
        </w:rPr>
        <w:t xml:space="preserve"> </w:t>
      </w:r>
      <w:r w:rsidR="004756C1" w:rsidRPr="002F50BD">
        <w:rPr>
          <w:rFonts w:ascii="Verdana" w:hAnsi="Verdana"/>
          <w:sz w:val="20"/>
          <w:lang w:val="pt-BR"/>
        </w:rPr>
        <w:t>Estribo</w:t>
      </w:r>
      <w:r w:rsidR="00AB454A" w:rsidRPr="002F50BD">
        <w:rPr>
          <w:rFonts w:ascii="Verdana" w:hAnsi="Verdana"/>
          <w:sz w:val="20"/>
          <w:lang w:val="pt-BR"/>
        </w:rPr>
        <w:t xml:space="preserve">. </w:t>
      </w:r>
      <w:r w:rsidR="00CD7100" w:rsidRPr="002F50BD">
        <w:rPr>
          <w:rFonts w:ascii="Verdana" w:hAnsi="Verdana"/>
          <w:sz w:val="20"/>
          <w:lang w:val="pt-BR"/>
        </w:rPr>
        <w:t xml:space="preserve">Em El </w:t>
      </w:r>
      <w:r w:rsidR="004756C1" w:rsidRPr="002F50BD">
        <w:rPr>
          <w:rFonts w:ascii="Verdana" w:hAnsi="Verdana"/>
          <w:sz w:val="20"/>
          <w:lang w:val="pt-BR"/>
        </w:rPr>
        <w:t xml:space="preserve">Estribo </w:t>
      </w:r>
      <w:r w:rsidR="00CD7100" w:rsidRPr="002F50BD">
        <w:rPr>
          <w:rFonts w:ascii="Verdana" w:hAnsi="Verdana"/>
          <w:sz w:val="20"/>
          <w:lang w:val="pt-BR"/>
        </w:rPr>
        <w:t>viviam</w:t>
      </w:r>
      <w:r w:rsidRPr="002F50BD">
        <w:rPr>
          <w:rFonts w:ascii="Verdana" w:hAnsi="Verdana"/>
          <w:sz w:val="20"/>
          <w:lang w:val="pt-BR"/>
        </w:rPr>
        <w:t xml:space="preserve"> bem </w:t>
      </w:r>
      <w:r w:rsidR="004756C1" w:rsidRPr="002F50BD">
        <w:rPr>
          <w:rFonts w:ascii="Verdana" w:hAnsi="Verdana"/>
          <w:sz w:val="20"/>
          <w:lang w:val="pt-BR"/>
        </w:rPr>
        <w:t xml:space="preserve">tranquilos, </w:t>
      </w:r>
      <w:r w:rsidRPr="002F50BD">
        <w:rPr>
          <w:rFonts w:ascii="Verdana" w:hAnsi="Verdana"/>
          <w:sz w:val="20"/>
          <w:lang w:val="pt-BR"/>
        </w:rPr>
        <w:t xml:space="preserve">mas os </w:t>
      </w:r>
      <w:r w:rsidR="004756C1" w:rsidRPr="002F50BD">
        <w:rPr>
          <w:rFonts w:ascii="Verdana" w:hAnsi="Verdana"/>
          <w:sz w:val="20"/>
          <w:lang w:val="pt-BR"/>
        </w:rPr>
        <w:t>pastores n</w:t>
      </w:r>
      <w:r w:rsidR="00CD7100"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w:t>
      </w:r>
      <w:r w:rsidR="00CD7100" w:rsidRPr="002F50BD">
        <w:rPr>
          <w:rFonts w:ascii="Verdana" w:hAnsi="Verdana"/>
          <w:sz w:val="20"/>
          <w:lang w:val="pt-BR"/>
        </w:rPr>
        <w:t xml:space="preserve">gostavam </w:t>
      </w:r>
      <w:r w:rsidR="004756C1" w:rsidRPr="002F50BD">
        <w:rPr>
          <w:rFonts w:ascii="Verdana" w:hAnsi="Verdana"/>
          <w:sz w:val="20"/>
          <w:lang w:val="pt-BR"/>
        </w:rPr>
        <w:t>que</w:t>
      </w:r>
      <w:r w:rsidRPr="002F50BD">
        <w:rPr>
          <w:rFonts w:ascii="Verdana" w:hAnsi="Verdana"/>
          <w:sz w:val="20"/>
          <w:lang w:val="pt-BR"/>
        </w:rPr>
        <w:t xml:space="preserve"> ele</w:t>
      </w:r>
      <w:r w:rsidR="004756C1" w:rsidRPr="002F50BD">
        <w:rPr>
          <w:rFonts w:ascii="Verdana" w:hAnsi="Verdana"/>
          <w:sz w:val="20"/>
          <w:lang w:val="pt-BR"/>
        </w:rPr>
        <w:t xml:space="preserve">s </w:t>
      </w:r>
      <w:r w:rsidR="004076AD" w:rsidRPr="002F50BD">
        <w:rPr>
          <w:rFonts w:ascii="Verdana" w:hAnsi="Verdana"/>
          <w:sz w:val="20"/>
          <w:lang w:val="pt-BR"/>
        </w:rPr>
        <w:t>pratica</w:t>
      </w:r>
      <w:r w:rsidR="00CD7100" w:rsidRPr="002F50BD">
        <w:rPr>
          <w:rFonts w:ascii="Verdana" w:hAnsi="Verdana"/>
          <w:sz w:val="20"/>
          <w:lang w:val="pt-BR"/>
        </w:rPr>
        <w:t>ssem</w:t>
      </w:r>
      <w:r w:rsidR="004756C1" w:rsidRPr="002F50BD">
        <w:rPr>
          <w:rFonts w:ascii="Verdana" w:hAnsi="Verdana"/>
          <w:sz w:val="20"/>
          <w:lang w:val="pt-BR"/>
        </w:rPr>
        <w:t xml:space="preserve"> su</w:t>
      </w:r>
      <w:r w:rsidR="00CD7100" w:rsidRPr="002F50BD">
        <w:rPr>
          <w:rFonts w:ascii="Verdana" w:hAnsi="Verdana"/>
          <w:sz w:val="20"/>
          <w:lang w:val="pt-BR"/>
        </w:rPr>
        <w:t>a</w:t>
      </w:r>
      <w:r w:rsidR="004756C1" w:rsidRPr="002F50BD">
        <w:rPr>
          <w:rFonts w:ascii="Verdana" w:hAnsi="Verdana"/>
          <w:sz w:val="20"/>
          <w:lang w:val="pt-BR"/>
        </w:rPr>
        <w:t xml:space="preserve">s </w:t>
      </w:r>
      <w:r w:rsidR="005A6BC7" w:rsidRPr="002F50BD">
        <w:rPr>
          <w:rFonts w:ascii="Verdana" w:hAnsi="Verdana"/>
          <w:sz w:val="20"/>
          <w:lang w:val="pt-BR"/>
        </w:rPr>
        <w:t>festa</w:t>
      </w:r>
      <w:r w:rsidR="004756C1" w:rsidRPr="002F50BD">
        <w:rPr>
          <w:rFonts w:ascii="Verdana" w:hAnsi="Verdana"/>
          <w:sz w:val="20"/>
          <w:lang w:val="pt-BR"/>
        </w:rPr>
        <w:t xml:space="preserve">s </w:t>
      </w:r>
      <w:r w:rsidRPr="002F50BD">
        <w:rPr>
          <w:rFonts w:ascii="Verdana" w:hAnsi="Verdana"/>
          <w:sz w:val="20"/>
          <w:lang w:val="pt-BR"/>
        </w:rPr>
        <w:t>culturais</w:t>
      </w:r>
      <w:r w:rsidR="004756C1" w:rsidRPr="002F50BD">
        <w:rPr>
          <w:rFonts w:ascii="Verdana" w:hAnsi="Verdana"/>
          <w:sz w:val="20"/>
          <w:lang w:val="pt-BR"/>
        </w:rPr>
        <w:t xml:space="preserve">, </w:t>
      </w:r>
      <w:r w:rsidRPr="002F50BD">
        <w:rPr>
          <w:rFonts w:ascii="Verdana" w:hAnsi="Verdana"/>
          <w:sz w:val="20"/>
          <w:lang w:val="pt-BR"/>
        </w:rPr>
        <w:t>então</w:t>
      </w:r>
      <w:r w:rsidR="004756C1" w:rsidRPr="002F50BD">
        <w:rPr>
          <w:rFonts w:ascii="Verdana" w:hAnsi="Verdana"/>
          <w:sz w:val="20"/>
          <w:lang w:val="pt-BR"/>
        </w:rPr>
        <w:t>,</w:t>
      </w:r>
      <w:r w:rsidRPr="002F50BD">
        <w:rPr>
          <w:rFonts w:ascii="Verdana" w:hAnsi="Verdana"/>
          <w:sz w:val="20"/>
          <w:lang w:val="pt-BR"/>
        </w:rPr>
        <w:t xml:space="preserve"> </w:t>
      </w:r>
      <w:r w:rsidR="00475EBB" w:rsidRPr="002F50BD">
        <w:rPr>
          <w:rFonts w:ascii="Verdana" w:hAnsi="Verdana"/>
          <w:sz w:val="20"/>
          <w:lang w:val="pt-BR"/>
        </w:rPr>
        <w:t>a testemunha</w:t>
      </w:r>
      <w:r w:rsidR="004756C1" w:rsidRPr="002F50BD">
        <w:rPr>
          <w:rFonts w:ascii="Verdana" w:hAnsi="Verdana"/>
          <w:sz w:val="20"/>
          <w:lang w:val="pt-BR"/>
        </w:rPr>
        <w:t xml:space="preserve">, como </w:t>
      </w:r>
      <w:r w:rsidRPr="002F50BD">
        <w:rPr>
          <w:rFonts w:ascii="Verdana" w:hAnsi="Verdana"/>
          <w:sz w:val="20"/>
          <w:lang w:val="pt-BR"/>
        </w:rPr>
        <w:t>chefe</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grupo, </w:t>
      </w:r>
      <w:r w:rsidRPr="002F50BD">
        <w:rPr>
          <w:rFonts w:ascii="Verdana" w:hAnsi="Verdana"/>
          <w:sz w:val="20"/>
          <w:lang w:val="pt-BR"/>
        </w:rPr>
        <w:t>decidiu</w:t>
      </w:r>
      <w:r w:rsidR="004756C1" w:rsidRPr="002F50BD">
        <w:rPr>
          <w:rFonts w:ascii="Verdana" w:hAnsi="Verdana"/>
          <w:sz w:val="20"/>
          <w:lang w:val="pt-BR"/>
        </w:rPr>
        <w:t xml:space="preserve"> </w:t>
      </w:r>
      <w:r w:rsidRPr="002F50BD">
        <w:rPr>
          <w:rFonts w:ascii="Verdana" w:hAnsi="Verdana"/>
          <w:sz w:val="20"/>
          <w:lang w:val="pt-BR"/>
        </w:rPr>
        <w:t>sair com outros</w:t>
      </w:r>
      <w:r w:rsidR="004756C1"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e </w:t>
      </w:r>
      <w:r w:rsidR="00E10DBB" w:rsidRPr="002F50BD">
        <w:rPr>
          <w:rFonts w:ascii="Verdana" w:hAnsi="Verdana"/>
          <w:sz w:val="20"/>
          <w:lang w:val="pt-BR"/>
        </w:rPr>
        <w:t>regressar</w:t>
      </w:r>
      <w:r w:rsidR="004756C1" w:rsidRPr="002F50BD">
        <w:rPr>
          <w:rFonts w:ascii="Verdana" w:hAnsi="Verdana"/>
          <w:sz w:val="20"/>
          <w:lang w:val="pt-BR"/>
        </w:rPr>
        <w:t xml:space="preserve"> a Yakye Axa, porque</w:t>
      </w:r>
      <w:r w:rsidRPr="002F50BD">
        <w:rPr>
          <w:rFonts w:ascii="Verdana" w:hAnsi="Verdana"/>
          <w:sz w:val="20"/>
          <w:lang w:val="pt-BR"/>
        </w:rPr>
        <w:t xml:space="preserve"> é </w:t>
      </w:r>
      <w:r w:rsidR="004076AD" w:rsidRPr="002F50BD">
        <w:rPr>
          <w:rFonts w:ascii="Verdana" w:hAnsi="Verdana"/>
          <w:sz w:val="20"/>
          <w:lang w:val="pt-BR"/>
        </w:rPr>
        <w:t>ali</w:t>
      </w:r>
      <w:r w:rsidRPr="002F50BD">
        <w:rPr>
          <w:rFonts w:ascii="Verdana" w:hAnsi="Verdana"/>
          <w:sz w:val="20"/>
          <w:lang w:val="pt-BR"/>
        </w:rPr>
        <w:t xml:space="preserve"> onde teriam uma boa </w:t>
      </w:r>
      <w:r w:rsidR="004756C1" w:rsidRPr="002F50BD">
        <w:rPr>
          <w:rFonts w:ascii="Verdana" w:hAnsi="Verdana"/>
          <w:sz w:val="20"/>
          <w:lang w:val="pt-BR"/>
        </w:rPr>
        <w:t>rela</w:t>
      </w:r>
      <w:r w:rsidRPr="002F50BD">
        <w:rPr>
          <w:rFonts w:ascii="Verdana" w:hAnsi="Verdana"/>
          <w:sz w:val="20"/>
          <w:lang w:val="pt-BR"/>
        </w:rPr>
        <w:t xml:space="preserve">ção com o </w:t>
      </w:r>
      <w:r w:rsidR="004756C1" w:rsidRPr="002F50BD">
        <w:rPr>
          <w:rFonts w:ascii="Verdana" w:hAnsi="Verdana"/>
          <w:sz w:val="20"/>
          <w:lang w:val="pt-BR"/>
        </w:rPr>
        <w:t>grupo</w:t>
      </w:r>
      <w:r w:rsidRPr="002F50BD">
        <w:rPr>
          <w:rFonts w:ascii="Verdana" w:hAnsi="Verdana"/>
          <w:sz w:val="20"/>
          <w:lang w:val="pt-BR"/>
        </w:rPr>
        <w:t xml:space="preserve"> e poderia</w:t>
      </w:r>
      <w:r w:rsidR="00CD7100" w:rsidRPr="002F50BD">
        <w:rPr>
          <w:rFonts w:ascii="Verdana" w:hAnsi="Verdana"/>
          <w:sz w:val="20"/>
          <w:lang w:val="pt-BR"/>
        </w:rPr>
        <w:t>m</w:t>
      </w:r>
      <w:r w:rsidR="004756C1" w:rsidRPr="002F50BD">
        <w:rPr>
          <w:rFonts w:ascii="Verdana" w:hAnsi="Verdana"/>
          <w:sz w:val="20"/>
          <w:lang w:val="pt-BR"/>
        </w:rPr>
        <w:t xml:space="preserve"> continuar</w:t>
      </w:r>
      <w:r w:rsidRPr="002F50BD">
        <w:rPr>
          <w:rFonts w:ascii="Verdana" w:hAnsi="Verdana"/>
          <w:sz w:val="20"/>
          <w:lang w:val="pt-BR"/>
        </w:rPr>
        <w:t xml:space="preserve"> com </w:t>
      </w:r>
      <w:r w:rsidR="00CD7100" w:rsidRPr="002F50BD">
        <w:rPr>
          <w:rFonts w:ascii="Verdana" w:hAnsi="Verdana"/>
          <w:sz w:val="20"/>
          <w:lang w:val="pt-BR"/>
        </w:rPr>
        <w:t>suas festas</w:t>
      </w:r>
      <w:r w:rsidR="004756C1" w:rsidRPr="002F50BD">
        <w:rPr>
          <w:rFonts w:ascii="Verdana" w:hAnsi="Verdana"/>
          <w:sz w:val="20"/>
          <w:lang w:val="pt-BR"/>
        </w:rPr>
        <w:t xml:space="preserve"> </w:t>
      </w:r>
      <w:r w:rsidRPr="002F50BD">
        <w:rPr>
          <w:rFonts w:ascii="Verdana" w:hAnsi="Verdana"/>
          <w:sz w:val="20"/>
          <w:lang w:val="pt-BR"/>
        </w:rPr>
        <w:t xml:space="preserve">culturais sem </w:t>
      </w:r>
      <w:r w:rsidR="00CD7100" w:rsidRPr="002F50BD">
        <w:rPr>
          <w:rFonts w:ascii="Verdana" w:hAnsi="Verdana"/>
          <w:sz w:val="20"/>
          <w:lang w:val="pt-BR"/>
        </w:rPr>
        <w:t xml:space="preserve">incomodar </w:t>
      </w:r>
      <w:r w:rsidRPr="002F50BD">
        <w:rPr>
          <w:rFonts w:ascii="Verdana" w:hAnsi="Verdana"/>
          <w:sz w:val="20"/>
          <w:lang w:val="pt-BR"/>
        </w:rPr>
        <w:t>os pai</w:t>
      </w:r>
      <w:r w:rsidR="004756C1" w:rsidRPr="002F50BD">
        <w:rPr>
          <w:rFonts w:ascii="Verdana" w:hAnsi="Verdana"/>
          <w:sz w:val="20"/>
          <w:lang w:val="pt-BR"/>
        </w:rPr>
        <w:t xml:space="preserve">s de </w:t>
      </w:r>
      <w:r w:rsidRPr="002F50BD">
        <w:rPr>
          <w:rFonts w:ascii="Verdana" w:hAnsi="Verdana"/>
          <w:sz w:val="20"/>
          <w:lang w:val="pt-BR"/>
        </w:rPr>
        <w:t xml:space="preserve">família </w:t>
      </w:r>
      <w:r w:rsidR="004756C1" w:rsidRPr="002F50BD">
        <w:rPr>
          <w:rFonts w:ascii="Verdana" w:hAnsi="Verdana"/>
          <w:sz w:val="20"/>
          <w:lang w:val="pt-BR"/>
        </w:rPr>
        <w:t>que n</w:t>
      </w:r>
      <w:r w:rsidR="00CD7100"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w:t>
      </w:r>
      <w:r w:rsidR="00CD7100" w:rsidRPr="002F50BD">
        <w:rPr>
          <w:rFonts w:ascii="Verdana" w:hAnsi="Verdana"/>
          <w:sz w:val="20"/>
          <w:lang w:val="pt-BR"/>
        </w:rPr>
        <w:t>gostava</w:t>
      </w:r>
      <w:r w:rsidR="004F64EE" w:rsidRPr="002F50BD">
        <w:rPr>
          <w:rFonts w:ascii="Verdana" w:hAnsi="Verdana"/>
          <w:sz w:val="20"/>
          <w:lang w:val="pt-BR"/>
        </w:rPr>
        <w:t>m</w:t>
      </w:r>
      <w:r w:rsidR="00AB6727" w:rsidRPr="002F50BD">
        <w:rPr>
          <w:rFonts w:ascii="Verdana" w:hAnsi="Verdana"/>
          <w:sz w:val="20"/>
          <w:lang w:val="pt-BR"/>
        </w:rPr>
        <w:t xml:space="preserve"> </w:t>
      </w:r>
      <w:r w:rsidR="00CD7100" w:rsidRPr="002F50BD">
        <w:rPr>
          <w:rFonts w:ascii="Verdana" w:hAnsi="Verdana"/>
          <w:sz w:val="20"/>
          <w:lang w:val="pt-BR"/>
        </w:rPr>
        <w:t xml:space="preserve">de </w:t>
      </w:r>
      <w:r w:rsidR="005A6BC7" w:rsidRPr="002F50BD">
        <w:rPr>
          <w:rFonts w:ascii="Verdana" w:hAnsi="Verdana"/>
          <w:sz w:val="20"/>
          <w:lang w:val="pt-BR"/>
        </w:rPr>
        <w:t>sua cultura</w:t>
      </w:r>
      <w:r w:rsidR="00CD7100" w:rsidRPr="002F50BD">
        <w:rPr>
          <w:rFonts w:ascii="Verdana" w:hAnsi="Verdana"/>
          <w:sz w:val="20"/>
          <w:lang w:val="pt-BR"/>
        </w:rPr>
        <w:t>. Em</w:t>
      </w:r>
      <w:r w:rsidRPr="002F50BD">
        <w:rPr>
          <w:rFonts w:ascii="Verdana" w:hAnsi="Verdana"/>
          <w:sz w:val="20"/>
          <w:lang w:val="pt-BR"/>
        </w:rPr>
        <w:t xml:space="preserve"> </w:t>
      </w:r>
      <w:r w:rsidR="004756C1" w:rsidRPr="002F50BD">
        <w:rPr>
          <w:rFonts w:ascii="Verdana" w:hAnsi="Verdana"/>
          <w:sz w:val="20"/>
          <w:lang w:val="pt-BR"/>
        </w:rPr>
        <w:t>Yakye Axa</w:t>
      </w:r>
      <w:r w:rsidR="007C6FF4" w:rsidRPr="002F50BD">
        <w:rPr>
          <w:rFonts w:ascii="Verdana" w:hAnsi="Verdana"/>
          <w:sz w:val="20"/>
          <w:lang w:val="pt-BR"/>
        </w:rPr>
        <w:t>,</w:t>
      </w:r>
      <w:r w:rsidRPr="002F50BD">
        <w:rPr>
          <w:rFonts w:ascii="Verdana" w:hAnsi="Verdana"/>
          <w:sz w:val="20"/>
          <w:lang w:val="pt-BR"/>
        </w:rPr>
        <w:t xml:space="preserve"> teriam </w:t>
      </w:r>
      <w:r w:rsidR="004756C1" w:rsidRPr="002F50BD">
        <w:rPr>
          <w:rFonts w:ascii="Verdana" w:hAnsi="Verdana"/>
          <w:sz w:val="20"/>
          <w:lang w:val="pt-BR"/>
        </w:rPr>
        <w:t>t</w:t>
      </w:r>
      <w:r w:rsidR="00CD7100" w:rsidRPr="002F50BD">
        <w:rPr>
          <w:rFonts w:ascii="Verdana" w:hAnsi="Verdana"/>
          <w:sz w:val="20"/>
          <w:lang w:val="pt-BR"/>
        </w:rPr>
        <w:t>u</w:t>
      </w:r>
      <w:r w:rsidR="004756C1" w:rsidRPr="002F50BD">
        <w:rPr>
          <w:rFonts w:ascii="Verdana" w:hAnsi="Verdana"/>
          <w:sz w:val="20"/>
          <w:lang w:val="pt-BR"/>
        </w:rPr>
        <w:t>do</w:t>
      </w:r>
      <w:r w:rsidRPr="002F50BD">
        <w:rPr>
          <w:rFonts w:ascii="Verdana" w:hAnsi="Verdana"/>
          <w:sz w:val="20"/>
          <w:lang w:val="pt-BR"/>
        </w:rPr>
        <w:t xml:space="preserve"> o que </w:t>
      </w:r>
      <w:r w:rsidR="00CD7100" w:rsidRPr="002F50BD">
        <w:rPr>
          <w:rFonts w:ascii="Verdana" w:hAnsi="Verdana"/>
          <w:sz w:val="20"/>
          <w:lang w:val="pt-BR"/>
        </w:rPr>
        <w:t xml:space="preserve">necessitam, </w:t>
      </w:r>
      <w:r w:rsidRPr="002F50BD">
        <w:rPr>
          <w:rFonts w:ascii="Verdana" w:hAnsi="Verdana"/>
          <w:sz w:val="20"/>
          <w:lang w:val="pt-BR"/>
        </w:rPr>
        <w:t>segundo</w:t>
      </w:r>
      <w:r w:rsidR="004756C1" w:rsidRPr="002F50BD">
        <w:rPr>
          <w:rFonts w:ascii="Verdana" w:hAnsi="Verdana"/>
          <w:sz w:val="20"/>
          <w:lang w:val="pt-BR"/>
        </w:rPr>
        <w:t xml:space="preserve"> </w:t>
      </w:r>
      <w:r w:rsidR="005A6BC7" w:rsidRPr="002F50BD">
        <w:rPr>
          <w:rFonts w:ascii="Verdana" w:hAnsi="Verdana"/>
          <w:sz w:val="20"/>
          <w:lang w:val="pt-BR"/>
        </w:rPr>
        <w:t>sua cultura</w:t>
      </w:r>
      <w:r w:rsidR="00CD7100" w:rsidRPr="002F50BD">
        <w:rPr>
          <w:rFonts w:ascii="Verdana" w:hAnsi="Verdana"/>
          <w:sz w:val="20"/>
          <w:lang w:val="pt-BR"/>
        </w:rPr>
        <w:t>,</w:t>
      </w:r>
      <w:r w:rsidR="004756C1" w:rsidRPr="002F50BD">
        <w:rPr>
          <w:rFonts w:ascii="Verdana" w:hAnsi="Verdana"/>
          <w:sz w:val="20"/>
          <w:lang w:val="pt-BR"/>
        </w:rPr>
        <w:t xml:space="preserve"> para </w:t>
      </w:r>
      <w:r w:rsidR="00CD7100" w:rsidRPr="002F50BD">
        <w:rPr>
          <w:rFonts w:ascii="Verdana" w:hAnsi="Verdana"/>
          <w:sz w:val="20"/>
          <w:lang w:val="pt-BR"/>
        </w:rPr>
        <w:t xml:space="preserve">realizar </w:t>
      </w:r>
      <w:r w:rsidRPr="002F50BD">
        <w:rPr>
          <w:rFonts w:ascii="Verdana" w:hAnsi="Verdana"/>
          <w:sz w:val="20"/>
          <w:lang w:val="pt-BR"/>
        </w:rPr>
        <w:t xml:space="preserve">a </w:t>
      </w:r>
      <w:r w:rsidR="005A6BC7" w:rsidRPr="002F50BD">
        <w:rPr>
          <w:rFonts w:ascii="Verdana" w:hAnsi="Verdana"/>
          <w:sz w:val="20"/>
          <w:lang w:val="pt-BR"/>
        </w:rPr>
        <w:t>festa</w:t>
      </w:r>
      <w:r w:rsidR="004756C1" w:rsidRPr="002F50BD">
        <w:rPr>
          <w:rFonts w:ascii="Verdana" w:hAnsi="Verdana"/>
          <w:sz w:val="20"/>
          <w:lang w:val="pt-BR"/>
        </w:rPr>
        <w:t xml:space="preserve"> cultural.</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5A6BC7" w:rsidRPr="002F50BD">
        <w:rPr>
          <w:rFonts w:ascii="Verdana" w:hAnsi="Verdana"/>
          <w:sz w:val="20"/>
          <w:lang w:val="pt-BR"/>
        </w:rPr>
        <w:t>festa</w:t>
      </w:r>
      <w:r w:rsidR="004756C1" w:rsidRPr="002F50BD">
        <w:rPr>
          <w:rFonts w:ascii="Verdana" w:hAnsi="Verdana"/>
          <w:sz w:val="20"/>
          <w:lang w:val="pt-BR"/>
        </w:rPr>
        <w:t xml:space="preserve"> cultural</w:t>
      </w:r>
      <w:r w:rsidRPr="002F50BD">
        <w:rPr>
          <w:rFonts w:ascii="Verdana" w:hAnsi="Verdana"/>
          <w:sz w:val="20"/>
          <w:lang w:val="pt-BR"/>
        </w:rPr>
        <w:t xml:space="preserve"> da Comunidade </w:t>
      </w:r>
      <w:r w:rsidR="004756C1" w:rsidRPr="002F50BD">
        <w:rPr>
          <w:rFonts w:ascii="Verdana" w:hAnsi="Verdana"/>
          <w:sz w:val="20"/>
          <w:lang w:val="pt-BR"/>
        </w:rPr>
        <w:t>Yakye Axa consiste</w:t>
      </w:r>
      <w:r w:rsidRPr="002F50BD">
        <w:rPr>
          <w:rFonts w:ascii="Verdana" w:hAnsi="Verdana"/>
          <w:sz w:val="20"/>
          <w:lang w:val="pt-BR"/>
        </w:rPr>
        <w:t xml:space="preserve"> na harmonia e </w:t>
      </w:r>
      <w:r w:rsidR="00E7595C" w:rsidRPr="002F50BD">
        <w:rPr>
          <w:rFonts w:ascii="Verdana" w:hAnsi="Verdana"/>
          <w:sz w:val="20"/>
          <w:lang w:val="pt-BR"/>
        </w:rPr>
        <w:t>n</w:t>
      </w:r>
      <w:r w:rsidRPr="002F50BD">
        <w:rPr>
          <w:rFonts w:ascii="Verdana" w:hAnsi="Verdana"/>
          <w:sz w:val="20"/>
          <w:lang w:val="pt-BR"/>
        </w:rPr>
        <w:t xml:space="preserve">a </w:t>
      </w:r>
      <w:r w:rsidR="004756C1" w:rsidRPr="002F50BD">
        <w:rPr>
          <w:rFonts w:ascii="Verdana" w:hAnsi="Verdana"/>
          <w:sz w:val="20"/>
          <w:lang w:val="pt-BR"/>
        </w:rPr>
        <w:t>tranquilidad</w:t>
      </w:r>
      <w:r w:rsidR="00E7595C" w:rsidRPr="002F50BD">
        <w:rPr>
          <w:rFonts w:ascii="Verdana" w:hAnsi="Verdana"/>
          <w:sz w:val="20"/>
          <w:lang w:val="pt-BR"/>
        </w:rPr>
        <w:t>e</w:t>
      </w:r>
      <w:r w:rsidR="00AB454A" w:rsidRPr="002F50BD">
        <w:rPr>
          <w:rFonts w:ascii="Verdana" w:hAnsi="Verdana"/>
          <w:sz w:val="20"/>
          <w:lang w:val="pt-BR"/>
        </w:rPr>
        <w:t xml:space="preserve">. Na </w:t>
      </w:r>
      <w:r w:rsidRPr="002F50BD">
        <w:rPr>
          <w:rFonts w:ascii="Verdana" w:hAnsi="Verdana"/>
          <w:sz w:val="20"/>
          <w:lang w:val="pt-BR"/>
        </w:rPr>
        <w:t>Comunidade existem</w:t>
      </w:r>
      <w:r w:rsidR="004756C1" w:rsidRPr="002F50BD">
        <w:rPr>
          <w:rFonts w:ascii="Verdana" w:hAnsi="Verdana"/>
          <w:sz w:val="20"/>
          <w:lang w:val="pt-BR"/>
        </w:rPr>
        <w:t xml:space="preserve"> </w:t>
      </w:r>
      <w:r w:rsidRPr="002F50BD">
        <w:rPr>
          <w:rFonts w:ascii="Verdana" w:hAnsi="Verdana"/>
          <w:sz w:val="20"/>
          <w:lang w:val="pt-BR"/>
        </w:rPr>
        <w:t>pessoa</w:t>
      </w:r>
      <w:r w:rsidR="004756C1" w:rsidRPr="002F50BD">
        <w:rPr>
          <w:rFonts w:ascii="Verdana" w:hAnsi="Verdana"/>
          <w:sz w:val="20"/>
          <w:lang w:val="pt-BR"/>
        </w:rPr>
        <w:t>s que cura</w:t>
      </w:r>
      <w:r w:rsidR="00E7595C" w:rsidRPr="002F50BD">
        <w:rPr>
          <w:rFonts w:ascii="Verdana" w:hAnsi="Verdana"/>
          <w:sz w:val="20"/>
          <w:lang w:val="pt-BR"/>
        </w:rPr>
        <w:t>m o</w:t>
      </w:r>
      <w:r w:rsidRPr="002F50BD">
        <w:rPr>
          <w:rFonts w:ascii="Verdana" w:hAnsi="Verdana"/>
          <w:sz w:val="20"/>
          <w:lang w:val="pt-BR"/>
        </w:rPr>
        <w:t xml:space="preserve">s </w:t>
      </w:r>
      <w:r w:rsidR="004756C1" w:rsidRPr="002F50BD">
        <w:rPr>
          <w:rFonts w:ascii="Verdana" w:hAnsi="Verdana"/>
          <w:sz w:val="20"/>
          <w:lang w:val="pt-BR"/>
        </w:rPr>
        <w:t>enfermos</w:t>
      </w:r>
      <w:r w:rsidRPr="002F50BD">
        <w:rPr>
          <w:rFonts w:ascii="Verdana" w:hAnsi="Verdana"/>
          <w:sz w:val="20"/>
          <w:lang w:val="pt-BR"/>
        </w:rPr>
        <w:t xml:space="preserve"> e </w:t>
      </w:r>
      <w:r w:rsidR="004756C1" w:rsidRPr="002F50BD">
        <w:rPr>
          <w:rFonts w:ascii="Verdana" w:hAnsi="Verdana"/>
          <w:sz w:val="20"/>
          <w:lang w:val="pt-BR"/>
        </w:rPr>
        <w:t xml:space="preserve">que </w:t>
      </w:r>
      <w:r w:rsidR="00E7595C" w:rsidRPr="002F50BD">
        <w:rPr>
          <w:rFonts w:ascii="Verdana" w:hAnsi="Verdana"/>
          <w:sz w:val="20"/>
          <w:lang w:val="pt-BR"/>
        </w:rPr>
        <w:t>protegem</w:t>
      </w:r>
      <w:r w:rsidR="004756C1" w:rsidRPr="002F50BD">
        <w:rPr>
          <w:rFonts w:ascii="Verdana" w:hAnsi="Verdana"/>
          <w:sz w:val="20"/>
          <w:lang w:val="pt-BR"/>
        </w:rPr>
        <w:t xml:space="preserve"> </w:t>
      </w:r>
      <w:r w:rsidR="00E7595C" w:rsidRPr="002F50BD">
        <w:rPr>
          <w:rFonts w:ascii="Verdana" w:hAnsi="Verdana"/>
          <w:sz w:val="20"/>
          <w:lang w:val="pt-BR"/>
        </w:rPr>
        <w:t>seu povo</w:t>
      </w:r>
      <w:r w:rsidR="004756C1" w:rsidRPr="002F50BD">
        <w:rPr>
          <w:rFonts w:ascii="Verdana" w:hAnsi="Verdana"/>
          <w:sz w:val="20"/>
          <w:lang w:val="pt-BR"/>
        </w:rPr>
        <w:t xml:space="preserve">, </w:t>
      </w:r>
      <w:r w:rsidR="00AB6727" w:rsidRPr="002F50BD">
        <w:rPr>
          <w:rFonts w:ascii="Verdana" w:hAnsi="Verdana"/>
          <w:sz w:val="20"/>
          <w:lang w:val="pt-BR"/>
        </w:rPr>
        <w:lastRenderedPageBreak/>
        <w:t>xamãs</w:t>
      </w:r>
      <w:r w:rsidR="004756C1" w:rsidRPr="002F50BD">
        <w:rPr>
          <w:rFonts w:ascii="Verdana" w:hAnsi="Verdana"/>
          <w:sz w:val="20"/>
          <w:lang w:val="pt-BR"/>
        </w:rPr>
        <w:t>; por</w:t>
      </w:r>
      <w:r w:rsidR="00313394" w:rsidRPr="002F50BD">
        <w:rPr>
          <w:rFonts w:ascii="Verdana" w:hAnsi="Verdana"/>
          <w:sz w:val="20"/>
          <w:lang w:val="pt-BR"/>
        </w:rPr>
        <w:t xml:space="preserve"> isso</w:t>
      </w:r>
      <w:r w:rsidR="007C6FF4" w:rsidRPr="002F50BD">
        <w:rPr>
          <w:rFonts w:ascii="Verdana" w:hAnsi="Verdana"/>
          <w:sz w:val="20"/>
          <w:lang w:val="pt-BR"/>
        </w:rPr>
        <w:t>,</w:t>
      </w:r>
      <w:r w:rsidR="00313394" w:rsidRPr="002F50BD">
        <w:rPr>
          <w:rFonts w:ascii="Verdana" w:hAnsi="Verdana"/>
          <w:sz w:val="20"/>
          <w:lang w:val="pt-BR"/>
        </w:rPr>
        <w:t xml:space="preserve"> </w:t>
      </w:r>
      <w:r w:rsidR="00E7595C" w:rsidRPr="002F50BD">
        <w:rPr>
          <w:rFonts w:ascii="Verdana" w:hAnsi="Verdana"/>
          <w:sz w:val="20"/>
          <w:lang w:val="pt-BR"/>
        </w:rPr>
        <w:t>seus filhos</w:t>
      </w:r>
      <w:r w:rsidRPr="002F50BD">
        <w:rPr>
          <w:rFonts w:ascii="Verdana" w:hAnsi="Verdana"/>
          <w:sz w:val="20"/>
          <w:lang w:val="pt-BR"/>
        </w:rPr>
        <w:t xml:space="preserve"> e </w:t>
      </w:r>
      <w:r w:rsidR="00E7595C" w:rsidRPr="002F50BD">
        <w:rPr>
          <w:rFonts w:ascii="Verdana" w:hAnsi="Verdana"/>
          <w:sz w:val="20"/>
          <w:lang w:val="pt-BR"/>
        </w:rPr>
        <w:t>neto</w:t>
      </w:r>
      <w:r w:rsidR="004756C1" w:rsidRPr="002F50BD">
        <w:rPr>
          <w:rFonts w:ascii="Verdana" w:hAnsi="Verdana"/>
          <w:sz w:val="20"/>
          <w:lang w:val="pt-BR"/>
        </w:rPr>
        <w:t xml:space="preserve">s </w:t>
      </w:r>
      <w:r w:rsidRPr="002F50BD">
        <w:rPr>
          <w:rFonts w:ascii="Verdana" w:hAnsi="Verdana"/>
          <w:sz w:val="20"/>
          <w:lang w:val="pt-BR"/>
        </w:rPr>
        <w:t>estavam</w:t>
      </w:r>
      <w:r w:rsidR="004756C1" w:rsidRPr="002F50BD">
        <w:rPr>
          <w:rFonts w:ascii="Verdana" w:hAnsi="Verdana"/>
          <w:sz w:val="20"/>
          <w:lang w:val="pt-BR"/>
        </w:rPr>
        <w:t xml:space="preserve"> </w:t>
      </w:r>
      <w:r w:rsidRPr="002F50BD">
        <w:rPr>
          <w:rFonts w:ascii="Verdana" w:hAnsi="Verdana"/>
          <w:sz w:val="20"/>
          <w:lang w:val="pt-BR"/>
        </w:rPr>
        <w:t xml:space="preserve">muito bem </w:t>
      </w:r>
      <w:r w:rsidR="004756C1" w:rsidRPr="002F50BD">
        <w:rPr>
          <w:rFonts w:ascii="Verdana" w:hAnsi="Verdana"/>
          <w:sz w:val="20"/>
          <w:lang w:val="pt-BR"/>
        </w:rPr>
        <w:t>anteriormente.</w:t>
      </w:r>
      <w:r w:rsidR="00FE08B7">
        <w:rPr>
          <w:rFonts w:ascii="Verdana" w:hAnsi="Verdana"/>
          <w:sz w:val="20"/>
          <w:lang w:val="pt-BR"/>
        </w:rPr>
        <w:t xml:space="preserve"> </w:t>
      </w:r>
      <w:r w:rsidR="004756C1" w:rsidRPr="002F50BD">
        <w:rPr>
          <w:rFonts w:ascii="Verdana" w:hAnsi="Verdana"/>
          <w:sz w:val="20"/>
          <w:lang w:val="pt-BR"/>
        </w:rPr>
        <w:t>Por</w:t>
      </w:r>
      <w:r w:rsidRPr="002F50BD">
        <w:rPr>
          <w:rFonts w:ascii="Verdana" w:hAnsi="Verdana"/>
          <w:sz w:val="20"/>
          <w:lang w:val="pt-BR"/>
        </w:rPr>
        <w:t xml:space="preserve"> </w:t>
      </w:r>
      <w:r w:rsidR="00E7595C" w:rsidRPr="002F50BD">
        <w:rPr>
          <w:rFonts w:ascii="Verdana" w:hAnsi="Verdana"/>
          <w:sz w:val="20"/>
          <w:lang w:val="pt-BR"/>
        </w:rPr>
        <w:t>isso</w:t>
      </w:r>
      <w:r w:rsidR="004756C1" w:rsidRPr="002F50BD">
        <w:rPr>
          <w:rFonts w:ascii="Verdana" w:hAnsi="Verdana"/>
          <w:sz w:val="20"/>
          <w:lang w:val="pt-BR"/>
        </w:rPr>
        <w:t xml:space="preserve">, </w:t>
      </w:r>
      <w:r w:rsidR="005A6BC7" w:rsidRPr="002F50BD">
        <w:rPr>
          <w:rFonts w:ascii="Verdana" w:hAnsi="Verdana"/>
          <w:sz w:val="20"/>
          <w:lang w:val="pt-BR"/>
        </w:rPr>
        <w:t>necessitam</w:t>
      </w:r>
      <w:r w:rsidRPr="002F50BD">
        <w:rPr>
          <w:rFonts w:ascii="Verdana" w:hAnsi="Verdana"/>
          <w:sz w:val="20"/>
          <w:lang w:val="pt-BR"/>
        </w:rPr>
        <w:t xml:space="preserve"> ter </w:t>
      </w:r>
      <w:r w:rsidR="00AB454A" w:rsidRPr="002F50BD">
        <w:rPr>
          <w:rFonts w:ascii="Verdana" w:hAnsi="Verdana"/>
          <w:sz w:val="20"/>
          <w:lang w:val="pt-BR"/>
        </w:rPr>
        <w:t>seu território</w:t>
      </w:r>
      <w:r w:rsidR="004756C1" w:rsidRPr="002F50BD">
        <w:rPr>
          <w:rFonts w:ascii="Verdana" w:hAnsi="Verdana"/>
          <w:sz w:val="20"/>
          <w:lang w:val="pt-BR"/>
        </w:rPr>
        <w:t xml:space="preserve"> para seguir praticando </w:t>
      </w:r>
      <w:r w:rsidR="005A6BC7" w:rsidRPr="002F50BD">
        <w:rPr>
          <w:rFonts w:ascii="Verdana" w:hAnsi="Verdana"/>
          <w:sz w:val="20"/>
          <w:lang w:val="pt-BR"/>
        </w:rPr>
        <w:t>sua cultura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Sa</w:t>
      </w:r>
      <w:r w:rsidR="00E7595C" w:rsidRPr="002F50BD">
        <w:rPr>
          <w:rFonts w:ascii="Verdana" w:hAnsi="Verdana"/>
          <w:sz w:val="20"/>
          <w:lang w:val="pt-BR"/>
        </w:rPr>
        <w:t>í</w:t>
      </w:r>
      <w:r w:rsidRPr="002F50BD">
        <w:rPr>
          <w:rFonts w:ascii="Verdana" w:hAnsi="Verdana"/>
          <w:sz w:val="20"/>
          <w:lang w:val="pt-BR"/>
        </w:rPr>
        <w:t>ram</w:t>
      </w:r>
      <w:r w:rsidR="004756C1" w:rsidRPr="002F50BD">
        <w:rPr>
          <w:rFonts w:ascii="Verdana" w:hAnsi="Verdana"/>
          <w:sz w:val="20"/>
          <w:lang w:val="pt-BR"/>
        </w:rPr>
        <w:t xml:space="preserve"> </w:t>
      </w:r>
      <w:r w:rsidRPr="002F50BD">
        <w:rPr>
          <w:rFonts w:ascii="Verdana" w:hAnsi="Verdana"/>
          <w:sz w:val="20"/>
          <w:lang w:val="pt-BR"/>
        </w:rPr>
        <w:t>d</w:t>
      </w:r>
      <w:r w:rsidR="00E7595C" w:rsidRPr="002F50BD">
        <w:rPr>
          <w:rFonts w:ascii="Verdana" w:hAnsi="Verdana"/>
          <w:sz w:val="20"/>
          <w:lang w:val="pt-BR"/>
        </w:rPr>
        <w:t>e El</w:t>
      </w:r>
      <w:r w:rsidRPr="002F50BD">
        <w:rPr>
          <w:rFonts w:ascii="Verdana" w:hAnsi="Verdana"/>
          <w:sz w:val="20"/>
          <w:lang w:val="pt-BR"/>
        </w:rPr>
        <w:t xml:space="preserve"> </w:t>
      </w:r>
      <w:r w:rsidR="004756C1" w:rsidRPr="002F50BD">
        <w:rPr>
          <w:rFonts w:ascii="Verdana" w:hAnsi="Verdana"/>
          <w:sz w:val="20"/>
          <w:lang w:val="pt-BR"/>
        </w:rPr>
        <w:t>Estribo</w:t>
      </w:r>
      <w:r w:rsidRPr="002F50BD">
        <w:rPr>
          <w:rFonts w:ascii="Verdana" w:hAnsi="Verdana"/>
          <w:sz w:val="20"/>
          <w:lang w:val="pt-BR"/>
        </w:rPr>
        <w:t xml:space="preserve"> com a esperança</w:t>
      </w:r>
      <w:r w:rsidR="004756C1" w:rsidRPr="002F50BD">
        <w:rPr>
          <w:rFonts w:ascii="Verdana" w:hAnsi="Verdana"/>
          <w:sz w:val="20"/>
          <w:lang w:val="pt-BR"/>
        </w:rPr>
        <w:t xml:space="preserve"> de recuperar</w:t>
      </w:r>
      <w:r w:rsidRPr="002F50BD">
        <w:rPr>
          <w:rFonts w:ascii="Verdana" w:hAnsi="Verdana"/>
          <w:sz w:val="20"/>
          <w:lang w:val="pt-BR"/>
        </w:rPr>
        <w:t xml:space="preserve"> a terra</w:t>
      </w:r>
      <w:r w:rsidR="004756C1" w:rsidRPr="002F50BD">
        <w:rPr>
          <w:rFonts w:ascii="Verdana" w:hAnsi="Verdana"/>
          <w:sz w:val="20"/>
          <w:lang w:val="pt-BR"/>
        </w:rPr>
        <w:t xml:space="preserve"> </w:t>
      </w:r>
      <w:r w:rsidR="00E7595C" w:rsidRPr="002F50BD">
        <w:rPr>
          <w:rFonts w:ascii="Verdana" w:hAnsi="Verdana"/>
          <w:sz w:val="20"/>
          <w:lang w:val="pt-BR"/>
        </w:rPr>
        <w:t>imediatamente</w:t>
      </w:r>
      <w:r w:rsidR="004756C1" w:rsidRPr="002F50BD">
        <w:rPr>
          <w:rFonts w:ascii="Verdana" w:hAnsi="Verdana"/>
          <w:sz w:val="20"/>
          <w:lang w:val="pt-BR"/>
        </w:rPr>
        <w:t xml:space="preserve">, </w:t>
      </w:r>
      <w:r w:rsidRPr="002F50BD">
        <w:rPr>
          <w:rFonts w:ascii="Verdana" w:hAnsi="Verdana"/>
          <w:sz w:val="20"/>
          <w:lang w:val="pt-BR"/>
        </w:rPr>
        <w:t>mas</w:t>
      </w:r>
      <w:r w:rsidR="004756C1" w:rsidRPr="002F50BD">
        <w:rPr>
          <w:rFonts w:ascii="Verdana" w:hAnsi="Verdana"/>
          <w:sz w:val="20"/>
          <w:lang w:val="pt-BR"/>
        </w:rPr>
        <w:t xml:space="preserve"> </w:t>
      </w:r>
      <w:r w:rsidR="00AB454A" w:rsidRPr="002F50BD">
        <w:rPr>
          <w:rFonts w:ascii="Verdana" w:hAnsi="Verdana"/>
          <w:sz w:val="20"/>
          <w:lang w:val="pt-BR"/>
        </w:rPr>
        <w:t>não foi</w:t>
      </w:r>
      <w:r w:rsidRPr="002F50BD">
        <w:rPr>
          <w:rFonts w:ascii="Verdana" w:hAnsi="Verdana"/>
          <w:sz w:val="20"/>
          <w:lang w:val="pt-BR"/>
        </w:rPr>
        <w:t xml:space="preserve"> assim</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Então</w:t>
      </w:r>
      <w:r w:rsidR="004756C1" w:rsidRPr="002F50BD">
        <w:rPr>
          <w:rFonts w:ascii="Verdana" w:hAnsi="Verdana"/>
          <w:sz w:val="20"/>
          <w:lang w:val="pt-BR"/>
        </w:rPr>
        <w:t xml:space="preserve"> </w:t>
      </w:r>
      <w:r w:rsidR="00E7595C" w:rsidRPr="002F50BD">
        <w:rPr>
          <w:rFonts w:ascii="Verdana" w:hAnsi="Verdana"/>
          <w:sz w:val="20"/>
          <w:lang w:val="pt-BR"/>
        </w:rPr>
        <w:t>permaneceram “n</w:t>
      </w:r>
      <w:r w:rsidRPr="002F50BD">
        <w:rPr>
          <w:rFonts w:ascii="Verdana" w:hAnsi="Verdana"/>
          <w:sz w:val="20"/>
          <w:lang w:val="pt-BR"/>
        </w:rPr>
        <w:t xml:space="preserve">o </w:t>
      </w:r>
      <w:r w:rsidR="004756C1" w:rsidRPr="002F50BD">
        <w:rPr>
          <w:rFonts w:ascii="Verdana" w:hAnsi="Verdana"/>
          <w:sz w:val="20"/>
          <w:lang w:val="pt-BR"/>
        </w:rPr>
        <w:t xml:space="preserve">lugar de Yakye Axa” para </w:t>
      </w:r>
      <w:r w:rsidRPr="002F50BD">
        <w:rPr>
          <w:rFonts w:ascii="Verdana" w:hAnsi="Verdana"/>
          <w:sz w:val="20"/>
          <w:lang w:val="pt-BR"/>
        </w:rPr>
        <w:t>viver</w:t>
      </w:r>
      <w:r w:rsidR="00E7595C" w:rsidRPr="002F50BD">
        <w:rPr>
          <w:rFonts w:ascii="Verdana" w:hAnsi="Verdana"/>
          <w:sz w:val="20"/>
          <w:lang w:val="pt-BR"/>
        </w:rPr>
        <w:t>em</w:t>
      </w:r>
      <w:r w:rsidR="004756C1" w:rsidRPr="002F50BD">
        <w:rPr>
          <w:rFonts w:ascii="Verdana" w:hAnsi="Verdana"/>
          <w:sz w:val="20"/>
          <w:lang w:val="pt-BR"/>
        </w:rPr>
        <w:t xml:space="preserve"> todos juntos</w:t>
      </w:r>
      <w:r w:rsidR="00AB454A" w:rsidRPr="002F50BD">
        <w:rPr>
          <w:rFonts w:ascii="Verdana" w:hAnsi="Verdana"/>
          <w:sz w:val="20"/>
          <w:lang w:val="pt-BR"/>
        </w:rPr>
        <w:t xml:space="preserve">. </w:t>
      </w:r>
      <w:r w:rsidR="007C6FF4" w:rsidRPr="002F50BD">
        <w:rPr>
          <w:rFonts w:ascii="Verdana" w:hAnsi="Verdana"/>
          <w:sz w:val="20"/>
          <w:lang w:val="pt-BR"/>
        </w:rPr>
        <w:t>Atualmente,</w:t>
      </w:r>
      <w:r w:rsidR="00CD3DEB" w:rsidRPr="002F50BD">
        <w:rPr>
          <w:rFonts w:ascii="Verdana" w:hAnsi="Verdana"/>
          <w:sz w:val="20"/>
          <w:lang w:val="pt-BR"/>
        </w:rPr>
        <w:t xml:space="preserve"> </w:t>
      </w:r>
      <w:r w:rsidRPr="002F50BD">
        <w:rPr>
          <w:rFonts w:ascii="Verdana" w:hAnsi="Verdana"/>
          <w:sz w:val="20"/>
          <w:lang w:val="pt-BR"/>
        </w:rPr>
        <w:t>os membro</w:t>
      </w:r>
      <w:r w:rsidR="004756C1" w:rsidRPr="002F50BD">
        <w:rPr>
          <w:rFonts w:ascii="Verdana" w:hAnsi="Verdana"/>
          <w:sz w:val="20"/>
          <w:lang w:val="pt-BR"/>
        </w:rPr>
        <w:t>s</w:t>
      </w:r>
      <w:r w:rsidRPr="002F50BD">
        <w:rPr>
          <w:rFonts w:ascii="Verdana" w:hAnsi="Verdana"/>
          <w:sz w:val="20"/>
          <w:lang w:val="pt-BR"/>
        </w:rPr>
        <w:t xml:space="preserve"> da Comunidade vivem </w:t>
      </w:r>
      <w:r w:rsidR="00E7595C" w:rsidRPr="002F50BD">
        <w:rPr>
          <w:rFonts w:ascii="Verdana" w:hAnsi="Verdana"/>
          <w:sz w:val="20"/>
          <w:lang w:val="pt-BR"/>
        </w:rPr>
        <w:t>à margem de uma rodovia</w:t>
      </w:r>
      <w:r w:rsidR="004756C1" w:rsidRPr="002F50BD">
        <w:rPr>
          <w:rFonts w:ascii="Verdana" w:hAnsi="Verdana"/>
          <w:sz w:val="20"/>
          <w:lang w:val="pt-BR"/>
        </w:rPr>
        <w:t>, porque</w:t>
      </w:r>
      <w:r w:rsidRPr="002F50BD">
        <w:rPr>
          <w:rFonts w:ascii="Verdana" w:hAnsi="Verdana"/>
          <w:sz w:val="20"/>
          <w:lang w:val="pt-BR"/>
        </w:rPr>
        <w:t xml:space="preserve"> o </w:t>
      </w:r>
      <w:r w:rsidR="00AB454A" w:rsidRPr="002F50BD">
        <w:rPr>
          <w:rFonts w:ascii="Verdana" w:hAnsi="Verdana"/>
          <w:sz w:val="20"/>
          <w:lang w:val="pt-BR"/>
        </w:rPr>
        <w:t>don</w:t>
      </w:r>
      <w:r w:rsidR="004756C1" w:rsidRPr="002F50BD">
        <w:rPr>
          <w:rFonts w:ascii="Verdana" w:hAnsi="Verdana"/>
          <w:sz w:val="20"/>
          <w:lang w:val="pt-BR"/>
        </w:rPr>
        <w:t>o</w:t>
      </w:r>
      <w:r w:rsidRPr="002F50BD">
        <w:rPr>
          <w:rFonts w:ascii="Verdana" w:hAnsi="Verdana"/>
          <w:sz w:val="20"/>
          <w:lang w:val="pt-BR"/>
        </w:rPr>
        <w:t xml:space="preserve"> da </w:t>
      </w:r>
      <w:r w:rsidR="004756C1" w:rsidRPr="002F50BD" w:rsidDel="00130F9B">
        <w:rPr>
          <w:rFonts w:ascii="Verdana" w:hAnsi="Verdana"/>
          <w:i/>
          <w:sz w:val="20"/>
          <w:lang w:val="pt-BR"/>
        </w:rPr>
        <w:t>E</w:t>
      </w:r>
      <w:r w:rsidR="004756C1" w:rsidRPr="002F50BD">
        <w:rPr>
          <w:rFonts w:ascii="Verdana" w:hAnsi="Verdana"/>
          <w:i/>
          <w:sz w:val="20"/>
          <w:lang w:val="pt-BR"/>
        </w:rPr>
        <w:t>stancia</w:t>
      </w:r>
      <w:r w:rsidR="004756C1" w:rsidRPr="002F50BD">
        <w:rPr>
          <w:rFonts w:ascii="Verdana" w:hAnsi="Verdana"/>
          <w:sz w:val="20"/>
          <w:lang w:val="pt-BR"/>
        </w:rPr>
        <w:t xml:space="preserve"> n</w:t>
      </w:r>
      <w:r w:rsidR="00E7595C"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w:t>
      </w:r>
      <w:r w:rsidR="004756C1" w:rsidRPr="002F50BD">
        <w:rPr>
          <w:rFonts w:ascii="Verdana" w:hAnsi="Verdana"/>
          <w:sz w:val="20"/>
          <w:lang w:val="pt-BR"/>
        </w:rPr>
        <w:t>permite</w:t>
      </w:r>
      <w:r w:rsidRPr="002F50BD">
        <w:rPr>
          <w:rFonts w:ascii="Verdana" w:hAnsi="Verdana"/>
          <w:sz w:val="20"/>
          <w:lang w:val="pt-BR"/>
        </w:rPr>
        <w:t xml:space="preserve"> </w:t>
      </w:r>
      <w:r w:rsidR="007C6FF4" w:rsidRPr="002F50BD">
        <w:rPr>
          <w:rFonts w:ascii="Verdana" w:hAnsi="Verdana"/>
          <w:sz w:val="20"/>
          <w:lang w:val="pt-BR"/>
        </w:rPr>
        <w:t>su</w:t>
      </w:r>
      <w:r w:rsidRPr="002F50BD">
        <w:rPr>
          <w:rFonts w:ascii="Verdana" w:hAnsi="Verdana"/>
          <w:sz w:val="20"/>
          <w:lang w:val="pt-BR"/>
        </w:rPr>
        <w:t xml:space="preserve">a </w:t>
      </w:r>
      <w:r w:rsidR="004756C1" w:rsidRPr="002F50BD">
        <w:rPr>
          <w:rFonts w:ascii="Verdana" w:hAnsi="Verdana"/>
          <w:sz w:val="20"/>
          <w:lang w:val="pt-BR"/>
        </w:rPr>
        <w:t>entrada</w:t>
      </w:r>
      <w:r w:rsidRPr="002F50BD">
        <w:rPr>
          <w:rFonts w:ascii="Verdana" w:hAnsi="Verdana"/>
          <w:sz w:val="20"/>
          <w:lang w:val="pt-BR"/>
        </w:rPr>
        <w:t xml:space="preserve"> e não possuem outro </w:t>
      </w:r>
      <w:r w:rsidR="004756C1" w:rsidRPr="002F50BD">
        <w:rPr>
          <w:rFonts w:ascii="Verdana" w:hAnsi="Verdana"/>
          <w:sz w:val="20"/>
          <w:lang w:val="pt-BR"/>
        </w:rPr>
        <w:t>lugar</w:t>
      </w:r>
      <w:r w:rsidRPr="002F50BD">
        <w:rPr>
          <w:rFonts w:ascii="Verdana" w:hAnsi="Verdana"/>
          <w:sz w:val="20"/>
          <w:lang w:val="pt-BR"/>
        </w:rPr>
        <w:t xml:space="preserve"> </w:t>
      </w:r>
      <w:r w:rsidR="00E7595C" w:rsidRPr="002F50BD">
        <w:rPr>
          <w:rFonts w:ascii="Verdana" w:hAnsi="Verdana"/>
          <w:sz w:val="20"/>
          <w:lang w:val="pt-BR"/>
        </w:rPr>
        <w:t xml:space="preserve">para </w:t>
      </w:r>
      <w:r w:rsidRPr="002F50BD">
        <w:rPr>
          <w:rFonts w:ascii="Verdana" w:hAnsi="Verdana"/>
          <w:sz w:val="20"/>
          <w:lang w:val="pt-BR"/>
        </w:rPr>
        <w:t>onde</w:t>
      </w:r>
      <w:r w:rsidR="004756C1" w:rsidRPr="002F50BD">
        <w:rPr>
          <w:rFonts w:ascii="Verdana" w:hAnsi="Verdana"/>
          <w:sz w:val="20"/>
          <w:lang w:val="pt-BR"/>
        </w:rPr>
        <w:t xml:space="preserve"> ir.</w:t>
      </w:r>
      <w:r w:rsidR="00FE08B7">
        <w:rPr>
          <w:rFonts w:ascii="Verdana" w:hAnsi="Verdana"/>
          <w:sz w:val="20"/>
          <w:lang w:val="pt-BR"/>
        </w:rPr>
        <w:t xml:space="preserve"> </w:t>
      </w:r>
      <w:r w:rsidR="004756C1" w:rsidRPr="002F50BD">
        <w:rPr>
          <w:rFonts w:ascii="Verdana" w:hAnsi="Verdana"/>
          <w:sz w:val="20"/>
          <w:lang w:val="pt-BR"/>
        </w:rPr>
        <w:t>N</w:t>
      </w:r>
      <w:r w:rsidR="00E7595C" w:rsidRPr="002F50BD">
        <w:rPr>
          <w:rFonts w:ascii="Verdana" w:hAnsi="Verdana"/>
          <w:sz w:val="20"/>
          <w:lang w:val="pt-BR"/>
        </w:rPr>
        <w:t>ã</w:t>
      </w:r>
      <w:r w:rsidR="004756C1" w:rsidRPr="002F50BD">
        <w:rPr>
          <w:rFonts w:ascii="Verdana" w:hAnsi="Verdana"/>
          <w:sz w:val="20"/>
          <w:lang w:val="pt-BR"/>
        </w:rPr>
        <w:t xml:space="preserve">o </w:t>
      </w:r>
      <w:r w:rsidR="00E7595C" w:rsidRPr="002F50BD">
        <w:rPr>
          <w:rFonts w:ascii="Verdana" w:hAnsi="Verdana"/>
          <w:sz w:val="20"/>
          <w:lang w:val="pt-BR"/>
        </w:rPr>
        <w:t>pensam</w:t>
      </w:r>
      <w:r w:rsidR="004756C1" w:rsidRPr="002F50BD">
        <w:rPr>
          <w:rFonts w:ascii="Verdana" w:hAnsi="Verdana"/>
          <w:sz w:val="20"/>
          <w:lang w:val="pt-BR"/>
        </w:rPr>
        <w:t xml:space="preserve"> </w:t>
      </w:r>
      <w:r w:rsidR="00E7595C" w:rsidRPr="002F50BD">
        <w:rPr>
          <w:rFonts w:ascii="Verdana" w:hAnsi="Verdana"/>
          <w:sz w:val="20"/>
          <w:lang w:val="pt-BR"/>
        </w:rPr>
        <w:t xml:space="preserve">em </w:t>
      </w:r>
      <w:r w:rsidR="004756C1" w:rsidRPr="002F50BD">
        <w:rPr>
          <w:rFonts w:ascii="Verdana" w:hAnsi="Verdana"/>
          <w:sz w:val="20"/>
          <w:lang w:val="pt-BR"/>
        </w:rPr>
        <w:t>ir a</w:t>
      </w:r>
      <w:r w:rsidRPr="002F50BD">
        <w:rPr>
          <w:rFonts w:ascii="Verdana" w:hAnsi="Verdana"/>
          <w:sz w:val="20"/>
          <w:lang w:val="pt-BR"/>
        </w:rPr>
        <w:t xml:space="preserve"> outro </w:t>
      </w:r>
      <w:r w:rsidR="004756C1" w:rsidRPr="002F50BD">
        <w:rPr>
          <w:rFonts w:ascii="Verdana" w:hAnsi="Verdana"/>
          <w:sz w:val="20"/>
          <w:lang w:val="pt-BR"/>
        </w:rPr>
        <w:t>lugar diferente de Yakye Axa.</w:t>
      </w:r>
      <w:r w:rsidR="00FE08B7">
        <w:rPr>
          <w:rFonts w:ascii="Verdana" w:hAnsi="Verdana"/>
          <w:sz w:val="20"/>
          <w:lang w:val="pt-BR"/>
        </w:rPr>
        <w:t xml:space="preserve"> </w:t>
      </w:r>
      <w:r w:rsidR="00E7595C" w:rsidRPr="002F50BD">
        <w:rPr>
          <w:rFonts w:ascii="Verdana" w:hAnsi="Verdana"/>
          <w:sz w:val="20"/>
          <w:lang w:val="pt-BR"/>
        </w:rPr>
        <w:t>Pensam</w:t>
      </w:r>
      <w:r w:rsidRPr="002F50BD">
        <w:rPr>
          <w:rFonts w:ascii="Verdana" w:hAnsi="Verdana"/>
          <w:sz w:val="20"/>
          <w:lang w:val="pt-BR"/>
        </w:rPr>
        <w:t xml:space="preserve"> nos </w:t>
      </w:r>
      <w:r w:rsidR="004756C1" w:rsidRPr="002F50BD">
        <w:rPr>
          <w:rFonts w:ascii="Verdana" w:hAnsi="Verdana"/>
          <w:sz w:val="20"/>
          <w:lang w:val="pt-BR"/>
        </w:rPr>
        <w:t xml:space="preserve">que </w:t>
      </w:r>
      <w:r w:rsidRPr="002F50BD">
        <w:rPr>
          <w:rFonts w:ascii="Verdana" w:hAnsi="Verdana"/>
          <w:sz w:val="20"/>
          <w:lang w:val="pt-BR"/>
        </w:rPr>
        <w:t>foram</w:t>
      </w:r>
      <w:r w:rsidR="004756C1" w:rsidRPr="002F50BD">
        <w:rPr>
          <w:rFonts w:ascii="Verdana" w:hAnsi="Verdana"/>
          <w:sz w:val="20"/>
          <w:lang w:val="pt-BR"/>
        </w:rPr>
        <w:t xml:space="preserve"> enterrados </w:t>
      </w:r>
      <w:r w:rsidR="004076AD" w:rsidRPr="002F50BD">
        <w:rPr>
          <w:rFonts w:ascii="Verdana" w:hAnsi="Verdana"/>
          <w:sz w:val="20"/>
          <w:lang w:val="pt-BR"/>
        </w:rPr>
        <w:t>ali</w:t>
      </w:r>
      <w:r w:rsidR="004756C1" w:rsidRPr="002F50BD">
        <w:rPr>
          <w:rFonts w:ascii="Verdana" w:hAnsi="Verdana"/>
          <w:sz w:val="20"/>
          <w:lang w:val="pt-BR"/>
        </w:rPr>
        <w:t>,</w:t>
      </w:r>
      <w:r w:rsidRPr="002F50BD">
        <w:rPr>
          <w:rFonts w:ascii="Verdana" w:hAnsi="Verdana"/>
          <w:sz w:val="20"/>
          <w:lang w:val="pt-BR"/>
        </w:rPr>
        <w:t xml:space="preserve"> </w:t>
      </w:r>
      <w:r w:rsidR="00E7595C" w:rsidRPr="002F50BD">
        <w:rPr>
          <w:rFonts w:ascii="Verdana" w:hAnsi="Verdana"/>
          <w:sz w:val="20"/>
          <w:lang w:val="pt-BR"/>
        </w:rPr>
        <w:t>n</w:t>
      </w:r>
      <w:r w:rsidRPr="002F50BD">
        <w:rPr>
          <w:rFonts w:ascii="Verdana" w:hAnsi="Verdana"/>
          <w:sz w:val="20"/>
          <w:lang w:val="pt-BR"/>
        </w:rPr>
        <w:t xml:space="preserve">os </w:t>
      </w:r>
      <w:r w:rsidR="004756C1" w:rsidRPr="002F50BD">
        <w:rPr>
          <w:rFonts w:ascii="Verdana" w:hAnsi="Verdana"/>
          <w:sz w:val="20"/>
          <w:lang w:val="pt-BR"/>
        </w:rPr>
        <w:t>que na</w:t>
      </w:r>
      <w:r w:rsidR="00E7595C" w:rsidRPr="002F50BD">
        <w:rPr>
          <w:rFonts w:ascii="Verdana" w:hAnsi="Verdana"/>
          <w:sz w:val="20"/>
          <w:lang w:val="pt-BR"/>
        </w:rPr>
        <w:t>s</w:t>
      </w:r>
      <w:r w:rsidR="004756C1" w:rsidRPr="002F50BD">
        <w:rPr>
          <w:rFonts w:ascii="Verdana" w:hAnsi="Verdana"/>
          <w:sz w:val="20"/>
          <w:lang w:val="pt-BR"/>
        </w:rPr>
        <w:t>cer</w:t>
      </w:r>
      <w:r w:rsidR="00E7595C" w:rsidRPr="002F50BD">
        <w:rPr>
          <w:rFonts w:ascii="Verdana" w:hAnsi="Verdana"/>
          <w:sz w:val="20"/>
          <w:lang w:val="pt-BR"/>
        </w:rPr>
        <w:t>am</w:t>
      </w:r>
      <w:r w:rsidRPr="002F50BD">
        <w:rPr>
          <w:rFonts w:ascii="Verdana" w:hAnsi="Verdana"/>
          <w:sz w:val="20"/>
          <w:lang w:val="pt-BR"/>
        </w:rPr>
        <w:t xml:space="preserve"> e </w:t>
      </w:r>
      <w:r w:rsidR="00E7595C" w:rsidRPr="002F50BD">
        <w:rPr>
          <w:rFonts w:ascii="Verdana" w:hAnsi="Verdana"/>
          <w:sz w:val="20"/>
          <w:lang w:val="pt-BR"/>
        </w:rPr>
        <w:t>n</w:t>
      </w:r>
      <w:r w:rsidRPr="002F50BD">
        <w:rPr>
          <w:rFonts w:ascii="Verdana" w:hAnsi="Verdana"/>
          <w:sz w:val="20"/>
          <w:lang w:val="pt-BR"/>
        </w:rPr>
        <w:t xml:space="preserve">os </w:t>
      </w:r>
      <w:r w:rsidR="004756C1" w:rsidRPr="002F50BD">
        <w:rPr>
          <w:rFonts w:ascii="Verdana" w:hAnsi="Verdana"/>
          <w:sz w:val="20"/>
          <w:lang w:val="pt-BR"/>
        </w:rPr>
        <w:t>que cre</w:t>
      </w:r>
      <w:r w:rsidR="00E7595C" w:rsidRPr="002F50BD">
        <w:rPr>
          <w:rFonts w:ascii="Verdana" w:hAnsi="Verdana"/>
          <w:sz w:val="20"/>
          <w:lang w:val="pt-BR"/>
        </w:rPr>
        <w:t>s</w:t>
      </w:r>
      <w:r w:rsidR="004756C1" w:rsidRPr="002F50BD">
        <w:rPr>
          <w:rFonts w:ascii="Verdana" w:hAnsi="Verdana"/>
          <w:sz w:val="20"/>
          <w:lang w:val="pt-BR"/>
        </w:rPr>
        <w:t>cer</w:t>
      </w:r>
      <w:r w:rsidR="00E7595C" w:rsidRPr="002F50BD">
        <w:rPr>
          <w:rFonts w:ascii="Verdana" w:hAnsi="Verdana"/>
          <w:sz w:val="20"/>
          <w:lang w:val="pt-BR"/>
        </w:rPr>
        <w:t>am</w:t>
      </w:r>
      <w:r w:rsidRPr="002F50BD">
        <w:rPr>
          <w:rFonts w:ascii="Verdana" w:hAnsi="Verdana"/>
          <w:sz w:val="20"/>
          <w:lang w:val="pt-BR"/>
        </w:rPr>
        <w:t xml:space="preserve"> </w:t>
      </w:r>
      <w:r w:rsidR="00FB33DD" w:rsidRPr="002F50BD">
        <w:rPr>
          <w:rFonts w:ascii="Verdana" w:hAnsi="Verdana"/>
          <w:sz w:val="20"/>
          <w:lang w:val="pt-BR"/>
        </w:rPr>
        <w:t>nesse</w:t>
      </w:r>
      <w:r w:rsidRPr="002F50BD">
        <w:rPr>
          <w:rFonts w:ascii="Verdana" w:hAnsi="Verdana"/>
          <w:sz w:val="20"/>
          <w:lang w:val="pt-BR"/>
        </w:rPr>
        <w:t xml:space="preserve"> </w:t>
      </w:r>
      <w:r w:rsidR="004756C1" w:rsidRPr="002F50BD">
        <w:rPr>
          <w:rFonts w:ascii="Verdana" w:hAnsi="Verdana"/>
          <w:sz w:val="20"/>
          <w:lang w:val="pt-BR"/>
        </w:rPr>
        <w:t>lugar</w:t>
      </w:r>
      <w:r w:rsidRPr="002F50BD">
        <w:rPr>
          <w:rFonts w:ascii="Verdana" w:hAnsi="Verdana"/>
          <w:sz w:val="20"/>
          <w:lang w:val="pt-BR"/>
        </w:rPr>
        <w:t xml:space="preserve"> e</w:t>
      </w:r>
      <w:r w:rsidR="007C6FF4" w:rsidRPr="002F50BD">
        <w:rPr>
          <w:rFonts w:ascii="Verdana" w:hAnsi="Verdana"/>
          <w:sz w:val="20"/>
          <w:lang w:val="pt-BR"/>
        </w:rPr>
        <w:t>,</w:t>
      </w:r>
      <w:r w:rsidR="004756C1" w:rsidRPr="002F50BD">
        <w:rPr>
          <w:rFonts w:ascii="Verdana" w:hAnsi="Verdana"/>
          <w:sz w:val="20"/>
          <w:lang w:val="pt-BR"/>
        </w:rPr>
        <w:t xml:space="preserve"> por</w:t>
      </w:r>
      <w:r w:rsidRPr="002F50BD">
        <w:rPr>
          <w:rFonts w:ascii="Verdana" w:hAnsi="Verdana"/>
          <w:sz w:val="20"/>
          <w:lang w:val="pt-BR"/>
        </w:rPr>
        <w:t xml:space="preserve"> essa razão</w:t>
      </w:r>
      <w:r w:rsidR="007C6FF4"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permanecem em </w:t>
      </w:r>
      <w:r w:rsidR="004756C1" w:rsidRPr="002F50BD">
        <w:rPr>
          <w:rFonts w:ascii="Verdana" w:hAnsi="Verdana"/>
          <w:sz w:val="20"/>
          <w:lang w:val="pt-BR"/>
        </w:rPr>
        <w:t>Yakye Axa.</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Para</w:t>
      </w:r>
      <w:r w:rsidR="0089298C" w:rsidRPr="002F50BD">
        <w:rPr>
          <w:rFonts w:ascii="Verdana" w:hAnsi="Verdana"/>
          <w:sz w:val="20"/>
          <w:lang w:val="pt-BR"/>
        </w:rPr>
        <w:t xml:space="preserve"> a </w:t>
      </w:r>
      <w:r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“Yakye Axa” significa</w:t>
      </w:r>
      <w:r w:rsidR="0089298C" w:rsidRPr="002F50BD">
        <w:rPr>
          <w:rFonts w:ascii="Verdana" w:hAnsi="Verdana"/>
          <w:sz w:val="20"/>
          <w:lang w:val="pt-BR"/>
        </w:rPr>
        <w:t xml:space="preserve"> o </w:t>
      </w:r>
      <w:r w:rsidRPr="002F50BD">
        <w:rPr>
          <w:rFonts w:ascii="Verdana" w:hAnsi="Verdana"/>
          <w:sz w:val="20"/>
          <w:lang w:val="pt-BR"/>
        </w:rPr>
        <w:t>lugar</w:t>
      </w:r>
      <w:r w:rsidR="0089298C" w:rsidRPr="002F50BD">
        <w:rPr>
          <w:rFonts w:ascii="Verdana" w:hAnsi="Verdana"/>
          <w:sz w:val="20"/>
          <w:lang w:val="pt-BR"/>
        </w:rPr>
        <w:t xml:space="preserve"> onde</w:t>
      </w:r>
      <w:r w:rsidRPr="002F50BD">
        <w:rPr>
          <w:rFonts w:ascii="Verdana" w:hAnsi="Verdana"/>
          <w:sz w:val="20"/>
          <w:lang w:val="pt-BR"/>
        </w:rPr>
        <w:t xml:space="preserve"> </w:t>
      </w:r>
      <w:r w:rsidR="005A6BC7" w:rsidRPr="002F50BD">
        <w:rPr>
          <w:rFonts w:ascii="Verdana" w:hAnsi="Verdana"/>
          <w:sz w:val="20"/>
          <w:lang w:val="pt-BR"/>
        </w:rPr>
        <w:t>seus antepassados</w:t>
      </w:r>
      <w:r w:rsidRPr="002F50BD">
        <w:rPr>
          <w:rFonts w:ascii="Verdana" w:hAnsi="Verdana"/>
          <w:sz w:val="20"/>
          <w:lang w:val="pt-BR"/>
        </w:rPr>
        <w:t xml:space="preserve"> </w:t>
      </w:r>
      <w:r w:rsidR="00CD7100" w:rsidRPr="002F50BD">
        <w:rPr>
          <w:rFonts w:ascii="Verdana" w:hAnsi="Verdana"/>
          <w:sz w:val="20"/>
          <w:lang w:val="pt-BR"/>
        </w:rPr>
        <w:t>viviam</w:t>
      </w:r>
      <w:r w:rsidR="0089298C" w:rsidRPr="002F50BD">
        <w:rPr>
          <w:rFonts w:ascii="Verdana" w:hAnsi="Verdana"/>
          <w:sz w:val="20"/>
          <w:lang w:val="pt-BR"/>
        </w:rPr>
        <w:t xml:space="preserve"> e </w:t>
      </w:r>
      <w:r w:rsidR="00E7595C" w:rsidRPr="002F50BD">
        <w:rPr>
          <w:rFonts w:ascii="Verdana" w:hAnsi="Verdana"/>
          <w:sz w:val="20"/>
          <w:lang w:val="pt-BR"/>
        </w:rPr>
        <w:t>percorriam</w:t>
      </w:r>
      <w:r w:rsidR="00E10DBB" w:rsidRPr="002F50BD">
        <w:rPr>
          <w:rFonts w:ascii="Verdana" w:hAnsi="Verdana"/>
          <w:sz w:val="20"/>
          <w:lang w:val="pt-BR"/>
        </w:rPr>
        <w:t xml:space="preserve">. É </w:t>
      </w:r>
      <w:r w:rsidR="0089298C" w:rsidRPr="002F50BD">
        <w:rPr>
          <w:rFonts w:ascii="Verdana" w:hAnsi="Verdana"/>
          <w:sz w:val="20"/>
          <w:lang w:val="pt-BR"/>
        </w:rPr>
        <w:t>a terra</w:t>
      </w:r>
      <w:r w:rsidRPr="002F50BD">
        <w:rPr>
          <w:rFonts w:ascii="Verdana" w:hAnsi="Verdana"/>
          <w:sz w:val="20"/>
          <w:lang w:val="pt-BR"/>
        </w:rPr>
        <w:t xml:space="preserve"> que</w:t>
      </w:r>
      <w:r w:rsidR="0089298C" w:rsidRPr="002F50BD">
        <w:rPr>
          <w:rFonts w:ascii="Verdana" w:hAnsi="Verdana"/>
          <w:sz w:val="20"/>
          <w:lang w:val="pt-BR"/>
        </w:rPr>
        <w:t xml:space="preserve"> lhes </w:t>
      </w:r>
      <w:r w:rsidR="00AB454A" w:rsidRPr="002F50BD">
        <w:rPr>
          <w:rFonts w:ascii="Verdana" w:hAnsi="Verdana"/>
          <w:sz w:val="20"/>
          <w:lang w:val="pt-BR"/>
        </w:rPr>
        <w:t>pertence</w:t>
      </w:r>
      <w:r w:rsidRPr="002F50BD">
        <w:rPr>
          <w:rFonts w:ascii="Verdana" w:hAnsi="Verdana"/>
          <w:sz w:val="20"/>
          <w:lang w:val="pt-BR"/>
        </w:rPr>
        <w:t>, o</w:t>
      </w:r>
      <w:r w:rsidR="00E7595C" w:rsidRPr="002F50BD">
        <w:rPr>
          <w:rFonts w:ascii="Verdana" w:hAnsi="Verdana"/>
          <w:sz w:val="20"/>
          <w:lang w:val="pt-BR"/>
        </w:rPr>
        <w:t>u</w:t>
      </w:r>
      <w:r w:rsidRPr="002F50BD">
        <w:rPr>
          <w:rFonts w:ascii="Verdana" w:hAnsi="Verdana"/>
          <w:sz w:val="20"/>
          <w:lang w:val="pt-BR"/>
        </w:rPr>
        <w:t xml:space="preserve"> se</w:t>
      </w:r>
      <w:r w:rsidR="00E7595C" w:rsidRPr="002F50BD">
        <w:rPr>
          <w:rFonts w:ascii="Verdana" w:hAnsi="Verdana"/>
          <w:sz w:val="20"/>
          <w:lang w:val="pt-BR"/>
        </w:rPr>
        <w:t>j</w:t>
      </w:r>
      <w:r w:rsidRPr="002F50BD">
        <w:rPr>
          <w:rFonts w:ascii="Verdana" w:hAnsi="Verdana"/>
          <w:sz w:val="20"/>
          <w:lang w:val="pt-BR"/>
        </w:rPr>
        <w:t>a,</w:t>
      </w:r>
      <w:r w:rsidR="0089298C" w:rsidRPr="002F50BD">
        <w:rPr>
          <w:rFonts w:ascii="Verdana" w:hAnsi="Verdana"/>
          <w:sz w:val="20"/>
          <w:lang w:val="pt-BR"/>
        </w:rPr>
        <w:t xml:space="preserve"> o </w:t>
      </w:r>
      <w:r w:rsidRPr="002F50BD">
        <w:rPr>
          <w:rFonts w:ascii="Verdana" w:hAnsi="Verdana"/>
          <w:sz w:val="20"/>
          <w:lang w:val="pt-BR"/>
        </w:rPr>
        <w:t>lugar que se adapta a su</w:t>
      </w:r>
      <w:r w:rsidR="00E7595C"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 xml:space="preserve">realidade </w:t>
      </w:r>
      <w:r w:rsidRPr="002F50BD">
        <w:rPr>
          <w:rFonts w:ascii="Verdana" w:hAnsi="Verdana"/>
          <w:sz w:val="20"/>
          <w:lang w:val="pt-BR"/>
        </w:rPr>
        <w:t>como indígenas.</w:t>
      </w:r>
      <w:r w:rsidR="0089298C" w:rsidRPr="002F50BD">
        <w:rPr>
          <w:rFonts w:ascii="Verdana" w:hAnsi="Verdana"/>
          <w:sz w:val="20"/>
          <w:lang w:val="pt-BR"/>
        </w:rPr>
        <w:t xml:space="preserve"> </w:t>
      </w:r>
      <w:r w:rsidR="00E7595C" w:rsidRPr="002F50BD">
        <w:rPr>
          <w:rFonts w:ascii="Verdana" w:hAnsi="Verdana"/>
          <w:sz w:val="20"/>
          <w:lang w:val="pt-BR"/>
        </w:rPr>
        <w:t>S</w:t>
      </w:r>
      <w:r w:rsidR="0089298C" w:rsidRPr="002F50BD">
        <w:rPr>
          <w:rFonts w:ascii="Verdana" w:hAnsi="Verdana"/>
          <w:sz w:val="20"/>
          <w:lang w:val="pt-BR"/>
        </w:rPr>
        <w:t xml:space="preserve">e vivem em </w:t>
      </w:r>
      <w:r w:rsidR="00AB454A" w:rsidRPr="002F50BD">
        <w:rPr>
          <w:rFonts w:ascii="Verdana" w:hAnsi="Verdana"/>
          <w:sz w:val="20"/>
          <w:lang w:val="pt-BR"/>
        </w:rPr>
        <w:t>seu território</w:t>
      </w:r>
      <w:r w:rsidR="00131A52" w:rsidRPr="002F50BD">
        <w:rPr>
          <w:rFonts w:ascii="Verdana" w:hAnsi="Verdana"/>
          <w:sz w:val="20"/>
          <w:lang w:val="pt-BR"/>
        </w:rPr>
        <w:t>,</w:t>
      </w:r>
      <w:r w:rsidRPr="002F50BD">
        <w:rPr>
          <w:rFonts w:ascii="Verdana" w:hAnsi="Verdana"/>
          <w:sz w:val="20"/>
          <w:lang w:val="pt-BR"/>
        </w:rPr>
        <w:t xml:space="preserve"> n</w:t>
      </w:r>
      <w:r w:rsidR="00E7595C"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ter</w:t>
      </w:r>
      <w:r w:rsidR="00E7595C" w:rsidRPr="002F50BD">
        <w:rPr>
          <w:rFonts w:ascii="Verdana" w:hAnsi="Verdana"/>
          <w:sz w:val="20"/>
          <w:lang w:val="pt-BR"/>
        </w:rPr>
        <w:t>ão</w:t>
      </w:r>
      <w:r w:rsidR="0089298C" w:rsidRPr="002F50BD">
        <w:rPr>
          <w:rFonts w:ascii="Verdana" w:hAnsi="Verdana"/>
          <w:sz w:val="20"/>
          <w:lang w:val="pt-BR"/>
        </w:rPr>
        <w:t xml:space="preserve"> </w:t>
      </w:r>
      <w:r w:rsidRPr="002F50BD">
        <w:rPr>
          <w:rFonts w:ascii="Verdana" w:hAnsi="Verdana"/>
          <w:sz w:val="20"/>
          <w:lang w:val="pt-BR"/>
        </w:rPr>
        <w:t xml:space="preserve">medo, porque </w:t>
      </w:r>
      <w:r w:rsidR="00E7595C" w:rsidRPr="002F50BD">
        <w:rPr>
          <w:rFonts w:ascii="Verdana" w:hAnsi="Verdana"/>
          <w:sz w:val="20"/>
          <w:lang w:val="pt-BR"/>
        </w:rPr>
        <w:t xml:space="preserve">terão </w:t>
      </w:r>
      <w:r w:rsidRPr="002F50BD">
        <w:rPr>
          <w:rFonts w:ascii="Verdana" w:hAnsi="Verdana"/>
          <w:sz w:val="20"/>
          <w:lang w:val="pt-BR"/>
        </w:rPr>
        <w:t xml:space="preserve">plena </w:t>
      </w:r>
      <w:r w:rsidR="00AB454A" w:rsidRPr="002F50BD">
        <w:rPr>
          <w:rFonts w:ascii="Verdana" w:hAnsi="Verdana"/>
          <w:sz w:val="20"/>
          <w:lang w:val="pt-BR"/>
        </w:rPr>
        <w:t>liberdade</w:t>
      </w:r>
      <w:r w:rsidR="00131A52" w:rsidRPr="002F50BD">
        <w:rPr>
          <w:rFonts w:ascii="Verdana" w:hAnsi="Verdana"/>
          <w:sz w:val="20"/>
          <w:lang w:val="pt-BR"/>
        </w:rPr>
        <w:t>. P</w:t>
      </w:r>
      <w:r w:rsidR="00E7595C" w:rsidRPr="002F50BD">
        <w:rPr>
          <w:rFonts w:ascii="Verdana" w:hAnsi="Verdana"/>
          <w:sz w:val="20"/>
          <w:lang w:val="pt-BR"/>
        </w:rPr>
        <w:t>a</w:t>
      </w:r>
      <w:r w:rsidRPr="002F50BD">
        <w:rPr>
          <w:rFonts w:ascii="Verdana" w:hAnsi="Verdana"/>
          <w:sz w:val="20"/>
          <w:lang w:val="pt-BR"/>
        </w:rPr>
        <w:t>r</w:t>
      </w:r>
      <w:r w:rsidR="00E7595C" w:rsidRPr="002F50BD">
        <w:rPr>
          <w:rFonts w:ascii="Verdana" w:hAnsi="Verdana"/>
          <w:sz w:val="20"/>
          <w:lang w:val="pt-BR"/>
        </w:rPr>
        <w:t>a</w:t>
      </w:r>
      <w:r w:rsidR="00313394" w:rsidRPr="002F50BD">
        <w:rPr>
          <w:rFonts w:ascii="Verdana" w:hAnsi="Verdana"/>
          <w:sz w:val="20"/>
          <w:lang w:val="pt-BR"/>
        </w:rPr>
        <w:t xml:space="preserve"> is</w:t>
      </w:r>
      <w:r w:rsidR="00131A52" w:rsidRPr="002F50BD">
        <w:rPr>
          <w:rFonts w:ascii="Verdana" w:hAnsi="Verdana"/>
          <w:sz w:val="20"/>
          <w:lang w:val="pt-BR"/>
        </w:rPr>
        <w:t>t</w:t>
      </w:r>
      <w:r w:rsidR="00313394" w:rsidRPr="002F50BD">
        <w:rPr>
          <w:rFonts w:ascii="Verdana" w:hAnsi="Verdana"/>
          <w:sz w:val="20"/>
          <w:lang w:val="pt-BR"/>
        </w:rPr>
        <w:t xml:space="preserve">o </w:t>
      </w:r>
      <w:r w:rsidR="0089298C" w:rsidRPr="002F50BD">
        <w:rPr>
          <w:rFonts w:ascii="Verdana" w:hAnsi="Verdana"/>
          <w:sz w:val="20"/>
          <w:lang w:val="pt-BR"/>
        </w:rPr>
        <w:t xml:space="preserve">é </w:t>
      </w:r>
      <w:r w:rsidRPr="002F50BD">
        <w:rPr>
          <w:rFonts w:ascii="Verdana" w:hAnsi="Verdana"/>
          <w:sz w:val="20"/>
          <w:lang w:val="pt-BR"/>
        </w:rPr>
        <w:t>su</w:t>
      </w:r>
      <w:r w:rsidR="00E7595C" w:rsidRPr="002F50BD">
        <w:rPr>
          <w:rFonts w:ascii="Verdana" w:hAnsi="Verdana"/>
          <w:sz w:val="20"/>
          <w:lang w:val="pt-BR"/>
        </w:rPr>
        <w:t>a</w:t>
      </w:r>
      <w:r w:rsidRPr="002F50BD">
        <w:rPr>
          <w:rFonts w:ascii="Verdana" w:hAnsi="Verdana"/>
          <w:sz w:val="20"/>
          <w:lang w:val="pt-BR"/>
        </w:rPr>
        <w:t xml:space="preserve"> </w:t>
      </w:r>
      <w:r w:rsidR="00131A52" w:rsidRPr="002F50BD">
        <w:rPr>
          <w:rFonts w:ascii="Verdana" w:hAnsi="Verdana"/>
          <w:sz w:val="20"/>
          <w:lang w:val="pt-BR"/>
        </w:rPr>
        <w:t>reivindicação pela</w:t>
      </w:r>
      <w:r w:rsidR="0089298C" w:rsidRPr="002F50BD">
        <w:rPr>
          <w:rFonts w:ascii="Verdana" w:hAnsi="Verdana"/>
          <w:sz w:val="20"/>
          <w:lang w:val="pt-BR"/>
        </w:rPr>
        <w:t xml:space="preserve"> terra e </w:t>
      </w:r>
      <w:r w:rsidR="00131A52" w:rsidRPr="002F50BD">
        <w:rPr>
          <w:rFonts w:ascii="Verdana" w:hAnsi="Verdana"/>
          <w:sz w:val="20"/>
          <w:lang w:val="pt-BR"/>
        </w:rPr>
        <w:t>pelo</w:t>
      </w:r>
      <w:r w:rsidR="0089298C" w:rsidRPr="002F50BD">
        <w:rPr>
          <w:rFonts w:ascii="Verdana" w:hAnsi="Verdana"/>
          <w:sz w:val="20"/>
          <w:lang w:val="pt-BR"/>
        </w:rPr>
        <w:t xml:space="preserve"> território</w:t>
      </w:r>
      <w:r w:rsidRPr="002F50BD">
        <w:rPr>
          <w:rFonts w:ascii="Verdana" w:hAnsi="Verdana"/>
          <w:sz w:val="20"/>
          <w:lang w:val="pt-BR"/>
        </w:rPr>
        <w:t>, para</w:t>
      </w:r>
      <w:r w:rsidR="0089298C" w:rsidRPr="002F50BD">
        <w:rPr>
          <w:rFonts w:ascii="Verdana" w:hAnsi="Verdana"/>
          <w:sz w:val="20"/>
          <w:lang w:val="pt-BR"/>
        </w:rPr>
        <w:t xml:space="preserve"> a </w:t>
      </w:r>
      <w:r w:rsidRPr="002F50BD">
        <w:rPr>
          <w:rFonts w:ascii="Verdana" w:hAnsi="Verdana"/>
          <w:sz w:val="20"/>
          <w:lang w:val="pt-BR"/>
        </w:rPr>
        <w:t>tranquilidad</w:t>
      </w:r>
      <w:r w:rsidR="00E7595C" w:rsidRPr="002F50BD">
        <w:rPr>
          <w:rFonts w:ascii="Verdana" w:hAnsi="Verdana"/>
          <w:sz w:val="20"/>
          <w:lang w:val="pt-BR"/>
        </w:rPr>
        <w:t>e</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F64EE">
      <w:pPr>
        <w:jc w:val="both"/>
        <w:rPr>
          <w:rFonts w:ascii="Verdana" w:hAnsi="Verdana"/>
          <w:sz w:val="20"/>
          <w:lang w:val="pt-BR"/>
        </w:rPr>
      </w:pPr>
      <w:r w:rsidRPr="002F50BD">
        <w:rPr>
          <w:rFonts w:ascii="Verdana" w:hAnsi="Verdana"/>
          <w:sz w:val="20"/>
          <w:lang w:val="pt-BR"/>
        </w:rPr>
        <w:t>O</w:t>
      </w:r>
      <w:r w:rsidR="004756C1" w:rsidRPr="002F50BD">
        <w:rPr>
          <w:rFonts w:ascii="Verdana" w:hAnsi="Verdana"/>
          <w:sz w:val="20"/>
          <w:lang w:val="pt-BR"/>
        </w:rPr>
        <w:t xml:space="preserve">nde </w:t>
      </w:r>
      <w:r w:rsidR="002C07CC" w:rsidRPr="002F50BD">
        <w:rPr>
          <w:rFonts w:ascii="Verdana" w:hAnsi="Verdana"/>
          <w:sz w:val="20"/>
          <w:lang w:val="pt-BR"/>
        </w:rPr>
        <w:t xml:space="preserve">a Comunidade </w:t>
      </w:r>
      <w:r w:rsidR="0089298C" w:rsidRPr="002F50BD">
        <w:rPr>
          <w:rFonts w:ascii="Verdana" w:hAnsi="Verdana"/>
          <w:sz w:val="20"/>
          <w:lang w:val="pt-BR"/>
        </w:rPr>
        <w:t>atual</w:t>
      </w:r>
      <w:r w:rsidR="004756C1" w:rsidRPr="002F50BD">
        <w:rPr>
          <w:rFonts w:ascii="Verdana" w:hAnsi="Verdana"/>
          <w:sz w:val="20"/>
          <w:lang w:val="pt-BR"/>
        </w:rPr>
        <w:t xml:space="preserve">mente está </w:t>
      </w:r>
      <w:r w:rsidR="00E7595C" w:rsidRPr="002F50BD">
        <w:rPr>
          <w:rFonts w:ascii="Verdana" w:hAnsi="Verdana"/>
          <w:sz w:val="20"/>
          <w:lang w:val="pt-BR"/>
        </w:rPr>
        <w:t>assentad</w:t>
      </w:r>
      <w:r w:rsidR="004756C1" w:rsidRPr="002F50BD">
        <w:rPr>
          <w:rFonts w:ascii="Verdana" w:hAnsi="Verdana"/>
          <w:sz w:val="20"/>
          <w:lang w:val="pt-BR"/>
        </w:rPr>
        <w:t>a</w:t>
      </w:r>
      <w:r w:rsidR="0089298C" w:rsidRPr="002F50BD">
        <w:rPr>
          <w:rFonts w:ascii="Verdana" w:hAnsi="Verdana"/>
          <w:sz w:val="20"/>
          <w:lang w:val="pt-BR"/>
        </w:rPr>
        <w:t xml:space="preserve"> a</w:t>
      </w:r>
      <w:r w:rsidR="00131A52" w:rsidRPr="002F50BD">
        <w:rPr>
          <w:rFonts w:ascii="Verdana" w:hAnsi="Verdana"/>
          <w:sz w:val="20"/>
          <w:lang w:val="pt-BR"/>
        </w:rPr>
        <w:t>s</w:t>
      </w:r>
      <w:r w:rsidR="0089298C" w:rsidRPr="002F50BD">
        <w:rPr>
          <w:rFonts w:ascii="Verdana" w:hAnsi="Verdana"/>
          <w:sz w:val="20"/>
          <w:lang w:val="pt-BR"/>
        </w:rPr>
        <w:t xml:space="preserve"> </w:t>
      </w:r>
      <w:r w:rsidR="00131A52" w:rsidRPr="002F50BD">
        <w:rPr>
          <w:rFonts w:ascii="Verdana" w:hAnsi="Verdana"/>
          <w:sz w:val="20"/>
          <w:lang w:val="pt-BR"/>
        </w:rPr>
        <w:t>pessoas</w:t>
      </w:r>
      <w:r w:rsidR="004756C1" w:rsidRPr="002F50BD">
        <w:rPr>
          <w:rFonts w:ascii="Verdana" w:hAnsi="Verdana"/>
          <w:sz w:val="20"/>
          <w:lang w:val="pt-BR"/>
        </w:rPr>
        <w:t xml:space="preserve"> est</w:t>
      </w:r>
      <w:r w:rsidR="00131A52" w:rsidRPr="002F50BD">
        <w:rPr>
          <w:rFonts w:ascii="Verdana" w:hAnsi="Verdana"/>
          <w:sz w:val="20"/>
          <w:lang w:val="pt-BR"/>
        </w:rPr>
        <w:t>ão</w:t>
      </w:r>
      <w:r w:rsidR="004756C1" w:rsidRPr="002F50BD">
        <w:rPr>
          <w:rFonts w:ascii="Verdana" w:hAnsi="Verdana"/>
          <w:sz w:val="20"/>
          <w:lang w:val="pt-BR"/>
        </w:rPr>
        <w:t xml:space="preserve"> </w:t>
      </w:r>
      <w:r w:rsidR="0089298C" w:rsidRPr="002F50BD">
        <w:rPr>
          <w:rFonts w:ascii="Verdana" w:hAnsi="Verdana"/>
          <w:sz w:val="20"/>
          <w:lang w:val="pt-BR"/>
        </w:rPr>
        <w:t>muito</w:t>
      </w:r>
      <w:r w:rsidR="004756C1" w:rsidRPr="002F50BD">
        <w:rPr>
          <w:rFonts w:ascii="Verdana" w:hAnsi="Verdana"/>
          <w:sz w:val="20"/>
          <w:lang w:val="pt-BR"/>
        </w:rPr>
        <w:t xml:space="preserve"> mal. </w:t>
      </w:r>
      <w:r w:rsidR="00E7595C" w:rsidRPr="002F50BD">
        <w:rPr>
          <w:rFonts w:ascii="Verdana" w:hAnsi="Verdana"/>
          <w:sz w:val="20"/>
          <w:lang w:val="pt-BR"/>
        </w:rPr>
        <w:t>As crianças</w:t>
      </w:r>
      <w:r w:rsidR="004756C1" w:rsidRPr="002F50BD">
        <w:rPr>
          <w:rFonts w:ascii="Verdana" w:hAnsi="Verdana"/>
          <w:sz w:val="20"/>
          <w:lang w:val="pt-BR"/>
        </w:rPr>
        <w:t xml:space="preserve"> </w:t>
      </w:r>
      <w:r w:rsidR="0089298C" w:rsidRPr="002F50BD">
        <w:rPr>
          <w:rFonts w:ascii="Verdana" w:hAnsi="Verdana"/>
          <w:sz w:val="20"/>
          <w:lang w:val="pt-BR"/>
        </w:rPr>
        <w:t xml:space="preserve">não possuem </w:t>
      </w:r>
      <w:r w:rsidR="004756C1" w:rsidRPr="002F50BD">
        <w:rPr>
          <w:rFonts w:ascii="Verdana" w:hAnsi="Verdana"/>
          <w:sz w:val="20"/>
          <w:lang w:val="pt-BR"/>
        </w:rPr>
        <w:t>alimenta</w:t>
      </w:r>
      <w:r w:rsidR="0089298C" w:rsidRPr="002F50BD">
        <w:rPr>
          <w:rFonts w:ascii="Verdana" w:hAnsi="Verdana"/>
          <w:sz w:val="20"/>
          <w:lang w:val="pt-BR"/>
        </w:rPr>
        <w:t>ção</w:t>
      </w:r>
      <w:r w:rsidR="004756C1" w:rsidRPr="002F50BD">
        <w:rPr>
          <w:rFonts w:ascii="Verdana" w:hAnsi="Verdana"/>
          <w:sz w:val="20"/>
          <w:lang w:val="pt-BR"/>
        </w:rPr>
        <w:t xml:space="preserve">, </w:t>
      </w:r>
      <w:r w:rsidR="00E7595C" w:rsidRPr="002F50BD">
        <w:rPr>
          <w:rFonts w:ascii="Verdana" w:hAnsi="Verdana"/>
          <w:sz w:val="20"/>
          <w:lang w:val="pt-BR"/>
        </w:rPr>
        <w:t>às</w:t>
      </w:r>
      <w:r w:rsidR="004756C1" w:rsidRPr="002F50BD">
        <w:rPr>
          <w:rFonts w:ascii="Verdana" w:hAnsi="Verdana"/>
          <w:sz w:val="20"/>
          <w:lang w:val="pt-BR"/>
        </w:rPr>
        <w:t xml:space="preserve"> </w:t>
      </w:r>
      <w:r w:rsidR="0089298C" w:rsidRPr="002F50BD">
        <w:rPr>
          <w:rFonts w:ascii="Verdana" w:hAnsi="Verdana"/>
          <w:sz w:val="20"/>
          <w:lang w:val="pt-BR"/>
        </w:rPr>
        <w:t>vezes</w:t>
      </w:r>
      <w:r w:rsidR="004756C1" w:rsidRPr="002F50BD">
        <w:rPr>
          <w:rFonts w:ascii="Verdana" w:hAnsi="Verdana"/>
          <w:sz w:val="20"/>
          <w:lang w:val="pt-BR"/>
        </w:rPr>
        <w:t xml:space="preserve"> </w:t>
      </w:r>
      <w:r w:rsidR="0089298C" w:rsidRPr="002F50BD">
        <w:rPr>
          <w:rFonts w:ascii="Verdana" w:hAnsi="Verdana"/>
          <w:sz w:val="20"/>
          <w:lang w:val="pt-BR"/>
        </w:rPr>
        <w:t xml:space="preserve">não possuem </w:t>
      </w:r>
      <w:r w:rsidR="004756C1" w:rsidRPr="002F50BD">
        <w:rPr>
          <w:rFonts w:ascii="Verdana" w:hAnsi="Verdana"/>
          <w:sz w:val="20"/>
          <w:lang w:val="pt-BR"/>
        </w:rPr>
        <w:t xml:space="preserve">nada </w:t>
      </w:r>
      <w:r w:rsidR="00E7595C" w:rsidRPr="002F50BD">
        <w:rPr>
          <w:rFonts w:ascii="Verdana" w:hAnsi="Verdana"/>
          <w:sz w:val="20"/>
          <w:lang w:val="pt-BR"/>
        </w:rPr>
        <w:t>para</w:t>
      </w:r>
      <w:r w:rsidR="004756C1" w:rsidRPr="002F50BD">
        <w:rPr>
          <w:rFonts w:ascii="Verdana" w:hAnsi="Verdana"/>
          <w:sz w:val="20"/>
          <w:lang w:val="pt-BR"/>
        </w:rPr>
        <w:t xml:space="preserve"> comer</w:t>
      </w:r>
      <w:r w:rsidR="0089298C" w:rsidRPr="002F50BD">
        <w:rPr>
          <w:rFonts w:ascii="Verdana" w:hAnsi="Verdana"/>
          <w:sz w:val="20"/>
          <w:lang w:val="pt-BR"/>
        </w:rPr>
        <w:t xml:space="preserve"> </w:t>
      </w:r>
      <w:r w:rsidR="00E7595C" w:rsidRPr="002F50BD">
        <w:rPr>
          <w:rFonts w:ascii="Verdana" w:hAnsi="Verdana"/>
          <w:sz w:val="20"/>
          <w:lang w:val="pt-BR"/>
        </w:rPr>
        <w:t xml:space="preserve">durante </w:t>
      </w:r>
      <w:r w:rsidR="00131A52" w:rsidRPr="002F50BD">
        <w:rPr>
          <w:rFonts w:ascii="Verdana" w:hAnsi="Verdana"/>
          <w:sz w:val="20"/>
          <w:lang w:val="pt-BR"/>
        </w:rPr>
        <w:t>o</w:t>
      </w:r>
      <w:r w:rsidR="0089298C" w:rsidRPr="002F50BD">
        <w:rPr>
          <w:rFonts w:ascii="Verdana" w:hAnsi="Verdana"/>
          <w:sz w:val="20"/>
          <w:lang w:val="pt-BR"/>
        </w:rPr>
        <w:t xml:space="preserve"> dia</w:t>
      </w:r>
      <w:r w:rsidR="004756C1" w:rsidRPr="002F50BD">
        <w:rPr>
          <w:rFonts w:ascii="Verdana" w:hAnsi="Verdana"/>
          <w:sz w:val="20"/>
          <w:lang w:val="pt-BR"/>
        </w:rPr>
        <w:t xml:space="preserve">. </w:t>
      </w:r>
      <w:r w:rsidRPr="002F50BD">
        <w:rPr>
          <w:rFonts w:ascii="Verdana" w:hAnsi="Verdana"/>
          <w:sz w:val="20"/>
          <w:lang w:val="pt-BR"/>
        </w:rPr>
        <w:t>Há</w:t>
      </w:r>
      <w:r w:rsidR="004756C1" w:rsidRPr="002F50BD">
        <w:rPr>
          <w:rFonts w:ascii="Verdana" w:hAnsi="Verdana"/>
          <w:sz w:val="20"/>
          <w:lang w:val="pt-BR"/>
        </w:rPr>
        <w:t xml:space="preserve"> </w:t>
      </w:r>
      <w:r w:rsidR="0089298C" w:rsidRPr="002F50BD">
        <w:rPr>
          <w:rFonts w:ascii="Verdana" w:hAnsi="Verdana"/>
          <w:sz w:val="20"/>
          <w:lang w:val="pt-BR"/>
        </w:rPr>
        <w:t>muita</w:t>
      </w:r>
      <w:r w:rsidR="004756C1" w:rsidRPr="002F50BD">
        <w:rPr>
          <w:rFonts w:ascii="Verdana" w:hAnsi="Verdana"/>
          <w:sz w:val="20"/>
          <w:lang w:val="pt-BR"/>
        </w:rPr>
        <w:t xml:space="preserve">s </w:t>
      </w:r>
      <w:r w:rsidR="0089298C" w:rsidRPr="002F50BD">
        <w:rPr>
          <w:rFonts w:ascii="Verdana" w:hAnsi="Verdana"/>
          <w:sz w:val="20"/>
          <w:lang w:val="pt-BR"/>
        </w:rPr>
        <w:t>dificuldades</w:t>
      </w:r>
      <w:r w:rsidR="004756C1" w:rsidRPr="002F50BD">
        <w:rPr>
          <w:rFonts w:ascii="Verdana" w:hAnsi="Verdana"/>
          <w:sz w:val="20"/>
          <w:lang w:val="pt-BR"/>
        </w:rPr>
        <w:t xml:space="preserve"> para</w:t>
      </w:r>
      <w:r w:rsidR="0089298C" w:rsidRPr="002F50BD">
        <w:rPr>
          <w:rFonts w:ascii="Verdana" w:hAnsi="Verdana"/>
          <w:sz w:val="20"/>
          <w:lang w:val="pt-BR"/>
        </w:rPr>
        <w:t xml:space="preserve"> a prática</w:t>
      </w:r>
      <w:r w:rsidR="004756C1" w:rsidRPr="002F50BD">
        <w:rPr>
          <w:rFonts w:ascii="Verdana" w:hAnsi="Verdana"/>
          <w:sz w:val="20"/>
          <w:lang w:val="pt-BR"/>
        </w:rPr>
        <w:t xml:space="preserve"> de </w:t>
      </w:r>
      <w:r w:rsidR="00E7595C" w:rsidRPr="002F50BD">
        <w:rPr>
          <w:rFonts w:ascii="Verdana" w:hAnsi="Verdana"/>
          <w:sz w:val="20"/>
          <w:lang w:val="pt-BR"/>
        </w:rPr>
        <w:t>caça</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 xml:space="preserve">que </w:t>
      </w:r>
      <w:r w:rsidR="00131A52" w:rsidRPr="002F50BD">
        <w:rPr>
          <w:rFonts w:ascii="Verdana" w:hAnsi="Verdana"/>
          <w:sz w:val="20"/>
          <w:lang w:val="pt-BR"/>
        </w:rPr>
        <w:t xml:space="preserve">estão proibidos de entrar na </w:t>
      </w:r>
      <w:r w:rsidR="004756C1" w:rsidRPr="002F50BD">
        <w:rPr>
          <w:rFonts w:ascii="Verdana" w:hAnsi="Verdana"/>
          <w:i/>
          <w:sz w:val="20"/>
          <w:lang w:val="pt-BR"/>
        </w:rPr>
        <w:t>Estancia</w:t>
      </w:r>
      <w:r w:rsidR="004756C1" w:rsidRPr="002F50BD">
        <w:rPr>
          <w:rFonts w:ascii="Verdana" w:hAnsi="Verdana"/>
          <w:sz w:val="20"/>
          <w:lang w:val="pt-BR"/>
        </w:rPr>
        <w:t xml:space="preserve"> que est</w:t>
      </w:r>
      <w:r w:rsidR="00E7595C" w:rsidRPr="002F50BD">
        <w:rPr>
          <w:rFonts w:ascii="Verdana" w:hAnsi="Verdana"/>
          <w:sz w:val="20"/>
          <w:lang w:val="pt-BR"/>
        </w:rPr>
        <w:t xml:space="preserve">á </w:t>
      </w:r>
      <w:r w:rsidR="004756C1" w:rsidRPr="002F50BD">
        <w:rPr>
          <w:rFonts w:ascii="Verdana" w:hAnsi="Verdana"/>
          <w:sz w:val="20"/>
          <w:lang w:val="pt-BR"/>
        </w:rPr>
        <w:t>a</w:t>
      </w:r>
      <w:r w:rsidR="00E7595C" w:rsidRPr="002F50BD">
        <w:rPr>
          <w:rFonts w:ascii="Verdana" w:hAnsi="Verdana"/>
          <w:sz w:val="20"/>
          <w:lang w:val="pt-BR"/>
        </w:rPr>
        <w:t xml:space="preserve">o lado </w:t>
      </w:r>
      <w:r w:rsidR="0089298C" w:rsidRPr="002F50BD">
        <w:rPr>
          <w:rFonts w:ascii="Verdana" w:hAnsi="Verdana"/>
          <w:sz w:val="20"/>
          <w:lang w:val="pt-BR"/>
        </w:rPr>
        <w:t xml:space="preserve">do </w:t>
      </w:r>
      <w:r w:rsidR="00AB454A" w:rsidRPr="002F50BD">
        <w:rPr>
          <w:rFonts w:ascii="Verdana" w:hAnsi="Verdana"/>
          <w:sz w:val="20"/>
          <w:lang w:val="pt-BR"/>
        </w:rPr>
        <w:t>assentamento</w:t>
      </w:r>
      <w:r w:rsidR="004756C1" w:rsidRPr="002F50BD">
        <w:rPr>
          <w:rFonts w:ascii="Verdana" w:hAnsi="Verdana"/>
          <w:sz w:val="20"/>
          <w:lang w:val="pt-BR"/>
        </w:rPr>
        <w:t>,</w:t>
      </w:r>
      <w:r w:rsidR="0089298C" w:rsidRPr="002F50BD">
        <w:rPr>
          <w:rFonts w:ascii="Verdana" w:hAnsi="Verdana"/>
          <w:sz w:val="20"/>
          <w:lang w:val="pt-BR"/>
        </w:rPr>
        <w:t xml:space="preserve"> </w:t>
      </w:r>
      <w:r w:rsidR="00E7595C" w:rsidRPr="002F50BD">
        <w:rPr>
          <w:rFonts w:ascii="Verdana" w:hAnsi="Verdana"/>
          <w:sz w:val="20"/>
          <w:lang w:val="pt-BR"/>
        </w:rPr>
        <w:t xml:space="preserve">de modo </w:t>
      </w:r>
      <w:r w:rsidR="0089298C" w:rsidRPr="002F50BD">
        <w:rPr>
          <w:rFonts w:ascii="Verdana" w:hAnsi="Verdana"/>
          <w:sz w:val="20"/>
          <w:lang w:val="pt-BR"/>
        </w:rPr>
        <w:t>que têm</w:t>
      </w:r>
      <w:r w:rsidR="004756C1" w:rsidRPr="002F50BD">
        <w:rPr>
          <w:rFonts w:ascii="Verdana" w:hAnsi="Verdana"/>
          <w:sz w:val="20"/>
          <w:lang w:val="pt-BR"/>
        </w:rPr>
        <w:t xml:space="preserve"> </w:t>
      </w:r>
      <w:r w:rsidR="00E7595C" w:rsidRPr="002F50BD">
        <w:rPr>
          <w:rFonts w:ascii="Verdana" w:hAnsi="Verdana"/>
          <w:sz w:val="20"/>
          <w:lang w:val="pt-BR"/>
        </w:rPr>
        <w:t xml:space="preserve">de realizar longas </w:t>
      </w:r>
      <w:r w:rsidR="0089298C" w:rsidRPr="002F50BD">
        <w:rPr>
          <w:rFonts w:ascii="Verdana" w:hAnsi="Verdana"/>
          <w:sz w:val="20"/>
          <w:lang w:val="pt-BR"/>
        </w:rPr>
        <w:t>viagens</w:t>
      </w:r>
      <w:r w:rsidR="004756C1" w:rsidRPr="002F50BD">
        <w:rPr>
          <w:rFonts w:ascii="Verdana" w:hAnsi="Verdana"/>
          <w:sz w:val="20"/>
          <w:lang w:val="pt-BR"/>
        </w:rPr>
        <w:t xml:space="preserve"> a </w:t>
      </w:r>
      <w:r w:rsidR="0089298C" w:rsidRPr="002F50BD">
        <w:rPr>
          <w:rFonts w:ascii="Verdana" w:hAnsi="Verdana"/>
          <w:sz w:val="20"/>
          <w:lang w:val="pt-BR"/>
        </w:rPr>
        <w:t>outra</w:t>
      </w:r>
      <w:r w:rsidR="004756C1" w:rsidRPr="002F50BD">
        <w:rPr>
          <w:rFonts w:ascii="Verdana" w:hAnsi="Verdana"/>
          <w:sz w:val="20"/>
          <w:lang w:val="pt-BR"/>
        </w:rPr>
        <w:t xml:space="preserve">s </w:t>
      </w:r>
      <w:r w:rsidRPr="002F50BD">
        <w:rPr>
          <w:rFonts w:ascii="Verdana" w:hAnsi="Verdana"/>
          <w:sz w:val="20"/>
          <w:lang w:val="pt-BR"/>
        </w:rPr>
        <w:t>fazendas</w:t>
      </w:r>
      <w:r w:rsidR="00E7595C" w:rsidRPr="002F50BD">
        <w:rPr>
          <w:rFonts w:ascii="Verdana" w:hAnsi="Verdana"/>
          <w:sz w:val="20"/>
          <w:lang w:val="pt-BR"/>
        </w:rPr>
        <w:t xml:space="preserve"> </w:t>
      </w:r>
      <w:r w:rsidR="004076AD" w:rsidRPr="002F50BD">
        <w:rPr>
          <w:rFonts w:ascii="Verdana" w:hAnsi="Verdana"/>
          <w:sz w:val="20"/>
          <w:lang w:val="pt-BR"/>
        </w:rPr>
        <w:t>ao redor</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r>
      <w:r w:rsidR="00475EBB" w:rsidRPr="002F50BD">
        <w:rPr>
          <w:rFonts w:ascii="Verdana" w:hAnsi="Verdana"/>
          <w:sz w:val="20"/>
          <w:lang w:val="pt-BR"/>
        </w:rPr>
        <w:t>A testemunha</w:t>
      </w:r>
      <w:r w:rsidR="004756C1" w:rsidRPr="002F50BD">
        <w:rPr>
          <w:rFonts w:ascii="Verdana" w:hAnsi="Verdana"/>
          <w:sz w:val="20"/>
          <w:lang w:val="pt-BR"/>
        </w:rPr>
        <w:t xml:space="preserve"> espera </w:t>
      </w:r>
      <w:r w:rsidRPr="002F50BD">
        <w:rPr>
          <w:rFonts w:ascii="Verdana" w:hAnsi="Verdana"/>
          <w:sz w:val="20"/>
          <w:lang w:val="pt-BR"/>
        </w:rPr>
        <w:t xml:space="preserve">receber </w:t>
      </w:r>
      <w:r w:rsidR="00E7595C" w:rsidRPr="002F50BD">
        <w:rPr>
          <w:rFonts w:ascii="Verdana" w:hAnsi="Verdana"/>
          <w:sz w:val="20"/>
          <w:lang w:val="pt-BR"/>
        </w:rPr>
        <w:t xml:space="preserve">informação </w:t>
      </w:r>
      <w:r w:rsidR="004756C1" w:rsidRPr="002F50BD">
        <w:rPr>
          <w:rFonts w:ascii="Verdana" w:hAnsi="Verdana"/>
          <w:sz w:val="20"/>
          <w:lang w:val="pt-BR"/>
        </w:rPr>
        <w:t>clar</w:t>
      </w:r>
      <w:r w:rsidR="00E7595C" w:rsidRPr="002F50BD">
        <w:rPr>
          <w:rFonts w:ascii="Verdana" w:hAnsi="Verdana"/>
          <w:sz w:val="20"/>
          <w:lang w:val="pt-BR"/>
        </w:rPr>
        <w:t>a</w:t>
      </w:r>
      <w:r w:rsidR="004756C1" w:rsidRPr="002F50BD">
        <w:rPr>
          <w:rFonts w:ascii="Verdana" w:hAnsi="Verdana"/>
          <w:sz w:val="20"/>
          <w:lang w:val="pt-BR"/>
        </w:rPr>
        <w:t>, sincer</w:t>
      </w:r>
      <w:r w:rsidR="00E7595C" w:rsidRPr="002F50BD">
        <w:rPr>
          <w:rFonts w:ascii="Verdana" w:hAnsi="Verdana"/>
          <w:sz w:val="20"/>
          <w:lang w:val="pt-BR"/>
        </w:rPr>
        <w:t>a</w:t>
      </w:r>
      <w:r w:rsidRPr="002F50BD">
        <w:rPr>
          <w:rFonts w:ascii="Verdana" w:hAnsi="Verdana"/>
          <w:sz w:val="20"/>
          <w:lang w:val="pt-BR"/>
        </w:rPr>
        <w:t xml:space="preserve"> e </w:t>
      </w:r>
      <w:r w:rsidR="004756C1" w:rsidRPr="002F50BD">
        <w:rPr>
          <w:rFonts w:ascii="Verdana" w:hAnsi="Verdana"/>
          <w:sz w:val="20"/>
          <w:lang w:val="pt-BR"/>
        </w:rPr>
        <w:t>honest</w:t>
      </w:r>
      <w:r w:rsidR="00E7595C"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 xml:space="preserve"> como</w:t>
      </w:r>
      <w:r w:rsidRPr="002F50BD">
        <w:rPr>
          <w:rFonts w:ascii="Verdana" w:hAnsi="Verdana"/>
          <w:sz w:val="20"/>
          <w:lang w:val="pt-BR"/>
        </w:rPr>
        <w:t xml:space="preserve"> o apoio</w:t>
      </w:r>
      <w:r w:rsidR="004756C1" w:rsidRPr="002F50BD">
        <w:rPr>
          <w:rFonts w:ascii="Verdana" w:hAnsi="Verdana"/>
          <w:sz w:val="20"/>
          <w:lang w:val="pt-BR"/>
        </w:rPr>
        <w:t xml:space="preserve"> para que l</w:t>
      </w:r>
      <w:r w:rsidR="00E7595C" w:rsidRPr="002F50BD">
        <w:rPr>
          <w:rFonts w:ascii="Verdana" w:hAnsi="Verdana"/>
          <w:sz w:val="20"/>
          <w:lang w:val="pt-BR"/>
        </w:rPr>
        <w:t>h</w:t>
      </w:r>
      <w:r w:rsidR="004756C1" w:rsidRPr="002F50BD">
        <w:rPr>
          <w:rFonts w:ascii="Verdana" w:hAnsi="Verdana"/>
          <w:sz w:val="20"/>
          <w:lang w:val="pt-BR"/>
        </w:rPr>
        <w:t>e</w:t>
      </w:r>
      <w:r w:rsidR="00E7595C" w:rsidRPr="002F50BD">
        <w:rPr>
          <w:rFonts w:ascii="Verdana" w:hAnsi="Verdana"/>
          <w:sz w:val="20"/>
          <w:lang w:val="pt-BR"/>
        </w:rPr>
        <w:t>s</w:t>
      </w:r>
      <w:r w:rsidR="004756C1" w:rsidRPr="002F50BD">
        <w:rPr>
          <w:rFonts w:ascii="Verdana" w:hAnsi="Verdana"/>
          <w:sz w:val="20"/>
          <w:lang w:val="pt-BR"/>
        </w:rPr>
        <w:t xml:space="preserve"> entregue</w:t>
      </w:r>
      <w:r w:rsidR="00E7595C" w:rsidRPr="002F50BD">
        <w:rPr>
          <w:rFonts w:ascii="Verdana" w:hAnsi="Verdana"/>
          <w:sz w:val="20"/>
          <w:lang w:val="pt-BR"/>
        </w:rPr>
        <w:t>m</w:t>
      </w:r>
      <w:r w:rsidR="004756C1" w:rsidRPr="002F50BD">
        <w:rPr>
          <w:rFonts w:ascii="Verdana" w:hAnsi="Verdana"/>
          <w:sz w:val="20"/>
          <w:lang w:val="pt-BR"/>
        </w:rPr>
        <w:t xml:space="preserve"> </w:t>
      </w:r>
      <w:r w:rsidR="00A50140" w:rsidRPr="002F50BD">
        <w:rPr>
          <w:rFonts w:ascii="Verdana" w:hAnsi="Verdana"/>
          <w:sz w:val="20"/>
          <w:lang w:val="pt-BR"/>
        </w:rPr>
        <w:t>suas terras</w:t>
      </w:r>
      <w:r w:rsidR="004756C1" w:rsidRPr="002F50BD">
        <w:rPr>
          <w:rFonts w:ascii="Verdana" w:hAnsi="Verdana"/>
          <w:sz w:val="20"/>
          <w:lang w:val="pt-BR"/>
        </w:rPr>
        <w:t xml:space="preserve"> para</w:t>
      </w:r>
      <w:r w:rsidRPr="002F50BD">
        <w:rPr>
          <w:rFonts w:ascii="Verdana" w:hAnsi="Verdana"/>
          <w:sz w:val="20"/>
          <w:lang w:val="pt-BR"/>
        </w:rPr>
        <w:t xml:space="preserve"> a tranquilidade </w:t>
      </w:r>
      <w:r w:rsidR="004756C1" w:rsidRPr="002F50BD">
        <w:rPr>
          <w:rFonts w:ascii="Verdana" w:hAnsi="Verdana"/>
          <w:sz w:val="20"/>
          <w:lang w:val="pt-BR"/>
        </w:rPr>
        <w:t xml:space="preserve">de </w:t>
      </w:r>
      <w:r w:rsidR="00E7595C" w:rsidRPr="002F50BD">
        <w:rPr>
          <w:rFonts w:ascii="Verdana" w:hAnsi="Verdana"/>
          <w:sz w:val="20"/>
          <w:lang w:val="pt-BR"/>
        </w:rPr>
        <w:t>seus filhos</w:t>
      </w:r>
      <w:r w:rsidRPr="002F50BD">
        <w:rPr>
          <w:rFonts w:ascii="Verdana" w:hAnsi="Verdana"/>
          <w:sz w:val="20"/>
          <w:lang w:val="pt-BR"/>
        </w:rPr>
        <w:t xml:space="preserve"> e </w:t>
      </w:r>
      <w:r w:rsidR="00E7595C" w:rsidRPr="002F50BD">
        <w:rPr>
          <w:rFonts w:ascii="Verdana" w:hAnsi="Verdana"/>
          <w:sz w:val="20"/>
          <w:lang w:val="pt-BR"/>
        </w:rPr>
        <w:t>neto</w:t>
      </w:r>
      <w:r w:rsidR="004756C1" w:rsidRPr="002F50BD">
        <w:rPr>
          <w:rFonts w:ascii="Verdana" w:hAnsi="Verdana"/>
          <w:sz w:val="20"/>
          <w:lang w:val="pt-BR"/>
        </w:rPr>
        <w:t>s.</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c.</w:t>
      </w:r>
      <w:r w:rsidRPr="002F50BD">
        <w:rPr>
          <w:rFonts w:ascii="Verdana" w:hAnsi="Verdana"/>
          <w:b/>
          <w:sz w:val="20"/>
          <w:lang w:val="pt-BR"/>
        </w:rPr>
        <w:tab/>
        <w:t xml:space="preserve">Inocencia Gómez, </w:t>
      </w:r>
      <w:r w:rsidR="0089298C" w:rsidRPr="002F50BD">
        <w:rPr>
          <w:rFonts w:ascii="Verdana" w:hAnsi="Verdana"/>
          <w:b/>
          <w:sz w:val="20"/>
          <w:lang w:val="pt-BR"/>
        </w:rPr>
        <w:t>suposta</w:t>
      </w:r>
      <w:r w:rsidRPr="002F50BD">
        <w:rPr>
          <w:rFonts w:ascii="Verdana" w:hAnsi="Verdana"/>
          <w:b/>
          <w:sz w:val="20"/>
          <w:lang w:val="pt-BR"/>
        </w:rPr>
        <w:t xml:space="preserve"> </w:t>
      </w:r>
      <w:r w:rsidR="0089298C" w:rsidRPr="002F50BD">
        <w:rPr>
          <w:rFonts w:ascii="Verdana" w:hAnsi="Verdana"/>
          <w:b/>
          <w:sz w:val="20"/>
          <w:lang w:val="pt-BR"/>
        </w:rPr>
        <w:t>vítima</w:t>
      </w:r>
    </w:p>
    <w:p w:rsidR="004756C1" w:rsidRPr="002F50BD" w:rsidRDefault="004756C1">
      <w:pPr>
        <w:jc w:val="both"/>
        <w:rPr>
          <w:rFonts w:ascii="Verdana" w:hAnsi="Verdana"/>
          <w:sz w:val="20"/>
          <w:lang w:val="pt-BR"/>
        </w:rPr>
      </w:pPr>
    </w:p>
    <w:p w:rsidR="004756C1" w:rsidRPr="002F50BD" w:rsidRDefault="00E7595C">
      <w:pPr>
        <w:jc w:val="both"/>
        <w:rPr>
          <w:rFonts w:ascii="Verdana" w:hAnsi="Verdana"/>
          <w:sz w:val="20"/>
          <w:lang w:val="pt-BR"/>
        </w:rPr>
      </w:pPr>
      <w:r w:rsidRPr="002F50BD">
        <w:rPr>
          <w:rFonts w:ascii="Verdana" w:hAnsi="Verdana"/>
          <w:sz w:val="20"/>
          <w:lang w:val="pt-BR"/>
        </w:rPr>
        <w:t>Pertence</w:t>
      </w:r>
      <w:r w:rsidR="0089298C" w:rsidRPr="002F50BD">
        <w:rPr>
          <w:rFonts w:ascii="Verdana" w:hAnsi="Verdana"/>
          <w:sz w:val="20"/>
          <w:lang w:val="pt-BR"/>
        </w:rPr>
        <w:t xml:space="preserve"> ao povo</w:t>
      </w:r>
      <w:r w:rsidR="004756C1" w:rsidRPr="002F50BD">
        <w:rPr>
          <w:rFonts w:ascii="Verdana" w:hAnsi="Verdana"/>
          <w:sz w:val="20"/>
          <w:lang w:val="pt-BR"/>
        </w:rPr>
        <w:t xml:space="preserve"> indígena Enxet. </w:t>
      </w:r>
      <w:r w:rsidR="0089298C" w:rsidRPr="002F50BD">
        <w:rPr>
          <w:rFonts w:ascii="Verdana" w:hAnsi="Verdana"/>
          <w:sz w:val="20"/>
          <w:lang w:val="pt-BR"/>
        </w:rPr>
        <w:t xml:space="preserve">Seus pais são </w:t>
      </w:r>
      <w:r w:rsidR="005D1589" w:rsidRPr="002F50BD">
        <w:rPr>
          <w:rFonts w:ascii="Verdana" w:hAnsi="Verdana"/>
          <w:sz w:val="20"/>
          <w:lang w:val="pt-BR"/>
        </w:rPr>
        <w:t>originário</w:t>
      </w:r>
      <w:r w:rsidR="004756C1" w:rsidRPr="002F50BD">
        <w:rPr>
          <w:rFonts w:ascii="Verdana" w:hAnsi="Verdana"/>
          <w:sz w:val="20"/>
          <w:lang w:val="pt-BR"/>
        </w:rPr>
        <w:t>s de Yakye Axa,</w:t>
      </w:r>
      <w:r w:rsidR="0089298C" w:rsidRPr="002F50BD">
        <w:rPr>
          <w:rFonts w:ascii="Verdana" w:hAnsi="Verdana"/>
          <w:sz w:val="20"/>
          <w:lang w:val="pt-BR"/>
        </w:rPr>
        <w:t xml:space="preserve"> </w:t>
      </w:r>
      <w:r w:rsidR="00594A58" w:rsidRPr="002F50BD">
        <w:rPr>
          <w:rFonts w:ascii="Verdana" w:hAnsi="Verdana"/>
          <w:sz w:val="20"/>
          <w:lang w:val="pt-BR"/>
        </w:rPr>
        <w:t>no entanto</w:t>
      </w:r>
      <w:r w:rsidR="004756C1" w:rsidRPr="002F50BD">
        <w:rPr>
          <w:rFonts w:ascii="Verdana" w:hAnsi="Verdana"/>
          <w:sz w:val="20"/>
          <w:lang w:val="pt-BR"/>
        </w:rPr>
        <w:t>,</w:t>
      </w:r>
      <w:r w:rsidR="0089298C" w:rsidRPr="002F50BD">
        <w:rPr>
          <w:rFonts w:ascii="Verdana" w:hAnsi="Verdana"/>
          <w:sz w:val="20"/>
          <w:lang w:val="pt-BR"/>
        </w:rPr>
        <w:t xml:space="preserve"> a testemunha</w:t>
      </w:r>
      <w:r w:rsidR="004756C1" w:rsidRPr="002F50BD">
        <w:rPr>
          <w:rFonts w:ascii="Verdana" w:hAnsi="Verdana"/>
          <w:sz w:val="20"/>
          <w:lang w:val="pt-BR"/>
        </w:rPr>
        <w:t xml:space="preserve"> </w:t>
      </w:r>
      <w:r w:rsidR="00CD7100" w:rsidRPr="002F50BD">
        <w:rPr>
          <w:rFonts w:ascii="Verdana" w:hAnsi="Verdana"/>
          <w:sz w:val="20"/>
          <w:lang w:val="pt-BR"/>
        </w:rPr>
        <w:t>nasceu</w:t>
      </w:r>
      <w:r w:rsidR="0089298C" w:rsidRPr="002F50BD">
        <w:rPr>
          <w:rFonts w:ascii="Verdana" w:hAnsi="Verdana"/>
          <w:sz w:val="20"/>
          <w:lang w:val="pt-BR"/>
        </w:rPr>
        <w:t xml:space="preserve"> na </w:t>
      </w:r>
      <w:r w:rsidR="004756C1" w:rsidRPr="002F50BD">
        <w:rPr>
          <w:rFonts w:ascii="Verdana" w:hAnsi="Verdana"/>
          <w:i/>
          <w:sz w:val="20"/>
          <w:lang w:val="pt-BR"/>
        </w:rPr>
        <w:t>Estancia Ledesma</w:t>
      </w:r>
      <w:r w:rsidR="004756C1" w:rsidRPr="002F50BD">
        <w:rPr>
          <w:rFonts w:ascii="Verdana" w:hAnsi="Verdana"/>
          <w:sz w:val="20"/>
          <w:lang w:val="pt-BR"/>
        </w:rPr>
        <w:t>,</w:t>
      </w:r>
      <w:r w:rsidR="0089298C" w:rsidRPr="002F50BD">
        <w:rPr>
          <w:rFonts w:ascii="Verdana" w:hAnsi="Verdana"/>
          <w:sz w:val="20"/>
          <w:lang w:val="pt-BR"/>
        </w:rPr>
        <w:t xml:space="preserve"> </w:t>
      </w:r>
      <w:r w:rsidR="00594A58" w:rsidRPr="002F50BD">
        <w:rPr>
          <w:rFonts w:ascii="Verdana" w:hAnsi="Verdana"/>
          <w:sz w:val="20"/>
          <w:lang w:val="pt-BR"/>
        </w:rPr>
        <w:t>a</w:t>
      </w:r>
      <w:r w:rsidR="0089298C" w:rsidRPr="002F50BD">
        <w:rPr>
          <w:rFonts w:ascii="Verdana" w:hAnsi="Verdana"/>
          <w:sz w:val="20"/>
          <w:lang w:val="pt-BR"/>
        </w:rPr>
        <w:t xml:space="preserve">o </w:t>
      </w:r>
      <w:r w:rsidR="00594A58" w:rsidRPr="002F50BD">
        <w:rPr>
          <w:rFonts w:ascii="Verdana" w:hAnsi="Verdana"/>
          <w:sz w:val="20"/>
          <w:lang w:val="pt-BR"/>
        </w:rPr>
        <w:t xml:space="preserve">lado </w:t>
      </w:r>
      <w:r w:rsidR="004756C1" w:rsidRPr="002F50BD">
        <w:rPr>
          <w:rFonts w:ascii="Verdana" w:hAnsi="Verdana"/>
          <w:sz w:val="20"/>
          <w:lang w:val="pt-BR"/>
        </w:rPr>
        <w:t xml:space="preserve">de Yakye Axa, </w:t>
      </w:r>
      <w:r w:rsidR="0089298C" w:rsidRPr="002F50BD">
        <w:rPr>
          <w:rFonts w:ascii="Verdana" w:hAnsi="Verdana"/>
          <w:sz w:val="20"/>
          <w:lang w:val="pt-BR"/>
        </w:rPr>
        <w:t>depois</w:t>
      </w:r>
      <w:r w:rsidR="004756C1" w:rsidRPr="002F50BD">
        <w:rPr>
          <w:rFonts w:ascii="Verdana" w:hAnsi="Verdana"/>
          <w:sz w:val="20"/>
          <w:lang w:val="pt-BR"/>
        </w:rPr>
        <w:t xml:space="preserve"> que </w:t>
      </w:r>
      <w:r w:rsidR="0089298C" w:rsidRPr="002F50BD">
        <w:rPr>
          <w:rFonts w:ascii="Verdana" w:hAnsi="Verdana"/>
          <w:sz w:val="20"/>
          <w:lang w:val="pt-BR"/>
        </w:rPr>
        <w:t>seu pai</w:t>
      </w:r>
      <w:r w:rsidR="004756C1" w:rsidRPr="002F50BD">
        <w:rPr>
          <w:rFonts w:ascii="Verdana" w:hAnsi="Verdana"/>
          <w:sz w:val="20"/>
          <w:lang w:val="pt-BR"/>
        </w:rPr>
        <w:t xml:space="preserve"> se </w:t>
      </w:r>
      <w:r w:rsidR="00594A58" w:rsidRPr="002F50BD">
        <w:rPr>
          <w:rFonts w:ascii="Verdana" w:hAnsi="Verdana"/>
          <w:sz w:val="20"/>
          <w:lang w:val="pt-BR"/>
        </w:rPr>
        <w:t xml:space="preserve">mudou para lá </w:t>
      </w:r>
      <w:r w:rsidR="004756C1" w:rsidRPr="002F50BD">
        <w:rPr>
          <w:rFonts w:ascii="Verdana" w:hAnsi="Verdana"/>
          <w:sz w:val="20"/>
          <w:lang w:val="pt-BR"/>
        </w:rPr>
        <w:t xml:space="preserve">por </w:t>
      </w:r>
      <w:r w:rsidR="00AB454A" w:rsidRPr="002F50BD">
        <w:rPr>
          <w:rFonts w:ascii="Verdana" w:hAnsi="Verdana"/>
          <w:sz w:val="20"/>
          <w:lang w:val="pt-BR"/>
        </w:rPr>
        <w:t>seu trabalho</w:t>
      </w:r>
      <w:r w:rsidR="004756C1" w:rsidRPr="002F50BD">
        <w:rPr>
          <w:rFonts w:ascii="Verdana" w:hAnsi="Verdana"/>
          <w:sz w:val="20"/>
          <w:lang w:val="pt-BR"/>
        </w:rPr>
        <w:t>.</w:t>
      </w:r>
      <w:r w:rsidR="00FE08B7">
        <w:rPr>
          <w:rFonts w:ascii="Verdana" w:hAnsi="Verdana"/>
          <w:sz w:val="20"/>
          <w:lang w:val="pt-BR"/>
        </w:rPr>
        <w:t xml:space="preserve"> </w:t>
      </w:r>
      <w:r w:rsidR="0089298C" w:rsidRPr="002F50BD">
        <w:rPr>
          <w:rFonts w:ascii="Verdana" w:hAnsi="Verdana"/>
          <w:sz w:val="20"/>
          <w:lang w:val="pt-BR"/>
        </w:rPr>
        <w:t xml:space="preserve">Viveu na </w:t>
      </w:r>
      <w:r w:rsidR="004756C1" w:rsidRPr="002F50BD">
        <w:rPr>
          <w:rFonts w:ascii="Verdana" w:hAnsi="Verdana"/>
          <w:i/>
          <w:sz w:val="20"/>
          <w:lang w:val="pt-BR"/>
        </w:rPr>
        <w:t>Estancia Ledesma</w:t>
      </w:r>
      <w:r w:rsidR="004756C1" w:rsidRPr="002F50BD">
        <w:rPr>
          <w:rFonts w:ascii="Verdana" w:hAnsi="Verdana"/>
          <w:sz w:val="20"/>
          <w:lang w:val="pt-BR"/>
        </w:rPr>
        <w:t xml:space="preserve"> </w:t>
      </w:r>
      <w:r w:rsidR="0089298C" w:rsidRPr="002F50BD">
        <w:rPr>
          <w:rFonts w:ascii="Verdana" w:hAnsi="Verdana"/>
          <w:sz w:val="20"/>
          <w:lang w:val="pt-BR"/>
        </w:rPr>
        <w:t xml:space="preserve">até os </w:t>
      </w:r>
      <w:r w:rsidR="004756C1" w:rsidRPr="002F50BD">
        <w:rPr>
          <w:rFonts w:ascii="Verdana" w:hAnsi="Verdana"/>
          <w:sz w:val="20"/>
          <w:lang w:val="pt-BR"/>
        </w:rPr>
        <w:t xml:space="preserve">cinco </w:t>
      </w:r>
      <w:r w:rsidR="0089298C" w:rsidRPr="002F50BD">
        <w:rPr>
          <w:rFonts w:ascii="Verdana" w:hAnsi="Verdana"/>
          <w:sz w:val="20"/>
          <w:lang w:val="pt-BR"/>
        </w:rPr>
        <w:t xml:space="preserve">anos e </w:t>
      </w:r>
      <w:r w:rsidR="00594A58" w:rsidRPr="002F50BD">
        <w:rPr>
          <w:rFonts w:ascii="Verdana" w:hAnsi="Verdana"/>
          <w:sz w:val="20"/>
          <w:lang w:val="pt-BR"/>
        </w:rPr>
        <w:t xml:space="preserve">depois </w:t>
      </w:r>
      <w:r w:rsidR="004076AD" w:rsidRPr="002F50BD">
        <w:rPr>
          <w:rFonts w:ascii="Verdana" w:hAnsi="Verdana"/>
          <w:sz w:val="20"/>
          <w:lang w:val="pt-BR"/>
        </w:rPr>
        <w:t>regressou</w:t>
      </w:r>
      <w:r w:rsidR="004756C1" w:rsidRPr="002F50BD">
        <w:rPr>
          <w:rFonts w:ascii="Verdana" w:hAnsi="Verdana"/>
          <w:sz w:val="20"/>
          <w:lang w:val="pt-BR"/>
        </w:rPr>
        <w:t xml:space="preserve"> a Yakye Axa.</w:t>
      </w:r>
      <w:r w:rsidR="00FE08B7">
        <w:rPr>
          <w:rFonts w:ascii="Verdana" w:hAnsi="Verdana"/>
          <w:sz w:val="20"/>
          <w:lang w:val="pt-BR"/>
        </w:rPr>
        <w:t xml:space="preserve"> </w:t>
      </w:r>
      <w:r w:rsidR="0089298C" w:rsidRPr="002F50BD">
        <w:rPr>
          <w:rFonts w:ascii="Verdana" w:hAnsi="Verdana"/>
          <w:sz w:val="20"/>
          <w:lang w:val="pt-BR"/>
        </w:rPr>
        <w:t xml:space="preserve">Fala </w:t>
      </w:r>
      <w:r w:rsidR="004756C1" w:rsidRPr="002F50BD">
        <w:rPr>
          <w:rFonts w:ascii="Verdana" w:hAnsi="Verdana"/>
          <w:sz w:val="20"/>
          <w:lang w:val="pt-BR"/>
        </w:rPr>
        <w:t>enxet</w:t>
      </w:r>
      <w:r w:rsidR="0089298C" w:rsidRPr="002F50BD">
        <w:rPr>
          <w:rFonts w:ascii="Verdana" w:hAnsi="Verdana"/>
          <w:sz w:val="20"/>
          <w:lang w:val="pt-BR"/>
        </w:rPr>
        <w:t xml:space="preserve"> e </w:t>
      </w:r>
      <w:r w:rsidR="005A6BC7" w:rsidRPr="002F50BD">
        <w:rPr>
          <w:rFonts w:ascii="Verdana" w:hAnsi="Verdana"/>
          <w:sz w:val="20"/>
          <w:lang w:val="pt-BR"/>
        </w:rPr>
        <w:t>guarani</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E</w:t>
      </w:r>
      <w:r w:rsidR="00594A58" w:rsidRPr="002F50BD">
        <w:rPr>
          <w:rFonts w:ascii="Verdana" w:hAnsi="Verdana"/>
          <w:sz w:val="20"/>
          <w:lang w:val="pt-BR"/>
        </w:rPr>
        <w:t>m</w:t>
      </w:r>
      <w:r w:rsidRPr="002F50BD">
        <w:rPr>
          <w:rFonts w:ascii="Verdana" w:hAnsi="Verdana"/>
          <w:sz w:val="20"/>
          <w:lang w:val="pt-BR"/>
        </w:rPr>
        <w:t xml:space="preserve"> Yakye Axa</w:t>
      </w:r>
      <w:r w:rsidR="00131A52" w:rsidRPr="002F50BD">
        <w:rPr>
          <w:rFonts w:ascii="Verdana" w:hAnsi="Verdana"/>
          <w:sz w:val="20"/>
          <w:lang w:val="pt-BR"/>
        </w:rPr>
        <w:t>,</w:t>
      </w:r>
      <w:r w:rsidRPr="002F50BD">
        <w:rPr>
          <w:rFonts w:ascii="Verdana" w:hAnsi="Verdana"/>
          <w:sz w:val="20"/>
          <w:lang w:val="pt-BR"/>
        </w:rPr>
        <w:t xml:space="preserve"> </w:t>
      </w:r>
      <w:r w:rsidR="0089298C" w:rsidRPr="002F50BD">
        <w:rPr>
          <w:rFonts w:ascii="Verdana" w:hAnsi="Verdana"/>
          <w:sz w:val="20"/>
          <w:lang w:val="pt-BR"/>
        </w:rPr>
        <w:t>seus pais</w:t>
      </w:r>
      <w:r w:rsidRPr="002F50BD">
        <w:rPr>
          <w:rFonts w:ascii="Verdana" w:hAnsi="Verdana"/>
          <w:sz w:val="20"/>
          <w:lang w:val="pt-BR"/>
        </w:rPr>
        <w:t xml:space="preserve"> </w:t>
      </w:r>
      <w:r w:rsidR="00CD7100" w:rsidRPr="002F50BD">
        <w:rPr>
          <w:rFonts w:ascii="Verdana" w:hAnsi="Verdana"/>
          <w:sz w:val="20"/>
          <w:lang w:val="pt-BR"/>
        </w:rPr>
        <w:t>viviam</w:t>
      </w:r>
      <w:r w:rsidRPr="002F50BD">
        <w:rPr>
          <w:rFonts w:ascii="Verdana" w:hAnsi="Verdana"/>
          <w:sz w:val="20"/>
          <w:lang w:val="pt-BR"/>
        </w:rPr>
        <w:t xml:space="preserve"> </w:t>
      </w:r>
      <w:r w:rsidR="0089298C" w:rsidRPr="002F50BD">
        <w:rPr>
          <w:rFonts w:ascii="Verdana" w:hAnsi="Verdana"/>
          <w:sz w:val="20"/>
          <w:lang w:val="pt-BR"/>
        </w:rPr>
        <w:t>muito</w:t>
      </w:r>
      <w:r w:rsidR="00E7595C" w:rsidRPr="002F50BD">
        <w:rPr>
          <w:rFonts w:ascii="Verdana" w:hAnsi="Verdana"/>
          <w:sz w:val="20"/>
          <w:lang w:val="pt-BR"/>
        </w:rPr>
        <w:t xml:space="preserve"> bem</w:t>
      </w:r>
      <w:r w:rsidRPr="002F50BD">
        <w:rPr>
          <w:rFonts w:ascii="Verdana" w:hAnsi="Verdana"/>
          <w:sz w:val="20"/>
          <w:lang w:val="pt-BR"/>
        </w:rPr>
        <w:t xml:space="preserve">, </w:t>
      </w:r>
      <w:r w:rsidR="00594A58" w:rsidRPr="002F50BD">
        <w:rPr>
          <w:rFonts w:ascii="Verdana" w:hAnsi="Verdana"/>
          <w:sz w:val="20"/>
          <w:lang w:val="pt-BR"/>
        </w:rPr>
        <w:t>caçavam</w:t>
      </w:r>
      <w:r w:rsidRPr="002F50BD">
        <w:rPr>
          <w:rFonts w:ascii="Verdana" w:hAnsi="Verdana"/>
          <w:sz w:val="20"/>
          <w:lang w:val="pt-BR"/>
        </w:rPr>
        <w:t xml:space="preserve"> tranquilamente. </w:t>
      </w:r>
      <w:r w:rsidR="00594A58" w:rsidRPr="002F50BD">
        <w:rPr>
          <w:rFonts w:ascii="Verdana" w:hAnsi="Verdana"/>
          <w:sz w:val="20"/>
          <w:lang w:val="pt-BR"/>
        </w:rPr>
        <w:t>No entanto</w:t>
      </w:r>
      <w:r w:rsidRPr="002F50BD">
        <w:rPr>
          <w:rFonts w:ascii="Verdana" w:hAnsi="Verdana"/>
          <w:sz w:val="20"/>
          <w:lang w:val="pt-BR"/>
        </w:rPr>
        <w:t>,</w:t>
      </w:r>
      <w:r w:rsidR="00AB454A" w:rsidRPr="002F50BD">
        <w:rPr>
          <w:rFonts w:ascii="Verdana" w:hAnsi="Verdana"/>
          <w:sz w:val="20"/>
          <w:lang w:val="pt-BR"/>
        </w:rPr>
        <w:t xml:space="preserve"> houve </w:t>
      </w:r>
      <w:r w:rsidR="0089298C" w:rsidRPr="002F50BD">
        <w:rPr>
          <w:rFonts w:ascii="Verdana" w:hAnsi="Verdana"/>
          <w:sz w:val="20"/>
          <w:lang w:val="pt-BR"/>
        </w:rPr>
        <w:t>um</w:t>
      </w:r>
      <w:r w:rsidR="00594A58" w:rsidRPr="002F50BD">
        <w:rPr>
          <w:rFonts w:ascii="Verdana" w:hAnsi="Verdana"/>
          <w:sz w:val="20"/>
          <w:lang w:val="pt-BR"/>
        </w:rPr>
        <w:t>a</w:t>
      </w:r>
      <w:r w:rsidR="0089298C" w:rsidRPr="002F50BD">
        <w:rPr>
          <w:rFonts w:ascii="Verdana" w:hAnsi="Verdana"/>
          <w:sz w:val="20"/>
          <w:lang w:val="pt-BR"/>
        </w:rPr>
        <w:t xml:space="preserve"> </w:t>
      </w:r>
      <w:r w:rsidR="00594A58" w:rsidRPr="002F50BD">
        <w:rPr>
          <w:rFonts w:ascii="Verdana" w:hAnsi="Verdana"/>
          <w:sz w:val="20"/>
          <w:lang w:val="pt-BR"/>
        </w:rPr>
        <w:t xml:space="preserve">mudança de proprietários e </w:t>
      </w:r>
      <w:r w:rsidR="0089298C" w:rsidRPr="002F50BD">
        <w:rPr>
          <w:rFonts w:ascii="Verdana" w:hAnsi="Verdana"/>
          <w:sz w:val="20"/>
          <w:lang w:val="pt-BR"/>
        </w:rPr>
        <w:t xml:space="preserve">do </w:t>
      </w:r>
      <w:r w:rsidRPr="002F50BD">
        <w:rPr>
          <w:rFonts w:ascii="Verdana" w:hAnsi="Verdana"/>
          <w:sz w:val="20"/>
          <w:lang w:val="pt-BR"/>
        </w:rPr>
        <w:t>trato</w:t>
      </w:r>
      <w:r w:rsidR="0089298C" w:rsidRPr="002F50BD">
        <w:rPr>
          <w:rFonts w:ascii="Verdana" w:hAnsi="Verdana"/>
          <w:sz w:val="20"/>
          <w:lang w:val="pt-BR"/>
        </w:rPr>
        <w:t xml:space="preserve"> com a </w:t>
      </w:r>
      <w:r w:rsidRPr="002F50BD">
        <w:rPr>
          <w:rFonts w:ascii="Verdana" w:hAnsi="Verdana"/>
          <w:sz w:val="20"/>
          <w:lang w:val="pt-BR"/>
        </w:rPr>
        <w:t>gente</w:t>
      </w:r>
      <w:r w:rsidR="00AB454A" w:rsidRPr="002F50BD">
        <w:rPr>
          <w:rFonts w:ascii="Verdana" w:hAnsi="Verdana"/>
          <w:sz w:val="20"/>
          <w:lang w:val="pt-BR"/>
        </w:rPr>
        <w:t xml:space="preserve">. A </w:t>
      </w:r>
      <w:r w:rsidRPr="002F50BD">
        <w:rPr>
          <w:rFonts w:ascii="Verdana" w:hAnsi="Verdana"/>
          <w:sz w:val="20"/>
          <w:lang w:val="pt-BR"/>
        </w:rPr>
        <w:t>gente “n</w:t>
      </w:r>
      <w:r w:rsidR="00594A58" w:rsidRPr="002F50BD">
        <w:rPr>
          <w:rFonts w:ascii="Verdana" w:hAnsi="Verdana"/>
          <w:sz w:val="20"/>
          <w:lang w:val="pt-BR"/>
        </w:rPr>
        <w:t>ã</w:t>
      </w:r>
      <w:r w:rsidRPr="002F50BD">
        <w:rPr>
          <w:rFonts w:ascii="Verdana" w:hAnsi="Verdana"/>
          <w:sz w:val="20"/>
          <w:lang w:val="pt-BR"/>
        </w:rPr>
        <w:t xml:space="preserve">o se </w:t>
      </w:r>
      <w:r w:rsidR="00594A58" w:rsidRPr="002F50BD">
        <w:rPr>
          <w:rFonts w:ascii="Verdana" w:hAnsi="Verdana"/>
          <w:sz w:val="20"/>
          <w:lang w:val="pt-BR"/>
        </w:rPr>
        <w:t>sentia mais confortável</w:t>
      </w:r>
      <w:r w:rsidRPr="002F50BD">
        <w:rPr>
          <w:rFonts w:ascii="Verdana" w:hAnsi="Verdana"/>
          <w:sz w:val="20"/>
          <w:lang w:val="pt-BR"/>
        </w:rPr>
        <w:t>”,</w:t>
      </w:r>
      <w:r w:rsidR="0089298C" w:rsidRPr="002F50BD">
        <w:rPr>
          <w:rFonts w:ascii="Verdana" w:hAnsi="Verdana"/>
          <w:sz w:val="20"/>
          <w:lang w:val="pt-BR"/>
        </w:rPr>
        <w:t xml:space="preserve"> </w:t>
      </w:r>
      <w:r w:rsidR="00591998" w:rsidRPr="002F50BD">
        <w:rPr>
          <w:rFonts w:ascii="Verdana" w:hAnsi="Verdana"/>
          <w:sz w:val="20"/>
          <w:lang w:val="pt-BR"/>
        </w:rPr>
        <w:t xml:space="preserve">razão pela qual foram embora </w:t>
      </w:r>
      <w:r w:rsidRPr="002F50BD">
        <w:rPr>
          <w:rFonts w:ascii="Verdana" w:hAnsi="Verdana"/>
          <w:sz w:val="20"/>
          <w:lang w:val="pt-BR"/>
        </w:rPr>
        <w:t xml:space="preserve">de Yakye Axa. </w:t>
      </w:r>
      <w:r w:rsidR="00594A58" w:rsidRPr="002F50BD">
        <w:rPr>
          <w:rFonts w:ascii="Verdana" w:hAnsi="Verdana"/>
          <w:sz w:val="20"/>
          <w:lang w:val="pt-BR"/>
        </w:rPr>
        <w:t xml:space="preserve">Houve </w:t>
      </w:r>
      <w:r w:rsidR="0089298C" w:rsidRPr="002F50BD">
        <w:rPr>
          <w:rFonts w:ascii="Verdana" w:hAnsi="Verdana"/>
          <w:sz w:val="20"/>
          <w:lang w:val="pt-BR"/>
        </w:rPr>
        <w:t xml:space="preserve">outro </w:t>
      </w:r>
      <w:r w:rsidRPr="002F50BD">
        <w:rPr>
          <w:rFonts w:ascii="Verdana" w:hAnsi="Verdana"/>
          <w:sz w:val="20"/>
          <w:lang w:val="pt-BR"/>
        </w:rPr>
        <w:t xml:space="preserve">grupo de </w:t>
      </w:r>
      <w:r w:rsidR="005A6BC7" w:rsidRPr="002F50BD">
        <w:rPr>
          <w:rFonts w:ascii="Verdana" w:hAnsi="Verdana"/>
          <w:sz w:val="20"/>
          <w:lang w:val="pt-BR"/>
        </w:rPr>
        <w:t>família</w:t>
      </w:r>
      <w:r w:rsidRPr="002F50BD">
        <w:rPr>
          <w:rFonts w:ascii="Verdana" w:hAnsi="Verdana"/>
          <w:sz w:val="20"/>
          <w:lang w:val="pt-BR"/>
        </w:rPr>
        <w:t xml:space="preserve">s que </w:t>
      </w:r>
      <w:r w:rsidR="00594A58" w:rsidRPr="002F50BD">
        <w:rPr>
          <w:rFonts w:ascii="Verdana" w:hAnsi="Verdana"/>
          <w:sz w:val="20"/>
          <w:lang w:val="pt-BR"/>
        </w:rPr>
        <w:t xml:space="preserve">permaneceram </w:t>
      </w:r>
      <w:r w:rsidRPr="002F50BD">
        <w:rPr>
          <w:rFonts w:ascii="Verdana" w:hAnsi="Verdana"/>
          <w:sz w:val="20"/>
          <w:lang w:val="pt-BR"/>
        </w:rPr>
        <w:t>porque n</w:t>
      </w:r>
      <w:r w:rsidR="00594A58" w:rsidRPr="002F50BD">
        <w:rPr>
          <w:rFonts w:ascii="Verdana" w:hAnsi="Verdana"/>
          <w:sz w:val="20"/>
          <w:lang w:val="pt-BR"/>
        </w:rPr>
        <w:t>ã</w:t>
      </w:r>
      <w:r w:rsidRPr="002F50BD">
        <w:rPr>
          <w:rFonts w:ascii="Verdana" w:hAnsi="Verdana"/>
          <w:sz w:val="20"/>
          <w:lang w:val="pt-BR"/>
        </w:rPr>
        <w:t xml:space="preserve">o </w:t>
      </w:r>
      <w:r w:rsidR="00E7595C" w:rsidRPr="002F50BD">
        <w:rPr>
          <w:rFonts w:ascii="Verdana" w:hAnsi="Verdana"/>
          <w:sz w:val="20"/>
          <w:lang w:val="pt-BR"/>
        </w:rPr>
        <w:t>queriam</w:t>
      </w:r>
      <w:r w:rsidRPr="002F50BD">
        <w:rPr>
          <w:rFonts w:ascii="Verdana" w:hAnsi="Verdana"/>
          <w:sz w:val="20"/>
          <w:lang w:val="pt-BR"/>
        </w:rPr>
        <w:t xml:space="preserve"> </w:t>
      </w:r>
      <w:r w:rsidR="0089298C" w:rsidRPr="002F50BD">
        <w:rPr>
          <w:rFonts w:ascii="Verdana" w:hAnsi="Verdana"/>
          <w:sz w:val="20"/>
          <w:lang w:val="pt-BR"/>
        </w:rPr>
        <w:t>deixar</w:t>
      </w:r>
      <w:r w:rsidRPr="002F50BD">
        <w:rPr>
          <w:rFonts w:ascii="Verdana" w:hAnsi="Verdana"/>
          <w:sz w:val="20"/>
          <w:lang w:val="pt-BR"/>
        </w:rPr>
        <w:t xml:space="preserve"> Yakye Axa.</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Atual</w:t>
      </w:r>
      <w:r w:rsidR="004756C1" w:rsidRPr="002F50BD">
        <w:rPr>
          <w:rFonts w:ascii="Verdana" w:hAnsi="Verdana"/>
          <w:sz w:val="20"/>
          <w:lang w:val="pt-BR"/>
        </w:rPr>
        <w:t>mente,</w:t>
      </w:r>
      <w:r w:rsidRPr="002F50BD">
        <w:rPr>
          <w:rFonts w:ascii="Verdana" w:hAnsi="Verdana"/>
          <w:sz w:val="20"/>
          <w:lang w:val="pt-BR"/>
        </w:rPr>
        <w:t xml:space="preserve"> a Comunidade </w:t>
      </w:r>
      <w:r w:rsidR="004756C1" w:rsidRPr="002F50BD">
        <w:rPr>
          <w:rFonts w:ascii="Verdana" w:hAnsi="Verdana"/>
          <w:sz w:val="20"/>
          <w:lang w:val="pt-BR"/>
        </w:rPr>
        <w:t>Yakye Axa vive</w:t>
      </w:r>
      <w:r w:rsidRPr="002F50BD">
        <w:rPr>
          <w:rFonts w:ascii="Verdana" w:hAnsi="Verdana"/>
          <w:sz w:val="20"/>
          <w:lang w:val="pt-BR"/>
        </w:rPr>
        <w:t xml:space="preserve"> </w:t>
      </w:r>
      <w:r w:rsidR="00594A58" w:rsidRPr="002F50BD">
        <w:rPr>
          <w:rFonts w:ascii="Verdana" w:hAnsi="Verdana"/>
          <w:sz w:val="20"/>
          <w:lang w:val="pt-BR"/>
        </w:rPr>
        <w:t>ao lado de uma estrada</w:t>
      </w:r>
      <w:r w:rsidR="00AB454A" w:rsidRPr="002F50BD">
        <w:rPr>
          <w:rFonts w:ascii="Verdana" w:hAnsi="Verdana"/>
          <w:sz w:val="20"/>
          <w:lang w:val="pt-BR"/>
        </w:rPr>
        <w:t xml:space="preserve">. A </w:t>
      </w:r>
      <w:r w:rsidRPr="002F50BD">
        <w:rPr>
          <w:rFonts w:ascii="Verdana" w:hAnsi="Verdana"/>
          <w:sz w:val="20"/>
          <w:lang w:val="pt-BR"/>
        </w:rPr>
        <w:t xml:space="preserve">Comunidade </w:t>
      </w:r>
      <w:r w:rsidR="00AB454A" w:rsidRPr="002F50BD">
        <w:rPr>
          <w:rFonts w:ascii="Verdana" w:hAnsi="Verdana"/>
          <w:sz w:val="20"/>
          <w:lang w:val="pt-BR"/>
        </w:rPr>
        <w:t>sofr</w:t>
      </w:r>
      <w:r w:rsidR="00594A58" w:rsidRPr="002F50BD">
        <w:rPr>
          <w:rFonts w:ascii="Verdana" w:hAnsi="Verdana"/>
          <w:sz w:val="20"/>
          <w:lang w:val="pt-BR"/>
        </w:rPr>
        <w:t>eu</w:t>
      </w:r>
      <w:r w:rsidR="004756C1" w:rsidRPr="002F50BD">
        <w:rPr>
          <w:rFonts w:ascii="Verdana" w:hAnsi="Verdana"/>
          <w:sz w:val="20"/>
          <w:lang w:val="pt-BR"/>
        </w:rPr>
        <w:t xml:space="preserve"> bastante, </w:t>
      </w:r>
      <w:r w:rsidRPr="002F50BD">
        <w:rPr>
          <w:rFonts w:ascii="Verdana" w:hAnsi="Verdana"/>
          <w:sz w:val="20"/>
          <w:lang w:val="pt-BR"/>
        </w:rPr>
        <w:t>devido</w:t>
      </w:r>
      <w:r w:rsidR="004756C1" w:rsidRPr="002F50BD">
        <w:rPr>
          <w:rFonts w:ascii="Verdana" w:hAnsi="Verdana"/>
          <w:sz w:val="20"/>
          <w:lang w:val="pt-BR"/>
        </w:rPr>
        <w:t xml:space="preserve"> a todas</w:t>
      </w:r>
      <w:r w:rsidRPr="002F50BD">
        <w:rPr>
          <w:rFonts w:ascii="Verdana" w:hAnsi="Verdana"/>
          <w:sz w:val="20"/>
          <w:lang w:val="pt-BR"/>
        </w:rPr>
        <w:t xml:space="preserve"> as dificuldades</w:t>
      </w:r>
      <w:r w:rsidR="004756C1" w:rsidRPr="002F50BD">
        <w:rPr>
          <w:rFonts w:ascii="Verdana" w:hAnsi="Verdana"/>
          <w:sz w:val="20"/>
          <w:lang w:val="pt-BR"/>
        </w:rPr>
        <w:t xml:space="preserve"> que </w:t>
      </w:r>
      <w:r w:rsidR="00594A58" w:rsidRPr="002F50BD">
        <w:rPr>
          <w:rFonts w:ascii="Verdana" w:hAnsi="Verdana"/>
          <w:sz w:val="20"/>
          <w:lang w:val="pt-BR"/>
        </w:rPr>
        <w:t xml:space="preserve">tiveram de </w:t>
      </w:r>
      <w:r w:rsidR="005A6BC7" w:rsidRPr="002F50BD">
        <w:rPr>
          <w:rFonts w:ascii="Verdana" w:hAnsi="Verdana"/>
          <w:sz w:val="20"/>
          <w:lang w:val="pt-BR"/>
        </w:rPr>
        <w:t>passar</w:t>
      </w:r>
      <w:r w:rsidRPr="002F50BD">
        <w:rPr>
          <w:rFonts w:ascii="Verdana" w:hAnsi="Verdana"/>
          <w:sz w:val="20"/>
          <w:lang w:val="pt-BR"/>
        </w:rPr>
        <w:t xml:space="preserve"> </w:t>
      </w:r>
      <w:r w:rsidR="00FB33DD" w:rsidRPr="002F50BD">
        <w:rPr>
          <w:rFonts w:ascii="Verdana" w:hAnsi="Verdana"/>
          <w:sz w:val="20"/>
          <w:lang w:val="pt-BR"/>
        </w:rPr>
        <w:t>nesse</w:t>
      </w:r>
      <w:r w:rsidRPr="002F50BD">
        <w:rPr>
          <w:rFonts w:ascii="Verdana" w:hAnsi="Verdana"/>
          <w:sz w:val="20"/>
          <w:lang w:val="pt-BR"/>
        </w:rPr>
        <w:t xml:space="preserve"> </w:t>
      </w:r>
      <w:r w:rsidR="004756C1" w:rsidRPr="002F50BD">
        <w:rPr>
          <w:rFonts w:ascii="Verdana" w:hAnsi="Verdana"/>
          <w:sz w:val="20"/>
          <w:lang w:val="pt-BR"/>
        </w:rPr>
        <w:t xml:space="preserve">lugar, </w:t>
      </w:r>
      <w:r w:rsidRPr="002F50BD">
        <w:rPr>
          <w:rFonts w:ascii="Verdana" w:hAnsi="Verdana"/>
          <w:sz w:val="20"/>
          <w:lang w:val="pt-BR"/>
        </w:rPr>
        <w:t xml:space="preserve">não possuem boa </w:t>
      </w:r>
      <w:r w:rsidR="004756C1" w:rsidRPr="002F50BD">
        <w:rPr>
          <w:rFonts w:ascii="Verdana" w:hAnsi="Verdana"/>
          <w:sz w:val="20"/>
          <w:lang w:val="pt-BR"/>
        </w:rPr>
        <w:t>alimenta</w:t>
      </w:r>
      <w:r w:rsidRPr="002F50BD">
        <w:rPr>
          <w:rFonts w:ascii="Verdana" w:hAnsi="Verdana"/>
          <w:sz w:val="20"/>
          <w:lang w:val="pt-BR"/>
        </w:rPr>
        <w:t>ção nem atenção</w:t>
      </w:r>
      <w:r w:rsidR="004756C1" w:rsidRPr="002F50BD">
        <w:rPr>
          <w:rFonts w:ascii="Verdana" w:hAnsi="Verdana"/>
          <w:sz w:val="20"/>
          <w:lang w:val="pt-BR"/>
        </w:rPr>
        <w:t xml:space="preserve"> médica</w:t>
      </w:r>
      <w:r w:rsidR="00BE346D" w:rsidRPr="002F50BD">
        <w:rPr>
          <w:rFonts w:ascii="Verdana" w:hAnsi="Verdana"/>
          <w:sz w:val="20"/>
          <w:lang w:val="pt-BR"/>
        </w:rPr>
        <w:t xml:space="preserve">. As </w:t>
      </w:r>
      <w:r w:rsidR="00313394" w:rsidRPr="002F50BD">
        <w:rPr>
          <w:rFonts w:ascii="Verdana" w:hAnsi="Verdana"/>
          <w:sz w:val="20"/>
          <w:lang w:val="pt-BR"/>
        </w:rPr>
        <w:t>chuva</w:t>
      </w:r>
      <w:r w:rsidR="004756C1" w:rsidRPr="002F50BD">
        <w:rPr>
          <w:rFonts w:ascii="Verdana" w:hAnsi="Verdana"/>
          <w:sz w:val="20"/>
          <w:lang w:val="pt-BR"/>
        </w:rPr>
        <w:t xml:space="preserve">s </w:t>
      </w:r>
      <w:r w:rsidRPr="002F50BD">
        <w:rPr>
          <w:rFonts w:ascii="Verdana" w:hAnsi="Verdana"/>
          <w:sz w:val="20"/>
          <w:lang w:val="pt-BR"/>
        </w:rPr>
        <w:t xml:space="preserve">afetam as </w:t>
      </w:r>
      <w:r w:rsidR="00594A58" w:rsidRPr="002F50BD">
        <w:rPr>
          <w:rFonts w:ascii="Verdana" w:hAnsi="Verdana"/>
          <w:sz w:val="20"/>
          <w:lang w:val="pt-BR"/>
        </w:rPr>
        <w:t>casas</w:t>
      </w:r>
      <w:r w:rsidR="004756C1" w:rsidRPr="002F50BD">
        <w:rPr>
          <w:rFonts w:ascii="Verdana" w:hAnsi="Verdana"/>
          <w:sz w:val="20"/>
          <w:lang w:val="pt-BR"/>
        </w:rPr>
        <w:t xml:space="preserve">, </w:t>
      </w:r>
      <w:r w:rsidR="00594A58" w:rsidRPr="002F50BD">
        <w:rPr>
          <w:rFonts w:ascii="Verdana" w:hAnsi="Verdana"/>
          <w:sz w:val="20"/>
          <w:lang w:val="pt-BR"/>
        </w:rPr>
        <w:br/>
      </w:r>
      <w:r w:rsidR="004756C1" w:rsidRPr="002F50BD">
        <w:rPr>
          <w:rFonts w:ascii="Verdana" w:hAnsi="Verdana"/>
          <w:sz w:val="20"/>
          <w:lang w:val="pt-BR"/>
        </w:rPr>
        <w:t>n</w:t>
      </w:r>
      <w:r w:rsidR="00594A58" w:rsidRPr="002F50BD">
        <w:rPr>
          <w:rFonts w:ascii="Verdana" w:hAnsi="Verdana"/>
          <w:sz w:val="20"/>
          <w:lang w:val="pt-BR"/>
        </w:rPr>
        <w:t>ã</w:t>
      </w:r>
      <w:r w:rsidR="004756C1" w:rsidRPr="002F50BD">
        <w:rPr>
          <w:rFonts w:ascii="Verdana" w:hAnsi="Verdana"/>
          <w:sz w:val="20"/>
          <w:lang w:val="pt-BR"/>
        </w:rPr>
        <w:t xml:space="preserve">o se </w:t>
      </w:r>
      <w:r w:rsidRPr="002F50BD">
        <w:rPr>
          <w:rFonts w:ascii="Verdana" w:hAnsi="Verdana"/>
          <w:sz w:val="20"/>
          <w:lang w:val="pt-BR"/>
        </w:rPr>
        <w:t xml:space="preserve">pode fazer </w:t>
      </w:r>
      <w:r w:rsidR="004756C1" w:rsidRPr="002F50BD">
        <w:rPr>
          <w:rFonts w:ascii="Verdana" w:hAnsi="Verdana"/>
          <w:sz w:val="20"/>
          <w:lang w:val="pt-BR"/>
        </w:rPr>
        <w:t>nada,</w:t>
      </w:r>
      <w:r w:rsidRPr="002F50BD">
        <w:rPr>
          <w:rFonts w:ascii="Verdana" w:hAnsi="Verdana"/>
          <w:sz w:val="20"/>
          <w:lang w:val="pt-BR"/>
        </w:rPr>
        <w:t xml:space="preserve"> nem lev</w:t>
      </w:r>
      <w:r w:rsidR="004756C1" w:rsidRPr="002F50BD">
        <w:rPr>
          <w:rFonts w:ascii="Verdana" w:hAnsi="Verdana"/>
          <w:sz w:val="20"/>
          <w:lang w:val="pt-BR"/>
        </w:rPr>
        <w:t>ar</w:t>
      </w:r>
      <w:r w:rsidRPr="002F50BD">
        <w:rPr>
          <w:rFonts w:ascii="Verdana" w:hAnsi="Verdana"/>
          <w:sz w:val="20"/>
          <w:lang w:val="pt-BR"/>
        </w:rPr>
        <w:t xml:space="preserve"> </w:t>
      </w:r>
      <w:r w:rsidR="00594A58" w:rsidRPr="002F50BD">
        <w:rPr>
          <w:rFonts w:ascii="Verdana" w:hAnsi="Verdana"/>
          <w:sz w:val="20"/>
          <w:lang w:val="pt-BR"/>
        </w:rPr>
        <w:t xml:space="preserve">uma criança ao banheiro ou </w:t>
      </w:r>
      <w:r w:rsidR="004756C1" w:rsidRPr="002F50BD">
        <w:rPr>
          <w:rFonts w:ascii="Verdana" w:hAnsi="Verdana"/>
          <w:sz w:val="20"/>
          <w:lang w:val="pt-BR"/>
        </w:rPr>
        <w:t>co</w:t>
      </w:r>
      <w:r w:rsidR="00594A58" w:rsidRPr="002F50BD">
        <w:rPr>
          <w:rFonts w:ascii="Verdana" w:hAnsi="Verdana"/>
          <w:sz w:val="20"/>
          <w:lang w:val="pt-BR"/>
        </w:rPr>
        <w:t>z</w:t>
      </w:r>
      <w:r w:rsidR="004756C1" w:rsidRPr="002F50BD">
        <w:rPr>
          <w:rFonts w:ascii="Verdana" w:hAnsi="Verdana"/>
          <w:sz w:val="20"/>
          <w:lang w:val="pt-BR"/>
        </w:rPr>
        <w:t>in</w:t>
      </w:r>
      <w:r w:rsidR="00594A58" w:rsidRPr="002F50BD">
        <w:rPr>
          <w:rFonts w:ascii="Verdana" w:hAnsi="Verdana"/>
          <w:sz w:val="20"/>
          <w:lang w:val="pt-BR"/>
        </w:rPr>
        <w:t>h</w:t>
      </w:r>
      <w:r w:rsidR="004756C1" w:rsidRPr="002F50BD">
        <w:rPr>
          <w:rFonts w:ascii="Verdana" w:hAnsi="Verdana"/>
          <w:sz w:val="20"/>
          <w:lang w:val="pt-BR"/>
        </w:rPr>
        <w:t>ar</w:t>
      </w:r>
      <w:r w:rsidR="004076AD" w:rsidRPr="002F50BD">
        <w:rPr>
          <w:rFonts w:ascii="Verdana" w:hAnsi="Verdana"/>
          <w:sz w:val="20"/>
          <w:lang w:val="pt-BR"/>
        </w:rPr>
        <w:t>. Neste</w:t>
      </w:r>
      <w:r w:rsidRPr="002F50BD">
        <w:rPr>
          <w:rFonts w:ascii="Verdana" w:hAnsi="Verdana"/>
          <w:sz w:val="20"/>
          <w:lang w:val="pt-BR"/>
        </w:rPr>
        <w:t xml:space="preserve">s </w:t>
      </w:r>
      <w:r w:rsidR="004756C1" w:rsidRPr="002F50BD">
        <w:rPr>
          <w:rFonts w:ascii="Verdana" w:hAnsi="Verdana"/>
          <w:sz w:val="20"/>
          <w:lang w:val="pt-BR"/>
        </w:rPr>
        <w:t>casos,</w:t>
      </w:r>
      <w:r w:rsidRPr="002F50BD">
        <w:rPr>
          <w:rFonts w:ascii="Verdana" w:hAnsi="Verdana"/>
          <w:sz w:val="20"/>
          <w:lang w:val="pt-BR"/>
        </w:rPr>
        <w:t xml:space="preserve"> as mulher</w:t>
      </w:r>
      <w:r w:rsidR="004756C1" w:rsidRPr="002F50BD">
        <w:rPr>
          <w:rFonts w:ascii="Verdana" w:hAnsi="Verdana"/>
          <w:sz w:val="20"/>
          <w:lang w:val="pt-BR"/>
        </w:rPr>
        <w:t xml:space="preserve">es </w:t>
      </w:r>
      <w:r w:rsidR="00594A58" w:rsidRPr="002F50BD">
        <w:rPr>
          <w:rFonts w:ascii="Verdana" w:hAnsi="Verdana"/>
          <w:sz w:val="20"/>
          <w:lang w:val="pt-BR"/>
        </w:rPr>
        <w:t>costumam s</w:t>
      </w:r>
      <w:r w:rsidRPr="002F50BD">
        <w:rPr>
          <w:rFonts w:ascii="Verdana" w:hAnsi="Verdana"/>
          <w:sz w:val="20"/>
          <w:lang w:val="pt-BR"/>
        </w:rPr>
        <w:t xml:space="preserve">air </w:t>
      </w:r>
      <w:r w:rsidR="00594A58" w:rsidRPr="002F50BD">
        <w:rPr>
          <w:rFonts w:ascii="Verdana" w:hAnsi="Verdana"/>
          <w:sz w:val="20"/>
          <w:lang w:val="pt-BR"/>
        </w:rPr>
        <w:t xml:space="preserve">para a estrada </w:t>
      </w:r>
      <w:r w:rsidR="004756C1" w:rsidRPr="002F50BD">
        <w:rPr>
          <w:rFonts w:ascii="Verdana" w:hAnsi="Verdana"/>
          <w:sz w:val="20"/>
          <w:lang w:val="pt-BR"/>
        </w:rPr>
        <w:t>para proteger</w:t>
      </w:r>
      <w:r w:rsidRPr="002F50BD">
        <w:rPr>
          <w:rFonts w:ascii="Verdana" w:hAnsi="Verdana"/>
          <w:sz w:val="20"/>
          <w:lang w:val="pt-BR"/>
        </w:rPr>
        <w:t xml:space="preserve"> as </w:t>
      </w:r>
      <w:r w:rsidR="00594A58" w:rsidRPr="002F50BD">
        <w:rPr>
          <w:rFonts w:ascii="Verdana" w:hAnsi="Verdana"/>
          <w:sz w:val="20"/>
          <w:lang w:val="pt-BR"/>
        </w:rPr>
        <w:t>crianças</w:t>
      </w:r>
      <w:r w:rsidRPr="002F50BD">
        <w:rPr>
          <w:rFonts w:ascii="Verdana" w:hAnsi="Verdana"/>
          <w:sz w:val="20"/>
          <w:lang w:val="pt-BR"/>
        </w:rPr>
        <w:t xml:space="preserve"> e</w:t>
      </w:r>
      <w:r w:rsidR="00591998" w:rsidRPr="002F50BD">
        <w:rPr>
          <w:rFonts w:ascii="Verdana" w:hAnsi="Verdana"/>
          <w:sz w:val="20"/>
          <w:lang w:val="pt-BR"/>
        </w:rPr>
        <w:t>,</w:t>
      </w:r>
      <w:r w:rsidR="004756C1" w:rsidRPr="002F50BD">
        <w:rPr>
          <w:rFonts w:ascii="Verdana" w:hAnsi="Verdana"/>
          <w:sz w:val="20"/>
          <w:lang w:val="pt-BR"/>
        </w:rPr>
        <w:t xml:space="preserve"> </w:t>
      </w:r>
      <w:r w:rsidR="00594A58" w:rsidRPr="002F50BD">
        <w:rPr>
          <w:rFonts w:ascii="Verdana" w:hAnsi="Verdana"/>
          <w:sz w:val="20"/>
          <w:lang w:val="pt-BR"/>
        </w:rPr>
        <w:t xml:space="preserve">à </w:t>
      </w:r>
      <w:r w:rsidRPr="002F50BD">
        <w:rPr>
          <w:rFonts w:ascii="Verdana" w:hAnsi="Verdana"/>
          <w:sz w:val="20"/>
          <w:lang w:val="pt-BR"/>
        </w:rPr>
        <w:t>noite</w:t>
      </w:r>
      <w:r w:rsidR="00591998" w:rsidRPr="002F50BD">
        <w:rPr>
          <w:rFonts w:ascii="Verdana" w:hAnsi="Verdana"/>
          <w:sz w:val="20"/>
          <w:lang w:val="pt-BR"/>
        </w:rPr>
        <w:t>,</w:t>
      </w:r>
      <w:r w:rsidR="004756C1" w:rsidRPr="002F50BD">
        <w:rPr>
          <w:rFonts w:ascii="Verdana" w:hAnsi="Verdana"/>
          <w:sz w:val="20"/>
          <w:lang w:val="pt-BR"/>
        </w:rPr>
        <w:t xml:space="preserve"> regres</w:t>
      </w:r>
      <w:r w:rsidR="00594A58" w:rsidRPr="002F50BD">
        <w:rPr>
          <w:rFonts w:ascii="Verdana" w:hAnsi="Verdana"/>
          <w:sz w:val="20"/>
          <w:lang w:val="pt-BR"/>
        </w:rPr>
        <w:t>s</w:t>
      </w:r>
      <w:r w:rsidR="004756C1" w:rsidRPr="002F50BD">
        <w:rPr>
          <w:rFonts w:ascii="Verdana" w:hAnsi="Verdana"/>
          <w:sz w:val="20"/>
          <w:lang w:val="pt-BR"/>
        </w:rPr>
        <w:t>a</w:t>
      </w:r>
      <w:r w:rsidR="00594A58" w:rsidRPr="002F50BD">
        <w:rPr>
          <w:rFonts w:ascii="Verdana" w:hAnsi="Verdana"/>
          <w:sz w:val="20"/>
          <w:lang w:val="pt-BR"/>
        </w:rPr>
        <w:t>m</w:t>
      </w:r>
      <w:r w:rsidRPr="002F50BD">
        <w:rPr>
          <w:rFonts w:ascii="Verdana" w:hAnsi="Verdana"/>
          <w:sz w:val="20"/>
          <w:lang w:val="pt-BR"/>
        </w:rPr>
        <w:t xml:space="preserve"> à </w:t>
      </w:r>
      <w:r w:rsidR="004756C1" w:rsidRPr="002F50BD">
        <w:rPr>
          <w:rFonts w:ascii="Verdana" w:hAnsi="Verdana"/>
          <w:sz w:val="20"/>
          <w:lang w:val="pt-BR"/>
        </w:rPr>
        <w:t>casa para dormir.</w:t>
      </w:r>
    </w:p>
    <w:p w:rsidR="004756C1" w:rsidRPr="002F50BD" w:rsidRDefault="0089298C">
      <w:pPr>
        <w:jc w:val="both"/>
        <w:rPr>
          <w:rFonts w:ascii="Verdana" w:hAnsi="Verdana"/>
          <w:sz w:val="20"/>
          <w:lang w:val="pt-BR"/>
        </w:rPr>
      </w:pPr>
      <w:r w:rsidRPr="002F50BD">
        <w:rPr>
          <w:rFonts w:ascii="Verdana" w:hAnsi="Verdana"/>
          <w:sz w:val="20"/>
          <w:lang w:val="pt-BR"/>
        </w:rPr>
        <w:cr/>
        <w:t>A testemunha</w:t>
      </w:r>
      <w:r w:rsidR="004756C1" w:rsidRPr="002F50BD">
        <w:rPr>
          <w:rFonts w:ascii="Verdana" w:hAnsi="Verdana"/>
          <w:sz w:val="20"/>
          <w:lang w:val="pt-BR"/>
        </w:rPr>
        <w:t xml:space="preserve"> </w:t>
      </w:r>
      <w:r w:rsidRPr="002F50BD">
        <w:rPr>
          <w:rFonts w:ascii="Verdana" w:hAnsi="Verdana"/>
          <w:sz w:val="20"/>
          <w:lang w:val="pt-BR"/>
        </w:rPr>
        <w:t xml:space="preserve">tem </w:t>
      </w:r>
      <w:r w:rsidR="004756C1" w:rsidRPr="002F50BD">
        <w:rPr>
          <w:rFonts w:ascii="Verdana" w:hAnsi="Verdana"/>
          <w:sz w:val="20"/>
          <w:lang w:val="pt-BR"/>
        </w:rPr>
        <w:t xml:space="preserve">seis </w:t>
      </w:r>
      <w:r w:rsidRPr="002F50BD">
        <w:rPr>
          <w:rFonts w:ascii="Verdana" w:hAnsi="Verdana"/>
          <w:sz w:val="20"/>
          <w:lang w:val="pt-BR"/>
        </w:rPr>
        <w:t>filho</w:t>
      </w:r>
      <w:r w:rsidR="004756C1" w:rsidRPr="002F50BD">
        <w:rPr>
          <w:rFonts w:ascii="Verdana" w:hAnsi="Verdana"/>
          <w:sz w:val="20"/>
          <w:lang w:val="pt-BR"/>
        </w:rPr>
        <w:t>s.</w:t>
      </w:r>
      <w:r w:rsidR="00FE08B7">
        <w:rPr>
          <w:rFonts w:ascii="Verdana" w:hAnsi="Verdana"/>
          <w:sz w:val="20"/>
          <w:lang w:val="pt-BR"/>
        </w:rPr>
        <w:t xml:space="preserve"> </w:t>
      </w:r>
      <w:r w:rsidR="004756C1" w:rsidRPr="002F50BD">
        <w:rPr>
          <w:rFonts w:ascii="Verdana" w:hAnsi="Verdana"/>
          <w:sz w:val="20"/>
          <w:lang w:val="pt-BR"/>
        </w:rPr>
        <w:t>Para poder aliment</w:t>
      </w:r>
      <w:r w:rsidR="00977F38" w:rsidRPr="002F50BD">
        <w:rPr>
          <w:rFonts w:ascii="Verdana" w:hAnsi="Verdana"/>
          <w:sz w:val="20"/>
          <w:lang w:val="pt-BR"/>
        </w:rPr>
        <w:t>á-lo</w:t>
      </w:r>
      <w:r w:rsidR="00AB6727" w:rsidRPr="002F50BD">
        <w:rPr>
          <w:rFonts w:ascii="Verdana" w:hAnsi="Verdana"/>
          <w:sz w:val="20"/>
          <w:lang w:val="pt-BR"/>
        </w:rPr>
        <w:t xml:space="preserve">s </w:t>
      </w:r>
      <w:r w:rsidR="004756C1" w:rsidRPr="002F50BD">
        <w:rPr>
          <w:rFonts w:ascii="Verdana" w:hAnsi="Verdana"/>
          <w:sz w:val="20"/>
          <w:lang w:val="pt-BR"/>
        </w:rPr>
        <w:t>sa</w:t>
      </w:r>
      <w:r w:rsidR="00977F38" w:rsidRPr="002F50BD">
        <w:rPr>
          <w:rFonts w:ascii="Verdana" w:hAnsi="Verdana"/>
          <w:sz w:val="20"/>
          <w:lang w:val="pt-BR"/>
        </w:rPr>
        <w:t>i</w:t>
      </w:r>
      <w:r w:rsidR="004756C1" w:rsidRPr="002F50BD">
        <w:rPr>
          <w:rFonts w:ascii="Verdana" w:hAnsi="Verdana"/>
          <w:sz w:val="20"/>
          <w:lang w:val="pt-BR"/>
        </w:rPr>
        <w:t xml:space="preserve"> de </w:t>
      </w:r>
      <w:r w:rsidR="00AB454A" w:rsidRPr="002F50BD">
        <w:rPr>
          <w:rFonts w:ascii="Verdana" w:hAnsi="Verdana"/>
          <w:sz w:val="20"/>
          <w:lang w:val="pt-BR"/>
        </w:rPr>
        <w:t>sua casa</w:t>
      </w:r>
      <w:r w:rsidR="004756C1" w:rsidRPr="002F50BD">
        <w:rPr>
          <w:rFonts w:ascii="Verdana" w:hAnsi="Verdana"/>
          <w:sz w:val="20"/>
          <w:lang w:val="pt-BR"/>
        </w:rPr>
        <w:t xml:space="preserve"> todos</w:t>
      </w:r>
      <w:r w:rsidRPr="002F50BD">
        <w:rPr>
          <w:rFonts w:ascii="Verdana" w:hAnsi="Verdana"/>
          <w:sz w:val="20"/>
          <w:lang w:val="pt-BR"/>
        </w:rPr>
        <w:t xml:space="preserve"> os dia</w:t>
      </w:r>
      <w:r w:rsidR="004756C1" w:rsidRPr="002F50BD">
        <w:rPr>
          <w:rFonts w:ascii="Verdana" w:hAnsi="Verdana"/>
          <w:sz w:val="20"/>
          <w:lang w:val="pt-BR"/>
        </w:rPr>
        <w:t>s</w:t>
      </w:r>
      <w:r w:rsidRPr="002F50BD">
        <w:rPr>
          <w:rFonts w:ascii="Verdana" w:hAnsi="Verdana"/>
          <w:sz w:val="20"/>
          <w:lang w:val="pt-BR"/>
        </w:rPr>
        <w:t xml:space="preserve"> às </w:t>
      </w:r>
      <w:r w:rsidR="00063B47" w:rsidRPr="002F50BD">
        <w:rPr>
          <w:rFonts w:ascii="Verdana" w:hAnsi="Verdana"/>
          <w:sz w:val="20"/>
          <w:lang w:val="pt-BR"/>
        </w:rPr>
        <w:t>4</w:t>
      </w:r>
      <w:r w:rsidR="004756C1" w:rsidRPr="002F50BD">
        <w:rPr>
          <w:rFonts w:ascii="Verdana" w:hAnsi="Verdana"/>
          <w:sz w:val="20"/>
          <w:lang w:val="pt-BR"/>
        </w:rPr>
        <w:t>:</w:t>
      </w:r>
      <w:r w:rsidR="00063B47" w:rsidRPr="002F50BD">
        <w:rPr>
          <w:rFonts w:ascii="Verdana" w:hAnsi="Verdana"/>
          <w:sz w:val="20"/>
          <w:lang w:val="pt-BR"/>
        </w:rPr>
        <w:t>00</w:t>
      </w:r>
      <w:r w:rsidRPr="002F50BD">
        <w:rPr>
          <w:rFonts w:ascii="Verdana" w:hAnsi="Verdana"/>
          <w:sz w:val="20"/>
          <w:lang w:val="pt-BR"/>
        </w:rPr>
        <w:t xml:space="preserve"> da </w:t>
      </w:r>
      <w:r w:rsidR="004756C1" w:rsidRPr="002F50BD">
        <w:rPr>
          <w:rFonts w:ascii="Verdana" w:hAnsi="Verdana"/>
          <w:sz w:val="20"/>
          <w:lang w:val="pt-BR"/>
        </w:rPr>
        <w:t xml:space="preserve">madrugada para buscar </w:t>
      </w:r>
      <w:r w:rsidRPr="002F50BD">
        <w:rPr>
          <w:rFonts w:ascii="Verdana" w:hAnsi="Verdana"/>
          <w:sz w:val="20"/>
          <w:lang w:val="pt-BR"/>
        </w:rPr>
        <w:t xml:space="preserve">trabalho na </w:t>
      </w:r>
      <w:r w:rsidR="004756C1" w:rsidRPr="002F50BD">
        <w:rPr>
          <w:rFonts w:ascii="Verdana" w:hAnsi="Verdana"/>
          <w:i/>
          <w:sz w:val="20"/>
          <w:lang w:val="pt-BR"/>
        </w:rPr>
        <w:t>Estancia Maroma</w:t>
      </w:r>
      <w:r w:rsidR="004756C1" w:rsidRPr="002F50BD">
        <w:rPr>
          <w:rFonts w:ascii="Verdana" w:hAnsi="Verdana"/>
          <w:sz w:val="20"/>
          <w:lang w:val="pt-BR"/>
        </w:rPr>
        <w:t xml:space="preserve">. </w:t>
      </w:r>
      <w:r w:rsidR="004076AD" w:rsidRPr="002F50BD">
        <w:rPr>
          <w:rFonts w:ascii="Verdana" w:hAnsi="Verdana"/>
          <w:sz w:val="20"/>
          <w:lang w:val="pt-BR"/>
        </w:rPr>
        <w:t>Ali</w:t>
      </w:r>
      <w:r w:rsidR="004756C1" w:rsidRPr="002F50BD">
        <w:rPr>
          <w:rFonts w:ascii="Verdana" w:hAnsi="Verdana"/>
          <w:sz w:val="20"/>
          <w:lang w:val="pt-BR"/>
        </w:rPr>
        <w:t xml:space="preserve"> </w:t>
      </w:r>
      <w:r w:rsidRPr="002F50BD">
        <w:rPr>
          <w:rFonts w:ascii="Verdana" w:hAnsi="Verdana"/>
          <w:sz w:val="20"/>
          <w:lang w:val="pt-BR"/>
        </w:rPr>
        <w:t>trabalh</w:t>
      </w:r>
      <w:r w:rsidR="004756C1" w:rsidRPr="002F50BD">
        <w:rPr>
          <w:rFonts w:ascii="Verdana" w:hAnsi="Verdana"/>
          <w:sz w:val="20"/>
          <w:lang w:val="pt-BR"/>
        </w:rPr>
        <w:t>a</w:t>
      </w:r>
      <w:r w:rsidRPr="002F50BD">
        <w:rPr>
          <w:rFonts w:ascii="Verdana" w:hAnsi="Verdana"/>
          <w:sz w:val="20"/>
          <w:lang w:val="pt-BR"/>
        </w:rPr>
        <w:t xml:space="preserve"> em </w:t>
      </w:r>
      <w:r w:rsidR="004756C1" w:rsidRPr="002F50BD">
        <w:rPr>
          <w:rFonts w:ascii="Verdana" w:hAnsi="Verdana"/>
          <w:sz w:val="20"/>
          <w:lang w:val="pt-BR"/>
        </w:rPr>
        <w:t xml:space="preserve">diferentes </w:t>
      </w:r>
      <w:r w:rsidR="00977F38" w:rsidRPr="002F50BD">
        <w:rPr>
          <w:rFonts w:ascii="Verdana" w:hAnsi="Verdana"/>
          <w:sz w:val="20"/>
          <w:lang w:val="pt-BR"/>
        </w:rPr>
        <w:t xml:space="preserve">trabalhos </w:t>
      </w:r>
      <w:r w:rsidR="004756C1" w:rsidRPr="002F50BD">
        <w:rPr>
          <w:rFonts w:ascii="Verdana" w:hAnsi="Verdana"/>
          <w:sz w:val="20"/>
          <w:lang w:val="pt-BR"/>
        </w:rPr>
        <w:t>doméstic</w:t>
      </w:r>
      <w:r w:rsidR="00977F38" w:rsidRPr="002F50BD">
        <w:rPr>
          <w:rFonts w:ascii="Verdana" w:hAnsi="Verdana"/>
          <w:sz w:val="20"/>
          <w:lang w:val="pt-BR"/>
        </w:rPr>
        <w:t>o</w:t>
      </w:r>
      <w:r w:rsidR="004756C1" w:rsidRPr="002F50BD">
        <w:rPr>
          <w:rFonts w:ascii="Verdana" w:hAnsi="Verdana"/>
          <w:sz w:val="20"/>
          <w:lang w:val="pt-BR"/>
        </w:rPr>
        <w:t>s. Junt</w:t>
      </w:r>
      <w:r w:rsidR="00977F38" w:rsidRPr="002F50BD">
        <w:rPr>
          <w:rFonts w:ascii="Verdana" w:hAnsi="Verdana"/>
          <w:sz w:val="20"/>
          <w:lang w:val="pt-BR"/>
        </w:rPr>
        <w:t>amente</w:t>
      </w:r>
      <w:r w:rsidRPr="002F50BD">
        <w:rPr>
          <w:rFonts w:ascii="Verdana" w:hAnsi="Verdana"/>
          <w:sz w:val="20"/>
          <w:lang w:val="pt-BR"/>
        </w:rPr>
        <w:t xml:space="preserve"> com as outra</w:t>
      </w:r>
      <w:r w:rsidR="004756C1" w:rsidRPr="002F50BD">
        <w:rPr>
          <w:rFonts w:ascii="Verdana" w:hAnsi="Verdana"/>
          <w:sz w:val="20"/>
          <w:lang w:val="pt-BR"/>
        </w:rPr>
        <w:t xml:space="preserve">s </w:t>
      </w:r>
      <w:r w:rsidRPr="002F50BD">
        <w:rPr>
          <w:rFonts w:ascii="Verdana" w:hAnsi="Verdana"/>
          <w:sz w:val="20"/>
          <w:lang w:val="pt-BR"/>
        </w:rPr>
        <w:t>mulher</w:t>
      </w:r>
      <w:r w:rsidR="004756C1" w:rsidRPr="002F50BD">
        <w:rPr>
          <w:rFonts w:ascii="Verdana" w:hAnsi="Verdana"/>
          <w:sz w:val="20"/>
          <w:lang w:val="pt-BR"/>
        </w:rPr>
        <w:t>es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sa</w:t>
      </w:r>
      <w:r w:rsidR="00977F38" w:rsidRPr="002F50BD">
        <w:rPr>
          <w:rFonts w:ascii="Verdana" w:hAnsi="Verdana"/>
          <w:sz w:val="20"/>
          <w:lang w:val="pt-BR"/>
        </w:rPr>
        <w:t xml:space="preserve">em </w:t>
      </w:r>
      <w:r w:rsidRPr="002F50BD">
        <w:rPr>
          <w:rFonts w:ascii="Verdana" w:hAnsi="Verdana"/>
          <w:sz w:val="20"/>
          <w:lang w:val="pt-BR"/>
        </w:rPr>
        <w:t xml:space="preserve">do </w:t>
      </w:r>
      <w:r w:rsidR="00AB454A" w:rsidRPr="002F50BD">
        <w:rPr>
          <w:rFonts w:ascii="Verdana" w:hAnsi="Verdana"/>
          <w:sz w:val="20"/>
          <w:lang w:val="pt-BR"/>
        </w:rPr>
        <w:t>assentamento</w:t>
      </w:r>
      <w:r w:rsidR="004756C1" w:rsidRPr="002F50BD">
        <w:rPr>
          <w:rFonts w:ascii="Verdana" w:hAnsi="Verdana"/>
          <w:sz w:val="20"/>
          <w:lang w:val="pt-BR"/>
        </w:rPr>
        <w:t xml:space="preserve"> </w:t>
      </w:r>
      <w:r w:rsidR="00977F38" w:rsidRPr="002F50BD">
        <w:rPr>
          <w:rFonts w:ascii="Verdana" w:hAnsi="Verdana"/>
          <w:sz w:val="20"/>
          <w:lang w:val="pt-BR"/>
        </w:rPr>
        <w:t>par</w:t>
      </w:r>
      <w:r w:rsidR="004756C1" w:rsidRPr="002F50BD">
        <w:rPr>
          <w:rFonts w:ascii="Verdana" w:hAnsi="Verdana"/>
          <w:sz w:val="20"/>
          <w:lang w:val="pt-BR"/>
        </w:rPr>
        <w:t>a buscar alimento para</w:t>
      </w:r>
      <w:r w:rsidRPr="002F50BD">
        <w:rPr>
          <w:rFonts w:ascii="Verdana" w:hAnsi="Verdana"/>
          <w:sz w:val="20"/>
          <w:lang w:val="pt-BR"/>
        </w:rPr>
        <w:t xml:space="preserve"> </w:t>
      </w:r>
      <w:r w:rsidR="005A6BC7" w:rsidRPr="002F50BD">
        <w:rPr>
          <w:rFonts w:ascii="Verdana" w:hAnsi="Verdana"/>
          <w:sz w:val="20"/>
          <w:lang w:val="pt-BR"/>
        </w:rPr>
        <w:t>as crianças</w:t>
      </w:r>
      <w:r w:rsidR="004756C1" w:rsidRPr="002F50BD">
        <w:rPr>
          <w:rFonts w:ascii="Verdana" w:hAnsi="Verdana"/>
          <w:sz w:val="20"/>
          <w:lang w:val="pt-BR"/>
        </w:rPr>
        <w:t xml:space="preserve"> todos</w:t>
      </w:r>
      <w:r w:rsidRPr="002F50BD">
        <w:rPr>
          <w:rFonts w:ascii="Verdana" w:hAnsi="Verdana"/>
          <w:sz w:val="20"/>
          <w:lang w:val="pt-BR"/>
        </w:rPr>
        <w:t xml:space="preserve"> os dia</w:t>
      </w:r>
      <w:r w:rsidR="002C07CC">
        <w:rPr>
          <w:rFonts w:ascii="Verdana" w:hAnsi="Verdana"/>
          <w:sz w:val="20"/>
          <w:lang w:val="pt-BR"/>
        </w:rPr>
        <w:t>s</w:t>
      </w:r>
      <w:r w:rsidR="004756C1" w:rsidRPr="002F50BD">
        <w:rPr>
          <w:rFonts w:ascii="Verdana" w:hAnsi="Verdana"/>
          <w:sz w:val="20"/>
          <w:lang w:val="pt-BR"/>
        </w:rPr>
        <w:t xml:space="preserve"> porque n</w:t>
      </w:r>
      <w:r w:rsidR="00977F38"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recebem nenhum </w:t>
      </w:r>
      <w:r w:rsidR="004756C1" w:rsidRPr="002F50BD">
        <w:rPr>
          <w:rFonts w:ascii="Verdana" w:hAnsi="Verdana"/>
          <w:sz w:val="20"/>
          <w:lang w:val="pt-BR"/>
        </w:rPr>
        <w:t xml:space="preserve">tipo de </w:t>
      </w:r>
      <w:r w:rsidRPr="002F50BD">
        <w:rPr>
          <w:rFonts w:ascii="Verdana" w:hAnsi="Verdana"/>
          <w:sz w:val="20"/>
          <w:lang w:val="pt-BR"/>
        </w:rPr>
        <w:t>apoio</w:t>
      </w:r>
      <w:r w:rsidR="004756C1" w:rsidRPr="002F50BD">
        <w:rPr>
          <w:rFonts w:ascii="Verdana" w:hAnsi="Verdana"/>
          <w:sz w:val="20"/>
          <w:lang w:val="pt-BR"/>
        </w:rPr>
        <w:t>.</w:t>
      </w:r>
      <w:r w:rsidRPr="002F50BD">
        <w:rPr>
          <w:rFonts w:ascii="Verdana" w:hAnsi="Verdana"/>
          <w:sz w:val="20"/>
          <w:lang w:val="pt-BR"/>
        </w:rPr>
        <w:t xml:space="preserve"> </w:t>
      </w:r>
      <w:r w:rsidR="00977F38" w:rsidRPr="002F50BD">
        <w:rPr>
          <w:rFonts w:ascii="Verdana" w:hAnsi="Verdana"/>
          <w:sz w:val="20"/>
          <w:lang w:val="pt-BR"/>
        </w:rPr>
        <w:t>N</w:t>
      </w:r>
      <w:r w:rsidRPr="002F50BD">
        <w:rPr>
          <w:rFonts w:ascii="Verdana" w:hAnsi="Verdana"/>
          <w:sz w:val="20"/>
          <w:lang w:val="pt-BR"/>
        </w:rPr>
        <w:t xml:space="preserve">o ano </w:t>
      </w:r>
      <w:r w:rsidR="00977F38" w:rsidRPr="002F50BD">
        <w:rPr>
          <w:rFonts w:ascii="Verdana" w:hAnsi="Verdana"/>
          <w:sz w:val="20"/>
          <w:lang w:val="pt-BR"/>
        </w:rPr>
        <w:t xml:space="preserve">de </w:t>
      </w:r>
      <w:r w:rsidR="00063B47" w:rsidRPr="002F50BD">
        <w:rPr>
          <w:rFonts w:ascii="Verdana" w:hAnsi="Verdana"/>
          <w:sz w:val="20"/>
          <w:lang w:val="pt-BR"/>
        </w:rPr>
        <w:t>2003</w:t>
      </w:r>
      <w:r w:rsidR="00591998"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 envi</w:t>
      </w:r>
      <w:r w:rsidR="00591998" w:rsidRPr="002F50BD">
        <w:rPr>
          <w:rFonts w:ascii="Verdana" w:hAnsi="Verdana"/>
          <w:sz w:val="20"/>
          <w:lang w:val="pt-BR"/>
        </w:rPr>
        <w:t>ava</w:t>
      </w:r>
      <w:r w:rsidR="00AB6727" w:rsidRPr="002F50BD">
        <w:rPr>
          <w:rFonts w:ascii="Verdana" w:hAnsi="Verdana"/>
          <w:sz w:val="20"/>
          <w:lang w:val="pt-BR"/>
        </w:rPr>
        <w:t xml:space="preserve"> </w:t>
      </w:r>
      <w:r w:rsidR="00977F38" w:rsidRPr="002F50BD">
        <w:rPr>
          <w:rFonts w:ascii="Verdana" w:hAnsi="Verdana"/>
          <w:sz w:val="20"/>
          <w:lang w:val="pt-BR"/>
        </w:rPr>
        <w:t xml:space="preserve">alimentação </w:t>
      </w:r>
      <w:r w:rsidRPr="002F50BD">
        <w:rPr>
          <w:rFonts w:ascii="Verdana" w:hAnsi="Verdana"/>
          <w:sz w:val="20"/>
          <w:lang w:val="pt-BR"/>
        </w:rPr>
        <w:t xml:space="preserve">à Comunidade </w:t>
      </w:r>
      <w:r w:rsidR="004756C1" w:rsidRPr="002F50BD">
        <w:rPr>
          <w:rFonts w:ascii="Verdana" w:hAnsi="Verdana"/>
          <w:sz w:val="20"/>
          <w:lang w:val="pt-BR"/>
        </w:rPr>
        <w:t>“</w:t>
      </w:r>
      <w:r w:rsidRPr="002F50BD">
        <w:rPr>
          <w:rFonts w:ascii="Verdana" w:hAnsi="Verdana"/>
          <w:sz w:val="20"/>
          <w:lang w:val="pt-BR"/>
        </w:rPr>
        <w:t xml:space="preserve">quase </w:t>
      </w:r>
      <w:r w:rsidR="004756C1" w:rsidRPr="002F50BD">
        <w:rPr>
          <w:rFonts w:ascii="Verdana" w:hAnsi="Verdana"/>
          <w:sz w:val="20"/>
          <w:lang w:val="pt-BR"/>
        </w:rPr>
        <w:t>d</w:t>
      </w:r>
      <w:r w:rsidR="00977F38" w:rsidRPr="002F50BD">
        <w:rPr>
          <w:rFonts w:ascii="Verdana" w:hAnsi="Verdana"/>
          <w:sz w:val="20"/>
          <w:lang w:val="pt-BR"/>
        </w:rPr>
        <w:t>ua</w:t>
      </w:r>
      <w:r w:rsidR="004756C1" w:rsidRPr="002F50BD">
        <w:rPr>
          <w:rFonts w:ascii="Verdana" w:hAnsi="Verdana"/>
          <w:sz w:val="20"/>
          <w:lang w:val="pt-BR"/>
        </w:rPr>
        <w:t xml:space="preserve">s </w:t>
      </w:r>
      <w:r w:rsidRPr="002F50BD">
        <w:rPr>
          <w:rFonts w:ascii="Verdana" w:hAnsi="Verdana"/>
          <w:sz w:val="20"/>
          <w:lang w:val="pt-BR"/>
        </w:rPr>
        <w:t>vezes</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lastRenderedPageBreak/>
        <w:cr/>
        <w:t>A Comunidade tem uma pequena</w:t>
      </w:r>
      <w:r w:rsidR="004756C1" w:rsidRPr="002F50BD">
        <w:rPr>
          <w:rFonts w:ascii="Verdana" w:hAnsi="Verdana"/>
          <w:sz w:val="20"/>
          <w:lang w:val="pt-BR"/>
        </w:rPr>
        <w:t xml:space="preserve"> </w:t>
      </w:r>
      <w:r w:rsidR="004076AD" w:rsidRPr="002F50BD">
        <w:rPr>
          <w:rFonts w:ascii="Verdana" w:hAnsi="Verdana"/>
          <w:sz w:val="20"/>
          <w:lang w:val="pt-BR"/>
        </w:rPr>
        <w:t>escola</w:t>
      </w:r>
      <w:r w:rsidR="004756C1" w:rsidRPr="002F50BD">
        <w:rPr>
          <w:rFonts w:ascii="Verdana" w:hAnsi="Verdana"/>
          <w:sz w:val="20"/>
          <w:lang w:val="pt-BR"/>
        </w:rPr>
        <w:t xml:space="preserve">, </w:t>
      </w:r>
      <w:r w:rsidRPr="002F50BD">
        <w:rPr>
          <w:rFonts w:ascii="Verdana" w:hAnsi="Verdana"/>
          <w:sz w:val="20"/>
          <w:lang w:val="pt-BR"/>
        </w:rPr>
        <w:t xml:space="preserve">mas a </w:t>
      </w:r>
      <w:r w:rsidR="00AB454A" w:rsidRPr="002F50BD">
        <w:rPr>
          <w:rFonts w:ascii="Verdana" w:hAnsi="Verdana"/>
          <w:sz w:val="20"/>
          <w:lang w:val="pt-BR"/>
        </w:rPr>
        <w:t>professora</w:t>
      </w:r>
      <w:r w:rsidR="004756C1" w:rsidRPr="002F50BD">
        <w:rPr>
          <w:rFonts w:ascii="Verdana" w:hAnsi="Verdana"/>
          <w:sz w:val="20"/>
          <w:lang w:val="pt-BR"/>
        </w:rPr>
        <w:t xml:space="preserve"> </w:t>
      </w:r>
      <w:r w:rsidR="00AB454A" w:rsidRPr="002F50BD">
        <w:rPr>
          <w:rFonts w:ascii="Verdana" w:hAnsi="Verdana"/>
          <w:sz w:val="20"/>
          <w:lang w:val="pt-BR"/>
        </w:rPr>
        <w:t>não pode</w:t>
      </w:r>
      <w:r w:rsidR="00977F38" w:rsidRPr="002F50BD">
        <w:rPr>
          <w:rFonts w:ascii="Verdana" w:hAnsi="Verdana"/>
          <w:sz w:val="20"/>
          <w:lang w:val="pt-BR"/>
        </w:rPr>
        <w:t xml:space="preserve"> seguir ensin</w:t>
      </w:r>
      <w:r w:rsidR="004756C1" w:rsidRPr="002F50BD">
        <w:rPr>
          <w:rFonts w:ascii="Verdana" w:hAnsi="Verdana"/>
          <w:sz w:val="20"/>
          <w:lang w:val="pt-BR"/>
        </w:rPr>
        <w:t>ando</w:t>
      </w:r>
      <w:r w:rsidRPr="002F50BD">
        <w:rPr>
          <w:rFonts w:ascii="Verdana" w:hAnsi="Verdana"/>
          <w:sz w:val="20"/>
          <w:lang w:val="pt-BR"/>
        </w:rPr>
        <w:t xml:space="preserve"> </w:t>
      </w:r>
      <w:r w:rsidR="005A6BC7" w:rsidRPr="002F50BD">
        <w:rPr>
          <w:rFonts w:ascii="Verdana" w:hAnsi="Verdana"/>
          <w:sz w:val="20"/>
          <w:lang w:val="pt-BR"/>
        </w:rPr>
        <w:t>as crianças</w:t>
      </w:r>
      <w:r w:rsidR="004756C1" w:rsidRPr="002F50BD">
        <w:rPr>
          <w:rFonts w:ascii="Verdana" w:hAnsi="Verdana"/>
          <w:sz w:val="20"/>
          <w:lang w:val="pt-BR"/>
        </w:rPr>
        <w:t xml:space="preserve"> porque </w:t>
      </w:r>
      <w:r w:rsidRPr="002F50BD">
        <w:rPr>
          <w:rFonts w:ascii="Verdana" w:hAnsi="Verdana"/>
          <w:sz w:val="20"/>
          <w:lang w:val="pt-BR"/>
        </w:rPr>
        <w:t xml:space="preserve">não possuem </w:t>
      </w:r>
      <w:r w:rsidR="004756C1" w:rsidRPr="002F50BD">
        <w:rPr>
          <w:rFonts w:ascii="Verdana" w:hAnsi="Verdana"/>
          <w:sz w:val="20"/>
          <w:lang w:val="pt-BR"/>
        </w:rPr>
        <w:t>alimenta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Também</w:t>
      </w:r>
      <w:r w:rsidR="004756C1" w:rsidRPr="002F50BD">
        <w:rPr>
          <w:rFonts w:ascii="Verdana" w:hAnsi="Verdana"/>
          <w:sz w:val="20"/>
          <w:lang w:val="pt-BR"/>
        </w:rPr>
        <w:t xml:space="preserve"> </w:t>
      </w:r>
      <w:r w:rsidRPr="002F50BD">
        <w:rPr>
          <w:rFonts w:ascii="Verdana" w:hAnsi="Verdana"/>
          <w:sz w:val="20"/>
          <w:lang w:val="pt-BR"/>
        </w:rPr>
        <w:t xml:space="preserve">têm um </w:t>
      </w:r>
      <w:r w:rsidR="00AB6727" w:rsidRPr="002F50BD">
        <w:rPr>
          <w:rFonts w:ascii="Verdana" w:hAnsi="Verdana"/>
          <w:sz w:val="20"/>
          <w:lang w:val="pt-BR"/>
        </w:rPr>
        <w:t>xamã</w:t>
      </w:r>
      <w:r w:rsidR="004756C1" w:rsidRPr="002F50BD">
        <w:rPr>
          <w:rFonts w:ascii="Verdana" w:hAnsi="Verdana"/>
          <w:sz w:val="20"/>
          <w:lang w:val="pt-BR"/>
        </w:rPr>
        <w:t xml:space="preserve"> entre</w:t>
      </w:r>
      <w:r w:rsidRPr="002F50BD">
        <w:rPr>
          <w:rFonts w:ascii="Verdana" w:hAnsi="Verdana"/>
          <w:sz w:val="20"/>
          <w:lang w:val="pt-BR"/>
        </w:rPr>
        <w:t xml:space="preserve"> ele</w:t>
      </w:r>
      <w:r w:rsidR="004756C1" w:rsidRPr="002F50BD">
        <w:rPr>
          <w:rFonts w:ascii="Verdana" w:hAnsi="Verdana"/>
          <w:sz w:val="20"/>
          <w:lang w:val="pt-BR"/>
        </w:rPr>
        <w:t>s, que</w:t>
      </w:r>
      <w:r w:rsidRPr="002F50BD">
        <w:rPr>
          <w:rFonts w:ascii="Verdana" w:hAnsi="Verdana"/>
          <w:sz w:val="20"/>
          <w:lang w:val="pt-BR"/>
        </w:rPr>
        <w:t xml:space="preserve"> é o pai da testemunha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89298C">
      <w:pPr>
        <w:jc w:val="both"/>
        <w:rPr>
          <w:rFonts w:ascii="Verdana" w:hAnsi="Verdana"/>
          <w:sz w:val="20"/>
          <w:lang w:val="pt-BR"/>
        </w:rPr>
      </w:pPr>
      <w:r w:rsidRPr="002F50BD">
        <w:rPr>
          <w:rFonts w:ascii="Verdana" w:hAnsi="Verdana"/>
          <w:sz w:val="20"/>
          <w:lang w:val="pt-BR"/>
        </w:rPr>
        <w:cr/>
        <w:t xml:space="preserve">A Comunidade </w:t>
      </w:r>
      <w:r w:rsidR="004756C1" w:rsidRPr="002F50BD">
        <w:rPr>
          <w:rFonts w:ascii="Verdana" w:hAnsi="Verdana"/>
          <w:sz w:val="20"/>
          <w:lang w:val="pt-BR"/>
        </w:rPr>
        <w:t xml:space="preserve">Yakye Axa </w:t>
      </w:r>
      <w:r w:rsidR="00977F38" w:rsidRPr="002F50BD">
        <w:rPr>
          <w:rFonts w:ascii="Verdana" w:hAnsi="Verdana"/>
          <w:sz w:val="20"/>
          <w:lang w:val="pt-BR"/>
        </w:rPr>
        <w:t>sofreu</w:t>
      </w:r>
      <w:r w:rsidR="004756C1" w:rsidRPr="002F50BD">
        <w:rPr>
          <w:rFonts w:ascii="Verdana" w:hAnsi="Verdana"/>
          <w:sz w:val="20"/>
          <w:lang w:val="pt-BR"/>
        </w:rPr>
        <w:t xml:space="preserve"> </w:t>
      </w:r>
      <w:r w:rsidRPr="002F50BD">
        <w:rPr>
          <w:rFonts w:ascii="Verdana" w:hAnsi="Verdana"/>
          <w:sz w:val="20"/>
          <w:lang w:val="pt-BR"/>
        </w:rPr>
        <w:t xml:space="preserve">também pelo </w:t>
      </w:r>
      <w:r w:rsidR="00367FD1" w:rsidRPr="002F50BD">
        <w:rPr>
          <w:rFonts w:ascii="Verdana" w:hAnsi="Verdana"/>
          <w:sz w:val="20"/>
          <w:lang w:val="pt-BR"/>
        </w:rPr>
        <w:t>falecimento</w:t>
      </w:r>
      <w:r w:rsidR="004756C1" w:rsidRPr="002F50BD">
        <w:rPr>
          <w:rFonts w:ascii="Verdana" w:hAnsi="Verdana"/>
          <w:sz w:val="20"/>
          <w:lang w:val="pt-BR"/>
        </w:rPr>
        <w:t xml:space="preserve"> de </w:t>
      </w:r>
      <w:r w:rsidR="00977F38" w:rsidRPr="002F50BD">
        <w:rPr>
          <w:rFonts w:ascii="Verdana" w:hAnsi="Verdana"/>
          <w:sz w:val="20"/>
          <w:lang w:val="pt-BR"/>
        </w:rPr>
        <w:t>seus parentes</w:t>
      </w:r>
      <w:r w:rsidR="004756C1" w:rsidRPr="002F50BD">
        <w:rPr>
          <w:rFonts w:ascii="Verdana" w:hAnsi="Verdana"/>
          <w:sz w:val="20"/>
          <w:lang w:val="pt-BR"/>
        </w:rPr>
        <w:t>. Desde que</w:t>
      </w:r>
      <w:r w:rsidRPr="002F50BD">
        <w:rPr>
          <w:rFonts w:ascii="Verdana" w:hAnsi="Verdana"/>
          <w:sz w:val="20"/>
          <w:lang w:val="pt-BR"/>
        </w:rPr>
        <w:t xml:space="preserve"> estão </w:t>
      </w:r>
      <w:r w:rsidR="00977F38" w:rsidRPr="002F50BD">
        <w:rPr>
          <w:rFonts w:ascii="Verdana" w:hAnsi="Verdana"/>
          <w:sz w:val="20"/>
          <w:lang w:val="pt-BR"/>
        </w:rPr>
        <w:t>à margem da estrada</w:t>
      </w:r>
      <w:r w:rsidR="00591998" w:rsidRPr="002F50BD">
        <w:rPr>
          <w:rFonts w:ascii="Verdana" w:hAnsi="Verdana"/>
          <w:sz w:val="20"/>
          <w:lang w:val="pt-BR"/>
        </w:rPr>
        <w:t>,</w:t>
      </w:r>
      <w:r w:rsidR="00977F38" w:rsidRPr="002F50BD">
        <w:rPr>
          <w:rFonts w:ascii="Verdana" w:hAnsi="Verdana"/>
          <w:sz w:val="20"/>
          <w:lang w:val="pt-BR"/>
        </w:rPr>
        <w:t xml:space="preserve"> dois </w:t>
      </w:r>
      <w:r w:rsidRPr="002F50BD">
        <w:rPr>
          <w:rFonts w:ascii="Verdana" w:hAnsi="Verdana"/>
          <w:sz w:val="20"/>
          <w:lang w:val="pt-BR"/>
        </w:rPr>
        <w:t>jovens</w:t>
      </w:r>
      <w:r w:rsidR="004756C1" w:rsidRPr="002F50BD">
        <w:rPr>
          <w:rFonts w:ascii="Verdana" w:hAnsi="Verdana"/>
          <w:sz w:val="20"/>
          <w:lang w:val="pt-BR"/>
        </w:rPr>
        <w:t xml:space="preserve"> </w:t>
      </w:r>
      <w:r w:rsidRPr="002F50BD">
        <w:rPr>
          <w:rFonts w:ascii="Verdana" w:hAnsi="Verdana"/>
          <w:sz w:val="20"/>
          <w:lang w:val="pt-BR"/>
        </w:rPr>
        <w:t>faleceram</w:t>
      </w:r>
      <w:r w:rsidR="004756C1" w:rsidRPr="002F50BD">
        <w:rPr>
          <w:rFonts w:ascii="Verdana" w:hAnsi="Verdana"/>
          <w:sz w:val="20"/>
          <w:lang w:val="pt-BR"/>
        </w:rPr>
        <w:t xml:space="preserve"> </w:t>
      </w:r>
      <w:r w:rsidR="00977F38" w:rsidRPr="002F50BD">
        <w:rPr>
          <w:rFonts w:ascii="Verdana" w:hAnsi="Verdana"/>
          <w:sz w:val="20"/>
          <w:lang w:val="pt-BR"/>
        </w:rPr>
        <w:t>por</w:t>
      </w:r>
      <w:r w:rsidR="004756C1" w:rsidRPr="002F50BD">
        <w:rPr>
          <w:rFonts w:ascii="Verdana" w:hAnsi="Verdana"/>
          <w:sz w:val="20"/>
          <w:lang w:val="pt-BR"/>
        </w:rPr>
        <w:t xml:space="preserve"> causa de </w:t>
      </w:r>
      <w:r w:rsidR="00AB454A" w:rsidRPr="002F50BD">
        <w:rPr>
          <w:rFonts w:ascii="Verdana" w:hAnsi="Verdana"/>
          <w:sz w:val="20"/>
          <w:lang w:val="pt-BR"/>
        </w:rPr>
        <w:t>acident</w:t>
      </w:r>
      <w:r w:rsidR="004756C1" w:rsidRPr="002F50BD">
        <w:rPr>
          <w:rFonts w:ascii="Verdana" w:hAnsi="Verdana"/>
          <w:sz w:val="20"/>
          <w:lang w:val="pt-BR"/>
        </w:rPr>
        <w:t>es</w:t>
      </w:r>
      <w:r w:rsidRPr="002F50BD">
        <w:rPr>
          <w:rFonts w:ascii="Verdana" w:hAnsi="Verdana"/>
          <w:sz w:val="20"/>
          <w:lang w:val="pt-BR"/>
        </w:rPr>
        <w:t xml:space="preserve"> na </w:t>
      </w:r>
      <w:r w:rsidR="00475EBB" w:rsidRPr="002F50BD">
        <w:rPr>
          <w:rFonts w:ascii="Verdana" w:hAnsi="Verdana"/>
          <w:sz w:val="20"/>
          <w:lang w:val="pt-BR"/>
        </w:rPr>
        <w:t>rodovia</w:t>
      </w:r>
      <w:r w:rsidR="004756C1" w:rsidRPr="002F50BD">
        <w:rPr>
          <w:rFonts w:ascii="Verdana" w:hAnsi="Verdana"/>
          <w:sz w:val="20"/>
          <w:lang w:val="pt-BR"/>
        </w:rPr>
        <w:t xml:space="preserve">. </w:t>
      </w:r>
      <w:r w:rsidRPr="002F50BD">
        <w:rPr>
          <w:rFonts w:ascii="Verdana" w:hAnsi="Verdana"/>
          <w:sz w:val="20"/>
          <w:lang w:val="pt-BR"/>
        </w:rPr>
        <w:t>Quando</w:t>
      </w:r>
      <w:r w:rsidR="004756C1" w:rsidRPr="002F50BD">
        <w:rPr>
          <w:rFonts w:ascii="Verdana" w:hAnsi="Verdana"/>
          <w:sz w:val="20"/>
          <w:lang w:val="pt-BR"/>
        </w:rPr>
        <w:t xml:space="preserve"> </w:t>
      </w:r>
      <w:r w:rsidRPr="002F50BD">
        <w:rPr>
          <w:rFonts w:ascii="Verdana" w:hAnsi="Verdana"/>
          <w:sz w:val="20"/>
          <w:lang w:val="pt-BR"/>
        </w:rPr>
        <w:t xml:space="preserve">há uma </w:t>
      </w:r>
      <w:r w:rsidR="00A50140" w:rsidRPr="002F50BD">
        <w:rPr>
          <w:rFonts w:ascii="Verdana" w:hAnsi="Verdana"/>
          <w:sz w:val="20"/>
          <w:lang w:val="pt-BR"/>
        </w:rPr>
        <w:t xml:space="preserve">emergência </w:t>
      </w:r>
      <w:r w:rsidR="004756C1" w:rsidRPr="002F50BD">
        <w:rPr>
          <w:rFonts w:ascii="Verdana" w:hAnsi="Verdana"/>
          <w:sz w:val="20"/>
          <w:lang w:val="pt-BR"/>
        </w:rPr>
        <w:t>por causa de</w:t>
      </w:r>
      <w:r w:rsidRPr="002F50BD">
        <w:rPr>
          <w:rFonts w:ascii="Verdana" w:hAnsi="Verdana"/>
          <w:sz w:val="20"/>
          <w:lang w:val="pt-BR"/>
        </w:rPr>
        <w:t xml:space="preserve"> um </w:t>
      </w:r>
      <w:r w:rsidR="00977F38" w:rsidRPr="002F50BD">
        <w:rPr>
          <w:rFonts w:ascii="Verdana" w:hAnsi="Verdana"/>
          <w:sz w:val="20"/>
          <w:lang w:val="pt-BR"/>
        </w:rPr>
        <w:t>doente</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977F38" w:rsidRPr="002F50BD">
        <w:rPr>
          <w:rFonts w:ascii="Verdana" w:hAnsi="Verdana"/>
          <w:sz w:val="20"/>
          <w:lang w:val="pt-BR"/>
        </w:rPr>
        <w:t>costumam buscar um</w:t>
      </w:r>
      <w:r w:rsidRPr="002F50BD">
        <w:rPr>
          <w:rFonts w:ascii="Verdana" w:hAnsi="Verdana"/>
          <w:sz w:val="20"/>
          <w:lang w:val="pt-BR"/>
        </w:rPr>
        <w:t xml:space="preserve">a </w:t>
      </w:r>
      <w:r w:rsidR="004756C1" w:rsidRPr="002F50BD">
        <w:rPr>
          <w:rFonts w:ascii="Verdana" w:hAnsi="Verdana"/>
          <w:sz w:val="20"/>
          <w:lang w:val="pt-BR"/>
        </w:rPr>
        <w:t>forma de solucionar</w:t>
      </w:r>
      <w:r w:rsidRPr="002F50BD">
        <w:rPr>
          <w:rFonts w:ascii="Verdana" w:hAnsi="Verdana"/>
          <w:sz w:val="20"/>
          <w:lang w:val="pt-BR"/>
        </w:rPr>
        <w:t xml:space="preserve"> o </w:t>
      </w:r>
      <w:r w:rsidR="004756C1" w:rsidRPr="002F50BD">
        <w:rPr>
          <w:rFonts w:ascii="Verdana" w:hAnsi="Verdana"/>
          <w:sz w:val="20"/>
          <w:lang w:val="pt-BR"/>
        </w:rPr>
        <w:t xml:space="preserve">problema </w:t>
      </w:r>
      <w:r w:rsidRPr="002F50BD">
        <w:rPr>
          <w:rFonts w:ascii="Verdana" w:hAnsi="Verdana"/>
          <w:sz w:val="20"/>
          <w:lang w:val="pt-BR"/>
        </w:rPr>
        <w:t xml:space="preserve">do </w:t>
      </w:r>
      <w:r w:rsidR="00977F38" w:rsidRPr="002F50BD">
        <w:rPr>
          <w:rFonts w:ascii="Verdana" w:hAnsi="Verdana"/>
          <w:sz w:val="20"/>
          <w:lang w:val="pt-BR"/>
        </w:rPr>
        <w:t>doente</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Para</w:t>
      </w:r>
      <w:r w:rsidRPr="002F50BD">
        <w:rPr>
          <w:rFonts w:ascii="Verdana" w:hAnsi="Verdana"/>
          <w:sz w:val="20"/>
          <w:lang w:val="pt-BR"/>
        </w:rPr>
        <w:t xml:space="preserve"> lev</w:t>
      </w:r>
      <w:r w:rsidR="004756C1" w:rsidRPr="002F50BD">
        <w:rPr>
          <w:rFonts w:ascii="Verdana" w:hAnsi="Verdana"/>
          <w:sz w:val="20"/>
          <w:lang w:val="pt-BR"/>
        </w:rPr>
        <w:t>ar</w:t>
      </w:r>
      <w:r w:rsidRPr="002F50BD">
        <w:rPr>
          <w:rFonts w:ascii="Verdana" w:hAnsi="Verdana"/>
          <w:sz w:val="20"/>
          <w:lang w:val="pt-BR"/>
        </w:rPr>
        <w:t xml:space="preserve"> os </w:t>
      </w:r>
      <w:r w:rsidR="00977F38" w:rsidRPr="002F50BD">
        <w:rPr>
          <w:rFonts w:ascii="Verdana" w:hAnsi="Verdana"/>
          <w:sz w:val="20"/>
          <w:lang w:val="pt-BR"/>
        </w:rPr>
        <w:t xml:space="preserve">doentes </w:t>
      </w:r>
      <w:r w:rsidR="004756C1" w:rsidRPr="002F50BD">
        <w:rPr>
          <w:rFonts w:ascii="Verdana" w:hAnsi="Verdana"/>
          <w:sz w:val="20"/>
          <w:lang w:val="pt-BR"/>
        </w:rPr>
        <w:t xml:space="preserve">a </w:t>
      </w:r>
      <w:r w:rsidR="00313394" w:rsidRPr="002F50BD">
        <w:rPr>
          <w:rFonts w:ascii="Verdana" w:hAnsi="Verdana"/>
          <w:sz w:val="20"/>
          <w:lang w:val="pt-BR"/>
        </w:rPr>
        <w:t>Concepción</w:t>
      </w:r>
      <w:r w:rsidR="004756C1" w:rsidRPr="002F50BD">
        <w:rPr>
          <w:rFonts w:ascii="Verdana" w:hAnsi="Verdana"/>
          <w:sz w:val="20"/>
          <w:lang w:val="pt-BR"/>
        </w:rPr>
        <w:t xml:space="preserve"> o</w:t>
      </w:r>
      <w:r w:rsidR="00977F38" w:rsidRPr="002F50BD">
        <w:rPr>
          <w:rFonts w:ascii="Verdana" w:hAnsi="Verdana"/>
          <w:sz w:val="20"/>
          <w:lang w:val="pt-BR"/>
        </w:rPr>
        <w:t>u</w:t>
      </w:r>
      <w:r w:rsidR="004756C1" w:rsidRPr="002F50BD">
        <w:rPr>
          <w:rFonts w:ascii="Verdana" w:hAnsi="Verdana"/>
          <w:sz w:val="20"/>
          <w:lang w:val="pt-BR"/>
        </w:rPr>
        <w:t xml:space="preserve"> </w:t>
      </w:r>
      <w:r w:rsidR="00977F38" w:rsidRPr="002F50BD">
        <w:rPr>
          <w:rFonts w:ascii="Verdana" w:hAnsi="Verdana"/>
          <w:sz w:val="20"/>
          <w:lang w:val="pt-BR"/>
        </w:rPr>
        <w:t xml:space="preserve">a </w:t>
      </w:r>
      <w:r w:rsidR="004756C1" w:rsidRPr="002F50BD">
        <w:rPr>
          <w:rFonts w:ascii="Verdana" w:hAnsi="Verdana"/>
          <w:sz w:val="20"/>
          <w:lang w:val="pt-BR"/>
        </w:rPr>
        <w:t>Asun</w:t>
      </w:r>
      <w:r w:rsidR="00977F38" w:rsidRPr="002F50BD">
        <w:rPr>
          <w:rFonts w:ascii="Verdana" w:hAnsi="Verdana"/>
          <w:sz w:val="20"/>
          <w:lang w:val="pt-BR"/>
        </w:rPr>
        <w:t>ción</w:t>
      </w:r>
      <w:r w:rsidR="00591998" w:rsidRPr="002F50BD">
        <w:rPr>
          <w:rFonts w:ascii="Verdana" w:hAnsi="Verdana"/>
          <w:sz w:val="20"/>
          <w:lang w:val="pt-BR"/>
        </w:rPr>
        <w:t>,</w:t>
      </w:r>
      <w:r w:rsidR="00977F38" w:rsidRPr="002F50BD">
        <w:rPr>
          <w:rFonts w:ascii="Verdana" w:hAnsi="Verdana"/>
          <w:sz w:val="20"/>
          <w:lang w:val="pt-BR"/>
        </w:rPr>
        <w:t xml:space="preserve"> </w:t>
      </w:r>
      <w:r w:rsidRPr="002F50BD">
        <w:rPr>
          <w:rFonts w:ascii="Verdana" w:hAnsi="Verdana"/>
          <w:sz w:val="20"/>
          <w:lang w:val="pt-BR"/>
        </w:rPr>
        <w:t>têm</w:t>
      </w:r>
      <w:r w:rsidR="004756C1" w:rsidRPr="002F50BD">
        <w:rPr>
          <w:rFonts w:ascii="Verdana" w:hAnsi="Verdana"/>
          <w:sz w:val="20"/>
          <w:lang w:val="pt-BR"/>
        </w:rPr>
        <w:t xml:space="preserve"> que pagar.</w:t>
      </w:r>
      <w:r w:rsidR="00FE08B7">
        <w:rPr>
          <w:rFonts w:ascii="Verdana" w:hAnsi="Verdana"/>
          <w:sz w:val="20"/>
          <w:lang w:val="pt-BR"/>
        </w:rPr>
        <w:t xml:space="preserve"> </w:t>
      </w:r>
      <w:r w:rsidR="004756C1" w:rsidRPr="002F50BD">
        <w:rPr>
          <w:rFonts w:ascii="Verdana" w:hAnsi="Verdana"/>
          <w:sz w:val="20"/>
          <w:lang w:val="pt-BR"/>
        </w:rPr>
        <w:t>De vez</w:t>
      </w:r>
      <w:r w:rsidRPr="002F50BD">
        <w:rPr>
          <w:rFonts w:ascii="Verdana" w:hAnsi="Verdana"/>
          <w:sz w:val="20"/>
          <w:lang w:val="pt-BR"/>
        </w:rPr>
        <w:t xml:space="preserve"> em quando</w:t>
      </w:r>
      <w:r w:rsidR="00591998"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encontram</w:t>
      </w:r>
      <w:r w:rsidR="004756C1" w:rsidRPr="002F50BD">
        <w:rPr>
          <w:rFonts w:ascii="Verdana" w:hAnsi="Verdana"/>
          <w:sz w:val="20"/>
          <w:lang w:val="pt-BR"/>
        </w:rPr>
        <w:t xml:space="preserve"> </w:t>
      </w:r>
      <w:r w:rsidRPr="002F50BD">
        <w:rPr>
          <w:rFonts w:ascii="Verdana" w:hAnsi="Verdana"/>
          <w:sz w:val="20"/>
          <w:lang w:val="pt-BR"/>
        </w:rPr>
        <w:t>pessoa</w:t>
      </w:r>
      <w:r w:rsidR="004756C1" w:rsidRPr="002F50BD">
        <w:rPr>
          <w:rFonts w:ascii="Verdana" w:hAnsi="Verdana"/>
          <w:sz w:val="20"/>
          <w:lang w:val="pt-BR"/>
        </w:rPr>
        <w:t>s que</w:t>
      </w:r>
      <w:r w:rsidRPr="002F50BD">
        <w:rPr>
          <w:rFonts w:ascii="Verdana" w:hAnsi="Verdana"/>
          <w:sz w:val="20"/>
          <w:lang w:val="pt-BR"/>
        </w:rPr>
        <w:t xml:space="preserve"> lhes </w:t>
      </w:r>
      <w:r w:rsidR="00977F38" w:rsidRPr="002F50BD">
        <w:rPr>
          <w:rFonts w:ascii="Verdana" w:hAnsi="Verdana"/>
          <w:sz w:val="20"/>
          <w:lang w:val="pt-BR"/>
        </w:rPr>
        <w:t>ajudam</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4F64EE" w:rsidRPr="002F50BD">
        <w:rPr>
          <w:rFonts w:ascii="Verdana" w:hAnsi="Verdana"/>
          <w:sz w:val="20"/>
          <w:lang w:val="pt-BR"/>
        </w:rPr>
        <w:t xml:space="preserve">de </w:t>
      </w:r>
      <w:r w:rsidR="00063B47" w:rsidRPr="002F50BD">
        <w:rPr>
          <w:rFonts w:ascii="Verdana" w:hAnsi="Verdana"/>
          <w:sz w:val="20"/>
          <w:lang w:val="pt-BR"/>
        </w:rPr>
        <w:t>2004</w:t>
      </w:r>
      <w:r w:rsidR="004756C1" w:rsidRPr="002F50BD">
        <w:rPr>
          <w:rFonts w:ascii="Verdana" w:hAnsi="Verdana"/>
          <w:sz w:val="20"/>
          <w:lang w:val="pt-BR"/>
        </w:rPr>
        <w:t>,</w:t>
      </w:r>
      <w:r w:rsidRPr="002F50BD">
        <w:rPr>
          <w:rFonts w:ascii="Verdana" w:hAnsi="Verdana"/>
          <w:sz w:val="20"/>
          <w:lang w:val="pt-BR"/>
        </w:rPr>
        <w:t xml:space="preserve"> </w:t>
      </w:r>
      <w:r w:rsidR="005A6BC7" w:rsidRPr="002F50BD">
        <w:rPr>
          <w:rFonts w:ascii="Verdana" w:hAnsi="Verdana"/>
          <w:sz w:val="20"/>
          <w:lang w:val="pt-BR"/>
        </w:rPr>
        <w:t>as crianças</w:t>
      </w:r>
      <w:r w:rsidR="004756C1" w:rsidRPr="002F50BD">
        <w:rPr>
          <w:rFonts w:ascii="Verdana" w:hAnsi="Verdana"/>
          <w:sz w:val="20"/>
          <w:lang w:val="pt-BR"/>
        </w:rPr>
        <w:t xml:space="preserve"> </w:t>
      </w:r>
      <w:r w:rsidRPr="002F50BD">
        <w:rPr>
          <w:rFonts w:ascii="Verdana" w:hAnsi="Verdana"/>
          <w:sz w:val="20"/>
          <w:lang w:val="pt-BR"/>
        </w:rPr>
        <w:t>foram</w:t>
      </w:r>
      <w:r w:rsidR="004756C1" w:rsidRPr="002F50BD">
        <w:rPr>
          <w:rFonts w:ascii="Verdana" w:hAnsi="Verdana"/>
          <w:sz w:val="20"/>
          <w:lang w:val="pt-BR"/>
        </w:rPr>
        <w:t xml:space="preserve"> </w:t>
      </w:r>
      <w:r w:rsidR="004076AD" w:rsidRPr="002F50BD">
        <w:rPr>
          <w:rFonts w:ascii="Verdana" w:hAnsi="Verdana"/>
          <w:sz w:val="20"/>
          <w:lang w:val="pt-BR"/>
        </w:rPr>
        <w:t>vacina</w:t>
      </w:r>
      <w:r w:rsidR="004756C1" w:rsidRPr="002F50BD">
        <w:rPr>
          <w:rFonts w:ascii="Verdana" w:hAnsi="Verdana"/>
          <w:sz w:val="20"/>
          <w:lang w:val="pt-BR"/>
        </w:rPr>
        <w:t>d</w:t>
      </w:r>
      <w:r w:rsidR="00CC31B6" w:rsidRPr="002F50BD">
        <w:rPr>
          <w:rFonts w:ascii="Verdana" w:hAnsi="Verdana"/>
          <w:sz w:val="20"/>
          <w:lang w:val="pt-BR"/>
        </w:rPr>
        <w:t>a</w:t>
      </w:r>
      <w:r w:rsidR="004756C1" w:rsidRPr="002F50BD">
        <w:rPr>
          <w:rFonts w:ascii="Verdana" w:hAnsi="Verdana"/>
          <w:sz w:val="20"/>
          <w:lang w:val="pt-BR"/>
        </w:rPr>
        <w:t xml:space="preserve">s </w:t>
      </w:r>
      <w:r w:rsidRPr="002F50BD">
        <w:rPr>
          <w:rFonts w:ascii="Verdana" w:hAnsi="Verdana"/>
          <w:sz w:val="20"/>
          <w:lang w:val="pt-BR"/>
        </w:rPr>
        <w:t xml:space="preserve">apenas uma </w:t>
      </w:r>
      <w:r w:rsidR="004756C1" w:rsidRPr="002F50BD">
        <w:rPr>
          <w:rFonts w:ascii="Verdana" w:hAnsi="Verdana"/>
          <w:sz w:val="20"/>
          <w:lang w:val="pt-BR"/>
        </w:rPr>
        <w:t>vez</w:t>
      </w:r>
      <w:r w:rsidR="00D95E71" w:rsidRPr="002F50BD">
        <w:rPr>
          <w:rFonts w:ascii="Verdana" w:hAnsi="Verdana"/>
          <w:sz w:val="20"/>
          <w:lang w:val="pt-BR"/>
        </w:rPr>
        <w:t xml:space="preserve">. O </w:t>
      </w:r>
      <w:r w:rsidR="004756C1" w:rsidRPr="002F50BD">
        <w:rPr>
          <w:rFonts w:ascii="Verdana" w:hAnsi="Verdana"/>
          <w:sz w:val="20"/>
          <w:lang w:val="pt-BR"/>
        </w:rPr>
        <w:t xml:space="preserve">médico que </w:t>
      </w:r>
      <w:r w:rsidR="00CC31B6" w:rsidRPr="002F50BD">
        <w:rPr>
          <w:rFonts w:ascii="Verdana" w:hAnsi="Verdana"/>
          <w:sz w:val="20"/>
          <w:lang w:val="pt-BR"/>
        </w:rPr>
        <w:t>ch</w:t>
      </w:r>
      <w:r w:rsidR="004756C1" w:rsidRPr="002F50BD">
        <w:rPr>
          <w:rFonts w:ascii="Verdana" w:hAnsi="Verdana"/>
          <w:sz w:val="20"/>
          <w:lang w:val="pt-BR"/>
        </w:rPr>
        <w:t>ega</w:t>
      </w:r>
      <w:r w:rsidRPr="002F50BD">
        <w:rPr>
          <w:rFonts w:ascii="Verdana" w:hAnsi="Verdana"/>
          <w:sz w:val="20"/>
          <w:lang w:val="pt-BR"/>
        </w:rPr>
        <w:t xml:space="preserve"> à Comunidade </w:t>
      </w:r>
      <w:r w:rsidR="004756C1" w:rsidRPr="002F50BD">
        <w:rPr>
          <w:rFonts w:ascii="Verdana" w:hAnsi="Verdana"/>
          <w:sz w:val="20"/>
          <w:lang w:val="pt-BR"/>
        </w:rPr>
        <w:t>n</w:t>
      </w:r>
      <w:r w:rsidR="00CC31B6"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lev</w:t>
      </w:r>
      <w:r w:rsidR="004756C1" w:rsidRPr="002F50BD">
        <w:rPr>
          <w:rFonts w:ascii="Verdana" w:hAnsi="Verdana"/>
          <w:sz w:val="20"/>
          <w:lang w:val="pt-BR"/>
        </w:rPr>
        <w:t>a</w:t>
      </w:r>
      <w:r w:rsidRPr="002F50BD">
        <w:rPr>
          <w:rFonts w:ascii="Verdana" w:hAnsi="Verdana"/>
          <w:sz w:val="20"/>
          <w:lang w:val="pt-BR"/>
        </w:rPr>
        <w:t xml:space="preserve"> os </w:t>
      </w:r>
      <w:r w:rsidR="004756C1" w:rsidRPr="002F50BD">
        <w:rPr>
          <w:rFonts w:ascii="Verdana" w:hAnsi="Verdana"/>
          <w:sz w:val="20"/>
          <w:lang w:val="pt-BR"/>
        </w:rPr>
        <w:t xml:space="preserve">medicamentos que </w:t>
      </w:r>
      <w:r w:rsidR="005A6BC7" w:rsidRPr="002F50BD">
        <w:rPr>
          <w:rFonts w:ascii="Verdana" w:hAnsi="Verdana"/>
          <w:sz w:val="20"/>
          <w:lang w:val="pt-BR"/>
        </w:rPr>
        <w:t>necessitam</w:t>
      </w:r>
      <w:r w:rsidR="004756C1" w:rsidRPr="002F50BD">
        <w:rPr>
          <w:rFonts w:ascii="Verdana" w:hAnsi="Verdana"/>
          <w:sz w:val="20"/>
          <w:lang w:val="pt-BR"/>
        </w:rPr>
        <w:t>. Desde que</w:t>
      </w:r>
      <w:r w:rsidRPr="002F50BD">
        <w:rPr>
          <w:rFonts w:ascii="Verdana" w:hAnsi="Verdana"/>
          <w:sz w:val="20"/>
          <w:lang w:val="pt-BR"/>
        </w:rPr>
        <w:t xml:space="preserve"> a Comunidade </w:t>
      </w:r>
      <w:r w:rsidR="004756C1" w:rsidRPr="002F50BD">
        <w:rPr>
          <w:rFonts w:ascii="Verdana" w:hAnsi="Verdana"/>
          <w:sz w:val="20"/>
          <w:lang w:val="pt-BR"/>
        </w:rPr>
        <w:t>está</w:t>
      </w:r>
      <w:r w:rsidRPr="002F50BD">
        <w:rPr>
          <w:rFonts w:ascii="Verdana" w:hAnsi="Verdana"/>
          <w:sz w:val="20"/>
          <w:lang w:val="pt-BR"/>
        </w:rPr>
        <w:t xml:space="preserve"> na </w:t>
      </w:r>
      <w:r w:rsidR="00CC31B6" w:rsidRPr="002F50BD">
        <w:rPr>
          <w:rFonts w:ascii="Verdana" w:hAnsi="Verdana"/>
          <w:sz w:val="20"/>
          <w:lang w:val="pt-BR"/>
        </w:rPr>
        <w:t xml:space="preserve">estrada, </w:t>
      </w:r>
      <w:r w:rsidRPr="002F50BD">
        <w:rPr>
          <w:rFonts w:ascii="Verdana" w:hAnsi="Verdana"/>
          <w:sz w:val="20"/>
          <w:lang w:val="pt-BR"/>
        </w:rPr>
        <w:t>três crianças</w:t>
      </w:r>
      <w:r w:rsidR="004756C1" w:rsidRPr="002F50BD">
        <w:rPr>
          <w:rFonts w:ascii="Verdana" w:hAnsi="Verdana"/>
          <w:sz w:val="20"/>
          <w:lang w:val="pt-BR"/>
        </w:rPr>
        <w:t xml:space="preserve"> </w:t>
      </w:r>
      <w:r w:rsidR="00CC31B6" w:rsidRPr="002F50BD">
        <w:rPr>
          <w:rFonts w:ascii="Verdana" w:hAnsi="Verdana"/>
          <w:sz w:val="20"/>
          <w:lang w:val="pt-BR"/>
        </w:rPr>
        <w:t xml:space="preserve">morreram por </w:t>
      </w:r>
      <w:r w:rsidRPr="002F50BD">
        <w:rPr>
          <w:rFonts w:ascii="Verdana" w:hAnsi="Verdana"/>
          <w:sz w:val="20"/>
          <w:lang w:val="pt-BR"/>
        </w:rPr>
        <w:t>falta</w:t>
      </w:r>
      <w:r w:rsidR="004756C1" w:rsidRPr="002F50BD">
        <w:rPr>
          <w:rFonts w:ascii="Verdana" w:hAnsi="Verdana"/>
          <w:sz w:val="20"/>
          <w:lang w:val="pt-BR"/>
        </w:rPr>
        <w:t xml:space="preserve"> de </w:t>
      </w:r>
      <w:r w:rsidRPr="002F50BD">
        <w:rPr>
          <w:rFonts w:ascii="Verdana" w:hAnsi="Verdana"/>
          <w:sz w:val="20"/>
          <w:lang w:val="pt-BR"/>
        </w:rPr>
        <w:t>atenção</w:t>
      </w:r>
      <w:r w:rsidR="004756C1" w:rsidRPr="002F50BD">
        <w:rPr>
          <w:rFonts w:ascii="Verdana" w:hAnsi="Verdana"/>
          <w:sz w:val="20"/>
          <w:lang w:val="pt-BR"/>
        </w:rPr>
        <w:t xml:space="preserve"> médica. </w:t>
      </w:r>
      <w:r w:rsidR="00CC31B6" w:rsidRPr="002F50BD">
        <w:rPr>
          <w:rFonts w:ascii="Verdana" w:hAnsi="Verdana"/>
          <w:sz w:val="20"/>
          <w:lang w:val="pt-BR"/>
        </w:rPr>
        <w:t>A</w:t>
      </w:r>
      <w:r w:rsidR="005A6BC7" w:rsidRPr="002F50BD">
        <w:rPr>
          <w:rFonts w:ascii="Verdana" w:hAnsi="Verdana"/>
          <w:sz w:val="20"/>
          <w:lang w:val="pt-BR"/>
        </w:rPr>
        <w:t>s crianças</w:t>
      </w:r>
      <w:r w:rsidR="004756C1" w:rsidRPr="002F50BD">
        <w:rPr>
          <w:rFonts w:ascii="Verdana" w:hAnsi="Verdana"/>
          <w:sz w:val="20"/>
          <w:lang w:val="pt-BR"/>
        </w:rPr>
        <w:t xml:space="preserve"> </w:t>
      </w:r>
      <w:r w:rsidRPr="002F50BD">
        <w:rPr>
          <w:rFonts w:ascii="Verdana" w:hAnsi="Verdana"/>
          <w:sz w:val="20"/>
          <w:lang w:val="pt-BR"/>
        </w:rPr>
        <w:t>faleceram</w:t>
      </w:r>
      <w:r w:rsidR="004756C1" w:rsidRPr="002F50BD">
        <w:rPr>
          <w:rFonts w:ascii="Verdana" w:hAnsi="Verdana"/>
          <w:sz w:val="20"/>
          <w:lang w:val="pt-BR"/>
        </w:rPr>
        <w:t xml:space="preserve"> de v</w:t>
      </w:r>
      <w:r w:rsidR="00CC31B6" w:rsidRPr="002F50BD">
        <w:rPr>
          <w:rFonts w:ascii="Verdana" w:hAnsi="Verdana"/>
          <w:sz w:val="20"/>
          <w:lang w:val="pt-BR"/>
        </w:rPr>
        <w:t>ô</w:t>
      </w:r>
      <w:r w:rsidR="004756C1" w:rsidRPr="002F50BD">
        <w:rPr>
          <w:rFonts w:ascii="Verdana" w:hAnsi="Verdana"/>
          <w:sz w:val="20"/>
          <w:lang w:val="pt-BR"/>
        </w:rPr>
        <w:t>mito</w:t>
      </w:r>
      <w:r w:rsidRPr="002F50BD">
        <w:rPr>
          <w:rFonts w:ascii="Verdana" w:hAnsi="Verdana"/>
          <w:sz w:val="20"/>
          <w:lang w:val="pt-BR"/>
        </w:rPr>
        <w:t xml:space="preserve"> com </w:t>
      </w:r>
      <w:r w:rsidR="004756C1" w:rsidRPr="002F50BD">
        <w:rPr>
          <w:rFonts w:ascii="Verdana" w:hAnsi="Verdana"/>
          <w:sz w:val="20"/>
          <w:lang w:val="pt-BR"/>
        </w:rPr>
        <w:t>diarr</w:t>
      </w:r>
      <w:r w:rsidR="00CC31B6" w:rsidRPr="002F50BD">
        <w:rPr>
          <w:rFonts w:ascii="Verdana" w:hAnsi="Verdana"/>
          <w:sz w:val="20"/>
          <w:lang w:val="pt-BR"/>
        </w:rPr>
        <w:t>éi</w:t>
      </w:r>
      <w:r w:rsidR="004756C1" w:rsidRPr="002F50BD">
        <w:rPr>
          <w:rFonts w:ascii="Verdana" w:hAnsi="Verdana"/>
          <w:sz w:val="20"/>
          <w:lang w:val="pt-BR"/>
        </w:rPr>
        <w:t>a o</w:t>
      </w:r>
      <w:r w:rsidR="00CC31B6"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 xml:space="preserve">dor </w:t>
      </w:r>
      <w:r w:rsidR="004756C1" w:rsidRPr="002F50BD">
        <w:rPr>
          <w:rFonts w:ascii="Verdana" w:hAnsi="Verdana"/>
          <w:sz w:val="20"/>
          <w:lang w:val="pt-BR"/>
        </w:rPr>
        <w:t>de garganta</w:t>
      </w:r>
      <w:r w:rsidR="001A0CDE" w:rsidRPr="002F50BD">
        <w:rPr>
          <w:rFonts w:ascii="Verdana" w:hAnsi="Verdana"/>
          <w:sz w:val="20"/>
          <w:lang w:val="pt-BR"/>
        </w:rPr>
        <w:t>. Est</w:t>
      </w:r>
      <w:r w:rsidR="00CC31B6" w:rsidRPr="002F50BD">
        <w:rPr>
          <w:rFonts w:ascii="Verdana" w:hAnsi="Verdana"/>
          <w:sz w:val="20"/>
          <w:lang w:val="pt-BR"/>
        </w:rPr>
        <w:t>a</w:t>
      </w:r>
      <w:r w:rsidRPr="002F50BD">
        <w:rPr>
          <w:rFonts w:ascii="Verdana" w:hAnsi="Verdana"/>
          <w:sz w:val="20"/>
          <w:lang w:val="pt-BR"/>
        </w:rPr>
        <w:t>s crianças</w:t>
      </w:r>
      <w:r w:rsidR="004756C1" w:rsidRPr="002F50BD">
        <w:rPr>
          <w:rFonts w:ascii="Verdana" w:hAnsi="Verdana"/>
          <w:sz w:val="20"/>
          <w:lang w:val="pt-BR"/>
        </w:rPr>
        <w:t xml:space="preserve"> </w:t>
      </w:r>
      <w:r w:rsidRPr="002F50BD">
        <w:rPr>
          <w:rFonts w:ascii="Verdana" w:hAnsi="Verdana"/>
          <w:sz w:val="20"/>
          <w:lang w:val="pt-BR"/>
        </w:rPr>
        <w:t>foram</w:t>
      </w:r>
      <w:r w:rsidR="004756C1" w:rsidRPr="002F50BD">
        <w:rPr>
          <w:rFonts w:ascii="Verdana" w:hAnsi="Verdana"/>
          <w:sz w:val="20"/>
          <w:lang w:val="pt-BR"/>
        </w:rPr>
        <w:t xml:space="preserve"> enterrad</w:t>
      </w:r>
      <w:r w:rsidR="00CC31B6" w:rsidRPr="002F50BD">
        <w:rPr>
          <w:rFonts w:ascii="Verdana" w:hAnsi="Verdana"/>
          <w:sz w:val="20"/>
          <w:lang w:val="pt-BR"/>
        </w:rPr>
        <w:t>a</w:t>
      </w:r>
      <w:r w:rsidR="004756C1" w:rsidRPr="002F50BD">
        <w:rPr>
          <w:rFonts w:ascii="Verdana" w:hAnsi="Verdana"/>
          <w:sz w:val="20"/>
          <w:lang w:val="pt-BR"/>
        </w:rPr>
        <w:t>s</w:t>
      </w:r>
      <w:r w:rsidRPr="002F50BD">
        <w:rPr>
          <w:rFonts w:ascii="Verdana" w:hAnsi="Verdana"/>
          <w:sz w:val="20"/>
          <w:lang w:val="pt-BR"/>
        </w:rPr>
        <w:t xml:space="preserve"> </w:t>
      </w:r>
      <w:r w:rsidR="00CC31B6" w:rsidRPr="002F50BD">
        <w:rPr>
          <w:rFonts w:ascii="Verdana" w:hAnsi="Verdana"/>
          <w:sz w:val="20"/>
          <w:lang w:val="pt-BR"/>
        </w:rPr>
        <w:t>à margem da estrada</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 xml:space="preserve">Quando uma pessoa da Comunidade </w:t>
      </w:r>
      <w:r w:rsidR="004756C1" w:rsidRPr="002F50BD">
        <w:rPr>
          <w:rFonts w:ascii="Verdana" w:hAnsi="Verdana"/>
          <w:sz w:val="20"/>
          <w:lang w:val="pt-BR"/>
        </w:rPr>
        <w:t>falece, n</w:t>
      </w:r>
      <w:r w:rsidR="00CC31B6" w:rsidRPr="002F50BD">
        <w:rPr>
          <w:rFonts w:ascii="Verdana" w:hAnsi="Verdana"/>
          <w:sz w:val="20"/>
          <w:lang w:val="pt-BR"/>
        </w:rPr>
        <w:t>ã</w:t>
      </w:r>
      <w:r w:rsidR="004756C1" w:rsidRPr="002F50BD">
        <w:rPr>
          <w:rFonts w:ascii="Verdana" w:hAnsi="Verdana"/>
          <w:sz w:val="20"/>
          <w:lang w:val="pt-BR"/>
        </w:rPr>
        <w:t xml:space="preserve">o </w:t>
      </w:r>
      <w:r w:rsidR="004F64EE" w:rsidRPr="002F50BD">
        <w:rPr>
          <w:rFonts w:ascii="Verdana" w:hAnsi="Verdana"/>
          <w:sz w:val="20"/>
          <w:lang w:val="pt-BR"/>
        </w:rPr>
        <w:t>há</w:t>
      </w:r>
      <w:r w:rsidRPr="002F50BD">
        <w:rPr>
          <w:rFonts w:ascii="Verdana" w:hAnsi="Verdana"/>
          <w:sz w:val="20"/>
          <w:lang w:val="pt-BR"/>
        </w:rPr>
        <w:t xml:space="preserve"> outra </w:t>
      </w:r>
      <w:r w:rsidR="004756C1" w:rsidRPr="002F50BD">
        <w:rPr>
          <w:rFonts w:ascii="Verdana" w:hAnsi="Verdana"/>
          <w:sz w:val="20"/>
          <w:lang w:val="pt-BR"/>
        </w:rPr>
        <w:t xml:space="preserve">alternativa </w:t>
      </w:r>
      <w:r w:rsidR="004F64EE" w:rsidRPr="002F50BD">
        <w:rPr>
          <w:rFonts w:ascii="Verdana" w:hAnsi="Verdana"/>
          <w:sz w:val="20"/>
          <w:lang w:val="pt-BR"/>
        </w:rPr>
        <w:t>senão</w:t>
      </w:r>
      <w:r w:rsidR="00CC31B6" w:rsidRPr="002F50BD">
        <w:rPr>
          <w:rFonts w:ascii="Verdana" w:hAnsi="Verdana"/>
          <w:sz w:val="20"/>
          <w:lang w:val="pt-BR"/>
        </w:rPr>
        <w:t xml:space="preserve"> </w:t>
      </w:r>
      <w:r w:rsidR="004756C1" w:rsidRPr="002F50BD">
        <w:rPr>
          <w:rFonts w:ascii="Verdana" w:hAnsi="Verdana"/>
          <w:sz w:val="20"/>
          <w:lang w:val="pt-BR"/>
        </w:rPr>
        <w:t xml:space="preserve">enterrar </w:t>
      </w:r>
      <w:r w:rsidRPr="002F50BD">
        <w:rPr>
          <w:rFonts w:ascii="Verdana" w:hAnsi="Verdana"/>
          <w:sz w:val="20"/>
          <w:lang w:val="pt-BR"/>
        </w:rPr>
        <w:t xml:space="preserve">seus restos no </w:t>
      </w:r>
      <w:r w:rsidR="00CC31B6" w:rsidRPr="002F50BD">
        <w:rPr>
          <w:rFonts w:ascii="Verdana" w:hAnsi="Verdana"/>
          <w:sz w:val="20"/>
          <w:lang w:val="pt-BR"/>
        </w:rPr>
        <w:t xml:space="preserve">prado </w:t>
      </w:r>
      <w:r w:rsidRPr="002F50BD">
        <w:rPr>
          <w:rFonts w:ascii="Verdana" w:hAnsi="Verdana"/>
          <w:sz w:val="20"/>
          <w:lang w:val="pt-BR"/>
        </w:rPr>
        <w:t>alheio</w:t>
      </w:r>
      <w:r w:rsidR="004756C1" w:rsidRPr="002F50BD">
        <w:rPr>
          <w:rFonts w:ascii="Verdana" w:hAnsi="Verdana"/>
          <w:sz w:val="20"/>
          <w:lang w:val="pt-BR"/>
        </w:rPr>
        <w:t>, “porque</w:t>
      </w:r>
      <w:r w:rsidRPr="002F50BD">
        <w:rPr>
          <w:rFonts w:ascii="Verdana" w:hAnsi="Verdana"/>
          <w:sz w:val="20"/>
          <w:lang w:val="pt-BR"/>
        </w:rPr>
        <w:t xml:space="preserve"> ele</w:t>
      </w:r>
      <w:r w:rsidR="004756C1" w:rsidRPr="002F50BD">
        <w:rPr>
          <w:rFonts w:ascii="Verdana" w:hAnsi="Verdana"/>
          <w:sz w:val="20"/>
          <w:lang w:val="pt-BR"/>
        </w:rPr>
        <w:t>s</w:t>
      </w:r>
      <w:r w:rsidRPr="002F50BD">
        <w:rPr>
          <w:rFonts w:ascii="Verdana" w:hAnsi="Verdana"/>
          <w:sz w:val="20"/>
          <w:lang w:val="pt-BR"/>
        </w:rPr>
        <w:t xml:space="preserve"> são desse </w:t>
      </w:r>
      <w:r w:rsidR="004756C1" w:rsidRPr="002F50BD">
        <w:rPr>
          <w:rFonts w:ascii="Verdana" w:hAnsi="Verdana"/>
          <w:sz w:val="20"/>
          <w:lang w:val="pt-BR"/>
        </w:rPr>
        <w:t>lugar”.</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Seu esposo</w:t>
      </w:r>
      <w:r w:rsidR="004756C1" w:rsidRPr="002F50BD">
        <w:rPr>
          <w:rFonts w:ascii="Verdana" w:hAnsi="Verdana"/>
          <w:sz w:val="20"/>
          <w:lang w:val="pt-BR"/>
        </w:rPr>
        <w:t xml:space="preserve"> camin</w:t>
      </w:r>
      <w:r w:rsidR="00CC31B6" w:rsidRPr="002F50BD">
        <w:rPr>
          <w:rFonts w:ascii="Verdana" w:hAnsi="Verdana"/>
          <w:sz w:val="20"/>
          <w:lang w:val="pt-BR"/>
        </w:rPr>
        <w:t>h</w:t>
      </w:r>
      <w:r w:rsidR="004756C1" w:rsidRPr="002F50BD">
        <w:rPr>
          <w:rFonts w:ascii="Verdana" w:hAnsi="Verdana"/>
          <w:sz w:val="20"/>
          <w:lang w:val="pt-BR"/>
        </w:rPr>
        <w:t xml:space="preserve">a </w:t>
      </w:r>
      <w:r w:rsidRPr="002F50BD">
        <w:rPr>
          <w:rFonts w:ascii="Verdana" w:hAnsi="Verdana"/>
          <w:sz w:val="20"/>
          <w:lang w:val="pt-BR"/>
        </w:rPr>
        <w:t>várias</w:t>
      </w:r>
      <w:r w:rsidR="004756C1" w:rsidRPr="002F50BD">
        <w:rPr>
          <w:rFonts w:ascii="Verdana" w:hAnsi="Verdana"/>
          <w:sz w:val="20"/>
          <w:lang w:val="pt-BR"/>
        </w:rPr>
        <w:t xml:space="preserve"> horas para poder </w:t>
      </w:r>
      <w:r w:rsidR="00AB454A" w:rsidRPr="002F50BD">
        <w:rPr>
          <w:rFonts w:ascii="Verdana" w:hAnsi="Verdana"/>
          <w:sz w:val="20"/>
          <w:lang w:val="pt-BR"/>
        </w:rPr>
        <w:t>caça</w:t>
      </w:r>
      <w:r w:rsidR="004756C1" w:rsidRPr="002F50BD">
        <w:rPr>
          <w:rFonts w:ascii="Verdana" w:hAnsi="Verdana"/>
          <w:sz w:val="20"/>
          <w:lang w:val="pt-BR"/>
        </w:rPr>
        <w:t xml:space="preserve">r </w:t>
      </w:r>
      <w:r w:rsidRPr="002F50BD">
        <w:rPr>
          <w:rFonts w:ascii="Verdana" w:hAnsi="Verdana"/>
          <w:sz w:val="20"/>
          <w:lang w:val="pt-BR"/>
        </w:rPr>
        <w:t>animais</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Quando</w:t>
      </w:r>
      <w:r w:rsidR="004756C1" w:rsidRPr="002F50BD">
        <w:rPr>
          <w:rFonts w:ascii="Verdana" w:hAnsi="Verdana"/>
          <w:sz w:val="20"/>
          <w:lang w:val="pt-BR"/>
        </w:rPr>
        <w:t xml:space="preserve"> </w:t>
      </w:r>
      <w:r w:rsidR="00CC31B6" w:rsidRPr="002F50BD">
        <w:rPr>
          <w:rFonts w:ascii="Verdana" w:hAnsi="Verdana"/>
          <w:sz w:val="20"/>
          <w:lang w:val="pt-BR"/>
        </w:rPr>
        <w:t>chega</w:t>
      </w:r>
      <w:r w:rsidRPr="002F50BD">
        <w:rPr>
          <w:rFonts w:ascii="Verdana" w:hAnsi="Verdana"/>
          <w:sz w:val="20"/>
          <w:lang w:val="pt-BR"/>
        </w:rPr>
        <w:t xml:space="preserve"> ao </w:t>
      </w:r>
      <w:r w:rsidR="004756C1" w:rsidRPr="002F50BD">
        <w:rPr>
          <w:rFonts w:ascii="Verdana" w:hAnsi="Verdana"/>
          <w:sz w:val="20"/>
          <w:lang w:val="pt-BR"/>
        </w:rPr>
        <w:t xml:space="preserve">lugar, </w:t>
      </w:r>
      <w:r w:rsidR="00CC31B6" w:rsidRPr="002F50BD">
        <w:rPr>
          <w:rFonts w:ascii="Verdana" w:hAnsi="Verdana"/>
          <w:sz w:val="20"/>
          <w:lang w:val="pt-BR"/>
        </w:rPr>
        <w:t>permanece e do</w:t>
      </w:r>
      <w:r w:rsidR="004756C1" w:rsidRPr="002F50BD">
        <w:rPr>
          <w:rFonts w:ascii="Verdana" w:hAnsi="Verdana"/>
          <w:sz w:val="20"/>
          <w:lang w:val="pt-BR"/>
        </w:rPr>
        <w:t xml:space="preserve">rme </w:t>
      </w:r>
      <w:r w:rsidR="004076AD" w:rsidRPr="002F50BD">
        <w:rPr>
          <w:rFonts w:ascii="Verdana" w:hAnsi="Verdana"/>
          <w:sz w:val="20"/>
          <w:lang w:val="pt-BR"/>
        </w:rPr>
        <w:t>ali</w:t>
      </w:r>
      <w:r w:rsidR="004756C1" w:rsidRPr="002F50BD">
        <w:rPr>
          <w:rFonts w:ascii="Verdana" w:hAnsi="Verdana"/>
          <w:sz w:val="20"/>
          <w:lang w:val="pt-BR"/>
        </w:rPr>
        <w:t xml:space="preserve">. </w:t>
      </w:r>
      <w:r w:rsidR="00CC31B6" w:rsidRPr="002F50BD">
        <w:rPr>
          <w:rFonts w:ascii="Verdana" w:hAnsi="Verdana"/>
          <w:sz w:val="20"/>
          <w:lang w:val="pt-BR"/>
        </w:rPr>
        <w:t>S</w:t>
      </w:r>
      <w:r w:rsidRPr="002F50BD">
        <w:rPr>
          <w:rFonts w:ascii="Verdana" w:hAnsi="Verdana"/>
          <w:sz w:val="20"/>
          <w:lang w:val="pt-BR"/>
        </w:rPr>
        <w:t>e seu esposo</w:t>
      </w:r>
      <w:r w:rsidR="004756C1" w:rsidRPr="002F50BD">
        <w:rPr>
          <w:rFonts w:ascii="Verdana" w:hAnsi="Verdana"/>
          <w:sz w:val="20"/>
          <w:lang w:val="pt-BR"/>
        </w:rPr>
        <w:t xml:space="preserve"> </w:t>
      </w:r>
      <w:r w:rsidR="00CC31B6" w:rsidRPr="002F50BD">
        <w:rPr>
          <w:rFonts w:ascii="Verdana" w:hAnsi="Verdana"/>
          <w:sz w:val="20"/>
          <w:lang w:val="pt-BR"/>
        </w:rPr>
        <w:t>regressa</w:t>
      </w:r>
      <w:r w:rsidRPr="002F50BD">
        <w:rPr>
          <w:rFonts w:ascii="Verdana" w:hAnsi="Verdana"/>
          <w:sz w:val="20"/>
          <w:lang w:val="pt-BR"/>
        </w:rPr>
        <w:t xml:space="preserve"> e </w:t>
      </w:r>
      <w:r w:rsidR="004756C1" w:rsidRPr="002F50BD">
        <w:rPr>
          <w:rFonts w:ascii="Verdana" w:hAnsi="Verdana"/>
          <w:sz w:val="20"/>
          <w:lang w:val="pt-BR"/>
        </w:rPr>
        <w:t>tra</w:t>
      </w:r>
      <w:r w:rsidR="00CC31B6" w:rsidRPr="002F50BD">
        <w:rPr>
          <w:rFonts w:ascii="Verdana" w:hAnsi="Verdana"/>
          <w:sz w:val="20"/>
          <w:lang w:val="pt-BR"/>
        </w:rPr>
        <w:t>z</w:t>
      </w:r>
      <w:r w:rsidR="004756C1" w:rsidRPr="002F50BD">
        <w:rPr>
          <w:rFonts w:ascii="Verdana" w:hAnsi="Verdana"/>
          <w:sz w:val="20"/>
          <w:lang w:val="pt-BR"/>
        </w:rPr>
        <w:t xml:space="preserve"> alimento,</w:t>
      </w:r>
      <w:r w:rsidRPr="002F50BD">
        <w:rPr>
          <w:rFonts w:ascii="Verdana" w:hAnsi="Verdana"/>
          <w:sz w:val="20"/>
          <w:lang w:val="pt-BR"/>
        </w:rPr>
        <w:t xml:space="preserve"> a testemunha</w:t>
      </w:r>
      <w:r w:rsidR="004756C1" w:rsidRPr="002F50BD">
        <w:rPr>
          <w:rFonts w:ascii="Verdana" w:hAnsi="Verdana"/>
          <w:sz w:val="20"/>
          <w:lang w:val="pt-BR"/>
        </w:rPr>
        <w:t xml:space="preserve">, como </w:t>
      </w:r>
      <w:r w:rsidRPr="002F50BD">
        <w:rPr>
          <w:rFonts w:ascii="Verdana" w:hAnsi="Verdana"/>
          <w:sz w:val="20"/>
          <w:lang w:val="pt-BR"/>
        </w:rPr>
        <w:t>mulher</w:t>
      </w:r>
      <w:r w:rsidR="004756C1" w:rsidRPr="002F50BD">
        <w:rPr>
          <w:rFonts w:ascii="Verdana" w:hAnsi="Verdana"/>
          <w:sz w:val="20"/>
          <w:lang w:val="pt-BR"/>
        </w:rPr>
        <w:t>, descansa.</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CC31B6" w:rsidRPr="002F50BD">
        <w:rPr>
          <w:rFonts w:ascii="Verdana" w:hAnsi="Verdana"/>
          <w:sz w:val="20"/>
          <w:lang w:val="pt-BR"/>
        </w:rPr>
        <w:t xml:space="preserve">foi colocada </w:t>
      </w:r>
      <w:r w:rsidRPr="002F50BD">
        <w:rPr>
          <w:rFonts w:ascii="Verdana" w:hAnsi="Verdana"/>
          <w:sz w:val="20"/>
          <w:lang w:val="pt-BR"/>
        </w:rPr>
        <w:t>uma pessoa</w:t>
      </w:r>
      <w:r w:rsidR="004756C1" w:rsidRPr="002F50BD">
        <w:rPr>
          <w:rFonts w:ascii="Verdana" w:hAnsi="Verdana"/>
          <w:sz w:val="20"/>
          <w:lang w:val="pt-BR"/>
        </w:rPr>
        <w:t xml:space="preserve"> como</w:t>
      </w:r>
      <w:r w:rsidRPr="002F50BD">
        <w:rPr>
          <w:rFonts w:ascii="Verdana" w:hAnsi="Verdana"/>
          <w:sz w:val="20"/>
          <w:lang w:val="pt-BR"/>
        </w:rPr>
        <w:t xml:space="preserve"> o </w:t>
      </w:r>
      <w:r w:rsidR="004756C1" w:rsidRPr="002F50BD">
        <w:rPr>
          <w:rFonts w:ascii="Verdana" w:hAnsi="Verdana"/>
          <w:sz w:val="20"/>
          <w:lang w:val="pt-BR"/>
        </w:rPr>
        <w:t xml:space="preserve">matador </w:t>
      </w:r>
      <w:r w:rsidRPr="002F50BD">
        <w:rPr>
          <w:rFonts w:ascii="Verdana" w:hAnsi="Verdana"/>
          <w:sz w:val="20"/>
          <w:lang w:val="pt-BR"/>
        </w:rPr>
        <w:t xml:space="preserve">do </w:t>
      </w:r>
      <w:r w:rsidR="004756C1" w:rsidRPr="002F50BD">
        <w:rPr>
          <w:rFonts w:ascii="Verdana" w:hAnsi="Verdana"/>
          <w:sz w:val="20"/>
          <w:lang w:val="pt-BR"/>
        </w:rPr>
        <w:t xml:space="preserve">lugar, </w:t>
      </w:r>
      <w:r w:rsidRPr="002F50BD">
        <w:rPr>
          <w:rFonts w:ascii="Verdana" w:hAnsi="Verdana"/>
          <w:sz w:val="20"/>
          <w:lang w:val="pt-BR"/>
        </w:rPr>
        <w:t xml:space="preserve">que </w:t>
      </w:r>
      <w:r w:rsidR="00CC31B6" w:rsidRPr="002F50BD">
        <w:rPr>
          <w:rFonts w:ascii="Verdana" w:hAnsi="Verdana"/>
          <w:sz w:val="20"/>
          <w:lang w:val="pt-BR"/>
        </w:rPr>
        <w:t xml:space="preserve">costuma percorrer </w:t>
      </w:r>
      <w:r w:rsidRPr="002F50BD">
        <w:rPr>
          <w:rFonts w:ascii="Verdana" w:hAnsi="Verdana"/>
          <w:sz w:val="20"/>
          <w:lang w:val="pt-BR"/>
        </w:rPr>
        <w:t xml:space="preserve">o </w:t>
      </w:r>
      <w:r w:rsidR="004756C1" w:rsidRPr="002F50BD">
        <w:rPr>
          <w:rFonts w:ascii="Verdana" w:hAnsi="Verdana"/>
          <w:sz w:val="20"/>
          <w:lang w:val="pt-BR"/>
        </w:rPr>
        <w:t>alambrado</w:t>
      </w:r>
      <w:r w:rsidRPr="002F50BD">
        <w:rPr>
          <w:rFonts w:ascii="Verdana" w:hAnsi="Verdana"/>
          <w:sz w:val="20"/>
          <w:lang w:val="pt-BR"/>
        </w:rPr>
        <w:t xml:space="preserve"> com uma </w:t>
      </w:r>
      <w:r w:rsidR="004756C1" w:rsidRPr="002F50BD">
        <w:rPr>
          <w:rFonts w:ascii="Verdana" w:hAnsi="Verdana"/>
          <w:sz w:val="20"/>
          <w:lang w:val="pt-BR"/>
        </w:rPr>
        <w:t xml:space="preserve">escopeta </w:t>
      </w:r>
      <w:r w:rsidRPr="002F50BD">
        <w:rPr>
          <w:rFonts w:ascii="Verdana" w:hAnsi="Verdana"/>
          <w:sz w:val="20"/>
          <w:lang w:val="pt-BR"/>
        </w:rPr>
        <w:t>ameaça</w:t>
      </w:r>
      <w:r w:rsidR="004756C1" w:rsidRPr="002F50BD">
        <w:rPr>
          <w:rFonts w:ascii="Verdana" w:hAnsi="Verdana"/>
          <w:sz w:val="20"/>
          <w:lang w:val="pt-BR"/>
        </w:rPr>
        <w:t>ndo</w:t>
      </w:r>
      <w:r w:rsidRPr="002F50BD">
        <w:rPr>
          <w:rFonts w:ascii="Verdana" w:hAnsi="Verdana"/>
          <w:sz w:val="20"/>
          <w:lang w:val="pt-BR"/>
        </w:rPr>
        <w:t xml:space="preserve"> </w:t>
      </w:r>
      <w:r w:rsidR="005A6BC7" w:rsidRPr="002F50BD">
        <w:rPr>
          <w:rFonts w:ascii="Verdana" w:hAnsi="Verdana"/>
          <w:sz w:val="20"/>
          <w:lang w:val="pt-BR"/>
        </w:rPr>
        <w:t>as crianças</w:t>
      </w:r>
      <w:r w:rsidRPr="002F50BD">
        <w:rPr>
          <w:rFonts w:ascii="Verdana" w:hAnsi="Verdana"/>
          <w:sz w:val="20"/>
          <w:lang w:val="pt-BR"/>
        </w:rPr>
        <w:t xml:space="preserve"> e </w:t>
      </w:r>
      <w:r w:rsidR="00CC31B6" w:rsidRPr="002F50BD">
        <w:rPr>
          <w:rFonts w:ascii="Verdana" w:hAnsi="Verdana"/>
          <w:sz w:val="20"/>
          <w:lang w:val="pt-BR"/>
        </w:rPr>
        <w:t>a</w:t>
      </w:r>
      <w:r w:rsidRPr="002F50BD">
        <w:rPr>
          <w:rFonts w:ascii="Verdana" w:hAnsi="Verdana"/>
          <w:sz w:val="20"/>
          <w:lang w:val="pt-BR"/>
        </w:rPr>
        <w:t>s mulher</w:t>
      </w:r>
      <w:r w:rsidR="004756C1" w:rsidRPr="002F50BD">
        <w:rPr>
          <w:rFonts w:ascii="Verdana" w:hAnsi="Verdana"/>
          <w:sz w:val="20"/>
          <w:lang w:val="pt-BR"/>
        </w:rPr>
        <w:t xml:space="preserve">es, porque </w:t>
      </w:r>
      <w:r w:rsidRPr="002F50BD">
        <w:rPr>
          <w:rFonts w:ascii="Verdana" w:hAnsi="Verdana"/>
          <w:sz w:val="20"/>
          <w:lang w:val="pt-BR"/>
        </w:rPr>
        <w:t xml:space="preserve">tem a ordem </w:t>
      </w:r>
      <w:r w:rsidR="004756C1" w:rsidRPr="002F50BD">
        <w:rPr>
          <w:rFonts w:ascii="Verdana" w:hAnsi="Verdana"/>
          <w:sz w:val="20"/>
          <w:lang w:val="pt-BR"/>
        </w:rPr>
        <w:t>de n</w:t>
      </w:r>
      <w:r w:rsidR="00CC31B6"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deixar</w:t>
      </w:r>
      <w:r w:rsidR="004756C1" w:rsidRPr="002F50BD">
        <w:rPr>
          <w:rFonts w:ascii="Verdana" w:hAnsi="Verdana"/>
          <w:sz w:val="20"/>
          <w:lang w:val="pt-BR"/>
        </w:rPr>
        <w:t xml:space="preserve"> </w:t>
      </w:r>
      <w:r w:rsidR="00CC31B6" w:rsidRPr="002F50BD">
        <w:rPr>
          <w:rFonts w:ascii="Verdana" w:hAnsi="Verdana"/>
          <w:sz w:val="20"/>
          <w:lang w:val="pt-BR"/>
        </w:rPr>
        <w:t>as</w:t>
      </w:r>
      <w:r w:rsidRPr="002F50BD">
        <w:rPr>
          <w:rFonts w:ascii="Verdana" w:hAnsi="Verdana"/>
          <w:sz w:val="20"/>
          <w:lang w:val="pt-BR"/>
        </w:rPr>
        <w:t xml:space="preserve"> pessoa</w:t>
      </w:r>
      <w:r w:rsidR="004756C1" w:rsidRPr="002F50BD">
        <w:rPr>
          <w:rFonts w:ascii="Verdana" w:hAnsi="Verdana"/>
          <w:sz w:val="20"/>
          <w:lang w:val="pt-BR"/>
        </w:rPr>
        <w:t xml:space="preserve">s </w:t>
      </w:r>
      <w:r w:rsidR="00CC31B6" w:rsidRPr="002F50BD">
        <w:rPr>
          <w:rFonts w:ascii="Verdana" w:hAnsi="Verdana"/>
          <w:sz w:val="20"/>
          <w:lang w:val="pt-BR"/>
        </w:rPr>
        <w:t xml:space="preserve">entrarem para retirar </w:t>
      </w:r>
      <w:r w:rsidR="00313394" w:rsidRPr="002F50BD">
        <w:rPr>
          <w:rFonts w:ascii="Verdana" w:hAnsi="Verdana"/>
          <w:sz w:val="20"/>
          <w:lang w:val="pt-BR"/>
        </w:rPr>
        <w:t>lenha</w:t>
      </w:r>
      <w:r w:rsidRPr="002F50BD">
        <w:rPr>
          <w:rFonts w:ascii="Verdana" w:hAnsi="Verdana"/>
          <w:sz w:val="20"/>
          <w:lang w:val="pt-BR"/>
        </w:rPr>
        <w:t xml:space="preserve"> nem</w:t>
      </w:r>
      <w:r w:rsidR="00475EBB" w:rsidRPr="002F50BD">
        <w:rPr>
          <w:rFonts w:ascii="Verdana" w:hAnsi="Verdana"/>
          <w:sz w:val="20"/>
          <w:lang w:val="pt-BR"/>
        </w:rPr>
        <w:t xml:space="preserve"> água</w:t>
      </w:r>
      <w:r w:rsidR="00AB454A" w:rsidRPr="002F50BD">
        <w:rPr>
          <w:rFonts w:ascii="Verdana" w:hAnsi="Verdana"/>
          <w:sz w:val="20"/>
          <w:lang w:val="pt-BR"/>
        </w:rPr>
        <w:t xml:space="preserve">. A </w:t>
      </w:r>
      <w:r w:rsidRPr="002F50BD">
        <w:rPr>
          <w:rFonts w:ascii="Verdana" w:hAnsi="Verdana"/>
          <w:sz w:val="20"/>
          <w:lang w:val="pt-BR"/>
        </w:rPr>
        <w:t xml:space="preserve">testemunha é a </w:t>
      </w:r>
      <w:r w:rsidR="004756C1" w:rsidRPr="002F50BD">
        <w:rPr>
          <w:rFonts w:ascii="Verdana" w:hAnsi="Verdana"/>
          <w:sz w:val="20"/>
          <w:lang w:val="pt-BR"/>
        </w:rPr>
        <w:t xml:space="preserve">única que </w:t>
      </w:r>
      <w:r w:rsidRPr="002F50BD">
        <w:rPr>
          <w:rFonts w:ascii="Verdana" w:hAnsi="Verdana"/>
          <w:sz w:val="20"/>
          <w:lang w:val="pt-BR"/>
        </w:rPr>
        <w:t>pode</w:t>
      </w:r>
      <w:r w:rsidR="004756C1" w:rsidRPr="002F50BD">
        <w:rPr>
          <w:rFonts w:ascii="Verdana" w:hAnsi="Verdana"/>
          <w:sz w:val="20"/>
          <w:lang w:val="pt-BR"/>
        </w:rPr>
        <w:t xml:space="preserve"> </w:t>
      </w:r>
      <w:r w:rsidR="00CC31B6" w:rsidRPr="002F50BD">
        <w:rPr>
          <w:rFonts w:ascii="Verdana" w:hAnsi="Verdana"/>
          <w:sz w:val="20"/>
          <w:lang w:val="pt-BR"/>
        </w:rPr>
        <w:t xml:space="preserve">se </w:t>
      </w:r>
      <w:r w:rsidR="004756C1" w:rsidRPr="002F50BD">
        <w:rPr>
          <w:rFonts w:ascii="Verdana" w:hAnsi="Verdana"/>
          <w:sz w:val="20"/>
          <w:lang w:val="pt-BR"/>
        </w:rPr>
        <w:t>“</w:t>
      </w:r>
      <w:r w:rsidR="00CC31B6" w:rsidRPr="002F50BD">
        <w:rPr>
          <w:rFonts w:ascii="Verdana" w:hAnsi="Verdana"/>
          <w:sz w:val="20"/>
          <w:lang w:val="pt-BR"/>
        </w:rPr>
        <w:t>aproximar do senhor</w:t>
      </w:r>
      <w:r w:rsidR="004756C1" w:rsidRPr="002F50BD">
        <w:rPr>
          <w:rFonts w:ascii="Verdana" w:hAnsi="Verdana"/>
          <w:sz w:val="20"/>
          <w:lang w:val="pt-BR"/>
        </w:rPr>
        <w:t xml:space="preserve">” </w:t>
      </w:r>
      <w:r w:rsidRPr="002F50BD">
        <w:rPr>
          <w:rFonts w:ascii="Verdana" w:hAnsi="Verdana"/>
          <w:sz w:val="20"/>
          <w:lang w:val="pt-BR"/>
        </w:rPr>
        <w:t>quando é necessári</w:t>
      </w:r>
      <w:r w:rsidR="004756C1" w:rsidRPr="002F50BD">
        <w:rPr>
          <w:rFonts w:ascii="Verdana" w:hAnsi="Verdana"/>
          <w:sz w:val="20"/>
          <w:lang w:val="pt-BR"/>
        </w:rPr>
        <w:t xml:space="preserve">o que se </w:t>
      </w:r>
      <w:r w:rsidR="00CC31B6" w:rsidRPr="002F50BD">
        <w:rPr>
          <w:rFonts w:ascii="Verdana" w:hAnsi="Verdana"/>
          <w:sz w:val="20"/>
          <w:lang w:val="pt-BR"/>
        </w:rPr>
        <w:t xml:space="preserve">esclareça </w:t>
      </w:r>
      <w:r w:rsidR="004756C1" w:rsidRPr="002F50BD">
        <w:rPr>
          <w:rFonts w:ascii="Verdana" w:hAnsi="Verdana"/>
          <w:sz w:val="20"/>
          <w:lang w:val="pt-BR"/>
        </w:rPr>
        <w:t>algo,</w:t>
      </w:r>
      <w:r w:rsidRPr="002F50BD">
        <w:rPr>
          <w:rFonts w:ascii="Verdana" w:hAnsi="Verdana"/>
          <w:sz w:val="20"/>
          <w:lang w:val="pt-BR"/>
        </w:rPr>
        <w:t xml:space="preserve"> </w:t>
      </w:r>
      <w:r w:rsidR="00CC31B6" w:rsidRPr="002F50BD">
        <w:rPr>
          <w:rFonts w:ascii="Verdana" w:hAnsi="Verdana"/>
          <w:sz w:val="20"/>
          <w:lang w:val="pt-BR"/>
        </w:rPr>
        <w:t xml:space="preserve">de modo </w:t>
      </w:r>
      <w:r w:rsidRPr="002F50BD">
        <w:rPr>
          <w:rFonts w:ascii="Verdana" w:hAnsi="Verdana"/>
          <w:sz w:val="20"/>
          <w:lang w:val="pt-BR"/>
        </w:rPr>
        <w:t>que também</w:t>
      </w:r>
      <w:r w:rsidR="004756C1" w:rsidRPr="002F50BD">
        <w:rPr>
          <w:rFonts w:ascii="Verdana" w:hAnsi="Verdana"/>
          <w:sz w:val="20"/>
          <w:lang w:val="pt-BR"/>
        </w:rPr>
        <w:t xml:space="preserve"> </w:t>
      </w:r>
      <w:r w:rsidR="004076AD" w:rsidRPr="002F50BD">
        <w:rPr>
          <w:rFonts w:ascii="Verdana" w:hAnsi="Verdana"/>
          <w:sz w:val="20"/>
          <w:lang w:val="pt-BR"/>
        </w:rPr>
        <w:t>receb</w:t>
      </w:r>
      <w:r w:rsidR="00CC31B6" w:rsidRPr="002F50BD">
        <w:rPr>
          <w:rFonts w:ascii="Verdana" w:hAnsi="Verdana"/>
          <w:sz w:val="20"/>
          <w:lang w:val="pt-BR"/>
        </w:rPr>
        <w:t>eu</w:t>
      </w:r>
      <w:r w:rsidR="004756C1" w:rsidRPr="002F50BD">
        <w:rPr>
          <w:rFonts w:ascii="Verdana" w:hAnsi="Verdana"/>
          <w:sz w:val="20"/>
          <w:lang w:val="pt-BR"/>
        </w:rPr>
        <w:t xml:space="preserve"> </w:t>
      </w:r>
      <w:r w:rsidRPr="002F50BD">
        <w:rPr>
          <w:rFonts w:ascii="Verdana" w:hAnsi="Verdana"/>
          <w:sz w:val="20"/>
          <w:lang w:val="pt-BR"/>
        </w:rPr>
        <w:t>ameaça</w:t>
      </w:r>
      <w:r w:rsidR="004756C1" w:rsidRPr="002F50BD">
        <w:rPr>
          <w:rFonts w:ascii="Verdana" w:hAnsi="Verdana"/>
          <w:sz w:val="20"/>
          <w:lang w:val="pt-BR"/>
        </w:rPr>
        <w:t>s.</w:t>
      </w:r>
    </w:p>
    <w:p w:rsidR="004756C1" w:rsidRPr="002F50BD" w:rsidRDefault="0089298C">
      <w:pPr>
        <w:jc w:val="both"/>
        <w:rPr>
          <w:rFonts w:ascii="Verdana" w:hAnsi="Verdana"/>
          <w:sz w:val="20"/>
          <w:lang w:val="pt-BR"/>
        </w:rPr>
      </w:pPr>
      <w:r w:rsidRPr="002F50BD">
        <w:rPr>
          <w:rFonts w:ascii="Verdana" w:hAnsi="Verdana"/>
          <w:sz w:val="20"/>
          <w:lang w:val="pt-BR"/>
        </w:rPr>
        <w:cr/>
        <w:t xml:space="preserve">A Comunidade </w:t>
      </w:r>
      <w:r w:rsidR="004F64EE" w:rsidRPr="002F50BD">
        <w:rPr>
          <w:rFonts w:ascii="Verdana" w:hAnsi="Verdana"/>
          <w:sz w:val="20"/>
          <w:lang w:val="pt-BR"/>
        </w:rPr>
        <w:t>está esperando que</w:t>
      </w:r>
      <w:r w:rsidR="004756C1" w:rsidRPr="002F50BD">
        <w:rPr>
          <w:rFonts w:ascii="Verdana" w:hAnsi="Verdana"/>
          <w:sz w:val="20"/>
          <w:lang w:val="pt-BR"/>
        </w:rPr>
        <w:t xml:space="preserve"> </w:t>
      </w:r>
      <w:r w:rsidR="00CC31B6" w:rsidRPr="002F50BD">
        <w:rPr>
          <w:rFonts w:ascii="Verdana" w:hAnsi="Verdana"/>
          <w:sz w:val="20"/>
          <w:lang w:val="pt-BR"/>
        </w:rPr>
        <w:t xml:space="preserve">a terra seja devolvida </w:t>
      </w:r>
      <w:r w:rsidR="004756C1" w:rsidRPr="002F50BD">
        <w:rPr>
          <w:rFonts w:ascii="Verdana" w:hAnsi="Verdana"/>
          <w:sz w:val="20"/>
          <w:lang w:val="pt-BR"/>
        </w:rPr>
        <w:t xml:space="preserve">para poder </w:t>
      </w:r>
      <w:r w:rsidRPr="002F50BD">
        <w:rPr>
          <w:rFonts w:ascii="Verdana" w:hAnsi="Verdana"/>
          <w:sz w:val="20"/>
          <w:lang w:val="pt-BR"/>
        </w:rPr>
        <w:t>trabalh</w:t>
      </w:r>
      <w:r w:rsidR="004756C1" w:rsidRPr="002F50BD">
        <w:rPr>
          <w:rFonts w:ascii="Verdana" w:hAnsi="Verdana"/>
          <w:sz w:val="20"/>
          <w:lang w:val="pt-BR"/>
        </w:rPr>
        <w:t>ar</w:t>
      </w:r>
      <w:r w:rsidRPr="002F50BD">
        <w:rPr>
          <w:rFonts w:ascii="Verdana" w:hAnsi="Verdana"/>
          <w:sz w:val="20"/>
          <w:lang w:val="pt-BR"/>
        </w:rPr>
        <w:t xml:space="preserve"> e </w:t>
      </w:r>
      <w:r w:rsidR="004756C1" w:rsidRPr="002F50BD">
        <w:rPr>
          <w:rFonts w:ascii="Verdana" w:hAnsi="Verdana"/>
          <w:sz w:val="20"/>
          <w:lang w:val="pt-BR"/>
        </w:rPr>
        <w:t>cultivar</w:t>
      </w:r>
      <w:r w:rsidR="00AB454A" w:rsidRPr="002F50BD">
        <w:rPr>
          <w:rFonts w:ascii="Verdana" w:hAnsi="Verdana"/>
          <w:sz w:val="20"/>
          <w:lang w:val="pt-BR"/>
        </w:rPr>
        <w:t xml:space="preserve">. A </w:t>
      </w:r>
      <w:r w:rsidRPr="002F50BD">
        <w:rPr>
          <w:rFonts w:ascii="Verdana" w:hAnsi="Verdana"/>
          <w:sz w:val="20"/>
          <w:lang w:val="pt-BR"/>
        </w:rPr>
        <w:t>testemunha</w:t>
      </w:r>
      <w:r w:rsidR="004756C1" w:rsidRPr="002F50BD">
        <w:rPr>
          <w:rFonts w:ascii="Verdana" w:hAnsi="Verdana"/>
          <w:sz w:val="20"/>
          <w:lang w:val="pt-BR"/>
        </w:rPr>
        <w:t xml:space="preserve"> espera que </w:t>
      </w:r>
      <w:r w:rsidR="00E7595C" w:rsidRPr="002F50BD">
        <w:rPr>
          <w:rFonts w:ascii="Verdana" w:hAnsi="Verdana"/>
          <w:sz w:val="20"/>
          <w:lang w:val="pt-BR"/>
        </w:rPr>
        <w:t>seus filhos</w:t>
      </w:r>
      <w:r w:rsidR="004756C1" w:rsidRPr="002F50BD">
        <w:rPr>
          <w:rFonts w:ascii="Verdana" w:hAnsi="Verdana"/>
          <w:sz w:val="20"/>
          <w:lang w:val="pt-BR"/>
        </w:rPr>
        <w:t xml:space="preserve"> </w:t>
      </w:r>
      <w:r w:rsidRPr="002F50BD">
        <w:rPr>
          <w:rFonts w:ascii="Verdana" w:hAnsi="Verdana"/>
          <w:sz w:val="20"/>
          <w:lang w:val="pt-BR"/>
        </w:rPr>
        <w:t xml:space="preserve">tenham </w:t>
      </w:r>
      <w:r w:rsidR="004756C1" w:rsidRPr="002F50BD">
        <w:rPr>
          <w:rFonts w:ascii="Verdana" w:hAnsi="Verdana"/>
          <w:sz w:val="20"/>
          <w:lang w:val="pt-BR"/>
        </w:rPr>
        <w:t>su</w:t>
      </w:r>
      <w:r w:rsidR="00CC31B6"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própria terra</w:t>
      </w:r>
      <w:r w:rsidR="004756C1" w:rsidRPr="002F50BD">
        <w:rPr>
          <w:rFonts w:ascii="Verdana" w:hAnsi="Verdana"/>
          <w:sz w:val="20"/>
          <w:lang w:val="pt-BR"/>
        </w:rPr>
        <w:t xml:space="preserve"> para que </w:t>
      </w:r>
      <w:r w:rsidR="00AB454A" w:rsidRPr="002F50BD">
        <w:rPr>
          <w:rFonts w:ascii="Verdana" w:hAnsi="Verdana"/>
          <w:sz w:val="20"/>
          <w:lang w:val="pt-BR"/>
        </w:rPr>
        <w:t>possam</w:t>
      </w:r>
      <w:r w:rsidR="004756C1" w:rsidRPr="002F50BD">
        <w:rPr>
          <w:rFonts w:ascii="Verdana" w:hAnsi="Verdana"/>
          <w:sz w:val="20"/>
          <w:lang w:val="pt-BR"/>
        </w:rPr>
        <w:t xml:space="preserve"> </w:t>
      </w:r>
      <w:r w:rsidRPr="002F50BD">
        <w:rPr>
          <w:rFonts w:ascii="Verdana" w:hAnsi="Verdana"/>
          <w:sz w:val="20"/>
          <w:lang w:val="pt-BR"/>
        </w:rPr>
        <w:t>viver</w:t>
      </w:r>
      <w:r w:rsidR="004756C1" w:rsidRPr="002F50BD">
        <w:rPr>
          <w:rFonts w:ascii="Verdana" w:hAnsi="Verdana"/>
          <w:sz w:val="20"/>
          <w:lang w:val="pt-BR"/>
        </w:rPr>
        <w:t xml:space="preserve"> tranquilos.</w:t>
      </w:r>
    </w:p>
    <w:p w:rsidR="004756C1" w:rsidRPr="002F50BD" w:rsidRDefault="004756C1">
      <w:pPr>
        <w:rPr>
          <w:rFonts w:ascii="Verdana" w:hAnsi="Verdana"/>
          <w:sz w:val="20"/>
          <w:lang w:val="pt-BR"/>
        </w:rPr>
      </w:pPr>
    </w:p>
    <w:p w:rsidR="004756C1" w:rsidRPr="002F50BD" w:rsidRDefault="004756C1">
      <w:pPr>
        <w:ind w:left="720"/>
        <w:rPr>
          <w:rFonts w:ascii="Verdana" w:hAnsi="Verdana"/>
          <w:sz w:val="20"/>
          <w:lang w:val="pt-BR"/>
        </w:rPr>
      </w:pPr>
      <w:r w:rsidRPr="002F50BD">
        <w:rPr>
          <w:rFonts w:ascii="Verdana" w:hAnsi="Verdana"/>
          <w:b/>
          <w:sz w:val="20"/>
          <w:lang w:val="pt-BR"/>
        </w:rPr>
        <w:t>d.</w:t>
      </w:r>
      <w:r w:rsidRPr="002F50BD">
        <w:rPr>
          <w:rFonts w:ascii="Verdana" w:hAnsi="Verdana"/>
          <w:b/>
          <w:sz w:val="20"/>
          <w:lang w:val="pt-BR"/>
        </w:rPr>
        <w:tab/>
        <w:t xml:space="preserve">Stephen William Kidd, </w:t>
      </w:r>
      <w:r w:rsidR="0089298C" w:rsidRPr="002F50BD">
        <w:rPr>
          <w:rFonts w:ascii="Verdana" w:hAnsi="Verdana"/>
          <w:b/>
          <w:sz w:val="20"/>
          <w:lang w:val="pt-BR"/>
        </w:rPr>
        <w:t>testemunha</w:t>
      </w:r>
    </w:p>
    <w:p w:rsidR="004756C1" w:rsidRPr="002F50BD" w:rsidRDefault="004756C1">
      <w:pPr>
        <w:jc w:val="both"/>
        <w:rPr>
          <w:rFonts w:ascii="Verdana" w:hAnsi="Verdana"/>
          <w:sz w:val="20"/>
          <w:lang w:val="pt-BR"/>
        </w:rPr>
      </w:pPr>
    </w:p>
    <w:p w:rsidR="004756C1" w:rsidRPr="002F50BD" w:rsidRDefault="00CC31B6">
      <w:pPr>
        <w:jc w:val="both"/>
        <w:rPr>
          <w:rFonts w:ascii="Verdana" w:hAnsi="Verdana"/>
          <w:sz w:val="20"/>
          <w:lang w:val="pt-BR"/>
        </w:rPr>
      </w:pPr>
      <w:r w:rsidRPr="002F50BD">
        <w:rPr>
          <w:rFonts w:ascii="Verdana" w:hAnsi="Verdana"/>
          <w:sz w:val="20"/>
          <w:lang w:val="pt-BR"/>
        </w:rPr>
        <w:t xml:space="preserve">Mudou-se para o </w:t>
      </w:r>
      <w:r w:rsidR="0089298C" w:rsidRPr="002F50BD">
        <w:rPr>
          <w:rFonts w:ascii="Verdana" w:hAnsi="Verdana"/>
          <w:sz w:val="20"/>
          <w:lang w:val="pt-BR"/>
        </w:rPr>
        <w:t xml:space="preserve">Paraguai no ano </w:t>
      </w:r>
      <w:r w:rsidRPr="002F50BD">
        <w:rPr>
          <w:rFonts w:ascii="Verdana" w:hAnsi="Verdana"/>
          <w:sz w:val="20"/>
          <w:lang w:val="pt-BR"/>
        </w:rPr>
        <w:t xml:space="preserve">de </w:t>
      </w:r>
      <w:r w:rsidR="00063B47" w:rsidRPr="002F50BD">
        <w:rPr>
          <w:rFonts w:ascii="Verdana" w:hAnsi="Verdana"/>
          <w:sz w:val="20"/>
          <w:lang w:val="pt-BR"/>
        </w:rPr>
        <w:t>1984</w:t>
      </w:r>
      <w:r w:rsidR="004756C1" w:rsidRPr="002F50BD">
        <w:rPr>
          <w:rFonts w:ascii="Verdana" w:hAnsi="Verdana"/>
          <w:sz w:val="20"/>
          <w:lang w:val="pt-BR"/>
        </w:rPr>
        <w:t xml:space="preserve"> para </w:t>
      </w:r>
      <w:r w:rsidR="0089298C" w:rsidRPr="002F50BD">
        <w:rPr>
          <w:rFonts w:ascii="Verdana" w:hAnsi="Verdana"/>
          <w:sz w:val="20"/>
          <w:lang w:val="pt-BR"/>
        </w:rPr>
        <w:t>trabalh</w:t>
      </w:r>
      <w:r w:rsidR="004756C1" w:rsidRPr="002F50BD">
        <w:rPr>
          <w:rFonts w:ascii="Verdana" w:hAnsi="Verdana"/>
          <w:sz w:val="20"/>
          <w:lang w:val="pt-BR"/>
        </w:rPr>
        <w:t>ar</w:t>
      </w:r>
      <w:r w:rsidR="0089298C" w:rsidRPr="002F50BD">
        <w:rPr>
          <w:rFonts w:ascii="Verdana" w:hAnsi="Verdana"/>
          <w:sz w:val="20"/>
          <w:lang w:val="pt-BR"/>
        </w:rPr>
        <w:t xml:space="preserve"> em um projeto</w:t>
      </w:r>
      <w:r w:rsidR="004756C1" w:rsidRPr="002F50BD">
        <w:rPr>
          <w:rFonts w:ascii="Verdana" w:hAnsi="Verdana"/>
          <w:sz w:val="20"/>
          <w:lang w:val="pt-BR"/>
        </w:rPr>
        <w:t xml:space="preserve"> de </w:t>
      </w:r>
      <w:r w:rsidR="00AB454A" w:rsidRPr="002F50BD">
        <w:rPr>
          <w:rFonts w:ascii="Verdana" w:hAnsi="Verdana"/>
          <w:sz w:val="20"/>
          <w:lang w:val="pt-BR"/>
        </w:rPr>
        <w:t>assentamento</w:t>
      </w:r>
      <w:r w:rsidR="004756C1" w:rsidRPr="002F50BD">
        <w:rPr>
          <w:rFonts w:ascii="Verdana" w:hAnsi="Verdana"/>
          <w:sz w:val="20"/>
          <w:lang w:val="pt-BR"/>
        </w:rPr>
        <w:t>s indígenas</w:t>
      </w:r>
      <w:r w:rsidR="0089298C" w:rsidRPr="002F50BD">
        <w:rPr>
          <w:rFonts w:ascii="Verdana" w:hAnsi="Verdana"/>
          <w:sz w:val="20"/>
          <w:lang w:val="pt-BR"/>
        </w:rPr>
        <w:t xml:space="preserve"> da igreja</w:t>
      </w:r>
      <w:r w:rsidR="004756C1" w:rsidRPr="002F50BD">
        <w:rPr>
          <w:rFonts w:ascii="Verdana" w:hAnsi="Verdana"/>
          <w:sz w:val="20"/>
          <w:lang w:val="pt-BR"/>
        </w:rPr>
        <w:t xml:space="preserve"> anglicana.</w:t>
      </w:r>
      <w:r w:rsidR="00FE08B7">
        <w:rPr>
          <w:rFonts w:ascii="Verdana" w:hAnsi="Verdana"/>
          <w:sz w:val="20"/>
          <w:lang w:val="pt-BR"/>
        </w:rPr>
        <w:t xml:space="preserve"> </w:t>
      </w:r>
      <w:r w:rsidR="0089298C" w:rsidRPr="002F50BD">
        <w:rPr>
          <w:rFonts w:ascii="Verdana" w:hAnsi="Verdana"/>
          <w:sz w:val="20"/>
          <w:lang w:val="pt-BR"/>
        </w:rPr>
        <w:t>Viveu no Paraguai</w:t>
      </w:r>
      <w:r w:rsidR="004756C1" w:rsidRPr="002F50BD">
        <w:rPr>
          <w:rFonts w:ascii="Verdana" w:hAnsi="Verdana"/>
          <w:sz w:val="20"/>
          <w:lang w:val="pt-BR"/>
        </w:rPr>
        <w:t xml:space="preserve"> </w:t>
      </w:r>
      <w:r w:rsidR="0089298C" w:rsidRPr="002F50BD">
        <w:rPr>
          <w:rFonts w:ascii="Verdana" w:hAnsi="Verdana"/>
          <w:sz w:val="20"/>
          <w:lang w:val="pt-BR"/>
        </w:rPr>
        <w:t xml:space="preserve">até o ano </w:t>
      </w:r>
      <w:r w:rsidRPr="002F50BD">
        <w:rPr>
          <w:rFonts w:ascii="Verdana" w:hAnsi="Verdana"/>
          <w:sz w:val="20"/>
          <w:lang w:val="pt-BR"/>
        </w:rPr>
        <w:t xml:space="preserve">de </w:t>
      </w:r>
      <w:r w:rsidR="00063B47" w:rsidRPr="002F50BD">
        <w:rPr>
          <w:rFonts w:ascii="Verdana" w:hAnsi="Verdana"/>
          <w:sz w:val="20"/>
          <w:lang w:val="pt-BR"/>
        </w:rPr>
        <w:t>1996</w:t>
      </w:r>
      <w:r w:rsidR="004756C1" w:rsidRPr="002F50BD">
        <w:rPr>
          <w:rFonts w:ascii="Verdana" w:hAnsi="Verdana"/>
          <w:sz w:val="20"/>
          <w:lang w:val="pt-BR"/>
        </w:rPr>
        <w:t>,</w:t>
      </w:r>
      <w:r w:rsidR="0089298C" w:rsidRPr="002F50BD">
        <w:rPr>
          <w:rFonts w:ascii="Verdana" w:hAnsi="Verdana"/>
          <w:sz w:val="20"/>
          <w:lang w:val="pt-BR"/>
        </w:rPr>
        <w:t xml:space="preserve"> com </w:t>
      </w:r>
      <w:r w:rsidR="004756C1" w:rsidRPr="002F50BD">
        <w:rPr>
          <w:rFonts w:ascii="Verdana" w:hAnsi="Verdana"/>
          <w:sz w:val="20"/>
          <w:lang w:val="pt-BR"/>
        </w:rPr>
        <w:t>comunidades Enxet.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século </w:t>
      </w:r>
      <w:r w:rsidR="004756C1" w:rsidRPr="002F50BD">
        <w:rPr>
          <w:rFonts w:ascii="Verdana" w:hAnsi="Verdana"/>
          <w:sz w:val="20"/>
          <w:lang w:val="pt-BR"/>
        </w:rPr>
        <w:t>XIX</w:t>
      </w:r>
      <w:r w:rsidR="00591998" w:rsidRPr="002F50BD">
        <w:rPr>
          <w:rFonts w:ascii="Verdana" w:hAnsi="Verdana"/>
          <w:sz w:val="20"/>
          <w:lang w:val="pt-BR"/>
        </w:rPr>
        <w:t>,</w:t>
      </w:r>
      <w:r w:rsidRPr="002F50BD">
        <w:rPr>
          <w:rFonts w:ascii="Verdana" w:hAnsi="Verdana"/>
          <w:sz w:val="20"/>
          <w:lang w:val="pt-BR"/>
        </w:rPr>
        <w:t xml:space="preserve"> as terra</w:t>
      </w:r>
      <w:r w:rsidR="004756C1" w:rsidRPr="002F50BD">
        <w:rPr>
          <w:rFonts w:ascii="Verdana" w:hAnsi="Verdana"/>
          <w:sz w:val="20"/>
          <w:lang w:val="pt-BR"/>
        </w:rPr>
        <w:t xml:space="preserve">s </w:t>
      </w:r>
      <w:r w:rsidRPr="002F50BD">
        <w:rPr>
          <w:rFonts w:ascii="Verdana" w:hAnsi="Verdana"/>
          <w:sz w:val="20"/>
          <w:lang w:val="pt-BR"/>
        </w:rPr>
        <w:t xml:space="preserve">do </w:t>
      </w:r>
      <w:r w:rsidR="004756C1" w:rsidRPr="002F50BD">
        <w:rPr>
          <w:rFonts w:ascii="Verdana" w:hAnsi="Verdana"/>
          <w:sz w:val="20"/>
          <w:lang w:val="pt-BR"/>
        </w:rPr>
        <w:t xml:space="preserve">Chaco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foram</w:t>
      </w:r>
      <w:r w:rsidR="004756C1" w:rsidRPr="002F50BD">
        <w:rPr>
          <w:rFonts w:ascii="Verdana" w:hAnsi="Verdana"/>
          <w:sz w:val="20"/>
          <w:lang w:val="pt-BR"/>
        </w:rPr>
        <w:t xml:space="preserve"> vendidas</w:t>
      </w:r>
      <w:r w:rsidRPr="002F50BD">
        <w:rPr>
          <w:rFonts w:ascii="Verdana" w:hAnsi="Verdana"/>
          <w:sz w:val="20"/>
          <w:lang w:val="pt-BR"/>
        </w:rPr>
        <w:t xml:space="preserve"> pelo </w:t>
      </w:r>
      <w:r w:rsidR="004756C1" w:rsidRPr="002F50BD">
        <w:rPr>
          <w:rFonts w:ascii="Verdana" w:hAnsi="Verdana"/>
          <w:sz w:val="20"/>
          <w:lang w:val="pt-BR"/>
        </w:rPr>
        <w:t>Estado</w:t>
      </w:r>
      <w:r w:rsidRPr="002F50BD">
        <w:rPr>
          <w:rFonts w:ascii="Verdana" w:hAnsi="Verdana"/>
          <w:sz w:val="20"/>
          <w:lang w:val="pt-BR"/>
        </w:rPr>
        <w:t xml:space="preserve"> na </w:t>
      </w:r>
      <w:r w:rsidR="004756C1" w:rsidRPr="002F50BD">
        <w:rPr>
          <w:rFonts w:ascii="Verdana" w:hAnsi="Verdana"/>
          <w:sz w:val="20"/>
          <w:lang w:val="pt-BR"/>
        </w:rPr>
        <w:t>bolsa de Londres a empres</w:t>
      </w:r>
      <w:r w:rsidR="00CC31B6" w:rsidRPr="002F50BD">
        <w:rPr>
          <w:rFonts w:ascii="Verdana" w:hAnsi="Verdana"/>
          <w:sz w:val="20"/>
          <w:lang w:val="pt-BR"/>
        </w:rPr>
        <w:t>á</w:t>
      </w:r>
      <w:r w:rsidR="004756C1" w:rsidRPr="002F50BD">
        <w:rPr>
          <w:rFonts w:ascii="Verdana" w:hAnsi="Verdana"/>
          <w:sz w:val="20"/>
          <w:lang w:val="pt-BR"/>
        </w:rPr>
        <w:t>rios brit</w:t>
      </w:r>
      <w:r w:rsidR="00CC31B6" w:rsidRPr="002F50BD">
        <w:rPr>
          <w:rFonts w:ascii="Verdana" w:hAnsi="Verdana"/>
          <w:sz w:val="20"/>
          <w:lang w:val="pt-BR"/>
        </w:rPr>
        <w:t>â</w:t>
      </w:r>
      <w:r w:rsidR="004756C1" w:rsidRPr="002F50BD">
        <w:rPr>
          <w:rFonts w:ascii="Verdana" w:hAnsi="Verdana"/>
          <w:sz w:val="20"/>
          <w:lang w:val="pt-BR"/>
        </w:rPr>
        <w:t>nicos,</w:t>
      </w:r>
      <w:r w:rsidRPr="002F50BD">
        <w:rPr>
          <w:rFonts w:ascii="Verdana" w:hAnsi="Verdana"/>
          <w:sz w:val="20"/>
          <w:lang w:val="pt-BR"/>
        </w:rPr>
        <w:t xml:space="preserve"> </w:t>
      </w:r>
      <w:r w:rsidR="002C07CC">
        <w:rPr>
          <w:rFonts w:ascii="Verdana" w:hAnsi="Verdana"/>
          <w:sz w:val="20"/>
          <w:lang w:val="pt-BR"/>
        </w:rPr>
        <w:t>em</w:t>
      </w:r>
      <w:r w:rsidRPr="002F50BD">
        <w:rPr>
          <w:rFonts w:ascii="Verdana" w:hAnsi="Verdana"/>
          <w:sz w:val="20"/>
          <w:lang w:val="pt-BR"/>
        </w:rPr>
        <w:t xml:space="preserve"> </w:t>
      </w:r>
      <w:r w:rsidR="004076AD" w:rsidRPr="002F50BD">
        <w:rPr>
          <w:rFonts w:ascii="Verdana" w:hAnsi="Verdana"/>
          <w:sz w:val="20"/>
          <w:lang w:val="pt-BR"/>
        </w:rPr>
        <w:t>sua maioria</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Aproximadamente</w:t>
      </w:r>
      <w:r w:rsidRPr="002F50BD">
        <w:rPr>
          <w:rFonts w:ascii="Verdana" w:hAnsi="Verdana"/>
          <w:sz w:val="20"/>
          <w:lang w:val="pt-BR"/>
        </w:rPr>
        <w:t xml:space="preserve"> no ano </w:t>
      </w:r>
      <w:r w:rsidR="00CC31B6" w:rsidRPr="002F50BD">
        <w:rPr>
          <w:rFonts w:ascii="Verdana" w:hAnsi="Verdana"/>
          <w:sz w:val="20"/>
          <w:lang w:val="pt-BR"/>
        </w:rPr>
        <w:t xml:space="preserve">de </w:t>
      </w:r>
      <w:r w:rsidR="00063B47" w:rsidRPr="002F50BD">
        <w:rPr>
          <w:rFonts w:ascii="Verdana" w:hAnsi="Verdana"/>
          <w:sz w:val="20"/>
          <w:lang w:val="pt-BR"/>
        </w:rPr>
        <w:t>1886</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C</w:t>
      </w:r>
      <w:r w:rsidR="00CC31B6" w:rsidRPr="002F50BD">
        <w:rPr>
          <w:rFonts w:ascii="Verdana" w:hAnsi="Verdana"/>
          <w:sz w:val="20"/>
          <w:lang w:val="pt-BR"/>
        </w:rPr>
        <w:t>ô</w:t>
      </w:r>
      <w:r w:rsidR="004756C1" w:rsidRPr="002F50BD">
        <w:rPr>
          <w:rFonts w:ascii="Verdana" w:hAnsi="Verdana"/>
          <w:sz w:val="20"/>
          <w:lang w:val="pt-BR"/>
        </w:rPr>
        <w:t xml:space="preserve">nsul </w:t>
      </w:r>
      <w:r w:rsidR="00CC31B6" w:rsidRPr="002F50BD">
        <w:rPr>
          <w:rFonts w:ascii="Verdana" w:hAnsi="Verdana"/>
          <w:sz w:val="20"/>
          <w:lang w:val="pt-BR"/>
        </w:rPr>
        <w:t>britânic</w:t>
      </w:r>
      <w:r w:rsidR="004756C1" w:rsidRPr="002F50BD">
        <w:rPr>
          <w:rFonts w:ascii="Verdana" w:hAnsi="Verdana"/>
          <w:sz w:val="20"/>
          <w:lang w:val="pt-BR"/>
        </w:rPr>
        <w:t>o</w:t>
      </w:r>
      <w:r w:rsidRPr="002F50BD">
        <w:rPr>
          <w:rFonts w:ascii="Verdana" w:hAnsi="Verdana"/>
          <w:sz w:val="20"/>
          <w:lang w:val="pt-BR"/>
        </w:rPr>
        <w:t xml:space="preserve"> no Paraguai</w:t>
      </w:r>
      <w:r w:rsidR="004756C1" w:rsidRPr="002F50BD">
        <w:rPr>
          <w:rFonts w:ascii="Verdana" w:hAnsi="Verdana"/>
          <w:sz w:val="20"/>
          <w:lang w:val="pt-BR"/>
        </w:rPr>
        <w:t xml:space="preserve"> se </w:t>
      </w:r>
      <w:r w:rsidR="00CC31B6" w:rsidRPr="002F50BD">
        <w:rPr>
          <w:rFonts w:ascii="Verdana" w:hAnsi="Verdana"/>
          <w:sz w:val="20"/>
          <w:lang w:val="pt-BR"/>
        </w:rPr>
        <w:t>aproximou de</w:t>
      </w:r>
      <w:r w:rsidRPr="002F50BD">
        <w:rPr>
          <w:rFonts w:ascii="Verdana" w:hAnsi="Verdana"/>
          <w:sz w:val="20"/>
          <w:lang w:val="pt-BR"/>
        </w:rPr>
        <w:t xml:space="preserve"> uma missão</w:t>
      </w:r>
      <w:r w:rsidR="004756C1" w:rsidRPr="002F50BD">
        <w:rPr>
          <w:rFonts w:ascii="Verdana" w:hAnsi="Verdana"/>
          <w:sz w:val="20"/>
          <w:lang w:val="pt-BR"/>
        </w:rPr>
        <w:t xml:space="preserve"> anglicana,</w:t>
      </w:r>
      <w:r w:rsidRPr="002F50BD">
        <w:rPr>
          <w:rFonts w:ascii="Verdana" w:hAnsi="Verdana"/>
          <w:sz w:val="20"/>
          <w:lang w:val="pt-BR"/>
        </w:rPr>
        <w:t xml:space="preserve"> a Missão</w:t>
      </w:r>
      <w:r w:rsidR="004756C1" w:rsidRPr="002F50BD">
        <w:rPr>
          <w:rFonts w:ascii="Verdana" w:hAnsi="Verdana"/>
          <w:sz w:val="20"/>
          <w:lang w:val="pt-BR"/>
        </w:rPr>
        <w:t xml:space="preserve"> </w:t>
      </w:r>
      <w:r w:rsidR="00CC31B6" w:rsidRPr="002F50BD">
        <w:rPr>
          <w:rFonts w:ascii="Verdana" w:hAnsi="Verdana"/>
          <w:sz w:val="20"/>
          <w:lang w:val="pt-BR"/>
        </w:rPr>
        <w:t>Sul-Americana</w:t>
      </w:r>
      <w:r w:rsidR="004756C1" w:rsidRPr="002F50BD">
        <w:rPr>
          <w:rFonts w:ascii="Verdana" w:hAnsi="Verdana"/>
          <w:sz w:val="20"/>
          <w:lang w:val="pt-BR"/>
        </w:rPr>
        <w:t xml:space="preserve">, para pedir </w:t>
      </w:r>
      <w:r w:rsidRPr="002F50BD">
        <w:rPr>
          <w:rFonts w:ascii="Verdana" w:hAnsi="Verdana"/>
          <w:sz w:val="20"/>
          <w:lang w:val="pt-BR"/>
        </w:rPr>
        <w:t xml:space="preserve">ajuda na </w:t>
      </w:r>
      <w:r w:rsidR="004756C1" w:rsidRPr="002F50BD">
        <w:rPr>
          <w:rFonts w:ascii="Verdana" w:hAnsi="Verdana"/>
          <w:sz w:val="20"/>
          <w:lang w:val="pt-BR"/>
        </w:rPr>
        <w:t>“pacifica</w:t>
      </w:r>
      <w:r w:rsidRPr="002F50BD">
        <w:rPr>
          <w:rFonts w:ascii="Verdana" w:hAnsi="Verdana"/>
          <w:sz w:val="20"/>
          <w:lang w:val="pt-BR"/>
        </w:rPr>
        <w:t xml:space="preserve">ção dos </w:t>
      </w:r>
      <w:r w:rsidR="004756C1" w:rsidRPr="002F50BD">
        <w:rPr>
          <w:rFonts w:ascii="Verdana" w:hAnsi="Verdana"/>
          <w:sz w:val="20"/>
          <w:lang w:val="pt-BR"/>
        </w:rPr>
        <w:t xml:space="preserve">indígenas” </w:t>
      </w:r>
      <w:r w:rsidRPr="002F50BD">
        <w:rPr>
          <w:rFonts w:ascii="Verdana" w:hAnsi="Verdana"/>
          <w:sz w:val="20"/>
          <w:lang w:val="pt-BR"/>
        </w:rPr>
        <w:t xml:space="preserve">do </w:t>
      </w:r>
      <w:r w:rsidR="004756C1" w:rsidRPr="002F50BD">
        <w:rPr>
          <w:rFonts w:ascii="Verdana" w:hAnsi="Verdana"/>
          <w:sz w:val="20"/>
          <w:lang w:val="pt-BR"/>
        </w:rPr>
        <w:t xml:space="preserve">Chaco, para </w:t>
      </w:r>
      <w:r w:rsidRPr="002F50BD">
        <w:rPr>
          <w:rFonts w:ascii="Verdana" w:hAnsi="Verdana"/>
          <w:sz w:val="20"/>
          <w:lang w:val="pt-BR"/>
        </w:rPr>
        <w:t>assim</w:t>
      </w:r>
      <w:r w:rsidR="004756C1" w:rsidRPr="002F50BD">
        <w:rPr>
          <w:rFonts w:ascii="Verdana" w:hAnsi="Verdana"/>
          <w:sz w:val="20"/>
          <w:lang w:val="pt-BR"/>
        </w:rPr>
        <w:t xml:space="preserve"> facilitar</w:t>
      </w:r>
      <w:r w:rsidRPr="002F50BD">
        <w:rPr>
          <w:rFonts w:ascii="Verdana" w:hAnsi="Verdana"/>
          <w:sz w:val="20"/>
          <w:lang w:val="pt-BR"/>
        </w:rPr>
        <w:t xml:space="preserve"> o ingresso dos </w:t>
      </w:r>
      <w:r w:rsidR="004756C1" w:rsidRPr="002F50BD">
        <w:rPr>
          <w:rFonts w:ascii="Verdana" w:hAnsi="Verdana"/>
          <w:sz w:val="20"/>
          <w:lang w:val="pt-BR"/>
        </w:rPr>
        <w:t>empres</w:t>
      </w:r>
      <w:r w:rsidR="00CC31B6" w:rsidRPr="002F50BD">
        <w:rPr>
          <w:rFonts w:ascii="Verdana" w:hAnsi="Verdana"/>
          <w:sz w:val="20"/>
          <w:lang w:val="pt-BR"/>
        </w:rPr>
        <w:t>á</w:t>
      </w:r>
      <w:r w:rsidR="004756C1" w:rsidRPr="002F50BD">
        <w:rPr>
          <w:rFonts w:ascii="Verdana" w:hAnsi="Verdana"/>
          <w:sz w:val="20"/>
          <w:lang w:val="pt-BR"/>
        </w:rPr>
        <w:t xml:space="preserve">rios </w:t>
      </w:r>
      <w:r w:rsidR="00CC31B6" w:rsidRPr="002F50BD">
        <w:rPr>
          <w:rFonts w:ascii="Verdana" w:hAnsi="Verdana"/>
          <w:sz w:val="20"/>
          <w:lang w:val="pt-BR"/>
        </w:rPr>
        <w:t>britânic</w:t>
      </w:r>
      <w:r w:rsidR="004756C1" w:rsidRPr="002F50BD">
        <w:rPr>
          <w:rFonts w:ascii="Verdana" w:hAnsi="Verdana"/>
          <w:sz w:val="20"/>
          <w:lang w:val="pt-BR"/>
        </w:rPr>
        <w:t>os</w:t>
      </w:r>
      <w:r w:rsidRPr="002F50BD">
        <w:rPr>
          <w:rFonts w:ascii="Verdana" w:hAnsi="Verdana"/>
          <w:sz w:val="20"/>
          <w:lang w:val="pt-BR"/>
        </w:rPr>
        <w:t xml:space="preserve"> </w:t>
      </w:r>
      <w:r w:rsidR="00591998" w:rsidRPr="002F50BD">
        <w:rPr>
          <w:rFonts w:ascii="Verdana" w:hAnsi="Verdana"/>
          <w:sz w:val="20"/>
          <w:lang w:val="pt-BR"/>
        </w:rPr>
        <w:t>na</w:t>
      </w:r>
      <w:r w:rsidRPr="002F50BD">
        <w:rPr>
          <w:rFonts w:ascii="Verdana" w:hAnsi="Verdana"/>
          <w:sz w:val="20"/>
          <w:lang w:val="pt-BR"/>
        </w:rPr>
        <w:t xml:space="preserve"> </w:t>
      </w:r>
      <w:r w:rsidR="00CC31B6" w:rsidRPr="002F50BD">
        <w:rPr>
          <w:rFonts w:ascii="Verdana" w:hAnsi="Verdana"/>
          <w:sz w:val="20"/>
          <w:lang w:val="pt-BR"/>
        </w:rPr>
        <w:t>região</w:t>
      </w:r>
      <w:r w:rsidR="000F2A3D" w:rsidRPr="002F50BD">
        <w:rPr>
          <w:rFonts w:ascii="Verdana" w:hAnsi="Verdana"/>
          <w:sz w:val="20"/>
          <w:lang w:val="pt-BR"/>
        </w:rPr>
        <w:t xml:space="preserve">. Em </w:t>
      </w:r>
      <w:r w:rsidR="00063B47" w:rsidRPr="002F50BD">
        <w:rPr>
          <w:rFonts w:ascii="Verdana" w:hAnsi="Verdana"/>
          <w:sz w:val="20"/>
          <w:lang w:val="pt-BR"/>
        </w:rPr>
        <w:t>1907</w:t>
      </w:r>
      <w:r w:rsidR="00591998"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anglicanos formar</w:t>
      </w:r>
      <w:r w:rsidR="00CC31B6" w:rsidRPr="002F50BD">
        <w:rPr>
          <w:rFonts w:ascii="Verdana" w:hAnsi="Verdana"/>
          <w:sz w:val="20"/>
          <w:lang w:val="pt-BR"/>
        </w:rPr>
        <w:t>am</w:t>
      </w:r>
      <w:r w:rsidR="004756C1" w:rsidRPr="002F50BD">
        <w:rPr>
          <w:rFonts w:ascii="Verdana" w:hAnsi="Verdana"/>
          <w:sz w:val="20"/>
          <w:lang w:val="pt-BR"/>
        </w:rPr>
        <w:t xml:space="preserve"> </w:t>
      </w:r>
      <w:r w:rsidRPr="002F50BD">
        <w:rPr>
          <w:rFonts w:ascii="Verdana" w:hAnsi="Verdana"/>
          <w:sz w:val="20"/>
          <w:lang w:val="pt-BR"/>
        </w:rPr>
        <w:t>várias</w:t>
      </w:r>
      <w:r w:rsidR="004756C1" w:rsidRPr="002F50BD">
        <w:rPr>
          <w:rFonts w:ascii="Verdana" w:hAnsi="Verdana"/>
          <w:sz w:val="20"/>
          <w:lang w:val="pt-BR"/>
        </w:rPr>
        <w:t xml:space="preserve"> </w:t>
      </w:r>
      <w:r w:rsidRPr="002F50BD">
        <w:rPr>
          <w:rFonts w:ascii="Verdana" w:hAnsi="Verdana"/>
          <w:sz w:val="20"/>
          <w:lang w:val="pt-BR"/>
        </w:rPr>
        <w:t>missões nas terra</w:t>
      </w:r>
      <w:r w:rsidR="004756C1" w:rsidRPr="002F50BD">
        <w:rPr>
          <w:rFonts w:ascii="Verdana" w:hAnsi="Verdana"/>
          <w:sz w:val="20"/>
          <w:lang w:val="pt-BR"/>
        </w:rPr>
        <w:t>s que</w:t>
      </w:r>
      <w:r w:rsidR="004076AD" w:rsidRPr="002F50BD">
        <w:rPr>
          <w:rFonts w:ascii="Verdana" w:hAnsi="Verdana"/>
          <w:sz w:val="20"/>
          <w:lang w:val="pt-BR"/>
        </w:rPr>
        <w:t xml:space="preserve"> haviam </w:t>
      </w:r>
      <w:r w:rsidR="004756C1" w:rsidRPr="002F50BD">
        <w:rPr>
          <w:rFonts w:ascii="Verdana" w:hAnsi="Verdana"/>
          <w:sz w:val="20"/>
          <w:lang w:val="pt-BR"/>
        </w:rPr>
        <w:t>adquirido</w:t>
      </w:r>
      <w:r w:rsidRPr="002F50BD">
        <w:rPr>
          <w:rFonts w:ascii="Verdana" w:hAnsi="Verdana"/>
          <w:sz w:val="20"/>
          <w:lang w:val="pt-BR"/>
        </w:rPr>
        <w:t xml:space="preserve"> no </w:t>
      </w:r>
      <w:r w:rsidR="004756C1" w:rsidRPr="002F50BD">
        <w:rPr>
          <w:rFonts w:ascii="Verdana" w:hAnsi="Verdana"/>
          <w:sz w:val="20"/>
          <w:lang w:val="pt-BR"/>
        </w:rPr>
        <w:t>Chaco.</w:t>
      </w:r>
      <w:r w:rsidR="00FE08B7">
        <w:rPr>
          <w:rFonts w:ascii="Verdana" w:hAnsi="Verdana"/>
          <w:sz w:val="20"/>
          <w:lang w:val="pt-BR"/>
        </w:rPr>
        <w:t xml:space="preserve"> </w:t>
      </w:r>
      <w:r w:rsidR="00CC31B6" w:rsidRPr="002F50BD">
        <w:rPr>
          <w:rFonts w:ascii="Verdana" w:hAnsi="Verdana"/>
          <w:sz w:val="20"/>
          <w:lang w:val="pt-BR"/>
        </w:rPr>
        <w:t>No entanto</w:t>
      </w:r>
      <w:r w:rsidR="004756C1" w:rsidRPr="002F50BD">
        <w:rPr>
          <w:rFonts w:ascii="Verdana" w:hAnsi="Verdana"/>
          <w:sz w:val="20"/>
          <w:lang w:val="pt-BR"/>
        </w:rPr>
        <w:t>,</w:t>
      </w:r>
      <w:r w:rsidRPr="002F50BD">
        <w:rPr>
          <w:rFonts w:ascii="Verdana" w:hAnsi="Verdana"/>
          <w:sz w:val="20"/>
          <w:lang w:val="pt-BR"/>
        </w:rPr>
        <w:t xml:space="preserve"> na </w:t>
      </w:r>
      <w:r w:rsidR="004756C1" w:rsidRPr="002F50BD">
        <w:rPr>
          <w:rFonts w:ascii="Verdana" w:hAnsi="Verdana"/>
          <w:sz w:val="20"/>
          <w:lang w:val="pt-BR"/>
        </w:rPr>
        <w:t>década</w:t>
      </w:r>
      <w:r w:rsidRPr="002F50BD">
        <w:rPr>
          <w:rFonts w:ascii="Verdana" w:hAnsi="Verdana"/>
          <w:sz w:val="20"/>
          <w:lang w:val="pt-BR"/>
        </w:rPr>
        <w:t xml:space="preserve"> d</w:t>
      </w:r>
      <w:r w:rsidR="00591998" w:rsidRPr="002F50BD">
        <w:rPr>
          <w:rFonts w:ascii="Verdana" w:hAnsi="Verdana"/>
          <w:sz w:val="20"/>
          <w:lang w:val="pt-BR"/>
        </w:rPr>
        <w:t>e</w:t>
      </w:r>
      <w:r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 xml:space="preserve"> vender</w:t>
      </w:r>
      <w:r w:rsidR="00CC31B6" w:rsidRPr="002F50BD">
        <w:rPr>
          <w:rFonts w:ascii="Verdana" w:hAnsi="Verdana"/>
          <w:sz w:val="20"/>
          <w:lang w:val="pt-BR"/>
        </w:rPr>
        <w:t xml:space="preserve">am </w:t>
      </w:r>
      <w:r w:rsidRPr="002F50BD">
        <w:rPr>
          <w:rFonts w:ascii="Verdana" w:hAnsi="Verdana"/>
          <w:sz w:val="20"/>
          <w:lang w:val="pt-BR"/>
        </w:rPr>
        <w:t xml:space="preserve">a maior </w:t>
      </w:r>
      <w:r w:rsidR="004756C1" w:rsidRPr="002F50BD">
        <w:rPr>
          <w:rFonts w:ascii="Verdana" w:hAnsi="Verdana"/>
          <w:sz w:val="20"/>
          <w:lang w:val="pt-BR"/>
        </w:rPr>
        <w:t xml:space="preserve">parte de </w:t>
      </w:r>
      <w:r w:rsidR="00A50140" w:rsidRPr="002F50BD">
        <w:rPr>
          <w:rFonts w:ascii="Verdana" w:hAnsi="Verdana"/>
          <w:sz w:val="20"/>
          <w:lang w:val="pt-BR"/>
        </w:rPr>
        <w:t>suas terras</w:t>
      </w:r>
      <w:r w:rsidRPr="002F50BD">
        <w:rPr>
          <w:rFonts w:ascii="Verdana" w:hAnsi="Verdana"/>
          <w:sz w:val="20"/>
          <w:lang w:val="pt-BR"/>
        </w:rPr>
        <w:t xml:space="preserve"> e </w:t>
      </w:r>
      <w:r w:rsidR="00CC31B6" w:rsidRPr="002F50BD">
        <w:rPr>
          <w:rFonts w:ascii="Verdana" w:hAnsi="Verdana"/>
          <w:sz w:val="20"/>
          <w:lang w:val="pt-BR"/>
        </w:rPr>
        <w:t xml:space="preserve">permaneceram </w:t>
      </w:r>
      <w:r w:rsidRPr="002F50BD">
        <w:rPr>
          <w:rFonts w:ascii="Verdana" w:hAnsi="Verdana"/>
          <w:sz w:val="20"/>
          <w:lang w:val="pt-BR"/>
        </w:rPr>
        <w:t xml:space="preserve">com uma </w:t>
      </w:r>
      <w:r w:rsidR="004756C1" w:rsidRPr="002F50BD">
        <w:rPr>
          <w:rFonts w:ascii="Verdana" w:hAnsi="Verdana"/>
          <w:sz w:val="20"/>
          <w:lang w:val="pt-BR"/>
        </w:rPr>
        <w:t>fr</w:t>
      </w:r>
      <w:r w:rsidR="004076AD" w:rsidRPr="002F50BD">
        <w:rPr>
          <w:rFonts w:ascii="Verdana" w:hAnsi="Verdana"/>
          <w:sz w:val="20"/>
          <w:lang w:val="pt-BR"/>
        </w:rPr>
        <w:t>ação</w:t>
      </w:r>
      <w:r w:rsidR="004756C1" w:rsidRPr="002F50BD">
        <w:rPr>
          <w:rFonts w:ascii="Verdana" w:hAnsi="Verdana"/>
          <w:sz w:val="20"/>
          <w:lang w:val="pt-BR"/>
        </w:rPr>
        <w:t xml:space="preserve"> </w:t>
      </w:r>
      <w:r w:rsidRPr="002F50BD">
        <w:rPr>
          <w:rFonts w:ascii="Verdana" w:hAnsi="Verdana"/>
          <w:sz w:val="20"/>
          <w:lang w:val="pt-BR"/>
        </w:rPr>
        <w:t>muito</w:t>
      </w:r>
      <w:r w:rsidR="004756C1" w:rsidRPr="002F50BD">
        <w:rPr>
          <w:rFonts w:ascii="Verdana" w:hAnsi="Verdana"/>
          <w:sz w:val="20"/>
          <w:lang w:val="pt-BR"/>
        </w:rPr>
        <w:t xml:space="preserve"> redu</w:t>
      </w:r>
      <w:r w:rsidR="00CC31B6" w:rsidRPr="002F50BD">
        <w:rPr>
          <w:rFonts w:ascii="Verdana" w:hAnsi="Verdana"/>
          <w:sz w:val="20"/>
          <w:lang w:val="pt-BR"/>
        </w:rPr>
        <w:t>z</w:t>
      </w:r>
      <w:r w:rsidR="004756C1" w:rsidRPr="002F50BD">
        <w:rPr>
          <w:rFonts w:ascii="Verdana" w:hAnsi="Verdana"/>
          <w:sz w:val="20"/>
          <w:lang w:val="pt-BR"/>
        </w:rPr>
        <w:t xml:space="preserve">ida de Makxlawaya, que </w:t>
      </w:r>
      <w:r w:rsidRPr="002F50BD">
        <w:rPr>
          <w:rFonts w:ascii="Verdana" w:hAnsi="Verdana"/>
          <w:sz w:val="20"/>
          <w:lang w:val="pt-BR"/>
        </w:rPr>
        <w:t>permaneceu</w:t>
      </w:r>
      <w:r w:rsidR="004756C1" w:rsidRPr="002F50BD">
        <w:rPr>
          <w:rFonts w:ascii="Verdana" w:hAnsi="Verdana"/>
          <w:sz w:val="20"/>
          <w:lang w:val="pt-BR"/>
        </w:rPr>
        <w:t xml:space="preserve"> como</w:t>
      </w:r>
      <w:r w:rsidRPr="002F50BD">
        <w:rPr>
          <w:rFonts w:ascii="Verdana" w:hAnsi="Verdana"/>
          <w:sz w:val="20"/>
          <w:lang w:val="pt-BR"/>
        </w:rPr>
        <w:t xml:space="preserve"> o </w:t>
      </w:r>
      <w:r w:rsidR="004756C1" w:rsidRPr="002F50BD">
        <w:rPr>
          <w:rFonts w:ascii="Verdana" w:hAnsi="Verdana"/>
          <w:sz w:val="20"/>
          <w:lang w:val="pt-BR"/>
        </w:rPr>
        <w:t>centro anglicano de toda</w:t>
      </w:r>
      <w:r w:rsidRPr="002F50BD">
        <w:rPr>
          <w:rFonts w:ascii="Verdana" w:hAnsi="Verdana"/>
          <w:sz w:val="20"/>
          <w:lang w:val="pt-BR"/>
        </w:rPr>
        <w:t xml:space="preserve"> a </w:t>
      </w:r>
      <w:r w:rsidR="00CC31B6" w:rsidRPr="002F50BD">
        <w:rPr>
          <w:rFonts w:ascii="Verdana" w:hAnsi="Verdana"/>
          <w:sz w:val="20"/>
          <w:lang w:val="pt-BR"/>
        </w:rPr>
        <w:t>região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Até o ano </w:t>
      </w:r>
      <w:r w:rsidR="004F64EE" w:rsidRPr="002F50BD">
        <w:rPr>
          <w:rFonts w:ascii="Verdana" w:hAnsi="Verdana"/>
          <w:sz w:val="20"/>
          <w:lang w:val="pt-BR"/>
        </w:rPr>
        <w:t xml:space="preserve">de </w:t>
      </w:r>
      <w:r w:rsidR="00063B47" w:rsidRPr="002F50BD">
        <w:rPr>
          <w:rFonts w:ascii="Verdana" w:hAnsi="Verdana"/>
          <w:sz w:val="20"/>
          <w:lang w:val="pt-BR"/>
        </w:rPr>
        <w:t>1979</w:t>
      </w:r>
      <w:r w:rsidR="00591998" w:rsidRPr="002F50BD">
        <w:rPr>
          <w:rFonts w:ascii="Verdana" w:hAnsi="Verdana"/>
          <w:sz w:val="20"/>
          <w:lang w:val="pt-BR"/>
        </w:rPr>
        <w:t>,</w:t>
      </w:r>
      <w:r w:rsidRPr="002F50BD">
        <w:rPr>
          <w:rFonts w:ascii="Verdana" w:hAnsi="Verdana"/>
          <w:sz w:val="20"/>
          <w:lang w:val="pt-BR"/>
        </w:rPr>
        <w:t xml:space="preserve"> a igreja</w:t>
      </w:r>
      <w:r w:rsidR="004756C1" w:rsidRPr="002F50BD">
        <w:rPr>
          <w:rFonts w:ascii="Verdana" w:hAnsi="Verdana"/>
          <w:sz w:val="20"/>
          <w:lang w:val="pt-BR"/>
        </w:rPr>
        <w:t xml:space="preserve"> </w:t>
      </w:r>
      <w:r w:rsidRPr="002F50BD">
        <w:rPr>
          <w:rFonts w:ascii="Verdana" w:hAnsi="Verdana"/>
          <w:sz w:val="20"/>
          <w:lang w:val="pt-BR"/>
        </w:rPr>
        <w:t>havia</w:t>
      </w:r>
      <w:r w:rsidR="004756C1" w:rsidRPr="002F50BD">
        <w:rPr>
          <w:rFonts w:ascii="Verdana" w:hAnsi="Verdana"/>
          <w:sz w:val="20"/>
          <w:lang w:val="pt-BR"/>
        </w:rPr>
        <w:t xml:space="preserve"> tido</w:t>
      </w:r>
      <w:r w:rsidRPr="002F50BD">
        <w:rPr>
          <w:rFonts w:ascii="Verdana" w:hAnsi="Verdana"/>
          <w:sz w:val="20"/>
          <w:lang w:val="pt-BR"/>
        </w:rPr>
        <w:t xml:space="preserve"> uma missão</w:t>
      </w:r>
      <w:r w:rsidR="004756C1" w:rsidRPr="002F50BD">
        <w:rPr>
          <w:rFonts w:ascii="Verdana" w:hAnsi="Verdana"/>
          <w:sz w:val="20"/>
          <w:lang w:val="pt-BR"/>
        </w:rPr>
        <w:t xml:space="preserve"> </w:t>
      </w:r>
      <w:r w:rsidRPr="002F50BD">
        <w:rPr>
          <w:rFonts w:ascii="Verdana" w:hAnsi="Verdana"/>
          <w:sz w:val="20"/>
          <w:lang w:val="pt-BR"/>
        </w:rPr>
        <w:t xml:space="preserve">mais </w:t>
      </w:r>
      <w:r w:rsidR="004756C1" w:rsidRPr="002F50BD">
        <w:rPr>
          <w:rFonts w:ascii="Verdana" w:hAnsi="Verdana"/>
          <w:sz w:val="20"/>
          <w:lang w:val="pt-BR"/>
        </w:rPr>
        <w:t>espiritual</w:t>
      </w:r>
      <w:r w:rsidRPr="002F50BD">
        <w:rPr>
          <w:rFonts w:ascii="Verdana" w:hAnsi="Verdana"/>
          <w:sz w:val="20"/>
          <w:lang w:val="pt-BR"/>
        </w:rPr>
        <w:t xml:space="preserve"> no </w:t>
      </w:r>
      <w:r w:rsidR="004756C1" w:rsidRPr="002F50BD">
        <w:rPr>
          <w:rFonts w:ascii="Verdana" w:hAnsi="Verdana"/>
          <w:sz w:val="20"/>
          <w:lang w:val="pt-BR"/>
        </w:rPr>
        <w:t xml:space="preserve">Chaco. </w:t>
      </w:r>
      <w:r w:rsidRPr="002F50BD">
        <w:rPr>
          <w:rFonts w:ascii="Verdana" w:hAnsi="Verdana"/>
          <w:sz w:val="20"/>
          <w:lang w:val="pt-BR"/>
        </w:rPr>
        <w:t>Depois</w:t>
      </w:r>
      <w:r w:rsidR="004756C1" w:rsidRPr="002F50BD">
        <w:rPr>
          <w:rFonts w:ascii="Verdana" w:hAnsi="Verdana"/>
          <w:sz w:val="20"/>
          <w:lang w:val="pt-BR"/>
        </w:rPr>
        <w:t xml:space="preserve">, </w:t>
      </w:r>
      <w:r w:rsidR="00CC31B6" w:rsidRPr="002F50BD">
        <w:rPr>
          <w:rFonts w:ascii="Verdana" w:hAnsi="Verdana"/>
          <w:sz w:val="20"/>
          <w:lang w:val="pt-BR"/>
        </w:rPr>
        <w:t>em razão d</w:t>
      </w:r>
      <w:r w:rsidRPr="002F50BD">
        <w:rPr>
          <w:rFonts w:ascii="Verdana" w:hAnsi="Verdana"/>
          <w:sz w:val="20"/>
          <w:lang w:val="pt-BR"/>
        </w:rPr>
        <w:t xml:space="preserve">a gravidade das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vida</w:t>
      </w:r>
      <w:r w:rsidRPr="002F50BD">
        <w:rPr>
          <w:rFonts w:ascii="Verdana" w:hAnsi="Verdana"/>
          <w:sz w:val="20"/>
          <w:lang w:val="pt-BR"/>
        </w:rPr>
        <w:t xml:space="preserve"> dos </w:t>
      </w:r>
      <w:r w:rsidR="004756C1" w:rsidRPr="002F50BD">
        <w:rPr>
          <w:rFonts w:ascii="Verdana" w:hAnsi="Verdana"/>
          <w:sz w:val="20"/>
          <w:lang w:val="pt-BR"/>
        </w:rPr>
        <w:t>indígenas que</w:t>
      </w:r>
      <w:r w:rsidR="00AB454A" w:rsidRPr="002F50BD">
        <w:rPr>
          <w:rFonts w:ascii="Verdana" w:hAnsi="Verdana"/>
          <w:sz w:val="20"/>
          <w:lang w:val="pt-BR"/>
        </w:rPr>
        <w:t xml:space="preserve"> não tinha</w:t>
      </w:r>
      <w:r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terra</w:t>
      </w:r>
      <w:r w:rsidR="004756C1" w:rsidRPr="002F50BD">
        <w:rPr>
          <w:rFonts w:ascii="Verdana" w:hAnsi="Verdana"/>
          <w:sz w:val="20"/>
          <w:lang w:val="pt-BR"/>
        </w:rPr>
        <w:t xml:space="preserve">, </w:t>
      </w:r>
      <w:r w:rsidRPr="002F50BD">
        <w:rPr>
          <w:rFonts w:ascii="Verdana" w:hAnsi="Verdana"/>
          <w:sz w:val="20"/>
          <w:lang w:val="pt-BR"/>
        </w:rPr>
        <w:lastRenderedPageBreak/>
        <w:t>decidiu</w:t>
      </w:r>
      <w:r w:rsidR="004756C1" w:rsidRPr="002F50BD">
        <w:rPr>
          <w:rFonts w:ascii="Verdana" w:hAnsi="Verdana"/>
          <w:sz w:val="20"/>
          <w:lang w:val="pt-BR"/>
        </w:rPr>
        <w:t xml:space="preserve"> </w:t>
      </w:r>
      <w:r w:rsidRPr="002F50BD">
        <w:rPr>
          <w:rFonts w:ascii="Verdana" w:hAnsi="Verdana"/>
          <w:sz w:val="20"/>
          <w:lang w:val="pt-BR"/>
        </w:rPr>
        <w:t>criar o projeto</w:t>
      </w:r>
      <w:r w:rsidR="004756C1" w:rsidRPr="002F50BD">
        <w:rPr>
          <w:rFonts w:ascii="Verdana" w:hAnsi="Verdana"/>
          <w:sz w:val="20"/>
          <w:lang w:val="pt-BR"/>
        </w:rPr>
        <w:t xml:space="preserve"> de </w:t>
      </w:r>
      <w:r w:rsidRPr="002F50BD">
        <w:rPr>
          <w:rFonts w:ascii="Verdana" w:hAnsi="Verdana"/>
          <w:sz w:val="20"/>
          <w:lang w:val="pt-BR"/>
        </w:rPr>
        <w:t>desenvolvimento</w:t>
      </w:r>
      <w:r w:rsidR="004756C1" w:rsidRPr="002F50BD">
        <w:rPr>
          <w:rFonts w:ascii="Verdana" w:hAnsi="Verdana"/>
          <w:sz w:val="20"/>
          <w:lang w:val="pt-BR"/>
        </w:rPr>
        <w:t xml:space="preserve"> </w:t>
      </w:r>
      <w:r w:rsidRPr="002F50BD">
        <w:rPr>
          <w:rFonts w:ascii="Verdana" w:hAnsi="Verdana"/>
          <w:sz w:val="20"/>
          <w:lang w:val="pt-BR"/>
        </w:rPr>
        <w:t>conhecido</w:t>
      </w:r>
      <w:r w:rsidR="004756C1" w:rsidRPr="002F50BD">
        <w:rPr>
          <w:rFonts w:ascii="Verdana" w:hAnsi="Verdana"/>
          <w:sz w:val="20"/>
          <w:lang w:val="pt-BR"/>
        </w:rPr>
        <w:t xml:space="preserve"> como </w:t>
      </w:r>
      <w:r w:rsidRPr="002F50BD">
        <w:rPr>
          <w:rFonts w:ascii="Verdana" w:hAnsi="Verdana"/>
          <w:sz w:val="20"/>
          <w:lang w:val="pt-BR"/>
        </w:rPr>
        <w:t>“</w:t>
      </w:r>
      <w:r w:rsidR="00CC31B6" w:rsidRPr="002F50BD">
        <w:rPr>
          <w:rFonts w:ascii="Verdana" w:hAnsi="Verdana"/>
          <w:i/>
          <w:sz w:val="20"/>
          <w:lang w:val="pt-BR"/>
        </w:rPr>
        <w:t>L</w:t>
      </w:r>
      <w:r w:rsidRPr="002F50BD">
        <w:rPr>
          <w:rFonts w:ascii="Verdana" w:hAnsi="Verdana"/>
          <w:i/>
          <w:sz w:val="20"/>
          <w:lang w:val="pt-BR"/>
        </w:rPr>
        <w:t xml:space="preserve">a </w:t>
      </w:r>
      <w:r w:rsidR="004756C1" w:rsidRPr="002F50BD">
        <w:rPr>
          <w:rFonts w:ascii="Verdana" w:hAnsi="Verdana"/>
          <w:i/>
          <w:sz w:val="20"/>
          <w:lang w:val="pt-BR"/>
        </w:rPr>
        <w:t>Herencia</w:t>
      </w:r>
      <w:r w:rsidR="004756C1" w:rsidRPr="002F50BD">
        <w:rPr>
          <w:rFonts w:ascii="Verdana" w:hAnsi="Verdana"/>
          <w:sz w:val="20"/>
          <w:lang w:val="pt-BR"/>
        </w:rPr>
        <w:t xml:space="preserve">”, que </w:t>
      </w:r>
      <w:r w:rsidRPr="002F50BD">
        <w:rPr>
          <w:rFonts w:ascii="Verdana" w:hAnsi="Verdana"/>
          <w:sz w:val="20"/>
          <w:lang w:val="pt-BR"/>
        </w:rPr>
        <w:t>tinha</w:t>
      </w:r>
      <w:r w:rsidR="004756C1" w:rsidRPr="002F50BD">
        <w:rPr>
          <w:rFonts w:ascii="Verdana" w:hAnsi="Verdana"/>
          <w:sz w:val="20"/>
          <w:lang w:val="pt-BR"/>
        </w:rPr>
        <w:t xml:space="preserve"> como objet</w:t>
      </w:r>
      <w:r w:rsidR="00CC31B6" w:rsidRPr="002F50BD">
        <w:rPr>
          <w:rFonts w:ascii="Verdana" w:hAnsi="Verdana"/>
          <w:sz w:val="20"/>
          <w:lang w:val="pt-BR"/>
        </w:rPr>
        <w:t>iv</w:t>
      </w:r>
      <w:r w:rsidR="004756C1" w:rsidRPr="002F50BD">
        <w:rPr>
          <w:rFonts w:ascii="Verdana" w:hAnsi="Verdana"/>
          <w:sz w:val="20"/>
          <w:lang w:val="pt-BR"/>
        </w:rPr>
        <w:t xml:space="preserve">o comprar </w:t>
      </w:r>
      <w:r w:rsidRPr="002F50BD">
        <w:rPr>
          <w:rFonts w:ascii="Verdana" w:hAnsi="Verdana"/>
          <w:sz w:val="20"/>
          <w:lang w:val="pt-BR"/>
        </w:rPr>
        <w:t>terra</w:t>
      </w:r>
      <w:r w:rsidR="004756C1" w:rsidRPr="002F50BD">
        <w:rPr>
          <w:rFonts w:ascii="Verdana" w:hAnsi="Verdana"/>
          <w:sz w:val="20"/>
          <w:lang w:val="pt-BR"/>
        </w:rPr>
        <w:t>s para</w:t>
      </w:r>
      <w:r w:rsidRPr="002F50BD">
        <w:rPr>
          <w:rFonts w:ascii="Verdana" w:hAnsi="Verdana"/>
          <w:sz w:val="20"/>
          <w:lang w:val="pt-BR"/>
        </w:rPr>
        <w:t xml:space="preserve"> o </w:t>
      </w:r>
      <w:r w:rsidR="00AB454A" w:rsidRPr="002F50BD">
        <w:rPr>
          <w:rFonts w:ascii="Verdana" w:hAnsi="Verdana"/>
          <w:sz w:val="20"/>
          <w:lang w:val="pt-BR"/>
        </w:rPr>
        <w:t>assentamento</w:t>
      </w:r>
      <w:r w:rsidRPr="002F50BD">
        <w:rPr>
          <w:rFonts w:ascii="Verdana" w:hAnsi="Verdana"/>
          <w:sz w:val="20"/>
          <w:lang w:val="pt-BR"/>
        </w:rPr>
        <w:t xml:space="preserve"> dos </w:t>
      </w:r>
      <w:r w:rsidR="004756C1" w:rsidRPr="002F50BD">
        <w:rPr>
          <w:rFonts w:ascii="Verdana" w:hAnsi="Verdana"/>
          <w:sz w:val="20"/>
          <w:lang w:val="pt-BR"/>
        </w:rPr>
        <w:t>indígenas.</w:t>
      </w:r>
    </w:p>
    <w:p w:rsidR="004756C1" w:rsidRPr="002F50BD" w:rsidRDefault="0089298C">
      <w:pPr>
        <w:jc w:val="both"/>
        <w:rPr>
          <w:rFonts w:ascii="Verdana" w:hAnsi="Verdana"/>
          <w:sz w:val="20"/>
          <w:lang w:val="pt-BR"/>
        </w:rPr>
      </w:pPr>
      <w:r w:rsidRPr="002F50BD">
        <w:rPr>
          <w:rFonts w:ascii="Verdana" w:hAnsi="Verdana"/>
          <w:sz w:val="20"/>
          <w:lang w:val="pt-BR"/>
        </w:rPr>
        <w:cr/>
      </w:r>
      <w:r w:rsidR="00CC31B6" w:rsidRPr="002F50BD">
        <w:rPr>
          <w:rFonts w:ascii="Verdana" w:hAnsi="Verdana"/>
          <w:i/>
          <w:sz w:val="20"/>
          <w:lang w:val="pt-BR"/>
        </w:rPr>
        <w:t>La</w:t>
      </w:r>
      <w:r w:rsidRPr="002F50BD">
        <w:rPr>
          <w:rFonts w:ascii="Verdana" w:hAnsi="Verdana"/>
          <w:i/>
          <w:sz w:val="20"/>
          <w:lang w:val="pt-BR"/>
        </w:rPr>
        <w:t xml:space="preserve"> </w:t>
      </w:r>
      <w:r w:rsidR="004756C1" w:rsidRPr="002F50BD">
        <w:rPr>
          <w:rFonts w:ascii="Verdana" w:hAnsi="Verdana"/>
          <w:i/>
          <w:sz w:val="20"/>
          <w:lang w:val="pt-BR"/>
        </w:rPr>
        <w:t>Herencia</w:t>
      </w:r>
      <w:r w:rsidRPr="002F50BD">
        <w:rPr>
          <w:rFonts w:ascii="Verdana" w:hAnsi="Verdana"/>
          <w:sz w:val="20"/>
          <w:lang w:val="pt-BR"/>
        </w:rPr>
        <w:t xml:space="preserve"> foi um projeto</w:t>
      </w:r>
      <w:r w:rsidR="004756C1" w:rsidRPr="002F50BD">
        <w:rPr>
          <w:rFonts w:ascii="Verdana" w:hAnsi="Verdana"/>
          <w:sz w:val="20"/>
          <w:lang w:val="pt-BR"/>
        </w:rPr>
        <w:t xml:space="preserve"> de </w:t>
      </w:r>
      <w:r w:rsidRPr="002F50BD">
        <w:rPr>
          <w:rFonts w:ascii="Verdana" w:hAnsi="Verdana"/>
          <w:sz w:val="20"/>
          <w:lang w:val="pt-BR"/>
        </w:rPr>
        <w:t>desenvolvimento</w:t>
      </w:r>
      <w:r w:rsidR="004756C1" w:rsidRPr="002F50BD">
        <w:rPr>
          <w:rFonts w:ascii="Verdana" w:hAnsi="Verdana"/>
          <w:sz w:val="20"/>
          <w:lang w:val="pt-BR"/>
        </w:rPr>
        <w:t xml:space="preserve"> integral que incluía </w:t>
      </w:r>
      <w:r w:rsidRPr="002F50BD">
        <w:rPr>
          <w:rFonts w:ascii="Verdana" w:hAnsi="Verdana"/>
          <w:sz w:val="20"/>
          <w:lang w:val="pt-BR"/>
        </w:rPr>
        <w:t>apoio</w:t>
      </w:r>
      <w:r w:rsidR="004756C1" w:rsidRPr="002F50BD">
        <w:rPr>
          <w:rFonts w:ascii="Verdana" w:hAnsi="Verdana"/>
          <w:sz w:val="20"/>
          <w:lang w:val="pt-BR"/>
        </w:rPr>
        <w:t xml:space="preserve"> agrícola,</w:t>
      </w:r>
      <w:r w:rsidRPr="002F50BD">
        <w:rPr>
          <w:rFonts w:ascii="Verdana" w:hAnsi="Verdana"/>
          <w:sz w:val="20"/>
          <w:lang w:val="pt-BR"/>
        </w:rPr>
        <w:t xml:space="preserve"> em saúde e em </w:t>
      </w:r>
      <w:r w:rsidR="004756C1" w:rsidRPr="002F50BD">
        <w:rPr>
          <w:rFonts w:ascii="Verdana" w:hAnsi="Verdana"/>
          <w:sz w:val="20"/>
          <w:lang w:val="pt-BR"/>
        </w:rPr>
        <w:t>educa</w:t>
      </w:r>
      <w:r w:rsidRPr="002F50BD">
        <w:rPr>
          <w:rFonts w:ascii="Verdana" w:hAnsi="Verdana"/>
          <w:sz w:val="20"/>
          <w:lang w:val="pt-BR"/>
        </w:rPr>
        <w:t>ção</w:t>
      </w:r>
      <w:r w:rsidR="004756C1" w:rsidRPr="002F50BD">
        <w:rPr>
          <w:rFonts w:ascii="Verdana" w:hAnsi="Verdana"/>
          <w:sz w:val="20"/>
          <w:lang w:val="pt-BR"/>
        </w:rPr>
        <w:t xml:space="preserve">. </w:t>
      </w:r>
      <w:r w:rsidR="00591998" w:rsidRPr="002F50BD">
        <w:rPr>
          <w:rFonts w:ascii="Verdana" w:hAnsi="Verdana"/>
          <w:sz w:val="20"/>
          <w:lang w:val="pt-BR"/>
        </w:rPr>
        <w:t xml:space="preserve">No âmbito </w:t>
      </w:r>
      <w:r w:rsidRPr="002F50BD">
        <w:rPr>
          <w:rFonts w:ascii="Verdana" w:hAnsi="Verdana"/>
          <w:sz w:val="20"/>
          <w:lang w:val="pt-BR"/>
        </w:rPr>
        <w:t>do projeto</w:t>
      </w:r>
      <w:r w:rsidR="004756C1" w:rsidRPr="002F50BD">
        <w:rPr>
          <w:rFonts w:ascii="Verdana" w:hAnsi="Verdana"/>
          <w:sz w:val="20"/>
          <w:lang w:val="pt-BR"/>
        </w:rPr>
        <w:t xml:space="preserve">, </w:t>
      </w:r>
      <w:r w:rsidR="00CC31B6" w:rsidRPr="002F50BD">
        <w:rPr>
          <w:rFonts w:ascii="Verdana" w:hAnsi="Verdana"/>
          <w:sz w:val="20"/>
          <w:lang w:val="pt-BR"/>
        </w:rPr>
        <w:t xml:space="preserve">foram compradas </w:t>
      </w:r>
      <w:r w:rsidRPr="002F50BD">
        <w:rPr>
          <w:rFonts w:ascii="Verdana" w:hAnsi="Verdana"/>
          <w:sz w:val="20"/>
          <w:lang w:val="pt-BR"/>
        </w:rPr>
        <w:t xml:space="preserve">três </w:t>
      </w:r>
      <w:r w:rsidR="004756C1" w:rsidRPr="002F50BD">
        <w:rPr>
          <w:rFonts w:ascii="Verdana" w:hAnsi="Verdana"/>
          <w:sz w:val="20"/>
          <w:lang w:val="pt-BR"/>
        </w:rPr>
        <w:t>fr</w:t>
      </w:r>
      <w:r w:rsidRPr="002F50BD">
        <w:rPr>
          <w:rFonts w:ascii="Verdana" w:hAnsi="Verdana"/>
          <w:sz w:val="20"/>
          <w:lang w:val="pt-BR"/>
        </w:rPr>
        <w:t>ações</w:t>
      </w:r>
      <w:r w:rsidR="004756C1" w:rsidRPr="002F50BD">
        <w:rPr>
          <w:rFonts w:ascii="Verdana" w:hAnsi="Verdana"/>
          <w:sz w:val="20"/>
          <w:lang w:val="pt-BR"/>
        </w:rPr>
        <w:t xml:space="preserve"> de </w:t>
      </w:r>
      <w:r w:rsidRPr="002F50BD">
        <w:rPr>
          <w:rFonts w:ascii="Verdana" w:hAnsi="Verdana"/>
          <w:sz w:val="20"/>
          <w:lang w:val="pt-BR"/>
        </w:rPr>
        <w:t>terra</w:t>
      </w:r>
      <w:r w:rsidR="000F2A3D" w:rsidRPr="002F50BD">
        <w:rPr>
          <w:rFonts w:ascii="Verdana" w:hAnsi="Verdana"/>
          <w:sz w:val="20"/>
          <w:lang w:val="pt-BR"/>
        </w:rPr>
        <w:t xml:space="preserve">. Em </w:t>
      </w:r>
      <w:r w:rsidR="00063B47" w:rsidRPr="002F50BD">
        <w:rPr>
          <w:rFonts w:ascii="Verdana" w:hAnsi="Verdana"/>
          <w:sz w:val="20"/>
          <w:lang w:val="pt-BR"/>
        </w:rPr>
        <w:t>1980</w:t>
      </w:r>
      <w:r w:rsidR="00591998" w:rsidRPr="002F50BD">
        <w:rPr>
          <w:rFonts w:ascii="Verdana" w:hAnsi="Verdana"/>
          <w:sz w:val="20"/>
          <w:lang w:val="pt-BR"/>
        </w:rPr>
        <w:t>,</w:t>
      </w:r>
      <w:r w:rsidR="004756C1" w:rsidRPr="002F50BD">
        <w:rPr>
          <w:rFonts w:ascii="Verdana" w:hAnsi="Verdana"/>
          <w:sz w:val="20"/>
          <w:lang w:val="pt-BR"/>
        </w:rPr>
        <w:t xml:space="preserve"> </w:t>
      </w:r>
      <w:r w:rsidR="00CC31B6" w:rsidRPr="002F50BD">
        <w:rPr>
          <w:rFonts w:ascii="Verdana" w:hAnsi="Verdana"/>
          <w:sz w:val="20"/>
          <w:lang w:val="pt-BR"/>
        </w:rPr>
        <w:t xml:space="preserve">comprou-se </w:t>
      </w:r>
      <w:r w:rsidRPr="002F50BD">
        <w:rPr>
          <w:rFonts w:ascii="Verdana" w:hAnsi="Verdana"/>
          <w:sz w:val="20"/>
          <w:lang w:val="pt-BR"/>
        </w:rPr>
        <w:t>a terra</w:t>
      </w:r>
      <w:r w:rsidR="004756C1" w:rsidRPr="002F50BD">
        <w:rPr>
          <w:rFonts w:ascii="Verdana" w:hAnsi="Verdana"/>
          <w:sz w:val="20"/>
          <w:lang w:val="pt-BR"/>
        </w:rPr>
        <w:t xml:space="preserve"> de </w:t>
      </w:r>
      <w:r w:rsidR="004756C1" w:rsidRPr="002F50BD">
        <w:rPr>
          <w:rFonts w:ascii="Verdana" w:hAnsi="Verdana"/>
          <w:i/>
          <w:sz w:val="20"/>
          <w:lang w:val="pt-BR"/>
        </w:rPr>
        <w:t>Sombrero Piri</w:t>
      </w:r>
      <w:r w:rsidR="004756C1" w:rsidRPr="002F50BD">
        <w:rPr>
          <w:rFonts w:ascii="Verdana" w:hAnsi="Verdana"/>
          <w:sz w:val="20"/>
          <w:lang w:val="pt-BR"/>
        </w:rPr>
        <w:t>;</w:t>
      </w:r>
      <w:r w:rsidRPr="002F50BD">
        <w:rPr>
          <w:rFonts w:ascii="Verdana" w:hAnsi="Verdana"/>
          <w:sz w:val="20"/>
          <w:lang w:val="pt-BR"/>
        </w:rPr>
        <w:t xml:space="preserve"> em </w:t>
      </w:r>
      <w:r w:rsidR="00063B47" w:rsidRPr="002F50BD">
        <w:rPr>
          <w:rFonts w:ascii="Verdana" w:hAnsi="Verdana"/>
          <w:sz w:val="20"/>
          <w:lang w:val="pt-BR"/>
        </w:rPr>
        <w:t>1982</w:t>
      </w:r>
      <w:r w:rsidR="004756C1" w:rsidRPr="002F50BD">
        <w:rPr>
          <w:rFonts w:ascii="Verdana" w:hAnsi="Verdana"/>
          <w:sz w:val="20"/>
          <w:lang w:val="pt-BR"/>
        </w:rPr>
        <w:t>,</w:t>
      </w:r>
      <w:r w:rsidRPr="002F50BD">
        <w:rPr>
          <w:rFonts w:ascii="Verdana" w:hAnsi="Verdana"/>
          <w:sz w:val="20"/>
          <w:lang w:val="pt-BR"/>
        </w:rPr>
        <w:t xml:space="preserve"> </w:t>
      </w:r>
      <w:r w:rsidR="00CC31B6" w:rsidRPr="002F50BD">
        <w:rPr>
          <w:rFonts w:ascii="Verdana" w:hAnsi="Verdana"/>
          <w:i/>
          <w:sz w:val="20"/>
          <w:lang w:val="pt-BR"/>
        </w:rPr>
        <w:t>L</w:t>
      </w:r>
      <w:r w:rsidRPr="002F50BD">
        <w:rPr>
          <w:rFonts w:ascii="Verdana" w:hAnsi="Verdana"/>
          <w:i/>
          <w:sz w:val="20"/>
          <w:lang w:val="pt-BR"/>
        </w:rPr>
        <w:t xml:space="preserve">a </w:t>
      </w:r>
      <w:r w:rsidR="004756C1" w:rsidRPr="002F50BD">
        <w:rPr>
          <w:rFonts w:ascii="Verdana" w:hAnsi="Verdana"/>
          <w:i/>
          <w:sz w:val="20"/>
          <w:lang w:val="pt-BR"/>
        </w:rPr>
        <w:t>Patria</w:t>
      </w:r>
      <w:r w:rsidRPr="002F50BD">
        <w:rPr>
          <w:rFonts w:ascii="Verdana" w:hAnsi="Verdana"/>
          <w:sz w:val="20"/>
          <w:lang w:val="pt-BR"/>
        </w:rPr>
        <w:t xml:space="preserve"> e em </w:t>
      </w:r>
      <w:r w:rsidR="00063B47" w:rsidRPr="002F50BD">
        <w:rPr>
          <w:rFonts w:ascii="Verdana" w:hAnsi="Verdana"/>
          <w:sz w:val="20"/>
          <w:lang w:val="pt-BR"/>
        </w:rPr>
        <w:t>1984</w:t>
      </w:r>
      <w:r w:rsidR="004756C1" w:rsidRPr="002F50BD">
        <w:rPr>
          <w:rFonts w:ascii="Verdana" w:hAnsi="Verdana"/>
          <w:sz w:val="20"/>
          <w:lang w:val="pt-BR"/>
        </w:rPr>
        <w:t>,</w:t>
      </w:r>
      <w:r w:rsidRPr="002F50BD">
        <w:rPr>
          <w:rFonts w:ascii="Verdana" w:hAnsi="Verdana"/>
          <w:sz w:val="20"/>
          <w:lang w:val="pt-BR"/>
        </w:rPr>
        <w:t xml:space="preserve"> </w:t>
      </w:r>
      <w:r w:rsidR="00CC31B6" w:rsidRPr="002F50BD">
        <w:rPr>
          <w:rFonts w:ascii="Verdana" w:hAnsi="Verdana"/>
          <w:i/>
          <w:sz w:val="20"/>
          <w:lang w:val="pt-BR"/>
        </w:rPr>
        <w:t>El</w:t>
      </w:r>
      <w:r w:rsidRPr="002F50BD">
        <w:rPr>
          <w:rFonts w:ascii="Verdana" w:hAnsi="Verdana"/>
          <w:i/>
          <w:sz w:val="20"/>
          <w:lang w:val="pt-BR"/>
        </w:rPr>
        <w:t xml:space="preserve"> </w:t>
      </w:r>
      <w:r w:rsidR="004756C1" w:rsidRPr="002F50BD">
        <w:rPr>
          <w:rFonts w:ascii="Verdana" w:hAnsi="Verdana"/>
          <w:i/>
          <w:sz w:val="20"/>
          <w:lang w:val="pt-BR"/>
        </w:rPr>
        <w:t>Estribo</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As terra</w:t>
      </w:r>
      <w:r w:rsidR="004756C1" w:rsidRPr="002F50BD">
        <w:rPr>
          <w:rFonts w:ascii="Verdana" w:hAnsi="Verdana"/>
          <w:sz w:val="20"/>
          <w:lang w:val="pt-BR"/>
        </w:rPr>
        <w:t xml:space="preserve">s </w:t>
      </w:r>
      <w:r w:rsidRPr="002F50BD">
        <w:rPr>
          <w:rFonts w:ascii="Verdana" w:hAnsi="Verdana"/>
          <w:sz w:val="20"/>
          <w:lang w:val="pt-BR"/>
        </w:rPr>
        <w:t>d</w:t>
      </w:r>
      <w:r w:rsidR="00CC31B6" w:rsidRPr="002F50BD">
        <w:rPr>
          <w:rFonts w:ascii="Verdana" w:hAnsi="Verdana"/>
          <w:sz w:val="20"/>
          <w:lang w:val="pt-BR"/>
        </w:rPr>
        <w:t>e El</w:t>
      </w:r>
      <w:r w:rsidRPr="002F50BD">
        <w:rPr>
          <w:rFonts w:ascii="Verdana" w:hAnsi="Verdana"/>
          <w:sz w:val="20"/>
          <w:lang w:val="pt-BR"/>
        </w:rPr>
        <w:t xml:space="preserve"> </w:t>
      </w:r>
      <w:r w:rsidR="004756C1" w:rsidRPr="002F50BD">
        <w:rPr>
          <w:rFonts w:ascii="Verdana" w:hAnsi="Verdana"/>
          <w:sz w:val="20"/>
          <w:lang w:val="pt-BR"/>
        </w:rPr>
        <w:t xml:space="preserve">Estribo </w:t>
      </w:r>
      <w:r w:rsidR="00CC31B6" w:rsidRPr="002F50BD">
        <w:rPr>
          <w:rFonts w:ascii="Verdana" w:hAnsi="Verdana"/>
          <w:sz w:val="20"/>
          <w:lang w:val="pt-BR"/>
        </w:rPr>
        <w:t xml:space="preserve">foram compradas na região </w:t>
      </w:r>
      <w:r w:rsidR="004756C1" w:rsidRPr="002F50BD">
        <w:rPr>
          <w:rFonts w:ascii="Verdana" w:hAnsi="Verdana"/>
          <w:sz w:val="20"/>
          <w:lang w:val="pt-BR"/>
        </w:rPr>
        <w:t xml:space="preserve">menonita, </w:t>
      </w:r>
      <w:r w:rsidRPr="002F50BD">
        <w:rPr>
          <w:rFonts w:ascii="Verdana" w:hAnsi="Verdana"/>
          <w:sz w:val="20"/>
          <w:lang w:val="pt-BR"/>
        </w:rPr>
        <w:t xml:space="preserve">correspondente à terra dos </w:t>
      </w:r>
      <w:r w:rsidR="004756C1" w:rsidRPr="002F50BD">
        <w:rPr>
          <w:rFonts w:ascii="Verdana" w:hAnsi="Verdana"/>
          <w:sz w:val="20"/>
          <w:lang w:val="pt-BR"/>
        </w:rPr>
        <w:t xml:space="preserve">Enxet </w:t>
      </w:r>
      <w:r w:rsidR="004756C1" w:rsidRPr="002F50BD" w:rsidDel="00C74E63">
        <w:rPr>
          <w:rFonts w:ascii="Verdana" w:hAnsi="Verdana"/>
          <w:sz w:val="20"/>
          <w:lang w:val="pt-BR"/>
        </w:rPr>
        <w:t>Norte</w:t>
      </w:r>
      <w:r w:rsidR="004756C1" w:rsidRPr="002F50BD">
        <w:rPr>
          <w:rFonts w:ascii="Verdana" w:hAnsi="Verdana"/>
          <w:sz w:val="20"/>
          <w:lang w:val="pt-BR"/>
        </w:rPr>
        <w:t xml:space="preserve">, </w:t>
      </w:r>
      <w:r w:rsidRPr="002F50BD">
        <w:rPr>
          <w:rFonts w:ascii="Verdana" w:hAnsi="Verdana"/>
          <w:sz w:val="20"/>
          <w:lang w:val="pt-BR"/>
        </w:rPr>
        <w:t xml:space="preserve">mais ao </w:t>
      </w:r>
      <w:r w:rsidR="004756C1" w:rsidRPr="002F50BD">
        <w:rPr>
          <w:rFonts w:ascii="Verdana" w:hAnsi="Verdana"/>
          <w:sz w:val="20"/>
          <w:lang w:val="pt-BR"/>
        </w:rPr>
        <w:t>norte</w:t>
      </w:r>
      <w:r w:rsidRPr="002F50BD">
        <w:rPr>
          <w:rFonts w:ascii="Verdana" w:hAnsi="Verdana"/>
          <w:sz w:val="20"/>
          <w:lang w:val="pt-BR"/>
        </w:rPr>
        <w:t xml:space="preserve"> da </w:t>
      </w:r>
      <w:r w:rsidR="004756C1" w:rsidRPr="002F50BD">
        <w:rPr>
          <w:rFonts w:ascii="Verdana" w:hAnsi="Verdana"/>
          <w:sz w:val="20"/>
          <w:lang w:val="pt-BR"/>
        </w:rPr>
        <w:t>zona anglicana</w:t>
      </w:r>
      <w:r w:rsidR="001A0CDE" w:rsidRPr="002F50BD">
        <w:rPr>
          <w:rFonts w:ascii="Verdana" w:hAnsi="Verdana"/>
          <w:sz w:val="20"/>
          <w:lang w:val="pt-BR"/>
        </w:rPr>
        <w:t>. Est</w:t>
      </w:r>
      <w:r w:rsidR="00CC31B6" w:rsidRPr="002F50BD">
        <w:rPr>
          <w:rFonts w:ascii="Verdana" w:hAnsi="Verdana"/>
          <w:sz w:val="20"/>
          <w:lang w:val="pt-BR"/>
        </w:rPr>
        <w:t>e</w:t>
      </w:r>
      <w:r w:rsidR="004756C1" w:rsidRPr="002F50BD">
        <w:rPr>
          <w:rFonts w:ascii="Verdana" w:hAnsi="Verdana"/>
          <w:sz w:val="20"/>
          <w:lang w:val="pt-BR"/>
        </w:rPr>
        <w:t>s</w:t>
      </w:r>
      <w:r w:rsidRPr="002F50BD">
        <w:rPr>
          <w:rFonts w:ascii="Verdana" w:hAnsi="Verdana"/>
          <w:sz w:val="20"/>
          <w:lang w:val="pt-BR"/>
        </w:rPr>
        <w:t xml:space="preserve"> dez </w:t>
      </w:r>
      <w:r w:rsidR="004756C1" w:rsidRPr="002F50BD">
        <w:rPr>
          <w:rFonts w:ascii="Verdana" w:hAnsi="Verdana"/>
          <w:sz w:val="20"/>
          <w:lang w:val="pt-BR"/>
        </w:rPr>
        <w:t xml:space="preserve">mil </w:t>
      </w:r>
      <w:r w:rsidR="00E10DBB" w:rsidRPr="002F50BD">
        <w:rPr>
          <w:rFonts w:ascii="Verdana" w:hAnsi="Verdana"/>
          <w:sz w:val="20"/>
          <w:lang w:val="pt-BR"/>
        </w:rPr>
        <w:t>hectares</w:t>
      </w:r>
      <w:r w:rsidR="004756C1" w:rsidRPr="002F50BD">
        <w:rPr>
          <w:rFonts w:ascii="Verdana" w:hAnsi="Verdana"/>
          <w:sz w:val="20"/>
          <w:lang w:val="pt-BR"/>
        </w:rPr>
        <w:t xml:space="preserve"> </w:t>
      </w:r>
      <w:r w:rsidRPr="002F50BD">
        <w:rPr>
          <w:rFonts w:ascii="Verdana" w:hAnsi="Verdana"/>
          <w:sz w:val="20"/>
          <w:lang w:val="pt-BR"/>
        </w:rPr>
        <w:t>foram</w:t>
      </w:r>
      <w:r w:rsidR="004756C1" w:rsidRPr="002F50BD">
        <w:rPr>
          <w:rFonts w:ascii="Verdana" w:hAnsi="Verdana"/>
          <w:sz w:val="20"/>
          <w:lang w:val="pt-BR"/>
        </w:rPr>
        <w:t xml:space="preserve"> conseguid</w:t>
      </w:r>
      <w:r w:rsidR="00CC31B6" w:rsidRPr="002F50BD">
        <w:rPr>
          <w:rFonts w:ascii="Verdana" w:hAnsi="Verdana"/>
          <w:sz w:val="20"/>
          <w:lang w:val="pt-BR"/>
        </w:rPr>
        <w:t>o</w:t>
      </w:r>
      <w:r w:rsidR="004756C1" w:rsidRPr="002F50BD">
        <w:rPr>
          <w:rFonts w:ascii="Verdana" w:hAnsi="Verdana"/>
          <w:sz w:val="20"/>
          <w:lang w:val="pt-BR"/>
        </w:rPr>
        <w:t xml:space="preserve">s pensando </w:t>
      </w:r>
      <w:r w:rsidRPr="002F50BD">
        <w:rPr>
          <w:rFonts w:ascii="Verdana" w:hAnsi="Verdana"/>
          <w:sz w:val="20"/>
          <w:lang w:val="pt-BR"/>
        </w:rPr>
        <w:t xml:space="preserve">apenas na comunidade </w:t>
      </w:r>
      <w:r w:rsidR="004756C1" w:rsidRPr="002F50BD">
        <w:rPr>
          <w:rFonts w:ascii="Verdana" w:hAnsi="Verdana"/>
          <w:sz w:val="20"/>
          <w:lang w:val="pt-BR"/>
        </w:rPr>
        <w:t>de Makxlawaya que</w:t>
      </w:r>
      <w:r w:rsidR="00591998" w:rsidRPr="002F50BD">
        <w:rPr>
          <w:rFonts w:ascii="Verdana" w:hAnsi="Verdana"/>
          <w:sz w:val="20"/>
          <w:lang w:val="pt-BR"/>
        </w:rPr>
        <w:t>,</w:t>
      </w:r>
      <w:r w:rsidRPr="002F50BD">
        <w:rPr>
          <w:rFonts w:ascii="Verdana" w:hAnsi="Verdana"/>
          <w:sz w:val="20"/>
          <w:lang w:val="pt-BR"/>
        </w:rPr>
        <w:t xml:space="preserve"> </w:t>
      </w:r>
      <w:r w:rsidR="004076AD" w:rsidRPr="002F50BD">
        <w:rPr>
          <w:rFonts w:ascii="Verdana" w:hAnsi="Verdana"/>
          <w:sz w:val="20"/>
          <w:lang w:val="pt-BR"/>
        </w:rPr>
        <w:t>naquel</w:t>
      </w:r>
      <w:r w:rsidR="00CC31B6" w:rsidRPr="002F50BD">
        <w:rPr>
          <w:rFonts w:ascii="Verdana" w:hAnsi="Verdana"/>
          <w:sz w:val="20"/>
          <w:lang w:val="pt-BR"/>
        </w:rPr>
        <w:t>a</w:t>
      </w:r>
      <w:r w:rsidR="004756C1" w:rsidRPr="002F50BD">
        <w:rPr>
          <w:rFonts w:ascii="Verdana" w:hAnsi="Verdana"/>
          <w:sz w:val="20"/>
          <w:lang w:val="pt-BR"/>
        </w:rPr>
        <w:t xml:space="preserve"> </w:t>
      </w:r>
      <w:r w:rsidR="00CC31B6" w:rsidRPr="002F50BD">
        <w:rPr>
          <w:rFonts w:ascii="Verdana" w:hAnsi="Verdana"/>
          <w:sz w:val="20"/>
          <w:lang w:val="pt-BR"/>
        </w:rPr>
        <w:t>época</w:t>
      </w:r>
      <w:r w:rsidR="00591998" w:rsidRPr="002F50BD">
        <w:rPr>
          <w:rFonts w:ascii="Verdana" w:hAnsi="Verdana"/>
          <w:sz w:val="20"/>
          <w:lang w:val="pt-BR"/>
        </w:rPr>
        <w:t>,</w:t>
      </w:r>
      <w:r w:rsidR="00CC31B6" w:rsidRPr="002F50BD">
        <w:rPr>
          <w:rFonts w:ascii="Verdana" w:hAnsi="Verdana"/>
          <w:sz w:val="20"/>
          <w:lang w:val="pt-BR"/>
        </w:rPr>
        <w:t xml:space="preserve"> </w:t>
      </w:r>
      <w:r w:rsidRPr="002F50BD">
        <w:rPr>
          <w:rFonts w:ascii="Verdana" w:hAnsi="Verdana"/>
          <w:sz w:val="20"/>
          <w:lang w:val="pt-BR"/>
        </w:rPr>
        <w:t>havia</w:t>
      </w:r>
      <w:r w:rsidR="004756C1" w:rsidRPr="002F50BD">
        <w:rPr>
          <w:rFonts w:ascii="Verdana" w:hAnsi="Verdana"/>
          <w:sz w:val="20"/>
          <w:lang w:val="pt-BR"/>
        </w:rPr>
        <w:t xml:space="preserve"> </w:t>
      </w:r>
      <w:r w:rsidR="009F6EEA" w:rsidRPr="002F50BD">
        <w:rPr>
          <w:rFonts w:ascii="Verdana" w:hAnsi="Verdana"/>
          <w:sz w:val="20"/>
          <w:lang w:val="pt-BR"/>
        </w:rPr>
        <w:t xml:space="preserve">chegado a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700</w:t>
      </w:r>
      <w:r w:rsidR="004756C1" w:rsidRPr="002F50BD">
        <w:rPr>
          <w:rFonts w:ascii="Verdana" w:hAnsi="Verdana"/>
          <w:sz w:val="20"/>
          <w:lang w:val="pt-BR"/>
        </w:rPr>
        <w:t xml:space="preserve"> </w:t>
      </w:r>
      <w:r w:rsidRPr="002F50BD">
        <w:rPr>
          <w:rFonts w:ascii="Verdana" w:hAnsi="Verdana"/>
          <w:sz w:val="20"/>
          <w:lang w:val="pt-BR"/>
        </w:rPr>
        <w:t>pessoa</w:t>
      </w:r>
      <w:r w:rsidR="004756C1" w:rsidRPr="002F50BD">
        <w:rPr>
          <w:rFonts w:ascii="Verdana" w:hAnsi="Verdana"/>
          <w:sz w:val="20"/>
          <w:lang w:val="pt-BR"/>
        </w:rPr>
        <w:t xml:space="preserve">s. </w:t>
      </w:r>
      <w:r w:rsidR="004F64EE" w:rsidRPr="002F50BD">
        <w:rPr>
          <w:rFonts w:ascii="Verdana" w:hAnsi="Verdana"/>
          <w:sz w:val="20"/>
          <w:lang w:val="pt-BR"/>
        </w:rPr>
        <w:t>Entretanto</w:t>
      </w:r>
      <w:r w:rsidR="004756C1" w:rsidRPr="002F50BD">
        <w:rPr>
          <w:rFonts w:ascii="Verdana" w:hAnsi="Verdana"/>
          <w:sz w:val="20"/>
          <w:lang w:val="pt-BR"/>
        </w:rPr>
        <w:t xml:space="preserve">, </w:t>
      </w:r>
      <w:r w:rsidRPr="002F50BD">
        <w:rPr>
          <w:rFonts w:ascii="Verdana" w:hAnsi="Verdana"/>
          <w:sz w:val="20"/>
          <w:lang w:val="pt-BR"/>
        </w:rPr>
        <w:t>outra</w:t>
      </w:r>
      <w:r w:rsidR="004756C1" w:rsidRPr="002F50BD">
        <w:rPr>
          <w:rFonts w:ascii="Verdana" w:hAnsi="Verdana"/>
          <w:sz w:val="20"/>
          <w:lang w:val="pt-BR"/>
        </w:rPr>
        <w:t xml:space="preserve">s comunidades indígenas que </w:t>
      </w:r>
      <w:r w:rsidR="00CD7100" w:rsidRPr="002F50BD">
        <w:rPr>
          <w:rFonts w:ascii="Verdana" w:hAnsi="Verdana"/>
          <w:sz w:val="20"/>
          <w:lang w:val="pt-BR"/>
        </w:rPr>
        <w:t>viviam</w:t>
      </w:r>
      <w:r w:rsidRPr="002F50BD">
        <w:rPr>
          <w:rFonts w:ascii="Verdana" w:hAnsi="Verdana"/>
          <w:sz w:val="20"/>
          <w:lang w:val="pt-BR"/>
        </w:rPr>
        <w:t xml:space="preserve"> em </w:t>
      </w:r>
      <w:r w:rsidR="004F64EE" w:rsidRPr="002F50BD">
        <w:rPr>
          <w:rFonts w:ascii="Verdana" w:hAnsi="Verdana"/>
          <w:sz w:val="20"/>
          <w:lang w:val="pt-BR"/>
        </w:rPr>
        <w:t>fazendas</w:t>
      </w:r>
      <w:r w:rsidR="00CC31B6" w:rsidRPr="002F50BD">
        <w:rPr>
          <w:rFonts w:ascii="Verdana" w:hAnsi="Verdana"/>
          <w:sz w:val="20"/>
          <w:lang w:val="pt-BR"/>
        </w:rPr>
        <w:t xml:space="preserve"> </w:t>
      </w:r>
      <w:r w:rsidR="004756C1" w:rsidRPr="002F50BD">
        <w:rPr>
          <w:rFonts w:ascii="Verdana" w:hAnsi="Verdana"/>
          <w:sz w:val="20"/>
          <w:lang w:val="pt-BR"/>
        </w:rPr>
        <w:t>como Loma Verde, Maroma, Loma Porá</w:t>
      </w:r>
      <w:r w:rsidRPr="002F50BD">
        <w:rPr>
          <w:rFonts w:ascii="Verdana" w:hAnsi="Verdana"/>
          <w:sz w:val="20"/>
          <w:lang w:val="pt-BR"/>
        </w:rPr>
        <w:t xml:space="preserve"> e </w:t>
      </w:r>
      <w:r w:rsidR="004756C1" w:rsidRPr="002F50BD">
        <w:rPr>
          <w:rFonts w:ascii="Verdana" w:hAnsi="Verdana"/>
          <w:sz w:val="20"/>
          <w:lang w:val="pt-BR"/>
        </w:rPr>
        <w:t xml:space="preserve">Ledesma </w:t>
      </w:r>
      <w:r w:rsidR="00CC31B6" w:rsidRPr="002F50BD">
        <w:rPr>
          <w:rFonts w:ascii="Verdana" w:hAnsi="Verdana"/>
          <w:sz w:val="20"/>
          <w:lang w:val="pt-BR"/>
        </w:rPr>
        <w:t xml:space="preserve">ouviram </w:t>
      </w:r>
      <w:r w:rsidR="004756C1" w:rsidRPr="002F50BD">
        <w:rPr>
          <w:rFonts w:ascii="Verdana" w:hAnsi="Verdana"/>
          <w:sz w:val="20"/>
          <w:lang w:val="pt-BR"/>
        </w:rPr>
        <w:t xml:space="preserve">que </w:t>
      </w:r>
      <w:r w:rsidRPr="002F50BD">
        <w:rPr>
          <w:rFonts w:ascii="Verdana" w:hAnsi="Verdana"/>
          <w:sz w:val="20"/>
          <w:lang w:val="pt-BR"/>
        </w:rPr>
        <w:t xml:space="preserve">existia a possibilidade </w:t>
      </w:r>
      <w:r w:rsidR="004756C1" w:rsidRPr="002F50BD">
        <w:rPr>
          <w:rFonts w:ascii="Verdana" w:hAnsi="Verdana"/>
          <w:sz w:val="20"/>
          <w:lang w:val="pt-BR"/>
        </w:rPr>
        <w:t>de ir a</w:t>
      </w:r>
      <w:r w:rsidRPr="002F50BD">
        <w:rPr>
          <w:rFonts w:ascii="Verdana" w:hAnsi="Verdana"/>
          <w:sz w:val="20"/>
          <w:lang w:val="pt-BR"/>
        </w:rPr>
        <w:t xml:space="preserve"> </w:t>
      </w:r>
      <w:r w:rsidR="00CC31B6" w:rsidRPr="002F50BD">
        <w:rPr>
          <w:rFonts w:ascii="Verdana" w:hAnsi="Verdana"/>
          <w:sz w:val="20"/>
          <w:lang w:val="pt-BR"/>
        </w:rPr>
        <w:t>El</w:t>
      </w:r>
      <w:r w:rsidRPr="002F50BD">
        <w:rPr>
          <w:rFonts w:ascii="Verdana" w:hAnsi="Verdana"/>
          <w:sz w:val="20"/>
          <w:lang w:val="pt-BR"/>
        </w:rPr>
        <w:t xml:space="preserve"> </w:t>
      </w:r>
      <w:r w:rsidR="004756C1" w:rsidRPr="002F50BD">
        <w:rPr>
          <w:rFonts w:ascii="Verdana" w:hAnsi="Verdana"/>
          <w:sz w:val="20"/>
          <w:lang w:val="pt-BR"/>
        </w:rPr>
        <w:t>Estribo</w:t>
      </w:r>
      <w:r w:rsidRPr="002F50BD">
        <w:rPr>
          <w:rFonts w:ascii="Verdana" w:hAnsi="Verdana"/>
          <w:sz w:val="20"/>
          <w:lang w:val="pt-BR"/>
        </w:rPr>
        <w:t xml:space="preserve"> e decidiram</w:t>
      </w:r>
      <w:r w:rsidR="004756C1" w:rsidRPr="002F50BD">
        <w:rPr>
          <w:rFonts w:ascii="Verdana" w:hAnsi="Verdana"/>
          <w:sz w:val="20"/>
          <w:lang w:val="pt-BR"/>
        </w:rPr>
        <w:t xml:space="preserve"> ir.</w:t>
      </w:r>
      <w:r w:rsidR="00FE08B7">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w:t>
      </w:r>
      <w:r w:rsidRPr="002F50BD">
        <w:rPr>
          <w:rFonts w:ascii="Verdana" w:hAnsi="Verdana"/>
          <w:sz w:val="20"/>
          <w:lang w:val="pt-BR"/>
        </w:rPr>
        <w:t xml:space="preserve"> </w:t>
      </w:r>
      <w:r w:rsidR="00CC31B6" w:rsidRPr="002F50BD">
        <w:rPr>
          <w:rFonts w:ascii="Verdana" w:hAnsi="Verdana"/>
          <w:sz w:val="20"/>
          <w:lang w:val="pt-BR"/>
        </w:rPr>
        <w:t xml:space="preserve">as pessoas </w:t>
      </w:r>
      <w:r w:rsidR="004756C1" w:rsidRPr="002F50BD">
        <w:rPr>
          <w:rFonts w:ascii="Verdana" w:hAnsi="Verdana"/>
          <w:sz w:val="20"/>
          <w:lang w:val="pt-BR"/>
        </w:rPr>
        <w:t xml:space="preserve">de Loma Verde </w:t>
      </w:r>
      <w:r w:rsidR="00CC31B6" w:rsidRPr="002F50BD">
        <w:rPr>
          <w:rFonts w:ascii="Verdana" w:hAnsi="Verdana"/>
          <w:sz w:val="20"/>
          <w:lang w:val="pt-BR"/>
        </w:rPr>
        <w:t xml:space="preserve">formaram </w:t>
      </w:r>
      <w:r w:rsidRPr="002F50BD">
        <w:rPr>
          <w:rFonts w:ascii="Verdana" w:hAnsi="Verdana"/>
          <w:sz w:val="20"/>
          <w:lang w:val="pt-BR"/>
        </w:rPr>
        <w:t xml:space="preserve">uma comunidade </w:t>
      </w:r>
      <w:r w:rsidR="004756C1" w:rsidRPr="002F50BD">
        <w:rPr>
          <w:rFonts w:ascii="Verdana" w:hAnsi="Verdana"/>
          <w:sz w:val="20"/>
          <w:lang w:val="pt-BR"/>
        </w:rPr>
        <w:t xml:space="preserve">dentro </w:t>
      </w:r>
      <w:r w:rsidRPr="002F50BD">
        <w:rPr>
          <w:rFonts w:ascii="Verdana" w:hAnsi="Verdana"/>
          <w:sz w:val="20"/>
          <w:lang w:val="pt-BR"/>
        </w:rPr>
        <w:t>d</w:t>
      </w:r>
      <w:r w:rsidR="00CC31B6" w:rsidRPr="002F50BD">
        <w:rPr>
          <w:rFonts w:ascii="Verdana" w:hAnsi="Verdana"/>
          <w:sz w:val="20"/>
          <w:lang w:val="pt-BR"/>
        </w:rPr>
        <w:t>e El</w:t>
      </w:r>
      <w:r w:rsidRPr="002F50BD">
        <w:rPr>
          <w:rFonts w:ascii="Verdana" w:hAnsi="Verdana"/>
          <w:sz w:val="20"/>
          <w:lang w:val="pt-BR"/>
        </w:rPr>
        <w:t xml:space="preserve"> </w:t>
      </w:r>
      <w:r w:rsidR="004756C1" w:rsidRPr="002F50BD">
        <w:rPr>
          <w:rFonts w:ascii="Verdana" w:hAnsi="Verdana"/>
          <w:sz w:val="20"/>
          <w:lang w:val="pt-BR"/>
        </w:rPr>
        <w:t>Estribo.</w:t>
      </w:r>
    </w:p>
    <w:p w:rsidR="004756C1" w:rsidRPr="002F50BD" w:rsidRDefault="004756C1">
      <w:pPr>
        <w:jc w:val="both"/>
        <w:rPr>
          <w:rFonts w:ascii="Verdana" w:hAnsi="Verdana"/>
          <w:sz w:val="20"/>
          <w:lang w:val="pt-BR"/>
        </w:rPr>
      </w:pPr>
    </w:p>
    <w:p w:rsidR="004756C1" w:rsidRPr="002F50BD" w:rsidRDefault="00626F06">
      <w:pPr>
        <w:jc w:val="both"/>
        <w:rPr>
          <w:rFonts w:ascii="Verdana" w:hAnsi="Verdana"/>
          <w:sz w:val="20"/>
          <w:lang w:val="pt-BR"/>
        </w:rPr>
      </w:pPr>
      <w:r w:rsidRPr="002F50BD">
        <w:rPr>
          <w:rFonts w:ascii="Verdana" w:hAnsi="Verdana"/>
          <w:sz w:val="20"/>
          <w:lang w:val="pt-BR"/>
        </w:rPr>
        <w:t>É</w:t>
      </w:r>
      <w:r w:rsidR="004756C1" w:rsidRPr="002F50BD">
        <w:rPr>
          <w:rFonts w:ascii="Verdana" w:hAnsi="Verdana"/>
          <w:sz w:val="20"/>
          <w:lang w:val="pt-BR"/>
        </w:rPr>
        <w:t xml:space="preserve"> claro que</w:t>
      </w:r>
      <w:r w:rsidR="0089298C" w:rsidRPr="002F50BD">
        <w:rPr>
          <w:rFonts w:ascii="Verdana" w:hAnsi="Verdana"/>
          <w:sz w:val="20"/>
          <w:lang w:val="pt-BR"/>
        </w:rPr>
        <w:t xml:space="preserve"> os </w:t>
      </w:r>
      <w:r w:rsidR="004756C1" w:rsidRPr="002F50BD">
        <w:rPr>
          <w:rFonts w:ascii="Verdana" w:hAnsi="Verdana"/>
          <w:sz w:val="20"/>
          <w:lang w:val="pt-BR"/>
        </w:rPr>
        <w:t xml:space="preserve">indígenas </w:t>
      </w:r>
      <w:r w:rsidR="0089298C" w:rsidRPr="002F50BD">
        <w:rPr>
          <w:rFonts w:ascii="Verdana" w:hAnsi="Verdana"/>
          <w:sz w:val="20"/>
          <w:lang w:val="pt-BR"/>
        </w:rPr>
        <w:t>sempre</w:t>
      </w:r>
      <w:r w:rsidR="004756C1" w:rsidRPr="002F50BD">
        <w:rPr>
          <w:rFonts w:ascii="Verdana" w:hAnsi="Verdana"/>
          <w:sz w:val="20"/>
          <w:lang w:val="pt-BR"/>
        </w:rPr>
        <w:t xml:space="preserve"> </w:t>
      </w:r>
      <w:r w:rsidRPr="002F50BD">
        <w:rPr>
          <w:rFonts w:ascii="Verdana" w:hAnsi="Verdana"/>
          <w:sz w:val="20"/>
          <w:lang w:val="pt-BR"/>
        </w:rPr>
        <w:t xml:space="preserve">quiseram </w:t>
      </w:r>
      <w:r w:rsidR="0089298C" w:rsidRPr="002F50BD">
        <w:rPr>
          <w:rFonts w:ascii="Verdana" w:hAnsi="Verdana"/>
          <w:sz w:val="20"/>
          <w:lang w:val="pt-BR"/>
        </w:rPr>
        <w:t>viver nas terra</w:t>
      </w:r>
      <w:r w:rsidR="004756C1" w:rsidRPr="002F50BD">
        <w:rPr>
          <w:rFonts w:ascii="Verdana" w:hAnsi="Verdana"/>
          <w:sz w:val="20"/>
          <w:lang w:val="pt-BR"/>
        </w:rPr>
        <w:t>s</w:t>
      </w:r>
      <w:r w:rsidR="0089298C" w:rsidRPr="002F50BD">
        <w:rPr>
          <w:rFonts w:ascii="Verdana" w:hAnsi="Verdana"/>
          <w:sz w:val="20"/>
          <w:lang w:val="pt-BR"/>
        </w:rPr>
        <w:t xml:space="preserve"> onde</w:t>
      </w:r>
      <w:r w:rsidR="004076AD" w:rsidRPr="002F50BD">
        <w:rPr>
          <w:rFonts w:ascii="Verdana" w:hAnsi="Verdana"/>
          <w:sz w:val="20"/>
          <w:lang w:val="pt-BR"/>
        </w:rPr>
        <w:t xml:space="preserve"> </w:t>
      </w:r>
      <w:r w:rsidRPr="002F50BD">
        <w:rPr>
          <w:rFonts w:ascii="Verdana" w:hAnsi="Verdana"/>
          <w:sz w:val="20"/>
          <w:lang w:val="pt-BR"/>
        </w:rPr>
        <w:t xml:space="preserve">eles </w:t>
      </w:r>
      <w:r w:rsidR="004076AD" w:rsidRPr="002F50BD">
        <w:rPr>
          <w:rFonts w:ascii="Verdana" w:hAnsi="Verdana"/>
          <w:sz w:val="20"/>
          <w:lang w:val="pt-BR"/>
        </w:rPr>
        <w:t xml:space="preserve">haviam </w:t>
      </w:r>
      <w:r w:rsidR="004756C1" w:rsidRPr="002F50BD">
        <w:rPr>
          <w:rFonts w:ascii="Verdana" w:hAnsi="Verdana"/>
          <w:sz w:val="20"/>
          <w:lang w:val="pt-BR"/>
        </w:rPr>
        <w:t>na</w:t>
      </w:r>
      <w:r w:rsidRPr="002F50BD">
        <w:rPr>
          <w:rFonts w:ascii="Verdana" w:hAnsi="Verdana"/>
          <w:sz w:val="20"/>
          <w:lang w:val="pt-BR"/>
        </w:rPr>
        <w:t>s</w:t>
      </w:r>
      <w:r w:rsidR="004756C1" w:rsidRPr="002F50BD">
        <w:rPr>
          <w:rFonts w:ascii="Verdana" w:hAnsi="Verdana"/>
          <w:sz w:val="20"/>
          <w:lang w:val="pt-BR"/>
        </w:rPr>
        <w:t xml:space="preserve">cido, </w:t>
      </w:r>
      <w:r w:rsidRPr="002F50BD">
        <w:rPr>
          <w:rFonts w:ascii="Verdana" w:hAnsi="Verdana"/>
          <w:sz w:val="20"/>
          <w:lang w:val="pt-BR"/>
        </w:rPr>
        <w:t xml:space="preserve">além de </w:t>
      </w:r>
      <w:r w:rsidR="0089298C" w:rsidRPr="002F50BD">
        <w:rPr>
          <w:rFonts w:ascii="Verdana" w:hAnsi="Verdana"/>
          <w:sz w:val="20"/>
          <w:lang w:val="pt-BR"/>
        </w:rPr>
        <w:t xml:space="preserve">seus pais e </w:t>
      </w:r>
      <w:r w:rsidR="00367FD1" w:rsidRPr="002F50BD">
        <w:rPr>
          <w:rFonts w:ascii="Verdana" w:hAnsi="Verdana"/>
          <w:sz w:val="20"/>
          <w:lang w:val="pt-BR"/>
        </w:rPr>
        <w:t>seus avôs</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 xml:space="preserve">No início </w:t>
      </w:r>
      <w:r w:rsidR="0089298C" w:rsidRPr="002F50BD">
        <w:rPr>
          <w:rFonts w:ascii="Verdana" w:hAnsi="Verdana"/>
          <w:sz w:val="20"/>
          <w:lang w:val="pt-BR"/>
        </w:rPr>
        <w:t>dos anos</w:t>
      </w:r>
      <w:r w:rsidR="004756C1" w:rsidRPr="002F50BD">
        <w:rPr>
          <w:rFonts w:ascii="Verdana" w:hAnsi="Verdana"/>
          <w:sz w:val="20"/>
          <w:lang w:val="pt-BR"/>
        </w:rPr>
        <w:t xml:space="preserve"> </w:t>
      </w:r>
      <w:r w:rsidR="00063B47" w:rsidRPr="002F50BD">
        <w:rPr>
          <w:rFonts w:ascii="Verdana" w:hAnsi="Verdana"/>
          <w:sz w:val="20"/>
          <w:lang w:val="pt-BR"/>
        </w:rPr>
        <w:t>80</w:t>
      </w:r>
      <w:r w:rsidR="009F6EEA"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indígenas</w:t>
      </w:r>
      <w:r w:rsidR="0089298C" w:rsidRPr="002F50BD">
        <w:rPr>
          <w:rFonts w:ascii="Verdana" w:hAnsi="Verdana"/>
          <w:sz w:val="20"/>
          <w:lang w:val="pt-BR"/>
        </w:rPr>
        <w:t xml:space="preserve"> da </w:t>
      </w:r>
      <w:r w:rsidRPr="002F50BD">
        <w:rPr>
          <w:rFonts w:ascii="Verdana" w:hAnsi="Verdana"/>
          <w:sz w:val="20"/>
          <w:lang w:val="pt-BR"/>
        </w:rPr>
        <w:t>região</w:t>
      </w:r>
      <w:r w:rsidR="004756C1" w:rsidRPr="002F50BD">
        <w:rPr>
          <w:rFonts w:ascii="Verdana" w:hAnsi="Verdana"/>
          <w:sz w:val="20"/>
          <w:lang w:val="pt-BR"/>
        </w:rPr>
        <w:t xml:space="preserve"> </w:t>
      </w:r>
      <w:r w:rsidR="00CD7100" w:rsidRPr="002F50BD">
        <w:rPr>
          <w:rFonts w:ascii="Verdana" w:hAnsi="Verdana"/>
          <w:sz w:val="20"/>
          <w:lang w:val="pt-BR"/>
        </w:rPr>
        <w:t>viviam</w:t>
      </w:r>
      <w:r w:rsidR="0089298C" w:rsidRPr="002F50BD">
        <w:rPr>
          <w:rFonts w:ascii="Verdana" w:hAnsi="Verdana"/>
          <w:sz w:val="20"/>
          <w:lang w:val="pt-BR"/>
        </w:rPr>
        <w:t xml:space="preserve"> em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muito</w:t>
      </w:r>
      <w:r w:rsidR="004756C1" w:rsidRPr="002F50BD">
        <w:rPr>
          <w:rFonts w:ascii="Verdana" w:hAnsi="Verdana"/>
          <w:sz w:val="20"/>
          <w:lang w:val="pt-BR"/>
        </w:rPr>
        <w:t xml:space="preserve"> </w:t>
      </w:r>
      <w:r w:rsidR="004F64EE" w:rsidRPr="002F50BD">
        <w:rPr>
          <w:rFonts w:ascii="Verdana" w:hAnsi="Verdana"/>
          <w:sz w:val="20"/>
          <w:lang w:val="pt-BR"/>
        </w:rPr>
        <w:t>ruins</w:t>
      </w:r>
      <w:r w:rsidR="0089298C" w:rsidRPr="002F50BD">
        <w:rPr>
          <w:rFonts w:ascii="Verdana" w:hAnsi="Verdana"/>
          <w:sz w:val="20"/>
          <w:lang w:val="pt-BR"/>
        </w:rPr>
        <w:t xml:space="preserve"> nas </w:t>
      </w:r>
      <w:r w:rsidR="004F64EE" w:rsidRPr="002F50BD">
        <w:rPr>
          <w:rFonts w:ascii="Verdana" w:hAnsi="Verdana"/>
          <w:sz w:val="20"/>
          <w:lang w:val="pt-BR"/>
        </w:rPr>
        <w:t>fazendas</w:t>
      </w:r>
      <w:r w:rsidR="004756C1" w:rsidRPr="002F50BD">
        <w:rPr>
          <w:rFonts w:ascii="Verdana" w:hAnsi="Verdana"/>
          <w:sz w:val="20"/>
          <w:lang w:val="pt-BR"/>
        </w:rPr>
        <w:t xml:space="preserve">. </w:t>
      </w:r>
      <w:r w:rsidR="0089298C" w:rsidRPr="002F50BD">
        <w:rPr>
          <w:rFonts w:ascii="Verdana" w:hAnsi="Verdana"/>
          <w:sz w:val="20"/>
          <w:lang w:val="pt-BR"/>
        </w:rPr>
        <w:t>Quando a igreja</w:t>
      </w:r>
      <w:r w:rsidR="004756C1" w:rsidRPr="002F50BD">
        <w:rPr>
          <w:rFonts w:ascii="Verdana" w:hAnsi="Verdana"/>
          <w:sz w:val="20"/>
          <w:lang w:val="pt-BR"/>
        </w:rPr>
        <w:t xml:space="preserve"> anglicana </w:t>
      </w:r>
      <w:r w:rsidR="0089298C" w:rsidRPr="002F50BD">
        <w:rPr>
          <w:rFonts w:ascii="Verdana" w:hAnsi="Verdana"/>
          <w:sz w:val="20"/>
          <w:lang w:val="pt-BR"/>
        </w:rPr>
        <w:t xml:space="preserve">chegou e ofereceu </w:t>
      </w:r>
      <w:r w:rsidR="009F6EEA" w:rsidRPr="002F50BD">
        <w:rPr>
          <w:rFonts w:ascii="Verdana" w:hAnsi="Verdana"/>
          <w:sz w:val="20"/>
          <w:lang w:val="pt-BR"/>
        </w:rPr>
        <w:t xml:space="preserve">a eles </w:t>
      </w:r>
      <w:r w:rsidR="0089298C" w:rsidRPr="002F50BD">
        <w:rPr>
          <w:rFonts w:ascii="Verdana" w:hAnsi="Verdana"/>
          <w:sz w:val="20"/>
          <w:lang w:val="pt-BR"/>
        </w:rPr>
        <w:t>uma terra</w:t>
      </w:r>
      <w:r w:rsidR="004756C1" w:rsidRPr="002F50BD">
        <w:rPr>
          <w:rFonts w:ascii="Verdana" w:hAnsi="Verdana"/>
          <w:sz w:val="20"/>
          <w:lang w:val="pt-BR"/>
        </w:rPr>
        <w:t>, que parec</w:t>
      </w:r>
      <w:r w:rsidRPr="002F50BD">
        <w:rPr>
          <w:rFonts w:ascii="Verdana" w:hAnsi="Verdana"/>
          <w:sz w:val="20"/>
          <w:lang w:val="pt-BR"/>
        </w:rPr>
        <w:t>i</w:t>
      </w:r>
      <w:r w:rsidR="004756C1" w:rsidRPr="002F50BD">
        <w:rPr>
          <w:rFonts w:ascii="Verdana" w:hAnsi="Verdana"/>
          <w:sz w:val="20"/>
          <w:lang w:val="pt-BR"/>
        </w:rPr>
        <w:t xml:space="preserve">a </w:t>
      </w:r>
      <w:r w:rsidR="0089298C" w:rsidRPr="002F50BD">
        <w:rPr>
          <w:rFonts w:ascii="Verdana" w:hAnsi="Verdana"/>
          <w:sz w:val="20"/>
          <w:lang w:val="pt-BR"/>
        </w:rPr>
        <w:t>“a terra</w:t>
      </w:r>
      <w:r w:rsidR="004756C1" w:rsidRPr="002F50BD">
        <w:rPr>
          <w:rFonts w:ascii="Verdana" w:hAnsi="Verdana"/>
          <w:sz w:val="20"/>
          <w:lang w:val="pt-BR"/>
        </w:rPr>
        <w:t xml:space="preserve"> de mel”,</w:t>
      </w:r>
      <w:r w:rsidR="0089298C" w:rsidRPr="002F50BD">
        <w:rPr>
          <w:rFonts w:ascii="Verdana" w:hAnsi="Verdana"/>
          <w:sz w:val="20"/>
          <w:lang w:val="pt-BR"/>
        </w:rPr>
        <w:t xml:space="preserve"> com </w:t>
      </w:r>
      <w:r w:rsidR="004756C1" w:rsidRPr="002F50BD">
        <w:rPr>
          <w:rFonts w:ascii="Verdana" w:hAnsi="Verdana"/>
          <w:sz w:val="20"/>
          <w:lang w:val="pt-BR"/>
        </w:rPr>
        <w:t>comida</w:t>
      </w:r>
      <w:r w:rsidR="0089298C" w:rsidRPr="002F50BD">
        <w:rPr>
          <w:rFonts w:ascii="Verdana" w:hAnsi="Verdana"/>
          <w:sz w:val="20"/>
          <w:lang w:val="pt-BR"/>
        </w:rPr>
        <w:t xml:space="preserve"> e ferramenta</w:t>
      </w:r>
      <w:r w:rsidR="004756C1" w:rsidRPr="002F50BD">
        <w:rPr>
          <w:rFonts w:ascii="Verdana" w:hAnsi="Verdana"/>
          <w:sz w:val="20"/>
          <w:lang w:val="pt-BR"/>
        </w:rPr>
        <w:t xml:space="preserve">s, </w:t>
      </w:r>
      <w:r w:rsidR="0089298C" w:rsidRPr="002F50BD">
        <w:rPr>
          <w:rFonts w:ascii="Verdana" w:hAnsi="Verdana"/>
          <w:sz w:val="20"/>
          <w:lang w:val="pt-BR"/>
        </w:rPr>
        <w:t>muito</w:t>
      </w:r>
      <w:r w:rsidR="004756C1" w:rsidRPr="002F50BD">
        <w:rPr>
          <w:rFonts w:ascii="Verdana" w:hAnsi="Verdana"/>
          <w:sz w:val="20"/>
          <w:lang w:val="pt-BR"/>
        </w:rPr>
        <w:t xml:space="preserve">s </w:t>
      </w:r>
      <w:r w:rsidRPr="002F50BD">
        <w:rPr>
          <w:rFonts w:ascii="Verdana" w:hAnsi="Verdana"/>
          <w:sz w:val="20"/>
          <w:lang w:val="pt-BR"/>
        </w:rPr>
        <w:t xml:space="preserve">escolheram </w:t>
      </w:r>
      <w:r w:rsidR="0089298C" w:rsidRPr="002F50BD">
        <w:rPr>
          <w:rFonts w:ascii="Verdana" w:hAnsi="Verdana"/>
          <w:sz w:val="20"/>
          <w:lang w:val="pt-BR"/>
        </w:rPr>
        <w:t xml:space="preserve">sair e </w:t>
      </w:r>
      <w:r w:rsidR="004756C1" w:rsidRPr="002F50BD">
        <w:rPr>
          <w:rFonts w:ascii="Verdana" w:hAnsi="Verdana"/>
          <w:sz w:val="20"/>
          <w:lang w:val="pt-BR"/>
        </w:rPr>
        <w:t>escapar</w:t>
      </w:r>
      <w:r w:rsidR="0089298C" w:rsidRPr="002F50BD">
        <w:rPr>
          <w:rFonts w:ascii="Verdana" w:hAnsi="Verdana"/>
          <w:sz w:val="20"/>
          <w:lang w:val="pt-BR"/>
        </w:rPr>
        <w:t xml:space="preserve"> das </w:t>
      </w:r>
      <w:r w:rsidR="004F64EE" w:rsidRPr="002F50BD">
        <w:rPr>
          <w:rFonts w:ascii="Verdana" w:hAnsi="Verdana"/>
          <w:sz w:val="20"/>
          <w:lang w:val="pt-BR"/>
        </w:rPr>
        <w:t>fazendas</w:t>
      </w:r>
      <w:r w:rsidRPr="002F50BD">
        <w:rPr>
          <w:rFonts w:ascii="Verdana" w:hAnsi="Verdana"/>
          <w:sz w:val="20"/>
          <w:lang w:val="pt-BR"/>
        </w:rPr>
        <w:t xml:space="preserve"> </w:t>
      </w:r>
      <w:r w:rsidR="004756C1" w:rsidRPr="002F50BD">
        <w:rPr>
          <w:rFonts w:ascii="Verdana" w:hAnsi="Verdana"/>
          <w:sz w:val="20"/>
          <w:lang w:val="pt-BR"/>
        </w:rPr>
        <w:t>para</w:t>
      </w:r>
      <w:r w:rsidR="0089298C" w:rsidRPr="002F50BD">
        <w:rPr>
          <w:rFonts w:ascii="Verdana" w:hAnsi="Verdana"/>
          <w:sz w:val="20"/>
          <w:lang w:val="pt-BR"/>
        </w:rPr>
        <w:t xml:space="preserve"> fugir </w:t>
      </w:r>
      <w:r w:rsidR="009F6EEA" w:rsidRPr="002F50BD">
        <w:rPr>
          <w:rFonts w:ascii="Verdana" w:hAnsi="Verdana"/>
          <w:sz w:val="20"/>
          <w:lang w:val="pt-BR"/>
        </w:rPr>
        <w:t>para a</w:t>
      </w:r>
      <w:r w:rsidR="0089298C" w:rsidRPr="002F50BD">
        <w:rPr>
          <w:rFonts w:ascii="Verdana" w:hAnsi="Verdana"/>
          <w:sz w:val="20"/>
          <w:lang w:val="pt-BR"/>
        </w:rPr>
        <w:t xml:space="preserve"> nova</w:t>
      </w:r>
      <w:r w:rsidR="004756C1" w:rsidRPr="002F50BD">
        <w:rPr>
          <w:rFonts w:ascii="Verdana" w:hAnsi="Verdana"/>
          <w:sz w:val="20"/>
          <w:lang w:val="pt-BR"/>
        </w:rPr>
        <w:t xml:space="preserve"> col</w:t>
      </w:r>
      <w:r w:rsidRPr="002F50BD">
        <w:rPr>
          <w:rFonts w:ascii="Verdana" w:hAnsi="Verdana"/>
          <w:sz w:val="20"/>
          <w:lang w:val="pt-BR"/>
        </w:rPr>
        <w:t>ô</w:t>
      </w:r>
      <w:r w:rsidR="004756C1" w:rsidRPr="002F50BD">
        <w:rPr>
          <w:rFonts w:ascii="Verdana" w:hAnsi="Verdana"/>
          <w:sz w:val="20"/>
          <w:lang w:val="pt-BR"/>
        </w:rPr>
        <w:t>nia,</w:t>
      </w:r>
      <w:r w:rsidR="0089298C" w:rsidRPr="002F50BD">
        <w:rPr>
          <w:rFonts w:ascii="Verdana" w:hAnsi="Verdana"/>
          <w:sz w:val="20"/>
          <w:lang w:val="pt-BR"/>
        </w:rPr>
        <w:t xml:space="preserve"> sem </w:t>
      </w:r>
      <w:r w:rsidR="004756C1" w:rsidRPr="002F50BD">
        <w:rPr>
          <w:rFonts w:ascii="Verdana" w:hAnsi="Verdana"/>
          <w:sz w:val="20"/>
          <w:lang w:val="pt-BR"/>
        </w:rPr>
        <w:t>dar</w:t>
      </w:r>
      <w:r w:rsidRPr="002F50BD">
        <w:rPr>
          <w:rFonts w:ascii="Verdana" w:hAnsi="Verdana"/>
          <w:sz w:val="20"/>
          <w:lang w:val="pt-BR"/>
        </w:rPr>
        <w:t>-</w:t>
      </w:r>
      <w:r w:rsidR="004756C1" w:rsidRPr="002F50BD">
        <w:rPr>
          <w:rFonts w:ascii="Verdana" w:hAnsi="Verdana"/>
          <w:sz w:val="20"/>
          <w:lang w:val="pt-BR"/>
        </w:rPr>
        <w:t>se</w:t>
      </w:r>
      <w:r w:rsidR="0089298C" w:rsidRPr="002F50BD">
        <w:rPr>
          <w:rFonts w:ascii="Verdana" w:hAnsi="Verdana"/>
          <w:sz w:val="20"/>
          <w:lang w:val="pt-BR"/>
        </w:rPr>
        <w:t xml:space="preserve"> conta </w:t>
      </w:r>
      <w:r w:rsidR="004756C1" w:rsidRPr="002F50BD">
        <w:rPr>
          <w:rFonts w:ascii="Verdana" w:hAnsi="Verdana"/>
          <w:sz w:val="20"/>
          <w:lang w:val="pt-BR"/>
        </w:rPr>
        <w:t>de que realmente n</w:t>
      </w:r>
      <w:r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seria </w:t>
      </w:r>
      <w:r w:rsidR="0089298C" w:rsidRPr="002F50BD">
        <w:rPr>
          <w:rFonts w:ascii="Verdana" w:hAnsi="Verdana"/>
          <w:sz w:val="20"/>
          <w:lang w:val="pt-BR"/>
        </w:rPr>
        <w:t>melhor</w:t>
      </w:r>
      <w:r w:rsidR="004756C1" w:rsidRPr="002F50BD">
        <w:rPr>
          <w:rFonts w:ascii="Verdana" w:hAnsi="Verdana"/>
          <w:sz w:val="20"/>
          <w:lang w:val="pt-BR"/>
        </w:rPr>
        <w:t xml:space="preserve"> </w:t>
      </w:r>
      <w:r w:rsidR="0089298C" w:rsidRPr="002F50BD">
        <w:rPr>
          <w:rFonts w:ascii="Verdana" w:hAnsi="Verdana"/>
          <w:sz w:val="20"/>
          <w:lang w:val="pt-BR"/>
        </w:rPr>
        <w:t>econ</w:t>
      </w:r>
      <w:r w:rsidRPr="002F50BD">
        <w:rPr>
          <w:rFonts w:ascii="Verdana" w:hAnsi="Verdana"/>
          <w:sz w:val="20"/>
          <w:lang w:val="pt-BR"/>
        </w:rPr>
        <w:t>o</w:t>
      </w:r>
      <w:r w:rsidR="0089298C" w:rsidRPr="002F50BD">
        <w:rPr>
          <w:rFonts w:ascii="Verdana" w:hAnsi="Verdana"/>
          <w:sz w:val="20"/>
          <w:lang w:val="pt-BR"/>
        </w:rPr>
        <w:t>mic</w:t>
      </w:r>
      <w:r w:rsidR="004756C1" w:rsidRPr="002F50BD">
        <w:rPr>
          <w:rFonts w:ascii="Verdana" w:hAnsi="Verdana"/>
          <w:sz w:val="20"/>
          <w:lang w:val="pt-BR"/>
        </w:rPr>
        <w:t xml:space="preserve">amente.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Devido às </w:t>
      </w:r>
      <w:r w:rsidR="004756C1" w:rsidRPr="002F50BD">
        <w:rPr>
          <w:rFonts w:ascii="Verdana" w:hAnsi="Verdana"/>
          <w:sz w:val="20"/>
          <w:lang w:val="pt-BR"/>
        </w:rPr>
        <w:t>condi</w:t>
      </w:r>
      <w:r w:rsidRPr="002F50BD">
        <w:rPr>
          <w:rFonts w:ascii="Verdana" w:hAnsi="Verdana"/>
          <w:sz w:val="20"/>
          <w:lang w:val="pt-BR"/>
        </w:rPr>
        <w:t>ções das nova</w:t>
      </w:r>
      <w:r w:rsidR="004756C1" w:rsidRPr="002F50BD">
        <w:rPr>
          <w:rFonts w:ascii="Verdana" w:hAnsi="Verdana"/>
          <w:sz w:val="20"/>
          <w:lang w:val="pt-BR"/>
        </w:rPr>
        <w:t xml:space="preserve">s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os </w:t>
      </w:r>
      <w:r w:rsidR="004756C1" w:rsidRPr="002F50BD">
        <w:rPr>
          <w:rFonts w:ascii="Verdana" w:hAnsi="Verdana"/>
          <w:sz w:val="20"/>
          <w:lang w:val="pt-BR"/>
        </w:rPr>
        <w:t xml:space="preserve">indígenas que se </w:t>
      </w:r>
      <w:r w:rsidR="00626F06" w:rsidRPr="002F50BD">
        <w:rPr>
          <w:rFonts w:ascii="Verdana" w:hAnsi="Verdana"/>
          <w:sz w:val="20"/>
          <w:lang w:val="pt-BR"/>
        </w:rPr>
        <w:t>mudaram par</w:t>
      </w:r>
      <w:r w:rsidR="004756C1" w:rsidRPr="002F50BD">
        <w:rPr>
          <w:rFonts w:ascii="Verdana" w:hAnsi="Verdana"/>
          <w:sz w:val="20"/>
          <w:lang w:val="pt-BR"/>
        </w:rPr>
        <w:t>a</w:t>
      </w:r>
      <w:r w:rsidRPr="002F50BD">
        <w:rPr>
          <w:rFonts w:ascii="Verdana" w:hAnsi="Verdana"/>
          <w:sz w:val="20"/>
          <w:lang w:val="pt-BR"/>
        </w:rPr>
        <w:t xml:space="preserve"> estes </w:t>
      </w:r>
      <w:r w:rsidR="00AB454A" w:rsidRPr="002F50BD">
        <w:rPr>
          <w:rFonts w:ascii="Verdana" w:hAnsi="Verdana"/>
          <w:sz w:val="20"/>
          <w:lang w:val="pt-BR"/>
        </w:rPr>
        <w:t>assentamento</w:t>
      </w:r>
      <w:r w:rsidR="004756C1" w:rsidRPr="002F50BD">
        <w:rPr>
          <w:rFonts w:ascii="Verdana" w:hAnsi="Verdana"/>
          <w:sz w:val="20"/>
          <w:lang w:val="pt-BR"/>
        </w:rPr>
        <w:t>s n</w:t>
      </w:r>
      <w:r w:rsidR="00626F06" w:rsidRPr="002F50BD">
        <w:rPr>
          <w:rFonts w:ascii="Verdana" w:hAnsi="Verdana"/>
          <w:sz w:val="20"/>
          <w:lang w:val="pt-BR"/>
        </w:rPr>
        <w:t>ã</w:t>
      </w:r>
      <w:r w:rsidR="004756C1" w:rsidRPr="002F50BD">
        <w:rPr>
          <w:rFonts w:ascii="Verdana" w:hAnsi="Verdana"/>
          <w:sz w:val="20"/>
          <w:lang w:val="pt-BR"/>
        </w:rPr>
        <w:t>o po</w:t>
      </w:r>
      <w:r w:rsidRPr="002F50BD">
        <w:rPr>
          <w:rFonts w:ascii="Verdana" w:hAnsi="Verdana"/>
          <w:sz w:val="20"/>
          <w:lang w:val="pt-BR"/>
        </w:rPr>
        <w:t>dia</w:t>
      </w:r>
      <w:r w:rsidR="00626F06"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viver</w:t>
      </w:r>
      <w:r w:rsidR="004756C1" w:rsidRPr="002F50BD">
        <w:rPr>
          <w:rFonts w:ascii="Verdana" w:hAnsi="Verdana"/>
          <w:sz w:val="20"/>
          <w:lang w:val="pt-BR"/>
        </w:rPr>
        <w:t xml:space="preserve"> </w:t>
      </w:r>
      <w:r w:rsidR="00626F06" w:rsidRPr="002F50BD">
        <w:rPr>
          <w:rFonts w:ascii="Verdana" w:hAnsi="Verdana"/>
          <w:sz w:val="20"/>
          <w:lang w:val="pt-BR"/>
        </w:rPr>
        <w:t xml:space="preserve">neles o </w:t>
      </w:r>
      <w:r w:rsidRPr="002F50BD">
        <w:rPr>
          <w:rFonts w:ascii="Verdana" w:hAnsi="Verdana"/>
          <w:sz w:val="20"/>
          <w:lang w:val="pt-BR"/>
        </w:rPr>
        <w:t>tempo</w:t>
      </w:r>
      <w:r w:rsidR="004756C1" w:rsidRPr="002F50BD">
        <w:rPr>
          <w:rFonts w:ascii="Verdana" w:hAnsi="Verdana"/>
          <w:sz w:val="20"/>
          <w:lang w:val="pt-BR"/>
        </w:rPr>
        <w:t xml:space="preserve"> </w:t>
      </w:r>
      <w:r w:rsidR="00626F06" w:rsidRPr="002F50BD">
        <w:rPr>
          <w:rFonts w:ascii="Verdana" w:hAnsi="Verdana"/>
          <w:sz w:val="20"/>
          <w:lang w:val="pt-BR"/>
        </w:rPr>
        <w:t>todo</w:t>
      </w:r>
      <w:r w:rsidR="004756C1" w:rsidRPr="002F50BD">
        <w:rPr>
          <w:rFonts w:ascii="Verdana" w:hAnsi="Verdana"/>
          <w:sz w:val="20"/>
          <w:lang w:val="pt-BR"/>
        </w:rPr>
        <w:t xml:space="preserve">, </w:t>
      </w:r>
      <w:r w:rsidRPr="002F50BD">
        <w:rPr>
          <w:rFonts w:ascii="Verdana" w:hAnsi="Verdana"/>
          <w:sz w:val="20"/>
          <w:lang w:val="pt-BR"/>
        </w:rPr>
        <w:t>tiveram</w:t>
      </w:r>
      <w:r w:rsidR="004756C1" w:rsidRPr="002F50BD">
        <w:rPr>
          <w:rFonts w:ascii="Verdana" w:hAnsi="Verdana"/>
          <w:sz w:val="20"/>
          <w:lang w:val="pt-BR"/>
        </w:rPr>
        <w:t xml:space="preserve"> </w:t>
      </w:r>
      <w:r w:rsidR="00626F06" w:rsidRPr="002F50BD">
        <w:rPr>
          <w:rFonts w:ascii="Verdana" w:hAnsi="Verdana"/>
          <w:sz w:val="20"/>
          <w:lang w:val="pt-BR"/>
        </w:rPr>
        <w:t xml:space="preserve">de </w:t>
      </w:r>
      <w:r w:rsidR="004756C1" w:rsidRPr="002F50BD">
        <w:rPr>
          <w:rFonts w:ascii="Verdana" w:hAnsi="Verdana"/>
          <w:sz w:val="20"/>
          <w:lang w:val="pt-BR"/>
        </w:rPr>
        <w:t xml:space="preserve">buscar </w:t>
      </w:r>
      <w:r w:rsidRPr="002F50BD">
        <w:rPr>
          <w:rFonts w:ascii="Verdana" w:hAnsi="Verdana"/>
          <w:sz w:val="20"/>
          <w:lang w:val="pt-BR"/>
        </w:rPr>
        <w:t xml:space="preserve">trabalho com os </w:t>
      </w:r>
      <w:r w:rsidR="004756C1" w:rsidRPr="002F50BD">
        <w:rPr>
          <w:rFonts w:ascii="Verdana" w:hAnsi="Verdana"/>
          <w:sz w:val="20"/>
          <w:lang w:val="pt-BR"/>
        </w:rPr>
        <w:t>menonitas o</w:t>
      </w:r>
      <w:r w:rsidR="00626F06" w:rsidRPr="002F50BD">
        <w:rPr>
          <w:rFonts w:ascii="Verdana" w:hAnsi="Verdana"/>
          <w:sz w:val="20"/>
          <w:lang w:val="pt-BR"/>
        </w:rPr>
        <w:t>u</w:t>
      </w:r>
      <w:r w:rsidR="004756C1" w:rsidRPr="002F50BD">
        <w:rPr>
          <w:rFonts w:ascii="Verdana" w:hAnsi="Verdana"/>
          <w:sz w:val="20"/>
          <w:lang w:val="pt-BR"/>
        </w:rPr>
        <w:t xml:space="preserve"> </w:t>
      </w:r>
      <w:r w:rsidR="00E10DBB" w:rsidRPr="002F50BD">
        <w:rPr>
          <w:rFonts w:ascii="Verdana" w:hAnsi="Verdana"/>
          <w:sz w:val="20"/>
          <w:lang w:val="pt-BR"/>
        </w:rPr>
        <w:t>regressar</w:t>
      </w:r>
      <w:r w:rsidRPr="002F50BD">
        <w:rPr>
          <w:rFonts w:ascii="Verdana" w:hAnsi="Verdana"/>
          <w:sz w:val="20"/>
          <w:lang w:val="pt-BR"/>
        </w:rPr>
        <w:t xml:space="preserve"> às </w:t>
      </w:r>
      <w:r w:rsidR="00626F06" w:rsidRPr="002F50BD">
        <w:rPr>
          <w:rFonts w:ascii="Verdana" w:hAnsi="Verdana"/>
          <w:sz w:val="20"/>
          <w:lang w:val="pt-BR"/>
        </w:rPr>
        <w:t>aldeias</w:t>
      </w:r>
      <w:r w:rsidR="001A0CDE" w:rsidRPr="002F50BD">
        <w:rPr>
          <w:rFonts w:ascii="Verdana" w:hAnsi="Verdana"/>
          <w:sz w:val="20"/>
          <w:lang w:val="pt-BR"/>
        </w:rPr>
        <w:t xml:space="preserve">. </w:t>
      </w:r>
      <w:r w:rsidR="00626F06" w:rsidRPr="002F50BD">
        <w:rPr>
          <w:rFonts w:ascii="Verdana" w:hAnsi="Verdana"/>
          <w:sz w:val="20"/>
          <w:lang w:val="pt-BR"/>
        </w:rPr>
        <w:t xml:space="preserve">Isso converteu </w:t>
      </w:r>
      <w:r w:rsidRPr="002F50BD">
        <w:rPr>
          <w:rFonts w:ascii="Verdana" w:hAnsi="Verdana"/>
          <w:sz w:val="20"/>
          <w:lang w:val="pt-BR"/>
        </w:rPr>
        <w:t xml:space="preserve">estes </w:t>
      </w:r>
      <w:r w:rsidR="00AB454A" w:rsidRPr="002F50BD">
        <w:rPr>
          <w:rFonts w:ascii="Verdana" w:hAnsi="Verdana"/>
          <w:sz w:val="20"/>
          <w:lang w:val="pt-BR"/>
        </w:rPr>
        <w:t>assentamento</w:t>
      </w:r>
      <w:r w:rsidR="004756C1" w:rsidRPr="002F50BD">
        <w:rPr>
          <w:rFonts w:ascii="Verdana" w:hAnsi="Verdana"/>
          <w:sz w:val="20"/>
          <w:lang w:val="pt-BR"/>
        </w:rPr>
        <w:t>s</w:t>
      </w:r>
      <w:r w:rsidRPr="002F50BD">
        <w:rPr>
          <w:rFonts w:ascii="Verdana" w:hAnsi="Verdana"/>
          <w:sz w:val="20"/>
          <w:lang w:val="pt-BR"/>
        </w:rPr>
        <w:t xml:space="preserve"> em </w:t>
      </w:r>
      <w:r w:rsidR="00626F06" w:rsidRPr="002F50BD">
        <w:rPr>
          <w:rFonts w:ascii="Verdana" w:hAnsi="Verdana"/>
          <w:sz w:val="20"/>
          <w:lang w:val="pt-BR"/>
        </w:rPr>
        <w:t>a</w:t>
      </w:r>
      <w:r w:rsidR="004756C1" w:rsidRPr="002F50BD">
        <w:rPr>
          <w:rFonts w:ascii="Verdana" w:hAnsi="Verdana"/>
          <w:sz w:val="20"/>
          <w:lang w:val="pt-BR"/>
        </w:rPr>
        <w:t xml:space="preserve">campamentos </w:t>
      </w:r>
      <w:r w:rsidR="00626F06" w:rsidRPr="002F50BD">
        <w:rPr>
          <w:rFonts w:ascii="Verdana" w:hAnsi="Verdana"/>
          <w:sz w:val="20"/>
          <w:lang w:val="pt-BR"/>
        </w:rPr>
        <w:t>de trabalhadores,</w:t>
      </w:r>
      <w:r w:rsidR="004756C1" w:rsidRPr="002F50BD">
        <w:rPr>
          <w:rFonts w:ascii="Verdana" w:hAnsi="Verdana"/>
          <w:sz w:val="20"/>
          <w:lang w:val="pt-BR"/>
        </w:rPr>
        <w:t xml:space="preserve"> convenientes </w:t>
      </w:r>
      <w:r w:rsidR="00626F06" w:rsidRPr="002F50BD">
        <w:rPr>
          <w:rFonts w:ascii="Verdana" w:hAnsi="Verdana"/>
          <w:sz w:val="20"/>
          <w:lang w:val="pt-BR"/>
        </w:rPr>
        <w:t>par</w:t>
      </w:r>
      <w:r w:rsidR="004756C1" w:rsidRPr="002F50BD">
        <w:rPr>
          <w:rFonts w:ascii="Verdana" w:hAnsi="Verdana"/>
          <w:sz w:val="20"/>
          <w:lang w:val="pt-BR"/>
        </w:rPr>
        <w:t>a todos</w:t>
      </w:r>
      <w:r w:rsidRPr="002F50BD">
        <w:rPr>
          <w:rFonts w:ascii="Verdana" w:hAnsi="Verdana"/>
          <w:sz w:val="20"/>
          <w:lang w:val="pt-BR"/>
        </w:rPr>
        <w:t xml:space="preserve"> os </w:t>
      </w:r>
      <w:r w:rsidR="00626F06" w:rsidRPr="002F50BD">
        <w:rPr>
          <w:rFonts w:ascii="Verdana" w:hAnsi="Verdana"/>
          <w:sz w:val="20"/>
          <w:lang w:val="pt-BR"/>
        </w:rPr>
        <w:t xml:space="preserve">proprietários de terra </w:t>
      </w:r>
      <w:r w:rsidRPr="002F50BD">
        <w:rPr>
          <w:rFonts w:ascii="Verdana" w:hAnsi="Verdana"/>
          <w:sz w:val="20"/>
          <w:lang w:val="pt-BR"/>
        </w:rPr>
        <w:t xml:space="preserve">da </w:t>
      </w:r>
      <w:r w:rsidR="00626F06" w:rsidRPr="002F50BD">
        <w:rPr>
          <w:rFonts w:ascii="Verdana" w:hAnsi="Verdana"/>
          <w:sz w:val="20"/>
          <w:lang w:val="pt-BR"/>
        </w:rPr>
        <w:t>região</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Quando</w:t>
      </w:r>
      <w:r w:rsidR="004756C1" w:rsidRPr="002F50BD">
        <w:rPr>
          <w:rFonts w:ascii="Verdana" w:hAnsi="Verdana"/>
          <w:sz w:val="20"/>
          <w:lang w:val="pt-BR"/>
        </w:rPr>
        <w:t xml:space="preserve"> </w:t>
      </w:r>
      <w:r w:rsidR="00626F06" w:rsidRPr="002F50BD">
        <w:rPr>
          <w:rFonts w:ascii="Verdana" w:hAnsi="Verdana"/>
          <w:sz w:val="20"/>
          <w:lang w:val="pt-BR"/>
        </w:rPr>
        <w:t xml:space="preserve">teve conhecimento </w:t>
      </w:r>
      <w:r w:rsidRPr="002F50BD">
        <w:rPr>
          <w:rFonts w:ascii="Verdana" w:hAnsi="Verdana"/>
          <w:sz w:val="20"/>
          <w:lang w:val="pt-BR"/>
        </w:rPr>
        <w:t>da existência da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9F6EEA"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tentou</w:t>
      </w:r>
      <w:r w:rsidR="004756C1" w:rsidRPr="002F50BD">
        <w:rPr>
          <w:rFonts w:ascii="Verdana" w:hAnsi="Verdana"/>
          <w:sz w:val="20"/>
          <w:lang w:val="pt-BR"/>
        </w:rPr>
        <w:t xml:space="preserve"> </w:t>
      </w:r>
      <w:r w:rsidR="00626F06" w:rsidRPr="002F50BD">
        <w:rPr>
          <w:rFonts w:ascii="Verdana" w:hAnsi="Verdana"/>
          <w:sz w:val="20"/>
          <w:lang w:val="pt-BR"/>
        </w:rPr>
        <w:t xml:space="preserve">mudar </w:t>
      </w:r>
      <w:r w:rsidRPr="002F50BD">
        <w:rPr>
          <w:rFonts w:ascii="Verdana" w:hAnsi="Verdana"/>
          <w:sz w:val="20"/>
          <w:lang w:val="pt-BR"/>
        </w:rPr>
        <w:t xml:space="preserve">a </w:t>
      </w:r>
      <w:r w:rsidR="004756C1" w:rsidRPr="002F50BD">
        <w:rPr>
          <w:rFonts w:ascii="Verdana" w:hAnsi="Verdana"/>
          <w:sz w:val="20"/>
          <w:lang w:val="pt-BR"/>
        </w:rPr>
        <w:t>política</w:t>
      </w:r>
      <w:r w:rsidRPr="002F50BD">
        <w:rPr>
          <w:rFonts w:ascii="Verdana" w:hAnsi="Verdana"/>
          <w:sz w:val="20"/>
          <w:lang w:val="pt-BR"/>
        </w:rPr>
        <w:t xml:space="preserve"> da igreja</w:t>
      </w:r>
      <w:r w:rsidR="004756C1" w:rsidRPr="002F50BD">
        <w:rPr>
          <w:rFonts w:ascii="Verdana" w:hAnsi="Verdana"/>
          <w:sz w:val="20"/>
          <w:lang w:val="pt-BR"/>
        </w:rPr>
        <w:t xml:space="preserve"> anglicana</w:t>
      </w:r>
      <w:r w:rsidRPr="002F50BD">
        <w:rPr>
          <w:rFonts w:ascii="Verdana" w:hAnsi="Verdana"/>
          <w:sz w:val="20"/>
          <w:lang w:val="pt-BR"/>
        </w:rPr>
        <w:t xml:space="preserve"> </w:t>
      </w:r>
      <w:r w:rsidR="009F6EEA" w:rsidRPr="002F50BD">
        <w:rPr>
          <w:rFonts w:ascii="Verdana" w:hAnsi="Verdana"/>
          <w:sz w:val="20"/>
          <w:lang w:val="pt-BR"/>
        </w:rPr>
        <w:t>a</w:t>
      </w:r>
      <w:r w:rsidRPr="002F50BD">
        <w:rPr>
          <w:rFonts w:ascii="Verdana" w:hAnsi="Verdana"/>
          <w:sz w:val="20"/>
          <w:lang w:val="pt-BR"/>
        </w:rPr>
        <w:t xml:space="preserve"> respeito</w:t>
      </w:r>
      <w:r w:rsidR="004756C1" w:rsidRPr="002F50BD">
        <w:rPr>
          <w:rFonts w:ascii="Verdana" w:hAnsi="Verdana"/>
          <w:sz w:val="20"/>
          <w:lang w:val="pt-BR"/>
        </w:rPr>
        <w:t xml:space="preserve"> </w:t>
      </w:r>
      <w:r w:rsidR="009F6EEA" w:rsidRPr="002F50BD">
        <w:rPr>
          <w:rFonts w:ascii="Verdana" w:hAnsi="Verdana"/>
          <w:sz w:val="20"/>
          <w:lang w:val="pt-BR"/>
        </w:rPr>
        <w:t>d</w:t>
      </w:r>
      <w:r w:rsidRPr="002F50BD">
        <w:rPr>
          <w:rFonts w:ascii="Verdana" w:hAnsi="Verdana"/>
          <w:sz w:val="20"/>
          <w:lang w:val="pt-BR"/>
        </w:rPr>
        <w:t xml:space="preserve">o </w:t>
      </w:r>
      <w:r w:rsidR="004756C1" w:rsidRPr="002F50BD">
        <w:rPr>
          <w:rFonts w:ascii="Verdana" w:hAnsi="Verdana"/>
          <w:sz w:val="20"/>
          <w:lang w:val="pt-BR"/>
        </w:rPr>
        <w:t>problema territorial</w:t>
      </w:r>
      <w:r w:rsidRPr="002F50BD">
        <w:rPr>
          <w:rFonts w:ascii="Verdana" w:hAnsi="Verdana"/>
          <w:sz w:val="20"/>
          <w:lang w:val="pt-BR"/>
        </w:rPr>
        <w:t xml:space="preserve"> das </w:t>
      </w:r>
      <w:r w:rsidR="004756C1" w:rsidRPr="002F50BD">
        <w:rPr>
          <w:rFonts w:ascii="Verdana" w:hAnsi="Verdana"/>
          <w:sz w:val="20"/>
          <w:lang w:val="pt-BR"/>
        </w:rPr>
        <w:t>comunidades indígenas</w:t>
      </w:r>
      <w:r w:rsidR="00E6530C" w:rsidRPr="002F50BD">
        <w:rPr>
          <w:rFonts w:ascii="Verdana" w:hAnsi="Verdana"/>
          <w:sz w:val="20"/>
          <w:lang w:val="pt-BR"/>
        </w:rPr>
        <w:t>. Dest</w:t>
      </w:r>
      <w:r w:rsidRPr="002F50BD">
        <w:rPr>
          <w:rFonts w:ascii="Verdana" w:hAnsi="Verdana"/>
          <w:sz w:val="20"/>
          <w:lang w:val="pt-BR"/>
        </w:rPr>
        <w:t>a maneira</w:t>
      </w:r>
      <w:r w:rsidR="004756C1" w:rsidRPr="002F50BD">
        <w:rPr>
          <w:rFonts w:ascii="Verdana" w:hAnsi="Verdana"/>
          <w:sz w:val="20"/>
          <w:lang w:val="pt-BR"/>
        </w:rPr>
        <w:t xml:space="preserve">, </w:t>
      </w:r>
      <w:r w:rsidRPr="002F50BD">
        <w:rPr>
          <w:rFonts w:ascii="Verdana" w:hAnsi="Verdana"/>
          <w:sz w:val="20"/>
          <w:lang w:val="pt-BR"/>
        </w:rPr>
        <w:t>criou</w:t>
      </w:r>
      <w:r w:rsidR="00626F06" w:rsidRPr="002F50BD">
        <w:rPr>
          <w:rFonts w:ascii="Verdana" w:hAnsi="Verdana"/>
          <w:sz w:val="20"/>
          <w:lang w:val="pt-BR"/>
        </w:rPr>
        <w:t>-se</w:t>
      </w:r>
      <w:r w:rsidRPr="002F50BD">
        <w:rPr>
          <w:rFonts w:ascii="Verdana" w:hAnsi="Verdana"/>
          <w:sz w:val="20"/>
          <w:lang w:val="pt-BR"/>
        </w:rPr>
        <w:t xml:space="preserve"> um</w:t>
      </w:r>
      <w:r w:rsidR="00626F06" w:rsidRPr="002F50BD">
        <w:rPr>
          <w:rFonts w:ascii="Verdana" w:hAnsi="Verdana"/>
          <w:sz w:val="20"/>
          <w:lang w:val="pt-BR"/>
        </w:rPr>
        <w:t>a</w:t>
      </w:r>
      <w:r w:rsidRPr="002F50BD">
        <w:rPr>
          <w:rFonts w:ascii="Verdana" w:hAnsi="Verdana"/>
          <w:sz w:val="20"/>
          <w:lang w:val="pt-BR"/>
        </w:rPr>
        <w:t xml:space="preserve"> equipe</w:t>
      </w:r>
      <w:r w:rsidR="004756C1" w:rsidRPr="002F50BD">
        <w:rPr>
          <w:rFonts w:ascii="Verdana" w:hAnsi="Verdana"/>
          <w:sz w:val="20"/>
          <w:lang w:val="pt-BR"/>
        </w:rPr>
        <w:t xml:space="preserve"> </w:t>
      </w:r>
      <w:r w:rsidRPr="002F50BD">
        <w:rPr>
          <w:rFonts w:ascii="Verdana" w:hAnsi="Verdana"/>
          <w:sz w:val="20"/>
          <w:lang w:val="pt-BR"/>
        </w:rPr>
        <w:t>pequen</w:t>
      </w:r>
      <w:r w:rsidR="00626F06" w:rsidRPr="002F50BD">
        <w:rPr>
          <w:rFonts w:ascii="Verdana" w:hAnsi="Verdana"/>
          <w:sz w:val="20"/>
          <w:lang w:val="pt-BR"/>
        </w:rPr>
        <w:t>a</w:t>
      </w:r>
      <w:r w:rsidRPr="002F50BD">
        <w:rPr>
          <w:rFonts w:ascii="Verdana" w:hAnsi="Verdana"/>
          <w:sz w:val="20"/>
          <w:lang w:val="pt-BR"/>
        </w:rPr>
        <w:t xml:space="preserve"> com um advogad</w:t>
      </w:r>
      <w:r w:rsidR="004756C1" w:rsidRPr="002F50BD">
        <w:rPr>
          <w:rFonts w:ascii="Verdana" w:hAnsi="Verdana"/>
          <w:sz w:val="20"/>
          <w:lang w:val="pt-BR"/>
        </w:rPr>
        <w:t>o para apo</w:t>
      </w:r>
      <w:r w:rsidR="00626F06" w:rsidRPr="002F50BD">
        <w:rPr>
          <w:rFonts w:ascii="Verdana" w:hAnsi="Verdana"/>
          <w:sz w:val="20"/>
          <w:lang w:val="pt-BR"/>
        </w:rPr>
        <w:t>i</w:t>
      </w:r>
      <w:r w:rsidR="004756C1" w:rsidRPr="002F50BD">
        <w:rPr>
          <w:rFonts w:ascii="Verdana" w:hAnsi="Verdana"/>
          <w:sz w:val="20"/>
          <w:lang w:val="pt-BR"/>
        </w:rPr>
        <w:t xml:space="preserve">ar </w:t>
      </w:r>
      <w:r w:rsidR="00626F06" w:rsidRPr="002F50BD">
        <w:rPr>
          <w:rFonts w:ascii="Verdana" w:hAnsi="Verdana"/>
          <w:sz w:val="20"/>
          <w:lang w:val="pt-BR"/>
        </w:rPr>
        <w:t xml:space="preserve">as </w:t>
      </w:r>
      <w:r w:rsidRPr="002F50BD">
        <w:rPr>
          <w:rFonts w:ascii="Verdana" w:hAnsi="Verdana"/>
          <w:sz w:val="20"/>
          <w:lang w:val="pt-BR"/>
        </w:rPr>
        <w:t>várias</w:t>
      </w:r>
      <w:r w:rsidR="004756C1" w:rsidRPr="002F50BD">
        <w:rPr>
          <w:rFonts w:ascii="Verdana" w:hAnsi="Verdana"/>
          <w:sz w:val="20"/>
          <w:lang w:val="pt-BR"/>
        </w:rPr>
        <w:t xml:space="preserve"> reivindica</w:t>
      </w:r>
      <w:r w:rsidRPr="002F50BD">
        <w:rPr>
          <w:rFonts w:ascii="Verdana" w:hAnsi="Verdana"/>
          <w:sz w:val="20"/>
          <w:lang w:val="pt-BR"/>
        </w:rPr>
        <w:t>ções</w:t>
      </w:r>
      <w:r w:rsidR="004756C1" w:rsidRPr="002F50BD">
        <w:rPr>
          <w:rFonts w:ascii="Verdana" w:hAnsi="Verdana"/>
          <w:sz w:val="20"/>
          <w:lang w:val="pt-BR"/>
        </w:rPr>
        <w:t xml:space="preserve"> indígenas</w:t>
      </w:r>
      <w:r w:rsidRPr="002F50BD">
        <w:rPr>
          <w:rFonts w:ascii="Verdana" w:hAnsi="Verdana"/>
          <w:sz w:val="20"/>
          <w:lang w:val="pt-BR"/>
        </w:rPr>
        <w:t xml:space="preserve"> em </w:t>
      </w:r>
      <w:r w:rsidR="004756C1" w:rsidRPr="002F50BD">
        <w:rPr>
          <w:rFonts w:ascii="Verdana" w:hAnsi="Verdana"/>
          <w:sz w:val="20"/>
          <w:lang w:val="pt-BR"/>
        </w:rPr>
        <w:t>toda</w:t>
      </w:r>
      <w:r w:rsidRPr="002F50BD">
        <w:rPr>
          <w:rFonts w:ascii="Verdana" w:hAnsi="Verdana"/>
          <w:sz w:val="20"/>
          <w:lang w:val="pt-BR"/>
        </w:rPr>
        <w:t xml:space="preserve"> a </w:t>
      </w:r>
      <w:r w:rsidR="00626F06" w:rsidRPr="002F50BD">
        <w:rPr>
          <w:rFonts w:ascii="Verdana" w:hAnsi="Verdana"/>
          <w:sz w:val="20"/>
          <w:lang w:val="pt-BR"/>
        </w:rPr>
        <w:t xml:space="preserve">região </w:t>
      </w:r>
      <w:r w:rsidRPr="002F50BD">
        <w:rPr>
          <w:rFonts w:ascii="Verdana" w:hAnsi="Verdana"/>
          <w:sz w:val="20"/>
          <w:lang w:val="pt-BR"/>
        </w:rPr>
        <w:t xml:space="preserve">dos </w:t>
      </w:r>
      <w:r w:rsidR="004756C1" w:rsidRPr="002F50BD">
        <w:rPr>
          <w:rFonts w:ascii="Verdana" w:hAnsi="Verdana"/>
          <w:sz w:val="20"/>
          <w:lang w:val="pt-BR"/>
        </w:rPr>
        <w:t>Enxet</w:t>
      </w:r>
      <w:r w:rsidRPr="002F50BD">
        <w:rPr>
          <w:rFonts w:ascii="Verdana" w:hAnsi="Verdana"/>
          <w:sz w:val="20"/>
          <w:lang w:val="pt-BR"/>
        </w:rPr>
        <w:t xml:space="preserve"> e </w:t>
      </w:r>
      <w:r w:rsidR="004756C1" w:rsidRPr="002F50BD">
        <w:rPr>
          <w:rFonts w:ascii="Verdana" w:hAnsi="Verdana"/>
          <w:sz w:val="20"/>
          <w:lang w:val="pt-BR"/>
        </w:rPr>
        <w:t>Sanapaná</w:t>
      </w:r>
      <w:r w:rsidR="001A0CDE" w:rsidRPr="002F50BD">
        <w:rPr>
          <w:rFonts w:ascii="Verdana" w:hAnsi="Verdana"/>
          <w:sz w:val="20"/>
          <w:lang w:val="pt-BR"/>
        </w:rPr>
        <w:t>. Est</w:t>
      </w:r>
      <w:r w:rsidR="00626F06"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equipe</w:t>
      </w:r>
      <w:r w:rsidR="004756C1" w:rsidRPr="002F50BD">
        <w:rPr>
          <w:rFonts w:ascii="Verdana" w:hAnsi="Verdana"/>
          <w:sz w:val="20"/>
          <w:lang w:val="pt-BR"/>
        </w:rPr>
        <w:t xml:space="preserve"> </w:t>
      </w:r>
      <w:r w:rsidRPr="002F50BD">
        <w:rPr>
          <w:rFonts w:ascii="Verdana" w:hAnsi="Verdana"/>
          <w:sz w:val="20"/>
          <w:lang w:val="pt-BR"/>
        </w:rPr>
        <w:t>começou</w:t>
      </w:r>
      <w:r w:rsidR="004756C1" w:rsidRPr="002F50BD">
        <w:rPr>
          <w:rFonts w:ascii="Verdana" w:hAnsi="Verdana"/>
          <w:sz w:val="20"/>
          <w:lang w:val="pt-BR"/>
        </w:rPr>
        <w:t xml:space="preserve"> a </w:t>
      </w:r>
      <w:r w:rsidR="00626F06" w:rsidRPr="002F50BD">
        <w:rPr>
          <w:rFonts w:ascii="Verdana" w:hAnsi="Verdana"/>
          <w:sz w:val="20"/>
          <w:lang w:val="pt-BR"/>
        </w:rPr>
        <w:t>pe</w:t>
      </w:r>
      <w:r w:rsidR="004756C1" w:rsidRPr="002F50BD">
        <w:rPr>
          <w:rFonts w:ascii="Verdana" w:hAnsi="Verdana"/>
          <w:sz w:val="20"/>
          <w:lang w:val="pt-BR"/>
        </w:rPr>
        <w:t>rcorrer</w:t>
      </w:r>
      <w:r w:rsidRPr="002F50BD">
        <w:rPr>
          <w:rFonts w:ascii="Verdana" w:hAnsi="Verdana"/>
          <w:sz w:val="20"/>
          <w:lang w:val="pt-BR"/>
        </w:rPr>
        <w:t xml:space="preserve"> as </w:t>
      </w:r>
      <w:r w:rsidR="004756C1" w:rsidRPr="002F50BD">
        <w:rPr>
          <w:rFonts w:ascii="Verdana" w:hAnsi="Verdana"/>
          <w:sz w:val="20"/>
          <w:lang w:val="pt-BR"/>
        </w:rPr>
        <w:t>comunidades para explicar</w:t>
      </w:r>
      <w:r w:rsidR="00626F06" w:rsidRPr="002F50BD">
        <w:rPr>
          <w:rFonts w:ascii="Verdana" w:hAnsi="Verdana"/>
          <w:sz w:val="20"/>
          <w:lang w:val="pt-BR"/>
        </w:rPr>
        <w:t>-</w:t>
      </w:r>
      <w:r w:rsidR="004756C1" w:rsidRPr="002F50BD">
        <w:rPr>
          <w:rFonts w:ascii="Verdana" w:hAnsi="Verdana"/>
          <w:sz w:val="20"/>
          <w:lang w:val="pt-BR"/>
        </w:rPr>
        <w:t>l</w:t>
      </w:r>
      <w:r w:rsidR="00626F06" w:rsidRPr="002F50BD">
        <w:rPr>
          <w:rFonts w:ascii="Verdana" w:hAnsi="Verdana"/>
          <w:sz w:val="20"/>
          <w:lang w:val="pt-BR"/>
        </w:rPr>
        <w:t>h</w:t>
      </w:r>
      <w:r w:rsidR="004756C1" w:rsidRPr="002F50BD">
        <w:rPr>
          <w:rFonts w:ascii="Verdana" w:hAnsi="Verdana"/>
          <w:sz w:val="20"/>
          <w:lang w:val="pt-BR"/>
        </w:rPr>
        <w:t xml:space="preserve">es que </w:t>
      </w:r>
      <w:r w:rsidRPr="002F50BD">
        <w:rPr>
          <w:rFonts w:ascii="Verdana" w:hAnsi="Verdana"/>
          <w:sz w:val="20"/>
          <w:lang w:val="pt-BR"/>
        </w:rPr>
        <w:t>tinham</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 xml:space="preserve"> </w:t>
      </w:r>
      <w:r w:rsidR="00626F06" w:rsidRPr="002F50BD">
        <w:rPr>
          <w:rFonts w:ascii="Verdana" w:hAnsi="Verdana"/>
          <w:sz w:val="20"/>
          <w:lang w:val="pt-BR"/>
        </w:rPr>
        <w:t>a</w:t>
      </w:r>
      <w:r w:rsidR="004756C1" w:rsidRPr="002F50BD">
        <w:rPr>
          <w:rFonts w:ascii="Verdana" w:hAnsi="Verdana"/>
          <w:sz w:val="20"/>
          <w:lang w:val="pt-BR"/>
        </w:rPr>
        <w:t xml:space="preserve"> reivindicar </w:t>
      </w:r>
      <w:r w:rsidR="00A50140" w:rsidRPr="002F50BD">
        <w:rPr>
          <w:rFonts w:ascii="Verdana" w:hAnsi="Verdana"/>
          <w:sz w:val="20"/>
          <w:lang w:val="pt-BR"/>
        </w:rPr>
        <w:t>suas terras</w:t>
      </w:r>
      <w:r w:rsidRPr="002F50BD">
        <w:rPr>
          <w:rFonts w:ascii="Verdana" w:hAnsi="Verdana"/>
          <w:sz w:val="20"/>
          <w:lang w:val="pt-BR"/>
        </w:rPr>
        <w:t xml:space="preserve"> e</w:t>
      </w:r>
      <w:r w:rsidR="004756C1" w:rsidRPr="002F50BD">
        <w:rPr>
          <w:rFonts w:ascii="Verdana" w:hAnsi="Verdana"/>
          <w:sz w:val="20"/>
          <w:lang w:val="pt-BR"/>
        </w:rPr>
        <w:t xml:space="preserve"> </w:t>
      </w:r>
      <w:r w:rsidR="004076AD" w:rsidRPr="002F50BD">
        <w:rPr>
          <w:rFonts w:ascii="Verdana" w:hAnsi="Verdana"/>
          <w:sz w:val="20"/>
          <w:lang w:val="pt-BR"/>
        </w:rPr>
        <w:t>praticamente</w:t>
      </w:r>
      <w:r w:rsidR="004756C1" w:rsidRPr="002F50BD">
        <w:rPr>
          <w:rFonts w:ascii="Verdana" w:hAnsi="Verdana"/>
          <w:sz w:val="20"/>
          <w:lang w:val="pt-BR"/>
        </w:rPr>
        <w:t xml:space="preserve"> </w:t>
      </w:r>
      <w:r w:rsidR="004F64EE" w:rsidRPr="002F50BD">
        <w:rPr>
          <w:rFonts w:ascii="Verdana" w:hAnsi="Verdana"/>
          <w:sz w:val="20"/>
          <w:lang w:val="pt-BR"/>
        </w:rPr>
        <w:t>todas as</w:t>
      </w:r>
      <w:r w:rsidR="004756C1" w:rsidRPr="002F50BD">
        <w:rPr>
          <w:rFonts w:ascii="Verdana" w:hAnsi="Verdana"/>
          <w:sz w:val="20"/>
          <w:lang w:val="pt-BR"/>
        </w:rPr>
        <w:t xml:space="preserve"> </w:t>
      </w:r>
      <w:r w:rsidRPr="002F50BD">
        <w:rPr>
          <w:rFonts w:ascii="Verdana" w:hAnsi="Verdana"/>
          <w:sz w:val="20"/>
          <w:lang w:val="pt-BR"/>
        </w:rPr>
        <w:t>comunidade</w:t>
      </w:r>
      <w:r w:rsidR="004F64EE" w:rsidRPr="002F50BD">
        <w:rPr>
          <w:rFonts w:ascii="Verdana" w:hAnsi="Verdana"/>
          <w:sz w:val="20"/>
          <w:lang w:val="pt-BR"/>
        </w:rPr>
        <w:t>s</w:t>
      </w:r>
      <w:r w:rsidRPr="002F50BD">
        <w:rPr>
          <w:rFonts w:ascii="Verdana" w:hAnsi="Verdana"/>
          <w:sz w:val="20"/>
          <w:lang w:val="pt-BR"/>
        </w:rPr>
        <w:t xml:space="preserve"> decidi</w:t>
      </w:r>
      <w:r w:rsidR="004F64EE" w:rsidRPr="002F50BD">
        <w:rPr>
          <w:rFonts w:ascii="Verdana" w:hAnsi="Verdana"/>
          <w:sz w:val="20"/>
          <w:lang w:val="pt-BR"/>
        </w:rPr>
        <w:t>ram</w:t>
      </w:r>
      <w:r w:rsidR="004756C1" w:rsidRPr="002F50BD">
        <w:rPr>
          <w:rFonts w:ascii="Verdana" w:hAnsi="Verdana"/>
          <w:sz w:val="20"/>
          <w:lang w:val="pt-BR"/>
        </w:rPr>
        <w:t xml:space="preserve"> buscar</w:t>
      </w:r>
      <w:r w:rsidRPr="002F50BD">
        <w:rPr>
          <w:rFonts w:ascii="Verdana" w:hAnsi="Verdana"/>
          <w:sz w:val="20"/>
          <w:lang w:val="pt-BR"/>
        </w:rPr>
        <w:t xml:space="preserve"> a possibilidade </w:t>
      </w:r>
      <w:r w:rsidR="004756C1" w:rsidRPr="002F50BD">
        <w:rPr>
          <w:rFonts w:ascii="Verdana" w:hAnsi="Verdana"/>
          <w:sz w:val="20"/>
          <w:lang w:val="pt-BR"/>
        </w:rPr>
        <w:t>de reivindic</w:t>
      </w:r>
      <w:r w:rsidR="00626F06" w:rsidRPr="002F50BD">
        <w:rPr>
          <w:rFonts w:ascii="Verdana" w:hAnsi="Verdana"/>
          <w:sz w:val="20"/>
          <w:lang w:val="pt-BR"/>
        </w:rPr>
        <w:t>á-</w:t>
      </w:r>
      <w:r w:rsidR="004756C1" w:rsidRPr="002F50BD">
        <w:rPr>
          <w:rFonts w:ascii="Verdana" w:hAnsi="Verdana"/>
          <w:sz w:val="20"/>
          <w:lang w:val="pt-BR"/>
        </w:rPr>
        <w:t>las.</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626F06" w:rsidRPr="002F50BD">
        <w:rPr>
          <w:rFonts w:ascii="Verdana" w:hAnsi="Verdana"/>
          <w:sz w:val="20"/>
          <w:lang w:val="pt-BR"/>
        </w:rPr>
        <w:t xml:space="preserve">de </w:t>
      </w:r>
      <w:r w:rsidR="00063B47" w:rsidRPr="002F50BD">
        <w:rPr>
          <w:rFonts w:ascii="Verdana" w:hAnsi="Verdana"/>
          <w:sz w:val="20"/>
          <w:lang w:val="pt-BR"/>
        </w:rPr>
        <w:t>1993</w:t>
      </w:r>
      <w:r w:rsidR="009F6EEA" w:rsidRPr="002F50BD">
        <w:rPr>
          <w:rFonts w:ascii="Verdana" w:hAnsi="Verdana"/>
          <w:sz w:val="20"/>
          <w:lang w:val="pt-BR"/>
        </w:rPr>
        <w:t>,</w:t>
      </w:r>
      <w:r w:rsidRPr="002F50BD">
        <w:rPr>
          <w:rFonts w:ascii="Verdana" w:hAnsi="Verdana"/>
          <w:sz w:val="20"/>
          <w:lang w:val="pt-BR"/>
        </w:rPr>
        <w:t xml:space="preserve"> a maioria 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decidi</w:t>
      </w:r>
      <w:r w:rsidR="00DB51F0" w:rsidRPr="002F50BD">
        <w:rPr>
          <w:rFonts w:ascii="Verdana" w:hAnsi="Verdana"/>
          <w:sz w:val="20"/>
          <w:lang w:val="pt-BR"/>
        </w:rPr>
        <w:t>u</w:t>
      </w:r>
      <w:r w:rsidRPr="002F50BD">
        <w:rPr>
          <w:rFonts w:ascii="Verdana" w:hAnsi="Verdana"/>
          <w:sz w:val="20"/>
          <w:lang w:val="pt-BR"/>
        </w:rPr>
        <w:t xml:space="preserve"> </w:t>
      </w:r>
      <w:r w:rsidR="004756C1" w:rsidRPr="002F50BD">
        <w:rPr>
          <w:rFonts w:ascii="Verdana" w:hAnsi="Verdana"/>
          <w:sz w:val="20"/>
          <w:lang w:val="pt-BR"/>
        </w:rPr>
        <w:t>reivindica</w:t>
      </w:r>
      <w:r w:rsidR="009F6EEA" w:rsidRPr="002F50BD">
        <w:rPr>
          <w:rFonts w:ascii="Verdana" w:hAnsi="Verdana"/>
          <w:sz w:val="20"/>
          <w:lang w:val="pt-BR"/>
        </w:rPr>
        <w:t>r</w:t>
      </w:r>
      <w:r w:rsidR="004756C1" w:rsidRPr="002F50BD">
        <w:rPr>
          <w:rFonts w:ascii="Verdana" w:hAnsi="Verdana"/>
          <w:sz w:val="20"/>
          <w:lang w:val="pt-BR"/>
        </w:rPr>
        <w:t xml:space="preserve"> </w:t>
      </w:r>
      <w:r w:rsidR="00A50140" w:rsidRPr="002F50BD">
        <w:rPr>
          <w:rFonts w:ascii="Verdana" w:hAnsi="Verdana"/>
          <w:sz w:val="20"/>
          <w:lang w:val="pt-BR"/>
        </w:rPr>
        <w:t>suas terras</w:t>
      </w:r>
      <w:r w:rsidR="004756C1" w:rsidRPr="002F50BD">
        <w:rPr>
          <w:rFonts w:ascii="Verdana" w:hAnsi="Verdana"/>
          <w:sz w:val="20"/>
          <w:lang w:val="pt-BR"/>
        </w:rPr>
        <w:t>.</w:t>
      </w:r>
      <w:r w:rsidR="00FE08B7">
        <w:rPr>
          <w:rFonts w:ascii="Verdana" w:hAnsi="Verdana"/>
          <w:sz w:val="20"/>
          <w:lang w:val="pt-BR"/>
        </w:rPr>
        <w:t xml:space="preserve"> </w:t>
      </w:r>
      <w:r w:rsidR="00DB51F0"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no ano </w:t>
      </w:r>
      <w:r w:rsidR="00DB51F0" w:rsidRPr="002F50BD">
        <w:rPr>
          <w:rFonts w:ascii="Verdana" w:hAnsi="Verdana"/>
          <w:sz w:val="20"/>
          <w:lang w:val="pt-BR"/>
        </w:rPr>
        <w:t xml:space="preserve">de </w:t>
      </w:r>
      <w:r w:rsidR="00063B47" w:rsidRPr="002F50BD">
        <w:rPr>
          <w:rFonts w:ascii="Verdana" w:hAnsi="Verdana"/>
          <w:sz w:val="20"/>
          <w:lang w:val="pt-BR"/>
        </w:rPr>
        <w:t>1996</w:t>
      </w:r>
      <w:r w:rsidR="009F6EEA" w:rsidRPr="002F50BD">
        <w:rPr>
          <w:rFonts w:ascii="Verdana" w:hAnsi="Verdana"/>
          <w:sz w:val="20"/>
          <w:lang w:val="pt-BR"/>
        </w:rPr>
        <w:t>,</w:t>
      </w:r>
      <w:r w:rsidRPr="002F50BD">
        <w:rPr>
          <w:rFonts w:ascii="Verdana" w:hAnsi="Verdana"/>
          <w:sz w:val="20"/>
          <w:lang w:val="pt-BR"/>
        </w:rPr>
        <w:t xml:space="preserve"> o senhor </w:t>
      </w:r>
      <w:r w:rsidR="00CD7100" w:rsidRPr="002F50BD">
        <w:rPr>
          <w:rFonts w:ascii="Verdana" w:hAnsi="Verdana"/>
          <w:sz w:val="20"/>
          <w:lang w:val="pt-BR"/>
        </w:rPr>
        <w:t>Tomás Galeano</w:t>
      </w:r>
      <w:r w:rsidRPr="002F50BD">
        <w:rPr>
          <w:rFonts w:ascii="Verdana" w:hAnsi="Verdana"/>
          <w:sz w:val="20"/>
          <w:lang w:val="pt-BR"/>
        </w:rPr>
        <w:t xml:space="preserve"> </w:t>
      </w:r>
      <w:r w:rsidR="009F6EEA" w:rsidRPr="002F50BD">
        <w:rPr>
          <w:rFonts w:ascii="Verdana" w:hAnsi="Verdana"/>
          <w:sz w:val="20"/>
          <w:lang w:val="pt-BR"/>
        </w:rPr>
        <w:t>e</w:t>
      </w:r>
      <w:r w:rsidRPr="002F50BD">
        <w:rPr>
          <w:rFonts w:ascii="Verdana" w:hAnsi="Verdana"/>
          <w:sz w:val="20"/>
          <w:lang w:val="pt-BR"/>
        </w:rPr>
        <w:t xml:space="preserve"> um </w:t>
      </w:r>
      <w:r w:rsidR="004756C1" w:rsidRPr="002F50BD">
        <w:rPr>
          <w:rFonts w:ascii="Verdana" w:hAnsi="Verdana"/>
          <w:sz w:val="20"/>
          <w:lang w:val="pt-BR"/>
        </w:rPr>
        <w:t xml:space="preserve">grupo </w:t>
      </w:r>
      <w:r w:rsidRPr="002F50BD">
        <w:rPr>
          <w:rFonts w:ascii="Verdana" w:hAnsi="Verdana"/>
          <w:sz w:val="20"/>
          <w:lang w:val="pt-BR"/>
        </w:rPr>
        <w:t>pequeno</w:t>
      </w:r>
      <w:r w:rsidR="004756C1" w:rsidRPr="002F50BD">
        <w:rPr>
          <w:rFonts w:ascii="Verdana" w:hAnsi="Verdana"/>
          <w:sz w:val="20"/>
          <w:lang w:val="pt-BR"/>
        </w:rPr>
        <w:t xml:space="preserve"> de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076AD" w:rsidRPr="002F50BD">
        <w:rPr>
          <w:rFonts w:ascii="Verdana" w:hAnsi="Verdana"/>
          <w:sz w:val="20"/>
          <w:lang w:val="pt-BR"/>
        </w:rPr>
        <w:t>regressaram</w:t>
      </w:r>
      <w:r w:rsidRPr="002F50BD">
        <w:rPr>
          <w:rFonts w:ascii="Verdana" w:hAnsi="Verdana"/>
          <w:sz w:val="20"/>
          <w:lang w:val="pt-BR"/>
        </w:rPr>
        <w:t xml:space="preserve"> à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DB51F0" w:rsidRPr="002F50BD">
        <w:rPr>
          <w:rFonts w:ascii="Verdana" w:hAnsi="Verdana"/>
          <w:sz w:val="20"/>
          <w:lang w:val="pt-BR"/>
        </w:rPr>
        <w:t>N</w:t>
      </w:r>
      <w:r w:rsidRPr="002F50BD">
        <w:rPr>
          <w:rFonts w:ascii="Verdana" w:hAnsi="Verdana"/>
          <w:sz w:val="20"/>
          <w:lang w:val="pt-BR"/>
        </w:rPr>
        <w:t>essa época</w:t>
      </w:r>
      <w:r w:rsidR="009F6EEA" w:rsidRPr="002F50BD">
        <w:rPr>
          <w:rFonts w:ascii="Verdana" w:hAnsi="Verdana"/>
          <w:sz w:val="20"/>
          <w:lang w:val="pt-BR"/>
        </w:rPr>
        <w:t>,</w:t>
      </w:r>
      <w:r w:rsidRPr="002F50BD">
        <w:rPr>
          <w:rFonts w:ascii="Verdana" w:hAnsi="Verdana"/>
          <w:sz w:val="20"/>
          <w:lang w:val="pt-BR"/>
        </w:rPr>
        <w:t xml:space="preserve"> </w:t>
      </w:r>
      <w:r w:rsidR="00CD7100" w:rsidRPr="002F50BD">
        <w:rPr>
          <w:rFonts w:ascii="Verdana" w:hAnsi="Verdana"/>
          <w:sz w:val="20"/>
          <w:lang w:val="pt-BR"/>
        </w:rPr>
        <w:t>viviam</w:t>
      </w:r>
      <w:r w:rsidRPr="002F50BD">
        <w:rPr>
          <w:rFonts w:ascii="Verdana" w:hAnsi="Verdana"/>
          <w:sz w:val="20"/>
          <w:lang w:val="pt-BR"/>
        </w:rPr>
        <w:t xml:space="preserve"> na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Pr="002F50BD">
        <w:rPr>
          <w:rFonts w:ascii="Verdana" w:hAnsi="Verdana"/>
          <w:sz w:val="20"/>
          <w:lang w:val="pt-BR"/>
        </w:rPr>
        <w:t>várias</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 indígenas,</w:t>
      </w:r>
      <w:r w:rsidRPr="002F50BD">
        <w:rPr>
          <w:rFonts w:ascii="Verdana" w:hAnsi="Verdana"/>
          <w:sz w:val="20"/>
          <w:lang w:val="pt-BR"/>
        </w:rPr>
        <w:t xml:space="preserve"> </w:t>
      </w:r>
      <w:r w:rsidR="00DB51F0" w:rsidRPr="002F50BD">
        <w:rPr>
          <w:rFonts w:ascii="Verdana" w:hAnsi="Verdana"/>
          <w:sz w:val="20"/>
          <w:lang w:val="pt-BR"/>
        </w:rPr>
        <w:t>no entanto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grupo liderado</w:t>
      </w:r>
      <w:r w:rsidRPr="002F50BD">
        <w:rPr>
          <w:rFonts w:ascii="Verdana" w:hAnsi="Verdana"/>
          <w:sz w:val="20"/>
          <w:lang w:val="pt-BR"/>
        </w:rPr>
        <w:t xml:space="preserve"> pelo senhor </w:t>
      </w:r>
      <w:r w:rsidR="00CD7100" w:rsidRPr="002F50BD">
        <w:rPr>
          <w:rFonts w:ascii="Verdana" w:hAnsi="Verdana"/>
          <w:sz w:val="20"/>
          <w:lang w:val="pt-BR"/>
        </w:rPr>
        <w:t>Tomás Galeano</w:t>
      </w:r>
      <w:r w:rsidR="004756C1" w:rsidRPr="002F50BD">
        <w:rPr>
          <w:rFonts w:ascii="Verdana" w:hAnsi="Verdana"/>
          <w:sz w:val="20"/>
          <w:lang w:val="pt-BR"/>
        </w:rPr>
        <w:t xml:space="preserve"> </w:t>
      </w:r>
      <w:r w:rsidR="00AB454A" w:rsidRPr="002F50BD">
        <w:rPr>
          <w:rFonts w:ascii="Verdana" w:hAnsi="Verdana"/>
          <w:sz w:val="20"/>
          <w:lang w:val="pt-BR"/>
        </w:rPr>
        <w:t>não p</w:t>
      </w:r>
      <w:r w:rsidR="00DB51F0" w:rsidRPr="002F50BD">
        <w:rPr>
          <w:rFonts w:ascii="Verdana" w:hAnsi="Verdana"/>
          <w:sz w:val="20"/>
          <w:lang w:val="pt-BR"/>
        </w:rPr>
        <w:t>ô</w:t>
      </w:r>
      <w:r w:rsidR="00AB454A" w:rsidRPr="002F50BD">
        <w:rPr>
          <w:rFonts w:ascii="Verdana" w:hAnsi="Verdana"/>
          <w:sz w:val="20"/>
          <w:lang w:val="pt-BR"/>
        </w:rPr>
        <w:t>de</w:t>
      </w:r>
      <w:r w:rsidRPr="002F50BD">
        <w:rPr>
          <w:rFonts w:ascii="Verdana" w:hAnsi="Verdana"/>
          <w:sz w:val="20"/>
          <w:lang w:val="pt-BR"/>
        </w:rPr>
        <w:t xml:space="preserve"> ingressar</w:t>
      </w:r>
      <w:r w:rsidR="004756C1" w:rsidRPr="002F50BD">
        <w:rPr>
          <w:rFonts w:ascii="Verdana" w:hAnsi="Verdana"/>
          <w:sz w:val="20"/>
          <w:lang w:val="pt-BR"/>
        </w:rPr>
        <w:t>,</w:t>
      </w:r>
      <w:r w:rsidRPr="002F50BD">
        <w:rPr>
          <w:rFonts w:ascii="Verdana" w:hAnsi="Verdana"/>
          <w:sz w:val="20"/>
          <w:lang w:val="pt-BR"/>
        </w:rPr>
        <w:t xml:space="preserve"> </w:t>
      </w:r>
      <w:r w:rsidR="00DB51F0" w:rsidRPr="002F50BD">
        <w:rPr>
          <w:rFonts w:ascii="Verdana" w:hAnsi="Verdana"/>
          <w:sz w:val="20"/>
          <w:lang w:val="pt-BR"/>
        </w:rPr>
        <w:t>raz</w:t>
      </w:r>
      <w:r w:rsidR="004F64EE" w:rsidRPr="002F50BD">
        <w:rPr>
          <w:rFonts w:ascii="Verdana" w:hAnsi="Verdana"/>
          <w:sz w:val="20"/>
          <w:lang w:val="pt-BR"/>
        </w:rPr>
        <w:t>ão</w:t>
      </w:r>
      <w:r w:rsidR="00DB51F0" w:rsidRPr="002F50BD">
        <w:rPr>
          <w:rFonts w:ascii="Verdana" w:hAnsi="Verdana"/>
          <w:sz w:val="20"/>
          <w:lang w:val="pt-BR"/>
        </w:rPr>
        <w:t xml:space="preserve"> pela qual se viu </w:t>
      </w:r>
      <w:r w:rsidRPr="002F50BD">
        <w:rPr>
          <w:rFonts w:ascii="Verdana" w:hAnsi="Verdana"/>
          <w:sz w:val="20"/>
          <w:lang w:val="pt-BR"/>
        </w:rPr>
        <w:t>obrigad</w:t>
      </w:r>
      <w:r w:rsidR="004756C1" w:rsidRPr="002F50BD">
        <w:rPr>
          <w:rFonts w:ascii="Verdana" w:hAnsi="Verdana"/>
          <w:sz w:val="20"/>
          <w:lang w:val="pt-BR"/>
        </w:rPr>
        <w:t xml:space="preserve">o a </w:t>
      </w:r>
      <w:r w:rsidRPr="002F50BD">
        <w:rPr>
          <w:rFonts w:ascii="Verdana" w:hAnsi="Verdana"/>
          <w:sz w:val="20"/>
          <w:lang w:val="pt-BR"/>
        </w:rPr>
        <w:t>estabelece</w:t>
      </w:r>
      <w:r w:rsidR="004756C1" w:rsidRPr="002F50BD">
        <w:rPr>
          <w:rFonts w:ascii="Verdana" w:hAnsi="Verdana"/>
          <w:sz w:val="20"/>
          <w:lang w:val="pt-BR"/>
        </w:rPr>
        <w:t>r s</w:t>
      </w:r>
      <w:r w:rsidR="00DB51F0" w:rsidRPr="002F50BD">
        <w:rPr>
          <w:rFonts w:ascii="Verdana" w:hAnsi="Verdana"/>
          <w:sz w:val="20"/>
          <w:lang w:val="pt-BR"/>
        </w:rPr>
        <w:t>e</w:t>
      </w:r>
      <w:r w:rsidR="004756C1" w:rsidRPr="002F50BD">
        <w:rPr>
          <w:rFonts w:ascii="Verdana" w:hAnsi="Verdana"/>
          <w:sz w:val="20"/>
          <w:lang w:val="pt-BR"/>
        </w:rPr>
        <w:t xml:space="preserve">u </w:t>
      </w:r>
      <w:r w:rsidR="00AB454A" w:rsidRPr="002F50BD">
        <w:rPr>
          <w:rFonts w:ascii="Verdana" w:hAnsi="Verdana"/>
          <w:sz w:val="20"/>
          <w:lang w:val="pt-BR"/>
        </w:rPr>
        <w:t>assentamento</w:t>
      </w:r>
      <w:r w:rsidRPr="002F50BD">
        <w:rPr>
          <w:rFonts w:ascii="Verdana" w:hAnsi="Verdana"/>
          <w:sz w:val="20"/>
          <w:lang w:val="pt-BR"/>
        </w:rPr>
        <w:t xml:space="preserve"> </w:t>
      </w:r>
      <w:r w:rsidR="00DB51F0" w:rsidRPr="002F50BD">
        <w:rPr>
          <w:rFonts w:ascii="Verdana" w:hAnsi="Verdana"/>
          <w:sz w:val="20"/>
          <w:lang w:val="pt-BR"/>
        </w:rPr>
        <w:t xml:space="preserve">à margem de </w:t>
      </w:r>
      <w:r w:rsidRPr="002F50BD">
        <w:rPr>
          <w:rFonts w:ascii="Verdana" w:hAnsi="Verdana"/>
          <w:sz w:val="20"/>
          <w:lang w:val="pt-BR"/>
        </w:rPr>
        <w:t xml:space="preserve">uma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00DB51F0" w:rsidRPr="002F50BD">
        <w:rPr>
          <w:rFonts w:ascii="Verdana" w:hAnsi="Verdana"/>
          <w:sz w:val="20"/>
          <w:lang w:val="pt-BR"/>
        </w:rPr>
        <w:t xml:space="preserve">em </w:t>
      </w:r>
      <w:r w:rsidR="004756C1" w:rsidRPr="002F50BD">
        <w:rPr>
          <w:rFonts w:ascii="Verdana" w:hAnsi="Verdana"/>
          <w:sz w:val="20"/>
          <w:lang w:val="pt-BR"/>
        </w:rPr>
        <w:t>frente</w:t>
      </w:r>
      <w:r w:rsidRPr="002F50BD">
        <w:rPr>
          <w:rFonts w:ascii="Verdana" w:hAnsi="Verdana"/>
          <w:sz w:val="20"/>
          <w:lang w:val="pt-BR"/>
        </w:rPr>
        <w:t xml:space="preserve"> à </w:t>
      </w:r>
      <w:r w:rsidR="004756C1" w:rsidRPr="002F50BD">
        <w:rPr>
          <w:rFonts w:ascii="Verdana" w:hAnsi="Verdana"/>
          <w:sz w:val="20"/>
          <w:lang w:val="pt-BR"/>
        </w:rPr>
        <w:t xml:space="preserve">citada </w:t>
      </w:r>
      <w:r w:rsidR="00DB51F0" w:rsidRPr="002F50BD">
        <w:rPr>
          <w:rFonts w:ascii="Verdana" w:hAnsi="Verdana"/>
          <w:i/>
          <w:sz w:val="20"/>
          <w:lang w:val="pt-BR"/>
        </w:rPr>
        <w:t>Estancia</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Vários</w:t>
      </w:r>
      <w:r w:rsidR="004756C1" w:rsidRPr="002F50BD">
        <w:rPr>
          <w:rFonts w:ascii="Verdana" w:hAnsi="Verdana"/>
          <w:sz w:val="20"/>
          <w:lang w:val="pt-BR"/>
        </w:rPr>
        <w:t xml:space="preserve"> meses </w:t>
      </w:r>
      <w:r w:rsidRPr="002F50BD">
        <w:rPr>
          <w:rFonts w:ascii="Verdana" w:hAnsi="Verdana"/>
          <w:sz w:val="20"/>
          <w:lang w:val="pt-BR"/>
        </w:rPr>
        <w:t>depois</w:t>
      </w:r>
      <w:r w:rsidR="004756C1" w:rsidRPr="002F50BD">
        <w:rPr>
          <w:rFonts w:ascii="Verdana" w:hAnsi="Verdana"/>
          <w:sz w:val="20"/>
          <w:lang w:val="pt-BR"/>
        </w:rPr>
        <w:t>, e</w:t>
      </w:r>
      <w:r w:rsidR="00DB51F0" w:rsidRPr="002F50BD">
        <w:rPr>
          <w:rFonts w:ascii="Verdana" w:hAnsi="Verdana"/>
          <w:sz w:val="20"/>
          <w:lang w:val="pt-BR"/>
        </w:rPr>
        <w:t>s</w:t>
      </w:r>
      <w:r w:rsidR="004756C1" w:rsidRPr="002F50BD">
        <w:rPr>
          <w:rFonts w:ascii="Verdana" w:hAnsi="Verdana"/>
          <w:sz w:val="20"/>
          <w:lang w:val="pt-BR"/>
        </w:rPr>
        <w:t>pont</w:t>
      </w:r>
      <w:r w:rsidR="00DB51F0" w:rsidRPr="002F50BD">
        <w:rPr>
          <w:rFonts w:ascii="Verdana" w:hAnsi="Verdana"/>
          <w:sz w:val="20"/>
          <w:lang w:val="pt-BR"/>
        </w:rPr>
        <w:t>a</w:t>
      </w:r>
      <w:r w:rsidR="004756C1" w:rsidRPr="002F50BD">
        <w:rPr>
          <w:rFonts w:ascii="Verdana" w:hAnsi="Verdana"/>
          <w:sz w:val="20"/>
          <w:lang w:val="pt-BR"/>
        </w:rPr>
        <w:t xml:space="preserve">neamente, </w:t>
      </w:r>
      <w:r w:rsidRPr="002F50BD">
        <w:rPr>
          <w:rFonts w:ascii="Verdana" w:hAnsi="Verdana"/>
          <w:sz w:val="20"/>
          <w:lang w:val="pt-BR"/>
        </w:rPr>
        <w:t xml:space="preserve">quase </w:t>
      </w:r>
      <w:r w:rsidR="004756C1" w:rsidRPr="002F50BD">
        <w:rPr>
          <w:rFonts w:ascii="Verdana" w:hAnsi="Verdana"/>
          <w:sz w:val="20"/>
          <w:lang w:val="pt-BR"/>
        </w:rPr>
        <w:t>toda</w:t>
      </w:r>
      <w:r w:rsidRPr="002F50BD">
        <w:rPr>
          <w:rFonts w:ascii="Verdana" w:hAnsi="Verdana"/>
          <w:sz w:val="20"/>
          <w:lang w:val="pt-BR"/>
        </w:rPr>
        <w:t xml:space="preserve"> a Comunidade decidiu</w:t>
      </w:r>
      <w:r w:rsidR="004756C1" w:rsidRPr="002F50BD">
        <w:rPr>
          <w:rFonts w:ascii="Verdana" w:hAnsi="Verdana"/>
          <w:sz w:val="20"/>
          <w:lang w:val="pt-BR"/>
        </w:rPr>
        <w:t xml:space="preserve"> a</w:t>
      </w:r>
      <w:r w:rsidR="00DB51F0" w:rsidRPr="002F50BD">
        <w:rPr>
          <w:rFonts w:ascii="Verdana" w:hAnsi="Verdana"/>
          <w:sz w:val="20"/>
          <w:lang w:val="pt-BR"/>
        </w:rPr>
        <w:t>s</w:t>
      </w:r>
      <w:r w:rsidR="004756C1" w:rsidRPr="002F50BD">
        <w:rPr>
          <w:rFonts w:ascii="Verdana" w:hAnsi="Verdana"/>
          <w:sz w:val="20"/>
          <w:lang w:val="pt-BR"/>
        </w:rPr>
        <w:t>sentar</w:t>
      </w:r>
      <w:r w:rsidR="00DB51F0"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w:t>
      </w:r>
      <w:r w:rsidR="00DB51F0" w:rsidRPr="002F50BD">
        <w:rPr>
          <w:rFonts w:ascii="Verdana" w:hAnsi="Verdana"/>
          <w:sz w:val="20"/>
          <w:lang w:val="pt-BR"/>
        </w:rPr>
        <w:t xml:space="preserve">à margem </w:t>
      </w:r>
      <w:r w:rsidRPr="002F50BD">
        <w:rPr>
          <w:rFonts w:ascii="Verdana" w:hAnsi="Verdana"/>
          <w:sz w:val="20"/>
          <w:lang w:val="pt-BR"/>
        </w:rPr>
        <w:t xml:space="preserve">da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00DB51F0" w:rsidRPr="002F50BD">
        <w:rPr>
          <w:rFonts w:ascii="Verdana" w:hAnsi="Verdana"/>
          <w:sz w:val="20"/>
          <w:lang w:val="pt-BR"/>
        </w:rPr>
        <w:t>O</w:t>
      </w:r>
      <w:r w:rsidRPr="002F50BD">
        <w:rPr>
          <w:rFonts w:ascii="Verdana" w:hAnsi="Verdana"/>
          <w:sz w:val="20"/>
          <w:lang w:val="pt-BR"/>
        </w:rPr>
        <w:t>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n</w:t>
      </w:r>
      <w:r w:rsidR="00DB51F0"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receberam</w:t>
      </w:r>
      <w:r w:rsidR="004756C1" w:rsidRPr="002F50BD">
        <w:rPr>
          <w:rFonts w:ascii="Verdana" w:hAnsi="Verdana"/>
          <w:sz w:val="20"/>
          <w:lang w:val="pt-BR"/>
        </w:rPr>
        <w:t xml:space="preserve"> </w:t>
      </w:r>
      <w:r w:rsidRPr="002F50BD">
        <w:rPr>
          <w:rFonts w:ascii="Verdana" w:hAnsi="Verdana"/>
          <w:sz w:val="20"/>
          <w:lang w:val="pt-BR"/>
        </w:rPr>
        <w:t>apoio</w:t>
      </w:r>
      <w:r w:rsidR="004756C1" w:rsidRPr="002F50BD">
        <w:rPr>
          <w:rFonts w:ascii="Verdana" w:hAnsi="Verdana"/>
          <w:sz w:val="20"/>
          <w:lang w:val="pt-BR"/>
        </w:rPr>
        <w:t xml:space="preserve"> externo para</w:t>
      </w:r>
      <w:r w:rsidRPr="002F50BD">
        <w:rPr>
          <w:rFonts w:ascii="Verdana" w:hAnsi="Verdana"/>
          <w:sz w:val="20"/>
          <w:lang w:val="pt-BR"/>
        </w:rPr>
        <w:t xml:space="preserve"> </w:t>
      </w:r>
      <w:r w:rsidR="00DB51F0" w:rsidRPr="002F50BD">
        <w:rPr>
          <w:rFonts w:ascii="Verdana" w:hAnsi="Verdana"/>
          <w:sz w:val="20"/>
          <w:lang w:val="pt-BR"/>
        </w:rPr>
        <w:t>a mudança</w:t>
      </w:r>
      <w:r w:rsidR="00AE5FE8" w:rsidRPr="002F50BD">
        <w:rPr>
          <w:rFonts w:ascii="Verdana" w:hAnsi="Verdana"/>
          <w:sz w:val="20"/>
          <w:lang w:val="pt-BR"/>
        </w:rPr>
        <w:t xml:space="preserve"> e</w:t>
      </w:r>
      <w:r w:rsidR="004756C1" w:rsidRPr="002F50BD">
        <w:rPr>
          <w:rFonts w:ascii="Verdana" w:hAnsi="Verdana"/>
          <w:sz w:val="20"/>
          <w:lang w:val="pt-BR"/>
        </w:rPr>
        <w:t xml:space="preserve"> pagar</w:t>
      </w:r>
      <w:r w:rsidR="00DB51F0" w:rsidRPr="002F50BD">
        <w:rPr>
          <w:rFonts w:ascii="Verdana" w:hAnsi="Verdana"/>
          <w:sz w:val="20"/>
          <w:lang w:val="pt-BR"/>
        </w:rPr>
        <w:t>am</w:t>
      </w:r>
      <w:r w:rsidR="004756C1" w:rsidRPr="002F50BD">
        <w:rPr>
          <w:rFonts w:ascii="Verdana" w:hAnsi="Verdana"/>
          <w:sz w:val="20"/>
          <w:lang w:val="pt-BR"/>
        </w:rPr>
        <w:t xml:space="preserve"> t</w:t>
      </w:r>
      <w:r w:rsidR="00DB51F0" w:rsidRPr="002F50BD">
        <w:rPr>
          <w:rFonts w:ascii="Verdana" w:hAnsi="Verdana"/>
          <w:sz w:val="20"/>
          <w:lang w:val="pt-BR"/>
        </w:rPr>
        <w:t>u</w:t>
      </w:r>
      <w:r w:rsidR="004756C1" w:rsidRPr="002F50BD">
        <w:rPr>
          <w:rFonts w:ascii="Verdana" w:hAnsi="Verdana"/>
          <w:sz w:val="20"/>
          <w:lang w:val="pt-BR"/>
        </w:rPr>
        <w:t xml:space="preserve">do por </w:t>
      </w:r>
      <w:r w:rsidRPr="002F50BD">
        <w:rPr>
          <w:rFonts w:ascii="Verdana" w:hAnsi="Verdana"/>
          <w:sz w:val="20"/>
          <w:lang w:val="pt-BR"/>
        </w:rPr>
        <w:t>si mesm</w:t>
      </w:r>
      <w:r w:rsidR="004756C1" w:rsidRPr="002F50BD">
        <w:rPr>
          <w:rFonts w:ascii="Verdana" w:hAnsi="Verdana"/>
          <w:sz w:val="20"/>
          <w:lang w:val="pt-BR"/>
        </w:rPr>
        <w:t>os</w:t>
      </w:r>
      <w:r w:rsidR="00BE346D" w:rsidRPr="002F50BD">
        <w:rPr>
          <w:rFonts w:ascii="Verdana" w:hAnsi="Verdana"/>
          <w:sz w:val="20"/>
          <w:lang w:val="pt-BR"/>
        </w:rPr>
        <w:t xml:space="preserve">. A </w:t>
      </w:r>
      <w:r w:rsidRPr="002F50BD">
        <w:rPr>
          <w:rFonts w:ascii="Verdana" w:hAnsi="Verdana"/>
          <w:sz w:val="20"/>
          <w:lang w:val="pt-BR"/>
        </w:rPr>
        <w:t xml:space="preserve">Comunidade </w:t>
      </w:r>
      <w:r w:rsidR="004756C1" w:rsidRPr="002F50BD">
        <w:rPr>
          <w:rFonts w:ascii="Verdana" w:hAnsi="Verdana"/>
          <w:sz w:val="20"/>
          <w:lang w:val="pt-BR"/>
        </w:rPr>
        <w:t xml:space="preserve">Yakye Axa </w:t>
      </w:r>
      <w:r w:rsidR="00DB51F0" w:rsidRPr="002F50BD">
        <w:rPr>
          <w:rFonts w:ascii="Verdana" w:hAnsi="Verdana"/>
          <w:sz w:val="20"/>
          <w:lang w:val="pt-BR"/>
        </w:rPr>
        <w:t>escolheu</w:t>
      </w:r>
      <w:r w:rsidR="00AE5FE8" w:rsidRPr="002F50BD">
        <w:rPr>
          <w:rFonts w:ascii="Verdana" w:hAnsi="Verdana"/>
          <w:sz w:val="20"/>
          <w:lang w:val="pt-BR"/>
        </w:rPr>
        <w:t>, por si mesma,</w:t>
      </w:r>
      <w:r w:rsidR="00DB51F0" w:rsidRPr="002F50BD">
        <w:rPr>
          <w:rFonts w:ascii="Verdana" w:hAnsi="Verdana"/>
          <w:sz w:val="20"/>
          <w:lang w:val="pt-BR"/>
        </w:rPr>
        <w:t xml:space="preserve"> </w:t>
      </w:r>
      <w:r w:rsidRPr="002F50BD">
        <w:rPr>
          <w:rFonts w:ascii="Verdana" w:hAnsi="Verdana"/>
          <w:sz w:val="20"/>
          <w:lang w:val="pt-BR"/>
        </w:rPr>
        <w:t>a terra</w:t>
      </w:r>
      <w:r w:rsidR="004756C1" w:rsidRPr="002F50BD">
        <w:rPr>
          <w:rFonts w:ascii="Verdana" w:hAnsi="Verdana"/>
          <w:sz w:val="20"/>
          <w:lang w:val="pt-BR"/>
        </w:rPr>
        <w:t xml:space="preserve"> que </w:t>
      </w:r>
      <w:r w:rsidRPr="002F50BD">
        <w:rPr>
          <w:rFonts w:ascii="Verdana" w:hAnsi="Verdana"/>
          <w:sz w:val="20"/>
          <w:lang w:val="pt-BR"/>
        </w:rPr>
        <w:t>desejava</w:t>
      </w:r>
      <w:r w:rsidR="004756C1" w:rsidRPr="002F50BD">
        <w:rPr>
          <w:rFonts w:ascii="Verdana" w:hAnsi="Verdana"/>
          <w:sz w:val="20"/>
          <w:lang w:val="pt-BR"/>
        </w:rPr>
        <w:t xml:space="preserve"> reivindicar,</w:t>
      </w:r>
      <w:r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havia</w:t>
      </w:r>
      <w:r w:rsidR="004756C1" w:rsidRPr="002F50BD">
        <w:rPr>
          <w:rFonts w:ascii="Verdana" w:hAnsi="Verdana"/>
          <w:sz w:val="20"/>
          <w:lang w:val="pt-BR"/>
        </w:rPr>
        <w:t xml:space="preserve"> sido s</w:t>
      </w:r>
      <w:r w:rsidR="00DB51F0" w:rsidRPr="002F50BD">
        <w:rPr>
          <w:rFonts w:ascii="Verdana" w:hAnsi="Verdana"/>
          <w:sz w:val="20"/>
          <w:lang w:val="pt-BR"/>
        </w:rPr>
        <w:t>e</w:t>
      </w:r>
      <w:r w:rsidR="004756C1" w:rsidRPr="002F50BD">
        <w:rPr>
          <w:rFonts w:ascii="Verdana" w:hAnsi="Verdana"/>
          <w:sz w:val="20"/>
          <w:lang w:val="pt-BR"/>
        </w:rPr>
        <w:t xml:space="preserve">u </w:t>
      </w:r>
      <w:r w:rsidR="00AB454A" w:rsidRPr="002F50BD">
        <w:rPr>
          <w:rFonts w:ascii="Verdana" w:hAnsi="Verdana"/>
          <w:sz w:val="20"/>
          <w:lang w:val="pt-BR"/>
        </w:rPr>
        <w:t>assentamento</w:t>
      </w:r>
      <w:r w:rsidR="004756C1" w:rsidRPr="002F50BD">
        <w:rPr>
          <w:rFonts w:ascii="Verdana" w:hAnsi="Verdana"/>
          <w:sz w:val="20"/>
          <w:lang w:val="pt-BR"/>
        </w:rPr>
        <w:t>,</w:t>
      </w:r>
      <w:r w:rsidRPr="002F50BD">
        <w:rPr>
          <w:rFonts w:ascii="Verdana" w:hAnsi="Verdana"/>
          <w:sz w:val="20"/>
          <w:lang w:val="pt-BR"/>
        </w:rPr>
        <w:t xml:space="preserve"> onde ele</w:t>
      </w:r>
      <w:r w:rsidR="004756C1" w:rsidRPr="002F50BD">
        <w:rPr>
          <w:rFonts w:ascii="Verdana" w:hAnsi="Verdana"/>
          <w:sz w:val="20"/>
          <w:lang w:val="pt-BR"/>
        </w:rPr>
        <w:t xml:space="preserve">s, </w:t>
      </w:r>
      <w:r w:rsidRPr="002F50BD">
        <w:rPr>
          <w:rFonts w:ascii="Verdana" w:hAnsi="Verdana"/>
          <w:sz w:val="20"/>
          <w:lang w:val="pt-BR"/>
        </w:rPr>
        <w:t>seus pais e avô</w:t>
      </w:r>
      <w:r w:rsidR="004756C1" w:rsidRPr="002F50BD">
        <w:rPr>
          <w:rFonts w:ascii="Verdana" w:hAnsi="Verdana"/>
          <w:sz w:val="20"/>
          <w:lang w:val="pt-BR"/>
        </w:rPr>
        <w:t>s</w:t>
      </w:r>
      <w:r w:rsidR="004076AD" w:rsidRPr="002F50BD">
        <w:rPr>
          <w:rFonts w:ascii="Verdana" w:hAnsi="Verdana"/>
          <w:sz w:val="20"/>
          <w:lang w:val="pt-BR"/>
        </w:rPr>
        <w:t xml:space="preserve"> haviam </w:t>
      </w:r>
      <w:r w:rsidR="004756C1" w:rsidRPr="002F50BD">
        <w:rPr>
          <w:rFonts w:ascii="Verdana" w:hAnsi="Verdana"/>
          <w:sz w:val="20"/>
          <w:lang w:val="pt-BR"/>
        </w:rPr>
        <w:t>na</w:t>
      </w:r>
      <w:r w:rsidR="00DB51F0" w:rsidRPr="002F50BD">
        <w:rPr>
          <w:rFonts w:ascii="Verdana" w:hAnsi="Verdana"/>
          <w:sz w:val="20"/>
          <w:lang w:val="pt-BR"/>
        </w:rPr>
        <w:t>s</w:t>
      </w:r>
      <w:r w:rsidR="004756C1" w:rsidRPr="002F50BD">
        <w:rPr>
          <w:rFonts w:ascii="Verdana" w:hAnsi="Verdana"/>
          <w:sz w:val="20"/>
          <w:lang w:val="pt-BR"/>
        </w:rPr>
        <w:t>cido.</w:t>
      </w:r>
    </w:p>
    <w:p w:rsidR="004756C1" w:rsidRPr="002F50BD" w:rsidRDefault="0089298C">
      <w:pPr>
        <w:jc w:val="both"/>
        <w:rPr>
          <w:rFonts w:ascii="Verdana" w:hAnsi="Verdana"/>
          <w:sz w:val="20"/>
          <w:lang w:val="pt-BR"/>
        </w:rPr>
      </w:pPr>
      <w:r w:rsidRPr="002F50BD">
        <w:rPr>
          <w:rFonts w:ascii="Verdana" w:hAnsi="Verdana"/>
          <w:sz w:val="20"/>
          <w:lang w:val="pt-BR"/>
        </w:rPr>
        <w:cr/>
        <w:t xml:space="preserve">A Comunidade </w:t>
      </w:r>
      <w:r w:rsidR="004756C1" w:rsidRPr="002F50BD">
        <w:rPr>
          <w:rFonts w:ascii="Verdana" w:hAnsi="Verdana"/>
          <w:sz w:val="20"/>
          <w:lang w:val="pt-BR"/>
        </w:rPr>
        <w:t>Yakye Axa</w:t>
      </w:r>
      <w:r w:rsidRPr="002F50BD">
        <w:rPr>
          <w:rFonts w:ascii="Verdana" w:hAnsi="Verdana"/>
          <w:sz w:val="20"/>
          <w:lang w:val="pt-BR"/>
        </w:rPr>
        <w:t xml:space="preserve"> é uma comunidade muito</w:t>
      </w:r>
      <w:r w:rsidR="004756C1" w:rsidRPr="002F50BD">
        <w:rPr>
          <w:rFonts w:ascii="Verdana" w:hAnsi="Verdana"/>
          <w:sz w:val="20"/>
          <w:lang w:val="pt-BR"/>
        </w:rPr>
        <w:t xml:space="preserve"> </w:t>
      </w:r>
      <w:r w:rsidRPr="002F50BD">
        <w:rPr>
          <w:rFonts w:ascii="Verdana" w:hAnsi="Verdana"/>
          <w:sz w:val="20"/>
          <w:lang w:val="pt-BR"/>
        </w:rPr>
        <w:t>antiga</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Depois</w:t>
      </w:r>
      <w:r w:rsidR="004756C1" w:rsidRPr="002F50BD">
        <w:rPr>
          <w:rFonts w:ascii="Verdana" w:hAnsi="Verdana"/>
          <w:sz w:val="20"/>
          <w:lang w:val="pt-BR"/>
        </w:rPr>
        <w:t xml:space="preserve"> de su</w:t>
      </w:r>
      <w:r w:rsidR="00DB51F0" w:rsidRPr="002F50BD">
        <w:rPr>
          <w:rFonts w:ascii="Verdana" w:hAnsi="Verdana"/>
          <w:sz w:val="20"/>
          <w:lang w:val="pt-BR"/>
        </w:rPr>
        <w:t>a</w:t>
      </w:r>
      <w:r w:rsidRPr="002F50BD">
        <w:rPr>
          <w:rFonts w:ascii="Verdana" w:hAnsi="Verdana"/>
          <w:sz w:val="20"/>
          <w:lang w:val="pt-BR"/>
        </w:rPr>
        <w:t xml:space="preserve"> saída </w:t>
      </w:r>
      <w:r w:rsidR="00DB51F0" w:rsidRPr="002F50BD">
        <w:rPr>
          <w:rFonts w:ascii="Verdana" w:hAnsi="Verdana"/>
          <w:sz w:val="20"/>
          <w:lang w:val="pt-BR"/>
        </w:rPr>
        <w:t>par</w:t>
      </w:r>
      <w:r w:rsidR="004756C1" w:rsidRPr="002F50BD">
        <w:rPr>
          <w:rFonts w:ascii="Verdana" w:hAnsi="Verdana"/>
          <w:sz w:val="20"/>
          <w:lang w:val="pt-BR"/>
        </w:rPr>
        <w:t>a</w:t>
      </w:r>
      <w:r w:rsidRPr="002F50BD">
        <w:rPr>
          <w:rFonts w:ascii="Verdana" w:hAnsi="Verdana"/>
          <w:sz w:val="20"/>
          <w:lang w:val="pt-BR"/>
        </w:rPr>
        <w:t xml:space="preserve"> </w:t>
      </w:r>
      <w:r w:rsidR="00DB51F0" w:rsidRPr="002F50BD">
        <w:rPr>
          <w:rFonts w:ascii="Verdana" w:hAnsi="Verdana"/>
          <w:sz w:val="20"/>
          <w:lang w:val="pt-BR"/>
        </w:rPr>
        <w:t>El</w:t>
      </w:r>
      <w:r w:rsidRPr="002F50BD">
        <w:rPr>
          <w:rFonts w:ascii="Verdana" w:hAnsi="Verdana"/>
          <w:sz w:val="20"/>
          <w:lang w:val="pt-BR"/>
        </w:rPr>
        <w:t xml:space="preserve"> </w:t>
      </w:r>
      <w:r w:rsidR="004756C1" w:rsidRPr="002F50BD">
        <w:rPr>
          <w:rFonts w:ascii="Verdana" w:hAnsi="Verdana"/>
          <w:sz w:val="20"/>
          <w:lang w:val="pt-BR"/>
        </w:rPr>
        <w:t>Estribo</w:t>
      </w:r>
      <w:r w:rsidR="00AE5FE8"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desta Comunidade </w:t>
      </w:r>
      <w:r w:rsidR="004756C1" w:rsidRPr="002F50BD">
        <w:rPr>
          <w:rFonts w:ascii="Verdana" w:hAnsi="Verdana"/>
          <w:sz w:val="20"/>
          <w:lang w:val="pt-BR"/>
        </w:rPr>
        <w:t>visita</w:t>
      </w:r>
      <w:r w:rsidR="00DB51F0" w:rsidRPr="002F50BD">
        <w:rPr>
          <w:rFonts w:ascii="Verdana" w:hAnsi="Verdana"/>
          <w:sz w:val="20"/>
          <w:lang w:val="pt-BR"/>
        </w:rPr>
        <w:t>vam</w:t>
      </w:r>
      <w:r w:rsidRPr="002F50BD">
        <w:rPr>
          <w:rFonts w:ascii="Verdana" w:hAnsi="Verdana"/>
          <w:sz w:val="20"/>
          <w:lang w:val="pt-BR"/>
        </w:rPr>
        <w:t xml:space="preserve"> 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DB51F0" w:rsidRPr="002F50BD">
        <w:rPr>
          <w:rFonts w:ascii="Verdana" w:hAnsi="Verdana"/>
          <w:sz w:val="20"/>
          <w:lang w:val="pt-BR"/>
        </w:rPr>
        <w:t xml:space="preserve">permaneciam ali durante </w:t>
      </w:r>
      <w:r w:rsidRPr="002F50BD">
        <w:rPr>
          <w:rFonts w:ascii="Verdana" w:hAnsi="Verdana"/>
          <w:sz w:val="20"/>
          <w:lang w:val="pt-BR"/>
        </w:rPr>
        <w:t>várias</w:t>
      </w:r>
      <w:r w:rsidR="004756C1" w:rsidRPr="002F50BD">
        <w:rPr>
          <w:rFonts w:ascii="Verdana" w:hAnsi="Verdana"/>
          <w:sz w:val="20"/>
          <w:lang w:val="pt-BR"/>
        </w:rPr>
        <w:t xml:space="preserve"> semanas, </w:t>
      </w:r>
      <w:r w:rsidR="00DB51F0" w:rsidRPr="002F50BD">
        <w:rPr>
          <w:rFonts w:ascii="Verdana" w:hAnsi="Verdana"/>
          <w:sz w:val="20"/>
          <w:lang w:val="pt-BR"/>
        </w:rPr>
        <w:t>realizando</w:t>
      </w:r>
      <w:r w:rsidR="004756C1" w:rsidRPr="002F50BD">
        <w:rPr>
          <w:rFonts w:ascii="Verdana" w:hAnsi="Verdana"/>
          <w:sz w:val="20"/>
          <w:lang w:val="pt-BR"/>
        </w:rPr>
        <w:t xml:space="preserve"> </w:t>
      </w:r>
      <w:r w:rsidRPr="002F50BD">
        <w:rPr>
          <w:rFonts w:ascii="Verdana" w:hAnsi="Verdana"/>
          <w:sz w:val="20"/>
          <w:lang w:val="pt-BR"/>
        </w:rPr>
        <w:t>ativ</w:t>
      </w:r>
      <w:r w:rsidR="004756C1" w:rsidRPr="002F50BD">
        <w:rPr>
          <w:rFonts w:ascii="Verdana" w:hAnsi="Verdana"/>
          <w:sz w:val="20"/>
          <w:lang w:val="pt-BR"/>
        </w:rPr>
        <w:t>idades de pesca</w:t>
      </w:r>
      <w:r w:rsidRPr="002F50BD">
        <w:rPr>
          <w:rFonts w:ascii="Verdana" w:hAnsi="Verdana"/>
          <w:sz w:val="20"/>
          <w:lang w:val="pt-BR"/>
        </w:rPr>
        <w:t xml:space="preserve"> e </w:t>
      </w:r>
      <w:r w:rsidR="004756C1" w:rsidRPr="002F50BD">
        <w:rPr>
          <w:rFonts w:ascii="Verdana" w:hAnsi="Verdana"/>
          <w:sz w:val="20"/>
          <w:lang w:val="pt-BR"/>
        </w:rPr>
        <w:t>ca</w:t>
      </w:r>
      <w:r w:rsidR="00DB51F0" w:rsidRPr="002F50BD">
        <w:rPr>
          <w:rFonts w:ascii="Verdana" w:hAnsi="Verdana"/>
          <w:sz w:val="20"/>
          <w:lang w:val="pt-BR"/>
        </w:rPr>
        <w:t>ç</w:t>
      </w:r>
      <w:r w:rsidR="004756C1" w:rsidRPr="002F50BD">
        <w:rPr>
          <w:rFonts w:ascii="Verdana" w:hAnsi="Verdana"/>
          <w:sz w:val="20"/>
          <w:lang w:val="pt-BR"/>
        </w:rPr>
        <w:t>a</w:t>
      </w:r>
      <w:r w:rsidR="00DB51F0" w:rsidRPr="002F50BD">
        <w:rPr>
          <w:rFonts w:ascii="Verdana" w:hAnsi="Verdana"/>
          <w:sz w:val="20"/>
          <w:lang w:val="pt-BR"/>
        </w:rPr>
        <w:t xml:space="preserve">. Os </w:t>
      </w:r>
      <w:r w:rsidRPr="002F50BD">
        <w:rPr>
          <w:rFonts w:ascii="Verdana" w:hAnsi="Verdana"/>
          <w:sz w:val="20"/>
          <w:lang w:val="pt-BR"/>
        </w:rPr>
        <w:lastRenderedPageBreak/>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sempre</w:t>
      </w:r>
      <w:r w:rsidR="004756C1" w:rsidRPr="002F50BD">
        <w:rPr>
          <w:rFonts w:ascii="Verdana" w:hAnsi="Verdana"/>
          <w:sz w:val="20"/>
          <w:lang w:val="pt-BR"/>
        </w:rPr>
        <w:t xml:space="preserve"> </w:t>
      </w:r>
      <w:r w:rsidR="00DB51F0" w:rsidRPr="002F50BD">
        <w:rPr>
          <w:rFonts w:ascii="Verdana" w:hAnsi="Verdana"/>
          <w:sz w:val="20"/>
          <w:lang w:val="pt-BR"/>
        </w:rPr>
        <w:t>falavam</w:t>
      </w:r>
      <w:r w:rsidRPr="002F50BD">
        <w:rPr>
          <w:rFonts w:ascii="Verdana" w:hAnsi="Verdana"/>
          <w:sz w:val="20"/>
          <w:lang w:val="pt-BR"/>
        </w:rPr>
        <w:t xml:space="preserve"> com </w:t>
      </w:r>
      <w:r w:rsidR="004756C1" w:rsidRPr="002F50BD">
        <w:rPr>
          <w:rFonts w:ascii="Verdana" w:hAnsi="Verdana"/>
          <w:sz w:val="20"/>
          <w:lang w:val="pt-BR"/>
        </w:rPr>
        <w:t xml:space="preserve">tristeza </w:t>
      </w:r>
      <w:r w:rsidRPr="002F50BD">
        <w:rPr>
          <w:rFonts w:ascii="Verdana" w:hAnsi="Verdana"/>
          <w:sz w:val="20"/>
          <w:lang w:val="pt-BR"/>
        </w:rPr>
        <w:t xml:space="preserve">do fato </w:t>
      </w:r>
      <w:r w:rsidR="004756C1" w:rsidRPr="002F50BD">
        <w:rPr>
          <w:rFonts w:ascii="Verdana" w:hAnsi="Verdana"/>
          <w:sz w:val="20"/>
          <w:lang w:val="pt-BR"/>
        </w:rPr>
        <w:t>de que</w:t>
      </w:r>
      <w:r w:rsidR="004076AD" w:rsidRPr="002F50BD">
        <w:rPr>
          <w:rFonts w:ascii="Verdana" w:hAnsi="Verdana"/>
          <w:sz w:val="20"/>
          <w:lang w:val="pt-BR"/>
        </w:rPr>
        <w:t xml:space="preserve"> haviam </w:t>
      </w:r>
      <w:r w:rsidR="004756C1" w:rsidRPr="002F50BD">
        <w:rPr>
          <w:rFonts w:ascii="Verdana" w:hAnsi="Verdana"/>
          <w:sz w:val="20"/>
          <w:lang w:val="pt-BR"/>
        </w:rPr>
        <w:t>sa</w:t>
      </w:r>
      <w:r w:rsidR="00DB51F0" w:rsidRPr="002F50BD">
        <w:rPr>
          <w:rFonts w:ascii="Verdana" w:hAnsi="Verdana"/>
          <w:sz w:val="20"/>
          <w:lang w:val="pt-BR"/>
        </w:rPr>
        <w:t>í</w:t>
      </w:r>
      <w:r w:rsidR="004756C1" w:rsidRPr="002F50BD">
        <w:rPr>
          <w:rFonts w:ascii="Verdana" w:hAnsi="Verdana"/>
          <w:sz w:val="20"/>
          <w:lang w:val="pt-BR"/>
        </w:rPr>
        <w:t xml:space="preserve">do de </w:t>
      </w:r>
      <w:r w:rsidR="00A50140" w:rsidRPr="002F50BD">
        <w:rPr>
          <w:rFonts w:ascii="Verdana" w:hAnsi="Verdana"/>
          <w:sz w:val="20"/>
          <w:lang w:val="pt-BR"/>
        </w:rPr>
        <w:t>suas terras</w:t>
      </w:r>
      <w:r w:rsidR="004756C1" w:rsidRPr="002F50BD">
        <w:rPr>
          <w:rFonts w:ascii="Verdana" w:hAnsi="Verdana"/>
          <w:sz w:val="20"/>
          <w:lang w:val="pt-BR"/>
        </w:rPr>
        <w:t xml:space="preserve"> para </w:t>
      </w:r>
      <w:r w:rsidRPr="002F50BD">
        <w:rPr>
          <w:rFonts w:ascii="Verdana" w:hAnsi="Verdana"/>
          <w:sz w:val="20"/>
          <w:lang w:val="pt-BR"/>
        </w:rPr>
        <w:t>as terra</w:t>
      </w:r>
      <w:r w:rsidR="004756C1" w:rsidRPr="002F50BD">
        <w:rPr>
          <w:rFonts w:ascii="Verdana" w:hAnsi="Verdana"/>
          <w:sz w:val="20"/>
          <w:lang w:val="pt-BR"/>
        </w:rPr>
        <w:t xml:space="preserve">s </w:t>
      </w:r>
      <w:r w:rsidRPr="002F50BD">
        <w:rPr>
          <w:rFonts w:ascii="Verdana" w:hAnsi="Verdana"/>
          <w:sz w:val="20"/>
          <w:lang w:val="pt-BR"/>
        </w:rPr>
        <w:t>d</w:t>
      </w:r>
      <w:r w:rsidR="00DB51F0" w:rsidRPr="002F50BD">
        <w:rPr>
          <w:rFonts w:ascii="Verdana" w:hAnsi="Verdana"/>
          <w:sz w:val="20"/>
          <w:lang w:val="pt-BR"/>
        </w:rPr>
        <w:t>e El</w:t>
      </w:r>
      <w:r w:rsidRPr="002F50BD">
        <w:rPr>
          <w:rFonts w:ascii="Verdana" w:hAnsi="Verdana"/>
          <w:sz w:val="20"/>
          <w:lang w:val="pt-BR"/>
        </w:rPr>
        <w:t xml:space="preserve"> </w:t>
      </w:r>
      <w:r w:rsidR="004756C1" w:rsidRPr="002F50BD">
        <w:rPr>
          <w:rFonts w:ascii="Verdana" w:hAnsi="Verdana"/>
          <w:sz w:val="20"/>
          <w:lang w:val="pt-BR"/>
        </w:rPr>
        <w:t>Estribo</w:t>
      </w:r>
      <w:r w:rsidR="004F64EE" w:rsidRPr="002F50BD">
        <w:rPr>
          <w:rFonts w:ascii="Verdana" w:hAnsi="Verdana"/>
          <w:sz w:val="20"/>
          <w:lang w:val="pt-BR"/>
        </w:rPr>
        <w:t xml:space="preserve"> e</w:t>
      </w:r>
      <w:r w:rsidR="004756C1" w:rsidRPr="002F50BD">
        <w:rPr>
          <w:rFonts w:ascii="Verdana" w:hAnsi="Verdana"/>
          <w:sz w:val="20"/>
          <w:lang w:val="pt-BR"/>
        </w:rPr>
        <w:t xml:space="preserve"> que realmente n</w:t>
      </w:r>
      <w:r w:rsidR="00DB51F0"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eram </w:t>
      </w:r>
      <w:r w:rsidR="004756C1" w:rsidRPr="002F50BD">
        <w:rPr>
          <w:rFonts w:ascii="Verdana" w:hAnsi="Verdana"/>
          <w:sz w:val="20"/>
          <w:lang w:val="pt-BR"/>
        </w:rPr>
        <w:t xml:space="preserve">aptas para nada, </w:t>
      </w:r>
      <w:r w:rsidR="00DB51F0" w:rsidRPr="002F50BD">
        <w:rPr>
          <w:rFonts w:ascii="Verdana" w:hAnsi="Verdana"/>
          <w:sz w:val="20"/>
          <w:lang w:val="pt-BR"/>
        </w:rPr>
        <w:t xml:space="preserve">muito </w:t>
      </w:r>
      <w:r w:rsidR="004756C1" w:rsidRPr="002F50BD">
        <w:rPr>
          <w:rFonts w:ascii="Verdana" w:hAnsi="Verdana"/>
          <w:sz w:val="20"/>
          <w:lang w:val="pt-BR"/>
        </w:rPr>
        <w:t>menos para</w:t>
      </w:r>
      <w:r w:rsidRPr="002F50BD">
        <w:rPr>
          <w:rFonts w:ascii="Verdana" w:hAnsi="Verdana"/>
          <w:sz w:val="20"/>
          <w:lang w:val="pt-BR"/>
        </w:rPr>
        <w:t xml:space="preserve"> a </w:t>
      </w:r>
      <w:r w:rsidR="004756C1" w:rsidRPr="002F50BD">
        <w:rPr>
          <w:rFonts w:ascii="Verdana" w:hAnsi="Verdana"/>
          <w:sz w:val="20"/>
          <w:lang w:val="pt-BR"/>
        </w:rPr>
        <w:t>agricultura.</w:t>
      </w:r>
    </w:p>
    <w:p w:rsidR="004756C1" w:rsidRPr="002F50BD" w:rsidRDefault="004756C1">
      <w:pPr>
        <w:jc w:val="both"/>
        <w:rPr>
          <w:rFonts w:ascii="Verdana" w:hAnsi="Verdana"/>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e.</w:t>
      </w:r>
      <w:r w:rsidRPr="002F50BD">
        <w:rPr>
          <w:rFonts w:ascii="Verdana" w:hAnsi="Verdana"/>
          <w:b/>
          <w:sz w:val="20"/>
          <w:lang w:val="pt-BR"/>
        </w:rPr>
        <w:tab/>
        <w:t xml:space="preserve">Rodrigo </w:t>
      </w:r>
      <w:r w:rsidR="00DB51F0" w:rsidRPr="002F50BD">
        <w:rPr>
          <w:rFonts w:ascii="Verdana" w:hAnsi="Verdana"/>
          <w:b/>
          <w:sz w:val="20"/>
          <w:lang w:val="pt-BR"/>
        </w:rPr>
        <w:t>Villagra Carrón</w:t>
      </w:r>
      <w:r w:rsidRPr="002F50BD">
        <w:rPr>
          <w:rFonts w:ascii="Verdana" w:hAnsi="Verdana"/>
          <w:b/>
          <w:sz w:val="20"/>
          <w:lang w:val="pt-BR"/>
        </w:rPr>
        <w:t xml:space="preserve">, </w:t>
      </w:r>
      <w:r w:rsidR="0089298C" w:rsidRPr="002F50BD">
        <w:rPr>
          <w:rFonts w:ascii="Verdana" w:hAnsi="Verdana"/>
          <w:b/>
          <w:sz w:val="20"/>
          <w:lang w:val="pt-BR"/>
        </w:rPr>
        <w:t>testemunha</w:t>
      </w:r>
    </w:p>
    <w:p w:rsidR="004756C1" w:rsidRPr="002F50BD" w:rsidRDefault="0089298C">
      <w:pPr>
        <w:pStyle w:val="BodyText"/>
        <w:rPr>
          <w:rFonts w:ascii="Verdana" w:hAnsi="Verdana"/>
          <w:sz w:val="20"/>
          <w:lang w:val="pt-BR"/>
        </w:rPr>
      </w:pPr>
      <w:r w:rsidRPr="002F50BD">
        <w:rPr>
          <w:rFonts w:ascii="Verdana" w:hAnsi="Verdana"/>
          <w:sz w:val="20"/>
          <w:lang w:val="pt-BR"/>
        </w:rPr>
        <w:cr/>
        <w:t xml:space="preserve">A Comunidade </w:t>
      </w:r>
      <w:r w:rsidR="004756C1" w:rsidRPr="002F50BD">
        <w:rPr>
          <w:rFonts w:ascii="Verdana" w:hAnsi="Verdana"/>
          <w:sz w:val="20"/>
          <w:lang w:val="pt-BR"/>
        </w:rPr>
        <w:t xml:space="preserve">Yakye Axa </w:t>
      </w:r>
      <w:r w:rsidRPr="002F50BD">
        <w:rPr>
          <w:rFonts w:ascii="Verdana" w:hAnsi="Verdana"/>
          <w:sz w:val="20"/>
          <w:lang w:val="pt-BR"/>
        </w:rPr>
        <w:t>iniciou</w:t>
      </w:r>
      <w:r w:rsidR="00AE5FE8" w:rsidRPr="002F50BD">
        <w:rPr>
          <w:rFonts w:ascii="Verdana" w:hAnsi="Verdana"/>
          <w:sz w:val="20"/>
          <w:lang w:val="pt-BR"/>
        </w:rPr>
        <w:t>,</w:t>
      </w:r>
      <w:r w:rsidRPr="002F50BD">
        <w:rPr>
          <w:rFonts w:ascii="Verdana" w:hAnsi="Verdana"/>
          <w:sz w:val="20"/>
          <w:lang w:val="pt-BR"/>
        </w:rPr>
        <w:t xml:space="preserve"> no ano </w:t>
      </w:r>
      <w:r w:rsidR="00DB51F0" w:rsidRPr="002F50BD">
        <w:rPr>
          <w:rFonts w:ascii="Verdana" w:hAnsi="Verdana"/>
          <w:sz w:val="20"/>
          <w:lang w:val="pt-BR"/>
        </w:rPr>
        <w:t xml:space="preserve">de </w:t>
      </w:r>
      <w:r w:rsidR="00063B47" w:rsidRPr="002F50BD">
        <w:rPr>
          <w:rFonts w:ascii="Verdana" w:hAnsi="Verdana"/>
          <w:sz w:val="20"/>
          <w:lang w:val="pt-BR"/>
        </w:rPr>
        <w:t>1993</w:t>
      </w:r>
      <w:r w:rsidR="00AE5FE8"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reivindica</w:t>
      </w:r>
      <w:r w:rsidRPr="002F50BD">
        <w:rPr>
          <w:rFonts w:ascii="Verdana" w:hAnsi="Verdana"/>
          <w:sz w:val="20"/>
          <w:lang w:val="pt-BR"/>
        </w:rPr>
        <w:t>ção</w:t>
      </w:r>
      <w:r w:rsidR="004756C1" w:rsidRPr="002F50BD">
        <w:rPr>
          <w:rFonts w:ascii="Verdana" w:hAnsi="Verdana"/>
          <w:sz w:val="20"/>
          <w:lang w:val="pt-BR"/>
        </w:rPr>
        <w:t xml:space="preserve"> de </w:t>
      </w:r>
      <w:r w:rsidR="00A50140" w:rsidRPr="002F50BD">
        <w:rPr>
          <w:rFonts w:ascii="Verdana" w:hAnsi="Verdana"/>
          <w:sz w:val="20"/>
          <w:lang w:val="pt-BR"/>
        </w:rPr>
        <w:t>suas terras</w:t>
      </w:r>
      <w:r w:rsidR="004756C1" w:rsidRPr="002F50BD">
        <w:rPr>
          <w:rFonts w:ascii="Verdana" w:hAnsi="Verdana"/>
          <w:sz w:val="20"/>
          <w:lang w:val="pt-BR"/>
        </w:rPr>
        <w:t xml:space="preserve"> </w:t>
      </w:r>
      <w:r w:rsidR="00DB51F0"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Pr="002F50BD">
        <w:rPr>
          <w:rFonts w:ascii="Verdana" w:hAnsi="Verdana"/>
          <w:sz w:val="20"/>
          <w:lang w:val="pt-BR"/>
        </w:rPr>
        <w:t xml:space="preserve"> e 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w:t>
      </w:r>
      <w:r w:rsidR="00475EBB" w:rsidRPr="002F50BD">
        <w:rPr>
          <w:rFonts w:ascii="Verdana" w:hAnsi="Verdana"/>
          <w:sz w:val="20"/>
          <w:lang w:val="pt-BR"/>
        </w:rPr>
        <w:t>. Ness</w:t>
      </w:r>
      <w:r w:rsidR="00FB33DD"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oportu</w:t>
      </w:r>
      <w:r w:rsidR="00AB454A" w:rsidRPr="002F50BD">
        <w:rPr>
          <w:rFonts w:ascii="Verdana" w:hAnsi="Verdana"/>
          <w:sz w:val="20"/>
          <w:lang w:val="pt-BR"/>
        </w:rPr>
        <w:t xml:space="preserve">nidade, </w:t>
      </w:r>
      <w:r w:rsidRPr="002F50BD">
        <w:rPr>
          <w:rFonts w:ascii="Verdana" w:hAnsi="Verdana"/>
          <w:sz w:val="20"/>
          <w:lang w:val="pt-BR"/>
        </w:rPr>
        <w:t>a Comunidade solicitou uma extensão</w:t>
      </w:r>
      <w:r w:rsidR="004756C1" w:rsidRPr="002F50BD">
        <w:rPr>
          <w:rFonts w:ascii="Verdana" w:hAnsi="Verdana"/>
          <w:sz w:val="20"/>
          <w:lang w:val="pt-BR"/>
        </w:rPr>
        <w:t xml:space="preserve"> de </w:t>
      </w:r>
      <w:r w:rsidR="00063B47" w:rsidRPr="002F50BD">
        <w:rPr>
          <w:rFonts w:ascii="Verdana" w:hAnsi="Verdana"/>
          <w:sz w:val="20"/>
          <w:lang w:val="pt-BR"/>
        </w:rPr>
        <w:t>15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nos </w:t>
      </w:r>
      <w:r w:rsidR="004076AD" w:rsidRPr="002F50BD">
        <w:rPr>
          <w:rFonts w:ascii="Verdana" w:hAnsi="Verdana"/>
          <w:sz w:val="20"/>
          <w:lang w:val="pt-BR"/>
        </w:rPr>
        <w:t>a</w:t>
      </w:r>
      <w:r w:rsidR="00DB51F0" w:rsidRPr="002F50BD">
        <w:rPr>
          <w:rFonts w:ascii="Verdana" w:hAnsi="Verdana"/>
          <w:sz w:val="20"/>
          <w:lang w:val="pt-BR"/>
        </w:rPr>
        <w:t>r</w:t>
      </w:r>
      <w:r w:rsidR="004076AD" w:rsidRPr="002F50BD">
        <w:rPr>
          <w:rFonts w:ascii="Verdana" w:hAnsi="Verdana"/>
          <w:sz w:val="20"/>
          <w:lang w:val="pt-BR"/>
        </w:rPr>
        <w:t>redor</w:t>
      </w:r>
      <w:r w:rsidR="004756C1" w:rsidRPr="002F50BD">
        <w:rPr>
          <w:rFonts w:ascii="Verdana" w:hAnsi="Verdana"/>
          <w:sz w:val="20"/>
          <w:lang w:val="pt-BR"/>
        </w:rPr>
        <w:t xml:space="preserve">es de </w:t>
      </w:r>
      <w:r w:rsidR="00DB51F0" w:rsidRPr="002F50BD">
        <w:rPr>
          <w:rFonts w:ascii="Verdana" w:hAnsi="Verdana"/>
          <w:sz w:val="20"/>
          <w:lang w:val="pt-BR"/>
        </w:rPr>
        <w:t>seu habitat</w:t>
      </w:r>
      <w:r w:rsidR="004756C1" w:rsidRPr="002F50BD">
        <w:rPr>
          <w:rFonts w:ascii="Verdana" w:hAnsi="Verdana"/>
          <w:sz w:val="20"/>
          <w:lang w:val="pt-BR"/>
        </w:rPr>
        <w:t xml:space="preserve"> tradicional que </w:t>
      </w:r>
      <w:r w:rsidR="00DB51F0" w:rsidRPr="002F50BD">
        <w:rPr>
          <w:rFonts w:ascii="Verdana" w:hAnsi="Verdana"/>
          <w:sz w:val="20"/>
          <w:lang w:val="pt-BR"/>
        </w:rPr>
        <w:t xml:space="preserve">inclui as </w:t>
      </w:r>
      <w:r w:rsidR="004F64EE" w:rsidRPr="002F50BD">
        <w:rPr>
          <w:rFonts w:ascii="Verdana" w:hAnsi="Verdana"/>
          <w:sz w:val="20"/>
          <w:lang w:val="pt-BR"/>
        </w:rPr>
        <w:t>fazendas</w:t>
      </w:r>
      <w:r w:rsidR="00DB51F0" w:rsidRPr="002F50BD">
        <w:rPr>
          <w:rFonts w:ascii="Verdana" w:hAnsi="Verdana"/>
          <w:sz w:val="20"/>
          <w:lang w:val="pt-BR"/>
        </w:rPr>
        <w:t xml:space="preserve"> </w:t>
      </w:r>
      <w:r w:rsidR="004756C1" w:rsidRPr="002F50BD">
        <w:rPr>
          <w:rFonts w:ascii="Verdana" w:hAnsi="Verdana"/>
          <w:sz w:val="20"/>
          <w:lang w:val="pt-BR"/>
        </w:rPr>
        <w:t>Loma Verde, Ledesma</w:t>
      </w:r>
      <w:r w:rsidRPr="002F50BD">
        <w:rPr>
          <w:rFonts w:ascii="Verdana" w:hAnsi="Verdana"/>
          <w:sz w:val="20"/>
          <w:lang w:val="pt-BR"/>
        </w:rPr>
        <w:t xml:space="preserve"> e </w:t>
      </w:r>
      <w:r w:rsidR="004756C1" w:rsidRPr="002F50BD">
        <w:rPr>
          <w:rFonts w:ascii="Verdana" w:hAnsi="Verdana"/>
          <w:sz w:val="20"/>
          <w:lang w:val="pt-BR"/>
        </w:rPr>
        <w:t>Maroma.</w:t>
      </w:r>
      <w:r w:rsidR="00FE08B7">
        <w:rPr>
          <w:rFonts w:ascii="Verdana" w:hAnsi="Verdana"/>
          <w:sz w:val="20"/>
          <w:lang w:val="pt-BR"/>
        </w:rPr>
        <w:t xml:space="preserve"> </w:t>
      </w:r>
      <w:r w:rsidR="004756C1" w:rsidRPr="002F50BD">
        <w:rPr>
          <w:rFonts w:ascii="Verdana" w:hAnsi="Verdana"/>
          <w:sz w:val="20"/>
          <w:lang w:val="pt-BR"/>
        </w:rPr>
        <w:t>Posteriormente</w:t>
      </w:r>
      <w:r w:rsidR="00DB51F0" w:rsidRPr="002F50BD">
        <w:rPr>
          <w:rFonts w:ascii="Verdana" w:hAnsi="Verdana"/>
          <w:sz w:val="20"/>
          <w:lang w:val="pt-BR"/>
        </w:rPr>
        <w:t>,</w:t>
      </w:r>
      <w:r w:rsidR="004756C1" w:rsidRPr="002F50BD">
        <w:rPr>
          <w:rFonts w:ascii="Verdana" w:hAnsi="Verdana"/>
          <w:sz w:val="20"/>
          <w:lang w:val="pt-BR"/>
        </w:rPr>
        <w:t xml:space="preserve"> este </w:t>
      </w:r>
      <w:r w:rsidR="00DB51F0" w:rsidRPr="002F50BD">
        <w:rPr>
          <w:rFonts w:ascii="Verdana" w:hAnsi="Verdana"/>
          <w:sz w:val="20"/>
          <w:lang w:val="pt-BR"/>
        </w:rPr>
        <w:t xml:space="preserve">pedido </w:t>
      </w:r>
      <w:r w:rsidR="004756C1" w:rsidRPr="002F50BD">
        <w:rPr>
          <w:rFonts w:ascii="Verdana" w:hAnsi="Verdana"/>
          <w:sz w:val="20"/>
          <w:lang w:val="pt-BR"/>
        </w:rPr>
        <w:t xml:space="preserve">se </w:t>
      </w:r>
      <w:r w:rsidR="00DB51F0" w:rsidRPr="002F50BD">
        <w:rPr>
          <w:rFonts w:ascii="Verdana" w:hAnsi="Verdana"/>
          <w:sz w:val="20"/>
          <w:lang w:val="pt-BR"/>
        </w:rPr>
        <w:t xml:space="preserve">limitou </w:t>
      </w:r>
      <w:r w:rsidRPr="002F50BD">
        <w:rPr>
          <w:rFonts w:ascii="Verdana" w:hAnsi="Verdana"/>
          <w:sz w:val="20"/>
          <w:lang w:val="pt-BR"/>
        </w:rPr>
        <w:t>à extensão</w:t>
      </w:r>
      <w:r w:rsidR="004756C1" w:rsidRPr="002F50BD">
        <w:rPr>
          <w:rFonts w:ascii="Verdana" w:hAnsi="Verdana"/>
          <w:sz w:val="20"/>
          <w:lang w:val="pt-BR"/>
        </w:rPr>
        <w:t xml:space="preserve"> total</w:t>
      </w:r>
      <w:r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de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AB454A" w:rsidRPr="002F50BD">
        <w:rPr>
          <w:rFonts w:ascii="Verdana" w:hAnsi="Verdana"/>
          <w:sz w:val="20"/>
          <w:lang w:val="pt-BR"/>
        </w:rPr>
        <w:t xml:space="preserve">. No </w:t>
      </w:r>
      <w:r w:rsidRPr="002F50BD">
        <w:rPr>
          <w:rFonts w:ascii="Verdana" w:hAnsi="Verdana"/>
          <w:sz w:val="20"/>
          <w:lang w:val="pt-BR"/>
        </w:rPr>
        <w:t xml:space="preserve">ano </w:t>
      </w:r>
      <w:r w:rsidR="00DB51F0" w:rsidRPr="002F50BD">
        <w:rPr>
          <w:rFonts w:ascii="Verdana" w:hAnsi="Verdana"/>
          <w:sz w:val="20"/>
          <w:lang w:val="pt-BR"/>
        </w:rPr>
        <w:t xml:space="preserve">de </w:t>
      </w:r>
      <w:r w:rsidR="00063B47" w:rsidRPr="002F50BD">
        <w:rPr>
          <w:rFonts w:ascii="Verdana" w:hAnsi="Verdana"/>
          <w:sz w:val="20"/>
          <w:lang w:val="pt-BR"/>
        </w:rPr>
        <w:t>1997</w:t>
      </w:r>
      <w:r w:rsidR="00AE5FE8"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 xml:space="preserve">Indígena </w:t>
      </w:r>
      <w:r w:rsidRPr="002F50BD">
        <w:rPr>
          <w:rFonts w:ascii="Verdana" w:hAnsi="Verdana"/>
          <w:sz w:val="20"/>
          <w:lang w:val="pt-BR"/>
        </w:rPr>
        <w:t xml:space="preserve">solicitou a </w:t>
      </w:r>
      <w:r w:rsidR="004756C1" w:rsidRPr="002F50BD">
        <w:rPr>
          <w:rFonts w:ascii="Verdana" w:hAnsi="Verdana"/>
          <w:sz w:val="20"/>
          <w:lang w:val="pt-BR"/>
        </w:rPr>
        <w:t>elabora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um relatório </w:t>
      </w:r>
      <w:r w:rsidR="004756C1" w:rsidRPr="002F50BD">
        <w:rPr>
          <w:rFonts w:ascii="Verdana" w:hAnsi="Verdana"/>
          <w:sz w:val="20"/>
          <w:lang w:val="pt-BR"/>
        </w:rPr>
        <w:t xml:space="preserve">antropológico que posteriormente </w:t>
      </w:r>
      <w:r w:rsidRPr="002F50BD">
        <w:rPr>
          <w:rFonts w:ascii="Verdana" w:hAnsi="Verdana"/>
          <w:sz w:val="20"/>
          <w:lang w:val="pt-BR"/>
        </w:rPr>
        <w:t>constatou</w:t>
      </w:r>
      <w:r w:rsidR="004756C1" w:rsidRPr="002F50BD">
        <w:rPr>
          <w:rFonts w:ascii="Verdana" w:hAnsi="Verdana"/>
          <w:sz w:val="20"/>
          <w:lang w:val="pt-BR"/>
        </w:rPr>
        <w:t xml:space="preserve"> que</w:t>
      </w:r>
      <w:r w:rsidRPr="002F50BD">
        <w:rPr>
          <w:rFonts w:ascii="Verdana" w:hAnsi="Verdana"/>
          <w:sz w:val="20"/>
          <w:lang w:val="pt-BR"/>
        </w:rPr>
        <w:t xml:space="preserve"> </w:t>
      </w:r>
      <w:r w:rsidR="00DB51F0"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 reclamada</w:t>
      </w:r>
      <w:r w:rsidRPr="002F50BD">
        <w:rPr>
          <w:rFonts w:ascii="Verdana" w:hAnsi="Verdana"/>
          <w:sz w:val="20"/>
          <w:lang w:val="pt-BR"/>
        </w:rPr>
        <w:t xml:space="preserve"> pela Comunidade </w:t>
      </w:r>
      <w:r w:rsidR="004756C1" w:rsidRPr="002F50BD">
        <w:rPr>
          <w:rFonts w:ascii="Verdana" w:hAnsi="Verdana"/>
          <w:sz w:val="20"/>
          <w:lang w:val="pt-BR"/>
        </w:rPr>
        <w:t>correspon</w:t>
      </w:r>
      <w:r w:rsidRPr="002F50BD">
        <w:rPr>
          <w:rFonts w:ascii="Verdana" w:hAnsi="Verdana"/>
          <w:sz w:val="20"/>
          <w:lang w:val="pt-BR"/>
        </w:rPr>
        <w:t>dia</w:t>
      </w:r>
      <w:r w:rsidR="004756C1" w:rsidRPr="002F50BD">
        <w:rPr>
          <w:rFonts w:ascii="Verdana" w:hAnsi="Verdana"/>
          <w:sz w:val="20"/>
          <w:lang w:val="pt-BR"/>
        </w:rPr>
        <w:t xml:space="preserve"> a </w:t>
      </w:r>
      <w:r w:rsidR="00DB51F0" w:rsidRPr="002F50BD">
        <w:rPr>
          <w:rFonts w:ascii="Verdana" w:hAnsi="Verdana"/>
          <w:sz w:val="20"/>
          <w:lang w:val="pt-BR"/>
        </w:rPr>
        <w:t>seu habitat</w:t>
      </w:r>
      <w:r w:rsidR="004756C1" w:rsidRPr="002F50BD">
        <w:rPr>
          <w:rFonts w:ascii="Verdana" w:hAnsi="Verdana"/>
          <w:sz w:val="20"/>
          <w:lang w:val="pt-BR"/>
        </w:rPr>
        <w:t xml:space="preserve"> tradicional</w:t>
      </w:r>
      <w:r w:rsidR="00475EBB" w:rsidRPr="002F50BD">
        <w:rPr>
          <w:rFonts w:ascii="Verdana" w:hAnsi="Verdana"/>
          <w:sz w:val="20"/>
          <w:lang w:val="pt-BR"/>
        </w:rPr>
        <w:t>. Ness</w:t>
      </w:r>
      <w:r w:rsidR="00FB33DD" w:rsidRPr="002F50BD">
        <w:rPr>
          <w:rFonts w:ascii="Verdana" w:hAnsi="Verdana"/>
          <w:sz w:val="20"/>
          <w:lang w:val="pt-BR"/>
        </w:rPr>
        <w:t>e</w:t>
      </w:r>
      <w:r w:rsidRPr="002F50BD">
        <w:rPr>
          <w:rFonts w:ascii="Verdana" w:hAnsi="Verdana"/>
          <w:sz w:val="20"/>
          <w:lang w:val="pt-BR"/>
        </w:rPr>
        <w:t xml:space="preserve"> mesm</w:t>
      </w:r>
      <w:r w:rsidR="004756C1" w:rsidRPr="002F50BD">
        <w:rPr>
          <w:rFonts w:ascii="Verdana" w:hAnsi="Verdana"/>
          <w:sz w:val="20"/>
          <w:lang w:val="pt-BR"/>
        </w:rPr>
        <w:t xml:space="preserve">o </w:t>
      </w:r>
      <w:r w:rsidRPr="002F50BD">
        <w:rPr>
          <w:rFonts w:ascii="Verdana" w:hAnsi="Verdana"/>
          <w:sz w:val="20"/>
          <w:lang w:val="pt-BR"/>
        </w:rPr>
        <w:t xml:space="preserve">ano, 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w:t>
      </w:r>
      <w:r w:rsidRPr="002F50BD">
        <w:rPr>
          <w:rFonts w:ascii="Verdana" w:hAnsi="Verdana"/>
          <w:sz w:val="20"/>
          <w:lang w:val="pt-BR"/>
        </w:rPr>
        <w:t>realizou uma inspeção</w:t>
      </w:r>
      <w:r w:rsidR="004756C1" w:rsidRPr="002F50BD">
        <w:rPr>
          <w:rFonts w:ascii="Verdana" w:hAnsi="Verdana"/>
          <w:sz w:val="20"/>
          <w:lang w:val="pt-BR"/>
        </w:rPr>
        <w:t xml:space="preserve"> ocular que </w:t>
      </w:r>
      <w:r w:rsidRPr="002F50BD">
        <w:rPr>
          <w:rFonts w:ascii="Verdana" w:hAnsi="Verdana"/>
          <w:sz w:val="20"/>
          <w:lang w:val="pt-BR"/>
        </w:rPr>
        <w:t>declarou</w:t>
      </w:r>
      <w:r w:rsidR="004756C1" w:rsidRPr="002F50BD">
        <w:rPr>
          <w:rFonts w:ascii="Verdana" w:hAnsi="Verdana"/>
          <w:sz w:val="20"/>
          <w:lang w:val="pt-BR"/>
        </w:rPr>
        <w:t xml:space="preserve"> que</w:t>
      </w:r>
      <w:r w:rsidRPr="002F50BD">
        <w:rPr>
          <w:rFonts w:ascii="Verdana" w:hAnsi="Verdana"/>
          <w:sz w:val="20"/>
          <w:lang w:val="pt-BR"/>
        </w:rPr>
        <w:t xml:space="preserve"> as terra</w:t>
      </w:r>
      <w:r w:rsidR="004756C1" w:rsidRPr="002F50BD">
        <w:rPr>
          <w:rFonts w:ascii="Verdana" w:hAnsi="Verdana"/>
          <w:sz w:val="20"/>
          <w:lang w:val="pt-BR"/>
        </w:rPr>
        <w:t xml:space="preserve">s reivindicadas </w:t>
      </w:r>
      <w:r w:rsidRPr="002F50BD">
        <w:rPr>
          <w:rFonts w:ascii="Verdana" w:hAnsi="Verdana"/>
          <w:sz w:val="20"/>
          <w:lang w:val="pt-BR"/>
        </w:rPr>
        <w:t>estavam</w:t>
      </w:r>
      <w:r w:rsidR="004756C1" w:rsidRPr="002F50BD">
        <w:rPr>
          <w:rFonts w:ascii="Verdana" w:hAnsi="Verdana"/>
          <w:sz w:val="20"/>
          <w:lang w:val="pt-BR"/>
        </w:rPr>
        <w:t xml:space="preserve"> </w:t>
      </w:r>
      <w:r w:rsidRPr="002F50BD">
        <w:rPr>
          <w:rFonts w:ascii="Verdana" w:hAnsi="Verdana"/>
          <w:sz w:val="20"/>
          <w:lang w:val="pt-BR"/>
        </w:rPr>
        <w:t>sendo</w:t>
      </w:r>
      <w:r w:rsidR="004756C1" w:rsidRPr="002F50BD">
        <w:rPr>
          <w:rFonts w:ascii="Verdana" w:hAnsi="Verdana"/>
          <w:sz w:val="20"/>
          <w:lang w:val="pt-BR"/>
        </w:rPr>
        <w:t xml:space="preserve"> racionalmente </w:t>
      </w:r>
      <w:r w:rsidR="00475EBB" w:rsidRPr="002F50BD">
        <w:rPr>
          <w:rFonts w:ascii="Verdana" w:hAnsi="Verdana"/>
          <w:sz w:val="20"/>
          <w:lang w:val="pt-BR"/>
        </w:rPr>
        <w:t>explorad</w:t>
      </w:r>
      <w:r w:rsidR="004756C1" w:rsidRPr="002F50BD">
        <w:rPr>
          <w:rFonts w:ascii="Verdana" w:hAnsi="Verdana"/>
          <w:sz w:val="20"/>
          <w:lang w:val="pt-BR"/>
        </w:rPr>
        <w:t>as,</w:t>
      </w:r>
      <w:r w:rsidRPr="002F50BD">
        <w:rPr>
          <w:rFonts w:ascii="Verdana" w:hAnsi="Verdana"/>
          <w:sz w:val="20"/>
          <w:lang w:val="pt-BR"/>
        </w:rPr>
        <w:t xml:space="preserve"> </w:t>
      </w:r>
      <w:r w:rsidR="00DB51F0" w:rsidRPr="002F50BD">
        <w:rPr>
          <w:rFonts w:ascii="Verdana" w:hAnsi="Verdana"/>
          <w:sz w:val="20"/>
          <w:lang w:val="pt-BR"/>
        </w:rPr>
        <w:t>de maneira que trasladou o expediente</w:t>
      </w:r>
      <w:r w:rsidRPr="002F50BD">
        <w:rPr>
          <w:rFonts w:ascii="Verdana" w:hAnsi="Verdana"/>
          <w:sz w:val="20"/>
          <w:lang w:val="pt-BR"/>
        </w:rPr>
        <w:t xml:space="preserve"> ao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00D95E71" w:rsidRPr="002F50BD">
        <w:rPr>
          <w:rFonts w:ascii="Verdana" w:hAnsi="Verdana"/>
          <w:sz w:val="20"/>
          <w:lang w:val="pt-BR"/>
        </w:rPr>
        <w:t xml:space="preserve">. 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 xml:space="preserve">Indígena </w:t>
      </w:r>
      <w:r w:rsidRPr="002F50BD">
        <w:rPr>
          <w:rFonts w:ascii="Verdana" w:hAnsi="Verdana"/>
          <w:sz w:val="20"/>
          <w:lang w:val="pt-BR"/>
        </w:rPr>
        <w:t xml:space="preserve">abriu a possibilidade </w:t>
      </w:r>
      <w:r w:rsidR="004756C1" w:rsidRPr="002F50BD">
        <w:rPr>
          <w:rFonts w:ascii="Verdana" w:hAnsi="Verdana"/>
          <w:sz w:val="20"/>
          <w:lang w:val="pt-BR"/>
        </w:rPr>
        <w:t>de que</w:t>
      </w:r>
      <w:r w:rsidRPr="002F50BD">
        <w:rPr>
          <w:rFonts w:ascii="Verdana" w:hAnsi="Verdana"/>
          <w:sz w:val="20"/>
          <w:lang w:val="pt-BR"/>
        </w:rPr>
        <w:t xml:space="preserve"> as terra</w:t>
      </w:r>
      <w:r w:rsidR="004756C1" w:rsidRPr="002F50BD">
        <w:rPr>
          <w:rFonts w:ascii="Verdana" w:hAnsi="Verdana"/>
          <w:sz w:val="20"/>
          <w:lang w:val="pt-BR"/>
        </w:rPr>
        <w:t xml:space="preserve">s </w:t>
      </w:r>
      <w:r w:rsidRPr="002F50BD">
        <w:rPr>
          <w:rFonts w:ascii="Verdana" w:hAnsi="Verdana"/>
          <w:sz w:val="20"/>
          <w:lang w:val="pt-BR"/>
        </w:rPr>
        <w:t>fo</w:t>
      </w:r>
      <w:r w:rsidR="00DB51F0" w:rsidRPr="002F50BD">
        <w:rPr>
          <w:rFonts w:ascii="Verdana" w:hAnsi="Verdana"/>
          <w:sz w:val="20"/>
          <w:lang w:val="pt-BR"/>
        </w:rPr>
        <w:t>ssem</w:t>
      </w:r>
      <w:r w:rsidR="004756C1" w:rsidRPr="002F50BD">
        <w:rPr>
          <w:rFonts w:ascii="Verdana" w:hAnsi="Verdana"/>
          <w:sz w:val="20"/>
          <w:lang w:val="pt-BR"/>
        </w:rPr>
        <w:t xml:space="preserve"> </w:t>
      </w:r>
      <w:r w:rsidR="00DB51F0" w:rsidRPr="002F50BD">
        <w:rPr>
          <w:rFonts w:ascii="Verdana" w:hAnsi="Verdana"/>
          <w:sz w:val="20"/>
          <w:lang w:val="pt-BR"/>
        </w:rPr>
        <w:t>expropriad</w:t>
      </w:r>
      <w:r w:rsidR="004756C1" w:rsidRPr="002F50BD">
        <w:rPr>
          <w:rFonts w:ascii="Verdana" w:hAnsi="Verdana"/>
          <w:sz w:val="20"/>
          <w:lang w:val="pt-BR"/>
        </w:rPr>
        <w:t>as, alegando que</w:t>
      </w:r>
      <w:r w:rsidRPr="002F50BD">
        <w:rPr>
          <w:rFonts w:ascii="Verdana" w:hAnsi="Verdana"/>
          <w:sz w:val="20"/>
          <w:lang w:val="pt-BR"/>
        </w:rPr>
        <w:t xml:space="preserve"> são </w:t>
      </w:r>
      <w:r w:rsidR="004756C1" w:rsidRPr="002F50BD">
        <w:rPr>
          <w:rFonts w:ascii="Verdana" w:hAnsi="Verdana"/>
          <w:sz w:val="20"/>
          <w:lang w:val="pt-BR"/>
        </w:rPr>
        <w:t xml:space="preserve">parte </w:t>
      </w:r>
      <w:r w:rsidRPr="002F50BD">
        <w:rPr>
          <w:rFonts w:ascii="Verdana" w:hAnsi="Verdana"/>
          <w:sz w:val="20"/>
          <w:lang w:val="pt-BR"/>
        </w:rPr>
        <w:t xml:space="preserve">do </w:t>
      </w:r>
      <w:r w:rsidR="001A0CDE" w:rsidRPr="002F50BD">
        <w:rPr>
          <w:rFonts w:ascii="Verdana" w:hAnsi="Verdana"/>
          <w:sz w:val="20"/>
          <w:lang w:val="pt-BR"/>
        </w:rPr>
        <w:t>habitat</w:t>
      </w:r>
      <w:r w:rsidR="004756C1" w:rsidRPr="002F50BD">
        <w:rPr>
          <w:rFonts w:ascii="Verdana" w:hAnsi="Verdana"/>
          <w:sz w:val="20"/>
          <w:lang w:val="pt-BR"/>
        </w:rPr>
        <w:t xml:space="preserve"> tradicional</w:t>
      </w:r>
      <w:r w:rsidRPr="002F50BD">
        <w:rPr>
          <w:rFonts w:ascii="Verdana" w:hAnsi="Verdana"/>
          <w:sz w:val="20"/>
          <w:lang w:val="pt-BR"/>
        </w:rPr>
        <w:t xml:space="preserve"> da Comunidade e </w:t>
      </w:r>
      <w:r w:rsidR="004756C1" w:rsidRPr="002F50BD">
        <w:rPr>
          <w:rFonts w:ascii="Verdana" w:hAnsi="Verdana"/>
          <w:sz w:val="20"/>
          <w:lang w:val="pt-BR"/>
        </w:rPr>
        <w:t xml:space="preserve">que este </w:t>
      </w:r>
      <w:r w:rsidRPr="002F50BD">
        <w:rPr>
          <w:rFonts w:ascii="Verdana" w:hAnsi="Verdana"/>
          <w:sz w:val="20"/>
          <w:lang w:val="pt-BR"/>
        </w:rPr>
        <w:t>direito</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xml:space="preserve"> </w:t>
      </w:r>
      <w:r w:rsidR="00DB51F0" w:rsidRPr="002F50BD">
        <w:rPr>
          <w:rFonts w:ascii="Verdana" w:hAnsi="Verdana"/>
          <w:sz w:val="20"/>
          <w:lang w:val="pt-BR"/>
        </w:rPr>
        <w:t xml:space="preserve">se sobrepor ao dos </w:t>
      </w:r>
      <w:r w:rsidR="004756C1" w:rsidRPr="002F50BD">
        <w:rPr>
          <w:rFonts w:ascii="Verdana" w:hAnsi="Verdana"/>
          <w:sz w:val="20"/>
          <w:lang w:val="pt-BR"/>
        </w:rPr>
        <w:t>particulares por ser</w:t>
      </w:r>
      <w:r w:rsidRPr="002F50BD">
        <w:rPr>
          <w:rFonts w:ascii="Verdana" w:hAnsi="Verdana"/>
          <w:sz w:val="20"/>
          <w:lang w:val="pt-BR"/>
        </w:rPr>
        <w:t xml:space="preserve"> a Comunidade </w:t>
      </w:r>
      <w:r w:rsidR="004756C1" w:rsidRPr="002F50BD">
        <w:rPr>
          <w:rFonts w:ascii="Verdana" w:hAnsi="Verdana"/>
          <w:sz w:val="20"/>
          <w:lang w:val="pt-BR"/>
        </w:rPr>
        <w:t>anterior</w:t>
      </w:r>
      <w:r w:rsidRPr="002F50BD">
        <w:rPr>
          <w:rFonts w:ascii="Verdana" w:hAnsi="Verdana"/>
          <w:sz w:val="20"/>
          <w:lang w:val="pt-BR"/>
        </w:rPr>
        <w:t xml:space="preserve"> à </w:t>
      </w:r>
      <w:r w:rsidR="004756C1" w:rsidRPr="002F50BD">
        <w:rPr>
          <w:rFonts w:ascii="Verdana" w:hAnsi="Verdana"/>
          <w:sz w:val="20"/>
          <w:lang w:val="pt-BR"/>
        </w:rPr>
        <w:t>forma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w:t>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89298C">
      <w:pPr>
        <w:pStyle w:val="BodyText"/>
        <w:rPr>
          <w:rFonts w:ascii="Verdana" w:hAnsi="Verdana"/>
          <w:sz w:val="20"/>
          <w:lang w:val="pt-BR"/>
        </w:rPr>
      </w:pPr>
      <w:r w:rsidRPr="002F50BD">
        <w:rPr>
          <w:rFonts w:ascii="Verdana" w:hAnsi="Verdana"/>
          <w:sz w:val="20"/>
          <w:lang w:val="pt-BR"/>
        </w:rPr>
        <w:t xml:space="preserve">No ano </w:t>
      </w:r>
      <w:r w:rsidR="00063B47" w:rsidRPr="002F50BD">
        <w:rPr>
          <w:rFonts w:ascii="Verdana" w:hAnsi="Verdana"/>
          <w:sz w:val="20"/>
          <w:lang w:val="pt-BR"/>
        </w:rPr>
        <w:t>2000</w:t>
      </w:r>
      <w:r w:rsidR="005B22C9" w:rsidRPr="002F50BD">
        <w:rPr>
          <w:rFonts w:ascii="Verdana" w:hAnsi="Verdana"/>
          <w:sz w:val="20"/>
          <w:lang w:val="pt-BR"/>
        </w:rPr>
        <w:t xml:space="preserve"> foram realizadas</w:t>
      </w:r>
      <w:r w:rsidR="004756C1" w:rsidRPr="002F50BD">
        <w:rPr>
          <w:rFonts w:ascii="Verdana" w:hAnsi="Verdana"/>
          <w:sz w:val="20"/>
          <w:lang w:val="pt-BR"/>
        </w:rPr>
        <w:t xml:space="preserve"> </w:t>
      </w:r>
      <w:r w:rsidRPr="002F50BD">
        <w:rPr>
          <w:rFonts w:ascii="Verdana" w:hAnsi="Verdana"/>
          <w:sz w:val="20"/>
          <w:lang w:val="pt-BR"/>
        </w:rPr>
        <w:t>audiência</w:t>
      </w:r>
      <w:r w:rsidR="004756C1" w:rsidRPr="002F50BD">
        <w:rPr>
          <w:rFonts w:ascii="Verdana" w:hAnsi="Verdana"/>
          <w:sz w:val="20"/>
          <w:lang w:val="pt-BR"/>
        </w:rPr>
        <w:t>s de concilia</w:t>
      </w:r>
      <w:r w:rsidRPr="002F50BD">
        <w:rPr>
          <w:rFonts w:ascii="Verdana" w:hAnsi="Verdana"/>
          <w:sz w:val="20"/>
          <w:lang w:val="pt-BR"/>
        </w:rPr>
        <w:t>ção</w:t>
      </w:r>
      <w:r w:rsidR="004756C1" w:rsidRPr="002F50BD">
        <w:rPr>
          <w:rFonts w:ascii="Verdana" w:hAnsi="Verdana"/>
          <w:sz w:val="20"/>
          <w:lang w:val="pt-BR"/>
        </w:rPr>
        <w:t xml:space="preserve"> entre</w:t>
      </w:r>
      <w:r w:rsidRPr="002F50BD">
        <w:rPr>
          <w:rFonts w:ascii="Verdana" w:hAnsi="Verdana"/>
          <w:sz w:val="20"/>
          <w:lang w:val="pt-BR"/>
        </w:rPr>
        <w:t xml:space="preserve"> a Comunidade </w:t>
      </w:r>
      <w:r w:rsidR="004756C1" w:rsidRPr="002F50BD">
        <w:rPr>
          <w:rFonts w:ascii="Verdana" w:hAnsi="Verdana"/>
          <w:sz w:val="20"/>
          <w:lang w:val="pt-BR"/>
        </w:rPr>
        <w:t>Yakye Axa</w:t>
      </w:r>
      <w:r w:rsidRPr="002F50BD">
        <w:rPr>
          <w:rFonts w:ascii="Verdana" w:hAnsi="Verdana"/>
          <w:sz w:val="20"/>
          <w:lang w:val="pt-BR"/>
        </w:rPr>
        <w:t xml:space="preserve"> e os </w:t>
      </w:r>
      <w:r w:rsidR="007801FA" w:rsidRPr="002F50BD">
        <w:rPr>
          <w:rFonts w:ascii="Verdana" w:hAnsi="Verdana"/>
          <w:sz w:val="20"/>
          <w:lang w:val="pt-BR"/>
        </w:rPr>
        <w:t>proprietário</w:t>
      </w:r>
      <w:r w:rsidR="004756C1" w:rsidRPr="002F50BD">
        <w:rPr>
          <w:rFonts w:ascii="Verdana" w:hAnsi="Verdana"/>
          <w:sz w:val="20"/>
          <w:lang w:val="pt-BR"/>
        </w:rPr>
        <w:t>s</w:t>
      </w:r>
      <w:r w:rsidRPr="002F50BD">
        <w:rPr>
          <w:rFonts w:ascii="Verdana" w:hAnsi="Verdana"/>
          <w:sz w:val="20"/>
          <w:lang w:val="pt-BR"/>
        </w:rPr>
        <w:t xml:space="preserve"> das terra</w:t>
      </w:r>
      <w:r w:rsidR="004756C1" w:rsidRPr="002F50BD">
        <w:rPr>
          <w:rFonts w:ascii="Verdana" w:hAnsi="Verdana"/>
          <w:sz w:val="20"/>
          <w:lang w:val="pt-BR"/>
        </w:rPr>
        <w:t>s,</w:t>
      </w:r>
      <w:r w:rsidRPr="002F50BD">
        <w:rPr>
          <w:rFonts w:ascii="Verdana" w:hAnsi="Verdana"/>
          <w:sz w:val="20"/>
          <w:lang w:val="pt-BR"/>
        </w:rPr>
        <w:t xml:space="preserve"> </w:t>
      </w:r>
      <w:r w:rsidR="00DB51F0" w:rsidRPr="002F50BD">
        <w:rPr>
          <w:rFonts w:ascii="Verdana" w:hAnsi="Verdana"/>
          <w:sz w:val="20"/>
          <w:lang w:val="pt-BR"/>
        </w:rPr>
        <w:t>no entanto</w:t>
      </w:r>
      <w:r w:rsidR="004756C1" w:rsidRPr="002F50BD">
        <w:rPr>
          <w:rFonts w:ascii="Verdana" w:hAnsi="Verdana"/>
          <w:sz w:val="20"/>
          <w:lang w:val="pt-BR"/>
        </w:rPr>
        <w:t xml:space="preserve">, </w:t>
      </w:r>
      <w:r w:rsidR="005B22C9" w:rsidRPr="002F50BD">
        <w:rPr>
          <w:rFonts w:ascii="Verdana" w:hAnsi="Verdana"/>
          <w:sz w:val="20"/>
          <w:lang w:val="pt-BR"/>
        </w:rPr>
        <w:t>os</w:t>
      </w:r>
      <w:r w:rsidR="004756C1" w:rsidRPr="002F50BD">
        <w:rPr>
          <w:rFonts w:ascii="Verdana" w:hAnsi="Verdana"/>
          <w:sz w:val="20"/>
          <w:lang w:val="pt-BR"/>
        </w:rPr>
        <w:t xml:space="preserve"> últimos se </w:t>
      </w:r>
      <w:r w:rsidRPr="002F50BD">
        <w:rPr>
          <w:rFonts w:ascii="Verdana" w:hAnsi="Verdana"/>
          <w:sz w:val="20"/>
          <w:lang w:val="pt-BR"/>
        </w:rPr>
        <w:t>negaram</w:t>
      </w:r>
      <w:r w:rsidR="004756C1" w:rsidRPr="002F50BD">
        <w:rPr>
          <w:rFonts w:ascii="Verdana" w:hAnsi="Verdana"/>
          <w:sz w:val="20"/>
          <w:lang w:val="pt-BR"/>
        </w:rPr>
        <w:t xml:space="preserve"> a vend</w:t>
      </w:r>
      <w:r w:rsidR="00DB51F0" w:rsidRPr="002F50BD">
        <w:rPr>
          <w:rFonts w:ascii="Verdana" w:hAnsi="Verdana"/>
          <w:sz w:val="20"/>
          <w:lang w:val="pt-BR"/>
        </w:rPr>
        <w:t>ê-</w:t>
      </w:r>
      <w:r w:rsidR="004756C1" w:rsidRPr="002F50BD">
        <w:rPr>
          <w:rFonts w:ascii="Verdana" w:hAnsi="Verdana"/>
          <w:sz w:val="20"/>
          <w:lang w:val="pt-BR"/>
        </w:rPr>
        <w:t>las</w:t>
      </w:r>
      <w:r w:rsidR="00AB454A" w:rsidRPr="002F50BD">
        <w:rPr>
          <w:rFonts w:ascii="Verdana" w:hAnsi="Verdana"/>
          <w:sz w:val="20"/>
          <w:lang w:val="pt-BR"/>
        </w:rPr>
        <w:t xml:space="preserve">. A </w:t>
      </w:r>
      <w:r w:rsidRPr="002F50BD">
        <w:rPr>
          <w:rFonts w:ascii="Verdana" w:hAnsi="Verdana"/>
          <w:sz w:val="20"/>
          <w:lang w:val="pt-BR"/>
        </w:rPr>
        <w:t xml:space="preserve">Comunidade solicitou a </w:t>
      </w:r>
      <w:r w:rsidR="004756C1" w:rsidRPr="002F50BD">
        <w:rPr>
          <w:rFonts w:ascii="Verdana" w:hAnsi="Verdana"/>
          <w:sz w:val="20"/>
          <w:lang w:val="pt-BR"/>
        </w:rPr>
        <w:t>exprop</w:t>
      </w:r>
      <w:r w:rsidR="00DB51F0" w:rsidRPr="002F50BD">
        <w:rPr>
          <w:rFonts w:ascii="Verdana" w:hAnsi="Verdana"/>
          <w:sz w:val="20"/>
          <w:lang w:val="pt-BR"/>
        </w:rPr>
        <w:t>r</w:t>
      </w:r>
      <w:r w:rsidR="004756C1" w:rsidRPr="002F50BD">
        <w:rPr>
          <w:rFonts w:ascii="Verdana" w:hAnsi="Verdana"/>
          <w:sz w:val="20"/>
          <w:lang w:val="pt-BR"/>
        </w:rPr>
        <w:t>ia</w:t>
      </w:r>
      <w:r w:rsidRPr="002F50BD">
        <w:rPr>
          <w:rFonts w:ascii="Verdana" w:hAnsi="Verdana"/>
          <w:sz w:val="20"/>
          <w:lang w:val="pt-BR"/>
        </w:rPr>
        <w:t>ção das terra</w:t>
      </w:r>
      <w:r w:rsidR="004756C1" w:rsidRPr="002F50BD">
        <w:rPr>
          <w:rFonts w:ascii="Verdana" w:hAnsi="Verdana"/>
          <w:sz w:val="20"/>
          <w:lang w:val="pt-BR"/>
        </w:rPr>
        <w:t xml:space="preserve">s que </w:t>
      </w:r>
      <w:r w:rsidR="00DB51F0" w:rsidRPr="002F50BD">
        <w:rPr>
          <w:rFonts w:ascii="Verdana" w:hAnsi="Verdana"/>
          <w:sz w:val="20"/>
          <w:lang w:val="pt-BR"/>
        </w:rPr>
        <w:t xml:space="preserve">incluem a </w:t>
      </w:r>
      <w:r w:rsidR="00060B3A" w:rsidRPr="002F50BD">
        <w:rPr>
          <w:rFonts w:ascii="Verdana" w:hAnsi="Verdana"/>
          <w:i/>
          <w:sz w:val="20"/>
          <w:lang w:val="pt-BR"/>
        </w:rPr>
        <w:t>Estancia Loma Verde</w:t>
      </w:r>
      <w:r w:rsidR="000F2A3D" w:rsidRPr="002F50BD">
        <w:rPr>
          <w:rFonts w:ascii="Verdana" w:hAnsi="Verdana"/>
          <w:sz w:val="20"/>
          <w:lang w:val="pt-BR"/>
        </w:rPr>
        <w:t xml:space="preserve">. </w:t>
      </w:r>
      <w:r w:rsidR="000B1C40" w:rsidRPr="002F50BD">
        <w:rPr>
          <w:rFonts w:ascii="Verdana" w:hAnsi="Verdana"/>
          <w:sz w:val="20"/>
          <w:lang w:val="pt-BR"/>
        </w:rPr>
        <w:t>Ne</w:t>
      </w:r>
      <w:r w:rsidR="000F2A3D" w:rsidRPr="002F50BD">
        <w:rPr>
          <w:rFonts w:ascii="Verdana" w:hAnsi="Verdana"/>
          <w:sz w:val="20"/>
          <w:lang w:val="pt-BR"/>
        </w:rPr>
        <w:t>sse</w:t>
      </w:r>
      <w:r w:rsidR="00015F8F" w:rsidRPr="002F50BD">
        <w:rPr>
          <w:rFonts w:ascii="Verdana" w:hAnsi="Verdana"/>
          <w:sz w:val="20"/>
          <w:lang w:val="pt-BR"/>
        </w:rPr>
        <w:t xml:space="preserve"> </w:t>
      </w:r>
      <w:r w:rsidRPr="002F50BD">
        <w:rPr>
          <w:rFonts w:ascii="Verdana" w:hAnsi="Verdana"/>
          <w:sz w:val="20"/>
          <w:lang w:val="pt-BR"/>
        </w:rPr>
        <w:t>mesm</w:t>
      </w:r>
      <w:r w:rsidR="004756C1" w:rsidRPr="002F50BD">
        <w:rPr>
          <w:rFonts w:ascii="Verdana" w:hAnsi="Verdana"/>
          <w:sz w:val="20"/>
          <w:lang w:val="pt-BR"/>
        </w:rPr>
        <w:t>o</w:t>
      </w:r>
      <w:r w:rsidRPr="002F50BD">
        <w:rPr>
          <w:rFonts w:ascii="Verdana" w:hAnsi="Verdana"/>
          <w:sz w:val="20"/>
          <w:lang w:val="pt-BR"/>
        </w:rPr>
        <w:t xml:space="preserve"> ano</w:t>
      </w:r>
      <w:r w:rsidR="000B1C40" w:rsidRPr="002F50BD">
        <w:rPr>
          <w:rFonts w:ascii="Verdana" w:hAnsi="Verdana"/>
          <w:sz w:val="20"/>
          <w:lang w:val="pt-BR"/>
        </w:rPr>
        <w:t>,</w:t>
      </w:r>
      <w:r w:rsidRPr="002F50BD">
        <w:rPr>
          <w:rFonts w:ascii="Verdana" w:hAnsi="Verdana"/>
          <w:sz w:val="20"/>
          <w:lang w:val="pt-BR"/>
        </w:rPr>
        <w:t xml:space="preserve"> </w:t>
      </w:r>
      <w:r w:rsidR="00DB51F0" w:rsidRPr="002F50BD">
        <w:rPr>
          <w:rFonts w:ascii="Verdana" w:hAnsi="Verdana"/>
          <w:sz w:val="20"/>
          <w:lang w:val="pt-BR"/>
        </w:rPr>
        <w:t xml:space="preserve">foi apresentado </w:t>
      </w:r>
      <w:r w:rsidRPr="002F50BD">
        <w:rPr>
          <w:rFonts w:ascii="Verdana" w:hAnsi="Verdana"/>
          <w:sz w:val="20"/>
          <w:lang w:val="pt-BR"/>
        </w:rPr>
        <w:t>um projeto</w:t>
      </w:r>
      <w:r w:rsidR="004756C1" w:rsidRPr="002F50BD">
        <w:rPr>
          <w:rFonts w:ascii="Verdana" w:hAnsi="Verdana"/>
          <w:sz w:val="20"/>
          <w:lang w:val="pt-BR"/>
        </w:rPr>
        <w:t xml:space="preserve"> de </w:t>
      </w:r>
      <w:r w:rsidR="00DB51F0" w:rsidRPr="002F50BD">
        <w:rPr>
          <w:rFonts w:ascii="Verdana" w:hAnsi="Verdana"/>
          <w:sz w:val="20"/>
          <w:lang w:val="pt-BR"/>
        </w:rPr>
        <w:t>expropriação</w:t>
      </w:r>
      <w:r w:rsidRPr="002F50BD">
        <w:rPr>
          <w:rFonts w:ascii="Verdana" w:hAnsi="Verdana"/>
          <w:sz w:val="20"/>
          <w:lang w:val="pt-BR"/>
        </w:rPr>
        <w:t xml:space="preserve"> </w:t>
      </w:r>
      <w:r w:rsidR="00DB51F0" w:rsidRPr="002F50BD">
        <w:rPr>
          <w:rFonts w:ascii="Verdana" w:hAnsi="Verdana"/>
          <w:sz w:val="20"/>
          <w:lang w:val="pt-BR"/>
        </w:rPr>
        <w:t>do</w:t>
      </w:r>
      <w:r w:rsidRPr="002F50BD">
        <w:rPr>
          <w:rFonts w:ascii="Verdana" w:hAnsi="Verdana"/>
          <w:sz w:val="20"/>
          <w:lang w:val="pt-BR"/>
        </w:rPr>
        <w:t xml:space="preserve">s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da </w:t>
      </w:r>
      <w:r w:rsidR="00060B3A" w:rsidRPr="002F50BD">
        <w:rPr>
          <w:rFonts w:ascii="Verdana" w:hAnsi="Verdana"/>
          <w:i/>
          <w:sz w:val="20"/>
          <w:lang w:val="pt-BR"/>
        </w:rPr>
        <w:t>Estancia Loma Verde</w:t>
      </w:r>
      <w:r w:rsidR="004F64EE" w:rsidRPr="002F50BD">
        <w:rPr>
          <w:rFonts w:ascii="Verdana" w:hAnsi="Verdana"/>
          <w:sz w:val="20"/>
          <w:lang w:val="pt-BR"/>
        </w:rPr>
        <w:t>,</w:t>
      </w:r>
      <w:r w:rsidR="00DB51F0" w:rsidRPr="002F50BD">
        <w:rPr>
          <w:rFonts w:ascii="Verdana" w:hAnsi="Verdana"/>
          <w:sz w:val="20"/>
          <w:lang w:val="pt-BR"/>
        </w:rPr>
        <w:t xml:space="preserve"> </w:t>
      </w:r>
      <w:r w:rsidR="004756C1" w:rsidRPr="002F50BD">
        <w:rPr>
          <w:rFonts w:ascii="Verdana" w:hAnsi="Verdana"/>
          <w:sz w:val="20"/>
          <w:lang w:val="pt-BR"/>
        </w:rPr>
        <w:t>que</w:t>
      </w:r>
      <w:r w:rsidRPr="002F50BD">
        <w:rPr>
          <w:rFonts w:ascii="Verdana" w:hAnsi="Verdana"/>
          <w:sz w:val="20"/>
          <w:lang w:val="pt-BR"/>
        </w:rPr>
        <w:t xml:space="preserve"> foi </w:t>
      </w:r>
      <w:r w:rsidR="004756C1" w:rsidRPr="002F50BD">
        <w:rPr>
          <w:rFonts w:ascii="Verdana" w:hAnsi="Verdana"/>
          <w:sz w:val="20"/>
          <w:lang w:val="pt-BR"/>
        </w:rPr>
        <w:t xml:space="preserve">eventualmente </w:t>
      </w:r>
      <w:r w:rsidR="002C07CC">
        <w:rPr>
          <w:rFonts w:ascii="Verdana" w:hAnsi="Verdana"/>
          <w:sz w:val="20"/>
          <w:lang w:val="pt-BR"/>
        </w:rPr>
        <w:t>rejeitado</w:t>
      </w:r>
      <w:r w:rsidRPr="002F50BD">
        <w:rPr>
          <w:rFonts w:ascii="Verdana" w:hAnsi="Verdana"/>
          <w:sz w:val="20"/>
          <w:lang w:val="pt-BR"/>
        </w:rPr>
        <w:t xml:space="preserve"> nas comissões</w:t>
      </w:r>
      <w:r w:rsidR="004756C1" w:rsidRPr="002F50BD">
        <w:rPr>
          <w:rFonts w:ascii="Verdana" w:hAnsi="Verdana"/>
          <w:sz w:val="20"/>
          <w:lang w:val="pt-BR"/>
        </w:rPr>
        <w:t xml:space="preserve"> de d</w:t>
      </w:r>
      <w:r w:rsidR="00DB51F0" w:rsidRPr="002F50BD">
        <w:rPr>
          <w:rFonts w:ascii="Verdana" w:hAnsi="Verdana"/>
          <w:sz w:val="20"/>
          <w:lang w:val="pt-BR"/>
        </w:rPr>
        <w:t>e</w:t>
      </w:r>
      <w:r w:rsidR="004756C1" w:rsidRPr="002F50BD">
        <w:rPr>
          <w:rFonts w:ascii="Verdana" w:hAnsi="Verdana"/>
          <w:sz w:val="20"/>
          <w:lang w:val="pt-BR"/>
        </w:rPr>
        <w:t>putados de reforma agr</w:t>
      </w:r>
      <w:r w:rsidR="00DB51F0" w:rsidRPr="002F50BD">
        <w:rPr>
          <w:rFonts w:ascii="Verdana" w:hAnsi="Verdana"/>
          <w:sz w:val="20"/>
          <w:lang w:val="pt-BR"/>
        </w:rPr>
        <w:t>á</w:t>
      </w:r>
      <w:r w:rsidR="004756C1" w:rsidRPr="002F50BD">
        <w:rPr>
          <w:rFonts w:ascii="Verdana" w:hAnsi="Verdana"/>
          <w:sz w:val="20"/>
          <w:lang w:val="pt-BR"/>
        </w:rPr>
        <w:t xml:space="preserve">ria, </w:t>
      </w:r>
      <w:r w:rsidR="00DB51F0" w:rsidRPr="002F50BD">
        <w:rPr>
          <w:rFonts w:ascii="Verdana" w:hAnsi="Verdana"/>
          <w:sz w:val="20"/>
          <w:lang w:val="pt-BR"/>
        </w:rPr>
        <w:t xml:space="preserve">motivo pelo </w:t>
      </w:r>
      <w:r w:rsidRPr="002F50BD">
        <w:rPr>
          <w:rFonts w:ascii="Verdana" w:hAnsi="Verdana"/>
          <w:sz w:val="20"/>
          <w:lang w:val="pt-BR"/>
        </w:rPr>
        <w:t xml:space="preserve">qual o projeto foi </w:t>
      </w:r>
      <w:r w:rsidR="004756C1" w:rsidRPr="002F50BD">
        <w:rPr>
          <w:rFonts w:ascii="Verdana" w:hAnsi="Verdana"/>
          <w:sz w:val="20"/>
          <w:lang w:val="pt-BR"/>
        </w:rPr>
        <w:t xml:space="preserve">retirado antes de que </w:t>
      </w:r>
      <w:r w:rsidR="005A6BC7" w:rsidRPr="002F50BD">
        <w:rPr>
          <w:rFonts w:ascii="Verdana" w:hAnsi="Verdana"/>
          <w:sz w:val="20"/>
          <w:lang w:val="pt-BR"/>
        </w:rPr>
        <w:t>passa</w:t>
      </w:r>
      <w:r w:rsidR="00DB51F0" w:rsidRPr="002F50BD">
        <w:rPr>
          <w:rFonts w:ascii="Verdana" w:hAnsi="Verdana"/>
          <w:sz w:val="20"/>
          <w:lang w:val="pt-BR"/>
        </w:rPr>
        <w:t>sse</w:t>
      </w:r>
      <w:r w:rsidRPr="002F50BD">
        <w:rPr>
          <w:rFonts w:ascii="Verdana" w:hAnsi="Verdana"/>
          <w:sz w:val="20"/>
          <w:lang w:val="pt-BR"/>
        </w:rPr>
        <w:t xml:space="preserve"> ao </w:t>
      </w:r>
      <w:r w:rsidR="004756C1" w:rsidRPr="002F50BD">
        <w:rPr>
          <w:rFonts w:ascii="Verdana" w:hAnsi="Verdana"/>
          <w:sz w:val="20"/>
          <w:lang w:val="pt-BR"/>
        </w:rPr>
        <w:t>plen</w:t>
      </w:r>
      <w:r w:rsidR="00DB51F0" w:rsidRPr="002F50BD">
        <w:rPr>
          <w:rFonts w:ascii="Verdana" w:hAnsi="Verdana"/>
          <w:sz w:val="20"/>
          <w:lang w:val="pt-BR"/>
        </w:rPr>
        <w:t>á</w:t>
      </w:r>
      <w:r w:rsidR="004756C1" w:rsidRPr="002F50BD">
        <w:rPr>
          <w:rFonts w:ascii="Verdana" w:hAnsi="Verdana"/>
          <w:sz w:val="20"/>
          <w:lang w:val="pt-BR"/>
        </w:rPr>
        <w:t>rio.</w:t>
      </w:r>
    </w:p>
    <w:p w:rsidR="004756C1" w:rsidRPr="002F50BD" w:rsidRDefault="004756C1">
      <w:pPr>
        <w:pStyle w:val="BodyText"/>
        <w:rPr>
          <w:rFonts w:ascii="Verdana" w:hAnsi="Verdana"/>
          <w:sz w:val="20"/>
          <w:lang w:val="pt-BR"/>
        </w:rPr>
      </w:pPr>
    </w:p>
    <w:p w:rsidR="004756C1" w:rsidRPr="002F50BD" w:rsidRDefault="004756C1">
      <w:pPr>
        <w:pStyle w:val="BodyText"/>
        <w:rPr>
          <w:rFonts w:ascii="Verdana" w:hAnsi="Verdana"/>
          <w:sz w:val="20"/>
          <w:lang w:val="pt-BR"/>
        </w:rPr>
      </w:pPr>
      <w:r w:rsidRPr="002F50BD">
        <w:rPr>
          <w:rFonts w:ascii="Verdana" w:hAnsi="Verdana"/>
          <w:sz w:val="20"/>
          <w:lang w:val="pt-BR"/>
        </w:rPr>
        <w:t>Posteriormente,</w:t>
      </w:r>
      <w:r w:rsidR="0089298C" w:rsidRPr="002F50BD">
        <w:rPr>
          <w:rFonts w:ascii="Verdana" w:hAnsi="Verdana"/>
          <w:sz w:val="20"/>
          <w:lang w:val="pt-BR"/>
        </w:rPr>
        <w:t xml:space="preserve"> o </w:t>
      </w:r>
      <w:r w:rsidRPr="002F50BD">
        <w:rPr>
          <w:rFonts w:ascii="Verdana" w:hAnsi="Verdana"/>
          <w:sz w:val="20"/>
          <w:lang w:val="pt-BR"/>
        </w:rPr>
        <w:t xml:space="preserve">Poder </w:t>
      </w:r>
      <w:r w:rsidR="0089298C" w:rsidRPr="002F50BD">
        <w:rPr>
          <w:rFonts w:ascii="Verdana" w:hAnsi="Verdana"/>
          <w:sz w:val="20"/>
          <w:lang w:val="pt-BR"/>
        </w:rPr>
        <w:t>Executiv</w:t>
      </w:r>
      <w:r w:rsidRPr="002F50BD">
        <w:rPr>
          <w:rFonts w:ascii="Verdana" w:hAnsi="Verdana"/>
          <w:sz w:val="20"/>
          <w:lang w:val="pt-BR"/>
        </w:rPr>
        <w:t xml:space="preserve">o </w:t>
      </w:r>
      <w:r w:rsidR="0089298C" w:rsidRPr="002F50BD">
        <w:rPr>
          <w:rFonts w:ascii="Verdana" w:hAnsi="Verdana"/>
          <w:sz w:val="20"/>
          <w:lang w:val="pt-BR"/>
        </w:rPr>
        <w:t>apresentou outro projeto</w:t>
      </w:r>
      <w:r w:rsidRPr="002F50BD">
        <w:rPr>
          <w:rFonts w:ascii="Verdana" w:hAnsi="Verdana"/>
          <w:sz w:val="20"/>
          <w:lang w:val="pt-BR"/>
        </w:rPr>
        <w:t xml:space="preserve"> de </w:t>
      </w:r>
      <w:r w:rsidR="00DB51F0" w:rsidRPr="002F50BD">
        <w:rPr>
          <w:rFonts w:ascii="Verdana" w:hAnsi="Verdana"/>
          <w:sz w:val="20"/>
          <w:lang w:val="pt-BR"/>
        </w:rPr>
        <w:t>expropriação</w:t>
      </w:r>
      <w:r w:rsidR="0089298C" w:rsidRPr="002F50BD">
        <w:rPr>
          <w:rFonts w:ascii="Verdana" w:hAnsi="Verdana"/>
          <w:sz w:val="20"/>
          <w:lang w:val="pt-BR"/>
        </w:rPr>
        <w:t xml:space="preserve"> </w:t>
      </w:r>
      <w:r w:rsidR="00DB51F0" w:rsidRPr="002F50BD">
        <w:rPr>
          <w:rFonts w:ascii="Verdana" w:hAnsi="Verdana"/>
          <w:sz w:val="20"/>
          <w:lang w:val="pt-BR"/>
        </w:rPr>
        <w:t>à</w:t>
      </w:r>
      <w:r w:rsidR="0089298C" w:rsidRPr="002F50BD">
        <w:rPr>
          <w:rFonts w:ascii="Verdana" w:hAnsi="Verdana"/>
          <w:sz w:val="20"/>
          <w:lang w:val="pt-BR"/>
        </w:rPr>
        <w:t xml:space="preserve"> </w:t>
      </w:r>
      <w:r w:rsidRPr="002F50BD">
        <w:rPr>
          <w:rFonts w:ascii="Verdana" w:hAnsi="Verdana"/>
          <w:sz w:val="20"/>
          <w:lang w:val="pt-BR"/>
        </w:rPr>
        <w:t>C</w:t>
      </w:r>
      <w:r w:rsidR="00DB51F0" w:rsidRPr="002F50BD">
        <w:rPr>
          <w:rFonts w:ascii="Verdana" w:hAnsi="Verdana"/>
          <w:sz w:val="20"/>
          <w:lang w:val="pt-BR"/>
        </w:rPr>
        <w:t>â</w:t>
      </w:r>
      <w:r w:rsidRPr="002F50BD">
        <w:rPr>
          <w:rFonts w:ascii="Verdana" w:hAnsi="Verdana"/>
          <w:sz w:val="20"/>
          <w:lang w:val="pt-BR"/>
        </w:rPr>
        <w:t>mara de Senadores</w:t>
      </w:r>
      <w:r w:rsidR="00AB454A" w:rsidRPr="002F50BD">
        <w:rPr>
          <w:rFonts w:ascii="Verdana" w:hAnsi="Verdana"/>
          <w:sz w:val="20"/>
          <w:lang w:val="pt-BR"/>
        </w:rPr>
        <w:t xml:space="preserve">. A </w:t>
      </w:r>
      <w:r w:rsidR="00DB51F0" w:rsidRPr="002F50BD">
        <w:rPr>
          <w:rFonts w:ascii="Verdana" w:hAnsi="Verdana"/>
          <w:sz w:val="20"/>
          <w:lang w:val="pt-BR"/>
        </w:rPr>
        <w:t>Câmara</w:t>
      </w:r>
      <w:r w:rsidRPr="002F50BD">
        <w:rPr>
          <w:rFonts w:ascii="Verdana" w:hAnsi="Verdana"/>
          <w:sz w:val="20"/>
          <w:lang w:val="pt-BR"/>
        </w:rPr>
        <w:t xml:space="preserve"> discuti</w:t>
      </w:r>
      <w:r w:rsidR="00DB51F0" w:rsidRPr="002F50BD">
        <w:rPr>
          <w:rFonts w:ascii="Verdana" w:hAnsi="Verdana"/>
          <w:sz w:val="20"/>
          <w:lang w:val="pt-BR"/>
        </w:rPr>
        <w:t>u</w:t>
      </w:r>
      <w:r w:rsidR="0089298C" w:rsidRPr="002F50BD">
        <w:rPr>
          <w:rFonts w:ascii="Verdana" w:hAnsi="Verdana"/>
          <w:sz w:val="20"/>
          <w:lang w:val="pt-BR"/>
        </w:rPr>
        <w:t xml:space="preserve"> o projeto</w:t>
      </w:r>
      <w:r w:rsidR="002C07CC">
        <w:rPr>
          <w:rFonts w:ascii="Verdana" w:hAnsi="Verdana"/>
          <w:sz w:val="20"/>
          <w:lang w:val="pt-BR"/>
        </w:rPr>
        <w:t>,</w:t>
      </w:r>
      <w:r w:rsidRPr="002F50BD">
        <w:rPr>
          <w:rFonts w:ascii="Verdana" w:hAnsi="Verdana"/>
          <w:sz w:val="20"/>
          <w:lang w:val="pt-BR"/>
        </w:rPr>
        <w:t xml:space="preserve"> que</w:t>
      </w:r>
      <w:r w:rsidR="0089298C" w:rsidRPr="002F50BD">
        <w:rPr>
          <w:rFonts w:ascii="Verdana" w:hAnsi="Verdana"/>
          <w:sz w:val="20"/>
          <w:lang w:val="pt-BR"/>
        </w:rPr>
        <w:t xml:space="preserve"> foi </w:t>
      </w:r>
      <w:r w:rsidRPr="002F50BD">
        <w:rPr>
          <w:rFonts w:ascii="Verdana" w:hAnsi="Verdana"/>
          <w:sz w:val="20"/>
          <w:lang w:val="pt-BR"/>
        </w:rPr>
        <w:t xml:space="preserve">finalmente </w:t>
      </w:r>
      <w:r w:rsidR="002C07CC">
        <w:rPr>
          <w:rFonts w:ascii="Verdana" w:hAnsi="Verdana"/>
          <w:sz w:val="20"/>
          <w:lang w:val="pt-BR"/>
        </w:rPr>
        <w:t>rejeitado</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ano </w:t>
      </w:r>
      <w:r w:rsidR="00DB51F0" w:rsidRPr="002F50BD">
        <w:rPr>
          <w:rFonts w:ascii="Verdana" w:hAnsi="Verdana"/>
          <w:sz w:val="20"/>
          <w:lang w:val="pt-BR"/>
        </w:rPr>
        <w:t xml:space="preserve">de </w:t>
      </w:r>
      <w:r w:rsidR="00063B47" w:rsidRPr="002F50BD">
        <w:rPr>
          <w:rFonts w:ascii="Verdana" w:hAnsi="Verdana"/>
          <w:sz w:val="20"/>
          <w:lang w:val="pt-BR"/>
        </w:rPr>
        <w:t>1993</w:t>
      </w:r>
      <w:r w:rsidR="000B1C40" w:rsidRPr="002F50BD">
        <w:rPr>
          <w:rFonts w:ascii="Verdana" w:hAnsi="Verdana"/>
          <w:sz w:val="20"/>
          <w:lang w:val="pt-BR"/>
        </w:rPr>
        <w:t>,</w:t>
      </w:r>
      <w:r w:rsidRPr="002F50BD">
        <w:rPr>
          <w:rFonts w:ascii="Verdana" w:hAnsi="Verdana"/>
          <w:sz w:val="20"/>
          <w:lang w:val="pt-BR"/>
        </w:rPr>
        <w:t xml:space="preserve"> a Comunidade </w:t>
      </w:r>
      <w:r w:rsidR="004756C1" w:rsidRPr="002F50BD">
        <w:rPr>
          <w:rFonts w:ascii="Verdana" w:hAnsi="Verdana"/>
          <w:sz w:val="20"/>
          <w:lang w:val="pt-BR"/>
        </w:rPr>
        <w:t xml:space="preserve">Yakye Axa </w:t>
      </w:r>
      <w:r w:rsidRPr="002F50BD">
        <w:rPr>
          <w:rFonts w:ascii="Verdana" w:hAnsi="Verdana"/>
          <w:sz w:val="20"/>
          <w:lang w:val="pt-BR"/>
        </w:rPr>
        <w:t xml:space="preserve">solicitou ao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de </w:t>
      </w:r>
      <w:r w:rsidR="005A6BC7" w:rsidRPr="002F50BD">
        <w:rPr>
          <w:rFonts w:ascii="Verdana" w:hAnsi="Verdana"/>
          <w:sz w:val="20"/>
          <w:lang w:val="pt-BR"/>
        </w:rPr>
        <w:t>seus líderes</w:t>
      </w:r>
      <w:r w:rsidR="00D95E71" w:rsidRPr="002F50BD">
        <w:rPr>
          <w:rFonts w:ascii="Verdana" w:hAnsi="Verdana"/>
          <w:sz w:val="20"/>
          <w:lang w:val="pt-BR"/>
        </w:rPr>
        <w:t xml:space="preserve">. O </w:t>
      </w:r>
      <w:r w:rsidR="004756C1" w:rsidRPr="002F50BD">
        <w:rPr>
          <w:rFonts w:ascii="Verdana" w:hAnsi="Verdana"/>
          <w:sz w:val="20"/>
          <w:lang w:val="pt-BR"/>
        </w:rPr>
        <w:t xml:space="preserve">Estado </w:t>
      </w:r>
      <w:r w:rsidR="00DB51F0" w:rsidRPr="002F50BD">
        <w:rPr>
          <w:rFonts w:ascii="Verdana" w:hAnsi="Verdana"/>
          <w:sz w:val="20"/>
          <w:lang w:val="pt-BR"/>
        </w:rPr>
        <w:t xml:space="preserve">demorou </w:t>
      </w:r>
      <w:r w:rsidRPr="002F50BD">
        <w:rPr>
          <w:rFonts w:ascii="Verdana" w:hAnsi="Verdana"/>
          <w:sz w:val="20"/>
          <w:lang w:val="pt-BR"/>
        </w:rPr>
        <w:t>três anos</w:t>
      </w:r>
      <w:r w:rsidR="004756C1" w:rsidRPr="002F50BD">
        <w:rPr>
          <w:rFonts w:ascii="Verdana" w:hAnsi="Verdana"/>
          <w:sz w:val="20"/>
          <w:lang w:val="pt-BR"/>
        </w:rPr>
        <w:t xml:space="preserve"> para </w:t>
      </w:r>
      <w:r w:rsidR="00DB51F0" w:rsidRPr="002F50BD">
        <w:rPr>
          <w:rFonts w:ascii="Verdana" w:hAnsi="Verdana"/>
          <w:sz w:val="20"/>
          <w:lang w:val="pt-BR"/>
        </w:rPr>
        <w:t>conceder</w:t>
      </w:r>
      <w:r w:rsidR="004756C1" w:rsidRPr="002F50BD">
        <w:rPr>
          <w:rFonts w:ascii="Verdana" w:hAnsi="Verdana"/>
          <w:sz w:val="20"/>
          <w:lang w:val="pt-BR"/>
        </w:rPr>
        <w:t xml:space="preserve"> </w:t>
      </w:r>
      <w:r w:rsidRPr="002F50BD">
        <w:rPr>
          <w:rFonts w:ascii="Verdana" w:hAnsi="Verdana"/>
          <w:sz w:val="20"/>
          <w:lang w:val="pt-BR"/>
        </w:rPr>
        <w:t>este</w:t>
      </w:r>
      <w:r w:rsidR="004756C1" w:rsidRPr="002F50BD">
        <w:rPr>
          <w:rFonts w:ascii="Verdana" w:hAnsi="Verdana"/>
          <w:sz w:val="20"/>
          <w:lang w:val="pt-BR"/>
        </w:rPr>
        <w:t xml:space="preserve"> re</w:t>
      </w:r>
      <w:r w:rsidRPr="002F50BD">
        <w:rPr>
          <w:rFonts w:ascii="Verdana" w:hAnsi="Verdana"/>
          <w:sz w:val="20"/>
          <w:lang w:val="pt-BR"/>
        </w:rPr>
        <w:t>conhecimento</w:t>
      </w:r>
      <w:r w:rsidR="004756C1" w:rsidRPr="002F50BD">
        <w:rPr>
          <w:rFonts w:ascii="Verdana" w:hAnsi="Verdana"/>
          <w:sz w:val="20"/>
          <w:lang w:val="pt-BR"/>
        </w:rPr>
        <w:t>, sabendo que</w:t>
      </w:r>
      <w:r w:rsidR="00313394" w:rsidRPr="002F50BD">
        <w:rPr>
          <w:rFonts w:ascii="Verdana" w:hAnsi="Verdana"/>
          <w:sz w:val="20"/>
          <w:lang w:val="pt-BR"/>
        </w:rPr>
        <w:t xml:space="preserve"> isso </w:t>
      </w:r>
      <w:r w:rsidRPr="002F50BD">
        <w:rPr>
          <w:rFonts w:ascii="Verdana" w:hAnsi="Verdana"/>
          <w:sz w:val="20"/>
          <w:lang w:val="pt-BR"/>
        </w:rPr>
        <w:t xml:space="preserve">pode </w:t>
      </w:r>
      <w:r w:rsidR="00DB51F0" w:rsidRPr="002F50BD">
        <w:rPr>
          <w:rFonts w:ascii="Verdana" w:hAnsi="Verdana"/>
          <w:sz w:val="20"/>
          <w:lang w:val="pt-BR"/>
        </w:rPr>
        <w:t xml:space="preserve">ser feito </w:t>
      </w:r>
      <w:r w:rsidRPr="002F50BD">
        <w:rPr>
          <w:rFonts w:ascii="Verdana" w:hAnsi="Verdana"/>
          <w:sz w:val="20"/>
          <w:lang w:val="pt-BR"/>
        </w:rPr>
        <w:t xml:space="preserve">em poucos </w:t>
      </w:r>
      <w:r w:rsidR="004756C1" w:rsidRPr="002F50BD">
        <w:rPr>
          <w:rFonts w:ascii="Verdana" w:hAnsi="Verdana"/>
          <w:sz w:val="20"/>
          <w:lang w:val="pt-BR"/>
        </w:rPr>
        <w:t>meses</w:t>
      </w:r>
      <w:r w:rsidR="00BE346D" w:rsidRPr="002F50BD">
        <w:rPr>
          <w:rFonts w:ascii="Verdana" w:hAnsi="Verdana"/>
          <w:sz w:val="20"/>
          <w:lang w:val="pt-BR"/>
        </w:rPr>
        <w:t xml:space="preserve">. Em </w:t>
      </w:r>
      <w:r w:rsidR="00063B47" w:rsidRPr="002F50BD">
        <w:rPr>
          <w:rFonts w:ascii="Verdana" w:hAnsi="Verdana"/>
          <w:sz w:val="20"/>
          <w:lang w:val="pt-BR"/>
        </w:rPr>
        <w:t>1998</w:t>
      </w:r>
      <w:r w:rsidR="002F2071" w:rsidRPr="002F50BD">
        <w:rPr>
          <w:rFonts w:ascii="Verdana" w:hAnsi="Verdana"/>
          <w:sz w:val="20"/>
          <w:lang w:val="pt-BR"/>
        </w:rPr>
        <w:t>,</w:t>
      </w:r>
      <w:r w:rsidRPr="002F50BD">
        <w:rPr>
          <w:rFonts w:ascii="Verdana" w:hAnsi="Verdana"/>
          <w:sz w:val="20"/>
          <w:lang w:val="pt-BR"/>
        </w:rPr>
        <w:t xml:space="preserve"> a Comunidade solicitou</w:t>
      </w:r>
      <w:r w:rsidR="004756C1" w:rsidRPr="002F50BD">
        <w:rPr>
          <w:rFonts w:ascii="Verdana" w:hAnsi="Verdana"/>
          <w:sz w:val="20"/>
          <w:lang w:val="pt-BR"/>
        </w:rPr>
        <w:t xml:space="preserve"> su</w:t>
      </w:r>
      <w:r w:rsidR="00DB51F0" w:rsidRPr="002F50BD">
        <w:rPr>
          <w:rFonts w:ascii="Verdana" w:hAnsi="Verdana"/>
          <w:sz w:val="20"/>
          <w:lang w:val="pt-BR"/>
        </w:rPr>
        <w:t>a</w:t>
      </w:r>
      <w:r w:rsidR="004756C1" w:rsidRPr="002F50BD">
        <w:rPr>
          <w:rFonts w:ascii="Verdana" w:hAnsi="Verdana"/>
          <w:sz w:val="20"/>
          <w:lang w:val="pt-BR"/>
        </w:rPr>
        <w:t xml:space="preserve">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e </w:t>
      </w:r>
      <w:r w:rsidR="002F2071" w:rsidRPr="002F50BD">
        <w:rPr>
          <w:rFonts w:ascii="Verdana" w:hAnsi="Verdana"/>
          <w:sz w:val="20"/>
          <w:lang w:val="pt-BR"/>
        </w:rPr>
        <w:t>somente em</w:t>
      </w:r>
      <w:r w:rsidRPr="002F50BD">
        <w:rPr>
          <w:rFonts w:ascii="Verdana" w:hAnsi="Verdana"/>
          <w:sz w:val="20"/>
          <w:lang w:val="pt-BR"/>
        </w:rPr>
        <w:t xml:space="preserve"> </w:t>
      </w:r>
      <w:r w:rsidR="00063B47" w:rsidRPr="002F50BD">
        <w:rPr>
          <w:rFonts w:ascii="Verdana" w:hAnsi="Verdana"/>
          <w:sz w:val="20"/>
          <w:lang w:val="pt-BR"/>
        </w:rPr>
        <w:t>2001</w:t>
      </w:r>
      <w:r w:rsidR="00DB51F0" w:rsidRPr="002F50BD">
        <w:rPr>
          <w:rFonts w:ascii="Verdana" w:hAnsi="Verdana"/>
          <w:sz w:val="20"/>
          <w:lang w:val="pt-BR"/>
        </w:rPr>
        <w:t xml:space="preserve"> </w:t>
      </w:r>
      <w:r w:rsidRPr="002F50BD">
        <w:rPr>
          <w:rFonts w:ascii="Verdana" w:hAnsi="Verdana"/>
          <w:sz w:val="20"/>
          <w:lang w:val="pt-BR"/>
        </w:rPr>
        <w:t xml:space="preserve">o </w:t>
      </w:r>
      <w:r w:rsidR="004756C1" w:rsidRPr="002F50BD">
        <w:rPr>
          <w:rFonts w:ascii="Verdana" w:hAnsi="Verdana"/>
          <w:sz w:val="20"/>
          <w:lang w:val="pt-BR"/>
        </w:rPr>
        <w:t xml:space="preserve">Instituto </w:t>
      </w:r>
      <w:r w:rsidRPr="002F50BD">
        <w:rPr>
          <w:rFonts w:ascii="Verdana" w:hAnsi="Verdana"/>
          <w:sz w:val="20"/>
          <w:lang w:val="pt-BR"/>
        </w:rPr>
        <w:t>Paraguai</w:t>
      </w:r>
      <w:r w:rsidR="004756C1" w:rsidRPr="002F50BD">
        <w:rPr>
          <w:rFonts w:ascii="Verdana" w:hAnsi="Verdana"/>
          <w:sz w:val="20"/>
          <w:lang w:val="pt-BR"/>
        </w:rPr>
        <w:t xml:space="preserve">o </w:t>
      </w:r>
      <w:r w:rsidRPr="002F50BD">
        <w:rPr>
          <w:rFonts w:ascii="Verdana" w:hAnsi="Verdana"/>
          <w:sz w:val="20"/>
          <w:lang w:val="pt-BR"/>
        </w:rPr>
        <w:t xml:space="preserve">do </w:t>
      </w:r>
      <w:r w:rsidR="004756C1" w:rsidRPr="002F50BD">
        <w:rPr>
          <w:rFonts w:ascii="Verdana" w:hAnsi="Verdana"/>
          <w:sz w:val="20"/>
          <w:lang w:val="pt-BR"/>
        </w:rPr>
        <w:t>Indígena</w:t>
      </w:r>
      <w:r w:rsidRPr="002F50BD">
        <w:rPr>
          <w:rFonts w:ascii="Verdana" w:hAnsi="Verdana"/>
          <w:sz w:val="20"/>
          <w:lang w:val="pt-BR"/>
        </w:rPr>
        <w:t xml:space="preserve"> a </w:t>
      </w:r>
      <w:r w:rsidR="00DB51F0" w:rsidRPr="002F50BD">
        <w:rPr>
          <w:rFonts w:ascii="Verdana" w:hAnsi="Verdana"/>
          <w:sz w:val="20"/>
          <w:lang w:val="pt-BR"/>
        </w:rPr>
        <w:t>concedeu</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pStyle w:val="BodyText"/>
        <w:rPr>
          <w:rFonts w:ascii="Verdana" w:hAnsi="Verdana"/>
          <w:sz w:val="20"/>
          <w:lang w:val="pt-BR"/>
        </w:rPr>
      </w:pPr>
      <w:r w:rsidRPr="002F50BD">
        <w:rPr>
          <w:rFonts w:ascii="Verdana" w:hAnsi="Verdana"/>
          <w:sz w:val="20"/>
          <w:lang w:val="pt-BR"/>
        </w:rPr>
        <w:t xml:space="preserve">A </w:t>
      </w:r>
      <w:r w:rsidR="00DB51F0" w:rsidRPr="002F50BD">
        <w:rPr>
          <w:rFonts w:ascii="Verdana" w:hAnsi="Verdana"/>
          <w:sz w:val="20"/>
          <w:lang w:val="pt-BR"/>
        </w:rPr>
        <w:t xml:space="preserve">pedido </w:t>
      </w:r>
      <w:r w:rsidR="0089298C" w:rsidRPr="002F50BD">
        <w:rPr>
          <w:rFonts w:ascii="Verdana" w:hAnsi="Verdana"/>
          <w:sz w:val="20"/>
          <w:lang w:val="pt-BR"/>
        </w:rPr>
        <w:t>da Comunidade</w:t>
      </w:r>
      <w:r w:rsidR="004F64EE" w:rsidRPr="002F50BD">
        <w:rPr>
          <w:rFonts w:ascii="Verdana" w:hAnsi="Verdana"/>
          <w:sz w:val="20"/>
          <w:lang w:val="pt-BR"/>
        </w:rPr>
        <w:t xml:space="preserve">, foi </w:t>
      </w:r>
      <w:r w:rsidR="00DB51F0" w:rsidRPr="002F50BD">
        <w:rPr>
          <w:rFonts w:ascii="Verdana" w:hAnsi="Verdana"/>
          <w:sz w:val="20"/>
          <w:lang w:val="pt-BR"/>
        </w:rPr>
        <w:t>apresent</w:t>
      </w:r>
      <w:r w:rsidR="004F64EE" w:rsidRPr="002F50BD">
        <w:rPr>
          <w:rFonts w:ascii="Verdana" w:hAnsi="Verdana"/>
          <w:sz w:val="20"/>
          <w:lang w:val="pt-BR"/>
        </w:rPr>
        <w:t xml:space="preserve">ada uma solicitação de medida cautelar como um processo acessório </w:t>
      </w:r>
      <w:r w:rsidR="00DB51F0" w:rsidRPr="002F50BD">
        <w:rPr>
          <w:rFonts w:ascii="Verdana" w:hAnsi="Verdana"/>
          <w:sz w:val="20"/>
          <w:lang w:val="pt-BR"/>
        </w:rPr>
        <w:t>per</w:t>
      </w:r>
      <w:r w:rsidRPr="002F50BD">
        <w:rPr>
          <w:rFonts w:ascii="Verdana" w:hAnsi="Verdana"/>
          <w:sz w:val="20"/>
          <w:lang w:val="pt-BR"/>
        </w:rPr>
        <w:t>ante</w:t>
      </w:r>
      <w:r w:rsidR="0089298C" w:rsidRPr="002F50BD">
        <w:rPr>
          <w:rFonts w:ascii="Verdana" w:hAnsi="Verdana"/>
          <w:sz w:val="20"/>
          <w:lang w:val="pt-BR"/>
        </w:rPr>
        <w:t xml:space="preserve"> os órgão</w:t>
      </w:r>
      <w:r w:rsidRPr="002F50BD">
        <w:rPr>
          <w:rFonts w:ascii="Verdana" w:hAnsi="Verdana"/>
          <w:sz w:val="20"/>
          <w:lang w:val="pt-BR"/>
        </w:rPr>
        <w:t xml:space="preserve">s </w:t>
      </w:r>
      <w:r w:rsidR="0089298C" w:rsidRPr="002F50BD">
        <w:rPr>
          <w:rFonts w:ascii="Verdana" w:hAnsi="Verdana"/>
          <w:sz w:val="20"/>
          <w:lang w:val="pt-BR"/>
        </w:rPr>
        <w:t>jurisdicionais</w:t>
      </w:r>
      <w:r w:rsidRPr="002F50BD">
        <w:rPr>
          <w:rFonts w:ascii="Verdana" w:hAnsi="Verdana"/>
          <w:sz w:val="20"/>
          <w:lang w:val="pt-BR"/>
        </w:rPr>
        <w:t xml:space="preserve"> </w:t>
      </w:r>
      <w:r w:rsidR="0089298C" w:rsidRPr="002F50BD">
        <w:rPr>
          <w:rFonts w:ascii="Verdana" w:hAnsi="Verdana"/>
          <w:sz w:val="20"/>
          <w:lang w:val="pt-BR"/>
        </w:rPr>
        <w:t>do processo</w:t>
      </w:r>
      <w:r w:rsidRPr="002F50BD">
        <w:rPr>
          <w:rFonts w:ascii="Verdana" w:hAnsi="Verdana"/>
          <w:sz w:val="20"/>
          <w:lang w:val="pt-BR"/>
        </w:rPr>
        <w:t xml:space="preserve"> administrativo</w:t>
      </w:r>
      <w:r w:rsidR="00CD7100" w:rsidRPr="002F50BD">
        <w:rPr>
          <w:rFonts w:ascii="Verdana" w:hAnsi="Verdana"/>
          <w:sz w:val="20"/>
          <w:lang w:val="pt-BR"/>
        </w:rPr>
        <w:t>. Em</w:t>
      </w:r>
      <w:r w:rsidR="0089298C" w:rsidRPr="002F50BD">
        <w:rPr>
          <w:rFonts w:ascii="Verdana" w:hAnsi="Verdana"/>
          <w:sz w:val="20"/>
          <w:lang w:val="pt-BR"/>
        </w:rPr>
        <w:t xml:space="preserve"> primeira</w:t>
      </w:r>
      <w:r w:rsidRPr="002F50BD">
        <w:rPr>
          <w:rFonts w:ascii="Verdana" w:hAnsi="Verdana"/>
          <w:sz w:val="20"/>
          <w:lang w:val="pt-BR"/>
        </w:rPr>
        <w:t xml:space="preserve"> </w:t>
      </w:r>
      <w:r w:rsidR="0089298C" w:rsidRPr="002F50BD">
        <w:rPr>
          <w:rFonts w:ascii="Verdana" w:hAnsi="Verdana"/>
          <w:sz w:val="20"/>
          <w:lang w:val="pt-BR"/>
        </w:rPr>
        <w:t>instância</w:t>
      </w:r>
      <w:r w:rsidRPr="002F50BD">
        <w:rPr>
          <w:rFonts w:ascii="Verdana" w:hAnsi="Verdana"/>
          <w:sz w:val="20"/>
          <w:lang w:val="pt-BR"/>
        </w:rPr>
        <w:t>,</w:t>
      </w:r>
      <w:r w:rsidR="0089298C" w:rsidRPr="002F50BD">
        <w:rPr>
          <w:rFonts w:ascii="Verdana" w:hAnsi="Verdana"/>
          <w:sz w:val="20"/>
          <w:lang w:val="pt-BR"/>
        </w:rPr>
        <w:t xml:space="preserve"> as </w:t>
      </w:r>
      <w:r w:rsidRPr="002F50BD">
        <w:rPr>
          <w:rFonts w:ascii="Verdana" w:hAnsi="Verdana"/>
          <w:sz w:val="20"/>
          <w:lang w:val="pt-BR"/>
        </w:rPr>
        <w:t xml:space="preserve">citadas medidas </w:t>
      </w:r>
      <w:r w:rsidR="0089298C" w:rsidRPr="002F50BD">
        <w:rPr>
          <w:rFonts w:ascii="Verdana" w:hAnsi="Verdana"/>
          <w:sz w:val="20"/>
          <w:lang w:val="pt-BR"/>
        </w:rPr>
        <w:t>foram</w:t>
      </w:r>
      <w:r w:rsidRPr="002F50BD">
        <w:rPr>
          <w:rFonts w:ascii="Verdana" w:hAnsi="Verdana"/>
          <w:sz w:val="20"/>
          <w:lang w:val="pt-BR"/>
        </w:rPr>
        <w:t xml:space="preserve"> concedidas,</w:t>
      </w:r>
      <w:r w:rsidR="0089298C" w:rsidRPr="002F50BD">
        <w:rPr>
          <w:rFonts w:ascii="Verdana" w:hAnsi="Verdana"/>
          <w:sz w:val="20"/>
          <w:lang w:val="pt-BR"/>
        </w:rPr>
        <w:t xml:space="preserve"> </w:t>
      </w:r>
      <w:r w:rsidR="00DB51F0" w:rsidRPr="002F50BD">
        <w:rPr>
          <w:rFonts w:ascii="Verdana" w:hAnsi="Verdana"/>
          <w:sz w:val="20"/>
          <w:lang w:val="pt-BR"/>
        </w:rPr>
        <w:t>no entanto</w:t>
      </w:r>
      <w:r w:rsidRPr="002F50BD">
        <w:rPr>
          <w:rFonts w:ascii="Verdana" w:hAnsi="Verdana"/>
          <w:sz w:val="20"/>
          <w:lang w:val="pt-BR"/>
        </w:rPr>
        <w:t xml:space="preserve">, </w:t>
      </w:r>
      <w:r w:rsidR="0089298C" w:rsidRPr="002F50BD">
        <w:rPr>
          <w:rFonts w:ascii="Verdana" w:hAnsi="Verdana"/>
          <w:sz w:val="20"/>
          <w:lang w:val="pt-BR"/>
        </w:rPr>
        <w:t>foram</w:t>
      </w:r>
      <w:r w:rsidRPr="002F50BD">
        <w:rPr>
          <w:rFonts w:ascii="Verdana" w:hAnsi="Verdana"/>
          <w:sz w:val="20"/>
          <w:lang w:val="pt-BR"/>
        </w:rPr>
        <w:t xml:space="preserve"> </w:t>
      </w:r>
      <w:r w:rsidR="00E64CE8" w:rsidRPr="002F50BD">
        <w:rPr>
          <w:rFonts w:ascii="Verdana" w:hAnsi="Verdana"/>
          <w:sz w:val="20"/>
          <w:lang w:val="pt-BR"/>
        </w:rPr>
        <w:t xml:space="preserve">objeto de apelação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titulares</w:t>
      </w:r>
      <w:r w:rsidR="0089298C" w:rsidRPr="002F50BD">
        <w:rPr>
          <w:rFonts w:ascii="Verdana" w:hAnsi="Verdana"/>
          <w:sz w:val="20"/>
          <w:lang w:val="pt-BR"/>
        </w:rPr>
        <w:t xml:space="preserve"> das terra</w:t>
      </w:r>
      <w:r w:rsidRPr="002F50BD">
        <w:rPr>
          <w:rFonts w:ascii="Verdana" w:hAnsi="Verdana"/>
          <w:sz w:val="20"/>
          <w:lang w:val="pt-BR"/>
        </w:rPr>
        <w:t>s</w:t>
      </w:r>
      <w:r w:rsidR="0089298C" w:rsidRPr="002F50BD">
        <w:rPr>
          <w:rFonts w:ascii="Verdana" w:hAnsi="Verdana"/>
          <w:sz w:val="20"/>
          <w:lang w:val="pt-BR"/>
        </w:rPr>
        <w:t xml:space="preserve"> e</w:t>
      </w:r>
      <w:r w:rsidR="00E64CE8" w:rsidRPr="002F50BD">
        <w:rPr>
          <w:rFonts w:ascii="Verdana" w:hAnsi="Verdana"/>
          <w:sz w:val="20"/>
          <w:lang w:val="pt-BR"/>
        </w:rPr>
        <w:t>,</w:t>
      </w:r>
      <w:r w:rsidR="0089298C" w:rsidRPr="002F50BD">
        <w:rPr>
          <w:rFonts w:ascii="Verdana" w:hAnsi="Verdana"/>
          <w:sz w:val="20"/>
          <w:lang w:val="pt-BR"/>
        </w:rPr>
        <w:t xml:space="preserve"> </w:t>
      </w:r>
      <w:r w:rsidRPr="002F50BD">
        <w:rPr>
          <w:rFonts w:ascii="Verdana" w:hAnsi="Verdana"/>
          <w:sz w:val="20"/>
          <w:lang w:val="pt-BR"/>
        </w:rPr>
        <w:t>posteriormente</w:t>
      </w:r>
      <w:r w:rsidR="00E64CE8" w:rsidRPr="002F50BD">
        <w:rPr>
          <w:rFonts w:ascii="Verdana" w:hAnsi="Verdana"/>
          <w:sz w:val="20"/>
          <w:lang w:val="pt-BR"/>
        </w:rPr>
        <w:t>,</w:t>
      </w:r>
      <w:r w:rsidRPr="002F50BD">
        <w:rPr>
          <w:rFonts w:ascii="Verdana" w:hAnsi="Verdana"/>
          <w:sz w:val="20"/>
          <w:lang w:val="pt-BR"/>
        </w:rPr>
        <w:t xml:space="preserve"> </w:t>
      </w:r>
      <w:r w:rsidR="004F64EE" w:rsidRPr="002F50BD">
        <w:rPr>
          <w:rFonts w:ascii="Verdana" w:hAnsi="Verdana"/>
          <w:sz w:val="20"/>
          <w:lang w:val="pt-BR"/>
        </w:rPr>
        <w:t xml:space="preserve">rejeitadas </w:t>
      </w:r>
      <w:r w:rsidR="0089298C" w:rsidRPr="002F50BD">
        <w:rPr>
          <w:rFonts w:ascii="Verdana" w:hAnsi="Verdana"/>
          <w:sz w:val="20"/>
          <w:lang w:val="pt-BR"/>
        </w:rPr>
        <w:t>pelo juiz</w:t>
      </w:r>
      <w:r w:rsidR="00D95E71" w:rsidRPr="002F50BD">
        <w:rPr>
          <w:rFonts w:ascii="Verdana" w:hAnsi="Verdana"/>
          <w:sz w:val="20"/>
          <w:lang w:val="pt-BR"/>
        </w:rPr>
        <w:t xml:space="preserve">. </w:t>
      </w:r>
      <w:r w:rsidR="00791223" w:rsidRPr="002F50BD">
        <w:rPr>
          <w:rFonts w:ascii="Verdana" w:hAnsi="Verdana"/>
          <w:sz w:val="20"/>
          <w:lang w:val="pt-BR"/>
        </w:rPr>
        <w:t>A suspensão</w:t>
      </w:r>
      <w:r w:rsidRPr="002F50BD">
        <w:rPr>
          <w:rFonts w:ascii="Verdana" w:hAnsi="Verdana"/>
          <w:sz w:val="20"/>
          <w:lang w:val="pt-BR"/>
        </w:rPr>
        <w:t xml:space="preserve"> </w:t>
      </w:r>
      <w:r w:rsidR="0089298C" w:rsidRPr="002F50BD">
        <w:rPr>
          <w:rFonts w:ascii="Verdana" w:hAnsi="Verdana"/>
          <w:sz w:val="20"/>
          <w:lang w:val="pt-BR"/>
        </w:rPr>
        <w:t>desta</w:t>
      </w:r>
      <w:r w:rsidRPr="002F50BD">
        <w:rPr>
          <w:rFonts w:ascii="Verdana" w:hAnsi="Verdana"/>
          <w:sz w:val="20"/>
          <w:lang w:val="pt-BR"/>
        </w:rPr>
        <w:t>s medidas</w:t>
      </w:r>
      <w:r w:rsidR="0089298C" w:rsidRPr="002F50BD">
        <w:rPr>
          <w:rFonts w:ascii="Verdana" w:hAnsi="Verdana"/>
          <w:sz w:val="20"/>
          <w:lang w:val="pt-BR"/>
        </w:rPr>
        <w:t xml:space="preserve"> foi </w:t>
      </w:r>
      <w:r w:rsidRPr="002F50BD">
        <w:rPr>
          <w:rFonts w:ascii="Verdana" w:hAnsi="Verdana"/>
          <w:sz w:val="20"/>
          <w:lang w:val="pt-BR"/>
        </w:rPr>
        <w:t>confirmado</w:t>
      </w:r>
      <w:r w:rsidR="0089298C" w:rsidRPr="002F50BD">
        <w:rPr>
          <w:rFonts w:ascii="Verdana" w:hAnsi="Verdana"/>
          <w:sz w:val="20"/>
          <w:lang w:val="pt-BR"/>
        </w:rPr>
        <w:t xml:space="preserve"> pela </w:t>
      </w:r>
      <w:r w:rsidRPr="002F50BD">
        <w:rPr>
          <w:rFonts w:ascii="Verdana" w:hAnsi="Verdana"/>
          <w:sz w:val="20"/>
          <w:lang w:val="pt-BR"/>
        </w:rPr>
        <w:t xml:space="preserve">Corte Suprema de </w:t>
      </w:r>
      <w:r w:rsidR="0089298C" w:rsidRPr="002F50BD">
        <w:rPr>
          <w:rFonts w:ascii="Verdana" w:hAnsi="Verdana"/>
          <w:sz w:val="20"/>
          <w:lang w:val="pt-BR"/>
        </w:rPr>
        <w:t>Justiça</w:t>
      </w:r>
      <w:r w:rsidRPr="002F50BD">
        <w:rPr>
          <w:rFonts w:ascii="Verdana" w:hAnsi="Verdana"/>
          <w:sz w:val="20"/>
          <w:lang w:val="pt-BR"/>
        </w:rPr>
        <w:t xml:space="preserve">. </w:t>
      </w:r>
      <w:r w:rsidR="00DB51F0" w:rsidRPr="002F50BD">
        <w:rPr>
          <w:rFonts w:ascii="Verdana" w:hAnsi="Verdana"/>
          <w:sz w:val="20"/>
          <w:lang w:val="pt-BR"/>
        </w:rPr>
        <w:t>Além disso</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Instituto </w:t>
      </w:r>
      <w:r w:rsidR="0089298C" w:rsidRPr="002F50BD">
        <w:rPr>
          <w:rFonts w:ascii="Verdana" w:hAnsi="Verdana"/>
          <w:sz w:val="20"/>
          <w:lang w:val="pt-BR"/>
        </w:rPr>
        <w:t>Paraguai</w:t>
      </w:r>
      <w:r w:rsidRPr="002F50BD">
        <w:rPr>
          <w:rFonts w:ascii="Verdana" w:hAnsi="Verdana"/>
          <w:sz w:val="20"/>
          <w:lang w:val="pt-BR"/>
        </w:rPr>
        <w:t xml:space="preserve">o </w:t>
      </w:r>
      <w:r w:rsidR="0089298C" w:rsidRPr="002F50BD">
        <w:rPr>
          <w:rFonts w:ascii="Verdana" w:hAnsi="Verdana"/>
          <w:sz w:val="20"/>
          <w:lang w:val="pt-BR"/>
        </w:rPr>
        <w:t xml:space="preserve">do </w:t>
      </w:r>
      <w:r w:rsidRPr="002F50BD">
        <w:rPr>
          <w:rFonts w:ascii="Verdana" w:hAnsi="Verdana"/>
          <w:sz w:val="20"/>
          <w:lang w:val="pt-BR"/>
        </w:rPr>
        <w:t xml:space="preserve">Indígena </w:t>
      </w:r>
      <w:r w:rsidR="004F64EE" w:rsidRPr="002F50BD">
        <w:rPr>
          <w:rFonts w:ascii="Verdana" w:hAnsi="Verdana"/>
          <w:sz w:val="20"/>
          <w:lang w:val="pt-BR"/>
        </w:rPr>
        <w:t xml:space="preserve">também </w:t>
      </w:r>
      <w:r w:rsidR="0089298C" w:rsidRPr="002F50BD">
        <w:rPr>
          <w:rFonts w:ascii="Verdana" w:hAnsi="Verdana"/>
          <w:sz w:val="20"/>
          <w:lang w:val="pt-BR"/>
        </w:rPr>
        <w:t>apresentou</w:t>
      </w:r>
      <w:r w:rsidRPr="002F50BD">
        <w:rPr>
          <w:rFonts w:ascii="Verdana" w:hAnsi="Verdana"/>
          <w:sz w:val="20"/>
          <w:lang w:val="pt-BR"/>
        </w:rPr>
        <w:t xml:space="preserve"> </w:t>
      </w:r>
      <w:r w:rsidR="0089298C" w:rsidRPr="002F50BD">
        <w:rPr>
          <w:rFonts w:ascii="Verdana" w:hAnsi="Verdana"/>
          <w:sz w:val="20"/>
          <w:lang w:val="pt-BR"/>
        </w:rPr>
        <w:t xml:space="preserve">um </w:t>
      </w:r>
      <w:r w:rsidR="004F64EE" w:rsidRPr="002F50BD">
        <w:rPr>
          <w:rFonts w:ascii="Verdana" w:hAnsi="Verdana"/>
          <w:sz w:val="20"/>
          <w:lang w:val="pt-BR"/>
        </w:rPr>
        <w:t xml:space="preserve">pedido </w:t>
      </w:r>
      <w:r w:rsidRPr="002F50BD">
        <w:rPr>
          <w:rFonts w:ascii="Verdana" w:hAnsi="Verdana"/>
          <w:sz w:val="20"/>
          <w:lang w:val="pt-BR"/>
        </w:rPr>
        <w:t>de medidas cautelares para proteger</w:t>
      </w:r>
      <w:r w:rsidR="0089298C" w:rsidRPr="002F50BD">
        <w:rPr>
          <w:rFonts w:ascii="Verdana" w:hAnsi="Verdana"/>
          <w:sz w:val="20"/>
          <w:lang w:val="pt-BR"/>
        </w:rPr>
        <w:t xml:space="preserve"> a </w:t>
      </w:r>
      <w:r w:rsidRPr="002F50BD">
        <w:rPr>
          <w:rFonts w:ascii="Verdana" w:hAnsi="Verdana"/>
          <w:sz w:val="20"/>
          <w:lang w:val="pt-BR"/>
        </w:rPr>
        <w:t xml:space="preserve">parcela </w:t>
      </w:r>
      <w:r w:rsidR="0089298C" w:rsidRPr="002F50BD">
        <w:rPr>
          <w:rFonts w:ascii="Verdana" w:hAnsi="Verdana"/>
          <w:sz w:val="20"/>
          <w:lang w:val="pt-BR"/>
        </w:rPr>
        <w:t>do território</w:t>
      </w:r>
      <w:r w:rsidRPr="002F50BD">
        <w:rPr>
          <w:rFonts w:ascii="Verdana" w:hAnsi="Verdana"/>
          <w:sz w:val="20"/>
          <w:lang w:val="pt-BR"/>
        </w:rPr>
        <w:t xml:space="preserve"> reivindicada</w:t>
      </w:r>
      <w:r w:rsidR="0089298C" w:rsidRPr="002F50BD">
        <w:rPr>
          <w:rFonts w:ascii="Verdana" w:hAnsi="Verdana"/>
          <w:sz w:val="20"/>
          <w:lang w:val="pt-BR"/>
        </w:rPr>
        <w:t xml:space="preserve"> </w:t>
      </w:r>
      <w:r w:rsidR="00DB51F0" w:rsidRPr="002F50BD">
        <w:rPr>
          <w:rFonts w:ascii="Verdana" w:hAnsi="Verdana"/>
          <w:sz w:val="20"/>
          <w:lang w:val="pt-BR"/>
        </w:rPr>
        <w:t xml:space="preserve">enquanto </w:t>
      </w:r>
      <w:r w:rsidRPr="002F50BD">
        <w:rPr>
          <w:rFonts w:ascii="Verdana" w:hAnsi="Verdana"/>
          <w:sz w:val="20"/>
          <w:lang w:val="pt-BR"/>
        </w:rPr>
        <w:t>se resol</w:t>
      </w:r>
      <w:r w:rsidR="0089298C" w:rsidRPr="002F50BD">
        <w:rPr>
          <w:rFonts w:ascii="Verdana" w:hAnsi="Verdana"/>
          <w:sz w:val="20"/>
          <w:lang w:val="pt-BR"/>
        </w:rPr>
        <w:t xml:space="preserve">via a solicitação </w:t>
      </w:r>
      <w:r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apresentada </w:t>
      </w:r>
      <w:r w:rsidR="00DB51F0" w:rsidRPr="002F50BD">
        <w:rPr>
          <w:rFonts w:ascii="Verdana" w:hAnsi="Verdana"/>
          <w:sz w:val="20"/>
          <w:lang w:val="pt-BR"/>
        </w:rPr>
        <w:t>a</w:t>
      </w:r>
      <w:r w:rsidR="0089298C" w:rsidRPr="002F50BD">
        <w:rPr>
          <w:rFonts w:ascii="Verdana" w:hAnsi="Verdana"/>
          <w:sz w:val="20"/>
          <w:lang w:val="pt-BR"/>
        </w:rPr>
        <w:t>o Congresso</w:t>
      </w:r>
      <w:r w:rsidRPr="002F50BD">
        <w:rPr>
          <w:rFonts w:ascii="Verdana" w:hAnsi="Verdana"/>
          <w:sz w:val="20"/>
          <w:lang w:val="pt-BR"/>
        </w:rPr>
        <w:t>.</w:t>
      </w:r>
      <w:r w:rsidR="00FE08B7">
        <w:rPr>
          <w:rFonts w:ascii="Verdana" w:hAnsi="Verdana"/>
          <w:sz w:val="20"/>
          <w:lang w:val="pt-BR"/>
        </w:rPr>
        <w:t xml:space="preserve"> </w:t>
      </w:r>
      <w:r w:rsidR="0089298C" w:rsidRPr="002F50BD">
        <w:rPr>
          <w:rFonts w:ascii="Verdana" w:hAnsi="Verdana"/>
          <w:sz w:val="20"/>
          <w:lang w:val="pt-BR"/>
        </w:rPr>
        <w:t>Quando o Congresso</w:t>
      </w:r>
      <w:r w:rsidRPr="002F50BD">
        <w:rPr>
          <w:rFonts w:ascii="Verdana" w:hAnsi="Verdana"/>
          <w:sz w:val="20"/>
          <w:lang w:val="pt-BR"/>
        </w:rPr>
        <w:t xml:space="preserve"> re</w:t>
      </w:r>
      <w:r w:rsidR="00DB51F0" w:rsidRPr="002F50BD">
        <w:rPr>
          <w:rFonts w:ascii="Verdana" w:hAnsi="Verdana"/>
          <w:sz w:val="20"/>
          <w:lang w:val="pt-BR"/>
        </w:rPr>
        <w:t>jeitou</w:t>
      </w:r>
      <w:r w:rsidR="002C07CC">
        <w:rPr>
          <w:rFonts w:ascii="Verdana" w:hAnsi="Verdana"/>
          <w:sz w:val="20"/>
          <w:lang w:val="pt-BR"/>
        </w:rPr>
        <w:t xml:space="preserve"> o</w:t>
      </w:r>
      <w:r w:rsidR="0089298C" w:rsidRPr="002F50BD">
        <w:rPr>
          <w:rFonts w:ascii="Verdana" w:hAnsi="Verdana"/>
          <w:sz w:val="20"/>
          <w:lang w:val="pt-BR"/>
        </w:rPr>
        <w:t xml:space="preserve"> </w:t>
      </w:r>
      <w:r w:rsidRPr="002F50BD">
        <w:rPr>
          <w:rFonts w:ascii="Verdana" w:hAnsi="Verdana"/>
          <w:sz w:val="20"/>
          <w:lang w:val="pt-BR"/>
        </w:rPr>
        <w:t xml:space="preserve">referido </w:t>
      </w:r>
      <w:r w:rsidR="0089298C" w:rsidRPr="002F50BD">
        <w:rPr>
          <w:rFonts w:ascii="Verdana" w:hAnsi="Verdana"/>
          <w:sz w:val="20"/>
          <w:lang w:val="pt-BR"/>
        </w:rPr>
        <w:t>projeto</w:t>
      </w:r>
      <w:r w:rsidRPr="002F50BD">
        <w:rPr>
          <w:rFonts w:ascii="Verdana" w:hAnsi="Verdana"/>
          <w:sz w:val="20"/>
          <w:lang w:val="pt-BR"/>
        </w:rPr>
        <w:t>,</w:t>
      </w:r>
      <w:r w:rsidR="0089298C" w:rsidRPr="002F50BD">
        <w:rPr>
          <w:rFonts w:ascii="Verdana" w:hAnsi="Verdana"/>
          <w:sz w:val="20"/>
          <w:lang w:val="pt-BR"/>
        </w:rPr>
        <w:t xml:space="preserve"> o juiz</w:t>
      </w:r>
      <w:r w:rsidRPr="002F50BD">
        <w:rPr>
          <w:rFonts w:ascii="Verdana" w:hAnsi="Verdana"/>
          <w:sz w:val="20"/>
          <w:lang w:val="pt-BR"/>
        </w:rPr>
        <w:t xml:space="preserve"> </w:t>
      </w:r>
      <w:r w:rsidR="00791223" w:rsidRPr="002F50BD">
        <w:rPr>
          <w:rFonts w:ascii="Verdana" w:hAnsi="Verdana"/>
          <w:sz w:val="20"/>
          <w:lang w:val="pt-BR"/>
        </w:rPr>
        <w:t xml:space="preserve">suspendeu </w:t>
      </w:r>
      <w:r w:rsidR="0089298C" w:rsidRPr="002F50BD">
        <w:rPr>
          <w:rFonts w:ascii="Verdana" w:hAnsi="Verdana"/>
          <w:sz w:val="20"/>
          <w:lang w:val="pt-BR"/>
        </w:rPr>
        <w:t xml:space="preserve">as </w:t>
      </w:r>
      <w:r w:rsidRPr="002F50BD">
        <w:rPr>
          <w:rFonts w:ascii="Verdana" w:hAnsi="Verdana"/>
          <w:sz w:val="20"/>
          <w:lang w:val="pt-BR"/>
        </w:rPr>
        <w:t>medidas</w:t>
      </w:r>
      <w:r w:rsidR="0089298C" w:rsidRPr="002F50BD">
        <w:rPr>
          <w:rFonts w:ascii="Verdana" w:hAnsi="Verdana"/>
          <w:sz w:val="20"/>
          <w:lang w:val="pt-BR"/>
        </w:rPr>
        <w:t xml:space="preserve"> ao </w:t>
      </w:r>
      <w:r w:rsidRPr="002F50BD">
        <w:rPr>
          <w:rFonts w:ascii="Verdana" w:hAnsi="Verdana"/>
          <w:sz w:val="20"/>
          <w:lang w:val="pt-BR"/>
        </w:rPr>
        <w:t>considerar que</w:t>
      </w:r>
      <w:r w:rsidR="0089298C" w:rsidRPr="002F50BD">
        <w:rPr>
          <w:rFonts w:ascii="Verdana" w:hAnsi="Verdana"/>
          <w:sz w:val="20"/>
          <w:lang w:val="pt-BR"/>
        </w:rPr>
        <w:t xml:space="preserve"> já </w:t>
      </w:r>
      <w:r w:rsidRPr="002F50BD">
        <w:rPr>
          <w:rFonts w:ascii="Verdana" w:hAnsi="Verdana"/>
          <w:sz w:val="20"/>
          <w:lang w:val="pt-BR"/>
        </w:rPr>
        <w:t>n</w:t>
      </w:r>
      <w:r w:rsidR="00DB51F0"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existia um processo</w:t>
      </w:r>
      <w:r w:rsidRPr="002F50BD">
        <w:rPr>
          <w:rFonts w:ascii="Verdana" w:hAnsi="Verdana"/>
          <w:sz w:val="20"/>
          <w:lang w:val="pt-BR"/>
        </w:rPr>
        <w:t xml:space="preserve"> principal que permit</w:t>
      </w:r>
      <w:r w:rsidR="00791223" w:rsidRPr="002F50BD">
        <w:rPr>
          <w:rFonts w:ascii="Verdana" w:hAnsi="Verdana"/>
          <w:sz w:val="20"/>
          <w:lang w:val="pt-BR"/>
        </w:rPr>
        <w:t>isse</w:t>
      </w:r>
      <w:r w:rsidRPr="002F50BD">
        <w:rPr>
          <w:rFonts w:ascii="Verdana" w:hAnsi="Verdana"/>
          <w:sz w:val="20"/>
          <w:lang w:val="pt-BR"/>
        </w:rPr>
        <w:t xml:space="preserve"> su</w:t>
      </w:r>
      <w:r w:rsidR="00DB51F0" w:rsidRPr="002F50BD">
        <w:rPr>
          <w:rFonts w:ascii="Verdana" w:hAnsi="Verdana"/>
          <w:sz w:val="20"/>
          <w:lang w:val="pt-BR"/>
        </w:rPr>
        <w:t>a</w:t>
      </w:r>
      <w:r w:rsidRPr="002F50BD">
        <w:rPr>
          <w:rFonts w:ascii="Verdana" w:hAnsi="Verdana"/>
          <w:sz w:val="20"/>
          <w:lang w:val="pt-BR"/>
        </w:rPr>
        <w:t xml:space="preserve"> continuidad</w:t>
      </w:r>
      <w:r w:rsidR="00DB51F0" w:rsidRPr="002F50BD">
        <w:rPr>
          <w:rFonts w:ascii="Verdana" w:hAnsi="Verdana"/>
          <w:sz w:val="20"/>
          <w:lang w:val="pt-BR"/>
        </w:rPr>
        <w:t>e</w:t>
      </w:r>
      <w:r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b/>
          <w:sz w:val="20"/>
          <w:lang w:val="pt-BR"/>
        </w:rPr>
        <w:cr/>
      </w:r>
      <w:r w:rsidR="00791223" w:rsidRPr="002F50BD">
        <w:rPr>
          <w:rFonts w:ascii="Verdana" w:hAnsi="Verdana"/>
          <w:sz w:val="20"/>
          <w:lang w:val="pt-BR"/>
        </w:rPr>
        <w:t>A proposta feita</w:t>
      </w:r>
      <w:r w:rsidRPr="002F50BD">
        <w:rPr>
          <w:rFonts w:ascii="Verdana" w:hAnsi="Verdana"/>
          <w:sz w:val="20"/>
          <w:lang w:val="pt-BR"/>
        </w:rPr>
        <w:t xml:space="preserve"> pelo </w:t>
      </w:r>
      <w:r w:rsidR="004756C1" w:rsidRPr="002F50BD">
        <w:rPr>
          <w:rFonts w:ascii="Verdana" w:hAnsi="Verdana"/>
          <w:sz w:val="20"/>
          <w:lang w:val="pt-BR"/>
        </w:rPr>
        <w:t>Estado</w:t>
      </w:r>
      <w:r w:rsidRPr="002F50BD">
        <w:rPr>
          <w:rFonts w:ascii="Verdana" w:hAnsi="Verdana"/>
          <w:sz w:val="20"/>
          <w:lang w:val="pt-BR"/>
        </w:rPr>
        <w:t xml:space="preserve"> em várias</w:t>
      </w:r>
      <w:r w:rsidR="004756C1" w:rsidRPr="002F50BD">
        <w:rPr>
          <w:rFonts w:ascii="Verdana" w:hAnsi="Verdana"/>
          <w:sz w:val="20"/>
          <w:lang w:val="pt-BR"/>
        </w:rPr>
        <w:t xml:space="preserve"> oportunidades de </w:t>
      </w:r>
      <w:r w:rsidR="004F64EE" w:rsidRPr="002F50BD">
        <w:rPr>
          <w:rFonts w:ascii="Verdana" w:hAnsi="Verdana"/>
          <w:sz w:val="20"/>
          <w:lang w:val="pt-BR"/>
        </w:rPr>
        <w:t>assentar</w:t>
      </w:r>
      <w:r w:rsidR="00DB51F0" w:rsidRPr="002F50BD">
        <w:rPr>
          <w:rFonts w:ascii="Verdana" w:hAnsi="Verdana"/>
          <w:sz w:val="20"/>
          <w:lang w:val="pt-BR"/>
        </w:rPr>
        <w:t xml:space="preserve"> </w:t>
      </w:r>
      <w:r w:rsidRPr="002F50BD">
        <w:rPr>
          <w:rFonts w:ascii="Verdana" w:hAnsi="Verdana"/>
          <w:sz w:val="20"/>
          <w:lang w:val="pt-BR"/>
        </w:rPr>
        <w:t>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em terra</w:t>
      </w:r>
      <w:r w:rsidR="004756C1" w:rsidRPr="002F50BD">
        <w:rPr>
          <w:rFonts w:ascii="Verdana" w:hAnsi="Verdana"/>
          <w:sz w:val="20"/>
          <w:lang w:val="pt-BR"/>
        </w:rPr>
        <w:t>s alternativas</w:t>
      </w:r>
      <w:r w:rsidRPr="002F50BD">
        <w:rPr>
          <w:rFonts w:ascii="Verdana" w:hAnsi="Verdana"/>
          <w:sz w:val="20"/>
          <w:lang w:val="pt-BR"/>
        </w:rPr>
        <w:t xml:space="preserve"> foi </w:t>
      </w:r>
      <w:r w:rsidR="004F64EE" w:rsidRPr="002F50BD">
        <w:rPr>
          <w:rFonts w:ascii="Verdana" w:hAnsi="Verdana"/>
          <w:sz w:val="20"/>
          <w:lang w:val="pt-BR"/>
        </w:rPr>
        <w:t>rejeitado</w:t>
      </w:r>
      <w:r w:rsidR="00DB51F0" w:rsidRPr="002F50BD">
        <w:rPr>
          <w:rFonts w:ascii="Verdana" w:hAnsi="Verdana"/>
          <w:sz w:val="20"/>
          <w:lang w:val="pt-BR"/>
        </w:rPr>
        <w:t>,</w:t>
      </w:r>
      <w:r w:rsidR="004756C1" w:rsidRPr="002F50BD">
        <w:rPr>
          <w:rFonts w:ascii="Verdana" w:hAnsi="Verdana"/>
          <w:sz w:val="20"/>
          <w:lang w:val="pt-BR"/>
        </w:rPr>
        <w:t xml:space="preserve"> principalmente porque</w:t>
      </w:r>
      <w:r w:rsidRPr="002F50BD">
        <w:rPr>
          <w:rFonts w:ascii="Verdana" w:hAnsi="Verdana"/>
          <w:sz w:val="20"/>
          <w:lang w:val="pt-BR"/>
        </w:rPr>
        <w:t xml:space="preserve"> essas </w:t>
      </w:r>
      <w:r w:rsidR="004756C1" w:rsidRPr="002F50BD">
        <w:rPr>
          <w:rFonts w:ascii="Verdana" w:hAnsi="Verdana"/>
          <w:sz w:val="20"/>
          <w:lang w:val="pt-BR"/>
        </w:rPr>
        <w:t xml:space="preserve">ofertas </w:t>
      </w:r>
      <w:r w:rsidR="00DB51F0" w:rsidRPr="002F50BD">
        <w:rPr>
          <w:rFonts w:ascii="Verdana" w:hAnsi="Verdana"/>
          <w:sz w:val="20"/>
          <w:lang w:val="pt-BR"/>
        </w:rPr>
        <w:t xml:space="preserve">prejudicavam </w:t>
      </w:r>
      <w:r w:rsidRPr="002F50BD">
        <w:rPr>
          <w:rFonts w:ascii="Verdana" w:hAnsi="Verdana"/>
          <w:sz w:val="20"/>
          <w:lang w:val="pt-BR"/>
        </w:rPr>
        <w:t>outros</w:t>
      </w:r>
      <w:r w:rsidR="004756C1" w:rsidRPr="002F50BD">
        <w:rPr>
          <w:rFonts w:ascii="Verdana" w:hAnsi="Verdana"/>
          <w:sz w:val="20"/>
          <w:lang w:val="pt-BR"/>
        </w:rPr>
        <w:t xml:space="preserve"> </w:t>
      </w:r>
      <w:r w:rsidRPr="002F50BD">
        <w:rPr>
          <w:rFonts w:ascii="Verdana" w:hAnsi="Verdana"/>
          <w:sz w:val="20"/>
          <w:lang w:val="pt-BR"/>
        </w:rPr>
        <w:t>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comunidades indígenas</w:t>
      </w:r>
      <w:r w:rsidRPr="002F50BD">
        <w:rPr>
          <w:rFonts w:ascii="Verdana" w:hAnsi="Verdana"/>
          <w:sz w:val="20"/>
          <w:lang w:val="pt-BR"/>
        </w:rPr>
        <w:t xml:space="preserve"> e</w:t>
      </w:r>
      <w:r w:rsidR="00791223" w:rsidRPr="002F50BD">
        <w:rPr>
          <w:rFonts w:ascii="Verdana" w:hAnsi="Verdana"/>
          <w:sz w:val="20"/>
          <w:lang w:val="pt-BR"/>
        </w:rPr>
        <w:t>,</w:t>
      </w:r>
      <w:r w:rsidRPr="002F50BD">
        <w:rPr>
          <w:rFonts w:ascii="Verdana" w:hAnsi="Verdana"/>
          <w:sz w:val="20"/>
          <w:lang w:val="pt-BR"/>
        </w:rPr>
        <w:t xml:space="preserve"> em muito</w:t>
      </w:r>
      <w:r w:rsidR="004756C1" w:rsidRPr="002F50BD">
        <w:rPr>
          <w:rFonts w:ascii="Verdana" w:hAnsi="Verdana"/>
          <w:sz w:val="20"/>
          <w:lang w:val="pt-BR"/>
        </w:rPr>
        <w:t xml:space="preserve">s </w:t>
      </w:r>
      <w:r w:rsidR="004756C1" w:rsidRPr="002F50BD">
        <w:rPr>
          <w:rFonts w:ascii="Verdana" w:hAnsi="Verdana"/>
          <w:sz w:val="20"/>
          <w:lang w:val="pt-BR"/>
        </w:rPr>
        <w:lastRenderedPageBreak/>
        <w:t>casos</w:t>
      </w:r>
      <w:r w:rsidR="00791223" w:rsidRPr="002F50BD">
        <w:rPr>
          <w:rFonts w:ascii="Verdana" w:hAnsi="Verdana"/>
          <w:sz w:val="20"/>
          <w:lang w:val="pt-BR"/>
        </w:rPr>
        <w:t>,</w:t>
      </w:r>
      <w:r w:rsidRPr="002F50BD">
        <w:rPr>
          <w:rFonts w:ascii="Verdana" w:hAnsi="Verdana"/>
          <w:sz w:val="20"/>
          <w:lang w:val="pt-BR"/>
        </w:rPr>
        <w:t xml:space="preserve"> </w:t>
      </w:r>
      <w:r w:rsidR="00DB51F0" w:rsidRPr="002F50BD">
        <w:rPr>
          <w:rFonts w:ascii="Verdana" w:hAnsi="Verdana"/>
          <w:sz w:val="20"/>
          <w:lang w:val="pt-BR"/>
        </w:rPr>
        <w:t xml:space="preserve">a mudança </w:t>
      </w:r>
      <w:r w:rsidR="004076AD" w:rsidRPr="002F50BD">
        <w:rPr>
          <w:rFonts w:ascii="Verdana" w:hAnsi="Verdana"/>
          <w:sz w:val="20"/>
          <w:lang w:val="pt-BR"/>
        </w:rPr>
        <w:t xml:space="preserve">não era </w:t>
      </w:r>
      <w:r w:rsidR="00DB51F0" w:rsidRPr="002F50BD">
        <w:rPr>
          <w:rFonts w:ascii="Verdana" w:hAnsi="Verdana"/>
          <w:sz w:val="20"/>
          <w:lang w:val="pt-BR"/>
        </w:rPr>
        <w:t>transit</w:t>
      </w:r>
      <w:r w:rsidR="004F64EE" w:rsidRPr="002F50BD">
        <w:rPr>
          <w:rFonts w:ascii="Verdana" w:hAnsi="Verdana"/>
          <w:sz w:val="20"/>
          <w:lang w:val="pt-BR"/>
        </w:rPr>
        <w:t>ó</w:t>
      </w:r>
      <w:r w:rsidR="00DB51F0" w:rsidRPr="002F50BD">
        <w:rPr>
          <w:rFonts w:ascii="Verdana" w:hAnsi="Verdana"/>
          <w:sz w:val="20"/>
          <w:lang w:val="pt-BR"/>
        </w:rPr>
        <w:t>ria,</w:t>
      </w:r>
      <w:r w:rsidRPr="002F50BD">
        <w:rPr>
          <w:rFonts w:ascii="Verdana" w:hAnsi="Verdana"/>
          <w:sz w:val="20"/>
          <w:lang w:val="pt-BR"/>
        </w:rPr>
        <w:t xml:space="preserve"> </w:t>
      </w:r>
      <w:r w:rsidR="00DB51F0" w:rsidRPr="002F50BD">
        <w:rPr>
          <w:rFonts w:ascii="Verdana" w:hAnsi="Verdana"/>
          <w:sz w:val="20"/>
          <w:lang w:val="pt-BR"/>
        </w:rPr>
        <w:t>mas definitiva</w:t>
      </w:r>
      <w:r w:rsidR="004756C1" w:rsidRPr="002F50BD">
        <w:rPr>
          <w:rFonts w:ascii="Verdana" w:hAnsi="Verdana"/>
          <w:sz w:val="20"/>
          <w:lang w:val="pt-BR"/>
        </w:rPr>
        <w:t xml:space="preserve">. </w:t>
      </w:r>
      <w:r w:rsidR="002C07CC">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w:t>
      </w:r>
      <w:r w:rsidR="002C07CC">
        <w:rPr>
          <w:rFonts w:ascii="Verdana" w:hAnsi="Verdana"/>
          <w:sz w:val="20"/>
          <w:lang w:val="pt-BR"/>
        </w:rPr>
        <w:t xml:space="preserve">em nenhum momento </w:t>
      </w:r>
      <w:r w:rsidRPr="002F50BD">
        <w:rPr>
          <w:rFonts w:ascii="Verdana" w:hAnsi="Verdana"/>
          <w:sz w:val="20"/>
          <w:lang w:val="pt-BR"/>
        </w:rPr>
        <w:t>est</w:t>
      </w:r>
      <w:r w:rsidR="00DB51F0" w:rsidRPr="002F50BD">
        <w:rPr>
          <w:rFonts w:ascii="Verdana" w:hAnsi="Verdana"/>
          <w:sz w:val="20"/>
          <w:lang w:val="pt-BR"/>
        </w:rPr>
        <w:t>a</w:t>
      </w:r>
      <w:r w:rsidRPr="002F50BD">
        <w:rPr>
          <w:rFonts w:ascii="Verdana" w:hAnsi="Verdana"/>
          <w:sz w:val="20"/>
          <w:lang w:val="pt-BR"/>
        </w:rPr>
        <w:t xml:space="preserve">s </w:t>
      </w:r>
      <w:r w:rsidR="00DB51F0" w:rsidRPr="002F50BD">
        <w:rPr>
          <w:rFonts w:ascii="Verdana" w:hAnsi="Verdana"/>
          <w:sz w:val="20"/>
          <w:lang w:val="pt-BR"/>
        </w:rPr>
        <w:t>ofertas</w:t>
      </w:r>
      <w:r w:rsidR="004756C1" w:rsidRPr="002F50BD">
        <w:rPr>
          <w:rFonts w:ascii="Verdana" w:hAnsi="Verdana"/>
          <w:sz w:val="20"/>
          <w:lang w:val="pt-BR"/>
        </w:rPr>
        <w:t xml:space="preserve"> implica</w:t>
      </w:r>
      <w:r w:rsidR="00DB51F0" w:rsidRPr="002F50BD">
        <w:rPr>
          <w:rFonts w:ascii="Verdana" w:hAnsi="Verdana"/>
          <w:sz w:val="20"/>
          <w:lang w:val="pt-BR"/>
        </w:rPr>
        <w:t>vam</w:t>
      </w:r>
      <w:r w:rsidRPr="002F50BD">
        <w:rPr>
          <w:rFonts w:ascii="Verdana" w:hAnsi="Verdana"/>
          <w:sz w:val="20"/>
          <w:lang w:val="pt-BR"/>
        </w:rPr>
        <w:t xml:space="preserve"> </w:t>
      </w:r>
      <w:r w:rsidR="00791223" w:rsidRPr="002F50BD">
        <w:rPr>
          <w:rFonts w:ascii="Verdana" w:hAnsi="Verdana"/>
          <w:sz w:val="20"/>
          <w:lang w:val="pt-BR"/>
        </w:rPr>
        <w:t>n</w:t>
      </w:r>
      <w:r w:rsidRPr="002F50BD">
        <w:rPr>
          <w:rFonts w:ascii="Verdana" w:hAnsi="Verdana"/>
          <w:sz w:val="20"/>
          <w:lang w:val="pt-BR"/>
        </w:rPr>
        <w:t>a existência</w:t>
      </w:r>
      <w:r w:rsidR="004756C1" w:rsidRPr="002F50BD">
        <w:rPr>
          <w:rFonts w:ascii="Verdana" w:hAnsi="Verdana"/>
          <w:sz w:val="20"/>
          <w:lang w:val="pt-BR"/>
        </w:rPr>
        <w:t xml:space="preserve"> de </w:t>
      </w:r>
      <w:r w:rsidR="00DB51F0" w:rsidRPr="002F50BD">
        <w:rPr>
          <w:rFonts w:ascii="Verdana" w:hAnsi="Verdana"/>
          <w:sz w:val="20"/>
          <w:lang w:val="pt-BR"/>
        </w:rPr>
        <w:t xml:space="preserve">fundos </w:t>
      </w:r>
      <w:r w:rsidR="004756C1" w:rsidRPr="002F50BD">
        <w:rPr>
          <w:rFonts w:ascii="Verdana" w:hAnsi="Verdana"/>
          <w:sz w:val="20"/>
          <w:lang w:val="pt-BR"/>
        </w:rPr>
        <w:t>suficientes para comprar</w:t>
      </w:r>
      <w:r w:rsidRPr="002F50BD">
        <w:rPr>
          <w:rFonts w:ascii="Verdana" w:hAnsi="Verdana"/>
          <w:sz w:val="20"/>
          <w:lang w:val="pt-BR"/>
        </w:rPr>
        <w:t xml:space="preserve"> as terra</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tam</w:t>
      </w:r>
      <w:r w:rsidRPr="002F50BD">
        <w:rPr>
          <w:rFonts w:ascii="Verdana" w:hAnsi="Verdana"/>
          <w:sz w:val="20"/>
          <w:lang w:val="pt-BR"/>
        </w:rPr>
        <w:t>pouco havia</w:t>
      </w:r>
      <w:r w:rsidR="004F64EE" w:rsidRPr="002F50BD">
        <w:rPr>
          <w:rFonts w:ascii="Verdana" w:hAnsi="Verdana"/>
          <w:sz w:val="20"/>
          <w:lang w:val="pt-BR"/>
        </w:rPr>
        <w:t>m</w:t>
      </w:r>
      <w:r w:rsidR="004756C1" w:rsidRPr="002F50BD">
        <w:rPr>
          <w:rFonts w:ascii="Verdana" w:hAnsi="Verdana"/>
          <w:sz w:val="20"/>
          <w:lang w:val="pt-BR"/>
        </w:rPr>
        <w:t xml:space="preserve"> sido consultada</w:t>
      </w:r>
      <w:r w:rsidR="004F64EE" w:rsidRPr="002F50BD">
        <w:rPr>
          <w:rFonts w:ascii="Verdana" w:hAnsi="Verdana"/>
          <w:sz w:val="20"/>
          <w:lang w:val="pt-BR"/>
        </w:rPr>
        <w:t>s</w:t>
      </w:r>
      <w:r w:rsidR="004756C1" w:rsidRPr="002F50BD">
        <w:rPr>
          <w:rFonts w:ascii="Verdana" w:hAnsi="Verdana"/>
          <w:sz w:val="20"/>
          <w:lang w:val="pt-BR"/>
        </w:rPr>
        <w:t xml:space="preserve"> previamente</w:t>
      </w:r>
      <w:r w:rsidRPr="002F50BD">
        <w:rPr>
          <w:rFonts w:ascii="Verdana" w:hAnsi="Verdana"/>
          <w:sz w:val="20"/>
          <w:lang w:val="pt-BR"/>
        </w:rPr>
        <w:t xml:space="preserve"> </w:t>
      </w:r>
      <w:r w:rsidR="00791223" w:rsidRPr="002F50BD">
        <w:rPr>
          <w:rFonts w:ascii="Verdana" w:hAnsi="Verdana"/>
          <w:sz w:val="20"/>
          <w:lang w:val="pt-BR"/>
        </w:rPr>
        <w:t>junto à</w:t>
      </w:r>
      <w:r w:rsidRPr="002F50BD">
        <w:rPr>
          <w:rFonts w:ascii="Verdana" w:hAnsi="Verdana"/>
          <w:sz w:val="20"/>
          <w:lang w:val="pt-BR"/>
        </w:rPr>
        <w:t xml:space="preserve"> </w:t>
      </w:r>
      <w:r w:rsidR="00A50140" w:rsidRPr="002F50BD">
        <w:rPr>
          <w:rFonts w:ascii="Verdana" w:hAnsi="Verdana"/>
          <w:sz w:val="20"/>
          <w:lang w:val="pt-BR"/>
        </w:rPr>
        <w:t>Comunidade.</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b/>
          <w:sz w:val="20"/>
          <w:lang w:val="pt-BR"/>
        </w:rPr>
      </w:pPr>
      <w:r w:rsidRPr="002F50BD">
        <w:rPr>
          <w:rFonts w:ascii="Verdana" w:hAnsi="Verdana"/>
          <w:b/>
          <w:sz w:val="20"/>
          <w:lang w:val="pt-BR"/>
        </w:rPr>
        <w:t>f.</w:t>
      </w:r>
      <w:r w:rsidRPr="002F50BD">
        <w:rPr>
          <w:rFonts w:ascii="Verdana" w:hAnsi="Verdana"/>
          <w:b/>
          <w:sz w:val="20"/>
          <w:lang w:val="pt-BR"/>
        </w:rPr>
        <w:tab/>
        <w:t>Bartomeu Melia i Lliteres, perito</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Até o ano </w:t>
      </w:r>
      <w:r w:rsidR="000C1039" w:rsidRPr="002F50BD">
        <w:rPr>
          <w:rFonts w:ascii="Verdana" w:hAnsi="Verdana"/>
          <w:sz w:val="20"/>
          <w:lang w:val="pt-BR"/>
        </w:rPr>
        <w:t xml:space="preserve">de </w:t>
      </w:r>
      <w:r w:rsidR="00063B47" w:rsidRPr="002F50BD">
        <w:rPr>
          <w:rFonts w:ascii="Verdana" w:hAnsi="Verdana"/>
          <w:sz w:val="20"/>
          <w:lang w:val="pt-BR"/>
        </w:rPr>
        <w:t>1883</w:t>
      </w:r>
      <w:r w:rsidR="004756C1" w:rsidRPr="002F50BD">
        <w:rPr>
          <w:rFonts w:ascii="Verdana" w:hAnsi="Verdana"/>
          <w:sz w:val="20"/>
          <w:lang w:val="pt-BR"/>
        </w:rPr>
        <w:t xml:space="preserve">, </w:t>
      </w:r>
      <w:r w:rsidRPr="002F50BD">
        <w:rPr>
          <w:rFonts w:ascii="Verdana" w:hAnsi="Verdana"/>
          <w:sz w:val="20"/>
          <w:lang w:val="pt-BR"/>
        </w:rPr>
        <w:t xml:space="preserve">depois da grande </w:t>
      </w:r>
      <w:r w:rsidR="004F64EE" w:rsidRPr="002F50BD">
        <w:rPr>
          <w:rFonts w:ascii="Verdana" w:hAnsi="Verdana"/>
          <w:sz w:val="20"/>
          <w:lang w:val="pt-BR"/>
        </w:rPr>
        <w:t>guerra do</w:t>
      </w:r>
      <w:r w:rsidR="004756C1" w:rsidRPr="002F50BD">
        <w:rPr>
          <w:rFonts w:ascii="Verdana" w:hAnsi="Verdana"/>
          <w:sz w:val="20"/>
          <w:lang w:val="pt-BR"/>
        </w:rPr>
        <w:t xml:space="preserve"> </w:t>
      </w:r>
      <w:r w:rsidRPr="002F50BD">
        <w:rPr>
          <w:rFonts w:ascii="Verdana" w:hAnsi="Verdana"/>
          <w:sz w:val="20"/>
          <w:lang w:val="pt-BR"/>
        </w:rPr>
        <w:t>Paraguai</w:t>
      </w:r>
      <w:r w:rsidR="004756C1" w:rsidRPr="002F50BD">
        <w:rPr>
          <w:rFonts w:ascii="Verdana" w:hAnsi="Verdana"/>
          <w:sz w:val="20"/>
          <w:lang w:val="pt-BR"/>
        </w:rPr>
        <w:t xml:space="preserve"> contra Argentina, Brasil</w:t>
      </w:r>
      <w:r w:rsidRPr="002F50BD">
        <w:rPr>
          <w:rFonts w:ascii="Verdana" w:hAnsi="Verdana"/>
          <w:sz w:val="20"/>
          <w:lang w:val="pt-BR"/>
        </w:rPr>
        <w:t xml:space="preserve"> e </w:t>
      </w:r>
      <w:r w:rsidR="004F64EE" w:rsidRPr="002F50BD">
        <w:rPr>
          <w:rFonts w:ascii="Verdana" w:hAnsi="Verdana"/>
          <w:sz w:val="20"/>
          <w:lang w:val="pt-BR"/>
        </w:rPr>
        <w:t>Uruguai</w:t>
      </w:r>
      <w:r w:rsidR="004756C1" w:rsidRPr="002F50BD">
        <w:rPr>
          <w:rFonts w:ascii="Verdana" w:hAnsi="Verdana"/>
          <w:sz w:val="20"/>
          <w:lang w:val="pt-BR"/>
        </w:rPr>
        <w:t>,</w:t>
      </w:r>
      <w:r w:rsidRPr="002F50BD">
        <w:rPr>
          <w:rFonts w:ascii="Verdana" w:hAnsi="Verdana"/>
          <w:sz w:val="20"/>
          <w:lang w:val="pt-BR"/>
        </w:rPr>
        <w:t xml:space="preserve"> a região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Chaco n</w:t>
      </w:r>
      <w:r w:rsidR="000C1039"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conheceu outra população</w:t>
      </w:r>
      <w:r w:rsidR="004756C1" w:rsidRPr="002F50BD">
        <w:rPr>
          <w:rFonts w:ascii="Verdana" w:hAnsi="Verdana"/>
          <w:sz w:val="20"/>
          <w:lang w:val="pt-BR"/>
        </w:rPr>
        <w:t xml:space="preserve"> </w:t>
      </w:r>
      <w:r w:rsidR="00EC31B9" w:rsidRPr="002F50BD">
        <w:rPr>
          <w:rFonts w:ascii="Verdana" w:hAnsi="Verdana"/>
          <w:sz w:val="20"/>
          <w:lang w:val="pt-BR"/>
        </w:rPr>
        <w:t xml:space="preserve">além </w:t>
      </w:r>
      <w:r w:rsidR="000C1039" w:rsidRPr="002F50BD">
        <w:rPr>
          <w:rFonts w:ascii="Verdana" w:hAnsi="Verdana"/>
          <w:sz w:val="20"/>
          <w:lang w:val="pt-BR"/>
        </w:rPr>
        <w:t>d</w:t>
      </w:r>
      <w:r w:rsidRPr="002F50BD">
        <w:rPr>
          <w:rFonts w:ascii="Verdana" w:hAnsi="Verdana"/>
          <w:sz w:val="20"/>
          <w:lang w:val="pt-BR"/>
        </w:rPr>
        <w:t xml:space="preserve">a </w:t>
      </w:r>
      <w:r w:rsidR="004756C1" w:rsidRPr="002F50BD">
        <w:rPr>
          <w:rFonts w:ascii="Verdana" w:hAnsi="Verdana"/>
          <w:sz w:val="20"/>
          <w:lang w:val="pt-BR"/>
        </w:rPr>
        <w:t>indígena.</w:t>
      </w:r>
      <w:r w:rsidRPr="002F50BD">
        <w:rPr>
          <w:rFonts w:ascii="Verdana" w:hAnsi="Verdana"/>
          <w:sz w:val="20"/>
          <w:lang w:val="pt-BR"/>
        </w:rPr>
        <w:t xml:space="preserve"> </w:t>
      </w:r>
      <w:r w:rsidR="000C1039" w:rsidRPr="002F50BD">
        <w:rPr>
          <w:rFonts w:ascii="Verdana" w:hAnsi="Verdana"/>
          <w:sz w:val="20"/>
          <w:lang w:val="pt-BR"/>
        </w:rPr>
        <w:t>N</w:t>
      </w:r>
      <w:r w:rsidRPr="002F50BD">
        <w:rPr>
          <w:rFonts w:ascii="Verdana" w:hAnsi="Verdana"/>
          <w:sz w:val="20"/>
          <w:lang w:val="pt-BR"/>
        </w:rPr>
        <w:t xml:space="preserve">o Século </w:t>
      </w:r>
      <w:r w:rsidR="004756C1" w:rsidRPr="002F50BD">
        <w:rPr>
          <w:rFonts w:ascii="Verdana" w:hAnsi="Verdana"/>
          <w:sz w:val="20"/>
          <w:lang w:val="pt-BR"/>
        </w:rPr>
        <w:t>XX</w:t>
      </w:r>
      <w:r w:rsidR="00EC31B9" w:rsidRPr="002F50BD">
        <w:rPr>
          <w:rFonts w:ascii="Verdana" w:hAnsi="Verdana"/>
          <w:sz w:val="20"/>
          <w:lang w:val="pt-BR"/>
        </w:rPr>
        <w:t>,</w:t>
      </w:r>
      <w:r w:rsidR="004756C1" w:rsidRPr="002F50BD">
        <w:rPr>
          <w:rFonts w:ascii="Verdana" w:hAnsi="Verdana"/>
          <w:sz w:val="20"/>
          <w:lang w:val="pt-BR"/>
        </w:rPr>
        <w:t xml:space="preserve"> esta parte </w:t>
      </w:r>
      <w:r w:rsidRPr="002F50BD">
        <w:rPr>
          <w:rFonts w:ascii="Verdana" w:hAnsi="Verdana"/>
          <w:sz w:val="20"/>
          <w:lang w:val="pt-BR"/>
        </w:rPr>
        <w:t xml:space="preserve">do </w:t>
      </w:r>
      <w:r w:rsidR="004756C1" w:rsidRPr="002F50BD">
        <w:rPr>
          <w:rFonts w:ascii="Verdana" w:hAnsi="Verdana"/>
          <w:sz w:val="20"/>
          <w:lang w:val="pt-BR"/>
        </w:rPr>
        <w:t>Chaco</w:t>
      </w:r>
      <w:r w:rsidRPr="002F50BD">
        <w:rPr>
          <w:rFonts w:ascii="Verdana" w:hAnsi="Verdana"/>
          <w:sz w:val="20"/>
          <w:lang w:val="pt-BR"/>
        </w:rPr>
        <w:t xml:space="preserve"> foi </w:t>
      </w:r>
      <w:r w:rsidR="004756C1" w:rsidRPr="002F50BD">
        <w:rPr>
          <w:rFonts w:ascii="Verdana" w:hAnsi="Verdana"/>
          <w:sz w:val="20"/>
          <w:lang w:val="pt-BR"/>
        </w:rPr>
        <w:t>vendida</w:t>
      </w:r>
      <w:r w:rsidRPr="002F50BD">
        <w:rPr>
          <w:rFonts w:ascii="Verdana" w:hAnsi="Verdana"/>
          <w:sz w:val="20"/>
          <w:lang w:val="pt-BR"/>
        </w:rPr>
        <w:t xml:space="preserve"> em </w:t>
      </w:r>
      <w:r w:rsidR="004756C1" w:rsidRPr="002F50BD">
        <w:rPr>
          <w:rFonts w:ascii="Verdana" w:hAnsi="Verdana"/>
          <w:sz w:val="20"/>
          <w:lang w:val="pt-BR"/>
        </w:rPr>
        <w:t>ex</w:t>
      </w:r>
      <w:r w:rsidRPr="002F50BD">
        <w:rPr>
          <w:rFonts w:ascii="Verdana" w:hAnsi="Verdana"/>
          <w:sz w:val="20"/>
          <w:lang w:val="pt-BR"/>
        </w:rPr>
        <w:t>tensões</w:t>
      </w:r>
      <w:r w:rsidR="004756C1" w:rsidRPr="002F50BD">
        <w:rPr>
          <w:rFonts w:ascii="Verdana" w:hAnsi="Verdana"/>
          <w:sz w:val="20"/>
          <w:lang w:val="pt-BR"/>
        </w:rPr>
        <w:t xml:space="preserve"> enormes</w:t>
      </w:r>
      <w:r w:rsidR="00AB454A" w:rsidRPr="002F50BD">
        <w:rPr>
          <w:rFonts w:ascii="Verdana" w:hAnsi="Verdana"/>
          <w:sz w:val="20"/>
          <w:lang w:val="pt-BR"/>
        </w:rPr>
        <w:t xml:space="preserve">. A </w:t>
      </w:r>
      <w:r w:rsidRPr="002F50BD">
        <w:rPr>
          <w:rFonts w:ascii="Verdana" w:hAnsi="Verdana"/>
          <w:sz w:val="20"/>
          <w:lang w:val="pt-BR"/>
        </w:rPr>
        <w:t>existência</w:t>
      </w:r>
      <w:r w:rsidR="004756C1" w:rsidRPr="002F50BD">
        <w:rPr>
          <w:rFonts w:ascii="Verdana" w:hAnsi="Verdana"/>
          <w:sz w:val="20"/>
          <w:lang w:val="pt-BR"/>
        </w:rPr>
        <w:t xml:space="preserve"> </w:t>
      </w:r>
      <w:r w:rsidRPr="002F50BD">
        <w:rPr>
          <w:rFonts w:ascii="Verdana" w:hAnsi="Verdana"/>
          <w:sz w:val="20"/>
          <w:lang w:val="pt-BR"/>
        </w:rPr>
        <w:t xml:space="preserve">destes </w:t>
      </w:r>
      <w:r w:rsidR="004756C1" w:rsidRPr="002F50BD">
        <w:rPr>
          <w:rFonts w:ascii="Verdana" w:hAnsi="Verdana"/>
          <w:sz w:val="20"/>
          <w:lang w:val="pt-BR"/>
        </w:rPr>
        <w:t>indígenas</w:t>
      </w:r>
      <w:r w:rsidRPr="002F50BD">
        <w:rPr>
          <w:rFonts w:ascii="Verdana" w:hAnsi="Verdana"/>
          <w:sz w:val="20"/>
          <w:lang w:val="pt-BR"/>
        </w:rPr>
        <w:t xml:space="preserve"> no </w:t>
      </w:r>
      <w:r w:rsidR="004756C1" w:rsidRPr="002F50BD">
        <w:rPr>
          <w:rFonts w:ascii="Verdana" w:hAnsi="Verdana"/>
          <w:sz w:val="20"/>
          <w:lang w:val="pt-BR"/>
        </w:rPr>
        <w:t>Chaco,</w:t>
      </w:r>
      <w:r w:rsidRPr="002F50BD">
        <w:rPr>
          <w:rFonts w:ascii="Verdana" w:hAnsi="Verdana"/>
          <w:sz w:val="20"/>
          <w:lang w:val="pt-BR"/>
        </w:rPr>
        <w:t xml:space="preserve"> </w:t>
      </w:r>
      <w:r w:rsidR="00EC31B9" w:rsidRPr="002F50BD">
        <w:rPr>
          <w:rFonts w:ascii="Verdana" w:hAnsi="Verdana"/>
          <w:sz w:val="20"/>
          <w:lang w:val="pt-BR"/>
        </w:rPr>
        <w:t xml:space="preserve">em relação </w:t>
      </w:r>
      <w:r w:rsidR="004756C1" w:rsidRPr="002F50BD">
        <w:rPr>
          <w:rFonts w:ascii="Verdana" w:hAnsi="Verdana"/>
          <w:sz w:val="20"/>
          <w:lang w:val="pt-BR"/>
        </w:rPr>
        <w:t xml:space="preserve">a </w:t>
      </w:r>
      <w:r w:rsidRPr="002F50BD">
        <w:rPr>
          <w:rFonts w:ascii="Verdana" w:hAnsi="Verdana"/>
          <w:sz w:val="20"/>
          <w:lang w:val="pt-BR"/>
        </w:rPr>
        <w:t>seus direitos</w:t>
      </w:r>
      <w:r w:rsidR="004756C1" w:rsidRPr="002F50BD">
        <w:rPr>
          <w:rFonts w:ascii="Verdana" w:hAnsi="Verdana"/>
          <w:sz w:val="20"/>
          <w:lang w:val="pt-BR"/>
        </w:rPr>
        <w:t xml:space="preserve"> sobre</w:t>
      </w:r>
      <w:r w:rsidRPr="002F50BD">
        <w:rPr>
          <w:rFonts w:ascii="Verdana" w:hAnsi="Verdana"/>
          <w:sz w:val="20"/>
          <w:lang w:val="pt-BR"/>
        </w:rPr>
        <w:t xml:space="preserve"> a terra</w:t>
      </w:r>
      <w:r w:rsidR="004756C1" w:rsidRPr="002F50BD">
        <w:rPr>
          <w:rFonts w:ascii="Verdana" w:hAnsi="Verdana"/>
          <w:sz w:val="20"/>
          <w:lang w:val="pt-BR"/>
        </w:rPr>
        <w:t>, nunca</w:t>
      </w:r>
      <w:r w:rsidRPr="002F50BD">
        <w:rPr>
          <w:rFonts w:ascii="Verdana" w:hAnsi="Verdana"/>
          <w:sz w:val="20"/>
          <w:lang w:val="pt-BR"/>
        </w:rPr>
        <w:t xml:space="preserve"> foi </w:t>
      </w:r>
      <w:r w:rsidR="004756C1" w:rsidRPr="002F50BD">
        <w:rPr>
          <w:rFonts w:ascii="Verdana" w:hAnsi="Verdana"/>
          <w:sz w:val="20"/>
          <w:lang w:val="pt-BR"/>
        </w:rPr>
        <w:t>re</w:t>
      </w:r>
      <w:r w:rsidR="00AB454A" w:rsidRPr="002F50BD">
        <w:rPr>
          <w:rFonts w:ascii="Verdana" w:hAnsi="Verdana"/>
          <w:sz w:val="20"/>
          <w:lang w:val="pt-BR"/>
        </w:rPr>
        <w:t>conheci</w:t>
      </w:r>
      <w:r w:rsidR="004756C1" w:rsidRPr="002F50BD">
        <w:rPr>
          <w:rFonts w:ascii="Verdana" w:hAnsi="Verdana"/>
          <w:sz w:val="20"/>
          <w:lang w:val="pt-BR"/>
        </w:rPr>
        <w:t>da</w:t>
      </w:r>
      <w:r w:rsidR="00BE346D" w:rsidRPr="002F50BD">
        <w:rPr>
          <w:rFonts w:ascii="Verdana" w:hAnsi="Verdana"/>
          <w:sz w:val="20"/>
          <w:lang w:val="pt-BR"/>
        </w:rPr>
        <w:t xml:space="preserve">. Os </w:t>
      </w:r>
      <w:r w:rsidR="004756C1" w:rsidRPr="002F50BD">
        <w:rPr>
          <w:rFonts w:ascii="Verdana" w:hAnsi="Verdana"/>
          <w:sz w:val="20"/>
          <w:lang w:val="pt-BR"/>
        </w:rPr>
        <w:t xml:space="preserve">indígenas </w:t>
      </w:r>
      <w:r w:rsidRPr="002F50BD">
        <w:rPr>
          <w:rFonts w:ascii="Verdana" w:hAnsi="Verdana"/>
          <w:sz w:val="20"/>
          <w:lang w:val="pt-BR"/>
        </w:rPr>
        <w:t>simplesmente</w:t>
      </w:r>
      <w:r w:rsidR="004756C1" w:rsidRPr="002F50BD">
        <w:rPr>
          <w:rFonts w:ascii="Verdana" w:hAnsi="Verdana"/>
          <w:sz w:val="20"/>
          <w:lang w:val="pt-BR"/>
        </w:rPr>
        <w:t xml:space="preserve"> </w:t>
      </w:r>
      <w:r w:rsidR="005A6BC7" w:rsidRPr="002F50BD">
        <w:rPr>
          <w:rFonts w:ascii="Verdana" w:hAnsi="Verdana"/>
          <w:sz w:val="20"/>
          <w:lang w:val="pt-BR"/>
        </w:rPr>
        <w:t>passar</w:t>
      </w:r>
      <w:r w:rsidR="000C1039" w:rsidRPr="002F50BD">
        <w:rPr>
          <w:rFonts w:ascii="Verdana" w:hAnsi="Verdana"/>
          <w:sz w:val="20"/>
          <w:lang w:val="pt-BR"/>
        </w:rPr>
        <w:t>am</w:t>
      </w:r>
      <w:r w:rsidR="004756C1" w:rsidRPr="002F50BD">
        <w:rPr>
          <w:rFonts w:ascii="Verdana" w:hAnsi="Verdana"/>
          <w:sz w:val="20"/>
          <w:lang w:val="pt-BR"/>
        </w:rPr>
        <w:t xml:space="preserve"> a ser pe</w:t>
      </w:r>
      <w:r w:rsidR="000C1039" w:rsidRPr="002F50BD">
        <w:rPr>
          <w:rFonts w:ascii="Verdana" w:hAnsi="Verdana"/>
          <w:sz w:val="20"/>
          <w:lang w:val="pt-BR"/>
        </w:rPr>
        <w:t>ões</w:t>
      </w:r>
      <w:r w:rsidRPr="002F50BD">
        <w:rPr>
          <w:rFonts w:ascii="Verdana" w:hAnsi="Verdana"/>
          <w:sz w:val="20"/>
          <w:lang w:val="pt-BR"/>
        </w:rPr>
        <w:t xml:space="preserve"> e </w:t>
      </w:r>
      <w:r w:rsidR="00475EBB" w:rsidRPr="002F50BD">
        <w:rPr>
          <w:rFonts w:ascii="Verdana" w:hAnsi="Verdana"/>
          <w:sz w:val="20"/>
          <w:lang w:val="pt-BR"/>
        </w:rPr>
        <w:t>empregado</w:t>
      </w:r>
      <w:r w:rsidR="004756C1" w:rsidRPr="002F50BD">
        <w:rPr>
          <w:rFonts w:ascii="Verdana" w:hAnsi="Verdana"/>
          <w:sz w:val="20"/>
          <w:lang w:val="pt-BR"/>
        </w:rPr>
        <w:t>s</w:t>
      </w:r>
      <w:r w:rsidRPr="002F50BD">
        <w:rPr>
          <w:rFonts w:ascii="Verdana" w:hAnsi="Verdana"/>
          <w:sz w:val="20"/>
          <w:lang w:val="pt-BR"/>
        </w:rPr>
        <w:t xml:space="preserve"> dos novo</w:t>
      </w:r>
      <w:r w:rsidR="004756C1" w:rsidRPr="002F50BD">
        <w:rPr>
          <w:rFonts w:ascii="Verdana" w:hAnsi="Verdana"/>
          <w:sz w:val="20"/>
          <w:lang w:val="pt-BR"/>
        </w:rPr>
        <w:t xml:space="preserve">s </w:t>
      </w:r>
      <w:r w:rsidR="007801FA" w:rsidRPr="002F50BD">
        <w:rPr>
          <w:rFonts w:ascii="Verdana" w:hAnsi="Verdana"/>
          <w:sz w:val="20"/>
          <w:lang w:val="pt-BR"/>
        </w:rPr>
        <w:t>proprietário</w:t>
      </w:r>
      <w:r w:rsidR="004756C1" w:rsidRPr="002F50BD">
        <w:rPr>
          <w:rFonts w:ascii="Verdana" w:hAnsi="Verdana"/>
          <w:sz w:val="20"/>
          <w:lang w:val="pt-BR"/>
        </w:rPr>
        <w:t>s</w:t>
      </w:r>
      <w:r w:rsidRPr="002F50BD">
        <w:rPr>
          <w:rFonts w:ascii="Verdana" w:hAnsi="Verdana"/>
          <w:sz w:val="20"/>
          <w:lang w:val="pt-BR"/>
        </w:rPr>
        <w:t xml:space="preserve"> das terra</w:t>
      </w:r>
      <w:r w:rsidR="004756C1" w:rsidRPr="002F50BD">
        <w:rPr>
          <w:rFonts w:ascii="Verdana" w:hAnsi="Verdana"/>
          <w:sz w:val="20"/>
          <w:lang w:val="pt-BR"/>
        </w:rPr>
        <w:t>s</w:t>
      </w:r>
      <w:r w:rsidR="00475EBB" w:rsidRPr="002F50BD">
        <w:rPr>
          <w:rFonts w:ascii="Verdana" w:hAnsi="Verdana"/>
          <w:sz w:val="20"/>
          <w:lang w:val="pt-BR"/>
        </w:rPr>
        <w:t>. Ness</w:t>
      </w:r>
      <w:r w:rsidR="00FB33DD" w:rsidRPr="002F50BD">
        <w:rPr>
          <w:rFonts w:ascii="Verdana" w:hAnsi="Verdana"/>
          <w:sz w:val="20"/>
          <w:lang w:val="pt-BR"/>
        </w:rPr>
        <w:t>a</w:t>
      </w:r>
      <w:r w:rsidRPr="002F50BD">
        <w:rPr>
          <w:rFonts w:ascii="Verdana" w:hAnsi="Verdana"/>
          <w:sz w:val="20"/>
          <w:lang w:val="pt-BR"/>
        </w:rPr>
        <w:t xml:space="preserve"> época</w:t>
      </w:r>
      <w:r w:rsidR="00EC31B9" w:rsidRPr="002F50BD">
        <w:rPr>
          <w:rFonts w:ascii="Verdana" w:hAnsi="Verdana"/>
          <w:sz w:val="20"/>
          <w:lang w:val="pt-BR"/>
        </w:rPr>
        <w:t>,</w:t>
      </w:r>
      <w:r w:rsidRPr="002F50BD">
        <w:rPr>
          <w:rFonts w:ascii="Verdana" w:hAnsi="Verdana"/>
          <w:sz w:val="20"/>
          <w:lang w:val="pt-BR"/>
        </w:rPr>
        <w:t xml:space="preserve"> o governo</w:t>
      </w:r>
      <w:r w:rsidR="004756C1" w:rsidRPr="002F50BD">
        <w:rPr>
          <w:rFonts w:ascii="Verdana" w:hAnsi="Verdana"/>
          <w:sz w:val="20"/>
          <w:lang w:val="pt-BR"/>
        </w:rPr>
        <w:t xml:space="preserve"> </w:t>
      </w:r>
      <w:r w:rsidRPr="002F50BD">
        <w:rPr>
          <w:rFonts w:ascii="Verdana" w:hAnsi="Verdana"/>
          <w:sz w:val="20"/>
          <w:lang w:val="pt-BR"/>
        </w:rPr>
        <w:t>do Paraguai</w:t>
      </w:r>
      <w:r w:rsidR="004756C1" w:rsidRPr="002F50BD">
        <w:rPr>
          <w:rFonts w:ascii="Verdana" w:hAnsi="Verdana"/>
          <w:sz w:val="20"/>
          <w:lang w:val="pt-BR"/>
        </w:rPr>
        <w:t xml:space="preserve"> se </w:t>
      </w:r>
      <w:r w:rsidRPr="002F50BD">
        <w:rPr>
          <w:rFonts w:ascii="Verdana" w:hAnsi="Verdana"/>
          <w:sz w:val="20"/>
          <w:lang w:val="pt-BR"/>
        </w:rPr>
        <w:t xml:space="preserve">encontrava em uma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w:t>
      </w:r>
      <w:r w:rsidR="000C1039" w:rsidRPr="002F50BD">
        <w:rPr>
          <w:rFonts w:ascii="Verdana" w:hAnsi="Verdana"/>
          <w:sz w:val="20"/>
          <w:lang w:val="pt-BR"/>
        </w:rPr>
        <w:t>extremamente fraca</w:t>
      </w:r>
      <w:r w:rsidR="004756C1" w:rsidRPr="002F50BD">
        <w:rPr>
          <w:rFonts w:ascii="Verdana" w:hAnsi="Verdana"/>
          <w:sz w:val="20"/>
          <w:lang w:val="pt-BR"/>
        </w:rPr>
        <w:t xml:space="preserve">, </w:t>
      </w:r>
      <w:r w:rsidR="004F64EE" w:rsidRPr="002F50BD">
        <w:rPr>
          <w:rFonts w:ascii="Verdana" w:hAnsi="Verdana"/>
          <w:sz w:val="20"/>
          <w:lang w:val="pt-BR"/>
        </w:rPr>
        <w:t>tinha</w:t>
      </w:r>
      <w:r w:rsidR="004756C1" w:rsidRPr="002F50BD">
        <w:rPr>
          <w:rFonts w:ascii="Verdana" w:hAnsi="Verdana"/>
          <w:sz w:val="20"/>
          <w:lang w:val="pt-BR"/>
        </w:rPr>
        <w:t xml:space="preserve"> que pagar </w:t>
      </w:r>
      <w:r w:rsidRPr="002F50BD">
        <w:rPr>
          <w:rFonts w:ascii="Verdana" w:hAnsi="Verdana"/>
          <w:sz w:val="20"/>
          <w:lang w:val="pt-BR"/>
        </w:rPr>
        <w:t>dívida</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guerra que</w:t>
      </w:r>
      <w:r w:rsidR="004F64EE" w:rsidRPr="002F50BD">
        <w:rPr>
          <w:rFonts w:ascii="Verdana" w:hAnsi="Verdana"/>
          <w:sz w:val="20"/>
          <w:lang w:val="pt-BR"/>
        </w:rPr>
        <w:t xml:space="preserve"> havia</w:t>
      </w:r>
      <w:r w:rsidR="004076AD" w:rsidRPr="002F50BD">
        <w:rPr>
          <w:rFonts w:ascii="Verdana" w:hAnsi="Verdana"/>
          <w:sz w:val="20"/>
          <w:lang w:val="pt-BR"/>
        </w:rPr>
        <w:t xml:space="preserve"> </w:t>
      </w:r>
      <w:r w:rsidR="004756C1" w:rsidRPr="002F50BD">
        <w:rPr>
          <w:rFonts w:ascii="Verdana" w:hAnsi="Verdana"/>
          <w:sz w:val="20"/>
          <w:lang w:val="pt-BR"/>
        </w:rPr>
        <w:t>perdido,</w:t>
      </w:r>
      <w:r w:rsidRPr="002F50BD">
        <w:rPr>
          <w:rFonts w:ascii="Verdana" w:hAnsi="Verdana"/>
          <w:sz w:val="20"/>
          <w:lang w:val="pt-BR"/>
        </w:rPr>
        <w:t xml:space="preserve"> </w:t>
      </w:r>
      <w:r w:rsidR="000C1039" w:rsidRPr="002F50BD">
        <w:rPr>
          <w:rFonts w:ascii="Verdana" w:hAnsi="Verdana"/>
          <w:sz w:val="20"/>
          <w:lang w:val="pt-BR"/>
        </w:rPr>
        <w:t xml:space="preserve">de maneira que não </w:t>
      </w:r>
      <w:r w:rsidRPr="002F50BD">
        <w:rPr>
          <w:rFonts w:ascii="Verdana" w:hAnsi="Verdana"/>
          <w:sz w:val="20"/>
          <w:lang w:val="pt-BR"/>
        </w:rPr>
        <w:t xml:space="preserve">estava em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assegurar os direito</w:t>
      </w:r>
      <w:r w:rsidR="004756C1" w:rsidRPr="002F50BD">
        <w:rPr>
          <w:rFonts w:ascii="Verdana" w:hAnsi="Verdana"/>
          <w:sz w:val="20"/>
          <w:lang w:val="pt-BR"/>
        </w:rPr>
        <w:t>s</w:t>
      </w:r>
      <w:r w:rsidRPr="002F50BD">
        <w:rPr>
          <w:rFonts w:ascii="Verdana" w:hAnsi="Verdana"/>
          <w:sz w:val="20"/>
          <w:lang w:val="pt-BR"/>
        </w:rPr>
        <w:t xml:space="preserve"> da </w:t>
      </w:r>
      <w:r w:rsidR="004F64EE" w:rsidRPr="002F50BD">
        <w:rPr>
          <w:rFonts w:ascii="Verdana" w:hAnsi="Verdana"/>
          <w:sz w:val="20"/>
          <w:lang w:val="pt-BR"/>
        </w:rPr>
        <w:t>população</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Ainda que</w:t>
      </w:r>
      <w:r w:rsidR="004756C1" w:rsidRPr="002F50BD">
        <w:rPr>
          <w:rFonts w:ascii="Verdana" w:hAnsi="Verdana"/>
          <w:sz w:val="20"/>
          <w:lang w:val="pt-BR"/>
        </w:rPr>
        <w:t xml:space="preserve"> </w:t>
      </w:r>
      <w:r w:rsidRPr="002F50BD">
        <w:rPr>
          <w:rFonts w:ascii="Verdana" w:hAnsi="Verdana"/>
          <w:sz w:val="20"/>
          <w:lang w:val="pt-BR"/>
        </w:rPr>
        <w:t>muito</w:t>
      </w:r>
      <w:r w:rsidR="004756C1" w:rsidRPr="002F50BD">
        <w:rPr>
          <w:rFonts w:ascii="Verdana" w:hAnsi="Verdana"/>
          <w:sz w:val="20"/>
          <w:lang w:val="pt-BR"/>
        </w:rPr>
        <w:t>s indígenas</w:t>
      </w:r>
      <w:r w:rsidRPr="002F50BD">
        <w:rPr>
          <w:rFonts w:ascii="Verdana" w:hAnsi="Verdana"/>
          <w:sz w:val="20"/>
          <w:lang w:val="pt-BR"/>
        </w:rPr>
        <w:t xml:space="preserve"> no Paraguai</w:t>
      </w:r>
      <w:r w:rsidR="004756C1" w:rsidRPr="002F50BD">
        <w:rPr>
          <w:rFonts w:ascii="Verdana" w:hAnsi="Verdana"/>
          <w:sz w:val="20"/>
          <w:lang w:val="pt-BR"/>
        </w:rPr>
        <w:t xml:space="preserve"> </w:t>
      </w:r>
      <w:r w:rsidR="000C1039" w:rsidRPr="002F50BD">
        <w:rPr>
          <w:rFonts w:ascii="Verdana" w:hAnsi="Verdana"/>
          <w:sz w:val="20"/>
          <w:lang w:val="pt-BR"/>
        </w:rPr>
        <w:t xml:space="preserve">atualmente </w:t>
      </w:r>
      <w:r w:rsidR="00673A61" w:rsidRPr="002F50BD">
        <w:rPr>
          <w:rFonts w:ascii="Verdana" w:hAnsi="Verdana"/>
          <w:sz w:val="20"/>
          <w:lang w:val="pt-BR"/>
        </w:rPr>
        <w:t>possu</w:t>
      </w:r>
      <w:r w:rsidR="006227D6" w:rsidRPr="002F50BD">
        <w:rPr>
          <w:rFonts w:ascii="Verdana" w:hAnsi="Verdana"/>
          <w:sz w:val="20"/>
          <w:lang w:val="pt-BR"/>
        </w:rPr>
        <w:t>a</w:t>
      </w:r>
      <w:r w:rsidR="00673A61"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e</w:t>
      </w:r>
      <w:r w:rsidR="004756C1" w:rsidRPr="002F50BD">
        <w:rPr>
          <w:rFonts w:ascii="Verdana" w:hAnsi="Verdana"/>
          <w:sz w:val="20"/>
          <w:lang w:val="pt-BR"/>
        </w:rPr>
        <w:t xml:space="preserve"> </w:t>
      </w:r>
      <w:r w:rsidRPr="002F50BD">
        <w:rPr>
          <w:rFonts w:ascii="Verdana" w:hAnsi="Verdana"/>
          <w:sz w:val="20"/>
          <w:lang w:val="pt-BR"/>
        </w:rPr>
        <w:t xml:space="preserve">outros </w:t>
      </w:r>
      <w:r w:rsidR="000C1039" w:rsidRPr="002F50BD">
        <w:rPr>
          <w:rFonts w:ascii="Verdana" w:hAnsi="Verdana"/>
          <w:sz w:val="20"/>
          <w:lang w:val="pt-BR"/>
        </w:rPr>
        <w:t xml:space="preserve">ainda </w:t>
      </w:r>
      <w:r w:rsidRPr="002F50BD">
        <w:rPr>
          <w:rFonts w:ascii="Verdana" w:hAnsi="Verdana"/>
          <w:sz w:val="20"/>
          <w:lang w:val="pt-BR"/>
        </w:rPr>
        <w:t>est</w:t>
      </w:r>
      <w:r w:rsidR="006227D6" w:rsidRPr="002F50BD">
        <w:rPr>
          <w:rFonts w:ascii="Verdana" w:hAnsi="Verdana"/>
          <w:sz w:val="20"/>
          <w:lang w:val="pt-BR"/>
        </w:rPr>
        <w:t>ejam</w:t>
      </w:r>
      <w:r w:rsidRPr="002F50BD">
        <w:rPr>
          <w:rFonts w:ascii="Verdana" w:hAnsi="Verdana"/>
          <w:sz w:val="20"/>
          <w:lang w:val="pt-BR"/>
        </w:rPr>
        <w:t xml:space="preserve"> </w:t>
      </w:r>
      <w:r w:rsidR="004756C1" w:rsidRPr="002F50BD">
        <w:rPr>
          <w:rFonts w:ascii="Verdana" w:hAnsi="Verdana"/>
          <w:sz w:val="20"/>
          <w:lang w:val="pt-BR"/>
        </w:rPr>
        <w:t>tramitando s</w:t>
      </w:r>
      <w:r w:rsidR="000C1039" w:rsidRPr="002F50BD">
        <w:rPr>
          <w:rFonts w:ascii="Verdana" w:hAnsi="Verdana"/>
          <w:sz w:val="20"/>
          <w:lang w:val="pt-BR"/>
        </w:rPr>
        <w:t xml:space="preserve">eu pedido </w:t>
      </w:r>
      <w:r w:rsidR="004756C1" w:rsidRPr="002F50BD">
        <w:rPr>
          <w:rFonts w:ascii="Verdana" w:hAnsi="Verdana"/>
          <w:sz w:val="20"/>
          <w:lang w:val="pt-BR"/>
        </w:rPr>
        <w:t>de reivindica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é possível </w:t>
      </w:r>
      <w:r w:rsidR="004756C1" w:rsidRPr="002F50BD">
        <w:rPr>
          <w:rFonts w:ascii="Verdana" w:hAnsi="Verdana"/>
          <w:sz w:val="20"/>
          <w:lang w:val="pt-BR"/>
        </w:rPr>
        <w:t>afirmar que perd</w:t>
      </w:r>
      <w:r w:rsidR="000C1039" w:rsidRPr="002F50BD">
        <w:rPr>
          <w:rFonts w:ascii="Verdana" w:hAnsi="Verdana"/>
          <w:sz w:val="20"/>
          <w:lang w:val="pt-BR"/>
        </w:rPr>
        <w:t xml:space="preserve">eram completamente </w:t>
      </w:r>
      <w:r w:rsidR="004756C1" w:rsidRPr="002F50BD">
        <w:rPr>
          <w:rFonts w:ascii="Verdana" w:hAnsi="Verdana"/>
          <w:sz w:val="20"/>
          <w:lang w:val="pt-BR"/>
        </w:rPr>
        <w:t>s</w:t>
      </w:r>
      <w:r w:rsidR="000C1039"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território</w:t>
      </w:r>
      <w:r w:rsidR="004756C1" w:rsidRPr="002F50BD">
        <w:rPr>
          <w:rFonts w:ascii="Verdana" w:hAnsi="Verdana"/>
          <w:sz w:val="20"/>
          <w:lang w:val="pt-BR"/>
        </w:rPr>
        <w:t>s</w:t>
      </w:r>
      <w:r w:rsidR="00D95E71" w:rsidRPr="002F50BD">
        <w:rPr>
          <w:rFonts w:ascii="Verdana" w:hAnsi="Verdana"/>
          <w:sz w:val="20"/>
          <w:lang w:val="pt-BR"/>
        </w:rPr>
        <w:t xml:space="preserve">. O </w:t>
      </w:r>
      <w:r w:rsidR="004756C1" w:rsidRPr="002F50BD">
        <w:rPr>
          <w:rFonts w:ascii="Verdana" w:hAnsi="Verdana"/>
          <w:sz w:val="20"/>
          <w:lang w:val="pt-BR"/>
        </w:rPr>
        <w:t>despojo de s</w:t>
      </w:r>
      <w:r w:rsidR="000C1039"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território</w:t>
      </w:r>
      <w:r w:rsidR="004756C1" w:rsidRPr="002F50BD">
        <w:rPr>
          <w:rFonts w:ascii="Verdana" w:hAnsi="Verdana"/>
          <w:sz w:val="20"/>
          <w:lang w:val="pt-BR"/>
        </w:rPr>
        <w:t>s implica</w:t>
      </w:r>
      <w:r w:rsidRPr="002F50BD">
        <w:rPr>
          <w:rFonts w:ascii="Verdana" w:hAnsi="Verdana"/>
          <w:sz w:val="20"/>
          <w:lang w:val="pt-BR"/>
        </w:rPr>
        <w:t xml:space="preserve"> </w:t>
      </w:r>
      <w:r w:rsidR="006227D6" w:rsidRPr="002F50BD">
        <w:rPr>
          <w:rFonts w:ascii="Verdana" w:hAnsi="Verdana"/>
          <w:sz w:val="20"/>
          <w:lang w:val="pt-BR"/>
        </w:rPr>
        <w:t>n</w:t>
      </w:r>
      <w:r w:rsidRPr="002F50BD">
        <w:rPr>
          <w:rFonts w:ascii="Verdana" w:hAnsi="Verdana"/>
          <w:sz w:val="20"/>
          <w:lang w:val="pt-BR"/>
        </w:rPr>
        <w:t xml:space="preserve">a </w:t>
      </w:r>
      <w:r w:rsidR="004756C1" w:rsidRPr="002F50BD">
        <w:rPr>
          <w:rFonts w:ascii="Verdana" w:hAnsi="Verdana"/>
          <w:sz w:val="20"/>
          <w:lang w:val="pt-BR"/>
        </w:rPr>
        <w:t>nega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espaço</w:t>
      </w:r>
      <w:r w:rsidR="004756C1" w:rsidRPr="002F50BD">
        <w:rPr>
          <w:rFonts w:ascii="Verdana" w:hAnsi="Verdana"/>
          <w:sz w:val="20"/>
          <w:lang w:val="pt-BR"/>
        </w:rPr>
        <w:t xml:space="preserve">s </w:t>
      </w:r>
      <w:r w:rsidRPr="002F50BD">
        <w:rPr>
          <w:rFonts w:ascii="Verdana" w:hAnsi="Verdana"/>
          <w:sz w:val="20"/>
          <w:lang w:val="pt-BR"/>
        </w:rPr>
        <w:t>culturais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Por </w:t>
      </w:r>
      <w:r w:rsidRPr="002F50BD">
        <w:rPr>
          <w:rFonts w:ascii="Verdana" w:hAnsi="Verdana"/>
          <w:sz w:val="20"/>
          <w:lang w:val="pt-BR"/>
        </w:rPr>
        <w:t>exemplo</w:t>
      </w:r>
      <w:r w:rsidR="004756C1" w:rsidRPr="002F50BD">
        <w:rPr>
          <w:rFonts w:ascii="Verdana" w:hAnsi="Verdana"/>
          <w:sz w:val="20"/>
          <w:lang w:val="pt-BR"/>
        </w:rPr>
        <w:t>,</w:t>
      </w:r>
      <w:r w:rsidRPr="002F50BD">
        <w:rPr>
          <w:rFonts w:ascii="Verdana" w:hAnsi="Verdana"/>
          <w:sz w:val="20"/>
          <w:lang w:val="pt-BR"/>
        </w:rPr>
        <w:t xml:space="preserve"> o </w:t>
      </w:r>
      <w:r w:rsidR="005A6BC7" w:rsidRPr="002F50BD">
        <w:rPr>
          <w:rFonts w:ascii="Verdana" w:hAnsi="Verdana"/>
          <w:sz w:val="20"/>
          <w:lang w:val="pt-BR"/>
        </w:rPr>
        <w:t>guarani</w:t>
      </w:r>
      <w:r w:rsidR="004756C1" w:rsidRPr="002F50BD">
        <w:rPr>
          <w:rFonts w:ascii="Verdana" w:hAnsi="Verdana"/>
          <w:sz w:val="20"/>
          <w:lang w:val="pt-BR"/>
        </w:rPr>
        <w:t xml:space="preserve"> </w:t>
      </w:r>
      <w:r w:rsidRPr="002F50BD">
        <w:rPr>
          <w:rFonts w:ascii="Verdana" w:hAnsi="Verdana"/>
          <w:sz w:val="20"/>
          <w:lang w:val="pt-BR"/>
        </w:rPr>
        <w:t xml:space="preserve">diz </w:t>
      </w:r>
      <w:r w:rsidR="004756C1" w:rsidRPr="002F50BD">
        <w:rPr>
          <w:rFonts w:ascii="Verdana" w:hAnsi="Verdana"/>
          <w:sz w:val="20"/>
          <w:lang w:val="pt-BR"/>
        </w:rPr>
        <w:t>que “</w:t>
      </w:r>
      <w:r w:rsidR="00475EBB" w:rsidRPr="002F50BD">
        <w:rPr>
          <w:rFonts w:ascii="Verdana" w:hAnsi="Verdana"/>
          <w:sz w:val="20"/>
          <w:lang w:val="pt-BR"/>
        </w:rPr>
        <w:t>sua terra</w:t>
      </w:r>
      <w:r w:rsidR="004756C1" w:rsidRPr="002F50BD">
        <w:rPr>
          <w:rFonts w:ascii="Verdana" w:hAnsi="Verdana"/>
          <w:sz w:val="20"/>
          <w:lang w:val="pt-BR"/>
        </w:rPr>
        <w:t xml:space="preserve"> </w:t>
      </w:r>
      <w:r w:rsidR="00AB454A" w:rsidRPr="002F50BD">
        <w:rPr>
          <w:rFonts w:ascii="Verdana" w:hAnsi="Verdana"/>
          <w:sz w:val="20"/>
          <w:lang w:val="pt-BR"/>
        </w:rPr>
        <w:t>não é</w:t>
      </w:r>
      <w:r w:rsidRPr="002F50BD">
        <w:rPr>
          <w:rFonts w:ascii="Verdana" w:hAnsi="Verdana"/>
          <w:sz w:val="20"/>
          <w:lang w:val="pt-BR"/>
        </w:rPr>
        <w:t xml:space="preserve"> </w:t>
      </w:r>
      <w:r w:rsidR="00475EBB" w:rsidRPr="002F50BD">
        <w:rPr>
          <w:rFonts w:ascii="Verdana" w:hAnsi="Verdana"/>
          <w:sz w:val="20"/>
          <w:lang w:val="pt-BR"/>
        </w:rPr>
        <w:t>sua terra</w:t>
      </w:r>
      <w:r w:rsidR="004756C1" w:rsidRPr="002F50BD">
        <w:rPr>
          <w:rFonts w:ascii="Verdana" w:hAnsi="Verdana"/>
          <w:sz w:val="20"/>
          <w:lang w:val="pt-BR"/>
        </w:rPr>
        <w:t>”,</w:t>
      </w:r>
      <w:r w:rsidRPr="002F50BD">
        <w:rPr>
          <w:rFonts w:ascii="Verdana" w:hAnsi="Verdana"/>
          <w:sz w:val="20"/>
          <w:lang w:val="pt-BR"/>
        </w:rPr>
        <w:t xml:space="preserve"> mas é o </w:t>
      </w:r>
      <w:r w:rsidR="004756C1" w:rsidRPr="002F50BD">
        <w:rPr>
          <w:rFonts w:ascii="Verdana" w:hAnsi="Verdana"/>
          <w:sz w:val="20"/>
          <w:lang w:val="pt-BR"/>
        </w:rPr>
        <w:t>“lugar</w:t>
      </w:r>
      <w:r w:rsidRPr="002F50BD">
        <w:rPr>
          <w:rFonts w:ascii="Verdana" w:hAnsi="Verdana"/>
          <w:sz w:val="20"/>
          <w:lang w:val="pt-BR"/>
        </w:rPr>
        <w:t xml:space="preserve"> onde</w:t>
      </w:r>
      <w:r w:rsidR="004756C1" w:rsidRPr="002F50BD">
        <w:rPr>
          <w:rFonts w:ascii="Verdana" w:hAnsi="Verdana"/>
          <w:sz w:val="20"/>
          <w:lang w:val="pt-BR"/>
        </w:rPr>
        <w:t xml:space="preserve"> somos</w:t>
      </w:r>
      <w:r w:rsidRPr="002F50BD">
        <w:rPr>
          <w:rFonts w:ascii="Verdana" w:hAnsi="Verdana"/>
          <w:sz w:val="20"/>
          <w:lang w:val="pt-BR"/>
        </w:rPr>
        <w:t xml:space="preserve"> o que </w:t>
      </w:r>
      <w:r w:rsidR="004756C1" w:rsidRPr="002F50BD">
        <w:rPr>
          <w:rFonts w:ascii="Verdana" w:hAnsi="Verdana"/>
          <w:sz w:val="20"/>
          <w:lang w:val="pt-BR"/>
        </w:rPr>
        <w:t>somos”</w:t>
      </w:r>
      <w:r w:rsidR="00CD7100" w:rsidRPr="002F50BD">
        <w:rPr>
          <w:rFonts w:ascii="Verdana" w:hAnsi="Verdana"/>
          <w:sz w:val="20"/>
          <w:lang w:val="pt-BR"/>
        </w:rPr>
        <w:t>. Em</w:t>
      </w:r>
      <w:r w:rsidRPr="002F50BD">
        <w:rPr>
          <w:rFonts w:ascii="Verdana" w:hAnsi="Verdana"/>
          <w:sz w:val="20"/>
          <w:lang w:val="pt-BR"/>
        </w:rPr>
        <w:t xml:space="preserve"> bom </w:t>
      </w:r>
      <w:r w:rsidR="005A6BC7" w:rsidRPr="002F50BD">
        <w:rPr>
          <w:rFonts w:ascii="Verdana" w:hAnsi="Verdana"/>
          <w:sz w:val="20"/>
          <w:lang w:val="pt-BR"/>
        </w:rPr>
        <w:t>castelhano</w:t>
      </w:r>
      <w:r w:rsidR="006227D6" w:rsidRPr="002F50BD">
        <w:rPr>
          <w:rFonts w:ascii="Verdana" w:hAnsi="Verdana"/>
          <w:sz w:val="20"/>
          <w:lang w:val="pt-BR"/>
        </w:rPr>
        <w:t>,</w:t>
      </w:r>
      <w:r w:rsidR="004756C1" w:rsidRPr="002F50BD">
        <w:rPr>
          <w:rFonts w:ascii="Verdana" w:hAnsi="Verdana"/>
          <w:sz w:val="20"/>
          <w:lang w:val="pt-BR"/>
        </w:rPr>
        <w:t xml:space="preserve"> se tradu</w:t>
      </w:r>
      <w:r w:rsidR="000C1039" w:rsidRPr="002F50BD">
        <w:rPr>
          <w:rFonts w:ascii="Verdana" w:hAnsi="Verdana"/>
          <w:sz w:val="20"/>
          <w:lang w:val="pt-BR"/>
        </w:rPr>
        <w:t xml:space="preserve">ziria como </w:t>
      </w:r>
      <w:r w:rsidR="004076AD" w:rsidRPr="002F50BD">
        <w:rPr>
          <w:rFonts w:ascii="Verdana" w:hAnsi="Verdana"/>
          <w:sz w:val="20"/>
          <w:lang w:val="pt-BR"/>
        </w:rPr>
        <w:t xml:space="preserve">“é </w:t>
      </w:r>
      <w:r w:rsidRPr="002F50BD">
        <w:rPr>
          <w:rFonts w:ascii="Verdana" w:hAnsi="Verdana"/>
          <w:sz w:val="20"/>
          <w:lang w:val="pt-BR"/>
        </w:rPr>
        <w:t>a terra</w:t>
      </w:r>
      <w:r w:rsidR="004756C1" w:rsidRPr="002F50BD">
        <w:rPr>
          <w:rFonts w:ascii="Verdana" w:hAnsi="Verdana"/>
          <w:sz w:val="20"/>
          <w:lang w:val="pt-BR"/>
        </w:rPr>
        <w:t xml:space="preserve"> de </w:t>
      </w:r>
      <w:r w:rsidRPr="002F50BD">
        <w:rPr>
          <w:rFonts w:ascii="Verdana" w:hAnsi="Verdana"/>
          <w:sz w:val="20"/>
          <w:lang w:val="pt-BR"/>
        </w:rPr>
        <w:t>nossa</w:t>
      </w:r>
      <w:r w:rsidR="004756C1" w:rsidRPr="002F50BD">
        <w:rPr>
          <w:rFonts w:ascii="Verdana" w:hAnsi="Verdana"/>
          <w:sz w:val="20"/>
          <w:lang w:val="pt-BR"/>
        </w:rPr>
        <w:t xml:space="preserve"> cultura”,</w:t>
      </w:r>
      <w:r w:rsidRPr="002F50BD">
        <w:rPr>
          <w:rFonts w:ascii="Verdana" w:hAnsi="Verdana"/>
          <w:sz w:val="20"/>
          <w:lang w:val="pt-BR"/>
        </w:rPr>
        <w:t xml:space="preserve"> </w:t>
      </w:r>
      <w:r w:rsidR="000C1039" w:rsidRPr="002F50BD">
        <w:rPr>
          <w:rFonts w:ascii="Verdana" w:hAnsi="Verdana"/>
          <w:sz w:val="20"/>
          <w:lang w:val="pt-BR"/>
        </w:rPr>
        <w:t xml:space="preserve">isto é, </w:t>
      </w:r>
      <w:r w:rsidRPr="002F50BD">
        <w:rPr>
          <w:rFonts w:ascii="Verdana" w:hAnsi="Verdana"/>
          <w:sz w:val="20"/>
          <w:lang w:val="pt-BR"/>
        </w:rPr>
        <w:t>o conceito</w:t>
      </w:r>
      <w:r w:rsidR="004756C1" w:rsidRPr="002F50BD">
        <w:rPr>
          <w:rFonts w:ascii="Verdana" w:hAnsi="Verdana"/>
          <w:sz w:val="20"/>
          <w:lang w:val="pt-BR"/>
        </w:rPr>
        <w:t xml:space="preserve"> de cultura está claramente marcado</w:t>
      </w:r>
      <w:r w:rsidRPr="002F50BD">
        <w:rPr>
          <w:rFonts w:ascii="Verdana" w:hAnsi="Verdana"/>
          <w:sz w:val="20"/>
          <w:lang w:val="pt-BR"/>
        </w:rPr>
        <w:t xml:space="preserve"> </w:t>
      </w:r>
      <w:r w:rsidR="00F47C94" w:rsidRPr="002F50BD">
        <w:rPr>
          <w:rFonts w:ascii="Verdana" w:hAnsi="Verdana"/>
          <w:sz w:val="20"/>
          <w:lang w:val="pt-BR"/>
        </w:rPr>
        <w:t>pel</w:t>
      </w:r>
      <w:r w:rsidRPr="002F50BD">
        <w:rPr>
          <w:rFonts w:ascii="Verdana" w:hAnsi="Verdana"/>
          <w:sz w:val="20"/>
          <w:lang w:val="pt-BR"/>
        </w:rPr>
        <w:t>a terra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caso</w:t>
      </w:r>
      <w:r w:rsidRPr="002F50BD">
        <w:rPr>
          <w:rFonts w:ascii="Verdana" w:hAnsi="Verdana"/>
          <w:sz w:val="20"/>
          <w:lang w:val="pt-BR"/>
        </w:rPr>
        <w:t xml:space="preserve"> da Comunidade </w:t>
      </w:r>
      <w:r w:rsidR="004756C1" w:rsidRPr="002F50BD">
        <w:rPr>
          <w:rFonts w:ascii="Verdana" w:hAnsi="Verdana"/>
          <w:sz w:val="20"/>
          <w:lang w:val="pt-BR"/>
        </w:rPr>
        <w:t>Yakye Axa</w:t>
      </w:r>
      <w:r w:rsidR="00F47C94" w:rsidRPr="002F50BD">
        <w:rPr>
          <w:rFonts w:ascii="Verdana" w:hAnsi="Verdana"/>
          <w:sz w:val="20"/>
          <w:lang w:val="pt-BR"/>
        </w:rPr>
        <w:t>,</w:t>
      </w:r>
      <w:r w:rsidR="004756C1" w:rsidRPr="002F50BD">
        <w:rPr>
          <w:rFonts w:ascii="Verdana" w:hAnsi="Verdana"/>
          <w:sz w:val="20"/>
          <w:lang w:val="pt-BR"/>
        </w:rPr>
        <w:t xml:space="preserve"> se </w:t>
      </w:r>
      <w:r w:rsidRPr="002F50BD">
        <w:rPr>
          <w:rFonts w:ascii="Verdana" w:hAnsi="Verdana"/>
          <w:sz w:val="20"/>
          <w:lang w:val="pt-BR"/>
        </w:rPr>
        <w:t>poderia</w:t>
      </w:r>
      <w:r w:rsidR="004756C1" w:rsidRPr="002F50BD">
        <w:rPr>
          <w:rFonts w:ascii="Verdana" w:hAnsi="Verdana"/>
          <w:sz w:val="20"/>
          <w:lang w:val="pt-BR"/>
        </w:rPr>
        <w:t xml:space="preserve"> d</w:t>
      </w:r>
      <w:r w:rsidR="000C1039" w:rsidRPr="002F50BD">
        <w:rPr>
          <w:rFonts w:ascii="Verdana" w:hAnsi="Verdana"/>
          <w:sz w:val="20"/>
          <w:lang w:val="pt-BR"/>
        </w:rPr>
        <w:t xml:space="preserve">izer </w:t>
      </w:r>
      <w:r w:rsidR="004756C1" w:rsidRPr="002F50BD">
        <w:rPr>
          <w:rFonts w:ascii="Verdana" w:hAnsi="Verdana"/>
          <w:sz w:val="20"/>
          <w:lang w:val="pt-BR"/>
        </w:rPr>
        <w:t>que</w:t>
      </w:r>
      <w:r w:rsidR="00F47C94" w:rsidRPr="002F50BD">
        <w:rPr>
          <w:rFonts w:ascii="Verdana" w:hAnsi="Verdana"/>
          <w:sz w:val="20"/>
          <w:lang w:val="pt-BR"/>
        </w:rPr>
        <w:t>,</w:t>
      </w:r>
      <w:r w:rsidRPr="002F50BD">
        <w:rPr>
          <w:rFonts w:ascii="Verdana" w:hAnsi="Verdana"/>
          <w:sz w:val="20"/>
          <w:lang w:val="pt-BR"/>
        </w:rPr>
        <w:t xml:space="preserve"> ao </w:t>
      </w:r>
      <w:r w:rsidR="004756C1" w:rsidRPr="002F50BD">
        <w:rPr>
          <w:rFonts w:ascii="Verdana" w:hAnsi="Verdana"/>
          <w:sz w:val="20"/>
          <w:lang w:val="pt-BR"/>
        </w:rPr>
        <w:t>n</w:t>
      </w:r>
      <w:r w:rsidR="000C1039"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ter</w:t>
      </w:r>
      <w:r w:rsidR="000C1039" w:rsidRPr="002F50BD">
        <w:rPr>
          <w:rFonts w:ascii="Verdana" w:hAnsi="Verdana"/>
          <w:sz w:val="20"/>
          <w:lang w:val="pt-BR"/>
        </w:rPr>
        <w:t>em</w:t>
      </w:r>
      <w:r w:rsidRPr="002F50BD">
        <w:rPr>
          <w:rFonts w:ascii="Verdana" w:hAnsi="Verdana"/>
          <w:sz w:val="20"/>
          <w:lang w:val="pt-BR"/>
        </w:rPr>
        <w:t xml:space="preserve"> território e ter</w:t>
      </w:r>
      <w:r w:rsidR="000C1039" w:rsidRPr="002F50BD">
        <w:rPr>
          <w:rFonts w:ascii="Verdana" w:hAnsi="Verdana"/>
          <w:sz w:val="20"/>
          <w:lang w:val="pt-BR"/>
        </w:rPr>
        <w:t>em</w:t>
      </w:r>
      <w:r w:rsidR="004756C1" w:rsidRPr="002F50BD">
        <w:rPr>
          <w:rFonts w:ascii="Verdana" w:hAnsi="Verdana"/>
          <w:sz w:val="20"/>
          <w:lang w:val="pt-BR"/>
        </w:rPr>
        <w:t xml:space="preserve"> permanecido por </w:t>
      </w:r>
      <w:r w:rsidRPr="002F50BD">
        <w:rPr>
          <w:rFonts w:ascii="Verdana" w:hAnsi="Verdana"/>
          <w:sz w:val="20"/>
          <w:lang w:val="pt-BR"/>
        </w:rPr>
        <w:t xml:space="preserve">mais </w:t>
      </w:r>
      <w:r w:rsidR="004756C1" w:rsidRPr="002F50BD">
        <w:rPr>
          <w:rFonts w:ascii="Verdana" w:hAnsi="Verdana"/>
          <w:sz w:val="20"/>
          <w:lang w:val="pt-BR"/>
        </w:rPr>
        <w:t>de</w:t>
      </w:r>
      <w:r w:rsidRPr="002F50BD">
        <w:rPr>
          <w:rFonts w:ascii="Verdana" w:hAnsi="Verdana"/>
          <w:sz w:val="20"/>
          <w:lang w:val="pt-BR"/>
        </w:rPr>
        <w:t xml:space="preserve"> dez anos</w:t>
      </w:r>
      <w:r w:rsidR="004756C1" w:rsidRPr="002F50BD">
        <w:rPr>
          <w:rFonts w:ascii="Verdana" w:hAnsi="Verdana"/>
          <w:sz w:val="20"/>
          <w:lang w:val="pt-BR"/>
        </w:rPr>
        <w:t xml:space="preserve"> </w:t>
      </w:r>
      <w:r w:rsidR="00E7595C" w:rsidRPr="002F50BD">
        <w:rPr>
          <w:rFonts w:ascii="Verdana" w:hAnsi="Verdana"/>
          <w:sz w:val="20"/>
          <w:lang w:val="pt-BR"/>
        </w:rPr>
        <w:t>assentad</w:t>
      </w:r>
      <w:r w:rsidR="000C1039" w:rsidRPr="002F50BD">
        <w:rPr>
          <w:rFonts w:ascii="Verdana" w:hAnsi="Verdana"/>
          <w:sz w:val="20"/>
          <w:lang w:val="pt-BR"/>
        </w:rPr>
        <w:t>os</w:t>
      </w:r>
      <w:r w:rsidRPr="002F50BD">
        <w:rPr>
          <w:rFonts w:ascii="Verdana" w:hAnsi="Verdana"/>
          <w:sz w:val="20"/>
          <w:lang w:val="pt-BR"/>
        </w:rPr>
        <w:t xml:space="preserve"> na </w:t>
      </w:r>
      <w:r w:rsidR="000C1039" w:rsidRPr="002F50BD">
        <w:rPr>
          <w:rFonts w:ascii="Verdana" w:hAnsi="Verdana"/>
          <w:sz w:val="20"/>
          <w:lang w:val="pt-BR"/>
        </w:rPr>
        <w:t xml:space="preserve">beira </w:t>
      </w:r>
      <w:r w:rsidRPr="002F50BD">
        <w:rPr>
          <w:rFonts w:ascii="Verdana" w:hAnsi="Verdana"/>
          <w:sz w:val="20"/>
          <w:lang w:val="pt-BR"/>
        </w:rPr>
        <w:t xml:space="preserve">do </w:t>
      </w:r>
      <w:r w:rsidR="004756C1" w:rsidRPr="002F50BD">
        <w:rPr>
          <w:rFonts w:ascii="Verdana" w:hAnsi="Verdana"/>
          <w:sz w:val="20"/>
          <w:lang w:val="pt-BR"/>
        </w:rPr>
        <w:t>camin</w:t>
      </w:r>
      <w:r w:rsidR="000C1039" w:rsidRPr="002F50BD">
        <w:rPr>
          <w:rFonts w:ascii="Verdana" w:hAnsi="Verdana"/>
          <w:sz w:val="20"/>
          <w:lang w:val="pt-BR"/>
        </w:rPr>
        <w:t>h</w:t>
      </w:r>
      <w:r w:rsidR="004756C1" w:rsidRPr="002F50BD">
        <w:rPr>
          <w:rFonts w:ascii="Verdana" w:hAnsi="Verdana"/>
          <w:sz w:val="20"/>
          <w:lang w:val="pt-BR"/>
        </w:rPr>
        <w:t xml:space="preserve">o, </w:t>
      </w:r>
      <w:r w:rsidR="004076AD" w:rsidRPr="002F50BD">
        <w:rPr>
          <w:rFonts w:ascii="Verdana" w:hAnsi="Verdana"/>
          <w:sz w:val="20"/>
          <w:lang w:val="pt-BR"/>
        </w:rPr>
        <w:t>estaria demonstra</w:t>
      </w:r>
      <w:r w:rsidR="004756C1" w:rsidRPr="002F50BD">
        <w:rPr>
          <w:rFonts w:ascii="Verdana" w:hAnsi="Verdana"/>
          <w:sz w:val="20"/>
          <w:lang w:val="pt-BR"/>
        </w:rPr>
        <w:t xml:space="preserve">ndo que </w:t>
      </w:r>
      <w:r w:rsidRPr="002F50BD">
        <w:rPr>
          <w:rFonts w:ascii="Verdana" w:hAnsi="Verdana"/>
          <w:sz w:val="20"/>
          <w:lang w:val="pt-BR"/>
        </w:rPr>
        <w:t>pode</w:t>
      </w:r>
      <w:r w:rsidR="00F47C94" w:rsidRPr="002F50BD">
        <w:rPr>
          <w:rFonts w:ascii="Verdana" w:hAnsi="Verdana"/>
          <w:sz w:val="20"/>
          <w:lang w:val="pt-BR"/>
        </w:rPr>
        <w:t>m</w:t>
      </w:r>
      <w:r w:rsidR="004756C1" w:rsidRPr="002F50BD">
        <w:rPr>
          <w:rFonts w:ascii="Verdana" w:hAnsi="Verdana"/>
          <w:sz w:val="20"/>
          <w:lang w:val="pt-BR"/>
        </w:rPr>
        <w:t xml:space="preserve"> sobre</w:t>
      </w:r>
      <w:r w:rsidRPr="002F50BD">
        <w:rPr>
          <w:rFonts w:ascii="Verdana" w:hAnsi="Verdana"/>
          <w:sz w:val="20"/>
          <w:lang w:val="pt-BR"/>
        </w:rPr>
        <w:t>viver sem um território</w:t>
      </w:r>
      <w:r w:rsidR="004756C1" w:rsidRPr="002F50BD">
        <w:rPr>
          <w:rFonts w:ascii="Verdana" w:hAnsi="Verdana"/>
          <w:sz w:val="20"/>
          <w:lang w:val="pt-BR"/>
        </w:rPr>
        <w:t xml:space="preserve">. </w:t>
      </w:r>
      <w:r w:rsidR="000C1039" w:rsidRPr="002F50BD">
        <w:rPr>
          <w:rFonts w:ascii="Verdana" w:hAnsi="Verdana"/>
          <w:sz w:val="20"/>
          <w:lang w:val="pt-BR"/>
        </w:rPr>
        <w:t>Não obstante isso</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desta Comunidade </w:t>
      </w:r>
      <w:r w:rsidR="004756C1" w:rsidRPr="002F50BD">
        <w:rPr>
          <w:rFonts w:ascii="Verdana" w:hAnsi="Verdana"/>
          <w:sz w:val="20"/>
          <w:lang w:val="pt-BR"/>
        </w:rPr>
        <w:t>vive</w:t>
      </w:r>
      <w:r w:rsidR="000C1039" w:rsidRPr="002F50BD">
        <w:rPr>
          <w:rFonts w:ascii="Verdana" w:hAnsi="Verdana"/>
          <w:sz w:val="20"/>
          <w:lang w:val="pt-BR"/>
        </w:rPr>
        <w:t>m</w:t>
      </w:r>
      <w:r w:rsidR="004756C1" w:rsidRPr="002F50BD">
        <w:rPr>
          <w:rFonts w:ascii="Verdana" w:hAnsi="Verdana"/>
          <w:sz w:val="20"/>
          <w:lang w:val="pt-BR"/>
        </w:rPr>
        <w:t xml:space="preserve">, </w:t>
      </w:r>
      <w:r w:rsidR="000C1039" w:rsidRPr="002F50BD">
        <w:rPr>
          <w:rFonts w:ascii="Verdana" w:hAnsi="Verdana"/>
          <w:sz w:val="20"/>
          <w:lang w:val="pt-BR"/>
        </w:rPr>
        <w:t xml:space="preserve">em </w:t>
      </w:r>
      <w:r w:rsidR="004756C1" w:rsidRPr="002F50BD">
        <w:rPr>
          <w:rFonts w:ascii="Verdana" w:hAnsi="Verdana"/>
          <w:sz w:val="20"/>
          <w:lang w:val="pt-BR"/>
        </w:rPr>
        <w:t>s</w:t>
      </w:r>
      <w:r w:rsidR="000C1039" w:rsidRPr="002F50BD">
        <w:rPr>
          <w:rFonts w:ascii="Verdana" w:hAnsi="Verdana"/>
          <w:sz w:val="20"/>
          <w:lang w:val="pt-BR"/>
        </w:rPr>
        <w:t>e</w:t>
      </w:r>
      <w:r w:rsidR="004756C1" w:rsidRPr="002F50BD">
        <w:rPr>
          <w:rFonts w:ascii="Verdana" w:hAnsi="Verdana"/>
          <w:sz w:val="20"/>
          <w:lang w:val="pt-BR"/>
        </w:rPr>
        <w:t>u imagin</w:t>
      </w:r>
      <w:r w:rsidR="000C1039" w:rsidRPr="002F50BD">
        <w:rPr>
          <w:rFonts w:ascii="Verdana" w:hAnsi="Verdana"/>
          <w:sz w:val="20"/>
          <w:lang w:val="pt-BR"/>
        </w:rPr>
        <w:t>á</w:t>
      </w:r>
      <w:r w:rsidR="004756C1" w:rsidRPr="002F50BD">
        <w:rPr>
          <w:rFonts w:ascii="Verdana" w:hAnsi="Verdana"/>
          <w:sz w:val="20"/>
          <w:lang w:val="pt-BR"/>
        </w:rPr>
        <w:t>rio</w:t>
      </w:r>
      <w:r w:rsidR="000C1039" w:rsidRPr="002F50BD">
        <w:rPr>
          <w:rFonts w:ascii="Verdana" w:hAnsi="Verdana"/>
          <w:sz w:val="20"/>
          <w:lang w:val="pt-BR"/>
        </w:rPr>
        <w:t>,</w:t>
      </w:r>
      <w:r w:rsidRPr="002F50BD">
        <w:rPr>
          <w:rFonts w:ascii="Verdana" w:hAnsi="Verdana"/>
          <w:sz w:val="20"/>
          <w:lang w:val="pt-BR"/>
        </w:rPr>
        <w:t xml:space="preserve"> na terra</w:t>
      </w:r>
      <w:r w:rsidR="004756C1" w:rsidRPr="002F50BD">
        <w:rPr>
          <w:rFonts w:ascii="Verdana" w:hAnsi="Verdana"/>
          <w:sz w:val="20"/>
          <w:lang w:val="pt-BR"/>
        </w:rPr>
        <w:t xml:space="preserve"> que</w:t>
      </w:r>
      <w:r w:rsidRPr="002F50BD">
        <w:rPr>
          <w:rFonts w:ascii="Verdana" w:hAnsi="Verdana"/>
          <w:sz w:val="20"/>
          <w:lang w:val="pt-BR"/>
        </w:rPr>
        <w:t xml:space="preserve"> estão </w:t>
      </w:r>
      <w:r w:rsidR="004756C1" w:rsidRPr="002F50BD">
        <w:rPr>
          <w:rFonts w:ascii="Verdana" w:hAnsi="Verdana"/>
          <w:sz w:val="20"/>
          <w:lang w:val="pt-BR"/>
        </w:rPr>
        <w:t>reclamando</w:t>
      </w:r>
      <w:r w:rsidRPr="002F50BD">
        <w:rPr>
          <w:rFonts w:ascii="Verdana" w:hAnsi="Verdana"/>
          <w:sz w:val="20"/>
          <w:lang w:val="pt-BR"/>
        </w:rPr>
        <w:t xml:space="preserve"> e </w:t>
      </w:r>
      <w:r w:rsidR="000C1039" w:rsidRPr="002F50BD">
        <w:rPr>
          <w:rFonts w:ascii="Verdana" w:hAnsi="Verdana"/>
          <w:sz w:val="20"/>
          <w:lang w:val="pt-BR"/>
        </w:rPr>
        <w:t xml:space="preserve">isso </w:t>
      </w:r>
      <w:r w:rsidRPr="002F50BD">
        <w:rPr>
          <w:rFonts w:ascii="Verdana" w:hAnsi="Verdana"/>
          <w:sz w:val="20"/>
          <w:lang w:val="pt-BR"/>
        </w:rPr>
        <w:t xml:space="preserve">é o que os </w:t>
      </w:r>
      <w:r w:rsidR="004756C1" w:rsidRPr="002F50BD">
        <w:rPr>
          <w:rFonts w:ascii="Verdana" w:hAnsi="Verdana"/>
          <w:sz w:val="20"/>
          <w:lang w:val="pt-BR"/>
        </w:rPr>
        <w:t>mant</w:t>
      </w:r>
      <w:r w:rsidR="000C1039" w:rsidRPr="002F50BD">
        <w:rPr>
          <w:rFonts w:ascii="Verdana" w:hAnsi="Verdana"/>
          <w:sz w:val="20"/>
          <w:lang w:val="pt-BR"/>
        </w:rPr>
        <w:t>êm</w:t>
      </w:r>
      <w:r w:rsidR="004756C1" w:rsidRPr="002F50BD">
        <w:rPr>
          <w:rFonts w:ascii="Verdana" w:hAnsi="Verdana"/>
          <w:sz w:val="20"/>
          <w:lang w:val="pt-BR"/>
        </w:rPr>
        <w:t xml:space="preserve">, por </w:t>
      </w:r>
      <w:r w:rsidRPr="002F50BD">
        <w:rPr>
          <w:rFonts w:ascii="Verdana" w:hAnsi="Verdana"/>
          <w:sz w:val="20"/>
          <w:lang w:val="pt-BR"/>
        </w:rPr>
        <w:t>exemplo</w:t>
      </w:r>
      <w:r w:rsidR="004756C1" w:rsidRPr="002F50BD">
        <w:rPr>
          <w:rFonts w:ascii="Verdana" w:hAnsi="Verdana"/>
          <w:sz w:val="20"/>
          <w:lang w:val="pt-BR"/>
        </w:rPr>
        <w:t>,</w:t>
      </w:r>
      <w:r w:rsidRPr="002F50BD">
        <w:rPr>
          <w:rFonts w:ascii="Verdana" w:hAnsi="Verdana"/>
          <w:sz w:val="20"/>
          <w:lang w:val="pt-BR"/>
        </w:rPr>
        <w:t xml:space="preserve"> com um </w:t>
      </w:r>
      <w:r w:rsidR="004756C1" w:rsidRPr="002F50BD">
        <w:rPr>
          <w:rFonts w:ascii="Verdana" w:hAnsi="Verdana"/>
          <w:sz w:val="20"/>
          <w:lang w:val="pt-BR"/>
        </w:rPr>
        <w:t>altís</w:t>
      </w:r>
      <w:r w:rsidR="000C1039" w:rsidRPr="002F50BD">
        <w:rPr>
          <w:rFonts w:ascii="Verdana" w:hAnsi="Verdana"/>
          <w:sz w:val="20"/>
          <w:lang w:val="pt-BR"/>
        </w:rPr>
        <w:t>s</w:t>
      </w:r>
      <w:r w:rsidR="004756C1" w:rsidRPr="002F50BD">
        <w:rPr>
          <w:rFonts w:ascii="Verdana" w:hAnsi="Verdana"/>
          <w:sz w:val="20"/>
          <w:lang w:val="pt-BR"/>
        </w:rPr>
        <w:t xml:space="preserve">imo </w:t>
      </w:r>
      <w:r w:rsidRPr="002F50BD">
        <w:rPr>
          <w:rFonts w:ascii="Verdana" w:hAnsi="Verdana"/>
          <w:sz w:val="20"/>
          <w:lang w:val="pt-BR"/>
        </w:rPr>
        <w:t xml:space="preserve">índice </w:t>
      </w:r>
      <w:r w:rsidR="004756C1" w:rsidRPr="002F50BD">
        <w:rPr>
          <w:rFonts w:ascii="Verdana" w:hAnsi="Verdana"/>
          <w:sz w:val="20"/>
          <w:lang w:val="pt-BR"/>
        </w:rPr>
        <w:t>de fidelidad</w:t>
      </w:r>
      <w:r w:rsidR="000C1039" w:rsidRPr="002F50BD">
        <w:rPr>
          <w:rFonts w:ascii="Verdana" w:hAnsi="Verdana"/>
          <w:sz w:val="20"/>
          <w:lang w:val="pt-BR"/>
        </w:rPr>
        <w:t>e</w:t>
      </w:r>
      <w:r w:rsidR="004756C1" w:rsidRPr="002F50BD">
        <w:rPr>
          <w:rFonts w:ascii="Verdana" w:hAnsi="Verdana"/>
          <w:sz w:val="20"/>
          <w:lang w:val="pt-BR"/>
        </w:rPr>
        <w:t xml:space="preserve"> </w:t>
      </w:r>
      <w:r w:rsidR="000C1039" w:rsidRPr="002F50BD">
        <w:rPr>
          <w:rFonts w:ascii="Verdana" w:hAnsi="Verdana"/>
          <w:sz w:val="20"/>
          <w:lang w:val="pt-BR"/>
        </w:rPr>
        <w:t>à</w:t>
      </w:r>
      <w:r w:rsidR="004756C1" w:rsidRPr="002F50BD">
        <w:rPr>
          <w:rFonts w:ascii="Verdana" w:hAnsi="Verdana"/>
          <w:sz w:val="20"/>
          <w:lang w:val="pt-BR"/>
        </w:rPr>
        <w:t xml:space="preserve"> su</w:t>
      </w:r>
      <w:r w:rsidR="000C1039" w:rsidRPr="002F50BD">
        <w:rPr>
          <w:rFonts w:ascii="Verdana" w:hAnsi="Verdana"/>
          <w:sz w:val="20"/>
          <w:lang w:val="pt-BR"/>
        </w:rPr>
        <w:t>a</w:t>
      </w:r>
      <w:r w:rsidR="004756C1" w:rsidRPr="002F50BD">
        <w:rPr>
          <w:rFonts w:ascii="Verdana" w:hAnsi="Verdana"/>
          <w:sz w:val="20"/>
          <w:lang w:val="pt-BR"/>
        </w:rPr>
        <w:t xml:space="preserve"> </w:t>
      </w:r>
      <w:r w:rsidR="00CD3DEB" w:rsidRPr="002F50BD">
        <w:rPr>
          <w:rFonts w:ascii="Verdana" w:hAnsi="Verdana"/>
          <w:sz w:val="20"/>
          <w:lang w:val="pt-BR"/>
        </w:rPr>
        <w:t>língua</w:t>
      </w:r>
      <w:r w:rsidR="004756C1" w:rsidRPr="002F50BD">
        <w:rPr>
          <w:rFonts w:ascii="Verdana" w:hAnsi="Verdana"/>
          <w:sz w:val="20"/>
          <w:lang w:val="pt-BR"/>
        </w:rPr>
        <w:t xml:space="preserve"> autóctona.</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problemática</w:t>
      </w:r>
      <w:r w:rsidRPr="002F50BD">
        <w:rPr>
          <w:rFonts w:ascii="Verdana" w:hAnsi="Verdana"/>
          <w:sz w:val="20"/>
          <w:lang w:val="pt-BR"/>
        </w:rPr>
        <w:t xml:space="preserve"> da perda</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xml:space="preserve"> é uma questão</w:t>
      </w:r>
      <w:r w:rsidR="004756C1" w:rsidRPr="002F50BD">
        <w:rPr>
          <w:rFonts w:ascii="Verdana" w:hAnsi="Verdana"/>
          <w:sz w:val="20"/>
          <w:lang w:val="pt-BR"/>
        </w:rPr>
        <w:t xml:space="preserve"> cultural.</w:t>
      </w:r>
      <w:r w:rsidR="00FE08B7">
        <w:rPr>
          <w:rFonts w:ascii="Verdana" w:hAnsi="Verdana"/>
          <w:sz w:val="20"/>
          <w:lang w:val="pt-BR"/>
        </w:rPr>
        <w:t xml:space="preserve"> </w:t>
      </w:r>
      <w:r w:rsidR="000C1039" w:rsidRPr="002F50BD">
        <w:rPr>
          <w:rFonts w:ascii="Verdana" w:hAnsi="Verdana"/>
          <w:sz w:val="20"/>
          <w:lang w:val="pt-BR"/>
        </w:rPr>
        <w:t>A</w:t>
      </w:r>
      <w:r w:rsidR="004076AD" w:rsidRPr="002F50BD">
        <w:rPr>
          <w:rFonts w:ascii="Verdana" w:hAnsi="Verdana"/>
          <w:sz w:val="20"/>
          <w:lang w:val="pt-BR"/>
        </w:rPr>
        <w:t xml:space="preserve">pesar </w:t>
      </w:r>
      <w:r w:rsidR="004756C1" w:rsidRPr="002F50BD">
        <w:rPr>
          <w:rFonts w:ascii="Verdana" w:hAnsi="Verdana"/>
          <w:sz w:val="20"/>
          <w:lang w:val="pt-BR"/>
        </w:rPr>
        <w:t>de</w:t>
      </w:r>
      <w:r w:rsidRPr="002F50BD">
        <w:rPr>
          <w:rFonts w:ascii="Verdana" w:hAnsi="Verdana"/>
          <w:sz w:val="20"/>
          <w:lang w:val="pt-BR"/>
        </w:rPr>
        <w:t xml:space="preserve"> a Constituição</w:t>
      </w:r>
      <w:r w:rsidR="004756C1" w:rsidRPr="002F50BD">
        <w:rPr>
          <w:rFonts w:ascii="Verdana" w:hAnsi="Verdana"/>
          <w:sz w:val="20"/>
          <w:lang w:val="pt-BR"/>
        </w:rPr>
        <w:t xml:space="preserve"> Política </w:t>
      </w:r>
      <w:r w:rsidRPr="002F50BD">
        <w:rPr>
          <w:rFonts w:ascii="Verdana" w:hAnsi="Verdana"/>
          <w:sz w:val="20"/>
          <w:lang w:val="pt-BR"/>
        </w:rPr>
        <w:t>do Paraguai</w:t>
      </w:r>
      <w:r w:rsidR="004756C1" w:rsidRPr="002F50BD">
        <w:rPr>
          <w:rFonts w:ascii="Verdana" w:hAnsi="Verdana"/>
          <w:sz w:val="20"/>
          <w:lang w:val="pt-BR"/>
        </w:rPr>
        <w:t xml:space="preserve"> re</w:t>
      </w:r>
      <w:r w:rsidRPr="002F50BD">
        <w:rPr>
          <w:rFonts w:ascii="Verdana" w:hAnsi="Verdana"/>
          <w:sz w:val="20"/>
          <w:lang w:val="pt-BR"/>
        </w:rPr>
        <w:t>conhece</w:t>
      </w:r>
      <w:r w:rsidR="00F47C94" w:rsidRPr="002F50BD">
        <w:rPr>
          <w:rFonts w:ascii="Verdana" w:hAnsi="Verdana"/>
          <w:sz w:val="20"/>
          <w:lang w:val="pt-BR"/>
        </w:rPr>
        <w:t>r</w:t>
      </w:r>
      <w:r w:rsidRPr="002F50BD">
        <w:rPr>
          <w:rFonts w:ascii="Verdana" w:hAnsi="Verdana"/>
          <w:sz w:val="20"/>
          <w:lang w:val="pt-BR"/>
        </w:rPr>
        <w:t xml:space="preserve"> </w:t>
      </w:r>
      <w:r w:rsidR="004756C1" w:rsidRPr="002F50BD">
        <w:rPr>
          <w:rFonts w:ascii="Verdana" w:hAnsi="Verdana"/>
          <w:sz w:val="20"/>
          <w:lang w:val="pt-BR"/>
        </w:rPr>
        <w:t>que</w:t>
      </w:r>
      <w:r w:rsidRPr="002F50BD">
        <w:rPr>
          <w:rFonts w:ascii="Verdana" w:hAnsi="Verdana"/>
          <w:sz w:val="20"/>
          <w:lang w:val="pt-BR"/>
        </w:rPr>
        <w:t xml:space="preserve"> essas </w:t>
      </w:r>
      <w:r w:rsidR="004756C1" w:rsidRPr="002F50BD">
        <w:rPr>
          <w:rFonts w:ascii="Verdana" w:hAnsi="Verdana"/>
          <w:sz w:val="20"/>
          <w:lang w:val="pt-BR"/>
        </w:rPr>
        <w:t>sociedades indígenas</w:t>
      </w:r>
      <w:r w:rsidRPr="002F50BD">
        <w:rPr>
          <w:rFonts w:ascii="Verdana" w:hAnsi="Verdana"/>
          <w:sz w:val="20"/>
          <w:lang w:val="pt-BR"/>
        </w:rPr>
        <w:t xml:space="preserve"> são </w:t>
      </w:r>
      <w:r w:rsidR="000C1039" w:rsidRPr="002F50BD">
        <w:rPr>
          <w:rFonts w:ascii="Verdana" w:hAnsi="Verdana"/>
          <w:sz w:val="20"/>
          <w:lang w:val="pt-BR"/>
        </w:rPr>
        <w:t>anteriores</w:t>
      </w:r>
      <w:r w:rsidRPr="002F50BD">
        <w:rPr>
          <w:rFonts w:ascii="Verdana" w:hAnsi="Verdana"/>
          <w:sz w:val="20"/>
          <w:lang w:val="pt-BR"/>
        </w:rPr>
        <w:t xml:space="preserve"> à constituição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 n</w:t>
      </w:r>
      <w:r w:rsidR="000C1039" w:rsidRPr="002F50BD">
        <w:rPr>
          <w:rFonts w:ascii="Verdana" w:hAnsi="Verdana"/>
          <w:sz w:val="20"/>
          <w:lang w:val="pt-BR"/>
        </w:rPr>
        <w:t>ã</w:t>
      </w:r>
      <w:r w:rsidR="004756C1" w:rsidRPr="002F50BD">
        <w:rPr>
          <w:rFonts w:ascii="Verdana" w:hAnsi="Verdana"/>
          <w:sz w:val="20"/>
          <w:lang w:val="pt-BR"/>
        </w:rPr>
        <w:t xml:space="preserve">o se </w:t>
      </w:r>
      <w:r w:rsidR="00CC31B6" w:rsidRPr="002F50BD">
        <w:rPr>
          <w:rFonts w:ascii="Verdana" w:hAnsi="Verdana"/>
          <w:sz w:val="20"/>
          <w:lang w:val="pt-BR"/>
        </w:rPr>
        <w:t>chega</w:t>
      </w:r>
      <w:r w:rsidR="004756C1" w:rsidRPr="002F50BD">
        <w:rPr>
          <w:rFonts w:ascii="Verdana" w:hAnsi="Verdana"/>
          <w:sz w:val="20"/>
          <w:lang w:val="pt-BR"/>
        </w:rPr>
        <w:t xml:space="preserve"> a entender que s</w:t>
      </w:r>
      <w:r w:rsidR="000C1039"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território</w:t>
      </w:r>
      <w:r w:rsidR="004756C1" w:rsidRPr="002F50BD">
        <w:rPr>
          <w:rFonts w:ascii="Verdana" w:hAnsi="Verdana"/>
          <w:sz w:val="20"/>
          <w:lang w:val="pt-BR"/>
        </w:rPr>
        <w:t xml:space="preserve">s </w:t>
      </w:r>
      <w:r w:rsidRPr="002F50BD">
        <w:rPr>
          <w:rFonts w:ascii="Verdana" w:hAnsi="Verdana"/>
          <w:sz w:val="20"/>
          <w:lang w:val="pt-BR"/>
        </w:rPr>
        <w:t xml:space="preserve">também são </w:t>
      </w:r>
      <w:r w:rsidR="00F47C94" w:rsidRPr="002F50BD">
        <w:rPr>
          <w:rFonts w:ascii="Verdana" w:hAnsi="Verdana"/>
          <w:sz w:val="20"/>
          <w:lang w:val="pt-BR"/>
        </w:rPr>
        <w:t xml:space="preserve">anteriores </w:t>
      </w:r>
      <w:r w:rsidR="004756C1" w:rsidRPr="002F50BD">
        <w:rPr>
          <w:rFonts w:ascii="Verdana" w:hAnsi="Verdana"/>
          <w:sz w:val="20"/>
          <w:lang w:val="pt-BR"/>
        </w:rPr>
        <w:t xml:space="preserve">a </w:t>
      </w:r>
      <w:r w:rsidR="000C1039" w:rsidRPr="002F50BD">
        <w:rPr>
          <w:rFonts w:ascii="Verdana" w:hAnsi="Verdana"/>
          <w:sz w:val="20"/>
          <w:lang w:val="pt-BR"/>
        </w:rPr>
        <w:t>e</w:t>
      </w:r>
      <w:r w:rsidR="004756C1" w:rsidRPr="002F50BD">
        <w:rPr>
          <w:rFonts w:ascii="Verdana" w:hAnsi="Verdana"/>
          <w:sz w:val="20"/>
          <w:lang w:val="pt-BR"/>
        </w:rPr>
        <w:t xml:space="preserve">ste. </w:t>
      </w:r>
      <w:r w:rsidR="000C1039" w:rsidRPr="002F50BD">
        <w:rPr>
          <w:rFonts w:ascii="Verdana" w:hAnsi="Verdana"/>
          <w:sz w:val="20"/>
          <w:lang w:val="pt-BR"/>
        </w:rPr>
        <w:t>Aceita-se</w:t>
      </w:r>
      <w:r w:rsidR="00F47C94" w:rsidRPr="002F50BD">
        <w:rPr>
          <w:rFonts w:ascii="Verdana" w:hAnsi="Verdana"/>
          <w:sz w:val="20"/>
          <w:lang w:val="pt-BR"/>
        </w:rPr>
        <w:t>,</w:t>
      </w:r>
      <w:r w:rsidR="000C1039" w:rsidRPr="002F50BD">
        <w:rPr>
          <w:rFonts w:ascii="Verdana" w:hAnsi="Verdana"/>
          <w:sz w:val="20"/>
          <w:lang w:val="pt-BR"/>
        </w:rPr>
        <w:t xml:space="preserve"> facilmente</w:t>
      </w:r>
      <w:r w:rsidR="00F47C94" w:rsidRPr="002F50BD">
        <w:rPr>
          <w:rFonts w:ascii="Verdana" w:hAnsi="Verdana"/>
          <w:sz w:val="20"/>
          <w:lang w:val="pt-BR"/>
        </w:rPr>
        <w:t>,</w:t>
      </w:r>
      <w:r w:rsidR="000C1039" w:rsidRPr="002F50BD">
        <w:rPr>
          <w:rFonts w:ascii="Verdana" w:hAnsi="Verdana"/>
          <w:sz w:val="20"/>
          <w:lang w:val="pt-BR"/>
        </w:rPr>
        <w:t xml:space="preserve"> que sua </w:t>
      </w:r>
      <w:r w:rsidR="00CD3DEB" w:rsidRPr="002F50BD">
        <w:rPr>
          <w:rFonts w:ascii="Verdana" w:hAnsi="Verdana"/>
          <w:sz w:val="20"/>
          <w:lang w:val="pt-BR"/>
        </w:rPr>
        <w:t>língua</w:t>
      </w:r>
      <w:r w:rsidR="004756C1" w:rsidRPr="002F50BD">
        <w:rPr>
          <w:rFonts w:ascii="Verdana" w:hAnsi="Verdana"/>
          <w:sz w:val="20"/>
          <w:lang w:val="pt-BR"/>
        </w:rPr>
        <w:t>, su</w:t>
      </w:r>
      <w:r w:rsidR="000C1039" w:rsidRPr="002F50BD">
        <w:rPr>
          <w:rFonts w:ascii="Verdana" w:hAnsi="Verdana"/>
          <w:sz w:val="20"/>
          <w:lang w:val="pt-BR"/>
        </w:rPr>
        <w:t>a</w:t>
      </w:r>
      <w:r w:rsidR="004756C1" w:rsidRPr="002F50BD">
        <w:rPr>
          <w:rFonts w:ascii="Verdana" w:hAnsi="Verdana"/>
          <w:sz w:val="20"/>
          <w:lang w:val="pt-BR"/>
        </w:rPr>
        <w:t xml:space="preserve"> organiza</w:t>
      </w:r>
      <w:r w:rsidRPr="002F50BD">
        <w:rPr>
          <w:rFonts w:ascii="Verdana" w:hAnsi="Verdana"/>
          <w:sz w:val="20"/>
          <w:lang w:val="pt-BR"/>
        </w:rPr>
        <w:t>ção</w:t>
      </w:r>
      <w:r w:rsidR="004756C1" w:rsidRPr="002F50BD">
        <w:rPr>
          <w:rFonts w:ascii="Verdana" w:hAnsi="Verdana"/>
          <w:sz w:val="20"/>
          <w:lang w:val="pt-BR"/>
        </w:rPr>
        <w:t xml:space="preserve"> política, etc.,</w:t>
      </w:r>
      <w:r w:rsidRPr="002F50BD">
        <w:rPr>
          <w:rFonts w:ascii="Verdana" w:hAnsi="Verdana"/>
          <w:sz w:val="20"/>
          <w:lang w:val="pt-BR"/>
        </w:rPr>
        <w:t xml:space="preserve"> são </w:t>
      </w:r>
      <w:r w:rsidR="004756C1" w:rsidRPr="002F50BD">
        <w:rPr>
          <w:rFonts w:ascii="Verdana" w:hAnsi="Verdana"/>
          <w:sz w:val="20"/>
          <w:lang w:val="pt-BR"/>
        </w:rPr>
        <w:t>anteriores</w:t>
      </w:r>
      <w:r w:rsidRPr="002F50BD">
        <w:rPr>
          <w:rFonts w:ascii="Verdana" w:hAnsi="Verdana"/>
          <w:sz w:val="20"/>
          <w:lang w:val="pt-BR"/>
        </w:rPr>
        <w:t xml:space="preserve"> à constituição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Estado, </w:t>
      </w:r>
      <w:r w:rsidRPr="002F50BD">
        <w:rPr>
          <w:rFonts w:ascii="Verdana" w:hAnsi="Verdana"/>
          <w:sz w:val="20"/>
          <w:lang w:val="pt-BR"/>
        </w:rPr>
        <w:t>mas</w:t>
      </w:r>
      <w:r w:rsidR="004756C1" w:rsidRPr="002F50BD">
        <w:rPr>
          <w:rFonts w:ascii="Verdana" w:hAnsi="Verdana"/>
          <w:sz w:val="20"/>
          <w:lang w:val="pt-BR"/>
        </w:rPr>
        <w:t xml:space="preserve"> n</w:t>
      </w:r>
      <w:r w:rsidR="000C1039" w:rsidRPr="002F50BD">
        <w:rPr>
          <w:rFonts w:ascii="Verdana" w:hAnsi="Verdana"/>
          <w:sz w:val="20"/>
          <w:lang w:val="pt-BR"/>
        </w:rPr>
        <w:t>ã</w:t>
      </w:r>
      <w:r w:rsidR="004756C1" w:rsidRPr="002F50BD">
        <w:rPr>
          <w:rFonts w:ascii="Verdana" w:hAnsi="Verdana"/>
          <w:sz w:val="20"/>
          <w:lang w:val="pt-BR"/>
        </w:rPr>
        <w:t xml:space="preserve">o se </w:t>
      </w:r>
      <w:r w:rsidRPr="002F50BD">
        <w:rPr>
          <w:rFonts w:ascii="Verdana" w:hAnsi="Verdana"/>
          <w:sz w:val="20"/>
          <w:lang w:val="pt-BR"/>
        </w:rPr>
        <w:t>aceit</w:t>
      </w:r>
      <w:r w:rsidR="004756C1" w:rsidRPr="002F50BD">
        <w:rPr>
          <w:rFonts w:ascii="Verdana" w:hAnsi="Verdana"/>
          <w:sz w:val="20"/>
          <w:lang w:val="pt-BR"/>
        </w:rPr>
        <w:t xml:space="preserve">a que </w:t>
      </w:r>
      <w:r w:rsidR="00A50140" w:rsidRPr="002F50BD">
        <w:rPr>
          <w:rFonts w:ascii="Verdana" w:hAnsi="Verdana"/>
          <w:sz w:val="20"/>
          <w:lang w:val="pt-BR"/>
        </w:rPr>
        <w:t>suas terras</w:t>
      </w:r>
      <w:r w:rsidR="000C1039" w:rsidRPr="002F50BD">
        <w:rPr>
          <w:rFonts w:ascii="Verdana" w:hAnsi="Verdana"/>
          <w:sz w:val="20"/>
          <w:lang w:val="pt-BR"/>
        </w:rPr>
        <w:t xml:space="preserve"> o sejam</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 xml:space="preserve">Para solucionar </w:t>
      </w:r>
      <w:r w:rsidR="0089298C" w:rsidRPr="002F50BD">
        <w:rPr>
          <w:rFonts w:ascii="Verdana" w:hAnsi="Verdana"/>
          <w:sz w:val="20"/>
          <w:lang w:val="pt-BR"/>
        </w:rPr>
        <w:t>conflito</w:t>
      </w:r>
      <w:r w:rsidRPr="002F50BD">
        <w:rPr>
          <w:rFonts w:ascii="Verdana" w:hAnsi="Verdana"/>
          <w:sz w:val="20"/>
          <w:lang w:val="pt-BR"/>
        </w:rPr>
        <w:t>s como</w:t>
      </w:r>
      <w:r w:rsidR="0089298C" w:rsidRPr="002F50BD">
        <w:rPr>
          <w:rFonts w:ascii="Verdana" w:hAnsi="Verdana"/>
          <w:sz w:val="20"/>
          <w:lang w:val="pt-BR"/>
        </w:rPr>
        <w:t xml:space="preserve"> o apresentado neste </w:t>
      </w:r>
      <w:r w:rsidRPr="002F50BD">
        <w:rPr>
          <w:rFonts w:ascii="Verdana" w:hAnsi="Verdana"/>
          <w:sz w:val="20"/>
          <w:lang w:val="pt-BR"/>
        </w:rPr>
        <w:t>caso</w:t>
      </w:r>
      <w:r w:rsidR="00F47C94" w:rsidRPr="002F50BD">
        <w:rPr>
          <w:rFonts w:ascii="Verdana" w:hAnsi="Verdana"/>
          <w:sz w:val="20"/>
          <w:lang w:val="pt-BR"/>
        </w:rPr>
        <w:t>,</w:t>
      </w:r>
      <w:r w:rsidRPr="002F50BD">
        <w:rPr>
          <w:rFonts w:ascii="Verdana" w:hAnsi="Verdana"/>
          <w:sz w:val="20"/>
          <w:lang w:val="pt-BR"/>
        </w:rPr>
        <w:t xml:space="preserve"> recomenda que se </w:t>
      </w:r>
      <w:r w:rsidR="004076AD" w:rsidRPr="002F50BD">
        <w:rPr>
          <w:rFonts w:ascii="Verdana" w:hAnsi="Verdana"/>
          <w:sz w:val="20"/>
          <w:lang w:val="pt-BR"/>
        </w:rPr>
        <w:t>realizem</w:t>
      </w:r>
      <w:r w:rsidRPr="002F50BD">
        <w:rPr>
          <w:rFonts w:ascii="Verdana" w:hAnsi="Verdana"/>
          <w:sz w:val="20"/>
          <w:lang w:val="pt-BR"/>
        </w:rPr>
        <w:t xml:space="preserve"> </w:t>
      </w:r>
      <w:r w:rsidR="0089298C" w:rsidRPr="002F50BD">
        <w:rPr>
          <w:rFonts w:ascii="Verdana" w:hAnsi="Verdana"/>
          <w:sz w:val="20"/>
          <w:lang w:val="pt-BR"/>
        </w:rPr>
        <w:t>estudo</w:t>
      </w:r>
      <w:r w:rsidRPr="002F50BD">
        <w:rPr>
          <w:rFonts w:ascii="Verdana" w:hAnsi="Verdana"/>
          <w:sz w:val="20"/>
          <w:lang w:val="pt-BR"/>
        </w:rPr>
        <w:t>s antropológicos s</w:t>
      </w:r>
      <w:r w:rsidR="000C1039" w:rsidRPr="002F50BD">
        <w:rPr>
          <w:rFonts w:ascii="Verdana" w:hAnsi="Verdana"/>
          <w:sz w:val="20"/>
          <w:lang w:val="pt-BR"/>
        </w:rPr>
        <w:t>é</w:t>
      </w:r>
      <w:r w:rsidRPr="002F50BD">
        <w:rPr>
          <w:rFonts w:ascii="Verdana" w:hAnsi="Verdana"/>
          <w:sz w:val="20"/>
          <w:lang w:val="pt-BR"/>
        </w:rPr>
        <w:t>rios</w:t>
      </w:r>
      <w:r w:rsidR="0089298C" w:rsidRPr="002F50BD">
        <w:rPr>
          <w:rFonts w:ascii="Verdana" w:hAnsi="Verdana"/>
          <w:sz w:val="20"/>
          <w:lang w:val="pt-BR"/>
        </w:rPr>
        <w:t xml:space="preserve"> através dos quais</w:t>
      </w:r>
      <w:r w:rsidRPr="002F50BD">
        <w:rPr>
          <w:rFonts w:ascii="Verdana" w:hAnsi="Verdana"/>
          <w:sz w:val="20"/>
          <w:lang w:val="pt-BR"/>
        </w:rPr>
        <w:t xml:space="preserve"> se determine </w:t>
      </w:r>
      <w:r w:rsidR="0089298C" w:rsidRPr="002F50BD">
        <w:rPr>
          <w:rFonts w:ascii="Verdana" w:hAnsi="Verdana"/>
          <w:sz w:val="20"/>
          <w:lang w:val="pt-BR"/>
        </w:rPr>
        <w:t>qu</w:t>
      </w:r>
      <w:r w:rsidR="000C1039" w:rsidRPr="002F50BD">
        <w:rPr>
          <w:rFonts w:ascii="Verdana" w:hAnsi="Verdana"/>
          <w:sz w:val="20"/>
          <w:lang w:val="pt-BR"/>
        </w:rPr>
        <w:t>ai</w:t>
      </w:r>
      <w:r w:rsidRPr="002F50BD">
        <w:rPr>
          <w:rFonts w:ascii="Verdana" w:hAnsi="Verdana"/>
          <w:sz w:val="20"/>
          <w:lang w:val="pt-BR"/>
        </w:rPr>
        <w:t>s</w:t>
      </w:r>
      <w:r w:rsidR="0089298C" w:rsidRPr="002F50BD">
        <w:rPr>
          <w:rFonts w:ascii="Verdana" w:hAnsi="Verdana"/>
          <w:sz w:val="20"/>
          <w:lang w:val="pt-BR"/>
        </w:rPr>
        <w:t xml:space="preserve"> são os território</w:t>
      </w:r>
      <w:r w:rsidRPr="002F50BD">
        <w:rPr>
          <w:rFonts w:ascii="Verdana" w:hAnsi="Verdana"/>
          <w:sz w:val="20"/>
          <w:lang w:val="pt-BR"/>
        </w:rPr>
        <w:t xml:space="preserve">s </w:t>
      </w:r>
      <w:r w:rsidR="00AB454A" w:rsidRPr="002F50BD">
        <w:rPr>
          <w:rFonts w:ascii="Verdana" w:hAnsi="Verdana"/>
          <w:sz w:val="20"/>
          <w:lang w:val="pt-BR"/>
        </w:rPr>
        <w:t>ancestrais</w:t>
      </w:r>
      <w:r w:rsidR="0089298C" w:rsidRPr="002F50BD">
        <w:rPr>
          <w:rFonts w:ascii="Verdana" w:hAnsi="Verdana"/>
          <w:sz w:val="20"/>
          <w:lang w:val="pt-BR"/>
        </w:rPr>
        <w:t xml:space="preserve"> das </w:t>
      </w:r>
      <w:r w:rsidRPr="002F50BD">
        <w:rPr>
          <w:rFonts w:ascii="Verdana" w:hAnsi="Verdana"/>
          <w:sz w:val="20"/>
          <w:lang w:val="pt-BR"/>
        </w:rPr>
        <w:t>comunidades indígenas o</w:t>
      </w:r>
      <w:r w:rsidR="000C1039" w:rsidRPr="002F50BD">
        <w:rPr>
          <w:rFonts w:ascii="Verdana" w:hAnsi="Verdana"/>
          <w:sz w:val="20"/>
          <w:lang w:val="pt-BR"/>
        </w:rPr>
        <w:t>u</w:t>
      </w:r>
      <w:r w:rsidR="00F47C94" w:rsidRPr="002F50BD">
        <w:rPr>
          <w:rFonts w:ascii="Verdana" w:hAnsi="Verdana"/>
          <w:sz w:val="20"/>
          <w:lang w:val="pt-BR"/>
        </w:rPr>
        <w:t>,</w:t>
      </w:r>
      <w:r w:rsidRPr="002F50BD">
        <w:rPr>
          <w:rFonts w:ascii="Verdana" w:hAnsi="Verdana"/>
          <w:sz w:val="20"/>
          <w:lang w:val="pt-BR"/>
        </w:rPr>
        <w:t xml:space="preserve"> </w:t>
      </w:r>
      <w:r w:rsidR="000C1039" w:rsidRPr="002F50BD">
        <w:rPr>
          <w:rFonts w:ascii="Verdana" w:hAnsi="Verdana"/>
          <w:sz w:val="20"/>
          <w:lang w:val="pt-BR"/>
        </w:rPr>
        <w:t xml:space="preserve">ao </w:t>
      </w:r>
      <w:r w:rsidRPr="002F50BD">
        <w:rPr>
          <w:rFonts w:ascii="Verdana" w:hAnsi="Verdana"/>
          <w:sz w:val="20"/>
          <w:lang w:val="pt-BR"/>
        </w:rPr>
        <w:t>menos</w:t>
      </w:r>
      <w:r w:rsidR="00F47C94" w:rsidRPr="002F50BD">
        <w:rPr>
          <w:rFonts w:ascii="Verdana" w:hAnsi="Verdana"/>
          <w:sz w:val="20"/>
          <w:lang w:val="pt-BR"/>
        </w:rPr>
        <w:t>,</w:t>
      </w:r>
      <w:r w:rsidR="0089298C" w:rsidRPr="002F50BD">
        <w:rPr>
          <w:rFonts w:ascii="Verdana" w:hAnsi="Verdana"/>
          <w:sz w:val="20"/>
          <w:lang w:val="pt-BR"/>
        </w:rPr>
        <w:t xml:space="preserve"> </w:t>
      </w:r>
      <w:r w:rsidR="000C1039" w:rsidRPr="002F50BD">
        <w:rPr>
          <w:rFonts w:ascii="Verdana" w:hAnsi="Verdana"/>
          <w:sz w:val="20"/>
          <w:lang w:val="pt-BR"/>
        </w:rPr>
        <w:t xml:space="preserve">alguns de seus </w:t>
      </w:r>
      <w:r w:rsidRPr="002F50BD">
        <w:rPr>
          <w:rFonts w:ascii="Verdana" w:hAnsi="Verdana"/>
          <w:sz w:val="20"/>
          <w:lang w:val="pt-BR"/>
        </w:rPr>
        <w:t>núcleos.</w:t>
      </w:r>
      <w:r w:rsidR="00FE08B7">
        <w:rPr>
          <w:rFonts w:ascii="Verdana" w:hAnsi="Verdana"/>
          <w:sz w:val="20"/>
          <w:lang w:val="pt-BR"/>
        </w:rPr>
        <w:t xml:space="preserve"> </w:t>
      </w:r>
      <w:r w:rsidRPr="002F50BD">
        <w:rPr>
          <w:rFonts w:ascii="Verdana" w:hAnsi="Verdana"/>
          <w:sz w:val="20"/>
          <w:lang w:val="pt-BR"/>
        </w:rPr>
        <w:t>Paralelamente</w:t>
      </w:r>
      <w:r w:rsidR="00F47C94" w:rsidRPr="002F50BD">
        <w:rPr>
          <w:rFonts w:ascii="Verdana" w:hAnsi="Verdana"/>
          <w:sz w:val="20"/>
          <w:lang w:val="pt-BR"/>
        </w:rPr>
        <w:t>,</w:t>
      </w:r>
      <w:r w:rsidRPr="002F50BD">
        <w:rPr>
          <w:rFonts w:ascii="Verdana" w:hAnsi="Verdana"/>
          <w:sz w:val="20"/>
          <w:lang w:val="pt-BR"/>
        </w:rPr>
        <w:t xml:space="preserve"> </w:t>
      </w:r>
      <w:r w:rsidR="005B22C9" w:rsidRPr="002F50BD">
        <w:rPr>
          <w:rFonts w:ascii="Verdana" w:hAnsi="Verdana"/>
          <w:sz w:val="20"/>
          <w:lang w:val="pt-BR"/>
        </w:rPr>
        <w:t>deveria</w:t>
      </w:r>
      <w:r w:rsidR="000C1039" w:rsidRPr="002F50BD">
        <w:rPr>
          <w:rFonts w:ascii="Verdana" w:hAnsi="Verdana"/>
          <w:sz w:val="20"/>
          <w:lang w:val="pt-BR"/>
        </w:rPr>
        <w:t xml:space="preserve"> ser feito </w:t>
      </w:r>
      <w:r w:rsidR="0089298C" w:rsidRPr="002F50BD">
        <w:rPr>
          <w:rFonts w:ascii="Verdana" w:hAnsi="Verdana"/>
          <w:sz w:val="20"/>
          <w:lang w:val="pt-BR"/>
        </w:rPr>
        <w:t xml:space="preserve">um </w:t>
      </w:r>
      <w:r w:rsidRPr="002F50BD">
        <w:rPr>
          <w:rFonts w:ascii="Verdana" w:hAnsi="Verdana"/>
          <w:sz w:val="20"/>
          <w:lang w:val="pt-BR"/>
        </w:rPr>
        <w:t>ca</w:t>
      </w:r>
      <w:r w:rsidR="000C1039" w:rsidRPr="002F50BD">
        <w:rPr>
          <w:rFonts w:ascii="Verdana" w:hAnsi="Verdana"/>
          <w:sz w:val="20"/>
          <w:lang w:val="pt-BR"/>
        </w:rPr>
        <w:t>d</w:t>
      </w:r>
      <w:r w:rsidRPr="002F50BD">
        <w:rPr>
          <w:rFonts w:ascii="Verdana" w:hAnsi="Verdana"/>
          <w:sz w:val="20"/>
          <w:lang w:val="pt-BR"/>
        </w:rPr>
        <w:t>astro</w:t>
      </w:r>
      <w:r w:rsidR="0089298C" w:rsidRPr="002F50BD">
        <w:rPr>
          <w:rFonts w:ascii="Verdana" w:hAnsi="Verdana"/>
          <w:sz w:val="20"/>
          <w:lang w:val="pt-BR"/>
        </w:rPr>
        <w:t xml:space="preserve"> das terra</w:t>
      </w:r>
      <w:r w:rsidRPr="002F50BD">
        <w:rPr>
          <w:rFonts w:ascii="Verdana" w:hAnsi="Verdana"/>
          <w:sz w:val="20"/>
          <w:lang w:val="pt-BR"/>
        </w:rPr>
        <w:t xml:space="preserve">s </w:t>
      </w:r>
      <w:r w:rsidR="0089298C" w:rsidRPr="002F50BD">
        <w:rPr>
          <w:rFonts w:ascii="Verdana" w:hAnsi="Verdana"/>
          <w:sz w:val="20"/>
          <w:lang w:val="pt-BR"/>
        </w:rPr>
        <w:t xml:space="preserve">do </w:t>
      </w:r>
      <w:r w:rsidRPr="002F50BD">
        <w:rPr>
          <w:rFonts w:ascii="Verdana" w:hAnsi="Verdana"/>
          <w:sz w:val="20"/>
          <w:lang w:val="pt-BR"/>
        </w:rPr>
        <w:t>Chaco, algo que n</w:t>
      </w:r>
      <w:r w:rsidR="000C1039" w:rsidRPr="002F50BD">
        <w:rPr>
          <w:rFonts w:ascii="Verdana" w:hAnsi="Verdana"/>
          <w:sz w:val="20"/>
          <w:lang w:val="pt-BR"/>
        </w:rPr>
        <w:t>ão foi feito até hoje</w:t>
      </w:r>
      <w:r w:rsidRPr="002F50BD">
        <w:rPr>
          <w:rFonts w:ascii="Verdana" w:hAnsi="Verdana"/>
          <w:sz w:val="20"/>
          <w:lang w:val="pt-BR"/>
        </w:rPr>
        <w:t xml:space="preserve">. </w:t>
      </w:r>
      <w:r w:rsidR="0089298C" w:rsidRPr="002F50BD">
        <w:rPr>
          <w:rFonts w:ascii="Verdana" w:hAnsi="Verdana"/>
          <w:sz w:val="20"/>
          <w:lang w:val="pt-BR"/>
        </w:rPr>
        <w:t>Depois</w:t>
      </w:r>
      <w:r w:rsidRPr="002F50BD">
        <w:rPr>
          <w:rFonts w:ascii="Verdana" w:hAnsi="Verdana"/>
          <w:sz w:val="20"/>
          <w:lang w:val="pt-BR"/>
        </w:rPr>
        <w:t xml:space="preserve">, </w:t>
      </w:r>
      <w:r w:rsidR="0089298C" w:rsidRPr="002F50BD">
        <w:rPr>
          <w:rFonts w:ascii="Verdana" w:hAnsi="Verdana"/>
          <w:sz w:val="20"/>
          <w:lang w:val="pt-BR"/>
        </w:rPr>
        <w:t>deve</w:t>
      </w:r>
      <w:r w:rsidR="00F47C94" w:rsidRPr="002F50BD">
        <w:rPr>
          <w:rFonts w:ascii="Verdana" w:hAnsi="Verdana"/>
          <w:sz w:val="20"/>
          <w:lang w:val="pt-BR"/>
        </w:rPr>
        <w:t xml:space="preserve">-se </w:t>
      </w:r>
      <w:r w:rsidRPr="002F50BD">
        <w:rPr>
          <w:rFonts w:ascii="Verdana" w:hAnsi="Verdana"/>
          <w:sz w:val="20"/>
          <w:lang w:val="pt-BR"/>
        </w:rPr>
        <w:t>estudar</w:t>
      </w:r>
      <w:r w:rsidR="0089298C" w:rsidRPr="002F50BD">
        <w:rPr>
          <w:rFonts w:ascii="Verdana" w:hAnsi="Verdana"/>
          <w:sz w:val="20"/>
          <w:lang w:val="pt-BR"/>
        </w:rPr>
        <w:t xml:space="preserve"> as </w:t>
      </w:r>
      <w:r w:rsidR="004076AD" w:rsidRPr="002F50BD">
        <w:rPr>
          <w:rFonts w:ascii="Verdana" w:hAnsi="Verdana"/>
          <w:sz w:val="20"/>
          <w:lang w:val="pt-BR"/>
        </w:rPr>
        <w:t>possibilidade</w:t>
      </w:r>
      <w:r w:rsidRPr="002F50BD">
        <w:rPr>
          <w:rFonts w:ascii="Verdana" w:hAnsi="Verdana"/>
          <w:sz w:val="20"/>
          <w:lang w:val="pt-BR"/>
        </w:rPr>
        <w:t xml:space="preserve">s de </w:t>
      </w:r>
      <w:r w:rsidR="00DB51F0" w:rsidRPr="002F50BD">
        <w:rPr>
          <w:rFonts w:ascii="Verdana" w:hAnsi="Verdana"/>
          <w:sz w:val="20"/>
          <w:lang w:val="pt-BR"/>
        </w:rPr>
        <w:t>expropriação</w:t>
      </w:r>
      <w:r w:rsidR="0089298C" w:rsidRPr="002F50BD">
        <w:rPr>
          <w:rFonts w:ascii="Verdana" w:hAnsi="Verdana"/>
          <w:sz w:val="20"/>
          <w:lang w:val="pt-BR"/>
        </w:rPr>
        <w:t xml:space="preserve"> da terra</w:t>
      </w:r>
      <w:r w:rsidRPr="002F50BD">
        <w:rPr>
          <w:rFonts w:ascii="Verdana" w:hAnsi="Verdana"/>
          <w:sz w:val="20"/>
          <w:lang w:val="pt-BR"/>
        </w:rPr>
        <w:t>, junt</w:t>
      </w:r>
      <w:r w:rsidR="000C1039" w:rsidRPr="002F50BD">
        <w:rPr>
          <w:rFonts w:ascii="Verdana" w:hAnsi="Verdana"/>
          <w:sz w:val="20"/>
          <w:lang w:val="pt-BR"/>
        </w:rPr>
        <w:t>amente</w:t>
      </w:r>
      <w:r w:rsidR="0089298C" w:rsidRPr="002F50BD">
        <w:rPr>
          <w:rFonts w:ascii="Verdana" w:hAnsi="Verdana"/>
          <w:sz w:val="20"/>
          <w:lang w:val="pt-BR"/>
        </w:rPr>
        <w:t xml:space="preserve"> com a indenização das melhor</w:t>
      </w:r>
      <w:r w:rsidR="000C1039" w:rsidRPr="002F50BD">
        <w:rPr>
          <w:rFonts w:ascii="Verdana" w:hAnsi="Verdana"/>
          <w:sz w:val="20"/>
          <w:lang w:val="pt-BR"/>
        </w:rPr>
        <w:t>i</w:t>
      </w:r>
      <w:r w:rsidRPr="002F50BD">
        <w:rPr>
          <w:rFonts w:ascii="Verdana" w:hAnsi="Verdana"/>
          <w:sz w:val="20"/>
          <w:lang w:val="pt-BR"/>
        </w:rPr>
        <w:t xml:space="preserve">as </w:t>
      </w:r>
      <w:r w:rsidR="0089298C" w:rsidRPr="002F50BD">
        <w:rPr>
          <w:rFonts w:ascii="Verdana" w:hAnsi="Verdana"/>
          <w:sz w:val="20"/>
          <w:lang w:val="pt-BR"/>
        </w:rPr>
        <w:t>reais</w:t>
      </w:r>
      <w:r w:rsidRPr="002F50BD">
        <w:rPr>
          <w:rFonts w:ascii="Verdana" w:hAnsi="Verdana"/>
          <w:sz w:val="20"/>
          <w:lang w:val="pt-BR"/>
        </w:rPr>
        <w:t xml:space="preserve"> realizadas</w:t>
      </w:r>
      <w:r w:rsidR="0089298C" w:rsidRPr="002F50BD">
        <w:rPr>
          <w:rFonts w:ascii="Verdana" w:hAnsi="Verdana"/>
          <w:sz w:val="20"/>
          <w:lang w:val="pt-BR"/>
        </w:rPr>
        <w:t xml:space="preserve"> na propriedade</w:t>
      </w:r>
      <w:r w:rsidRPr="002F50BD">
        <w:rPr>
          <w:rFonts w:ascii="Verdana" w:hAnsi="Verdana"/>
          <w:sz w:val="20"/>
          <w:lang w:val="pt-BR"/>
        </w:rPr>
        <w:t xml:space="preserve">. </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sz w:val="20"/>
          <w:lang w:val="pt-BR"/>
        </w:rPr>
      </w:pPr>
      <w:r w:rsidRPr="002F50BD">
        <w:rPr>
          <w:rFonts w:ascii="Verdana" w:hAnsi="Verdana"/>
          <w:b/>
          <w:sz w:val="20"/>
          <w:lang w:val="pt-BR"/>
        </w:rPr>
        <w:t>g.</w:t>
      </w:r>
      <w:r w:rsidRPr="002F50BD">
        <w:rPr>
          <w:rFonts w:ascii="Verdana" w:hAnsi="Verdana"/>
          <w:b/>
          <w:sz w:val="20"/>
          <w:lang w:val="pt-BR"/>
        </w:rPr>
        <w:tab/>
        <w:t>Pablo Balmaceda Rodríguez, perito</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Trabalh</w:t>
      </w:r>
      <w:r w:rsidR="004756C1" w:rsidRPr="002F50BD">
        <w:rPr>
          <w:rFonts w:ascii="Verdana" w:hAnsi="Verdana"/>
          <w:sz w:val="20"/>
          <w:lang w:val="pt-BR"/>
        </w:rPr>
        <w:t xml:space="preserve">a </w:t>
      </w:r>
      <w:r w:rsidR="000C1039" w:rsidRPr="002F50BD">
        <w:rPr>
          <w:rFonts w:ascii="Verdana" w:hAnsi="Verdana"/>
          <w:sz w:val="20"/>
          <w:lang w:val="pt-BR"/>
        </w:rPr>
        <w:t>prestando</w:t>
      </w:r>
      <w:r w:rsidR="004756C1" w:rsidRPr="002F50BD">
        <w:rPr>
          <w:rFonts w:ascii="Verdana" w:hAnsi="Verdana"/>
          <w:sz w:val="20"/>
          <w:lang w:val="pt-BR"/>
        </w:rPr>
        <w:t xml:space="preserve"> </w:t>
      </w:r>
      <w:r w:rsidRPr="002F50BD">
        <w:rPr>
          <w:rFonts w:ascii="Verdana" w:hAnsi="Verdana"/>
          <w:sz w:val="20"/>
          <w:lang w:val="pt-BR"/>
        </w:rPr>
        <w:t>atenção</w:t>
      </w:r>
      <w:r w:rsidR="004756C1" w:rsidRPr="002F50BD">
        <w:rPr>
          <w:rFonts w:ascii="Verdana" w:hAnsi="Verdana"/>
          <w:sz w:val="20"/>
          <w:lang w:val="pt-BR"/>
        </w:rPr>
        <w:t xml:space="preserve"> médica</w:t>
      </w:r>
      <w:r w:rsidRPr="002F50BD">
        <w:rPr>
          <w:rFonts w:ascii="Verdana" w:hAnsi="Verdana"/>
          <w:sz w:val="20"/>
          <w:lang w:val="pt-BR"/>
        </w:rPr>
        <w:t xml:space="preserve"> à Comunidade </w:t>
      </w:r>
      <w:r w:rsidR="004756C1" w:rsidRPr="002F50BD">
        <w:rPr>
          <w:rFonts w:ascii="Verdana" w:hAnsi="Verdana"/>
          <w:sz w:val="20"/>
          <w:lang w:val="pt-BR"/>
        </w:rPr>
        <w:t xml:space="preserve">Yakye Axa </w:t>
      </w:r>
      <w:r w:rsidR="00AB454A" w:rsidRPr="002F50BD">
        <w:rPr>
          <w:rFonts w:ascii="Verdana" w:hAnsi="Verdana"/>
          <w:sz w:val="20"/>
          <w:lang w:val="pt-BR"/>
        </w:rPr>
        <w:t xml:space="preserve">desde o </w:t>
      </w:r>
      <w:r w:rsidRPr="002F50BD">
        <w:rPr>
          <w:rFonts w:ascii="Verdana" w:hAnsi="Verdana"/>
          <w:sz w:val="20"/>
          <w:lang w:val="pt-BR"/>
        </w:rPr>
        <w:t xml:space="preserve">ano </w:t>
      </w:r>
      <w:r w:rsidR="00063B47" w:rsidRPr="002F50BD">
        <w:rPr>
          <w:rFonts w:ascii="Verdana" w:hAnsi="Verdana"/>
          <w:sz w:val="20"/>
          <w:lang w:val="pt-BR"/>
        </w:rPr>
        <w:t>2000</w:t>
      </w:r>
      <w:r w:rsidR="004756C1" w:rsidRPr="002F50BD">
        <w:rPr>
          <w:rFonts w:ascii="Verdana" w:hAnsi="Verdana"/>
          <w:sz w:val="20"/>
          <w:lang w:val="pt-BR"/>
        </w:rPr>
        <w:t xml:space="preserve">. Desde </w:t>
      </w:r>
      <w:r w:rsidRPr="002F50BD">
        <w:rPr>
          <w:rFonts w:ascii="Verdana" w:hAnsi="Verdana"/>
          <w:sz w:val="20"/>
          <w:lang w:val="pt-BR"/>
        </w:rPr>
        <w:t>então</w:t>
      </w:r>
      <w:r w:rsidR="004756C1" w:rsidRPr="002F50BD">
        <w:rPr>
          <w:rFonts w:ascii="Verdana" w:hAnsi="Verdana"/>
          <w:sz w:val="20"/>
          <w:lang w:val="pt-BR"/>
        </w:rPr>
        <w:t>, visita</w:t>
      </w:r>
      <w:r w:rsidRPr="002F50BD">
        <w:rPr>
          <w:rFonts w:ascii="Verdana" w:hAnsi="Verdana"/>
          <w:sz w:val="20"/>
          <w:lang w:val="pt-BR"/>
        </w:rPr>
        <w:t xml:space="preserve"> à Comunidade </w:t>
      </w:r>
      <w:r w:rsidR="000C1039" w:rsidRPr="002F50BD">
        <w:rPr>
          <w:rFonts w:ascii="Verdana" w:hAnsi="Verdana"/>
          <w:sz w:val="20"/>
          <w:lang w:val="pt-BR"/>
        </w:rPr>
        <w:t xml:space="preserve">a </w:t>
      </w:r>
      <w:r w:rsidR="004756C1" w:rsidRPr="002F50BD">
        <w:rPr>
          <w:rFonts w:ascii="Verdana" w:hAnsi="Verdana"/>
          <w:sz w:val="20"/>
          <w:lang w:val="pt-BR"/>
        </w:rPr>
        <w:t>cada do</w:t>
      </w:r>
      <w:r w:rsidR="000C1039" w:rsidRPr="002F50BD">
        <w:rPr>
          <w:rFonts w:ascii="Verdana" w:hAnsi="Verdana"/>
          <w:sz w:val="20"/>
          <w:lang w:val="pt-BR"/>
        </w:rPr>
        <w:t>i</w:t>
      </w:r>
      <w:r w:rsidR="004756C1" w:rsidRPr="002F50BD">
        <w:rPr>
          <w:rFonts w:ascii="Verdana" w:hAnsi="Verdana"/>
          <w:sz w:val="20"/>
          <w:lang w:val="pt-BR"/>
        </w:rPr>
        <w:t>s o</w:t>
      </w:r>
      <w:r w:rsidR="000C1039" w:rsidRPr="002F50BD">
        <w:rPr>
          <w:rFonts w:ascii="Verdana" w:hAnsi="Verdana"/>
          <w:sz w:val="20"/>
          <w:lang w:val="pt-BR"/>
        </w:rPr>
        <w:t>u</w:t>
      </w:r>
      <w:r w:rsidRPr="002F50BD">
        <w:rPr>
          <w:rFonts w:ascii="Verdana" w:hAnsi="Verdana"/>
          <w:sz w:val="20"/>
          <w:lang w:val="pt-BR"/>
        </w:rPr>
        <w:t xml:space="preserve"> três </w:t>
      </w:r>
      <w:r w:rsidR="004756C1" w:rsidRPr="002F50BD">
        <w:rPr>
          <w:rFonts w:ascii="Verdana" w:hAnsi="Verdana"/>
          <w:sz w:val="20"/>
          <w:lang w:val="pt-BR"/>
        </w:rPr>
        <w:t>meses.</w:t>
      </w:r>
    </w:p>
    <w:p w:rsidR="004756C1" w:rsidRPr="002F50BD" w:rsidRDefault="004756C1">
      <w:pPr>
        <w:jc w:val="both"/>
        <w:rPr>
          <w:rFonts w:ascii="Verdana" w:hAnsi="Verdana"/>
          <w:sz w:val="20"/>
          <w:lang w:val="pt-BR"/>
        </w:rPr>
      </w:pPr>
      <w:r w:rsidRPr="002F50BD">
        <w:rPr>
          <w:rFonts w:ascii="Verdana" w:hAnsi="Verdana"/>
          <w:sz w:val="20"/>
          <w:lang w:val="pt-BR"/>
        </w:rPr>
        <w:t xml:space="preserve"> </w:t>
      </w:r>
      <w:r w:rsidR="0089298C" w:rsidRPr="002F50BD">
        <w:rPr>
          <w:rFonts w:ascii="Verdana" w:hAnsi="Verdana"/>
          <w:sz w:val="20"/>
          <w:lang w:val="pt-BR"/>
        </w:rPr>
        <w:cr/>
        <w:t xml:space="preserve">O </w:t>
      </w:r>
      <w:r w:rsidRPr="002F50BD">
        <w:rPr>
          <w:rFonts w:ascii="Verdana" w:hAnsi="Verdana"/>
          <w:sz w:val="20"/>
          <w:lang w:val="pt-BR"/>
        </w:rPr>
        <w:t>objetivo de su</w:t>
      </w:r>
      <w:r w:rsidR="000C1039"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 xml:space="preserve">perícia foi </w:t>
      </w:r>
      <w:r w:rsidRPr="002F50BD">
        <w:rPr>
          <w:rFonts w:ascii="Verdana" w:hAnsi="Verdana"/>
          <w:sz w:val="20"/>
          <w:lang w:val="pt-BR"/>
        </w:rPr>
        <w:t>com</w:t>
      </w:r>
      <w:r w:rsidR="0089298C" w:rsidRPr="002F50BD">
        <w:rPr>
          <w:rFonts w:ascii="Verdana" w:hAnsi="Verdana"/>
          <w:sz w:val="20"/>
          <w:lang w:val="pt-BR"/>
        </w:rPr>
        <w:t>provar</w:t>
      </w:r>
      <w:r w:rsidR="004F64EE" w:rsidRPr="002F50BD">
        <w:rPr>
          <w:rFonts w:ascii="Verdana" w:hAnsi="Verdana"/>
          <w:sz w:val="20"/>
          <w:lang w:val="pt-BR"/>
        </w:rPr>
        <w:t>,</w:t>
      </w:r>
      <w:r w:rsidR="0089298C" w:rsidRPr="002F50BD">
        <w:rPr>
          <w:rFonts w:ascii="Verdana" w:hAnsi="Verdana"/>
          <w:sz w:val="20"/>
          <w:lang w:val="pt-BR"/>
        </w:rPr>
        <w:t xml:space="preserve"> com estudo</w:t>
      </w:r>
      <w:r w:rsidRPr="002F50BD">
        <w:rPr>
          <w:rFonts w:ascii="Verdana" w:hAnsi="Verdana"/>
          <w:sz w:val="20"/>
          <w:lang w:val="pt-BR"/>
        </w:rPr>
        <w:t xml:space="preserve">s </w:t>
      </w:r>
      <w:r w:rsidR="000C1039" w:rsidRPr="002F50BD">
        <w:rPr>
          <w:rFonts w:ascii="Verdana" w:hAnsi="Verdana"/>
          <w:sz w:val="20"/>
          <w:lang w:val="pt-BR"/>
        </w:rPr>
        <w:t>confiáveis</w:t>
      </w:r>
      <w:r w:rsidR="004F64EE" w:rsidRPr="002F50BD">
        <w:rPr>
          <w:rFonts w:ascii="Verdana" w:hAnsi="Verdana"/>
          <w:sz w:val="20"/>
          <w:lang w:val="pt-BR"/>
        </w:rPr>
        <w:t>,</w:t>
      </w:r>
      <w:r w:rsidR="000C1039" w:rsidRPr="002F50BD">
        <w:rPr>
          <w:rFonts w:ascii="Verdana" w:hAnsi="Verdana"/>
          <w:sz w:val="20"/>
          <w:lang w:val="pt-BR"/>
        </w:rPr>
        <w:t xml:space="preserve"> </w:t>
      </w:r>
      <w:r w:rsidR="0089298C" w:rsidRPr="002F50BD">
        <w:rPr>
          <w:rFonts w:ascii="Verdana" w:hAnsi="Verdana"/>
          <w:sz w:val="20"/>
          <w:lang w:val="pt-BR"/>
        </w:rPr>
        <w:t>qual</w:t>
      </w:r>
      <w:r w:rsidRPr="002F50BD">
        <w:rPr>
          <w:rFonts w:ascii="Verdana" w:hAnsi="Verdana"/>
          <w:sz w:val="20"/>
          <w:lang w:val="pt-BR"/>
        </w:rPr>
        <w:t xml:space="preserve"> era</w:t>
      </w:r>
      <w:r w:rsidR="0089298C" w:rsidRPr="002F50BD">
        <w:rPr>
          <w:rFonts w:ascii="Verdana" w:hAnsi="Verdana"/>
          <w:sz w:val="20"/>
          <w:lang w:val="pt-BR"/>
        </w:rPr>
        <w:t xml:space="preserve"> a </w:t>
      </w:r>
      <w:r w:rsidRPr="002F50BD">
        <w:rPr>
          <w:rFonts w:ascii="Verdana" w:hAnsi="Verdana"/>
          <w:sz w:val="20"/>
          <w:lang w:val="pt-BR"/>
        </w:rPr>
        <w:t>situa</w:t>
      </w:r>
      <w:r w:rsidR="0089298C" w:rsidRPr="002F50BD">
        <w:rPr>
          <w:rFonts w:ascii="Verdana" w:hAnsi="Verdana"/>
          <w:sz w:val="20"/>
          <w:lang w:val="pt-BR"/>
        </w:rPr>
        <w:t xml:space="preserve">ção da Comunidade </w:t>
      </w:r>
      <w:r w:rsidRPr="002F50BD">
        <w:rPr>
          <w:rFonts w:ascii="Verdana" w:hAnsi="Verdana"/>
          <w:sz w:val="20"/>
          <w:lang w:val="pt-BR"/>
        </w:rPr>
        <w:t xml:space="preserve">Yakye Axa, </w:t>
      </w:r>
      <w:r w:rsidR="000C1039" w:rsidRPr="002F50BD">
        <w:rPr>
          <w:rFonts w:ascii="Verdana" w:hAnsi="Verdana"/>
          <w:sz w:val="20"/>
          <w:lang w:val="pt-BR"/>
        </w:rPr>
        <w:t xml:space="preserve">bem </w:t>
      </w:r>
      <w:r w:rsidRPr="002F50BD">
        <w:rPr>
          <w:rFonts w:ascii="Verdana" w:hAnsi="Verdana"/>
          <w:sz w:val="20"/>
          <w:lang w:val="pt-BR"/>
        </w:rPr>
        <w:t xml:space="preserve">como determinar </w:t>
      </w:r>
      <w:r w:rsidR="000C1039" w:rsidRPr="002F50BD">
        <w:rPr>
          <w:rFonts w:ascii="Verdana" w:hAnsi="Verdana"/>
          <w:sz w:val="20"/>
          <w:lang w:val="pt-BR"/>
        </w:rPr>
        <w:t xml:space="preserve">o que causou </w:t>
      </w:r>
      <w:r w:rsidR="0089298C" w:rsidRPr="002F50BD">
        <w:rPr>
          <w:rFonts w:ascii="Verdana" w:hAnsi="Verdana"/>
          <w:sz w:val="20"/>
          <w:lang w:val="pt-BR"/>
        </w:rPr>
        <w:t>as morte</w:t>
      </w:r>
      <w:r w:rsidRPr="002F50BD">
        <w:rPr>
          <w:rFonts w:ascii="Verdana" w:hAnsi="Verdana"/>
          <w:sz w:val="20"/>
          <w:lang w:val="pt-BR"/>
        </w:rPr>
        <w:t xml:space="preserve">s de </w:t>
      </w:r>
      <w:r w:rsidR="0089298C" w:rsidRPr="002F50BD">
        <w:rPr>
          <w:rFonts w:ascii="Verdana" w:hAnsi="Verdana"/>
          <w:sz w:val="20"/>
          <w:lang w:val="pt-BR"/>
        </w:rPr>
        <w:t>vários</w:t>
      </w:r>
      <w:r w:rsidRPr="002F50BD">
        <w:rPr>
          <w:rFonts w:ascii="Verdana" w:hAnsi="Verdana"/>
          <w:sz w:val="20"/>
          <w:lang w:val="pt-BR"/>
        </w:rPr>
        <w:t xml:space="preserve"> </w:t>
      </w:r>
      <w:r w:rsidR="0089298C" w:rsidRPr="002F50BD">
        <w:rPr>
          <w:rFonts w:ascii="Verdana" w:hAnsi="Verdana"/>
          <w:sz w:val="20"/>
          <w:lang w:val="pt-BR"/>
        </w:rPr>
        <w:lastRenderedPageBreak/>
        <w:t>membro</w:t>
      </w:r>
      <w:r w:rsidRPr="002F50BD">
        <w:rPr>
          <w:rFonts w:ascii="Verdana" w:hAnsi="Verdana"/>
          <w:sz w:val="20"/>
          <w:lang w:val="pt-BR"/>
        </w:rPr>
        <w:t xml:space="preserve">s </w:t>
      </w:r>
      <w:r w:rsidR="0089298C" w:rsidRPr="002F50BD">
        <w:rPr>
          <w:rFonts w:ascii="Verdana" w:hAnsi="Verdana"/>
          <w:sz w:val="20"/>
          <w:lang w:val="pt-BR"/>
        </w:rPr>
        <w:t>desta</w:t>
      </w:r>
      <w:r w:rsidRPr="002F50BD">
        <w:rPr>
          <w:rFonts w:ascii="Verdana" w:hAnsi="Verdana"/>
          <w:sz w:val="20"/>
          <w:lang w:val="pt-BR"/>
        </w:rPr>
        <w:t xml:space="preserve"> Comu</w:t>
      </w:r>
      <w:r w:rsidR="00AB454A" w:rsidRPr="002F50BD">
        <w:rPr>
          <w:rFonts w:ascii="Verdana" w:hAnsi="Verdana"/>
          <w:sz w:val="20"/>
          <w:lang w:val="pt-BR"/>
        </w:rPr>
        <w:t xml:space="preserve">nidade, </w:t>
      </w:r>
      <w:r w:rsidR="0089298C" w:rsidRPr="002F50BD">
        <w:rPr>
          <w:rFonts w:ascii="Verdana" w:hAnsi="Verdana"/>
          <w:sz w:val="20"/>
          <w:lang w:val="pt-BR"/>
        </w:rPr>
        <w:t>ocorrid</w:t>
      </w:r>
      <w:r w:rsidRPr="002F50BD">
        <w:rPr>
          <w:rFonts w:ascii="Verdana" w:hAnsi="Verdana"/>
          <w:sz w:val="20"/>
          <w:lang w:val="pt-BR"/>
        </w:rPr>
        <w:t>as desde su</w:t>
      </w:r>
      <w:r w:rsidR="000C1039" w:rsidRPr="002F50BD">
        <w:rPr>
          <w:rFonts w:ascii="Verdana" w:hAnsi="Verdana"/>
          <w:sz w:val="20"/>
          <w:lang w:val="pt-BR"/>
        </w:rPr>
        <w:t>a</w:t>
      </w:r>
      <w:r w:rsidRPr="002F50BD">
        <w:rPr>
          <w:rFonts w:ascii="Verdana" w:hAnsi="Verdana"/>
          <w:sz w:val="20"/>
          <w:lang w:val="pt-BR"/>
        </w:rPr>
        <w:t xml:space="preserve"> instala</w:t>
      </w:r>
      <w:r w:rsidR="0089298C" w:rsidRPr="002F50BD">
        <w:rPr>
          <w:rFonts w:ascii="Verdana" w:hAnsi="Verdana"/>
          <w:sz w:val="20"/>
          <w:lang w:val="pt-BR"/>
        </w:rPr>
        <w:t>ção</w:t>
      </w:r>
      <w:r w:rsidRPr="002F50BD">
        <w:rPr>
          <w:rFonts w:ascii="Verdana" w:hAnsi="Verdana"/>
          <w:sz w:val="20"/>
          <w:lang w:val="pt-BR"/>
        </w:rPr>
        <w:t xml:space="preserve"> sobre</w:t>
      </w:r>
      <w:r w:rsidR="0089298C" w:rsidRPr="002F50BD">
        <w:rPr>
          <w:rFonts w:ascii="Verdana" w:hAnsi="Verdana"/>
          <w:sz w:val="20"/>
          <w:lang w:val="pt-BR"/>
        </w:rPr>
        <w:t xml:space="preserve"> uma </w:t>
      </w:r>
      <w:r w:rsidR="00475EBB" w:rsidRPr="002F50BD">
        <w:rPr>
          <w:rFonts w:ascii="Verdana" w:hAnsi="Verdana"/>
          <w:sz w:val="20"/>
          <w:lang w:val="pt-BR"/>
        </w:rPr>
        <w:t>rodovia</w:t>
      </w:r>
      <w:r w:rsidRPr="002F50BD">
        <w:rPr>
          <w:rFonts w:ascii="Verdana" w:hAnsi="Verdana"/>
          <w:sz w:val="20"/>
          <w:lang w:val="pt-BR"/>
        </w:rPr>
        <w:t xml:space="preserve"> pública para demandar</w:t>
      </w:r>
      <w:r w:rsidR="0089298C" w:rsidRPr="002F50BD">
        <w:rPr>
          <w:rFonts w:ascii="Verdana" w:hAnsi="Verdana"/>
          <w:sz w:val="20"/>
          <w:lang w:val="pt-BR"/>
        </w:rPr>
        <w:t xml:space="preserve"> a restituição</w:t>
      </w:r>
      <w:r w:rsidRPr="002F50BD">
        <w:rPr>
          <w:rFonts w:ascii="Verdana" w:hAnsi="Verdana"/>
          <w:sz w:val="20"/>
          <w:lang w:val="pt-BR"/>
        </w:rPr>
        <w:t xml:space="preserve"> de </w:t>
      </w:r>
      <w:r w:rsidR="00A50140" w:rsidRPr="002F50BD">
        <w:rPr>
          <w:rFonts w:ascii="Verdana" w:hAnsi="Verdana"/>
          <w:sz w:val="20"/>
          <w:lang w:val="pt-BR"/>
        </w:rPr>
        <w:t>suas terras</w:t>
      </w:r>
      <w:r w:rsidRPr="002F50BD">
        <w:rPr>
          <w:rFonts w:ascii="Verdana" w:hAnsi="Verdana"/>
          <w:sz w:val="20"/>
          <w:lang w:val="pt-BR"/>
        </w:rPr>
        <w:t xml:space="preserve"> </w:t>
      </w:r>
      <w:r w:rsidR="00AB454A" w:rsidRPr="002F50BD">
        <w:rPr>
          <w:rFonts w:ascii="Verdana" w:hAnsi="Verdana"/>
          <w:sz w:val="20"/>
          <w:lang w:val="pt-BR"/>
        </w:rPr>
        <w:t>ancestrais</w:t>
      </w:r>
      <w:r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C1039">
      <w:pPr>
        <w:jc w:val="both"/>
        <w:rPr>
          <w:rFonts w:ascii="Verdana" w:hAnsi="Verdana"/>
          <w:sz w:val="20"/>
          <w:lang w:val="pt-BR"/>
        </w:rPr>
      </w:pPr>
      <w:r w:rsidRPr="002F50BD">
        <w:rPr>
          <w:rFonts w:ascii="Verdana" w:hAnsi="Verdana"/>
          <w:sz w:val="20"/>
          <w:lang w:val="pt-BR"/>
        </w:rPr>
        <w:t xml:space="preserve">Foram realizados </w:t>
      </w:r>
      <w:r w:rsidR="004076AD" w:rsidRPr="002F50BD">
        <w:rPr>
          <w:rFonts w:ascii="Verdana" w:hAnsi="Verdana"/>
          <w:sz w:val="20"/>
          <w:lang w:val="pt-BR"/>
        </w:rPr>
        <w:t>exames</w:t>
      </w:r>
      <w:r w:rsidR="004756C1" w:rsidRPr="002F50BD">
        <w:rPr>
          <w:rFonts w:ascii="Verdana" w:hAnsi="Verdana"/>
          <w:sz w:val="20"/>
          <w:lang w:val="pt-BR"/>
        </w:rPr>
        <w:t xml:space="preserve"> de </w:t>
      </w:r>
      <w:r w:rsidR="0089298C" w:rsidRPr="002F50BD">
        <w:rPr>
          <w:rFonts w:ascii="Verdana" w:hAnsi="Verdana"/>
          <w:sz w:val="20"/>
          <w:lang w:val="pt-BR"/>
        </w:rPr>
        <w:t xml:space="preserve">sangue e </w:t>
      </w:r>
      <w:r w:rsidR="004756C1" w:rsidRPr="002F50BD">
        <w:rPr>
          <w:rFonts w:ascii="Verdana" w:hAnsi="Verdana"/>
          <w:sz w:val="20"/>
          <w:lang w:val="pt-BR"/>
        </w:rPr>
        <w:t xml:space="preserve">de </w:t>
      </w:r>
      <w:r w:rsidR="002C07CC">
        <w:rPr>
          <w:rFonts w:ascii="Verdana" w:hAnsi="Verdana"/>
          <w:sz w:val="20"/>
          <w:lang w:val="pt-BR"/>
        </w:rPr>
        <w:t xml:space="preserve">fezes </w:t>
      </w:r>
      <w:r w:rsidRPr="002F50BD">
        <w:rPr>
          <w:rFonts w:ascii="Verdana" w:hAnsi="Verdana"/>
          <w:sz w:val="20"/>
          <w:lang w:val="pt-BR"/>
        </w:rPr>
        <w:t>n</w:t>
      </w:r>
      <w:r w:rsidR="0089298C" w:rsidRPr="002F50BD">
        <w:rPr>
          <w:rFonts w:ascii="Verdana" w:hAnsi="Verdana"/>
          <w:sz w:val="20"/>
          <w:lang w:val="pt-BR"/>
        </w:rPr>
        <w:t>os membro</w:t>
      </w:r>
      <w:r w:rsidR="004756C1"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001A0CDE" w:rsidRPr="002F50BD">
        <w:rPr>
          <w:rFonts w:ascii="Verdana" w:hAnsi="Verdana"/>
          <w:sz w:val="20"/>
          <w:lang w:val="pt-BR"/>
        </w:rPr>
        <w:t>. Est</w:t>
      </w:r>
      <w:r w:rsidR="0089298C" w:rsidRPr="002F50BD">
        <w:rPr>
          <w:rFonts w:ascii="Verdana" w:hAnsi="Verdana"/>
          <w:sz w:val="20"/>
          <w:lang w:val="pt-BR"/>
        </w:rPr>
        <w:t>es estudo</w:t>
      </w:r>
      <w:r w:rsidR="004756C1" w:rsidRPr="002F50BD">
        <w:rPr>
          <w:rFonts w:ascii="Verdana" w:hAnsi="Verdana"/>
          <w:sz w:val="20"/>
          <w:lang w:val="pt-BR"/>
        </w:rPr>
        <w:t xml:space="preserve">s </w:t>
      </w:r>
      <w:r w:rsidR="0089298C" w:rsidRPr="002F50BD">
        <w:rPr>
          <w:rFonts w:ascii="Verdana" w:hAnsi="Verdana"/>
          <w:sz w:val="20"/>
          <w:lang w:val="pt-BR"/>
        </w:rPr>
        <w:t>demonstrar</w:t>
      </w:r>
      <w:r w:rsidRPr="002F50BD">
        <w:rPr>
          <w:rFonts w:ascii="Verdana" w:hAnsi="Verdana"/>
          <w:sz w:val="20"/>
          <w:lang w:val="pt-BR"/>
        </w:rPr>
        <w:t>am</w:t>
      </w:r>
      <w:r w:rsidR="004756C1" w:rsidRPr="002F50BD">
        <w:rPr>
          <w:rFonts w:ascii="Verdana" w:hAnsi="Verdana"/>
          <w:sz w:val="20"/>
          <w:lang w:val="pt-BR"/>
        </w:rPr>
        <w:t xml:space="preserve"> que</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5A6BC7" w:rsidRPr="002F50BD">
        <w:rPr>
          <w:rFonts w:ascii="Verdana" w:hAnsi="Verdana"/>
          <w:sz w:val="20"/>
          <w:lang w:val="pt-BR"/>
        </w:rPr>
        <w:t>sofrem</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parasitos</w:t>
      </w:r>
      <w:r w:rsidRPr="002F50BD">
        <w:rPr>
          <w:rFonts w:ascii="Verdana" w:hAnsi="Verdana"/>
          <w:sz w:val="20"/>
          <w:lang w:val="pt-BR"/>
        </w:rPr>
        <w:t>e</w:t>
      </w:r>
      <w:r w:rsidR="004756C1" w:rsidRPr="002F50BD">
        <w:rPr>
          <w:rFonts w:ascii="Verdana" w:hAnsi="Verdana"/>
          <w:sz w:val="20"/>
          <w:lang w:val="pt-BR"/>
        </w:rPr>
        <w:t xml:space="preserve"> importante</w:t>
      </w:r>
      <w:r w:rsidR="0089298C" w:rsidRPr="002F50BD">
        <w:rPr>
          <w:rFonts w:ascii="Verdana" w:hAnsi="Verdana"/>
          <w:sz w:val="20"/>
          <w:lang w:val="pt-BR"/>
        </w:rPr>
        <w:t xml:space="preserve"> e </w:t>
      </w:r>
      <w:r w:rsidR="004756C1" w:rsidRPr="002F50BD">
        <w:rPr>
          <w:rFonts w:ascii="Verdana" w:hAnsi="Verdana"/>
          <w:sz w:val="20"/>
          <w:lang w:val="pt-BR"/>
        </w:rPr>
        <w:t xml:space="preserve">de anemia. </w:t>
      </w:r>
      <w:r w:rsidRPr="002F50BD">
        <w:rPr>
          <w:rFonts w:ascii="Verdana" w:hAnsi="Verdana"/>
          <w:sz w:val="20"/>
          <w:lang w:val="pt-BR"/>
        </w:rPr>
        <w:t>Além disso</w:t>
      </w:r>
      <w:r w:rsidR="004756C1" w:rsidRPr="002F50BD">
        <w:rPr>
          <w:rFonts w:ascii="Verdana" w:hAnsi="Verdana"/>
          <w:sz w:val="20"/>
          <w:lang w:val="pt-BR"/>
        </w:rPr>
        <w:t xml:space="preserve">, </w:t>
      </w:r>
      <w:r w:rsidRPr="002F50BD">
        <w:rPr>
          <w:rFonts w:ascii="Verdana" w:hAnsi="Verdana"/>
          <w:sz w:val="20"/>
          <w:lang w:val="pt-BR"/>
        </w:rPr>
        <w:t xml:space="preserve">foram recolhidas </w:t>
      </w:r>
      <w:r w:rsidR="00F47C94" w:rsidRPr="002F50BD">
        <w:rPr>
          <w:rFonts w:ascii="Verdana" w:hAnsi="Verdana"/>
          <w:sz w:val="20"/>
          <w:lang w:val="pt-BR"/>
        </w:rPr>
        <w:t>a</w:t>
      </w:r>
      <w:r w:rsidR="0089298C" w:rsidRPr="002F50BD">
        <w:rPr>
          <w:rFonts w:ascii="Verdana" w:hAnsi="Verdana"/>
          <w:sz w:val="20"/>
          <w:lang w:val="pt-BR"/>
        </w:rPr>
        <w:t>mostras</w:t>
      </w:r>
      <w:r w:rsidR="004756C1" w:rsidRPr="002F50BD">
        <w:rPr>
          <w:rFonts w:ascii="Verdana" w:hAnsi="Verdana"/>
          <w:sz w:val="20"/>
          <w:lang w:val="pt-BR"/>
        </w:rPr>
        <w:t xml:space="preserve"> </w:t>
      </w:r>
      <w:r w:rsidR="0089298C" w:rsidRPr="002F50BD">
        <w:rPr>
          <w:rFonts w:ascii="Verdana" w:hAnsi="Verdana"/>
          <w:sz w:val="20"/>
          <w:lang w:val="pt-BR"/>
        </w:rPr>
        <w:t>d</w:t>
      </w:r>
      <w:r w:rsidRPr="002F50BD">
        <w:rPr>
          <w:rFonts w:ascii="Verdana" w:hAnsi="Verdana"/>
          <w:sz w:val="20"/>
          <w:lang w:val="pt-BR"/>
        </w:rPr>
        <w:t>a</w:t>
      </w:r>
      <w:r w:rsidR="00AB454A" w:rsidRPr="002F50BD">
        <w:rPr>
          <w:rFonts w:ascii="Verdana" w:hAnsi="Verdana"/>
          <w:sz w:val="20"/>
          <w:lang w:val="pt-BR"/>
        </w:rPr>
        <w:t xml:space="preserve"> água </w:t>
      </w:r>
      <w:r w:rsidR="004756C1" w:rsidRPr="002F50BD">
        <w:rPr>
          <w:rFonts w:ascii="Verdana" w:hAnsi="Verdana"/>
          <w:sz w:val="20"/>
          <w:lang w:val="pt-BR"/>
        </w:rPr>
        <w:t>que</w:t>
      </w:r>
      <w:r w:rsidR="0089298C" w:rsidRPr="002F50BD">
        <w:rPr>
          <w:rFonts w:ascii="Verdana" w:hAnsi="Verdana"/>
          <w:sz w:val="20"/>
          <w:lang w:val="pt-BR"/>
        </w:rPr>
        <w:t xml:space="preserve"> a Comunidade </w:t>
      </w:r>
      <w:r w:rsidR="004756C1" w:rsidRPr="002F50BD">
        <w:rPr>
          <w:rFonts w:ascii="Verdana" w:hAnsi="Verdana"/>
          <w:sz w:val="20"/>
          <w:lang w:val="pt-BR"/>
        </w:rPr>
        <w:t xml:space="preserve">utiliza. </w:t>
      </w:r>
      <w:r w:rsidRPr="002F50BD">
        <w:rPr>
          <w:rFonts w:ascii="Verdana" w:hAnsi="Verdana"/>
          <w:sz w:val="20"/>
          <w:lang w:val="pt-BR"/>
        </w:rPr>
        <w:t xml:space="preserve">Foi </w:t>
      </w:r>
      <w:r w:rsidR="004756C1" w:rsidRPr="002F50BD">
        <w:rPr>
          <w:rFonts w:ascii="Verdana" w:hAnsi="Verdana"/>
          <w:sz w:val="20"/>
          <w:lang w:val="pt-BR"/>
        </w:rPr>
        <w:t>com</w:t>
      </w:r>
      <w:r w:rsidR="0089298C" w:rsidRPr="002F50BD">
        <w:rPr>
          <w:rFonts w:ascii="Verdana" w:hAnsi="Verdana"/>
          <w:sz w:val="20"/>
          <w:lang w:val="pt-BR"/>
        </w:rPr>
        <w:t>prova</w:t>
      </w:r>
      <w:r w:rsidRPr="002F50BD">
        <w:rPr>
          <w:rFonts w:ascii="Verdana" w:hAnsi="Verdana"/>
          <w:sz w:val="20"/>
          <w:lang w:val="pt-BR"/>
        </w:rPr>
        <w:t>do</w:t>
      </w:r>
      <w:r w:rsidR="004756C1" w:rsidRPr="002F50BD">
        <w:rPr>
          <w:rFonts w:ascii="Verdana" w:hAnsi="Verdana"/>
          <w:sz w:val="20"/>
          <w:lang w:val="pt-BR"/>
        </w:rPr>
        <w:t xml:space="preserve"> que</w:t>
      </w:r>
      <w:r w:rsidR="0089298C" w:rsidRPr="002F50BD">
        <w:rPr>
          <w:rFonts w:ascii="Verdana" w:hAnsi="Verdana"/>
          <w:sz w:val="20"/>
          <w:lang w:val="pt-BR"/>
        </w:rPr>
        <w:t xml:space="preserve"> a Comunidade tem uma </w:t>
      </w:r>
      <w:r w:rsidRPr="002F50BD">
        <w:rPr>
          <w:rFonts w:ascii="Verdana" w:hAnsi="Verdana"/>
          <w:sz w:val="20"/>
          <w:lang w:val="pt-BR"/>
        </w:rPr>
        <w:t xml:space="preserve">única </w:t>
      </w:r>
      <w:r w:rsidR="0089298C" w:rsidRPr="002F50BD">
        <w:rPr>
          <w:rFonts w:ascii="Verdana" w:hAnsi="Verdana"/>
          <w:sz w:val="20"/>
          <w:lang w:val="pt-BR"/>
        </w:rPr>
        <w:t>fonte</w:t>
      </w:r>
      <w:r w:rsidR="004756C1" w:rsidRPr="002F50BD">
        <w:rPr>
          <w:rFonts w:ascii="Verdana" w:hAnsi="Verdana"/>
          <w:sz w:val="20"/>
          <w:lang w:val="pt-BR"/>
        </w:rPr>
        <w:t xml:space="preserve"> de</w:t>
      </w:r>
      <w:r w:rsidR="00AB454A" w:rsidRPr="002F50BD">
        <w:rPr>
          <w:rFonts w:ascii="Verdana" w:hAnsi="Verdana"/>
          <w:sz w:val="20"/>
          <w:lang w:val="pt-BR"/>
        </w:rPr>
        <w:t xml:space="preserve"> água </w:t>
      </w:r>
      <w:r w:rsidR="004756C1" w:rsidRPr="002F50BD">
        <w:rPr>
          <w:rFonts w:ascii="Verdana" w:hAnsi="Verdana"/>
          <w:sz w:val="20"/>
          <w:lang w:val="pt-BR"/>
        </w:rPr>
        <w:t>n</w:t>
      </w:r>
      <w:r w:rsidRPr="002F50BD">
        <w:rPr>
          <w:rFonts w:ascii="Verdana" w:hAnsi="Verdana"/>
          <w:sz w:val="20"/>
          <w:lang w:val="pt-BR"/>
        </w:rPr>
        <w:t>ã</w:t>
      </w:r>
      <w:r w:rsidR="004756C1" w:rsidRPr="002F50BD">
        <w:rPr>
          <w:rFonts w:ascii="Verdana" w:hAnsi="Verdana"/>
          <w:sz w:val="20"/>
          <w:lang w:val="pt-BR"/>
        </w:rPr>
        <w:t>o pot</w:t>
      </w:r>
      <w:r w:rsidRPr="002F50BD">
        <w:rPr>
          <w:rFonts w:ascii="Verdana" w:hAnsi="Verdana"/>
          <w:sz w:val="20"/>
          <w:lang w:val="pt-BR"/>
        </w:rPr>
        <w:t>ável</w:t>
      </w:r>
      <w:r w:rsidR="004756C1" w:rsidRPr="002F50BD">
        <w:rPr>
          <w:rFonts w:ascii="Verdana" w:hAnsi="Verdana"/>
          <w:sz w:val="20"/>
          <w:lang w:val="pt-BR"/>
        </w:rPr>
        <w:t>, que</w:t>
      </w:r>
      <w:r w:rsidR="0089298C" w:rsidRPr="002F50BD">
        <w:rPr>
          <w:rFonts w:ascii="Verdana" w:hAnsi="Verdana"/>
          <w:sz w:val="20"/>
          <w:lang w:val="pt-BR"/>
        </w:rPr>
        <w:t xml:space="preserve"> é um </w:t>
      </w:r>
      <w:r w:rsidR="004F64EE" w:rsidRPr="002F50BD">
        <w:rPr>
          <w:rFonts w:ascii="Verdana" w:hAnsi="Verdana"/>
          <w:sz w:val="20"/>
          <w:lang w:val="pt-BR"/>
        </w:rPr>
        <w:t>açude</w:t>
      </w:r>
      <w:r w:rsidR="004756C1" w:rsidRPr="002F50BD">
        <w:rPr>
          <w:rFonts w:ascii="Verdana" w:hAnsi="Verdana"/>
          <w:sz w:val="20"/>
          <w:lang w:val="pt-BR"/>
        </w:rPr>
        <w:t xml:space="preserve">. </w:t>
      </w:r>
      <w:r w:rsidRPr="002F50BD">
        <w:rPr>
          <w:rFonts w:ascii="Verdana" w:hAnsi="Verdana"/>
          <w:sz w:val="20"/>
          <w:lang w:val="pt-BR"/>
        </w:rPr>
        <w:t>U</w:t>
      </w:r>
      <w:r w:rsidR="0089298C" w:rsidRPr="002F50BD">
        <w:rPr>
          <w:rFonts w:ascii="Verdana" w:hAnsi="Verdana"/>
          <w:sz w:val="20"/>
          <w:lang w:val="pt-BR"/>
        </w:rPr>
        <w:t xml:space="preserve">m </w:t>
      </w:r>
      <w:r w:rsidRPr="002F50BD">
        <w:rPr>
          <w:rFonts w:ascii="Verdana" w:hAnsi="Verdana"/>
          <w:sz w:val="20"/>
          <w:lang w:val="pt-BR"/>
        </w:rPr>
        <w:t xml:space="preserve">açude </w:t>
      </w:r>
      <w:r w:rsidR="0089298C" w:rsidRPr="002F50BD">
        <w:rPr>
          <w:rFonts w:ascii="Verdana" w:hAnsi="Verdana"/>
          <w:sz w:val="20"/>
          <w:lang w:val="pt-BR"/>
        </w:rPr>
        <w:t xml:space="preserve">é um </w:t>
      </w:r>
      <w:r w:rsidR="004756C1" w:rsidRPr="002F50BD">
        <w:rPr>
          <w:rFonts w:ascii="Verdana" w:hAnsi="Verdana"/>
          <w:sz w:val="20"/>
          <w:lang w:val="pt-BR"/>
        </w:rPr>
        <w:t>po</w:t>
      </w:r>
      <w:r w:rsidRPr="002F50BD">
        <w:rPr>
          <w:rFonts w:ascii="Verdana" w:hAnsi="Verdana"/>
          <w:sz w:val="20"/>
          <w:lang w:val="pt-BR"/>
        </w:rPr>
        <w:t>ç</w:t>
      </w:r>
      <w:r w:rsidR="004756C1" w:rsidRPr="002F50BD">
        <w:rPr>
          <w:rFonts w:ascii="Verdana" w:hAnsi="Verdana"/>
          <w:sz w:val="20"/>
          <w:lang w:val="pt-BR"/>
        </w:rPr>
        <w:t xml:space="preserve">o de </w:t>
      </w:r>
      <w:r w:rsidR="0089298C" w:rsidRPr="002F50BD">
        <w:rPr>
          <w:rFonts w:ascii="Verdana" w:hAnsi="Verdana"/>
          <w:sz w:val="20"/>
          <w:lang w:val="pt-BR"/>
        </w:rPr>
        <w:t xml:space="preserve">mais </w:t>
      </w:r>
      <w:r w:rsidR="004756C1" w:rsidRPr="002F50BD">
        <w:rPr>
          <w:rFonts w:ascii="Verdana" w:hAnsi="Verdana"/>
          <w:sz w:val="20"/>
          <w:lang w:val="pt-BR"/>
        </w:rPr>
        <w:t>o</w:t>
      </w:r>
      <w:r w:rsidRPr="002F50BD">
        <w:rPr>
          <w:rFonts w:ascii="Verdana" w:hAnsi="Verdana"/>
          <w:sz w:val="20"/>
          <w:lang w:val="pt-BR"/>
        </w:rPr>
        <w:t>u</w:t>
      </w:r>
      <w:r w:rsidR="004756C1" w:rsidRPr="002F50BD">
        <w:rPr>
          <w:rFonts w:ascii="Verdana" w:hAnsi="Verdana"/>
          <w:sz w:val="20"/>
          <w:lang w:val="pt-BR"/>
        </w:rPr>
        <w:t xml:space="preserve"> menos </w:t>
      </w:r>
      <w:r w:rsidR="002C07CC">
        <w:rPr>
          <w:rFonts w:ascii="Verdana" w:hAnsi="Verdana"/>
          <w:sz w:val="20"/>
          <w:lang w:val="pt-BR"/>
        </w:rPr>
        <w:t>rejeitado por 40</w:t>
      </w:r>
      <w:r w:rsidR="004756C1" w:rsidRPr="002F50BD">
        <w:rPr>
          <w:rFonts w:ascii="Verdana" w:hAnsi="Verdana"/>
          <w:sz w:val="20"/>
          <w:lang w:val="pt-BR"/>
        </w:rPr>
        <w:t xml:space="preserve"> metros para a</w:t>
      </w:r>
      <w:r w:rsidRPr="002F50BD">
        <w:rPr>
          <w:rFonts w:ascii="Verdana" w:hAnsi="Verdana"/>
          <w:sz w:val="20"/>
          <w:lang w:val="pt-BR"/>
        </w:rPr>
        <w:t>r</w:t>
      </w:r>
      <w:r w:rsidR="004756C1" w:rsidRPr="002F50BD">
        <w:rPr>
          <w:rFonts w:ascii="Verdana" w:hAnsi="Verdana"/>
          <w:sz w:val="20"/>
          <w:lang w:val="pt-BR"/>
        </w:rPr>
        <w:t>ma</w:t>
      </w:r>
      <w:r w:rsidRPr="002F50BD">
        <w:rPr>
          <w:rFonts w:ascii="Verdana" w:hAnsi="Verdana"/>
          <w:sz w:val="20"/>
          <w:lang w:val="pt-BR"/>
        </w:rPr>
        <w:t>z</w:t>
      </w:r>
      <w:r w:rsidR="004756C1" w:rsidRPr="002F50BD">
        <w:rPr>
          <w:rFonts w:ascii="Verdana" w:hAnsi="Verdana"/>
          <w:sz w:val="20"/>
          <w:lang w:val="pt-BR"/>
        </w:rPr>
        <w:t>enar</w:t>
      </w:r>
      <w:r w:rsidR="00AB454A" w:rsidRPr="002F50BD">
        <w:rPr>
          <w:rFonts w:ascii="Verdana" w:hAnsi="Verdana"/>
          <w:sz w:val="20"/>
          <w:lang w:val="pt-BR"/>
        </w:rPr>
        <w:t xml:space="preserve"> água </w:t>
      </w:r>
      <w:r w:rsidR="004756C1" w:rsidRPr="002F50BD">
        <w:rPr>
          <w:rFonts w:ascii="Verdana" w:hAnsi="Verdana"/>
          <w:sz w:val="20"/>
          <w:lang w:val="pt-BR"/>
        </w:rPr>
        <w:t>d</w:t>
      </w:r>
      <w:r w:rsidRPr="002F50BD">
        <w:rPr>
          <w:rFonts w:ascii="Verdana" w:hAnsi="Verdana"/>
          <w:sz w:val="20"/>
          <w:lang w:val="pt-BR"/>
        </w:rPr>
        <w:t>a</w:t>
      </w:r>
      <w:r w:rsidR="004756C1" w:rsidRPr="002F50BD">
        <w:rPr>
          <w:rFonts w:ascii="Verdana" w:hAnsi="Verdana"/>
          <w:sz w:val="20"/>
          <w:lang w:val="pt-BR"/>
        </w:rPr>
        <w:t xml:space="preserve"> </w:t>
      </w:r>
      <w:r w:rsidR="00313394" w:rsidRPr="002F50BD">
        <w:rPr>
          <w:rFonts w:ascii="Verdana" w:hAnsi="Verdana"/>
          <w:sz w:val="20"/>
          <w:lang w:val="pt-BR"/>
        </w:rPr>
        <w:t>chuva</w:t>
      </w:r>
      <w:r w:rsidR="001A0CDE" w:rsidRPr="002F50BD">
        <w:rPr>
          <w:rFonts w:ascii="Verdana" w:hAnsi="Verdana"/>
          <w:sz w:val="20"/>
          <w:lang w:val="pt-BR"/>
        </w:rPr>
        <w:t>. Est</w:t>
      </w:r>
      <w:r w:rsidR="004756C1" w:rsidRPr="002F50BD">
        <w:rPr>
          <w:rFonts w:ascii="Verdana" w:hAnsi="Verdana"/>
          <w:sz w:val="20"/>
          <w:lang w:val="pt-BR"/>
        </w:rPr>
        <w:t>e po</w:t>
      </w:r>
      <w:r w:rsidRPr="002F50BD">
        <w:rPr>
          <w:rFonts w:ascii="Verdana" w:hAnsi="Verdana"/>
          <w:sz w:val="20"/>
          <w:lang w:val="pt-BR"/>
        </w:rPr>
        <w:t>ç</w:t>
      </w:r>
      <w:r w:rsidR="004756C1" w:rsidRPr="002F50BD">
        <w:rPr>
          <w:rFonts w:ascii="Verdana" w:hAnsi="Verdana"/>
          <w:sz w:val="20"/>
          <w:lang w:val="pt-BR"/>
        </w:rPr>
        <w:t xml:space="preserve">o se </w:t>
      </w:r>
      <w:r w:rsidR="0089298C" w:rsidRPr="002F50BD">
        <w:rPr>
          <w:rFonts w:ascii="Verdana" w:hAnsi="Verdana"/>
          <w:sz w:val="20"/>
          <w:lang w:val="pt-BR"/>
        </w:rPr>
        <w:t xml:space="preserve">encontra </w:t>
      </w:r>
      <w:r w:rsidRPr="002F50BD">
        <w:rPr>
          <w:rFonts w:ascii="Verdana" w:hAnsi="Verdana"/>
          <w:sz w:val="20"/>
          <w:lang w:val="pt-BR"/>
        </w:rPr>
        <w:t xml:space="preserve">atrás do alambrado </w:t>
      </w:r>
      <w:r w:rsidR="0089298C" w:rsidRPr="002F50BD">
        <w:rPr>
          <w:rFonts w:ascii="Verdana" w:hAnsi="Verdana"/>
          <w:sz w:val="20"/>
          <w:lang w:val="pt-BR"/>
        </w:rPr>
        <w:t>das terra</w:t>
      </w:r>
      <w:r w:rsidR="004756C1" w:rsidRPr="002F50BD">
        <w:rPr>
          <w:rFonts w:ascii="Verdana" w:hAnsi="Verdana"/>
          <w:sz w:val="20"/>
          <w:lang w:val="pt-BR"/>
        </w:rPr>
        <w:t>s reclamadas,</w:t>
      </w:r>
      <w:r w:rsidR="0089298C" w:rsidRPr="002F50BD">
        <w:rPr>
          <w:rFonts w:ascii="Verdana" w:hAnsi="Verdana"/>
          <w:sz w:val="20"/>
          <w:lang w:val="pt-BR"/>
        </w:rPr>
        <w:t xml:space="preserve"> </w:t>
      </w:r>
      <w:r w:rsidRPr="002F50BD">
        <w:rPr>
          <w:rFonts w:ascii="Verdana" w:hAnsi="Verdana"/>
          <w:sz w:val="20"/>
          <w:lang w:val="pt-BR"/>
        </w:rPr>
        <w:t xml:space="preserve">de modo </w:t>
      </w:r>
      <w:r w:rsidR="0089298C" w:rsidRPr="002F50BD">
        <w:rPr>
          <w:rFonts w:ascii="Verdana" w:hAnsi="Verdana"/>
          <w:sz w:val="20"/>
          <w:lang w:val="pt-BR"/>
        </w:rPr>
        <w:t>que os membro</w:t>
      </w:r>
      <w:r w:rsidR="004756C1" w:rsidRPr="002F50BD">
        <w:rPr>
          <w:rFonts w:ascii="Verdana" w:hAnsi="Verdana"/>
          <w:sz w:val="20"/>
          <w:lang w:val="pt-BR"/>
        </w:rPr>
        <w:t>s</w:t>
      </w:r>
      <w:r w:rsidR="0089298C" w:rsidRPr="002F50BD">
        <w:rPr>
          <w:rFonts w:ascii="Verdana" w:hAnsi="Verdana"/>
          <w:sz w:val="20"/>
          <w:lang w:val="pt-BR"/>
        </w:rPr>
        <w:t xml:space="preserve"> da Comunidade têm</w:t>
      </w:r>
      <w:r w:rsidR="004756C1" w:rsidRPr="002F50BD">
        <w:rPr>
          <w:rFonts w:ascii="Verdana" w:hAnsi="Verdana"/>
          <w:sz w:val="20"/>
          <w:lang w:val="pt-BR"/>
        </w:rPr>
        <w:t xml:space="preserve"> que entrar </w:t>
      </w:r>
      <w:r w:rsidRPr="002F50BD">
        <w:rPr>
          <w:rFonts w:ascii="Verdana" w:hAnsi="Verdana"/>
          <w:sz w:val="20"/>
          <w:lang w:val="pt-BR"/>
        </w:rPr>
        <w:t xml:space="preserve">escondidos </w:t>
      </w:r>
      <w:r w:rsidR="004756C1" w:rsidRPr="002F50BD">
        <w:rPr>
          <w:rFonts w:ascii="Verdana" w:hAnsi="Verdana"/>
          <w:sz w:val="20"/>
          <w:lang w:val="pt-BR"/>
        </w:rPr>
        <w:t xml:space="preserve">para </w:t>
      </w:r>
      <w:r w:rsidR="0089298C" w:rsidRPr="002F50BD">
        <w:rPr>
          <w:rFonts w:ascii="Verdana" w:hAnsi="Verdana"/>
          <w:sz w:val="20"/>
          <w:lang w:val="pt-BR"/>
        </w:rPr>
        <w:t>obter</w:t>
      </w:r>
      <w:r w:rsidR="00AB454A" w:rsidRPr="002F50BD">
        <w:rPr>
          <w:rFonts w:ascii="Verdana" w:hAnsi="Verdana"/>
          <w:sz w:val="20"/>
          <w:lang w:val="pt-BR"/>
        </w:rPr>
        <w:t xml:space="preserve"> água </w:t>
      </w:r>
      <w:r w:rsidR="004756C1" w:rsidRPr="002F50BD">
        <w:rPr>
          <w:rFonts w:ascii="Verdana" w:hAnsi="Verdana"/>
          <w:sz w:val="20"/>
          <w:lang w:val="pt-BR"/>
        </w:rPr>
        <w:t>para su</w:t>
      </w:r>
      <w:r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 xml:space="preserve">limpeza </w:t>
      </w:r>
      <w:r w:rsidR="0089298C" w:rsidRPr="002F50BD">
        <w:rPr>
          <w:rFonts w:ascii="Verdana" w:hAnsi="Verdana"/>
          <w:sz w:val="20"/>
          <w:lang w:val="pt-BR"/>
        </w:rPr>
        <w:t>pessoa</w:t>
      </w:r>
      <w:r w:rsidR="004756C1" w:rsidRPr="002F50BD">
        <w:rPr>
          <w:rFonts w:ascii="Verdana" w:hAnsi="Verdana"/>
          <w:sz w:val="20"/>
          <w:lang w:val="pt-BR"/>
        </w:rPr>
        <w:t>l</w:t>
      </w:r>
      <w:r w:rsidR="0089298C" w:rsidRPr="002F50BD">
        <w:rPr>
          <w:rFonts w:ascii="Verdana" w:hAnsi="Verdana"/>
          <w:sz w:val="20"/>
          <w:lang w:val="pt-BR"/>
        </w:rPr>
        <w:t xml:space="preserve"> e </w:t>
      </w:r>
      <w:r w:rsidR="004756C1" w:rsidRPr="002F50BD">
        <w:rPr>
          <w:rFonts w:ascii="Verdana" w:hAnsi="Verdana"/>
          <w:sz w:val="20"/>
          <w:lang w:val="pt-BR"/>
        </w:rPr>
        <w:t xml:space="preserve">para uso </w:t>
      </w:r>
      <w:r w:rsidR="0089298C" w:rsidRPr="002F50BD">
        <w:rPr>
          <w:rFonts w:ascii="Verdana" w:hAnsi="Verdana"/>
          <w:sz w:val="20"/>
          <w:lang w:val="pt-BR"/>
        </w:rPr>
        <w:t>próprio</w:t>
      </w:r>
      <w:r w:rsidR="00AB454A" w:rsidRPr="002F50BD">
        <w:rPr>
          <w:rFonts w:ascii="Verdana" w:hAnsi="Verdana"/>
          <w:sz w:val="20"/>
          <w:lang w:val="pt-BR"/>
        </w:rPr>
        <w:t xml:space="preserve">. </w:t>
      </w:r>
      <w:r w:rsidRPr="002F50BD">
        <w:rPr>
          <w:rFonts w:ascii="Verdana" w:hAnsi="Verdana"/>
          <w:sz w:val="20"/>
          <w:lang w:val="pt-BR"/>
        </w:rPr>
        <w:t>A</w:t>
      </w:r>
      <w:r w:rsidR="00AB454A" w:rsidRPr="002F50BD">
        <w:rPr>
          <w:rFonts w:ascii="Verdana" w:hAnsi="Verdana"/>
          <w:sz w:val="20"/>
          <w:lang w:val="pt-BR"/>
        </w:rPr>
        <w:t xml:space="preserve"> água </w:t>
      </w:r>
      <w:r w:rsidR="004756C1" w:rsidRPr="002F50BD">
        <w:rPr>
          <w:rFonts w:ascii="Verdana" w:hAnsi="Verdana"/>
          <w:sz w:val="20"/>
          <w:lang w:val="pt-BR"/>
        </w:rPr>
        <w:t xml:space="preserve">está </w:t>
      </w:r>
      <w:r w:rsidR="0089298C" w:rsidRPr="002F50BD">
        <w:rPr>
          <w:rFonts w:ascii="Verdana" w:hAnsi="Verdana"/>
          <w:sz w:val="20"/>
          <w:lang w:val="pt-BR"/>
        </w:rPr>
        <w:t>expost</w:t>
      </w:r>
      <w:r w:rsidR="004756C1" w:rsidRPr="002F50BD">
        <w:rPr>
          <w:rFonts w:ascii="Verdana" w:hAnsi="Verdana"/>
          <w:sz w:val="20"/>
          <w:lang w:val="pt-BR"/>
        </w:rPr>
        <w:t>a</w:t>
      </w:r>
      <w:r w:rsidR="0089298C" w:rsidRPr="002F50BD">
        <w:rPr>
          <w:rFonts w:ascii="Verdana" w:hAnsi="Verdana"/>
          <w:sz w:val="20"/>
          <w:lang w:val="pt-BR"/>
        </w:rPr>
        <w:t xml:space="preserve"> ao </w:t>
      </w:r>
      <w:r w:rsidR="00AB454A" w:rsidRPr="002F50BD">
        <w:rPr>
          <w:rFonts w:ascii="Verdana" w:hAnsi="Verdana"/>
          <w:sz w:val="20"/>
          <w:lang w:val="pt-BR"/>
        </w:rPr>
        <w:t>contato</w:t>
      </w:r>
      <w:r w:rsidR="0089298C" w:rsidRPr="002F50BD">
        <w:rPr>
          <w:rFonts w:ascii="Verdana" w:hAnsi="Verdana"/>
          <w:sz w:val="20"/>
          <w:lang w:val="pt-BR"/>
        </w:rPr>
        <w:t xml:space="preserve"> com animais</w:t>
      </w:r>
      <w:r w:rsidR="004756C1" w:rsidRPr="002F50BD">
        <w:rPr>
          <w:rFonts w:ascii="Verdana" w:hAnsi="Verdana"/>
          <w:sz w:val="20"/>
          <w:lang w:val="pt-BR"/>
        </w:rPr>
        <w:t xml:space="preserve"> s</w:t>
      </w:r>
      <w:r w:rsidRPr="002F50BD">
        <w:rPr>
          <w:rFonts w:ascii="Verdana" w:hAnsi="Verdana"/>
          <w:sz w:val="20"/>
          <w:lang w:val="pt-BR"/>
        </w:rPr>
        <w:t xml:space="preserve">elvagens </w:t>
      </w:r>
      <w:r w:rsidR="0089298C" w:rsidRPr="002F50BD">
        <w:rPr>
          <w:rFonts w:ascii="Verdana" w:hAnsi="Verdana"/>
          <w:sz w:val="20"/>
          <w:lang w:val="pt-BR"/>
        </w:rPr>
        <w:t>e animais</w:t>
      </w:r>
      <w:r w:rsidR="004756C1" w:rsidRPr="002F50BD">
        <w:rPr>
          <w:rFonts w:ascii="Verdana" w:hAnsi="Verdana"/>
          <w:sz w:val="20"/>
          <w:lang w:val="pt-BR"/>
        </w:rPr>
        <w:t xml:space="preserve"> criados</w:t>
      </w:r>
      <w:r w:rsidR="0089298C" w:rsidRPr="002F50BD">
        <w:rPr>
          <w:rFonts w:ascii="Verdana" w:hAnsi="Verdana"/>
          <w:sz w:val="20"/>
          <w:lang w:val="pt-BR"/>
        </w:rPr>
        <w:t xml:space="preserve"> na </w:t>
      </w:r>
      <w:r w:rsidR="004F64EE" w:rsidRPr="002F50BD">
        <w:rPr>
          <w:rFonts w:ascii="Verdana" w:hAnsi="Verdana"/>
          <w:sz w:val="20"/>
          <w:lang w:val="pt-BR"/>
        </w:rPr>
        <w:t>fazenda</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 xml:space="preserve">As </w:t>
      </w:r>
      <w:r w:rsidR="004B4702" w:rsidRPr="002F50BD">
        <w:rPr>
          <w:rFonts w:ascii="Verdana" w:hAnsi="Verdana"/>
          <w:sz w:val="20"/>
          <w:lang w:val="pt-BR"/>
        </w:rPr>
        <w:t xml:space="preserve">cabanas </w:t>
      </w:r>
      <w:r w:rsidR="002C07CC">
        <w:rPr>
          <w:rFonts w:ascii="Verdana" w:hAnsi="Verdana"/>
          <w:sz w:val="20"/>
          <w:lang w:val="pt-BR"/>
        </w:rPr>
        <w:t>onde</w:t>
      </w:r>
      <w:r w:rsidR="004756C1" w:rsidRPr="002F50BD">
        <w:rPr>
          <w:rFonts w:ascii="Verdana" w:hAnsi="Verdana"/>
          <w:sz w:val="20"/>
          <w:lang w:val="pt-BR"/>
        </w:rPr>
        <w:t xml:space="preserve"> </w:t>
      </w:r>
      <w:r w:rsidRPr="002F50BD">
        <w:rPr>
          <w:rFonts w:ascii="Verdana" w:hAnsi="Verdana"/>
          <w:sz w:val="20"/>
          <w:lang w:val="pt-BR"/>
        </w:rPr>
        <w:t xml:space="preserve">vivem os </w:t>
      </w:r>
      <w:r w:rsidR="004B4702" w:rsidRPr="002F50BD">
        <w:rPr>
          <w:rFonts w:ascii="Verdana" w:hAnsi="Verdana"/>
          <w:sz w:val="20"/>
          <w:lang w:val="pt-BR"/>
        </w:rPr>
        <w:t xml:space="preserve">moradores </w:t>
      </w:r>
      <w:r w:rsidRPr="002F50BD">
        <w:rPr>
          <w:rFonts w:ascii="Verdana" w:hAnsi="Verdana"/>
          <w:sz w:val="20"/>
          <w:lang w:val="pt-BR"/>
        </w:rPr>
        <w:t>desta comunidade são muito</w:t>
      </w:r>
      <w:r w:rsidR="004756C1" w:rsidRPr="002F50BD">
        <w:rPr>
          <w:rFonts w:ascii="Verdana" w:hAnsi="Verdana"/>
          <w:sz w:val="20"/>
          <w:lang w:val="pt-BR"/>
        </w:rPr>
        <w:t xml:space="preserve"> prec</w:t>
      </w:r>
      <w:r w:rsidR="004B4702" w:rsidRPr="002F50BD">
        <w:rPr>
          <w:rFonts w:ascii="Verdana" w:hAnsi="Verdana"/>
          <w:sz w:val="20"/>
          <w:lang w:val="pt-BR"/>
        </w:rPr>
        <w:t>á</w:t>
      </w:r>
      <w:r w:rsidR="004756C1" w:rsidRPr="002F50BD">
        <w:rPr>
          <w:rFonts w:ascii="Verdana" w:hAnsi="Verdana"/>
          <w:sz w:val="20"/>
          <w:lang w:val="pt-BR"/>
        </w:rPr>
        <w:t>rias</w:t>
      </w:r>
      <w:r w:rsidR="001A0CDE" w:rsidRPr="002F50BD">
        <w:rPr>
          <w:rFonts w:ascii="Verdana" w:hAnsi="Verdana"/>
          <w:sz w:val="20"/>
          <w:lang w:val="pt-BR"/>
        </w:rPr>
        <w:t>. Est</w:t>
      </w:r>
      <w:r w:rsidRPr="002F50BD">
        <w:rPr>
          <w:rFonts w:ascii="Verdana" w:hAnsi="Verdana"/>
          <w:sz w:val="20"/>
          <w:lang w:val="pt-BR"/>
        </w:rPr>
        <w:t xml:space="preserve">ão </w:t>
      </w:r>
      <w:r w:rsidR="004B4702" w:rsidRPr="002F50BD">
        <w:rPr>
          <w:rFonts w:ascii="Verdana" w:hAnsi="Verdana"/>
          <w:sz w:val="20"/>
          <w:lang w:val="pt-BR"/>
        </w:rPr>
        <w:t>construí</w:t>
      </w:r>
      <w:r w:rsidR="004756C1" w:rsidRPr="002F50BD">
        <w:rPr>
          <w:rFonts w:ascii="Verdana" w:hAnsi="Verdana"/>
          <w:sz w:val="20"/>
          <w:lang w:val="pt-BR"/>
        </w:rPr>
        <w:t>das de</w:t>
      </w:r>
      <w:r w:rsidRPr="002F50BD">
        <w:rPr>
          <w:rFonts w:ascii="Verdana" w:hAnsi="Verdana"/>
          <w:sz w:val="20"/>
          <w:lang w:val="pt-BR"/>
        </w:rPr>
        <w:t xml:space="preserve"> um </w:t>
      </w:r>
      <w:r w:rsidR="004756C1" w:rsidRPr="002F50BD">
        <w:rPr>
          <w:rFonts w:ascii="Verdana" w:hAnsi="Verdana"/>
          <w:sz w:val="20"/>
          <w:lang w:val="pt-BR"/>
        </w:rPr>
        <w:t>material que abunda</w:t>
      </w:r>
      <w:r w:rsidRPr="002F50BD">
        <w:rPr>
          <w:rFonts w:ascii="Verdana" w:hAnsi="Verdana"/>
          <w:sz w:val="20"/>
          <w:lang w:val="pt-BR"/>
        </w:rPr>
        <w:t xml:space="preserve"> na </w:t>
      </w:r>
      <w:r w:rsidR="004B4702" w:rsidRPr="002F50BD">
        <w:rPr>
          <w:rFonts w:ascii="Verdana" w:hAnsi="Verdana"/>
          <w:sz w:val="20"/>
          <w:lang w:val="pt-BR"/>
        </w:rPr>
        <w:t>região</w:t>
      </w:r>
      <w:r w:rsidR="004756C1" w:rsidRPr="002F50BD">
        <w:rPr>
          <w:rFonts w:ascii="Verdana" w:hAnsi="Verdana"/>
          <w:sz w:val="20"/>
          <w:lang w:val="pt-BR"/>
        </w:rPr>
        <w:t>,</w:t>
      </w:r>
      <w:r w:rsidRPr="002F50BD">
        <w:rPr>
          <w:rFonts w:ascii="Verdana" w:hAnsi="Verdana"/>
          <w:sz w:val="20"/>
          <w:lang w:val="pt-BR"/>
        </w:rPr>
        <w:t xml:space="preserve"> uma </w:t>
      </w:r>
      <w:r w:rsidR="004756C1" w:rsidRPr="002F50BD">
        <w:rPr>
          <w:rFonts w:ascii="Verdana" w:hAnsi="Verdana"/>
          <w:sz w:val="20"/>
          <w:lang w:val="pt-BR"/>
        </w:rPr>
        <w:t>palma</w:t>
      </w:r>
      <w:r w:rsidRPr="002F50BD">
        <w:rPr>
          <w:rFonts w:ascii="Verdana" w:hAnsi="Verdana"/>
          <w:sz w:val="20"/>
          <w:lang w:val="pt-BR"/>
        </w:rPr>
        <w:t xml:space="preserve"> com a qual </w:t>
      </w:r>
      <w:r w:rsidR="005A6BC7" w:rsidRPr="002F50BD">
        <w:rPr>
          <w:rFonts w:ascii="Verdana" w:hAnsi="Verdana"/>
          <w:sz w:val="20"/>
          <w:lang w:val="pt-BR"/>
        </w:rPr>
        <w:t>fazem</w:t>
      </w:r>
      <w:r w:rsidRPr="002F50BD">
        <w:rPr>
          <w:rFonts w:ascii="Verdana" w:hAnsi="Verdana"/>
          <w:sz w:val="20"/>
          <w:lang w:val="pt-BR"/>
        </w:rPr>
        <w:t xml:space="preserve"> as </w:t>
      </w:r>
      <w:r w:rsidR="004756C1" w:rsidRPr="002F50BD">
        <w:rPr>
          <w:rFonts w:ascii="Verdana" w:hAnsi="Verdana"/>
          <w:sz w:val="20"/>
          <w:lang w:val="pt-BR"/>
        </w:rPr>
        <w:t>paredes</w:t>
      </w:r>
      <w:r w:rsidRPr="002F50BD">
        <w:rPr>
          <w:rFonts w:ascii="Verdana" w:hAnsi="Verdana"/>
          <w:sz w:val="20"/>
          <w:lang w:val="pt-BR"/>
        </w:rPr>
        <w:t xml:space="preserve"> e o teto das mesm</w:t>
      </w:r>
      <w:r w:rsidR="004756C1" w:rsidRPr="002F50BD">
        <w:rPr>
          <w:rFonts w:ascii="Verdana" w:hAnsi="Verdana"/>
          <w:sz w:val="20"/>
          <w:lang w:val="pt-BR"/>
        </w:rPr>
        <w:t>as</w:t>
      </w:r>
      <w:r w:rsidR="001A0CDE" w:rsidRPr="002F50BD">
        <w:rPr>
          <w:rFonts w:ascii="Verdana" w:hAnsi="Verdana"/>
          <w:sz w:val="20"/>
          <w:lang w:val="pt-BR"/>
        </w:rPr>
        <w:t>. Est</w:t>
      </w:r>
      <w:r w:rsidR="004756C1" w:rsidRPr="002F50BD">
        <w:rPr>
          <w:rFonts w:ascii="Verdana" w:hAnsi="Verdana"/>
          <w:sz w:val="20"/>
          <w:lang w:val="pt-BR"/>
        </w:rPr>
        <w:t xml:space="preserve">as </w:t>
      </w:r>
      <w:r w:rsidR="004B4702" w:rsidRPr="002F50BD">
        <w:rPr>
          <w:rFonts w:ascii="Verdana" w:hAnsi="Verdana"/>
          <w:sz w:val="20"/>
          <w:lang w:val="pt-BR"/>
        </w:rPr>
        <w:t xml:space="preserve">casas </w:t>
      </w:r>
      <w:r w:rsidRPr="002F50BD">
        <w:rPr>
          <w:rFonts w:ascii="Verdana" w:hAnsi="Verdana"/>
          <w:sz w:val="20"/>
          <w:lang w:val="pt-BR"/>
        </w:rPr>
        <w:t xml:space="preserve">são tão </w:t>
      </w:r>
      <w:r w:rsidR="004756C1" w:rsidRPr="002F50BD">
        <w:rPr>
          <w:rFonts w:ascii="Verdana" w:hAnsi="Verdana"/>
          <w:sz w:val="20"/>
          <w:lang w:val="pt-BR"/>
        </w:rPr>
        <w:t>prec</w:t>
      </w:r>
      <w:r w:rsidR="004B4702" w:rsidRPr="002F50BD">
        <w:rPr>
          <w:rFonts w:ascii="Verdana" w:hAnsi="Verdana"/>
          <w:sz w:val="20"/>
          <w:lang w:val="pt-BR"/>
        </w:rPr>
        <w:t>á</w:t>
      </w:r>
      <w:r w:rsidR="004756C1" w:rsidRPr="002F50BD">
        <w:rPr>
          <w:rFonts w:ascii="Verdana" w:hAnsi="Verdana"/>
          <w:sz w:val="20"/>
          <w:lang w:val="pt-BR"/>
        </w:rPr>
        <w:t xml:space="preserve">rias que </w:t>
      </w:r>
      <w:r w:rsidRPr="002F50BD">
        <w:rPr>
          <w:rFonts w:ascii="Verdana" w:hAnsi="Verdana"/>
          <w:sz w:val="20"/>
          <w:lang w:val="pt-BR"/>
        </w:rPr>
        <w:t>quando</w:t>
      </w:r>
      <w:r w:rsidR="004756C1" w:rsidRPr="002F50BD">
        <w:rPr>
          <w:rFonts w:ascii="Verdana" w:hAnsi="Verdana"/>
          <w:sz w:val="20"/>
          <w:lang w:val="pt-BR"/>
        </w:rPr>
        <w:t xml:space="preserve"> </w:t>
      </w:r>
      <w:r w:rsidR="004B4702" w:rsidRPr="002F50BD">
        <w:rPr>
          <w:rFonts w:ascii="Verdana" w:hAnsi="Verdana"/>
          <w:sz w:val="20"/>
          <w:lang w:val="pt-BR"/>
        </w:rPr>
        <w:t xml:space="preserve">chove </w:t>
      </w:r>
      <w:r w:rsidR="004756C1" w:rsidRPr="002F50BD">
        <w:rPr>
          <w:rFonts w:ascii="Verdana" w:hAnsi="Verdana"/>
          <w:sz w:val="20"/>
          <w:lang w:val="pt-BR"/>
        </w:rPr>
        <w:t>t</w:t>
      </w:r>
      <w:r w:rsidR="004B4702" w:rsidRPr="002F50BD">
        <w:rPr>
          <w:rFonts w:ascii="Verdana" w:hAnsi="Verdana"/>
          <w:sz w:val="20"/>
          <w:lang w:val="pt-BR"/>
        </w:rPr>
        <w:t>u</w:t>
      </w:r>
      <w:r w:rsidR="004756C1" w:rsidRPr="002F50BD">
        <w:rPr>
          <w:rFonts w:ascii="Verdana" w:hAnsi="Verdana"/>
          <w:sz w:val="20"/>
          <w:lang w:val="pt-BR"/>
        </w:rPr>
        <w:t xml:space="preserve">do se inunda, </w:t>
      </w:r>
      <w:r w:rsidRPr="002F50BD">
        <w:rPr>
          <w:rFonts w:ascii="Verdana" w:hAnsi="Verdana"/>
          <w:sz w:val="20"/>
          <w:lang w:val="pt-BR"/>
        </w:rPr>
        <w:t xml:space="preserve">incluindo </w:t>
      </w:r>
      <w:r w:rsidR="004B4702" w:rsidRPr="002F50BD">
        <w:rPr>
          <w:rFonts w:ascii="Verdana" w:hAnsi="Verdana"/>
          <w:sz w:val="20"/>
          <w:lang w:val="pt-BR"/>
        </w:rPr>
        <w:t>o</w:t>
      </w:r>
      <w:r w:rsidRPr="002F50BD">
        <w:rPr>
          <w:rFonts w:ascii="Verdana" w:hAnsi="Verdana"/>
          <w:sz w:val="20"/>
          <w:lang w:val="pt-BR"/>
        </w:rPr>
        <w:t xml:space="preserve">s </w:t>
      </w:r>
      <w:r w:rsidR="004B4702" w:rsidRPr="002F50BD">
        <w:rPr>
          <w:rFonts w:ascii="Verdana" w:hAnsi="Verdana"/>
          <w:sz w:val="20"/>
          <w:lang w:val="pt-BR"/>
        </w:rPr>
        <w:t xml:space="preserve">quartos </w:t>
      </w:r>
      <w:r w:rsidRPr="002F50BD">
        <w:rPr>
          <w:rFonts w:ascii="Verdana" w:hAnsi="Verdana"/>
          <w:sz w:val="20"/>
          <w:lang w:val="pt-BR"/>
        </w:rPr>
        <w:t>onde</w:t>
      </w:r>
      <w:r w:rsidR="004756C1" w:rsidRPr="002F50BD">
        <w:rPr>
          <w:rFonts w:ascii="Verdana" w:hAnsi="Verdana"/>
          <w:sz w:val="20"/>
          <w:lang w:val="pt-BR"/>
        </w:rPr>
        <w:t xml:space="preserve"> </w:t>
      </w:r>
      <w:r w:rsidRPr="002F50BD">
        <w:rPr>
          <w:rFonts w:ascii="Verdana" w:hAnsi="Verdana"/>
          <w:sz w:val="20"/>
          <w:lang w:val="pt-BR"/>
        </w:rPr>
        <w:t xml:space="preserve">vivem </w:t>
      </w:r>
      <w:r w:rsidR="00EB4E18" w:rsidRPr="002F50BD">
        <w:rPr>
          <w:rFonts w:ascii="Verdana" w:hAnsi="Verdana"/>
          <w:sz w:val="20"/>
          <w:lang w:val="pt-BR"/>
        </w:rPr>
        <w:t>amontoados</w:t>
      </w:r>
      <w:r w:rsidR="004756C1" w:rsidRPr="002F50BD">
        <w:rPr>
          <w:rFonts w:ascii="Verdana" w:hAnsi="Verdana"/>
          <w:sz w:val="20"/>
          <w:lang w:val="pt-BR"/>
        </w:rPr>
        <w:t xml:space="preserve">. </w:t>
      </w:r>
      <w:r w:rsidR="004B4702" w:rsidRPr="002F50BD">
        <w:rPr>
          <w:rFonts w:ascii="Verdana" w:hAnsi="Verdana"/>
          <w:sz w:val="20"/>
          <w:lang w:val="pt-BR"/>
        </w:rPr>
        <w:t>P</w:t>
      </w:r>
      <w:r w:rsidRPr="002F50BD">
        <w:rPr>
          <w:rFonts w:ascii="Verdana" w:hAnsi="Verdana"/>
          <w:sz w:val="20"/>
          <w:lang w:val="pt-BR"/>
        </w:rPr>
        <w:t xml:space="preserve">elas </w:t>
      </w:r>
      <w:r w:rsidR="004756C1" w:rsidRPr="002F50BD">
        <w:rPr>
          <w:rFonts w:ascii="Verdana" w:hAnsi="Verdana"/>
          <w:sz w:val="20"/>
          <w:lang w:val="pt-BR"/>
        </w:rPr>
        <w:t>características</w:t>
      </w:r>
      <w:r w:rsidRPr="002F50BD">
        <w:rPr>
          <w:rFonts w:ascii="Verdana" w:hAnsi="Verdana"/>
          <w:sz w:val="20"/>
          <w:lang w:val="pt-BR"/>
        </w:rPr>
        <w:t xml:space="preserve"> da terra</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Chaco,</w:t>
      </w:r>
      <w:r w:rsidRPr="002F50BD">
        <w:rPr>
          <w:rFonts w:ascii="Verdana" w:hAnsi="Verdana"/>
          <w:sz w:val="20"/>
          <w:lang w:val="pt-BR"/>
        </w:rPr>
        <w:t xml:space="preserve"> </w:t>
      </w:r>
      <w:r w:rsidR="004B4702" w:rsidRPr="002F50BD">
        <w:rPr>
          <w:rFonts w:ascii="Verdana" w:hAnsi="Verdana"/>
          <w:sz w:val="20"/>
          <w:lang w:val="pt-BR"/>
        </w:rPr>
        <w:t>a</w:t>
      </w:r>
      <w:r w:rsidR="00AB454A" w:rsidRPr="002F50BD">
        <w:rPr>
          <w:rFonts w:ascii="Verdana" w:hAnsi="Verdana"/>
          <w:sz w:val="20"/>
          <w:lang w:val="pt-BR"/>
        </w:rPr>
        <w:t xml:space="preserve"> água não é</w:t>
      </w:r>
      <w:r w:rsidRPr="002F50BD">
        <w:rPr>
          <w:rFonts w:ascii="Verdana" w:hAnsi="Verdana"/>
          <w:sz w:val="20"/>
          <w:lang w:val="pt-BR"/>
        </w:rPr>
        <w:t xml:space="preserve"> </w:t>
      </w:r>
      <w:r w:rsidR="004756C1" w:rsidRPr="002F50BD">
        <w:rPr>
          <w:rFonts w:ascii="Verdana" w:hAnsi="Verdana"/>
          <w:sz w:val="20"/>
          <w:lang w:val="pt-BR"/>
        </w:rPr>
        <w:t>absor</w:t>
      </w:r>
      <w:r w:rsidR="004B4702" w:rsidRPr="002F50BD">
        <w:rPr>
          <w:rFonts w:ascii="Verdana" w:hAnsi="Verdana"/>
          <w:sz w:val="20"/>
          <w:lang w:val="pt-BR"/>
        </w:rPr>
        <w:t>v</w:t>
      </w:r>
      <w:r w:rsidR="004756C1" w:rsidRPr="002F50BD">
        <w:rPr>
          <w:rFonts w:ascii="Verdana" w:hAnsi="Verdana"/>
          <w:sz w:val="20"/>
          <w:lang w:val="pt-BR"/>
        </w:rPr>
        <w:t>ida f</w:t>
      </w:r>
      <w:r w:rsidR="004B4702" w:rsidRPr="002F50BD">
        <w:rPr>
          <w:rFonts w:ascii="Verdana" w:hAnsi="Verdana"/>
          <w:sz w:val="20"/>
          <w:lang w:val="pt-BR"/>
        </w:rPr>
        <w:t>a</w:t>
      </w:r>
      <w:r w:rsidR="004756C1" w:rsidRPr="002F50BD">
        <w:rPr>
          <w:rFonts w:ascii="Verdana" w:hAnsi="Verdana"/>
          <w:sz w:val="20"/>
          <w:lang w:val="pt-BR"/>
        </w:rPr>
        <w:t>cilmente</w:t>
      </w:r>
      <w:r w:rsidRPr="002F50BD">
        <w:rPr>
          <w:rFonts w:ascii="Verdana" w:hAnsi="Verdana"/>
          <w:sz w:val="20"/>
          <w:lang w:val="pt-BR"/>
        </w:rPr>
        <w:t xml:space="preserve"> pela terra</w:t>
      </w:r>
      <w:r w:rsidR="004756C1" w:rsidRPr="002F50BD">
        <w:rPr>
          <w:rFonts w:ascii="Verdana" w:hAnsi="Verdana"/>
          <w:sz w:val="20"/>
          <w:lang w:val="pt-BR"/>
        </w:rPr>
        <w:t xml:space="preserve">, </w:t>
      </w:r>
      <w:r w:rsidRPr="002F50BD">
        <w:rPr>
          <w:rFonts w:ascii="Verdana" w:hAnsi="Verdana"/>
          <w:sz w:val="20"/>
          <w:lang w:val="pt-BR"/>
        </w:rPr>
        <w:t>então</w:t>
      </w:r>
      <w:r w:rsidR="004756C1" w:rsidRPr="002F50BD">
        <w:rPr>
          <w:rFonts w:ascii="Verdana" w:hAnsi="Verdana"/>
          <w:sz w:val="20"/>
          <w:lang w:val="pt-BR"/>
        </w:rPr>
        <w:t xml:space="preserve"> </w:t>
      </w:r>
      <w:r w:rsidR="004B4702" w:rsidRPr="002F50BD">
        <w:rPr>
          <w:rFonts w:ascii="Verdana" w:hAnsi="Verdana"/>
          <w:sz w:val="20"/>
          <w:lang w:val="pt-BR"/>
        </w:rPr>
        <w:t xml:space="preserve">essa água </w:t>
      </w:r>
      <w:r w:rsidR="004756C1" w:rsidRPr="002F50BD">
        <w:rPr>
          <w:rFonts w:ascii="Verdana" w:hAnsi="Verdana"/>
          <w:sz w:val="20"/>
          <w:lang w:val="pt-BR"/>
        </w:rPr>
        <w:t xml:space="preserve">se </w:t>
      </w:r>
      <w:r w:rsidR="003F3630">
        <w:rPr>
          <w:rFonts w:ascii="Verdana" w:hAnsi="Verdana"/>
          <w:sz w:val="20"/>
          <w:lang w:val="pt-BR"/>
        </w:rPr>
        <w:t>acumula</w:t>
      </w:r>
      <w:r w:rsidR="004756C1" w:rsidRPr="002F50BD">
        <w:rPr>
          <w:rFonts w:ascii="Verdana" w:hAnsi="Verdana"/>
          <w:sz w:val="20"/>
          <w:lang w:val="pt-BR"/>
        </w:rPr>
        <w:t xml:space="preserve"> </w:t>
      </w:r>
      <w:r w:rsidRPr="002F50BD">
        <w:rPr>
          <w:rFonts w:ascii="Verdana" w:hAnsi="Verdana"/>
          <w:sz w:val="20"/>
          <w:lang w:val="pt-BR"/>
        </w:rPr>
        <w:t xml:space="preserve">sem </w:t>
      </w:r>
      <w:r w:rsidR="004756C1" w:rsidRPr="002F50BD">
        <w:rPr>
          <w:rFonts w:ascii="Verdana" w:hAnsi="Verdana"/>
          <w:sz w:val="20"/>
          <w:lang w:val="pt-BR"/>
        </w:rPr>
        <w:t>esc</w:t>
      </w:r>
      <w:r w:rsidR="004B4702" w:rsidRPr="002F50BD">
        <w:rPr>
          <w:rFonts w:ascii="Verdana" w:hAnsi="Verdana"/>
          <w:sz w:val="20"/>
          <w:lang w:val="pt-BR"/>
        </w:rPr>
        <w:t>o</w:t>
      </w:r>
      <w:r w:rsidR="00EB4E18" w:rsidRPr="002F50BD">
        <w:rPr>
          <w:rFonts w:ascii="Verdana" w:hAnsi="Verdana"/>
          <w:sz w:val="20"/>
          <w:lang w:val="pt-BR"/>
        </w:rPr>
        <w:t>amento</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A </w:t>
      </w:r>
      <w:r w:rsidR="004B4702" w:rsidRPr="002F50BD">
        <w:rPr>
          <w:rFonts w:ascii="Verdana" w:hAnsi="Verdana"/>
          <w:sz w:val="20"/>
          <w:lang w:val="pt-BR"/>
        </w:rPr>
        <w:t>isso deve</w:t>
      </w:r>
      <w:r w:rsidR="00EB4E18" w:rsidRPr="002F50BD">
        <w:rPr>
          <w:rFonts w:ascii="Verdana" w:hAnsi="Verdana"/>
          <w:sz w:val="20"/>
          <w:lang w:val="pt-BR"/>
        </w:rPr>
        <w:t>-se</w:t>
      </w:r>
      <w:r w:rsidR="004B4702" w:rsidRPr="002F50BD">
        <w:rPr>
          <w:rFonts w:ascii="Verdana" w:hAnsi="Verdana"/>
          <w:sz w:val="20"/>
          <w:lang w:val="pt-BR"/>
        </w:rPr>
        <w:t xml:space="preserve"> acrescentar que não </w:t>
      </w:r>
      <w:r w:rsidR="004756C1" w:rsidRPr="002F50BD">
        <w:rPr>
          <w:rFonts w:ascii="Verdana" w:hAnsi="Verdana"/>
          <w:sz w:val="20"/>
          <w:lang w:val="pt-BR"/>
        </w:rPr>
        <w:t>existe</w:t>
      </w:r>
      <w:r w:rsidRPr="002F50BD">
        <w:rPr>
          <w:rFonts w:ascii="Verdana" w:hAnsi="Verdana"/>
          <w:sz w:val="20"/>
          <w:lang w:val="pt-BR"/>
        </w:rPr>
        <w:t xml:space="preserve"> um</w:t>
      </w:r>
      <w:r w:rsidR="004B4702" w:rsidRPr="002F50BD">
        <w:rPr>
          <w:rFonts w:ascii="Verdana" w:hAnsi="Verdana"/>
          <w:sz w:val="20"/>
          <w:lang w:val="pt-BR"/>
        </w:rPr>
        <w:t>a</w:t>
      </w:r>
      <w:r w:rsidRPr="002F50BD">
        <w:rPr>
          <w:rFonts w:ascii="Verdana" w:hAnsi="Verdana"/>
          <w:sz w:val="20"/>
          <w:lang w:val="pt-BR"/>
        </w:rPr>
        <w:t xml:space="preserve"> </w:t>
      </w:r>
      <w:r w:rsidR="004B4702" w:rsidRPr="002F50BD">
        <w:rPr>
          <w:rFonts w:ascii="Verdana" w:hAnsi="Verdana"/>
          <w:sz w:val="20"/>
          <w:lang w:val="pt-BR"/>
        </w:rPr>
        <w:t>única latrina n</w:t>
      </w:r>
      <w:r w:rsidRPr="002F50BD">
        <w:rPr>
          <w:rFonts w:ascii="Verdana" w:hAnsi="Verdana"/>
          <w:sz w:val="20"/>
          <w:lang w:val="pt-BR"/>
        </w:rPr>
        <w:t xml:space="preserve">a </w:t>
      </w:r>
      <w:r w:rsidR="004756C1" w:rsidRPr="002F50BD">
        <w:rPr>
          <w:rFonts w:ascii="Verdana" w:hAnsi="Verdana"/>
          <w:sz w:val="20"/>
          <w:lang w:val="pt-BR"/>
        </w:rPr>
        <w:t>Comu</w:t>
      </w:r>
      <w:r w:rsidR="00AB454A" w:rsidRPr="002F50BD">
        <w:rPr>
          <w:rFonts w:ascii="Verdana" w:hAnsi="Verdana"/>
          <w:sz w:val="20"/>
          <w:lang w:val="pt-BR"/>
        </w:rPr>
        <w:t xml:space="preserve">nidade, </w:t>
      </w:r>
      <w:r w:rsidR="004B4702" w:rsidRPr="002F50BD">
        <w:rPr>
          <w:rFonts w:ascii="Verdana" w:hAnsi="Verdana"/>
          <w:sz w:val="20"/>
          <w:lang w:val="pt-BR"/>
        </w:rPr>
        <w:t xml:space="preserve">onde </w:t>
      </w:r>
      <w:r w:rsidR="00AB454A" w:rsidRPr="002F50BD">
        <w:rPr>
          <w:rFonts w:ascii="Verdana" w:hAnsi="Verdana"/>
          <w:sz w:val="20"/>
          <w:lang w:val="pt-BR"/>
        </w:rPr>
        <w:t>possam</w:t>
      </w:r>
      <w:r w:rsidRPr="002F50BD">
        <w:rPr>
          <w:rFonts w:ascii="Verdana" w:hAnsi="Verdana"/>
          <w:sz w:val="20"/>
          <w:lang w:val="pt-BR"/>
        </w:rPr>
        <w:t xml:space="preserve"> fazer </w:t>
      </w:r>
      <w:r w:rsidR="004756C1" w:rsidRPr="002F50BD">
        <w:rPr>
          <w:rFonts w:ascii="Verdana" w:hAnsi="Verdana"/>
          <w:sz w:val="20"/>
          <w:lang w:val="pt-BR"/>
        </w:rPr>
        <w:t>su</w:t>
      </w:r>
      <w:r w:rsidR="004B4702" w:rsidRPr="002F50BD">
        <w:rPr>
          <w:rFonts w:ascii="Verdana" w:hAnsi="Verdana"/>
          <w:sz w:val="20"/>
          <w:lang w:val="pt-BR"/>
        </w:rPr>
        <w:t>a</w:t>
      </w:r>
      <w:r w:rsidR="004756C1" w:rsidRPr="002F50BD">
        <w:rPr>
          <w:rFonts w:ascii="Verdana" w:hAnsi="Verdana"/>
          <w:sz w:val="20"/>
          <w:lang w:val="pt-BR"/>
        </w:rPr>
        <w:t xml:space="preserve">s </w:t>
      </w:r>
      <w:r w:rsidRPr="002F50BD">
        <w:rPr>
          <w:rFonts w:ascii="Verdana" w:hAnsi="Verdana"/>
          <w:sz w:val="20"/>
          <w:lang w:val="pt-BR"/>
        </w:rPr>
        <w:t>necessidad</w:t>
      </w:r>
      <w:r w:rsidR="004756C1" w:rsidRPr="002F50BD">
        <w:rPr>
          <w:rFonts w:ascii="Verdana" w:hAnsi="Verdana"/>
          <w:sz w:val="20"/>
          <w:lang w:val="pt-BR"/>
        </w:rPr>
        <w:t>es fisiológicas,</w:t>
      </w:r>
      <w:r w:rsidRPr="002F50BD">
        <w:rPr>
          <w:rFonts w:ascii="Verdana" w:hAnsi="Verdana"/>
          <w:sz w:val="20"/>
          <w:lang w:val="pt-BR"/>
        </w:rPr>
        <w:t xml:space="preserve"> </w:t>
      </w:r>
      <w:r w:rsidR="004B4702" w:rsidRPr="002F50BD">
        <w:rPr>
          <w:rFonts w:ascii="Verdana" w:hAnsi="Verdana"/>
          <w:sz w:val="20"/>
          <w:lang w:val="pt-BR"/>
        </w:rPr>
        <w:t xml:space="preserve">de modo </w:t>
      </w:r>
      <w:r w:rsidRPr="002F50BD">
        <w:rPr>
          <w:rFonts w:ascii="Verdana" w:hAnsi="Verdana"/>
          <w:sz w:val="20"/>
          <w:lang w:val="pt-BR"/>
        </w:rPr>
        <w:t xml:space="preserve">que </w:t>
      </w:r>
      <w:r w:rsidR="00AB454A" w:rsidRPr="002F50BD">
        <w:rPr>
          <w:rFonts w:ascii="Verdana" w:hAnsi="Verdana"/>
          <w:sz w:val="20"/>
          <w:lang w:val="pt-BR"/>
        </w:rPr>
        <w:t>utilizam</w:t>
      </w:r>
      <w:r w:rsidRPr="002F50BD">
        <w:rPr>
          <w:rFonts w:ascii="Verdana" w:hAnsi="Verdana"/>
          <w:sz w:val="20"/>
          <w:lang w:val="pt-BR"/>
        </w:rPr>
        <w:t xml:space="preserve"> as </w:t>
      </w:r>
      <w:r w:rsidR="004756C1" w:rsidRPr="002F50BD">
        <w:rPr>
          <w:rFonts w:ascii="Verdana" w:hAnsi="Verdana"/>
          <w:sz w:val="20"/>
          <w:lang w:val="pt-BR"/>
        </w:rPr>
        <w:t xml:space="preserve">plantas que </w:t>
      </w:r>
      <w:r w:rsidR="004076AD" w:rsidRPr="002F50BD">
        <w:rPr>
          <w:rFonts w:ascii="Verdana" w:hAnsi="Verdana"/>
          <w:sz w:val="20"/>
          <w:lang w:val="pt-BR"/>
        </w:rPr>
        <w:t>ali</w:t>
      </w:r>
      <w:r w:rsidR="004756C1" w:rsidRPr="002F50BD">
        <w:rPr>
          <w:rFonts w:ascii="Verdana" w:hAnsi="Verdana"/>
          <w:sz w:val="20"/>
          <w:lang w:val="pt-BR"/>
        </w:rPr>
        <w:t xml:space="preserve"> </w:t>
      </w:r>
      <w:r w:rsidRPr="002F50BD">
        <w:rPr>
          <w:rFonts w:ascii="Verdana" w:hAnsi="Verdana"/>
          <w:sz w:val="20"/>
          <w:lang w:val="pt-BR"/>
        </w:rPr>
        <w:t>existem</w:t>
      </w:r>
      <w:r w:rsidR="00E6530C" w:rsidRPr="002F50BD">
        <w:rPr>
          <w:rFonts w:ascii="Verdana" w:hAnsi="Verdana"/>
          <w:sz w:val="20"/>
          <w:lang w:val="pt-BR"/>
        </w:rPr>
        <w:t>. Dest</w:t>
      </w:r>
      <w:r w:rsidRPr="002F50BD">
        <w:rPr>
          <w:rFonts w:ascii="Verdana" w:hAnsi="Verdana"/>
          <w:sz w:val="20"/>
          <w:lang w:val="pt-BR"/>
        </w:rPr>
        <w:t>a maneira</w:t>
      </w:r>
      <w:r w:rsidR="004756C1" w:rsidRPr="002F50BD">
        <w:rPr>
          <w:rFonts w:ascii="Verdana" w:hAnsi="Verdana"/>
          <w:sz w:val="20"/>
          <w:lang w:val="pt-BR"/>
        </w:rPr>
        <w:t>,</w:t>
      </w:r>
      <w:r w:rsidRPr="002F50BD">
        <w:rPr>
          <w:rFonts w:ascii="Verdana" w:hAnsi="Verdana"/>
          <w:sz w:val="20"/>
          <w:lang w:val="pt-BR"/>
        </w:rPr>
        <w:t xml:space="preserve"> </w:t>
      </w:r>
      <w:r w:rsidR="004B4702" w:rsidRPr="002F50BD">
        <w:rPr>
          <w:rFonts w:ascii="Verdana" w:hAnsi="Verdana"/>
          <w:sz w:val="20"/>
          <w:lang w:val="pt-BR"/>
        </w:rPr>
        <w:t>a</w:t>
      </w:r>
      <w:r w:rsidR="00AB454A" w:rsidRPr="002F50BD">
        <w:rPr>
          <w:rFonts w:ascii="Verdana" w:hAnsi="Verdana"/>
          <w:sz w:val="20"/>
          <w:lang w:val="pt-BR"/>
        </w:rPr>
        <w:t xml:space="preserve"> água </w:t>
      </w:r>
      <w:r w:rsidRPr="002F50BD">
        <w:rPr>
          <w:rFonts w:ascii="Verdana" w:hAnsi="Verdana"/>
          <w:sz w:val="20"/>
          <w:lang w:val="pt-BR"/>
        </w:rPr>
        <w:t xml:space="preserve">da </w:t>
      </w:r>
      <w:r w:rsidR="00313394" w:rsidRPr="002F50BD">
        <w:rPr>
          <w:rFonts w:ascii="Verdana" w:hAnsi="Verdana"/>
          <w:sz w:val="20"/>
          <w:lang w:val="pt-BR"/>
        </w:rPr>
        <w:t>chuva</w:t>
      </w:r>
      <w:r w:rsidR="004756C1" w:rsidRPr="002F50BD">
        <w:rPr>
          <w:rFonts w:ascii="Verdana" w:hAnsi="Verdana"/>
          <w:sz w:val="20"/>
          <w:lang w:val="pt-BR"/>
        </w:rPr>
        <w:t xml:space="preserve"> inunda toda</w:t>
      </w:r>
      <w:r w:rsidRPr="002F50BD">
        <w:rPr>
          <w:rFonts w:ascii="Verdana" w:hAnsi="Verdana"/>
          <w:sz w:val="20"/>
          <w:lang w:val="pt-BR"/>
        </w:rPr>
        <w:t xml:space="preserve"> </w:t>
      </w:r>
      <w:r w:rsidR="004B4702"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w:t>
      </w:r>
      <w:r w:rsidRPr="002F50BD">
        <w:rPr>
          <w:rFonts w:ascii="Verdana" w:hAnsi="Verdana"/>
          <w:sz w:val="20"/>
          <w:lang w:val="pt-BR"/>
        </w:rPr>
        <w:t xml:space="preserve"> e </w:t>
      </w:r>
      <w:r w:rsidR="004756C1" w:rsidRPr="002F50BD">
        <w:rPr>
          <w:rFonts w:ascii="Verdana" w:hAnsi="Verdana"/>
          <w:sz w:val="20"/>
          <w:lang w:val="pt-BR"/>
        </w:rPr>
        <w:t>arrasta</w:t>
      </w:r>
      <w:r w:rsidR="00EB4E18" w:rsidRPr="002F50BD">
        <w:rPr>
          <w:rFonts w:ascii="Verdana" w:hAnsi="Verdana"/>
          <w:sz w:val="20"/>
          <w:lang w:val="pt-BR"/>
        </w:rPr>
        <w:t>,</w:t>
      </w:r>
      <w:r w:rsidR="004756C1" w:rsidRPr="002F50BD">
        <w:rPr>
          <w:rFonts w:ascii="Verdana" w:hAnsi="Verdana"/>
          <w:sz w:val="20"/>
          <w:lang w:val="pt-BR"/>
        </w:rPr>
        <w:t xml:space="preserve"> inclusive</w:t>
      </w:r>
      <w:r w:rsidR="00EB4E18"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restos feca</w:t>
      </w:r>
      <w:r w:rsidR="004B4702" w:rsidRPr="002F50BD">
        <w:rPr>
          <w:rFonts w:ascii="Verdana" w:hAnsi="Verdana"/>
          <w:sz w:val="20"/>
          <w:lang w:val="pt-BR"/>
        </w:rPr>
        <w:t>i</w:t>
      </w:r>
      <w:r w:rsidR="004756C1" w:rsidRPr="002F50BD">
        <w:rPr>
          <w:rFonts w:ascii="Verdana" w:hAnsi="Verdana"/>
          <w:sz w:val="20"/>
          <w:lang w:val="pt-BR"/>
        </w:rPr>
        <w:t xml:space="preserve">s </w:t>
      </w:r>
      <w:r w:rsidRPr="002F50BD">
        <w:rPr>
          <w:rFonts w:ascii="Verdana" w:hAnsi="Verdana"/>
          <w:sz w:val="20"/>
          <w:lang w:val="pt-BR"/>
        </w:rPr>
        <w:t xml:space="preserve">até as </w:t>
      </w:r>
      <w:r w:rsidR="004B4702" w:rsidRPr="002F50BD">
        <w:rPr>
          <w:rFonts w:ascii="Verdana" w:hAnsi="Verdana"/>
          <w:sz w:val="20"/>
          <w:lang w:val="pt-BR"/>
        </w:rPr>
        <w:t xml:space="preserve">casas </w:t>
      </w:r>
      <w:r w:rsidRPr="002F50BD">
        <w:rPr>
          <w:rFonts w:ascii="Verdana" w:hAnsi="Verdana"/>
          <w:sz w:val="20"/>
          <w:lang w:val="pt-BR"/>
        </w:rPr>
        <w:t xml:space="preserve">e a </w:t>
      </w:r>
      <w:r w:rsidR="004756C1" w:rsidRPr="002F50BD">
        <w:rPr>
          <w:rFonts w:ascii="Verdana" w:hAnsi="Verdana"/>
          <w:sz w:val="20"/>
          <w:lang w:val="pt-BR"/>
        </w:rPr>
        <w:t>esc</w:t>
      </w:r>
      <w:r w:rsidR="004B4702" w:rsidRPr="002F50BD">
        <w:rPr>
          <w:rFonts w:ascii="Verdana" w:hAnsi="Verdana"/>
          <w:sz w:val="20"/>
          <w:lang w:val="pt-BR"/>
        </w:rPr>
        <w:t>olinha</w:t>
      </w:r>
      <w:r w:rsidR="004756C1" w:rsidRPr="002F50BD">
        <w:rPr>
          <w:rFonts w:ascii="Verdana" w:hAnsi="Verdana"/>
          <w:sz w:val="20"/>
          <w:lang w:val="pt-BR"/>
        </w:rPr>
        <w:t xml:space="preserve">. </w:t>
      </w:r>
      <w:r w:rsidR="004B4702" w:rsidRPr="002F50BD">
        <w:rPr>
          <w:rFonts w:ascii="Verdana" w:hAnsi="Verdana"/>
          <w:sz w:val="20"/>
          <w:lang w:val="pt-BR"/>
        </w:rPr>
        <w:t>A</w:t>
      </w:r>
      <w:r w:rsidRPr="002F50BD">
        <w:rPr>
          <w:rFonts w:ascii="Verdana" w:hAnsi="Verdana"/>
          <w:sz w:val="20"/>
          <w:lang w:val="pt-BR"/>
        </w:rPr>
        <w:t xml:space="preserve">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mis</w:t>
      </w:r>
      <w:r w:rsidR="004B4702" w:rsidRPr="002F50BD">
        <w:rPr>
          <w:rFonts w:ascii="Verdana" w:hAnsi="Verdana"/>
          <w:sz w:val="20"/>
          <w:lang w:val="pt-BR"/>
        </w:rPr>
        <w:t>é</w:t>
      </w:r>
      <w:r w:rsidR="004756C1" w:rsidRPr="002F50BD">
        <w:rPr>
          <w:rFonts w:ascii="Verdana" w:hAnsi="Verdana"/>
          <w:sz w:val="20"/>
          <w:lang w:val="pt-BR"/>
        </w:rPr>
        <w:t>ria</w:t>
      </w:r>
      <w:r w:rsidRPr="002F50BD">
        <w:rPr>
          <w:rFonts w:ascii="Verdana" w:hAnsi="Verdana"/>
          <w:sz w:val="20"/>
          <w:lang w:val="pt-BR"/>
        </w:rPr>
        <w:t xml:space="preserve"> e </w:t>
      </w:r>
      <w:r w:rsidR="004B4702" w:rsidRPr="002F50BD">
        <w:rPr>
          <w:rFonts w:ascii="Verdana" w:hAnsi="Verdana"/>
          <w:sz w:val="20"/>
          <w:lang w:val="pt-BR"/>
        </w:rPr>
        <w:t xml:space="preserve">abandono </w:t>
      </w:r>
      <w:r w:rsidRPr="002F50BD">
        <w:rPr>
          <w:rFonts w:ascii="Verdana" w:hAnsi="Verdana"/>
          <w:sz w:val="20"/>
          <w:lang w:val="pt-BR"/>
        </w:rPr>
        <w:t xml:space="preserve">em </w:t>
      </w:r>
      <w:r w:rsidR="004756C1" w:rsidRPr="002F50BD">
        <w:rPr>
          <w:rFonts w:ascii="Verdana" w:hAnsi="Verdana"/>
          <w:sz w:val="20"/>
          <w:lang w:val="pt-BR"/>
        </w:rPr>
        <w:t xml:space="preserve">que se </w:t>
      </w:r>
      <w:r w:rsidRPr="002F50BD">
        <w:rPr>
          <w:rFonts w:ascii="Verdana" w:hAnsi="Verdana"/>
          <w:sz w:val="20"/>
          <w:lang w:val="pt-BR"/>
        </w:rPr>
        <w:t xml:space="preserve">encontra a Comunidade </w:t>
      </w:r>
      <w:r w:rsidR="00EB4E18" w:rsidRPr="002F50BD">
        <w:rPr>
          <w:rFonts w:ascii="Verdana" w:hAnsi="Verdana"/>
          <w:sz w:val="20"/>
          <w:lang w:val="pt-BR"/>
        </w:rPr>
        <w:t>são</w:t>
      </w:r>
      <w:r w:rsidRPr="002F50BD">
        <w:rPr>
          <w:rFonts w:ascii="Verdana" w:hAnsi="Verdana"/>
          <w:sz w:val="20"/>
          <w:lang w:val="pt-BR"/>
        </w:rPr>
        <w:t xml:space="preserve"> </w:t>
      </w:r>
      <w:r w:rsidR="004756C1" w:rsidRPr="002F50BD">
        <w:rPr>
          <w:rFonts w:ascii="Verdana" w:hAnsi="Verdana"/>
          <w:sz w:val="20"/>
          <w:lang w:val="pt-BR"/>
        </w:rPr>
        <w:t>desastrosa</w:t>
      </w:r>
      <w:r w:rsidR="00EB4E18" w:rsidRPr="002F50BD">
        <w:rPr>
          <w:rFonts w:ascii="Verdana" w:hAnsi="Verdana"/>
          <w:sz w:val="20"/>
          <w:lang w:val="pt-BR"/>
        </w:rPr>
        <w:t>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4B4702" w:rsidRPr="002F50BD">
        <w:rPr>
          <w:rFonts w:ascii="Verdana" w:hAnsi="Verdana"/>
          <w:sz w:val="20"/>
          <w:lang w:val="pt-BR"/>
        </w:rPr>
        <w:t>ã</w:t>
      </w:r>
      <w:r w:rsidR="004756C1" w:rsidRPr="002F50BD">
        <w:rPr>
          <w:rFonts w:ascii="Verdana" w:hAnsi="Verdana"/>
          <w:sz w:val="20"/>
          <w:lang w:val="pt-BR"/>
        </w:rPr>
        <w:t xml:space="preserve">o </w:t>
      </w:r>
      <w:r w:rsidR="004B4702" w:rsidRPr="002F50BD">
        <w:rPr>
          <w:rFonts w:ascii="Verdana" w:hAnsi="Verdana"/>
          <w:sz w:val="20"/>
          <w:lang w:val="pt-BR"/>
        </w:rPr>
        <w:t xml:space="preserve">é necessário ser especialista </w:t>
      </w:r>
      <w:r w:rsidR="004756C1" w:rsidRPr="002F50BD">
        <w:rPr>
          <w:rFonts w:ascii="Verdana" w:hAnsi="Verdana"/>
          <w:sz w:val="20"/>
          <w:lang w:val="pt-BR"/>
        </w:rPr>
        <w:t>para com</w:t>
      </w:r>
      <w:r w:rsidRPr="002F50BD">
        <w:rPr>
          <w:rFonts w:ascii="Verdana" w:hAnsi="Verdana"/>
          <w:sz w:val="20"/>
          <w:lang w:val="pt-BR"/>
        </w:rPr>
        <w:t>provar</w:t>
      </w:r>
      <w:r w:rsidR="004756C1" w:rsidRPr="002F50BD">
        <w:rPr>
          <w:rFonts w:ascii="Verdana" w:hAnsi="Verdana"/>
          <w:sz w:val="20"/>
          <w:lang w:val="pt-BR"/>
        </w:rPr>
        <w:t xml:space="preserve"> todas estas </w:t>
      </w:r>
      <w:r w:rsidRPr="002F50BD">
        <w:rPr>
          <w:rFonts w:ascii="Verdana" w:hAnsi="Verdana"/>
          <w:sz w:val="20"/>
          <w:lang w:val="pt-BR"/>
        </w:rPr>
        <w:t>circunstâncias</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Para</w:t>
      </w:r>
      <w:r w:rsidR="0089298C" w:rsidRPr="002F50BD">
        <w:rPr>
          <w:rFonts w:ascii="Verdana" w:hAnsi="Verdana"/>
          <w:sz w:val="20"/>
          <w:lang w:val="pt-BR"/>
        </w:rPr>
        <w:t xml:space="preserve"> a </w:t>
      </w:r>
      <w:r w:rsidRPr="002F50BD">
        <w:rPr>
          <w:rFonts w:ascii="Verdana" w:hAnsi="Verdana"/>
          <w:sz w:val="20"/>
          <w:lang w:val="pt-BR"/>
        </w:rPr>
        <w:t>determina</w:t>
      </w:r>
      <w:r w:rsidR="0089298C" w:rsidRPr="002F50BD">
        <w:rPr>
          <w:rFonts w:ascii="Verdana" w:hAnsi="Verdana"/>
          <w:sz w:val="20"/>
          <w:lang w:val="pt-BR"/>
        </w:rPr>
        <w:t xml:space="preserve">ção das </w:t>
      </w:r>
      <w:r w:rsidRPr="002F50BD">
        <w:rPr>
          <w:rFonts w:ascii="Verdana" w:hAnsi="Verdana"/>
          <w:sz w:val="20"/>
          <w:lang w:val="pt-BR"/>
        </w:rPr>
        <w:t>pro</w:t>
      </w:r>
      <w:r w:rsidR="004B4702" w:rsidRPr="002F50BD">
        <w:rPr>
          <w:rFonts w:ascii="Verdana" w:hAnsi="Verdana"/>
          <w:sz w:val="20"/>
          <w:lang w:val="pt-BR"/>
        </w:rPr>
        <w:t>v</w:t>
      </w:r>
      <w:r w:rsidR="0089298C" w:rsidRPr="002F50BD">
        <w:rPr>
          <w:rFonts w:ascii="Verdana" w:hAnsi="Verdana"/>
          <w:sz w:val="20"/>
          <w:lang w:val="pt-BR"/>
        </w:rPr>
        <w:t xml:space="preserve">áveis </w:t>
      </w:r>
      <w:r w:rsidRPr="002F50BD">
        <w:rPr>
          <w:rFonts w:ascii="Verdana" w:hAnsi="Verdana"/>
          <w:sz w:val="20"/>
          <w:lang w:val="pt-BR"/>
        </w:rPr>
        <w:t>causas</w:t>
      </w:r>
      <w:r w:rsidR="0089298C" w:rsidRPr="002F50BD">
        <w:rPr>
          <w:rFonts w:ascii="Verdana" w:hAnsi="Verdana"/>
          <w:sz w:val="20"/>
          <w:lang w:val="pt-BR"/>
        </w:rPr>
        <w:t xml:space="preserve"> das morte</w:t>
      </w:r>
      <w:r w:rsidRPr="002F50BD">
        <w:rPr>
          <w:rFonts w:ascii="Verdana" w:hAnsi="Verdana"/>
          <w:sz w:val="20"/>
          <w:lang w:val="pt-BR"/>
        </w:rPr>
        <w:t xml:space="preserve">s </w:t>
      </w:r>
      <w:r w:rsidR="004B4702" w:rsidRPr="002F50BD">
        <w:rPr>
          <w:rFonts w:ascii="Verdana" w:hAnsi="Verdana"/>
          <w:sz w:val="20"/>
          <w:lang w:val="pt-BR"/>
        </w:rPr>
        <w:t xml:space="preserve">ocorridas </w:t>
      </w:r>
      <w:r w:rsidR="0089298C" w:rsidRPr="002F50BD">
        <w:rPr>
          <w:rFonts w:ascii="Verdana" w:hAnsi="Verdana"/>
          <w:sz w:val="20"/>
          <w:lang w:val="pt-BR"/>
        </w:rPr>
        <w:t xml:space="preserve">nos </w:t>
      </w:r>
      <w:r w:rsidRPr="002F50BD">
        <w:rPr>
          <w:rFonts w:ascii="Verdana" w:hAnsi="Verdana"/>
          <w:sz w:val="20"/>
          <w:lang w:val="pt-BR"/>
        </w:rPr>
        <w:t xml:space="preserve">últimos </w:t>
      </w:r>
      <w:r w:rsidR="0089298C" w:rsidRPr="002F50BD">
        <w:rPr>
          <w:rFonts w:ascii="Verdana" w:hAnsi="Verdana"/>
          <w:sz w:val="20"/>
          <w:lang w:val="pt-BR"/>
        </w:rPr>
        <w:t xml:space="preserve">anos nesta </w:t>
      </w:r>
      <w:r w:rsidRPr="002F50BD">
        <w:rPr>
          <w:rFonts w:ascii="Verdana" w:hAnsi="Verdana"/>
          <w:sz w:val="20"/>
          <w:lang w:val="pt-BR"/>
        </w:rPr>
        <w:t>comu</w:t>
      </w:r>
      <w:r w:rsidR="00AB454A" w:rsidRPr="002F50BD">
        <w:rPr>
          <w:rFonts w:ascii="Verdana" w:hAnsi="Verdana"/>
          <w:sz w:val="20"/>
          <w:lang w:val="pt-BR"/>
        </w:rPr>
        <w:t xml:space="preserve">nidade, </w:t>
      </w:r>
      <w:r w:rsidR="004B4702" w:rsidRPr="002F50BD">
        <w:rPr>
          <w:rFonts w:ascii="Verdana" w:hAnsi="Verdana"/>
          <w:sz w:val="20"/>
          <w:lang w:val="pt-BR"/>
        </w:rPr>
        <w:t xml:space="preserve">foram realizadas </w:t>
      </w:r>
      <w:r w:rsidRPr="002F50BD">
        <w:rPr>
          <w:rFonts w:ascii="Verdana" w:hAnsi="Verdana"/>
          <w:sz w:val="20"/>
          <w:lang w:val="pt-BR"/>
        </w:rPr>
        <w:t>entrevistas</w:t>
      </w:r>
      <w:r w:rsidR="0089298C" w:rsidRPr="002F50BD">
        <w:rPr>
          <w:rFonts w:ascii="Verdana" w:hAnsi="Verdana"/>
          <w:sz w:val="20"/>
          <w:lang w:val="pt-BR"/>
        </w:rPr>
        <w:t xml:space="preserve"> </w:t>
      </w:r>
      <w:r w:rsidR="004B4702" w:rsidRPr="002F50BD">
        <w:rPr>
          <w:rFonts w:ascii="Verdana" w:hAnsi="Verdana"/>
          <w:sz w:val="20"/>
          <w:lang w:val="pt-BR"/>
        </w:rPr>
        <w:t xml:space="preserve">com </w:t>
      </w:r>
      <w:r w:rsidR="0089298C" w:rsidRPr="002F50BD">
        <w:rPr>
          <w:rFonts w:ascii="Verdana" w:hAnsi="Verdana"/>
          <w:sz w:val="20"/>
          <w:lang w:val="pt-BR"/>
        </w:rPr>
        <w:t xml:space="preserve">os </w:t>
      </w:r>
      <w:r w:rsidR="009F308E" w:rsidRPr="002F50BD">
        <w:rPr>
          <w:rFonts w:ascii="Verdana" w:hAnsi="Verdana"/>
          <w:sz w:val="20"/>
          <w:lang w:val="pt-BR"/>
        </w:rPr>
        <w:t>familiares</w:t>
      </w:r>
      <w:r w:rsidR="0089298C" w:rsidRPr="002F50BD">
        <w:rPr>
          <w:rFonts w:ascii="Verdana" w:hAnsi="Verdana"/>
          <w:sz w:val="20"/>
          <w:lang w:val="pt-BR"/>
        </w:rPr>
        <w:t xml:space="preserve"> das pessoa</w:t>
      </w:r>
      <w:r w:rsidRPr="002F50BD">
        <w:rPr>
          <w:rFonts w:ascii="Verdana" w:hAnsi="Verdana"/>
          <w:sz w:val="20"/>
          <w:lang w:val="pt-BR"/>
        </w:rPr>
        <w:t xml:space="preserve">s </w:t>
      </w:r>
      <w:r w:rsidR="0089298C" w:rsidRPr="002F50BD">
        <w:rPr>
          <w:rFonts w:ascii="Verdana" w:hAnsi="Verdana"/>
          <w:sz w:val="20"/>
          <w:lang w:val="pt-BR"/>
        </w:rPr>
        <w:t>falecid</w:t>
      </w:r>
      <w:r w:rsidRPr="002F50BD">
        <w:rPr>
          <w:rFonts w:ascii="Verdana" w:hAnsi="Verdana"/>
          <w:sz w:val="20"/>
          <w:lang w:val="pt-BR"/>
        </w:rPr>
        <w:t>as.</w:t>
      </w:r>
      <w:r w:rsidR="0089298C" w:rsidRPr="002F50BD">
        <w:rPr>
          <w:rFonts w:ascii="Verdana" w:hAnsi="Verdana"/>
          <w:sz w:val="20"/>
          <w:lang w:val="pt-BR"/>
        </w:rPr>
        <w:t xml:space="preserve"> </w:t>
      </w:r>
      <w:r w:rsidR="004B4702" w:rsidRPr="002F50BD">
        <w:rPr>
          <w:rFonts w:ascii="Verdana" w:hAnsi="Verdana"/>
          <w:sz w:val="20"/>
          <w:lang w:val="pt-BR"/>
        </w:rPr>
        <w:t>F</w:t>
      </w:r>
      <w:r w:rsidR="0089298C" w:rsidRPr="002F50BD">
        <w:rPr>
          <w:rFonts w:ascii="Verdana" w:hAnsi="Verdana"/>
          <w:sz w:val="20"/>
          <w:lang w:val="pt-BR"/>
        </w:rPr>
        <w:t xml:space="preserve">oi </w:t>
      </w:r>
      <w:r w:rsidRPr="002F50BD">
        <w:rPr>
          <w:rFonts w:ascii="Verdana" w:hAnsi="Verdana"/>
          <w:sz w:val="20"/>
          <w:lang w:val="pt-BR"/>
        </w:rPr>
        <w:t xml:space="preserve">bastante difícil e </w:t>
      </w:r>
      <w:r w:rsidR="0089298C" w:rsidRPr="002F50BD">
        <w:rPr>
          <w:rFonts w:ascii="Verdana" w:hAnsi="Verdana"/>
          <w:sz w:val="20"/>
          <w:lang w:val="pt-BR"/>
        </w:rPr>
        <w:t>implicou</w:t>
      </w:r>
      <w:r w:rsidRPr="002F50BD">
        <w:rPr>
          <w:rFonts w:ascii="Verdana" w:hAnsi="Verdana"/>
          <w:sz w:val="20"/>
          <w:lang w:val="pt-BR"/>
        </w:rPr>
        <w:t xml:space="preserve"> </w:t>
      </w:r>
      <w:r w:rsidR="0089298C" w:rsidRPr="002F50BD">
        <w:rPr>
          <w:rFonts w:ascii="Verdana" w:hAnsi="Verdana"/>
          <w:sz w:val="20"/>
          <w:lang w:val="pt-BR"/>
        </w:rPr>
        <w:t>muita</w:t>
      </w:r>
      <w:r w:rsidRPr="002F50BD">
        <w:rPr>
          <w:rFonts w:ascii="Verdana" w:hAnsi="Verdana"/>
          <w:sz w:val="20"/>
          <w:lang w:val="pt-BR"/>
        </w:rPr>
        <w:t xml:space="preserve"> paci</w:t>
      </w:r>
      <w:r w:rsidR="004B4702" w:rsidRPr="002F50BD">
        <w:rPr>
          <w:rFonts w:ascii="Verdana" w:hAnsi="Verdana"/>
          <w:sz w:val="20"/>
          <w:lang w:val="pt-BR"/>
        </w:rPr>
        <w:t>ê</w:t>
      </w:r>
      <w:r w:rsidRPr="002F50BD">
        <w:rPr>
          <w:rFonts w:ascii="Verdana" w:hAnsi="Verdana"/>
          <w:sz w:val="20"/>
          <w:lang w:val="pt-BR"/>
        </w:rPr>
        <w:t>ncia</w:t>
      </w:r>
      <w:r w:rsidR="0089298C" w:rsidRPr="002F50BD">
        <w:rPr>
          <w:rFonts w:ascii="Verdana" w:hAnsi="Verdana"/>
          <w:sz w:val="20"/>
          <w:lang w:val="pt-BR"/>
        </w:rPr>
        <w:t xml:space="preserve"> e </w:t>
      </w:r>
      <w:r w:rsidRPr="002F50BD">
        <w:rPr>
          <w:rFonts w:ascii="Verdana" w:hAnsi="Verdana"/>
          <w:sz w:val="20"/>
          <w:lang w:val="pt-BR"/>
        </w:rPr>
        <w:t>con</w:t>
      </w:r>
      <w:r w:rsidR="0089298C" w:rsidRPr="002F50BD">
        <w:rPr>
          <w:rFonts w:ascii="Verdana" w:hAnsi="Verdana"/>
          <w:sz w:val="20"/>
          <w:lang w:val="pt-BR"/>
        </w:rPr>
        <w:t xml:space="preserve">fiança dos </w:t>
      </w:r>
      <w:r w:rsidR="004B4702" w:rsidRPr="002F50BD">
        <w:rPr>
          <w:rFonts w:ascii="Verdana" w:hAnsi="Verdana"/>
          <w:sz w:val="20"/>
          <w:lang w:val="pt-BR"/>
        </w:rPr>
        <w:t xml:space="preserve">moradores </w:t>
      </w:r>
      <w:r w:rsidRPr="002F50BD">
        <w:rPr>
          <w:rFonts w:ascii="Verdana" w:hAnsi="Verdana"/>
          <w:sz w:val="20"/>
          <w:lang w:val="pt-BR"/>
        </w:rPr>
        <w:t>de Yakye Axa para que</w:t>
      </w:r>
      <w:r w:rsidR="0089298C" w:rsidRPr="002F50BD">
        <w:rPr>
          <w:rFonts w:ascii="Verdana" w:hAnsi="Verdana"/>
          <w:sz w:val="20"/>
          <w:lang w:val="pt-BR"/>
        </w:rPr>
        <w:t xml:space="preserve"> ele</w:t>
      </w:r>
      <w:r w:rsidRPr="002F50BD">
        <w:rPr>
          <w:rFonts w:ascii="Verdana" w:hAnsi="Verdana"/>
          <w:sz w:val="20"/>
          <w:lang w:val="pt-BR"/>
        </w:rPr>
        <w:t xml:space="preserve">s </w:t>
      </w:r>
      <w:r w:rsidR="004076AD" w:rsidRPr="002F50BD">
        <w:rPr>
          <w:rFonts w:ascii="Verdana" w:hAnsi="Verdana"/>
          <w:sz w:val="20"/>
          <w:lang w:val="pt-BR"/>
        </w:rPr>
        <w:t>pudesse</w:t>
      </w:r>
      <w:r w:rsidRPr="002F50BD">
        <w:rPr>
          <w:rFonts w:ascii="Verdana" w:hAnsi="Verdana"/>
          <w:sz w:val="20"/>
          <w:lang w:val="pt-BR"/>
        </w:rPr>
        <w:t>n relatar</w:t>
      </w:r>
      <w:r w:rsidR="0089298C" w:rsidRPr="002F50BD">
        <w:rPr>
          <w:rFonts w:ascii="Verdana" w:hAnsi="Verdana"/>
          <w:sz w:val="20"/>
          <w:lang w:val="pt-BR"/>
        </w:rPr>
        <w:t xml:space="preserve"> as </w:t>
      </w:r>
      <w:r w:rsidRPr="002F50BD">
        <w:rPr>
          <w:rFonts w:ascii="Verdana" w:hAnsi="Verdana"/>
          <w:sz w:val="20"/>
          <w:lang w:val="pt-BR"/>
        </w:rPr>
        <w:t>causas</w:t>
      </w:r>
      <w:r w:rsidR="0089298C" w:rsidRPr="002F50BD">
        <w:rPr>
          <w:rFonts w:ascii="Verdana" w:hAnsi="Verdana"/>
          <w:sz w:val="20"/>
          <w:lang w:val="pt-BR"/>
        </w:rPr>
        <w:t xml:space="preserve"> das morte</w:t>
      </w:r>
      <w:r w:rsidRPr="002F50BD">
        <w:rPr>
          <w:rFonts w:ascii="Verdana" w:hAnsi="Verdana"/>
          <w:sz w:val="20"/>
          <w:lang w:val="pt-BR"/>
        </w:rPr>
        <w:t xml:space="preserve">s de </w:t>
      </w:r>
      <w:r w:rsidR="0089298C" w:rsidRPr="002F50BD">
        <w:rPr>
          <w:rFonts w:ascii="Verdana" w:hAnsi="Verdana"/>
          <w:sz w:val="20"/>
          <w:lang w:val="pt-BR"/>
        </w:rPr>
        <w:t xml:space="preserve">seus </w:t>
      </w:r>
      <w:r w:rsidR="009F308E" w:rsidRPr="002F50BD">
        <w:rPr>
          <w:rFonts w:ascii="Verdana" w:hAnsi="Verdana"/>
          <w:sz w:val="20"/>
          <w:lang w:val="pt-BR"/>
        </w:rPr>
        <w:t>familiares</w:t>
      </w:r>
      <w:r w:rsidRPr="002F50BD">
        <w:rPr>
          <w:rFonts w:ascii="Verdana" w:hAnsi="Verdana"/>
          <w:sz w:val="20"/>
          <w:lang w:val="pt-BR"/>
        </w:rPr>
        <w:t xml:space="preserve">. </w:t>
      </w:r>
      <w:r w:rsidR="004B4702" w:rsidRPr="002F50BD">
        <w:rPr>
          <w:rFonts w:ascii="Verdana" w:hAnsi="Verdana"/>
          <w:sz w:val="20"/>
          <w:lang w:val="pt-BR"/>
        </w:rPr>
        <w:t>A</w:t>
      </w:r>
      <w:r w:rsidR="0089298C" w:rsidRPr="002F50BD">
        <w:rPr>
          <w:rFonts w:ascii="Verdana" w:hAnsi="Verdana"/>
          <w:sz w:val="20"/>
          <w:lang w:val="pt-BR"/>
        </w:rPr>
        <w:t xml:space="preserve">o </w:t>
      </w:r>
      <w:r w:rsidRPr="002F50BD">
        <w:rPr>
          <w:rFonts w:ascii="Verdana" w:hAnsi="Verdana"/>
          <w:sz w:val="20"/>
          <w:lang w:val="pt-BR"/>
        </w:rPr>
        <w:t>n</w:t>
      </w:r>
      <w:r w:rsidR="004B4702" w:rsidRPr="002F50BD">
        <w:rPr>
          <w:rFonts w:ascii="Verdana" w:hAnsi="Verdana"/>
          <w:sz w:val="20"/>
          <w:lang w:val="pt-BR"/>
        </w:rPr>
        <w:t>ã</w:t>
      </w:r>
      <w:r w:rsidRPr="002F50BD">
        <w:rPr>
          <w:rFonts w:ascii="Verdana" w:hAnsi="Verdana"/>
          <w:sz w:val="20"/>
          <w:lang w:val="pt-BR"/>
        </w:rPr>
        <w:t xml:space="preserve">o existir registro </w:t>
      </w:r>
      <w:r w:rsidR="0089298C" w:rsidRPr="002F50BD">
        <w:rPr>
          <w:rFonts w:ascii="Verdana" w:hAnsi="Verdana"/>
          <w:sz w:val="20"/>
          <w:lang w:val="pt-BR"/>
        </w:rPr>
        <w:t>desta</w:t>
      </w:r>
      <w:r w:rsidRPr="002F50BD">
        <w:rPr>
          <w:rFonts w:ascii="Verdana" w:hAnsi="Verdana"/>
          <w:sz w:val="20"/>
          <w:lang w:val="pt-BR"/>
        </w:rPr>
        <w:t xml:space="preserve">s </w:t>
      </w:r>
      <w:r w:rsidR="0089298C" w:rsidRPr="002F50BD">
        <w:rPr>
          <w:rFonts w:ascii="Verdana" w:hAnsi="Verdana"/>
          <w:sz w:val="20"/>
          <w:lang w:val="pt-BR"/>
        </w:rPr>
        <w:t>morte</w:t>
      </w:r>
      <w:r w:rsidRPr="002F50BD">
        <w:rPr>
          <w:rFonts w:ascii="Verdana" w:hAnsi="Verdana"/>
          <w:sz w:val="20"/>
          <w:lang w:val="pt-BR"/>
        </w:rPr>
        <w:t>s,</w:t>
      </w:r>
      <w:r w:rsidR="0089298C" w:rsidRPr="002F50BD">
        <w:rPr>
          <w:rFonts w:ascii="Verdana" w:hAnsi="Verdana"/>
          <w:sz w:val="20"/>
          <w:lang w:val="pt-BR"/>
        </w:rPr>
        <w:t xml:space="preserve"> foi </w:t>
      </w:r>
      <w:r w:rsidRPr="002F50BD">
        <w:rPr>
          <w:rFonts w:ascii="Verdana" w:hAnsi="Verdana"/>
          <w:sz w:val="20"/>
          <w:lang w:val="pt-BR"/>
        </w:rPr>
        <w:t xml:space="preserve">difícil </w:t>
      </w:r>
      <w:r w:rsidR="0089298C" w:rsidRPr="002F50BD">
        <w:rPr>
          <w:rFonts w:ascii="Verdana" w:hAnsi="Verdana"/>
          <w:sz w:val="20"/>
          <w:lang w:val="pt-BR"/>
        </w:rPr>
        <w:t>estabelece</w:t>
      </w:r>
      <w:r w:rsidRPr="002F50BD">
        <w:rPr>
          <w:rFonts w:ascii="Verdana" w:hAnsi="Verdana"/>
          <w:sz w:val="20"/>
          <w:lang w:val="pt-BR"/>
        </w:rPr>
        <w:t>r</w:t>
      </w:r>
      <w:r w:rsidR="0089298C" w:rsidRPr="002F50BD">
        <w:rPr>
          <w:rFonts w:ascii="Verdana" w:hAnsi="Verdana"/>
          <w:sz w:val="20"/>
          <w:lang w:val="pt-BR"/>
        </w:rPr>
        <w:t xml:space="preserve"> as data</w:t>
      </w:r>
      <w:r w:rsidRPr="002F50BD">
        <w:rPr>
          <w:rFonts w:ascii="Verdana" w:hAnsi="Verdana"/>
          <w:sz w:val="20"/>
          <w:lang w:val="pt-BR"/>
        </w:rPr>
        <w:t xml:space="preserve">s de </w:t>
      </w:r>
      <w:r w:rsidR="004F64EE" w:rsidRPr="002F50BD">
        <w:rPr>
          <w:rFonts w:ascii="Verdana" w:hAnsi="Verdana"/>
          <w:sz w:val="20"/>
          <w:lang w:val="pt-BR"/>
        </w:rPr>
        <w:t>óbito</w:t>
      </w:r>
      <w:r w:rsidR="0089298C" w:rsidRPr="002F50BD">
        <w:rPr>
          <w:rFonts w:ascii="Verdana" w:hAnsi="Verdana"/>
          <w:sz w:val="20"/>
          <w:lang w:val="pt-BR"/>
        </w:rPr>
        <w:t xml:space="preserve"> com </w:t>
      </w:r>
      <w:r w:rsidR="004B4702" w:rsidRPr="002F50BD">
        <w:rPr>
          <w:rFonts w:ascii="Verdana" w:hAnsi="Verdana"/>
          <w:sz w:val="20"/>
          <w:lang w:val="pt-BR"/>
        </w:rPr>
        <w:t>exatidão</w:t>
      </w:r>
      <w:r w:rsidRPr="002F50BD">
        <w:rPr>
          <w:rFonts w:ascii="Verdana" w:hAnsi="Verdana"/>
          <w:sz w:val="20"/>
          <w:lang w:val="pt-BR"/>
        </w:rPr>
        <w:t>.</w:t>
      </w:r>
      <w:r w:rsidR="00FE08B7">
        <w:rPr>
          <w:rFonts w:ascii="Verdana" w:hAnsi="Verdana"/>
          <w:sz w:val="20"/>
          <w:lang w:val="pt-BR"/>
        </w:rPr>
        <w:t xml:space="preserve"> </w:t>
      </w:r>
      <w:r w:rsidR="0089298C" w:rsidRPr="002F50BD">
        <w:rPr>
          <w:rFonts w:ascii="Verdana" w:hAnsi="Verdana"/>
          <w:sz w:val="20"/>
          <w:lang w:val="pt-BR"/>
        </w:rPr>
        <w:t>Ademais</w:t>
      </w:r>
      <w:r w:rsidRPr="002F50BD">
        <w:rPr>
          <w:rFonts w:ascii="Verdana" w:hAnsi="Verdana"/>
          <w:sz w:val="20"/>
          <w:lang w:val="pt-BR"/>
        </w:rPr>
        <w:t>, para</w:t>
      </w:r>
      <w:r w:rsidR="0089298C" w:rsidRPr="002F50BD">
        <w:rPr>
          <w:rFonts w:ascii="Verdana" w:hAnsi="Verdana"/>
          <w:sz w:val="20"/>
          <w:lang w:val="pt-BR"/>
        </w:rPr>
        <w:t xml:space="preserve"> os </w:t>
      </w:r>
      <w:r w:rsidRPr="002F50BD">
        <w:rPr>
          <w:rFonts w:ascii="Verdana" w:hAnsi="Verdana"/>
          <w:sz w:val="20"/>
          <w:lang w:val="pt-BR"/>
        </w:rPr>
        <w:t>indígenas Enxet n</w:t>
      </w:r>
      <w:r w:rsidR="004B4702" w:rsidRPr="002F50BD">
        <w:rPr>
          <w:rFonts w:ascii="Verdana" w:hAnsi="Verdana"/>
          <w:sz w:val="20"/>
          <w:lang w:val="pt-BR"/>
        </w:rPr>
        <w:t>ã</w:t>
      </w:r>
      <w:r w:rsidRPr="002F50BD">
        <w:rPr>
          <w:rFonts w:ascii="Verdana" w:hAnsi="Verdana"/>
          <w:sz w:val="20"/>
          <w:lang w:val="pt-BR"/>
        </w:rPr>
        <w:t xml:space="preserve">o </w:t>
      </w:r>
      <w:r w:rsidR="004B4702" w:rsidRPr="002F50BD">
        <w:rPr>
          <w:rFonts w:ascii="Verdana" w:hAnsi="Verdana"/>
          <w:sz w:val="20"/>
          <w:lang w:val="pt-BR"/>
        </w:rPr>
        <w:t xml:space="preserve">é </w:t>
      </w:r>
      <w:r w:rsidRPr="002F50BD">
        <w:rPr>
          <w:rFonts w:ascii="Verdana" w:hAnsi="Verdana"/>
          <w:sz w:val="20"/>
          <w:lang w:val="pt-BR"/>
        </w:rPr>
        <w:t xml:space="preserve">fácil recordar </w:t>
      </w:r>
      <w:r w:rsidR="005A6BC7" w:rsidRPr="002F50BD">
        <w:rPr>
          <w:rFonts w:ascii="Verdana" w:hAnsi="Verdana"/>
          <w:sz w:val="20"/>
          <w:lang w:val="pt-BR"/>
        </w:rPr>
        <w:t>seus mortos</w:t>
      </w:r>
      <w:r w:rsidRPr="002F50BD">
        <w:rPr>
          <w:rFonts w:ascii="Verdana" w:hAnsi="Verdana"/>
          <w:sz w:val="20"/>
          <w:lang w:val="pt-BR"/>
        </w:rPr>
        <w:t>, dada</w:t>
      </w:r>
      <w:r w:rsidR="0089298C" w:rsidRPr="002F50BD">
        <w:rPr>
          <w:rFonts w:ascii="Verdana" w:hAnsi="Verdana"/>
          <w:sz w:val="20"/>
          <w:lang w:val="pt-BR"/>
        </w:rPr>
        <w:t xml:space="preserve"> a </w:t>
      </w:r>
      <w:r w:rsidRPr="002F50BD">
        <w:rPr>
          <w:rFonts w:ascii="Verdana" w:hAnsi="Verdana"/>
          <w:sz w:val="20"/>
          <w:lang w:val="pt-BR"/>
        </w:rPr>
        <w:t>particular rela</w:t>
      </w:r>
      <w:r w:rsidR="0089298C" w:rsidRPr="002F50BD">
        <w:rPr>
          <w:rFonts w:ascii="Verdana" w:hAnsi="Verdana"/>
          <w:sz w:val="20"/>
          <w:lang w:val="pt-BR"/>
        </w:rPr>
        <w:t>ção</w:t>
      </w:r>
      <w:r w:rsidRPr="002F50BD">
        <w:rPr>
          <w:rFonts w:ascii="Verdana" w:hAnsi="Verdana"/>
          <w:sz w:val="20"/>
          <w:lang w:val="pt-BR"/>
        </w:rPr>
        <w:t xml:space="preserve"> que </w:t>
      </w:r>
      <w:r w:rsidR="0089298C" w:rsidRPr="002F50BD">
        <w:rPr>
          <w:rFonts w:ascii="Verdana" w:hAnsi="Verdana"/>
          <w:sz w:val="20"/>
          <w:lang w:val="pt-BR"/>
        </w:rPr>
        <w:t>têm com a morte</w:t>
      </w:r>
      <w:r w:rsidRPr="002F50BD">
        <w:rPr>
          <w:rFonts w:ascii="Verdana" w:hAnsi="Verdana"/>
          <w:sz w:val="20"/>
          <w:lang w:val="pt-BR"/>
        </w:rPr>
        <w:t>,</w:t>
      </w:r>
      <w:r w:rsidR="0089298C" w:rsidRPr="002F50BD">
        <w:rPr>
          <w:rFonts w:ascii="Verdana" w:hAnsi="Verdana"/>
          <w:sz w:val="20"/>
          <w:lang w:val="pt-BR"/>
        </w:rPr>
        <w:t xml:space="preserve"> </w:t>
      </w:r>
      <w:r w:rsidR="004F64EE" w:rsidRPr="002F50BD">
        <w:rPr>
          <w:rFonts w:ascii="Verdana" w:hAnsi="Verdana"/>
          <w:sz w:val="20"/>
          <w:lang w:val="pt-BR"/>
        </w:rPr>
        <w:t xml:space="preserve">de modo </w:t>
      </w:r>
      <w:r w:rsidR="0089298C" w:rsidRPr="002F50BD">
        <w:rPr>
          <w:rFonts w:ascii="Verdana" w:hAnsi="Verdana"/>
          <w:sz w:val="20"/>
          <w:lang w:val="pt-BR"/>
        </w:rPr>
        <w:t>que ele</w:t>
      </w:r>
      <w:r w:rsidRPr="002F50BD">
        <w:rPr>
          <w:rFonts w:ascii="Verdana" w:hAnsi="Verdana"/>
          <w:sz w:val="20"/>
          <w:lang w:val="pt-BR"/>
        </w:rPr>
        <w:t xml:space="preserve">s </w:t>
      </w:r>
      <w:r w:rsidR="0089298C" w:rsidRPr="002F50BD">
        <w:rPr>
          <w:rFonts w:ascii="Verdana" w:hAnsi="Verdana"/>
          <w:sz w:val="20"/>
          <w:lang w:val="pt-BR"/>
        </w:rPr>
        <w:t>tiveram</w:t>
      </w:r>
      <w:r w:rsidRPr="002F50BD">
        <w:rPr>
          <w:rFonts w:ascii="Verdana" w:hAnsi="Verdana"/>
          <w:sz w:val="20"/>
          <w:lang w:val="pt-BR"/>
        </w:rPr>
        <w:t xml:space="preserve"> </w:t>
      </w:r>
      <w:r w:rsidR="004F64EE" w:rsidRPr="002F50BD">
        <w:rPr>
          <w:rFonts w:ascii="Verdana" w:hAnsi="Verdana"/>
          <w:sz w:val="20"/>
          <w:lang w:val="pt-BR"/>
        </w:rPr>
        <w:t>de</w:t>
      </w:r>
      <w:r w:rsidR="0089298C" w:rsidRPr="002F50BD">
        <w:rPr>
          <w:rFonts w:ascii="Verdana" w:hAnsi="Verdana"/>
          <w:sz w:val="20"/>
          <w:lang w:val="pt-BR"/>
        </w:rPr>
        <w:t xml:space="preserve"> fazer um esforço</w:t>
      </w:r>
      <w:r w:rsidRPr="002F50BD">
        <w:rPr>
          <w:rFonts w:ascii="Verdana" w:hAnsi="Verdana"/>
          <w:sz w:val="20"/>
          <w:lang w:val="pt-BR"/>
        </w:rPr>
        <w:t xml:space="preserve"> psíquico </w:t>
      </w:r>
      <w:r w:rsidR="0089298C" w:rsidRPr="002F50BD">
        <w:rPr>
          <w:rFonts w:ascii="Verdana" w:hAnsi="Verdana"/>
          <w:sz w:val="20"/>
          <w:lang w:val="pt-BR"/>
        </w:rPr>
        <w:t>muito</w:t>
      </w:r>
      <w:r w:rsidRPr="002F50BD">
        <w:rPr>
          <w:rFonts w:ascii="Verdana" w:hAnsi="Verdana"/>
          <w:sz w:val="20"/>
          <w:lang w:val="pt-BR"/>
        </w:rPr>
        <w:t xml:space="preserve"> importante para poder </w:t>
      </w:r>
      <w:r w:rsidR="0089298C" w:rsidRPr="002F50BD">
        <w:rPr>
          <w:rFonts w:ascii="Verdana" w:hAnsi="Verdana"/>
          <w:sz w:val="20"/>
          <w:lang w:val="pt-BR"/>
        </w:rPr>
        <w:t>aceit</w:t>
      </w:r>
      <w:r w:rsidRPr="002F50BD">
        <w:rPr>
          <w:rFonts w:ascii="Verdana" w:hAnsi="Verdana"/>
          <w:sz w:val="20"/>
          <w:lang w:val="pt-BR"/>
        </w:rPr>
        <w:t xml:space="preserve">ar que </w:t>
      </w:r>
      <w:r w:rsidR="004B4702" w:rsidRPr="002F50BD">
        <w:rPr>
          <w:rFonts w:ascii="Verdana" w:hAnsi="Verdana"/>
          <w:sz w:val="20"/>
          <w:lang w:val="pt-BR"/>
        </w:rPr>
        <w:t xml:space="preserve">fossem perguntados </w:t>
      </w:r>
      <w:r w:rsidR="0089298C" w:rsidRPr="002F50BD">
        <w:rPr>
          <w:rFonts w:ascii="Verdana" w:hAnsi="Verdana"/>
          <w:sz w:val="20"/>
          <w:lang w:val="pt-BR"/>
        </w:rPr>
        <w:t xml:space="preserve">sobre </w:t>
      </w:r>
      <w:r w:rsidR="005A6BC7" w:rsidRPr="002F50BD">
        <w:rPr>
          <w:rFonts w:ascii="Verdana" w:hAnsi="Verdana"/>
          <w:sz w:val="20"/>
          <w:lang w:val="pt-BR"/>
        </w:rPr>
        <w:t>seus mortos</w:t>
      </w:r>
      <w:r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U</w:t>
      </w:r>
      <w:r w:rsidR="004B4702" w:rsidRPr="002F50BD">
        <w:rPr>
          <w:rFonts w:ascii="Verdana" w:hAnsi="Verdana"/>
          <w:sz w:val="20"/>
          <w:lang w:val="pt-BR"/>
        </w:rPr>
        <w:t>m</w:t>
      </w:r>
      <w:r w:rsidRPr="002F50BD">
        <w:rPr>
          <w:rFonts w:ascii="Verdana" w:hAnsi="Verdana"/>
          <w:sz w:val="20"/>
          <w:lang w:val="pt-BR"/>
        </w:rPr>
        <w:t>a vez que</w:t>
      </w:r>
      <w:r w:rsidR="0089298C" w:rsidRPr="002F50BD">
        <w:rPr>
          <w:rFonts w:ascii="Verdana" w:hAnsi="Verdana"/>
          <w:sz w:val="20"/>
          <w:lang w:val="pt-BR"/>
        </w:rPr>
        <w:t xml:space="preserve"> as pessoa</w:t>
      </w:r>
      <w:r w:rsidRPr="002F50BD">
        <w:rPr>
          <w:rFonts w:ascii="Verdana" w:hAnsi="Verdana"/>
          <w:sz w:val="20"/>
          <w:lang w:val="pt-BR"/>
        </w:rPr>
        <w:t xml:space="preserve">s entrevistadas </w:t>
      </w:r>
      <w:r w:rsidR="004B4702" w:rsidRPr="002F50BD">
        <w:rPr>
          <w:rFonts w:ascii="Verdana" w:hAnsi="Verdana"/>
          <w:sz w:val="20"/>
          <w:lang w:val="pt-BR"/>
        </w:rPr>
        <w:t>tiveram</w:t>
      </w:r>
      <w:r w:rsidR="0089298C" w:rsidRPr="002F50BD">
        <w:rPr>
          <w:rFonts w:ascii="Verdana" w:hAnsi="Verdana"/>
          <w:sz w:val="20"/>
          <w:lang w:val="pt-BR"/>
        </w:rPr>
        <w:t xml:space="preserve"> </w:t>
      </w:r>
      <w:r w:rsidRPr="002F50BD">
        <w:rPr>
          <w:rFonts w:ascii="Verdana" w:hAnsi="Verdana"/>
          <w:sz w:val="20"/>
          <w:lang w:val="pt-BR"/>
        </w:rPr>
        <w:t>con</w:t>
      </w:r>
      <w:r w:rsidR="0089298C" w:rsidRPr="002F50BD">
        <w:rPr>
          <w:rFonts w:ascii="Verdana" w:hAnsi="Verdana"/>
          <w:sz w:val="20"/>
          <w:lang w:val="pt-BR"/>
        </w:rPr>
        <w:t>fiança e começaram</w:t>
      </w:r>
      <w:r w:rsidRPr="002F50BD">
        <w:rPr>
          <w:rFonts w:ascii="Verdana" w:hAnsi="Verdana"/>
          <w:sz w:val="20"/>
          <w:lang w:val="pt-BR"/>
        </w:rPr>
        <w:t xml:space="preserve"> a contar</w:t>
      </w:r>
      <w:r w:rsidR="0089298C" w:rsidRPr="002F50BD">
        <w:rPr>
          <w:rFonts w:ascii="Verdana" w:hAnsi="Verdana"/>
          <w:sz w:val="20"/>
          <w:lang w:val="pt-BR"/>
        </w:rPr>
        <w:t xml:space="preserve"> os sintoma</w:t>
      </w:r>
      <w:r w:rsidRPr="002F50BD">
        <w:rPr>
          <w:rFonts w:ascii="Verdana" w:hAnsi="Verdana"/>
          <w:sz w:val="20"/>
          <w:lang w:val="pt-BR"/>
        </w:rPr>
        <w:t>s que preced</w:t>
      </w:r>
      <w:r w:rsidR="004B4702" w:rsidRPr="002F50BD">
        <w:rPr>
          <w:rFonts w:ascii="Verdana" w:hAnsi="Verdana"/>
          <w:sz w:val="20"/>
          <w:lang w:val="pt-BR"/>
        </w:rPr>
        <w:t>eram a</w:t>
      </w:r>
      <w:r w:rsidR="0089298C" w:rsidRPr="002F50BD">
        <w:rPr>
          <w:rFonts w:ascii="Verdana" w:hAnsi="Verdana"/>
          <w:sz w:val="20"/>
          <w:lang w:val="pt-BR"/>
        </w:rPr>
        <w:t xml:space="preserve"> morte</w:t>
      </w:r>
      <w:r w:rsidRPr="002F50BD">
        <w:rPr>
          <w:rFonts w:ascii="Verdana" w:hAnsi="Verdana"/>
          <w:sz w:val="20"/>
          <w:lang w:val="pt-BR"/>
        </w:rPr>
        <w:t xml:space="preserve"> de </w:t>
      </w:r>
      <w:r w:rsidR="00E7595C" w:rsidRPr="002F50BD">
        <w:rPr>
          <w:rFonts w:ascii="Verdana" w:hAnsi="Verdana"/>
          <w:sz w:val="20"/>
          <w:lang w:val="pt-BR"/>
        </w:rPr>
        <w:t>seus filhos</w:t>
      </w:r>
      <w:r w:rsidRPr="002F50BD">
        <w:rPr>
          <w:rFonts w:ascii="Verdana" w:hAnsi="Verdana"/>
          <w:sz w:val="20"/>
          <w:lang w:val="pt-BR"/>
        </w:rPr>
        <w:t xml:space="preserve">, </w:t>
      </w:r>
      <w:r w:rsidR="00AB454A" w:rsidRPr="002F50BD">
        <w:rPr>
          <w:rFonts w:ascii="Verdana" w:hAnsi="Verdana"/>
          <w:sz w:val="20"/>
          <w:lang w:val="pt-BR"/>
        </w:rPr>
        <w:t>irmãos</w:t>
      </w:r>
      <w:r w:rsidRPr="002F50BD">
        <w:rPr>
          <w:rFonts w:ascii="Verdana" w:hAnsi="Verdana"/>
          <w:sz w:val="20"/>
          <w:lang w:val="pt-BR"/>
        </w:rPr>
        <w:t xml:space="preserve"> o</w:t>
      </w:r>
      <w:r w:rsidR="004B4702" w:rsidRPr="002F50BD">
        <w:rPr>
          <w:rFonts w:ascii="Verdana" w:hAnsi="Verdana"/>
          <w:sz w:val="20"/>
          <w:lang w:val="pt-BR"/>
        </w:rPr>
        <w:t>u</w:t>
      </w:r>
      <w:r w:rsidR="0089298C" w:rsidRPr="002F50BD">
        <w:rPr>
          <w:rFonts w:ascii="Verdana" w:hAnsi="Verdana"/>
          <w:sz w:val="20"/>
          <w:lang w:val="pt-BR"/>
        </w:rPr>
        <w:t xml:space="preserve"> pai</w:t>
      </w:r>
      <w:r w:rsidRPr="002F50BD">
        <w:rPr>
          <w:rFonts w:ascii="Verdana" w:hAnsi="Verdana"/>
          <w:sz w:val="20"/>
          <w:lang w:val="pt-BR"/>
        </w:rPr>
        <w:t>s,</w:t>
      </w:r>
      <w:r w:rsidR="0089298C" w:rsidRPr="002F50BD">
        <w:rPr>
          <w:rFonts w:ascii="Verdana" w:hAnsi="Verdana"/>
          <w:sz w:val="20"/>
          <w:lang w:val="pt-BR"/>
        </w:rPr>
        <w:t xml:space="preserve"> o </w:t>
      </w:r>
      <w:r w:rsidRPr="002F50BD">
        <w:rPr>
          <w:rFonts w:ascii="Verdana" w:hAnsi="Verdana"/>
          <w:sz w:val="20"/>
          <w:lang w:val="pt-BR"/>
        </w:rPr>
        <w:t>perito</w:t>
      </w:r>
      <w:r w:rsidR="0089298C" w:rsidRPr="002F50BD">
        <w:rPr>
          <w:rFonts w:ascii="Verdana" w:hAnsi="Verdana"/>
          <w:sz w:val="20"/>
          <w:lang w:val="pt-BR"/>
        </w:rPr>
        <w:t xml:space="preserve"> p</w:t>
      </w:r>
      <w:r w:rsidR="00EB4E18" w:rsidRPr="002F50BD">
        <w:rPr>
          <w:rFonts w:ascii="Verdana" w:hAnsi="Verdana"/>
          <w:sz w:val="20"/>
          <w:lang w:val="pt-BR"/>
        </w:rPr>
        <w:t>ô</w:t>
      </w:r>
      <w:r w:rsidR="0089298C" w:rsidRPr="002F50BD">
        <w:rPr>
          <w:rFonts w:ascii="Verdana" w:hAnsi="Verdana"/>
          <w:sz w:val="20"/>
          <w:lang w:val="pt-BR"/>
        </w:rPr>
        <w:t xml:space="preserve">de </w:t>
      </w:r>
      <w:r w:rsidRPr="002F50BD">
        <w:rPr>
          <w:rFonts w:ascii="Verdana" w:hAnsi="Verdana"/>
          <w:sz w:val="20"/>
          <w:lang w:val="pt-BR"/>
        </w:rPr>
        <w:t xml:space="preserve">concluir, </w:t>
      </w:r>
      <w:r w:rsidR="0089298C" w:rsidRPr="002F50BD">
        <w:rPr>
          <w:rFonts w:ascii="Verdana" w:hAnsi="Verdana"/>
          <w:sz w:val="20"/>
          <w:lang w:val="pt-BR"/>
        </w:rPr>
        <w:t>segundo</w:t>
      </w:r>
      <w:r w:rsidRPr="002F50BD">
        <w:rPr>
          <w:rFonts w:ascii="Verdana" w:hAnsi="Verdana"/>
          <w:sz w:val="20"/>
          <w:lang w:val="pt-BR"/>
        </w:rPr>
        <w:t xml:space="preserve"> </w:t>
      </w:r>
      <w:r w:rsidR="004B4702" w:rsidRPr="002F50BD">
        <w:rPr>
          <w:rFonts w:ascii="Verdana" w:hAnsi="Verdana"/>
          <w:sz w:val="20"/>
          <w:lang w:val="pt-BR"/>
        </w:rPr>
        <w:t>ele</w:t>
      </w:r>
      <w:r w:rsidRPr="002F50BD">
        <w:rPr>
          <w:rFonts w:ascii="Verdana" w:hAnsi="Verdana"/>
          <w:sz w:val="20"/>
          <w:lang w:val="pt-BR"/>
        </w:rPr>
        <w:t>,</w:t>
      </w:r>
      <w:r w:rsidR="0089298C" w:rsidRPr="002F50BD">
        <w:rPr>
          <w:rFonts w:ascii="Verdana" w:hAnsi="Verdana"/>
          <w:sz w:val="20"/>
          <w:lang w:val="pt-BR"/>
        </w:rPr>
        <w:t xml:space="preserve"> com </w:t>
      </w:r>
      <w:r w:rsidR="004B4702" w:rsidRPr="002F50BD">
        <w:rPr>
          <w:rFonts w:ascii="Verdana" w:hAnsi="Verdana"/>
          <w:sz w:val="20"/>
          <w:lang w:val="pt-BR"/>
        </w:rPr>
        <w:t xml:space="preserve">alta </w:t>
      </w:r>
      <w:r w:rsidRPr="002F50BD">
        <w:rPr>
          <w:rFonts w:ascii="Verdana" w:hAnsi="Verdana"/>
          <w:sz w:val="20"/>
          <w:lang w:val="pt-BR"/>
        </w:rPr>
        <w:t>probabilidad</w:t>
      </w:r>
      <w:r w:rsidR="004B4702" w:rsidRPr="002F50BD">
        <w:rPr>
          <w:rFonts w:ascii="Verdana" w:hAnsi="Verdana"/>
          <w:sz w:val="20"/>
          <w:lang w:val="pt-BR"/>
        </w:rPr>
        <w:t>e</w:t>
      </w:r>
      <w:r w:rsidRPr="002F50BD">
        <w:rPr>
          <w:rFonts w:ascii="Verdana" w:hAnsi="Verdana"/>
          <w:sz w:val="20"/>
          <w:lang w:val="pt-BR"/>
        </w:rPr>
        <w:t xml:space="preserve"> de acerto, </w:t>
      </w:r>
      <w:r w:rsidR="0089298C" w:rsidRPr="002F50BD">
        <w:rPr>
          <w:rFonts w:ascii="Verdana" w:hAnsi="Verdana"/>
          <w:sz w:val="20"/>
          <w:lang w:val="pt-BR"/>
        </w:rPr>
        <w:t xml:space="preserve">as </w:t>
      </w:r>
      <w:r w:rsidRPr="002F50BD">
        <w:rPr>
          <w:rFonts w:ascii="Verdana" w:hAnsi="Verdana"/>
          <w:sz w:val="20"/>
          <w:lang w:val="pt-BR"/>
        </w:rPr>
        <w:t xml:space="preserve">causas </w:t>
      </w:r>
      <w:r w:rsidR="0089298C" w:rsidRPr="002F50BD">
        <w:rPr>
          <w:rFonts w:ascii="Verdana" w:hAnsi="Verdana"/>
          <w:sz w:val="20"/>
          <w:lang w:val="pt-BR"/>
        </w:rPr>
        <w:t>dessas morte</w:t>
      </w:r>
      <w:r w:rsidRPr="002F50BD">
        <w:rPr>
          <w:rFonts w:ascii="Verdana" w:hAnsi="Verdana"/>
          <w:sz w:val="20"/>
          <w:lang w:val="pt-BR"/>
        </w:rPr>
        <w:t>s.</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Na maioria dos </w:t>
      </w:r>
      <w:r w:rsidR="004756C1" w:rsidRPr="002F50BD">
        <w:rPr>
          <w:rFonts w:ascii="Verdana" w:hAnsi="Verdana"/>
          <w:sz w:val="20"/>
          <w:lang w:val="pt-BR"/>
        </w:rPr>
        <w:t xml:space="preserve">casos de </w:t>
      </w:r>
      <w:r w:rsidRPr="002F50BD">
        <w:rPr>
          <w:rFonts w:ascii="Verdana" w:hAnsi="Verdana"/>
          <w:sz w:val="20"/>
          <w:lang w:val="pt-BR"/>
        </w:rPr>
        <w:t>morte</w:t>
      </w:r>
      <w:r w:rsidR="004756C1" w:rsidRPr="002F50BD">
        <w:rPr>
          <w:rFonts w:ascii="Verdana" w:hAnsi="Verdana"/>
          <w:sz w:val="20"/>
          <w:lang w:val="pt-BR"/>
        </w:rPr>
        <w:t>s registradas</w:t>
      </w:r>
      <w:r w:rsidR="00EB4E18" w:rsidRPr="002F50BD">
        <w:rPr>
          <w:rFonts w:ascii="Verdana" w:hAnsi="Verdana"/>
          <w:sz w:val="20"/>
          <w:lang w:val="pt-BR"/>
        </w:rPr>
        <w:t>,</w:t>
      </w:r>
      <w:r w:rsidR="004756C1" w:rsidRPr="002F50BD">
        <w:rPr>
          <w:rFonts w:ascii="Verdana" w:hAnsi="Verdana"/>
          <w:sz w:val="20"/>
          <w:lang w:val="pt-BR"/>
        </w:rPr>
        <w:t xml:space="preserve"> n</w:t>
      </w:r>
      <w:r w:rsidR="004B4702" w:rsidRPr="002F50BD">
        <w:rPr>
          <w:rFonts w:ascii="Verdana" w:hAnsi="Verdana"/>
          <w:sz w:val="20"/>
          <w:lang w:val="pt-BR"/>
        </w:rPr>
        <w:t>ã</w:t>
      </w:r>
      <w:r w:rsidR="004756C1" w:rsidRPr="002F50BD">
        <w:rPr>
          <w:rFonts w:ascii="Verdana" w:hAnsi="Verdana"/>
          <w:sz w:val="20"/>
          <w:lang w:val="pt-BR"/>
        </w:rPr>
        <w:t>o</w:t>
      </w:r>
      <w:r w:rsidR="00AB454A" w:rsidRPr="002F50BD">
        <w:rPr>
          <w:rFonts w:ascii="Verdana" w:hAnsi="Verdana"/>
          <w:sz w:val="20"/>
          <w:lang w:val="pt-BR"/>
        </w:rPr>
        <w:t xml:space="preserve"> houve </w:t>
      </w:r>
      <w:r w:rsidRPr="002F50BD">
        <w:rPr>
          <w:rFonts w:ascii="Verdana" w:hAnsi="Verdana"/>
          <w:sz w:val="20"/>
          <w:lang w:val="pt-BR"/>
        </w:rPr>
        <w:t>uma atenção</w:t>
      </w:r>
      <w:r w:rsidR="004B4702" w:rsidRPr="002F50BD">
        <w:rPr>
          <w:rFonts w:ascii="Verdana" w:hAnsi="Verdana"/>
          <w:sz w:val="20"/>
          <w:lang w:val="pt-BR"/>
        </w:rPr>
        <w:t xml:space="preserve"> médica pré</w:t>
      </w:r>
      <w:r w:rsidR="004756C1" w:rsidRPr="002F50BD">
        <w:rPr>
          <w:rFonts w:ascii="Verdana" w:hAnsi="Verdana"/>
          <w:sz w:val="20"/>
          <w:lang w:val="pt-BR"/>
        </w:rPr>
        <w:t>via.</w:t>
      </w:r>
      <w:r w:rsidR="00FE08B7">
        <w:rPr>
          <w:rFonts w:ascii="Verdana" w:hAnsi="Verdana"/>
          <w:sz w:val="20"/>
          <w:lang w:val="pt-BR"/>
        </w:rPr>
        <w:t xml:space="preserve"> </w:t>
      </w:r>
      <w:r w:rsidR="004756C1" w:rsidRPr="002F50BD">
        <w:rPr>
          <w:rFonts w:ascii="Verdana" w:hAnsi="Verdana"/>
          <w:sz w:val="20"/>
          <w:lang w:val="pt-BR"/>
        </w:rPr>
        <w:t>Do</w:t>
      </w:r>
      <w:r w:rsidR="004B4702" w:rsidRPr="002F50BD">
        <w:rPr>
          <w:rFonts w:ascii="Verdana" w:hAnsi="Verdana"/>
          <w:sz w:val="20"/>
          <w:lang w:val="pt-BR"/>
        </w:rPr>
        <w:t>i</w:t>
      </w:r>
      <w:r w:rsidR="004756C1" w:rsidRPr="002F50BD">
        <w:rPr>
          <w:rFonts w:ascii="Verdana" w:hAnsi="Verdana"/>
          <w:sz w:val="20"/>
          <w:lang w:val="pt-BR"/>
        </w:rPr>
        <w:t xml:space="preserve">s casos que </w:t>
      </w:r>
      <w:r w:rsidRPr="002F50BD">
        <w:rPr>
          <w:rFonts w:ascii="Verdana" w:hAnsi="Verdana"/>
          <w:sz w:val="20"/>
          <w:lang w:val="pt-BR"/>
        </w:rPr>
        <w:t xml:space="preserve">chegaram ao </w:t>
      </w:r>
      <w:r w:rsidR="004756C1" w:rsidRPr="002F50BD">
        <w:rPr>
          <w:rFonts w:ascii="Verdana" w:hAnsi="Verdana"/>
          <w:sz w:val="20"/>
          <w:lang w:val="pt-BR"/>
        </w:rPr>
        <w:t xml:space="preserve">hospital </w:t>
      </w:r>
      <w:r w:rsidRPr="002F50BD">
        <w:rPr>
          <w:rFonts w:ascii="Verdana" w:hAnsi="Verdana"/>
          <w:sz w:val="20"/>
          <w:lang w:val="pt-BR"/>
        </w:rPr>
        <w:t>foram</w:t>
      </w:r>
      <w:r w:rsidR="004756C1" w:rsidRPr="002F50BD">
        <w:rPr>
          <w:rFonts w:ascii="Verdana" w:hAnsi="Verdana"/>
          <w:sz w:val="20"/>
          <w:lang w:val="pt-BR"/>
        </w:rPr>
        <w:t xml:space="preserve"> diagnosticados</w:t>
      </w:r>
      <w:r w:rsidRPr="002F50BD">
        <w:rPr>
          <w:rFonts w:ascii="Verdana" w:hAnsi="Verdana"/>
          <w:sz w:val="20"/>
          <w:lang w:val="pt-BR"/>
        </w:rPr>
        <w:t xml:space="preserve"> e </w:t>
      </w:r>
      <w:r w:rsidR="004B4702" w:rsidRPr="002F50BD">
        <w:rPr>
          <w:rFonts w:ascii="Verdana" w:hAnsi="Verdana"/>
          <w:sz w:val="20"/>
          <w:lang w:val="pt-BR"/>
        </w:rPr>
        <w:t>enviados de volta a seus lares</w:t>
      </w:r>
      <w:r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Pr="002F50BD">
        <w:rPr>
          <w:rFonts w:ascii="Verdana" w:hAnsi="Verdana"/>
          <w:sz w:val="20"/>
          <w:lang w:val="pt-BR"/>
        </w:rPr>
        <w:t xml:space="preserve"> os </w:t>
      </w:r>
      <w:r w:rsidR="004756C1" w:rsidRPr="002F50BD">
        <w:rPr>
          <w:rFonts w:ascii="Verdana" w:hAnsi="Verdana"/>
          <w:sz w:val="20"/>
          <w:lang w:val="pt-BR"/>
        </w:rPr>
        <w:t xml:space="preserve">médicos </w:t>
      </w:r>
      <w:r w:rsidR="00AB454A" w:rsidRPr="002F50BD">
        <w:rPr>
          <w:rFonts w:ascii="Verdana" w:hAnsi="Verdana"/>
          <w:sz w:val="20"/>
          <w:lang w:val="pt-BR"/>
        </w:rPr>
        <w:t>determinaram</w:t>
      </w:r>
      <w:r w:rsidR="004756C1" w:rsidRPr="002F50BD">
        <w:rPr>
          <w:rFonts w:ascii="Verdana" w:hAnsi="Verdana"/>
          <w:sz w:val="20"/>
          <w:lang w:val="pt-BR"/>
        </w:rPr>
        <w:t xml:space="preserve"> que </w:t>
      </w:r>
      <w:r w:rsidR="00AB454A" w:rsidRPr="002F50BD">
        <w:rPr>
          <w:rFonts w:ascii="Verdana" w:hAnsi="Verdana"/>
          <w:sz w:val="20"/>
          <w:lang w:val="pt-BR"/>
        </w:rPr>
        <w:t>não havia</w:t>
      </w:r>
      <w:r w:rsidR="004756C1" w:rsidRPr="002F50BD">
        <w:rPr>
          <w:rFonts w:ascii="Verdana" w:hAnsi="Verdana"/>
          <w:sz w:val="20"/>
          <w:lang w:val="pt-BR"/>
        </w:rPr>
        <w:t xml:space="preserve"> nada que </w:t>
      </w:r>
      <w:r w:rsidR="004076AD" w:rsidRPr="002F50BD">
        <w:rPr>
          <w:rFonts w:ascii="Verdana" w:hAnsi="Verdana"/>
          <w:sz w:val="20"/>
          <w:lang w:val="pt-BR"/>
        </w:rPr>
        <w:t>pudesse</w:t>
      </w:r>
      <w:r w:rsidR="004756C1" w:rsidRPr="002F50BD">
        <w:rPr>
          <w:rFonts w:ascii="Verdana" w:hAnsi="Verdana"/>
          <w:sz w:val="20"/>
          <w:lang w:val="pt-BR"/>
        </w:rPr>
        <w:t xml:space="preserve"> </w:t>
      </w:r>
      <w:r w:rsidR="00EB4E18" w:rsidRPr="002F50BD">
        <w:rPr>
          <w:rFonts w:ascii="Verdana" w:hAnsi="Verdana"/>
          <w:sz w:val="20"/>
          <w:lang w:val="pt-BR"/>
        </w:rPr>
        <w:t>ser feito</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B4702">
      <w:pPr>
        <w:jc w:val="both"/>
        <w:rPr>
          <w:rFonts w:ascii="Verdana" w:hAnsi="Verdana"/>
          <w:sz w:val="20"/>
          <w:lang w:val="pt-BR"/>
        </w:rPr>
      </w:pPr>
      <w:r w:rsidRPr="002F50BD">
        <w:rPr>
          <w:rFonts w:ascii="Verdana" w:hAnsi="Verdana"/>
          <w:sz w:val="20"/>
          <w:lang w:val="pt-BR"/>
        </w:rPr>
        <w:t xml:space="preserve">Através do </w:t>
      </w:r>
      <w:r w:rsidR="004756C1" w:rsidRPr="002F50BD">
        <w:rPr>
          <w:rFonts w:ascii="Verdana" w:hAnsi="Verdana"/>
          <w:sz w:val="20"/>
          <w:lang w:val="pt-BR"/>
        </w:rPr>
        <w:t>relato</w:t>
      </w:r>
      <w:r w:rsidR="0089298C" w:rsidRPr="002F50BD">
        <w:rPr>
          <w:rFonts w:ascii="Verdana" w:hAnsi="Verdana"/>
          <w:sz w:val="20"/>
          <w:lang w:val="pt-BR"/>
        </w:rPr>
        <w:t xml:space="preserve"> das mãe</w:t>
      </w:r>
      <w:r w:rsidR="004756C1" w:rsidRPr="002F50BD">
        <w:rPr>
          <w:rFonts w:ascii="Verdana" w:hAnsi="Verdana"/>
          <w:sz w:val="20"/>
          <w:lang w:val="pt-BR"/>
        </w:rPr>
        <w:t>s</w:t>
      </w:r>
      <w:r w:rsidR="004F64EE" w:rsidRPr="002F50BD">
        <w:rPr>
          <w:rFonts w:ascii="Verdana" w:hAnsi="Verdana"/>
          <w:sz w:val="20"/>
          <w:lang w:val="pt-BR"/>
        </w:rPr>
        <w:t>,</w:t>
      </w:r>
      <w:r w:rsidR="0089298C" w:rsidRPr="002F50BD">
        <w:rPr>
          <w:rFonts w:ascii="Verdana" w:hAnsi="Verdana"/>
          <w:sz w:val="20"/>
          <w:lang w:val="pt-BR"/>
        </w:rPr>
        <w:t xml:space="preserve"> p</w:t>
      </w:r>
      <w:r w:rsidRPr="002F50BD">
        <w:rPr>
          <w:rFonts w:ascii="Verdana" w:hAnsi="Verdana"/>
          <w:sz w:val="20"/>
          <w:lang w:val="pt-BR"/>
        </w:rPr>
        <w:t>ô</w:t>
      </w:r>
      <w:r w:rsidR="0089298C" w:rsidRPr="002F50BD">
        <w:rPr>
          <w:rFonts w:ascii="Verdana" w:hAnsi="Verdana"/>
          <w:sz w:val="20"/>
          <w:lang w:val="pt-BR"/>
        </w:rPr>
        <w:t xml:space="preserve">de </w:t>
      </w:r>
      <w:r w:rsidR="004756C1" w:rsidRPr="002F50BD">
        <w:rPr>
          <w:rFonts w:ascii="Verdana" w:hAnsi="Verdana"/>
          <w:sz w:val="20"/>
          <w:lang w:val="pt-BR"/>
        </w:rPr>
        <w:t xml:space="preserve">determinar que </w:t>
      </w:r>
      <w:r w:rsidR="0089298C" w:rsidRPr="002F50BD">
        <w:rPr>
          <w:rFonts w:ascii="Verdana" w:hAnsi="Verdana"/>
          <w:sz w:val="20"/>
          <w:lang w:val="pt-BR"/>
        </w:rPr>
        <w:t>vári</w:t>
      </w:r>
      <w:r w:rsidR="005A6BC7" w:rsidRPr="002F50BD">
        <w:rPr>
          <w:rFonts w:ascii="Verdana" w:hAnsi="Verdana"/>
          <w:sz w:val="20"/>
          <w:lang w:val="pt-BR"/>
        </w:rPr>
        <w:t>as crianças</w:t>
      </w:r>
      <w:r w:rsidR="004756C1" w:rsidRPr="002F50BD">
        <w:rPr>
          <w:rFonts w:ascii="Verdana" w:hAnsi="Verdana"/>
          <w:sz w:val="20"/>
          <w:lang w:val="pt-BR"/>
        </w:rPr>
        <w:t xml:space="preserve"> </w:t>
      </w:r>
      <w:r w:rsidR="0089298C" w:rsidRPr="002F50BD">
        <w:rPr>
          <w:rFonts w:ascii="Verdana" w:hAnsi="Verdana"/>
          <w:sz w:val="20"/>
          <w:lang w:val="pt-BR"/>
        </w:rPr>
        <w:t>faleceram</w:t>
      </w:r>
      <w:r w:rsidR="004756C1" w:rsidRPr="002F50BD">
        <w:rPr>
          <w:rFonts w:ascii="Verdana" w:hAnsi="Verdana"/>
          <w:sz w:val="20"/>
          <w:lang w:val="pt-BR"/>
        </w:rPr>
        <w:t xml:space="preserve"> de </w:t>
      </w:r>
      <w:r w:rsidR="00367FD1" w:rsidRPr="002F50BD">
        <w:rPr>
          <w:rFonts w:ascii="Verdana" w:hAnsi="Verdana"/>
          <w:sz w:val="20"/>
          <w:lang w:val="pt-BR"/>
        </w:rPr>
        <w:t>bronquite</w:t>
      </w:r>
      <w:r w:rsidR="004756C1" w:rsidRPr="002F50BD">
        <w:rPr>
          <w:rFonts w:ascii="Verdana" w:hAnsi="Verdana"/>
          <w:sz w:val="20"/>
          <w:lang w:val="pt-BR"/>
        </w:rPr>
        <w:t xml:space="preserve"> o</w:t>
      </w:r>
      <w:r w:rsidRPr="002F50BD">
        <w:rPr>
          <w:rFonts w:ascii="Verdana" w:hAnsi="Verdana"/>
          <w:sz w:val="20"/>
          <w:lang w:val="pt-BR"/>
        </w:rPr>
        <w:t>u</w:t>
      </w:r>
      <w:r w:rsidR="004756C1" w:rsidRPr="002F50BD">
        <w:rPr>
          <w:rFonts w:ascii="Verdana" w:hAnsi="Verdana"/>
          <w:sz w:val="20"/>
          <w:lang w:val="pt-BR"/>
        </w:rPr>
        <w:t xml:space="preserve"> bronco</w:t>
      </w:r>
      <w:r w:rsidRPr="002F50BD">
        <w:rPr>
          <w:rFonts w:ascii="Verdana" w:hAnsi="Verdana"/>
          <w:sz w:val="20"/>
          <w:lang w:val="pt-BR"/>
        </w:rPr>
        <w:t>p</w:t>
      </w:r>
      <w:r w:rsidR="004756C1" w:rsidRPr="002F50BD">
        <w:rPr>
          <w:rFonts w:ascii="Verdana" w:hAnsi="Verdana"/>
          <w:sz w:val="20"/>
          <w:lang w:val="pt-BR"/>
        </w:rPr>
        <w:t>neumon</w:t>
      </w:r>
      <w:r w:rsidRPr="002F50BD">
        <w:rPr>
          <w:rFonts w:ascii="Verdana" w:hAnsi="Verdana"/>
          <w:sz w:val="20"/>
          <w:lang w:val="pt-BR"/>
        </w:rPr>
        <w:t>i</w:t>
      </w:r>
      <w:r w:rsidR="004756C1" w:rsidRPr="002F50BD">
        <w:rPr>
          <w:rFonts w:ascii="Verdana" w:hAnsi="Verdana"/>
          <w:sz w:val="20"/>
          <w:lang w:val="pt-BR"/>
        </w:rPr>
        <w:t>a</w:t>
      </w:r>
      <w:r w:rsidR="00DB51F0" w:rsidRPr="002F50BD">
        <w:rPr>
          <w:rFonts w:ascii="Verdana" w:hAnsi="Verdana"/>
          <w:sz w:val="20"/>
          <w:lang w:val="pt-BR"/>
        </w:rPr>
        <w:t xml:space="preserve">. Os </w:t>
      </w:r>
      <w:r w:rsidR="0089298C" w:rsidRPr="002F50BD">
        <w:rPr>
          <w:rFonts w:ascii="Verdana" w:hAnsi="Verdana"/>
          <w:sz w:val="20"/>
          <w:lang w:val="pt-BR"/>
        </w:rPr>
        <w:t>sintoma</w:t>
      </w:r>
      <w:r w:rsidR="004756C1" w:rsidRPr="002F50BD">
        <w:rPr>
          <w:rFonts w:ascii="Verdana" w:hAnsi="Verdana"/>
          <w:sz w:val="20"/>
          <w:lang w:val="pt-BR"/>
        </w:rPr>
        <w:t>s descritos</w:t>
      </w:r>
      <w:r w:rsidR="0089298C" w:rsidRPr="002F50BD">
        <w:rPr>
          <w:rFonts w:ascii="Verdana" w:hAnsi="Verdana"/>
          <w:sz w:val="20"/>
          <w:lang w:val="pt-BR"/>
        </w:rPr>
        <w:t xml:space="preserve"> pelas mãe</w:t>
      </w:r>
      <w:r w:rsidR="004756C1" w:rsidRPr="002F50BD">
        <w:rPr>
          <w:rFonts w:ascii="Verdana" w:hAnsi="Verdana"/>
          <w:sz w:val="20"/>
          <w:lang w:val="pt-BR"/>
        </w:rPr>
        <w:t xml:space="preserve">s se </w:t>
      </w:r>
      <w:r w:rsidR="003F3630">
        <w:rPr>
          <w:rFonts w:ascii="Verdana" w:hAnsi="Verdana"/>
          <w:sz w:val="20"/>
          <w:lang w:val="pt-BR"/>
        </w:rPr>
        <w:t xml:space="preserve">ajustam </w:t>
      </w:r>
      <w:r w:rsidR="004F64EE" w:rsidRPr="002F50BD">
        <w:rPr>
          <w:rFonts w:ascii="Verdana" w:hAnsi="Verdana"/>
          <w:sz w:val="20"/>
          <w:lang w:val="pt-BR"/>
        </w:rPr>
        <w:t>perfei</w:t>
      </w:r>
      <w:r w:rsidR="004756C1" w:rsidRPr="002F50BD">
        <w:rPr>
          <w:rFonts w:ascii="Verdana" w:hAnsi="Verdana"/>
          <w:sz w:val="20"/>
          <w:lang w:val="pt-BR"/>
        </w:rPr>
        <w:t>tamente a</w:t>
      </w:r>
      <w:r w:rsidR="0089298C" w:rsidRPr="002F50BD">
        <w:rPr>
          <w:rFonts w:ascii="Verdana" w:hAnsi="Verdana"/>
          <w:sz w:val="20"/>
          <w:lang w:val="pt-BR"/>
        </w:rPr>
        <w:t xml:space="preserve"> esse </w:t>
      </w:r>
      <w:r w:rsidR="004756C1" w:rsidRPr="002F50BD">
        <w:rPr>
          <w:rFonts w:ascii="Verdana" w:hAnsi="Verdana"/>
          <w:sz w:val="20"/>
          <w:lang w:val="pt-BR"/>
        </w:rPr>
        <w:t>diagnóstico:</w:t>
      </w:r>
      <w:r w:rsidR="0089298C" w:rsidRPr="002F50BD">
        <w:rPr>
          <w:rFonts w:ascii="Verdana" w:hAnsi="Verdana"/>
          <w:sz w:val="20"/>
          <w:lang w:val="pt-BR"/>
        </w:rPr>
        <w:t xml:space="preserve"> </w:t>
      </w:r>
      <w:r w:rsidR="005A6BC7" w:rsidRPr="002F50BD">
        <w:rPr>
          <w:rFonts w:ascii="Verdana" w:hAnsi="Verdana"/>
          <w:sz w:val="20"/>
          <w:lang w:val="pt-BR"/>
        </w:rPr>
        <w:t>as crianças</w:t>
      </w:r>
      <w:r w:rsidR="004756C1" w:rsidRPr="002F50BD">
        <w:rPr>
          <w:rFonts w:ascii="Verdana" w:hAnsi="Verdana"/>
          <w:sz w:val="20"/>
          <w:lang w:val="pt-BR"/>
        </w:rPr>
        <w:t xml:space="preserve"> </w:t>
      </w:r>
      <w:r w:rsidR="0089298C" w:rsidRPr="002F50BD">
        <w:rPr>
          <w:rFonts w:ascii="Verdana" w:hAnsi="Verdana"/>
          <w:sz w:val="20"/>
          <w:lang w:val="pt-BR"/>
        </w:rPr>
        <w:t>apresentaram</w:t>
      </w:r>
      <w:r w:rsidR="004756C1" w:rsidRPr="002F50BD">
        <w:rPr>
          <w:rFonts w:ascii="Verdana" w:hAnsi="Verdana"/>
          <w:sz w:val="20"/>
          <w:lang w:val="pt-BR"/>
        </w:rPr>
        <w:t xml:space="preserve"> tos</w:t>
      </w:r>
      <w:r w:rsidRPr="002F50BD">
        <w:rPr>
          <w:rFonts w:ascii="Verdana" w:hAnsi="Verdana"/>
          <w:sz w:val="20"/>
          <w:lang w:val="pt-BR"/>
        </w:rPr>
        <w:t>se</w:t>
      </w:r>
      <w:r w:rsidR="004756C1" w:rsidRPr="002F50BD">
        <w:rPr>
          <w:rFonts w:ascii="Verdana" w:hAnsi="Verdana"/>
          <w:sz w:val="20"/>
          <w:lang w:val="pt-BR"/>
        </w:rPr>
        <w:t>, febre alta</w:t>
      </w:r>
      <w:r w:rsidR="0089298C" w:rsidRPr="002F50BD">
        <w:rPr>
          <w:rFonts w:ascii="Verdana" w:hAnsi="Verdana"/>
          <w:sz w:val="20"/>
          <w:lang w:val="pt-BR"/>
        </w:rPr>
        <w:t xml:space="preserve"> e dificuldades </w:t>
      </w:r>
      <w:r w:rsidRPr="002F50BD">
        <w:rPr>
          <w:rFonts w:ascii="Verdana" w:hAnsi="Verdana"/>
          <w:sz w:val="20"/>
          <w:lang w:val="pt-BR"/>
        </w:rPr>
        <w:t>de</w:t>
      </w:r>
      <w:r w:rsidR="0089298C" w:rsidRPr="002F50BD">
        <w:rPr>
          <w:rFonts w:ascii="Verdana" w:hAnsi="Verdana"/>
          <w:sz w:val="20"/>
          <w:lang w:val="pt-BR"/>
        </w:rPr>
        <w:t xml:space="preserve"> </w:t>
      </w:r>
      <w:r w:rsidR="004756C1" w:rsidRPr="002F50BD">
        <w:rPr>
          <w:rFonts w:ascii="Verdana" w:hAnsi="Verdana"/>
          <w:sz w:val="20"/>
          <w:lang w:val="pt-BR"/>
        </w:rPr>
        <w:t>respira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até</w:t>
      </w:r>
      <w:r w:rsidR="004756C1" w:rsidRPr="002F50BD">
        <w:rPr>
          <w:rFonts w:ascii="Verdana" w:hAnsi="Verdana"/>
          <w:sz w:val="20"/>
          <w:lang w:val="pt-BR"/>
        </w:rPr>
        <w:t xml:space="preserve"> </w:t>
      </w:r>
      <w:r w:rsidR="0089298C" w:rsidRPr="002F50BD">
        <w:rPr>
          <w:rFonts w:ascii="Verdana" w:hAnsi="Verdana"/>
          <w:sz w:val="20"/>
          <w:lang w:val="pt-BR"/>
        </w:rPr>
        <w:t>morrer sem ter</w:t>
      </w:r>
      <w:r w:rsidRPr="002F50BD">
        <w:rPr>
          <w:rFonts w:ascii="Verdana" w:hAnsi="Verdana"/>
          <w:sz w:val="20"/>
          <w:lang w:val="pt-BR"/>
        </w:rPr>
        <w:t>em</w:t>
      </w:r>
      <w:r w:rsidR="004756C1" w:rsidRPr="002F50BD">
        <w:rPr>
          <w:rFonts w:ascii="Verdana" w:hAnsi="Verdana"/>
          <w:sz w:val="20"/>
          <w:lang w:val="pt-BR"/>
        </w:rPr>
        <w:t xml:space="preserve"> </w:t>
      </w:r>
      <w:r w:rsidR="004076AD" w:rsidRPr="002F50BD">
        <w:rPr>
          <w:rFonts w:ascii="Verdana" w:hAnsi="Verdana"/>
          <w:sz w:val="20"/>
          <w:lang w:val="pt-BR"/>
        </w:rPr>
        <w:t>recebid</w:t>
      </w:r>
      <w:r w:rsidR="004756C1" w:rsidRPr="002F50BD">
        <w:rPr>
          <w:rFonts w:ascii="Verdana" w:hAnsi="Verdana"/>
          <w:sz w:val="20"/>
          <w:lang w:val="pt-BR"/>
        </w:rPr>
        <w:t xml:space="preserve">o </w:t>
      </w:r>
      <w:r w:rsidR="0089298C" w:rsidRPr="002F50BD">
        <w:rPr>
          <w:rFonts w:ascii="Verdana" w:hAnsi="Verdana"/>
          <w:sz w:val="20"/>
          <w:lang w:val="pt-BR"/>
        </w:rPr>
        <w:t>nenhuma</w:t>
      </w:r>
      <w:r w:rsidR="004756C1" w:rsidRPr="002F50BD">
        <w:rPr>
          <w:rFonts w:ascii="Verdana" w:hAnsi="Verdana"/>
          <w:sz w:val="20"/>
          <w:lang w:val="pt-BR"/>
        </w:rPr>
        <w:t xml:space="preserve"> </w:t>
      </w:r>
      <w:r w:rsidR="0089298C" w:rsidRPr="002F50BD">
        <w:rPr>
          <w:rFonts w:ascii="Verdana" w:hAnsi="Verdana"/>
          <w:sz w:val="20"/>
          <w:lang w:val="pt-BR"/>
        </w:rPr>
        <w:t xml:space="preserve">assistência </w:t>
      </w:r>
      <w:r w:rsidR="004756C1" w:rsidRPr="002F50BD">
        <w:rPr>
          <w:rFonts w:ascii="Verdana" w:hAnsi="Verdana"/>
          <w:sz w:val="20"/>
          <w:lang w:val="pt-BR"/>
        </w:rPr>
        <w:t>médica o</w:t>
      </w:r>
      <w:r w:rsidRPr="002F50BD">
        <w:rPr>
          <w:rFonts w:ascii="Verdana" w:hAnsi="Verdana"/>
          <w:sz w:val="20"/>
          <w:lang w:val="pt-BR"/>
        </w:rPr>
        <w:t>u</w:t>
      </w:r>
      <w:r w:rsidR="004756C1" w:rsidRPr="002F50BD">
        <w:rPr>
          <w:rFonts w:ascii="Verdana" w:hAnsi="Verdana"/>
          <w:sz w:val="20"/>
          <w:lang w:val="pt-BR"/>
        </w:rPr>
        <w:t xml:space="preserve"> medicamentos. </w:t>
      </w:r>
      <w:r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entrevistados afirmar</w:t>
      </w:r>
      <w:r w:rsidRPr="002F50BD">
        <w:rPr>
          <w:rFonts w:ascii="Verdana" w:hAnsi="Verdana"/>
          <w:sz w:val="20"/>
          <w:lang w:val="pt-BR"/>
        </w:rPr>
        <w:t>am</w:t>
      </w:r>
      <w:r w:rsidR="004756C1" w:rsidRPr="002F50BD">
        <w:rPr>
          <w:rFonts w:ascii="Verdana" w:hAnsi="Verdana"/>
          <w:sz w:val="20"/>
          <w:lang w:val="pt-BR"/>
        </w:rPr>
        <w:t xml:space="preserve"> que</w:t>
      </w:r>
      <w:r w:rsidR="005C4682" w:rsidRPr="002F50BD">
        <w:rPr>
          <w:rFonts w:ascii="Verdana" w:hAnsi="Verdana"/>
          <w:sz w:val="20"/>
          <w:lang w:val="pt-BR"/>
        </w:rPr>
        <w:t>,</w:t>
      </w:r>
      <w:r w:rsidR="004756C1" w:rsidRPr="002F50BD">
        <w:rPr>
          <w:rFonts w:ascii="Verdana" w:hAnsi="Verdana"/>
          <w:sz w:val="20"/>
          <w:lang w:val="pt-BR"/>
        </w:rPr>
        <w:t xml:space="preserve"> durante</w:t>
      </w:r>
      <w:r w:rsidR="0089298C" w:rsidRPr="002F50BD">
        <w:rPr>
          <w:rFonts w:ascii="Verdana" w:hAnsi="Verdana"/>
          <w:sz w:val="20"/>
          <w:lang w:val="pt-BR"/>
        </w:rPr>
        <w:t xml:space="preserve"> a época </w:t>
      </w:r>
      <w:r w:rsidR="004756C1" w:rsidRPr="002F50BD">
        <w:rPr>
          <w:rFonts w:ascii="Verdana" w:hAnsi="Verdana"/>
          <w:sz w:val="20"/>
          <w:lang w:val="pt-BR"/>
        </w:rPr>
        <w:t xml:space="preserve">de </w:t>
      </w:r>
      <w:r w:rsidRPr="002F50BD">
        <w:rPr>
          <w:rFonts w:ascii="Verdana" w:hAnsi="Verdana"/>
          <w:sz w:val="20"/>
          <w:lang w:val="pt-BR"/>
        </w:rPr>
        <w:t>seca</w:t>
      </w:r>
      <w:r w:rsidR="005C4682" w:rsidRPr="002F50BD">
        <w:rPr>
          <w:rFonts w:ascii="Verdana" w:hAnsi="Verdana"/>
          <w:sz w:val="20"/>
          <w:lang w:val="pt-BR"/>
        </w:rPr>
        <w:t>,</w:t>
      </w:r>
      <w:r w:rsidRPr="002F50BD">
        <w:rPr>
          <w:rFonts w:ascii="Verdana" w:hAnsi="Verdana"/>
          <w:sz w:val="20"/>
          <w:lang w:val="pt-BR"/>
        </w:rPr>
        <w:t xml:space="preserve"> a</w:t>
      </w:r>
      <w:r w:rsidR="0089298C" w:rsidRPr="002F50BD">
        <w:rPr>
          <w:rFonts w:ascii="Verdana" w:hAnsi="Verdana"/>
          <w:sz w:val="20"/>
          <w:lang w:val="pt-BR"/>
        </w:rPr>
        <w:t xml:space="preserve">s </w:t>
      </w:r>
      <w:r w:rsidRPr="002F50BD">
        <w:rPr>
          <w:rFonts w:ascii="Verdana" w:hAnsi="Verdana"/>
          <w:sz w:val="20"/>
          <w:lang w:val="pt-BR"/>
        </w:rPr>
        <w:t xml:space="preserve">crianças </w:t>
      </w:r>
      <w:r w:rsidR="004076AD" w:rsidRPr="002F50BD">
        <w:rPr>
          <w:rFonts w:ascii="Verdana" w:hAnsi="Verdana"/>
          <w:sz w:val="20"/>
          <w:lang w:val="pt-BR"/>
        </w:rPr>
        <w:t>morreram</w:t>
      </w:r>
      <w:r w:rsidRPr="002F50BD">
        <w:rPr>
          <w:rFonts w:ascii="Verdana" w:hAnsi="Verdana"/>
          <w:sz w:val="20"/>
          <w:lang w:val="pt-BR"/>
        </w:rPr>
        <w:t xml:space="preserve"> de diarréi</w:t>
      </w:r>
      <w:r w:rsidR="004756C1" w:rsidRPr="002F50BD">
        <w:rPr>
          <w:rFonts w:ascii="Verdana" w:hAnsi="Verdana"/>
          <w:sz w:val="20"/>
          <w:lang w:val="pt-BR"/>
        </w:rPr>
        <w:t>a</w:t>
      </w:r>
      <w:r w:rsidR="0089298C" w:rsidRPr="002F50BD">
        <w:rPr>
          <w:rFonts w:ascii="Verdana" w:hAnsi="Verdana"/>
          <w:sz w:val="20"/>
          <w:lang w:val="pt-BR"/>
        </w:rPr>
        <w:t xml:space="preserve"> e</w:t>
      </w:r>
      <w:r w:rsidR="005C4682"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efetiv</w:t>
      </w:r>
      <w:r w:rsidR="004756C1" w:rsidRPr="002F50BD">
        <w:rPr>
          <w:rFonts w:ascii="Verdana" w:hAnsi="Verdana"/>
          <w:sz w:val="20"/>
          <w:lang w:val="pt-BR"/>
        </w:rPr>
        <w:t>amente</w:t>
      </w:r>
      <w:r w:rsidR="005C4682" w:rsidRPr="002F50BD">
        <w:rPr>
          <w:rFonts w:ascii="Verdana" w:hAnsi="Verdana"/>
          <w:sz w:val="20"/>
          <w:lang w:val="pt-BR"/>
        </w:rPr>
        <w:t>,</w:t>
      </w:r>
      <w:r w:rsidR="0089298C" w:rsidRPr="002F50BD">
        <w:rPr>
          <w:rFonts w:ascii="Verdana" w:hAnsi="Verdana"/>
          <w:sz w:val="20"/>
          <w:lang w:val="pt-BR"/>
        </w:rPr>
        <w:t xml:space="preserve"> essa é a época em </w:t>
      </w:r>
      <w:r w:rsidR="004756C1" w:rsidRPr="002F50BD">
        <w:rPr>
          <w:rFonts w:ascii="Verdana" w:hAnsi="Verdana"/>
          <w:sz w:val="20"/>
          <w:lang w:val="pt-BR"/>
        </w:rPr>
        <w:t xml:space="preserve">que </w:t>
      </w:r>
      <w:r w:rsidR="0089298C" w:rsidRPr="002F50BD">
        <w:rPr>
          <w:rFonts w:ascii="Verdana" w:hAnsi="Verdana"/>
          <w:sz w:val="20"/>
          <w:lang w:val="pt-BR"/>
        </w:rPr>
        <w:t xml:space="preserve">mais </w:t>
      </w:r>
      <w:r w:rsidR="004076AD" w:rsidRPr="002F50BD">
        <w:rPr>
          <w:rFonts w:ascii="Verdana" w:hAnsi="Verdana"/>
          <w:sz w:val="20"/>
          <w:lang w:val="pt-BR"/>
        </w:rPr>
        <w:t>ocorrem</w:t>
      </w:r>
      <w:r w:rsidR="003F3630">
        <w:rPr>
          <w:rFonts w:ascii="Verdana" w:hAnsi="Verdana"/>
          <w:sz w:val="20"/>
          <w:lang w:val="pt-BR"/>
        </w:rPr>
        <w:t xml:space="preserve"> ess</w:t>
      </w:r>
      <w:r w:rsidR="004756C1" w:rsidRPr="002F50BD">
        <w:rPr>
          <w:rFonts w:ascii="Verdana" w:hAnsi="Verdana"/>
          <w:sz w:val="20"/>
          <w:lang w:val="pt-BR"/>
        </w:rPr>
        <w:t xml:space="preserve">as </w:t>
      </w:r>
      <w:r w:rsidR="00367FD1" w:rsidRPr="002F50BD">
        <w:rPr>
          <w:rFonts w:ascii="Verdana" w:hAnsi="Verdana"/>
          <w:sz w:val="20"/>
          <w:lang w:val="pt-BR"/>
        </w:rPr>
        <w:t>doenças</w:t>
      </w:r>
      <w:r w:rsidR="004756C1" w:rsidRPr="002F50BD">
        <w:rPr>
          <w:rFonts w:ascii="Verdana" w:hAnsi="Verdana"/>
          <w:sz w:val="20"/>
          <w:lang w:val="pt-BR"/>
        </w:rPr>
        <w:t>. Es</w:t>
      </w:r>
      <w:r w:rsidR="003F3630">
        <w:rPr>
          <w:rFonts w:ascii="Verdana" w:hAnsi="Verdana"/>
          <w:sz w:val="20"/>
          <w:lang w:val="pt-BR"/>
        </w:rPr>
        <w:t>s</w:t>
      </w:r>
      <w:r w:rsidR="004756C1" w:rsidRPr="002F50BD">
        <w:rPr>
          <w:rFonts w:ascii="Verdana" w:hAnsi="Verdana"/>
          <w:sz w:val="20"/>
          <w:lang w:val="pt-BR"/>
        </w:rPr>
        <w:t xml:space="preserve">as </w:t>
      </w:r>
      <w:r w:rsidRPr="002F50BD">
        <w:rPr>
          <w:rFonts w:ascii="Verdana" w:hAnsi="Verdana"/>
          <w:sz w:val="20"/>
          <w:lang w:val="pt-BR"/>
        </w:rPr>
        <w:t xml:space="preserve">crianças </w:t>
      </w:r>
      <w:r w:rsidR="004076AD" w:rsidRPr="002F50BD">
        <w:rPr>
          <w:rFonts w:ascii="Verdana" w:hAnsi="Verdana"/>
          <w:sz w:val="20"/>
          <w:lang w:val="pt-BR"/>
        </w:rPr>
        <w:t>morreram</w:t>
      </w:r>
      <w:r w:rsidR="0089298C" w:rsidRPr="002F50BD">
        <w:rPr>
          <w:rFonts w:ascii="Verdana" w:hAnsi="Verdana"/>
          <w:sz w:val="20"/>
          <w:lang w:val="pt-BR"/>
        </w:rPr>
        <w:t xml:space="preserve"> com </w:t>
      </w:r>
      <w:r w:rsidR="004756C1" w:rsidRPr="002F50BD">
        <w:rPr>
          <w:rFonts w:ascii="Verdana" w:hAnsi="Verdana"/>
          <w:sz w:val="20"/>
          <w:lang w:val="pt-BR"/>
        </w:rPr>
        <w:t>todos</w:t>
      </w:r>
      <w:r w:rsidR="0089298C" w:rsidRPr="002F50BD">
        <w:rPr>
          <w:rFonts w:ascii="Verdana" w:hAnsi="Verdana"/>
          <w:sz w:val="20"/>
          <w:lang w:val="pt-BR"/>
        </w:rPr>
        <w:t xml:space="preserve"> os sintoma</w:t>
      </w:r>
      <w:r w:rsidRPr="002F50BD">
        <w:rPr>
          <w:rFonts w:ascii="Verdana" w:hAnsi="Verdana"/>
          <w:sz w:val="20"/>
          <w:lang w:val="pt-BR"/>
        </w:rPr>
        <w:t>s de diarréi</w:t>
      </w:r>
      <w:r w:rsidR="004756C1" w:rsidRPr="002F50BD">
        <w:rPr>
          <w:rFonts w:ascii="Verdana" w:hAnsi="Verdana"/>
          <w:sz w:val="20"/>
          <w:lang w:val="pt-BR"/>
        </w:rPr>
        <w:t>a: febre, diarr</w:t>
      </w:r>
      <w:r w:rsidRPr="002F50BD">
        <w:rPr>
          <w:rFonts w:ascii="Verdana" w:hAnsi="Verdana"/>
          <w:sz w:val="20"/>
          <w:lang w:val="pt-BR"/>
        </w:rPr>
        <w:t>éi</w:t>
      </w:r>
      <w:r w:rsidR="004756C1" w:rsidRPr="002F50BD">
        <w:rPr>
          <w:rFonts w:ascii="Verdana" w:hAnsi="Verdana"/>
          <w:sz w:val="20"/>
          <w:lang w:val="pt-BR"/>
        </w:rPr>
        <w:t>a cont</w:t>
      </w:r>
      <w:r w:rsidRPr="002F50BD">
        <w:rPr>
          <w:rFonts w:ascii="Verdana" w:hAnsi="Verdana"/>
          <w:sz w:val="20"/>
          <w:lang w:val="pt-BR"/>
        </w:rPr>
        <w:t>í</w:t>
      </w:r>
      <w:r w:rsidR="004756C1" w:rsidRPr="002F50BD">
        <w:rPr>
          <w:rFonts w:ascii="Verdana" w:hAnsi="Verdana"/>
          <w:sz w:val="20"/>
          <w:lang w:val="pt-BR"/>
        </w:rPr>
        <w:t xml:space="preserve">nua, </w:t>
      </w:r>
      <w:r w:rsidRPr="002F50BD">
        <w:rPr>
          <w:rFonts w:ascii="Verdana" w:hAnsi="Verdana"/>
          <w:sz w:val="20"/>
          <w:lang w:val="pt-BR"/>
        </w:rPr>
        <w:t>às</w:t>
      </w:r>
      <w:r w:rsidR="004756C1" w:rsidRPr="002F50BD">
        <w:rPr>
          <w:rFonts w:ascii="Verdana" w:hAnsi="Verdana"/>
          <w:sz w:val="20"/>
          <w:lang w:val="pt-BR"/>
        </w:rPr>
        <w:t xml:space="preserve"> </w:t>
      </w:r>
      <w:r w:rsidR="0089298C" w:rsidRPr="002F50BD">
        <w:rPr>
          <w:rFonts w:ascii="Verdana" w:hAnsi="Verdana"/>
          <w:sz w:val="20"/>
          <w:lang w:val="pt-BR"/>
        </w:rPr>
        <w:t>vezes com sangue, e</w:t>
      </w:r>
      <w:r w:rsidR="004756C1" w:rsidRPr="002F50BD">
        <w:rPr>
          <w:rFonts w:ascii="Verdana" w:hAnsi="Verdana"/>
          <w:sz w:val="20"/>
          <w:lang w:val="pt-BR"/>
        </w:rPr>
        <w:t xml:space="preserve"> v</w:t>
      </w:r>
      <w:r w:rsidRPr="002F50BD">
        <w:rPr>
          <w:rFonts w:ascii="Verdana" w:hAnsi="Verdana"/>
          <w:sz w:val="20"/>
          <w:lang w:val="pt-BR"/>
        </w:rPr>
        <w:t>ô</w:t>
      </w:r>
      <w:r w:rsidR="004756C1" w:rsidRPr="002F50BD">
        <w:rPr>
          <w:rFonts w:ascii="Verdana" w:hAnsi="Verdana"/>
          <w:sz w:val="20"/>
          <w:lang w:val="pt-BR"/>
        </w:rPr>
        <w:t xml:space="preserve">mitos. </w:t>
      </w:r>
      <w:r w:rsidR="0089298C" w:rsidRPr="002F50BD">
        <w:rPr>
          <w:rFonts w:ascii="Verdana" w:hAnsi="Verdana"/>
          <w:sz w:val="20"/>
          <w:lang w:val="pt-BR"/>
        </w:rPr>
        <w:t>Também</w:t>
      </w:r>
      <w:r w:rsidR="004756C1" w:rsidRPr="002F50BD">
        <w:rPr>
          <w:rFonts w:ascii="Verdana" w:hAnsi="Verdana"/>
          <w:sz w:val="20"/>
          <w:lang w:val="pt-BR"/>
        </w:rPr>
        <w:t xml:space="preserve"> </w:t>
      </w:r>
      <w:r w:rsidR="003F3630">
        <w:rPr>
          <w:rFonts w:ascii="Verdana" w:hAnsi="Verdana"/>
          <w:sz w:val="20"/>
          <w:lang w:val="pt-BR"/>
        </w:rPr>
        <w:lastRenderedPageBreak/>
        <w:t xml:space="preserve">ocorreram </w:t>
      </w:r>
      <w:r w:rsidR="004756C1" w:rsidRPr="002F50BD">
        <w:rPr>
          <w:rFonts w:ascii="Verdana" w:hAnsi="Verdana"/>
          <w:sz w:val="20"/>
          <w:lang w:val="pt-BR"/>
        </w:rPr>
        <w:t xml:space="preserve">casos de </w:t>
      </w:r>
      <w:r w:rsidR="0089298C" w:rsidRPr="002F50BD">
        <w:rPr>
          <w:rFonts w:ascii="Verdana" w:hAnsi="Verdana"/>
          <w:sz w:val="20"/>
          <w:lang w:val="pt-BR"/>
        </w:rPr>
        <w:t>pessoa</w:t>
      </w:r>
      <w:r w:rsidR="004756C1" w:rsidRPr="002F50BD">
        <w:rPr>
          <w:rFonts w:ascii="Verdana" w:hAnsi="Verdana"/>
          <w:sz w:val="20"/>
          <w:lang w:val="pt-BR"/>
        </w:rPr>
        <w:t xml:space="preserve">s adultas que </w:t>
      </w:r>
      <w:r w:rsidR="0089298C" w:rsidRPr="002F50BD">
        <w:rPr>
          <w:rFonts w:ascii="Verdana" w:hAnsi="Verdana"/>
          <w:sz w:val="20"/>
          <w:lang w:val="pt-BR"/>
        </w:rPr>
        <w:t>faleceram</w:t>
      </w:r>
      <w:r w:rsidR="004756C1" w:rsidRPr="002F50BD">
        <w:rPr>
          <w:rFonts w:ascii="Verdana" w:hAnsi="Verdana"/>
          <w:sz w:val="20"/>
          <w:lang w:val="pt-BR"/>
        </w:rPr>
        <w:t xml:space="preserve"> por n</w:t>
      </w:r>
      <w:r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ter</w:t>
      </w:r>
      <w:r w:rsidR="004F64EE" w:rsidRPr="002F50BD">
        <w:rPr>
          <w:rFonts w:ascii="Verdana" w:hAnsi="Verdana"/>
          <w:sz w:val="20"/>
          <w:lang w:val="pt-BR"/>
        </w:rPr>
        <w:t>em</w:t>
      </w:r>
      <w:r w:rsidR="004756C1" w:rsidRPr="002F50BD">
        <w:rPr>
          <w:rFonts w:ascii="Verdana" w:hAnsi="Verdana"/>
          <w:sz w:val="20"/>
          <w:lang w:val="pt-BR"/>
        </w:rPr>
        <w:t xml:space="preserve"> </w:t>
      </w:r>
      <w:r w:rsidR="004076AD" w:rsidRPr="002F50BD">
        <w:rPr>
          <w:rFonts w:ascii="Verdana" w:hAnsi="Verdana"/>
          <w:sz w:val="20"/>
          <w:lang w:val="pt-BR"/>
        </w:rPr>
        <w:t>recebid</w:t>
      </w:r>
      <w:r w:rsidR="004756C1" w:rsidRPr="002F50BD">
        <w:rPr>
          <w:rFonts w:ascii="Verdana" w:hAnsi="Verdana"/>
          <w:sz w:val="20"/>
          <w:lang w:val="pt-BR"/>
        </w:rPr>
        <w:t>o</w:t>
      </w:r>
      <w:r w:rsidR="0089298C" w:rsidRPr="002F50BD">
        <w:rPr>
          <w:rFonts w:ascii="Verdana" w:hAnsi="Verdana"/>
          <w:sz w:val="20"/>
          <w:lang w:val="pt-BR"/>
        </w:rPr>
        <w:t xml:space="preserve"> uma atenção</w:t>
      </w:r>
      <w:r w:rsidR="004756C1" w:rsidRPr="002F50BD">
        <w:rPr>
          <w:rFonts w:ascii="Verdana" w:hAnsi="Verdana"/>
          <w:sz w:val="20"/>
          <w:lang w:val="pt-BR"/>
        </w:rPr>
        <w:t xml:space="preserve"> médica </w:t>
      </w:r>
      <w:r w:rsidR="0089298C" w:rsidRPr="002F50BD">
        <w:rPr>
          <w:rFonts w:ascii="Verdana" w:hAnsi="Verdana"/>
          <w:sz w:val="20"/>
          <w:lang w:val="pt-BR"/>
        </w:rPr>
        <w:t>adequad</w:t>
      </w:r>
      <w:r w:rsidR="004756C1" w:rsidRPr="002F50BD">
        <w:rPr>
          <w:rFonts w:ascii="Verdana" w:hAnsi="Verdana"/>
          <w:sz w:val="20"/>
          <w:lang w:val="pt-BR"/>
        </w:rPr>
        <w:t>a</w:t>
      </w:r>
      <w:r w:rsidR="0089298C" w:rsidRPr="002F50BD">
        <w:rPr>
          <w:rFonts w:ascii="Verdana" w:hAnsi="Verdana"/>
          <w:sz w:val="20"/>
          <w:lang w:val="pt-BR"/>
        </w:rPr>
        <w:t xml:space="preserve"> e </w:t>
      </w:r>
      <w:r w:rsidR="004756C1" w:rsidRPr="002F50BD">
        <w:rPr>
          <w:rFonts w:ascii="Verdana" w:hAnsi="Verdana"/>
          <w:sz w:val="20"/>
          <w:lang w:val="pt-BR"/>
        </w:rPr>
        <w:t>oportuna</w:t>
      </w:r>
      <w:r w:rsidR="0089298C" w:rsidRPr="002F50BD">
        <w:rPr>
          <w:rFonts w:ascii="Verdana" w:hAnsi="Verdana"/>
          <w:sz w:val="20"/>
          <w:lang w:val="pt-BR"/>
        </w:rPr>
        <w:t xml:space="preserve"> e </w:t>
      </w:r>
      <w:r w:rsidR="004756C1" w:rsidRPr="002F50BD">
        <w:rPr>
          <w:rFonts w:ascii="Verdana" w:hAnsi="Verdana"/>
          <w:sz w:val="20"/>
          <w:lang w:val="pt-BR"/>
        </w:rPr>
        <w:t>por falta de alimenta</w:t>
      </w:r>
      <w:r w:rsidR="0089298C" w:rsidRPr="002F50BD">
        <w:rPr>
          <w:rFonts w:ascii="Verdana" w:hAnsi="Verdana"/>
          <w:sz w:val="20"/>
          <w:lang w:val="pt-BR"/>
        </w:rPr>
        <w:t>ção</w:t>
      </w:r>
      <w:r w:rsidR="004756C1" w:rsidRPr="002F50BD">
        <w:rPr>
          <w:rFonts w:ascii="Verdana" w:hAnsi="Verdana"/>
          <w:sz w:val="20"/>
          <w:lang w:val="pt-BR"/>
        </w:rPr>
        <w:t xml:space="preserve">. </w:t>
      </w:r>
    </w:p>
    <w:p w:rsidR="004756C1" w:rsidRPr="002F50BD" w:rsidRDefault="0089298C">
      <w:pPr>
        <w:jc w:val="both"/>
        <w:rPr>
          <w:rFonts w:ascii="Verdana" w:hAnsi="Verdana"/>
          <w:sz w:val="20"/>
          <w:lang w:val="pt-BR"/>
        </w:rPr>
      </w:pPr>
      <w:r w:rsidRPr="002F50BD">
        <w:rPr>
          <w:rFonts w:ascii="Verdana" w:hAnsi="Verdana"/>
          <w:sz w:val="20"/>
          <w:lang w:val="pt-BR"/>
        </w:rPr>
        <w:cr/>
        <w:t xml:space="preserve">A Comunidade </w:t>
      </w:r>
      <w:r w:rsidR="004756C1" w:rsidRPr="002F50BD">
        <w:rPr>
          <w:rFonts w:ascii="Verdana" w:hAnsi="Verdana"/>
          <w:sz w:val="20"/>
          <w:lang w:val="pt-BR"/>
        </w:rPr>
        <w:t>indígena Yakye Axa está totalmente abandonada.</w:t>
      </w:r>
      <w:r w:rsidRPr="002F50BD">
        <w:rPr>
          <w:rFonts w:ascii="Verdana" w:hAnsi="Verdana"/>
          <w:sz w:val="20"/>
          <w:lang w:val="pt-BR"/>
        </w:rPr>
        <w:t xml:space="preserve"> </w:t>
      </w:r>
      <w:r w:rsidR="004B4702" w:rsidRPr="002F50BD">
        <w:rPr>
          <w:rFonts w:ascii="Verdana" w:hAnsi="Verdana"/>
          <w:sz w:val="20"/>
          <w:lang w:val="pt-BR"/>
        </w:rPr>
        <w:t>N</w:t>
      </w:r>
      <w:r w:rsidRPr="002F50BD">
        <w:rPr>
          <w:rFonts w:ascii="Verdana" w:hAnsi="Verdana"/>
          <w:sz w:val="20"/>
          <w:lang w:val="pt-BR"/>
        </w:rPr>
        <w:t xml:space="preserve">a Comunidade </w:t>
      </w:r>
      <w:r w:rsidR="004756C1" w:rsidRPr="002F50BD">
        <w:rPr>
          <w:rFonts w:ascii="Verdana" w:hAnsi="Verdana"/>
          <w:sz w:val="20"/>
          <w:lang w:val="pt-BR"/>
        </w:rPr>
        <w:t>n</w:t>
      </w:r>
      <w:r w:rsidR="004B4702" w:rsidRPr="002F50BD">
        <w:rPr>
          <w:rFonts w:ascii="Verdana" w:hAnsi="Verdana"/>
          <w:sz w:val="20"/>
          <w:lang w:val="pt-BR"/>
        </w:rPr>
        <w:t>ã</w:t>
      </w:r>
      <w:r w:rsidR="004756C1" w:rsidRPr="002F50BD">
        <w:rPr>
          <w:rFonts w:ascii="Verdana" w:hAnsi="Verdana"/>
          <w:sz w:val="20"/>
          <w:lang w:val="pt-BR"/>
        </w:rPr>
        <w:t>o existe</w:t>
      </w:r>
      <w:r w:rsidRPr="002F50BD">
        <w:rPr>
          <w:rFonts w:ascii="Verdana" w:hAnsi="Verdana"/>
          <w:sz w:val="20"/>
          <w:lang w:val="pt-BR"/>
        </w:rPr>
        <w:t xml:space="preserve"> um posto </w:t>
      </w:r>
      <w:r w:rsidR="004756C1" w:rsidRPr="002F50BD">
        <w:rPr>
          <w:rFonts w:ascii="Verdana" w:hAnsi="Verdana"/>
          <w:sz w:val="20"/>
          <w:lang w:val="pt-BR"/>
        </w:rPr>
        <w:t xml:space="preserve">de </w:t>
      </w:r>
      <w:r w:rsidRPr="002F50BD">
        <w:rPr>
          <w:rFonts w:ascii="Verdana" w:hAnsi="Verdana"/>
          <w:sz w:val="20"/>
          <w:lang w:val="pt-BR"/>
        </w:rPr>
        <w:t>saúde</w:t>
      </w:r>
      <w:r w:rsidR="004756C1" w:rsidRPr="002F50BD">
        <w:rPr>
          <w:rFonts w:ascii="Verdana" w:hAnsi="Verdana"/>
          <w:sz w:val="20"/>
          <w:lang w:val="pt-BR"/>
        </w:rPr>
        <w:t xml:space="preserve">, </w:t>
      </w:r>
      <w:r w:rsidR="004B4702" w:rsidRPr="002F50BD">
        <w:rPr>
          <w:rFonts w:ascii="Verdana" w:hAnsi="Verdana"/>
          <w:sz w:val="20"/>
          <w:lang w:val="pt-BR"/>
        </w:rPr>
        <w:t xml:space="preserve">farmácia </w:t>
      </w:r>
      <w:r w:rsidR="004756C1" w:rsidRPr="002F50BD">
        <w:rPr>
          <w:rFonts w:ascii="Verdana" w:hAnsi="Verdana"/>
          <w:sz w:val="20"/>
          <w:lang w:val="pt-BR"/>
        </w:rPr>
        <w:t>o</w:t>
      </w:r>
      <w:r w:rsidR="004B4702" w:rsidRPr="002F50BD">
        <w:rPr>
          <w:rFonts w:ascii="Verdana" w:hAnsi="Verdana"/>
          <w:sz w:val="20"/>
          <w:lang w:val="pt-BR"/>
        </w:rPr>
        <w:t>u</w:t>
      </w:r>
      <w:r w:rsidR="004756C1" w:rsidRPr="002F50BD">
        <w:rPr>
          <w:rFonts w:ascii="Verdana" w:hAnsi="Verdana"/>
          <w:sz w:val="20"/>
          <w:lang w:val="pt-BR"/>
        </w:rPr>
        <w:t xml:space="preserve"> </w:t>
      </w:r>
      <w:r w:rsidR="005C4682" w:rsidRPr="002F50BD">
        <w:rPr>
          <w:rFonts w:ascii="Verdana" w:hAnsi="Verdana"/>
          <w:sz w:val="20"/>
          <w:lang w:val="pt-BR"/>
        </w:rPr>
        <w:t xml:space="preserve">agentes </w:t>
      </w:r>
      <w:r w:rsidR="004756C1" w:rsidRPr="002F50BD">
        <w:rPr>
          <w:rFonts w:ascii="Verdana" w:hAnsi="Verdana"/>
          <w:sz w:val="20"/>
          <w:lang w:val="pt-BR"/>
        </w:rPr>
        <w:t xml:space="preserve">de </w:t>
      </w:r>
      <w:r w:rsidRPr="002F50BD">
        <w:rPr>
          <w:rFonts w:ascii="Verdana" w:hAnsi="Verdana"/>
          <w:sz w:val="20"/>
          <w:lang w:val="pt-BR"/>
        </w:rPr>
        <w:t>saúde</w:t>
      </w:r>
      <w:r w:rsidR="00D95E71" w:rsidRPr="002F50BD">
        <w:rPr>
          <w:rFonts w:ascii="Verdana" w:hAnsi="Verdana"/>
          <w:sz w:val="20"/>
          <w:lang w:val="pt-BR"/>
        </w:rPr>
        <w:t xml:space="preserve">. O </w:t>
      </w:r>
      <w:r w:rsidR="00AB454A" w:rsidRPr="002F50BD">
        <w:rPr>
          <w:rFonts w:ascii="Verdana" w:hAnsi="Verdana"/>
          <w:sz w:val="20"/>
          <w:lang w:val="pt-BR"/>
        </w:rPr>
        <w:t>assentamento</w:t>
      </w:r>
      <w:r w:rsidRPr="002F50BD">
        <w:rPr>
          <w:rFonts w:ascii="Verdana" w:hAnsi="Verdana"/>
          <w:sz w:val="20"/>
          <w:lang w:val="pt-BR"/>
        </w:rPr>
        <w:t xml:space="preserve"> da Comunidade </w:t>
      </w:r>
      <w:r w:rsidR="004756C1" w:rsidRPr="002F50BD">
        <w:rPr>
          <w:rFonts w:ascii="Verdana" w:hAnsi="Verdana"/>
          <w:sz w:val="20"/>
          <w:lang w:val="pt-BR"/>
        </w:rPr>
        <w:t xml:space="preserve">está a </w:t>
      </w:r>
      <w:r w:rsidR="00063B47" w:rsidRPr="002F50BD">
        <w:rPr>
          <w:rFonts w:ascii="Verdana" w:hAnsi="Verdana"/>
          <w:sz w:val="20"/>
          <w:lang w:val="pt-BR"/>
        </w:rPr>
        <w:t>356</w:t>
      </w:r>
      <w:r w:rsidR="004756C1" w:rsidRPr="002F50BD">
        <w:rPr>
          <w:rFonts w:ascii="Verdana" w:hAnsi="Verdana"/>
          <w:sz w:val="20"/>
          <w:lang w:val="pt-BR"/>
        </w:rPr>
        <w:t xml:space="preserve"> </w:t>
      </w:r>
      <w:r w:rsidRPr="002F50BD">
        <w:rPr>
          <w:rFonts w:ascii="Verdana" w:hAnsi="Verdana"/>
          <w:sz w:val="20"/>
          <w:lang w:val="pt-BR"/>
        </w:rPr>
        <w:t xml:space="preserve">quilômetros da </w:t>
      </w:r>
      <w:r w:rsidR="004756C1" w:rsidRPr="002F50BD">
        <w:rPr>
          <w:rFonts w:ascii="Verdana" w:hAnsi="Verdana"/>
          <w:sz w:val="20"/>
          <w:lang w:val="pt-BR"/>
        </w:rPr>
        <w:t>capital</w:t>
      </w:r>
      <w:r w:rsidRPr="002F50BD">
        <w:rPr>
          <w:rFonts w:ascii="Verdana" w:hAnsi="Verdana"/>
          <w:sz w:val="20"/>
          <w:lang w:val="pt-BR"/>
        </w:rPr>
        <w:t xml:space="preserve"> e </w:t>
      </w:r>
      <w:r w:rsidR="004756C1" w:rsidRPr="002F50BD">
        <w:rPr>
          <w:rFonts w:ascii="Verdana" w:hAnsi="Verdana"/>
          <w:sz w:val="20"/>
          <w:lang w:val="pt-BR"/>
        </w:rPr>
        <w:t xml:space="preserve">a </w:t>
      </w:r>
      <w:r w:rsidR="00063B47" w:rsidRPr="002F50BD">
        <w:rPr>
          <w:rFonts w:ascii="Verdana" w:hAnsi="Verdana"/>
          <w:sz w:val="20"/>
          <w:lang w:val="pt-BR"/>
        </w:rPr>
        <w:t>70</w:t>
      </w:r>
      <w:r w:rsidR="004756C1" w:rsidRPr="002F50BD">
        <w:rPr>
          <w:rFonts w:ascii="Verdana" w:hAnsi="Verdana"/>
          <w:sz w:val="20"/>
          <w:lang w:val="pt-BR"/>
        </w:rPr>
        <w:t xml:space="preserve"> </w:t>
      </w:r>
      <w:r w:rsidRPr="002F50BD">
        <w:rPr>
          <w:rFonts w:ascii="Verdana" w:hAnsi="Verdana"/>
          <w:sz w:val="20"/>
          <w:lang w:val="pt-BR"/>
        </w:rPr>
        <w:t>quilômetros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hospital </w:t>
      </w:r>
      <w:r w:rsidRPr="002F50BD">
        <w:rPr>
          <w:rFonts w:ascii="Verdana" w:hAnsi="Verdana"/>
          <w:sz w:val="20"/>
          <w:lang w:val="pt-BR"/>
        </w:rPr>
        <w:t xml:space="preserve">mais </w:t>
      </w:r>
      <w:r w:rsidR="004B4702" w:rsidRPr="002F50BD">
        <w:rPr>
          <w:rFonts w:ascii="Verdana" w:hAnsi="Verdana"/>
          <w:sz w:val="20"/>
          <w:lang w:val="pt-BR"/>
        </w:rPr>
        <w:t>próximo</w:t>
      </w:r>
      <w:r w:rsidR="00D95E71" w:rsidRPr="002F50BD">
        <w:rPr>
          <w:rFonts w:ascii="Verdana" w:hAnsi="Verdana"/>
          <w:sz w:val="20"/>
          <w:lang w:val="pt-BR"/>
        </w:rPr>
        <w:t xml:space="preserve">. O </w:t>
      </w:r>
      <w:r w:rsidR="004756C1" w:rsidRPr="002F50BD">
        <w:rPr>
          <w:rFonts w:ascii="Verdana" w:hAnsi="Verdana"/>
          <w:sz w:val="20"/>
          <w:lang w:val="pt-BR"/>
        </w:rPr>
        <w:t xml:space="preserve">hospital regional </w:t>
      </w:r>
      <w:r w:rsidRPr="002F50BD">
        <w:rPr>
          <w:rFonts w:ascii="Verdana" w:hAnsi="Verdana"/>
          <w:sz w:val="20"/>
          <w:lang w:val="pt-BR"/>
        </w:rPr>
        <w:t xml:space="preserve">mais </w:t>
      </w:r>
      <w:r w:rsidR="004B4702" w:rsidRPr="002F50BD">
        <w:rPr>
          <w:rFonts w:ascii="Verdana" w:hAnsi="Verdana"/>
          <w:sz w:val="20"/>
          <w:lang w:val="pt-BR"/>
        </w:rPr>
        <w:t xml:space="preserve">próximo </w:t>
      </w:r>
      <w:r w:rsidR="004756C1" w:rsidRPr="002F50BD">
        <w:rPr>
          <w:rFonts w:ascii="Verdana" w:hAnsi="Verdana"/>
          <w:sz w:val="20"/>
          <w:lang w:val="pt-BR"/>
        </w:rPr>
        <w:t xml:space="preserve">está a </w:t>
      </w:r>
      <w:r w:rsidR="00063B47" w:rsidRPr="002F50BD">
        <w:rPr>
          <w:rFonts w:ascii="Verdana" w:hAnsi="Verdana"/>
          <w:sz w:val="20"/>
          <w:lang w:val="pt-BR"/>
        </w:rPr>
        <w:t>225</w:t>
      </w:r>
      <w:r w:rsidR="004756C1" w:rsidRPr="002F50BD">
        <w:rPr>
          <w:rFonts w:ascii="Verdana" w:hAnsi="Verdana"/>
          <w:sz w:val="20"/>
          <w:lang w:val="pt-BR"/>
        </w:rPr>
        <w:t xml:space="preserve"> </w:t>
      </w:r>
      <w:r w:rsidRPr="002F50BD">
        <w:rPr>
          <w:rFonts w:ascii="Verdana" w:hAnsi="Verdana"/>
          <w:sz w:val="20"/>
          <w:lang w:val="pt-BR"/>
        </w:rPr>
        <w:t>quilômetros</w:t>
      </w:r>
      <w:r w:rsidR="004756C1" w:rsidRPr="002F50BD">
        <w:rPr>
          <w:rFonts w:ascii="Verdana" w:hAnsi="Verdana"/>
          <w:sz w:val="20"/>
          <w:lang w:val="pt-BR"/>
        </w:rPr>
        <w:t xml:space="preserve"> de dist</w:t>
      </w:r>
      <w:r w:rsidR="004B4702" w:rsidRPr="002F50BD">
        <w:rPr>
          <w:rFonts w:ascii="Verdana" w:hAnsi="Verdana"/>
          <w:sz w:val="20"/>
          <w:lang w:val="pt-BR"/>
        </w:rPr>
        <w:t>â</w:t>
      </w:r>
      <w:r w:rsidR="004756C1" w:rsidRPr="002F50BD">
        <w:rPr>
          <w:rFonts w:ascii="Verdana" w:hAnsi="Verdana"/>
          <w:sz w:val="20"/>
          <w:lang w:val="pt-BR"/>
        </w:rPr>
        <w:t xml:space="preserve">ncia, </w:t>
      </w:r>
      <w:r w:rsidRPr="002F50BD">
        <w:rPr>
          <w:rFonts w:ascii="Verdana" w:hAnsi="Verdana"/>
          <w:sz w:val="20"/>
          <w:lang w:val="pt-BR"/>
        </w:rPr>
        <w:t>muito</w:t>
      </w:r>
      <w:r w:rsidR="004756C1" w:rsidRPr="002F50BD">
        <w:rPr>
          <w:rFonts w:ascii="Verdana" w:hAnsi="Verdana"/>
          <w:sz w:val="20"/>
          <w:lang w:val="pt-BR"/>
        </w:rPr>
        <w:t xml:space="preserve"> </w:t>
      </w:r>
      <w:r w:rsidR="004B4702" w:rsidRPr="002F50BD">
        <w:rPr>
          <w:rFonts w:ascii="Verdana" w:hAnsi="Verdana"/>
          <w:sz w:val="20"/>
          <w:lang w:val="pt-BR"/>
        </w:rPr>
        <w:t xml:space="preserve">próximo </w:t>
      </w:r>
      <w:r w:rsidR="004756C1" w:rsidRPr="002F50BD">
        <w:rPr>
          <w:rFonts w:ascii="Verdana" w:hAnsi="Verdana"/>
          <w:sz w:val="20"/>
          <w:lang w:val="pt-BR"/>
        </w:rPr>
        <w:t>de Asun</w:t>
      </w:r>
      <w:r w:rsidR="004B4702" w:rsidRPr="002F50BD">
        <w:rPr>
          <w:rFonts w:ascii="Verdana" w:hAnsi="Verdana"/>
          <w:sz w:val="20"/>
          <w:lang w:val="pt-BR"/>
        </w:rPr>
        <w:t>ción</w:t>
      </w:r>
      <w:r w:rsidR="004756C1" w:rsidRPr="002F50BD">
        <w:rPr>
          <w:rFonts w:ascii="Verdana" w:hAnsi="Verdana"/>
          <w:sz w:val="20"/>
          <w:lang w:val="pt-BR"/>
        </w:rPr>
        <w:t>,</w:t>
      </w:r>
      <w:r w:rsidRPr="002F50BD">
        <w:rPr>
          <w:rFonts w:ascii="Verdana" w:hAnsi="Verdana"/>
          <w:sz w:val="20"/>
          <w:lang w:val="pt-BR"/>
        </w:rPr>
        <w:t xml:space="preserve"> </w:t>
      </w:r>
      <w:r w:rsidR="004B4702" w:rsidRPr="002F50BD">
        <w:rPr>
          <w:rFonts w:ascii="Verdana" w:hAnsi="Verdana"/>
          <w:sz w:val="20"/>
          <w:lang w:val="pt-BR"/>
        </w:rPr>
        <w:t xml:space="preserve">de maneira </w:t>
      </w:r>
      <w:r w:rsidRPr="002F50BD">
        <w:rPr>
          <w:rFonts w:ascii="Verdana" w:hAnsi="Verdana"/>
          <w:sz w:val="20"/>
          <w:lang w:val="pt-BR"/>
        </w:rPr>
        <w:t xml:space="preserve">que é mais </w:t>
      </w:r>
      <w:r w:rsidR="004756C1" w:rsidRPr="002F50BD">
        <w:rPr>
          <w:rFonts w:ascii="Verdana" w:hAnsi="Verdana"/>
          <w:sz w:val="20"/>
          <w:lang w:val="pt-BR"/>
        </w:rPr>
        <w:t>fácil para</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AB454A" w:rsidRPr="002F50BD">
        <w:rPr>
          <w:rFonts w:ascii="Verdana" w:hAnsi="Verdana"/>
          <w:sz w:val="20"/>
          <w:lang w:val="pt-BR"/>
        </w:rPr>
        <w:t>trasladar-se</w:t>
      </w:r>
      <w:r w:rsidR="004756C1" w:rsidRPr="002F50BD">
        <w:rPr>
          <w:rFonts w:ascii="Verdana" w:hAnsi="Verdana"/>
          <w:sz w:val="20"/>
          <w:lang w:val="pt-BR"/>
        </w:rPr>
        <w:t xml:space="preserve"> </w:t>
      </w:r>
      <w:r w:rsidRPr="002F50BD">
        <w:rPr>
          <w:rFonts w:ascii="Verdana" w:hAnsi="Verdana"/>
          <w:sz w:val="20"/>
          <w:lang w:val="pt-BR"/>
        </w:rPr>
        <w:t xml:space="preserve">até a </w:t>
      </w:r>
      <w:r w:rsidR="004756C1" w:rsidRPr="002F50BD">
        <w:rPr>
          <w:rFonts w:ascii="Verdana" w:hAnsi="Verdana"/>
          <w:sz w:val="20"/>
          <w:lang w:val="pt-BR"/>
        </w:rPr>
        <w:t>capital,</w:t>
      </w:r>
      <w:r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poderia</w:t>
      </w:r>
      <w:r w:rsidR="004B4702"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obter</w:t>
      </w:r>
      <w:r w:rsidR="004756C1" w:rsidRPr="002F50BD">
        <w:rPr>
          <w:rFonts w:ascii="Verdana" w:hAnsi="Verdana"/>
          <w:sz w:val="20"/>
          <w:lang w:val="pt-BR"/>
        </w:rPr>
        <w:t xml:space="preserve"> </w:t>
      </w:r>
      <w:r w:rsidRPr="002F50BD">
        <w:rPr>
          <w:rFonts w:ascii="Verdana" w:hAnsi="Verdana"/>
          <w:sz w:val="20"/>
          <w:lang w:val="pt-BR"/>
        </w:rPr>
        <w:t>ajuda</w:t>
      </w:r>
      <w:r w:rsidR="004756C1" w:rsidRPr="002F50BD">
        <w:rPr>
          <w:rFonts w:ascii="Verdana" w:hAnsi="Verdana"/>
          <w:sz w:val="20"/>
          <w:lang w:val="pt-BR"/>
        </w:rPr>
        <w:t xml:space="preserve"> </w:t>
      </w:r>
      <w:r w:rsidRPr="002F50BD">
        <w:rPr>
          <w:rFonts w:ascii="Verdana" w:hAnsi="Verdana"/>
          <w:sz w:val="20"/>
          <w:lang w:val="pt-BR"/>
        </w:rPr>
        <w:t>econômic</w:t>
      </w:r>
      <w:r w:rsidR="004756C1" w:rsidRPr="002F50BD">
        <w:rPr>
          <w:rFonts w:ascii="Verdana" w:hAnsi="Verdana"/>
          <w:sz w:val="20"/>
          <w:lang w:val="pt-BR"/>
        </w:rPr>
        <w:t xml:space="preserve">a. </w:t>
      </w:r>
      <w:r w:rsidRPr="002F50BD">
        <w:rPr>
          <w:rFonts w:ascii="Verdana" w:hAnsi="Verdana"/>
          <w:sz w:val="20"/>
          <w:lang w:val="pt-BR"/>
        </w:rPr>
        <w:t>Devem</w:t>
      </w:r>
      <w:r w:rsidR="004756C1" w:rsidRPr="002F50BD">
        <w:rPr>
          <w:rFonts w:ascii="Verdana" w:hAnsi="Verdana"/>
          <w:sz w:val="20"/>
          <w:lang w:val="pt-BR"/>
        </w:rPr>
        <w:t xml:space="preserve"> conseguir </w:t>
      </w:r>
      <w:r w:rsidR="004B4702" w:rsidRPr="002F50BD">
        <w:rPr>
          <w:rFonts w:ascii="Verdana" w:hAnsi="Verdana"/>
          <w:sz w:val="20"/>
          <w:lang w:val="pt-BR"/>
        </w:rPr>
        <w:t xml:space="preserve">também </w:t>
      </w:r>
      <w:r w:rsidR="00A93AB9" w:rsidRPr="002F50BD">
        <w:rPr>
          <w:rFonts w:ascii="Verdana" w:hAnsi="Verdana"/>
          <w:sz w:val="20"/>
          <w:lang w:val="pt-BR"/>
        </w:rPr>
        <w:t xml:space="preserve">a isenção </w:t>
      </w:r>
      <w:r w:rsidRPr="002F50BD">
        <w:rPr>
          <w:rFonts w:ascii="Verdana" w:hAnsi="Verdana"/>
          <w:sz w:val="20"/>
          <w:lang w:val="pt-BR"/>
        </w:rPr>
        <w:t xml:space="preserve">do pagamento da </w:t>
      </w:r>
      <w:r w:rsidR="004756C1" w:rsidRPr="002F50BD">
        <w:rPr>
          <w:rFonts w:ascii="Verdana" w:hAnsi="Verdana"/>
          <w:sz w:val="20"/>
          <w:lang w:val="pt-BR"/>
        </w:rPr>
        <w:t>consulta</w:t>
      </w:r>
      <w:r w:rsidRPr="002F50BD">
        <w:rPr>
          <w:rFonts w:ascii="Verdana" w:hAnsi="Verdana"/>
          <w:sz w:val="20"/>
          <w:lang w:val="pt-BR"/>
        </w:rPr>
        <w:t xml:space="preserve"> e </w:t>
      </w:r>
      <w:r w:rsidR="00A93AB9" w:rsidRPr="002F50BD">
        <w:rPr>
          <w:rFonts w:ascii="Verdana" w:hAnsi="Verdana"/>
          <w:sz w:val="20"/>
          <w:lang w:val="pt-BR"/>
        </w:rPr>
        <w:t>d</w:t>
      </w:r>
      <w:r w:rsidRPr="002F50BD">
        <w:rPr>
          <w:rFonts w:ascii="Verdana" w:hAnsi="Verdana"/>
          <w:sz w:val="20"/>
          <w:lang w:val="pt-BR"/>
        </w:rPr>
        <w:t xml:space="preserve">os </w:t>
      </w:r>
      <w:r w:rsidR="004F64EE" w:rsidRPr="002F50BD">
        <w:rPr>
          <w:rFonts w:ascii="Verdana" w:hAnsi="Verdana"/>
          <w:sz w:val="20"/>
          <w:lang w:val="pt-BR"/>
        </w:rPr>
        <w:t>exames</w:t>
      </w:r>
      <w:r w:rsidR="004756C1" w:rsidRPr="002F50BD">
        <w:rPr>
          <w:rFonts w:ascii="Verdana" w:hAnsi="Verdana"/>
          <w:sz w:val="20"/>
          <w:lang w:val="pt-BR"/>
        </w:rPr>
        <w:t xml:space="preserve"> a </w:t>
      </w:r>
      <w:r w:rsidR="00A93AB9" w:rsidRPr="002F50BD">
        <w:rPr>
          <w:rFonts w:ascii="Verdana" w:hAnsi="Verdana"/>
          <w:sz w:val="20"/>
          <w:lang w:val="pt-BR"/>
        </w:rPr>
        <w:t xml:space="preserve">serem realizados e a doação dos </w:t>
      </w:r>
      <w:r w:rsidR="004756C1" w:rsidRPr="002F50BD">
        <w:rPr>
          <w:rFonts w:ascii="Verdana" w:hAnsi="Verdana"/>
          <w:sz w:val="20"/>
          <w:lang w:val="pt-BR"/>
        </w:rPr>
        <w:t>medicamentos</w:t>
      </w:r>
      <w:r w:rsidR="00DB51F0" w:rsidRPr="002F50BD">
        <w:rPr>
          <w:rFonts w:ascii="Verdana" w:hAnsi="Verdana"/>
          <w:sz w:val="20"/>
          <w:lang w:val="pt-BR"/>
        </w:rPr>
        <w:t xml:space="preserve">. Os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 xml:space="preserve">não possuem </w:t>
      </w:r>
      <w:r w:rsidR="00AB454A" w:rsidRPr="002F50BD">
        <w:rPr>
          <w:rFonts w:ascii="Verdana" w:hAnsi="Verdana"/>
          <w:sz w:val="20"/>
          <w:lang w:val="pt-BR"/>
        </w:rPr>
        <w:t>dinheiro</w:t>
      </w:r>
      <w:r w:rsidR="004756C1" w:rsidRPr="002F50BD">
        <w:rPr>
          <w:rFonts w:ascii="Verdana" w:hAnsi="Verdana"/>
          <w:sz w:val="20"/>
          <w:lang w:val="pt-BR"/>
        </w:rPr>
        <w:t xml:space="preserve"> para </w:t>
      </w:r>
      <w:r w:rsidR="00A93AB9" w:rsidRPr="002F50BD">
        <w:rPr>
          <w:rFonts w:ascii="Verdana" w:hAnsi="Verdana"/>
          <w:sz w:val="20"/>
          <w:lang w:val="pt-BR"/>
        </w:rPr>
        <w:t>deslocar-se</w:t>
      </w:r>
      <w:r w:rsidR="004756C1" w:rsidRPr="002F50BD">
        <w:rPr>
          <w:rFonts w:ascii="Verdana" w:hAnsi="Verdana"/>
          <w:sz w:val="20"/>
          <w:lang w:val="pt-BR"/>
        </w:rPr>
        <w:t>,</w:t>
      </w:r>
      <w:r w:rsidRPr="002F50BD">
        <w:rPr>
          <w:rFonts w:ascii="Verdana" w:hAnsi="Verdana"/>
          <w:sz w:val="20"/>
          <w:lang w:val="pt-BR"/>
        </w:rPr>
        <w:t xml:space="preserve"> o que </w:t>
      </w:r>
      <w:r w:rsidR="00A93AB9" w:rsidRPr="002F50BD">
        <w:rPr>
          <w:rFonts w:ascii="Verdana" w:hAnsi="Verdana"/>
          <w:sz w:val="20"/>
          <w:lang w:val="pt-BR"/>
        </w:rPr>
        <w:t xml:space="preserve">torna </w:t>
      </w:r>
      <w:r w:rsidRPr="002F50BD">
        <w:rPr>
          <w:rFonts w:ascii="Verdana" w:hAnsi="Verdana"/>
          <w:sz w:val="20"/>
          <w:lang w:val="pt-BR"/>
        </w:rPr>
        <w:t>impossível</w:t>
      </w:r>
      <w:r w:rsidR="004756C1" w:rsidRPr="002F50BD">
        <w:rPr>
          <w:rFonts w:ascii="Verdana" w:hAnsi="Verdana"/>
          <w:sz w:val="20"/>
          <w:lang w:val="pt-BR"/>
        </w:rPr>
        <w:t xml:space="preserve"> </w:t>
      </w:r>
      <w:r w:rsidRPr="002F50BD">
        <w:rPr>
          <w:rFonts w:ascii="Verdana" w:hAnsi="Verdana"/>
          <w:sz w:val="20"/>
          <w:lang w:val="pt-BR"/>
        </w:rPr>
        <w:t>receber essa atenção</w:t>
      </w:r>
      <w:r w:rsidR="004756C1" w:rsidRPr="002F50BD">
        <w:rPr>
          <w:rFonts w:ascii="Verdana" w:hAnsi="Verdana"/>
          <w:sz w:val="20"/>
          <w:lang w:val="pt-BR"/>
        </w:rPr>
        <w:t xml:space="preserve"> médica.</w:t>
      </w:r>
      <w:r w:rsidR="00FE08B7">
        <w:rPr>
          <w:rFonts w:ascii="Verdana" w:hAnsi="Verdana"/>
          <w:sz w:val="20"/>
          <w:lang w:val="pt-BR"/>
        </w:rPr>
        <w:t xml:space="preserve"> </w:t>
      </w:r>
      <w:r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 n</w:t>
      </w:r>
      <w:r w:rsidR="00A93AB9" w:rsidRPr="002F50BD">
        <w:rPr>
          <w:rFonts w:ascii="Verdana" w:hAnsi="Verdana"/>
          <w:sz w:val="20"/>
          <w:lang w:val="pt-BR"/>
        </w:rPr>
        <w:t>ã</w:t>
      </w:r>
      <w:r w:rsidR="004756C1" w:rsidRPr="002F50BD">
        <w:rPr>
          <w:rFonts w:ascii="Verdana" w:hAnsi="Verdana"/>
          <w:sz w:val="20"/>
          <w:lang w:val="pt-BR"/>
        </w:rPr>
        <w:t xml:space="preserve">o </w:t>
      </w:r>
      <w:r w:rsidR="005C4682" w:rsidRPr="002F50BD">
        <w:rPr>
          <w:rFonts w:ascii="Verdana" w:hAnsi="Verdana"/>
          <w:sz w:val="20"/>
          <w:lang w:val="pt-BR"/>
        </w:rPr>
        <w:t xml:space="preserve">oferece </w:t>
      </w:r>
      <w:r w:rsidR="00A93AB9" w:rsidRPr="002F50BD">
        <w:rPr>
          <w:rFonts w:ascii="Verdana" w:hAnsi="Verdana"/>
          <w:sz w:val="20"/>
          <w:lang w:val="pt-BR"/>
        </w:rPr>
        <w:t xml:space="preserve">nenhum </w:t>
      </w:r>
      <w:r w:rsidR="004756C1" w:rsidRPr="002F50BD">
        <w:rPr>
          <w:rFonts w:ascii="Verdana" w:hAnsi="Verdana"/>
          <w:sz w:val="20"/>
          <w:lang w:val="pt-BR"/>
        </w:rPr>
        <w:t>tipo de transporte especial para</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que</w:t>
      </w:r>
      <w:r w:rsidRPr="002F50BD">
        <w:rPr>
          <w:rFonts w:ascii="Verdana" w:hAnsi="Verdana"/>
          <w:sz w:val="20"/>
          <w:lang w:val="pt-BR"/>
        </w:rPr>
        <w:t xml:space="preserve"> lhes </w:t>
      </w:r>
      <w:r w:rsidR="004756C1" w:rsidRPr="002F50BD">
        <w:rPr>
          <w:rFonts w:ascii="Verdana" w:hAnsi="Verdana"/>
          <w:sz w:val="20"/>
          <w:lang w:val="pt-BR"/>
        </w:rPr>
        <w:t xml:space="preserve">permita </w:t>
      </w:r>
      <w:r w:rsidR="00A93AB9" w:rsidRPr="002F50BD">
        <w:rPr>
          <w:rFonts w:ascii="Verdana" w:hAnsi="Verdana"/>
          <w:sz w:val="20"/>
          <w:lang w:val="pt-BR"/>
        </w:rPr>
        <w:t>ter aces</w:t>
      </w:r>
      <w:r w:rsidR="004F64EE" w:rsidRPr="002F50BD">
        <w:rPr>
          <w:rFonts w:ascii="Verdana" w:hAnsi="Verdana"/>
          <w:sz w:val="20"/>
          <w:lang w:val="pt-BR"/>
        </w:rPr>
        <w:t>s</w:t>
      </w:r>
      <w:r w:rsidR="00A93AB9" w:rsidRPr="002F50BD">
        <w:rPr>
          <w:rFonts w:ascii="Verdana" w:hAnsi="Verdana"/>
          <w:sz w:val="20"/>
          <w:lang w:val="pt-BR"/>
        </w:rPr>
        <w:t xml:space="preserve">o </w:t>
      </w:r>
      <w:r w:rsidR="004756C1" w:rsidRPr="002F50BD">
        <w:rPr>
          <w:rFonts w:ascii="Verdana" w:hAnsi="Verdana"/>
          <w:sz w:val="20"/>
          <w:lang w:val="pt-BR"/>
        </w:rPr>
        <w:t>a</w:t>
      </w:r>
      <w:r w:rsidRPr="002F50BD">
        <w:rPr>
          <w:rFonts w:ascii="Verdana" w:hAnsi="Verdana"/>
          <w:sz w:val="20"/>
          <w:lang w:val="pt-BR"/>
        </w:rPr>
        <w:t xml:space="preserve"> estes serviço</w:t>
      </w:r>
      <w:r w:rsidR="004756C1" w:rsidRPr="002F50BD">
        <w:rPr>
          <w:rFonts w:ascii="Verdana" w:hAnsi="Verdana"/>
          <w:sz w:val="20"/>
          <w:lang w:val="pt-BR"/>
        </w:rPr>
        <w:t>s</w:t>
      </w:r>
      <w:r w:rsidR="00D95E71" w:rsidRPr="002F50BD">
        <w:rPr>
          <w:rFonts w:ascii="Verdana" w:hAnsi="Verdana"/>
          <w:sz w:val="20"/>
          <w:lang w:val="pt-BR"/>
        </w:rPr>
        <w:t xml:space="preserve">. O </w:t>
      </w:r>
      <w:r w:rsidR="004756C1" w:rsidRPr="002F50BD">
        <w:rPr>
          <w:rFonts w:ascii="Verdana" w:hAnsi="Verdana"/>
          <w:sz w:val="20"/>
          <w:lang w:val="pt-BR"/>
        </w:rPr>
        <w:t xml:space="preserve">transporte que </w:t>
      </w:r>
      <w:r w:rsidR="00AB454A" w:rsidRPr="002F50BD">
        <w:rPr>
          <w:rFonts w:ascii="Verdana" w:hAnsi="Verdana"/>
          <w:sz w:val="20"/>
          <w:lang w:val="pt-BR"/>
        </w:rPr>
        <w:t>utilizam</w:t>
      </w:r>
      <w:r w:rsidRPr="002F50BD">
        <w:rPr>
          <w:rFonts w:ascii="Verdana" w:hAnsi="Verdana"/>
          <w:sz w:val="20"/>
          <w:lang w:val="pt-BR"/>
        </w:rPr>
        <w:t xml:space="preserve"> é o </w:t>
      </w:r>
      <w:r w:rsidR="004756C1" w:rsidRPr="002F50BD">
        <w:rPr>
          <w:rFonts w:ascii="Verdana" w:hAnsi="Verdana"/>
          <w:sz w:val="20"/>
          <w:lang w:val="pt-BR"/>
        </w:rPr>
        <w:t>transporte público,</w:t>
      </w:r>
      <w:r w:rsidRPr="002F50BD">
        <w:rPr>
          <w:rFonts w:ascii="Verdana" w:hAnsi="Verdana"/>
          <w:sz w:val="20"/>
          <w:lang w:val="pt-BR"/>
        </w:rPr>
        <w:t xml:space="preserve"> o qual </w:t>
      </w:r>
      <w:r w:rsidR="00A93AB9" w:rsidRPr="002F50BD">
        <w:rPr>
          <w:rFonts w:ascii="Verdana" w:hAnsi="Verdana"/>
          <w:sz w:val="20"/>
          <w:lang w:val="pt-BR"/>
        </w:rPr>
        <w:t>a</w:t>
      </w:r>
      <w:r w:rsidR="004756C1" w:rsidRPr="002F50BD">
        <w:rPr>
          <w:rFonts w:ascii="Verdana" w:hAnsi="Verdana"/>
          <w:sz w:val="20"/>
          <w:lang w:val="pt-BR"/>
        </w:rPr>
        <w:t>presenta defici</w:t>
      </w:r>
      <w:r w:rsidR="00A93AB9" w:rsidRPr="002F50BD">
        <w:rPr>
          <w:rFonts w:ascii="Verdana" w:hAnsi="Verdana"/>
          <w:sz w:val="20"/>
          <w:lang w:val="pt-BR"/>
        </w:rPr>
        <w:t>ê</w:t>
      </w:r>
      <w:r w:rsidR="004756C1" w:rsidRPr="002F50BD">
        <w:rPr>
          <w:rFonts w:ascii="Verdana" w:hAnsi="Verdana"/>
          <w:sz w:val="20"/>
          <w:lang w:val="pt-BR"/>
        </w:rPr>
        <w:t>ncias.</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Atual</w:t>
      </w:r>
      <w:r w:rsidR="004756C1" w:rsidRPr="002F50BD">
        <w:rPr>
          <w:rFonts w:ascii="Verdana" w:hAnsi="Verdana"/>
          <w:sz w:val="20"/>
          <w:lang w:val="pt-BR"/>
        </w:rPr>
        <w:t>mente,</w:t>
      </w:r>
      <w:r w:rsidRPr="002F50BD">
        <w:rPr>
          <w:rFonts w:ascii="Verdana" w:hAnsi="Verdana"/>
          <w:sz w:val="20"/>
          <w:lang w:val="pt-BR"/>
        </w:rPr>
        <w:t xml:space="preserve"> 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alimenta</w:t>
      </w:r>
      <w:r w:rsidRPr="002F50BD">
        <w:rPr>
          <w:rFonts w:ascii="Verdana" w:hAnsi="Verdana"/>
          <w:sz w:val="20"/>
          <w:lang w:val="pt-BR"/>
        </w:rPr>
        <w:t>ção das crianças da Comunidade são muito</w:t>
      </w:r>
      <w:r w:rsidR="004756C1" w:rsidRPr="002F50BD">
        <w:rPr>
          <w:rFonts w:ascii="Verdana" w:hAnsi="Verdana"/>
          <w:sz w:val="20"/>
          <w:lang w:val="pt-BR"/>
        </w:rPr>
        <w:t xml:space="preserve"> </w:t>
      </w:r>
      <w:r w:rsidR="00A93AB9" w:rsidRPr="002F50BD">
        <w:rPr>
          <w:rFonts w:ascii="Verdana" w:hAnsi="Verdana"/>
          <w:sz w:val="20"/>
          <w:lang w:val="pt-BR"/>
        </w:rPr>
        <w:t>precária</w:t>
      </w:r>
      <w:r w:rsidR="004756C1" w:rsidRPr="002F50BD">
        <w:rPr>
          <w:rFonts w:ascii="Verdana" w:hAnsi="Verdana"/>
          <w:sz w:val="20"/>
          <w:lang w:val="pt-BR"/>
        </w:rPr>
        <w:t>s</w:t>
      </w:r>
      <w:r w:rsidR="00AB454A" w:rsidRPr="002F50BD">
        <w:rPr>
          <w:rFonts w:ascii="Verdana" w:hAnsi="Verdana"/>
          <w:sz w:val="20"/>
          <w:lang w:val="pt-BR"/>
        </w:rPr>
        <w:t xml:space="preserve">. A </w:t>
      </w:r>
      <w:r w:rsidR="004756C1" w:rsidRPr="002F50BD">
        <w:rPr>
          <w:rFonts w:ascii="Verdana" w:hAnsi="Verdana"/>
          <w:sz w:val="20"/>
          <w:lang w:val="pt-BR"/>
        </w:rPr>
        <w:t>desnutri</w:t>
      </w:r>
      <w:r w:rsidRPr="002F50BD">
        <w:rPr>
          <w:rFonts w:ascii="Verdana" w:hAnsi="Verdana"/>
          <w:sz w:val="20"/>
          <w:lang w:val="pt-BR"/>
        </w:rPr>
        <w:t xml:space="preserve">ção das crianças é </w:t>
      </w:r>
      <w:r w:rsidR="004756C1" w:rsidRPr="002F50BD">
        <w:rPr>
          <w:rFonts w:ascii="Verdana" w:hAnsi="Verdana"/>
          <w:sz w:val="20"/>
          <w:lang w:val="pt-BR"/>
        </w:rPr>
        <w:t xml:space="preserve">evidente. </w:t>
      </w:r>
      <w:r w:rsidR="00A93AB9" w:rsidRPr="002F50BD">
        <w:rPr>
          <w:rFonts w:ascii="Verdana" w:hAnsi="Verdana"/>
          <w:sz w:val="20"/>
          <w:lang w:val="pt-BR"/>
        </w:rPr>
        <w:t>A</w:t>
      </w:r>
      <w:r w:rsidR="005A6BC7" w:rsidRPr="002F50BD">
        <w:rPr>
          <w:rFonts w:ascii="Verdana" w:hAnsi="Verdana"/>
          <w:sz w:val="20"/>
          <w:lang w:val="pt-BR"/>
        </w:rPr>
        <w:t>s crianças</w:t>
      </w:r>
      <w:r w:rsidR="004756C1" w:rsidRPr="002F50BD">
        <w:rPr>
          <w:rFonts w:ascii="Verdana" w:hAnsi="Verdana"/>
          <w:sz w:val="20"/>
          <w:lang w:val="pt-BR"/>
        </w:rPr>
        <w:t xml:space="preserve"> </w:t>
      </w:r>
      <w:r w:rsidR="00AB454A" w:rsidRPr="002F50BD">
        <w:rPr>
          <w:rFonts w:ascii="Verdana" w:hAnsi="Verdana"/>
          <w:sz w:val="20"/>
          <w:lang w:val="pt-BR"/>
        </w:rPr>
        <w:t>têm o</w:t>
      </w:r>
      <w:r w:rsidRPr="002F50BD">
        <w:rPr>
          <w:rFonts w:ascii="Verdana" w:hAnsi="Verdana"/>
          <w:sz w:val="20"/>
          <w:lang w:val="pt-BR"/>
        </w:rPr>
        <w:t xml:space="preserve"> </w:t>
      </w:r>
      <w:r w:rsidR="004756C1" w:rsidRPr="002F50BD">
        <w:rPr>
          <w:rFonts w:ascii="Verdana" w:hAnsi="Verdana"/>
          <w:sz w:val="20"/>
          <w:lang w:val="pt-BR"/>
        </w:rPr>
        <w:t>cabelo descolorido</w:t>
      </w:r>
      <w:r w:rsidRPr="002F50BD">
        <w:rPr>
          <w:rFonts w:ascii="Verdana" w:hAnsi="Verdana"/>
          <w:sz w:val="20"/>
          <w:lang w:val="pt-BR"/>
        </w:rPr>
        <w:t xml:space="preserve"> e a </w:t>
      </w:r>
      <w:r w:rsidR="00A93AB9" w:rsidRPr="002F50BD">
        <w:rPr>
          <w:rFonts w:ascii="Verdana" w:hAnsi="Verdana"/>
          <w:sz w:val="20"/>
          <w:lang w:val="pt-BR"/>
        </w:rPr>
        <w:t xml:space="preserve">barriga </w:t>
      </w:r>
      <w:r w:rsidR="004756C1" w:rsidRPr="002F50BD">
        <w:rPr>
          <w:rFonts w:ascii="Verdana" w:hAnsi="Verdana"/>
          <w:sz w:val="20"/>
          <w:lang w:val="pt-BR"/>
        </w:rPr>
        <w:t>grande, n</w:t>
      </w:r>
      <w:r w:rsidR="00A93AB9" w:rsidRPr="002F50BD">
        <w:rPr>
          <w:rFonts w:ascii="Verdana" w:hAnsi="Verdana"/>
          <w:sz w:val="20"/>
          <w:lang w:val="pt-BR"/>
        </w:rPr>
        <w:t>ã</w:t>
      </w:r>
      <w:r w:rsidR="004756C1" w:rsidRPr="002F50BD">
        <w:rPr>
          <w:rFonts w:ascii="Verdana" w:hAnsi="Verdana"/>
          <w:sz w:val="20"/>
          <w:lang w:val="pt-BR"/>
        </w:rPr>
        <w:t>o t</w:t>
      </w:r>
      <w:r w:rsidR="00A93AB9" w:rsidRPr="002F50BD">
        <w:rPr>
          <w:rFonts w:ascii="Verdana" w:hAnsi="Verdana"/>
          <w:sz w:val="20"/>
          <w:lang w:val="pt-BR"/>
        </w:rPr>
        <w:t xml:space="preserve">êm a </w:t>
      </w:r>
      <w:r w:rsidR="004756C1" w:rsidRPr="002F50BD">
        <w:rPr>
          <w:rFonts w:ascii="Verdana" w:hAnsi="Verdana"/>
          <w:sz w:val="20"/>
          <w:lang w:val="pt-BR"/>
        </w:rPr>
        <w:t xml:space="preserve">estatura </w:t>
      </w:r>
      <w:r w:rsidR="00A93AB9" w:rsidRPr="002F50BD">
        <w:rPr>
          <w:rFonts w:ascii="Verdana" w:hAnsi="Verdana"/>
          <w:sz w:val="20"/>
          <w:lang w:val="pt-BR"/>
        </w:rPr>
        <w:t xml:space="preserve">apropriada para sua </w:t>
      </w:r>
      <w:r w:rsidRPr="002F50BD">
        <w:rPr>
          <w:rFonts w:ascii="Verdana" w:hAnsi="Verdana"/>
          <w:sz w:val="20"/>
          <w:lang w:val="pt-BR"/>
        </w:rPr>
        <w:t>idade</w:t>
      </w:r>
      <w:r w:rsidR="004756C1" w:rsidRPr="002F50BD">
        <w:rPr>
          <w:rFonts w:ascii="Verdana" w:hAnsi="Verdana"/>
          <w:sz w:val="20"/>
          <w:lang w:val="pt-BR"/>
        </w:rPr>
        <w:t>.</w:t>
      </w:r>
      <w:r w:rsidR="00FE08B7">
        <w:rPr>
          <w:rFonts w:ascii="Verdana" w:hAnsi="Verdana"/>
          <w:sz w:val="20"/>
          <w:lang w:val="pt-BR"/>
        </w:rPr>
        <w:t xml:space="preserve"> </w:t>
      </w:r>
      <w:r w:rsidR="003F3630">
        <w:rPr>
          <w:rFonts w:ascii="Verdana" w:hAnsi="Verdana"/>
          <w:sz w:val="20"/>
          <w:lang w:val="pt-BR"/>
        </w:rPr>
        <w:t>Além disso</w:t>
      </w:r>
      <w:r w:rsidR="004756C1" w:rsidRPr="002F50BD">
        <w:rPr>
          <w:rFonts w:ascii="Verdana" w:hAnsi="Verdana"/>
          <w:sz w:val="20"/>
          <w:lang w:val="pt-BR"/>
        </w:rPr>
        <w:t xml:space="preserve">, </w:t>
      </w:r>
      <w:r w:rsidR="00A93AB9" w:rsidRPr="002F50BD">
        <w:rPr>
          <w:rFonts w:ascii="Verdana" w:hAnsi="Verdana"/>
          <w:sz w:val="20"/>
          <w:lang w:val="pt-BR"/>
        </w:rPr>
        <w:t>i</w:t>
      </w:r>
      <w:r w:rsidR="004756C1" w:rsidRPr="002F50BD">
        <w:rPr>
          <w:rFonts w:ascii="Verdana" w:hAnsi="Verdana"/>
          <w:sz w:val="20"/>
          <w:lang w:val="pt-BR"/>
        </w:rPr>
        <w:t xml:space="preserve">sto </w:t>
      </w:r>
      <w:r w:rsidRPr="002F50BD">
        <w:rPr>
          <w:rFonts w:ascii="Verdana" w:hAnsi="Verdana"/>
          <w:sz w:val="20"/>
          <w:lang w:val="pt-BR"/>
        </w:rPr>
        <w:t>tem consequência</w:t>
      </w:r>
      <w:r w:rsidR="004756C1" w:rsidRPr="002F50BD">
        <w:rPr>
          <w:rFonts w:ascii="Verdana" w:hAnsi="Verdana"/>
          <w:sz w:val="20"/>
          <w:lang w:val="pt-BR"/>
        </w:rPr>
        <w:t>s negativas, como</w:t>
      </w:r>
      <w:r w:rsidRPr="002F50BD">
        <w:rPr>
          <w:rFonts w:ascii="Verdana" w:hAnsi="Verdana"/>
          <w:sz w:val="20"/>
          <w:lang w:val="pt-BR"/>
        </w:rPr>
        <w:t xml:space="preserve"> a </w:t>
      </w:r>
      <w:r w:rsidR="004756C1" w:rsidRPr="002F50BD">
        <w:rPr>
          <w:rFonts w:ascii="Verdana" w:hAnsi="Verdana"/>
          <w:sz w:val="20"/>
          <w:lang w:val="pt-BR"/>
        </w:rPr>
        <w:t>manifesta</w:t>
      </w:r>
      <w:r w:rsidRPr="002F50BD">
        <w:rPr>
          <w:rFonts w:ascii="Verdana" w:hAnsi="Verdana"/>
          <w:sz w:val="20"/>
          <w:lang w:val="pt-BR"/>
        </w:rPr>
        <w:t>ção n</w:t>
      </w:r>
      <w:r w:rsidR="005A6BC7" w:rsidRPr="002F50BD">
        <w:rPr>
          <w:rFonts w:ascii="Verdana" w:hAnsi="Verdana"/>
          <w:sz w:val="20"/>
          <w:lang w:val="pt-BR"/>
        </w:rPr>
        <w:t>as crianças</w:t>
      </w:r>
      <w:r w:rsidR="004756C1" w:rsidRPr="002F50BD">
        <w:rPr>
          <w:rFonts w:ascii="Verdana" w:hAnsi="Verdana"/>
          <w:sz w:val="20"/>
          <w:lang w:val="pt-BR"/>
        </w:rPr>
        <w:t xml:space="preserve"> de </w:t>
      </w:r>
      <w:r w:rsidRPr="002F50BD">
        <w:rPr>
          <w:rFonts w:ascii="Verdana" w:hAnsi="Verdana"/>
          <w:sz w:val="20"/>
          <w:lang w:val="pt-BR"/>
        </w:rPr>
        <w:t xml:space="preserve">dificuldades </w:t>
      </w:r>
      <w:r w:rsidR="00A93AB9" w:rsidRPr="002F50BD">
        <w:rPr>
          <w:rFonts w:ascii="Verdana" w:hAnsi="Verdana"/>
          <w:sz w:val="20"/>
          <w:lang w:val="pt-BR"/>
        </w:rPr>
        <w:t>de</w:t>
      </w:r>
      <w:r w:rsidRPr="002F50BD">
        <w:rPr>
          <w:rFonts w:ascii="Verdana" w:hAnsi="Verdana"/>
          <w:sz w:val="20"/>
          <w:lang w:val="pt-BR"/>
        </w:rPr>
        <w:t xml:space="preserve"> </w:t>
      </w:r>
      <w:r w:rsidR="004756C1" w:rsidRPr="002F50BD">
        <w:rPr>
          <w:rFonts w:ascii="Verdana" w:hAnsi="Verdana"/>
          <w:sz w:val="20"/>
          <w:lang w:val="pt-BR"/>
        </w:rPr>
        <w:t>aprendiza</w:t>
      </w:r>
      <w:r w:rsidR="00A93AB9" w:rsidRPr="002F50BD">
        <w:rPr>
          <w:rFonts w:ascii="Verdana" w:hAnsi="Verdana"/>
          <w:sz w:val="20"/>
          <w:lang w:val="pt-BR"/>
        </w:rPr>
        <w:t xml:space="preserve">gem e no </w:t>
      </w:r>
      <w:r w:rsidRPr="002F50BD">
        <w:rPr>
          <w:rFonts w:ascii="Verdana" w:hAnsi="Verdana"/>
          <w:sz w:val="20"/>
          <w:lang w:val="pt-BR"/>
        </w:rPr>
        <w:t>desenvolvimento</w:t>
      </w:r>
      <w:r w:rsidR="004756C1" w:rsidRPr="002F50BD">
        <w:rPr>
          <w:rFonts w:ascii="Verdana" w:hAnsi="Verdana"/>
          <w:sz w:val="20"/>
          <w:lang w:val="pt-BR"/>
        </w:rPr>
        <w:t xml:space="preserve"> </w:t>
      </w:r>
      <w:r w:rsidR="004076AD" w:rsidRPr="002F50BD">
        <w:rPr>
          <w:rFonts w:ascii="Verdana" w:hAnsi="Verdana"/>
          <w:sz w:val="20"/>
          <w:lang w:val="pt-BR"/>
        </w:rPr>
        <w:t>intelectual</w:t>
      </w:r>
      <w:r w:rsidR="001A0CDE" w:rsidRPr="002F50BD">
        <w:rPr>
          <w:rFonts w:ascii="Verdana" w:hAnsi="Verdana"/>
          <w:sz w:val="20"/>
          <w:lang w:val="pt-BR"/>
        </w:rPr>
        <w:t xml:space="preserve">. </w:t>
      </w:r>
      <w:r w:rsidR="00A93AB9" w:rsidRPr="002F50BD">
        <w:rPr>
          <w:rFonts w:ascii="Verdana" w:hAnsi="Verdana"/>
          <w:sz w:val="20"/>
          <w:lang w:val="pt-BR"/>
        </w:rPr>
        <w:t xml:space="preserve">Isso </w:t>
      </w:r>
      <w:r w:rsidR="00475EBB" w:rsidRPr="002F50BD">
        <w:rPr>
          <w:rFonts w:ascii="Verdana" w:hAnsi="Verdana"/>
          <w:sz w:val="20"/>
          <w:lang w:val="pt-BR"/>
        </w:rPr>
        <w:t xml:space="preserve">pode </w:t>
      </w:r>
      <w:r w:rsidR="00A93AB9" w:rsidRPr="002F50BD">
        <w:rPr>
          <w:rFonts w:ascii="Verdana" w:hAnsi="Verdana"/>
          <w:sz w:val="20"/>
          <w:lang w:val="pt-BR"/>
        </w:rPr>
        <w:t xml:space="preserve">ser </w:t>
      </w:r>
      <w:r w:rsidR="004756C1" w:rsidRPr="002F50BD">
        <w:rPr>
          <w:rFonts w:ascii="Verdana" w:hAnsi="Verdana"/>
          <w:sz w:val="20"/>
          <w:lang w:val="pt-BR"/>
        </w:rPr>
        <w:t>reverti</w:t>
      </w:r>
      <w:r w:rsidR="00A93AB9" w:rsidRPr="002F50BD">
        <w:rPr>
          <w:rFonts w:ascii="Verdana" w:hAnsi="Verdana"/>
          <w:sz w:val="20"/>
          <w:lang w:val="pt-BR"/>
        </w:rPr>
        <w:t>do</w:t>
      </w:r>
      <w:r w:rsidRPr="002F50BD">
        <w:rPr>
          <w:rFonts w:ascii="Verdana" w:hAnsi="Verdana"/>
          <w:sz w:val="20"/>
          <w:lang w:val="pt-BR"/>
        </w:rPr>
        <w:t xml:space="preserve"> na </w:t>
      </w:r>
      <w:r w:rsidR="004756C1" w:rsidRPr="002F50BD">
        <w:rPr>
          <w:rFonts w:ascii="Verdana" w:hAnsi="Verdana"/>
          <w:sz w:val="20"/>
          <w:lang w:val="pt-BR"/>
        </w:rPr>
        <w:t>medida</w:t>
      </w:r>
      <w:r w:rsidRPr="002F50BD">
        <w:rPr>
          <w:rFonts w:ascii="Verdana" w:hAnsi="Verdana"/>
          <w:sz w:val="20"/>
          <w:lang w:val="pt-BR"/>
        </w:rPr>
        <w:t xml:space="preserve"> em </w:t>
      </w:r>
      <w:r w:rsidR="004756C1" w:rsidRPr="002F50BD">
        <w:rPr>
          <w:rFonts w:ascii="Verdana" w:hAnsi="Verdana"/>
          <w:sz w:val="20"/>
          <w:lang w:val="pt-BR"/>
        </w:rPr>
        <w:t xml:space="preserve">que se inicie, o </w:t>
      </w:r>
      <w:r w:rsidRPr="002F50BD">
        <w:rPr>
          <w:rFonts w:ascii="Verdana" w:hAnsi="Verdana"/>
          <w:sz w:val="20"/>
          <w:lang w:val="pt-BR"/>
        </w:rPr>
        <w:t xml:space="preserve">mais </w:t>
      </w:r>
      <w:r w:rsidR="00A93AB9" w:rsidRPr="002F50BD">
        <w:rPr>
          <w:rFonts w:ascii="Verdana" w:hAnsi="Verdana"/>
          <w:sz w:val="20"/>
          <w:lang w:val="pt-BR"/>
        </w:rPr>
        <w:t xml:space="preserve">rápido </w:t>
      </w:r>
      <w:r w:rsidRPr="002F50BD">
        <w:rPr>
          <w:rFonts w:ascii="Verdana" w:hAnsi="Verdana"/>
          <w:sz w:val="20"/>
          <w:lang w:val="pt-BR"/>
        </w:rPr>
        <w:t>possível, um</w:t>
      </w:r>
      <w:r w:rsidR="00A93AB9" w:rsidRPr="002F50BD">
        <w:rPr>
          <w:rFonts w:ascii="Verdana" w:hAnsi="Verdana"/>
          <w:sz w:val="20"/>
          <w:lang w:val="pt-BR"/>
        </w:rPr>
        <w:t xml:space="preserve"> tratamento</w:t>
      </w:r>
      <w:r w:rsidR="004756C1" w:rsidRPr="002F50BD">
        <w:rPr>
          <w:rFonts w:ascii="Verdana" w:hAnsi="Verdana"/>
          <w:sz w:val="20"/>
          <w:lang w:val="pt-BR"/>
        </w:rPr>
        <w:t xml:space="preserve"> de </w:t>
      </w:r>
      <w:r w:rsidR="005C4682" w:rsidRPr="002F50BD">
        <w:rPr>
          <w:rFonts w:ascii="Verdana" w:hAnsi="Verdana"/>
          <w:sz w:val="20"/>
          <w:lang w:val="pt-BR"/>
        </w:rPr>
        <w:t xml:space="preserve">vermifugação </w:t>
      </w:r>
      <w:r w:rsidRPr="002F50BD">
        <w:rPr>
          <w:rFonts w:ascii="Verdana" w:hAnsi="Verdana"/>
          <w:sz w:val="20"/>
          <w:lang w:val="pt-BR"/>
        </w:rPr>
        <w:t xml:space="preserve">e uma </w:t>
      </w:r>
      <w:r w:rsidR="004756C1" w:rsidRPr="002F50BD">
        <w:rPr>
          <w:rFonts w:ascii="Verdana" w:hAnsi="Verdana"/>
          <w:sz w:val="20"/>
          <w:lang w:val="pt-BR"/>
        </w:rPr>
        <w:t>alimenta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a</w:t>
      </w:r>
      <w:r w:rsidRPr="002F50BD">
        <w:rPr>
          <w:rFonts w:ascii="Verdana" w:hAnsi="Verdana"/>
          <w:sz w:val="20"/>
          <w:lang w:val="pt-BR"/>
        </w:rPr>
        <w:t xml:space="preserve"> e </w:t>
      </w:r>
      <w:r w:rsidR="004756C1" w:rsidRPr="002F50BD">
        <w:rPr>
          <w:rFonts w:ascii="Verdana" w:hAnsi="Verdana"/>
          <w:sz w:val="20"/>
          <w:lang w:val="pt-BR"/>
        </w:rPr>
        <w:t>permanente.</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Para</w:t>
      </w:r>
      <w:r w:rsidR="0089298C" w:rsidRPr="002F50BD">
        <w:rPr>
          <w:rFonts w:ascii="Verdana" w:hAnsi="Verdana"/>
          <w:sz w:val="20"/>
          <w:lang w:val="pt-BR"/>
        </w:rPr>
        <w:t xml:space="preserve"> as </w:t>
      </w:r>
      <w:r w:rsidRPr="002F50BD">
        <w:rPr>
          <w:rFonts w:ascii="Verdana" w:hAnsi="Verdana"/>
          <w:sz w:val="20"/>
          <w:lang w:val="pt-BR"/>
        </w:rPr>
        <w:t>comunidades indígenas</w:t>
      </w:r>
      <w:r w:rsidR="005C4682" w:rsidRPr="002F50BD">
        <w:rPr>
          <w:rFonts w:ascii="Verdana" w:hAnsi="Verdana"/>
          <w:sz w:val="20"/>
          <w:lang w:val="pt-BR"/>
        </w:rPr>
        <w:t>,</w:t>
      </w:r>
      <w:r w:rsidR="0089298C" w:rsidRPr="002F50BD">
        <w:rPr>
          <w:rFonts w:ascii="Verdana" w:hAnsi="Verdana"/>
          <w:sz w:val="20"/>
          <w:lang w:val="pt-BR"/>
        </w:rPr>
        <w:t xml:space="preserve"> a terra é </w:t>
      </w:r>
      <w:r w:rsidRPr="002F50BD">
        <w:rPr>
          <w:rFonts w:ascii="Verdana" w:hAnsi="Verdana"/>
          <w:sz w:val="20"/>
          <w:lang w:val="pt-BR"/>
        </w:rPr>
        <w:t>fundamental</w:t>
      </w:r>
      <w:r w:rsidR="00CD7100" w:rsidRPr="002F50BD">
        <w:rPr>
          <w:rFonts w:ascii="Verdana" w:hAnsi="Verdana"/>
          <w:sz w:val="20"/>
          <w:lang w:val="pt-BR"/>
        </w:rPr>
        <w:t xml:space="preserve">. </w:t>
      </w:r>
      <w:r w:rsidR="00A93AB9" w:rsidRPr="002F50BD">
        <w:rPr>
          <w:rFonts w:ascii="Verdana" w:hAnsi="Verdana"/>
          <w:sz w:val="20"/>
          <w:lang w:val="pt-BR"/>
        </w:rPr>
        <w:t>N</w:t>
      </w:r>
      <w:r w:rsidR="0089298C" w:rsidRPr="002F50BD">
        <w:rPr>
          <w:rFonts w:ascii="Verdana" w:hAnsi="Verdana"/>
          <w:sz w:val="20"/>
          <w:lang w:val="pt-BR"/>
        </w:rPr>
        <w:t>ela</w:t>
      </w:r>
      <w:r w:rsidRPr="002F50BD">
        <w:rPr>
          <w:rFonts w:ascii="Verdana" w:hAnsi="Verdana"/>
          <w:sz w:val="20"/>
          <w:lang w:val="pt-BR"/>
        </w:rPr>
        <w:t>s,</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Yakye Axa </w:t>
      </w:r>
      <w:r w:rsidR="00475EBB" w:rsidRPr="002F50BD">
        <w:rPr>
          <w:rFonts w:ascii="Verdana" w:hAnsi="Verdana"/>
          <w:sz w:val="20"/>
          <w:lang w:val="pt-BR"/>
        </w:rPr>
        <w:t xml:space="preserve">podem </w:t>
      </w:r>
      <w:r w:rsidR="0089298C" w:rsidRPr="002F50BD">
        <w:rPr>
          <w:rFonts w:ascii="Verdana" w:hAnsi="Verdana"/>
          <w:sz w:val="20"/>
          <w:lang w:val="pt-BR"/>
        </w:rPr>
        <w:t>melhor</w:t>
      </w:r>
      <w:r w:rsidRPr="002F50BD">
        <w:rPr>
          <w:rFonts w:ascii="Verdana" w:hAnsi="Verdana"/>
          <w:sz w:val="20"/>
          <w:lang w:val="pt-BR"/>
        </w:rPr>
        <w:t>ar su</w:t>
      </w:r>
      <w:r w:rsidR="00A93AB9" w:rsidRPr="002F50BD">
        <w:rPr>
          <w:rFonts w:ascii="Verdana" w:hAnsi="Verdana"/>
          <w:sz w:val="20"/>
          <w:lang w:val="pt-BR"/>
        </w:rPr>
        <w:t>a</w:t>
      </w:r>
      <w:r w:rsidRPr="002F50BD">
        <w:rPr>
          <w:rFonts w:ascii="Verdana" w:hAnsi="Verdana"/>
          <w:sz w:val="20"/>
          <w:lang w:val="pt-BR"/>
        </w:rPr>
        <w:t xml:space="preserve">s </w:t>
      </w:r>
      <w:r w:rsidR="00A93AB9" w:rsidRPr="002F50BD">
        <w:rPr>
          <w:rFonts w:ascii="Verdana" w:hAnsi="Verdana"/>
          <w:sz w:val="20"/>
          <w:lang w:val="pt-BR"/>
        </w:rPr>
        <w:t>casas</w:t>
      </w:r>
      <w:r w:rsidRPr="002F50BD">
        <w:rPr>
          <w:rFonts w:ascii="Verdana" w:hAnsi="Verdana"/>
          <w:sz w:val="20"/>
          <w:lang w:val="pt-BR"/>
        </w:rPr>
        <w:t>,</w:t>
      </w:r>
      <w:r w:rsidR="0089298C" w:rsidRPr="002F50BD">
        <w:rPr>
          <w:rFonts w:ascii="Verdana" w:hAnsi="Verdana"/>
          <w:sz w:val="20"/>
          <w:lang w:val="pt-BR"/>
        </w:rPr>
        <w:t xml:space="preserve"> ter fonte</w:t>
      </w:r>
      <w:r w:rsidRPr="002F50BD">
        <w:rPr>
          <w:rFonts w:ascii="Verdana" w:hAnsi="Verdana"/>
          <w:sz w:val="20"/>
          <w:lang w:val="pt-BR"/>
        </w:rPr>
        <w:t>s de</w:t>
      </w:r>
      <w:r w:rsidR="00AB454A" w:rsidRPr="002F50BD">
        <w:rPr>
          <w:rFonts w:ascii="Verdana" w:hAnsi="Verdana"/>
          <w:sz w:val="20"/>
          <w:lang w:val="pt-BR"/>
        </w:rPr>
        <w:t xml:space="preserve"> água </w:t>
      </w:r>
      <w:r w:rsidRPr="002F50BD">
        <w:rPr>
          <w:rFonts w:ascii="Verdana" w:hAnsi="Verdana"/>
          <w:sz w:val="20"/>
          <w:lang w:val="pt-BR"/>
        </w:rPr>
        <w:t>limpa</w:t>
      </w:r>
      <w:r w:rsidR="0089298C" w:rsidRPr="002F50BD">
        <w:rPr>
          <w:rFonts w:ascii="Verdana" w:hAnsi="Verdana"/>
          <w:sz w:val="20"/>
          <w:lang w:val="pt-BR"/>
        </w:rPr>
        <w:t xml:space="preserve"> e </w:t>
      </w:r>
      <w:r w:rsidRPr="002F50BD">
        <w:rPr>
          <w:rFonts w:ascii="Verdana" w:hAnsi="Verdana"/>
          <w:sz w:val="20"/>
          <w:lang w:val="pt-BR"/>
        </w:rPr>
        <w:t xml:space="preserve">solicitar </w:t>
      </w:r>
      <w:r w:rsidR="0089298C" w:rsidRPr="002F50BD">
        <w:rPr>
          <w:rFonts w:ascii="Verdana" w:hAnsi="Verdana"/>
          <w:sz w:val="20"/>
          <w:lang w:val="pt-BR"/>
        </w:rPr>
        <w:t>ajuda</w:t>
      </w:r>
      <w:r w:rsidRPr="002F50BD">
        <w:rPr>
          <w:rFonts w:ascii="Verdana" w:hAnsi="Verdana"/>
          <w:sz w:val="20"/>
          <w:lang w:val="pt-BR"/>
        </w:rPr>
        <w:t xml:space="preserve"> para </w:t>
      </w:r>
      <w:r w:rsidR="00A93AB9" w:rsidRPr="002F50BD">
        <w:rPr>
          <w:rFonts w:ascii="Verdana" w:hAnsi="Verdana"/>
          <w:sz w:val="20"/>
          <w:lang w:val="pt-BR"/>
        </w:rPr>
        <w:t xml:space="preserve">o </w:t>
      </w:r>
      <w:r w:rsidR="0089298C" w:rsidRPr="002F50BD">
        <w:rPr>
          <w:rFonts w:ascii="Verdana" w:hAnsi="Verdana"/>
          <w:sz w:val="20"/>
          <w:lang w:val="pt-BR"/>
        </w:rPr>
        <w:t>desenvolvimento da terra</w:t>
      </w:r>
      <w:r w:rsidRPr="002F50BD">
        <w:rPr>
          <w:rFonts w:ascii="Verdana" w:hAnsi="Verdana"/>
          <w:sz w:val="20"/>
          <w:lang w:val="pt-BR"/>
        </w:rPr>
        <w:t>.</w:t>
      </w:r>
    </w:p>
    <w:p w:rsidR="004756C1" w:rsidRPr="002F50BD" w:rsidRDefault="004756C1">
      <w:pPr>
        <w:rPr>
          <w:rFonts w:ascii="Verdana" w:hAnsi="Verdana"/>
          <w:sz w:val="20"/>
          <w:lang w:val="pt-BR"/>
        </w:rPr>
      </w:pPr>
    </w:p>
    <w:p w:rsidR="004756C1" w:rsidRPr="002F50BD" w:rsidRDefault="004756C1">
      <w:pPr>
        <w:rPr>
          <w:rFonts w:ascii="Verdana" w:hAnsi="Verdana"/>
          <w:sz w:val="20"/>
          <w:lang w:val="pt-BR"/>
        </w:rPr>
      </w:pPr>
    </w:p>
    <w:p w:rsidR="004756C1" w:rsidRPr="002F50BD" w:rsidRDefault="004756C1">
      <w:pPr>
        <w:pStyle w:val="Heading5"/>
        <w:widowControl w:val="0"/>
        <w:tabs>
          <w:tab w:val="left" w:pos="560"/>
        </w:tabs>
        <w:rPr>
          <w:b w:val="0"/>
          <w:i/>
          <w:lang w:val="pt-BR"/>
        </w:rPr>
      </w:pPr>
      <w:r w:rsidRPr="002F50BD">
        <w:rPr>
          <w:b w:val="0"/>
          <w:i/>
          <w:smallCaps/>
          <w:lang w:val="pt-BR"/>
        </w:rPr>
        <w:t>C</w:t>
      </w:r>
      <w:r w:rsidR="00CF451D" w:rsidRPr="00CF451D">
        <w:rPr>
          <w:b w:val="0"/>
          <w:smallCaps/>
          <w:lang w:val="pt-BR"/>
        </w:rPr>
        <w:t>)</w:t>
      </w:r>
      <w:r w:rsidRPr="002F50BD">
        <w:rPr>
          <w:b w:val="0"/>
          <w:i/>
          <w:smallCaps/>
          <w:lang w:val="pt-BR"/>
        </w:rPr>
        <w:t xml:space="preserve"> </w:t>
      </w:r>
      <w:r w:rsidR="006C4368" w:rsidRPr="002F50BD">
        <w:rPr>
          <w:b w:val="0"/>
          <w:i/>
          <w:smallCaps/>
          <w:lang w:val="pt-BR"/>
        </w:rPr>
        <w:t>Aprecia</w:t>
      </w:r>
      <w:r w:rsidR="0089298C" w:rsidRPr="002F50BD">
        <w:rPr>
          <w:b w:val="0"/>
          <w:i/>
          <w:smallCaps/>
          <w:lang w:val="pt-BR"/>
        </w:rPr>
        <w:t>ção da Prova</w:t>
      </w:r>
    </w:p>
    <w:p w:rsidR="004756C1" w:rsidRPr="002F50BD" w:rsidRDefault="004756C1">
      <w:pPr>
        <w:rPr>
          <w:rFonts w:ascii="Verdana" w:hAnsi="Verdana"/>
          <w:sz w:val="20"/>
          <w:lang w:val="pt-BR"/>
        </w:rPr>
      </w:pPr>
    </w:p>
    <w:p w:rsidR="004756C1" w:rsidRPr="002F50BD" w:rsidRDefault="006C4368">
      <w:pPr>
        <w:pStyle w:val="Heading2"/>
        <w:widowControl w:val="0"/>
        <w:jc w:val="left"/>
        <w:rPr>
          <w:rFonts w:ascii="Verdana" w:hAnsi="Verdana"/>
          <w:b w:val="0"/>
          <w:i/>
          <w:smallCaps w:val="0"/>
          <w:sz w:val="20"/>
          <w:lang w:val="pt-BR"/>
        </w:rPr>
      </w:pPr>
      <w:r w:rsidRPr="002F50BD">
        <w:rPr>
          <w:rFonts w:ascii="Verdana" w:hAnsi="Verdana"/>
          <w:b w:val="0"/>
          <w:i/>
          <w:smallCaps w:val="0"/>
          <w:sz w:val="20"/>
          <w:lang w:val="pt-BR"/>
        </w:rPr>
        <w:t>Aprecia</w:t>
      </w:r>
      <w:r w:rsidR="0089298C" w:rsidRPr="002F50BD">
        <w:rPr>
          <w:rFonts w:ascii="Verdana" w:hAnsi="Verdana"/>
          <w:b w:val="0"/>
          <w:i/>
          <w:smallCaps w:val="0"/>
          <w:sz w:val="20"/>
          <w:lang w:val="pt-BR"/>
        </w:rPr>
        <w:t>ção da Prova</w:t>
      </w:r>
      <w:r w:rsidR="004756C1" w:rsidRPr="002F50BD">
        <w:rPr>
          <w:rFonts w:ascii="Verdana" w:hAnsi="Verdana"/>
          <w:b w:val="0"/>
          <w:i/>
          <w:smallCaps w:val="0"/>
          <w:sz w:val="20"/>
          <w:lang w:val="pt-BR"/>
        </w:rPr>
        <w:t xml:space="preserve"> Documental</w:t>
      </w:r>
    </w:p>
    <w:p w:rsidR="004756C1" w:rsidRPr="002F50BD" w:rsidRDefault="004756C1">
      <w:pPr>
        <w:widowControl w:val="0"/>
        <w:jc w:val="both"/>
        <w:rPr>
          <w:rFonts w:ascii="Verdana" w:hAnsi="Verdana"/>
          <w:sz w:val="20"/>
          <w:lang w:val="pt-BR"/>
        </w:rPr>
      </w:pPr>
    </w:p>
    <w:p w:rsidR="004756C1" w:rsidRPr="002F50BD" w:rsidRDefault="00063B47">
      <w:pPr>
        <w:pStyle w:val="Sangradetindependiente"/>
        <w:spacing w:line="240" w:lineRule="auto"/>
        <w:jc w:val="both"/>
        <w:rPr>
          <w:rFonts w:ascii="Verdana" w:hAnsi="Verdana"/>
          <w:sz w:val="20"/>
          <w:lang w:val="pt-BR"/>
        </w:rPr>
      </w:pPr>
      <w:r w:rsidRPr="002F50BD">
        <w:rPr>
          <w:rFonts w:ascii="Verdana" w:hAnsi="Verdana"/>
          <w:sz w:val="20"/>
          <w:lang w:val="pt-BR"/>
        </w:rPr>
        <w:t>40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Neste</w:t>
      </w:r>
      <w:r w:rsidR="004756C1" w:rsidRPr="002F50BD">
        <w:rPr>
          <w:rFonts w:ascii="Verdana" w:hAnsi="Verdana"/>
          <w:sz w:val="20"/>
          <w:lang w:val="pt-BR"/>
        </w:rPr>
        <w:t xml:space="preserve"> caso, como</w:t>
      </w:r>
      <w:r w:rsidR="0089298C" w:rsidRPr="002F50BD">
        <w:rPr>
          <w:rFonts w:ascii="Verdana" w:hAnsi="Verdana"/>
          <w:sz w:val="20"/>
          <w:lang w:val="pt-BR"/>
        </w:rPr>
        <w:t xml:space="preserve"> em outros</w:t>
      </w:r>
      <w:r w:rsidR="0075425F" w:rsidRPr="002F50BD">
        <w:rPr>
          <w:rFonts w:ascii="Verdana" w:hAnsi="Verdana"/>
          <w:sz w:val="20"/>
          <w:lang w:val="pt-BR"/>
        </w:rPr>
        <w:t>,</w:t>
      </w:r>
      <w:r w:rsidR="004756C1" w:rsidRPr="002F50BD">
        <w:rPr>
          <w:rStyle w:val="FootnoteReference"/>
          <w:rFonts w:ascii="Verdana" w:hAnsi="Verdana"/>
        </w:rPr>
        <w:footnoteReference w:id="9"/>
      </w:r>
      <w:r w:rsidR="0089298C" w:rsidRPr="002F50BD">
        <w:rPr>
          <w:rFonts w:ascii="Verdana" w:hAnsi="Verdana"/>
          <w:sz w:val="20"/>
          <w:lang w:val="pt-BR"/>
        </w:rPr>
        <w:t xml:space="preserve"> o </w:t>
      </w:r>
      <w:r w:rsidR="004756C1" w:rsidRPr="002F50BD">
        <w:rPr>
          <w:rFonts w:ascii="Verdana" w:hAnsi="Verdana"/>
          <w:sz w:val="20"/>
          <w:lang w:val="pt-BR"/>
        </w:rPr>
        <w:t>Tribunal admite</w:t>
      </w:r>
      <w:r w:rsidR="0089298C" w:rsidRPr="002F50BD">
        <w:rPr>
          <w:rFonts w:ascii="Verdana" w:hAnsi="Verdana"/>
          <w:sz w:val="20"/>
          <w:lang w:val="pt-BR"/>
        </w:rPr>
        <w:t xml:space="preserve"> o </w:t>
      </w:r>
      <w:r w:rsidR="004756C1" w:rsidRPr="002F50BD">
        <w:rPr>
          <w:rFonts w:ascii="Verdana" w:hAnsi="Verdana"/>
          <w:sz w:val="20"/>
          <w:lang w:val="pt-BR"/>
        </w:rPr>
        <w:t xml:space="preserve">valor </w:t>
      </w:r>
      <w:r w:rsidR="0089298C" w:rsidRPr="002F50BD">
        <w:rPr>
          <w:rFonts w:ascii="Verdana" w:hAnsi="Verdana"/>
          <w:sz w:val="20"/>
          <w:lang w:val="pt-BR"/>
        </w:rPr>
        <w:t>probatório</w:t>
      </w:r>
      <w:r w:rsidR="004756C1" w:rsidRPr="002F50BD">
        <w:rPr>
          <w:rFonts w:ascii="Verdana" w:hAnsi="Verdana"/>
          <w:sz w:val="20"/>
          <w:lang w:val="pt-BR"/>
        </w:rPr>
        <w:t xml:space="preserve"> </w:t>
      </w:r>
      <w:r w:rsidR="003F3630">
        <w:rPr>
          <w:rFonts w:ascii="Verdana" w:hAnsi="Verdana"/>
          <w:sz w:val="20"/>
          <w:lang w:val="pt-BR"/>
        </w:rPr>
        <w:t>dos</w:t>
      </w:r>
      <w:r w:rsidR="004756C1" w:rsidRPr="002F50BD">
        <w:rPr>
          <w:rFonts w:ascii="Verdana" w:hAnsi="Verdana"/>
          <w:sz w:val="20"/>
          <w:lang w:val="pt-BR"/>
        </w:rPr>
        <w:t xml:space="preserve"> documentos</w:t>
      </w:r>
      <w:r w:rsidR="0089298C" w:rsidRPr="002F50BD">
        <w:rPr>
          <w:rFonts w:ascii="Verdana" w:hAnsi="Verdana"/>
          <w:sz w:val="20"/>
          <w:lang w:val="pt-BR"/>
        </w:rPr>
        <w:t xml:space="preserve"> apresentados pelas </w:t>
      </w:r>
      <w:r w:rsidR="004756C1" w:rsidRPr="002F50BD">
        <w:rPr>
          <w:rFonts w:ascii="Verdana" w:hAnsi="Verdana"/>
          <w:sz w:val="20"/>
          <w:lang w:val="pt-BR"/>
        </w:rPr>
        <w:t>partes</w:t>
      </w:r>
      <w:r w:rsidR="0089298C" w:rsidRPr="002F50BD">
        <w:rPr>
          <w:rFonts w:ascii="Verdana" w:hAnsi="Verdana"/>
          <w:sz w:val="20"/>
          <w:lang w:val="pt-BR"/>
        </w:rPr>
        <w:t xml:space="preserve"> em </w:t>
      </w:r>
      <w:r w:rsidR="0075425F" w:rsidRPr="002F50BD">
        <w:rPr>
          <w:rFonts w:ascii="Verdana" w:hAnsi="Verdana"/>
          <w:sz w:val="20"/>
          <w:lang w:val="pt-BR"/>
        </w:rPr>
        <w:t>sua oportunidade</w:t>
      </w:r>
      <w:r w:rsidR="0089298C" w:rsidRPr="002F50BD">
        <w:rPr>
          <w:rFonts w:ascii="Verdana" w:hAnsi="Verdana"/>
          <w:sz w:val="20"/>
          <w:lang w:val="pt-BR"/>
        </w:rPr>
        <w:t xml:space="preserve"> </w:t>
      </w:r>
      <w:r w:rsidR="0075425F" w:rsidRPr="002F50BD">
        <w:rPr>
          <w:rFonts w:ascii="Verdana" w:hAnsi="Verdana"/>
          <w:sz w:val="20"/>
          <w:lang w:val="pt-BR"/>
        </w:rPr>
        <w:t>processual</w:t>
      </w:r>
      <w:r w:rsidR="004756C1" w:rsidRPr="002F50BD">
        <w:rPr>
          <w:rFonts w:ascii="Verdana" w:hAnsi="Verdana"/>
          <w:sz w:val="20"/>
          <w:lang w:val="pt-BR"/>
        </w:rPr>
        <w:t xml:space="preserve"> o</w:t>
      </w:r>
      <w:r w:rsidR="0075425F" w:rsidRPr="002F50BD">
        <w:rPr>
          <w:rFonts w:ascii="Verdana" w:hAnsi="Verdana"/>
          <w:sz w:val="20"/>
          <w:lang w:val="pt-BR"/>
        </w:rPr>
        <w:t>u</w:t>
      </w:r>
      <w:r w:rsidR="00442F7A" w:rsidRPr="002F50BD">
        <w:rPr>
          <w:rFonts w:ascii="Verdana" w:hAnsi="Verdana"/>
          <w:sz w:val="20"/>
          <w:lang w:val="pt-BR"/>
        </w:rPr>
        <w:t>,</w:t>
      </w:r>
      <w:r w:rsidR="004756C1" w:rsidRPr="002F50BD">
        <w:rPr>
          <w:rFonts w:ascii="Verdana" w:hAnsi="Verdana"/>
          <w:sz w:val="20"/>
          <w:lang w:val="pt-BR"/>
        </w:rPr>
        <w:t xml:space="preserve"> como </w:t>
      </w:r>
      <w:r w:rsidR="0089298C" w:rsidRPr="002F50BD">
        <w:rPr>
          <w:rFonts w:ascii="Verdana" w:hAnsi="Verdana"/>
          <w:sz w:val="20"/>
          <w:lang w:val="pt-BR"/>
        </w:rPr>
        <w:t>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w:t>
      </w:r>
      <w:r w:rsidRPr="002F50BD">
        <w:rPr>
          <w:rFonts w:ascii="Verdana" w:hAnsi="Verdana"/>
          <w:sz w:val="20"/>
          <w:lang w:val="pt-BR"/>
        </w:rPr>
        <w:t>2</w:t>
      </w:r>
      <w:r w:rsidR="004756C1" w:rsidRPr="002F50BD">
        <w:rPr>
          <w:rFonts w:ascii="Verdana" w:hAnsi="Verdana"/>
          <w:sz w:val="20"/>
          <w:lang w:val="pt-BR"/>
        </w:rPr>
        <w:t xml:space="preserve"> de</w:t>
      </w:r>
      <w:r w:rsidR="0089298C" w:rsidRPr="002F50BD">
        <w:rPr>
          <w:rFonts w:ascii="Verdana" w:hAnsi="Verdana"/>
          <w:sz w:val="20"/>
          <w:lang w:val="pt-BR"/>
        </w:rPr>
        <w:t xml:space="preserve"> seu regulamento</w:t>
      </w:r>
      <w:r w:rsidR="004756C1" w:rsidRPr="002F50BD">
        <w:rPr>
          <w:rFonts w:ascii="Verdana" w:hAnsi="Verdana"/>
          <w:sz w:val="20"/>
          <w:lang w:val="pt-BR"/>
        </w:rPr>
        <w:t xml:space="preserve">, </w:t>
      </w:r>
      <w:r w:rsidR="00442F7A" w:rsidRPr="002F50BD">
        <w:rPr>
          <w:rFonts w:ascii="Verdana" w:hAnsi="Verdana"/>
          <w:sz w:val="20"/>
          <w:lang w:val="pt-BR"/>
        </w:rPr>
        <w:t xml:space="preserve">dos </w:t>
      </w:r>
      <w:r w:rsidR="00AB454A" w:rsidRPr="002F50BD">
        <w:rPr>
          <w:rFonts w:ascii="Verdana" w:hAnsi="Verdana"/>
          <w:sz w:val="20"/>
          <w:lang w:val="pt-BR"/>
        </w:rPr>
        <w:t>que não foram</w:t>
      </w:r>
      <w:r w:rsidR="004756C1" w:rsidRPr="002F50BD">
        <w:rPr>
          <w:rFonts w:ascii="Verdana" w:hAnsi="Verdana"/>
          <w:sz w:val="20"/>
          <w:lang w:val="pt-BR"/>
        </w:rPr>
        <w:t xml:space="preserve"> controvertidos</w:t>
      </w:r>
      <w:r w:rsidR="0089298C" w:rsidRPr="002F50BD">
        <w:rPr>
          <w:rFonts w:ascii="Verdana" w:hAnsi="Verdana"/>
          <w:sz w:val="20"/>
          <w:lang w:val="pt-BR"/>
        </w:rPr>
        <w:t xml:space="preserve"> nem </w:t>
      </w:r>
      <w:r w:rsidR="004756C1" w:rsidRPr="002F50BD">
        <w:rPr>
          <w:rFonts w:ascii="Verdana" w:hAnsi="Verdana"/>
          <w:sz w:val="20"/>
          <w:lang w:val="pt-BR"/>
        </w:rPr>
        <w:t>objetados,</w:t>
      </w:r>
      <w:r w:rsidR="0089298C" w:rsidRPr="002F50BD">
        <w:rPr>
          <w:rFonts w:ascii="Verdana" w:hAnsi="Verdana"/>
          <w:sz w:val="20"/>
          <w:lang w:val="pt-BR"/>
        </w:rPr>
        <w:t xml:space="preserve"> </w:t>
      </w:r>
      <w:r w:rsidR="00442F7A" w:rsidRPr="002F50BD">
        <w:rPr>
          <w:rFonts w:ascii="Verdana" w:hAnsi="Verdana"/>
          <w:sz w:val="20"/>
          <w:lang w:val="pt-BR"/>
        </w:rPr>
        <w:t>ou</w:t>
      </w:r>
      <w:r w:rsidR="0089298C" w:rsidRPr="002F50BD">
        <w:rPr>
          <w:rFonts w:ascii="Verdana" w:hAnsi="Verdana"/>
          <w:sz w:val="20"/>
          <w:lang w:val="pt-BR"/>
        </w:rPr>
        <w:t xml:space="preserve"> cuja</w:t>
      </w:r>
      <w:r w:rsidR="004756C1" w:rsidRPr="002F50BD">
        <w:rPr>
          <w:rFonts w:ascii="Verdana" w:hAnsi="Verdana"/>
          <w:sz w:val="20"/>
          <w:lang w:val="pt-BR"/>
        </w:rPr>
        <w:t xml:space="preserve"> </w:t>
      </w:r>
      <w:r w:rsidR="0089298C" w:rsidRPr="002F50BD">
        <w:rPr>
          <w:rFonts w:ascii="Verdana" w:hAnsi="Verdana"/>
          <w:sz w:val="20"/>
          <w:lang w:val="pt-BR"/>
        </w:rPr>
        <w:t xml:space="preserve">autenticidade </w:t>
      </w:r>
      <w:r w:rsidR="00442F7A" w:rsidRPr="002F50BD">
        <w:rPr>
          <w:rFonts w:ascii="Verdana" w:hAnsi="Verdana"/>
          <w:sz w:val="20"/>
          <w:lang w:val="pt-BR"/>
        </w:rPr>
        <w:t xml:space="preserve">não </w:t>
      </w:r>
      <w:r w:rsidR="0089298C" w:rsidRPr="002F50BD">
        <w:rPr>
          <w:rFonts w:ascii="Verdana" w:hAnsi="Verdana"/>
          <w:sz w:val="20"/>
          <w:lang w:val="pt-BR"/>
        </w:rPr>
        <w:t>foi posta em dúvida</w:t>
      </w:r>
      <w:r w:rsidR="004756C1" w:rsidRPr="002F50BD">
        <w:rPr>
          <w:rFonts w:ascii="Verdana" w:hAnsi="Verdana"/>
          <w:sz w:val="20"/>
          <w:lang w:val="pt-BR"/>
        </w:rPr>
        <w:t xml:space="preserve">. </w:t>
      </w:r>
    </w:p>
    <w:p w:rsidR="004756C1" w:rsidRPr="002F50BD" w:rsidRDefault="004756C1">
      <w:pPr>
        <w:pStyle w:val="Sangradetindependiente"/>
        <w:spacing w:line="240" w:lineRule="auto"/>
        <w:jc w:val="both"/>
        <w:rPr>
          <w:rFonts w:ascii="Verdana" w:hAnsi="Verdana"/>
          <w:sz w:val="20"/>
          <w:lang w:val="pt-BR"/>
        </w:rPr>
      </w:pPr>
    </w:p>
    <w:p w:rsidR="004756C1" w:rsidRPr="002F50BD" w:rsidRDefault="00063B47">
      <w:pPr>
        <w:pStyle w:val="Sangradetindependiente"/>
        <w:spacing w:line="240" w:lineRule="auto"/>
        <w:jc w:val="both"/>
        <w:rPr>
          <w:rFonts w:ascii="Verdana" w:hAnsi="Verdana"/>
          <w:sz w:val="20"/>
          <w:lang w:val="pt-BR"/>
        </w:rPr>
      </w:pPr>
      <w:r w:rsidRPr="002F50BD">
        <w:rPr>
          <w:rFonts w:ascii="Verdana" w:hAnsi="Verdana"/>
          <w:sz w:val="20"/>
          <w:lang w:val="pt-BR"/>
        </w:rPr>
        <w:t>41</w:t>
      </w:r>
      <w:r w:rsidR="004756C1" w:rsidRPr="002F50BD">
        <w:rPr>
          <w:rFonts w:ascii="Verdana" w:hAnsi="Verdana"/>
          <w:sz w:val="20"/>
          <w:lang w:val="pt-BR"/>
        </w:rPr>
        <w:t>.</w:t>
      </w:r>
      <w:r w:rsidR="004756C1" w:rsidRPr="002F50BD">
        <w:rPr>
          <w:rFonts w:ascii="Verdana" w:hAnsi="Verdana"/>
          <w:sz w:val="20"/>
          <w:lang w:val="pt-BR"/>
        </w:rPr>
        <w:tab/>
        <w:t>Por</w:t>
      </w:r>
      <w:r w:rsidR="0089298C" w:rsidRPr="002F50BD">
        <w:rPr>
          <w:rFonts w:ascii="Verdana" w:hAnsi="Verdana"/>
          <w:sz w:val="20"/>
          <w:lang w:val="pt-BR"/>
        </w:rPr>
        <w:t xml:space="preserve"> </w:t>
      </w:r>
      <w:r w:rsidR="0075425F" w:rsidRPr="002F50BD">
        <w:rPr>
          <w:rFonts w:ascii="Verdana" w:hAnsi="Verdana"/>
          <w:sz w:val="20"/>
          <w:lang w:val="pt-BR"/>
        </w:rPr>
        <w:t>outro lado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admite, </w:t>
      </w:r>
      <w:r w:rsidR="0075425F" w:rsidRPr="002F50BD">
        <w:rPr>
          <w:rFonts w:ascii="Verdana" w:hAnsi="Verdana"/>
          <w:sz w:val="20"/>
          <w:lang w:val="pt-BR"/>
        </w:rPr>
        <w:t xml:space="preserve">em conformidade </w:t>
      </w:r>
      <w:r w:rsidR="0089298C" w:rsidRPr="002F50BD">
        <w:rPr>
          <w:rFonts w:ascii="Verdana" w:hAnsi="Verdana"/>
          <w:sz w:val="20"/>
          <w:lang w:val="pt-BR"/>
        </w:rPr>
        <w:t>com o artigo</w:t>
      </w:r>
      <w:r w:rsidR="004756C1" w:rsidRPr="002F50BD">
        <w:rPr>
          <w:rFonts w:ascii="Verdana" w:hAnsi="Verdana"/>
          <w:sz w:val="20"/>
          <w:lang w:val="pt-BR"/>
        </w:rPr>
        <w:t xml:space="preserve"> </w:t>
      </w:r>
      <w:r w:rsidRPr="002F50BD">
        <w:rPr>
          <w:rFonts w:ascii="Verdana" w:hAnsi="Verdana"/>
          <w:sz w:val="20"/>
          <w:lang w:val="pt-BR"/>
        </w:rPr>
        <w:t>44</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w:t>
      </w:r>
      <w:r w:rsidR="0089298C" w:rsidRPr="002F50BD">
        <w:rPr>
          <w:rFonts w:ascii="Verdana" w:hAnsi="Verdana"/>
          <w:sz w:val="20"/>
          <w:lang w:val="pt-BR"/>
        </w:rPr>
        <w:t xml:space="preserve"> a prova apresentada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89298C" w:rsidRPr="002F50BD">
        <w:rPr>
          <w:rFonts w:ascii="Verdana" w:hAnsi="Verdana"/>
          <w:sz w:val="20"/>
          <w:lang w:val="pt-BR"/>
        </w:rPr>
        <w:t xml:space="preserve">em </w:t>
      </w:r>
      <w:r w:rsidR="004756C1" w:rsidRPr="002F50BD">
        <w:rPr>
          <w:rFonts w:ascii="Verdana" w:hAnsi="Verdana"/>
          <w:sz w:val="20"/>
          <w:lang w:val="pt-BR"/>
        </w:rPr>
        <w:t>rela</w:t>
      </w:r>
      <w:r w:rsidR="0089298C" w:rsidRPr="002F50BD">
        <w:rPr>
          <w:rFonts w:ascii="Verdana" w:hAnsi="Verdana"/>
          <w:sz w:val="20"/>
          <w:lang w:val="pt-BR"/>
        </w:rPr>
        <w:t xml:space="preserve">ção </w:t>
      </w:r>
      <w:r w:rsidR="0075425F" w:rsidRPr="002F50BD">
        <w:rPr>
          <w:rFonts w:ascii="Verdana" w:hAnsi="Verdana"/>
          <w:sz w:val="20"/>
          <w:lang w:val="pt-BR"/>
        </w:rPr>
        <w:t>a</w:t>
      </w:r>
      <w:r w:rsidR="0089298C" w:rsidRPr="002F50BD">
        <w:rPr>
          <w:rFonts w:ascii="Verdana" w:hAnsi="Verdana"/>
          <w:sz w:val="20"/>
          <w:lang w:val="pt-BR"/>
        </w:rPr>
        <w:t>os fatos</w:t>
      </w:r>
      <w:r w:rsidR="004756C1" w:rsidRPr="002F50BD">
        <w:rPr>
          <w:rFonts w:ascii="Verdana" w:hAnsi="Verdana"/>
          <w:sz w:val="20"/>
          <w:lang w:val="pt-BR"/>
        </w:rPr>
        <w:t xml:space="preserve"> superv</w:t>
      </w:r>
      <w:r w:rsidR="00442F7A" w:rsidRPr="002F50BD">
        <w:rPr>
          <w:rFonts w:ascii="Verdana" w:hAnsi="Verdana"/>
          <w:sz w:val="20"/>
          <w:lang w:val="pt-BR"/>
        </w:rPr>
        <w:t>e</w:t>
      </w:r>
      <w:r w:rsidR="004756C1" w:rsidRPr="002F50BD">
        <w:rPr>
          <w:rFonts w:ascii="Verdana" w:hAnsi="Verdana"/>
          <w:sz w:val="20"/>
          <w:lang w:val="pt-BR"/>
        </w:rPr>
        <w:t>nientes</w:t>
      </w:r>
      <w:r w:rsidR="0089298C" w:rsidRPr="002F50BD">
        <w:rPr>
          <w:rFonts w:ascii="Verdana" w:hAnsi="Verdana"/>
          <w:sz w:val="20"/>
          <w:lang w:val="pt-BR"/>
        </w:rPr>
        <w:t xml:space="preserve"> à apresentação da </w:t>
      </w:r>
      <w:r w:rsidR="004756C1" w:rsidRPr="002F50BD">
        <w:rPr>
          <w:rFonts w:ascii="Verdana" w:hAnsi="Verdana"/>
          <w:sz w:val="20"/>
          <w:lang w:val="pt-BR"/>
        </w:rPr>
        <w:t xml:space="preserve">demanda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24</w:t>
      </w:r>
      <w:r w:rsidR="00E0019F" w:rsidRPr="002F50BD">
        <w:rPr>
          <w:rFonts w:ascii="Verdana" w:hAnsi="Verdana"/>
          <w:sz w:val="20"/>
          <w:lang w:val="pt-BR"/>
        </w:rPr>
        <w:t xml:space="preserve"> </w:t>
      </w:r>
      <w:r w:rsidR="00E0019F" w:rsidRPr="002F50BD">
        <w:rPr>
          <w:rFonts w:ascii="Verdana" w:hAnsi="Verdana"/>
          <w:i/>
          <w:sz w:val="20"/>
          <w:lang w:val="pt-BR"/>
        </w:rPr>
        <w:t>supra</w:t>
      </w:r>
      <w:r w:rsidR="00CF451D" w:rsidRPr="00CF451D">
        <w:rPr>
          <w:rFonts w:ascii="Verdana" w:hAnsi="Verdana"/>
          <w:sz w:val="20"/>
          <w:lang w:val="pt-BR"/>
        </w:rPr>
        <w:t>)</w:t>
      </w:r>
      <w:r w:rsidR="0075425F" w:rsidRPr="002F50BD">
        <w:rPr>
          <w:rFonts w:ascii="Verdana" w:hAnsi="Verdana"/>
          <w:sz w:val="20"/>
          <w:lang w:val="pt-BR"/>
        </w:rPr>
        <w:t>.</w:t>
      </w:r>
      <w:r w:rsidR="004756C1" w:rsidRPr="002F50BD">
        <w:rPr>
          <w:rStyle w:val="FootnoteReference"/>
          <w:rFonts w:ascii="Verdana" w:hAnsi="Verdana"/>
        </w:rPr>
        <w:footnoteReference w:id="10"/>
      </w:r>
      <w:r w:rsidR="004756C1" w:rsidRPr="002F50BD">
        <w:rPr>
          <w:rFonts w:ascii="Verdana" w:hAnsi="Verdana"/>
          <w:sz w:val="20"/>
          <w:lang w:val="pt-BR"/>
        </w:rPr>
        <w:t xml:space="preserve"> </w:t>
      </w:r>
    </w:p>
    <w:p w:rsidR="004756C1" w:rsidRPr="002F50BD" w:rsidRDefault="004756C1">
      <w:pPr>
        <w:pStyle w:val="Sangradetindependiente"/>
        <w:spacing w:line="240" w:lineRule="auto"/>
        <w:jc w:val="both"/>
        <w:rPr>
          <w:rFonts w:ascii="Verdana" w:hAnsi="Verdana"/>
          <w:sz w:val="20"/>
          <w:lang w:val="pt-BR"/>
        </w:rPr>
      </w:pPr>
    </w:p>
    <w:p w:rsidR="004756C1" w:rsidRPr="002F50BD" w:rsidRDefault="00063B47">
      <w:pPr>
        <w:pStyle w:val="Sangradetindependiente"/>
        <w:spacing w:line="240" w:lineRule="auto"/>
        <w:jc w:val="both"/>
        <w:rPr>
          <w:rFonts w:ascii="Verdana" w:hAnsi="Verdana"/>
          <w:sz w:val="20"/>
          <w:lang w:val="pt-BR"/>
        </w:rPr>
      </w:pPr>
      <w:r w:rsidRPr="002F50BD">
        <w:rPr>
          <w:rFonts w:ascii="Verdana" w:hAnsi="Verdana"/>
          <w:sz w:val="20"/>
          <w:lang w:val="pt-BR"/>
        </w:rPr>
        <w:t>42</w:t>
      </w:r>
      <w:r w:rsidR="004756C1" w:rsidRPr="002F50BD">
        <w:rPr>
          <w:rFonts w:ascii="Verdana" w:hAnsi="Verdana"/>
          <w:sz w:val="20"/>
          <w:lang w:val="pt-BR"/>
        </w:rPr>
        <w:t xml:space="preserve">. </w:t>
      </w:r>
      <w:r w:rsidR="004756C1" w:rsidRPr="002F50BD">
        <w:rPr>
          <w:rFonts w:ascii="Verdana" w:hAnsi="Verdana"/>
          <w:sz w:val="20"/>
          <w:lang w:val="pt-BR"/>
        </w:rPr>
        <w:tab/>
      </w:r>
      <w:r w:rsidR="0075425F" w:rsidRPr="002F50BD">
        <w:rPr>
          <w:rFonts w:ascii="Verdana" w:hAnsi="Verdana"/>
          <w:sz w:val="20"/>
          <w:lang w:val="pt-BR"/>
        </w:rPr>
        <w:t>Igualmente</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Tribunal considera útil</w:t>
      </w:r>
      <w:r w:rsidR="0089298C" w:rsidRPr="002F50BD">
        <w:rPr>
          <w:rFonts w:ascii="Verdana" w:hAnsi="Verdana"/>
          <w:sz w:val="20"/>
          <w:lang w:val="pt-BR"/>
        </w:rPr>
        <w:t xml:space="preserve"> os </w:t>
      </w:r>
      <w:r w:rsidR="004756C1" w:rsidRPr="002F50BD">
        <w:rPr>
          <w:rFonts w:ascii="Verdana" w:hAnsi="Verdana"/>
          <w:sz w:val="20"/>
          <w:lang w:val="pt-BR"/>
        </w:rPr>
        <w:t>documentos</w:t>
      </w:r>
      <w:r w:rsidR="0089298C" w:rsidRPr="002F50BD">
        <w:rPr>
          <w:rFonts w:ascii="Verdana" w:hAnsi="Verdana"/>
          <w:sz w:val="20"/>
          <w:lang w:val="pt-BR"/>
        </w:rPr>
        <w:t xml:space="preserve"> apresentados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75425F" w:rsidRPr="002F50BD">
        <w:rPr>
          <w:rFonts w:ascii="Verdana" w:hAnsi="Verdana"/>
          <w:sz w:val="20"/>
          <w:lang w:val="pt-BR"/>
        </w:rPr>
        <w:t>juntamente</w:t>
      </w:r>
      <w:r w:rsidR="0089298C" w:rsidRPr="002F50BD">
        <w:rPr>
          <w:rFonts w:ascii="Verdana" w:hAnsi="Verdana"/>
          <w:sz w:val="20"/>
          <w:lang w:val="pt-BR"/>
        </w:rPr>
        <w:t xml:space="preserve"> com suas </w:t>
      </w:r>
      <w:r w:rsidR="008C29C9" w:rsidRPr="002F50BD">
        <w:rPr>
          <w:rFonts w:ascii="Verdana" w:hAnsi="Verdana"/>
          <w:sz w:val="20"/>
          <w:lang w:val="pt-BR"/>
        </w:rPr>
        <w:t>alegações finais escritas</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75425F" w:rsidRPr="002F50BD">
        <w:rPr>
          <w:rFonts w:ascii="Verdana" w:hAnsi="Verdana"/>
          <w:sz w:val="20"/>
          <w:lang w:val="pt-BR"/>
        </w:rPr>
        <w:t>à</w:t>
      </w:r>
      <w:r w:rsidR="0089298C" w:rsidRPr="002F50BD">
        <w:rPr>
          <w:rFonts w:ascii="Verdana" w:hAnsi="Verdana"/>
          <w:sz w:val="20"/>
          <w:lang w:val="pt-BR"/>
        </w:rPr>
        <w:t xml:space="preserve">s custas </w:t>
      </w:r>
      <w:r w:rsidR="0089298C" w:rsidRPr="002F50BD">
        <w:rPr>
          <w:rFonts w:ascii="Verdana" w:hAnsi="Verdana"/>
          <w:sz w:val="20"/>
          <w:lang w:val="pt-BR"/>
        </w:rPr>
        <w:lastRenderedPageBreak/>
        <w:t xml:space="preserve">e </w:t>
      </w:r>
      <w:r w:rsidR="004756C1" w:rsidRPr="002F50BD">
        <w:rPr>
          <w:rFonts w:ascii="Verdana" w:hAnsi="Verdana"/>
          <w:sz w:val="20"/>
          <w:lang w:val="pt-BR"/>
        </w:rPr>
        <w:t xml:space="preserve">gastos </w:t>
      </w:r>
      <w:r w:rsidR="00CF451D" w:rsidRPr="00CF451D">
        <w:rPr>
          <w:rFonts w:ascii="Verdana" w:hAnsi="Verdana"/>
          <w:sz w:val="20"/>
          <w:lang w:val="pt-BR"/>
        </w:rPr>
        <w:t>(</w:t>
      </w:r>
      <w:r w:rsidR="00E0019F" w:rsidRPr="002F50BD">
        <w:rPr>
          <w:rFonts w:ascii="Verdana" w:hAnsi="Verdana"/>
          <w:i/>
          <w:sz w:val="20"/>
          <w:lang w:val="pt-BR"/>
        </w:rPr>
        <w:t xml:space="preserve">par. </w:t>
      </w:r>
      <w:r w:rsidRPr="002F50BD">
        <w:rPr>
          <w:rFonts w:ascii="Verdana" w:hAnsi="Verdana"/>
          <w:sz w:val="20"/>
          <w:lang w:val="pt-BR"/>
        </w:rPr>
        <w:t>24</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os quais</w:t>
      </w:r>
      <w:r w:rsidR="004756C1" w:rsidRPr="002F50BD">
        <w:rPr>
          <w:rFonts w:ascii="Verdana" w:hAnsi="Verdana"/>
          <w:sz w:val="20"/>
          <w:lang w:val="pt-BR"/>
        </w:rPr>
        <w:t xml:space="preserve"> </w:t>
      </w:r>
      <w:r w:rsidR="0089298C" w:rsidRPr="002F50BD">
        <w:rPr>
          <w:rFonts w:ascii="Verdana" w:hAnsi="Verdana"/>
          <w:sz w:val="20"/>
          <w:lang w:val="pt-BR"/>
        </w:rPr>
        <w:t>serão</w:t>
      </w:r>
      <w:r w:rsidR="004756C1" w:rsidRPr="002F50BD">
        <w:rPr>
          <w:rFonts w:ascii="Verdana" w:hAnsi="Verdana"/>
          <w:sz w:val="20"/>
          <w:lang w:val="pt-BR"/>
        </w:rPr>
        <w:t xml:space="preserve"> </w:t>
      </w:r>
      <w:r w:rsidR="006C4368" w:rsidRPr="002F50BD">
        <w:rPr>
          <w:rFonts w:ascii="Verdana" w:hAnsi="Verdana"/>
          <w:sz w:val="20"/>
          <w:lang w:val="pt-BR"/>
        </w:rPr>
        <w:t>aprecia</w:t>
      </w:r>
      <w:r w:rsidR="004756C1" w:rsidRPr="002F50BD">
        <w:rPr>
          <w:rFonts w:ascii="Verdana" w:hAnsi="Verdana"/>
          <w:sz w:val="20"/>
          <w:lang w:val="pt-BR"/>
        </w:rPr>
        <w:t xml:space="preserve">dos </w:t>
      </w:r>
      <w:r w:rsidR="004F64EE" w:rsidRPr="002F50BD">
        <w:rPr>
          <w:rFonts w:ascii="Verdana" w:hAnsi="Verdana"/>
          <w:sz w:val="20"/>
          <w:lang w:val="pt-BR"/>
        </w:rPr>
        <w:t>levando</w:t>
      </w:r>
      <w:r w:rsidR="0089298C" w:rsidRPr="002F50BD">
        <w:rPr>
          <w:rFonts w:ascii="Verdana" w:hAnsi="Verdana"/>
          <w:sz w:val="20"/>
          <w:lang w:val="pt-BR"/>
        </w:rPr>
        <w:t xml:space="preserve"> em conta as </w:t>
      </w:r>
      <w:r w:rsidR="004756C1" w:rsidRPr="002F50BD">
        <w:rPr>
          <w:rFonts w:ascii="Verdana" w:hAnsi="Verdana"/>
          <w:sz w:val="20"/>
          <w:lang w:val="pt-BR"/>
        </w:rPr>
        <w:t>observa</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Estado </w:t>
      </w:r>
      <w:r w:rsidR="00CF451D" w:rsidRPr="00CF451D">
        <w:rPr>
          <w:rFonts w:ascii="Verdana" w:hAnsi="Verdana"/>
          <w:sz w:val="20"/>
          <w:lang w:val="pt-BR"/>
        </w:rPr>
        <w:t>(</w:t>
      </w:r>
      <w:r w:rsidR="00EC5F20" w:rsidRPr="002F50BD">
        <w:rPr>
          <w:rFonts w:ascii="Verdana" w:hAnsi="Verdana"/>
          <w:sz w:val="20"/>
          <w:lang w:val="pt-BR"/>
        </w:rPr>
        <w:t xml:space="preserve">par. </w:t>
      </w:r>
      <w:r w:rsidRPr="002F50BD">
        <w:rPr>
          <w:rFonts w:ascii="Verdana" w:hAnsi="Verdana"/>
          <w:sz w:val="20"/>
          <w:lang w:val="pt-BR"/>
        </w:rPr>
        <w:t>26</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pStyle w:val="BodyTextIndent"/>
        <w:ind w:firstLine="0"/>
        <w:rPr>
          <w:rFonts w:ascii="Verdana" w:hAnsi="Verdana"/>
          <w:sz w:val="20"/>
          <w:lang w:val="pt-BR"/>
        </w:rPr>
      </w:pPr>
    </w:p>
    <w:p w:rsidR="004756C1" w:rsidRPr="002F50BD" w:rsidRDefault="00063B47">
      <w:pPr>
        <w:pStyle w:val="BodyTextIndent"/>
        <w:ind w:firstLine="0"/>
        <w:rPr>
          <w:rFonts w:ascii="Verdana" w:hAnsi="Verdana"/>
          <w:sz w:val="20"/>
          <w:lang w:val="pt-BR"/>
        </w:rPr>
      </w:pPr>
      <w:r w:rsidRPr="002F50BD">
        <w:rPr>
          <w:rFonts w:ascii="Verdana" w:hAnsi="Verdana"/>
          <w:sz w:val="20"/>
          <w:lang w:val="pt-BR"/>
        </w:rPr>
        <w:t>43</w:t>
      </w:r>
      <w:r w:rsidR="0075425F" w:rsidRPr="002F50BD">
        <w:rPr>
          <w:rFonts w:ascii="Verdana" w:hAnsi="Verdana"/>
          <w:sz w:val="20"/>
          <w:lang w:val="pt-BR"/>
        </w:rPr>
        <w:t>.</w:t>
      </w:r>
      <w:r w:rsidR="0075425F" w:rsidRPr="002F50BD">
        <w:rPr>
          <w:rFonts w:ascii="Verdana" w:hAnsi="Verdana"/>
          <w:sz w:val="20"/>
          <w:lang w:val="pt-BR"/>
        </w:rPr>
        <w:tab/>
        <w:t>Em</w:t>
      </w:r>
      <w:r w:rsidR="004756C1" w:rsidRPr="002F50BD">
        <w:rPr>
          <w:rFonts w:ascii="Verdana" w:hAnsi="Verdana"/>
          <w:sz w:val="20"/>
          <w:lang w:val="pt-BR"/>
        </w:rPr>
        <w:t xml:space="preserve"> rela</w:t>
      </w:r>
      <w:r w:rsidR="0089298C" w:rsidRPr="002F50BD">
        <w:rPr>
          <w:rFonts w:ascii="Verdana" w:hAnsi="Verdana"/>
          <w:sz w:val="20"/>
          <w:lang w:val="pt-BR"/>
        </w:rPr>
        <w:t xml:space="preserve">ção </w:t>
      </w:r>
      <w:r w:rsidR="0075425F" w:rsidRPr="002F50BD">
        <w:rPr>
          <w:rFonts w:ascii="Verdana" w:hAnsi="Verdana"/>
          <w:sz w:val="20"/>
          <w:lang w:val="pt-BR"/>
        </w:rPr>
        <w:t>a</w:t>
      </w:r>
      <w:r w:rsidR="0089298C" w:rsidRPr="002F50BD">
        <w:rPr>
          <w:rFonts w:ascii="Verdana" w:hAnsi="Verdana"/>
          <w:sz w:val="20"/>
          <w:lang w:val="pt-BR"/>
        </w:rPr>
        <w:t>os testemunho</w:t>
      </w:r>
      <w:r w:rsidR="004756C1" w:rsidRPr="002F50BD">
        <w:rPr>
          <w:rFonts w:ascii="Verdana" w:hAnsi="Verdana"/>
          <w:sz w:val="20"/>
          <w:lang w:val="pt-BR"/>
        </w:rPr>
        <w:t>s</w:t>
      </w:r>
      <w:r w:rsidR="0089298C" w:rsidRPr="002F50BD">
        <w:rPr>
          <w:rFonts w:ascii="Verdana" w:hAnsi="Verdana"/>
          <w:sz w:val="20"/>
          <w:lang w:val="pt-BR"/>
        </w:rPr>
        <w:t xml:space="preserve"> e </w:t>
      </w:r>
      <w:r w:rsidR="004F64EE" w:rsidRPr="002F50BD">
        <w:rPr>
          <w:rFonts w:ascii="Verdana" w:hAnsi="Verdana"/>
          <w:sz w:val="20"/>
          <w:lang w:val="pt-BR"/>
        </w:rPr>
        <w:t>à</w:t>
      </w:r>
      <w:r w:rsidR="0089298C" w:rsidRPr="002F50BD">
        <w:rPr>
          <w:rFonts w:ascii="Verdana" w:hAnsi="Verdana"/>
          <w:sz w:val="20"/>
          <w:lang w:val="pt-BR"/>
        </w:rPr>
        <w:t>s perícia</w:t>
      </w:r>
      <w:r w:rsidR="004756C1" w:rsidRPr="002F50BD">
        <w:rPr>
          <w:rFonts w:ascii="Verdana" w:hAnsi="Verdana"/>
          <w:sz w:val="20"/>
          <w:lang w:val="pt-BR"/>
        </w:rPr>
        <w:t>s escrit</w:t>
      </w:r>
      <w:r w:rsidR="0075425F" w:rsidRPr="002F50BD">
        <w:rPr>
          <w:rFonts w:ascii="Verdana" w:hAnsi="Verdana"/>
          <w:sz w:val="20"/>
          <w:lang w:val="pt-BR"/>
        </w:rPr>
        <w:t>a</w:t>
      </w:r>
      <w:r w:rsidR="004756C1" w:rsidRPr="002F50BD">
        <w:rPr>
          <w:rFonts w:ascii="Verdana" w:hAnsi="Verdana"/>
          <w:sz w:val="20"/>
          <w:lang w:val="pt-BR"/>
        </w:rPr>
        <w:t xml:space="preserve">s </w:t>
      </w:r>
      <w:r w:rsidR="0075425F" w:rsidRPr="002F50BD">
        <w:rPr>
          <w:rFonts w:ascii="Verdana" w:hAnsi="Verdana"/>
          <w:sz w:val="20"/>
          <w:lang w:val="pt-BR"/>
        </w:rPr>
        <w:t xml:space="preserve">prestados </w:t>
      </w:r>
      <w:r w:rsidR="00AB454A" w:rsidRPr="002F50BD">
        <w:rPr>
          <w:rFonts w:ascii="Verdana" w:hAnsi="Verdana"/>
          <w:sz w:val="20"/>
          <w:lang w:val="pt-BR"/>
        </w:rPr>
        <w:t>perante agente dotado</w:t>
      </w:r>
      <w:r w:rsidR="0089298C" w:rsidRPr="002F50BD">
        <w:rPr>
          <w:rFonts w:ascii="Verdana" w:hAnsi="Verdana"/>
          <w:sz w:val="20"/>
          <w:lang w:val="pt-BR"/>
        </w:rPr>
        <w:t xml:space="preserve"> de fé pública</w:t>
      </w:r>
      <w:r w:rsidR="004756C1" w:rsidRPr="002F50BD">
        <w:rPr>
          <w:rFonts w:ascii="Verdana" w:hAnsi="Verdana"/>
          <w:sz w:val="20"/>
          <w:lang w:val="pt-BR"/>
        </w:rPr>
        <w:t xml:space="preserve"> </w:t>
      </w:r>
      <w:r w:rsidR="00CF451D" w:rsidRPr="00CF451D">
        <w:rPr>
          <w:rFonts w:ascii="Verdana" w:hAnsi="Verdana"/>
          <w:sz w:val="20"/>
          <w:lang w:val="pt-BR"/>
        </w:rPr>
        <w:t>(</w:t>
      </w:r>
      <w:r w:rsidR="008C29C9" w:rsidRPr="002F50BD">
        <w:rPr>
          <w:rFonts w:ascii="Verdana" w:hAnsi="Verdana"/>
          <w:i/>
          <w:sz w:val="20"/>
          <w:lang w:val="pt-BR"/>
        </w:rPr>
        <w:t>affidavit</w:t>
      </w:r>
      <w:r w:rsidR="004756C1" w:rsidRPr="002F50BD">
        <w:rPr>
          <w:rFonts w:ascii="Verdana" w:hAnsi="Verdana"/>
          <w:sz w:val="20"/>
          <w:lang w:val="pt-BR"/>
        </w:rPr>
        <w:t>s</w:t>
      </w:r>
      <w:r w:rsidR="00CF451D" w:rsidRPr="00CF451D">
        <w:rPr>
          <w:rFonts w:ascii="Verdana" w:hAnsi="Verdana"/>
          <w:sz w:val="20"/>
          <w:lang w:val="pt-BR"/>
        </w:rPr>
        <w:t>)</w:t>
      </w:r>
      <w:r w:rsidR="0089298C" w:rsidRPr="002F50BD">
        <w:rPr>
          <w:rFonts w:ascii="Verdana" w:hAnsi="Verdana"/>
          <w:sz w:val="20"/>
          <w:lang w:val="pt-BR"/>
        </w:rPr>
        <w:t xml:space="preserve"> </w:t>
      </w:r>
      <w:r w:rsidR="00367FD1" w:rsidRPr="002F50BD">
        <w:rPr>
          <w:rFonts w:ascii="Verdana" w:hAnsi="Verdana"/>
          <w:sz w:val="20"/>
          <w:lang w:val="pt-BR"/>
        </w:rPr>
        <w:t>pel</w:t>
      </w:r>
      <w:r w:rsidR="0075425F" w:rsidRPr="002F50BD">
        <w:rPr>
          <w:rFonts w:ascii="Verdana" w:hAnsi="Verdana"/>
          <w:sz w:val="20"/>
          <w:lang w:val="pt-BR"/>
        </w:rPr>
        <w:t>a</w:t>
      </w:r>
      <w:r w:rsidR="00367FD1" w:rsidRPr="002F50BD">
        <w:rPr>
          <w:rFonts w:ascii="Verdana" w:hAnsi="Verdana"/>
          <w:sz w:val="20"/>
          <w:lang w:val="pt-BR"/>
        </w:rPr>
        <w:t>s</w:t>
      </w:r>
      <w:r w:rsidR="00AB6727" w:rsidRPr="002F50BD">
        <w:rPr>
          <w:rFonts w:ascii="Verdana" w:hAnsi="Verdana"/>
          <w:sz w:val="20"/>
          <w:lang w:val="pt-BR"/>
        </w:rPr>
        <w:t xml:space="preserve"> </w:t>
      </w:r>
      <w:r w:rsidR="0089298C" w:rsidRPr="002F50BD">
        <w:rPr>
          <w:rFonts w:ascii="Verdana" w:hAnsi="Verdana"/>
          <w:sz w:val="20"/>
          <w:lang w:val="pt-BR"/>
        </w:rPr>
        <w:t>testemunha</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 xml:space="preserve">peritos </w:t>
      </w:r>
      <w:r w:rsidR="0089298C" w:rsidRPr="002F50BD">
        <w:rPr>
          <w:rFonts w:ascii="Verdana" w:hAnsi="Verdana"/>
          <w:sz w:val="20"/>
          <w:lang w:val="pt-BR"/>
        </w:rPr>
        <w:t>propost</w:t>
      </w:r>
      <w:r w:rsidR="004756C1" w:rsidRPr="002F50BD">
        <w:rPr>
          <w:rFonts w:ascii="Verdana" w:hAnsi="Verdana"/>
          <w:sz w:val="20"/>
          <w:lang w:val="pt-BR"/>
        </w:rPr>
        <w:t>os</w:t>
      </w:r>
      <w:r w:rsidR="0089298C" w:rsidRPr="002F50BD">
        <w:rPr>
          <w:rFonts w:ascii="Verdana" w:hAnsi="Verdana"/>
          <w:sz w:val="20"/>
          <w:lang w:val="pt-BR"/>
        </w:rPr>
        <w:t xml:space="preserve"> pela Comissão</w:t>
      </w:r>
      <w:r w:rsidR="0075425F" w:rsidRPr="002F50BD">
        <w:rPr>
          <w:rFonts w:ascii="Verdana" w:hAnsi="Verdana"/>
          <w:sz w:val="20"/>
          <w:lang w:val="pt-BR"/>
        </w:rPr>
        <w:t>,</w:t>
      </w:r>
      <w:r w:rsidR="0089298C" w:rsidRPr="002F50BD">
        <w:rPr>
          <w:rFonts w:ascii="Verdana" w:hAnsi="Verdana"/>
          <w:sz w:val="20"/>
          <w:lang w:val="pt-BR"/>
        </w:rPr>
        <w:t xml:space="preserve"> </w:t>
      </w:r>
      <w:r w:rsidR="0075425F" w:rsidRPr="002F50BD">
        <w:rPr>
          <w:rFonts w:ascii="Verdana" w:hAnsi="Verdana"/>
          <w:sz w:val="20"/>
          <w:lang w:val="pt-BR"/>
        </w:rPr>
        <w:t>pel</w:t>
      </w:r>
      <w:r w:rsidR="0089298C" w:rsidRPr="002F50BD">
        <w:rPr>
          <w:rFonts w:ascii="Verdana" w:hAnsi="Verdana"/>
          <w:sz w:val="20"/>
          <w:lang w:val="pt-BR"/>
        </w:rPr>
        <w:t xml:space="preserve">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pelo </w:t>
      </w:r>
      <w:r w:rsidR="004756C1" w:rsidRPr="002F50BD">
        <w:rPr>
          <w:rFonts w:ascii="Verdana" w:hAnsi="Verdana"/>
          <w:sz w:val="20"/>
          <w:lang w:val="pt-BR"/>
        </w:rPr>
        <w:t xml:space="preserve">Estado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38</w:t>
      </w:r>
      <w:r w:rsidR="004756C1" w:rsidRPr="002F50BD">
        <w:rPr>
          <w:rFonts w:ascii="Verdana" w:hAnsi="Verdana"/>
          <w:sz w:val="20"/>
          <w:lang w:val="pt-BR"/>
        </w:rPr>
        <w:t xml:space="preserve">.a, </w:t>
      </w:r>
      <w:r w:rsidRPr="002F50BD">
        <w:rPr>
          <w:rFonts w:ascii="Verdana" w:hAnsi="Verdana"/>
          <w:sz w:val="20"/>
          <w:lang w:val="pt-BR"/>
        </w:rPr>
        <w:t>38</w:t>
      </w:r>
      <w:r w:rsidR="004756C1" w:rsidRPr="002F50BD">
        <w:rPr>
          <w:rFonts w:ascii="Verdana" w:hAnsi="Verdana"/>
          <w:sz w:val="20"/>
          <w:lang w:val="pt-BR"/>
        </w:rPr>
        <w:t xml:space="preserve">.b, </w:t>
      </w:r>
      <w:r w:rsidRPr="002F50BD">
        <w:rPr>
          <w:rFonts w:ascii="Verdana" w:hAnsi="Verdana"/>
          <w:sz w:val="20"/>
          <w:lang w:val="pt-BR"/>
        </w:rPr>
        <w:t>38</w:t>
      </w:r>
      <w:r w:rsidR="004756C1" w:rsidRPr="002F50BD">
        <w:rPr>
          <w:rFonts w:ascii="Verdana" w:hAnsi="Verdana"/>
          <w:sz w:val="20"/>
          <w:lang w:val="pt-BR"/>
        </w:rPr>
        <w:t xml:space="preserve">.c, </w:t>
      </w:r>
      <w:r w:rsidRPr="002F50BD">
        <w:rPr>
          <w:rFonts w:ascii="Verdana" w:hAnsi="Verdana"/>
          <w:sz w:val="20"/>
          <w:lang w:val="pt-BR"/>
        </w:rPr>
        <w:t>38</w:t>
      </w:r>
      <w:r w:rsidR="004756C1" w:rsidRPr="002F50BD">
        <w:rPr>
          <w:rFonts w:ascii="Verdana" w:hAnsi="Verdana"/>
          <w:sz w:val="20"/>
          <w:lang w:val="pt-BR"/>
        </w:rPr>
        <w:t xml:space="preserve">.d, </w:t>
      </w:r>
      <w:r w:rsidRPr="002F50BD">
        <w:rPr>
          <w:rFonts w:ascii="Verdana" w:hAnsi="Verdana"/>
          <w:sz w:val="20"/>
          <w:lang w:val="pt-BR"/>
        </w:rPr>
        <w:t>38</w:t>
      </w:r>
      <w:r w:rsidR="004756C1" w:rsidRPr="002F50BD">
        <w:rPr>
          <w:rFonts w:ascii="Verdana" w:hAnsi="Verdana"/>
          <w:sz w:val="20"/>
          <w:lang w:val="pt-BR"/>
        </w:rPr>
        <w:t xml:space="preserve">.e, </w:t>
      </w:r>
      <w:r w:rsidRPr="002F50BD">
        <w:rPr>
          <w:rFonts w:ascii="Verdana" w:hAnsi="Verdana"/>
          <w:sz w:val="20"/>
          <w:lang w:val="pt-BR"/>
        </w:rPr>
        <w:t>38</w:t>
      </w:r>
      <w:r w:rsidR="004756C1" w:rsidRPr="002F50BD">
        <w:rPr>
          <w:rFonts w:ascii="Verdana" w:hAnsi="Verdana"/>
          <w:sz w:val="20"/>
          <w:lang w:val="pt-BR"/>
        </w:rPr>
        <w:t xml:space="preserve">.f, </w:t>
      </w:r>
      <w:r w:rsidRPr="002F50BD">
        <w:rPr>
          <w:rFonts w:ascii="Verdana" w:hAnsi="Verdana"/>
          <w:sz w:val="20"/>
          <w:lang w:val="pt-BR"/>
        </w:rPr>
        <w:t>38</w:t>
      </w:r>
      <w:r w:rsidR="004756C1" w:rsidRPr="002F50BD">
        <w:rPr>
          <w:rFonts w:ascii="Verdana" w:hAnsi="Verdana"/>
          <w:sz w:val="20"/>
          <w:lang w:val="pt-BR"/>
        </w:rPr>
        <w:t>.g</w:t>
      </w:r>
      <w:r w:rsidR="0089298C" w:rsidRPr="002F50BD">
        <w:rPr>
          <w:rFonts w:ascii="Verdana" w:hAnsi="Verdana"/>
          <w:sz w:val="20"/>
          <w:lang w:val="pt-BR"/>
        </w:rPr>
        <w:t xml:space="preserve"> e </w:t>
      </w:r>
      <w:r w:rsidRPr="002F50BD">
        <w:rPr>
          <w:rFonts w:ascii="Verdana" w:hAnsi="Verdana"/>
          <w:sz w:val="20"/>
          <w:lang w:val="pt-BR"/>
        </w:rPr>
        <w:t>38</w:t>
      </w:r>
      <w:r w:rsidR="004756C1" w:rsidRPr="002F50BD">
        <w:rPr>
          <w:rFonts w:ascii="Verdana" w:hAnsi="Verdana"/>
          <w:sz w:val="20"/>
          <w:lang w:val="pt-BR"/>
        </w:rPr>
        <w:t>.h</w:t>
      </w:r>
      <w:r w:rsidR="0075425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conforme</w:t>
      </w:r>
      <w:r w:rsidR="0089298C" w:rsidRPr="002F50BD">
        <w:rPr>
          <w:rFonts w:ascii="Verdana" w:hAnsi="Verdana"/>
          <w:sz w:val="20"/>
          <w:lang w:val="pt-BR"/>
        </w:rPr>
        <w:t xml:space="preserve"> o </w:t>
      </w:r>
      <w:r w:rsidR="0075425F" w:rsidRPr="002F50BD">
        <w:rPr>
          <w:rFonts w:ascii="Verdana" w:hAnsi="Verdana"/>
          <w:sz w:val="20"/>
          <w:lang w:val="pt-BR"/>
        </w:rPr>
        <w:t xml:space="preserve">ordenado </w:t>
      </w:r>
      <w:r w:rsidR="0089298C" w:rsidRPr="002F50BD">
        <w:rPr>
          <w:rFonts w:ascii="Verdana" w:hAnsi="Verdana"/>
          <w:sz w:val="20"/>
          <w:lang w:val="pt-BR"/>
        </w:rPr>
        <w:t xml:space="preserve">pelo </w:t>
      </w:r>
      <w:r w:rsidR="004756C1" w:rsidRPr="002F50BD">
        <w:rPr>
          <w:rFonts w:ascii="Verdana" w:hAnsi="Verdana"/>
          <w:sz w:val="20"/>
          <w:lang w:val="pt-BR"/>
        </w:rPr>
        <w:t xml:space="preserve">Presidente </w:t>
      </w:r>
      <w:r w:rsidR="0075425F" w:rsidRPr="002F50BD">
        <w:rPr>
          <w:rFonts w:ascii="Verdana" w:hAnsi="Verdana"/>
          <w:sz w:val="20"/>
          <w:lang w:val="pt-BR"/>
        </w:rPr>
        <w:t xml:space="preserve">por meio da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31</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2005</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w:t>
      </w:r>
      <w:r w:rsidR="0089298C" w:rsidRPr="002F50BD">
        <w:rPr>
          <w:rFonts w:ascii="Verdana" w:hAnsi="Verdana"/>
          <w:sz w:val="20"/>
          <w:lang w:val="pt-BR"/>
        </w:rPr>
        <w:t xml:space="preserve"> os </w:t>
      </w:r>
      <w:r w:rsidR="004756C1" w:rsidRPr="002F50BD">
        <w:rPr>
          <w:rFonts w:ascii="Verdana" w:hAnsi="Verdana"/>
          <w:sz w:val="20"/>
          <w:lang w:val="pt-BR"/>
        </w:rPr>
        <w:t>admite</w:t>
      </w:r>
      <w:r w:rsidR="0089298C" w:rsidRPr="002F50BD">
        <w:rPr>
          <w:rFonts w:ascii="Verdana" w:hAnsi="Verdana"/>
          <w:sz w:val="20"/>
          <w:lang w:val="pt-BR"/>
        </w:rPr>
        <w:t xml:space="preserve"> </w:t>
      </w:r>
      <w:r w:rsidR="0075425F" w:rsidRPr="002F50BD">
        <w:rPr>
          <w:rFonts w:ascii="Verdana" w:hAnsi="Verdana"/>
          <w:sz w:val="20"/>
          <w:lang w:val="pt-BR"/>
        </w:rPr>
        <w:t xml:space="preserve">na medida em que concordem </w:t>
      </w:r>
      <w:r w:rsidR="0089298C" w:rsidRPr="002F50BD">
        <w:rPr>
          <w:rFonts w:ascii="Verdana" w:hAnsi="Verdana"/>
          <w:sz w:val="20"/>
          <w:lang w:val="pt-BR"/>
        </w:rPr>
        <w:t xml:space="preserve">com o </w:t>
      </w:r>
      <w:r w:rsidR="004756C1" w:rsidRPr="002F50BD">
        <w:rPr>
          <w:rFonts w:ascii="Verdana" w:hAnsi="Verdana"/>
          <w:sz w:val="20"/>
          <w:lang w:val="pt-BR"/>
        </w:rPr>
        <w:t>objeto definido</w:t>
      </w:r>
      <w:r w:rsidR="0089298C" w:rsidRPr="002F50BD">
        <w:rPr>
          <w:rFonts w:ascii="Verdana" w:hAnsi="Verdana"/>
          <w:sz w:val="20"/>
          <w:lang w:val="pt-BR"/>
        </w:rPr>
        <w:t xml:space="preserve"> na </w:t>
      </w:r>
      <w:r w:rsidR="004756C1" w:rsidRPr="002F50BD">
        <w:rPr>
          <w:rFonts w:ascii="Verdana" w:hAnsi="Verdana"/>
          <w:sz w:val="20"/>
          <w:lang w:val="pt-BR"/>
        </w:rPr>
        <w:t>referida Resolu</w:t>
      </w:r>
      <w:r w:rsidR="0089298C" w:rsidRPr="002F50BD">
        <w:rPr>
          <w:rFonts w:ascii="Verdana" w:hAnsi="Verdana"/>
          <w:sz w:val="20"/>
          <w:lang w:val="pt-BR"/>
        </w:rPr>
        <w:t xml:space="preserve">ção e os </w:t>
      </w:r>
      <w:r w:rsidR="006C4368" w:rsidRPr="002F50BD">
        <w:rPr>
          <w:rFonts w:ascii="Verdana" w:hAnsi="Verdana"/>
          <w:sz w:val="20"/>
          <w:lang w:val="pt-BR"/>
        </w:rPr>
        <w:t>aprecia</w:t>
      </w:r>
      <w:r w:rsidR="0089298C" w:rsidRPr="002F50BD">
        <w:rPr>
          <w:rFonts w:ascii="Verdana" w:hAnsi="Verdana"/>
          <w:sz w:val="20"/>
          <w:lang w:val="pt-BR"/>
        </w:rPr>
        <w:t xml:space="preserve"> no </w:t>
      </w:r>
      <w:r w:rsidR="004756C1" w:rsidRPr="002F50BD">
        <w:rPr>
          <w:rFonts w:ascii="Verdana" w:hAnsi="Verdana"/>
          <w:sz w:val="20"/>
          <w:lang w:val="pt-BR"/>
        </w:rPr>
        <w:t xml:space="preserve">conjunto </w:t>
      </w:r>
      <w:r w:rsidR="0089298C" w:rsidRPr="002F50BD">
        <w:rPr>
          <w:rFonts w:ascii="Verdana" w:hAnsi="Verdana"/>
          <w:sz w:val="20"/>
          <w:lang w:val="pt-BR"/>
        </w:rPr>
        <w:t xml:space="preserve">do </w:t>
      </w:r>
      <w:r w:rsidR="004756C1" w:rsidRPr="002F50BD">
        <w:rPr>
          <w:rFonts w:ascii="Verdana" w:hAnsi="Verdana"/>
          <w:sz w:val="20"/>
          <w:lang w:val="pt-BR"/>
        </w:rPr>
        <w:t xml:space="preserve">acervo </w:t>
      </w:r>
      <w:r w:rsidR="0089298C" w:rsidRPr="002F50BD">
        <w:rPr>
          <w:rFonts w:ascii="Verdana" w:hAnsi="Verdana"/>
          <w:sz w:val="20"/>
          <w:lang w:val="pt-BR"/>
        </w:rPr>
        <w:t>probatório</w:t>
      </w:r>
      <w:r w:rsidR="004756C1" w:rsidRPr="002F50BD">
        <w:rPr>
          <w:rFonts w:ascii="Verdana" w:hAnsi="Verdana"/>
          <w:sz w:val="20"/>
          <w:lang w:val="pt-BR"/>
        </w:rPr>
        <w:t>, aplicando</w:t>
      </w:r>
      <w:r w:rsidR="0089298C" w:rsidRPr="002F50BD">
        <w:rPr>
          <w:rFonts w:ascii="Verdana" w:hAnsi="Verdana"/>
          <w:sz w:val="20"/>
          <w:lang w:val="pt-BR"/>
        </w:rPr>
        <w:t xml:space="preserve"> as regras da crítica sã e </w:t>
      </w:r>
      <w:r w:rsidR="004F64EE" w:rsidRPr="002F50BD">
        <w:rPr>
          <w:rFonts w:ascii="Verdana" w:hAnsi="Verdana"/>
          <w:sz w:val="20"/>
          <w:lang w:val="pt-BR"/>
        </w:rPr>
        <w:t>levando</w:t>
      </w:r>
      <w:r w:rsidR="0089298C" w:rsidRPr="002F50BD">
        <w:rPr>
          <w:rFonts w:ascii="Verdana" w:hAnsi="Verdana"/>
          <w:sz w:val="20"/>
          <w:lang w:val="pt-BR"/>
        </w:rPr>
        <w:t xml:space="preserve"> em conta as </w:t>
      </w:r>
      <w:r w:rsidR="004756C1" w:rsidRPr="002F50BD">
        <w:rPr>
          <w:rFonts w:ascii="Verdana" w:hAnsi="Verdana"/>
          <w:sz w:val="20"/>
          <w:lang w:val="pt-BR"/>
        </w:rPr>
        <w:t>observa</w:t>
      </w:r>
      <w:r w:rsidR="0089298C" w:rsidRPr="002F50BD">
        <w:rPr>
          <w:rFonts w:ascii="Verdana" w:hAnsi="Verdana"/>
          <w:sz w:val="20"/>
          <w:lang w:val="pt-BR"/>
        </w:rPr>
        <w:t xml:space="preserve">ções apresentadas pelas </w:t>
      </w:r>
      <w:r w:rsidR="004756C1" w:rsidRPr="002F50BD">
        <w:rPr>
          <w:rFonts w:ascii="Verdana" w:hAnsi="Verdana"/>
          <w:sz w:val="20"/>
          <w:lang w:val="pt-BR"/>
        </w:rPr>
        <w:t xml:space="preserve">partes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22</w:t>
      </w:r>
      <w:r w:rsidR="00E0019F" w:rsidRPr="002F50BD">
        <w:rPr>
          <w:rFonts w:ascii="Verdana" w:hAnsi="Verdana"/>
          <w:i/>
          <w:sz w:val="20"/>
          <w:lang w:val="pt-BR"/>
        </w:rPr>
        <w:t xml:space="preserve"> supra</w:t>
      </w:r>
      <w:r w:rsidR="00CF451D" w:rsidRPr="00CF451D">
        <w:rPr>
          <w:rFonts w:ascii="Verdana" w:hAnsi="Verdana"/>
          <w:sz w:val="20"/>
          <w:lang w:val="pt-BR"/>
        </w:rPr>
        <w:t>)</w:t>
      </w:r>
      <w:r w:rsidR="001A0CDE" w:rsidRPr="002F50BD">
        <w:rPr>
          <w:rFonts w:ascii="Verdana" w:hAnsi="Verdana"/>
          <w:sz w:val="20"/>
          <w:lang w:val="pt-BR"/>
        </w:rPr>
        <w:t xml:space="preserve">. </w:t>
      </w:r>
      <w:r w:rsidR="00CF451D">
        <w:rPr>
          <w:rFonts w:ascii="Verdana" w:hAnsi="Verdana"/>
          <w:sz w:val="20"/>
          <w:lang w:val="pt-BR"/>
        </w:rPr>
        <w:t>Nesse sentido,</w:t>
      </w:r>
      <w:r w:rsidR="0089298C" w:rsidRPr="002F50BD">
        <w:rPr>
          <w:rFonts w:ascii="Verdana" w:hAnsi="Verdana"/>
          <w:sz w:val="20"/>
          <w:lang w:val="pt-BR"/>
        </w:rPr>
        <w:t xml:space="preserve"> a </w:t>
      </w:r>
      <w:r w:rsidR="004756C1" w:rsidRPr="002F50BD">
        <w:rPr>
          <w:rFonts w:ascii="Verdana" w:hAnsi="Verdana"/>
          <w:sz w:val="20"/>
          <w:lang w:val="pt-BR"/>
        </w:rPr>
        <w:t>declara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senhor </w:t>
      </w:r>
      <w:r w:rsidR="004756C1" w:rsidRPr="002F50BD">
        <w:rPr>
          <w:rFonts w:ascii="Verdana" w:hAnsi="Verdana"/>
          <w:sz w:val="20"/>
          <w:lang w:val="pt-BR"/>
        </w:rPr>
        <w:t xml:space="preserve">Albino Fernández, por </w:t>
      </w:r>
      <w:r w:rsidR="0089298C" w:rsidRPr="002F50BD">
        <w:rPr>
          <w:rFonts w:ascii="Verdana" w:hAnsi="Verdana"/>
          <w:sz w:val="20"/>
          <w:lang w:val="pt-BR"/>
        </w:rPr>
        <w:t>tratar-se</w:t>
      </w:r>
      <w:r w:rsidR="004756C1" w:rsidRPr="002F50BD">
        <w:rPr>
          <w:rFonts w:ascii="Verdana" w:hAnsi="Verdana"/>
          <w:sz w:val="20"/>
          <w:lang w:val="pt-BR"/>
        </w:rPr>
        <w:t xml:space="preserve"> de</w:t>
      </w:r>
      <w:r w:rsidR="0089298C" w:rsidRPr="002F50BD">
        <w:rPr>
          <w:rFonts w:ascii="Verdana" w:hAnsi="Verdana"/>
          <w:sz w:val="20"/>
          <w:lang w:val="pt-BR"/>
        </w:rPr>
        <w:t xml:space="preserve"> uma das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s</w:t>
      </w:r>
      <w:r w:rsidR="0089298C" w:rsidRPr="002F50BD">
        <w:rPr>
          <w:rFonts w:ascii="Verdana" w:hAnsi="Verdana"/>
          <w:sz w:val="20"/>
          <w:lang w:val="pt-BR"/>
        </w:rPr>
        <w:t xml:space="preserve"> e ter um interesse diret</w:t>
      </w:r>
      <w:r w:rsidR="004756C1" w:rsidRPr="002F50BD">
        <w:rPr>
          <w:rFonts w:ascii="Verdana" w:hAnsi="Verdana"/>
          <w:sz w:val="20"/>
          <w:lang w:val="pt-BR"/>
        </w:rPr>
        <w:t>o</w:t>
      </w:r>
      <w:r w:rsidR="0089298C" w:rsidRPr="002F50BD">
        <w:rPr>
          <w:rFonts w:ascii="Verdana" w:hAnsi="Verdana"/>
          <w:sz w:val="20"/>
          <w:lang w:val="pt-BR"/>
        </w:rPr>
        <w:t xml:space="preserve"> neste </w:t>
      </w:r>
      <w:r w:rsidR="004756C1" w:rsidRPr="002F50BD">
        <w:rPr>
          <w:rFonts w:ascii="Verdana" w:hAnsi="Verdana"/>
          <w:sz w:val="20"/>
          <w:lang w:val="pt-BR"/>
        </w:rPr>
        <w:t xml:space="preserve">caso, </w:t>
      </w:r>
      <w:r w:rsidR="00AB454A" w:rsidRPr="002F50BD">
        <w:rPr>
          <w:rFonts w:ascii="Verdana" w:hAnsi="Verdana"/>
          <w:sz w:val="20"/>
          <w:lang w:val="pt-BR"/>
        </w:rPr>
        <w:t>não pode</w:t>
      </w:r>
      <w:r w:rsidR="004756C1" w:rsidRPr="002F50BD">
        <w:rPr>
          <w:rFonts w:ascii="Verdana" w:hAnsi="Verdana"/>
          <w:sz w:val="20"/>
          <w:lang w:val="pt-BR"/>
        </w:rPr>
        <w:t xml:space="preserve"> ser </w:t>
      </w:r>
      <w:r w:rsidR="006C4368" w:rsidRPr="002F50BD">
        <w:rPr>
          <w:rFonts w:ascii="Verdana" w:hAnsi="Verdana"/>
          <w:sz w:val="20"/>
          <w:lang w:val="pt-BR"/>
        </w:rPr>
        <w:t>a</w:t>
      </w:r>
      <w:r w:rsidR="004756C1" w:rsidRPr="002F50BD">
        <w:rPr>
          <w:rFonts w:ascii="Verdana" w:hAnsi="Verdana"/>
          <w:sz w:val="20"/>
          <w:lang w:val="pt-BR"/>
        </w:rPr>
        <w:t>val</w:t>
      </w:r>
      <w:r w:rsidR="006C4368" w:rsidRPr="002F50BD">
        <w:rPr>
          <w:rFonts w:ascii="Verdana" w:hAnsi="Verdana"/>
          <w:sz w:val="20"/>
          <w:lang w:val="pt-BR"/>
        </w:rPr>
        <w:t>i</w:t>
      </w:r>
      <w:r w:rsidR="004756C1" w:rsidRPr="002F50BD">
        <w:rPr>
          <w:rFonts w:ascii="Verdana" w:hAnsi="Verdana"/>
          <w:sz w:val="20"/>
          <w:lang w:val="pt-BR"/>
        </w:rPr>
        <w:t xml:space="preserve">ada </w:t>
      </w:r>
      <w:r w:rsidR="0089298C" w:rsidRPr="002F50BD">
        <w:rPr>
          <w:rFonts w:ascii="Verdana" w:hAnsi="Verdana"/>
          <w:sz w:val="20"/>
          <w:lang w:val="pt-BR"/>
        </w:rPr>
        <w:t>isoladamente</w:t>
      </w:r>
      <w:r w:rsidR="004756C1" w:rsidRPr="002F50BD">
        <w:rPr>
          <w:rFonts w:ascii="Verdana" w:hAnsi="Verdana"/>
          <w:sz w:val="20"/>
          <w:lang w:val="pt-BR"/>
        </w:rPr>
        <w:t>,</w:t>
      </w:r>
      <w:r w:rsidR="0089298C" w:rsidRPr="002F50BD">
        <w:rPr>
          <w:rFonts w:ascii="Verdana" w:hAnsi="Verdana"/>
          <w:sz w:val="20"/>
          <w:lang w:val="pt-BR"/>
        </w:rPr>
        <w:t xml:space="preserve"> mas </w:t>
      </w:r>
      <w:r w:rsidR="004756C1" w:rsidRPr="002F50BD">
        <w:rPr>
          <w:rFonts w:ascii="Verdana" w:hAnsi="Verdana"/>
          <w:sz w:val="20"/>
          <w:lang w:val="pt-BR"/>
        </w:rPr>
        <w:t xml:space="preserve">dentro </w:t>
      </w:r>
      <w:r w:rsidR="0089298C" w:rsidRPr="002F50BD">
        <w:rPr>
          <w:rFonts w:ascii="Verdana" w:hAnsi="Verdana"/>
          <w:sz w:val="20"/>
          <w:lang w:val="pt-BR"/>
        </w:rPr>
        <w:t xml:space="preserve">do </w:t>
      </w:r>
      <w:r w:rsidR="004756C1" w:rsidRPr="002F50BD">
        <w:rPr>
          <w:rFonts w:ascii="Verdana" w:hAnsi="Verdana"/>
          <w:sz w:val="20"/>
          <w:lang w:val="pt-BR"/>
        </w:rPr>
        <w:t>conjunto</w:t>
      </w:r>
      <w:r w:rsidR="0089298C" w:rsidRPr="002F50BD">
        <w:rPr>
          <w:rFonts w:ascii="Verdana" w:hAnsi="Verdana"/>
          <w:sz w:val="20"/>
          <w:lang w:val="pt-BR"/>
        </w:rPr>
        <w:t xml:space="preserve"> das prova</w:t>
      </w:r>
      <w:r w:rsidR="004756C1" w:rsidRPr="002F50BD">
        <w:rPr>
          <w:rFonts w:ascii="Verdana" w:hAnsi="Verdana"/>
          <w:sz w:val="20"/>
          <w:lang w:val="pt-BR"/>
        </w:rPr>
        <w:t xml:space="preserve">s </w:t>
      </w:r>
      <w:r w:rsidR="0089298C" w:rsidRPr="002F50BD">
        <w:rPr>
          <w:rFonts w:ascii="Verdana" w:hAnsi="Verdana"/>
          <w:sz w:val="20"/>
          <w:lang w:val="pt-BR"/>
        </w:rPr>
        <w:t>do processo</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Como</w:t>
      </w:r>
      <w:r w:rsidR="0089298C" w:rsidRPr="002F50BD">
        <w:rPr>
          <w:rFonts w:ascii="Verdana" w:hAnsi="Verdana"/>
          <w:sz w:val="20"/>
          <w:lang w:val="pt-BR"/>
        </w:rPr>
        <w:t xml:space="preserve"> já </w:t>
      </w:r>
      <w:r w:rsidR="004076AD" w:rsidRPr="002F50BD">
        <w:rPr>
          <w:rFonts w:ascii="Verdana" w:hAnsi="Verdana"/>
          <w:sz w:val="20"/>
          <w:lang w:val="pt-BR"/>
        </w:rPr>
        <w:t>indicou</w:t>
      </w:r>
      <w:r w:rsidR="004756C1" w:rsidRPr="002F50BD">
        <w:rPr>
          <w:rFonts w:ascii="Verdana" w:hAnsi="Verdana"/>
          <w:sz w:val="20"/>
          <w:lang w:val="pt-BR"/>
        </w:rPr>
        <w:t xml:space="preserve"> esta Corte,</w:t>
      </w:r>
      <w:r w:rsidR="0089298C" w:rsidRPr="002F50BD">
        <w:rPr>
          <w:rFonts w:ascii="Verdana" w:hAnsi="Verdana"/>
          <w:sz w:val="20"/>
          <w:lang w:val="pt-BR"/>
        </w:rPr>
        <w:t xml:space="preserve"> </w:t>
      </w:r>
      <w:r w:rsidR="004A6BCD" w:rsidRPr="002F50BD">
        <w:rPr>
          <w:rFonts w:ascii="Verdana" w:hAnsi="Verdana"/>
          <w:sz w:val="20"/>
          <w:lang w:val="pt-BR"/>
        </w:rPr>
        <w:t xml:space="preserve">tanto </w:t>
      </w:r>
      <w:r w:rsidR="0089298C" w:rsidRPr="002F50BD">
        <w:rPr>
          <w:rFonts w:ascii="Verdana" w:hAnsi="Verdana"/>
          <w:sz w:val="20"/>
          <w:lang w:val="pt-BR"/>
        </w:rPr>
        <w:t xml:space="preserve">em matéria </w:t>
      </w:r>
      <w:r w:rsidR="004756C1" w:rsidRPr="002F50BD">
        <w:rPr>
          <w:rFonts w:ascii="Verdana" w:hAnsi="Verdana"/>
          <w:sz w:val="20"/>
          <w:lang w:val="pt-BR"/>
        </w:rPr>
        <w:t xml:space="preserve">de </w:t>
      </w:r>
      <w:r w:rsidR="0089298C" w:rsidRPr="002F50BD">
        <w:rPr>
          <w:rFonts w:ascii="Verdana" w:hAnsi="Verdana"/>
          <w:sz w:val="20"/>
          <w:lang w:val="pt-BR"/>
        </w:rPr>
        <w:t>mérito</w:t>
      </w:r>
      <w:r w:rsidR="004756C1" w:rsidRPr="002F50BD">
        <w:rPr>
          <w:rFonts w:ascii="Verdana" w:hAnsi="Verdana"/>
          <w:sz w:val="20"/>
          <w:lang w:val="pt-BR"/>
        </w:rPr>
        <w:t xml:space="preserve"> como de repara</w:t>
      </w:r>
      <w:r w:rsidR="0089298C" w:rsidRPr="002F50BD">
        <w:rPr>
          <w:rFonts w:ascii="Verdana" w:hAnsi="Verdana"/>
          <w:sz w:val="20"/>
          <w:lang w:val="pt-BR"/>
        </w:rPr>
        <w:t>ções</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declara</w:t>
      </w:r>
      <w:r w:rsidR="0089298C" w:rsidRPr="002F50BD">
        <w:rPr>
          <w:rFonts w:ascii="Verdana" w:hAnsi="Verdana"/>
          <w:sz w:val="20"/>
          <w:lang w:val="pt-BR"/>
        </w:rPr>
        <w:t>ções das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 xml:space="preserve">s, </w:t>
      </w:r>
      <w:r w:rsidR="0089298C" w:rsidRPr="002F50BD">
        <w:rPr>
          <w:rFonts w:ascii="Verdana" w:hAnsi="Verdana"/>
          <w:sz w:val="20"/>
          <w:lang w:val="pt-BR"/>
        </w:rPr>
        <w:t>assim</w:t>
      </w:r>
      <w:r w:rsidR="004756C1" w:rsidRPr="002F50BD">
        <w:rPr>
          <w:rFonts w:ascii="Verdana" w:hAnsi="Verdana"/>
          <w:sz w:val="20"/>
          <w:lang w:val="pt-BR"/>
        </w:rPr>
        <w:t xml:space="preserve"> como</w:t>
      </w:r>
      <w:r w:rsidR="0089298C" w:rsidRPr="002F50BD">
        <w:rPr>
          <w:rFonts w:ascii="Verdana" w:hAnsi="Verdana"/>
          <w:sz w:val="20"/>
          <w:lang w:val="pt-BR"/>
        </w:rPr>
        <w:t xml:space="preserve"> as </w:t>
      </w:r>
      <w:r w:rsidR="004756C1" w:rsidRPr="002F50BD">
        <w:rPr>
          <w:rFonts w:ascii="Verdana" w:hAnsi="Verdana"/>
          <w:sz w:val="20"/>
          <w:lang w:val="pt-BR"/>
        </w:rPr>
        <w:t xml:space="preserve">de </w:t>
      </w:r>
      <w:r w:rsidR="0089298C" w:rsidRPr="002F50BD">
        <w:rPr>
          <w:rFonts w:ascii="Verdana" w:hAnsi="Verdana"/>
          <w:sz w:val="20"/>
          <w:lang w:val="pt-BR"/>
        </w:rPr>
        <w:t xml:space="preserve">seus </w:t>
      </w:r>
      <w:r w:rsidR="009F308E" w:rsidRPr="002F50BD">
        <w:rPr>
          <w:rFonts w:ascii="Verdana" w:hAnsi="Verdana"/>
          <w:sz w:val="20"/>
          <w:lang w:val="pt-BR"/>
        </w:rPr>
        <w:t>familiares</w:t>
      </w:r>
      <w:r w:rsidR="004756C1" w:rsidRPr="002F50BD">
        <w:rPr>
          <w:rFonts w:ascii="Verdana" w:hAnsi="Verdana"/>
          <w:sz w:val="20"/>
          <w:lang w:val="pt-BR"/>
        </w:rPr>
        <w:t>,</w:t>
      </w:r>
      <w:r w:rsidR="0089298C" w:rsidRPr="002F50BD">
        <w:rPr>
          <w:rFonts w:ascii="Verdana" w:hAnsi="Verdana"/>
          <w:sz w:val="20"/>
          <w:lang w:val="pt-BR"/>
        </w:rPr>
        <w:t xml:space="preserve"> são úteis na </w:t>
      </w:r>
      <w:r w:rsidR="004756C1" w:rsidRPr="002F50BD">
        <w:rPr>
          <w:rFonts w:ascii="Verdana" w:hAnsi="Verdana"/>
          <w:sz w:val="20"/>
          <w:lang w:val="pt-BR"/>
        </w:rPr>
        <w:t>medida</w:t>
      </w:r>
      <w:r w:rsidR="0089298C" w:rsidRPr="002F50BD">
        <w:rPr>
          <w:rFonts w:ascii="Verdana" w:hAnsi="Verdana"/>
          <w:sz w:val="20"/>
          <w:lang w:val="pt-BR"/>
        </w:rPr>
        <w:t xml:space="preserve"> em </w:t>
      </w:r>
      <w:r w:rsidR="004756C1" w:rsidRPr="002F50BD">
        <w:rPr>
          <w:rFonts w:ascii="Verdana" w:hAnsi="Verdana"/>
          <w:sz w:val="20"/>
          <w:lang w:val="pt-BR"/>
        </w:rPr>
        <w:t xml:space="preserve">que </w:t>
      </w:r>
      <w:r w:rsidR="00475EBB" w:rsidRPr="002F50BD">
        <w:rPr>
          <w:rFonts w:ascii="Verdana" w:hAnsi="Verdana"/>
          <w:sz w:val="20"/>
          <w:lang w:val="pt-BR"/>
        </w:rPr>
        <w:t xml:space="preserve">podem </w:t>
      </w:r>
      <w:r w:rsidR="004756C1" w:rsidRPr="002F50BD">
        <w:rPr>
          <w:rFonts w:ascii="Verdana" w:hAnsi="Verdana"/>
          <w:sz w:val="20"/>
          <w:lang w:val="pt-BR"/>
        </w:rPr>
        <w:t xml:space="preserve">proporcionar </w:t>
      </w:r>
      <w:r w:rsidR="0089298C" w:rsidRPr="002F50BD">
        <w:rPr>
          <w:rFonts w:ascii="Verdana" w:hAnsi="Verdana"/>
          <w:sz w:val="20"/>
          <w:lang w:val="pt-BR"/>
        </w:rPr>
        <w:t xml:space="preserve">maior </w:t>
      </w:r>
      <w:r w:rsidR="004756C1" w:rsidRPr="002F50BD">
        <w:rPr>
          <w:rFonts w:ascii="Verdana" w:hAnsi="Verdana"/>
          <w:sz w:val="20"/>
          <w:lang w:val="pt-BR"/>
        </w:rPr>
        <w:t>informa</w:t>
      </w:r>
      <w:r w:rsidR="0089298C" w:rsidRPr="002F50BD">
        <w:rPr>
          <w:rFonts w:ascii="Verdana" w:hAnsi="Verdana"/>
          <w:sz w:val="20"/>
          <w:lang w:val="pt-BR"/>
        </w:rPr>
        <w:t>ção</w:t>
      </w:r>
      <w:r w:rsidR="004756C1" w:rsidRPr="002F50BD">
        <w:rPr>
          <w:rFonts w:ascii="Verdana" w:hAnsi="Verdana"/>
          <w:sz w:val="20"/>
          <w:lang w:val="pt-BR"/>
        </w:rPr>
        <w:t xml:space="preserve"> sobre</w:t>
      </w:r>
      <w:r w:rsidR="0089298C" w:rsidRPr="002F50BD">
        <w:rPr>
          <w:rFonts w:ascii="Verdana" w:hAnsi="Verdana"/>
          <w:sz w:val="20"/>
          <w:lang w:val="pt-BR"/>
        </w:rPr>
        <w:t xml:space="preserve"> as </w:t>
      </w:r>
      <w:r w:rsidR="004756C1" w:rsidRPr="002F50BD">
        <w:rPr>
          <w:rFonts w:ascii="Verdana" w:hAnsi="Verdana"/>
          <w:sz w:val="20"/>
          <w:lang w:val="pt-BR"/>
        </w:rPr>
        <w:t>alegadas viola</w:t>
      </w:r>
      <w:r w:rsidR="0089298C" w:rsidRPr="002F50BD">
        <w:rPr>
          <w:rFonts w:ascii="Verdana" w:hAnsi="Verdana"/>
          <w:sz w:val="20"/>
          <w:lang w:val="pt-BR"/>
        </w:rPr>
        <w:t>ções</w:t>
      </w:r>
      <w:r w:rsidR="004756C1" w:rsidRPr="002F50BD">
        <w:rPr>
          <w:rFonts w:ascii="Verdana" w:hAnsi="Verdana"/>
          <w:sz w:val="20"/>
          <w:lang w:val="pt-BR"/>
        </w:rPr>
        <w:t xml:space="preserve"> que </w:t>
      </w:r>
      <w:r w:rsidR="0075425F" w:rsidRPr="002F50BD">
        <w:rPr>
          <w:rFonts w:ascii="Verdana" w:hAnsi="Verdana"/>
          <w:sz w:val="20"/>
          <w:lang w:val="pt-BR"/>
        </w:rPr>
        <w:t xml:space="preserve">possam </w:t>
      </w:r>
      <w:r w:rsidR="0089298C" w:rsidRPr="002F50BD">
        <w:rPr>
          <w:rFonts w:ascii="Verdana" w:hAnsi="Verdana"/>
          <w:sz w:val="20"/>
          <w:lang w:val="pt-BR"/>
        </w:rPr>
        <w:t>ter</w:t>
      </w:r>
      <w:r w:rsidR="004756C1" w:rsidRPr="002F50BD">
        <w:rPr>
          <w:rFonts w:ascii="Verdana" w:hAnsi="Verdana"/>
          <w:sz w:val="20"/>
          <w:lang w:val="pt-BR"/>
        </w:rPr>
        <w:t xml:space="preserve"> sido perpetradas</w:t>
      </w:r>
      <w:r w:rsidR="0089298C" w:rsidRPr="002F50BD">
        <w:rPr>
          <w:rFonts w:ascii="Verdana" w:hAnsi="Verdana"/>
          <w:sz w:val="20"/>
          <w:lang w:val="pt-BR"/>
        </w:rPr>
        <w:t xml:space="preserve"> e suas consequências</w:t>
      </w:r>
      <w:r w:rsidR="0075425F" w:rsidRPr="002F50BD">
        <w:rPr>
          <w:rFonts w:ascii="Verdana" w:hAnsi="Verdana"/>
          <w:sz w:val="20"/>
          <w:lang w:val="pt-BR"/>
        </w:rPr>
        <w:t>.</w:t>
      </w:r>
      <w:r w:rsidR="004756C1" w:rsidRPr="002F50BD">
        <w:rPr>
          <w:rStyle w:val="FootnoteReference"/>
          <w:rFonts w:ascii="Verdana" w:hAnsi="Verdana"/>
          <w:lang w:val="es-ES_tradnl"/>
        </w:rPr>
        <w:footnoteReference w:id="11"/>
      </w:r>
      <w:r w:rsidR="004756C1" w:rsidRPr="002F50BD">
        <w:rPr>
          <w:rFonts w:ascii="Verdana" w:hAnsi="Verdana"/>
          <w:sz w:val="20"/>
          <w:lang w:val="pt-BR"/>
        </w:rPr>
        <w:t xml:space="preserve"> </w:t>
      </w:r>
    </w:p>
    <w:p w:rsidR="004756C1" w:rsidRPr="002F50BD" w:rsidRDefault="004756C1">
      <w:pPr>
        <w:pStyle w:val="Sangradetindependiente"/>
        <w:spacing w:line="240" w:lineRule="auto"/>
        <w:jc w:val="both"/>
        <w:rPr>
          <w:rFonts w:ascii="Verdana" w:hAnsi="Verdana"/>
          <w:sz w:val="20"/>
          <w:lang w:val="pt-BR"/>
        </w:rPr>
      </w:pPr>
    </w:p>
    <w:p w:rsidR="004756C1" w:rsidRPr="002F50BD" w:rsidRDefault="00063B47">
      <w:pPr>
        <w:pStyle w:val="Sangradetindependiente"/>
        <w:widowControl w:val="0"/>
        <w:spacing w:line="240" w:lineRule="auto"/>
        <w:jc w:val="both"/>
        <w:rPr>
          <w:rFonts w:ascii="Verdana" w:hAnsi="Verdana"/>
          <w:b/>
          <w:sz w:val="20"/>
          <w:lang w:val="pt-BR"/>
        </w:rPr>
      </w:pPr>
      <w:r w:rsidRPr="002F50BD">
        <w:rPr>
          <w:rFonts w:ascii="Verdana" w:hAnsi="Verdana"/>
          <w:sz w:val="20"/>
          <w:lang w:val="pt-BR"/>
        </w:rPr>
        <w:t>44</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A Corte</w:t>
      </w:r>
      <w:r w:rsidR="004756C1" w:rsidRPr="002F50BD">
        <w:rPr>
          <w:rFonts w:ascii="Verdana" w:hAnsi="Verdana"/>
          <w:sz w:val="20"/>
          <w:lang w:val="pt-BR"/>
        </w:rPr>
        <w:t xml:space="preserve"> considera </w:t>
      </w:r>
      <w:r w:rsidR="0089298C" w:rsidRPr="002F50BD">
        <w:rPr>
          <w:rFonts w:ascii="Verdana" w:hAnsi="Verdana"/>
          <w:sz w:val="20"/>
          <w:lang w:val="pt-BR"/>
        </w:rPr>
        <w:t>úteis</w:t>
      </w:r>
      <w:r w:rsidR="004756C1" w:rsidRPr="002F50BD">
        <w:rPr>
          <w:rFonts w:ascii="Verdana" w:hAnsi="Verdana"/>
          <w:sz w:val="20"/>
          <w:lang w:val="pt-BR"/>
        </w:rPr>
        <w:t xml:space="preserve"> para</w:t>
      </w:r>
      <w:r w:rsidR="0089298C" w:rsidRPr="002F50BD">
        <w:rPr>
          <w:rFonts w:ascii="Verdana" w:hAnsi="Verdana"/>
          <w:sz w:val="20"/>
          <w:lang w:val="pt-BR"/>
        </w:rPr>
        <w:t xml:space="preserve"> 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presente caso</w:t>
      </w:r>
      <w:r w:rsidR="0089298C" w:rsidRPr="002F50BD">
        <w:rPr>
          <w:rFonts w:ascii="Verdana" w:hAnsi="Verdana"/>
          <w:sz w:val="20"/>
          <w:lang w:val="pt-BR"/>
        </w:rPr>
        <w:t xml:space="preserve"> os </w:t>
      </w:r>
      <w:r w:rsidR="004756C1" w:rsidRPr="002F50BD">
        <w:rPr>
          <w:rFonts w:ascii="Verdana" w:hAnsi="Verdana"/>
          <w:sz w:val="20"/>
          <w:lang w:val="pt-BR"/>
        </w:rPr>
        <w:t>documentos</w:t>
      </w:r>
      <w:r w:rsidR="0089298C" w:rsidRPr="002F50BD">
        <w:rPr>
          <w:rFonts w:ascii="Verdana" w:hAnsi="Verdana"/>
          <w:sz w:val="20"/>
          <w:lang w:val="pt-BR"/>
        </w:rPr>
        <w:t xml:space="preserve"> apresentados pelo </w:t>
      </w:r>
      <w:r w:rsidR="004756C1" w:rsidRPr="002F50BD">
        <w:rPr>
          <w:rFonts w:ascii="Verdana" w:hAnsi="Verdana"/>
          <w:sz w:val="20"/>
          <w:lang w:val="pt-BR"/>
        </w:rPr>
        <w:t>Estado durante</w:t>
      </w:r>
      <w:r w:rsidR="0089298C" w:rsidRPr="002F50BD">
        <w:rPr>
          <w:rFonts w:ascii="Verdana" w:hAnsi="Verdana"/>
          <w:sz w:val="20"/>
          <w:lang w:val="pt-BR"/>
        </w:rPr>
        <w:t xml:space="preserve"> a audiência</w:t>
      </w:r>
      <w:r w:rsidR="004756C1" w:rsidRPr="002F50BD">
        <w:rPr>
          <w:rFonts w:ascii="Verdana" w:hAnsi="Verdana"/>
          <w:sz w:val="20"/>
          <w:lang w:val="pt-BR"/>
        </w:rPr>
        <w:t xml:space="preserve"> pública </w:t>
      </w:r>
      <w:r w:rsidR="0089298C" w:rsidRPr="002F50BD">
        <w:rPr>
          <w:rFonts w:ascii="Verdana" w:hAnsi="Verdana"/>
          <w:sz w:val="20"/>
          <w:lang w:val="pt-BR"/>
        </w:rPr>
        <w:t>d</w:t>
      </w:r>
      <w:r w:rsidR="009121B8" w:rsidRPr="002F50BD">
        <w:rPr>
          <w:rFonts w:ascii="Verdana" w:hAnsi="Verdana"/>
          <w:sz w:val="20"/>
          <w:lang w:val="pt-BR"/>
        </w:rPr>
        <w:t>esse</w:t>
      </w:r>
      <w:r w:rsidR="004756C1" w:rsidRPr="002F50BD">
        <w:rPr>
          <w:rFonts w:ascii="Verdana" w:hAnsi="Verdana"/>
          <w:sz w:val="20"/>
          <w:lang w:val="pt-BR"/>
        </w:rPr>
        <w:t xml:space="preserve"> caso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21</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0075425F" w:rsidRPr="002F50BD">
        <w:rPr>
          <w:rFonts w:ascii="Verdana" w:hAnsi="Verdana"/>
          <w:sz w:val="20"/>
          <w:lang w:val="pt-BR"/>
        </w:rPr>
        <w:t>bem</w:t>
      </w:r>
      <w:r w:rsidR="004756C1" w:rsidRPr="002F50BD">
        <w:rPr>
          <w:rFonts w:ascii="Verdana" w:hAnsi="Verdana"/>
          <w:sz w:val="20"/>
          <w:lang w:val="pt-BR"/>
        </w:rPr>
        <w:t xml:space="preserve"> como</w:t>
      </w:r>
      <w:r w:rsidR="0089298C" w:rsidRPr="002F50BD">
        <w:rPr>
          <w:rFonts w:ascii="Verdana" w:hAnsi="Verdana"/>
          <w:sz w:val="20"/>
          <w:lang w:val="pt-BR"/>
        </w:rPr>
        <w:t xml:space="preserve"> a </w:t>
      </w:r>
      <w:r w:rsidR="004756C1" w:rsidRPr="002F50BD">
        <w:rPr>
          <w:rFonts w:ascii="Verdana" w:hAnsi="Verdana"/>
          <w:sz w:val="20"/>
          <w:lang w:val="pt-BR"/>
        </w:rPr>
        <w:t>documenta</w:t>
      </w:r>
      <w:r w:rsidR="0089298C" w:rsidRPr="002F50BD">
        <w:rPr>
          <w:rFonts w:ascii="Verdana" w:hAnsi="Verdana"/>
          <w:sz w:val="20"/>
          <w:lang w:val="pt-BR"/>
        </w:rPr>
        <w:t xml:space="preserve">ção apresentada pelo </w:t>
      </w:r>
      <w:r w:rsidR="004756C1" w:rsidRPr="002F50BD">
        <w:rPr>
          <w:rFonts w:ascii="Verdana" w:hAnsi="Verdana"/>
          <w:sz w:val="20"/>
          <w:lang w:val="pt-BR"/>
        </w:rPr>
        <w:t xml:space="preserve">perito Bartomeu Meliá i Lliteres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21</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0075425F" w:rsidRPr="002F50BD">
        <w:rPr>
          <w:rFonts w:ascii="Verdana" w:hAnsi="Verdana"/>
          <w:sz w:val="20"/>
          <w:lang w:val="pt-BR"/>
        </w:rPr>
        <w:t xml:space="preserve">sobretudo </w:t>
      </w:r>
      <w:r w:rsidR="0089298C" w:rsidRPr="002F50BD">
        <w:rPr>
          <w:rFonts w:ascii="Verdana" w:hAnsi="Verdana"/>
          <w:sz w:val="20"/>
          <w:lang w:val="pt-BR"/>
        </w:rPr>
        <w:t>quando</w:t>
      </w:r>
      <w:r w:rsidR="004756C1" w:rsidRPr="002F50BD">
        <w:rPr>
          <w:rFonts w:ascii="Verdana" w:hAnsi="Verdana"/>
          <w:sz w:val="20"/>
          <w:lang w:val="pt-BR"/>
        </w:rPr>
        <w:t xml:space="preserve"> n</w:t>
      </w:r>
      <w:r w:rsidR="0075425F"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foram</w:t>
      </w:r>
      <w:r w:rsidR="004756C1" w:rsidRPr="002F50BD">
        <w:rPr>
          <w:rFonts w:ascii="Verdana" w:hAnsi="Verdana"/>
          <w:sz w:val="20"/>
          <w:lang w:val="pt-BR"/>
        </w:rPr>
        <w:t xml:space="preserve"> controvertidos</w:t>
      </w:r>
      <w:r w:rsidR="0089298C" w:rsidRPr="002F50BD">
        <w:rPr>
          <w:rFonts w:ascii="Verdana" w:hAnsi="Verdana"/>
          <w:sz w:val="20"/>
          <w:lang w:val="pt-BR"/>
        </w:rPr>
        <w:t xml:space="preserve"> nem </w:t>
      </w:r>
      <w:r w:rsidR="004756C1" w:rsidRPr="002F50BD">
        <w:rPr>
          <w:rFonts w:ascii="Verdana" w:hAnsi="Verdana"/>
          <w:sz w:val="20"/>
          <w:lang w:val="pt-BR"/>
        </w:rPr>
        <w:t>objetados,</w:t>
      </w:r>
      <w:r w:rsidR="0089298C" w:rsidRPr="002F50BD">
        <w:rPr>
          <w:rFonts w:ascii="Verdana" w:hAnsi="Verdana"/>
          <w:sz w:val="20"/>
          <w:lang w:val="pt-BR"/>
        </w:rPr>
        <w:t xml:space="preserve"> nem </w:t>
      </w:r>
      <w:r w:rsidR="004756C1" w:rsidRPr="002F50BD">
        <w:rPr>
          <w:rFonts w:ascii="Verdana" w:hAnsi="Verdana"/>
          <w:sz w:val="20"/>
          <w:lang w:val="pt-BR"/>
        </w:rPr>
        <w:t>su</w:t>
      </w:r>
      <w:r w:rsidR="0075425F"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autenticidad</w:t>
      </w:r>
      <w:r w:rsidR="0075425F" w:rsidRPr="002F50BD">
        <w:rPr>
          <w:rFonts w:ascii="Verdana" w:hAnsi="Verdana"/>
          <w:sz w:val="20"/>
          <w:lang w:val="pt-BR"/>
        </w:rPr>
        <w:t xml:space="preserve">e </w:t>
      </w:r>
      <w:r w:rsidR="0089298C" w:rsidRPr="002F50BD">
        <w:rPr>
          <w:rFonts w:ascii="Verdana" w:hAnsi="Verdana"/>
          <w:sz w:val="20"/>
          <w:lang w:val="pt-BR"/>
        </w:rPr>
        <w:t>o</w:t>
      </w:r>
      <w:r w:rsidR="0075425F" w:rsidRPr="002F50BD">
        <w:rPr>
          <w:rFonts w:ascii="Verdana" w:hAnsi="Verdana"/>
          <w:sz w:val="20"/>
          <w:lang w:val="pt-BR"/>
        </w:rPr>
        <w:t>u</w:t>
      </w:r>
      <w:r w:rsidR="0089298C" w:rsidRPr="002F50BD">
        <w:rPr>
          <w:rFonts w:ascii="Verdana" w:hAnsi="Verdana"/>
          <w:sz w:val="20"/>
          <w:lang w:val="pt-BR"/>
        </w:rPr>
        <w:t xml:space="preserve"> </w:t>
      </w:r>
      <w:r w:rsidR="004756C1" w:rsidRPr="002F50BD">
        <w:rPr>
          <w:rFonts w:ascii="Verdana" w:hAnsi="Verdana"/>
          <w:sz w:val="20"/>
          <w:lang w:val="pt-BR"/>
        </w:rPr>
        <w:t>veracidad</w:t>
      </w:r>
      <w:r w:rsidR="00EC5F20"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89298C" w:rsidRPr="002F50BD">
        <w:rPr>
          <w:rFonts w:ascii="Verdana" w:hAnsi="Verdana"/>
          <w:sz w:val="20"/>
          <w:lang w:val="pt-BR"/>
        </w:rPr>
        <w:t>posta</w:t>
      </w:r>
      <w:r w:rsidR="004756C1" w:rsidRPr="002F50BD">
        <w:rPr>
          <w:rFonts w:ascii="Verdana" w:hAnsi="Verdana"/>
          <w:sz w:val="20"/>
          <w:lang w:val="pt-BR"/>
        </w:rPr>
        <w:t>s</w:t>
      </w:r>
      <w:r w:rsidR="0089298C" w:rsidRPr="002F50BD">
        <w:rPr>
          <w:rFonts w:ascii="Verdana" w:hAnsi="Verdana"/>
          <w:sz w:val="20"/>
          <w:lang w:val="pt-BR"/>
        </w:rPr>
        <w:t xml:space="preserve"> em dúvida</w:t>
      </w:r>
      <w:r w:rsidR="004756C1" w:rsidRPr="002F50BD">
        <w:rPr>
          <w:rFonts w:ascii="Verdana" w:hAnsi="Verdana"/>
          <w:sz w:val="20"/>
          <w:lang w:val="pt-BR"/>
        </w:rPr>
        <w:t xml:space="preserve">, </w:t>
      </w:r>
      <w:r w:rsidR="0075425F" w:rsidRPr="002F50BD">
        <w:rPr>
          <w:rFonts w:ascii="Verdana" w:hAnsi="Verdana"/>
          <w:sz w:val="20"/>
          <w:lang w:val="pt-BR"/>
        </w:rPr>
        <w:t xml:space="preserve">razão pela </w:t>
      </w:r>
      <w:r w:rsidR="0089298C" w:rsidRPr="002F50BD">
        <w:rPr>
          <w:rFonts w:ascii="Verdana" w:hAnsi="Verdana"/>
          <w:sz w:val="20"/>
          <w:lang w:val="pt-BR"/>
        </w:rPr>
        <w:t xml:space="preserve">qual </w:t>
      </w:r>
      <w:r w:rsidR="004756C1" w:rsidRPr="002F50BD">
        <w:rPr>
          <w:rFonts w:ascii="Verdana" w:hAnsi="Verdana"/>
          <w:sz w:val="20"/>
          <w:lang w:val="pt-BR"/>
        </w:rPr>
        <w:t>este Tribunal</w:t>
      </w:r>
      <w:r w:rsidR="0089298C" w:rsidRPr="002F50BD">
        <w:rPr>
          <w:rFonts w:ascii="Verdana" w:hAnsi="Verdana"/>
          <w:sz w:val="20"/>
          <w:lang w:val="pt-BR"/>
        </w:rPr>
        <w:t xml:space="preserve"> os </w:t>
      </w:r>
      <w:r w:rsidR="0075425F" w:rsidRPr="002F50BD">
        <w:rPr>
          <w:rFonts w:ascii="Verdana" w:hAnsi="Verdana"/>
          <w:sz w:val="20"/>
          <w:lang w:val="pt-BR"/>
        </w:rPr>
        <w:t xml:space="preserve">adiciona </w:t>
      </w:r>
      <w:r w:rsidR="0089298C" w:rsidRPr="002F50BD">
        <w:rPr>
          <w:rFonts w:ascii="Verdana" w:hAnsi="Verdana"/>
          <w:sz w:val="20"/>
          <w:lang w:val="pt-BR"/>
        </w:rPr>
        <w:t xml:space="preserve">ao </w:t>
      </w:r>
      <w:r w:rsidR="004756C1" w:rsidRPr="002F50BD">
        <w:rPr>
          <w:rFonts w:ascii="Verdana" w:hAnsi="Verdana"/>
          <w:sz w:val="20"/>
          <w:lang w:val="pt-BR"/>
        </w:rPr>
        <w:t xml:space="preserve">acervo </w:t>
      </w:r>
      <w:r w:rsidR="0089298C" w:rsidRPr="002F50BD">
        <w:rPr>
          <w:rFonts w:ascii="Verdana" w:hAnsi="Verdana"/>
          <w:sz w:val="20"/>
          <w:lang w:val="pt-BR"/>
        </w:rPr>
        <w:t>probatório</w:t>
      </w:r>
      <w:r w:rsidR="004756C1" w:rsidRPr="002F50BD">
        <w:rPr>
          <w:rFonts w:ascii="Verdana" w:hAnsi="Verdana"/>
          <w:sz w:val="20"/>
          <w:lang w:val="pt-BR"/>
        </w:rPr>
        <w:t xml:space="preserve">, </w:t>
      </w:r>
      <w:r w:rsidR="0075425F" w:rsidRPr="002F50BD">
        <w:rPr>
          <w:rFonts w:ascii="Verdana" w:hAnsi="Verdana"/>
          <w:sz w:val="20"/>
          <w:lang w:val="pt-BR"/>
        </w:rPr>
        <w:t>em conformidade com o</w:t>
      </w:r>
      <w:r w:rsidR="0089298C" w:rsidRPr="002F50BD">
        <w:rPr>
          <w:rFonts w:ascii="Verdana" w:hAnsi="Verdana"/>
          <w:sz w:val="20"/>
          <w:lang w:val="pt-BR"/>
        </w:rPr>
        <w:t xml:space="preserve">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 xml:space="preserve">. </w:t>
      </w:r>
    </w:p>
    <w:p w:rsidR="004756C1" w:rsidRPr="002F50BD" w:rsidRDefault="004756C1">
      <w:pPr>
        <w:pStyle w:val="Sangradetindependiente"/>
        <w:widowControl w:val="0"/>
        <w:spacing w:line="240" w:lineRule="auto"/>
        <w:jc w:val="both"/>
        <w:rPr>
          <w:rFonts w:ascii="Verdana" w:hAnsi="Verdana"/>
          <w:sz w:val="20"/>
          <w:lang w:val="pt-BR"/>
        </w:rPr>
      </w:pPr>
    </w:p>
    <w:p w:rsidR="004756C1" w:rsidRPr="002F50BD" w:rsidRDefault="00063B47">
      <w:pPr>
        <w:pStyle w:val="Sangradetindependiente"/>
        <w:widowControl w:val="0"/>
        <w:spacing w:line="240" w:lineRule="auto"/>
        <w:jc w:val="both"/>
        <w:rPr>
          <w:rFonts w:ascii="Verdana" w:hAnsi="Verdana"/>
          <w:sz w:val="20"/>
          <w:lang w:val="pt-BR"/>
        </w:rPr>
      </w:pPr>
      <w:r w:rsidRPr="002F50BD">
        <w:rPr>
          <w:rFonts w:ascii="Verdana" w:hAnsi="Verdana"/>
          <w:sz w:val="20"/>
          <w:lang w:val="pt-BR"/>
        </w:rPr>
        <w:t>45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4756C1" w:rsidRPr="002F50BD">
        <w:rPr>
          <w:rFonts w:ascii="Verdana" w:hAnsi="Verdana"/>
          <w:sz w:val="20"/>
          <w:lang w:val="pt-BR"/>
        </w:rPr>
        <w:t xml:space="preserve">Estado </w:t>
      </w:r>
      <w:r w:rsidR="005B22C9" w:rsidRPr="002F50BD">
        <w:rPr>
          <w:rFonts w:ascii="Verdana" w:hAnsi="Verdana"/>
          <w:sz w:val="20"/>
          <w:lang w:val="pt-BR"/>
        </w:rPr>
        <w:t>se opôs</w:t>
      </w:r>
      <w:r w:rsidR="004756C1" w:rsidRPr="002F50BD">
        <w:rPr>
          <w:rFonts w:ascii="Verdana" w:hAnsi="Verdana"/>
          <w:sz w:val="20"/>
          <w:lang w:val="pt-BR"/>
        </w:rPr>
        <w:t xml:space="preserve"> </w:t>
      </w:r>
      <w:r w:rsidR="0089298C" w:rsidRPr="002F50BD">
        <w:rPr>
          <w:rFonts w:ascii="Verdana" w:hAnsi="Verdana"/>
          <w:sz w:val="20"/>
          <w:lang w:val="pt-BR"/>
        </w:rPr>
        <w:t xml:space="preserve">“a </w:t>
      </w:r>
      <w:r w:rsidR="004756C1" w:rsidRPr="002F50BD">
        <w:rPr>
          <w:rFonts w:ascii="Verdana" w:hAnsi="Verdana"/>
          <w:sz w:val="20"/>
          <w:lang w:val="pt-BR"/>
        </w:rPr>
        <w:t>‘declara</w:t>
      </w:r>
      <w:r w:rsidR="0089298C" w:rsidRPr="002F50BD">
        <w:rPr>
          <w:rFonts w:ascii="Verdana" w:hAnsi="Verdana"/>
          <w:sz w:val="20"/>
          <w:lang w:val="pt-BR"/>
        </w:rPr>
        <w:t>ção</w:t>
      </w:r>
      <w:r w:rsidR="004756C1" w:rsidRPr="002F50BD">
        <w:rPr>
          <w:rFonts w:ascii="Verdana" w:hAnsi="Verdana"/>
          <w:sz w:val="20"/>
          <w:lang w:val="pt-BR"/>
        </w:rPr>
        <w:t xml:space="preserve"> unilateral’ </w:t>
      </w:r>
      <w:r w:rsidR="0089298C" w:rsidRPr="002F50BD">
        <w:rPr>
          <w:rFonts w:ascii="Verdana" w:hAnsi="Verdana"/>
          <w:sz w:val="20"/>
          <w:lang w:val="pt-BR"/>
        </w:rPr>
        <w:t xml:space="preserve">do </w:t>
      </w:r>
      <w:r w:rsidR="004756C1" w:rsidRPr="002F50BD">
        <w:rPr>
          <w:rFonts w:ascii="Verdana" w:hAnsi="Verdana"/>
          <w:sz w:val="20"/>
          <w:lang w:val="pt-BR"/>
        </w:rPr>
        <w:t>[se</w:t>
      </w:r>
      <w:r w:rsidR="0075425F" w:rsidRPr="002F50BD">
        <w:rPr>
          <w:rFonts w:ascii="Verdana" w:hAnsi="Verdana"/>
          <w:sz w:val="20"/>
          <w:lang w:val="pt-BR"/>
        </w:rPr>
        <w:t>nh</w:t>
      </w:r>
      <w:r w:rsidR="004756C1" w:rsidRPr="002F50BD">
        <w:rPr>
          <w:rFonts w:ascii="Verdana" w:hAnsi="Verdana"/>
          <w:sz w:val="20"/>
          <w:lang w:val="pt-BR"/>
        </w:rPr>
        <w:t>or] Esteban López,</w:t>
      </w:r>
      <w:r w:rsidR="0089298C" w:rsidRPr="002F50BD">
        <w:rPr>
          <w:rFonts w:ascii="Verdana" w:hAnsi="Verdana"/>
          <w:sz w:val="20"/>
          <w:lang w:val="pt-BR"/>
        </w:rPr>
        <w:t xml:space="preserve"> </w:t>
      </w:r>
      <w:r w:rsidR="0075425F" w:rsidRPr="002F50BD">
        <w:rPr>
          <w:rFonts w:ascii="Verdana" w:hAnsi="Verdana"/>
          <w:sz w:val="20"/>
          <w:lang w:val="pt-BR"/>
        </w:rPr>
        <w:t>prestada per</w:t>
      </w:r>
      <w:r w:rsidR="004756C1" w:rsidRPr="002F50BD">
        <w:rPr>
          <w:rFonts w:ascii="Verdana" w:hAnsi="Verdana"/>
          <w:sz w:val="20"/>
          <w:lang w:val="pt-BR"/>
        </w:rPr>
        <w:t>ante Escri</w:t>
      </w:r>
      <w:r w:rsidR="0075425F" w:rsidRPr="002F50BD">
        <w:rPr>
          <w:rFonts w:ascii="Verdana" w:hAnsi="Verdana"/>
          <w:sz w:val="20"/>
          <w:lang w:val="pt-BR"/>
        </w:rPr>
        <w:t xml:space="preserve">vão </w:t>
      </w:r>
      <w:r w:rsidR="004756C1" w:rsidRPr="002F50BD">
        <w:rPr>
          <w:rFonts w:ascii="Verdana" w:hAnsi="Verdana"/>
          <w:sz w:val="20"/>
          <w:lang w:val="pt-BR"/>
        </w:rPr>
        <w:t xml:space="preserve">Público, </w:t>
      </w:r>
      <w:r w:rsidR="0075425F" w:rsidRPr="002F50BD">
        <w:rPr>
          <w:rFonts w:ascii="Verdana" w:hAnsi="Verdana"/>
          <w:sz w:val="20"/>
          <w:lang w:val="pt-BR"/>
        </w:rPr>
        <w:t xml:space="preserve">no sentido de </w:t>
      </w:r>
      <w:r w:rsidR="004756C1" w:rsidRPr="002F50BD">
        <w:rPr>
          <w:rFonts w:ascii="Verdana" w:hAnsi="Verdana"/>
          <w:sz w:val="20"/>
          <w:lang w:val="pt-BR"/>
        </w:rPr>
        <w:t>‘certificar’</w:t>
      </w:r>
      <w:r w:rsidR="0089298C" w:rsidRPr="002F50BD">
        <w:rPr>
          <w:rFonts w:ascii="Verdana" w:hAnsi="Verdana"/>
          <w:sz w:val="20"/>
          <w:lang w:val="pt-BR"/>
        </w:rPr>
        <w:t xml:space="preserve"> o </w:t>
      </w:r>
      <w:r w:rsidR="00367FD1" w:rsidRPr="002F50BD">
        <w:rPr>
          <w:rFonts w:ascii="Verdana" w:hAnsi="Verdana"/>
          <w:sz w:val="20"/>
          <w:lang w:val="pt-BR"/>
        </w:rPr>
        <w:t>falecimento</w:t>
      </w:r>
      <w:r w:rsidR="0089298C" w:rsidRPr="002F50BD">
        <w:rPr>
          <w:rFonts w:ascii="Verdana" w:hAnsi="Verdana"/>
          <w:sz w:val="20"/>
          <w:lang w:val="pt-BR"/>
        </w:rPr>
        <w:t xml:space="preserve"> das pessoa</w:t>
      </w:r>
      <w:r w:rsidR="004756C1" w:rsidRPr="002F50BD">
        <w:rPr>
          <w:rFonts w:ascii="Verdana" w:hAnsi="Verdana"/>
          <w:sz w:val="20"/>
          <w:lang w:val="pt-BR"/>
        </w:rPr>
        <w:t>s</w:t>
      </w:r>
      <w:r w:rsidR="005B22C9" w:rsidRPr="002F50BD">
        <w:rPr>
          <w:rFonts w:ascii="Verdana" w:hAnsi="Verdana"/>
          <w:sz w:val="20"/>
          <w:lang w:val="pt-BR"/>
        </w:rPr>
        <w:t xml:space="preserve"> em cujo</w:t>
      </w:r>
      <w:r w:rsidR="004756C1" w:rsidRPr="002F50BD">
        <w:rPr>
          <w:rFonts w:ascii="Verdana" w:hAnsi="Verdana"/>
          <w:sz w:val="20"/>
          <w:lang w:val="pt-BR"/>
        </w:rPr>
        <w:t xml:space="preserve"> </w:t>
      </w:r>
      <w:r w:rsidR="0089298C" w:rsidRPr="002F50BD">
        <w:rPr>
          <w:rFonts w:ascii="Verdana" w:hAnsi="Verdana"/>
          <w:sz w:val="20"/>
          <w:lang w:val="pt-BR"/>
        </w:rPr>
        <w:t>nome</w:t>
      </w:r>
      <w:r w:rsidR="004756C1" w:rsidRPr="002F50BD">
        <w:rPr>
          <w:rFonts w:ascii="Verdana" w:hAnsi="Verdana"/>
          <w:sz w:val="20"/>
          <w:lang w:val="pt-BR"/>
        </w:rPr>
        <w:t xml:space="preserve"> </w:t>
      </w:r>
      <w:r w:rsidR="009121B8" w:rsidRPr="002F50BD">
        <w:rPr>
          <w:rFonts w:ascii="Verdana" w:hAnsi="Verdana"/>
          <w:sz w:val="20"/>
          <w:lang w:val="pt-BR"/>
        </w:rPr>
        <w:t xml:space="preserve">reivindica </w:t>
      </w:r>
      <w:r w:rsidR="0089298C" w:rsidRPr="002F50BD">
        <w:rPr>
          <w:rFonts w:ascii="Verdana" w:hAnsi="Verdana"/>
          <w:sz w:val="20"/>
          <w:lang w:val="pt-BR"/>
        </w:rPr>
        <w:t>indenizações</w:t>
      </w:r>
      <w:r w:rsidR="004756C1" w:rsidRPr="002F50BD">
        <w:rPr>
          <w:rFonts w:ascii="Verdana" w:hAnsi="Verdana"/>
          <w:sz w:val="20"/>
          <w:lang w:val="pt-BR"/>
        </w:rPr>
        <w:t>”,</w:t>
      </w:r>
      <w:r w:rsidR="0089298C" w:rsidRPr="002F50BD">
        <w:rPr>
          <w:rFonts w:ascii="Verdana" w:hAnsi="Verdana"/>
          <w:sz w:val="20"/>
          <w:lang w:val="pt-BR"/>
        </w:rPr>
        <w:t xml:space="preserve"> a qual foi </w:t>
      </w:r>
      <w:r w:rsidR="004756C1" w:rsidRPr="002F50BD">
        <w:rPr>
          <w:rFonts w:ascii="Verdana" w:hAnsi="Verdana"/>
          <w:sz w:val="20"/>
          <w:lang w:val="pt-BR"/>
        </w:rPr>
        <w:t>rem</w:t>
      </w:r>
      <w:r w:rsidR="0075425F" w:rsidRPr="002F50BD">
        <w:rPr>
          <w:rFonts w:ascii="Verdana" w:hAnsi="Verdana"/>
          <w:sz w:val="20"/>
          <w:lang w:val="pt-BR"/>
        </w:rPr>
        <w:t>e</w:t>
      </w:r>
      <w:r w:rsidR="004756C1" w:rsidRPr="002F50BD">
        <w:rPr>
          <w:rFonts w:ascii="Verdana" w:hAnsi="Verdana"/>
          <w:sz w:val="20"/>
          <w:lang w:val="pt-BR"/>
        </w:rPr>
        <w:t>tida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4756C1" w:rsidRPr="002F50BD">
        <w:rPr>
          <w:rFonts w:ascii="Verdana" w:hAnsi="Verdana"/>
          <w:sz w:val="20"/>
          <w:lang w:val="pt-BR"/>
        </w:rPr>
        <w:t>como parte</w:t>
      </w:r>
      <w:r w:rsidR="0089298C" w:rsidRPr="002F50BD">
        <w:rPr>
          <w:rFonts w:ascii="Verdana" w:hAnsi="Verdana"/>
          <w:sz w:val="20"/>
          <w:lang w:val="pt-BR"/>
        </w:rPr>
        <w:t xml:space="preserve"> da prova</w:t>
      </w:r>
      <w:r w:rsidR="004756C1" w:rsidRPr="002F50BD">
        <w:rPr>
          <w:rFonts w:ascii="Verdana" w:hAnsi="Verdana"/>
          <w:sz w:val="20"/>
          <w:lang w:val="pt-BR"/>
        </w:rPr>
        <w:t xml:space="preserve"> para </w:t>
      </w:r>
      <w:r w:rsidR="0089298C" w:rsidRPr="002F50BD">
        <w:rPr>
          <w:rFonts w:ascii="Verdana" w:hAnsi="Verdana"/>
          <w:sz w:val="20"/>
          <w:lang w:val="pt-BR"/>
        </w:rPr>
        <w:t>melhor</w:t>
      </w:r>
      <w:r w:rsidR="004756C1" w:rsidRPr="002F50BD">
        <w:rPr>
          <w:rFonts w:ascii="Verdana" w:hAnsi="Verdana"/>
          <w:sz w:val="20"/>
          <w:lang w:val="pt-BR"/>
        </w:rPr>
        <w:t xml:space="preserve"> resolver </w:t>
      </w:r>
      <w:r w:rsidR="00CF451D" w:rsidRPr="00CF451D">
        <w:rPr>
          <w:rFonts w:ascii="Verdana" w:hAnsi="Verdana"/>
          <w:sz w:val="20"/>
          <w:lang w:val="pt-BR"/>
        </w:rPr>
        <w:t>(</w:t>
      </w:r>
      <w:r w:rsidR="00EC5F20" w:rsidRPr="002F50BD">
        <w:rPr>
          <w:rFonts w:ascii="Verdana" w:hAnsi="Verdana"/>
          <w:sz w:val="20"/>
          <w:lang w:val="pt-BR"/>
        </w:rPr>
        <w:t xml:space="preserve">par. </w:t>
      </w:r>
      <w:r w:rsidRPr="002F50BD">
        <w:rPr>
          <w:rFonts w:ascii="Verdana" w:hAnsi="Verdana"/>
          <w:sz w:val="20"/>
          <w:lang w:val="pt-BR"/>
        </w:rPr>
        <w:t>26</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Este Tribunal considera útil </w:t>
      </w:r>
      <w:r w:rsidR="0089298C" w:rsidRPr="002F50BD">
        <w:rPr>
          <w:rFonts w:ascii="Verdana" w:hAnsi="Verdana"/>
          <w:sz w:val="20"/>
          <w:lang w:val="pt-BR"/>
        </w:rPr>
        <w:t>esta</w:t>
      </w:r>
      <w:r w:rsidR="004756C1" w:rsidRPr="002F50BD">
        <w:rPr>
          <w:rFonts w:ascii="Verdana" w:hAnsi="Verdana"/>
          <w:sz w:val="20"/>
          <w:lang w:val="pt-BR"/>
        </w:rPr>
        <w:t xml:space="preserve"> declara</w:t>
      </w:r>
      <w:r w:rsidR="0089298C" w:rsidRPr="002F50BD">
        <w:rPr>
          <w:rFonts w:ascii="Verdana" w:hAnsi="Verdana"/>
          <w:sz w:val="20"/>
          <w:lang w:val="pt-BR"/>
        </w:rPr>
        <w:t xml:space="preserve">ção e a </w:t>
      </w:r>
      <w:r w:rsidR="006C4368" w:rsidRPr="002F50BD">
        <w:rPr>
          <w:rFonts w:ascii="Verdana" w:hAnsi="Verdana"/>
          <w:sz w:val="20"/>
          <w:lang w:val="pt-BR"/>
        </w:rPr>
        <w:t>aprecia</w:t>
      </w:r>
      <w:r w:rsidR="0089298C" w:rsidRPr="002F50BD">
        <w:rPr>
          <w:rFonts w:ascii="Verdana" w:hAnsi="Verdana"/>
          <w:sz w:val="20"/>
          <w:lang w:val="pt-BR"/>
        </w:rPr>
        <w:t xml:space="preserve"> no </w:t>
      </w:r>
      <w:r w:rsidR="004756C1" w:rsidRPr="002F50BD">
        <w:rPr>
          <w:rFonts w:ascii="Verdana" w:hAnsi="Verdana"/>
          <w:sz w:val="20"/>
          <w:lang w:val="pt-BR"/>
        </w:rPr>
        <w:t xml:space="preserve">conjunto </w:t>
      </w:r>
      <w:r w:rsidR="0089298C" w:rsidRPr="002F50BD">
        <w:rPr>
          <w:rFonts w:ascii="Verdana" w:hAnsi="Verdana"/>
          <w:sz w:val="20"/>
          <w:lang w:val="pt-BR"/>
        </w:rPr>
        <w:t xml:space="preserve">do </w:t>
      </w:r>
      <w:r w:rsidR="004756C1" w:rsidRPr="002F50BD">
        <w:rPr>
          <w:rFonts w:ascii="Verdana" w:hAnsi="Verdana"/>
          <w:sz w:val="20"/>
          <w:lang w:val="pt-BR"/>
        </w:rPr>
        <w:t xml:space="preserve">acervo </w:t>
      </w:r>
      <w:r w:rsidR="0089298C" w:rsidRPr="002F50BD">
        <w:rPr>
          <w:rFonts w:ascii="Verdana" w:hAnsi="Verdana"/>
          <w:sz w:val="20"/>
          <w:lang w:val="pt-BR"/>
        </w:rPr>
        <w:t>probatório</w:t>
      </w:r>
      <w:r w:rsidR="004756C1" w:rsidRPr="002F50BD">
        <w:rPr>
          <w:rFonts w:ascii="Verdana" w:hAnsi="Verdana"/>
          <w:sz w:val="20"/>
          <w:lang w:val="pt-BR"/>
        </w:rPr>
        <w:t>, aplicando</w:t>
      </w:r>
      <w:r w:rsidR="0089298C" w:rsidRPr="002F50BD">
        <w:rPr>
          <w:rFonts w:ascii="Verdana" w:hAnsi="Verdana"/>
          <w:sz w:val="20"/>
          <w:lang w:val="pt-BR"/>
        </w:rPr>
        <w:t xml:space="preserve"> as regras da crítica sã e </w:t>
      </w:r>
      <w:r w:rsidR="00EC5F20" w:rsidRPr="002F50BD">
        <w:rPr>
          <w:rFonts w:ascii="Verdana" w:hAnsi="Verdana"/>
          <w:sz w:val="20"/>
          <w:lang w:val="pt-BR"/>
        </w:rPr>
        <w:t>levando</w:t>
      </w:r>
      <w:r w:rsidR="0089298C" w:rsidRPr="002F50BD">
        <w:rPr>
          <w:rFonts w:ascii="Verdana" w:hAnsi="Verdana"/>
          <w:sz w:val="20"/>
          <w:lang w:val="pt-BR"/>
        </w:rPr>
        <w:t xml:space="preserve"> em conta as </w:t>
      </w:r>
      <w:r w:rsidR="004756C1" w:rsidRPr="002F50BD">
        <w:rPr>
          <w:rFonts w:ascii="Verdana" w:hAnsi="Verdana"/>
          <w:sz w:val="20"/>
          <w:lang w:val="pt-BR"/>
        </w:rPr>
        <w:t>observa</w:t>
      </w:r>
      <w:r w:rsidR="0089298C" w:rsidRPr="002F50BD">
        <w:rPr>
          <w:rFonts w:ascii="Verdana" w:hAnsi="Verdana"/>
          <w:sz w:val="20"/>
          <w:lang w:val="pt-BR"/>
        </w:rPr>
        <w:t xml:space="preserve">ções apresentadas pelo </w:t>
      </w:r>
      <w:r w:rsidR="004756C1" w:rsidRPr="002F50BD">
        <w:rPr>
          <w:rFonts w:ascii="Verdana" w:hAnsi="Verdana"/>
          <w:sz w:val="20"/>
          <w:lang w:val="pt-BR"/>
        </w:rPr>
        <w:t>Estado.</w:t>
      </w:r>
      <w:r w:rsidR="00FE08B7">
        <w:rPr>
          <w:rFonts w:ascii="Verdana" w:hAnsi="Verdana"/>
          <w:sz w:val="20"/>
          <w:lang w:val="pt-BR"/>
        </w:rPr>
        <w:t xml:space="preserve"> </w:t>
      </w:r>
      <w:r w:rsidR="0089298C" w:rsidRPr="002F50BD">
        <w:rPr>
          <w:rFonts w:ascii="Verdana" w:hAnsi="Verdana"/>
          <w:sz w:val="20"/>
          <w:lang w:val="pt-BR"/>
        </w:rPr>
        <w:t>Portanto</w:t>
      </w:r>
      <w:r w:rsidR="004756C1" w:rsidRPr="002F50BD">
        <w:rPr>
          <w:rFonts w:ascii="Verdana" w:hAnsi="Verdana"/>
          <w:sz w:val="20"/>
          <w:lang w:val="pt-BR"/>
        </w:rPr>
        <w:t xml:space="preserve">, </w:t>
      </w:r>
      <w:r w:rsidR="0075425F" w:rsidRPr="002F50BD">
        <w:rPr>
          <w:rFonts w:ascii="Verdana" w:hAnsi="Verdana"/>
          <w:sz w:val="20"/>
          <w:lang w:val="pt-BR"/>
        </w:rPr>
        <w:t xml:space="preserve">será adicionada </w:t>
      </w:r>
      <w:r w:rsidR="0089298C" w:rsidRPr="002F50BD">
        <w:rPr>
          <w:rFonts w:ascii="Verdana" w:hAnsi="Verdana"/>
          <w:sz w:val="20"/>
          <w:lang w:val="pt-BR"/>
        </w:rPr>
        <w:t xml:space="preserve">ao </w:t>
      </w:r>
      <w:r w:rsidR="004756C1" w:rsidRPr="002F50BD">
        <w:rPr>
          <w:rFonts w:ascii="Verdana" w:hAnsi="Verdana"/>
          <w:sz w:val="20"/>
          <w:lang w:val="pt-BR"/>
        </w:rPr>
        <w:t xml:space="preserve">acervo </w:t>
      </w:r>
      <w:r w:rsidR="0089298C" w:rsidRPr="002F50BD">
        <w:rPr>
          <w:rFonts w:ascii="Verdana" w:hAnsi="Verdana"/>
          <w:sz w:val="20"/>
          <w:lang w:val="pt-BR"/>
        </w:rPr>
        <w:t>probatório</w:t>
      </w:r>
      <w:r w:rsidR="004756C1" w:rsidRPr="002F50BD">
        <w:rPr>
          <w:rFonts w:ascii="Verdana" w:hAnsi="Verdana"/>
          <w:sz w:val="20"/>
          <w:lang w:val="pt-BR"/>
        </w:rPr>
        <w:t>, conforme</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45</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w:t>
      </w:r>
      <w:r w:rsidR="0089298C" w:rsidRPr="002F50BD">
        <w:rPr>
          <w:rFonts w:ascii="Verdana" w:hAnsi="Verdana"/>
          <w:sz w:val="20"/>
          <w:lang w:val="pt-BR"/>
        </w:rPr>
        <w:t>do Regulamento</w:t>
      </w:r>
      <w:r w:rsidR="004756C1" w:rsidRPr="002F50BD">
        <w:rPr>
          <w:rFonts w:ascii="Verdana" w:hAnsi="Verdana"/>
          <w:sz w:val="20"/>
          <w:lang w:val="pt-BR"/>
        </w:rPr>
        <w:t xml:space="preserve">. </w:t>
      </w:r>
    </w:p>
    <w:p w:rsidR="004756C1" w:rsidRPr="002F50BD" w:rsidRDefault="004756C1">
      <w:pPr>
        <w:pStyle w:val="Sangradetindependiente"/>
        <w:widowControl w:val="0"/>
        <w:spacing w:line="240" w:lineRule="auto"/>
        <w:jc w:val="both"/>
        <w:rPr>
          <w:rFonts w:ascii="Verdana" w:hAnsi="Verdana"/>
          <w:sz w:val="20"/>
          <w:lang w:val="pt-BR"/>
        </w:rPr>
      </w:pPr>
    </w:p>
    <w:p w:rsidR="004756C1" w:rsidRPr="002F50BD" w:rsidRDefault="00063B47">
      <w:pPr>
        <w:pStyle w:val="Sangradetindependiente"/>
        <w:widowControl w:val="0"/>
        <w:spacing w:line="240" w:lineRule="auto"/>
        <w:jc w:val="both"/>
        <w:rPr>
          <w:rFonts w:ascii="Verdana" w:hAnsi="Verdana"/>
          <w:sz w:val="20"/>
          <w:lang w:val="pt-BR"/>
        </w:rPr>
      </w:pPr>
      <w:r w:rsidRPr="002F50BD">
        <w:rPr>
          <w:rFonts w:ascii="Verdana" w:hAnsi="Verdana"/>
          <w:sz w:val="20"/>
          <w:lang w:val="pt-BR"/>
        </w:rPr>
        <w:t>46</w:t>
      </w:r>
      <w:r w:rsidR="004756C1" w:rsidRPr="002F50BD">
        <w:rPr>
          <w:rFonts w:ascii="Verdana" w:hAnsi="Verdana"/>
          <w:sz w:val="20"/>
          <w:lang w:val="pt-BR"/>
        </w:rPr>
        <w:t>.</w:t>
      </w:r>
      <w:r w:rsidR="004756C1" w:rsidRPr="002F50BD">
        <w:rPr>
          <w:rFonts w:ascii="Verdana" w:hAnsi="Verdana"/>
          <w:sz w:val="20"/>
          <w:lang w:val="pt-BR"/>
        </w:rPr>
        <w:tab/>
        <w:t>Finalmente,</w:t>
      </w:r>
      <w:r w:rsidR="0089298C" w:rsidRPr="002F50BD">
        <w:rPr>
          <w:rFonts w:ascii="Verdana" w:hAnsi="Verdana"/>
          <w:sz w:val="20"/>
          <w:lang w:val="pt-BR"/>
        </w:rPr>
        <w:t xml:space="preserve"> quanto aos </w:t>
      </w:r>
      <w:r w:rsidR="004756C1" w:rsidRPr="002F50BD">
        <w:rPr>
          <w:rFonts w:ascii="Verdana" w:hAnsi="Verdana"/>
          <w:sz w:val="20"/>
          <w:lang w:val="pt-BR"/>
        </w:rPr>
        <w:t>documentos de</w:t>
      </w:r>
      <w:r w:rsidR="0089298C" w:rsidRPr="002F50BD">
        <w:rPr>
          <w:rFonts w:ascii="Verdana" w:hAnsi="Verdana"/>
          <w:sz w:val="20"/>
          <w:lang w:val="pt-BR"/>
        </w:rPr>
        <w:t xml:space="preserve"> imprensa apresentados pelas </w:t>
      </w:r>
      <w:r w:rsidR="004756C1" w:rsidRPr="002F50BD">
        <w:rPr>
          <w:rFonts w:ascii="Verdana" w:hAnsi="Verdana"/>
          <w:sz w:val="20"/>
          <w:lang w:val="pt-BR"/>
        </w:rPr>
        <w:t xml:space="preserve">partes, este Tribunal </w:t>
      </w:r>
      <w:r w:rsidR="004076AD" w:rsidRPr="002F50BD">
        <w:rPr>
          <w:rFonts w:ascii="Verdana" w:hAnsi="Verdana"/>
          <w:sz w:val="20"/>
          <w:lang w:val="pt-BR"/>
        </w:rPr>
        <w:t>considerou</w:t>
      </w:r>
      <w:r w:rsidR="004756C1" w:rsidRPr="002F50BD">
        <w:rPr>
          <w:rFonts w:ascii="Verdana" w:hAnsi="Verdana"/>
          <w:sz w:val="20"/>
          <w:lang w:val="pt-BR"/>
        </w:rPr>
        <w:t xml:space="preserve"> que</w:t>
      </w:r>
      <w:r w:rsidR="009121B8" w:rsidRPr="002F50BD">
        <w:rPr>
          <w:rFonts w:ascii="Verdana" w:hAnsi="Verdana"/>
          <w:sz w:val="20"/>
          <w:lang w:val="pt-BR"/>
        </w:rPr>
        <w:t>,</w:t>
      </w:r>
      <w:r w:rsidR="0089298C" w:rsidRPr="002F50BD">
        <w:rPr>
          <w:rFonts w:ascii="Verdana" w:hAnsi="Verdana"/>
          <w:sz w:val="20"/>
          <w:lang w:val="pt-BR"/>
        </w:rPr>
        <w:t xml:space="preserve"> ainda</w:t>
      </w:r>
      <w:r w:rsidR="004756C1" w:rsidRPr="002F50BD">
        <w:rPr>
          <w:rFonts w:ascii="Verdana" w:hAnsi="Verdana"/>
          <w:sz w:val="20"/>
          <w:lang w:val="pt-BR"/>
        </w:rPr>
        <w:t xml:space="preserve"> </w:t>
      </w:r>
      <w:r w:rsidR="005B22C9" w:rsidRPr="002F50BD">
        <w:rPr>
          <w:rFonts w:ascii="Verdana" w:hAnsi="Verdana"/>
          <w:sz w:val="20"/>
          <w:lang w:val="pt-BR"/>
        </w:rPr>
        <w:t>que</w:t>
      </w:r>
      <w:r w:rsidR="004756C1" w:rsidRPr="002F50BD">
        <w:rPr>
          <w:rFonts w:ascii="Verdana" w:hAnsi="Verdana"/>
          <w:sz w:val="20"/>
          <w:lang w:val="pt-BR"/>
        </w:rPr>
        <w:t xml:space="preserve"> n</w:t>
      </w:r>
      <w:r w:rsidR="0075425F" w:rsidRPr="002F50BD">
        <w:rPr>
          <w:rFonts w:ascii="Verdana" w:hAnsi="Verdana"/>
          <w:sz w:val="20"/>
          <w:lang w:val="pt-BR"/>
        </w:rPr>
        <w:t>ã</w:t>
      </w:r>
      <w:r w:rsidR="004756C1" w:rsidRPr="002F50BD">
        <w:rPr>
          <w:rFonts w:ascii="Verdana" w:hAnsi="Verdana"/>
          <w:sz w:val="20"/>
          <w:lang w:val="pt-BR"/>
        </w:rPr>
        <w:t xml:space="preserve">o </w:t>
      </w:r>
      <w:r w:rsidR="005B22C9" w:rsidRPr="002F50BD">
        <w:rPr>
          <w:rFonts w:ascii="Verdana" w:hAnsi="Verdana"/>
          <w:sz w:val="20"/>
          <w:lang w:val="pt-BR"/>
        </w:rPr>
        <w:t>tenham</w:t>
      </w:r>
      <w:r w:rsidR="0089298C" w:rsidRPr="002F50BD">
        <w:rPr>
          <w:rFonts w:ascii="Verdana" w:hAnsi="Verdana"/>
          <w:sz w:val="20"/>
          <w:lang w:val="pt-BR"/>
        </w:rPr>
        <w:t xml:space="preserve"> caráter</w:t>
      </w:r>
      <w:r w:rsidR="004756C1" w:rsidRPr="002F50BD">
        <w:rPr>
          <w:rFonts w:ascii="Verdana" w:hAnsi="Verdana"/>
          <w:sz w:val="20"/>
          <w:lang w:val="pt-BR"/>
        </w:rPr>
        <w:t xml:space="preserve"> de </w:t>
      </w:r>
      <w:r w:rsidR="0089298C" w:rsidRPr="002F50BD">
        <w:rPr>
          <w:rFonts w:ascii="Verdana" w:hAnsi="Verdana"/>
          <w:sz w:val="20"/>
          <w:lang w:val="pt-BR"/>
        </w:rPr>
        <w:t>prova</w:t>
      </w:r>
      <w:r w:rsidR="004756C1" w:rsidRPr="002F50BD">
        <w:rPr>
          <w:rFonts w:ascii="Verdana" w:hAnsi="Verdana"/>
          <w:sz w:val="20"/>
          <w:lang w:val="pt-BR"/>
        </w:rPr>
        <w:t xml:space="preserve"> documental</w:t>
      </w:r>
      <w:r w:rsidR="00AB454A" w:rsidRPr="002F50BD">
        <w:rPr>
          <w:rFonts w:ascii="Verdana" w:hAnsi="Verdana"/>
          <w:sz w:val="20"/>
          <w:lang w:val="pt-BR"/>
        </w:rPr>
        <w:t xml:space="preserve"> pr</w:t>
      </w:r>
      <w:r w:rsidR="0075425F" w:rsidRPr="002F50BD">
        <w:rPr>
          <w:rFonts w:ascii="Verdana" w:hAnsi="Verdana"/>
          <w:sz w:val="20"/>
          <w:lang w:val="pt-BR"/>
        </w:rPr>
        <w:t>o</w:t>
      </w:r>
      <w:r w:rsidR="00AB454A" w:rsidRPr="002F50BD">
        <w:rPr>
          <w:rFonts w:ascii="Verdana" w:hAnsi="Verdana"/>
          <w:sz w:val="20"/>
          <w:lang w:val="pt-BR"/>
        </w:rPr>
        <w:t>pria</w:t>
      </w:r>
      <w:r w:rsidR="004756C1" w:rsidRPr="002F50BD">
        <w:rPr>
          <w:rFonts w:ascii="Verdana" w:hAnsi="Verdana"/>
          <w:sz w:val="20"/>
          <w:lang w:val="pt-BR"/>
        </w:rPr>
        <w:t>mente</w:t>
      </w:r>
      <w:r w:rsidR="00EC5F20" w:rsidRPr="002F50BD">
        <w:rPr>
          <w:rFonts w:ascii="Verdana" w:hAnsi="Verdana"/>
          <w:sz w:val="20"/>
          <w:lang w:val="pt-BR"/>
        </w:rPr>
        <w:t xml:space="preserve"> dita</w:t>
      </w:r>
      <w:r w:rsidR="004756C1" w:rsidRPr="002F50BD">
        <w:rPr>
          <w:rFonts w:ascii="Verdana" w:hAnsi="Verdana"/>
          <w:sz w:val="20"/>
          <w:lang w:val="pt-BR"/>
        </w:rPr>
        <w:t xml:space="preserve">, </w:t>
      </w:r>
      <w:r w:rsidR="0089298C" w:rsidRPr="002F50BD">
        <w:rPr>
          <w:rFonts w:ascii="Verdana" w:hAnsi="Verdana"/>
          <w:sz w:val="20"/>
          <w:lang w:val="pt-BR"/>
        </w:rPr>
        <w:t>poderia</w:t>
      </w:r>
      <w:r w:rsidR="0075425F" w:rsidRPr="002F50BD">
        <w:rPr>
          <w:rFonts w:ascii="Verdana" w:hAnsi="Verdana"/>
          <w:sz w:val="20"/>
          <w:lang w:val="pt-BR"/>
        </w:rPr>
        <w:t>m</w:t>
      </w:r>
      <w:r w:rsidR="004756C1" w:rsidRPr="002F50BD">
        <w:rPr>
          <w:rFonts w:ascii="Verdana" w:hAnsi="Verdana"/>
          <w:sz w:val="20"/>
          <w:lang w:val="pt-BR"/>
        </w:rPr>
        <w:t xml:space="preserve"> ser </w:t>
      </w:r>
      <w:r w:rsidR="0075425F" w:rsidRPr="002F50BD">
        <w:rPr>
          <w:rFonts w:ascii="Verdana" w:hAnsi="Verdana"/>
          <w:sz w:val="20"/>
          <w:lang w:val="pt-BR"/>
        </w:rPr>
        <w:t xml:space="preserve">avaliados </w:t>
      </w:r>
      <w:r w:rsidR="0089298C" w:rsidRPr="002F50BD">
        <w:rPr>
          <w:rFonts w:ascii="Verdana" w:hAnsi="Verdana"/>
          <w:sz w:val="20"/>
          <w:lang w:val="pt-BR"/>
        </w:rPr>
        <w:t>quando</w:t>
      </w:r>
      <w:r w:rsidR="004756C1" w:rsidRPr="002F50BD">
        <w:rPr>
          <w:rFonts w:ascii="Verdana" w:hAnsi="Verdana"/>
          <w:sz w:val="20"/>
          <w:lang w:val="pt-BR"/>
        </w:rPr>
        <w:t xml:space="preserve"> </w:t>
      </w:r>
      <w:r w:rsidR="0075425F" w:rsidRPr="002F50BD">
        <w:rPr>
          <w:rFonts w:ascii="Verdana" w:hAnsi="Verdana"/>
          <w:sz w:val="20"/>
          <w:lang w:val="pt-BR"/>
        </w:rPr>
        <w:t xml:space="preserve">reúnam </w:t>
      </w:r>
      <w:r w:rsidR="0089298C" w:rsidRPr="002F50BD">
        <w:rPr>
          <w:rFonts w:ascii="Verdana" w:hAnsi="Verdana"/>
          <w:sz w:val="20"/>
          <w:lang w:val="pt-BR"/>
        </w:rPr>
        <w:t>fatos</w:t>
      </w:r>
      <w:r w:rsidR="004756C1" w:rsidRPr="002F50BD">
        <w:rPr>
          <w:rFonts w:ascii="Verdana" w:hAnsi="Verdana"/>
          <w:sz w:val="20"/>
          <w:lang w:val="pt-BR"/>
        </w:rPr>
        <w:t xml:space="preserve"> públicos</w:t>
      </w:r>
      <w:r w:rsidR="0089298C" w:rsidRPr="002F50BD">
        <w:rPr>
          <w:rFonts w:ascii="Verdana" w:hAnsi="Verdana"/>
          <w:sz w:val="20"/>
          <w:lang w:val="pt-BR"/>
        </w:rPr>
        <w:t xml:space="preserve"> e notório</w:t>
      </w:r>
      <w:r w:rsidR="004756C1" w:rsidRPr="002F50BD">
        <w:rPr>
          <w:rFonts w:ascii="Verdana" w:hAnsi="Verdana"/>
          <w:sz w:val="20"/>
          <w:lang w:val="pt-BR"/>
        </w:rPr>
        <w:t>s, declara</w:t>
      </w:r>
      <w:r w:rsidR="0089298C" w:rsidRPr="002F50BD">
        <w:rPr>
          <w:rFonts w:ascii="Verdana" w:hAnsi="Verdana"/>
          <w:sz w:val="20"/>
          <w:lang w:val="pt-BR"/>
        </w:rPr>
        <w:t>ções</w:t>
      </w:r>
      <w:r w:rsidR="004756C1" w:rsidRPr="002F50BD">
        <w:rPr>
          <w:rFonts w:ascii="Verdana" w:hAnsi="Verdana"/>
          <w:sz w:val="20"/>
          <w:lang w:val="pt-BR"/>
        </w:rPr>
        <w:t xml:space="preserve"> de </w:t>
      </w:r>
      <w:r w:rsidR="0089298C" w:rsidRPr="002F50BD">
        <w:rPr>
          <w:rFonts w:ascii="Verdana" w:hAnsi="Verdana"/>
          <w:sz w:val="20"/>
          <w:lang w:val="pt-BR"/>
        </w:rPr>
        <w:t>funcionári</w:t>
      </w:r>
      <w:r w:rsidR="004756C1" w:rsidRPr="002F50BD">
        <w:rPr>
          <w:rFonts w:ascii="Verdana" w:hAnsi="Verdana"/>
          <w:sz w:val="20"/>
          <w:lang w:val="pt-BR"/>
        </w:rPr>
        <w:t xml:space="preserve">os </w:t>
      </w:r>
      <w:r w:rsidR="0089298C" w:rsidRPr="002F50BD">
        <w:rPr>
          <w:rFonts w:ascii="Verdana" w:hAnsi="Verdana"/>
          <w:sz w:val="20"/>
          <w:lang w:val="pt-BR"/>
        </w:rPr>
        <w:t xml:space="preserve">do </w:t>
      </w:r>
      <w:r w:rsidR="004756C1" w:rsidRPr="002F50BD">
        <w:rPr>
          <w:rFonts w:ascii="Verdana" w:hAnsi="Verdana"/>
          <w:sz w:val="20"/>
          <w:lang w:val="pt-BR"/>
        </w:rPr>
        <w:t>Estado o</w:t>
      </w:r>
      <w:r w:rsidR="0075425F" w:rsidRPr="002F50BD">
        <w:rPr>
          <w:rFonts w:ascii="Verdana" w:hAnsi="Verdana"/>
          <w:sz w:val="20"/>
          <w:lang w:val="pt-BR"/>
        </w:rPr>
        <w:t>u</w:t>
      </w:r>
      <w:r w:rsidR="004756C1" w:rsidRPr="002F50BD">
        <w:rPr>
          <w:rFonts w:ascii="Verdana" w:hAnsi="Verdana"/>
          <w:sz w:val="20"/>
          <w:lang w:val="pt-BR"/>
        </w:rPr>
        <w:t xml:space="preserve"> </w:t>
      </w:r>
      <w:r w:rsidR="0089298C" w:rsidRPr="002F50BD">
        <w:rPr>
          <w:rFonts w:ascii="Verdana" w:hAnsi="Verdana"/>
          <w:sz w:val="20"/>
          <w:lang w:val="pt-BR"/>
        </w:rPr>
        <w:t>corroborem</w:t>
      </w:r>
      <w:r w:rsidR="004756C1" w:rsidRPr="002F50BD">
        <w:rPr>
          <w:rFonts w:ascii="Verdana" w:hAnsi="Verdana"/>
          <w:sz w:val="20"/>
          <w:lang w:val="pt-BR"/>
        </w:rPr>
        <w:t xml:space="preserve"> aspectos relacionados</w:t>
      </w:r>
      <w:r w:rsidR="0089298C" w:rsidRPr="002F50BD">
        <w:rPr>
          <w:rFonts w:ascii="Verdana" w:hAnsi="Verdana"/>
          <w:sz w:val="20"/>
          <w:lang w:val="pt-BR"/>
        </w:rPr>
        <w:t xml:space="preserve"> com o </w:t>
      </w:r>
      <w:r w:rsidR="004756C1" w:rsidRPr="002F50BD">
        <w:rPr>
          <w:rFonts w:ascii="Verdana" w:hAnsi="Verdana"/>
          <w:sz w:val="20"/>
          <w:lang w:val="pt-BR"/>
        </w:rPr>
        <w:t>presente caso</w:t>
      </w:r>
      <w:r w:rsidR="0075425F" w:rsidRPr="002F50BD">
        <w:rPr>
          <w:rFonts w:ascii="Verdana" w:hAnsi="Verdana"/>
          <w:sz w:val="20"/>
          <w:lang w:val="pt-BR"/>
        </w:rPr>
        <w:t>.</w:t>
      </w:r>
      <w:r w:rsidR="004756C1" w:rsidRPr="002F50BD">
        <w:rPr>
          <w:rStyle w:val="FootnoteReference"/>
          <w:rFonts w:ascii="Verdana" w:hAnsi="Verdana"/>
        </w:rPr>
        <w:footnoteReference w:id="12"/>
      </w:r>
      <w:r w:rsidR="004756C1" w:rsidRPr="002F50BD">
        <w:rPr>
          <w:rFonts w:ascii="Verdana" w:hAnsi="Verdana"/>
          <w:sz w:val="20"/>
          <w:lang w:val="pt-BR"/>
        </w:rPr>
        <w:t xml:space="preserve"> </w:t>
      </w:r>
    </w:p>
    <w:p w:rsidR="004756C1" w:rsidRPr="002F50BD" w:rsidRDefault="004756C1">
      <w:pPr>
        <w:pStyle w:val="Heading5"/>
        <w:widowControl w:val="0"/>
        <w:tabs>
          <w:tab w:val="left" w:pos="560"/>
        </w:tabs>
        <w:ind w:hanging="630"/>
        <w:jc w:val="both"/>
        <w:rPr>
          <w:lang w:val="pt-BR"/>
        </w:rPr>
      </w:pPr>
    </w:p>
    <w:p w:rsidR="004756C1" w:rsidRPr="002F50BD" w:rsidRDefault="006C4368">
      <w:pPr>
        <w:pStyle w:val="Sangradetindependiente"/>
        <w:widowControl w:val="0"/>
        <w:spacing w:line="240" w:lineRule="auto"/>
        <w:jc w:val="both"/>
        <w:rPr>
          <w:rFonts w:ascii="Verdana" w:hAnsi="Verdana"/>
          <w:i/>
          <w:sz w:val="20"/>
          <w:lang w:val="pt-BR"/>
        </w:rPr>
      </w:pPr>
      <w:r w:rsidRPr="002F50BD">
        <w:rPr>
          <w:rFonts w:ascii="Verdana" w:hAnsi="Verdana"/>
          <w:i/>
          <w:sz w:val="20"/>
          <w:lang w:val="pt-BR"/>
        </w:rPr>
        <w:t>Aprecia</w:t>
      </w:r>
      <w:r w:rsidR="0089298C" w:rsidRPr="002F50BD">
        <w:rPr>
          <w:rFonts w:ascii="Verdana" w:hAnsi="Verdana"/>
          <w:i/>
          <w:sz w:val="20"/>
          <w:lang w:val="pt-BR"/>
        </w:rPr>
        <w:t>ção da Prova</w:t>
      </w:r>
      <w:r w:rsidR="004756C1" w:rsidRPr="002F50BD">
        <w:rPr>
          <w:rFonts w:ascii="Verdana" w:hAnsi="Verdana"/>
          <w:i/>
          <w:sz w:val="20"/>
          <w:lang w:val="pt-BR"/>
        </w:rPr>
        <w:t xml:space="preserve"> </w:t>
      </w:r>
      <w:r w:rsidR="0089298C" w:rsidRPr="002F50BD">
        <w:rPr>
          <w:rFonts w:ascii="Verdana" w:hAnsi="Verdana"/>
          <w:i/>
          <w:sz w:val="20"/>
          <w:lang w:val="pt-BR"/>
        </w:rPr>
        <w:t xml:space="preserve">Testemunhal e </w:t>
      </w:r>
      <w:r w:rsidR="004756C1" w:rsidRPr="002F50BD">
        <w:rPr>
          <w:rFonts w:ascii="Verdana" w:hAnsi="Verdana"/>
          <w:i/>
          <w:sz w:val="20"/>
          <w:lang w:val="pt-BR"/>
        </w:rPr>
        <w:t>Pericial</w:t>
      </w:r>
    </w:p>
    <w:p w:rsidR="004756C1" w:rsidRPr="002F50BD" w:rsidRDefault="004756C1">
      <w:pPr>
        <w:pStyle w:val="BodyText"/>
        <w:rPr>
          <w:rFonts w:ascii="Verdana" w:eastAsia="Times" w:hAnsi="Verdana"/>
          <w:sz w:val="20"/>
          <w:lang w:val="pt-BR"/>
        </w:rPr>
      </w:pPr>
    </w:p>
    <w:p w:rsidR="004756C1" w:rsidRPr="002F50BD" w:rsidRDefault="00063B47">
      <w:pPr>
        <w:pStyle w:val="Textoindependiente1"/>
        <w:tabs>
          <w:tab w:val="left" w:pos="0"/>
        </w:tabs>
        <w:rPr>
          <w:sz w:val="20"/>
          <w:lang w:val="pt-BR"/>
        </w:rPr>
      </w:pPr>
      <w:r w:rsidRPr="002F50BD">
        <w:rPr>
          <w:sz w:val="20"/>
          <w:lang w:val="pt-BR"/>
        </w:rPr>
        <w:t>47</w:t>
      </w:r>
      <w:r w:rsidR="004756C1" w:rsidRPr="002F50BD">
        <w:rPr>
          <w:sz w:val="20"/>
          <w:lang w:val="pt-BR"/>
        </w:rPr>
        <w:t>.</w:t>
      </w:r>
      <w:r w:rsidR="004756C1" w:rsidRPr="002F50BD">
        <w:rPr>
          <w:sz w:val="20"/>
          <w:lang w:val="pt-BR"/>
        </w:rPr>
        <w:tab/>
        <w:t>E</w:t>
      </w:r>
      <w:r w:rsidR="0075425F" w:rsidRPr="002F50BD">
        <w:rPr>
          <w:sz w:val="20"/>
          <w:lang w:val="pt-BR"/>
        </w:rPr>
        <w:t>m</w:t>
      </w:r>
      <w:r w:rsidR="004756C1" w:rsidRPr="002F50BD">
        <w:rPr>
          <w:sz w:val="20"/>
          <w:lang w:val="pt-BR"/>
        </w:rPr>
        <w:t xml:space="preserve"> rela</w:t>
      </w:r>
      <w:r w:rsidR="0089298C" w:rsidRPr="002F50BD">
        <w:rPr>
          <w:sz w:val="20"/>
          <w:lang w:val="pt-BR"/>
        </w:rPr>
        <w:t xml:space="preserve">ção </w:t>
      </w:r>
      <w:r w:rsidR="0075425F" w:rsidRPr="002F50BD">
        <w:rPr>
          <w:sz w:val="20"/>
          <w:lang w:val="pt-BR"/>
        </w:rPr>
        <w:t>à</w:t>
      </w:r>
      <w:r w:rsidR="0089298C" w:rsidRPr="002F50BD">
        <w:rPr>
          <w:sz w:val="20"/>
          <w:lang w:val="pt-BR"/>
        </w:rPr>
        <w:t xml:space="preserve">s </w:t>
      </w:r>
      <w:r w:rsidR="004756C1" w:rsidRPr="002F50BD">
        <w:rPr>
          <w:sz w:val="20"/>
          <w:lang w:val="pt-BR"/>
        </w:rPr>
        <w:t>declara</w:t>
      </w:r>
      <w:r w:rsidR="0089298C" w:rsidRPr="002F50BD">
        <w:rPr>
          <w:sz w:val="20"/>
          <w:lang w:val="pt-BR"/>
        </w:rPr>
        <w:t xml:space="preserve">ções </w:t>
      </w:r>
      <w:r w:rsidR="0075425F" w:rsidRPr="002F50BD">
        <w:rPr>
          <w:sz w:val="20"/>
          <w:lang w:val="pt-BR"/>
        </w:rPr>
        <w:t xml:space="preserve">prestadas </w:t>
      </w:r>
      <w:r w:rsidR="00367FD1" w:rsidRPr="002F50BD">
        <w:rPr>
          <w:sz w:val="20"/>
          <w:lang w:val="pt-BR"/>
        </w:rPr>
        <w:t>pel</w:t>
      </w:r>
      <w:r w:rsidR="0075425F" w:rsidRPr="002F50BD">
        <w:rPr>
          <w:sz w:val="20"/>
          <w:lang w:val="pt-BR"/>
        </w:rPr>
        <w:t>a</w:t>
      </w:r>
      <w:r w:rsidR="00367FD1" w:rsidRPr="002F50BD">
        <w:rPr>
          <w:sz w:val="20"/>
          <w:lang w:val="pt-BR"/>
        </w:rPr>
        <w:t>s</w:t>
      </w:r>
      <w:r w:rsidR="00AB6727" w:rsidRPr="002F50BD">
        <w:rPr>
          <w:sz w:val="20"/>
          <w:lang w:val="pt-BR"/>
        </w:rPr>
        <w:t xml:space="preserve"> </w:t>
      </w:r>
      <w:r w:rsidR="0089298C" w:rsidRPr="002F50BD">
        <w:rPr>
          <w:sz w:val="20"/>
          <w:lang w:val="pt-BR"/>
        </w:rPr>
        <w:t>testemunha</w:t>
      </w:r>
      <w:r w:rsidR="004756C1" w:rsidRPr="002F50BD">
        <w:rPr>
          <w:sz w:val="20"/>
          <w:lang w:val="pt-BR"/>
        </w:rPr>
        <w:t xml:space="preserve">s </w:t>
      </w:r>
      <w:r w:rsidR="0089298C" w:rsidRPr="002F50BD">
        <w:rPr>
          <w:sz w:val="20"/>
          <w:lang w:val="pt-BR"/>
        </w:rPr>
        <w:t>propost</w:t>
      </w:r>
      <w:r w:rsidR="0075425F" w:rsidRPr="002F50BD">
        <w:rPr>
          <w:sz w:val="20"/>
          <w:lang w:val="pt-BR"/>
        </w:rPr>
        <w:t>a</w:t>
      </w:r>
      <w:r w:rsidR="004756C1" w:rsidRPr="002F50BD">
        <w:rPr>
          <w:sz w:val="20"/>
          <w:lang w:val="pt-BR"/>
        </w:rPr>
        <w:t>s</w:t>
      </w:r>
      <w:r w:rsidR="0089298C" w:rsidRPr="002F50BD">
        <w:rPr>
          <w:sz w:val="20"/>
          <w:lang w:val="pt-BR"/>
        </w:rPr>
        <w:t xml:space="preserve"> pela Comissão</w:t>
      </w:r>
      <w:r w:rsidR="004756C1" w:rsidRPr="002F50BD">
        <w:rPr>
          <w:sz w:val="20"/>
          <w:lang w:val="pt-BR"/>
        </w:rPr>
        <w:t>,</w:t>
      </w:r>
      <w:r w:rsidR="0089298C" w:rsidRPr="002F50BD">
        <w:rPr>
          <w:sz w:val="20"/>
          <w:lang w:val="pt-BR"/>
        </w:rPr>
        <w:t xml:space="preserve"> </w:t>
      </w:r>
      <w:r w:rsidR="0075425F" w:rsidRPr="002F50BD">
        <w:rPr>
          <w:sz w:val="20"/>
          <w:lang w:val="pt-BR"/>
        </w:rPr>
        <w:t>pel</w:t>
      </w:r>
      <w:r w:rsidR="0089298C" w:rsidRPr="002F50BD">
        <w:rPr>
          <w:sz w:val="20"/>
          <w:lang w:val="pt-BR"/>
        </w:rPr>
        <w:t xml:space="preserve">os </w:t>
      </w:r>
      <w:r w:rsidR="008C29C9" w:rsidRPr="002F50BD">
        <w:rPr>
          <w:sz w:val="20"/>
          <w:lang w:val="pt-BR"/>
        </w:rPr>
        <w:t>representante</w:t>
      </w:r>
      <w:r w:rsidR="004756C1" w:rsidRPr="002F50BD">
        <w:rPr>
          <w:sz w:val="20"/>
          <w:lang w:val="pt-BR"/>
        </w:rPr>
        <w:t>s</w:t>
      </w:r>
      <w:r w:rsidR="0089298C" w:rsidRPr="002F50BD">
        <w:rPr>
          <w:sz w:val="20"/>
          <w:lang w:val="pt-BR"/>
        </w:rPr>
        <w:t xml:space="preserve"> e </w:t>
      </w:r>
      <w:r w:rsidR="0075425F" w:rsidRPr="002F50BD">
        <w:rPr>
          <w:sz w:val="20"/>
          <w:lang w:val="pt-BR"/>
        </w:rPr>
        <w:t>pel</w:t>
      </w:r>
      <w:r w:rsidR="0089298C" w:rsidRPr="002F50BD">
        <w:rPr>
          <w:sz w:val="20"/>
          <w:lang w:val="pt-BR"/>
        </w:rPr>
        <w:t xml:space="preserve">o </w:t>
      </w:r>
      <w:r w:rsidR="004756C1" w:rsidRPr="002F50BD">
        <w:rPr>
          <w:sz w:val="20"/>
          <w:lang w:val="pt-BR"/>
        </w:rPr>
        <w:t>Estado</w:t>
      </w:r>
      <w:r w:rsidR="0089298C" w:rsidRPr="002F50BD">
        <w:rPr>
          <w:sz w:val="20"/>
          <w:lang w:val="pt-BR"/>
        </w:rPr>
        <w:t xml:space="preserve"> no </w:t>
      </w:r>
      <w:r w:rsidR="004756C1" w:rsidRPr="002F50BD">
        <w:rPr>
          <w:sz w:val="20"/>
          <w:lang w:val="pt-BR"/>
        </w:rPr>
        <w:t xml:space="preserve">presente caso </w:t>
      </w:r>
      <w:r w:rsidR="00CF451D" w:rsidRPr="00CF451D">
        <w:rPr>
          <w:sz w:val="20"/>
          <w:lang w:val="pt-BR"/>
        </w:rPr>
        <w:t>(</w:t>
      </w:r>
      <w:r w:rsidR="0089298C" w:rsidRPr="002F50BD">
        <w:rPr>
          <w:sz w:val="20"/>
          <w:lang w:val="pt-BR"/>
        </w:rPr>
        <w:t>par.</w:t>
      </w:r>
      <w:r w:rsidR="004756C1" w:rsidRPr="002F50BD">
        <w:rPr>
          <w:sz w:val="20"/>
          <w:lang w:val="pt-BR"/>
        </w:rPr>
        <w:t xml:space="preserve"> </w:t>
      </w:r>
      <w:r w:rsidRPr="002F50BD">
        <w:rPr>
          <w:sz w:val="20"/>
          <w:lang w:val="pt-BR"/>
        </w:rPr>
        <w:t>39</w:t>
      </w:r>
      <w:r w:rsidR="004756C1" w:rsidRPr="002F50BD">
        <w:rPr>
          <w:sz w:val="20"/>
          <w:lang w:val="pt-BR"/>
        </w:rPr>
        <w:t xml:space="preserve">.a, </w:t>
      </w:r>
      <w:r w:rsidRPr="002F50BD">
        <w:rPr>
          <w:sz w:val="20"/>
          <w:lang w:val="pt-BR"/>
        </w:rPr>
        <w:t>39</w:t>
      </w:r>
      <w:r w:rsidR="004756C1" w:rsidRPr="002F50BD">
        <w:rPr>
          <w:sz w:val="20"/>
          <w:lang w:val="pt-BR"/>
        </w:rPr>
        <w:t xml:space="preserve">.b, </w:t>
      </w:r>
      <w:r w:rsidRPr="002F50BD">
        <w:rPr>
          <w:sz w:val="20"/>
          <w:lang w:val="pt-BR"/>
        </w:rPr>
        <w:t>39</w:t>
      </w:r>
      <w:r w:rsidR="004756C1" w:rsidRPr="002F50BD">
        <w:rPr>
          <w:sz w:val="20"/>
          <w:lang w:val="pt-BR"/>
        </w:rPr>
        <w:t xml:space="preserve">.c, </w:t>
      </w:r>
      <w:r w:rsidRPr="002F50BD">
        <w:rPr>
          <w:sz w:val="20"/>
          <w:lang w:val="pt-BR"/>
        </w:rPr>
        <w:t>39</w:t>
      </w:r>
      <w:r w:rsidR="004756C1" w:rsidRPr="002F50BD">
        <w:rPr>
          <w:sz w:val="20"/>
          <w:lang w:val="pt-BR"/>
        </w:rPr>
        <w:t xml:space="preserve">.d, </w:t>
      </w:r>
      <w:r w:rsidRPr="002F50BD">
        <w:rPr>
          <w:sz w:val="20"/>
          <w:lang w:val="pt-BR"/>
        </w:rPr>
        <w:t>39</w:t>
      </w:r>
      <w:r w:rsidR="004756C1" w:rsidRPr="002F50BD">
        <w:rPr>
          <w:sz w:val="20"/>
          <w:lang w:val="pt-BR"/>
        </w:rPr>
        <w:t xml:space="preserve">.e, </w:t>
      </w:r>
      <w:r w:rsidRPr="002F50BD">
        <w:rPr>
          <w:sz w:val="20"/>
          <w:lang w:val="pt-BR"/>
        </w:rPr>
        <w:t>39</w:t>
      </w:r>
      <w:r w:rsidR="004756C1" w:rsidRPr="002F50BD">
        <w:rPr>
          <w:sz w:val="20"/>
          <w:lang w:val="pt-BR"/>
        </w:rPr>
        <w:t>.f</w:t>
      </w:r>
      <w:r w:rsidR="0089298C" w:rsidRPr="002F50BD">
        <w:rPr>
          <w:sz w:val="20"/>
          <w:lang w:val="pt-BR"/>
        </w:rPr>
        <w:t xml:space="preserve"> e </w:t>
      </w:r>
      <w:r w:rsidRPr="002F50BD">
        <w:rPr>
          <w:sz w:val="20"/>
          <w:lang w:val="pt-BR"/>
        </w:rPr>
        <w:t>39</w:t>
      </w:r>
      <w:r w:rsidR="004756C1" w:rsidRPr="002F50BD">
        <w:rPr>
          <w:sz w:val="20"/>
          <w:lang w:val="pt-BR"/>
        </w:rPr>
        <w:t>.g</w:t>
      </w:r>
      <w:r w:rsidR="0075425F" w:rsidRPr="002F50BD">
        <w:rPr>
          <w:i/>
          <w:sz w:val="20"/>
          <w:lang w:val="pt-BR"/>
        </w:rPr>
        <w:t xml:space="preserve"> supra</w:t>
      </w:r>
      <w:r w:rsidR="00CF451D" w:rsidRPr="00CF451D">
        <w:rPr>
          <w:sz w:val="20"/>
          <w:lang w:val="pt-BR"/>
        </w:rPr>
        <w:t>)</w:t>
      </w:r>
      <w:r w:rsidR="004756C1" w:rsidRPr="002F50BD">
        <w:rPr>
          <w:sz w:val="20"/>
          <w:lang w:val="pt-BR"/>
        </w:rPr>
        <w:t>,</w:t>
      </w:r>
      <w:r w:rsidR="0089298C" w:rsidRPr="002F50BD">
        <w:rPr>
          <w:sz w:val="20"/>
          <w:lang w:val="pt-BR"/>
        </w:rPr>
        <w:t xml:space="preserve"> a </w:t>
      </w:r>
      <w:r w:rsidR="004756C1" w:rsidRPr="002F50BD">
        <w:rPr>
          <w:sz w:val="20"/>
          <w:lang w:val="pt-BR"/>
        </w:rPr>
        <w:t>Corte</w:t>
      </w:r>
      <w:r w:rsidR="0089298C" w:rsidRPr="002F50BD">
        <w:rPr>
          <w:sz w:val="20"/>
          <w:lang w:val="pt-BR"/>
        </w:rPr>
        <w:t xml:space="preserve"> </w:t>
      </w:r>
      <w:r w:rsidR="0075425F" w:rsidRPr="002F50BD">
        <w:rPr>
          <w:sz w:val="20"/>
          <w:lang w:val="pt-BR"/>
        </w:rPr>
        <w:t>a</w:t>
      </w:r>
      <w:r w:rsidR="0089298C" w:rsidRPr="002F50BD">
        <w:rPr>
          <w:sz w:val="20"/>
          <w:lang w:val="pt-BR"/>
        </w:rPr>
        <w:t xml:space="preserve">s </w:t>
      </w:r>
      <w:r w:rsidR="004756C1" w:rsidRPr="002F50BD">
        <w:rPr>
          <w:sz w:val="20"/>
          <w:lang w:val="pt-BR"/>
        </w:rPr>
        <w:t>admite</w:t>
      </w:r>
      <w:r w:rsidR="0089298C" w:rsidRPr="002F50BD">
        <w:rPr>
          <w:sz w:val="20"/>
          <w:lang w:val="pt-BR"/>
        </w:rPr>
        <w:t xml:space="preserve"> </w:t>
      </w:r>
      <w:r w:rsidR="0075425F" w:rsidRPr="002F50BD">
        <w:rPr>
          <w:sz w:val="20"/>
          <w:lang w:val="pt-BR"/>
        </w:rPr>
        <w:t xml:space="preserve">na medida em que </w:t>
      </w:r>
      <w:r w:rsidR="0089298C" w:rsidRPr="002F50BD">
        <w:rPr>
          <w:sz w:val="20"/>
          <w:lang w:val="pt-BR"/>
        </w:rPr>
        <w:lastRenderedPageBreak/>
        <w:t>concorde</w:t>
      </w:r>
      <w:r w:rsidR="0075425F" w:rsidRPr="002F50BD">
        <w:rPr>
          <w:sz w:val="20"/>
          <w:lang w:val="pt-BR"/>
        </w:rPr>
        <w:t>m</w:t>
      </w:r>
      <w:r w:rsidR="0089298C" w:rsidRPr="002F50BD">
        <w:rPr>
          <w:sz w:val="20"/>
          <w:lang w:val="pt-BR"/>
        </w:rPr>
        <w:t xml:space="preserve"> com o </w:t>
      </w:r>
      <w:r w:rsidR="004756C1" w:rsidRPr="002F50BD">
        <w:rPr>
          <w:sz w:val="20"/>
          <w:lang w:val="pt-BR"/>
        </w:rPr>
        <w:t xml:space="preserve">objeto </w:t>
      </w:r>
      <w:r w:rsidR="0075425F" w:rsidRPr="002F50BD">
        <w:rPr>
          <w:sz w:val="20"/>
          <w:lang w:val="pt-BR"/>
        </w:rPr>
        <w:t>da declaração</w:t>
      </w:r>
      <w:r w:rsidR="004756C1" w:rsidRPr="002F50BD">
        <w:rPr>
          <w:sz w:val="20"/>
          <w:lang w:val="pt-BR"/>
        </w:rPr>
        <w:t xml:space="preserve"> </w:t>
      </w:r>
      <w:r w:rsidR="0089298C" w:rsidRPr="002F50BD">
        <w:rPr>
          <w:sz w:val="20"/>
          <w:lang w:val="pt-BR"/>
        </w:rPr>
        <w:t>estabelecid</w:t>
      </w:r>
      <w:r w:rsidR="004756C1" w:rsidRPr="002F50BD">
        <w:rPr>
          <w:sz w:val="20"/>
          <w:lang w:val="pt-BR"/>
        </w:rPr>
        <w:t>o</w:t>
      </w:r>
      <w:r w:rsidR="0089298C" w:rsidRPr="002F50BD">
        <w:rPr>
          <w:sz w:val="20"/>
          <w:lang w:val="pt-BR"/>
        </w:rPr>
        <w:t xml:space="preserve"> pelo </w:t>
      </w:r>
      <w:r w:rsidR="004756C1" w:rsidRPr="002F50BD">
        <w:rPr>
          <w:sz w:val="20"/>
          <w:lang w:val="pt-BR"/>
        </w:rPr>
        <w:t xml:space="preserve">Presidente </w:t>
      </w:r>
      <w:r w:rsidR="0075425F" w:rsidRPr="002F50BD">
        <w:rPr>
          <w:sz w:val="20"/>
          <w:lang w:val="pt-BR"/>
        </w:rPr>
        <w:t xml:space="preserve">por meio da </w:t>
      </w:r>
      <w:r w:rsidR="004756C1" w:rsidRPr="002F50BD">
        <w:rPr>
          <w:sz w:val="20"/>
          <w:lang w:val="pt-BR"/>
        </w:rPr>
        <w:t>Resolu</w:t>
      </w:r>
      <w:r w:rsidR="0089298C" w:rsidRPr="002F50BD">
        <w:rPr>
          <w:sz w:val="20"/>
          <w:lang w:val="pt-BR"/>
        </w:rPr>
        <w:t>ção</w:t>
      </w:r>
      <w:r w:rsidR="004756C1" w:rsidRPr="002F50BD">
        <w:rPr>
          <w:sz w:val="20"/>
          <w:lang w:val="pt-BR"/>
        </w:rPr>
        <w:t xml:space="preserve"> de </w:t>
      </w:r>
      <w:r w:rsidRPr="002F50BD">
        <w:rPr>
          <w:sz w:val="20"/>
          <w:lang w:val="pt-BR"/>
        </w:rPr>
        <w:t>31</w:t>
      </w:r>
      <w:r w:rsidR="004756C1" w:rsidRPr="002F50BD">
        <w:rPr>
          <w:sz w:val="20"/>
          <w:lang w:val="pt-BR"/>
        </w:rPr>
        <w:t xml:space="preserve"> de </w:t>
      </w:r>
      <w:r w:rsidR="0089298C" w:rsidRPr="002F50BD">
        <w:rPr>
          <w:sz w:val="20"/>
          <w:lang w:val="pt-BR"/>
        </w:rPr>
        <w:t>janeiro</w:t>
      </w:r>
      <w:r w:rsidR="004756C1" w:rsidRPr="002F50BD">
        <w:rPr>
          <w:sz w:val="20"/>
          <w:lang w:val="pt-BR"/>
        </w:rPr>
        <w:t xml:space="preserve"> de </w:t>
      </w:r>
      <w:r w:rsidRPr="002F50BD">
        <w:rPr>
          <w:sz w:val="20"/>
          <w:lang w:val="pt-BR"/>
        </w:rPr>
        <w:t>2005</w:t>
      </w:r>
      <w:r w:rsidR="004756C1" w:rsidRPr="002F50BD">
        <w:rPr>
          <w:sz w:val="20"/>
          <w:lang w:val="pt-BR"/>
        </w:rPr>
        <w:t xml:space="preserve"> </w:t>
      </w:r>
      <w:r w:rsidR="00CF451D" w:rsidRPr="00CF451D">
        <w:rPr>
          <w:sz w:val="20"/>
          <w:lang w:val="pt-BR"/>
        </w:rPr>
        <w:t>(</w:t>
      </w:r>
      <w:r w:rsidR="00EC5F20" w:rsidRPr="002F50BD">
        <w:rPr>
          <w:sz w:val="20"/>
          <w:lang w:val="pt-BR"/>
        </w:rPr>
        <w:t xml:space="preserve">par. </w:t>
      </w:r>
      <w:r w:rsidRPr="002F50BD">
        <w:rPr>
          <w:sz w:val="20"/>
          <w:lang w:val="pt-BR"/>
        </w:rPr>
        <w:t>14</w:t>
      </w:r>
      <w:r w:rsidR="00E0019F" w:rsidRPr="002F50BD">
        <w:rPr>
          <w:i/>
          <w:sz w:val="20"/>
          <w:lang w:val="pt-BR"/>
        </w:rPr>
        <w:t xml:space="preserve"> supra</w:t>
      </w:r>
      <w:r w:rsidR="00CF451D" w:rsidRPr="00CF451D">
        <w:rPr>
          <w:sz w:val="20"/>
          <w:lang w:val="pt-BR"/>
        </w:rPr>
        <w:t>)</w:t>
      </w:r>
      <w:r w:rsidR="0089298C" w:rsidRPr="002F50BD">
        <w:rPr>
          <w:sz w:val="20"/>
          <w:lang w:val="pt-BR"/>
        </w:rPr>
        <w:t xml:space="preserve"> e </w:t>
      </w:r>
      <w:r w:rsidR="009121B8" w:rsidRPr="002F50BD">
        <w:rPr>
          <w:sz w:val="20"/>
          <w:lang w:val="pt-BR"/>
        </w:rPr>
        <w:t xml:space="preserve">reconhece seu </w:t>
      </w:r>
      <w:r w:rsidR="004756C1" w:rsidRPr="002F50BD">
        <w:rPr>
          <w:sz w:val="20"/>
          <w:lang w:val="pt-BR"/>
        </w:rPr>
        <w:t xml:space="preserve">valor </w:t>
      </w:r>
      <w:r w:rsidR="0089298C" w:rsidRPr="002F50BD">
        <w:rPr>
          <w:sz w:val="20"/>
          <w:lang w:val="pt-BR"/>
        </w:rPr>
        <w:t>probatório</w:t>
      </w:r>
      <w:r w:rsidR="004756C1" w:rsidRPr="002F50BD">
        <w:rPr>
          <w:sz w:val="20"/>
          <w:lang w:val="pt-BR"/>
        </w:rPr>
        <w:t>.</w:t>
      </w:r>
      <w:r w:rsidR="00FE08B7">
        <w:rPr>
          <w:sz w:val="20"/>
          <w:lang w:val="pt-BR"/>
        </w:rPr>
        <w:t xml:space="preserve"> </w:t>
      </w:r>
    </w:p>
    <w:p w:rsidR="004756C1" w:rsidRPr="002F50BD" w:rsidRDefault="004756C1">
      <w:pPr>
        <w:pStyle w:val="Textoindependiente1"/>
        <w:tabs>
          <w:tab w:val="left" w:pos="0"/>
        </w:tabs>
        <w:rPr>
          <w:sz w:val="20"/>
          <w:lang w:val="pt-BR"/>
        </w:rPr>
      </w:pPr>
    </w:p>
    <w:p w:rsidR="004756C1" w:rsidRPr="002F50BD" w:rsidRDefault="00063B47">
      <w:pPr>
        <w:pStyle w:val="Textoindependiente1"/>
        <w:tabs>
          <w:tab w:val="left" w:pos="0"/>
        </w:tabs>
        <w:rPr>
          <w:sz w:val="20"/>
          <w:lang w:val="pt-BR"/>
        </w:rPr>
      </w:pPr>
      <w:r w:rsidRPr="002F50BD">
        <w:rPr>
          <w:sz w:val="20"/>
          <w:lang w:val="pt-BR"/>
        </w:rPr>
        <w:t>48</w:t>
      </w:r>
      <w:r w:rsidR="004756C1" w:rsidRPr="002F50BD">
        <w:rPr>
          <w:sz w:val="20"/>
          <w:lang w:val="pt-BR"/>
        </w:rPr>
        <w:t>.</w:t>
      </w:r>
      <w:r w:rsidR="004756C1" w:rsidRPr="002F50BD">
        <w:rPr>
          <w:sz w:val="20"/>
          <w:lang w:val="pt-BR"/>
        </w:rPr>
        <w:tab/>
      </w:r>
      <w:r w:rsidR="00CF451D">
        <w:rPr>
          <w:sz w:val="20"/>
          <w:lang w:val="pt-BR"/>
        </w:rPr>
        <w:t>Nesse sentido,</w:t>
      </w:r>
      <w:r w:rsidR="004756C1" w:rsidRPr="002F50BD">
        <w:rPr>
          <w:sz w:val="20"/>
          <w:lang w:val="pt-BR"/>
        </w:rPr>
        <w:t xml:space="preserve"> este Tribunal </w:t>
      </w:r>
      <w:r w:rsidR="0075425F" w:rsidRPr="002F50BD">
        <w:rPr>
          <w:sz w:val="20"/>
          <w:lang w:val="pt-BR"/>
        </w:rPr>
        <w:t>considera</w:t>
      </w:r>
      <w:r w:rsidR="004756C1" w:rsidRPr="002F50BD">
        <w:rPr>
          <w:sz w:val="20"/>
          <w:lang w:val="pt-BR"/>
        </w:rPr>
        <w:t xml:space="preserve"> que</w:t>
      </w:r>
      <w:r w:rsidR="0089298C" w:rsidRPr="002F50BD">
        <w:rPr>
          <w:sz w:val="20"/>
          <w:lang w:val="pt-BR"/>
        </w:rPr>
        <w:t xml:space="preserve"> o testemunho dos senhores</w:t>
      </w:r>
      <w:r w:rsidR="004756C1" w:rsidRPr="002F50BD">
        <w:rPr>
          <w:sz w:val="20"/>
          <w:lang w:val="pt-BR"/>
        </w:rPr>
        <w:t xml:space="preserve"> Esteban López, </w:t>
      </w:r>
      <w:r w:rsidR="00CD7100" w:rsidRPr="002F50BD">
        <w:rPr>
          <w:sz w:val="20"/>
          <w:lang w:val="pt-BR"/>
        </w:rPr>
        <w:t>Tomás Galeano</w:t>
      </w:r>
      <w:r w:rsidR="004756C1" w:rsidRPr="002F50BD">
        <w:rPr>
          <w:sz w:val="20"/>
          <w:lang w:val="pt-BR"/>
        </w:rPr>
        <w:t xml:space="preserve"> e Inocencia Gómez </w:t>
      </w:r>
      <w:r w:rsidR="00CF451D" w:rsidRPr="00CF451D">
        <w:rPr>
          <w:sz w:val="20"/>
          <w:lang w:val="pt-BR"/>
        </w:rPr>
        <w:t>(</w:t>
      </w:r>
      <w:r w:rsidR="0089298C" w:rsidRPr="002F50BD">
        <w:rPr>
          <w:sz w:val="20"/>
          <w:lang w:val="pt-BR"/>
        </w:rPr>
        <w:t>par.</w:t>
      </w:r>
      <w:r w:rsidR="004756C1" w:rsidRPr="002F50BD">
        <w:rPr>
          <w:sz w:val="20"/>
          <w:lang w:val="pt-BR"/>
        </w:rPr>
        <w:t xml:space="preserve"> </w:t>
      </w:r>
      <w:r w:rsidRPr="002F50BD">
        <w:rPr>
          <w:sz w:val="20"/>
          <w:lang w:val="pt-BR"/>
        </w:rPr>
        <w:t>39</w:t>
      </w:r>
      <w:r w:rsidR="004756C1" w:rsidRPr="002F50BD">
        <w:rPr>
          <w:sz w:val="20"/>
          <w:lang w:val="pt-BR"/>
        </w:rPr>
        <w:t xml:space="preserve">.a, </w:t>
      </w:r>
      <w:r w:rsidRPr="002F50BD">
        <w:rPr>
          <w:sz w:val="20"/>
          <w:lang w:val="pt-BR"/>
        </w:rPr>
        <w:t>39</w:t>
      </w:r>
      <w:r w:rsidR="004756C1" w:rsidRPr="002F50BD">
        <w:rPr>
          <w:sz w:val="20"/>
          <w:lang w:val="pt-BR"/>
        </w:rPr>
        <w:t>.b</w:t>
      </w:r>
      <w:r w:rsidR="0089298C" w:rsidRPr="002F50BD">
        <w:rPr>
          <w:sz w:val="20"/>
          <w:lang w:val="pt-BR"/>
        </w:rPr>
        <w:t xml:space="preserve"> e </w:t>
      </w:r>
      <w:r w:rsidRPr="002F50BD">
        <w:rPr>
          <w:sz w:val="20"/>
          <w:lang w:val="pt-BR"/>
        </w:rPr>
        <w:t>39</w:t>
      </w:r>
      <w:r w:rsidR="004756C1" w:rsidRPr="002F50BD">
        <w:rPr>
          <w:sz w:val="20"/>
          <w:lang w:val="pt-BR"/>
        </w:rPr>
        <w:t>.c</w:t>
      </w:r>
      <w:r w:rsidR="0075425F" w:rsidRPr="002F50BD">
        <w:rPr>
          <w:i/>
          <w:sz w:val="20"/>
          <w:lang w:val="pt-BR"/>
        </w:rPr>
        <w:t xml:space="preserve"> supra</w:t>
      </w:r>
      <w:r w:rsidR="00CF451D" w:rsidRPr="00CF451D">
        <w:rPr>
          <w:sz w:val="20"/>
          <w:lang w:val="pt-BR"/>
        </w:rPr>
        <w:t>)</w:t>
      </w:r>
      <w:r w:rsidR="004756C1" w:rsidRPr="002F50BD">
        <w:rPr>
          <w:sz w:val="20"/>
          <w:lang w:val="pt-BR"/>
        </w:rPr>
        <w:t xml:space="preserve">, por </w:t>
      </w:r>
      <w:r w:rsidR="0075425F" w:rsidRPr="002F50BD">
        <w:rPr>
          <w:sz w:val="20"/>
          <w:lang w:val="pt-BR"/>
        </w:rPr>
        <w:t xml:space="preserve">serem </w:t>
      </w:r>
      <w:r w:rsidR="0089298C" w:rsidRPr="002F50BD">
        <w:rPr>
          <w:sz w:val="20"/>
          <w:lang w:val="pt-BR"/>
        </w:rPr>
        <w:t>suposta</w:t>
      </w:r>
      <w:r w:rsidR="004756C1" w:rsidRPr="002F50BD">
        <w:rPr>
          <w:sz w:val="20"/>
          <w:lang w:val="pt-BR"/>
        </w:rPr>
        <w:t xml:space="preserve">s </w:t>
      </w:r>
      <w:r w:rsidR="0089298C" w:rsidRPr="002F50BD">
        <w:rPr>
          <w:sz w:val="20"/>
          <w:lang w:val="pt-BR"/>
        </w:rPr>
        <w:t>vítima</w:t>
      </w:r>
      <w:r w:rsidR="004756C1" w:rsidRPr="002F50BD">
        <w:rPr>
          <w:sz w:val="20"/>
          <w:lang w:val="pt-BR"/>
        </w:rPr>
        <w:t>s</w:t>
      </w:r>
      <w:r w:rsidR="0089298C" w:rsidRPr="002F50BD">
        <w:rPr>
          <w:sz w:val="20"/>
          <w:lang w:val="pt-BR"/>
        </w:rPr>
        <w:t xml:space="preserve"> e ter</w:t>
      </w:r>
      <w:r w:rsidR="0075425F" w:rsidRPr="002F50BD">
        <w:rPr>
          <w:sz w:val="20"/>
          <w:lang w:val="pt-BR"/>
        </w:rPr>
        <w:t>em</w:t>
      </w:r>
      <w:r w:rsidR="0089298C" w:rsidRPr="002F50BD">
        <w:rPr>
          <w:sz w:val="20"/>
          <w:lang w:val="pt-BR"/>
        </w:rPr>
        <w:t xml:space="preserve"> um interesse diret</w:t>
      </w:r>
      <w:r w:rsidR="004756C1" w:rsidRPr="002F50BD">
        <w:rPr>
          <w:sz w:val="20"/>
          <w:lang w:val="pt-BR"/>
        </w:rPr>
        <w:t>o</w:t>
      </w:r>
      <w:r w:rsidR="0089298C" w:rsidRPr="002F50BD">
        <w:rPr>
          <w:sz w:val="20"/>
          <w:lang w:val="pt-BR"/>
        </w:rPr>
        <w:t xml:space="preserve"> neste </w:t>
      </w:r>
      <w:r w:rsidR="004756C1" w:rsidRPr="002F50BD">
        <w:rPr>
          <w:sz w:val="20"/>
          <w:lang w:val="pt-BR"/>
        </w:rPr>
        <w:t xml:space="preserve">caso, </w:t>
      </w:r>
      <w:r w:rsidR="00AB454A" w:rsidRPr="002F50BD">
        <w:rPr>
          <w:sz w:val="20"/>
          <w:lang w:val="pt-BR"/>
        </w:rPr>
        <w:t>não pode</w:t>
      </w:r>
      <w:r w:rsidR="0075425F" w:rsidRPr="002F50BD">
        <w:rPr>
          <w:sz w:val="20"/>
          <w:lang w:val="pt-BR"/>
        </w:rPr>
        <w:t>m</w:t>
      </w:r>
      <w:r w:rsidR="004756C1" w:rsidRPr="002F50BD">
        <w:rPr>
          <w:sz w:val="20"/>
          <w:lang w:val="pt-BR"/>
        </w:rPr>
        <w:t xml:space="preserve"> ser </w:t>
      </w:r>
      <w:r w:rsidR="006C4368" w:rsidRPr="002F50BD">
        <w:rPr>
          <w:sz w:val="20"/>
          <w:lang w:val="pt-BR"/>
        </w:rPr>
        <w:t>aprecia</w:t>
      </w:r>
      <w:r w:rsidR="004756C1" w:rsidRPr="002F50BD">
        <w:rPr>
          <w:sz w:val="20"/>
          <w:lang w:val="pt-BR"/>
        </w:rPr>
        <w:t>do</w:t>
      </w:r>
      <w:r w:rsidR="0075425F" w:rsidRPr="002F50BD">
        <w:rPr>
          <w:sz w:val="20"/>
          <w:lang w:val="pt-BR"/>
        </w:rPr>
        <w:t>s</w:t>
      </w:r>
      <w:r w:rsidR="004756C1" w:rsidRPr="002F50BD">
        <w:rPr>
          <w:sz w:val="20"/>
          <w:lang w:val="pt-BR"/>
        </w:rPr>
        <w:t xml:space="preserve"> </w:t>
      </w:r>
      <w:r w:rsidR="0089298C" w:rsidRPr="002F50BD">
        <w:rPr>
          <w:sz w:val="20"/>
          <w:lang w:val="pt-BR"/>
        </w:rPr>
        <w:t>isoladamente</w:t>
      </w:r>
      <w:r w:rsidR="004756C1" w:rsidRPr="002F50BD">
        <w:rPr>
          <w:sz w:val="20"/>
          <w:lang w:val="pt-BR"/>
        </w:rPr>
        <w:t>,</w:t>
      </w:r>
      <w:r w:rsidR="0089298C" w:rsidRPr="002F50BD">
        <w:rPr>
          <w:sz w:val="20"/>
          <w:lang w:val="pt-BR"/>
        </w:rPr>
        <w:t xml:space="preserve"> mas </w:t>
      </w:r>
      <w:r w:rsidR="004756C1" w:rsidRPr="002F50BD">
        <w:rPr>
          <w:sz w:val="20"/>
          <w:lang w:val="pt-BR"/>
        </w:rPr>
        <w:t xml:space="preserve">dentro </w:t>
      </w:r>
      <w:r w:rsidR="0089298C" w:rsidRPr="002F50BD">
        <w:rPr>
          <w:sz w:val="20"/>
          <w:lang w:val="pt-BR"/>
        </w:rPr>
        <w:t xml:space="preserve">do </w:t>
      </w:r>
      <w:r w:rsidR="004756C1" w:rsidRPr="002F50BD">
        <w:rPr>
          <w:sz w:val="20"/>
          <w:lang w:val="pt-BR"/>
        </w:rPr>
        <w:t>conjunto</w:t>
      </w:r>
      <w:r w:rsidR="0089298C" w:rsidRPr="002F50BD">
        <w:rPr>
          <w:sz w:val="20"/>
          <w:lang w:val="pt-BR"/>
        </w:rPr>
        <w:t xml:space="preserve"> das prova</w:t>
      </w:r>
      <w:r w:rsidR="004756C1" w:rsidRPr="002F50BD">
        <w:rPr>
          <w:sz w:val="20"/>
          <w:lang w:val="pt-BR"/>
        </w:rPr>
        <w:t xml:space="preserve">s </w:t>
      </w:r>
      <w:r w:rsidR="0089298C" w:rsidRPr="002F50BD">
        <w:rPr>
          <w:sz w:val="20"/>
          <w:lang w:val="pt-BR"/>
        </w:rPr>
        <w:t>do processo</w:t>
      </w:r>
      <w:r w:rsidR="004756C1" w:rsidRPr="002F50BD">
        <w:rPr>
          <w:sz w:val="20"/>
          <w:lang w:val="pt-BR"/>
        </w:rPr>
        <w:t xml:space="preserve">. </w:t>
      </w:r>
      <w:r w:rsidR="0075425F" w:rsidRPr="002F50BD">
        <w:rPr>
          <w:sz w:val="20"/>
          <w:lang w:val="pt-BR"/>
        </w:rPr>
        <w:t xml:space="preserve">Em função das </w:t>
      </w:r>
      <w:r w:rsidR="0089298C" w:rsidRPr="002F50BD">
        <w:rPr>
          <w:sz w:val="20"/>
          <w:lang w:val="pt-BR"/>
        </w:rPr>
        <w:t xml:space="preserve">razões já </w:t>
      </w:r>
      <w:r w:rsidR="004076AD" w:rsidRPr="002F50BD">
        <w:rPr>
          <w:sz w:val="20"/>
          <w:lang w:val="pt-BR"/>
        </w:rPr>
        <w:t>indica</w:t>
      </w:r>
      <w:r w:rsidR="004756C1" w:rsidRPr="002F50BD">
        <w:rPr>
          <w:sz w:val="20"/>
          <w:lang w:val="pt-BR"/>
        </w:rPr>
        <w:t>das</w:t>
      </w:r>
      <w:r w:rsidR="0089298C" w:rsidRPr="002F50BD">
        <w:rPr>
          <w:sz w:val="20"/>
          <w:lang w:val="pt-BR"/>
        </w:rPr>
        <w:t xml:space="preserve"> pelo </w:t>
      </w:r>
      <w:r w:rsidR="004756C1" w:rsidRPr="002F50BD">
        <w:rPr>
          <w:sz w:val="20"/>
          <w:lang w:val="pt-BR"/>
        </w:rPr>
        <w:t xml:space="preserve">Tribunal </w:t>
      </w:r>
      <w:r w:rsidR="00CF451D" w:rsidRPr="00CF451D">
        <w:rPr>
          <w:sz w:val="20"/>
          <w:lang w:val="pt-BR"/>
        </w:rPr>
        <w:t>(</w:t>
      </w:r>
      <w:r w:rsidR="00EC5F20" w:rsidRPr="002F50BD">
        <w:rPr>
          <w:sz w:val="20"/>
          <w:lang w:val="pt-BR"/>
        </w:rPr>
        <w:t xml:space="preserve">par. </w:t>
      </w:r>
      <w:r w:rsidRPr="002F50BD">
        <w:rPr>
          <w:sz w:val="20"/>
          <w:lang w:val="pt-BR"/>
        </w:rPr>
        <w:t>43</w:t>
      </w:r>
      <w:r w:rsidR="00E0019F" w:rsidRPr="002F50BD">
        <w:rPr>
          <w:i/>
          <w:sz w:val="20"/>
          <w:lang w:val="pt-BR"/>
        </w:rPr>
        <w:t xml:space="preserve"> supra</w:t>
      </w:r>
      <w:r w:rsidR="00CF451D" w:rsidRPr="00CF451D">
        <w:rPr>
          <w:sz w:val="20"/>
          <w:lang w:val="pt-BR"/>
        </w:rPr>
        <w:t>)</w:t>
      </w:r>
      <w:r w:rsidR="004756C1" w:rsidRPr="002F50BD">
        <w:rPr>
          <w:sz w:val="20"/>
          <w:lang w:val="pt-BR"/>
        </w:rPr>
        <w:t>,</w:t>
      </w:r>
      <w:r w:rsidR="0089298C" w:rsidRPr="002F50BD">
        <w:rPr>
          <w:sz w:val="20"/>
          <w:lang w:val="pt-BR"/>
        </w:rPr>
        <w:t xml:space="preserve"> estes testemunho</w:t>
      </w:r>
      <w:r w:rsidR="004756C1" w:rsidRPr="002F50BD">
        <w:rPr>
          <w:sz w:val="20"/>
          <w:lang w:val="pt-BR"/>
        </w:rPr>
        <w:t xml:space="preserve">s </w:t>
      </w:r>
      <w:r w:rsidR="003F3630">
        <w:rPr>
          <w:sz w:val="20"/>
          <w:lang w:val="pt-BR"/>
        </w:rPr>
        <w:t xml:space="preserve">são </w:t>
      </w:r>
      <w:r w:rsidR="0089298C" w:rsidRPr="002F50BD">
        <w:rPr>
          <w:sz w:val="20"/>
          <w:lang w:val="pt-BR"/>
        </w:rPr>
        <w:t xml:space="preserve">úteis no </w:t>
      </w:r>
      <w:r w:rsidR="004756C1" w:rsidRPr="002F50BD">
        <w:rPr>
          <w:sz w:val="20"/>
          <w:lang w:val="pt-BR"/>
        </w:rPr>
        <w:t>presente caso</w:t>
      </w:r>
      <w:r w:rsidR="0075425F" w:rsidRPr="002F50BD">
        <w:rPr>
          <w:sz w:val="20"/>
          <w:lang w:val="pt-BR"/>
        </w:rPr>
        <w:t>.</w:t>
      </w:r>
      <w:r w:rsidR="004756C1" w:rsidRPr="002F50BD">
        <w:rPr>
          <w:rStyle w:val="FootnoteReference"/>
        </w:rPr>
        <w:footnoteReference w:id="13"/>
      </w:r>
    </w:p>
    <w:p w:rsidR="004756C1" w:rsidRPr="002F50BD" w:rsidRDefault="004756C1">
      <w:pPr>
        <w:widowControl w:val="0"/>
        <w:jc w:val="both"/>
        <w:rPr>
          <w:rFonts w:ascii="Verdana" w:hAnsi="Verdana"/>
          <w:sz w:val="20"/>
          <w:lang w:val="pt-BR"/>
        </w:rPr>
      </w:pPr>
    </w:p>
    <w:p w:rsidR="004756C1" w:rsidRPr="002F50BD" w:rsidRDefault="004756C1">
      <w:pPr>
        <w:widowControl w:val="0"/>
        <w:jc w:val="center"/>
        <w:rPr>
          <w:rFonts w:ascii="Verdana" w:hAnsi="Verdana"/>
          <w:sz w:val="20"/>
          <w:lang w:val="pt-BR"/>
        </w:rPr>
      </w:pPr>
      <w:r w:rsidRPr="002F50BD">
        <w:rPr>
          <w:rFonts w:ascii="Verdana" w:hAnsi="Verdana"/>
          <w:sz w:val="20"/>
          <w:lang w:val="pt-BR"/>
        </w:rPr>
        <w:t>*</w:t>
      </w:r>
    </w:p>
    <w:p w:rsidR="004756C1" w:rsidRPr="002F50BD" w:rsidRDefault="004756C1">
      <w:pPr>
        <w:widowControl w:val="0"/>
        <w:jc w:val="center"/>
        <w:rPr>
          <w:rFonts w:ascii="Verdana" w:hAnsi="Verdana"/>
          <w:sz w:val="20"/>
          <w:lang w:val="pt-BR"/>
        </w:rPr>
      </w:pPr>
      <w:r w:rsidRPr="002F50BD">
        <w:rPr>
          <w:rFonts w:ascii="Verdana" w:hAnsi="Verdana"/>
          <w:sz w:val="20"/>
          <w:lang w:val="pt-BR"/>
        </w:rPr>
        <w:t>*</w:t>
      </w:r>
      <w:r w:rsidRPr="002F50BD">
        <w:rPr>
          <w:rFonts w:ascii="Verdana" w:hAnsi="Verdana"/>
          <w:sz w:val="20"/>
          <w:lang w:val="pt-BR"/>
        </w:rPr>
        <w:tab/>
        <w:t>*</w:t>
      </w:r>
    </w:p>
    <w:p w:rsidR="004756C1" w:rsidRPr="002F50BD" w:rsidRDefault="004756C1">
      <w:pPr>
        <w:widowControl w:val="0"/>
        <w:jc w:val="both"/>
        <w:rPr>
          <w:rFonts w:ascii="Verdana" w:hAnsi="Verdana"/>
          <w:sz w:val="20"/>
          <w:lang w:val="pt-BR"/>
        </w:rPr>
      </w:pPr>
    </w:p>
    <w:p w:rsidR="004756C1" w:rsidRPr="002F50BD" w:rsidRDefault="00063B47">
      <w:pPr>
        <w:widowControl w:val="0"/>
        <w:jc w:val="both"/>
        <w:rPr>
          <w:rFonts w:ascii="Verdana" w:hAnsi="Verdana"/>
          <w:sz w:val="20"/>
          <w:lang w:val="pt-BR"/>
        </w:rPr>
      </w:pPr>
      <w:r w:rsidRPr="002F50BD">
        <w:rPr>
          <w:rFonts w:ascii="Verdana" w:hAnsi="Verdana"/>
          <w:sz w:val="20"/>
          <w:lang w:val="pt-BR"/>
        </w:rPr>
        <w:t>49</w:t>
      </w:r>
      <w:r w:rsidR="004756C1" w:rsidRPr="002F50BD">
        <w:rPr>
          <w:rFonts w:ascii="Verdana" w:hAnsi="Verdana"/>
          <w:sz w:val="20"/>
          <w:lang w:val="pt-BR"/>
        </w:rPr>
        <w:t>.</w:t>
      </w:r>
      <w:r w:rsidR="004756C1" w:rsidRPr="002F50BD">
        <w:rPr>
          <w:rFonts w:ascii="Verdana" w:hAnsi="Verdana"/>
          <w:sz w:val="20"/>
          <w:lang w:val="pt-BR"/>
        </w:rPr>
        <w:tab/>
      </w:r>
      <w:r w:rsidR="0075425F" w:rsidRPr="002F50BD">
        <w:rPr>
          <w:rFonts w:ascii="Verdana" w:hAnsi="Verdana"/>
          <w:sz w:val="20"/>
          <w:lang w:val="pt-BR"/>
        </w:rPr>
        <w:t xml:space="preserve">Em razão do </w:t>
      </w:r>
      <w:r w:rsidR="0089298C" w:rsidRPr="002F50BD">
        <w:rPr>
          <w:rFonts w:ascii="Verdana" w:hAnsi="Verdana"/>
          <w:sz w:val="20"/>
          <w:lang w:val="pt-BR"/>
        </w:rPr>
        <w:t>expost</w:t>
      </w:r>
      <w:r w:rsidR="004756C1" w:rsidRPr="002F50BD">
        <w:rPr>
          <w:rFonts w:ascii="Verdana" w:hAnsi="Verdana"/>
          <w:sz w:val="20"/>
          <w:lang w:val="pt-BR"/>
        </w:rPr>
        <w:t>o</w:t>
      </w:r>
      <w:r w:rsidR="0075425F" w:rsidRPr="002F50BD">
        <w:rPr>
          <w:rFonts w:ascii="Verdana" w:hAnsi="Verdana"/>
          <w:sz w:val="20"/>
          <w:lang w:val="pt-BR"/>
        </w:rPr>
        <w:t xml:space="preserve"> acima</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apreciará</w:t>
      </w:r>
      <w:r w:rsidR="0089298C" w:rsidRPr="002F50BD">
        <w:rPr>
          <w:rFonts w:ascii="Verdana" w:hAnsi="Verdana"/>
          <w:sz w:val="20"/>
          <w:lang w:val="pt-BR"/>
        </w:rPr>
        <w:t xml:space="preserve"> o </w:t>
      </w:r>
      <w:r w:rsidR="004756C1" w:rsidRPr="002F50BD">
        <w:rPr>
          <w:rFonts w:ascii="Verdana" w:hAnsi="Verdana"/>
          <w:sz w:val="20"/>
          <w:lang w:val="pt-BR"/>
        </w:rPr>
        <w:t xml:space="preserve">valor </w:t>
      </w:r>
      <w:r w:rsidR="0089298C" w:rsidRPr="002F50BD">
        <w:rPr>
          <w:rFonts w:ascii="Verdana" w:hAnsi="Verdana"/>
          <w:sz w:val="20"/>
          <w:lang w:val="pt-BR"/>
        </w:rPr>
        <w:t xml:space="preserve">probatório dos </w:t>
      </w:r>
      <w:r w:rsidR="004756C1" w:rsidRPr="002F50BD">
        <w:rPr>
          <w:rFonts w:ascii="Verdana" w:hAnsi="Verdana"/>
          <w:sz w:val="20"/>
          <w:lang w:val="pt-BR"/>
        </w:rPr>
        <w:t>documentos, declara</w:t>
      </w:r>
      <w:r w:rsidR="0089298C" w:rsidRPr="002F50BD">
        <w:rPr>
          <w:rFonts w:ascii="Verdana" w:hAnsi="Verdana"/>
          <w:sz w:val="20"/>
          <w:lang w:val="pt-BR"/>
        </w:rPr>
        <w:t>ções e perícia</w:t>
      </w:r>
      <w:r w:rsidR="004756C1" w:rsidRPr="002F50BD">
        <w:rPr>
          <w:rFonts w:ascii="Verdana" w:hAnsi="Verdana"/>
          <w:sz w:val="20"/>
          <w:lang w:val="pt-BR"/>
        </w:rPr>
        <w:t>s</w:t>
      </w:r>
      <w:r w:rsidR="0089298C" w:rsidRPr="002F50BD">
        <w:rPr>
          <w:rFonts w:ascii="Verdana" w:hAnsi="Verdana"/>
          <w:sz w:val="20"/>
          <w:lang w:val="pt-BR"/>
        </w:rPr>
        <w:t xml:space="preserve"> apresentados </w:t>
      </w:r>
      <w:r w:rsidR="004756C1" w:rsidRPr="002F50BD">
        <w:rPr>
          <w:rFonts w:ascii="Verdana" w:hAnsi="Verdana"/>
          <w:sz w:val="20"/>
          <w:lang w:val="pt-BR"/>
        </w:rPr>
        <w:t>por escrito o</w:t>
      </w:r>
      <w:r w:rsidR="0075425F" w:rsidRPr="002F50BD">
        <w:rPr>
          <w:rFonts w:ascii="Verdana" w:hAnsi="Verdana"/>
          <w:sz w:val="20"/>
          <w:lang w:val="pt-BR"/>
        </w:rPr>
        <w:t>u</w:t>
      </w:r>
      <w:r w:rsidR="004756C1" w:rsidRPr="002F50BD">
        <w:rPr>
          <w:rFonts w:ascii="Verdana" w:hAnsi="Verdana"/>
          <w:sz w:val="20"/>
          <w:lang w:val="pt-BR"/>
        </w:rPr>
        <w:t xml:space="preserve"> </w:t>
      </w:r>
      <w:r w:rsidR="0075425F" w:rsidRPr="002F50BD">
        <w:rPr>
          <w:rFonts w:ascii="Verdana" w:hAnsi="Verdana"/>
          <w:sz w:val="20"/>
          <w:lang w:val="pt-BR"/>
        </w:rPr>
        <w:t>apresentados ante si</w:t>
      </w:r>
      <w:r w:rsidR="004756C1" w:rsidRPr="002F50BD">
        <w:rPr>
          <w:rFonts w:ascii="Verdana" w:hAnsi="Verdana"/>
          <w:sz w:val="20"/>
          <w:lang w:val="pt-BR"/>
        </w:rPr>
        <w:t xml:space="preserve">. </w:t>
      </w:r>
      <w:r w:rsidR="0075425F" w:rsidRPr="002F50BD">
        <w:rPr>
          <w:rFonts w:ascii="Verdana" w:hAnsi="Verdana"/>
          <w:sz w:val="20"/>
          <w:lang w:val="pt-BR"/>
        </w:rPr>
        <w:t>A</w:t>
      </w:r>
      <w:r w:rsidR="0089298C" w:rsidRPr="002F50BD">
        <w:rPr>
          <w:rFonts w:ascii="Verdana" w:hAnsi="Verdana"/>
          <w:sz w:val="20"/>
          <w:lang w:val="pt-BR"/>
        </w:rPr>
        <w:t>s prova</w:t>
      </w:r>
      <w:r w:rsidR="004756C1" w:rsidRPr="002F50BD">
        <w:rPr>
          <w:rFonts w:ascii="Verdana" w:hAnsi="Verdana"/>
          <w:sz w:val="20"/>
          <w:lang w:val="pt-BR"/>
        </w:rPr>
        <w:t>s</w:t>
      </w:r>
      <w:r w:rsidR="0089298C" w:rsidRPr="002F50BD">
        <w:rPr>
          <w:rFonts w:ascii="Verdana" w:hAnsi="Verdana"/>
          <w:sz w:val="20"/>
          <w:lang w:val="pt-BR"/>
        </w:rPr>
        <w:t xml:space="preserve"> apresentadas </w:t>
      </w:r>
      <w:r w:rsidR="004756C1" w:rsidRPr="002F50BD">
        <w:rPr>
          <w:rFonts w:ascii="Verdana" w:hAnsi="Verdana"/>
          <w:sz w:val="20"/>
          <w:lang w:val="pt-BR"/>
        </w:rPr>
        <w:t>durante</w:t>
      </w:r>
      <w:r w:rsidR="0089298C" w:rsidRPr="002F50BD">
        <w:rPr>
          <w:rFonts w:ascii="Verdana" w:hAnsi="Verdana"/>
          <w:sz w:val="20"/>
          <w:lang w:val="pt-BR"/>
        </w:rPr>
        <w:t xml:space="preserve"> o processo</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integradas a</w:t>
      </w:r>
      <w:r w:rsidR="0089298C" w:rsidRPr="002F50BD">
        <w:rPr>
          <w:rFonts w:ascii="Verdana" w:hAnsi="Verdana"/>
          <w:sz w:val="20"/>
          <w:lang w:val="pt-BR"/>
        </w:rPr>
        <w:t xml:space="preserve"> um </w:t>
      </w:r>
      <w:r w:rsidR="0075425F" w:rsidRPr="002F50BD">
        <w:rPr>
          <w:rFonts w:ascii="Verdana" w:hAnsi="Verdana"/>
          <w:sz w:val="20"/>
          <w:lang w:val="pt-BR"/>
        </w:rPr>
        <w:t>único</w:t>
      </w:r>
      <w:r w:rsidR="004756C1" w:rsidRPr="002F50BD">
        <w:rPr>
          <w:rFonts w:ascii="Verdana" w:hAnsi="Verdana"/>
          <w:sz w:val="20"/>
          <w:lang w:val="pt-BR"/>
        </w:rPr>
        <w:t xml:space="preserve"> </w:t>
      </w:r>
      <w:r w:rsidR="009121B8" w:rsidRPr="002F50BD">
        <w:rPr>
          <w:rFonts w:ascii="Verdana" w:hAnsi="Verdana"/>
          <w:sz w:val="20"/>
          <w:lang w:val="pt-BR"/>
        </w:rPr>
        <w:t>acervo</w:t>
      </w:r>
      <w:r w:rsidR="004756C1" w:rsidRPr="002F50BD">
        <w:rPr>
          <w:rFonts w:ascii="Verdana" w:hAnsi="Verdana"/>
          <w:sz w:val="20"/>
          <w:lang w:val="pt-BR"/>
        </w:rPr>
        <w:t>, que se considera como</w:t>
      </w:r>
      <w:r w:rsidR="0089298C" w:rsidRPr="002F50BD">
        <w:rPr>
          <w:rFonts w:ascii="Verdana" w:hAnsi="Verdana"/>
          <w:sz w:val="20"/>
          <w:lang w:val="pt-BR"/>
        </w:rPr>
        <w:t xml:space="preserve"> um </w:t>
      </w:r>
      <w:r w:rsidR="004756C1" w:rsidRPr="002F50BD">
        <w:rPr>
          <w:rFonts w:ascii="Verdana" w:hAnsi="Verdana"/>
          <w:sz w:val="20"/>
          <w:lang w:val="pt-BR"/>
        </w:rPr>
        <w:t>todo</w:t>
      </w:r>
      <w:r w:rsidR="0075425F" w:rsidRPr="002F50BD">
        <w:rPr>
          <w:rFonts w:ascii="Verdana" w:hAnsi="Verdana"/>
          <w:sz w:val="20"/>
          <w:lang w:val="pt-BR"/>
        </w:rPr>
        <w:t>.</w:t>
      </w:r>
      <w:r w:rsidR="004756C1" w:rsidRPr="002F50BD">
        <w:rPr>
          <w:rStyle w:val="FootnoteReference"/>
          <w:rFonts w:ascii="Verdana" w:hAnsi="Verdana"/>
        </w:rPr>
        <w:footnoteReference w:id="14"/>
      </w:r>
    </w:p>
    <w:p w:rsidR="004756C1" w:rsidRPr="002F50BD" w:rsidRDefault="004756C1">
      <w:pPr>
        <w:pStyle w:val="Title"/>
        <w:rPr>
          <w:sz w:val="20"/>
          <w:lang w:val="pt-BR"/>
        </w:rPr>
      </w:pPr>
    </w:p>
    <w:p w:rsidR="004756C1" w:rsidRPr="002F50BD" w:rsidRDefault="004756C1">
      <w:pPr>
        <w:jc w:val="center"/>
        <w:rPr>
          <w:rFonts w:ascii="Verdana" w:hAnsi="Verdana"/>
          <w:b/>
          <w:sz w:val="20"/>
          <w:lang w:val="pt-BR"/>
        </w:rPr>
      </w:pPr>
      <w:r w:rsidRPr="002F50BD">
        <w:rPr>
          <w:rFonts w:ascii="Verdana" w:hAnsi="Verdana"/>
          <w:b/>
          <w:sz w:val="20"/>
          <w:lang w:val="pt-BR"/>
        </w:rPr>
        <w:t>VI</w:t>
      </w:r>
    </w:p>
    <w:p w:rsidR="004756C1" w:rsidRPr="002F50BD" w:rsidRDefault="0089298C">
      <w:pPr>
        <w:jc w:val="center"/>
        <w:rPr>
          <w:rFonts w:ascii="Verdana" w:hAnsi="Verdana"/>
          <w:sz w:val="20"/>
          <w:lang w:val="pt-BR"/>
        </w:rPr>
      </w:pPr>
      <w:r w:rsidRPr="002F50BD">
        <w:rPr>
          <w:rFonts w:ascii="Verdana" w:hAnsi="Verdana"/>
          <w:b/>
          <w:smallCaps/>
          <w:sz w:val="20"/>
          <w:lang w:val="pt-BR"/>
        </w:rPr>
        <w:t>Fatos</w:t>
      </w:r>
      <w:r w:rsidR="004756C1" w:rsidRPr="002F50BD">
        <w:rPr>
          <w:rFonts w:ascii="Verdana" w:hAnsi="Verdana"/>
          <w:b/>
          <w:smallCaps/>
          <w:sz w:val="20"/>
          <w:lang w:val="pt-BR"/>
        </w:rPr>
        <w:t xml:space="preserve"> </w:t>
      </w:r>
      <w:r w:rsidRPr="002F50BD">
        <w:rPr>
          <w:rFonts w:ascii="Verdana" w:hAnsi="Verdana"/>
          <w:b/>
          <w:smallCaps/>
          <w:sz w:val="20"/>
          <w:lang w:val="pt-BR"/>
        </w:rPr>
        <w:t>Provad</w:t>
      </w:r>
      <w:r w:rsidR="004756C1" w:rsidRPr="002F50BD">
        <w:rPr>
          <w:rFonts w:ascii="Verdana" w:hAnsi="Verdana"/>
          <w:b/>
          <w:smallCaps/>
          <w:sz w:val="20"/>
          <w:lang w:val="pt-BR"/>
        </w:rPr>
        <w:t>os</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Efetuad</w:t>
      </w:r>
      <w:r w:rsidR="004756C1" w:rsidRPr="002F50BD">
        <w:rPr>
          <w:rFonts w:ascii="Verdana" w:hAnsi="Verdana"/>
          <w:sz w:val="20"/>
          <w:lang w:val="pt-BR"/>
        </w:rPr>
        <w:t>o</w:t>
      </w:r>
      <w:r w:rsidR="0089298C" w:rsidRPr="002F50BD">
        <w:rPr>
          <w:rFonts w:ascii="Verdana" w:hAnsi="Verdana"/>
          <w:sz w:val="20"/>
          <w:lang w:val="pt-BR"/>
        </w:rPr>
        <w:t xml:space="preserve"> o exame da prova</w:t>
      </w:r>
      <w:r w:rsidR="004756C1" w:rsidRPr="002F50BD">
        <w:rPr>
          <w:rFonts w:ascii="Verdana" w:hAnsi="Verdana"/>
          <w:sz w:val="20"/>
          <w:lang w:val="pt-BR"/>
        </w:rPr>
        <w:t xml:space="preserve"> documental,</w:t>
      </w:r>
      <w:r w:rsidR="0089298C" w:rsidRPr="002F50BD">
        <w:rPr>
          <w:rFonts w:ascii="Verdana" w:hAnsi="Verdana"/>
          <w:sz w:val="20"/>
          <w:lang w:val="pt-BR"/>
        </w:rPr>
        <w:t xml:space="preserve"> das </w:t>
      </w:r>
      <w:r w:rsidR="004756C1" w:rsidRPr="002F50BD">
        <w:rPr>
          <w:rFonts w:ascii="Verdana" w:hAnsi="Verdana"/>
          <w:sz w:val="20"/>
          <w:lang w:val="pt-BR"/>
        </w:rPr>
        <w:t>declara</w:t>
      </w:r>
      <w:r w:rsidR="0075425F" w:rsidRPr="002F50BD">
        <w:rPr>
          <w:rFonts w:ascii="Verdana" w:hAnsi="Verdana"/>
          <w:sz w:val="20"/>
          <w:lang w:val="pt-BR"/>
        </w:rPr>
        <w:t>ções da</w:t>
      </w:r>
      <w:r w:rsidR="0089298C" w:rsidRPr="002F50BD">
        <w:rPr>
          <w:rFonts w:ascii="Verdana" w:hAnsi="Verdana"/>
          <w:sz w:val="20"/>
          <w:lang w:val="pt-BR"/>
        </w:rPr>
        <w:t>s testemunha</w:t>
      </w:r>
      <w:r w:rsidR="004756C1" w:rsidRPr="002F50BD">
        <w:rPr>
          <w:rFonts w:ascii="Verdana" w:hAnsi="Verdana"/>
          <w:sz w:val="20"/>
          <w:lang w:val="pt-BR"/>
        </w:rPr>
        <w:t>s,</w:t>
      </w:r>
      <w:r w:rsidR="0089298C" w:rsidRPr="002F50BD">
        <w:rPr>
          <w:rFonts w:ascii="Verdana" w:hAnsi="Verdana"/>
          <w:sz w:val="20"/>
          <w:lang w:val="pt-BR"/>
        </w:rPr>
        <w:t xml:space="preserve"> dos pareceres dos </w:t>
      </w:r>
      <w:r w:rsidR="004756C1" w:rsidRPr="002F50BD">
        <w:rPr>
          <w:rFonts w:ascii="Verdana" w:hAnsi="Verdana"/>
          <w:sz w:val="20"/>
          <w:lang w:val="pt-BR"/>
        </w:rPr>
        <w:t xml:space="preserve">peritos, </w:t>
      </w:r>
      <w:r w:rsidR="0075425F" w:rsidRPr="002F50BD">
        <w:rPr>
          <w:rFonts w:ascii="Verdana" w:hAnsi="Verdana"/>
          <w:sz w:val="20"/>
          <w:lang w:val="pt-BR"/>
        </w:rPr>
        <w:t>bem</w:t>
      </w:r>
      <w:r w:rsidR="004756C1" w:rsidRPr="002F50BD">
        <w:rPr>
          <w:rFonts w:ascii="Verdana" w:hAnsi="Verdana"/>
          <w:sz w:val="20"/>
          <w:lang w:val="pt-BR"/>
        </w:rPr>
        <w:t xml:space="preserve"> como</w:t>
      </w:r>
      <w:r w:rsidR="0089298C" w:rsidRPr="002F50BD">
        <w:rPr>
          <w:rFonts w:ascii="Verdana" w:hAnsi="Verdana"/>
          <w:sz w:val="20"/>
          <w:lang w:val="pt-BR"/>
        </w:rPr>
        <w:t xml:space="preserve"> das </w:t>
      </w:r>
      <w:r w:rsidR="004756C1" w:rsidRPr="002F50BD">
        <w:rPr>
          <w:rFonts w:ascii="Verdana" w:hAnsi="Verdana"/>
          <w:sz w:val="20"/>
          <w:lang w:val="pt-BR"/>
        </w:rPr>
        <w:t>manifesta</w:t>
      </w:r>
      <w:r w:rsidR="0089298C" w:rsidRPr="002F50BD">
        <w:rPr>
          <w:rFonts w:ascii="Verdana" w:hAnsi="Verdana"/>
          <w:sz w:val="20"/>
          <w:lang w:val="pt-BR"/>
        </w:rPr>
        <w:t>ções da Comissão</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dos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do </w:t>
      </w:r>
      <w:r w:rsidR="004756C1" w:rsidRPr="002F50BD">
        <w:rPr>
          <w:rFonts w:ascii="Verdana" w:hAnsi="Verdana"/>
          <w:sz w:val="20"/>
          <w:lang w:val="pt-BR"/>
        </w:rPr>
        <w:t>Estado</w:t>
      </w:r>
      <w:r w:rsidR="0089298C" w:rsidRPr="002F50BD">
        <w:rPr>
          <w:rFonts w:ascii="Verdana" w:hAnsi="Verdana"/>
          <w:sz w:val="20"/>
          <w:lang w:val="pt-BR"/>
        </w:rPr>
        <w:t xml:space="preserve"> no </w:t>
      </w:r>
      <w:r w:rsidR="004756C1" w:rsidRPr="002F50BD">
        <w:rPr>
          <w:rFonts w:ascii="Verdana" w:hAnsi="Verdana"/>
          <w:sz w:val="20"/>
          <w:lang w:val="pt-BR"/>
        </w:rPr>
        <w:t xml:space="preserve">curso </w:t>
      </w:r>
      <w:r w:rsidR="0089298C" w:rsidRPr="002F50BD">
        <w:rPr>
          <w:rFonts w:ascii="Verdana" w:hAnsi="Verdana"/>
          <w:sz w:val="20"/>
          <w:lang w:val="pt-BR"/>
        </w:rPr>
        <w:t xml:space="preserve">do </w:t>
      </w:r>
      <w:r w:rsidR="004756C1" w:rsidRPr="002F50BD">
        <w:rPr>
          <w:rFonts w:ascii="Verdana" w:hAnsi="Verdana"/>
          <w:sz w:val="20"/>
          <w:lang w:val="pt-BR"/>
        </w:rPr>
        <w:t xml:space="preserve">presente </w:t>
      </w:r>
      <w:r w:rsidR="0089298C" w:rsidRPr="002F50BD">
        <w:rPr>
          <w:rFonts w:ascii="Verdana" w:hAnsi="Verdana"/>
          <w:sz w:val="20"/>
          <w:lang w:val="pt-BR"/>
        </w:rPr>
        <w:t>processo</w:t>
      </w:r>
      <w:r w:rsidR="004756C1" w:rsidRPr="002F50BD">
        <w:rPr>
          <w:rFonts w:ascii="Verdana" w:hAnsi="Verdana"/>
          <w:sz w:val="20"/>
          <w:lang w:val="pt-BR"/>
        </w:rPr>
        <w:t xml:space="preserve">, esta Corte considera </w:t>
      </w:r>
      <w:r w:rsidR="0089298C" w:rsidRPr="002F50BD">
        <w:rPr>
          <w:rFonts w:ascii="Verdana" w:hAnsi="Verdana"/>
          <w:sz w:val="20"/>
          <w:lang w:val="pt-BR"/>
        </w:rPr>
        <w:t>provad</w:t>
      </w:r>
      <w:r w:rsidR="004756C1" w:rsidRPr="002F50BD">
        <w:rPr>
          <w:rFonts w:ascii="Verdana" w:hAnsi="Verdana"/>
          <w:sz w:val="20"/>
          <w:lang w:val="pt-BR"/>
        </w:rPr>
        <w:t>os</w:t>
      </w:r>
      <w:r w:rsidR="0089298C" w:rsidRPr="002F50BD">
        <w:rPr>
          <w:rFonts w:ascii="Verdana" w:hAnsi="Verdana"/>
          <w:sz w:val="20"/>
          <w:lang w:val="pt-BR"/>
        </w:rPr>
        <w:t xml:space="preserve"> os seguinte</w:t>
      </w:r>
      <w:r w:rsidR="004756C1" w:rsidRPr="002F50BD">
        <w:rPr>
          <w:rFonts w:ascii="Verdana" w:hAnsi="Verdana"/>
          <w:sz w:val="20"/>
          <w:lang w:val="pt-BR"/>
        </w:rPr>
        <w:t xml:space="preserve">s </w:t>
      </w:r>
      <w:r w:rsidR="0089298C" w:rsidRPr="002F50BD">
        <w:rPr>
          <w:rFonts w:ascii="Verdana" w:hAnsi="Verdana"/>
          <w:sz w:val="20"/>
          <w:lang w:val="pt-BR"/>
        </w:rPr>
        <w:t>fatos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lang w:val="pt-BR"/>
        </w:rPr>
      </w:pPr>
      <w:r w:rsidRPr="002F50BD">
        <w:rPr>
          <w:rFonts w:ascii="Verdana" w:hAnsi="Verdana"/>
          <w:i/>
          <w:sz w:val="20"/>
          <w:lang w:val="pt-BR"/>
        </w:rPr>
        <w:t>a</w:t>
      </w:r>
      <w:r w:rsidR="00CF451D" w:rsidRPr="00CF451D">
        <w:rPr>
          <w:rFonts w:ascii="Verdana" w:hAnsi="Verdana"/>
          <w:sz w:val="20"/>
          <w:lang w:val="pt-BR"/>
        </w:rPr>
        <w:t>)</w:t>
      </w:r>
      <w:r w:rsidRPr="002F50BD">
        <w:rPr>
          <w:rFonts w:ascii="Verdana" w:hAnsi="Verdana"/>
          <w:i/>
          <w:sz w:val="20"/>
          <w:lang w:val="pt-BR"/>
        </w:rPr>
        <w:t xml:space="preserve"> Antecedentes </w:t>
      </w:r>
    </w:p>
    <w:p w:rsidR="004756C1" w:rsidRPr="002F50BD" w:rsidRDefault="004756C1">
      <w:pPr>
        <w:jc w:val="both"/>
        <w:rPr>
          <w:rFonts w:ascii="Verdana" w:hAnsi="Verdana"/>
          <w:sz w:val="20"/>
          <w:lang w:val="pt-BR"/>
        </w:rPr>
      </w:pPr>
    </w:p>
    <w:p w:rsidR="004756C1" w:rsidRPr="002F50BD" w:rsidRDefault="004756C1">
      <w:pPr>
        <w:ind w:firstLine="720"/>
        <w:jc w:val="both"/>
        <w:rPr>
          <w:rFonts w:ascii="Verdana" w:hAnsi="Verdana"/>
          <w:sz w:val="20"/>
          <w:lang w:val="pt-BR"/>
        </w:rPr>
      </w:pPr>
      <w:r w:rsidRPr="002F50BD">
        <w:rPr>
          <w:rFonts w:ascii="Verdana" w:hAnsi="Verdana"/>
          <w:sz w:val="20"/>
          <w:lang w:val="pt-BR"/>
        </w:rPr>
        <w:t>i.</w:t>
      </w:r>
      <w:r w:rsidRPr="002F50BD">
        <w:rPr>
          <w:rFonts w:ascii="Verdana" w:hAnsi="Verdana"/>
          <w:sz w:val="20"/>
          <w:lang w:val="pt-BR"/>
        </w:rPr>
        <w:tab/>
      </w:r>
      <w:r w:rsidR="00FB33DD" w:rsidRPr="002F50BD">
        <w:rPr>
          <w:rFonts w:ascii="Verdana" w:hAnsi="Verdana"/>
          <w:sz w:val="20"/>
          <w:lang w:val="pt-BR"/>
        </w:rPr>
        <w:t xml:space="preserve">A </w:t>
      </w:r>
      <w:r w:rsidR="0089298C" w:rsidRPr="002F50BD">
        <w:rPr>
          <w:rFonts w:ascii="Verdana" w:hAnsi="Verdana"/>
          <w:sz w:val="20"/>
          <w:lang w:val="pt-BR"/>
        </w:rPr>
        <w:t xml:space="preserve">Comunidade </w:t>
      </w:r>
      <w:r w:rsidRPr="002F50BD">
        <w:rPr>
          <w:rFonts w:ascii="Verdana" w:hAnsi="Verdana"/>
          <w:sz w:val="20"/>
          <w:lang w:val="pt-BR"/>
        </w:rPr>
        <w:t>indígena Yakye Axa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89298C" w:rsidRPr="002F50BD">
        <w:rPr>
          <w:rFonts w:ascii="Verdana" w:hAnsi="Verdana"/>
          <w:sz w:val="20"/>
          <w:lang w:val="pt-BR"/>
        </w:rPr>
        <w:t xml:space="preserve">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004756C1" w:rsidRPr="002F50BD">
        <w:rPr>
          <w:rFonts w:ascii="Verdana" w:hAnsi="Verdana"/>
          <w:sz w:val="20"/>
          <w:lang w:val="pt-BR"/>
        </w:rPr>
        <w:t>“Isla de Palmas”</w:t>
      </w:r>
      <w:r w:rsidR="00CF451D" w:rsidRPr="00CF451D">
        <w:rPr>
          <w:rFonts w:ascii="Verdana" w:hAnsi="Verdana"/>
          <w:sz w:val="20"/>
          <w:lang w:val="pt-BR"/>
        </w:rPr>
        <w:t>)</w:t>
      </w:r>
      <w:r w:rsidR="0089298C" w:rsidRPr="002F50BD">
        <w:rPr>
          <w:rFonts w:ascii="Verdana" w:hAnsi="Verdana"/>
          <w:sz w:val="20"/>
          <w:lang w:val="pt-BR"/>
        </w:rPr>
        <w:t xml:space="preserve"> é uma comunidade </w:t>
      </w:r>
      <w:r w:rsidR="004756C1" w:rsidRPr="002F50BD">
        <w:rPr>
          <w:rFonts w:ascii="Verdana" w:hAnsi="Verdana"/>
          <w:sz w:val="20"/>
          <w:lang w:val="pt-BR"/>
        </w:rPr>
        <w:t xml:space="preserve">indígena </w:t>
      </w:r>
      <w:r w:rsidR="004076AD" w:rsidRPr="002F50BD">
        <w:rPr>
          <w:rFonts w:ascii="Verdana" w:hAnsi="Verdana"/>
          <w:sz w:val="20"/>
          <w:lang w:val="pt-BR"/>
        </w:rPr>
        <w:t>pertencente</w:t>
      </w:r>
      <w:r w:rsidR="0089298C" w:rsidRPr="002F50BD">
        <w:rPr>
          <w:rFonts w:ascii="Verdana" w:hAnsi="Verdana"/>
          <w:sz w:val="20"/>
          <w:lang w:val="pt-BR"/>
        </w:rPr>
        <w:t xml:space="preserve"> ao povo</w:t>
      </w:r>
      <w:r w:rsidR="004756C1" w:rsidRPr="002F50BD">
        <w:rPr>
          <w:rFonts w:ascii="Verdana" w:hAnsi="Verdana"/>
          <w:sz w:val="20"/>
          <w:lang w:val="pt-BR"/>
        </w:rPr>
        <w:t xml:space="preserve"> </w:t>
      </w:r>
      <w:r w:rsidR="0039684E" w:rsidRPr="002F50BD">
        <w:rPr>
          <w:rFonts w:ascii="Verdana" w:hAnsi="Verdana"/>
          <w:sz w:val="20"/>
          <w:lang w:val="pt-BR"/>
        </w:rPr>
        <w:t>Lengua Enxet</w:t>
      </w:r>
      <w:r w:rsidR="004756C1" w:rsidRPr="002F50BD">
        <w:rPr>
          <w:rFonts w:ascii="Verdana" w:hAnsi="Verdana"/>
          <w:sz w:val="20"/>
          <w:lang w:val="pt-BR"/>
        </w:rPr>
        <w:t xml:space="preserve"> </w:t>
      </w:r>
      <w:r w:rsidR="0039684E" w:rsidRPr="002F50BD">
        <w:rPr>
          <w:rFonts w:ascii="Verdana" w:hAnsi="Verdana"/>
          <w:sz w:val="20"/>
          <w:lang w:val="pt-BR"/>
        </w:rPr>
        <w:t>do Sul.</w:t>
      </w:r>
      <w:r w:rsidR="004756C1" w:rsidRPr="002F50BD">
        <w:rPr>
          <w:rStyle w:val="FootnoteReference"/>
          <w:rFonts w:ascii="Verdana" w:hAnsi="Verdana"/>
        </w:rPr>
        <w:footnoteReference w:id="15"/>
      </w:r>
      <w:r w:rsidR="00DB51F0" w:rsidRPr="002F50BD">
        <w:rPr>
          <w:rFonts w:ascii="Verdana" w:hAnsi="Verdana"/>
          <w:sz w:val="20"/>
          <w:lang w:val="pt-BR"/>
        </w:rPr>
        <w:t xml:space="preserve"> Os </w:t>
      </w:r>
      <w:r w:rsidR="0039684E" w:rsidRPr="002F50BD">
        <w:rPr>
          <w:rFonts w:ascii="Verdana" w:hAnsi="Verdana"/>
          <w:sz w:val="20"/>
          <w:lang w:val="pt-BR"/>
        </w:rPr>
        <w:t>Lengua Enxet</w:t>
      </w:r>
      <w:r w:rsidR="004756C1" w:rsidRPr="002F50BD">
        <w:rPr>
          <w:rFonts w:ascii="Verdana" w:hAnsi="Verdana"/>
          <w:sz w:val="20"/>
          <w:lang w:val="pt-BR"/>
        </w:rPr>
        <w:t xml:space="preserve"> </w:t>
      </w:r>
      <w:r w:rsidR="0039684E" w:rsidRPr="002F50BD">
        <w:rPr>
          <w:rFonts w:ascii="Verdana" w:hAnsi="Verdana"/>
          <w:sz w:val="20"/>
          <w:lang w:val="pt-BR"/>
        </w:rPr>
        <w:t>do Sul</w:t>
      </w:r>
      <w:r w:rsidR="004756C1" w:rsidRPr="002F50BD">
        <w:rPr>
          <w:rFonts w:ascii="Verdana" w:hAnsi="Verdana"/>
          <w:sz w:val="20"/>
          <w:lang w:val="pt-BR"/>
        </w:rPr>
        <w:t xml:space="preserve">, </w:t>
      </w:r>
      <w:r w:rsidR="0039684E"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os </w:t>
      </w:r>
      <w:r w:rsidR="0039684E" w:rsidRPr="002F50BD">
        <w:rPr>
          <w:rFonts w:ascii="Verdana" w:hAnsi="Verdana"/>
          <w:sz w:val="20"/>
          <w:lang w:val="pt-BR"/>
        </w:rPr>
        <w:lastRenderedPageBreak/>
        <w:t xml:space="preserve">Lengua Enlhet </w:t>
      </w:r>
      <w:r w:rsidR="00F424BB" w:rsidRPr="002F50BD">
        <w:rPr>
          <w:rFonts w:ascii="Verdana" w:hAnsi="Verdana"/>
          <w:sz w:val="20"/>
          <w:lang w:val="pt-BR"/>
        </w:rPr>
        <w:t xml:space="preserve">do </w:t>
      </w:r>
      <w:r w:rsidR="004756C1" w:rsidRPr="002F50BD">
        <w:rPr>
          <w:rFonts w:ascii="Verdana" w:hAnsi="Verdana"/>
          <w:sz w:val="20"/>
          <w:lang w:val="pt-BR"/>
        </w:rPr>
        <w:t>Norte, Sanapaná, Toba, Angaité, Toba Maskoy</w:t>
      </w:r>
      <w:r w:rsidR="0089298C" w:rsidRPr="002F50BD">
        <w:rPr>
          <w:rFonts w:ascii="Verdana" w:hAnsi="Verdana"/>
          <w:sz w:val="20"/>
          <w:lang w:val="pt-BR"/>
        </w:rPr>
        <w:t xml:space="preserve"> e </w:t>
      </w:r>
      <w:r w:rsidR="004756C1" w:rsidRPr="002F50BD">
        <w:rPr>
          <w:rFonts w:ascii="Verdana" w:hAnsi="Verdana"/>
          <w:sz w:val="20"/>
          <w:lang w:val="pt-BR"/>
        </w:rPr>
        <w:t xml:space="preserve">Guaná, </w:t>
      </w:r>
      <w:r w:rsidR="0089298C" w:rsidRPr="002F50BD">
        <w:rPr>
          <w:rFonts w:ascii="Verdana" w:hAnsi="Verdana"/>
          <w:sz w:val="20"/>
          <w:lang w:val="pt-BR"/>
        </w:rPr>
        <w:t xml:space="preserve">formam </w:t>
      </w:r>
      <w:r w:rsidR="004756C1" w:rsidRPr="002F50BD">
        <w:rPr>
          <w:rFonts w:ascii="Verdana" w:hAnsi="Verdana"/>
          <w:sz w:val="20"/>
          <w:lang w:val="pt-BR"/>
        </w:rPr>
        <w:t>parte</w:t>
      </w:r>
      <w:r w:rsidR="0089298C" w:rsidRPr="002F50BD">
        <w:rPr>
          <w:rFonts w:ascii="Verdana" w:hAnsi="Verdana"/>
          <w:sz w:val="20"/>
          <w:lang w:val="pt-BR"/>
        </w:rPr>
        <w:t xml:space="preserve"> da família </w:t>
      </w:r>
      <w:r w:rsidR="004756C1" w:rsidRPr="002F50BD">
        <w:rPr>
          <w:rFonts w:ascii="Verdana" w:hAnsi="Verdana"/>
          <w:sz w:val="20"/>
          <w:lang w:val="pt-BR"/>
        </w:rPr>
        <w:t>ling</w:t>
      </w:r>
      <w:r w:rsidR="003F3630">
        <w:rPr>
          <w:rFonts w:ascii="Verdana" w:hAnsi="Verdana"/>
          <w:sz w:val="20"/>
          <w:lang w:val="pt-BR"/>
        </w:rPr>
        <w:t>u</w:t>
      </w:r>
      <w:r w:rsidR="004756C1" w:rsidRPr="002F50BD">
        <w:rPr>
          <w:rFonts w:ascii="Verdana" w:hAnsi="Verdana"/>
          <w:sz w:val="20"/>
          <w:lang w:val="pt-BR"/>
        </w:rPr>
        <w:t xml:space="preserve">ística </w:t>
      </w:r>
      <w:r w:rsidR="0039684E" w:rsidRPr="002F50BD">
        <w:rPr>
          <w:rFonts w:ascii="Verdana" w:hAnsi="Verdana"/>
          <w:sz w:val="20"/>
          <w:lang w:val="pt-BR"/>
        </w:rPr>
        <w:t>Le</w:t>
      </w:r>
      <w:r w:rsidR="00CD3DEB" w:rsidRPr="002F50BD">
        <w:rPr>
          <w:rFonts w:ascii="Verdana" w:hAnsi="Verdana"/>
          <w:sz w:val="20"/>
          <w:lang w:val="pt-BR"/>
        </w:rPr>
        <w:t>ngua</w:t>
      </w:r>
      <w:r w:rsidR="004756C1" w:rsidRPr="002F50BD">
        <w:rPr>
          <w:rFonts w:ascii="Verdana" w:hAnsi="Verdana"/>
          <w:sz w:val="20"/>
          <w:lang w:val="pt-BR"/>
        </w:rPr>
        <w:t xml:space="preserve">-Maskoy </w:t>
      </w:r>
      <w:r w:rsidR="00CF451D" w:rsidRPr="00CF451D">
        <w:rPr>
          <w:rFonts w:ascii="Verdana" w:hAnsi="Verdana"/>
          <w:sz w:val="20"/>
          <w:lang w:val="pt-BR"/>
        </w:rPr>
        <w:t>(</w:t>
      </w:r>
      <w:r w:rsidR="004756C1" w:rsidRPr="002F50BD">
        <w:rPr>
          <w:rFonts w:ascii="Verdana" w:hAnsi="Verdana"/>
          <w:sz w:val="20"/>
          <w:lang w:val="pt-BR"/>
        </w:rPr>
        <w:t>Enhelt-Enenlhet</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ocupa</w:t>
      </w:r>
      <w:r w:rsidR="0039684E" w:rsidRPr="002F50BD">
        <w:rPr>
          <w:rFonts w:ascii="Verdana" w:hAnsi="Verdana"/>
          <w:sz w:val="20"/>
          <w:lang w:val="pt-BR"/>
        </w:rPr>
        <w:t>m</w:t>
      </w:r>
      <w:r w:rsidR="004756C1" w:rsidRPr="002F50BD">
        <w:rPr>
          <w:rFonts w:ascii="Verdana" w:hAnsi="Verdana"/>
          <w:sz w:val="20"/>
          <w:lang w:val="pt-BR"/>
        </w:rPr>
        <w:t xml:space="preserve"> ancestralmente</w:t>
      </w:r>
      <w:r w:rsidR="0089298C" w:rsidRPr="002F50BD">
        <w:rPr>
          <w:rFonts w:ascii="Verdana" w:hAnsi="Verdana"/>
          <w:sz w:val="20"/>
          <w:lang w:val="pt-BR"/>
        </w:rPr>
        <w:t xml:space="preserve"> 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o</w:t>
      </w:r>
      <w:r w:rsidR="0039684E" w:rsidRPr="002F50BD">
        <w:rPr>
          <w:rFonts w:ascii="Verdana" w:hAnsi="Verdana"/>
          <w:sz w:val="20"/>
          <w:lang w:val="pt-BR"/>
        </w:rPr>
        <w:t>.</w:t>
      </w:r>
      <w:r w:rsidR="004756C1" w:rsidRPr="002F50BD">
        <w:rPr>
          <w:rStyle w:val="FootnoteReference"/>
          <w:rFonts w:ascii="Verdana" w:hAnsi="Verdana"/>
        </w:rPr>
        <w:footnoteReference w:id="16"/>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89298C" w:rsidRPr="002F50BD">
        <w:rPr>
          <w:rFonts w:ascii="Verdana" w:hAnsi="Verdana"/>
          <w:sz w:val="20"/>
          <w:lang w:val="pt-BR"/>
        </w:rPr>
        <w:t>povo</w:t>
      </w:r>
      <w:r w:rsidR="004756C1" w:rsidRPr="002F50BD">
        <w:rPr>
          <w:rFonts w:ascii="Verdana" w:hAnsi="Verdana"/>
          <w:sz w:val="20"/>
          <w:lang w:val="pt-BR"/>
        </w:rPr>
        <w:t xml:space="preserve"> </w:t>
      </w:r>
      <w:r w:rsidR="0039684E" w:rsidRPr="002F50BD">
        <w:rPr>
          <w:rFonts w:ascii="Verdana" w:hAnsi="Verdana"/>
          <w:sz w:val="20"/>
          <w:lang w:val="pt-BR"/>
        </w:rPr>
        <w:t>Lengua Enxet do Sul</w:t>
      </w:r>
      <w:r w:rsidR="004756C1" w:rsidRPr="002F50BD">
        <w:rPr>
          <w:rFonts w:ascii="Verdana" w:hAnsi="Verdana"/>
          <w:sz w:val="20"/>
          <w:lang w:val="pt-BR"/>
        </w:rPr>
        <w:t>,</w:t>
      </w:r>
      <w:r w:rsidR="0089298C" w:rsidRPr="002F50BD">
        <w:rPr>
          <w:rFonts w:ascii="Verdana" w:hAnsi="Verdana"/>
          <w:sz w:val="20"/>
          <w:lang w:val="pt-BR"/>
        </w:rPr>
        <w:t xml:space="preserve"> por sua vez</w:t>
      </w:r>
      <w:r w:rsidR="004756C1" w:rsidRPr="002F50BD">
        <w:rPr>
          <w:rFonts w:ascii="Verdana" w:hAnsi="Verdana"/>
          <w:sz w:val="20"/>
          <w:lang w:val="pt-BR"/>
        </w:rPr>
        <w:t xml:space="preserve">, </w:t>
      </w:r>
      <w:r w:rsidR="0039684E" w:rsidRPr="002F50BD">
        <w:rPr>
          <w:rFonts w:ascii="Verdana" w:hAnsi="Verdana"/>
          <w:sz w:val="20"/>
          <w:lang w:val="pt-BR"/>
        </w:rPr>
        <w:t xml:space="preserve">esteve </w:t>
      </w:r>
      <w:r w:rsidR="004756C1" w:rsidRPr="002F50BD">
        <w:rPr>
          <w:rFonts w:ascii="Verdana" w:hAnsi="Verdana"/>
          <w:sz w:val="20"/>
          <w:lang w:val="pt-BR"/>
        </w:rPr>
        <w:t>subdividido</w:t>
      </w:r>
      <w:r w:rsidR="0089298C" w:rsidRPr="002F50BD">
        <w:rPr>
          <w:rFonts w:ascii="Verdana" w:hAnsi="Verdana"/>
          <w:sz w:val="20"/>
          <w:lang w:val="pt-BR"/>
        </w:rPr>
        <w:t xml:space="preserve"> em </w:t>
      </w:r>
      <w:r w:rsidR="004756C1" w:rsidRPr="002F50BD">
        <w:rPr>
          <w:rFonts w:ascii="Verdana" w:hAnsi="Verdana"/>
          <w:sz w:val="20"/>
          <w:lang w:val="pt-BR"/>
        </w:rPr>
        <w:t>diversos grupos, entre</w:t>
      </w:r>
      <w:r w:rsidR="0089298C" w:rsidRPr="002F50BD">
        <w:rPr>
          <w:rFonts w:ascii="Verdana" w:hAnsi="Verdana"/>
          <w:sz w:val="20"/>
          <w:lang w:val="pt-BR"/>
        </w:rPr>
        <w:t xml:space="preserve"> os quais</w:t>
      </w:r>
      <w:r w:rsidR="004756C1" w:rsidRPr="002F50BD">
        <w:rPr>
          <w:rFonts w:ascii="Verdana" w:hAnsi="Verdana"/>
          <w:sz w:val="20"/>
          <w:lang w:val="pt-BR"/>
        </w:rPr>
        <w:t xml:space="preserve"> se distingue</w:t>
      </w:r>
      <w:r w:rsidR="00F424BB" w:rsidRPr="002F50BD">
        <w:rPr>
          <w:rFonts w:ascii="Verdana" w:hAnsi="Verdana"/>
          <w:sz w:val="20"/>
          <w:lang w:val="pt-BR"/>
        </w:rPr>
        <w:t>m</w:t>
      </w:r>
      <w:r w:rsidR="0089298C" w:rsidRPr="002F50BD">
        <w:rPr>
          <w:rFonts w:ascii="Verdana" w:hAnsi="Verdana"/>
          <w:sz w:val="20"/>
          <w:lang w:val="pt-BR"/>
        </w:rPr>
        <w:t xml:space="preserve"> os </w:t>
      </w:r>
      <w:r w:rsidR="004756C1" w:rsidRPr="002F50BD">
        <w:rPr>
          <w:rFonts w:ascii="Verdana" w:hAnsi="Verdana"/>
          <w:sz w:val="20"/>
          <w:lang w:val="pt-BR"/>
        </w:rPr>
        <w:t xml:space="preserve">Chanawatsan </w:t>
      </w:r>
      <w:r w:rsidR="00CF451D" w:rsidRPr="00CF451D">
        <w:rPr>
          <w:rFonts w:ascii="Verdana" w:hAnsi="Verdana"/>
          <w:sz w:val="20"/>
          <w:lang w:val="pt-BR"/>
        </w:rPr>
        <w:t>(</w:t>
      </w:r>
      <w:r w:rsidR="0089298C" w:rsidRPr="002F50BD">
        <w:rPr>
          <w:rFonts w:ascii="Verdana" w:hAnsi="Verdana"/>
          <w:sz w:val="20"/>
          <w:lang w:val="pt-BR"/>
        </w:rPr>
        <w:t>“os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39684E" w:rsidRPr="002F50BD">
        <w:rPr>
          <w:rFonts w:ascii="Verdana" w:hAnsi="Verdana"/>
          <w:sz w:val="20"/>
          <w:lang w:val="pt-BR"/>
        </w:rPr>
        <w:t>R</w:t>
      </w:r>
      <w:r w:rsidR="0089298C" w:rsidRPr="002F50BD">
        <w:rPr>
          <w:rFonts w:ascii="Verdana" w:hAnsi="Verdana"/>
          <w:sz w:val="20"/>
          <w:lang w:val="pt-BR"/>
        </w:rPr>
        <w:t>io Paraguai</w:t>
      </w:r>
      <w:r w:rsidR="004756C1" w:rsidRPr="002F50BD">
        <w:rPr>
          <w:rFonts w:ascii="Verdana" w:hAnsi="Verdana"/>
          <w:sz w:val="20"/>
          <w:lang w:val="pt-BR"/>
        </w:rPr>
        <w:t>”</w:t>
      </w:r>
      <w:r w:rsidR="00CF451D" w:rsidRPr="00CF451D">
        <w:rPr>
          <w:rFonts w:ascii="Verdana" w:hAnsi="Verdana"/>
          <w:sz w:val="20"/>
          <w:lang w:val="pt-BR"/>
        </w:rPr>
        <w:t>)</w:t>
      </w:r>
      <w:r w:rsidR="0039684E" w:rsidRPr="002F50BD">
        <w:rPr>
          <w:rFonts w:ascii="Verdana" w:hAnsi="Verdana"/>
          <w:sz w:val="20"/>
          <w:lang w:val="pt-BR"/>
        </w:rPr>
        <w:t>.</w:t>
      </w:r>
      <w:r w:rsidR="004756C1" w:rsidRPr="002F50BD">
        <w:rPr>
          <w:rStyle w:val="FootnoteReference"/>
          <w:rFonts w:ascii="Verdana" w:hAnsi="Verdana"/>
        </w:rPr>
        <w:footnoteReference w:id="17"/>
      </w:r>
      <w:r w:rsidR="00FE08B7">
        <w:rPr>
          <w:rFonts w:ascii="Verdana" w:hAnsi="Verdana"/>
          <w:sz w:val="20"/>
          <w:lang w:val="pt-BR"/>
        </w:rPr>
        <w:t xml:space="preserve"> </w:t>
      </w:r>
      <w:r w:rsidR="004756C1" w:rsidRPr="002F50BD">
        <w:rPr>
          <w:rFonts w:ascii="Verdana" w:hAnsi="Verdana"/>
          <w:sz w:val="20"/>
          <w:lang w:val="pt-BR"/>
        </w:rPr>
        <w:t>Antes</w:t>
      </w:r>
      <w:r w:rsidR="0089298C" w:rsidRPr="002F50BD">
        <w:rPr>
          <w:rFonts w:ascii="Verdana" w:hAnsi="Verdana"/>
          <w:sz w:val="20"/>
          <w:lang w:val="pt-BR"/>
        </w:rPr>
        <w:t xml:space="preserve"> da </w:t>
      </w:r>
      <w:r w:rsidR="004756C1" w:rsidRPr="002F50BD">
        <w:rPr>
          <w:rFonts w:ascii="Verdana" w:hAnsi="Verdana"/>
          <w:sz w:val="20"/>
          <w:lang w:val="pt-BR"/>
        </w:rPr>
        <w:t>ocupa</w:t>
      </w:r>
      <w:r w:rsidR="0089298C" w:rsidRPr="002F50BD">
        <w:rPr>
          <w:rFonts w:ascii="Verdana" w:hAnsi="Verdana"/>
          <w:sz w:val="20"/>
          <w:lang w:val="pt-BR"/>
        </w:rPr>
        <w:t>ção</w:t>
      </w:r>
      <w:r w:rsidR="004756C1" w:rsidRPr="002F50BD">
        <w:rPr>
          <w:rFonts w:ascii="Verdana" w:hAnsi="Verdana"/>
          <w:sz w:val="20"/>
          <w:lang w:val="pt-BR"/>
        </w:rPr>
        <w:t xml:space="preserve"> n</w:t>
      </w:r>
      <w:r w:rsidR="0039684E" w:rsidRPr="002F50BD">
        <w:rPr>
          <w:rFonts w:ascii="Verdana" w:hAnsi="Verdana"/>
          <w:sz w:val="20"/>
          <w:lang w:val="pt-BR"/>
        </w:rPr>
        <w:t>ã</w:t>
      </w:r>
      <w:r w:rsidR="004756C1" w:rsidRPr="002F50BD">
        <w:rPr>
          <w:rFonts w:ascii="Verdana" w:hAnsi="Verdana"/>
          <w:sz w:val="20"/>
          <w:lang w:val="pt-BR"/>
        </w:rPr>
        <w:t xml:space="preserve">o indígena </w:t>
      </w:r>
      <w:r w:rsidR="0089298C" w:rsidRPr="002F50BD">
        <w:rPr>
          <w:rFonts w:ascii="Verdana" w:hAnsi="Verdana"/>
          <w:sz w:val="20"/>
          <w:lang w:val="pt-BR"/>
        </w:rPr>
        <w:t xml:space="preserve">do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ocorrid</w:t>
      </w:r>
      <w:r w:rsidR="004756C1" w:rsidRPr="002F50BD">
        <w:rPr>
          <w:rFonts w:ascii="Verdana" w:hAnsi="Verdana"/>
          <w:sz w:val="20"/>
          <w:lang w:val="pt-BR"/>
        </w:rPr>
        <w:t>a entre</w:t>
      </w:r>
      <w:r w:rsidR="0089298C" w:rsidRPr="002F50BD">
        <w:rPr>
          <w:rFonts w:ascii="Verdana" w:hAnsi="Verdana"/>
          <w:sz w:val="20"/>
          <w:lang w:val="pt-BR"/>
        </w:rPr>
        <w:t xml:space="preserve"> fins do século </w:t>
      </w:r>
      <w:r w:rsidR="004756C1" w:rsidRPr="002F50BD">
        <w:rPr>
          <w:rFonts w:ascii="Verdana" w:hAnsi="Verdana"/>
          <w:sz w:val="20"/>
          <w:lang w:val="pt-BR"/>
        </w:rPr>
        <w:t>XIX</w:t>
      </w:r>
      <w:r w:rsidR="0089298C" w:rsidRPr="002F50BD">
        <w:rPr>
          <w:rFonts w:ascii="Verdana" w:hAnsi="Verdana"/>
          <w:sz w:val="20"/>
          <w:lang w:val="pt-BR"/>
        </w:rPr>
        <w:t xml:space="preserve"> e princípio</w:t>
      </w:r>
      <w:r w:rsidR="004756C1" w:rsidRPr="002F50BD">
        <w:rPr>
          <w:rFonts w:ascii="Verdana" w:hAnsi="Verdana"/>
          <w:sz w:val="20"/>
          <w:lang w:val="pt-BR"/>
        </w:rPr>
        <w:t xml:space="preserve">s </w:t>
      </w:r>
      <w:r w:rsidR="0089298C" w:rsidRPr="002F50BD">
        <w:rPr>
          <w:rFonts w:ascii="Verdana" w:hAnsi="Verdana"/>
          <w:sz w:val="20"/>
          <w:lang w:val="pt-BR"/>
        </w:rPr>
        <w:t xml:space="preserve">do século </w:t>
      </w:r>
      <w:r w:rsidR="004756C1" w:rsidRPr="002F50BD">
        <w:rPr>
          <w:rFonts w:ascii="Verdana" w:hAnsi="Verdana"/>
          <w:sz w:val="20"/>
          <w:lang w:val="pt-BR"/>
        </w:rPr>
        <w:t>XX</w:t>
      </w:r>
      <w:r w:rsidR="0039684E" w:rsidRPr="002F50BD">
        <w:rPr>
          <w:rFonts w:ascii="Verdana" w:hAnsi="Verdana"/>
          <w:sz w:val="20"/>
          <w:lang w:val="pt-BR"/>
        </w:rPr>
        <w:t>,</w:t>
      </w:r>
      <w:r w:rsidR="004756C1" w:rsidRPr="002F50BD">
        <w:rPr>
          <w:rStyle w:val="FootnoteReference"/>
          <w:rFonts w:ascii="Verdana" w:hAnsi="Verdana"/>
        </w:rPr>
        <w:footnoteReference w:id="18"/>
      </w:r>
      <w:r w:rsidR="0089298C" w:rsidRPr="002F50BD">
        <w:rPr>
          <w:rFonts w:ascii="Verdana" w:hAnsi="Verdana"/>
          <w:sz w:val="20"/>
          <w:lang w:val="pt-BR"/>
        </w:rPr>
        <w:t xml:space="preserve"> os </w:t>
      </w:r>
      <w:r w:rsidR="004756C1" w:rsidRPr="002F50BD">
        <w:rPr>
          <w:rFonts w:ascii="Verdana" w:hAnsi="Verdana"/>
          <w:sz w:val="20"/>
          <w:lang w:val="pt-BR"/>
        </w:rPr>
        <w:t xml:space="preserve">Chanawatsan </w:t>
      </w:r>
      <w:r w:rsidR="00E10DBB" w:rsidRPr="002F50BD">
        <w:rPr>
          <w:rFonts w:ascii="Verdana" w:hAnsi="Verdana"/>
          <w:sz w:val="20"/>
          <w:lang w:val="pt-BR"/>
        </w:rPr>
        <w:t>ocupavam</w:t>
      </w:r>
      <w:r w:rsidR="0089298C" w:rsidRPr="002F50BD">
        <w:rPr>
          <w:rFonts w:ascii="Verdana" w:hAnsi="Verdana"/>
          <w:sz w:val="20"/>
          <w:lang w:val="pt-BR"/>
        </w:rPr>
        <w:t xml:space="preserve"> o território da </w:t>
      </w:r>
      <w:r w:rsidR="0039684E" w:rsidRPr="002F50BD">
        <w:rPr>
          <w:rFonts w:ascii="Verdana" w:hAnsi="Verdana"/>
          <w:sz w:val="20"/>
          <w:lang w:val="pt-BR"/>
        </w:rPr>
        <w:t>margem</w:t>
      </w:r>
      <w:r w:rsidR="004756C1" w:rsidRPr="002F50BD">
        <w:rPr>
          <w:rFonts w:ascii="Verdana" w:hAnsi="Verdana"/>
          <w:sz w:val="20"/>
          <w:lang w:val="pt-BR"/>
        </w:rPr>
        <w:t xml:space="preserve"> ocidental </w:t>
      </w:r>
      <w:r w:rsidR="0089298C" w:rsidRPr="002F50BD">
        <w:rPr>
          <w:rFonts w:ascii="Verdana" w:hAnsi="Verdana"/>
          <w:sz w:val="20"/>
          <w:lang w:val="pt-BR"/>
        </w:rPr>
        <w:t xml:space="preserve">do </w:t>
      </w:r>
      <w:r w:rsidR="0039684E" w:rsidRPr="002F50BD">
        <w:rPr>
          <w:rFonts w:ascii="Verdana" w:hAnsi="Verdana"/>
          <w:sz w:val="20"/>
          <w:lang w:val="pt-BR"/>
        </w:rPr>
        <w:t>r</w:t>
      </w:r>
      <w:r w:rsidR="0089298C" w:rsidRPr="002F50BD">
        <w:rPr>
          <w:rFonts w:ascii="Verdana" w:hAnsi="Verdana"/>
          <w:sz w:val="20"/>
          <w:lang w:val="pt-BR"/>
        </w:rPr>
        <w:t xml:space="preserve">io Paraguai na </w:t>
      </w:r>
      <w:r w:rsidR="0039684E" w:rsidRPr="002F50BD">
        <w:rPr>
          <w:rFonts w:ascii="Verdana" w:hAnsi="Verdana"/>
          <w:sz w:val="20"/>
          <w:lang w:val="pt-BR"/>
        </w:rPr>
        <w:t xml:space="preserve">região </w:t>
      </w:r>
      <w:r w:rsidR="004756C1" w:rsidRPr="002F50BD">
        <w:rPr>
          <w:rFonts w:ascii="Verdana" w:hAnsi="Verdana"/>
          <w:sz w:val="20"/>
          <w:lang w:val="pt-BR"/>
        </w:rPr>
        <w:t xml:space="preserve">de </w:t>
      </w:r>
      <w:r w:rsidR="00313394" w:rsidRPr="002F50BD">
        <w:rPr>
          <w:rFonts w:ascii="Verdana" w:hAnsi="Verdana"/>
          <w:sz w:val="20"/>
          <w:lang w:val="pt-BR"/>
        </w:rPr>
        <w:t>Concepción</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Náwátsam</w:t>
      </w:r>
      <w:r w:rsidR="00CF451D" w:rsidRPr="00CF451D">
        <w:rPr>
          <w:rFonts w:ascii="Verdana" w:hAnsi="Verdana"/>
          <w:sz w:val="20"/>
          <w:lang w:val="pt-BR"/>
        </w:rPr>
        <w:t>)</w:t>
      </w:r>
      <w:r w:rsidR="004756C1" w:rsidRPr="002F50BD">
        <w:rPr>
          <w:rFonts w:ascii="Verdana" w:hAnsi="Verdana"/>
          <w:sz w:val="20"/>
          <w:lang w:val="pt-BR"/>
        </w:rPr>
        <w:t xml:space="preserve"> a </w:t>
      </w:r>
      <w:r w:rsidR="003F3630">
        <w:rPr>
          <w:rFonts w:ascii="Verdana" w:hAnsi="Verdana"/>
          <w:sz w:val="20"/>
          <w:lang w:val="pt-BR"/>
        </w:rPr>
        <w:t>70</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w:t>
      </w:r>
      <w:r w:rsidR="0089298C" w:rsidRPr="002F50BD">
        <w:rPr>
          <w:rFonts w:ascii="Verdana" w:hAnsi="Verdana"/>
          <w:sz w:val="20"/>
          <w:lang w:val="pt-BR"/>
        </w:rPr>
        <w:t>terra</w:t>
      </w:r>
      <w:r w:rsidR="004756C1" w:rsidRPr="002F50BD">
        <w:rPr>
          <w:rFonts w:ascii="Verdana" w:hAnsi="Verdana"/>
          <w:sz w:val="20"/>
          <w:lang w:val="pt-BR"/>
        </w:rPr>
        <w:t xml:space="preserve"> adentro </w:t>
      </w:r>
      <w:r w:rsidR="0089298C" w:rsidRPr="002F50BD">
        <w:rPr>
          <w:rFonts w:ascii="Verdana" w:hAnsi="Verdana"/>
          <w:sz w:val="20"/>
          <w:lang w:val="pt-BR"/>
        </w:rPr>
        <w:t xml:space="preserve">do </w:t>
      </w:r>
      <w:r w:rsidR="004756C1" w:rsidRPr="002F50BD">
        <w:rPr>
          <w:rFonts w:ascii="Verdana" w:hAnsi="Verdana"/>
          <w:sz w:val="20"/>
          <w:lang w:val="pt-BR"/>
        </w:rPr>
        <w:t>Chaco</w:t>
      </w:r>
      <w:r w:rsidR="0039684E" w:rsidRPr="002F50BD">
        <w:rPr>
          <w:rFonts w:ascii="Verdana" w:hAnsi="Verdana"/>
          <w:sz w:val="20"/>
          <w:lang w:val="pt-BR"/>
        </w:rPr>
        <w:t>.</w:t>
      </w:r>
      <w:r w:rsidR="004756C1" w:rsidRPr="002F50BD">
        <w:rPr>
          <w:rStyle w:val="FootnoteReference"/>
          <w:rFonts w:ascii="Verdana" w:hAnsi="Verdana"/>
        </w:rPr>
        <w:footnoteReference w:id="19"/>
      </w:r>
      <w:r w:rsidR="00AB454A" w:rsidRPr="002F50BD">
        <w:rPr>
          <w:rFonts w:ascii="Verdana" w:hAnsi="Verdana"/>
          <w:sz w:val="20"/>
          <w:lang w:val="pt-BR"/>
        </w:rPr>
        <w:t xml:space="preserve"> A </w:t>
      </w:r>
      <w:r w:rsidR="0089298C" w:rsidRPr="002F50BD">
        <w:rPr>
          <w:rFonts w:ascii="Verdana" w:hAnsi="Verdana"/>
          <w:sz w:val="20"/>
          <w:lang w:val="pt-BR"/>
        </w:rPr>
        <w:t xml:space="preserve">Comunidade </w:t>
      </w:r>
      <w:r w:rsidR="004756C1" w:rsidRPr="002F50BD">
        <w:rPr>
          <w:rFonts w:ascii="Verdana" w:hAnsi="Verdana"/>
          <w:sz w:val="20"/>
          <w:lang w:val="pt-BR"/>
        </w:rPr>
        <w:t>Yakye Axa</w:t>
      </w:r>
      <w:r w:rsidR="0089298C" w:rsidRPr="002F50BD">
        <w:rPr>
          <w:rFonts w:ascii="Verdana" w:hAnsi="Verdana"/>
          <w:sz w:val="20"/>
          <w:lang w:val="pt-BR"/>
        </w:rPr>
        <w:t xml:space="preserve"> é a expressão</w:t>
      </w:r>
      <w:r w:rsidR="004756C1" w:rsidRPr="002F50BD">
        <w:rPr>
          <w:rFonts w:ascii="Verdana" w:hAnsi="Verdana"/>
          <w:sz w:val="20"/>
          <w:lang w:val="pt-BR"/>
        </w:rPr>
        <w:t xml:space="preserve"> sedentarizada de</w:t>
      </w:r>
      <w:r w:rsidR="0089298C" w:rsidRPr="002F50BD">
        <w:rPr>
          <w:rFonts w:ascii="Verdana" w:hAnsi="Verdana"/>
          <w:sz w:val="20"/>
          <w:lang w:val="pt-BR"/>
        </w:rPr>
        <w:t xml:space="preserve"> um d</w:t>
      </w:r>
      <w:r w:rsidR="0039684E" w:rsidRPr="002F50BD">
        <w:rPr>
          <w:rFonts w:ascii="Verdana" w:hAnsi="Verdana"/>
          <w:sz w:val="20"/>
          <w:lang w:val="pt-BR"/>
        </w:rPr>
        <w:t xml:space="preserve">os grupos </w:t>
      </w:r>
      <w:r w:rsidR="0089298C" w:rsidRPr="002F50BD">
        <w:rPr>
          <w:rFonts w:ascii="Verdana" w:hAnsi="Verdana"/>
          <w:sz w:val="20"/>
          <w:lang w:val="pt-BR"/>
        </w:rPr>
        <w:t xml:space="preserve">dos </w:t>
      </w:r>
      <w:r w:rsidR="004756C1" w:rsidRPr="002F50BD">
        <w:rPr>
          <w:rFonts w:ascii="Verdana" w:hAnsi="Verdana"/>
          <w:sz w:val="20"/>
          <w:lang w:val="pt-BR"/>
        </w:rPr>
        <w:t>Chanawatsan</w:t>
      </w:r>
      <w:r w:rsidR="00EC5F20" w:rsidRPr="002F50BD">
        <w:rPr>
          <w:rFonts w:ascii="Verdana" w:hAnsi="Verdana"/>
          <w:sz w:val="20"/>
          <w:lang w:val="pt-BR"/>
        </w:rPr>
        <w:t>.</w:t>
      </w:r>
      <w:r w:rsidR="004756C1" w:rsidRPr="002F50BD">
        <w:rPr>
          <w:rStyle w:val="FootnoteReference"/>
          <w:rFonts w:ascii="Verdana" w:hAnsi="Verdana"/>
        </w:rPr>
        <w:footnoteReference w:id="20"/>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AB454A" w:rsidRPr="002F50BD">
        <w:rPr>
          <w:rFonts w:ascii="Verdana" w:hAnsi="Verdana"/>
          <w:sz w:val="20"/>
          <w:lang w:val="pt-BR"/>
        </w:rPr>
        <w:t>economia</w:t>
      </w:r>
      <w:r w:rsidR="0089298C" w:rsidRPr="002F50BD">
        <w:rPr>
          <w:rFonts w:ascii="Verdana" w:hAnsi="Verdana"/>
          <w:sz w:val="20"/>
          <w:lang w:val="pt-BR"/>
        </w:rPr>
        <w:t xml:space="preserve"> dos </w:t>
      </w:r>
      <w:r w:rsidR="0039684E" w:rsidRPr="002F50BD">
        <w:rPr>
          <w:rFonts w:ascii="Verdana" w:hAnsi="Verdana"/>
          <w:sz w:val="20"/>
          <w:lang w:val="pt-BR"/>
        </w:rPr>
        <w:t>Lengua Enxet</w:t>
      </w:r>
      <w:r w:rsidR="0089298C" w:rsidRPr="002F50BD">
        <w:rPr>
          <w:rFonts w:ascii="Verdana" w:hAnsi="Verdana"/>
          <w:sz w:val="20"/>
          <w:lang w:val="pt-BR"/>
        </w:rPr>
        <w:t xml:space="preserve"> </w:t>
      </w:r>
      <w:r w:rsidR="0039684E" w:rsidRPr="002F50BD">
        <w:rPr>
          <w:rFonts w:ascii="Verdana" w:hAnsi="Verdana"/>
          <w:sz w:val="20"/>
          <w:lang w:val="pt-BR"/>
        </w:rPr>
        <w:t>do Su</w:t>
      </w:r>
      <w:r w:rsidR="0089298C" w:rsidRPr="002F50BD">
        <w:rPr>
          <w:rFonts w:ascii="Verdana" w:hAnsi="Verdana"/>
          <w:sz w:val="20"/>
          <w:lang w:val="pt-BR"/>
        </w:rPr>
        <w:t xml:space="preserve">l </w:t>
      </w:r>
      <w:r w:rsidR="004756C1" w:rsidRPr="002F50BD">
        <w:rPr>
          <w:rFonts w:ascii="Verdana" w:hAnsi="Verdana"/>
          <w:sz w:val="20"/>
          <w:lang w:val="pt-BR"/>
        </w:rPr>
        <w:t>se bas</w:t>
      </w:r>
      <w:r w:rsidR="0039684E" w:rsidRPr="002F50BD">
        <w:rPr>
          <w:rFonts w:ascii="Verdana" w:hAnsi="Verdana"/>
          <w:sz w:val="20"/>
          <w:lang w:val="pt-BR"/>
        </w:rPr>
        <w:t>ei</w:t>
      </w:r>
      <w:r w:rsidR="004756C1" w:rsidRPr="002F50BD">
        <w:rPr>
          <w:rFonts w:ascii="Verdana" w:hAnsi="Verdana"/>
          <w:sz w:val="20"/>
          <w:lang w:val="pt-BR"/>
        </w:rPr>
        <w:t>a</w:t>
      </w:r>
      <w:r w:rsidR="00F424BB" w:rsidRPr="002F50BD">
        <w:rPr>
          <w:rFonts w:ascii="Verdana" w:hAnsi="Verdana"/>
          <w:sz w:val="20"/>
          <w:lang w:val="pt-BR"/>
        </w:rPr>
        <w:t>,</w:t>
      </w:r>
      <w:r w:rsidR="004756C1" w:rsidRPr="002F50BD">
        <w:rPr>
          <w:rFonts w:ascii="Verdana" w:hAnsi="Verdana"/>
          <w:sz w:val="20"/>
          <w:lang w:val="pt-BR"/>
        </w:rPr>
        <w:t xml:space="preserve"> principalmente</w:t>
      </w:r>
      <w:r w:rsidR="00F424BB" w:rsidRPr="002F50BD">
        <w:rPr>
          <w:rFonts w:ascii="Verdana" w:hAnsi="Verdana"/>
          <w:sz w:val="20"/>
          <w:lang w:val="pt-BR"/>
        </w:rPr>
        <w:t>,</w:t>
      </w:r>
      <w:r w:rsidR="0089298C" w:rsidRPr="002F50BD">
        <w:rPr>
          <w:rFonts w:ascii="Verdana" w:hAnsi="Verdana"/>
          <w:sz w:val="20"/>
          <w:lang w:val="pt-BR"/>
        </w:rPr>
        <w:t xml:space="preserve"> na </w:t>
      </w:r>
      <w:r w:rsidR="00AB454A" w:rsidRPr="002F50BD">
        <w:rPr>
          <w:rFonts w:ascii="Verdana" w:hAnsi="Verdana"/>
          <w:sz w:val="20"/>
          <w:lang w:val="pt-BR"/>
        </w:rPr>
        <w:t>caça</w:t>
      </w:r>
      <w:r w:rsidR="004756C1" w:rsidRPr="002F50BD">
        <w:rPr>
          <w:rFonts w:ascii="Verdana" w:hAnsi="Verdana"/>
          <w:sz w:val="20"/>
          <w:lang w:val="pt-BR"/>
        </w:rPr>
        <w:t>,</w:t>
      </w:r>
      <w:r w:rsidR="0089298C" w:rsidRPr="002F50BD">
        <w:rPr>
          <w:rFonts w:ascii="Verdana" w:hAnsi="Verdana"/>
          <w:sz w:val="20"/>
          <w:lang w:val="pt-BR"/>
        </w:rPr>
        <w:t xml:space="preserve"> </w:t>
      </w:r>
      <w:r w:rsidR="0039684E" w:rsidRPr="002F50BD">
        <w:rPr>
          <w:rFonts w:ascii="Verdana" w:hAnsi="Verdana"/>
          <w:sz w:val="20"/>
          <w:lang w:val="pt-BR"/>
        </w:rPr>
        <w:t>n</w:t>
      </w:r>
      <w:r w:rsidR="0089298C" w:rsidRPr="002F50BD">
        <w:rPr>
          <w:rFonts w:ascii="Verdana" w:hAnsi="Verdana"/>
          <w:sz w:val="20"/>
          <w:lang w:val="pt-BR"/>
        </w:rPr>
        <w:t xml:space="preserve">a </w:t>
      </w:r>
      <w:r w:rsidR="0039684E" w:rsidRPr="002F50BD">
        <w:rPr>
          <w:rFonts w:ascii="Verdana" w:hAnsi="Verdana"/>
          <w:sz w:val="20"/>
          <w:lang w:val="pt-BR"/>
        </w:rPr>
        <w:t xml:space="preserve">coleta e na </w:t>
      </w:r>
      <w:r w:rsidR="004756C1" w:rsidRPr="002F50BD">
        <w:rPr>
          <w:rFonts w:ascii="Verdana" w:hAnsi="Verdana"/>
          <w:sz w:val="20"/>
          <w:lang w:val="pt-BR"/>
        </w:rPr>
        <w:t xml:space="preserve">pesca. </w:t>
      </w:r>
      <w:r w:rsidR="0089298C" w:rsidRPr="002F50BD">
        <w:rPr>
          <w:rFonts w:ascii="Verdana" w:hAnsi="Verdana"/>
          <w:sz w:val="20"/>
          <w:lang w:val="pt-BR"/>
        </w:rPr>
        <w:t>Também</w:t>
      </w:r>
      <w:r w:rsidR="0039684E" w:rsidRPr="002F50BD">
        <w:rPr>
          <w:rFonts w:ascii="Verdana" w:hAnsi="Verdana"/>
          <w:sz w:val="20"/>
          <w:lang w:val="pt-BR"/>
        </w:rPr>
        <w:t xml:space="preserve"> cultivam</w:t>
      </w:r>
      <w:r w:rsidR="004756C1" w:rsidRPr="002F50BD">
        <w:rPr>
          <w:rFonts w:ascii="Verdana" w:hAnsi="Verdana"/>
          <w:sz w:val="20"/>
          <w:lang w:val="pt-BR"/>
        </w:rPr>
        <w:t xml:space="preserve"> ch</w:t>
      </w:r>
      <w:r w:rsidR="0039684E" w:rsidRPr="002F50BD">
        <w:rPr>
          <w:rFonts w:ascii="Verdana" w:hAnsi="Verdana"/>
          <w:sz w:val="20"/>
          <w:lang w:val="pt-BR"/>
        </w:rPr>
        <w:t>á</w:t>
      </w:r>
      <w:r w:rsidR="004756C1" w:rsidRPr="002F50BD">
        <w:rPr>
          <w:rFonts w:ascii="Verdana" w:hAnsi="Verdana"/>
          <w:sz w:val="20"/>
          <w:lang w:val="pt-BR"/>
        </w:rPr>
        <w:t>c</w:t>
      </w:r>
      <w:r w:rsidR="0039684E" w:rsidRPr="002F50BD">
        <w:rPr>
          <w:rFonts w:ascii="Verdana" w:hAnsi="Verdana"/>
          <w:sz w:val="20"/>
          <w:lang w:val="pt-BR"/>
        </w:rPr>
        <w:t>a</w:t>
      </w:r>
      <w:r w:rsidR="004756C1" w:rsidRPr="002F50BD">
        <w:rPr>
          <w:rFonts w:ascii="Verdana" w:hAnsi="Verdana"/>
          <w:sz w:val="20"/>
          <w:lang w:val="pt-BR"/>
        </w:rPr>
        <w:t>ras</w:t>
      </w:r>
      <w:r w:rsidR="0089298C" w:rsidRPr="002F50BD">
        <w:rPr>
          <w:rFonts w:ascii="Verdana" w:hAnsi="Verdana"/>
          <w:sz w:val="20"/>
          <w:lang w:val="pt-BR"/>
        </w:rPr>
        <w:t xml:space="preserve"> e </w:t>
      </w:r>
      <w:r w:rsidR="004756C1" w:rsidRPr="002F50BD">
        <w:rPr>
          <w:rFonts w:ascii="Verdana" w:hAnsi="Verdana"/>
          <w:sz w:val="20"/>
          <w:lang w:val="pt-BR"/>
        </w:rPr>
        <w:t>cr</w:t>
      </w:r>
      <w:r w:rsidR="0039684E" w:rsidRPr="002F50BD">
        <w:rPr>
          <w:rFonts w:ascii="Verdana" w:hAnsi="Verdana"/>
          <w:sz w:val="20"/>
          <w:lang w:val="pt-BR"/>
        </w:rPr>
        <w:t>iam</w:t>
      </w:r>
      <w:r w:rsidR="004756C1" w:rsidRPr="002F50BD">
        <w:rPr>
          <w:rFonts w:ascii="Verdana" w:hAnsi="Verdana"/>
          <w:sz w:val="20"/>
          <w:lang w:val="pt-BR"/>
        </w:rPr>
        <w:t xml:space="preserve"> gado </w:t>
      </w:r>
      <w:r w:rsidR="0039684E" w:rsidRPr="002F50BD">
        <w:rPr>
          <w:rFonts w:ascii="Verdana" w:hAnsi="Verdana"/>
          <w:sz w:val="20"/>
          <w:lang w:val="pt-BR"/>
        </w:rPr>
        <w:t>bovino</w:t>
      </w:r>
      <w:r w:rsidR="004756C1" w:rsidRPr="002F50BD">
        <w:rPr>
          <w:rFonts w:ascii="Verdana" w:hAnsi="Verdana"/>
          <w:sz w:val="20"/>
          <w:lang w:val="pt-BR"/>
        </w:rPr>
        <w:t>, ovino</w:t>
      </w:r>
      <w:r w:rsidR="0089298C" w:rsidRPr="002F50BD">
        <w:rPr>
          <w:rFonts w:ascii="Verdana" w:hAnsi="Verdana"/>
          <w:sz w:val="20"/>
          <w:lang w:val="pt-BR"/>
        </w:rPr>
        <w:t xml:space="preserve"> e </w:t>
      </w:r>
      <w:r w:rsidR="004756C1" w:rsidRPr="002F50BD">
        <w:rPr>
          <w:rFonts w:ascii="Verdana" w:hAnsi="Verdana"/>
          <w:sz w:val="20"/>
          <w:lang w:val="pt-BR"/>
        </w:rPr>
        <w:t>caprino</w:t>
      </w:r>
      <w:r w:rsidR="0039684E" w:rsidRPr="002F50BD">
        <w:rPr>
          <w:rFonts w:ascii="Verdana" w:hAnsi="Verdana"/>
          <w:sz w:val="20"/>
          <w:lang w:val="pt-BR"/>
        </w:rPr>
        <w:t>.</w:t>
      </w:r>
      <w:r w:rsidR="004756C1" w:rsidRPr="002F50BD">
        <w:rPr>
          <w:rStyle w:val="FootnoteReference"/>
          <w:rFonts w:ascii="Verdana" w:hAnsi="Verdana"/>
        </w:rPr>
        <w:footnoteReference w:id="21"/>
      </w:r>
      <w:r w:rsidR="004756C1" w:rsidRPr="002F50BD">
        <w:rPr>
          <w:rFonts w:ascii="Verdana" w:hAnsi="Verdana"/>
          <w:sz w:val="20"/>
          <w:lang w:val="pt-BR"/>
        </w:rPr>
        <w:t xml:space="preserve"> Tradicionalmente,</w:t>
      </w:r>
      <w:r w:rsidR="0089298C" w:rsidRPr="002F50BD">
        <w:rPr>
          <w:rFonts w:ascii="Verdana" w:hAnsi="Verdana"/>
          <w:sz w:val="20"/>
          <w:lang w:val="pt-BR"/>
        </w:rPr>
        <w:t xml:space="preserve"> o povo</w:t>
      </w:r>
      <w:r w:rsidR="004756C1" w:rsidRPr="002F50BD">
        <w:rPr>
          <w:rFonts w:ascii="Verdana" w:hAnsi="Verdana"/>
          <w:sz w:val="20"/>
          <w:lang w:val="pt-BR"/>
        </w:rPr>
        <w:t xml:space="preserve"> </w:t>
      </w:r>
      <w:r w:rsidR="0039684E" w:rsidRPr="002F50BD">
        <w:rPr>
          <w:rFonts w:ascii="Verdana" w:hAnsi="Verdana"/>
          <w:sz w:val="20"/>
          <w:lang w:val="pt-BR"/>
        </w:rPr>
        <w:t>Lengua Enxet</w:t>
      </w:r>
      <w:r w:rsidR="0089298C" w:rsidRPr="002F50BD">
        <w:rPr>
          <w:rFonts w:ascii="Verdana" w:hAnsi="Verdana"/>
          <w:sz w:val="20"/>
          <w:lang w:val="pt-BR"/>
        </w:rPr>
        <w:t xml:space="preserve"> </w:t>
      </w:r>
      <w:r w:rsidR="0039684E" w:rsidRPr="002F50BD">
        <w:rPr>
          <w:rFonts w:ascii="Verdana" w:hAnsi="Verdana"/>
          <w:sz w:val="20"/>
          <w:lang w:val="pt-BR"/>
        </w:rPr>
        <w:t>do Su</w:t>
      </w:r>
      <w:r w:rsidR="0089298C" w:rsidRPr="002F50BD">
        <w:rPr>
          <w:rFonts w:ascii="Verdana" w:hAnsi="Verdana"/>
          <w:sz w:val="20"/>
          <w:lang w:val="pt-BR"/>
        </w:rPr>
        <w:t xml:space="preserve">l e </w:t>
      </w:r>
      <w:r w:rsidR="004756C1" w:rsidRPr="002F50BD">
        <w:rPr>
          <w:rFonts w:ascii="Verdana" w:hAnsi="Verdana"/>
          <w:sz w:val="20"/>
          <w:lang w:val="pt-BR"/>
        </w:rPr>
        <w:t>s</w:t>
      </w:r>
      <w:r w:rsidR="0039684E" w:rsidRPr="002F50BD">
        <w:rPr>
          <w:rFonts w:ascii="Verdana" w:hAnsi="Verdana"/>
          <w:sz w:val="20"/>
          <w:lang w:val="pt-BR"/>
        </w:rPr>
        <w:t>e</w:t>
      </w:r>
      <w:r w:rsidR="00EC5F20" w:rsidRPr="002F50BD">
        <w:rPr>
          <w:rFonts w:ascii="Verdana" w:hAnsi="Verdana"/>
          <w:sz w:val="20"/>
          <w:lang w:val="pt-BR"/>
        </w:rPr>
        <w:t>us sub</w:t>
      </w:r>
      <w:r w:rsidR="004756C1" w:rsidRPr="002F50BD">
        <w:rPr>
          <w:rFonts w:ascii="Verdana" w:hAnsi="Verdana"/>
          <w:sz w:val="20"/>
          <w:lang w:val="pt-BR"/>
        </w:rPr>
        <w:t xml:space="preserve">grupos </w:t>
      </w:r>
      <w:r w:rsidR="0039684E" w:rsidRPr="002F50BD">
        <w:rPr>
          <w:rFonts w:ascii="Verdana" w:hAnsi="Verdana"/>
          <w:sz w:val="20"/>
          <w:lang w:val="pt-BR"/>
        </w:rPr>
        <w:t>pe</w:t>
      </w:r>
      <w:r w:rsidR="004756C1" w:rsidRPr="002F50BD">
        <w:rPr>
          <w:rFonts w:ascii="Verdana" w:hAnsi="Verdana"/>
          <w:sz w:val="20"/>
          <w:lang w:val="pt-BR"/>
        </w:rPr>
        <w:t>rcorr</w:t>
      </w:r>
      <w:r w:rsidR="0039684E" w:rsidRPr="002F50BD">
        <w:rPr>
          <w:rFonts w:ascii="Verdana" w:hAnsi="Verdana"/>
          <w:sz w:val="20"/>
          <w:lang w:val="pt-BR"/>
        </w:rPr>
        <w:t xml:space="preserve">iam </w:t>
      </w:r>
      <w:r w:rsidR="00AB454A" w:rsidRPr="002F50BD">
        <w:rPr>
          <w:rFonts w:ascii="Verdana" w:hAnsi="Verdana"/>
          <w:sz w:val="20"/>
          <w:lang w:val="pt-BR"/>
        </w:rPr>
        <w:t>seu território</w:t>
      </w:r>
      <w:r w:rsidR="004756C1" w:rsidRPr="002F50BD">
        <w:rPr>
          <w:rFonts w:ascii="Verdana" w:hAnsi="Verdana"/>
          <w:sz w:val="20"/>
          <w:lang w:val="pt-BR"/>
        </w:rPr>
        <w:t xml:space="preserve"> </w:t>
      </w:r>
      <w:r w:rsidR="00AB6727" w:rsidRPr="002F50BD">
        <w:rPr>
          <w:rFonts w:ascii="Verdana" w:hAnsi="Verdana"/>
          <w:sz w:val="20"/>
          <w:lang w:val="pt-BR"/>
        </w:rPr>
        <w:t>utilizando</w:t>
      </w:r>
      <w:r w:rsidR="0089298C" w:rsidRPr="002F50BD">
        <w:rPr>
          <w:rFonts w:ascii="Verdana" w:hAnsi="Verdana"/>
          <w:sz w:val="20"/>
          <w:lang w:val="pt-BR"/>
        </w:rPr>
        <w:t xml:space="preserve"> a natureza na </w:t>
      </w:r>
      <w:r w:rsidR="004756C1" w:rsidRPr="002F50BD">
        <w:rPr>
          <w:rFonts w:ascii="Verdana" w:hAnsi="Verdana"/>
          <w:sz w:val="20"/>
          <w:lang w:val="pt-BR"/>
        </w:rPr>
        <w:t xml:space="preserve">medida </w:t>
      </w:r>
      <w:r w:rsidR="0039684E" w:rsidRPr="002F50BD">
        <w:rPr>
          <w:rFonts w:ascii="Verdana" w:hAnsi="Verdana"/>
          <w:sz w:val="20"/>
          <w:lang w:val="pt-BR"/>
        </w:rPr>
        <w:t xml:space="preserve">em </w:t>
      </w:r>
      <w:r w:rsidR="004756C1" w:rsidRPr="002F50BD">
        <w:rPr>
          <w:rFonts w:ascii="Verdana" w:hAnsi="Verdana"/>
          <w:sz w:val="20"/>
          <w:lang w:val="pt-BR"/>
        </w:rPr>
        <w:t>que</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0039684E" w:rsidRPr="002F50BD">
        <w:rPr>
          <w:rFonts w:ascii="Verdana" w:hAnsi="Verdana"/>
          <w:sz w:val="20"/>
          <w:lang w:val="pt-BR"/>
        </w:rPr>
        <w:t xml:space="preserve">sazonais </w:t>
      </w:r>
      <w:r w:rsidR="0089298C" w:rsidRPr="002F50BD">
        <w:rPr>
          <w:rFonts w:ascii="Verdana" w:hAnsi="Verdana"/>
          <w:sz w:val="20"/>
          <w:lang w:val="pt-BR"/>
        </w:rPr>
        <w:t xml:space="preserve">e a </w:t>
      </w:r>
      <w:r w:rsidR="00AB6727" w:rsidRPr="002F50BD">
        <w:rPr>
          <w:rFonts w:ascii="Verdana" w:hAnsi="Verdana"/>
          <w:sz w:val="20"/>
          <w:lang w:val="pt-BR"/>
        </w:rPr>
        <w:t>tecnologia</w:t>
      </w:r>
      <w:r w:rsidR="004756C1" w:rsidRPr="002F50BD">
        <w:rPr>
          <w:rFonts w:ascii="Verdana" w:hAnsi="Verdana"/>
          <w:sz w:val="20"/>
          <w:lang w:val="pt-BR"/>
        </w:rPr>
        <w:t xml:space="preserve"> cultural</w:t>
      </w:r>
      <w:r w:rsidR="0089298C" w:rsidRPr="002F50BD">
        <w:rPr>
          <w:rFonts w:ascii="Verdana" w:hAnsi="Verdana"/>
          <w:sz w:val="20"/>
          <w:lang w:val="pt-BR"/>
        </w:rPr>
        <w:t xml:space="preserve"> lhes </w:t>
      </w:r>
      <w:r w:rsidR="004756C1" w:rsidRPr="002F50BD">
        <w:rPr>
          <w:rFonts w:ascii="Verdana" w:hAnsi="Verdana"/>
          <w:sz w:val="20"/>
          <w:lang w:val="pt-BR"/>
        </w:rPr>
        <w:t>permit</w:t>
      </w:r>
      <w:r w:rsidR="0039684E" w:rsidRPr="002F50BD">
        <w:rPr>
          <w:rFonts w:ascii="Verdana" w:hAnsi="Verdana"/>
          <w:sz w:val="20"/>
          <w:lang w:val="pt-BR"/>
        </w:rPr>
        <w:t>iam</w:t>
      </w:r>
      <w:r w:rsidR="004756C1" w:rsidRPr="002F50BD">
        <w:rPr>
          <w:rFonts w:ascii="Verdana" w:hAnsi="Verdana"/>
          <w:sz w:val="20"/>
          <w:lang w:val="pt-BR"/>
        </w:rPr>
        <w:t xml:space="preserve"> </w:t>
      </w:r>
      <w:r w:rsidR="00AB6727" w:rsidRPr="002F50BD">
        <w:rPr>
          <w:rFonts w:ascii="Verdana" w:hAnsi="Verdana"/>
          <w:sz w:val="20"/>
          <w:lang w:val="pt-BR"/>
        </w:rPr>
        <w:t>aproveitá-la</w:t>
      </w:r>
      <w:r w:rsidR="004756C1" w:rsidRPr="002F50BD">
        <w:rPr>
          <w:rFonts w:ascii="Verdana" w:hAnsi="Verdana"/>
          <w:sz w:val="20"/>
          <w:lang w:val="pt-BR"/>
        </w:rPr>
        <w:t xml:space="preserve">, o </w:t>
      </w:r>
      <w:r w:rsidR="0089298C" w:rsidRPr="002F50BD">
        <w:rPr>
          <w:rFonts w:ascii="Verdana" w:hAnsi="Verdana"/>
          <w:sz w:val="20"/>
          <w:lang w:val="pt-BR"/>
        </w:rPr>
        <w:t>qu</w:t>
      </w:r>
      <w:r w:rsidR="0039684E" w:rsidRPr="002F50BD">
        <w:rPr>
          <w:rFonts w:ascii="Verdana" w:hAnsi="Verdana"/>
          <w:sz w:val="20"/>
          <w:lang w:val="pt-BR"/>
        </w:rPr>
        <w:t>e</w:t>
      </w:r>
      <w:r w:rsidR="0089298C" w:rsidRPr="002F50BD">
        <w:rPr>
          <w:rFonts w:ascii="Verdana" w:hAnsi="Verdana"/>
          <w:sz w:val="20"/>
          <w:lang w:val="pt-BR"/>
        </w:rPr>
        <w:t xml:space="preserve"> </w:t>
      </w:r>
      <w:r w:rsidR="00F424BB" w:rsidRPr="002F50BD">
        <w:rPr>
          <w:rFonts w:ascii="Verdana" w:hAnsi="Verdana"/>
          <w:sz w:val="20"/>
          <w:lang w:val="pt-BR"/>
        </w:rPr>
        <w:t xml:space="preserve">fazia com </w:t>
      </w:r>
      <w:r w:rsidR="004756C1" w:rsidRPr="002F50BD">
        <w:rPr>
          <w:rFonts w:ascii="Verdana" w:hAnsi="Verdana"/>
          <w:sz w:val="20"/>
          <w:lang w:val="pt-BR"/>
        </w:rPr>
        <w:t xml:space="preserve">que se </w:t>
      </w:r>
      <w:r w:rsidR="0039684E" w:rsidRPr="002F50BD">
        <w:rPr>
          <w:rFonts w:ascii="Verdana" w:hAnsi="Verdana"/>
          <w:sz w:val="20"/>
          <w:lang w:val="pt-BR"/>
        </w:rPr>
        <w:t xml:space="preserve">deslocassem e ocupassem uma </w:t>
      </w:r>
      <w:r w:rsidR="004756C1" w:rsidRPr="002F50BD">
        <w:rPr>
          <w:rFonts w:ascii="Verdana" w:hAnsi="Verdana"/>
          <w:sz w:val="20"/>
          <w:lang w:val="pt-BR"/>
        </w:rPr>
        <w:t xml:space="preserve">área </w:t>
      </w:r>
      <w:r w:rsidR="0089298C" w:rsidRPr="002F50BD">
        <w:rPr>
          <w:rFonts w:ascii="Verdana" w:hAnsi="Verdana"/>
          <w:sz w:val="20"/>
          <w:lang w:val="pt-BR"/>
        </w:rPr>
        <w:t>muito</w:t>
      </w:r>
      <w:r w:rsidR="004756C1" w:rsidRPr="002F50BD">
        <w:rPr>
          <w:rFonts w:ascii="Verdana" w:hAnsi="Verdana"/>
          <w:sz w:val="20"/>
          <w:lang w:val="pt-BR"/>
        </w:rPr>
        <w:t xml:space="preserve"> extensa de </w:t>
      </w:r>
      <w:r w:rsidR="0089298C" w:rsidRPr="002F50BD">
        <w:rPr>
          <w:rFonts w:ascii="Verdana" w:hAnsi="Verdana"/>
          <w:sz w:val="20"/>
          <w:lang w:val="pt-BR"/>
        </w:rPr>
        <w:t>território</w:t>
      </w:r>
      <w:r w:rsidR="00AB454A" w:rsidRPr="002F50BD">
        <w:rPr>
          <w:rFonts w:ascii="Verdana" w:hAnsi="Verdana"/>
          <w:sz w:val="20"/>
          <w:lang w:val="pt-BR"/>
        </w:rPr>
        <w:t xml:space="preserve">. A </w:t>
      </w:r>
      <w:r w:rsidR="0089298C" w:rsidRPr="002F50BD">
        <w:rPr>
          <w:rFonts w:ascii="Verdana" w:hAnsi="Verdana"/>
          <w:sz w:val="20"/>
          <w:lang w:val="pt-BR"/>
        </w:rPr>
        <w:t xml:space="preserve">Comunidade </w:t>
      </w:r>
      <w:r w:rsidR="004756C1" w:rsidRPr="002F50BD">
        <w:rPr>
          <w:rFonts w:ascii="Verdana" w:hAnsi="Verdana"/>
          <w:sz w:val="20"/>
          <w:lang w:val="pt-BR"/>
        </w:rPr>
        <w:t>Yakye Axa correspon</w:t>
      </w:r>
      <w:r w:rsidR="0089298C" w:rsidRPr="002F50BD">
        <w:rPr>
          <w:rFonts w:ascii="Verdana" w:hAnsi="Verdana"/>
          <w:sz w:val="20"/>
          <w:lang w:val="pt-BR"/>
        </w:rPr>
        <w:t>d</w:t>
      </w:r>
      <w:r w:rsidR="0039684E" w:rsidRPr="002F50BD">
        <w:rPr>
          <w:rFonts w:ascii="Verdana" w:hAnsi="Verdana"/>
          <w:sz w:val="20"/>
          <w:lang w:val="pt-BR"/>
        </w:rPr>
        <w:t xml:space="preserve">e </w:t>
      </w:r>
      <w:r w:rsidR="0089298C" w:rsidRPr="002F50BD">
        <w:rPr>
          <w:rFonts w:ascii="Verdana" w:hAnsi="Verdana"/>
          <w:sz w:val="20"/>
          <w:lang w:val="pt-BR"/>
        </w:rPr>
        <w:t xml:space="preserve">a </w:t>
      </w:r>
      <w:r w:rsidR="004756C1" w:rsidRPr="002F50BD">
        <w:rPr>
          <w:rFonts w:ascii="Verdana" w:hAnsi="Verdana"/>
          <w:sz w:val="20"/>
          <w:lang w:val="pt-BR"/>
        </w:rPr>
        <w:t xml:space="preserve">este tipo de </w:t>
      </w:r>
      <w:r w:rsidR="0089298C" w:rsidRPr="002F50BD">
        <w:rPr>
          <w:rFonts w:ascii="Verdana" w:hAnsi="Verdana"/>
          <w:sz w:val="20"/>
          <w:lang w:val="pt-BR"/>
        </w:rPr>
        <w:t xml:space="preserve">sociedade </w:t>
      </w:r>
      <w:r w:rsidR="004756C1" w:rsidRPr="002F50BD">
        <w:rPr>
          <w:rFonts w:ascii="Verdana" w:hAnsi="Verdana"/>
          <w:sz w:val="20"/>
          <w:lang w:val="pt-BR"/>
        </w:rPr>
        <w:t xml:space="preserve">tradicional de </w:t>
      </w:r>
      <w:r w:rsidR="00AB454A" w:rsidRPr="002F50BD">
        <w:rPr>
          <w:rFonts w:ascii="Verdana" w:hAnsi="Verdana"/>
          <w:sz w:val="20"/>
          <w:lang w:val="pt-BR"/>
        </w:rPr>
        <w:t>caça</w:t>
      </w:r>
      <w:r w:rsidR="004756C1" w:rsidRPr="002F50BD">
        <w:rPr>
          <w:rFonts w:ascii="Verdana" w:hAnsi="Verdana"/>
          <w:sz w:val="20"/>
          <w:lang w:val="pt-BR"/>
        </w:rPr>
        <w:t>dores-coletores</w:t>
      </w:r>
      <w:r w:rsidR="0039684E" w:rsidRPr="002F50BD">
        <w:rPr>
          <w:rFonts w:ascii="Verdana" w:hAnsi="Verdana"/>
          <w:sz w:val="20"/>
          <w:lang w:val="pt-BR"/>
        </w:rPr>
        <w:t>.</w:t>
      </w:r>
      <w:r w:rsidR="004756C1" w:rsidRPr="002F50BD">
        <w:rPr>
          <w:rStyle w:val="FootnoteReference"/>
          <w:rFonts w:ascii="Verdana" w:hAnsi="Verdana"/>
        </w:rPr>
        <w:footnoteReference w:id="22"/>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4756C1" w:rsidRPr="002F50BD">
        <w:rPr>
          <w:rFonts w:ascii="Verdana" w:hAnsi="Verdana"/>
          <w:sz w:val="20"/>
          <w:lang w:val="pt-BR"/>
        </w:rPr>
        <w:t>ocupa</w:t>
      </w:r>
      <w:r w:rsidR="0089298C" w:rsidRPr="002F50BD">
        <w:rPr>
          <w:rFonts w:ascii="Verdana" w:hAnsi="Verdana"/>
          <w:sz w:val="20"/>
          <w:lang w:val="pt-BR"/>
        </w:rPr>
        <w:t>ção</w:t>
      </w:r>
      <w:r w:rsidR="004756C1" w:rsidRPr="002F50BD">
        <w:rPr>
          <w:rFonts w:ascii="Verdana" w:hAnsi="Verdana"/>
          <w:sz w:val="20"/>
          <w:lang w:val="pt-BR"/>
        </w:rPr>
        <w:t xml:space="preserve"> tradicional </w:t>
      </w:r>
      <w:r w:rsidR="0089298C" w:rsidRPr="002F50BD">
        <w:rPr>
          <w:rFonts w:ascii="Verdana" w:hAnsi="Verdana"/>
          <w:sz w:val="20"/>
          <w:lang w:val="pt-BR"/>
        </w:rPr>
        <w:t>do território dos povo</w:t>
      </w:r>
      <w:r w:rsidR="004756C1" w:rsidRPr="002F50BD">
        <w:rPr>
          <w:rFonts w:ascii="Verdana" w:hAnsi="Verdana"/>
          <w:sz w:val="20"/>
          <w:lang w:val="pt-BR"/>
        </w:rPr>
        <w:t xml:space="preserve">s indígenas </w:t>
      </w:r>
      <w:r w:rsidR="0089298C" w:rsidRPr="002F50BD">
        <w:rPr>
          <w:rFonts w:ascii="Verdana" w:hAnsi="Verdana"/>
          <w:sz w:val="20"/>
          <w:lang w:val="pt-BR"/>
        </w:rPr>
        <w:t xml:space="preserve">do </w:t>
      </w:r>
      <w:r w:rsidR="004756C1" w:rsidRPr="002F50BD">
        <w:rPr>
          <w:rFonts w:ascii="Verdana" w:hAnsi="Verdana"/>
          <w:sz w:val="20"/>
          <w:lang w:val="pt-BR"/>
        </w:rPr>
        <w:t>Chaco se evidencia</w:t>
      </w:r>
      <w:r w:rsidR="00F424BB" w:rsidRPr="002F50BD">
        <w:rPr>
          <w:rFonts w:ascii="Verdana" w:hAnsi="Verdana"/>
          <w:sz w:val="20"/>
          <w:lang w:val="pt-BR"/>
        </w:rPr>
        <w:t>,</w:t>
      </w:r>
      <w:r w:rsidR="004756C1" w:rsidRPr="002F50BD">
        <w:rPr>
          <w:rFonts w:ascii="Verdana" w:hAnsi="Verdana"/>
          <w:sz w:val="20"/>
          <w:lang w:val="pt-BR"/>
        </w:rPr>
        <w:t xml:space="preserve"> principalmente</w:t>
      </w:r>
      <w:r w:rsidR="00F424BB" w:rsidRPr="002F50BD">
        <w:rPr>
          <w:rFonts w:ascii="Verdana" w:hAnsi="Verdana"/>
          <w:sz w:val="20"/>
          <w:lang w:val="pt-BR"/>
        </w:rPr>
        <w:t>,</w:t>
      </w:r>
      <w:r w:rsidR="0089298C" w:rsidRPr="002F50BD">
        <w:rPr>
          <w:rFonts w:ascii="Verdana" w:hAnsi="Verdana"/>
          <w:sz w:val="20"/>
          <w:lang w:val="pt-BR"/>
        </w:rPr>
        <w:t xml:space="preserve"> nos nome</w:t>
      </w:r>
      <w:r w:rsidR="004756C1" w:rsidRPr="002F50BD">
        <w:rPr>
          <w:rFonts w:ascii="Verdana" w:hAnsi="Verdana"/>
          <w:sz w:val="20"/>
          <w:lang w:val="pt-BR"/>
        </w:rPr>
        <w:t xml:space="preserve">s </w:t>
      </w:r>
      <w:r w:rsidR="00EC5F20" w:rsidRPr="002F50BD">
        <w:rPr>
          <w:rFonts w:ascii="Verdana" w:hAnsi="Verdana"/>
          <w:sz w:val="20"/>
          <w:lang w:val="pt-BR"/>
        </w:rPr>
        <w:t>atribuídos</w:t>
      </w:r>
      <w:r w:rsidR="004756C1" w:rsidRPr="002F50BD">
        <w:rPr>
          <w:rFonts w:ascii="Verdana" w:hAnsi="Verdana"/>
          <w:sz w:val="20"/>
          <w:lang w:val="pt-BR"/>
        </w:rPr>
        <w:t xml:space="preserve"> a determinados lugares dentro </w:t>
      </w:r>
      <w:r w:rsidR="0089298C" w:rsidRPr="002F50BD">
        <w:rPr>
          <w:rFonts w:ascii="Verdana" w:hAnsi="Verdana"/>
          <w:sz w:val="20"/>
          <w:lang w:val="pt-BR"/>
        </w:rPr>
        <w:t>do mesm</w:t>
      </w:r>
      <w:r w:rsidR="004756C1" w:rsidRPr="002F50BD">
        <w:rPr>
          <w:rFonts w:ascii="Verdana" w:hAnsi="Verdana"/>
          <w:sz w:val="20"/>
          <w:lang w:val="pt-BR"/>
        </w:rPr>
        <w:t>o,</w:t>
      </w:r>
      <w:r w:rsidR="0089298C" w:rsidRPr="002F50BD">
        <w:rPr>
          <w:rFonts w:ascii="Verdana" w:hAnsi="Verdana"/>
          <w:sz w:val="20"/>
          <w:lang w:val="pt-BR"/>
        </w:rPr>
        <w:t xml:space="preserve"> tais </w:t>
      </w:r>
      <w:r w:rsidR="004756C1" w:rsidRPr="002F50BD">
        <w:rPr>
          <w:rFonts w:ascii="Verdana" w:hAnsi="Verdana"/>
          <w:sz w:val="20"/>
          <w:lang w:val="pt-BR"/>
        </w:rPr>
        <w:t xml:space="preserve">como </w:t>
      </w:r>
      <w:r w:rsidR="0089298C" w:rsidRPr="002F50BD">
        <w:rPr>
          <w:rFonts w:ascii="Verdana" w:hAnsi="Verdana"/>
          <w:sz w:val="20"/>
          <w:lang w:val="pt-BR"/>
        </w:rPr>
        <w:t>sítio</w:t>
      </w:r>
      <w:r w:rsidR="004756C1" w:rsidRPr="002F50BD">
        <w:rPr>
          <w:rFonts w:ascii="Verdana" w:hAnsi="Verdana"/>
          <w:sz w:val="20"/>
          <w:lang w:val="pt-BR"/>
        </w:rPr>
        <w:t xml:space="preserve">s de </w:t>
      </w:r>
      <w:r w:rsidR="00AB454A" w:rsidRPr="002F50BD">
        <w:rPr>
          <w:rFonts w:ascii="Verdana" w:hAnsi="Verdana"/>
          <w:sz w:val="20"/>
          <w:lang w:val="pt-BR"/>
        </w:rPr>
        <w:t>assentamento</w:t>
      </w:r>
      <w:r w:rsidR="004756C1" w:rsidRPr="002F50BD">
        <w:rPr>
          <w:rFonts w:ascii="Verdana" w:hAnsi="Verdana"/>
          <w:sz w:val="20"/>
          <w:lang w:val="pt-BR"/>
        </w:rPr>
        <w:t xml:space="preserve"> </w:t>
      </w:r>
      <w:r w:rsidR="008A1C23" w:rsidRPr="002F50BD">
        <w:rPr>
          <w:rFonts w:ascii="Verdana" w:hAnsi="Verdana"/>
          <w:sz w:val="20"/>
          <w:lang w:val="pt-BR"/>
        </w:rPr>
        <w:t>periódico</w:t>
      </w:r>
      <w:r w:rsidR="004756C1" w:rsidRPr="002F50BD">
        <w:rPr>
          <w:rFonts w:ascii="Verdana" w:hAnsi="Verdana"/>
          <w:sz w:val="20"/>
          <w:lang w:val="pt-BR"/>
        </w:rPr>
        <w:t>, po</w:t>
      </w:r>
      <w:r w:rsidR="008A1C23" w:rsidRPr="002F50BD">
        <w:rPr>
          <w:rFonts w:ascii="Verdana" w:hAnsi="Verdana"/>
          <w:sz w:val="20"/>
          <w:lang w:val="pt-BR"/>
        </w:rPr>
        <w:t>ç</w:t>
      </w:r>
      <w:r w:rsidR="004756C1" w:rsidRPr="002F50BD">
        <w:rPr>
          <w:rFonts w:ascii="Verdana" w:hAnsi="Verdana"/>
          <w:sz w:val="20"/>
          <w:lang w:val="pt-BR"/>
        </w:rPr>
        <w:t>os, lag</w:t>
      </w:r>
      <w:r w:rsidR="008A1C23" w:rsidRPr="002F50BD">
        <w:rPr>
          <w:rFonts w:ascii="Verdana" w:hAnsi="Verdana"/>
          <w:sz w:val="20"/>
          <w:lang w:val="pt-BR"/>
        </w:rPr>
        <w:t>oa</w:t>
      </w:r>
      <w:r w:rsidR="004756C1" w:rsidRPr="002F50BD">
        <w:rPr>
          <w:rFonts w:ascii="Verdana" w:hAnsi="Verdana"/>
          <w:sz w:val="20"/>
          <w:lang w:val="pt-BR"/>
        </w:rPr>
        <w:t xml:space="preserve">s, </w:t>
      </w:r>
      <w:r w:rsidR="008A1C23" w:rsidRPr="002F50BD">
        <w:rPr>
          <w:rFonts w:ascii="Verdana" w:hAnsi="Verdana"/>
          <w:sz w:val="20"/>
          <w:lang w:val="pt-BR"/>
        </w:rPr>
        <w:t>bosques</w:t>
      </w:r>
      <w:r w:rsidR="004756C1" w:rsidRPr="002F50BD">
        <w:rPr>
          <w:rFonts w:ascii="Verdana" w:hAnsi="Verdana"/>
          <w:sz w:val="20"/>
          <w:lang w:val="pt-BR"/>
        </w:rPr>
        <w:t xml:space="preserve">, palmares, </w:t>
      </w:r>
      <w:r w:rsidR="004756C1" w:rsidRPr="002F50BD">
        <w:rPr>
          <w:rFonts w:ascii="Verdana" w:hAnsi="Verdana"/>
          <w:i/>
          <w:sz w:val="20"/>
          <w:lang w:val="pt-BR"/>
        </w:rPr>
        <w:t>espatillares</w:t>
      </w:r>
      <w:r w:rsidR="004756C1" w:rsidRPr="002F50BD">
        <w:rPr>
          <w:rFonts w:ascii="Verdana" w:hAnsi="Verdana"/>
          <w:sz w:val="20"/>
          <w:lang w:val="pt-BR"/>
        </w:rPr>
        <w:t xml:space="preserve">, zonas de </w:t>
      </w:r>
      <w:r w:rsidR="003B5E71" w:rsidRPr="002F50BD">
        <w:rPr>
          <w:rFonts w:ascii="Verdana" w:hAnsi="Verdana"/>
          <w:sz w:val="20"/>
          <w:lang w:val="pt-BR"/>
        </w:rPr>
        <w:t xml:space="preserve">coleta </w:t>
      </w:r>
      <w:r w:rsidR="0089298C" w:rsidRPr="002F50BD">
        <w:rPr>
          <w:rFonts w:ascii="Verdana" w:hAnsi="Verdana"/>
          <w:sz w:val="20"/>
          <w:lang w:val="pt-BR"/>
        </w:rPr>
        <w:t xml:space="preserve">e </w:t>
      </w:r>
      <w:r w:rsidR="004756C1" w:rsidRPr="002F50BD">
        <w:rPr>
          <w:rFonts w:ascii="Verdana" w:hAnsi="Verdana"/>
          <w:sz w:val="20"/>
          <w:lang w:val="pt-BR"/>
        </w:rPr>
        <w:t xml:space="preserve">de pesca, </w:t>
      </w:r>
      <w:r w:rsidR="0089298C" w:rsidRPr="002F50BD">
        <w:rPr>
          <w:rFonts w:ascii="Verdana" w:hAnsi="Verdana"/>
          <w:sz w:val="20"/>
          <w:lang w:val="pt-BR"/>
        </w:rPr>
        <w:t>cemitério</w:t>
      </w:r>
      <w:r w:rsidR="004756C1" w:rsidRPr="002F50BD">
        <w:rPr>
          <w:rFonts w:ascii="Verdana" w:hAnsi="Verdana"/>
          <w:sz w:val="20"/>
          <w:lang w:val="pt-BR"/>
        </w:rPr>
        <w:t>s, etc</w:t>
      </w:r>
      <w:r w:rsidR="001A0CDE" w:rsidRPr="002F50BD">
        <w:rPr>
          <w:rFonts w:ascii="Verdana" w:hAnsi="Verdana"/>
          <w:sz w:val="20"/>
          <w:lang w:val="pt-BR"/>
        </w:rPr>
        <w:t>. Est</w:t>
      </w:r>
      <w:r w:rsidR="0089298C" w:rsidRPr="002F50BD">
        <w:rPr>
          <w:rFonts w:ascii="Verdana" w:hAnsi="Verdana"/>
          <w:sz w:val="20"/>
          <w:lang w:val="pt-BR"/>
        </w:rPr>
        <w:t>es pontos</w:t>
      </w:r>
      <w:r w:rsidR="004756C1" w:rsidRPr="002F50BD">
        <w:rPr>
          <w:rFonts w:ascii="Verdana" w:hAnsi="Verdana"/>
          <w:sz w:val="20"/>
          <w:lang w:val="pt-BR"/>
        </w:rPr>
        <w:t xml:space="preserve"> geográficos</w:t>
      </w:r>
      <w:r w:rsidR="003B5E71" w:rsidRPr="002F50BD">
        <w:rPr>
          <w:rFonts w:ascii="Verdana" w:hAnsi="Verdana"/>
          <w:sz w:val="20"/>
          <w:lang w:val="pt-BR"/>
        </w:rPr>
        <w:t xml:space="preserve"> se conservam</w:t>
      </w:r>
      <w:r w:rsidR="0089298C" w:rsidRPr="002F50BD">
        <w:rPr>
          <w:rFonts w:ascii="Verdana" w:hAnsi="Verdana"/>
          <w:sz w:val="20"/>
          <w:lang w:val="pt-BR"/>
        </w:rPr>
        <w:t xml:space="preserve"> na memória </w:t>
      </w:r>
      <w:r w:rsidR="004756C1" w:rsidRPr="002F50BD">
        <w:rPr>
          <w:rFonts w:ascii="Verdana" w:hAnsi="Verdana"/>
          <w:sz w:val="20"/>
          <w:lang w:val="pt-BR"/>
        </w:rPr>
        <w:t xml:space="preserve">histórica de </w:t>
      </w:r>
      <w:r w:rsidR="0089298C" w:rsidRPr="002F50BD">
        <w:rPr>
          <w:rFonts w:ascii="Verdana" w:hAnsi="Verdana"/>
          <w:sz w:val="20"/>
          <w:lang w:val="pt-BR"/>
        </w:rPr>
        <w:t>povo</w:t>
      </w:r>
      <w:r w:rsidR="004756C1" w:rsidRPr="002F50BD">
        <w:rPr>
          <w:rFonts w:ascii="Verdana" w:hAnsi="Verdana"/>
          <w:sz w:val="20"/>
          <w:lang w:val="pt-BR"/>
        </w:rPr>
        <w:t>s indígenas como</w:t>
      </w:r>
      <w:r w:rsidR="0089298C" w:rsidRPr="002F50BD">
        <w:rPr>
          <w:rFonts w:ascii="Verdana" w:hAnsi="Verdana"/>
          <w:sz w:val="20"/>
          <w:lang w:val="pt-BR"/>
        </w:rPr>
        <w:t xml:space="preserve"> os </w:t>
      </w:r>
      <w:r w:rsidR="0039684E" w:rsidRPr="002F50BD">
        <w:rPr>
          <w:rFonts w:ascii="Verdana" w:hAnsi="Verdana"/>
          <w:sz w:val="20"/>
          <w:lang w:val="pt-BR"/>
        </w:rPr>
        <w:t>Lengua Enxet do Sul</w:t>
      </w:r>
      <w:r w:rsidR="003B5E71" w:rsidRPr="002F50BD">
        <w:rPr>
          <w:rFonts w:ascii="Verdana" w:hAnsi="Verdana"/>
          <w:sz w:val="20"/>
          <w:lang w:val="pt-BR"/>
        </w:rPr>
        <w:t>.</w:t>
      </w:r>
      <w:r w:rsidR="004756C1" w:rsidRPr="002F50BD">
        <w:rPr>
          <w:rStyle w:val="FootnoteReference"/>
          <w:rFonts w:ascii="Verdana" w:hAnsi="Verdana"/>
        </w:rPr>
        <w:footnoteReference w:id="23"/>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As </w:t>
      </w:r>
      <w:r w:rsidR="0089298C" w:rsidRPr="002F50BD">
        <w:rPr>
          <w:rFonts w:ascii="Verdana" w:hAnsi="Verdana"/>
          <w:sz w:val="20"/>
          <w:lang w:val="pt-BR"/>
        </w:rPr>
        <w:t>terra</w:t>
      </w:r>
      <w:r w:rsidR="004756C1" w:rsidRPr="002F50BD">
        <w:rPr>
          <w:rFonts w:ascii="Verdana" w:hAnsi="Verdana"/>
          <w:sz w:val="20"/>
          <w:lang w:val="pt-BR"/>
        </w:rPr>
        <w:t xml:space="preserve">s que </w:t>
      </w:r>
      <w:r w:rsidR="00EC5F20" w:rsidRPr="002F50BD">
        <w:rPr>
          <w:rFonts w:ascii="Verdana" w:hAnsi="Verdana"/>
          <w:sz w:val="20"/>
          <w:lang w:val="pt-BR"/>
        </w:rPr>
        <w:t xml:space="preserve">a Comunidade indígena Yakye Axa </w:t>
      </w:r>
      <w:r w:rsidR="0089298C" w:rsidRPr="002F50BD">
        <w:rPr>
          <w:rFonts w:ascii="Verdana" w:hAnsi="Verdana"/>
          <w:sz w:val="20"/>
          <w:lang w:val="pt-BR"/>
        </w:rPr>
        <w:t>agora</w:t>
      </w:r>
      <w:r w:rsidR="004756C1" w:rsidRPr="002F50BD">
        <w:rPr>
          <w:rFonts w:ascii="Verdana" w:hAnsi="Verdana"/>
          <w:sz w:val="20"/>
          <w:lang w:val="pt-BR"/>
        </w:rPr>
        <w:t xml:space="preserve"> </w:t>
      </w:r>
      <w:r w:rsidR="00F424BB" w:rsidRPr="002F50BD">
        <w:rPr>
          <w:rFonts w:ascii="Verdana" w:hAnsi="Verdana"/>
          <w:sz w:val="20"/>
          <w:lang w:val="pt-BR"/>
        </w:rPr>
        <w:t xml:space="preserve">reivindica </w:t>
      </w:r>
      <w:r w:rsidR="005B22C9" w:rsidRPr="002F50BD">
        <w:rPr>
          <w:rFonts w:ascii="Verdana" w:hAnsi="Verdana"/>
          <w:sz w:val="20"/>
          <w:lang w:val="pt-BR"/>
        </w:rPr>
        <w:t>como parte do</w:t>
      </w:r>
      <w:r w:rsidR="004756C1" w:rsidRPr="002F50BD">
        <w:rPr>
          <w:rFonts w:ascii="Verdana" w:hAnsi="Verdana"/>
          <w:sz w:val="20"/>
          <w:lang w:val="pt-BR"/>
        </w:rPr>
        <w:t xml:space="preserve"> </w:t>
      </w:r>
      <w:r w:rsidR="00AB454A" w:rsidRPr="002F50BD">
        <w:rPr>
          <w:rFonts w:ascii="Verdana" w:hAnsi="Verdana"/>
          <w:sz w:val="20"/>
          <w:lang w:val="pt-BR"/>
        </w:rPr>
        <w:t>seu território</w:t>
      </w:r>
      <w:r w:rsidR="005B22C9" w:rsidRPr="002F50BD">
        <w:rPr>
          <w:rFonts w:ascii="Verdana" w:hAnsi="Verdana"/>
          <w:sz w:val="20"/>
          <w:lang w:val="pt-BR"/>
        </w:rPr>
        <w:t xml:space="preserve"> tradicional</w:t>
      </w:r>
      <w:r w:rsidR="004756C1" w:rsidRPr="002F50BD">
        <w:rPr>
          <w:rFonts w:ascii="Verdana" w:hAnsi="Verdana"/>
          <w:sz w:val="20"/>
          <w:lang w:val="pt-BR"/>
        </w:rPr>
        <w:t xml:space="preserve"> </w:t>
      </w:r>
      <w:r w:rsidR="0089298C" w:rsidRPr="002F50BD">
        <w:rPr>
          <w:rFonts w:ascii="Verdana" w:hAnsi="Verdana"/>
          <w:sz w:val="20"/>
          <w:lang w:val="pt-BR"/>
        </w:rPr>
        <w:t>encontram</w:t>
      </w:r>
      <w:r w:rsidR="005B22C9" w:rsidRPr="002F50BD">
        <w:rPr>
          <w:rFonts w:ascii="Verdana" w:hAnsi="Verdana"/>
          <w:sz w:val="20"/>
          <w:lang w:val="pt-BR"/>
        </w:rPr>
        <w:t>-se</w:t>
      </w:r>
      <w:r w:rsidR="0089298C" w:rsidRPr="002F50BD">
        <w:rPr>
          <w:rFonts w:ascii="Verdana" w:hAnsi="Verdana"/>
          <w:sz w:val="20"/>
          <w:lang w:val="pt-BR"/>
        </w:rPr>
        <w:t xml:space="preserve"> na </w:t>
      </w:r>
      <w:r w:rsidR="004756C1" w:rsidRPr="002F50BD">
        <w:rPr>
          <w:rFonts w:ascii="Verdana" w:hAnsi="Verdana"/>
          <w:sz w:val="20"/>
          <w:lang w:val="pt-BR"/>
        </w:rPr>
        <w:t>zona anteriormente ocupada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Chanawatsan</w:t>
      </w:r>
      <w:r w:rsidR="00CD7100" w:rsidRPr="002F50BD">
        <w:rPr>
          <w:rFonts w:ascii="Verdana" w:hAnsi="Verdana"/>
          <w:sz w:val="20"/>
          <w:lang w:val="pt-BR"/>
        </w:rPr>
        <w:t>. Em</w:t>
      </w:r>
      <w:r w:rsidR="0089298C" w:rsidRPr="002F50BD">
        <w:rPr>
          <w:rFonts w:ascii="Verdana" w:hAnsi="Verdana"/>
          <w:sz w:val="20"/>
          <w:lang w:val="pt-BR"/>
        </w:rPr>
        <w:t xml:space="preserve"> </w:t>
      </w:r>
      <w:r w:rsidR="00EC5F20" w:rsidRPr="002F50BD">
        <w:rPr>
          <w:rFonts w:ascii="Verdana" w:hAnsi="Verdana"/>
          <w:sz w:val="20"/>
          <w:lang w:val="pt-BR"/>
        </w:rPr>
        <w:t>seu pedido</w:t>
      </w:r>
      <w:r w:rsidR="0089298C" w:rsidRPr="002F50BD">
        <w:rPr>
          <w:rFonts w:ascii="Verdana" w:hAnsi="Verdana"/>
          <w:sz w:val="20"/>
          <w:lang w:val="pt-BR"/>
        </w:rPr>
        <w:t xml:space="preserve"> </w:t>
      </w:r>
      <w:r w:rsidR="004756C1" w:rsidRPr="002F50BD">
        <w:rPr>
          <w:rFonts w:ascii="Verdana" w:hAnsi="Verdana"/>
          <w:sz w:val="20"/>
          <w:lang w:val="pt-BR"/>
        </w:rPr>
        <w:t>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território</w:t>
      </w:r>
      <w:r w:rsidR="00F424BB" w:rsidRPr="002F50BD">
        <w:rPr>
          <w:rFonts w:ascii="Verdana" w:hAnsi="Verdana"/>
          <w:sz w:val="20"/>
          <w:lang w:val="pt-BR"/>
        </w:rPr>
        <w:t>,</w:t>
      </w:r>
      <w:r w:rsidR="0089298C" w:rsidRPr="002F50BD">
        <w:rPr>
          <w:rFonts w:ascii="Verdana" w:hAnsi="Verdana"/>
          <w:sz w:val="20"/>
          <w:lang w:val="pt-BR"/>
        </w:rPr>
        <w:t xml:space="preserve"> a Comunidade </w:t>
      </w:r>
      <w:r w:rsidR="004076AD" w:rsidRPr="002F50BD">
        <w:rPr>
          <w:rFonts w:ascii="Verdana" w:hAnsi="Verdana"/>
          <w:sz w:val="20"/>
          <w:lang w:val="pt-BR"/>
        </w:rPr>
        <w:t>indicou</w:t>
      </w:r>
      <w:r w:rsidR="004756C1" w:rsidRPr="002F50BD">
        <w:rPr>
          <w:rFonts w:ascii="Verdana" w:hAnsi="Verdana"/>
          <w:sz w:val="20"/>
          <w:lang w:val="pt-BR"/>
        </w:rPr>
        <w:t xml:space="preserve"> que </w:t>
      </w:r>
      <w:r w:rsidR="003B5E71" w:rsidRPr="002F50BD">
        <w:rPr>
          <w:rFonts w:ascii="Verdana" w:hAnsi="Verdana"/>
          <w:sz w:val="20"/>
          <w:lang w:val="pt-BR"/>
        </w:rPr>
        <w:t>e</w:t>
      </w:r>
      <w:r w:rsidR="004756C1" w:rsidRPr="002F50BD">
        <w:rPr>
          <w:rFonts w:ascii="Verdana" w:hAnsi="Verdana"/>
          <w:sz w:val="20"/>
          <w:lang w:val="pt-BR"/>
        </w:rPr>
        <w:t xml:space="preserve">ste se </w:t>
      </w:r>
      <w:r w:rsidR="0089298C" w:rsidRPr="002F50BD">
        <w:rPr>
          <w:rFonts w:ascii="Verdana" w:hAnsi="Verdana"/>
          <w:sz w:val="20"/>
          <w:lang w:val="pt-BR"/>
        </w:rPr>
        <w:t>e</w:t>
      </w:r>
      <w:r w:rsidR="003B5E71" w:rsidRPr="002F50BD">
        <w:rPr>
          <w:rFonts w:ascii="Verdana" w:hAnsi="Verdana"/>
          <w:sz w:val="20"/>
          <w:lang w:val="pt-BR"/>
        </w:rPr>
        <w:t>s</w:t>
      </w:r>
      <w:r w:rsidR="0089298C" w:rsidRPr="002F50BD">
        <w:rPr>
          <w:rFonts w:ascii="Verdana" w:hAnsi="Verdana"/>
          <w:sz w:val="20"/>
          <w:lang w:val="pt-BR"/>
        </w:rPr>
        <w:t xml:space="preserve">tende ao </w:t>
      </w:r>
      <w:r w:rsidR="004756C1" w:rsidRPr="002F50BD">
        <w:rPr>
          <w:rFonts w:ascii="Verdana" w:hAnsi="Verdana"/>
          <w:sz w:val="20"/>
          <w:lang w:val="pt-BR"/>
        </w:rPr>
        <w:t>que</w:t>
      </w:r>
      <w:r w:rsidR="0089298C" w:rsidRPr="002F50BD">
        <w:rPr>
          <w:rFonts w:ascii="Verdana" w:hAnsi="Verdana"/>
          <w:sz w:val="20"/>
          <w:lang w:val="pt-BR"/>
        </w:rPr>
        <w:t xml:space="preserve"> na </w:t>
      </w:r>
      <w:r w:rsidR="00CD3DEB" w:rsidRPr="002F50BD">
        <w:rPr>
          <w:rFonts w:ascii="Verdana" w:hAnsi="Verdana"/>
          <w:sz w:val="20"/>
          <w:lang w:val="pt-BR"/>
        </w:rPr>
        <w:t xml:space="preserve">atualidade </w:t>
      </w:r>
      <w:r w:rsidR="004756C1" w:rsidRPr="002F50BD">
        <w:rPr>
          <w:rFonts w:ascii="Verdana" w:hAnsi="Verdana"/>
          <w:sz w:val="20"/>
          <w:lang w:val="pt-BR"/>
        </w:rPr>
        <w:t xml:space="preserve">se </w:t>
      </w:r>
      <w:r w:rsidR="0089298C" w:rsidRPr="002F50BD">
        <w:rPr>
          <w:rFonts w:ascii="Verdana" w:hAnsi="Verdana"/>
          <w:sz w:val="20"/>
          <w:lang w:val="pt-BR"/>
        </w:rPr>
        <w:t xml:space="preserve">conhece </w:t>
      </w:r>
      <w:r w:rsidR="004756C1" w:rsidRPr="002F50BD">
        <w:rPr>
          <w:rFonts w:ascii="Verdana" w:hAnsi="Verdana"/>
          <w:sz w:val="20"/>
          <w:lang w:val="pt-BR"/>
        </w:rPr>
        <w:t>como</w:t>
      </w:r>
      <w:r w:rsidR="0089298C" w:rsidRPr="002F50BD">
        <w:rPr>
          <w:rFonts w:ascii="Verdana" w:hAnsi="Verdana"/>
          <w:sz w:val="20"/>
          <w:lang w:val="pt-BR"/>
        </w:rPr>
        <w:t xml:space="preserve"> as </w:t>
      </w:r>
      <w:r w:rsidR="00060B3A" w:rsidRPr="002F50BD">
        <w:rPr>
          <w:rFonts w:ascii="Verdana" w:hAnsi="Verdana"/>
          <w:sz w:val="20"/>
          <w:lang w:val="pt-BR"/>
        </w:rPr>
        <w:t xml:space="preserve">fazendas </w:t>
      </w:r>
      <w:r w:rsidR="004756C1" w:rsidRPr="002F50BD">
        <w:rPr>
          <w:rFonts w:ascii="Verdana" w:hAnsi="Verdana"/>
          <w:sz w:val="20"/>
          <w:lang w:val="pt-BR"/>
        </w:rPr>
        <w:t>Loma Verde, Maroma</w:t>
      </w:r>
      <w:r w:rsidR="0089298C" w:rsidRPr="002F50BD">
        <w:rPr>
          <w:rFonts w:ascii="Verdana" w:hAnsi="Verdana"/>
          <w:sz w:val="20"/>
          <w:lang w:val="pt-BR"/>
        </w:rPr>
        <w:t xml:space="preserve"> e </w:t>
      </w:r>
      <w:r w:rsidR="004756C1" w:rsidRPr="002F50BD">
        <w:rPr>
          <w:rFonts w:ascii="Verdana" w:hAnsi="Verdana"/>
          <w:sz w:val="20"/>
          <w:lang w:val="pt-BR"/>
        </w:rPr>
        <w:t>Ledesma</w:t>
      </w:r>
      <w:r w:rsidR="003B5E71" w:rsidRPr="002F50BD">
        <w:rPr>
          <w:rFonts w:ascii="Verdana" w:hAnsi="Verdana"/>
          <w:sz w:val="20"/>
          <w:lang w:val="pt-BR"/>
        </w:rPr>
        <w:t>.</w:t>
      </w:r>
      <w:r w:rsidR="004756C1" w:rsidRPr="002F50BD">
        <w:rPr>
          <w:rStyle w:val="FootnoteReference"/>
          <w:rFonts w:ascii="Verdana" w:hAnsi="Verdana"/>
        </w:rPr>
        <w:footnoteReference w:id="24"/>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Segundo o relatório </w:t>
      </w:r>
      <w:r w:rsidR="004756C1" w:rsidRPr="002F50BD">
        <w:rPr>
          <w:rFonts w:ascii="Verdana" w:hAnsi="Verdana"/>
          <w:sz w:val="20"/>
          <w:lang w:val="pt-BR"/>
        </w:rPr>
        <w:t>antropológico realizado</w:t>
      </w:r>
      <w:r w:rsidR="0089298C" w:rsidRPr="002F50BD">
        <w:rPr>
          <w:rFonts w:ascii="Verdana" w:hAnsi="Verdana"/>
          <w:sz w:val="20"/>
          <w:lang w:val="pt-BR"/>
        </w:rPr>
        <w:t xml:space="preserve"> neste </w:t>
      </w:r>
      <w:r w:rsidR="004756C1" w:rsidRPr="002F50BD">
        <w:rPr>
          <w:rFonts w:ascii="Verdana" w:hAnsi="Verdana"/>
          <w:sz w:val="20"/>
          <w:lang w:val="pt-BR"/>
        </w:rPr>
        <w:t xml:space="preserve">caso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35</w:t>
      </w:r>
      <w:r w:rsidR="00F8611F" w:rsidRPr="002F50BD">
        <w:rPr>
          <w:rFonts w:ascii="Verdana" w:hAnsi="Verdana"/>
          <w:i/>
          <w:sz w:val="20"/>
          <w:lang w:val="pt-BR"/>
        </w:rPr>
        <w:t xml:space="preserve"> infra</w:t>
      </w:r>
      <w:r w:rsidR="00CF451D" w:rsidRPr="00CF451D">
        <w:rPr>
          <w:rFonts w:ascii="Verdana" w:hAnsi="Verdana"/>
          <w:sz w:val="20"/>
          <w:lang w:val="pt-BR"/>
        </w:rPr>
        <w:t>)</w:t>
      </w:r>
      <w:r w:rsidR="004756C1" w:rsidRPr="002F50BD">
        <w:rPr>
          <w:rFonts w:ascii="Verdana" w:hAnsi="Verdana"/>
          <w:sz w:val="20"/>
          <w:lang w:val="pt-BR"/>
        </w:rPr>
        <w:t>, dentro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 xml:space="preserve">particular, </w:t>
      </w:r>
      <w:r w:rsidR="0089298C" w:rsidRPr="002F50BD">
        <w:rPr>
          <w:rFonts w:ascii="Verdana" w:hAnsi="Verdana"/>
          <w:sz w:val="20"/>
          <w:lang w:val="pt-BR"/>
        </w:rPr>
        <w:t>existem</w:t>
      </w:r>
      <w:r w:rsidR="004756C1" w:rsidRPr="002F50BD">
        <w:rPr>
          <w:rFonts w:ascii="Verdana" w:hAnsi="Verdana"/>
          <w:sz w:val="20"/>
          <w:lang w:val="pt-BR"/>
        </w:rPr>
        <w:t xml:space="preserve"> </w:t>
      </w:r>
      <w:r w:rsidR="0089298C" w:rsidRPr="002F50BD">
        <w:rPr>
          <w:rFonts w:ascii="Verdana" w:hAnsi="Verdana"/>
          <w:sz w:val="20"/>
          <w:lang w:val="pt-BR"/>
        </w:rPr>
        <w:t>vários</w:t>
      </w:r>
      <w:r w:rsidR="004756C1" w:rsidRPr="002F50BD">
        <w:rPr>
          <w:rFonts w:ascii="Verdana" w:hAnsi="Verdana"/>
          <w:sz w:val="20"/>
          <w:lang w:val="pt-BR"/>
        </w:rPr>
        <w:t xml:space="preserve"> </w:t>
      </w:r>
      <w:r w:rsidR="0089298C" w:rsidRPr="002F50BD">
        <w:rPr>
          <w:rFonts w:ascii="Verdana" w:hAnsi="Verdana"/>
          <w:sz w:val="20"/>
          <w:lang w:val="pt-BR"/>
        </w:rPr>
        <w:t>pontos</w:t>
      </w:r>
      <w:r w:rsidR="004756C1" w:rsidRPr="002F50BD">
        <w:rPr>
          <w:rFonts w:ascii="Verdana" w:hAnsi="Verdana"/>
          <w:sz w:val="20"/>
          <w:lang w:val="pt-BR"/>
        </w:rPr>
        <w:t xml:space="preserve"> toponímicos que se man</w:t>
      </w:r>
      <w:r w:rsidR="0089298C" w:rsidRPr="002F50BD">
        <w:rPr>
          <w:rFonts w:ascii="Verdana" w:hAnsi="Verdana"/>
          <w:sz w:val="20"/>
          <w:lang w:val="pt-BR"/>
        </w:rPr>
        <w:t>têm na memória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entre</w:t>
      </w:r>
      <w:r w:rsidR="0089298C" w:rsidRPr="002F50BD">
        <w:rPr>
          <w:rFonts w:ascii="Verdana" w:hAnsi="Verdana"/>
          <w:sz w:val="20"/>
          <w:lang w:val="pt-BR"/>
        </w:rPr>
        <w:t xml:space="preserve"> os </w:t>
      </w:r>
      <w:r w:rsidR="00F8611F" w:rsidRPr="002F50BD">
        <w:rPr>
          <w:rFonts w:ascii="Verdana" w:hAnsi="Verdana"/>
          <w:sz w:val="20"/>
          <w:lang w:val="pt-BR"/>
        </w:rPr>
        <w:t>quais</w:t>
      </w:r>
      <w:r w:rsidR="004756C1" w:rsidRPr="002F50BD">
        <w:rPr>
          <w:rFonts w:ascii="Verdana" w:hAnsi="Verdana"/>
          <w:sz w:val="20"/>
          <w:lang w:val="pt-BR"/>
        </w:rPr>
        <w:t xml:space="preserve"> se </w:t>
      </w:r>
      <w:r w:rsidR="00475EBB" w:rsidRPr="002F50BD">
        <w:rPr>
          <w:rFonts w:ascii="Verdana" w:hAnsi="Verdana"/>
          <w:sz w:val="20"/>
          <w:lang w:val="pt-BR"/>
        </w:rPr>
        <w:t xml:space="preserve">podem </w:t>
      </w:r>
      <w:r w:rsidR="004756C1" w:rsidRPr="002F50BD">
        <w:rPr>
          <w:rFonts w:ascii="Verdana" w:hAnsi="Verdana"/>
          <w:sz w:val="20"/>
          <w:lang w:val="pt-BR"/>
        </w:rPr>
        <w:t xml:space="preserve">mencionar: </w:t>
      </w:r>
    </w:p>
    <w:p w:rsidR="004756C1" w:rsidRPr="002F50BD" w:rsidRDefault="004756C1">
      <w:pPr>
        <w:jc w:val="both"/>
        <w:rPr>
          <w:rFonts w:ascii="Verdana" w:hAnsi="Verdana"/>
          <w:sz w:val="20"/>
          <w:lang w:val="pt-BR"/>
        </w:rPr>
      </w:pPr>
    </w:p>
    <w:p w:rsidR="004756C1" w:rsidRPr="002F50BD" w:rsidRDefault="004756C1">
      <w:pPr>
        <w:ind w:left="720" w:right="720"/>
        <w:jc w:val="both"/>
        <w:rPr>
          <w:rFonts w:ascii="Verdana" w:hAnsi="Verdana"/>
          <w:sz w:val="18"/>
          <w:lang w:val="pt-BR"/>
        </w:rPr>
      </w:pPr>
      <w:r w:rsidRPr="002F50BD">
        <w:rPr>
          <w:rFonts w:ascii="Verdana" w:hAnsi="Verdana"/>
          <w:sz w:val="18"/>
          <w:lang w:val="pt-BR"/>
        </w:rPr>
        <w:t xml:space="preserve">Enmakxa Yaktépa </w:t>
      </w:r>
      <w:r w:rsidR="00CF451D" w:rsidRPr="00CF451D">
        <w:rPr>
          <w:rFonts w:ascii="Verdana" w:hAnsi="Verdana"/>
          <w:sz w:val="18"/>
          <w:lang w:val="pt-BR"/>
        </w:rPr>
        <w:t>(</w:t>
      </w:r>
      <w:r w:rsidR="00F8611F" w:rsidRPr="002F50BD">
        <w:rPr>
          <w:rFonts w:ascii="Verdana" w:hAnsi="Verdana"/>
          <w:sz w:val="18"/>
          <w:lang w:val="pt-BR"/>
        </w:rPr>
        <w:t xml:space="preserve">o lugar </w:t>
      </w:r>
      <w:r w:rsidR="0089298C" w:rsidRPr="002F50BD">
        <w:rPr>
          <w:rFonts w:ascii="Verdana" w:hAnsi="Verdana"/>
          <w:sz w:val="18"/>
          <w:lang w:val="pt-BR"/>
        </w:rPr>
        <w:t>d</w:t>
      </w:r>
      <w:r w:rsidR="00F8611F" w:rsidRPr="002F50BD">
        <w:rPr>
          <w:rFonts w:ascii="Verdana" w:hAnsi="Verdana"/>
          <w:sz w:val="18"/>
          <w:lang w:val="pt-BR"/>
        </w:rPr>
        <w:t>a abóbora</w:t>
      </w:r>
      <w:r w:rsidR="00CF451D" w:rsidRPr="00CF451D">
        <w:rPr>
          <w:rFonts w:ascii="Verdana" w:hAnsi="Verdana"/>
          <w:sz w:val="18"/>
          <w:lang w:val="pt-BR"/>
        </w:rPr>
        <w:t>)</w:t>
      </w:r>
      <w:r w:rsidRPr="002F50BD">
        <w:rPr>
          <w:rFonts w:ascii="Verdana" w:hAnsi="Verdana"/>
          <w:sz w:val="18"/>
          <w:lang w:val="pt-BR"/>
        </w:rPr>
        <w:t xml:space="preserve">, Xakma Páye </w:t>
      </w:r>
      <w:r w:rsidR="00CF451D" w:rsidRPr="00CF451D">
        <w:rPr>
          <w:rFonts w:ascii="Verdana" w:hAnsi="Verdana"/>
          <w:sz w:val="18"/>
          <w:lang w:val="pt-BR"/>
        </w:rPr>
        <w:t>(</w:t>
      </w:r>
      <w:r w:rsidR="00F8611F" w:rsidRPr="002F50BD">
        <w:rPr>
          <w:rFonts w:ascii="Verdana" w:hAnsi="Verdana"/>
          <w:sz w:val="18"/>
          <w:lang w:val="pt-BR"/>
        </w:rPr>
        <w:t>o</w:t>
      </w:r>
      <w:r w:rsidRPr="002F50BD">
        <w:rPr>
          <w:rFonts w:ascii="Verdana" w:hAnsi="Verdana"/>
          <w:sz w:val="18"/>
          <w:lang w:val="pt-BR"/>
        </w:rPr>
        <w:t xml:space="preserve"> lugar de </w:t>
      </w:r>
      <w:r w:rsidR="0089298C" w:rsidRPr="002F50BD">
        <w:rPr>
          <w:rFonts w:ascii="Verdana" w:hAnsi="Verdana"/>
          <w:sz w:val="18"/>
          <w:lang w:val="pt-BR"/>
        </w:rPr>
        <w:t>muito</w:t>
      </w:r>
      <w:r w:rsidRPr="002F50BD">
        <w:rPr>
          <w:rFonts w:ascii="Verdana" w:hAnsi="Verdana"/>
          <w:sz w:val="18"/>
          <w:lang w:val="pt-BR"/>
        </w:rPr>
        <w:t>s mosquitos</w:t>
      </w:r>
      <w:r w:rsidR="00CF451D" w:rsidRPr="00CF451D">
        <w:rPr>
          <w:rFonts w:ascii="Verdana" w:hAnsi="Verdana"/>
          <w:sz w:val="18"/>
          <w:lang w:val="pt-BR"/>
        </w:rPr>
        <w:t>)</w:t>
      </w:r>
      <w:r w:rsidRPr="002F50BD">
        <w:rPr>
          <w:rFonts w:ascii="Verdana" w:hAnsi="Verdana"/>
          <w:sz w:val="18"/>
          <w:lang w:val="pt-BR"/>
        </w:rPr>
        <w:t xml:space="preserve">, Xakma Yawhan </w:t>
      </w:r>
      <w:r w:rsidR="00CF451D" w:rsidRPr="00CF451D">
        <w:rPr>
          <w:rFonts w:ascii="Verdana" w:hAnsi="Verdana"/>
          <w:sz w:val="18"/>
          <w:lang w:val="pt-BR"/>
        </w:rPr>
        <w:t>(</w:t>
      </w:r>
      <w:r w:rsidR="00F8611F" w:rsidRPr="002F50BD">
        <w:rPr>
          <w:rFonts w:ascii="Verdana" w:hAnsi="Verdana"/>
          <w:sz w:val="18"/>
          <w:lang w:val="pt-BR"/>
        </w:rPr>
        <w:t>o</w:t>
      </w:r>
      <w:r w:rsidRPr="002F50BD">
        <w:rPr>
          <w:rFonts w:ascii="Verdana" w:hAnsi="Verdana"/>
          <w:sz w:val="18"/>
          <w:lang w:val="pt-BR"/>
        </w:rPr>
        <w:t xml:space="preserve"> lugar de </w:t>
      </w:r>
      <w:r w:rsidR="0089298C" w:rsidRPr="002F50BD">
        <w:rPr>
          <w:rFonts w:ascii="Verdana" w:hAnsi="Verdana"/>
          <w:sz w:val="18"/>
          <w:lang w:val="pt-BR"/>
        </w:rPr>
        <w:t>muita</w:t>
      </w:r>
      <w:r w:rsidRPr="002F50BD">
        <w:rPr>
          <w:rFonts w:ascii="Verdana" w:hAnsi="Verdana"/>
          <w:sz w:val="18"/>
          <w:lang w:val="pt-BR"/>
        </w:rPr>
        <w:t xml:space="preserve">s </w:t>
      </w:r>
      <w:r w:rsidR="00F8611F" w:rsidRPr="002F50BD">
        <w:rPr>
          <w:rFonts w:ascii="Verdana" w:hAnsi="Verdana"/>
          <w:sz w:val="18"/>
          <w:lang w:val="pt-BR"/>
        </w:rPr>
        <w:t>vespas</w:t>
      </w:r>
      <w:r w:rsidR="00CF451D" w:rsidRPr="00CF451D">
        <w:rPr>
          <w:rFonts w:ascii="Verdana" w:hAnsi="Verdana"/>
          <w:sz w:val="18"/>
          <w:lang w:val="pt-BR"/>
        </w:rPr>
        <w:t>)</w:t>
      </w:r>
      <w:r w:rsidR="00F8611F" w:rsidRPr="002F50BD">
        <w:rPr>
          <w:rFonts w:ascii="Verdana" w:hAnsi="Verdana"/>
          <w:sz w:val="18"/>
          <w:lang w:val="pt-BR"/>
        </w:rPr>
        <w:t>, Y</w:t>
      </w:r>
      <w:r w:rsidRPr="002F50BD">
        <w:rPr>
          <w:rFonts w:ascii="Verdana" w:hAnsi="Verdana"/>
          <w:sz w:val="18"/>
          <w:lang w:val="pt-BR"/>
        </w:rPr>
        <w:t xml:space="preserve">exnakxa Xenaj Apkátek </w:t>
      </w:r>
      <w:r w:rsidR="00CF451D" w:rsidRPr="00CF451D">
        <w:rPr>
          <w:rFonts w:ascii="Verdana" w:hAnsi="Verdana"/>
          <w:sz w:val="18"/>
          <w:lang w:val="pt-BR"/>
        </w:rPr>
        <w:t>(</w:t>
      </w:r>
      <w:r w:rsidR="00F8611F" w:rsidRPr="002F50BD">
        <w:rPr>
          <w:rFonts w:ascii="Verdana" w:hAnsi="Verdana"/>
          <w:sz w:val="18"/>
          <w:lang w:val="pt-BR"/>
        </w:rPr>
        <w:t>o</w:t>
      </w:r>
      <w:r w:rsidRPr="002F50BD">
        <w:rPr>
          <w:rFonts w:ascii="Verdana" w:hAnsi="Verdana"/>
          <w:sz w:val="18"/>
          <w:lang w:val="pt-BR"/>
        </w:rPr>
        <w:t xml:space="preserve"> lugar</w:t>
      </w:r>
      <w:r w:rsidR="0089298C" w:rsidRPr="002F50BD">
        <w:rPr>
          <w:rFonts w:ascii="Verdana" w:hAnsi="Verdana"/>
          <w:sz w:val="18"/>
          <w:lang w:val="pt-BR"/>
        </w:rPr>
        <w:t xml:space="preserve"> da cabeça</w:t>
      </w:r>
      <w:r w:rsidRPr="002F50BD">
        <w:rPr>
          <w:rFonts w:ascii="Verdana" w:hAnsi="Verdana"/>
          <w:sz w:val="18"/>
          <w:lang w:val="pt-BR"/>
        </w:rPr>
        <w:t xml:space="preserve"> </w:t>
      </w:r>
      <w:r w:rsidR="00F8611F" w:rsidRPr="002F50BD">
        <w:rPr>
          <w:rFonts w:ascii="Verdana" w:hAnsi="Verdana"/>
          <w:sz w:val="18"/>
          <w:lang w:val="pt-BR"/>
        </w:rPr>
        <w:t xml:space="preserve">pendurada </w:t>
      </w:r>
      <w:r w:rsidR="0089298C" w:rsidRPr="002F50BD">
        <w:rPr>
          <w:rFonts w:ascii="Verdana" w:hAnsi="Verdana"/>
          <w:sz w:val="18"/>
          <w:lang w:val="pt-BR"/>
        </w:rPr>
        <w:t xml:space="preserve">do </w:t>
      </w:r>
      <w:r w:rsidRPr="002F50BD">
        <w:rPr>
          <w:rFonts w:ascii="Verdana" w:hAnsi="Verdana"/>
          <w:sz w:val="18"/>
          <w:lang w:val="pt-BR"/>
        </w:rPr>
        <w:t>veado</w:t>
      </w:r>
      <w:r w:rsidR="00CF451D" w:rsidRPr="00CF451D">
        <w:rPr>
          <w:rFonts w:ascii="Verdana" w:hAnsi="Verdana"/>
          <w:sz w:val="18"/>
          <w:lang w:val="pt-BR"/>
        </w:rPr>
        <w:t>)</w:t>
      </w:r>
      <w:r w:rsidR="0089298C" w:rsidRPr="002F50BD">
        <w:rPr>
          <w:rFonts w:ascii="Verdana" w:hAnsi="Verdana"/>
          <w:sz w:val="18"/>
          <w:lang w:val="pt-BR"/>
        </w:rPr>
        <w:t xml:space="preserve">, </w:t>
      </w:r>
      <w:r w:rsidR="00F8611F" w:rsidRPr="002F50BD">
        <w:rPr>
          <w:rFonts w:ascii="Verdana" w:hAnsi="Verdana"/>
          <w:sz w:val="18"/>
          <w:lang w:val="pt-BR"/>
        </w:rPr>
        <w:t>Y</w:t>
      </w:r>
      <w:r w:rsidRPr="002F50BD">
        <w:rPr>
          <w:rFonts w:ascii="Verdana" w:hAnsi="Verdana"/>
          <w:sz w:val="18"/>
          <w:lang w:val="pt-BR"/>
        </w:rPr>
        <w:t xml:space="preserve">exnaka Xápen </w:t>
      </w:r>
      <w:r w:rsidR="00CF451D" w:rsidRPr="00CF451D">
        <w:rPr>
          <w:rFonts w:ascii="Verdana" w:hAnsi="Verdana"/>
          <w:sz w:val="18"/>
          <w:lang w:val="pt-BR"/>
        </w:rPr>
        <w:t>(</w:t>
      </w:r>
      <w:r w:rsidR="00F8611F" w:rsidRPr="002F50BD">
        <w:rPr>
          <w:rFonts w:ascii="Verdana" w:hAnsi="Verdana"/>
          <w:sz w:val="18"/>
          <w:lang w:val="pt-BR"/>
        </w:rPr>
        <w:t>o</w:t>
      </w:r>
      <w:r w:rsidRPr="002F50BD">
        <w:rPr>
          <w:rFonts w:ascii="Verdana" w:hAnsi="Verdana"/>
          <w:sz w:val="18"/>
          <w:lang w:val="pt-BR"/>
        </w:rPr>
        <w:t xml:space="preserve"> lugar </w:t>
      </w:r>
      <w:r w:rsidR="0089298C" w:rsidRPr="002F50BD">
        <w:rPr>
          <w:rFonts w:ascii="Verdana" w:hAnsi="Verdana"/>
          <w:sz w:val="18"/>
          <w:lang w:val="pt-BR"/>
        </w:rPr>
        <w:t>d</w:t>
      </w:r>
      <w:r w:rsidR="00F8611F" w:rsidRPr="002F50BD">
        <w:rPr>
          <w:rFonts w:ascii="Verdana" w:hAnsi="Verdana"/>
          <w:sz w:val="18"/>
          <w:lang w:val="pt-BR"/>
        </w:rPr>
        <w:t>a ema pendurada</w:t>
      </w:r>
      <w:r w:rsidR="00CF451D" w:rsidRPr="00CF451D">
        <w:rPr>
          <w:rFonts w:ascii="Verdana" w:hAnsi="Verdana"/>
          <w:sz w:val="18"/>
          <w:lang w:val="pt-BR"/>
        </w:rPr>
        <w:t>)</w:t>
      </w:r>
      <w:r w:rsidR="0089298C" w:rsidRPr="002F50BD">
        <w:rPr>
          <w:rFonts w:ascii="Verdana" w:hAnsi="Verdana"/>
          <w:sz w:val="18"/>
          <w:lang w:val="pt-BR"/>
        </w:rPr>
        <w:t xml:space="preserve">, </w:t>
      </w:r>
      <w:r w:rsidR="00F8611F" w:rsidRPr="002F50BD">
        <w:rPr>
          <w:rFonts w:ascii="Verdana" w:hAnsi="Verdana"/>
          <w:sz w:val="18"/>
          <w:lang w:val="pt-BR"/>
        </w:rPr>
        <w:t>Y</w:t>
      </w:r>
      <w:r w:rsidRPr="002F50BD">
        <w:rPr>
          <w:rFonts w:ascii="Verdana" w:hAnsi="Verdana"/>
          <w:sz w:val="18"/>
          <w:lang w:val="pt-BR"/>
        </w:rPr>
        <w:t xml:space="preserve">akye Axa </w:t>
      </w:r>
      <w:r w:rsidR="00CF451D" w:rsidRPr="00CF451D">
        <w:rPr>
          <w:rFonts w:ascii="Verdana" w:hAnsi="Verdana"/>
          <w:sz w:val="18"/>
          <w:lang w:val="pt-BR"/>
        </w:rPr>
        <w:t>(</w:t>
      </w:r>
      <w:r w:rsidR="00F8611F" w:rsidRPr="002F50BD">
        <w:rPr>
          <w:rFonts w:ascii="Verdana" w:hAnsi="Verdana"/>
          <w:sz w:val="18"/>
          <w:lang w:val="pt-BR"/>
        </w:rPr>
        <w:t xml:space="preserve">o pequeno bosque </w:t>
      </w:r>
      <w:r w:rsidRPr="002F50BD">
        <w:rPr>
          <w:rFonts w:ascii="Verdana" w:hAnsi="Verdana"/>
          <w:sz w:val="18"/>
          <w:lang w:val="pt-BR"/>
        </w:rPr>
        <w:t>de palmas</w:t>
      </w:r>
      <w:r w:rsidR="00CF451D" w:rsidRPr="00CF451D">
        <w:rPr>
          <w:rFonts w:ascii="Verdana" w:hAnsi="Verdana"/>
          <w:sz w:val="18"/>
          <w:lang w:val="pt-BR"/>
        </w:rPr>
        <w:t>)</w:t>
      </w:r>
      <w:r w:rsidRPr="002F50BD">
        <w:rPr>
          <w:rFonts w:ascii="Verdana" w:hAnsi="Verdana"/>
          <w:sz w:val="18"/>
          <w:lang w:val="pt-BR"/>
        </w:rPr>
        <w:t xml:space="preserve">, Apmésamakxa Yátey Apketkok </w:t>
      </w:r>
      <w:r w:rsidR="00CF451D" w:rsidRPr="00CF451D">
        <w:rPr>
          <w:rFonts w:ascii="Verdana" w:hAnsi="Verdana"/>
          <w:sz w:val="18"/>
          <w:lang w:val="pt-BR"/>
        </w:rPr>
        <w:t>(</w:t>
      </w:r>
      <w:r w:rsidR="00F8611F" w:rsidRPr="002F50BD">
        <w:rPr>
          <w:rFonts w:ascii="Verdana" w:hAnsi="Verdana"/>
          <w:sz w:val="18"/>
          <w:lang w:val="pt-BR"/>
        </w:rPr>
        <w:t>o</w:t>
      </w:r>
      <w:r w:rsidRPr="002F50BD">
        <w:rPr>
          <w:rFonts w:ascii="Verdana" w:hAnsi="Verdana"/>
          <w:sz w:val="18"/>
          <w:lang w:val="pt-BR"/>
        </w:rPr>
        <w:t xml:space="preserve"> lugar</w:t>
      </w:r>
      <w:r w:rsidR="0089298C" w:rsidRPr="002F50BD">
        <w:rPr>
          <w:rFonts w:ascii="Verdana" w:hAnsi="Verdana"/>
          <w:sz w:val="18"/>
          <w:lang w:val="pt-BR"/>
        </w:rPr>
        <w:t xml:space="preserve"> ond</w:t>
      </w:r>
      <w:r w:rsidR="00F8611F" w:rsidRPr="002F50BD">
        <w:rPr>
          <w:rFonts w:ascii="Verdana" w:hAnsi="Verdana"/>
          <w:sz w:val="18"/>
          <w:lang w:val="pt-BR"/>
        </w:rPr>
        <w:t xml:space="preserve">e </w:t>
      </w:r>
      <w:r w:rsidR="0089298C" w:rsidRPr="002F50BD">
        <w:rPr>
          <w:rFonts w:ascii="Verdana" w:hAnsi="Verdana"/>
          <w:sz w:val="18"/>
          <w:lang w:val="pt-BR"/>
        </w:rPr>
        <w:t xml:space="preserve">o </w:t>
      </w:r>
      <w:r w:rsidRPr="002F50BD">
        <w:rPr>
          <w:rFonts w:ascii="Verdana" w:hAnsi="Verdana"/>
          <w:sz w:val="18"/>
          <w:lang w:val="pt-BR"/>
        </w:rPr>
        <w:t>cabrito</w:t>
      </w:r>
      <w:r w:rsidR="0089298C" w:rsidRPr="002F50BD">
        <w:rPr>
          <w:rFonts w:ascii="Verdana" w:hAnsi="Verdana"/>
          <w:sz w:val="18"/>
          <w:lang w:val="pt-BR"/>
        </w:rPr>
        <w:t xml:space="preserve"> foi </w:t>
      </w:r>
      <w:r w:rsidRPr="002F50BD">
        <w:rPr>
          <w:rFonts w:ascii="Verdana" w:hAnsi="Verdana"/>
          <w:sz w:val="18"/>
          <w:lang w:val="pt-BR"/>
        </w:rPr>
        <w:t>que</w:t>
      </w:r>
      <w:r w:rsidR="00F8611F" w:rsidRPr="002F50BD">
        <w:rPr>
          <w:rFonts w:ascii="Verdana" w:hAnsi="Verdana"/>
          <w:sz w:val="18"/>
          <w:lang w:val="pt-BR"/>
        </w:rPr>
        <w:t>i</w:t>
      </w:r>
      <w:r w:rsidRPr="002F50BD">
        <w:rPr>
          <w:rFonts w:ascii="Verdana" w:hAnsi="Verdana"/>
          <w:sz w:val="18"/>
          <w:lang w:val="pt-BR"/>
        </w:rPr>
        <w:t>mado</w:t>
      </w:r>
      <w:r w:rsidR="00CF451D" w:rsidRPr="00CF451D">
        <w:rPr>
          <w:rFonts w:ascii="Verdana" w:hAnsi="Verdana"/>
          <w:sz w:val="18"/>
          <w:lang w:val="pt-BR"/>
        </w:rPr>
        <w:t>)</w:t>
      </w:r>
      <w:r w:rsidR="00F8611F" w:rsidRPr="002F50BD">
        <w:rPr>
          <w:rFonts w:ascii="Verdana" w:hAnsi="Verdana"/>
          <w:sz w:val="18"/>
          <w:lang w:val="pt-BR"/>
        </w:rPr>
        <w:t>.</w:t>
      </w:r>
      <w:r w:rsidRPr="002F50BD">
        <w:rPr>
          <w:rStyle w:val="FootnoteReference"/>
          <w:rFonts w:ascii="Verdana" w:hAnsi="Verdana"/>
          <w:sz w:val="18"/>
        </w:rPr>
        <w:footnoteReference w:id="25"/>
      </w:r>
      <w:r w:rsidRPr="002F50BD">
        <w:rPr>
          <w:rFonts w:ascii="Verdana" w:hAnsi="Verdana"/>
          <w:sz w:val="18"/>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Segundo o </w:t>
      </w:r>
      <w:r w:rsidR="004756C1" w:rsidRPr="002F50BD">
        <w:rPr>
          <w:rFonts w:ascii="Verdana" w:hAnsi="Verdana"/>
          <w:sz w:val="20"/>
          <w:lang w:val="pt-BR"/>
        </w:rPr>
        <w:t>censo realizado</w:t>
      </w:r>
      <w:r w:rsidR="0089298C" w:rsidRPr="002F50BD">
        <w:rPr>
          <w:rFonts w:ascii="Verdana" w:hAnsi="Verdana"/>
          <w:sz w:val="20"/>
          <w:lang w:val="pt-BR"/>
        </w:rPr>
        <w:t xml:space="preserve"> no ano </w:t>
      </w:r>
      <w:r w:rsidR="00EC5F20" w:rsidRPr="002F50BD">
        <w:rPr>
          <w:rFonts w:ascii="Verdana" w:hAnsi="Verdana"/>
          <w:sz w:val="20"/>
          <w:lang w:val="pt-BR"/>
        </w:rPr>
        <w:t xml:space="preserve">de </w:t>
      </w:r>
      <w:r w:rsidRPr="002F50BD">
        <w:rPr>
          <w:rFonts w:ascii="Verdana" w:hAnsi="Verdana"/>
          <w:sz w:val="20"/>
          <w:lang w:val="pt-BR"/>
        </w:rPr>
        <w:t>2002</w:t>
      </w:r>
      <w:r w:rsidR="004756C1"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está </w:t>
      </w:r>
      <w:r w:rsidR="00F424BB" w:rsidRPr="002F50BD">
        <w:rPr>
          <w:rFonts w:ascii="Verdana" w:hAnsi="Verdana"/>
          <w:sz w:val="20"/>
          <w:lang w:val="pt-BR"/>
        </w:rPr>
        <w:t>constituída de</w:t>
      </w:r>
      <w:r w:rsidR="004756C1" w:rsidRPr="002F50BD">
        <w:rPr>
          <w:rFonts w:ascii="Verdana" w:hAnsi="Verdana"/>
          <w:sz w:val="20"/>
          <w:lang w:val="pt-BR"/>
        </w:rPr>
        <w:t xml:space="preserve"> </w:t>
      </w:r>
      <w:r w:rsidRPr="002F50BD">
        <w:rPr>
          <w:rFonts w:ascii="Verdana" w:hAnsi="Verdana"/>
          <w:sz w:val="20"/>
          <w:lang w:val="pt-BR"/>
        </w:rPr>
        <w:t>319</w:t>
      </w:r>
      <w:r w:rsidR="004756C1" w:rsidRPr="002F50BD">
        <w:rPr>
          <w:rFonts w:ascii="Verdana" w:hAnsi="Verdana"/>
          <w:sz w:val="20"/>
          <w:lang w:val="pt-BR"/>
        </w:rPr>
        <w:t xml:space="preserve"> </w:t>
      </w:r>
      <w:r w:rsidR="0089298C" w:rsidRPr="002F50BD">
        <w:rPr>
          <w:rFonts w:ascii="Verdana" w:hAnsi="Verdana"/>
          <w:sz w:val="20"/>
          <w:lang w:val="pt-BR"/>
        </w:rPr>
        <w:t>pessoa</w:t>
      </w:r>
      <w:r w:rsidR="004756C1" w:rsidRPr="002F50BD">
        <w:rPr>
          <w:rFonts w:ascii="Verdana" w:hAnsi="Verdana"/>
          <w:sz w:val="20"/>
          <w:lang w:val="pt-BR"/>
        </w:rPr>
        <w:t>s, agrupadas</w:t>
      </w:r>
      <w:r w:rsidR="0089298C" w:rsidRPr="002F50BD">
        <w:rPr>
          <w:rFonts w:ascii="Verdana" w:hAnsi="Verdana"/>
          <w:sz w:val="20"/>
          <w:lang w:val="pt-BR"/>
        </w:rPr>
        <w:t xml:space="preserve"> em </w:t>
      </w:r>
      <w:r w:rsidR="004756C1" w:rsidRPr="002F50BD">
        <w:rPr>
          <w:rFonts w:ascii="Verdana" w:hAnsi="Verdana"/>
          <w:sz w:val="20"/>
          <w:lang w:val="pt-BR"/>
        </w:rPr>
        <w:t xml:space="preserve">aproximadamente </w:t>
      </w:r>
      <w:r w:rsidRPr="002F50BD">
        <w:rPr>
          <w:rFonts w:ascii="Verdana" w:hAnsi="Verdana"/>
          <w:sz w:val="20"/>
          <w:lang w:val="pt-BR"/>
        </w:rPr>
        <w:t>90</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w:t>
      </w:r>
      <w:r w:rsidR="00F8611F" w:rsidRPr="002F50BD">
        <w:rPr>
          <w:rFonts w:ascii="Verdana" w:hAnsi="Verdana"/>
          <w:sz w:val="20"/>
          <w:lang w:val="pt-BR"/>
        </w:rPr>
        <w:t>.</w:t>
      </w:r>
      <w:r w:rsidR="004756C1" w:rsidRPr="002F50BD">
        <w:rPr>
          <w:rStyle w:val="FootnoteReference"/>
          <w:rFonts w:ascii="Verdana" w:hAnsi="Verdana"/>
        </w:rPr>
        <w:footnoteReference w:id="26"/>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rsidP="00F8611F">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w:t>
      </w:r>
      <w:r w:rsidR="004756C1" w:rsidRPr="002F50BD">
        <w:rPr>
          <w:rFonts w:ascii="Verdana" w:hAnsi="Verdana"/>
          <w:sz w:val="20"/>
          <w:lang w:val="pt-BR"/>
        </w:rPr>
        <w:t>.</w:t>
      </w:r>
      <w:r w:rsidR="004756C1" w:rsidRPr="002F50BD">
        <w:rPr>
          <w:rFonts w:ascii="Verdana" w:hAnsi="Verdana"/>
          <w:sz w:val="20"/>
          <w:lang w:val="pt-BR"/>
        </w:rPr>
        <w:tab/>
        <w:t>Des</w:t>
      </w:r>
      <w:r w:rsidR="0089298C" w:rsidRPr="002F50BD">
        <w:rPr>
          <w:rFonts w:ascii="Verdana" w:hAnsi="Verdana"/>
          <w:sz w:val="20"/>
          <w:lang w:val="pt-BR"/>
        </w:rPr>
        <w:t>d</w:t>
      </w:r>
      <w:r w:rsidR="00F8611F" w:rsidRPr="002F50BD">
        <w:rPr>
          <w:rFonts w:ascii="Verdana" w:hAnsi="Verdana"/>
          <w:sz w:val="20"/>
          <w:lang w:val="pt-BR"/>
        </w:rPr>
        <w:t xml:space="preserve">e </w:t>
      </w:r>
      <w:r w:rsidR="0089298C" w:rsidRPr="002F50BD">
        <w:rPr>
          <w:rFonts w:ascii="Verdana" w:hAnsi="Verdana"/>
          <w:sz w:val="20"/>
          <w:lang w:val="pt-BR"/>
        </w:rPr>
        <w:t xml:space="preserve">o ano </w:t>
      </w:r>
      <w:r w:rsidR="00EC5F20" w:rsidRPr="002F50BD">
        <w:rPr>
          <w:rFonts w:ascii="Verdana" w:hAnsi="Verdana"/>
          <w:sz w:val="20"/>
          <w:lang w:val="pt-BR"/>
        </w:rPr>
        <w:t xml:space="preserve">de </w:t>
      </w:r>
      <w:r w:rsidRPr="002F50BD">
        <w:rPr>
          <w:rFonts w:ascii="Verdana" w:hAnsi="Verdana"/>
          <w:sz w:val="20"/>
          <w:lang w:val="pt-BR"/>
        </w:rPr>
        <w:t>1996</w:t>
      </w:r>
      <w:r w:rsidR="00EC5F20" w:rsidRPr="002F50BD">
        <w:rPr>
          <w:rFonts w:ascii="Verdana" w:hAnsi="Verdana"/>
          <w:sz w:val="20"/>
          <w:lang w:val="pt-BR"/>
        </w:rPr>
        <w:t>,</w:t>
      </w:r>
      <w:r w:rsidR="004756C1" w:rsidRPr="002F50BD">
        <w:rPr>
          <w:rFonts w:ascii="Verdana" w:hAnsi="Verdana"/>
          <w:sz w:val="20"/>
          <w:lang w:val="pt-BR"/>
        </w:rPr>
        <w:t xml:space="preserve"> parte</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está </w:t>
      </w:r>
      <w:r w:rsidR="00E7595C" w:rsidRPr="002F50BD">
        <w:rPr>
          <w:rFonts w:ascii="Verdana" w:hAnsi="Verdana"/>
          <w:sz w:val="20"/>
          <w:lang w:val="pt-BR"/>
        </w:rPr>
        <w:t>assentad</w:t>
      </w:r>
      <w:r w:rsidR="004756C1" w:rsidRPr="002F50BD">
        <w:rPr>
          <w:rFonts w:ascii="Verdana" w:hAnsi="Verdana"/>
          <w:sz w:val="20"/>
          <w:lang w:val="pt-BR"/>
        </w:rPr>
        <w:t>a</w:t>
      </w:r>
      <w:r w:rsidR="0089298C" w:rsidRPr="002F50BD">
        <w:rPr>
          <w:rFonts w:ascii="Verdana" w:hAnsi="Verdana"/>
          <w:sz w:val="20"/>
          <w:lang w:val="pt-BR"/>
        </w:rPr>
        <w:t xml:space="preserve"> </w:t>
      </w:r>
      <w:r w:rsidR="00F8611F" w:rsidRPr="002F50BD">
        <w:rPr>
          <w:rFonts w:ascii="Verdana" w:hAnsi="Verdana"/>
          <w:sz w:val="20"/>
          <w:lang w:val="pt-BR"/>
        </w:rPr>
        <w:t xml:space="preserve">à margem da </w:t>
      </w:r>
      <w:r w:rsidR="00A25859" w:rsidRPr="002F50BD">
        <w:rPr>
          <w:rFonts w:ascii="Verdana" w:hAnsi="Verdana"/>
          <w:sz w:val="20"/>
          <w:lang w:val="pt-BR"/>
        </w:rPr>
        <w:t xml:space="preserve">estrada entre Pozo </w:t>
      </w:r>
      <w:r w:rsidR="004756C1" w:rsidRPr="002F50BD">
        <w:rPr>
          <w:rFonts w:ascii="Verdana" w:hAnsi="Verdana"/>
          <w:sz w:val="20"/>
          <w:lang w:val="pt-BR"/>
        </w:rPr>
        <w:t>Colorado</w:t>
      </w:r>
      <w:r w:rsidR="0089298C" w:rsidRPr="002F50BD">
        <w:rPr>
          <w:rFonts w:ascii="Verdana" w:hAnsi="Verdana"/>
          <w:sz w:val="20"/>
          <w:lang w:val="pt-BR"/>
        </w:rPr>
        <w:t xml:space="preserve"> e </w:t>
      </w:r>
      <w:r w:rsidR="00313394" w:rsidRPr="002F50BD">
        <w:rPr>
          <w:rFonts w:ascii="Verdana" w:hAnsi="Verdana"/>
          <w:sz w:val="20"/>
          <w:lang w:val="pt-BR"/>
        </w:rPr>
        <w:t>Concepción</w:t>
      </w:r>
      <w:r w:rsidR="00F424BB" w:rsidRPr="002F50BD">
        <w:rPr>
          <w:rFonts w:ascii="Verdana" w:hAnsi="Verdana"/>
          <w:sz w:val="20"/>
          <w:lang w:val="pt-BR"/>
        </w:rPr>
        <w:t>,</w:t>
      </w:r>
      <w:r w:rsidR="0089298C" w:rsidRPr="002F50BD">
        <w:rPr>
          <w:rFonts w:ascii="Verdana" w:hAnsi="Verdana"/>
          <w:sz w:val="20"/>
          <w:lang w:val="pt-BR"/>
        </w:rPr>
        <w:t xml:space="preserve"> no </w:t>
      </w:r>
      <w:r w:rsidR="004756C1" w:rsidRPr="002F50BD">
        <w:rPr>
          <w:rFonts w:ascii="Verdana" w:hAnsi="Verdana"/>
          <w:sz w:val="20"/>
          <w:lang w:val="pt-BR"/>
        </w:rPr>
        <w:t xml:space="preserve">Departamento de </w:t>
      </w:r>
      <w:r w:rsidR="004756C1" w:rsidRPr="002F50BD">
        <w:rPr>
          <w:rFonts w:ascii="Verdana" w:hAnsi="Verdana"/>
          <w:sz w:val="20"/>
          <w:lang w:val="pt-BR"/>
        </w:rPr>
        <w:lastRenderedPageBreak/>
        <w:t xml:space="preserve">Presidente Hayes, </w:t>
      </w:r>
      <w:r w:rsidR="00F8611F" w:rsidRPr="002F50BD">
        <w:rPr>
          <w:rFonts w:ascii="Verdana" w:hAnsi="Verdana"/>
          <w:sz w:val="20"/>
          <w:lang w:val="pt-BR"/>
        </w:rPr>
        <w:t xml:space="preserve">em </w:t>
      </w:r>
      <w:r w:rsidR="004756C1" w:rsidRPr="002F50BD">
        <w:rPr>
          <w:rFonts w:ascii="Verdana" w:hAnsi="Verdana"/>
          <w:sz w:val="20"/>
          <w:lang w:val="pt-BR"/>
        </w:rPr>
        <w:t>frente</w:t>
      </w:r>
      <w:r w:rsidR="0089298C" w:rsidRPr="002F50BD">
        <w:rPr>
          <w:rFonts w:ascii="Verdana" w:hAnsi="Verdana"/>
          <w:sz w:val="20"/>
          <w:lang w:val="pt-BR"/>
        </w:rPr>
        <w:t xml:space="preserve"> </w:t>
      </w:r>
      <w:r w:rsidR="00F8611F" w:rsidRPr="002F50BD">
        <w:rPr>
          <w:rFonts w:ascii="Verdana" w:hAnsi="Verdana"/>
          <w:sz w:val="20"/>
          <w:lang w:val="pt-BR"/>
        </w:rPr>
        <w:t>ao alambrado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F8611F" w:rsidRPr="002F50BD">
        <w:rPr>
          <w:rFonts w:ascii="Verdana" w:hAnsi="Verdana"/>
          <w:sz w:val="20"/>
          <w:lang w:val="pt-BR"/>
        </w:rPr>
        <w:t>.</w:t>
      </w:r>
      <w:r w:rsidR="004756C1" w:rsidRPr="002F50BD">
        <w:rPr>
          <w:rStyle w:val="FootnoteReference"/>
          <w:rFonts w:ascii="Verdana" w:hAnsi="Verdana"/>
        </w:rPr>
        <w:footnoteReference w:id="27"/>
      </w:r>
      <w:r w:rsidR="003F3630">
        <w:rPr>
          <w:rFonts w:ascii="Verdana" w:hAnsi="Verdana"/>
          <w:sz w:val="20"/>
          <w:lang w:val="pt-BR"/>
        </w:rPr>
        <w:t xml:space="preserve"> Ness</w:t>
      </w:r>
      <w:r w:rsidR="001A0CDE"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 xml:space="preserve">lugar se </w:t>
      </w:r>
      <w:r w:rsidR="0089298C" w:rsidRPr="002F50BD">
        <w:rPr>
          <w:rFonts w:ascii="Verdana" w:hAnsi="Verdana"/>
          <w:sz w:val="20"/>
          <w:lang w:val="pt-BR"/>
        </w:rPr>
        <w:t>encontram</w:t>
      </w:r>
      <w:r w:rsidR="004756C1" w:rsidRPr="002F50BD">
        <w:rPr>
          <w:rFonts w:ascii="Verdana" w:hAnsi="Verdana"/>
          <w:sz w:val="20"/>
          <w:lang w:val="pt-BR"/>
        </w:rPr>
        <w:t xml:space="preserve"> </w:t>
      </w:r>
      <w:r w:rsidR="00E7595C" w:rsidRPr="002F50BD">
        <w:rPr>
          <w:rFonts w:ascii="Verdana" w:hAnsi="Verdana"/>
          <w:sz w:val="20"/>
          <w:lang w:val="pt-BR"/>
        </w:rPr>
        <w:t>assentad</w:t>
      </w:r>
      <w:r w:rsidR="004756C1" w:rsidRPr="002F50BD">
        <w:rPr>
          <w:rFonts w:ascii="Verdana" w:hAnsi="Verdana"/>
          <w:sz w:val="20"/>
          <w:lang w:val="pt-BR"/>
        </w:rPr>
        <w:t>as</w:t>
      </w:r>
      <w:r w:rsidR="0089298C" w:rsidRPr="002F50BD">
        <w:rPr>
          <w:rFonts w:ascii="Verdana" w:hAnsi="Verdana"/>
          <w:sz w:val="20"/>
          <w:lang w:val="pt-BR"/>
        </w:rPr>
        <w:t xml:space="preserve"> um </w:t>
      </w:r>
      <w:r w:rsidR="004756C1" w:rsidRPr="002F50BD">
        <w:rPr>
          <w:rFonts w:ascii="Verdana" w:hAnsi="Verdana"/>
          <w:sz w:val="20"/>
          <w:lang w:val="pt-BR"/>
        </w:rPr>
        <w:t xml:space="preserve">número que oscila entre </w:t>
      </w:r>
      <w:r w:rsidRPr="002F50BD">
        <w:rPr>
          <w:rFonts w:ascii="Verdana" w:hAnsi="Verdana"/>
          <w:sz w:val="20"/>
          <w:lang w:val="pt-BR"/>
        </w:rPr>
        <w:t>28</w:t>
      </w:r>
      <w:r w:rsidR="004756C1" w:rsidRPr="002F50BD">
        <w:rPr>
          <w:rFonts w:ascii="Verdana" w:hAnsi="Verdana"/>
          <w:sz w:val="20"/>
          <w:lang w:val="pt-BR"/>
        </w:rPr>
        <w:t xml:space="preserve"> a </w:t>
      </w:r>
      <w:r w:rsidRPr="002F50BD">
        <w:rPr>
          <w:rFonts w:ascii="Verdana" w:hAnsi="Verdana"/>
          <w:sz w:val="20"/>
          <w:lang w:val="pt-BR"/>
        </w:rPr>
        <w:t>57</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w:t>
      </w:r>
      <w:r w:rsidR="00F8611F" w:rsidRPr="002F50BD">
        <w:rPr>
          <w:rFonts w:ascii="Verdana" w:hAnsi="Verdana"/>
          <w:sz w:val="20"/>
          <w:lang w:val="pt-BR"/>
        </w:rPr>
        <w:t>.</w:t>
      </w:r>
      <w:r w:rsidR="004756C1" w:rsidRPr="002F50BD">
        <w:rPr>
          <w:rStyle w:val="FootnoteReference"/>
          <w:rFonts w:ascii="Verdana" w:hAnsi="Verdana"/>
        </w:rPr>
        <w:footnoteReference w:id="28"/>
      </w:r>
      <w:r w:rsidR="00AB454A" w:rsidRPr="002F50BD">
        <w:rPr>
          <w:rFonts w:ascii="Verdana" w:hAnsi="Verdana"/>
          <w:sz w:val="20"/>
          <w:lang w:val="pt-BR"/>
        </w:rPr>
        <w:t xml:space="preserve"> O </w:t>
      </w:r>
      <w:r w:rsidR="004756C1" w:rsidRPr="002F50BD">
        <w:rPr>
          <w:rFonts w:ascii="Verdana" w:hAnsi="Verdana"/>
          <w:sz w:val="20"/>
          <w:lang w:val="pt-BR"/>
        </w:rPr>
        <w:t xml:space="preserve">grupo restante de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permanecem nas </w:t>
      </w:r>
      <w:r w:rsidR="00EC5F20" w:rsidRPr="002F50BD">
        <w:rPr>
          <w:rFonts w:ascii="Verdana" w:hAnsi="Verdana"/>
          <w:sz w:val="20"/>
          <w:lang w:val="pt-BR"/>
        </w:rPr>
        <w:t>fazendas</w:t>
      </w:r>
      <w:r w:rsidR="004756C1" w:rsidRPr="002F50BD">
        <w:rPr>
          <w:rFonts w:ascii="Verdana" w:hAnsi="Verdana"/>
          <w:sz w:val="20"/>
          <w:lang w:val="pt-BR"/>
        </w:rPr>
        <w:t xml:space="preserve"> </w:t>
      </w:r>
      <w:r w:rsidRPr="003F3630">
        <w:rPr>
          <w:rFonts w:ascii="Verdana" w:hAnsi="Verdana"/>
          <w:i/>
          <w:sz w:val="20"/>
          <w:lang w:val="pt-BR"/>
        </w:rPr>
        <w:t>20</w:t>
      </w:r>
      <w:r w:rsidR="00F8611F" w:rsidRPr="002F50BD">
        <w:rPr>
          <w:rFonts w:ascii="Verdana" w:hAnsi="Verdana"/>
          <w:i/>
          <w:sz w:val="20"/>
          <w:lang w:val="pt-BR"/>
        </w:rPr>
        <w:t xml:space="preserve"> de Enero, Alegre, Karanda, San Carlos, Para Todo´i, La Madrina</w:t>
      </w:r>
      <w:r w:rsidR="00F8611F" w:rsidRPr="002F50BD">
        <w:rPr>
          <w:rFonts w:ascii="Verdana" w:hAnsi="Verdana"/>
          <w:sz w:val="20"/>
          <w:lang w:val="pt-BR"/>
        </w:rPr>
        <w:t xml:space="preserve"> e </w:t>
      </w:r>
      <w:r w:rsidR="00F8611F" w:rsidRPr="002F50BD">
        <w:rPr>
          <w:rFonts w:ascii="Verdana" w:hAnsi="Verdana"/>
          <w:i/>
          <w:sz w:val="20"/>
          <w:lang w:val="pt-BR"/>
        </w:rPr>
        <w:t>Santa Fe de la Estancia El Estribo</w:t>
      </w:r>
      <w:r w:rsidR="00F8611F" w:rsidRPr="002F50BD">
        <w:rPr>
          <w:rFonts w:ascii="Verdana" w:hAnsi="Verdana"/>
          <w:sz w:val="20"/>
          <w:lang w:val="pt-BR"/>
        </w:rPr>
        <w:t xml:space="preserve"> </w:t>
      </w:r>
      <w:r w:rsidR="004756C1" w:rsidRPr="002F50BD">
        <w:rPr>
          <w:rFonts w:ascii="Verdana" w:hAnsi="Verdana"/>
          <w:sz w:val="20"/>
          <w:lang w:val="pt-BR"/>
        </w:rPr>
        <w:t>o</w:t>
      </w:r>
      <w:r w:rsidR="00F8611F" w:rsidRPr="002F50BD">
        <w:rPr>
          <w:rFonts w:ascii="Verdana" w:hAnsi="Verdana"/>
          <w:sz w:val="20"/>
          <w:lang w:val="pt-BR"/>
        </w:rPr>
        <w:t>u</w:t>
      </w:r>
      <w:r w:rsidR="004756C1" w:rsidRPr="002F50BD">
        <w:rPr>
          <w:rFonts w:ascii="Verdana" w:hAnsi="Verdana"/>
          <w:sz w:val="20"/>
          <w:lang w:val="pt-BR"/>
        </w:rPr>
        <w:t xml:space="preserve"> dispersas</w:t>
      </w:r>
      <w:r w:rsidR="0089298C" w:rsidRPr="002F50BD">
        <w:rPr>
          <w:rFonts w:ascii="Verdana" w:hAnsi="Verdana"/>
          <w:sz w:val="20"/>
          <w:lang w:val="pt-BR"/>
        </w:rPr>
        <w:t xml:space="preserve"> em outra</w:t>
      </w:r>
      <w:r w:rsidR="004756C1" w:rsidRPr="002F50BD">
        <w:rPr>
          <w:rFonts w:ascii="Verdana" w:hAnsi="Verdana"/>
          <w:sz w:val="20"/>
          <w:lang w:val="pt-BR"/>
        </w:rPr>
        <w:t xml:space="preserve">s </w:t>
      </w:r>
      <w:r w:rsidR="00060B3A" w:rsidRPr="002F50BD">
        <w:rPr>
          <w:rFonts w:ascii="Verdana" w:hAnsi="Verdana"/>
          <w:sz w:val="20"/>
          <w:lang w:val="pt-BR"/>
        </w:rPr>
        <w:t xml:space="preserve">fazendas </w:t>
      </w:r>
      <w:r w:rsidR="0089298C" w:rsidRPr="002F50BD">
        <w:rPr>
          <w:rFonts w:ascii="Verdana" w:hAnsi="Verdana"/>
          <w:sz w:val="20"/>
          <w:lang w:val="pt-BR"/>
        </w:rPr>
        <w:t xml:space="preserve">do </w:t>
      </w:r>
      <w:r w:rsidR="004756C1" w:rsidRPr="002F50BD">
        <w:rPr>
          <w:rFonts w:ascii="Verdana" w:hAnsi="Verdana"/>
          <w:sz w:val="20"/>
          <w:lang w:val="pt-BR"/>
        </w:rPr>
        <w:t>Departamento Presidente Hayes</w:t>
      </w:r>
      <w:r w:rsidR="0089298C" w:rsidRPr="002F50BD">
        <w:rPr>
          <w:rFonts w:ascii="Verdana" w:hAnsi="Verdana"/>
          <w:sz w:val="20"/>
          <w:lang w:val="pt-BR"/>
        </w:rPr>
        <w:t xml:space="preserve"> no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o,</w:t>
      </w:r>
      <w:r w:rsidR="0089298C" w:rsidRPr="002F50BD">
        <w:rPr>
          <w:rFonts w:ascii="Verdana" w:hAnsi="Verdana"/>
          <w:sz w:val="20"/>
          <w:lang w:val="pt-BR"/>
        </w:rPr>
        <w:t xml:space="preserve"> tais </w:t>
      </w:r>
      <w:r w:rsidR="004756C1" w:rsidRPr="002F50BD">
        <w:rPr>
          <w:rFonts w:ascii="Verdana" w:hAnsi="Verdana"/>
          <w:sz w:val="20"/>
          <w:lang w:val="pt-BR"/>
        </w:rPr>
        <w:t xml:space="preserve">como </w:t>
      </w:r>
      <w:r w:rsidR="004756C1" w:rsidRPr="002F50BD">
        <w:rPr>
          <w:rFonts w:ascii="Verdana" w:hAnsi="Verdana"/>
          <w:i/>
          <w:sz w:val="20"/>
          <w:lang w:val="pt-BR"/>
        </w:rPr>
        <w:t xml:space="preserve">Makxlawaya, Naranjito, Espinillo, </w:t>
      </w:r>
      <w:r w:rsidR="00313394" w:rsidRPr="002F50BD">
        <w:rPr>
          <w:rFonts w:ascii="Verdana" w:hAnsi="Verdana"/>
          <w:i/>
          <w:sz w:val="20"/>
          <w:lang w:val="pt-BR"/>
        </w:rPr>
        <w:t>Concepción</w:t>
      </w:r>
      <w:r w:rsidR="004756C1" w:rsidRPr="002F50BD">
        <w:rPr>
          <w:rFonts w:ascii="Verdana" w:hAnsi="Verdana"/>
          <w:i/>
          <w:sz w:val="20"/>
          <w:lang w:val="pt-BR"/>
        </w:rPr>
        <w:t>,</w:t>
      </w:r>
      <w:r w:rsidR="0089298C" w:rsidRPr="002F50BD">
        <w:rPr>
          <w:rFonts w:ascii="Verdana" w:hAnsi="Verdana"/>
          <w:i/>
          <w:sz w:val="20"/>
          <w:lang w:val="pt-BR"/>
        </w:rPr>
        <w:t xml:space="preserve"> </w:t>
      </w:r>
      <w:r w:rsidR="00F8611F" w:rsidRPr="002F50BD">
        <w:rPr>
          <w:rFonts w:ascii="Verdana" w:hAnsi="Verdana"/>
          <w:i/>
          <w:sz w:val="20"/>
          <w:lang w:val="pt-BR"/>
        </w:rPr>
        <w:t>L</w:t>
      </w:r>
      <w:r w:rsidR="0089298C" w:rsidRPr="002F50BD">
        <w:rPr>
          <w:rFonts w:ascii="Verdana" w:hAnsi="Verdana"/>
          <w:i/>
          <w:sz w:val="20"/>
          <w:lang w:val="pt-BR"/>
        </w:rPr>
        <w:t xml:space="preserve">a </w:t>
      </w:r>
      <w:r w:rsidR="004756C1" w:rsidRPr="002F50BD">
        <w:rPr>
          <w:rFonts w:ascii="Verdana" w:hAnsi="Verdana"/>
          <w:i/>
          <w:sz w:val="20"/>
          <w:lang w:val="pt-BR"/>
        </w:rPr>
        <w:t xml:space="preserve">Palma-Loma Plata, </w:t>
      </w:r>
      <w:r w:rsidR="0089298C" w:rsidRPr="002F50BD">
        <w:rPr>
          <w:rFonts w:ascii="Verdana" w:hAnsi="Verdana"/>
          <w:i/>
          <w:sz w:val="20"/>
          <w:lang w:val="pt-BR"/>
        </w:rPr>
        <w:t>N</w:t>
      </w:r>
      <w:r w:rsidR="00F8611F" w:rsidRPr="002F50BD">
        <w:rPr>
          <w:rFonts w:ascii="Verdana" w:hAnsi="Verdana"/>
          <w:i/>
          <w:sz w:val="20"/>
          <w:lang w:val="pt-BR"/>
        </w:rPr>
        <w:t>ue</w:t>
      </w:r>
      <w:r w:rsidR="0089298C" w:rsidRPr="002F50BD">
        <w:rPr>
          <w:rFonts w:ascii="Verdana" w:hAnsi="Verdana"/>
          <w:i/>
          <w:sz w:val="20"/>
          <w:lang w:val="pt-BR"/>
        </w:rPr>
        <w:t>va</w:t>
      </w:r>
      <w:r w:rsidR="004756C1" w:rsidRPr="002F50BD">
        <w:rPr>
          <w:rFonts w:ascii="Verdana" w:hAnsi="Verdana"/>
          <w:i/>
          <w:sz w:val="20"/>
          <w:lang w:val="pt-BR"/>
        </w:rPr>
        <w:t xml:space="preserve"> Vida, Para Todo, Campo Largo, Lolita, Santa Ana,</w:t>
      </w:r>
      <w:r w:rsidR="0089298C" w:rsidRPr="002F50BD">
        <w:rPr>
          <w:rFonts w:ascii="Verdana" w:hAnsi="Verdana"/>
          <w:i/>
          <w:sz w:val="20"/>
          <w:lang w:val="pt-BR"/>
        </w:rPr>
        <w:t xml:space="preserve"> </w:t>
      </w:r>
      <w:r w:rsidR="00F8611F" w:rsidRPr="002F50BD">
        <w:rPr>
          <w:rFonts w:ascii="Verdana" w:hAnsi="Verdana"/>
          <w:i/>
          <w:sz w:val="20"/>
          <w:lang w:val="pt-BR"/>
        </w:rPr>
        <w:t>L</w:t>
      </w:r>
      <w:r w:rsidR="0089298C" w:rsidRPr="002F50BD">
        <w:rPr>
          <w:rFonts w:ascii="Verdana" w:hAnsi="Verdana"/>
          <w:i/>
          <w:sz w:val="20"/>
          <w:lang w:val="pt-BR"/>
        </w:rPr>
        <w:t xml:space="preserve">a </w:t>
      </w:r>
      <w:r w:rsidR="004756C1" w:rsidRPr="002F50BD">
        <w:rPr>
          <w:rFonts w:ascii="Verdana" w:hAnsi="Verdana"/>
          <w:i/>
          <w:sz w:val="20"/>
          <w:lang w:val="pt-BR"/>
        </w:rPr>
        <w:t xml:space="preserve">Victoria, Paz </w:t>
      </w:r>
      <w:r w:rsidR="0089298C" w:rsidRPr="002F50BD">
        <w:rPr>
          <w:rFonts w:ascii="Verdana" w:hAnsi="Verdana"/>
          <w:i/>
          <w:sz w:val="20"/>
          <w:lang w:val="pt-BR"/>
        </w:rPr>
        <w:t>d</w:t>
      </w:r>
      <w:r w:rsidR="00F8611F" w:rsidRPr="002F50BD">
        <w:rPr>
          <w:rFonts w:ascii="Verdana" w:hAnsi="Verdana"/>
          <w:i/>
          <w:sz w:val="20"/>
          <w:lang w:val="pt-BR"/>
        </w:rPr>
        <w:t>el</w:t>
      </w:r>
      <w:r w:rsidR="0089298C" w:rsidRPr="002F50BD">
        <w:rPr>
          <w:rFonts w:ascii="Verdana" w:hAnsi="Verdana"/>
          <w:i/>
          <w:sz w:val="20"/>
          <w:lang w:val="pt-BR"/>
        </w:rPr>
        <w:t xml:space="preserve"> </w:t>
      </w:r>
      <w:r w:rsidR="004756C1" w:rsidRPr="002F50BD">
        <w:rPr>
          <w:rFonts w:ascii="Verdana" w:hAnsi="Verdana"/>
          <w:i/>
          <w:sz w:val="20"/>
          <w:lang w:val="pt-BR"/>
        </w:rPr>
        <w:t>Chaco</w:t>
      </w:r>
      <w:r w:rsidR="004756C1" w:rsidRPr="002F50BD">
        <w:rPr>
          <w:rFonts w:ascii="Verdana" w:hAnsi="Verdana"/>
          <w:sz w:val="20"/>
          <w:lang w:val="pt-BR"/>
        </w:rPr>
        <w:t xml:space="preserve">, entre </w:t>
      </w:r>
      <w:r w:rsidR="0089298C" w:rsidRPr="002F50BD">
        <w:rPr>
          <w:rFonts w:ascii="Verdana" w:hAnsi="Verdana"/>
          <w:sz w:val="20"/>
          <w:lang w:val="pt-BR"/>
        </w:rPr>
        <w:t>outra</w:t>
      </w:r>
      <w:r w:rsidR="004756C1" w:rsidRPr="002F50BD">
        <w:rPr>
          <w:rFonts w:ascii="Verdana" w:hAnsi="Verdana"/>
          <w:sz w:val="20"/>
          <w:lang w:val="pt-BR"/>
        </w:rPr>
        <w:t>s</w:t>
      </w:r>
      <w:r w:rsidR="00F8611F" w:rsidRPr="002F50BD">
        <w:rPr>
          <w:rFonts w:ascii="Verdana" w:hAnsi="Verdana"/>
          <w:sz w:val="20"/>
          <w:lang w:val="pt-BR"/>
        </w:rPr>
        <w:t>.</w:t>
      </w:r>
      <w:r w:rsidR="004756C1" w:rsidRPr="002F50BD">
        <w:rPr>
          <w:rStyle w:val="FootnoteReference"/>
          <w:rFonts w:ascii="Verdana" w:hAnsi="Verdana"/>
        </w:rPr>
        <w:footnoteReference w:id="29"/>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CD3DEB" w:rsidRPr="002F50BD">
        <w:rPr>
          <w:rFonts w:ascii="Verdana" w:hAnsi="Verdana"/>
          <w:sz w:val="20"/>
          <w:lang w:val="pt-BR"/>
        </w:rPr>
        <w:t>língua</w:t>
      </w:r>
      <w:r w:rsidR="004756C1" w:rsidRPr="002F50BD">
        <w:rPr>
          <w:rFonts w:ascii="Verdana" w:hAnsi="Verdana"/>
          <w:sz w:val="20"/>
          <w:lang w:val="pt-BR"/>
        </w:rPr>
        <w:t xml:space="preserve"> materna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é o </w:t>
      </w:r>
      <w:r w:rsidR="004756C1" w:rsidRPr="002F50BD">
        <w:rPr>
          <w:rFonts w:ascii="Verdana" w:hAnsi="Verdana"/>
          <w:sz w:val="20"/>
          <w:lang w:val="pt-BR"/>
        </w:rPr>
        <w:t>enxet sur.</w:t>
      </w:r>
      <w:r w:rsidR="00FE08B7">
        <w:rPr>
          <w:rFonts w:ascii="Verdana" w:hAnsi="Verdana"/>
          <w:sz w:val="20"/>
          <w:lang w:val="pt-BR"/>
        </w:rPr>
        <w:t xml:space="preserve"> </w:t>
      </w:r>
      <w:r w:rsidR="00F8611F" w:rsidRPr="002F50BD">
        <w:rPr>
          <w:rFonts w:ascii="Verdana" w:hAnsi="Verdana"/>
          <w:sz w:val="20"/>
          <w:lang w:val="pt-BR"/>
        </w:rPr>
        <w:t>Além disso</w:t>
      </w:r>
      <w:r w:rsidR="004756C1" w:rsidRPr="002F50BD">
        <w:rPr>
          <w:rFonts w:ascii="Verdana" w:hAnsi="Verdana"/>
          <w:sz w:val="20"/>
          <w:lang w:val="pt-BR"/>
        </w:rPr>
        <w:t xml:space="preserve">, </w:t>
      </w:r>
      <w:r w:rsidR="0089298C" w:rsidRPr="002F50BD">
        <w:rPr>
          <w:rFonts w:ascii="Verdana" w:hAnsi="Verdana"/>
          <w:sz w:val="20"/>
          <w:lang w:val="pt-BR"/>
        </w:rPr>
        <w:t xml:space="preserve">alguns </w:t>
      </w:r>
      <w:r w:rsidR="005A6BC7" w:rsidRPr="002F50BD">
        <w:rPr>
          <w:rFonts w:ascii="Verdana" w:hAnsi="Verdana"/>
          <w:sz w:val="20"/>
          <w:lang w:val="pt-BR"/>
        </w:rPr>
        <w:t>falam</w:t>
      </w:r>
      <w:r w:rsidR="004756C1" w:rsidRPr="002F50BD">
        <w:rPr>
          <w:rFonts w:ascii="Verdana" w:hAnsi="Verdana"/>
          <w:sz w:val="20"/>
          <w:lang w:val="pt-BR"/>
        </w:rPr>
        <w:t xml:space="preserve"> </w:t>
      </w:r>
      <w:r w:rsidR="005A6BC7" w:rsidRPr="002F50BD">
        <w:rPr>
          <w:rFonts w:ascii="Verdana" w:hAnsi="Verdana"/>
          <w:sz w:val="20"/>
          <w:lang w:val="pt-BR"/>
        </w:rPr>
        <w:t>guarani</w:t>
      </w:r>
      <w:r w:rsidR="004756C1" w:rsidRPr="002F50BD">
        <w:rPr>
          <w:rFonts w:ascii="Verdana" w:hAnsi="Verdana"/>
          <w:sz w:val="20"/>
          <w:lang w:val="pt-BR"/>
        </w:rPr>
        <w:t xml:space="preserve">, </w:t>
      </w:r>
      <w:r w:rsidR="005A6BC7" w:rsidRPr="002F50BD">
        <w:rPr>
          <w:rFonts w:ascii="Verdana" w:hAnsi="Verdana"/>
          <w:sz w:val="20"/>
          <w:lang w:val="pt-BR"/>
        </w:rPr>
        <w:t>guarani</w:t>
      </w:r>
      <w:r w:rsidR="004756C1" w:rsidRPr="002F50BD">
        <w:rPr>
          <w:rFonts w:ascii="Verdana" w:hAnsi="Verdana"/>
          <w:sz w:val="20"/>
          <w:lang w:val="pt-BR"/>
        </w:rPr>
        <w:t xml:space="preserve"> ocidental</w:t>
      </w:r>
      <w:r w:rsidR="0089298C" w:rsidRPr="002F50BD">
        <w:rPr>
          <w:rFonts w:ascii="Verdana" w:hAnsi="Verdana"/>
          <w:sz w:val="20"/>
          <w:lang w:val="pt-BR"/>
        </w:rPr>
        <w:t xml:space="preserve"> e </w:t>
      </w:r>
      <w:r w:rsidR="005A6BC7" w:rsidRPr="002F50BD">
        <w:rPr>
          <w:rFonts w:ascii="Verdana" w:hAnsi="Verdana"/>
          <w:sz w:val="20"/>
          <w:lang w:val="pt-BR"/>
        </w:rPr>
        <w:t>castelhano</w:t>
      </w:r>
      <w:r w:rsidR="00F8611F" w:rsidRPr="002F50BD">
        <w:rPr>
          <w:rFonts w:ascii="Verdana" w:hAnsi="Verdana"/>
          <w:sz w:val="20"/>
          <w:lang w:val="pt-BR"/>
        </w:rPr>
        <w:t>.</w:t>
      </w:r>
      <w:r w:rsidR="004756C1" w:rsidRPr="002F50BD">
        <w:rPr>
          <w:rStyle w:val="FootnoteReference"/>
          <w:rFonts w:ascii="Verdana" w:hAnsi="Verdana"/>
        </w:rPr>
        <w:footnoteReference w:id="30"/>
      </w:r>
      <w:r w:rsidR="004756C1" w:rsidRPr="002F50BD">
        <w:rPr>
          <w:rFonts w:ascii="Verdana" w:hAnsi="Verdana"/>
          <w:sz w:val="20"/>
          <w:lang w:val="pt-BR"/>
        </w:rPr>
        <w:t xml:space="preserve"> </w:t>
      </w:r>
    </w:p>
    <w:p w:rsidR="004756C1" w:rsidRPr="002F50BD" w:rsidRDefault="004756C1">
      <w:pPr>
        <w:jc w:val="both"/>
        <w:rPr>
          <w:rFonts w:ascii="Verdana" w:hAnsi="Verdana"/>
          <w:b/>
          <w:sz w:val="20"/>
          <w:lang w:val="pt-BR"/>
        </w:rPr>
      </w:pPr>
    </w:p>
    <w:p w:rsidR="004756C1" w:rsidRPr="002F50BD" w:rsidRDefault="004756C1">
      <w:pPr>
        <w:ind w:left="720"/>
        <w:jc w:val="both"/>
        <w:rPr>
          <w:rFonts w:ascii="Verdana" w:hAnsi="Verdana"/>
          <w:sz w:val="20"/>
          <w:lang w:val="pt-BR"/>
        </w:rPr>
      </w:pPr>
      <w:r w:rsidRPr="002F50BD">
        <w:rPr>
          <w:rFonts w:ascii="Verdana" w:hAnsi="Verdana"/>
          <w:sz w:val="20"/>
          <w:lang w:val="pt-BR"/>
        </w:rPr>
        <w:t>ii.</w:t>
      </w:r>
      <w:r w:rsidRPr="002F50BD">
        <w:rPr>
          <w:rFonts w:ascii="Verdana" w:hAnsi="Verdana"/>
          <w:sz w:val="20"/>
          <w:lang w:val="pt-BR"/>
        </w:rPr>
        <w:tab/>
      </w:r>
      <w:r w:rsidR="0089298C" w:rsidRPr="002F50BD">
        <w:rPr>
          <w:rFonts w:ascii="Verdana" w:hAnsi="Verdana"/>
          <w:sz w:val="20"/>
          <w:lang w:val="pt-BR"/>
        </w:rPr>
        <w:t xml:space="preserve">História da </w:t>
      </w:r>
      <w:r w:rsidRPr="002F50BD">
        <w:rPr>
          <w:rFonts w:ascii="Verdana" w:hAnsi="Verdana"/>
          <w:sz w:val="20"/>
          <w:lang w:val="pt-BR"/>
        </w:rPr>
        <w:t>ocupa</w:t>
      </w:r>
      <w:r w:rsidR="0089298C" w:rsidRPr="002F50BD">
        <w:rPr>
          <w:rFonts w:ascii="Verdana" w:hAnsi="Verdana"/>
          <w:sz w:val="20"/>
          <w:lang w:val="pt-BR"/>
        </w:rPr>
        <w:t>ção</w:t>
      </w:r>
      <w:r w:rsidRPr="002F50BD">
        <w:rPr>
          <w:rFonts w:ascii="Verdana" w:hAnsi="Verdana"/>
          <w:sz w:val="20"/>
          <w:lang w:val="pt-BR"/>
        </w:rPr>
        <w:t xml:space="preserve"> n</w:t>
      </w:r>
      <w:r w:rsidR="00F8611F" w:rsidRPr="002F50BD">
        <w:rPr>
          <w:rFonts w:ascii="Verdana" w:hAnsi="Verdana"/>
          <w:sz w:val="20"/>
          <w:lang w:val="pt-BR"/>
        </w:rPr>
        <w:t>ã</w:t>
      </w:r>
      <w:r w:rsidRPr="002F50BD">
        <w:rPr>
          <w:rFonts w:ascii="Verdana" w:hAnsi="Verdana"/>
          <w:sz w:val="20"/>
          <w:lang w:val="pt-BR"/>
        </w:rPr>
        <w:t xml:space="preserve">o indígena </w:t>
      </w:r>
      <w:r w:rsidR="0089298C" w:rsidRPr="002F50BD">
        <w:rPr>
          <w:rFonts w:ascii="Verdana" w:hAnsi="Verdana"/>
          <w:sz w:val="20"/>
          <w:lang w:val="pt-BR"/>
        </w:rPr>
        <w:t>do território</w:t>
      </w:r>
      <w:r w:rsidRPr="002F50BD">
        <w:rPr>
          <w:rFonts w:ascii="Verdana" w:hAnsi="Verdana"/>
          <w:sz w:val="20"/>
          <w:lang w:val="pt-BR"/>
        </w:rPr>
        <w:t xml:space="preserve"> </w:t>
      </w:r>
      <w:r w:rsidR="001224CE" w:rsidRPr="002F50BD">
        <w:rPr>
          <w:rFonts w:ascii="Verdana" w:hAnsi="Verdana"/>
          <w:sz w:val="20"/>
          <w:lang w:val="pt-BR"/>
        </w:rPr>
        <w:t xml:space="preserve">reivindicado </w:t>
      </w:r>
      <w:r w:rsidR="0089298C" w:rsidRPr="002F50BD">
        <w:rPr>
          <w:rFonts w:ascii="Verdana" w:hAnsi="Verdana"/>
          <w:sz w:val="20"/>
          <w:lang w:val="pt-BR"/>
        </w:rPr>
        <w:t xml:space="preserve">pela Comunidade </w:t>
      </w:r>
      <w:r w:rsidRPr="002F50BD">
        <w:rPr>
          <w:rFonts w:ascii="Verdana" w:hAnsi="Verdana"/>
          <w:sz w:val="20"/>
          <w:lang w:val="pt-BR"/>
        </w:rPr>
        <w:t>Yakye Axa</w:t>
      </w:r>
    </w:p>
    <w:p w:rsidR="004756C1" w:rsidRPr="002F50BD" w:rsidRDefault="004756C1">
      <w:pPr>
        <w:jc w:val="both"/>
        <w:rPr>
          <w:rFonts w:ascii="Verdana" w:hAnsi="Verdana"/>
          <w:b/>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w:t>
      </w:r>
      <w:r w:rsidR="004756C1" w:rsidRPr="002F50BD">
        <w:rPr>
          <w:rFonts w:ascii="Verdana" w:hAnsi="Verdana"/>
          <w:sz w:val="20"/>
          <w:lang w:val="pt-BR"/>
        </w:rPr>
        <w:t>.</w:t>
      </w:r>
      <w:r w:rsidR="004756C1" w:rsidRPr="002F50BD">
        <w:rPr>
          <w:rFonts w:ascii="Verdana" w:hAnsi="Verdana"/>
          <w:sz w:val="20"/>
          <w:lang w:val="pt-BR"/>
        </w:rPr>
        <w:tab/>
      </w:r>
      <w:r w:rsidR="00F8611F" w:rsidRPr="002F50BD">
        <w:rPr>
          <w:rFonts w:ascii="Verdana" w:hAnsi="Verdana"/>
          <w:sz w:val="20"/>
          <w:lang w:val="pt-BR"/>
        </w:rPr>
        <w:t xml:space="preserve">Ao final </w:t>
      </w:r>
      <w:r w:rsidR="0089298C" w:rsidRPr="002F50BD">
        <w:rPr>
          <w:rFonts w:ascii="Verdana" w:hAnsi="Verdana"/>
          <w:sz w:val="20"/>
          <w:lang w:val="pt-BR"/>
        </w:rPr>
        <w:t xml:space="preserve">do século </w:t>
      </w:r>
      <w:r w:rsidR="004756C1" w:rsidRPr="002F50BD">
        <w:rPr>
          <w:rFonts w:ascii="Verdana" w:hAnsi="Verdana"/>
          <w:sz w:val="20"/>
          <w:lang w:val="pt-BR"/>
        </w:rPr>
        <w:t>XIX</w:t>
      </w:r>
      <w:r w:rsidR="00F8611F" w:rsidRPr="002F50BD">
        <w:rPr>
          <w:rFonts w:ascii="Verdana" w:hAnsi="Verdana"/>
          <w:sz w:val="20"/>
          <w:lang w:val="pt-BR"/>
        </w:rPr>
        <w:t>,</w:t>
      </w:r>
      <w:r w:rsidR="004756C1" w:rsidRPr="002F50BD">
        <w:rPr>
          <w:rFonts w:ascii="Verdana" w:hAnsi="Verdana"/>
          <w:sz w:val="20"/>
          <w:lang w:val="pt-BR"/>
        </w:rPr>
        <w:t xml:space="preserve"> grandes ex</w:t>
      </w:r>
      <w:r w:rsidR="0089298C" w:rsidRPr="002F50BD">
        <w:rPr>
          <w:rFonts w:ascii="Verdana" w:hAnsi="Verdana"/>
          <w:sz w:val="20"/>
          <w:lang w:val="pt-BR"/>
        </w:rPr>
        <w:t>tensões</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foram</w:t>
      </w:r>
      <w:r w:rsidR="004756C1" w:rsidRPr="002F50BD">
        <w:rPr>
          <w:rFonts w:ascii="Verdana" w:hAnsi="Verdana"/>
          <w:sz w:val="20"/>
          <w:lang w:val="pt-BR"/>
        </w:rPr>
        <w:t xml:space="preserve"> vendidas</w:t>
      </w:r>
      <w:r w:rsidR="0089298C" w:rsidRPr="002F50BD">
        <w:rPr>
          <w:rFonts w:ascii="Verdana" w:hAnsi="Verdana"/>
          <w:sz w:val="20"/>
          <w:lang w:val="pt-BR"/>
        </w:rPr>
        <w:t xml:space="preserve"> através da </w:t>
      </w:r>
      <w:r w:rsidR="004756C1" w:rsidRPr="002F50BD">
        <w:rPr>
          <w:rFonts w:ascii="Verdana" w:hAnsi="Verdana"/>
          <w:sz w:val="20"/>
          <w:lang w:val="pt-BR"/>
        </w:rPr>
        <w:t>bolsa de valores de Londres</w:t>
      </w:r>
      <w:r w:rsidR="00475EBB" w:rsidRPr="002F50BD">
        <w:rPr>
          <w:rFonts w:ascii="Verdana" w:hAnsi="Verdana"/>
          <w:sz w:val="20"/>
          <w:lang w:val="pt-BR"/>
        </w:rPr>
        <w:t>. Ness</w:t>
      </w:r>
      <w:r w:rsidR="00FB33DD" w:rsidRPr="002F50BD">
        <w:rPr>
          <w:rFonts w:ascii="Verdana" w:hAnsi="Verdana"/>
          <w:sz w:val="20"/>
          <w:lang w:val="pt-BR"/>
        </w:rPr>
        <w:t>a</w:t>
      </w:r>
      <w:r w:rsidR="0089298C" w:rsidRPr="002F50BD">
        <w:rPr>
          <w:rFonts w:ascii="Verdana" w:hAnsi="Verdana"/>
          <w:sz w:val="20"/>
          <w:lang w:val="pt-BR"/>
        </w:rPr>
        <w:t xml:space="preserve"> mesm</w:t>
      </w:r>
      <w:r w:rsidR="004756C1" w:rsidRPr="002F50BD">
        <w:rPr>
          <w:rFonts w:ascii="Verdana" w:hAnsi="Verdana"/>
          <w:sz w:val="20"/>
          <w:lang w:val="pt-BR"/>
        </w:rPr>
        <w:t xml:space="preserve">a </w:t>
      </w:r>
      <w:r w:rsidR="0089298C" w:rsidRPr="002F50BD">
        <w:rPr>
          <w:rFonts w:ascii="Verdana" w:hAnsi="Verdana"/>
          <w:sz w:val="20"/>
          <w:lang w:val="pt-BR"/>
        </w:rPr>
        <w:t xml:space="preserve">época e </w:t>
      </w:r>
      <w:r w:rsidR="004756C1" w:rsidRPr="002F50BD">
        <w:rPr>
          <w:rFonts w:ascii="Verdana" w:hAnsi="Verdana"/>
          <w:sz w:val="20"/>
          <w:lang w:val="pt-BR"/>
        </w:rPr>
        <w:t xml:space="preserve">como </w:t>
      </w:r>
      <w:r w:rsidR="0089298C" w:rsidRPr="002F50BD">
        <w:rPr>
          <w:rFonts w:ascii="Verdana" w:hAnsi="Verdana"/>
          <w:sz w:val="20"/>
          <w:lang w:val="pt-BR"/>
        </w:rPr>
        <w:t xml:space="preserve">consequência da </w:t>
      </w:r>
      <w:r w:rsidR="00367FD1" w:rsidRPr="002F50BD">
        <w:rPr>
          <w:rFonts w:ascii="Verdana" w:hAnsi="Verdana"/>
          <w:sz w:val="20"/>
          <w:lang w:val="pt-BR"/>
        </w:rPr>
        <w:t>aquisição</w:t>
      </w:r>
      <w:r w:rsidR="004756C1" w:rsidRPr="002F50BD">
        <w:rPr>
          <w:rFonts w:ascii="Verdana" w:hAnsi="Verdana"/>
          <w:sz w:val="20"/>
          <w:lang w:val="pt-BR"/>
        </w:rPr>
        <w:t xml:space="preserve"> </w:t>
      </w:r>
      <w:r w:rsidR="0089298C" w:rsidRPr="002F50BD">
        <w:rPr>
          <w:rFonts w:ascii="Verdana" w:hAnsi="Verdana"/>
          <w:sz w:val="20"/>
          <w:lang w:val="pt-BR"/>
        </w:rPr>
        <w:t>desta</w:t>
      </w:r>
      <w:r w:rsidR="004756C1" w:rsidRPr="002F50BD">
        <w:rPr>
          <w:rFonts w:ascii="Verdana" w:hAnsi="Verdana"/>
          <w:sz w:val="20"/>
          <w:lang w:val="pt-BR"/>
        </w:rPr>
        <w:t xml:space="preserve">s </w:t>
      </w:r>
      <w:r w:rsidR="0089298C" w:rsidRPr="002F50BD">
        <w:rPr>
          <w:rFonts w:ascii="Verdana" w:hAnsi="Verdana"/>
          <w:sz w:val="20"/>
          <w:lang w:val="pt-BR"/>
        </w:rPr>
        <w:t>terra</w:t>
      </w:r>
      <w:r w:rsidR="004756C1" w:rsidRPr="002F50BD">
        <w:rPr>
          <w:rFonts w:ascii="Verdana" w:hAnsi="Verdana"/>
          <w:sz w:val="20"/>
          <w:lang w:val="pt-BR"/>
        </w:rPr>
        <w:t xml:space="preserve">s por parte de empresarios </w:t>
      </w:r>
      <w:r w:rsidR="00CC31B6" w:rsidRPr="002F50BD">
        <w:rPr>
          <w:rFonts w:ascii="Verdana" w:hAnsi="Verdana"/>
          <w:sz w:val="20"/>
          <w:lang w:val="pt-BR"/>
        </w:rPr>
        <w:t>britânic</w:t>
      </w:r>
      <w:r w:rsidR="004756C1" w:rsidRPr="002F50BD">
        <w:rPr>
          <w:rFonts w:ascii="Verdana" w:hAnsi="Verdana"/>
          <w:sz w:val="20"/>
          <w:lang w:val="pt-BR"/>
        </w:rPr>
        <w:t xml:space="preserve">os, </w:t>
      </w:r>
      <w:r w:rsidR="001224CE" w:rsidRPr="002F50BD">
        <w:rPr>
          <w:rFonts w:ascii="Verdana" w:hAnsi="Verdana"/>
          <w:sz w:val="20"/>
          <w:lang w:val="pt-BR"/>
        </w:rPr>
        <w:t xml:space="preserve">várias missões da igreja anglicana </w:t>
      </w:r>
      <w:r w:rsidR="0089298C" w:rsidRPr="002F50BD">
        <w:rPr>
          <w:rFonts w:ascii="Verdana" w:hAnsi="Verdana"/>
          <w:sz w:val="20"/>
          <w:lang w:val="pt-BR"/>
        </w:rPr>
        <w:t>começaram</w:t>
      </w:r>
      <w:r w:rsidR="004756C1" w:rsidRPr="002F50BD">
        <w:rPr>
          <w:rFonts w:ascii="Verdana" w:hAnsi="Verdana"/>
          <w:sz w:val="20"/>
          <w:lang w:val="pt-BR"/>
        </w:rPr>
        <w:t xml:space="preserve"> a </w:t>
      </w:r>
      <w:r w:rsidR="001224CE" w:rsidRPr="002F50BD">
        <w:rPr>
          <w:rFonts w:ascii="Verdana" w:hAnsi="Verdana"/>
          <w:sz w:val="20"/>
          <w:lang w:val="pt-BR"/>
        </w:rPr>
        <w:t xml:space="preserve">se </w:t>
      </w:r>
      <w:r w:rsidR="004756C1" w:rsidRPr="002F50BD">
        <w:rPr>
          <w:rFonts w:ascii="Verdana" w:hAnsi="Verdana"/>
          <w:sz w:val="20"/>
          <w:lang w:val="pt-BR"/>
        </w:rPr>
        <w:t xml:space="preserve">instalar </w:t>
      </w:r>
      <w:r w:rsidR="0089298C" w:rsidRPr="002F50BD">
        <w:rPr>
          <w:rFonts w:ascii="Verdana" w:hAnsi="Verdana"/>
          <w:sz w:val="20"/>
          <w:lang w:val="pt-BR"/>
        </w:rPr>
        <w:t xml:space="preserve">na </w:t>
      </w:r>
      <w:r w:rsidR="00F8611F" w:rsidRPr="002F50BD">
        <w:rPr>
          <w:rFonts w:ascii="Verdana" w:hAnsi="Verdana"/>
          <w:sz w:val="20"/>
          <w:lang w:val="pt-BR"/>
        </w:rPr>
        <w:t>região</w:t>
      </w:r>
      <w:r w:rsidR="00AB454A" w:rsidRPr="002F50BD">
        <w:rPr>
          <w:rFonts w:ascii="Verdana" w:hAnsi="Verdana"/>
          <w:sz w:val="20"/>
          <w:lang w:val="pt-BR"/>
        </w:rPr>
        <w:t xml:space="preserve">. No </w:t>
      </w:r>
      <w:r w:rsidR="0089298C" w:rsidRPr="002F50BD">
        <w:rPr>
          <w:rFonts w:ascii="Verdana" w:hAnsi="Verdana"/>
          <w:sz w:val="20"/>
          <w:lang w:val="pt-BR"/>
        </w:rPr>
        <w:t>ano</w:t>
      </w:r>
      <w:r w:rsidR="00F8611F" w:rsidRPr="002F50BD">
        <w:rPr>
          <w:rFonts w:ascii="Verdana" w:hAnsi="Verdana"/>
          <w:sz w:val="20"/>
          <w:lang w:val="pt-BR"/>
        </w:rPr>
        <w:t xml:space="preserve"> de</w:t>
      </w:r>
      <w:r w:rsidR="0089298C" w:rsidRPr="002F50BD">
        <w:rPr>
          <w:rFonts w:ascii="Verdana" w:hAnsi="Verdana"/>
          <w:sz w:val="20"/>
          <w:lang w:val="pt-BR"/>
        </w:rPr>
        <w:t xml:space="preserve"> </w:t>
      </w:r>
      <w:r w:rsidRPr="002F50BD">
        <w:rPr>
          <w:rFonts w:ascii="Verdana" w:hAnsi="Verdana"/>
          <w:sz w:val="20"/>
          <w:lang w:val="pt-BR"/>
        </w:rPr>
        <w:t>1907</w:t>
      </w:r>
      <w:r w:rsidR="001224CE" w:rsidRPr="002F50BD">
        <w:rPr>
          <w:rFonts w:ascii="Verdana" w:hAnsi="Verdana"/>
          <w:sz w:val="20"/>
          <w:lang w:val="pt-BR"/>
        </w:rPr>
        <w:t>,</w:t>
      </w:r>
      <w:r w:rsidR="004756C1" w:rsidRPr="002F50BD">
        <w:rPr>
          <w:rFonts w:ascii="Verdana" w:hAnsi="Verdana"/>
          <w:sz w:val="20"/>
          <w:lang w:val="pt-BR"/>
        </w:rPr>
        <w:t xml:space="preserve"> W.B. Grubb </w:t>
      </w:r>
      <w:r w:rsidR="00F8611F" w:rsidRPr="002F50BD">
        <w:rPr>
          <w:rFonts w:ascii="Verdana" w:hAnsi="Verdana"/>
          <w:sz w:val="20"/>
          <w:lang w:val="pt-BR"/>
        </w:rPr>
        <w:t>fundou</w:t>
      </w:r>
      <w:r w:rsidR="0089298C" w:rsidRPr="002F50BD">
        <w:rPr>
          <w:rFonts w:ascii="Verdana" w:hAnsi="Verdana"/>
          <w:sz w:val="20"/>
          <w:lang w:val="pt-BR"/>
        </w:rPr>
        <w:t xml:space="preserve"> a Missão</w:t>
      </w:r>
      <w:r w:rsidR="004756C1" w:rsidRPr="002F50BD">
        <w:rPr>
          <w:rFonts w:ascii="Verdana" w:hAnsi="Verdana"/>
          <w:sz w:val="20"/>
          <w:lang w:val="pt-BR"/>
        </w:rPr>
        <w:t xml:space="preserve"> Makxlawaya dentro </w:t>
      </w:r>
      <w:r w:rsidR="0089298C" w:rsidRPr="002F50BD">
        <w:rPr>
          <w:rFonts w:ascii="Verdana" w:hAnsi="Verdana"/>
          <w:sz w:val="20"/>
          <w:lang w:val="pt-BR"/>
        </w:rPr>
        <w:t>do território</w:t>
      </w:r>
      <w:r w:rsidR="004756C1" w:rsidRPr="002F50BD">
        <w:rPr>
          <w:rFonts w:ascii="Verdana" w:hAnsi="Verdana"/>
          <w:sz w:val="20"/>
          <w:lang w:val="pt-BR"/>
        </w:rPr>
        <w:t xml:space="preserve"> </w:t>
      </w:r>
      <w:r w:rsidR="0089298C" w:rsidRPr="002F50BD">
        <w:rPr>
          <w:rFonts w:ascii="Verdana" w:hAnsi="Verdana"/>
          <w:sz w:val="20"/>
          <w:lang w:val="pt-BR"/>
        </w:rPr>
        <w:t>do povo</w:t>
      </w:r>
      <w:r w:rsidR="004756C1" w:rsidRPr="002F50BD">
        <w:rPr>
          <w:rFonts w:ascii="Verdana" w:hAnsi="Verdana"/>
          <w:sz w:val="20"/>
          <w:lang w:val="pt-BR"/>
        </w:rPr>
        <w:t xml:space="preserve"> indígena </w:t>
      </w:r>
      <w:r w:rsidR="00F8611F" w:rsidRPr="002F50BD">
        <w:rPr>
          <w:rFonts w:ascii="Verdana" w:hAnsi="Verdana"/>
          <w:sz w:val="20"/>
          <w:lang w:val="pt-BR"/>
        </w:rPr>
        <w:t>Le</w:t>
      </w:r>
      <w:r w:rsidR="00CD3DEB" w:rsidRPr="002F50BD">
        <w:rPr>
          <w:rFonts w:ascii="Verdana" w:hAnsi="Verdana"/>
          <w:sz w:val="20"/>
          <w:lang w:val="pt-BR"/>
        </w:rPr>
        <w:t>ngua</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Enlhet Norte</w:t>
      </w:r>
      <w:r w:rsidR="0089298C" w:rsidRPr="002F50BD">
        <w:rPr>
          <w:rFonts w:ascii="Verdana" w:hAnsi="Verdana"/>
          <w:sz w:val="20"/>
          <w:lang w:val="pt-BR"/>
        </w:rPr>
        <w:t xml:space="preserve"> e </w:t>
      </w:r>
      <w:r w:rsidR="004756C1" w:rsidRPr="002F50BD">
        <w:rPr>
          <w:rFonts w:ascii="Verdana" w:hAnsi="Verdana"/>
          <w:sz w:val="20"/>
          <w:lang w:val="pt-BR"/>
        </w:rPr>
        <w:t>Enxet Sur</w:t>
      </w:r>
      <w:r w:rsidR="00CF451D" w:rsidRPr="00CF451D">
        <w:rPr>
          <w:rFonts w:ascii="Verdana" w:hAnsi="Verdana"/>
          <w:sz w:val="20"/>
          <w:lang w:val="pt-BR"/>
        </w:rPr>
        <w:t>)</w:t>
      </w:r>
      <w:r w:rsidR="0089298C" w:rsidRPr="002F50BD">
        <w:rPr>
          <w:rFonts w:ascii="Verdana" w:hAnsi="Verdana"/>
          <w:sz w:val="20"/>
          <w:lang w:val="pt-BR"/>
        </w:rPr>
        <w:t xml:space="preserve"> com a finalidade </w:t>
      </w:r>
      <w:r w:rsidR="004756C1" w:rsidRPr="002F50BD">
        <w:rPr>
          <w:rFonts w:ascii="Verdana" w:hAnsi="Verdana"/>
          <w:sz w:val="20"/>
          <w:lang w:val="pt-BR"/>
        </w:rPr>
        <w:t>de iniciar su</w:t>
      </w:r>
      <w:r w:rsidR="00F8611F" w:rsidRPr="002F50BD">
        <w:rPr>
          <w:rFonts w:ascii="Verdana" w:hAnsi="Verdana"/>
          <w:sz w:val="20"/>
          <w:lang w:val="pt-BR"/>
        </w:rPr>
        <w:t>a</w:t>
      </w:r>
      <w:r w:rsidR="004756C1" w:rsidRPr="002F50BD">
        <w:rPr>
          <w:rFonts w:ascii="Verdana" w:hAnsi="Verdana"/>
          <w:sz w:val="20"/>
          <w:lang w:val="pt-BR"/>
        </w:rPr>
        <w:t xml:space="preserve"> evangeliza</w:t>
      </w:r>
      <w:r w:rsidR="0089298C" w:rsidRPr="002F50BD">
        <w:rPr>
          <w:rFonts w:ascii="Verdana" w:hAnsi="Verdana"/>
          <w:sz w:val="20"/>
          <w:lang w:val="pt-BR"/>
        </w:rPr>
        <w:t xml:space="preserve">ção e </w:t>
      </w:r>
      <w:r w:rsidR="004756C1" w:rsidRPr="002F50BD">
        <w:rPr>
          <w:rFonts w:ascii="Verdana" w:hAnsi="Verdana"/>
          <w:sz w:val="20"/>
          <w:lang w:val="pt-BR"/>
        </w:rPr>
        <w:t>“pacifica</w:t>
      </w:r>
      <w:r w:rsidR="0089298C" w:rsidRPr="002F50BD">
        <w:rPr>
          <w:rFonts w:ascii="Verdana" w:hAnsi="Verdana"/>
          <w:sz w:val="20"/>
          <w:lang w:val="pt-BR"/>
        </w:rPr>
        <w:t>ção</w:t>
      </w:r>
      <w:r w:rsidR="004756C1" w:rsidRPr="002F50BD">
        <w:rPr>
          <w:rFonts w:ascii="Verdana" w:hAnsi="Verdana"/>
          <w:sz w:val="20"/>
          <w:lang w:val="pt-BR"/>
        </w:rPr>
        <w:t>”</w:t>
      </w:r>
      <w:r w:rsidR="00F8611F" w:rsidRPr="002F50BD">
        <w:rPr>
          <w:rFonts w:ascii="Verdana" w:hAnsi="Verdana"/>
          <w:sz w:val="20"/>
          <w:lang w:val="pt-BR"/>
        </w:rPr>
        <w:t>.</w:t>
      </w:r>
      <w:r w:rsidR="004756C1" w:rsidRPr="002F50BD">
        <w:rPr>
          <w:rStyle w:val="FootnoteReference"/>
          <w:rFonts w:ascii="Verdana" w:hAnsi="Verdana"/>
        </w:rPr>
        <w:footnoteReference w:id="31"/>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11</w:t>
      </w:r>
      <w:r w:rsidR="004756C1" w:rsidRPr="002F50BD">
        <w:rPr>
          <w:rFonts w:ascii="Verdana" w:hAnsi="Verdana"/>
          <w:sz w:val="20"/>
          <w:lang w:val="pt-BR"/>
        </w:rPr>
        <w:t>.</w:t>
      </w:r>
      <w:r w:rsidR="004756C1" w:rsidRPr="002F50BD">
        <w:rPr>
          <w:rFonts w:ascii="Verdana" w:hAnsi="Verdana"/>
          <w:sz w:val="20"/>
          <w:lang w:val="pt-BR"/>
        </w:rPr>
        <w:tab/>
      </w:r>
      <w:r w:rsidR="004B0453" w:rsidRPr="002F50BD">
        <w:rPr>
          <w:rFonts w:ascii="Verdana" w:hAnsi="Verdana"/>
          <w:sz w:val="20"/>
          <w:lang w:val="pt-BR"/>
        </w:rPr>
        <w:t>Outrossim</w:t>
      </w:r>
      <w:r w:rsidR="004756C1" w:rsidRPr="002F50BD">
        <w:rPr>
          <w:rFonts w:ascii="Verdana" w:hAnsi="Verdana"/>
          <w:sz w:val="20"/>
          <w:lang w:val="pt-BR"/>
        </w:rPr>
        <w:t>,</w:t>
      </w:r>
      <w:r w:rsidR="0089298C" w:rsidRPr="002F50BD">
        <w:rPr>
          <w:rFonts w:ascii="Verdana" w:hAnsi="Verdana"/>
          <w:sz w:val="20"/>
          <w:lang w:val="pt-BR"/>
        </w:rPr>
        <w:t xml:space="preserve"> em um </w:t>
      </w:r>
      <w:r w:rsidR="004756C1" w:rsidRPr="002F50BD">
        <w:rPr>
          <w:rFonts w:ascii="Verdana" w:hAnsi="Verdana"/>
          <w:sz w:val="20"/>
          <w:lang w:val="pt-BR"/>
        </w:rPr>
        <w:t xml:space="preserve">lugar </w:t>
      </w:r>
      <w:r w:rsidR="0089298C" w:rsidRPr="002F50BD">
        <w:rPr>
          <w:rFonts w:ascii="Verdana" w:hAnsi="Verdana"/>
          <w:sz w:val="20"/>
          <w:lang w:val="pt-BR"/>
        </w:rPr>
        <w:t>conhecido</w:t>
      </w:r>
      <w:r w:rsidR="004756C1" w:rsidRPr="002F50BD">
        <w:rPr>
          <w:rFonts w:ascii="Verdana" w:hAnsi="Verdana"/>
          <w:sz w:val="20"/>
          <w:lang w:val="pt-BR"/>
        </w:rPr>
        <w:t xml:space="preserve"> como Alwáta Etkok </w:t>
      </w:r>
      <w:r w:rsidR="00D91C0F" w:rsidRPr="002F50BD">
        <w:rPr>
          <w:rFonts w:ascii="Verdana" w:hAnsi="Verdana"/>
          <w:sz w:val="20"/>
          <w:lang w:val="pt-BR"/>
        </w:rPr>
        <w:t xml:space="preserve">foi estabelecida a </w:t>
      </w:r>
      <w:r w:rsidR="0089298C" w:rsidRPr="002F50BD">
        <w:rPr>
          <w:rFonts w:ascii="Verdana" w:hAnsi="Verdana"/>
          <w:sz w:val="20"/>
          <w:lang w:val="pt-BR"/>
        </w:rPr>
        <w:t>primeira</w:t>
      </w:r>
      <w:r w:rsidR="004756C1" w:rsidRPr="002F50BD">
        <w:rPr>
          <w:rFonts w:ascii="Verdana" w:hAnsi="Verdana"/>
          <w:sz w:val="20"/>
          <w:lang w:val="pt-BR"/>
        </w:rPr>
        <w:t xml:space="preserve"> </w:t>
      </w:r>
      <w:r w:rsidR="00060B3A" w:rsidRPr="002F50BD">
        <w:rPr>
          <w:rFonts w:ascii="Verdana" w:hAnsi="Verdana"/>
          <w:sz w:val="20"/>
          <w:lang w:val="pt-BR"/>
        </w:rPr>
        <w:t xml:space="preserve">fazenda </w:t>
      </w:r>
      <w:r w:rsidR="00D91C0F" w:rsidRPr="002F50BD">
        <w:rPr>
          <w:rFonts w:ascii="Verdana" w:hAnsi="Verdana"/>
          <w:sz w:val="20"/>
          <w:lang w:val="pt-BR"/>
        </w:rPr>
        <w:t xml:space="preserve">de gado </w:t>
      </w:r>
      <w:r w:rsidR="0089298C" w:rsidRPr="002F50BD">
        <w:rPr>
          <w:rFonts w:ascii="Verdana" w:hAnsi="Verdana"/>
          <w:sz w:val="20"/>
          <w:lang w:val="pt-BR"/>
        </w:rPr>
        <w:t xml:space="preserve">da </w:t>
      </w:r>
      <w:r w:rsidR="00D91C0F" w:rsidRPr="002F50BD">
        <w:rPr>
          <w:rFonts w:ascii="Verdana" w:hAnsi="Verdana"/>
          <w:sz w:val="20"/>
          <w:lang w:val="pt-BR"/>
        </w:rPr>
        <w:t>região</w:t>
      </w:r>
      <w:r w:rsidR="004756C1" w:rsidRPr="002F50BD">
        <w:rPr>
          <w:rFonts w:ascii="Verdana" w:hAnsi="Verdana"/>
          <w:sz w:val="20"/>
          <w:lang w:val="pt-BR"/>
        </w:rPr>
        <w:t xml:space="preserve">, </w:t>
      </w:r>
      <w:r w:rsidR="00D91C0F" w:rsidRPr="002F50BD">
        <w:rPr>
          <w:rFonts w:ascii="Verdana" w:hAnsi="Verdana"/>
          <w:sz w:val="20"/>
          <w:lang w:val="pt-BR"/>
        </w:rPr>
        <w:t xml:space="preserve">dirigida </w:t>
      </w:r>
      <w:r w:rsidR="0089298C" w:rsidRPr="002F50BD">
        <w:rPr>
          <w:rFonts w:ascii="Verdana" w:hAnsi="Verdana"/>
          <w:sz w:val="20"/>
          <w:lang w:val="pt-BR"/>
        </w:rPr>
        <w:t xml:space="preserve">pela </w:t>
      </w:r>
      <w:r w:rsidR="004756C1" w:rsidRPr="002F50BD">
        <w:rPr>
          <w:rFonts w:ascii="Verdana" w:hAnsi="Verdana"/>
          <w:i/>
          <w:sz w:val="20"/>
          <w:lang w:val="pt-BR"/>
        </w:rPr>
        <w:t>Chaco Indian Association,</w:t>
      </w:r>
      <w:r w:rsidR="0089298C" w:rsidRPr="002F50BD">
        <w:rPr>
          <w:rFonts w:ascii="Verdana" w:hAnsi="Verdana"/>
          <w:i/>
          <w:sz w:val="20"/>
          <w:lang w:val="pt-BR"/>
        </w:rPr>
        <w:t xml:space="preserve"> </w:t>
      </w:r>
      <w:r w:rsidR="0089298C" w:rsidRPr="002F50BD">
        <w:rPr>
          <w:rFonts w:ascii="Verdana" w:hAnsi="Verdana"/>
          <w:sz w:val="20"/>
          <w:lang w:val="pt-BR"/>
        </w:rPr>
        <w:t>a</w:t>
      </w:r>
      <w:r w:rsidR="0089298C" w:rsidRPr="002F50BD">
        <w:rPr>
          <w:rFonts w:ascii="Verdana" w:hAnsi="Verdana"/>
          <w:i/>
          <w:sz w:val="20"/>
          <w:lang w:val="pt-BR"/>
        </w:rPr>
        <w:t xml:space="preserve"> </w:t>
      </w:r>
      <w:r w:rsidR="0089298C" w:rsidRPr="002F50BD">
        <w:rPr>
          <w:rFonts w:ascii="Verdana" w:hAnsi="Verdana"/>
          <w:sz w:val="20"/>
          <w:lang w:val="pt-BR"/>
        </w:rPr>
        <w:t xml:space="preserve">qual foi </w:t>
      </w:r>
      <w:r w:rsidR="004756C1" w:rsidRPr="002F50BD">
        <w:rPr>
          <w:rFonts w:ascii="Verdana" w:hAnsi="Verdana"/>
          <w:sz w:val="20"/>
          <w:lang w:val="pt-BR"/>
        </w:rPr>
        <w:t>administrada</w:t>
      </w:r>
      <w:r w:rsidR="0089298C" w:rsidRPr="002F50BD">
        <w:rPr>
          <w:rFonts w:ascii="Verdana" w:hAnsi="Verdana"/>
          <w:sz w:val="20"/>
          <w:lang w:val="pt-BR"/>
        </w:rPr>
        <w:t xml:space="preserve"> pela igreja</w:t>
      </w:r>
      <w:r w:rsidR="004756C1" w:rsidRPr="002F50BD">
        <w:rPr>
          <w:rFonts w:ascii="Verdana" w:hAnsi="Verdana"/>
          <w:sz w:val="20"/>
          <w:lang w:val="pt-BR"/>
        </w:rPr>
        <w:t xml:space="preserve"> anglicana</w:t>
      </w:r>
      <w:r w:rsidR="001A0CDE" w:rsidRPr="002F50BD">
        <w:rPr>
          <w:rFonts w:ascii="Verdana" w:hAnsi="Verdana"/>
          <w:sz w:val="20"/>
          <w:lang w:val="pt-BR"/>
        </w:rPr>
        <w:t>. Est</w:t>
      </w:r>
      <w:r w:rsidR="004756C1" w:rsidRPr="002F50BD">
        <w:rPr>
          <w:rFonts w:ascii="Verdana" w:hAnsi="Verdana"/>
          <w:sz w:val="20"/>
          <w:lang w:val="pt-BR"/>
        </w:rPr>
        <w:t xml:space="preserve">a </w:t>
      </w:r>
      <w:r w:rsidR="00D91C0F" w:rsidRPr="002F50BD">
        <w:rPr>
          <w:rFonts w:ascii="Verdana" w:hAnsi="Verdana"/>
          <w:sz w:val="20"/>
          <w:lang w:val="pt-BR"/>
        </w:rPr>
        <w:t xml:space="preserve">fazenda </w:t>
      </w:r>
      <w:r w:rsidR="0089298C" w:rsidRPr="002F50BD">
        <w:rPr>
          <w:rFonts w:ascii="Verdana" w:hAnsi="Verdana"/>
          <w:sz w:val="20"/>
          <w:lang w:val="pt-BR"/>
        </w:rPr>
        <w:t xml:space="preserve">foi </w:t>
      </w:r>
      <w:r w:rsidR="00AB454A" w:rsidRPr="002F50BD">
        <w:rPr>
          <w:rFonts w:ascii="Verdana" w:hAnsi="Verdana"/>
          <w:sz w:val="20"/>
          <w:lang w:val="pt-BR"/>
        </w:rPr>
        <w:t>conheci</w:t>
      </w:r>
      <w:r w:rsidR="004756C1" w:rsidRPr="002F50BD">
        <w:rPr>
          <w:rFonts w:ascii="Verdana" w:hAnsi="Verdana"/>
          <w:sz w:val="20"/>
          <w:lang w:val="pt-BR"/>
        </w:rPr>
        <w:t xml:space="preserve">da como </w:t>
      </w:r>
      <w:r w:rsidR="004756C1" w:rsidRPr="002F50BD">
        <w:rPr>
          <w:rFonts w:ascii="Verdana" w:hAnsi="Verdana"/>
          <w:i/>
          <w:sz w:val="20"/>
          <w:lang w:val="pt-BR"/>
        </w:rPr>
        <w:t>The Pass</w:t>
      </w:r>
      <w:r w:rsidR="0089298C" w:rsidRPr="002F50BD">
        <w:rPr>
          <w:rFonts w:ascii="Verdana" w:hAnsi="Verdana"/>
          <w:sz w:val="20"/>
          <w:lang w:val="pt-BR"/>
        </w:rPr>
        <w:t xml:space="preserve"> e hoje em dia</w:t>
      </w:r>
      <w:r w:rsidR="004756C1" w:rsidRPr="002F50BD">
        <w:rPr>
          <w:rFonts w:ascii="Verdana" w:hAnsi="Verdana"/>
          <w:sz w:val="20"/>
          <w:lang w:val="pt-BR"/>
        </w:rPr>
        <w:t xml:space="preserve"> se </w:t>
      </w:r>
      <w:r w:rsidR="0089298C" w:rsidRPr="002F50BD">
        <w:rPr>
          <w:rFonts w:ascii="Verdana" w:hAnsi="Verdana"/>
          <w:sz w:val="20"/>
          <w:lang w:val="pt-BR"/>
        </w:rPr>
        <w:t xml:space="preserve">conhece </w:t>
      </w:r>
      <w:r w:rsidR="004756C1" w:rsidRPr="002F50BD">
        <w:rPr>
          <w:rFonts w:ascii="Verdana" w:hAnsi="Verdana"/>
          <w:sz w:val="20"/>
          <w:lang w:val="pt-BR"/>
        </w:rPr>
        <w:t xml:space="preserve">como </w:t>
      </w:r>
      <w:r w:rsidR="004756C1" w:rsidRPr="002F50BD">
        <w:rPr>
          <w:rFonts w:ascii="Verdana" w:hAnsi="Verdana"/>
          <w:i/>
          <w:sz w:val="20"/>
          <w:lang w:val="pt-BR"/>
        </w:rPr>
        <w:t>Estancia Maroma</w:t>
      </w:r>
      <w:r w:rsidR="00DB51F0" w:rsidRPr="002F50BD">
        <w:rPr>
          <w:rFonts w:ascii="Verdana" w:hAnsi="Verdana"/>
          <w:sz w:val="20"/>
          <w:lang w:val="pt-BR"/>
        </w:rPr>
        <w:t xml:space="preserve">. Os </w:t>
      </w:r>
      <w:r w:rsidR="004756C1" w:rsidRPr="002F50BD">
        <w:rPr>
          <w:rFonts w:ascii="Verdana" w:hAnsi="Verdana"/>
          <w:sz w:val="20"/>
          <w:lang w:val="pt-BR"/>
        </w:rPr>
        <w:t xml:space="preserve">indígenas que </w:t>
      </w:r>
      <w:r w:rsidR="00E10DBB" w:rsidRPr="002F50BD">
        <w:rPr>
          <w:rFonts w:ascii="Verdana" w:hAnsi="Verdana"/>
          <w:sz w:val="20"/>
          <w:lang w:val="pt-BR"/>
        </w:rPr>
        <w:t>habitavam</w:t>
      </w:r>
      <w:r w:rsidR="004756C1" w:rsidRPr="002F50BD">
        <w:rPr>
          <w:rFonts w:ascii="Verdana" w:hAnsi="Verdana"/>
          <w:sz w:val="20"/>
          <w:lang w:val="pt-BR"/>
        </w:rPr>
        <w:t xml:space="preserve"> estas </w:t>
      </w:r>
      <w:r w:rsidR="0089298C" w:rsidRPr="002F50BD">
        <w:rPr>
          <w:rFonts w:ascii="Verdana" w:hAnsi="Verdana"/>
          <w:sz w:val="20"/>
          <w:lang w:val="pt-BR"/>
        </w:rPr>
        <w:t>terra</w:t>
      </w:r>
      <w:r w:rsidR="004756C1" w:rsidRPr="002F50BD">
        <w:rPr>
          <w:rFonts w:ascii="Verdana" w:hAnsi="Verdana"/>
          <w:sz w:val="20"/>
          <w:lang w:val="pt-BR"/>
        </w:rPr>
        <w:t xml:space="preserve">s </w:t>
      </w:r>
      <w:r w:rsidR="0089298C" w:rsidRPr="002F50BD">
        <w:rPr>
          <w:rFonts w:ascii="Verdana" w:hAnsi="Verdana"/>
          <w:sz w:val="20"/>
          <w:lang w:val="pt-BR"/>
        </w:rPr>
        <w:t>foram</w:t>
      </w:r>
      <w:r w:rsidR="004756C1" w:rsidRPr="002F50BD">
        <w:rPr>
          <w:rFonts w:ascii="Verdana" w:hAnsi="Verdana"/>
          <w:sz w:val="20"/>
          <w:lang w:val="pt-BR"/>
        </w:rPr>
        <w:t xml:space="preserve"> </w:t>
      </w:r>
      <w:r w:rsidR="00475EBB" w:rsidRPr="002F50BD">
        <w:rPr>
          <w:rFonts w:ascii="Verdana" w:hAnsi="Verdana"/>
          <w:sz w:val="20"/>
          <w:lang w:val="pt-BR"/>
        </w:rPr>
        <w:t>empregado</w:t>
      </w:r>
      <w:r w:rsidR="004756C1" w:rsidRPr="002F50BD">
        <w:rPr>
          <w:rFonts w:ascii="Verdana" w:hAnsi="Verdana"/>
          <w:sz w:val="20"/>
          <w:lang w:val="pt-BR"/>
        </w:rPr>
        <w:t>s</w:t>
      </w:r>
      <w:r w:rsidR="0089298C" w:rsidRPr="002F50BD">
        <w:rPr>
          <w:rFonts w:ascii="Verdana" w:hAnsi="Verdana"/>
          <w:sz w:val="20"/>
          <w:lang w:val="pt-BR"/>
        </w:rPr>
        <w:t xml:space="preserve"> nesta </w:t>
      </w:r>
      <w:r w:rsidR="00EC5F20" w:rsidRPr="002F50BD">
        <w:rPr>
          <w:rFonts w:ascii="Verdana" w:hAnsi="Verdana"/>
          <w:sz w:val="20"/>
          <w:lang w:val="pt-BR"/>
        </w:rPr>
        <w:t>fazenda</w:t>
      </w:r>
      <w:r w:rsidR="004756C1" w:rsidRPr="002F50BD">
        <w:rPr>
          <w:rFonts w:ascii="Verdana" w:hAnsi="Verdana"/>
          <w:sz w:val="20"/>
          <w:lang w:val="pt-BR"/>
        </w:rPr>
        <w:t xml:space="preserve">. </w:t>
      </w:r>
      <w:r w:rsidR="0089298C" w:rsidRPr="002F50BD">
        <w:rPr>
          <w:rFonts w:ascii="Verdana" w:hAnsi="Verdana"/>
          <w:sz w:val="20"/>
          <w:lang w:val="pt-BR"/>
        </w:rPr>
        <w:t>Alguns anos</w:t>
      </w:r>
      <w:r w:rsidR="004756C1" w:rsidRPr="002F50BD">
        <w:rPr>
          <w:rFonts w:ascii="Verdana" w:hAnsi="Verdana"/>
          <w:sz w:val="20"/>
          <w:lang w:val="pt-BR"/>
        </w:rPr>
        <w:t xml:space="preserve"> </w:t>
      </w:r>
      <w:r w:rsidR="0089298C" w:rsidRPr="002F50BD">
        <w:rPr>
          <w:rFonts w:ascii="Verdana" w:hAnsi="Verdana"/>
          <w:sz w:val="20"/>
          <w:lang w:val="pt-BR"/>
        </w:rPr>
        <w:t>depois</w:t>
      </w:r>
      <w:r w:rsidR="004B0453" w:rsidRPr="002F50BD">
        <w:rPr>
          <w:rFonts w:ascii="Verdana" w:hAnsi="Verdana"/>
          <w:sz w:val="20"/>
          <w:lang w:val="pt-BR"/>
        </w:rPr>
        <w:t>,</w:t>
      </w:r>
      <w:r w:rsidR="0089298C" w:rsidRPr="002F50BD">
        <w:rPr>
          <w:rFonts w:ascii="Verdana" w:hAnsi="Verdana"/>
          <w:sz w:val="20"/>
          <w:lang w:val="pt-BR"/>
        </w:rPr>
        <w:t xml:space="preserve"> as </w:t>
      </w:r>
      <w:r w:rsidR="00060B3A" w:rsidRPr="002F50BD">
        <w:rPr>
          <w:rFonts w:ascii="Verdana" w:hAnsi="Verdana"/>
          <w:sz w:val="20"/>
          <w:lang w:val="pt-BR"/>
        </w:rPr>
        <w:t xml:space="preserve">fazendas </w:t>
      </w:r>
      <w:r w:rsidR="004756C1" w:rsidRPr="002F50BD">
        <w:rPr>
          <w:rFonts w:ascii="Verdana" w:hAnsi="Verdana"/>
          <w:sz w:val="20"/>
          <w:lang w:val="pt-BR"/>
        </w:rPr>
        <w:t>Loma Verde</w:t>
      </w:r>
      <w:r w:rsidR="0089298C" w:rsidRPr="002F50BD">
        <w:rPr>
          <w:rFonts w:ascii="Verdana" w:hAnsi="Verdana"/>
          <w:sz w:val="20"/>
          <w:lang w:val="pt-BR"/>
        </w:rPr>
        <w:t xml:space="preserve"> e </w:t>
      </w:r>
      <w:r w:rsidR="004756C1" w:rsidRPr="002F50BD">
        <w:rPr>
          <w:rFonts w:ascii="Verdana" w:hAnsi="Verdana"/>
          <w:sz w:val="20"/>
          <w:lang w:val="pt-BR"/>
        </w:rPr>
        <w:t xml:space="preserve">Ledesma </w:t>
      </w:r>
      <w:r w:rsidR="0089298C" w:rsidRPr="002F50BD">
        <w:rPr>
          <w:rFonts w:ascii="Verdana" w:hAnsi="Verdana"/>
          <w:sz w:val="20"/>
          <w:lang w:val="pt-BR"/>
        </w:rPr>
        <w:t>foram</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as</w:t>
      </w:r>
      <w:r w:rsidR="0089298C" w:rsidRPr="002F50BD">
        <w:rPr>
          <w:rFonts w:ascii="Verdana" w:hAnsi="Verdana"/>
          <w:sz w:val="20"/>
          <w:lang w:val="pt-BR"/>
        </w:rPr>
        <w:t xml:space="preserve"> e os </w:t>
      </w:r>
      <w:r w:rsidR="004756C1" w:rsidRPr="002F50BD">
        <w:rPr>
          <w:rFonts w:ascii="Verdana" w:hAnsi="Verdana"/>
          <w:sz w:val="20"/>
          <w:lang w:val="pt-BR"/>
        </w:rPr>
        <w:t>indígenas</w:t>
      </w:r>
      <w:r w:rsidR="0089298C" w:rsidRPr="002F50BD">
        <w:rPr>
          <w:rFonts w:ascii="Verdana" w:hAnsi="Verdana"/>
          <w:sz w:val="20"/>
          <w:lang w:val="pt-BR"/>
        </w:rPr>
        <w:t xml:space="preserve"> da </w:t>
      </w:r>
      <w:r w:rsidR="00D91C0F" w:rsidRPr="002F50BD">
        <w:rPr>
          <w:rFonts w:ascii="Verdana" w:hAnsi="Verdana"/>
          <w:sz w:val="20"/>
          <w:lang w:val="pt-BR"/>
        </w:rPr>
        <w:t xml:space="preserve">região </w:t>
      </w:r>
      <w:r w:rsidR="0089298C" w:rsidRPr="002F50BD">
        <w:rPr>
          <w:rFonts w:ascii="Verdana" w:hAnsi="Verdana"/>
          <w:sz w:val="20"/>
          <w:lang w:val="pt-BR"/>
        </w:rPr>
        <w:t>trabalh</w:t>
      </w:r>
      <w:r w:rsidR="004756C1" w:rsidRPr="002F50BD">
        <w:rPr>
          <w:rFonts w:ascii="Verdana" w:hAnsi="Verdana"/>
          <w:sz w:val="20"/>
          <w:lang w:val="pt-BR"/>
        </w:rPr>
        <w:t>ar</w:t>
      </w:r>
      <w:r w:rsidR="00D91C0F" w:rsidRPr="002F50BD">
        <w:rPr>
          <w:rFonts w:ascii="Verdana" w:hAnsi="Verdana"/>
          <w:sz w:val="20"/>
          <w:lang w:val="pt-BR"/>
        </w:rPr>
        <w:t>am</w:t>
      </w:r>
      <w:r w:rsidR="0089298C" w:rsidRPr="002F50BD">
        <w:rPr>
          <w:rFonts w:ascii="Verdana" w:hAnsi="Verdana"/>
          <w:sz w:val="20"/>
          <w:lang w:val="pt-BR"/>
        </w:rPr>
        <w:t xml:space="preserve"> </w:t>
      </w:r>
      <w:r w:rsidR="00D91C0F" w:rsidRPr="002F50BD">
        <w:rPr>
          <w:rFonts w:ascii="Verdana" w:hAnsi="Verdana"/>
          <w:sz w:val="20"/>
          <w:lang w:val="pt-BR"/>
        </w:rPr>
        <w:t>n</w:t>
      </w:r>
      <w:r w:rsidR="0089298C" w:rsidRPr="002F50BD">
        <w:rPr>
          <w:rFonts w:ascii="Verdana" w:hAnsi="Verdana"/>
          <w:sz w:val="20"/>
          <w:lang w:val="pt-BR"/>
        </w:rPr>
        <w:t>ela</w:t>
      </w:r>
      <w:r w:rsidR="004756C1" w:rsidRPr="002F50BD">
        <w:rPr>
          <w:rFonts w:ascii="Verdana" w:hAnsi="Verdana"/>
          <w:sz w:val="20"/>
          <w:lang w:val="pt-BR"/>
        </w:rPr>
        <w:t>s</w:t>
      </w:r>
      <w:r w:rsidR="00D91C0F" w:rsidRPr="002F50BD">
        <w:rPr>
          <w:rFonts w:ascii="Verdana" w:hAnsi="Verdana"/>
          <w:sz w:val="20"/>
          <w:lang w:val="pt-BR"/>
        </w:rPr>
        <w:t>.</w:t>
      </w:r>
      <w:r w:rsidR="004756C1" w:rsidRPr="002F50BD">
        <w:rPr>
          <w:rStyle w:val="FootnoteReference"/>
          <w:rFonts w:ascii="Verdana" w:hAnsi="Verdana"/>
        </w:rPr>
        <w:footnoteReference w:id="32"/>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ind w:firstLine="720"/>
        <w:jc w:val="both"/>
        <w:rPr>
          <w:rFonts w:ascii="Verdana" w:hAnsi="Verdana"/>
          <w:sz w:val="20"/>
          <w:lang w:val="pt-BR"/>
        </w:rPr>
      </w:pPr>
      <w:r w:rsidRPr="002F50BD">
        <w:rPr>
          <w:rFonts w:ascii="Verdana" w:hAnsi="Verdana"/>
          <w:sz w:val="20"/>
          <w:lang w:val="pt-BR"/>
        </w:rPr>
        <w:t>iii.</w:t>
      </w:r>
      <w:r w:rsidRPr="002F50BD">
        <w:rPr>
          <w:rFonts w:ascii="Verdana" w:hAnsi="Verdana"/>
          <w:sz w:val="20"/>
          <w:lang w:val="pt-BR"/>
        </w:rPr>
        <w:tab/>
      </w:r>
      <w:r w:rsidR="00D91C0F" w:rsidRPr="002F50BD">
        <w:rPr>
          <w:rFonts w:ascii="Verdana" w:hAnsi="Verdana"/>
          <w:sz w:val="20"/>
          <w:lang w:val="pt-BR"/>
        </w:rPr>
        <w:t xml:space="preserve">Mudança para a </w:t>
      </w:r>
      <w:r w:rsidRPr="002F50BD">
        <w:rPr>
          <w:rFonts w:ascii="Verdana" w:hAnsi="Verdana"/>
          <w:i/>
          <w:sz w:val="20"/>
          <w:lang w:val="pt-BR"/>
        </w:rPr>
        <w:t>Estancia</w:t>
      </w:r>
      <w:r w:rsidR="0089298C" w:rsidRPr="002F50BD">
        <w:rPr>
          <w:rFonts w:ascii="Verdana" w:hAnsi="Verdana"/>
          <w:i/>
          <w:sz w:val="20"/>
          <w:lang w:val="pt-BR"/>
        </w:rPr>
        <w:t xml:space="preserve"> </w:t>
      </w:r>
      <w:r w:rsidR="00D91C0F" w:rsidRPr="002F50BD">
        <w:rPr>
          <w:rFonts w:ascii="Verdana" w:hAnsi="Verdana"/>
          <w:i/>
          <w:sz w:val="20"/>
          <w:lang w:val="pt-BR"/>
        </w:rPr>
        <w:t>El</w:t>
      </w:r>
      <w:r w:rsidR="0089298C" w:rsidRPr="002F50BD">
        <w:rPr>
          <w:rFonts w:ascii="Verdana" w:hAnsi="Verdana"/>
          <w:i/>
          <w:sz w:val="20"/>
          <w:lang w:val="pt-BR"/>
        </w:rPr>
        <w:t xml:space="preserve"> </w:t>
      </w:r>
      <w:r w:rsidRPr="002F50BD">
        <w:rPr>
          <w:rFonts w:ascii="Verdana" w:hAnsi="Verdana"/>
          <w:i/>
          <w:sz w:val="20"/>
          <w:lang w:val="pt-BR"/>
        </w:rPr>
        <w:t>Estribo</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12</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ano </w:t>
      </w:r>
      <w:r w:rsidR="00D91C0F" w:rsidRPr="002F50BD">
        <w:rPr>
          <w:rFonts w:ascii="Verdana" w:hAnsi="Verdana"/>
          <w:sz w:val="20"/>
          <w:lang w:val="pt-BR"/>
        </w:rPr>
        <w:t xml:space="preserve">de </w:t>
      </w:r>
      <w:r w:rsidRPr="002F50BD">
        <w:rPr>
          <w:rFonts w:ascii="Verdana" w:hAnsi="Verdana"/>
          <w:sz w:val="20"/>
          <w:lang w:val="pt-BR"/>
        </w:rPr>
        <w:t>1979</w:t>
      </w:r>
      <w:r w:rsidR="004B0453" w:rsidRPr="002F50BD">
        <w:rPr>
          <w:rFonts w:ascii="Verdana" w:hAnsi="Verdana"/>
          <w:sz w:val="20"/>
          <w:lang w:val="pt-BR"/>
        </w:rPr>
        <w:t>,</w:t>
      </w:r>
      <w:r w:rsidR="0089298C" w:rsidRPr="002F50BD">
        <w:rPr>
          <w:rFonts w:ascii="Verdana" w:hAnsi="Verdana"/>
          <w:sz w:val="20"/>
          <w:lang w:val="pt-BR"/>
        </w:rPr>
        <w:t xml:space="preserve"> a igreja</w:t>
      </w:r>
      <w:r w:rsidR="004756C1" w:rsidRPr="002F50BD">
        <w:rPr>
          <w:rFonts w:ascii="Verdana" w:hAnsi="Verdana"/>
          <w:sz w:val="20"/>
          <w:lang w:val="pt-BR"/>
        </w:rPr>
        <w:t xml:space="preserve"> anglicana </w:t>
      </w:r>
      <w:r w:rsidR="0089298C" w:rsidRPr="002F50BD">
        <w:rPr>
          <w:rFonts w:ascii="Verdana" w:hAnsi="Verdana"/>
          <w:sz w:val="20"/>
          <w:lang w:val="pt-BR"/>
        </w:rPr>
        <w:t>iniciou um projeto</w:t>
      </w:r>
      <w:r w:rsidR="004756C1" w:rsidRPr="002F50BD">
        <w:rPr>
          <w:rFonts w:ascii="Verdana" w:hAnsi="Verdana"/>
          <w:sz w:val="20"/>
          <w:lang w:val="pt-BR"/>
        </w:rPr>
        <w:t xml:space="preserve"> de </w:t>
      </w:r>
      <w:r w:rsidR="0089298C" w:rsidRPr="002F50BD">
        <w:rPr>
          <w:rFonts w:ascii="Verdana" w:hAnsi="Verdana"/>
          <w:sz w:val="20"/>
          <w:lang w:val="pt-BR"/>
        </w:rPr>
        <w:t>desenvolvimento</w:t>
      </w:r>
      <w:r w:rsidR="004756C1" w:rsidRPr="002F50BD">
        <w:rPr>
          <w:rFonts w:ascii="Verdana" w:hAnsi="Verdana"/>
          <w:sz w:val="20"/>
          <w:lang w:val="pt-BR"/>
        </w:rPr>
        <w:t xml:space="preserve"> integral para</w:t>
      </w:r>
      <w:r w:rsidR="0089298C" w:rsidRPr="002F50BD">
        <w:rPr>
          <w:rFonts w:ascii="Verdana" w:hAnsi="Verdana"/>
          <w:sz w:val="20"/>
          <w:lang w:val="pt-BR"/>
        </w:rPr>
        <w:t xml:space="preserve"> as </w:t>
      </w:r>
      <w:r w:rsidR="004756C1" w:rsidRPr="002F50BD">
        <w:rPr>
          <w:rFonts w:ascii="Verdana" w:hAnsi="Verdana"/>
          <w:sz w:val="20"/>
          <w:lang w:val="pt-BR"/>
        </w:rPr>
        <w:t xml:space="preserve">comunidades indígenas </w:t>
      </w:r>
      <w:r w:rsidR="00E7595C" w:rsidRPr="002F50BD">
        <w:rPr>
          <w:rFonts w:ascii="Verdana" w:hAnsi="Verdana"/>
          <w:sz w:val="20"/>
          <w:lang w:val="pt-BR"/>
        </w:rPr>
        <w:t>assentad</w:t>
      </w:r>
      <w:r w:rsidR="004756C1" w:rsidRPr="002F50BD">
        <w:rPr>
          <w:rFonts w:ascii="Verdana" w:hAnsi="Verdana"/>
          <w:sz w:val="20"/>
          <w:lang w:val="pt-BR"/>
        </w:rPr>
        <w:t>as</w:t>
      </w:r>
      <w:r w:rsidR="0089298C" w:rsidRPr="002F50BD">
        <w:rPr>
          <w:rFonts w:ascii="Verdana" w:hAnsi="Verdana"/>
          <w:sz w:val="20"/>
          <w:lang w:val="pt-BR"/>
        </w:rPr>
        <w:t xml:space="preserve"> em </w:t>
      </w:r>
      <w:r w:rsidR="004756C1" w:rsidRPr="002F50BD">
        <w:rPr>
          <w:rFonts w:ascii="Verdana" w:hAnsi="Verdana"/>
          <w:sz w:val="20"/>
          <w:lang w:val="pt-BR"/>
        </w:rPr>
        <w:t xml:space="preserve">Makxlawaya, </w:t>
      </w:r>
      <w:r w:rsidR="0089298C" w:rsidRPr="002F50BD">
        <w:rPr>
          <w:rFonts w:ascii="Verdana" w:hAnsi="Verdana"/>
          <w:sz w:val="20"/>
          <w:lang w:val="pt-BR"/>
        </w:rPr>
        <w:t>conhecido</w:t>
      </w:r>
      <w:r w:rsidR="004756C1" w:rsidRPr="002F50BD">
        <w:rPr>
          <w:rFonts w:ascii="Verdana" w:hAnsi="Verdana"/>
          <w:sz w:val="20"/>
          <w:lang w:val="pt-BR"/>
        </w:rPr>
        <w:t xml:space="preserve"> como Programa </w:t>
      </w:r>
      <w:r w:rsidR="0089298C" w:rsidRPr="002F50BD">
        <w:rPr>
          <w:rFonts w:ascii="Verdana" w:hAnsi="Verdana"/>
          <w:sz w:val="20"/>
          <w:lang w:val="pt-BR"/>
        </w:rPr>
        <w:t>“</w:t>
      </w:r>
      <w:r w:rsidR="00D91C0F" w:rsidRPr="002F50BD">
        <w:rPr>
          <w:rFonts w:ascii="Verdana" w:hAnsi="Verdana"/>
          <w:i/>
          <w:sz w:val="20"/>
          <w:lang w:val="pt-BR"/>
        </w:rPr>
        <w:t>La</w:t>
      </w:r>
      <w:r w:rsidR="0089298C" w:rsidRPr="002F50BD">
        <w:rPr>
          <w:rFonts w:ascii="Verdana" w:hAnsi="Verdana"/>
          <w:i/>
          <w:sz w:val="20"/>
          <w:lang w:val="pt-BR"/>
        </w:rPr>
        <w:t xml:space="preserve"> </w:t>
      </w:r>
      <w:r w:rsidR="004756C1" w:rsidRPr="002F50BD">
        <w:rPr>
          <w:rFonts w:ascii="Verdana" w:hAnsi="Verdana"/>
          <w:i/>
          <w:sz w:val="20"/>
          <w:lang w:val="pt-BR"/>
        </w:rPr>
        <w:t>Herencia</w:t>
      </w:r>
      <w:r w:rsidR="004756C1" w:rsidRPr="002F50BD">
        <w:rPr>
          <w:rFonts w:ascii="Verdana" w:hAnsi="Verdana"/>
          <w:sz w:val="20"/>
          <w:lang w:val="pt-BR"/>
        </w:rPr>
        <w:t>”</w:t>
      </w:r>
      <w:r w:rsidR="00D95E71" w:rsidRPr="002F50BD">
        <w:rPr>
          <w:rFonts w:ascii="Verdana" w:hAnsi="Verdana"/>
          <w:sz w:val="20"/>
          <w:lang w:val="pt-BR"/>
        </w:rPr>
        <w:t xml:space="preserve">. O </w:t>
      </w:r>
      <w:r w:rsidR="0089298C" w:rsidRPr="002F50BD">
        <w:rPr>
          <w:rFonts w:ascii="Verdana" w:hAnsi="Verdana"/>
          <w:sz w:val="20"/>
          <w:lang w:val="pt-BR"/>
        </w:rPr>
        <w:t>projeto</w:t>
      </w:r>
      <w:r w:rsidR="004756C1" w:rsidRPr="002F50BD">
        <w:rPr>
          <w:rFonts w:ascii="Verdana" w:hAnsi="Verdana"/>
          <w:sz w:val="20"/>
          <w:lang w:val="pt-BR"/>
        </w:rPr>
        <w:t xml:space="preserve"> </w:t>
      </w:r>
      <w:r w:rsidR="00D91C0F" w:rsidRPr="002F50BD">
        <w:rPr>
          <w:rFonts w:ascii="Verdana" w:hAnsi="Verdana"/>
          <w:sz w:val="20"/>
          <w:lang w:val="pt-BR"/>
        </w:rPr>
        <w:t xml:space="preserve">incluía </w:t>
      </w:r>
      <w:r w:rsidR="0089298C" w:rsidRPr="002F50BD">
        <w:rPr>
          <w:rFonts w:ascii="Verdana" w:hAnsi="Verdana"/>
          <w:sz w:val="20"/>
          <w:lang w:val="pt-BR"/>
        </w:rPr>
        <w:t xml:space="preserve">a </w:t>
      </w:r>
      <w:r w:rsidR="00367FD1" w:rsidRPr="002F50BD">
        <w:rPr>
          <w:rFonts w:ascii="Verdana" w:hAnsi="Verdana"/>
          <w:sz w:val="20"/>
          <w:lang w:val="pt-BR"/>
        </w:rPr>
        <w:t>aquisição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para </w:t>
      </w:r>
      <w:r w:rsidR="0089298C" w:rsidRPr="002F50BD">
        <w:rPr>
          <w:rFonts w:ascii="Verdana" w:hAnsi="Verdana"/>
          <w:sz w:val="20"/>
          <w:lang w:val="pt-BR"/>
        </w:rPr>
        <w:t>novo</w:t>
      </w:r>
      <w:r w:rsidR="004756C1" w:rsidRPr="002F50BD">
        <w:rPr>
          <w:rFonts w:ascii="Verdana" w:hAnsi="Verdana"/>
          <w:sz w:val="20"/>
          <w:lang w:val="pt-BR"/>
        </w:rPr>
        <w:t xml:space="preserve">s </w:t>
      </w:r>
      <w:r w:rsidR="00AB454A" w:rsidRPr="002F50BD">
        <w:rPr>
          <w:rFonts w:ascii="Verdana" w:hAnsi="Verdana"/>
          <w:sz w:val="20"/>
          <w:lang w:val="pt-BR"/>
        </w:rPr>
        <w:t>assentamento</w:t>
      </w:r>
      <w:r w:rsidR="004756C1" w:rsidRPr="002F50BD">
        <w:rPr>
          <w:rFonts w:ascii="Verdana" w:hAnsi="Verdana"/>
          <w:sz w:val="20"/>
          <w:lang w:val="pt-BR"/>
        </w:rPr>
        <w:t>s indígenas</w:t>
      </w:r>
      <w:r w:rsidR="0089298C" w:rsidRPr="002F50BD">
        <w:rPr>
          <w:rFonts w:ascii="Verdana" w:hAnsi="Verdana"/>
          <w:sz w:val="20"/>
          <w:lang w:val="pt-BR"/>
        </w:rPr>
        <w:t xml:space="preserve"> com a </w:t>
      </w:r>
      <w:r w:rsidR="004076AD" w:rsidRPr="002F50BD">
        <w:rPr>
          <w:rFonts w:ascii="Verdana" w:hAnsi="Verdana"/>
          <w:sz w:val="20"/>
          <w:lang w:val="pt-BR"/>
        </w:rPr>
        <w:t>provisão</w:t>
      </w:r>
      <w:r w:rsidR="004756C1" w:rsidRPr="002F50BD">
        <w:rPr>
          <w:rFonts w:ascii="Verdana" w:hAnsi="Verdana"/>
          <w:sz w:val="20"/>
          <w:lang w:val="pt-BR"/>
        </w:rPr>
        <w:t xml:space="preserve"> de </w:t>
      </w:r>
      <w:r w:rsidR="0089298C" w:rsidRPr="002F50BD">
        <w:rPr>
          <w:rFonts w:ascii="Verdana" w:hAnsi="Verdana"/>
          <w:sz w:val="20"/>
          <w:lang w:val="pt-BR"/>
        </w:rPr>
        <w:t>apoio</w:t>
      </w:r>
      <w:r w:rsidR="004756C1" w:rsidRPr="002F50BD">
        <w:rPr>
          <w:rFonts w:ascii="Verdana" w:hAnsi="Verdana"/>
          <w:sz w:val="20"/>
          <w:lang w:val="pt-BR"/>
        </w:rPr>
        <w:t xml:space="preserve"> agrícola, sanit</w:t>
      </w:r>
      <w:r w:rsidR="00D91C0F" w:rsidRPr="002F50BD">
        <w:rPr>
          <w:rFonts w:ascii="Verdana" w:hAnsi="Verdana"/>
          <w:sz w:val="20"/>
          <w:lang w:val="pt-BR"/>
        </w:rPr>
        <w:t>á</w:t>
      </w:r>
      <w:r w:rsidR="004756C1" w:rsidRPr="002F50BD">
        <w:rPr>
          <w:rFonts w:ascii="Verdana" w:hAnsi="Verdana"/>
          <w:sz w:val="20"/>
          <w:lang w:val="pt-BR"/>
        </w:rPr>
        <w:t>rio</w:t>
      </w:r>
      <w:r w:rsidR="0089298C" w:rsidRPr="002F50BD">
        <w:rPr>
          <w:rFonts w:ascii="Verdana" w:hAnsi="Verdana"/>
          <w:sz w:val="20"/>
          <w:lang w:val="pt-BR"/>
        </w:rPr>
        <w:t xml:space="preserve"> e </w:t>
      </w:r>
      <w:r w:rsidR="004756C1" w:rsidRPr="002F50BD">
        <w:rPr>
          <w:rFonts w:ascii="Verdana" w:hAnsi="Verdana"/>
          <w:sz w:val="20"/>
          <w:lang w:val="pt-BR"/>
        </w:rPr>
        <w:t>educativo.</w:t>
      </w:r>
      <w:r w:rsidR="00FE08B7">
        <w:rPr>
          <w:rFonts w:ascii="Verdana" w:hAnsi="Verdana"/>
          <w:sz w:val="20"/>
          <w:lang w:val="pt-BR"/>
        </w:rPr>
        <w:t xml:space="preserve"> </w:t>
      </w:r>
      <w:r w:rsidR="004756C1" w:rsidRPr="002F50BD">
        <w:rPr>
          <w:rFonts w:ascii="Verdana" w:hAnsi="Verdana"/>
          <w:sz w:val="20"/>
          <w:lang w:val="pt-BR"/>
        </w:rPr>
        <w:t xml:space="preserve">Entre </w:t>
      </w:r>
      <w:r w:rsidRPr="002F50BD">
        <w:rPr>
          <w:rFonts w:ascii="Verdana" w:hAnsi="Verdana"/>
          <w:sz w:val="20"/>
          <w:lang w:val="pt-BR"/>
        </w:rPr>
        <w:t>1980</w:t>
      </w:r>
      <w:r w:rsidR="0089298C" w:rsidRPr="002F50BD">
        <w:rPr>
          <w:rFonts w:ascii="Verdana" w:hAnsi="Verdana"/>
          <w:sz w:val="20"/>
          <w:lang w:val="pt-BR"/>
        </w:rPr>
        <w:t xml:space="preserve"> e </w:t>
      </w:r>
      <w:r w:rsidRPr="002F50BD">
        <w:rPr>
          <w:rFonts w:ascii="Verdana" w:hAnsi="Verdana"/>
          <w:sz w:val="20"/>
          <w:lang w:val="pt-BR"/>
        </w:rPr>
        <w:t>1985</w:t>
      </w:r>
      <w:r w:rsidR="004756C1" w:rsidRPr="002F50BD">
        <w:rPr>
          <w:rFonts w:ascii="Verdana" w:hAnsi="Verdana"/>
          <w:sz w:val="20"/>
          <w:lang w:val="pt-BR"/>
        </w:rPr>
        <w:t>,</w:t>
      </w:r>
      <w:r w:rsidR="0089298C" w:rsidRPr="002F50BD">
        <w:rPr>
          <w:rFonts w:ascii="Verdana" w:hAnsi="Verdana"/>
          <w:sz w:val="20"/>
          <w:lang w:val="pt-BR"/>
        </w:rPr>
        <w:t xml:space="preserve"> no </w:t>
      </w:r>
      <w:r w:rsidR="00EC5F20" w:rsidRPr="002F50BD">
        <w:rPr>
          <w:rFonts w:ascii="Verdana" w:hAnsi="Verdana"/>
          <w:sz w:val="20"/>
          <w:lang w:val="pt-BR"/>
        </w:rPr>
        <w:t>âmbito</w:t>
      </w:r>
      <w:r w:rsidR="0089298C" w:rsidRPr="002F50BD">
        <w:rPr>
          <w:rFonts w:ascii="Verdana" w:hAnsi="Verdana"/>
          <w:sz w:val="20"/>
          <w:lang w:val="pt-BR"/>
        </w:rPr>
        <w:t xml:space="preserve"> deste projeto</w:t>
      </w:r>
      <w:r w:rsidR="004756C1" w:rsidRPr="002F50BD">
        <w:rPr>
          <w:rFonts w:ascii="Verdana" w:hAnsi="Verdana"/>
          <w:sz w:val="20"/>
          <w:lang w:val="pt-BR"/>
        </w:rPr>
        <w:t xml:space="preserve">, </w:t>
      </w:r>
      <w:r w:rsidR="00D91C0F" w:rsidRPr="002F50BD">
        <w:rPr>
          <w:rFonts w:ascii="Verdana" w:hAnsi="Verdana"/>
          <w:sz w:val="20"/>
          <w:lang w:val="pt-BR"/>
        </w:rPr>
        <w:t>foram comprad</w:t>
      </w:r>
      <w:r w:rsidR="00EC5F20" w:rsidRPr="002F50BD">
        <w:rPr>
          <w:rFonts w:ascii="Verdana" w:hAnsi="Verdana"/>
          <w:sz w:val="20"/>
          <w:lang w:val="pt-BR"/>
        </w:rPr>
        <w:t>a</w:t>
      </w:r>
      <w:r w:rsidR="00D91C0F" w:rsidRPr="002F50BD">
        <w:rPr>
          <w:rFonts w:ascii="Verdana" w:hAnsi="Verdana"/>
          <w:sz w:val="20"/>
          <w:lang w:val="pt-BR"/>
        </w:rPr>
        <w:t xml:space="preserve">s </w:t>
      </w:r>
      <w:r w:rsidR="0089298C" w:rsidRPr="002F50BD">
        <w:rPr>
          <w:rFonts w:ascii="Verdana" w:hAnsi="Verdana"/>
          <w:sz w:val="20"/>
          <w:lang w:val="pt-BR"/>
        </w:rPr>
        <w:t xml:space="preserve">três </w:t>
      </w:r>
      <w:r w:rsidR="004B0453" w:rsidRPr="002F50BD">
        <w:rPr>
          <w:rFonts w:ascii="Verdana" w:hAnsi="Verdana"/>
          <w:sz w:val="20"/>
          <w:lang w:val="pt-BR"/>
        </w:rPr>
        <w:t xml:space="preserve">extensões </w:t>
      </w:r>
      <w:r w:rsidR="004756C1" w:rsidRPr="002F50BD">
        <w:rPr>
          <w:rFonts w:ascii="Verdana" w:hAnsi="Verdana"/>
          <w:sz w:val="20"/>
          <w:lang w:val="pt-BR"/>
        </w:rPr>
        <w:t xml:space="preserve">de </w:t>
      </w:r>
      <w:r w:rsidR="0089298C" w:rsidRPr="002F50BD">
        <w:rPr>
          <w:rFonts w:ascii="Verdana" w:hAnsi="Verdana"/>
          <w:sz w:val="20"/>
          <w:lang w:val="pt-BR"/>
        </w:rPr>
        <w:t>terra</w:t>
      </w:r>
      <w:r w:rsidR="00D91C0F" w:rsidRPr="002F50BD">
        <w:rPr>
          <w:rFonts w:ascii="Verdana" w:hAnsi="Verdana"/>
          <w:sz w:val="20"/>
          <w:lang w:val="pt-BR"/>
        </w:rPr>
        <w:t>, que compreendem</w:t>
      </w:r>
      <w:r w:rsidR="0089298C" w:rsidRPr="002F50BD">
        <w:rPr>
          <w:rFonts w:ascii="Verdana" w:hAnsi="Verdana"/>
          <w:sz w:val="20"/>
          <w:lang w:val="pt-BR"/>
        </w:rPr>
        <w:t xml:space="preserve"> as </w:t>
      </w:r>
      <w:r w:rsidR="00060B3A" w:rsidRPr="002F50BD">
        <w:rPr>
          <w:rFonts w:ascii="Verdana" w:hAnsi="Verdana"/>
          <w:sz w:val="20"/>
          <w:lang w:val="pt-BR"/>
        </w:rPr>
        <w:t xml:space="preserve">fazendas </w:t>
      </w:r>
      <w:r w:rsidR="004756C1" w:rsidRPr="002F50BD">
        <w:rPr>
          <w:rFonts w:ascii="Verdana" w:hAnsi="Verdana"/>
          <w:sz w:val="20"/>
          <w:lang w:val="pt-BR"/>
        </w:rPr>
        <w:t>Sombrero Piri,</w:t>
      </w:r>
      <w:r w:rsidR="0089298C" w:rsidRPr="002F50BD">
        <w:rPr>
          <w:rFonts w:ascii="Verdana" w:hAnsi="Verdana"/>
          <w:sz w:val="20"/>
          <w:lang w:val="pt-BR"/>
        </w:rPr>
        <w:t xml:space="preserve"> </w:t>
      </w:r>
      <w:r w:rsidR="00D91C0F" w:rsidRPr="002F50BD">
        <w:rPr>
          <w:rFonts w:ascii="Verdana" w:hAnsi="Verdana"/>
          <w:sz w:val="20"/>
          <w:lang w:val="pt-BR"/>
        </w:rPr>
        <w:t>L</w:t>
      </w:r>
      <w:r w:rsidR="0089298C" w:rsidRPr="002F50BD">
        <w:rPr>
          <w:rFonts w:ascii="Verdana" w:hAnsi="Verdana"/>
          <w:sz w:val="20"/>
          <w:lang w:val="pt-BR"/>
        </w:rPr>
        <w:t xml:space="preserve">a </w:t>
      </w:r>
      <w:r w:rsidR="004756C1" w:rsidRPr="002F50BD">
        <w:rPr>
          <w:rFonts w:ascii="Verdana" w:hAnsi="Verdana"/>
          <w:sz w:val="20"/>
          <w:lang w:val="pt-BR"/>
        </w:rPr>
        <w:t>Patria</w:t>
      </w:r>
      <w:r w:rsidR="0089298C" w:rsidRPr="002F50BD">
        <w:rPr>
          <w:rFonts w:ascii="Verdana" w:hAnsi="Verdana"/>
          <w:sz w:val="20"/>
          <w:lang w:val="pt-BR"/>
        </w:rPr>
        <w:t xml:space="preserve"> e </w:t>
      </w:r>
      <w:r w:rsidR="00D91C0F" w:rsidRPr="002F50BD">
        <w:rPr>
          <w:rFonts w:ascii="Verdana" w:hAnsi="Verdana"/>
          <w:sz w:val="20"/>
          <w:lang w:val="pt-BR"/>
        </w:rPr>
        <w:t>El</w:t>
      </w:r>
      <w:r w:rsidR="0089298C" w:rsidRPr="002F50BD">
        <w:rPr>
          <w:rFonts w:ascii="Verdana" w:hAnsi="Verdana"/>
          <w:sz w:val="20"/>
          <w:lang w:val="pt-BR"/>
        </w:rPr>
        <w:t xml:space="preserve"> </w:t>
      </w:r>
      <w:r w:rsidR="004756C1" w:rsidRPr="002F50BD">
        <w:rPr>
          <w:rFonts w:ascii="Verdana" w:hAnsi="Verdana"/>
          <w:sz w:val="20"/>
          <w:lang w:val="pt-BR"/>
        </w:rPr>
        <w:t>Estribo</w:t>
      </w:r>
      <w:r w:rsidR="00D91C0F" w:rsidRPr="002F50BD">
        <w:rPr>
          <w:rFonts w:ascii="Verdana" w:hAnsi="Verdana"/>
          <w:sz w:val="20"/>
          <w:lang w:val="pt-BR"/>
        </w:rPr>
        <w:t>.</w:t>
      </w:r>
      <w:r w:rsidR="004756C1" w:rsidRPr="002F50BD">
        <w:rPr>
          <w:rStyle w:val="FootnoteReference"/>
          <w:rFonts w:ascii="Verdana" w:hAnsi="Verdana"/>
        </w:rPr>
        <w:footnoteReference w:id="33"/>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13</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Depois da </w:t>
      </w:r>
      <w:r w:rsidR="00367FD1" w:rsidRPr="002F50BD">
        <w:rPr>
          <w:rFonts w:ascii="Verdana" w:hAnsi="Verdana"/>
          <w:sz w:val="20"/>
          <w:lang w:val="pt-BR"/>
        </w:rPr>
        <w:t>aquisição</w:t>
      </w:r>
      <w:r w:rsidR="0089298C" w:rsidRPr="002F50BD">
        <w:rPr>
          <w:rFonts w:ascii="Verdana" w:hAnsi="Verdana"/>
          <w:sz w:val="20"/>
          <w:lang w:val="pt-BR"/>
        </w:rPr>
        <w:t xml:space="preserve"> da </w:t>
      </w:r>
      <w:r w:rsidR="004756C1" w:rsidRPr="002F50BD">
        <w:rPr>
          <w:rFonts w:ascii="Verdana" w:hAnsi="Verdana"/>
          <w:i/>
          <w:sz w:val="20"/>
          <w:lang w:val="pt-BR"/>
        </w:rPr>
        <w:t>Estancia</w:t>
      </w:r>
      <w:r w:rsidR="00D91C0F" w:rsidRPr="002F50BD">
        <w:rPr>
          <w:rFonts w:ascii="Verdana" w:hAnsi="Verdana"/>
          <w:i/>
          <w:sz w:val="20"/>
          <w:lang w:val="pt-BR"/>
        </w:rPr>
        <w:t xml:space="preserve"> El Estribo</w:t>
      </w:r>
      <w:r w:rsidR="004756C1" w:rsidRPr="002F50BD">
        <w:rPr>
          <w:rFonts w:ascii="Verdana" w:hAnsi="Verdana"/>
          <w:sz w:val="20"/>
          <w:lang w:val="pt-BR"/>
        </w:rPr>
        <w:t>,</w:t>
      </w:r>
      <w:r w:rsidR="0089298C" w:rsidRPr="002F50BD">
        <w:rPr>
          <w:rFonts w:ascii="Verdana" w:hAnsi="Verdana"/>
          <w:sz w:val="20"/>
          <w:lang w:val="pt-BR"/>
        </w:rPr>
        <w:t xml:space="preserve"> a igreja</w:t>
      </w:r>
      <w:r w:rsidR="004756C1" w:rsidRPr="002F50BD">
        <w:rPr>
          <w:rFonts w:ascii="Verdana" w:hAnsi="Verdana"/>
          <w:sz w:val="20"/>
          <w:lang w:val="pt-BR"/>
        </w:rPr>
        <w:t xml:space="preserve"> anglicana </w:t>
      </w:r>
      <w:r w:rsidR="0089298C" w:rsidRPr="002F50BD">
        <w:rPr>
          <w:rFonts w:ascii="Verdana" w:hAnsi="Verdana"/>
          <w:sz w:val="20"/>
          <w:lang w:val="pt-BR"/>
        </w:rPr>
        <w:t xml:space="preserve">promoveu o </w:t>
      </w:r>
      <w:r w:rsidR="00AB454A" w:rsidRPr="002F50BD">
        <w:rPr>
          <w:rFonts w:ascii="Verdana" w:hAnsi="Verdana"/>
          <w:sz w:val="20"/>
          <w:lang w:val="pt-BR"/>
        </w:rPr>
        <w:t>assentamento</w:t>
      </w:r>
      <w:r w:rsidR="0089298C" w:rsidRPr="002F50BD">
        <w:rPr>
          <w:rFonts w:ascii="Verdana" w:hAnsi="Verdana"/>
          <w:sz w:val="20"/>
          <w:lang w:val="pt-BR"/>
        </w:rPr>
        <w:t xml:space="preserve"> dos </w:t>
      </w:r>
      <w:r w:rsidR="004756C1" w:rsidRPr="002F50BD">
        <w:rPr>
          <w:rFonts w:ascii="Verdana" w:hAnsi="Verdana"/>
          <w:sz w:val="20"/>
          <w:lang w:val="pt-BR"/>
        </w:rPr>
        <w:t xml:space="preserve">grupos indígenas </w:t>
      </w:r>
      <w:r w:rsidR="0089298C" w:rsidRPr="002F50BD">
        <w:rPr>
          <w:rFonts w:ascii="Verdana" w:hAnsi="Verdana"/>
          <w:sz w:val="20"/>
          <w:lang w:val="pt-BR"/>
        </w:rPr>
        <w:t>estabelecid</w:t>
      </w:r>
      <w:r w:rsidR="004756C1" w:rsidRPr="002F50BD">
        <w:rPr>
          <w:rFonts w:ascii="Verdana" w:hAnsi="Verdana"/>
          <w:sz w:val="20"/>
          <w:lang w:val="pt-BR"/>
        </w:rPr>
        <w:t>os</w:t>
      </w:r>
      <w:r w:rsidR="0089298C" w:rsidRPr="002F50BD">
        <w:rPr>
          <w:rFonts w:ascii="Verdana" w:hAnsi="Verdana"/>
          <w:sz w:val="20"/>
          <w:lang w:val="pt-BR"/>
        </w:rPr>
        <w:t xml:space="preserve"> em </w:t>
      </w:r>
      <w:r w:rsidR="004756C1" w:rsidRPr="002F50BD">
        <w:rPr>
          <w:rFonts w:ascii="Verdana" w:hAnsi="Verdana"/>
          <w:sz w:val="20"/>
          <w:lang w:val="pt-BR"/>
        </w:rPr>
        <w:t>Makxlawaya</w:t>
      </w:r>
      <w:r w:rsidR="0089298C" w:rsidRPr="002F50BD">
        <w:rPr>
          <w:rFonts w:ascii="Verdana" w:hAnsi="Verdana"/>
          <w:sz w:val="20"/>
          <w:lang w:val="pt-BR"/>
        </w:rPr>
        <w:t xml:space="preserve"> na nova</w:t>
      </w:r>
      <w:r w:rsidR="004756C1" w:rsidRPr="002F50BD">
        <w:rPr>
          <w:rFonts w:ascii="Verdana" w:hAnsi="Verdana"/>
          <w:sz w:val="20"/>
          <w:lang w:val="pt-BR"/>
        </w:rPr>
        <w:t xml:space="preserve"> </w:t>
      </w:r>
      <w:r w:rsidR="00EC5F20" w:rsidRPr="002F50BD">
        <w:rPr>
          <w:rFonts w:ascii="Verdana" w:hAnsi="Verdana"/>
          <w:sz w:val="20"/>
          <w:lang w:val="pt-BR"/>
        </w:rPr>
        <w:t>fazenda</w:t>
      </w:r>
      <w:r w:rsidR="004756C1" w:rsidRPr="002F50BD">
        <w:rPr>
          <w:rFonts w:ascii="Verdana" w:hAnsi="Verdana"/>
          <w:sz w:val="20"/>
          <w:lang w:val="pt-BR"/>
        </w:rPr>
        <w:t>.</w:t>
      </w:r>
      <w:r w:rsidR="00FE08B7">
        <w:rPr>
          <w:rFonts w:ascii="Verdana" w:hAnsi="Verdana"/>
          <w:sz w:val="20"/>
          <w:lang w:val="pt-BR"/>
        </w:rPr>
        <w:t xml:space="preserve"> </w:t>
      </w:r>
      <w:r w:rsidR="00D91C0F" w:rsidRPr="002F50BD">
        <w:rPr>
          <w:rFonts w:ascii="Verdana" w:hAnsi="Verdana"/>
          <w:sz w:val="20"/>
          <w:lang w:val="pt-BR"/>
        </w:rPr>
        <w:t>No</w:t>
      </w:r>
      <w:r w:rsidR="004756C1" w:rsidRPr="002F50BD">
        <w:rPr>
          <w:rFonts w:ascii="Verdana" w:hAnsi="Verdana"/>
          <w:sz w:val="20"/>
          <w:lang w:val="pt-BR"/>
        </w:rPr>
        <w:t xml:space="preserve"> </w:t>
      </w:r>
      <w:r w:rsidR="004B0453" w:rsidRPr="002F50BD">
        <w:rPr>
          <w:rFonts w:ascii="Verdana" w:hAnsi="Verdana"/>
          <w:sz w:val="20"/>
          <w:lang w:val="pt-BR"/>
        </w:rPr>
        <w:t xml:space="preserve">início </w:t>
      </w:r>
      <w:r w:rsidR="0089298C" w:rsidRPr="002F50BD">
        <w:rPr>
          <w:rFonts w:ascii="Verdana" w:hAnsi="Verdana"/>
          <w:sz w:val="20"/>
          <w:lang w:val="pt-BR"/>
        </w:rPr>
        <w:t xml:space="preserve">do ano </w:t>
      </w:r>
      <w:r w:rsidR="00D91C0F" w:rsidRPr="002F50BD">
        <w:rPr>
          <w:rFonts w:ascii="Verdana" w:hAnsi="Verdana"/>
          <w:sz w:val="20"/>
          <w:lang w:val="pt-BR"/>
        </w:rPr>
        <w:t xml:space="preserve">de </w:t>
      </w:r>
      <w:r w:rsidRPr="002F50BD">
        <w:rPr>
          <w:rFonts w:ascii="Verdana" w:hAnsi="Verdana"/>
          <w:sz w:val="20"/>
          <w:lang w:val="pt-BR"/>
        </w:rPr>
        <w:t>1986</w:t>
      </w:r>
      <w:r w:rsidR="004B0453"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se </w:t>
      </w:r>
      <w:r w:rsidR="00D91C0F" w:rsidRPr="002F50BD">
        <w:rPr>
          <w:rFonts w:ascii="Verdana" w:hAnsi="Verdana"/>
          <w:sz w:val="20"/>
          <w:lang w:val="pt-BR"/>
        </w:rPr>
        <w:t>mudaram par</w:t>
      </w:r>
      <w:r w:rsidR="004756C1" w:rsidRPr="002F50BD">
        <w:rPr>
          <w:rFonts w:ascii="Verdana" w:hAnsi="Verdana"/>
          <w:sz w:val="20"/>
          <w:lang w:val="pt-BR"/>
        </w:rPr>
        <w:t>a</w:t>
      </w:r>
      <w:r w:rsidR="00D91C0F" w:rsidRPr="002F50BD">
        <w:rPr>
          <w:rFonts w:ascii="Verdana" w:hAnsi="Verdana"/>
          <w:sz w:val="20"/>
          <w:lang w:val="pt-BR"/>
        </w:rPr>
        <w:t xml:space="preserve"> El Estribo</w:t>
      </w:r>
      <w:r w:rsidR="004756C1" w:rsidRPr="002F50BD">
        <w:rPr>
          <w:rFonts w:ascii="Verdana" w:hAnsi="Verdana"/>
          <w:sz w:val="20"/>
          <w:lang w:val="pt-BR"/>
        </w:rPr>
        <w:t xml:space="preserve"> </w:t>
      </w:r>
      <w:r w:rsidR="0089298C" w:rsidRPr="002F50BD">
        <w:rPr>
          <w:rFonts w:ascii="Verdana" w:hAnsi="Verdana"/>
          <w:sz w:val="20"/>
          <w:lang w:val="pt-BR"/>
        </w:rPr>
        <w:t xml:space="preserve">devido às </w:t>
      </w:r>
      <w:r w:rsidR="004756C1" w:rsidRPr="002F50BD">
        <w:rPr>
          <w:rFonts w:ascii="Verdana" w:hAnsi="Verdana"/>
          <w:sz w:val="20"/>
          <w:lang w:val="pt-BR"/>
        </w:rPr>
        <w:t>graves condi</w:t>
      </w:r>
      <w:r w:rsidR="0089298C" w:rsidRPr="002F50BD">
        <w:rPr>
          <w:rFonts w:ascii="Verdana" w:hAnsi="Verdana"/>
          <w:sz w:val="20"/>
          <w:lang w:val="pt-BR"/>
        </w:rPr>
        <w:t>ções</w:t>
      </w:r>
      <w:r w:rsidR="004756C1" w:rsidRPr="002F50BD">
        <w:rPr>
          <w:rFonts w:ascii="Verdana" w:hAnsi="Verdana"/>
          <w:sz w:val="20"/>
          <w:lang w:val="pt-BR"/>
        </w:rPr>
        <w:t xml:space="preserve"> de vida que </w:t>
      </w:r>
      <w:r w:rsidR="00EC5F20" w:rsidRPr="002F50BD">
        <w:rPr>
          <w:rFonts w:ascii="Verdana" w:hAnsi="Verdana"/>
          <w:sz w:val="20"/>
          <w:lang w:val="pt-BR"/>
        </w:rPr>
        <w:t>enfrentavam</w:t>
      </w:r>
      <w:r w:rsidR="0089298C" w:rsidRPr="002F50BD">
        <w:rPr>
          <w:rFonts w:ascii="Verdana" w:hAnsi="Verdana"/>
          <w:sz w:val="20"/>
          <w:lang w:val="pt-BR"/>
        </w:rPr>
        <w:t xml:space="preserve"> na </w:t>
      </w:r>
      <w:r w:rsidR="00060B3A" w:rsidRPr="002F50BD">
        <w:rPr>
          <w:rFonts w:ascii="Verdana" w:hAnsi="Verdana"/>
          <w:i/>
          <w:sz w:val="20"/>
          <w:lang w:val="pt-BR"/>
        </w:rPr>
        <w:t>Estancia Loma Verde</w:t>
      </w:r>
      <w:r w:rsidR="0089298C" w:rsidRPr="002F50BD">
        <w:rPr>
          <w:rFonts w:ascii="Verdana" w:hAnsi="Verdana"/>
          <w:sz w:val="20"/>
          <w:lang w:val="pt-BR"/>
        </w:rPr>
        <w:t xml:space="preserve"> </w:t>
      </w:r>
      <w:r w:rsidR="005A6BC7" w:rsidRPr="002F50BD">
        <w:rPr>
          <w:rFonts w:ascii="Verdana" w:hAnsi="Verdana"/>
          <w:sz w:val="20"/>
          <w:lang w:val="pt-BR"/>
        </w:rPr>
        <w:t>onde os</w:t>
      </w:r>
      <w:r w:rsidR="0089298C" w:rsidRPr="002F50BD">
        <w:rPr>
          <w:rFonts w:ascii="Verdana" w:hAnsi="Verdana"/>
          <w:sz w:val="20"/>
          <w:lang w:val="pt-BR"/>
        </w:rPr>
        <w:t xml:space="preserve"> homens</w:t>
      </w:r>
      <w:r w:rsidR="004756C1" w:rsidRPr="002F50BD">
        <w:rPr>
          <w:rFonts w:ascii="Verdana" w:hAnsi="Verdana"/>
          <w:sz w:val="20"/>
          <w:lang w:val="pt-BR"/>
        </w:rPr>
        <w:t xml:space="preserve"> n</w:t>
      </w:r>
      <w:r w:rsidR="00D91C0F" w:rsidRPr="002F50BD">
        <w:rPr>
          <w:rFonts w:ascii="Verdana" w:hAnsi="Verdana"/>
          <w:sz w:val="20"/>
          <w:lang w:val="pt-BR"/>
        </w:rPr>
        <w:t>ã</w:t>
      </w:r>
      <w:r w:rsidR="004756C1" w:rsidRPr="002F50BD">
        <w:rPr>
          <w:rFonts w:ascii="Verdana" w:hAnsi="Verdana"/>
          <w:sz w:val="20"/>
          <w:lang w:val="pt-BR"/>
        </w:rPr>
        <w:t xml:space="preserve">o </w:t>
      </w:r>
      <w:r w:rsidR="00D91C0F" w:rsidRPr="002F50BD">
        <w:rPr>
          <w:rFonts w:ascii="Verdana" w:hAnsi="Verdana"/>
          <w:sz w:val="20"/>
          <w:lang w:val="pt-BR"/>
        </w:rPr>
        <w:t>recebiam</w:t>
      </w:r>
      <w:r w:rsidR="004756C1" w:rsidRPr="002F50BD">
        <w:rPr>
          <w:rFonts w:ascii="Verdana" w:hAnsi="Verdana"/>
          <w:sz w:val="20"/>
          <w:lang w:val="pt-BR"/>
        </w:rPr>
        <w:t xml:space="preserve"> </w:t>
      </w:r>
      <w:r w:rsidR="0089298C" w:rsidRPr="002F50BD">
        <w:rPr>
          <w:rFonts w:ascii="Verdana" w:hAnsi="Verdana"/>
          <w:sz w:val="20"/>
          <w:lang w:val="pt-BR"/>
        </w:rPr>
        <w:t>salário</w:t>
      </w:r>
      <w:r w:rsidR="004756C1" w:rsidRPr="002F50BD">
        <w:rPr>
          <w:rFonts w:ascii="Verdana" w:hAnsi="Verdana"/>
          <w:sz w:val="20"/>
          <w:lang w:val="pt-BR"/>
        </w:rPr>
        <w:t>s o</w:t>
      </w:r>
      <w:r w:rsidR="00D91C0F" w:rsidRPr="002F50BD">
        <w:rPr>
          <w:rFonts w:ascii="Verdana" w:hAnsi="Verdana"/>
          <w:sz w:val="20"/>
          <w:lang w:val="pt-BR"/>
        </w:rPr>
        <w:t>u</w:t>
      </w:r>
      <w:r w:rsidR="0089298C" w:rsidRPr="002F50BD">
        <w:rPr>
          <w:rFonts w:ascii="Verdana" w:hAnsi="Verdana"/>
          <w:sz w:val="20"/>
          <w:lang w:val="pt-BR"/>
        </w:rPr>
        <w:t xml:space="preserve"> estes eram muito</w:t>
      </w:r>
      <w:r w:rsidR="004756C1" w:rsidRPr="002F50BD">
        <w:rPr>
          <w:rFonts w:ascii="Verdana" w:hAnsi="Verdana"/>
          <w:sz w:val="20"/>
          <w:lang w:val="pt-BR"/>
        </w:rPr>
        <w:t xml:space="preserve"> </w:t>
      </w:r>
      <w:r w:rsidR="00D91C0F" w:rsidRPr="002F50BD">
        <w:rPr>
          <w:rFonts w:ascii="Verdana" w:hAnsi="Verdana"/>
          <w:sz w:val="20"/>
          <w:lang w:val="pt-BR"/>
        </w:rPr>
        <w:t>baixos</w:t>
      </w:r>
      <w:r w:rsidR="004756C1" w:rsidRPr="002F50BD">
        <w:rPr>
          <w:rFonts w:ascii="Verdana" w:hAnsi="Verdana"/>
          <w:sz w:val="20"/>
          <w:lang w:val="pt-BR"/>
        </w:rPr>
        <w:t>,</w:t>
      </w:r>
      <w:r w:rsidR="0089298C" w:rsidRPr="002F50BD">
        <w:rPr>
          <w:rFonts w:ascii="Verdana" w:hAnsi="Verdana"/>
          <w:sz w:val="20"/>
          <w:lang w:val="pt-BR"/>
        </w:rPr>
        <w:t xml:space="preserve"> as mulher</w:t>
      </w:r>
      <w:r w:rsidR="004756C1" w:rsidRPr="002F50BD">
        <w:rPr>
          <w:rFonts w:ascii="Verdana" w:hAnsi="Verdana"/>
          <w:sz w:val="20"/>
          <w:lang w:val="pt-BR"/>
        </w:rPr>
        <w:t>es</w:t>
      </w:r>
      <w:r w:rsidR="0089298C" w:rsidRPr="002F50BD">
        <w:rPr>
          <w:rFonts w:ascii="Verdana" w:hAnsi="Verdana"/>
          <w:sz w:val="20"/>
          <w:lang w:val="pt-BR"/>
        </w:rPr>
        <w:t xml:space="preserve"> eram </w:t>
      </w:r>
      <w:r w:rsidR="00475EBB" w:rsidRPr="002F50BD">
        <w:rPr>
          <w:rFonts w:ascii="Verdana" w:hAnsi="Verdana"/>
          <w:sz w:val="20"/>
          <w:lang w:val="pt-BR"/>
        </w:rPr>
        <w:t>explorad</w:t>
      </w:r>
      <w:r w:rsidR="004756C1" w:rsidRPr="002F50BD">
        <w:rPr>
          <w:rFonts w:ascii="Verdana" w:hAnsi="Verdana"/>
          <w:sz w:val="20"/>
          <w:lang w:val="pt-BR"/>
        </w:rPr>
        <w:t xml:space="preserve">as sexualmente por </w:t>
      </w:r>
      <w:r w:rsidR="00D91C0F" w:rsidRPr="002F50BD">
        <w:rPr>
          <w:rFonts w:ascii="Verdana" w:hAnsi="Verdana"/>
          <w:sz w:val="20"/>
          <w:lang w:val="pt-BR"/>
        </w:rPr>
        <w:t>trabalhadores p</w:t>
      </w:r>
      <w:r w:rsidR="0089298C" w:rsidRPr="002F50BD">
        <w:rPr>
          <w:rFonts w:ascii="Verdana" w:hAnsi="Verdana"/>
          <w:sz w:val="20"/>
          <w:lang w:val="pt-BR"/>
        </w:rPr>
        <w:t>araguai</w:t>
      </w:r>
      <w:r w:rsidR="004756C1" w:rsidRPr="002F50BD">
        <w:rPr>
          <w:rFonts w:ascii="Verdana" w:hAnsi="Verdana"/>
          <w:sz w:val="20"/>
          <w:lang w:val="pt-BR"/>
        </w:rPr>
        <w:t>os</w:t>
      </w:r>
      <w:r w:rsidR="0089298C" w:rsidRPr="002F50BD">
        <w:rPr>
          <w:rFonts w:ascii="Verdana" w:hAnsi="Verdana"/>
          <w:sz w:val="20"/>
          <w:lang w:val="pt-BR"/>
        </w:rPr>
        <w:t xml:space="preserve"> e </w:t>
      </w:r>
      <w:r w:rsidR="004756C1" w:rsidRPr="002F50BD">
        <w:rPr>
          <w:rFonts w:ascii="Verdana" w:hAnsi="Verdana"/>
          <w:sz w:val="20"/>
          <w:lang w:val="pt-BR"/>
        </w:rPr>
        <w:t>n</w:t>
      </w:r>
      <w:r w:rsidR="00D91C0F" w:rsidRPr="002F50BD">
        <w:rPr>
          <w:rFonts w:ascii="Verdana" w:hAnsi="Verdana"/>
          <w:sz w:val="20"/>
          <w:lang w:val="pt-BR"/>
        </w:rPr>
        <w:t>ã</w:t>
      </w:r>
      <w:r w:rsidR="004756C1" w:rsidRPr="002F50BD">
        <w:rPr>
          <w:rFonts w:ascii="Verdana" w:hAnsi="Verdana"/>
          <w:sz w:val="20"/>
          <w:lang w:val="pt-BR"/>
        </w:rPr>
        <w:t xml:space="preserve">o </w:t>
      </w:r>
      <w:r w:rsidR="00AB454A" w:rsidRPr="002F50BD">
        <w:rPr>
          <w:rFonts w:ascii="Verdana" w:hAnsi="Verdana"/>
          <w:sz w:val="20"/>
          <w:lang w:val="pt-BR"/>
        </w:rPr>
        <w:t>contavam</w:t>
      </w:r>
      <w:r w:rsidR="0089298C" w:rsidRPr="002F50BD">
        <w:rPr>
          <w:rFonts w:ascii="Verdana" w:hAnsi="Verdana"/>
          <w:sz w:val="20"/>
          <w:lang w:val="pt-BR"/>
        </w:rPr>
        <w:t xml:space="preserve"> com serviço</w:t>
      </w:r>
      <w:r w:rsidR="004756C1" w:rsidRPr="002F50BD">
        <w:rPr>
          <w:rFonts w:ascii="Verdana" w:hAnsi="Verdana"/>
          <w:sz w:val="20"/>
          <w:lang w:val="pt-BR"/>
        </w:rPr>
        <w:t xml:space="preserve">s de </w:t>
      </w:r>
      <w:r w:rsidR="0089298C" w:rsidRPr="002F50BD">
        <w:rPr>
          <w:rFonts w:ascii="Verdana" w:hAnsi="Verdana"/>
          <w:sz w:val="20"/>
          <w:lang w:val="pt-BR"/>
        </w:rPr>
        <w:t xml:space="preserve">saúde nem </w:t>
      </w:r>
      <w:r w:rsidR="004756C1" w:rsidRPr="002F50BD">
        <w:rPr>
          <w:rFonts w:ascii="Verdana" w:hAnsi="Verdana"/>
          <w:sz w:val="20"/>
          <w:lang w:val="pt-BR"/>
        </w:rPr>
        <w:t>alimenta</w:t>
      </w:r>
      <w:r w:rsidR="0089298C" w:rsidRPr="002F50BD">
        <w:rPr>
          <w:rFonts w:ascii="Verdana" w:hAnsi="Verdana"/>
          <w:sz w:val="20"/>
          <w:lang w:val="pt-BR"/>
        </w:rPr>
        <w:t>ção</w:t>
      </w:r>
      <w:r w:rsidR="004756C1" w:rsidRPr="002F50BD">
        <w:rPr>
          <w:rFonts w:ascii="Verdana" w:hAnsi="Verdana"/>
          <w:sz w:val="20"/>
          <w:lang w:val="pt-BR"/>
        </w:rPr>
        <w:t xml:space="preserve"> suficiente</w:t>
      </w:r>
      <w:r w:rsidR="00D91C0F" w:rsidRPr="002F50BD">
        <w:rPr>
          <w:rFonts w:ascii="Verdana" w:hAnsi="Verdana"/>
          <w:sz w:val="20"/>
          <w:lang w:val="pt-BR"/>
        </w:rPr>
        <w:t>.</w:t>
      </w:r>
      <w:r w:rsidR="004756C1" w:rsidRPr="002F50BD">
        <w:rPr>
          <w:rStyle w:val="FootnoteReference"/>
          <w:rFonts w:ascii="Verdana" w:hAnsi="Verdana"/>
        </w:rPr>
        <w:footnoteReference w:id="34"/>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4756C1" w:rsidRPr="002F50BD">
        <w:rPr>
          <w:rFonts w:ascii="Verdana" w:hAnsi="Verdana"/>
          <w:i/>
          <w:sz w:val="20"/>
          <w:lang w:val="pt-BR"/>
        </w:rPr>
        <w:t>Estancia</w:t>
      </w:r>
      <w:r w:rsidR="00D91C0F" w:rsidRPr="002F50BD">
        <w:rPr>
          <w:rFonts w:ascii="Verdana" w:hAnsi="Verdana"/>
          <w:i/>
          <w:sz w:val="20"/>
          <w:lang w:val="pt-BR"/>
        </w:rPr>
        <w:t xml:space="preserve"> El Estribo</w:t>
      </w:r>
      <w:r w:rsidR="004756C1" w:rsidRPr="002F50BD">
        <w:rPr>
          <w:rFonts w:ascii="Verdana" w:hAnsi="Verdana"/>
          <w:sz w:val="20"/>
          <w:lang w:val="pt-BR"/>
        </w:rPr>
        <w:t xml:space="preserve"> está </w:t>
      </w:r>
      <w:r w:rsidR="0089298C" w:rsidRPr="002F50BD">
        <w:rPr>
          <w:rFonts w:ascii="Verdana" w:hAnsi="Verdana"/>
          <w:sz w:val="20"/>
          <w:lang w:val="pt-BR"/>
        </w:rPr>
        <w:t>localizad</w:t>
      </w:r>
      <w:r w:rsidR="004756C1" w:rsidRPr="002F50BD">
        <w:rPr>
          <w:rFonts w:ascii="Verdana" w:hAnsi="Verdana"/>
          <w:sz w:val="20"/>
          <w:lang w:val="pt-BR"/>
        </w:rPr>
        <w:t>a</w:t>
      </w:r>
      <w:r w:rsidR="0089298C" w:rsidRPr="002F50BD">
        <w:rPr>
          <w:rFonts w:ascii="Verdana" w:hAnsi="Verdana"/>
          <w:sz w:val="20"/>
          <w:lang w:val="pt-BR"/>
        </w:rPr>
        <w:t xml:space="preserve"> em uma </w:t>
      </w:r>
      <w:r w:rsidR="00D91C0F" w:rsidRPr="002F50BD">
        <w:rPr>
          <w:rFonts w:ascii="Verdana" w:hAnsi="Verdana"/>
          <w:sz w:val="20"/>
          <w:lang w:val="pt-BR"/>
        </w:rPr>
        <w:t xml:space="preserve">região </w:t>
      </w:r>
      <w:r w:rsidR="004756C1" w:rsidRPr="002F50BD">
        <w:rPr>
          <w:rFonts w:ascii="Verdana" w:hAnsi="Verdana"/>
          <w:sz w:val="20"/>
          <w:lang w:val="pt-BR"/>
        </w:rPr>
        <w:t>de col</w:t>
      </w:r>
      <w:r w:rsidR="00D91C0F" w:rsidRPr="002F50BD">
        <w:rPr>
          <w:rFonts w:ascii="Verdana" w:hAnsi="Verdana"/>
          <w:sz w:val="20"/>
          <w:lang w:val="pt-BR"/>
        </w:rPr>
        <w:t>ô</w:t>
      </w:r>
      <w:r w:rsidR="004756C1" w:rsidRPr="002F50BD">
        <w:rPr>
          <w:rFonts w:ascii="Verdana" w:hAnsi="Verdana"/>
          <w:sz w:val="20"/>
          <w:lang w:val="pt-BR"/>
        </w:rPr>
        <w:t xml:space="preserve">nias menonitas, </w:t>
      </w:r>
      <w:r w:rsidR="00D91C0F" w:rsidRPr="002F50BD">
        <w:rPr>
          <w:rFonts w:ascii="Verdana" w:hAnsi="Verdana"/>
          <w:sz w:val="20"/>
          <w:lang w:val="pt-BR"/>
        </w:rPr>
        <w:t xml:space="preserve">longe da moradia </w:t>
      </w:r>
      <w:r w:rsidR="0089298C" w:rsidRPr="002F50BD">
        <w:rPr>
          <w:rFonts w:ascii="Verdana" w:hAnsi="Verdana"/>
          <w:sz w:val="20"/>
          <w:lang w:val="pt-BR"/>
        </w:rPr>
        <w:t xml:space="preserve">dos </w:t>
      </w:r>
      <w:r w:rsidR="004756C1" w:rsidRPr="002F50BD">
        <w:rPr>
          <w:rFonts w:ascii="Verdana" w:hAnsi="Verdana"/>
          <w:sz w:val="20"/>
          <w:lang w:val="pt-BR"/>
        </w:rPr>
        <w:t xml:space="preserve">que </w:t>
      </w:r>
      <w:r w:rsidR="004076AD" w:rsidRPr="002F50BD">
        <w:rPr>
          <w:rFonts w:ascii="Verdana" w:hAnsi="Verdana"/>
          <w:sz w:val="20"/>
          <w:lang w:val="pt-BR"/>
        </w:rPr>
        <w:t>seriam</w:t>
      </w:r>
      <w:r w:rsidR="004756C1" w:rsidRPr="002F50BD">
        <w:rPr>
          <w:rFonts w:ascii="Verdana" w:hAnsi="Verdana"/>
          <w:sz w:val="20"/>
          <w:lang w:val="pt-BR"/>
        </w:rPr>
        <w:t xml:space="preserve"> s</w:t>
      </w:r>
      <w:r w:rsidR="00D91C0F" w:rsidRPr="002F50BD">
        <w:rPr>
          <w:rFonts w:ascii="Verdana" w:hAnsi="Verdana"/>
          <w:sz w:val="20"/>
          <w:lang w:val="pt-BR"/>
        </w:rPr>
        <w:t>e</w:t>
      </w:r>
      <w:r w:rsidR="004756C1" w:rsidRPr="002F50BD">
        <w:rPr>
          <w:rFonts w:ascii="Verdana" w:hAnsi="Verdana"/>
          <w:sz w:val="20"/>
          <w:lang w:val="pt-BR"/>
        </w:rPr>
        <w:t xml:space="preserve">us </w:t>
      </w:r>
      <w:r w:rsidR="0089298C" w:rsidRPr="002F50BD">
        <w:rPr>
          <w:rFonts w:ascii="Verdana" w:hAnsi="Verdana"/>
          <w:sz w:val="20"/>
          <w:lang w:val="pt-BR"/>
        </w:rPr>
        <w:t>povoado</w:t>
      </w:r>
      <w:r w:rsidR="004756C1" w:rsidRPr="002F50BD">
        <w:rPr>
          <w:rFonts w:ascii="Verdana" w:hAnsi="Verdana"/>
          <w:sz w:val="20"/>
          <w:lang w:val="pt-BR"/>
        </w:rPr>
        <w:t xml:space="preserve">res. </w:t>
      </w:r>
      <w:r w:rsidR="00D91C0F" w:rsidRPr="002F50BD">
        <w:rPr>
          <w:rFonts w:ascii="Verdana" w:hAnsi="Verdana"/>
          <w:sz w:val="20"/>
          <w:lang w:val="pt-BR"/>
        </w:rPr>
        <w:t>Igualmente</w:t>
      </w:r>
      <w:r w:rsidR="004756C1" w:rsidRPr="002F50BD">
        <w:rPr>
          <w:rFonts w:ascii="Verdana" w:hAnsi="Verdana"/>
          <w:sz w:val="20"/>
          <w:lang w:val="pt-BR"/>
        </w:rPr>
        <w:t>,</w:t>
      </w:r>
      <w:r w:rsidR="0089298C" w:rsidRPr="002F50BD">
        <w:rPr>
          <w:rFonts w:ascii="Verdana" w:hAnsi="Verdana"/>
          <w:sz w:val="20"/>
          <w:lang w:val="pt-BR"/>
        </w:rPr>
        <w:t xml:space="preserve"> o meio </w:t>
      </w:r>
      <w:r w:rsidR="004756C1" w:rsidRPr="002F50BD">
        <w:rPr>
          <w:rFonts w:ascii="Verdana" w:hAnsi="Verdana"/>
          <w:sz w:val="20"/>
          <w:lang w:val="pt-BR"/>
        </w:rPr>
        <w:t>ambiente</w:t>
      </w:r>
      <w:r w:rsidR="0089298C" w:rsidRPr="002F50BD">
        <w:rPr>
          <w:rFonts w:ascii="Verdana" w:hAnsi="Verdana"/>
          <w:sz w:val="20"/>
          <w:lang w:val="pt-BR"/>
        </w:rPr>
        <w:t xml:space="preserve"> e os </w:t>
      </w:r>
      <w:r w:rsidR="004756C1" w:rsidRPr="002F50BD">
        <w:rPr>
          <w:rFonts w:ascii="Verdana" w:hAnsi="Verdana"/>
          <w:sz w:val="20"/>
          <w:lang w:val="pt-BR"/>
        </w:rPr>
        <w:t xml:space="preserve">recursos </w:t>
      </w:r>
      <w:r w:rsidR="005D1589" w:rsidRPr="002F50BD">
        <w:rPr>
          <w:rFonts w:ascii="Verdana" w:hAnsi="Verdana"/>
          <w:sz w:val="20"/>
          <w:lang w:val="pt-BR"/>
        </w:rPr>
        <w:t>naturais</w:t>
      </w:r>
      <w:r w:rsidR="0089298C" w:rsidRPr="002F50BD">
        <w:rPr>
          <w:rFonts w:ascii="Verdana" w:hAnsi="Verdana"/>
          <w:sz w:val="20"/>
          <w:lang w:val="pt-BR"/>
        </w:rPr>
        <w:t xml:space="preserve"> da </w:t>
      </w:r>
      <w:r w:rsidR="00EC5F20" w:rsidRPr="002F50BD">
        <w:rPr>
          <w:rFonts w:ascii="Verdana" w:hAnsi="Verdana"/>
          <w:sz w:val="20"/>
          <w:lang w:val="pt-BR"/>
        </w:rPr>
        <w:t>fazenda</w:t>
      </w:r>
      <w:r w:rsidR="004756C1" w:rsidRPr="002F50BD">
        <w:rPr>
          <w:rFonts w:ascii="Verdana" w:hAnsi="Verdana"/>
          <w:sz w:val="20"/>
          <w:lang w:val="pt-BR"/>
        </w:rPr>
        <w:t xml:space="preserve">, característicos </w:t>
      </w:r>
      <w:r w:rsidR="0089298C" w:rsidRPr="002F50BD">
        <w:rPr>
          <w:rFonts w:ascii="Verdana" w:hAnsi="Verdana"/>
          <w:sz w:val="20"/>
          <w:lang w:val="pt-BR"/>
        </w:rPr>
        <w:t xml:space="preserve">do </w:t>
      </w:r>
      <w:r w:rsidR="004756C1" w:rsidRPr="002F50BD">
        <w:rPr>
          <w:rFonts w:ascii="Verdana" w:hAnsi="Verdana"/>
          <w:sz w:val="20"/>
          <w:lang w:val="pt-BR"/>
        </w:rPr>
        <w:t xml:space="preserve">norte </w:t>
      </w:r>
      <w:r w:rsidR="0089298C" w:rsidRPr="002F50BD">
        <w:rPr>
          <w:rFonts w:ascii="Verdana" w:hAnsi="Verdana"/>
          <w:sz w:val="20"/>
          <w:lang w:val="pt-BR"/>
        </w:rPr>
        <w:t xml:space="preserve">do </w:t>
      </w:r>
      <w:r w:rsidR="004756C1" w:rsidRPr="002F50BD">
        <w:rPr>
          <w:rFonts w:ascii="Verdana" w:hAnsi="Verdana"/>
          <w:sz w:val="20"/>
          <w:lang w:val="pt-BR"/>
        </w:rPr>
        <w:t>Chaco,</w:t>
      </w:r>
      <w:r w:rsidR="0089298C" w:rsidRPr="002F50BD">
        <w:rPr>
          <w:rFonts w:ascii="Verdana" w:hAnsi="Verdana"/>
          <w:sz w:val="20"/>
          <w:lang w:val="pt-BR"/>
        </w:rPr>
        <w:t xml:space="preserve"> são </w:t>
      </w:r>
      <w:r w:rsidR="004756C1" w:rsidRPr="002F50BD">
        <w:rPr>
          <w:rFonts w:ascii="Verdana" w:hAnsi="Verdana"/>
          <w:sz w:val="20"/>
          <w:lang w:val="pt-BR"/>
        </w:rPr>
        <w:t>diferentes</w:t>
      </w:r>
      <w:r w:rsidR="0089298C" w:rsidRPr="002F50BD">
        <w:rPr>
          <w:rFonts w:ascii="Verdana" w:hAnsi="Verdana"/>
          <w:sz w:val="20"/>
          <w:lang w:val="pt-BR"/>
        </w:rPr>
        <w:t xml:space="preserve"> </w:t>
      </w:r>
      <w:r w:rsidR="004B0453" w:rsidRPr="002F50BD">
        <w:rPr>
          <w:rFonts w:ascii="Verdana" w:hAnsi="Verdana"/>
          <w:sz w:val="20"/>
          <w:lang w:val="pt-BR"/>
        </w:rPr>
        <w:t xml:space="preserve">daqueles </w:t>
      </w:r>
      <w:r w:rsidR="0089298C" w:rsidRPr="002F50BD">
        <w:rPr>
          <w:rFonts w:ascii="Verdana" w:hAnsi="Verdana"/>
          <w:sz w:val="20"/>
          <w:lang w:val="pt-BR"/>
        </w:rPr>
        <w:t>próprio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4756C1" w:rsidRPr="002F50BD">
        <w:rPr>
          <w:rFonts w:ascii="Verdana" w:hAnsi="Verdana"/>
          <w:sz w:val="20"/>
          <w:lang w:val="pt-BR"/>
        </w:rPr>
        <w:t xml:space="preserve">lugar de </w:t>
      </w:r>
      <w:r w:rsidR="0089298C" w:rsidRPr="002F50BD">
        <w:rPr>
          <w:rFonts w:ascii="Verdana" w:hAnsi="Verdana"/>
          <w:sz w:val="20"/>
          <w:lang w:val="pt-BR"/>
        </w:rPr>
        <w:t>origem</w:t>
      </w:r>
      <w:r w:rsidR="004756C1" w:rsidRPr="002F50BD">
        <w:rPr>
          <w:rFonts w:ascii="Verdana" w:hAnsi="Verdana"/>
          <w:sz w:val="20"/>
          <w:lang w:val="pt-BR"/>
        </w:rPr>
        <w:t xml:space="preserve"> </w:t>
      </w:r>
      <w:r w:rsidR="0089298C" w:rsidRPr="002F50BD">
        <w:rPr>
          <w:rFonts w:ascii="Verdana" w:hAnsi="Verdana"/>
          <w:sz w:val="20"/>
          <w:lang w:val="pt-BR"/>
        </w:rPr>
        <w:t xml:space="preserve">destes </w:t>
      </w:r>
      <w:r w:rsidR="004756C1" w:rsidRPr="002F50BD">
        <w:rPr>
          <w:rFonts w:ascii="Verdana" w:hAnsi="Verdana"/>
          <w:sz w:val="20"/>
          <w:lang w:val="pt-BR"/>
        </w:rPr>
        <w:t>grupos indígenas</w:t>
      </w:r>
      <w:r w:rsidR="00D91C0F" w:rsidRPr="002F50BD">
        <w:rPr>
          <w:rFonts w:ascii="Verdana" w:hAnsi="Verdana"/>
          <w:sz w:val="20"/>
          <w:lang w:val="pt-BR"/>
        </w:rPr>
        <w:t>.</w:t>
      </w:r>
      <w:r w:rsidR="004756C1" w:rsidRPr="002F50BD">
        <w:rPr>
          <w:rStyle w:val="FootnoteReference"/>
          <w:rFonts w:ascii="Verdana" w:hAnsi="Verdana"/>
        </w:rPr>
        <w:footnoteReference w:id="35"/>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15</w:t>
      </w:r>
      <w:r w:rsidR="004756C1" w:rsidRPr="002F50BD">
        <w:rPr>
          <w:rFonts w:ascii="Verdana" w:hAnsi="Verdana"/>
          <w:sz w:val="20"/>
          <w:lang w:val="pt-BR"/>
        </w:rPr>
        <w:t>.</w:t>
      </w:r>
      <w:r w:rsidR="004756C1" w:rsidRPr="002F50BD">
        <w:rPr>
          <w:rFonts w:ascii="Verdana" w:hAnsi="Verdana"/>
          <w:sz w:val="20"/>
          <w:lang w:val="pt-BR"/>
        </w:rPr>
        <w:tab/>
      </w:r>
      <w:r w:rsidR="00F8225E">
        <w:rPr>
          <w:rFonts w:ascii="Verdana" w:hAnsi="Verdana"/>
          <w:sz w:val="20"/>
          <w:lang w:val="pt-BR"/>
        </w:rPr>
        <w:t xml:space="preserve">A mudança para a </w:t>
      </w:r>
      <w:r w:rsidR="004756C1" w:rsidRPr="002F50BD">
        <w:rPr>
          <w:rFonts w:ascii="Verdana" w:hAnsi="Verdana"/>
          <w:i/>
          <w:sz w:val="20"/>
          <w:lang w:val="pt-BR"/>
        </w:rPr>
        <w:t>Estancia</w:t>
      </w:r>
      <w:r w:rsidR="00D91C0F" w:rsidRPr="002F50BD">
        <w:rPr>
          <w:rFonts w:ascii="Verdana" w:hAnsi="Verdana"/>
          <w:i/>
          <w:sz w:val="20"/>
          <w:lang w:val="pt-BR"/>
        </w:rPr>
        <w:t xml:space="preserve"> El Estribo</w:t>
      </w:r>
      <w:r w:rsidR="004756C1" w:rsidRPr="002F50BD">
        <w:rPr>
          <w:rFonts w:ascii="Verdana" w:hAnsi="Verdana"/>
          <w:sz w:val="20"/>
          <w:lang w:val="pt-BR"/>
        </w:rPr>
        <w:t xml:space="preserve"> n</w:t>
      </w:r>
      <w:r w:rsidR="00D91C0F" w:rsidRPr="002F50BD">
        <w:rPr>
          <w:rFonts w:ascii="Verdana" w:hAnsi="Verdana"/>
          <w:sz w:val="20"/>
          <w:lang w:val="pt-BR"/>
        </w:rPr>
        <w:t>ã</w:t>
      </w:r>
      <w:r w:rsidR="004756C1" w:rsidRPr="002F50BD">
        <w:rPr>
          <w:rFonts w:ascii="Verdana" w:hAnsi="Verdana"/>
          <w:sz w:val="20"/>
          <w:lang w:val="pt-BR"/>
        </w:rPr>
        <w:t>o tr</w:t>
      </w:r>
      <w:r w:rsidR="00D91C0F" w:rsidRPr="002F50BD">
        <w:rPr>
          <w:rFonts w:ascii="Verdana" w:hAnsi="Verdana"/>
          <w:sz w:val="20"/>
          <w:lang w:val="pt-BR"/>
        </w:rPr>
        <w:t>ouxe</w:t>
      </w:r>
      <w:r w:rsidR="004756C1" w:rsidRPr="002F50BD">
        <w:rPr>
          <w:rFonts w:ascii="Verdana" w:hAnsi="Verdana"/>
          <w:sz w:val="20"/>
          <w:lang w:val="pt-BR"/>
        </w:rPr>
        <w:t xml:space="preserve"> consigo</w:t>
      </w:r>
      <w:r w:rsidR="0089298C" w:rsidRPr="002F50BD">
        <w:rPr>
          <w:rFonts w:ascii="Verdana" w:hAnsi="Verdana"/>
          <w:sz w:val="20"/>
          <w:lang w:val="pt-BR"/>
        </w:rPr>
        <w:t xml:space="preserve"> uma </w:t>
      </w:r>
      <w:r w:rsidR="00D91C0F" w:rsidRPr="002F50BD">
        <w:rPr>
          <w:rFonts w:ascii="Verdana" w:hAnsi="Verdana"/>
          <w:sz w:val="20"/>
          <w:lang w:val="pt-BR"/>
        </w:rPr>
        <w:t>melhoria</w:t>
      </w:r>
      <w:r w:rsidR="0089298C" w:rsidRPr="002F50BD">
        <w:rPr>
          <w:rFonts w:ascii="Verdana" w:hAnsi="Verdana"/>
          <w:sz w:val="20"/>
          <w:lang w:val="pt-BR"/>
        </w:rPr>
        <w:t xml:space="preserve"> nas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00AB454A" w:rsidRPr="002F50BD">
        <w:rPr>
          <w:rFonts w:ascii="Verdana" w:hAnsi="Verdana"/>
          <w:sz w:val="20"/>
          <w:lang w:val="pt-BR"/>
        </w:rPr>
        <w:t xml:space="preserve"> A </w:t>
      </w:r>
      <w:r w:rsidR="00060B3A" w:rsidRPr="002F50BD">
        <w:rPr>
          <w:rFonts w:ascii="Verdana" w:hAnsi="Verdana"/>
          <w:sz w:val="20"/>
          <w:lang w:val="pt-BR"/>
        </w:rPr>
        <w:t xml:space="preserve">fazenda </w:t>
      </w:r>
      <w:r w:rsidR="0089298C" w:rsidRPr="002F50BD">
        <w:rPr>
          <w:rFonts w:ascii="Verdana" w:hAnsi="Verdana"/>
          <w:sz w:val="20"/>
          <w:lang w:val="pt-BR"/>
        </w:rPr>
        <w:t>tinha uma extensão</w:t>
      </w:r>
      <w:r w:rsidR="004756C1" w:rsidRPr="002F50BD">
        <w:rPr>
          <w:rFonts w:ascii="Verdana" w:hAnsi="Verdana"/>
          <w:sz w:val="20"/>
          <w:lang w:val="pt-BR"/>
        </w:rPr>
        <w:t xml:space="preserve"> de </w:t>
      </w:r>
      <w:r w:rsidRPr="002F50BD">
        <w:rPr>
          <w:rFonts w:ascii="Verdana" w:hAnsi="Verdana"/>
          <w:sz w:val="20"/>
          <w:lang w:val="pt-BR"/>
        </w:rPr>
        <w:t>25</w:t>
      </w:r>
      <w:r w:rsidR="004756C1" w:rsidRPr="002F50BD">
        <w:rPr>
          <w:rFonts w:ascii="Verdana" w:hAnsi="Verdana"/>
          <w:sz w:val="20"/>
          <w:lang w:val="pt-BR"/>
        </w:rPr>
        <w:t>.</w:t>
      </w:r>
      <w:r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89298C" w:rsidRPr="002F50BD">
        <w:rPr>
          <w:rFonts w:ascii="Verdana" w:hAnsi="Verdana"/>
          <w:sz w:val="20"/>
          <w:lang w:val="pt-BR"/>
        </w:rPr>
        <w:t xml:space="preserve"> e contava com mais </w:t>
      </w:r>
      <w:r w:rsidR="004756C1" w:rsidRPr="002F50BD">
        <w:rPr>
          <w:rFonts w:ascii="Verdana" w:hAnsi="Verdana"/>
          <w:sz w:val="20"/>
          <w:lang w:val="pt-BR"/>
        </w:rPr>
        <w:t xml:space="preserve">de </w:t>
      </w:r>
      <w:r w:rsidRPr="002F50BD">
        <w:rPr>
          <w:rFonts w:ascii="Verdana" w:hAnsi="Verdana"/>
          <w:sz w:val="20"/>
          <w:lang w:val="pt-BR"/>
        </w:rPr>
        <w:t>3</w:t>
      </w:r>
      <w:r w:rsidR="004756C1" w:rsidRPr="002F50BD">
        <w:rPr>
          <w:rFonts w:ascii="Verdana" w:hAnsi="Verdana"/>
          <w:sz w:val="20"/>
          <w:lang w:val="pt-BR"/>
        </w:rPr>
        <w:t>.</w:t>
      </w:r>
      <w:r w:rsidRPr="002F50BD">
        <w:rPr>
          <w:rFonts w:ascii="Verdana" w:hAnsi="Verdana"/>
          <w:sz w:val="20"/>
          <w:lang w:val="pt-BR"/>
        </w:rPr>
        <w:t>000</w:t>
      </w:r>
      <w:r w:rsidR="004756C1" w:rsidRPr="002F50BD">
        <w:rPr>
          <w:rFonts w:ascii="Verdana" w:hAnsi="Verdana"/>
          <w:sz w:val="20"/>
          <w:lang w:val="pt-BR"/>
        </w:rPr>
        <w:t xml:space="preserve"> habitantes</w:t>
      </w:r>
      <w:r w:rsidR="00DB51F0" w:rsidRPr="002F50BD">
        <w:rPr>
          <w:rFonts w:ascii="Verdana" w:hAnsi="Verdana"/>
          <w:sz w:val="20"/>
          <w:lang w:val="pt-BR"/>
        </w:rPr>
        <w:t xml:space="preserve">. Os </w:t>
      </w:r>
      <w:r w:rsidR="004756C1" w:rsidRPr="002F50BD">
        <w:rPr>
          <w:rFonts w:ascii="Verdana" w:hAnsi="Verdana"/>
          <w:sz w:val="20"/>
          <w:lang w:val="pt-BR"/>
        </w:rPr>
        <w:t>cultivos produ</w:t>
      </w:r>
      <w:r w:rsidR="00D91C0F" w:rsidRPr="002F50BD">
        <w:rPr>
          <w:rFonts w:ascii="Verdana" w:hAnsi="Verdana"/>
          <w:sz w:val="20"/>
          <w:lang w:val="pt-BR"/>
        </w:rPr>
        <w:t>ziam</w:t>
      </w:r>
      <w:r w:rsidR="004756C1" w:rsidRPr="002F50BD">
        <w:rPr>
          <w:rFonts w:ascii="Verdana" w:hAnsi="Verdana"/>
          <w:sz w:val="20"/>
          <w:lang w:val="pt-BR"/>
        </w:rPr>
        <w:t xml:space="preserve"> po</w:t>
      </w:r>
      <w:r w:rsidR="00D91C0F" w:rsidRPr="002F50BD">
        <w:rPr>
          <w:rFonts w:ascii="Verdana" w:hAnsi="Verdana"/>
          <w:sz w:val="20"/>
          <w:lang w:val="pt-BR"/>
        </w:rPr>
        <w:t>u</w:t>
      </w:r>
      <w:r w:rsidR="004756C1" w:rsidRPr="002F50BD">
        <w:rPr>
          <w:rFonts w:ascii="Verdana" w:hAnsi="Verdana"/>
          <w:sz w:val="20"/>
          <w:lang w:val="pt-BR"/>
        </w:rPr>
        <w:t>co,</w:t>
      </w:r>
      <w:r w:rsidR="0089298C" w:rsidRPr="002F50BD">
        <w:rPr>
          <w:rFonts w:ascii="Verdana" w:hAnsi="Verdana"/>
          <w:sz w:val="20"/>
          <w:lang w:val="pt-BR"/>
        </w:rPr>
        <w:t xml:space="preserve"> n</w:t>
      </w:r>
      <w:r w:rsidR="00D91C0F"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 xml:space="preserve">área </w:t>
      </w:r>
      <w:r w:rsidR="00AB454A" w:rsidRPr="002F50BD">
        <w:rPr>
          <w:rFonts w:ascii="Verdana" w:hAnsi="Verdana"/>
          <w:sz w:val="20"/>
          <w:lang w:val="pt-BR"/>
        </w:rPr>
        <w:t>não havia</w:t>
      </w:r>
      <w:r w:rsidR="004756C1" w:rsidRPr="002F50BD">
        <w:rPr>
          <w:rFonts w:ascii="Verdana" w:hAnsi="Verdana"/>
          <w:sz w:val="20"/>
          <w:lang w:val="pt-BR"/>
        </w:rPr>
        <w:t xml:space="preserve"> </w:t>
      </w:r>
      <w:r w:rsidR="0089298C" w:rsidRPr="002F50BD">
        <w:rPr>
          <w:rFonts w:ascii="Verdana" w:hAnsi="Verdana"/>
          <w:sz w:val="20"/>
          <w:lang w:val="pt-BR"/>
        </w:rPr>
        <w:t>animais</w:t>
      </w:r>
      <w:r w:rsidR="004756C1" w:rsidRPr="002F50BD">
        <w:rPr>
          <w:rFonts w:ascii="Verdana" w:hAnsi="Verdana"/>
          <w:sz w:val="20"/>
          <w:lang w:val="pt-BR"/>
        </w:rPr>
        <w:t xml:space="preserve"> para </w:t>
      </w:r>
      <w:r w:rsidR="00AB454A" w:rsidRPr="002F50BD">
        <w:rPr>
          <w:rFonts w:ascii="Verdana" w:hAnsi="Verdana"/>
          <w:sz w:val="20"/>
          <w:lang w:val="pt-BR"/>
        </w:rPr>
        <w:t>caça</w:t>
      </w:r>
      <w:r w:rsidR="004756C1" w:rsidRPr="002F50BD">
        <w:rPr>
          <w:rFonts w:ascii="Verdana" w:hAnsi="Verdana"/>
          <w:sz w:val="20"/>
          <w:lang w:val="pt-BR"/>
        </w:rPr>
        <w:t>r</w:t>
      </w:r>
      <w:r w:rsidR="0089298C" w:rsidRPr="002F50BD">
        <w:rPr>
          <w:rFonts w:ascii="Verdana" w:hAnsi="Verdana"/>
          <w:sz w:val="20"/>
          <w:lang w:val="pt-BR"/>
        </w:rPr>
        <w:t xml:space="preserve"> e os animais</w:t>
      </w:r>
      <w:r w:rsidR="004756C1" w:rsidRPr="002F50BD">
        <w:rPr>
          <w:rFonts w:ascii="Verdana" w:hAnsi="Verdana"/>
          <w:sz w:val="20"/>
          <w:lang w:val="pt-BR"/>
        </w:rPr>
        <w:t xml:space="preserve"> domésticos mor</w:t>
      </w:r>
      <w:r w:rsidR="00D91C0F" w:rsidRPr="002F50BD">
        <w:rPr>
          <w:rFonts w:ascii="Verdana" w:hAnsi="Verdana"/>
          <w:sz w:val="20"/>
          <w:lang w:val="pt-BR"/>
        </w:rPr>
        <w:t>riam</w:t>
      </w:r>
      <w:r w:rsidR="004756C1" w:rsidRPr="002F50BD">
        <w:rPr>
          <w:rFonts w:ascii="Verdana" w:hAnsi="Verdana"/>
          <w:sz w:val="20"/>
          <w:lang w:val="pt-BR"/>
        </w:rPr>
        <w:t>,</w:t>
      </w:r>
      <w:r w:rsidR="0089298C" w:rsidRPr="002F50BD">
        <w:rPr>
          <w:rFonts w:ascii="Verdana" w:hAnsi="Verdana"/>
          <w:sz w:val="20"/>
          <w:lang w:val="pt-BR"/>
        </w:rPr>
        <w:t xml:space="preserve"> </w:t>
      </w:r>
      <w:r w:rsidR="00D91C0F" w:rsidRPr="002F50BD">
        <w:rPr>
          <w:rFonts w:ascii="Verdana" w:hAnsi="Verdana"/>
          <w:sz w:val="20"/>
          <w:lang w:val="pt-BR"/>
        </w:rPr>
        <w:t>de modo</w:t>
      </w:r>
      <w:r w:rsidR="0089298C" w:rsidRPr="002F50BD">
        <w:rPr>
          <w:rFonts w:ascii="Verdana" w:hAnsi="Verdana"/>
          <w:sz w:val="20"/>
          <w:lang w:val="pt-BR"/>
        </w:rPr>
        <w:t xml:space="preserve"> que foi necessári</w:t>
      </w:r>
      <w:r w:rsidR="004756C1" w:rsidRPr="002F50BD">
        <w:rPr>
          <w:rFonts w:ascii="Verdana" w:hAnsi="Verdana"/>
          <w:sz w:val="20"/>
          <w:lang w:val="pt-BR"/>
        </w:rPr>
        <w:t xml:space="preserve">o buscar </w:t>
      </w:r>
      <w:r w:rsidR="0089298C" w:rsidRPr="002F50BD">
        <w:rPr>
          <w:rFonts w:ascii="Verdana" w:hAnsi="Verdana"/>
          <w:sz w:val="20"/>
          <w:lang w:val="pt-BR"/>
        </w:rPr>
        <w:t>trabalho</w:t>
      </w:r>
      <w:r w:rsidR="004756C1" w:rsidRPr="002F50BD">
        <w:rPr>
          <w:rFonts w:ascii="Verdana" w:hAnsi="Verdana"/>
          <w:sz w:val="20"/>
          <w:lang w:val="pt-BR"/>
        </w:rPr>
        <w:t xml:space="preserve"> </w:t>
      </w:r>
      <w:r w:rsidR="0089298C" w:rsidRPr="002F50BD">
        <w:rPr>
          <w:rFonts w:ascii="Verdana" w:hAnsi="Verdana"/>
          <w:sz w:val="20"/>
          <w:lang w:val="pt-BR"/>
        </w:rPr>
        <w:t>fora da mesm</w:t>
      </w:r>
      <w:r w:rsidR="004756C1" w:rsidRPr="002F50BD">
        <w:rPr>
          <w:rFonts w:ascii="Verdana" w:hAnsi="Verdana"/>
          <w:sz w:val="20"/>
          <w:lang w:val="pt-BR"/>
        </w:rPr>
        <w:t>a</w:t>
      </w:r>
      <w:r w:rsidR="00AB454A" w:rsidRPr="002F50BD">
        <w:rPr>
          <w:rFonts w:ascii="Verdana" w:hAnsi="Verdana"/>
          <w:sz w:val="20"/>
          <w:lang w:val="pt-BR"/>
        </w:rPr>
        <w:t xml:space="preserve">. A </w:t>
      </w:r>
      <w:r w:rsidR="004756C1" w:rsidRPr="002F50BD">
        <w:rPr>
          <w:rFonts w:ascii="Verdana" w:hAnsi="Verdana"/>
          <w:sz w:val="20"/>
          <w:lang w:val="pt-BR"/>
        </w:rPr>
        <w:t>falta de</w:t>
      </w:r>
      <w:r w:rsidR="00AB454A" w:rsidRPr="002F50BD">
        <w:rPr>
          <w:rFonts w:ascii="Verdana" w:hAnsi="Verdana"/>
          <w:sz w:val="20"/>
          <w:lang w:val="pt-BR"/>
        </w:rPr>
        <w:t xml:space="preserve"> água </w:t>
      </w:r>
      <w:r w:rsidR="0089298C" w:rsidRPr="002F50BD">
        <w:rPr>
          <w:rFonts w:ascii="Verdana" w:hAnsi="Verdana"/>
          <w:sz w:val="20"/>
          <w:lang w:val="pt-BR"/>
        </w:rPr>
        <w:t xml:space="preserve">e </w:t>
      </w:r>
      <w:r w:rsidR="004756C1" w:rsidRPr="002F50BD">
        <w:rPr>
          <w:rFonts w:ascii="Verdana" w:hAnsi="Verdana"/>
          <w:sz w:val="20"/>
          <w:lang w:val="pt-BR"/>
        </w:rPr>
        <w:t xml:space="preserve">alimento </w:t>
      </w:r>
      <w:r w:rsidR="00D91C0F" w:rsidRPr="002F50BD">
        <w:rPr>
          <w:rFonts w:ascii="Verdana" w:hAnsi="Verdana"/>
          <w:sz w:val="20"/>
          <w:lang w:val="pt-BR"/>
        </w:rPr>
        <w:t>causou</w:t>
      </w:r>
      <w:r w:rsidR="0089298C" w:rsidRPr="002F50BD">
        <w:rPr>
          <w:rFonts w:ascii="Verdana" w:hAnsi="Verdana"/>
          <w:sz w:val="20"/>
          <w:lang w:val="pt-BR"/>
        </w:rPr>
        <w:t xml:space="preserve"> a morte</w:t>
      </w:r>
      <w:r w:rsidR="004756C1" w:rsidRPr="002F50BD">
        <w:rPr>
          <w:rFonts w:ascii="Verdana" w:hAnsi="Verdana"/>
          <w:sz w:val="20"/>
          <w:lang w:val="pt-BR"/>
        </w:rPr>
        <w:t xml:space="preserve"> de </w:t>
      </w:r>
      <w:r w:rsidR="0089298C" w:rsidRPr="002F50BD">
        <w:rPr>
          <w:rFonts w:ascii="Verdana" w:hAnsi="Verdana"/>
          <w:sz w:val="20"/>
          <w:lang w:val="pt-BR"/>
        </w:rPr>
        <w:t>muit</w:t>
      </w:r>
      <w:r w:rsidR="005A6BC7" w:rsidRPr="002F50BD">
        <w:rPr>
          <w:rFonts w:ascii="Verdana" w:hAnsi="Verdana"/>
          <w:sz w:val="20"/>
          <w:lang w:val="pt-BR"/>
        </w:rPr>
        <w:t>as crianças</w:t>
      </w:r>
      <w:r w:rsidR="004756C1" w:rsidRPr="002F50BD">
        <w:rPr>
          <w:rFonts w:ascii="Verdana" w:hAnsi="Verdana"/>
          <w:sz w:val="20"/>
          <w:lang w:val="pt-BR"/>
        </w:rPr>
        <w:t xml:space="preserve">, </w:t>
      </w:r>
      <w:r w:rsidR="0089298C" w:rsidRPr="002F50BD">
        <w:rPr>
          <w:rFonts w:ascii="Verdana" w:hAnsi="Verdana"/>
          <w:sz w:val="20"/>
          <w:lang w:val="pt-BR"/>
        </w:rPr>
        <w:t xml:space="preserve">jovens e </w:t>
      </w:r>
      <w:r w:rsidR="00EC5F20" w:rsidRPr="002F50BD">
        <w:rPr>
          <w:rFonts w:ascii="Verdana" w:hAnsi="Verdana"/>
          <w:sz w:val="20"/>
          <w:lang w:val="pt-BR"/>
        </w:rPr>
        <w:t>idosos</w:t>
      </w:r>
      <w:r w:rsidR="004756C1" w:rsidRPr="002F50BD">
        <w:rPr>
          <w:rFonts w:ascii="Verdana" w:hAnsi="Verdana"/>
          <w:sz w:val="20"/>
          <w:lang w:val="pt-BR"/>
        </w:rPr>
        <w:t xml:space="preserve">. </w:t>
      </w:r>
      <w:r w:rsidR="006845C2" w:rsidRPr="002F50BD">
        <w:rPr>
          <w:rFonts w:ascii="Verdana" w:hAnsi="Verdana"/>
          <w:sz w:val="20"/>
          <w:lang w:val="pt-BR"/>
        </w:rPr>
        <w:t>Como</w:t>
      </w:r>
      <w:r w:rsidR="0089298C" w:rsidRPr="002F50BD">
        <w:rPr>
          <w:rFonts w:ascii="Verdana" w:hAnsi="Verdana"/>
          <w:sz w:val="20"/>
          <w:lang w:val="pt-BR"/>
        </w:rPr>
        <w:t xml:space="preserve"> a </w:t>
      </w:r>
      <w:r w:rsidR="004756C1" w:rsidRPr="002F50BD">
        <w:rPr>
          <w:rFonts w:ascii="Verdana" w:hAnsi="Verdana"/>
          <w:i/>
          <w:sz w:val="20"/>
          <w:lang w:val="pt-BR"/>
        </w:rPr>
        <w:t>Estancia</w:t>
      </w:r>
      <w:r w:rsidR="00D91C0F" w:rsidRPr="002F50BD">
        <w:rPr>
          <w:rFonts w:ascii="Verdana" w:hAnsi="Verdana"/>
          <w:i/>
          <w:sz w:val="20"/>
          <w:lang w:val="pt-BR"/>
        </w:rPr>
        <w:t xml:space="preserve"> El Estribo</w:t>
      </w:r>
      <w:r w:rsidR="004756C1" w:rsidRPr="002F50BD">
        <w:rPr>
          <w:rFonts w:ascii="Verdana" w:hAnsi="Verdana"/>
          <w:sz w:val="20"/>
          <w:lang w:val="pt-BR"/>
        </w:rPr>
        <w:t xml:space="preserve"> era</w:t>
      </w:r>
      <w:r w:rsidR="0089298C" w:rsidRPr="002F50BD">
        <w:rPr>
          <w:rFonts w:ascii="Verdana" w:hAnsi="Verdana"/>
          <w:sz w:val="20"/>
          <w:lang w:val="pt-BR"/>
        </w:rPr>
        <w:t xml:space="preserve"> o </w:t>
      </w:r>
      <w:r w:rsidR="00AB454A" w:rsidRPr="002F50BD">
        <w:rPr>
          <w:rFonts w:ascii="Verdana" w:hAnsi="Verdana"/>
          <w:sz w:val="20"/>
          <w:lang w:val="pt-BR"/>
        </w:rPr>
        <w:t>assentamento</w:t>
      </w:r>
      <w:r w:rsidR="004756C1" w:rsidRPr="002F50BD">
        <w:rPr>
          <w:rFonts w:ascii="Verdana" w:hAnsi="Verdana"/>
          <w:sz w:val="20"/>
          <w:lang w:val="pt-BR"/>
        </w:rPr>
        <w:t xml:space="preserve"> principal</w:t>
      </w:r>
      <w:r w:rsidR="0089298C" w:rsidRPr="002F50BD">
        <w:rPr>
          <w:rFonts w:ascii="Verdana" w:hAnsi="Verdana"/>
          <w:sz w:val="20"/>
          <w:lang w:val="pt-BR"/>
        </w:rPr>
        <w:t xml:space="preserve"> das </w:t>
      </w:r>
      <w:r w:rsidR="004756C1" w:rsidRPr="002F50BD">
        <w:rPr>
          <w:rFonts w:ascii="Verdana" w:hAnsi="Verdana"/>
          <w:sz w:val="20"/>
          <w:lang w:val="pt-BR"/>
        </w:rPr>
        <w:t>comunidades indígenas de Makxlawaya,</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estavam</w:t>
      </w:r>
      <w:r w:rsidR="004756C1" w:rsidRPr="002F50BD">
        <w:rPr>
          <w:rFonts w:ascii="Verdana" w:hAnsi="Verdana"/>
          <w:sz w:val="20"/>
          <w:lang w:val="pt-BR"/>
        </w:rPr>
        <w:t xml:space="preserve"> margina</w:t>
      </w:r>
      <w:r w:rsidR="00D91C0F" w:rsidRPr="002F50BD">
        <w:rPr>
          <w:rFonts w:ascii="Verdana" w:hAnsi="Verdana"/>
          <w:sz w:val="20"/>
          <w:lang w:val="pt-BR"/>
        </w:rPr>
        <w:t>liza</w:t>
      </w:r>
      <w:r w:rsidR="004756C1" w:rsidRPr="002F50BD">
        <w:rPr>
          <w:rFonts w:ascii="Verdana" w:hAnsi="Verdana"/>
          <w:sz w:val="20"/>
          <w:lang w:val="pt-BR"/>
        </w:rPr>
        <w:t>dos</w:t>
      </w:r>
      <w:r w:rsidR="0089298C" w:rsidRPr="002F50BD">
        <w:rPr>
          <w:rFonts w:ascii="Verdana" w:hAnsi="Verdana"/>
          <w:sz w:val="20"/>
          <w:lang w:val="pt-BR"/>
        </w:rPr>
        <w:t xml:space="preserve"> e </w:t>
      </w:r>
      <w:r w:rsidR="004756C1" w:rsidRPr="002F50BD">
        <w:rPr>
          <w:rFonts w:ascii="Verdana" w:hAnsi="Verdana"/>
          <w:sz w:val="20"/>
          <w:lang w:val="pt-BR"/>
        </w:rPr>
        <w:t>n</w:t>
      </w:r>
      <w:r w:rsidR="00D91C0F" w:rsidRPr="002F50BD">
        <w:rPr>
          <w:rFonts w:ascii="Verdana" w:hAnsi="Verdana"/>
          <w:sz w:val="20"/>
          <w:lang w:val="pt-BR"/>
        </w:rPr>
        <w:t>ã</w:t>
      </w:r>
      <w:r w:rsidR="004756C1" w:rsidRPr="002F50BD">
        <w:rPr>
          <w:rFonts w:ascii="Verdana" w:hAnsi="Verdana"/>
          <w:sz w:val="20"/>
          <w:lang w:val="pt-BR"/>
        </w:rPr>
        <w:t>o po</w:t>
      </w:r>
      <w:r w:rsidR="0089298C" w:rsidRPr="002F50BD">
        <w:rPr>
          <w:rFonts w:ascii="Verdana" w:hAnsi="Verdana"/>
          <w:sz w:val="20"/>
          <w:lang w:val="pt-BR"/>
        </w:rPr>
        <w:t>dia</w:t>
      </w:r>
      <w:r w:rsidR="00D91C0F" w:rsidRPr="002F50BD">
        <w:rPr>
          <w:rFonts w:ascii="Verdana" w:hAnsi="Verdana"/>
          <w:sz w:val="20"/>
          <w:lang w:val="pt-BR"/>
        </w:rPr>
        <w:t>m</w:t>
      </w:r>
      <w:r w:rsidR="004756C1" w:rsidRPr="002F50BD">
        <w:rPr>
          <w:rFonts w:ascii="Verdana" w:hAnsi="Verdana"/>
          <w:sz w:val="20"/>
          <w:lang w:val="pt-BR"/>
        </w:rPr>
        <w:t xml:space="preserve"> celebrar </w:t>
      </w:r>
      <w:r w:rsidR="0089298C" w:rsidRPr="002F50BD">
        <w:rPr>
          <w:rFonts w:ascii="Verdana" w:hAnsi="Verdana"/>
          <w:sz w:val="20"/>
          <w:lang w:val="pt-BR"/>
        </w:rPr>
        <w:t>livremente</w:t>
      </w:r>
      <w:r w:rsidR="004756C1" w:rsidRPr="002F50BD">
        <w:rPr>
          <w:rFonts w:ascii="Verdana" w:hAnsi="Verdana"/>
          <w:sz w:val="20"/>
          <w:lang w:val="pt-BR"/>
        </w:rPr>
        <w:t xml:space="preserve"> su</w:t>
      </w:r>
      <w:r w:rsidR="00D91C0F"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prática</w:t>
      </w:r>
      <w:r w:rsidR="004756C1" w:rsidRPr="002F50BD">
        <w:rPr>
          <w:rFonts w:ascii="Verdana" w:hAnsi="Verdana"/>
          <w:sz w:val="20"/>
          <w:lang w:val="pt-BR"/>
        </w:rPr>
        <w:t xml:space="preserve">s </w:t>
      </w:r>
      <w:r w:rsidR="0089298C" w:rsidRPr="002F50BD">
        <w:rPr>
          <w:rFonts w:ascii="Verdana" w:hAnsi="Verdana"/>
          <w:sz w:val="20"/>
          <w:lang w:val="pt-BR"/>
        </w:rPr>
        <w:t>culturais</w:t>
      </w:r>
      <w:r w:rsidR="00D91C0F" w:rsidRPr="002F50BD">
        <w:rPr>
          <w:rFonts w:ascii="Verdana" w:hAnsi="Verdana"/>
          <w:sz w:val="20"/>
          <w:lang w:val="pt-BR"/>
        </w:rPr>
        <w:t>.</w:t>
      </w:r>
      <w:r w:rsidR="004756C1" w:rsidRPr="002F50BD">
        <w:rPr>
          <w:rStyle w:val="FootnoteReference"/>
          <w:rFonts w:ascii="Verdana" w:hAnsi="Verdana"/>
        </w:rPr>
        <w:footnoteReference w:id="36"/>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16</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ano </w:t>
      </w:r>
      <w:r w:rsidR="00D91C0F" w:rsidRPr="002F50BD">
        <w:rPr>
          <w:rFonts w:ascii="Verdana" w:hAnsi="Verdana"/>
          <w:sz w:val="20"/>
          <w:lang w:val="pt-BR"/>
        </w:rPr>
        <w:t xml:space="preserve">de </w:t>
      </w:r>
      <w:r w:rsidRPr="002F50BD">
        <w:rPr>
          <w:rFonts w:ascii="Verdana" w:hAnsi="Verdana"/>
          <w:sz w:val="20"/>
          <w:lang w:val="pt-BR"/>
        </w:rPr>
        <w:t>1993</w:t>
      </w:r>
      <w:r w:rsidR="00EC5F20"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decidiram</w:t>
      </w:r>
      <w:r w:rsidR="004756C1" w:rsidRPr="002F50BD">
        <w:rPr>
          <w:rFonts w:ascii="Verdana" w:hAnsi="Verdana"/>
          <w:sz w:val="20"/>
          <w:lang w:val="pt-BR"/>
        </w:rPr>
        <w:t xml:space="preserve"> iniciar</w:t>
      </w:r>
      <w:r w:rsidR="0089298C" w:rsidRPr="002F50BD">
        <w:rPr>
          <w:rFonts w:ascii="Verdana" w:hAnsi="Verdana"/>
          <w:sz w:val="20"/>
          <w:lang w:val="pt-BR"/>
        </w:rPr>
        <w:t xml:space="preserve"> os trâmite</w:t>
      </w:r>
      <w:r w:rsidR="004756C1" w:rsidRPr="002F50BD">
        <w:rPr>
          <w:rFonts w:ascii="Verdana" w:hAnsi="Verdana"/>
          <w:sz w:val="20"/>
          <w:lang w:val="pt-BR"/>
        </w:rPr>
        <w:t>s para reivindicar</w:t>
      </w:r>
      <w:r w:rsidR="0089298C" w:rsidRPr="002F50BD">
        <w:rPr>
          <w:rFonts w:ascii="Verdana" w:hAnsi="Verdana"/>
          <w:sz w:val="20"/>
          <w:lang w:val="pt-BR"/>
        </w:rPr>
        <w:t xml:space="preserve"> as terra</w:t>
      </w:r>
      <w:r w:rsidR="004756C1" w:rsidRPr="002F50BD">
        <w:rPr>
          <w:rFonts w:ascii="Verdana" w:hAnsi="Verdana"/>
          <w:sz w:val="20"/>
          <w:lang w:val="pt-BR"/>
        </w:rPr>
        <w:t xml:space="preserve">s que </w:t>
      </w:r>
      <w:r w:rsidR="0089298C" w:rsidRPr="002F50BD">
        <w:rPr>
          <w:rFonts w:ascii="Verdana" w:hAnsi="Verdana"/>
          <w:sz w:val="20"/>
          <w:lang w:val="pt-BR"/>
        </w:rPr>
        <w:t xml:space="preserve">consideram </w:t>
      </w:r>
      <w:r w:rsidR="004756C1" w:rsidRPr="002F50BD">
        <w:rPr>
          <w:rFonts w:ascii="Verdana" w:hAnsi="Verdana"/>
          <w:sz w:val="20"/>
          <w:lang w:val="pt-BR"/>
        </w:rPr>
        <w:t xml:space="preserve">como </w:t>
      </w:r>
      <w:r w:rsidR="00DB51F0" w:rsidRPr="002F50BD">
        <w:rPr>
          <w:rFonts w:ascii="Verdana" w:hAnsi="Verdana"/>
          <w:sz w:val="20"/>
          <w:lang w:val="pt-BR"/>
        </w:rPr>
        <w:t>seu habitat</w:t>
      </w:r>
      <w:r w:rsidR="004756C1" w:rsidRPr="002F50BD">
        <w:rPr>
          <w:rFonts w:ascii="Verdana" w:hAnsi="Verdana"/>
          <w:sz w:val="20"/>
          <w:lang w:val="pt-BR"/>
        </w:rPr>
        <w:t xml:space="preserve"> tradicional. Para </w:t>
      </w:r>
      <w:r w:rsidR="00F8225E">
        <w:rPr>
          <w:rFonts w:ascii="Verdana" w:hAnsi="Verdana"/>
          <w:sz w:val="20"/>
          <w:lang w:val="pt-BR"/>
        </w:rPr>
        <w:t>isso</w:t>
      </w:r>
      <w:r w:rsidR="004756C1" w:rsidRPr="002F50BD">
        <w:rPr>
          <w:rFonts w:ascii="Verdana" w:hAnsi="Verdana"/>
          <w:sz w:val="20"/>
          <w:lang w:val="pt-BR"/>
        </w:rPr>
        <w:t xml:space="preserve"> designar</w:t>
      </w:r>
      <w:r w:rsidR="00D91C0F" w:rsidRPr="002F50BD">
        <w:rPr>
          <w:rFonts w:ascii="Verdana" w:hAnsi="Verdana"/>
          <w:sz w:val="20"/>
          <w:lang w:val="pt-BR"/>
        </w:rPr>
        <w:t>am</w:t>
      </w:r>
      <w:r w:rsidR="0089298C" w:rsidRPr="002F50BD">
        <w:rPr>
          <w:rFonts w:ascii="Verdana" w:hAnsi="Verdana"/>
          <w:sz w:val="20"/>
          <w:lang w:val="pt-BR"/>
        </w:rPr>
        <w:t xml:space="preserve"> 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 xml:space="preserve">Esteban López como </w:t>
      </w:r>
      <w:r w:rsidR="005A6BC7" w:rsidRPr="002F50BD">
        <w:rPr>
          <w:rFonts w:ascii="Verdana" w:hAnsi="Verdana"/>
          <w:sz w:val="20"/>
          <w:lang w:val="pt-BR"/>
        </w:rPr>
        <w:t>seus líderes</w:t>
      </w:r>
      <w:r w:rsidR="00D91C0F" w:rsidRPr="002F50BD">
        <w:rPr>
          <w:rFonts w:ascii="Verdana" w:hAnsi="Verdana"/>
          <w:sz w:val="20"/>
          <w:lang w:val="pt-BR"/>
        </w:rPr>
        <w:t>.</w:t>
      </w:r>
      <w:r w:rsidR="004756C1" w:rsidRPr="002F50BD">
        <w:rPr>
          <w:rStyle w:val="FootnoteReference"/>
          <w:rFonts w:ascii="Verdana" w:hAnsi="Verdana"/>
        </w:rPr>
        <w:footnoteReference w:id="37"/>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lang w:val="pt-BR"/>
        </w:rPr>
      </w:pPr>
      <w:r w:rsidRPr="002F50BD">
        <w:rPr>
          <w:rFonts w:ascii="Verdana" w:hAnsi="Verdana"/>
          <w:i/>
          <w:sz w:val="20"/>
          <w:lang w:val="pt-BR"/>
        </w:rPr>
        <w:t>b</w:t>
      </w:r>
      <w:r w:rsidR="00CF451D" w:rsidRPr="00CF451D">
        <w:rPr>
          <w:rFonts w:ascii="Verdana" w:hAnsi="Verdana"/>
          <w:sz w:val="20"/>
          <w:lang w:val="pt-BR"/>
        </w:rPr>
        <w:t>)</w:t>
      </w:r>
      <w:r w:rsidRPr="002F50BD">
        <w:rPr>
          <w:rFonts w:ascii="Verdana" w:hAnsi="Verdana"/>
          <w:i/>
          <w:sz w:val="20"/>
          <w:lang w:val="pt-BR"/>
        </w:rPr>
        <w:tab/>
      </w:r>
      <w:r w:rsidR="0089298C" w:rsidRPr="002F50BD">
        <w:rPr>
          <w:rFonts w:ascii="Verdana" w:hAnsi="Verdana"/>
          <w:i/>
          <w:sz w:val="20"/>
          <w:lang w:val="pt-BR"/>
        </w:rPr>
        <w:t>Ações</w:t>
      </w:r>
      <w:r w:rsidRPr="002F50BD">
        <w:rPr>
          <w:rFonts w:ascii="Verdana" w:hAnsi="Verdana"/>
          <w:i/>
          <w:sz w:val="20"/>
          <w:lang w:val="pt-BR"/>
        </w:rPr>
        <w:t xml:space="preserve"> de reivindica</w:t>
      </w:r>
      <w:r w:rsidR="0089298C" w:rsidRPr="002F50BD">
        <w:rPr>
          <w:rFonts w:ascii="Verdana" w:hAnsi="Verdana"/>
          <w:i/>
          <w:sz w:val="20"/>
          <w:lang w:val="pt-BR"/>
        </w:rPr>
        <w:t>ção e proteção das terra</w:t>
      </w:r>
      <w:r w:rsidRPr="002F50BD">
        <w:rPr>
          <w:rFonts w:ascii="Verdana" w:hAnsi="Verdana"/>
          <w:i/>
          <w:sz w:val="20"/>
          <w:lang w:val="pt-BR"/>
        </w:rPr>
        <w:t xml:space="preserve">s, </w:t>
      </w:r>
      <w:r w:rsidR="0089298C" w:rsidRPr="002F50BD">
        <w:rPr>
          <w:rFonts w:ascii="Verdana" w:hAnsi="Verdana"/>
          <w:i/>
          <w:sz w:val="20"/>
          <w:lang w:val="pt-BR"/>
        </w:rPr>
        <w:t>território</w:t>
      </w:r>
      <w:r w:rsidRPr="002F50BD">
        <w:rPr>
          <w:rFonts w:ascii="Verdana" w:hAnsi="Verdana"/>
          <w:i/>
          <w:sz w:val="20"/>
          <w:lang w:val="pt-BR"/>
        </w:rPr>
        <w:t xml:space="preserve"> tradicional</w:t>
      </w:r>
      <w:r w:rsidR="0089298C" w:rsidRPr="002F50BD">
        <w:rPr>
          <w:rFonts w:ascii="Verdana" w:hAnsi="Verdana"/>
          <w:i/>
          <w:sz w:val="20"/>
          <w:lang w:val="pt-BR"/>
        </w:rPr>
        <w:t xml:space="preserve"> e </w:t>
      </w:r>
      <w:r w:rsidRPr="002F50BD">
        <w:rPr>
          <w:rFonts w:ascii="Verdana" w:hAnsi="Verdana"/>
          <w:i/>
          <w:sz w:val="20"/>
          <w:lang w:val="pt-BR"/>
        </w:rPr>
        <w:t xml:space="preserve">recursos </w:t>
      </w:r>
      <w:r w:rsidR="005D1589" w:rsidRPr="002F50BD">
        <w:rPr>
          <w:rFonts w:ascii="Verdana" w:hAnsi="Verdana"/>
          <w:i/>
          <w:sz w:val="20"/>
          <w:lang w:val="pt-BR"/>
        </w:rPr>
        <w:t>naturais</w:t>
      </w:r>
      <w:r w:rsidRPr="002F50BD">
        <w:rPr>
          <w:rFonts w:ascii="Verdana" w:hAnsi="Verdana"/>
          <w:i/>
          <w:sz w:val="20"/>
          <w:lang w:val="pt-BR"/>
        </w:rPr>
        <w:t xml:space="preserve"> por parte</w:t>
      </w:r>
      <w:r w:rsidR="0089298C" w:rsidRPr="002F50BD">
        <w:rPr>
          <w:rFonts w:ascii="Verdana" w:hAnsi="Verdana"/>
          <w:i/>
          <w:sz w:val="20"/>
          <w:lang w:val="pt-BR"/>
        </w:rPr>
        <w:t xml:space="preserve"> da Comunidade </w:t>
      </w:r>
      <w:r w:rsidRPr="002F50BD">
        <w:rPr>
          <w:rFonts w:ascii="Verdana" w:hAnsi="Verdana"/>
          <w:i/>
          <w:sz w:val="20"/>
          <w:lang w:val="pt-BR"/>
        </w:rPr>
        <w:t>indígena Yakye Axa</w:t>
      </w:r>
      <w:r w:rsidR="0089298C" w:rsidRPr="002F50BD">
        <w:rPr>
          <w:rFonts w:ascii="Verdana" w:hAnsi="Verdana"/>
          <w:i/>
          <w:sz w:val="20"/>
          <w:lang w:val="pt-BR"/>
        </w:rPr>
        <w:t xml:space="preserve"> na jurisdição</w:t>
      </w:r>
      <w:r w:rsidRPr="002F50BD">
        <w:rPr>
          <w:rFonts w:ascii="Verdana" w:hAnsi="Verdana"/>
          <w:i/>
          <w:sz w:val="20"/>
          <w:lang w:val="pt-BR"/>
        </w:rPr>
        <w:t xml:space="preserve"> interna</w:t>
      </w:r>
    </w:p>
    <w:p w:rsidR="004756C1" w:rsidRPr="002F50BD" w:rsidRDefault="004756C1">
      <w:pPr>
        <w:jc w:val="both"/>
        <w:rPr>
          <w:rFonts w:ascii="Verdana" w:hAnsi="Verdana"/>
          <w:sz w:val="20"/>
          <w:lang w:val="pt-BR"/>
        </w:rPr>
      </w:pPr>
    </w:p>
    <w:p w:rsidR="004756C1" w:rsidRPr="002F50BD" w:rsidRDefault="004756C1">
      <w:pPr>
        <w:ind w:firstLine="720"/>
        <w:rPr>
          <w:rFonts w:ascii="Verdana" w:hAnsi="Verdana"/>
          <w:sz w:val="20"/>
          <w:lang w:val="pt-BR"/>
        </w:rPr>
      </w:pPr>
      <w:r w:rsidRPr="002F50BD">
        <w:rPr>
          <w:rFonts w:ascii="Verdana" w:hAnsi="Verdana"/>
          <w:sz w:val="20"/>
          <w:lang w:val="pt-BR"/>
        </w:rPr>
        <w:t>i.</w:t>
      </w:r>
      <w:r w:rsidRPr="002F50BD">
        <w:rPr>
          <w:rFonts w:ascii="Verdana" w:hAnsi="Verdana"/>
          <w:sz w:val="20"/>
          <w:lang w:val="pt-BR"/>
        </w:rPr>
        <w:tab/>
      </w:r>
      <w:r w:rsidR="0022481E" w:rsidRPr="002F50BD">
        <w:rPr>
          <w:rFonts w:ascii="Verdana" w:hAnsi="Verdana"/>
          <w:sz w:val="20"/>
          <w:lang w:val="pt-BR"/>
        </w:rPr>
        <w:t>Pera</w:t>
      </w:r>
      <w:r w:rsidRPr="002F50BD">
        <w:rPr>
          <w:rFonts w:ascii="Verdana" w:hAnsi="Verdana"/>
          <w:sz w:val="20"/>
          <w:lang w:val="pt-BR"/>
        </w:rPr>
        <w:t xml:space="preserve">nte </w:t>
      </w:r>
      <w:r w:rsidR="0089298C" w:rsidRPr="002F50BD">
        <w:rPr>
          <w:rFonts w:ascii="Verdana" w:hAnsi="Verdana"/>
          <w:sz w:val="20"/>
          <w:lang w:val="pt-BR"/>
        </w:rPr>
        <w:t>Órgão</w:t>
      </w:r>
      <w:r w:rsidRPr="002F50BD">
        <w:rPr>
          <w:rFonts w:ascii="Verdana" w:hAnsi="Verdana"/>
          <w:sz w:val="20"/>
          <w:lang w:val="pt-BR"/>
        </w:rPr>
        <w:t xml:space="preserve">s Administrativos </w:t>
      </w:r>
    </w:p>
    <w:p w:rsidR="004756C1" w:rsidRPr="002F50BD" w:rsidRDefault="004756C1">
      <w:pPr>
        <w:rPr>
          <w:rFonts w:ascii="Verdana" w:hAnsi="Verdana"/>
          <w:b/>
          <w:sz w:val="20"/>
          <w:lang w:val="pt-BR"/>
        </w:rPr>
      </w:pPr>
    </w:p>
    <w:p w:rsidR="004756C1" w:rsidRPr="002F50BD" w:rsidRDefault="004756C1">
      <w:pPr>
        <w:ind w:left="720" w:firstLine="720"/>
        <w:jc w:val="both"/>
        <w:rPr>
          <w:rFonts w:ascii="Verdana" w:hAnsi="Verdana"/>
          <w:sz w:val="20"/>
          <w:u w:val="single"/>
          <w:lang w:val="pt-BR"/>
        </w:rPr>
      </w:pPr>
      <w:r w:rsidRPr="002F50BD">
        <w:rPr>
          <w:rFonts w:ascii="Verdana" w:hAnsi="Verdana"/>
          <w:sz w:val="20"/>
          <w:u w:val="single"/>
          <w:lang w:val="pt-BR"/>
        </w:rPr>
        <w:t>Re</w:t>
      </w:r>
      <w:r w:rsidR="0089298C" w:rsidRPr="002F50BD">
        <w:rPr>
          <w:rFonts w:ascii="Verdana" w:hAnsi="Verdana"/>
          <w:sz w:val="20"/>
          <w:u w:val="single"/>
          <w:lang w:val="pt-BR"/>
        </w:rPr>
        <w:t>conhecimento</w:t>
      </w:r>
      <w:r w:rsidRPr="002F50BD">
        <w:rPr>
          <w:rFonts w:ascii="Verdana" w:hAnsi="Verdana"/>
          <w:sz w:val="20"/>
          <w:u w:val="single"/>
          <w:lang w:val="pt-BR"/>
        </w:rPr>
        <w:t xml:space="preserve"> de líderes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15</w:t>
      </w:r>
      <w:r w:rsidR="004756C1" w:rsidRPr="002F50BD">
        <w:rPr>
          <w:rFonts w:ascii="Verdana" w:hAnsi="Verdana"/>
          <w:sz w:val="20"/>
          <w:lang w:val="pt-BR"/>
        </w:rPr>
        <w:t xml:space="preserve"> de agosto de </w:t>
      </w:r>
      <w:r w:rsidRPr="002F50BD">
        <w:rPr>
          <w:rFonts w:ascii="Verdana" w:hAnsi="Verdana"/>
          <w:sz w:val="20"/>
          <w:lang w:val="pt-BR"/>
        </w:rPr>
        <w:t>1993</w:t>
      </w:r>
      <w:r w:rsidR="00EC5F20"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 xml:space="preserve">solicitaram ao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 xml:space="preserve">Indígena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2481E" w:rsidRPr="002F50BD">
        <w:rPr>
          <w:rFonts w:ascii="Verdana" w:hAnsi="Verdana"/>
          <w:sz w:val="20"/>
          <w:lang w:val="pt-BR"/>
        </w:rPr>
        <w:t xml:space="preserve">denominado </w:t>
      </w:r>
      <w:r w:rsidR="004756C1" w:rsidRPr="002F50BD">
        <w:rPr>
          <w:rFonts w:ascii="Verdana" w:hAnsi="Verdana"/>
          <w:sz w:val="20"/>
          <w:lang w:val="pt-BR"/>
        </w:rPr>
        <w:t>“INDI”</w:t>
      </w:r>
      <w:r w:rsidR="00CF451D" w:rsidRPr="00CF451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re</w:t>
      </w:r>
      <w:r w:rsidR="0089298C" w:rsidRPr="002F50BD">
        <w:rPr>
          <w:rFonts w:ascii="Verdana" w:hAnsi="Verdana"/>
          <w:sz w:val="20"/>
          <w:lang w:val="pt-BR"/>
        </w:rPr>
        <w:t>conhecimento dos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 xml:space="preserve">Esteban López como líderes </w:t>
      </w:r>
      <w:r w:rsidR="0089298C" w:rsidRPr="002F50BD">
        <w:rPr>
          <w:rFonts w:ascii="Verdana" w:hAnsi="Verdana"/>
          <w:sz w:val="20"/>
          <w:lang w:val="pt-BR"/>
        </w:rPr>
        <w:t>desta</w:t>
      </w:r>
      <w:r w:rsidR="004756C1" w:rsidRPr="002F50BD">
        <w:rPr>
          <w:rFonts w:ascii="Verdana" w:hAnsi="Verdana"/>
          <w:sz w:val="20"/>
          <w:lang w:val="pt-BR"/>
        </w:rPr>
        <w:t xml:space="preserve"> </w:t>
      </w:r>
      <w:r w:rsidR="0089298C" w:rsidRPr="002F50BD">
        <w:rPr>
          <w:rFonts w:ascii="Verdana" w:hAnsi="Verdana"/>
          <w:sz w:val="20"/>
          <w:lang w:val="pt-BR"/>
        </w:rPr>
        <w:t xml:space="preserve">Comunidade e </w:t>
      </w:r>
      <w:r w:rsidR="0022481E" w:rsidRPr="002F50BD">
        <w:rPr>
          <w:rFonts w:ascii="Verdana" w:hAnsi="Verdana"/>
          <w:sz w:val="20"/>
          <w:lang w:val="pt-BR"/>
        </w:rPr>
        <w:t>sua inscrição</w:t>
      </w:r>
      <w:r w:rsidR="0089298C" w:rsidRPr="002F50BD">
        <w:rPr>
          <w:rFonts w:ascii="Verdana" w:hAnsi="Verdana"/>
          <w:sz w:val="20"/>
          <w:lang w:val="pt-BR"/>
        </w:rPr>
        <w:t xml:space="preserve"> no </w:t>
      </w:r>
      <w:r w:rsidR="004756C1" w:rsidRPr="002F50BD">
        <w:rPr>
          <w:rFonts w:ascii="Verdana" w:hAnsi="Verdana"/>
          <w:sz w:val="20"/>
          <w:lang w:val="pt-BR"/>
        </w:rPr>
        <w:t xml:space="preserve">Registro Nacional de Comunidades Indígenas </w:t>
      </w:r>
      <w:r w:rsidR="0022481E" w:rsidRPr="002F50BD">
        <w:rPr>
          <w:rFonts w:ascii="Verdana" w:hAnsi="Verdana"/>
          <w:sz w:val="20"/>
          <w:lang w:val="pt-BR"/>
        </w:rPr>
        <w:t>em conformidade com</w:t>
      </w:r>
      <w:r w:rsidR="0089298C" w:rsidRPr="002F50BD">
        <w:rPr>
          <w:rFonts w:ascii="Verdana" w:hAnsi="Verdana"/>
          <w:sz w:val="20"/>
          <w:lang w:val="pt-BR"/>
        </w:rPr>
        <w:t xml:space="preserve"> </w:t>
      </w:r>
      <w:r w:rsidR="0022481E" w:rsidRPr="002F50BD">
        <w:rPr>
          <w:rFonts w:ascii="Verdana" w:hAnsi="Verdana"/>
          <w:sz w:val="20"/>
          <w:lang w:val="pt-BR"/>
        </w:rPr>
        <w:t>a</w:t>
      </w:r>
      <w:r w:rsidR="0089298C" w:rsidRPr="002F50BD">
        <w:rPr>
          <w:rFonts w:ascii="Verdana" w:hAnsi="Verdana"/>
          <w:sz w:val="20"/>
          <w:lang w:val="pt-BR"/>
        </w:rPr>
        <w:t xml:space="preserve"> 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EC5F20" w:rsidRPr="002F50BD">
        <w:rPr>
          <w:rFonts w:ascii="Verdana" w:hAnsi="Verdana"/>
          <w:sz w:val="20"/>
          <w:lang w:val="pt-BR"/>
        </w:rPr>
        <w:t>,</w:t>
      </w:r>
      <w:r w:rsidR="004756C1" w:rsidRPr="002F50BD">
        <w:rPr>
          <w:rFonts w:ascii="Verdana" w:hAnsi="Verdana"/>
          <w:sz w:val="20"/>
          <w:lang w:val="pt-BR"/>
        </w:rPr>
        <w:t xml:space="preserve"> que </w:t>
      </w:r>
      <w:r w:rsidR="0089298C" w:rsidRPr="002F50BD">
        <w:rPr>
          <w:rFonts w:ascii="Verdana" w:hAnsi="Verdana"/>
          <w:sz w:val="20"/>
          <w:lang w:val="pt-BR"/>
        </w:rPr>
        <w:t xml:space="preserve">estabelece o </w:t>
      </w:r>
      <w:r w:rsidR="004756C1" w:rsidRPr="002F50BD">
        <w:rPr>
          <w:rFonts w:ascii="Verdana" w:hAnsi="Verdana"/>
          <w:sz w:val="20"/>
          <w:lang w:val="pt-BR"/>
        </w:rPr>
        <w:t>Estatuto</w:t>
      </w:r>
      <w:r w:rsidR="0089298C" w:rsidRPr="002F50BD">
        <w:rPr>
          <w:rFonts w:ascii="Verdana" w:hAnsi="Verdana"/>
          <w:sz w:val="20"/>
          <w:lang w:val="pt-BR"/>
        </w:rPr>
        <w:t xml:space="preserve"> das </w:t>
      </w:r>
      <w:r w:rsidR="004756C1" w:rsidRPr="002F50BD">
        <w:rPr>
          <w:rFonts w:ascii="Verdana" w:hAnsi="Verdana"/>
          <w:sz w:val="20"/>
          <w:lang w:val="pt-BR"/>
        </w:rPr>
        <w:t xml:space="preserve">Comunidades Indígenas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22481E" w:rsidRPr="002F50BD">
        <w:rPr>
          <w:rFonts w:ascii="Verdana" w:hAnsi="Verdana"/>
          <w:sz w:val="20"/>
          <w:lang w:val="pt-BR"/>
        </w:rPr>
        <w:t xml:space="preserve">denominada </w:t>
      </w:r>
      <w:r w:rsidR="004756C1" w:rsidRPr="002F50BD">
        <w:rPr>
          <w:rFonts w:ascii="Verdana" w:hAnsi="Verdana"/>
          <w:sz w:val="20"/>
          <w:lang w:val="pt-BR"/>
        </w:rPr>
        <w:t>“</w:t>
      </w:r>
      <w:r w:rsidR="0089298C" w:rsidRPr="002F50BD">
        <w:rPr>
          <w:rFonts w:ascii="Verdana" w:hAnsi="Verdana"/>
          <w:sz w:val="20"/>
          <w:lang w:val="pt-BR"/>
        </w:rPr>
        <w:t>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4756C1" w:rsidRPr="002F50BD">
        <w:rPr>
          <w:rFonts w:ascii="Verdana" w:hAnsi="Verdana"/>
          <w:sz w:val="20"/>
          <w:lang w:val="pt-BR"/>
        </w:rPr>
        <w:t>”</w:t>
      </w:r>
      <w:r w:rsidR="00CF451D" w:rsidRPr="00CF451D">
        <w:rPr>
          <w:rFonts w:ascii="Verdana" w:hAnsi="Verdana"/>
          <w:sz w:val="20"/>
          <w:lang w:val="pt-BR"/>
        </w:rPr>
        <w:t>)</w:t>
      </w:r>
      <w:r w:rsidR="0022481E" w:rsidRPr="002F50BD">
        <w:rPr>
          <w:rFonts w:ascii="Verdana" w:hAnsi="Verdana"/>
          <w:sz w:val="20"/>
          <w:lang w:val="pt-BR"/>
        </w:rPr>
        <w:t>.</w:t>
      </w:r>
      <w:r w:rsidR="004756C1" w:rsidRPr="002F50BD">
        <w:rPr>
          <w:rStyle w:val="FootnoteReference"/>
          <w:rFonts w:ascii="Verdana" w:hAnsi="Verdana"/>
        </w:rPr>
        <w:footnoteReference w:id="38"/>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18</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1996</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do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 xml:space="preserve">emitiu uma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xml:space="preserve">, </w:t>
      </w:r>
      <w:r w:rsidR="00EC5F20" w:rsidRPr="002F50BD">
        <w:rPr>
          <w:rFonts w:ascii="Verdana" w:hAnsi="Verdana"/>
          <w:sz w:val="20"/>
          <w:lang w:val="pt-BR"/>
        </w:rPr>
        <w:t>por meio d</w:t>
      </w:r>
      <w:r w:rsidR="0089298C" w:rsidRPr="002F50BD">
        <w:rPr>
          <w:rFonts w:ascii="Verdana" w:hAnsi="Verdana"/>
          <w:sz w:val="20"/>
          <w:lang w:val="pt-BR"/>
        </w:rPr>
        <w:t>a qual decidiu</w:t>
      </w:r>
      <w:r w:rsidR="004756C1" w:rsidRPr="002F50BD">
        <w:rPr>
          <w:rFonts w:ascii="Verdana" w:hAnsi="Verdana"/>
          <w:sz w:val="20"/>
          <w:lang w:val="pt-BR"/>
        </w:rPr>
        <w:t xml:space="preserve"> “re</w:t>
      </w:r>
      <w:r w:rsidR="0089298C" w:rsidRPr="002F50BD">
        <w:rPr>
          <w:rFonts w:ascii="Verdana" w:hAnsi="Verdana"/>
          <w:sz w:val="20"/>
          <w:lang w:val="pt-BR"/>
        </w:rPr>
        <w:t>conhecer 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4756C1" w:rsidRPr="002F50BD">
        <w:rPr>
          <w:rFonts w:ascii="Verdana" w:hAnsi="Verdana"/>
          <w:sz w:val="20"/>
          <w:lang w:val="pt-BR"/>
        </w:rPr>
        <w:t xml:space="preserve"> Benítez</w:t>
      </w:r>
      <w:r w:rsidR="0089298C" w:rsidRPr="002F50BD">
        <w:rPr>
          <w:rFonts w:ascii="Verdana" w:hAnsi="Verdana"/>
          <w:sz w:val="20"/>
          <w:lang w:val="pt-BR"/>
        </w:rPr>
        <w:t xml:space="preserve"> e </w:t>
      </w:r>
      <w:r w:rsidR="004756C1" w:rsidRPr="002F50BD">
        <w:rPr>
          <w:rFonts w:ascii="Verdana" w:hAnsi="Verdana"/>
          <w:sz w:val="20"/>
          <w:lang w:val="pt-BR"/>
        </w:rPr>
        <w:t>Esteban López Domínguez como líderes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Enxet ‘Yakye Axa’, </w:t>
      </w:r>
      <w:r w:rsidR="00E7595C" w:rsidRPr="002F50BD">
        <w:rPr>
          <w:rFonts w:ascii="Verdana" w:hAnsi="Verdana"/>
          <w:sz w:val="20"/>
          <w:lang w:val="pt-BR"/>
        </w:rPr>
        <w:t>assentad</w:t>
      </w:r>
      <w:r w:rsidR="004756C1" w:rsidRPr="002F50BD">
        <w:rPr>
          <w:rFonts w:ascii="Verdana" w:hAnsi="Verdana"/>
          <w:sz w:val="20"/>
          <w:lang w:val="pt-BR"/>
        </w:rPr>
        <w:t>a</w:t>
      </w:r>
      <w:r w:rsidR="0089298C" w:rsidRPr="002F50BD">
        <w:rPr>
          <w:rFonts w:ascii="Verdana" w:hAnsi="Verdana"/>
          <w:sz w:val="20"/>
          <w:lang w:val="pt-BR"/>
        </w:rPr>
        <w:t xml:space="preserve"> no </w:t>
      </w:r>
      <w:r w:rsidR="004756C1" w:rsidRPr="002F50BD">
        <w:rPr>
          <w:rFonts w:ascii="Verdana" w:hAnsi="Verdana"/>
          <w:sz w:val="20"/>
          <w:lang w:val="pt-BR"/>
        </w:rPr>
        <w:t xml:space="preserve">distrito Pozo Colorado </w:t>
      </w:r>
      <w:r w:rsidR="0089298C" w:rsidRPr="002F50BD">
        <w:rPr>
          <w:rFonts w:ascii="Verdana" w:hAnsi="Verdana"/>
          <w:sz w:val="20"/>
          <w:lang w:val="pt-BR"/>
        </w:rPr>
        <w:t xml:space="preserve">do </w:t>
      </w:r>
      <w:r w:rsidR="004756C1" w:rsidRPr="002F50BD">
        <w:rPr>
          <w:rFonts w:ascii="Verdana" w:hAnsi="Verdana"/>
          <w:sz w:val="20"/>
          <w:lang w:val="pt-BR"/>
        </w:rPr>
        <w:t xml:space="preserve">Departamento Presidente Hayes, </w:t>
      </w:r>
      <w:r w:rsidR="00494189" w:rsidRPr="002F50BD">
        <w:rPr>
          <w:rFonts w:ascii="Verdana" w:hAnsi="Verdana"/>
          <w:sz w:val="20"/>
          <w:lang w:val="pt-BR"/>
        </w:rPr>
        <w:t>os quais</w:t>
      </w:r>
      <w:r w:rsidR="0022481E"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 xml:space="preserve">tal </w:t>
      </w:r>
      <w:r w:rsidR="0089298C" w:rsidRPr="002F50BD">
        <w:rPr>
          <w:rFonts w:ascii="Verdana" w:hAnsi="Verdana"/>
          <w:sz w:val="20"/>
          <w:lang w:val="pt-BR"/>
        </w:rPr>
        <w:t>caráter</w:t>
      </w:r>
      <w:r w:rsidR="0022481E"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exercer</w:t>
      </w:r>
      <w:r w:rsidR="0022481E" w:rsidRPr="002F50BD">
        <w:rPr>
          <w:rFonts w:ascii="Verdana" w:hAnsi="Verdana"/>
          <w:sz w:val="20"/>
          <w:lang w:val="pt-BR"/>
        </w:rPr>
        <w:t>ão</w:t>
      </w:r>
      <w:r w:rsidR="0089298C" w:rsidRPr="002F50BD">
        <w:rPr>
          <w:rFonts w:ascii="Verdana" w:hAnsi="Verdana"/>
          <w:sz w:val="20"/>
          <w:lang w:val="pt-BR"/>
        </w:rPr>
        <w:t xml:space="preserve"> a </w:t>
      </w:r>
      <w:r w:rsidR="004756C1" w:rsidRPr="002F50BD">
        <w:rPr>
          <w:rFonts w:ascii="Verdana" w:hAnsi="Verdana"/>
          <w:sz w:val="20"/>
          <w:lang w:val="pt-BR"/>
        </w:rPr>
        <w:t>representa</w:t>
      </w:r>
      <w:r w:rsidR="0089298C" w:rsidRPr="002F50BD">
        <w:rPr>
          <w:rFonts w:ascii="Verdana" w:hAnsi="Verdana"/>
          <w:sz w:val="20"/>
          <w:lang w:val="pt-BR"/>
        </w:rPr>
        <w:t>ção</w:t>
      </w:r>
      <w:r w:rsidR="004756C1" w:rsidRPr="002F50BD">
        <w:rPr>
          <w:rFonts w:ascii="Verdana" w:hAnsi="Verdana"/>
          <w:sz w:val="20"/>
          <w:lang w:val="pt-BR"/>
        </w:rPr>
        <w:t xml:space="preserve"> legal</w:t>
      </w:r>
      <w:r w:rsidR="0089298C" w:rsidRPr="002F50BD">
        <w:rPr>
          <w:rFonts w:ascii="Verdana" w:hAnsi="Verdana"/>
          <w:sz w:val="20"/>
          <w:lang w:val="pt-BR"/>
        </w:rPr>
        <w:t xml:space="preserve"> da </w:t>
      </w:r>
      <w:r w:rsidR="004756C1" w:rsidRPr="002F50BD">
        <w:rPr>
          <w:rFonts w:ascii="Verdana" w:hAnsi="Verdana"/>
          <w:sz w:val="20"/>
          <w:lang w:val="pt-BR"/>
        </w:rPr>
        <w:t>Comunidad</w:t>
      </w:r>
      <w:r w:rsidR="00EC5F20" w:rsidRPr="002F50BD">
        <w:rPr>
          <w:rFonts w:ascii="Verdana" w:hAnsi="Verdana"/>
          <w:sz w:val="20"/>
          <w:lang w:val="pt-BR"/>
        </w:rPr>
        <w:t>e</w:t>
      </w:r>
      <w:r w:rsidR="004756C1" w:rsidRPr="002F50BD">
        <w:rPr>
          <w:rFonts w:ascii="Verdana" w:hAnsi="Verdana"/>
          <w:sz w:val="20"/>
          <w:lang w:val="pt-BR"/>
        </w:rPr>
        <w:t>”, e inscr</w:t>
      </w:r>
      <w:r w:rsidR="0022481E" w:rsidRPr="002F50BD">
        <w:rPr>
          <w:rFonts w:ascii="Verdana" w:hAnsi="Verdana"/>
          <w:sz w:val="20"/>
          <w:lang w:val="pt-BR"/>
        </w:rPr>
        <w:t>ever</w:t>
      </w:r>
      <w:r w:rsidR="004756C1" w:rsidRPr="002F50BD">
        <w:rPr>
          <w:rFonts w:ascii="Verdana" w:hAnsi="Verdana"/>
          <w:sz w:val="20"/>
          <w:lang w:val="pt-BR"/>
        </w:rPr>
        <w:t xml:space="preserve"> o </w:t>
      </w:r>
      <w:r w:rsidR="0089298C" w:rsidRPr="002F50BD">
        <w:rPr>
          <w:rFonts w:ascii="Verdana" w:hAnsi="Verdana"/>
          <w:sz w:val="20"/>
          <w:lang w:val="pt-BR"/>
        </w:rPr>
        <w:t>estabelecid</w:t>
      </w:r>
      <w:r w:rsidR="004756C1" w:rsidRPr="002F50BD">
        <w:rPr>
          <w:rFonts w:ascii="Verdana" w:hAnsi="Verdana"/>
          <w:sz w:val="20"/>
          <w:lang w:val="pt-BR"/>
        </w:rPr>
        <w:t>o</w:t>
      </w:r>
      <w:r w:rsidR="0089298C" w:rsidRPr="002F50BD">
        <w:rPr>
          <w:rFonts w:ascii="Verdana" w:hAnsi="Verdana"/>
          <w:sz w:val="20"/>
          <w:lang w:val="pt-BR"/>
        </w:rPr>
        <w:t xml:space="preserve"> na </w:t>
      </w:r>
      <w:r w:rsidR="004756C1" w:rsidRPr="002F50BD">
        <w:rPr>
          <w:rFonts w:ascii="Verdana" w:hAnsi="Verdana"/>
          <w:sz w:val="20"/>
          <w:lang w:val="pt-BR"/>
        </w:rPr>
        <w:t>resolu</w:t>
      </w:r>
      <w:r w:rsidR="0089298C" w:rsidRPr="002F50BD">
        <w:rPr>
          <w:rFonts w:ascii="Verdana" w:hAnsi="Verdana"/>
          <w:sz w:val="20"/>
          <w:lang w:val="pt-BR"/>
        </w:rPr>
        <w:t xml:space="preserve">ção no </w:t>
      </w:r>
      <w:r w:rsidR="004756C1" w:rsidRPr="002F50BD">
        <w:rPr>
          <w:rFonts w:ascii="Verdana" w:hAnsi="Verdana"/>
          <w:sz w:val="20"/>
          <w:lang w:val="pt-BR"/>
        </w:rPr>
        <w:t>Registro de Comunidades Indígenas</w:t>
      </w:r>
      <w:r w:rsidR="0022481E" w:rsidRPr="002F50BD">
        <w:rPr>
          <w:rFonts w:ascii="Verdana" w:hAnsi="Verdana"/>
          <w:sz w:val="20"/>
          <w:lang w:val="pt-BR"/>
        </w:rPr>
        <w:t>.</w:t>
      </w:r>
      <w:r w:rsidR="004756C1" w:rsidRPr="002F50BD">
        <w:rPr>
          <w:rStyle w:val="FootnoteReference"/>
          <w:rFonts w:ascii="Verdana" w:hAnsi="Verdana"/>
        </w:rPr>
        <w:footnoteReference w:id="39"/>
      </w:r>
    </w:p>
    <w:p w:rsidR="004756C1" w:rsidRPr="002F50BD" w:rsidRDefault="004756C1">
      <w:pPr>
        <w:jc w:val="both"/>
        <w:rPr>
          <w:rFonts w:ascii="Verdana" w:hAnsi="Verdana"/>
          <w:b/>
          <w:sz w:val="20"/>
          <w:lang w:val="pt-BR"/>
        </w:rPr>
      </w:pPr>
    </w:p>
    <w:p w:rsidR="004756C1" w:rsidRPr="002F50BD" w:rsidRDefault="004756C1">
      <w:pPr>
        <w:ind w:left="1440"/>
        <w:jc w:val="both"/>
        <w:rPr>
          <w:rFonts w:ascii="Verdana" w:hAnsi="Verdana"/>
          <w:sz w:val="20"/>
          <w:u w:val="single"/>
          <w:lang w:val="pt-BR"/>
        </w:rPr>
      </w:pPr>
      <w:r w:rsidRPr="002F50BD">
        <w:rPr>
          <w:rFonts w:ascii="Verdana" w:hAnsi="Verdana"/>
          <w:sz w:val="20"/>
          <w:u w:val="single"/>
          <w:lang w:val="pt-BR"/>
        </w:rPr>
        <w:t>Re</w:t>
      </w:r>
      <w:r w:rsidR="0089298C" w:rsidRPr="002F50BD">
        <w:rPr>
          <w:rFonts w:ascii="Verdana" w:hAnsi="Verdana"/>
          <w:sz w:val="20"/>
          <w:u w:val="single"/>
          <w:lang w:val="pt-BR"/>
        </w:rPr>
        <w:t xml:space="preserve">conhecimento da </w:t>
      </w:r>
      <w:r w:rsidR="007801FA" w:rsidRPr="002F50BD">
        <w:rPr>
          <w:rFonts w:ascii="Verdana" w:hAnsi="Verdana"/>
          <w:sz w:val="20"/>
          <w:u w:val="single"/>
          <w:lang w:val="pt-BR"/>
        </w:rPr>
        <w:t>personalidade</w:t>
      </w:r>
      <w:r w:rsidRPr="002F50BD">
        <w:rPr>
          <w:rFonts w:ascii="Verdana" w:hAnsi="Verdana"/>
          <w:sz w:val="20"/>
          <w:u w:val="single"/>
          <w:lang w:val="pt-BR"/>
        </w:rPr>
        <w:t xml:space="preserve"> jurídica</w:t>
      </w:r>
      <w:r w:rsidR="0089298C" w:rsidRPr="002F50BD">
        <w:rPr>
          <w:rFonts w:ascii="Verdana" w:hAnsi="Verdana"/>
          <w:sz w:val="20"/>
          <w:u w:val="single"/>
          <w:lang w:val="pt-BR"/>
        </w:rPr>
        <w:t xml:space="preserve"> da Comunidade </w:t>
      </w:r>
      <w:r w:rsidRPr="002F50BD">
        <w:rPr>
          <w:rFonts w:ascii="Verdana" w:hAnsi="Verdana"/>
          <w:sz w:val="20"/>
          <w:u w:val="single"/>
          <w:lang w:val="pt-BR"/>
        </w:rPr>
        <w:t>indígena Yakye Axa</w:t>
      </w:r>
    </w:p>
    <w:p w:rsidR="004756C1" w:rsidRPr="002F50BD" w:rsidRDefault="004756C1">
      <w:pPr>
        <w:jc w:val="both"/>
        <w:rPr>
          <w:rFonts w:ascii="Verdana" w:hAnsi="Verdana"/>
          <w:b/>
          <w:i/>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21</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Esteban López, líder</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iniciou os trâmite</w:t>
      </w:r>
      <w:r w:rsidR="004756C1" w:rsidRPr="002F50BD">
        <w:rPr>
          <w:rFonts w:ascii="Verdana" w:hAnsi="Verdana"/>
          <w:sz w:val="20"/>
          <w:lang w:val="pt-BR"/>
        </w:rPr>
        <w:t xml:space="preserve">s </w:t>
      </w:r>
      <w:r w:rsidR="0022481E"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INDI para</w:t>
      </w:r>
      <w:r w:rsidR="0089298C" w:rsidRPr="002F50BD">
        <w:rPr>
          <w:rFonts w:ascii="Verdana" w:hAnsi="Verdana"/>
          <w:sz w:val="20"/>
          <w:lang w:val="pt-BR"/>
        </w:rPr>
        <w:t xml:space="preserve"> o </w:t>
      </w:r>
      <w:r w:rsidR="004756C1" w:rsidRPr="002F50BD">
        <w:rPr>
          <w:rFonts w:ascii="Verdana" w:hAnsi="Verdana"/>
          <w:sz w:val="20"/>
          <w:lang w:val="pt-BR"/>
        </w:rPr>
        <w:t>re</w:t>
      </w:r>
      <w:r w:rsidR="0089298C"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22481E" w:rsidRPr="002F50BD">
        <w:rPr>
          <w:rFonts w:ascii="Verdana" w:hAnsi="Verdana"/>
          <w:sz w:val="20"/>
          <w:lang w:val="pt-BR"/>
        </w:rPr>
        <w:t>.</w:t>
      </w:r>
      <w:r w:rsidR="004756C1" w:rsidRPr="002F50BD">
        <w:rPr>
          <w:rStyle w:val="FootnoteReference"/>
          <w:rFonts w:ascii="Verdana" w:hAnsi="Verdana"/>
        </w:rPr>
        <w:footnoteReference w:id="40"/>
      </w:r>
      <w:r w:rsidR="004756C1" w:rsidRPr="002F50BD">
        <w:rPr>
          <w:rFonts w:ascii="Verdana" w:hAnsi="Verdana"/>
          <w:sz w:val="20"/>
          <w:lang w:val="pt-BR"/>
        </w:rPr>
        <w:t xml:space="preserve"> Dentro deste </w:t>
      </w:r>
      <w:r w:rsidR="0089298C" w:rsidRPr="002F50BD">
        <w:rPr>
          <w:rFonts w:ascii="Verdana" w:hAnsi="Verdana"/>
          <w:sz w:val="20"/>
          <w:lang w:val="pt-BR"/>
        </w:rPr>
        <w:t>trâmite</w:t>
      </w:r>
      <w:r w:rsidR="004756C1"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1999</w:t>
      </w:r>
      <w:r w:rsidR="00120872"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 xml:space="preserve">Esteban López </w:t>
      </w:r>
      <w:r w:rsidR="0089298C" w:rsidRPr="002F50BD">
        <w:rPr>
          <w:rFonts w:ascii="Verdana" w:hAnsi="Verdana"/>
          <w:sz w:val="20"/>
          <w:lang w:val="pt-BR"/>
        </w:rPr>
        <w:t>solicitou</w:t>
      </w:r>
      <w:r w:rsidR="004756C1" w:rsidRPr="002F50BD">
        <w:rPr>
          <w:rFonts w:ascii="Verdana" w:hAnsi="Verdana"/>
          <w:sz w:val="20"/>
          <w:lang w:val="pt-BR"/>
        </w:rPr>
        <w:t xml:space="preserve"> formalmente</w:t>
      </w:r>
      <w:r w:rsidR="0089298C" w:rsidRPr="002F50BD">
        <w:rPr>
          <w:rFonts w:ascii="Verdana" w:hAnsi="Verdana"/>
          <w:sz w:val="20"/>
          <w:lang w:val="pt-BR"/>
        </w:rPr>
        <w:t xml:space="preserve"> ao </w:t>
      </w:r>
      <w:r w:rsidR="004756C1" w:rsidRPr="002F50BD">
        <w:rPr>
          <w:rFonts w:ascii="Verdana" w:hAnsi="Verdana"/>
          <w:sz w:val="20"/>
          <w:lang w:val="pt-BR"/>
        </w:rPr>
        <w:t>INDI</w:t>
      </w:r>
      <w:r w:rsidR="0089298C" w:rsidRPr="002F50BD">
        <w:rPr>
          <w:rFonts w:ascii="Verdana" w:hAnsi="Verdana"/>
          <w:sz w:val="20"/>
          <w:lang w:val="pt-BR"/>
        </w:rPr>
        <w:t xml:space="preserve"> o </w:t>
      </w:r>
      <w:r w:rsidR="004756C1" w:rsidRPr="002F50BD">
        <w:rPr>
          <w:rFonts w:ascii="Verdana" w:hAnsi="Verdana"/>
          <w:sz w:val="20"/>
          <w:lang w:val="pt-BR"/>
        </w:rPr>
        <w:t>re</w:t>
      </w:r>
      <w:r w:rsidR="0089298C"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 </w:t>
      </w:r>
      <w:r w:rsidR="0089298C" w:rsidRPr="002F50BD">
        <w:rPr>
          <w:rFonts w:ascii="Verdana" w:hAnsi="Verdana"/>
          <w:sz w:val="20"/>
          <w:lang w:val="pt-BR"/>
        </w:rPr>
        <w:t>desta</w:t>
      </w:r>
      <w:r w:rsidR="004756C1" w:rsidRPr="002F50BD">
        <w:rPr>
          <w:rFonts w:ascii="Verdana" w:hAnsi="Verdana"/>
          <w:sz w:val="20"/>
          <w:lang w:val="pt-BR"/>
        </w:rPr>
        <w:t xml:space="preserve"> </w:t>
      </w:r>
      <w:r w:rsidR="0089298C" w:rsidRPr="002F50BD">
        <w:rPr>
          <w:rFonts w:ascii="Verdana" w:hAnsi="Verdana"/>
          <w:sz w:val="20"/>
          <w:lang w:val="pt-BR"/>
        </w:rPr>
        <w:t xml:space="preserve">Comunidade </w:t>
      </w:r>
      <w:r w:rsidR="004756C1" w:rsidRPr="002F50BD">
        <w:rPr>
          <w:rFonts w:ascii="Verdana" w:hAnsi="Verdana"/>
          <w:sz w:val="20"/>
          <w:lang w:val="pt-BR"/>
        </w:rPr>
        <w:t>“com</w:t>
      </w:r>
      <w:r w:rsidR="0089298C" w:rsidRPr="002F50BD">
        <w:rPr>
          <w:rFonts w:ascii="Verdana" w:hAnsi="Verdana"/>
          <w:sz w:val="20"/>
          <w:lang w:val="pt-BR"/>
        </w:rPr>
        <w:t>posta</w:t>
      </w:r>
      <w:r w:rsidR="004756C1" w:rsidRPr="002F50BD">
        <w:rPr>
          <w:rFonts w:ascii="Verdana" w:hAnsi="Verdana"/>
          <w:sz w:val="20"/>
          <w:lang w:val="pt-BR"/>
        </w:rPr>
        <w:t xml:space="preserve"> por</w:t>
      </w:r>
      <w:r w:rsidR="0089298C" w:rsidRPr="002F50BD">
        <w:rPr>
          <w:rFonts w:ascii="Verdana" w:hAnsi="Verdana"/>
          <w:sz w:val="20"/>
          <w:lang w:val="pt-BR"/>
        </w:rPr>
        <w:t xml:space="preserve"> um </w:t>
      </w:r>
      <w:r w:rsidR="004756C1" w:rsidRPr="002F50BD">
        <w:rPr>
          <w:rFonts w:ascii="Verdana" w:hAnsi="Verdana"/>
          <w:sz w:val="20"/>
          <w:lang w:val="pt-BR"/>
        </w:rPr>
        <w:t xml:space="preserve">total de </w:t>
      </w:r>
      <w:r w:rsidRPr="002F50BD">
        <w:rPr>
          <w:rFonts w:ascii="Verdana" w:hAnsi="Verdana"/>
          <w:sz w:val="20"/>
          <w:lang w:val="pt-BR"/>
        </w:rPr>
        <w:t>56</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 xml:space="preserve">s, </w:t>
      </w:r>
      <w:r w:rsidR="00E7595C" w:rsidRPr="002F50BD">
        <w:rPr>
          <w:rFonts w:ascii="Verdana" w:hAnsi="Verdana"/>
          <w:sz w:val="20"/>
          <w:lang w:val="pt-BR"/>
        </w:rPr>
        <w:t>assentad</w:t>
      </w:r>
      <w:r w:rsidR="004756C1" w:rsidRPr="002F50BD">
        <w:rPr>
          <w:rFonts w:ascii="Verdana" w:hAnsi="Verdana"/>
          <w:sz w:val="20"/>
          <w:lang w:val="pt-BR"/>
        </w:rPr>
        <w:t>as</w:t>
      </w:r>
      <w:r w:rsidR="0089298C" w:rsidRPr="002F50BD">
        <w:rPr>
          <w:rFonts w:ascii="Verdana" w:hAnsi="Verdana"/>
          <w:sz w:val="20"/>
          <w:lang w:val="pt-BR"/>
        </w:rPr>
        <w:t xml:space="preserve"> </w:t>
      </w:r>
      <w:r w:rsidR="0022481E" w:rsidRPr="002F50BD">
        <w:rPr>
          <w:rFonts w:ascii="Verdana" w:hAnsi="Verdana"/>
          <w:sz w:val="20"/>
          <w:lang w:val="pt-BR"/>
        </w:rPr>
        <w:t xml:space="preserve">à margem da estrada </w:t>
      </w:r>
      <w:r w:rsidR="004756C1" w:rsidRPr="002F50BD">
        <w:rPr>
          <w:rFonts w:ascii="Verdana" w:hAnsi="Verdana"/>
          <w:sz w:val="20"/>
          <w:lang w:val="pt-BR"/>
        </w:rPr>
        <w:t>Pozo Colorado-</w:t>
      </w:r>
      <w:r w:rsidR="00313394" w:rsidRPr="002F50BD">
        <w:rPr>
          <w:rFonts w:ascii="Verdana" w:hAnsi="Verdana"/>
          <w:sz w:val="20"/>
          <w:lang w:val="pt-BR"/>
        </w:rPr>
        <w:t>Concepción</w:t>
      </w:r>
      <w:r w:rsidR="004756C1" w:rsidRPr="002F50BD">
        <w:rPr>
          <w:rFonts w:ascii="Verdana" w:hAnsi="Verdana"/>
          <w:sz w:val="20"/>
          <w:lang w:val="pt-BR"/>
        </w:rPr>
        <w:t>,</w:t>
      </w:r>
      <w:r w:rsidR="0089298C" w:rsidRPr="002F50BD">
        <w:rPr>
          <w:rFonts w:ascii="Verdana" w:hAnsi="Verdana"/>
          <w:sz w:val="20"/>
          <w:lang w:val="pt-BR"/>
        </w:rPr>
        <w:t xml:space="preserve"> à </w:t>
      </w:r>
      <w:r w:rsidR="004756C1" w:rsidRPr="002F50BD">
        <w:rPr>
          <w:rFonts w:ascii="Verdana" w:hAnsi="Verdana"/>
          <w:sz w:val="20"/>
          <w:lang w:val="pt-BR"/>
        </w:rPr>
        <w:t xml:space="preserve">altura </w:t>
      </w:r>
      <w:r w:rsidR="0089298C" w:rsidRPr="002F50BD">
        <w:rPr>
          <w:rFonts w:ascii="Verdana" w:hAnsi="Verdana"/>
          <w:sz w:val="20"/>
          <w:lang w:val="pt-BR"/>
        </w:rPr>
        <w:t xml:space="preserve">do </w:t>
      </w:r>
      <w:r w:rsidR="004756C1" w:rsidRPr="002F50BD">
        <w:rPr>
          <w:rFonts w:ascii="Verdana" w:hAnsi="Verdana"/>
          <w:sz w:val="20"/>
          <w:lang w:val="pt-BR"/>
        </w:rPr>
        <w:t xml:space="preserve">Km </w:t>
      </w:r>
      <w:r w:rsidRPr="002F50BD">
        <w:rPr>
          <w:rFonts w:ascii="Verdana" w:hAnsi="Verdana"/>
          <w:sz w:val="20"/>
          <w:lang w:val="pt-BR"/>
        </w:rPr>
        <w:t>82</w:t>
      </w:r>
      <w:r w:rsidR="0089298C" w:rsidRPr="002F50BD">
        <w:rPr>
          <w:rFonts w:ascii="Verdana" w:hAnsi="Verdana"/>
          <w:sz w:val="20"/>
          <w:lang w:val="pt-BR"/>
        </w:rPr>
        <w:t xml:space="preserve"> em </w:t>
      </w:r>
      <w:r w:rsidR="004756C1" w:rsidRPr="002F50BD">
        <w:rPr>
          <w:rFonts w:ascii="Verdana" w:hAnsi="Verdana"/>
          <w:sz w:val="20"/>
          <w:lang w:val="pt-BR"/>
        </w:rPr>
        <w:t>frente a [su</w:t>
      </w:r>
      <w:r w:rsidR="0022481E"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terra</w:t>
      </w:r>
      <w:r w:rsidR="004756C1" w:rsidRPr="002F50BD">
        <w:rPr>
          <w:rFonts w:ascii="Verdana" w:hAnsi="Verdana"/>
          <w:sz w:val="20"/>
          <w:lang w:val="pt-BR"/>
        </w:rPr>
        <w:t>s tr</w:t>
      </w:r>
      <w:r w:rsidR="0089298C" w:rsidRPr="002F50BD">
        <w:rPr>
          <w:rFonts w:ascii="Verdana" w:hAnsi="Verdana"/>
          <w:sz w:val="20"/>
          <w:lang w:val="pt-BR"/>
        </w:rPr>
        <w:t>adicionais</w:t>
      </w:r>
      <w:r w:rsidR="004756C1" w:rsidRPr="002F50BD">
        <w:rPr>
          <w:rFonts w:ascii="Verdana" w:hAnsi="Verdana"/>
          <w:sz w:val="20"/>
          <w:lang w:val="pt-BR"/>
        </w:rPr>
        <w:t xml:space="preserve"> reclamadas</w:t>
      </w:r>
      <w:r w:rsidR="0089298C" w:rsidRPr="002F50BD">
        <w:rPr>
          <w:rFonts w:ascii="Verdana" w:hAnsi="Verdana"/>
          <w:sz w:val="20"/>
          <w:lang w:val="pt-BR"/>
        </w:rPr>
        <w:t xml:space="preserve"> no </w:t>
      </w:r>
      <w:r w:rsidR="0022481E"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w:t>
      </w:r>
      <w:r w:rsidR="00CF451D" w:rsidRPr="00CF451D">
        <w:rPr>
          <w:rFonts w:ascii="Verdana" w:hAnsi="Verdana"/>
          <w:sz w:val="20"/>
          <w:lang w:val="pt-BR"/>
        </w:rPr>
        <w:t>(</w:t>
      </w:r>
      <w:r w:rsidR="0089298C" w:rsidRPr="002F50BD">
        <w:rPr>
          <w:rFonts w:ascii="Verdana" w:hAnsi="Verdana"/>
          <w:sz w:val="20"/>
          <w:lang w:val="pt-BR"/>
        </w:rPr>
        <w:t xml:space="preserve">doravante </w:t>
      </w:r>
      <w:r w:rsidR="0022481E" w:rsidRPr="002F50BD">
        <w:rPr>
          <w:rFonts w:ascii="Verdana" w:hAnsi="Verdana"/>
          <w:sz w:val="20"/>
          <w:lang w:val="pt-BR"/>
        </w:rPr>
        <w:t xml:space="preserve">denominado </w:t>
      </w:r>
      <w:r w:rsidR="004756C1" w:rsidRPr="002F50BD">
        <w:rPr>
          <w:rFonts w:ascii="Verdana" w:hAnsi="Verdana"/>
          <w:sz w:val="20"/>
          <w:lang w:val="pt-BR"/>
        </w:rPr>
        <w:t>“IBR”</w:t>
      </w:r>
      <w:r w:rsidR="00CF451D" w:rsidRPr="00CF451D">
        <w:rPr>
          <w:rFonts w:ascii="Verdana" w:hAnsi="Verdana"/>
          <w:sz w:val="20"/>
          <w:lang w:val="pt-BR"/>
        </w:rPr>
        <w:t>)</w:t>
      </w:r>
      <w:r w:rsidR="0022481E" w:rsidRPr="002F50BD">
        <w:rPr>
          <w:rFonts w:ascii="Verdana" w:hAnsi="Verdana"/>
          <w:sz w:val="20"/>
          <w:lang w:val="pt-BR"/>
        </w:rPr>
        <w:t>.</w:t>
      </w:r>
      <w:r w:rsidR="004756C1" w:rsidRPr="002F50BD">
        <w:rPr>
          <w:rStyle w:val="FootnoteReference"/>
          <w:rFonts w:ascii="Verdana" w:hAnsi="Verdana"/>
        </w:rPr>
        <w:footnoteReference w:id="41"/>
      </w:r>
      <w:r w:rsidR="00DB51F0" w:rsidRPr="002F50BD">
        <w:rPr>
          <w:rFonts w:ascii="Verdana" w:hAnsi="Verdana"/>
          <w:sz w:val="20"/>
          <w:lang w:val="pt-BR"/>
        </w:rPr>
        <w:t xml:space="preserve"> Os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22481E" w:rsidRPr="002F50BD">
        <w:rPr>
          <w:rFonts w:ascii="Verdana" w:hAnsi="Verdana"/>
          <w:sz w:val="20"/>
          <w:lang w:val="pt-BR"/>
        </w:rPr>
        <w:t>reiteraram</w:t>
      </w:r>
      <w:r w:rsidR="004756C1" w:rsidRPr="002F50BD">
        <w:rPr>
          <w:rFonts w:ascii="Verdana" w:hAnsi="Verdana"/>
          <w:sz w:val="20"/>
          <w:lang w:val="pt-BR"/>
        </w:rPr>
        <w:t xml:space="preserve"> est</w:t>
      </w:r>
      <w:r w:rsidR="00EC5F20" w:rsidRPr="002F50BD">
        <w:rPr>
          <w:rFonts w:ascii="Verdana" w:hAnsi="Verdana"/>
          <w:sz w:val="20"/>
          <w:lang w:val="pt-BR"/>
        </w:rPr>
        <w:t xml:space="preserve">e pedido </w:t>
      </w:r>
      <w:r w:rsidR="0089298C" w:rsidRPr="002F50BD">
        <w:rPr>
          <w:rFonts w:ascii="Verdana" w:hAnsi="Verdana"/>
          <w:sz w:val="20"/>
          <w:lang w:val="pt-BR"/>
        </w:rPr>
        <w:t xml:space="preserve">ao </w:t>
      </w:r>
      <w:r w:rsidR="004756C1" w:rsidRPr="002F50BD">
        <w:rPr>
          <w:rFonts w:ascii="Verdana" w:hAnsi="Verdana"/>
          <w:sz w:val="20"/>
          <w:lang w:val="pt-BR"/>
        </w:rPr>
        <w:t>INDI</w:t>
      </w:r>
      <w:r w:rsidR="0089298C" w:rsidRPr="002F50BD">
        <w:rPr>
          <w:rFonts w:ascii="Verdana" w:hAnsi="Verdana"/>
          <w:sz w:val="20"/>
          <w:lang w:val="pt-BR"/>
        </w:rPr>
        <w:t xml:space="preserve"> em várias</w:t>
      </w:r>
      <w:r w:rsidR="004756C1" w:rsidRPr="002F50BD">
        <w:rPr>
          <w:rFonts w:ascii="Verdana" w:hAnsi="Verdana"/>
          <w:sz w:val="20"/>
          <w:lang w:val="pt-BR"/>
        </w:rPr>
        <w:t xml:space="preserve"> </w:t>
      </w:r>
      <w:r w:rsidR="0089298C" w:rsidRPr="002F50BD">
        <w:rPr>
          <w:rFonts w:ascii="Verdana" w:hAnsi="Verdana"/>
          <w:sz w:val="20"/>
          <w:lang w:val="pt-BR"/>
        </w:rPr>
        <w:t>ocasiões</w:t>
      </w:r>
      <w:r w:rsidR="0022481E" w:rsidRPr="002F50BD">
        <w:rPr>
          <w:rFonts w:ascii="Verdana" w:hAnsi="Verdana"/>
          <w:sz w:val="20"/>
          <w:lang w:val="pt-BR"/>
        </w:rPr>
        <w:t>.</w:t>
      </w:r>
      <w:r w:rsidR="004756C1" w:rsidRPr="002F50BD">
        <w:rPr>
          <w:rStyle w:val="FootnoteReference"/>
          <w:rFonts w:ascii="Verdana" w:hAnsi="Verdana"/>
        </w:rPr>
        <w:footnoteReference w:id="42"/>
      </w:r>
      <w:r w:rsidR="004756C1" w:rsidRPr="002F50BD">
        <w:rPr>
          <w:rFonts w:ascii="Verdana" w:hAnsi="Verdana"/>
          <w:sz w:val="20"/>
          <w:lang w:val="pt-BR"/>
        </w:rPr>
        <w:t xml:space="preserve"> </w:t>
      </w:r>
    </w:p>
    <w:p w:rsidR="004756C1" w:rsidRPr="002F50BD" w:rsidRDefault="004756C1">
      <w:pPr>
        <w:ind w:left="720"/>
        <w:jc w:val="both"/>
        <w:rPr>
          <w:rFonts w:ascii="Verdana" w:hAnsi="Verdana"/>
          <w:b/>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10</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2001</w:t>
      </w:r>
      <w:r w:rsidR="00EC5F20" w:rsidRPr="002F50BD">
        <w:rPr>
          <w:rFonts w:ascii="Verdana" w:hAnsi="Verdana"/>
          <w:sz w:val="20"/>
          <w:lang w:val="pt-BR"/>
        </w:rPr>
        <w:t>,</w:t>
      </w:r>
      <w:r w:rsidR="0089298C" w:rsidRPr="002F50BD">
        <w:rPr>
          <w:rFonts w:ascii="Verdana" w:hAnsi="Verdana"/>
          <w:sz w:val="20"/>
          <w:lang w:val="pt-BR"/>
        </w:rPr>
        <w:t xml:space="preserve"> 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 xml:space="preserve">emitiu a </w:t>
      </w:r>
      <w:r w:rsidR="004756C1" w:rsidRPr="002F50BD">
        <w:rPr>
          <w:rFonts w:ascii="Verdana" w:hAnsi="Verdana"/>
          <w:sz w:val="20"/>
          <w:lang w:val="pt-BR"/>
        </w:rPr>
        <w:t>resolu</w:t>
      </w:r>
      <w:r w:rsidR="0089298C" w:rsidRPr="002F50BD">
        <w:rPr>
          <w:rFonts w:ascii="Verdana" w:hAnsi="Verdana"/>
          <w:sz w:val="20"/>
          <w:lang w:val="pt-BR"/>
        </w:rPr>
        <w:t>ção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18</w:t>
      </w:r>
      <w:r w:rsidR="004756C1" w:rsidRPr="002F50BD">
        <w:rPr>
          <w:rFonts w:ascii="Verdana" w:hAnsi="Verdana"/>
          <w:sz w:val="20"/>
          <w:lang w:val="pt-BR"/>
        </w:rPr>
        <w:t>/</w:t>
      </w:r>
      <w:r w:rsidRPr="002F50BD">
        <w:rPr>
          <w:rFonts w:ascii="Verdana" w:hAnsi="Verdana"/>
          <w:sz w:val="20"/>
          <w:lang w:val="pt-BR"/>
        </w:rPr>
        <w:t>2001</w:t>
      </w:r>
      <w:r w:rsidR="004756C1" w:rsidRPr="002F50BD">
        <w:rPr>
          <w:rFonts w:ascii="Verdana" w:hAnsi="Verdana"/>
          <w:sz w:val="20"/>
          <w:lang w:val="pt-BR"/>
        </w:rPr>
        <w:t>, mediante</w:t>
      </w:r>
      <w:r w:rsidR="0089298C" w:rsidRPr="002F50BD">
        <w:rPr>
          <w:rFonts w:ascii="Verdana" w:hAnsi="Verdana"/>
          <w:sz w:val="20"/>
          <w:lang w:val="pt-BR"/>
        </w:rPr>
        <w:t xml:space="preserve"> a qual decidiu</w:t>
      </w:r>
      <w:r w:rsidR="004756C1" w:rsidRPr="002F50BD">
        <w:rPr>
          <w:rFonts w:ascii="Verdana" w:hAnsi="Verdana"/>
          <w:sz w:val="20"/>
          <w:lang w:val="pt-BR"/>
        </w:rPr>
        <w:t xml:space="preserve"> “dar curso </w:t>
      </w:r>
      <w:r w:rsidR="0089298C" w:rsidRPr="002F50BD">
        <w:rPr>
          <w:rFonts w:ascii="Verdana" w:hAnsi="Verdana"/>
          <w:sz w:val="20"/>
          <w:lang w:val="pt-BR"/>
        </w:rPr>
        <w:t xml:space="preserve">favorável à solicitação </w:t>
      </w:r>
      <w:r w:rsidR="004756C1" w:rsidRPr="002F50BD">
        <w:rPr>
          <w:rFonts w:ascii="Verdana" w:hAnsi="Verdana"/>
          <w:sz w:val="20"/>
          <w:lang w:val="pt-BR"/>
        </w:rPr>
        <w:t>de re</w:t>
      </w:r>
      <w:r w:rsidR="0089298C" w:rsidRPr="002F50BD">
        <w:rPr>
          <w:rFonts w:ascii="Verdana" w:hAnsi="Verdana"/>
          <w:sz w:val="20"/>
          <w:lang w:val="pt-BR"/>
        </w:rPr>
        <w:t>conhecimento</w:t>
      </w:r>
      <w:r w:rsidR="004756C1" w:rsidRPr="002F50BD">
        <w:rPr>
          <w:rFonts w:ascii="Verdana" w:hAnsi="Verdana"/>
          <w:sz w:val="20"/>
          <w:lang w:val="pt-BR"/>
        </w:rPr>
        <w:t xml:space="preserve"> de </w:t>
      </w:r>
      <w:r w:rsidR="00EC5F20" w:rsidRPr="002F50BD">
        <w:rPr>
          <w:rFonts w:ascii="Verdana" w:hAnsi="Verdana"/>
          <w:sz w:val="20"/>
          <w:lang w:val="pt-BR"/>
        </w:rPr>
        <w:t>p</w:t>
      </w:r>
      <w:r w:rsidR="007801FA" w:rsidRPr="002F50BD">
        <w:rPr>
          <w:rFonts w:ascii="Verdana" w:hAnsi="Verdana"/>
          <w:sz w:val="20"/>
          <w:lang w:val="pt-BR"/>
        </w:rPr>
        <w:t>ersonalidade</w:t>
      </w:r>
      <w:r w:rsidR="004756C1" w:rsidRPr="002F50BD">
        <w:rPr>
          <w:rFonts w:ascii="Verdana" w:hAnsi="Verdana"/>
          <w:sz w:val="20"/>
          <w:lang w:val="pt-BR"/>
        </w:rPr>
        <w:t xml:space="preserve"> </w:t>
      </w:r>
      <w:r w:rsidR="00EC5F20" w:rsidRPr="002F50BD">
        <w:rPr>
          <w:rFonts w:ascii="Verdana" w:hAnsi="Verdana"/>
          <w:sz w:val="20"/>
          <w:lang w:val="pt-BR"/>
        </w:rPr>
        <w:t>j</w:t>
      </w:r>
      <w:r w:rsidR="004756C1" w:rsidRPr="002F50BD">
        <w:rPr>
          <w:rFonts w:ascii="Verdana" w:hAnsi="Verdana"/>
          <w:sz w:val="20"/>
          <w:lang w:val="pt-BR"/>
        </w:rPr>
        <w:t>urídica”</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22481E" w:rsidRPr="002F50BD">
        <w:rPr>
          <w:rFonts w:ascii="Verdana" w:hAnsi="Verdana"/>
          <w:sz w:val="20"/>
          <w:lang w:val="pt-BR"/>
        </w:rPr>
        <w:t>sendo rem</w:t>
      </w:r>
      <w:r w:rsidR="00EC5F20" w:rsidRPr="002F50BD">
        <w:rPr>
          <w:rFonts w:ascii="Verdana" w:hAnsi="Verdana"/>
          <w:sz w:val="20"/>
          <w:lang w:val="pt-BR"/>
        </w:rPr>
        <w:t>e</w:t>
      </w:r>
      <w:r w:rsidR="0022481E" w:rsidRPr="002F50BD">
        <w:rPr>
          <w:rFonts w:ascii="Verdana" w:hAnsi="Verdana"/>
          <w:sz w:val="20"/>
          <w:lang w:val="pt-BR"/>
        </w:rPr>
        <w:t xml:space="preserve">tidos </w:t>
      </w:r>
      <w:r w:rsidR="0089298C" w:rsidRPr="002F50BD">
        <w:rPr>
          <w:rFonts w:ascii="Verdana" w:hAnsi="Verdana"/>
          <w:sz w:val="20"/>
          <w:lang w:val="pt-BR"/>
        </w:rPr>
        <w:t xml:space="preserve">os </w:t>
      </w:r>
      <w:r w:rsidR="004756C1" w:rsidRPr="002F50BD">
        <w:rPr>
          <w:rFonts w:ascii="Verdana" w:hAnsi="Verdana"/>
          <w:sz w:val="20"/>
          <w:lang w:val="pt-BR"/>
        </w:rPr>
        <w:t>autos</w:t>
      </w:r>
      <w:r w:rsidR="0089298C" w:rsidRPr="002F50BD">
        <w:rPr>
          <w:rFonts w:ascii="Verdana" w:hAnsi="Verdana"/>
          <w:sz w:val="20"/>
          <w:lang w:val="pt-BR"/>
        </w:rPr>
        <w:t xml:space="preserve"> ao Ministério</w:t>
      </w:r>
      <w:r w:rsidR="004756C1" w:rsidRPr="002F50BD">
        <w:rPr>
          <w:rFonts w:ascii="Verdana" w:hAnsi="Verdana"/>
          <w:sz w:val="20"/>
          <w:lang w:val="pt-BR"/>
        </w:rPr>
        <w:t xml:space="preserve"> de Educa</w:t>
      </w:r>
      <w:r w:rsidR="0089298C" w:rsidRPr="002F50BD">
        <w:rPr>
          <w:rFonts w:ascii="Verdana" w:hAnsi="Verdana"/>
          <w:sz w:val="20"/>
          <w:lang w:val="pt-BR"/>
        </w:rPr>
        <w:t xml:space="preserve">ção e </w:t>
      </w:r>
      <w:r w:rsidR="004756C1" w:rsidRPr="002F50BD">
        <w:rPr>
          <w:rFonts w:ascii="Verdana" w:hAnsi="Verdana"/>
          <w:sz w:val="20"/>
          <w:lang w:val="pt-BR"/>
        </w:rPr>
        <w:t>Cultura</w:t>
      </w:r>
      <w:r w:rsidR="0089298C" w:rsidRPr="002F50BD">
        <w:rPr>
          <w:rFonts w:ascii="Verdana" w:hAnsi="Verdana"/>
          <w:sz w:val="20"/>
          <w:lang w:val="pt-BR"/>
        </w:rPr>
        <w:t xml:space="preserve"> </w:t>
      </w:r>
      <w:r w:rsidR="00EC5F20" w:rsidRPr="002F50BD">
        <w:rPr>
          <w:rFonts w:ascii="Verdana" w:hAnsi="Verdana"/>
          <w:sz w:val="20"/>
          <w:lang w:val="pt-BR"/>
        </w:rPr>
        <w:t>com vistas à</w:t>
      </w:r>
      <w:r w:rsidR="0089298C" w:rsidRPr="002F50BD">
        <w:rPr>
          <w:rFonts w:ascii="Verdana" w:hAnsi="Verdana"/>
          <w:sz w:val="20"/>
          <w:lang w:val="pt-BR"/>
        </w:rPr>
        <w:t xml:space="preserve"> gestão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decreto </w:t>
      </w:r>
      <w:r w:rsidR="00AB454A" w:rsidRPr="002F50BD">
        <w:rPr>
          <w:rFonts w:ascii="Verdana" w:hAnsi="Verdana"/>
          <w:sz w:val="20"/>
          <w:lang w:val="pt-BR"/>
        </w:rPr>
        <w:t xml:space="preserve">Presidencial </w:t>
      </w:r>
      <w:r w:rsidR="0089298C" w:rsidRPr="002F50BD">
        <w:rPr>
          <w:rFonts w:ascii="Verdana" w:hAnsi="Verdana"/>
          <w:sz w:val="20"/>
          <w:lang w:val="pt-BR"/>
        </w:rPr>
        <w:t>correspondente</w:t>
      </w:r>
      <w:r w:rsidR="0022481E" w:rsidRPr="002F50BD">
        <w:rPr>
          <w:rFonts w:ascii="Verdana" w:hAnsi="Verdana"/>
          <w:sz w:val="20"/>
          <w:lang w:val="pt-BR"/>
        </w:rPr>
        <w:t>.</w:t>
      </w:r>
      <w:r w:rsidR="004756C1" w:rsidRPr="002F50BD">
        <w:rPr>
          <w:rStyle w:val="FootnoteReference"/>
          <w:rFonts w:ascii="Verdana" w:hAnsi="Verdana"/>
        </w:rPr>
        <w:footnoteReference w:id="43"/>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25</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2001</w:t>
      </w:r>
      <w:r w:rsidR="00EC5F20" w:rsidRPr="002F50BD">
        <w:rPr>
          <w:rFonts w:ascii="Verdana" w:hAnsi="Verdana"/>
          <w:sz w:val="20"/>
          <w:lang w:val="pt-BR"/>
        </w:rPr>
        <w:t>,</w:t>
      </w:r>
      <w:r w:rsidR="0089298C" w:rsidRPr="002F50BD">
        <w:rPr>
          <w:rFonts w:ascii="Verdana" w:hAnsi="Verdana"/>
          <w:sz w:val="20"/>
          <w:lang w:val="pt-BR"/>
        </w:rPr>
        <w:t xml:space="preserve"> a Direção</w:t>
      </w:r>
      <w:r w:rsidR="004756C1" w:rsidRPr="002F50BD">
        <w:rPr>
          <w:rFonts w:ascii="Verdana" w:hAnsi="Verdana"/>
          <w:sz w:val="20"/>
          <w:lang w:val="pt-BR"/>
        </w:rPr>
        <w:t xml:space="preserve"> </w:t>
      </w:r>
      <w:r w:rsidR="0089298C" w:rsidRPr="002F50BD">
        <w:rPr>
          <w:rFonts w:ascii="Verdana" w:hAnsi="Verdana"/>
          <w:sz w:val="20"/>
          <w:lang w:val="pt-BR"/>
        </w:rPr>
        <w:t>Geral</w:t>
      </w:r>
      <w:r w:rsidR="004756C1" w:rsidRPr="002F50BD">
        <w:rPr>
          <w:rFonts w:ascii="Verdana" w:hAnsi="Verdana"/>
          <w:sz w:val="20"/>
          <w:lang w:val="pt-BR"/>
        </w:rPr>
        <w:t xml:space="preserve"> de </w:t>
      </w:r>
      <w:r w:rsidR="0089298C" w:rsidRPr="002F50BD">
        <w:rPr>
          <w:rFonts w:ascii="Verdana" w:hAnsi="Verdana"/>
          <w:sz w:val="20"/>
          <w:lang w:val="pt-BR"/>
        </w:rPr>
        <w:t>Assessoria</w:t>
      </w:r>
      <w:r w:rsidR="004756C1" w:rsidRPr="002F50BD">
        <w:rPr>
          <w:rFonts w:ascii="Verdana" w:hAnsi="Verdana"/>
          <w:sz w:val="20"/>
          <w:lang w:val="pt-BR"/>
        </w:rPr>
        <w:t xml:space="preserve"> Jurídica </w:t>
      </w:r>
      <w:r w:rsidR="0089298C" w:rsidRPr="002F50BD">
        <w:rPr>
          <w:rFonts w:ascii="Verdana" w:hAnsi="Verdana"/>
          <w:sz w:val="20"/>
          <w:lang w:val="pt-BR"/>
        </w:rPr>
        <w:t>do Ministério</w:t>
      </w:r>
      <w:r w:rsidR="004756C1" w:rsidRPr="002F50BD">
        <w:rPr>
          <w:rFonts w:ascii="Verdana" w:hAnsi="Verdana"/>
          <w:sz w:val="20"/>
          <w:lang w:val="pt-BR"/>
        </w:rPr>
        <w:t xml:space="preserve"> de Educa</w:t>
      </w:r>
      <w:r w:rsidR="0089298C" w:rsidRPr="002F50BD">
        <w:rPr>
          <w:rFonts w:ascii="Verdana" w:hAnsi="Verdana"/>
          <w:sz w:val="20"/>
          <w:lang w:val="pt-BR"/>
        </w:rPr>
        <w:t xml:space="preserve">ção e </w:t>
      </w:r>
      <w:r w:rsidR="004756C1" w:rsidRPr="002F50BD">
        <w:rPr>
          <w:rFonts w:ascii="Verdana" w:hAnsi="Verdana"/>
          <w:sz w:val="20"/>
          <w:lang w:val="pt-BR"/>
        </w:rPr>
        <w:t xml:space="preserve">Cultura </w:t>
      </w:r>
      <w:r w:rsidR="0022481E" w:rsidRPr="002F50BD">
        <w:rPr>
          <w:rFonts w:ascii="Verdana" w:hAnsi="Verdana"/>
          <w:sz w:val="20"/>
          <w:lang w:val="pt-BR"/>
        </w:rPr>
        <w:t>recomendou</w:t>
      </w:r>
      <w:r w:rsidR="004756C1" w:rsidRPr="002F50BD">
        <w:rPr>
          <w:rFonts w:ascii="Verdana" w:hAnsi="Verdana"/>
          <w:sz w:val="20"/>
          <w:lang w:val="pt-BR"/>
        </w:rPr>
        <w:t xml:space="preserve"> re</w:t>
      </w:r>
      <w:r w:rsidR="0089298C" w:rsidRPr="002F50BD">
        <w:rPr>
          <w:rFonts w:ascii="Verdana" w:hAnsi="Verdana"/>
          <w:sz w:val="20"/>
          <w:lang w:val="pt-BR"/>
        </w:rPr>
        <w:t xml:space="preserve">conhecer 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 Comunidade </w:t>
      </w:r>
      <w:r w:rsidR="004756C1" w:rsidRPr="002F50BD">
        <w:rPr>
          <w:rFonts w:ascii="Verdana" w:hAnsi="Verdana"/>
          <w:sz w:val="20"/>
          <w:lang w:val="pt-BR"/>
        </w:rPr>
        <w:t>indígena,</w:t>
      </w:r>
      <w:r w:rsidR="0089298C" w:rsidRPr="002F50BD">
        <w:rPr>
          <w:rFonts w:ascii="Verdana" w:hAnsi="Verdana"/>
          <w:sz w:val="20"/>
          <w:lang w:val="pt-BR"/>
        </w:rPr>
        <w:t xml:space="preserve"> </w:t>
      </w:r>
      <w:r w:rsidR="0022481E" w:rsidRPr="002F50BD">
        <w:rPr>
          <w:rFonts w:ascii="Verdana" w:hAnsi="Verdana"/>
          <w:sz w:val="20"/>
          <w:lang w:val="pt-BR"/>
        </w:rPr>
        <w:t xml:space="preserve">através dos </w:t>
      </w:r>
      <w:r w:rsidR="004756C1" w:rsidRPr="002F50BD">
        <w:rPr>
          <w:rFonts w:ascii="Verdana" w:hAnsi="Verdana"/>
          <w:sz w:val="20"/>
          <w:lang w:val="pt-BR"/>
        </w:rPr>
        <w:t xml:space="preserve">meios </w:t>
      </w:r>
      <w:r w:rsidR="0089298C" w:rsidRPr="002F50BD">
        <w:rPr>
          <w:rFonts w:ascii="Verdana" w:hAnsi="Verdana"/>
          <w:sz w:val="20"/>
          <w:lang w:val="pt-BR"/>
        </w:rPr>
        <w:t>legais</w:t>
      </w:r>
      <w:r w:rsidR="004756C1" w:rsidRPr="002F50BD">
        <w:rPr>
          <w:rFonts w:ascii="Verdana" w:hAnsi="Verdana"/>
          <w:sz w:val="20"/>
          <w:lang w:val="pt-BR"/>
        </w:rPr>
        <w:t xml:space="preserve"> </w:t>
      </w:r>
      <w:r w:rsidR="0089298C" w:rsidRPr="002F50BD">
        <w:rPr>
          <w:rFonts w:ascii="Verdana" w:hAnsi="Verdana"/>
          <w:sz w:val="20"/>
          <w:lang w:val="pt-BR"/>
        </w:rPr>
        <w:t>correspondente</w:t>
      </w:r>
      <w:r w:rsidR="004756C1" w:rsidRPr="002F50BD">
        <w:rPr>
          <w:rFonts w:ascii="Verdana" w:hAnsi="Verdana"/>
          <w:sz w:val="20"/>
          <w:lang w:val="pt-BR"/>
        </w:rPr>
        <w:t>s, considerando que reúne</w:t>
      </w:r>
      <w:r w:rsidR="0089298C" w:rsidRPr="002F50BD">
        <w:rPr>
          <w:rFonts w:ascii="Verdana" w:hAnsi="Verdana"/>
          <w:sz w:val="20"/>
          <w:lang w:val="pt-BR"/>
        </w:rPr>
        <w:t xml:space="preserve"> os </w:t>
      </w:r>
      <w:r w:rsidR="004756C1" w:rsidRPr="002F50BD">
        <w:rPr>
          <w:rFonts w:ascii="Verdana" w:hAnsi="Verdana"/>
          <w:sz w:val="20"/>
          <w:lang w:val="pt-BR"/>
        </w:rPr>
        <w:t xml:space="preserve">requisitos </w:t>
      </w:r>
      <w:r w:rsidR="0089298C" w:rsidRPr="002F50BD">
        <w:rPr>
          <w:rFonts w:ascii="Verdana" w:hAnsi="Verdana"/>
          <w:sz w:val="20"/>
          <w:lang w:val="pt-BR"/>
        </w:rPr>
        <w:t>legais</w:t>
      </w:r>
      <w:r w:rsidR="004756C1" w:rsidRPr="002F50BD">
        <w:rPr>
          <w:rFonts w:ascii="Verdana" w:hAnsi="Verdana"/>
          <w:sz w:val="20"/>
          <w:lang w:val="pt-BR"/>
        </w:rPr>
        <w:t xml:space="preserve"> para tal </w:t>
      </w:r>
      <w:r w:rsidR="0089298C" w:rsidRPr="002F50BD">
        <w:rPr>
          <w:rFonts w:ascii="Verdana" w:hAnsi="Verdana"/>
          <w:sz w:val="20"/>
          <w:lang w:val="pt-BR"/>
        </w:rPr>
        <w:t>efeito</w:t>
      </w:r>
      <w:r w:rsidR="0022481E" w:rsidRPr="002F50BD">
        <w:rPr>
          <w:rFonts w:ascii="Verdana" w:hAnsi="Verdana"/>
          <w:sz w:val="20"/>
          <w:lang w:val="pt-BR"/>
        </w:rPr>
        <w:t>.</w:t>
      </w:r>
      <w:r w:rsidR="004756C1" w:rsidRPr="002F50BD">
        <w:rPr>
          <w:rStyle w:val="FootnoteReference"/>
          <w:rFonts w:ascii="Verdana" w:hAnsi="Verdana"/>
        </w:rPr>
        <w:footnoteReference w:id="44"/>
      </w:r>
      <w:r w:rsidR="004756C1" w:rsidRPr="002F50BD">
        <w:rPr>
          <w:rFonts w:ascii="Verdana" w:hAnsi="Verdana"/>
          <w:sz w:val="20"/>
          <w:lang w:val="pt-BR"/>
        </w:rPr>
        <w:t xml:space="preserve"> </w:t>
      </w:r>
    </w:p>
    <w:p w:rsidR="004756C1" w:rsidRPr="002F50BD" w:rsidRDefault="004756C1">
      <w:pPr>
        <w:ind w:left="720"/>
        <w:jc w:val="both"/>
        <w:rPr>
          <w:rFonts w:ascii="Verdana" w:hAnsi="Verdana"/>
          <w:b/>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2001</w:t>
      </w:r>
      <w:r w:rsidR="00120872"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do Paraguai</w:t>
      </w:r>
      <w:r w:rsidR="004756C1" w:rsidRPr="002F50BD">
        <w:rPr>
          <w:rFonts w:ascii="Verdana" w:hAnsi="Verdana"/>
          <w:sz w:val="20"/>
          <w:lang w:val="pt-BR"/>
        </w:rPr>
        <w:t xml:space="preserve"> </w:t>
      </w:r>
      <w:r w:rsidR="0089298C" w:rsidRPr="002F50BD">
        <w:rPr>
          <w:rFonts w:ascii="Verdana" w:hAnsi="Verdana"/>
          <w:sz w:val="20"/>
          <w:lang w:val="pt-BR"/>
        </w:rPr>
        <w:t xml:space="preserve">emitiu o </w:t>
      </w:r>
      <w:r w:rsidR="004756C1" w:rsidRPr="002F50BD">
        <w:rPr>
          <w:rFonts w:ascii="Verdana" w:hAnsi="Verdana"/>
          <w:sz w:val="20"/>
          <w:lang w:val="pt-BR"/>
        </w:rPr>
        <w:t>Decreto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628</w:t>
      </w:r>
      <w:r w:rsidR="004756C1" w:rsidRPr="002F50BD">
        <w:rPr>
          <w:rFonts w:ascii="Verdana" w:hAnsi="Verdana"/>
          <w:sz w:val="20"/>
          <w:lang w:val="pt-BR"/>
        </w:rPr>
        <w:t>,</w:t>
      </w:r>
      <w:r w:rsidR="0089298C" w:rsidRPr="002F50BD">
        <w:rPr>
          <w:rFonts w:ascii="Verdana" w:hAnsi="Verdana"/>
          <w:sz w:val="20"/>
          <w:lang w:val="pt-BR"/>
        </w:rPr>
        <w:t xml:space="preserve"> no qual </w:t>
      </w:r>
      <w:r w:rsidR="004756C1" w:rsidRPr="002F50BD">
        <w:rPr>
          <w:rFonts w:ascii="Verdana" w:hAnsi="Verdana"/>
          <w:sz w:val="20"/>
          <w:lang w:val="pt-BR"/>
        </w:rPr>
        <w:t>re</w:t>
      </w:r>
      <w:r w:rsidR="0089298C" w:rsidRPr="002F50BD">
        <w:rPr>
          <w:rFonts w:ascii="Verdana" w:hAnsi="Verdana"/>
          <w:sz w:val="20"/>
          <w:lang w:val="pt-BR"/>
        </w:rPr>
        <w:t xml:space="preserve">conheceu 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22481E" w:rsidRPr="002F50BD">
        <w:rPr>
          <w:rFonts w:ascii="Verdana" w:hAnsi="Verdana"/>
          <w:sz w:val="20"/>
          <w:lang w:val="pt-BR"/>
        </w:rPr>
        <w:t>.</w:t>
      </w:r>
      <w:r w:rsidR="004756C1" w:rsidRPr="002F50BD">
        <w:rPr>
          <w:rStyle w:val="FootnoteReference"/>
          <w:rFonts w:ascii="Verdana" w:hAnsi="Verdana"/>
        </w:rPr>
        <w:footnoteReference w:id="45"/>
      </w:r>
    </w:p>
    <w:p w:rsidR="004756C1" w:rsidRPr="002F50BD" w:rsidRDefault="004756C1">
      <w:pPr>
        <w:ind w:left="1440"/>
        <w:jc w:val="both"/>
        <w:rPr>
          <w:rFonts w:ascii="Verdana" w:hAnsi="Verdana"/>
          <w:sz w:val="20"/>
          <w:u w:val="single"/>
          <w:lang w:val="pt-BR"/>
        </w:rPr>
      </w:pPr>
      <w:r w:rsidRPr="002F50BD">
        <w:rPr>
          <w:rFonts w:ascii="Verdana" w:hAnsi="Verdana"/>
          <w:sz w:val="20"/>
          <w:u w:val="single"/>
          <w:lang w:val="pt-BR"/>
        </w:rPr>
        <w:t>Reivindica</w:t>
      </w:r>
      <w:r w:rsidR="0089298C" w:rsidRPr="002F50BD">
        <w:rPr>
          <w:rFonts w:ascii="Verdana" w:hAnsi="Verdana"/>
          <w:sz w:val="20"/>
          <w:u w:val="single"/>
          <w:lang w:val="pt-BR"/>
        </w:rPr>
        <w:t>ção</w:t>
      </w:r>
      <w:r w:rsidRPr="002F50BD">
        <w:rPr>
          <w:rFonts w:ascii="Verdana" w:hAnsi="Verdana"/>
          <w:sz w:val="20"/>
          <w:u w:val="single"/>
          <w:lang w:val="pt-BR"/>
        </w:rPr>
        <w:t xml:space="preserve"> </w:t>
      </w:r>
      <w:r w:rsidR="0089298C" w:rsidRPr="002F50BD">
        <w:rPr>
          <w:rFonts w:ascii="Verdana" w:hAnsi="Verdana"/>
          <w:sz w:val="20"/>
          <w:u w:val="single"/>
          <w:lang w:val="pt-BR"/>
        </w:rPr>
        <w:t>do território</w:t>
      </w:r>
    </w:p>
    <w:p w:rsidR="004756C1" w:rsidRPr="002F50BD" w:rsidRDefault="004756C1">
      <w:pPr>
        <w:rPr>
          <w:rFonts w:ascii="Verdana" w:hAnsi="Verdana"/>
          <w:b/>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lastRenderedPageBreak/>
        <w:t>50</w:t>
      </w:r>
      <w:r w:rsidR="004756C1" w:rsidRPr="002F50BD">
        <w:rPr>
          <w:rFonts w:ascii="Verdana" w:hAnsi="Verdana"/>
          <w:sz w:val="20"/>
          <w:lang w:val="pt-BR"/>
        </w:rPr>
        <w:t>.</w:t>
      </w:r>
      <w:r w:rsidRPr="002F50BD">
        <w:rPr>
          <w:rFonts w:ascii="Verdana" w:hAnsi="Verdana"/>
          <w:sz w:val="20"/>
          <w:lang w:val="pt-BR"/>
        </w:rPr>
        <w:t>23</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Na época dos fatos</w:t>
      </w:r>
      <w:r w:rsidR="00120872" w:rsidRPr="002F50BD">
        <w:rPr>
          <w:rFonts w:ascii="Verdana" w:hAnsi="Verdana"/>
          <w:sz w:val="20"/>
          <w:lang w:val="pt-BR"/>
        </w:rPr>
        <w:t>,</w:t>
      </w:r>
      <w:r w:rsidR="0089298C" w:rsidRPr="002F50BD">
        <w:rPr>
          <w:rFonts w:ascii="Verdana" w:hAnsi="Verdana"/>
          <w:sz w:val="20"/>
          <w:lang w:val="pt-BR"/>
        </w:rPr>
        <w:t xml:space="preserve"> o procedimento</w:t>
      </w:r>
      <w:r w:rsidR="004756C1" w:rsidRPr="002F50BD">
        <w:rPr>
          <w:rFonts w:ascii="Verdana" w:hAnsi="Verdana"/>
          <w:sz w:val="20"/>
          <w:lang w:val="pt-BR"/>
        </w:rPr>
        <w:t xml:space="preserve"> para</w:t>
      </w:r>
      <w:r w:rsidR="0089298C" w:rsidRPr="002F50BD">
        <w:rPr>
          <w:rFonts w:ascii="Verdana" w:hAnsi="Verdana"/>
          <w:sz w:val="20"/>
          <w:lang w:val="pt-BR"/>
        </w:rPr>
        <w:t xml:space="preserve"> a atenção </w:t>
      </w:r>
      <w:r w:rsidR="00120872" w:rsidRPr="002F50BD">
        <w:rPr>
          <w:rFonts w:ascii="Verdana" w:hAnsi="Verdana"/>
          <w:sz w:val="20"/>
          <w:lang w:val="pt-BR"/>
        </w:rPr>
        <w:t>a</w:t>
      </w:r>
      <w:r w:rsidR="0089298C" w:rsidRPr="002F50BD">
        <w:rPr>
          <w:rFonts w:ascii="Verdana" w:hAnsi="Verdana"/>
          <w:sz w:val="20"/>
          <w:lang w:val="pt-BR"/>
        </w:rPr>
        <w:t xml:space="preserve">os </w:t>
      </w:r>
      <w:r w:rsidR="004756C1" w:rsidRPr="002F50BD">
        <w:rPr>
          <w:rFonts w:ascii="Verdana" w:hAnsi="Verdana"/>
          <w:sz w:val="20"/>
          <w:lang w:val="pt-BR"/>
        </w:rPr>
        <w:t>problemas</w:t>
      </w:r>
      <w:r w:rsidR="0089298C" w:rsidRPr="002F50BD">
        <w:rPr>
          <w:rFonts w:ascii="Verdana" w:hAnsi="Verdana"/>
          <w:sz w:val="20"/>
          <w:lang w:val="pt-BR"/>
        </w:rPr>
        <w:t xml:space="preserve"> d</w:t>
      </w:r>
      <w:r w:rsidR="00120872" w:rsidRPr="002F50BD">
        <w:rPr>
          <w:rFonts w:ascii="Verdana" w:hAnsi="Verdana"/>
          <w:sz w:val="20"/>
          <w:lang w:val="pt-BR"/>
        </w:rPr>
        <w:t>e</w:t>
      </w:r>
      <w:r w:rsidR="0089298C" w:rsidRPr="002F50BD">
        <w:rPr>
          <w:rFonts w:ascii="Verdana" w:hAnsi="Verdana"/>
          <w:sz w:val="20"/>
          <w:lang w:val="pt-BR"/>
        </w:rPr>
        <w:t xml:space="preserve"> </w:t>
      </w:r>
      <w:r w:rsidR="0022481E" w:rsidRPr="002F50BD">
        <w:rPr>
          <w:rFonts w:ascii="Verdana" w:hAnsi="Verdana"/>
          <w:sz w:val="20"/>
          <w:lang w:val="pt-BR"/>
        </w:rPr>
        <w:t xml:space="preserve">posse </w:t>
      </w:r>
      <w:r w:rsidR="004756C1" w:rsidRPr="002F50BD">
        <w:rPr>
          <w:rFonts w:ascii="Verdana" w:hAnsi="Verdana"/>
          <w:sz w:val="20"/>
          <w:lang w:val="pt-BR"/>
        </w:rPr>
        <w:t xml:space="preserve">de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no Paraguai</w:t>
      </w:r>
      <w:r w:rsidR="004756C1" w:rsidRPr="002F50BD">
        <w:rPr>
          <w:rFonts w:ascii="Verdana" w:hAnsi="Verdana"/>
          <w:sz w:val="20"/>
          <w:lang w:val="pt-BR"/>
        </w:rPr>
        <w:t xml:space="preserve"> era</w:t>
      </w:r>
      <w:r w:rsidR="0089298C" w:rsidRPr="002F50BD">
        <w:rPr>
          <w:rFonts w:ascii="Verdana" w:hAnsi="Verdana"/>
          <w:sz w:val="20"/>
          <w:lang w:val="pt-BR"/>
        </w:rPr>
        <w:t xml:space="preserve"> o </w:t>
      </w:r>
      <w:r w:rsidR="004756C1" w:rsidRPr="002F50BD">
        <w:rPr>
          <w:rFonts w:ascii="Verdana" w:hAnsi="Verdana"/>
          <w:sz w:val="20"/>
          <w:lang w:val="pt-BR"/>
        </w:rPr>
        <w:t xml:space="preserve">administrativo, a cargo </w:t>
      </w:r>
      <w:r w:rsidR="0089298C" w:rsidRPr="002F50BD">
        <w:rPr>
          <w:rFonts w:ascii="Verdana" w:hAnsi="Verdana"/>
          <w:sz w:val="20"/>
          <w:lang w:val="pt-BR"/>
        </w:rPr>
        <w:t xml:space="preserve">do </w:t>
      </w:r>
      <w:r w:rsidR="004756C1" w:rsidRPr="002F50BD">
        <w:rPr>
          <w:rFonts w:ascii="Verdana" w:hAnsi="Verdana"/>
          <w:sz w:val="20"/>
          <w:lang w:val="pt-BR"/>
        </w:rPr>
        <w:t>IBR</w:t>
      </w:r>
      <w:r w:rsidR="0022481E" w:rsidRPr="002F50BD">
        <w:rPr>
          <w:rFonts w:ascii="Verdana" w:hAnsi="Verdana"/>
          <w:sz w:val="20"/>
          <w:lang w:val="pt-BR"/>
        </w:rPr>
        <w:t>.</w:t>
      </w:r>
      <w:r w:rsidR="004756C1" w:rsidRPr="002F50BD">
        <w:rPr>
          <w:rStyle w:val="FootnoteReference"/>
          <w:rFonts w:ascii="Verdana" w:hAnsi="Verdana"/>
        </w:rPr>
        <w:footnoteReference w:id="46"/>
      </w:r>
      <w:r w:rsidR="004756C1" w:rsidRPr="002F50BD">
        <w:rPr>
          <w:rFonts w:ascii="Verdana" w:hAnsi="Verdana"/>
          <w:sz w:val="20"/>
          <w:lang w:val="pt-BR"/>
        </w:rPr>
        <w:t xml:space="preserve"> </w:t>
      </w:r>
      <w:r w:rsidR="0022481E" w:rsidRPr="002F50BD">
        <w:rPr>
          <w:rFonts w:ascii="Verdana" w:hAnsi="Verdana"/>
          <w:sz w:val="20"/>
          <w:lang w:val="pt-BR"/>
        </w:rPr>
        <w:t>A</w:t>
      </w:r>
      <w:r w:rsidR="0089298C" w:rsidRPr="002F50BD">
        <w:rPr>
          <w:rFonts w:ascii="Verdana" w:hAnsi="Verdana"/>
          <w:sz w:val="20"/>
          <w:lang w:val="pt-BR"/>
        </w:rPr>
        <w:t>s questões</w:t>
      </w:r>
      <w:r w:rsidR="004756C1" w:rsidRPr="002F50BD">
        <w:rPr>
          <w:rFonts w:ascii="Verdana" w:hAnsi="Verdana"/>
          <w:sz w:val="20"/>
          <w:lang w:val="pt-BR"/>
        </w:rPr>
        <w:t xml:space="preserve"> </w:t>
      </w:r>
      <w:r w:rsidR="00AB454A" w:rsidRPr="002F50BD">
        <w:rPr>
          <w:rFonts w:ascii="Verdana" w:hAnsi="Verdana"/>
          <w:sz w:val="20"/>
          <w:lang w:val="pt-BR"/>
        </w:rPr>
        <w:t>territoriais</w:t>
      </w:r>
      <w:r w:rsidR="004756C1" w:rsidRPr="002F50BD">
        <w:rPr>
          <w:rFonts w:ascii="Verdana" w:hAnsi="Verdana"/>
          <w:sz w:val="20"/>
          <w:lang w:val="pt-BR"/>
        </w:rPr>
        <w:t xml:space="preserve"> indígenas</w:t>
      </w:r>
      <w:r w:rsidR="0089298C" w:rsidRPr="002F50BD">
        <w:rPr>
          <w:rFonts w:ascii="Verdana" w:hAnsi="Verdana"/>
          <w:sz w:val="20"/>
          <w:lang w:val="pt-BR"/>
        </w:rPr>
        <w:t xml:space="preserve"> </w:t>
      </w:r>
      <w:r w:rsidR="004756C1" w:rsidRPr="002F50BD">
        <w:rPr>
          <w:rFonts w:ascii="Verdana" w:hAnsi="Verdana"/>
          <w:sz w:val="20"/>
          <w:lang w:val="pt-BR"/>
        </w:rPr>
        <w:t>tramita</w:t>
      </w:r>
      <w:r w:rsidR="00120872" w:rsidRPr="002F50BD">
        <w:rPr>
          <w:rFonts w:ascii="Verdana" w:hAnsi="Verdana"/>
          <w:sz w:val="20"/>
          <w:lang w:val="pt-BR"/>
        </w:rPr>
        <w:t>m</w:t>
      </w:r>
      <w:r w:rsidR="004756C1" w:rsidRPr="002F50BD">
        <w:rPr>
          <w:rFonts w:ascii="Verdana" w:hAnsi="Verdana"/>
          <w:sz w:val="20"/>
          <w:lang w:val="pt-BR"/>
        </w:rPr>
        <w:t xml:space="preserve"> </w:t>
      </w:r>
      <w:r w:rsidR="0022481E"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INDI</w:t>
      </w:r>
      <w:r w:rsidR="0089298C" w:rsidRPr="002F50BD">
        <w:rPr>
          <w:rFonts w:ascii="Verdana" w:hAnsi="Verdana"/>
          <w:sz w:val="20"/>
          <w:lang w:val="pt-BR"/>
        </w:rPr>
        <w:t xml:space="preserve"> e o </w:t>
      </w:r>
      <w:r w:rsidR="004756C1" w:rsidRPr="002F50BD">
        <w:rPr>
          <w:rFonts w:ascii="Verdana" w:hAnsi="Verdana"/>
          <w:sz w:val="20"/>
          <w:lang w:val="pt-BR"/>
        </w:rPr>
        <w:t xml:space="preserve">IBR, </w:t>
      </w:r>
      <w:r w:rsidR="0022481E" w:rsidRPr="002F50BD">
        <w:rPr>
          <w:rFonts w:ascii="Verdana" w:hAnsi="Verdana"/>
          <w:sz w:val="20"/>
          <w:lang w:val="pt-BR"/>
        </w:rPr>
        <w:t>os quais</w:t>
      </w:r>
      <w:r w:rsidR="004756C1" w:rsidRPr="002F50BD">
        <w:rPr>
          <w:rFonts w:ascii="Verdana" w:hAnsi="Verdana"/>
          <w:sz w:val="20"/>
          <w:lang w:val="pt-BR"/>
        </w:rPr>
        <w:t xml:space="preserve"> a</w:t>
      </w:r>
      <w:r w:rsidR="0022481E" w:rsidRPr="002F50BD">
        <w:rPr>
          <w:rFonts w:ascii="Verdana" w:hAnsi="Verdana"/>
          <w:sz w:val="20"/>
          <w:lang w:val="pt-BR"/>
        </w:rPr>
        <w:t xml:space="preserve">tuam </w:t>
      </w:r>
      <w:r w:rsidR="0089298C" w:rsidRPr="002F50BD">
        <w:rPr>
          <w:rFonts w:ascii="Verdana" w:hAnsi="Verdana"/>
          <w:sz w:val="20"/>
          <w:lang w:val="pt-BR"/>
        </w:rPr>
        <w:t>sempre</w:t>
      </w:r>
      <w:r w:rsidR="004756C1" w:rsidRPr="002F50BD">
        <w:rPr>
          <w:rFonts w:ascii="Verdana" w:hAnsi="Verdana"/>
          <w:sz w:val="20"/>
          <w:lang w:val="pt-BR"/>
        </w:rPr>
        <w:t xml:space="preserve"> dentro </w:t>
      </w:r>
      <w:r w:rsidR="0089298C" w:rsidRPr="002F50BD">
        <w:rPr>
          <w:rFonts w:ascii="Verdana" w:hAnsi="Verdana"/>
          <w:sz w:val="20"/>
          <w:lang w:val="pt-BR"/>
        </w:rPr>
        <w:t>do âmbito</w:t>
      </w:r>
      <w:r w:rsidR="004756C1" w:rsidRPr="002F50BD">
        <w:rPr>
          <w:rFonts w:ascii="Verdana" w:hAnsi="Verdana"/>
          <w:sz w:val="20"/>
          <w:lang w:val="pt-BR"/>
        </w:rPr>
        <w:t xml:space="preserve"> administrativo</w:t>
      </w:r>
      <w:r w:rsidR="0022481E" w:rsidRPr="002F50BD">
        <w:rPr>
          <w:rFonts w:ascii="Verdana" w:hAnsi="Verdana"/>
          <w:sz w:val="20"/>
          <w:lang w:val="pt-BR"/>
        </w:rPr>
        <w:t>.</w:t>
      </w:r>
      <w:r w:rsidR="004756C1" w:rsidRPr="002F50BD">
        <w:rPr>
          <w:rStyle w:val="FootnoteReference"/>
          <w:rFonts w:ascii="Verdana" w:hAnsi="Verdana"/>
        </w:rPr>
        <w:footnoteReference w:id="47"/>
      </w:r>
    </w:p>
    <w:p w:rsidR="004756C1" w:rsidRPr="002F50BD" w:rsidRDefault="004756C1">
      <w:pPr>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1993</w:t>
      </w:r>
      <w:r w:rsidR="00120872" w:rsidRPr="002F50BD">
        <w:rPr>
          <w:rFonts w:ascii="Verdana" w:hAnsi="Verdana"/>
          <w:sz w:val="20"/>
          <w:lang w:val="pt-BR"/>
        </w:rPr>
        <w:t>,</w:t>
      </w:r>
      <w:r w:rsidR="0089298C" w:rsidRPr="002F50BD">
        <w:rPr>
          <w:rFonts w:ascii="Verdana" w:hAnsi="Verdana"/>
          <w:sz w:val="20"/>
          <w:lang w:val="pt-BR"/>
        </w:rPr>
        <w:t xml:space="preserve"> o senhor </w:t>
      </w:r>
      <w:r w:rsidR="00CD7100" w:rsidRPr="002F50BD">
        <w:rPr>
          <w:rFonts w:ascii="Verdana" w:hAnsi="Verdana"/>
          <w:sz w:val="20"/>
          <w:lang w:val="pt-BR"/>
        </w:rPr>
        <w:t>Tomás Galeano</w:t>
      </w:r>
      <w:r w:rsidR="004756C1" w:rsidRPr="002F50BD">
        <w:rPr>
          <w:rFonts w:ascii="Verdana" w:hAnsi="Verdana"/>
          <w:sz w:val="20"/>
          <w:lang w:val="pt-BR"/>
        </w:rPr>
        <w:t>,</w:t>
      </w:r>
      <w:r w:rsidR="0089298C" w:rsidRPr="002F50BD">
        <w:rPr>
          <w:rFonts w:ascii="Verdana" w:hAnsi="Verdana"/>
          <w:sz w:val="20"/>
          <w:lang w:val="pt-BR"/>
        </w:rPr>
        <w:t xml:space="preserve"> </w:t>
      </w:r>
      <w:r w:rsidR="00120872" w:rsidRPr="002F50BD">
        <w:rPr>
          <w:rFonts w:ascii="Verdana" w:hAnsi="Verdana"/>
          <w:sz w:val="20"/>
          <w:lang w:val="pt-BR"/>
        </w:rPr>
        <w:t>na sua qualidade</w:t>
      </w:r>
      <w:r w:rsidR="004756C1" w:rsidRPr="002F50BD">
        <w:rPr>
          <w:rFonts w:ascii="Verdana" w:hAnsi="Verdana"/>
          <w:sz w:val="20"/>
          <w:lang w:val="pt-BR"/>
        </w:rPr>
        <w:t xml:space="preserve"> de líder</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apresentou uma </w:t>
      </w:r>
      <w:r w:rsidR="004756C1" w:rsidRPr="002F50BD">
        <w:rPr>
          <w:rFonts w:ascii="Verdana" w:hAnsi="Verdana"/>
          <w:sz w:val="20"/>
          <w:lang w:val="pt-BR"/>
        </w:rPr>
        <w:t>comunica</w:t>
      </w:r>
      <w:r w:rsidR="0089298C" w:rsidRPr="002F50BD">
        <w:rPr>
          <w:rFonts w:ascii="Verdana" w:hAnsi="Verdana"/>
          <w:sz w:val="20"/>
          <w:lang w:val="pt-BR"/>
        </w:rPr>
        <w:t xml:space="preserve">ção ao </w:t>
      </w:r>
      <w:r w:rsidR="004756C1" w:rsidRPr="002F50BD">
        <w:rPr>
          <w:rFonts w:ascii="Verdana" w:hAnsi="Verdana"/>
          <w:sz w:val="20"/>
          <w:lang w:val="pt-BR"/>
        </w:rPr>
        <w:t xml:space="preserve">IBR, </w:t>
      </w:r>
      <w:r w:rsidR="00F8225E">
        <w:rPr>
          <w:rFonts w:ascii="Verdana" w:hAnsi="Verdana"/>
          <w:sz w:val="20"/>
          <w:lang w:val="pt-BR"/>
        </w:rPr>
        <w:t>através</w:t>
      </w:r>
      <w:r w:rsidR="0089298C" w:rsidRPr="002F50BD">
        <w:rPr>
          <w:rFonts w:ascii="Verdana" w:hAnsi="Verdana"/>
          <w:sz w:val="20"/>
          <w:lang w:val="pt-BR"/>
        </w:rPr>
        <w:t xml:space="preserve"> </w:t>
      </w:r>
      <w:r w:rsidR="00F8225E">
        <w:rPr>
          <w:rFonts w:ascii="Verdana" w:hAnsi="Verdana"/>
          <w:sz w:val="20"/>
          <w:lang w:val="pt-BR"/>
        </w:rPr>
        <w:t>d</w:t>
      </w:r>
      <w:r w:rsidR="0089298C" w:rsidRPr="002F50BD">
        <w:rPr>
          <w:rFonts w:ascii="Verdana" w:hAnsi="Verdana"/>
          <w:sz w:val="20"/>
          <w:lang w:val="pt-BR"/>
        </w:rPr>
        <w:t>a qual informou</w:t>
      </w:r>
      <w:r w:rsidR="004756C1" w:rsidRPr="002F50BD">
        <w:rPr>
          <w:rFonts w:ascii="Verdana" w:hAnsi="Verdana"/>
          <w:sz w:val="20"/>
          <w:lang w:val="pt-BR"/>
        </w:rPr>
        <w:t xml:space="preserve"> sobre</w:t>
      </w:r>
      <w:r w:rsidR="0089298C" w:rsidRPr="002F50BD">
        <w:rPr>
          <w:rFonts w:ascii="Verdana" w:hAnsi="Verdana"/>
          <w:sz w:val="20"/>
          <w:lang w:val="pt-BR"/>
        </w:rPr>
        <w:t xml:space="preserve"> o interesse da Comunidade </w:t>
      </w:r>
      <w:r w:rsidR="004756C1" w:rsidRPr="002F50BD">
        <w:rPr>
          <w:rFonts w:ascii="Verdana" w:hAnsi="Verdana"/>
          <w:sz w:val="20"/>
          <w:lang w:val="pt-BR"/>
        </w:rPr>
        <w:t xml:space="preserve">indígena Yakye Axa de </w:t>
      </w:r>
      <w:r w:rsidR="00E10DBB" w:rsidRPr="002F50BD">
        <w:rPr>
          <w:rFonts w:ascii="Verdana" w:hAnsi="Verdana"/>
          <w:sz w:val="20"/>
          <w:lang w:val="pt-BR"/>
        </w:rPr>
        <w:t>regressar</w:t>
      </w:r>
      <w:r w:rsidR="004756C1" w:rsidRPr="002F50BD">
        <w:rPr>
          <w:rFonts w:ascii="Verdana" w:hAnsi="Verdana"/>
          <w:sz w:val="20"/>
          <w:lang w:val="pt-BR"/>
        </w:rPr>
        <w:t xml:space="preserve"> a </w:t>
      </w:r>
      <w:r w:rsidR="00AB454A" w:rsidRPr="002F50BD">
        <w:rPr>
          <w:rFonts w:ascii="Verdana" w:hAnsi="Verdana"/>
          <w:sz w:val="20"/>
          <w:lang w:val="pt-BR"/>
        </w:rPr>
        <w:t>seu território</w:t>
      </w:r>
      <w:r w:rsidR="004756C1" w:rsidRPr="002F50BD">
        <w:rPr>
          <w:rFonts w:ascii="Verdana" w:hAnsi="Verdana"/>
          <w:sz w:val="20"/>
          <w:lang w:val="pt-BR"/>
        </w:rPr>
        <w:t xml:space="preserve"> tradicional, </w:t>
      </w:r>
      <w:r w:rsidR="0089298C" w:rsidRPr="002F50BD">
        <w:rPr>
          <w:rFonts w:ascii="Verdana" w:hAnsi="Verdana"/>
          <w:sz w:val="20"/>
          <w:lang w:val="pt-BR"/>
        </w:rPr>
        <w:t>localizad</w:t>
      </w:r>
      <w:r w:rsidR="004756C1" w:rsidRPr="002F50BD">
        <w:rPr>
          <w:rFonts w:ascii="Verdana" w:hAnsi="Verdana"/>
          <w:sz w:val="20"/>
          <w:lang w:val="pt-BR"/>
        </w:rPr>
        <w:t>o “</w:t>
      </w:r>
      <w:r w:rsidR="004076AD" w:rsidRPr="002F50BD">
        <w:rPr>
          <w:rFonts w:ascii="Verdana" w:hAnsi="Verdana"/>
          <w:sz w:val="20"/>
          <w:lang w:val="pt-BR"/>
        </w:rPr>
        <w:t>ao redor</w:t>
      </w:r>
      <w:r w:rsidR="0089298C" w:rsidRPr="002F50BD">
        <w:rPr>
          <w:rFonts w:ascii="Verdana" w:hAnsi="Verdana"/>
          <w:sz w:val="20"/>
          <w:lang w:val="pt-BR"/>
        </w:rPr>
        <w:t xml:space="preserve"> das </w:t>
      </w:r>
      <w:r w:rsidR="00060B3A" w:rsidRPr="002F50BD">
        <w:rPr>
          <w:rFonts w:ascii="Verdana" w:hAnsi="Verdana"/>
          <w:sz w:val="20"/>
          <w:lang w:val="pt-BR"/>
        </w:rPr>
        <w:t xml:space="preserve">fazendas </w:t>
      </w:r>
      <w:r w:rsidR="004756C1" w:rsidRPr="002F50BD">
        <w:rPr>
          <w:rFonts w:ascii="Verdana" w:hAnsi="Verdana"/>
          <w:sz w:val="20"/>
          <w:lang w:val="pt-BR"/>
        </w:rPr>
        <w:t>Loma Verde, Ledesma</w:t>
      </w:r>
      <w:r w:rsidR="0089298C" w:rsidRPr="002F50BD">
        <w:rPr>
          <w:rFonts w:ascii="Verdana" w:hAnsi="Verdana"/>
          <w:sz w:val="20"/>
          <w:lang w:val="pt-BR"/>
        </w:rPr>
        <w:t xml:space="preserve"> e </w:t>
      </w:r>
      <w:r w:rsidR="004756C1" w:rsidRPr="002F50BD">
        <w:rPr>
          <w:rFonts w:ascii="Verdana" w:hAnsi="Verdana"/>
          <w:sz w:val="20"/>
          <w:lang w:val="pt-BR"/>
        </w:rPr>
        <w:t xml:space="preserve">Maroma” </w:t>
      </w:r>
      <w:r w:rsidR="0089298C" w:rsidRPr="002F50BD">
        <w:rPr>
          <w:rFonts w:ascii="Verdana" w:hAnsi="Verdana"/>
          <w:sz w:val="20"/>
          <w:lang w:val="pt-BR"/>
        </w:rPr>
        <w:t xml:space="preserve">do </w:t>
      </w:r>
      <w:r w:rsidR="004756C1" w:rsidRPr="002F50BD">
        <w:rPr>
          <w:rFonts w:ascii="Verdana" w:hAnsi="Verdana"/>
          <w:sz w:val="20"/>
          <w:lang w:val="pt-BR"/>
        </w:rPr>
        <w:t>Distrito Pozo Colorado, Departamento Presidente Hayes</w:t>
      </w:r>
      <w:r w:rsidR="0089298C" w:rsidRPr="002F50BD">
        <w:rPr>
          <w:rFonts w:ascii="Verdana" w:hAnsi="Verdana"/>
          <w:sz w:val="20"/>
          <w:lang w:val="pt-BR"/>
        </w:rPr>
        <w:t>, e</w:t>
      </w:r>
      <w:r w:rsidR="004756C1" w:rsidRPr="002F50BD">
        <w:rPr>
          <w:rFonts w:ascii="Verdana" w:hAnsi="Verdana"/>
          <w:sz w:val="20"/>
          <w:lang w:val="pt-BR"/>
        </w:rPr>
        <w:t xml:space="preserve"> </w:t>
      </w:r>
      <w:r w:rsidR="0089298C" w:rsidRPr="002F50BD">
        <w:rPr>
          <w:rFonts w:ascii="Verdana" w:hAnsi="Verdana"/>
          <w:sz w:val="20"/>
          <w:lang w:val="pt-BR"/>
        </w:rPr>
        <w:t xml:space="preserve">solicitou a </w:t>
      </w:r>
      <w:r w:rsidR="004756C1" w:rsidRPr="002F50BD">
        <w:rPr>
          <w:rFonts w:ascii="Verdana" w:hAnsi="Verdana"/>
          <w:sz w:val="20"/>
          <w:lang w:val="pt-BR"/>
        </w:rPr>
        <w:t>“legaliza</w:t>
      </w:r>
      <w:r w:rsidR="0089298C" w:rsidRPr="002F50BD">
        <w:rPr>
          <w:rFonts w:ascii="Verdana" w:hAnsi="Verdana"/>
          <w:sz w:val="20"/>
          <w:lang w:val="pt-BR"/>
        </w:rPr>
        <w:t>ção</w:t>
      </w:r>
      <w:r w:rsidR="004756C1" w:rsidRPr="002F50BD">
        <w:rPr>
          <w:rFonts w:ascii="Verdana" w:hAnsi="Verdana"/>
          <w:sz w:val="20"/>
          <w:lang w:val="pt-BR"/>
        </w:rPr>
        <w:t>” de</w:t>
      </w:r>
      <w:r w:rsidR="0089298C" w:rsidRPr="002F50BD">
        <w:rPr>
          <w:rFonts w:ascii="Verdana" w:hAnsi="Verdana"/>
          <w:sz w:val="20"/>
          <w:lang w:val="pt-BR"/>
        </w:rPr>
        <w:t xml:space="preserve"> um </w:t>
      </w:r>
      <w:r w:rsidR="004756C1" w:rsidRPr="002F50BD">
        <w:rPr>
          <w:rFonts w:ascii="Verdana" w:hAnsi="Verdana"/>
          <w:sz w:val="20"/>
          <w:lang w:val="pt-BR"/>
        </w:rPr>
        <w:t xml:space="preserve">mínimo de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dentro </w:t>
      </w:r>
      <w:r w:rsidR="0089298C" w:rsidRPr="002F50BD">
        <w:rPr>
          <w:rFonts w:ascii="Verdana" w:hAnsi="Verdana"/>
          <w:sz w:val="20"/>
          <w:lang w:val="pt-BR"/>
        </w:rPr>
        <w:t>desta</w:t>
      </w:r>
      <w:r w:rsidR="004756C1" w:rsidRPr="002F50BD">
        <w:rPr>
          <w:rFonts w:ascii="Verdana" w:hAnsi="Verdana"/>
          <w:sz w:val="20"/>
          <w:lang w:val="pt-BR"/>
        </w:rPr>
        <w:t xml:space="preserve">s </w:t>
      </w:r>
      <w:r w:rsidR="00060B3A" w:rsidRPr="002F50BD">
        <w:rPr>
          <w:rFonts w:ascii="Verdana" w:hAnsi="Verdana"/>
          <w:sz w:val="20"/>
          <w:lang w:val="pt-BR"/>
        </w:rPr>
        <w:t xml:space="preserve">fazendas </w:t>
      </w:r>
      <w:r w:rsidR="0022481E" w:rsidRPr="002F50BD">
        <w:rPr>
          <w:rFonts w:ascii="Verdana" w:hAnsi="Verdana"/>
          <w:sz w:val="20"/>
          <w:lang w:val="pt-BR"/>
        </w:rPr>
        <w:t>em</w:t>
      </w:r>
      <w:r w:rsidR="004756C1" w:rsidRPr="002F50BD">
        <w:rPr>
          <w:rFonts w:ascii="Verdana" w:hAnsi="Verdana"/>
          <w:sz w:val="20"/>
          <w:lang w:val="pt-BR"/>
        </w:rPr>
        <w:t xml:space="preserve"> </w:t>
      </w:r>
      <w:r w:rsidR="0089298C" w:rsidRPr="002F50BD">
        <w:rPr>
          <w:rFonts w:ascii="Verdana" w:hAnsi="Verdana"/>
          <w:sz w:val="20"/>
          <w:lang w:val="pt-BR"/>
        </w:rPr>
        <w:t xml:space="preserve">nome da </w:t>
      </w:r>
      <w:r w:rsidR="00A50140" w:rsidRPr="002F50BD">
        <w:rPr>
          <w:rFonts w:ascii="Verdana" w:hAnsi="Verdana"/>
          <w:sz w:val="20"/>
          <w:lang w:val="pt-BR"/>
        </w:rPr>
        <w:t>Comunidade.</w:t>
      </w:r>
      <w:r w:rsidR="00FE08B7">
        <w:rPr>
          <w:rFonts w:ascii="Verdana" w:hAnsi="Verdana"/>
          <w:sz w:val="20"/>
          <w:lang w:val="pt-BR"/>
        </w:rPr>
        <w:t xml:space="preserve"> </w:t>
      </w:r>
      <w:r w:rsidR="0022481E" w:rsidRPr="002F50BD">
        <w:rPr>
          <w:rFonts w:ascii="Verdana" w:hAnsi="Verdana"/>
          <w:sz w:val="20"/>
          <w:lang w:val="pt-BR"/>
        </w:rPr>
        <w:t>Juntamente</w:t>
      </w:r>
      <w:r w:rsidR="0089298C" w:rsidRPr="002F50BD">
        <w:rPr>
          <w:rFonts w:ascii="Verdana" w:hAnsi="Verdana"/>
          <w:sz w:val="20"/>
          <w:lang w:val="pt-BR"/>
        </w:rPr>
        <w:t xml:space="preserve"> com esta</w:t>
      </w:r>
      <w:r w:rsidR="004756C1" w:rsidRPr="002F50BD">
        <w:rPr>
          <w:rFonts w:ascii="Verdana" w:hAnsi="Verdana"/>
          <w:sz w:val="20"/>
          <w:lang w:val="pt-BR"/>
        </w:rPr>
        <w:t xml:space="preserve"> comunica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apresentou um </w:t>
      </w:r>
      <w:r w:rsidR="004756C1" w:rsidRPr="002F50BD">
        <w:rPr>
          <w:rFonts w:ascii="Verdana" w:hAnsi="Verdana"/>
          <w:sz w:val="20"/>
          <w:lang w:val="pt-BR"/>
        </w:rPr>
        <w:t>censo</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no qual </w:t>
      </w:r>
      <w:r w:rsidR="004756C1" w:rsidRPr="002F50BD">
        <w:rPr>
          <w:rFonts w:ascii="Verdana" w:hAnsi="Verdana"/>
          <w:sz w:val="20"/>
          <w:lang w:val="pt-BR"/>
        </w:rPr>
        <w:t xml:space="preserve">se </w:t>
      </w:r>
      <w:r w:rsidR="0089298C" w:rsidRPr="002F50BD">
        <w:rPr>
          <w:rFonts w:ascii="Verdana" w:hAnsi="Verdana"/>
          <w:sz w:val="20"/>
          <w:lang w:val="pt-BR"/>
        </w:rPr>
        <w:t>estabelece</w:t>
      </w:r>
      <w:r w:rsidR="004756C1" w:rsidRPr="002F50BD">
        <w:rPr>
          <w:rFonts w:ascii="Verdana" w:hAnsi="Verdana"/>
          <w:sz w:val="20"/>
          <w:lang w:val="pt-BR"/>
        </w:rPr>
        <w:t xml:space="preserve"> que </w:t>
      </w:r>
      <w:r w:rsidR="0022481E" w:rsidRPr="002F50BD">
        <w:rPr>
          <w:rFonts w:ascii="Verdana" w:hAnsi="Verdana"/>
          <w:sz w:val="20"/>
          <w:lang w:val="pt-BR"/>
        </w:rPr>
        <w:t>n</w:t>
      </w:r>
      <w:r w:rsidR="0089298C" w:rsidRPr="002F50BD">
        <w:rPr>
          <w:rFonts w:ascii="Verdana" w:hAnsi="Verdana"/>
          <w:sz w:val="20"/>
          <w:lang w:val="pt-BR"/>
        </w:rPr>
        <w:t xml:space="preserve">esse </w:t>
      </w:r>
      <w:r w:rsidR="004756C1" w:rsidRPr="002F50BD">
        <w:rPr>
          <w:rFonts w:ascii="Verdana" w:hAnsi="Verdana"/>
          <w:sz w:val="20"/>
          <w:lang w:val="pt-BR"/>
        </w:rPr>
        <w:t xml:space="preserve">momento </w:t>
      </w:r>
      <w:r w:rsidR="0089298C" w:rsidRPr="002F50BD">
        <w:rPr>
          <w:rFonts w:ascii="Verdana" w:hAnsi="Verdana"/>
          <w:sz w:val="20"/>
          <w:lang w:val="pt-BR"/>
        </w:rPr>
        <w:t>estava</w:t>
      </w:r>
      <w:r w:rsidR="004756C1" w:rsidRPr="002F50BD">
        <w:rPr>
          <w:rFonts w:ascii="Verdana" w:hAnsi="Verdana"/>
          <w:sz w:val="20"/>
          <w:lang w:val="pt-BR"/>
        </w:rPr>
        <w:t xml:space="preserve"> </w:t>
      </w:r>
      <w:r w:rsidR="00120872" w:rsidRPr="002F50BD">
        <w:rPr>
          <w:rFonts w:ascii="Verdana" w:hAnsi="Verdana"/>
          <w:sz w:val="20"/>
          <w:lang w:val="pt-BR"/>
        </w:rPr>
        <w:t xml:space="preserve">composta </w:t>
      </w:r>
      <w:r w:rsidR="004756C1" w:rsidRPr="002F50BD">
        <w:rPr>
          <w:rFonts w:ascii="Verdana" w:hAnsi="Verdana"/>
          <w:sz w:val="20"/>
          <w:lang w:val="pt-BR"/>
        </w:rPr>
        <w:t xml:space="preserve">por </w:t>
      </w:r>
      <w:r w:rsidRPr="002F50BD">
        <w:rPr>
          <w:rFonts w:ascii="Verdana" w:hAnsi="Verdana"/>
          <w:sz w:val="20"/>
          <w:lang w:val="pt-BR"/>
        </w:rPr>
        <w:t>221</w:t>
      </w:r>
      <w:r w:rsidR="004756C1" w:rsidRPr="002F50BD">
        <w:rPr>
          <w:rFonts w:ascii="Verdana" w:hAnsi="Verdana"/>
          <w:sz w:val="20"/>
          <w:lang w:val="pt-BR"/>
        </w:rPr>
        <w:t xml:space="preserve"> </w:t>
      </w:r>
      <w:r w:rsidR="0089298C" w:rsidRPr="002F50BD">
        <w:rPr>
          <w:rFonts w:ascii="Verdana" w:hAnsi="Verdana"/>
          <w:sz w:val="20"/>
          <w:lang w:val="pt-BR"/>
        </w:rPr>
        <w:t>membro</w:t>
      </w:r>
      <w:r w:rsidR="004756C1" w:rsidRPr="002F50BD">
        <w:rPr>
          <w:rFonts w:ascii="Verdana" w:hAnsi="Verdana"/>
          <w:sz w:val="20"/>
          <w:lang w:val="pt-BR"/>
        </w:rPr>
        <w:t>s, agrupados</w:t>
      </w:r>
      <w:r w:rsidR="0089298C" w:rsidRPr="002F50BD">
        <w:rPr>
          <w:rFonts w:ascii="Verdana" w:hAnsi="Verdana"/>
          <w:sz w:val="20"/>
          <w:lang w:val="pt-BR"/>
        </w:rPr>
        <w:t xml:space="preserve"> em </w:t>
      </w:r>
      <w:r w:rsidRPr="002F50BD">
        <w:rPr>
          <w:rFonts w:ascii="Verdana" w:hAnsi="Verdana"/>
          <w:sz w:val="20"/>
          <w:lang w:val="pt-BR"/>
        </w:rPr>
        <w:t>57</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w:t>
      </w:r>
      <w:r w:rsidR="0022481E" w:rsidRPr="002F50BD">
        <w:rPr>
          <w:rFonts w:ascii="Verdana" w:hAnsi="Verdana"/>
          <w:sz w:val="20"/>
          <w:lang w:val="pt-BR"/>
        </w:rPr>
        <w:t>.</w:t>
      </w:r>
      <w:r w:rsidR="004756C1" w:rsidRPr="002F50BD">
        <w:rPr>
          <w:rStyle w:val="FootnoteReference"/>
          <w:rFonts w:ascii="Verdana" w:hAnsi="Verdana"/>
        </w:rPr>
        <w:footnoteReference w:id="48"/>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color w:val="0000FF"/>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1994</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89298C" w:rsidRPr="002F50BD">
        <w:rPr>
          <w:rFonts w:ascii="Verdana" w:hAnsi="Verdana"/>
          <w:sz w:val="20"/>
          <w:lang w:val="pt-BR"/>
        </w:rPr>
        <w:t xml:space="preserve">solicitou ao </w:t>
      </w:r>
      <w:r w:rsidR="004756C1" w:rsidRPr="002F50BD">
        <w:rPr>
          <w:rFonts w:ascii="Verdana" w:hAnsi="Verdana"/>
          <w:sz w:val="20"/>
          <w:lang w:val="pt-BR"/>
        </w:rPr>
        <w:t>INDI “su</w:t>
      </w:r>
      <w:r w:rsidR="0022481E" w:rsidRPr="002F50BD">
        <w:rPr>
          <w:rFonts w:ascii="Verdana" w:hAnsi="Verdana"/>
          <w:sz w:val="20"/>
          <w:lang w:val="pt-BR"/>
        </w:rPr>
        <w:t>a</w:t>
      </w:r>
      <w:r w:rsidR="004756C1" w:rsidRPr="002F50BD">
        <w:rPr>
          <w:rFonts w:ascii="Verdana" w:hAnsi="Verdana"/>
          <w:sz w:val="20"/>
          <w:lang w:val="pt-BR"/>
        </w:rPr>
        <w:t xml:space="preserve"> coopera</w:t>
      </w:r>
      <w:r w:rsidR="0089298C" w:rsidRPr="002F50BD">
        <w:rPr>
          <w:rFonts w:ascii="Verdana" w:hAnsi="Verdana"/>
          <w:sz w:val="20"/>
          <w:lang w:val="pt-BR"/>
        </w:rPr>
        <w:t xml:space="preserve">ção no </w:t>
      </w:r>
      <w:r w:rsidR="004756C1" w:rsidRPr="002F50BD">
        <w:rPr>
          <w:rFonts w:ascii="Verdana" w:hAnsi="Verdana"/>
          <w:sz w:val="20"/>
          <w:lang w:val="pt-BR"/>
        </w:rPr>
        <w:t>sentido de prover es</w:t>
      </w:r>
      <w:r w:rsidR="0022481E" w:rsidRPr="002F50BD">
        <w:rPr>
          <w:rFonts w:ascii="Verdana" w:hAnsi="Verdana"/>
          <w:sz w:val="20"/>
          <w:lang w:val="pt-BR"/>
        </w:rPr>
        <w:t>s</w:t>
      </w:r>
      <w:r w:rsidR="004756C1" w:rsidRPr="002F50BD">
        <w:rPr>
          <w:rFonts w:ascii="Verdana" w:hAnsi="Verdana"/>
          <w:sz w:val="20"/>
          <w:lang w:val="pt-BR"/>
        </w:rPr>
        <w:t>[e] Instituto</w:t>
      </w:r>
      <w:r w:rsidR="0089298C" w:rsidRPr="002F50BD">
        <w:rPr>
          <w:rFonts w:ascii="Verdana" w:hAnsi="Verdana"/>
          <w:sz w:val="20"/>
          <w:lang w:val="pt-BR"/>
        </w:rPr>
        <w:t xml:space="preserve"> </w:t>
      </w:r>
      <w:r w:rsidR="005D4A0C" w:rsidRPr="002F50BD">
        <w:rPr>
          <w:rFonts w:ascii="Verdana" w:hAnsi="Verdana"/>
          <w:sz w:val="20"/>
          <w:lang w:val="pt-BR"/>
        </w:rPr>
        <w:t>d</w:t>
      </w:r>
      <w:r w:rsidR="0089298C" w:rsidRPr="002F50BD">
        <w:rPr>
          <w:rFonts w:ascii="Verdana" w:hAnsi="Verdana"/>
          <w:sz w:val="20"/>
          <w:lang w:val="pt-BR"/>
        </w:rPr>
        <w:t xml:space="preserve">os </w:t>
      </w:r>
      <w:r w:rsidR="004756C1" w:rsidRPr="002F50BD">
        <w:rPr>
          <w:rFonts w:ascii="Verdana" w:hAnsi="Verdana"/>
          <w:sz w:val="20"/>
          <w:lang w:val="pt-BR"/>
        </w:rPr>
        <w:t>antecedentes relacionados</w:t>
      </w:r>
      <w:r w:rsidR="0089298C" w:rsidRPr="002F50BD">
        <w:rPr>
          <w:rFonts w:ascii="Verdana" w:hAnsi="Verdana"/>
          <w:sz w:val="20"/>
          <w:lang w:val="pt-BR"/>
        </w:rPr>
        <w:t xml:space="preserve"> com a </w:t>
      </w:r>
      <w:r w:rsidR="007801FA" w:rsidRPr="002F50BD">
        <w:rPr>
          <w:rFonts w:ascii="Verdana" w:hAnsi="Verdana"/>
          <w:sz w:val="20"/>
          <w:lang w:val="pt-BR"/>
        </w:rPr>
        <w:t>personalidade</w:t>
      </w:r>
      <w:r w:rsidR="004756C1" w:rsidRPr="002F50BD">
        <w:rPr>
          <w:rFonts w:ascii="Verdana" w:hAnsi="Verdana"/>
          <w:sz w:val="20"/>
          <w:lang w:val="pt-BR"/>
        </w:rPr>
        <w:t xml:space="preserve"> jurídica o</w:t>
      </w:r>
      <w:r w:rsidR="0022481E" w:rsidRPr="002F50BD">
        <w:rPr>
          <w:rFonts w:ascii="Verdana" w:hAnsi="Verdana"/>
          <w:sz w:val="20"/>
          <w:lang w:val="pt-BR"/>
        </w:rPr>
        <w:t>u</w:t>
      </w:r>
      <w:r w:rsidR="00EC5F20"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su</w:t>
      </w:r>
      <w:r w:rsidR="0022481E" w:rsidRPr="002F50BD">
        <w:rPr>
          <w:rFonts w:ascii="Verdana" w:hAnsi="Verdana"/>
          <w:sz w:val="20"/>
          <w:lang w:val="pt-BR"/>
        </w:rPr>
        <w:t>a</w:t>
      </w:r>
      <w:r w:rsidR="004756C1" w:rsidRPr="002F50BD">
        <w:rPr>
          <w:rFonts w:ascii="Verdana" w:hAnsi="Verdana"/>
          <w:sz w:val="20"/>
          <w:lang w:val="pt-BR"/>
        </w:rPr>
        <w:t xml:space="preserve"> </w:t>
      </w:r>
      <w:r w:rsidR="0022481E" w:rsidRPr="002F50BD">
        <w:rPr>
          <w:rFonts w:ascii="Verdana" w:hAnsi="Verdana"/>
          <w:sz w:val="20"/>
          <w:lang w:val="pt-BR"/>
        </w:rPr>
        <w:t>falta</w:t>
      </w:r>
      <w:r w:rsidR="00EC5F20" w:rsidRPr="002F50BD">
        <w:rPr>
          <w:rFonts w:ascii="Verdana" w:hAnsi="Verdana"/>
          <w:sz w:val="20"/>
          <w:lang w:val="pt-BR"/>
        </w:rPr>
        <w:t>,</w:t>
      </w:r>
      <w:r w:rsidR="0022481E" w:rsidRPr="002F50BD">
        <w:rPr>
          <w:rFonts w:ascii="Verdana" w:hAnsi="Verdana"/>
          <w:sz w:val="20"/>
          <w:lang w:val="pt-BR"/>
        </w:rPr>
        <w:t xml:space="preserve"> </w:t>
      </w:r>
      <w:r w:rsidR="005D4A0C" w:rsidRPr="002F50BD">
        <w:rPr>
          <w:rFonts w:ascii="Verdana" w:hAnsi="Verdana"/>
          <w:sz w:val="20"/>
          <w:lang w:val="pt-BR"/>
        </w:rPr>
        <w:t xml:space="preserve">com </w:t>
      </w:r>
      <w:r w:rsidR="0022481E" w:rsidRPr="002F50BD">
        <w:rPr>
          <w:rFonts w:ascii="Verdana" w:hAnsi="Verdana"/>
          <w:sz w:val="20"/>
          <w:lang w:val="pt-BR"/>
        </w:rPr>
        <w:t xml:space="preserve">o </w:t>
      </w:r>
      <w:r w:rsidR="004756C1" w:rsidRPr="002F50BD">
        <w:rPr>
          <w:rFonts w:ascii="Verdana" w:hAnsi="Verdana"/>
          <w:sz w:val="20"/>
          <w:lang w:val="pt-BR"/>
        </w:rPr>
        <w:t>re</w:t>
      </w:r>
      <w:r w:rsidR="0089298C" w:rsidRPr="002F50BD">
        <w:rPr>
          <w:rFonts w:ascii="Verdana" w:hAnsi="Verdana"/>
          <w:sz w:val="20"/>
          <w:lang w:val="pt-BR"/>
        </w:rPr>
        <w:t>conhecimento</w:t>
      </w:r>
      <w:r w:rsidR="004756C1" w:rsidRPr="002F50BD">
        <w:rPr>
          <w:rFonts w:ascii="Verdana" w:hAnsi="Verdana"/>
          <w:sz w:val="20"/>
          <w:lang w:val="pt-BR"/>
        </w:rPr>
        <w:t xml:space="preserve"> de líderes,</w:t>
      </w:r>
      <w:r w:rsidR="0089298C" w:rsidRPr="002F50BD">
        <w:rPr>
          <w:rFonts w:ascii="Verdana" w:hAnsi="Verdana"/>
          <w:sz w:val="20"/>
          <w:lang w:val="pt-BR"/>
        </w:rPr>
        <w:t xml:space="preserve"> relatório </w:t>
      </w:r>
      <w:r w:rsidR="004756C1" w:rsidRPr="002F50BD">
        <w:rPr>
          <w:rFonts w:ascii="Verdana" w:hAnsi="Verdana"/>
          <w:sz w:val="20"/>
          <w:lang w:val="pt-BR"/>
        </w:rPr>
        <w:t>antropológico</w:t>
      </w:r>
      <w:r w:rsidR="0089298C" w:rsidRPr="002F50BD">
        <w:rPr>
          <w:rFonts w:ascii="Verdana" w:hAnsi="Verdana"/>
          <w:sz w:val="20"/>
          <w:lang w:val="pt-BR"/>
        </w:rPr>
        <w:t xml:space="preserve"> e qualquer outro dado da Comunidade </w:t>
      </w:r>
      <w:r w:rsidR="004756C1" w:rsidRPr="002F50BD">
        <w:rPr>
          <w:rFonts w:ascii="Verdana" w:hAnsi="Verdana"/>
          <w:sz w:val="20"/>
          <w:lang w:val="pt-BR"/>
        </w:rPr>
        <w:t>indígena Yakye Axa”</w:t>
      </w:r>
      <w:r w:rsidR="0022481E" w:rsidRPr="002F50BD">
        <w:rPr>
          <w:rFonts w:ascii="Verdana" w:hAnsi="Verdana"/>
          <w:sz w:val="20"/>
          <w:lang w:val="pt-BR"/>
        </w:rPr>
        <w:t>.</w:t>
      </w:r>
      <w:r w:rsidR="004756C1" w:rsidRPr="002F50BD">
        <w:rPr>
          <w:rStyle w:val="FootnoteReference"/>
          <w:rFonts w:ascii="Verdana" w:hAnsi="Verdana"/>
        </w:rPr>
        <w:footnoteReference w:id="49"/>
      </w:r>
      <w:r w:rsidR="0089298C" w:rsidRPr="002F50BD">
        <w:rPr>
          <w:rFonts w:ascii="Verdana" w:hAnsi="Verdana"/>
          <w:sz w:val="20"/>
          <w:lang w:val="pt-BR"/>
        </w:rPr>
        <w:t xml:space="preserve"> </w:t>
      </w:r>
      <w:r w:rsidR="0022481E" w:rsidRPr="002F50BD">
        <w:rPr>
          <w:rFonts w:ascii="Verdana" w:hAnsi="Verdana"/>
          <w:sz w:val="20"/>
          <w:lang w:val="pt-BR"/>
        </w:rPr>
        <w:t>A</w:t>
      </w:r>
      <w:r w:rsidR="0089298C" w:rsidRPr="002F50BD">
        <w:rPr>
          <w:rFonts w:ascii="Verdana" w:hAnsi="Verdana"/>
          <w:sz w:val="20"/>
          <w:lang w:val="pt-BR"/>
        </w:rPr>
        <w:t>nte a falta</w:t>
      </w:r>
      <w:r w:rsidR="004756C1" w:rsidRPr="002F50BD">
        <w:rPr>
          <w:rFonts w:ascii="Verdana" w:hAnsi="Verdana"/>
          <w:sz w:val="20"/>
          <w:lang w:val="pt-BR"/>
        </w:rPr>
        <w:t xml:space="preserve"> de res</w:t>
      </w:r>
      <w:r w:rsidR="0089298C" w:rsidRPr="002F50BD">
        <w:rPr>
          <w:rFonts w:ascii="Verdana" w:hAnsi="Verdana"/>
          <w:sz w:val="20"/>
          <w:lang w:val="pt-BR"/>
        </w:rPr>
        <w:t>posta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INDI,</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89298C" w:rsidRPr="002F50BD">
        <w:rPr>
          <w:rFonts w:ascii="Verdana" w:hAnsi="Verdana"/>
          <w:sz w:val="20"/>
          <w:lang w:val="pt-BR"/>
        </w:rPr>
        <w:t>reiterou</w:t>
      </w:r>
      <w:r w:rsidR="004756C1" w:rsidRPr="002F50BD">
        <w:rPr>
          <w:rFonts w:ascii="Verdana" w:hAnsi="Verdana"/>
          <w:sz w:val="20"/>
          <w:lang w:val="pt-BR"/>
        </w:rPr>
        <w:t xml:space="preserve"> </w:t>
      </w:r>
      <w:r w:rsidR="0022481E" w:rsidRPr="002F50BD">
        <w:rPr>
          <w:rFonts w:ascii="Verdana" w:hAnsi="Verdana"/>
          <w:sz w:val="20"/>
          <w:lang w:val="pt-BR"/>
        </w:rPr>
        <w:t>este pedido</w:t>
      </w:r>
      <w:r w:rsidR="0089298C" w:rsidRPr="002F50BD">
        <w:rPr>
          <w:rFonts w:ascii="Verdana" w:hAnsi="Verdana"/>
          <w:sz w:val="20"/>
          <w:lang w:val="pt-BR"/>
        </w:rPr>
        <w:t xml:space="preserve"> em </w:t>
      </w:r>
      <w:r w:rsidRPr="002F50BD">
        <w:rPr>
          <w:rFonts w:ascii="Verdana" w:hAnsi="Verdana"/>
          <w:sz w:val="20"/>
          <w:lang w:val="pt-BR"/>
        </w:rPr>
        <w:t>23</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1995</w:t>
      </w:r>
      <w:r w:rsidR="004756C1" w:rsidRPr="002F50BD">
        <w:rPr>
          <w:rStyle w:val="FootnoteReference"/>
          <w:rFonts w:ascii="Verdana" w:hAnsi="Verdana"/>
        </w:rPr>
        <w:footnoteReference w:id="50"/>
      </w:r>
      <w:r w:rsidR="0089298C" w:rsidRPr="002F50BD">
        <w:rPr>
          <w:rFonts w:ascii="Verdana" w:hAnsi="Verdana"/>
          <w:sz w:val="20"/>
          <w:lang w:val="pt-BR"/>
        </w:rPr>
        <w:t xml:space="preserve"> e em </w:t>
      </w:r>
      <w:r w:rsidRPr="002F50BD">
        <w:rPr>
          <w:rFonts w:ascii="Verdana" w:hAnsi="Verdana"/>
          <w:sz w:val="20"/>
          <w:lang w:val="pt-BR"/>
        </w:rPr>
        <w:t>30</w:t>
      </w:r>
      <w:r w:rsidR="004756C1" w:rsidRPr="002F50BD">
        <w:rPr>
          <w:rFonts w:ascii="Verdana" w:hAnsi="Verdana"/>
          <w:sz w:val="20"/>
          <w:lang w:val="pt-BR"/>
        </w:rPr>
        <w:t xml:space="preserve"> de abril de </w:t>
      </w:r>
      <w:r w:rsidRPr="002F50BD">
        <w:rPr>
          <w:rFonts w:ascii="Verdana" w:hAnsi="Verdana"/>
          <w:sz w:val="20"/>
          <w:lang w:val="pt-BR"/>
        </w:rPr>
        <w:t>1996</w:t>
      </w:r>
      <w:r w:rsidR="0022481E" w:rsidRPr="002F50BD">
        <w:rPr>
          <w:rFonts w:ascii="Verdana" w:hAnsi="Verdana"/>
          <w:sz w:val="20"/>
          <w:lang w:val="pt-BR"/>
        </w:rPr>
        <w:t>.</w:t>
      </w:r>
      <w:r w:rsidR="004756C1" w:rsidRPr="002F50BD">
        <w:rPr>
          <w:rStyle w:val="FootnoteReference"/>
          <w:rFonts w:ascii="Verdana" w:hAnsi="Verdana"/>
        </w:rPr>
        <w:footnoteReference w:id="51"/>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22</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1993</w:t>
      </w:r>
      <w:r w:rsidR="00EC5F20"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líderes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 xml:space="preserve">por </w:t>
      </w:r>
      <w:r w:rsidR="0089298C" w:rsidRPr="002F50BD">
        <w:rPr>
          <w:rFonts w:ascii="Verdana" w:hAnsi="Verdana"/>
          <w:sz w:val="20"/>
          <w:lang w:val="pt-BR"/>
        </w:rPr>
        <w:t xml:space="preserve">meio </w:t>
      </w:r>
      <w:r w:rsidR="004756C1" w:rsidRPr="002F50BD">
        <w:rPr>
          <w:rFonts w:ascii="Verdana" w:hAnsi="Verdana"/>
          <w:sz w:val="20"/>
          <w:lang w:val="pt-BR"/>
        </w:rPr>
        <w:t xml:space="preserve">de </w:t>
      </w:r>
      <w:r w:rsidR="0022481E" w:rsidRPr="002F50BD">
        <w:rPr>
          <w:rFonts w:ascii="Verdana" w:hAnsi="Verdana"/>
          <w:sz w:val="20"/>
          <w:lang w:val="pt-BR"/>
        </w:rPr>
        <w:t>seus advogados</w:t>
      </w:r>
      <w:r w:rsidR="004756C1" w:rsidRPr="002F50BD">
        <w:rPr>
          <w:rFonts w:ascii="Verdana" w:hAnsi="Verdana"/>
          <w:sz w:val="20"/>
          <w:lang w:val="pt-BR"/>
        </w:rPr>
        <w:t xml:space="preserve">, </w:t>
      </w:r>
      <w:r w:rsidR="0089298C" w:rsidRPr="002F50BD">
        <w:rPr>
          <w:rFonts w:ascii="Verdana" w:hAnsi="Verdana"/>
          <w:sz w:val="20"/>
          <w:lang w:val="pt-BR"/>
        </w:rPr>
        <w:t xml:space="preserve">solicitaram ao </w:t>
      </w:r>
      <w:r w:rsidR="004756C1" w:rsidRPr="002F50BD">
        <w:rPr>
          <w:rFonts w:ascii="Verdana" w:hAnsi="Verdana"/>
          <w:sz w:val="20"/>
          <w:lang w:val="pt-BR"/>
        </w:rPr>
        <w:t>IBR</w:t>
      </w:r>
      <w:r w:rsidR="0089298C" w:rsidRPr="002F50BD">
        <w:rPr>
          <w:rFonts w:ascii="Verdana" w:hAnsi="Verdana"/>
          <w:sz w:val="20"/>
          <w:lang w:val="pt-BR"/>
        </w:rPr>
        <w:t xml:space="preserve"> uma inspeção</w:t>
      </w:r>
      <w:r w:rsidR="004756C1" w:rsidRPr="002F50BD">
        <w:rPr>
          <w:rFonts w:ascii="Verdana" w:hAnsi="Verdana"/>
          <w:sz w:val="20"/>
          <w:lang w:val="pt-BR"/>
        </w:rPr>
        <w:t xml:space="preserve"> ocular</w:t>
      </w:r>
      <w:r w:rsidR="0089298C" w:rsidRPr="002F50BD">
        <w:rPr>
          <w:rFonts w:ascii="Verdana" w:hAnsi="Verdana"/>
          <w:sz w:val="20"/>
          <w:lang w:val="pt-BR"/>
        </w:rPr>
        <w:t xml:space="preserve"> das </w:t>
      </w:r>
      <w:r w:rsidR="00060B3A" w:rsidRPr="002F50BD">
        <w:rPr>
          <w:rFonts w:ascii="Verdana" w:hAnsi="Verdana"/>
          <w:sz w:val="20"/>
          <w:lang w:val="pt-BR"/>
        </w:rPr>
        <w:t xml:space="preserve">Fazendas </w:t>
      </w:r>
      <w:r w:rsidR="004756C1" w:rsidRPr="002F50BD">
        <w:rPr>
          <w:rFonts w:ascii="Verdana" w:hAnsi="Verdana"/>
          <w:sz w:val="20"/>
          <w:lang w:val="pt-BR"/>
        </w:rPr>
        <w:t>Loma Verde</w:t>
      </w:r>
      <w:r w:rsidR="0089298C" w:rsidRPr="002F50BD">
        <w:rPr>
          <w:rFonts w:ascii="Verdana" w:hAnsi="Verdana"/>
          <w:sz w:val="20"/>
          <w:lang w:val="pt-BR"/>
        </w:rPr>
        <w:t xml:space="preserve"> e </w:t>
      </w:r>
      <w:r w:rsidR="004756C1" w:rsidRPr="002F50BD">
        <w:rPr>
          <w:rFonts w:ascii="Verdana" w:hAnsi="Verdana"/>
          <w:sz w:val="20"/>
          <w:lang w:val="pt-BR"/>
        </w:rPr>
        <w:t>Maroma, que formar</w:t>
      </w:r>
      <w:r w:rsidR="000920B2" w:rsidRPr="002F50BD">
        <w:rPr>
          <w:rFonts w:ascii="Verdana" w:hAnsi="Verdana"/>
          <w:sz w:val="20"/>
          <w:lang w:val="pt-BR"/>
        </w:rPr>
        <w:t>iam</w:t>
      </w:r>
      <w:r w:rsidR="004756C1" w:rsidRPr="002F50BD">
        <w:rPr>
          <w:rFonts w:ascii="Verdana" w:hAnsi="Verdana"/>
          <w:sz w:val="20"/>
          <w:lang w:val="pt-BR"/>
        </w:rPr>
        <w:t xml:space="preserve"> parte </w:t>
      </w:r>
      <w:r w:rsidR="0089298C" w:rsidRPr="002F50BD">
        <w:rPr>
          <w:rFonts w:ascii="Verdana" w:hAnsi="Verdana"/>
          <w:sz w:val="20"/>
          <w:lang w:val="pt-BR"/>
        </w:rPr>
        <w:t>do território</w:t>
      </w:r>
      <w:r w:rsidR="004756C1" w:rsidRPr="002F50BD">
        <w:rPr>
          <w:rFonts w:ascii="Verdana" w:hAnsi="Verdana"/>
          <w:sz w:val="20"/>
          <w:lang w:val="pt-BR"/>
        </w:rPr>
        <w:t xml:space="preserve"> reivindicado</w:t>
      </w:r>
      <w:r w:rsidR="000920B2" w:rsidRPr="002F50BD">
        <w:rPr>
          <w:rFonts w:ascii="Verdana" w:hAnsi="Verdana"/>
          <w:sz w:val="20"/>
          <w:lang w:val="pt-BR"/>
        </w:rPr>
        <w:t>.</w:t>
      </w:r>
      <w:r w:rsidR="004756C1" w:rsidRPr="002F50BD">
        <w:rPr>
          <w:rStyle w:val="FootnoteReference"/>
          <w:rFonts w:ascii="Verdana" w:hAnsi="Verdana"/>
        </w:rPr>
        <w:footnoteReference w:id="52"/>
      </w:r>
      <w:r w:rsidR="001A0CDE" w:rsidRPr="002F50BD">
        <w:rPr>
          <w:rFonts w:ascii="Verdana" w:hAnsi="Verdana"/>
          <w:sz w:val="20"/>
          <w:lang w:val="pt-BR"/>
        </w:rPr>
        <w:t xml:space="preserve"> </w:t>
      </w:r>
      <w:r w:rsidR="00EC5F20" w:rsidRPr="002F50BD">
        <w:rPr>
          <w:rFonts w:ascii="Verdana" w:hAnsi="Verdana"/>
          <w:sz w:val="20"/>
          <w:lang w:val="pt-BR"/>
        </w:rPr>
        <w:t>Est</w:t>
      </w:r>
      <w:r w:rsidR="000920B2" w:rsidRPr="002F50BD">
        <w:rPr>
          <w:rFonts w:ascii="Verdana" w:hAnsi="Verdana"/>
          <w:sz w:val="20"/>
          <w:lang w:val="pt-BR"/>
        </w:rPr>
        <w:t xml:space="preserve">e pedido </w:t>
      </w:r>
      <w:r w:rsidR="0089298C" w:rsidRPr="002F50BD">
        <w:rPr>
          <w:rFonts w:ascii="Verdana" w:hAnsi="Verdana"/>
          <w:sz w:val="20"/>
          <w:lang w:val="pt-BR"/>
        </w:rPr>
        <w:t xml:space="preserve">foi </w:t>
      </w:r>
      <w:r w:rsidR="000920B2" w:rsidRPr="002F50BD">
        <w:rPr>
          <w:rFonts w:ascii="Verdana" w:hAnsi="Verdana"/>
          <w:sz w:val="20"/>
          <w:lang w:val="pt-BR"/>
        </w:rPr>
        <w:t>reiterado</w:t>
      </w:r>
      <w:r w:rsidR="0089298C" w:rsidRPr="002F50BD">
        <w:rPr>
          <w:rFonts w:ascii="Verdana" w:hAnsi="Verdana"/>
          <w:sz w:val="20"/>
          <w:lang w:val="pt-BR"/>
        </w:rPr>
        <w:t xml:space="preserve"> </w:t>
      </w:r>
      <w:r w:rsidR="000920B2" w:rsidRPr="002F50BD">
        <w:rPr>
          <w:rFonts w:ascii="Verdana" w:hAnsi="Verdana"/>
          <w:sz w:val="20"/>
          <w:lang w:val="pt-BR"/>
        </w:rPr>
        <w:t xml:space="preserve">ao IBR </w:t>
      </w:r>
      <w:r w:rsidR="0089298C" w:rsidRPr="002F50BD">
        <w:rPr>
          <w:rFonts w:ascii="Verdana" w:hAnsi="Verdana"/>
          <w:sz w:val="20"/>
          <w:lang w:val="pt-BR"/>
        </w:rPr>
        <w:t>em várias</w:t>
      </w:r>
      <w:r w:rsidR="004756C1" w:rsidRPr="002F50BD">
        <w:rPr>
          <w:rFonts w:ascii="Verdana" w:hAnsi="Verdana"/>
          <w:sz w:val="20"/>
          <w:lang w:val="pt-BR"/>
        </w:rPr>
        <w:t xml:space="preserve"> </w:t>
      </w:r>
      <w:r w:rsidR="0089298C" w:rsidRPr="002F50BD">
        <w:rPr>
          <w:rFonts w:ascii="Verdana" w:hAnsi="Verdana"/>
          <w:sz w:val="20"/>
          <w:lang w:val="pt-BR"/>
        </w:rPr>
        <w:t>ocasiões</w:t>
      </w:r>
      <w:r w:rsidR="000920B2" w:rsidRPr="002F50BD">
        <w:rPr>
          <w:rFonts w:ascii="Verdana" w:hAnsi="Verdana"/>
          <w:sz w:val="20"/>
          <w:lang w:val="pt-BR"/>
        </w:rPr>
        <w:t>.</w:t>
      </w:r>
      <w:r w:rsidR="004756C1" w:rsidRPr="002F50BD">
        <w:rPr>
          <w:rStyle w:val="FootnoteReference"/>
          <w:rFonts w:ascii="Verdana" w:hAnsi="Verdana"/>
        </w:rPr>
        <w:footnoteReference w:id="53"/>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7</w:t>
      </w:r>
      <w:r w:rsidR="004756C1" w:rsidRPr="002F50BD">
        <w:rPr>
          <w:rFonts w:ascii="Verdana" w:hAnsi="Verdana"/>
          <w:sz w:val="20"/>
          <w:lang w:val="pt-BR"/>
        </w:rPr>
        <w:t xml:space="preserve"> de abril de </w:t>
      </w:r>
      <w:r w:rsidRPr="002F50BD">
        <w:rPr>
          <w:rFonts w:ascii="Verdana" w:hAnsi="Verdana"/>
          <w:sz w:val="20"/>
          <w:lang w:val="pt-BR"/>
        </w:rPr>
        <w:t>1994</w:t>
      </w:r>
      <w:r w:rsidR="00EC5F20" w:rsidRPr="002F50BD">
        <w:rPr>
          <w:rFonts w:ascii="Verdana" w:hAnsi="Verdana"/>
          <w:sz w:val="20"/>
          <w:lang w:val="pt-BR"/>
        </w:rPr>
        <w:t>,</w:t>
      </w:r>
      <w:r w:rsidR="0089298C" w:rsidRPr="002F50BD">
        <w:rPr>
          <w:rFonts w:ascii="Verdana" w:hAnsi="Verdana"/>
          <w:sz w:val="20"/>
          <w:lang w:val="pt-BR"/>
        </w:rPr>
        <w:t xml:space="preserve"> a Divisão</w:t>
      </w:r>
      <w:r w:rsidR="004756C1" w:rsidRPr="002F50BD">
        <w:rPr>
          <w:rFonts w:ascii="Verdana" w:hAnsi="Verdana"/>
          <w:sz w:val="20"/>
          <w:lang w:val="pt-BR"/>
        </w:rPr>
        <w:t xml:space="preserve"> de Campos Comuna</w:t>
      </w:r>
      <w:r w:rsidR="000920B2"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e Assunto</w:t>
      </w:r>
      <w:r w:rsidR="004756C1" w:rsidRPr="002F50BD">
        <w:rPr>
          <w:rFonts w:ascii="Verdana" w:hAnsi="Verdana"/>
          <w:sz w:val="20"/>
          <w:lang w:val="pt-BR"/>
        </w:rPr>
        <w:t xml:space="preserve">s </w:t>
      </w:r>
      <w:r w:rsidR="0089298C" w:rsidRPr="002F50BD">
        <w:rPr>
          <w:rFonts w:ascii="Verdana" w:hAnsi="Verdana"/>
          <w:sz w:val="20"/>
          <w:lang w:val="pt-BR"/>
        </w:rPr>
        <w:t>Coletiv</w:t>
      </w:r>
      <w:r w:rsidR="004756C1" w:rsidRPr="002F50BD">
        <w:rPr>
          <w:rFonts w:ascii="Verdana" w:hAnsi="Verdana"/>
          <w:sz w:val="20"/>
          <w:lang w:val="pt-BR"/>
        </w:rPr>
        <w:t xml:space="preserve">os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89298C" w:rsidRPr="002F50BD">
        <w:rPr>
          <w:rFonts w:ascii="Verdana" w:hAnsi="Verdana"/>
          <w:sz w:val="20"/>
          <w:lang w:val="pt-BR"/>
        </w:rPr>
        <w:t xml:space="preserve">sugeriu ao </w:t>
      </w:r>
      <w:r w:rsidR="004756C1" w:rsidRPr="002F50BD">
        <w:rPr>
          <w:rFonts w:ascii="Verdana" w:hAnsi="Verdana"/>
          <w:sz w:val="20"/>
          <w:lang w:val="pt-BR"/>
        </w:rPr>
        <w:t xml:space="preserve">Presidente </w:t>
      </w:r>
      <w:r w:rsidR="0089298C" w:rsidRPr="002F50BD">
        <w:rPr>
          <w:rFonts w:ascii="Verdana" w:hAnsi="Verdana"/>
          <w:sz w:val="20"/>
          <w:lang w:val="pt-BR"/>
        </w:rPr>
        <w:t>desta</w:t>
      </w:r>
      <w:r w:rsidR="004756C1" w:rsidRPr="002F50BD">
        <w:rPr>
          <w:rFonts w:ascii="Verdana" w:hAnsi="Verdana"/>
          <w:sz w:val="20"/>
          <w:lang w:val="pt-BR"/>
        </w:rPr>
        <w:t xml:space="preserve"> </w:t>
      </w:r>
      <w:r w:rsidR="0089298C" w:rsidRPr="002F50BD">
        <w:rPr>
          <w:rFonts w:ascii="Verdana" w:hAnsi="Verdana"/>
          <w:sz w:val="20"/>
          <w:lang w:val="pt-BR"/>
        </w:rPr>
        <w:t>instituição</w:t>
      </w:r>
      <w:r w:rsidR="004756C1" w:rsidRPr="002F50BD">
        <w:rPr>
          <w:rFonts w:ascii="Verdana" w:hAnsi="Verdana"/>
          <w:sz w:val="20"/>
          <w:lang w:val="pt-BR"/>
        </w:rPr>
        <w:t xml:space="preserve"> ordenar</w:t>
      </w:r>
      <w:r w:rsidR="0089298C" w:rsidRPr="002F50BD">
        <w:rPr>
          <w:rFonts w:ascii="Verdana" w:hAnsi="Verdana"/>
          <w:sz w:val="20"/>
          <w:lang w:val="pt-BR"/>
        </w:rPr>
        <w:t xml:space="preserve"> a inspeção </w:t>
      </w:r>
      <w:r w:rsidR="004756C1" w:rsidRPr="002F50BD">
        <w:rPr>
          <w:rFonts w:ascii="Verdana" w:hAnsi="Verdana"/>
          <w:sz w:val="20"/>
          <w:lang w:val="pt-BR"/>
        </w:rPr>
        <w:t>ocular</w:t>
      </w:r>
      <w:r w:rsidR="0089298C" w:rsidRPr="002F50BD">
        <w:rPr>
          <w:rFonts w:ascii="Verdana" w:hAnsi="Verdana"/>
          <w:sz w:val="20"/>
          <w:lang w:val="pt-BR"/>
        </w:rPr>
        <w:t xml:space="preserve"> da </w:t>
      </w:r>
      <w:r w:rsidR="004756C1" w:rsidRPr="002F50BD">
        <w:rPr>
          <w:rFonts w:ascii="Verdana" w:hAnsi="Verdana"/>
          <w:sz w:val="20"/>
          <w:lang w:val="pt-BR"/>
        </w:rPr>
        <w:t>fr</w:t>
      </w:r>
      <w:r w:rsidR="004076AD" w:rsidRPr="002F50BD">
        <w:rPr>
          <w:rFonts w:ascii="Verdana" w:hAnsi="Verdana"/>
          <w:sz w:val="20"/>
          <w:lang w:val="pt-BR"/>
        </w:rPr>
        <w:t>ação</w:t>
      </w:r>
      <w:r w:rsidR="004756C1" w:rsidRPr="002F50BD">
        <w:rPr>
          <w:rFonts w:ascii="Verdana" w:hAnsi="Verdana"/>
          <w:sz w:val="20"/>
          <w:lang w:val="pt-BR"/>
        </w:rPr>
        <w:t xml:space="preserve"> solicitada</w:t>
      </w:r>
      <w:r w:rsidR="0089298C" w:rsidRPr="002F50BD">
        <w:rPr>
          <w:rFonts w:ascii="Verdana" w:hAnsi="Verdana"/>
          <w:sz w:val="20"/>
          <w:lang w:val="pt-BR"/>
        </w:rPr>
        <w:t xml:space="preserve"> pela Comunidade </w:t>
      </w:r>
      <w:r w:rsidR="004756C1" w:rsidRPr="002F50BD">
        <w:rPr>
          <w:rFonts w:ascii="Verdana" w:hAnsi="Verdana"/>
          <w:sz w:val="20"/>
          <w:lang w:val="pt-BR"/>
        </w:rPr>
        <w:t>Yakye Axa</w:t>
      </w:r>
      <w:r w:rsidR="000920B2" w:rsidRPr="002F50BD">
        <w:rPr>
          <w:rFonts w:ascii="Verdana" w:hAnsi="Verdana"/>
          <w:sz w:val="20"/>
          <w:lang w:val="pt-BR"/>
        </w:rPr>
        <w:t>.</w:t>
      </w:r>
      <w:r w:rsidR="004756C1" w:rsidRPr="002F50BD">
        <w:rPr>
          <w:rStyle w:val="FootnoteReference"/>
          <w:rFonts w:ascii="Verdana" w:hAnsi="Verdana"/>
        </w:rPr>
        <w:footnoteReference w:id="54"/>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pStyle w:val="Heading1"/>
        <w:jc w:val="both"/>
        <w:rPr>
          <w:sz w:val="20"/>
          <w:lang w:val="pt-BR"/>
        </w:rPr>
      </w:pPr>
      <w:r w:rsidRPr="002F50BD">
        <w:rPr>
          <w:sz w:val="20"/>
          <w:lang w:val="pt-BR"/>
        </w:rPr>
        <w:t>50</w:t>
      </w:r>
      <w:r w:rsidR="004756C1" w:rsidRPr="002F50BD">
        <w:rPr>
          <w:sz w:val="20"/>
          <w:lang w:val="pt-BR"/>
        </w:rPr>
        <w:t>.</w:t>
      </w:r>
      <w:r w:rsidRPr="002F50BD">
        <w:rPr>
          <w:sz w:val="20"/>
          <w:lang w:val="pt-BR"/>
        </w:rPr>
        <w:t>28</w:t>
      </w:r>
      <w:r w:rsidR="004756C1" w:rsidRPr="002F50BD">
        <w:rPr>
          <w:sz w:val="20"/>
          <w:lang w:val="pt-BR"/>
        </w:rPr>
        <w:t>.</w:t>
      </w:r>
      <w:r w:rsidR="004756C1" w:rsidRPr="002F50BD">
        <w:rPr>
          <w:sz w:val="20"/>
          <w:lang w:val="pt-BR"/>
        </w:rPr>
        <w:tab/>
      </w:r>
      <w:r w:rsidR="00FB33DD" w:rsidRPr="002F50BD">
        <w:rPr>
          <w:sz w:val="20"/>
          <w:lang w:val="pt-BR"/>
        </w:rPr>
        <w:t xml:space="preserve">Em </w:t>
      </w:r>
      <w:r w:rsidRPr="002F50BD">
        <w:rPr>
          <w:sz w:val="20"/>
          <w:lang w:val="pt-BR"/>
        </w:rPr>
        <w:t>8</w:t>
      </w:r>
      <w:r w:rsidR="004756C1" w:rsidRPr="002F50BD">
        <w:rPr>
          <w:sz w:val="20"/>
          <w:lang w:val="pt-BR"/>
        </w:rPr>
        <w:t xml:space="preserve"> de </w:t>
      </w:r>
      <w:r w:rsidR="0089298C" w:rsidRPr="002F50BD">
        <w:rPr>
          <w:sz w:val="20"/>
          <w:lang w:val="pt-BR"/>
        </w:rPr>
        <w:t>fevereiro</w:t>
      </w:r>
      <w:r w:rsidR="004756C1" w:rsidRPr="002F50BD">
        <w:rPr>
          <w:sz w:val="20"/>
          <w:lang w:val="pt-BR"/>
        </w:rPr>
        <w:t xml:space="preserve"> de </w:t>
      </w:r>
      <w:r w:rsidRPr="002F50BD">
        <w:rPr>
          <w:sz w:val="20"/>
          <w:lang w:val="pt-BR"/>
        </w:rPr>
        <w:t>1995</w:t>
      </w:r>
      <w:r w:rsidR="00EC5F20" w:rsidRPr="002F50BD">
        <w:rPr>
          <w:sz w:val="20"/>
          <w:lang w:val="pt-BR"/>
        </w:rPr>
        <w:t>,</w:t>
      </w:r>
      <w:r w:rsidR="0089298C" w:rsidRPr="002F50BD">
        <w:rPr>
          <w:sz w:val="20"/>
          <w:lang w:val="pt-BR"/>
        </w:rPr>
        <w:t xml:space="preserve"> os </w:t>
      </w:r>
      <w:r w:rsidR="004756C1" w:rsidRPr="002F50BD">
        <w:rPr>
          <w:sz w:val="20"/>
          <w:lang w:val="pt-BR"/>
        </w:rPr>
        <w:t>líderes</w:t>
      </w:r>
      <w:r w:rsidR="0089298C" w:rsidRPr="002F50BD">
        <w:rPr>
          <w:sz w:val="20"/>
          <w:lang w:val="pt-BR"/>
        </w:rPr>
        <w:t xml:space="preserve"> da </w:t>
      </w:r>
      <w:r w:rsidR="004756C1" w:rsidRPr="002F50BD">
        <w:rPr>
          <w:sz w:val="20"/>
          <w:lang w:val="pt-BR"/>
        </w:rPr>
        <w:t>Comu</w:t>
      </w:r>
      <w:r w:rsidR="00AB454A" w:rsidRPr="002F50BD">
        <w:rPr>
          <w:sz w:val="20"/>
          <w:lang w:val="pt-BR"/>
        </w:rPr>
        <w:t xml:space="preserve">nidade, </w:t>
      </w:r>
      <w:r w:rsidR="004756C1" w:rsidRPr="002F50BD">
        <w:rPr>
          <w:sz w:val="20"/>
          <w:lang w:val="pt-BR"/>
        </w:rPr>
        <w:t xml:space="preserve">por </w:t>
      </w:r>
      <w:r w:rsidR="0089298C" w:rsidRPr="002F50BD">
        <w:rPr>
          <w:sz w:val="20"/>
          <w:lang w:val="pt-BR"/>
        </w:rPr>
        <w:t xml:space="preserve">meio </w:t>
      </w:r>
      <w:r w:rsidR="004756C1" w:rsidRPr="002F50BD">
        <w:rPr>
          <w:sz w:val="20"/>
          <w:lang w:val="pt-BR"/>
        </w:rPr>
        <w:t xml:space="preserve">de </w:t>
      </w:r>
      <w:r w:rsidR="0022481E" w:rsidRPr="002F50BD">
        <w:rPr>
          <w:sz w:val="20"/>
          <w:lang w:val="pt-BR"/>
        </w:rPr>
        <w:t>seus advogados</w:t>
      </w:r>
      <w:r w:rsidR="004756C1" w:rsidRPr="002F50BD">
        <w:rPr>
          <w:sz w:val="20"/>
          <w:lang w:val="pt-BR"/>
        </w:rPr>
        <w:t xml:space="preserve">, </w:t>
      </w:r>
      <w:r w:rsidR="0089298C" w:rsidRPr="002F50BD">
        <w:rPr>
          <w:sz w:val="20"/>
          <w:lang w:val="pt-BR"/>
        </w:rPr>
        <w:t xml:space="preserve">solicitaram ao </w:t>
      </w:r>
      <w:r w:rsidR="00914F6C" w:rsidRPr="002F50BD">
        <w:rPr>
          <w:sz w:val="20"/>
          <w:lang w:val="pt-BR"/>
        </w:rPr>
        <w:t>IBR a</w:t>
      </w:r>
      <w:r w:rsidR="004756C1" w:rsidRPr="002F50BD">
        <w:rPr>
          <w:sz w:val="20"/>
          <w:lang w:val="pt-BR"/>
        </w:rPr>
        <w:t xml:space="preserve"> “</w:t>
      </w:r>
      <w:r w:rsidR="00914F6C" w:rsidRPr="002F50BD">
        <w:rPr>
          <w:sz w:val="20"/>
          <w:lang w:val="pt-BR"/>
        </w:rPr>
        <w:t>convocação</w:t>
      </w:r>
      <w:r w:rsidR="000920B2" w:rsidRPr="002F50BD">
        <w:rPr>
          <w:sz w:val="20"/>
          <w:lang w:val="pt-BR"/>
        </w:rPr>
        <w:t xml:space="preserve"> </w:t>
      </w:r>
      <w:r w:rsidR="00914F6C" w:rsidRPr="002F50BD">
        <w:rPr>
          <w:sz w:val="20"/>
          <w:lang w:val="pt-BR"/>
        </w:rPr>
        <w:t>d</w:t>
      </w:r>
      <w:r w:rsidR="0089298C" w:rsidRPr="002F50BD">
        <w:rPr>
          <w:sz w:val="20"/>
          <w:lang w:val="pt-BR"/>
        </w:rPr>
        <w:t xml:space="preserve">os </w:t>
      </w:r>
      <w:r w:rsidR="007801FA" w:rsidRPr="002F50BD">
        <w:rPr>
          <w:sz w:val="20"/>
          <w:lang w:val="pt-BR"/>
        </w:rPr>
        <w:t>proprietário</w:t>
      </w:r>
      <w:r w:rsidR="004756C1" w:rsidRPr="002F50BD">
        <w:rPr>
          <w:sz w:val="20"/>
          <w:lang w:val="pt-BR"/>
        </w:rPr>
        <w:t>s</w:t>
      </w:r>
      <w:r w:rsidR="0089298C" w:rsidRPr="002F50BD">
        <w:rPr>
          <w:sz w:val="20"/>
          <w:lang w:val="pt-BR"/>
        </w:rPr>
        <w:t xml:space="preserve"> das terra</w:t>
      </w:r>
      <w:r w:rsidR="004756C1" w:rsidRPr="002F50BD">
        <w:rPr>
          <w:sz w:val="20"/>
          <w:lang w:val="pt-BR"/>
        </w:rPr>
        <w:t>s solicitadas […] para que concreti</w:t>
      </w:r>
      <w:r w:rsidR="000920B2" w:rsidRPr="002F50BD">
        <w:rPr>
          <w:sz w:val="20"/>
          <w:lang w:val="pt-BR"/>
        </w:rPr>
        <w:t>zem</w:t>
      </w:r>
      <w:r w:rsidR="0089298C" w:rsidRPr="002F50BD">
        <w:rPr>
          <w:sz w:val="20"/>
          <w:lang w:val="pt-BR"/>
        </w:rPr>
        <w:t xml:space="preserve"> uma </w:t>
      </w:r>
      <w:r w:rsidR="004756C1" w:rsidRPr="002F50BD">
        <w:rPr>
          <w:sz w:val="20"/>
          <w:lang w:val="pt-BR"/>
        </w:rPr>
        <w:t>oferta-base de ven</w:t>
      </w:r>
      <w:r w:rsidR="000920B2" w:rsidRPr="002F50BD">
        <w:rPr>
          <w:sz w:val="20"/>
          <w:lang w:val="pt-BR"/>
        </w:rPr>
        <w:t>d</w:t>
      </w:r>
      <w:r w:rsidR="004756C1" w:rsidRPr="002F50BD">
        <w:rPr>
          <w:sz w:val="20"/>
          <w:lang w:val="pt-BR"/>
        </w:rPr>
        <w:t xml:space="preserve">a de </w:t>
      </w:r>
      <w:r w:rsidR="00A50140" w:rsidRPr="002F50BD">
        <w:rPr>
          <w:sz w:val="20"/>
          <w:lang w:val="pt-BR"/>
        </w:rPr>
        <w:t>suas terras</w:t>
      </w:r>
      <w:r w:rsidR="004756C1" w:rsidRPr="002F50BD">
        <w:rPr>
          <w:sz w:val="20"/>
          <w:lang w:val="pt-BR"/>
        </w:rPr>
        <w:t xml:space="preserve">, </w:t>
      </w:r>
      <w:r w:rsidR="000920B2" w:rsidRPr="002F50BD">
        <w:rPr>
          <w:sz w:val="20"/>
          <w:lang w:val="pt-BR"/>
        </w:rPr>
        <w:t xml:space="preserve">bem </w:t>
      </w:r>
      <w:r w:rsidR="004756C1" w:rsidRPr="002F50BD">
        <w:rPr>
          <w:sz w:val="20"/>
          <w:lang w:val="pt-BR"/>
        </w:rPr>
        <w:t xml:space="preserve">como </w:t>
      </w:r>
      <w:r w:rsidR="0089298C" w:rsidRPr="002F50BD">
        <w:rPr>
          <w:sz w:val="20"/>
          <w:lang w:val="pt-BR"/>
        </w:rPr>
        <w:t>o nome</w:t>
      </w:r>
      <w:r w:rsidR="004756C1" w:rsidRPr="002F50BD">
        <w:rPr>
          <w:sz w:val="20"/>
          <w:lang w:val="pt-BR"/>
        </w:rPr>
        <w:t xml:space="preserve"> </w:t>
      </w:r>
      <w:r w:rsidR="0089298C" w:rsidRPr="002F50BD">
        <w:rPr>
          <w:sz w:val="20"/>
          <w:lang w:val="pt-BR"/>
        </w:rPr>
        <w:t xml:space="preserve">do </w:t>
      </w:r>
      <w:r w:rsidR="004756C1" w:rsidRPr="002F50BD">
        <w:rPr>
          <w:sz w:val="20"/>
          <w:lang w:val="pt-BR"/>
        </w:rPr>
        <w:t>lugar de refer</w:t>
      </w:r>
      <w:r w:rsidR="000920B2" w:rsidRPr="002F50BD">
        <w:rPr>
          <w:sz w:val="20"/>
          <w:lang w:val="pt-BR"/>
        </w:rPr>
        <w:t>ê</w:t>
      </w:r>
      <w:r w:rsidR="004756C1" w:rsidRPr="002F50BD">
        <w:rPr>
          <w:sz w:val="20"/>
          <w:lang w:val="pt-BR"/>
        </w:rPr>
        <w:t xml:space="preserve">ncia, </w:t>
      </w:r>
      <w:r w:rsidR="0089298C" w:rsidRPr="002F50BD">
        <w:rPr>
          <w:sz w:val="20"/>
          <w:lang w:val="pt-BR"/>
        </w:rPr>
        <w:t>extensão e qualquer</w:t>
      </w:r>
      <w:r w:rsidR="004756C1" w:rsidRPr="002F50BD">
        <w:rPr>
          <w:sz w:val="20"/>
          <w:lang w:val="pt-BR"/>
        </w:rPr>
        <w:t xml:space="preserve"> </w:t>
      </w:r>
      <w:r w:rsidR="0089298C" w:rsidRPr="002F50BD">
        <w:rPr>
          <w:sz w:val="20"/>
          <w:lang w:val="pt-BR"/>
        </w:rPr>
        <w:t>outros</w:t>
      </w:r>
      <w:r w:rsidR="004756C1" w:rsidRPr="002F50BD">
        <w:rPr>
          <w:sz w:val="20"/>
          <w:lang w:val="pt-BR"/>
        </w:rPr>
        <w:t xml:space="preserve"> </w:t>
      </w:r>
      <w:r w:rsidR="0089298C" w:rsidRPr="002F50BD">
        <w:rPr>
          <w:sz w:val="20"/>
          <w:lang w:val="pt-BR"/>
        </w:rPr>
        <w:t>dado</w:t>
      </w:r>
      <w:r w:rsidR="004756C1" w:rsidRPr="002F50BD">
        <w:rPr>
          <w:sz w:val="20"/>
          <w:lang w:val="pt-BR"/>
        </w:rPr>
        <w:t>s a</w:t>
      </w:r>
      <w:r w:rsidR="0089298C" w:rsidRPr="002F50BD">
        <w:rPr>
          <w:sz w:val="20"/>
          <w:lang w:val="pt-BR"/>
        </w:rPr>
        <w:t xml:space="preserve"> fim </w:t>
      </w:r>
      <w:r w:rsidR="004756C1" w:rsidRPr="002F50BD">
        <w:rPr>
          <w:sz w:val="20"/>
          <w:lang w:val="pt-BR"/>
        </w:rPr>
        <w:t xml:space="preserve">de </w:t>
      </w:r>
      <w:r w:rsidR="0089298C" w:rsidRPr="002F50BD">
        <w:rPr>
          <w:sz w:val="20"/>
          <w:lang w:val="pt-BR"/>
        </w:rPr>
        <w:t>avançar na busca</w:t>
      </w:r>
      <w:r w:rsidR="004756C1" w:rsidRPr="002F50BD">
        <w:rPr>
          <w:sz w:val="20"/>
          <w:lang w:val="pt-BR"/>
        </w:rPr>
        <w:t xml:space="preserve"> de</w:t>
      </w:r>
      <w:r w:rsidR="0089298C" w:rsidRPr="002F50BD">
        <w:rPr>
          <w:sz w:val="20"/>
          <w:lang w:val="pt-BR"/>
        </w:rPr>
        <w:t xml:space="preserve"> uma </w:t>
      </w:r>
      <w:r w:rsidR="004756C1" w:rsidRPr="002F50BD">
        <w:rPr>
          <w:sz w:val="20"/>
          <w:lang w:val="pt-BR"/>
        </w:rPr>
        <w:t>solu</w:t>
      </w:r>
      <w:r w:rsidR="0089298C" w:rsidRPr="002F50BD">
        <w:rPr>
          <w:sz w:val="20"/>
          <w:lang w:val="pt-BR"/>
        </w:rPr>
        <w:t>ção</w:t>
      </w:r>
      <w:r w:rsidR="004756C1" w:rsidRPr="002F50BD">
        <w:rPr>
          <w:sz w:val="20"/>
          <w:lang w:val="pt-BR"/>
        </w:rPr>
        <w:t xml:space="preserve"> a</w:t>
      </w:r>
      <w:r w:rsidR="0089298C" w:rsidRPr="002F50BD">
        <w:rPr>
          <w:sz w:val="20"/>
          <w:lang w:val="pt-BR"/>
        </w:rPr>
        <w:t xml:space="preserve"> tão </w:t>
      </w:r>
      <w:r w:rsidR="004756C1" w:rsidRPr="002F50BD">
        <w:rPr>
          <w:sz w:val="20"/>
          <w:lang w:val="pt-BR"/>
        </w:rPr>
        <w:t>postergado problema de car</w:t>
      </w:r>
      <w:r w:rsidR="000920B2" w:rsidRPr="002F50BD">
        <w:rPr>
          <w:sz w:val="20"/>
          <w:lang w:val="pt-BR"/>
        </w:rPr>
        <w:t>ê</w:t>
      </w:r>
      <w:r w:rsidR="004756C1" w:rsidRPr="002F50BD">
        <w:rPr>
          <w:sz w:val="20"/>
          <w:lang w:val="pt-BR"/>
        </w:rPr>
        <w:t xml:space="preserve">ncia de </w:t>
      </w:r>
      <w:r w:rsidR="0089298C" w:rsidRPr="002F50BD">
        <w:rPr>
          <w:sz w:val="20"/>
          <w:lang w:val="pt-BR"/>
        </w:rPr>
        <w:t>terra</w:t>
      </w:r>
      <w:r w:rsidR="004756C1" w:rsidRPr="002F50BD">
        <w:rPr>
          <w:sz w:val="20"/>
          <w:lang w:val="pt-BR"/>
        </w:rPr>
        <w:t>s”</w:t>
      </w:r>
      <w:r w:rsidR="000920B2" w:rsidRPr="002F50BD">
        <w:rPr>
          <w:sz w:val="20"/>
          <w:lang w:val="pt-BR"/>
        </w:rPr>
        <w:t>.</w:t>
      </w:r>
      <w:r w:rsidR="004756C1" w:rsidRPr="002F50BD">
        <w:rPr>
          <w:rStyle w:val="FootnoteReference"/>
        </w:rPr>
        <w:footnoteReference w:id="55"/>
      </w:r>
      <w:r w:rsidR="004756C1" w:rsidRPr="002F50BD">
        <w:rPr>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9</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1995</w:t>
      </w:r>
      <w:r w:rsidR="004756C1" w:rsidRPr="002F50BD">
        <w:rPr>
          <w:rStyle w:val="FootnoteReference"/>
          <w:rFonts w:ascii="Verdana" w:hAnsi="Verdana"/>
        </w:rPr>
        <w:footnoteReference w:id="56"/>
      </w:r>
      <w:r w:rsidR="0089298C" w:rsidRPr="002F50BD">
        <w:rPr>
          <w:rFonts w:ascii="Verdana" w:hAnsi="Verdana"/>
          <w:sz w:val="20"/>
          <w:lang w:val="pt-BR"/>
        </w:rPr>
        <w:t xml:space="preserve"> e em </w:t>
      </w:r>
      <w:r w:rsidRPr="002F50BD">
        <w:rPr>
          <w:rFonts w:ascii="Verdana" w:hAnsi="Verdana"/>
          <w:sz w:val="20"/>
          <w:lang w:val="pt-BR"/>
        </w:rPr>
        <w:t>6</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w:t>
      </w:r>
      <w:r w:rsidR="0089298C" w:rsidRPr="002F50BD">
        <w:rPr>
          <w:rFonts w:ascii="Verdana" w:hAnsi="Verdana"/>
          <w:sz w:val="20"/>
          <w:lang w:val="pt-BR"/>
        </w:rPr>
        <w:t>do mesm</w:t>
      </w:r>
      <w:r w:rsidR="004756C1" w:rsidRPr="002F50BD">
        <w:rPr>
          <w:rFonts w:ascii="Verdana" w:hAnsi="Verdana"/>
          <w:sz w:val="20"/>
          <w:lang w:val="pt-BR"/>
        </w:rPr>
        <w:t>o a</w:t>
      </w:r>
      <w:r w:rsidR="000920B2" w:rsidRPr="002F50BD">
        <w:rPr>
          <w:rFonts w:ascii="Verdana" w:hAnsi="Verdana"/>
          <w:sz w:val="20"/>
          <w:lang w:val="pt-BR"/>
        </w:rPr>
        <w:t>n</w:t>
      </w:r>
      <w:r w:rsidR="004756C1" w:rsidRPr="002F50BD">
        <w:rPr>
          <w:rFonts w:ascii="Verdana" w:hAnsi="Verdana"/>
          <w:sz w:val="20"/>
          <w:lang w:val="pt-BR"/>
        </w:rPr>
        <w:t>o</w:t>
      </w:r>
      <w:r w:rsidR="000920B2" w:rsidRPr="002F50BD">
        <w:rPr>
          <w:rFonts w:ascii="Verdana" w:hAnsi="Verdana"/>
          <w:sz w:val="20"/>
          <w:lang w:val="pt-BR"/>
        </w:rPr>
        <w:t>,</w:t>
      </w:r>
      <w:r w:rsidR="004756C1" w:rsidRPr="002F50BD">
        <w:rPr>
          <w:rStyle w:val="FootnoteReference"/>
          <w:rFonts w:ascii="Verdana" w:hAnsi="Verdana"/>
        </w:rPr>
        <w:footnoteReference w:id="57"/>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89298C" w:rsidRPr="002F50BD">
        <w:rPr>
          <w:rFonts w:ascii="Verdana" w:hAnsi="Verdana"/>
          <w:sz w:val="20"/>
          <w:lang w:val="pt-BR"/>
        </w:rPr>
        <w:t xml:space="preserve">sugeriu ao </w:t>
      </w:r>
      <w:r w:rsidR="004756C1" w:rsidRPr="002F50BD">
        <w:rPr>
          <w:rFonts w:ascii="Verdana" w:hAnsi="Verdana"/>
          <w:sz w:val="20"/>
          <w:lang w:val="pt-BR"/>
        </w:rPr>
        <w:t xml:space="preserve">Presidente </w:t>
      </w:r>
      <w:r w:rsidR="0089298C" w:rsidRPr="002F50BD">
        <w:rPr>
          <w:rFonts w:ascii="Verdana" w:hAnsi="Verdana"/>
          <w:sz w:val="20"/>
          <w:lang w:val="pt-BR"/>
        </w:rPr>
        <w:t>desta</w:t>
      </w:r>
      <w:r w:rsidR="004756C1" w:rsidRPr="002F50BD">
        <w:rPr>
          <w:rFonts w:ascii="Verdana" w:hAnsi="Verdana"/>
          <w:sz w:val="20"/>
          <w:lang w:val="pt-BR"/>
        </w:rPr>
        <w:t xml:space="preserve"> </w:t>
      </w:r>
      <w:r w:rsidR="0089298C" w:rsidRPr="002F50BD">
        <w:rPr>
          <w:rFonts w:ascii="Verdana" w:hAnsi="Verdana"/>
          <w:sz w:val="20"/>
          <w:lang w:val="pt-BR"/>
        </w:rPr>
        <w:t>instituição</w:t>
      </w:r>
      <w:r w:rsidR="004756C1" w:rsidRPr="002F50BD">
        <w:rPr>
          <w:rFonts w:ascii="Verdana" w:hAnsi="Verdana"/>
          <w:sz w:val="20"/>
          <w:lang w:val="pt-BR"/>
        </w:rPr>
        <w:t xml:space="preserve"> </w:t>
      </w:r>
      <w:r w:rsidR="000920B2" w:rsidRPr="002F50BD">
        <w:rPr>
          <w:rFonts w:ascii="Verdana" w:hAnsi="Verdana"/>
          <w:sz w:val="20"/>
          <w:lang w:val="pt-BR"/>
        </w:rPr>
        <w:t xml:space="preserve">realizar </w:t>
      </w:r>
      <w:r w:rsidR="0089298C" w:rsidRPr="002F50BD">
        <w:rPr>
          <w:rFonts w:ascii="Verdana" w:hAnsi="Verdana"/>
          <w:sz w:val="20"/>
          <w:lang w:val="pt-BR"/>
        </w:rPr>
        <w:t>a inspeção</w:t>
      </w:r>
      <w:r w:rsidR="004756C1" w:rsidRPr="002F50BD">
        <w:rPr>
          <w:rFonts w:ascii="Verdana" w:hAnsi="Verdana"/>
          <w:sz w:val="20"/>
          <w:lang w:val="pt-BR"/>
        </w:rPr>
        <w:t xml:space="preserve"> ocular solicitada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que </w:t>
      </w:r>
      <w:r w:rsidR="00AB454A" w:rsidRPr="002F50BD">
        <w:rPr>
          <w:rFonts w:ascii="Verdana" w:hAnsi="Verdana"/>
          <w:sz w:val="20"/>
          <w:lang w:val="pt-BR"/>
        </w:rPr>
        <w:t>não havia</w:t>
      </w:r>
      <w:r w:rsidR="004756C1" w:rsidRPr="002F50BD">
        <w:rPr>
          <w:rFonts w:ascii="Verdana" w:hAnsi="Verdana"/>
          <w:sz w:val="20"/>
          <w:lang w:val="pt-BR"/>
        </w:rPr>
        <w:t xml:space="preserve"> podido ser realizada por “falta de </w:t>
      </w:r>
      <w:r w:rsidR="000920B2" w:rsidRPr="002F50BD">
        <w:rPr>
          <w:rFonts w:ascii="Verdana" w:hAnsi="Verdana"/>
          <w:sz w:val="20"/>
          <w:lang w:val="pt-BR"/>
        </w:rPr>
        <w:t>orçamento</w:t>
      </w:r>
      <w:r w:rsidR="004756C1" w:rsidRPr="002F50BD">
        <w:rPr>
          <w:rFonts w:ascii="Verdana" w:hAnsi="Verdana"/>
          <w:sz w:val="20"/>
          <w:lang w:val="pt-BR"/>
        </w:rPr>
        <w:t>”, ordenar</w:t>
      </w:r>
      <w:r w:rsidR="0089298C" w:rsidRPr="002F50BD">
        <w:rPr>
          <w:rFonts w:ascii="Verdana" w:hAnsi="Verdana"/>
          <w:sz w:val="20"/>
          <w:lang w:val="pt-BR"/>
        </w:rPr>
        <w:t xml:space="preserve"> a </w:t>
      </w:r>
      <w:r w:rsidR="000920B2" w:rsidRPr="002F50BD">
        <w:rPr>
          <w:rFonts w:ascii="Verdana" w:hAnsi="Verdana"/>
          <w:sz w:val="20"/>
          <w:lang w:val="pt-BR"/>
        </w:rPr>
        <w:t xml:space="preserve">presença </w:t>
      </w:r>
      <w:r w:rsidR="004756C1" w:rsidRPr="002F50BD">
        <w:rPr>
          <w:rFonts w:ascii="Verdana" w:hAnsi="Verdana"/>
          <w:sz w:val="20"/>
          <w:lang w:val="pt-BR"/>
        </w:rPr>
        <w:t>de</w:t>
      </w:r>
      <w:r w:rsidR="0089298C" w:rsidRPr="002F50BD">
        <w:rPr>
          <w:rFonts w:ascii="Verdana" w:hAnsi="Verdana"/>
          <w:sz w:val="20"/>
          <w:lang w:val="pt-BR"/>
        </w:rPr>
        <w:t xml:space="preserve"> um funcionári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IBR</w:t>
      </w:r>
      <w:r w:rsidR="0089298C" w:rsidRPr="002F50BD">
        <w:rPr>
          <w:rFonts w:ascii="Verdana" w:hAnsi="Verdana"/>
          <w:sz w:val="20"/>
          <w:lang w:val="pt-BR"/>
        </w:rPr>
        <w:t xml:space="preserve"> </w:t>
      </w:r>
      <w:r w:rsidR="005D4A0C" w:rsidRPr="002F50BD">
        <w:rPr>
          <w:rFonts w:ascii="Verdana" w:hAnsi="Verdana"/>
          <w:sz w:val="20"/>
          <w:lang w:val="pt-BR"/>
        </w:rPr>
        <w:t>n</w:t>
      </w:r>
      <w:r w:rsidR="0089298C" w:rsidRPr="002F50BD">
        <w:rPr>
          <w:rFonts w:ascii="Verdana" w:hAnsi="Verdana"/>
          <w:sz w:val="20"/>
          <w:lang w:val="pt-BR"/>
        </w:rPr>
        <w:t xml:space="preserve">o </w:t>
      </w:r>
      <w:r w:rsidR="00EC5F20" w:rsidRPr="002F50BD">
        <w:rPr>
          <w:rFonts w:ascii="Verdana" w:hAnsi="Verdana"/>
          <w:sz w:val="20"/>
          <w:lang w:val="pt-BR"/>
        </w:rPr>
        <w:t>local</w:t>
      </w:r>
      <w:r w:rsidR="0089298C" w:rsidRPr="002F50BD">
        <w:rPr>
          <w:rFonts w:ascii="Verdana" w:hAnsi="Verdana"/>
          <w:sz w:val="20"/>
          <w:lang w:val="pt-BR"/>
        </w:rPr>
        <w:t xml:space="preserve"> e </w:t>
      </w:r>
      <w:r w:rsidR="004756C1" w:rsidRPr="002F50BD">
        <w:rPr>
          <w:rFonts w:ascii="Verdana" w:hAnsi="Verdana"/>
          <w:sz w:val="20"/>
          <w:lang w:val="pt-BR"/>
        </w:rPr>
        <w:t>notificar</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0920B2" w:rsidRPr="002F50BD">
        <w:rPr>
          <w:rFonts w:ascii="Verdana" w:hAnsi="Verdana"/>
          <w:sz w:val="20"/>
          <w:lang w:val="pt-BR"/>
        </w:rPr>
        <w:t>Além disso</w:t>
      </w:r>
      <w:r w:rsidR="00BE346D" w:rsidRPr="002F50BD">
        <w:rPr>
          <w:rFonts w:ascii="Verdana" w:hAnsi="Verdana"/>
          <w:sz w:val="20"/>
          <w:lang w:val="pt-BR"/>
        </w:rPr>
        <w:t xml:space="preserve">, em </w:t>
      </w:r>
      <w:r w:rsidRPr="002F50BD">
        <w:rPr>
          <w:rFonts w:ascii="Verdana" w:hAnsi="Verdana"/>
          <w:sz w:val="20"/>
          <w:lang w:val="pt-BR"/>
        </w:rPr>
        <w:t>11</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1995</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89298C" w:rsidRPr="002F50BD">
        <w:rPr>
          <w:rFonts w:ascii="Verdana" w:hAnsi="Verdana"/>
          <w:sz w:val="20"/>
          <w:lang w:val="pt-BR"/>
        </w:rPr>
        <w:t xml:space="preserve">informou ao </w:t>
      </w:r>
      <w:r w:rsidR="004756C1" w:rsidRPr="002F50BD">
        <w:rPr>
          <w:rFonts w:ascii="Verdana" w:hAnsi="Verdana"/>
          <w:sz w:val="20"/>
          <w:lang w:val="pt-BR"/>
        </w:rPr>
        <w:t xml:space="preserve">IBR que </w:t>
      </w:r>
      <w:r w:rsidR="0089298C" w:rsidRPr="002F50BD">
        <w:rPr>
          <w:rFonts w:ascii="Verdana" w:hAnsi="Verdana"/>
          <w:sz w:val="20"/>
          <w:lang w:val="pt-BR"/>
        </w:rPr>
        <w:t>havia</w:t>
      </w:r>
      <w:r w:rsidR="00EC5F20" w:rsidRPr="002F50BD">
        <w:rPr>
          <w:rFonts w:ascii="Verdana" w:hAnsi="Verdana"/>
          <w:sz w:val="20"/>
          <w:lang w:val="pt-BR"/>
        </w:rPr>
        <w:t xml:space="preserve"> designado</w:t>
      </w:r>
      <w:r w:rsidR="004756C1" w:rsidRPr="002F50BD">
        <w:rPr>
          <w:rFonts w:ascii="Verdana" w:hAnsi="Verdana"/>
          <w:sz w:val="20"/>
          <w:lang w:val="pt-BR"/>
        </w:rPr>
        <w:t xml:space="preserve"> u</w:t>
      </w:r>
      <w:r w:rsidR="000920B2" w:rsidRPr="002F50BD">
        <w:rPr>
          <w:rFonts w:ascii="Verdana" w:hAnsi="Verdana"/>
          <w:sz w:val="20"/>
          <w:lang w:val="pt-BR"/>
        </w:rPr>
        <w:t>m</w:t>
      </w:r>
      <w:r w:rsidR="004756C1" w:rsidRPr="002F50BD">
        <w:rPr>
          <w:rFonts w:ascii="Verdana" w:hAnsi="Verdana"/>
          <w:sz w:val="20"/>
          <w:lang w:val="pt-BR"/>
        </w:rPr>
        <w:t xml:space="preserve"> de s</w:t>
      </w:r>
      <w:r w:rsidR="000920B2" w:rsidRPr="002F50BD">
        <w:rPr>
          <w:rFonts w:ascii="Verdana" w:hAnsi="Verdana"/>
          <w:sz w:val="20"/>
          <w:lang w:val="pt-BR"/>
        </w:rPr>
        <w:t>e</w:t>
      </w:r>
      <w:r w:rsidR="004756C1" w:rsidRPr="002F50BD">
        <w:rPr>
          <w:rFonts w:ascii="Verdana" w:hAnsi="Verdana"/>
          <w:sz w:val="20"/>
          <w:lang w:val="pt-BR"/>
        </w:rPr>
        <w:t xml:space="preserve">us </w:t>
      </w:r>
      <w:r w:rsidR="0089298C" w:rsidRPr="002F50BD">
        <w:rPr>
          <w:rFonts w:ascii="Verdana" w:hAnsi="Verdana"/>
          <w:sz w:val="20"/>
          <w:lang w:val="pt-BR"/>
        </w:rPr>
        <w:t>funcionári</w:t>
      </w:r>
      <w:r w:rsidR="004756C1" w:rsidRPr="002F50BD">
        <w:rPr>
          <w:rFonts w:ascii="Verdana" w:hAnsi="Verdana"/>
          <w:sz w:val="20"/>
          <w:lang w:val="pt-BR"/>
        </w:rPr>
        <w:t>os para participar</w:t>
      </w:r>
      <w:r w:rsidR="0089298C" w:rsidRPr="002F50BD">
        <w:rPr>
          <w:rFonts w:ascii="Verdana" w:hAnsi="Verdana"/>
          <w:sz w:val="20"/>
          <w:lang w:val="pt-BR"/>
        </w:rPr>
        <w:t xml:space="preserve"> </w:t>
      </w:r>
      <w:r w:rsidR="00F8225E">
        <w:rPr>
          <w:rFonts w:ascii="Verdana" w:hAnsi="Verdana"/>
          <w:sz w:val="20"/>
          <w:lang w:val="pt-BR"/>
        </w:rPr>
        <w:t>da</w:t>
      </w:r>
      <w:r w:rsidR="0089298C" w:rsidRPr="002F50BD">
        <w:rPr>
          <w:rFonts w:ascii="Verdana" w:hAnsi="Verdana"/>
          <w:sz w:val="20"/>
          <w:lang w:val="pt-BR"/>
        </w:rPr>
        <w:t xml:space="preserve"> inspeção</w:t>
      </w:r>
      <w:r w:rsidR="004756C1" w:rsidRPr="002F50BD">
        <w:rPr>
          <w:rFonts w:ascii="Verdana" w:hAnsi="Verdana"/>
          <w:sz w:val="20"/>
          <w:lang w:val="pt-BR"/>
        </w:rPr>
        <w:t xml:space="preserve"> ocular</w:t>
      </w:r>
      <w:r w:rsidR="000920B2" w:rsidRPr="002F50BD">
        <w:rPr>
          <w:rFonts w:ascii="Verdana" w:hAnsi="Verdana"/>
          <w:sz w:val="20"/>
          <w:lang w:val="pt-BR"/>
        </w:rPr>
        <w:t>.</w:t>
      </w:r>
      <w:r w:rsidR="004756C1" w:rsidRPr="002F50BD">
        <w:rPr>
          <w:rStyle w:val="FootnoteReference"/>
          <w:rFonts w:ascii="Verdana" w:hAnsi="Verdana"/>
        </w:rPr>
        <w:footnoteReference w:id="58"/>
      </w:r>
    </w:p>
    <w:p w:rsidR="004756C1" w:rsidRPr="002F50BD" w:rsidRDefault="004756C1">
      <w:pPr>
        <w:ind w:left="720"/>
        <w:jc w:val="both"/>
        <w:rPr>
          <w:rFonts w:ascii="Verdana" w:hAnsi="Verdana"/>
          <w:sz w:val="20"/>
          <w:lang w:val="pt-BR"/>
        </w:rPr>
      </w:pPr>
    </w:p>
    <w:p w:rsidR="004756C1" w:rsidRPr="002F50BD" w:rsidRDefault="00063B47">
      <w:pPr>
        <w:pStyle w:val="Heading1"/>
        <w:jc w:val="both"/>
        <w:rPr>
          <w:sz w:val="20"/>
          <w:lang w:val="pt-BR"/>
        </w:rPr>
      </w:pPr>
      <w:r w:rsidRPr="002F50BD">
        <w:rPr>
          <w:sz w:val="20"/>
          <w:lang w:val="pt-BR"/>
        </w:rPr>
        <w:t>50</w:t>
      </w:r>
      <w:r w:rsidR="004756C1" w:rsidRPr="002F50BD">
        <w:rPr>
          <w:sz w:val="20"/>
          <w:lang w:val="pt-BR"/>
        </w:rPr>
        <w:t>.</w:t>
      </w:r>
      <w:r w:rsidRPr="002F50BD">
        <w:rPr>
          <w:sz w:val="20"/>
          <w:lang w:val="pt-BR"/>
        </w:rPr>
        <w:t>30</w:t>
      </w:r>
      <w:r w:rsidR="004756C1" w:rsidRPr="002F50BD">
        <w:rPr>
          <w:sz w:val="20"/>
          <w:lang w:val="pt-BR"/>
        </w:rPr>
        <w:t>.</w:t>
      </w:r>
      <w:r w:rsidR="004756C1" w:rsidRPr="002F50BD">
        <w:rPr>
          <w:sz w:val="20"/>
          <w:lang w:val="pt-BR"/>
        </w:rPr>
        <w:tab/>
      </w:r>
      <w:r w:rsidR="00FB33DD" w:rsidRPr="002F50BD">
        <w:rPr>
          <w:sz w:val="20"/>
          <w:lang w:val="pt-BR"/>
        </w:rPr>
        <w:t xml:space="preserve">Em </w:t>
      </w:r>
      <w:r w:rsidRPr="002F50BD">
        <w:rPr>
          <w:sz w:val="20"/>
          <w:lang w:val="pt-BR"/>
        </w:rPr>
        <w:t>27</w:t>
      </w:r>
      <w:r w:rsidR="004756C1" w:rsidRPr="002F50BD">
        <w:rPr>
          <w:sz w:val="20"/>
          <w:lang w:val="pt-BR"/>
        </w:rPr>
        <w:t xml:space="preserve"> de</w:t>
      </w:r>
      <w:r w:rsidR="0089298C" w:rsidRPr="002F50BD">
        <w:rPr>
          <w:sz w:val="20"/>
          <w:lang w:val="pt-BR"/>
        </w:rPr>
        <w:t xml:space="preserve"> maio </w:t>
      </w:r>
      <w:r w:rsidR="004756C1" w:rsidRPr="002F50BD">
        <w:rPr>
          <w:sz w:val="20"/>
          <w:lang w:val="pt-BR"/>
        </w:rPr>
        <w:t xml:space="preserve">de </w:t>
      </w:r>
      <w:r w:rsidRPr="002F50BD">
        <w:rPr>
          <w:sz w:val="20"/>
          <w:lang w:val="pt-BR"/>
        </w:rPr>
        <w:t>1996</w:t>
      </w:r>
      <w:r w:rsidR="00EC5F20" w:rsidRPr="002F50BD">
        <w:rPr>
          <w:sz w:val="20"/>
          <w:lang w:val="pt-BR"/>
        </w:rPr>
        <w:t>,</w:t>
      </w:r>
      <w:r w:rsidR="0089298C" w:rsidRPr="002F50BD">
        <w:rPr>
          <w:sz w:val="20"/>
          <w:lang w:val="pt-BR"/>
        </w:rPr>
        <w:t xml:space="preserve"> o </w:t>
      </w:r>
      <w:r w:rsidR="004756C1" w:rsidRPr="002F50BD">
        <w:rPr>
          <w:sz w:val="20"/>
          <w:lang w:val="pt-BR"/>
        </w:rPr>
        <w:t xml:space="preserve">Presidente </w:t>
      </w:r>
      <w:r w:rsidR="0089298C" w:rsidRPr="002F50BD">
        <w:rPr>
          <w:sz w:val="20"/>
          <w:lang w:val="pt-BR"/>
        </w:rPr>
        <w:t xml:space="preserve">do </w:t>
      </w:r>
      <w:r w:rsidR="004756C1" w:rsidRPr="002F50BD">
        <w:rPr>
          <w:sz w:val="20"/>
          <w:lang w:val="pt-BR"/>
        </w:rPr>
        <w:t xml:space="preserve">IBR </w:t>
      </w:r>
      <w:r w:rsidR="0089298C" w:rsidRPr="002F50BD">
        <w:rPr>
          <w:sz w:val="20"/>
          <w:lang w:val="pt-BR"/>
        </w:rPr>
        <w:t xml:space="preserve">notificou </w:t>
      </w:r>
      <w:r w:rsidR="000920B2" w:rsidRPr="002F50BD">
        <w:rPr>
          <w:sz w:val="20"/>
          <w:lang w:val="pt-BR"/>
        </w:rPr>
        <w:t>a</w:t>
      </w:r>
      <w:r w:rsidR="0089298C" w:rsidRPr="002F50BD">
        <w:rPr>
          <w:sz w:val="20"/>
          <w:lang w:val="pt-BR"/>
        </w:rPr>
        <w:t>s pessoa</w:t>
      </w:r>
      <w:r w:rsidR="004756C1" w:rsidRPr="002F50BD">
        <w:rPr>
          <w:sz w:val="20"/>
          <w:lang w:val="pt-BR"/>
        </w:rPr>
        <w:t>s identificadas</w:t>
      </w:r>
      <w:r w:rsidR="0089298C" w:rsidRPr="002F50BD">
        <w:rPr>
          <w:sz w:val="20"/>
          <w:lang w:val="pt-BR"/>
        </w:rPr>
        <w:t xml:space="preserve"> </w:t>
      </w:r>
      <w:r w:rsidR="00367FD1" w:rsidRPr="002F50BD">
        <w:rPr>
          <w:sz w:val="20"/>
          <w:lang w:val="pt-BR"/>
        </w:rPr>
        <w:t>pelos</w:t>
      </w:r>
      <w:r w:rsidR="00AB6727" w:rsidRPr="002F50BD">
        <w:rPr>
          <w:sz w:val="20"/>
          <w:lang w:val="pt-BR"/>
        </w:rPr>
        <w:t xml:space="preserve"> </w:t>
      </w:r>
      <w:r w:rsidR="004756C1" w:rsidRPr="002F50BD">
        <w:rPr>
          <w:sz w:val="20"/>
          <w:lang w:val="pt-BR"/>
        </w:rPr>
        <w:t>líderes</w:t>
      </w:r>
      <w:r w:rsidR="0089298C" w:rsidRPr="002F50BD">
        <w:rPr>
          <w:sz w:val="20"/>
          <w:lang w:val="pt-BR"/>
        </w:rPr>
        <w:t xml:space="preserve"> da Comunidade </w:t>
      </w:r>
      <w:r w:rsidR="004756C1" w:rsidRPr="002F50BD">
        <w:rPr>
          <w:sz w:val="20"/>
          <w:lang w:val="pt-BR"/>
        </w:rPr>
        <w:t xml:space="preserve">Yakye Axa como </w:t>
      </w:r>
      <w:r w:rsidR="007801FA" w:rsidRPr="002F50BD">
        <w:rPr>
          <w:sz w:val="20"/>
          <w:lang w:val="pt-BR"/>
        </w:rPr>
        <w:t>proprietário</w:t>
      </w:r>
      <w:r w:rsidR="004756C1" w:rsidRPr="002F50BD">
        <w:rPr>
          <w:sz w:val="20"/>
          <w:lang w:val="pt-BR"/>
        </w:rPr>
        <w:t>s</w:t>
      </w:r>
      <w:r w:rsidR="0089298C" w:rsidRPr="002F50BD">
        <w:rPr>
          <w:sz w:val="20"/>
          <w:lang w:val="pt-BR"/>
        </w:rPr>
        <w:t xml:space="preserve"> das </w:t>
      </w:r>
      <w:r w:rsidR="00060B3A" w:rsidRPr="002F50BD">
        <w:rPr>
          <w:sz w:val="20"/>
          <w:lang w:val="pt-BR"/>
        </w:rPr>
        <w:t xml:space="preserve">Fazendas </w:t>
      </w:r>
      <w:r w:rsidR="004756C1" w:rsidRPr="002F50BD">
        <w:rPr>
          <w:sz w:val="20"/>
          <w:lang w:val="pt-BR"/>
        </w:rPr>
        <w:t>Loma Verde</w:t>
      </w:r>
      <w:r w:rsidR="0089298C" w:rsidRPr="002F50BD">
        <w:rPr>
          <w:sz w:val="20"/>
          <w:lang w:val="pt-BR"/>
        </w:rPr>
        <w:t xml:space="preserve"> e </w:t>
      </w:r>
      <w:r w:rsidR="004756C1" w:rsidRPr="002F50BD">
        <w:rPr>
          <w:sz w:val="20"/>
          <w:lang w:val="pt-BR"/>
        </w:rPr>
        <w:t>Maroma sobre</w:t>
      </w:r>
      <w:r w:rsidR="0089298C" w:rsidRPr="002F50BD">
        <w:rPr>
          <w:sz w:val="20"/>
          <w:lang w:val="pt-BR"/>
        </w:rPr>
        <w:t xml:space="preserve"> </w:t>
      </w:r>
      <w:r w:rsidR="00EC5F20" w:rsidRPr="002F50BD">
        <w:rPr>
          <w:sz w:val="20"/>
          <w:lang w:val="pt-BR"/>
        </w:rPr>
        <w:t>o pedido</w:t>
      </w:r>
      <w:r w:rsidR="0089298C" w:rsidRPr="002F50BD">
        <w:rPr>
          <w:sz w:val="20"/>
          <w:lang w:val="pt-BR"/>
        </w:rPr>
        <w:t xml:space="preserve"> </w:t>
      </w:r>
      <w:r w:rsidR="004756C1" w:rsidRPr="002F50BD">
        <w:rPr>
          <w:sz w:val="20"/>
          <w:lang w:val="pt-BR"/>
        </w:rPr>
        <w:t>de reivindica</w:t>
      </w:r>
      <w:r w:rsidR="0089298C" w:rsidRPr="002F50BD">
        <w:rPr>
          <w:sz w:val="20"/>
          <w:lang w:val="pt-BR"/>
        </w:rPr>
        <w:t>ção das terra</w:t>
      </w:r>
      <w:r w:rsidR="004756C1" w:rsidRPr="002F50BD">
        <w:rPr>
          <w:sz w:val="20"/>
          <w:lang w:val="pt-BR"/>
        </w:rPr>
        <w:t xml:space="preserve">s que </w:t>
      </w:r>
      <w:r w:rsidR="000920B2" w:rsidRPr="002F50BD">
        <w:rPr>
          <w:sz w:val="20"/>
          <w:lang w:val="pt-BR"/>
        </w:rPr>
        <w:t xml:space="preserve">incluem </w:t>
      </w:r>
      <w:r w:rsidR="0089298C" w:rsidRPr="002F50BD">
        <w:rPr>
          <w:sz w:val="20"/>
          <w:lang w:val="pt-BR"/>
        </w:rPr>
        <w:t>esta</w:t>
      </w:r>
      <w:r w:rsidR="004756C1" w:rsidRPr="002F50BD">
        <w:rPr>
          <w:sz w:val="20"/>
          <w:lang w:val="pt-BR"/>
        </w:rPr>
        <w:t xml:space="preserve">s </w:t>
      </w:r>
      <w:r w:rsidR="00EC5F20" w:rsidRPr="002F50BD">
        <w:rPr>
          <w:sz w:val="20"/>
          <w:lang w:val="pt-BR"/>
        </w:rPr>
        <w:t>fazendas</w:t>
      </w:r>
      <w:r w:rsidR="004756C1" w:rsidRPr="002F50BD">
        <w:rPr>
          <w:sz w:val="20"/>
          <w:lang w:val="pt-BR"/>
        </w:rPr>
        <w:t>, tramita</w:t>
      </w:r>
      <w:r w:rsidR="00EC5F20" w:rsidRPr="002F50BD">
        <w:rPr>
          <w:sz w:val="20"/>
          <w:lang w:val="pt-BR"/>
        </w:rPr>
        <w:t>do</w:t>
      </w:r>
      <w:r w:rsidR="0089298C" w:rsidRPr="002F50BD">
        <w:rPr>
          <w:sz w:val="20"/>
          <w:lang w:val="pt-BR"/>
        </w:rPr>
        <w:t xml:space="preserve"> no </w:t>
      </w:r>
      <w:r w:rsidR="004756C1" w:rsidRPr="002F50BD">
        <w:rPr>
          <w:sz w:val="20"/>
          <w:lang w:val="pt-BR"/>
        </w:rPr>
        <w:t>expediente administrativo</w:t>
      </w:r>
      <w:r w:rsidR="00FC6B22" w:rsidRPr="002F50BD">
        <w:rPr>
          <w:sz w:val="20"/>
          <w:lang w:val="pt-BR"/>
        </w:rPr>
        <w:t xml:space="preserve"> </w:t>
      </w:r>
      <w:r w:rsidRPr="002F50BD">
        <w:rPr>
          <w:sz w:val="20"/>
          <w:lang w:val="pt-BR"/>
        </w:rPr>
        <w:t>nº</w:t>
      </w:r>
      <w:r w:rsidR="00FC6B22" w:rsidRPr="002F50BD">
        <w:rPr>
          <w:sz w:val="20"/>
          <w:lang w:val="pt-BR"/>
        </w:rPr>
        <w:t xml:space="preserve"> </w:t>
      </w:r>
      <w:r w:rsidRPr="002F50BD">
        <w:rPr>
          <w:sz w:val="20"/>
          <w:lang w:val="pt-BR"/>
        </w:rPr>
        <w:t>7261</w:t>
      </w:r>
      <w:r w:rsidR="004756C1" w:rsidRPr="002F50BD">
        <w:rPr>
          <w:sz w:val="20"/>
          <w:lang w:val="pt-BR"/>
        </w:rPr>
        <w:t>/</w:t>
      </w:r>
      <w:r w:rsidRPr="002F50BD">
        <w:rPr>
          <w:sz w:val="20"/>
          <w:lang w:val="pt-BR"/>
        </w:rPr>
        <w:t>93</w:t>
      </w:r>
      <w:r w:rsidR="000920B2" w:rsidRPr="002F50BD">
        <w:rPr>
          <w:sz w:val="20"/>
          <w:lang w:val="pt-BR"/>
        </w:rPr>
        <w:t>.</w:t>
      </w:r>
      <w:r w:rsidR="004756C1" w:rsidRPr="002F50BD">
        <w:rPr>
          <w:rStyle w:val="FootnoteReference"/>
        </w:rPr>
        <w:footnoteReference w:id="59"/>
      </w:r>
      <w:r w:rsidR="00AB454A" w:rsidRPr="002F50BD">
        <w:rPr>
          <w:sz w:val="20"/>
          <w:lang w:val="pt-BR"/>
        </w:rPr>
        <w:t xml:space="preserve"> </w:t>
      </w:r>
      <w:r w:rsidR="000920B2" w:rsidRPr="002F50BD">
        <w:rPr>
          <w:sz w:val="20"/>
          <w:lang w:val="pt-BR"/>
        </w:rPr>
        <w:t xml:space="preserve">Em </w:t>
      </w:r>
      <w:r w:rsidRPr="002F50BD">
        <w:rPr>
          <w:sz w:val="20"/>
          <w:lang w:val="pt-BR"/>
        </w:rPr>
        <w:t>13</w:t>
      </w:r>
      <w:r w:rsidR="004756C1" w:rsidRPr="002F50BD">
        <w:rPr>
          <w:sz w:val="20"/>
          <w:lang w:val="pt-BR"/>
        </w:rPr>
        <w:t xml:space="preserve"> de </w:t>
      </w:r>
      <w:r w:rsidR="0089298C" w:rsidRPr="002F50BD">
        <w:rPr>
          <w:sz w:val="20"/>
          <w:lang w:val="pt-BR"/>
        </w:rPr>
        <w:t>junho</w:t>
      </w:r>
      <w:r w:rsidR="004756C1" w:rsidRPr="002F50BD">
        <w:rPr>
          <w:sz w:val="20"/>
          <w:lang w:val="pt-BR"/>
        </w:rPr>
        <w:t xml:space="preserve"> </w:t>
      </w:r>
      <w:r w:rsidR="0089298C" w:rsidRPr="002F50BD">
        <w:rPr>
          <w:sz w:val="20"/>
          <w:lang w:val="pt-BR"/>
        </w:rPr>
        <w:t>do mesm</w:t>
      </w:r>
      <w:r w:rsidR="004756C1" w:rsidRPr="002F50BD">
        <w:rPr>
          <w:sz w:val="20"/>
          <w:lang w:val="pt-BR"/>
        </w:rPr>
        <w:t>o</w:t>
      </w:r>
      <w:r w:rsidR="0089298C" w:rsidRPr="002F50BD">
        <w:rPr>
          <w:sz w:val="20"/>
          <w:lang w:val="pt-BR"/>
        </w:rPr>
        <w:t xml:space="preserve"> ano</w:t>
      </w:r>
      <w:r w:rsidR="005D4A0C" w:rsidRPr="002F50BD">
        <w:rPr>
          <w:sz w:val="20"/>
          <w:lang w:val="pt-BR"/>
        </w:rPr>
        <w:t>,</w:t>
      </w:r>
      <w:r w:rsidR="0089298C" w:rsidRPr="002F50BD">
        <w:rPr>
          <w:sz w:val="20"/>
          <w:lang w:val="pt-BR"/>
        </w:rPr>
        <w:t xml:space="preserve"> a </w:t>
      </w:r>
      <w:r w:rsidR="004756C1" w:rsidRPr="002F50BD">
        <w:rPr>
          <w:sz w:val="20"/>
          <w:lang w:val="pt-BR"/>
        </w:rPr>
        <w:t>arrendat</w:t>
      </w:r>
      <w:r w:rsidR="000920B2" w:rsidRPr="002F50BD">
        <w:rPr>
          <w:sz w:val="20"/>
          <w:lang w:val="pt-BR"/>
        </w:rPr>
        <w:t>á</w:t>
      </w:r>
      <w:r w:rsidR="004756C1" w:rsidRPr="002F50BD">
        <w:rPr>
          <w:sz w:val="20"/>
          <w:lang w:val="pt-BR"/>
        </w:rPr>
        <w:t>ria</w:t>
      </w:r>
      <w:r w:rsidR="0089298C" w:rsidRPr="002F50BD">
        <w:rPr>
          <w:sz w:val="20"/>
          <w:lang w:val="pt-BR"/>
        </w:rPr>
        <w:t xml:space="preserve"> das </w:t>
      </w:r>
      <w:r w:rsidR="00EC5F20" w:rsidRPr="002F50BD">
        <w:rPr>
          <w:sz w:val="20"/>
          <w:lang w:val="pt-BR"/>
        </w:rPr>
        <w:t>fazendas</w:t>
      </w:r>
      <w:r w:rsidR="00F8225E" w:rsidRPr="00F8225E">
        <w:rPr>
          <w:sz w:val="20"/>
          <w:lang w:val="pt-BR"/>
        </w:rPr>
        <w:t xml:space="preserve"> </w:t>
      </w:r>
      <w:r w:rsidR="00F8225E" w:rsidRPr="002F50BD">
        <w:rPr>
          <w:sz w:val="20"/>
          <w:lang w:val="pt-BR"/>
        </w:rPr>
        <w:t>mencionadas</w:t>
      </w:r>
      <w:r w:rsidR="004756C1" w:rsidRPr="002F50BD">
        <w:rPr>
          <w:sz w:val="20"/>
          <w:lang w:val="pt-BR"/>
        </w:rPr>
        <w:t>,</w:t>
      </w:r>
      <w:r w:rsidR="0089298C" w:rsidRPr="002F50BD">
        <w:rPr>
          <w:sz w:val="20"/>
          <w:lang w:val="pt-BR"/>
        </w:rPr>
        <w:t xml:space="preserve"> a </w:t>
      </w:r>
      <w:r w:rsidR="004756C1" w:rsidRPr="002F50BD">
        <w:rPr>
          <w:sz w:val="20"/>
          <w:lang w:val="pt-BR"/>
        </w:rPr>
        <w:t>compa</w:t>
      </w:r>
      <w:r w:rsidR="000920B2" w:rsidRPr="002F50BD">
        <w:rPr>
          <w:sz w:val="20"/>
          <w:lang w:val="pt-BR"/>
        </w:rPr>
        <w:t xml:space="preserve">nhia </w:t>
      </w:r>
      <w:r w:rsidR="004756C1" w:rsidRPr="002F50BD">
        <w:rPr>
          <w:sz w:val="20"/>
          <w:lang w:val="pt-BR"/>
        </w:rPr>
        <w:t xml:space="preserve">Torocay S.A., </w:t>
      </w:r>
      <w:r w:rsidR="004076AD" w:rsidRPr="002F50BD">
        <w:rPr>
          <w:sz w:val="20"/>
          <w:lang w:val="pt-BR"/>
        </w:rPr>
        <w:t>constituiu</w:t>
      </w:r>
      <w:r w:rsidR="004756C1" w:rsidRPr="002F50BD">
        <w:rPr>
          <w:sz w:val="20"/>
          <w:lang w:val="pt-BR"/>
        </w:rPr>
        <w:t xml:space="preserve"> </w:t>
      </w:r>
      <w:r w:rsidR="0089298C" w:rsidRPr="002F50BD">
        <w:rPr>
          <w:sz w:val="20"/>
          <w:lang w:val="pt-BR"/>
        </w:rPr>
        <w:t>domicílio</w:t>
      </w:r>
      <w:r w:rsidR="004756C1" w:rsidRPr="002F50BD">
        <w:rPr>
          <w:sz w:val="20"/>
          <w:lang w:val="pt-BR"/>
        </w:rPr>
        <w:t xml:space="preserve"> para</w:t>
      </w:r>
      <w:r w:rsidR="0089298C" w:rsidRPr="002F50BD">
        <w:rPr>
          <w:sz w:val="20"/>
          <w:lang w:val="pt-BR"/>
        </w:rPr>
        <w:t xml:space="preserve"> as </w:t>
      </w:r>
      <w:r w:rsidR="004756C1" w:rsidRPr="002F50BD">
        <w:rPr>
          <w:sz w:val="20"/>
          <w:lang w:val="pt-BR"/>
        </w:rPr>
        <w:t>notifica</w:t>
      </w:r>
      <w:r w:rsidR="0089298C" w:rsidRPr="002F50BD">
        <w:rPr>
          <w:sz w:val="20"/>
          <w:lang w:val="pt-BR"/>
        </w:rPr>
        <w:t>ções</w:t>
      </w:r>
      <w:r w:rsidR="004756C1" w:rsidRPr="002F50BD">
        <w:rPr>
          <w:sz w:val="20"/>
          <w:lang w:val="pt-BR"/>
        </w:rPr>
        <w:t xml:space="preserve"> e </w:t>
      </w:r>
      <w:r w:rsidR="0089298C" w:rsidRPr="002F50BD">
        <w:rPr>
          <w:sz w:val="20"/>
          <w:lang w:val="pt-BR"/>
        </w:rPr>
        <w:t>assinalou</w:t>
      </w:r>
      <w:r w:rsidR="004756C1" w:rsidRPr="002F50BD">
        <w:rPr>
          <w:sz w:val="20"/>
          <w:lang w:val="pt-BR"/>
        </w:rPr>
        <w:t xml:space="preserve"> que</w:t>
      </w:r>
      <w:r w:rsidR="0089298C" w:rsidRPr="002F50BD">
        <w:rPr>
          <w:sz w:val="20"/>
          <w:lang w:val="pt-BR"/>
        </w:rPr>
        <w:t xml:space="preserve"> a propriedade</w:t>
      </w:r>
      <w:r w:rsidR="004756C1" w:rsidRPr="002F50BD">
        <w:rPr>
          <w:sz w:val="20"/>
          <w:lang w:val="pt-BR"/>
        </w:rPr>
        <w:t xml:space="preserve"> </w:t>
      </w:r>
      <w:r w:rsidR="0089298C" w:rsidRPr="002F50BD">
        <w:rPr>
          <w:sz w:val="20"/>
          <w:lang w:val="pt-BR"/>
        </w:rPr>
        <w:t>deste</w:t>
      </w:r>
      <w:r w:rsidR="004756C1" w:rsidRPr="002F50BD">
        <w:rPr>
          <w:sz w:val="20"/>
          <w:lang w:val="pt-BR"/>
        </w:rPr>
        <w:t xml:space="preserve">s </w:t>
      </w:r>
      <w:r w:rsidR="0089298C" w:rsidRPr="002F50BD">
        <w:rPr>
          <w:sz w:val="20"/>
          <w:lang w:val="pt-BR"/>
        </w:rPr>
        <w:t>imóve</w:t>
      </w:r>
      <w:r w:rsidR="000920B2" w:rsidRPr="002F50BD">
        <w:rPr>
          <w:sz w:val="20"/>
          <w:lang w:val="pt-BR"/>
        </w:rPr>
        <w:t>i</w:t>
      </w:r>
      <w:r w:rsidR="004756C1" w:rsidRPr="002F50BD">
        <w:rPr>
          <w:sz w:val="20"/>
          <w:lang w:val="pt-BR"/>
        </w:rPr>
        <w:t>s corresponde</w:t>
      </w:r>
      <w:r w:rsidR="0089298C" w:rsidRPr="002F50BD">
        <w:rPr>
          <w:sz w:val="20"/>
          <w:lang w:val="pt-BR"/>
        </w:rPr>
        <w:t xml:space="preserve"> às </w:t>
      </w:r>
      <w:r w:rsidR="004756C1" w:rsidRPr="002F50BD">
        <w:rPr>
          <w:sz w:val="20"/>
          <w:lang w:val="pt-BR"/>
        </w:rPr>
        <w:t>firmas ”Florida Agricultural Corporation”, “Livestock Capital Group INC.”</w:t>
      </w:r>
      <w:r w:rsidR="0089298C" w:rsidRPr="002F50BD">
        <w:rPr>
          <w:sz w:val="20"/>
          <w:lang w:val="pt-BR"/>
        </w:rPr>
        <w:t xml:space="preserve"> e </w:t>
      </w:r>
      <w:r w:rsidR="004756C1" w:rsidRPr="002F50BD">
        <w:rPr>
          <w:sz w:val="20"/>
          <w:lang w:val="pt-BR"/>
        </w:rPr>
        <w:t>“Agricultural Development INC”</w:t>
      </w:r>
      <w:r w:rsidR="000920B2" w:rsidRPr="002F50BD">
        <w:rPr>
          <w:sz w:val="20"/>
          <w:lang w:val="pt-BR"/>
        </w:rPr>
        <w:t>.</w:t>
      </w:r>
      <w:r w:rsidR="004756C1" w:rsidRPr="002F50BD">
        <w:rPr>
          <w:rStyle w:val="FootnoteReference"/>
        </w:rPr>
        <w:footnoteReference w:id="60"/>
      </w:r>
      <w:r w:rsidR="004756C1" w:rsidRPr="002F50BD">
        <w:rPr>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25</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1996</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89298C" w:rsidRPr="002F50BD">
        <w:rPr>
          <w:rFonts w:ascii="Verdana" w:hAnsi="Verdana"/>
          <w:sz w:val="20"/>
          <w:lang w:val="pt-BR"/>
        </w:rPr>
        <w:t>ordenou</w:t>
      </w:r>
      <w:r w:rsidR="004756C1" w:rsidRPr="002F50BD">
        <w:rPr>
          <w:rFonts w:ascii="Verdana" w:hAnsi="Verdana"/>
          <w:sz w:val="20"/>
          <w:lang w:val="pt-BR"/>
        </w:rPr>
        <w:t xml:space="preserve"> </w:t>
      </w:r>
      <w:r w:rsidR="000920B2" w:rsidRPr="002F50BD">
        <w:rPr>
          <w:rFonts w:ascii="Verdana" w:hAnsi="Verdana"/>
          <w:sz w:val="20"/>
          <w:lang w:val="pt-BR"/>
        </w:rPr>
        <w:t xml:space="preserve">a </w:t>
      </w:r>
      <w:r w:rsidR="004756C1" w:rsidRPr="002F50BD">
        <w:rPr>
          <w:rFonts w:ascii="Verdana" w:hAnsi="Verdana"/>
          <w:sz w:val="20"/>
          <w:lang w:val="pt-BR"/>
        </w:rPr>
        <w:t>realiza</w:t>
      </w:r>
      <w:r w:rsidR="000920B2" w:rsidRPr="002F50BD">
        <w:rPr>
          <w:rFonts w:ascii="Verdana" w:hAnsi="Verdana"/>
          <w:sz w:val="20"/>
          <w:lang w:val="pt-BR"/>
        </w:rPr>
        <w:t>ção de</w:t>
      </w:r>
      <w:r w:rsidR="0089298C" w:rsidRPr="002F50BD">
        <w:rPr>
          <w:rFonts w:ascii="Verdana" w:hAnsi="Verdana"/>
          <w:sz w:val="20"/>
          <w:lang w:val="pt-BR"/>
        </w:rPr>
        <w:t xml:space="preserve"> uma inspeção</w:t>
      </w:r>
      <w:r w:rsidR="004756C1" w:rsidRPr="002F50BD">
        <w:rPr>
          <w:rFonts w:ascii="Verdana" w:hAnsi="Verdana"/>
          <w:sz w:val="20"/>
          <w:lang w:val="pt-BR"/>
        </w:rPr>
        <w:t xml:space="preserve"> ocular</w:t>
      </w:r>
      <w:r w:rsidR="00EC5F20" w:rsidRPr="002F50BD">
        <w:rPr>
          <w:rFonts w:ascii="Verdana" w:hAnsi="Verdana"/>
          <w:sz w:val="20"/>
          <w:lang w:val="pt-BR"/>
        </w:rPr>
        <w:t xml:space="preserve"> n</w:t>
      </w:r>
      <w:r w:rsidR="0089298C" w:rsidRPr="002F50BD">
        <w:rPr>
          <w:rFonts w:ascii="Verdana" w:hAnsi="Verdana"/>
          <w:sz w:val="20"/>
          <w:lang w:val="pt-BR"/>
        </w:rPr>
        <w:t xml:space="preserve">os </w:t>
      </w:r>
      <w:r w:rsidR="000920B2" w:rsidRPr="002F50BD">
        <w:rPr>
          <w:rFonts w:ascii="Verdana" w:hAnsi="Verdana"/>
          <w:sz w:val="20"/>
          <w:lang w:val="pt-BR"/>
        </w:rPr>
        <w:t>imóveis</w:t>
      </w:r>
      <w:r w:rsidR="004756C1" w:rsidRPr="002F50BD">
        <w:rPr>
          <w:rFonts w:ascii="Verdana" w:hAnsi="Verdana"/>
          <w:sz w:val="20"/>
          <w:lang w:val="pt-BR"/>
        </w:rPr>
        <w:t xml:space="preserve"> reivindicados</w:t>
      </w:r>
      <w:r w:rsidR="0089298C" w:rsidRPr="002F50BD">
        <w:rPr>
          <w:rFonts w:ascii="Verdana" w:hAnsi="Verdana"/>
          <w:sz w:val="20"/>
          <w:lang w:val="pt-BR"/>
        </w:rPr>
        <w:t xml:space="preserve"> pela Comunidade </w:t>
      </w:r>
      <w:r w:rsidR="004756C1" w:rsidRPr="002F50BD">
        <w:rPr>
          <w:rFonts w:ascii="Verdana" w:hAnsi="Verdana"/>
          <w:sz w:val="20"/>
          <w:lang w:val="pt-BR"/>
        </w:rPr>
        <w:t>indígena,</w:t>
      </w:r>
      <w:r w:rsidR="0089298C" w:rsidRPr="002F50BD">
        <w:rPr>
          <w:rFonts w:ascii="Verdana" w:hAnsi="Verdana"/>
          <w:sz w:val="20"/>
          <w:lang w:val="pt-BR"/>
        </w:rPr>
        <w:t xml:space="preserve"> um relatório </w:t>
      </w:r>
      <w:r w:rsidR="004756C1" w:rsidRPr="002F50BD">
        <w:rPr>
          <w:rFonts w:ascii="Verdana" w:hAnsi="Verdana"/>
          <w:sz w:val="20"/>
          <w:lang w:val="pt-BR"/>
        </w:rPr>
        <w:t>sobre</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 xml:space="preserve">ções dos </w:t>
      </w:r>
      <w:r w:rsidR="000920B2" w:rsidRPr="002F50BD">
        <w:rPr>
          <w:rFonts w:ascii="Verdana" w:hAnsi="Verdana"/>
          <w:sz w:val="20"/>
          <w:lang w:val="pt-BR"/>
        </w:rPr>
        <w:t>imóveis</w:t>
      </w:r>
      <w:r w:rsidR="0089298C" w:rsidRPr="002F50BD">
        <w:rPr>
          <w:rFonts w:ascii="Verdana" w:hAnsi="Verdana"/>
          <w:sz w:val="20"/>
          <w:lang w:val="pt-BR"/>
        </w:rPr>
        <w:t xml:space="preserve"> e um </w:t>
      </w:r>
      <w:r w:rsidR="004756C1" w:rsidRPr="002F50BD">
        <w:rPr>
          <w:rFonts w:ascii="Verdana" w:hAnsi="Verdana"/>
          <w:sz w:val="20"/>
          <w:lang w:val="pt-BR"/>
        </w:rPr>
        <w:t>censo</w:t>
      </w:r>
      <w:r w:rsidR="0089298C" w:rsidRPr="002F50BD">
        <w:rPr>
          <w:rFonts w:ascii="Verdana" w:hAnsi="Verdana"/>
          <w:sz w:val="20"/>
          <w:lang w:val="pt-BR"/>
        </w:rPr>
        <w:t xml:space="preserve"> dos </w:t>
      </w:r>
      <w:r w:rsidR="004756C1" w:rsidRPr="002F50BD">
        <w:rPr>
          <w:rFonts w:ascii="Verdana" w:hAnsi="Verdana"/>
          <w:sz w:val="20"/>
          <w:lang w:val="pt-BR"/>
        </w:rPr>
        <w:t xml:space="preserve">ocupantes. </w:t>
      </w:r>
      <w:r w:rsidR="000920B2" w:rsidRPr="002F50BD">
        <w:rPr>
          <w:rFonts w:ascii="Verdana" w:hAnsi="Verdana"/>
          <w:sz w:val="20"/>
          <w:lang w:val="pt-BR"/>
        </w:rPr>
        <w:t>Para tanto</w:t>
      </w:r>
      <w:r w:rsidR="004756C1" w:rsidRPr="002F50BD">
        <w:rPr>
          <w:rFonts w:ascii="Verdana" w:hAnsi="Verdana"/>
          <w:sz w:val="20"/>
          <w:lang w:val="pt-BR"/>
        </w:rPr>
        <w:t xml:space="preserve">, </w:t>
      </w:r>
      <w:r w:rsidR="0089298C" w:rsidRPr="002F50BD">
        <w:rPr>
          <w:rFonts w:ascii="Verdana" w:hAnsi="Verdana"/>
          <w:sz w:val="20"/>
          <w:lang w:val="pt-BR"/>
        </w:rPr>
        <w:t>designou</w:t>
      </w:r>
      <w:r w:rsidR="004756C1" w:rsidRPr="002F50BD">
        <w:rPr>
          <w:rFonts w:ascii="Verdana" w:hAnsi="Verdana"/>
          <w:sz w:val="20"/>
          <w:lang w:val="pt-BR"/>
        </w:rPr>
        <w:t xml:space="preserve"> </w:t>
      </w:r>
      <w:r w:rsidR="0089298C" w:rsidRPr="002F50BD">
        <w:rPr>
          <w:rFonts w:ascii="Verdana" w:hAnsi="Verdana"/>
          <w:sz w:val="20"/>
          <w:lang w:val="pt-BR"/>
        </w:rPr>
        <w:t xml:space="preserve">um </w:t>
      </w:r>
      <w:r w:rsidR="0089298C" w:rsidRPr="002F50BD">
        <w:rPr>
          <w:rFonts w:ascii="Verdana" w:hAnsi="Verdana"/>
          <w:sz w:val="20"/>
          <w:lang w:val="pt-BR"/>
        </w:rPr>
        <w:lastRenderedPageBreak/>
        <w:t>funcionári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89298C" w:rsidRPr="002F50BD">
        <w:rPr>
          <w:rFonts w:ascii="Verdana" w:hAnsi="Verdana"/>
          <w:sz w:val="20"/>
          <w:lang w:val="pt-BR"/>
        </w:rPr>
        <w:t xml:space="preserve">que </w:t>
      </w:r>
      <w:r w:rsidR="004076AD" w:rsidRPr="002F50BD">
        <w:rPr>
          <w:rFonts w:ascii="Verdana" w:hAnsi="Verdana"/>
          <w:sz w:val="20"/>
          <w:lang w:val="pt-BR"/>
        </w:rPr>
        <w:t xml:space="preserve">estaria </w:t>
      </w:r>
      <w:r w:rsidR="0089298C" w:rsidRPr="002F50BD">
        <w:rPr>
          <w:rFonts w:ascii="Verdana" w:hAnsi="Verdana"/>
          <w:sz w:val="20"/>
          <w:lang w:val="pt-BR"/>
        </w:rPr>
        <w:t>acompanh</w:t>
      </w:r>
      <w:r w:rsidR="004756C1" w:rsidRPr="002F50BD">
        <w:rPr>
          <w:rFonts w:ascii="Verdana" w:hAnsi="Verdana"/>
          <w:sz w:val="20"/>
          <w:lang w:val="pt-BR"/>
        </w:rPr>
        <w:t>ado por</w:t>
      </w:r>
      <w:r w:rsidR="0089298C" w:rsidRPr="002F50BD">
        <w:rPr>
          <w:rFonts w:ascii="Verdana" w:hAnsi="Verdana"/>
          <w:sz w:val="20"/>
          <w:lang w:val="pt-BR"/>
        </w:rPr>
        <w:t xml:space="preserve"> um </w:t>
      </w:r>
      <w:r w:rsidR="008C29C9" w:rsidRPr="002F50BD">
        <w:rPr>
          <w:rFonts w:ascii="Verdana" w:hAnsi="Verdana"/>
          <w:sz w:val="20"/>
          <w:lang w:val="pt-BR"/>
        </w:rPr>
        <w:t>representante</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INDI</w:t>
      </w:r>
      <w:r w:rsidR="004756C1" w:rsidRPr="002F50BD">
        <w:rPr>
          <w:rStyle w:val="FootnoteReference"/>
          <w:rFonts w:ascii="Verdana" w:hAnsi="Verdana"/>
        </w:rPr>
        <w:footnoteReference w:id="61"/>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29</w:t>
      </w:r>
      <w:r w:rsidR="000920B2" w:rsidRPr="002F50BD">
        <w:rPr>
          <w:rFonts w:ascii="Verdana" w:hAnsi="Verdana"/>
          <w:i/>
          <w:sz w:val="20"/>
          <w:lang w:val="pt-BR"/>
        </w:rPr>
        <w:t xml:space="preserve"> supra</w:t>
      </w:r>
      <w:r w:rsidR="00CF451D" w:rsidRPr="00CF451D">
        <w:rPr>
          <w:rFonts w:ascii="Verdana" w:hAnsi="Verdana"/>
          <w:sz w:val="20"/>
          <w:lang w:val="pt-BR"/>
        </w:rPr>
        <w:t>)</w:t>
      </w:r>
      <w:r w:rsidR="00D95E71" w:rsidRPr="002F50BD">
        <w:rPr>
          <w:rFonts w:ascii="Verdana" w:hAnsi="Verdana"/>
          <w:sz w:val="20"/>
          <w:lang w:val="pt-BR"/>
        </w:rPr>
        <w:t xml:space="preserve">. O </w:t>
      </w:r>
      <w:r w:rsidR="004756C1" w:rsidRPr="002F50BD">
        <w:rPr>
          <w:rFonts w:ascii="Verdana" w:hAnsi="Verdana"/>
          <w:sz w:val="20"/>
          <w:lang w:val="pt-BR"/>
        </w:rPr>
        <w:t>mencionado</w:t>
      </w:r>
      <w:r w:rsidR="0089298C" w:rsidRPr="002F50BD">
        <w:rPr>
          <w:rFonts w:ascii="Verdana" w:hAnsi="Verdana"/>
          <w:sz w:val="20"/>
          <w:lang w:val="pt-BR"/>
        </w:rPr>
        <w:t xml:space="preserve"> relatório foi apresentado </w:t>
      </w:r>
      <w:r w:rsidR="000920B2" w:rsidRPr="002F50BD">
        <w:rPr>
          <w:rFonts w:ascii="Verdana" w:hAnsi="Verdana"/>
          <w:sz w:val="20"/>
          <w:lang w:val="pt-BR"/>
        </w:rPr>
        <w:t>em</w:t>
      </w:r>
      <w:r w:rsidR="0089298C"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1996</w:t>
      </w:r>
      <w:r w:rsidR="000920B2" w:rsidRPr="002F50BD">
        <w:rPr>
          <w:rFonts w:ascii="Verdana" w:hAnsi="Verdana"/>
          <w:sz w:val="20"/>
          <w:lang w:val="pt-BR"/>
        </w:rPr>
        <w:t>.</w:t>
      </w:r>
      <w:r w:rsidR="004756C1" w:rsidRPr="002F50BD">
        <w:rPr>
          <w:rStyle w:val="FootnoteReference"/>
          <w:rFonts w:ascii="Verdana" w:hAnsi="Verdana"/>
        </w:rPr>
        <w:footnoteReference w:id="62"/>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24</w:t>
      </w:r>
      <w:r w:rsidR="004756C1" w:rsidRPr="002F50BD">
        <w:rPr>
          <w:rFonts w:ascii="Verdana" w:hAnsi="Verdana"/>
          <w:sz w:val="20"/>
          <w:lang w:val="pt-BR"/>
        </w:rPr>
        <w:t xml:space="preserve"> de abril de </w:t>
      </w:r>
      <w:r w:rsidRPr="002F50BD">
        <w:rPr>
          <w:rFonts w:ascii="Verdana" w:hAnsi="Verdana"/>
          <w:sz w:val="20"/>
          <w:lang w:val="pt-BR"/>
        </w:rPr>
        <w:t>1997</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IBR r</w:t>
      </w:r>
      <w:r w:rsidR="0089298C" w:rsidRPr="002F50BD">
        <w:rPr>
          <w:rFonts w:ascii="Verdana" w:hAnsi="Verdana"/>
          <w:sz w:val="20"/>
          <w:lang w:val="pt-BR"/>
        </w:rPr>
        <w:t>em</w:t>
      </w:r>
      <w:r w:rsidR="000920B2" w:rsidRPr="002F50BD">
        <w:rPr>
          <w:rFonts w:ascii="Verdana" w:hAnsi="Verdana"/>
          <w:sz w:val="20"/>
          <w:lang w:val="pt-BR"/>
        </w:rPr>
        <w:t>e</w:t>
      </w:r>
      <w:r w:rsidR="0089298C" w:rsidRPr="002F50BD">
        <w:rPr>
          <w:rFonts w:ascii="Verdana" w:hAnsi="Verdana"/>
          <w:sz w:val="20"/>
          <w:lang w:val="pt-BR"/>
        </w:rPr>
        <w:t>t</w:t>
      </w:r>
      <w:r w:rsidR="000920B2" w:rsidRPr="002F50BD">
        <w:rPr>
          <w:rFonts w:ascii="Verdana" w:hAnsi="Verdana"/>
          <w:sz w:val="20"/>
          <w:lang w:val="pt-BR"/>
        </w:rPr>
        <w:t>e</w:t>
      </w:r>
      <w:r w:rsidR="0089298C" w:rsidRPr="002F50BD">
        <w:rPr>
          <w:rFonts w:ascii="Verdana" w:hAnsi="Verdana"/>
          <w:sz w:val="20"/>
          <w:lang w:val="pt-BR"/>
        </w:rPr>
        <w:t xml:space="preserve">u ao </w:t>
      </w:r>
      <w:r w:rsidR="004756C1" w:rsidRPr="002F50BD">
        <w:rPr>
          <w:rFonts w:ascii="Verdana" w:hAnsi="Verdana"/>
          <w:sz w:val="20"/>
          <w:lang w:val="pt-BR"/>
        </w:rPr>
        <w:t>INDI</w:t>
      </w:r>
      <w:r w:rsidR="0089298C" w:rsidRPr="002F50BD">
        <w:rPr>
          <w:rFonts w:ascii="Verdana" w:hAnsi="Verdana"/>
          <w:sz w:val="20"/>
          <w:lang w:val="pt-BR"/>
        </w:rPr>
        <w:t xml:space="preserve"> o </w:t>
      </w:r>
      <w:r w:rsidR="004756C1" w:rsidRPr="002F50BD">
        <w:rPr>
          <w:rFonts w:ascii="Verdana" w:hAnsi="Verdana"/>
          <w:sz w:val="20"/>
          <w:lang w:val="pt-BR"/>
        </w:rPr>
        <w:t xml:space="preserve">original </w:t>
      </w:r>
      <w:r w:rsidR="0089298C" w:rsidRPr="002F50BD">
        <w:rPr>
          <w:rFonts w:ascii="Verdana" w:hAnsi="Verdana"/>
          <w:sz w:val="20"/>
          <w:lang w:val="pt-BR"/>
        </w:rPr>
        <w:t xml:space="preserve">do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com o fim </w:t>
      </w:r>
      <w:r w:rsidR="004756C1" w:rsidRPr="002F50BD">
        <w:rPr>
          <w:rFonts w:ascii="Verdana" w:hAnsi="Verdana"/>
          <w:sz w:val="20"/>
          <w:lang w:val="pt-BR"/>
        </w:rPr>
        <w:t xml:space="preserve">de </w:t>
      </w:r>
      <w:r w:rsidR="0089298C" w:rsidRPr="002F50BD">
        <w:rPr>
          <w:rFonts w:ascii="Verdana" w:hAnsi="Verdana"/>
          <w:sz w:val="20"/>
          <w:lang w:val="pt-BR"/>
        </w:rPr>
        <w:t>requerer</w:t>
      </w:r>
      <w:r w:rsidR="004756C1" w:rsidRPr="002F50BD">
        <w:rPr>
          <w:rFonts w:ascii="Verdana" w:hAnsi="Verdana"/>
          <w:sz w:val="20"/>
          <w:lang w:val="pt-BR"/>
        </w:rPr>
        <w:t xml:space="preserve"> </w:t>
      </w:r>
      <w:r w:rsidR="0089298C" w:rsidRPr="002F50BD">
        <w:rPr>
          <w:rFonts w:ascii="Verdana" w:hAnsi="Verdana"/>
          <w:sz w:val="20"/>
          <w:lang w:val="pt-BR"/>
        </w:rPr>
        <w:t>nova</w:t>
      </w:r>
      <w:r w:rsidR="004756C1" w:rsidRPr="002F50BD">
        <w:rPr>
          <w:rFonts w:ascii="Verdana" w:hAnsi="Verdana"/>
          <w:sz w:val="20"/>
          <w:lang w:val="pt-BR"/>
        </w:rPr>
        <w:t xml:space="preserve">mente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25</w:t>
      </w:r>
      <w:r w:rsidR="000920B2"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a </w:t>
      </w:r>
      <w:r w:rsidR="0089298C" w:rsidRPr="002F50BD">
        <w:rPr>
          <w:rFonts w:ascii="Verdana" w:hAnsi="Verdana"/>
          <w:sz w:val="20"/>
          <w:lang w:val="pt-BR"/>
        </w:rPr>
        <w:t>esta</w:t>
      </w:r>
      <w:r w:rsidR="004756C1" w:rsidRPr="002F50BD">
        <w:rPr>
          <w:rFonts w:ascii="Verdana" w:hAnsi="Verdana"/>
          <w:sz w:val="20"/>
          <w:lang w:val="pt-BR"/>
        </w:rPr>
        <w:t xml:space="preserve"> </w:t>
      </w:r>
      <w:r w:rsidR="0089298C" w:rsidRPr="002F50BD">
        <w:rPr>
          <w:rFonts w:ascii="Verdana" w:hAnsi="Verdana"/>
          <w:sz w:val="20"/>
          <w:lang w:val="pt-BR"/>
        </w:rPr>
        <w:t xml:space="preserve">instituição um parecer em </w:t>
      </w:r>
      <w:r w:rsidR="004756C1" w:rsidRPr="002F50BD">
        <w:rPr>
          <w:rFonts w:ascii="Verdana" w:hAnsi="Verdana"/>
          <w:sz w:val="20"/>
          <w:lang w:val="pt-BR"/>
        </w:rPr>
        <w:t>rela</w:t>
      </w:r>
      <w:r w:rsidR="0089298C" w:rsidRPr="002F50BD">
        <w:rPr>
          <w:rFonts w:ascii="Verdana" w:hAnsi="Verdana"/>
          <w:sz w:val="20"/>
          <w:lang w:val="pt-BR"/>
        </w:rPr>
        <w:t xml:space="preserve">ção </w:t>
      </w:r>
      <w:r w:rsidR="000920B2" w:rsidRPr="002F50BD">
        <w:rPr>
          <w:rFonts w:ascii="Verdana" w:hAnsi="Verdana"/>
          <w:sz w:val="20"/>
          <w:lang w:val="pt-BR"/>
        </w:rPr>
        <w:t>à</w:t>
      </w:r>
      <w:r w:rsidR="0089298C" w:rsidRPr="002F50BD">
        <w:rPr>
          <w:rFonts w:ascii="Verdana" w:hAnsi="Verdana"/>
          <w:sz w:val="20"/>
          <w:lang w:val="pt-BR"/>
        </w:rPr>
        <w:t xml:space="preserve"> solicitação </w:t>
      </w:r>
      <w:r w:rsidR="004756C1" w:rsidRPr="002F50BD">
        <w:rPr>
          <w:rFonts w:ascii="Verdana" w:hAnsi="Verdana"/>
          <w:sz w:val="20"/>
          <w:lang w:val="pt-BR"/>
        </w:rPr>
        <w:t>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EC5F20" w:rsidRPr="002F50BD">
        <w:rPr>
          <w:rFonts w:ascii="Verdana" w:hAnsi="Verdana"/>
          <w:sz w:val="20"/>
          <w:lang w:val="pt-BR"/>
        </w:rPr>
        <w:t>bem</w:t>
      </w:r>
      <w:r w:rsidR="004756C1" w:rsidRPr="002F50BD">
        <w:rPr>
          <w:rFonts w:ascii="Verdana" w:hAnsi="Verdana"/>
          <w:sz w:val="20"/>
          <w:lang w:val="pt-BR"/>
        </w:rPr>
        <w:t xml:space="preserve"> como</w:t>
      </w:r>
      <w:r w:rsidR="0089298C" w:rsidRPr="002F50BD">
        <w:rPr>
          <w:rFonts w:ascii="Verdana" w:hAnsi="Verdana"/>
          <w:sz w:val="20"/>
          <w:lang w:val="pt-BR"/>
        </w:rPr>
        <w:t xml:space="preserve"> se </w:t>
      </w:r>
      <w:r w:rsidR="004756C1" w:rsidRPr="002F50BD">
        <w:rPr>
          <w:rFonts w:ascii="Verdana" w:hAnsi="Verdana"/>
          <w:sz w:val="20"/>
          <w:lang w:val="pt-BR"/>
        </w:rPr>
        <w:t>“</w:t>
      </w:r>
      <w:r w:rsidR="000920B2" w:rsidRPr="002F50BD">
        <w:rPr>
          <w:rFonts w:ascii="Verdana" w:hAnsi="Verdana"/>
          <w:sz w:val="20"/>
          <w:lang w:val="pt-BR"/>
        </w:rPr>
        <w:t xml:space="preserve">tem registro ou não de </w:t>
      </w:r>
      <w:r w:rsidR="00AB454A" w:rsidRPr="002F50BD">
        <w:rPr>
          <w:rFonts w:ascii="Verdana" w:hAnsi="Verdana"/>
          <w:sz w:val="20"/>
          <w:lang w:val="pt-BR"/>
        </w:rPr>
        <w:t>algum</w:t>
      </w:r>
      <w:r w:rsidR="0089298C" w:rsidRPr="002F50BD">
        <w:rPr>
          <w:rFonts w:ascii="Verdana" w:hAnsi="Verdana"/>
          <w:sz w:val="20"/>
          <w:lang w:val="pt-BR"/>
        </w:rPr>
        <w:t xml:space="preserve"> relatório </w:t>
      </w:r>
      <w:r w:rsidR="004756C1" w:rsidRPr="002F50BD">
        <w:rPr>
          <w:rFonts w:ascii="Verdana" w:hAnsi="Verdana"/>
          <w:sz w:val="20"/>
          <w:lang w:val="pt-BR"/>
        </w:rPr>
        <w:t>antropológico sobre</w:t>
      </w:r>
      <w:r w:rsidR="0089298C" w:rsidRPr="002F50BD">
        <w:rPr>
          <w:rFonts w:ascii="Verdana" w:hAnsi="Verdana"/>
          <w:sz w:val="20"/>
          <w:lang w:val="pt-BR"/>
        </w:rPr>
        <w:t xml:space="preserve"> os </w:t>
      </w:r>
      <w:r w:rsidR="004756C1" w:rsidRPr="002F50BD">
        <w:rPr>
          <w:rFonts w:ascii="Verdana" w:hAnsi="Verdana"/>
          <w:sz w:val="20"/>
          <w:lang w:val="pt-BR"/>
        </w:rPr>
        <w:t>rec</w:t>
      </w:r>
      <w:r w:rsidR="000920B2" w:rsidRPr="002F50BD">
        <w:rPr>
          <w:rFonts w:ascii="Verdana" w:hAnsi="Verdana"/>
          <w:sz w:val="20"/>
          <w:lang w:val="pt-BR"/>
        </w:rPr>
        <w:t>o</w:t>
      </w:r>
      <w:r w:rsidR="004756C1" w:rsidRPr="002F50BD">
        <w:rPr>
          <w:rFonts w:ascii="Verdana" w:hAnsi="Verdana"/>
          <w:sz w:val="20"/>
          <w:lang w:val="pt-BR"/>
        </w:rPr>
        <w:t>rrentes,</w:t>
      </w:r>
      <w:r w:rsidR="0089298C" w:rsidRPr="002F50BD">
        <w:rPr>
          <w:rFonts w:ascii="Verdana" w:hAnsi="Verdana"/>
          <w:sz w:val="20"/>
          <w:lang w:val="pt-BR"/>
        </w:rPr>
        <w:t xml:space="preserve"> em </w:t>
      </w:r>
      <w:r w:rsidR="004756C1" w:rsidRPr="002F50BD">
        <w:rPr>
          <w:rFonts w:ascii="Verdana" w:hAnsi="Verdana"/>
          <w:sz w:val="20"/>
          <w:lang w:val="pt-BR"/>
        </w:rPr>
        <w:t>especial sobre</w:t>
      </w:r>
      <w:r w:rsidR="0089298C" w:rsidRPr="002F50BD">
        <w:rPr>
          <w:rFonts w:ascii="Verdana" w:hAnsi="Verdana"/>
          <w:sz w:val="20"/>
          <w:lang w:val="pt-BR"/>
        </w:rPr>
        <w:t xml:space="preserve"> os território</w:t>
      </w:r>
      <w:r w:rsidR="004756C1" w:rsidRPr="002F50BD">
        <w:rPr>
          <w:rFonts w:ascii="Verdana" w:hAnsi="Verdana"/>
          <w:sz w:val="20"/>
          <w:lang w:val="pt-BR"/>
        </w:rPr>
        <w:t xml:space="preserve">s </w:t>
      </w:r>
      <w:r w:rsidR="000920B2" w:rsidRPr="002F50BD">
        <w:rPr>
          <w:rFonts w:ascii="Verdana" w:hAnsi="Verdana"/>
          <w:sz w:val="20"/>
          <w:lang w:val="pt-BR"/>
        </w:rPr>
        <w:t xml:space="preserve">de </w:t>
      </w:r>
      <w:r w:rsidR="00DB51F0" w:rsidRPr="002F50BD">
        <w:rPr>
          <w:rFonts w:ascii="Verdana" w:hAnsi="Verdana"/>
          <w:sz w:val="20"/>
          <w:lang w:val="pt-BR"/>
        </w:rPr>
        <w:t>seu habitat</w:t>
      </w:r>
      <w:r w:rsidR="004756C1" w:rsidRPr="002F50BD">
        <w:rPr>
          <w:rFonts w:ascii="Verdana" w:hAnsi="Verdana"/>
          <w:sz w:val="20"/>
          <w:lang w:val="pt-BR"/>
        </w:rPr>
        <w:t xml:space="preserve"> tradicional</w:t>
      </w:r>
      <w:r w:rsidR="000920B2" w:rsidRPr="002F50BD">
        <w:rPr>
          <w:rFonts w:ascii="Verdana" w:hAnsi="Verdana"/>
          <w:sz w:val="20"/>
          <w:lang w:val="pt-BR"/>
        </w:rPr>
        <w:t xml:space="preserve"> que foram afetados</w:t>
      </w:r>
      <w:r w:rsidR="004756C1" w:rsidRPr="002F50BD">
        <w:rPr>
          <w:rFonts w:ascii="Verdana" w:hAnsi="Verdana"/>
          <w:sz w:val="20"/>
          <w:lang w:val="pt-BR"/>
        </w:rPr>
        <w:t>”</w:t>
      </w:r>
      <w:r w:rsidR="000920B2" w:rsidRPr="002F50BD">
        <w:rPr>
          <w:rFonts w:ascii="Verdana" w:hAnsi="Verdana"/>
          <w:sz w:val="20"/>
          <w:lang w:val="pt-BR"/>
        </w:rPr>
        <w:t>.</w:t>
      </w:r>
      <w:r w:rsidR="004756C1" w:rsidRPr="002F50BD">
        <w:rPr>
          <w:rStyle w:val="FootnoteReference"/>
          <w:rFonts w:ascii="Verdana" w:hAnsi="Verdana"/>
        </w:rPr>
        <w:footnoteReference w:id="63"/>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1997</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89298C" w:rsidRPr="002F50BD">
        <w:rPr>
          <w:rFonts w:ascii="Verdana" w:hAnsi="Verdana"/>
          <w:sz w:val="20"/>
          <w:lang w:val="pt-BR"/>
        </w:rPr>
        <w:t>solicitou aos advogad</w:t>
      </w:r>
      <w:r w:rsidR="004756C1" w:rsidRPr="002F50BD">
        <w:rPr>
          <w:rFonts w:ascii="Verdana" w:hAnsi="Verdana"/>
          <w:sz w:val="20"/>
          <w:lang w:val="pt-BR"/>
        </w:rPr>
        <w:t>os</w:t>
      </w:r>
      <w:r w:rsidR="0089298C" w:rsidRPr="002F50BD">
        <w:rPr>
          <w:rFonts w:ascii="Verdana" w:hAnsi="Verdana"/>
          <w:sz w:val="20"/>
          <w:lang w:val="pt-BR"/>
        </w:rPr>
        <w:t xml:space="preserve"> da Comunidade </w:t>
      </w:r>
      <w:r w:rsidR="004756C1" w:rsidRPr="002F50BD">
        <w:rPr>
          <w:rFonts w:ascii="Verdana" w:hAnsi="Verdana"/>
          <w:sz w:val="20"/>
          <w:lang w:val="pt-BR"/>
        </w:rPr>
        <w:t>Yakye Axa que indica</w:t>
      </w:r>
      <w:r w:rsidR="000920B2" w:rsidRPr="002F50BD">
        <w:rPr>
          <w:rFonts w:ascii="Verdana" w:hAnsi="Verdana"/>
          <w:sz w:val="20"/>
          <w:lang w:val="pt-BR"/>
        </w:rPr>
        <w:t>ssem</w:t>
      </w:r>
      <w:r w:rsidR="0089298C" w:rsidRPr="002F50BD">
        <w:rPr>
          <w:rFonts w:ascii="Verdana" w:hAnsi="Verdana"/>
          <w:sz w:val="20"/>
          <w:lang w:val="pt-BR"/>
        </w:rPr>
        <w:t xml:space="preserve"> com clar</w:t>
      </w:r>
      <w:r w:rsidR="0036181C" w:rsidRPr="002F50BD">
        <w:rPr>
          <w:rFonts w:ascii="Verdana" w:hAnsi="Verdana"/>
          <w:sz w:val="20"/>
          <w:lang w:val="pt-BR"/>
        </w:rPr>
        <w:t>eza</w:t>
      </w:r>
      <w:r w:rsidR="0089298C" w:rsidRPr="002F50BD">
        <w:rPr>
          <w:rFonts w:ascii="Verdana" w:hAnsi="Verdana"/>
          <w:sz w:val="20"/>
          <w:lang w:val="pt-BR"/>
        </w:rPr>
        <w:t xml:space="preserve"> </w:t>
      </w:r>
      <w:r w:rsidR="004756C1" w:rsidRPr="002F50BD">
        <w:rPr>
          <w:rFonts w:ascii="Verdana" w:hAnsi="Verdana"/>
          <w:sz w:val="20"/>
          <w:lang w:val="pt-BR"/>
        </w:rPr>
        <w:t>técnica</w:t>
      </w:r>
      <w:r w:rsidR="0089298C" w:rsidRPr="002F50BD">
        <w:rPr>
          <w:rFonts w:ascii="Verdana" w:hAnsi="Verdana"/>
          <w:sz w:val="20"/>
          <w:lang w:val="pt-BR"/>
        </w:rPr>
        <w:t xml:space="preserve"> a localização da </w:t>
      </w:r>
      <w:r w:rsidR="004756C1" w:rsidRPr="002F50BD">
        <w:rPr>
          <w:rFonts w:ascii="Verdana" w:hAnsi="Verdana"/>
          <w:sz w:val="20"/>
          <w:lang w:val="pt-BR"/>
        </w:rPr>
        <w:t>fr</w:t>
      </w:r>
      <w:r w:rsidR="004076AD" w:rsidRPr="002F50BD">
        <w:rPr>
          <w:rFonts w:ascii="Verdana" w:hAnsi="Verdana"/>
          <w:sz w:val="20"/>
          <w:lang w:val="pt-BR"/>
        </w:rPr>
        <w:t>ação</w:t>
      </w:r>
      <w:r w:rsidR="004756C1" w:rsidRPr="002F50BD">
        <w:rPr>
          <w:rFonts w:ascii="Verdana" w:hAnsi="Verdana"/>
          <w:sz w:val="20"/>
          <w:lang w:val="pt-BR"/>
        </w:rPr>
        <w:t xml:space="preserve"> de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reivindicada</w:t>
      </w:r>
      <w:r w:rsidR="0089298C" w:rsidRPr="002F50BD">
        <w:rPr>
          <w:rFonts w:ascii="Verdana" w:hAnsi="Verdana"/>
          <w:sz w:val="20"/>
          <w:lang w:val="pt-BR"/>
        </w:rPr>
        <w:t xml:space="preserve"> e </w:t>
      </w:r>
      <w:r w:rsidR="004756C1" w:rsidRPr="002F50BD">
        <w:rPr>
          <w:rFonts w:ascii="Verdana" w:hAnsi="Verdana"/>
          <w:sz w:val="20"/>
          <w:lang w:val="pt-BR"/>
        </w:rPr>
        <w:t>su</w:t>
      </w:r>
      <w:r w:rsidR="000920B2" w:rsidRPr="002F50BD">
        <w:rPr>
          <w:rFonts w:ascii="Verdana" w:hAnsi="Verdana"/>
          <w:sz w:val="20"/>
          <w:lang w:val="pt-BR"/>
        </w:rPr>
        <w:t>a</w:t>
      </w:r>
      <w:r w:rsidR="004756C1" w:rsidRPr="002F50BD">
        <w:rPr>
          <w:rFonts w:ascii="Verdana" w:hAnsi="Verdana"/>
          <w:sz w:val="20"/>
          <w:lang w:val="pt-BR"/>
        </w:rPr>
        <w:t xml:space="preserve"> rela</w:t>
      </w:r>
      <w:r w:rsidR="0089298C" w:rsidRPr="002F50BD">
        <w:rPr>
          <w:rFonts w:ascii="Verdana" w:hAnsi="Verdana"/>
          <w:sz w:val="20"/>
          <w:lang w:val="pt-BR"/>
        </w:rPr>
        <w:t xml:space="preserve">ção com as </w:t>
      </w:r>
      <w:r w:rsidR="000920B2" w:rsidRPr="002F50BD">
        <w:rPr>
          <w:rFonts w:ascii="Verdana" w:hAnsi="Verdana"/>
          <w:sz w:val="20"/>
          <w:lang w:val="pt-BR"/>
        </w:rPr>
        <w:t xml:space="preserve">propriedades </w:t>
      </w:r>
      <w:r w:rsidR="0089298C" w:rsidRPr="002F50BD">
        <w:rPr>
          <w:rFonts w:ascii="Verdana" w:hAnsi="Verdana"/>
          <w:sz w:val="20"/>
          <w:lang w:val="pt-BR"/>
        </w:rPr>
        <w:t>afeta</w:t>
      </w:r>
      <w:r w:rsidR="004756C1" w:rsidRPr="002F50BD">
        <w:rPr>
          <w:rFonts w:ascii="Verdana" w:hAnsi="Verdana"/>
          <w:sz w:val="20"/>
          <w:lang w:val="pt-BR"/>
        </w:rPr>
        <w:t>das,</w:t>
      </w:r>
      <w:r w:rsidR="0089298C" w:rsidRPr="002F50BD">
        <w:rPr>
          <w:rFonts w:ascii="Verdana" w:hAnsi="Verdana"/>
          <w:sz w:val="20"/>
          <w:lang w:val="pt-BR"/>
        </w:rPr>
        <w:t xml:space="preserve"> com o fim </w:t>
      </w:r>
      <w:r w:rsidR="004756C1" w:rsidRPr="002F50BD">
        <w:rPr>
          <w:rFonts w:ascii="Verdana" w:hAnsi="Verdana"/>
          <w:sz w:val="20"/>
          <w:lang w:val="pt-BR"/>
        </w:rPr>
        <w:t xml:space="preserve">de </w:t>
      </w:r>
      <w:r w:rsidR="000920B2" w:rsidRPr="002F50BD">
        <w:rPr>
          <w:rFonts w:ascii="Verdana" w:hAnsi="Verdana"/>
          <w:sz w:val="20"/>
          <w:lang w:val="pt-BR"/>
        </w:rPr>
        <w:t xml:space="preserve">dar </w:t>
      </w:r>
      <w:r w:rsidR="00EC5F20" w:rsidRPr="002F50BD">
        <w:rPr>
          <w:rFonts w:ascii="Verdana" w:hAnsi="Verdana"/>
          <w:sz w:val="20"/>
          <w:lang w:val="pt-BR"/>
        </w:rPr>
        <w:t>continuidade</w:t>
      </w:r>
      <w:r w:rsidR="000920B2" w:rsidRPr="002F50BD">
        <w:rPr>
          <w:rFonts w:ascii="Verdana" w:hAnsi="Verdana"/>
          <w:sz w:val="20"/>
          <w:lang w:val="pt-BR"/>
        </w:rPr>
        <w:t xml:space="preserve"> aos </w:t>
      </w:r>
      <w:r w:rsidR="0089298C" w:rsidRPr="002F50BD">
        <w:rPr>
          <w:rFonts w:ascii="Verdana" w:hAnsi="Verdana"/>
          <w:sz w:val="20"/>
          <w:lang w:val="pt-BR"/>
        </w:rPr>
        <w:t>trâmite</w:t>
      </w:r>
      <w:r w:rsidR="004756C1" w:rsidRPr="002F50BD">
        <w:rPr>
          <w:rFonts w:ascii="Verdana" w:hAnsi="Verdana"/>
          <w:sz w:val="20"/>
          <w:lang w:val="pt-BR"/>
        </w:rPr>
        <w:t xml:space="preserve">s administrativos </w:t>
      </w:r>
      <w:r w:rsidR="0089298C" w:rsidRPr="002F50BD">
        <w:rPr>
          <w:rFonts w:ascii="Verdana" w:hAnsi="Verdana"/>
          <w:sz w:val="20"/>
          <w:lang w:val="pt-BR"/>
        </w:rPr>
        <w:t>correspondente</w:t>
      </w:r>
      <w:r w:rsidR="004756C1" w:rsidRPr="002F50BD">
        <w:rPr>
          <w:rFonts w:ascii="Verdana" w:hAnsi="Verdana"/>
          <w:sz w:val="20"/>
          <w:lang w:val="pt-BR"/>
        </w:rPr>
        <w:t>s</w:t>
      </w:r>
      <w:r w:rsidR="000920B2" w:rsidRPr="002F50BD">
        <w:rPr>
          <w:rFonts w:ascii="Verdana" w:hAnsi="Verdana"/>
          <w:sz w:val="20"/>
          <w:lang w:val="pt-BR"/>
        </w:rPr>
        <w:t>.</w:t>
      </w:r>
      <w:r w:rsidR="004756C1" w:rsidRPr="002F50BD">
        <w:rPr>
          <w:rStyle w:val="FootnoteReference"/>
          <w:rFonts w:ascii="Verdana" w:hAnsi="Verdana"/>
        </w:rPr>
        <w:footnoteReference w:id="64"/>
      </w:r>
      <w:r w:rsidR="00FB33DD" w:rsidRPr="002F50BD">
        <w:rPr>
          <w:rFonts w:ascii="Verdana" w:hAnsi="Verdana"/>
          <w:sz w:val="20"/>
          <w:lang w:val="pt-BR"/>
        </w:rPr>
        <w:t xml:space="preserve"> </w:t>
      </w:r>
      <w:r w:rsidR="000920B2" w:rsidRPr="002F50BD">
        <w:rPr>
          <w:rFonts w:ascii="Verdana" w:hAnsi="Verdana"/>
          <w:sz w:val="20"/>
          <w:lang w:val="pt-BR"/>
        </w:rPr>
        <w:t>Ne</w:t>
      </w:r>
      <w:r w:rsidR="00FB33DD" w:rsidRPr="002F50BD">
        <w:rPr>
          <w:rFonts w:ascii="Verdana" w:hAnsi="Verdana"/>
          <w:sz w:val="20"/>
          <w:lang w:val="pt-BR"/>
        </w:rPr>
        <w:t xml:space="preserve">sse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A23E23"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89298C" w:rsidRPr="002F50BD">
        <w:rPr>
          <w:rFonts w:ascii="Verdana" w:hAnsi="Verdana"/>
          <w:sz w:val="20"/>
          <w:lang w:val="pt-BR"/>
        </w:rPr>
        <w:t xml:space="preserve">solicitou ao </w:t>
      </w:r>
      <w:r w:rsidR="004756C1" w:rsidRPr="002F50BD">
        <w:rPr>
          <w:rFonts w:ascii="Verdana" w:hAnsi="Verdana"/>
          <w:sz w:val="20"/>
          <w:lang w:val="pt-BR"/>
        </w:rPr>
        <w:t xml:space="preserve">Centro de </w:t>
      </w:r>
      <w:r w:rsidR="0089298C" w:rsidRPr="002F50BD">
        <w:rPr>
          <w:rFonts w:ascii="Verdana" w:hAnsi="Verdana"/>
          <w:sz w:val="20"/>
          <w:lang w:val="pt-BR"/>
        </w:rPr>
        <w:t>Estudo</w:t>
      </w:r>
      <w:r w:rsidR="004756C1" w:rsidRPr="002F50BD">
        <w:rPr>
          <w:rFonts w:ascii="Verdana" w:hAnsi="Verdana"/>
          <w:sz w:val="20"/>
          <w:lang w:val="pt-BR"/>
        </w:rPr>
        <w:t>s Antropológicos</w:t>
      </w:r>
      <w:r w:rsidR="0089298C" w:rsidRPr="002F50BD">
        <w:rPr>
          <w:rFonts w:ascii="Verdana" w:hAnsi="Verdana"/>
          <w:sz w:val="20"/>
          <w:lang w:val="pt-BR"/>
        </w:rPr>
        <w:t xml:space="preserve"> da Universidade </w:t>
      </w:r>
      <w:r w:rsidR="004756C1" w:rsidRPr="002F50BD">
        <w:rPr>
          <w:rFonts w:ascii="Verdana" w:hAnsi="Verdana"/>
          <w:sz w:val="20"/>
          <w:lang w:val="pt-BR"/>
        </w:rPr>
        <w:t>Católica “</w:t>
      </w:r>
      <w:r w:rsidR="000920B2" w:rsidRPr="002F50BD">
        <w:rPr>
          <w:rFonts w:ascii="Verdana" w:hAnsi="Verdana"/>
          <w:sz w:val="20"/>
          <w:lang w:val="pt-BR"/>
        </w:rPr>
        <w:t>Nuestra Señora de La Asunción</w:t>
      </w:r>
      <w:r w:rsidR="004756C1" w:rsidRPr="002F50BD">
        <w:rPr>
          <w:rFonts w:ascii="Verdana" w:hAnsi="Verdana"/>
          <w:sz w:val="20"/>
          <w:lang w:val="pt-BR"/>
        </w:rPr>
        <w:t>” “su</w:t>
      </w:r>
      <w:r w:rsidR="000920B2" w:rsidRPr="002F50BD">
        <w:rPr>
          <w:rFonts w:ascii="Verdana" w:hAnsi="Verdana"/>
          <w:sz w:val="20"/>
          <w:lang w:val="pt-BR"/>
        </w:rPr>
        <w:t>a</w:t>
      </w:r>
      <w:r w:rsidR="004756C1" w:rsidRPr="002F50BD">
        <w:rPr>
          <w:rFonts w:ascii="Verdana" w:hAnsi="Verdana"/>
          <w:sz w:val="20"/>
          <w:lang w:val="pt-BR"/>
        </w:rPr>
        <w:t xml:space="preserve"> coopera</w:t>
      </w:r>
      <w:r w:rsidR="0089298C" w:rsidRPr="002F50BD">
        <w:rPr>
          <w:rFonts w:ascii="Verdana" w:hAnsi="Verdana"/>
          <w:sz w:val="20"/>
          <w:lang w:val="pt-BR"/>
        </w:rPr>
        <w:t xml:space="preserve">ção </w:t>
      </w:r>
      <w:r w:rsidR="000920B2" w:rsidRPr="002F50BD">
        <w:rPr>
          <w:rFonts w:ascii="Verdana" w:hAnsi="Verdana"/>
          <w:sz w:val="20"/>
          <w:lang w:val="pt-BR"/>
        </w:rPr>
        <w:t xml:space="preserve">para </w:t>
      </w:r>
      <w:r w:rsidR="00EC5F20" w:rsidRPr="002F50BD">
        <w:rPr>
          <w:rFonts w:ascii="Verdana" w:hAnsi="Verdana"/>
          <w:sz w:val="20"/>
          <w:lang w:val="pt-BR"/>
        </w:rPr>
        <w:t>elaborar</w:t>
      </w:r>
      <w:r w:rsidR="000920B2" w:rsidRPr="002F50BD">
        <w:rPr>
          <w:rFonts w:ascii="Verdana" w:hAnsi="Verdana"/>
          <w:sz w:val="20"/>
          <w:lang w:val="pt-BR"/>
        </w:rPr>
        <w:t xml:space="preserve"> </w:t>
      </w:r>
      <w:r w:rsidR="0089298C" w:rsidRPr="002F50BD">
        <w:rPr>
          <w:rFonts w:ascii="Verdana" w:hAnsi="Verdana"/>
          <w:sz w:val="20"/>
          <w:lang w:val="pt-BR"/>
        </w:rPr>
        <w:t xml:space="preserve">um relatório </w:t>
      </w:r>
      <w:r w:rsidR="004756C1" w:rsidRPr="002F50BD">
        <w:rPr>
          <w:rFonts w:ascii="Verdana" w:hAnsi="Verdana"/>
          <w:sz w:val="20"/>
          <w:lang w:val="pt-BR"/>
        </w:rPr>
        <w:t>técnico-antropológico</w:t>
      </w:r>
      <w:r w:rsidR="00EC5F20" w:rsidRPr="002F50BD">
        <w:rPr>
          <w:rFonts w:ascii="Verdana" w:hAnsi="Verdana"/>
          <w:sz w:val="20"/>
          <w:lang w:val="pt-BR"/>
        </w:rPr>
        <w:t xml:space="preserve"> sobre </w:t>
      </w:r>
      <w:r w:rsidR="0089298C" w:rsidRPr="002F50BD">
        <w:rPr>
          <w:rFonts w:ascii="Verdana" w:hAnsi="Verdana"/>
          <w:sz w:val="20"/>
          <w:lang w:val="pt-BR"/>
        </w:rPr>
        <w:t xml:space="preserve">a Comunidade </w:t>
      </w:r>
      <w:r w:rsidR="004756C1" w:rsidRPr="002F50BD">
        <w:rPr>
          <w:rFonts w:ascii="Verdana" w:hAnsi="Verdana"/>
          <w:sz w:val="20"/>
          <w:lang w:val="pt-BR"/>
        </w:rPr>
        <w:t>denominada Yakye Axa”</w:t>
      </w:r>
      <w:r w:rsidR="000920B2" w:rsidRPr="002F50BD">
        <w:rPr>
          <w:rFonts w:ascii="Verdana" w:hAnsi="Verdana"/>
          <w:sz w:val="20"/>
          <w:lang w:val="pt-BR"/>
        </w:rPr>
        <w:t>.</w:t>
      </w:r>
      <w:r w:rsidR="004756C1" w:rsidRPr="002F50BD">
        <w:rPr>
          <w:rStyle w:val="FootnoteReference"/>
          <w:rFonts w:ascii="Verdana" w:hAnsi="Verdana"/>
        </w:rPr>
        <w:footnoteReference w:id="65"/>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1997</w:t>
      </w:r>
      <w:r w:rsidR="00EC5F20"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Esteban López, líder</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em cumprimento </w:t>
      </w:r>
      <w:r w:rsidR="00937400" w:rsidRPr="002F50BD">
        <w:rPr>
          <w:rFonts w:ascii="Verdana" w:hAnsi="Verdana"/>
          <w:sz w:val="20"/>
          <w:lang w:val="pt-BR"/>
        </w:rPr>
        <w:t xml:space="preserve">do </w:t>
      </w:r>
      <w:r w:rsidR="004756C1" w:rsidRPr="002F50BD">
        <w:rPr>
          <w:rFonts w:ascii="Verdana" w:hAnsi="Verdana"/>
          <w:sz w:val="20"/>
          <w:lang w:val="pt-BR"/>
        </w:rPr>
        <w:t>ordenado</w:t>
      </w:r>
      <w:r w:rsidR="0089298C" w:rsidRPr="002F50BD">
        <w:rPr>
          <w:rFonts w:ascii="Verdana" w:hAnsi="Verdana"/>
          <w:sz w:val="20"/>
          <w:lang w:val="pt-BR"/>
        </w:rPr>
        <w:t xml:space="preserve"> pelo </w:t>
      </w:r>
      <w:r w:rsidR="004756C1" w:rsidRPr="002F50BD">
        <w:rPr>
          <w:rFonts w:ascii="Verdana" w:hAnsi="Verdana"/>
          <w:sz w:val="20"/>
          <w:lang w:val="pt-BR"/>
        </w:rPr>
        <w:t xml:space="preserve">INDI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33</w:t>
      </w:r>
      <w:r w:rsidR="00937400"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informou</w:t>
      </w:r>
      <w:r w:rsidR="004756C1" w:rsidRPr="002F50BD">
        <w:rPr>
          <w:rFonts w:ascii="Verdana" w:hAnsi="Verdana"/>
          <w:sz w:val="20"/>
          <w:lang w:val="pt-BR"/>
        </w:rPr>
        <w:t xml:space="preserve"> sobre</w:t>
      </w:r>
      <w:r w:rsidR="0089298C" w:rsidRPr="002F50BD">
        <w:rPr>
          <w:rFonts w:ascii="Verdana" w:hAnsi="Verdana"/>
          <w:sz w:val="20"/>
          <w:lang w:val="pt-BR"/>
        </w:rPr>
        <w:t xml:space="preserve"> a localização</w:t>
      </w:r>
      <w:r w:rsidR="004756C1" w:rsidRPr="002F50BD">
        <w:rPr>
          <w:rFonts w:ascii="Verdana" w:hAnsi="Verdana"/>
          <w:sz w:val="20"/>
          <w:lang w:val="pt-BR"/>
        </w:rPr>
        <w:t xml:space="preserve"> </w:t>
      </w:r>
      <w:r w:rsidR="0089298C" w:rsidRPr="002F50BD">
        <w:rPr>
          <w:rFonts w:ascii="Verdana" w:hAnsi="Verdana"/>
          <w:sz w:val="20"/>
          <w:lang w:val="pt-BR"/>
        </w:rPr>
        <w:t>do território</w:t>
      </w:r>
      <w:r w:rsidR="004756C1" w:rsidRPr="002F50BD">
        <w:rPr>
          <w:rFonts w:ascii="Verdana" w:hAnsi="Verdana"/>
          <w:sz w:val="20"/>
          <w:lang w:val="pt-BR"/>
        </w:rPr>
        <w:t xml:space="preserve"> reivindicado</w:t>
      </w:r>
      <w:r w:rsidR="0089298C" w:rsidRPr="002F50BD">
        <w:rPr>
          <w:rFonts w:ascii="Verdana" w:hAnsi="Verdana"/>
          <w:sz w:val="20"/>
          <w:lang w:val="pt-BR"/>
        </w:rPr>
        <w:t xml:space="preserve"> e as </w:t>
      </w:r>
      <w:r w:rsidR="00937400" w:rsidRPr="002F50BD">
        <w:rPr>
          <w:rFonts w:ascii="Verdana" w:hAnsi="Verdana"/>
          <w:sz w:val="20"/>
          <w:lang w:val="pt-BR"/>
        </w:rPr>
        <w:t xml:space="preserve">propriedades </w:t>
      </w:r>
      <w:r w:rsidR="00F8225E">
        <w:rPr>
          <w:rFonts w:ascii="Verdana" w:hAnsi="Verdana"/>
          <w:sz w:val="20"/>
          <w:lang w:val="pt-BR"/>
        </w:rPr>
        <w:t>incluídas</w:t>
      </w:r>
      <w:r w:rsidR="004756C1" w:rsidRPr="002F50BD">
        <w:rPr>
          <w:rFonts w:ascii="Verdana" w:hAnsi="Verdana"/>
          <w:sz w:val="20"/>
          <w:lang w:val="pt-BR"/>
        </w:rPr>
        <w:t>.</w:t>
      </w:r>
      <w:r w:rsidR="00FE08B7">
        <w:rPr>
          <w:rFonts w:ascii="Verdana" w:hAnsi="Verdana"/>
          <w:sz w:val="20"/>
          <w:lang w:val="pt-BR"/>
        </w:rPr>
        <w:t xml:space="preserve"> </w:t>
      </w:r>
      <w:r w:rsidR="00937400" w:rsidRPr="002F50BD">
        <w:rPr>
          <w:rFonts w:ascii="Verdana" w:hAnsi="Verdana"/>
          <w:sz w:val="20"/>
          <w:lang w:val="pt-BR"/>
        </w:rPr>
        <w:t>N</w:t>
      </w:r>
      <w:r w:rsidR="0089298C" w:rsidRPr="002F50BD">
        <w:rPr>
          <w:rFonts w:ascii="Verdana" w:hAnsi="Verdana"/>
          <w:sz w:val="20"/>
          <w:lang w:val="pt-BR"/>
        </w:rPr>
        <w:t>es</w:t>
      </w:r>
      <w:r w:rsidR="00F8225E">
        <w:rPr>
          <w:rFonts w:ascii="Verdana" w:hAnsi="Verdana"/>
          <w:sz w:val="20"/>
          <w:lang w:val="pt-BR"/>
        </w:rPr>
        <w:t>s</w:t>
      </w:r>
      <w:r w:rsidR="0089298C" w:rsidRPr="002F50BD">
        <w:rPr>
          <w:rFonts w:ascii="Verdana" w:hAnsi="Verdana"/>
          <w:sz w:val="20"/>
          <w:lang w:val="pt-BR"/>
        </w:rPr>
        <w:t xml:space="preserve">a </w:t>
      </w:r>
      <w:r w:rsidR="004756C1" w:rsidRPr="002F50BD">
        <w:rPr>
          <w:rFonts w:ascii="Verdana" w:hAnsi="Verdana"/>
          <w:sz w:val="20"/>
          <w:lang w:val="pt-BR"/>
        </w:rPr>
        <w:t>comunica</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 xml:space="preserve">López </w:t>
      </w:r>
      <w:r w:rsidR="0089298C" w:rsidRPr="002F50BD">
        <w:rPr>
          <w:rFonts w:ascii="Verdana" w:hAnsi="Verdana"/>
          <w:sz w:val="20"/>
          <w:lang w:val="pt-BR"/>
        </w:rPr>
        <w:t>manifestou</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total</w:t>
      </w:r>
      <w:r w:rsidR="0089298C" w:rsidRPr="002F50BD">
        <w:rPr>
          <w:rFonts w:ascii="Verdana" w:hAnsi="Verdana"/>
          <w:sz w:val="20"/>
          <w:lang w:val="pt-BR"/>
        </w:rPr>
        <w:t xml:space="preserve"> da </w:t>
      </w:r>
      <w:r w:rsidR="004756C1" w:rsidRPr="002F50BD">
        <w:rPr>
          <w:rFonts w:ascii="Verdana" w:hAnsi="Verdana"/>
          <w:sz w:val="20"/>
          <w:lang w:val="pt-BR"/>
        </w:rPr>
        <w:t>reivindica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 xml:space="preserve">parte de </w:t>
      </w:r>
      <w:r w:rsidR="00AB454A" w:rsidRPr="002F50BD">
        <w:rPr>
          <w:rFonts w:ascii="Verdana" w:hAnsi="Verdana"/>
          <w:sz w:val="20"/>
          <w:lang w:val="pt-BR"/>
        </w:rPr>
        <w:t>seu território</w:t>
      </w:r>
      <w:r w:rsidR="004756C1" w:rsidRPr="002F50BD">
        <w:rPr>
          <w:rFonts w:ascii="Verdana" w:hAnsi="Verdana"/>
          <w:sz w:val="20"/>
          <w:lang w:val="pt-BR"/>
        </w:rPr>
        <w:t xml:space="preserve"> tradicional </w:t>
      </w:r>
      <w:r w:rsidR="0089298C" w:rsidRPr="002F50BD">
        <w:rPr>
          <w:rFonts w:ascii="Verdana" w:hAnsi="Verdana"/>
          <w:sz w:val="20"/>
          <w:lang w:val="pt-BR"/>
        </w:rPr>
        <w:t>tem uma extensão</w:t>
      </w:r>
      <w:r w:rsidR="004756C1" w:rsidRPr="002F50BD">
        <w:rPr>
          <w:rFonts w:ascii="Verdana" w:hAnsi="Verdana"/>
          <w:sz w:val="20"/>
          <w:lang w:val="pt-BR"/>
        </w:rPr>
        <w:t xml:space="preserve"> de </w:t>
      </w:r>
      <w:r w:rsidRPr="002F50BD">
        <w:rPr>
          <w:rFonts w:ascii="Verdana" w:hAnsi="Verdana"/>
          <w:sz w:val="20"/>
          <w:lang w:val="pt-BR"/>
        </w:rPr>
        <w:t>18</w:t>
      </w:r>
      <w:r w:rsidR="004756C1" w:rsidRPr="002F50BD">
        <w:rPr>
          <w:rFonts w:ascii="Verdana" w:hAnsi="Verdana"/>
          <w:sz w:val="20"/>
          <w:lang w:val="pt-BR"/>
        </w:rPr>
        <w:t>.</w:t>
      </w:r>
      <w:r w:rsidRPr="002F50BD">
        <w:rPr>
          <w:rFonts w:ascii="Verdana" w:hAnsi="Verdana"/>
          <w:sz w:val="20"/>
          <w:lang w:val="pt-BR"/>
        </w:rPr>
        <w:t>188</w:t>
      </w:r>
      <w:r w:rsidR="004756C1" w:rsidRPr="002F50BD">
        <w:rPr>
          <w:rFonts w:ascii="Verdana" w:hAnsi="Verdana"/>
          <w:sz w:val="20"/>
          <w:lang w:val="pt-BR"/>
        </w:rPr>
        <w:t xml:space="preserve"> </w:t>
      </w:r>
      <w:r w:rsidR="00E10DBB" w:rsidRPr="002F50BD">
        <w:rPr>
          <w:rFonts w:ascii="Verdana" w:hAnsi="Verdana"/>
          <w:sz w:val="20"/>
          <w:lang w:val="pt-BR"/>
        </w:rPr>
        <w:t>hectares</w:t>
      </w:r>
      <w:r w:rsidR="00937400" w:rsidRPr="002F50BD">
        <w:rPr>
          <w:rFonts w:ascii="Verdana" w:hAnsi="Verdana"/>
          <w:sz w:val="20"/>
          <w:lang w:val="pt-BR"/>
        </w:rPr>
        <w:t>.</w:t>
      </w:r>
      <w:r w:rsidR="004756C1" w:rsidRPr="002F50BD">
        <w:rPr>
          <w:rStyle w:val="FootnoteReference"/>
          <w:rFonts w:ascii="Verdana" w:hAnsi="Verdana"/>
        </w:rPr>
        <w:footnoteReference w:id="66"/>
      </w:r>
      <w:r w:rsidR="004756C1" w:rsidRPr="002F50BD">
        <w:rPr>
          <w:rFonts w:ascii="Verdana" w:hAnsi="Verdana"/>
          <w:sz w:val="20"/>
          <w:lang w:val="pt-BR"/>
        </w:rPr>
        <w:t xml:space="preserve"> Posteriormente</w:t>
      </w:r>
      <w:r w:rsidR="00937400" w:rsidRPr="002F50BD">
        <w:rPr>
          <w:rFonts w:ascii="Verdana" w:hAnsi="Verdana"/>
          <w:sz w:val="20"/>
          <w:lang w:val="pt-BR"/>
        </w:rPr>
        <w:t>,</w:t>
      </w:r>
      <w:r w:rsidR="0089298C" w:rsidRPr="002F50BD">
        <w:rPr>
          <w:rFonts w:ascii="Verdana" w:hAnsi="Verdana"/>
          <w:sz w:val="20"/>
          <w:lang w:val="pt-BR"/>
        </w:rPr>
        <w:t xml:space="preserve"> os advogad</w:t>
      </w:r>
      <w:r w:rsidR="004756C1" w:rsidRPr="002F50BD">
        <w:rPr>
          <w:rFonts w:ascii="Verdana" w:hAnsi="Verdana"/>
          <w:sz w:val="20"/>
          <w:lang w:val="pt-BR"/>
        </w:rPr>
        <w:t>os</w:t>
      </w:r>
      <w:r w:rsidR="0089298C" w:rsidRPr="002F50BD">
        <w:rPr>
          <w:rFonts w:ascii="Verdana" w:hAnsi="Verdana"/>
          <w:sz w:val="20"/>
          <w:lang w:val="pt-BR"/>
        </w:rPr>
        <w:t xml:space="preserve"> da Comunidade apresentaram relatórios</w:t>
      </w:r>
      <w:r w:rsidR="004756C1" w:rsidRPr="002F50BD">
        <w:rPr>
          <w:rFonts w:ascii="Verdana" w:hAnsi="Verdana"/>
          <w:sz w:val="20"/>
          <w:lang w:val="pt-BR"/>
        </w:rPr>
        <w:t xml:space="preserve"> </w:t>
      </w:r>
      <w:r w:rsidR="0089298C" w:rsidRPr="002F50BD">
        <w:rPr>
          <w:rFonts w:ascii="Verdana" w:hAnsi="Verdana"/>
          <w:sz w:val="20"/>
          <w:lang w:val="pt-BR"/>
        </w:rPr>
        <w:t>periciais com a precisão</w:t>
      </w:r>
      <w:r w:rsidR="004756C1" w:rsidRPr="002F50BD">
        <w:rPr>
          <w:rFonts w:ascii="Verdana" w:hAnsi="Verdana"/>
          <w:sz w:val="20"/>
          <w:lang w:val="pt-BR"/>
        </w:rPr>
        <w:t xml:space="preserve"> técnica</w:t>
      </w:r>
      <w:r w:rsidR="0089298C" w:rsidRPr="002F50BD">
        <w:rPr>
          <w:rFonts w:ascii="Verdana" w:hAnsi="Verdana"/>
          <w:sz w:val="20"/>
          <w:lang w:val="pt-BR"/>
        </w:rPr>
        <w:t xml:space="preserve"> da localização</w:t>
      </w:r>
      <w:r w:rsidR="004756C1" w:rsidRPr="002F50BD">
        <w:rPr>
          <w:rFonts w:ascii="Verdana" w:hAnsi="Verdana"/>
          <w:sz w:val="20"/>
          <w:lang w:val="pt-BR"/>
        </w:rPr>
        <w:t xml:space="preserve"> </w:t>
      </w:r>
      <w:r w:rsidR="0089298C" w:rsidRPr="002F50BD">
        <w:rPr>
          <w:rFonts w:ascii="Verdana" w:hAnsi="Verdana"/>
          <w:sz w:val="20"/>
          <w:lang w:val="pt-BR"/>
        </w:rPr>
        <w:t>do território</w:t>
      </w:r>
      <w:r w:rsidR="004756C1" w:rsidRPr="002F50BD">
        <w:rPr>
          <w:rFonts w:ascii="Verdana" w:hAnsi="Verdana"/>
          <w:sz w:val="20"/>
          <w:lang w:val="pt-BR"/>
        </w:rPr>
        <w:t xml:space="preserve"> reivindicado</w:t>
      </w:r>
      <w:r w:rsidR="00937400" w:rsidRPr="002F50BD">
        <w:rPr>
          <w:rFonts w:ascii="Verdana" w:hAnsi="Verdana"/>
          <w:sz w:val="20"/>
          <w:lang w:val="pt-BR"/>
        </w:rPr>
        <w:t>.</w:t>
      </w:r>
      <w:r w:rsidR="004756C1" w:rsidRPr="002F50BD">
        <w:rPr>
          <w:rStyle w:val="FootnoteReference"/>
          <w:rFonts w:ascii="Verdana" w:hAnsi="Verdana"/>
        </w:rPr>
        <w:footnoteReference w:id="67"/>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16</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1997</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Centro de </w:t>
      </w:r>
      <w:r w:rsidR="0089298C" w:rsidRPr="002F50BD">
        <w:rPr>
          <w:rFonts w:ascii="Verdana" w:hAnsi="Verdana"/>
          <w:sz w:val="20"/>
          <w:lang w:val="pt-BR"/>
        </w:rPr>
        <w:t>Estudo</w:t>
      </w:r>
      <w:r w:rsidR="004756C1" w:rsidRPr="002F50BD">
        <w:rPr>
          <w:rFonts w:ascii="Verdana" w:hAnsi="Verdana"/>
          <w:sz w:val="20"/>
          <w:lang w:val="pt-BR"/>
        </w:rPr>
        <w:t>s Antropológicos</w:t>
      </w:r>
      <w:r w:rsidR="0089298C" w:rsidRPr="002F50BD">
        <w:rPr>
          <w:rFonts w:ascii="Verdana" w:hAnsi="Verdana"/>
          <w:sz w:val="20"/>
          <w:lang w:val="pt-BR"/>
        </w:rPr>
        <w:t xml:space="preserve"> da Universidade </w:t>
      </w:r>
      <w:r w:rsidR="004756C1" w:rsidRPr="002F50BD">
        <w:rPr>
          <w:rFonts w:ascii="Verdana" w:hAnsi="Verdana"/>
          <w:sz w:val="20"/>
          <w:lang w:val="pt-BR"/>
        </w:rPr>
        <w:t>Católica “</w:t>
      </w:r>
      <w:r w:rsidR="00937400" w:rsidRPr="002F50BD">
        <w:rPr>
          <w:rFonts w:ascii="Verdana" w:hAnsi="Verdana"/>
          <w:sz w:val="20"/>
          <w:lang w:val="pt-BR"/>
        </w:rPr>
        <w:t>Nuestra Senhora de la Asunción</w:t>
      </w:r>
      <w:r w:rsidR="004756C1" w:rsidRPr="002F50BD">
        <w:rPr>
          <w:rFonts w:ascii="Verdana" w:hAnsi="Verdana"/>
          <w:sz w:val="20"/>
          <w:lang w:val="pt-BR"/>
        </w:rPr>
        <w:t xml:space="preserve">” </w:t>
      </w:r>
      <w:r w:rsidR="0089298C" w:rsidRPr="002F50BD">
        <w:rPr>
          <w:rFonts w:ascii="Verdana" w:hAnsi="Verdana"/>
          <w:sz w:val="20"/>
          <w:lang w:val="pt-BR"/>
        </w:rPr>
        <w:t xml:space="preserve">apresentou o relatório </w:t>
      </w:r>
      <w:r w:rsidR="004756C1" w:rsidRPr="002F50BD">
        <w:rPr>
          <w:rFonts w:ascii="Verdana" w:hAnsi="Verdana"/>
          <w:sz w:val="20"/>
          <w:lang w:val="pt-BR"/>
        </w:rPr>
        <w:lastRenderedPageBreak/>
        <w:t xml:space="preserve">antropológico requerido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33</w:t>
      </w:r>
      <w:r w:rsidR="00937400" w:rsidRPr="002F50BD">
        <w:rPr>
          <w:rFonts w:ascii="Verdana" w:hAnsi="Verdana"/>
          <w:i/>
          <w:sz w:val="20"/>
          <w:lang w:val="pt-BR"/>
        </w:rPr>
        <w:t xml:space="preserve"> supra</w:t>
      </w:r>
      <w:r w:rsidR="00CF451D" w:rsidRPr="00CF451D">
        <w:rPr>
          <w:rFonts w:ascii="Verdana" w:hAnsi="Verdana"/>
          <w:sz w:val="20"/>
          <w:lang w:val="pt-BR"/>
        </w:rPr>
        <w:t>)</w:t>
      </w:r>
      <w:r w:rsidR="00937400" w:rsidRPr="002F50BD">
        <w:rPr>
          <w:rFonts w:ascii="Verdana" w:hAnsi="Verdana"/>
          <w:sz w:val="20"/>
          <w:lang w:val="pt-BR"/>
        </w:rPr>
        <w:t>.</w:t>
      </w:r>
      <w:r w:rsidR="004756C1" w:rsidRPr="002F50BD">
        <w:rPr>
          <w:rStyle w:val="FootnoteReference"/>
          <w:rFonts w:ascii="Verdana" w:hAnsi="Verdana"/>
        </w:rPr>
        <w:footnoteReference w:id="68"/>
      </w:r>
      <w:r w:rsidR="001A0CDE" w:rsidRPr="002F50BD">
        <w:rPr>
          <w:rFonts w:ascii="Verdana" w:hAnsi="Verdana"/>
          <w:sz w:val="20"/>
          <w:lang w:val="pt-BR"/>
        </w:rPr>
        <w:t xml:space="preserve"> Est</w:t>
      </w:r>
      <w:r w:rsidR="004756C1" w:rsidRPr="002F50BD">
        <w:rPr>
          <w:rFonts w:ascii="Verdana" w:hAnsi="Verdana"/>
          <w:sz w:val="20"/>
          <w:lang w:val="pt-BR"/>
        </w:rPr>
        <w:t>e</w:t>
      </w:r>
      <w:r w:rsidR="0089298C" w:rsidRPr="002F50BD">
        <w:rPr>
          <w:rFonts w:ascii="Verdana" w:hAnsi="Verdana"/>
          <w:sz w:val="20"/>
          <w:lang w:val="pt-BR"/>
        </w:rPr>
        <w:t xml:space="preserve"> relatório foi </w:t>
      </w:r>
      <w:r w:rsidR="004756C1" w:rsidRPr="002F50BD">
        <w:rPr>
          <w:rFonts w:ascii="Verdana" w:hAnsi="Verdana"/>
          <w:sz w:val="20"/>
          <w:lang w:val="pt-BR"/>
        </w:rPr>
        <w:t>impugnado</w:t>
      </w:r>
      <w:r w:rsidR="0089298C" w:rsidRPr="002F50BD">
        <w:rPr>
          <w:rFonts w:ascii="Verdana" w:hAnsi="Verdana"/>
          <w:sz w:val="20"/>
          <w:lang w:val="pt-BR"/>
        </w:rPr>
        <w:t xml:space="preserve"> </w:t>
      </w:r>
      <w:r w:rsidR="00937400" w:rsidRPr="002F50BD">
        <w:rPr>
          <w:rFonts w:ascii="Verdana" w:hAnsi="Verdana"/>
          <w:sz w:val="20"/>
          <w:lang w:val="pt-BR"/>
        </w:rPr>
        <w:t>em</w:t>
      </w:r>
      <w:r w:rsidR="0089298C" w:rsidRPr="002F50BD">
        <w:rPr>
          <w:rFonts w:ascii="Verdana" w:hAnsi="Verdana"/>
          <w:sz w:val="20"/>
          <w:lang w:val="pt-BR"/>
        </w:rPr>
        <w:t xml:space="preserve"> </w:t>
      </w:r>
      <w:r w:rsidRPr="002F50BD">
        <w:rPr>
          <w:rFonts w:ascii="Verdana" w:hAnsi="Verdana"/>
          <w:sz w:val="20"/>
          <w:lang w:val="pt-BR"/>
        </w:rPr>
        <w:t>13</w:t>
      </w:r>
      <w:r w:rsidR="004756C1" w:rsidRPr="002F50BD">
        <w:rPr>
          <w:rFonts w:ascii="Verdana" w:hAnsi="Verdana"/>
          <w:sz w:val="20"/>
          <w:lang w:val="pt-BR"/>
        </w:rPr>
        <w:t xml:space="preserve"> de abril de </w:t>
      </w:r>
      <w:r w:rsidRPr="002F50BD">
        <w:rPr>
          <w:rFonts w:ascii="Verdana" w:hAnsi="Verdana"/>
          <w:sz w:val="20"/>
          <w:lang w:val="pt-BR"/>
        </w:rPr>
        <w:t>1998</w:t>
      </w:r>
      <w:r w:rsidR="0089298C" w:rsidRPr="002F50BD">
        <w:rPr>
          <w:rFonts w:ascii="Verdana" w:hAnsi="Verdana"/>
          <w:sz w:val="20"/>
          <w:lang w:val="pt-BR"/>
        </w:rPr>
        <w:t xml:space="preserve"> pelas </w:t>
      </w:r>
      <w:r w:rsidR="004756C1" w:rsidRPr="002F50BD">
        <w:rPr>
          <w:rFonts w:ascii="Verdana" w:hAnsi="Verdana"/>
          <w:sz w:val="20"/>
          <w:lang w:val="pt-BR"/>
        </w:rPr>
        <w:t xml:space="preserve">empresas </w:t>
      </w:r>
      <w:r w:rsidR="00937400" w:rsidRPr="002F50BD">
        <w:rPr>
          <w:rFonts w:ascii="Verdana" w:hAnsi="Verdana"/>
          <w:sz w:val="20"/>
          <w:lang w:val="pt-BR"/>
        </w:rPr>
        <w:t>proprietári</w:t>
      </w:r>
      <w:r w:rsidR="004756C1" w:rsidRPr="002F50BD">
        <w:rPr>
          <w:rFonts w:ascii="Verdana" w:hAnsi="Verdana"/>
          <w:sz w:val="20"/>
          <w:lang w:val="pt-BR"/>
        </w:rPr>
        <w:t>as</w:t>
      </w:r>
      <w:r w:rsidR="0089298C" w:rsidRPr="002F50BD">
        <w:rPr>
          <w:rFonts w:ascii="Verdana" w:hAnsi="Verdana"/>
          <w:sz w:val="20"/>
          <w:lang w:val="pt-BR"/>
        </w:rPr>
        <w:t xml:space="preserve"> das </w:t>
      </w:r>
      <w:r w:rsidR="00060B3A" w:rsidRPr="002F50BD">
        <w:rPr>
          <w:rFonts w:ascii="Verdana" w:hAnsi="Verdana"/>
          <w:sz w:val="20"/>
          <w:lang w:val="pt-BR"/>
        </w:rPr>
        <w:t xml:space="preserve">fazendas </w:t>
      </w:r>
      <w:r w:rsidR="004756C1" w:rsidRPr="002F50BD">
        <w:rPr>
          <w:rFonts w:ascii="Verdana" w:hAnsi="Verdana"/>
          <w:sz w:val="20"/>
          <w:lang w:val="pt-BR"/>
        </w:rPr>
        <w:t>reclamadas</w:t>
      </w:r>
      <w:r w:rsidR="0089298C" w:rsidRPr="002F50BD">
        <w:rPr>
          <w:rFonts w:ascii="Verdana" w:hAnsi="Verdana"/>
          <w:sz w:val="20"/>
          <w:lang w:val="pt-BR"/>
        </w:rPr>
        <w:t xml:space="preserve"> pela Comunidade </w:t>
      </w:r>
      <w:r w:rsidR="004756C1" w:rsidRPr="002F50BD">
        <w:rPr>
          <w:rFonts w:ascii="Verdana" w:hAnsi="Verdana"/>
          <w:sz w:val="20"/>
          <w:lang w:val="pt-BR"/>
        </w:rPr>
        <w:t>Yakye Axa</w:t>
      </w:r>
      <w:r w:rsidR="00937400" w:rsidRPr="002F50BD">
        <w:rPr>
          <w:rFonts w:ascii="Verdana" w:hAnsi="Verdana"/>
          <w:sz w:val="20"/>
          <w:lang w:val="pt-BR"/>
        </w:rPr>
        <w:t>.</w:t>
      </w:r>
      <w:r w:rsidR="004756C1" w:rsidRPr="002F50BD">
        <w:rPr>
          <w:rStyle w:val="FootnoteReference"/>
          <w:rFonts w:ascii="Verdana" w:hAnsi="Verdana"/>
        </w:rPr>
        <w:footnoteReference w:id="69"/>
      </w:r>
      <w:r w:rsidR="00FE08B7">
        <w:rPr>
          <w:rFonts w:ascii="Verdana" w:hAnsi="Verdana"/>
          <w:sz w:val="20"/>
          <w:lang w:val="pt-BR"/>
        </w:rPr>
        <w:t xml:space="preserve"> </w:t>
      </w:r>
      <w:r w:rsidR="00937400" w:rsidRPr="002F50BD">
        <w:rPr>
          <w:rFonts w:ascii="Verdana" w:hAnsi="Verdana"/>
          <w:sz w:val="20"/>
          <w:lang w:val="pt-BR"/>
        </w:rPr>
        <w:t>Do mesmo modo</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escritos</w:t>
      </w:r>
      <w:r w:rsidR="0089298C" w:rsidRPr="002F50BD">
        <w:rPr>
          <w:rFonts w:ascii="Verdana" w:hAnsi="Verdana"/>
          <w:sz w:val="20"/>
          <w:lang w:val="pt-BR"/>
        </w:rPr>
        <w:t xml:space="preserve"> apresentados </w:t>
      </w:r>
      <w:r w:rsidR="00937400"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INDI</w:t>
      </w:r>
      <w:r w:rsidR="0089298C" w:rsidRPr="002F50BD">
        <w:rPr>
          <w:rFonts w:ascii="Verdana" w:hAnsi="Verdana"/>
          <w:sz w:val="20"/>
          <w:lang w:val="pt-BR"/>
        </w:rPr>
        <w:t xml:space="preserve"> </w:t>
      </w:r>
      <w:r w:rsidR="00937400" w:rsidRPr="002F50BD">
        <w:rPr>
          <w:rFonts w:ascii="Verdana" w:hAnsi="Verdana"/>
          <w:sz w:val="20"/>
          <w:lang w:val="pt-BR"/>
        </w:rPr>
        <w:t>n</w:t>
      </w:r>
      <w:r w:rsidR="0089298C" w:rsidRPr="002F50BD">
        <w:rPr>
          <w:rFonts w:ascii="Verdana" w:hAnsi="Verdana"/>
          <w:sz w:val="20"/>
          <w:lang w:val="pt-BR"/>
        </w:rPr>
        <w:t>os dia</w:t>
      </w:r>
      <w:r w:rsidR="004756C1" w:rsidRPr="002F50BD">
        <w:rPr>
          <w:rFonts w:ascii="Verdana" w:hAnsi="Verdana"/>
          <w:sz w:val="20"/>
          <w:lang w:val="pt-BR"/>
        </w:rPr>
        <w:t xml:space="preserve">s </w:t>
      </w:r>
      <w:r w:rsidRPr="002F50BD">
        <w:rPr>
          <w:rFonts w:ascii="Verdana" w:hAnsi="Verdana"/>
          <w:sz w:val="20"/>
          <w:lang w:val="pt-BR"/>
        </w:rPr>
        <w:t>22</w:t>
      </w:r>
      <w:r w:rsidR="0089298C" w:rsidRPr="002F50BD">
        <w:rPr>
          <w:rFonts w:ascii="Verdana" w:hAnsi="Verdana"/>
          <w:sz w:val="20"/>
          <w:lang w:val="pt-BR"/>
        </w:rPr>
        <w:t xml:space="preserve"> e </w:t>
      </w:r>
      <w:r w:rsidRPr="002F50BD">
        <w:rPr>
          <w:rFonts w:ascii="Verdana" w:hAnsi="Verdana"/>
          <w:sz w:val="20"/>
          <w:lang w:val="pt-BR"/>
        </w:rPr>
        <w:t>28</w:t>
      </w:r>
      <w:r w:rsidR="004756C1" w:rsidRPr="002F50BD">
        <w:rPr>
          <w:rFonts w:ascii="Verdana" w:hAnsi="Verdana"/>
          <w:sz w:val="20"/>
          <w:lang w:val="pt-BR"/>
        </w:rPr>
        <w:t xml:space="preserve"> de abril de </w:t>
      </w:r>
      <w:r w:rsidRPr="002F50BD">
        <w:rPr>
          <w:rFonts w:ascii="Verdana" w:hAnsi="Verdana"/>
          <w:sz w:val="20"/>
          <w:lang w:val="pt-BR"/>
        </w:rPr>
        <w:t>1998</w:t>
      </w:r>
      <w:r w:rsidR="004756C1" w:rsidRPr="002F50BD">
        <w:rPr>
          <w:rFonts w:ascii="Verdana" w:hAnsi="Verdana"/>
          <w:sz w:val="20"/>
          <w:lang w:val="pt-BR"/>
        </w:rPr>
        <w:t xml:space="preserve">, </w:t>
      </w:r>
      <w:r w:rsidR="0089298C" w:rsidRPr="002F50BD">
        <w:rPr>
          <w:rFonts w:ascii="Verdana" w:hAnsi="Verdana"/>
          <w:sz w:val="20"/>
          <w:lang w:val="pt-BR"/>
        </w:rPr>
        <w:t>esta</w:t>
      </w:r>
      <w:r w:rsidR="004756C1" w:rsidRPr="002F50BD">
        <w:rPr>
          <w:rFonts w:ascii="Verdana" w:hAnsi="Verdana"/>
          <w:sz w:val="20"/>
          <w:lang w:val="pt-BR"/>
        </w:rPr>
        <w:t xml:space="preserve">s empresas </w:t>
      </w:r>
      <w:r w:rsidR="0089298C" w:rsidRPr="002F50BD">
        <w:rPr>
          <w:rFonts w:ascii="Verdana" w:hAnsi="Verdana"/>
          <w:sz w:val="20"/>
          <w:lang w:val="pt-BR"/>
        </w:rPr>
        <w:t>manifestaram</w:t>
      </w:r>
      <w:r w:rsidR="004756C1" w:rsidRPr="002F50BD">
        <w:rPr>
          <w:rFonts w:ascii="Verdana" w:hAnsi="Verdana"/>
          <w:sz w:val="20"/>
          <w:lang w:val="pt-BR"/>
        </w:rPr>
        <w:t xml:space="preserve"> que</w:t>
      </w:r>
      <w:r w:rsidR="00AB454A" w:rsidRPr="002F50BD">
        <w:rPr>
          <w:rFonts w:ascii="Verdana" w:hAnsi="Verdana"/>
          <w:sz w:val="20"/>
          <w:lang w:val="pt-BR"/>
        </w:rPr>
        <w:t xml:space="preserve"> não tinha</w:t>
      </w:r>
      <w:r w:rsidR="0089298C" w:rsidRPr="002F50BD">
        <w:rPr>
          <w:rFonts w:ascii="Verdana" w:hAnsi="Verdana"/>
          <w:sz w:val="20"/>
          <w:lang w:val="pt-BR"/>
        </w:rPr>
        <w:t>m</w:t>
      </w:r>
      <w:r w:rsidR="004756C1" w:rsidRPr="002F50BD">
        <w:rPr>
          <w:rFonts w:ascii="Verdana" w:hAnsi="Verdana"/>
          <w:sz w:val="20"/>
          <w:lang w:val="pt-BR"/>
        </w:rPr>
        <w:t xml:space="preserve"> </w:t>
      </w:r>
      <w:r w:rsidR="0089298C" w:rsidRPr="002F50BD">
        <w:rPr>
          <w:rFonts w:ascii="Verdana" w:hAnsi="Verdana"/>
          <w:sz w:val="20"/>
          <w:lang w:val="pt-BR"/>
        </w:rPr>
        <w:t xml:space="preserve">interesse em </w:t>
      </w:r>
      <w:r w:rsidR="004756C1" w:rsidRPr="002F50BD">
        <w:rPr>
          <w:rFonts w:ascii="Verdana" w:hAnsi="Verdana"/>
          <w:sz w:val="20"/>
          <w:lang w:val="pt-BR"/>
        </w:rPr>
        <w:t>negociar</w:t>
      </w:r>
      <w:r w:rsidR="0089298C" w:rsidRPr="002F50BD">
        <w:rPr>
          <w:rFonts w:ascii="Verdana" w:hAnsi="Verdana"/>
          <w:sz w:val="20"/>
          <w:lang w:val="pt-BR"/>
        </w:rPr>
        <w:t xml:space="preserve"> a </w:t>
      </w:r>
      <w:r w:rsidR="004756C1" w:rsidRPr="002F50BD">
        <w:rPr>
          <w:rFonts w:ascii="Verdana" w:hAnsi="Verdana"/>
          <w:sz w:val="20"/>
          <w:lang w:val="pt-BR"/>
        </w:rPr>
        <w:t>ven</w:t>
      </w:r>
      <w:r w:rsidR="00937400" w:rsidRPr="002F50BD">
        <w:rPr>
          <w:rFonts w:ascii="Verdana" w:hAnsi="Verdana"/>
          <w:sz w:val="20"/>
          <w:lang w:val="pt-BR"/>
        </w:rPr>
        <w:t>d</w:t>
      </w:r>
      <w:r w:rsidR="004756C1" w:rsidRPr="002F50BD">
        <w:rPr>
          <w:rFonts w:ascii="Verdana" w:hAnsi="Verdana"/>
          <w:sz w:val="20"/>
          <w:lang w:val="pt-BR"/>
        </w:rPr>
        <w:t>a</w:t>
      </w:r>
      <w:r w:rsidR="0089298C" w:rsidRPr="002F50BD">
        <w:rPr>
          <w:rFonts w:ascii="Verdana" w:hAnsi="Verdana"/>
          <w:sz w:val="20"/>
          <w:lang w:val="pt-BR"/>
        </w:rPr>
        <w:t xml:space="preserve"> dos </w:t>
      </w:r>
      <w:r w:rsidR="000920B2" w:rsidRPr="002F50BD">
        <w:rPr>
          <w:rFonts w:ascii="Verdana" w:hAnsi="Verdana"/>
          <w:sz w:val="20"/>
          <w:lang w:val="pt-BR"/>
        </w:rPr>
        <w:t>imóveis</w:t>
      </w:r>
      <w:r w:rsidR="004756C1" w:rsidRPr="002F50BD">
        <w:rPr>
          <w:rFonts w:ascii="Verdana" w:hAnsi="Verdana"/>
          <w:sz w:val="20"/>
          <w:lang w:val="pt-BR"/>
        </w:rPr>
        <w:t xml:space="preserve"> </w:t>
      </w:r>
      <w:r w:rsidR="0089298C" w:rsidRPr="002F50BD">
        <w:rPr>
          <w:rFonts w:ascii="Verdana" w:hAnsi="Verdana"/>
          <w:sz w:val="20"/>
          <w:lang w:val="pt-BR"/>
        </w:rPr>
        <w:t>afeta</w:t>
      </w:r>
      <w:r w:rsidR="004756C1" w:rsidRPr="002F50BD">
        <w:rPr>
          <w:rFonts w:ascii="Verdana" w:hAnsi="Verdana"/>
          <w:sz w:val="20"/>
          <w:lang w:val="pt-BR"/>
        </w:rPr>
        <w:t>dos</w:t>
      </w:r>
      <w:r w:rsidR="0089298C" w:rsidRPr="002F50BD">
        <w:rPr>
          <w:rFonts w:ascii="Verdana" w:hAnsi="Verdana"/>
          <w:sz w:val="20"/>
          <w:lang w:val="pt-BR"/>
        </w:rPr>
        <w:t xml:space="preserve"> pel</w:t>
      </w:r>
      <w:r w:rsidR="00EC5F20" w:rsidRPr="002F50BD">
        <w:rPr>
          <w:rFonts w:ascii="Verdana" w:hAnsi="Verdana"/>
          <w:sz w:val="20"/>
          <w:lang w:val="pt-BR"/>
        </w:rPr>
        <w:t xml:space="preserve">o pedido </w:t>
      </w:r>
      <w:r w:rsidR="004756C1" w:rsidRPr="002F50BD">
        <w:rPr>
          <w:rFonts w:ascii="Verdana" w:hAnsi="Verdana"/>
          <w:sz w:val="20"/>
          <w:lang w:val="pt-BR"/>
        </w:rPr>
        <w:t>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 xml:space="preserve">território da Comunidade </w:t>
      </w:r>
      <w:r w:rsidR="004756C1" w:rsidRPr="002F50BD">
        <w:rPr>
          <w:rFonts w:ascii="Verdana" w:hAnsi="Verdana"/>
          <w:sz w:val="20"/>
          <w:lang w:val="pt-BR"/>
        </w:rPr>
        <w:t>Yakye Axa</w:t>
      </w:r>
      <w:r w:rsidR="0089298C" w:rsidRPr="002F50BD">
        <w:rPr>
          <w:rFonts w:ascii="Verdana" w:hAnsi="Verdana"/>
          <w:sz w:val="20"/>
          <w:lang w:val="pt-BR"/>
        </w:rPr>
        <w:t xml:space="preserve"> e solicitaram</w:t>
      </w:r>
      <w:r w:rsidR="004756C1" w:rsidRPr="002F50BD">
        <w:rPr>
          <w:rFonts w:ascii="Verdana" w:hAnsi="Verdana"/>
          <w:sz w:val="20"/>
          <w:lang w:val="pt-BR"/>
        </w:rPr>
        <w:t xml:space="preserve"> que </w:t>
      </w:r>
      <w:r w:rsidR="00EC5F20" w:rsidRPr="002F50BD">
        <w:rPr>
          <w:rFonts w:ascii="Verdana" w:hAnsi="Verdana"/>
          <w:sz w:val="20"/>
          <w:lang w:val="pt-BR"/>
        </w:rPr>
        <w:t xml:space="preserve">fosse rejeitado o pedido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EC5F20" w:rsidRPr="002F50BD">
        <w:rPr>
          <w:rFonts w:ascii="Verdana" w:hAnsi="Verdana"/>
          <w:sz w:val="20"/>
          <w:lang w:val="pt-BR"/>
        </w:rPr>
        <w:t xml:space="preserve"> realizado</w:t>
      </w:r>
      <w:r w:rsidR="0089298C" w:rsidRPr="002F50BD">
        <w:rPr>
          <w:rFonts w:ascii="Verdana" w:hAnsi="Verdana"/>
          <w:sz w:val="20"/>
          <w:lang w:val="pt-BR"/>
        </w:rPr>
        <w:t xml:space="preserve"> pela Comunidade e </w:t>
      </w:r>
      <w:r w:rsidR="004756C1" w:rsidRPr="002F50BD">
        <w:rPr>
          <w:rFonts w:ascii="Verdana" w:hAnsi="Verdana"/>
          <w:sz w:val="20"/>
          <w:lang w:val="pt-BR"/>
        </w:rPr>
        <w:t>que</w:t>
      </w:r>
      <w:r w:rsidR="0089298C" w:rsidRPr="002F50BD">
        <w:rPr>
          <w:rFonts w:ascii="Verdana" w:hAnsi="Verdana"/>
          <w:sz w:val="20"/>
          <w:lang w:val="pt-BR"/>
        </w:rPr>
        <w:t xml:space="preserve"> o </w:t>
      </w:r>
      <w:r w:rsidR="004756C1" w:rsidRPr="002F50BD">
        <w:rPr>
          <w:rFonts w:ascii="Verdana" w:hAnsi="Verdana"/>
          <w:sz w:val="20"/>
          <w:lang w:val="pt-BR"/>
        </w:rPr>
        <w:t xml:space="preserve">expediente </w:t>
      </w:r>
      <w:r w:rsidR="0089298C" w:rsidRPr="002F50BD">
        <w:rPr>
          <w:rFonts w:ascii="Verdana" w:hAnsi="Verdana"/>
          <w:sz w:val="20"/>
          <w:lang w:val="pt-BR"/>
        </w:rPr>
        <w:t>fo</w:t>
      </w:r>
      <w:r w:rsidR="00937400" w:rsidRPr="002F50BD">
        <w:rPr>
          <w:rFonts w:ascii="Verdana" w:hAnsi="Verdana"/>
          <w:sz w:val="20"/>
          <w:lang w:val="pt-BR"/>
        </w:rPr>
        <w:t>sse</w:t>
      </w:r>
      <w:r w:rsidR="004756C1" w:rsidRPr="002F50BD">
        <w:rPr>
          <w:rFonts w:ascii="Verdana" w:hAnsi="Verdana"/>
          <w:sz w:val="20"/>
          <w:lang w:val="pt-BR"/>
        </w:rPr>
        <w:t xml:space="preserve"> rem</w:t>
      </w:r>
      <w:r w:rsidR="00937400" w:rsidRPr="002F50BD">
        <w:rPr>
          <w:rFonts w:ascii="Verdana" w:hAnsi="Verdana"/>
          <w:sz w:val="20"/>
          <w:lang w:val="pt-BR"/>
        </w:rPr>
        <w:t>e</w:t>
      </w:r>
      <w:r w:rsidR="004756C1" w:rsidRPr="002F50BD">
        <w:rPr>
          <w:rFonts w:ascii="Verdana" w:hAnsi="Verdana"/>
          <w:sz w:val="20"/>
          <w:lang w:val="pt-BR"/>
        </w:rPr>
        <w:t>tido</w:t>
      </w:r>
      <w:r w:rsidR="0089298C" w:rsidRPr="002F50BD">
        <w:rPr>
          <w:rFonts w:ascii="Verdana" w:hAnsi="Verdana"/>
          <w:sz w:val="20"/>
          <w:lang w:val="pt-BR"/>
        </w:rPr>
        <w:t xml:space="preserve"> ao </w:t>
      </w:r>
      <w:r w:rsidR="004756C1" w:rsidRPr="002F50BD">
        <w:rPr>
          <w:rFonts w:ascii="Verdana" w:hAnsi="Verdana"/>
          <w:sz w:val="20"/>
          <w:lang w:val="pt-BR"/>
        </w:rPr>
        <w:t>IBR</w:t>
      </w:r>
      <w:r w:rsidR="00937400" w:rsidRPr="002F50BD">
        <w:rPr>
          <w:rFonts w:ascii="Verdana" w:hAnsi="Verdana"/>
          <w:sz w:val="20"/>
          <w:lang w:val="pt-BR"/>
        </w:rPr>
        <w:t>.</w:t>
      </w:r>
      <w:r w:rsidR="004756C1" w:rsidRPr="002F50BD">
        <w:rPr>
          <w:rStyle w:val="FootnoteReference"/>
          <w:rFonts w:ascii="Verdana" w:hAnsi="Verdana"/>
        </w:rPr>
        <w:footnoteReference w:id="70"/>
      </w:r>
      <w:r w:rsidR="00FE08B7">
        <w:rPr>
          <w:rFonts w:ascii="Verdana" w:hAnsi="Verdana"/>
          <w:sz w:val="20"/>
          <w:lang w:val="pt-BR"/>
        </w:rPr>
        <w:t xml:space="preserve"> </w:t>
      </w:r>
    </w:p>
    <w:p w:rsidR="004756C1" w:rsidRPr="002F50BD" w:rsidRDefault="004756C1">
      <w:pPr>
        <w:ind w:left="720"/>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21</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a Direção</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INDI aconse</w:t>
      </w:r>
      <w:r w:rsidR="00937400" w:rsidRPr="002F50BD">
        <w:rPr>
          <w:rFonts w:ascii="Verdana" w:hAnsi="Verdana"/>
          <w:sz w:val="20"/>
          <w:lang w:val="pt-BR"/>
        </w:rPr>
        <w:t xml:space="preserve">lhou </w:t>
      </w:r>
      <w:r w:rsidR="004756C1" w:rsidRPr="002F50BD">
        <w:rPr>
          <w:rFonts w:ascii="Verdana" w:hAnsi="Verdana"/>
          <w:sz w:val="20"/>
          <w:lang w:val="pt-BR"/>
        </w:rPr>
        <w:t xml:space="preserve">que </w:t>
      </w:r>
      <w:r w:rsidR="00937400" w:rsidRPr="002F50BD">
        <w:rPr>
          <w:rFonts w:ascii="Verdana" w:hAnsi="Verdana"/>
          <w:sz w:val="20"/>
          <w:lang w:val="pt-BR"/>
        </w:rPr>
        <w:t xml:space="preserve">o expediente fosse enviado </w:t>
      </w:r>
      <w:r w:rsidR="0089298C" w:rsidRPr="002F50BD">
        <w:rPr>
          <w:rFonts w:ascii="Verdana" w:hAnsi="Verdana"/>
          <w:sz w:val="20"/>
          <w:lang w:val="pt-BR"/>
        </w:rPr>
        <w:t xml:space="preserve">ao </w:t>
      </w:r>
      <w:r w:rsidR="004756C1" w:rsidRPr="002F50BD">
        <w:rPr>
          <w:rFonts w:ascii="Verdana" w:hAnsi="Verdana"/>
          <w:sz w:val="20"/>
          <w:lang w:val="pt-BR"/>
        </w:rPr>
        <w:t xml:space="preserve">IBR para que </w:t>
      </w:r>
      <w:r w:rsidR="00937400" w:rsidRPr="002F50BD">
        <w:rPr>
          <w:rFonts w:ascii="Verdana" w:hAnsi="Verdana"/>
          <w:sz w:val="20"/>
          <w:lang w:val="pt-BR"/>
        </w:rPr>
        <w:t xml:space="preserve">fossem esgotados </w:t>
      </w:r>
      <w:r w:rsidR="0089298C" w:rsidRPr="002F50BD">
        <w:rPr>
          <w:rFonts w:ascii="Verdana" w:hAnsi="Verdana"/>
          <w:sz w:val="20"/>
          <w:lang w:val="pt-BR"/>
        </w:rPr>
        <w:t>os trâmite</w:t>
      </w:r>
      <w:r w:rsidR="004756C1" w:rsidRPr="002F50BD">
        <w:rPr>
          <w:rFonts w:ascii="Verdana" w:hAnsi="Verdana"/>
          <w:sz w:val="20"/>
          <w:lang w:val="pt-BR"/>
        </w:rPr>
        <w:t xml:space="preserve">s pertinentes </w:t>
      </w:r>
      <w:r w:rsidR="00937400" w:rsidRPr="002F50BD">
        <w:rPr>
          <w:rFonts w:ascii="Verdana" w:hAnsi="Verdana"/>
          <w:sz w:val="20"/>
          <w:lang w:val="pt-BR"/>
        </w:rPr>
        <w:t>per</w:t>
      </w:r>
      <w:r w:rsidR="004756C1" w:rsidRPr="002F50BD">
        <w:rPr>
          <w:rFonts w:ascii="Verdana" w:hAnsi="Verdana"/>
          <w:sz w:val="20"/>
          <w:lang w:val="pt-BR"/>
        </w:rPr>
        <w:t xml:space="preserve">ante esta </w:t>
      </w:r>
      <w:r w:rsidR="0089298C" w:rsidRPr="002F50BD">
        <w:rPr>
          <w:rFonts w:ascii="Verdana" w:hAnsi="Verdana"/>
          <w:sz w:val="20"/>
          <w:lang w:val="pt-BR"/>
        </w:rPr>
        <w:t>instituição</w:t>
      </w:r>
      <w:r w:rsidR="004756C1" w:rsidRPr="002F50BD">
        <w:rPr>
          <w:rFonts w:ascii="Verdana" w:hAnsi="Verdana"/>
          <w:sz w:val="20"/>
          <w:lang w:val="pt-BR"/>
        </w:rPr>
        <w:t>,</w:t>
      </w:r>
      <w:r w:rsidR="0089298C" w:rsidRPr="002F50BD">
        <w:rPr>
          <w:rFonts w:ascii="Verdana" w:hAnsi="Verdana"/>
          <w:sz w:val="20"/>
          <w:lang w:val="pt-BR"/>
        </w:rPr>
        <w:t xml:space="preserve"> onde</w:t>
      </w:r>
      <w:r w:rsidR="004756C1" w:rsidRPr="002F50BD">
        <w:rPr>
          <w:rFonts w:ascii="Verdana" w:hAnsi="Verdana"/>
          <w:sz w:val="20"/>
          <w:lang w:val="pt-BR"/>
        </w:rPr>
        <w:t xml:space="preserve"> </w:t>
      </w:r>
      <w:r w:rsidR="0089298C" w:rsidRPr="002F50BD">
        <w:rPr>
          <w:rFonts w:ascii="Verdana" w:hAnsi="Verdana"/>
          <w:sz w:val="20"/>
          <w:lang w:val="pt-BR"/>
        </w:rPr>
        <w:t>“os</w:t>
      </w:r>
      <w:r w:rsidR="004756C1" w:rsidRPr="002F50BD">
        <w:rPr>
          <w:rFonts w:ascii="Verdana" w:hAnsi="Verdana"/>
          <w:sz w:val="20"/>
          <w:lang w:val="pt-BR"/>
        </w:rPr>
        <w:t xml:space="preserve"> indígenas </w:t>
      </w:r>
      <w:r w:rsidR="0089298C" w:rsidRPr="002F50BD">
        <w:rPr>
          <w:rFonts w:ascii="Verdana" w:hAnsi="Verdana"/>
          <w:sz w:val="20"/>
          <w:lang w:val="pt-BR"/>
        </w:rPr>
        <w:t>interessad</w:t>
      </w:r>
      <w:r w:rsidR="004756C1" w:rsidRPr="002F50BD">
        <w:rPr>
          <w:rFonts w:ascii="Verdana" w:hAnsi="Verdana"/>
          <w:sz w:val="20"/>
          <w:lang w:val="pt-BR"/>
        </w:rPr>
        <w:t>os</w:t>
      </w:r>
      <w:r w:rsidR="0089298C" w:rsidRPr="002F50BD">
        <w:rPr>
          <w:rFonts w:ascii="Verdana" w:hAnsi="Verdana"/>
          <w:sz w:val="20"/>
          <w:lang w:val="pt-BR"/>
        </w:rPr>
        <w:t xml:space="preserve"> em </w:t>
      </w:r>
      <w:r w:rsidR="004756C1" w:rsidRPr="002F50BD">
        <w:rPr>
          <w:rFonts w:ascii="Verdana" w:hAnsi="Verdana"/>
          <w:sz w:val="20"/>
          <w:lang w:val="pt-BR"/>
        </w:rPr>
        <w:t>reivindicar</w:t>
      </w:r>
      <w:r w:rsidR="0089298C" w:rsidRPr="002F50BD">
        <w:rPr>
          <w:rFonts w:ascii="Verdana" w:hAnsi="Verdana"/>
          <w:sz w:val="20"/>
          <w:lang w:val="pt-BR"/>
        </w:rPr>
        <w:t xml:space="preserve"> as terra</w:t>
      </w:r>
      <w:r w:rsidR="004756C1" w:rsidRPr="002F50BD">
        <w:rPr>
          <w:rFonts w:ascii="Verdana" w:hAnsi="Verdana"/>
          <w:sz w:val="20"/>
          <w:lang w:val="pt-BR"/>
        </w:rPr>
        <w:t xml:space="preserve">s </w:t>
      </w:r>
      <w:r w:rsidR="0089298C" w:rsidRPr="002F50BD">
        <w:rPr>
          <w:rFonts w:ascii="Verdana" w:hAnsi="Verdana"/>
          <w:sz w:val="20"/>
          <w:lang w:val="pt-BR"/>
        </w:rPr>
        <w:t>deverão</w:t>
      </w:r>
      <w:r w:rsidR="004756C1" w:rsidRPr="002F50BD">
        <w:rPr>
          <w:rFonts w:ascii="Verdana" w:hAnsi="Verdana"/>
          <w:sz w:val="20"/>
          <w:lang w:val="pt-BR"/>
        </w:rPr>
        <w:t xml:space="preserve"> decidir </w:t>
      </w:r>
      <w:r w:rsidR="00CF451D" w:rsidRPr="00CF451D">
        <w:rPr>
          <w:rFonts w:ascii="Verdana" w:hAnsi="Verdana"/>
          <w:sz w:val="20"/>
          <w:lang w:val="pt-BR"/>
        </w:rPr>
        <w:t>(</w:t>
      </w:r>
      <w:r w:rsidR="0089298C" w:rsidRPr="002F50BD">
        <w:rPr>
          <w:rFonts w:ascii="Verdana" w:hAnsi="Verdana"/>
          <w:sz w:val="20"/>
          <w:lang w:val="pt-BR"/>
        </w:rPr>
        <w:t>têm</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 a </w:t>
      </w:r>
      <w:r w:rsidR="00937400" w:rsidRPr="002F50BD">
        <w:rPr>
          <w:rFonts w:ascii="Verdana" w:hAnsi="Verdana"/>
          <w:sz w:val="20"/>
          <w:lang w:val="pt-BR"/>
        </w:rPr>
        <w:t>fazê-lo</w:t>
      </w:r>
      <w:r w:rsidR="00CF451D" w:rsidRPr="00CF451D">
        <w:rPr>
          <w:rFonts w:ascii="Verdana" w:hAnsi="Verdana"/>
          <w:sz w:val="20"/>
          <w:lang w:val="pt-BR"/>
        </w:rPr>
        <w:t>)</w:t>
      </w:r>
      <w:r w:rsidR="0089298C" w:rsidRPr="002F50BD">
        <w:rPr>
          <w:rFonts w:ascii="Verdana" w:hAnsi="Verdana"/>
          <w:sz w:val="20"/>
          <w:lang w:val="pt-BR"/>
        </w:rPr>
        <w:t xml:space="preserve"> se </w:t>
      </w:r>
      <w:r w:rsidR="00937400" w:rsidRPr="002F50BD">
        <w:rPr>
          <w:rFonts w:ascii="Verdana" w:hAnsi="Verdana"/>
          <w:sz w:val="20"/>
          <w:lang w:val="pt-BR"/>
        </w:rPr>
        <w:t xml:space="preserve">recorrem </w:t>
      </w:r>
      <w:r w:rsidR="004756C1" w:rsidRPr="002F50BD">
        <w:rPr>
          <w:rFonts w:ascii="Verdana" w:hAnsi="Verdana"/>
          <w:sz w:val="20"/>
          <w:lang w:val="pt-BR"/>
        </w:rPr>
        <w:t>a</w:t>
      </w:r>
      <w:r w:rsidR="0089298C" w:rsidRPr="002F50BD">
        <w:rPr>
          <w:rFonts w:ascii="Verdana" w:hAnsi="Verdana"/>
          <w:sz w:val="20"/>
          <w:lang w:val="pt-BR"/>
        </w:rPr>
        <w:t xml:space="preserve"> outra instância</w:t>
      </w:r>
      <w:r w:rsidR="004756C1" w:rsidRPr="002F50BD">
        <w:rPr>
          <w:rFonts w:ascii="Verdana" w:hAnsi="Verdana"/>
          <w:sz w:val="20"/>
          <w:lang w:val="pt-BR"/>
        </w:rPr>
        <w:t xml:space="preserve"> para </w:t>
      </w:r>
      <w:r w:rsidR="00937400" w:rsidRPr="002F50BD">
        <w:rPr>
          <w:rFonts w:ascii="Verdana" w:hAnsi="Verdana"/>
          <w:sz w:val="20"/>
          <w:lang w:val="pt-BR"/>
        </w:rPr>
        <w:t xml:space="preserve">alcançar seu </w:t>
      </w:r>
      <w:r w:rsidR="004756C1" w:rsidRPr="002F50BD">
        <w:rPr>
          <w:rFonts w:ascii="Verdana" w:hAnsi="Verdana"/>
          <w:sz w:val="20"/>
          <w:lang w:val="pt-BR"/>
        </w:rPr>
        <w:t>propósito”</w:t>
      </w:r>
      <w:r w:rsidR="00937400" w:rsidRPr="002F50BD">
        <w:rPr>
          <w:rFonts w:ascii="Verdana" w:hAnsi="Verdana"/>
          <w:sz w:val="20"/>
          <w:lang w:val="pt-BR"/>
        </w:rPr>
        <w:t>.</w:t>
      </w:r>
      <w:r w:rsidR="004756C1" w:rsidRPr="002F50BD">
        <w:rPr>
          <w:rStyle w:val="FootnoteReference"/>
          <w:rFonts w:ascii="Verdana" w:hAnsi="Verdana"/>
        </w:rPr>
        <w:footnoteReference w:id="71"/>
      </w:r>
      <w:r w:rsidR="00AB454A" w:rsidRPr="002F50BD">
        <w:rPr>
          <w:rFonts w:ascii="Verdana" w:hAnsi="Verdana"/>
          <w:sz w:val="20"/>
          <w:lang w:val="pt-BR"/>
        </w:rPr>
        <w:t xml:space="preserve"> O </w:t>
      </w:r>
      <w:r w:rsidR="004756C1" w:rsidRPr="002F50BD">
        <w:rPr>
          <w:rFonts w:ascii="Verdana" w:hAnsi="Verdana"/>
          <w:sz w:val="20"/>
          <w:lang w:val="pt-BR"/>
        </w:rPr>
        <w:t xml:space="preserve">INDI </w:t>
      </w:r>
      <w:r w:rsidR="00937400" w:rsidRPr="002F50BD">
        <w:rPr>
          <w:rFonts w:ascii="Verdana" w:hAnsi="Verdana"/>
          <w:sz w:val="20"/>
          <w:lang w:val="pt-BR"/>
        </w:rPr>
        <w:t xml:space="preserve">acolheu </w:t>
      </w:r>
      <w:r w:rsidR="004756C1" w:rsidRPr="002F50BD">
        <w:rPr>
          <w:rFonts w:ascii="Verdana" w:hAnsi="Verdana"/>
          <w:sz w:val="20"/>
          <w:lang w:val="pt-BR"/>
        </w:rPr>
        <w:t>esta recomenda</w:t>
      </w:r>
      <w:r w:rsidR="0089298C" w:rsidRPr="002F50BD">
        <w:rPr>
          <w:rFonts w:ascii="Verdana" w:hAnsi="Verdana"/>
          <w:sz w:val="20"/>
          <w:lang w:val="pt-BR"/>
        </w:rPr>
        <w:t>ção e</w:t>
      </w:r>
      <w:r w:rsidR="00EC5F20"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26</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1998</w:t>
      </w:r>
      <w:r w:rsidR="00EC5F20" w:rsidRPr="002F50BD">
        <w:rPr>
          <w:rFonts w:ascii="Verdana" w:hAnsi="Verdana"/>
          <w:sz w:val="20"/>
          <w:lang w:val="pt-BR"/>
        </w:rPr>
        <w:t>,</w:t>
      </w:r>
      <w:r w:rsidR="004756C1" w:rsidRPr="002F50BD">
        <w:rPr>
          <w:rFonts w:ascii="Verdana" w:hAnsi="Verdana"/>
          <w:sz w:val="20"/>
          <w:lang w:val="pt-BR"/>
        </w:rPr>
        <w:t xml:space="preserve"> </w:t>
      </w:r>
      <w:r w:rsidR="00937400" w:rsidRPr="002F50BD">
        <w:rPr>
          <w:rFonts w:ascii="Verdana" w:hAnsi="Verdana"/>
          <w:sz w:val="20"/>
          <w:lang w:val="pt-BR"/>
        </w:rPr>
        <w:t>enviou</w:t>
      </w:r>
      <w:r w:rsidR="0089298C" w:rsidRPr="002F50BD">
        <w:rPr>
          <w:rFonts w:ascii="Verdana" w:hAnsi="Verdana"/>
          <w:sz w:val="20"/>
          <w:lang w:val="pt-BR"/>
        </w:rPr>
        <w:t xml:space="preserve"> 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89298C" w:rsidRPr="002F50BD">
        <w:rPr>
          <w:rFonts w:ascii="Verdana" w:hAnsi="Verdana"/>
          <w:sz w:val="20"/>
          <w:lang w:val="pt-BR"/>
        </w:rPr>
        <w:t xml:space="preserve"> ao </w:t>
      </w:r>
      <w:r w:rsidR="004756C1" w:rsidRPr="002F50BD">
        <w:rPr>
          <w:rFonts w:ascii="Verdana" w:hAnsi="Verdana"/>
          <w:sz w:val="20"/>
          <w:lang w:val="pt-BR"/>
        </w:rPr>
        <w:t>IBR</w:t>
      </w:r>
      <w:r w:rsidR="00937400" w:rsidRPr="002F50BD">
        <w:rPr>
          <w:rFonts w:ascii="Verdana" w:hAnsi="Verdana"/>
          <w:sz w:val="20"/>
          <w:lang w:val="pt-BR"/>
        </w:rPr>
        <w:t>.</w:t>
      </w:r>
      <w:r w:rsidR="004756C1" w:rsidRPr="002F50BD">
        <w:rPr>
          <w:rStyle w:val="FootnoteReference"/>
          <w:rFonts w:ascii="Verdana" w:hAnsi="Verdana"/>
        </w:rPr>
        <w:footnoteReference w:id="72"/>
      </w:r>
    </w:p>
    <w:p w:rsidR="004756C1" w:rsidRPr="002F50BD" w:rsidRDefault="004756C1">
      <w:pPr>
        <w:ind w:left="720"/>
        <w:jc w:val="both"/>
        <w:rPr>
          <w:rFonts w:ascii="Verdana" w:hAnsi="Verdana"/>
          <w:b/>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937400" w:rsidRPr="002F50BD">
        <w:rPr>
          <w:rFonts w:ascii="Verdana" w:hAnsi="Verdana"/>
          <w:sz w:val="20"/>
          <w:lang w:val="pt-BR"/>
        </w:rPr>
        <w:t>decidiu</w:t>
      </w:r>
      <w:r w:rsidR="004756C1" w:rsidRPr="002F50BD">
        <w:rPr>
          <w:rFonts w:ascii="Verdana" w:hAnsi="Verdana"/>
          <w:sz w:val="20"/>
          <w:lang w:val="pt-BR"/>
        </w:rPr>
        <w:t xml:space="preserve"> que</w:t>
      </w:r>
      <w:r w:rsidR="00F8225E">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w:t>
      </w:r>
      <w:r w:rsidR="00937400" w:rsidRPr="002F50BD">
        <w:rPr>
          <w:rFonts w:ascii="Verdana" w:hAnsi="Verdana"/>
          <w:sz w:val="20"/>
          <w:lang w:val="pt-BR"/>
        </w:rPr>
        <w:t>a</w:t>
      </w:r>
      <w:r w:rsidR="0089298C" w:rsidRPr="002F50BD">
        <w:rPr>
          <w:rFonts w:ascii="Verdana" w:hAnsi="Verdana"/>
          <w:sz w:val="20"/>
          <w:lang w:val="pt-BR"/>
        </w:rPr>
        <w:t xml:space="preserve"> análise</w:t>
      </w:r>
      <w:r w:rsidR="004756C1" w:rsidRPr="002F50BD">
        <w:rPr>
          <w:rFonts w:ascii="Verdana" w:hAnsi="Verdana"/>
          <w:sz w:val="20"/>
          <w:lang w:val="pt-BR"/>
        </w:rPr>
        <w:t xml:space="preserve"> de autos</w:t>
      </w:r>
      <w:r w:rsidR="0089298C" w:rsidRPr="002F50BD">
        <w:rPr>
          <w:rFonts w:ascii="Verdana" w:hAnsi="Verdana"/>
          <w:sz w:val="20"/>
          <w:lang w:val="pt-BR"/>
        </w:rPr>
        <w:t xml:space="preserve"> e </w:t>
      </w:r>
      <w:r w:rsidR="004756C1" w:rsidRPr="002F50BD">
        <w:rPr>
          <w:rFonts w:ascii="Verdana" w:hAnsi="Verdana"/>
          <w:sz w:val="20"/>
          <w:lang w:val="pt-BR"/>
        </w:rPr>
        <w:t xml:space="preserve">fundamentalmente </w:t>
      </w:r>
      <w:r w:rsidR="0089298C" w:rsidRPr="002F50BD">
        <w:rPr>
          <w:rFonts w:ascii="Verdana" w:hAnsi="Verdana"/>
          <w:sz w:val="20"/>
          <w:lang w:val="pt-BR"/>
        </w:rPr>
        <w:t xml:space="preserve">do relatório </w:t>
      </w:r>
      <w:r w:rsidR="004756C1" w:rsidRPr="002F50BD">
        <w:rPr>
          <w:rFonts w:ascii="Verdana" w:hAnsi="Verdana"/>
          <w:sz w:val="20"/>
          <w:lang w:val="pt-BR"/>
        </w:rPr>
        <w:t>antropológico</w:t>
      </w:r>
      <w:r w:rsidR="00F8225E">
        <w:rPr>
          <w:rFonts w:ascii="Verdana" w:hAnsi="Verdana"/>
          <w:sz w:val="20"/>
          <w:lang w:val="pt-BR"/>
        </w:rPr>
        <w:t>,</w:t>
      </w:r>
      <w:r w:rsidR="004756C1" w:rsidRPr="002F50BD">
        <w:rPr>
          <w:rFonts w:ascii="Verdana" w:hAnsi="Verdana"/>
          <w:sz w:val="20"/>
          <w:lang w:val="pt-BR"/>
        </w:rPr>
        <w:t xml:space="preserve"> […] surge que</w:t>
      </w:r>
      <w:r w:rsidR="0089298C" w:rsidRPr="002F50BD">
        <w:rPr>
          <w:rFonts w:ascii="Verdana" w:hAnsi="Verdana"/>
          <w:sz w:val="20"/>
          <w:lang w:val="pt-BR"/>
        </w:rPr>
        <w:t xml:space="preserve"> a </w:t>
      </w:r>
      <w:r w:rsidR="00060B3A" w:rsidRPr="002F50BD">
        <w:rPr>
          <w:rFonts w:ascii="Verdana" w:hAnsi="Verdana"/>
          <w:sz w:val="20"/>
          <w:lang w:val="pt-BR"/>
        </w:rPr>
        <w:t xml:space="preserve">fazenda </w:t>
      </w:r>
      <w:r w:rsidR="004756C1" w:rsidRPr="002F50BD">
        <w:rPr>
          <w:rFonts w:ascii="Verdana" w:hAnsi="Verdana"/>
          <w:sz w:val="20"/>
          <w:lang w:val="pt-BR"/>
        </w:rPr>
        <w:t xml:space="preserve">denominada LOMA VERDE </w:t>
      </w:r>
      <w:r w:rsidR="0089298C" w:rsidRPr="002F50BD">
        <w:rPr>
          <w:rFonts w:ascii="Verdana" w:hAnsi="Verdana"/>
          <w:sz w:val="20"/>
          <w:lang w:val="pt-BR"/>
        </w:rPr>
        <w:t xml:space="preserve">constitui o </w:t>
      </w:r>
      <w:r w:rsidR="004756C1" w:rsidRPr="002F50BD">
        <w:rPr>
          <w:rFonts w:ascii="Verdana" w:hAnsi="Verdana"/>
          <w:sz w:val="20"/>
          <w:lang w:val="pt-BR"/>
        </w:rPr>
        <w:t>HABITAT TRADICIONAL</w:t>
      </w:r>
      <w:r w:rsidR="0089298C" w:rsidRPr="002F50BD">
        <w:rPr>
          <w:rFonts w:ascii="Verdana" w:hAnsi="Verdana"/>
          <w:sz w:val="20"/>
          <w:lang w:val="pt-BR"/>
        </w:rPr>
        <w:t xml:space="preserve"> dos </w:t>
      </w:r>
      <w:r w:rsidR="004756C1" w:rsidRPr="002F50BD">
        <w:rPr>
          <w:rFonts w:ascii="Verdana" w:hAnsi="Verdana"/>
          <w:sz w:val="20"/>
          <w:lang w:val="pt-BR"/>
        </w:rPr>
        <w:t>rec</w:t>
      </w:r>
      <w:r w:rsidR="00937400" w:rsidRPr="002F50BD">
        <w:rPr>
          <w:rFonts w:ascii="Verdana" w:hAnsi="Verdana"/>
          <w:sz w:val="20"/>
          <w:lang w:val="pt-BR"/>
        </w:rPr>
        <w:t>o</w:t>
      </w:r>
      <w:r w:rsidR="004756C1" w:rsidRPr="002F50BD">
        <w:rPr>
          <w:rFonts w:ascii="Verdana" w:hAnsi="Verdana"/>
          <w:sz w:val="20"/>
          <w:lang w:val="pt-BR"/>
        </w:rPr>
        <w:t>rrentes,</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ção às outra</w:t>
      </w:r>
      <w:r w:rsidR="004756C1" w:rsidRPr="002F50BD">
        <w:rPr>
          <w:rFonts w:ascii="Verdana" w:hAnsi="Verdana"/>
          <w:sz w:val="20"/>
          <w:lang w:val="pt-BR"/>
        </w:rPr>
        <w:t>s fr</w:t>
      </w:r>
      <w:r w:rsidR="0089298C" w:rsidRPr="002F50BD">
        <w:rPr>
          <w:rFonts w:ascii="Verdana" w:hAnsi="Verdana"/>
          <w:sz w:val="20"/>
          <w:lang w:val="pt-BR"/>
        </w:rPr>
        <w:t>ações</w:t>
      </w:r>
      <w:r w:rsidR="004756C1" w:rsidRPr="002F50BD">
        <w:rPr>
          <w:rFonts w:ascii="Verdana" w:hAnsi="Verdana"/>
          <w:sz w:val="20"/>
          <w:lang w:val="pt-BR"/>
        </w:rPr>
        <w:t xml:space="preserve"> </w:t>
      </w:r>
      <w:r w:rsidR="0089298C" w:rsidRPr="002F50BD">
        <w:rPr>
          <w:rFonts w:ascii="Verdana" w:hAnsi="Verdana"/>
          <w:sz w:val="20"/>
          <w:lang w:val="pt-BR"/>
        </w:rPr>
        <w:t>afeta</w:t>
      </w:r>
      <w:r w:rsidR="004756C1" w:rsidRPr="002F50BD">
        <w:rPr>
          <w:rFonts w:ascii="Verdana" w:hAnsi="Verdana"/>
          <w:sz w:val="20"/>
          <w:lang w:val="pt-BR"/>
        </w:rPr>
        <w:t>das n</w:t>
      </w:r>
      <w:r w:rsidR="00937400"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existem</w:t>
      </w:r>
      <w:r w:rsidR="004756C1" w:rsidRPr="002F50BD">
        <w:rPr>
          <w:rFonts w:ascii="Verdana" w:hAnsi="Verdana"/>
          <w:sz w:val="20"/>
          <w:lang w:val="pt-BR"/>
        </w:rPr>
        <w:t xml:space="preserve"> </w:t>
      </w:r>
      <w:r w:rsidR="004076AD" w:rsidRPr="002F50BD">
        <w:rPr>
          <w:rFonts w:ascii="Verdana" w:hAnsi="Verdana"/>
          <w:sz w:val="20"/>
          <w:lang w:val="pt-BR"/>
        </w:rPr>
        <w:t>indícios</w:t>
      </w:r>
      <w:r w:rsidR="0089298C" w:rsidRPr="002F50BD">
        <w:rPr>
          <w:rFonts w:ascii="Verdana" w:hAnsi="Verdana"/>
          <w:sz w:val="20"/>
          <w:lang w:val="pt-BR"/>
        </w:rPr>
        <w:t xml:space="preserve"> e</w:t>
      </w:r>
      <w:r w:rsidR="00842134"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de acordo com o </w:t>
      </w:r>
      <w:r w:rsidR="004756C1" w:rsidRPr="002F50BD">
        <w:rPr>
          <w:rFonts w:ascii="Verdana" w:hAnsi="Verdana"/>
          <w:sz w:val="20"/>
          <w:lang w:val="pt-BR"/>
        </w:rPr>
        <w:t>art[</w:t>
      </w:r>
      <w:r w:rsidR="00937400" w:rsidRPr="002F50BD">
        <w:rPr>
          <w:rFonts w:ascii="Verdana" w:hAnsi="Verdana"/>
          <w:sz w:val="20"/>
          <w:lang w:val="pt-BR"/>
        </w:rPr>
        <w:t>igo</w:t>
      </w:r>
      <w:r w:rsidR="004756C1" w:rsidRPr="002F50BD">
        <w:rPr>
          <w:rFonts w:ascii="Verdana" w:hAnsi="Verdana"/>
          <w:sz w:val="20"/>
          <w:lang w:val="pt-BR"/>
        </w:rPr>
        <w:t xml:space="preserve">] </w:t>
      </w:r>
      <w:r w:rsidRPr="002F50BD">
        <w:rPr>
          <w:rFonts w:ascii="Verdana" w:hAnsi="Verdana"/>
          <w:sz w:val="20"/>
          <w:lang w:val="pt-BR"/>
        </w:rPr>
        <w:t>62</w:t>
      </w:r>
      <w:r w:rsidR="0089298C" w:rsidRPr="002F50BD">
        <w:rPr>
          <w:rFonts w:ascii="Verdana" w:hAnsi="Verdana"/>
          <w:sz w:val="20"/>
          <w:lang w:val="pt-BR"/>
        </w:rPr>
        <w:t xml:space="preserve"> da </w:t>
      </w:r>
      <w:r w:rsidR="004756C1" w:rsidRPr="002F50BD">
        <w:rPr>
          <w:rFonts w:ascii="Verdana" w:hAnsi="Verdana"/>
          <w:sz w:val="20"/>
          <w:lang w:val="pt-BR"/>
        </w:rPr>
        <w:t>C[onstitu</w:t>
      </w:r>
      <w:r w:rsidR="0089298C" w:rsidRPr="002F50BD">
        <w:rPr>
          <w:rFonts w:ascii="Verdana" w:hAnsi="Verdana"/>
          <w:sz w:val="20"/>
          <w:lang w:val="pt-BR"/>
        </w:rPr>
        <w:t>ção</w:t>
      </w:r>
      <w:r w:rsidR="004756C1" w:rsidRPr="002F50BD">
        <w:rPr>
          <w:rFonts w:ascii="Verdana" w:hAnsi="Verdana"/>
          <w:sz w:val="20"/>
          <w:lang w:val="pt-BR"/>
        </w:rPr>
        <w:t xml:space="preserve">] N[acional], </w:t>
      </w:r>
      <w:r w:rsidR="00937400" w:rsidRPr="002F50BD">
        <w:rPr>
          <w:rFonts w:ascii="Verdana" w:hAnsi="Verdana"/>
          <w:sz w:val="20"/>
          <w:lang w:val="pt-BR"/>
        </w:rPr>
        <w:t xml:space="preserve">fica </w:t>
      </w:r>
      <w:r w:rsidR="0089298C" w:rsidRPr="002F50BD">
        <w:rPr>
          <w:rFonts w:ascii="Verdana" w:hAnsi="Verdana"/>
          <w:sz w:val="20"/>
          <w:lang w:val="pt-BR"/>
        </w:rPr>
        <w:t>reconhecida a existência dos povo</w:t>
      </w:r>
      <w:r w:rsidR="004756C1" w:rsidRPr="002F50BD">
        <w:rPr>
          <w:rFonts w:ascii="Verdana" w:hAnsi="Verdana"/>
          <w:sz w:val="20"/>
          <w:lang w:val="pt-BR"/>
        </w:rPr>
        <w:t>s indígenas como grupos de culturas anteriores</w:t>
      </w:r>
      <w:r w:rsidR="0089298C" w:rsidRPr="002F50BD">
        <w:rPr>
          <w:rFonts w:ascii="Verdana" w:hAnsi="Verdana"/>
          <w:sz w:val="20"/>
          <w:lang w:val="pt-BR"/>
        </w:rPr>
        <w:t xml:space="preserve"> à </w:t>
      </w:r>
      <w:r w:rsidR="004756C1" w:rsidRPr="002F50BD">
        <w:rPr>
          <w:rFonts w:ascii="Verdana" w:hAnsi="Verdana"/>
          <w:sz w:val="20"/>
          <w:lang w:val="pt-BR"/>
        </w:rPr>
        <w:t>forma</w:t>
      </w:r>
      <w:r w:rsidR="0089298C" w:rsidRPr="002F50BD">
        <w:rPr>
          <w:rFonts w:ascii="Verdana" w:hAnsi="Verdana"/>
          <w:sz w:val="20"/>
          <w:lang w:val="pt-BR"/>
        </w:rPr>
        <w:t xml:space="preserve">ção e à </w:t>
      </w:r>
      <w:r w:rsidR="00F8225E">
        <w:rPr>
          <w:rFonts w:ascii="Verdana" w:hAnsi="Verdana"/>
          <w:sz w:val="20"/>
          <w:lang w:val="pt-BR"/>
        </w:rPr>
        <w:t xml:space="preserve">própria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Estado </w:t>
      </w:r>
      <w:r w:rsidR="00EC5F20"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 xml:space="preserve">o, </w:t>
      </w:r>
      <w:r w:rsidR="00937400" w:rsidRPr="002F50BD">
        <w:rPr>
          <w:rFonts w:ascii="Verdana" w:hAnsi="Verdana"/>
          <w:sz w:val="20"/>
          <w:lang w:val="pt-BR"/>
        </w:rPr>
        <w:t xml:space="preserve">disso </w:t>
      </w:r>
      <w:r w:rsidR="00842134" w:rsidRPr="002F50BD">
        <w:rPr>
          <w:rFonts w:ascii="Verdana" w:hAnsi="Verdana"/>
          <w:sz w:val="20"/>
          <w:lang w:val="pt-BR"/>
        </w:rPr>
        <w:t xml:space="preserve">decorre </w:t>
      </w:r>
      <w:r w:rsidR="004756C1" w:rsidRPr="002F50BD">
        <w:rPr>
          <w:rFonts w:ascii="Verdana" w:hAnsi="Verdana"/>
          <w:sz w:val="20"/>
          <w:lang w:val="pt-BR"/>
        </w:rPr>
        <w:t>que</w:t>
      </w:r>
      <w:r w:rsidR="0089298C" w:rsidRPr="002F50BD">
        <w:rPr>
          <w:rFonts w:ascii="Verdana" w:hAnsi="Verdana"/>
          <w:sz w:val="20"/>
          <w:lang w:val="pt-BR"/>
        </w:rPr>
        <w:t xml:space="preserve"> o direito dos povo</w:t>
      </w:r>
      <w:r w:rsidR="004756C1" w:rsidRPr="002F50BD">
        <w:rPr>
          <w:rFonts w:ascii="Verdana" w:hAnsi="Verdana"/>
          <w:sz w:val="20"/>
          <w:lang w:val="pt-BR"/>
        </w:rPr>
        <w:t>s indígenas</w:t>
      </w:r>
      <w:r w:rsidR="0089298C" w:rsidRPr="002F50BD">
        <w:rPr>
          <w:rFonts w:ascii="Verdana" w:hAnsi="Verdana"/>
          <w:sz w:val="20"/>
          <w:lang w:val="pt-BR"/>
        </w:rPr>
        <w:t xml:space="preserve"> à </w:t>
      </w:r>
      <w:r w:rsidR="00A50140" w:rsidRPr="002F50BD">
        <w:rPr>
          <w:rFonts w:ascii="Verdana" w:hAnsi="Verdana"/>
          <w:sz w:val="20"/>
          <w:lang w:val="pt-BR"/>
        </w:rPr>
        <w:t>posse</w:t>
      </w:r>
      <w:r w:rsidR="0089298C" w:rsidRPr="002F50BD">
        <w:rPr>
          <w:rFonts w:ascii="Verdana" w:hAnsi="Verdana"/>
          <w:sz w:val="20"/>
          <w:lang w:val="pt-BR"/>
        </w:rPr>
        <w:t xml:space="preserve"> da terra é </w:t>
      </w:r>
      <w:r w:rsidR="004756C1" w:rsidRPr="002F50BD">
        <w:rPr>
          <w:rFonts w:ascii="Verdana" w:hAnsi="Verdana"/>
          <w:sz w:val="20"/>
          <w:lang w:val="pt-BR"/>
        </w:rPr>
        <w:t>anterior</w:t>
      </w:r>
      <w:r w:rsidR="0089298C" w:rsidRPr="002F50BD">
        <w:rPr>
          <w:rFonts w:ascii="Verdana" w:hAnsi="Verdana"/>
          <w:sz w:val="20"/>
          <w:lang w:val="pt-BR"/>
        </w:rPr>
        <w:t xml:space="preserve"> e</w:t>
      </w:r>
      <w:r w:rsidR="00842134" w:rsidRPr="002F50BD">
        <w:rPr>
          <w:rFonts w:ascii="Verdana" w:hAnsi="Verdana"/>
          <w:sz w:val="20"/>
          <w:lang w:val="pt-BR"/>
        </w:rPr>
        <w:t>,</w:t>
      </w:r>
      <w:r w:rsidR="0089298C" w:rsidRPr="002F50BD">
        <w:rPr>
          <w:rFonts w:ascii="Verdana" w:hAnsi="Verdana"/>
          <w:sz w:val="20"/>
          <w:lang w:val="pt-BR"/>
        </w:rPr>
        <w:t xml:space="preserve"> em consequência</w:t>
      </w:r>
      <w:r w:rsidR="00842134" w:rsidRPr="002F50BD">
        <w:rPr>
          <w:rFonts w:ascii="Verdana" w:hAnsi="Verdana"/>
          <w:sz w:val="20"/>
          <w:lang w:val="pt-BR"/>
        </w:rPr>
        <w:t>,</w:t>
      </w:r>
      <w:r w:rsidR="004756C1" w:rsidRPr="002F50BD">
        <w:rPr>
          <w:rFonts w:ascii="Verdana" w:hAnsi="Verdana"/>
          <w:sz w:val="20"/>
          <w:lang w:val="pt-BR"/>
        </w:rPr>
        <w:t xml:space="preserve"> superior</w:t>
      </w:r>
      <w:r w:rsidR="0089298C" w:rsidRPr="002F50BD">
        <w:rPr>
          <w:rFonts w:ascii="Verdana" w:hAnsi="Verdana"/>
          <w:sz w:val="20"/>
          <w:lang w:val="pt-BR"/>
        </w:rPr>
        <w:t xml:space="preserve"> à Instituição da Propriedade</w:t>
      </w:r>
      <w:r w:rsidR="004756C1" w:rsidRPr="002F50BD">
        <w:rPr>
          <w:rFonts w:ascii="Verdana" w:hAnsi="Verdana"/>
          <w:sz w:val="20"/>
          <w:lang w:val="pt-BR"/>
        </w:rPr>
        <w:t xml:space="preserve"> Privada, </w:t>
      </w:r>
      <w:r w:rsidR="0089298C" w:rsidRPr="002F50BD">
        <w:rPr>
          <w:rFonts w:ascii="Verdana" w:hAnsi="Verdana"/>
          <w:sz w:val="20"/>
          <w:lang w:val="pt-BR"/>
        </w:rPr>
        <w:t>portanto</w:t>
      </w:r>
      <w:r w:rsidR="00842134"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 xml:space="preserve">caso de </w:t>
      </w:r>
      <w:r w:rsidR="00937400" w:rsidRPr="002F50BD">
        <w:rPr>
          <w:rFonts w:ascii="Verdana" w:hAnsi="Verdana"/>
          <w:sz w:val="20"/>
          <w:lang w:val="pt-BR"/>
        </w:rPr>
        <w:t>colisão</w:t>
      </w:r>
      <w:r w:rsidR="004756C1" w:rsidRPr="002F50BD">
        <w:rPr>
          <w:rFonts w:ascii="Verdana" w:hAnsi="Verdana"/>
          <w:sz w:val="20"/>
          <w:lang w:val="pt-BR"/>
        </w:rPr>
        <w:t xml:space="preserve"> </w:t>
      </w:r>
      <w:r w:rsidR="0089298C" w:rsidRPr="002F50BD">
        <w:rPr>
          <w:rFonts w:ascii="Verdana" w:hAnsi="Verdana"/>
          <w:sz w:val="20"/>
          <w:lang w:val="pt-BR"/>
        </w:rPr>
        <w:t>do direito</w:t>
      </w:r>
      <w:r w:rsidR="004756C1" w:rsidRPr="002F50BD">
        <w:rPr>
          <w:rFonts w:ascii="Verdana" w:hAnsi="Verdana"/>
          <w:sz w:val="20"/>
          <w:lang w:val="pt-BR"/>
        </w:rPr>
        <w:t xml:space="preserve"> a</w:t>
      </w:r>
      <w:r w:rsidR="0089298C" w:rsidRPr="002F50BD">
        <w:rPr>
          <w:rFonts w:ascii="Verdana" w:hAnsi="Verdana"/>
          <w:sz w:val="20"/>
          <w:lang w:val="pt-BR"/>
        </w:rPr>
        <w:t xml:space="preserve"> um </w:t>
      </w:r>
      <w:r w:rsidR="004076AD" w:rsidRPr="002F50BD">
        <w:rPr>
          <w:rFonts w:ascii="Verdana" w:hAnsi="Verdana"/>
          <w:sz w:val="20"/>
          <w:lang w:val="pt-BR"/>
        </w:rPr>
        <w:t>pedaço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 que </w:t>
      </w:r>
      <w:r w:rsidR="0089298C" w:rsidRPr="002F50BD">
        <w:rPr>
          <w:rFonts w:ascii="Verdana" w:hAnsi="Verdana"/>
          <w:sz w:val="20"/>
          <w:lang w:val="pt-BR"/>
        </w:rPr>
        <w:t xml:space="preserve">têm os </w:t>
      </w:r>
      <w:r w:rsidR="004756C1" w:rsidRPr="002F50BD">
        <w:rPr>
          <w:rFonts w:ascii="Verdana" w:hAnsi="Verdana"/>
          <w:sz w:val="20"/>
          <w:lang w:val="pt-BR"/>
        </w:rPr>
        <w:t>indígenas</w:t>
      </w:r>
      <w:r w:rsidR="0089298C" w:rsidRPr="002F50BD">
        <w:rPr>
          <w:rFonts w:ascii="Verdana" w:hAnsi="Verdana"/>
          <w:sz w:val="20"/>
          <w:lang w:val="pt-BR"/>
        </w:rPr>
        <w:t xml:space="preserve"> e do direito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7801FA" w:rsidRPr="002F50BD">
        <w:rPr>
          <w:rFonts w:ascii="Verdana" w:hAnsi="Verdana"/>
          <w:sz w:val="20"/>
          <w:lang w:val="pt-BR"/>
        </w:rPr>
        <w:t>proprietário</w:t>
      </w:r>
      <w:r w:rsidR="004756C1" w:rsidRPr="002F50BD">
        <w:rPr>
          <w:rFonts w:ascii="Verdana" w:hAnsi="Verdana"/>
          <w:sz w:val="20"/>
          <w:lang w:val="pt-BR"/>
        </w:rPr>
        <w:t xml:space="preserve"> constitucionalmente</w:t>
      </w:r>
      <w:r w:rsidR="00937400" w:rsidRPr="002F50BD">
        <w:rPr>
          <w:rFonts w:ascii="Verdana" w:hAnsi="Verdana"/>
          <w:sz w:val="20"/>
          <w:lang w:val="pt-BR"/>
        </w:rPr>
        <w:t>,</w:t>
      </w:r>
      <w:r w:rsidR="0089298C" w:rsidRPr="002F50BD">
        <w:rPr>
          <w:rFonts w:ascii="Verdana" w:hAnsi="Verdana"/>
          <w:sz w:val="20"/>
          <w:lang w:val="pt-BR"/>
        </w:rPr>
        <w:t xml:space="preserve"> deve </w:t>
      </w:r>
      <w:r w:rsidR="004756C1" w:rsidRPr="002F50BD">
        <w:rPr>
          <w:rFonts w:ascii="Verdana" w:hAnsi="Verdana"/>
          <w:sz w:val="20"/>
          <w:lang w:val="pt-BR"/>
        </w:rPr>
        <w:t>prevalecer</w:t>
      </w:r>
      <w:r w:rsidR="0089298C" w:rsidRPr="002F50BD">
        <w:rPr>
          <w:rFonts w:ascii="Verdana" w:hAnsi="Verdana"/>
          <w:sz w:val="20"/>
          <w:lang w:val="pt-BR"/>
        </w:rPr>
        <w:t xml:space="preserve"> o direito da Comunidade </w:t>
      </w:r>
      <w:r w:rsidR="004756C1" w:rsidRPr="002F50BD">
        <w:rPr>
          <w:rFonts w:ascii="Verdana" w:hAnsi="Verdana"/>
          <w:sz w:val="20"/>
          <w:lang w:val="pt-BR"/>
        </w:rPr>
        <w:t>indígena. [… N</w:t>
      </w:r>
      <w:r w:rsidR="00937400" w:rsidRPr="002F50BD">
        <w:rPr>
          <w:rFonts w:ascii="Verdana" w:hAnsi="Verdana"/>
          <w:sz w:val="20"/>
          <w:lang w:val="pt-BR"/>
        </w:rPr>
        <w:t>ã</w:t>
      </w:r>
      <w:r w:rsidR="004756C1" w:rsidRPr="002F50BD">
        <w:rPr>
          <w:rFonts w:ascii="Verdana" w:hAnsi="Verdana"/>
          <w:sz w:val="20"/>
          <w:lang w:val="pt-BR"/>
        </w:rPr>
        <w:t>]o obstante</w:t>
      </w:r>
      <w:r w:rsidR="0089298C" w:rsidRPr="002F50BD">
        <w:rPr>
          <w:rFonts w:ascii="Verdana" w:hAnsi="Verdana"/>
          <w:sz w:val="20"/>
          <w:lang w:val="pt-BR"/>
        </w:rPr>
        <w:t xml:space="preserve"> as circunstâncias</w:t>
      </w:r>
      <w:r w:rsidR="004756C1" w:rsidRPr="002F50BD">
        <w:rPr>
          <w:rFonts w:ascii="Verdana" w:hAnsi="Verdana"/>
          <w:sz w:val="20"/>
          <w:lang w:val="pt-BR"/>
        </w:rPr>
        <w:t xml:space="preserve"> </w:t>
      </w:r>
      <w:r w:rsidR="0089298C" w:rsidRPr="002F50BD">
        <w:rPr>
          <w:rFonts w:ascii="Verdana" w:hAnsi="Verdana"/>
          <w:sz w:val="20"/>
          <w:lang w:val="pt-BR"/>
        </w:rPr>
        <w:t>expost</w:t>
      </w:r>
      <w:r w:rsidR="004756C1" w:rsidRPr="002F50BD">
        <w:rPr>
          <w:rFonts w:ascii="Verdana" w:hAnsi="Verdana"/>
          <w:sz w:val="20"/>
          <w:lang w:val="pt-BR"/>
        </w:rPr>
        <w:t>as,</w:t>
      </w:r>
      <w:r w:rsidR="0089298C" w:rsidRPr="002F50BD">
        <w:rPr>
          <w:rFonts w:ascii="Verdana" w:hAnsi="Verdana"/>
          <w:sz w:val="20"/>
          <w:lang w:val="pt-BR"/>
        </w:rPr>
        <w:t xml:space="preserve"> os </w:t>
      </w:r>
      <w:r w:rsidR="007801FA" w:rsidRPr="002F50BD">
        <w:rPr>
          <w:rFonts w:ascii="Verdana" w:hAnsi="Verdana"/>
          <w:sz w:val="20"/>
          <w:lang w:val="pt-BR"/>
        </w:rPr>
        <w:t>proprietário</w:t>
      </w:r>
      <w:r w:rsidR="004756C1" w:rsidRPr="002F50BD">
        <w:rPr>
          <w:rFonts w:ascii="Verdana" w:hAnsi="Verdana"/>
          <w:sz w:val="20"/>
          <w:lang w:val="pt-BR"/>
        </w:rPr>
        <w:t xml:space="preserve">s </w:t>
      </w:r>
      <w:r w:rsidR="0089298C" w:rsidRPr="002F50BD">
        <w:rPr>
          <w:rFonts w:ascii="Verdana" w:hAnsi="Verdana"/>
          <w:sz w:val="20"/>
          <w:lang w:val="pt-BR"/>
        </w:rPr>
        <w:t>afeta</w:t>
      </w:r>
      <w:r w:rsidR="004756C1" w:rsidRPr="002F50BD">
        <w:rPr>
          <w:rFonts w:ascii="Verdana" w:hAnsi="Verdana"/>
          <w:sz w:val="20"/>
          <w:lang w:val="pt-BR"/>
        </w:rPr>
        <w:t>dos se nega</w:t>
      </w:r>
      <w:r w:rsidR="00937400" w:rsidRPr="002F50BD">
        <w:rPr>
          <w:rFonts w:ascii="Verdana" w:hAnsi="Verdana"/>
          <w:sz w:val="20"/>
          <w:lang w:val="pt-BR"/>
        </w:rPr>
        <w:t>ram</w:t>
      </w:r>
      <w:r w:rsidR="004756C1" w:rsidRPr="002F50BD">
        <w:rPr>
          <w:rFonts w:ascii="Verdana" w:hAnsi="Verdana"/>
          <w:sz w:val="20"/>
          <w:lang w:val="pt-BR"/>
        </w:rPr>
        <w:t xml:space="preserve"> a</w:t>
      </w:r>
      <w:r w:rsidR="0089298C" w:rsidRPr="002F50BD">
        <w:rPr>
          <w:rFonts w:ascii="Verdana" w:hAnsi="Verdana"/>
          <w:sz w:val="20"/>
          <w:lang w:val="pt-BR"/>
        </w:rPr>
        <w:t xml:space="preserve"> uma saída </w:t>
      </w:r>
      <w:r w:rsidR="004756C1" w:rsidRPr="002F50BD">
        <w:rPr>
          <w:rFonts w:ascii="Verdana" w:hAnsi="Verdana"/>
          <w:sz w:val="20"/>
          <w:lang w:val="pt-BR"/>
        </w:rPr>
        <w:t>negociada</w:t>
      </w:r>
      <w:r w:rsidR="0089298C" w:rsidRPr="002F50BD">
        <w:rPr>
          <w:rFonts w:ascii="Verdana" w:hAnsi="Verdana"/>
          <w:sz w:val="20"/>
          <w:lang w:val="pt-BR"/>
        </w:rPr>
        <w:t xml:space="preserve"> e </w:t>
      </w:r>
      <w:r w:rsidR="004756C1" w:rsidRPr="002F50BD">
        <w:rPr>
          <w:rFonts w:ascii="Verdana" w:hAnsi="Verdana"/>
          <w:sz w:val="20"/>
          <w:lang w:val="pt-BR"/>
        </w:rPr>
        <w:t>considerando que</w:t>
      </w:r>
      <w:r w:rsidR="0089298C" w:rsidRPr="002F50BD">
        <w:rPr>
          <w:rFonts w:ascii="Verdana" w:hAnsi="Verdana"/>
          <w:sz w:val="20"/>
          <w:lang w:val="pt-BR"/>
        </w:rPr>
        <w:t xml:space="preserve"> o imóvel</w:t>
      </w:r>
      <w:r w:rsidR="004756C1" w:rsidRPr="002F50BD">
        <w:rPr>
          <w:rFonts w:ascii="Verdana" w:hAnsi="Verdana"/>
          <w:sz w:val="20"/>
          <w:lang w:val="pt-BR"/>
        </w:rPr>
        <w:t xml:space="preserve"> se </w:t>
      </w:r>
      <w:r w:rsidR="00937400" w:rsidRPr="002F50BD">
        <w:rPr>
          <w:rFonts w:ascii="Verdana" w:hAnsi="Verdana"/>
          <w:sz w:val="20"/>
          <w:lang w:val="pt-BR"/>
        </w:rPr>
        <w:t xml:space="preserve">encontra </w:t>
      </w:r>
      <w:r w:rsidR="004756C1" w:rsidRPr="002F50BD">
        <w:rPr>
          <w:rFonts w:ascii="Verdana" w:hAnsi="Verdana"/>
          <w:sz w:val="20"/>
          <w:lang w:val="pt-BR"/>
        </w:rPr>
        <w:t xml:space="preserve">racionalmente </w:t>
      </w:r>
      <w:r w:rsidR="00475EBB" w:rsidRPr="002F50BD">
        <w:rPr>
          <w:rFonts w:ascii="Verdana" w:hAnsi="Verdana"/>
          <w:sz w:val="20"/>
          <w:lang w:val="pt-BR"/>
        </w:rPr>
        <w:t>explorad</w:t>
      </w:r>
      <w:r w:rsidR="004756C1" w:rsidRPr="002F50BD">
        <w:rPr>
          <w:rFonts w:ascii="Verdana" w:hAnsi="Verdana"/>
          <w:sz w:val="20"/>
          <w:lang w:val="pt-BR"/>
        </w:rPr>
        <w:t>o,</w:t>
      </w:r>
      <w:r w:rsidR="0089298C" w:rsidRPr="002F50BD">
        <w:rPr>
          <w:rFonts w:ascii="Verdana" w:hAnsi="Verdana"/>
          <w:sz w:val="20"/>
          <w:lang w:val="pt-BR"/>
        </w:rPr>
        <w:t xml:space="preserve"> à </w:t>
      </w:r>
      <w:r w:rsidR="004756C1" w:rsidRPr="002F50BD">
        <w:rPr>
          <w:rFonts w:ascii="Verdana" w:hAnsi="Verdana"/>
          <w:sz w:val="20"/>
          <w:lang w:val="pt-BR"/>
        </w:rPr>
        <w:t>luz</w:t>
      </w:r>
      <w:r w:rsidR="0089298C" w:rsidRPr="002F50BD">
        <w:rPr>
          <w:rFonts w:ascii="Verdana" w:hAnsi="Verdana"/>
          <w:sz w:val="20"/>
          <w:lang w:val="pt-BR"/>
        </w:rPr>
        <w:t xml:space="preserve"> das </w:t>
      </w:r>
      <w:r w:rsidR="004756C1" w:rsidRPr="002F50BD">
        <w:rPr>
          <w:rFonts w:ascii="Verdana" w:hAnsi="Verdana"/>
          <w:sz w:val="20"/>
          <w:lang w:val="pt-BR"/>
        </w:rPr>
        <w:t>disposi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E.A. </w:t>
      </w:r>
      <w:r w:rsidR="00CF451D" w:rsidRPr="00CF451D">
        <w:rPr>
          <w:rFonts w:ascii="Verdana" w:hAnsi="Verdana"/>
          <w:sz w:val="20"/>
          <w:lang w:val="pt-BR"/>
        </w:rPr>
        <w:t>(</w:t>
      </w:r>
      <w:r w:rsidR="004756C1" w:rsidRPr="002F50BD">
        <w:rPr>
          <w:rFonts w:ascii="Verdana" w:hAnsi="Verdana"/>
          <w:sz w:val="20"/>
          <w:lang w:val="pt-BR"/>
        </w:rPr>
        <w:t>Estatuto Agr</w:t>
      </w:r>
      <w:r w:rsidR="00937400" w:rsidRPr="002F50BD">
        <w:rPr>
          <w:rFonts w:ascii="Verdana" w:hAnsi="Verdana"/>
          <w:sz w:val="20"/>
          <w:lang w:val="pt-BR"/>
        </w:rPr>
        <w:t>á</w:t>
      </w:r>
      <w:r w:rsidR="004756C1" w:rsidRPr="002F50BD">
        <w:rPr>
          <w:rFonts w:ascii="Verdana" w:hAnsi="Verdana"/>
          <w:sz w:val="20"/>
          <w:lang w:val="pt-BR"/>
        </w:rPr>
        <w:t>rio</w:t>
      </w:r>
      <w:r w:rsidR="00CF451D" w:rsidRPr="00CF451D">
        <w:rPr>
          <w:rFonts w:ascii="Verdana" w:hAnsi="Verdana"/>
          <w:sz w:val="20"/>
          <w:lang w:val="pt-BR"/>
        </w:rPr>
        <w:t>)</w:t>
      </w:r>
      <w:r w:rsidR="00F8225E">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se v</w:t>
      </w:r>
      <w:r w:rsidR="00937400" w:rsidRPr="002F50BD">
        <w:rPr>
          <w:rFonts w:ascii="Verdana" w:hAnsi="Verdana"/>
          <w:sz w:val="20"/>
          <w:lang w:val="pt-BR"/>
        </w:rPr>
        <w:t>ê</w:t>
      </w:r>
      <w:r w:rsidR="004756C1" w:rsidRPr="002F50BD">
        <w:rPr>
          <w:rFonts w:ascii="Verdana" w:hAnsi="Verdana"/>
          <w:sz w:val="20"/>
          <w:lang w:val="pt-BR"/>
        </w:rPr>
        <w:t xml:space="preserve"> impedido </w:t>
      </w:r>
      <w:r w:rsidR="00937400" w:rsidRPr="002F50BD">
        <w:rPr>
          <w:rFonts w:ascii="Verdana" w:hAnsi="Verdana"/>
          <w:sz w:val="20"/>
          <w:lang w:val="pt-BR"/>
        </w:rPr>
        <w:t xml:space="preserve">de </w:t>
      </w:r>
      <w:r w:rsidR="004756C1" w:rsidRPr="002F50BD">
        <w:rPr>
          <w:rFonts w:ascii="Verdana" w:hAnsi="Verdana"/>
          <w:sz w:val="20"/>
          <w:lang w:val="pt-BR"/>
        </w:rPr>
        <w:t>solicitar</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9298C" w:rsidRPr="002F50BD">
        <w:rPr>
          <w:rFonts w:ascii="Verdana" w:hAnsi="Verdana"/>
          <w:sz w:val="20"/>
          <w:lang w:val="pt-BR"/>
        </w:rPr>
        <w:t>do imóvel</w:t>
      </w:r>
      <w:r w:rsidR="004756C1" w:rsidRPr="002F50BD">
        <w:rPr>
          <w:rFonts w:ascii="Verdana" w:hAnsi="Verdana"/>
          <w:sz w:val="20"/>
          <w:lang w:val="pt-BR"/>
        </w:rPr>
        <w:t xml:space="preserve"> de </w:t>
      </w:r>
      <w:r w:rsidR="004756C1" w:rsidRPr="002F50BD">
        <w:rPr>
          <w:rFonts w:ascii="Verdana" w:hAnsi="Verdana"/>
          <w:sz w:val="20"/>
          <w:lang w:val="pt-BR"/>
        </w:rPr>
        <w:lastRenderedPageBreak/>
        <w:t>refer</w:t>
      </w:r>
      <w:r w:rsidR="00937400" w:rsidRPr="002F50BD">
        <w:rPr>
          <w:rFonts w:ascii="Verdana" w:hAnsi="Verdana"/>
          <w:sz w:val="20"/>
          <w:lang w:val="pt-BR"/>
        </w:rPr>
        <w:t>ê</w:t>
      </w:r>
      <w:r w:rsidR="004756C1" w:rsidRPr="002F50BD">
        <w:rPr>
          <w:rFonts w:ascii="Verdana" w:hAnsi="Verdana"/>
          <w:sz w:val="20"/>
          <w:lang w:val="pt-BR"/>
        </w:rPr>
        <w:t>ncia,</w:t>
      </w:r>
      <w:r w:rsidR="0089298C" w:rsidRPr="002F50BD">
        <w:rPr>
          <w:rFonts w:ascii="Verdana" w:hAnsi="Verdana"/>
          <w:sz w:val="20"/>
          <w:lang w:val="pt-BR"/>
        </w:rPr>
        <w:t xml:space="preserve"> </w:t>
      </w:r>
      <w:r w:rsidR="00EC5F20" w:rsidRPr="002F50BD">
        <w:rPr>
          <w:rFonts w:ascii="Verdana" w:hAnsi="Verdana"/>
          <w:sz w:val="20"/>
          <w:lang w:val="pt-BR"/>
        </w:rPr>
        <w:t xml:space="preserve">de modo </w:t>
      </w:r>
      <w:r w:rsidR="0089298C" w:rsidRPr="002F50BD">
        <w:rPr>
          <w:rFonts w:ascii="Verdana" w:hAnsi="Verdana"/>
          <w:sz w:val="20"/>
          <w:lang w:val="pt-BR"/>
        </w:rPr>
        <w:t xml:space="preserve">que </w:t>
      </w:r>
      <w:r w:rsidR="00842134" w:rsidRPr="002F50BD">
        <w:rPr>
          <w:rFonts w:ascii="Verdana" w:hAnsi="Verdana"/>
          <w:sz w:val="20"/>
          <w:lang w:val="pt-BR"/>
        </w:rPr>
        <w:t xml:space="preserve">cabe </w:t>
      </w:r>
      <w:r w:rsidR="00EC5F20" w:rsidRPr="002F50BD">
        <w:rPr>
          <w:rFonts w:ascii="Verdana" w:hAnsi="Verdana"/>
          <w:sz w:val="20"/>
          <w:lang w:val="pt-BR"/>
        </w:rPr>
        <w:t>emitir</w:t>
      </w:r>
      <w:r w:rsidR="00937400" w:rsidRPr="002F50BD">
        <w:rPr>
          <w:rFonts w:ascii="Verdana" w:hAnsi="Verdana"/>
          <w:sz w:val="20"/>
          <w:lang w:val="pt-BR"/>
        </w:rPr>
        <w:t xml:space="preserve"> uma </w:t>
      </w:r>
      <w:r w:rsidR="004756C1" w:rsidRPr="002F50BD">
        <w:rPr>
          <w:rFonts w:ascii="Verdana" w:hAnsi="Verdana"/>
          <w:sz w:val="20"/>
          <w:lang w:val="pt-BR"/>
        </w:rPr>
        <w:t>resolu</w:t>
      </w:r>
      <w:r w:rsidR="0089298C" w:rsidRPr="002F50BD">
        <w:rPr>
          <w:rFonts w:ascii="Verdana" w:hAnsi="Verdana"/>
          <w:sz w:val="20"/>
          <w:lang w:val="pt-BR"/>
        </w:rPr>
        <w:t xml:space="preserve">ção </w:t>
      </w:r>
      <w:r w:rsidR="00F8225E">
        <w:rPr>
          <w:rFonts w:ascii="Verdana" w:hAnsi="Verdana"/>
          <w:sz w:val="20"/>
          <w:lang w:val="pt-BR"/>
        </w:rPr>
        <w:t>nesse</w:t>
      </w:r>
      <w:r w:rsidR="004756C1" w:rsidRPr="002F50BD">
        <w:rPr>
          <w:rFonts w:ascii="Verdana" w:hAnsi="Verdana"/>
          <w:sz w:val="20"/>
          <w:lang w:val="pt-BR"/>
        </w:rPr>
        <w:t xml:space="preserve"> sentido [...]”</w:t>
      </w:r>
      <w:r w:rsidR="004756C1" w:rsidRPr="002F50BD">
        <w:rPr>
          <w:rStyle w:val="FootnoteReference"/>
          <w:rFonts w:ascii="Verdana" w:hAnsi="Verdana"/>
        </w:rPr>
        <w:footnoteReference w:id="73"/>
      </w:r>
      <w:r w:rsidR="004756C1" w:rsidRPr="002F50BD">
        <w:rPr>
          <w:rFonts w:ascii="Verdana" w:hAnsi="Verdana"/>
          <w:sz w:val="20"/>
          <w:lang w:val="pt-BR"/>
        </w:rPr>
        <w:t xml:space="preserve"> </w:t>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937400"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8</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89298C" w:rsidRPr="002F50BD">
        <w:rPr>
          <w:rFonts w:ascii="Verdana" w:hAnsi="Verdana"/>
          <w:sz w:val="20"/>
          <w:lang w:val="pt-BR"/>
        </w:rPr>
        <w:t xml:space="preserve">emitiu a </w:t>
      </w:r>
      <w:r w:rsidR="004756C1" w:rsidRPr="002F50BD">
        <w:rPr>
          <w:rFonts w:ascii="Verdana" w:hAnsi="Verdana"/>
          <w:sz w:val="20"/>
          <w:lang w:val="pt-BR"/>
        </w:rPr>
        <w:t>resolu</w:t>
      </w:r>
      <w:r w:rsidR="0089298C" w:rsidRPr="002F50BD">
        <w:rPr>
          <w:rFonts w:ascii="Verdana" w:hAnsi="Verdana"/>
          <w:sz w:val="20"/>
          <w:lang w:val="pt-BR"/>
        </w:rPr>
        <w:t>ção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755</w:t>
      </w:r>
      <w:r w:rsidR="004756C1" w:rsidRPr="002F50BD">
        <w:rPr>
          <w:rFonts w:ascii="Verdana" w:hAnsi="Verdana"/>
          <w:sz w:val="20"/>
          <w:lang w:val="pt-BR"/>
        </w:rPr>
        <w:t>, mediante</w:t>
      </w:r>
      <w:r w:rsidR="0089298C" w:rsidRPr="002F50BD">
        <w:rPr>
          <w:rFonts w:ascii="Verdana" w:hAnsi="Verdana"/>
          <w:sz w:val="20"/>
          <w:lang w:val="pt-BR"/>
        </w:rPr>
        <w:t xml:space="preserve"> a qual resolveu</w:t>
      </w:r>
      <w:r w:rsidR="004756C1"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4756C1">
      <w:pPr>
        <w:numPr>
          <w:ilvl w:val="0"/>
          <w:numId w:val="5"/>
        </w:numPr>
        <w:tabs>
          <w:tab w:val="clear" w:pos="720"/>
          <w:tab w:val="num" w:pos="1080"/>
        </w:tabs>
        <w:ind w:right="360" w:firstLine="0"/>
        <w:jc w:val="both"/>
        <w:rPr>
          <w:rFonts w:ascii="Verdana" w:hAnsi="Verdana"/>
          <w:sz w:val="16"/>
          <w:lang w:val="pt-BR"/>
        </w:rPr>
      </w:pPr>
      <w:r w:rsidRPr="002F50BD">
        <w:rPr>
          <w:rFonts w:ascii="Verdana" w:hAnsi="Verdana"/>
          <w:sz w:val="16"/>
          <w:lang w:val="pt-BR"/>
        </w:rPr>
        <w:t xml:space="preserve">Declarar racionalmente </w:t>
      </w:r>
      <w:r w:rsidR="00475EBB" w:rsidRPr="002F50BD">
        <w:rPr>
          <w:rFonts w:ascii="Verdana" w:hAnsi="Verdana"/>
          <w:sz w:val="16"/>
          <w:lang w:val="pt-BR"/>
        </w:rPr>
        <w:t>explorad</w:t>
      </w:r>
      <w:r w:rsidRPr="002F50BD">
        <w:rPr>
          <w:rFonts w:ascii="Verdana" w:hAnsi="Verdana"/>
          <w:sz w:val="16"/>
          <w:lang w:val="pt-BR"/>
        </w:rPr>
        <w:t>[os]</w:t>
      </w:r>
      <w:r w:rsidR="0089298C" w:rsidRPr="002F50BD">
        <w:rPr>
          <w:rFonts w:ascii="Verdana" w:hAnsi="Verdana"/>
          <w:sz w:val="16"/>
          <w:lang w:val="pt-BR"/>
        </w:rPr>
        <w:t xml:space="preserve"> os </w:t>
      </w:r>
      <w:r w:rsidR="000920B2" w:rsidRPr="002F50BD">
        <w:rPr>
          <w:rFonts w:ascii="Verdana" w:hAnsi="Verdana"/>
          <w:sz w:val="16"/>
          <w:lang w:val="pt-BR"/>
        </w:rPr>
        <w:t>imóveis</w:t>
      </w:r>
      <w:r w:rsidRPr="002F50BD">
        <w:rPr>
          <w:rFonts w:ascii="Verdana" w:hAnsi="Verdana"/>
          <w:sz w:val="16"/>
          <w:lang w:val="pt-BR"/>
        </w:rPr>
        <w:t xml:space="preserve"> </w:t>
      </w:r>
      <w:r w:rsidR="004076AD" w:rsidRPr="002F50BD">
        <w:rPr>
          <w:rFonts w:ascii="Verdana" w:hAnsi="Verdana"/>
          <w:sz w:val="16"/>
          <w:lang w:val="pt-BR"/>
        </w:rPr>
        <w:t>pertencente</w:t>
      </w:r>
      <w:r w:rsidRPr="002F50BD">
        <w:rPr>
          <w:rFonts w:ascii="Verdana" w:hAnsi="Verdana"/>
          <w:sz w:val="16"/>
          <w:lang w:val="pt-BR"/>
        </w:rPr>
        <w:t>s</w:t>
      </w:r>
      <w:r w:rsidR="0089298C" w:rsidRPr="002F50BD">
        <w:rPr>
          <w:rFonts w:ascii="Verdana" w:hAnsi="Verdana"/>
          <w:sz w:val="16"/>
          <w:lang w:val="pt-BR"/>
        </w:rPr>
        <w:t xml:space="preserve"> à </w:t>
      </w:r>
      <w:r w:rsidRPr="002F50BD">
        <w:rPr>
          <w:rFonts w:ascii="Verdana" w:hAnsi="Verdana"/>
          <w:sz w:val="16"/>
          <w:lang w:val="pt-BR"/>
        </w:rPr>
        <w:t>Estancia Maroma S.R.L</w:t>
      </w:r>
      <w:r w:rsidR="0089298C" w:rsidRPr="002F50BD">
        <w:rPr>
          <w:rFonts w:ascii="Verdana" w:hAnsi="Verdana"/>
          <w:sz w:val="16"/>
          <w:lang w:val="pt-BR"/>
        </w:rPr>
        <w:t xml:space="preserve"> e </w:t>
      </w:r>
      <w:r w:rsidRPr="002F50BD">
        <w:rPr>
          <w:rFonts w:ascii="Verdana" w:hAnsi="Verdana"/>
          <w:i/>
          <w:sz w:val="16"/>
          <w:lang w:val="pt-BR"/>
        </w:rPr>
        <w:t xml:space="preserve">Compañía </w:t>
      </w:r>
      <w:r w:rsidR="00937400" w:rsidRPr="002F50BD">
        <w:rPr>
          <w:rFonts w:ascii="Verdana" w:hAnsi="Verdana"/>
          <w:i/>
          <w:sz w:val="16"/>
          <w:lang w:val="pt-BR"/>
        </w:rPr>
        <w:t>Sociedad</w:t>
      </w:r>
      <w:r w:rsidR="0089298C" w:rsidRPr="002F50BD">
        <w:rPr>
          <w:rFonts w:ascii="Verdana" w:hAnsi="Verdana"/>
          <w:i/>
          <w:sz w:val="16"/>
          <w:lang w:val="pt-BR"/>
        </w:rPr>
        <w:t xml:space="preserve"> e</w:t>
      </w:r>
      <w:r w:rsidR="00937400" w:rsidRPr="002F50BD">
        <w:rPr>
          <w:rFonts w:ascii="Verdana" w:hAnsi="Verdana"/>
          <w:i/>
          <w:sz w:val="16"/>
          <w:lang w:val="pt-BR"/>
        </w:rPr>
        <w:t>n</w:t>
      </w:r>
      <w:r w:rsidR="0089298C" w:rsidRPr="002F50BD">
        <w:rPr>
          <w:rFonts w:ascii="Verdana" w:hAnsi="Verdana"/>
          <w:i/>
          <w:sz w:val="16"/>
          <w:lang w:val="pt-BR"/>
        </w:rPr>
        <w:t xml:space="preserve"> </w:t>
      </w:r>
      <w:r w:rsidRPr="002F50BD">
        <w:rPr>
          <w:rFonts w:ascii="Verdana" w:hAnsi="Verdana"/>
          <w:i/>
          <w:sz w:val="16"/>
          <w:lang w:val="pt-BR"/>
        </w:rPr>
        <w:t xml:space="preserve">Comandita por </w:t>
      </w:r>
      <w:r w:rsidR="0089298C" w:rsidRPr="002F50BD">
        <w:rPr>
          <w:rFonts w:ascii="Verdana" w:hAnsi="Verdana"/>
          <w:i/>
          <w:sz w:val="16"/>
          <w:lang w:val="pt-BR"/>
        </w:rPr>
        <w:t>A</w:t>
      </w:r>
      <w:r w:rsidR="00937400" w:rsidRPr="002F50BD">
        <w:rPr>
          <w:rFonts w:ascii="Verdana" w:hAnsi="Verdana"/>
          <w:i/>
          <w:sz w:val="16"/>
          <w:lang w:val="pt-BR"/>
        </w:rPr>
        <w:t>cciones</w:t>
      </w:r>
      <w:r w:rsidRPr="002F50BD">
        <w:rPr>
          <w:rFonts w:ascii="Verdana" w:hAnsi="Verdana"/>
          <w:sz w:val="16"/>
          <w:lang w:val="pt-BR"/>
        </w:rPr>
        <w:t xml:space="preserve"> </w:t>
      </w:r>
      <w:r w:rsidR="00CF451D" w:rsidRPr="00CF451D">
        <w:rPr>
          <w:rFonts w:ascii="Verdana" w:hAnsi="Verdana"/>
          <w:sz w:val="16"/>
          <w:lang w:val="pt-BR"/>
        </w:rPr>
        <w:t>(</w:t>
      </w:r>
      <w:r w:rsidR="00191E95" w:rsidRPr="002F50BD">
        <w:rPr>
          <w:rFonts w:ascii="Verdana" w:hAnsi="Verdana"/>
          <w:sz w:val="16"/>
          <w:lang w:val="pt-BR"/>
        </w:rPr>
        <w:t xml:space="preserve">Fazenda </w:t>
      </w:r>
      <w:r w:rsidRPr="002F50BD">
        <w:rPr>
          <w:rFonts w:ascii="Verdana" w:hAnsi="Verdana"/>
          <w:sz w:val="16"/>
          <w:lang w:val="pt-BR"/>
        </w:rPr>
        <w:t>No.</w:t>
      </w:r>
      <w:r w:rsidR="00063B47" w:rsidRPr="002F50BD">
        <w:rPr>
          <w:rFonts w:ascii="Verdana" w:hAnsi="Verdana"/>
          <w:sz w:val="16"/>
          <w:lang w:val="pt-BR"/>
        </w:rPr>
        <w:t>2985</w:t>
      </w:r>
      <w:r w:rsidRPr="002F50BD">
        <w:rPr>
          <w:rFonts w:ascii="Verdana" w:hAnsi="Verdana"/>
          <w:sz w:val="16"/>
          <w:lang w:val="pt-BR"/>
        </w:rPr>
        <w:t>-Chaco</w:t>
      </w:r>
      <w:r w:rsidR="00CF451D" w:rsidRPr="00CF451D">
        <w:rPr>
          <w:rFonts w:ascii="Verdana" w:hAnsi="Verdana"/>
          <w:sz w:val="16"/>
          <w:lang w:val="pt-BR"/>
        </w:rPr>
        <w:t>)</w:t>
      </w:r>
      <w:r w:rsidR="0089298C" w:rsidRPr="002F50BD">
        <w:rPr>
          <w:rFonts w:ascii="Verdana" w:hAnsi="Verdana"/>
          <w:sz w:val="16"/>
          <w:lang w:val="pt-BR"/>
        </w:rPr>
        <w:t xml:space="preserve"> e </w:t>
      </w:r>
      <w:r w:rsidRPr="002F50BD">
        <w:rPr>
          <w:rFonts w:ascii="Verdana" w:hAnsi="Verdana"/>
          <w:sz w:val="16"/>
          <w:lang w:val="pt-BR"/>
        </w:rPr>
        <w:t xml:space="preserve">Loma Verde </w:t>
      </w:r>
      <w:r w:rsidR="00CF451D" w:rsidRPr="00CF451D">
        <w:rPr>
          <w:rFonts w:ascii="Verdana" w:hAnsi="Verdana"/>
          <w:sz w:val="16"/>
          <w:lang w:val="pt-BR"/>
        </w:rPr>
        <w:t>(</w:t>
      </w:r>
      <w:r w:rsidR="00414ED5" w:rsidRPr="002F50BD">
        <w:rPr>
          <w:rFonts w:ascii="Verdana" w:hAnsi="Verdana"/>
          <w:sz w:val="16"/>
          <w:lang w:val="pt-BR"/>
        </w:rPr>
        <w:t>Fazendas</w:t>
      </w:r>
      <w:r w:rsidR="00F8225E">
        <w:rPr>
          <w:rFonts w:ascii="Verdana" w:hAnsi="Verdana"/>
          <w:sz w:val="16"/>
          <w:lang w:val="pt-BR"/>
        </w:rPr>
        <w:t xml:space="preserve"> Nº </w:t>
      </w:r>
      <w:r w:rsidR="00063B47" w:rsidRPr="002F50BD">
        <w:rPr>
          <w:rFonts w:ascii="Verdana" w:hAnsi="Verdana"/>
          <w:sz w:val="16"/>
          <w:lang w:val="pt-BR"/>
        </w:rPr>
        <w:t>15</w:t>
      </w:r>
      <w:r w:rsidRPr="002F50BD">
        <w:rPr>
          <w:rFonts w:ascii="Verdana" w:hAnsi="Verdana"/>
          <w:sz w:val="16"/>
          <w:lang w:val="pt-BR"/>
        </w:rPr>
        <w:t>.</w:t>
      </w:r>
      <w:r w:rsidR="00063B47" w:rsidRPr="002F50BD">
        <w:rPr>
          <w:rFonts w:ascii="Verdana" w:hAnsi="Verdana"/>
          <w:sz w:val="16"/>
          <w:lang w:val="pt-BR"/>
        </w:rPr>
        <w:t>179</w:t>
      </w:r>
      <w:r w:rsidRPr="002F50BD">
        <w:rPr>
          <w:rFonts w:ascii="Verdana" w:hAnsi="Verdana"/>
          <w:sz w:val="16"/>
          <w:lang w:val="pt-BR"/>
        </w:rPr>
        <w:t xml:space="preserve">, </w:t>
      </w:r>
      <w:r w:rsidR="00063B47" w:rsidRPr="002F50BD">
        <w:rPr>
          <w:rFonts w:ascii="Verdana" w:hAnsi="Verdana"/>
          <w:sz w:val="16"/>
          <w:lang w:val="pt-BR"/>
        </w:rPr>
        <w:t>15</w:t>
      </w:r>
      <w:r w:rsidRPr="002F50BD">
        <w:rPr>
          <w:rFonts w:ascii="Verdana" w:hAnsi="Verdana"/>
          <w:sz w:val="16"/>
          <w:lang w:val="pt-BR"/>
        </w:rPr>
        <w:t>.</w:t>
      </w:r>
      <w:r w:rsidR="00063B47" w:rsidRPr="002F50BD">
        <w:rPr>
          <w:rFonts w:ascii="Verdana" w:hAnsi="Verdana"/>
          <w:sz w:val="16"/>
          <w:lang w:val="pt-BR"/>
        </w:rPr>
        <w:t>180</w:t>
      </w:r>
      <w:r w:rsidR="0089298C" w:rsidRPr="002F50BD">
        <w:rPr>
          <w:rFonts w:ascii="Verdana" w:hAnsi="Verdana"/>
          <w:sz w:val="16"/>
          <w:lang w:val="pt-BR"/>
        </w:rPr>
        <w:t xml:space="preserve"> e </w:t>
      </w:r>
      <w:r w:rsidR="00063B47" w:rsidRPr="002F50BD">
        <w:rPr>
          <w:rFonts w:ascii="Verdana" w:hAnsi="Verdana"/>
          <w:sz w:val="16"/>
          <w:lang w:val="pt-BR"/>
        </w:rPr>
        <w:t>759</w:t>
      </w:r>
      <w:r w:rsidRPr="002F50BD">
        <w:rPr>
          <w:rFonts w:ascii="Verdana" w:hAnsi="Verdana"/>
          <w:sz w:val="16"/>
          <w:lang w:val="pt-BR"/>
        </w:rPr>
        <w:t>-Chaco</w:t>
      </w:r>
      <w:r w:rsidR="00CF451D" w:rsidRPr="00CF451D">
        <w:rPr>
          <w:rFonts w:ascii="Verdana" w:hAnsi="Verdana"/>
          <w:sz w:val="16"/>
          <w:lang w:val="pt-BR"/>
        </w:rPr>
        <w:t>)</w:t>
      </w:r>
      <w:r w:rsidRPr="002F50BD">
        <w:rPr>
          <w:rFonts w:ascii="Verdana" w:hAnsi="Verdana"/>
          <w:sz w:val="16"/>
          <w:lang w:val="pt-BR"/>
        </w:rPr>
        <w:t>, Departamento de Presidente Hayes, a teor</w:t>
      </w:r>
      <w:r w:rsidR="0089298C" w:rsidRPr="002F50BD">
        <w:rPr>
          <w:rFonts w:ascii="Verdana" w:hAnsi="Verdana"/>
          <w:sz w:val="16"/>
          <w:lang w:val="pt-BR"/>
        </w:rPr>
        <w:t xml:space="preserve"> do dispost</w:t>
      </w:r>
      <w:r w:rsidRPr="002F50BD">
        <w:rPr>
          <w:rFonts w:ascii="Verdana" w:hAnsi="Verdana"/>
          <w:sz w:val="16"/>
          <w:lang w:val="pt-BR"/>
        </w:rPr>
        <w:t>o</w:t>
      </w:r>
      <w:r w:rsidR="0089298C" w:rsidRPr="002F50BD">
        <w:rPr>
          <w:rFonts w:ascii="Verdana" w:hAnsi="Verdana"/>
          <w:sz w:val="16"/>
          <w:lang w:val="pt-BR"/>
        </w:rPr>
        <w:t xml:space="preserve"> nos artigo</w:t>
      </w:r>
      <w:r w:rsidRPr="002F50BD">
        <w:rPr>
          <w:rFonts w:ascii="Verdana" w:hAnsi="Verdana"/>
          <w:sz w:val="16"/>
          <w:lang w:val="pt-BR"/>
        </w:rPr>
        <w:t xml:space="preserve">s </w:t>
      </w:r>
      <w:r w:rsidR="00063B47" w:rsidRPr="002F50BD">
        <w:rPr>
          <w:rFonts w:ascii="Verdana" w:hAnsi="Verdana"/>
          <w:sz w:val="16"/>
          <w:lang w:val="pt-BR"/>
        </w:rPr>
        <w:t>3</w:t>
      </w:r>
      <w:r w:rsidR="00842134" w:rsidRPr="002F50BD">
        <w:rPr>
          <w:rFonts w:ascii="Verdana" w:hAnsi="Verdana"/>
          <w:sz w:val="16"/>
          <w:lang w:val="pt-BR"/>
        </w:rPr>
        <w:t>º.</w:t>
      </w:r>
      <w:r w:rsidR="0089298C" w:rsidRPr="002F50BD">
        <w:rPr>
          <w:rFonts w:ascii="Verdana" w:hAnsi="Verdana"/>
          <w:sz w:val="16"/>
          <w:lang w:val="pt-BR"/>
        </w:rPr>
        <w:t xml:space="preserve"> e </w:t>
      </w:r>
      <w:r w:rsidR="00063B47" w:rsidRPr="002F50BD">
        <w:rPr>
          <w:rFonts w:ascii="Verdana" w:hAnsi="Verdana"/>
          <w:sz w:val="16"/>
          <w:lang w:val="pt-BR"/>
        </w:rPr>
        <w:t>158</w:t>
      </w:r>
      <w:r w:rsidR="0089298C" w:rsidRPr="002F50BD">
        <w:rPr>
          <w:rFonts w:ascii="Verdana" w:hAnsi="Verdana"/>
          <w:sz w:val="16"/>
          <w:lang w:val="pt-BR"/>
        </w:rPr>
        <w:t xml:space="preserve"> da Lei </w:t>
      </w:r>
      <w:r w:rsidR="00063B47" w:rsidRPr="002F50BD">
        <w:rPr>
          <w:rFonts w:ascii="Verdana" w:hAnsi="Verdana"/>
          <w:sz w:val="16"/>
          <w:lang w:val="pt-BR"/>
        </w:rPr>
        <w:t>854</w:t>
      </w:r>
      <w:r w:rsidRPr="002F50BD">
        <w:rPr>
          <w:rFonts w:ascii="Verdana" w:hAnsi="Verdana"/>
          <w:sz w:val="16"/>
          <w:lang w:val="pt-BR"/>
        </w:rPr>
        <w:t>/</w:t>
      </w:r>
      <w:r w:rsidR="00063B47" w:rsidRPr="002F50BD">
        <w:rPr>
          <w:rFonts w:ascii="Verdana" w:hAnsi="Verdana"/>
          <w:sz w:val="16"/>
          <w:lang w:val="pt-BR"/>
        </w:rPr>
        <w:t>63</w:t>
      </w:r>
      <w:r w:rsidRPr="002F50BD">
        <w:rPr>
          <w:rFonts w:ascii="Verdana" w:hAnsi="Verdana"/>
          <w:sz w:val="16"/>
          <w:lang w:val="pt-BR"/>
        </w:rPr>
        <w:t xml:space="preserve"> “Que </w:t>
      </w:r>
      <w:r w:rsidR="0089298C" w:rsidRPr="002F50BD">
        <w:rPr>
          <w:rFonts w:ascii="Verdana" w:hAnsi="Verdana"/>
          <w:sz w:val="16"/>
          <w:lang w:val="pt-BR"/>
        </w:rPr>
        <w:t xml:space="preserve">estabelece o </w:t>
      </w:r>
      <w:r w:rsidR="00937400" w:rsidRPr="002F50BD">
        <w:rPr>
          <w:rFonts w:ascii="Verdana" w:hAnsi="Verdana"/>
          <w:sz w:val="16"/>
          <w:lang w:val="pt-BR"/>
        </w:rPr>
        <w:t>Estatuto Agrá</w:t>
      </w:r>
      <w:r w:rsidRPr="002F50BD">
        <w:rPr>
          <w:rFonts w:ascii="Verdana" w:hAnsi="Verdana"/>
          <w:sz w:val="16"/>
          <w:lang w:val="pt-BR"/>
        </w:rPr>
        <w:t>rio”</w:t>
      </w:r>
      <w:r w:rsidR="0089298C" w:rsidRPr="002F50BD">
        <w:rPr>
          <w:rFonts w:ascii="Verdana" w:hAnsi="Verdana"/>
          <w:sz w:val="16"/>
          <w:lang w:val="pt-BR"/>
        </w:rPr>
        <w:t xml:space="preserve"> e </w:t>
      </w:r>
      <w:r w:rsidR="00937400" w:rsidRPr="002F50BD">
        <w:rPr>
          <w:rFonts w:ascii="Verdana" w:hAnsi="Verdana"/>
          <w:sz w:val="16"/>
          <w:lang w:val="pt-BR"/>
        </w:rPr>
        <w:t xml:space="preserve">com </w:t>
      </w:r>
      <w:r w:rsidRPr="002F50BD">
        <w:rPr>
          <w:rFonts w:ascii="Verdana" w:hAnsi="Verdana"/>
          <w:sz w:val="16"/>
          <w:lang w:val="pt-BR"/>
        </w:rPr>
        <w:t>base</w:t>
      </w:r>
      <w:r w:rsidR="0089298C" w:rsidRPr="002F50BD">
        <w:rPr>
          <w:rFonts w:ascii="Verdana" w:hAnsi="Verdana"/>
          <w:sz w:val="16"/>
          <w:lang w:val="pt-BR"/>
        </w:rPr>
        <w:t xml:space="preserve"> </w:t>
      </w:r>
      <w:r w:rsidR="00937400" w:rsidRPr="002F50BD">
        <w:rPr>
          <w:rFonts w:ascii="Verdana" w:hAnsi="Verdana"/>
          <w:sz w:val="16"/>
          <w:lang w:val="pt-BR"/>
        </w:rPr>
        <w:t>n</w:t>
      </w:r>
      <w:r w:rsidR="0089298C" w:rsidRPr="002F50BD">
        <w:rPr>
          <w:rFonts w:ascii="Verdana" w:hAnsi="Verdana"/>
          <w:sz w:val="16"/>
          <w:lang w:val="pt-BR"/>
        </w:rPr>
        <w:t>o relatório apresentado pela Comissão</w:t>
      </w:r>
      <w:r w:rsidRPr="002F50BD">
        <w:rPr>
          <w:rFonts w:ascii="Verdana" w:hAnsi="Verdana"/>
          <w:sz w:val="16"/>
          <w:lang w:val="pt-BR"/>
        </w:rPr>
        <w:t xml:space="preserve"> Interinstitucional </w:t>
      </w:r>
      <w:r w:rsidR="00191E95" w:rsidRPr="002F50BD">
        <w:rPr>
          <w:rFonts w:ascii="Verdana" w:hAnsi="Verdana"/>
          <w:sz w:val="16"/>
          <w:lang w:val="pt-BR"/>
        </w:rPr>
        <w:t xml:space="preserve">constituída </w:t>
      </w:r>
      <w:r w:rsidRPr="002F50BD">
        <w:rPr>
          <w:rFonts w:ascii="Verdana" w:hAnsi="Verdana"/>
          <w:sz w:val="16"/>
          <w:lang w:val="pt-BR"/>
        </w:rPr>
        <w:t>por resolu</w:t>
      </w:r>
      <w:r w:rsidR="0089298C" w:rsidRPr="002F50BD">
        <w:rPr>
          <w:rFonts w:ascii="Verdana" w:hAnsi="Verdana"/>
          <w:sz w:val="16"/>
          <w:lang w:val="pt-BR"/>
        </w:rPr>
        <w:t>ção</w:t>
      </w:r>
      <w:r w:rsidRPr="002F50BD">
        <w:rPr>
          <w:rFonts w:ascii="Verdana" w:hAnsi="Verdana"/>
          <w:sz w:val="16"/>
          <w:lang w:val="pt-BR"/>
        </w:rPr>
        <w:t xml:space="preserve"> </w:t>
      </w:r>
      <w:r w:rsidR="0089298C" w:rsidRPr="002F50BD">
        <w:rPr>
          <w:rFonts w:ascii="Verdana" w:hAnsi="Verdana"/>
          <w:sz w:val="16"/>
          <w:lang w:val="pt-BR"/>
        </w:rPr>
        <w:t xml:space="preserve">do </w:t>
      </w:r>
      <w:r w:rsidRPr="002F50BD">
        <w:rPr>
          <w:rFonts w:ascii="Verdana" w:hAnsi="Verdana"/>
          <w:sz w:val="16"/>
          <w:lang w:val="pt-BR"/>
        </w:rPr>
        <w:t>Presidente</w:t>
      </w:r>
      <w:r w:rsidR="00FC6B22" w:rsidRPr="002F50BD">
        <w:rPr>
          <w:rFonts w:ascii="Verdana" w:hAnsi="Verdana"/>
          <w:sz w:val="16"/>
          <w:lang w:val="pt-BR"/>
        </w:rPr>
        <w:t xml:space="preserve"> </w:t>
      </w:r>
      <w:r w:rsidR="00063B47" w:rsidRPr="002F50BD">
        <w:rPr>
          <w:rFonts w:ascii="Verdana" w:hAnsi="Verdana"/>
          <w:sz w:val="16"/>
          <w:lang w:val="pt-BR"/>
        </w:rPr>
        <w:t>nº</w:t>
      </w:r>
      <w:r w:rsidR="00FC6B22" w:rsidRPr="002F50BD">
        <w:rPr>
          <w:rFonts w:ascii="Verdana" w:hAnsi="Verdana"/>
          <w:sz w:val="16"/>
          <w:lang w:val="pt-BR"/>
        </w:rPr>
        <w:t xml:space="preserve"> </w:t>
      </w:r>
      <w:r w:rsidR="00063B47" w:rsidRPr="002F50BD">
        <w:rPr>
          <w:rFonts w:ascii="Verdana" w:hAnsi="Verdana"/>
          <w:sz w:val="16"/>
          <w:lang w:val="pt-BR"/>
        </w:rPr>
        <w:t>694</w:t>
      </w:r>
      <w:r w:rsidRPr="002F50BD">
        <w:rPr>
          <w:rFonts w:ascii="Verdana" w:hAnsi="Verdana"/>
          <w:sz w:val="16"/>
          <w:lang w:val="pt-BR"/>
        </w:rPr>
        <w:t>/</w:t>
      </w:r>
      <w:r w:rsidR="00063B47" w:rsidRPr="002F50BD">
        <w:rPr>
          <w:rFonts w:ascii="Verdana" w:hAnsi="Verdana"/>
          <w:sz w:val="16"/>
          <w:lang w:val="pt-BR"/>
        </w:rPr>
        <w:t>96</w:t>
      </w:r>
      <w:r w:rsidRPr="002F50BD">
        <w:rPr>
          <w:rFonts w:ascii="Verdana" w:hAnsi="Verdana"/>
          <w:sz w:val="16"/>
          <w:lang w:val="pt-BR"/>
        </w:rPr>
        <w:t xml:space="preserve">, </w:t>
      </w:r>
      <w:r w:rsidR="0089298C" w:rsidRPr="002F50BD">
        <w:rPr>
          <w:rFonts w:ascii="Verdana" w:hAnsi="Verdana"/>
          <w:sz w:val="16"/>
          <w:lang w:val="pt-BR"/>
        </w:rPr>
        <w:t>cuja</w:t>
      </w:r>
      <w:r w:rsidRPr="002F50BD">
        <w:rPr>
          <w:rFonts w:ascii="Verdana" w:hAnsi="Verdana"/>
          <w:sz w:val="16"/>
          <w:lang w:val="pt-BR"/>
        </w:rPr>
        <w:t xml:space="preserve"> </w:t>
      </w:r>
      <w:r w:rsidR="0089298C" w:rsidRPr="002F50BD">
        <w:rPr>
          <w:rFonts w:ascii="Verdana" w:hAnsi="Verdana"/>
          <w:sz w:val="16"/>
          <w:lang w:val="pt-BR"/>
        </w:rPr>
        <w:t>conclusão a respeito</w:t>
      </w:r>
      <w:r w:rsidRPr="002F50BD">
        <w:rPr>
          <w:rFonts w:ascii="Verdana" w:hAnsi="Verdana"/>
          <w:sz w:val="16"/>
          <w:lang w:val="pt-BR"/>
        </w:rPr>
        <w:t xml:space="preserve"> se transcr</w:t>
      </w:r>
      <w:r w:rsidR="00937400" w:rsidRPr="002F50BD">
        <w:rPr>
          <w:rFonts w:ascii="Verdana" w:hAnsi="Verdana"/>
          <w:sz w:val="16"/>
          <w:lang w:val="pt-BR"/>
        </w:rPr>
        <w:t>eve</w:t>
      </w:r>
      <w:r w:rsidR="0089298C" w:rsidRPr="002F50BD">
        <w:rPr>
          <w:rFonts w:ascii="Verdana" w:hAnsi="Verdana"/>
          <w:sz w:val="16"/>
          <w:lang w:val="pt-BR"/>
        </w:rPr>
        <w:t xml:space="preserve"> no </w:t>
      </w:r>
      <w:r w:rsidR="00EC5F20" w:rsidRPr="002F50BD">
        <w:rPr>
          <w:rFonts w:ascii="Verdana" w:hAnsi="Verdana"/>
          <w:sz w:val="16"/>
          <w:lang w:val="pt-BR"/>
        </w:rPr>
        <w:t>pre</w:t>
      </w:r>
      <w:r w:rsidR="00937400" w:rsidRPr="002F50BD">
        <w:rPr>
          <w:rFonts w:ascii="Verdana" w:hAnsi="Verdana"/>
          <w:sz w:val="16"/>
          <w:lang w:val="pt-BR"/>
        </w:rPr>
        <w:t xml:space="preserve">âmbulo </w:t>
      </w:r>
      <w:r w:rsidR="0089298C" w:rsidRPr="002F50BD">
        <w:rPr>
          <w:rFonts w:ascii="Verdana" w:hAnsi="Verdana"/>
          <w:sz w:val="16"/>
          <w:lang w:val="pt-BR"/>
        </w:rPr>
        <w:t xml:space="preserve">da </w:t>
      </w:r>
      <w:r w:rsidRPr="002F50BD">
        <w:rPr>
          <w:rFonts w:ascii="Verdana" w:hAnsi="Verdana"/>
          <w:sz w:val="16"/>
          <w:lang w:val="pt-BR"/>
        </w:rPr>
        <w:t>presente resolu</w:t>
      </w:r>
      <w:r w:rsidR="0089298C" w:rsidRPr="002F50BD">
        <w:rPr>
          <w:rFonts w:ascii="Verdana" w:hAnsi="Verdana"/>
          <w:sz w:val="16"/>
          <w:lang w:val="pt-BR"/>
        </w:rPr>
        <w:t>ção</w:t>
      </w:r>
      <w:r w:rsidRPr="002F50BD">
        <w:rPr>
          <w:rFonts w:ascii="Verdana" w:hAnsi="Verdana"/>
          <w:sz w:val="16"/>
          <w:lang w:val="pt-BR"/>
        </w:rPr>
        <w:t>.</w:t>
      </w:r>
      <w:r w:rsidR="0089298C" w:rsidRPr="002F50BD">
        <w:rPr>
          <w:rFonts w:ascii="Verdana" w:hAnsi="Verdana"/>
          <w:sz w:val="16"/>
          <w:lang w:val="pt-BR"/>
        </w:rPr>
        <w:cr/>
        <w:t xml:space="preserve">O </w:t>
      </w:r>
      <w:r w:rsidRPr="002F50BD">
        <w:rPr>
          <w:rFonts w:ascii="Verdana" w:hAnsi="Verdana"/>
          <w:sz w:val="16"/>
          <w:lang w:val="pt-BR"/>
        </w:rPr>
        <w:t xml:space="preserve">IBR </w:t>
      </w:r>
      <w:r w:rsidR="0089298C" w:rsidRPr="002F50BD">
        <w:rPr>
          <w:rFonts w:ascii="Verdana" w:hAnsi="Verdana"/>
          <w:sz w:val="16"/>
          <w:lang w:val="pt-BR"/>
        </w:rPr>
        <w:t xml:space="preserve">poderá </w:t>
      </w:r>
      <w:r w:rsidRPr="002F50BD">
        <w:rPr>
          <w:rFonts w:ascii="Verdana" w:hAnsi="Verdana"/>
          <w:sz w:val="16"/>
          <w:lang w:val="pt-BR"/>
        </w:rPr>
        <w:t>revisar</w:t>
      </w:r>
      <w:r w:rsidR="0089298C" w:rsidRPr="002F50BD">
        <w:rPr>
          <w:rFonts w:ascii="Verdana" w:hAnsi="Verdana"/>
          <w:sz w:val="16"/>
          <w:lang w:val="pt-BR"/>
        </w:rPr>
        <w:t xml:space="preserve"> o disposto no artigo</w:t>
      </w:r>
      <w:r w:rsidRPr="002F50BD">
        <w:rPr>
          <w:rFonts w:ascii="Verdana" w:hAnsi="Verdana"/>
          <w:sz w:val="16"/>
          <w:lang w:val="pt-BR"/>
        </w:rPr>
        <w:t xml:space="preserve"> anterior</w:t>
      </w:r>
      <w:r w:rsidR="0089298C" w:rsidRPr="002F50BD">
        <w:rPr>
          <w:rFonts w:ascii="Verdana" w:hAnsi="Verdana"/>
          <w:sz w:val="16"/>
          <w:lang w:val="pt-BR"/>
        </w:rPr>
        <w:t xml:space="preserve"> na </w:t>
      </w:r>
      <w:r w:rsidRPr="002F50BD">
        <w:rPr>
          <w:rFonts w:ascii="Verdana" w:hAnsi="Verdana"/>
          <w:sz w:val="16"/>
          <w:lang w:val="pt-BR"/>
        </w:rPr>
        <w:t xml:space="preserve">medida </w:t>
      </w:r>
      <w:r w:rsidR="00937400" w:rsidRPr="002F50BD">
        <w:rPr>
          <w:rFonts w:ascii="Verdana" w:hAnsi="Verdana"/>
          <w:sz w:val="16"/>
          <w:lang w:val="pt-BR"/>
        </w:rPr>
        <w:t xml:space="preserve">em </w:t>
      </w:r>
      <w:r w:rsidRPr="002F50BD">
        <w:rPr>
          <w:rFonts w:ascii="Verdana" w:hAnsi="Verdana"/>
          <w:sz w:val="16"/>
          <w:lang w:val="pt-BR"/>
        </w:rPr>
        <w:t>que se com</w:t>
      </w:r>
      <w:r w:rsidR="0089298C" w:rsidRPr="002F50BD">
        <w:rPr>
          <w:rFonts w:ascii="Verdana" w:hAnsi="Verdana"/>
          <w:sz w:val="16"/>
          <w:lang w:val="pt-BR"/>
        </w:rPr>
        <w:t>provar</w:t>
      </w:r>
      <w:r w:rsidRPr="002F50BD">
        <w:rPr>
          <w:rFonts w:ascii="Verdana" w:hAnsi="Verdana"/>
          <w:sz w:val="16"/>
          <w:lang w:val="pt-BR"/>
        </w:rPr>
        <w:t xml:space="preserve"> que</w:t>
      </w:r>
      <w:r w:rsidR="0089298C" w:rsidRPr="002F50BD">
        <w:rPr>
          <w:rFonts w:ascii="Verdana" w:hAnsi="Verdana"/>
          <w:sz w:val="16"/>
          <w:lang w:val="pt-BR"/>
        </w:rPr>
        <w:t xml:space="preserve"> os </w:t>
      </w:r>
      <w:r w:rsidRPr="002F50BD">
        <w:rPr>
          <w:rFonts w:ascii="Verdana" w:hAnsi="Verdana"/>
          <w:sz w:val="16"/>
          <w:lang w:val="pt-BR"/>
        </w:rPr>
        <w:t xml:space="preserve">citados </w:t>
      </w:r>
      <w:r w:rsidR="000920B2" w:rsidRPr="002F50BD">
        <w:rPr>
          <w:rFonts w:ascii="Verdana" w:hAnsi="Verdana"/>
          <w:sz w:val="16"/>
          <w:lang w:val="pt-BR"/>
        </w:rPr>
        <w:t>imóveis</w:t>
      </w:r>
      <w:r w:rsidRPr="002F50BD">
        <w:rPr>
          <w:rFonts w:ascii="Verdana" w:hAnsi="Verdana"/>
          <w:sz w:val="16"/>
          <w:lang w:val="pt-BR"/>
        </w:rPr>
        <w:t xml:space="preserve"> </w:t>
      </w:r>
      <w:r w:rsidR="0089298C" w:rsidRPr="002F50BD">
        <w:rPr>
          <w:rFonts w:ascii="Verdana" w:hAnsi="Verdana"/>
          <w:sz w:val="16"/>
          <w:lang w:val="pt-BR"/>
        </w:rPr>
        <w:t>deixar</w:t>
      </w:r>
      <w:r w:rsidR="00191E95" w:rsidRPr="002F50BD">
        <w:rPr>
          <w:rFonts w:ascii="Verdana" w:hAnsi="Verdana"/>
          <w:sz w:val="16"/>
          <w:lang w:val="pt-BR"/>
        </w:rPr>
        <w:t>a</w:t>
      </w:r>
      <w:r w:rsidR="00937400" w:rsidRPr="002F50BD">
        <w:rPr>
          <w:rFonts w:ascii="Verdana" w:hAnsi="Verdana"/>
          <w:sz w:val="16"/>
          <w:lang w:val="pt-BR"/>
        </w:rPr>
        <w:t>m</w:t>
      </w:r>
      <w:r w:rsidRPr="002F50BD">
        <w:rPr>
          <w:rFonts w:ascii="Verdana" w:hAnsi="Verdana"/>
          <w:sz w:val="16"/>
          <w:lang w:val="pt-BR"/>
        </w:rPr>
        <w:t xml:space="preserve"> de observar </w:t>
      </w:r>
      <w:r w:rsidR="00937400" w:rsidRPr="002F50BD">
        <w:rPr>
          <w:rFonts w:ascii="Verdana" w:hAnsi="Verdana"/>
          <w:sz w:val="16"/>
          <w:lang w:val="pt-BR"/>
        </w:rPr>
        <w:t xml:space="preserve">o </w:t>
      </w:r>
      <w:r w:rsidRPr="002F50BD">
        <w:rPr>
          <w:rFonts w:ascii="Verdana" w:hAnsi="Verdana"/>
          <w:sz w:val="16"/>
          <w:lang w:val="pt-BR"/>
        </w:rPr>
        <w:t xml:space="preserve">uso </w:t>
      </w:r>
      <w:r w:rsidR="001A249E" w:rsidRPr="002F50BD">
        <w:rPr>
          <w:rFonts w:ascii="Verdana" w:hAnsi="Verdana"/>
          <w:sz w:val="16"/>
          <w:lang w:val="pt-BR"/>
        </w:rPr>
        <w:t>produt</w:t>
      </w:r>
      <w:r w:rsidR="0025579C" w:rsidRPr="002F50BD">
        <w:rPr>
          <w:rFonts w:ascii="Verdana" w:hAnsi="Verdana"/>
          <w:sz w:val="16"/>
          <w:lang w:val="pt-BR"/>
        </w:rPr>
        <w:t>i</w:t>
      </w:r>
      <w:r w:rsidR="001A249E" w:rsidRPr="002F50BD">
        <w:rPr>
          <w:rFonts w:ascii="Verdana" w:hAnsi="Verdana"/>
          <w:sz w:val="16"/>
          <w:lang w:val="pt-BR"/>
        </w:rPr>
        <w:t>v</w:t>
      </w:r>
      <w:r w:rsidRPr="002F50BD">
        <w:rPr>
          <w:rFonts w:ascii="Verdana" w:hAnsi="Verdana"/>
          <w:sz w:val="16"/>
          <w:lang w:val="pt-BR"/>
        </w:rPr>
        <w:t>o permanente o</w:t>
      </w:r>
      <w:r w:rsidR="00937400" w:rsidRPr="002F50BD">
        <w:rPr>
          <w:rFonts w:ascii="Verdana" w:hAnsi="Verdana"/>
          <w:sz w:val="16"/>
          <w:lang w:val="pt-BR"/>
        </w:rPr>
        <w:t>u</w:t>
      </w:r>
      <w:r w:rsidRPr="002F50BD">
        <w:rPr>
          <w:rFonts w:ascii="Verdana" w:hAnsi="Verdana"/>
          <w:sz w:val="16"/>
          <w:lang w:val="pt-BR"/>
        </w:rPr>
        <w:t xml:space="preserve"> surgire</w:t>
      </w:r>
      <w:r w:rsidR="00937400" w:rsidRPr="002F50BD">
        <w:rPr>
          <w:rFonts w:ascii="Verdana" w:hAnsi="Verdana"/>
          <w:sz w:val="16"/>
          <w:lang w:val="pt-BR"/>
        </w:rPr>
        <w:t>m</w:t>
      </w:r>
      <w:r w:rsidRPr="002F50BD">
        <w:rPr>
          <w:rFonts w:ascii="Verdana" w:hAnsi="Verdana"/>
          <w:sz w:val="16"/>
          <w:lang w:val="pt-BR"/>
        </w:rPr>
        <w:t xml:space="preserve"> </w:t>
      </w:r>
      <w:r w:rsidR="0089298C" w:rsidRPr="002F50BD">
        <w:rPr>
          <w:rFonts w:ascii="Verdana" w:hAnsi="Verdana"/>
          <w:sz w:val="16"/>
          <w:lang w:val="pt-BR"/>
        </w:rPr>
        <w:t>circunstâncias</w:t>
      </w:r>
      <w:r w:rsidRPr="002F50BD">
        <w:rPr>
          <w:rFonts w:ascii="Verdana" w:hAnsi="Verdana"/>
          <w:sz w:val="16"/>
          <w:lang w:val="pt-BR"/>
        </w:rPr>
        <w:t xml:space="preserve"> </w:t>
      </w:r>
      <w:r w:rsidR="0089298C" w:rsidRPr="002F50BD">
        <w:rPr>
          <w:rFonts w:ascii="Verdana" w:hAnsi="Verdana"/>
          <w:sz w:val="16"/>
          <w:lang w:val="pt-BR"/>
        </w:rPr>
        <w:t>nova</w:t>
      </w:r>
      <w:r w:rsidRPr="002F50BD">
        <w:rPr>
          <w:rFonts w:ascii="Verdana" w:hAnsi="Verdana"/>
          <w:sz w:val="16"/>
          <w:lang w:val="pt-BR"/>
        </w:rPr>
        <w:t xml:space="preserve">s que o </w:t>
      </w:r>
      <w:r w:rsidR="00937400" w:rsidRPr="002F50BD">
        <w:rPr>
          <w:rFonts w:ascii="Verdana" w:hAnsi="Verdana"/>
          <w:sz w:val="16"/>
          <w:lang w:val="pt-BR"/>
        </w:rPr>
        <w:t xml:space="preserve">façam apropriado de acordo com </w:t>
      </w:r>
      <w:r w:rsidR="0089298C" w:rsidRPr="002F50BD">
        <w:rPr>
          <w:rFonts w:ascii="Verdana" w:hAnsi="Verdana"/>
          <w:sz w:val="16"/>
          <w:lang w:val="pt-BR"/>
        </w:rPr>
        <w:t>a lei.</w:t>
      </w:r>
    </w:p>
    <w:p w:rsidR="004756C1" w:rsidRPr="002F50BD" w:rsidRDefault="004756C1">
      <w:pPr>
        <w:numPr>
          <w:ilvl w:val="0"/>
          <w:numId w:val="5"/>
        </w:numPr>
        <w:tabs>
          <w:tab w:val="clear" w:pos="720"/>
          <w:tab w:val="num" w:pos="1080"/>
        </w:tabs>
        <w:ind w:right="360" w:firstLine="0"/>
        <w:jc w:val="both"/>
        <w:rPr>
          <w:rFonts w:ascii="Verdana" w:hAnsi="Verdana"/>
          <w:sz w:val="20"/>
          <w:lang w:val="pt-BR"/>
        </w:rPr>
      </w:pPr>
      <w:r w:rsidRPr="002F50BD">
        <w:rPr>
          <w:rFonts w:ascii="Verdana" w:hAnsi="Verdana"/>
          <w:sz w:val="16"/>
          <w:lang w:val="pt-BR"/>
        </w:rPr>
        <w:t>Rem</w:t>
      </w:r>
      <w:r w:rsidR="00937400" w:rsidRPr="002F50BD">
        <w:rPr>
          <w:rFonts w:ascii="Verdana" w:hAnsi="Verdana"/>
          <w:sz w:val="16"/>
          <w:lang w:val="pt-BR"/>
        </w:rPr>
        <w:t>e</w:t>
      </w:r>
      <w:r w:rsidRPr="002F50BD">
        <w:rPr>
          <w:rFonts w:ascii="Verdana" w:hAnsi="Verdana"/>
          <w:sz w:val="16"/>
          <w:lang w:val="pt-BR"/>
        </w:rPr>
        <w:t>t</w:t>
      </w:r>
      <w:r w:rsidR="00937400" w:rsidRPr="002F50BD">
        <w:rPr>
          <w:rFonts w:ascii="Verdana" w:hAnsi="Verdana"/>
          <w:sz w:val="16"/>
          <w:lang w:val="pt-BR"/>
        </w:rPr>
        <w:t>e</w:t>
      </w:r>
      <w:r w:rsidRPr="002F50BD">
        <w:rPr>
          <w:rFonts w:ascii="Verdana" w:hAnsi="Verdana"/>
          <w:sz w:val="16"/>
          <w:lang w:val="pt-BR"/>
        </w:rPr>
        <w:t>r</w:t>
      </w:r>
      <w:r w:rsidR="0089298C" w:rsidRPr="002F50BD">
        <w:rPr>
          <w:rFonts w:ascii="Verdana" w:hAnsi="Verdana"/>
          <w:sz w:val="16"/>
          <w:lang w:val="pt-BR"/>
        </w:rPr>
        <w:t xml:space="preserve"> o </w:t>
      </w:r>
      <w:r w:rsidRPr="002F50BD">
        <w:rPr>
          <w:rFonts w:ascii="Verdana" w:hAnsi="Verdana"/>
          <w:sz w:val="16"/>
          <w:lang w:val="pt-BR"/>
        </w:rPr>
        <w:t>presente expediente</w:t>
      </w:r>
      <w:r w:rsidR="0089298C" w:rsidRPr="002F50BD">
        <w:rPr>
          <w:rFonts w:ascii="Verdana" w:hAnsi="Verdana"/>
          <w:sz w:val="16"/>
          <w:lang w:val="pt-BR"/>
        </w:rPr>
        <w:t xml:space="preserve"> ao </w:t>
      </w:r>
      <w:r w:rsidRPr="002F50BD">
        <w:rPr>
          <w:rFonts w:ascii="Verdana" w:hAnsi="Verdana"/>
          <w:sz w:val="16"/>
          <w:lang w:val="pt-BR"/>
        </w:rPr>
        <w:t xml:space="preserve">Instituto </w:t>
      </w:r>
      <w:r w:rsidR="0089298C" w:rsidRPr="002F50BD">
        <w:rPr>
          <w:rFonts w:ascii="Verdana" w:hAnsi="Verdana"/>
          <w:sz w:val="16"/>
          <w:lang w:val="pt-BR"/>
        </w:rPr>
        <w:t>Paraguai</w:t>
      </w:r>
      <w:r w:rsidRPr="002F50BD">
        <w:rPr>
          <w:rFonts w:ascii="Verdana" w:hAnsi="Verdana"/>
          <w:sz w:val="16"/>
          <w:lang w:val="pt-BR"/>
        </w:rPr>
        <w:t xml:space="preserve">o </w:t>
      </w:r>
      <w:r w:rsidR="0089298C" w:rsidRPr="002F50BD">
        <w:rPr>
          <w:rFonts w:ascii="Verdana" w:hAnsi="Verdana"/>
          <w:sz w:val="16"/>
          <w:lang w:val="pt-BR"/>
        </w:rPr>
        <w:t xml:space="preserve">do </w:t>
      </w:r>
      <w:r w:rsidRPr="002F50BD">
        <w:rPr>
          <w:rFonts w:ascii="Verdana" w:hAnsi="Verdana"/>
          <w:sz w:val="16"/>
          <w:lang w:val="pt-BR"/>
        </w:rPr>
        <w:t xml:space="preserve">Indígena </w:t>
      </w:r>
      <w:r w:rsidR="00CF451D" w:rsidRPr="00CF451D">
        <w:rPr>
          <w:rFonts w:ascii="Verdana" w:hAnsi="Verdana"/>
          <w:sz w:val="16"/>
          <w:lang w:val="pt-BR"/>
        </w:rPr>
        <w:t>(</w:t>
      </w:r>
      <w:r w:rsidRPr="002F50BD">
        <w:rPr>
          <w:rFonts w:ascii="Verdana" w:hAnsi="Verdana"/>
          <w:sz w:val="16"/>
          <w:lang w:val="pt-BR"/>
        </w:rPr>
        <w:t>INDI</w:t>
      </w:r>
      <w:r w:rsidR="00CF451D" w:rsidRPr="00CF451D">
        <w:rPr>
          <w:rFonts w:ascii="Verdana" w:hAnsi="Verdana"/>
          <w:sz w:val="16"/>
          <w:lang w:val="pt-BR"/>
        </w:rPr>
        <w:t>)</w:t>
      </w:r>
      <w:r w:rsidRPr="002F50BD">
        <w:rPr>
          <w:rFonts w:ascii="Verdana" w:hAnsi="Verdana"/>
          <w:sz w:val="16"/>
          <w:lang w:val="pt-BR"/>
        </w:rPr>
        <w:t xml:space="preserve"> para su</w:t>
      </w:r>
      <w:r w:rsidR="00937400" w:rsidRPr="002F50BD">
        <w:rPr>
          <w:rFonts w:ascii="Verdana" w:hAnsi="Verdana"/>
          <w:sz w:val="16"/>
          <w:lang w:val="pt-BR"/>
        </w:rPr>
        <w:t>a</w:t>
      </w:r>
      <w:r w:rsidRPr="002F50BD">
        <w:rPr>
          <w:rFonts w:ascii="Verdana" w:hAnsi="Verdana"/>
          <w:sz w:val="16"/>
          <w:lang w:val="pt-BR"/>
        </w:rPr>
        <w:t xml:space="preserve"> considera</w:t>
      </w:r>
      <w:r w:rsidR="0089298C" w:rsidRPr="002F50BD">
        <w:rPr>
          <w:rFonts w:ascii="Verdana" w:hAnsi="Verdana"/>
          <w:sz w:val="16"/>
          <w:lang w:val="pt-BR"/>
        </w:rPr>
        <w:t xml:space="preserve">ção no </w:t>
      </w:r>
      <w:r w:rsidRPr="002F50BD">
        <w:rPr>
          <w:rFonts w:ascii="Verdana" w:hAnsi="Verdana"/>
          <w:sz w:val="16"/>
          <w:lang w:val="pt-BR"/>
        </w:rPr>
        <w:t xml:space="preserve">marco </w:t>
      </w:r>
      <w:r w:rsidR="0089298C" w:rsidRPr="002F50BD">
        <w:rPr>
          <w:rFonts w:ascii="Verdana" w:hAnsi="Verdana"/>
          <w:sz w:val="16"/>
          <w:lang w:val="pt-BR"/>
        </w:rPr>
        <w:t xml:space="preserve">mais amplo da Lei </w:t>
      </w:r>
      <w:r w:rsidR="00063B47" w:rsidRPr="002F50BD">
        <w:rPr>
          <w:rFonts w:ascii="Verdana" w:hAnsi="Verdana"/>
          <w:sz w:val="16"/>
          <w:lang w:val="pt-BR"/>
        </w:rPr>
        <w:t>904</w:t>
      </w:r>
      <w:r w:rsidRPr="002F50BD">
        <w:rPr>
          <w:rFonts w:ascii="Verdana" w:hAnsi="Verdana"/>
          <w:sz w:val="16"/>
          <w:lang w:val="pt-BR"/>
        </w:rPr>
        <w:t>/</w:t>
      </w:r>
      <w:r w:rsidR="00063B47" w:rsidRPr="002F50BD">
        <w:rPr>
          <w:rFonts w:ascii="Verdana" w:hAnsi="Verdana"/>
          <w:sz w:val="16"/>
          <w:lang w:val="pt-BR"/>
        </w:rPr>
        <w:t>81</w:t>
      </w:r>
      <w:r w:rsidR="00EC5F20" w:rsidRPr="002F50BD">
        <w:rPr>
          <w:rFonts w:ascii="Verdana" w:hAnsi="Verdana"/>
          <w:sz w:val="16"/>
          <w:lang w:val="pt-BR"/>
        </w:rPr>
        <w:t>,</w:t>
      </w:r>
      <w:r w:rsidRPr="002F50BD">
        <w:rPr>
          <w:rFonts w:ascii="Verdana" w:hAnsi="Verdana"/>
          <w:sz w:val="16"/>
          <w:lang w:val="pt-BR"/>
        </w:rPr>
        <w:t xml:space="preserve"> Estatuto</w:t>
      </w:r>
      <w:r w:rsidR="0089298C" w:rsidRPr="002F50BD">
        <w:rPr>
          <w:rFonts w:ascii="Verdana" w:hAnsi="Verdana"/>
          <w:sz w:val="16"/>
          <w:lang w:val="pt-BR"/>
        </w:rPr>
        <w:t xml:space="preserve"> das </w:t>
      </w:r>
      <w:r w:rsidRPr="002F50BD">
        <w:rPr>
          <w:rFonts w:ascii="Verdana" w:hAnsi="Verdana"/>
          <w:sz w:val="16"/>
          <w:lang w:val="pt-BR"/>
        </w:rPr>
        <w:t>Comunidades Indígenas</w:t>
      </w:r>
      <w:r w:rsidR="00D30178" w:rsidRPr="002F50BD">
        <w:rPr>
          <w:rFonts w:ascii="Verdana" w:hAnsi="Verdana"/>
          <w:sz w:val="16"/>
          <w:lang w:val="pt-BR"/>
        </w:rPr>
        <w:t>,</w:t>
      </w:r>
      <w:r w:rsidRPr="002F50BD">
        <w:rPr>
          <w:rFonts w:ascii="Verdana" w:hAnsi="Verdana"/>
          <w:sz w:val="16"/>
          <w:lang w:val="pt-BR"/>
        </w:rPr>
        <w:t xml:space="preserve"> </w:t>
      </w:r>
      <w:r w:rsidR="0089298C" w:rsidRPr="002F50BD">
        <w:rPr>
          <w:rFonts w:ascii="Verdana" w:hAnsi="Verdana"/>
          <w:sz w:val="16"/>
          <w:lang w:val="pt-BR"/>
        </w:rPr>
        <w:t>cuja</w:t>
      </w:r>
      <w:r w:rsidRPr="002F50BD">
        <w:rPr>
          <w:rFonts w:ascii="Verdana" w:hAnsi="Verdana"/>
          <w:sz w:val="16"/>
          <w:lang w:val="pt-BR"/>
        </w:rPr>
        <w:t xml:space="preserve"> aplica</w:t>
      </w:r>
      <w:r w:rsidR="0089298C" w:rsidRPr="002F50BD">
        <w:rPr>
          <w:rFonts w:ascii="Verdana" w:hAnsi="Verdana"/>
          <w:sz w:val="16"/>
          <w:lang w:val="pt-BR"/>
        </w:rPr>
        <w:t>ção</w:t>
      </w:r>
      <w:r w:rsidRPr="002F50BD">
        <w:rPr>
          <w:rFonts w:ascii="Verdana" w:hAnsi="Verdana"/>
          <w:sz w:val="16"/>
          <w:lang w:val="pt-BR"/>
        </w:rPr>
        <w:t xml:space="preserve"> compete a </w:t>
      </w:r>
      <w:r w:rsidR="0089298C" w:rsidRPr="002F50BD">
        <w:rPr>
          <w:rFonts w:ascii="Verdana" w:hAnsi="Verdana"/>
          <w:sz w:val="16"/>
          <w:lang w:val="pt-BR"/>
        </w:rPr>
        <w:t>esta</w:t>
      </w:r>
      <w:r w:rsidRPr="002F50BD">
        <w:rPr>
          <w:rFonts w:ascii="Verdana" w:hAnsi="Verdana"/>
          <w:sz w:val="16"/>
          <w:lang w:val="pt-BR"/>
        </w:rPr>
        <w:t xml:space="preserve"> entidad</w:t>
      </w:r>
      <w:r w:rsidR="00D30178" w:rsidRPr="002F50BD">
        <w:rPr>
          <w:rFonts w:ascii="Verdana" w:hAnsi="Verdana"/>
          <w:sz w:val="16"/>
          <w:lang w:val="pt-BR"/>
        </w:rPr>
        <w:t>e.</w:t>
      </w:r>
      <w:r w:rsidRPr="002F50BD">
        <w:rPr>
          <w:rStyle w:val="FootnoteReference"/>
          <w:rFonts w:ascii="Verdana" w:hAnsi="Verdana"/>
          <w:sz w:val="16"/>
        </w:rPr>
        <w:footnoteReference w:id="74"/>
      </w:r>
      <w:r w:rsidRPr="002F50BD">
        <w:rPr>
          <w:rFonts w:ascii="Verdana" w:hAnsi="Verdana"/>
          <w:sz w:val="20"/>
          <w:lang w:val="pt-BR"/>
        </w:rPr>
        <w:t xml:space="preserve"> </w:t>
      </w:r>
    </w:p>
    <w:p w:rsidR="004756C1" w:rsidRPr="002F50BD" w:rsidRDefault="004756C1">
      <w:pPr>
        <w:ind w:lef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39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D30178" w:rsidRPr="002F50BD">
        <w:rPr>
          <w:rFonts w:ascii="Verdana" w:hAnsi="Verdana"/>
          <w:sz w:val="20"/>
          <w:lang w:val="pt-BR"/>
        </w:rPr>
        <w:t xml:space="preserve">enviou </w:t>
      </w:r>
      <w:r w:rsidR="0089298C" w:rsidRPr="002F50BD">
        <w:rPr>
          <w:rFonts w:ascii="Verdana" w:hAnsi="Verdana"/>
          <w:sz w:val="20"/>
          <w:lang w:val="pt-BR"/>
        </w:rPr>
        <w:t xml:space="preserve">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89298C" w:rsidRPr="002F50BD">
        <w:rPr>
          <w:rFonts w:ascii="Verdana" w:hAnsi="Verdana"/>
          <w:sz w:val="20"/>
          <w:lang w:val="pt-BR"/>
        </w:rPr>
        <w:t xml:space="preserve"> ao </w:t>
      </w:r>
      <w:r w:rsidR="004756C1" w:rsidRPr="002F50BD">
        <w:rPr>
          <w:rFonts w:ascii="Verdana" w:hAnsi="Verdana"/>
          <w:sz w:val="20"/>
          <w:lang w:val="pt-BR"/>
        </w:rPr>
        <w:t>INDI</w:t>
      </w:r>
      <w:r w:rsidR="00D30178" w:rsidRPr="002F50BD">
        <w:rPr>
          <w:rFonts w:ascii="Verdana" w:hAnsi="Verdana"/>
          <w:sz w:val="20"/>
          <w:lang w:val="pt-BR"/>
        </w:rPr>
        <w:t>.</w:t>
      </w:r>
      <w:r w:rsidR="004756C1" w:rsidRPr="002F50BD">
        <w:rPr>
          <w:rStyle w:val="FootnoteReference"/>
          <w:rFonts w:ascii="Verdana" w:hAnsi="Verdana"/>
        </w:rPr>
        <w:footnoteReference w:id="75"/>
      </w:r>
      <w:r w:rsidR="004756C1" w:rsidRPr="002F50BD">
        <w:rPr>
          <w:rFonts w:ascii="Verdana" w:hAnsi="Verdana"/>
          <w:sz w:val="20"/>
          <w:lang w:val="pt-BR"/>
        </w:rPr>
        <w:t xml:space="preserve"> </w:t>
      </w:r>
    </w:p>
    <w:p w:rsidR="004756C1" w:rsidRPr="002F50BD" w:rsidRDefault="004756C1">
      <w:pPr>
        <w:ind w:left="720"/>
        <w:jc w:val="both"/>
        <w:rPr>
          <w:rFonts w:ascii="Verdana" w:hAnsi="Verdana"/>
          <w:b/>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26</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a Direção</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assinalou</w:t>
      </w:r>
      <w:r w:rsidR="004756C1" w:rsidRPr="002F50BD">
        <w:rPr>
          <w:rFonts w:ascii="Verdana" w:hAnsi="Verdana"/>
          <w:sz w:val="20"/>
          <w:lang w:val="pt-BR"/>
        </w:rPr>
        <w:t xml:space="preserve"> que </w:t>
      </w:r>
      <w:r w:rsidR="0089298C" w:rsidRPr="002F50BD">
        <w:rPr>
          <w:rFonts w:ascii="Verdana" w:hAnsi="Verdana"/>
          <w:sz w:val="20"/>
          <w:lang w:val="pt-BR"/>
        </w:rPr>
        <w:t xml:space="preserve">“o </w:t>
      </w:r>
      <w:r w:rsidR="00D30178" w:rsidRPr="002F50BD">
        <w:rPr>
          <w:rFonts w:ascii="Verdana" w:hAnsi="Verdana"/>
          <w:sz w:val="20"/>
          <w:lang w:val="pt-BR"/>
        </w:rPr>
        <w:t>presente expediente [dev</w:t>
      </w:r>
      <w:r w:rsidR="004756C1" w:rsidRPr="002F50BD">
        <w:rPr>
          <w:rFonts w:ascii="Verdana" w:hAnsi="Verdana"/>
          <w:sz w:val="20"/>
          <w:lang w:val="pt-BR"/>
        </w:rPr>
        <w:t xml:space="preserve">e ser] </w:t>
      </w:r>
      <w:r w:rsidR="0089298C" w:rsidRPr="002F50BD">
        <w:rPr>
          <w:rFonts w:ascii="Verdana" w:hAnsi="Verdana"/>
          <w:sz w:val="20"/>
          <w:lang w:val="pt-BR"/>
        </w:rPr>
        <w:t xml:space="preserve">analisado no </w:t>
      </w:r>
      <w:r w:rsidR="004756C1" w:rsidRPr="002F50BD">
        <w:rPr>
          <w:rFonts w:ascii="Verdana" w:hAnsi="Verdana"/>
          <w:sz w:val="20"/>
          <w:lang w:val="pt-BR"/>
        </w:rPr>
        <w:t xml:space="preserve">marco </w:t>
      </w:r>
      <w:r w:rsidR="0089298C" w:rsidRPr="002F50BD">
        <w:rPr>
          <w:rFonts w:ascii="Verdana" w:hAnsi="Verdana"/>
          <w:sz w:val="20"/>
          <w:lang w:val="pt-BR"/>
        </w:rPr>
        <w:t xml:space="preserve">mais amplo da Lei </w:t>
      </w:r>
      <w:r w:rsidR="004756C1" w:rsidRPr="002F50BD">
        <w:rPr>
          <w:rFonts w:ascii="Verdana" w:hAnsi="Verdana"/>
          <w:sz w:val="20"/>
          <w:lang w:val="pt-BR"/>
        </w:rPr>
        <w:t xml:space="preserve">[No.]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89298C" w:rsidRPr="002F50BD">
        <w:rPr>
          <w:rFonts w:ascii="Verdana" w:hAnsi="Verdana"/>
          <w:sz w:val="20"/>
          <w:lang w:val="pt-BR"/>
        </w:rPr>
        <w:t xml:space="preserve"> e </w:t>
      </w:r>
      <w:r w:rsidR="004756C1" w:rsidRPr="002F50BD">
        <w:rPr>
          <w:rFonts w:ascii="Verdana" w:hAnsi="Verdana"/>
          <w:sz w:val="20"/>
          <w:lang w:val="pt-BR"/>
        </w:rPr>
        <w:t>[que</w:t>
      </w:r>
      <w:r w:rsidR="00D30178" w:rsidRPr="002F50B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sem </w:t>
      </w:r>
      <w:r w:rsidR="004756C1" w:rsidRPr="002F50BD">
        <w:rPr>
          <w:rFonts w:ascii="Verdana" w:hAnsi="Verdana"/>
          <w:sz w:val="20"/>
          <w:lang w:val="pt-BR"/>
        </w:rPr>
        <w:t>des</w:t>
      </w:r>
      <w:r w:rsidR="0089298C" w:rsidRPr="002F50BD">
        <w:rPr>
          <w:rFonts w:ascii="Verdana" w:hAnsi="Verdana"/>
          <w:sz w:val="20"/>
          <w:lang w:val="pt-BR"/>
        </w:rPr>
        <w:t>conhecer o direito à propriedade</w:t>
      </w:r>
      <w:r w:rsidR="004756C1" w:rsidRPr="002F50BD">
        <w:rPr>
          <w:rFonts w:ascii="Verdana" w:hAnsi="Verdana"/>
          <w:sz w:val="20"/>
          <w:lang w:val="pt-BR"/>
        </w:rPr>
        <w:t xml:space="preserve"> privada, </w:t>
      </w:r>
      <w:r w:rsidR="00D30178" w:rsidRPr="002F50BD">
        <w:rPr>
          <w:rFonts w:ascii="Verdana" w:hAnsi="Verdana"/>
          <w:sz w:val="20"/>
          <w:lang w:val="pt-BR"/>
        </w:rPr>
        <w:t xml:space="preserve">deveria </w:t>
      </w:r>
      <w:r w:rsidR="004756C1" w:rsidRPr="002F50BD">
        <w:rPr>
          <w:rFonts w:ascii="Verdana" w:hAnsi="Verdana"/>
          <w:sz w:val="20"/>
          <w:lang w:val="pt-BR"/>
        </w:rPr>
        <w:t>arbitrar todos</w:t>
      </w:r>
      <w:r w:rsidR="0089298C" w:rsidRPr="002F50BD">
        <w:rPr>
          <w:rFonts w:ascii="Verdana" w:hAnsi="Verdana"/>
          <w:sz w:val="20"/>
          <w:lang w:val="pt-BR"/>
        </w:rPr>
        <w:t xml:space="preserve"> os </w:t>
      </w:r>
      <w:r w:rsidR="004756C1" w:rsidRPr="002F50BD">
        <w:rPr>
          <w:rFonts w:ascii="Verdana" w:hAnsi="Verdana"/>
          <w:sz w:val="20"/>
          <w:lang w:val="pt-BR"/>
        </w:rPr>
        <w:t xml:space="preserve">meios </w:t>
      </w:r>
      <w:r w:rsidR="0089298C" w:rsidRPr="002F50BD">
        <w:rPr>
          <w:rFonts w:ascii="Verdana" w:hAnsi="Verdana"/>
          <w:sz w:val="20"/>
          <w:lang w:val="pt-BR"/>
        </w:rPr>
        <w:t>legais</w:t>
      </w:r>
      <w:r w:rsidR="004756C1" w:rsidRPr="002F50BD">
        <w:rPr>
          <w:rFonts w:ascii="Verdana" w:hAnsi="Verdana"/>
          <w:sz w:val="20"/>
          <w:lang w:val="pt-BR"/>
        </w:rPr>
        <w:t xml:space="preserve"> para </w:t>
      </w:r>
      <w:r w:rsidR="004076AD" w:rsidRPr="002F50BD">
        <w:rPr>
          <w:rFonts w:ascii="Verdana" w:hAnsi="Verdana"/>
          <w:sz w:val="20"/>
          <w:lang w:val="pt-BR"/>
        </w:rPr>
        <w:t>chegar</w:t>
      </w:r>
      <w:r w:rsidR="004756C1" w:rsidRPr="002F50BD">
        <w:rPr>
          <w:rFonts w:ascii="Verdana" w:hAnsi="Verdana"/>
          <w:sz w:val="20"/>
          <w:lang w:val="pt-BR"/>
        </w:rPr>
        <w:t xml:space="preserve"> a</w:t>
      </w:r>
      <w:r w:rsidR="0089298C" w:rsidRPr="002F50BD">
        <w:rPr>
          <w:rFonts w:ascii="Verdana" w:hAnsi="Verdana"/>
          <w:sz w:val="20"/>
          <w:lang w:val="pt-BR"/>
        </w:rPr>
        <w:t xml:space="preserve"> um acordo</w:t>
      </w:r>
      <w:r w:rsidR="004756C1" w:rsidRPr="002F50BD">
        <w:rPr>
          <w:rFonts w:ascii="Verdana" w:hAnsi="Verdana"/>
          <w:sz w:val="20"/>
          <w:lang w:val="pt-BR"/>
        </w:rPr>
        <w:t xml:space="preserve"> justo</w:t>
      </w:r>
      <w:r w:rsidR="0089298C" w:rsidRPr="002F50BD">
        <w:rPr>
          <w:rFonts w:ascii="Verdana" w:hAnsi="Verdana"/>
          <w:sz w:val="20"/>
          <w:lang w:val="pt-BR"/>
        </w:rPr>
        <w:t xml:space="preserve"> com os </w:t>
      </w:r>
      <w:r w:rsidR="007801FA" w:rsidRPr="002F50BD">
        <w:rPr>
          <w:rFonts w:ascii="Verdana" w:hAnsi="Verdana"/>
          <w:sz w:val="20"/>
          <w:lang w:val="pt-BR"/>
        </w:rPr>
        <w:t>proprietário</w:t>
      </w:r>
      <w:r w:rsidR="004756C1" w:rsidRPr="002F50BD">
        <w:rPr>
          <w:rFonts w:ascii="Verdana" w:hAnsi="Verdana"/>
          <w:sz w:val="20"/>
          <w:lang w:val="pt-BR"/>
        </w:rPr>
        <w:t>s</w:t>
      </w:r>
      <w:r w:rsidR="0089298C" w:rsidRPr="002F50BD">
        <w:rPr>
          <w:rFonts w:ascii="Verdana" w:hAnsi="Verdana"/>
          <w:sz w:val="20"/>
          <w:lang w:val="pt-BR"/>
        </w:rPr>
        <w:t xml:space="preserve"> e assim</w:t>
      </w:r>
      <w:r w:rsidR="004756C1" w:rsidRPr="002F50BD">
        <w:rPr>
          <w:rFonts w:ascii="Verdana" w:hAnsi="Verdana"/>
          <w:sz w:val="20"/>
          <w:lang w:val="pt-BR"/>
        </w:rPr>
        <w:t xml:space="preserve"> recuperar</w:t>
      </w:r>
      <w:r w:rsidR="0089298C" w:rsidRPr="002F50BD">
        <w:rPr>
          <w:rFonts w:ascii="Verdana" w:hAnsi="Verdana"/>
          <w:sz w:val="20"/>
          <w:lang w:val="pt-BR"/>
        </w:rPr>
        <w:t xml:space="preserve"> o </w:t>
      </w:r>
      <w:r w:rsidR="001A0CDE" w:rsidRPr="002F50BD">
        <w:rPr>
          <w:rFonts w:ascii="Verdana" w:hAnsi="Verdana"/>
          <w:sz w:val="20"/>
          <w:lang w:val="pt-BR"/>
        </w:rPr>
        <w:t>habitat</w:t>
      </w:r>
      <w:r w:rsidR="004756C1" w:rsidRPr="002F50BD">
        <w:rPr>
          <w:rFonts w:ascii="Verdana" w:hAnsi="Verdana"/>
          <w:sz w:val="20"/>
          <w:lang w:val="pt-BR"/>
        </w:rPr>
        <w:t xml:space="preserve"> natural para</w:t>
      </w:r>
      <w:r w:rsidR="0089298C" w:rsidRPr="002F50BD">
        <w:rPr>
          <w:rFonts w:ascii="Verdana" w:hAnsi="Verdana"/>
          <w:sz w:val="20"/>
          <w:lang w:val="pt-BR"/>
        </w:rPr>
        <w:t xml:space="preserve"> os </w:t>
      </w:r>
      <w:r w:rsidR="004756C1" w:rsidRPr="002F50BD">
        <w:rPr>
          <w:rFonts w:ascii="Verdana" w:hAnsi="Verdana"/>
          <w:sz w:val="20"/>
          <w:lang w:val="pt-BR"/>
        </w:rPr>
        <w:t>indígenas</w:t>
      </w:r>
      <w:r w:rsidR="0089298C" w:rsidRPr="002F50BD">
        <w:rPr>
          <w:rFonts w:ascii="Verdana" w:hAnsi="Verdana"/>
          <w:sz w:val="20"/>
          <w:lang w:val="pt-BR"/>
        </w:rPr>
        <w:t xml:space="preserve"> no </w:t>
      </w:r>
      <w:r w:rsidR="004756C1" w:rsidRPr="002F50BD">
        <w:rPr>
          <w:rFonts w:ascii="Verdana" w:hAnsi="Verdana"/>
          <w:sz w:val="20"/>
          <w:lang w:val="pt-BR"/>
        </w:rPr>
        <w:t xml:space="preserve">menor </w:t>
      </w:r>
      <w:r w:rsidR="0089298C" w:rsidRPr="002F50BD">
        <w:rPr>
          <w:rFonts w:ascii="Verdana" w:hAnsi="Verdana"/>
          <w:sz w:val="20"/>
          <w:lang w:val="pt-BR"/>
        </w:rPr>
        <w:t>tempo</w:t>
      </w:r>
      <w:r w:rsidR="004756C1" w:rsidRPr="002F50BD">
        <w:rPr>
          <w:rFonts w:ascii="Verdana" w:hAnsi="Verdana"/>
          <w:sz w:val="20"/>
          <w:lang w:val="pt-BR"/>
        </w:rPr>
        <w:t>”</w:t>
      </w:r>
      <w:r w:rsidR="00D30178" w:rsidRPr="002F50BD">
        <w:rPr>
          <w:rFonts w:ascii="Verdana" w:hAnsi="Verdana"/>
          <w:sz w:val="20"/>
          <w:lang w:val="pt-BR"/>
        </w:rPr>
        <w:t>.</w:t>
      </w:r>
      <w:r w:rsidR="004756C1" w:rsidRPr="002F50BD">
        <w:rPr>
          <w:rStyle w:val="FootnoteReference"/>
          <w:rFonts w:ascii="Verdana" w:hAnsi="Verdana"/>
        </w:rPr>
        <w:footnoteReference w:id="76"/>
      </w:r>
      <w:r w:rsidR="00AB454A" w:rsidRPr="002F50BD">
        <w:rPr>
          <w:rFonts w:ascii="Verdana" w:hAnsi="Verdana"/>
          <w:sz w:val="20"/>
          <w:lang w:val="pt-BR"/>
        </w:rPr>
        <w:t xml:space="preserve"> </w:t>
      </w:r>
      <w:r w:rsidR="00D30178"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1998</w:t>
      </w:r>
      <w:r w:rsidR="00842134" w:rsidRPr="002F50BD">
        <w:rPr>
          <w:rFonts w:ascii="Verdana" w:hAnsi="Verdana"/>
          <w:sz w:val="20"/>
          <w:lang w:val="pt-BR"/>
        </w:rPr>
        <w:t>,</w:t>
      </w:r>
      <w:r w:rsidR="004756C1" w:rsidRPr="002F50BD">
        <w:rPr>
          <w:rFonts w:ascii="Verdana" w:hAnsi="Verdana"/>
          <w:sz w:val="20"/>
          <w:lang w:val="pt-BR"/>
        </w:rPr>
        <w:t xml:space="preserve"> </w:t>
      </w:r>
      <w:r w:rsidR="00F8225E">
        <w:rPr>
          <w:rFonts w:ascii="Verdana" w:hAnsi="Verdana"/>
          <w:sz w:val="20"/>
          <w:lang w:val="pt-BR"/>
        </w:rPr>
        <w:t>foi realizada</w:t>
      </w:r>
      <w:r w:rsidR="0089298C" w:rsidRPr="002F50BD">
        <w:rPr>
          <w:rFonts w:ascii="Verdana" w:hAnsi="Verdana"/>
          <w:sz w:val="20"/>
          <w:lang w:val="pt-BR"/>
        </w:rPr>
        <w:t xml:space="preserve"> uma nova</w:t>
      </w:r>
      <w:r w:rsidR="004756C1" w:rsidRPr="002F50BD">
        <w:rPr>
          <w:rFonts w:ascii="Verdana" w:hAnsi="Verdana"/>
          <w:sz w:val="20"/>
          <w:lang w:val="pt-BR"/>
        </w:rPr>
        <w:t xml:space="preserve"> </w:t>
      </w:r>
      <w:r w:rsidR="0089298C" w:rsidRPr="002F50BD">
        <w:rPr>
          <w:rFonts w:ascii="Verdana" w:hAnsi="Verdana"/>
          <w:sz w:val="20"/>
          <w:lang w:val="pt-BR"/>
        </w:rPr>
        <w:t>inspeção</w:t>
      </w:r>
      <w:r w:rsidR="004756C1" w:rsidRPr="002F50BD">
        <w:rPr>
          <w:rFonts w:ascii="Verdana" w:hAnsi="Verdana"/>
          <w:sz w:val="20"/>
          <w:lang w:val="pt-BR"/>
        </w:rPr>
        <w:t xml:space="preserve"> ocular</w:t>
      </w:r>
      <w:r w:rsidR="0089298C" w:rsidRPr="002F50BD">
        <w:rPr>
          <w:rFonts w:ascii="Verdana" w:hAnsi="Verdana"/>
          <w:sz w:val="20"/>
          <w:lang w:val="pt-BR"/>
        </w:rPr>
        <w:t xml:space="preserve"> na </w:t>
      </w:r>
      <w:r w:rsidR="00060B3A" w:rsidRPr="002F50BD">
        <w:rPr>
          <w:rFonts w:ascii="Verdana" w:hAnsi="Verdana"/>
          <w:i/>
          <w:sz w:val="20"/>
          <w:lang w:val="pt-BR"/>
        </w:rPr>
        <w:t>Estancia Loma Verde</w:t>
      </w:r>
      <w:r w:rsidR="0089298C" w:rsidRPr="002F50BD">
        <w:rPr>
          <w:rFonts w:ascii="Verdana" w:hAnsi="Verdana"/>
          <w:sz w:val="20"/>
          <w:lang w:val="pt-BR"/>
        </w:rPr>
        <w:t xml:space="preserve"> com a </w:t>
      </w:r>
      <w:r w:rsidR="004756C1" w:rsidRPr="002F50BD">
        <w:rPr>
          <w:rFonts w:ascii="Verdana" w:hAnsi="Verdana"/>
          <w:sz w:val="20"/>
          <w:lang w:val="pt-BR"/>
        </w:rPr>
        <w:t>participa</w:t>
      </w:r>
      <w:r w:rsidR="0089298C" w:rsidRPr="002F50BD">
        <w:rPr>
          <w:rFonts w:ascii="Verdana" w:hAnsi="Verdana"/>
          <w:sz w:val="20"/>
          <w:lang w:val="pt-BR"/>
        </w:rPr>
        <w:t>ção dos membro</w:t>
      </w:r>
      <w:r w:rsidR="004756C1" w:rsidRPr="002F50BD">
        <w:rPr>
          <w:rFonts w:ascii="Verdana" w:hAnsi="Verdana"/>
          <w:sz w:val="20"/>
          <w:lang w:val="pt-BR"/>
        </w:rPr>
        <w:t xml:space="preserve">s </w:t>
      </w:r>
      <w:r w:rsidR="0089298C" w:rsidRPr="002F50BD">
        <w:rPr>
          <w:rFonts w:ascii="Verdana" w:hAnsi="Verdana"/>
          <w:sz w:val="20"/>
          <w:lang w:val="pt-BR"/>
        </w:rPr>
        <w:t>do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senhores</w:t>
      </w:r>
      <w:r w:rsidR="004756C1" w:rsidRPr="002F50BD">
        <w:rPr>
          <w:rFonts w:ascii="Verdana" w:hAnsi="Verdana"/>
          <w:sz w:val="20"/>
          <w:lang w:val="pt-BR"/>
        </w:rPr>
        <w:t xml:space="preserve"> Emilio Caballero</w:t>
      </w:r>
      <w:r w:rsidR="0089298C" w:rsidRPr="002F50BD">
        <w:rPr>
          <w:rFonts w:ascii="Verdana" w:hAnsi="Verdana"/>
          <w:sz w:val="20"/>
          <w:lang w:val="pt-BR"/>
        </w:rPr>
        <w:t xml:space="preserve"> e </w:t>
      </w:r>
      <w:r w:rsidR="004756C1" w:rsidRPr="002F50BD">
        <w:rPr>
          <w:rFonts w:ascii="Verdana" w:hAnsi="Verdana"/>
          <w:sz w:val="20"/>
          <w:lang w:val="pt-BR"/>
        </w:rPr>
        <w:t xml:space="preserve">Andrés Chemehi, </w:t>
      </w:r>
      <w:r w:rsidR="0089298C" w:rsidRPr="002F50BD">
        <w:rPr>
          <w:rFonts w:ascii="Verdana" w:hAnsi="Verdana"/>
          <w:sz w:val="20"/>
          <w:lang w:val="pt-BR"/>
        </w:rPr>
        <w:t>que</w:t>
      </w:r>
      <w:r w:rsidR="004756C1" w:rsidRPr="002F50BD">
        <w:rPr>
          <w:rFonts w:ascii="Verdana" w:hAnsi="Verdana"/>
          <w:sz w:val="20"/>
          <w:lang w:val="pt-BR"/>
        </w:rPr>
        <w:t xml:space="preserve"> </w:t>
      </w:r>
      <w:r w:rsidR="0089298C" w:rsidRPr="002F50BD">
        <w:rPr>
          <w:rFonts w:ascii="Verdana" w:hAnsi="Verdana"/>
          <w:sz w:val="20"/>
          <w:lang w:val="pt-BR"/>
        </w:rPr>
        <w:t xml:space="preserve">apresentaram um relatório ao </w:t>
      </w:r>
      <w:r w:rsidR="004756C1" w:rsidRPr="002F50BD">
        <w:rPr>
          <w:rFonts w:ascii="Verdana" w:hAnsi="Verdana"/>
          <w:sz w:val="20"/>
          <w:lang w:val="pt-BR"/>
        </w:rPr>
        <w:t xml:space="preserve">Presidente </w:t>
      </w:r>
      <w:r w:rsidR="0089298C" w:rsidRPr="002F50BD">
        <w:rPr>
          <w:rFonts w:ascii="Verdana" w:hAnsi="Verdana"/>
          <w:sz w:val="20"/>
          <w:lang w:val="pt-BR"/>
        </w:rPr>
        <w:t xml:space="preserve">do Conselho em </w:t>
      </w:r>
      <w:r w:rsidRPr="002F50BD">
        <w:rPr>
          <w:rFonts w:ascii="Verdana" w:hAnsi="Verdana"/>
          <w:sz w:val="20"/>
          <w:lang w:val="pt-BR"/>
        </w:rPr>
        <w:t>9</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1999</w:t>
      </w:r>
      <w:r w:rsidR="004756C1" w:rsidRPr="002F50BD">
        <w:rPr>
          <w:rFonts w:ascii="Verdana" w:hAnsi="Verdana"/>
          <w:sz w:val="20"/>
          <w:lang w:val="pt-BR"/>
        </w:rPr>
        <w:t>.</w:t>
      </w:r>
      <w:r w:rsidR="00FE08B7">
        <w:rPr>
          <w:rFonts w:ascii="Verdana" w:hAnsi="Verdana"/>
          <w:sz w:val="20"/>
          <w:lang w:val="pt-BR"/>
        </w:rPr>
        <w:t xml:space="preserve"> </w:t>
      </w:r>
      <w:r w:rsidR="00D30178" w:rsidRPr="002F50BD">
        <w:rPr>
          <w:rFonts w:ascii="Verdana" w:hAnsi="Verdana"/>
          <w:sz w:val="20"/>
          <w:lang w:val="pt-BR"/>
        </w:rPr>
        <w:t xml:space="preserve">Anexo </w:t>
      </w:r>
      <w:r w:rsidR="004756C1" w:rsidRPr="002F50BD">
        <w:rPr>
          <w:rFonts w:ascii="Verdana" w:hAnsi="Verdana"/>
          <w:sz w:val="20"/>
          <w:lang w:val="pt-BR"/>
        </w:rPr>
        <w:t>a este</w:t>
      </w:r>
      <w:r w:rsidR="0089298C" w:rsidRPr="002F50BD">
        <w:rPr>
          <w:rFonts w:ascii="Verdana" w:hAnsi="Verdana"/>
          <w:sz w:val="20"/>
          <w:lang w:val="pt-BR"/>
        </w:rPr>
        <w:t xml:space="preserve"> relatório</w:t>
      </w:r>
      <w:r w:rsidR="00842134" w:rsidRPr="002F50BD">
        <w:rPr>
          <w:rFonts w:ascii="Verdana" w:hAnsi="Verdana"/>
          <w:sz w:val="20"/>
          <w:lang w:val="pt-BR"/>
        </w:rPr>
        <w:t>,</w:t>
      </w:r>
      <w:r w:rsidR="0089298C" w:rsidRPr="002F50BD">
        <w:rPr>
          <w:rFonts w:ascii="Verdana" w:hAnsi="Verdana"/>
          <w:sz w:val="20"/>
          <w:lang w:val="pt-BR"/>
        </w:rPr>
        <w:t xml:space="preserve"> apresentaram um </w:t>
      </w:r>
      <w:r w:rsidR="004756C1" w:rsidRPr="002F50BD">
        <w:rPr>
          <w:rFonts w:ascii="Verdana" w:hAnsi="Verdana"/>
          <w:sz w:val="20"/>
          <w:lang w:val="pt-BR"/>
        </w:rPr>
        <w:t>censo</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que se </w:t>
      </w:r>
      <w:r w:rsidR="0089298C" w:rsidRPr="002F50BD">
        <w:rPr>
          <w:rFonts w:ascii="Verdana" w:hAnsi="Verdana"/>
          <w:sz w:val="20"/>
          <w:lang w:val="pt-BR"/>
        </w:rPr>
        <w:t xml:space="preserve">encontram </w:t>
      </w:r>
      <w:r w:rsidR="00D30178" w:rsidRPr="002F50BD">
        <w:rPr>
          <w:rFonts w:ascii="Verdana" w:hAnsi="Verdana"/>
          <w:sz w:val="20"/>
          <w:lang w:val="pt-BR"/>
        </w:rPr>
        <w:t xml:space="preserve">à margem da estrada </w:t>
      </w:r>
      <w:r w:rsidR="004756C1" w:rsidRPr="002F50BD">
        <w:rPr>
          <w:rFonts w:ascii="Verdana" w:hAnsi="Verdana"/>
          <w:sz w:val="20"/>
          <w:lang w:val="pt-BR"/>
        </w:rPr>
        <w:t>de Pozo Colorado</w:t>
      </w:r>
      <w:r w:rsidR="0089298C" w:rsidRPr="002F50BD">
        <w:rPr>
          <w:rFonts w:ascii="Verdana" w:hAnsi="Verdana"/>
          <w:sz w:val="20"/>
          <w:lang w:val="pt-BR"/>
        </w:rPr>
        <w:t xml:space="preserve"> e várias</w:t>
      </w:r>
      <w:r w:rsidR="004756C1" w:rsidRPr="002F50BD">
        <w:rPr>
          <w:rFonts w:ascii="Verdana" w:hAnsi="Verdana"/>
          <w:sz w:val="20"/>
          <w:lang w:val="pt-BR"/>
        </w:rPr>
        <w:t xml:space="preserve"> fotos</w:t>
      </w:r>
      <w:r w:rsidR="0089298C" w:rsidRPr="002F50BD">
        <w:rPr>
          <w:rFonts w:ascii="Verdana" w:hAnsi="Verdana"/>
          <w:sz w:val="20"/>
          <w:lang w:val="pt-BR"/>
        </w:rPr>
        <w:t xml:space="preserve"> das </w:t>
      </w:r>
      <w:r w:rsidR="00060B3A" w:rsidRPr="002F50BD">
        <w:rPr>
          <w:rFonts w:ascii="Verdana" w:hAnsi="Verdana"/>
          <w:sz w:val="20"/>
          <w:lang w:val="pt-BR"/>
        </w:rPr>
        <w:t xml:space="preserve">fazendas </w:t>
      </w:r>
      <w:r w:rsidR="004756C1" w:rsidRPr="002F50BD">
        <w:rPr>
          <w:rFonts w:ascii="Verdana" w:hAnsi="Verdana"/>
          <w:sz w:val="20"/>
          <w:lang w:val="pt-BR"/>
        </w:rPr>
        <w:t>visitadas</w:t>
      </w:r>
      <w:r w:rsidR="00D30178" w:rsidRPr="002F50BD">
        <w:rPr>
          <w:rFonts w:ascii="Verdana" w:hAnsi="Verdana"/>
          <w:sz w:val="20"/>
          <w:lang w:val="pt-BR"/>
        </w:rPr>
        <w:t>.</w:t>
      </w:r>
      <w:r w:rsidR="004756C1" w:rsidRPr="002F50BD">
        <w:rPr>
          <w:rStyle w:val="FootnoteReference"/>
          <w:rFonts w:ascii="Verdana" w:hAnsi="Verdana"/>
        </w:rPr>
        <w:footnoteReference w:id="77"/>
      </w:r>
      <w:r w:rsidR="001A0CDE" w:rsidRPr="002F50BD">
        <w:rPr>
          <w:rFonts w:ascii="Verdana" w:hAnsi="Verdana"/>
          <w:sz w:val="20"/>
          <w:lang w:val="pt-BR"/>
        </w:rPr>
        <w:t xml:space="preserve"> Est</w:t>
      </w:r>
      <w:r w:rsidR="004756C1" w:rsidRPr="002F50BD">
        <w:rPr>
          <w:rFonts w:ascii="Verdana" w:hAnsi="Verdana"/>
          <w:sz w:val="20"/>
          <w:lang w:val="pt-BR"/>
        </w:rPr>
        <w:t>e</w:t>
      </w:r>
      <w:r w:rsidR="0089298C" w:rsidRPr="002F50BD">
        <w:rPr>
          <w:rFonts w:ascii="Verdana" w:hAnsi="Verdana"/>
          <w:sz w:val="20"/>
          <w:lang w:val="pt-BR"/>
        </w:rPr>
        <w:t xml:space="preserve"> relatório foi </w:t>
      </w:r>
      <w:r w:rsidR="004756C1" w:rsidRPr="002F50BD">
        <w:rPr>
          <w:rFonts w:ascii="Verdana" w:hAnsi="Verdana"/>
          <w:sz w:val="20"/>
          <w:lang w:val="pt-BR"/>
        </w:rPr>
        <w:t>impugnado</w:t>
      </w:r>
      <w:r w:rsidR="0089298C" w:rsidRPr="002F50BD">
        <w:rPr>
          <w:rFonts w:ascii="Verdana" w:hAnsi="Verdana"/>
          <w:sz w:val="20"/>
          <w:lang w:val="pt-BR"/>
        </w:rPr>
        <w:t xml:space="preserve"> pelas </w:t>
      </w:r>
      <w:r w:rsidR="00EC5F20" w:rsidRPr="002F50BD">
        <w:rPr>
          <w:rFonts w:ascii="Verdana" w:hAnsi="Verdana"/>
          <w:sz w:val="20"/>
          <w:lang w:val="pt-BR"/>
        </w:rPr>
        <w:t>empresas</w:t>
      </w:r>
      <w:r w:rsidR="004756C1" w:rsidRPr="002F50BD">
        <w:rPr>
          <w:rFonts w:ascii="Verdana" w:hAnsi="Verdana"/>
          <w:sz w:val="20"/>
          <w:lang w:val="pt-BR"/>
        </w:rPr>
        <w:t xml:space="preserve"> “Florida Agricultural Corporation”, “Livestock Capital Group INC”</w:t>
      </w:r>
      <w:r w:rsidR="0089298C" w:rsidRPr="002F50BD">
        <w:rPr>
          <w:rFonts w:ascii="Verdana" w:hAnsi="Verdana"/>
          <w:sz w:val="20"/>
          <w:lang w:val="pt-BR"/>
        </w:rPr>
        <w:t xml:space="preserve"> e </w:t>
      </w:r>
      <w:r w:rsidR="004756C1" w:rsidRPr="002F50BD">
        <w:rPr>
          <w:rFonts w:ascii="Verdana" w:hAnsi="Verdana"/>
          <w:sz w:val="20"/>
          <w:lang w:val="pt-BR"/>
        </w:rPr>
        <w:t xml:space="preserve">“Agricultural Development INC”, </w:t>
      </w:r>
      <w:r w:rsidR="0089298C" w:rsidRPr="002F50BD">
        <w:rPr>
          <w:rFonts w:ascii="Verdana" w:hAnsi="Verdana"/>
          <w:sz w:val="20"/>
          <w:lang w:val="pt-BR"/>
        </w:rPr>
        <w:t>que</w:t>
      </w:r>
      <w:r w:rsidR="00D30178" w:rsidRPr="002F50BD">
        <w:rPr>
          <w:rFonts w:ascii="Verdana" w:hAnsi="Verdana"/>
          <w:sz w:val="20"/>
          <w:lang w:val="pt-BR"/>
        </w:rPr>
        <w:t>,</w:t>
      </w:r>
      <w:r w:rsidR="004756C1" w:rsidRPr="002F50BD">
        <w:rPr>
          <w:rFonts w:ascii="Verdana" w:hAnsi="Verdana"/>
          <w:sz w:val="20"/>
          <w:lang w:val="pt-BR"/>
        </w:rPr>
        <w:t xml:space="preserve"> </w:t>
      </w:r>
      <w:r w:rsidR="00D30178" w:rsidRPr="002F50BD">
        <w:rPr>
          <w:rFonts w:ascii="Verdana" w:hAnsi="Verdana"/>
          <w:sz w:val="20"/>
          <w:lang w:val="pt-BR"/>
        </w:rPr>
        <w:t xml:space="preserve">além disso, </w:t>
      </w:r>
      <w:r w:rsidR="004756C1" w:rsidRPr="002F50BD">
        <w:rPr>
          <w:rFonts w:ascii="Verdana" w:hAnsi="Verdana"/>
          <w:sz w:val="20"/>
          <w:lang w:val="pt-BR"/>
        </w:rPr>
        <w:t>recusar</w:t>
      </w:r>
      <w:r w:rsidR="00D30178" w:rsidRPr="002F50BD">
        <w:rPr>
          <w:rFonts w:ascii="Verdana" w:hAnsi="Verdana"/>
          <w:sz w:val="20"/>
          <w:lang w:val="pt-BR"/>
        </w:rPr>
        <w:t>am</w:t>
      </w:r>
      <w:r w:rsidR="0089298C" w:rsidRPr="002F50BD">
        <w:rPr>
          <w:rFonts w:ascii="Verdana" w:hAnsi="Verdana"/>
          <w:sz w:val="20"/>
          <w:lang w:val="pt-BR"/>
        </w:rPr>
        <w:t xml:space="preserve"> o senhor </w:t>
      </w:r>
      <w:r w:rsidR="004756C1" w:rsidRPr="002F50BD">
        <w:rPr>
          <w:rFonts w:ascii="Verdana" w:hAnsi="Verdana"/>
          <w:sz w:val="20"/>
          <w:lang w:val="pt-BR"/>
        </w:rPr>
        <w:t>Emilio Caballero</w:t>
      </w:r>
      <w:r w:rsidR="00D30178" w:rsidRPr="002F50BD">
        <w:rPr>
          <w:rFonts w:ascii="Verdana" w:hAnsi="Verdana"/>
          <w:sz w:val="20"/>
          <w:lang w:val="pt-BR"/>
        </w:rPr>
        <w:t>.</w:t>
      </w:r>
      <w:r w:rsidR="004756C1" w:rsidRPr="002F50BD">
        <w:rPr>
          <w:rStyle w:val="FootnoteReference"/>
          <w:rFonts w:ascii="Verdana" w:hAnsi="Verdana"/>
        </w:rPr>
        <w:footnoteReference w:id="78"/>
      </w:r>
    </w:p>
    <w:p w:rsidR="004756C1" w:rsidRPr="002F50BD" w:rsidRDefault="004756C1">
      <w:pPr>
        <w:ind w:left="720"/>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26</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1998</w:t>
      </w:r>
      <w:r w:rsidR="00EC5F20" w:rsidRPr="002F50BD">
        <w:rPr>
          <w:rFonts w:ascii="Verdana" w:hAnsi="Verdana"/>
          <w:sz w:val="20"/>
          <w:lang w:val="pt-BR"/>
        </w:rPr>
        <w:t>,</w:t>
      </w:r>
      <w:r w:rsidR="0089298C" w:rsidRPr="002F50BD">
        <w:rPr>
          <w:rFonts w:ascii="Verdana" w:hAnsi="Verdana"/>
          <w:sz w:val="20"/>
          <w:lang w:val="pt-BR"/>
        </w:rPr>
        <w:t xml:space="preserve"> </w:t>
      </w:r>
      <w:r w:rsidR="00F8225E">
        <w:rPr>
          <w:rFonts w:ascii="Verdana" w:hAnsi="Verdana"/>
          <w:sz w:val="20"/>
          <w:lang w:val="pt-BR"/>
        </w:rPr>
        <w:t xml:space="preserve">as </w:t>
      </w:r>
      <w:r w:rsidR="004756C1" w:rsidRPr="002F50BD">
        <w:rPr>
          <w:rFonts w:ascii="Verdana" w:hAnsi="Verdana"/>
          <w:sz w:val="20"/>
          <w:lang w:val="pt-BR"/>
        </w:rPr>
        <w:t xml:space="preserve">mencionadas </w:t>
      </w:r>
      <w:r w:rsidR="00D30178" w:rsidRPr="002F50BD">
        <w:rPr>
          <w:rFonts w:ascii="Verdana" w:hAnsi="Verdana"/>
          <w:sz w:val="20"/>
          <w:lang w:val="pt-BR"/>
        </w:rPr>
        <w:t>empresas</w:t>
      </w:r>
      <w:r w:rsidR="004756C1" w:rsidRPr="002F50BD">
        <w:rPr>
          <w:rFonts w:ascii="Verdana" w:hAnsi="Verdana"/>
          <w:sz w:val="20"/>
          <w:lang w:val="pt-BR"/>
        </w:rPr>
        <w:t xml:space="preserve">, por </w:t>
      </w:r>
      <w:r w:rsidR="0089298C" w:rsidRPr="002F50BD">
        <w:rPr>
          <w:rFonts w:ascii="Verdana" w:hAnsi="Verdana"/>
          <w:sz w:val="20"/>
          <w:lang w:val="pt-BR"/>
        </w:rPr>
        <w:t xml:space="preserve">meio </w:t>
      </w:r>
      <w:r w:rsidR="004756C1" w:rsidRPr="002F50BD">
        <w:rPr>
          <w:rFonts w:ascii="Verdana" w:hAnsi="Verdana"/>
          <w:sz w:val="20"/>
          <w:lang w:val="pt-BR"/>
        </w:rPr>
        <w:t>de s</w:t>
      </w:r>
      <w:r w:rsidR="00D30178" w:rsidRPr="002F50BD">
        <w:rPr>
          <w:rFonts w:ascii="Verdana" w:hAnsi="Verdana"/>
          <w:sz w:val="20"/>
          <w:lang w:val="pt-BR"/>
        </w:rPr>
        <w:t>e</w:t>
      </w:r>
      <w:r w:rsidR="004756C1" w:rsidRPr="002F50BD">
        <w:rPr>
          <w:rFonts w:ascii="Verdana" w:hAnsi="Verdana"/>
          <w:sz w:val="20"/>
          <w:lang w:val="pt-BR"/>
        </w:rPr>
        <w:t xml:space="preserve">u </w:t>
      </w:r>
      <w:r w:rsidR="0089298C" w:rsidRPr="002F50BD">
        <w:rPr>
          <w:rFonts w:ascii="Verdana" w:hAnsi="Verdana"/>
          <w:sz w:val="20"/>
          <w:lang w:val="pt-BR"/>
        </w:rPr>
        <w:t>advogad</w:t>
      </w:r>
      <w:r w:rsidR="004756C1" w:rsidRPr="002F50BD">
        <w:rPr>
          <w:rFonts w:ascii="Verdana" w:hAnsi="Verdana"/>
          <w:sz w:val="20"/>
          <w:lang w:val="pt-BR"/>
        </w:rPr>
        <w:t xml:space="preserve">o, </w:t>
      </w:r>
      <w:r w:rsidR="0089298C" w:rsidRPr="002F50BD">
        <w:rPr>
          <w:rFonts w:ascii="Verdana" w:hAnsi="Verdana"/>
          <w:sz w:val="20"/>
          <w:lang w:val="pt-BR"/>
        </w:rPr>
        <w:t xml:space="preserve">apresentaram um </w:t>
      </w:r>
      <w:r w:rsidR="004756C1" w:rsidRPr="002F50BD">
        <w:rPr>
          <w:rFonts w:ascii="Verdana" w:hAnsi="Verdana"/>
          <w:sz w:val="20"/>
          <w:lang w:val="pt-BR"/>
        </w:rPr>
        <w:t>escrito, mediante</w:t>
      </w:r>
      <w:r w:rsidR="0089298C" w:rsidRPr="002F50BD">
        <w:rPr>
          <w:rFonts w:ascii="Verdana" w:hAnsi="Verdana"/>
          <w:sz w:val="20"/>
          <w:lang w:val="pt-BR"/>
        </w:rPr>
        <w:t xml:space="preserve"> o qual,</w:t>
      </w:r>
      <w:r w:rsidR="004756C1" w:rsidRPr="002F50BD">
        <w:rPr>
          <w:rFonts w:ascii="Verdana" w:hAnsi="Verdana"/>
          <w:sz w:val="20"/>
          <w:lang w:val="pt-BR"/>
        </w:rPr>
        <w:t xml:space="preserve"> </w:t>
      </w:r>
      <w:r w:rsidR="004756C1" w:rsidRPr="002F50BD">
        <w:rPr>
          <w:rFonts w:ascii="Verdana" w:hAnsi="Verdana"/>
          <w:i/>
          <w:sz w:val="20"/>
          <w:lang w:val="pt-BR"/>
        </w:rPr>
        <w:t>inter alia</w:t>
      </w:r>
      <w:r w:rsidR="004756C1" w:rsidRPr="002F50BD">
        <w:rPr>
          <w:rFonts w:ascii="Verdana" w:hAnsi="Verdana"/>
          <w:sz w:val="20"/>
          <w:lang w:val="pt-BR"/>
        </w:rPr>
        <w:t xml:space="preserve">, </w:t>
      </w:r>
      <w:r w:rsidR="0089298C" w:rsidRPr="002F50BD">
        <w:rPr>
          <w:rFonts w:ascii="Verdana" w:hAnsi="Verdana"/>
          <w:sz w:val="20"/>
          <w:lang w:val="pt-BR"/>
        </w:rPr>
        <w:t>denunciaram</w:t>
      </w:r>
      <w:r w:rsidR="004756C1" w:rsidRPr="002F50BD">
        <w:rPr>
          <w:rFonts w:ascii="Verdana" w:hAnsi="Verdana"/>
          <w:sz w:val="20"/>
          <w:lang w:val="pt-BR"/>
        </w:rPr>
        <w:t xml:space="preserve"> </w:t>
      </w:r>
      <w:r w:rsidR="0089298C" w:rsidRPr="002F50BD">
        <w:rPr>
          <w:rFonts w:ascii="Verdana" w:hAnsi="Verdana"/>
          <w:sz w:val="20"/>
          <w:lang w:val="pt-BR"/>
        </w:rPr>
        <w:t>“a atitude assumid</w:t>
      </w:r>
      <w:r w:rsidR="004756C1" w:rsidRPr="002F50BD">
        <w:rPr>
          <w:rFonts w:ascii="Verdana" w:hAnsi="Verdana"/>
          <w:sz w:val="20"/>
          <w:lang w:val="pt-BR"/>
        </w:rPr>
        <w:t xml:space="preserve">a por </w:t>
      </w:r>
      <w:r w:rsidR="0089298C" w:rsidRPr="002F50BD">
        <w:rPr>
          <w:rFonts w:ascii="Verdana" w:hAnsi="Verdana"/>
          <w:sz w:val="20"/>
          <w:lang w:val="pt-BR"/>
        </w:rPr>
        <w:t>alguns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w:t>
      </w:r>
      <w:r w:rsidR="00D30178" w:rsidRPr="002F50BD">
        <w:rPr>
          <w:rFonts w:ascii="Verdana" w:hAnsi="Verdana"/>
          <w:sz w:val="20"/>
          <w:lang w:val="pt-BR"/>
        </w:rPr>
        <w:t>na</w:t>
      </w:r>
      <w:r w:rsidR="0089298C" w:rsidRPr="002F50BD">
        <w:rPr>
          <w:rFonts w:ascii="Verdana" w:hAnsi="Verdana"/>
          <w:sz w:val="20"/>
          <w:lang w:val="pt-BR"/>
        </w:rPr>
        <w:t xml:space="preserve"> ocasião da inspeção</w:t>
      </w:r>
      <w:r w:rsidR="004756C1" w:rsidRPr="002F50BD">
        <w:rPr>
          <w:rFonts w:ascii="Verdana" w:hAnsi="Verdana"/>
          <w:sz w:val="20"/>
          <w:lang w:val="pt-BR"/>
        </w:rPr>
        <w:t xml:space="preserve"> ocular” realizada</w:t>
      </w:r>
      <w:r w:rsidR="0089298C" w:rsidRPr="002F50BD">
        <w:rPr>
          <w:rFonts w:ascii="Verdana" w:hAnsi="Verdana"/>
          <w:sz w:val="20"/>
          <w:lang w:val="pt-BR"/>
        </w:rPr>
        <w:t xml:space="preserve"> em </w:t>
      </w:r>
      <w:r w:rsidR="004756C1" w:rsidRPr="002F50BD">
        <w:rPr>
          <w:rFonts w:ascii="Verdana" w:hAnsi="Verdana"/>
          <w:sz w:val="20"/>
          <w:lang w:val="pt-BR"/>
        </w:rPr>
        <w:t>su</w:t>
      </w:r>
      <w:r w:rsidR="00D30178" w:rsidRPr="002F50BD">
        <w:rPr>
          <w:rFonts w:ascii="Verdana" w:hAnsi="Verdana"/>
          <w:sz w:val="20"/>
          <w:lang w:val="pt-BR"/>
        </w:rPr>
        <w:t>a</w:t>
      </w:r>
      <w:r w:rsidR="004756C1" w:rsidRPr="002F50BD">
        <w:rPr>
          <w:rFonts w:ascii="Verdana" w:hAnsi="Verdana"/>
          <w:sz w:val="20"/>
          <w:lang w:val="pt-BR"/>
        </w:rPr>
        <w:t xml:space="preserve">s </w:t>
      </w:r>
      <w:r w:rsidR="00D30178" w:rsidRPr="002F50BD">
        <w:rPr>
          <w:rFonts w:ascii="Verdana" w:hAnsi="Verdana"/>
          <w:sz w:val="20"/>
          <w:lang w:val="pt-BR"/>
        </w:rPr>
        <w:t xml:space="preserve">fazendas </w:t>
      </w:r>
      <w:r w:rsidR="0089298C" w:rsidRPr="002F50BD">
        <w:rPr>
          <w:rFonts w:ascii="Verdana" w:hAnsi="Verdana"/>
          <w:sz w:val="20"/>
          <w:lang w:val="pt-BR"/>
        </w:rPr>
        <w:t xml:space="preserve">e </w:t>
      </w:r>
      <w:r w:rsidR="004756C1" w:rsidRPr="002F50BD">
        <w:rPr>
          <w:rFonts w:ascii="Verdana" w:hAnsi="Verdana"/>
          <w:sz w:val="20"/>
          <w:lang w:val="pt-BR"/>
        </w:rPr>
        <w:t>declinar</w:t>
      </w:r>
      <w:r w:rsidR="00D30178" w:rsidRPr="002F50BD">
        <w:rPr>
          <w:rFonts w:ascii="Verdana" w:hAnsi="Verdana"/>
          <w:sz w:val="20"/>
          <w:lang w:val="pt-BR"/>
        </w:rPr>
        <w:t>am</w:t>
      </w:r>
      <w:r w:rsidR="004756C1" w:rsidRPr="002F50BD">
        <w:rPr>
          <w:rFonts w:ascii="Verdana" w:hAnsi="Verdana"/>
          <w:sz w:val="20"/>
          <w:lang w:val="pt-BR"/>
        </w:rPr>
        <w:t xml:space="preserve"> “</w:t>
      </w:r>
      <w:r w:rsidR="0089298C" w:rsidRPr="002F50BD">
        <w:rPr>
          <w:rFonts w:ascii="Verdana" w:hAnsi="Verdana"/>
          <w:sz w:val="20"/>
          <w:lang w:val="pt-BR"/>
        </w:rPr>
        <w:t>qualquer</w:t>
      </w:r>
      <w:r w:rsidR="004756C1" w:rsidRPr="002F50BD">
        <w:rPr>
          <w:rFonts w:ascii="Verdana" w:hAnsi="Verdana"/>
          <w:sz w:val="20"/>
          <w:lang w:val="pt-BR"/>
        </w:rPr>
        <w:t xml:space="preserve"> </w:t>
      </w:r>
      <w:r w:rsidR="0089298C" w:rsidRPr="002F50BD">
        <w:rPr>
          <w:rFonts w:ascii="Verdana" w:hAnsi="Verdana"/>
          <w:sz w:val="20"/>
          <w:lang w:val="pt-BR"/>
        </w:rPr>
        <w:t>novo</w:t>
      </w:r>
      <w:r w:rsidR="004756C1" w:rsidRPr="002F50BD">
        <w:rPr>
          <w:rFonts w:ascii="Verdana" w:hAnsi="Verdana"/>
          <w:sz w:val="20"/>
          <w:lang w:val="pt-BR"/>
        </w:rPr>
        <w:t xml:space="preserve"> diálogo</w:t>
      </w:r>
      <w:r w:rsidR="0089298C" w:rsidRPr="002F50BD">
        <w:rPr>
          <w:rFonts w:ascii="Verdana" w:hAnsi="Verdana"/>
          <w:sz w:val="20"/>
          <w:lang w:val="pt-BR"/>
        </w:rPr>
        <w:t xml:space="preserve"> com os membro</w:t>
      </w:r>
      <w:r w:rsidR="004756C1" w:rsidRPr="002F50BD">
        <w:rPr>
          <w:rFonts w:ascii="Verdana" w:hAnsi="Verdana"/>
          <w:sz w:val="20"/>
          <w:lang w:val="pt-BR"/>
        </w:rPr>
        <w:t xml:space="preserve">s </w:t>
      </w:r>
      <w:r w:rsidR="0089298C" w:rsidRPr="002F50BD">
        <w:rPr>
          <w:rFonts w:ascii="Verdana" w:hAnsi="Verdana"/>
          <w:sz w:val="20"/>
          <w:lang w:val="pt-BR"/>
        </w:rPr>
        <w:t xml:space="preserve">dessa comunidade </w:t>
      </w:r>
      <w:r w:rsidR="004756C1" w:rsidRPr="002F50BD">
        <w:rPr>
          <w:rFonts w:ascii="Verdana" w:hAnsi="Verdana"/>
          <w:sz w:val="20"/>
          <w:lang w:val="pt-BR"/>
        </w:rPr>
        <w:t>indígena o</w:t>
      </w:r>
      <w:r w:rsidR="00D30178" w:rsidRPr="002F50BD">
        <w:rPr>
          <w:rFonts w:ascii="Verdana" w:hAnsi="Verdana"/>
          <w:sz w:val="20"/>
          <w:lang w:val="pt-BR"/>
        </w:rPr>
        <w:t>u</w:t>
      </w:r>
      <w:r w:rsidR="004756C1" w:rsidRPr="002F50BD">
        <w:rPr>
          <w:rFonts w:ascii="Verdana" w:hAnsi="Verdana"/>
          <w:sz w:val="20"/>
          <w:lang w:val="pt-BR"/>
        </w:rPr>
        <w:t xml:space="preserve"> </w:t>
      </w:r>
      <w:r w:rsidR="0089298C" w:rsidRPr="002F50BD">
        <w:rPr>
          <w:rFonts w:ascii="Verdana" w:hAnsi="Verdana"/>
          <w:sz w:val="20"/>
          <w:lang w:val="pt-BR"/>
        </w:rPr>
        <w:t xml:space="preserve">seus </w:t>
      </w:r>
      <w:r w:rsidR="008C29C9" w:rsidRPr="002F50BD">
        <w:rPr>
          <w:rFonts w:ascii="Verdana" w:hAnsi="Verdana"/>
          <w:sz w:val="20"/>
          <w:lang w:val="pt-BR"/>
        </w:rPr>
        <w:t>representante</w:t>
      </w:r>
      <w:r w:rsidR="0089298C" w:rsidRPr="002F50BD">
        <w:rPr>
          <w:rFonts w:ascii="Verdana" w:hAnsi="Verdana"/>
          <w:sz w:val="20"/>
          <w:lang w:val="pt-BR"/>
        </w:rPr>
        <w:t>s</w:t>
      </w:r>
      <w:r w:rsidR="004756C1" w:rsidRPr="002F50BD">
        <w:rPr>
          <w:rFonts w:ascii="Verdana" w:hAnsi="Verdana"/>
          <w:sz w:val="20"/>
          <w:lang w:val="pt-BR"/>
        </w:rPr>
        <w:t>,</w:t>
      </w:r>
      <w:r w:rsidR="0089298C" w:rsidRPr="002F50BD">
        <w:rPr>
          <w:rFonts w:ascii="Verdana" w:hAnsi="Verdana"/>
          <w:sz w:val="20"/>
          <w:lang w:val="pt-BR"/>
        </w:rPr>
        <w:t xml:space="preserve"> </w:t>
      </w:r>
      <w:r w:rsidR="00CF0F4B" w:rsidRPr="002F50BD">
        <w:rPr>
          <w:rFonts w:ascii="Verdana" w:hAnsi="Verdana"/>
          <w:sz w:val="20"/>
          <w:lang w:val="pt-BR"/>
        </w:rPr>
        <w:t>na compreensão</w:t>
      </w:r>
      <w:r w:rsidR="004756C1" w:rsidRPr="002F50BD">
        <w:rPr>
          <w:rFonts w:ascii="Verdana" w:hAnsi="Verdana"/>
          <w:sz w:val="20"/>
          <w:lang w:val="pt-BR"/>
        </w:rPr>
        <w:t xml:space="preserve"> </w:t>
      </w:r>
      <w:r w:rsidR="00D30178" w:rsidRPr="002F50BD">
        <w:rPr>
          <w:rFonts w:ascii="Verdana" w:hAnsi="Verdana"/>
          <w:sz w:val="20"/>
          <w:lang w:val="pt-BR"/>
        </w:rPr>
        <w:t xml:space="preserve">de </w:t>
      </w:r>
      <w:r w:rsidR="004756C1" w:rsidRPr="002F50BD">
        <w:rPr>
          <w:rFonts w:ascii="Verdana" w:hAnsi="Verdana"/>
          <w:sz w:val="20"/>
          <w:lang w:val="pt-BR"/>
        </w:rPr>
        <w:t>que</w:t>
      </w:r>
      <w:r w:rsidR="0089298C" w:rsidRPr="002F50BD">
        <w:rPr>
          <w:rFonts w:ascii="Verdana" w:hAnsi="Verdana"/>
          <w:sz w:val="20"/>
          <w:lang w:val="pt-BR"/>
        </w:rPr>
        <w:t xml:space="preserve"> as </w:t>
      </w:r>
      <w:r w:rsidR="00914F6C" w:rsidRPr="002F50BD">
        <w:rPr>
          <w:rFonts w:ascii="Verdana" w:hAnsi="Verdana"/>
          <w:sz w:val="20"/>
          <w:lang w:val="pt-BR"/>
        </w:rPr>
        <w:t>posturas das</w:t>
      </w:r>
      <w:r w:rsidR="0089298C" w:rsidRPr="002F50BD">
        <w:rPr>
          <w:rFonts w:ascii="Verdana" w:hAnsi="Verdana"/>
          <w:sz w:val="20"/>
          <w:lang w:val="pt-BR"/>
        </w:rPr>
        <w:t xml:space="preserve"> </w:t>
      </w:r>
      <w:r w:rsidR="004756C1" w:rsidRPr="002F50BD">
        <w:rPr>
          <w:rFonts w:ascii="Verdana" w:hAnsi="Verdana"/>
          <w:sz w:val="20"/>
          <w:lang w:val="pt-BR"/>
        </w:rPr>
        <w:t>parte</w:t>
      </w:r>
      <w:r w:rsidR="00914F6C" w:rsidRPr="002F50BD">
        <w:rPr>
          <w:rFonts w:ascii="Verdana" w:hAnsi="Verdana"/>
          <w:sz w:val="20"/>
          <w:lang w:val="pt-BR"/>
        </w:rPr>
        <w:t>s</w:t>
      </w:r>
      <w:r w:rsidR="00D30178" w:rsidRPr="002F50BD">
        <w:rPr>
          <w:rFonts w:ascii="Verdana" w:hAnsi="Verdana"/>
          <w:sz w:val="20"/>
          <w:lang w:val="pt-BR"/>
        </w:rPr>
        <w:t xml:space="preserve"> encontram</w:t>
      </w:r>
      <w:r w:rsidR="00914F6C" w:rsidRPr="002F50BD">
        <w:rPr>
          <w:rFonts w:ascii="Verdana" w:hAnsi="Verdana"/>
          <w:sz w:val="20"/>
          <w:lang w:val="pt-BR"/>
        </w:rPr>
        <w:t>-se</w:t>
      </w:r>
      <w:r w:rsidR="00D30178" w:rsidRPr="002F50BD">
        <w:rPr>
          <w:rFonts w:ascii="Verdana" w:hAnsi="Verdana"/>
          <w:sz w:val="20"/>
          <w:lang w:val="pt-BR"/>
        </w:rPr>
        <w:t xml:space="preserve"> </w:t>
      </w:r>
      <w:r w:rsidR="004756C1" w:rsidRPr="002F50BD">
        <w:rPr>
          <w:rFonts w:ascii="Verdana" w:hAnsi="Verdana"/>
          <w:sz w:val="20"/>
          <w:lang w:val="pt-BR"/>
        </w:rPr>
        <w:t xml:space="preserve">plenamente </w:t>
      </w:r>
      <w:r w:rsidR="0089298C" w:rsidRPr="002F50BD">
        <w:rPr>
          <w:rFonts w:ascii="Verdana" w:hAnsi="Verdana"/>
          <w:sz w:val="20"/>
          <w:lang w:val="pt-BR"/>
        </w:rPr>
        <w:t>expost</w:t>
      </w:r>
      <w:r w:rsidR="004756C1" w:rsidRPr="002F50BD">
        <w:rPr>
          <w:rFonts w:ascii="Verdana" w:hAnsi="Verdana"/>
          <w:sz w:val="20"/>
          <w:lang w:val="pt-BR"/>
        </w:rPr>
        <w:t>as</w:t>
      </w:r>
      <w:r w:rsidR="0089298C" w:rsidRPr="002F50BD">
        <w:rPr>
          <w:rFonts w:ascii="Verdana" w:hAnsi="Verdana"/>
          <w:sz w:val="20"/>
          <w:lang w:val="pt-BR"/>
        </w:rPr>
        <w:t xml:space="preserve"> </w:t>
      </w:r>
      <w:r w:rsidR="00D30178" w:rsidRPr="002F50BD">
        <w:rPr>
          <w:rFonts w:ascii="Verdana" w:hAnsi="Verdana"/>
          <w:sz w:val="20"/>
          <w:lang w:val="pt-BR"/>
        </w:rPr>
        <w:t>nos</w:t>
      </w:r>
      <w:r w:rsidR="0089298C" w:rsidRPr="002F50BD">
        <w:rPr>
          <w:rFonts w:ascii="Verdana" w:hAnsi="Verdana"/>
          <w:sz w:val="20"/>
          <w:lang w:val="pt-BR"/>
        </w:rPr>
        <w:t xml:space="preserve"> </w:t>
      </w:r>
      <w:r w:rsidR="004756C1" w:rsidRPr="002F50BD">
        <w:rPr>
          <w:rFonts w:ascii="Verdana" w:hAnsi="Verdana"/>
          <w:sz w:val="20"/>
          <w:lang w:val="pt-BR"/>
        </w:rPr>
        <w:t>[…] autos”</w:t>
      </w:r>
      <w:r w:rsidR="00D30178" w:rsidRPr="002F50BD">
        <w:rPr>
          <w:rFonts w:ascii="Verdana" w:hAnsi="Verdana"/>
          <w:sz w:val="20"/>
          <w:lang w:val="pt-BR"/>
        </w:rPr>
        <w:t>.</w:t>
      </w:r>
      <w:r w:rsidR="004756C1" w:rsidRPr="002F50BD">
        <w:rPr>
          <w:rStyle w:val="FootnoteReference"/>
          <w:rFonts w:ascii="Verdana" w:hAnsi="Verdana"/>
        </w:rPr>
        <w:footnoteReference w:id="79"/>
      </w:r>
    </w:p>
    <w:p w:rsidR="004756C1" w:rsidRPr="002F50BD" w:rsidRDefault="004756C1">
      <w:pPr>
        <w:tabs>
          <w:tab w:val="left" w:pos="3584"/>
        </w:tabs>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18</w:t>
      </w:r>
      <w:r w:rsidR="004756C1" w:rsidRPr="002F50BD">
        <w:rPr>
          <w:rFonts w:ascii="Verdana" w:hAnsi="Verdana"/>
          <w:sz w:val="20"/>
          <w:lang w:val="pt-BR"/>
        </w:rPr>
        <w:t xml:space="preserve"> de agosto de </w:t>
      </w:r>
      <w:r w:rsidRPr="002F50BD">
        <w:rPr>
          <w:rFonts w:ascii="Verdana" w:hAnsi="Verdana"/>
          <w:sz w:val="20"/>
          <w:lang w:val="pt-BR"/>
        </w:rPr>
        <w:t>1999</w:t>
      </w:r>
      <w:r w:rsidR="00EC5F20"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emitiu o parecer</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33</w:t>
      </w:r>
      <w:r w:rsidR="004756C1" w:rsidRPr="002F50BD">
        <w:rPr>
          <w:rFonts w:ascii="Verdana" w:hAnsi="Verdana"/>
          <w:sz w:val="20"/>
          <w:lang w:val="pt-BR"/>
        </w:rPr>
        <w:t>/</w:t>
      </w:r>
      <w:r w:rsidRPr="002F50BD">
        <w:rPr>
          <w:rFonts w:ascii="Verdana" w:hAnsi="Verdana"/>
          <w:sz w:val="20"/>
          <w:lang w:val="pt-BR"/>
        </w:rPr>
        <w:t>99</w:t>
      </w:r>
      <w:r w:rsidR="004756C1" w:rsidRPr="002F50BD">
        <w:rPr>
          <w:rFonts w:ascii="Verdana" w:hAnsi="Verdana"/>
          <w:sz w:val="20"/>
          <w:lang w:val="pt-BR"/>
        </w:rPr>
        <w:t>, mediante</w:t>
      </w:r>
      <w:r w:rsidR="0089298C" w:rsidRPr="002F50BD">
        <w:rPr>
          <w:rFonts w:ascii="Verdana" w:hAnsi="Verdana"/>
          <w:sz w:val="20"/>
          <w:lang w:val="pt-BR"/>
        </w:rPr>
        <w:t xml:space="preserve"> o qual </w:t>
      </w:r>
      <w:r w:rsidR="0022481E" w:rsidRPr="002F50BD">
        <w:rPr>
          <w:rFonts w:ascii="Verdana" w:hAnsi="Verdana"/>
          <w:sz w:val="20"/>
          <w:lang w:val="pt-BR"/>
        </w:rPr>
        <w:t>recomendou</w:t>
      </w:r>
      <w:r w:rsidR="004756C1" w:rsidRPr="002F50BD">
        <w:rPr>
          <w:rFonts w:ascii="Verdana" w:hAnsi="Verdana"/>
          <w:sz w:val="20"/>
          <w:lang w:val="pt-BR"/>
        </w:rPr>
        <w:t xml:space="preserve"> que </w:t>
      </w:r>
      <w:r w:rsidR="00D30178" w:rsidRPr="002F50BD">
        <w:rPr>
          <w:rFonts w:ascii="Verdana" w:hAnsi="Verdana"/>
          <w:sz w:val="20"/>
          <w:lang w:val="pt-BR"/>
        </w:rPr>
        <w:t xml:space="preserve">fosse emitida uma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w:t>
      </w:r>
    </w:p>
    <w:p w:rsidR="004756C1" w:rsidRPr="002F50BD" w:rsidRDefault="004756C1">
      <w:pPr>
        <w:ind w:left="720"/>
        <w:jc w:val="both"/>
        <w:rPr>
          <w:rFonts w:ascii="Verdana" w:hAnsi="Verdana"/>
          <w:sz w:val="20"/>
          <w:lang w:val="pt-BR"/>
        </w:rPr>
      </w:pPr>
    </w:p>
    <w:p w:rsidR="004756C1" w:rsidRPr="002F50BD" w:rsidRDefault="00D30178">
      <w:pPr>
        <w:numPr>
          <w:ilvl w:val="0"/>
          <w:numId w:val="6"/>
        </w:numPr>
        <w:tabs>
          <w:tab w:val="clear" w:pos="720"/>
          <w:tab w:val="num" w:pos="1170"/>
        </w:tabs>
        <w:ind w:right="360" w:firstLine="0"/>
        <w:jc w:val="both"/>
        <w:rPr>
          <w:rFonts w:ascii="Verdana" w:hAnsi="Verdana"/>
          <w:sz w:val="16"/>
          <w:lang w:val="pt-BR"/>
        </w:rPr>
      </w:pPr>
      <w:r w:rsidRPr="002F50BD">
        <w:rPr>
          <w:rFonts w:ascii="Verdana" w:hAnsi="Verdana"/>
          <w:sz w:val="16"/>
          <w:lang w:val="pt-BR"/>
        </w:rPr>
        <w:t>Es</w:t>
      </w:r>
      <w:r w:rsidR="004756C1" w:rsidRPr="002F50BD">
        <w:rPr>
          <w:rFonts w:ascii="Verdana" w:hAnsi="Verdana"/>
          <w:sz w:val="16"/>
          <w:lang w:val="pt-BR"/>
        </w:rPr>
        <w:t>gotando</w:t>
      </w:r>
      <w:r w:rsidR="0089298C" w:rsidRPr="002F50BD">
        <w:rPr>
          <w:rFonts w:ascii="Verdana" w:hAnsi="Verdana"/>
          <w:sz w:val="16"/>
          <w:lang w:val="pt-BR"/>
        </w:rPr>
        <w:t xml:space="preserve"> as instância</w:t>
      </w:r>
      <w:r w:rsidR="004756C1" w:rsidRPr="002F50BD">
        <w:rPr>
          <w:rFonts w:ascii="Verdana" w:hAnsi="Verdana"/>
          <w:sz w:val="16"/>
          <w:lang w:val="pt-BR"/>
        </w:rPr>
        <w:t>s conciliadoras</w:t>
      </w:r>
      <w:r w:rsidR="0089298C" w:rsidRPr="002F50BD">
        <w:rPr>
          <w:rFonts w:ascii="Verdana" w:hAnsi="Verdana"/>
          <w:sz w:val="16"/>
          <w:lang w:val="pt-BR"/>
        </w:rPr>
        <w:t xml:space="preserve"> com o </w:t>
      </w:r>
      <w:r w:rsidR="004756C1" w:rsidRPr="002F50BD">
        <w:rPr>
          <w:rFonts w:ascii="Verdana" w:hAnsi="Verdana"/>
          <w:sz w:val="16"/>
          <w:lang w:val="pt-BR"/>
        </w:rPr>
        <w:t>objet</w:t>
      </w:r>
      <w:r w:rsidRPr="002F50BD">
        <w:rPr>
          <w:rFonts w:ascii="Verdana" w:hAnsi="Verdana"/>
          <w:sz w:val="16"/>
          <w:lang w:val="pt-BR"/>
        </w:rPr>
        <w:t>iv</w:t>
      </w:r>
      <w:r w:rsidR="004756C1" w:rsidRPr="002F50BD">
        <w:rPr>
          <w:rFonts w:ascii="Verdana" w:hAnsi="Verdana"/>
          <w:sz w:val="16"/>
          <w:lang w:val="pt-BR"/>
        </w:rPr>
        <w:t>o de que</w:t>
      </w:r>
      <w:r w:rsidR="0089298C" w:rsidRPr="002F50BD">
        <w:rPr>
          <w:rFonts w:ascii="Verdana" w:hAnsi="Verdana"/>
          <w:sz w:val="16"/>
          <w:lang w:val="pt-BR"/>
        </w:rPr>
        <w:t xml:space="preserve"> os </w:t>
      </w:r>
      <w:r w:rsidR="007801FA" w:rsidRPr="002F50BD">
        <w:rPr>
          <w:rFonts w:ascii="Verdana" w:hAnsi="Verdana"/>
          <w:sz w:val="16"/>
          <w:lang w:val="pt-BR"/>
        </w:rPr>
        <w:t>proprietário</w:t>
      </w:r>
      <w:r w:rsidR="004756C1" w:rsidRPr="002F50BD">
        <w:rPr>
          <w:rFonts w:ascii="Verdana" w:hAnsi="Verdana"/>
          <w:sz w:val="16"/>
          <w:lang w:val="pt-BR"/>
        </w:rPr>
        <w:t>s</w:t>
      </w:r>
      <w:r w:rsidR="0089298C" w:rsidRPr="002F50BD">
        <w:rPr>
          <w:rFonts w:ascii="Verdana" w:hAnsi="Verdana"/>
          <w:sz w:val="16"/>
          <w:lang w:val="pt-BR"/>
        </w:rPr>
        <w:t xml:space="preserve"> das terra</w:t>
      </w:r>
      <w:r w:rsidR="004756C1" w:rsidRPr="002F50BD">
        <w:rPr>
          <w:rFonts w:ascii="Verdana" w:hAnsi="Verdana"/>
          <w:sz w:val="16"/>
          <w:lang w:val="pt-BR"/>
        </w:rPr>
        <w:t xml:space="preserve">s </w:t>
      </w:r>
      <w:r w:rsidR="0089298C" w:rsidRPr="002F50BD">
        <w:rPr>
          <w:rFonts w:ascii="Verdana" w:hAnsi="Verdana"/>
          <w:sz w:val="16"/>
          <w:lang w:val="pt-BR"/>
        </w:rPr>
        <w:t>afeta</w:t>
      </w:r>
      <w:r w:rsidR="004756C1" w:rsidRPr="002F50BD">
        <w:rPr>
          <w:rFonts w:ascii="Verdana" w:hAnsi="Verdana"/>
          <w:sz w:val="16"/>
          <w:lang w:val="pt-BR"/>
        </w:rPr>
        <w:t xml:space="preserve">das </w:t>
      </w:r>
      <w:r w:rsidR="00EC5F20" w:rsidRPr="002F50BD">
        <w:rPr>
          <w:rFonts w:ascii="Verdana" w:hAnsi="Verdana"/>
          <w:sz w:val="16"/>
          <w:lang w:val="pt-BR"/>
        </w:rPr>
        <w:t>ofereçam à</w:t>
      </w:r>
      <w:r w:rsidRPr="002F50BD">
        <w:rPr>
          <w:rFonts w:ascii="Verdana" w:hAnsi="Verdana"/>
          <w:sz w:val="16"/>
          <w:lang w:val="pt-BR"/>
        </w:rPr>
        <w:t xml:space="preserve"> venda ao </w:t>
      </w:r>
      <w:r w:rsidR="004756C1" w:rsidRPr="002F50BD">
        <w:rPr>
          <w:rFonts w:ascii="Verdana" w:hAnsi="Verdana"/>
          <w:sz w:val="16"/>
          <w:lang w:val="pt-BR"/>
        </w:rPr>
        <w:t>menos</w:t>
      </w:r>
      <w:r w:rsidR="0089298C" w:rsidRPr="002F50BD">
        <w:rPr>
          <w:rFonts w:ascii="Verdana" w:hAnsi="Verdana"/>
          <w:sz w:val="16"/>
          <w:lang w:val="pt-BR"/>
        </w:rPr>
        <w:t xml:space="preserve"> a quantidade </w:t>
      </w:r>
      <w:r w:rsidR="004756C1" w:rsidRPr="002F50BD">
        <w:rPr>
          <w:rFonts w:ascii="Verdana" w:hAnsi="Verdana"/>
          <w:sz w:val="16"/>
          <w:lang w:val="pt-BR"/>
        </w:rPr>
        <w:t xml:space="preserve">de </w:t>
      </w:r>
      <w:r w:rsidR="0089298C" w:rsidRPr="002F50BD">
        <w:rPr>
          <w:rFonts w:ascii="Verdana" w:hAnsi="Verdana"/>
          <w:sz w:val="16"/>
          <w:lang w:val="pt-BR"/>
        </w:rPr>
        <w:t>terra</w:t>
      </w:r>
      <w:r w:rsidR="004756C1" w:rsidRPr="002F50BD">
        <w:rPr>
          <w:rFonts w:ascii="Verdana" w:hAnsi="Verdana"/>
          <w:sz w:val="16"/>
          <w:lang w:val="pt-BR"/>
        </w:rPr>
        <w:t xml:space="preserve">s </w:t>
      </w:r>
      <w:r w:rsidR="0089298C" w:rsidRPr="002F50BD">
        <w:rPr>
          <w:rFonts w:ascii="Verdana" w:hAnsi="Verdana"/>
          <w:sz w:val="16"/>
          <w:lang w:val="pt-BR"/>
        </w:rPr>
        <w:t>necessári</w:t>
      </w:r>
      <w:r w:rsidR="004756C1" w:rsidRPr="002F50BD">
        <w:rPr>
          <w:rFonts w:ascii="Verdana" w:hAnsi="Verdana"/>
          <w:sz w:val="16"/>
          <w:lang w:val="pt-BR"/>
        </w:rPr>
        <w:t>as</w:t>
      </w:r>
      <w:r w:rsidR="0089298C" w:rsidRPr="002F50BD">
        <w:rPr>
          <w:rFonts w:ascii="Verdana" w:hAnsi="Verdana"/>
          <w:sz w:val="16"/>
          <w:lang w:val="pt-BR"/>
        </w:rPr>
        <w:t xml:space="preserve"> ao </w:t>
      </w:r>
      <w:r w:rsidR="004756C1" w:rsidRPr="002F50BD">
        <w:rPr>
          <w:rFonts w:ascii="Verdana" w:hAnsi="Verdana"/>
          <w:sz w:val="16"/>
          <w:lang w:val="pt-BR"/>
        </w:rPr>
        <w:t xml:space="preserve">INDI para </w:t>
      </w:r>
      <w:r w:rsidR="0089298C" w:rsidRPr="002F50BD">
        <w:rPr>
          <w:rFonts w:ascii="Verdana" w:hAnsi="Verdana"/>
          <w:sz w:val="16"/>
          <w:lang w:val="pt-BR"/>
        </w:rPr>
        <w:t>satisfazer as necessidad</w:t>
      </w:r>
      <w:r w:rsidR="004756C1" w:rsidRPr="002F50BD">
        <w:rPr>
          <w:rFonts w:ascii="Verdana" w:hAnsi="Verdana"/>
          <w:sz w:val="16"/>
          <w:lang w:val="pt-BR"/>
        </w:rPr>
        <w:t xml:space="preserve">es </w:t>
      </w:r>
      <w:r w:rsidR="0089298C" w:rsidRPr="002F50BD">
        <w:rPr>
          <w:rFonts w:ascii="Verdana" w:hAnsi="Verdana"/>
          <w:sz w:val="16"/>
          <w:lang w:val="pt-BR"/>
        </w:rPr>
        <w:t xml:space="preserve">do </w:t>
      </w:r>
      <w:r w:rsidR="001A0CDE" w:rsidRPr="002F50BD">
        <w:rPr>
          <w:rFonts w:ascii="Verdana" w:hAnsi="Verdana"/>
          <w:sz w:val="16"/>
          <w:lang w:val="pt-BR"/>
        </w:rPr>
        <w:t>habitat</w:t>
      </w:r>
      <w:r w:rsidR="004756C1" w:rsidRPr="002F50BD">
        <w:rPr>
          <w:rFonts w:ascii="Verdana" w:hAnsi="Verdana"/>
          <w:sz w:val="16"/>
          <w:lang w:val="pt-BR"/>
        </w:rPr>
        <w:t xml:space="preserve"> indígena</w:t>
      </w:r>
      <w:r w:rsidR="0089298C" w:rsidRPr="002F50BD">
        <w:rPr>
          <w:rFonts w:ascii="Verdana" w:hAnsi="Verdana"/>
          <w:sz w:val="16"/>
          <w:lang w:val="pt-BR"/>
        </w:rPr>
        <w:t xml:space="preserve"> no </w:t>
      </w:r>
      <w:r w:rsidR="004756C1" w:rsidRPr="002F50BD">
        <w:rPr>
          <w:rFonts w:ascii="Verdana" w:hAnsi="Verdana"/>
          <w:sz w:val="16"/>
          <w:lang w:val="pt-BR"/>
        </w:rPr>
        <w:t xml:space="preserve">lugar denominado </w:t>
      </w:r>
      <w:r w:rsidR="00060B3A" w:rsidRPr="002F50BD">
        <w:rPr>
          <w:rFonts w:ascii="Verdana" w:hAnsi="Verdana"/>
          <w:i/>
          <w:sz w:val="16"/>
          <w:lang w:val="pt-BR"/>
        </w:rPr>
        <w:t>Estancia Loma Verde</w:t>
      </w:r>
      <w:r w:rsidR="004756C1" w:rsidRPr="002F50BD">
        <w:rPr>
          <w:rFonts w:ascii="Verdana" w:hAnsi="Verdana"/>
          <w:sz w:val="16"/>
          <w:lang w:val="pt-BR"/>
        </w:rPr>
        <w:t xml:space="preserve">, </w:t>
      </w:r>
      <w:r w:rsidR="0089298C" w:rsidRPr="002F50BD">
        <w:rPr>
          <w:rFonts w:ascii="Verdana" w:hAnsi="Verdana"/>
          <w:sz w:val="16"/>
          <w:lang w:val="pt-BR"/>
        </w:rPr>
        <w:t>localizad</w:t>
      </w:r>
      <w:r w:rsidR="004756C1" w:rsidRPr="002F50BD">
        <w:rPr>
          <w:rFonts w:ascii="Verdana" w:hAnsi="Verdana"/>
          <w:sz w:val="16"/>
          <w:lang w:val="pt-BR"/>
        </w:rPr>
        <w:t>o</w:t>
      </w:r>
      <w:r w:rsidR="0089298C" w:rsidRPr="002F50BD">
        <w:rPr>
          <w:rFonts w:ascii="Verdana" w:hAnsi="Verdana"/>
          <w:sz w:val="16"/>
          <w:lang w:val="pt-BR"/>
        </w:rPr>
        <w:t xml:space="preserve"> no </w:t>
      </w:r>
      <w:r w:rsidR="004756C1" w:rsidRPr="002F50BD">
        <w:rPr>
          <w:rFonts w:ascii="Verdana" w:hAnsi="Verdana"/>
          <w:sz w:val="16"/>
          <w:lang w:val="pt-BR"/>
        </w:rPr>
        <w:t xml:space="preserve">Km. </w:t>
      </w:r>
      <w:r w:rsidR="00063B47" w:rsidRPr="002F50BD">
        <w:rPr>
          <w:rFonts w:ascii="Verdana" w:hAnsi="Verdana"/>
          <w:sz w:val="16"/>
          <w:lang w:val="pt-BR"/>
        </w:rPr>
        <w:t>60</w:t>
      </w:r>
      <w:r w:rsidR="0089298C" w:rsidRPr="002F50BD">
        <w:rPr>
          <w:rFonts w:ascii="Verdana" w:hAnsi="Verdana"/>
          <w:sz w:val="16"/>
          <w:lang w:val="pt-BR"/>
        </w:rPr>
        <w:t xml:space="preserve"> da </w:t>
      </w:r>
      <w:r w:rsidRPr="002F50BD">
        <w:rPr>
          <w:rFonts w:ascii="Verdana" w:hAnsi="Verdana"/>
          <w:sz w:val="16"/>
          <w:lang w:val="pt-BR"/>
        </w:rPr>
        <w:t xml:space="preserve">estrada </w:t>
      </w:r>
      <w:r w:rsidR="00313394" w:rsidRPr="002F50BD">
        <w:rPr>
          <w:rFonts w:ascii="Verdana" w:hAnsi="Verdana"/>
          <w:sz w:val="16"/>
          <w:lang w:val="pt-BR"/>
        </w:rPr>
        <w:t>Concepción</w:t>
      </w:r>
      <w:r w:rsidR="004756C1" w:rsidRPr="002F50BD">
        <w:rPr>
          <w:rFonts w:ascii="Verdana" w:hAnsi="Verdana"/>
          <w:sz w:val="16"/>
          <w:lang w:val="pt-BR"/>
        </w:rPr>
        <w:t>-Pozo Colorado.</w:t>
      </w:r>
    </w:p>
    <w:p w:rsidR="004756C1" w:rsidRPr="002F50BD" w:rsidRDefault="00D30178">
      <w:pPr>
        <w:numPr>
          <w:ilvl w:val="0"/>
          <w:numId w:val="6"/>
        </w:numPr>
        <w:tabs>
          <w:tab w:val="clear" w:pos="720"/>
          <w:tab w:val="num" w:pos="1170"/>
        </w:tabs>
        <w:ind w:right="360" w:firstLine="0"/>
        <w:jc w:val="both"/>
        <w:rPr>
          <w:rFonts w:ascii="Verdana" w:hAnsi="Verdana"/>
          <w:sz w:val="16"/>
          <w:lang w:val="pt-BR"/>
        </w:rPr>
      </w:pPr>
      <w:r w:rsidRPr="002F50BD">
        <w:rPr>
          <w:rFonts w:ascii="Verdana" w:hAnsi="Verdana"/>
          <w:sz w:val="16"/>
          <w:lang w:val="pt-BR"/>
        </w:rPr>
        <w:t xml:space="preserve">Em conformidade com </w:t>
      </w:r>
      <w:r w:rsidR="0089298C" w:rsidRPr="002F50BD">
        <w:rPr>
          <w:rFonts w:ascii="Verdana" w:hAnsi="Verdana"/>
          <w:sz w:val="16"/>
          <w:lang w:val="pt-BR"/>
        </w:rPr>
        <w:t xml:space="preserve">os </w:t>
      </w:r>
      <w:r w:rsidR="004756C1" w:rsidRPr="002F50BD">
        <w:rPr>
          <w:rFonts w:ascii="Verdana" w:hAnsi="Verdana"/>
          <w:sz w:val="16"/>
          <w:lang w:val="pt-BR"/>
        </w:rPr>
        <w:t>antecedentes administrativos, técnicos,</w:t>
      </w:r>
      <w:r w:rsidR="00EC5F20" w:rsidRPr="002F50BD">
        <w:rPr>
          <w:rFonts w:ascii="Verdana" w:hAnsi="Verdana"/>
          <w:sz w:val="16"/>
          <w:lang w:val="pt-BR"/>
        </w:rPr>
        <w:t xml:space="preserve"> a</w:t>
      </w:r>
      <w:r w:rsidR="0089298C" w:rsidRPr="002F50BD">
        <w:rPr>
          <w:rFonts w:ascii="Verdana" w:hAnsi="Verdana"/>
          <w:sz w:val="16"/>
          <w:lang w:val="pt-BR"/>
        </w:rPr>
        <w:t xml:space="preserve">s </w:t>
      </w:r>
      <w:r w:rsidR="004756C1" w:rsidRPr="002F50BD">
        <w:rPr>
          <w:rFonts w:ascii="Verdana" w:hAnsi="Verdana"/>
          <w:sz w:val="16"/>
          <w:lang w:val="pt-BR"/>
        </w:rPr>
        <w:t>resolu</w:t>
      </w:r>
      <w:r w:rsidR="0089298C" w:rsidRPr="002F50BD">
        <w:rPr>
          <w:rFonts w:ascii="Verdana" w:hAnsi="Verdana"/>
          <w:sz w:val="16"/>
          <w:lang w:val="pt-BR"/>
        </w:rPr>
        <w:t>ções</w:t>
      </w:r>
      <w:r w:rsidR="004756C1" w:rsidRPr="002F50BD">
        <w:rPr>
          <w:rFonts w:ascii="Verdana" w:hAnsi="Verdana"/>
          <w:sz w:val="16"/>
          <w:lang w:val="pt-BR"/>
        </w:rPr>
        <w:t xml:space="preserve"> </w:t>
      </w:r>
      <w:r w:rsidRPr="002F50BD">
        <w:rPr>
          <w:rFonts w:ascii="Verdana" w:hAnsi="Verdana"/>
          <w:sz w:val="16"/>
          <w:lang w:val="pt-BR"/>
        </w:rPr>
        <w:t xml:space="preserve">emitidas </w:t>
      </w:r>
      <w:r w:rsidR="0089298C" w:rsidRPr="002F50BD">
        <w:rPr>
          <w:rFonts w:ascii="Verdana" w:hAnsi="Verdana"/>
          <w:sz w:val="16"/>
          <w:lang w:val="pt-BR"/>
        </w:rPr>
        <w:t xml:space="preserve">pelo </w:t>
      </w:r>
      <w:r w:rsidR="004756C1" w:rsidRPr="002F50BD">
        <w:rPr>
          <w:rFonts w:ascii="Verdana" w:hAnsi="Verdana"/>
          <w:sz w:val="16"/>
          <w:lang w:val="pt-BR"/>
        </w:rPr>
        <w:t xml:space="preserve">Instituto de </w:t>
      </w:r>
      <w:r w:rsidR="00475EBB" w:rsidRPr="002F50BD">
        <w:rPr>
          <w:rFonts w:ascii="Verdana" w:hAnsi="Verdana"/>
          <w:sz w:val="16"/>
          <w:lang w:val="pt-BR"/>
        </w:rPr>
        <w:t>Bem Estar</w:t>
      </w:r>
      <w:r w:rsidR="004756C1" w:rsidRPr="002F50BD">
        <w:rPr>
          <w:rFonts w:ascii="Verdana" w:hAnsi="Verdana"/>
          <w:sz w:val="16"/>
          <w:lang w:val="pt-BR"/>
        </w:rPr>
        <w:t xml:space="preserve"> Rural</w:t>
      </w:r>
      <w:r w:rsidR="00EC5F20" w:rsidRPr="002F50BD">
        <w:rPr>
          <w:rFonts w:ascii="Verdana" w:hAnsi="Verdana"/>
          <w:sz w:val="16"/>
          <w:lang w:val="pt-BR"/>
        </w:rPr>
        <w:t xml:space="preserve"> e a</w:t>
      </w:r>
      <w:r w:rsidR="0089298C" w:rsidRPr="002F50BD">
        <w:rPr>
          <w:rFonts w:ascii="Verdana" w:hAnsi="Verdana"/>
          <w:sz w:val="16"/>
          <w:lang w:val="pt-BR"/>
        </w:rPr>
        <w:t>s decisões</w:t>
      </w:r>
      <w:r w:rsidR="004756C1" w:rsidRPr="002F50BD">
        <w:rPr>
          <w:rFonts w:ascii="Verdana" w:hAnsi="Verdana"/>
          <w:sz w:val="16"/>
          <w:lang w:val="pt-BR"/>
        </w:rPr>
        <w:t xml:space="preserve"> </w:t>
      </w:r>
      <w:r w:rsidR="0089298C" w:rsidRPr="002F50BD">
        <w:rPr>
          <w:rFonts w:ascii="Verdana" w:hAnsi="Verdana"/>
          <w:sz w:val="16"/>
          <w:lang w:val="pt-BR"/>
        </w:rPr>
        <w:t>judiciais</w:t>
      </w:r>
      <w:r w:rsidR="004756C1" w:rsidRPr="002F50BD">
        <w:rPr>
          <w:rFonts w:ascii="Verdana" w:hAnsi="Verdana"/>
          <w:sz w:val="16"/>
          <w:lang w:val="pt-BR"/>
        </w:rPr>
        <w:t xml:space="preserve"> pertinentes </w:t>
      </w:r>
      <w:r w:rsidRPr="002F50BD">
        <w:rPr>
          <w:rFonts w:ascii="Verdana" w:hAnsi="Verdana"/>
          <w:sz w:val="16"/>
          <w:lang w:val="pt-BR"/>
        </w:rPr>
        <w:t xml:space="preserve">emitidas em relação a </w:t>
      </w:r>
      <w:r w:rsidR="004756C1" w:rsidRPr="002F50BD">
        <w:rPr>
          <w:rFonts w:ascii="Verdana" w:hAnsi="Verdana"/>
          <w:sz w:val="16"/>
          <w:lang w:val="pt-BR"/>
        </w:rPr>
        <w:t xml:space="preserve">esta </w:t>
      </w:r>
      <w:r w:rsidR="0089298C" w:rsidRPr="002F50BD">
        <w:rPr>
          <w:rFonts w:ascii="Verdana" w:hAnsi="Verdana"/>
          <w:sz w:val="16"/>
          <w:lang w:val="pt-BR"/>
        </w:rPr>
        <w:t>controvérsia</w:t>
      </w:r>
      <w:r w:rsidRPr="002F50BD">
        <w:rPr>
          <w:rFonts w:ascii="Verdana" w:hAnsi="Verdana"/>
          <w:sz w:val="16"/>
          <w:lang w:val="pt-BR"/>
        </w:rPr>
        <w:t>,</w:t>
      </w:r>
      <w:r w:rsidR="004756C1" w:rsidRPr="002F50BD">
        <w:rPr>
          <w:rFonts w:ascii="Verdana" w:hAnsi="Verdana"/>
          <w:sz w:val="16"/>
          <w:lang w:val="pt-BR"/>
        </w:rPr>
        <w:t xml:space="preserve"> declarar</w:t>
      </w:r>
      <w:r w:rsidR="0089298C" w:rsidRPr="002F50BD">
        <w:rPr>
          <w:rFonts w:ascii="Verdana" w:hAnsi="Verdana"/>
          <w:sz w:val="16"/>
          <w:lang w:val="pt-BR"/>
        </w:rPr>
        <w:t xml:space="preserve"> em </w:t>
      </w:r>
      <w:r w:rsidR="004756C1" w:rsidRPr="002F50BD">
        <w:rPr>
          <w:rFonts w:ascii="Verdana" w:hAnsi="Verdana"/>
          <w:sz w:val="16"/>
          <w:lang w:val="pt-BR"/>
        </w:rPr>
        <w:t>situa</w:t>
      </w:r>
      <w:r w:rsidR="0089298C" w:rsidRPr="002F50BD">
        <w:rPr>
          <w:rFonts w:ascii="Verdana" w:hAnsi="Verdana"/>
          <w:sz w:val="16"/>
          <w:lang w:val="pt-BR"/>
        </w:rPr>
        <w:t>ção</w:t>
      </w:r>
      <w:r w:rsidR="004756C1" w:rsidRPr="002F50BD">
        <w:rPr>
          <w:rFonts w:ascii="Verdana" w:hAnsi="Verdana"/>
          <w:sz w:val="16"/>
          <w:lang w:val="pt-BR"/>
        </w:rPr>
        <w:t xml:space="preserve"> de </w:t>
      </w:r>
      <w:r w:rsidR="00A50140" w:rsidRPr="002F50BD">
        <w:rPr>
          <w:rFonts w:ascii="Verdana" w:hAnsi="Verdana"/>
          <w:sz w:val="16"/>
          <w:lang w:val="pt-BR"/>
        </w:rPr>
        <w:t xml:space="preserve">emergência </w:t>
      </w:r>
      <w:r w:rsidRPr="002F50BD">
        <w:rPr>
          <w:rFonts w:ascii="Verdana" w:hAnsi="Verdana"/>
          <w:sz w:val="16"/>
          <w:lang w:val="pt-BR"/>
        </w:rPr>
        <w:t>a</w:t>
      </w:r>
      <w:r w:rsidR="0089298C" w:rsidRPr="002F50BD">
        <w:rPr>
          <w:rFonts w:ascii="Verdana" w:hAnsi="Verdana"/>
          <w:sz w:val="16"/>
          <w:lang w:val="pt-BR"/>
        </w:rPr>
        <w:t xml:space="preserve"> Comunidade </w:t>
      </w:r>
      <w:r w:rsidR="004756C1" w:rsidRPr="002F50BD">
        <w:rPr>
          <w:rFonts w:ascii="Verdana" w:hAnsi="Verdana"/>
          <w:sz w:val="16"/>
          <w:lang w:val="pt-BR"/>
        </w:rPr>
        <w:t xml:space="preserve">Yakye Axa, </w:t>
      </w:r>
      <w:r w:rsidRPr="002F50BD">
        <w:rPr>
          <w:rFonts w:ascii="Verdana" w:hAnsi="Verdana"/>
          <w:sz w:val="16"/>
          <w:lang w:val="pt-BR"/>
        </w:rPr>
        <w:t xml:space="preserve">devendo </w:t>
      </w:r>
      <w:r w:rsidR="004756C1" w:rsidRPr="002F50BD">
        <w:rPr>
          <w:rFonts w:ascii="Verdana" w:hAnsi="Verdana"/>
          <w:sz w:val="16"/>
          <w:lang w:val="pt-BR"/>
        </w:rPr>
        <w:t>iniciar</w:t>
      </w:r>
      <w:r w:rsidRPr="002F50BD">
        <w:rPr>
          <w:rFonts w:ascii="Verdana" w:hAnsi="Verdana"/>
          <w:sz w:val="16"/>
          <w:lang w:val="pt-BR"/>
        </w:rPr>
        <w:t>-se</w:t>
      </w:r>
      <w:r w:rsidR="0089298C" w:rsidRPr="002F50BD">
        <w:rPr>
          <w:rFonts w:ascii="Verdana" w:hAnsi="Verdana"/>
          <w:sz w:val="16"/>
          <w:lang w:val="pt-BR"/>
        </w:rPr>
        <w:t xml:space="preserve"> </w:t>
      </w:r>
      <w:r w:rsidRPr="002F50BD">
        <w:rPr>
          <w:rFonts w:ascii="Verdana" w:hAnsi="Verdana"/>
          <w:sz w:val="16"/>
          <w:lang w:val="pt-BR"/>
        </w:rPr>
        <w:t xml:space="preserve">com </w:t>
      </w:r>
      <w:r w:rsidR="0089298C" w:rsidRPr="002F50BD">
        <w:rPr>
          <w:rFonts w:ascii="Verdana" w:hAnsi="Verdana"/>
          <w:sz w:val="16"/>
          <w:lang w:val="pt-BR"/>
        </w:rPr>
        <w:t>a brevidade</w:t>
      </w:r>
      <w:r w:rsidR="004756C1" w:rsidRPr="002F50BD">
        <w:rPr>
          <w:rFonts w:ascii="Verdana" w:hAnsi="Verdana"/>
          <w:sz w:val="16"/>
          <w:lang w:val="pt-BR"/>
        </w:rPr>
        <w:t xml:space="preserve"> </w:t>
      </w:r>
      <w:r w:rsidR="0089298C" w:rsidRPr="002F50BD">
        <w:rPr>
          <w:rFonts w:ascii="Verdana" w:hAnsi="Verdana"/>
          <w:sz w:val="16"/>
          <w:lang w:val="pt-BR"/>
        </w:rPr>
        <w:t xml:space="preserve">possível </w:t>
      </w:r>
      <w:r w:rsidR="00F8225E">
        <w:rPr>
          <w:rFonts w:ascii="Verdana" w:hAnsi="Verdana"/>
          <w:sz w:val="16"/>
          <w:lang w:val="pt-BR"/>
        </w:rPr>
        <w:t>ações</w:t>
      </w:r>
      <w:r w:rsidR="004756C1" w:rsidRPr="002F50BD">
        <w:rPr>
          <w:rFonts w:ascii="Verdana" w:hAnsi="Verdana"/>
          <w:sz w:val="16"/>
          <w:lang w:val="pt-BR"/>
        </w:rPr>
        <w:t xml:space="preserve"> </w:t>
      </w:r>
      <w:r w:rsidR="0089298C" w:rsidRPr="002F50BD">
        <w:rPr>
          <w:rFonts w:ascii="Verdana" w:hAnsi="Verdana"/>
          <w:sz w:val="16"/>
          <w:lang w:val="pt-BR"/>
        </w:rPr>
        <w:t>encaminhada</w:t>
      </w:r>
      <w:r w:rsidR="004756C1" w:rsidRPr="002F50BD">
        <w:rPr>
          <w:rFonts w:ascii="Verdana" w:hAnsi="Verdana"/>
          <w:sz w:val="16"/>
          <w:lang w:val="pt-BR"/>
        </w:rPr>
        <w:t>s</w:t>
      </w:r>
      <w:r w:rsidR="0089298C" w:rsidRPr="002F50BD">
        <w:rPr>
          <w:rFonts w:ascii="Verdana" w:hAnsi="Verdana"/>
          <w:sz w:val="16"/>
          <w:lang w:val="pt-BR"/>
        </w:rPr>
        <w:t xml:space="preserve"> à </w:t>
      </w:r>
      <w:r w:rsidR="004756C1" w:rsidRPr="002F50BD">
        <w:rPr>
          <w:rFonts w:ascii="Verdana" w:hAnsi="Verdana"/>
          <w:sz w:val="16"/>
          <w:lang w:val="pt-BR"/>
        </w:rPr>
        <w:t>localiza</w:t>
      </w:r>
      <w:r w:rsidR="0089298C" w:rsidRPr="002F50BD">
        <w:rPr>
          <w:rFonts w:ascii="Verdana" w:hAnsi="Verdana"/>
          <w:sz w:val="16"/>
          <w:lang w:val="pt-BR"/>
        </w:rPr>
        <w:t>ção</w:t>
      </w:r>
      <w:r w:rsidR="004756C1" w:rsidRPr="002F50BD">
        <w:rPr>
          <w:rFonts w:ascii="Verdana" w:hAnsi="Verdana"/>
          <w:sz w:val="16"/>
          <w:lang w:val="pt-BR"/>
        </w:rPr>
        <w:t xml:space="preserve">, </w:t>
      </w:r>
      <w:r w:rsidR="00367FD1" w:rsidRPr="002F50BD">
        <w:rPr>
          <w:rFonts w:ascii="Verdana" w:hAnsi="Verdana"/>
          <w:sz w:val="16"/>
          <w:lang w:val="pt-BR"/>
        </w:rPr>
        <w:t>aquisição</w:t>
      </w:r>
      <w:r w:rsidR="004756C1" w:rsidRPr="002F50BD">
        <w:rPr>
          <w:rFonts w:ascii="Verdana" w:hAnsi="Verdana"/>
          <w:sz w:val="16"/>
          <w:lang w:val="pt-BR"/>
        </w:rPr>
        <w:t xml:space="preserve"> de </w:t>
      </w:r>
      <w:r w:rsidR="0089298C" w:rsidRPr="002F50BD">
        <w:rPr>
          <w:rFonts w:ascii="Verdana" w:hAnsi="Verdana"/>
          <w:sz w:val="16"/>
          <w:lang w:val="pt-BR"/>
        </w:rPr>
        <w:t>outra</w:t>
      </w:r>
      <w:r w:rsidR="004756C1" w:rsidRPr="002F50BD">
        <w:rPr>
          <w:rFonts w:ascii="Verdana" w:hAnsi="Verdana"/>
          <w:sz w:val="16"/>
          <w:lang w:val="pt-BR"/>
        </w:rPr>
        <w:t xml:space="preserve">s </w:t>
      </w:r>
      <w:r w:rsidR="0089298C" w:rsidRPr="002F50BD">
        <w:rPr>
          <w:rFonts w:ascii="Verdana" w:hAnsi="Verdana"/>
          <w:sz w:val="16"/>
          <w:lang w:val="pt-BR"/>
        </w:rPr>
        <w:t>terra</w:t>
      </w:r>
      <w:r w:rsidR="004756C1" w:rsidRPr="002F50BD">
        <w:rPr>
          <w:rFonts w:ascii="Verdana" w:hAnsi="Verdana"/>
          <w:sz w:val="16"/>
          <w:lang w:val="pt-BR"/>
        </w:rPr>
        <w:t xml:space="preserve">s; </w:t>
      </w:r>
      <w:r w:rsidR="0089298C" w:rsidRPr="002F50BD">
        <w:rPr>
          <w:rFonts w:ascii="Verdana" w:hAnsi="Verdana"/>
          <w:sz w:val="16"/>
          <w:lang w:val="pt-BR"/>
        </w:rPr>
        <w:t>s</w:t>
      </w:r>
      <w:r w:rsidRPr="002F50BD">
        <w:rPr>
          <w:rFonts w:ascii="Verdana" w:hAnsi="Verdana"/>
          <w:sz w:val="16"/>
          <w:lang w:val="pt-BR"/>
        </w:rPr>
        <w:t>e</w:t>
      </w:r>
      <w:r w:rsidR="0089298C" w:rsidRPr="002F50BD">
        <w:rPr>
          <w:rFonts w:ascii="Verdana" w:hAnsi="Verdana"/>
          <w:sz w:val="16"/>
          <w:lang w:val="pt-BR"/>
        </w:rPr>
        <w:t xml:space="preserve"> a </w:t>
      </w:r>
      <w:r w:rsidR="004756C1" w:rsidRPr="002F50BD">
        <w:rPr>
          <w:rFonts w:ascii="Verdana" w:hAnsi="Verdana"/>
          <w:sz w:val="16"/>
          <w:lang w:val="pt-BR"/>
        </w:rPr>
        <w:t>negativa</w:t>
      </w:r>
      <w:r w:rsidR="0089298C" w:rsidRPr="002F50BD">
        <w:rPr>
          <w:rFonts w:ascii="Verdana" w:hAnsi="Verdana"/>
          <w:sz w:val="16"/>
          <w:lang w:val="pt-BR"/>
        </w:rPr>
        <w:t xml:space="preserve"> dos </w:t>
      </w:r>
      <w:r w:rsidR="007801FA" w:rsidRPr="002F50BD">
        <w:rPr>
          <w:rFonts w:ascii="Verdana" w:hAnsi="Verdana"/>
          <w:sz w:val="16"/>
          <w:lang w:val="pt-BR"/>
        </w:rPr>
        <w:t>proprietário</w:t>
      </w:r>
      <w:r w:rsidR="004756C1" w:rsidRPr="002F50BD">
        <w:rPr>
          <w:rFonts w:ascii="Verdana" w:hAnsi="Verdana"/>
          <w:sz w:val="16"/>
          <w:lang w:val="pt-BR"/>
        </w:rPr>
        <w:t xml:space="preserve">s para </w:t>
      </w:r>
      <w:r w:rsidR="0089298C" w:rsidRPr="002F50BD">
        <w:rPr>
          <w:rFonts w:ascii="Verdana" w:hAnsi="Verdana"/>
          <w:sz w:val="16"/>
          <w:lang w:val="pt-BR"/>
        </w:rPr>
        <w:t>oferece</w:t>
      </w:r>
      <w:r w:rsidR="004756C1" w:rsidRPr="002F50BD">
        <w:rPr>
          <w:rFonts w:ascii="Verdana" w:hAnsi="Verdana"/>
          <w:sz w:val="16"/>
          <w:lang w:val="pt-BR"/>
        </w:rPr>
        <w:t>r</w:t>
      </w:r>
      <w:r w:rsidR="0089298C" w:rsidRPr="002F50BD">
        <w:rPr>
          <w:rFonts w:ascii="Verdana" w:hAnsi="Verdana"/>
          <w:sz w:val="16"/>
          <w:lang w:val="pt-BR"/>
        </w:rPr>
        <w:t xml:space="preserve"> </w:t>
      </w:r>
      <w:r w:rsidRPr="002F50BD">
        <w:rPr>
          <w:rFonts w:ascii="Verdana" w:hAnsi="Verdana"/>
          <w:sz w:val="16"/>
          <w:lang w:val="pt-BR"/>
        </w:rPr>
        <w:t xml:space="preserve">a </w:t>
      </w:r>
      <w:r w:rsidR="004756C1" w:rsidRPr="002F50BD">
        <w:rPr>
          <w:rFonts w:ascii="Verdana" w:hAnsi="Verdana"/>
          <w:sz w:val="16"/>
          <w:lang w:val="pt-BR"/>
        </w:rPr>
        <w:t>ven</w:t>
      </w:r>
      <w:r w:rsidRPr="002F50BD">
        <w:rPr>
          <w:rFonts w:ascii="Verdana" w:hAnsi="Verdana"/>
          <w:sz w:val="16"/>
          <w:lang w:val="pt-BR"/>
        </w:rPr>
        <w:t>d</w:t>
      </w:r>
      <w:r w:rsidR="004756C1" w:rsidRPr="002F50BD">
        <w:rPr>
          <w:rFonts w:ascii="Verdana" w:hAnsi="Verdana"/>
          <w:sz w:val="16"/>
          <w:lang w:val="pt-BR"/>
        </w:rPr>
        <w:t>a f</w:t>
      </w:r>
      <w:r w:rsidRPr="002F50BD">
        <w:rPr>
          <w:rFonts w:ascii="Verdana" w:hAnsi="Verdana"/>
          <w:sz w:val="16"/>
          <w:lang w:val="pt-BR"/>
        </w:rPr>
        <w:t>o</w:t>
      </w:r>
      <w:r w:rsidR="004756C1" w:rsidRPr="002F50BD">
        <w:rPr>
          <w:rFonts w:ascii="Verdana" w:hAnsi="Verdana"/>
          <w:sz w:val="16"/>
          <w:lang w:val="pt-BR"/>
        </w:rPr>
        <w:t>r</w:t>
      </w:r>
      <w:r w:rsidRPr="002F50BD">
        <w:rPr>
          <w:rFonts w:ascii="Verdana" w:hAnsi="Verdana"/>
          <w:sz w:val="16"/>
          <w:lang w:val="pt-BR"/>
        </w:rPr>
        <w:t xml:space="preserve"> </w:t>
      </w:r>
      <w:r w:rsidR="0089298C" w:rsidRPr="002F50BD">
        <w:rPr>
          <w:rFonts w:ascii="Verdana" w:hAnsi="Verdana"/>
          <w:sz w:val="16"/>
          <w:lang w:val="pt-BR"/>
        </w:rPr>
        <w:t>manifesta</w:t>
      </w:r>
      <w:r w:rsidR="004756C1" w:rsidRPr="002F50BD">
        <w:rPr>
          <w:rFonts w:ascii="Verdana" w:hAnsi="Verdana"/>
          <w:sz w:val="16"/>
          <w:lang w:val="pt-BR"/>
        </w:rPr>
        <w:t xml:space="preserve">, para </w:t>
      </w:r>
      <w:r w:rsidR="00F93E5E" w:rsidRPr="002F50BD">
        <w:rPr>
          <w:rFonts w:ascii="Verdana" w:hAnsi="Verdana"/>
          <w:sz w:val="16"/>
          <w:lang w:val="pt-BR"/>
        </w:rPr>
        <w:t xml:space="preserve">esse </w:t>
      </w:r>
      <w:r w:rsidR="0089298C" w:rsidRPr="002F50BD">
        <w:rPr>
          <w:rFonts w:ascii="Verdana" w:hAnsi="Verdana"/>
          <w:sz w:val="16"/>
          <w:lang w:val="pt-BR"/>
        </w:rPr>
        <w:t>efeito</w:t>
      </w:r>
      <w:r w:rsidR="004756C1" w:rsidRPr="002F50BD">
        <w:rPr>
          <w:rFonts w:ascii="Verdana" w:hAnsi="Verdana"/>
          <w:sz w:val="16"/>
          <w:lang w:val="pt-BR"/>
        </w:rPr>
        <w:t xml:space="preserve"> </w:t>
      </w:r>
      <w:r w:rsidR="0089298C" w:rsidRPr="002F50BD">
        <w:rPr>
          <w:rFonts w:ascii="Verdana" w:hAnsi="Verdana"/>
          <w:sz w:val="16"/>
          <w:lang w:val="pt-BR"/>
        </w:rPr>
        <w:t>dever</w:t>
      </w:r>
      <w:r w:rsidR="004756C1" w:rsidRPr="002F50BD">
        <w:rPr>
          <w:rFonts w:ascii="Verdana" w:hAnsi="Verdana"/>
          <w:sz w:val="16"/>
          <w:lang w:val="pt-BR"/>
        </w:rPr>
        <w:t xml:space="preserve">á </w:t>
      </w:r>
      <w:r w:rsidRPr="002F50BD">
        <w:rPr>
          <w:rFonts w:ascii="Verdana" w:hAnsi="Verdana"/>
          <w:sz w:val="16"/>
          <w:lang w:val="pt-BR"/>
        </w:rPr>
        <w:t xml:space="preserve">ser constituída </w:t>
      </w:r>
      <w:r w:rsidR="0089298C" w:rsidRPr="002F50BD">
        <w:rPr>
          <w:rFonts w:ascii="Verdana" w:hAnsi="Verdana"/>
          <w:sz w:val="16"/>
          <w:lang w:val="pt-BR"/>
        </w:rPr>
        <w:t>uma comissão</w:t>
      </w:r>
      <w:r w:rsidR="004756C1" w:rsidRPr="002F50BD">
        <w:rPr>
          <w:rFonts w:ascii="Verdana" w:hAnsi="Verdana"/>
          <w:sz w:val="16"/>
          <w:lang w:val="pt-BR"/>
        </w:rPr>
        <w:t xml:space="preserve"> técnica</w:t>
      </w:r>
      <w:r w:rsidR="004756C1" w:rsidRPr="002F50BD">
        <w:rPr>
          <w:rStyle w:val="FootnoteReference"/>
          <w:rFonts w:ascii="Verdana" w:hAnsi="Verdana"/>
          <w:sz w:val="16"/>
        </w:rPr>
        <w:footnoteReference w:id="80"/>
      </w:r>
      <w:r w:rsidR="004756C1" w:rsidRPr="002F50BD">
        <w:rPr>
          <w:rFonts w:ascii="Verdana" w:hAnsi="Verdana"/>
          <w:sz w:val="16"/>
          <w:lang w:val="pt-BR"/>
        </w:rPr>
        <w:t xml:space="preserve">. </w:t>
      </w:r>
    </w:p>
    <w:p w:rsidR="004756C1" w:rsidRPr="002F50BD" w:rsidRDefault="004756C1">
      <w:pPr>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29</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D30178" w:rsidRPr="002F50BD">
        <w:rPr>
          <w:rFonts w:ascii="Verdana" w:hAnsi="Verdana"/>
          <w:sz w:val="20"/>
          <w:lang w:val="pt-BR"/>
        </w:rPr>
        <w:t>enviou</w:t>
      </w:r>
      <w:r w:rsidR="0089298C" w:rsidRPr="002F50BD">
        <w:rPr>
          <w:rFonts w:ascii="Verdana" w:hAnsi="Verdana"/>
          <w:sz w:val="20"/>
          <w:lang w:val="pt-BR"/>
        </w:rPr>
        <w:t xml:space="preserve"> uma </w:t>
      </w:r>
      <w:r w:rsidR="004756C1" w:rsidRPr="002F50BD">
        <w:rPr>
          <w:rFonts w:ascii="Verdana" w:hAnsi="Verdana"/>
          <w:sz w:val="20"/>
          <w:lang w:val="pt-BR"/>
        </w:rPr>
        <w:t>comunica</w:t>
      </w:r>
      <w:r w:rsidR="0089298C" w:rsidRPr="002F50BD">
        <w:rPr>
          <w:rFonts w:ascii="Verdana" w:hAnsi="Verdana"/>
          <w:sz w:val="20"/>
          <w:lang w:val="pt-BR"/>
        </w:rPr>
        <w:t xml:space="preserve">ção ao </w:t>
      </w:r>
      <w:r w:rsidR="008C29C9" w:rsidRPr="002F50BD">
        <w:rPr>
          <w:rFonts w:ascii="Verdana" w:hAnsi="Verdana"/>
          <w:sz w:val="20"/>
          <w:lang w:val="pt-BR"/>
        </w:rPr>
        <w:t>representante</w:t>
      </w:r>
      <w:r w:rsidR="0089298C" w:rsidRPr="002F50BD">
        <w:rPr>
          <w:rFonts w:ascii="Verdana" w:hAnsi="Verdana"/>
          <w:sz w:val="20"/>
          <w:lang w:val="pt-BR"/>
        </w:rPr>
        <w:t xml:space="preserve"> das </w:t>
      </w:r>
      <w:r w:rsidR="00D30178" w:rsidRPr="002F50BD">
        <w:rPr>
          <w:rFonts w:ascii="Verdana" w:hAnsi="Verdana"/>
          <w:sz w:val="20"/>
          <w:lang w:val="pt-BR"/>
        </w:rPr>
        <w:t xml:space="preserve">empresas </w:t>
      </w:r>
      <w:r w:rsidR="004756C1" w:rsidRPr="002F50BD">
        <w:rPr>
          <w:rFonts w:ascii="Verdana" w:hAnsi="Verdana"/>
          <w:sz w:val="20"/>
          <w:lang w:val="pt-BR"/>
        </w:rPr>
        <w:t>“Florida Agricultural Corporation”, “Livestock Capital Group INC”</w:t>
      </w:r>
      <w:r w:rsidR="0089298C" w:rsidRPr="002F50BD">
        <w:rPr>
          <w:rFonts w:ascii="Verdana" w:hAnsi="Verdana"/>
          <w:sz w:val="20"/>
          <w:lang w:val="pt-BR"/>
        </w:rPr>
        <w:t xml:space="preserve"> e </w:t>
      </w:r>
      <w:r w:rsidR="004756C1" w:rsidRPr="002F50BD">
        <w:rPr>
          <w:rFonts w:ascii="Verdana" w:hAnsi="Verdana"/>
          <w:sz w:val="20"/>
          <w:lang w:val="pt-BR"/>
        </w:rPr>
        <w:t>“Agricultural Development INC”,</w:t>
      </w:r>
      <w:r w:rsidR="0089298C" w:rsidRPr="002F50BD">
        <w:rPr>
          <w:rFonts w:ascii="Verdana" w:hAnsi="Verdana"/>
          <w:sz w:val="20"/>
          <w:lang w:val="pt-BR"/>
        </w:rPr>
        <w:t xml:space="preserve"> com o </w:t>
      </w:r>
      <w:r w:rsidR="004756C1" w:rsidRPr="002F50BD">
        <w:rPr>
          <w:rFonts w:ascii="Verdana" w:hAnsi="Verdana"/>
          <w:sz w:val="20"/>
          <w:lang w:val="pt-BR"/>
        </w:rPr>
        <w:t>propósito de solicitar</w:t>
      </w:r>
      <w:r w:rsidR="0089298C" w:rsidRPr="002F50BD">
        <w:rPr>
          <w:rFonts w:ascii="Verdana" w:hAnsi="Verdana"/>
          <w:sz w:val="20"/>
          <w:lang w:val="pt-BR"/>
        </w:rPr>
        <w:t xml:space="preserve"> a apresentação</w:t>
      </w:r>
      <w:r w:rsidR="004756C1" w:rsidRPr="002F50BD">
        <w:rPr>
          <w:rFonts w:ascii="Verdana" w:hAnsi="Verdana"/>
          <w:sz w:val="20"/>
          <w:lang w:val="pt-BR"/>
        </w:rPr>
        <w:t xml:space="preserve"> “de carta de oferta sobre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w:t>
      </w:r>
      <w:r w:rsidR="0089298C" w:rsidRPr="002F50BD">
        <w:rPr>
          <w:rFonts w:ascii="Verdana" w:hAnsi="Verdana"/>
          <w:sz w:val="20"/>
          <w:lang w:val="pt-BR"/>
        </w:rPr>
        <w:t>propriedade</w:t>
      </w:r>
      <w:r w:rsidR="004756C1" w:rsidRPr="002F50BD">
        <w:rPr>
          <w:rFonts w:ascii="Verdana" w:hAnsi="Verdana"/>
          <w:sz w:val="20"/>
          <w:lang w:val="pt-BR"/>
        </w:rPr>
        <w:t xml:space="preserve"> d[</w:t>
      </w:r>
      <w:r w:rsidR="0089298C" w:rsidRPr="002F50BD">
        <w:rPr>
          <w:rFonts w:ascii="Verdana" w:hAnsi="Verdana"/>
          <w:sz w:val="20"/>
          <w:lang w:val="pt-BR"/>
        </w:rPr>
        <w:t>esta</w:t>
      </w:r>
      <w:r w:rsidR="004756C1" w:rsidRPr="002F50BD">
        <w:rPr>
          <w:rFonts w:ascii="Verdana" w:hAnsi="Verdana"/>
          <w:sz w:val="20"/>
          <w:lang w:val="pt-BR"/>
        </w:rPr>
        <w:t>s] empresas […]</w:t>
      </w:r>
      <w:r w:rsidR="0089298C" w:rsidRPr="002F50BD">
        <w:rPr>
          <w:rFonts w:ascii="Verdana" w:hAnsi="Verdana"/>
          <w:sz w:val="20"/>
          <w:lang w:val="pt-BR"/>
        </w:rPr>
        <w:t xml:space="preserve"> e </w:t>
      </w:r>
      <w:r w:rsidR="004756C1" w:rsidRPr="002F50BD">
        <w:rPr>
          <w:rFonts w:ascii="Verdana" w:hAnsi="Verdana"/>
          <w:sz w:val="20"/>
          <w:lang w:val="pt-BR"/>
        </w:rPr>
        <w:t>reivindicadas</w:t>
      </w:r>
      <w:r w:rsidR="0089298C" w:rsidRPr="002F50BD">
        <w:rPr>
          <w:rFonts w:ascii="Verdana" w:hAnsi="Verdana"/>
          <w:sz w:val="20"/>
          <w:lang w:val="pt-BR"/>
        </w:rPr>
        <w:t xml:space="preserve"> pelo </w:t>
      </w:r>
      <w:r w:rsidR="0039684E" w:rsidRPr="002F50BD">
        <w:rPr>
          <w:rFonts w:ascii="Verdana" w:hAnsi="Verdana"/>
          <w:sz w:val="20"/>
          <w:lang w:val="pt-BR"/>
        </w:rPr>
        <w:t>Povo Enxet-Lengua</w:t>
      </w:r>
      <w:r w:rsidR="004756C1" w:rsidRPr="002F50BD">
        <w:rPr>
          <w:rFonts w:ascii="Verdana" w:hAnsi="Verdana"/>
          <w:sz w:val="20"/>
          <w:lang w:val="pt-BR"/>
        </w:rPr>
        <w:t>”</w:t>
      </w:r>
      <w:r w:rsidR="00D30178" w:rsidRPr="002F50BD">
        <w:rPr>
          <w:rFonts w:ascii="Verdana" w:hAnsi="Verdana"/>
          <w:sz w:val="20"/>
          <w:lang w:val="pt-BR"/>
        </w:rPr>
        <w:t>.</w:t>
      </w:r>
      <w:r w:rsidR="004756C1" w:rsidRPr="002F50BD">
        <w:rPr>
          <w:rStyle w:val="FootnoteReference"/>
          <w:rFonts w:ascii="Verdana" w:hAnsi="Verdana"/>
          <w:lang w:val="es-ES_tradnl"/>
        </w:rPr>
        <w:footnoteReference w:id="81"/>
      </w:r>
      <w:r w:rsidR="004756C1" w:rsidRPr="002F50BD">
        <w:rPr>
          <w:rFonts w:ascii="Verdana" w:hAnsi="Verdana"/>
          <w:sz w:val="20"/>
          <w:lang w:val="pt-BR"/>
        </w:rPr>
        <w:t xml:space="preserve"> </w:t>
      </w:r>
      <w:r w:rsidR="0089298C" w:rsidRPr="002F50BD">
        <w:rPr>
          <w:rFonts w:ascii="Verdana" w:hAnsi="Verdana"/>
          <w:sz w:val="20"/>
          <w:lang w:val="pt-BR"/>
        </w:rPr>
        <w:t>Esta</w:t>
      </w:r>
      <w:r w:rsidR="004756C1" w:rsidRPr="002F50BD">
        <w:rPr>
          <w:rFonts w:ascii="Verdana" w:hAnsi="Verdana"/>
          <w:sz w:val="20"/>
          <w:lang w:val="pt-BR"/>
        </w:rPr>
        <w:t xml:space="preserve"> comunica</w:t>
      </w:r>
      <w:r w:rsidR="0089298C" w:rsidRPr="002F50BD">
        <w:rPr>
          <w:rFonts w:ascii="Verdana" w:hAnsi="Verdana"/>
          <w:sz w:val="20"/>
          <w:lang w:val="pt-BR"/>
        </w:rPr>
        <w:t>ção</w:t>
      </w:r>
      <w:r w:rsidR="004756C1" w:rsidRPr="002F50BD">
        <w:rPr>
          <w:rFonts w:ascii="Verdana" w:hAnsi="Verdana"/>
          <w:sz w:val="20"/>
          <w:lang w:val="pt-BR"/>
        </w:rPr>
        <w:t xml:space="preserve"> </w:t>
      </w:r>
      <w:r w:rsidR="00AB454A" w:rsidRPr="002F50BD">
        <w:rPr>
          <w:rFonts w:ascii="Verdana" w:hAnsi="Verdana"/>
          <w:sz w:val="20"/>
          <w:lang w:val="pt-BR"/>
        </w:rPr>
        <w:t>não p</w:t>
      </w:r>
      <w:r w:rsidR="00D30178" w:rsidRPr="002F50BD">
        <w:rPr>
          <w:rFonts w:ascii="Verdana" w:hAnsi="Verdana"/>
          <w:sz w:val="20"/>
          <w:lang w:val="pt-BR"/>
        </w:rPr>
        <w:t>ô</w:t>
      </w:r>
      <w:r w:rsidR="00AB454A" w:rsidRPr="002F50BD">
        <w:rPr>
          <w:rFonts w:ascii="Verdana" w:hAnsi="Verdana"/>
          <w:sz w:val="20"/>
          <w:lang w:val="pt-BR"/>
        </w:rPr>
        <w:t>de</w:t>
      </w:r>
      <w:r w:rsidR="0089298C" w:rsidRPr="002F50BD">
        <w:rPr>
          <w:rFonts w:ascii="Verdana" w:hAnsi="Verdana"/>
          <w:sz w:val="20"/>
          <w:lang w:val="pt-BR"/>
        </w:rPr>
        <w:t xml:space="preserve"> </w:t>
      </w:r>
      <w:r w:rsidR="00D30178" w:rsidRPr="002F50BD">
        <w:rPr>
          <w:rFonts w:ascii="Verdana" w:hAnsi="Verdana"/>
          <w:sz w:val="20"/>
          <w:lang w:val="pt-BR"/>
        </w:rPr>
        <w:t>ser entregue</w:t>
      </w:r>
      <w:r w:rsidR="004756C1" w:rsidRPr="002F50BD">
        <w:rPr>
          <w:rFonts w:ascii="Verdana" w:hAnsi="Verdana"/>
          <w:sz w:val="20"/>
          <w:lang w:val="pt-BR"/>
        </w:rPr>
        <w:t xml:space="preserve"> a s</w:t>
      </w:r>
      <w:r w:rsidR="00D30178" w:rsidRPr="002F50BD">
        <w:rPr>
          <w:rFonts w:ascii="Verdana" w:hAnsi="Verdana"/>
          <w:sz w:val="20"/>
          <w:lang w:val="pt-BR"/>
        </w:rPr>
        <w:t>e</w:t>
      </w:r>
      <w:r w:rsidR="004756C1" w:rsidRPr="002F50BD">
        <w:rPr>
          <w:rFonts w:ascii="Verdana" w:hAnsi="Verdana"/>
          <w:sz w:val="20"/>
          <w:lang w:val="pt-BR"/>
        </w:rPr>
        <w:t>u destinat</w:t>
      </w:r>
      <w:r w:rsidR="00D30178" w:rsidRPr="002F50BD">
        <w:rPr>
          <w:rFonts w:ascii="Verdana" w:hAnsi="Verdana"/>
          <w:sz w:val="20"/>
          <w:lang w:val="pt-BR"/>
        </w:rPr>
        <w:t>á</w:t>
      </w:r>
      <w:r w:rsidR="004756C1" w:rsidRPr="002F50BD">
        <w:rPr>
          <w:rFonts w:ascii="Verdana" w:hAnsi="Verdana"/>
          <w:sz w:val="20"/>
          <w:lang w:val="pt-BR"/>
        </w:rPr>
        <w:t xml:space="preserve">rio.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44</w:t>
      </w:r>
      <w:r w:rsidR="004756C1" w:rsidRPr="002F50BD">
        <w:rPr>
          <w:rFonts w:ascii="Verdana" w:hAnsi="Verdana"/>
          <w:sz w:val="20"/>
          <w:lang w:val="pt-BR"/>
        </w:rPr>
        <w:t>.</w:t>
      </w:r>
      <w:r w:rsidR="004756C1" w:rsidRPr="002F50BD">
        <w:rPr>
          <w:rFonts w:ascii="Verdana" w:hAnsi="Verdana"/>
          <w:sz w:val="20"/>
          <w:lang w:val="pt-BR"/>
        </w:rPr>
        <w:tab/>
      </w:r>
      <w:r w:rsidR="00D30178" w:rsidRPr="002F50BD">
        <w:rPr>
          <w:rFonts w:ascii="Verdana" w:hAnsi="Verdana"/>
          <w:sz w:val="20"/>
          <w:lang w:val="pt-BR"/>
        </w:rPr>
        <w:t>No</w:t>
      </w:r>
      <w:r w:rsidR="00AB6727" w:rsidRPr="002F50BD">
        <w:rPr>
          <w:rFonts w:ascii="Verdana" w:hAnsi="Verdana"/>
          <w:sz w:val="20"/>
          <w:lang w:val="pt-BR"/>
        </w:rPr>
        <w:t xml:space="preserve">s </w:t>
      </w:r>
      <w:r w:rsidR="0089298C"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23</w:t>
      </w:r>
      <w:r w:rsidR="004756C1" w:rsidRPr="002F50BD">
        <w:rPr>
          <w:rFonts w:ascii="Verdana" w:hAnsi="Verdana"/>
          <w:sz w:val="20"/>
          <w:lang w:val="pt-BR"/>
        </w:rPr>
        <w:t xml:space="preserve"> de agosto, </w:t>
      </w:r>
      <w:r w:rsidRPr="002F50BD">
        <w:rPr>
          <w:rFonts w:ascii="Verdana" w:hAnsi="Verdana"/>
          <w:sz w:val="20"/>
          <w:lang w:val="pt-BR"/>
        </w:rPr>
        <w:t>8</w:t>
      </w:r>
      <w:r w:rsidR="0089298C" w:rsidRPr="002F50BD">
        <w:rPr>
          <w:rFonts w:ascii="Verdana" w:hAnsi="Verdana"/>
          <w:sz w:val="20"/>
          <w:lang w:val="pt-BR"/>
        </w:rPr>
        <w:t xml:space="preserve"> e </w:t>
      </w:r>
      <w:r w:rsidRPr="002F50BD">
        <w:rPr>
          <w:rFonts w:ascii="Verdana" w:hAnsi="Verdana"/>
          <w:sz w:val="20"/>
          <w:lang w:val="pt-BR"/>
        </w:rPr>
        <w:t>22</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w:t>
      </w:r>
      <w:r w:rsidRPr="002F50BD">
        <w:rPr>
          <w:rFonts w:ascii="Verdana" w:hAnsi="Verdana"/>
          <w:sz w:val="20"/>
          <w:lang w:val="pt-BR"/>
        </w:rPr>
        <w:t>7</w:t>
      </w:r>
      <w:r w:rsidR="004756C1" w:rsidRPr="002F50BD">
        <w:rPr>
          <w:rFonts w:ascii="Verdana" w:hAnsi="Verdana"/>
          <w:sz w:val="20"/>
          <w:lang w:val="pt-BR"/>
        </w:rPr>
        <w:t xml:space="preserve"> de </w:t>
      </w:r>
      <w:r w:rsidR="0089298C" w:rsidRPr="002F50BD">
        <w:rPr>
          <w:rFonts w:ascii="Verdana" w:hAnsi="Verdana"/>
          <w:sz w:val="20"/>
          <w:lang w:val="pt-BR"/>
        </w:rPr>
        <w:t xml:space="preserve">outubro e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1999</w:t>
      </w:r>
      <w:r w:rsidR="0089298C" w:rsidRPr="002F50BD">
        <w:rPr>
          <w:rFonts w:ascii="Verdana" w:hAnsi="Verdana"/>
          <w:sz w:val="20"/>
          <w:lang w:val="pt-BR"/>
        </w:rPr>
        <w:t>, e</w:t>
      </w:r>
      <w:r w:rsidR="004756C1" w:rsidRPr="002F50BD">
        <w:rPr>
          <w:rFonts w:ascii="Verdana" w:hAnsi="Verdana"/>
          <w:sz w:val="20"/>
          <w:lang w:val="pt-BR"/>
        </w:rPr>
        <w:t xml:space="preserve"> </w:t>
      </w:r>
      <w:r w:rsidRPr="002F50BD">
        <w:rPr>
          <w:rFonts w:ascii="Verdana" w:hAnsi="Verdana"/>
          <w:sz w:val="20"/>
          <w:lang w:val="pt-BR"/>
        </w:rPr>
        <w:t>29</w:t>
      </w:r>
      <w:r w:rsidR="004756C1" w:rsidRPr="002F50BD">
        <w:rPr>
          <w:rFonts w:ascii="Verdana" w:hAnsi="Verdana"/>
          <w:sz w:val="20"/>
          <w:lang w:val="pt-BR"/>
        </w:rPr>
        <w:t xml:space="preserve"> de </w:t>
      </w:r>
      <w:r w:rsidR="0089298C" w:rsidRPr="002F50BD">
        <w:rPr>
          <w:rFonts w:ascii="Verdana" w:hAnsi="Verdana"/>
          <w:sz w:val="20"/>
          <w:lang w:val="pt-BR"/>
        </w:rPr>
        <w:t xml:space="preserve">fevereiro e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2000</w:t>
      </w:r>
      <w:r w:rsidR="00194CF3" w:rsidRPr="002F50BD">
        <w:rPr>
          <w:rFonts w:ascii="Verdana" w:hAnsi="Verdana"/>
          <w:sz w:val="20"/>
          <w:lang w:val="pt-BR"/>
        </w:rPr>
        <w:t>,</w:t>
      </w:r>
      <w:r w:rsidR="0089298C" w:rsidRPr="002F50BD">
        <w:rPr>
          <w:rFonts w:ascii="Verdana" w:hAnsi="Verdana"/>
          <w:sz w:val="20"/>
          <w:lang w:val="pt-BR"/>
        </w:rPr>
        <w:t xml:space="preserve"> as </w:t>
      </w:r>
      <w:bookmarkStart w:id="38" w:name="OLE_LINK1"/>
      <w:r w:rsidR="00D30178" w:rsidRPr="002F50BD">
        <w:rPr>
          <w:rFonts w:ascii="Verdana" w:hAnsi="Verdana"/>
          <w:sz w:val="20"/>
          <w:lang w:val="pt-BR"/>
        </w:rPr>
        <w:t xml:space="preserve">empresas </w:t>
      </w:r>
      <w:r w:rsidR="004756C1" w:rsidRPr="002F50BD">
        <w:rPr>
          <w:rFonts w:ascii="Verdana" w:hAnsi="Verdana"/>
          <w:sz w:val="20"/>
          <w:lang w:val="pt-BR"/>
        </w:rPr>
        <w:t>“Florida Agricultural Corporation”, “Livestock Capital Group INC”</w:t>
      </w:r>
      <w:r w:rsidR="0089298C" w:rsidRPr="002F50BD">
        <w:rPr>
          <w:rFonts w:ascii="Verdana" w:hAnsi="Verdana"/>
          <w:sz w:val="20"/>
          <w:lang w:val="pt-BR"/>
        </w:rPr>
        <w:t xml:space="preserve"> e </w:t>
      </w:r>
      <w:r w:rsidR="004756C1" w:rsidRPr="002F50BD">
        <w:rPr>
          <w:rFonts w:ascii="Verdana" w:hAnsi="Verdana"/>
          <w:sz w:val="20"/>
          <w:lang w:val="pt-BR"/>
        </w:rPr>
        <w:t xml:space="preserve">“Agricultural Development INC”, por </w:t>
      </w:r>
      <w:r w:rsidR="0089298C" w:rsidRPr="002F50BD">
        <w:rPr>
          <w:rFonts w:ascii="Verdana" w:hAnsi="Verdana"/>
          <w:sz w:val="20"/>
          <w:lang w:val="pt-BR"/>
        </w:rPr>
        <w:t xml:space="preserve">meio </w:t>
      </w:r>
      <w:r w:rsidR="004756C1" w:rsidRPr="002F50BD">
        <w:rPr>
          <w:rFonts w:ascii="Verdana" w:hAnsi="Verdana"/>
          <w:sz w:val="20"/>
          <w:lang w:val="pt-BR"/>
        </w:rPr>
        <w:t>de s</w:t>
      </w:r>
      <w:r w:rsidR="00D30178" w:rsidRPr="002F50BD">
        <w:rPr>
          <w:rFonts w:ascii="Verdana" w:hAnsi="Verdana"/>
          <w:sz w:val="20"/>
          <w:lang w:val="pt-BR"/>
        </w:rPr>
        <w:t>e</w:t>
      </w:r>
      <w:r w:rsidR="004756C1" w:rsidRPr="002F50BD">
        <w:rPr>
          <w:rFonts w:ascii="Verdana" w:hAnsi="Verdana"/>
          <w:sz w:val="20"/>
          <w:lang w:val="pt-BR"/>
        </w:rPr>
        <w:t xml:space="preserve">u </w:t>
      </w:r>
      <w:r w:rsidR="0089298C" w:rsidRPr="002F50BD">
        <w:rPr>
          <w:rFonts w:ascii="Verdana" w:hAnsi="Verdana"/>
          <w:sz w:val="20"/>
          <w:lang w:val="pt-BR"/>
        </w:rPr>
        <w:t>advogad</w:t>
      </w:r>
      <w:r w:rsidR="004756C1" w:rsidRPr="002F50BD">
        <w:rPr>
          <w:rFonts w:ascii="Verdana" w:hAnsi="Verdana"/>
          <w:sz w:val="20"/>
          <w:lang w:val="pt-BR"/>
        </w:rPr>
        <w:t>o</w:t>
      </w:r>
      <w:bookmarkEnd w:id="38"/>
      <w:r w:rsidR="004756C1" w:rsidRPr="002F50BD">
        <w:rPr>
          <w:rFonts w:ascii="Verdana" w:hAnsi="Verdana"/>
          <w:sz w:val="20"/>
          <w:lang w:val="pt-BR"/>
        </w:rPr>
        <w:t xml:space="preserve">, </w:t>
      </w:r>
      <w:r w:rsidR="0022481E" w:rsidRPr="002F50BD">
        <w:rPr>
          <w:rFonts w:ascii="Verdana" w:hAnsi="Verdana"/>
          <w:sz w:val="20"/>
          <w:lang w:val="pt-BR"/>
        </w:rPr>
        <w:t>reiteraram</w:t>
      </w:r>
      <w:r w:rsidR="004756C1" w:rsidRPr="002F50BD">
        <w:rPr>
          <w:rFonts w:ascii="Verdana" w:hAnsi="Verdana"/>
          <w:sz w:val="20"/>
          <w:lang w:val="pt-BR"/>
        </w:rPr>
        <w:t xml:space="preserve"> que </w:t>
      </w:r>
      <w:r w:rsidR="0089298C" w:rsidRPr="002F50BD">
        <w:rPr>
          <w:rFonts w:ascii="Verdana" w:hAnsi="Verdana"/>
          <w:sz w:val="20"/>
          <w:lang w:val="pt-BR"/>
        </w:rPr>
        <w:t xml:space="preserve">não possuem interesse </w:t>
      </w:r>
      <w:r w:rsidR="00D30178" w:rsidRPr="002F50BD">
        <w:rPr>
          <w:rFonts w:ascii="Verdana" w:hAnsi="Verdana"/>
          <w:sz w:val="20"/>
          <w:lang w:val="pt-BR"/>
        </w:rPr>
        <w:t>em</w:t>
      </w:r>
      <w:r w:rsidR="004756C1" w:rsidRPr="002F50BD">
        <w:rPr>
          <w:rFonts w:ascii="Verdana" w:hAnsi="Verdana"/>
          <w:sz w:val="20"/>
          <w:lang w:val="pt-BR"/>
        </w:rPr>
        <w:t xml:space="preserve"> negociar</w:t>
      </w:r>
      <w:r w:rsidR="0089298C" w:rsidRPr="002F50BD">
        <w:rPr>
          <w:rFonts w:ascii="Verdana" w:hAnsi="Verdana"/>
          <w:sz w:val="20"/>
          <w:lang w:val="pt-BR"/>
        </w:rPr>
        <w:t xml:space="preserve"> a </w:t>
      </w:r>
      <w:r w:rsidR="004756C1" w:rsidRPr="002F50BD">
        <w:rPr>
          <w:rFonts w:ascii="Verdana" w:hAnsi="Verdana"/>
          <w:sz w:val="20"/>
          <w:lang w:val="pt-BR"/>
        </w:rPr>
        <w:t>ven</w:t>
      </w:r>
      <w:r w:rsidR="00D30178" w:rsidRPr="002F50BD">
        <w:rPr>
          <w:rFonts w:ascii="Verdana" w:hAnsi="Verdana"/>
          <w:sz w:val="20"/>
          <w:lang w:val="pt-BR"/>
        </w:rPr>
        <w:t>d</w:t>
      </w:r>
      <w:r w:rsidR="004756C1" w:rsidRPr="002F50BD">
        <w:rPr>
          <w:rFonts w:ascii="Verdana" w:hAnsi="Verdana"/>
          <w:sz w:val="20"/>
          <w:lang w:val="pt-BR"/>
        </w:rPr>
        <w:t xml:space="preserve">a </w:t>
      </w:r>
      <w:r w:rsidR="0089298C" w:rsidRPr="002F50BD">
        <w:rPr>
          <w:rFonts w:ascii="Verdana" w:hAnsi="Verdana"/>
          <w:sz w:val="20"/>
          <w:lang w:val="pt-BR"/>
        </w:rPr>
        <w:t xml:space="preserve">do território e solicitaram ao </w:t>
      </w:r>
      <w:r w:rsidR="004756C1" w:rsidRPr="002F50BD">
        <w:rPr>
          <w:rFonts w:ascii="Verdana" w:hAnsi="Verdana"/>
          <w:sz w:val="20"/>
          <w:lang w:val="pt-BR"/>
        </w:rPr>
        <w:t>INDI</w:t>
      </w:r>
      <w:r w:rsidR="0089298C" w:rsidRPr="002F50BD">
        <w:rPr>
          <w:rFonts w:ascii="Verdana" w:hAnsi="Verdana"/>
          <w:sz w:val="20"/>
          <w:lang w:val="pt-BR"/>
        </w:rPr>
        <w:t xml:space="preserve"> um pronunciamento</w:t>
      </w:r>
      <w:r w:rsidR="004756C1" w:rsidRPr="002F50BD">
        <w:rPr>
          <w:rFonts w:ascii="Verdana" w:hAnsi="Verdana"/>
          <w:sz w:val="20"/>
          <w:lang w:val="pt-BR"/>
        </w:rPr>
        <w:t xml:space="preserve"> sobre este </w:t>
      </w:r>
      <w:r w:rsidR="0089298C" w:rsidRPr="002F50BD">
        <w:rPr>
          <w:rFonts w:ascii="Verdana" w:hAnsi="Verdana"/>
          <w:sz w:val="20"/>
          <w:lang w:val="pt-BR"/>
        </w:rPr>
        <w:t>assunto</w:t>
      </w:r>
      <w:r w:rsidR="00D30178" w:rsidRPr="002F50BD">
        <w:rPr>
          <w:rFonts w:ascii="Verdana" w:hAnsi="Verdana"/>
          <w:sz w:val="20"/>
          <w:lang w:val="pt-BR"/>
        </w:rPr>
        <w:t>.</w:t>
      </w:r>
      <w:r w:rsidR="004756C1" w:rsidRPr="002F50BD">
        <w:rPr>
          <w:rStyle w:val="FootnoteReference"/>
          <w:rFonts w:ascii="Verdana" w:hAnsi="Verdana"/>
          <w:lang w:val="es-ES_tradnl"/>
        </w:rPr>
        <w:footnoteReference w:id="82"/>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45</w:t>
      </w:r>
      <w:r w:rsidR="004756C1" w:rsidRPr="002F50BD">
        <w:rPr>
          <w:rFonts w:ascii="Verdana" w:hAnsi="Verdana"/>
          <w:sz w:val="20"/>
          <w:lang w:val="pt-BR"/>
        </w:rPr>
        <w:t>.</w:t>
      </w:r>
      <w:r w:rsidR="004756C1" w:rsidRPr="002F50BD">
        <w:rPr>
          <w:rFonts w:ascii="Verdana" w:hAnsi="Verdana"/>
          <w:sz w:val="20"/>
          <w:lang w:val="pt-BR"/>
        </w:rPr>
        <w:tab/>
      </w:r>
      <w:r w:rsidR="00EC5F20" w:rsidRPr="002F50BD">
        <w:rPr>
          <w:rFonts w:ascii="Verdana" w:hAnsi="Verdana"/>
          <w:sz w:val="20"/>
          <w:lang w:val="pt-BR"/>
        </w:rPr>
        <w:t>Diante dessa situação</w:t>
      </w:r>
      <w:r w:rsidR="004756C1" w:rsidRPr="002F50BD">
        <w:rPr>
          <w:rFonts w:ascii="Verdana" w:hAnsi="Verdana"/>
          <w:sz w:val="20"/>
          <w:lang w:val="pt-BR"/>
        </w:rPr>
        <w:t>,</w:t>
      </w:r>
      <w:r w:rsidR="0089298C" w:rsidRPr="002F50BD">
        <w:rPr>
          <w:rFonts w:ascii="Verdana" w:hAnsi="Verdana"/>
          <w:sz w:val="20"/>
          <w:lang w:val="pt-BR"/>
        </w:rPr>
        <w:t xml:space="preserve"> os advogad</w:t>
      </w:r>
      <w:r w:rsidR="004756C1" w:rsidRPr="002F50BD">
        <w:rPr>
          <w:rFonts w:ascii="Verdana" w:hAnsi="Verdana"/>
          <w:sz w:val="20"/>
          <w:lang w:val="pt-BR"/>
        </w:rPr>
        <w:t>os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solicitaram ao </w:t>
      </w:r>
      <w:r w:rsidR="004756C1" w:rsidRPr="002F50BD">
        <w:rPr>
          <w:rFonts w:ascii="Verdana" w:hAnsi="Verdana"/>
          <w:sz w:val="20"/>
          <w:lang w:val="pt-BR"/>
        </w:rPr>
        <w:t>INDI que se pronunci</w:t>
      </w:r>
      <w:r w:rsidR="00D30178" w:rsidRPr="002F50BD">
        <w:rPr>
          <w:rFonts w:ascii="Verdana" w:hAnsi="Verdana"/>
          <w:sz w:val="20"/>
          <w:lang w:val="pt-BR"/>
        </w:rPr>
        <w:t>asse</w:t>
      </w:r>
      <w:r w:rsidR="004756C1" w:rsidRPr="002F50BD">
        <w:rPr>
          <w:rFonts w:ascii="Verdana" w:hAnsi="Verdana"/>
          <w:sz w:val="20"/>
          <w:lang w:val="pt-BR"/>
        </w:rPr>
        <w:t xml:space="preserve"> “a favor</w:t>
      </w:r>
      <w:r w:rsidR="0089298C" w:rsidRPr="002F50BD">
        <w:rPr>
          <w:rFonts w:ascii="Verdana" w:hAnsi="Verdana"/>
          <w:sz w:val="20"/>
          <w:lang w:val="pt-BR"/>
        </w:rPr>
        <w:t xml:space="preserve"> da </w:t>
      </w:r>
      <w:r w:rsidR="004756C1" w:rsidRPr="002F50BD">
        <w:rPr>
          <w:rFonts w:ascii="Verdana" w:hAnsi="Verdana"/>
          <w:sz w:val="20"/>
          <w:lang w:val="pt-BR"/>
        </w:rPr>
        <w:t>reivindica</w:t>
      </w:r>
      <w:r w:rsidR="0089298C" w:rsidRPr="002F50BD">
        <w:rPr>
          <w:rFonts w:ascii="Verdana" w:hAnsi="Verdana"/>
          <w:sz w:val="20"/>
          <w:lang w:val="pt-BR"/>
        </w:rPr>
        <w:t xml:space="preserve">ção da Comunidade </w:t>
      </w:r>
      <w:r w:rsidR="004756C1" w:rsidRPr="002F50BD">
        <w:rPr>
          <w:rFonts w:ascii="Verdana" w:hAnsi="Verdana"/>
          <w:sz w:val="20"/>
          <w:lang w:val="pt-BR"/>
        </w:rPr>
        <w:t>Yakye Axa, declarando</w:t>
      </w:r>
      <w:r w:rsidR="0089298C" w:rsidRPr="002F50BD">
        <w:rPr>
          <w:rFonts w:ascii="Verdana" w:hAnsi="Verdana"/>
          <w:sz w:val="20"/>
          <w:lang w:val="pt-BR"/>
        </w:rPr>
        <w:t xml:space="preserve"> as terra</w:t>
      </w:r>
      <w:r w:rsidR="004756C1" w:rsidRPr="002F50BD">
        <w:rPr>
          <w:rFonts w:ascii="Verdana" w:hAnsi="Verdana"/>
          <w:sz w:val="20"/>
          <w:lang w:val="pt-BR"/>
        </w:rPr>
        <w:t>s peticionadas</w:t>
      </w:r>
      <w:r w:rsidR="0089298C" w:rsidRPr="002F50BD">
        <w:rPr>
          <w:rFonts w:ascii="Verdana" w:hAnsi="Verdana"/>
          <w:sz w:val="20"/>
          <w:lang w:val="pt-BR"/>
        </w:rPr>
        <w:t xml:space="preserve"> pela mesm</w:t>
      </w:r>
      <w:r w:rsidR="004756C1" w:rsidRPr="002F50BD">
        <w:rPr>
          <w:rFonts w:ascii="Verdana" w:hAnsi="Verdana"/>
          <w:sz w:val="20"/>
          <w:lang w:val="pt-BR"/>
        </w:rPr>
        <w:t xml:space="preserve">a como parte de </w:t>
      </w:r>
      <w:r w:rsidR="00DB51F0" w:rsidRPr="002F50BD">
        <w:rPr>
          <w:rFonts w:ascii="Verdana" w:hAnsi="Verdana"/>
          <w:sz w:val="20"/>
          <w:lang w:val="pt-BR"/>
        </w:rPr>
        <w:t>seu habitat</w:t>
      </w:r>
      <w:r w:rsidR="004756C1" w:rsidRPr="002F50BD">
        <w:rPr>
          <w:rFonts w:ascii="Verdana" w:hAnsi="Verdana"/>
          <w:sz w:val="20"/>
          <w:lang w:val="pt-BR"/>
        </w:rPr>
        <w:t xml:space="preserve"> ancestral, </w:t>
      </w:r>
      <w:r w:rsidR="0089298C" w:rsidRPr="002F50BD">
        <w:rPr>
          <w:rFonts w:ascii="Verdana" w:hAnsi="Verdana"/>
          <w:sz w:val="20"/>
          <w:lang w:val="pt-BR"/>
        </w:rPr>
        <w:t>sujeita</w:t>
      </w:r>
      <w:r w:rsidR="004756C1" w:rsidRPr="002F50BD">
        <w:rPr>
          <w:rFonts w:ascii="Verdana" w:hAnsi="Verdana"/>
          <w:sz w:val="20"/>
          <w:lang w:val="pt-BR"/>
        </w:rPr>
        <w:t>s a ser</w:t>
      </w:r>
      <w:r w:rsidR="00D30178" w:rsidRPr="002F50BD">
        <w:rPr>
          <w:rFonts w:ascii="Verdana" w:hAnsi="Verdana"/>
          <w:sz w:val="20"/>
          <w:lang w:val="pt-BR"/>
        </w:rPr>
        <w:t>em</w:t>
      </w:r>
      <w:r w:rsidR="004756C1" w:rsidRPr="002F50BD">
        <w:rPr>
          <w:rFonts w:ascii="Verdana" w:hAnsi="Verdana"/>
          <w:sz w:val="20"/>
          <w:lang w:val="pt-BR"/>
        </w:rPr>
        <w:t xml:space="preserve"> </w:t>
      </w:r>
      <w:r w:rsidR="00EC5F20" w:rsidRPr="002F50BD">
        <w:rPr>
          <w:rFonts w:ascii="Verdana" w:hAnsi="Verdana"/>
          <w:sz w:val="20"/>
          <w:lang w:val="pt-BR"/>
        </w:rPr>
        <w:t xml:space="preserve">restituídas </w:t>
      </w:r>
      <w:r w:rsidR="004756C1" w:rsidRPr="002F50BD">
        <w:rPr>
          <w:rFonts w:ascii="Verdana" w:hAnsi="Verdana"/>
          <w:sz w:val="20"/>
          <w:lang w:val="pt-BR"/>
        </w:rPr>
        <w:t xml:space="preserve">por parte </w:t>
      </w:r>
      <w:r w:rsidR="0089298C" w:rsidRPr="002F50BD">
        <w:rPr>
          <w:rFonts w:ascii="Verdana" w:hAnsi="Verdana"/>
          <w:sz w:val="20"/>
          <w:lang w:val="pt-BR"/>
        </w:rPr>
        <w:t xml:space="preserve">do </w:t>
      </w:r>
      <w:r w:rsidR="004756C1" w:rsidRPr="002F50BD">
        <w:rPr>
          <w:rFonts w:ascii="Verdana" w:hAnsi="Verdana"/>
          <w:sz w:val="20"/>
          <w:lang w:val="pt-BR"/>
        </w:rPr>
        <w:t xml:space="preserve">Estado por </w:t>
      </w:r>
      <w:r w:rsidR="00DB51F0" w:rsidRPr="002F50BD">
        <w:rPr>
          <w:rFonts w:ascii="Verdana" w:hAnsi="Verdana"/>
          <w:sz w:val="20"/>
          <w:lang w:val="pt-BR"/>
        </w:rPr>
        <w:t>expropriação</w:t>
      </w:r>
      <w:r w:rsidR="004756C1" w:rsidRPr="002F50BD">
        <w:rPr>
          <w:rFonts w:ascii="Verdana" w:hAnsi="Verdana"/>
          <w:sz w:val="20"/>
          <w:lang w:val="pt-BR"/>
        </w:rPr>
        <w:t>,</w:t>
      </w:r>
      <w:r w:rsidR="0089298C" w:rsidRPr="002F50BD">
        <w:rPr>
          <w:rFonts w:ascii="Verdana" w:hAnsi="Verdana"/>
          <w:sz w:val="20"/>
          <w:lang w:val="pt-BR"/>
        </w:rPr>
        <w:t xml:space="preserve"> sem </w:t>
      </w:r>
      <w:r w:rsidR="00D30178" w:rsidRPr="002F50BD">
        <w:rPr>
          <w:rFonts w:ascii="Verdana" w:hAnsi="Verdana"/>
          <w:sz w:val="20"/>
          <w:lang w:val="pt-BR"/>
        </w:rPr>
        <w:t xml:space="preserve">prejuízo </w:t>
      </w:r>
      <w:r w:rsidR="0089298C" w:rsidRPr="002F50BD">
        <w:rPr>
          <w:rFonts w:ascii="Verdana" w:hAnsi="Verdana"/>
          <w:sz w:val="20"/>
          <w:lang w:val="pt-BR"/>
        </w:rPr>
        <w:t>do direito da Comunidad</w:t>
      </w:r>
      <w:r w:rsidR="00D30178" w:rsidRPr="002F50BD">
        <w:rPr>
          <w:rFonts w:ascii="Verdana" w:hAnsi="Verdana"/>
          <w:sz w:val="20"/>
          <w:lang w:val="pt-BR"/>
        </w:rPr>
        <w:t>e a</w:t>
      </w:r>
      <w:r w:rsidR="0089298C" w:rsidRPr="002F50BD">
        <w:rPr>
          <w:rFonts w:ascii="Verdana" w:hAnsi="Verdana"/>
          <w:sz w:val="20"/>
          <w:lang w:val="pt-BR"/>
        </w:rPr>
        <w:t xml:space="preserve"> uma </w:t>
      </w:r>
      <w:r w:rsidR="004756C1" w:rsidRPr="002F50BD">
        <w:rPr>
          <w:rFonts w:ascii="Verdana" w:hAnsi="Verdana"/>
          <w:sz w:val="20"/>
          <w:lang w:val="pt-BR"/>
        </w:rPr>
        <w:t xml:space="preserve">justa </w:t>
      </w:r>
      <w:r w:rsidR="0089298C" w:rsidRPr="002F50BD">
        <w:rPr>
          <w:rFonts w:ascii="Verdana" w:hAnsi="Verdana"/>
          <w:sz w:val="20"/>
          <w:lang w:val="pt-BR"/>
        </w:rPr>
        <w:t>indenização</w:t>
      </w:r>
      <w:r w:rsidR="004756C1" w:rsidRPr="002F50BD">
        <w:rPr>
          <w:rFonts w:ascii="Verdana" w:hAnsi="Verdana"/>
          <w:sz w:val="20"/>
          <w:lang w:val="pt-BR"/>
        </w:rPr>
        <w:t>”</w:t>
      </w:r>
      <w:r w:rsidR="00D30178" w:rsidRPr="002F50BD">
        <w:rPr>
          <w:rFonts w:ascii="Verdana" w:hAnsi="Verdana"/>
          <w:sz w:val="20"/>
          <w:lang w:val="pt-BR"/>
        </w:rPr>
        <w:t>.</w:t>
      </w:r>
      <w:r w:rsidR="004756C1" w:rsidRPr="002F50BD">
        <w:rPr>
          <w:rStyle w:val="FootnoteReference"/>
          <w:rFonts w:ascii="Verdana" w:hAnsi="Verdana"/>
          <w:lang w:val="es-ES_tradnl"/>
        </w:rPr>
        <w:footnoteReference w:id="83"/>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23</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D30178" w:rsidRPr="002F50BD">
        <w:rPr>
          <w:rFonts w:ascii="Verdana" w:hAnsi="Verdana"/>
          <w:sz w:val="20"/>
          <w:lang w:val="pt-BR"/>
        </w:rPr>
        <w:t xml:space="preserve">enviou </w:t>
      </w:r>
      <w:r w:rsidR="0089298C" w:rsidRPr="002F50BD">
        <w:rPr>
          <w:rFonts w:ascii="Verdana" w:hAnsi="Verdana"/>
          <w:sz w:val="20"/>
          <w:lang w:val="pt-BR"/>
        </w:rPr>
        <w:t xml:space="preserve">ao </w:t>
      </w:r>
      <w:r w:rsidR="004756C1" w:rsidRPr="002F50BD">
        <w:rPr>
          <w:rFonts w:ascii="Verdana" w:hAnsi="Verdana"/>
          <w:sz w:val="20"/>
          <w:lang w:val="pt-BR"/>
        </w:rPr>
        <w:t>IBR</w:t>
      </w:r>
      <w:r w:rsidR="0089298C" w:rsidRPr="002F50BD">
        <w:rPr>
          <w:rFonts w:ascii="Verdana" w:hAnsi="Verdana"/>
          <w:sz w:val="20"/>
          <w:lang w:val="pt-BR"/>
        </w:rPr>
        <w:t xml:space="preserve"> 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4756C1" w:rsidRPr="002F50BD">
        <w:rPr>
          <w:rFonts w:ascii="Verdana" w:hAnsi="Verdana"/>
          <w:sz w:val="20"/>
          <w:lang w:val="pt-BR"/>
        </w:rPr>
        <w:t>, relativo</w:t>
      </w:r>
      <w:r w:rsidR="0089298C" w:rsidRPr="002F50BD">
        <w:rPr>
          <w:rFonts w:ascii="Verdana" w:hAnsi="Verdana"/>
          <w:sz w:val="20"/>
          <w:lang w:val="pt-BR"/>
        </w:rPr>
        <w:t xml:space="preserve"> </w:t>
      </w:r>
      <w:r w:rsidR="00EC5F20" w:rsidRPr="002F50BD">
        <w:rPr>
          <w:rFonts w:ascii="Verdana" w:hAnsi="Verdana"/>
          <w:sz w:val="20"/>
          <w:lang w:val="pt-BR"/>
        </w:rPr>
        <w:t>ao pedido</w:t>
      </w:r>
      <w:r w:rsidR="0089298C" w:rsidRPr="002F50BD">
        <w:rPr>
          <w:rFonts w:ascii="Verdana" w:hAnsi="Verdana"/>
          <w:sz w:val="20"/>
          <w:lang w:val="pt-BR"/>
        </w:rPr>
        <w:t xml:space="preserve"> </w:t>
      </w:r>
      <w:r w:rsidR="004756C1" w:rsidRPr="002F50BD">
        <w:rPr>
          <w:rFonts w:ascii="Verdana" w:hAnsi="Verdana"/>
          <w:sz w:val="20"/>
          <w:lang w:val="pt-BR"/>
        </w:rPr>
        <w:t>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 xml:space="preserve">território 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de acordo com </w:t>
      </w:r>
      <w:r w:rsidR="004756C1" w:rsidRPr="002F50BD">
        <w:rPr>
          <w:rFonts w:ascii="Verdana" w:hAnsi="Verdana"/>
          <w:sz w:val="20"/>
          <w:lang w:val="pt-BR"/>
        </w:rPr>
        <w:t xml:space="preserve">o </w:t>
      </w:r>
      <w:r w:rsidR="006B05AB" w:rsidRPr="002F50BD">
        <w:rPr>
          <w:rFonts w:ascii="Verdana" w:hAnsi="Verdana"/>
          <w:sz w:val="20"/>
          <w:lang w:val="pt-BR"/>
        </w:rPr>
        <w:t xml:space="preserve">decidido </w:t>
      </w:r>
      <w:r w:rsidR="0089298C" w:rsidRPr="002F50BD">
        <w:rPr>
          <w:rFonts w:ascii="Verdana" w:hAnsi="Verdana"/>
          <w:sz w:val="20"/>
          <w:lang w:val="pt-BR"/>
        </w:rPr>
        <w:t>pelo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INDI</w:t>
      </w:r>
      <w:r w:rsidR="0089298C" w:rsidRPr="002F50BD">
        <w:rPr>
          <w:rFonts w:ascii="Verdana" w:hAnsi="Verdana"/>
          <w:sz w:val="20"/>
          <w:lang w:val="pt-BR"/>
        </w:rPr>
        <w:t xml:space="preserve"> em sessão</w:t>
      </w:r>
      <w:r w:rsidR="004756C1" w:rsidRPr="002F50BD">
        <w:rPr>
          <w:rFonts w:ascii="Verdana" w:hAnsi="Verdana"/>
          <w:sz w:val="20"/>
          <w:lang w:val="pt-BR"/>
        </w:rPr>
        <w:t xml:space="preserve"> </w:t>
      </w:r>
      <w:r w:rsidR="0089298C" w:rsidRPr="002F50BD">
        <w:rPr>
          <w:rFonts w:ascii="Verdana" w:hAnsi="Verdana"/>
          <w:sz w:val="20"/>
          <w:lang w:val="pt-BR"/>
        </w:rPr>
        <w:t>ordinári</w:t>
      </w:r>
      <w:r w:rsidR="004756C1" w:rsidRPr="002F50BD">
        <w:rPr>
          <w:rFonts w:ascii="Verdana" w:hAnsi="Verdana"/>
          <w:sz w:val="20"/>
          <w:lang w:val="pt-BR"/>
        </w:rPr>
        <w:t xml:space="preserve">a de </w:t>
      </w:r>
      <w:r w:rsidRPr="002F50BD">
        <w:rPr>
          <w:rFonts w:ascii="Verdana" w:hAnsi="Verdana"/>
          <w:sz w:val="20"/>
          <w:lang w:val="pt-BR"/>
        </w:rPr>
        <w:t>17</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2000</w:t>
      </w:r>
      <w:r w:rsidR="0089298C" w:rsidRPr="002F50BD">
        <w:rPr>
          <w:rFonts w:ascii="Verdana" w:hAnsi="Verdana"/>
          <w:sz w:val="20"/>
          <w:lang w:val="pt-BR"/>
        </w:rPr>
        <w:t xml:space="preserve"> e </w:t>
      </w:r>
      <w:r w:rsidR="004756C1" w:rsidRPr="002F50BD">
        <w:rPr>
          <w:rFonts w:ascii="Verdana" w:hAnsi="Verdana"/>
          <w:sz w:val="20"/>
          <w:lang w:val="pt-BR"/>
        </w:rPr>
        <w:t>a pedido</w:t>
      </w:r>
      <w:r w:rsidR="0089298C" w:rsidRPr="002F50BD">
        <w:rPr>
          <w:rFonts w:ascii="Verdana" w:hAnsi="Verdana"/>
          <w:sz w:val="20"/>
          <w:lang w:val="pt-BR"/>
        </w:rPr>
        <w:t xml:space="preserve"> das </w:t>
      </w:r>
      <w:r w:rsidR="00D30178" w:rsidRPr="002F50BD">
        <w:rPr>
          <w:rFonts w:ascii="Verdana" w:hAnsi="Verdana"/>
          <w:sz w:val="20"/>
          <w:lang w:val="pt-BR"/>
        </w:rPr>
        <w:t xml:space="preserve">empresas </w:t>
      </w:r>
      <w:r w:rsidR="00937400" w:rsidRPr="002F50BD">
        <w:rPr>
          <w:rFonts w:ascii="Verdana" w:hAnsi="Verdana"/>
          <w:sz w:val="20"/>
          <w:lang w:val="pt-BR"/>
        </w:rPr>
        <w:t>proprietári</w:t>
      </w:r>
      <w:r w:rsidR="004756C1" w:rsidRPr="002F50BD">
        <w:rPr>
          <w:rFonts w:ascii="Verdana" w:hAnsi="Verdana"/>
          <w:sz w:val="20"/>
          <w:lang w:val="pt-BR"/>
        </w:rPr>
        <w:t>as</w:t>
      </w:r>
      <w:r w:rsidR="0089298C" w:rsidRPr="002F50BD">
        <w:rPr>
          <w:rFonts w:ascii="Verdana" w:hAnsi="Verdana"/>
          <w:sz w:val="20"/>
          <w:lang w:val="pt-BR"/>
        </w:rPr>
        <w:t xml:space="preserve"> dos </w:t>
      </w:r>
      <w:r w:rsidR="000920B2" w:rsidRPr="002F50BD">
        <w:rPr>
          <w:rFonts w:ascii="Verdana" w:hAnsi="Verdana"/>
          <w:sz w:val="20"/>
          <w:lang w:val="pt-BR"/>
        </w:rPr>
        <w:t>imóveis</w:t>
      </w:r>
      <w:r w:rsidR="004756C1" w:rsidRPr="002F50BD">
        <w:rPr>
          <w:rFonts w:ascii="Verdana" w:hAnsi="Verdana"/>
          <w:sz w:val="20"/>
          <w:lang w:val="pt-BR"/>
        </w:rPr>
        <w:t xml:space="preserve"> reivindicados</w:t>
      </w:r>
      <w:r w:rsidR="0089298C" w:rsidRPr="002F50BD">
        <w:rPr>
          <w:rFonts w:ascii="Verdana" w:hAnsi="Verdana"/>
          <w:sz w:val="20"/>
          <w:lang w:val="pt-BR"/>
        </w:rPr>
        <w:t xml:space="preserve"> pela </w:t>
      </w:r>
      <w:r w:rsidR="004756C1" w:rsidRPr="002F50BD">
        <w:rPr>
          <w:rFonts w:ascii="Verdana" w:hAnsi="Verdana"/>
          <w:sz w:val="20"/>
          <w:lang w:val="pt-BR"/>
        </w:rPr>
        <w:t>Comunidad</w:t>
      </w:r>
      <w:r w:rsidR="00D30178" w:rsidRPr="002F50BD">
        <w:rPr>
          <w:rFonts w:ascii="Verdana" w:hAnsi="Verdana"/>
          <w:sz w:val="20"/>
          <w:lang w:val="pt-BR"/>
        </w:rPr>
        <w:t>e.</w:t>
      </w:r>
      <w:r w:rsidR="004756C1" w:rsidRPr="002F50BD">
        <w:rPr>
          <w:rStyle w:val="FootnoteReference"/>
          <w:rFonts w:ascii="Verdana" w:hAnsi="Verdana"/>
          <w:lang w:val="es-ES_tradnl"/>
        </w:rPr>
        <w:footnoteReference w:id="84"/>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D30178" w:rsidRPr="002F50BD">
        <w:rPr>
          <w:rFonts w:ascii="Verdana" w:hAnsi="Verdana"/>
          <w:sz w:val="20"/>
          <w:lang w:val="pt-BR"/>
        </w:rPr>
        <w:t>decidiu</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 xml:space="preserve">expediente </w:t>
      </w:r>
      <w:r w:rsidR="0089298C" w:rsidRPr="002F50BD">
        <w:rPr>
          <w:rFonts w:ascii="Verdana" w:hAnsi="Verdana"/>
          <w:sz w:val="20"/>
          <w:lang w:val="pt-BR"/>
        </w:rPr>
        <w:t xml:space="preserve">devia </w:t>
      </w:r>
      <w:r w:rsidR="004756C1" w:rsidRPr="002F50BD">
        <w:rPr>
          <w:rFonts w:ascii="Verdana" w:hAnsi="Verdana"/>
          <w:sz w:val="20"/>
          <w:lang w:val="pt-BR"/>
        </w:rPr>
        <w:t xml:space="preserve">ser </w:t>
      </w:r>
      <w:r w:rsidR="00754117" w:rsidRPr="002F50BD">
        <w:rPr>
          <w:rFonts w:ascii="Verdana" w:hAnsi="Verdana"/>
          <w:sz w:val="20"/>
          <w:lang w:val="pt-BR"/>
        </w:rPr>
        <w:t>remetid</w:t>
      </w:r>
      <w:r w:rsidR="004756C1" w:rsidRPr="002F50BD">
        <w:rPr>
          <w:rFonts w:ascii="Verdana" w:hAnsi="Verdana"/>
          <w:sz w:val="20"/>
          <w:lang w:val="pt-BR"/>
        </w:rPr>
        <w:t xml:space="preserve">o </w:t>
      </w:r>
      <w:r w:rsidR="0089298C" w:rsidRPr="002F50BD">
        <w:rPr>
          <w:rFonts w:ascii="Verdana" w:hAnsi="Verdana"/>
          <w:sz w:val="20"/>
          <w:lang w:val="pt-BR"/>
        </w:rPr>
        <w:t>nova</w:t>
      </w:r>
      <w:r w:rsidR="004756C1" w:rsidRPr="002F50BD">
        <w:rPr>
          <w:rFonts w:ascii="Verdana" w:hAnsi="Verdana"/>
          <w:sz w:val="20"/>
          <w:lang w:val="pt-BR"/>
        </w:rPr>
        <w:t>mente</w:t>
      </w:r>
      <w:r w:rsidR="0089298C" w:rsidRPr="002F50BD">
        <w:rPr>
          <w:rFonts w:ascii="Verdana" w:hAnsi="Verdana"/>
          <w:sz w:val="20"/>
          <w:lang w:val="pt-BR"/>
        </w:rPr>
        <w:t xml:space="preserve"> ao </w:t>
      </w:r>
      <w:r w:rsidR="004756C1" w:rsidRPr="002F50BD">
        <w:rPr>
          <w:rFonts w:ascii="Verdana" w:hAnsi="Verdana"/>
          <w:sz w:val="20"/>
          <w:lang w:val="pt-BR"/>
        </w:rPr>
        <w:t>INDI</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 “d</w:t>
      </w:r>
      <w:r w:rsidR="00D30178" w:rsidRPr="002F50BD">
        <w:rPr>
          <w:rFonts w:ascii="Verdana" w:hAnsi="Verdana"/>
          <w:sz w:val="20"/>
          <w:lang w:val="pt-BR"/>
        </w:rPr>
        <w:t>os</w:t>
      </w:r>
      <w:r w:rsidR="004756C1" w:rsidRPr="002F50BD">
        <w:rPr>
          <w:rFonts w:ascii="Verdana" w:hAnsi="Verdana"/>
          <w:sz w:val="20"/>
          <w:lang w:val="pt-BR"/>
        </w:rPr>
        <w:t xml:space="preserve"> autos surge que</w:t>
      </w:r>
      <w:r w:rsidR="0089298C" w:rsidRPr="002F50BD">
        <w:rPr>
          <w:rFonts w:ascii="Verdana" w:hAnsi="Verdana"/>
          <w:sz w:val="20"/>
          <w:lang w:val="pt-BR"/>
        </w:rPr>
        <w:t xml:space="preserve"> o </w:t>
      </w:r>
      <w:r w:rsidR="004756C1" w:rsidRPr="002F50BD">
        <w:rPr>
          <w:rFonts w:ascii="Verdana" w:hAnsi="Verdana"/>
          <w:sz w:val="20"/>
          <w:lang w:val="pt-BR"/>
        </w:rPr>
        <w:t>INDI n</w:t>
      </w:r>
      <w:r w:rsidR="00D30178" w:rsidRPr="002F50BD">
        <w:rPr>
          <w:rFonts w:ascii="Verdana" w:hAnsi="Verdana"/>
          <w:sz w:val="20"/>
          <w:lang w:val="pt-BR"/>
        </w:rPr>
        <w:t>ã</w:t>
      </w:r>
      <w:r w:rsidR="004756C1" w:rsidRPr="002F50BD">
        <w:rPr>
          <w:rFonts w:ascii="Verdana" w:hAnsi="Verdana"/>
          <w:sz w:val="20"/>
          <w:lang w:val="pt-BR"/>
        </w:rPr>
        <w:t>o tom</w:t>
      </w:r>
      <w:r w:rsidR="00D30178" w:rsidRPr="002F50BD">
        <w:rPr>
          <w:rFonts w:ascii="Verdana" w:hAnsi="Verdana"/>
          <w:sz w:val="20"/>
          <w:lang w:val="pt-BR"/>
        </w:rPr>
        <w:t xml:space="preserve">ou </w:t>
      </w:r>
      <w:r w:rsidR="0089298C" w:rsidRPr="002F50BD">
        <w:rPr>
          <w:rFonts w:ascii="Verdana" w:hAnsi="Verdana"/>
          <w:sz w:val="20"/>
          <w:lang w:val="pt-BR"/>
        </w:rPr>
        <w:t>nenhuma</w:t>
      </w:r>
      <w:r w:rsidR="004756C1" w:rsidRPr="002F50BD">
        <w:rPr>
          <w:rFonts w:ascii="Verdana" w:hAnsi="Verdana"/>
          <w:sz w:val="20"/>
          <w:lang w:val="pt-BR"/>
        </w:rPr>
        <w:t xml:space="preserve"> </w:t>
      </w:r>
      <w:r w:rsidR="0089298C" w:rsidRPr="002F50BD">
        <w:rPr>
          <w:rFonts w:ascii="Verdana" w:hAnsi="Verdana"/>
          <w:sz w:val="20"/>
          <w:lang w:val="pt-BR"/>
        </w:rPr>
        <w:t xml:space="preserve">decisão e </w:t>
      </w:r>
      <w:r w:rsidR="004756C1" w:rsidRPr="002F50BD">
        <w:rPr>
          <w:rFonts w:ascii="Verdana" w:hAnsi="Verdana"/>
          <w:sz w:val="20"/>
          <w:lang w:val="pt-BR"/>
        </w:rPr>
        <w:t>dev</w:t>
      </w:r>
      <w:r w:rsidR="00D30178" w:rsidRPr="002F50BD">
        <w:rPr>
          <w:rFonts w:ascii="Verdana" w:hAnsi="Verdana"/>
          <w:sz w:val="20"/>
          <w:lang w:val="pt-BR"/>
        </w:rPr>
        <w:t xml:space="preserve">olveu </w:t>
      </w:r>
      <w:r w:rsidR="0089298C" w:rsidRPr="002F50BD">
        <w:rPr>
          <w:rFonts w:ascii="Verdana" w:hAnsi="Verdana"/>
          <w:sz w:val="20"/>
          <w:lang w:val="pt-BR"/>
        </w:rPr>
        <w:t xml:space="preserve">os </w:t>
      </w:r>
      <w:r w:rsidR="004756C1" w:rsidRPr="002F50BD">
        <w:rPr>
          <w:rFonts w:ascii="Verdana" w:hAnsi="Verdana"/>
          <w:sz w:val="20"/>
          <w:lang w:val="pt-BR"/>
        </w:rPr>
        <w:t>autos</w:t>
      </w:r>
      <w:r w:rsidR="0089298C" w:rsidRPr="002F50BD">
        <w:rPr>
          <w:rFonts w:ascii="Verdana" w:hAnsi="Verdana"/>
          <w:sz w:val="20"/>
          <w:lang w:val="pt-BR"/>
        </w:rPr>
        <w:t xml:space="preserve"> sem </w:t>
      </w:r>
      <w:r w:rsidR="004756C1" w:rsidRPr="002F50BD">
        <w:rPr>
          <w:rFonts w:ascii="Verdana" w:hAnsi="Verdana"/>
          <w:sz w:val="20"/>
          <w:lang w:val="pt-BR"/>
        </w:rPr>
        <w:t>especificar</w:t>
      </w:r>
      <w:r w:rsidR="0089298C" w:rsidRPr="002F50BD">
        <w:rPr>
          <w:rFonts w:ascii="Verdana" w:hAnsi="Verdana"/>
          <w:sz w:val="20"/>
          <w:lang w:val="pt-BR"/>
        </w:rPr>
        <w:t xml:space="preserve"> o procedimento</w:t>
      </w:r>
      <w:r w:rsidR="004756C1" w:rsidRPr="002F50BD">
        <w:rPr>
          <w:rFonts w:ascii="Verdana" w:hAnsi="Verdana"/>
          <w:sz w:val="20"/>
          <w:lang w:val="pt-BR"/>
        </w:rPr>
        <w:t xml:space="preserve"> a seguir”.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D30178" w:rsidRPr="002F50BD">
        <w:rPr>
          <w:rFonts w:ascii="Verdana" w:hAnsi="Verdana"/>
          <w:sz w:val="20"/>
          <w:lang w:val="pt-BR"/>
        </w:rPr>
        <w:t xml:space="preserve">enfatizou </w:t>
      </w:r>
      <w:r w:rsidR="004756C1" w:rsidRPr="002F50BD">
        <w:rPr>
          <w:rFonts w:ascii="Verdana" w:hAnsi="Verdana"/>
          <w:sz w:val="20"/>
          <w:lang w:val="pt-BR"/>
        </w:rPr>
        <w:t>que</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89298C" w:rsidRPr="002F50BD">
        <w:rPr>
          <w:rFonts w:ascii="Verdana" w:hAnsi="Verdana"/>
          <w:sz w:val="20"/>
          <w:lang w:val="pt-BR"/>
        </w:rPr>
        <w:t xml:space="preserve">solicitou ao </w:t>
      </w:r>
      <w:r w:rsidR="004756C1" w:rsidRPr="002F50BD">
        <w:rPr>
          <w:rFonts w:ascii="Verdana" w:hAnsi="Verdana"/>
          <w:sz w:val="20"/>
          <w:lang w:val="pt-BR"/>
        </w:rPr>
        <w:t>INDI que “[d]iga</w:t>
      </w:r>
      <w:r w:rsidR="0089298C" w:rsidRPr="002F50BD">
        <w:rPr>
          <w:rFonts w:ascii="Verdana" w:hAnsi="Verdana"/>
          <w:sz w:val="20"/>
          <w:lang w:val="pt-BR"/>
        </w:rPr>
        <w:t xml:space="preserve"> se os </w:t>
      </w:r>
      <w:r w:rsidR="004756C1" w:rsidRPr="002F50BD">
        <w:rPr>
          <w:rFonts w:ascii="Verdana" w:hAnsi="Verdana"/>
          <w:sz w:val="20"/>
          <w:lang w:val="pt-BR"/>
        </w:rPr>
        <w:t xml:space="preserve">indígenas </w:t>
      </w:r>
      <w:r w:rsidR="00D30178" w:rsidRPr="002F50BD">
        <w:rPr>
          <w:rFonts w:ascii="Verdana" w:hAnsi="Verdana"/>
          <w:sz w:val="20"/>
          <w:lang w:val="pt-BR"/>
        </w:rPr>
        <w:t xml:space="preserve">TÊM </w:t>
      </w:r>
      <w:r w:rsidR="0044556F" w:rsidRPr="002F50BD">
        <w:rPr>
          <w:rFonts w:ascii="Verdana" w:hAnsi="Verdana"/>
          <w:sz w:val="20"/>
          <w:lang w:val="pt-BR"/>
        </w:rPr>
        <w:t>OU NÃ</w:t>
      </w:r>
      <w:r w:rsidR="004756C1" w:rsidRPr="002F50BD">
        <w:rPr>
          <w:rFonts w:ascii="Verdana" w:hAnsi="Verdana"/>
          <w:sz w:val="20"/>
          <w:lang w:val="pt-BR"/>
        </w:rPr>
        <w:t xml:space="preserve">O </w:t>
      </w:r>
      <w:r w:rsidR="0089298C" w:rsidRPr="002F50BD">
        <w:rPr>
          <w:rFonts w:ascii="Verdana" w:hAnsi="Verdana"/>
          <w:sz w:val="20"/>
          <w:lang w:val="pt-BR"/>
        </w:rPr>
        <w:t xml:space="preserve">DIREITO </w:t>
      </w:r>
      <w:r w:rsidR="00F76AC5" w:rsidRPr="002F50BD">
        <w:rPr>
          <w:rFonts w:ascii="Verdana" w:hAnsi="Verdana"/>
          <w:sz w:val="20"/>
          <w:lang w:val="pt-BR"/>
        </w:rPr>
        <w:t>ÀS</w:t>
      </w:r>
      <w:r w:rsidR="0089298C" w:rsidRPr="002F50BD">
        <w:rPr>
          <w:rFonts w:ascii="Verdana" w:hAnsi="Verdana"/>
          <w:sz w:val="20"/>
          <w:lang w:val="pt-BR"/>
        </w:rPr>
        <w:t xml:space="preserve"> TERRA</w:t>
      </w:r>
      <w:r w:rsidR="004756C1" w:rsidRPr="002F50BD">
        <w:rPr>
          <w:rFonts w:ascii="Verdana" w:hAnsi="Verdana"/>
          <w:sz w:val="20"/>
          <w:lang w:val="pt-BR"/>
        </w:rPr>
        <w:t xml:space="preserve">S RECLAMADAS” </w:t>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F76AC5"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que “[</w:t>
      </w:r>
      <w:r w:rsidR="0044556F" w:rsidRPr="002F50BD">
        <w:rPr>
          <w:rFonts w:ascii="Verdana" w:hAnsi="Verdana"/>
          <w:sz w:val="20"/>
          <w:lang w:val="pt-BR"/>
        </w:rPr>
        <w:t>p</w:t>
      </w:r>
      <w:r w:rsidR="004756C1" w:rsidRPr="002F50BD">
        <w:rPr>
          <w:rFonts w:ascii="Verdana" w:hAnsi="Verdana"/>
          <w:sz w:val="20"/>
          <w:lang w:val="pt-BR"/>
        </w:rPr>
        <w:t>]</w:t>
      </w:r>
      <w:r w:rsidR="0044556F" w:rsidRPr="002F50BD">
        <w:rPr>
          <w:rFonts w:ascii="Verdana" w:hAnsi="Verdana"/>
          <w:sz w:val="20"/>
          <w:lang w:val="pt-BR"/>
        </w:rPr>
        <w:t xml:space="preserve">roponha novamente </w:t>
      </w:r>
      <w:r w:rsidR="0089298C" w:rsidRPr="002F50BD">
        <w:rPr>
          <w:rFonts w:ascii="Verdana" w:hAnsi="Verdana"/>
          <w:sz w:val="20"/>
          <w:lang w:val="pt-BR"/>
        </w:rPr>
        <w:t xml:space="preserve">a </w:t>
      </w:r>
      <w:r w:rsidR="004756C1" w:rsidRPr="002F50BD">
        <w:rPr>
          <w:rFonts w:ascii="Verdana" w:hAnsi="Verdana"/>
          <w:sz w:val="20"/>
          <w:lang w:val="pt-BR"/>
        </w:rPr>
        <w:t>negocia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a o</w:t>
      </w:r>
      <w:r w:rsidR="0044556F" w:rsidRPr="002F50BD">
        <w:rPr>
          <w:rFonts w:ascii="Verdana" w:hAnsi="Verdana"/>
          <w:sz w:val="20"/>
          <w:lang w:val="pt-BR"/>
        </w:rPr>
        <w:t>u</w:t>
      </w:r>
      <w:r w:rsidR="004756C1" w:rsidRPr="002F50BD">
        <w:rPr>
          <w:rFonts w:ascii="Verdana" w:hAnsi="Verdana"/>
          <w:sz w:val="20"/>
          <w:lang w:val="pt-BR"/>
        </w:rPr>
        <w:t xml:space="preserve"> aconse</w:t>
      </w:r>
      <w:r w:rsidR="0044556F" w:rsidRPr="002F50BD">
        <w:rPr>
          <w:rFonts w:ascii="Verdana" w:hAnsi="Verdana"/>
          <w:sz w:val="20"/>
          <w:lang w:val="pt-BR"/>
        </w:rPr>
        <w:t>lh</w:t>
      </w:r>
      <w:r w:rsidR="004756C1" w:rsidRPr="002F50BD">
        <w:rPr>
          <w:rFonts w:ascii="Verdana" w:hAnsi="Verdana"/>
          <w:sz w:val="20"/>
          <w:lang w:val="pt-BR"/>
        </w:rPr>
        <w:t>e</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89298C" w:rsidRPr="002F50BD">
        <w:rPr>
          <w:rFonts w:ascii="Verdana" w:hAnsi="Verdana"/>
          <w:sz w:val="20"/>
          <w:lang w:val="pt-BR"/>
        </w:rPr>
        <w:t xml:space="preserve"> </w:t>
      </w:r>
      <w:r w:rsidR="0044556F" w:rsidRPr="002F50BD">
        <w:rPr>
          <w:rFonts w:ascii="Verdana" w:hAnsi="Verdana"/>
          <w:sz w:val="20"/>
          <w:lang w:val="pt-BR"/>
        </w:rPr>
        <w:t xml:space="preserve">se for o </w:t>
      </w:r>
      <w:r w:rsidR="004756C1" w:rsidRPr="002F50BD">
        <w:rPr>
          <w:rFonts w:ascii="Verdana" w:hAnsi="Verdana"/>
          <w:sz w:val="20"/>
          <w:lang w:val="pt-BR"/>
        </w:rPr>
        <w:t>caso”</w:t>
      </w:r>
      <w:r w:rsidR="0044556F" w:rsidRPr="002F50BD">
        <w:rPr>
          <w:rFonts w:ascii="Verdana" w:hAnsi="Verdana"/>
          <w:sz w:val="20"/>
          <w:lang w:val="pt-BR"/>
        </w:rPr>
        <w:t>.</w:t>
      </w:r>
      <w:r w:rsidR="004756C1" w:rsidRPr="002F50BD">
        <w:rPr>
          <w:rStyle w:val="FootnoteReference"/>
          <w:rFonts w:ascii="Verdana" w:hAnsi="Verdana"/>
          <w:lang w:val="es-ES_tradnl"/>
        </w:rPr>
        <w:footnoteReference w:id="85"/>
      </w:r>
      <w:r w:rsidR="0089298C" w:rsidRPr="002F50BD">
        <w:rPr>
          <w:rFonts w:ascii="Verdana" w:hAnsi="Verdana"/>
          <w:sz w:val="20"/>
          <w:lang w:val="pt-BR"/>
        </w:rPr>
        <w:t xml:space="preserve"> </w:t>
      </w:r>
      <w:r w:rsidR="00F8225E">
        <w:rPr>
          <w:rFonts w:ascii="Verdana" w:hAnsi="Verdana"/>
          <w:sz w:val="20"/>
          <w:lang w:val="pt-BR"/>
        </w:rPr>
        <w:t>Para isso</w:t>
      </w:r>
      <w:r w:rsidR="004756C1"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8</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2000</w:t>
      </w:r>
      <w:r w:rsidR="00D51287"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44556F" w:rsidRPr="002F50BD">
        <w:rPr>
          <w:rFonts w:ascii="Verdana" w:hAnsi="Verdana"/>
          <w:sz w:val="20"/>
          <w:lang w:val="pt-BR"/>
        </w:rPr>
        <w:t xml:space="preserve">devolveu </w:t>
      </w:r>
      <w:r w:rsidR="0089298C" w:rsidRPr="002F50BD">
        <w:rPr>
          <w:rFonts w:ascii="Verdana" w:hAnsi="Verdana"/>
          <w:sz w:val="20"/>
          <w:lang w:val="pt-BR"/>
        </w:rPr>
        <w:t xml:space="preserve">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89298C" w:rsidRPr="002F50BD">
        <w:rPr>
          <w:rFonts w:ascii="Verdana" w:hAnsi="Verdana"/>
          <w:sz w:val="20"/>
          <w:lang w:val="pt-BR"/>
        </w:rPr>
        <w:t xml:space="preserve"> ao </w:t>
      </w:r>
      <w:r w:rsidR="004756C1" w:rsidRPr="002F50BD">
        <w:rPr>
          <w:rFonts w:ascii="Verdana" w:hAnsi="Verdana"/>
          <w:sz w:val="20"/>
          <w:lang w:val="pt-BR"/>
        </w:rPr>
        <w:t>INDI</w:t>
      </w:r>
      <w:r w:rsidR="0044556F" w:rsidRPr="002F50BD">
        <w:rPr>
          <w:rFonts w:ascii="Verdana" w:hAnsi="Verdana"/>
          <w:sz w:val="20"/>
          <w:lang w:val="pt-BR"/>
        </w:rPr>
        <w:t>.</w:t>
      </w:r>
      <w:r w:rsidR="004756C1" w:rsidRPr="002F50BD">
        <w:rPr>
          <w:rStyle w:val="FootnoteReference"/>
          <w:rFonts w:ascii="Verdana" w:hAnsi="Verdana"/>
          <w:lang w:val="es-ES_tradnl"/>
        </w:rPr>
        <w:footnoteReference w:id="86"/>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14</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por </w:t>
      </w:r>
      <w:r w:rsidR="0089298C" w:rsidRPr="002F50BD">
        <w:rPr>
          <w:rFonts w:ascii="Verdana" w:hAnsi="Verdana"/>
          <w:sz w:val="20"/>
          <w:lang w:val="pt-BR"/>
        </w:rPr>
        <w:t xml:space="preserve">meio </w:t>
      </w:r>
      <w:r w:rsidR="004756C1" w:rsidRPr="002F50BD">
        <w:rPr>
          <w:rFonts w:ascii="Verdana" w:hAnsi="Verdana"/>
          <w:sz w:val="20"/>
          <w:lang w:val="pt-BR"/>
        </w:rPr>
        <w:t xml:space="preserve">de </w:t>
      </w:r>
      <w:r w:rsidR="0022481E" w:rsidRPr="002F50BD">
        <w:rPr>
          <w:rFonts w:ascii="Verdana" w:hAnsi="Verdana"/>
          <w:sz w:val="20"/>
          <w:lang w:val="pt-BR"/>
        </w:rPr>
        <w:t>seus advogados</w:t>
      </w:r>
      <w:r w:rsidR="004756C1" w:rsidRPr="002F50BD">
        <w:rPr>
          <w:rFonts w:ascii="Verdana" w:hAnsi="Verdana"/>
          <w:sz w:val="20"/>
          <w:lang w:val="pt-BR"/>
        </w:rPr>
        <w:t xml:space="preserve">, </w:t>
      </w:r>
      <w:r w:rsidR="0089298C" w:rsidRPr="002F50BD">
        <w:rPr>
          <w:rFonts w:ascii="Verdana" w:hAnsi="Verdana"/>
          <w:sz w:val="20"/>
          <w:lang w:val="pt-BR"/>
        </w:rPr>
        <w:t xml:space="preserve">solicitou ao </w:t>
      </w:r>
      <w:r w:rsidR="004756C1" w:rsidRPr="002F50BD">
        <w:rPr>
          <w:rFonts w:ascii="Verdana" w:hAnsi="Verdana"/>
          <w:sz w:val="20"/>
          <w:lang w:val="pt-BR"/>
        </w:rPr>
        <w:t xml:space="preserve">INDI que </w:t>
      </w:r>
      <w:r w:rsidR="0044556F" w:rsidRPr="002F50BD">
        <w:rPr>
          <w:rFonts w:ascii="Verdana" w:hAnsi="Verdana"/>
          <w:sz w:val="20"/>
          <w:lang w:val="pt-BR"/>
        </w:rPr>
        <w:t>enviasse</w:t>
      </w:r>
      <w:r w:rsidR="0089298C" w:rsidRPr="002F50BD">
        <w:rPr>
          <w:rFonts w:ascii="Verdana" w:hAnsi="Verdana"/>
          <w:sz w:val="20"/>
          <w:lang w:val="pt-BR"/>
        </w:rPr>
        <w:t xml:space="preserve"> 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4756C1" w:rsidRPr="002F50BD">
        <w:rPr>
          <w:rFonts w:ascii="Verdana" w:hAnsi="Verdana"/>
          <w:sz w:val="20"/>
          <w:lang w:val="pt-BR"/>
        </w:rPr>
        <w:t xml:space="preserve"> tanto</w:t>
      </w:r>
      <w:r w:rsidR="0089298C" w:rsidRPr="002F50BD">
        <w:rPr>
          <w:rFonts w:ascii="Verdana" w:hAnsi="Verdana"/>
          <w:sz w:val="20"/>
          <w:lang w:val="pt-BR"/>
        </w:rPr>
        <w:t xml:space="preserve"> à Direção</w:t>
      </w:r>
      <w:r w:rsidR="004756C1" w:rsidRPr="002F50BD">
        <w:rPr>
          <w:rFonts w:ascii="Verdana" w:hAnsi="Verdana"/>
          <w:sz w:val="20"/>
          <w:lang w:val="pt-BR"/>
        </w:rPr>
        <w:t xml:space="preserve"> Jurídica como</w:t>
      </w:r>
      <w:r w:rsidR="0089298C" w:rsidRPr="002F50BD">
        <w:rPr>
          <w:rFonts w:ascii="Verdana" w:hAnsi="Verdana"/>
          <w:sz w:val="20"/>
          <w:lang w:val="pt-BR"/>
        </w:rPr>
        <w:t xml:space="preserve"> à Direção</w:t>
      </w:r>
      <w:r w:rsidR="004756C1" w:rsidRPr="002F50BD">
        <w:rPr>
          <w:rFonts w:ascii="Verdana" w:hAnsi="Verdana"/>
          <w:sz w:val="20"/>
          <w:lang w:val="pt-BR"/>
        </w:rPr>
        <w:t xml:space="preserve"> Socio-Antropológic</w:t>
      </w:r>
      <w:r w:rsidR="0044556F" w:rsidRPr="002F50BD">
        <w:rPr>
          <w:rFonts w:ascii="Verdana" w:hAnsi="Verdana"/>
          <w:sz w:val="20"/>
          <w:lang w:val="pt-BR"/>
        </w:rPr>
        <w:t>a</w:t>
      </w:r>
      <w:r w:rsidR="0089298C" w:rsidRPr="002F50BD">
        <w:rPr>
          <w:rFonts w:ascii="Verdana" w:hAnsi="Verdana"/>
          <w:sz w:val="20"/>
          <w:lang w:val="pt-BR"/>
        </w:rPr>
        <w:t xml:space="preserve"> desse </w:t>
      </w:r>
      <w:r w:rsidR="004756C1" w:rsidRPr="002F50BD">
        <w:rPr>
          <w:rFonts w:ascii="Verdana" w:hAnsi="Verdana"/>
          <w:sz w:val="20"/>
          <w:lang w:val="pt-BR"/>
        </w:rPr>
        <w:t xml:space="preserve">instituto, para que </w:t>
      </w:r>
      <w:r w:rsidR="00AB454A" w:rsidRPr="002F50BD">
        <w:rPr>
          <w:rFonts w:ascii="Verdana" w:hAnsi="Verdana"/>
          <w:sz w:val="20"/>
          <w:lang w:val="pt-BR"/>
        </w:rPr>
        <w:t>p</w:t>
      </w:r>
      <w:r w:rsidR="0044556F" w:rsidRPr="002F50BD">
        <w:rPr>
          <w:rFonts w:ascii="Verdana" w:hAnsi="Verdana"/>
          <w:sz w:val="20"/>
          <w:lang w:val="pt-BR"/>
        </w:rPr>
        <w:t xml:space="preserve">udessem </w:t>
      </w:r>
      <w:r w:rsidR="004756C1" w:rsidRPr="002F50BD">
        <w:rPr>
          <w:rFonts w:ascii="Verdana" w:hAnsi="Verdana"/>
          <w:sz w:val="20"/>
          <w:lang w:val="pt-BR"/>
        </w:rPr>
        <w:t xml:space="preserve">emitir </w:t>
      </w:r>
      <w:r w:rsidR="0089298C" w:rsidRPr="002F50BD">
        <w:rPr>
          <w:rFonts w:ascii="Verdana" w:hAnsi="Verdana"/>
          <w:sz w:val="20"/>
          <w:lang w:val="pt-BR"/>
        </w:rPr>
        <w:t xml:space="preserve">parecer </w:t>
      </w:r>
      <w:r w:rsidR="004756C1" w:rsidRPr="002F50BD">
        <w:rPr>
          <w:rFonts w:ascii="Verdana" w:hAnsi="Verdana"/>
          <w:sz w:val="20"/>
          <w:lang w:val="pt-BR"/>
        </w:rPr>
        <w:t>sobre</w:t>
      </w:r>
      <w:r w:rsidR="0089298C" w:rsidRPr="002F50BD">
        <w:rPr>
          <w:rFonts w:ascii="Verdana" w:hAnsi="Verdana"/>
          <w:sz w:val="20"/>
          <w:lang w:val="pt-BR"/>
        </w:rPr>
        <w:t xml:space="preserve"> os pontos</w:t>
      </w:r>
      <w:r w:rsidR="004756C1" w:rsidRPr="002F50BD">
        <w:rPr>
          <w:rFonts w:ascii="Verdana" w:hAnsi="Verdana"/>
          <w:sz w:val="20"/>
          <w:lang w:val="pt-BR"/>
        </w:rPr>
        <w:t xml:space="preserve"> requeridos</w:t>
      </w:r>
      <w:r w:rsidR="0089298C" w:rsidRPr="002F50BD">
        <w:rPr>
          <w:rFonts w:ascii="Verdana" w:hAnsi="Verdana"/>
          <w:sz w:val="20"/>
          <w:lang w:val="pt-BR"/>
        </w:rPr>
        <w:t xml:space="preserve"> pelo </w:t>
      </w:r>
      <w:r w:rsidR="004756C1" w:rsidRPr="002F50BD">
        <w:rPr>
          <w:rFonts w:ascii="Verdana" w:hAnsi="Verdana"/>
          <w:sz w:val="20"/>
          <w:lang w:val="pt-BR"/>
        </w:rPr>
        <w:t>IBR</w:t>
      </w:r>
      <w:r w:rsidR="004756C1" w:rsidRPr="002F50BD">
        <w:rPr>
          <w:rStyle w:val="FootnoteReference"/>
          <w:rFonts w:ascii="Verdana" w:hAnsi="Verdana"/>
          <w:lang w:val="es-ES_tradnl"/>
        </w:rPr>
        <w:footnoteReference w:id="87"/>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47</w:t>
      </w:r>
      <w:r w:rsidR="0044556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8</w:t>
      </w:r>
      <w:r w:rsidR="004756C1" w:rsidRPr="002F50BD">
        <w:rPr>
          <w:rFonts w:ascii="Verdana" w:hAnsi="Verdana"/>
          <w:sz w:val="20"/>
          <w:lang w:val="pt-BR"/>
        </w:rPr>
        <w:t xml:space="preserve"> de agosto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Presidenta </w:t>
      </w:r>
      <w:r w:rsidR="0089298C" w:rsidRPr="002F50BD">
        <w:rPr>
          <w:rFonts w:ascii="Verdana" w:hAnsi="Verdana"/>
          <w:sz w:val="20"/>
          <w:lang w:val="pt-BR"/>
        </w:rPr>
        <w:t>do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 xml:space="preserve">emitiu uma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xml:space="preserve">, </w:t>
      </w:r>
      <w:r w:rsidR="00EC5F20" w:rsidRPr="002F50BD">
        <w:rPr>
          <w:rFonts w:ascii="Verdana" w:hAnsi="Verdana"/>
          <w:sz w:val="20"/>
          <w:lang w:val="pt-BR"/>
        </w:rPr>
        <w:t>por meio d</w:t>
      </w:r>
      <w:r w:rsidR="0089298C" w:rsidRPr="002F50BD">
        <w:rPr>
          <w:rFonts w:ascii="Verdana" w:hAnsi="Verdana"/>
          <w:sz w:val="20"/>
          <w:lang w:val="pt-BR"/>
        </w:rPr>
        <w:t>a qual decidiu</w:t>
      </w:r>
      <w:r w:rsidR="004756C1" w:rsidRPr="002F50BD">
        <w:rPr>
          <w:rFonts w:ascii="Verdana" w:hAnsi="Verdana"/>
          <w:sz w:val="20"/>
          <w:lang w:val="pt-BR"/>
        </w:rPr>
        <w:t xml:space="preserve">, entre </w:t>
      </w:r>
      <w:r w:rsidR="0089298C" w:rsidRPr="002F50BD">
        <w:rPr>
          <w:rFonts w:ascii="Verdana" w:hAnsi="Verdana"/>
          <w:sz w:val="20"/>
          <w:lang w:val="pt-BR"/>
        </w:rPr>
        <w:t>outr</w:t>
      </w:r>
      <w:r w:rsidR="00A953E1" w:rsidRPr="002F50BD">
        <w:rPr>
          <w:rFonts w:ascii="Verdana" w:hAnsi="Verdana"/>
          <w:sz w:val="20"/>
          <w:lang w:val="pt-BR"/>
        </w:rPr>
        <w:t>a</w:t>
      </w:r>
      <w:r w:rsidR="0089298C" w:rsidRPr="002F50BD">
        <w:rPr>
          <w:rFonts w:ascii="Verdana" w:hAnsi="Verdana"/>
          <w:sz w:val="20"/>
          <w:lang w:val="pt-BR"/>
        </w:rPr>
        <w:t>s</w:t>
      </w:r>
      <w:r w:rsidR="00A953E1" w:rsidRPr="002F50BD">
        <w:rPr>
          <w:rFonts w:ascii="Verdana" w:hAnsi="Verdana"/>
          <w:sz w:val="20"/>
          <w:lang w:val="pt-BR"/>
        </w:rPr>
        <w:t xml:space="preserve"> [determinações]</w:t>
      </w:r>
      <w:r w:rsidR="004756C1" w:rsidRPr="002F50BD">
        <w:rPr>
          <w:rFonts w:ascii="Verdana" w:hAnsi="Verdana"/>
          <w:sz w:val="20"/>
          <w:lang w:val="pt-BR"/>
        </w:rPr>
        <w:t>, “rem</w:t>
      </w:r>
      <w:r w:rsidR="00175B8D" w:rsidRPr="002F50BD">
        <w:rPr>
          <w:rFonts w:ascii="Verdana" w:hAnsi="Verdana"/>
          <w:sz w:val="20"/>
          <w:lang w:val="pt-BR"/>
        </w:rPr>
        <w:t>e</w:t>
      </w:r>
      <w:r w:rsidR="004756C1" w:rsidRPr="002F50BD">
        <w:rPr>
          <w:rFonts w:ascii="Verdana" w:hAnsi="Verdana"/>
          <w:sz w:val="20"/>
          <w:lang w:val="pt-BR"/>
        </w:rPr>
        <w:t>t</w:t>
      </w:r>
      <w:r w:rsidR="00175B8D" w:rsidRPr="002F50BD">
        <w:rPr>
          <w:rFonts w:ascii="Verdana" w:hAnsi="Verdana"/>
          <w:sz w:val="20"/>
          <w:lang w:val="pt-BR"/>
        </w:rPr>
        <w:t>e</w:t>
      </w:r>
      <w:r w:rsidR="004756C1" w:rsidRPr="002F50BD">
        <w:rPr>
          <w:rFonts w:ascii="Verdana" w:hAnsi="Verdana"/>
          <w:sz w:val="20"/>
          <w:lang w:val="pt-BR"/>
        </w:rPr>
        <w:t xml:space="preserve">r </w:t>
      </w:r>
      <w:r w:rsidR="0089298C" w:rsidRPr="002F50BD">
        <w:rPr>
          <w:rFonts w:ascii="Verdana" w:hAnsi="Verdana"/>
          <w:sz w:val="20"/>
          <w:lang w:val="pt-BR"/>
        </w:rPr>
        <w:t>nova</w:t>
      </w:r>
      <w:r w:rsidR="004756C1" w:rsidRPr="002F50BD">
        <w:rPr>
          <w:rFonts w:ascii="Verdana" w:hAnsi="Verdana"/>
          <w:sz w:val="20"/>
          <w:lang w:val="pt-BR"/>
        </w:rPr>
        <w:t>mente</w:t>
      </w:r>
      <w:r w:rsidR="0089298C" w:rsidRPr="002F50BD">
        <w:rPr>
          <w:rFonts w:ascii="Verdana" w:hAnsi="Verdana"/>
          <w:sz w:val="20"/>
          <w:lang w:val="pt-BR"/>
        </w:rPr>
        <w:t xml:space="preserve"> o </w:t>
      </w:r>
      <w:r w:rsidR="004756C1" w:rsidRPr="002F50BD">
        <w:rPr>
          <w:rFonts w:ascii="Verdana" w:hAnsi="Verdana"/>
          <w:sz w:val="20"/>
          <w:lang w:val="pt-BR"/>
        </w:rPr>
        <w:t>expediente</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89298C" w:rsidRPr="002F50BD">
        <w:rPr>
          <w:rFonts w:ascii="Verdana" w:hAnsi="Verdana"/>
          <w:sz w:val="20"/>
          <w:lang w:val="pt-BR"/>
        </w:rPr>
        <w:t xml:space="preserve"> ao </w:t>
      </w:r>
      <w:r w:rsidR="00175B8D" w:rsidRPr="002F50BD">
        <w:rPr>
          <w:rFonts w:ascii="Verdana" w:hAnsi="Verdana"/>
          <w:sz w:val="20"/>
          <w:lang w:val="pt-BR"/>
        </w:rPr>
        <w:t>Instituto do</w:t>
      </w:r>
      <w:r w:rsidR="004756C1" w:rsidRPr="002F50BD">
        <w:rPr>
          <w:rFonts w:ascii="Verdana" w:hAnsi="Verdana"/>
          <w:sz w:val="20"/>
          <w:lang w:val="pt-BR"/>
        </w:rPr>
        <w:t xml:space="preserve"> </w:t>
      </w:r>
      <w:r w:rsidR="00475EBB" w:rsidRPr="002F50BD">
        <w:rPr>
          <w:rFonts w:ascii="Verdana" w:hAnsi="Verdana"/>
          <w:sz w:val="20"/>
          <w:lang w:val="pt-BR"/>
        </w:rPr>
        <w:t>Bem Estar</w:t>
      </w:r>
      <w:r w:rsidR="004756C1" w:rsidRPr="002F50BD">
        <w:rPr>
          <w:rFonts w:ascii="Verdana" w:hAnsi="Verdana"/>
          <w:sz w:val="20"/>
          <w:lang w:val="pt-BR"/>
        </w:rPr>
        <w:t xml:space="preserve"> Rural </w:t>
      </w:r>
      <w:r w:rsidR="00CF451D" w:rsidRPr="00CF451D">
        <w:rPr>
          <w:rFonts w:ascii="Verdana" w:hAnsi="Verdana"/>
          <w:sz w:val="20"/>
          <w:lang w:val="pt-BR"/>
        </w:rPr>
        <w:t>(</w:t>
      </w:r>
      <w:r w:rsidR="004756C1" w:rsidRPr="002F50BD">
        <w:rPr>
          <w:rFonts w:ascii="Verdana" w:hAnsi="Verdana"/>
          <w:sz w:val="20"/>
          <w:lang w:val="pt-BR"/>
        </w:rPr>
        <w:t>IBR</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fazendo</w:t>
      </w:r>
      <w:r w:rsidR="004756C1" w:rsidRPr="002F50BD">
        <w:rPr>
          <w:rFonts w:ascii="Verdana" w:hAnsi="Verdana"/>
          <w:sz w:val="20"/>
          <w:lang w:val="pt-BR"/>
        </w:rPr>
        <w:t xml:space="preserve"> </w:t>
      </w:r>
      <w:r w:rsidR="0089298C" w:rsidRPr="002F50BD">
        <w:rPr>
          <w:rFonts w:ascii="Verdana" w:hAnsi="Verdana"/>
          <w:sz w:val="20"/>
          <w:lang w:val="pt-BR"/>
        </w:rPr>
        <w:lastRenderedPageBreak/>
        <w:t>conhecer o conteúdo</w:t>
      </w:r>
      <w:r w:rsidR="004756C1" w:rsidRPr="002F50BD">
        <w:rPr>
          <w:rFonts w:ascii="Verdana" w:hAnsi="Verdana"/>
          <w:sz w:val="20"/>
          <w:lang w:val="pt-BR"/>
        </w:rPr>
        <w:t xml:space="preserve"> </w:t>
      </w:r>
      <w:r w:rsidR="0089298C" w:rsidRPr="002F50BD">
        <w:rPr>
          <w:rFonts w:ascii="Verdana" w:hAnsi="Verdana"/>
          <w:sz w:val="20"/>
          <w:lang w:val="pt-BR"/>
        </w:rPr>
        <w:t>do Parecer</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33</w:t>
      </w:r>
      <w:r w:rsidR="004756C1" w:rsidRPr="002F50BD">
        <w:rPr>
          <w:rFonts w:ascii="Verdana" w:hAnsi="Verdana"/>
          <w:sz w:val="20"/>
          <w:lang w:val="pt-BR"/>
        </w:rPr>
        <w:t>/</w:t>
      </w:r>
      <w:r w:rsidRPr="002F50BD">
        <w:rPr>
          <w:rFonts w:ascii="Verdana" w:hAnsi="Verdana"/>
          <w:sz w:val="20"/>
          <w:lang w:val="pt-BR"/>
        </w:rPr>
        <w:t>99</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42</w:t>
      </w:r>
      <w:r w:rsidR="00175B8D" w:rsidRPr="002F50BD">
        <w:rPr>
          <w:rFonts w:ascii="Verdana" w:hAnsi="Verdana"/>
          <w:i/>
          <w:sz w:val="20"/>
          <w:lang w:val="pt-BR"/>
        </w:rPr>
        <w:t xml:space="preserve"> supra</w:t>
      </w:r>
      <w:r w:rsidR="004756C1" w:rsidRPr="002F50BD">
        <w:rPr>
          <w:rFonts w:ascii="Verdana" w:hAnsi="Verdana"/>
          <w:sz w:val="20"/>
          <w:lang w:val="pt-BR"/>
        </w:rPr>
        <w:t>] emitido</w:t>
      </w:r>
      <w:r w:rsidR="0089298C" w:rsidRPr="002F50BD">
        <w:rPr>
          <w:rFonts w:ascii="Verdana" w:hAnsi="Verdana"/>
          <w:sz w:val="20"/>
          <w:lang w:val="pt-BR"/>
        </w:rPr>
        <w:t xml:space="preserve"> pela </w:t>
      </w:r>
      <w:r w:rsidR="00F8225E">
        <w:rPr>
          <w:rFonts w:ascii="Verdana" w:hAnsi="Verdana"/>
          <w:sz w:val="20"/>
          <w:lang w:val="pt-BR"/>
        </w:rPr>
        <w:t>Assessoria Jurídica</w:t>
      </w:r>
      <w:r w:rsidR="0089298C" w:rsidRPr="002F50BD">
        <w:rPr>
          <w:rFonts w:ascii="Verdana" w:hAnsi="Verdana"/>
          <w:sz w:val="20"/>
          <w:lang w:val="pt-BR"/>
        </w:rPr>
        <w:t xml:space="preserve"> desta Instituição</w:t>
      </w:r>
      <w:r w:rsidR="004756C1" w:rsidRPr="002F50BD">
        <w:rPr>
          <w:rFonts w:ascii="Verdana" w:hAnsi="Verdana"/>
          <w:sz w:val="20"/>
          <w:lang w:val="pt-BR"/>
        </w:rPr>
        <w:t xml:space="preserve">, </w:t>
      </w:r>
      <w:r w:rsidR="00175B8D" w:rsidRPr="002F50BD">
        <w:rPr>
          <w:rFonts w:ascii="Verdana" w:hAnsi="Verdana"/>
          <w:sz w:val="20"/>
          <w:lang w:val="pt-BR"/>
        </w:rPr>
        <w:t xml:space="preserve">devendo ser </w:t>
      </w:r>
      <w:r w:rsidR="0089298C" w:rsidRPr="002F50BD">
        <w:rPr>
          <w:rFonts w:ascii="Verdana" w:hAnsi="Verdana"/>
          <w:sz w:val="20"/>
          <w:lang w:val="pt-BR"/>
        </w:rPr>
        <w:t>acompanh</w:t>
      </w:r>
      <w:r w:rsidR="00175B8D" w:rsidRPr="002F50BD">
        <w:rPr>
          <w:rFonts w:ascii="Verdana" w:hAnsi="Verdana"/>
          <w:sz w:val="20"/>
          <w:lang w:val="pt-BR"/>
        </w:rPr>
        <w:t xml:space="preserve">ado de </w:t>
      </w:r>
      <w:r w:rsidR="0089298C" w:rsidRPr="002F50BD">
        <w:rPr>
          <w:rFonts w:ascii="Verdana" w:hAnsi="Verdana"/>
          <w:sz w:val="20"/>
          <w:lang w:val="pt-BR"/>
        </w:rPr>
        <w:t xml:space="preserve">uma </w:t>
      </w:r>
      <w:r w:rsidR="004756C1" w:rsidRPr="002F50BD">
        <w:rPr>
          <w:rFonts w:ascii="Verdana" w:hAnsi="Verdana"/>
          <w:sz w:val="20"/>
          <w:lang w:val="pt-BR"/>
        </w:rPr>
        <w:t>c</w:t>
      </w:r>
      <w:r w:rsidR="00EC5F20" w:rsidRPr="002F50BD">
        <w:rPr>
          <w:rFonts w:ascii="Verdana" w:hAnsi="Verdana"/>
          <w:sz w:val="20"/>
          <w:lang w:val="pt-BR"/>
        </w:rPr>
        <w:t>ó</w:t>
      </w:r>
      <w:r w:rsidR="004756C1" w:rsidRPr="002F50BD">
        <w:rPr>
          <w:rFonts w:ascii="Verdana" w:hAnsi="Verdana"/>
          <w:sz w:val="20"/>
          <w:lang w:val="pt-BR"/>
        </w:rPr>
        <w:t xml:space="preserve">pia autenticada </w:t>
      </w:r>
      <w:r w:rsidR="0089298C" w:rsidRPr="002F50BD">
        <w:rPr>
          <w:rFonts w:ascii="Verdana" w:hAnsi="Verdana"/>
          <w:sz w:val="20"/>
          <w:lang w:val="pt-BR"/>
        </w:rPr>
        <w:t>do mesm</w:t>
      </w:r>
      <w:r w:rsidR="004756C1" w:rsidRPr="002F50BD">
        <w:rPr>
          <w:rFonts w:ascii="Verdana" w:hAnsi="Verdana"/>
          <w:sz w:val="20"/>
          <w:lang w:val="pt-BR"/>
        </w:rPr>
        <w:t>o</w:t>
      </w:r>
      <w:r w:rsidR="0089298C" w:rsidRPr="002F50BD">
        <w:rPr>
          <w:rFonts w:ascii="Verdana" w:hAnsi="Verdana"/>
          <w:sz w:val="20"/>
          <w:lang w:val="pt-BR"/>
        </w:rPr>
        <w:t xml:space="preserve"> e </w:t>
      </w:r>
      <w:r w:rsidR="004756C1" w:rsidRPr="002F50BD">
        <w:rPr>
          <w:rFonts w:ascii="Verdana" w:hAnsi="Verdana"/>
          <w:sz w:val="20"/>
          <w:lang w:val="pt-BR"/>
        </w:rPr>
        <w:t>d</w:t>
      </w:r>
      <w:r w:rsidR="00175B8D" w:rsidRPr="002F50BD">
        <w:rPr>
          <w:rFonts w:ascii="Verdana" w:hAnsi="Verdana"/>
          <w:sz w:val="20"/>
          <w:lang w:val="pt-BR"/>
        </w:rPr>
        <w:t>a</w:t>
      </w:r>
      <w:r w:rsidR="004756C1" w:rsidRPr="002F50BD">
        <w:rPr>
          <w:rFonts w:ascii="Verdana" w:hAnsi="Verdana"/>
          <w:sz w:val="20"/>
          <w:lang w:val="pt-BR"/>
        </w:rPr>
        <w:t xml:space="preserve">ndo por </w:t>
      </w:r>
      <w:r w:rsidR="00EC5F20" w:rsidRPr="002F50BD">
        <w:rPr>
          <w:rFonts w:ascii="Verdana" w:hAnsi="Verdana"/>
          <w:sz w:val="20"/>
          <w:lang w:val="pt-BR"/>
        </w:rPr>
        <w:t>concluídas</w:t>
      </w:r>
      <w:r w:rsidR="0089298C" w:rsidRPr="002F50BD">
        <w:rPr>
          <w:rFonts w:ascii="Verdana" w:hAnsi="Verdana"/>
          <w:sz w:val="20"/>
          <w:lang w:val="pt-BR"/>
        </w:rPr>
        <w:t xml:space="preserve"> as </w:t>
      </w:r>
      <w:r w:rsidR="004756C1" w:rsidRPr="002F50BD">
        <w:rPr>
          <w:rFonts w:ascii="Verdana" w:hAnsi="Verdana"/>
          <w:sz w:val="20"/>
          <w:lang w:val="pt-BR"/>
        </w:rPr>
        <w:t>tramita</w:t>
      </w:r>
      <w:r w:rsidR="0089298C" w:rsidRPr="002F50BD">
        <w:rPr>
          <w:rFonts w:ascii="Verdana" w:hAnsi="Verdana"/>
          <w:sz w:val="20"/>
          <w:lang w:val="pt-BR"/>
        </w:rPr>
        <w:t>ções</w:t>
      </w:r>
      <w:r w:rsidR="004756C1" w:rsidRPr="002F50BD">
        <w:rPr>
          <w:rFonts w:ascii="Verdana" w:hAnsi="Verdana"/>
          <w:sz w:val="20"/>
          <w:lang w:val="pt-BR"/>
        </w:rPr>
        <w:t xml:space="preserve"> administrativas referentes</w:t>
      </w:r>
      <w:r w:rsidR="0089298C" w:rsidRPr="002F50BD">
        <w:rPr>
          <w:rFonts w:ascii="Verdana" w:hAnsi="Verdana"/>
          <w:sz w:val="20"/>
          <w:lang w:val="pt-BR"/>
        </w:rPr>
        <w:t xml:space="preserve"> ao </w:t>
      </w:r>
      <w:r w:rsidR="004756C1" w:rsidRPr="002F50BD">
        <w:rPr>
          <w:rFonts w:ascii="Verdana" w:hAnsi="Verdana"/>
          <w:sz w:val="20"/>
          <w:lang w:val="pt-BR"/>
        </w:rPr>
        <w:t>presente expediente</w:t>
      </w:r>
      <w:r w:rsidR="0089298C" w:rsidRPr="002F50BD">
        <w:rPr>
          <w:rFonts w:ascii="Verdana" w:hAnsi="Verdana"/>
          <w:sz w:val="20"/>
          <w:lang w:val="pt-BR"/>
        </w:rPr>
        <w:t xml:space="preserve"> nesta Instituição</w:t>
      </w:r>
      <w:r w:rsidR="004756C1" w:rsidRPr="002F50BD">
        <w:rPr>
          <w:rFonts w:ascii="Verdana" w:hAnsi="Verdana"/>
          <w:sz w:val="20"/>
          <w:lang w:val="pt-BR"/>
        </w:rPr>
        <w:t>”</w:t>
      </w:r>
      <w:r w:rsidR="00175B8D" w:rsidRPr="002F50BD">
        <w:rPr>
          <w:rFonts w:ascii="Verdana" w:hAnsi="Verdana"/>
          <w:sz w:val="20"/>
          <w:lang w:val="pt-BR"/>
        </w:rPr>
        <w:t>.</w:t>
      </w:r>
      <w:r w:rsidR="004756C1" w:rsidRPr="002F50BD">
        <w:rPr>
          <w:rStyle w:val="FootnoteReference"/>
          <w:rFonts w:ascii="Verdana" w:hAnsi="Verdana"/>
          <w:lang w:val="es-ES_tradnl"/>
        </w:rPr>
        <w:footnoteReference w:id="88"/>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50</w:t>
      </w:r>
      <w:r w:rsidR="004756C1" w:rsidRPr="002F50BD">
        <w:rPr>
          <w:rFonts w:ascii="Verdana" w:hAnsi="Verdana"/>
          <w:sz w:val="20"/>
          <w:lang w:val="pt-BR"/>
        </w:rPr>
        <w:t>.</w:t>
      </w:r>
      <w:r w:rsidR="004756C1" w:rsidRPr="002F50BD">
        <w:rPr>
          <w:rFonts w:ascii="Verdana" w:hAnsi="Verdana"/>
          <w:sz w:val="20"/>
          <w:lang w:val="pt-BR"/>
        </w:rPr>
        <w:tab/>
      </w:r>
      <w:r w:rsidR="00EC5F20" w:rsidRPr="002F50BD">
        <w:rPr>
          <w:rFonts w:ascii="Verdana" w:hAnsi="Verdana"/>
          <w:sz w:val="20"/>
          <w:lang w:val="pt-BR"/>
        </w:rPr>
        <w:t>Em face d</w:t>
      </w:r>
      <w:r w:rsidR="00175B8D" w:rsidRPr="002F50BD">
        <w:rPr>
          <w:rFonts w:ascii="Verdana" w:hAnsi="Verdana"/>
          <w:sz w:val="20"/>
          <w:lang w:val="pt-BR"/>
        </w:rPr>
        <w:t>o anterior</w:t>
      </w:r>
      <w:r w:rsidR="004756C1"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por </w:t>
      </w:r>
      <w:r w:rsidR="0089298C" w:rsidRPr="002F50BD">
        <w:rPr>
          <w:rFonts w:ascii="Verdana" w:hAnsi="Verdana"/>
          <w:sz w:val="20"/>
          <w:lang w:val="pt-BR"/>
        </w:rPr>
        <w:t xml:space="preserve">meio </w:t>
      </w:r>
      <w:r w:rsidR="004756C1" w:rsidRPr="002F50BD">
        <w:rPr>
          <w:rFonts w:ascii="Verdana" w:hAnsi="Verdana"/>
          <w:sz w:val="20"/>
          <w:lang w:val="pt-BR"/>
        </w:rPr>
        <w:t xml:space="preserve">de </w:t>
      </w:r>
      <w:r w:rsidR="0022481E" w:rsidRPr="002F50BD">
        <w:rPr>
          <w:rFonts w:ascii="Verdana" w:hAnsi="Verdana"/>
          <w:sz w:val="20"/>
          <w:lang w:val="pt-BR"/>
        </w:rPr>
        <w:t>seus advogados</w:t>
      </w:r>
      <w:r w:rsidR="004756C1" w:rsidRPr="002F50BD">
        <w:rPr>
          <w:rFonts w:ascii="Verdana" w:hAnsi="Verdana"/>
          <w:sz w:val="20"/>
          <w:lang w:val="pt-BR"/>
        </w:rPr>
        <w:t xml:space="preserve">, </w:t>
      </w:r>
      <w:r w:rsidR="0089298C" w:rsidRPr="002F50BD">
        <w:rPr>
          <w:rFonts w:ascii="Verdana" w:hAnsi="Verdana"/>
          <w:sz w:val="20"/>
          <w:lang w:val="pt-BR"/>
        </w:rPr>
        <w:t xml:space="preserve">apresentou um </w:t>
      </w:r>
      <w:r w:rsidR="004756C1" w:rsidRPr="002F50BD">
        <w:rPr>
          <w:rFonts w:ascii="Verdana" w:hAnsi="Verdana"/>
          <w:sz w:val="20"/>
          <w:lang w:val="pt-BR"/>
        </w:rPr>
        <w:t>recurso de reconsidera</w:t>
      </w:r>
      <w:r w:rsidR="0089298C" w:rsidRPr="002F50BD">
        <w:rPr>
          <w:rFonts w:ascii="Verdana" w:hAnsi="Verdana"/>
          <w:sz w:val="20"/>
          <w:lang w:val="pt-BR"/>
        </w:rPr>
        <w:t>ção</w:t>
      </w:r>
      <w:r w:rsidR="00AB454A" w:rsidRPr="002F50BD">
        <w:rPr>
          <w:rFonts w:ascii="Verdana" w:hAnsi="Verdana"/>
          <w:sz w:val="20"/>
          <w:lang w:val="pt-BR"/>
        </w:rPr>
        <w:t xml:space="preserve"> contra </w:t>
      </w:r>
      <w:r w:rsidR="0089298C" w:rsidRPr="002F50BD">
        <w:rPr>
          <w:rFonts w:ascii="Verdana" w:hAnsi="Verdana"/>
          <w:sz w:val="20"/>
          <w:lang w:val="pt-BR"/>
        </w:rPr>
        <w:t xml:space="preserve">esta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recurso que</w:t>
      </w:r>
      <w:r w:rsidR="0089298C" w:rsidRPr="002F50BD">
        <w:rPr>
          <w:rFonts w:ascii="Verdana" w:hAnsi="Verdana"/>
          <w:sz w:val="20"/>
          <w:lang w:val="pt-BR"/>
        </w:rPr>
        <w:t xml:space="preserve"> foi </w:t>
      </w:r>
      <w:r w:rsidR="00EC5F20" w:rsidRPr="002F50BD">
        <w:rPr>
          <w:rFonts w:ascii="Verdana" w:hAnsi="Verdana"/>
          <w:sz w:val="20"/>
          <w:lang w:val="pt-BR"/>
        </w:rPr>
        <w:t>rejeitado</w:t>
      </w:r>
      <w:r w:rsidR="0089298C" w:rsidRPr="002F50BD">
        <w:rPr>
          <w:rFonts w:ascii="Verdana" w:hAnsi="Verdana"/>
          <w:sz w:val="20"/>
          <w:lang w:val="pt-BR"/>
        </w:rPr>
        <w:t xml:space="preserve"> em </w:t>
      </w:r>
      <w:r w:rsidRPr="002F50BD">
        <w:rPr>
          <w:rFonts w:ascii="Verdana" w:hAnsi="Verdana"/>
          <w:sz w:val="20"/>
          <w:lang w:val="pt-BR"/>
        </w:rPr>
        <w:t>28</w:t>
      </w:r>
      <w:r w:rsidR="004756C1" w:rsidRPr="002F50BD">
        <w:rPr>
          <w:rFonts w:ascii="Verdana" w:hAnsi="Verdana"/>
          <w:sz w:val="20"/>
          <w:lang w:val="pt-BR"/>
        </w:rPr>
        <w:t xml:space="preserve"> de agosto de </w:t>
      </w:r>
      <w:r w:rsidRPr="002F50BD">
        <w:rPr>
          <w:rFonts w:ascii="Verdana" w:hAnsi="Verdana"/>
          <w:sz w:val="20"/>
          <w:lang w:val="pt-BR"/>
        </w:rPr>
        <w:t>2000</w:t>
      </w:r>
      <w:r w:rsidR="0089298C" w:rsidRPr="002F50BD">
        <w:rPr>
          <w:rFonts w:ascii="Verdana" w:hAnsi="Verdana"/>
          <w:sz w:val="20"/>
          <w:lang w:val="pt-BR"/>
        </w:rPr>
        <w:t xml:space="preserve"> pela própria </w:t>
      </w:r>
      <w:r w:rsidR="004756C1" w:rsidRPr="002F50BD">
        <w:rPr>
          <w:rFonts w:ascii="Verdana" w:hAnsi="Verdana"/>
          <w:sz w:val="20"/>
          <w:lang w:val="pt-BR"/>
        </w:rPr>
        <w:t xml:space="preserve">Presidenta </w:t>
      </w:r>
      <w:r w:rsidR="0089298C" w:rsidRPr="002F50BD">
        <w:rPr>
          <w:rFonts w:ascii="Verdana" w:hAnsi="Verdana"/>
          <w:sz w:val="20"/>
          <w:lang w:val="pt-BR"/>
        </w:rPr>
        <w:t>do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INDI</w:t>
      </w:r>
      <w:r w:rsidR="00175B8D" w:rsidRPr="002F50BD">
        <w:rPr>
          <w:rFonts w:ascii="Verdana" w:hAnsi="Verdana"/>
          <w:sz w:val="20"/>
          <w:lang w:val="pt-BR"/>
        </w:rPr>
        <w:t>.</w:t>
      </w:r>
      <w:r w:rsidR="004756C1" w:rsidRPr="002F50BD">
        <w:rPr>
          <w:rStyle w:val="FootnoteReference"/>
          <w:rFonts w:ascii="Verdana" w:hAnsi="Verdana"/>
          <w:lang w:val="es-ES_tradnl"/>
        </w:rPr>
        <w:footnoteReference w:id="89"/>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13</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 xml:space="preserve">deixou sem efeito a </w:t>
      </w:r>
      <w:r w:rsidR="004756C1" w:rsidRPr="002F50BD">
        <w:rPr>
          <w:rFonts w:ascii="Verdana" w:hAnsi="Verdana"/>
          <w:sz w:val="20"/>
          <w:lang w:val="pt-BR"/>
        </w:rPr>
        <w:t>mencionada resolu</w:t>
      </w:r>
      <w:r w:rsidR="0089298C" w:rsidRPr="002F50BD">
        <w:rPr>
          <w:rFonts w:ascii="Verdana" w:hAnsi="Verdana"/>
          <w:sz w:val="20"/>
          <w:lang w:val="pt-BR"/>
        </w:rPr>
        <w:t xml:space="preserve">ção da </w:t>
      </w:r>
      <w:r w:rsidR="004756C1" w:rsidRPr="002F50BD">
        <w:rPr>
          <w:rFonts w:ascii="Verdana" w:hAnsi="Verdana"/>
          <w:sz w:val="20"/>
          <w:lang w:val="pt-BR"/>
        </w:rPr>
        <w:t xml:space="preserve">Presidenta </w:t>
      </w:r>
      <w:r w:rsidR="0089298C" w:rsidRPr="002F50BD">
        <w:rPr>
          <w:rFonts w:ascii="Verdana" w:hAnsi="Verdana"/>
          <w:sz w:val="20"/>
          <w:lang w:val="pt-BR"/>
        </w:rPr>
        <w:t>do Conselho e decidiu</w:t>
      </w:r>
      <w:r w:rsidR="004756C1" w:rsidRPr="002F50BD">
        <w:rPr>
          <w:rFonts w:ascii="Verdana" w:hAnsi="Verdana"/>
          <w:sz w:val="20"/>
          <w:lang w:val="pt-BR"/>
        </w:rPr>
        <w:t xml:space="preserve"> solicitar</w:t>
      </w:r>
      <w:r w:rsidR="0089298C" w:rsidRPr="002F50BD">
        <w:rPr>
          <w:rFonts w:ascii="Verdana" w:hAnsi="Verdana"/>
          <w:sz w:val="20"/>
          <w:lang w:val="pt-BR"/>
        </w:rPr>
        <w:t xml:space="preserve"> ao </w:t>
      </w:r>
      <w:r w:rsidR="004756C1" w:rsidRPr="002F50BD">
        <w:rPr>
          <w:rFonts w:ascii="Verdana" w:hAnsi="Verdana"/>
          <w:sz w:val="20"/>
          <w:lang w:val="pt-BR"/>
        </w:rPr>
        <w:t>IBR</w:t>
      </w:r>
      <w:r w:rsidR="0089298C" w:rsidRPr="002F50BD">
        <w:rPr>
          <w:rFonts w:ascii="Verdana" w:hAnsi="Verdana"/>
          <w:sz w:val="20"/>
          <w:lang w:val="pt-BR"/>
        </w:rPr>
        <w:t xml:space="preserve"> </w:t>
      </w:r>
      <w:r w:rsidR="00D51287" w:rsidRPr="002F50BD">
        <w:rPr>
          <w:rFonts w:ascii="Verdana" w:hAnsi="Verdana"/>
          <w:sz w:val="20"/>
          <w:lang w:val="pt-BR"/>
        </w:rPr>
        <w:t>o envio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expediente administrativo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7261</w:t>
      </w:r>
      <w:r w:rsidR="004756C1" w:rsidRPr="002F50BD">
        <w:rPr>
          <w:rFonts w:ascii="Verdana" w:hAnsi="Verdana"/>
          <w:sz w:val="20"/>
          <w:lang w:val="pt-BR"/>
        </w:rPr>
        <w:t>/</w:t>
      </w:r>
      <w:r w:rsidRPr="002F50BD">
        <w:rPr>
          <w:rFonts w:ascii="Verdana" w:hAnsi="Verdana"/>
          <w:sz w:val="20"/>
          <w:lang w:val="pt-BR"/>
        </w:rPr>
        <w:t>93</w:t>
      </w:r>
      <w:r w:rsidR="004756C1" w:rsidRPr="002F50BD">
        <w:rPr>
          <w:rStyle w:val="FootnoteReference"/>
          <w:rFonts w:ascii="Verdana" w:hAnsi="Verdana"/>
          <w:lang w:val="es-ES_tradnl"/>
        </w:rPr>
        <w:footnoteReference w:id="90"/>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49</w:t>
      </w:r>
      <w:r w:rsidR="00175B8D" w:rsidRPr="002F50BD">
        <w:rPr>
          <w:rFonts w:ascii="Verdana" w:hAnsi="Verdana"/>
          <w:i/>
          <w:sz w:val="20"/>
          <w:lang w:val="pt-BR"/>
        </w:rPr>
        <w:t xml:space="preserve"> supra</w:t>
      </w:r>
      <w:r w:rsidR="00CF451D" w:rsidRPr="00CF451D">
        <w:rPr>
          <w:rFonts w:ascii="Verdana" w:hAnsi="Verdana"/>
          <w:sz w:val="20"/>
          <w:lang w:val="pt-BR"/>
        </w:rPr>
        <w:t>)</w:t>
      </w:r>
      <w:r w:rsidR="00AB454A" w:rsidRPr="002F50BD">
        <w:rPr>
          <w:rFonts w:ascii="Verdana" w:hAnsi="Verdana"/>
          <w:sz w:val="20"/>
          <w:lang w:val="pt-BR"/>
        </w:rPr>
        <w:t xml:space="preserve">. </w:t>
      </w:r>
      <w:r w:rsidR="00175B8D"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22481E" w:rsidRPr="002F50BD">
        <w:rPr>
          <w:rFonts w:ascii="Verdana" w:hAnsi="Verdana"/>
          <w:sz w:val="20"/>
          <w:lang w:val="pt-BR"/>
        </w:rPr>
        <w:t>recomendou</w:t>
      </w:r>
      <w:r w:rsidR="0089298C" w:rsidRPr="002F50BD">
        <w:rPr>
          <w:rFonts w:ascii="Verdana" w:hAnsi="Verdana"/>
          <w:sz w:val="20"/>
          <w:lang w:val="pt-BR"/>
        </w:rPr>
        <w:t xml:space="preserve"> ao </w:t>
      </w:r>
      <w:r w:rsidR="004756C1" w:rsidRPr="002F50BD">
        <w:rPr>
          <w:rFonts w:ascii="Verdana" w:hAnsi="Verdana"/>
          <w:sz w:val="20"/>
          <w:lang w:val="pt-BR"/>
        </w:rPr>
        <w:t xml:space="preserve">Presidente </w:t>
      </w:r>
      <w:r w:rsidR="00175B8D" w:rsidRPr="002F50BD">
        <w:rPr>
          <w:rFonts w:ascii="Verdana" w:hAnsi="Verdana"/>
          <w:sz w:val="20"/>
          <w:lang w:val="pt-BR"/>
        </w:rPr>
        <w:t xml:space="preserve">desse Instituto </w:t>
      </w:r>
      <w:r w:rsidR="004756C1" w:rsidRPr="002F50BD">
        <w:rPr>
          <w:rFonts w:ascii="Verdana" w:hAnsi="Verdana"/>
          <w:sz w:val="20"/>
          <w:lang w:val="pt-BR"/>
        </w:rPr>
        <w:t>rem</w:t>
      </w:r>
      <w:r w:rsidR="00175B8D" w:rsidRPr="002F50BD">
        <w:rPr>
          <w:rFonts w:ascii="Verdana" w:hAnsi="Verdana"/>
          <w:sz w:val="20"/>
          <w:lang w:val="pt-BR"/>
        </w:rPr>
        <w:t>e</w:t>
      </w:r>
      <w:r w:rsidR="004756C1" w:rsidRPr="002F50BD">
        <w:rPr>
          <w:rFonts w:ascii="Verdana" w:hAnsi="Verdana"/>
          <w:sz w:val="20"/>
          <w:lang w:val="pt-BR"/>
        </w:rPr>
        <w:t>t</w:t>
      </w:r>
      <w:r w:rsidR="00175B8D" w:rsidRPr="002F50BD">
        <w:rPr>
          <w:rFonts w:ascii="Verdana" w:hAnsi="Verdana"/>
          <w:sz w:val="20"/>
          <w:lang w:val="pt-BR"/>
        </w:rPr>
        <w:t>e</w:t>
      </w:r>
      <w:r w:rsidR="004756C1" w:rsidRPr="002F50BD">
        <w:rPr>
          <w:rFonts w:ascii="Verdana" w:hAnsi="Verdana"/>
          <w:sz w:val="20"/>
          <w:lang w:val="pt-BR"/>
        </w:rPr>
        <w:t>r</w:t>
      </w:r>
      <w:r w:rsidR="0089298C" w:rsidRPr="002F50BD">
        <w:rPr>
          <w:rFonts w:ascii="Verdana" w:hAnsi="Verdana"/>
          <w:sz w:val="20"/>
          <w:lang w:val="pt-BR"/>
        </w:rPr>
        <w:t xml:space="preserve"> ao </w:t>
      </w:r>
      <w:r w:rsidR="004756C1" w:rsidRPr="002F50BD">
        <w:rPr>
          <w:rFonts w:ascii="Verdana" w:hAnsi="Verdana"/>
          <w:sz w:val="20"/>
          <w:lang w:val="pt-BR"/>
        </w:rPr>
        <w:t>INDI</w:t>
      </w:r>
      <w:r w:rsidR="0089298C" w:rsidRPr="002F50BD">
        <w:rPr>
          <w:rFonts w:ascii="Verdana" w:hAnsi="Verdana"/>
          <w:sz w:val="20"/>
          <w:lang w:val="pt-BR"/>
        </w:rPr>
        <w:t xml:space="preserve"> o </w:t>
      </w:r>
      <w:r w:rsidR="004756C1" w:rsidRPr="002F50BD">
        <w:rPr>
          <w:rFonts w:ascii="Verdana" w:hAnsi="Verdana"/>
          <w:sz w:val="20"/>
          <w:lang w:val="pt-BR"/>
        </w:rPr>
        <w:t>referido expediente administrativo para s</w:t>
      </w:r>
      <w:r w:rsidR="00175B8D" w:rsidRPr="002F50BD">
        <w:rPr>
          <w:rFonts w:ascii="Verdana" w:hAnsi="Verdana"/>
          <w:sz w:val="20"/>
          <w:lang w:val="pt-BR"/>
        </w:rPr>
        <w:t>e</w:t>
      </w:r>
      <w:r w:rsidR="004756C1" w:rsidRPr="002F50BD">
        <w:rPr>
          <w:rFonts w:ascii="Verdana" w:hAnsi="Verdana"/>
          <w:sz w:val="20"/>
          <w:lang w:val="pt-BR"/>
        </w:rPr>
        <w:t xml:space="preserve">u </w:t>
      </w:r>
      <w:r w:rsidR="0089298C" w:rsidRPr="002F50BD">
        <w:rPr>
          <w:rFonts w:ascii="Verdana" w:hAnsi="Verdana"/>
          <w:sz w:val="20"/>
          <w:lang w:val="pt-BR"/>
        </w:rPr>
        <w:t xml:space="preserve">estudo e </w:t>
      </w:r>
      <w:r w:rsidR="004756C1" w:rsidRPr="002F50BD">
        <w:rPr>
          <w:rFonts w:ascii="Verdana" w:hAnsi="Verdana"/>
          <w:sz w:val="20"/>
          <w:lang w:val="pt-BR"/>
        </w:rPr>
        <w:t>considera</w:t>
      </w:r>
      <w:r w:rsidR="0089298C" w:rsidRPr="002F50BD">
        <w:rPr>
          <w:rFonts w:ascii="Verdana" w:hAnsi="Verdana"/>
          <w:sz w:val="20"/>
          <w:lang w:val="pt-BR"/>
        </w:rPr>
        <w:t>ção</w:t>
      </w:r>
      <w:r w:rsidR="004756C1" w:rsidRPr="002F50BD">
        <w:rPr>
          <w:rFonts w:ascii="Verdana" w:hAnsi="Verdana"/>
          <w:sz w:val="20"/>
          <w:lang w:val="pt-BR"/>
        </w:rPr>
        <w:t xml:space="preserve"> dentro </w:t>
      </w:r>
      <w:r w:rsidR="0089298C" w:rsidRPr="002F50BD">
        <w:rPr>
          <w:rFonts w:ascii="Verdana" w:hAnsi="Verdana"/>
          <w:sz w:val="20"/>
          <w:lang w:val="pt-BR"/>
        </w:rPr>
        <w:t xml:space="preserve">do amplo </w:t>
      </w:r>
      <w:r w:rsidR="004756C1" w:rsidRPr="002F50BD">
        <w:rPr>
          <w:rFonts w:ascii="Verdana" w:hAnsi="Verdana"/>
          <w:sz w:val="20"/>
          <w:lang w:val="pt-BR"/>
        </w:rPr>
        <w:t>marco</w:t>
      </w:r>
      <w:r w:rsidR="0089298C" w:rsidRPr="002F50BD">
        <w:rPr>
          <w:rFonts w:ascii="Verdana" w:hAnsi="Verdana"/>
          <w:sz w:val="20"/>
          <w:lang w:val="pt-BR"/>
        </w:rPr>
        <w:t xml:space="preserve"> d</w:t>
      </w:r>
      <w:r w:rsidR="00A953E1"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prescri</w:t>
      </w:r>
      <w:r w:rsidR="0089298C" w:rsidRPr="002F50BD">
        <w:rPr>
          <w:rFonts w:ascii="Verdana" w:hAnsi="Verdana"/>
          <w:sz w:val="20"/>
          <w:lang w:val="pt-BR"/>
        </w:rPr>
        <w:t>ções da 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175B8D" w:rsidRPr="002F50BD">
        <w:rPr>
          <w:rFonts w:ascii="Verdana" w:hAnsi="Verdana"/>
          <w:sz w:val="20"/>
          <w:lang w:val="pt-BR"/>
        </w:rPr>
        <w:t>.</w:t>
      </w:r>
      <w:r w:rsidR="004756C1" w:rsidRPr="002F50BD">
        <w:rPr>
          <w:rStyle w:val="FootnoteReference"/>
          <w:rFonts w:ascii="Verdana" w:hAnsi="Verdana"/>
          <w:lang w:val="es-ES_tradnl"/>
        </w:rPr>
        <w:footnoteReference w:id="91"/>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52</w:t>
      </w:r>
      <w:r w:rsidR="004756C1" w:rsidRPr="002F50BD">
        <w:rPr>
          <w:rFonts w:ascii="Verdana" w:hAnsi="Verdana"/>
          <w:sz w:val="20"/>
          <w:lang w:val="pt-BR"/>
        </w:rPr>
        <w:t>.</w:t>
      </w:r>
      <w:r w:rsidR="004756C1" w:rsidRPr="002F50BD">
        <w:rPr>
          <w:rFonts w:ascii="Verdana" w:hAnsi="Verdana"/>
          <w:sz w:val="20"/>
          <w:lang w:val="pt-BR"/>
        </w:rPr>
        <w:tab/>
        <w:t>Mediante resolu</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Presidente </w:t>
      </w:r>
      <w:r w:rsidR="0089298C" w:rsidRPr="002F50BD">
        <w:rPr>
          <w:rFonts w:ascii="Verdana" w:hAnsi="Verdana"/>
          <w:sz w:val="20"/>
          <w:lang w:val="pt-BR"/>
        </w:rPr>
        <w:t>do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de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2001</w:t>
      </w:r>
      <w:r w:rsidR="004756C1" w:rsidRPr="002F50BD">
        <w:rPr>
          <w:rFonts w:ascii="Verdana" w:hAnsi="Verdana"/>
          <w:sz w:val="20"/>
          <w:lang w:val="pt-BR"/>
        </w:rPr>
        <w:t>,</w:t>
      </w:r>
      <w:r w:rsidR="0089298C" w:rsidRPr="002F50BD">
        <w:rPr>
          <w:rFonts w:ascii="Verdana" w:hAnsi="Verdana"/>
          <w:sz w:val="20"/>
          <w:lang w:val="pt-BR"/>
        </w:rPr>
        <w:t xml:space="preserve"> a senhora</w:t>
      </w:r>
      <w:r w:rsidR="004756C1" w:rsidRPr="002F50BD">
        <w:rPr>
          <w:rFonts w:ascii="Verdana" w:hAnsi="Verdana"/>
          <w:sz w:val="20"/>
          <w:lang w:val="pt-BR"/>
        </w:rPr>
        <w:t xml:space="preserve"> Teresa Vargas, </w:t>
      </w:r>
      <w:r w:rsidR="0089298C" w:rsidRPr="002F50BD">
        <w:rPr>
          <w:rFonts w:ascii="Verdana" w:hAnsi="Verdana"/>
          <w:sz w:val="20"/>
          <w:lang w:val="pt-BR"/>
        </w:rPr>
        <w:t>membro deste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ivo</w:t>
      </w:r>
      <w:r w:rsidR="0089298C" w:rsidRPr="002F50BD">
        <w:rPr>
          <w:rFonts w:ascii="Verdana" w:hAnsi="Verdana"/>
          <w:sz w:val="20"/>
          <w:lang w:val="pt-BR"/>
        </w:rPr>
        <w:t xml:space="preserve">, e o senhor </w:t>
      </w:r>
      <w:r w:rsidR="004756C1" w:rsidRPr="002F50BD">
        <w:rPr>
          <w:rFonts w:ascii="Verdana" w:hAnsi="Verdana"/>
          <w:sz w:val="20"/>
          <w:lang w:val="pt-BR"/>
        </w:rPr>
        <w:t xml:space="preserve">Oscar Centurión, </w:t>
      </w:r>
      <w:r w:rsidR="0089298C" w:rsidRPr="002F50BD">
        <w:rPr>
          <w:rFonts w:ascii="Verdana" w:hAnsi="Verdana"/>
          <w:sz w:val="20"/>
          <w:lang w:val="pt-BR"/>
        </w:rPr>
        <w:t>assessor da Presidência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foram</w:t>
      </w:r>
      <w:r w:rsidR="004756C1" w:rsidRPr="002F50BD">
        <w:rPr>
          <w:rFonts w:ascii="Verdana" w:hAnsi="Verdana"/>
          <w:sz w:val="20"/>
          <w:lang w:val="pt-BR"/>
        </w:rPr>
        <w:t xml:space="preserve"> designados para</w:t>
      </w:r>
      <w:r w:rsidR="0089298C" w:rsidRPr="002F50BD">
        <w:rPr>
          <w:rFonts w:ascii="Verdana" w:hAnsi="Verdana"/>
          <w:sz w:val="20"/>
          <w:lang w:val="pt-BR"/>
        </w:rPr>
        <w:t xml:space="preserve"> a </w:t>
      </w:r>
      <w:r w:rsidR="004756C1" w:rsidRPr="002F50BD">
        <w:rPr>
          <w:rFonts w:ascii="Verdana" w:hAnsi="Verdana"/>
          <w:sz w:val="20"/>
          <w:lang w:val="pt-BR"/>
        </w:rPr>
        <w:t>prepara</w:t>
      </w:r>
      <w:r w:rsidR="0089298C" w:rsidRPr="002F50BD">
        <w:rPr>
          <w:rFonts w:ascii="Verdana" w:hAnsi="Verdana"/>
          <w:sz w:val="20"/>
          <w:lang w:val="pt-BR"/>
        </w:rPr>
        <w:t>ção</w:t>
      </w:r>
      <w:r w:rsidR="004756C1" w:rsidRPr="002F50BD">
        <w:rPr>
          <w:rFonts w:ascii="Verdana" w:hAnsi="Verdana"/>
          <w:sz w:val="20"/>
          <w:lang w:val="pt-BR"/>
        </w:rPr>
        <w:t xml:space="preserve"> de todos</w:t>
      </w:r>
      <w:r w:rsidR="0089298C" w:rsidRPr="002F50BD">
        <w:rPr>
          <w:rFonts w:ascii="Verdana" w:hAnsi="Verdana"/>
          <w:sz w:val="20"/>
          <w:lang w:val="pt-BR"/>
        </w:rPr>
        <w:t xml:space="preserve"> os </w:t>
      </w:r>
      <w:r w:rsidR="00175B8D" w:rsidRPr="002F50BD">
        <w:rPr>
          <w:rFonts w:ascii="Verdana" w:hAnsi="Verdana"/>
          <w:sz w:val="20"/>
          <w:lang w:val="pt-BR"/>
        </w:rPr>
        <w:t xml:space="preserve">cuidados </w:t>
      </w:r>
      <w:r w:rsidR="0089298C" w:rsidRPr="002F50BD">
        <w:rPr>
          <w:rFonts w:ascii="Verdana" w:hAnsi="Verdana"/>
          <w:sz w:val="20"/>
          <w:lang w:val="pt-BR"/>
        </w:rPr>
        <w:t>necessári</w:t>
      </w:r>
      <w:r w:rsidR="004756C1" w:rsidRPr="002F50BD">
        <w:rPr>
          <w:rFonts w:ascii="Verdana" w:hAnsi="Verdana"/>
          <w:sz w:val="20"/>
          <w:lang w:val="pt-BR"/>
        </w:rPr>
        <w:t>os para</w:t>
      </w:r>
      <w:r w:rsidR="0089298C" w:rsidRPr="002F50BD">
        <w:rPr>
          <w:rFonts w:ascii="Verdana" w:hAnsi="Verdana"/>
          <w:sz w:val="20"/>
          <w:lang w:val="pt-BR"/>
        </w:rPr>
        <w:t xml:space="preserve"> apresentar o </w:t>
      </w:r>
      <w:r w:rsidR="004756C1" w:rsidRPr="002F50BD">
        <w:rPr>
          <w:rFonts w:ascii="Verdana" w:hAnsi="Verdana"/>
          <w:sz w:val="20"/>
          <w:lang w:val="pt-BR"/>
        </w:rPr>
        <w:t xml:space="preserve">pedido de </w:t>
      </w:r>
      <w:r w:rsidR="00DB51F0" w:rsidRPr="002F50BD">
        <w:rPr>
          <w:rFonts w:ascii="Verdana" w:hAnsi="Verdana"/>
          <w:sz w:val="20"/>
          <w:lang w:val="pt-BR"/>
        </w:rPr>
        <w:t>expropriação</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fr</w:t>
      </w:r>
      <w:r w:rsidR="004076AD" w:rsidRPr="002F50BD">
        <w:rPr>
          <w:rFonts w:ascii="Verdana" w:hAnsi="Verdana"/>
          <w:sz w:val="20"/>
          <w:lang w:val="pt-BR"/>
        </w:rPr>
        <w:t>ação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 para</w:t>
      </w:r>
      <w:r w:rsidR="0089298C" w:rsidRPr="002F50BD">
        <w:rPr>
          <w:rFonts w:ascii="Verdana" w:hAnsi="Verdana"/>
          <w:sz w:val="20"/>
          <w:lang w:val="pt-BR"/>
        </w:rPr>
        <w:t xml:space="preserve"> a Comunidade </w:t>
      </w:r>
      <w:r w:rsidR="004756C1" w:rsidRPr="002F50BD">
        <w:rPr>
          <w:rFonts w:ascii="Verdana" w:hAnsi="Verdana"/>
          <w:sz w:val="20"/>
          <w:lang w:val="pt-BR"/>
        </w:rPr>
        <w:t>Yakye Axa</w:t>
      </w:r>
      <w:r w:rsidR="00175B8D" w:rsidRPr="002F50BD">
        <w:rPr>
          <w:rFonts w:ascii="Verdana" w:hAnsi="Verdana"/>
          <w:sz w:val="20"/>
          <w:lang w:val="pt-BR"/>
        </w:rPr>
        <w:t>.</w:t>
      </w:r>
      <w:r w:rsidR="004756C1" w:rsidRPr="002F50BD">
        <w:rPr>
          <w:rStyle w:val="FootnoteReference"/>
          <w:rFonts w:ascii="Verdana" w:hAnsi="Verdana"/>
          <w:lang w:val="es-ES_tradnl"/>
        </w:rPr>
        <w:footnoteReference w:id="92"/>
      </w:r>
      <w:r w:rsidR="00BE346D" w:rsidRPr="002F50BD">
        <w:rPr>
          <w:rFonts w:ascii="Verdana" w:hAnsi="Verdana"/>
          <w:sz w:val="20"/>
          <w:lang w:val="pt-BR"/>
        </w:rPr>
        <w:t xml:space="preserve"> As </w:t>
      </w:r>
      <w:r w:rsidR="004756C1" w:rsidRPr="002F50BD">
        <w:rPr>
          <w:rFonts w:ascii="Verdana" w:hAnsi="Verdana"/>
          <w:sz w:val="20"/>
          <w:lang w:val="pt-BR"/>
        </w:rPr>
        <w:t xml:space="preserve">mencionadas </w:t>
      </w:r>
      <w:r w:rsidR="0089298C" w:rsidRPr="002F50BD">
        <w:rPr>
          <w:rFonts w:ascii="Verdana" w:hAnsi="Verdana"/>
          <w:sz w:val="20"/>
          <w:lang w:val="pt-BR"/>
        </w:rPr>
        <w:t>pessoa</w:t>
      </w:r>
      <w:r w:rsidR="004756C1" w:rsidRPr="002F50BD">
        <w:rPr>
          <w:rFonts w:ascii="Verdana" w:hAnsi="Verdana"/>
          <w:sz w:val="20"/>
          <w:lang w:val="pt-BR"/>
        </w:rPr>
        <w:t xml:space="preserve">s </w:t>
      </w:r>
      <w:r w:rsidR="0089298C" w:rsidRPr="002F50BD">
        <w:rPr>
          <w:rFonts w:ascii="Verdana" w:hAnsi="Verdana"/>
          <w:sz w:val="20"/>
          <w:lang w:val="pt-BR"/>
        </w:rPr>
        <w:t xml:space="preserve">realizaram uma </w:t>
      </w:r>
      <w:r w:rsidR="004756C1" w:rsidRPr="002F50BD">
        <w:rPr>
          <w:rFonts w:ascii="Verdana" w:hAnsi="Verdana"/>
          <w:sz w:val="20"/>
          <w:lang w:val="pt-BR"/>
        </w:rPr>
        <w:t>visita</w:t>
      </w:r>
      <w:r w:rsidR="0089298C" w:rsidRPr="002F50BD">
        <w:rPr>
          <w:rFonts w:ascii="Verdana" w:hAnsi="Verdana"/>
          <w:sz w:val="20"/>
          <w:lang w:val="pt-BR"/>
        </w:rPr>
        <w:t xml:space="preserve"> à Comunidade </w:t>
      </w:r>
      <w:r w:rsidR="004756C1" w:rsidRPr="002F50BD">
        <w:rPr>
          <w:rFonts w:ascii="Verdana" w:hAnsi="Verdana"/>
          <w:sz w:val="20"/>
          <w:lang w:val="pt-BR"/>
        </w:rPr>
        <w:t>Yakye Axa, conversa</w:t>
      </w:r>
      <w:r w:rsidR="00EC5F20" w:rsidRPr="002F50BD">
        <w:rPr>
          <w:rFonts w:ascii="Verdana" w:hAnsi="Verdana"/>
          <w:sz w:val="20"/>
          <w:lang w:val="pt-BR"/>
        </w:rPr>
        <w:t>ram</w:t>
      </w:r>
      <w:r w:rsidR="0089298C" w:rsidRPr="002F50BD">
        <w:rPr>
          <w:rFonts w:ascii="Verdana" w:hAnsi="Verdana"/>
          <w:sz w:val="20"/>
          <w:lang w:val="pt-BR"/>
        </w:rPr>
        <w:t xml:space="preserve"> com </w:t>
      </w:r>
      <w:r w:rsidR="00EC5F20" w:rsidRPr="002F50BD">
        <w:rPr>
          <w:rFonts w:ascii="Verdana" w:hAnsi="Verdana"/>
          <w:sz w:val="20"/>
          <w:lang w:val="pt-BR"/>
        </w:rPr>
        <w:t>seu</w:t>
      </w:r>
      <w:r w:rsidR="0089298C" w:rsidRPr="002F50BD">
        <w:rPr>
          <w:rFonts w:ascii="Verdana" w:hAnsi="Verdana"/>
          <w:sz w:val="20"/>
          <w:lang w:val="pt-BR"/>
        </w:rPr>
        <w:t xml:space="preserve">s </w:t>
      </w:r>
      <w:r w:rsidR="004756C1" w:rsidRPr="002F50BD">
        <w:rPr>
          <w:rFonts w:ascii="Verdana" w:hAnsi="Verdana"/>
          <w:sz w:val="20"/>
          <w:lang w:val="pt-BR"/>
        </w:rPr>
        <w:t>líderes</w:t>
      </w:r>
      <w:r w:rsidR="0089298C" w:rsidRPr="002F50BD">
        <w:rPr>
          <w:rFonts w:ascii="Verdana" w:hAnsi="Verdana"/>
          <w:sz w:val="20"/>
          <w:lang w:val="pt-BR"/>
        </w:rPr>
        <w:t xml:space="preserve"> e </w:t>
      </w:r>
      <w:r w:rsidR="004756C1" w:rsidRPr="002F50BD">
        <w:rPr>
          <w:rFonts w:ascii="Verdana" w:hAnsi="Verdana"/>
          <w:sz w:val="20"/>
          <w:lang w:val="pt-BR"/>
        </w:rPr>
        <w:t>acordar</w:t>
      </w:r>
      <w:r w:rsidR="00175B8D" w:rsidRPr="002F50BD">
        <w:rPr>
          <w:rFonts w:ascii="Verdana" w:hAnsi="Verdana"/>
          <w:sz w:val="20"/>
          <w:lang w:val="pt-BR"/>
        </w:rPr>
        <w:t>am</w:t>
      </w:r>
      <w:r w:rsidR="004756C1" w:rsidRPr="002F50BD">
        <w:rPr>
          <w:rFonts w:ascii="Verdana" w:hAnsi="Verdana"/>
          <w:sz w:val="20"/>
          <w:lang w:val="pt-BR"/>
        </w:rPr>
        <w:t xml:space="preserve"> que </w:t>
      </w:r>
      <w:r w:rsidR="00175B8D" w:rsidRPr="002F50BD">
        <w:rPr>
          <w:rFonts w:ascii="Verdana" w:hAnsi="Verdana"/>
          <w:sz w:val="20"/>
          <w:lang w:val="pt-BR"/>
        </w:rPr>
        <w:t xml:space="preserve">seriam feitas </w:t>
      </w:r>
      <w:r w:rsidR="0089298C" w:rsidRPr="002F50BD">
        <w:rPr>
          <w:rFonts w:ascii="Verdana" w:hAnsi="Verdana"/>
          <w:sz w:val="20"/>
          <w:lang w:val="pt-BR"/>
        </w:rPr>
        <w:t>as gestões</w:t>
      </w:r>
      <w:r w:rsidR="004756C1" w:rsidRPr="002F50BD">
        <w:rPr>
          <w:rFonts w:ascii="Verdana" w:hAnsi="Verdana"/>
          <w:sz w:val="20"/>
          <w:lang w:val="pt-BR"/>
        </w:rPr>
        <w:t xml:space="preserve"> para reivindicar </w:t>
      </w:r>
      <w:r w:rsidRPr="002F50BD">
        <w:rPr>
          <w:rFonts w:ascii="Verdana" w:hAnsi="Verdana"/>
          <w:sz w:val="20"/>
          <w:lang w:val="pt-BR"/>
        </w:rPr>
        <w:t>7</w:t>
      </w:r>
      <w:r w:rsidR="004756C1" w:rsidRPr="002F50BD">
        <w:rPr>
          <w:rFonts w:ascii="Verdana" w:hAnsi="Verdana"/>
          <w:sz w:val="20"/>
          <w:lang w:val="pt-BR"/>
        </w:rPr>
        <w:t>.</w:t>
      </w:r>
      <w:r w:rsidRPr="002F50BD">
        <w:rPr>
          <w:rFonts w:ascii="Verdana" w:hAnsi="Verdana"/>
          <w:sz w:val="20"/>
          <w:lang w:val="pt-BR"/>
        </w:rPr>
        <w:t>901</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dentro </w:t>
      </w:r>
      <w:r w:rsidR="0089298C" w:rsidRPr="002F50BD">
        <w:rPr>
          <w:rFonts w:ascii="Verdana" w:hAnsi="Verdana"/>
          <w:sz w:val="20"/>
          <w:lang w:val="pt-BR"/>
        </w:rPr>
        <w:t>d</w:t>
      </w:r>
      <w:r w:rsidR="00175B8D"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área reivindicada para</w:t>
      </w:r>
      <w:r w:rsidR="0089298C" w:rsidRPr="002F50BD">
        <w:rPr>
          <w:rFonts w:ascii="Verdana" w:hAnsi="Verdana"/>
          <w:sz w:val="20"/>
          <w:lang w:val="pt-BR"/>
        </w:rPr>
        <w:t xml:space="preserve"> o </w:t>
      </w:r>
      <w:r w:rsidR="005A6BC7" w:rsidRPr="002F50BD">
        <w:rPr>
          <w:rFonts w:ascii="Verdana" w:hAnsi="Verdana"/>
          <w:sz w:val="20"/>
          <w:lang w:val="pt-BR"/>
        </w:rPr>
        <w:t>assent</w:t>
      </w:r>
      <w:r w:rsidR="00EC5F20" w:rsidRPr="002F50BD">
        <w:rPr>
          <w:rFonts w:ascii="Verdana" w:hAnsi="Verdana"/>
          <w:sz w:val="20"/>
          <w:lang w:val="pt-BR"/>
        </w:rPr>
        <w:t>ament</w:t>
      </w:r>
      <w:r w:rsidR="005A6BC7" w:rsidRPr="002F50BD">
        <w:rPr>
          <w:rFonts w:ascii="Verdana" w:hAnsi="Verdana"/>
          <w:sz w:val="20"/>
          <w:lang w:val="pt-BR"/>
        </w:rPr>
        <w:t>o</w:t>
      </w:r>
      <w:r w:rsidR="004756C1" w:rsidRPr="002F50BD">
        <w:rPr>
          <w:rFonts w:ascii="Verdana" w:hAnsi="Verdana"/>
          <w:sz w:val="20"/>
          <w:lang w:val="pt-BR"/>
        </w:rPr>
        <w:t xml:space="preserve"> definitivo</w:t>
      </w:r>
      <w:r w:rsidR="0089298C" w:rsidRPr="002F50BD">
        <w:rPr>
          <w:rFonts w:ascii="Verdana" w:hAnsi="Verdana"/>
          <w:sz w:val="20"/>
          <w:lang w:val="pt-BR"/>
        </w:rPr>
        <w:t xml:space="preserve"> da Comunidade </w:t>
      </w:r>
      <w:r w:rsidR="004756C1" w:rsidRPr="002F50BD">
        <w:rPr>
          <w:rFonts w:ascii="Verdana" w:hAnsi="Verdana"/>
          <w:sz w:val="20"/>
          <w:lang w:val="pt-BR"/>
        </w:rPr>
        <w:t>indígena</w:t>
      </w:r>
      <w:r w:rsidR="00175B8D" w:rsidRPr="002F50BD">
        <w:rPr>
          <w:rFonts w:ascii="Verdana" w:hAnsi="Verdana"/>
          <w:sz w:val="20"/>
          <w:lang w:val="pt-BR"/>
        </w:rPr>
        <w:t>.</w:t>
      </w:r>
      <w:r w:rsidR="004756C1" w:rsidRPr="002F50BD">
        <w:rPr>
          <w:rStyle w:val="FootnoteReference"/>
          <w:rFonts w:ascii="Verdana" w:hAnsi="Verdana"/>
          <w:lang w:val="es-ES_tradnl"/>
        </w:rPr>
        <w:footnoteReference w:id="93"/>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2001</w:t>
      </w:r>
      <w:r w:rsidR="00EC5F20" w:rsidRPr="002F50BD">
        <w:rPr>
          <w:rFonts w:ascii="Verdana" w:hAnsi="Verdana"/>
          <w:sz w:val="20"/>
          <w:lang w:val="pt-BR"/>
        </w:rPr>
        <w:t>,</w:t>
      </w:r>
      <w:r w:rsidR="0089298C" w:rsidRPr="002F50BD">
        <w:rPr>
          <w:rFonts w:ascii="Verdana" w:hAnsi="Verdana"/>
          <w:sz w:val="20"/>
          <w:lang w:val="pt-BR"/>
        </w:rPr>
        <w:t xml:space="preserve"> o Conselho</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 xml:space="preserve">ivo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resolveu</w:t>
      </w:r>
      <w:r w:rsidR="004756C1" w:rsidRPr="002F50BD">
        <w:rPr>
          <w:rFonts w:ascii="Verdana" w:hAnsi="Verdana"/>
          <w:sz w:val="20"/>
          <w:lang w:val="pt-BR"/>
        </w:rPr>
        <w:t xml:space="preserve"> “solicitar</w:t>
      </w:r>
      <w:r w:rsidR="0089298C" w:rsidRPr="002F50BD">
        <w:rPr>
          <w:rFonts w:ascii="Verdana" w:hAnsi="Verdana"/>
          <w:sz w:val="20"/>
          <w:lang w:val="pt-BR"/>
        </w:rPr>
        <w:t xml:space="preserve"> ao </w:t>
      </w:r>
      <w:r w:rsidR="004756C1" w:rsidRPr="002F50BD">
        <w:rPr>
          <w:rFonts w:ascii="Verdana" w:hAnsi="Verdana"/>
          <w:sz w:val="20"/>
          <w:lang w:val="pt-BR"/>
        </w:rPr>
        <w:t xml:space="preserve">Parlamento Nacional[,] </w:t>
      </w:r>
      <w:r w:rsidR="00D51287" w:rsidRPr="002F50BD">
        <w:rPr>
          <w:rFonts w:ascii="Verdana" w:hAnsi="Verdana"/>
          <w:sz w:val="20"/>
          <w:lang w:val="pt-BR"/>
        </w:rPr>
        <w:t>através</w:t>
      </w:r>
      <w:r w:rsidR="004756C1" w:rsidRPr="002F50BD">
        <w:rPr>
          <w:rFonts w:ascii="Verdana" w:hAnsi="Verdana"/>
          <w:sz w:val="20"/>
          <w:lang w:val="pt-BR"/>
        </w:rPr>
        <w:t xml:space="preserve"> [d</w:t>
      </w:r>
      <w:r w:rsidR="00175B8D" w:rsidRPr="002F50BD">
        <w:rPr>
          <w:rFonts w:ascii="Verdana" w:hAnsi="Verdana"/>
          <w:sz w:val="20"/>
          <w:lang w:val="pt-BR"/>
        </w:rPr>
        <w:t>o</w:t>
      </w:r>
      <w:r w:rsidR="004756C1" w:rsidRPr="002F50BD">
        <w:rPr>
          <w:rFonts w:ascii="Verdana" w:hAnsi="Verdana"/>
          <w:sz w:val="20"/>
          <w:lang w:val="pt-BR"/>
        </w:rPr>
        <w:t xml:space="preserve">] Poder </w:t>
      </w:r>
      <w:r w:rsidR="0089298C" w:rsidRPr="002F50BD">
        <w:rPr>
          <w:rFonts w:ascii="Verdana" w:hAnsi="Verdana"/>
          <w:sz w:val="20"/>
          <w:lang w:val="pt-BR"/>
        </w:rPr>
        <w:t>Executiv</w:t>
      </w:r>
      <w:r w:rsidR="004756C1" w:rsidRPr="002F50BD">
        <w:rPr>
          <w:rFonts w:ascii="Verdana" w:hAnsi="Verdana"/>
          <w:sz w:val="20"/>
          <w:lang w:val="pt-BR"/>
        </w:rPr>
        <w:t>o,</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de parte</w:t>
      </w:r>
      <w:r w:rsidR="0089298C" w:rsidRPr="002F50BD">
        <w:rPr>
          <w:rFonts w:ascii="Verdana" w:hAnsi="Verdana"/>
          <w:sz w:val="20"/>
          <w:lang w:val="pt-BR"/>
        </w:rPr>
        <w:t xml:space="preserve"> d</w:t>
      </w:r>
      <w:r w:rsidR="00EC5F20" w:rsidRPr="002F50BD">
        <w:rPr>
          <w:rFonts w:ascii="Verdana" w:hAnsi="Verdana"/>
          <w:sz w:val="20"/>
          <w:lang w:val="pt-BR"/>
        </w:rPr>
        <w:t>a</w:t>
      </w:r>
      <w:r w:rsidR="0089298C" w:rsidRPr="002F50BD">
        <w:rPr>
          <w:rFonts w:ascii="Verdana" w:hAnsi="Verdana"/>
          <w:sz w:val="20"/>
          <w:lang w:val="pt-BR"/>
        </w:rPr>
        <w:t xml:space="preserve">s </w:t>
      </w:r>
      <w:r w:rsidR="00C247F1" w:rsidRPr="002F50BD">
        <w:rPr>
          <w:rFonts w:ascii="Verdana" w:hAnsi="Verdana"/>
          <w:sz w:val="20"/>
          <w:lang w:val="pt-BR"/>
        </w:rPr>
        <w:t>fazendas</w:t>
      </w:r>
      <w:r w:rsidR="00175B8D" w:rsidRPr="002F50BD">
        <w:rPr>
          <w:rFonts w:ascii="Verdana" w:hAnsi="Verdana"/>
          <w:sz w:val="20"/>
          <w:lang w:val="pt-BR"/>
        </w:rPr>
        <w:t xml:space="preserve"> </w:t>
      </w:r>
      <w:r w:rsidR="00F8225E">
        <w:rPr>
          <w:rFonts w:ascii="Verdana" w:hAnsi="Verdana"/>
          <w:sz w:val="20"/>
          <w:lang w:val="pt-BR"/>
        </w:rPr>
        <w:t xml:space="preserve">nº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180</w:t>
      </w:r>
      <w:r w:rsidR="0089298C" w:rsidRPr="002F50BD">
        <w:rPr>
          <w:rFonts w:ascii="Verdana" w:hAnsi="Verdana"/>
          <w:sz w:val="20"/>
          <w:lang w:val="pt-BR"/>
        </w:rPr>
        <w:t xml:space="preserve"> 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181</w:t>
      </w:r>
      <w:r w:rsidR="004756C1" w:rsidRPr="002F50BD">
        <w:rPr>
          <w:rFonts w:ascii="Verdana" w:hAnsi="Verdana"/>
          <w:sz w:val="20"/>
          <w:lang w:val="pt-BR"/>
        </w:rPr>
        <w:t xml:space="preserve"> </w:t>
      </w:r>
      <w:r w:rsidR="0089298C" w:rsidRPr="002F50BD">
        <w:rPr>
          <w:rFonts w:ascii="Verdana" w:hAnsi="Verdana"/>
          <w:sz w:val="20"/>
          <w:lang w:val="pt-BR"/>
        </w:rPr>
        <w:t>do imóvel</w:t>
      </w:r>
      <w:r w:rsidR="004756C1" w:rsidRPr="002F50BD">
        <w:rPr>
          <w:rFonts w:ascii="Verdana" w:hAnsi="Verdana"/>
          <w:sz w:val="20"/>
          <w:lang w:val="pt-BR"/>
        </w:rPr>
        <w:t xml:space="preserve"> </w:t>
      </w:r>
      <w:r w:rsidR="0089298C" w:rsidRPr="002F50BD">
        <w:rPr>
          <w:rFonts w:ascii="Verdana" w:hAnsi="Verdana"/>
          <w:sz w:val="20"/>
          <w:lang w:val="pt-BR"/>
        </w:rPr>
        <w:t>localizad</w:t>
      </w:r>
      <w:r w:rsidR="004756C1" w:rsidRPr="002F50BD">
        <w:rPr>
          <w:rFonts w:ascii="Verdana" w:hAnsi="Verdana"/>
          <w:sz w:val="20"/>
          <w:lang w:val="pt-BR"/>
        </w:rPr>
        <w:t>o</w:t>
      </w:r>
      <w:r w:rsidR="0089298C" w:rsidRPr="002F50BD">
        <w:rPr>
          <w:rFonts w:ascii="Verdana" w:hAnsi="Verdana"/>
          <w:sz w:val="20"/>
          <w:lang w:val="pt-BR"/>
        </w:rPr>
        <w:t xml:space="preserve"> no </w:t>
      </w:r>
      <w:r w:rsidR="004756C1" w:rsidRPr="002F50BD">
        <w:rPr>
          <w:rFonts w:ascii="Verdana" w:hAnsi="Verdana"/>
          <w:sz w:val="20"/>
          <w:lang w:val="pt-BR"/>
        </w:rPr>
        <w:t>Distrito de Pozo Colorado, Departamento Presidente Hayes,</w:t>
      </w:r>
      <w:r w:rsidR="0089298C" w:rsidRPr="002F50BD">
        <w:rPr>
          <w:rFonts w:ascii="Verdana" w:hAnsi="Verdana"/>
          <w:sz w:val="20"/>
          <w:lang w:val="pt-BR"/>
        </w:rPr>
        <w:t xml:space="preserve"> </w:t>
      </w:r>
      <w:r w:rsidR="00175B8D" w:rsidRPr="002F50BD">
        <w:rPr>
          <w:rFonts w:ascii="Verdana" w:hAnsi="Verdana"/>
          <w:sz w:val="20"/>
          <w:lang w:val="pt-BR"/>
        </w:rPr>
        <w:t>com</w:t>
      </w:r>
      <w:r w:rsidR="0089298C" w:rsidRPr="002F50BD">
        <w:rPr>
          <w:rFonts w:ascii="Verdana" w:hAnsi="Verdana"/>
          <w:sz w:val="20"/>
          <w:lang w:val="pt-BR"/>
        </w:rPr>
        <w:t xml:space="preserve"> uma </w:t>
      </w:r>
      <w:r w:rsidR="00E10DBB" w:rsidRPr="002F50BD">
        <w:rPr>
          <w:rFonts w:ascii="Verdana" w:hAnsi="Verdana"/>
          <w:sz w:val="20"/>
          <w:lang w:val="pt-BR"/>
        </w:rPr>
        <w:t>superfície</w:t>
      </w:r>
      <w:r w:rsidR="004756C1" w:rsidRPr="002F50BD">
        <w:rPr>
          <w:rFonts w:ascii="Verdana" w:hAnsi="Verdana"/>
          <w:sz w:val="20"/>
          <w:lang w:val="pt-BR"/>
        </w:rPr>
        <w:t xml:space="preserve"> de </w:t>
      </w:r>
      <w:r w:rsidRPr="002F50BD">
        <w:rPr>
          <w:rFonts w:ascii="Verdana" w:hAnsi="Verdana"/>
          <w:sz w:val="20"/>
          <w:lang w:val="pt-BR"/>
        </w:rPr>
        <w:t>7</w:t>
      </w:r>
      <w:r w:rsidR="004756C1" w:rsidRPr="002F50BD">
        <w:rPr>
          <w:rFonts w:ascii="Verdana" w:hAnsi="Verdana"/>
          <w:sz w:val="20"/>
          <w:lang w:val="pt-BR"/>
        </w:rPr>
        <w:t>.</w:t>
      </w:r>
      <w:r w:rsidRPr="002F50BD">
        <w:rPr>
          <w:rFonts w:ascii="Verdana" w:hAnsi="Verdana"/>
          <w:sz w:val="20"/>
          <w:lang w:val="pt-BR"/>
        </w:rPr>
        <w:t>901</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w:t>
      </w:r>
      <w:r w:rsidR="00175B8D" w:rsidRPr="002F50BD">
        <w:rPr>
          <w:rFonts w:ascii="Verdana" w:hAnsi="Verdana"/>
          <w:sz w:val="20"/>
          <w:lang w:val="pt-BR"/>
        </w:rPr>
        <w:t>.</w:t>
      </w:r>
      <w:r w:rsidR="004756C1" w:rsidRPr="002F50BD">
        <w:rPr>
          <w:rStyle w:val="FootnoteReference"/>
          <w:rFonts w:ascii="Verdana" w:hAnsi="Verdana"/>
          <w:lang w:val="es-ES_tradnl"/>
        </w:rPr>
        <w:footnoteReference w:id="94"/>
      </w:r>
      <w:r w:rsidR="00AB454A" w:rsidRPr="002F50BD">
        <w:rPr>
          <w:rFonts w:ascii="Verdana" w:hAnsi="Verdana"/>
          <w:sz w:val="20"/>
          <w:lang w:val="pt-BR"/>
        </w:rPr>
        <w:t xml:space="preserve"> </w:t>
      </w:r>
      <w:r w:rsidR="00175B8D"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2001</w:t>
      </w:r>
      <w:r w:rsidR="001A4AD3" w:rsidRPr="002F50BD">
        <w:rPr>
          <w:rFonts w:ascii="Verdana" w:hAnsi="Verdana"/>
          <w:sz w:val="20"/>
          <w:lang w:val="pt-BR"/>
        </w:rPr>
        <w:t>,</w:t>
      </w:r>
      <w:r w:rsidR="0089298C" w:rsidRPr="002F50BD">
        <w:rPr>
          <w:rFonts w:ascii="Verdana" w:hAnsi="Verdana"/>
          <w:sz w:val="20"/>
          <w:lang w:val="pt-BR"/>
        </w:rPr>
        <w:t xml:space="preserve"> a Assessoria</w:t>
      </w:r>
      <w:r w:rsidR="004756C1" w:rsidRPr="002F50BD">
        <w:rPr>
          <w:rFonts w:ascii="Verdana" w:hAnsi="Verdana"/>
          <w:sz w:val="20"/>
          <w:lang w:val="pt-BR"/>
        </w:rPr>
        <w:t xml:space="preserve"> Jurídica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175B8D" w:rsidRPr="002F50BD">
        <w:rPr>
          <w:rFonts w:ascii="Verdana" w:hAnsi="Verdana"/>
          <w:sz w:val="20"/>
          <w:lang w:val="pt-BR"/>
        </w:rPr>
        <w:t xml:space="preserve">decidiu </w:t>
      </w:r>
      <w:r w:rsidR="004756C1" w:rsidRPr="002F50BD">
        <w:rPr>
          <w:rFonts w:ascii="Verdana" w:hAnsi="Verdana"/>
          <w:sz w:val="20"/>
          <w:lang w:val="pt-BR"/>
        </w:rPr>
        <w:t>que, dado que</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89298C" w:rsidRPr="002F50BD">
        <w:rPr>
          <w:rFonts w:ascii="Verdana" w:hAnsi="Verdana"/>
          <w:sz w:val="20"/>
          <w:lang w:val="pt-BR"/>
        </w:rPr>
        <w:t>havia</w:t>
      </w:r>
      <w:r w:rsidR="004756C1" w:rsidRPr="002F50BD">
        <w:rPr>
          <w:rFonts w:ascii="Verdana" w:hAnsi="Verdana"/>
          <w:sz w:val="20"/>
          <w:lang w:val="pt-BR"/>
        </w:rPr>
        <w:t xml:space="preserve"> </w:t>
      </w:r>
      <w:r w:rsidR="0089298C" w:rsidRPr="002F50BD">
        <w:rPr>
          <w:rFonts w:ascii="Verdana" w:hAnsi="Verdana"/>
          <w:sz w:val="20"/>
          <w:lang w:val="pt-BR"/>
        </w:rPr>
        <w:lastRenderedPageBreak/>
        <w:t>resolvido</w:t>
      </w:r>
      <w:r w:rsidR="004756C1" w:rsidRPr="002F50BD">
        <w:rPr>
          <w:rFonts w:ascii="Verdana" w:hAnsi="Verdana"/>
          <w:sz w:val="20"/>
          <w:lang w:val="pt-BR"/>
        </w:rPr>
        <w:t xml:space="preserve"> solicitar</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175B8D" w:rsidRPr="002F50BD">
        <w:rPr>
          <w:rFonts w:ascii="Verdana" w:hAnsi="Verdana"/>
          <w:sz w:val="20"/>
          <w:lang w:val="pt-BR"/>
        </w:rPr>
        <w:t xml:space="preserve"> dos </w:t>
      </w:r>
      <w:r w:rsidR="00C247F1" w:rsidRPr="002F50BD">
        <w:rPr>
          <w:rFonts w:ascii="Verdana" w:hAnsi="Verdana"/>
          <w:sz w:val="20"/>
          <w:lang w:val="pt-BR"/>
        </w:rPr>
        <w:t>fazendas</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180</w:t>
      </w:r>
      <w:r w:rsidR="0089298C" w:rsidRPr="002F50BD">
        <w:rPr>
          <w:rFonts w:ascii="Verdana" w:hAnsi="Verdana"/>
          <w:sz w:val="20"/>
          <w:lang w:val="pt-BR"/>
        </w:rPr>
        <w:t xml:space="preserve"> 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181</w:t>
      </w:r>
      <w:r w:rsidR="004756C1" w:rsidRPr="002F50BD">
        <w:rPr>
          <w:rFonts w:ascii="Verdana" w:hAnsi="Verdana"/>
          <w:sz w:val="20"/>
          <w:lang w:val="pt-BR"/>
        </w:rPr>
        <w:t xml:space="preserve"> a favor</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“os</w:t>
      </w:r>
      <w:r w:rsidR="004756C1" w:rsidRPr="002F50BD">
        <w:rPr>
          <w:rFonts w:ascii="Verdana" w:hAnsi="Verdana"/>
          <w:sz w:val="20"/>
          <w:lang w:val="pt-BR"/>
        </w:rPr>
        <w:t xml:space="preserve"> </w:t>
      </w:r>
      <w:r w:rsidR="0089298C" w:rsidRPr="002F50BD">
        <w:rPr>
          <w:rFonts w:ascii="Verdana" w:hAnsi="Verdana"/>
          <w:sz w:val="20"/>
          <w:lang w:val="pt-BR"/>
        </w:rPr>
        <w:t>trâmite</w:t>
      </w:r>
      <w:r w:rsidR="004756C1" w:rsidRPr="002F50BD">
        <w:rPr>
          <w:rFonts w:ascii="Verdana" w:hAnsi="Verdana"/>
          <w:sz w:val="20"/>
          <w:lang w:val="pt-BR"/>
        </w:rPr>
        <w:t xml:space="preserve">s a cargo </w:t>
      </w:r>
      <w:r w:rsidR="0089298C" w:rsidRPr="002F50BD">
        <w:rPr>
          <w:rFonts w:ascii="Verdana" w:hAnsi="Verdana"/>
          <w:sz w:val="20"/>
          <w:lang w:val="pt-BR"/>
        </w:rPr>
        <w:t xml:space="preserve">do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se </w:t>
      </w:r>
      <w:r w:rsidR="00175B8D" w:rsidRPr="002F50BD">
        <w:rPr>
          <w:rFonts w:ascii="Verdana" w:hAnsi="Verdana"/>
          <w:sz w:val="20"/>
          <w:lang w:val="pt-BR"/>
        </w:rPr>
        <w:t xml:space="preserve">encontram concluídos </w:t>
      </w:r>
      <w:r w:rsidR="0089298C" w:rsidRPr="002F50BD">
        <w:rPr>
          <w:rFonts w:ascii="Verdana" w:hAnsi="Verdana"/>
          <w:sz w:val="20"/>
          <w:lang w:val="pt-BR"/>
        </w:rPr>
        <w:t>e</w:t>
      </w:r>
      <w:r w:rsidR="001A4AD3" w:rsidRPr="002F50BD">
        <w:rPr>
          <w:rFonts w:ascii="Verdana" w:hAnsi="Verdana"/>
          <w:sz w:val="20"/>
          <w:lang w:val="pt-BR"/>
        </w:rPr>
        <w:t>,</w:t>
      </w:r>
      <w:r w:rsidR="0089298C" w:rsidRPr="002F50BD">
        <w:rPr>
          <w:rFonts w:ascii="Verdana" w:hAnsi="Verdana"/>
          <w:sz w:val="20"/>
          <w:lang w:val="pt-BR"/>
        </w:rPr>
        <w:t xml:space="preserve"> em consequência</w:t>
      </w:r>
      <w:r w:rsidR="001A4AD3" w:rsidRPr="002F50BD">
        <w:rPr>
          <w:rFonts w:ascii="Verdana" w:hAnsi="Verdana"/>
          <w:sz w:val="20"/>
          <w:lang w:val="pt-BR"/>
        </w:rPr>
        <w:t>,</w:t>
      </w:r>
      <w:r w:rsidR="004756C1" w:rsidRPr="002F50BD">
        <w:rPr>
          <w:rFonts w:ascii="Verdana" w:hAnsi="Verdana"/>
          <w:sz w:val="20"/>
          <w:lang w:val="pt-BR"/>
        </w:rPr>
        <w:t xml:space="preserve"> corresponde rem</w:t>
      </w:r>
      <w:r w:rsidR="00175B8D" w:rsidRPr="002F50BD">
        <w:rPr>
          <w:rFonts w:ascii="Verdana" w:hAnsi="Verdana"/>
          <w:sz w:val="20"/>
          <w:lang w:val="pt-BR"/>
        </w:rPr>
        <w:t>e</w:t>
      </w:r>
      <w:r w:rsidR="004756C1" w:rsidRPr="002F50BD">
        <w:rPr>
          <w:rFonts w:ascii="Verdana" w:hAnsi="Verdana"/>
          <w:sz w:val="20"/>
          <w:lang w:val="pt-BR"/>
        </w:rPr>
        <w:t>t</w:t>
      </w:r>
      <w:r w:rsidR="00175B8D" w:rsidRPr="002F50BD">
        <w:rPr>
          <w:rFonts w:ascii="Verdana" w:hAnsi="Verdana"/>
          <w:sz w:val="20"/>
          <w:lang w:val="pt-BR"/>
        </w:rPr>
        <w:t>e</w:t>
      </w:r>
      <w:r w:rsidR="004756C1" w:rsidRPr="002F50BD">
        <w:rPr>
          <w:rFonts w:ascii="Verdana" w:hAnsi="Verdana"/>
          <w:sz w:val="20"/>
          <w:lang w:val="pt-BR"/>
        </w:rPr>
        <w:t>r</w:t>
      </w:r>
      <w:r w:rsidR="0089298C" w:rsidRPr="002F50BD">
        <w:rPr>
          <w:rFonts w:ascii="Verdana" w:hAnsi="Verdana"/>
          <w:sz w:val="20"/>
          <w:lang w:val="pt-BR"/>
        </w:rPr>
        <w:t xml:space="preserve"> estes </w:t>
      </w:r>
      <w:r w:rsidR="004756C1" w:rsidRPr="002F50BD">
        <w:rPr>
          <w:rFonts w:ascii="Verdana" w:hAnsi="Verdana"/>
          <w:sz w:val="20"/>
          <w:lang w:val="pt-BR"/>
        </w:rPr>
        <w:t>autos</w:t>
      </w:r>
      <w:r w:rsidR="0089298C" w:rsidRPr="002F50BD">
        <w:rPr>
          <w:rFonts w:ascii="Verdana" w:hAnsi="Verdana"/>
          <w:sz w:val="20"/>
          <w:lang w:val="pt-BR"/>
        </w:rPr>
        <w:t xml:space="preserve"> ao arquivo</w:t>
      </w:r>
      <w:r w:rsidR="004756C1" w:rsidRPr="002F50BD">
        <w:rPr>
          <w:rFonts w:ascii="Verdana" w:hAnsi="Verdana"/>
          <w:sz w:val="20"/>
          <w:lang w:val="pt-BR"/>
        </w:rPr>
        <w:t>”</w:t>
      </w:r>
      <w:r w:rsidR="00175B8D" w:rsidRPr="002F50BD">
        <w:rPr>
          <w:rFonts w:ascii="Verdana" w:hAnsi="Verdana"/>
          <w:sz w:val="20"/>
          <w:lang w:val="pt-BR"/>
        </w:rPr>
        <w:t>.</w:t>
      </w:r>
      <w:r w:rsidR="004756C1" w:rsidRPr="002F50BD">
        <w:rPr>
          <w:rStyle w:val="FootnoteReference"/>
          <w:rFonts w:ascii="Verdana" w:hAnsi="Verdana"/>
          <w:lang w:val="es-ES_tradnl"/>
        </w:rPr>
        <w:footnoteReference w:id="95"/>
      </w:r>
      <w:r w:rsidR="00AB454A" w:rsidRPr="002F50BD">
        <w:rPr>
          <w:rFonts w:ascii="Verdana" w:hAnsi="Verdana"/>
          <w:sz w:val="20"/>
          <w:lang w:val="pt-BR"/>
        </w:rPr>
        <w:t xml:space="preserve"> </w:t>
      </w:r>
      <w:r w:rsidR="00175B8D"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14</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2001</w:t>
      </w:r>
      <w:r w:rsidR="001A4AD3" w:rsidRPr="002F50BD">
        <w:rPr>
          <w:rFonts w:ascii="Verdana" w:hAnsi="Verdana"/>
          <w:sz w:val="20"/>
          <w:lang w:val="pt-BR"/>
        </w:rPr>
        <w:t>,</w:t>
      </w:r>
      <w:r w:rsidR="0089298C" w:rsidRPr="002F50BD">
        <w:rPr>
          <w:rFonts w:ascii="Verdana" w:hAnsi="Verdana"/>
          <w:sz w:val="20"/>
          <w:lang w:val="pt-BR"/>
        </w:rPr>
        <w:t xml:space="preserve"> o Secretário</w:t>
      </w:r>
      <w:r w:rsidR="004756C1" w:rsidRPr="002F50BD">
        <w:rPr>
          <w:rFonts w:ascii="Verdana" w:hAnsi="Verdana"/>
          <w:sz w:val="20"/>
          <w:lang w:val="pt-BR"/>
        </w:rPr>
        <w:t xml:space="preserve"> </w:t>
      </w:r>
      <w:r w:rsidR="0089298C" w:rsidRPr="002F50BD">
        <w:rPr>
          <w:rFonts w:ascii="Verdana" w:hAnsi="Verdana"/>
          <w:sz w:val="20"/>
          <w:lang w:val="pt-BR"/>
        </w:rPr>
        <w:t>Geral</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IBR </w:t>
      </w:r>
      <w:r w:rsidR="0089298C" w:rsidRPr="002F50BD">
        <w:rPr>
          <w:rFonts w:ascii="Verdana" w:hAnsi="Verdana"/>
          <w:sz w:val="20"/>
          <w:lang w:val="pt-BR"/>
        </w:rPr>
        <w:t>ordenou o arquiv</w:t>
      </w:r>
      <w:r w:rsidR="00175B8D" w:rsidRPr="002F50BD">
        <w:rPr>
          <w:rFonts w:ascii="Verdana" w:hAnsi="Verdana"/>
          <w:sz w:val="20"/>
          <w:lang w:val="pt-BR"/>
        </w:rPr>
        <w:t>ament</w:t>
      </w:r>
      <w:r w:rsidR="0089298C"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expediente “</w:t>
      </w:r>
      <w:r w:rsidR="00175B8D" w:rsidRPr="002F50BD">
        <w:rPr>
          <w:rFonts w:ascii="Verdana" w:hAnsi="Verdana"/>
          <w:sz w:val="20"/>
          <w:lang w:val="pt-BR"/>
        </w:rPr>
        <w:t>à</w:t>
      </w:r>
      <w:r w:rsidR="004756C1" w:rsidRPr="002F50BD">
        <w:rPr>
          <w:rFonts w:ascii="Verdana" w:hAnsi="Verdana"/>
          <w:sz w:val="20"/>
          <w:lang w:val="pt-BR"/>
        </w:rPr>
        <w:t xml:space="preserve"> espera</w:t>
      </w:r>
      <w:r w:rsidR="0089298C" w:rsidRPr="002F50BD">
        <w:rPr>
          <w:rFonts w:ascii="Verdana" w:hAnsi="Verdana"/>
          <w:sz w:val="20"/>
          <w:lang w:val="pt-BR"/>
        </w:rPr>
        <w:t xml:space="preserve"> da </w:t>
      </w:r>
      <w:r w:rsidR="00175B8D" w:rsidRPr="002F50BD">
        <w:rPr>
          <w:rFonts w:ascii="Verdana" w:hAnsi="Verdana"/>
          <w:sz w:val="20"/>
          <w:lang w:val="pt-BR"/>
        </w:rPr>
        <w:t xml:space="preserve">[parte] </w:t>
      </w:r>
      <w:r w:rsidR="0089298C" w:rsidRPr="002F50BD">
        <w:rPr>
          <w:rFonts w:ascii="Verdana" w:hAnsi="Verdana"/>
          <w:sz w:val="20"/>
          <w:lang w:val="pt-BR"/>
        </w:rPr>
        <w:t>interessad</w:t>
      </w:r>
      <w:r w:rsidR="004756C1" w:rsidRPr="002F50BD">
        <w:rPr>
          <w:rFonts w:ascii="Verdana" w:hAnsi="Verdana"/>
          <w:sz w:val="20"/>
          <w:lang w:val="pt-BR"/>
        </w:rPr>
        <w:t>a”</w:t>
      </w:r>
      <w:r w:rsidR="00175B8D" w:rsidRPr="002F50BD">
        <w:rPr>
          <w:rFonts w:ascii="Verdana" w:hAnsi="Verdana"/>
          <w:sz w:val="20"/>
          <w:lang w:val="pt-BR"/>
        </w:rPr>
        <w:t>.</w:t>
      </w:r>
      <w:r w:rsidR="004756C1" w:rsidRPr="002F50BD">
        <w:rPr>
          <w:rStyle w:val="FootnoteReference"/>
          <w:rFonts w:ascii="Verdana" w:hAnsi="Verdana"/>
          <w:lang w:val="es-ES_tradnl"/>
        </w:rPr>
        <w:footnoteReference w:id="96"/>
      </w:r>
      <w:r w:rsidR="004756C1" w:rsidRPr="002F50BD">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756C1">
      <w:pPr>
        <w:pStyle w:val="BodyText"/>
        <w:ind w:firstLine="720"/>
        <w:rPr>
          <w:rFonts w:ascii="Verdana" w:hAnsi="Verdana"/>
          <w:sz w:val="20"/>
          <w:lang w:val="pt-BR"/>
        </w:rPr>
      </w:pPr>
      <w:r w:rsidRPr="002F50BD">
        <w:rPr>
          <w:rFonts w:ascii="Verdana" w:hAnsi="Verdana"/>
          <w:sz w:val="20"/>
          <w:lang w:val="pt-BR"/>
        </w:rPr>
        <w:t>ii.</w:t>
      </w:r>
      <w:r w:rsidRPr="002F50BD">
        <w:rPr>
          <w:rFonts w:ascii="Verdana" w:hAnsi="Verdana"/>
          <w:sz w:val="20"/>
          <w:lang w:val="pt-BR"/>
        </w:rPr>
        <w:tab/>
      </w:r>
      <w:r w:rsidR="00175B8D" w:rsidRPr="002F50BD">
        <w:rPr>
          <w:rFonts w:ascii="Verdana" w:hAnsi="Verdana"/>
          <w:sz w:val="20"/>
          <w:lang w:val="pt-BR"/>
        </w:rPr>
        <w:t>Pera</w:t>
      </w:r>
      <w:r w:rsidRPr="002F50BD">
        <w:rPr>
          <w:rFonts w:ascii="Verdana" w:hAnsi="Verdana"/>
          <w:sz w:val="20"/>
          <w:lang w:val="pt-BR"/>
        </w:rPr>
        <w:t>nte</w:t>
      </w:r>
      <w:r w:rsidR="0089298C" w:rsidRPr="002F50BD">
        <w:rPr>
          <w:rFonts w:ascii="Verdana" w:hAnsi="Verdana"/>
          <w:sz w:val="20"/>
          <w:lang w:val="pt-BR"/>
        </w:rPr>
        <w:t xml:space="preserve"> o Congresso</w:t>
      </w:r>
      <w:r w:rsidRPr="002F50BD">
        <w:rPr>
          <w:rFonts w:ascii="Verdana" w:hAnsi="Verdana"/>
          <w:sz w:val="20"/>
          <w:lang w:val="pt-BR"/>
        </w:rPr>
        <w:t xml:space="preserve"> Nacional</w:t>
      </w:r>
    </w:p>
    <w:p w:rsidR="004756C1" w:rsidRPr="002F50BD" w:rsidRDefault="004756C1">
      <w:pPr>
        <w:pStyle w:val="BodyText"/>
        <w:tabs>
          <w:tab w:val="left" w:pos="270"/>
        </w:tabs>
        <w:rPr>
          <w:rFonts w:ascii="Verdana" w:hAnsi="Verdana"/>
          <w:b/>
          <w:sz w:val="20"/>
          <w:lang w:val="pt-BR"/>
        </w:rPr>
      </w:pPr>
    </w:p>
    <w:p w:rsidR="004756C1" w:rsidRPr="002F50BD" w:rsidRDefault="00063B47">
      <w:pPr>
        <w:pStyle w:val="BodyText"/>
        <w:tabs>
          <w:tab w:val="left" w:pos="72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14</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2000</w:t>
      </w:r>
      <w:r w:rsidR="00EC5F20" w:rsidRPr="002F50BD">
        <w:rPr>
          <w:rFonts w:ascii="Verdana" w:hAnsi="Verdana"/>
          <w:sz w:val="20"/>
          <w:lang w:val="pt-BR"/>
        </w:rPr>
        <w:t>,</w:t>
      </w:r>
      <w:r w:rsidR="0089298C" w:rsidRPr="002F50BD">
        <w:rPr>
          <w:rFonts w:ascii="Verdana" w:hAnsi="Verdana"/>
          <w:sz w:val="20"/>
          <w:lang w:val="pt-BR"/>
        </w:rPr>
        <w:t xml:space="preserve"> 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Esteban López, líderes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apresentaram ao </w:t>
      </w:r>
      <w:r w:rsidR="004756C1" w:rsidRPr="002F50BD">
        <w:rPr>
          <w:rFonts w:ascii="Verdana" w:hAnsi="Verdana"/>
          <w:sz w:val="20"/>
          <w:lang w:val="pt-BR"/>
        </w:rPr>
        <w:t>presidente</w:t>
      </w:r>
      <w:r w:rsidR="0089298C" w:rsidRPr="002F50BD">
        <w:rPr>
          <w:rFonts w:ascii="Verdana" w:hAnsi="Verdana"/>
          <w:sz w:val="20"/>
          <w:lang w:val="pt-BR"/>
        </w:rPr>
        <w:t xml:space="preserve"> da </w:t>
      </w:r>
      <w:r w:rsidR="00DB51F0" w:rsidRPr="002F50BD">
        <w:rPr>
          <w:rFonts w:ascii="Verdana" w:hAnsi="Verdana"/>
          <w:sz w:val="20"/>
          <w:lang w:val="pt-BR"/>
        </w:rPr>
        <w:t>Câmara</w:t>
      </w:r>
      <w:r w:rsidR="004756C1" w:rsidRPr="002F50BD">
        <w:rPr>
          <w:rFonts w:ascii="Verdana" w:hAnsi="Verdana"/>
          <w:sz w:val="20"/>
          <w:lang w:val="pt-BR"/>
        </w:rPr>
        <w:t xml:space="preserve"> de </w:t>
      </w:r>
      <w:r w:rsidR="00F76AC5" w:rsidRPr="002F50BD">
        <w:rPr>
          <w:rFonts w:ascii="Verdana" w:hAnsi="Verdana"/>
          <w:sz w:val="20"/>
          <w:lang w:val="pt-BR"/>
        </w:rPr>
        <w:t>Deputad</w:t>
      </w:r>
      <w:r w:rsidR="004756C1" w:rsidRPr="002F50BD">
        <w:rPr>
          <w:rFonts w:ascii="Verdana" w:hAnsi="Verdana"/>
          <w:sz w:val="20"/>
          <w:lang w:val="pt-BR"/>
        </w:rPr>
        <w:t xml:space="preserve">os </w:t>
      </w:r>
      <w:r w:rsidR="0089298C" w:rsidRPr="002F50BD">
        <w:rPr>
          <w:rFonts w:ascii="Verdana" w:hAnsi="Verdana"/>
          <w:sz w:val="20"/>
          <w:lang w:val="pt-BR"/>
        </w:rPr>
        <w:t>do Congresso</w:t>
      </w:r>
      <w:r w:rsidR="004756C1" w:rsidRPr="002F50BD">
        <w:rPr>
          <w:rFonts w:ascii="Verdana" w:hAnsi="Verdana"/>
          <w:sz w:val="20"/>
          <w:lang w:val="pt-BR"/>
        </w:rPr>
        <w:t xml:space="preserve"> Nacional</w:t>
      </w:r>
      <w:r w:rsidR="00914F6C" w:rsidRPr="002F50BD">
        <w:rPr>
          <w:rFonts w:ascii="Verdana" w:hAnsi="Verdana"/>
          <w:sz w:val="20"/>
          <w:lang w:val="pt-BR"/>
        </w:rPr>
        <w:t xml:space="preserve"> um</w:t>
      </w:r>
      <w:r w:rsidR="00F76AC5" w:rsidRPr="002F50BD">
        <w:rPr>
          <w:rFonts w:ascii="Verdana" w:hAnsi="Verdana"/>
          <w:sz w:val="20"/>
          <w:lang w:val="pt-BR"/>
        </w:rPr>
        <w:t xml:space="preserve"> pedido </w:t>
      </w:r>
      <w:r w:rsidR="004756C1" w:rsidRPr="002F50BD">
        <w:rPr>
          <w:rFonts w:ascii="Verdana" w:hAnsi="Verdana"/>
          <w:sz w:val="20"/>
          <w:lang w:val="pt-BR"/>
        </w:rPr>
        <w:t>de elabora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para</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89298C" w:rsidRPr="002F50BD">
        <w:rPr>
          <w:rFonts w:ascii="Verdana" w:hAnsi="Verdana"/>
          <w:sz w:val="20"/>
          <w:lang w:val="pt-BR"/>
        </w:rPr>
        <w:t xml:space="preserve"> das terra</w:t>
      </w:r>
      <w:r w:rsidR="004756C1" w:rsidRPr="002F50BD">
        <w:rPr>
          <w:rFonts w:ascii="Verdana" w:hAnsi="Verdana"/>
          <w:sz w:val="20"/>
          <w:lang w:val="pt-BR"/>
        </w:rPr>
        <w:t>s reivindicadas,</w:t>
      </w:r>
      <w:r w:rsidR="0089298C" w:rsidRPr="002F50BD">
        <w:rPr>
          <w:rFonts w:ascii="Verdana" w:hAnsi="Verdana"/>
          <w:sz w:val="20"/>
          <w:lang w:val="pt-BR"/>
        </w:rPr>
        <w:t xml:space="preserve"> com a </w:t>
      </w:r>
      <w:r w:rsidR="004756C1" w:rsidRPr="002F50BD">
        <w:rPr>
          <w:rFonts w:ascii="Verdana" w:hAnsi="Verdana"/>
          <w:sz w:val="20"/>
          <w:lang w:val="pt-BR"/>
        </w:rPr>
        <w:t>motiva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correspondente</w:t>
      </w:r>
      <w:r w:rsidR="00F76AC5" w:rsidRPr="002F50BD">
        <w:rPr>
          <w:rFonts w:ascii="Verdana" w:hAnsi="Verdana"/>
          <w:sz w:val="20"/>
          <w:lang w:val="pt-BR"/>
        </w:rPr>
        <w:t>.</w:t>
      </w:r>
      <w:r w:rsidR="004756C1" w:rsidRPr="002F50BD">
        <w:rPr>
          <w:rStyle w:val="FootnoteReference"/>
          <w:rFonts w:ascii="Verdana" w:hAnsi="Verdana"/>
          <w:lang w:val="es-ES_tradnl"/>
        </w:rPr>
        <w:footnoteReference w:id="97"/>
      </w:r>
    </w:p>
    <w:p w:rsidR="004756C1" w:rsidRPr="002F50BD" w:rsidRDefault="004756C1">
      <w:pPr>
        <w:pStyle w:val="BodyText"/>
        <w:tabs>
          <w:tab w:val="left" w:pos="720"/>
        </w:tabs>
        <w:rPr>
          <w:rFonts w:ascii="Verdana" w:hAnsi="Verdana"/>
          <w:sz w:val="20"/>
          <w:lang w:val="pt-BR"/>
        </w:rPr>
      </w:pPr>
    </w:p>
    <w:p w:rsidR="004756C1" w:rsidRPr="002F50BD" w:rsidRDefault="00063B47">
      <w:pPr>
        <w:pStyle w:val="BodyText"/>
        <w:tabs>
          <w:tab w:val="left" w:pos="72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55</w:t>
      </w:r>
      <w:r w:rsidR="004756C1" w:rsidRPr="002F50BD">
        <w:rPr>
          <w:rFonts w:ascii="Verdana" w:hAnsi="Verdana"/>
          <w:sz w:val="20"/>
          <w:lang w:val="pt-BR"/>
        </w:rPr>
        <w:t>.</w:t>
      </w:r>
      <w:r w:rsidR="004756C1" w:rsidRPr="002F50BD">
        <w:rPr>
          <w:rFonts w:ascii="Verdana" w:hAnsi="Verdana"/>
          <w:sz w:val="20"/>
          <w:lang w:val="pt-BR"/>
        </w:rPr>
        <w:tab/>
      </w:r>
      <w:r w:rsidR="001A4AD3" w:rsidRPr="002F50BD">
        <w:rPr>
          <w:rFonts w:ascii="Verdana" w:hAnsi="Verdana"/>
          <w:sz w:val="20"/>
          <w:lang w:val="pt-BR"/>
        </w:rPr>
        <w:t>Nesse</w:t>
      </w:r>
      <w:r w:rsidR="004756C1" w:rsidRPr="002F50BD">
        <w:rPr>
          <w:rFonts w:ascii="Verdana" w:hAnsi="Verdana"/>
          <w:sz w:val="20"/>
          <w:lang w:val="pt-BR"/>
        </w:rPr>
        <w:t xml:space="preserv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1A4AD3" w:rsidRPr="002F50BD">
        <w:rPr>
          <w:rFonts w:ascii="Verdana" w:hAnsi="Verdana"/>
          <w:sz w:val="20"/>
          <w:lang w:val="pt-BR"/>
        </w:rPr>
        <w:t>,</w:t>
      </w:r>
      <w:r w:rsidR="0089298C" w:rsidRPr="002F50BD">
        <w:rPr>
          <w:rFonts w:ascii="Verdana" w:hAnsi="Verdana"/>
          <w:sz w:val="20"/>
          <w:lang w:val="pt-BR"/>
        </w:rPr>
        <w:t xml:space="preserve"> os </w:t>
      </w:r>
      <w:r w:rsidR="00F76AC5" w:rsidRPr="002F50BD">
        <w:rPr>
          <w:rFonts w:ascii="Verdana" w:hAnsi="Verdana"/>
          <w:sz w:val="20"/>
          <w:lang w:val="pt-BR"/>
        </w:rPr>
        <w:t>deputad</w:t>
      </w:r>
      <w:r w:rsidR="004756C1" w:rsidRPr="002F50BD">
        <w:rPr>
          <w:rFonts w:ascii="Verdana" w:hAnsi="Verdana"/>
          <w:sz w:val="20"/>
          <w:lang w:val="pt-BR"/>
        </w:rPr>
        <w:t>os Sonia de León</w:t>
      </w:r>
      <w:r w:rsidR="0089298C" w:rsidRPr="002F50BD">
        <w:rPr>
          <w:rFonts w:ascii="Verdana" w:hAnsi="Verdana"/>
          <w:sz w:val="20"/>
          <w:lang w:val="pt-BR"/>
        </w:rPr>
        <w:t xml:space="preserve"> e </w:t>
      </w:r>
      <w:r w:rsidR="004756C1" w:rsidRPr="002F50BD">
        <w:rPr>
          <w:rFonts w:ascii="Verdana" w:hAnsi="Verdana"/>
          <w:sz w:val="20"/>
          <w:lang w:val="pt-BR"/>
        </w:rPr>
        <w:t xml:space="preserve">Rafael Filizzola Serra </w:t>
      </w:r>
      <w:r w:rsidR="0089298C" w:rsidRPr="002F50BD">
        <w:rPr>
          <w:rFonts w:ascii="Verdana" w:hAnsi="Verdana"/>
          <w:sz w:val="20"/>
          <w:lang w:val="pt-BR"/>
        </w:rPr>
        <w:t>expressa</w:t>
      </w:r>
      <w:r w:rsidR="004756C1" w:rsidRPr="002F50BD">
        <w:rPr>
          <w:rFonts w:ascii="Verdana" w:hAnsi="Verdana"/>
          <w:sz w:val="20"/>
          <w:lang w:val="pt-BR"/>
        </w:rPr>
        <w:t>r</w:t>
      </w:r>
      <w:r w:rsidR="00F76AC5" w:rsidRPr="002F50BD">
        <w:rPr>
          <w:rFonts w:ascii="Verdana" w:hAnsi="Verdana"/>
          <w:sz w:val="20"/>
          <w:lang w:val="pt-BR"/>
        </w:rPr>
        <w:t>am</w:t>
      </w:r>
      <w:r w:rsidR="004756C1" w:rsidRPr="002F50BD">
        <w:rPr>
          <w:rFonts w:ascii="Verdana" w:hAnsi="Verdana"/>
          <w:sz w:val="20"/>
          <w:lang w:val="pt-BR"/>
        </w:rPr>
        <w:t xml:space="preserve"> </w:t>
      </w:r>
      <w:r w:rsidR="0089298C" w:rsidRPr="002F50BD">
        <w:rPr>
          <w:rFonts w:ascii="Verdana" w:hAnsi="Verdana"/>
          <w:sz w:val="20"/>
          <w:lang w:val="pt-BR"/>
        </w:rPr>
        <w:t>sua disposição</w:t>
      </w:r>
      <w:r w:rsidR="004756C1" w:rsidRPr="002F50BD">
        <w:rPr>
          <w:rFonts w:ascii="Verdana" w:hAnsi="Verdana"/>
          <w:sz w:val="20"/>
          <w:lang w:val="pt-BR"/>
        </w:rPr>
        <w:t xml:space="preserve"> de “</w:t>
      </w:r>
      <w:r w:rsidR="00F76AC5" w:rsidRPr="002F50BD">
        <w:rPr>
          <w:rFonts w:ascii="Verdana" w:hAnsi="Verdana"/>
          <w:sz w:val="20"/>
          <w:lang w:val="pt-BR"/>
        </w:rPr>
        <w:t>responsabilizar-se</w:t>
      </w:r>
      <w:r w:rsidR="004756C1" w:rsidRPr="002F50BD">
        <w:rPr>
          <w:rFonts w:ascii="Verdana" w:hAnsi="Verdana"/>
          <w:sz w:val="20"/>
          <w:lang w:val="pt-BR"/>
        </w:rPr>
        <w:t xml:space="preserve">” </w:t>
      </w:r>
      <w:r w:rsidR="00EC5F20" w:rsidRPr="002F50BD">
        <w:rPr>
          <w:rFonts w:ascii="Verdana" w:hAnsi="Verdana"/>
          <w:sz w:val="20"/>
          <w:lang w:val="pt-BR"/>
        </w:rPr>
        <w:t>pelo</w:t>
      </w:r>
      <w:r w:rsidR="0089298C" w:rsidRPr="002F50BD">
        <w:rPr>
          <w:rFonts w:ascii="Verdana" w:hAnsi="Verdana"/>
          <w:sz w:val="20"/>
          <w:lang w:val="pt-BR"/>
        </w:rPr>
        <w:t xml:space="preserve">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4756C1" w:rsidRPr="002F50BD">
        <w:rPr>
          <w:rFonts w:ascii="Verdana" w:hAnsi="Verdana"/>
          <w:sz w:val="20"/>
          <w:lang w:val="pt-BR"/>
        </w:rPr>
        <w:t xml:space="preserve"> “QUE DECLARA DE </w:t>
      </w:r>
      <w:r w:rsidR="0089298C" w:rsidRPr="002F50BD">
        <w:rPr>
          <w:rFonts w:ascii="Verdana" w:hAnsi="Verdana"/>
          <w:sz w:val="20"/>
          <w:lang w:val="pt-BR"/>
        </w:rPr>
        <w:t xml:space="preserve">INTERESSE </w:t>
      </w:r>
      <w:r w:rsidR="004756C1" w:rsidRPr="002F50BD">
        <w:rPr>
          <w:rFonts w:ascii="Verdana" w:hAnsi="Verdana"/>
          <w:sz w:val="20"/>
          <w:lang w:val="pt-BR"/>
        </w:rPr>
        <w:t>SOCIAL</w:t>
      </w:r>
      <w:r w:rsidR="0089298C" w:rsidRPr="002F50BD">
        <w:rPr>
          <w:rFonts w:ascii="Verdana" w:hAnsi="Verdana"/>
          <w:sz w:val="20"/>
          <w:lang w:val="pt-BR"/>
        </w:rPr>
        <w:t xml:space="preserve"> </w:t>
      </w:r>
      <w:r w:rsidR="00F76AC5"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EX</w:t>
      </w:r>
      <w:r w:rsidR="0089298C" w:rsidRPr="002F50BD">
        <w:rPr>
          <w:rFonts w:ascii="Verdana" w:hAnsi="Verdana"/>
          <w:sz w:val="20"/>
          <w:lang w:val="pt-BR"/>
        </w:rPr>
        <w:t>PR</w:t>
      </w:r>
      <w:r w:rsidR="00F76AC5" w:rsidRPr="002F50BD">
        <w:rPr>
          <w:rFonts w:ascii="Verdana" w:hAnsi="Verdana"/>
          <w:sz w:val="20"/>
          <w:lang w:val="pt-BR"/>
        </w:rPr>
        <w:t>O</w:t>
      </w:r>
      <w:r w:rsidR="0089298C" w:rsidRPr="002F50BD">
        <w:rPr>
          <w:rFonts w:ascii="Verdana" w:hAnsi="Verdana"/>
          <w:sz w:val="20"/>
          <w:lang w:val="pt-BR"/>
        </w:rPr>
        <w:t xml:space="preserve">PRIA </w:t>
      </w:r>
      <w:r w:rsidR="004756C1" w:rsidRPr="002F50BD">
        <w:rPr>
          <w:rFonts w:ascii="Verdana" w:hAnsi="Verdana"/>
          <w:sz w:val="20"/>
          <w:lang w:val="pt-BR"/>
        </w:rPr>
        <w:t xml:space="preserve">A FAVOR </w:t>
      </w:r>
      <w:r w:rsidR="0089298C" w:rsidRPr="002F50BD">
        <w:rPr>
          <w:rFonts w:ascii="Verdana" w:hAnsi="Verdana"/>
          <w:sz w:val="20"/>
          <w:lang w:val="pt-BR"/>
        </w:rPr>
        <w:t xml:space="preserve">DO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INDÍGENA, PARA SU</w:t>
      </w:r>
      <w:r w:rsidR="00F76AC5" w:rsidRPr="002F50BD">
        <w:rPr>
          <w:rFonts w:ascii="Verdana" w:hAnsi="Verdana"/>
          <w:sz w:val="20"/>
          <w:lang w:val="pt-BR"/>
        </w:rPr>
        <w:t>A</w:t>
      </w:r>
      <w:r w:rsidR="004756C1" w:rsidRPr="002F50BD">
        <w:rPr>
          <w:rFonts w:ascii="Verdana" w:hAnsi="Verdana"/>
          <w:sz w:val="20"/>
          <w:lang w:val="pt-BR"/>
        </w:rPr>
        <w:t xml:space="preserve"> POSTERIOR ADJUDICA</w:t>
      </w:r>
      <w:r w:rsidR="0089298C" w:rsidRPr="002F50BD">
        <w:rPr>
          <w:rFonts w:ascii="Verdana" w:hAnsi="Verdana"/>
          <w:sz w:val="20"/>
          <w:lang w:val="pt-BR"/>
        </w:rPr>
        <w:t xml:space="preserve">ÇÃO </w:t>
      </w:r>
      <w:r w:rsidR="00F76AC5" w:rsidRPr="002F50BD">
        <w:rPr>
          <w:rFonts w:ascii="Verdana" w:hAnsi="Verdana"/>
          <w:sz w:val="20"/>
          <w:lang w:val="pt-BR"/>
        </w:rPr>
        <w:t>À</w:t>
      </w:r>
      <w:r w:rsidR="0089298C" w:rsidRPr="002F50BD">
        <w:rPr>
          <w:rFonts w:ascii="Verdana" w:hAnsi="Verdana"/>
          <w:sz w:val="20"/>
          <w:lang w:val="pt-BR"/>
        </w:rPr>
        <w:t xml:space="preserve"> COMUNIDADE </w:t>
      </w:r>
      <w:r w:rsidR="004756C1" w:rsidRPr="002F50BD">
        <w:rPr>
          <w:rFonts w:ascii="Verdana" w:hAnsi="Verdana"/>
          <w:sz w:val="20"/>
          <w:lang w:val="pt-BR"/>
        </w:rPr>
        <w:t xml:space="preserve">INDÍGENA YAKYE AXA </w:t>
      </w:r>
      <w:r w:rsidR="0089298C" w:rsidRPr="002F50BD">
        <w:rPr>
          <w:rFonts w:ascii="Verdana" w:hAnsi="Verdana"/>
          <w:sz w:val="20"/>
          <w:lang w:val="pt-BR"/>
        </w:rPr>
        <w:t>DO POVO</w:t>
      </w:r>
      <w:r w:rsidR="004756C1" w:rsidRPr="002F50BD">
        <w:rPr>
          <w:rFonts w:ascii="Verdana" w:hAnsi="Verdana"/>
          <w:sz w:val="20"/>
          <w:lang w:val="pt-BR"/>
        </w:rPr>
        <w:t xml:space="preserve"> ENXET </w:t>
      </w:r>
      <w:r w:rsidR="00CD3DEB" w:rsidRPr="002F50BD">
        <w:rPr>
          <w:rFonts w:ascii="Verdana" w:hAnsi="Verdana"/>
          <w:sz w:val="20"/>
          <w:lang w:val="pt-BR"/>
        </w:rPr>
        <w:t>L</w:t>
      </w:r>
      <w:r w:rsidR="00F76AC5" w:rsidRPr="002F50BD">
        <w:rPr>
          <w:rFonts w:ascii="Verdana" w:hAnsi="Verdana"/>
          <w:sz w:val="20"/>
          <w:lang w:val="pt-BR"/>
        </w:rPr>
        <w:t>E</w:t>
      </w:r>
      <w:r w:rsidR="00CD3DEB" w:rsidRPr="002F50BD">
        <w:rPr>
          <w:rFonts w:ascii="Verdana" w:hAnsi="Verdana"/>
          <w:sz w:val="20"/>
          <w:lang w:val="pt-BR"/>
        </w:rPr>
        <w:t>NGUA</w:t>
      </w:r>
      <w:r w:rsidR="004756C1" w:rsidRPr="002F50BD">
        <w:rPr>
          <w:rFonts w:ascii="Verdana" w:hAnsi="Verdana"/>
          <w:sz w:val="20"/>
          <w:lang w:val="pt-BR"/>
        </w:rPr>
        <w:t>,</w:t>
      </w:r>
      <w:r w:rsidR="0089298C" w:rsidRPr="002F50BD">
        <w:rPr>
          <w:rFonts w:ascii="Verdana" w:hAnsi="Verdana"/>
          <w:sz w:val="20"/>
          <w:lang w:val="pt-BR"/>
        </w:rPr>
        <w:t xml:space="preserve"> </w:t>
      </w:r>
      <w:r w:rsidR="00EC5F20" w:rsidRPr="002F50BD">
        <w:rPr>
          <w:rFonts w:ascii="Verdana" w:hAnsi="Verdana"/>
          <w:sz w:val="20"/>
          <w:lang w:val="pt-BR"/>
        </w:rPr>
        <w:t>A</w:t>
      </w:r>
      <w:r w:rsidR="00F76AC5" w:rsidRPr="002F50BD">
        <w:rPr>
          <w:rFonts w:ascii="Verdana" w:hAnsi="Verdana"/>
          <w:sz w:val="20"/>
          <w:lang w:val="pt-BR"/>
        </w:rPr>
        <w:t xml:space="preserve">S </w:t>
      </w:r>
      <w:r w:rsidR="00C247F1" w:rsidRPr="002F50BD">
        <w:rPr>
          <w:rFonts w:ascii="Verdana" w:hAnsi="Verdana"/>
          <w:sz w:val="20"/>
          <w:lang w:val="pt-BR"/>
        </w:rPr>
        <w:t>FAZENDAS</w:t>
      </w:r>
      <w:r w:rsidR="00F76AC5"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179</w:t>
      </w:r>
      <w:r w:rsidR="004756C1"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180</w:t>
      </w:r>
      <w:r w:rsidR="0089298C" w:rsidRPr="002F50BD">
        <w:rPr>
          <w:rFonts w:ascii="Verdana" w:hAnsi="Verdana"/>
          <w:sz w:val="20"/>
          <w:lang w:val="pt-BR"/>
        </w:rPr>
        <w:t xml:space="preserve"> e </w:t>
      </w:r>
      <w:r w:rsidRPr="002F50BD">
        <w:rPr>
          <w:rFonts w:ascii="Verdana" w:hAnsi="Verdana"/>
          <w:sz w:val="20"/>
          <w:lang w:val="pt-BR"/>
        </w:rPr>
        <w:t>15</w:t>
      </w:r>
      <w:r w:rsidR="004756C1" w:rsidRPr="002F50BD">
        <w:rPr>
          <w:rFonts w:ascii="Verdana" w:hAnsi="Verdana"/>
          <w:sz w:val="20"/>
          <w:lang w:val="pt-BR"/>
        </w:rPr>
        <w:t>.</w:t>
      </w:r>
      <w:r w:rsidRPr="002F50BD">
        <w:rPr>
          <w:rFonts w:ascii="Verdana" w:hAnsi="Verdana"/>
          <w:sz w:val="20"/>
          <w:lang w:val="pt-BR"/>
        </w:rPr>
        <w:t>181</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DISTRITO POZO COLORADO, DEPARTAMENTO DE PRESIDENTE HAYES, </w:t>
      </w:r>
      <w:r w:rsidR="004076AD" w:rsidRPr="002F50BD">
        <w:rPr>
          <w:rFonts w:ascii="Verdana" w:hAnsi="Verdana"/>
          <w:sz w:val="20"/>
          <w:lang w:val="pt-BR"/>
        </w:rPr>
        <w:t>PERTENCENTE</w:t>
      </w:r>
      <w:r w:rsidR="004756C1" w:rsidRPr="002F50BD">
        <w:rPr>
          <w:rFonts w:ascii="Verdana" w:hAnsi="Verdana"/>
          <w:sz w:val="20"/>
          <w:lang w:val="pt-BR"/>
        </w:rPr>
        <w:t>S</w:t>
      </w:r>
      <w:r w:rsidR="0089298C" w:rsidRPr="002F50BD">
        <w:rPr>
          <w:rFonts w:ascii="Verdana" w:hAnsi="Verdana"/>
          <w:sz w:val="20"/>
          <w:lang w:val="pt-BR"/>
        </w:rPr>
        <w:t xml:space="preserve"> </w:t>
      </w:r>
      <w:r w:rsidR="00F76AC5" w:rsidRPr="002F50BD">
        <w:rPr>
          <w:rFonts w:ascii="Verdana" w:hAnsi="Verdana"/>
          <w:sz w:val="20"/>
          <w:lang w:val="pt-BR"/>
        </w:rPr>
        <w:t>ÀS</w:t>
      </w:r>
      <w:r w:rsidR="0089298C" w:rsidRPr="002F50BD">
        <w:rPr>
          <w:rFonts w:ascii="Verdana" w:hAnsi="Verdana"/>
          <w:sz w:val="20"/>
          <w:lang w:val="pt-BR"/>
        </w:rPr>
        <w:t xml:space="preserve"> </w:t>
      </w:r>
      <w:r w:rsidR="00F76AC5" w:rsidRPr="002F50BD">
        <w:rPr>
          <w:rFonts w:ascii="Verdana" w:hAnsi="Verdana"/>
          <w:sz w:val="20"/>
          <w:lang w:val="pt-BR"/>
        </w:rPr>
        <w:t xml:space="preserve">EMPRESAS </w:t>
      </w:r>
      <w:r w:rsidR="004756C1" w:rsidRPr="002F50BD">
        <w:rPr>
          <w:rFonts w:ascii="Verdana" w:hAnsi="Verdana"/>
          <w:sz w:val="20"/>
          <w:lang w:val="pt-BR"/>
        </w:rPr>
        <w:t>LIVESTOCK CAPITAL GROUP, FLORIDA AGRICULTURAL CORPORATION</w:t>
      </w:r>
      <w:r w:rsidR="0089298C" w:rsidRPr="002F50BD">
        <w:rPr>
          <w:rFonts w:ascii="Verdana" w:hAnsi="Verdana"/>
          <w:sz w:val="20"/>
          <w:lang w:val="pt-BR"/>
        </w:rPr>
        <w:t xml:space="preserve"> </w:t>
      </w:r>
      <w:r w:rsidR="00F76AC5"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 xml:space="preserve">AGRICULTURAL DEVELOPMENT INC., RESPECTIVAMENTE” </w:t>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F76AC5"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89298C" w:rsidRPr="002F50BD">
        <w:rPr>
          <w:rFonts w:ascii="Verdana" w:hAnsi="Verdana"/>
          <w:sz w:val="20"/>
          <w:lang w:val="pt-BR"/>
        </w:rPr>
        <w:t>, e</w:t>
      </w:r>
      <w:r w:rsidR="004756C1" w:rsidRPr="002F50BD">
        <w:rPr>
          <w:rFonts w:ascii="Verdana" w:hAnsi="Verdana"/>
          <w:sz w:val="20"/>
          <w:lang w:val="pt-BR"/>
        </w:rPr>
        <w:t xml:space="preserve"> </w:t>
      </w:r>
      <w:r w:rsidR="0089298C" w:rsidRPr="002F50BD">
        <w:rPr>
          <w:rFonts w:ascii="Verdana" w:hAnsi="Verdana"/>
          <w:sz w:val="20"/>
          <w:lang w:val="pt-BR"/>
        </w:rPr>
        <w:t>solicitaram</w:t>
      </w:r>
      <w:r w:rsidR="004756C1" w:rsidRPr="002F50BD">
        <w:rPr>
          <w:rFonts w:ascii="Verdana" w:hAnsi="Verdana"/>
          <w:sz w:val="20"/>
          <w:lang w:val="pt-BR"/>
        </w:rPr>
        <w:t xml:space="preserve"> que</w:t>
      </w:r>
      <w:r w:rsidR="0089298C" w:rsidRPr="002F50BD">
        <w:rPr>
          <w:rFonts w:ascii="Verdana" w:hAnsi="Verdana"/>
          <w:sz w:val="20"/>
          <w:lang w:val="pt-BR"/>
        </w:rPr>
        <w:t xml:space="preserve"> o projeto</w:t>
      </w:r>
      <w:r w:rsidR="004756C1" w:rsidRPr="002F50BD">
        <w:rPr>
          <w:rFonts w:ascii="Verdana" w:hAnsi="Verdana"/>
          <w:sz w:val="20"/>
          <w:lang w:val="pt-BR"/>
        </w:rPr>
        <w:t xml:space="preserve"> </w:t>
      </w:r>
      <w:r w:rsidR="00F76AC5" w:rsidRPr="002F50BD">
        <w:rPr>
          <w:rFonts w:ascii="Verdana" w:hAnsi="Verdana"/>
          <w:sz w:val="20"/>
          <w:lang w:val="pt-BR"/>
        </w:rPr>
        <w:t>fosse</w:t>
      </w:r>
      <w:r w:rsidR="004756C1" w:rsidRPr="002F50BD">
        <w:rPr>
          <w:rFonts w:ascii="Verdana" w:hAnsi="Verdana"/>
          <w:sz w:val="20"/>
          <w:lang w:val="pt-BR"/>
        </w:rPr>
        <w:t xml:space="preserve"> “</w:t>
      </w:r>
      <w:r w:rsidR="00F76AC5" w:rsidRPr="002F50BD">
        <w:rPr>
          <w:rFonts w:ascii="Verdana" w:hAnsi="Verdana"/>
          <w:sz w:val="20"/>
          <w:lang w:val="pt-BR"/>
        </w:rPr>
        <w:t xml:space="preserve">enviado </w:t>
      </w:r>
      <w:r w:rsidR="0089298C" w:rsidRPr="002F50BD">
        <w:rPr>
          <w:rFonts w:ascii="Verdana" w:hAnsi="Verdana"/>
          <w:sz w:val="20"/>
          <w:lang w:val="pt-BR"/>
        </w:rPr>
        <w:t>à</w:t>
      </w:r>
      <w:r w:rsidR="00F76AC5" w:rsidRPr="002F50BD">
        <w:rPr>
          <w:rFonts w:ascii="Verdana" w:hAnsi="Verdana"/>
          <w:sz w:val="20"/>
          <w:lang w:val="pt-BR"/>
        </w:rPr>
        <w:t>s</w:t>
      </w:r>
      <w:r w:rsidR="0089298C" w:rsidRPr="002F50BD">
        <w:rPr>
          <w:rFonts w:ascii="Verdana" w:hAnsi="Verdana"/>
          <w:sz w:val="20"/>
          <w:lang w:val="pt-BR"/>
        </w:rPr>
        <w:t xml:space="preserve"> comissões</w:t>
      </w:r>
      <w:r w:rsidR="004756C1" w:rsidRPr="002F50BD">
        <w:rPr>
          <w:rFonts w:ascii="Verdana" w:hAnsi="Verdana"/>
          <w:sz w:val="20"/>
          <w:lang w:val="pt-BR"/>
        </w:rPr>
        <w:t xml:space="preserve"> </w:t>
      </w:r>
      <w:r w:rsidR="0089298C" w:rsidRPr="002F50BD">
        <w:rPr>
          <w:rFonts w:ascii="Verdana" w:hAnsi="Verdana"/>
          <w:sz w:val="20"/>
          <w:lang w:val="pt-BR"/>
        </w:rPr>
        <w:t>correspondente</w:t>
      </w:r>
      <w:r w:rsidR="004756C1" w:rsidRPr="002F50BD">
        <w:rPr>
          <w:rFonts w:ascii="Verdana" w:hAnsi="Verdana"/>
          <w:sz w:val="20"/>
          <w:lang w:val="pt-BR"/>
        </w:rPr>
        <w:t>s</w:t>
      </w:r>
      <w:r w:rsidR="0089298C" w:rsidRPr="002F50BD">
        <w:rPr>
          <w:rFonts w:ascii="Verdana" w:hAnsi="Verdana"/>
          <w:sz w:val="20"/>
          <w:lang w:val="pt-BR"/>
        </w:rPr>
        <w:t xml:space="preserve"> </w:t>
      </w:r>
      <w:r w:rsidR="00F76AC5" w:rsidRPr="002F50BD">
        <w:rPr>
          <w:rFonts w:ascii="Verdana" w:hAnsi="Verdana"/>
          <w:sz w:val="20"/>
          <w:lang w:val="pt-BR"/>
        </w:rPr>
        <w:t xml:space="preserve">para seu </w:t>
      </w:r>
      <w:r w:rsidR="0089298C" w:rsidRPr="002F50BD">
        <w:rPr>
          <w:rFonts w:ascii="Verdana" w:hAnsi="Verdana"/>
          <w:sz w:val="20"/>
          <w:lang w:val="pt-BR"/>
        </w:rPr>
        <w:t>tratamento</w:t>
      </w:r>
      <w:r w:rsidR="004756C1" w:rsidRPr="002F50BD">
        <w:rPr>
          <w:rFonts w:ascii="Verdana" w:hAnsi="Verdana"/>
          <w:sz w:val="20"/>
          <w:lang w:val="pt-BR"/>
        </w:rPr>
        <w:t xml:space="preserve"> </w:t>
      </w:r>
      <w:r w:rsidR="001A4AD3" w:rsidRPr="002F50BD">
        <w:rPr>
          <w:rFonts w:ascii="Verdana" w:hAnsi="Verdana"/>
          <w:sz w:val="20"/>
          <w:lang w:val="pt-BR"/>
        </w:rPr>
        <w:t xml:space="preserve">conforme </w:t>
      </w:r>
      <w:r w:rsidR="004756C1" w:rsidRPr="002F50BD">
        <w:rPr>
          <w:rFonts w:ascii="Verdana" w:hAnsi="Verdana"/>
          <w:sz w:val="20"/>
          <w:lang w:val="pt-BR"/>
        </w:rPr>
        <w:t>previsto</w:t>
      </w:r>
      <w:r w:rsidR="0089298C" w:rsidRPr="002F50BD">
        <w:rPr>
          <w:rFonts w:ascii="Verdana" w:hAnsi="Verdana"/>
          <w:sz w:val="20"/>
          <w:lang w:val="pt-BR"/>
        </w:rPr>
        <w:t xml:space="preserve"> na Constituição</w:t>
      </w:r>
      <w:r w:rsidR="004756C1" w:rsidRPr="002F50BD">
        <w:rPr>
          <w:rFonts w:ascii="Verdana" w:hAnsi="Verdana"/>
          <w:sz w:val="20"/>
          <w:lang w:val="pt-BR"/>
        </w:rPr>
        <w:t xml:space="preserve"> Nacional</w:t>
      </w:r>
      <w:r w:rsidR="0089298C" w:rsidRPr="002F50BD">
        <w:rPr>
          <w:rFonts w:ascii="Verdana" w:hAnsi="Verdana"/>
          <w:sz w:val="20"/>
          <w:lang w:val="pt-BR"/>
        </w:rPr>
        <w:t xml:space="preserve"> e </w:t>
      </w:r>
      <w:r w:rsidR="00F76AC5" w:rsidRPr="002F50BD">
        <w:rPr>
          <w:rFonts w:ascii="Verdana" w:hAnsi="Verdana"/>
          <w:sz w:val="20"/>
          <w:lang w:val="pt-BR"/>
        </w:rPr>
        <w:t xml:space="preserve">no regimento </w:t>
      </w:r>
      <w:r w:rsidR="0089298C" w:rsidRPr="002F50BD">
        <w:rPr>
          <w:rFonts w:ascii="Verdana" w:hAnsi="Verdana"/>
          <w:sz w:val="20"/>
          <w:lang w:val="pt-BR"/>
        </w:rPr>
        <w:t xml:space="preserve">da </w:t>
      </w:r>
      <w:r w:rsidR="00DB51F0" w:rsidRPr="002F50BD">
        <w:rPr>
          <w:rFonts w:ascii="Verdana" w:hAnsi="Verdana"/>
          <w:sz w:val="20"/>
          <w:lang w:val="pt-BR"/>
        </w:rPr>
        <w:t>Câmara</w:t>
      </w:r>
      <w:r w:rsidR="004756C1" w:rsidRPr="002F50BD">
        <w:rPr>
          <w:rFonts w:ascii="Verdana" w:hAnsi="Verdana"/>
          <w:sz w:val="20"/>
          <w:lang w:val="pt-BR"/>
        </w:rPr>
        <w:t>”</w:t>
      </w:r>
      <w:r w:rsidR="00F76AC5" w:rsidRPr="002F50BD">
        <w:rPr>
          <w:rFonts w:ascii="Verdana" w:hAnsi="Verdana"/>
          <w:sz w:val="20"/>
          <w:lang w:val="pt-BR"/>
        </w:rPr>
        <w:t>.</w:t>
      </w:r>
      <w:r w:rsidR="004756C1" w:rsidRPr="002F50BD">
        <w:rPr>
          <w:rStyle w:val="FootnoteReference"/>
          <w:rFonts w:ascii="Verdana" w:hAnsi="Verdana"/>
          <w:lang w:val="es-ES_tradnl"/>
        </w:rPr>
        <w:footnoteReference w:id="98"/>
      </w:r>
    </w:p>
    <w:p w:rsidR="004756C1" w:rsidRPr="002F50BD" w:rsidRDefault="004756C1">
      <w:pPr>
        <w:pStyle w:val="BodyText"/>
        <w:tabs>
          <w:tab w:val="left" w:pos="270"/>
          <w:tab w:val="left" w:pos="7290"/>
        </w:tabs>
        <w:ind w:right="720"/>
        <w:rPr>
          <w:rFonts w:ascii="Verdana" w:hAnsi="Verdana"/>
          <w:sz w:val="20"/>
          <w:lang w:val="pt-BR"/>
        </w:rPr>
      </w:pPr>
    </w:p>
    <w:p w:rsidR="004756C1" w:rsidRPr="002F50BD" w:rsidRDefault="00063B47">
      <w:pPr>
        <w:pStyle w:val="BodyText"/>
        <w:tabs>
          <w:tab w:val="left" w:pos="720"/>
          <w:tab w:val="left" w:pos="729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A Comissão</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 Assunto</w:t>
      </w:r>
      <w:r w:rsidR="004756C1" w:rsidRPr="002F50BD">
        <w:rPr>
          <w:rFonts w:ascii="Verdana" w:hAnsi="Verdana"/>
          <w:sz w:val="20"/>
          <w:lang w:val="pt-BR"/>
        </w:rPr>
        <w:t>s Indígenas</w:t>
      </w:r>
      <w:r w:rsidR="004756C1" w:rsidRPr="002F50BD">
        <w:rPr>
          <w:rStyle w:val="FootnoteReference"/>
          <w:rFonts w:ascii="Verdana" w:hAnsi="Verdana"/>
          <w:lang w:val="es-ES_tradnl"/>
        </w:rPr>
        <w:footnoteReference w:id="99"/>
      </w:r>
      <w:r w:rsidR="0089298C" w:rsidRPr="002F50BD">
        <w:rPr>
          <w:rFonts w:ascii="Verdana" w:hAnsi="Verdana"/>
          <w:sz w:val="20"/>
          <w:lang w:val="pt-BR"/>
        </w:rPr>
        <w:t xml:space="preserve"> e a Comissão</w:t>
      </w:r>
      <w:r w:rsidR="004756C1" w:rsidRPr="002F50BD">
        <w:rPr>
          <w:rFonts w:ascii="Verdana" w:hAnsi="Verdana"/>
          <w:sz w:val="20"/>
          <w:lang w:val="pt-BR"/>
        </w:rPr>
        <w:t xml:space="preserve"> de </w:t>
      </w:r>
      <w:r w:rsidR="00475EBB" w:rsidRPr="002F50BD">
        <w:rPr>
          <w:rFonts w:ascii="Verdana" w:hAnsi="Verdana"/>
          <w:sz w:val="20"/>
          <w:lang w:val="pt-BR"/>
        </w:rPr>
        <w:t>Bem Estar</w:t>
      </w:r>
      <w:r w:rsidR="004756C1" w:rsidRPr="002F50BD">
        <w:rPr>
          <w:rFonts w:ascii="Verdana" w:hAnsi="Verdana"/>
          <w:sz w:val="20"/>
          <w:lang w:val="pt-BR"/>
        </w:rPr>
        <w:t xml:space="preserve"> Rural</w:t>
      </w:r>
      <w:r w:rsidR="004756C1" w:rsidRPr="002F50BD">
        <w:rPr>
          <w:rStyle w:val="FootnoteReference"/>
          <w:rFonts w:ascii="Verdana" w:hAnsi="Verdana"/>
          <w:lang w:val="es-ES_tradnl"/>
        </w:rPr>
        <w:footnoteReference w:id="100"/>
      </w:r>
      <w:r w:rsidR="004756C1" w:rsidRPr="002F50BD">
        <w:rPr>
          <w:rFonts w:ascii="Verdana" w:hAnsi="Verdana"/>
          <w:sz w:val="20"/>
          <w:lang w:val="pt-BR"/>
        </w:rPr>
        <w:t xml:space="preserve"> </w:t>
      </w:r>
      <w:r w:rsidR="0089298C" w:rsidRPr="002F50BD">
        <w:rPr>
          <w:rFonts w:ascii="Verdana" w:hAnsi="Verdana"/>
          <w:sz w:val="20"/>
          <w:lang w:val="pt-BR"/>
        </w:rPr>
        <w:t>do Congresso</w:t>
      </w:r>
      <w:r w:rsidR="004756C1" w:rsidRPr="002F50BD">
        <w:rPr>
          <w:rFonts w:ascii="Verdana" w:hAnsi="Verdana"/>
          <w:sz w:val="20"/>
          <w:lang w:val="pt-BR"/>
        </w:rPr>
        <w:t xml:space="preserve"> Nacional </w:t>
      </w:r>
      <w:r w:rsidR="00EC5F20" w:rsidRPr="002F50BD">
        <w:rPr>
          <w:rFonts w:ascii="Verdana" w:hAnsi="Verdana"/>
          <w:sz w:val="20"/>
          <w:lang w:val="pt-BR"/>
        </w:rPr>
        <w:t>recomendaram à</w:t>
      </w:r>
      <w:r w:rsidR="0089298C" w:rsidRPr="002F50BD">
        <w:rPr>
          <w:rFonts w:ascii="Verdana" w:hAnsi="Verdana"/>
          <w:sz w:val="20"/>
          <w:lang w:val="pt-BR"/>
        </w:rPr>
        <w:t xml:space="preserve"> </w:t>
      </w:r>
      <w:r w:rsidR="00DB51F0" w:rsidRPr="002F50BD">
        <w:rPr>
          <w:rFonts w:ascii="Verdana" w:hAnsi="Verdana"/>
          <w:sz w:val="20"/>
          <w:lang w:val="pt-BR"/>
        </w:rPr>
        <w:t>Câmara</w:t>
      </w:r>
      <w:r w:rsidR="004756C1" w:rsidRPr="002F50BD">
        <w:rPr>
          <w:rFonts w:ascii="Verdana" w:hAnsi="Verdana"/>
          <w:sz w:val="20"/>
          <w:lang w:val="pt-BR"/>
        </w:rPr>
        <w:t xml:space="preserve"> de D</w:t>
      </w:r>
      <w:r w:rsidR="00F76AC5" w:rsidRPr="002F50BD">
        <w:rPr>
          <w:rFonts w:ascii="Verdana" w:hAnsi="Verdana"/>
          <w:sz w:val="20"/>
          <w:lang w:val="pt-BR"/>
        </w:rPr>
        <w:t>e</w:t>
      </w:r>
      <w:r w:rsidR="004756C1" w:rsidRPr="002F50BD">
        <w:rPr>
          <w:rFonts w:ascii="Verdana" w:hAnsi="Verdana"/>
          <w:sz w:val="20"/>
          <w:lang w:val="pt-BR"/>
        </w:rPr>
        <w:t xml:space="preserve">putados </w:t>
      </w:r>
      <w:r w:rsidR="00EC5F20" w:rsidRPr="002F50BD">
        <w:rPr>
          <w:rFonts w:ascii="Verdana" w:hAnsi="Verdana"/>
          <w:sz w:val="20"/>
          <w:lang w:val="pt-BR"/>
        </w:rPr>
        <w:t>a rejeição d</w:t>
      </w:r>
      <w:r w:rsidR="0089298C" w:rsidRPr="002F50BD">
        <w:rPr>
          <w:rFonts w:ascii="Verdana" w:hAnsi="Verdana"/>
          <w:sz w:val="20"/>
          <w:lang w:val="pt-BR"/>
        </w:rPr>
        <w:t xml:space="preserve">o </w:t>
      </w:r>
      <w:r w:rsidR="004756C1" w:rsidRPr="002F50BD">
        <w:rPr>
          <w:rFonts w:ascii="Verdana" w:hAnsi="Verdana"/>
          <w:sz w:val="20"/>
          <w:lang w:val="pt-BR"/>
        </w:rPr>
        <w:t xml:space="preserve">mencionado </w:t>
      </w:r>
      <w:r w:rsidR="0089298C" w:rsidRPr="002F50BD">
        <w:rPr>
          <w:rFonts w:ascii="Verdana" w:hAnsi="Verdana"/>
          <w:sz w:val="20"/>
          <w:lang w:val="pt-BR"/>
        </w:rPr>
        <w:t>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F76AC5" w:rsidRPr="002F50BD">
        <w:rPr>
          <w:rFonts w:ascii="Verdana" w:hAnsi="Verdana"/>
          <w:sz w:val="20"/>
          <w:lang w:val="pt-BR"/>
        </w:rPr>
        <w:t>Igualmente</w:t>
      </w:r>
      <w:r w:rsidR="00BE346D" w:rsidRPr="002F50BD">
        <w:rPr>
          <w:rFonts w:ascii="Verdana" w:hAnsi="Verdana"/>
          <w:sz w:val="20"/>
          <w:lang w:val="pt-BR"/>
        </w:rPr>
        <w:t xml:space="preserve">, em </w:t>
      </w:r>
      <w:r w:rsidRPr="002F50BD">
        <w:rPr>
          <w:rFonts w:ascii="Verdana" w:hAnsi="Verdana"/>
          <w:sz w:val="20"/>
          <w:lang w:val="pt-BR"/>
        </w:rPr>
        <w:t>16</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2000</w:t>
      </w:r>
      <w:r w:rsidR="00DF19F4" w:rsidRPr="002F50BD">
        <w:rPr>
          <w:rFonts w:ascii="Verdana" w:hAnsi="Verdana"/>
          <w:sz w:val="20"/>
          <w:lang w:val="pt-BR"/>
        </w:rPr>
        <w:t>,</w:t>
      </w:r>
      <w:r w:rsidR="0089298C" w:rsidRPr="002F50BD">
        <w:rPr>
          <w:rFonts w:ascii="Verdana" w:hAnsi="Verdana"/>
          <w:sz w:val="20"/>
          <w:lang w:val="pt-BR"/>
        </w:rPr>
        <w:t xml:space="preserve"> os </w:t>
      </w:r>
      <w:r w:rsidR="00F76AC5" w:rsidRPr="002F50BD">
        <w:rPr>
          <w:rFonts w:ascii="Verdana" w:hAnsi="Verdana"/>
          <w:sz w:val="20"/>
          <w:lang w:val="pt-BR"/>
        </w:rPr>
        <w:t>deputad</w:t>
      </w:r>
      <w:r w:rsidR="004756C1" w:rsidRPr="002F50BD">
        <w:rPr>
          <w:rFonts w:ascii="Verdana" w:hAnsi="Verdana"/>
          <w:sz w:val="20"/>
          <w:lang w:val="pt-BR"/>
        </w:rPr>
        <w:t>os Sonia de León</w:t>
      </w:r>
      <w:r w:rsidR="0089298C" w:rsidRPr="002F50BD">
        <w:rPr>
          <w:rFonts w:ascii="Verdana" w:hAnsi="Verdana"/>
          <w:sz w:val="20"/>
          <w:lang w:val="pt-BR"/>
        </w:rPr>
        <w:t xml:space="preserve"> e </w:t>
      </w:r>
      <w:r w:rsidR="004756C1" w:rsidRPr="002F50BD">
        <w:rPr>
          <w:rFonts w:ascii="Verdana" w:hAnsi="Verdana"/>
          <w:sz w:val="20"/>
          <w:lang w:val="pt-BR"/>
        </w:rPr>
        <w:t xml:space="preserve">Rafael Filizzola Serra </w:t>
      </w:r>
      <w:r w:rsidR="0089298C" w:rsidRPr="002F50BD">
        <w:rPr>
          <w:rFonts w:ascii="Verdana" w:hAnsi="Verdana"/>
          <w:sz w:val="20"/>
          <w:lang w:val="pt-BR"/>
        </w:rPr>
        <w:t xml:space="preserve">solicitaram ao </w:t>
      </w:r>
      <w:r w:rsidR="004756C1" w:rsidRPr="002F50BD">
        <w:rPr>
          <w:rFonts w:ascii="Verdana" w:hAnsi="Verdana"/>
          <w:sz w:val="20"/>
          <w:lang w:val="pt-BR"/>
        </w:rPr>
        <w:t>Presidente</w:t>
      </w:r>
      <w:r w:rsidR="0089298C" w:rsidRPr="002F50BD">
        <w:rPr>
          <w:rFonts w:ascii="Verdana" w:hAnsi="Verdana"/>
          <w:sz w:val="20"/>
          <w:lang w:val="pt-BR"/>
        </w:rPr>
        <w:t xml:space="preserve"> da </w:t>
      </w:r>
      <w:r w:rsidR="00DB51F0" w:rsidRPr="002F50BD">
        <w:rPr>
          <w:rFonts w:ascii="Verdana" w:hAnsi="Verdana"/>
          <w:sz w:val="20"/>
          <w:lang w:val="pt-BR"/>
        </w:rPr>
        <w:t>Câmara</w:t>
      </w:r>
      <w:r w:rsidR="004756C1" w:rsidRPr="002F50BD">
        <w:rPr>
          <w:rFonts w:ascii="Verdana" w:hAnsi="Verdana"/>
          <w:sz w:val="20"/>
          <w:lang w:val="pt-BR"/>
        </w:rPr>
        <w:t xml:space="preserve"> de </w:t>
      </w:r>
      <w:r w:rsidR="00F76AC5" w:rsidRPr="002F50BD">
        <w:rPr>
          <w:rFonts w:ascii="Verdana" w:hAnsi="Verdana"/>
          <w:sz w:val="20"/>
          <w:lang w:val="pt-BR"/>
        </w:rPr>
        <w:t>Deputad</w:t>
      </w:r>
      <w:r w:rsidR="004756C1" w:rsidRPr="002F50BD">
        <w:rPr>
          <w:rFonts w:ascii="Verdana" w:hAnsi="Verdana"/>
          <w:sz w:val="20"/>
          <w:lang w:val="pt-BR"/>
        </w:rPr>
        <w:t xml:space="preserve">os </w:t>
      </w:r>
      <w:r w:rsidR="0089298C" w:rsidRPr="002F50BD">
        <w:rPr>
          <w:rFonts w:ascii="Verdana" w:hAnsi="Verdana"/>
          <w:sz w:val="20"/>
          <w:lang w:val="pt-BR"/>
        </w:rPr>
        <w:t>do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w:t>
      </w:r>
      <w:r w:rsidR="00F76AC5" w:rsidRPr="002F50BD">
        <w:rPr>
          <w:rFonts w:ascii="Verdana" w:hAnsi="Verdana"/>
          <w:sz w:val="20"/>
          <w:lang w:val="pt-BR"/>
        </w:rPr>
        <w:t>a</w:t>
      </w:r>
      <w:r w:rsidR="0089298C" w:rsidRPr="002F50BD">
        <w:rPr>
          <w:rFonts w:ascii="Verdana" w:hAnsi="Verdana"/>
          <w:sz w:val="20"/>
          <w:lang w:val="pt-BR"/>
        </w:rPr>
        <w:t xml:space="preserve"> </w:t>
      </w:r>
      <w:r w:rsidR="00F76AC5" w:rsidRPr="002F50BD">
        <w:rPr>
          <w:rFonts w:ascii="Verdana" w:hAnsi="Verdana"/>
          <w:sz w:val="20"/>
          <w:lang w:val="pt-BR"/>
        </w:rPr>
        <w:t>retirada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citado </w:t>
      </w:r>
      <w:r w:rsidR="0089298C" w:rsidRPr="002F50BD">
        <w:rPr>
          <w:rFonts w:ascii="Verdana" w:hAnsi="Verdana"/>
          <w:sz w:val="20"/>
          <w:lang w:val="pt-BR"/>
        </w:rPr>
        <w:t>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em atenção</w:t>
      </w:r>
      <w:r w:rsidR="004756C1" w:rsidRPr="002F50BD">
        <w:rPr>
          <w:rFonts w:ascii="Verdana" w:hAnsi="Verdana"/>
          <w:sz w:val="20"/>
          <w:lang w:val="pt-BR"/>
        </w:rPr>
        <w:t xml:space="preserve"> a que </w:t>
      </w:r>
      <w:r w:rsidR="0089298C" w:rsidRPr="002F50BD">
        <w:rPr>
          <w:rFonts w:ascii="Verdana" w:hAnsi="Verdana"/>
          <w:sz w:val="20"/>
          <w:lang w:val="pt-BR"/>
        </w:rPr>
        <w:t>“a Comissão</w:t>
      </w:r>
      <w:r w:rsidR="004756C1" w:rsidRPr="002F50BD">
        <w:rPr>
          <w:rFonts w:ascii="Verdana" w:hAnsi="Verdana"/>
          <w:sz w:val="20"/>
          <w:lang w:val="pt-BR"/>
        </w:rPr>
        <w:t xml:space="preserve"> Interamericana de </w:t>
      </w:r>
      <w:r w:rsidR="0089298C" w:rsidRPr="002F50BD">
        <w:rPr>
          <w:rFonts w:ascii="Verdana" w:hAnsi="Verdana"/>
          <w:sz w:val="20"/>
          <w:lang w:val="pt-BR"/>
        </w:rPr>
        <w:t>Direito</w:t>
      </w:r>
      <w:r w:rsidR="004756C1" w:rsidRPr="002F50BD">
        <w:rPr>
          <w:rFonts w:ascii="Verdana" w:hAnsi="Verdana"/>
          <w:sz w:val="20"/>
          <w:lang w:val="pt-BR"/>
        </w:rPr>
        <w:t>s Humanos [</w:t>
      </w:r>
      <w:r w:rsidR="0089298C" w:rsidRPr="002F50BD">
        <w:rPr>
          <w:rFonts w:ascii="Verdana" w:hAnsi="Verdana"/>
          <w:sz w:val="20"/>
          <w:lang w:val="pt-BR"/>
        </w:rPr>
        <w:t>resolveu</w:t>
      </w:r>
      <w:r w:rsidR="004756C1" w:rsidRPr="002F50BD">
        <w:rPr>
          <w:rFonts w:ascii="Verdana" w:hAnsi="Verdana"/>
          <w:sz w:val="20"/>
          <w:lang w:val="pt-BR"/>
        </w:rPr>
        <w:t xml:space="preserve">] </w:t>
      </w:r>
      <w:r w:rsidR="00F76AC5" w:rsidRPr="002F50BD">
        <w:rPr>
          <w:rFonts w:ascii="Verdana" w:hAnsi="Verdana"/>
          <w:sz w:val="20"/>
          <w:lang w:val="pt-BR"/>
        </w:rPr>
        <w:t xml:space="preserve">intervir </w:t>
      </w:r>
      <w:r w:rsidR="0089298C" w:rsidRPr="002F50BD">
        <w:rPr>
          <w:rFonts w:ascii="Verdana" w:hAnsi="Verdana"/>
          <w:sz w:val="20"/>
          <w:lang w:val="pt-BR"/>
        </w:rPr>
        <w:t xml:space="preserve">neste assunto e o </w:t>
      </w:r>
      <w:r w:rsidR="004756C1" w:rsidRPr="002F50BD">
        <w:rPr>
          <w:rFonts w:ascii="Verdana" w:hAnsi="Verdana"/>
          <w:sz w:val="20"/>
          <w:lang w:val="pt-BR"/>
        </w:rPr>
        <w:t xml:space="preserve">Estado […] </w:t>
      </w:r>
      <w:r w:rsidR="00F76AC5" w:rsidRPr="002F50BD">
        <w:rPr>
          <w:rFonts w:ascii="Verdana" w:hAnsi="Verdana"/>
          <w:sz w:val="20"/>
          <w:lang w:val="pt-BR"/>
        </w:rPr>
        <w:t xml:space="preserve">concordou em </w:t>
      </w:r>
      <w:r w:rsidR="00F76AC5" w:rsidRPr="002F50BD">
        <w:rPr>
          <w:rFonts w:ascii="Verdana" w:hAnsi="Verdana"/>
          <w:sz w:val="20"/>
          <w:lang w:val="pt-BR"/>
        </w:rPr>
        <w:lastRenderedPageBreak/>
        <w:t xml:space="preserve">buscar </w:t>
      </w:r>
      <w:r w:rsidR="0089298C" w:rsidRPr="002F50BD">
        <w:rPr>
          <w:rFonts w:ascii="Verdana" w:hAnsi="Verdana"/>
          <w:sz w:val="20"/>
          <w:lang w:val="pt-BR"/>
        </w:rPr>
        <w:t xml:space="preserve">uma </w:t>
      </w:r>
      <w:r w:rsidR="004756C1" w:rsidRPr="002F50BD">
        <w:rPr>
          <w:rFonts w:ascii="Verdana" w:hAnsi="Verdana"/>
          <w:sz w:val="20"/>
          <w:lang w:val="pt-BR"/>
        </w:rPr>
        <w:t>solu</w:t>
      </w:r>
      <w:r w:rsidR="0089298C" w:rsidRPr="002F50BD">
        <w:rPr>
          <w:rFonts w:ascii="Verdana" w:hAnsi="Verdana"/>
          <w:sz w:val="20"/>
          <w:lang w:val="pt-BR"/>
        </w:rPr>
        <w:t>ção</w:t>
      </w:r>
      <w:r w:rsidR="004756C1" w:rsidRPr="002F50BD">
        <w:rPr>
          <w:rFonts w:ascii="Verdana" w:hAnsi="Verdana"/>
          <w:sz w:val="20"/>
          <w:lang w:val="pt-BR"/>
        </w:rPr>
        <w:t xml:space="preserve"> amistosa”</w:t>
      </w:r>
      <w:r w:rsidR="00F76AC5" w:rsidRPr="002F50BD">
        <w:rPr>
          <w:rFonts w:ascii="Verdana" w:hAnsi="Verdana"/>
          <w:sz w:val="20"/>
          <w:lang w:val="pt-BR"/>
        </w:rPr>
        <w:t>.</w:t>
      </w:r>
      <w:r w:rsidR="004756C1" w:rsidRPr="002F50BD">
        <w:rPr>
          <w:rStyle w:val="FootnoteReference"/>
          <w:rFonts w:ascii="Verdana" w:hAnsi="Verdana"/>
          <w:lang w:val="es-ES_tradnl"/>
        </w:rPr>
        <w:footnoteReference w:id="101"/>
      </w:r>
      <w:r w:rsidR="004756C1" w:rsidRPr="002F50BD">
        <w:rPr>
          <w:rFonts w:ascii="Verdana" w:hAnsi="Verdana"/>
          <w:sz w:val="20"/>
          <w:lang w:val="pt-BR"/>
        </w:rPr>
        <w:t xml:space="preserve"> </w:t>
      </w:r>
    </w:p>
    <w:p w:rsidR="004756C1" w:rsidRPr="002F50BD" w:rsidRDefault="004756C1">
      <w:pPr>
        <w:pStyle w:val="BodyText"/>
        <w:tabs>
          <w:tab w:val="left" w:pos="720"/>
          <w:tab w:val="left" w:pos="7290"/>
        </w:tabs>
        <w:rPr>
          <w:rFonts w:ascii="Verdana" w:hAnsi="Verdana"/>
          <w:sz w:val="20"/>
          <w:lang w:val="pt-BR"/>
        </w:rPr>
      </w:pPr>
    </w:p>
    <w:p w:rsidR="004756C1" w:rsidRPr="002F50BD" w:rsidRDefault="00063B47">
      <w:pPr>
        <w:pStyle w:val="BodyText"/>
        <w:tabs>
          <w:tab w:val="left" w:pos="720"/>
          <w:tab w:val="left" w:pos="729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2000</w:t>
      </w:r>
      <w:r w:rsidR="006D28A8" w:rsidRPr="002F50BD">
        <w:rPr>
          <w:rFonts w:ascii="Verdana" w:hAnsi="Verdana"/>
          <w:sz w:val="20"/>
          <w:lang w:val="pt-BR"/>
        </w:rPr>
        <w:t>,</w:t>
      </w:r>
      <w:r w:rsidR="0089298C" w:rsidRPr="002F50BD">
        <w:rPr>
          <w:rFonts w:ascii="Verdana" w:hAnsi="Verdana"/>
          <w:sz w:val="20"/>
          <w:lang w:val="pt-BR"/>
        </w:rPr>
        <w:t xml:space="preserve"> a </w:t>
      </w:r>
      <w:r w:rsidR="00DB51F0" w:rsidRPr="002F50BD">
        <w:rPr>
          <w:rFonts w:ascii="Verdana" w:hAnsi="Verdana"/>
          <w:sz w:val="20"/>
          <w:lang w:val="pt-BR"/>
        </w:rPr>
        <w:t>Câmara</w:t>
      </w:r>
      <w:r w:rsidR="004756C1" w:rsidRPr="002F50BD">
        <w:rPr>
          <w:rFonts w:ascii="Verdana" w:hAnsi="Verdana"/>
          <w:sz w:val="20"/>
          <w:lang w:val="pt-BR"/>
        </w:rPr>
        <w:t xml:space="preserve"> de </w:t>
      </w:r>
      <w:r w:rsidR="00F76AC5" w:rsidRPr="002F50BD">
        <w:rPr>
          <w:rFonts w:ascii="Verdana" w:hAnsi="Verdana"/>
          <w:sz w:val="20"/>
          <w:lang w:val="pt-BR"/>
        </w:rPr>
        <w:t>Deputad</w:t>
      </w:r>
      <w:r w:rsidR="004756C1" w:rsidRPr="002F50BD">
        <w:rPr>
          <w:rFonts w:ascii="Verdana" w:hAnsi="Verdana"/>
          <w:sz w:val="20"/>
          <w:lang w:val="pt-BR"/>
        </w:rPr>
        <w:t xml:space="preserve">os </w:t>
      </w:r>
      <w:r w:rsidR="0089298C" w:rsidRPr="002F50BD">
        <w:rPr>
          <w:rFonts w:ascii="Verdana" w:hAnsi="Verdana"/>
          <w:sz w:val="20"/>
          <w:lang w:val="pt-BR"/>
        </w:rPr>
        <w:t>do Congresso</w:t>
      </w:r>
      <w:r w:rsidR="004756C1" w:rsidRPr="002F50BD">
        <w:rPr>
          <w:rFonts w:ascii="Verdana" w:hAnsi="Verdana"/>
          <w:sz w:val="20"/>
          <w:lang w:val="pt-BR"/>
        </w:rPr>
        <w:t xml:space="preserve"> Nacional </w:t>
      </w:r>
      <w:r w:rsidR="0089298C" w:rsidRPr="002F50BD">
        <w:rPr>
          <w:rFonts w:ascii="Verdana" w:hAnsi="Verdana"/>
          <w:sz w:val="20"/>
          <w:lang w:val="pt-BR"/>
        </w:rPr>
        <w:t>emitiu</w:t>
      </w:r>
      <w:r w:rsidR="004756C1" w:rsidRPr="002F50BD">
        <w:rPr>
          <w:rFonts w:ascii="Verdana" w:hAnsi="Verdana"/>
          <w:sz w:val="20"/>
          <w:lang w:val="pt-BR"/>
        </w:rPr>
        <w:t xml:space="preserve"> </w:t>
      </w:r>
      <w:r w:rsidR="00F76AC5" w:rsidRPr="002F50BD">
        <w:rPr>
          <w:rFonts w:ascii="Verdana" w:hAnsi="Verdana"/>
          <w:sz w:val="20"/>
          <w:lang w:val="pt-BR"/>
        </w:rPr>
        <w:t xml:space="preserve">a </w:t>
      </w:r>
      <w:r w:rsidR="004756C1" w:rsidRPr="002F50BD">
        <w:rPr>
          <w:rFonts w:ascii="Verdana" w:hAnsi="Verdana"/>
          <w:sz w:val="20"/>
          <w:lang w:val="pt-BR"/>
        </w:rPr>
        <w:t>resolu</w:t>
      </w:r>
      <w:r w:rsidR="0089298C" w:rsidRPr="002F50BD">
        <w:rPr>
          <w:rFonts w:ascii="Verdana" w:hAnsi="Verdana"/>
          <w:sz w:val="20"/>
          <w:lang w:val="pt-BR"/>
        </w:rPr>
        <w:t>ção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544</w:t>
      </w:r>
      <w:r w:rsidR="004756C1" w:rsidRPr="002F50BD">
        <w:rPr>
          <w:rFonts w:ascii="Verdana" w:hAnsi="Verdana"/>
          <w:sz w:val="20"/>
          <w:lang w:val="pt-BR"/>
        </w:rPr>
        <w:t xml:space="preserve">, </w:t>
      </w:r>
      <w:r w:rsidR="00F76AC5" w:rsidRPr="002F50BD">
        <w:rPr>
          <w:rFonts w:ascii="Verdana" w:hAnsi="Verdana"/>
          <w:sz w:val="20"/>
          <w:lang w:val="pt-BR"/>
        </w:rPr>
        <w:t>por meio da</w:t>
      </w:r>
      <w:r w:rsidR="0089298C" w:rsidRPr="002F50BD">
        <w:rPr>
          <w:rFonts w:ascii="Verdana" w:hAnsi="Verdana"/>
          <w:sz w:val="20"/>
          <w:lang w:val="pt-BR"/>
        </w:rPr>
        <w:t xml:space="preserve"> qual resolveu</w:t>
      </w:r>
      <w:r w:rsidR="004756C1" w:rsidRPr="002F50BD">
        <w:rPr>
          <w:rFonts w:ascii="Verdana" w:hAnsi="Verdana"/>
          <w:sz w:val="20"/>
          <w:lang w:val="pt-BR"/>
        </w:rPr>
        <w:t xml:space="preserve"> retirar</w:t>
      </w:r>
      <w:r w:rsidR="0089298C" w:rsidRPr="002F50BD">
        <w:rPr>
          <w:rFonts w:ascii="Verdana" w:hAnsi="Verdana"/>
          <w:sz w:val="20"/>
          <w:lang w:val="pt-BR"/>
        </w:rPr>
        <w:t xml:space="preserve"> </w:t>
      </w:r>
      <w:r w:rsidR="00F76AC5" w:rsidRPr="002F50BD">
        <w:rPr>
          <w:rFonts w:ascii="Verdana" w:hAnsi="Verdana"/>
          <w:sz w:val="20"/>
          <w:lang w:val="pt-BR"/>
        </w:rPr>
        <w:t xml:space="preserve">de pauta </w:t>
      </w:r>
      <w:r w:rsidR="0089298C" w:rsidRPr="002F50BD">
        <w:rPr>
          <w:rFonts w:ascii="Verdana" w:hAnsi="Verdana"/>
          <w:sz w:val="20"/>
          <w:lang w:val="pt-BR"/>
        </w:rPr>
        <w:t>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F76AC5" w:rsidRPr="002F50BD">
        <w:rPr>
          <w:rFonts w:ascii="Verdana" w:hAnsi="Verdana"/>
          <w:sz w:val="20"/>
          <w:lang w:val="pt-BR"/>
        </w:rPr>
        <w:t>.</w:t>
      </w:r>
      <w:r w:rsidR="004756C1" w:rsidRPr="002F50BD">
        <w:rPr>
          <w:rStyle w:val="FootnoteReference"/>
          <w:rFonts w:ascii="Verdana" w:hAnsi="Verdana"/>
          <w:lang w:val="es-ES_tradnl"/>
        </w:rPr>
        <w:footnoteReference w:id="102"/>
      </w:r>
    </w:p>
    <w:p w:rsidR="004756C1" w:rsidRPr="002F50BD" w:rsidRDefault="004756C1">
      <w:pPr>
        <w:pStyle w:val="BodyText"/>
        <w:tabs>
          <w:tab w:val="left" w:pos="270"/>
          <w:tab w:val="left" w:pos="7290"/>
        </w:tabs>
        <w:rPr>
          <w:rFonts w:ascii="Verdana" w:hAnsi="Verdana"/>
          <w:sz w:val="20"/>
          <w:lang w:val="pt-BR"/>
        </w:rPr>
      </w:pPr>
    </w:p>
    <w:p w:rsidR="004756C1" w:rsidRPr="002F50BD" w:rsidRDefault="00063B47">
      <w:pPr>
        <w:pStyle w:val="BodyText"/>
        <w:tabs>
          <w:tab w:val="left" w:pos="720"/>
          <w:tab w:val="left" w:pos="729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30</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Presidente </w:t>
      </w:r>
      <w:r w:rsidR="0089298C" w:rsidRPr="002F50BD">
        <w:rPr>
          <w:rFonts w:ascii="Verdana" w:hAnsi="Verdana"/>
          <w:sz w:val="20"/>
          <w:lang w:val="pt-BR"/>
        </w:rPr>
        <w:t xml:space="preserve">do Paraguai e o </w:t>
      </w:r>
      <w:r w:rsidR="004756C1" w:rsidRPr="002F50BD">
        <w:rPr>
          <w:rFonts w:ascii="Verdana" w:hAnsi="Verdana"/>
          <w:sz w:val="20"/>
          <w:lang w:val="pt-BR"/>
        </w:rPr>
        <w:t>Ministro de Educa</w:t>
      </w:r>
      <w:r w:rsidR="0089298C" w:rsidRPr="002F50BD">
        <w:rPr>
          <w:rFonts w:ascii="Verdana" w:hAnsi="Verdana"/>
          <w:sz w:val="20"/>
          <w:lang w:val="pt-BR"/>
        </w:rPr>
        <w:t xml:space="preserve">ção e </w:t>
      </w:r>
      <w:r w:rsidR="004756C1" w:rsidRPr="002F50BD">
        <w:rPr>
          <w:rFonts w:ascii="Verdana" w:hAnsi="Verdana"/>
          <w:sz w:val="20"/>
          <w:lang w:val="pt-BR"/>
        </w:rPr>
        <w:t xml:space="preserve">Cultura </w:t>
      </w:r>
      <w:r w:rsidR="0089298C" w:rsidRPr="002F50BD">
        <w:rPr>
          <w:rFonts w:ascii="Verdana" w:hAnsi="Verdana"/>
          <w:sz w:val="20"/>
          <w:lang w:val="pt-BR"/>
        </w:rPr>
        <w:t>do Paraguai</w:t>
      </w:r>
      <w:r w:rsidR="004756C1" w:rsidRPr="002F50BD">
        <w:rPr>
          <w:rFonts w:ascii="Verdana" w:hAnsi="Verdana"/>
          <w:sz w:val="20"/>
          <w:lang w:val="pt-BR"/>
        </w:rPr>
        <w:t xml:space="preserve"> </w:t>
      </w:r>
      <w:r w:rsidR="00F76AC5" w:rsidRPr="002F50BD">
        <w:rPr>
          <w:rFonts w:ascii="Verdana" w:hAnsi="Verdana"/>
          <w:sz w:val="20"/>
          <w:lang w:val="pt-BR"/>
        </w:rPr>
        <w:t>submeteram à</w:t>
      </w:r>
      <w:r w:rsidR="004756C1" w:rsidRPr="002F50BD">
        <w:rPr>
          <w:rFonts w:ascii="Verdana" w:hAnsi="Verdana"/>
          <w:sz w:val="20"/>
          <w:lang w:val="pt-BR"/>
        </w:rPr>
        <w:t xml:space="preserve"> considera</w:t>
      </w:r>
      <w:r w:rsidR="0089298C" w:rsidRPr="002F50BD">
        <w:rPr>
          <w:rFonts w:ascii="Verdana" w:hAnsi="Verdana"/>
          <w:sz w:val="20"/>
          <w:lang w:val="pt-BR"/>
        </w:rPr>
        <w:t xml:space="preserve">ção da </w:t>
      </w:r>
      <w:r w:rsidR="00DB51F0" w:rsidRPr="002F50BD">
        <w:rPr>
          <w:rFonts w:ascii="Verdana" w:hAnsi="Verdana"/>
          <w:sz w:val="20"/>
          <w:lang w:val="pt-BR"/>
        </w:rPr>
        <w:t>Câmara</w:t>
      </w:r>
      <w:r w:rsidR="004756C1" w:rsidRPr="002F50BD">
        <w:rPr>
          <w:rFonts w:ascii="Verdana" w:hAnsi="Verdana"/>
          <w:sz w:val="20"/>
          <w:lang w:val="pt-BR"/>
        </w:rPr>
        <w:t xml:space="preserve"> de Senadores </w:t>
      </w:r>
      <w:r w:rsidR="0089298C" w:rsidRPr="002F50BD">
        <w:rPr>
          <w:rFonts w:ascii="Verdana" w:hAnsi="Verdana"/>
          <w:sz w:val="20"/>
          <w:lang w:val="pt-BR"/>
        </w:rPr>
        <w:t>do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um novo</w:t>
      </w:r>
      <w:r w:rsidR="004756C1" w:rsidRPr="002F50BD">
        <w:rPr>
          <w:rFonts w:ascii="Verdana" w:hAnsi="Verdana"/>
          <w:sz w:val="20"/>
          <w:lang w:val="pt-BR"/>
        </w:rPr>
        <w:t xml:space="preserve"> </w:t>
      </w:r>
      <w:r w:rsidR="0089298C" w:rsidRPr="002F50BD">
        <w:rPr>
          <w:rFonts w:ascii="Verdana" w:hAnsi="Verdana"/>
          <w:sz w:val="20"/>
          <w:lang w:val="pt-BR"/>
        </w:rPr>
        <w:t>projeto</w:t>
      </w:r>
      <w:r w:rsidR="004756C1" w:rsidRPr="002F50BD">
        <w:rPr>
          <w:rFonts w:ascii="Verdana" w:hAnsi="Verdana"/>
          <w:sz w:val="20"/>
          <w:lang w:val="pt-BR"/>
        </w:rPr>
        <w:t xml:space="preserve"> de </w:t>
      </w:r>
      <w:r w:rsidR="00DB51F0" w:rsidRPr="002F50BD">
        <w:rPr>
          <w:rFonts w:ascii="Verdana" w:hAnsi="Verdana"/>
          <w:sz w:val="20"/>
          <w:lang w:val="pt-BR"/>
        </w:rPr>
        <w:t>expropriação</w:t>
      </w:r>
      <w:r w:rsidR="004756C1" w:rsidRPr="002F50BD">
        <w:rPr>
          <w:rFonts w:ascii="Verdana" w:hAnsi="Verdana"/>
          <w:sz w:val="20"/>
          <w:lang w:val="pt-BR"/>
        </w:rPr>
        <w:t xml:space="preserve"> “QUE DECLARA DE </w:t>
      </w:r>
      <w:r w:rsidR="0089298C" w:rsidRPr="002F50BD">
        <w:rPr>
          <w:rFonts w:ascii="Verdana" w:hAnsi="Verdana"/>
          <w:sz w:val="20"/>
          <w:lang w:val="pt-BR"/>
        </w:rPr>
        <w:t xml:space="preserve">INTERESSE </w:t>
      </w:r>
      <w:r w:rsidR="00F76AC5" w:rsidRPr="002F50BD">
        <w:rPr>
          <w:rFonts w:ascii="Verdana" w:hAnsi="Verdana"/>
          <w:sz w:val="20"/>
          <w:lang w:val="pt-BR"/>
        </w:rPr>
        <w:t xml:space="preserve">SOCIAL E EXPROPRIA UMA FRAÇÃO DE IMÓVEL PROPRIEDADE DA EMPRESA AGRICULTURAL DEVELOPMENT INC., </w:t>
      </w:r>
      <w:r w:rsidR="00DF19F4" w:rsidRPr="002F50BD">
        <w:rPr>
          <w:rFonts w:ascii="Verdana" w:hAnsi="Verdana"/>
          <w:sz w:val="20"/>
          <w:lang w:val="pt-BR"/>
        </w:rPr>
        <w:t xml:space="preserve">SITUADO NA </w:t>
      </w:r>
      <w:r w:rsidR="00F76AC5" w:rsidRPr="002F50BD">
        <w:rPr>
          <w:rFonts w:ascii="Verdana" w:hAnsi="Verdana"/>
          <w:sz w:val="20"/>
          <w:lang w:val="pt-BR"/>
        </w:rPr>
        <w:t>COMUNIDADE INDÍGENA DENOMINADA E</w:t>
      </w:r>
      <w:r w:rsidR="004756C1" w:rsidRPr="002F50BD">
        <w:rPr>
          <w:rFonts w:ascii="Verdana" w:hAnsi="Verdana"/>
          <w:sz w:val="20"/>
          <w:lang w:val="pt-BR"/>
        </w:rPr>
        <w:t xml:space="preserve">NXET </w:t>
      </w:r>
      <w:r w:rsidR="00CF451D" w:rsidRPr="00CF451D">
        <w:rPr>
          <w:rFonts w:ascii="Verdana" w:hAnsi="Verdana"/>
          <w:sz w:val="20"/>
          <w:lang w:val="pt-BR"/>
        </w:rPr>
        <w:t>(</w:t>
      </w:r>
      <w:r w:rsidR="00CD3DEB" w:rsidRPr="002F50BD">
        <w:rPr>
          <w:rFonts w:ascii="Verdana" w:hAnsi="Verdana"/>
          <w:sz w:val="20"/>
          <w:lang w:val="pt-BR"/>
        </w:rPr>
        <w:t>L</w:t>
      </w:r>
      <w:r w:rsidR="00F76AC5" w:rsidRPr="002F50BD">
        <w:rPr>
          <w:rFonts w:ascii="Verdana" w:hAnsi="Verdana"/>
          <w:sz w:val="20"/>
          <w:lang w:val="pt-BR"/>
        </w:rPr>
        <w:t>e</w:t>
      </w:r>
      <w:r w:rsidR="00CD3DEB" w:rsidRPr="002F50BD">
        <w:rPr>
          <w:rFonts w:ascii="Verdana" w:hAnsi="Verdana"/>
          <w:sz w:val="20"/>
          <w:lang w:val="pt-BR"/>
        </w:rPr>
        <w:t>ngua</w:t>
      </w:r>
      <w:r w:rsidR="004756C1" w:rsidRPr="002F50BD">
        <w:rPr>
          <w:rFonts w:ascii="Verdana" w:hAnsi="Verdana"/>
          <w:sz w:val="20"/>
          <w:lang w:val="pt-BR"/>
        </w:rPr>
        <w:t>-Maskoy</w:t>
      </w:r>
      <w:r w:rsidR="00CF451D" w:rsidRPr="00CF451D">
        <w:rPr>
          <w:rFonts w:ascii="Verdana" w:hAnsi="Verdana"/>
          <w:sz w:val="20"/>
          <w:lang w:val="pt-BR"/>
        </w:rPr>
        <w:t>)</w:t>
      </w:r>
      <w:r w:rsidR="004756C1" w:rsidRPr="002F50BD">
        <w:rPr>
          <w:rFonts w:ascii="Verdana" w:hAnsi="Verdana"/>
          <w:sz w:val="20"/>
          <w:lang w:val="pt-BR"/>
        </w:rPr>
        <w:t xml:space="preserve"> ‘YAKIE AXA’, </w:t>
      </w:r>
      <w:r w:rsidR="0089298C" w:rsidRPr="002F50BD">
        <w:rPr>
          <w:rFonts w:ascii="Verdana" w:hAnsi="Verdana"/>
          <w:sz w:val="20"/>
          <w:lang w:val="pt-BR"/>
        </w:rPr>
        <w:t xml:space="preserve">DO </w:t>
      </w:r>
      <w:r w:rsidR="004756C1" w:rsidRPr="002F50BD">
        <w:rPr>
          <w:rFonts w:ascii="Verdana" w:hAnsi="Verdana"/>
          <w:sz w:val="20"/>
          <w:lang w:val="pt-BR"/>
        </w:rPr>
        <w:t xml:space="preserve">DISTRITO DE </w:t>
      </w:r>
      <w:r w:rsidR="0089298C" w:rsidRPr="002F50BD">
        <w:rPr>
          <w:rFonts w:ascii="Verdana" w:hAnsi="Verdana"/>
          <w:sz w:val="20"/>
          <w:lang w:val="pt-BR"/>
        </w:rPr>
        <w:t>VIL</w:t>
      </w:r>
      <w:r w:rsidR="00F76AC5" w:rsidRPr="002F50BD">
        <w:rPr>
          <w:rFonts w:ascii="Verdana" w:hAnsi="Verdana"/>
          <w:sz w:val="20"/>
          <w:lang w:val="pt-BR"/>
        </w:rPr>
        <w:t>L</w:t>
      </w:r>
      <w:r w:rsidR="0089298C" w:rsidRPr="002F50BD">
        <w:rPr>
          <w:rFonts w:ascii="Verdana" w:hAnsi="Verdana"/>
          <w:sz w:val="20"/>
          <w:lang w:val="pt-BR"/>
        </w:rPr>
        <w:t>A</w:t>
      </w:r>
      <w:r w:rsidR="004756C1" w:rsidRPr="002F50BD">
        <w:rPr>
          <w:rFonts w:ascii="Verdana" w:hAnsi="Verdana"/>
          <w:sz w:val="20"/>
          <w:lang w:val="pt-BR"/>
        </w:rPr>
        <w:t xml:space="preserve"> HAYES </w:t>
      </w:r>
      <w:r w:rsidR="0089298C" w:rsidRPr="002F50BD">
        <w:rPr>
          <w:rFonts w:ascii="Verdana" w:hAnsi="Verdana"/>
          <w:sz w:val="20"/>
          <w:lang w:val="pt-BR"/>
        </w:rPr>
        <w:t xml:space="preserve">DO </w:t>
      </w:r>
      <w:r w:rsidR="004756C1" w:rsidRPr="002F50BD">
        <w:rPr>
          <w:rFonts w:ascii="Verdana" w:hAnsi="Verdana"/>
          <w:sz w:val="20"/>
          <w:lang w:val="pt-BR"/>
        </w:rPr>
        <w:t xml:space="preserve">DEPARTAMENTO DE PRESIDENTE HAYES, A FAVOR </w:t>
      </w:r>
      <w:r w:rsidR="0089298C" w:rsidRPr="002F50BD">
        <w:rPr>
          <w:rFonts w:ascii="Verdana" w:hAnsi="Verdana"/>
          <w:sz w:val="20"/>
          <w:lang w:val="pt-BR"/>
        </w:rPr>
        <w:t xml:space="preserve">DO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INDÍGENA”</w:t>
      </w:r>
      <w:r w:rsidR="004756C1" w:rsidRPr="002F50BD">
        <w:rPr>
          <w:rStyle w:val="FootnoteReference"/>
          <w:rFonts w:ascii="Verdana" w:hAnsi="Verdana"/>
          <w:lang w:val="pt-BR"/>
        </w:rPr>
        <w:t xml:space="preserve"> </w:t>
      </w:r>
      <w:r w:rsidR="004756C1" w:rsidRPr="002F50BD">
        <w:rPr>
          <w:rStyle w:val="FootnoteReference"/>
          <w:rFonts w:ascii="Verdana" w:hAnsi="Verdana"/>
          <w:lang w:val="es-ES_tradnl"/>
        </w:rPr>
        <w:footnoteReference w:id="103"/>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6D28A8"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pStyle w:val="BodyText"/>
        <w:tabs>
          <w:tab w:val="left" w:pos="270"/>
          <w:tab w:val="left" w:pos="7290"/>
        </w:tabs>
        <w:ind w:righ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19</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sz w:val="20"/>
          <w:lang w:val="pt-BR"/>
        </w:rPr>
        <w:t xml:space="preserve"> a Comissão</w:t>
      </w:r>
      <w:r w:rsidR="00F76AC5" w:rsidRPr="002F50BD">
        <w:rPr>
          <w:rFonts w:ascii="Verdana" w:hAnsi="Verdana"/>
          <w:sz w:val="20"/>
          <w:lang w:val="pt-BR"/>
        </w:rPr>
        <w:t xml:space="preserve"> de Reforma Agrá</w:t>
      </w:r>
      <w:r w:rsidR="004756C1" w:rsidRPr="002F50BD">
        <w:rPr>
          <w:rFonts w:ascii="Verdana" w:hAnsi="Verdana"/>
          <w:sz w:val="20"/>
          <w:lang w:val="pt-BR"/>
        </w:rPr>
        <w:t>ria</w:t>
      </w:r>
      <w:r w:rsidR="0089298C" w:rsidRPr="002F50BD">
        <w:rPr>
          <w:rFonts w:ascii="Verdana" w:hAnsi="Verdana"/>
          <w:sz w:val="20"/>
          <w:lang w:val="pt-BR"/>
        </w:rPr>
        <w:t xml:space="preserve"> e </w:t>
      </w:r>
      <w:r w:rsidR="00475EBB" w:rsidRPr="002F50BD">
        <w:rPr>
          <w:rFonts w:ascii="Verdana" w:hAnsi="Verdana"/>
          <w:sz w:val="20"/>
          <w:lang w:val="pt-BR"/>
        </w:rPr>
        <w:t>Bem Estar</w:t>
      </w:r>
      <w:r w:rsidR="004756C1" w:rsidRPr="002F50BD">
        <w:rPr>
          <w:rFonts w:ascii="Verdana" w:hAnsi="Verdana"/>
          <w:sz w:val="20"/>
          <w:lang w:val="pt-BR"/>
        </w:rPr>
        <w:t xml:space="preserve"> Rural</w:t>
      </w:r>
      <w:r w:rsidR="0089298C" w:rsidRPr="002F50BD">
        <w:rPr>
          <w:rFonts w:ascii="Verdana" w:hAnsi="Verdana"/>
          <w:sz w:val="20"/>
          <w:lang w:val="pt-BR"/>
        </w:rPr>
        <w:t xml:space="preserve"> da </w:t>
      </w:r>
      <w:r w:rsidR="00DB51F0" w:rsidRPr="002F50BD">
        <w:rPr>
          <w:rFonts w:ascii="Verdana" w:hAnsi="Verdana"/>
          <w:sz w:val="20"/>
          <w:lang w:val="pt-BR"/>
        </w:rPr>
        <w:t>Câmara</w:t>
      </w:r>
      <w:r w:rsidR="004756C1" w:rsidRPr="002F50BD">
        <w:rPr>
          <w:rFonts w:ascii="Verdana" w:hAnsi="Verdana"/>
          <w:sz w:val="20"/>
          <w:lang w:val="pt-BR"/>
        </w:rPr>
        <w:t xml:space="preserve"> de Senadores </w:t>
      </w:r>
      <w:r w:rsidR="00F76AC5" w:rsidRPr="002F50BD">
        <w:rPr>
          <w:rFonts w:ascii="Verdana" w:hAnsi="Verdana"/>
          <w:sz w:val="20"/>
          <w:lang w:val="pt-BR"/>
        </w:rPr>
        <w:t>recomendou</w:t>
      </w:r>
      <w:r w:rsidR="0089298C" w:rsidRPr="002F50BD">
        <w:rPr>
          <w:rFonts w:ascii="Verdana" w:hAnsi="Verdana"/>
          <w:sz w:val="20"/>
          <w:lang w:val="pt-BR"/>
        </w:rPr>
        <w:t xml:space="preserve"> a </w:t>
      </w:r>
      <w:r w:rsidR="004076AD" w:rsidRPr="002F50BD">
        <w:rPr>
          <w:rFonts w:ascii="Verdana" w:hAnsi="Verdana"/>
          <w:sz w:val="20"/>
          <w:lang w:val="pt-BR"/>
        </w:rPr>
        <w:t>aprovação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citado </w:t>
      </w:r>
      <w:r w:rsidR="0089298C" w:rsidRPr="002F50BD">
        <w:rPr>
          <w:rFonts w:ascii="Verdana" w:hAnsi="Verdana"/>
          <w:sz w:val="20"/>
          <w:lang w:val="pt-BR"/>
        </w:rPr>
        <w:t>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e solicitou</w:t>
      </w:r>
      <w:r w:rsidR="004756C1" w:rsidRPr="002F50BD">
        <w:rPr>
          <w:rFonts w:ascii="Verdana" w:hAnsi="Verdana"/>
          <w:sz w:val="20"/>
          <w:lang w:val="pt-BR"/>
        </w:rPr>
        <w:t xml:space="preserve"> s</w:t>
      </w:r>
      <w:r w:rsidR="001B690B" w:rsidRPr="002F50BD">
        <w:rPr>
          <w:rFonts w:ascii="Verdana" w:hAnsi="Verdana"/>
          <w:sz w:val="20"/>
          <w:lang w:val="pt-BR"/>
        </w:rPr>
        <w:t xml:space="preserve">ua apreciação pelo </w:t>
      </w:r>
      <w:r w:rsidR="004756C1" w:rsidRPr="002F50BD">
        <w:rPr>
          <w:rFonts w:ascii="Verdana" w:hAnsi="Verdana"/>
          <w:sz w:val="20"/>
          <w:lang w:val="pt-BR"/>
        </w:rPr>
        <w:t>plen</w:t>
      </w:r>
      <w:r w:rsidR="00F76AC5" w:rsidRPr="002F50BD">
        <w:rPr>
          <w:rFonts w:ascii="Verdana" w:hAnsi="Verdana"/>
          <w:sz w:val="20"/>
          <w:lang w:val="pt-BR"/>
        </w:rPr>
        <w:t>á</w:t>
      </w:r>
      <w:r w:rsidR="004756C1" w:rsidRPr="002F50BD">
        <w:rPr>
          <w:rFonts w:ascii="Verdana" w:hAnsi="Verdana"/>
          <w:sz w:val="20"/>
          <w:lang w:val="pt-BR"/>
        </w:rPr>
        <w:t>ri</w:t>
      </w:r>
      <w:r w:rsidR="00F76AC5" w:rsidRPr="002F50BD">
        <w:rPr>
          <w:rFonts w:ascii="Verdana" w:hAnsi="Verdana"/>
          <w:sz w:val="20"/>
          <w:lang w:val="pt-BR"/>
        </w:rPr>
        <w:t>o</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58</w:t>
      </w:r>
      <w:r w:rsidR="00F76AC5" w:rsidRPr="002F50BD">
        <w:rPr>
          <w:rFonts w:ascii="Verdana" w:hAnsi="Verdana"/>
          <w:i/>
          <w:sz w:val="20"/>
          <w:lang w:val="pt-BR"/>
        </w:rPr>
        <w:t xml:space="preserve"> supra</w:t>
      </w:r>
      <w:r w:rsidR="00CF451D" w:rsidRPr="00CF451D">
        <w:rPr>
          <w:rFonts w:ascii="Verdana" w:hAnsi="Verdana"/>
          <w:sz w:val="20"/>
          <w:lang w:val="pt-BR"/>
        </w:rPr>
        <w:t>)</w:t>
      </w:r>
      <w:r w:rsidR="00F76AC5" w:rsidRPr="002F50BD">
        <w:rPr>
          <w:rFonts w:ascii="Verdana" w:hAnsi="Verdana"/>
          <w:sz w:val="20"/>
          <w:lang w:val="pt-BR"/>
        </w:rPr>
        <w:t>.</w:t>
      </w:r>
      <w:r w:rsidR="004756C1" w:rsidRPr="002F50BD">
        <w:rPr>
          <w:rStyle w:val="FootnoteReference"/>
          <w:rFonts w:ascii="Verdana" w:hAnsi="Verdana"/>
          <w:lang w:val="es-ES_tradnl"/>
        </w:rPr>
        <w:footnoteReference w:id="104"/>
      </w:r>
      <w:r w:rsidR="000F2A3D" w:rsidRPr="002F50BD">
        <w:rPr>
          <w:rFonts w:ascii="Verdana" w:hAnsi="Verdana"/>
          <w:sz w:val="20"/>
          <w:lang w:val="pt-BR"/>
        </w:rPr>
        <w:t xml:space="preserve"> Em </w:t>
      </w:r>
      <w:r w:rsidRPr="002F50BD">
        <w:rPr>
          <w:rFonts w:ascii="Verdana" w:hAnsi="Verdana"/>
          <w:sz w:val="20"/>
          <w:lang w:val="pt-BR"/>
        </w:rPr>
        <w:t>27</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sz w:val="20"/>
          <w:lang w:val="pt-BR"/>
        </w:rPr>
        <w:t xml:space="preserve"> a </w:t>
      </w:r>
      <w:r w:rsidR="00DB51F0" w:rsidRPr="002F50BD">
        <w:rPr>
          <w:rFonts w:ascii="Verdana" w:hAnsi="Verdana"/>
          <w:sz w:val="20"/>
          <w:lang w:val="pt-BR"/>
        </w:rPr>
        <w:t>Câmara</w:t>
      </w:r>
      <w:r w:rsidR="004756C1" w:rsidRPr="002F50BD">
        <w:rPr>
          <w:rFonts w:ascii="Verdana" w:hAnsi="Verdana"/>
          <w:sz w:val="20"/>
          <w:lang w:val="pt-BR"/>
        </w:rPr>
        <w:t xml:space="preserve"> de Senadores discuti</w:t>
      </w:r>
      <w:r w:rsidR="00F76AC5" w:rsidRPr="002F50BD">
        <w:rPr>
          <w:rFonts w:ascii="Verdana" w:hAnsi="Verdana"/>
          <w:sz w:val="20"/>
          <w:lang w:val="pt-BR"/>
        </w:rPr>
        <w:t>u</w:t>
      </w:r>
      <w:r w:rsidR="0089298C" w:rsidRPr="002F50BD">
        <w:rPr>
          <w:rFonts w:ascii="Verdana" w:hAnsi="Verdana"/>
          <w:sz w:val="20"/>
          <w:lang w:val="pt-BR"/>
        </w:rPr>
        <w:t xml:space="preserve"> e submeteu</w:t>
      </w:r>
      <w:r w:rsidR="004756C1" w:rsidRPr="002F50BD">
        <w:rPr>
          <w:rFonts w:ascii="Verdana" w:hAnsi="Verdana"/>
          <w:sz w:val="20"/>
          <w:lang w:val="pt-BR"/>
        </w:rPr>
        <w:t xml:space="preserve"> </w:t>
      </w:r>
      <w:r w:rsidR="002829BB">
        <w:rPr>
          <w:rFonts w:ascii="Verdana" w:hAnsi="Verdana"/>
          <w:sz w:val="20"/>
          <w:lang w:val="pt-BR"/>
        </w:rPr>
        <w:t>à</w:t>
      </w:r>
      <w:r w:rsidR="00BA7E13" w:rsidRPr="002F50BD">
        <w:rPr>
          <w:rFonts w:ascii="Verdana" w:hAnsi="Verdana"/>
          <w:sz w:val="20"/>
          <w:lang w:val="pt-BR"/>
        </w:rPr>
        <w:t xml:space="preserve"> votação </w:t>
      </w:r>
      <w:r w:rsidR="00F76AC5" w:rsidRPr="002F50BD">
        <w:rPr>
          <w:rFonts w:ascii="Verdana" w:hAnsi="Verdana"/>
          <w:sz w:val="20"/>
          <w:lang w:val="pt-BR"/>
        </w:rPr>
        <w:t>o projeto de lei de expropriação apresentado pelo Poder Executivo</w:t>
      </w:r>
      <w:r w:rsidR="00D95E71" w:rsidRPr="002F50BD">
        <w:rPr>
          <w:rFonts w:ascii="Verdana" w:hAnsi="Verdana"/>
          <w:sz w:val="20"/>
          <w:lang w:val="pt-BR"/>
        </w:rPr>
        <w:t xml:space="preserve">. O </w:t>
      </w:r>
      <w:r w:rsidR="0089298C" w:rsidRPr="002F50BD">
        <w:rPr>
          <w:rFonts w:ascii="Verdana" w:hAnsi="Verdana"/>
          <w:sz w:val="20"/>
          <w:lang w:val="pt-BR"/>
        </w:rPr>
        <w:t>projeto</w:t>
      </w:r>
      <w:r w:rsidR="004756C1" w:rsidRPr="002F50BD">
        <w:rPr>
          <w:rFonts w:ascii="Verdana" w:hAnsi="Verdana"/>
          <w:sz w:val="20"/>
          <w:lang w:val="pt-BR"/>
        </w:rPr>
        <w:t xml:space="preserve"> de </w:t>
      </w:r>
      <w:r w:rsidR="0089298C" w:rsidRPr="002F50BD">
        <w:rPr>
          <w:rFonts w:ascii="Verdana" w:hAnsi="Verdana"/>
          <w:sz w:val="20"/>
          <w:lang w:val="pt-BR"/>
        </w:rPr>
        <w:t xml:space="preserve">lei foi </w:t>
      </w:r>
      <w:r w:rsidR="004756C1" w:rsidRPr="002F50BD">
        <w:rPr>
          <w:rFonts w:ascii="Verdana" w:hAnsi="Verdana"/>
          <w:sz w:val="20"/>
          <w:lang w:val="pt-BR"/>
        </w:rPr>
        <w:t xml:space="preserve">finalmente </w:t>
      </w:r>
      <w:r w:rsidR="00F76AC5" w:rsidRPr="002F50BD">
        <w:rPr>
          <w:rFonts w:ascii="Verdana" w:hAnsi="Verdana"/>
          <w:sz w:val="20"/>
          <w:lang w:val="pt-BR"/>
        </w:rPr>
        <w:t xml:space="preserve">rejeitado </w:t>
      </w:r>
      <w:r w:rsidR="0089298C" w:rsidRPr="002F50BD">
        <w:rPr>
          <w:rFonts w:ascii="Verdana" w:hAnsi="Verdana"/>
          <w:sz w:val="20"/>
          <w:lang w:val="pt-BR"/>
        </w:rPr>
        <w:t xml:space="preserve">e </w:t>
      </w:r>
      <w:r w:rsidR="00F76AC5" w:rsidRPr="002F50BD">
        <w:rPr>
          <w:rFonts w:ascii="Verdana" w:hAnsi="Verdana"/>
          <w:sz w:val="20"/>
          <w:lang w:val="pt-BR"/>
        </w:rPr>
        <w:t>arquivado.</w:t>
      </w:r>
      <w:r w:rsidR="004756C1" w:rsidRPr="002F50BD">
        <w:rPr>
          <w:rStyle w:val="FootnoteReference"/>
          <w:rFonts w:ascii="Verdana" w:hAnsi="Verdana"/>
          <w:lang w:val="es-ES_tradnl"/>
        </w:rPr>
        <w:footnoteReference w:id="105"/>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30</w:t>
      </w:r>
      <w:r w:rsidR="004756C1" w:rsidRPr="002F50BD">
        <w:rPr>
          <w:rFonts w:ascii="Verdana" w:hAnsi="Verdana"/>
          <w:sz w:val="20"/>
          <w:lang w:val="pt-BR"/>
        </w:rPr>
        <w:t xml:space="preserv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2003</w:t>
      </w:r>
      <w:r w:rsidR="006D28A8" w:rsidRPr="002F50BD">
        <w:rPr>
          <w:rFonts w:ascii="Verdana" w:hAnsi="Verdana"/>
          <w:sz w:val="20"/>
          <w:lang w:val="pt-BR"/>
        </w:rPr>
        <w:t>,</w:t>
      </w:r>
      <w:r w:rsidR="0089298C" w:rsidRPr="002F50BD">
        <w:rPr>
          <w:rFonts w:ascii="Verdana" w:hAnsi="Verdana"/>
          <w:sz w:val="20"/>
          <w:lang w:val="pt-BR"/>
        </w:rPr>
        <w:t xml:space="preserve"> a </w:t>
      </w:r>
      <w:r w:rsidR="00DB51F0" w:rsidRPr="002F50BD">
        <w:rPr>
          <w:rFonts w:ascii="Verdana" w:hAnsi="Verdana"/>
          <w:sz w:val="20"/>
          <w:lang w:val="pt-BR"/>
        </w:rPr>
        <w:t>Câmara</w:t>
      </w:r>
      <w:r w:rsidR="004756C1" w:rsidRPr="002F50BD">
        <w:rPr>
          <w:rFonts w:ascii="Verdana" w:hAnsi="Verdana"/>
          <w:sz w:val="20"/>
          <w:lang w:val="pt-BR"/>
        </w:rPr>
        <w:t xml:space="preserve"> de Senadores </w:t>
      </w:r>
      <w:r w:rsidR="0089298C" w:rsidRPr="002F50BD">
        <w:rPr>
          <w:rFonts w:ascii="Verdana" w:hAnsi="Verdana"/>
          <w:sz w:val="20"/>
          <w:lang w:val="pt-BR"/>
        </w:rPr>
        <w:t>do Congresso</w:t>
      </w:r>
      <w:r w:rsidR="004756C1" w:rsidRPr="002F50BD">
        <w:rPr>
          <w:rFonts w:ascii="Verdana" w:hAnsi="Verdana"/>
          <w:sz w:val="20"/>
          <w:lang w:val="pt-BR"/>
        </w:rPr>
        <w:t xml:space="preserve"> Nacional </w:t>
      </w:r>
      <w:r w:rsidR="0089298C" w:rsidRPr="002F50BD">
        <w:rPr>
          <w:rFonts w:ascii="Verdana" w:hAnsi="Verdana"/>
          <w:sz w:val="20"/>
          <w:lang w:val="pt-BR"/>
        </w:rPr>
        <w:t>aprovou 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“QUE DECLARA DE </w:t>
      </w:r>
      <w:r w:rsidR="0089298C" w:rsidRPr="002F50BD">
        <w:rPr>
          <w:rFonts w:ascii="Verdana" w:hAnsi="Verdana"/>
          <w:sz w:val="20"/>
          <w:lang w:val="pt-BR"/>
        </w:rPr>
        <w:t xml:space="preserve">INTERESSE </w:t>
      </w:r>
      <w:r w:rsidR="004756C1" w:rsidRPr="002F50BD">
        <w:rPr>
          <w:rFonts w:ascii="Verdana" w:hAnsi="Verdana"/>
          <w:sz w:val="20"/>
          <w:lang w:val="pt-BR"/>
        </w:rPr>
        <w:t>SOCIAL</w:t>
      </w:r>
      <w:r w:rsidR="0089298C" w:rsidRPr="002F50BD">
        <w:rPr>
          <w:rFonts w:ascii="Verdana" w:hAnsi="Verdana"/>
          <w:sz w:val="20"/>
          <w:lang w:val="pt-BR"/>
        </w:rPr>
        <w:t xml:space="preserve"> </w:t>
      </w:r>
      <w:r w:rsidR="00F76AC5" w:rsidRPr="002F50BD">
        <w:rPr>
          <w:rFonts w:ascii="Verdana" w:hAnsi="Verdana"/>
          <w:sz w:val="20"/>
          <w:lang w:val="pt-BR"/>
        </w:rPr>
        <w:t>E</w:t>
      </w:r>
      <w:r w:rsidR="0089298C" w:rsidRPr="002F50BD">
        <w:rPr>
          <w:rFonts w:ascii="Verdana" w:hAnsi="Verdana"/>
          <w:sz w:val="20"/>
          <w:lang w:val="pt-BR"/>
        </w:rPr>
        <w:t xml:space="preserve"> </w:t>
      </w:r>
      <w:r w:rsidR="004756C1" w:rsidRPr="002F50BD">
        <w:rPr>
          <w:rFonts w:ascii="Verdana" w:hAnsi="Verdana"/>
          <w:sz w:val="20"/>
          <w:lang w:val="pt-BR"/>
        </w:rPr>
        <w:t>TRANSFERE</w:t>
      </w:r>
      <w:r w:rsidR="00355882" w:rsidRPr="002F50BD">
        <w:rPr>
          <w:rFonts w:ascii="Verdana" w:hAnsi="Verdana"/>
          <w:sz w:val="20"/>
          <w:lang w:val="pt-BR"/>
        </w:rPr>
        <w:t>,</w:t>
      </w:r>
      <w:r w:rsidR="004756C1" w:rsidRPr="002F50BD">
        <w:rPr>
          <w:rFonts w:ascii="Verdana" w:hAnsi="Verdana"/>
          <w:sz w:val="20"/>
          <w:lang w:val="pt-BR"/>
        </w:rPr>
        <w:t xml:space="preserve"> A T</w:t>
      </w:r>
      <w:r w:rsidR="00F76AC5" w:rsidRPr="002F50BD">
        <w:rPr>
          <w:rFonts w:ascii="Verdana" w:hAnsi="Verdana"/>
          <w:sz w:val="20"/>
          <w:lang w:val="pt-BR"/>
        </w:rPr>
        <w:t>Í</w:t>
      </w:r>
      <w:r w:rsidR="004756C1" w:rsidRPr="002F50BD">
        <w:rPr>
          <w:rFonts w:ascii="Verdana" w:hAnsi="Verdana"/>
          <w:sz w:val="20"/>
          <w:lang w:val="pt-BR"/>
        </w:rPr>
        <w:t>TULO GRATUITO</w:t>
      </w:r>
      <w:r w:rsidR="00355882"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w:t>
      </w:r>
      <w:r w:rsidR="00355882" w:rsidRPr="002F50BD">
        <w:rPr>
          <w:rFonts w:ascii="Verdana" w:hAnsi="Verdana"/>
          <w:sz w:val="20"/>
          <w:lang w:val="pt-BR"/>
        </w:rPr>
        <w:t>O</w:t>
      </w:r>
      <w:r w:rsidR="0089298C" w:rsidRPr="002F50BD">
        <w:rPr>
          <w:rFonts w:ascii="Verdana" w:hAnsi="Verdana"/>
          <w:sz w:val="20"/>
          <w:lang w:val="pt-BR"/>
        </w:rPr>
        <w:t xml:space="preserve"> </w:t>
      </w:r>
      <w:r w:rsidR="004756C1" w:rsidRPr="002F50BD">
        <w:rPr>
          <w:rFonts w:ascii="Verdana" w:hAnsi="Verdana"/>
          <w:sz w:val="20"/>
          <w:lang w:val="pt-BR"/>
        </w:rPr>
        <w:t>DOM</w:t>
      </w:r>
      <w:r w:rsidR="00F76AC5" w:rsidRPr="002F50BD">
        <w:rPr>
          <w:rFonts w:ascii="Verdana" w:hAnsi="Verdana"/>
          <w:sz w:val="20"/>
          <w:lang w:val="pt-BR"/>
        </w:rPr>
        <w:t>Í</w:t>
      </w:r>
      <w:r w:rsidR="004756C1" w:rsidRPr="002F50BD">
        <w:rPr>
          <w:rFonts w:ascii="Verdana" w:hAnsi="Verdana"/>
          <w:sz w:val="20"/>
          <w:lang w:val="pt-BR"/>
        </w:rPr>
        <w:t xml:space="preserve">NIO PRIVADO </w:t>
      </w:r>
      <w:r w:rsidR="0089298C" w:rsidRPr="002F50BD">
        <w:rPr>
          <w:rFonts w:ascii="Verdana" w:hAnsi="Verdana"/>
          <w:sz w:val="20"/>
          <w:lang w:val="pt-BR"/>
        </w:rPr>
        <w:t xml:space="preserve">DO </w:t>
      </w:r>
      <w:r w:rsidR="004756C1" w:rsidRPr="002F50BD">
        <w:rPr>
          <w:rFonts w:ascii="Verdana" w:hAnsi="Verdana"/>
          <w:sz w:val="20"/>
          <w:lang w:val="pt-BR"/>
        </w:rPr>
        <w:t xml:space="preserve">ESTADO </w:t>
      </w:r>
      <w:r w:rsidR="0089298C" w:rsidRPr="002F50BD">
        <w:rPr>
          <w:rFonts w:ascii="Verdana" w:hAnsi="Verdana"/>
          <w:sz w:val="20"/>
          <w:lang w:val="pt-BR"/>
        </w:rPr>
        <w:t>PARAGUAI</w:t>
      </w:r>
      <w:r w:rsidR="004756C1" w:rsidRPr="002F50BD">
        <w:rPr>
          <w:rFonts w:ascii="Verdana" w:hAnsi="Verdana"/>
          <w:sz w:val="20"/>
          <w:lang w:val="pt-BR"/>
        </w:rPr>
        <w:t xml:space="preserve">O - </w:t>
      </w:r>
      <w:r w:rsidR="0089298C" w:rsidRPr="002F50BD">
        <w:rPr>
          <w:rFonts w:ascii="Verdana" w:hAnsi="Verdana"/>
          <w:sz w:val="20"/>
          <w:lang w:val="pt-BR"/>
        </w:rPr>
        <w:t>MINISTÉRIO</w:t>
      </w:r>
      <w:r w:rsidR="004756C1" w:rsidRPr="002F50BD">
        <w:rPr>
          <w:rFonts w:ascii="Verdana" w:hAnsi="Verdana"/>
          <w:sz w:val="20"/>
          <w:lang w:val="pt-BR"/>
        </w:rPr>
        <w:t xml:space="preserve"> DE </w:t>
      </w:r>
      <w:r w:rsidR="0089298C" w:rsidRPr="002F50BD">
        <w:rPr>
          <w:rFonts w:ascii="Verdana" w:hAnsi="Verdana"/>
          <w:sz w:val="20"/>
          <w:lang w:val="pt-BR"/>
        </w:rPr>
        <w:t>DEFESA</w:t>
      </w:r>
      <w:r w:rsidR="004756C1" w:rsidRPr="002F50BD">
        <w:rPr>
          <w:rFonts w:ascii="Verdana" w:hAnsi="Verdana"/>
          <w:sz w:val="20"/>
          <w:lang w:val="pt-BR"/>
        </w:rPr>
        <w:t xml:space="preserve"> NACIONAL</w:t>
      </w:r>
      <w:r w:rsidR="00355882" w:rsidRPr="002F50BD">
        <w:rPr>
          <w:rFonts w:ascii="Verdana" w:hAnsi="Verdana"/>
          <w:sz w:val="20"/>
          <w:lang w:val="pt-BR"/>
        </w:rPr>
        <w:t xml:space="preserve"> -</w:t>
      </w:r>
      <w:r w:rsidR="004756C1" w:rsidRPr="002F50BD">
        <w:rPr>
          <w:rFonts w:ascii="Verdana" w:hAnsi="Verdana"/>
          <w:sz w:val="20"/>
          <w:lang w:val="pt-BR"/>
        </w:rPr>
        <w:t xml:space="preserve"> A FAVOR </w:t>
      </w:r>
      <w:r w:rsidR="0089298C" w:rsidRPr="002F50BD">
        <w:rPr>
          <w:rFonts w:ascii="Verdana" w:hAnsi="Verdana"/>
          <w:sz w:val="20"/>
          <w:lang w:val="pt-BR"/>
        </w:rPr>
        <w:t xml:space="preserve">DO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 xml:space="preserve">INDIGENA </w:t>
      </w:r>
      <w:r w:rsidR="00CF451D" w:rsidRPr="00CF451D">
        <w:rPr>
          <w:rFonts w:ascii="Verdana" w:hAnsi="Verdana"/>
          <w:sz w:val="20"/>
          <w:lang w:val="pt-BR"/>
        </w:rPr>
        <w:t>(</w:t>
      </w:r>
      <w:r w:rsidR="004756C1" w:rsidRPr="002F50BD">
        <w:rPr>
          <w:rFonts w:ascii="Verdana" w:hAnsi="Verdana"/>
          <w:sz w:val="20"/>
          <w:lang w:val="pt-BR"/>
        </w:rPr>
        <w:t>INDI</w:t>
      </w:r>
      <w:r w:rsidR="00CF451D" w:rsidRPr="00CF451D">
        <w:rPr>
          <w:rFonts w:ascii="Verdana" w:hAnsi="Verdana"/>
          <w:sz w:val="20"/>
          <w:lang w:val="pt-BR"/>
        </w:rPr>
        <w:t>)</w:t>
      </w:r>
      <w:r w:rsidR="004756C1" w:rsidRPr="002F50BD">
        <w:rPr>
          <w:rFonts w:ascii="Verdana" w:hAnsi="Verdana"/>
          <w:sz w:val="20"/>
          <w:lang w:val="pt-BR"/>
        </w:rPr>
        <w:t xml:space="preserve">, PARA </w:t>
      </w:r>
      <w:r w:rsidR="0089298C" w:rsidRPr="002F50BD">
        <w:rPr>
          <w:rFonts w:ascii="Verdana" w:hAnsi="Verdana"/>
          <w:sz w:val="20"/>
          <w:lang w:val="pt-BR"/>
        </w:rPr>
        <w:t>OUTORGA</w:t>
      </w:r>
      <w:r w:rsidR="004756C1" w:rsidRPr="002F50BD">
        <w:rPr>
          <w:rFonts w:ascii="Verdana" w:hAnsi="Verdana"/>
          <w:sz w:val="20"/>
          <w:lang w:val="pt-BR"/>
        </w:rPr>
        <w:t>R</w:t>
      </w:r>
      <w:r w:rsidR="00A34AAE" w:rsidRPr="002F50BD">
        <w:rPr>
          <w:rFonts w:ascii="Verdana" w:hAnsi="Verdana"/>
          <w:sz w:val="20"/>
          <w:lang w:val="pt-BR"/>
        </w:rPr>
        <w:t>,</w:t>
      </w:r>
      <w:r w:rsidR="0089298C" w:rsidRPr="002F50BD">
        <w:rPr>
          <w:rFonts w:ascii="Verdana" w:hAnsi="Verdana"/>
          <w:sz w:val="20"/>
          <w:lang w:val="pt-BR"/>
        </w:rPr>
        <w:t xml:space="preserve"> </w:t>
      </w:r>
      <w:r w:rsidR="00F76AC5" w:rsidRPr="002F50BD">
        <w:rPr>
          <w:rFonts w:ascii="Verdana" w:hAnsi="Verdana"/>
          <w:sz w:val="20"/>
          <w:lang w:val="pt-BR"/>
        </w:rPr>
        <w:t xml:space="preserve">SEM </w:t>
      </w:r>
      <w:r w:rsidR="004756C1" w:rsidRPr="002F50BD">
        <w:rPr>
          <w:rFonts w:ascii="Verdana" w:hAnsi="Verdana"/>
          <w:sz w:val="20"/>
          <w:lang w:val="pt-BR"/>
        </w:rPr>
        <w:t>C</w:t>
      </w:r>
      <w:r w:rsidR="00F76AC5" w:rsidRPr="002F50BD">
        <w:rPr>
          <w:rFonts w:ascii="Verdana" w:hAnsi="Verdana"/>
          <w:sz w:val="20"/>
          <w:lang w:val="pt-BR"/>
        </w:rPr>
        <w:t>U</w:t>
      </w:r>
      <w:r w:rsidR="004756C1" w:rsidRPr="002F50BD">
        <w:rPr>
          <w:rFonts w:ascii="Verdana" w:hAnsi="Verdana"/>
          <w:sz w:val="20"/>
          <w:lang w:val="pt-BR"/>
        </w:rPr>
        <w:t>STO</w:t>
      </w:r>
      <w:r w:rsidR="00A34AAE" w:rsidRPr="002F50BD">
        <w:rPr>
          <w:rFonts w:ascii="Verdana" w:hAnsi="Verdana"/>
          <w:sz w:val="20"/>
          <w:lang w:val="pt-BR"/>
        </w:rPr>
        <w:t>,</w:t>
      </w:r>
      <w:r w:rsidR="0089298C" w:rsidRPr="002F50BD">
        <w:rPr>
          <w:rFonts w:ascii="Verdana" w:hAnsi="Verdana"/>
          <w:sz w:val="20"/>
          <w:lang w:val="pt-BR"/>
        </w:rPr>
        <w:t xml:space="preserve"> </w:t>
      </w:r>
      <w:r w:rsidR="00F76AC5" w:rsidRPr="002F50BD">
        <w:rPr>
          <w:rFonts w:ascii="Verdana" w:hAnsi="Verdana"/>
          <w:sz w:val="20"/>
          <w:lang w:val="pt-BR"/>
        </w:rPr>
        <w:t>ÀS</w:t>
      </w:r>
      <w:r w:rsidR="0089298C" w:rsidRPr="002F50BD">
        <w:rPr>
          <w:rFonts w:ascii="Verdana" w:hAnsi="Verdana"/>
          <w:sz w:val="20"/>
          <w:lang w:val="pt-BR"/>
        </w:rPr>
        <w:t xml:space="preserve"> </w:t>
      </w:r>
      <w:r w:rsidR="004756C1" w:rsidRPr="002F50BD">
        <w:rPr>
          <w:rFonts w:ascii="Verdana" w:hAnsi="Verdana"/>
          <w:sz w:val="20"/>
          <w:lang w:val="pt-BR"/>
        </w:rPr>
        <w:t xml:space="preserve">COMUNIDADES INDIGENAS EMHA SOLYAKTEKTAMA </w:t>
      </w:r>
      <w:r w:rsidR="00CF451D" w:rsidRPr="00CF451D">
        <w:rPr>
          <w:rFonts w:ascii="Verdana" w:hAnsi="Verdana"/>
          <w:sz w:val="20"/>
          <w:lang w:val="pt-BR"/>
        </w:rPr>
        <w:t>(</w:t>
      </w:r>
      <w:r w:rsidR="004756C1" w:rsidRPr="002F50BD">
        <w:rPr>
          <w:rFonts w:ascii="Verdana" w:hAnsi="Verdana"/>
          <w:sz w:val="20"/>
          <w:lang w:val="pt-BR"/>
        </w:rPr>
        <w:t>NARANJATY</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 xml:space="preserve">YAKYE AXA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A34AAE" w:rsidRPr="002F50BD">
        <w:rPr>
          <w:rFonts w:ascii="Verdana" w:hAnsi="Verdana"/>
          <w:sz w:val="20"/>
          <w:lang w:val="pt-BR"/>
        </w:rPr>
        <w:t>,</w:t>
      </w:r>
      <w:r w:rsidR="0089298C" w:rsidRPr="002F50BD">
        <w:rPr>
          <w:rFonts w:ascii="Verdana" w:hAnsi="Verdana"/>
          <w:sz w:val="20"/>
          <w:lang w:val="pt-BR"/>
        </w:rPr>
        <w:t xml:space="preserve"> </w:t>
      </w:r>
      <w:r w:rsidR="00F76AC5" w:rsidRPr="002F50BD">
        <w:rPr>
          <w:rFonts w:ascii="Verdana" w:hAnsi="Verdana"/>
          <w:sz w:val="20"/>
          <w:lang w:val="pt-BR"/>
        </w:rPr>
        <w:t>E</w:t>
      </w:r>
      <w:r w:rsidR="004756C1" w:rsidRPr="002F50BD">
        <w:rPr>
          <w:rFonts w:ascii="Verdana" w:hAnsi="Verdana"/>
          <w:sz w:val="20"/>
          <w:lang w:val="pt-BR"/>
        </w:rPr>
        <w:t xml:space="preserve"> A FAVOR </w:t>
      </w:r>
      <w:r w:rsidR="0089298C" w:rsidRPr="002F50BD">
        <w:rPr>
          <w:rFonts w:ascii="Verdana" w:hAnsi="Verdana"/>
          <w:sz w:val="20"/>
          <w:lang w:val="pt-BR"/>
        </w:rPr>
        <w:t xml:space="preserve">DO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w:t>
      </w:r>
      <w:r w:rsidR="00CF451D" w:rsidRPr="00CF451D">
        <w:rPr>
          <w:rFonts w:ascii="Verdana" w:hAnsi="Verdana"/>
          <w:sz w:val="20"/>
          <w:lang w:val="pt-BR"/>
        </w:rPr>
        <w:t>(</w:t>
      </w:r>
      <w:r w:rsidR="004756C1" w:rsidRPr="002F50BD">
        <w:rPr>
          <w:rFonts w:ascii="Verdana" w:hAnsi="Verdana"/>
          <w:sz w:val="20"/>
          <w:lang w:val="pt-BR"/>
        </w:rPr>
        <w:t>IBR</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F76AC5" w:rsidRPr="002F50BD">
        <w:rPr>
          <w:rFonts w:ascii="Verdana" w:hAnsi="Verdana"/>
          <w:sz w:val="20"/>
          <w:lang w:val="pt-BR"/>
        </w:rPr>
        <w:t xml:space="preserve">PARA FINS DE </w:t>
      </w:r>
      <w:r w:rsidR="004756C1" w:rsidRPr="002F50BD">
        <w:rPr>
          <w:rFonts w:ascii="Verdana" w:hAnsi="Verdana"/>
          <w:sz w:val="20"/>
          <w:lang w:val="pt-BR"/>
        </w:rPr>
        <w:t>REFORMA AGR</w:t>
      </w:r>
      <w:r w:rsidR="00F76AC5" w:rsidRPr="002F50BD">
        <w:rPr>
          <w:rFonts w:ascii="Verdana" w:hAnsi="Verdana"/>
          <w:sz w:val="20"/>
          <w:lang w:val="pt-BR"/>
        </w:rPr>
        <w:t>Á</w:t>
      </w:r>
      <w:r w:rsidR="004756C1" w:rsidRPr="002F50BD">
        <w:rPr>
          <w:rFonts w:ascii="Verdana" w:hAnsi="Verdana"/>
          <w:sz w:val="20"/>
          <w:lang w:val="pt-BR"/>
        </w:rPr>
        <w:t>RIA,</w:t>
      </w:r>
      <w:r w:rsidR="0089298C" w:rsidRPr="002F50BD">
        <w:rPr>
          <w:rFonts w:ascii="Verdana" w:hAnsi="Verdana"/>
          <w:sz w:val="20"/>
          <w:lang w:val="pt-BR"/>
        </w:rPr>
        <w:t xml:space="preserve"> </w:t>
      </w:r>
      <w:r w:rsidR="00F76AC5" w:rsidRPr="002F50BD">
        <w:rPr>
          <w:rFonts w:ascii="Verdana" w:hAnsi="Verdana"/>
          <w:sz w:val="20"/>
          <w:lang w:val="pt-BR"/>
        </w:rPr>
        <w:t xml:space="preserve">UMA FRAÇÃO </w:t>
      </w:r>
      <w:r w:rsidR="004756C1" w:rsidRPr="002F50BD">
        <w:rPr>
          <w:rFonts w:ascii="Verdana" w:hAnsi="Verdana"/>
          <w:sz w:val="20"/>
          <w:lang w:val="pt-BR"/>
        </w:rPr>
        <w:t>DE TERRENO, IDENTIFICADA COMO PARTE</w:t>
      </w:r>
      <w:r w:rsidR="0089298C" w:rsidRPr="002F50BD">
        <w:rPr>
          <w:rFonts w:ascii="Verdana" w:hAnsi="Verdana"/>
          <w:sz w:val="20"/>
          <w:lang w:val="pt-BR"/>
        </w:rPr>
        <w:t xml:space="preserve"> </w:t>
      </w:r>
      <w:r w:rsidR="00F76AC5" w:rsidRPr="002F50BD">
        <w:rPr>
          <w:rFonts w:ascii="Verdana" w:hAnsi="Verdana"/>
          <w:sz w:val="20"/>
          <w:lang w:val="pt-BR"/>
        </w:rPr>
        <w:t>DO LOTE</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012</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DEPARTAMENTO PRESIDENTE HAYES”</w:t>
      </w:r>
      <w:r w:rsidR="004756C1" w:rsidRPr="002F50BD">
        <w:rPr>
          <w:rStyle w:val="FootnoteReference"/>
          <w:rFonts w:ascii="Verdana" w:hAnsi="Verdana"/>
          <w:lang w:val="es-ES_tradnl"/>
        </w:rPr>
        <w:footnoteReference w:id="106"/>
      </w:r>
      <w:r w:rsidR="004756C1" w:rsidRPr="002F50BD">
        <w:rPr>
          <w:rFonts w:ascii="Verdana" w:hAnsi="Verdana"/>
          <w:sz w:val="20"/>
          <w:lang w:val="pt-BR"/>
        </w:rPr>
        <w:t xml:space="preserve"> </w:t>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6D28A8"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pStyle w:val="BodyText"/>
        <w:rPr>
          <w:rFonts w:ascii="Verdana" w:hAnsi="Verdana"/>
          <w:b/>
          <w:sz w:val="22"/>
          <w:lang w:val="pt-BR"/>
        </w:rPr>
      </w:pPr>
    </w:p>
    <w:p w:rsidR="004756C1" w:rsidRPr="002F50BD" w:rsidRDefault="00063B47">
      <w:pPr>
        <w:jc w:val="both"/>
        <w:rPr>
          <w:rFonts w:ascii="Verdana" w:hAnsi="Verdana"/>
          <w:sz w:val="20"/>
          <w:lang w:val="pt-BR"/>
        </w:rPr>
      </w:pPr>
      <w:r w:rsidRPr="002F50BD">
        <w:rPr>
          <w:rFonts w:ascii="Verdana" w:hAnsi="Verdana"/>
          <w:sz w:val="20"/>
          <w:lang w:val="pt-BR"/>
        </w:rPr>
        <w:lastRenderedPageBreak/>
        <w:t>50</w:t>
      </w:r>
      <w:r w:rsidR="004756C1" w:rsidRPr="002F50BD">
        <w:rPr>
          <w:rFonts w:ascii="Verdana" w:hAnsi="Verdana"/>
          <w:sz w:val="20"/>
          <w:lang w:val="pt-BR"/>
        </w:rPr>
        <w:t>.</w:t>
      </w:r>
      <w:r w:rsidRPr="002F50BD">
        <w:rPr>
          <w:rFonts w:ascii="Verdana" w:hAnsi="Verdana"/>
          <w:sz w:val="20"/>
          <w:lang w:val="pt-BR"/>
        </w:rPr>
        <w:t>61</w:t>
      </w:r>
      <w:r w:rsidR="004756C1" w:rsidRPr="002F50BD">
        <w:rPr>
          <w:rFonts w:ascii="Verdana" w:hAnsi="Verdana"/>
          <w:sz w:val="20"/>
          <w:lang w:val="pt-BR"/>
        </w:rPr>
        <w:t>.</w:t>
      </w:r>
      <w:r w:rsidR="004756C1" w:rsidRPr="002F50BD">
        <w:rPr>
          <w:rFonts w:ascii="Verdana" w:hAnsi="Verdana"/>
          <w:sz w:val="20"/>
          <w:lang w:val="pt-BR"/>
        </w:rPr>
        <w:tab/>
      </w:r>
      <w:r w:rsidR="00AB6727" w:rsidRPr="002F50BD">
        <w:rPr>
          <w:rFonts w:ascii="Verdana" w:hAnsi="Verdana"/>
          <w:sz w:val="20"/>
          <w:lang w:val="pt-BR"/>
        </w:rPr>
        <w:t xml:space="preserve">Os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F76AC5" w:rsidRPr="002F50BD">
        <w:rPr>
          <w:rFonts w:ascii="Verdana" w:hAnsi="Verdana"/>
          <w:sz w:val="20"/>
          <w:lang w:val="pt-BR"/>
        </w:rPr>
        <w:t>rejeitaram</w:t>
      </w:r>
      <w:r w:rsidR="0089298C" w:rsidRPr="002F50BD">
        <w:rPr>
          <w:rFonts w:ascii="Verdana" w:hAnsi="Verdana"/>
          <w:sz w:val="20"/>
          <w:lang w:val="pt-BR"/>
        </w:rPr>
        <w:t xml:space="preserve"> a </w:t>
      </w:r>
      <w:r w:rsidR="004756C1" w:rsidRPr="002F50BD">
        <w:rPr>
          <w:rFonts w:ascii="Verdana" w:hAnsi="Verdana"/>
          <w:sz w:val="20"/>
          <w:lang w:val="pt-BR"/>
        </w:rPr>
        <w:t>oferta de adjudica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contida</w:t>
      </w:r>
      <w:r w:rsidR="0089298C" w:rsidRPr="002F50BD">
        <w:rPr>
          <w:rFonts w:ascii="Verdana" w:hAnsi="Verdana"/>
          <w:sz w:val="20"/>
          <w:lang w:val="pt-BR"/>
        </w:rPr>
        <w:t xml:space="preserve"> neste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60</w:t>
      </w:r>
      <w:r w:rsidR="00F76AC5"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F76AC5" w:rsidRPr="002F50BD">
        <w:rPr>
          <w:rFonts w:ascii="Verdana" w:hAnsi="Verdana"/>
          <w:sz w:val="20"/>
          <w:lang w:val="pt-BR"/>
        </w:rPr>
        <w:t>por não ter</w:t>
      </w:r>
      <w:r w:rsidR="006D28A8" w:rsidRPr="002F50BD">
        <w:rPr>
          <w:rFonts w:ascii="Verdana" w:hAnsi="Verdana"/>
          <w:sz w:val="20"/>
          <w:lang w:val="pt-BR"/>
        </w:rPr>
        <w:t xml:space="preserve">em </w:t>
      </w:r>
      <w:r w:rsidR="00F76AC5" w:rsidRPr="002F50BD">
        <w:rPr>
          <w:rFonts w:ascii="Verdana" w:hAnsi="Verdana"/>
          <w:sz w:val="20"/>
          <w:lang w:val="pt-BR"/>
        </w:rPr>
        <w:t>sido consultado</w:t>
      </w:r>
      <w:r w:rsidR="006D28A8" w:rsidRPr="002F50BD">
        <w:rPr>
          <w:rFonts w:ascii="Verdana" w:hAnsi="Verdana"/>
          <w:sz w:val="20"/>
          <w:lang w:val="pt-BR"/>
        </w:rPr>
        <w:t>s</w:t>
      </w:r>
      <w:r w:rsidR="00F76AC5" w:rsidRPr="002F50BD">
        <w:rPr>
          <w:rFonts w:ascii="Verdana" w:hAnsi="Verdana"/>
          <w:sz w:val="20"/>
          <w:lang w:val="pt-BR"/>
        </w:rPr>
        <w:t xml:space="preserve"> nem </w:t>
      </w:r>
      <w:r w:rsidR="006D28A8" w:rsidRPr="002F50BD">
        <w:rPr>
          <w:rFonts w:ascii="Verdana" w:hAnsi="Verdana"/>
          <w:sz w:val="20"/>
          <w:lang w:val="pt-BR"/>
        </w:rPr>
        <w:t xml:space="preserve">ter sido </w:t>
      </w:r>
      <w:r w:rsidR="00F76AC5" w:rsidRPr="002F50BD">
        <w:rPr>
          <w:rFonts w:ascii="Verdana" w:hAnsi="Verdana"/>
          <w:sz w:val="20"/>
          <w:lang w:val="pt-BR"/>
        </w:rPr>
        <w:t>acordad</w:t>
      </w:r>
      <w:r w:rsidR="00A34AAE" w:rsidRPr="002F50BD">
        <w:rPr>
          <w:rFonts w:ascii="Verdana" w:hAnsi="Verdana"/>
          <w:sz w:val="20"/>
          <w:lang w:val="pt-BR"/>
        </w:rPr>
        <w:t>a</w:t>
      </w:r>
      <w:r w:rsidR="004756C1" w:rsidRPr="002F50BD">
        <w:rPr>
          <w:rFonts w:ascii="Verdana" w:hAnsi="Verdana"/>
          <w:sz w:val="20"/>
          <w:lang w:val="pt-BR"/>
        </w:rPr>
        <w:t xml:space="preserve"> previamente</w:t>
      </w:r>
      <w:r w:rsidR="0089298C" w:rsidRPr="002F50BD">
        <w:rPr>
          <w:rFonts w:ascii="Verdana" w:hAnsi="Verdana"/>
          <w:sz w:val="20"/>
          <w:lang w:val="pt-BR"/>
        </w:rPr>
        <w:t xml:space="preserve"> com 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Comunidad</w:t>
      </w:r>
      <w:r w:rsidR="00F76AC5" w:rsidRPr="002F50BD">
        <w:rPr>
          <w:rFonts w:ascii="Verdana" w:hAnsi="Verdana"/>
          <w:sz w:val="20"/>
          <w:lang w:val="pt-BR"/>
        </w:rPr>
        <w:t>e.</w:t>
      </w:r>
      <w:r w:rsidR="004756C1" w:rsidRPr="002F50BD">
        <w:rPr>
          <w:rStyle w:val="FootnoteReference"/>
          <w:rFonts w:ascii="Verdana" w:hAnsi="Verdana"/>
        </w:rPr>
        <w:footnoteReference w:id="107"/>
      </w:r>
      <w:r w:rsidR="001A0CDE" w:rsidRPr="002F50BD">
        <w:rPr>
          <w:rFonts w:ascii="Verdana" w:hAnsi="Verdana"/>
          <w:sz w:val="20"/>
          <w:lang w:val="pt-BR"/>
        </w:rPr>
        <w:t xml:space="preserve"> Est</w:t>
      </w:r>
      <w:r w:rsidR="004756C1" w:rsidRPr="002F50BD">
        <w:rPr>
          <w:rFonts w:ascii="Verdana" w:hAnsi="Verdana"/>
          <w:sz w:val="20"/>
          <w:lang w:val="pt-BR"/>
        </w:rPr>
        <w:t xml:space="preserve">as </w:t>
      </w:r>
      <w:r w:rsidR="0089298C" w:rsidRPr="002F50BD">
        <w:rPr>
          <w:rFonts w:ascii="Verdana" w:hAnsi="Verdana"/>
          <w:sz w:val="20"/>
          <w:lang w:val="pt-BR"/>
        </w:rPr>
        <w:t>terra</w:t>
      </w:r>
      <w:r w:rsidR="004756C1" w:rsidRPr="002F50BD">
        <w:rPr>
          <w:rFonts w:ascii="Verdana" w:hAnsi="Verdana"/>
          <w:sz w:val="20"/>
          <w:lang w:val="pt-BR"/>
        </w:rPr>
        <w:t xml:space="preserve">s </w:t>
      </w:r>
      <w:r w:rsidR="0089298C" w:rsidRPr="002F50BD">
        <w:rPr>
          <w:rFonts w:ascii="Verdana" w:hAnsi="Verdana"/>
          <w:sz w:val="20"/>
          <w:lang w:val="pt-BR"/>
        </w:rPr>
        <w:t>foram</w:t>
      </w:r>
      <w:r w:rsidR="004756C1" w:rsidRPr="002F50BD">
        <w:rPr>
          <w:rFonts w:ascii="Verdana" w:hAnsi="Verdana"/>
          <w:sz w:val="20"/>
          <w:lang w:val="pt-BR"/>
        </w:rPr>
        <w:t xml:space="preserve"> adjudicadas </w:t>
      </w:r>
      <w:r w:rsidR="0089298C" w:rsidRPr="002F50BD">
        <w:rPr>
          <w:rFonts w:ascii="Verdana" w:hAnsi="Verdana"/>
          <w:sz w:val="20"/>
          <w:lang w:val="pt-BR"/>
        </w:rPr>
        <w:t xml:space="preserve">unicamente à comunidade </w:t>
      </w:r>
      <w:r w:rsidR="004756C1" w:rsidRPr="002F50BD">
        <w:rPr>
          <w:rFonts w:ascii="Verdana" w:hAnsi="Verdana"/>
          <w:sz w:val="20"/>
          <w:lang w:val="pt-BR"/>
        </w:rPr>
        <w:t xml:space="preserve">indígena Emha Solyaktama </w:t>
      </w:r>
      <w:r w:rsidR="00CF451D" w:rsidRPr="00CF451D">
        <w:rPr>
          <w:rFonts w:ascii="Verdana" w:hAnsi="Verdana"/>
          <w:sz w:val="20"/>
          <w:lang w:val="pt-BR"/>
        </w:rPr>
        <w:t>(</w:t>
      </w:r>
      <w:r w:rsidR="004756C1" w:rsidRPr="002F50BD">
        <w:rPr>
          <w:rFonts w:ascii="Verdana" w:hAnsi="Verdana"/>
          <w:sz w:val="20"/>
          <w:lang w:val="pt-BR"/>
        </w:rPr>
        <w:t>Naranjaty</w:t>
      </w:r>
      <w:r w:rsidR="00CF451D" w:rsidRPr="00CF451D">
        <w:rPr>
          <w:rFonts w:ascii="Verdana" w:hAnsi="Verdana"/>
          <w:sz w:val="20"/>
          <w:lang w:val="pt-BR"/>
        </w:rPr>
        <w:t>)</w:t>
      </w:r>
      <w:r w:rsidR="004756C1" w:rsidRPr="002F50BD">
        <w:rPr>
          <w:rFonts w:ascii="Verdana" w:hAnsi="Verdana"/>
          <w:sz w:val="20"/>
          <w:lang w:val="pt-BR"/>
        </w:rPr>
        <w:t xml:space="preserve">, </w:t>
      </w:r>
      <w:r w:rsidR="00F76AC5" w:rsidRPr="002F50BD">
        <w:rPr>
          <w:rFonts w:ascii="Verdana" w:hAnsi="Verdana"/>
          <w:sz w:val="20"/>
          <w:lang w:val="pt-BR"/>
        </w:rPr>
        <w:t>por meio da</w:t>
      </w:r>
      <w:r w:rsidR="0089298C" w:rsidRPr="002F50BD">
        <w:rPr>
          <w:rFonts w:ascii="Verdana" w:hAnsi="Verdana"/>
          <w:sz w:val="20"/>
          <w:lang w:val="pt-BR"/>
        </w:rPr>
        <w:t xml:space="preserve"> 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2</w:t>
      </w:r>
      <w:r w:rsidR="004756C1" w:rsidRPr="002F50BD">
        <w:rPr>
          <w:rFonts w:ascii="Verdana" w:hAnsi="Verdana"/>
          <w:sz w:val="20"/>
          <w:lang w:val="pt-BR"/>
        </w:rPr>
        <w:t>.</w:t>
      </w:r>
      <w:r w:rsidRPr="002F50BD">
        <w:rPr>
          <w:rFonts w:ascii="Verdana" w:hAnsi="Verdana"/>
          <w:sz w:val="20"/>
          <w:lang w:val="pt-BR"/>
        </w:rPr>
        <w:t>425</w:t>
      </w:r>
      <w:r w:rsidR="004756C1" w:rsidRPr="002F50BD">
        <w:rPr>
          <w:rFonts w:ascii="Verdana" w:hAnsi="Verdana"/>
          <w:sz w:val="20"/>
          <w:lang w:val="pt-BR"/>
        </w:rPr>
        <w:t>, sancionada</w:t>
      </w:r>
      <w:r w:rsidR="0089298C" w:rsidRPr="002F50BD">
        <w:rPr>
          <w:rFonts w:ascii="Verdana" w:hAnsi="Verdana"/>
          <w:sz w:val="20"/>
          <w:lang w:val="pt-BR"/>
        </w:rPr>
        <w:t xml:space="preserve"> pelo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em </w:t>
      </w:r>
      <w:r w:rsidRPr="002F50BD">
        <w:rPr>
          <w:rFonts w:ascii="Verdana" w:hAnsi="Verdana"/>
          <w:sz w:val="20"/>
          <w:lang w:val="pt-BR"/>
        </w:rPr>
        <w:t>9</w:t>
      </w:r>
      <w:r w:rsidR="004756C1" w:rsidRPr="002F50BD">
        <w:rPr>
          <w:rFonts w:ascii="Verdana" w:hAnsi="Verdana"/>
          <w:sz w:val="20"/>
          <w:lang w:val="pt-BR"/>
        </w:rPr>
        <w:t xml:space="preserve"> de agosto de </w:t>
      </w:r>
      <w:r w:rsidRPr="002F50BD">
        <w:rPr>
          <w:rFonts w:ascii="Verdana" w:hAnsi="Verdana"/>
          <w:sz w:val="20"/>
          <w:lang w:val="pt-BR"/>
        </w:rPr>
        <w:t>2004</w:t>
      </w:r>
      <w:r w:rsidR="00F76AC5" w:rsidRPr="002F50BD">
        <w:rPr>
          <w:rFonts w:ascii="Verdana" w:hAnsi="Verdana"/>
          <w:sz w:val="20"/>
          <w:lang w:val="pt-BR"/>
        </w:rPr>
        <w:t>.</w:t>
      </w:r>
      <w:r w:rsidR="004756C1" w:rsidRPr="002F50BD">
        <w:rPr>
          <w:rStyle w:val="FootnoteReference"/>
          <w:rFonts w:ascii="Verdana" w:hAnsi="Verdana"/>
        </w:rPr>
        <w:footnoteReference w:id="108"/>
      </w:r>
      <w:r w:rsidR="004756C1" w:rsidRPr="002F50BD">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756C1">
      <w:pPr>
        <w:pStyle w:val="BodyText"/>
        <w:ind w:firstLine="720"/>
        <w:rPr>
          <w:rFonts w:ascii="Verdana" w:hAnsi="Verdana"/>
          <w:sz w:val="20"/>
          <w:lang w:val="pt-BR"/>
        </w:rPr>
      </w:pPr>
      <w:r w:rsidRPr="002F50BD">
        <w:rPr>
          <w:rFonts w:ascii="Verdana" w:hAnsi="Verdana"/>
          <w:sz w:val="20"/>
          <w:lang w:val="pt-BR"/>
        </w:rPr>
        <w:t>iii.</w:t>
      </w:r>
      <w:r w:rsidRPr="002F50BD">
        <w:rPr>
          <w:rFonts w:ascii="Verdana" w:hAnsi="Verdana"/>
          <w:sz w:val="20"/>
          <w:lang w:val="pt-BR"/>
        </w:rPr>
        <w:tab/>
      </w:r>
      <w:r w:rsidR="00F76AC5" w:rsidRPr="002F50BD">
        <w:rPr>
          <w:rFonts w:ascii="Verdana" w:hAnsi="Verdana"/>
          <w:sz w:val="20"/>
          <w:lang w:val="pt-BR"/>
        </w:rPr>
        <w:t>Pera</w:t>
      </w:r>
      <w:r w:rsidRPr="002F50BD">
        <w:rPr>
          <w:rFonts w:ascii="Verdana" w:hAnsi="Verdana"/>
          <w:sz w:val="20"/>
          <w:lang w:val="pt-BR"/>
        </w:rPr>
        <w:t xml:space="preserve">nte </w:t>
      </w:r>
      <w:r w:rsidR="0089298C" w:rsidRPr="002F50BD">
        <w:rPr>
          <w:rFonts w:ascii="Verdana" w:hAnsi="Verdana"/>
          <w:sz w:val="20"/>
          <w:lang w:val="pt-BR"/>
        </w:rPr>
        <w:t>Órgão</w:t>
      </w:r>
      <w:r w:rsidRPr="002F50BD">
        <w:rPr>
          <w:rFonts w:ascii="Verdana" w:hAnsi="Verdana"/>
          <w:sz w:val="20"/>
          <w:lang w:val="pt-BR"/>
        </w:rPr>
        <w:t xml:space="preserve">s </w:t>
      </w:r>
      <w:r w:rsidR="0089298C" w:rsidRPr="002F50BD">
        <w:rPr>
          <w:rFonts w:ascii="Verdana" w:hAnsi="Verdana"/>
          <w:sz w:val="20"/>
          <w:lang w:val="pt-BR"/>
        </w:rPr>
        <w:t>Judiciais</w:t>
      </w:r>
    </w:p>
    <w:p w:rsidR="004756C1" w:rsidRPr="002F50BD" w:rsidRDefault="004756C1">
      <w:pPr>
        <w:pStyle w:val="BodyText"/>
        <w:rPr>
          <w:rFonts w:ascii="Verdana" w:hAnsi="Verdana"/>
          <w:sz w:val="20"/>
          <w:lang w:val="pt-BR"/>
        </w:rPr>
      </w:pPr>
    </w:p>
    <w:p w:rsidR="004756C1" w:rsidRPr="002F50BD" w:rsidRDefault="004076AD">
      <w:pPr>
        <w:pStyle w:val="BodyText"/>
        <w:ind w:left="720" w:firstLine="720"/>
        <w:rPr>
          <w:rFonts w:ascii="Verdana" w:hAnsi="Verdana"/>
          <w:sz w:val="20"/>
          <w:u w:val="single"/>
          <w:lang w:val="pt-BR"/>
        </w:rPr>
      </w:pPr>
      <w:r w:rsidRPr="002F50BD">
        <w:rPr>
          <w:rFonts w:ascii="Verdana" w:hAnsi="Verdana"/>
          <w:sz w:val="20"/>
          <w:u w:val="single"/>
          <w:lang w:val="pt-BR"/>
        </w:rPr>
        <w:t>Ação</w:t>
      </w:r>
      <w:r w:rsidR="004756C1" w:rsidRPr="002F50BD">
        <w:rPr>
          <w:rFonts w:ascii="Verdana" w:hAnsi="Verdana"/>
          <w:sz w:val="20"/>
          <w:u w:val="single"/>
          <w:lang w:val="pt-BR"/>
        </w:rPr>
        <w:t xml:space="preserve"> de amparo</w:t>
      </w:r>
      <w:r w:rsidR="001B690B" w:rsidRPr="002F50BD">
        <w:rPr>
          <w:rFonts w:ascii="Verdana" w:hAnsi="Verdana"/>
          <w:sz w:val="20"/>
          <w:u w:val="single"/>
          <w:lang w:val="pt-BR"/>
        </w:rPr>
        <w:t xml:space="preserve"> </w:t>
      </w:r>
      <w:r w:rsidR="00CF451D" w:rsidRPr="00CF451D">
        <w:rPr>
          <w:rFonts w:ascii="Verdana" w:hAnsi="Verdana"/>
          <w:sz w:val="20"/>
          <w:u w:val="single"/>
          <w:lang w:val="pt-BR"/>
        </w:rPr>
        <w:t>(</w:t>
      </w:r>
      <w:r w:rsidR="001B690B" w:rsidRPr="002F50BD">
        <w:rPr>
          <w:rFonts w:ascii="Verdana" w:hAnsi="Verdana"/>
          <w:sz w:val="20"/>
          <w:u w:val="single"/>
          <w:lang w:val="pt-BR"/>
        </w:rPr>
        <w:t>Mandado de segurança</w:t>
      </w:r>
      <w:r w:rsidR="00CF451D" w:rsidRPr="00CF451D">
        <w:rPr>
          <w:rFonts w:ascii="Verdana" w:hAnsi="Verdana"/>
          <w:sz w:val="20"/>
          <w:u w:val="single"/>
          <w:lang w:val="pt-BR"/>
        </w:rPr>
        <w:t>)</w:t>
      </w:r>
      <w:r w:rsidR="004756C1" w:rsidRPr="002F50BD">
        <w:rPr>
          <w:rFonts w:ascii="Verdana" w:hAnsi="Verdana"/>
          <w:sz w:val="20"/>
          <w:u w:val="single"/>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1997</w:t>
      </w:r>
      <w:r w:rsidR="006D28A8" w:rsidRPr="002F50BD">
        <w:rPr>
          <w:rFonts w:ascii="Verdana" w:hAnsi="Verdana"/>
          <w:sz w:val="20"/>
          <w:lang w:val="pt-BR"/>
        </w:rPr>
        <w:t>,</w:t>
      </w:r>
      <w:r w:rsidR="0089298C" w:rsidRPr="002F50BD">
        <w:rPr>
          <w:rFonts w:ascii="Verdana" w:hAnsi="Verdana"/>
          <w:sz w:val="20"/>
          <w:lang w:val="pt-BR"/>
        </w:rPr>
        <w:t xml:space="preserve"> o advogad</w:t>
      </w:r>
      <w:r w:rsidR="004756C1" w:rsidRPr="002F50BD">
        <w:rPr>
          <w:rFonts w:ascii="Verdana" w:hAnsi="Verdana"/>
          <w:sz w:val="20"/>
          <w:lang w:val="pt-BR"/>
        </w:rPr>
        <w:t>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 xml:space="preserve">interpôs uma </w:t>
      </w:r>
      <w:r w:rsidR="004076AD" w:rsidRPr="002F50BD">
        <w:rPr>
          <w:rFonts w:ascii="Verdana" w:hAnsi="Verdana"/>
          <w:sz w:val="20"/>
          <w:lang w:val="pt-BR"/>
        </w:rPr>
        <w:t>ação</w:t>
      </w:r>
      <w:r w:rsidR="004756C1" w:rsidRPr="002F50BD">
        <w:rPr>
          <w:rFonts w:ascii="Verdana" w:hAnsi="Verdana"/>
          <w:sz w:val="20"/>
          <w:lang w:val="pt-BR"/>
        </w:rPr>
        <w:t xml:space="preserve"> de amparo </w:t>
      </w:r>
      <w:r w:rsidR="00CF451D" w:rsidRPr="00CF451D">
        <w:rPr>
          <w:rFonts w:ascii="Verdana" w:hAnsi="Verdana"/>
          <w:sz w:val="20"/>
          <w:lang w:val="pt-BR"/>
        </w:rPr>
        <w:t>(</w:t>
      </w:r>
      <w:r w:rsidR="00F76AC5" w:rsidRPr="002F50BD">
        <w:rPr>
          <w:rFonts w:ascii="Verdana" w:hAnsi="Verdana"/>
          <w:sz w:val="20"/>
          <w:lang w:val="pt-BR"/>
        </w:rPr>
        <w:t>mandado de segurança</w:t>
      </w:r>
      <w:r w:rsidR="00CF451D" w:rsidRPr="00CF451D">
        <w:rPr>
          <w:rFonts w:ascii="Verdana" w:hAnsi="Verdana"/>
          <w:sz w:val="20"/>
          <w:lang w:val="pt-BR"/>
        </w:rPr>
        <w:t>)</w:t>
      </w:r>
      <w:r w:rsidR="00F76AC5" w:rsidRPr="002F50BD">
        <w:rPr>
          <w:rFonts w:ascii="Verdana" w:hAnsi="Verdana"/>
          <w:sz w:val="20"/>
          <w:lang w:val="pt-BR"/>
        </w:rPr>
        <w:t xml:space="preserve"> </w:t>
      </w:r>
      <w:r w:rsidR="004756C1" w:rsidRPr="002F50BD">
        <w:rPr>
          <w:rFonts w:ascii="Verdana" w:hAnsi="Verdana"/>
          <w:sz w:val="20"/>
          <w:lang w:val="pt-BR"/>
        </w:rPr>
        <w:t>constitucional</w:t>
      </w:r>
      <w:r w:rsidR="00AB454A" w:rsidRPr="002F50BD">
        <w:rPr>
          <w:rFonts w:ascii="Verdana" w:hAnsi="Verdana"/>
          <w:sz w:val="20"/>
          <w:lang w:val="pt-BR"/>
        </w:rPr>
        <w:t xml:space="preserve"> contra </w:t>
      </w:r>
      <w:r w:rsidR="0089298C" w:rsidRPr="002F50BD">
        <w:rPr>
          <w:rFonts w:ascii="Verdana" w:hAnsi="Verdana"/>
          <w:sz w:val="20"/>
          <w:lang w:val="pt-BR"/>
        </w:rPr>
        <w:t xml:space="preserve">a </w:t>
      </w:r>
      <w:r w:rsidR="004756C1" w:rsidRPr="002F50BD">
        <w:rPr>
          <w:rFonts w:ascii="Verdana" w:hAnsi="Verdana"/>
          <w:sz w:val="20"/>
          <w:lang w:val="pt-BR"/>
        </w:rPr>
        <w:t>empresa TOROCAY S.A. AGROPECUERIA</w:t>
      </w:r>
      <w:r w:rsidR="0089298C" w:rsidRPr="002F50BD">
        <w:rPr>
          <w:rFonts w:ascii="Verdana" w:hAnsi="Verdana"/>
          <w:sz w:val="20"/>
          <w:lang w:val="pt-BR"/>
        </w:rPr>
        <w:t xml:space="preserve"> </w:t>
      </w:r>
      <w:r w:rsidR="00F76AC5" w:rsidRPr="002F50BD">
        <w:rPr>
          <w:rFonts w:ascii="Verdana" w:hAnsi="Verdana"/>
          <w:sz w:val="20"/>
          <w:lang w:val="pt-BR"/>
        </w:rPr>
        <w:t>Y</w:t>
      </w:r>
      <w:r w:rsidR="0089298C" w:rsidRPr="002F50BD">
        <w:rPr>
          <w:rFonts w:ascii="Verdana" w:hAnsi="Verdana"/>
          <w:sz w:val="20"/>
          <w:lang w:val="pt-BR"/>
        </w:rPr>
        <w:t xml:space="preserve"> </w:t>
      </w:r>
      <w:r w:rsidR="004756C1" w:rsidRPr="002F50BD">
        <w:rPr>
          <w:rFonts w:ascii="Verdana" w:hAnsi="Verdana"/>
          <w:sz w:val="20"/>
          <w:lang w:val="pt-BR"/>
        </w:rPr>
        <w:t>FORESTAL</w:t>
      </w:r>
      <w:r w:rsidR="0089298C" w:rsidRPr="002F50BD">
        <w:rPr>
          <w:rFonts w:ascii="Verdana" w:hAnsi="Verdana"/>
          <w:sz w:val="20"/>
          <w:lang w:val="pt-BR"/>
        </w:rPr>
        <w:t xml:space="preserve"> e/ou </w:t>
      </w:r>
      <w:r w:rsidR="00060B3A" w:rsidRPr="002F50BD">
        <w:rPr>
          <w:rFonts w:ascii="Verdana" w:hAnsi="Verdana"/>
          <w:i/>
          <w:sz w:val="20"/>
          <w:lang w:val="pt-BR"/>
        </w:rPr>
        <w:t>Estancia Loma Verde</w:t>
      </w:r>
      <w:r w:rsidR="00F76AC5" w:rsidRPr="002F50BD">
        <w:rPr>
          <w:rFonts w:ascii="Verdana" w:hAnsi="Verdana"/>
          <w:sz w:val="20"/>
          <w:lang w:val="pt-BR"/>
        </w:rPr>
        <w:t>, arrendatá</w:t>
      </w:r>
      <w:r w:rsidR="004756C1" w:rsidRPr="002F50BD">
        <w:rPr>
          <w:rFonts w:ascii="Verdana" w:hAnsi="Verdana"/>
          <w:sz w:val="20"/>
          <w:lang w:val="pt-BR"/>
        </w:rPr>
        <w:t>ria</w:t>
      </w:r>
      <w:r w:rsidR="0089298C" w:rsidRPr="002F50BD">
        <w:rPr>
          <w:rFonts w:ascii="Verdana" w:hAnsi="Verdana"/>
          <w:sz w:val="20"/>
          <w:lang w:val="pt-BR"/>
        </w:rPr>
        <w:t xml:space="preserve"> dos território</w:t>
      </w:r>
      <w:r w:rsidR="004756C1" w:rsidRPr="002F50BD">
        <w:rPr>
          <w:rFonts w:ascii="Verdana" w:hAnsi="Verdana"/>
          <w:sz w:val="20"/>
          <w:lang w:val="pt-BR"/>
        </w:rPr>
        <w:t xml:space="preserve">s reivindicados por </w:t>
      </w:r>
      <w:r w:rsidR="0089298C" w:rsidRPr="002F50BD">
        <w:rPr>
          <w:rFonts w:ascii="Verdana" w:hAnsi="Verdana"/>
          <w:sz w:val="20"/>
          <w:lang w:val="pt-BR"/>
        </w:rPr>
        <w:t>esta</w:t>
      </w:r>
      <w:r w:rsidR="004756C1" w:rsidRPr="002F50BD">
        <w:rPr>
          <w:rFonts w:ascii="Verdana" w:hAnsi="Verdana"/>
          <w:sz w:val="20"/>
          <w:lang w:val="pt-BR"/>
        </w:rPr>
        <w:t xml:space="preserve"> Comu</w:t>
      </w:r>
      <w:r w:rsidR="00AB454A" w:rsidRPr="002F50BD">
        <w:rPr>
          <w:rFonts w:ascii="Verdana" w:hAnsi="Verdana"/>
          <w:sz w:val="20"/>
          <w:lang w:val="pt-BR"/>
        </w:rPr>
        <w:t xml:space="preserve">nidade, </w:t>
      </w:r>
      <w:r w:rsidR="004756C1" w:rsidRPr="002F50BD">
        <w:rPr>
          <w:rFonts w:ascii="Verdana" w:hAnsi="Verdana"/>
          <w:sz w:val="20"/>
          <w:lang w:val="pt-BR"/>
        </w:rPr>
        <w:t>invocando</w:t>
      </w:r>
      <w:r w:rsidR="0089298C" w:rsidRPr="002F50BD">
        <w:rPr>
          <w:rFonts w:ascii="Verdana" w:hAnsi="Verdana"/>
          <w:sz w:val="20"/>
          <w:lang w:val="pt-BR"/>
        </w:rPr>
        <w:t xml:space="preserve"> a Constituição</w:t>
      </w:r>
      <w:r w:rsidR="004756C1" w:rsidRPr="002F50BD">
        <w:rPr>
          <w:rFonts w:ascii="Verdana" w:hAnsi="Verdana"/>
          <w:sz w:val="20"/>
          <w:lang w:val="pt-BR"/>
        </w:rPr>
        <w:t xml:space="preserve"> Nacional </w:t>
      </w:r>
      <w:r w:rsidR="00F76AC5"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as </w:t>
      </w:r>
      <w:r w:rsidR="004756C1" w:rsidRPr="002F50BD">
        <w:rPr>
          <w:rFonts w:ascii="Verdana" w:hAnsi="Verdana"/>
          <w:sz w:val="20"/>
          <w:lang w:val="pt-BR"/>
        </w:rPr>
        <w:t>disposi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incluídas no artigo</w:t>
      </w:r>
      <w:r w:rsidR="004756C1" w:rsidRPr="002F50BD">
        <w:rPr>
          <w:rFonts w:ascii="Verdana" w:hAnsi="Verdana"/>
          <w:sz w:val="20"/>
          <w:lang w:val="pt-BR"/>
        </w:rPr>
        <w:t xml:space="preserve"> </w:t>
      </w:r>
      <w:r w:rsidRPr="002F50BD">
        <w:rPr>
          <w:rFonts w:ascii="Verdana" w:hAnsi="Verdana"/>
          <w:sz w:val="20"/>
          <w:lang w:val="pt-BR"/>
        </w:rPr>
        <w:t>14</w:t>
      </w:r>
      <w:r w:rsidR="0089298C" w:rsidRPr="002F50BD">
        <w:rPr>
          <w:rFonts w:ascii="Verdana" w:hAnsi="Verdana"/>
          <w:sz w:val="20"/>
          <w:lang w:val="pt-BR"/>
        </w:rPr>
        <w:t xml:space="preserve"> da lei </w:t>
      </w:r>
      <w:r w:rsidRPr="002F50BD">
        <w:rPr>
          <w:rFonts w:ascii="Verdana" w:hAnsi="Verdana"/>
          <w:sz w:val="20"/>
          <w:lang w:val="pt-BR"/>
        </w:rPr>
        <w:t>234</w:t>
      </w:r>
      <w:r w:rsidR="004756C1" w:rsidRPr="002F50BD">
        <w:rPr>
          <w:rFonts w:ascii="Verdana" w:hAnsi="Verdana"/>
          <w:sz w:val="20"/>
          <w:lang w:val="pt-BR"/>
        </w:rPr>
        <w:t>/</w:t>
      </w:r>
      <w:r w:rsidRPr="002F50BD">
        <w:rPr>
          <w:rFonts w:ascii="Verdana" w:hAnsi="Verdana"/>
          <w:sz w:val="20"/>
          <w:lang w:val="pt-BR"/>
        </w:rPr>
        <w:t>93</w:t>
      </w:r>
      <w:r w:rsidR="004756C1" w:rsidRPr="002F50BD">
        <w:rPr>
          <w:rFonts w:ascii="Verdana" w:hAnsi="Verdana"/>
          <w:sz w:val="20"/>
          <w:lang w:val="pt-BR"/>
        </w:rPr>
        <w:t xml:space="preserve"> que ratifica</w:t>
      </w:r>
      <w:r w:rsidR="0089298C" w:rsidRPr="002F50BD">
        <w:rPr>
          <w:rFonts w:ascii="Verdana" w:hAnsi="Verdana"/>
          <w:sz w:val="20"/>
          <w:lang w:val="pt-BR"/>
        </w:rPr>
        <w:t xml:space="preserve"> </w:t>
      </w:r>
      <w:r w:rsidR="00F76AC5" w:rsidRPr="002F50BD">
        <w:rPr>
          <w:rFonts w:ascii="Verdana" w:hAnsi="Verdana"/>
          <w:sz w:val="20"/>
          <w:lang w:val="pt-BR"/>
        </w:rPr>
        <w:t>a</w:t>
      </w:r>
      <w:r w:rsidR="0089298C" w:rsidRPr="002F50BD">
        <w:rPr>
          <w:rFonts w:ascii="Verdana" w:hAnsi="Verdana"/>
          <w:sz w:val="20"/>
          <w:lang w:val="pt-BR"/>
        </w:rPr>
        <w:t xml:space="preserve"> </w:t>
      </w:r>
      <w:r w:rsidR="00F76AC5" w:rsidRPr="002F50BD">
        <w:rPr>
          <w:rFonts w:ascii="Verdana" w:hAnsi="Verdana"/>
          <w:sz w:val="20"/>
          <w:lang w:val="pt-BR"/>
        </w:rPr>
        <w:t>C</w:t>
      </w:r>
      <w:r w:rsidR="0089298C" w:rsidRPr="002F50BD">
        <w:rPr>
          <w:rFonts w:ascii="Verdana" w:hAnsi="Verdana"/>
          <w:sz w:val="20"/>
          <w:lang w:val="pt-BR"/>
        </w:rPr>
        <w:t>onv</w:t>
      </w:r>
      <w:r w:rsidR="00F76AC5" w:rsidRPr="002F50BD">
        <w:rPr>
          <w:rFonts w:ascii="Verdana" w:hAnsi="Verdana"/>
          <w:sz w:val="20"/>
          <w:lang w:val="pt-BR"/>
        </w:rPr>
        <w:t>enção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169</w:t>
      </w:r>
      <w:r w:rsidR="004756C1" w:rsidRPr="002F50BD">
        <w:rPr>
          <w:rFonts w:ascii="Verdana" w:hAnsi="Verdana"/>
          <w:sz w:val="20"/>
          <w:lang w:val="pt-BR"/>
        </w:rPr>
        <w:t xml:space="preserve"> sobre </w:t>
      </w:r>
      <w:r w:rsidR="0089298C" w:rsidRPr="002F50BD">
        <w:rPr>
          <w:rFonts w:ascii="Verdana" w:hAnsi="Verdana"/>
          <w:sz w:val="20"/>
          <w:lang w:val="pt-BR"/>
        </w:rPr>
        <w:t>Povo</w:t>
      </w:r>
      <w:r w:rsidR="004756C1" w:rsidRPr="002F50BD">
        <w:rPr>
          <w:rFonts w:ascii="Verdana" w:hAnsi="Verdana"/>
          <w:sz w:val="20"/>
          <w:lang w:val="pt-BR"/>
        </w:rPr>
        <w:t>s Indígenas</w:t>
      </w:r>
      <w:r w:rsidR="0089298C" w:rsidRPr="002F50BD">
        <w:rPr>
          <w:rFonts w:ascii="Verdana" w:hAnsi="Verdana"/>
          <w:sz w:val="20"/>
          <w:lang w:val="pt-BR"/>
        </w:rPr>
        <w:t xml:space="preserve"> e </w:t>
      </w:r>
      <w:r w:rsidR="004756C1" w:rsidRPr="002F50BD">
        <w:rPr>
          <w:rFonts w:ascii="Verdana" w:hAnsi="Verdana"/>
          <w:sz w:val="20"/>
          <w:lang w:val="pt-BR"/>
        </w:rPr>
        <w:t>Triba</w:t>
      </w:r>
      <w:r w:rsidR="00F76AC5"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em </w:t>
      </w:r>
      <w:r w:rsidR="004756C1" w:rsidRPr="002F50BD">
        <w:rPr>
          <w:rFonts w:ascii="Verdana" w:hAnsi="Verdana"/>
          <w:sz w:val="20"/>
          <w:lang w:val="pt-BR"/>
        </w:rPr>
        <w:t xml:space="preserve">Países </w:t>
      </w:r>
      <w:r w:rsidR="0089298C" w:rsidRPr="002F50BD">
        <w:rPr>
          <w:rFonts w:ascii="Verdana" w:hAnsi="Verdana"/>
          <w:sz w:val="20"/>
          <w:lang w:val="pt-BR"/>
        </w:rPr>
        <w:t>Independente</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Internacional </w:t>
      </w:r>
      <w:r w:rsidR="0089298C" w:rsidRPr="002F50BD">
        <w:rPr>
          <w:rFonts w:ascii="Verdana" w:hAnsi="Verdana"/>
          <w:sz w:val="20"/>
          <w:lang w:val="pt-BR"/>
        </w:rPr>
        <w:t>do Trabalho</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F76AC5" w:rsidRPr="002F50BD">
        <w:rPr>
          <w:rFonts w:ascii="Verdana" w:hAnsi="Verdana"/>
          <w:sz w:val="20"/>
          <w:lang w:val="pt-BR"/>
        </w:rPr>
        <w:t xml:space="preserve">denominada </w:t>
      </w:r>
      <w:r w:rsidR="004756C1" w:rsidRPr="002F50BD">
        <w:rPr>
          <w:rFonts w:ascii="Verdana" w:hAnsi="Verdana"/>
          <w:sz w:val="20"/>
          <w:lang w:val="pt-BR"/>
        </w:rPr>
        <w:t>“Conv</w:t>
      </w:r>
      <w:r w:rsidR="00F76AC5" w:rsidRPr="002F50BD">
        <w:rPr>
          <w:rFonts w:ascii="Verdana" w:hAnsi="Verdana"/>
          <w:sz w:val="20"/>
          <w:lang w:val="pt-BR"/>
        </w:rPr>
        <w:t>enção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169</w:t>
      </w:r>
      <w:r w:rsidR="0089298C" w:rsidRPr="002F50BD">
        <w:rPr>
          <w:rFonts w:ascii="Verdana" w:hAnsi="Verdana"/>
          <w:sz w:val="20"/>
          <w:lang w:val="pt-BR"/>
        </w:rPr>
        <w:t xml:space="preserve"> da </w:t>
      </w:r>
      <w:r w:rsidR="004756C1" w:rsidRPr="002F50BD">
        <w:rPr>
          <w:rFonts w:ascii="Verdana" w:hAnsi="Verdana"/>
          <w:sz w:val="20"/>
          <w:lang w:val="pt-BR"/>
        </w:rPr>
        <w:t>OIT”</w:t>
      </w:r>
      <w:r w:rsidR="00CF451D" w:rsidRPr="00CF451D">
        <w:rPr>
          <w:rFonts w:ascii="Verdana" w:hAnsi="Verdana"/>
          <w:sz w:val="20"/>
          <w:lang w:val="pt-BR"/>
        </w:rPr>
        <w:t>)</w:t>
      </w:r>
      <w:r w:rsidR="004756C1" w:rsidRPr="002F50BD">
        <w:rPr>
          <w:rFonts w:ascii="Verdana" w:hAnsi="Verdana"/>
          <w:sz w:val="20"/>
          <w:lang w:val="pt-BR"/>
        </w:rPr>
        <w:t xml:space="preserve"> a favor</w:t>
      </w:r>
      <w:r w:rsidR="0089298C" w:rsidRPr="002F50BD">
        <w:rPr>
          <w:rFonts w:ascii="Verdana" w:hAnsi="Verdana"/>
          <w:sz w:val="20"/>
          <w:lang w:val="pt-BR"/>
        </w:rPr>
        <w:t xml:space="preserve"> dos membro</w:t>
      </w:r>
      <w:r w:rsidR="004756C1" w:rsidRPr="002F50BD">
        <w:rPr>
          <w:rFonts w:ascii="Verdana" w:hAnsi="Verdana"/>
          <w:sz w:val="20"/>
          <w:lang w:val="pt-BR"/>
        </w:rPr>
        <w:t xml:space="preserve">s </w:t>
      </w:r>
      <w:r w:rsidR="0089298C" w:rsidRPr="002F50BD">
        <w:rPr>
          <w:rFonts w:ascii="Verdana" w:hAnsi="Verdana"/>
          <w:sz w:val="20"/>
          <w:lang w:val="pt-BR"/>
        </w:rPr>
        <w:t>desta</w:t>
      </w:r>
      <w:r w:rsidR="004756C1" w:rsidRPr="002F50BD">
        <w:rPr>
          <w:rFonts w:ascii="Verdana" w:hAnsi="Verdana"/>
          <w:sz w:val="20"/>
          <w:lang w:val="pt-BR"/>
        </w:rPr>
        <w:t xml:space="preserve"> </w:t>
      </w:r>
      <w:r w:rsidR="0089298C" w:rsidRPr="002F50BD">
        <w:rPr>
          <w:rFonts w:ascii="Verdana" w:hAnsi="Verdana"/>
          <w:sz w:val="20"/>
          <w:lang w:val="pt-BR"/>
        </w:rPr>
        <w:t xml:space="preserve">Comunidade </w:t>
      </w:r>
      <w:r w:rsidR="004756C1" w:rsidRPr="002F50BD">
        <w:rPr>
          <w:rFonts w:ascii="Verdana" w:hAnsi="Verdana"/>
          <w:sz w:val="20"/>
          <w:lang w:val="pt-BR"/>
        </w:rPr>
        <w:t>indígena.</w:t>
      </w:r>
      <w:r w:rsidR="00FE08B7">
        <w:rPr>
          <w:rFonts w:ascii="Verdana" w:hAnsi="Verdana"/>
          <w:sz w:val="20"/>
          <w:lang w:val="pt-BR"/>
        </w:rPr>
        <w:t xml:space="preserve"> </w:t>
      </w:r>
      <w:r w:rsidR="00CF451D">
        <w:rPr>
          <w:rFonts w:ascii="Verdana" w:hAnsi="Verdana"/>
          <w:sz w:val="20"/>
          <w:lang w:val="pt-BR"/>
        </w:rPr>
        <w:t>Nesse sentido,</w:t>
      </w:r>
      <w:r w:rsidR="00974F07"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 “</w:t>
      </w:r>
      <w:r w:rsidR="00AB454A" w:rsidRPr="002F50BD">
        <w:rPr>
          <w:rFonts w:ascii="Verdana" w:hAnsi="Verdana"/>
          <w:sz w:val="20"/>
          <w:lang w:val="pt-BR"/>
        </w:rPr>
        <w:t xml:space="preserve">desde o </w:t>
      </w:r>
      <w:r w:rsidR="0089298C" w:rsidRPr="002F50BD">
        <w:rPr>
          <w:rFonts w:ascii="Verdana" w:hAnsi="Verdana"/>
          <w:sz w:val="20"/>
          <w:lang w:val="pt-BR"/>
        </w:rPr>
        <w:t xml:space="preserve">mês </w:t>
      </w:r>
      <w:r w:rsidR="004756C1" w:rsidRPr="002F50BD">
        <w:rPr>
          <w:rFonts w:ascii="Verdana" w:hAnsi="Verdana"/>
          <w:sz w:val="20"/>
          <w:lang w:val="pt-BR"/>
        </w:rPr>
        <w:t xml:space="preserve">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1996</w:t>
      </w:r>
      <w:r w:rsidR="0089298C" w:rsidRPr="002F50BD">
        <w:rPr>
          <w:rFonts w:ascii="Verdana" w:hAnsi="Verdana"/>
          <w:sz w:val="20"/>
          <w:lang w:val="pt-BR"/>
        </w:rPr>
        <w:t xml:space="preserve"> os </w:t>
      </w:r>
      <w:r w:rsidR="004756C1" w:rsidRPr="002F50BD">
        <w:rPr>
          <w:rFonts w:ascii="Verdana" w:hAnsi="Verdana"/>
          <w:sz w:val="20"/>
          <w:lang w:val="pt-BR"/>
        </w:rPr>
        <w:t xml:space="preserve">indígenas </w:t>
      </w:r>
      <w:r w:rsidR="00AB454A" w:rsidRPr="002F50BD">
        <w:rPr>
          <w:rFonts w:ascii="Verdana" w:hAnsi="Verdana"/>
          <w:sz w:val="20"/>
          <w:lang w:val="pt-BR"/>
        </w:rPr>
        <w:t>sofr</w:t>
      </w:r>
      <w:r w:rsidR="00974F07" w:rsidRPr="002F50BD">
        <w:rPr>
          <w:rFonts w:ascii="Verdana" w:hAnsi="Verdana"/>
          <w:sz w:val="20"/>
          <w:lang w:val="pt-BR"/>
        </w:rPr>
        <w:t xml:space="preserve">em </w:t>
      </w:r>
      <w:r w:rsidR="0089298C" w:rsidRPr="002F50BD">
        <w:rPr>
          <w:rFonts w:ascii="Verdana" w:hAnsi="Verdana"/>
          <w:sz w:val="20"/>
          <w:lang w:val="pt-BR"/>
        </w:rPr>
        <w:t>a proibição</w:t>
      </w:r>
      <w:r w:rsidR="004756C1" w:rsidRPr="002F50BD">
        <w:rPr>
          <w:rFonts w:ascii="Verdana" w:hAnsi="Verdana"/>
          <w:sz w:val="20"/>
          <w:lang w:val="pt-BR"/>
        </w:rPr>
        <w:t xml:space="preserve"> de </w:t>
      </w:r>
      <w:r w:rsidR="0089298C" w:rsidRPr="002F50BD">
        <w:rPr>
          <w:rFonts w:ascii="Verdana" w:hAnsi="Verdana"/>
          <w:sz w:val="20"/>
          <w:lang w:val="pt-BR"/>
        </w:rPr>
        <w:t xml:space="preserve">ingresso </w:t>
      </w:r>
      <w:r w:rsidR="00A34AAE" w:rsidRPr="002F50BD">
        <w:rPr>
          <w:rFonts w:ascii="Verdana" w:hAnsi="Verdana"/>
          <w:sz w:val="20"/>
          <w:lang w:val="pt-BR"/>
        </w:rPr>
        <w:t>nas</w:t>
      </w:r>
      <w:r w:rsidR="0089298C" w:rsidRPr="002F50BD">
        <w:rPr>
          <w:rFonts w:ascii="Verdana" w:hAnsi="Verdana"/>
          <w:sz w:val="20"/>
          <w:lang w:val="pt-BR"/>
        </w:rPr>
        <w:t xml:space="preserve"> terra</w:t>
      </w:r>
      <w:r w:rsidR="004756C1" w:rsidRPr="002F50BD">
        <w:rPr>
          <w:rFonts w:ascii="Verdana" w:hAnsi="Verdana"/>
          <w:sz w:val="20"/>
          <w:lang w:val="pt-BR"/>
        </w:rPr>
        <w:t xml:space="preserve">s que </w:t>
      </w:r>
      <w:r w:rsidR="0089298C" w:rsidRPr="002F50BD">
        <w:rPr>
          <w:rFonts w:ascii="Verdana" w:hAnsi="Verdana"/>
          <w:sz w:val="20"/>
          <w:lang w:val="pt-BR"/>
        </w:rPr>
        <w:t xml:space="preserve">formam </w:t>
      </w:r>
      <w:r w:rsidR="004756C1" w:rsidRPr="002F50BD">
        <w:rPr>
          <w:rFonts w:ascii="Verdana" w:hAnsi="Verdana"/>
          <w:sz w:val="20"/>
          <w:lang w:val="pt-BR"/>
        </w:rPr>
        <w:t>parte</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que] permanentemente</w:t>
      </w:r>
      <w:r w:rsidR="0089298C" w:rsidRPr="002F50BD">
        <w:rPr>
          <w:rFonts w:ascii="Verdana" w:hAnsi="Verdana"/>
          <w:sz w:val="20"/>
          <w:lang w:val="pt-BR"/>
        </w:rPr>
        <w:t xml:space="preserve"> são </w:t>
      </w:r>
      <w:r w:rsidR="00974F07" w:rsidRPr="002F50BD">
        <w:rPr>
          <w:rFonts w:ascii="Verdana" w:hAnsi="Verdana"/>
          <w:sz w:val="20"/>
          <w:lang w:val="pt-BR"/>
        </w:rPr>
        <w:t xml:space="preserve">ameaçados </w:t>
      </w:r>
      <w:r w:rsidR="004756C1" w:rsidRPr="002F50BD">
        <w:rPr>
          <w:rFonts w:ascii="Verdana" w:hAnsi="Verdana"/>
          <w:sz w:val="20"/>
          <w:lang w:val="pt-BR"/>
        </w:rPr>
        <w:t>p</w:t>
      </w:r>
      <w:r w:rsidR="00974F07" w:rsidRPr="002F50BD">
        <w:rPr>
          <w:rFonts w:ascii="Verdana" w:hAnsi="Verdana"/>
          <w:sz w:val="20"/>
          <w:lang w:val="pt-BR"/>
        </w:rPr>
        <w:t xml:space="preserve">elo </w:t>
      </w:r>
      <w:r w:rsidR="0089298C" w:rsidRPr="002F50BD">
        <w:rPr>
          <w:rFonts w:ascii="Verdana" w:hAnsi="Verdana"/>
          <w:sz w:val="20"/>
          <w:lang w:val="pt-BR"/>
        </w:rPr>
        <w:t>pessoa</w:t>
      </w:r>
      <w:r w:rsidR="004756C1" w:rsidRPr="002F50BD">
        <w:rPr>
          <w:rFonts w:ascii="Verdana" w:hAnsi="Verdana"/>
          <w:sz w:val="20"/>
          <w:lang w:val="pt-BR"/>
        </w:rPr>
        <w:t xml:space="preserve">l </w:t>
      </w:r>
      <w:r w:rsidR="0089298C" w:rsidRPr="002F50BD">
        <w:rPr>
          <w:rFonts w:ascii="Verdana" w:hAnsi="Verdana"/>
          <w:sz w:val="20"/>
          <w:lang w:val="pt-BR"/>
        </w:rPr>
        <w:t xml:space="preserve">do </w:t>
      </w:r>
      <w:r w:rsidR="004756C1" w:rsidRPr="002F50BD">
        <w:rPr>
          <w:rFonts w:ascii="Verdana" w:hAnsi="Verdana"/>
          <w:sz w:val="20"/>
          <w:lang w:val="pt-BR"/>
        </w:rPr>
        <w:t xml:space="preserve">mencionado </w:t>
      </w:r>
      <w:r w:rsidR="0089298C" w:rsidRPr="002F50BD">
        <w:rPr>
          <w:rFonts w:ascii="Verdana" w:hAnsi="Verdana"/>
          <w:sz w:val="20"/>
          <w:lang w:val="pt-BR"/>
        </w:rPr>
        <w:t>estabelecimento</w:t>
      </w:r>
      <w:r w:rsidR="004756C1" w:rsidRPr="002F50B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 xml:space="preserve">por </w:t>
      </w:r>
      <w:r w:rsidR="0089298C" w:rsidRPr="002F50BD">
        <w:rPr>
          <w:rFonts w:ascii="Verdana" w:hAnsi="Verdana"/>
          <w:sz w:val="20"/>
          <w:lang w:val="pt-BR"/>
        </w:rPr>
        <w:t>pessoa</w:t>
      </w:r>
      <w:r w:rsidR="004756C1" w:rsidRPr="002F50BD">
        <w:rPr>
          <w:rFonts w:ascii="Verdana" w:hAnsi="Verdana"/>
          <w:sz w:val="20"/>
          <w:lang w:val="pt-BR"/>
        </w:rPr>
        <w:t>l policial</w:t>
      </w:r>
      <w:r w:rsidR="0089298C" w:rsidRPr="002F50BD">
        <w:rPr>
          <w:rFonts w:ascii="Verdana" w:hAnsi="Verdana"/>
          <w:sz w:val="20"/>
          <w:lang w:val="pt-BR"/>
        </w:rPr>
        <w:t xml:space="preserve"> da </w:t>
      </w:r>
      <w:r w:rsidR="00974F07" w:rsidRPr="002F50BD">
        <w:rPr>
          <w:rFonts w:ascii="Verdana" w:hAnsi="Verdana"/>
          <w:sz w:val="20"/>
          <w:lang w:val="pt-BR"/>
        </w:rPr>
        <w:t xml:space="preserve">Delegacia </w:t>
      </w:r>
      <w:r w:rsidR="0089298C" w:rsidRPr="002F50BD">
        <w:rPr>
          <w:rFonts w:ascii="Verdana" w:hAnsi="Verdana"/>
          <w:sz w:val="20"/>
          <w:lang w:val="pt-BR"/>
        </w:rPr>
        <w:t xml:space="preserve">do </w:t>
      </w:r>
      <w:r w:rsidR="004756C1" w:rsidRPr="002F50BD">
        <w:rPr>
          <w:rFonts w:ascii="Verdana" w:hAnsi="Verdana"/>
          <w:sz w:val="20"/>
          <w:lang w:val="pt-BR"/>
        </w:rPr>
        <w:t>Distrito de</w:t>
      </w:r>
      <w:r w:rsidR="0089298C" w:rsidRPr="002F50BD">
        <w:rPr>
          <w:rFonts w:ascii="Verdana" w:hAnsi="Verdana"/>
          <w:sz w:val="20"/>
          <w:lang w:val="pt-BR"/>
        </w:rPr>
        <w:t xml:space="preserve"> </w:t>
      </w:r>
      <w:r w:rsidR="00974F07" w:rsidRPr="002F50BD">
        <w:rPr>
          <w:rFonts w:ascii="Verdana" w:hAnsi="Verdana"/>
          <w:sz w:val="20"/>
          <w:lang w:val="pt-BR"/>
        </w:rPr>
        <w:t>R</w:t>
      </w:r>
      <w:r w:rsidR="0089298C" w:rsidRPr="002F50BD">
        <w:rPr>
          <w:rFonts w:ascii="Verdana" w:hAnsi="Verdana"/>
          <w:sz w:val="20"/>
          <w:lang w:val="pt-BR"/>
        </w:rPr>
        <w:t xml:space="preserve">io </w:t>
      </w:r>
      <w:r w:rsidR="004756C1" w:rsidRPr="002F50BD">
        <w:rPr>
          <w:rFonts w:ascii="Verdana" w:hAnsi="Verdana"/>
          <w:sz w:val="20"/>
          <w:lang w:val="pt-BR"/>
        </w:rPr>
        <w:t>Verde</w:t>
      </w:r>
      <w:r w:rsidR="0089298C" w:rsidRPr="002F50BD">
        <w:rPr>
          <w:rFonts w:ascii="Verdana" w:hAnsi="Verdana"/>
          <w:sz w:val="20"/>
          <w:lang w:val="pt-BR"/>
        </w:rPr>
        <w:t>, e</w:t>
      </w:r>
      <w:r w:rsidR="004756C1" w:rsidRPr="002F50BD">
        <w:rPr>
          <w:rFonts w:ascii="Verdana" w:hAnsi="Verdana"/>
          <w:sz w:val="20"/>
          <w:lang w:val="pt-BR"/>
        </w:rPr>
        <w:t xml:space="preserve"> que</w:t>
      </w:r>
      <w:r w:rsidR="00FD6E32"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23</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Pr="002F50BD">
        <w:rPr>
          <w:rFonts w:ascii="Verdana" w:hAnsi="Verdana"/>
          <w:sz w:val="20"/>
          <w:lang w:val="pt-BR"/>
        </w:rPr>
        <w:t>1996</w:t>
      </w:r>
      <w:r w:rsidR="00FD6E32"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Esteban López, líder</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foi expuls</w:t>
      </w:r>
      <w:r w:rsidR="004756C1" w:rsidRPr="002F50BD">
        <w:rPr>
          <w:rFonts w:ascii="Verdana" w:hAnsi="Verdana"/>
          <w:sz w:val="20"/>
          <w:lang w:val="pt-BR"/>
        </w:rPr>
        <w:t>o</w:t>
      </w:r>
      <w:r w:rsidR="0089298C" w:rsidRPr="002F50BD">
        <w:rPr>
          <w:rFonts w:ascii="Verdana" w:hAnsi="Verdana"/>
          <w:sz w:val="20"/>
          <w:lang w:val="pt-BR"/>
        </w:rPr>
        <w:t xml:space="preserve"> </w:t>
      </w:r>
      <w:r w:rsidR="00FD6E32" w:rsidRPr="002F50BD">
        <w:rPr>
          <w:rFonts w:ascii="Verdana" w:hAnsi="Verdana"/>
          <w:sz w:val="20"/>
          <w:lang w:val="pt-BR"/>
        </w:rPr>
        <w:t>de</w:t>
      </w:r>
      <w:r w:rsidR="0089298C" w:rsidRPr="002F50BD">
        <w:rPr>
          <w:rFonts w:ascii="Verdana" w:hAnsi="Verdana"/>
          <w:sz w:val="20"/>
          <w:lang w:val="pt-BR"/>
        </w:rPr>
        <w:t xml:space="preserve"> </w:t>
      </w:r>
      <w:r w:rsidR="004756C1" w:rsidRPr="002F50BD">
        <w:rPr>
          <w:rFonts w:ascii="Verdana" w:hAnsi="Verdana"/>
          <w:sz w:val="20"/>
          <w:lang w:val="pt-BR"/>
        </w:rPr>
        <w:t>s</w:t>
      </w:r>
      <w:r w:rsidR="00974F07" w:rsidRPr="002F50BD">
        <w:rPr>
          <w:rFonts w:ascii="Verdana" w:hAnsi="Verdana"/>
          <w:sz w:val="20"/>
          <w:lang w:val="pt-BR"/>
        </w:rPr>
        <w:t>e</w:t>
      </w:r>
      <w:r w:rsidR="004756C1" w:rsidRPr="002F50BD">
        <w:rPr>
          <w:rFonts w:ascii="Verdana" w:hAnsi="Verdana"/>
          <w:sz w:val="20"/>
          <w:lang w:val="pt-BR"/>
        </w:rPr>
        <w:t xml:space="preserve">u </w:t>
      </w:r>
      <w:r w:rsidR="00974F07" w:rsidRPr="002F50BD">
        <w:rPr>
          <w:rFonts w:ascii="Verdana" w:hAnsi="Verdana"/>
          <w:sz w:val="20"/>
          <w:lang w:val="pt-BR"/>
        </w:rPr>
        <w:t xml:space="preserve">percurso </w:t>
      </w:r>
      <w:r w:rsidR="0089298C" w:rsidRPr="002F50BD">
        <w:rPr>
          <w:rFonts w:ascii="Verdana" w:hAnsi="Verdana"/>
          <w:sz w:val="20"/>
          <w:lang w:val="pt-BR"/>
        </w:rPr>
        <w:t>pel</w:t>
      </w:r>
      <w:r w:rsidR="00974F07" w:rsidRPr="002F50BD">
        <w:rPr>
          <w:rFonts w:ascii="Verdana" w:hAnsi="Verdana"/>
          <w:sz w:val="20"/>
          <w:lang w:val="pt-BR"/>
        </w:rPr>
        <w:t>a floresta</w:t>
      </w:r>
      <w:r w:rsidR="0089298C" w:rsidRPr="002F50BD">
        <w:rPr>
          <w:rFonts w:ascii="Verdana" w:hAnsi="Verdana"/>
          <w:sz w:val="20"/>
          <w:lang w:val="pt-BR"/>
        </w:rPr>
        <w:t xml:space="preserve"> com </w:t>
      </w:r>
      <w:r w:rsidR="00974F07" w:rsidRPr="002F50BD">
        <w:rPr>
          <w:rFonts w:ascii="Verdana" w:hAnsi="Verdana"/>
          <w:sz w:val="20"/>
          <w:lang w:val="pt-BR"/>
        </w:rPr>
        <w:t>disparos do</w:t>
      </w:r>
      <w:r w:rsidR="004756C1" w:rsidRPr="002F50BD">
        <w:rPr>
          <w:rFonts w:ascii="Verdana" w:hAnsi="Verdana"/>
          <w:sz w:val="20"/>
          <w:lang w:val="pt-BR"/>
        </w:rPr>
        <w:t xml:space="preserve"> </w:t>
      </w:r>
      <w:r w:rsidR="0089298C" w:rsidRPr="002F50BD">
        <w:rPr>
          <w:rFonts w:ascii="Verdana" w:hAnsi="Verdana"/>
          <w:sz w:val="20"/>
          <w:lang w:val="pt-BR"/>
        </w:rPr>
        <w:t>pessoa</w:t>
      </w:r>
      <w:r w:rsidR="004756C1" w:rsidRPr="002F50BD">
        <w:rPr>
          <w:rFonts w:ascii="Verdana" w:hAnsi="Verdana"/>
          <w:sz w:val="20"/>
          <w:lang w:val="pt-BR"/>
        </w:rPr>
        <w:t>l</w:t>
      </w:r>
      <w:r w:rsidR="0089298C" w:rsidRPr="002F50BD">
        <w:rPr>
          <w:rFonts w:ascii="Verdana" w:hAnsi="Verdana"/>
          <w:sz w:val="20"/>
          <w:lang w:val="pt-BR"/>
        </w:rPr>
        <w:t xml:space="preserve"> da </w:t>
      </w:r>
      <w:r w:rsidR="006D28A8" w:rsidRPr="002F50BD">
        <w:rPr>
          <w:rFonts w:ascii="Verdana" w:hAnsi="Verdana"/>
          <w:sz w:val="20"/>
          <w:lang w:val="pt-BR"/>
        </w:rPr>
        <w:t>fazenda</w:t>
      </w:r>
      <w:r w:rsidR="004756C1" w:rsidRPr="002F50BD">
        <w:rPr>
          <w:rFonts w:ascii="Verdana" w:hAnsi="Verdana"/>
          <w:sz w:val="20"/>
          <w:lang w:val="pt-BR"/>
        </w:rPr>
        <w:t>,</w:t>
      </w:r>
      <w:r w:rsidR="00974F07" w:rsidRPr="002F50BD">
        <w:rPr>
          <w:rFonts w:ascii="Verdana" w:hAnsi="Verdana"/>
          <w:sz w:val="20"/>
          <w:lang w:val="pt-BR"/>
        </w:rPr>
        <w:t xml:space="preserve"> o que igualmente ocorreu </w:t>
      </w:r>
      <w:r w:rsidR="004756C1" w:rsidRPr="002F50BD">
        <w:rPr>
          <w:rFonts w:ascii="Verdana" w:hAnsi="Verdana"/>
          <w:sz w:val="20"/>
          <w:lang w:val="pt-BR"/>
        </w:rPr>
        <w:t>a</w:t>
      </w:r>
      <w:r w:rsidR="0089298C" w:rsidRPr="002F50BD">
        <w:rPr>
          <w:rFonts w:ascii="Verdana" w:hAnsi="Verdana"/>
          <w:sz w:val="20"/>
          <w:lang w:val="pt-BR"/>
        </w:rPr>
        <w:t xml:space="preserve"> outro membro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o senhor </w:t>
      </w:r>
      <w:r w:rsidR="004756C1" w:rsidRPr="002F50BD">
        <w:rPr>
          <w:rFonts w:ascii="Verdana" w:hAnsi="Verdana"/>
          <w:sz w:val="20"/>
          <w:lang w:val="pt-BR"/>
        </w:rPr>
        <w:t>Daniel Ciriaco</w:t>
      </w:r>
      <w:r w:rsidR="00E6530C" w:rsidRPr="002F50BD">
        <w:rPr>
          <w:rFonts w:ascii="Verdana" w:hAnsi="Verdana"/>
          <w:sz w:val="20"/>
          <w:lang w:val="pt-BR"/>
        </w:rPr>
        <w:t>. Dest</w:t>
      </w:r>
      <w:r w:rsidR="0089298C" w:rsidRPr="002F50BD">
        <w:rPr>
          <w:rFonts w:ascii="Verdana" w:hAnsi="Verdana"/>
          <w:sz w:val="20"/>
          <w:lang w:val="pt-BR"/>
        </w:rPr>
        <w:t>a maneira</w:t>
      </w:r>
      <w:r w:rsidR="004756C1"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974F07" w:rsidRPr="002F50BD">
        <w:rPr>
          <w:rFonts w:ascii="Verdana" w:hAnsi="Verdana"/>
          <w:sz w:val="20"/>
          <w:lang w:val="pt-BR"/>
        </w:rPr>
        <w:t xml:space="preserve">foram </w:t>
      </w:r>
      <w:r w:rsidR="004756C1" w:rsidRPr="002F50BD">
        <w:rPr>
          <w:rFonts w:ascii="Verdana" w:hAnsi="Verdana"/>
          <w:sz w:val="20"/>
          <w:lang w:val="pt-BR"/>
        </w:rPr>
        <w:t xml:space="preserve">“impedidos </w:t>
      </w:r>
      <w:r w:rsidR="0089298C" w:rsidRPr="002F50BD">
        <w:rPr>
          <w:rFonts w:ascii="Verdana" w:hAnsi="Verdana"/>
          <w:sz w:val="20"/>
          <w:lang w:val="pt-BR"/>
        </w:rPr>
        <w:t>arbitr</w:t>
      </w:r>
      <w:r w:rsidR="00974F07" w:rsidRPr="002F50BD">
        <w:rPr>
          <w:rFonts w:ascii="Verdana" w:hAnsi="Verdana"/>
          <w:sz w:val="20"/>
          <w:lang w:val="pt-BR"/>
        </w:rPr>
        <w:t>a</w:t>
      </w:r>
      <w:r w:rsidR="0089298C" w:rsidRPr="002F50BD">
        <w:rPr>
          <w:rFonts w:ascii="Verdana" w:hAnsi="Verdana"/>
          <w:sz w:val="20"/>
          <w:lang w:val="pt-BR"/>
        </w:rPr>
        <w:t>ria</w:t>
      </w:r>
      <w:r w:rsidR="004756C1" w:rsidRPr="002F50BD">
        <w:rPr>
          <w:rFonts w:ascii="Verdana" w:hAnsi="Verdana"/>
          <w:sz w:val="20"/>
          <w:lang w:val="pt-BR"/>
        </w:rPr>
        <w:t xml:space="preserve">mente de </w:t>
      </w:r>
      <w:r w:rsidR="004076AD" w:rsidRPr="002F50BD">
        <w:rPr>
          <w:rFonts w:ascii="Verdana" w:hAnsi="Verdana"/>
          <w:sz w:val="20"/>
          <w:lang w:val="pt-BR"/>
        </w:rPr>
        <w:t>praticar</w:t>
      </w:r>
      <w:r w:rsidR="004756C1" w:rsidRPr="002F50BD">
        <w:rPr>
          <w:rFonts w:ascii="Verdana" w:hAnsi="Verdana"/>
          <w:sz w:val="20"/>
          <w:lang w:val="pt-BR"/>
        </w:rPr>
        <w:t xml:space="preserve"> </w:t>
      </w:r>
      <w:r w:rsidR="0089298C" w:rsidRPr="002F50BD">
        <w:rPr>
          <w:rFonts w:ascii="Verdana" w:hAnsi="Verdana"/>
          <w:sz w:val="20"/>
          <w:lang w:val="pt-BR"/>
        </w:rPr>
        <w:t>ativ</w:t>
      </w:r>
      <w:r w:rsidR="004756C1" w:rsidRPr="002F50BD">
        <w:rPr>
          <w:rFonts w:ascii="Verdana" w:hAnsi="Verdana"/>
          <w:sz w:val="20"/>
          <w:lang w:val="pt-BR"/>
        </w:rPr>
        <w:t xml:space="preserve">idades de </w:t>
      </w:r>
      <w:r w:rsidR="00AB454A" w:rsidRPr="002F50BD">
        <w:rPr>
          <w:rFonts w:ascii="Verdana" w:hAnsi="Verdana"/>
          <w:sz w:val="20"/>
          <w:lang w:val="pt-BR"/>
        </w:rPr>
        <w:t>caça</w:t>
      </w:r>
      <w:r w:rsidR="0089298C" w:rsidRPr="002F50BD">
        <w:rPr>
          <w:rFonts w:ascii="Verdana" w:hAnsi="Verdana"/>
          <w:sz w:val="20"/>
          <w:lang w:val="pt-BR"/>
        </w:rPr>
        <w:t xml:space="preserve"> e </w:t>
      </w:r>
      <w:r w:rsidR="004756C1" w:rsidRPr="002F50BD">
        <w:rPr>
          <w:rFonts w:ascii="Verdana" w:hAnsi="Verdana"/>
          <w:sz w:val="20"/>
          <w:lang w:val="pt-BR"/>
        </w:rPr>
        <w:t>pesca</w:t>
      </w:r>
      <w:r w:rsidR="0089298C" w:rsidRPr="002F50BD">
        <w:rPr>
          <w:rFonts w:ascii="Verdana" w:hAnsi="Verdana"/>
          <w:sz w:val="20"/>
          <w:lang w:val="pt-BR"/>
        </w:rPr>
        <w:t xml:space="preserve"> n</w:t>
      </w:r>
      <w:r w:rsidR="00974F07" w:rsidRPr="002F50BD">
        <w:rPr>
          <w:rFonts w:ascii="Verdana" w:hAnsi="Verdana"/>
          <w:sz w:val="20"/>
          <w:lang w:val="pt-BR"/>
        </w:rPr>
        <w:t xml:space="preserve">as áreas florestais </w:t>
      </w:r>
      <w:r w:rsidR="0089298C" w:rsidRPr="002F50BD">
        <w:rPr>
          <w:rFonts w:ascii="Verdana" w:hAnsi="Verdana"/>
          <w:sz w:val="20"/>
          <w:lang w:val="pt-BR"/>
        </w:rPr>
        <w:t xml:space="preserve">da </w:t>
      </w:r>
      <w:r w:rsidR="00060B3A" w:rsidRPr="002F50BD">
        <w:rPr>
          <w:rFonts w:ascii="Verdana" w:hAnsi="Verdana"/>
          <w:i/>
          <w:sz w:val="20"/>
          <w:lang w:val="pt-BR"/>
        </w:rPr>
        <w:t>Estancia Loma Verde</w:t>
      </w:r>
      <w:r w:rsidR="004756C1" w:rsidRPr="002F50BD">
        <w:rPr>
          <w:rFonts w:ascii="Verdana" w:hAnsi="Verdana"/>
          <w:sz w:val="20"/>
          <w:lang w:val="pt-BR"/>
        </w:rPr>
        <w:t xml:space="preserve"> que </w:t>
      </w:r>
      <w:r w:rsidR="0089298C" w:rsidRPr="002F50BD">
        <w:rPr>
          <w:rFonts w:ascii="Verdana" w:hAnsi="Verdana"/>
          <w:sz w:val="20"/>
          <w:lang w:val="pt-BR"/>
        </w:rPr>
        <w:t>constitui</w:t>
      </w:r>
      <w:r w:rsidR="004756C1" w:rsidRPr="002F50BD">
        <w:rPr>
          <w:rFonts w:ascii="Verdana" w:hAnsi="Verdana"/>
          <w:sz w:val="20"/>
          <w:lang w:val="pt-BR"/>
        </w:rPr>
        <w:t xml:space="preserve"> </w:t>
      </w:r>
      <w:r w:rsidR="001A0CDE" w:rsidRPr="002F50BD">
        <w:rPr>
          <w:rFonts w:ascii="Verdana" w:hAnsi="Verdana"/>
          <w:i/>
          <w:sz w:val="20"/>
          <w:lang w:val="pt-BR"/>
        </w:rPr>
        <w:t>habitat</w:t>
      </w:r>
      <w:r w:rsidR="004756C1" w:rsidRPr="002F50BD">
        <w:rPr>
          <w:rFonts w:ascii="Verdana" w:hAnsi="Verdana"/>
          <w:sz w:val="20"/>
          <w:lang w:val="pt-BR"/>
        </w:rPr>
        <w:t xml:space="preserve"> tradicional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4756C1" w:rsidRPr="002F50B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 xml:space="preserve">que </w:t>
      </w:r>
      <w:r w:rsidR="004076AD" w:rsidRPr="002F50BD">
        <w:rPr>
          <w:rFonts w:ascii="Verdana" w:hAnsi="Verdana"/>
          <w:sz w:val="20"/>
          <w:lang w:val="pt-BR"/>
        </w:rPr>
        <w:t xml:space="preserve">sua situação “é </w:t>
      </w:r>
      <w:r w:rsidR="006D28A8" w:rsidRPr="002F50BD">
        <w:rPr>
          <w:rFonts w:ascii="Verdana" w:hAnsi="Verdana"/>
          <w:sz w:val="20"/>
          <w:lang w:val="pt-BR"/>
        </w:rPr>
        <w:t>angu</w:t>
      </w:r>
      <w:r w:rsidR="0089298C" w:rsidRPr="002F50BD">
        <w:rPr>
          <w:rFonts w:ascii="Verdana" w:hAnsi="Verdana"/>
          <w:sz w:val="20"/>
          <w:lang w:val="pt-BR"/>
        </w:rPr>
        <w:t>stia</w:t>
      </w:r>
      <w:r w:rsidR="004756C1" w:rsidRPr="002F50BD">
        <w:rPr>
          <w:rFonts w:ascii="Verdana" w:hAnsi="Verdana"/>
          <w:sz w:val="20"/>
          <w:lang w:val="pt-BR"/>
        </w:rPr>
        <w:t xml:space="preserve">nte </w:t>
      </w:r>
      <w:r w:rsidR="0089298C" w:rsidRPr="002F50BD">
        <w:rPr>
          <w:rFonts w:ascii="Verdana" w:hAnsi="Verdana"/>
          <w:sz w:val="20"/>
          <w:lang w:val="pt-BR"/>
        </w:rPr>
        <w:t xml:space="preserve">devido à </w:t>
      </w:r>
      <w:r w:rsidR="004756C1" w:rsidRPr="002F50BD">
        <w:rPr>
          <w:rFonts w:ascii="Verdana" w:hAnsi="Verdana"/>
          <w:sz w:val="20"/>
          <w:lang w:val="pt-BR"/>
        </w:rPr>
        <w:t>im</w:t>
      </w:r>
      <w:r w:rsidR="0089298C" w:rsidRPr="002F50BD">
        <w:rPr>
          <w:rFonts w:ascii="Verdana" w:hAnsi="Verdana"/>
          <w:sz w:val="20"/>
          <w:lang w:val="pt-BR"/>
        </w:rPr>
        <w:t xml:space="preserve">possibilidade </w:t>
      </w:r>
      <w:r w:rsidR="004756C1" w:rsidRPr="002F50BD">
        <w:rPr>
          <w:rFonts w:ascii="Verdana" w:hAnsi="Verdana"/>
          <w:sz w:val="20"/>
          <w:lang w:val="pt-BR"/>
        </w:rPr>
        <w:t>de contar</w:t>
      </w:r>
      <w:r w:rsidR="0089298C" w:rsidRPr="002F50BD">
        <w:rPr>
          <w:rFonts w:ascii="Verdana" w:hAnsi="Verdana"/>
          <w:sz w:val="20"/>
          <w:lang w:val="pt-BR"/>
        </w:rPr>
        <w:t xml:space="preserve"> com </w:t>
      </w:r>
      <w:r w:rsidR="004756C1" w:rsidRPr="002F50BD">
        <w:rPr>
          <w:rFonts w:ascii="Verdana" w:hAnsi="Verdana"/>
          <w:sz w:val="20"/>
          <w:lang w:val="pt-BR"/>
        </w:rPr>
        <w:t>alimentos suficientes para su</w:t>
      </w:r>
      <w:r w:rsidR="00974F07" w:rsidRPr="002F50BD">
        <w:rPr>
          <w:rFonts w:ascii="Verdana" w:hAnsi="Verdana"/>
          <w:sz w:val="20"/>
          <w:lang w:val="pt-BR"/>
        </w:rPr>
        <w:t>a</w:t>
      </w:r>
      <w:r w:rsidR="004756C1" w:rsidRPr="002F50BD">
        <w:rPr>
          <w:rFonts w:ascii="Verdana" w:hAnsi="Verdana"/>
          <w:sz w:val="20"/>
          <w:lang w:val="pt-BR"/>
        </w:rPr>
        <w:t xml:space="preserve"> [s</w:t>
      </w:r>
      <w:r w:rsidR="00974F07" w:rsidRPr="002F50BD">
        <w:rPr>
          <w:rFonts w:ascii="Verdana" w:hAnsi="Verdana"/>
          <w:sz w:val="20"/>
          <w:lang w:val="pt-BR"/>
        </w:rPr>
        <w:t>obre</w:t>
      </w:r>
      <w:r w:rsidR="004756C1" w:rsidRPr="002F50BD">
        <w:rPr>
          <w:rFonts w:ascii="Verdana" w:hAnsi="Verdana"/>
          <w:sz w:val="20"/>
          <w:lang w:val="pt-BR"/>
        </w:rPr>
        <w:t>]viv</w:t>
      </w:r>
      <w:r w:rsidR="00974F07" w:rsidRPr="002F50BD">
        <w:rPr>
          <w:rFonts w:ascii="Verdana" w:hAnsi="Verdana"/>
          <w:sz w:val="20"/>
          <w:lang w:val="pt-BR"/>
        </w:rPr>
        <w:t>ê</w:t>
      </w:r>
      <w:r w:rsidR="004756C1" w:rsidRPr="002F50BD">
        <w:rPr>
          <w:rFonts w:ascii="Verdana" w:hAnsi="Verdana"/>
          <w:sz w:val="20"/>
          <w:lang w:val="pt-BR"/>
        </w:rPr>
        <w:t xml:space="preserve">ncia”. </w:t>
      </w:r>
      <w:r w:rsidR="00974F07" w:rsidRPr="002F50BD">
        <w:rPr>
          <w:rFonts w:ascii="Verdana" w:hAnsi="Verdana"/>
          <w:sz w:val="20"/>
          <w:lang w:val="pt-BR"/>
        </w:rPr>
        <w:t>Além disso</w:t>
      </w:r>
      <w:r w:rsidR="004756C1" w:rsidRPr="002F50BD">
        <w:rPr>
          <w:rFonts w:ascii="Verdana" w:hAnsi="Verdana"/>
          <w:sz w:val="20"/>
          <w:lang w:val="pt-BR"/>
        </w:rPr>
        <w:t xml:space="preserve">, </w:t>
      </w:r>
      <w:r w:rsidR="0089298C" w:rsidRPr="002F50BD">
        <w:rPr>
          <w:rFonts w:ascii="Verdana" w:hAnsi="Verdana"/>
          <w:sz w:val="20"/>
          <w:lang w:val="pt-BR"/>
        </w:rPr>
        <w:t>solicitou</w:t>
      </w:r>
      <w:r w:rsidR="004756C1" w:rsidRPr="002F50BD">
        <w:rPr>
          <w:rFonts w:ascii="Verdana" w:hAnsi="Verdana"/>
          <w:sz w:val="20"/>
          <w:lang w:val="pt-BR"/>
        </w:rPr>
        <w:t xml:space="preserve"> que </w:t>
      </w:r>
      <w:r w:rsidR="006D28A8" w:rsidRPr="002F50BD">
        <w:rPr>
          <w:rFonts w:ascii="Verdana" w:hAnsi="Verdana"/>
          <w:sz w:val="20"/>
          <w:lang w:val="pt-BR"/>
        </w:rPr>
        <w:t xml:space="preserve">seja decretada </w:t>
      </w:r>
      <w:r w:rsidR="004756C1" w:rsidRPr="002F50BD">
        <w:rPr>
          <w:rFonts w:ascii="Verdana" w:hAnsi="Verdana"/>
          <w:sz w:val="20"/>
          <w:lang w:val="pt-BR"/>
        </w:rPr>
        <w:t xml:space="preserve">“como medida cautelar de </w:t>
      </w:r>
      <w:r w:rsidR="004076AD" w:rsidRPr="002F50BD">
        <w:rPr>
          <w:rFonts w:ascii="Verdana" w:hAnsi="Verdana"/>
          <w:sz w:val="20"/>
          <w:lang w:val="pt-BR"/>
        </w:rPr>
        <w:t>urgência</w:t>
      </w:r>
      <w:r w:rsidR="004756C1" w:rsidRPr="002F50BD">
        <w:rPr>
          <w:rFonts w:ascii="Verdana" w:hAnsi="Verdana"/>
          <w:sz w:val="20"/>
          <w:lang w:val="pt-BR"/>
        </w:rPr>
        <w:t xml:space="preserve">, </w:t>
      </w:r>
      <w:r w:rsidR="00974F07" w:rsidRPr="002F50BD">
        <w:rPr>
          <w:rFonts w:ascii="Verdana" w:hAnsi="Verdana"/>
          <w:sz w:val="20"/>
          <w:lang w:val="pt-BR"/>
        </w:rPr>
        <w:t xml:space="preserve">enquanto não se decida </w:t>
      </w:r>
      <w:r w:rsidR="0089298C" w:rsidRPr="002F50BD">
        <w:rPr>
          <w:rFonts w:ascii="Verdana" w:hAnsi="Verdana"/>
          <w:sz w:val="20"/>
          <w:lang w:val="pt-BR"/>
        </w:rPr>
        <w:t xml:space="preserve">o </w:t>
      </w:r>
      <w:r w:rsidR="004756C1" w:rsidRPr="002F50BD">
        <w:rPr>
          <w:rFonts w:ascii="Verdana" w:hAnsi="Verdana"/>
          <w:sz w:val="20"/>
          <w:lang w:val="pt-BR"/>
        </w:rPr>
        <w:t>amparo,</w:t>
      </w:r>
      <w:r w:rsidR="0089298C" w:rsidRPr="002F50BD">
        <w:rPr>
          <w:rFonts w:ascii="Verdana" w:hAnsi="Verdana"/>
          <w:sz w:val="20"/>
          <w:lang w:val="pt-BR"/>
        </w:rPr>
        <w:t xml:space="preserve"> o </w:t>
      </w:r>
      <w:r w:rsidR="00974F07" w:rsidRPr="002F50BD">
        <w:rPr>
          <w:rFonts w:ascii="Verdana" w:hAnsi="Verdana"/>
          <w:sz w:val="20"/>
          <w:lang w:val="pt-BR"/>
        </w:rPr>
        <w:t>fim</w:t>
      </w:r>
      <w:r w:rsidR="004756C1" w:rsidRPr="002F50BD">
        <w:rPr>
          <w:rFonts w:ascii="Verdana" w:hAnsi="Verdana"/>
          <w:sz w:val="20"/>
          <w:lang w:val="pt-BR"/>
        </w:rPr>
        <w:t xml:space="preserve"> </w:t>
      </w:r>
      <w:r w:rsidR="0089298C" w:rsidRPr="002F50BD">
        <w:rPr>
          <w:rFonts w:ascii="Verdana" w:hAnsi="Verdana"/>
          <w:sz w:val="20"/>
          <w:lang w:val="pt-BR"/>
        </w:rPr>
        <w:t>imediat</w:t>
      </w:r>
      <w:r w:rsidR="004756C1" w:rsidRPr="002F50BD">
        <w:rPr>
          <w:rFonts w:ascii="Verdana" w:hAnsi="Verdana"/>
          <w:sz w:val="20"/>
          <w:lang w:val="pt-BR"/>
        </w:rPr>
        <w:t>o</w:t>
      </w:r>
      <w:r w:rsidR="0089298C" w:rsidRPr="002F50BD">
        <w:rPr>
          <w:rFonts w:ascii="Verdana" w:hAnsi="Verdana"/>
          <w:sz w:val="20"/>
          <w:lang w:val="pt-BR"/>
        </w:rPr>
        <w:t xml:space="preserve"> da proibição</w:t>
      </w:r>
      <w:r w:rsidR="004756C1" w:rsidRPr="002F50BD">
        <w:rPr>
          <w:rFonts w:ascii="Verdana" w:hAnsi="Verdana"/>
          <w:sz w:val="20"/>
          <w:lang w:val="pt-BR"/>
        </w:rPr>
        <w:t xml:space="preserve"> vigente</w:t>
      </w:r>
      <w:r w:rsidR="0089298C" w:rsidRPr="002F50BD">
        <w:rPr>
          <w:rFonts w:ascii="Verdana" w:hAnsi="Verdana"/>
          <w:sz w:val="20"/>
          <w:lang w:val="pt-BR"/>
        </w:rPr>
        <w:t xml:space="preserve"> na </w:t>
      </w:r>
      <w:r w:rsidR="00060B3A" w:rsidRPr="002F50BD">
        <w:rPr>
          <w:rFonts w:ascii="Verdana" w:hAnsi="Verdana"/>
          <w:i/>
          <w:sz w:val="20"/>
          <w:lang w:val="pt-BR"/>
        </w:rPr>
        <w:t>Estancia Loma Verde</w:t>
      </w:r>
      <w:r w:rsidR="004756C1" w:rsidRPr="002F50BD">
        <w:rPr>
          <w:rFonts w:ascii="Verdana" w:hAnsi="Verdana"/>
          <w:sz w:val="20"/>
          <w:lang w:val="pt-BR"/>
        </w:rPr>
        <w:t xml:space="preserve"> para que</w:t>
      </w:r>
      <w:r w:rsidR="0089298C" w:rsidRPr="002F50BD">
        <w:rPr>
          <w:rFonts w:ascii="Verdana" w:hAnsi="Verdana"/>
          <w:sz w:val="20"/>
          <w:lang w:val="pt-BR"/>
        </w:rPr>
        <w:t xml:space="preserve"> os </w:t>
      </w:r>
      <w:r w:rsidR="004756C1" w:rsidRPr="002F50BD">
        <w:rPr>
          <w:rFonts w:ascii="Verdana" w:hAnsi="Verdana"/>
          <w:sz w:val="20"/>
          <w:lang w:val="pt-BR"/>
        </w:rPr>
        <w:t xml:space="preserve">indígenas </w:t>
      </w:r>
      <w:r w:rsidR="00AB454A" w:rsidRPr="002F50BD">
        <w:rPr>
          <w:rFonts w:ascii="Verdana" w:hAnsi="Verdana"/>
          <w:sz w:val="20"/>
          <w:lang w:val="pt-BR"/>
        </w:rPr>
        <w:t>possam</w:t>
      </w:r>
      <w:r w:rsidR="004756C1" w:rsidRPr="002F50BD">
        <w:rPr>
          <w:rFonts w:ascii="Verdana" w:hAnsi="Verdana"/>
          <w:sz w:val="20"/>
          <w:lang w:val="pt-BR"/>
        </w:rPr>
        <w:t xml:space="preserve"> realizar </w:t>
      </w:r>
      <w:r w:rsidR="0089298C" w:rsidRPr="002F50BD">
        <w:rPr>
          <w:rFonts w:ascii="Verdana" w:hAnsi="Verdana"/>
          <w:sz w:val="20"/>
          <w:lang w:val="pt-BR"/>
        </w:rPr>
        <w:t>ativ</w:t>
      </w:r>
      <w:r w:rsidR="004756C1" w:rsidRPr="002F50BD">
        <w:rPr>
          <w:rFonts w:ascii="Verdana" w:hAnsi="Verdana"/>
          <w:sz w:val="20"/>
          <w:lang w:val="pt-BR"/>
        </w:rPr>
        <w:t xml:space="preserve">idades de </w:t>
      </w:r>
      <w:r w:rsidR="00974F07" w:rsidRPr="002F50BD">
        <w:rPr>
          <w:rFonts w:ascii="Verdana" w:hAnsi="Verdana"/>
          <w:sz w:val="20"/>
          <w:lang w:val="pt-BR"/>
        </w:rPr>
        <w:t xml:space="preserve">caça </w:t>
      </w:r>
      <w:r w:rsidR="0089298C" w:rsidRPr="002F50BD">
        <w:rPr>
          <w:rFonts w:ascii="Verdana" w:hAnsi="Verdana"/>
          <w:sz w:val="20"/>
          <w:lang w:val="pt-BR"/>
        </w:rPr>
        <w:t xml:space="preserve">e </w:t>
      </w:r>
      <w:r w:rsidR="004756C1" w:rsidRPr="002F50BD">
        <w:rPr>
          <w:rFonts w:ascii="Verdana" w:hAnsi="Verdana"/>
          <w:sz w:val="20"/>
          <w:lang w:val="pt-BR"/>
        </w:rPr>
        <w:t xml:space="preserve">pesca de </w:t>
      </w:r>
      <w:r w:rsidR="0089298C" w:rsidRPr="002F50BD">
        <w:rPr>
          <w:rFonts w:ascii="Verdana" w:hAnsi="Verdana"/>
          <w:sz w:val="20"/>
          <w:lang w:val="pt-BR"/>
        </w:rPr>
        <w:t>subsistência n</w:t>
      </w:r>
      <w:r w:rsidR="00974F07"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 xml:space="preserve">área </w:t>
      </w:r>
      <w:r w:rsidR="0089298C" w:rsidRPr="002F50BD">
        <w:rPr>
          <w:rFonts w:ascii="Verdana" w:hAnsi="Verdana"/>
          <w:sz w:val="20"/>
          <w:lang w:val="pt-BR"/>
        </w:rPr>
        <w:t>do estabelecimento</w:t>
      </w:r>
      <w:r w:rsidR="004756C1" w:rsidRPr="002F50BD">
        <w:rPr>
          <w:rFonts w:ascii="Verdana" w:hAnsi="Verdana"/>
          <w:sz w:val="20"/>
          <w:lang w:val="pt-BR"/>
        </w:rPr>
        <w:t xml:space="preserve"> mencionado”</w:t>
      </w:r>
      <w:r w:rsidR="00974F07" w:rsidRPr="002F50BD">
        <w:rPr>
          <w:rFonts w:ascii="Verdana" w:hAnsi="Verdana"/>
          <w:sz w:val="20"/>
          <w:lang w:val="pt-BR"/>
        </w:rPr>
        <w:t>.</w:t>
      </w:r>
      <w:r w:rsidR="004756C1" w:rsidRPr="002F50BD">
        <w:rPr>
          <w:rStyle w:val="FootnoteReference"/>
          <w:rFonts w:ascii="Verdana" w:hAnsi="Verdana"/>
          <w:lang w:val="es-ES_tradnl"/>
        </w:rPr>
        <w:footnoteReference w:id="109"/>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17</w:t>
      </w:r>
      <w:r w:rsidR="004756C1" w:rsidRPr="002F50BD">
        <w:rPr>
          <w:rFonts w:ascii="Verdana" w:hAnsi="Verdana"/>
          <w:sz w:val="20"/>
          <w:lang w:val="pt-BR"/>
        </w:rPr>
        <w:t xml:space="preserve"> de abril de </w:t>
      </w:r>
      <w:r w:rsidRPr="002F50BD">
        <w:rPr>
          <w:rFonts w:ascii="Verdana" w:hAnsi="Verdana"/>
          <w:sz w:val="20"/>
          <w:lang w:val="pt-BR"/>
        </w:rPr>
        <w:t>1997</w:t>
      </w:r>
      <w:r w:rsidR="00FD6E32" w:rsidRPr="002F50BD">
        <w:rPr>
          <w:rFonts w:ascii="Verdana" w:hAnsi="Verdana"/>
          <w:sz w:val="20"/>
          <w:lang w:val="pt-BR"/>
        </w:rPr>
        <w:t>,</w:t>
      </w:r>
      <w:r w:rsidR="0089298C" w:rsidRPr="002F50BD">
        <w:rPr>
          <w:rFonts w:ascii="Verdana" w:hAnsi="Verdana"/>
          <w:sz w:val="20"/>
          <w:lang w:val="pt-BR"/>
        </w:rPr>
        <w:t xml:space="preserve"> o </w:t>
      </w:r>
      <w:r w:rsidR="00974F07" w:rsidRPr="002F50BD">
        <w:rPr>
          <w:rFonts w:ascii="Verdana" w:hAnsi="Verdana"/>
          <w:sz w:val="20"/>
          <w:lang w:val="pt-BR"/>
        </w:rPr>
        <w:t>Juiza</w:t>
      </w:r>
      <w:r w:rsidR="004756C1" w:rsidRPr="002F50BD">
        <w:rPr>
          <w:rFonts w:ascii="Verdana" w:hAnsi="Verdana"/>
          <w:sz w:val="20"/>
          <w:lang w:val="pt-BR"/>
        </w:rPr>
        <w:t xml:space="preserve">do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 xml:space="preserve">Instância </w:t>
      </w:r>
      <w:r w:rsidR="004756C1" w:rsidRPr="002F50BD">
        <w:rPr>
          <w:rFonts w:ascii="Verdana" w:hAnsi="Verdana"/>
          <w:sz w:val="20"/>
          <w:lang w:val="pt-BR"/>
        </w:rPr>
        <w:t>Civil</w:t>
      </w:r>
      <w:r w:rsidR="0089298C" w:rsidRPr="002F50BD">
        <w:rPr>
          <w:rFonts w:ascii="Verdana" w:hAnsi="Verdana"/>
          <w:sz w:val="20"/>
          <w:lang w:val="pt-BR"/>
        </w:rPr>
        <w:t xml:space="preserve"> e </w:t>
      </w:r>
      <w:r w:rsidR="004756C1" w:rsidRPr="002F50BD">
        <w:rPr>
          <w:rFonts w:ascii="Verdana" w:hAnsi="Verdana"/>
          <w:sz w:val="20"/>
          <w:lang w:val="pt-BR"/>
        </w:rPr>
        <w:t>Comercial</w:t>
      </w:r>
      <w:r w:rsidR="00974F07" w:rsidRPr="002F50BD">
        <w:rPr>
          <w:rFonts w:ascii="Verdana" w:hAnsi="Verdana"/>
          <w:sz w:val="20"/>
          <w:lang w:val="pt-BR"/>
        </w:rPr>
        <w:t>,</w:t>
      </w:r>
      <w:r w:rsidR="004756C1" w:rsidRPr="002F50BD">
        <w:rPr>
          <w:rFonts w:ascii="Verdana" w:hAnsi="Verdana"/>
          <w:sz w:val="20"/>
          <w:lang w:val="pt-BR"/>
        </w:rPr>
        <w:t xml:space="preserve"> Décim</w:t>
      </w:r>
      <w:r w:rsidR="006D28A8" w:rsidRPr="002F50BD">
        <w:rPr>
          <w:rFonts w:ascii="Verdana" w:hAnsi="Verdana"/>
          <w:sz w:val="20"/>
          <w:lang w:val="pt-BR"/>
        </w:rPr>
        <w:t>o Turno</w:t>
      </w:r>
      <w:r w:rsidR="00974F07" w:rsidRPr="002F50BD">
        <w:rPr>
          <w:rFonts w:ascii="Verdana" w:hAnsi="Verdana"/>
          <w:sz w:val="20"/>
          <w:lang w:val="pt-BR"/>
        </w:rPr>
        <w:t xml:space="preserve">, </w:t>
      </w:r>
      <w:r w:rsidR="0089298C" w:rsidRPr="002F50BD">
        <w:rPr>
          <w:rFonts w:ascii="Verdana" w:hAnsi="Verdana"/>
          <w:sz w:val="20"/>
          <w:lang w:val="pt-BR"/>
        </w:rPr>
        <w:t>Secretaria</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19</w:t>
      </w:r>
      <w:r w:rsidR="00974F07"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resolveu</w:t>
      </w:r>
      <w:r w:rsidR="004756C1" w:rsidRPr="002F50BD">
        <w:rPr>
          <w:rFonts w:ascii="Verdana" w:hAnsi="Verdana"/>
          <w:sz w:val="20"/>
          <w:lang w:val="pt-BR"/>
        </w:rPr>
        <w:t xml:space="preserve"> “</w:t>
      </w:r>
      <w:r w:rsidR="006D28A8" w:rsidRPr="002F50BD">
        <w:rPr>
          <w:rFonts w:ascii="Verdana" w:hAnsi="Verdana"/>
          <w:sz w:val="20"/>
          <w:lang w:val="pt-BR"/>
        </w:rPr>
        <w:t>DECLARAR IMPROCEDENTE O AMPARO</w:t>
      </w:r>
      <w:r w:rsidR="004756C1" w:rsidRPr="002F50BD">
        <w:rPr>
          <w:rFonts w:ascii="Verdana" w:hAnsi="Verdana"/>
          <w:sz w:val="20"/>
          <w:lang w:val="pt-BR"/>
        </w:rPr>
        <w:t xml:space="preserve">” </w:t>
      </w:r>
      <w:r w:rsidR="00CF451D" w:rsidRPr="00CF451D">
        <w:rPr>
          <w:rFonts w:ascii="Verdana" w:hAnsi="Verdana"/>
          <w:sz w:val="20"/>
          <w:lang w:val="pt-BR"/>
        </w:rPr>
        <w:t>(</w:t>
      </w:r>
      <w:r w:rsidR="004076AD" w:rsidRPr="002F50BD">
        <w:rPr>
          <w:rFonts w:ascii="Verdana" w:hAnsi="Verdana"/>
          <w:sz w:val="20"/>
          <w:lang w:val="pt-BR"/>
        </w:rPr>
        <w:t>ressaltad</w:t>
      </w:r>
      <w:r w:rsidR="004756C1" w:rsidRPr="002F50BD">
        <w:rPr>
          <w:rFonts w:ascii="Verdana" w:hAnsi="Verdana"/>
          <w:sz w:val="20"/>
          <w:lang w:val="pt-BR"/>
        </w:rPr>
        <w:t xml:space="preserve">o </w:t>
      </w:r>
      <w:r w:rsidR="006D28A8"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original</w:t>
      </w:r>
      <w:r w:rsidR="00CF451D" w:rsidRPr="00CF451D">
        <w:rPr>
          <w:rFonts w:ascii="Verdana" w:hAnsi="Verdana"/>
          <w:sz w:val="20"/>
          <w:lang w:val="pt-BR"/>
        </w:rPr>
        <w:t>)</w:t>
      </w:r>
      <w:r w:rsidR="00D95E71" w:rsidRPr="002F50BD">
        <w:rPr>
          <w:rFonts w:ascii="Verdana" w:hAnsi="Verdana"/>
          <w:sz w:val="20"/>
          <w:lang w:val="pt-BR"/>
        </w:rPr>
        <w:t xml:space="preserve">. O </w:t>
      </w:r>
      <w:r w:rsidR="004756C1" w:rsidRPr="002F50BD">
        <w:rPr>
          <w:rFonts w:ascii="Verdana" w:hAnsi="Verdana"/>
          <w:sz w:val="20"/>
          <w:lang w:val="pt-BR"/>
        </w:rPr>
        <w:t>Ju</w:t>
      </w:r>
      <w:r w:rsidR="00974F07" w:rsidRPr="002F50BD">
        <w:rPr>
          <w:rFonts w:ascii="Verdana" w:hAnsi="Verdana"/>
          <w:sz w:val="20"/>
          <w:lang w:val="pt-BR"/>
        </w:rPr>
        <w:t>i</w:t>
      </w:r>
      <w:r w:rsidR="006D28A8" w:rsidRPr="002F50BD">
        <w:rPr>
          <w:rFonts w:ascii="Verdana" w:hAnsi="Verdana"/>
          <w:sz w:val="20"/>
          <w:lang w:val="pt-BR"/>
        </w:rPr>
        <w:t xml:space="preserve">z </w:t>
      </w:r>
      <w:r w:rsidR="0089298C" w:rsidRPr="002F50BD">
        <w:rPr>
          <w:rFonts w:ascii="Verdana" w:hAnsi="Verdana"/>
          <w:sz w:val="20"/>
          <w:lang w:val="pt-BR"/>
        </w:rPr>
        <w:t>considerou</w:t>
      </w:r>
      <w:r w:rsidR="004756C1" w:rsidRPr="002F50BD">
        <w:rPr>
          <w:rFonts w:ascii="Verdana" w:hAnsi="Verdana"/>
          <w:sz w:val="20"/>
          <w:lang w:val="pt-BR"/>
        </w:rPr>
        <w:t xml:space="preserve"> que</w:t>
      </w:r>
      <w:r w:rsidR="0089298C" w:rsidRPr="002F50BD">
        <w:rPr>
          <w:rFonts w:ascii="Verdana" w:hAnsi="Verdana"/>
          <w:sz w:val="20"/>
          <w:lang w:val="pt-BR"/>
        </w:rPr>
        <w:t xml:space="preserve"> a </w:t>
      </w:r>
      <w:r w:rsidR="004756C1" w:rsidRPr="002F50BD">
        <w:rPr>
          <w:rFonts w:ascii="Verdana" w:hAnsi="Verdana"/>
          <w:sz w:val="20"/>
          <w:lang w:val="pt-BR"/>
        </w:rPr>
        <w:t xml:space="preserve">demanda </w:t>
      </w:r>
      <w:r w:rsidR="0089298C" w:rsidRPr="002F50BD">
        <w:rPr>
          <w:rFonts w:ascii="Verdana" w:hAnsi="Verdana"/>
          <w:sz w:val="20"/>
          <w:lang w:val="pt-BR"/>
        </w:rPr>
        <w:t xml:space="preserve">devia </w:t>
      </w:r>
      <w:r w:rsidR="004756C1" w:rsidRPr="002F50BD">
        <w:rPr>
          <w:rFonts w:ascii="Verdana" w:hAnsi="Verdana"/>
          <w:sz w:val="20"/>
          <w:lang w:val="pt-BR"/>
        </w:rPr>
        <w:t xml:space="preserve">ser </w:t>
      </w:r>
      <w:r w:rsidR="00974F07" w:rsidRPr="002F50BD">
        <w:rPr>
          <w:rFonts w:ascii="Verdana" w:hAnsi="Verdana"/>
          <w:sz w:val="20"/>
          <w:lang w:val="pt-BR"/>
        </w:rPr>
        <w:t xml:space="preserve">rejeitada </w:t>
      </w:r>
      <w:r w:rsidR="004756C1" w:rsidRPr="002F50BD">
        <w:rPr>
          <w:rFonts w:ascii="Verdana" w:hAnsi="Verdana"/>
          <w:sz w:val="20"/>
          <w:lang w:val="pt-BR"/>
        </w:rPr>
        <w:t xml:space="preserve">“por </w:t>
      </w:r>
      <w:r w:rsidR="00974F07" w:rsidRPr="002F50BD">
        <w:rPr>
          <w:rFonts w:ascii="Verdana" w:hAnsi="Verdana"/>
          <w:sz w:val="20"/>
          <w:lang w:val="pt-BR"/>
        </w:rPr>
        <w:t xml:space="preserve">haver </w:t>
      </w:r>
      <w:r w:rsidR="00A17F53" w:rsidRPr="002F50BD">
        <w:rPr>
          <w:rFonts w:ascii="Verdana" w:hAnsi="Verdana"/>
          <w:sz w:val="20"/>
          <w:lang w:val="pt-BR"/>
        </w:rPr>
        <w:t xml:space="preserve">expirado </w:t>
      </w:r>
      <w:r w:rsidR="0089298C" w:rsidRPr="002F50BD">
        <w:rPr>
          <w:rFonts w:ascii="Verdana" w:hAnsi="Verdana"/>
          <w:sz w:val="20"/>
          <w:lang w:val="pt-BR"/>
        </w:rPr>
        <w:t>o prazo</w:t>
      </w:r>
      <w:r w:rsidR="004756C1" w:rsidRPr="002F50BD">
        <w:rPr>
          <w:rFonts w:ascii="Verdana" w:hAnsi="Verdana"/>
          <w:sz w:val="20"/>
          <w:lang w:val="pt-BR"/>
        </w:rPr>
        <w:t xml:space="preserve"> que </w:t>
      </w:r>
      <w:r w:rsidR="0089298C" w:rsidRPr="002F50BD">
        <w:rPr>
          <w:rFonts w:ascii="Verdana" w:hAnsi="Verdana"/>
          <w:sz w:val="20"/>
          <w:lang w:val="pt-BR"/>
        </w:rPr>
        <w:t>tinham</w:t>
      </w:r>
      <w:r w:rsidR="00974F07" w:rsidRPr="002F50BD">
        <w:rPr>
          <w:rFonts w:ascii="Verdana" w:hAnsi="Verdana"/>
          <w:sz w:val="20"/>
          <w:lang w:val="pt-BR"/>
        </w:rPr>
        <w:t xml:space="preserve"> para promovê-</w:t>
      </w:r>
      <w:r w:rsidR="004756C1" w:rsidRPr="002F50BD">
        <w:rPr>
          <w:rFonts w:ascii="Verdana" w:hAnsi="Verdana"/>
          <w:sz w:val="20"/>
          <w:lang w:val="pt-BR"/>
        </w:rPr>
        <w:t>la”</w:t>
      </w:r>
      <w:r w:rsidR="00974F07" w:rsidRPr="002F50BD">
        <w:rPr>
          <w:rFonts w:ascii="Verdana" w:hAnsi="Verdana"/>
          <w:sz w:val="20"/>
          <w:lang w:val="pt-BR"/>
        </w:rPr>
        <w:t>.</w:t>
      </w:r>
      <w:r w:rsidR="004756C1" w:rsidRPr="002F50BD">
        <w:rPr>
          <w:rStyle w:val="FootnoteReference"/>
          <w:rFonts w:ascii="Verdana" w:hAnsi="Verdana"/>
          <w:lang w:val="es-ES_tradnl"/>
        </w:rPr>
        <w:footnoteReference w:id="110"/>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64</w:t>
      </w:r>
      <w:r w:rsidR="004756C1" w:rsidRPr="002F50BD">
        <w:rPr>
          <w:rFonts w:ascii="Verdana" w:hAnsi="Verdana"/>
          <w:sz w:val="20"/>
          <w:lang w:val="pt-BR"/>
        </w:rPr>
        <w:t>.</w:t>
      </w:r>
      <w:r w:rsidR="004756C1" w:rsidRPr="002F50BD">
        <w:rPr>
          <w:rFonts w:ascii="Verdana" w:hAnsi="Verdana"/>
          <w:sz w:val="20"/>
          <w:lang w:val="pt-BR"/>
        </w:rPr>
        <w:tab/>
        <w:t xml:space="preserve">Esta </w:t>
      </w:r>
      <w:r w:rsidR="0089298C" w:rsidRPr="002F50BD">
        <w:rPr>
          <w:rFonts w:ascii="Verdana" w:hAnsi="Verdana"/>
          <w:sz w:val="20"/>
          <w:lang w:val="pt-BR"/>
        </w:rPr>
        <w:t xml:space="preserve">decisão foi </w:t>
      </w:r>
      <w:r w:rsidR="004756C1" w:rsidRPr="002F50BD">
        <w:rPr>
          <w:rFonts w:ascii="Verdana" w:hAnsi="Verdana"/>
          <w:sz w:val="20"/>
          <w:lang w:val="pt-BR"/>
        </w:rPr>
        <w:t>confirmada</w:t>
      </w:r>
      <w:r w:rsidR="0089298C" w:rsidRPr="002F50BD">
        <w:rPr>
          <w:rFonts w:ascii="Verdana" w:hAnsi="Verdana"/>
          <w:sz w:val="20"/>
          <w:lang w:val="pt-BR"/>
        </w:rPr>
        <w:t xml:space="preserve"> em </w:t>
      </w:r>
      <w:r w:rsidRPr="002F50BD">
        <w:rPr>
          <w:rFonts w:ascii="Verdana" w:hAnsi="Verdana"/>
          <w:sz w:val="20"/>
          <w:lang w:val="pt-BR"/>
        </w:rPr>
        <w:t>28</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1997</w:t>
      </w:r>
      <w:r w:rsidR="0089298C" w:rsidRPr="002F50BD">
        <w:rPr>
          <w:rFonts w:ascii="Verdana" w:hAnsi="Verdana"/>
          <w:sz w:val="20"/>
          <w:lang w:val="pt-BR"/>
        </w:rPr>
        <w:t xml:space="preserve"> pel</w:t>
      </w:r>
      <w:r w:rsidR="00974F07" w:rsidRPr="002F50BD">
        <w:rPr>
          <w:rFonts w:ascii="Verdana" w:hAnsi="Verdana"/>
          <w:sz w:val="20"/>
          <w:lang w:val="pt-BR"/>
        </w:rPr>
        <w:t>a Quinta Sala d</w:t>
      </w:r>
      <w:r w:rsidR="0089298C" w:rsidRPr="002F50BD">
        <w:rPr>
          <w:rFonts w:ascii="Verdana" w:hAnsi="Verdana"/>
          <w:sz w:val="20"/>
          <w:lang w:val="pt-BR"/>
        </w:rPr>
        <w:t xml:space="preserve">o </w:t>
      </w:r>
      <w:r w:rsidR="004756C1" w:rsidRPr="002F50BD">
        <w:rPr>
          <w:rFonts w:ascii="Verdana" w:hAnsi="Verdana"/>
          <w:sz w:val="20"/>
          <w:lang w:val="pt-BR"/>
        </w:rPr>
        <w:t>Tribunal de Apela</w:t>
      </w:r>
      <w:r w:rsidR="0089298C" w:rsidRPr="002F50BD">
        <w:rPr>
          <w:rFonts w:ascii="Verdana" w:hAnsi="Verdana"/>
          <w:sz w:val="20"/>
          <w:lang w:val="pt-BR"/>
        </w:rPr>
        <w:t xml:space="preserve">ção </w:t>
      </w:r>
      <w:r w:rsidR="004756C1" w:rsidRPr="002F50BD">
        <w:rPr>
          <w:rFonts w:ascii="Verdana" w:hAnsi="Verdana"/>
          <w:sz w:val="20"/>
          <w:lang w:val="pt-BR"/>
        </w:rPr>
        <w:t>Civil</w:t>
      </w:r>
      <w:r w:rsidR="0089298C" w:rsidRPr="002F50BD">
        <w:rPr>
          <w:rFonts w:ascii="Verdana" w:hAnsi="Verdana"/>
          <w:sz w:val="20"/>
          <w:lang w:val="pt-BR"/>
        </w:rPr>
        <w:t xml:space="preserve"> e </w:t>
      </w:r>
      <w:r w:rsidR="004756C1" w:rsidRPr="002F50BD">
        <w:rPr>
          <w:rFonts w:ascii="Verdana" w:hAnsi="Verdana"/>
          <w:sz w:val="20"/>
          <w:lang w:val="pt-BR"/>
        </w:rPr>
        <w:t>Comercial</w:t>
      </w:r>
      <w:r w:rsidR="00974F07" w:rsidRPr="002F50BD">
        <w:rPr>
          <w:rFonts w:ascii="Verdana" w:hAnsi="Verdana"/>
          <w:sz w:val="20"/>
          <w:lang w:val="pt-BR"/>
        </w:rPr>
        <w:t>;</w:t>
      </w:r>
      <w:r w:rsidR="004756C1" w:rsidRPr="002F50BD">
        <w:rPr>
          <w:rStyle w:val="FootnoteReference"/>
          <w:rFonts w:ascii="Verdana" w:hAnsi="Verdana"/>
          <w:lang w:val="es-ES_tradnl"/>
        </w:rPr>
        <w:footnoteReference w:id="111"/>
      </w:r>
      <w:r w:rsidR="0089298C" w:rsidRPr="002F50BD">
        <w:rPr>
          <w:rFonts w:ascii="Verdana" w:hAnsi="Verdana"/>
          <w:sz w:val="20"/>
          <w:lang w:val="pt-BR"/>
        </w:rPr>
        <w:t xml:space="preserve"> e</w:t>
      </w:r>
      <w:r w:rsidR="00A17F53"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1</w:t>
      </w:r>
      <w:r w:rsidR="0089298C" w:rsidRPr="002F50BD">
        <w:rPr>
          <w:rFonts w:ascii="Verdana" w:hAnsi="Verdana"/>
          <w:sz w:val="20"/>
          <w:lang w:val="pt-BR"/>
        </w:rPr>
        <w:t xml:space="preserve"> </w:t>
      </w:r>
      <w:r w:rsidR="004756C1" w:rsidRPr="002F50BD">
        <w:rPr>
          <w:rFonts w:ascii="Verdana" w:hAnsi="Verdana"/>
          <w:sz w:val="20"/>
          <w:lang w:val="pt-BR"/>
        </w:rPr>
        <w:t xml:space="preserve">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1999</w:t>
      </w:r>
      <w:r w:rsidR="00A17F53" w:rsidRPr="002F50BD">
        <w:rPr>
          <w:rFonts w:ascii="Verdana" w:hAnsi="Verdana"/>
          <w:sz w:val="20"/>
          <w:lang w:val="pt-BR"/>
        </w:rPr>
        <w:t>,</w:t>
      </w:r>
      <w:r w:rsidR="0089298C" w:rsidRPr="002F50BD">
        <w:rPr>
          <w:rFonts w:ascii="Verdana" w:hAnsi="Verdana"/>
          <w:sz w:val="20"/>
          <w:lang w:val="pt-BR"/>
        </w:rPr>
        <w:t xml:space="preserve"> pela </w:t>
      </w:r>
      <w:r w:rsidR="004756C1" w:rsidRPr="002F50BD">
        <w:rPr>
          <w:rFonts w:ascii="Verdana" w:hAnsi="Verdana"/>
          <w:sz w:val="20"/>
          <w:lang w:val="pt-BR"/>
        </w:rPr>
        <w:t>Sala Constitucional</w:t>
      </w:r>
      <w:r w:rsidR="0089298C" w:rsidRPr="002F50BD">
        <w:rPr>
          <w:rFonts w:ascii="Verdana" w:hAnsi="Verdana"/>
          <w:sz w:val="20"/>
          <w:lang w:val="pt-BR"/>
        </w:rPr>
        <w:t xml:space="preserve"> da </w:t>
      </w:r>
      <w:r w:rsidR="004756C1" w:rsidRPr="002F50BD">
        <w:rPr>
          <w:rFonts w:ascii="Verdana" w:hAnsi="Verdana"/>
          <w:sz w:val="20"/>
          <w:lang w:val="pt-BR"/>
        </w:rPr>
        <w:t xml:space="preserve">Corte Suprema de </w:t>
      </w:r>
      <w:r w:rsidR="0089298C" w:rsidRPr="002F50BD">
        <w:rPr>
          <w:rFonts w:ascii="Verdana" w:hAnsi="Verdana"/>
          <w:sz w:val="20"/>
          <w:lang w:val="pt-BR"/>
        </w:rPr>
        <w:t>Justiça</w:t>
      </w:r>
      <w:r w:rsidR="004756C1" w:rsidRPr="002F50BD">
        <w:rPr>
          <w:rFonts w:ascii="Verdana" w:hAnsi="Verdana"/>
          <w:sz w:val="20"/>
          <w:lang w:val="pt-BR"/>
        </w:rPr>
        <w:t xml:space="preserve"> </w:t>
      </w:r>
      <w:r w:rsidR="0089298C" w:rsidRPr="002F50BD">
        <w:rPr>
          <w:rFonts w:ascii="Verdana" w:hAnsi="Verdana"/>
          <w:sz w:val="20"/>
          <w:lang w:val="pt-BR"/>
        </w:rPr>
        <w:t>do Paraguai</w:t>
      </w:r>
      <w:r w:rsidR="00974F07" w:rsidRPr="002F50BD">
        <w:rPr>
          <w:rFonts w:ascii="Verdana" w:hAnsi="Verdana"/>
          <w:sz w:val="20"/>
          <w:lang w:val="pt-BR"/>
        </w:rPr>
        <w:t>.</w:t>
      </w:r>
      <w:r w:rsidR="004756C1" w:rsidRPr="002F50BD">
        <w:rPr>
          <w:rStyle w:val="FootnoteReference"/>
          <w:rFonts w:ascii="Verdana" w:hAnsi="Verdana"/>
          <w:lang w:val="es-ES_tradnl"/>
        </w:rPr>
        <w:footnoteReference w:id="112"/>
      </w:r>
      <w:r w:rsidR="00FE08B7">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756C1">
      <w:pPr>
        <w:pStyle w:val="BodyText"/>
        <w:ind w:left="720" w:firstLine="720"/>
        <w:rPr>
          <w:rFonts w:ascii="Verdana" w:hAnsi="Verdana"/>
          <w:sz w:val="20"/>
          <w:u w:val="single"/>
          <w:lang w:val="pt-BR"/>
        </w:rPr>
      </w:pPr>
      <w:r w:rsidRPr="002F50BD">
        <w:rPr>
          <w:rFonts w:ascii="Verdana" w:hAnsi="Verdana"/>
          <w:sz w:val="20"/>
          <w:u w:val="single"/>
          <w:lang w:val="pt-BR"/>
        </w:rPr>
        <w:t>Medidas cautelares de n</w:t>
      </w:r>
      <w:r w:rsidR="00974F07" w:rsidRPr="002F50BD">
        <w:rPr>
          <w:rFonts w:ascii="Verdana" w:hAnsi="Verdana"/>
          <w:sz w:val="20"/>
          <w:u w:val="single"/>
          <w:lang w:val="pt-BR"/>
        </w:rPr>
        <w:t>ã</w:t>
      </w:r>
      <w:r w:rsidRPr="002F50BD">
        <w:rPr>
          <w:rFonts w:ascii="Verdana" w:hAnsi="Verdana"/>
          <w:sz w:val="20"/>
          <w:u w:val="single"/>
          <w:lang w:val="pt-BR"/>
        </w:rPr>
        <w:t>o inova</w:t>
      </w:r>
      <w:r w:rsidR="00974F07" w:rsidRPr="002F50BD">
        <w:rPr>
          <w:rFonts w:ascii="Verdana" w:hAnsi="Verdana"/>
          <w:sz w:val="20"/>
          <w:u w:val="single"/>
          <w:lang w:val="pt-BR"/>
        </w:rPr>
        <w:t>ção</w:t>
      </w:r>
      <w:r w:rsidR="0089298C" w:rsidRPr="002F50BD">
        <w:rPr>
          <w:rFonts w:ascii="Verdana" w:hAnsi="Verdana"/>
          <w:sz w:val="20"/>
          <w:u w:val="single"/>
          <w:lang w:val="pt-BR"/>
        </w:rPr>
        <w:t xml:space="preserve"> e </w:t>
      </w:r>
      <w:r w:rsidR="00974F07" w:rsidRPr="002F50BD">
        <w:rPr>
          <w:rFonts w:ascii="Verdana" w:hAnsi="Verdana"/>
          <w:sz w:val="20"/>
          <w:u w:val="single"/>
          <w:lang w:val="pt-BR"/>
        </w:rPr>
        <w:t xml:space="preserve">de registro da </w:t>
      </w:r>
      <w:r w:rsidR="001B7C98" w:rsidRPr="002F50BD">
        <w:rPr>
          <w:rFonts w:ascii="Verdana" w:hAnsi="Verdana"/>
          <w:sz w:val="20"/>
          <w:u w:val="single"/>
          <w:lang w:val="pt-BR"/>
        </w:rPr>
        <w:t>lide</w:t>
      </w:r>
    </w:p>
    <w:p w:rsidR="004756C1" w:rsidRPr="002F50BD" w:rsidRDefault="004756C1">
      <w:pPr>
        <w:pStyle w:val="BodyText"/>
        <w:rPr>
          <w:rFonts w:ascii="Verdana" w:hAnsi="Verdana"/>
          <w:b/>
          <w:sz w:val="20"/>
          <w:lang w:val="pt-BR"/>
        </w:rPr>
      </w:pPr>
    </w:p>
    <w:p w:rsidR="004756C1" w:rsidRPr="002F50BD" w:rsidRDefault="004756C1">
      <w:pPr>
        <w:pStyle w:val="BodyText"/>
        <w:numPr>
          <w:ilvl w:val="0"/>
          <w:numId w:val="35"/>
        </w:numPr>
        <w:rPr>
          <w:rFonts w:ascii="Verdana" w:hAnsi="Verdana"/>
          <w:sz w:val="20"/>
          <w:lang w:val="pt-BR"/>
        </w:rPr>
      </w:pPr>
      <w:r w:rsidRPr="002F50BD">
        <w:rPr>
          <w:rFonts w:ascii="Verdana" w:hAnsi="Verdana"/>
          <w:sz w:val="20"/>
          <w:lang w:val="pt-BR"/>
        </w:rPr>
        <w:t>Promovidas</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advogad</w:t>
      </w:r>
      <w:r w:rsidRPr="002F50BD">
        <w:rPr>
          <w:rFonts w:ascii="Verdana" w:hAnsi="Verdana"/>
          <w:sz w:val="20"/>
          <w:lang w:val="pt-BR"/>
        </w:rPr>
        <w:t>os</w:t>
      </w:r>
      <w:r w:rsidR="0089298C" w:rsidRPr="002F50BD">
        <w:rPr>
          <w:rFonts w:ascii="Verdana" w:hAnsi="Verdana"/>
          <w:sz w:val="20"/>
          <w:lang w:val="pt-BR"/>
        </w:rPr>
        <w:t xml:space="preserve"> da Comunidade </w:t>
      </w:r>
      <w:r w:rsidRPr="002F50BD">
        <w:rPr>
          <w:rFonts w:ascii="Verdana" w:hAnsi="Verdana"/>
          <w:sz w:val="20"/>
          <w:lang w:val="pt-BR"/>
        </w:rPr>
        <w:t>Yakye Axa</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13</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Pr="002F50BD">
        <w:rPr>
          <w:rFonts w:ascii="Verdana" w:hAnsi="Verdana"/>
          <w:sz w:val="20"/>
          <w:lang w:val="pt-BR"/>
        </w:rPr>
        <w:t>1997</w:t>
      </w:r>
      <w:r w:rsidR="006D28A8" w:rsidRPr="002F50BD">
        <w:rPr>
          <w:rFonts w:ascii="Verdana" w:hAnsi="Verdana"/>
          <w:sz w:val="20"/>
          <w:lang w:val="pt-BR"/>
        </w:rPr>
        <w:t>,</w:t>
      </w:r>
      <w:r w:rsidR="0089298C" w:rsidRPr="002F50BD">
        <w:rPr>
          <w:rFonts w:ascii="Verdana" w:hAnsi="Verdana"/>
          <w:sz w:val="20"/>
          <w:lang w:val="pt-BR"/>
        </w:rPr>
        <w:t xml:space="preserve"> o advogad</w:t>
      </w:r>
      <w:r w:rsidR="004756C1" w:rsidRPr="002F50BD">
        <w:rPr>
          <w:rFonts w:ascii="Verdana" w:hAnsi="Verdana"/>
          <w:sz w:val="20"/>
          <w:lang w:val="pt-BR"/>
        </w:rPr>
        <w:t>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solicitou</w:t>
      </w:r>
      <w:r w:rsidR="004756C1" w:rsidRPr="002F50BD">
        <w:rPr>
          <w:rFonts w:ascii="Verdana" w:hAnsi="Verdana"/>
          <w:sz w:val="20"/>
          <w:lang w:val="pt-BR"/>
        </w:rPr>
        <w:t>,</w:t>
      </w:r>
      <w:r w:rsidR="0089298C" w:rsidRPr="002F50BD">
        <w:rPr>
          <w:rFonts w:ascii="Verdana" w:hAnsi="Verdana"/>
          <w:sz w:val="20"/>
          <w:lang w:val="pt-BR"/>
        </w:rPr>
        <w:t xml:space="preserve"> com </w:t>
      </w:r>
      <w:r w:rsidR="004756C1" w:rsidRPr="002F50BD">
        <w:rPr>
          <w:rFonts w:ascii="Verdana" w:hAnsi="Verdana"/>
          <w:sz w:val="20"/>
          <w:lang w:val="pt-BR"/>
        </w:rPr>
        <w:t>base</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2</w:t>
      </w:r>
      <w:r w:rsidR="0089298C" w:rsidRPr="002F50BD">
        <w:rPr>
          <w:rFonts w:ascii="Verdana" w:hAnsi="Verdana"/>
          <w:sz w:val="20"/>
          <w:lang w:val="pt-BR"/>
        </w:rPr>
        <w:t xml:space="preserve"> da 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43</w:t>
      </w:r>
      <w:r w:rsidR="004756C1" w:rsidRPr="002F50BD">
        <w:rPr>
          <w:rFonts w:ascii="Verdana" w:hAnsi="Verdana"/>
          <w:sz w:val="20"/>
          <w:lang w:val="pt-BR"/>
        </w:rPr>
        <w:t>/</w:t>
      </w:r>
      <w:r w:rsidRPr="002F50BD">
        <w:rPr>
          <w:rFonts w:ascii="Verdana" w:hAnsi="Verdana"/>
          <w:sz w:val="20"/>
          <w:lang w:val="pt-BR"/>
        </w:rPr>
        <w:t>89</w:t>
      </w:r>
      <w:r w:rsidR="004756C1" w:rsidRPr="002F50BD">
        <w:rPr>
          <w:rFonts w:ascii="Verdana" w:hAnsi="Verdana"/>
          <w:sz w:val="20"/>
          <w:lang w:val="pt-BR"/>
        </w:rPr>
        <w:t xml:space="preserve"> sobre</w:t>
      </w:r>
      <w:r w:rsidR="0089298C" w:rsidRPr="002F50BD">
        <w:rPr>
          <w:rFonts w:ascii="Verdana" w:hAnsi="Verdana"/>
          <w:sz w:val="20"/>
          <w:lang w:val="pt-BR"/>
        </w:rPr>
        <w:t xml:space="preserve"> o Regime</w:t>
      </w:r>
      <w:r w:rsidR="004756C1" w:rsidRPr="002F50BD">
        <w:rPr>
          <w:rFonts w:ascii="Verdana" w:hAnsi="Verdana"/>
          <w:sz w:val="20"/>
          <w:lang w:val="pt-BR"/>
        </w:rPr>
        <w:t xml:space="preserve"> de As</w:t>
      </w:r>
      <w:r w:rsidR="00974F07" w:rsidRPr="002F50BD">
        <w:rPr>
          <w:rFonts w:ascii="Verdana" w:hAnsi="Verdana"/>
          <w:sz w:val="20"/>
          <w:lang w:val="pt-BR"/>
        </w:rPr>
        <w:t>s</w:t>
      </w:r>
      <w:r w:rsidR="004756C1" w:rsidRPr="002F50BD">
        <w:rPr>
          <w:rFonts w:ascii="Verdana" w:hAnsi="Verdana"/>
          <w:sz w:val="20"/>
          <w:lang w:val="pt-BR"/>
        </w:rPr>
        <w:t xml:space="preserve">entamentos de Indígenas </w:t>
      </w:r>
      <w:r w:rsidR="00CF451D" w:rsidRPr="00CF451D">
        <w:rPr>
          <w:rFonts w:ascii="Verdana" w:hAnsi="Verdana"/>
          <w:sz w:val="20"/>
          <w:lang w:val="pt-BR"/>
        </w:rPr>
        <w:t>(</w:t>
      </w:r>
      <w:r w:rsidR="0089298C" w:rsidRPr="002F50BD">
        <w:rPr>
          <w:rFonts w:ascii="Verdana" w:hAnsi="Verdana"/>
          <w:sz w:val="20"/>
          <w:lang w:val="pt-BR"/>
        </w:rPr>
        <w:t>doravante</w:t>
      </w:r>
      <w:r w:rsidR="004756C1" w:rsidRPr="002F50BD">
        <w:rPr>
          <w:rFonts w:ascii="Verdana" w:hAnsi="Verdana"/>
          <w:sz w:val="20"/>
          <w:lang w:val="pt-BR"/>
        </w:rPr>
        <w:t xml:space="preserve"> </w:t>
      </w:r>
      <w:r w:rsidR="00974F07" w:rsidRPr="002F50BD">
        <w:rPr>
          <w:rFonts w:ascii="Verdana" w:hAnsi="Verdana"/>
          <w:sz w:val="20"/>
          <w:lang w:val="pt-BR"/>
        </w:rPr>
        <w:t xml:space="preserve">denominada </w:t>
      </w:r>
      <w:r w:rsidR="004756C1" w:rsidRPr="002F50BD">
        <w:rPr>
          <w:rFonts w:ascii="Verdana" w:hAnsi="Verdana"/>
          <w:sz w:val="20"/>
          <w:lang w:val="pt-BR"/>
        </w:rPr>
        <w:t>“</w:t>
      </w:r>
      <w:r w:rsidR="0089298C" w:rsidRPr="002F50BD">
        <w:rPr>
          <w:rFonts w:ascii="Verdana" w:hAnsi="Verdana"/>
          <w:sz w:val="20"/>
          <w:lang w:val="pt-BR"/>
        </w:rPr>
        <w:t>Lei</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43</w:t>
      </w:r>
      <w:r w:rsidR="004756C1" w:rsidRPr="002F50BD">
        <w:rPr>
          <w:rFonts w:ascii="Verdana" w:hAnsi="Verdana"/>
          <w:sz w:val="20"/>
          <w:lang w:val="pt-BR"/>
        </w:rPr>
        <w:t>/</w:t>
      </w:r>
      <w:r w:rsidRPr="002F50BD">
        <w:rPr>
          <w:rFonts w:ascii="Verdana" w:hAnsi="Verdana"/>
          <w:sz w:val="20"/>
          <w:lang w:val="pt-BR"/>
        </w:rPr>
        <w:t>89</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adoção</w:t>
      </w:r>
      <w:r w:rsidR="004756C1" w:rsidRPr="002F50BD">
        <w:rPr>
          <w:rFonts w:ascii="Verdana" w:hAnsi="Verdana"/>
          <w:sz w:val="20"/>
          <w:lang w:val="pt-BR"/>
        </w:rPr>
        <w:t xml:space="preserve"> de medida de n</w:t>
      </w:r>
      <w:r w:rsidR="00974F07" w:rsidRPr="002F50BD">
        <w:rPr>
          <w:rFonts w:ascii="Verdana" w:hAnsi="Verdana"/>
          <w:sz w:val="20"/>
          <w:lang w:val="pt-BR"/>
        </w:rPr>
        <w:t>ã</w:t>
      </w:r>
      <w:r w:rsidR="004756C1" w:rsidRPr="002F50BD">
        <w:rPr>
          <w:rFonts w:ascii="Verdana" w:hAnsi="Verdana"/>
          <w:sz w:val="20"/>
          <w:lang w:val="pt-BR"/>
        </w:rPr>
        <w:t>o inova</w:t>
      </w:r>
      <w:r w:rsidR="00974F07" w:rsidRPr="002F50BD">
        <w:rPr>
          <w:rFonts w:ascii="Verdana" w:hAnsi="Verdana"/>
          <w:sz w:val="20"/>
          <w:lang w:val="pt-BR"/>
        </w:rPr>
        <w:t xml:space="preserve">ção e de registro </w:t>
      </w:r>
      <w:r w:rsidR="004756C1" w:rsidRPr="002F50BD">
        <w:rPr>
          <w:rFonts w:ascii="Verdana" w:hAnsi="Verdana"/>
          <w:sz w:val="20"/>
          <w:lang w:val="pt-BR"/>
        </w:rPr>
        <w:t>d</w:t>
      </w:r>
      <w:r w:rsidR="00974F07" w:rsidRPr="002F50BD">
        <w:rPr>
          <w:rFonts w:ascii="Verdana" w:hAnsi="Verdana"/>
          <w:sz w:val="20"/>
          <w:lang w:val="pt-BR"/>
        </w:rPr>
        <w:t>a</w:t>
      </w:r>
      <w:r w:rsidR="004756C1" w:rsidRPr="002F50BD">
        <w:rPr>
          <w:rFonts w:ascii="Verdana" w:hAnsi="Verdana"/>
          <w:sz w:val="20"/>
          <w:lang w:val="pt-BR"/>
        </w:rPr>
        <w:t xml:space="preserve"> </w:t>
      </w:r>
      <w:r w:rsidR="00DB67CC" w:rsidRPr="002F50BD">
        <w:rPr>
          <w:rFonts w:ascii="Verdana" w:hAnsi="Verdana"/>
          <w:sz w:val="20"/>
          <w:lang w:val="pt-BR"/>
        </w:rPr>
        <w:t xml:space="preserve">lide </w:t>
      </w:r>
      <w:r w:rsidR="0089298C" w:rsidRPr="002F50BD">
        <w:rPr>
          <w:rFonts w:ascii="Verdana" w:hAnsi="Verdana"/>
          <w:sz w:val="20"/>
          <w:lang w:val="pt-BR"/>
        </w:rPr>
        <w:t xml:space="preserve">em </w:t>
      </w:r>
      <w:r w:rsidR="004756C1" w:rsidRPr="002F50BD">
        <w:rPr>
          <w:rFonts w:ascii="Verdana" w:hAnsi="Verdana"/>
          <w:sz w:val="20"/>
          <w:lang w:val="pt-BR"/>
        </w:rPr>
        <w:t>rela</w:t>
      </w:r>
      <w:r w:rsidR="0089298C" w:rsidRPr="002F50BD">
        <w:rPr>
          <w:rFonts w:ascii="Verdana" w:hAnsi="Verdana"/>
          <w:sz w:val="20"/>
          <w:lang w:val="pt-BR"/>
        </w:rPr>
        <w:t>ção “</w:t>
      </w:r>
      <w:r w:rsidR="00974F07" w:rsidRPr="002F50BD">
        <w:rPr>
          <w:rFonts w:ascii="Verdana" w:hAnsi="Verdana"/>
          <w:sz w:val="20"/>
          <w:lang w:val="pt-BR"/>
        </w:rPr>
        <w:t>à</w:t>
      </w:r>
      <w:r w:rsidR="0089298C" w:rsidRPr="002F50BD">
        <w:rPr>
          <w:rFonts w:ascii="Verdana" w:hAnsi="Verdana"/>
          <w:sz w:val="20"/>
          <w:lang w:val="pt-BR"/>
        </w:rPr>
        <w:t>s</w:t>
      </w:r>
      <w:r w:rsidR="004756C1" w:rsidRPr="002F50BD">
        <w:rPr>
          <w:rFonts w:ascii="Verdana" w:hAnsi="Verdana"/>
          <w:sz w:val="20"/>
          <w:lang w:val="pt-BR"/>
        </w:rPr>
        <w:t xml:space="preserve"> </w:t>
      </w:r>
      <w:r w:rsidR="0089298C" w:rsidRPr="002F50BD">
        <w:rPr>
          <w:rFonts w:ascii="Verdana" w:hAnsi="Verdana"/>
          <w:sz w:val="20"/>
          <w:lang w:val="pt-BR"/>
        </w:rPr>
        <w:t>terra</w:t>
      </w:r>
      <w:r w:rsidR="004756C1" w:rsidRPr="002F50BD">
        <w:rPr>
          <w:rFonts w:ascii="Verdana" w:hAnsi="Verdana"/>
          <w:sz w:val="20"/>
          <w:lang w:val="pt-BR"/>
        </w:rPr>
        <w:t xml:space="preserve">s que </w:t>
      </w:r>
      <w:r w:rsidR="00974F07" w:rsidRPr="002F50BD">
        <w:rPr>
          <w:rFonts w:ascii="Verdana" w:hAnsi="Verdana"/>
          <w:sz w:val="20"/>
          <w:lang w:val="pt-BR"/>
        </w:rPr>
        <w:t>constituem</w:t>
      </w:r>
      <w:r w:rsidR="004756C1" w:rsidRPr="002F50BD">
        <w:rPr>
          <w:rFonts w:ascii="Verdana" w:hAnsi="Verdana"/>
          <w:sz w:val="20"/>
          <w:lang w:val="pt-BR"/>
        </w:rPr>
        <w:t xml:space="preserve"> </w:t>
      </w:r>
      <w:r w:rsidR="00AB454A" w:rsidRPr="002F50BD">
        <w:rPr>
          <w:rFonts w:ascii="Verdana" w:hAnsi="Verdana"/>
          <w:sz w:val="20"/>
          <w:lang w:val="pt-BR"/>
        </w:rPr>
        <w:t>assentamento</w:t>
      </w:r>
      <w:r w:rsidR="004756C1" w:rsidRPr="002F50BD">
        <w:rPr>
          <w:rFonts w:ascii="Verdana" w:hAnsi="Verdana"/>
          <w:sz w:val="20"/>
          <w:lang w:val="pt-BR"/>
        </w:rPr>
        <w:t>s tr</w:t>
      </w:r>
      <w:r w:rsidR="0089298C" w:rsidRPr="002F50BD">
        <w:rPr>
          <w:rFonts w:ascii="Verdana" w:hAnsi="Verdana"/>
          <w:sz w:val="20"/>
          <w:lang w:val="pt-BR"/>
        </w:rPr>
        <w:t xml:space="preserve">adicionais da </w:t>
      </w:r>
      <w:r w:rsidR="004756C1" w:rsidRPr="002F50BD">
        <w:rPr>
          <w:rFonts w:ascii="Verdana" w:hAnsi="Verdana"/>
          <w:sz w:val="20"/>
          <w:lang w:val="pt-BR"/>
        </w:rPr>
        <w:t>Comunidad</w:t>
      </w:r>
      <w:r w:rsidR="00974F07" w:rsidRPr="002F50BD">
        <w:rPr>
          <w:rFonts w:ascii="Verdana" w:hAnsi="Verdana"/>
          <w:sz w:val="20"/>
          <w:lang w:val="pt-BR"/>
        </w:rPr>
        <w:t>e</w:t>
      </w:r>
      <w:r w:rsidR="004756C1" w:rsidRPr="002F50BD">
        <w:rPr>
          <w:rFonts w:ascii="Verdana" w:hAnsi="Verdana"/>
          <w:sz w:val="20"/>
          <w:lang w:val="pt-BR"/>
        </w:rPr>
        <w:t>”</w:t>
      </w:r>
      <w:r w:rsidR="00974F07" w:rsidRPr="002F50BD">
        <w:rPr>
          <w:rFonts w:ascii="Verdana" w:hAnsi="Verdana"/>
          <w:sz w:val="20"/>
          <w:lang w:val="pt-BR"/>
        </w:rPr>
        <w:t>.</w:t>
      </w:r>
      <w:r w:rsidR="004756C1" w:rsidRPr="002F50BD">
        <w:rPr>
          <w:rStyle w:val="FootnoteReference"/>
          <w:rFonts w:ascii="Verdana" w:hAnsi="Verdana"/>
          <w:lang w:val="es-ES_tradnl"/>
        </w:rPr>
        <w:footnoteReference w:id="113"/>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26</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1997</w:t>
      </w:r>
      <w:r w:rsidR="006D28A8"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Ju</w:t>
      </w:r>
      <w:r w:rsidR="00974F07" w:rsidRPr="002F50BD">
        <w:rPr>
          <w:rFonts w:ascii="Verdana" w:hAnsi="Verdana"/>
          <w:sz w:val="20"/>
          <w:lang w:val="pt-BR"/>
        </w:rPr>
        <w:t>i</w:t>
      </w:r>
      <w:r w:rsidR="004756C1" w:rsidRPr="002F50BD">
        <w:rPr>
          <w:rFonts w:ascii="Verdana" w:hAnsi="Verdana"/>
          <w:sz w:val="20"/>
          <w:lang w:val="pt-BR"/>
        </w:rPr>
        <w:t xml:space="preserve">zado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 xml:space="preserve">Instância </w:t>
      </w:r>
      <w:r w:rsidR="004756C1" w:rsidRPr="002F50BD">
        <w:rPr>
          <w:rFonts w:ascii="Verdana" w:hAnsi="Verdana"/>
          <w:sz w:val="20"/>
          <w:lang w:val="pt-BR"/>
        </w:rPr>
        <w:t xml:space="preserve">Civil, Comercial, </w:t>
      </w:r>
      <w:r w:rsidR="00974F07" w:rsidRPr="002F50BD">
        <w:rPr>
          <w:rFonts w:ascii="Verdana" w:hAnsi="Verdana"/>
          <w:sz w:val="20"/>
          <w:lang w:val="pt-BR"/>
        </w:rPr>
        <w:t xml:space="preserve">Trabalhista </w:t>
      </w:r>
      <w:r w:rsidR="0089298C" w:rsidRPr="002F50BD">
        <w:rPr>
          <w:rFonts w:ascii="Verdana" w:hAnsi="Verdana"/>
          <w:sz w:val="20"/>
          <w:lang w:val="pt-BR"/>
        </w:rPr>
        <w:t xml:space="preserve">e </w:t>
      </w:r>
      <w:r w:rsidR="004756C1" w:rsidRPr="002F50BD">
        <w:rPr>
          <w:rFonts w:ascii="Verdana" w:hAnsi="Verdana"/>
          <w:sz w:val="20"/>
          <w:lang w:val="pt-BR"/>
        </w:rPr>
        <w:t xml:space="preserve">Tutelar </w:t>
      </w:r>
      <w:r w:rsidR="0089298C" w:rsidRPr="002F50BD">
        <w:rPr>
          <w:rFonts w:ascii="Verdana" w:hAnsi="Verdana"/>
          <w:sz w:val="20"/>
          <w:lang w:val="pt-BR"/>
        </w:rPr>
        <w:t xml:space="preserve">do </w:t>
      </w:r>
      <w:r w:rsidR="004756C1" w:rsidRPr="002F50BD">
        <w:rPr>
          <w:rFonts w:ascii="Verdana" w:hAnsi="Verdana"/>
          <w:sz w:val="20"/>
          <w:lang w:val="pt-BR"/>
        </w:rPr>
        <w:t xml:space="preserve">Menor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89298C" w:rsidRPr="002F50BD">
        <w:rPr>
          <w:rFonts w:ascii="Verdana" w:hAnsi="Verdana"/>
          <w:sz w:val="20"/>
          <w:lang w:val="pt-BR"/>
        </w:rPr>
        <w:t>decidiu</w:t>
      </w:r>
      <w:r w:rsidR="004756C1" w:rsidRPr="002F50BD">
        <w:rPr>
          <w:rFonts w:ascii="Verdana" w:hAnsi="Verdana"/>
          <w:sz w:val="20"/>
          <w:lang w:val="pt-BR"/>
        </w:rPr>
        <w:t xml:space="preserve"> decretar</w:t>
      </w:r>
      <w:r w:rsidR="0089298C" w:rsidRPr="002F50BD">
        <w:rPr>
          <w:rFonts w:ascii="Verdana" w:hAnsi="Verdana"/>
          <w:sz w:val="20"/>
          <w:lang w:val="pt-BR"/>
        </w:rPr>
        <w:t xml:space="preserve"> a </w:t>
      </w:r>
      <w:r w:rsidR="004756C1" w:rsidRPr="002F50BD">
        <w:rPr>
          <w:rFonts w:ascii="Verdana" w:hAnsi="Verdana"/>
          <w:sz w:val="20"/>
          <w:lang w:val="pt-BR"/>
        </w:rPr>
        <w:t>medida de n</w:t>
      </w:r>
      <w:r w:rsidR="00974F07" w:rsidRPr="002F50BD">
        <w:rPr>
          <w:rFonts w:ascii="Verdana" w:hAnsi="Verdana"/>
          <w:sz w:val="20"/>
          <w:lang w:val="pt-BR"/>
        </w:rPr>
        <w:t>ã</w:t>
      </w:r>
      <w:r w:rsidR="004756C1" w:rsidRPr="002F50BD">
        <w:rPr>
          <w:rFonts w:ascii="Verdana" w:hAnsi="Verdana"/>
          <w:sz w:val="20"/>
          <w:lang w:val="pt-BR"/>
        </w:rPr>
        <w:t>o inova</w:t>
      </w:r>
      <w:r w:rsidR="00974F07" w:rsidRPr="002F50BD">
        <w:rPr>
          <w:rFonts w:ascii="Verdana" w:hAnsi="Verdana"/>
          <w:sz w:val="20"/>
          <w:lang w:val="pt-BR"/>
        </w:rPr>
        <w:t xml:space="preserve">ção </w:t>
      </w:r>
      <w:r w:rsidR="0089298C" w:rsidRPr="002F50BD">
        <w:rPr>
          <w:rFonts w:ascii="Verdana" w:hAnsi="Verdana"/>
          <w:sz w:val="20"/>
          <w:lang w:val="pt-BR"/>
        </w:rPr>
        <w:t xml:space="preserve">e </w:t>
      </w:r>
      <w:r w:rsidR="004756C1" w:rsidRPr="002F50BD">
        <w:rPr>
          <w:rFonts w:ascii="Verdana" w:hAnsi="Verdana"/>
          <w:sz w:val="20"/>
          <w:lang w:val="pt-BR"/>
        </w:rPr>
        <w:t>ordenar</w:t>
      </w:r>
      <w:r w:rsidR="0089298C" w:rsidRPr="002F50BD">
        <w:rPr>
          <w:rFonts w:ascii="Verdana" w:hAnsi="Verdana"/>
          <w:sz w:val="20"/>
          <w:lang w:val="pt-BR"/>
        </w:rPr>
        <w:t xml:space="preserve"> </w:t>
      </w:r>
      <w:r w:rsidR="00974F07" w:rsidRPr="002F50BD">
        <w:rPr>
          <w:rFonts w:ascii="Verdana" w:hAnsi="Verdana"/>
          <w:sz w:val="20"/>
          <w:lang w:val="pt-BR"/>
        </w:rPr>
        <w:t xml:space="preserve">o registro </w:t>
      </w:r>
      <w:r w:rsidR="0089298C" w:rsidRPr="002F50BD">
        <w:rPr>
          <w:rFonts w:ascii="Verdana" w:hAnsi="Verdana"/>
          <w:sz w:val="20"/>
          <w:lang w:val="pt-BR"/>
        </w:rPr>
        <w:t xml:space="preserve">da </w:t>
      </w:r>
      <w:r w:rsidR="009154F5" w:rsidRPr="002F50BD">
        <w:rPr>
          <w:rFonts w:ascii="Verdana" w:hAnsi="Verdana"/>
          <w:sz w:val="20"/>
          <w:lang w:val="pt-BR"/>
        </w:rPr>
        <w:t xml:space="preserve">lide </w:t>
      </w:r>
      <w:r w:rsidR="004756C1" w:rsidRPr="002F50BD">
        <w:rPr>
          <w:rFonts w:ascii="Verdana" w:hAnsi="Verdana"/>
          <w:sz w:val="20"/>
          <w:lang w:val="pt-BR"/>
        </w:rPr>
        <w:t>sobre</w:t>
      </w:r>
      <w:r w:rsidR="0089298C" w:rsidRPr="002F50BD">
        <w:rPr>
          <w:rFonts w:ascii="Verdana" w:hAnsi="Verdana"/>
          <w:sz w:val="20"/>
          <w:lang w:val="pt-BR"/>
        </w:rPr>
        <w:t xml:space="preserve"> os </w:t>
      </w:r>
      <w:r w:rsidR="004756C1" w:rsidRPr="002F50BD">
        <w:rPr>
          <w:rFonts w:ascii="Verdana" w:hAnsi="Verdana"/>
          <w:sz w:val="20"/>
          <w:lang w:val="pt-BR"/>
        </w:rPr>
        <w:t xml:space="preserve">mencionados </w:t>
      </w:r>
      <w:r w:rsidR="000920B2" w:rsidRPr="002F50BD">
        <w:rPr>
          <w:rFonts w:ascii="Verdana" w:hAnsi="Verdana"/>
          <w:sz w:val="20"/>
          <w:lang w:val="pt-BR"/>
        </w:rPr>
        <w:t>imóveis</w:t>
      </w:r>
      <w:r w:rsidR="00974F07" w:rsidRPr="002F50BD">
        <w:rPr>
          <w:rFonts w:ascii="Verdana" w:hAnsi="Verdana"/>
          <w:sz w:val="20"/>
          <w:lang w:val="pt-BR"/>
        </w:rPr>
        <w:t>.</w:t>
      </w:r>
      <w:r w:rsidR="004756C1" w:rsidRPr="002F50BD">
        <w:rPr>
          <w:rStyle w:val="FootnoteReference"/>
          <w:rFonts w:ascii="Verdana" w:hAnsi="Verdana"/>
          <w:lang w:val="es-ES_tradnl"/>
        </w:rPr>
        <w:footnoteReference w:id="114"/>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67</w:t>
      </w:r>
      <w:r w:rsidR="004756C1" w:rsidRPr="002F50BD">
        <w:rPr>
          <w:rFonts w:ascii="Verdana" w:hAnsi="Verdana"/>
          <w:sz w:val="20"/>
          <w:lang w:val="pt-BR"/>
        </w:rPr>
        <w:t>.</w:t>
      </w:r>
      <w:r w:rsidR="004756C1" w:rsidRPr="002F50BD">
        <w:rPr>
          <w:rFonts w:ascii="Verdana" w:hAnsi="Verdana"/>
          <w:sz w:val="20"/>
          <w:lang w:val="pt-BR"/>
        </w:rPr>
        <w:tab/>
      </w:r>
      <w:r w:rsidR="006D28A8" w:rsidRPr="002F50BD">
        <w:rPr>
          <w:rFonts w:ascii="Verdana" w:hAnsi="Verdana"/>
          <w:sz w:val="20"/>
          <w:lang w:val="pt-BR"/>
        </w:rPr>
        <w:t>Diante disso</w:t>
      </w:r>
      <w:r w:rsidR="004756C1" w:rsidRPr="002F50BD">
        <w:rPr>
          <w:rFonts w:ascii="Verdana" w:hAnsi="Verdana"/>
          <w:sz w:val="20"/>
          <w:lang w:val="pt-BR"/>
        </w:rPr>
        <w:t>,</w:t>
      </w:r>
      <w:r w:rsidR="0089298C" w:rsidRPr="002F50BD">
        <w:rPr>
          <w:rFonts w:ascii="Verdana" w:hAnsi="Verdana"/>
          <w:sz w:val="20"/>
          <w:lang w:val="pt-BR"/>
        </w:rPr>
        <w:t xml:space="preserve"> o </w:t>
      </w:r>
      <w:r w:rsidR="008C29C9" w:rsidRPr="002F50BD">
        <w:rPr>
          <w:rFonts w:ascii="Verdana" w:hAnsi="Verdana"/>
          <w:sz w:val="20"/>
          <w:lang w:val="pt-BR"/>
        </w:rPr>
        <w:t>representante</w:t>
      </w:r>
      <w:r w:rsidR="004756C1" w:rsidRPr="002F50BD">
        <w:rPr>
          <w:rFonts w:ascii="Verdana" w:hAnsi="Verdana"/>
          <w:sz w:val="20"/>
          <w:lang w:val="pt-BR"/>
        </w:rPr>
        <w:t xml:space="preserve"> legal</w:t>
      </w:r>
      <w:r w:rsidR="0089298C" w:rsidRPr="002F50BD">
        <w:rPr>
          <w:rFonts w:ascii="Verdana" w:hAnsi="Verdana"/>
          <w:sz w:val="20"/>
          <w:lang w:val="pt-BR"/>
        </w:rPr>
        <w:t xml:space="preserve"> das </w:t>
      </w:r>
      <w:r w:rsidR="004756C1" w:rsidRPr="002F50BD">
        <w:rPr>
          <w:rFonts w:ascii="Verdana" w:hAnsi="Verdana"/>
          <w:sz w:val="20"/>
          <w:lang w:val="pt-BR"/>
        </w:rPr>
        <w:t>empresas Livestock Capital Group INC, Agricultural Development INC</w:t>
      </w:r>
      <w:r w:rsidR="0089298C" w:rsidRPr="002F50BD">
        <w:rPr>
          <w:rFonts w:ascii="Verdana" w:hAnsi="Verdana"/>
          <w:sz w:val="20"/>
          <w:lang w:val="pt-BR"/>
        </w:rPr>
        <w:t xml:space="preserve"> e </w:t>
      </w:r>
      <w:r w:rsidR="004756C1" w:rsidRPr="002F50BD">
        <w:rPr>
          <w:rFonts w:ascii="Verdana" w:hAnsi="Verdana"/>
          <w:sz w:val="20"/>
          <w:lang w:val="pt-BR"/>
        </w:rPr>
        <w:t xml:space="preserve">Florida Agricultural Corporation </w:t>
      </w:r>
      <w:r w:rsidR="0089298C" w:rsidRPr="002F50BD">
        <w:rPr>
          <w:rFonts w:ascii="Verdana" w:hAnsi="Verdana"/>
          <w:sz w:val="20"/>
          <w:lang w:val="pt-BR"/>
        </w:rPr>
        <w:t xml:space="preserve">apresentou um </w:t>
      </w:r>
      <w:r w:rsidR="004756C1" w:rsidRPr="002F50BD">
        <w:rPr>
          <w:rFonts w:ascii="Verdana" w:hAnsi="Verdana"/>
          <w:sz w:val="20"/>
          <w:lang w:val="pt-BR"/>
        </w:rPr>
        <w:t>incidente de levantamento de medidas cautelares.</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27</w:t>
      </w:r>
      <w:r w:rsidR="004756C1" w:rsidRPr="002F50BD">
        <w:rPr>
          <w:rFonts w:ascii="Verdana" w:hAnsi="Verdana"/>
          <w:sz w:val="20"/>
          <w:lang w:val="pt-BR"/>
        </w:rPr>
        <w:t xml:space="preserve"> de abril de </w:t>
      </w:r>
      <w:r w:rsidRPr="002F50BD">
        <w:rPr>
          <w:rFonts w:ascii="Verdana" w:hAnsi="Verdana"/>
          <w:sz w:val="20"/>
          <w:lang w:val="pt-BR"/>
        </w:rPr>
        <w:t>1998</w:t>
      </w:r>
      <w:r w:rsidR="006D28A8"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 xml:space="preserve">Instância </w:t>
      </w:r>
      <w:r w:rsidR="004756C1" w:rsidRPr="002F50BD">
        <w:rPr>
          <w:rFonts w:ascii="Verdana" w:hAnsi="Verdana"/>
          <w:sz w:val="20"/>
          <w:lang w:val="pt-BR"/>
        </w:rPr>
        <w:t xml:space="preserve">Civil, Comercial, </w:t>
      </w:r>
      <w:r w:rsidR="00974F07" w:rsidRPr="002F50BD">
        <w:rPr>
          <w:rFonts w:ascii="Verdana" w:hAnsi="Verdana"/>
          <w:sz w:val="20"/>
          <w:lang w:val="pt-BR"/>
        </w:rPr>
        <w:t xml:space="preserve">Trabalhista </w:t>
      </w:r>
      <w:r w:rsidR="0089298C" w:rsidRPr="002F50BD">
        <w:rPr>
          <w:rFonts w:ascii="Verdana" w:hAnsi="Verdana"/>
          <w:sz w:val="20"/>
          <w:lang w:val="pt-BR"/>
        </w:rPr>
        <w:t xml:space="preserve">e </w:t>
      </w:r>
      <w:r w:rsidR="004756C1" w:rsidRPr="002F50BD">
        <w:rPr>
          <w:rFonts w:ascii="Verdana" w:hAnsi="Verdana"/>
          <w:sz w:val="20"/>
          <w:lang w:val="pt-BR"/>
        </w:rPr>
        <w:t xml:space="preserve">Tutelar </w:t>
      </w:r>
      <w:r w:rsidR="0089298C" w:rsidRPr="002F50BD">
        <w:rPr>
          <w:rFonts w:ascii="Verdana" w:hAnsi="Verdana"/>
          <w:sz w:val="20"/>
          <w:lang w:val="pt-BR"/>
        </w:rPr>
        <w:t xml:space="preserve">do </w:t>
      </w:r>
      <w:r w:rsidR="004756C1" w:rsidRPr="002F50BD">
        <w:rPr>
          <w:rFonts w:ascii="Verdana" w:hAnsi="Verdana"/>
          <w:sz w:val="20"/>
          <w:lang w:val="pt-BR"/>
        </w:rPr>
        <w:t xml:space="preserve">Menor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974F07" w:rsidRPr="002F50BD">
        <w:rPr>
          <w:rFonts w:ascii="Verdana" w:hAnsi="Verdana"/>
          <w:sz w:val="20"/>
          <w:lang w:val="pt-BR"/>
        </w:rPr>
        <w:t xml:space="preserve">acolheu </w:t>
      </w:r>
      <w:r w:rsidR="0089298C" w:rsidRPr="002F50BD">
        <w:rPr>
          <w:rFonts w:ascii="Verdana" w:hAnsi="Verdana"/>
          <w:sz w:val="20"/>
          <w:lang w:val="pt-BR"/>
        </w:rPr>
        <w:t>esta</w:t>
      </w:r>
      <w:r w:rsidR="004756C1" w:rsidRPr="002F50BD">
        <w:rPr>
          <w:rFonts w:ascii="Verdana" w:hAnsi="Verdana"/>
          <w:sz w:val="20"/>
          <w:lang w:val="pt-BR"/>
        </w:rPr>
        <w:t xml:space="preserve"> </w:t>
      </w:r>
      <w:r w:rsidR="0089298C" w:rsidRPr="002F50BD">
        <w:rPr>
          <w:rFonts w:ascii="Verdana" w:hAnsi="Verdana"/>
          <w:sz w:val="20"/>
          <w:lang w:val="pt-BR"/>
        </w:rPr>
        <w:t xml:space="preserve">solicitação </w:t>
      </w:r>
      <w:r w:rsidR="004756C1" w:rsidRPr="002F50BD">
        <w:rPr>
          <w:rFonts w:ascii="Verdana" w:hAnsi="Verdana"/>
          <w:sz w:val="20"/>
          <w:lang w:val="pt-BR"/>
        </w:rPr>
        <w:t xml:space="preserve">mediante </w:t>
      </w:r>
      <w:r w:rsidR="00974F07" w:rsidRPr="002F50BD">
        <w:rPr>
          <w:rFonts w:ascii="Verdana" w:hAnsi="Verdana"/>
          <w:sz w:val="20"/>
          <w:lang w:val="pt-BR"/>
        </w:rPr>
        <w:t>decisão</w:t>
      </w:r>
      <w:r w:rsidR="004756C1" w:rsidRPr="002F50BD">
        <w:rPr>
          <w:rFonts w:ascii="Verdana" w:hAnsi="Verdana"/>
          <w:sz w:val="20"/>
          <w:lang w:val="pt-BR"/>
        </w:rPr>
        <w:t xml:space="preserve"> interlocut</w:t>
      </w:r>
      <w:r w:rsidR="00974F07" w:rsidRPr="002F50BD">
        <w:rPr>
          <w:rFonts w:ascii="Verdana" w:hAnsi="Verdana"/>
          <w:sz w:val="20"/>
          <w:lang w:val="pt-BR"/>
        </w:rPr>
        <w:t>ó</w:t>
      </w:r>
      <w:r w:rsidR="004756C1" w:rsidRPr="002F50BD">
        <w:rPr>
          <w:rFonts w:ascii="Verdana" w:hAnsi="Verdana"/>
          <w:sz w:val="20"/>
          <w:lang w:val="pt-BR"/>
        </w:rPr>
        <w:t>ri</w:t>
      </w:r>
      <w:r w:rsidR="00974F07" w:rsidRPr="002F50BD">
        <w:rPr>
          <w:rFonts w:ascii="Verdana" w:hAnsi="Verdana"/>
          <w:sz w:val="20"/>
          <w:lang w:val="pt-BR"/>
        </w:rPr>
        <w:t>a</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173</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0089298C" w:rsidRPr="002F50BD">
        <w:rPr>
          <w:rFonts w:ascii="Verdana" w:hAnsi="Verdana"/>
          <w:sz w:val="20"/>
          <w:lang w:val="pt-BR"/>
        </w:rPr>
        <w:t>resolveu</w:t>
      </w:r>
      <w:r w:rsidR="004756C1" w:rsidRPr="002F50BD">
        <w:rPr>
          <w:rFonts w:ascii="Verdana" w:hAnsi="Verdana"/>
          <w:sz w:val="20"/>
          <w:lang w:val="pt-BR"/>
        </w:rPr>
        <w:t xml:space="preserve"> levantar</w:t>
      </w:r>
      <w:r w:rsidR="0089298C" w:rsidRPr="002F50BD">
        <w:rPr>
          <w:rFonts w:ascii="Verdana" w:hAnsi="Verdana"/>
          <w:sz w:val="20"/>
          <w:lang w:val="pt-BR"/>
        </w:rPr>
        <w:t xml:space="preserve"> a proibição</w:t>
      </w:r>
      <w:r w:rsidR="004756C1" w:rsidRPr="002F50BD">
        <w:rPr>
          <w:rFonts w:ascii="Verdana" w:hAnsi="Verdana"/>
          <w:sz w:val="20"/>
          <w:lang w:val="pt-BR"/>
        </w:rPr>
        <w:t xml:space="preserve"> de n</w:t>
      </w:r>
      <w:r w:rsidR="00974F07" w:rsidRPr="002F50BD">
        <w:rPr>
          <w:rFonts w:ascii="Verdana" w:hAnsi="Verdana"/>
          <w:sz w:val="20"/>
          <w:lang w:val="pt-BR"/>
        </w:rPr>
        <w:t>ã</w:t>
      </w:r>
      <w:r w:rsidR="004756C1" w:rsidRPr="002F50BD">
        <w:rPr>
          <w:rFonts w:ascii="Verdana" w:hAnsi="Verdana"/>
          <w:sz w:val="20"/>
          <w:lang w:val="pt-BR"/>
        </w:rPr>
        <w:t>o inova</w:t>
      </w:r>
      <w:r w:rsidR="00974F07" w:rsidRPr="002F50BD">
        <w:rPr>
          <w:rFonts w:ascii="Verdana" w:hAnsi="Verdana"/>
          <w:sz w:val="20"/>
          <w:lang w:val="pt-BR"/>
        </w:rPr>
        <w:t>ção</w:t>
      </w:r>
      <w:r w:rsidR="0089298C" w:rsidRPr="002F50BD">
        <w:rPr>
          <w:rFonts w:ascii="Verdana" w:hAnsi="Verdana"/>
          <w:sz w:val="20"/>
          <w:lang w:val="pt-BR"/>
        </w:rPr>
        <w:t xml:space="preserve"> e </w:t>
      </w:r>
      <w:r w:rsidR="00974F07" w:rsidRPr="002F50BD">
        <w:rPr>
          <w:rFonts w:ascii="Verdana" w:hAnsi="Verdana"/>
          <w:sz w:val="20"/>
          <w:lang w:val="pt-BR"/>
        </w:rPr>
        <w:t xml:space="preserve">de </w:t>
      </w:r>
      <w:r w:rsidR="0089298C" w:rsidRPr="002F50BD">
        <w:rPr>
          <w:rFonts w:ascii="Verdana" w:hAnsi="Verdana"/>
          <w:sz w:val="20"/>
          <w:lang w:val="pt-BR"/>
        </w:rPr>
        <w:t>inscrição</w:t>
      </w:r>
      <w:r w:rsidR="004756C1" w:rsidRPr="002F50BD">
        <w:rPr>
          <w:rFonts w:ascii="Verdana" w:hAnsi="Verdana"/>
          <w:sz w:val="20"/>
          <w:lang w:val="pt-BR"/>
        </w:rPr>
        <w:t xml:space="preserve"> d</w:t>
      </w:r>
      <w:r w:rsidR="00974F07" w:rsidRPr="002F50BD">
        <w:rPr>
          <w:rFonts w:ascii="Verdana" w:hAnsi="Verdana"/>
          <w:sz w:val="20"/>
          <w:lang w:val="pt-BR"/>
        </w:rPr>
        <w:t>a</w:t>
      </w:r>
      <w:r w:rsidR="004756C1" w:rsidRPr="002F50BD">
        <w:rPr>
          <w:rFonts w:ascii="Verdana" w:hAnsi="Verdana"/>
          <w:sz w:val="20"/>
          <w:lang w:val="pt-BR"/>
        </w:rPr>
        <w:t xml:space="preserve"> </w:t>
      </w:r>
      <w:r w:rsidR="009154F5" w:rsidRPr="002F50BD">
        <w:rPr>
          <w:rFonts w:ascii="Verdana" w:hAnsi="Verdana"/>
          <w:sz w:val="20"/>
          <w:lang w:val="pt-BR"/>
        </w:rPr>
        <w:t xml:space="preserve">lide </w:t>
      </w:r>
      <w:r w:rsidR="004756C1" w:rsidRPr="002F50BD">
        <w:rPr>
          <w:rFonts w:ascii="Verdana" w:hAnsi="Verdana"/>
          <w:sz w:val="20"/>
          <w:lang w:val="pt-BR"/>
        </w:rPr>
        <w:t xml:space="preserve">decretada anteriormente, </w:t>
      </w:r>
      <w:r w:rsidR="0089298C" w:rsidRPr="002F50BD">
        <w:rPr>
          <w:rFonts w:ascii="Verdana" w:hAnsi="Verdana"/>
          <w:sz w:val="20"/>
          <w:lang w:val="pt-BR"/>
        </w:rPr>
        <w:t xml:space="preserve">posto </w:t>
      </w:r>
      <w:r w:rsidR="004756C1" w:rsidRPr="002F50BD">
        <w:rPr>
          <w:rFonts w:ascii="Verdana" w:hAnsi="Verdana"/>
          <w:sz w:val="20"/>
          <w:lang w:val="pt-BR"/>
        </w:rPr>
        <w:t xml:space="preserve">que </w:t>
      </w:r>
      <w:r w:rsidR="0089298C" w:rsidRPr="002F50BD">
        <w:rPr>
          <w:rFonts w:ascii="Verdana" w:hAnsi="Verdana"/>
          <w:sz w:val="20"/>
          <w:lang w:val="pt-BR"/>
        </w:rPr>
        <w:t>considerou</w:t>
      </w:r>
      <w:r w:rsidR="004756C1" w:rsidRPr="002F50BD">
        <w:rPr>
          <w:rFonts w:ascii="Verdana" w:hAnsi="Verdana"/>
          <w:sz w:val="20"/>
          <w:lang w:val="pt-BR"/>
        </w:rPr>
        <w:t xml:space="preserve">, entre </w:t>
      </w:r>
      <w:r w:rsidR="0089298C" w:rsidRPr="002F50BD">
        <w:rPr>
          <w:rFonts w:ascii="Verdana" w:hAnsi="Verdana"/>
          <w:sz w:val="20"/>
          <w:lang w:val="pt-BR"/>
        </w:rPr>
        <w:t>outra</w:t>
      </w:r>
      <w:r w:rsidR="004756C1" w:rsidRPr="002F50BD">
        <w:rPr>
          <w:rFonts w:ascii="Verdana" w:hAnsi="Verdana"/>
          <w:sz w:val="20"/>
          <w:lang w:val="pt-BR"/>
        </w:rPr>
        <w:t>s co</w:t>
      </w:r>
      <w:r w:rsidR="00974F07" w:rsidRPr="002F50BD">
        <w:rPr>
          <w:rFonts w:ascii="Verdana" w:hAnsi="Verdana"/>
          <w:sz w:val="20"/>
          <w:lang w:val="pt-BR"/>
        </w:rPr>
        <w:t>i</w:t>
      </w:r>
      <w:r w:rsidR="004756C1" w:rsidRPr="002F50BD">
        <w:rPr>
          <w:rFonts w:ascii="Verdana" w:hAnsi="Verdana"/>
          <w:sz w:val="20"/>
          <w:lang w:val="pt-BR"/>
        </w:rPr>
        <w:t>sas, que “</w:t>
      </w:r>
      <w:r w:rsidR="00AB454A" w:rsidRPr="002F50BD">
        <w:rPr>
          <w:rFonts w:ascii="Verdana" w:hAnsi="Verdana"/>
          <w:sz w:val="20"/>
          <w:lang w:val="pt-BR"/>
        </w:rPr>
        <w:t>não é</w:t>
      </w:r>
      <w:r w:rsidR="0089298C" w:rsidRPr="002F50BD">
        <w:rPr>
          <w:rFonts w:ascii="Verdana" w:hAnsi="Verdana"/>
          <w:sz w:val="20"/>
          <w:lang w:val="pt-BR"/>
        </w:rPr>
        <w:t xml:space="preserve"> possível </w:t>
      </w:r>
      <w:r w:rsidR="004756C1" w:rsidRPr="002F50BD">
        <w:rPr>
          <w:rFonts w:ascii="Verdana" w:hAnsi="Verdana"/>
          <w:sz w:val="20"/>
          <w:lang w:val="pt-BR"/>
        </w:rPr>
        <w:t>afirmar que</w:t>
      </w:r>
      <w:r w:rsidR="0089298C" w:rsidRPr="002F50BD">
        <w:rPr>
          <w:rFonts w:ascii="Verdana" w:hAnsi="Verdana"/>
          <w:sz w:val="20"/>
          <w:lang w:val="pt-BR"/>
        </w:rPr>
        <w:t xml:space="preserve"> os </w:t>
      </w:r>
      <w:r w:rsidR="000920B2" w:rsidRPr="002F50BD">
        <w:rPr>
          <w:rFonts w:ascii="Verdana" w:hAnsi="Verdana"/>
          <w:sz w:val="20"/>
          <w:lang w:val="pt-BR"/>
        </w:rPr>
        <w:t>imóveis</w:t>
      </w:r>
      <w:r w:rsidR="004756C1" w:rsidRPr="002F50BD">
        <w:rPr>
          <w:rFonts w:ascii="Verdana" w:hAnsi="Verdana"/>
          <w:sz w:val="20"/>
          <w:lang w:val="pt-BR"/>
        </w:rPr>
        <w:t xml:space="preserve"> sobre</w:t>
      </w:r>
      <w:r w:rsidR="0089298C" w:rsidRPr="002F50BD">
        <w:rPr>
          <w:rFonts w:ascii="Verdana" w:hAnsi="Verdana"/>
          <w:sz w:val="20"/>
          <w:lang w:val="pt-BR"/>
        </w:rPr>
        <w:t xml:space="preserve"> os </w:t>
      </w:r>
      <w:r w:rsidR="00974F07" w:rsidRPr="002F50BD">
        <w:rPr>
          <w:rFonts w:ascii="Verdana" w:hAnsi="Verdana"/>
          <w:sz w:val="20"/>
          <w:lang w:val="pt-BR"/>
        </w:rPr>
        <w:t>quais</w:t>
      </w:r>
      <w:r w:rsidR="0089298C" w:rsidRPr="002F50BD">
        <w:rPr>
          <w:rFonts w:ascii="Verdana" w:hAnsi="Verdana"/>
          <w:sz w:val="20"/>
          <w:lang w:val="pt-BR"/>
        </w:rPr>
        <w:t xml:space="preserve"> as </w:t>
      </w:r>
      <w:r w:rsidR="004756C1" w:rsidRPr="002F50BD">
        <w:rPr>
          <w:rFonts w:ascii="Verdana" w:hAnsi="Verdana"/>
          <w:sz w:val="20"/>
          <w:lang w:val="pt-BR"/>
        </w:rPr>
        <w:t xml:space="preserve">medidas cautelares </w:t>
      </w:r>
      <w:r w:rsidR="00974F07" w:rsidRPr="002F50BD">
        <w:rPr>
          <w:rFonts w:ascii="Verdana" w:hAnsi="Verdana"/>
          <w:sz w:val="20"/>
          <w:lang w:val="pt-BR"/>
        </w:rPr>
        <w:t xml:space="preserve">se aplicam </w:t>
      </w:r>
      <w:r w:rsidR="0089298C" w:rsidRPr="002F50BD">
        <w:rPr>
          <w:rFonts w:ascii="Verdana" w:hAnsi="Verdana"/>
          <w:sz w:val="20"/>
          <w:lang w:val="pt-BR"/>
        </w:rPr>
        <w:t xml:space="preserve">constitui uma </w:t>
      </w:r>
      <w:r w:rsidR="004756C1" w:rsidRPr="002F50BD">
        <w:rPr>
          <w:rFonts w:ascii="Verdana" w:hAnsi="Verdana"/>
          <w:sz w:val="20"/>
          <w:lang w:val="pt-BR"/>
        </w:rPr>
        <w:t xml:space="preserve">parte </w:t>
      </w:r>
      <w:r w:rsidR="0089298C" w:rsidRPr="002F50BD">
        <w:rPr>
          <w:rFonts w:ascii="Verdana" w:hAnsi="Verdana"/>
          <w:sz w:val="20"/>
          <w:lang w:val="pt-BR"/>
        </w:rPr>
        <w:t xml:space="preserve">do </w:t>
      </w:r>
      <w:r w:rsidR="00AB454A" w:rsidRPr="002F50BD">
        <w:rPr>
          <w:rFonts w:ascii="Verdana" w:hAnsi="Verdana"/>
          <w:sz w:val="20"/>
          <w:lang w:val="pt-BR"/>
        </w:rPr>
        <w:t>assentamento</w:t>
      </w:r>
      <w:r w:rsidR="004756C1" w:rsidRPr="002F50B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Comunidad</w:t>
      </w:r>
      <w:r w:rsidR="00974F07" w:rsidRPr="002F50BD">
        <w:rPr>
          <w:rFonts w:ascii="Verdana" w:hAnsi="Verdana"/>
          <w:sz w:val="20"/>
          <w:lang w:val="pt-BR"/>
        </w:rPr>
        <w:t>e.</w:t>
      </w:r>
      <w:r w:rsidR="004756C1" w:rsidRPr="002F50BD">
        <w:rPr>
          <w:rStyle w:val="FootnoteReference"/>
          <w:rFonts w:ascii="Verdana" w:hAnsi="Verdana"/>
          <w:lang w:val="es-ES_tradnl"/>
        </w:rPr>
        <w:footnoteReference w:id="115"/>
      </w:r>
      <w:r w:rsidR="004756C1" w:rsidRPr="002F50BD">
        <w:rPr>
          <w:rFonts w:ascii="Verdana" w:hAnsi="Verdana"/>
          <w:sz w:val="20"/>
          <w:lang w:val="pt-BR"/>
        </w:rPr>
        <w:t xml:space="preserve"> </w:t>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69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4756C1" w:rsidRPr="002F50BD">
        <w:rPr>
          <w:rFonts w:ascii="Verdana" w:hAnsi="Verdana"/>
          <w:sz w:val="20"/>
          <w:lang w:val="pt-BR"/>
        </w:rPr>
        <w:t>representa</w:t>
      </w:r>
      <w:r w:rsidR="0089298C" w:rsidRPr="002F50BD">
        <w:rPr>
          <w:rFonts w:ascii="Verdana" w:hAnsi="Verdana"/>
          <w:sz w:val="20"/>
          <w:lang w:val="pt-BR"/>
        </w:rPr>
        <w:t>ção</w:t>
      </w:r>
      <w:r w:rsidR="004756C1" w:rsidRPr="002F50BD">
        <w:rPr>
          <w:rFonts w:ascii="Verdana" w:hAnsi="Verdana"/>
          <w:sz w:val="20"/>
          <w:lang w:val="pt-BR"/>
        </w:rPr>
        <w:t xml:space="preserve"> legal</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apresentou um </w:t>
      </w:r>
      <w:r w:rsidR="004756C1" w:rsidRPr="002F50BD">
        <w:rPr>
          <w:rFonts w:ascii="Verdana" w:hAnsi="Verdana"/>
          <w:sz w:val="20"/>
          <w:lang w:val="pt-BR"/>
        </w:rPr>
        <w:t>recurso de apela</w:t>
      </w:r>
      <w:r w:rsidR="0089298C" w:rsidRPr="002F50BD">
        <w:rPr>
          <w:rFonts w:ascii="Verdana" w:hAnsi="Verdana"/>
          <w:sz w:val="20"/>
          <w:lang w:val="pt-BR"/>
        </w:rPr>
        <w:t>ção</w:t>
      </w:r>
      <w:r w:rsidR="00AB454A" w:rsidRPr="002F50BD">
        <w:rPr>
          <w:rFonts w:ascii="Verdana" w:hAnsi="Verdana"/>
          <w:sz w:val="20"/>
          <w:lang w:val="pt-BR"/>
        </w:rPr>
        <w:t xml:space="preserve"> contra </w:t>
      </w:r>
      <w:r w:rsidR="00974F07" w:rsidRPr="002F50BD">
        <w:rPr>
          <w:rFonts w:ascii="Verdana" w:hAnsi="Verdana"/>
          <w:sz w:val="20"/>
          <w:lang w:val="pt-BR"/>
        </w:rPr>
        <w:t xml:space="preserve">a decisão </w:t>
      </w:r>
      <w:r w:rsidR="004756C1" w:rsidRPr="002F50BD">
        <w:rPr>
          <w:rFonts w:ascii="Verdana" w:hAnsi="Verdana"/>
          <w:sz w:val="20"/>
          <w:lang w:val="pt-BR"/>
        </w:rPr>
        <w:t>interlocut</w:t>
      </w:r>
      <w:r w:rsidR="00974F07" w:rsidRPr="002F50BD">
        <w:rPr>
          <w:rFonts w:ascii="Verdana" w:hAnsi="Verdana"/>
          <w:sz w:val="20"/>
          <w:lang w:val="pt-BR"/>
        </w:rPr>
        <w:t>ó</w:t>
      </w:r>
      <w:r w:rsidR="004756C1" w:rsidRPr="002F50BD">
        <w:rPr>
          <w:rFonts w:ascii="Verdana" w:hAnsi="Verdana"/>
          <w:sz w:val="20"/>
          <w:lang w:val="pt-BR"/>
        </w:rPr>
        <w:t>ri</w:t>
      </w:r>
      <w:r w:rsidR="00974F07" w:rsidRPr="002F50BD">
        <w:rPr>
          <w:rFonts w:ascii="Verdana" w:hAnsi="Verdana"/>
          <w:sz w:val="20"/>
          <w:lang w:val="pt-BR"/>
        </w:rPr>
        <w:t>a</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173</w:t>
      </w:r>
      <w:r w:rsidR="004756C1" w:rsidRPr="002F50BD">
        <w:rPr>
          <w:rFonts w:ascii="Verdana" w:hAnsi="Verdana"/>
          <w:sz w:val="20"/>
          <w:lang w:val="pt-BR"/>
        </w:rPr>
        <w:t xml:space="preserve"> mencionad</w:t>
      </w:r>
      <w:r w:rsidR="00974F07" w:rsidRPr="002F50BD">
        <w:rPr>
          <w:rFonts w:ascii="Verdana" w:hAnsi="Verdana"/>
          <w:sz w:val="20"/>
          <w:lang w:val="pt-BR"/>
        </w:rPr>
        <w:t>a</w:t>
      </w:r>
      <w:r w:rsidR="0089298C" w:rsidRPr="002F50BD">
        <w:rPr>
          <w:rFonts w:ascii="Verdana" w:hAnsi="Verdana"/>
          <w:sz w:val="20"/>
          <w:lang w:val="pt-BR"/>
        </w:rPr>
        <w:t xml:space="preserve"> no parágrafo</w:t>
      </w:r>
      <w:r w:rsidR="004756C1" w:rsidRPr="002F50BD">
        <w:rPr>
          <w:rFonts w:ascii="Verdana" w:hAnsi="Verdana"/>
          <w:sz w:val="20"/>
          <w:lang w:val="pt-BR"/>
        </w:rPr>
        <w:t xml:space="preserve"> anterior</w:t>
      </w:r>
      <w:r w:rsidR="00974F07" w:rsidRPr="002F50BD">
        <w:rPr>
          <w:rFonts w:ascii="Verdana" w:hAnsi="Verdana"/>
          <w:sz w:val="20"/>
          <w:lang w:val="pt-BR"/>
        </w:rPr>
        <w:t>.</w:t>
      </w:r>
      <w:r w:rsidR="004756C1" w:rsidRPr="002F50BD">
        <w:rPr>
          <w:rStyle w:val="FootnoteReference"/>
          <w:rFonts w:ascii="Verdana" w:hAnsi="Verdana"/>
          <w:lang w:val="es-ES_tradnl"/>
        </w:rPr>
        <w:footnoteReference w:id="116"/>
      </w:r>
      <w:r w:rsidR="004756C1" w:rsidRPr="002F50BD">
        <w:rPr>
          <w:rFonts w:ascii="Verdana" w:hAnsi="Verdana"/>
          <w:sz w:val="20"/>
          <w:lang w:val="pt-BR"/>
        </w:rPr>
        <w:t xml:space="preserve"> </w:t>
      </w:r>
    </w:p>
    <w:p w:rsidR="004756C1" w:rsidRPr="002F50BD" w:rsidRDefault="004756C1">
      <w:pPr>
        <w:pStyle w:val="BodyText"/>
        <w:widowControl/>
        <w:tabs>
          <w:tab w:val="left" w:pos="1440"/>
          <w:tab w:val="left" w:pos="1890"/>
        </w:tabs>
        <w:rPr>
          <w:rFonts w:ascii="Verdana" w:hAnsi="Verdana"/>
          <w:sz w:val="20"/>
          <w:lang w:val="pt-BR"/>
        </w:rPr>
      </w:pPr>
    </w:p>
    <w:p w:rsidR="004756C1" w:rsidRPr="002F50BD" w:rsidRDefault="00063B47">
      <w:pPr>
        <w:pStyle w:val="BodyText"/>
        <w:widowControl/>
        <w:tabs>
          <w:tab w:val="left" w:pos="720"/>
          <w:tab w:val="left" w:pos="1890"/>
        </w:tabs>
        <w:rPr>
          <w:rFonts w:ascii="Verdana" w:hAnsi="Verdana"/>
          <w:sz w:val="16"/>
          <w:lang w:val="pt-BR"/>
        </w:rPr>
      </w:pPr>
      <w:r w:rsidRPr="002F50BD">
        <w:rPr>
          <w:rFonts w:ascii="Verdana" w:hAnsi="Verdana"/>
          <w:sz w:val="20"/>
          <w:lang w:val="pt-BR"/>
        </w:rPr>
        <w:lastRenderedPageBreak/>
        <w:t>50</w:t>
      </w:r>
      <w:r w:rsidR="004756C1" w:rsidRPr="002F50BD">
        <w:rPr>
          <w:rFonts w:ascii="Verdana" w:hAnsi="Verdana"/>
          <w:sz w:val="20"/>
          <w:lang w:val="pt-BR"/>
        </w:rPr>
        <w:t>.</w:t>
      </w:r>
      <w:r w:rsidRPr="002F50BD">
        <w:rPr>
          <w:rFonts w:ascii="Verdana" w:hAnsi="Verdana"/>
          <w:sz w:val="20"/>
          <w:lang w:val="pt-BR"/>
        </w:rPr>
        <w:t>70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9</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1998</w:t>
      </w:r>
      <w:r w:rsidR="006D28A8"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Tribunal de Apela</w:t>
      </w:r>
      <w:r w:rsidR="0089298C" w:rsidRPr="002F50BD">
        <w:rPr>
          <w:rFonts w:ascii="Verdana" w:hAnsi="Verdana"/>
          <w:sz w:val="20"/>
          <w:lang w:val="pt-BR"/>
        </w:rPr>
        <w:t>ção</w:t>
      </w:r>
      <w:r w:rsidR="004574D2" w:rsidRPr="002F50BD">
        <w:rPr>
          <w:rFonts w:ascii="Verdana" w:hAnsi="Verdana"/>
          <w:sz w:val="20"/>
          <w:lang w:val="pt-BR"/>
        </w:rPr>
        <w:t xml:space="preserve"> Civil</w:t>
      </w:r>
      <w:r w:rsidR="004756C1" w:rsidRPr="002F50BD">
        <w:rPr>
          <w:rFonts w:ascii="Verdana" w:hAnsi="Verdana"/>
          <w:sz w:val="20"/>
          <w:lang w:val="pt-BR"/>
        </w:rPr>
        <w:t xml:space="preserve">, Comercial, </w:t>
      </w:r>
      <w:r w:rsidR="004574D2" w:rsidRPr="002F50BD">
        <w:rPr>
          <w:rFonts w:ascii="Verdana" w:hAnsi="Verdana"/>
          <w:sz w:val="20"/>
          <w:lang w:val="pt-BR"/>
        </w:rPr>
        <w:t>Trabalhista</w:t>
      </w:r>
      <w:r w:rsidR="004756C1" w:rsidRPr="002F50BD">
        <w:rPr>
          <w:rFonts w:ascii="Verdana" w:hAnsi="Verdana"/>
          <w:sz w:val="20"/>
          <w:lang w:val="pt-BR"/>
        </w:rPr>
        <w:t>, Criminal, Correcional</w:t>
      </w:r>
      <w:r w:rsidR="0089298C" w:rsidRPr="002F50BD">
        <w:rPr>
          <w:rFonts w:ascii="Verdana" w:hAnsi="Verdana"/>
          <w:sz w:val="20"/>
          <w:lang w:val="pt-BR"/>
        </w:rPr>
        <w:t xml:space="preserve"> e </w:t>
      </w:r>
      <w:r w:rsidR="004756C1" w:rsidRPr="002F50BD">
        <w:rPr>
          <w:rFonts w:ascii="Verdana" w:hAnsi="Verdana"/>
          <w:sz w:val="20"/>
          <w:lang w:val="pt-BR"/>
        </w:rPr>
        <w:t xml:space="preserve">Tutelar </w:t>
      </w:r>
      <w:r w:rsidR="0089298C" w:rsidRPr="002F50BD">
        <w:rPr>
          <w:rFonts w:ascii="Verdana" w:hAnsi="Verdana"/>
          <w:sz w:val="20"/>
          <w:lang w:val="pt-BR"/>
        </w:rPr>
        <w:t xml:space="preserve">do </w:t>
      </w:r>
      <w:r w:rsidR="004756C1" w:rsidRPr="002F50BD">
        <w:rPr>
          <w:rFonts w:ascii="Verdana" w:hAnsi="Verdana"/>
          <w:sz w:val="20"/>
          <w:lang w:val="pt-BR"/>
        </w:rPr>
        <w:t xml:space="preserve">Menor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89298C" w:rsidRPr="002F50BD">
        <w:rPr>
          <w:rFonts w:ascii="Verdana" w:hAnsi="Verdana"/>
          <w:sz w:val="20"/>
          <w:lang w:val="pt-BR"/>
        </w:rPr>
        <w:t xml:space="preserve">confirmou </w:t>
      </w:r>
      <w:r w:rsidR="004574D2" w:rsidRPr="002F50BD">
        <w:rPr>
          <w:rFonts w:ascii="Verdana" w:hAnsi="Verdana"/>
          <w:sz w:val="20"/>
          <w:lang w:val="pt-BR"/>
        </w:rPr>
        <w:t>a decisão a</w:t>
      </w:r>
      <w:r w:rsidR="004756C1" w:rsidRPr="002F50BD">
        <w:rPr>
          <w:rFonts w:ascii="Verdana" w:hAnsi="Verdana"/>
          <w:sz w:val="20"/>
          <w:lang w:val="pt-BR"/>
        </w:rPr>
        <w:t>pelad</w:t>
      </w:r>
      <w:r w:rsidR="004574D2" w:rsidRPr="002F50BD">
        <w:rPr>
          <w:rFonts w:ascii="Verdana" w:hAnsi="Verdana"/>
          <w:sz w:val="20"/>
          <w:lang w:val="pt-BR"/>
        </w:rPr>
        <w:t>a</w:t>
      </w:r>
      <w:r w:rsidR="004756C1" w:rsidRPr="002F50BD">
        <w:rPr>
          <w:rFonts w:ascii="Verdana" w:hAnsi="Verdana"/>
          <w:sz w:val="20"/>
          <w:lang w:val="pt-BR"/>
        </w:rPr>
        <w:t xml:space="preserve"> que levant</w:t>
      </w:r>
      <w:r w:rsidR="004574D2" w:rsidRPr="002F50BD">
        <w:rPr>
          <w:rFonts w:ascii="Verdana" w:hAnsi="Verdana"/>
          <w:sz w:val="20"/>
          <w:lang w:val="pt-BR"/>
        </w:rPr>
        <w:t>ou</w:t>
      </w:r>
      <w:r w:rsidR="0089298C" w:rsidRPr="002F50BD">
        <w:rPr>
          <w:rFonts w:ascii="Verdana" w:hAnsi="Verdana"/>
          <w:sz w:val="20"/>
          <w:lang w:val="pt-BR"/>
        </w:rPr>
        <w:t xml:space="preserve"> as </w:t>
      </w:r>
      <w:r w:rsidR="004756C1" w:rsidRPr="002F50BD">
        <w:rPr>
          <w:rFonts w:ascii="Verdana" w:hAnsi="Verdana"/>
          <w:sz w:val="20"/>
          <w:lang w:val="pt-BR"/>
        </w:rPr>
        <w:t>medidas cautelares</w:t>
      </w:r>
      <w:r w:rsidR="004574D2" w:rsidRPr="002F50BD">
        <w:rPr>
          <w:rFonts w:ascii="Verdana" w:hAnsi="Verdana"/>
          <w:sz w:val="20"/>
          <w:lang w:val="pt-BR"/>
        </w:rPr>
        <w:t>.</w:t>
      </w:r>
      <w:r w:rsidR="004756C1" w:rsidRPr="002F50BD">
        <w:rPr>
          <w:rStyle w:val="FootnoteReference"/>
          <w:rFonts w:ascii="Verdana" w:hAnsi="Verdana"/>
          <w:sz w:val="16"/>
          <w:lang w:val="es-ES_tradnl"/>
        </w:rPr>
        <w:footnoteReference w:id="117"/>
      </w:r>
    </w:p>
    <w:p w:rsidR="004756C1" w:rsidRPr="002F50BD" w:rsidRDefault="004756C1">
      <w:pPr>
        <w:pStyle w:val="BodyText"/>
        <w:rPr>
          <w:rFonts w:ascii="Verdana" w:hAnsi="Verdana"/>
          <w:sz w:val="16"/>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29</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1998</w:t>
      </w:r>
      <w:r w:rsidR="006D28A8" w:rsidRPr="002F50BD">
        <w:rPr>
          <w:rFonts w:ascii="Verdana" w:hAnsi="Verdana"/>
          <w:sz w:val="20"/>
          <w:lang w:val="pt-BR"/>
        </w:rPr>
        <w:t>,</w:t>
      </w:r>
      <w:r w:rsidR="0089298C" w:rsidRPr="002F50BD">
        <w:rPr>
          <w:rFonts w:ascii="Verdana" w:hAnsi="Verdana"/>
          <w:sz w:val="20"/>
          <w:lang w:val="pt-BR"/>
        </w:rPr>
        <w:t xml:space="preserve"> o advogad</w:t>
      </w:r>
      <w:r w:rsidR="004756C1" w:rsidRPr="002F50BD">
        <w:rPr>
          <w:rFonts w:ascii="Verdana" w:hAnsi="Verdana"/>
          <w:sz w:val="20"/>
          <w:lang w:val="pt-BR"/>
        </w:rPr>
        <w:t>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interpôs</w:t>
      </w:r>
      <w:r w:rsidR="004756C1" w:rsidRPr="002F50BD">
        <w:rPr>
          <w:rFonts w:ascii="Verdana" w:hAnsi="Verdana"/>
          <w:sz w:val="20"/>
          <w:lang w:val="pt-BR"/>
        </w:rPr>
        <w:t xml:space="preserve"> </w:t>
      </w:r>
      <w:r w:rsidR="004076AD" w:rsidRPr="002F50BD">
        <w:rPr>
          <w:rFonts w:ascii="Verdana" w:hAnsi="Verdana"/>
          <w:sz w:val="20"/>
          <w:lang w:val="pt-BR"/>
        </w:rPr>
        <w:t>ação</w:t>
      </w:r>
      <w:r w:rsidR="004756C1" w:rsidRPr="002F50BD">
        <w:rPr>
          <w:rFonts w:ascii="Verdana" w:hAnsi="Verdana"/>
          <w:sz w:val="20"/>
          <w:lang w:val="pt-BR"/>
        </w:rPr>
        <w:t xml:space="preserve"> de in</w:t>
      </w:r>
      <w:r w:rsidR="0089298C" w:rsidRPr="002F50BD">
        <w:rPr>
          <w:rFonts w:ascii="Verdana" w:hAnsi="Verdana"/>
          <w:sz w:val="20"/>
          <w:lang w:val="pt-BR"/>
        </w:rPr>
        <w:t xml:space="preserve">constitucionalidade perante a </w:t>
      </w:r>
      <w:r w:rsidR="004756C1" w:rsidRPr="002F50BD">
        <w:rPr>
          <w:rFonts w:ascii="Verdana" w:hAnsi="Verdana"/>
          <w:sz w:val="20"/>
          <w:lang w:val="pt-BR"/>
        </w:rPr>
        <w:t>Sala Constitucional</w:t>
      </w:r>
      <w:r w:rsidR="0089298C" w:rsidRPr="002F50BD">
        <w:rPr>
          <w:rFonts w:ascii="Verdana" w:hAnsi="Verdana"/>
          <w:sz w:val="20"/>
          <w:lang w:val="pt-BR"/>
        </w:rPr>
        <w:t xml:space="preserve"> da </w:t>
      </w:r>
      <w:r w:rsidR="004756C1" w:rsidRPr="002F50BD">
        <w:rPr>
          <w:rFonts w:ascii="Verdana" w:hAnsi="Verdana"/>
          <w:sz w:val="20"/>
          <w:lang w:val="pt-BR"/>
        </w:rPr>
        <w:t xml:space="preserve">Corte Suprema de </w:t>
      </w:r>
      <w:r w:rsidR="0089298C" w:rsidRPr="002F50BD">
        <w:rPr>
          <w:rFonts w:ascii="Verdana" w:hAnsi="Verdana"/>
          <w:sz w:val="20"/>
          <w:lang w:val="pt-BR"/>
        </w:rPr>
        <w:t>Justiça</w:t>
      </w:r>
      <w:r w:rsidR="00AB454A" w:rsidRPr="002F50BD">
        <w:rPr>
          <w:rFonts w:ascii="Verdana" w:hAnsi="Verdana"/>
          <w:sz w:val="20"/>
          <w:lang w:val="pt-BR"/>
        </w:rPr>
        <w:t xml:space="preserve"> contra </w:t>
      </w:r>
      <w:r w:rsidR="004574D2" w:rsidRPr="002F50BD">
        <w:rPr>
          <w:rFonts w:ascii="Verdana" w:hAnsi="Verdana"/>
          <w:sz w:val="20"/>
          <w:lang w:val="pt-BR"/>
        </w:rPr>
        <w:t>a</w:t>
      </w:r>
      <w:r w:rsidR="0089298C" w:rsidRPr="002F50BD">
        <w:rPr>
          <w:rFonts w:ascii="Verdana" w:hAnsi="Verdana"/>
          <w:sz w:val="20"/>
          <w:lang w:val="pt-BR"/>
        </w:rPr>
        <w:t xml:space="preserve"> indicad</w:t>
      </w:r>
      <w:r w:rsidR="004574D2" w:rsidRPr="002F50BD">
        <w:rPr>
          <w:rFonts w:ascii="Verdana" w:hAnsi="Verdana"/>
          <w:sz w:val="20"/>
          <w:lang w:val="pt-BR"/>
        </w:rPr>
        <w:t>a decisão interlocutória</w:t>
      </w:r>
      <w:r w:rsidR="004574D2" w:rsidRPr="002F50BD">
        <w:rPr>
          <w:rFonts w:ascii="Verdana" w:hAnsi="Verdana"/>
          <w:sz w:val="16"/>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Tribunal de Apela</w:t>
      </w:r>
      <w:r w:rsidR="0089298C" w:rsidRPr="002F50BD">
        <w:rPr>
          <w:rFonts w:ascii="Verdana" w:hAnsi="Verdana"/>
          <w:sz w:val="20"/>
          <w:lang w:val="pt-BR"/>
        </w:rPr>
        <w:t>ção</w:t>
      </w:r>
      <w:r w:rsidR="004756C1" w:rsidRPr="002F50BD">
        <w:rPr>
          <w:rStyle w:val="FootnoteReference"/>
          <w:rFonts w:ascii="Verdana" w:hAnsi="Verdana"/>
          <w:lang w:val="es-ES_tradnl"/>
        </w:rPr>
        <w:footnoteReference w:id="118"/>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70</w:t>
      </w:r>
      <w:r w:rsidR="004574D2"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r w:rsidR="004574D2" w:rsidRPr="002F50BD">
        <w:rPr>
          <w:rFonts w:ascii="Verdana" w:hAnsi="Verdana"/>
          <w:sz w:val="20"/>
          <w:lang w:val="pt-BR"/>
        </w:rPr>
        <w:t>Igualmente</w:t>
      </w:r>
      <w:r w:rsidR="004756C1"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9</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1999</w:t>
      </w:r>
      <w:r w:rsidR="009154F5"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apresentou um </w:t>
      </w:r>
      <w:r w:rsidR="004756C1" w:rsidRPr="002F50BD">
        <w:rPr>
          <w:rFonts w:ascii="Verdana" w:hAnsi="Verdana"/>
          <w:sz w:val="20"/>
          <w:lang w:val="pt-BR"/>
        </w:rPr>
        <w:t>escrito, mediante</w:t>
      </w:r>
      <w:r w:rsidR="0089298C" w:rsidRPr="002F50BD">
        <w:rPr>
          <w:rFonts w:ascii="Verdana" w:hAnsi="Verdana"/>
          <w:sz w:val="20"/>
          <w:lang w:val="pt-BR"/>
        </w:rPr>
        <w:t xml:space="preserve"> o qual denunciou a </w:t>
      </w:r>
      <w:r w:rsidR="004756C1" w:rsidRPr="002F50BD">
        <w:rPr>
          <w:rFonts w:ascii="Verdana" w:hAnsi="Verdana"/>
          <w:sz w:val="20"/>
          <w:lang w:val="pt-BR"/>
        </w:rPr>
        <w:t>realiza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trabalho</w:t>
      </w:r>
      <w:r w:rsidR="004756C1" w:rsidRPr="002F50BD">
        <w:rPr>
          <w:rFonts w:ascii="Verdana" w:hAnsi="Verdana"/>
          <w:sz w:val="20"/>
          <w:lang w:val="pt-BR"/>
        </w:rPr>
        <w:t>s intensivos de desmonte, edifica</w:t>
      </w:r>
      <w:r w:rsidR="0089298C" w:rsidRPr="002F50BD">
        <w:rPr>
          <w:rFonts w:ascii="Verdana" w:hAnsi="Verdana"/>
          <w:sz w:val="20"/>
          <w:lang w:val="pt-BR"/>
        </w:rPr>
        <w:t xml:space="preserve">ção e </w:t>
      </w:r>
      <w:r w:rsidR="004574D2" w:rsidRPr="002F50BD">
        <w:rPr>
          <w:rFonts w:ascii="Verdana" w:hAnsi="Verdana"/>
          <w:sz w:val="20"/>
          <w:lang w:val="pt-BR"/>
        </w:rPr>
        <w:t>escavação</w:t>
      </w:r>
      <w:r w:rsidR="0089298C" w:rsidRPr="002F50BD">
        <w:rPr>
          <w:rFonts w:ascii="Verdana" w:hAnsi="Verdana"/>
          <w:sz w:val="20"/>
          <w:lang w:val="pt-BR"/>
        </w:rPr>
        <w:t xml:space="preserve"> no imóvel</w:t>
      </w:r>
      <w:r w:rsidR="004756C1" w:rsidRPr="002F50BD">
        <w:rPr>
          <w:rFonts w:ascii="Verdana" w:hAnsi="Verdana"/>
          <w:sz w:val="20"/>
          <w:lang w:val="pt-BR"/>
        </w:rPr>
        <w:t xml:space="preserve"> </w:t>
      </w:r>
      <w:r w:rsidR="0089298C" w:rsidRPr="002F50BD">
        <w:rPr>
          <w:rFonts w:ascii="Verdana" w:hAnsi="Verdana"/>
          <w:sz w:val="20"/>
          <w:lang w:val="pt-BR"/>
        </w:rPr>
        <w:t>afeta</w:t>
      </w:r>
      <w:r w:rsidR="004756C1" w:rsidRPr="002F50BD">
        <w:rPr>
          <w:rFonts w:ascii="Verdana" w:hAnsi="Verdana"/>
          <w:sz w:val="20"/>
          <w:lang w:val="pt-BR"/>
        </w:rPr>
        <w:t>do</w:t>
      </w:r>
      <w:r w:rsidR="006D28A8" w:rsidRPr="002F50BD">
        <w:rPr>
          <w:rFonts w:ascii="Verdana" w:hAnsi="Verdana"/>
          <w:sz w:val="20"/>
          <w:lang w:val="pt-BR"/>
        </w:rPr>
        <w:t>,</w:t>
      </w:r>
      <w:r w:rsidR="0089298C" w:rsidRPr="002F50BD">
        <w:rPr>
          <w:rFonts w:ascii="Verdana" w:hAnsi="Verdana"/>
          <w:sz w:val="20"/>
          <w:lang w:val="pt-BR"/>
        </w:rPr>
        <w:t xml:space="preserve"> </w:t>
      </w:r>
      <w:r w:rsidR="004574D2" w:rsidRPr="002F50BD">
        <w:rPr>
          <w:rFonts w:ascii="Verdana" w:hAnsi="Verdana"/>
          <w:sz w:val="20"/>
          <w:lang w:val="pt-BR"/>
        </w:rPr>
        <w:t>como resultado</w:t>
      </w:r>
      <w:r w:rsidR="004756C1" w:rsidRPr="002F50BD">
        <w:rPr>
          <w:rFonts w:ascii="Verdana" w:hAnsi="Verdana"/>
          <w:sz w:val="20"/>
          <w:lang w:val="pt-BR"/>
        </w:rPr>
        <w:t>”</w:t>
      </w:r>
      <w:r w:rsidR="0089298C" w:rsidRPr="002F50BD">
        <w:rPr>
          <w:rFonts w:ascii="Verdana" w:hAnsi="Verdana"/>
          <w:sz w:val="20"/>
          <w:lang w:val="pt-BR"/>
        </w:rPr>
        <w:t xml:space="preserve"> da </w:t>
      </w:r>
      <w:r w:rsidR="004076AD" w:rsidRPr="002F50BD">
        <w:rPr>
          <w:rFonts w:ascii="Verdana" w:hAnsi="Verdana"/>
          <w:sz w:val="20"/>
          <w:lang w:val="pt-BR"/>
        </w:rPr>
        <w:t>ação</w:t>
      </w:r>
      <w:r w:rsidR="004756C1" w:rsidRPr="002F50BD">
        <w:rPr>
          <w:rFonts w:ascii="Verdana" w:hAnsi="Verdana"/>
          <w:sz w:val="20"/>
          <w:lang w:val="pt-BR"/>
        </w:rPr>
        <w:t xml:space="preserve"> de in</w:t>
      </w:r>
      <w:r w:rsidR="0089298C" w:rsidRPr="002F50BD">
        <w:rPr>
          <w:rFonts w:ascii="Verdana" w:hAnsi="Verdana"/>
          <w:sz w:val="20"/>
          <w:lang w:val="pt-BR"/>
        </w:rPr>
        <w:t>constitucionalidade interpost</w:t>
      </w:r>
      <w:r w:rsidR="004756C1" w:rsidRPr="002F50BD">
        <w:rPr>
          <w:rFonts w:ascii="Verdana" w:hAnsi="Verdana"/>
          <w:sz w:val="20"/>
          <w:lang w:val="pt-BR"/>
        </w:rPr>
        <w:t>a,</w:t>
      </w:r>
      <w:r w:rsidR="0089298C" w:rsidRPr="002F50BD">
        <w:rPr>
          <w:rFonts w:ascii="Verdana" w:hAnsi="Verdana"/>
          <w:sz w:val="20"/>
          <w:lang w:val="pt-BR"/>
        </w:rPr>
        <w:t xml:space="preserve"> </w:t>
      </w:r>
      <w:r w:rsidR="004574D2" w:rsidRPr="002F50BD">
        <w:rPr>
          <w:rFonts w:ascii="Verdana" w:hAnsi="Verdana"/>
          <w:sz w:val="20"/>
          <w:lang w:val="pt-BR"/>
        </w:rPr>
        <w:t xml:space="preserve">de maneira </w:t>
      </w:r>
      <w:r w:rsidR="0089298C" w:rsidRPr="002F50BD">
        <w:rPr>
          <w:rFonts w:ascii="Verdana" w:hAnsi="Verdana"/>
          <w:sz w:val="20"/>
          <w:lang w:val="pt-BR"/>
        </w:rPr>
        <w:t>que solicitou a adoção</w:t>
      </w:r>
      <w:r w:rsidR="004756C1" w:rsidRPr="002F50BD">
        <w:rPr>
          <w:rFonts w:ascii="Verdana" w:hAnsi="Verdana"/>
          <w:sz w:val="20"/>
          <w:lang w:val="pt-BR"/>
        </w:rPr>
        <w:t xml:space="preserve"> de medidas de </w:t>
      </w:r>
      <w:r w:rsidR="0089298C" w:rsidRPr="002F50BD">
        <w:rPr>
          <w:rFonts w:ascii="Verdana" w:hAnsi="Verdana"/>
          <w:sz w:val="20"/>
          <w:lang w:val="pt-BR"/>
        </w:rPr>
        <w:t>proteção</w:t>
      </w:r>
      <w:r w:rsidR="004574D2" w:rsidRPr="002F50BD">
        <w:rPr>
          <w:rFonts w:ascii="Verdana" w:hAnsi="Verdana"/>
          <w:sz w:val="20"/>
          <w:lang w:val="pt-BR"/>
        </w:rPr>
        <w:t>.</w:t>
      </w:r>
      <w:r w:rsidR="004756C1" w:rsidRPr="002F50BD">
        <w:rPr>
          <w:rStyle w:val="FootnoteReference"/>
          <w:rFonts w:ascii="Verdana" w:hAnsi="Verdana"/>
          <w:lang w:val="es-ES_tradnl"/>
        </w:rPr>
        <w:footnoteReference w:id="119"/>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1999</w:t>
      </w:r>
      <w:r w:rsidR="006D28A8"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Sala Constitucional</w:t>
      </w:r>
      <w:r w:rsidR="0089298C" w:rsidRPr="002F50BD">
        <w:rPr>
          <w:rFonts w:ascii="Verdana" w:hAnsi="Verdana"/>
          <w:sz w:val="20"/>
          <w:lang w:val="pt-BR"/>
        </w:rPr>
        <w:t xml:space="preserve"> da </w:t>
      </w:r>
      <w:r w:rsidR="004756C1" w:rsidRPr="002F50BD">
        <w:rPr>
          <w:rFonts w:ascii="Verdana" w:hAnsi="Verdana"/>
          <w:sz w:val="20"/>
          <w:lang w:val="pt-BR"/>
        </w:rPr>
        <w:t xml:space="preserve">Corte Suprema de </w:t>
      </w:r>
      <w:r w:rsidR="0089298C" w:rsidRPr="002F50BD">
        <w:rPr>
          <w:rFonts w:ascii="Verdana" w:hAnsi="Verdana"/>
          <w:sz w:val="20"/>
          <w:lang w:val="pt-BR"/>
        </w:rPr>
        <w:t>Justiça</w:t>
      </w:r>
      <w:r w:rsidR="004756C1" w:rsidRPr="002F50BD">
        <w:rPr>
          <w:rFonts w:ascii="Verdana" w:hAnsi="Verdana"/>
          <w:sz w:val="20"/>
          <w:lang w:val="pt-BR"/>
        </w:rPr>
        <w:t xml:space="preserve"> </w:t>
      </w:r>
      <w:r w:rsidR="0089298C" w:rsidRPr="002F50BD">
        <w:rPr>
          <w:rFonts w:ascii="Verdana" w:hAnsi="Verdana"/>
          <w:sz w:val="20"/>
          <w:lang w:val="pt-BR"/>
        </w:rPr>
        <w:t>resolveu</w:t>
      </w:r>
      <w:r w:rsidR="004756C1" w:rsidRPr="002F50BD">
        <w:rPr>
          <w:rFonts w:ascii="Verdana" w:hAnsi="Verdana"/>
          <w:sz w:val="20"/>
          <w:lang w:val="pt-BR"/>
        </w:rPr>
        <w:t xml:space="preserve"> n</w:t>
      </w:r>
      <w:r w:rsidR="004574D2"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w:t>
      </w:r>
      <w:r w:rsidR="006D28A8" w:rsidRPr="002F50BD">
        <w:rPr>
          <w:rFonts w:ascii="Verdana" w:hAnsi="Verdana"/>
          <w:sz w:val="20"/>
          <w:lang w:val="pt-BR"/>
        </w:rPr>
        <w:t xml:space="preserve">aceitar </w:t>
      </w:r>
      <w:r w:rsidR="0089298C" w:rsidRPr="002F50BD">
        <w:rPr>
          <w:rFonts w:ascii="Verdana" w:hAnsi="Verdana"/>
          <w:sz w:val="20"/>
          <w:lang w:val="pt-BR"/>
        </w:rPr>
        <w:t xml:space="preserve">o </w:t>
      </w:r>
      <w:r w:rsidR="004756C1" w:rsidRPr="002F50BD">
        <w:rPr>
          <w:rFonts w:ascii="Verdana" w:hAnsi="Verdana"/>
          <w:sz w:val="20"/>
          <w:lang w:val="pt-BR"/>
        </w:rPr>
        <w:t xml:space="preserve">pedido de medidas de </w:t>
      </w:r>
      <w:r w:rsidR="0089298C" w:rsidRPr="002F50BD">
        <w:rPr>
          <w:rFonts w:ascii="Verdana" w:hAnsi="Verdana"/>
          <w:sz w:val="20"/>
          <w:lang w:val="pt-BR"/>
        </w:rPr>
        <w:t>proteção</w:t>
      </w:r>
      <w:r w:rsidR="004756C1" w:rsidRPr="002F50BD">
        <w:rPr>
          <w:rFonts w:ascii="Verdana" w:hAnsi="Verdana"/>
          <w:sz w:val="20"/>
          <w:lang w:val="pt-BR"/>
        </w:rPr>
        <w:t xml:space="preserve"> formulado</w:t>
      </w:r>
      <w:r w:rsidR="0089298C" w:rsidRPr="002F50BD">
        <w:rPr>
          <w:rFonts w:ascii="Verdana" w:hAnsi="Verdana"/>
          <w:sz w:val="20"/>
          <w:lang w:val="pt-BR"/>
        </w:rPr>
        <w:t xml:space="preserve"> pelo advogad</w:t>
      </w:r>
      <w:r w:rsidR="004756C1" w:rsidRPr="002F50BD">
        <w:rPr>
          <w:rFonts w:ascii="Verdana" w:hAnsi="Verdana"/>
          <w:sz w:val="20"/>
          <w:lang w:val="pt-BR"/>
        </w:rPr>
        <w:t>o</w:t>
      </w:r>
      <w:r w:rsidR="0089298C" w:rsidRPr="002F50BD">
        <w:rPr>
          <w:rFonts w:ascii="Verdana" w:hAnsi="Verdana"/>
          <w:sz w:val="20"/>
          <w:lang w:val="pt-BR"/>
        </w:rPr>
        <w:t xml:space="preserve"> da </w:t>
      </w:r>
      <w:r w:rsidR="004756C1" w:rsidRPr="002F50BD">
        <w:rPr>
          <w:rFonts w:ascii="Verdana" w:hAnsi="Verdana"/>
          <w:sz w:val="20"/>
          <w:lang w:val="pt-BR"/>
        </w:rPr>
        <w:t>Comunidad</w:t>
      </w:r>
      <w:r w:rsidR="004574D2" w:rsidRPr="002F50BD">
        <w:rPr>
          <w:rFonts w:ascii="Verdana" w:hAnsi="Verdana"/>
          <w:sz w:val="20"/>
          <w:lang w:val="pt-BR"/>
        </w:rPr>
        <w:t>e</w:t>
      </w:r>
      <w:r w:rsidR="004756C1" w:rsidRPr="002F50BD">
        <w:rPr>
          <w:rStyle w:val="FootnoteReference"/>
          <w:rFonts w:ascii="Verdana" w:hAnsi="Verdana"/>
          <w:lang w:val="es-ES_tradnl"/>
        </w:rPr>
        <w:footnoteReference w:id="120"/>
      </w:r>
      <w:r w:rsidR="0089298C" w:rsidRPr="002F50BD">
        <w:rPr>
          <w:rFonts w:ascii="Verdana" w:hAnsi="Verdana"/>
          <w:sz w:val="20"/>
          <w:lang w:val="pt-BR"/>
        </w:rPr>
        <w:t xml:space="preserve"> e</w:t>
      </w:r>
      <w:r w:rsidR="009154F5"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posteriormente</w:t>
      </w:r>
      <w:r w:rsidR="009154F5"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declarou a caducidade da instância no </w:t>
      </w:r>
      <w:r w:rsidR="004574D2" w:rsidRPr="002F50BD">
        <w:rPr>
          <w:rFonts w:ascii="Verdana" w:hAnsi="Verdana"/>
          <w:sz w:val="20"/>
          <w:lang w:val="pt-BR"/>
        </w:rPr>
        <w:t>julgamento</w:t>
      </w:r>
      <w:r w:rsidR="004756C1" w:rsidRPr="002F50BD">
        <w:rPr>
          <w:rFonts w:ascii="Verdana" w:hAnsi="Verdana"/>
          <w:sz w:val="20"/>
          <w:lang w:val="pt-BR"/>
        </w:rPr>
        <w:t xml:space="preserve"> de inconstitucionalidad</w:t>
      </w:r>
      <w:r w:rsidR="006D28A8" w:rsidRPr="002F50BD">
        <w:rPr>
          <w:rFonts w:ascii="Verdana" w:hAnsi="Verdana"/>
          <w:sz w:val="20"/>
          <w:lang w:val="pt-BR"/>
        </w:rPr>
        <w:t>e.</w:t>
      </w:r>
      <w:r w:rsidR="004756C1" w:rsidRPr="002F50BD">
        <w:rPr>
          <w:rStyle w:val="FootnoteReference"/>
          <w:rFonts w:ascii="Verdana" w:hAnsi="Verdana"/>
          <w:lang w:val="es-ES_tradnl"/>
        </w:rPr>
        <w:footnoteReference w:id="121"/>
      </w:r>
    </w:p>
    <w:p w:rsidR="004756C1" w:rsidRPr="002F50BD" w:rsidRDefault="004756C1">
      <w:pPr>
        <w:pStyle w:val="BodyText"/>
        <w:rPr>
          <w:rFonts w:ascii="Verdana" w:hAnsi="Verdana"/>
          <w:sz w:val="20"/>
          <w:lang w:val="pt-BR"/>
        </w:rPr>
      </w:pPr>
    </w:p>
    <w:p w:rsidR="004756C1" w:rsidRPr="002F50BD" w:rsidRDefault="004756C1">
      <w:pPr>
        <w:numPr>
          <w:ilvl w:val="0"/>
          <w:numId w:val="35"/>
        </w:numPr>
        <w:jc w:val="both"/>
        <w:rPr>
          <w:rFonts w:ascii="Verdana" w:hAnsi="Verdana"/>
          <w:sz w:val="20"/>
        </w:rPr>
      </w:pPr>
      <w:r w:rsidRPr="002F50BD">
        <w:rPr>
          <w:rFonts w:ascii="Verdana" w:hAnsi="Verdana"/>
          <w:sz w:val="20"/>
        </w:rPr>
        <w:t>Promovidas</w:t>
      </w:r>
      <w:r w:rsidR="0089298C" w:rsidRPr="002F50BD">
        <w:rPr>
          <w:rFonts w:ascii="Verdana" w:hAnsi="Verdana"/>
          <w:sz w:val="20"/>
        </w:rPr>
        <w:t xml:space="preserve"> pelo </w:t>
      </w:r>
      <w:r w:rsidRPr="002F50BD">
        <w:rPr>
          <w:rFonts w:ascii="Verdana" w:hAnsi="Verdana"/>
          <w:sz w:val="20"/>
        </w:rPr>
        <w:t>INDI</w:t>
      </w:r>
    </w:p>
    <w:p w:rsidR="004756C1" w:rsidRPr="002F50BD" w:rsidRDefault="004756C1">
      <w:pPr>
        <w:jc w:val="both"/>
        <w:rPr>
          <w:rFonts w:ascii="Verdana" w:hAnsi="Verdana"/>
          <w:sz w:val="20"/>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24</w:t>
      </w:r>
      <w:r w:rsidR="004756C1" w:rsidRPr="002F50BD">
        <w:rPr>
          <w:rFonts w:ascii="Verdana" w:hAnsi="Verdana"/>
          <w:sz w:val="20"/>
          <w:lang w:val="pt-BR"/>
        </w:rPr>
        <w:t xml:space="preserve"> de abril 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b/>
          <w:sz w:val="20"/>
          <w:lang w:val="pt-BR"/>
        </w:rPr>
        <w:t xml:space="preserve"> </w:t>
      </w:r>
      <w:r w:rsidR="0089298C" w:rsidRPr="002F50BD">
        <w:rPr>
          <w:rFonts w:ascii="Verdana" w:hAnsi="Verdana"/>
          <w:sz w:val="20"/>
          <w:lang w:val="pt-BR"/>
        </w:rPr>
        <w:t>o</w:t>
      </w:r>
      <w:r w:rsidR="0089298C" w:rsidRPr="002F50BD">
        <w:rPr>
          <w:rFonts w:ascii="Verdana" w:hAnsi="Verdana"/>
          <w:b/>
          <w:sz w:val="20"/>
          <w:lang w:val="pt-BR"/>
        </w:rPr>
        <w:t xml:space="preserve"> </w:t>
      </w:r>
      <w:r w:rsidR="004756C1" w:rsidRPr="002F50BD">
        <w:rPr>
          <w:rFonts w:ascii="Verdana" w:hAnsi="Verdana"/>
          <w:sz w:val="20"/>
          <w:lang w:val="pt-BR"/>
        </w:rPr>
        <w:t xml:space="preserve">INDI </w:t>
      </w:r>
      <w:r w:rsidR="004574D2" w:rsidRPr="002F50BD">
        <w:rPr>
          <w:rFonts w:ascii="Verdana" w:hAnsi="Verdana"/>
          <w:sz w:val="20"/>
          <w:lang w:val="pt-BR"/>
        </w:rPr>
        <w:t>realizou um</w:t>
      </w:r>
      <w:r w:rsidR="0089298C" w:rsidRPr="002F50BD">
        <w:rPr>
          <w:rFonts w:ascii="Verdana" w:hAnsi="Verdana"/>
          <w:sz w:val="20"/>
          <w:lang w:val="pt-BR"/>
        </w:rPr>
        <w:t xml:space="preserve"> </w:t>
      </w:r>
      <w:r w:rsidR="004574D2" w:rsidRPr="002F50BD">
        <w:rPr>
          <w:rFonts w:ascii="Verdana" w:hAnsi="Verdana"/>
          <w:sz w:val="20"/>
          <w:lang w:val="pt-BR"/>
        </w:rPr>
        <w:t xml:space="preserve">pedido </w:t>
      </w:r>
      <w:r w:rsidR="004756C1" w:rsidRPr="002F50BD">
        <w:rPr>
          <w:rFonts w:ascii="Verdana" w:hAnsi="Verdana"/>
          <w:sz w:val="20"/>
          <w:lang w:val="pt-BR"/>
        </w:rPr>
        <w:t xml:space="preserve">de medidas cautelares de </w:t>
      </w:r>
      <w:r w:rsidR="004574D2" w:rsidRPr="002F50BD">
        <w:rPr>
          <w:rFonts w:ascii="Verdana" w:hAnsi="Verdana"/>
          <w:sz w:val="20"/>
          <w:lang w:val="pt-BR"/>
        </w:rPr>
        <w:t xml:space="preserve">não inovação e registro da </w:t>
      </w:r>
      <w:r w:rsidR="009154F5" w:rsidRPr="002F50BD">
        <w:rPr>
          <w:rFonts w:ascii="Verdana" w:hAnsi="Verdana"/>
          <w:sz w:val="20"/>
          <w:lang w:val="pt-BR"/>
        </w:rPr>
        <w:t>lide</w:t>
      </w:r>
      <w:r w:rsidR="002829BB" w:rsidRPr="002829BB">
        <w:rPr>
          <w:rFonts w:ascii="Verdana" w:hAnsi="Verdana"/>
          <w:sz w:val="20"/>
          <w:lang w:val="pt-BR"/>
        </w:rPr>
        <w:t xml:space="preserve"> </w:t>
      </w:r>
      <w:r w:rsidR="002829BB" w:rsidRPr="002F50BD">
        <w:rPr>
          <w:rFonts w:ascii="Verdana" w:hAnsi="Verdana"/>
          <w:sz w:val="20"/>
          <w:lang w:val="pt-BR"/>
        </w:rPr>
        <w:t>perante os tribunais de justiça</w:t>
      </w:r>
      <w:r w:rsidR="004756C1" w:rsidRPr="002F50BD">
        <w:rPr>
          <w:rFonts w:ascii="Verdana" w:hAnsi="Verdana"/>
          <w:sz w:val="20"/>
          <w:lang w:val="pt-BR"/>
        </w:rPr>
        <w:t>,</w:t>
      </w:r>
      <w:r w:rsidR="004756C1" w:rsidRPr="002F50BD">
        <w:rPr>
          <w:rFonts w:ascii="Verdana" w:hAnsi="Verdana"/>
          <w:b/>
          <w:sz w:val="20"/>
          <w:lang w:val="pt-BR"/>
        </w:rPr>
        <w:t xml:space="preserve"> </w:t>
      </w:r>
      <w:r w:rsidR="0089298C" w:rsidRPr="002F50BD">
        <w:rPr>
          <w:rFonts w:ascii="Verdana" w:hAnsi="Verdana"/>
          <w:sz w:val="20"/>
          <w:lang w:val="pt-BR"/>
        </w:rPr>
        <w:t xml:space="preserve">a respeito dos </w:t>
      </w:r>
      <w:r w:rsidR="000920B2" w:rsidRPr="002F50BD">
        <w:rPr>
          <w:rFonts w:ascii="Verdana" w:hAnsi="Verdana"/>
          <w:sz w:val="20"/>
          <w:lang w:val="pt-BR"/>
        </w:rPr>
        <w:t>imóveis</w:t>
      </w:r>
      <w:r w:rsidR="004756C1" w:rsidRPr="002F50BD">
        <w:rPr>
          <w:rFonts w:ascii="Verdana" w:hAnsi="Verdana"/>
          <w:sz w:val="20"/>
          <w:lang w:val="pt-BR"/>
        </w:rPr>
        <w:t xml:space="preserve"> </w:t>
      </w:r>
      <w:r w:rsidR="0089298C" w:rsidRPr="002F50BD">
        <w:rPr>
          <w:rFonts w:ascii="Verdana" w:hAnsi="Verdana"/>
          <w:sz w:val="20"/>
          <w:lang w:val="pt-BR"/>
        </w:rPr>
        <w:t>cuja</w:t>
      </w:r>
      <w:r w:rsidR="004756C1" w:rsidRPr="002F50BD">
        <w:rPr>
          <w:rFonts w:ascii="Verdana" w:hAnsi="Verdana"/>
          <w:sz w:val="20"/>
          <w:lang w:val="pt-BR"/>
        </w:rPr>
        <w:t xml:space="preserve">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9298C" w:rsidRPr="002F50BD">
        <w:rPr>
          <w:rFonts w:ascii="Verdana" w:hAnsi="Verdana"/>
          <w:sz w:val="20"/>
          <w:lang w:val="pt-BR"/>
        </w:rPr>
        <w:t>havia</w:t>
      </w:r>
      <w:r w:rsidR="004756C1" w:rsidRPr="002F50BD">
        <w:rPr>
          <w:rFonts w:ascii="Verdana" w:hAnsi="Verdana"/>
          <w:sz w:val="20"/>
          <w:lang w:val="pt-BR"/>
        </w:rPr>
        <w:t xml:space="preserve"> sido solicitada</w:t>
      </w:r>
      <w:r w:rsidR="0089298C" w:rsidRPr="002F50BD">
        <w:rPr>
          <w:rFonts w:ascii="Verdana" w:hAnsi="Verdana"/>
          <w:sz w:val="20"/>
          <w:lang w:val="pt-BR"/>
        </w:rPr>
        <w:t xml:space="preserve"> em </w:t>
      </w:r>
      <w:r w:rsidRPr="002F50BD">
        <w:rPr>
          <w:rFonts w:ascii="Verdana" w:hAnsi="Verdana"/>
          <w:sz w:val="20"/>
          <w:lang w:val="pt-BR"/>
        </w:rPr>
        <w:t>30</w:t>
      </w:r>
      <w:r w:rsidR="004756C1" w:rsidRPr="002F50BD">
        <w:rPr>
          <w:rFonts w:ascii="Verdana" w:hAnsi="Verdana"/>
          <w:sz w:val="20"/>
          <w:lang w:val="pt-BR"/>
        </w:rPr>
        <w:t xml:space="preserve"> de </w:t>
      </w:r>
      <w:r w:rsidR="0089298C" w:rsidRPr="002F50BD">
        <w:rPr>
          <w:rFonts w:ascii="Verdana" w:hAnsi="Verdana"/>
          <w:sz w:val="20"/>
          <w:lang w:val="pt-BR"/>
        </w:rPr>
        <w:t>janeiro</w:t>
      </w:r>
      <w:r w:rsidR="004756C1" w:rsidRPr="002F50BD">
        <w:rPr>
          <w:rFonts w:ascii="Verdana" w:hAnsi="Verdana"/>
          <w:sz w:val="20"/>
          <w:lang w:val="pt-BR"/>
        </w:rPr>
        <w:t xml:space="preserve"> de </w:t>
      </w:r>
      <w:r w:rsidRPr="002F50BD">
        <w:rPr>
          <w:rFonts w:ascii="Verdana" w:hAnsi="Verdana"/>
          <w:sz w:val="20"/>
          <w:lang w:val="pt-BR"/>
        </w:rPr>
        <w:t>2002</w:t>
      </w:r>
      <w:r w:rsidR="0089298C" w:rsidRPr="002F50BD">
        <w:rPr>
          <w:rFonts w:ascii="Verdana" w:hAnsi="Verdana"/>
          <w:sz w:val="20"/>
          <w:lang w:val="pt-BR"/>
        </w:rPr>
        <w:t xml:space="preserve"> pelo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 xml:space="preserve">o </w:t>
      </w:r>
      <w:r w:rsidR="004574D2" w:rsidRPr="002F50BD">
        <w:rPr>
          <w:rFonts w:ascii="Verdana" w:hAnsi="Verdana"/>
          <w:sz w:val="20"/>
          <w:lang w:val="pt-BR"/>
        </w:rPr>
        <w:t>a</w:t>
      </w:r>
      <w:r w:rsidR="0089298C" w:rsidRPr="002F50BD">
        <w:rPr>
          <w:rFonts w:ascii="Verdana" w:hAnsi="Verdana"/>
          <w:sz w:val="20"/>
          <w:lang w:val="pt-BR"/>
        </w:rPr>
        <w:t>o Congresso</w:t>
      </w:r>
      <w:r w:rsidR="004756C1" w:rsidRPr="002F50BD">
        <w:rPr>
          <w:rFonts w:ascii="Verdana" w:hAnsi="Verdana"/>
          <w:sz w:val="20"/>
          <w:lang w:val="pt-BR"/>
        </w:rPr>
        <w:t xml:space="preserve"> Nacional</w:t>
      </w:r>
      <w:r w:rsidR="004756C1" w:rsidRPr="002F50BD">
        <w:rPr>
          <w:rStyle w:val="FootnoteReference"/>
          <w:rFonts w:ascii="Verdana" w:hAnsi="Verdana"/>
        </w:rPr>
        <w:footnoteReference w:id="122"/>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58</w:t>
      </w:r>
      <w:r w:rsidR="004574D2"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jc w:val="both"/>
        <w:rPr>
          <w:rFonts w:ascii="Verdana" w:hAnsi="Verdana"/>
          <w:b/>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13</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sz w:val="20"/>
          <w:lang w:val="pt-BR"/>
        </w:rPr>
        <w:t xml:space="preserve"> o </w:t>
      </w:r>
      <w:r w:rsidR="004574D2" w:rsidRPr="002F50BD">
        <w:rPr>
          <w:rFonts w:ascii="Verdana" w:hAnsi="Verdana"/>
          <w:sz w:val="20"/>
          <w:lang w:val="pt-BR"/>
        </w:rPr>
        <w:t>Juizado</w:t>
      </w:r>
      <w:r w:rsidR="004756C1" w:rsidRPr="002F50BD">
        <w:rPr>
          <w:rFonts w:ascii="Verdana" w:hAnsi="Verdana"/>
          <w:sz w:val="20"/>
          <w:lang w:val="pt-BR"/>
        </w:rPr>
        <w:t xml:space="preserve">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Instância</w:t>
      </w:r>
      <w:r w:rsidR="004574D2" w:rsidRPr="002F50BD">
        <w:rPr>
          <w:rFonts w:ascii="Verdana" w:hAnsi="Verdana"/>
          <w:sz w:val="20"/>
          <w:lang w:val="pt-BR"/>
        </w:rPr>
        <w:t xml:space="preserve"> Civil</w:t>
      </w:r>
      <w:r w:rsidR="0089298C" w:rsidRPr="002F50BD">
        <w:rPr>
          <w:rFonts w:ascii="Verdana" w:hAnsi="Verdana"/>
          <w:sz w:val="20"/>
          <w:lang w:val="pt-BR"/>
        </w:rPr>
        <w:t xml:space="preserve"> e </w:t>
      </w:r>
      <w:r w:rsidR="004756C1" w:rsidRPr="002F50BD">
        <w:rPr>
          <w:rFonts w:ascii="Verdana" w:hAnsi="Verdana"/>
          <w:sz w:val="20"/>
          <w:lang w:val="pt-BR"/>
        </w:rPr>
        <w:t xml:space="preserve">Comercial </w:t>
      </w:r>
      <w:r w:rsidR="0089298C" w:rsidRPr="002F50BD">
        <w:rPr>
          <w:rFonts w:ascii="Verdana" w:hAnsi="Verdana"/>
          <w:sz w:val="20"/>
          <w:lang w:val="pt-BR"/>
        </w:rPr>
        <w:t xml:space="preserve">do Terceiro </w:t>
      </w:r>
      <w:r w:rsidR="004756C1" w:rsidRPr="002F50BD">
        <w:rPr>
          <w:rFonts w:ascii="Verdana" w:hAnsi="Verdana"/>
          <w:sz w:val="20"/>
          <w:lang w:val="pt-BR"/>
        </w:rPr>
        <w:t xml:space="preserve">Turno </w:t>
      </w:r>
      <w:r w:rsidR="0089298C" w:rsidRPr="002F50BD">
        <w:rPr>
          <w:rFonts w:ascii="Verdana" w:hAnsi="Verdana"/>
          <w:sz w:val="20"/>
          <w:lang w:val="pt-BR"/>
        </w:rPr>
        <w:t xml:space="preserve">decretou as </w:t>
      </w:r>
      <w:r w:rsidR="004756C1" w:rsidRPr="002F50BD">
        <w:rPr>
          <w:rFonts w:ascii="Verdana" w:hAnsi="Verdana"/>
          <w:sz w:val="20"/>
          <w:lang w:val="pt-BR"/>
        </w:rPr>
        <w:t>medidas cautelares solicitadas</w:t>
      </w:r>
      <w:r w:rsidR="0089298C" w:rsidRPr="002F50BD">
        <w:rPr>
          <w:rFonts w:ascii="Verdana" w:hAnsi="Verdana"/>
          <w:sz w:val="20"/>
          <w:lang w:val="pt-BR"/>
        </w:rPr>
        <w:t xml:space="preserve"> e ordenou</w:t>
      </w:r>
      <w:r w:rsidR="004756C1" w:rsidRPr="002F50BD">
        <w:rPr>
          <w:rFonts w:ascii="Verdana" w:hAnsi="Verdana"/>
          <w:sz w:val="20"/>
          <w:lang w:val="pt-BR"/>
        </w:rPr>
        <w:t xml:space="preserve"> </w:t>
      </w:r>
      <w:r w:rsidR="009154F5" w:rsidRPr="002F50BD">
        <w:rPr>
          <w:rFonts w:ascii="Verdana" w:hAnsi="Verdana"/>
          <w:sz w:val="20"/>
          <w:lang w:val="pt-BR"/>
        </w:rPr>
        <w:t xml:space="preserve">a inscrição </w:t>
      </w:r>
      <w:r w:rsidR="0089298C" w:rsidRPr="002F50BD">
        <w:rPr>
          <w:rFonts w:ascii="Verdana" w:hAnsi="Verdana"/>
          <w:sz w:val="20"/>
          <w:lang w:val="pt-BR"/>
        </w:rPr>
        <w:t xml:space="preserve">no </w:t>
      </w:r>
      <w:r w:rsidR="004756C1" w:rsidRPr="002F50BD">
        <w:rPr>
          <w:rFonts w:ascii="Verdana" w:hAnsi="Verdana"/>
          <w:sz w:val="20"/>
          <w:lang w:val="pt-BR"/>
        </w:rPr>
        <w:t xml:space="preserve">registro </w:t>
      </w:r>
      <w:r w:rsidR="0089298C" w:rsidRPr="002F50BD">
        <w:rPr>
          <w:rFonts w:ascii="Verdana" w:hAnsi="Verdana"/>
          <w:sz w:val="20"/>
          <w:lang w:val="pt-BR"/>
        </w:rPr>
        <w:t xml:space="preserve">correspondente </w:t>
      </w:r>
      <w:r w:rsidR="009154F5" w:rsidRPr="002F50BD">
        <w:rPr>
          <w:rFonts w:ascii="Verdana" w:hAnsi="Verdana"/>
          <w:sz w:val="20"/>
          <w:lang w:val="pt-BR"/>
        </w:rPr>
        <w:t>d</w:t>
      </w:r>
      <w:r w:rsidR="0089298C" w:rsidRPr="002F50BD">
        <w:rPr>
          <w:rFonts w:ascii="Verdana" w:hAnsi="Verdana"/>
          <w:sz w:val="20"/>
          <w:lang w:val="pt-BR"/>
        </w:rPr>
        <w:t>a proibição</w:t>
      </w:r>
      <w:r w:rsidR="004756C1" w:rsidRPr="002F50BD">
        <w:rPr>
          <w:rFonts w:ascii="Verdana" w:hAnsi="Verdana"/>
          <w:sz w:val="20"/>
          <w:lang w:val="pt-BR"/>
        </w:rPr>
        <w:t xml:space="preserve"> de</w:t>
      </w:r>
      <w:r w:rsidR="004574D2" w:rsidRPr="002F50BD">
        <w:rPr>
          <w:rFonts w:ascii="Verdana" w:hAnsi="Verdana"/>
          <w:sz w:val="20"/>
          <w:lang w:val="pt-BR"/>
        </w:rPr>
        <w:t xml:space="preserve"> inovar</w:t>
      </w:r>
      <w:r w:rsidR="004756C1" w:rsidRPr="002F50BD">
        <w:rPr>
          <w:rFonts w:ascii="Verdana" w:hAnsi="Verdana"/>
          <w:sz w:val="20"/>
          <w:lang w:val="pt-BR"/>
        </w:rPr>
        <w:t xml:space="preserve"> de</w:t>
      </w:r>
      <w:r w:rsidR="0089298C" w:rsidRPr="002F50BD">
        <w:rPr>
          <w:rFonts w:ascii="Verdana" w:hAnsi="Verdana"/>
          <w:sz w:val="20"/>
          <w:lang w:val="pt-BR"/>
        </w:rPr>
        <w:t xml:space="preserve"> fato e </w:t>
      </w:r>
      <w:r w:rsidR="004756C1" w:rsidRPr="002F50BD">
        <w:rPr>
          <w:rFonts w:ascii="Verdana" w:hAnsi="Verdana"/>
          <w:sz w:val="20"/>
          <w:lang w:val="pt-BR"/>
        </w:rPr>
        <w:t xml:space="preserve">de </w:t>
      </w:r>
      <w:r w:rsidR="0089298C" w:rsidRPr="002F50BD">
        <w:rPr>
          <w:rFonts w:ascii="Verdana" w:hAnsi="Verdana"/>
          <w:sz w:val="20"/>
          <w:lang w:val="pt-BR"/>
        </w:rPr>
        <w:t xml:space="preserve">direito e a </w:t>
      </w:r>
      <w:r w:rsidR="004756C1" w:rsidRPr="002F50BD">
        <w:rPr>
          <w:rFonts w:ascii="Verdana" w:hAnsi="Verdana"/>
          <w:sz w:val="20"/>
          <w:lang w:val="pt-BR"/>
        </w:rPr>
        <w:t>anota</w:t>
      </w:r>
      <w:r w:rsidR="0089298C" w:rsidRPr="002F50BD">
        <w:rPr>
          <w:rFonts w:ascii="Verdana" w:hAnsi="Verdana"/>
          <w:sz w:val="20"/>
          <w:lang w:val="pt-BR"/>
        </w:rPr>
        <w:t xml:space="preserve">ção da </w:t>
      </w:r>
      <w:r w:rsidR="009154F5" w:rsidRPr="002F50BD">
        <w:rPr>
          <w:rFonts w:ascii="Verdana" w:hAnsi="Verdana"/>
          <w:sz w:val="20"/>
          <w:lang w:val="pt-BR"/>
        </w:rPr>
        <w:t xml:space="preserve">lide </w:t>
      </w:r>
      <w:r w:rsidR="004756C1" w:rsidRPr="002F50BD">
        <w:rPr>
          <w:rFonts w:ascii="Verdana" w:hAnsi="Verdana"/>
          <w:sz w:val="20"/>
          <w:lang w:val="pt-BR"/>
        </w:rPr>
        <w:t>sobre</w:t>
      </w:r>
      <w:r w:rsidR="0089298C" w:rsidRPr="002F50BD">
        <w:rPr>
          <w:rFonts w:ascii="Verdana" w:hAnsi="Verdana"/>
          <w:sz w:val="20"/>
          <w:lang w:val="pt-BR"/>
        </w:rPr>
        <w:t xml:space="preserve"> </w:t>
      </w:r>
      <w:r w:rsidR="002829BB">
        <w:rPr>
          <w:rFonts w:ascii="Verdana" w:hAnsi="Verdana"/>
          <w:sz w:val="20"/>
          <w:lang w:val="pt-BR"/>
        </w:rPr>
        <w:t xml:space="preserve">os </w:t>
      </w:r>
      <w:r w:rsidR="004756C1" w:rsidRPr="002F50BD">
        <w:rPr>
          <w:rFonts w:ascii="Verdana" w:hAnsi="Verdana"/>
          <w:sz w:val="20"/>
          <w:lang w:val="pt-BR"/>
        </w:rPr>
        <w:t xml:space="preserve">mencionados </w:t>
      </w:r>
      <w:r w:rsidR="000920B2" w:rsidRPr="002F50BD">
        <w:rPr>
          <w:rFonts w:ascii="Verdana" w:hAnsi="Verdana"/>
          <w:sz w:val="20"/>
          <w:lang w:val="pt-BR"/>
        </w:rPr>
        <w:t>imóveis</w:t>
      </w:r>
      <w:r w:rsidR="004574D2" w:rsidRPr="002F50BD">
        <w:rPr>
          <w:rFonts w:ascii="Verdana" w:hAnsi="Verdana"/>
          <w:sz w:val="20"/>
          <w:lang w:val="pt-BR"/>
        </w:rPr>
        <w:t>.</w:t>
      </w:r>
      <w:r w:rsidR="004756C1" w:rsidRPr="002F50BD">
        <w:rPr>
          <w:rStyle w:val="FootnoteReference"/>
          <w:rFonts w:ascii="Verdana" w:hAnsi="Verdana"/>
        </w:rPr>
        <w:footnoteReference w:id="123"/>
      </w:r>
    </w:p>
    <w:p w:rsidR="004756C1" w:rsidRPr="002F50BD" w:rsidRDefault="004756C1">
      <w:pPr>
        <w:jc w:val="both"/>
        <w:rPr>
          <w:rFonts w:ascii="Verdana" w:hAnsi="Verdana"/>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23</w:t>
      </w:r>
      <w:r w:rsidR="004756C1" w:rsidRPr="002F50BD">
        <w:rPr>
          <w:rFonts w:ascii="Verdana" w:hAnsi="Verdana"/>
          <w:sz w:val="20"/>
          <w:lang w:val="pt-BR"/>
        </w:rPr>
        <w:t xml:space="preserve"> de agosto de </w:t>
      </w:r>
      <w:r w:rsidRPr="002F50BD">
        <w:rPr>
          <w:rFonts w:ascii="Verdana" w:hAnsi="Verdana"/>
          <w:sz w:val="20"/>
          <w:lang w:val="pt-BR"/>
        </w:rPr>
        <w:t>2002</w:t>
      </w:r>
      <w:r w:rsidR="006D28A8"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89298C" w:rsidRPr="002F50BD">
        <w:rPr>
          <w:rFonts w:ascii="Verdana" w:hAnsi="Verdana"/>
          <w:sz w:val="20"/>
          <w:lang w:val="pt-BR"/>
        </w:rPr>
        <w:t xml:space="preserve">decretou o </w:t>
      </w:r>
      <w:r w:rsidR="004756C1" w:rsidRPr="002F50BD">
        <w:rPr>
          <w:rFonts w:ascii="Verdana" w:hAnsi="Verdana"/>
          <w:sz w:val="20"/>
          <w:lang w:val="pt-BR"/>
        </w:rPr>
        <w:t>levantamento</w:t>
      </w:r>
      <w:r w:rsidR="0089298C" w:rsidRPr="002F50BD">
        <w:rPr>
          <w:rFonts w:ascii="Verdana" w:hAnsi="Verdana"/>
          <w:sz w:val="20"/>
          <w:lang w:val="pt-BR"/>
        </w:rPr>
        <w:t xml:space="preserve"> das </w:t>
      </w:r>
      <w:r w:rsidR="004756C1" w:rsidRPr="002F50BD">
        <w:rPr>
          <w:rFonts w:ascii="Verdana" w:hAnsi="Verdana"/>
          <w:sz w:val="20"/>
          <w:lang w:val="pt-BR"/>
        </w:rPr>
        <w:t xml:space="preserve">medidas </w:t>
      </w:r>
      <w:r w:rsidR="004756C1" w:rsidRPr="002F50BD">
        <w:rPr>
          <w:rFonts w:ascii="Verdana" w:hAnsi="Verdana"/>
          <w:sz w:val="20"/>
          <w:lang w:val="pt-BR"/>
        </w:rPr>
        <w:lastRenderedPageBreak/>
        <w:t xml:space="preserve">cautelares </w:t>
      </w:r>
      <w:r w:rsidR="004574D2" w:rsidRPr="002F50BD">
        <w:rPr>
          <w:rFonts w:ascii="Verdana" w:hAnsi="Verdana"/>
          <w:sz w:val="20"/>
          <w:lang w:val="pt-BR"/>
        </w:rPr>
        <w:t xml:space="preserve">depois </w:t>
      </w:r>
      <w:r w:rsidR="004756C1" w:rsidRPr="002F50BD">
        <w:rPr>
          <w:rFonts w:ascii="Verdana" w:hAnsi="Verdana"/>
          <w:sz w:val="20"/>
          <w:lang w:val="pt-BR"/>
        </w:rPr>
        <w:t>que</w:t>
      </w:r>
      <w:r w:rsidR="0089298C" w:rsidRPr="002F50BD">
        <w:rPr>
          <w:rFonts w:ascii="Verdana" w:hAnsi="Verdana"/>
          <w:sz w:val="20"/>
          <w:lang w:val="pt-BR"/>
        </w:rPr>
        <w:t xml:space="preserve"> 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9298C" w:rsidRPr="002F50BD">
        <w:rPr>
          <w:rFonts w:ascii="Verdana" w:hAnsi="Verdana"/>
          <w:sz w:val="20"/>
          <w:lang w:val="pt-BR"/>
        </w:rPr>
        <w:t>fo</w:t>
      </w:r>
      <w:r w:rsidR="004574D2" w:rsidRPr="002F50BD">
        <w:rPr>
          <w:rFonts w:ascii="Verdana" w:hAnsi="Verdana"/>
          <w:sz w:val="20"/>
          <w:lang w:val="pt-BR"/>
        </w:rPr>
        <w:t xml:space="preserve">i rejeitado </w:t>
      </w:r>
      <w:r w:rsidR="0089298C" w:rsidRPr="002F50BD">
        <w:rPr>
          <w:rFonts w:ascii="Verdana" w:hAnsi="Verdana"/>
          <w:sz w:val="20"/>
          <w:lang w:val="pt-BR"/>
        </w:rPr>
        <w:t xml:space="preserve">pela </w:t>
      </w:r>
      <w:r w:rsidR="00DB51F0" w:rsidRPr="002F50BD">
        <w:rPr>
          <w:rFonts w:ascii="Verdana" w:hAnsi="Verdana"/>
          <w:sz w:val="20"/>
          <w:lang w:val="pt-BR"/>
        </w:rPr>
        <w:t>Câmara</w:t>
      </w:r>
      <w:r w:rsidR="004756C1" w:rsidRPr="002F50BD">
        <w:rPr>
          <w:rFonts w:ascii="Verdana" w:hAnsi="Verdana"/>
          <w:sz w:val="20"/>
          <w:lang w:val="pt-BR"/>
        </w:rPr>
        <w:t xml:space="preserve"> de Senadores </w:t>
      </w:r>
      <w:r w:rsidR="0089298C" w:rsidRPr="002F50BD">
        <w:rPr>
          <w:rFonts w:ascii="Verdana" w:hAnsi="Verdana"/>
          <w:sz w:val="20"/>
          <w:lang w:val="pt-BR"/>
        </w:rPr>
        <w:t xml:space="preserve">do Congresso em </w:t>
      </w:r>
      <w:r w:rsidRPr="002F50BD">
        <w:rPr>
          <w:rFonts w:ascii="Verdana" w:hAnsi="Verdana"/>
          <w:sz w:val="20"/>
          <w:lang w:val="pt-BR"/>
        </w:rPr>
        <w:t>27</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2002</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59</w:t>
      </w:r>
      <w:r w:rsidR="004574D2" w:rsidRPr="002F50BD">
        <w:rPr>
          <w:rFonts w:ascii="Verdana" w:hAnsi="Verdana"/>
          <w:i/>
          <w:sz w:val="20"/>
          <w:lang w:val="pt-BR"/>
        </w:rPr>
        <w:t xml:space="preserve"> supra</w:t>
      </w:r>
      <w:r w:rsidR="00CF451D" w:rsidRPr="00CF451D">
        <w:rPr>
          <w:rFonts w:ascii="Verdana" w:hAnsi="Verdana"/>
          <w:sz w:val="20"/>
          <w:lang w:val="pt-BR"/>
        </w:rPr>
        <w:t>)</w:t>
      </w:r>
      <w:r w:rsidR="004574D2" w:rsidRPr="002F50BD">
        <w:rPr>
          <w:rFonts w:ascii="Verdana" w:hAnsi="Verdana"/>
          <w:sz w:val="20"/>
          <w:lang w:val="pt-BR"/>
        </w:rPr>
        <w:t>.</w:t>
      </w:r>
      <w:r w:rsidR="004756C1" w:rsidRPr="002F50BD">
        <w:rPr>
          <w:rStyle w:val="FootnoteReference"/>
          <w:rFonts w:ascii="Verdana" w:hAnsi="Verdana"/>
          <w:lang w:val="es-ES_tradnl"/>
        </w:rPr>
        <w:footnoteReference w:id="124"/>
      </w:r>
    </w:p>
    <w:p w:rsidR="004756C1" w:rsidRPr="002F50BD" w:rsidRDefault="004756C1">
      <w:pPr>
        <w:pStyle w:val="BodyText"/>
        <w:rPr>
          <w:rFonts w:ascii="Verdana" w:hAnsi="Verdana"/>
          <w:sz w:val="20"/>
          <w:lang w:val="pt-BR"/>
        </w:rPr>
      </w:pPr>
    </w:p>
    <w:p w:rsidR="004756C1" w:rsidRPr="002F50BD" w:rsidRDefault="0089298C">
      <w:pPr>
        <w:pStyle w:val="BodyText"/>
        <w:ind w:firstLine="720"/>
        <w:rPr>
          <w:rFonts w:ascii="Verdana" w:hAnsi="Verdana"/>
          <w:sz w:val="20"/>
          <w:u w:val="single"/>
          <w:lang w:val="pt-BR"/>
        </w:rPr>
      </w:pPr>
      <w:r w:rsidRPr="002F50BD">
        <w:rPr>
          <w:rFonts w:ascii="Verdana" w:hAnsi="Verdana"/>
          <w:sz w:val="20"/>
          <w:u w:val="single"/>
          <w:lang w:val="pt-BR"/>
        </w:rPr>
        <w:t xml:space="preserve">Denúncias </w:t>
      </w:r>
      <w:r w:rsidR="004574D2" w:rsidRPr="002F50BD">
        <w:rPr>
          <w:rFonts w:ascii="Verdana" w:hAnsi="Verdana"/>
          <w:sz w:val="20"/>
          <w:u w:val="single"/>
          <w:lang w:val="pt-BR"/>
        </w:rPr>
        <w:t>per</w:t>
      </w:r>
      <w:r w:rsidR="004756C1" w:rsidRPr="002F50BD">
        <w:rPr>
          <w:rFonts w:ascii="Verdana" w:hAnsi="Verdana"/>
          <w:sz w:val="20"/>
          <w:u w:val="single"/>
          <w:lang w:val="pt-BR"/>
        </w:rPr>
        <w:t>ante</w:t>
      </w:r>
      <w:r w:rsidRPr="002F50BD">
        <w:rPr>
          <w:rFonts w:ascii="Verdana" w:hAnsi="Verdana"/>
          <w:sz w:val="20"/>
          <w:u w:val="single"/>
          <w:lang w:val="pt-BR"/>
        </w:rPr>
        <w:t xml:space="preserve"> o Ministério</w:t>
      </w:r>
      <w:r w:rsidR="004756C1" w:rsidRPr="002F50BD">
        <w:rPr>
          <w:rFonts w:ascii="Verdana" w:hAnsi="Verdana"/>
          <w:sz w:val="20"/>
          <w:u w:val="single"/>
          <w:lang w:val="pt-BR"/>
        </w:rPr>
        <w:t xml:space="preserve"> Público</w:t>
      </w:r>
    </w:p>
    <w:p w:rsidR="004756C1" w:rsidRPr="002F50BD" w:rsidRDefault="004756C1">
      <w:pPr>
        <w:pStyle w:val="BodyText"/>
        <w:ind w:left="720"/>
        <w:rPr>
          <w:rFonts w:ascii="Verdana" w:hAnsi="Verdana"/>
          <w:b/>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11</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1999</w:t>
      </w:r>
      <w:r w:rsidR="006D28A8" w:rsidRPr="002F50BD">
        <w:rPr>
          <w:rFonts w:ascii="Verdana" w:hAnsi="Verdana"/>
          <w:sz w:val="20"/>
          <w:lang w:val="pt-BR"/>
        </w:rPr>
        <w:t>,</w:t>
      </w:r>
      <w:r w:rsidR="0089298C" w:rsidRPr="002F50BD">
        <w:rPr>
          <w:rFonts w:ascii="Verdana" w:hAnsi="Verdana"/>
          <w:sz w:val="20"/>
          <w:lang w:val="pt-BR"/>
        </w:rPr>
        <w:t xml:space="preserve"> o advogad</w:t>
      </w:r>
      <w:r w:rsidR="004756C1" w:rsidRPr="002F50BD">
        <w:rPr>
          <w:rFonts w:ascii="Verdana" w:hAnsi="Verdana"/>
          <w:sz w:val="20"/>
          <w:lang w:val="pt-BR"/>
        </w:rPr>
        <w:t>o</w:t>
      </w:r>
      <w:r w:rsidR="0089298C" w:rsidRPr="002F50BD">
        <w:rPr>
          <w:rFonts w:ascii="Verdana" w:hAnsi="Verdana"/>
          <w:sz w:val="20"/>
          <w:lang w:val="pt-BR"/>
        </w:rPr>
        <w:t xml:space="preserve"> da Comunidade </w:t>
      </w:r>
      <w:r w:rsidR="00D67007" w:rsidRPr="002F50BD">
        <w:rPr>
          <w:rFonts w:ascii="Verdana" w:hAnsi="Verdana"/>
          <w:sz w:val="20"/>
          <w:lang w:val="pt-BR"/>
        </w:rPr>
        <w:t>denunciou</w:t>
      </w:r>
      <w:r w:rsidR="0089298C" w:rsidRPr="002F50BD">
        <w:rPr>
          <w:rFonts w:ascii="Verdana" w:hAnsi="Verdana"/>
          <w:sz w:val="20"/>
          <w:lang w:val="pt-BR"/>
        </w:rPr>
        <w:t xml:space="preserve"> </w:t>
      </w:r>
      <w:r w:rsidR="004574D2"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Ministério</w:t>
      </w:r>
      <w:r w:rsidR="004756C1" w:rsidRPr="002F50BD">
        <w:rPr>
          <w:rFonts w:ascii="Verdana" w:hAnsi="Verdana"/>
          <w:sz w:val="20"/>
          <w:lang w:val="pt-BR"/>
        </w:rPr>
        <w:t xml:space="preserve"> Público</w:t>
      </w:r>
      <w:r w:rsidR="0089298C" w:rsidRPr="002F50BD">
        <w:rPr>
          <w:rFonts w:ascii="Verdana" w:hAnsi="Verdana"/>
          <w:sz w:val="20"/>
          <w:lang w:val="pt-BR"/>
        </w:rPr>
        <w:t xml:space="preserve"> a </w:t>
      </w:r>
      <w:r w:rsidR="004756C1" w:rsidRPr="002F50BD">
        <w:rPr>
          <w:rFonts w:ascii="Verdana" w:hAnsi="Verdana"/>
          <w:sz w:val="20"/>
          <w:lang w:val="pt-BR"/>
        </w:rPr>
        <w:t>realiza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trabalho</w:t>
      </w:r>
      <w:r w:rsidR="004756C1" w:rsidRPr="002F50BD">
        <w:rPr>
          <w:rFonts w:ascii="Verdana" w:hAnsi="Verdana"/>
          <w:sz w:val="20"/>
          <w:lang w:val="pt-BR"/>
        </w:rPr>
        <w:t xml:space="preserve">s intensivos de </w:t>
      </w:r>
      <w:r w:rsidR="006D28A8" w:rsidRPr="002F50BD">
        <w:rPr>
          <w:rFonts w:ascii="Verdana" w:hAnsi="Verdana"/>
          <w:sz w:val="20"/>
          <w:lang w:val="pt-BR"/>
        </w:rPr>
        <w:t>desmatamento</w:t>
      </w:r>
      <w:r w:rsidR="004756C1" w:rsidRPr="002F50BD">
        <w:rPr>
          <w:rFonts w:ascii="Verdana" w:hAnsi="Verdana"/>
          <w:sz w:val="20"/>
          <w:lang w:val="pt-BR"/>
        </w:rPr>
        <w:t>, edifica</w:t>
      </w:r>
      <w:r w:rsidR="0089298C" w:rsidRPr="002F50BD">
        <w:rPr>
          <w:rFonts w:ascii="Verdana" w:hAnsi="Verdana"/>
          <w:sz w:val="20"/>
          <w:lang w:val="pt-BR"/>
        </w:rPr>
        <w:t xml:space="preserve">ção e </w:t>
      </w:r>
      <w:r w:rsidR="004574D2" w:rsidRPr="002F50BD">
        <w:rPr>
          <w:rFonts w:ascii="Verdana" w:hAnsi="Verdana"/>
          <w:sz w:val="20"/>
          <w:lang w:val="pt-BR"/>
        </w:rPr>
        <w:t>escavação</w:t>
      </w:r>
      <w:r w:rsidR="004756C1" w:rsidRPr="002F50BD">
        <w:rPr>
          <w:rFonts w:ascii="Verdana" w:hAnsi="Verdana"/>
          <w:sz w:val="20"/>
          <w:lang w:val="pt-BR"/>
        </w:rPr>
        <w:t xml:space="preserve"> dentro </w:t>
      </w:r>
      <w:r w:rsidR="0089298C" w:rsidRPr="002F50BD">
        <w:rPr>
          <w:rFonts w:ascii="Verdana" w:hAnsi="Verdana"/>
          <w:sz w:val="20"/>
          <w:lang w:val="pt-BR"/>
        </w:rPr>
        <w:t>d</w:t>
      </w:r>
      <w:r w:rsidR="004574D2"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área territorial reivindicada</w:t>
      </w:r>
      <w:r w:rsidR="0089298C" w:rsidRPr="002F50BD">
        <w:rPr>
          <w:rFonts w:ascii="Verdana" w:hAnsi="Verdana"/>
          <w:sz w:val="20"/>
          <w:lang w:val="pt-BR"/>
        </w:rPr>
        <w:t xml:space="preserve"> pela Comunidade </w:t>
      </w:r>
      <w:r w:rsidR="004756C1" w:rsidRPr="002F50BD">
        <w:rPr>
          <w:rFonts w:ascii="Verdana" w:hAnsi="Verdana"/>
          <w:sz w:val="20"/>
          <w:lang w:val="pt-BR"/>
        </w:rPr>
        <w:t xml:space="preserve">indígena Yakye Axa, </w:t>
      </w:r>
      <w:r w:rsidR="004574D2" w:rsidRPr="002F50BD">
        <w:rPr>
          <w:rFonts w:ascii="Verdana" w:hAnsi="Verdana"/>
          <w:sz w:val="20"/>
          <w:lang w:val="pt-BR"/>
        </w:rPr>
        <w:t>conhecida</w:t>
      </w:r>
      <w:r w:rsidR="004756C1" w:rsidRPr="002F50BD">
        <w:rPr>
          <w:rFonts w:ascii="Verdana" w:hAnsi="Verdana"/>
          <w:sz w:val="20"/>
          <w:lang w:val="pt-BR"/>
        </w:rPr>
        <w:t xml:space="preserve"> como </w:t>
      </w:r>
      <w:r w:rsidR="00060B3A" w:rsidRPr="002F50BD">
        <w:rPr>
          <w:rFonts w:ascii="Verdana" w:hAnsi="Verdana"/>
          <w:i/>
          <w:sz w:val="20"/>
          <w:lang w:val="pt-BR"/>
        </w:rPr>
        <w:t>Estancia Loma Verde</w:t>
      </w:r>
      <w:r w:rsidR="004756C1" w:rsidRPr="002F50BD">
        <w:rPr>
          <w:rFonts w:ascii="Verdana" w:hAnsi="Verdana"/>
          <w:sz w:val="20"/>
          <w:lang w:val="pt-BR"/>
        </w:rPr>
        <w:t>”</w:t>
      </w:r>
      <w:r w:rsidR="004574D2" w:rsidRPr="002F50BD">
        <w:rPr>
          <w:rFonts w:ascii="Verdana" w:hAnsi="Verdana"/>
          <w:sz w:val="20"/>
          <w:lang w:val="pt-BR"/>
        </w:rPr>
        <w:t>.</w:t>
      </w:r>
      <w:r w:rsidR="004756C1" w:rsidRPr="002F50BD">
        <w:rPr>
          <w:rStyle w:val="FootnoteReference"/>
          <w:rFonts w:ascii="Verdana" w:hAnsi="Verdana"/>
          <w:lang w:val="es-ES_tradnl"/>
        </w:rPr>
        <w:footnoteReference w:id="125"/>
      </w:r>
    </w:p>
    <w:p w:rsidR="004756C1" w:rsidRPr="002F50BD" w:rsidRDefault="004756C1">
      <w:pPr>
        <w:pStyle w:val="BodyText"/>
        <w:ind w:left="720"/>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16</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1999</w:t>
      </w:r>
      <w:r w:rsidR="006D28A8"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funcionári</w:t>
      </w:r>
      <w:r w:rsidR="004756C1" w:rsidRPr="002F50BD">
        <w:rPr>
          <w:rFonts w:ascii="Verdana" w:hAnsi="Verdana"/>
          <w:sz w:val="20"/>
          <w:lang w:val="pt-BR"/>
        </w:rPr>
        <w:t xml:space="preserve">os </w:t>
      </w:r>
      <w:r w:rsidR="0089298C" w:rsidRPr="002F50BD">
        <w:rPr>
          <w:rFonts w:ascii="Verdana" w:hAnsi="Verdana"/>
          <w:sz w:val="20"/>
          <w:lang w:val="pt-BR"/>
        </w:rPr>
        <w:t>do Ministério</w:t>
      </w:r>
      <w:r w:rsidR="004756C1" w:rsidRPr="002F50BD">
        <w:rPr>
          <w:rFonts w:ascii="Verdana" w:hAnsi="Verdana"/>
          <w:sz w:val="20"/>
          <w:lang w:val="pt-BR"/>
        </w:rPr>
        <w:t xml:space="preserve"> Público </w:t>
      </w:r>
      <w:r w:rsidR="004574D2" w:rsidRPr="002F50BD">
        <w:rPr>
          <w:rFonts w:ascii="Verdana" w:hAnsi="Verdana"/>
          <w:sz w:val="20"/>
          <w:lang w:val="pt-BR"/>
        </w:rPr>
        <w:t>visitaram</w:t>
      </w:r>
      <w:r w:rsidR="0089298C" w:rsidRPr="002F50BD">
        <w:rPr>
          <w:rFonts w:ascii="Verdana" w:hAnsi="Verdana"/>
          <w:sz w:val="20"/>
          <w:lang w:val="pt-BR"/>
        </w:rPr>
        <w:t xml:space="preserve"> a </w:t>
      </w:r>
      <w:r w:rsidR="00060B3A" w:rsidRPr="002F50BD">
        <w:rPr>
          <w:rFonts w:ascii="Verdana" w:hAnsi="Verdana"/>
          <w:i/>
          <w:sz w:val="20"/>
          <w:lang w:val="pt-BR"/>
        </w:rPr>
        <w:t>Estancia Loma Verde</w:t>
      </w:r>
      <w:r w:rsidR="004756C1" w:rsidRPr="002F50BD">
        <w:rPr>
          <w:rFonts w:ascii="Verdana" w:hAnsi="Verdana"/>
          <w:sz w:val="20"/>
          <w:lang w:val="pt-BR"/>
        </w:rPr>
        <w:t xml:space="preserve"> para verificar</w:t>
      </w:r>
      <w:r w:rsidR="0089298C" w:rsidRPr="002F50BD">
        <w:rPr>
          <w:rFonts w:ascii="Verdana" w:hAnsi="Verdana"/>
          <w:sz w:val="20"/>
          <w:lang w:val="pt-BR"/>
        </w:rPr>
        <w:t xml:space="preserve"> a denúncia </w:t>
      </w:r>
      <w:r w:rsidR="004574D2" w:rsidRPr="002F50BD">
        <w:rPr>
          <w:rFonts w:ascii="Verdana" w:hAnsi="Verdana"/>
          <w:sz w:val="20"/>
          <w:lang w:val="pt-BR"/>
        </w:rPr>
        <w:t>a</w:t>
      </w:r>
      <w:r w:rsidR="004756C1" w:rsidRPr="002F50BD">
        <w:rPr>
          <w:rFonts w:ascii="Verdana" w:hAnsi="Verdana"/>
          <w:sz w:val="20"/>
          <w:lang w:val="pt-BR"/>
        </w:rPr>
        <w:t xml:space="preserve">presentada, </w:t>
      </w:r>
      <w:r w:rsidR="0089298C" w:rsidRPr="002F50BD">
        <w:rPr>
          <w:rFonts w:ascii="Verdana" w:hAnsi="Verdana"/>
          <w:sz w:val="20"/>
          <w:lang w:val="pt-BR"/>
        </w:rPr>
        <w:t>mas</w:t>
      </w:r>
      <w:r w:rsidR="004756C1" w:rsidRPr="002F50BD">
        <w:rPr>
          <w:rFonts w:ascii="Verdana" w:hAnsi="Verdana"/>
          <w:sz w:val="20"/>
          <w:lang w:val="pt-BR"/>
        </w:rPr>
        <w:t xml:space="preserve"> n</w:t>
      </w:r>
      <w:r w:rsidR="004574D2"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foram</w:t>
      </w:r>
      <w:r w:rsidR="004756C1" w:rsidRPr="002F50BD">
        <w:rPr>
          <w:rFonts w:ascii="Verdana" w:hAnsi="Verdana"/>
          <w:sz w:val="20"/>
          <w:lang w:val="pt-BR"/>
        </w:rPr>
        <w:t xml:space="preserve"> atendidos</w:t>
      </w:r>
      <w:r w:rsidR="0089298C" w:rsidRPr="002F50BD">
        <w:rPr>
          <w:rFonts w:ascii="Verdana" w:hAnsi="Verdana"/>
          <w:sz w:val="20"/>
          <w:lang w:val="pt-BR"/>
        </w:rPr>
        <w:t xml:space="preserve"> pelo pessoa</w:t>
      </w:r>
      <w:r w:rsidR="004756C1" w:rsidRPr="002F50BD">
        <w:rPr>
          <w:rFonts w:ascii="Verdana" w:hAnsi="Verdana"/>
          <w:sz w:val="20"/>
          <w:lang w:val="pt-BR"/>
        </w:rPr>
        <w:t>l</w:t>
      </w:r>
      <w:r w:rsidR="0089298C" w:rsidRPr="002F50BD">
        <w:rPr>
          <w:rFonts w:ascii="Verdana" w:hAnsi="Verdana"/>
          <w:sz w:val="20"/>
          <w:lang w:val="pt-BR"/>
        </w:rPr>
        <w:t xml:space="preserve"> da </w:t>
      </w:r>
      <w:r w:rsidR="004574D2" w:rsidRPr="002F50BD">
        <w:rPr>
          <w:rFonts w:ascii="Verdana" w:hAnsi="Verdana"/>
          <w:sz w:val="20"/>
          <w:lang w:val="pt-BR"/>
        </w:rPr>
        <w:t>empresa</w:t>
      </w:r>
      <w:r w:rsidR="004756C1" w:rsidRPr="002F50BD">
        <w:rPr>
          <w:rFonts w:ascii="Verdana" w:hAnsi="Verdana"/>
          <w:sz w:val="20"/>
          <w:lang w:val="pt-BR"/>
        </w:rPr>
        <w:t xml:space="preserve"> Torokay </w:t>
      </w:r>
      <w:r w:rsidR="004574D2" w:rsidRPr="002F50BD">
        <w:rPr>
          <w:rFonts w:ascii="Verdana" w:hAnsi="Verdana"/>
          <w:sz w:val="20"/>
          <w:lang w:val="pt-BR"/>
        </w:rPr>
        <w:t>AS.</w:t>
      </w:r>
      <w:r w:rsidR="004756C1" w:rsidRPr="002F50BD">
        <w:rPr>
          <w:rStyle w:val="FootnoteReference"/>
          <w:rFonts w:ascii="Verdana" w:hAnsi="Verdana"/>
          <w:lang w:val="es-ES_tradnl"/>
        </w:rPr>
        <w:footnoteReference w:id="126"/>
      </w:r>
      <w:r w:rsidR="00BE346D" w:rsidRPr="002F50BD">
        <w:rPr>
          <w:rFonts w:ascii="Verdana" w:hAnsi="Verdana"/>
          <w:sz w:val="20"/>
          <w:lang w:val="pt-BR"/>
        </w:rPr>
        <w:t xml:space="preserve"> Os </w:t>
      </w:r>
      <w:r w:rsidR="004756C1" w:rsidRPr="002F50BD">
        <w:rPr>
          <w:rFonts w:ascii="Verdana" w:hAnsi="Verdana"/>
          <w:sz w:val="20"/>
          <w:lang w:val="pt-BR"/>
        </w:rPr>
        <w:t xml:space="preserve">agentes </w:t>
      </w:r>
      <w:r w:rsidR="0089298C" w:rsidRPr="002F50BD">
        <w:rPr>
          <w:rFonts w:ascii="Verdana" w:hAnsi="Verdana"/>
          <w:sz w:val="20"/>
          <w:lang w:val="pt-BR"/>
        </w:rPr>
        <w:t>do Ministério</w:t>
      </w:r>
      <w:r w:rsidR="004756C1" w:rsidRPr="002F50BD">
        <w:rPr>
          <w:rFonts w:ascii="Verdana" w:hAnsi="Verdana"/>
          <w:sz w:val="20"/>
          <w:lang w:val="pt-BR"/>
        </w:rPr>
        <w:t xml:space="preserve"> Público </w:t>
      </w:r>
      <w:r w:rsidR="004574D2" w:rsidRPr="002F50BD">
        <w:rPr>
          <w:rFonts w:ascii="Verdana" w:hAnsi="Verdana"/>
          <w:sz w:val="20"/>
          <w:lang w:val="pt-BR"/>
        </w:rPr>
        <w:t xml:space="preserve">percorreram </w:t>
      </w:r>
      <w:r w:rsidR="0089298C" w:rsidRPr="002F50BD">
        <w:rPr>
          <w:rFonts w:ascii="Verdana" w:hAnsi="Verdana"/>
          <w:sz w:val="20"/>
          <w:lang w:val="pt-BR"/>
        </w:rPr>
        <w:t>a propriedade e afirmaram</w:t>
      </w:r>
      <w:r w:rsidR="004756C1" w:rsidRPr="002F50BD">
        <w:rPr>
          <w:rFonts w:ascii="Verdana" w:hAnsi="Verdana"/>
          <w:sz w:val="20"/>
          <w:lang w:val="pt-BR"/>
        </w:rPr>
        <w:t xml:space="preserve"> que: “n</w:t>
      </w:r>
      <w:r w:rsidR="004574D2" w:rsidRPr="002F50BD">
        <w:rPr>
          <w:rFonts w:ascii="Verdana" w:hAnsi="Verdana"/>
          <w:sz w:val="20"/>
          <w:lang w:val="pt-BR"/>
        </w:rPr>
        <w:t>ã</w:t>
      </w:r>
      <w:r w:rsidR="004756C1" w:rsidRPr="002F50BD">
        <w:rPr>
          <w:rFonts w:ascii="Verdana" w:hAnsi="Verdana"/>
          <w:sz w:val="20"/>
          <w:lang w:val="pt-BR"/>
        </w:rPr>
        <w:t xml:space="preserve">o existe </w:t>
      </w:r>
      <w:r w:rsidR="00D67007" w:rsidRPr="002F50BD">
        <w:rPr>
          <w:rFonts w:ascii="Verdana" w:hAnsi="Verdana"/>
          <w:sz w:val="20"/>
          <w:lang w:val="pt-BR"/>
        </w:rPr>
        <w:t xml:space="preserve">desmatamento </w:t>
      </w:r>
      <w:r w:rsidR="004756C1" w:rsidRPr="002F50BD">
        <w:rPr>
          <w:rFonts w:ascii="Verdana" w:hAnsi="Verdana"/>
          <w:sz w:val="20"/>
          <w:lang w:val="pt-BR"/>
        </w:rPr>
        <w:t>indiscriminado […]</w:t>
      </w:r>
      <w:r w:rsidR="0089298C" w:rsidRPr="002F50BD">
        <w:rPr>
          <w:rFonts w:ascii="Verdana" w:hAnsi="Verdana"/>
          <w:sz w:val="20"/>
          <w:lang w:val="pt-BR"/>
        </w:rPr>
        <w:t xml:space="preserve"> e </w:t>
      </w:r>
      <w:r w:rsidR="004756C1" w:rsidRPr="002F50BD">
        <w:rPr>
          <w:rFonts w:ascii="Verdana" w:hAnsi="Verdana"/>
          <w:sz w:val="20"/>
          <w:lang w:val="pt-BR"/>
        </w:rPr>
        <w:t>n</w:t>
      </w:r>
      <w:r w:rsidR="004574D2" w:rsidRPr="002F50BD">
        <w:rPr>
          <w:rFonts w:ascii="Verdana" w:hAnsi="Verdana"/>
          <w:sz w:val="20"/>
          <w:lang w:val="pt-BR"/>
        </w:rPr>
        <w:t>ã</w:t>
      </w:r>
      <w:r w:rsidR="004756C1" w:rsidRPr="002F50BD">
        <w:rPr>
          <w:rFonts w:ascii="Verdana" w:hAnsi="Verdana"/>
          <w:sz w:val="20"/>
          <w:lang w:val="pt-BR"/>
        </w:rPr>
        <w:t xml:space="preserve">o </w:t>
      </w:r>
      <w:r w:rsidR="004076AD" w:rsidRPr="002F50BD">
        <w:rPr>
          <w:rFonts w:ascii="Verdana" w:hAnsi="Verdana"/>
          <w:sz w:val="20"/>
          <w:lang w:val="pt-BR"/>
        </w:rPr>
        <w:t>existiria</w:t>
      </w:r>
      <w:r w:rsidR="004756C1" w:rsidRPr="002F50BD">
        <w:rPr>
          <w:rFonts w:ascii="Verdana" w:hAnsi="Verdana"/>
          <w:sz w:val="20"/>
          <w:lang w:val="pt-BR"/>
        </w:rPr>
        <w:t xml:space="preserve"> </w:t>
      </w:r>
      <w:r w:rsidR="0089298C" w:rsidRPr="002F50BD">
        <w:rPr>
          <w:rFonts w:ascii="Verdana" w:hAnsi="Verdana"/>
          <w:sz w:val="20"/>
          <w:lang w:val="pt-BR"/>
        </w:rPr>
        <w:t xml:space="preserve">prejuízo ao </w:t>
      </w:r>
      <w:r w:rsidR="004756C1" w:rsidRPr="002F50BD">
        <w:rPr>
          <w:rFonts w:ascii="Verdana" w:hAnsi="Verdana"/>
          <w:sz w:val="20"/>
          <w:lang w:val="pt-BR"/>
        </w:rPr>
        <w:t>eco</w:t>
      </w:r>
      <w:r w:rsidR="004574D2" w:rsidRPr="002F50BD">
        <w:rPr>
          <w:rFonts w:ascii="Verdana" w:hAnsi="Verdana"/>
          <w:sz w:val="20"/>
          <w:lang w:val="pt-BR"/>
        </w:rPr>
        <w:t>s</w:t>
      </w:r>
      <w:r w:rsidR="004756C1" w:rsidRPr="002F50BD">
        <w:rPr>
          <w:rFonts w:ascii="Verdana" w:hAnsi="Verdana"/>
          <w:sz w:val="20"/>
          <w:lang w:val="pt-BR"/>
        </w:rPr>
        <w:t>sistema”</w:t>
      </w:r>
      <w:r w:rsidR="004574D2" w:rsidRPr="002F50BD">
        <w:rPr>
          <w:rFonts w:ascii="Verdana" w:hAnsi="Verdana"/>
          <w:sz w:val="20"/>
          <w:lang w:val="pt-BR"/>
        </w:rPr>
        <w:t>.</w:t>
      </w:r>
      <w:r w:rsidR="004756C1" w:rsidRPr="002F50BD">
        <w:rPr>
          <w:rStyle w:val="FootnoteReference"/>
          <w:rFonts w:ascii="Verdana" w:hAnsi="Verdana"/>
          <w:lang w:val="es-ES_tradnl"/>
        </w:rPr>
        <w:footnoteReference w:id="127"/>
      </w:r>
    </w:p>
    <w:p w:rsidR="004756C1" w:rsidRPr="002F50BD" w:rsidRDefault="004756C1">
      <w:pPr>
        <w:pStyle w:val="BodyText"/>
        <w:rPr>
          <w:rFonts w:ascii="Verdana" w:hAnsi="Verdana"/>
          <w:b/>
          <w:sz w:val="20"/>
          <w:lang w:val="pt-BR"/>
        </w:rPr>
      </w:pPr>
    </w:p>
    <w:p w:rsidR="004756C1" w:rsidRPr="002F50BD" w:rsidRDefault="004756C1">
      <w:pPr>
        <w:pStyle w:val="BodyText"/>
        <w:rPr>
          <w:rFonts w:ascii="Verdana" w:hAnsi="Verdana"/>
          <w:i/>
          <w:sz w:val="20"/>
          <w:lang w:val="pt-BR"/>
        </w:rPr>
      </w:pPr>
      <w:r w:rsidRPr="002F50BD">
        <w:rPr>
          <w:rFonts w:ascii="Verdana" w:hAnsi="Verdana"/>
          <w:i/>
          <w:sz w:val="20"/>
          <w:lang w:val="pt-BR"/>
        </w:rPr>
        <w:t>c</w:t>
      </w:r>
      <w:r w:rsidR="00CF451D" w:rsidRPr="00CF451D">
        <w:rPr>
          <w:rFonts w:ascii="Verdana" w:hAnsi="Verdana"/>
          <w:sz w:val="20"/>
          <w:lang w:val="pt-BR"/>
        </w:rPr>
        <w:t>)</w:t>
      </w:r>
      <w:r w:rsidRPr="002F50BD">
        <w:rPr>
          <w:rFonts w:ascii="Verdana" w:hAnsi="Verdana"/>
          <w:i/>
          <w:sz w:val="20"/>
          <w:lang w:val="pt-BR"/>
        </w:rPr>
        <w:tab/>
      </w:r>
      <w:r w:rsidR="0089298C" w:rsidRPr="002F50BD">
        <w:rPr>
          <w:rFonts w:ascii="Verdana" w:hAnsi="Verdana"/>
          <w:i/>
          <w:sz w:val="20"/>
          <w:lang w:val="pt-BR"/>
        </w:rPr>
        <w:t>Ações</w:t>
      </w:r>
      <w:r w:rsidRPr="002F50BD">
        <w:rPr>
          <w:rFonts w:ascii="Verdana" w:hAnsi="Verdana"/>
          <w:i/>
          <w:sz w:val="20"/>
          <w:lang w:val="pt-BR"/>
        </w:rPr>
        <w:t xml:space="preserve"> promovidas</w:t>
      </w:r>
      <w:r w:rsidR="00AB454A" w:rsidRPr="002F50BD">
        <w:rPr>
          <w:rFonts w:ascii="Verdana" w:hAnsi="Verdana"/>
          <w:i/>
          <w:sz w:val="20"/>
          <w:lang w:val="pt-BR"/>
        </w:rPr>
        <w:t xml:space="preserve"> contra </w:t>
      </w:r>
      <w:r w:rsidR="0089298C" w:rsidRPr="002F50BD">
        <w:rPr>
          <w:rFonts w:ascii="Verdana" w:hAnsi="Verdana"/>
          <w:i/>
          <w:sz w:val="20"/>
          <w:lang w:val="pt-BR"/>
        </w:rPr>
        <w:t xml:space="preserve">a Comunidade </w:t>
      </w:r>
      <w:r w:rsidRPr="002F50BD">
        <w:rPr>
          <w:rFonts w:ascii="Verdana" w:hAnsi="Verdana"/>
          <w:i/>
          <w:sz w:val="20"/>
          <w:lang w:val="pt-BR"/>
        </w:rPr>
        <w:t>indígena Yakye Axa</w:t>
      </w:r>
    </w:p>
    <w:p w:rsidR="004756C1" w:rsidRPr="002F50BD" w:rsidRDefault="004756C1">
      <w:pPr>
        <w:pStyle w:val="BodyText"/>
        <w:rPr>
          <w:rFonts w:ascii="Verdana" w:hAnsi="Verdana"/>
          <w:sz w:val="20"/>
          <w:lang w:val="pt-BR"/>
        </w:rPr>
      </w:pPr>
    </w:p>
    <w:p w:rsidR="004756C1" w:rsidRPr="002F50BD" w:rsidRDefault="004574D2">
      <w:pPr>
        <w:pStyle w:val="BodyText"/>
        <w:widowControl/>
        <w:numPr>
          <w:ilvl w:val="0"/>
          <w:numId w:val="36"/>
        </w:numPr>
        <w:rPr>
          <w:rFonts w:ascii="Verdana" w:hAnsi="Verdana"/>
          <w:sz w:val="20"/>
          <w:lang w:val="es-ES_tradnl"/>
        </w:rPr>
      </w:pPr>
      <w:r w:rsidRPr="002F50BD">
        <w:rPr>
          <w:rFonts w:ascii="Verdana" w:hAnsi="Verdana"/>
          <w:sz w:val="20"/>
          <w:lang w:val="es-ES_tradnl"/>
        </w:rPr>
        <w:t>Pera</w:t>
      </w:r>
      <w:r w:rsidR="004756C1" w:rsidRPr="002F50BD">
        <w:rPr>
          <w:rFonts w:ascii="Verdana" w:hAnsi="Verdana"/>
          <w:sz w:val="20"/>
          <w:lang w:val="es-ES_tradnl"/>
        </w:rPr>
        <w:t>nte</w:t>
      </w:r>
      <w:r w:rsidR="0089298C" w:rsidRPr="002F50BD">
        <w:rPr>
          <w:rFonts w:ascii="Verdana" w:hAnsi="Verdana"/>
          <w:sz w:val="20"/>
          <w:lang w:val="es-ES_tradnl"/>
        </w:rPr>
        <w:t xml:space="preserve"> o </w:t>
      </w:r>
      <w:r w:rsidR="004756C1" w:rsidRPr="002F50BD">
        <w:rPr>
          <w:rFonts w:ascii="Verdana" w:hAnsi="Verdana"/>
          <w:sz w:val="20"/>
          <w:lang w:val="es-ES_tradnl"/>
        </w:rPr>
        <w:t>INDI</w:t>
      </w:r>
    </w:p>
    <w:p w:rsidR="004756C1" w:rsidRPr="002F50BD" w:rsidRDefault="004756C1">
      <w:pPr>
        <w:pStyle w:val="BodyText"/>
        <w:rPr>
          <w:rFonts w:ascii="Verdana" w:hAnsi="Verdana"/>
          <w:sz w:val="20"/>
          <w:lang w:val="es-ES_tradnl"/>
        </w:rPr>
      </w:pPr>
    </w:p>
    <w:p w:rsidR="004756C1" w:rsidRPr="002F50BD" w:rsidRDefault="00063B47">
      <w:pPr>
        <w:pStyle w:val="BodyText"/>
        <w:rPr>
          <w:rFonts w:ascii="Verdana" w:hAnsi="Verdana"/>
          <w:color w:val="0000FF"/>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22</w:t>
      </w:r>
      <w:r w:rsidR="004756C1" w:rsidRPr="002F50BD">
        <w:rPr>
          <w:rFonts w:ascii="Verdana" w:hAnsi="Verdana"/>
          <w:sz w:val="20"/>
          <w:lang w:val="pt-BR"/>
        </w:rPr>
        <w:t xml:space="preserve"> de abril de </w:t>
      </w:r>
      <w:r w:rsidRPr="002F50BD">
        <w:rPr>
          <w:rFonts w:ascii="Verdana" w:hAnsi="Verdana"/>
          <w:sz w:val="20"/>
          <w:lang w:val="pt-BR"/>
        </w:rPr>
        <w:t>1998</w:t>
      </w:r>
      <w:r w:rsidR="006D28A8" w:rsidRPr="002F50BD">
        <w:rPr>
          <w:rFonts w:ascii="Verdana" w:hAnsi="Verdana"/>
          <w:sz w:val="20"/>
          <w:lang w:val="pt-BR"/>
        </w:rPr>
        <w:t>,</w:t>
      </w:r>
      <w:r w:rsidR="0089298C" w:rsidRPr="002F50BD">
        <w:rPr>
          <w:rFonts w:ascii="Verdana" w:hAnsi="Verdana"/>
          <w:sz w:val="20"/>
          <w:lang w:val="pt-BR"/>
        </w:rPr>
        <w:t xml:space="preserve"> as </w:t>
      </w:r>
      <w:r w:rsidR="004574D2" w:rsidRPr="002F50BD">
        <w:rPr>
          <w:rFonts w:ascii="Verdana" w:hAnsi="Verdana"/>
          <w:sz w:val="20"/>
          <w:lang w:val="pt-BR"/>
        </w:rPr>
        <w:t xml:space="preserve">empresas </w:t>
      </w:r>
      <w:r w:rsidR="004756C1" w:rsidRPr="002F50BD">
        <w:rPr>
          <w:rFonts w:ascii="Verdana" w:hAnsi="Verdana"/>
          <w:sz w:val="20"/>
          <w:lang w:val="pt-BR"/>
        </w:rPr>
        <w:t>“Florida Agricultural Corporation”, “Livestock Capital Group INC”</w:t>
      </w:r>
      <w:r w:rsidR="0089298C" w:rsidRPr="002F50BD">
        <w:rPr>
          <w:rFonts w:ascii="Verdana" w:hAnsi="Verdana"/>
          <w:sz w:val="20"/>
          <w:lang w:val="pt-BR"/>
        </w:rPr>
        <w:t xml:space="preserve"> e </w:t>
      </w:r>
      <w:r w:rsidR="004756C1" w:rsidRPr="002F50BD">
        <w:rPr>
          <w:rFonts w:ascii="Verdana" w:hAnsi="Verdana"/>
          <w:sz w:val="20"/>
          <w:lang w:val="pt-BR"/>
        </w:rPr>
        <w:t xml:space="preserve">“Agricultural Development INC”, por </w:t>
      </w:r>
      <w:r w:rsidR="0089298C" w:rsidRPr="002F50BD">
        <w:rPr>
          <w:rFonts w:ascii="Verdana" w:hAnsi="Verdana"/>
          <w:sz w:val="20"/>
          <w:lang w:val="pt-BR"/>
        </w:rPr>
        <w:t xml:space="preserve">meio </w:t>
      </w:r>
      <w:r w:rsidR="004756C1" w:rsidRPr="002F50BD">
        <w:rPr>
          <w:rFonts w:ascii="Verdana" w:hAnsi="Verdana"/>
          <w:sz w:val="20"/>
          <w:lang w:val="pt-BR"/>
        </w:rPr>
        <w:t xml:space="preserve">de </w:t>
      </w:r>
      <w:r w:rsidR="004574D2" w:rsidRPr="002F50BD">
        <w:rPr>
          <w:rFonts w:ascii="Verdana" w:hAnsi="Verdana"/>
          <w:sz w:val="20"/>
          <w:lang w:val="pt-BR"/>
        </w:rPr>
        <w:t>seu advogado</w:t>
      </w:r>
      <w:r w:rsidR="004756C1" w:rsidRPr="002F50BD">
        <w:rPr>
          <w:rFonts w:ascii="Verdana" w:hAnsi="Verdana"/>
          <w:sz w:val="20"/>
          <w:lang w:val="pt-BR"/>
        </w:rPr>
        <w:t xml:space="preserve">, </w:t>
      </w:r>
      <w:r w:rsidR="0089298C" w:rsidRPr="002F50BD">
        <w:rPr>
          <w:rFonts w:ascii="Verdana" w:hAnsi="Verdana"/>
          <w:sz w:val="20"/>
          <w:lang w:val="pt-BR"/>
        </w:rPr>
        <w:t xml:space="preserve">apresentaram uma denúncia </w:t>
      </w:r>
      <w:r w:rsidR="004574D2"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INDI contra</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por </w:t>
      </w:r>
      <w:r w:rsidR="0089298C" w:rsidRPr="002F50BD">
        <w:rPr>
          <w:rFonts w:ascii="Verdana" w:hAnsi="Verdana"/>
          <w:sz w:val="20"/>
          <w:lang w:val="pt-BR"/>
        </w:rPr>
        <w:t>ter</w:t>
      </w:r>
      <w:r w:rsidR="004574D2" w:rsidRPr="002F50BD">
        <w:rPr>
          <w:rFonts w:ascii="Verdana" w:hAnsi="Verdana"/>
          <w:sz w:val="20"/>
          <w:lang w:val="pt-BR"/>
        </w:rPr>
        <w:t>em</w:t>
      </w:r>
      <w:r w:rsidR="004756C1" w:rsidRPr="002F50BD">
        <w:rPr>
          <w:rFonts w:ascii="Verdana" w:hAnsi="Verdana"/>
          <w:sz w:val="20"/>
          <w:lang w:val="pt-BR"/>
        </w:rPr>
        <w:t xml:space="preserve"> “iniciado </w:t>
      </w:r>
      <w:r w:rsidR="004076AD" w:rsidRPr="002F50BD">
        <w:rPr>
          <w:rFonts w:ascii="Verdana" w:hAnsi="Verdana"/>
          <w:sz w:val="20"/>
          <w:lang w:val="pt-BR"/>
        </w:rPr>
        <w:t>incursões</w:t>
      </w:r>
      <w:r w:rsidR="004756C1" w:rsidRPr="002F50BD">
        <w:rPr>
          <w:rFonts w:ascii="Verdana" w:hAnsi="Verdana"/>
          <w:sz w:val="20"/>
          <w:lang w:val="pt-BR"/>
        </w:rPr>
        <w:t xml:space="preserve"> </w:t>
      </w:r>
      <w:r w:rsidR="004574D2" w:rsidRPr="002F50BD">
        <w:rPr>
          <w:rFonts w:ascii="Verdana" w:hAnsi="Verdana"/>
          <w:sz w:val="20"/>
          <w:lang w:val="pt-BR"/>
        </w:rPr>
        <w:t xml:space="preserve">sistemáticas </w:t>
      </w:r>
      <w:r w:rsidR="004756C1" w:rsidRPr="002F50BD">
        <w:rPr>
          <w:rFonts w:ascii="Verdana" w:hAnsi="Verdana"/>
          <w:sz w:val="20"/>
          <w:lang w:val="pt-BR"/>
        </w:rPr>
        <w:t>dentro de [s</w:t>
      </w:r>
      <w:r w:rsidR="004574D2" w:rsidRPr="002F50BD">
        <w:rPr>
          <w:rFonts w:ascii="Verdana" w:hAnsi="Verdana"/>
          <w:sz w:val="20"/>
          <w:lang w:val="pt-BR"/>
        </w:rPr>
        <w:t>e</w:t>
      </w:r>
      <w:r w:rsidR="004756C1" w:rsidRPr="002F50BD">
        <w:rPr>
          <w:rFonts w:ascii="Verdana" w:hAnsi="Verdana"/>
          <w:sz w:val="20"/>
          <w:lang w:val="pt-BR"/>
        </w:rPr>
        <w:t xml:space="preserve">us] </w:t>
      </w:r>
      <w:r w:rsidR="000920B2" w:rsidRPr="002F50BD">
        <w:rPr>
          <w:rFonts w:ascii="Verdana" w:hAnsi="Verdana"/>
          <w:sz w:val="20"/>
          <w:lang w:val="pt-BR"/>
        </w:rPr>
        <w:t>imóveis</w:t>
      </w:r>
      <w:r w:rsidR="004756C1" w:rsidRPr="002F50BD">
        <w:rPr>
          <w:rFonts w:ascii="Verdana" w:hAnsi="Verdana"/>
          <w:sz w:val="20"/>
          <w:lang w:val="pt-BR"/>
        </w:rPr>
        <w:t>”</w:t>
      </w:r>
      <w:r w:rsidR="0089298C" w:rsidRPr="002F50BD">
        <w:rPr>
          <w:rFonts w:ascii="Verdana" w:hAnsi="Verdana"/>
          <w:sz w:val="20"/>
          <w:lang w:val="pt-BR"/>
        </w:rPr>
        <w:t xml:space="preserve"> e solicitaram</w:t>
      </w:r>
      <w:r w:rsidR="004756C1" w:rsidRPr="002F50BD">
        <w:rPr>
          <w:rFonts w:ascii="Verdana" w:hAnsi="Verdana"/>
          <w:sz w:val="20"/>
          <w:lang w:val="pt-BR"/>
        </w:rPr>
        <w:t xml:space="preserve"> que </w:t>
      </w:r>
      <w:r w:rsidR="004574D2" w:rsidRPr="002F50BD">
        <w:rPr>
          <w:rFonts w:ascii="Verdana" w:hAnsi="Verdana"/>
          <w:sz w:val="20"/>
          <w:lang w:val="pt-BR"/>
        </w:rPr>
        <w:t xml:space="preserve">fosse ordenado à Chefia </w:t>
      </w:r>
      <w:r w:rsidR="0089298C" w:rsidRPr="002F50BD">
        <w:rPr>
          <w:rFonts w:ascii="Verdana" w:hAnsi="Verdana"/>
          <w:sz w:val="20"/>
          <w:lang w:val="pt-BR"/>
        </w:rPr>
        <w:t xml:space="preserve">da </w:t>
      </w:r>
      <w:r w:rsidR="004756C1" w:rsidRPr="002F50BD">
        <w:rPr>
          <w:rFonts w:ascii="Verdana" w:hAnsi="Verdana"/>
          <w:sz w:val="20"/>
          <w:lang w:val="pt-BR"/>
        </w:rPr>
        <w:t>Pol</w:t>
      </w:r>
      <w:r w:rsidR="004574D2" w:rsidRPr="002F50BD">
        <w:rPr>
          <w:rFonts w:ascii="Verdana" w:hAnsi="Verdana"/>
          <w:sz w:val="20"/>
          <w:lang w:val="pt-BR"/>
        </w:rPr>
        <w:t>í</w:t>
      </w:r>
      <w:r w:rsidR="004756C1" w:rsidRPr="002F50BD">
        <w:rPr>
          <w:rFonts w:ascii="Verdana" w:hAnsi="Verdana"/>
          <w:sz w:val="20"/>
          <w:lang w:val="pt-BR"/>
        </w:rPr>
        <w:t>c</w:t>
      </w:r>
      <w:r w:rsidR="004574D2" w:rsidRPr="002F50BD">
        <w:rPr>
          <w:rFonts w:ascii="Verdana" w:hAnsi="Verdana"/>
          <w:sz w:val="20"/>
          <w:lang w:val="pt-BR"/>
        </w:rPr>
        <w:t>i</w:t>
      </w:r>
      <w:r w:rsidR="004756C1" w:rsidRPr="002F50BD">
        <w:rPr>
          <w:rFonts w:ascii="Verdana" w:hAnsi="Verdana"/>
          <w:sz w:val="20"/>
          <w:lang w:val="pt-BR"/>
        </w:rPr>
        <w:t xml:space="preserve">a Nacional </w:t>
      </w:r>
      <w:r w:rsidR="0089298C" w:rsidRPr="002F50BD">
        <w:rPr>
          <w:rFonts w:ascii="Verdana" w:hAnsi="Verdana"/>
          <w:sz w:val="20"/>
          <w:lang w:val="pt-BR"/>
        </w:rPr>
        <w:t xml:space="preserve">do </w:t>
      </w:r>
      <w:r w:rsidR="004756C1" w:rsidRPr="002F50BD">
        <w:rPr>
          <w:rFonts w:ascii="Verdana" w:hAnsi="Verdana"/>
          <w:sz w:val="20"/>
          <w:lang w:val="pt-BR"/>
        </w:rPr>
        <w:t xml:space="preserve">Departamento de </w:t>
      </w:r>
      <w:r w:rsidR="0089298C" w:rsidRPr="002F50BD">
        <w:rPr>
          <w:rFonts w:ascii="Verdana" w:hAnsi="Verdana"/>
          <w:sz w:val="20"/>
          <w:lang w:val="pt-BR"/>
        </w:rPr>
        <w:t>Vi</w:t>
      </w:r>
      <w:r w:rsidR="004574D2" w:rsidRPr="002F50BD">
        <w:rPr>
          <w:rFonts w:ascii="Verdana" w:hAnsi="Verdana"/>
          <w:sz w:val="20"/>
          <w:lang w:val="pt-BR"/>
        </w:rPr>
        <w:t>l</w:t>
      </w:r>
      <w:r w:rsidR="0089298C" w:rsidRPr="002F50BD">
        <w:rPr>
          <w:rFonts w:ascii="Verdana" w:hAnsi="Verdana"/>
          <w:sz w:val="20"/>
          <w:lang w:val="pt-BR"/>
        </w:rPr>
        <w:t>la</w:t>
      </w:r>
      <w:r w:rsidR="004756C1" w:rsidRPr="002F50BD">
        <w:rPr>
          <w:rFonts w:ascii="Verdana" w:hAnsi="Verdana"/>
          <w:sz w:val="20"/>
          <w:lang w:val="pt-BR"/>
        </w:rPr>
        <w:t xml:space="preserve"> Hayes que </w:t>
      </w:r>
      <w:r w:rsidR="004574D2" w:rsidRPr="002F50BD">
        <w:rPr>
          <w:rFonts w:ascii="Verdana" w:hAnsi="Verdana"/>
          <w:sz w:val="20"/>
          <w:lang w:val="pt-BR"/>
        </w:rPr>
        <w:t xml:space="preserve">providenciasse </w:t>
      </w:r>
      <w:r w:rsidR="0089298C" w:rsidRPr="002F50BD">
        <w:rPr>
          <w:rFonts w:ascii="Verdana" w:hAnsi="Verdana"/>
          <w:sz w:val="20"/>
          <w:lang w:val="pt-BR"/>
        </w:rPr>
        <w:t>pessoa</w:t>
      </w:r>
      <w:r w:rsidR="004756C1" w:rsidRPr="002F50BD">
        <w:rPr>
          <w:rFonts w:ascii="Verdana" w:hAnsi="Verdana"/>
          <w:sz w:val="20"/>
          <w:lang w:val="pt-BR"/>
        </w:rPr>
        <w:t>l policial para</w:t>
      </w:r>
      <w:r w:rsidR="0089298C" w:rsidRPr="002F50BD">
        <w:rPr>
          <w:rFonts w:ascii="Verdana" w:hAnsi="Verdana"/>
          <w:sz w:val="20"/>
          <w:lang w:val="pt-BR"/>
        </w:rPr>
        <w:t xml:space="preserve"> a custódia dos </w:t>
      </w:r>
      <w:r w:rsidR="005742A4" w:rsidRPr="002F50BD">
        <w:rPr>
          <w:rFonts w:ascii="Verdana" w:hAnsi="Verdana"/>
          <w:sz w:val="20"/>
          <w:lang w:val="pt-BR"/>
        </w:rPr>
        <w:t xml:space="preserve">referidos </w:t>
      </w:r>
      <w:r w:rsidR="000920B2" w:rsidRPr="002F50BD">
        <w:rPr>
          <w:rFonts w:ascii="Verdana" w:hAnsi="Verdana"/>
          <w:sz w:val="20"/>
          <w:lang w:val="pt-BR"/>
        </w:rPr>
        <w:t>imóveis</w:t>
      </w:r>
      <w:r w:rsidR="006D28A8" w:rsidRPr="002F50BD">
        <w:rPr>
          <w:rFonts w:ascii="Verdana" w:hAnsi="Verdana"/>
          <w:sz w:val="20"/>
          <w:lang w:val="pt-BR"/>
        </w:rPr>
        <w:t>.</w:t>
      </w:r>
      <w:r w:rsidR="004756C1" w:rsidRPr="002F50BD">
        <w:rPr>
          <w:rStyle w:val="FootnoteReference"/>
          <w:rFonts w:ascii="Verdana" w:hAnsi="Verdana"/>
          <w:lang w:val="es-ES_tradnl"/>
        </w:rPr>
        <w:footnoteReference w:id="128"/>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expediente tramitado </w:t>
      </w:r>
      <w:r w:rsidR="004574D2"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INDI</w:t>
      </w:r>
      <w:r w:rsidR="0089298C" w:rsidRPr="002F50BD">
        <w:rPr>
          <w:rFonts w:ascii="Verdana" w:hAnsi="Verdana"/>
          <w:sz w:val="20"/>
          <w:lang w:val="pt-BR"/>
        </w:rPr>
        <w:t xml:space="preserve"> e o </w:t>
      </w:r>
      <w:r w:rsidR="004756C1" w:rsidRPr="002F50BD">
        <w:rPr>
          <w:rFonts w:ascii="Verdana" w:hAnsi="Verdana"/>
          <w:sz w:val="20"/>
          <w:lang w:val="pt-BR"/>
        </w:rPr>
        <w:t xml:space="preserve">IBR </w:t>
      </w:r>
      <w:r w:rsidR="00AB454A" w:rsidRPr="002F50BD">
        <w:rPr>
          <w:rFonts w:ascii="Verdana" w:hAnsi="Verdana"/>
          <w:sz w:val="20"/>
          <w:lang w:val="pt-BR"/>
        </w:rPr>
        <w:t>não é</w:t>
      </w:r>
      <w:r w:rsidR="0089298C" w:rsidRPr="002F50BD">
        <w:rPr>
          <w:rFonts w:ascii="Verdana" w:hAnsi="Verdana"/>
          <w:sz w:val="20"/>
          <w:lang w:val="pt-BR"/>
        </w:rPr>
        <w:t xml:space="preserve"> possível </w:t>
      </w:r>
      <w:r w:rsidR="004756C1" w:rsidRPr="002F50BD">
        <w:rPr>
          <w:rFonts w:ascii="Verdana" w:hAnsi="Verdana"/>
          <w:sz w:val="20"/>
          <w:lang w:val="pt-BR"/>
        </w:rPr>
        <w:t>determinar</w:t>
      </w:r>
      <w:r w:rsidR="0089298C" w:rsidRPr="002F50BD">
        <w:rPr>
          <w:rFonts w:ascii="Verdana" w:hAnsi="Verdana"/>
          <w:sz w:val="20"/>
          <w:lang w:val="pt-BR"/>
        </w:rPr>
        <w:t xml:space="preserve"> </w:t>
      </w:r>
      <w:r w:rsidR="00B03EA8" w:rsidRPr="002F50BD">
        <w:rPr>
          <w:rFonts w:ascii="Verdana" w:hAnsi="Verdana"/>
          <w:sz w:val="20"/>
          <w:lang w:val="pt-BR"/>
        </w:rPr>
        <w:t xml:space="preserve">o trâmite </w:t>
      </w:r>
      <w:r w:rsidR="004756C1" w:rsidRPr="002F50BD">
        <w:rPr>
          <w:rFonts w:ascii="Verdana" w:hAnsi="Verdana"/>
          <w:sz w:val="20"/>
          <w:lang w:val="pt-BR"/>
        </w:rPr>
        <w:t>dado a esta den</w:t>
      </w:r>
      <w:r w:rsidR="004574D2" w:rsidRPr="002F50BD">
        <w:rPr>
          <w:rFonts w:ascii="Verdana" w:hAnsi="Verdana"/>
          <w:sz w:val="20"/>
          <w:lang w:val="pt-BR"/>
        </w:rPr>
        <w:t>ú</w:t>
      </w:r>
      <w:r w:rsidR="004756C1" w:rsidRPr="002F50BD">
        <w:rPr>
          <w:rFonts w:ascii="Verdana" w:hAnsi="Verdana"/>
          <w:sz w:val="20"/>
          <w:lang w:val="pt-BR"/>
        </w:rPr>
        <w:t>ncia.</w:t>
      </w:r>
      <w:r w:rsidR="00FE08B7">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574D2">
      <w:pPr>
        <w:pStyle w:val="BodyText"/>
        <w:widowControl/>
        <w:numPr>
          <w:ilvl w:val="1"/>
          <w:numId w:val="36"/>
        </w:numPr>
        <w:tabs>
          <w:tab w:val="clear" w:pos="1800"/>
          <w:tab w:val="num" w:pos="720"/>
        </w:tabs>
        <w:ind w:left="720" w:hanging="360"/>
        <w:rPr>
          <w:rFonts w:ascii="Verdana" w:hAnsi="Verdana"/>
          <w:sz w:val="20"/>
          <w:lang w:val="es-ES_tradnl"/>
        </w:rPr>
      </w:pPr>
      <w:r w:rsidRPr="002F50BD">
        <w:rPr>
          <w:rFonts w:ascii="Verdana" w:hAnsi="Verdana"/>
          <w:sz w:val="20"/>
          <w:lang w:val="es-ES_tradnl"/>
        </w:rPr>
        <w:t>Pera</w:t>
      </w:r>
      <w:r w:rsidR="004756C1" w:rsidRPr="002F50BD">
        <w:rPr>
          <w:rFonts w:ascii="Verdana" w:hAnsi="Verdana"/>
          <w:sz w:val="20"/>
          <w:lang w:val="es-ES_tradnl"/>
        </w:rPr>
        <w:t xml:space="preserve">nte </w:t>
      </w:r>
      <w:r w:rsidR="0089298C" w:rsidRPr="002F50BD">
        <w:rPr>
          <w:rFonts w:ascii="Verdana" w:hAnsi="Verdana"/>
          <w:sz w:val="20"/>
          <w:lang w:val="es-ES_tradnl"/>
        </w:rPr>
        <w:t>Órgão</w:t>
      </w:r>
      <w:r w:rsidR="004756C1" w:rsidRPr="002F50BD">
        <w:rPr>
          <w:rFonts w:ascii="Verdana" w:hAnsi="Verdana"/>
          <w:sz w:val="20"/>
          <w:lang w:val="es-ES_tradnl"/>
        </w:rPr>
        <w:t xml:space="preserve">s </w:t>
      </w:r>
      <w:r w:rsidR="0089298C" w:rsidRPr="002F50BD">
        <w:rPr>
          <w:rFonts w:ascii="Verdana" w:hAnsi="Verdana"/>
          <w:sz w:val="20"/>
          <w:lang w:val="es-ES_tradnl"/>
        </w:rPr>
        <w:t>Judiciais</w:t>
      </w:r>
    </w:p>
    <w:p w:rsidR="004756C1" w:rsidRPr="002F50BD" w:rsidRDefault="004756C1">
      <w:pPr>
        <w:pStyle w:val="BodyText"/>
        <w:rPr>
          <w:rFonts w:ascii="Verdana" w:hAnsi="Verdana"/>
          <w:b/>
          <w:sz w:val="20"/>
          <w:lang w:val="es-ES_tradnl"/>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79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16</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1999</w:t>
      </w:r>
      <w:r w:rsidR="006D28A8" w:rsidRPr="002F50BD">
        <w:rPr>
          <w:rFonts w:ascii="Verdana" w:hAnsi="Verdana"/>
          <w:sz w:val="20"/>
          <w:lang w:val="pt-BR"/>
        </w:rPr>
        <w:t>,</w:t>
      </w:r>
      <w:r w:rsidR="0089298C" w:rsidRPr="002F50BD">
        <w:rPr>
          <w:rFonts w:ascii="Verdana" w:hAnsi="Verdana"/>
          <w:sz w:val="20"/>
          <w:lang w:val="pt-BR"/>
        </w:rPr>
        <w:t xml:space="preserve"> o </w:t>
      </w:r>
      <w:r w:rsidR="008C29C9" w:rsidRPr="002F50BD">
        <w:rPr>
          <w:rFonts w:ascii="Verdana" w:hAnsi="Verdana"/>
          <w:sz w:val="20"/>
          <w:lang w:val="pt-BR"/>
        </w:rPr>
        <w:t>representante</w:t>
      </w:r>
      <w:r w:rsidR="004756C1" w:rsidRPr="002F50BD">
        <w:rPr>
          <w:rFonts w:ascii="Verdana" w:hAnsi="Verdana"/>
          <w:sz w:val="20"/>
          <w:lang w:val="pt-BR"/>
        </w:rPr>
        <w:t xml:space="preserve"> legal</w:t>
      </w:r>
      <w:r w:rsidR="0089298C" w:rsidRPr="002F50BD">
        <w:rPr>
          <w:rFonts w:ascii="Verdana" w:hAnsi="Verdana"/>
          <w:sz w:val="20"/>
          <w:lang w:val="pt-BR"/>
        </w:rPr>
        <w:t xml:space="preserve"> da </w:t>
      </w:r>
      <w:r w:rsidR="004756C1" w:rsidRPr="002F50BD">
        <w:rPr>
          <w:rFonts w:ascii="Verdana" w:hAnsi="Verdana"/>
          <w:sz w:val="20"/>
          <w:lang w:val="pt-BR"/>
        </w:rPr>
        <w:t>firma Livestock Capital Group INC, que figura como</w:t>
      </w:r>
      <w:r w:rsidR="0089298C" w:rsidRPr="002F50BD">
        <w:rPr>
          <w:rFonts w:ascii="Verdana" w:hAnsi="Verdana"/>
          <w:sz w:val="20"/>
          <w:lang w:val="pt-BR"/>
        </w:rPr>
        <w:t xml:space="preserve"> uma das </w:t>
      </w:r>
      <w:r w:rsidR="00937400" w:rsidRPr="002F50BD">
        <w:rPr>
          <w:rFonts w:ascii="Verdana" w:hAnsi="Verdana"/>
          <w:sz w:val="20"/>
          <w:lang w:val="pt-BR"/>
        </w:rPr>
        <w:t>proprietári</w:t>
      </w:r>
      <w:r w:rsidR="004756C1" w:rsidRPr="002F50BD">
        <w:rPr>
          <w:rFonts w:ascii="Verdana" w:hAnsi="Verdana"/>
          <w:sz w:val="20"/>
          <w:lang w:val="pt-BR"/>
        </w:rPr>
        <w:t>as</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89298C" w:rsidRPr="002F50BD">
        <w:rPr>
          <w:rFonts w:ascii="Verdana" w:hAnsi="Verdana"/>
          <w:sz w:val="20"/>
          <w:lang w:val="pt-BR"/>
        </w:rPr>
        <w:t>apresentou uma denúncia</w:t>
      </w:r>
      <w:r w:rsidR="00AB454A" w:rsidRPr="002F50BD">
        <w:rPr>
          <w:rFonts w:ascii="Verdana" w:hAnsi="Verdana"/>
          <w:sz w:val="20"/>
          <w:lang w:val="pt-BR"/>
        </w:rPr>
        <w:t xml:space="preserve"> contra </w:t>
      </w:r>
      <w:r w:rsidR="00E0567F" w:rsidRPr="002F50BD">
        <w:rPr>
          <w:rFonts w:ascii="Verdana" w:hAnsi="Verdana"/>
          <w:sz w:val="20"/>
          <w:lang w:val="pt-BR"/>
        </w:rPr>
        <w:t xml:space="preserve">membros não identificados </w:t>
      </w:r>
      <w:r w:rsidR="0089298C" w:rsidRPr="002F50BD">
        <w:rPr>
          <w:rFonts w:ascii="Verdana" w:hAnsi="Verdana"/>
          <w:sz w:val="20"/>
          <w:lang w:val="pt-BR"/>
        </w:rPr>
        <w:t xml:space="preserve">da Comunidade </w:t>
      </w:r>
      <w:r w:rsidR="004756C1" w:rsidRPr="002F50BD">
        <w:rPr>
          <w:rFonts w:ascii="Verdana" w:hAnsi="Verdana"/>
          <w:sz w:val="20"/>
          <w:lang w:val="pt-BR"/>
        </w:rPr>
        <w:t>Yakye Axa</w:t>
      </w:r>
      <w:r w:rsidR="0089298C" w:rsidRPr="002F50BD">
        <w:rPr>
          <w:rFonts w:ascii="Verdana" w:hAnsi="Verdana"/>
          <w:sz w:val="20"/>
          <w:lang w:val="pt-BR"/>
        </w:rPr>
        <w:t xml:space="preserve"> pela </w:t>
      </w:r>
      <w:r w:rsidR="004756C1" w:rsidRPr="002F50BD">
        <w:rPr>
          <w:rFonts w:ascii="Verdana" w:hAnsi="Verdana"/>
          <w:sz w:val="20"/>
          <w:lang w:val="pt-BR"/>
        </w:rPr>
        <w:t>su</w:t>
      </w:r>
      <w:r w:rsidR="0089298C" w:rsidRPr="002F50BD">
        <w:rPr>
          <w:rFonts w:ascii="Verdana" w:hAnsi="Verdana"/>
          <w:sz w:val="20"/>
          <w:lang w:val="pt-BR"/>
        </w:rPr>
        <w:t>posta</w:t>
      </w:r>
      <w:r w:rsidR="004756C1" w:rsidRPr="002F50BD">
        <w:rPr>
          <w:rFonts w:ascii="Verdana" w:hAnsi="Verdana"/>
          <w:sz w:val="20"/>
          <w:lang w:val="pt-BR"/>
        </w:rPr>
        <w:t xml:space="preserve"> </w:t>
      </w:r>
      <w:r w:rsidR="0089298C" w:rsidRPr="002F50BD">
        <w:rPr>
          <w:rFonts w:ascii="Verdana" w:hAnsi="Verdana"/>
          <w:sz w:val="20"/>
          <w:lang w:val="pt-BR"/>
        </w:rPr>
        <w:t xml:space="preserve">comissão dos </w:t>
      </w:r>
      <w:r w:rsidR="004756C1" w:rsidRPr="002F50BD">
        <w:rPr>
          <w:rFonts w:ascii="Verdana" w:hAnsi="Verdana"/>
          <w:sz w:val="20"/>
          <w:lang w:val="pt-BR"/>
        </w:rPr>
        <w:t xml:space="preserve">delitos de </w:t>
      </w:r>
      <w:r w:rsidR="00500DEF" w:rsidRPr="002F50BD">
        <w:rPr>
          <w:rFonts w:ascii="Verdana" w:hAnsi="Verdana"/>
          <w:sz w:val="20"/>
          <w:lang w:val="pt-BR"/>
        </w:rPr>
        <w:t>invasão</w:t>
      </w:r>
      <w:r w:rsidR="004756C1" w:rsidRPr="002F50BD">
        <w:rPr>
          <w:rFonts w:ascii="Verdana" w:hAnsi="Verdana"/>
          <w:sz w:val="20"/>
          <w:lang w:val="pt-BR"/>
        </w:rPr>
        <w:t xml:space="preserve"> de </w:t>
      </w:r>
      <w:r w:rsidR="0089298C" w:rsidRPr="002F50BD">
        <w:rPr>
          <w:rFonts w:ascii="Verdana" w:hAnsi="Verdana"/>
          <w:sz w:val="20"/>
          <w:lang w:val="pt-BR"/>
        </w:rPr>
        <w:t>imóvel</w:t>
      </w:r>
      <w:r w:rsidR="004756C1" w:rsidRPr="002F50BD">
        <w:rPr>
          <w:rFonts w:ascii="Verdana" w:hAnsi="Verdana"/>
          <w:sz w:val="20"/>
          <w:lang w:val="pt-BR"/>
        </w:rPr>
        <w:t xml:space="preserve"> </w:t>
      </w:r>
      <w:r w:rsidR="0089298C" w:rsidRPr="002F50BD">
        <w:rPr>
          <w:rFonts w:ascii="Verdana" w:hAnsi="Verdana"/>
          <w:sz w:val="20"/>
          <w:lang w:val="pt-BR"/>
        </w:rPr>
        <w:t>alheio</w:t>
      </w:r>
      <w:r w:rsidR="004756C1" w:rsidRPr="002F50BD">
        <w:rPr>
          <w:rFonts w:ascii="Verdana" w:hAnsi="Verdana"/>
          <w:sz w:val="20"/>
          <w:lang w:val="pt-BR"/>
        </w:rPr>
        <w:t>, co</w:t>
      </w:r>
      <w:r w:rsidR="004076AD" w:rsidRPr="002F50BD">
        <w:rPr>
          <w:rFonts w:ascii="Verdana" w:hAnsi="Verdana"/>
          <w:sz w:val="20"/>
          <w:lang w:val="pt-BR"/>
        </w:rPr>
        <w:t>ação</w:t>
      </w:r>
      <w:r w:rsidR="004756C1" w:rsidRPr="002F50BD">
        <w:rPr>
          <w:rFonts w:ascii="Verdana" w:hAnsi="Verdana"/>
          <w:sz w:val="20"/>
          <w:lang w:val="pt-BR"/>
        </w:rPr>
        <w:t xml:space="preserve"> grave</w:t>
      </w:r>
      <w:r w:rsidR="0089298C" w:rsidRPr="002F50BD">
        <w:rPr>
          <w:rFonts w:ascii="Verdana" w:hAnsi="Verdana"/>
          <w:sz w:val="20"/>
          <w:lang w:val="pt-BR"/>
        </w:rPr>
        <w:t xml:space="preserve"> e </w:t>
      </w:r>
      <w:r w:rsidR="00500DEF" w:rsidRPr="002F50BD">
        <w:rPr>
          <w:rFonts w:ascii="Verdana" w:hAnsi="Verdana"/>
          <w:sz w:val="20"/>
          <w:lang w:val="pt-BR"/>
        </w:rPr>
        <w:t>furto.</w:t>
      </w:r>
      <w:r w:rsidR="004756C1" w:rsidRPr="002F50BD">
        <w:rPr>
          <w:rStyle w:val="FootnoteReference"/>
          <w:rFonts w:ascii="Verdana" w:hAnsi="Verdana"/>
          <w:lang w:val="es-ES_tradnl"/>
        </w:rPr>
        <w:footnoteReference w:id="129"/>
      </w:r>
      <w:r w:rsidR="00AB454A" w:rsidRPr="002F50BD">
        <w:rPr>
          <w:rFonts w:ascii="Verdana" w:hAnsi="Verdana"/>
          <w:sz w:val="20"/>
          <w:lang w:val="pt-BR"/>
        </w:rPr>
        <w:t xml:space="preserve"> </w:t>
      </w:r>
      <w:r w:rsidR="00500DEF"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 xml:space="preserve">março </w:t>
      </w:r>
      <w:r w:rsidR="002829BB">
        <w:rPr>
          <w:rFonts w:ascii="Verdana" w:hAnsi="Verdana"/>
          <w:sz w:val="20"/>
          <w:lang w:val="pt-BR"/>
        </w:rPr>
        <w:t>daquele</w:t>
      </w:r>
      <w:r w:rsidR="0089298C" w:rsidRPr="002F50BD">
        <w:rPr>
          <w:rFonts w:ascii="Verdana" w:hAnsi="Verdana"/>
          <w:sz w:val="20"/>
          <w:lang w:val="pt-BR"/>
        </w:rPr>
        <w:t xml:space="preserve"> ano</w:t>
      </w:r>
      <w:r w:rsidR="006D28A8"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 xml:space="preserve">Instância </w:t>
      </w:r>
      <w:r w:rsidR="004756C1" w:rsidRPr="002F50BD">
        <w:rPr>
          <w:rFonts w:ascii="Verdana" w:hAnsi="Verdana"/>
          <w:sz w:val="20"/>
          <w:lang w:val="pt-BR"/>
        </w:rPr>
        <w:t>Criminal</w:t>
      </w:r>
      <w:r w:rsidR="0089298C" w:rsidRPr="002F50BD">
        <w:rPr>
          <w:rFonts w:ascii="Verdana" w:hAnsi="Verdana"/>
          <w:sz w:val="20"/>
          <w:lang w:val="pt-BR"/>
        </w:rPr>
        <w:t xml:space="preserve"> e </w:t>
      </w:r>
      <w:r w:rsidR="004756C1" w:rsidRPr="002F50BD">
        <w:rPr>
          <w:rFonts w:ascii="Verdana" w:hAnsi="Verdana"/>
          <w:sz w:val="20"/>
          <w:lang w:val="pt-BR"/>
        </w:rPr>
        <w:lastRenderedPageBreak/>
        <w:t xml:space="preserve">Correcional </w:t>
      </w:r>
      <w:r w:rsidR="0089298C" w:rsidRPr="002F50BD">
        <w:rPr>
          <w:rFonts w:ascii="Verdana" w:hAnsi="Verdana"/>
          <w:sz w:val="20"/>
          <w:lang w:val="pt-BR"/>
        </w:rPr>
        <w:t xml:space="preserve">do </w:t>
      </w:r>
      <w:r w:rsidR="004756C1" w:rsidRPr="002F50BD">
        <w:rPr>
          <w:rFonts w:ascii="Verdana" w:hAnsi="Verdana"/>
          <w:sz w:val="20"/>
          <w:lang w:val="pt-BR"/>
        </w:rPr>
        <w:t>Menor</w:t>
      </w:r>
      <w:r w:rsidR="0089298C" w:rsidRPr="002F50BD">
        <w:rPr>
          <w:rFonts w:ascii="Verdana" w:hAnsi="Verdana"/>
          <w:sz w:val="20"/>
          <w:lang w:val="pt-BR"/>
        </w:rPr>
        <w:t xml:space="preserve"> da </w:t>
      </w:r>
      <w:r w:rsidR="004756C1" w:rsidRPr="002F50BD">
        <w:rPr>
          <w:rFonts w:ascii="Verdana" w:hAnsi="Verdana"/>
          <w:sz w:val="20"/>
          <w:lang w:val="pt-BR"/>
        </w:rPr>
        <w:t>Circunscri</w:t>
      </w:r>
      <w:r w:rsidR="0089298C" w:rsidRPr="002F50BD">
        <w:rPr>
          <w:rFonts w:ascii="Verdana" w:hAnsi="Verdana"/>
          <w:sz w:val="20"/>
          <w:lang w:val="pt-BR"/>
        </w:rPr>
        <w:t>ção</w:t>
      </w:r>
      <w:r w:rsidR="004756C1" w:rsidRPr="002F50BD">
        <w:rPr>
          <w:rFonts w:ascii="Verdana" w:hAnsi="Verdana"/>
          <w:sz w:val="20"/>
          <w:lang w:val="pt-BR"/>
        </w:rPr>
        <w:t xml:space="preserve"> Judicial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89298C" w:rsidRPr="002F50BD">
        <w:rPr>
          <w:rFonts w:ascii="Verdana" w:hAnsi="Verdana"/>
          <w:sz w:val="20"/>
          <w:lang w:val="pt-BR"/>
        </w:rPr>
        <w:t>resolveu</w:t>
      </w:r>
      <w:r w:rsidR="004756C1" w:rsidRPr="002F50BD">
        <w:rPr>
          <w:rFonts w:ascii="Verdana" w:hAnsi="Verdana"/>
          <w:sz w:val="20"/>
          <w:lang w:val="pt-BR"/>
        </w:rPr>
        <w:t xml:space="preserve"> instruir</w:t>
      </w:r>
      <w:r w:rsidR="0089298C" w:rsidRPr="002F50BD">
        <w:rPr>
          <w:rFonts w:ascii="Verdana" w:hAnsi="Verdana"/>
          <w:sz w:val="20"/>
          <w:lang w:val="pt-BR"/>
        </w:rPr>
        <w:t xml:space="preserve"> o</w:t>
      </w:r>
      <w:r w:rsidR="00914F6C" w:rsidRPr="002F50BD">
        <w:rPr>
          <w:rFonts w:ascii="Verdana" w:hAnsi="Verdana"/>
          <w:sz w:val="20"/>
          <w:lang w:val="pt-BR"/>
        </w:rPr>
        <w:t xml:space="preserve"> respectivo</w:t>
      </w:r>
      <w:r w:rsidR="0089298C" w:rsidRPr="002F50BD">
        <w:rPr>
          <w:rFonts w:ascii="Verdana" w:hAnsi="Verdana"/>
          <w:sz w:val="20"/>
          <w:lang w:val="pt-BR"/>
        </w:rPr>
        <w:t xml:space="preserve"> </w:t>
      </w:r>
      <w:r w:rsidR="001F242A" w:rsidRPr="002F50BD">
        <w:rPr>
          <w:rFonts w:ascii="Verdana" w:hAnsi="Verdana"/>
          <w:sz w:val="20"/>
          <w:lang w:val="pt-BR"/>
        </w:rPr>
        <w:t>inquérito</w:t>
      </w:r>
      <w:r w:rsidR="004756C1" w:rsidRPr="002F50BD">
        <w:rPr>
          <w:rFonts w:ascii="Verdana" w:hAnsi="Verdana"/>
          <w:sz w:val="20"/>
          <w:lang w:val="pt-BR"/>
        </w:rPr>
        <w:t xml:space="preserve"> “e</w:t>
      </w:r>
      <w:r w:rsidR="00500DEF" w:rsidRPr="002F50BD">
        <w:rPr>
          <w:rFonts w:ascii="Verdana" w:hAnsi="Verdana"/>
          <w:sz w:val="20"/>
          <w:lang w:val="pt-BR"/>
        </w:rPr>
        <w:t>m</w:t>
      </w:r>
      <w:r w:rsidR="004756C1" w:rsidRPr="002F50BD">
        <w:rPr>
          <w:rFonts w:ascii="Verdana" w:hAnsi="Verdana"/>
          <w:sz w:val="20"/>
          <w:lang w:val="pt-BR"/>
        </w:rPr>
        <w:t xml:space="preserve"> </w:t>
      </w:r>
      <w:r w:rsidR="00500DEF" w:rsidRPr="002F50BD">
        <w:rPr>
          <w:rFonts w:ascii="Verdana" w:hAnsi="Verdana"/>
          <w:sz w:val="20"/>
          <w:lang w:val="pt-BR"/>
        </w:rPr>
        <w:t xml:space="preserve">[fase de] </w:t>
      </w:r>
      <w:r w:rsidR="004756C1" w:rsidRPr="002F50BD">
        <w:rPr>
          <w:rFonts w:ascii="Verdana" w:hAnsi="Verdana"/>
          <w:sz w:val="20"/>
          <w:lang w:val="pt-BR"/>
        </w:rPr>
        <w:t>averigua</w:t>
      </w:r>
      <w:r w:rsidR="0089298C" w:rsidRPr="002F50BD">
        <w:rPr>
          <w:rFonts w:ascii="Verdana" w:hAnsi="Verdana"/>
          <w:sz w:val="20"/>
          <w:lang w:val="pt-BR"/>
        </w:rPr>
        <w:t>ção e comprovação</w:t>
      </w:r>
      <w:r w:rsidR="004756C1" w:rsidRPr="002F50BD">
        <w:rPr>
          <w:rFonts w:ascii="Verdana" w:hAnsi="Verdana"/>
          <w:sz w:val="20"/>
          <w:lang w:val="pt-BR"/>
        </w:rPr>
        <w:t xml:space="preserve"> </w:t>
      </w:r>
      <w:r w:rsidR="0089298C" w:rsidRPr="002F50BD">
        <w:rPr>
          <w:rFonts w:ascii="Verdana" w:hAnsi="Verdana"/>
          <w:sz w:val="20"/>
          <w:lang w:val="pt-BR"/>
        </w:rPr>
        <w:t xml:space="preserve">do fato </w:t>
      </w:r>
      <w:r w:rsidR="004756C1" w:rsidRPr="002F50BD">
        <w:rPr>
          <w:rFonts w:ascii="Verdana" w:hAnsi="Verdana"/>
          <w:sz w:val="20"/>
          <w:lang w:val="pt-BR"/>
        </w:rPr>
        <w:t>denunciado</w:t>
      </w:r>
      <w:r w:rsidR="0089298C" w:rsidRPr="002F50BD">
        <w:rPr>
          <w:rFonts w:ascii="Verdana" w:hAnsi="Verdana"/>
          <w:sz w:val="20"/>
          <w:lang w:val="pt-BR"/>
        </w:rPr>
        <w:t xml:space="preserve"> e </w:t>
      </w:r>
      <w:r w:rsidR="00500DEF" w:rsidRPr="002F50BD">
        <w:rPr>
          <w:rFonts w:ascii="Verdana" w:hAnsi="Verdana"/>
          <w:sz w:val="20"/>
          <w:lang w:val="pt-BR"/>
        </w:rPr>
        <w:t>de</w:t>
      </w:r>
      <w:r w:rsidR="0089298C" w:rsidRPr="002F50BD">
        <w:rPr>
          <w:rFonts w:ascii="Verdana" w:hAnsi="Verdana"/>
          <w:sz w:val="20"/>
          <w:lang w:val="pt-BR"/>
        </w:rPr>
        <w:t xml:space="preserve"> </w:t>
      </w:r>
      <w:r w:rsidR="004756C1" w:rsidRPr="002F50BD">
        <w:rPr>
          <w:rFonts w:ascii="Verdana" w:hAnsi="Verdana"/>
          <w:sz w:val="20"/>
          <w:lang w:val="pt-BR"/>
        </w:rPr>
        <w:t>determina</w:t>
      </w:r>
      <w:r w:rsidR="0089298C" w:rsidRPr="002F50BD">
        <w:rPr>
          <w:rFonts w:ascii="Verdana" w:hAnsi="Verdana"/>
          <w:sz w:val="20"/>
          <w:lang w:val="pt-BR"/>
        </w:rPr>
        <w:t>ção</w:t>
      </w:r>
      <w:r w:rsidR="004756C1" w:rsidRPr="002F50BD">
        <w:rPr>
          <w:rFonts w:ascii="Verdana" w:hAnsi="Verdana"/>
          <w:sz w:val="20"/>
          <w:lang w:val="pt-BR"/>
        </w:rPr>
        <w:t xml:space="preserve"> de </w:t>
      </w:r>
      <w:r w:rsidR="004076AD" w:rsidRPr="002F50BD">
        <w:rPr>
          <w:rFonts w:ascii="Verdana" w:hAnsi="Verdana"/>
          <w:sz w:val="20"/>
          <w:lang w:val="pt-BR"/>
        </w:rPr>
        <w:t>seu autor</w:t>
      </w:r>
      <w:r w:rsidR="004756C1" w:rsidRPr="002F50BD">
        <w:rPr>
          <w:rFonts w:ascii="Verdana" w:hAnsi="Verdana"/>
          <w:sz w:val="20"/>
          <w:lang w:val="pt-BR"/>
        </w:rPr>
        <w:t xml:space="preserve"> o</w:t>
      </w:r>
      <w:r w:rsidR="00500DEF" w:rsidRPr="002F50BD">
        <w:rPr>
          <w:rFonts w:ascii="Verdana" w:hAnsi="Verdana"/>
          <w:sz w:val="20"/>
          <w:lang w:val="pt-BR"/>
        </w:rPr>
        <w:t>u</w:t>
      </w:r>
      <w:r w:rsidR="004756C1" w:rsidRPr="002F50BD">
        <w:rPr>
          <w:rFonts w:ascii="Verdana" w:hAnsi="Verdana"/>
          <w:sz w:val="20"/>
          <w:lang w:val="pt-BR"/>
        </w:rPr>
        <w:t xml:space="preserve"> autores”.</w:t>
      </w:r>
      <w:r w:rsidR="00FE08B7">
        <w:rPr>
          <w:rFonts w:ascii="Verdana" w:hAnsi="Verdana"/>
          <w:sz w:val="20"/>
          <w:lang w:val="pt-BR"/>
        </w:rPr>
        <w:t xml:space="preserve"> </w:t>
      </w:r>
      <w:r w:rsidR="00500DEF" w:rsidRPr="002F50BD">
        <w:rPr>
          <w:rFonts w:ascii="Verdana" w:hAnsi="Verdana"/>
          <w:sz w:val="20"/>
          <w:lang w:val="pt-BR"/>
        </w:rPr>
        <w:t>Por meio d</w:t>
      </w:r>
      <w:r w:rsidR="004756C1" w:rsidRPr="002F50BD">
        <w:rPr>
          <w:rFonts w:ascii="Verdana" w:hAnsi="Verdana"/>
          <w:sz w:val="20"/>
          <w:lang w:val="pt-BR"/>
        </w:rPr>
        <w:t xml:space="preserve">esta </w:t>
      </w:r>
      <w:r w:rsidR="002829BB">
        <w:rPr>
          <w:rFonts w:ascii="Verdana" w:hAnsi="Verdana"/>
          <w:sz w:val="20"/>
          <w:lang w:val="pt-BR"/>
        </w:rPr>
        <w:t>decisão</w:t>
      </w:r>
      <w:r w:rsidR="00500DEF"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500DEF" w:rsidRPr="002F50BD">
        <w:rPr>
          <w:rFonts w:ascii="Verdana" w:hAnsi="Verdana"/>
          <w:sz w:val="20"/>
          <w:lang w:val="pt-BR"/>
        </w:rPr>
        <w:t xml:space="preserve">intimou </w:t>
      </w:r>
      <w:r w:rsidR="0089298C" w:rsidRPr="002F50BD">
        <w:rPr>
          <w:rFonts w:ascii="Verdana" w:hAnsi="Verdana"/>
          <w:sz w:val="20"/>
          <w:lang w:val="pt-BR"/>
        </w:rPr>
        <w:t>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Esteban López a</w:t>
      </w:r>
      <w:r w:rsidR="0089298C" w:rsidRPr="002F50BD">
        <w:rPr>
          <w:rFonts w:ascii="Verdana" w:hAnsi="Verdana"/>
          <w:sz w:val="20"/>
          <w:lang w:val="pt-BR"/>
        </w:rPr>
        <w:t xml:space="preserve"> fim </w:t>
      </w:r>
      <w:r w:rsidR="004756C1" w:rsidRPr="002F50BD">
        <w:rPr>
          <w:rFonts w:ascii="Verdana" w:hAnsi="Verdana"/>
          <w:sz w:val="20"/>
          <w:lang w:val="pt-BR"/>
        </w:rPr>
        <w:t>de que comparec</w:t>
      </w:r>
      <w:r w:rsidR="00500DEF" w:rsidRPr="002F50BD">
        <w:rPr>
          <w:rFonts w:ascii="Verdana" w:hAnsi="Verdana"/>
          <w:sz w:val="20"/>
          <w:lang w:val="pt-BR"/>
        </w:rPr>
        <w:t>essem</w:t>
      </w:r>
      <w:r w:rsidR="004756C1" w:rsidRPr="002F50BD">
        <w:rPr>
          <w:rFonts w:ascii="Verdana" w:hAnsi="Verdana"/>
          <w:sz w:val="20"/>
          <w:lang w:val="pt-BR"/>
        </w:rPr>
        <w:t xml:space="preserve"> </w:t>
      </w:r>
      <w:r w:rsidR="00500DEF"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w:t>
      </w:r>
      <w:r w:rsidR="00500DEF" w:rsidRPr="002F50BD">
        <w:rPr>
          <w:rFonts w:ascii="Verdana" w:hAnsi="Verdana"/>
          <w:sz w:val="20"/>
          <w:lang w:val="pt-BR"/>
        </w:rPr>
        <w:t xml:space="preserve">aquele juízo </w:t>
      </w:r>
      <w:r w:rsidR="004756C1" w:rsidRPr="002F50BD">
        <w:rPr>
          <w:rFonts w:ascii="Verdana" w:hAnsi="Verdana"/>
          <w:sz w:val="20"/>
          <w:lang w:val="pt-BR"/>
        </w:rPr>
        <w:t>para prestar declara</w:t>
      </w:r>
      <w:r w:rsidR="0089298C" w:rsidRPr="002F50BD">
        <w:rPr>
          <w:rFonts w:ascii="Verdana" w:hAnsi="Verdana"/>
          <w:sz w:val="20"/>
          <w:lang w:val="pt-BR"/>
        </w:rPr>
        <w:t>ções</w:t>
      </w:r>
      <w:r w:rsidR="004756C1" w:rsidRPr="002F50BD">
        <w:rPr>
          <w:rFonts w:ascii="Verdana" w:hAnsi="Verdana"/>
          <w:sz w:val="20"/>
          <w:lang w:val="pt-BR"/>
        </w:rPr>
        <w:t xml:space="preserve"> informativas.</w:t>
      </w:r>
      <w:r w:rsidR="00FE08B7">
        <w:rPr>
          <w:rFonts w:ascii="Verdana" w:hAnsi="Verdana"/>
          <w:sz w:val="20"/>
          <w:lang w:val="pt-BR"/>
        </w:rPr>
        <w:t xml:space="preserve"> </w:t>
      </w:r>
      <w:r w:rsidR="00500DEF"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nesta </w:t>
      </w:r>
      <w:r w:rsidR="002829BB">
        <w:rPr>
          <w:rFonts w:ascii="Verdana" w:hAnsi="Verdana"/>
          <w:sz w:val="20"/>
          <w:lang w:val="pt-BR"/>
        </w:rPr>
        <w:t>decisão</w:t>
      </w:r>
      <w:r w:rsidR="0089298C" w:rsidRPr="002F50BD">
        <w:rPr>
          <w:rFonts w:ascii="Verdana" w:hAnsi="Verdana"/>
          <w:sz w:val="20"/>
          <w:lang w:val="pt-BR"/>
        </w:rPr>
        <w:t xml:space="preserve"> o Juiz </w:t>
      </w:r>
      <w:r w:rsidR="003D6409" w:rsidRPr="002F50BD">
        <w:rPr>
          <w:rFonts w:ascii="Verdana" w:hAnsi="Verdana"/>
          <w:sz w:val="20"/>
          <w:lang w:val="pt-BR"/>
        </w:rPr>
        <w:t>deferiu a</w:t>
      </w:r>
      <w:r w:rsidR="0089298C" w:rsidRPr="002F50BD">
        <w:rPr>
          <w:rFonts w:ascii="Verdana" w:hAnsi="Verdana"/>
          <w:sz w:val="20"/>
          <w:lang w:val="pt-BR"/>
        </w:rPr>
        <w:t xml:space="preserve"> </w:t>
      </w:r>
      <w:r w:rsidR="004756C1" w:rsidRPr="002F50BD">
        <w:rPr>
          <w:rFonts w:ascii="Verdana" w:hAnsi="Verdana"/>
          <w:sz w:val="20"/>
          <w:lang w:val="pt-BR"/>
        </w:rPr>
        <w:t>interven</w:t>
      </w:r>
      <w:r w:rsidR="0089298C" w:rsidRPr="002F50BD">
        <w:rPr>
          <w:rFonts w:ascii="Verdana" w:hAnsi="Verdana"/>
          <w:sz w:val="20"/>
          <w:lang w:val="pt-BR"/>
        </w:rPr>
        <w:t xml:space="preserve">ção </w:t>
      </w:r>
      <w:r w:rsidR="003D6409" w:rsidRPr="002F50BD">
        <w:rPr>
          <w:rFonts w:ascii="Verdana" w:hAnsi="Verdana"/>
          <w:sz w:val="20"/>
          <w:lang w:val="pt-BR"/>
        </w:rPr>
        <w:t>d</w:t>
      </w:r>
      <w:r w:rsidR="0089298C" w:rsidRPr="002F50BD">
        <w:rPr>
          <w:rFonts w:ascii="Verdana" w:hAnsi="Verdana"/>
          <w:sz w:val="20"/>
          <w:lang w:val="pt-BR"/>
        </w:rPr>
        <w:t xml:space="preserve">o </w:t>
      </w:r>
      <w:r w:rsidR="008C29C9" w:rsidRPr="002F50BD">
        <w:rPr>
          <w:rFonts w:ascii="Verdana" w:hAnsi="Verdana"/>
          <w:sz w:val="20"/>
          <w:lang w:val="pt-BR"/>
        </w:rPr>
        <w:t>representante</w:t>
      </w:r>
      <w:r w:rsidR="004756C1" w:rsidRPr="002F50BD">
        <w:rPr>
          <w:rFonts w:ascii="Verdana" w:hAnsi="Verdana"/>
          <w:sz w:val="20"/>
          <w:lang w:val="pt-BR"/>
        </w:rPr>
        <w:t xml:space="preserve"> </w:t>
      </w:r>
      <w:r w:rsidR="0089298C" w:rsidRPr="002F50BD">
        <w:rPr>
          <w:rFonts w:ascii="Verdana" w:hAnsi="Verdana"/>
          <w:sz w:val="20"/>
          <w:lang w:val="pt-BR"/>
        </w:rPr>
        <w:t>do Ministério</w:t>
      </w:r>
      <w:r w:rsidR="004756C1" w:rsidRPr="002F50BD">
        <w:rPr>
          <w:rFonts w:ascii="Verdana" w:hAnsi="Verdana"/>
          <w:sz w:val="20"/>
          <w:lang w:val="pt-BR"/>
        </w:rPr>
        <w:t xml:space="preserve"> Público, </w:t>
      </w:r>
      <w:r w:rsidR="0089298C" w:rsidRPr="002F50BD">
        <w:rPr>
          <w:rFonts w:ascii="Verdana" w:hAnsi="Verdana"/>
          <w:sz w:val="20"/>
          <w:lang w:val="pt-BR"/>
        </w:rPr>
        <w:t>mas</w:t>
      </w:r>
      <w:r w:rsidR="004756C1" w:rsidRPr="002F50BD">
        <w:rPr>
          <w:rFonts w:ascii="Verdana" w:hAnsi="Verdana"/>
          <w:sz w:val="20"/>
          <w:lang w:val="pt-BR"/>
        </w:rPr>
        <w:t xml:space="preserve"> n</w:t>
      </w:r>
      <w:r w:rsidR="00500DEF"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notificou os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500DEF" w:rsidRPr="002F50BD">
        <w:rPr>
          <w:rFonts w:ascii="Verdana" w:hAnsi="Verdana"/>
          <w:sz w:val="20"/>
          <w:lang w:val="pt-BR"/>
        </w:rPr>
        <w:t xml:space="preserve">sobre </w:t>
      </w:r>
      <w:r w:rsidR="0089298C" w:rsidRPr="002F50BD">
        <w:rPr>
          <w:rFonts w:ascii="Verdana" w:hAnsi="Verdana"/>
          <w:sz w:val="20"/>
          <w:lang w:val="pt-BR"/>
        </w:rPr>
        <w:t>a abertura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500DEF" w:rsidRPr="002F50BD">
        <w:rPr>
          <w:rFonts w:ascii="Verdana" w:hAnsi="Verdana"/>
          <w:sz w:val="20"/>
          <w:lang w:val="pt-BR"/>
        </w:rPr>
        <w:t>procedimento</w:t>
      </w:r>
      <w:r w:rsidR="004756C1" w:rsidRPr="002F50BD">
        <w:rPr>
          <w:rFonts w:ascii="Verdana" w:hAnsi="Verdana"/>
          <w:sz w:val="20"/>
          <w:lang w:val="pt-BR"/>
        </w:rPr>
        <w:t xml:space="preserve"> instru</w:t>
      </w:r>
      <w:r w:rsidR="00500DEF" w:rsidRPr="002F50BD">
        <w:rPr>
          <w:rFonts w:ascii="Verdana" w:hAnsi="Verdana"/>
          <w:sz w:val="20"/>
          <w:lang w:val="pt-BR"/>
        </w:rPr>
        <w:t>í</w:t>
      </w:r>
      <w:r w:rsidR="004756C1" w:rsidRPr="002F50BD">
        <w:rPr>
          <w:rFonts w:ascii="Verdana" w:hAnsi="Verdana"/>
          <w:sz w:val="20"/>
          <w:lang w:val="pt-BR"/>
        </w:rPr>
        <w:t>do</w:t>
      </w:r>
      <w:r w:rsidR="00AB454A" w:rsidRPr="002F50BD">
        <w:rPr>
          <w:rFonts w:ascii="Verdana" w:hAnsi="Verdana"/>
          <w:sz w:val="20"/>
          <w:lang w:val="pt-BR"/>
        </w:rPr>
        <w:t xml:space="preserve"> contra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w:t>
      </w:r>
      <w:r w:rsidR="00500DEF" w:rsidRPr="002F50BD">
        <w:rPr>
          <w:rFonts w:ascii="Verdana" w:hAnsi="Verdana"/>
          <w:sz w:val="20"/>
          <w:lang w:val="pt-BR"/>
        </w:rPr>
        <w:t>.</w:t>
      </w:r>
      <w:r w:rsidR="004756C1" w:rsidRPr="002F50BD">
        <w:rPr>
          <w:rStyle w:val="FootnoteReference"/>
          <w:rFonts w:ascii="Verdana" w:hAnsi="Verdana"/>
          <w:lang w:val="es-ES_tradnl"/>
        </w:rPr>
        <w:footnoteReference w:id="130"/>
      </w:r>
      <w:r w:rsidR="000F2A3D" w:rsidRPr="002F50BD">
        <w:rPr>
          <w:rFonts w:ascii="Verdana" w:hAnsi="Verdana"/>
          <w:sz w:val="20"/>
          <w:lang w:val="pt-BR"/>
        </w:rPr>
        <w:t xml:space="preserve"> Em </w:t>
      </w:r>
      <w:r w:rsidRPr="002F50BD">
        <w:rPr>
          <w:rFonts w:ascii="Verdana" w:hAnsi="Verdana"/>
          <w:sz w:val="20"/>
          <w:lang w:val="pt-BR"/>
        </w:rPr>
        <w:t>22</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1999</w:t>
      </w:r>
      <w:r w:rsidR="001F242A" w:rsidRPr="002F50BD">
        <w:rPr>
          <w:rFonts w:ascii="Verdana" w:hAnsi="Verdana"/>
          <w:sz w:val="20"/>
          <w:lang w:val="pt-BR"/>
        </w:rPr>
        <w:t>,</w:t>
      </w:r>
      <w:r w:rsidR="0089298C" w:rsidRPr="002F50BD">
        <w:rPr>
          <w:rFonts w:ascii="Verdana" w:hAnsi="Verdana"/>
          <w:sz w:val="20"/>
          <w:lang w:val="pt-BR"/>
        </w:rPr>
        <w:t xml:space="preserve"> o </w:t>
      </w:r>
      <w:r w:rsidR="008C29C9" w:rsidRPr="002F50BD">
        <w:rPr>
          <w:rFonts w:ascii="Verdana" w:hAnsi="Verdana"/>
          <w:sz w:val="20"/>
          <w:lang w:val="pt-BR"/>
        </w:rPr>
        <w:t>representante</w:t>
      </w:r>
      <w:r w:rsidR="004756C1" w:rsidRPr="002F50BD">
        <w:rPr>
          <w:rFonts w:ascii="Verdana" w:hAnsi="Verdana"/>
          <w:sz w:val="20"/>
          <w:lang w:val="pt-BR"/>
        </w:rPr>
        <w:t xml:space="preserve"> legal</w:t>
      </w:r>
      <w:r w:rsidR="0089298C" w:rsidRPr="002F50BD">
        <w:rPr>
          <w:rFonts w:ascii="Verdana" w:hAnsi="Verdana"/>
          <w:sz w:val="20"/>
          <w:lang w:val="pt-BR"/>
        </w:rPr>
        <w:t xml:space="preserve"> da </w:t>
      </w:r>
      <w:r w:rsidR="004756C1" w:rsidRPr="002F50BD">
        <w:rPr>
          <w:rFonts w:ascii="Verdana" w:hAnsi="Verdana"/>
          <w:sz w:val="20"/>
          <w:lang w:val="pt-BR"/>
        </w:rPr>
        <w:t xml:space="preserve">citada </w:t>
      </w:r>
      <w:r w:rsidR="00500DEF" w:rsidRPr="002F50BD">
        <w:rPr>
          <w:rFonts w:ascii="Verdana" w:hAnsi="Verdana"/>
          <w:sz w:val="20"/>
          <w:lang w:val="pt-BR"/>
        </w:rPr>
        <w:t xml:space="preserve">empresa </w:t>
      </w:r>
      <w:r w:rsidR="0089298C" w:rsidRPr="002F50BD">
        <w:rPr>
          <w:rFonts w:ascii="Verdana" w:hAnsi="Verdana"/>
          <w:sz w:val="20"/>
          <w:lang w:val="pt-BR"/>
        </w:rPr>
        <w:t xml:space="preserve">apresentou queixa criminal </w:t>
      </w:r>
      <w:r w:rsidR="004756C1" w:rsidRPr="002F50BD">
        <w:rPr>
          <w:rFonts w:ascii="Verdana" w:hAnsi="Verdana"/>
          <w:sz w:val="20"/>
          <w:lang w:val="pt-BR"/>
        </w:rPr>
        <w:t>formal</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 xml:space="preserve">referidos delitos de </w:t>
      </w:r>
      <w:r w:rsidR="00500DEF" w:rsidRPr="002F50BD">
        <w:rPr>
          <w:rFonts w:ascii="Verdana" w:hAnsi="Verdana"/>
          <w:sz w:val="20"/>
          <w:lang w:val="pt-BR"/>
        </w:rPr>
        <w:t>invasão</w:t>
      </w:r>
      <w:r w:rsidR="004756C1" w:rsidRPr="002F50BD">
        <w:rPr>
          <w:rFonts w:ascii="Verdana" w:hAnsi="Verdana"/>
          <w:sz w:val="20"/>
          <w:lang w:val="pt-BR"/>
        </w:rPr>
        <w:t xml:space="preserve"> de </w:t>
      </w:r>
      <w:r w:rsidR="0089298C" w:rsidRPr="002F50BD">
        <w:rPr>
          <w:rFonts w:ascii="Verdana" w:hAnsi="Verdana"/>
          <w:sz w:val="20"/>
          <w:lang w:val="pt-BR"/>
        </w:rPr>
        <w:t>imóvel</w:t>
      </w:r>
      <w:r w:rsidR="004756C1" w:rsidRPr="002F50BD">
        <w:rPr>
          <w:rFonts w:ascii="Verdana" w:hAnsi="Verdana"/>
          <w:sz w:val="20"/>
          <w:lang w:val="pt-BR"/>
        </w:rPr>
        <w:t xml:space="preserve"> </w:t>
      </w:r>
      <w:r w:rsidR="0089298C" w:rsidRPr="002F50BD">
        <w:rPr>
          <w:rFonts w:ascii="Verdana" w:hAnsi="Verdana"/>
          <w:sz w:val="20"/>
          <w:lang w:val="pt-BR"/>
        </w:rPr>
        <w:t>alheio</w:t>
      </w:r>
      <w:r w:rsidR="004756C1" w:rsidRPr="002F50BD">
        <w:rPr>
          <w:rFonts w:ascii="Verdana" w:hAnsi="Verdana"/>
          <w:sz w:val="20"/>
          <w:lang w:val="pt-BR"/>
        </w:rPr>
        <w:t>, co</w:t>
      </w:r>
      <w:r w:rsidR="004076AD" w:rsidRPr="002F50BD">
        <w:rPr>
          <w:rFonts w:ascii="Verdana" w:hAnsi="Verdana"/>
          <w:sz w:val="20"/>
          <w:lang w:val="pt-BR"/>
        </w:rPr>
        <w:t>ação</w:t>
      </w:r>
      <w:r w:rsidR="004756C1" w:rsidRPr="002F50BD">
        <w:rPr>
          <w:rFonts w:ascii="Verdana" w:hAnsi="Verdana"/>
          <w:sz w:val="20"/>
          <w:lang w:val="pt-BR"/>
        </w:rPr>
        <w:t xml:space="preserve"> grave</w:t>
      </w:r>
      <w:r w:rsidR="0089298C" w:rsidRPr="002F50BD">
        <w:rPr>
          <w:rFonts w:ascii="Verdana" w:hAnsi="Verdana"/>
          <w:sz w:val="20"/>
          <w:lang w:val="pt-BR"/>
        </w:rPr>
        <w:t xml:space="preserve"> e </w:t>
      </w:r>
      <w:r w:rsidR="00500DEF" w:rsidRPr="002F50BD">
        <w:rPr>
          <w:rFonts w:ascii="Verdana" w:hAnsi="Verdana"/>
          <w:sz w:val="20"/>
          <w:lang w:val="pt-BR"/>
        </w:rPr>
        <w:t>furto</w:t>
      </w:r>
      <w:r w:rsidR="00AB454A" w:rsidRPr="002F50BD">
        <w:rPr>
          <w:rFonts w:ascii="Verdana" w:hAnsi="Verdana"/>
          <w:sz w:val="20"/>
          <w:lang w:val="pt-BR"/>
        </w:rPr>
        <w:t xml:space="preserve"> contra </w:t>
      </w:r>
      <w:r w:rsidR="0089298C" w:rsidRPr="002F50BD">
        <w:rPr>
          <w:rFonts w:ascii="Verdana" w:hAnsi="Verdana"/>
          <w:sz w:val="20"/>
          <w:lang w:val="pt-BR"/>
        </w:rPr>
        <w:t>pessoa</w:t>
      </w:r>
      <w:r w:rsidR="004756C1" w:rsidRPr="002F50BD">
        <w:rPr>
          <w:rFonts w:ascii="Verdana" w:hAnsi="Verdana"/>
          <w:sz w:val="20"/>
          <w:lang w:val="pt-BR"/>
        </w:rPr>
        <w:t xml:space="preserve">s inominadas </w:t>
      </w:r>
      <w:r w:rsidR="004076AD" w:rsidRPr="002F50BD">
        <w:rPr>
          <w:rFonts w:ascii="Verdana" w:hAnsi="Verdana"/>
          <w:sz w:val="20"/>
          <w:lang w:val="pt-BR"/>
        </w:rPr>
        <w:t>pertencente</w:t>
      </w:r>
      <w:r w:rsidR="004756C1" w:rsidRPr="002F50BD">
        <w:rPr>
          <w:rFonts w:ascii="Verdana" w:hAnsi="Verdana"/>
          <w:sz w:val="20"/>
          <w:lang w:val="pt-BR"/>
        </w:rPr>
        <w:t>s</w:t>
      </w:r>
      <w:r w:rsidR="0089298C" w:rsidRPr="002F50BD">
        <w:rPr>
          <w:rFonts w:ascii="Verdana" w:hAnsi="Verdana"/>
          <w:sz w:val="20"/>
          <w:lang w:val="pt-BR"/>
        </w:rPr>
        <w:t xml:space="preserve"> à Comunidade </w:t>
      </w:r>
      <w:r w:rsidR="004756C1" w:rsidRPr="002F50BD">
        <w:rPr>
          <w:rFonts w:ascii="Verdana" w:hAnsi="Verdana"/>
          <w:sz w:val="20"/>
          <w:lang w:val="pt-BR"/>
        </w:rPr>
        <w:t>indígena Yakye Axa</w:t>
      </w:r>
      <w:r w:rsidR="00500DEF" w:rsidRPr="002F50BD">
        <w:rPr>
          <w:rFonts w:ascii="Verdana" w:hAnsi="Verdana"/>
          <w:sz w:val="20"/>
          <w:lang w:val="pt-BR"/>
        </w:rPr>
        <w:t>.</w:t>
      </w:r>
      <w:r w:rsidR="004756C1" w:rsidRPr="002F50BD">
        <w:rPr>
          <w:rStyle w:val="FootnoteReference"/>
          <w:rFonts w:ascii="Verdana" w:hAnsi="Verdana"/>
          <w:lang w:val="es-ES_tradnl"/>
        </w:rPr>
        <w:footnoteReference w:id="131"/>
      </w:r>
      <w:r w:rsidR="00FB33DD" w:rsidRPr="002F50BD">
        <w:rPr>
          <w:rFonts w:ascii="Verdana" w:hAnsi="Verdana"/>
          <w:sz w:val="20"/>
          <w:lang w:val="pt-BR"/>
        </w:rPr>
        <w:t xml:space="preserve"> </w:t>
      </w:r>
      <w:r w:rsidR="002829BB">
        <w:rPr>
          <w:rFonts w:ascii="Verdana" w:hAnsi="Verdana"/>
          <w:sz w:val="20"/>
          <w:lang w:val="pt-BR"/>
        </w:rPr>
        <w:t>Naquele</w:t>
      </w:r>
      <w:r w:rsidR="00FB33DD" w:rsidRPr="002F50BD">
        <w:rPr>
          <w:rFonts w:ascii="Verdana" w:hAnsi="Verdana"/>
          <w:sz w:val="20"/>
          <w:lang w:val="pt-BR"/>
        </w:rPr>
        <w:t xml:space="preserv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4756C1"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de </w:t>
      </w:r>
      <w:r w:rsidR="0089298C" w:rsidRPr="002F50BD">
        <w:rPr>
          <w:rFonts w:ascii="Verdana" w:hAnsi="Verdana"/>
          <w:sz w:val="20"/>
          <w:lang w:val="pt-BR"/>
        </w:rPr>
        <w:t>Primeira</w:t>
      </w:r>
      <w:r w:rsidR="004756C1" w:rsidRPr="002F50BD">
        <w:rPr>
          <w:rFonts w:ascii="Verdana" w:hAnsi="Verdana"/>
          <w:sz w:val="20"/>
          <w:lang w:val="pt-BR"/>
        </w:rPr>
        <w:t xml:space="preserve"> </w:t>
      </w:r>
      <w:r w:rsidR="0089298C" w:rsidRPr="002F50BD">
        <w:rPr>
          <w:rFonts w:ascii="Verdana" w:hAnsi="Verdana"/>
          <w:sz w:val="20"/>
          <w:lang w:val="pt-BR"/>
        </w:rPr>
        <w:t xml:space="preserve">Instância </w:t>
      </w:r>
      <w:r w:rsidR="004756C1" w:rsidRPr="002F50BD">
        <w:rPr>
          <w:rFonts w:ascii="Verdana" w:hAnsi="Verdana"/>
          <w:sz w:val="20"/>
          <w:lang w:val="pt-BR"/>
        </w:rPr>
        <w:t>Criminal</w:t>
      </w:r>
      <w:r w:rsidR="0089298C" w:rsidRPr="002F50BD">
        <w:rPr>
          <w:rFonts w:ascii="Verdana" w:hAnsi="Verdana"/>
          <w:sz w:val="20"/>
          <w:lang w:val="pt-BR"/>
        </w:rPr>
        <w:t xml:space="preserve"> e </w:t>
      </w:r>
      <w:r w:rsidR="004756C1" w:rsidRPr="002F50BD">
        <w:rPr>
          <w:rFonts w:ascii="Verdana" w:hAnsi="Verdana"/>
          <w:sz w:val="20"/>
          <w:lang w:val="pt-BR"/>
        </w:rPr>
        <w:t xml:space="preserve">Correcional </w:t>
      </w:r>
      <w:r w:rsidR="0089298C" w:rsidRPr="002F50BD">
        <w:rPr>
          <w:rFonts w:ascii="Verdana" w:hAnsi="Verdana"/>
          <w:sz w:val="20"/>
          <w:lang w:val="pt-BR"/>
        </w:rPr>
        <w:t xml:space="preserve">do </w:t>
      </w:r>
      <w:r w:rsidR="004756C1" w:rsidRPr="002F50BD">
        <w:rPr>
          <w:rFonts w:ascii="Verdana" w:hAnsi="Verdana"/>
          <w:sz w:val="20"/>
          <w:lang w:val="pt-BR"/>
        </w:rPr>
        <w:t>Menor</w:t>
      </w:r>
      <w:r w:rsidR="0089298C" w:rsidRPr="002F50BD">
        <w:rPr>
          <w:rFonts w:ascii="Verdana" w:hAnsi="Verdana"/>
          <w:sz w:val="20"/>
          <w:lang w:val="pt-BR"/>
        </w:rPr>
        <w:t xml:space="preserve"> da </w:t>
      </w:r>
      <w:r w:rsidR="004756C1" w:rsidRPr="002F50BD">
        <w:rPr>
          <w:rFonts w:ascii="Verdana" w:hAnsi="Verdana"/>
          <w:sz w:val="20"/>
          <w:lang w:val="pt-BR"/>
        </w:rPr>
        <w:t>Circunscri</w:t>
      </w:r>
      <w:r w:rsidR="0089298C" w:rsidRPr="002F50BD">
        <w:rPr>
          <w:rFonts w:ascii="Verdana" w:hAnsi="Verdana"/>
          <w:sz w:val="20"/>
          <w:lang w:val="pt-BR"/>
        </w:rPr>
        <w:t>ção</w:t>
      </w:r>
      <w:r w:rsidR="004756C1" w:rsidRPr="002F50BD">
        <w:rPr>
          <w:rFonts w:ascii="Verdana" w:hAnsi="Verdana"/>
          <w:sz w:val="20"/>
          <w:lang w:val="pt-BR"/>
        </w:rPr>
        <w:t xml:space="preserve"> Judicial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89298C" w:rsidRPr="002F50BD">
        <w:rPr>
          <w:rFonts w:ascii="Verdana" w:hAnsi="Verdana"/>
          <w:sz w:val="20"/>
          <w:lang w:val="pt-BR"/>
        </w:rPr>
        <w:t xml:space="preserve">admitiu a queixa criminal </w:t>
      </w:r>
      <w:r w:rsidR="00500DEF" w:rsidRPr="002F50BD">
        <w:rPr>
          <w:rFonts w:ascii="Verdana" w:hAnsi="Verdana"/>
          <w:sz w:val="20"/>
          <w:lang w:val="pt-BR"/>
        </w:rPr>
        <w:t xml:space="preserve">apresentada </w:t>
      </w:r>
      <w:r w:rsidR="0089298C" w:rsidRPr="002F50BD">
        <w:rPr>
          <w:rFonts w:ascii="Verdana" w:hAnsi="Verdana"/>
          <w:sz w:val="20"/>
          <w:lang w:val="pt-BR"/>
        </w:rPr>
        <w:t xml:space="preserve">e ratificou a </w:t>
      </w:r>
      <w:r w:rsidR="00500DEF" w:rsidRPr="002F50BD">
        <w:rPr>
          <w:rFonts w:ascii="Verdana" w:hAnsi="Verdana"/>
          <w:sz w:val="20"/>
          <w:lang w:val="pt-BR"/>
        </w:rPr>
        <w:t>intimação</w:t>
      </w:r>
      <w:r w:rsidR="0089298C" w:rsidRPr="002F50BD">
        <w:rPr>
          <w:rFonts w:ascii="Verdana" w:hAnsi="Verdana"/>
          <w:sz w:val="20"/>
          <w:lang w:val="pt-BR"/>
        </w:rPr>
        <w:t xml:space="preserve"> dos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Esteban López para que presta</w:t>
      </w:r>
      <w:r w:rsidR="00500DEF" w:rsidRPr="002F50BD">
        <w:rPr>
          <w:rFonts w:ascii="Verdana" w:hAnsi="Verdana"/>
          <w:sz w:val="20"/>
          <w:lang w:val="pt-BR"/>
        </w:rPr>
        <w:t>ssem</w:t>
      </w:r>
      <w:r w:rsidR="004756C1" w:rsidRPr="002F50BD">
        <w:rPr>
          <w:rFonts w:ascii="Verdana" w:hAnsi="Verdana"/>
          <w:sz w:val="20"/>
          <w:lang w:val="pt-BR"/>
        </w:rPr>
        <w:t xml:space="preserve"> declara</w:t>
      </w:r>
      <w:r w:rsidR="0089298C" w:rsidRPr="002F50BD">
        <w:rPr>
          <w:rFonts w:ascii="Verdana" w:hAnsi="Verdana"/>
          <w:sz w:val="20"/>
          <w:lang w:val="pt-BR"/>
        </w:rPr>
        <w:t>ções</w:t>
      </w:r>
      <w:r w:rsidR="004756C1" w:rsidRPr="002F50BD">
        <w:rPr>
          <w:rFonts w:ascii="Verdana" w:hAnsi="Verdana"/>
          <w:sz w:val="20"/>
          <w:lang w:val="pt-BR"/>
        </w:rPr>
        <w:t xml:space="preserve"> </w:t>
      </w:r>
      <w:r w:rsidR="00500DEF" w:rsidRPr="002F50BD">
        <w:rPr>
          <w:rFonts w:ascii="Verdana" w:hAnsi="Verdana"/>
          <w:sz w:val="20"/>
          <w:lang w:val="pt-BR"/>
        </w:rPr>
        <w:t>a título informativo.</w:t>
      </w:r>
      <w:r w:rsidR="004756C1" w:rsidRPr="002F50BD">
        <w:rPr>
          <w:rStyle w:val="FootnoteReference"/>
          <w:rFonts w:ascii="Verdana" w:hAnsi="Verdana"/>
          <w:lang w:val="es-ES_tradnl"/>
        </w:rPr>
        <w:footnoteReference w:id="132"/>
      </w:r>
      <w:r w:rsidR="004756C1" w:rsidRPr="002F50BD">
        <w:rPr>
          <w:rFonts w:ascii="Verdana" w:hAnsi="Verdana"/>
          <w:sz w:val="20"/>
          <w:lang w:val="pt-BR"/>
        </w:rPr>
        <w:t xml:space="preserve"> Posteriormente,</w:t>
      </w:r>
      <w:r w:rsidR="0089298C" w:rsidRPr="002F50BD">
        <w:rPr>
          <w:rFonts w:ascii="Verdana" w:hAnsi="Verdana"/>
          <w:sz w:val="20"/>
          <w:lang w:val="pt-BR"/>
        </w:rPr>
        <w:t xml:space="preserve"> os senhores</w:t>
      </w:r>
      <w:r w:rsidR="004756C1" w:rsidRPr="002F50BD">
        <w:rPr>
          <w:rFonts w:ascii="Verdana" w:hAnsi="Verdana"/>
          <w:sz w:val="20"/>
          <w:lang w:val="pt-BR"/>
        </w:rPr>
        <w:t xml:space="preserve"> Basilio Fernández, Artemio Roa</w:t>
      </w:r>
      <w:r w:rsidR="0089298C" w:rsidRPr="002F50BD">
        <w:rPr>
          <w:rFonts w:ascii="Verdana" w:hAnsi="Verdana"/>
          <w:sz w:val="20"/>
          <w:lang w:val="pt-BR"/>
        </w:rPr>
        <w:t xml:space="preserve"> e </w:t>
      </w:r>
      <w:r w:rsidR="004756C1" w:rsidRPr="002F50BD">
        <w:rPr>
          <w:rFonts w:ascii="Verdana" w:hAnsi="Verdana"/>
          <w:sz w:val="20"/>
          <w:lang w:val="pt-BR"/>
        </w:rPr>
        <w:t xml:space="preserve">Marcos Vera, </w:t>
      </w:r>
      <w:r w:rsidR="00475EBB" w:rsidRPr="002F50BD">
        <w:rPr>
          <w:rFonts w:ascii="Verdana" w:hAnsi="Verdana"/>
          <w:sz w:val="20"/>
          <w:lang w:val="pt-BR"/>
        </w:rPr>
        <w:t>empregado</w:t>
      </w:r>
      <w:r w:rsidR="004756C1" w:rsidRPr="002F50BD">
        <w:rPr>
          <w:rFonts w:ascii="Verdana" w:hAnsi="Verdana"/>
          <w:sz w:val="20"/>
          <w:lang w:val="pt-BR"/>
        </w:rPr>
        <w:t>s</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500DEF" w:rsidRPr="002F50BD">
        <w:rPr>
          <w:rFonts w:ascii="Verdana" w:hAnsi="Verdana"/>
          <w:sz w:val="20"/>
          <w:lang w:val="pt-BR"/>
        </w:rPr>
        <w:t xml:space="preserve">também intimados </w:t>
      </w:r>
      <w:r w:rsidR="004756C1" w:rsidRPr="002F50BD">
        <w:rPr>
          <w:rFonts w:ascii="Verdana" w:hAnsi="Verdana"/>
          <w:sz w:val="20"/>
          <w:lang w:val="pt-BR"/>
        </w:rPr>
        <w:t xml:space="preserve">a </w:t>
      </w:r>
      <w:r w:rsidR="0089298C" w:rsidRPr="002F50BD">
        <w:rPr>
          <w:rFonts w:ascii="Verdana" w:hAnsi="Verdana"/>
          <w:sz w:val="20"/>
          <w:lang w:val="pt-BR"/>
        </w:rPr>
        <w:t>prestar</w:t>
      </w:r>
      <w:r w:rsidR="004756C1" w:rsidRPr="002F50BD">
        <w:rPr>
          <w:rFonts w:ascii="Verdana" w:hAnsi="Verdana"/>
          <w:sz w:val="20"/>
          <w:lang w:val="pt-BR"/>
        </w:rPr>
        <w:t xml:space="preserve"> declara</w:t>
      </w:r>
      <w:r w:rsidR="0089298C" w:rsidRPr="002F50BD">
        <w:rPr>
          <w:rFonts w:ascii="Verdana" w:hAnsi="Verdana"/>
          <w:sz w:val="20"/>
          <w:lang w:val="pt-BR"/>
        </w:rPr>
        <w:t>ção</w:t>
      </w:r>
      <w:r w:rsidR="004756C1" w:rsidRPr="002F50BD">
        <w:rPr>
          <w:rFonts w:ascii="Verdana" w:hAnsi="Verdana"/>
          <w:sz w:val="20"/>
          <w:lang w:val="pt-BR"/>
        </w:rPr>
        <w:t xml:space="preserve"> informativa</w:t>
      </w:r>
      <w:r w:rsidR="00500DEF" w:rsidRPr="002F50BD">
        <w:rPr>
          <w:rFonts w:ascii="Verdana" w:hAnsi="Verdana"/>
          <w:sz w:val="20"/>
          <w:lang w:val="pt-BR"/>
        </w:rPr>
        <w:t>.</w:t>
      </w:r>
      <w:r w:rsidR="004756C1" w:rsidRPr="002F50BD">
        <w:rPr>
          <w:rStyle w:val="FootnoteReference"/>
          <w:rFonts w:ascii="Verdana" w:hAnsi="Verdana"/>
          <w:lang w:val="es-ES_tradnl"/>
        </w:rPr>
        <w:footnoteReference w:id="133"/>
      </w:r>
      <w:r w:rsidR="004756C1" w:rsidRPr="002F50BD">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80</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28</w:t>
      </w:r>
      <w:r w:rsidR="004756C1" w:rsidRPr="002F50BD">
        <w:rPr>
          <w:rFonts w:ascii="Verdana" w:hAnsi="Verdana"/>
          <w:sz w:val="20"/>
          <w:lang w:val="pt-BR"/>
        </w:rPr>
        <w:t xml:space="preserve"> de abril de </w:t>
      </w:r>
      <w:r w:rsidRPr="002F50BD">
        <w:rPr>
          <w:rFonts w:ascii="Verdana" w:hAnsi="Verdana"/>
          <w:sz w:val="20"/>
          <w:lang w:val="pt-BR"/>
        </w:rPr>
        <w:t>1999</w:t>
      </w:r>
      <w:r w:rsidR="006D28A8" w:rsidRPr="002F50BD">
        <w:rPr>
          <w:rFonts w:ascii="Verdana" w:hAnsi="Verdana"/>
          <w:sz w:val="20"/>
          <w:lang w:val="pt-BR"/>
        </w:rPr>
        <w:t>,</w:t>
      </w:r>
      <w:r w:rsidR="0089298C" w:rsidRPr="002F50BD">
        <w:rPr>
          <w:rFonts w:ascii="Verdana" w:hAnsi="Verdana"/>
          <w:sz w:val="20"/>
          <w:lang w:val="pt-BR"/>
        </w:rPr>
        <w:t xml:space="preserve"> 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0089298C" w:rsidRPr="002F50BD">
        <w:rPr>
          <w:rFonts w:ascii="Verdana" w:hAnsi="Verdana"/>
          <w:sz w:val="20"/>
          <w:lang w:val="pt-BR"/>
        </w:rPr>
        <w:t xml:space="preserve"> e </w:t>
      </w:r>
      <w:r w:rsidR="004756C1" w:rsidRPr="002F50BD">
        <w:rPr>
          <w:rFonts w:ascii="Verdana" w:hAnsi="Verdana"/>
          <w:sz w:val="20"/>
          <w:lang w:val="pt-BR"/>
        </w:rPr>
        <w:t xml:space="preserve">Esteban López </w:t>
      </w:r>
      <w:r w:rsidR="00500DEF" w:rsidRPr="002F50BD">
        <w:rPr>
          <w:rFonts w:ascii="Verdana" w:hAnsi="Verdana"/>
          <w:sz w:val="20"/>
          <w:lang w:val="pt-BR"/>
        </w:rPr>
        <w:t>prestaram</w:t>
      </w:r>
      <w:r w:rsidR="004756C1" w:rsidRPr="002F50BD">
        <w:rPr>
          <w:rFonts w:ascii="Verdana" w:hAnsi="Verdana"/>
          <w:sz w:val="20"/>
          <w:lang w:val="pt-BR"/>
        </w:rPr>
        <w:t xml:space="preserve"> declara</w:t>
      </w:r>
      <w:r w:rsidR="0089298C" w:rsidRPr="002F50BD">
        <w:rPr>
          <w:rFonts w:ascii="Verdana" w:hAnsi="Verdana"/>
          <w:sz w:val="20"/>
          <w:lang w:val="pt-BR"/>
        </w:rPr>
        <w:t>ção</w:t>
      </w:r>
      <w:r w:rsidR="004756C1" w:rsidRPr="002F50BD">
        <w:rPr>
          <w:rFonts w:ascii="Verdana" w:hAnsi="Verdana"/>
          <w:sz w:val="20"/>
          <w:lang w:val="pt-BR"/>
        </w:rPr>
        <w:t xml:space="preserve"> informativa </w:t>
      </w:r>
      <w:r w:rsidR="00500DEF"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500DEF" w:rsidRPr="002F50BD">
        <w:rPr>
          <w:rFonts w:ascii="Verdana" w:hAnsi="Verdana"/>
          <w:sz w:val="20"/>
          <w:lang w:val="pt-BR"/>
        </w:rPr>
        <w:t>referido Juízo.</w:t>
      </w:r>
      <w:r w:rsidR="004756C1" w:rsidRPr="002F50BD">
        <w:rPr>
          <w:rStyle w:val="FootnoteReference"/>
          <w:rFonts w:ascii="Verdana" w:hAnsi="Verdana"/>
          <w:lang w:val="es-ES_tradnl"/>
        </w:rPr>
        <w:footnoteReference w:id="134"/>
      </w:r>
      <w:r w:rsidR="00FE08B7">
        <w:rPr>
          <w:rFonts w:ascii="Verdana" w:hAnsi="Verdana"/>
          <w:sz w:val="20"/>
          <w:lang w:val="pt-BR"/>
        </w:rPr>
        <w:t xml:space="preserve"> </w:t>
      </w:r>
      <w:r w:rsidR="004756C1" w:rsidRPr="002F50BD" w:rsidDel="001007B8">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Pr="002F50BD">
        <w:rPr>
          <w:rFonts w:ascii="Verdana" w:hAnsi="Verdana"/>
          <w:sz w:val="20"/>
          <w:lang w:val="pt-BR"/>
        </w:rPr>
        <w:t>1999</w:t>
      </w:r>
      <w:r w:rsidR="006D28A8"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 xml:space="preserve">Oscar Ayala Amarilla </w:t>
      </w:r>
      <w:r w:rsidR="0089298C" w:rsidRPr="002F50BD">
        <w:rPr>
          <w:rFonts w:ascii="Verdana" w:hAnsi="Verdana"/>
          <w:sz w:val="20"/>
          <w:lang w:val="pt-BR"/>
        </w:rPr>
        <w:t>solicitou</w:t>
      </w:r>
      <w:r w:rsidR="004756C1" w:rsidRPr="002F50BD">
        <w:rPr>
          <w:rFonts w:ascii="Verdana" w:hAnsi="Verdana"/>
          <w:sz w:val="20"/>
          <w:lang w:val="pt-BR"/>
        </w:rPr>
        <w:t xml:space="preserve"> su</w:t>
      </w:r>
      <w:r w:rsidR="00500DEF" w:rsidRPr="002F50BD">
        <w:rPr>
          <w:rFonts w:ascii="Verdana" w:hAnsi="Verdana"/>
          <w:sz w:val="20"/>
          <w:lang w:val="pt-BR"/>
        </w:rPr>
        <w:t>a</w:t>
      </w:r>
      <w:r w:rsidR="004756C1" w:rsidRPr="002F50BD">
        <w:rPr>
          <w:rFonts w:ascii="Verdana" w:hAnsi="Verdana"/>
          <w:sz w:val="20"/>
          <w:lang w:val="pt-BR"/>
        </w:rPr>
        <w:t xml:space="preserve"> interven</w:t>
      </w:r>
      <w:r w:rsidR="0089298C" w:rsidRPr="002F50BD">
        <w:rPr>
          <w:rFonts w:ascii="Verdana" w:hAnsi="Verdana"/>
          <w:sz w:val="20"/>
          <w:lang w:val="pt-BR"/>
        </w:rPr>
        <w:t>ção</w:t>
      </w:r>
      <w:r w:rsidR="004756C1" w:rsidRPr="002F50BD">
        <w:rPr>
          <w:rFonts w:ascii="Verdana" w:hAnsi="Verdana"/>
          <w:sz w:val="20"/>
          <w:lang w:val="pt-BR"/>
        </w:rPr>
        <w:t xml:space="preserve"> como </w:t>
      </w:r>
      <w:r w:rsidR="008C29C9" w:rsidRPr="002F50BD">
        <w:rPr>
          <w:rFonts w:ascii="Verdana" w:hAnsi="Verdana"/>
          <w:sz w:val="20"/>
          <w:lang w:val="pt-BR"/>
        </w:rPr>
        <w:t>representante</w:t>
      </w:r>
      <w:r w:rsidR="004756C1" w:rsidRPr="002F50BD">
        <w:rPr>
          <w:rFonts w:ascii="Verdana" w:hAnsi="Verdana"/>
          <w:sz w:val="20"/>
          <w:lang w:val="pt-BR"/>
        </w:rPr>
        <w:t xml:space="preserve"> </w:t>
      </w:r>
      <w:r w:rsidR="006D28A8" w:rsidRPr="002F50BD">
        <w:rPr>
          <w:rFonts w:ascii="Verdana" w:hAnsi="Verdana"/>
          <w:sz w:val="20"/>
          <w:lang w:val="pt-BR"/>
        </w:rPr>
        <w:t>legal</w:t>
      </w:r>
      <w:r w:rsidR="0089298C" w:rsidRPr="002F50BD">
        <w:rPr>
          <w:rFonts w:ascii="Verdana" w:hAnsi="Verdana"/>
          <w:sz w:val="20"/>
          <w:lang w:val="pt-BR"/>
        </w:rPr>
        <w:t xml:space="preserve"> </w:t>
      </w:r>
      <w:r w:rsidR="00CF451D" w:rsidRPr="00CF451D">
        <w:rPr>
          <w:rFonts w:ascii="Verdana" w:hAnsi="Verdana"/>
          <w:sz w:val="20"/>
          <w:lang w:val="pt-BR"/>
        </w:rPr>
        <w:t>(</w:t>
      </w:r>
      <w:r w:rsidR="006D28A8" w:rsidRPr="002F50BD">
        <w:rPr>
          <w:rFonts w:ascii="Verdana" w:hAnsi="Verdana"/>
          <w:sz w:val="20"/>
          <w:lang w:val="pt-BR"/>
        </w:rPr>
        <w:t>convencional</w:t>
      </w:r>
      <w:r w:rsidR="00CF451D" w:rsidRPr="00CF451D">
        <w:rPr>
          <w:rFonts w:ascii="Verdana" w:hAnsi="Verdana"/>
          <w:sz w:val="20"/>
          <w:lang w:val="pt-BR"/>
        </w:rPr>
        <w:t>)</w:t>
      </w:r>
      <w:r w:rsidR="006D28A8" w:rsidRPr="002F50BD">
        <w:rPr>
          <w:rFonts w:ascii="Verdana" w:hAnsi="Verdana"/>
          <w:sz w:val="20"/>
          <w:lang w:val="pt-BR"/>
        </w:rPr>
        <w:t xml:space="preserve"> </w:t>
      </w:r>
      <w:r w:rsidR="0089298C" w:rsidRPr="002F50BD">
        <w:rPr>
          <w:rFonts w:ascii="Verdana" w:hAnsi="Verdana"/>
          <w:sz w:val="20"/>
          <w:lang w:val="pt-BR"/>
        </w:rPr>
        <w:t xml:space="preserve">da Comunidade </w:t>
      </w:r>
      <w:r w:rsidR="004756C1" w:rsidRPr="002F50BD">
        <w:rPr>
          <w:rFonts w:ascii="Verdana" w:hAnsi="Verdana"/>
          <w:sz w:val="20"/>
          <w:lang w:val="pt-BR"/>
        </w:rPr>
        <w:t>indígena Yakye Axa</w:t>
      </w:r>
      <w:r w:rsidR="00500DEF" w:rsidRPr="002F50BD">
        <w:rPr>
          <w:rFonts w:ascii="Verdana" w:hAnsi="Verdana"/>
          <w:sz w:val="20"/>
          <w:lang w:val="pt-BR"/>
        </w:rPr>
        <w:t>.</w:t>
      </w:r>
      <w:r w:rsidR="004756C1" w:rsidRPr="002F50BD">
        <w:rPr>
          <w:rStyle w:val="FootnoteReference"/>
          <w:rFonts w:ascii="Verdana" w:hAnsi="Verdana"/>
          <w:lang w:val="es-ES_tradnl"/>
        </w:rPr>
        <w:footnoteReference w:id="135"/>
      </w:r>
      <w:r w:rsidR="000F2A3D" w:rsidRPr="002F50BD">
        <w:rPr>
          <w:rFonts w:ascii="Verdana" w:hAnsi="Verdana"/>
          <w:sz w:val="20"/>
          <w:lang w:val="pt-BR"/>
        </w:rPr>
        <w:t xml:space="preserve"> Em </w:t>
      </w:r>
      <w:r w:rsidRPr="002F50BD">
        <w:rPr>
          <w:rFonts w:ascii="Verdana" w:hAnsi="Verdana"/>
          <w:sz w:val="20"/>
          <w:lang w:val="pt-BR"/>
        </w:rPr>
        <w:t>5</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2829BB">
        <w:rPr>
          <w:rFonts w:ascii="Verdana" w:hAnsi="Verdana"/>
          <w:sz w:val="20"/>
          <w:lang w:val="pt-BR"/>
        </w:rPr>
        <w:t>daquele</w:t>
      </w:r>
      <w:r w:rsidR="0089298C" w:rsidRPr="002F50BD">
        <w:rPr>
          <w:rFonts w:ascii="Verdana" w:hAnsi="Verdana"/>
          <w:sz w:val="20"/>
          <w:lang w:val="pt-BR"/>
        </w:rPr>
        <w:t xml:space="preserve"> ano, o Juiz</w:t>
      </w:r>
      <w:r w:rsidR="004756C1" w:rsidRPr="002F50BD">
        <w:rPr>
          <w:rFonts w:ascii="Verdana" w:hAnsi="Verdana"/>
          <w:sz w:val="20"/>
          <w:lang w:val="pt-BR"/>
        </w:rPr>
        <w:t xml:space="preserve"> </w:t>
      </w:r>
      <w:r w:rsidR="009A1371" w:rsidRPr="002F50BD">
        <w:rPr>
          <w:rFonts w:ascii="Verdana" w:hAnsi="Verdana"/>
          <w:sz w:val="20"/>
          <w:lang w:val="pt-BR"/>
        </w:rPr>
        <w:t>deferiu</w:t>
      </w:r>
      <w:r w:rsidR="00500DEF" w:rsidRPr="002F50BD">
        <w:rPr>
          <w:rFonts w:ascii="Verdana" w:hAnsi="Verdana"/>
          <w:sz w:val="20"/>
          <w:lang w:val="pt-BR"/>
        </w:rPr>
        <w:t xml:space="preserve"> </w:t>
      </w:r>
      <w:r w:rsidR="004756C1" w:rsidRPr="002F50BD">
        <w:rPr>
          <w:rFonts w:ascii="Verdana" w:hAnsi="Verdana"/>
          <w:sz w:val="20"/>
          <w:lang w:val="pt-BR"/>
        </w:rPr>
        <w:t>“</w:t>
      </w:r>
      <w:r w:rsidR="00500DEF" w:rsidRPr="002F50BD">
        <w:rPr>
          <w:rFonts w:ascii="Verdana" w:hAnsi="Verdana"/>
          <w:sz w:val="20"/>
          <w:lang w:val="pt-BR"/>
        </w:rPr>
        <w:t xml:space="preserve">a apresentação do </w:t>
      </w:r>
      <w:r w:rsidR="004756C1" w:rsidRPr="002F50BD">
        <w:rPr>
          <w:rFonts w:ascii="Verdana" w:hAnsi="Verdana"/>
          <w:sz w:val="20"/>
          <w:lang w:val="pt-BR"/>
        </w:rPr>
        <w:t>rec</w:t>
      </w:r>
      <w:r w:rsidR="00500DEF" w:rsidRPr="002F50BD">
        <w:rPr>
          <w:rFonts w:ascii="Verdana" w:hAnsi="Verdana"/>
          <w:sz w:val="20"/>
          <w:lang w:val="pt-BR"/>
        </w:rPr>
        <w:t>o</w:t>
      </w:r>
      <w:r w:rsidR="004756C1" w:rsidRPr="002F50BD">
        <w:rPr>
          <w:rFonts w:ascii="Verdana" w:hAnsi="Verdana"/>
          <w:sz w:val="20"/>
          <w:lang w:val="pt-BR"/>
        </w:rPr>
        <w:t>rrente</w:t>
      </w:r>
      <w:r w:rsidR="0089298C" w:rsidRPr="002F50BD">
        <w:rPr>
          <w:rFonts w:ascii="Verdana" w:hAnsi="Verdana"/>
          <w:sz w:val="20"/>
          <w:lang w:val="pt-BR"/>
        </w:rPr>
        <w:t xml:space="preserve"> </w:t>
      </w:r>
      <w:r w:rsidR="00500DEF" w:rsidRPr="002F50BD">
        <w:rPr>
          <w:rFonts w:ascii="Verdana" w:hAnsi="Verdana"/>
          <w:sz w:val="20"/>
          <w:lang w:val="pt-BR"/>
        </w:rPr>
        <w:t xml:space="preserve">no </w:t>
      </w:r>
      <w:r w:rsidR="0089298C" w:rsidRPr="002F50BD">
        <w:rPr>
          <w:rFonts w:ascii="Verdana" w:hAnsi="Verdana"/>
          <w:sz w:val="20"/>
          <w:lang w:val="pt-BR"/>
        </w:rPr>
        <w:t>caráter</w:t>
      </w:r>
      <w:r w:rsidR="004756C1" w:rsidRPr="002F50BD">
        <w:rPr>
          <w:rFonts w:ascii="Verdana" w:hAnsi="Verdana"/>
          <w:sz w:val="20"/>
          <w:lang w:val="pt-BR"/>
        </w:rPr>
        <w:t xml:space="preserve"> </w:t>
      </w:r>
      <w:r w:rsidR="00500DEF" w:rsidRPr="002F50BD">
        <w:rPr>
          <w:rFonts w:ascii="Verdana" w:hAnsi="Verdana"/>
          <w:sz w:val="20"/>
          <w:lang w:val="pt-BR"/>
        </w:rPr>
        <w:t xml:space="preserve">por ele </w:t>
      </w:r>
      <w:r w:rsidR="004756C1" w:rsidRPr="002F50BD">
        <w:rPr>
          <w:rFonts w:ascii="Verdana" w:hAnsi="Verdana"/>
          <w:sz w:val="20"/>
          <w:lang w:val="pt-BR"/>
        </w:rPr>
        <w:t>invocado</w:t>
      </w:r>
      <w:r w:rsidR="0089298C" w:rsidRPr="002F50BD">
        <w:rPr>
          <w:rFonts w:ascii="Verdana" w:hAnsi="Verdana"/>
          <w:sz w:val="20"/>
          <w:lang w:val="pt-BR"/>
        </w:rPr>
        <w:t xml:space="preserve"> e </w:t>
      </w:r>
      <w:r w:rsidR="00500DEF" w:rsidRPr="002F50BD">
        <w:rPr>
          <w:rFonts w:ascii="Verdana" w:hAnsi="Verdana"/>
          <w:sz w:val="20"/>
          <w:lang w:val="pt-BR"/>
        </w:rPr>
        <w:t>a constituição d</w:t>
      </w:r>
      <w:r w:rsidR="009A1371" w:rsidRPr="002F50BD">
        <w:rPr>
          <w:rFonts w:ascii="Verdana" w:hAnsi="Verdana"/>
          <w:sz w:val="20"/>
          <w:lang w:val="pt-BR"/>
        </w:rPr>
        <w:t>o</w:t>
      </w:r>
      <w:r w:rsidR="00500DEF" w:rsidRPr="002F50BD">
        <w:rPr>
          <w:rFonts w:ascii="Verdana" w:hAnsi="Verdana"/>
          <w:sz w:val="20"/>
          <w:lang w:val="pt-BR"/>
        </w:rPr>
        <w:t xml:space="preserve"> </w:t>
      </w:r>
      <w:r w:rsidR="0089298C" w:rsidRPr="002F50BD">
        <w:rPr>
          <w:rFonts w:ascii="Verdana" w:hAnsi="Verdana"/>
          <w:sz w:val="20"/>
          <w:lang w:val="pt-BR"/>
        </w:rPr>
        <w:t xml:space="preserve">domicílio no </w:t>
      </w:r>
      <w:r w:rsidR="004756C1" w:rsidRPr="002F50BD">
        <w:rPr>
          <w:rFonts w:ascii="Verdana" w:hAnsi="Verdana"/>
          <w:sz w:val="20"/>
          <w:lang w:val="pt-BR"/>
        </w:rPr>
        <w:t xml:space="preserve">lugar </w:t>
      </w:r>
      <w:r w:rsidR="0089298C" w:rsidRPr="002F50BD">
        <w:rPr>
          <w:rFonts w:ascii="Verdana" w:hAnsi="Verdana"/>
          <w:sz w:val="20"/>
          <w:lang w:val="pt-BR"/>
        </w:rPr>
        <w:t>indicado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expedi</w:t>
      </w:r>
      <w:r w:rsidR="0089298C" w:rsidRPr="002F50BD">
        <w:rPr>
          <w:rFonts w:ascii="Verdana" w:hAnsi="Verdana"/>
          <w:sz w:val="20"/>
          <w:lang w:val="pt-BR"/>
        </w:rPr>
        <w:t>ção</w:t>
      </w:r>
      <w:r w:rsidR="004756C1" w:rsidRPr="002F50BD">
        <w:rPr>
          <w:rFonts w:ascii="Verdana" w:hAnsi="Verdana"/>
          <w:sz w:val="20"/>
          <w:lang w:val="pt-BR"/>
        </w:rPr>
        <w:t xml:space="preserve"> de foto</w:t>
      </w:r>
      <w:r w:rsidR="0089298C" w:rsidRPr="002F50BD">
        <w:rPr>
          <w:rFonts w:ascii="Verdana" w:hAnsi="Verdana"/>
          <w:sz w:val="20"/>
          <w:lang w:val="pt-BR"/>
        </w:rPr>
        <w:t xml:space="preserve">cópias dos </w:t>
      </w:r>
      <w:r w:rsidR="004756C1" w:rsidRPr="002F50BD">
        <w:rPr>
          <w:rFonts w:ascii="Verdana" w:hAnsi="Verdana"/>
          <w:sz w:val="20"/>
          <w:lang w:val="pt-BR"/>
        </w:rPr>
        <w:t>autos</w:t>
      </w:r>
      <w:r w:rsidR="0089298C" w:rsidRPr="002F50BD">
        <w:rPr>
          <w:rFonts w:ascii="Verdana" w:hAnsi="Verdana"/>
          <w:sz w:val="20"/>
          <w:lang w:val="pt-BR"/>
        </w:rPr>
        <w:t xml:space="preserve"> e </w:t>
      </w:r>
      <w:r w:rsidR="0090792C" w:rsidRPr="002F50BD">
        <w:rPr>
          <w:rFonts w:ascii="Verdana" w:hAnsi="Verdana"/>
          <w:sz w:val="20"/>
          <w:lang w:val="pt-BR"/>
        </w:rPr>
        <w:t xml:space="preserve">determinou </w:t>
      </w:r>
      <w:r w:rsidR="009A1371" w:rsidRPr="002F50BD">
        <w:rPr>
          <w:rFonts w:ascii="Verdana" w:hAnsi="Verdana"/>
          <w:sz w:val="20"/>
          <w:lang w:val="pt-BR"/>
        </w:rPr>
        <w:t xml:space="preserve">o envio de </w:t>
      </w:r>
      <w:r w:rsidR="0089298C" w:rsidRPr="002F50BD">
        <w:rPr>
          <w:rFonts w:ascii="Verdana" w:hAnsi="Verdana"/>
          <w:sz w:val="20"/>
          <w:lang w:val="pt-BR"/>
        </w:rPr>
        <w:t xml:space="preserve">ofício ao </w:t>
      </w:r>
      <w:r w:rsidR="004756C1" w:rsidRPr="002F50BD">
        <w:rPr>
          <w:rFonts w:ascii="Verdana" w:hAnsi="Verdana"/>
          <w:sz w:val="20"/>
          <w:lang w:val="pt-BR"/>
        </w:rPr>
        <w:t xml:space="preserve">INDI </w:t>
      </w:r>
      <w:r w:rsidR="00500DEF" w:rsidRPr="002F50BD">
        <w:rPr>
          <w:rFonts w:ascii="Verdana" w:hAnsi="Verdana"/>
          <w:sz w:val="20"/>
          <w:lang w:val="pt-BR"/>
        </w:rPr>
        <w:t xml:space="preserve">para </w:t>
      </w:r>
      <w:r w:rsidR="004756C1" w:rsidRPr="002F50BD">
        <w:rPr>
          <w:rFonts w:ascii="Verdana" w:hAnsi="Verdana"/>
          <w:sz w:val="20"/>
          <w:lang w:val="pt-BR"/>
        </w:rPr>
        <w:t>que</w:t>
      </w:r>
      <w:r w:rsidR="0089298C" w:rsidRPr="002F50BD">
        <w:rPr>
          <w:rFonts w:ascii="Verdana" w:hAnsi="Verdana"/>
          <w:sz w:val="20"/>
          <w:lang w:val="pt-BR"/>
        </w:rPr>
        <w:t xml:space="preserve"> </w:t>
      </w:r>
      <w:r w:rsidR="00500DEF" w:rsidRPr="002F50BD">
        <w:rPr>
          <w:rFonts w:ascii="Verdana" w:hAnsi="Verdana"/>
          <w:sz w:val="20"/>
          <w:lang w:val="pt-BR"/>
        </w:rPr>
        <w:t xml:space="preserve">informasse </w:t>
      </w:r>
      <w:r w:rsidR="0089298C" w:rsidRPr="002F50BD">
        <w:rPr>
          <w:rFonts w:ascii="Verdana" w:hAnsi="Verdana"/>
          <w:sz w:val="20"/>
          <w:lang w:val="pt-BR"/>
        </w:rPr>
        <w:t xml:space="preserve">se a Comunidade </w:t>
      </w:r>
      <w:r w:rsidR="004756C1" w:rsidRPr="002F50BD">
        <w:rPr>
          <w:rFonts w:ascii="Verdana" w:hAnsi="Verdana"/>
          <w:sz w:val="20"/>
          <w:lang w:val="pt-BR"/>
        </w:rPr>
        <w:t>Yakye Axa está registrada</w:t>
      </w:r>
      <w:r w:rsidR="0089298C" w:rsidRPr="002F50BD">
        <w:rPr>
          <w:rFonts w:ascii="Verdana" w:hAnsi="Verdana"/>
          <w:sz w:val="20"/>
          <w:lang w:val="pt-BR"/>
        </w:rPr>
        <w:t xml:space="preserve"> </w:t>
      </w:r>
      <w:r w:rsidR="00FB33DD" w:rsidRPr="002F50BD">
        <w:rPr>
          <w:rFonts w:ascii="Verdana" w:hAnsi="Verdana"/>
          <w:sz w:val="20"/>
          <w:lang w:val="pt-BR"/>
        </w:rPr>
        <w:t>nessa</w:t>
      </w:r>
      <w:r w:rsidR="0089298C" w:rsidRPr="002F50BD">
        <w:rPr>
          <w:rFonts w:ascii="Verdana" w:hAnsi="Verdana"/>
          <w:sz w:val="20"/>
          <w:lang w:val="pt-BR"/>
        </w:rPr>
        <w:t xml:space="preserve"> instituição e quem</w:t>
      </w:r>
      <w:r w:rsidR="004756C1" w:rsidRPr="002F50BD">
        <w:rPr>
          <w:rFonts w:ascii="Verdana" w:hAnsi="Verdana"/>
          <w:sz w:val="20"/>
          <w:lang w:val="pt-BR"/>
        </w:rPr>
        <w:t xml:space="preserve"> </w:t>
      </w:r>
      <w:r w:rsidR="00500DEF" w:rsidRPr="002F50BD">
        <w:rPr>
          <w:rFonts w:ascii="Verdana" w:hAnsi="Verdana"/>
          <w:sz w:val="20"/>
          <w:lang w:val="pt-BR"/>
        </w:rPr>
        <w:t xml:space="preserve">exerce sua </w:t>
      </w:r>
      <w:r w:rsidR="004756C1" w:rsidRPr="002F50BD">
        <w:rPr>
          <w:rFonts w:ascii="Verdana" w:hAnsi="Verdana"/>
          <w:sz w:val="20"/>
          <w:lang w:val="pt-BR"/>
        </w:rPr>
        <w:lastRenderedPageBreak/>
        <w:t>representa</w:t>
      </w:r>
      <w:r w:rsidR="0089298C" w:rsidRPr="002F50BD">
        <w:rPr>
          <w:rFonts w:ascii="Verdana" w:hAnsi="Verdana"/>
          <w:sz w:val="20"/>
          <w:lang w:val="pt-BR"/>
        </w:rPr>
        <w:t>ção</w:t>
      </w:r>
      <w:r w:rsidR="00500DEF" w:rsidRPr="002F50BD">
        <w:rPr>
          <w:rFonts w:ascii="Verdana" w:hAnsi="Verdana"/>
          <w:sz w:val="20"/>
          <w:lang w:val="pt-BR"/>
        </w:rPr>
        <w:t>.</w:t>
      </w:r>
      <w:r w:rsidR="004756C1" w:rsidRPr="002F50BD">
        <w:rPr>
          <w:rStyle w:val="FootnoteReference"/>
          <w:rFonts w:ascii="Verdana" w:hAnsi="Verdana"/>
          <w:lang w:val="es-ES_tradnl"/>
        </w:rPr>
        <w:footnoteReference w:id="136"/>
      </w:r>
      <w:r w:rsidR="000F2A3D" w:rsidRPr="002F50BD">
        <w:rPr>
          <w:rFonts w:ascii="Verdana" w:hAnsi="Verdana"/>
          <w:sz w:val="20"/>
          <w:lang w:val="pt-BR"/>
        </w:rPr>
        <w:t xml:space="preserve"> </w:t>
      </w:r>
      <w:r w:rsidR="002829BB">
        <w:rPr>
          <w:rFonts w:ascii="Verdana" w:hAnsi="Verdana"/>
          <w:sz w:val="20"/>
          <w:lang w:val="pt-BR"/>
        </w:rPr>
        <w:t>Naquele</w:t>
      </w:r>
      <w:r w:rsidR="00015F8F" w:rsidRPr="002F50BD">
        <w:rPr>
          <w:rFonts w:ascii="Verdana" w:hAnsi="Verdana"/>
          <w:sz w:val="20"/>
          <w:lang w:val="pt-BR"/>
        </w:rPr>
        <w:t xml:space="preserve"> m</w:t>
      </w:r>
      <w:r w:rsidR="0089298C" w:rsidRPr="002F50BD">
        <w:rPr>
          <w:rFonts w:ascii="Verdana" w:hAnsi="Verdana"/>
          <w:sz w:val="20"/>
          <w:lang w:val="pt-BR"/>
        </w:rPr>
        <w:t>esm</w:t>
      </w:r>
      <w:r w:rsidR="004756C1" w:rsidRPr="002F50BD">
        <w:rPr>
          <w:rFonts w:ascii="Verdana" w:hAnsi="Verdana"/>
          <w:sz w:val="20"/>
          <w:lang w:val="pt-BR"/>
        </w:rPr>
        <w:t xml:space="preserve">o </w:t>
      </w:r>
      <w:r w:rsidR="0089298C" w:rsidRPr="002F50BD">
        <w:rPr>
          <w:rFonts w:ascii="Verdana" w:hAnsi="Verdana"/>
          <w:sz w:val="20"/>
          <w:lang w:val="pt-BR"/>
        </w:rPr>
        <w:t>dia</w:t>
      </w:r>
      <w:r w:rsidR="0090792C" w:rsidRPr="002F50BD">
        <w:rPr>
          <w:rFonts w:ascii="Verdana" w:hAnsi="Verdana"/>
          <w:sz w:val="20"/>
          <w:lang w:val="pt-BR"/>
        </w:rPr>
        <w:t>,</w:t>
      </w:r>
      <w:r w:rsidR="0089298C" w:rsidRPr="002F50BD">
        <w:rPr>
          <w:rFonts w:ascii="Verdana" w:hAnsi="Verdana"/>
          <w:sz w:val="20"/>
          <w:lang w:val="pt-BR"/>
        </w:rPr>
        <w:t xml:space="preserve"> o </w:t>
      </w:r>
      <w:r w:rsidR="00500DEF" w:rsidRPr="002F50BD">
        <w:rPr>
          <w:rFonts w:ascii="Verdana" w:hAnsi="Verdana"/>
          <w:sz w:val="20"/>
          <w:lang w:val="pt-BR"/>
        </w:rPr>
        <w:t xml:space="preserve">denunciante </w:t>
      </w:r>
      <w:r w:rsidR="004756C1" w:rsidRPr="002F50BD">
        <w:rPr>
          <w:rFonts w:ascii="Verdana" w:hAnsi="Verdana"/>
          <w:sz w:val="20"/>
          <w:lang w:val="pt-BR"/>
        </w:rPr>
        <w:t>particular</w:t>
      </w:r>
      <w:r w:rsidR="0089298C" w:rsidRPr="002F50BD">
        <w:rPr>
          <w:rFonts w:ascii="Verdana" w:hAnsi="Verdana"/>
          <w:sz w:val="20"/>
          <w:lang w:val="pt-BR"/>
        </w:rPr>
        <w:t xml:space="preserve"> se opôs à </w:t>
      </w:r>
      <w:r w:rsidR="004756C1" w:rsidRPr="002F50BD">
        <w:rPr>
          <w:rFonts w:ascii="Verdana" w:hAnsi="Verdana"/>
          <w:sz w:val="20"/>
          <w:lang w:val="pt-BR"/>
        </w:rPr>
        <w:t>interven</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senhor </w:t>
      </w:r>
      <w:r w:rsidR="004756C1" w:rsidRPr="002F50BD">
        <w:rPr>
          <w:rFonts w:ascii="Verdana" w:hAnsi="Verdana"/>
          <w:sz w:val="20"/>
          <w:lang w:val="pt-BR"/>
        </w:rPr>
        <w:t xml:space="preserve">Oscar Ayala Amarilla como </w:t>
      </w:r>
      <w:r w:rsidR="008C29C9" w:rsidRPr="002F50BD">
        <w:rPr>
          <w:rFonts w:ascii="Verdana" w:hAnsi="Verdana"/>
          <w:sz w:val="20"/>
          <w:lang w:val="pt-BR"/>
        </w:rPr>
        <w:t>representante</w:t>
      </w:r>
      <w:r w:rsidR="004756C1" w:rsidRPr="002F50BD">
        <w:rPr>
          <w:rFonts w:ascii="Verdana" w:hAnsi="Verdana"/>
          <w:sz w:val="20"/>
          <w:lang w:val="pt-BR"/>
        </w:rPr>
        <w:t xml:space="preserve"> </w:t>
      </w:r>
      <w:r w:rsidR="006D28A8" w:rsidRPr="002F50BD">
        <w:rPr>
          <w:rFonts w:ascii="Verdana" w:hAnsi="Verdana"/>
          <w:sz w:val="20"/>
          <w:lang w:val="pt-BR"/>
        </w:rPr>
        <w:t xml:space="preserve">legal </w:t>
      </w:r>
      <w:r w:rsidR="00CF451D" w:rsidRPr="00CF451D">
        <w:rPr>
          <w:rFonts w:ascii="Verdana" w:hAnsi="Verdana"/>
          <w:sz w:val="20"/>
          <w:lang w:val="pt-BR"/>
        </w:rPr>
        <w:t>(</w:t>
      </w:r>
      <w:r w:rsidR="006D28A8" w:rsidRPr="002F50BD">
        <w:rPr>
          <w:rFonts w:ascii="Verdana" w:hAnsi="Verdana"/>
          <w:sz w:val="20"/>
          <w:lang w:val="pt-BR"/>
        </w:rPr>
        <w:t>convencional</w:t>
      </w:r>
      <w:r w:rsidR="00CF451D" w:rsidRPr="00CF451D">
        <w:rPr>
          <w:rFonts w:ascii="Verdana" w:hAnsi="Verdana"/>
          <w:sz w:val="20"/>
          <w:lang w:val="pt-BR"/>
        </w:rPr>
        <w:t>)</w:t>
      </w:r>
      <w:r w:rsidR="006D28A8"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Comu</w:t>
      </w:r>
      <w:r w:rsidR="00AB454A" w:rsidRPr="002F50BD">
        <w:rPr>
          <w:rFonts w:ascii="Verdana" w:hAnsi="Verdana"/>
          <w:sz w:val="20"/>
          <w:lang w:val="pt-BR"/>
        </w:rPr>
        <w:t xml:space="preserve">nidade, </w:t>
      </w:r>
      <w:r w:rsidR="0090792C" w:rsidRPr="002F50BD">
        <w:rPr>
          <w:rFonts w:ascii="Verdana" w:hAnsi="Verdana"/>
          <w:sz w:val="20"/>
          <w:lang w:val="pt-BR"/>
        </w:rPr>
        <w:t>di</w:t>
      </w:r>
      <w:r w:rsidR="00500DEF" w:rsidRPr="002F50BD">
        <w:rPr>
          <w:rFonts w:ascii="Verdana" w:hAnsi="Verdana"/>
          <w:sz w:val="20"/>
          <w:lang w:val="pt-BR"/>
        </w:rPr>
        <w:t xml:space="preserve">ante </w:t>
      </w:r>
      <w:r w:rsidR="0090792C" w:rsidRPr="002F50BD">
        <w:rPr>
          <w:rFonts w:ascii="Verdana" w:hAnsi="Verdana"/>
          <w:sz w:val="20"/>
          <w:lang w:val="pt-BR"/>
        </w:rPr>
        <w:t>d</w:t>
      </w:r>
      <w:r w:rsidR="00500DEF" w:rsidRPr="002F50BD">
        <w:rPr>
          <w:rFonts w:ascii="Verdana" w:hAnsi="Verdana"/>
          <w:sz w:val="20"/>
          <w:lang w:val="pt-BR"/>
        </w:rPr>
        <w:t xml:space="preserve">o que </w:t>
      </w:r>
      <w:r w:rsidR="0089298C" w:rsidRPr="002F50BD">
        <w:rPr>
          <w:rFonts w:ascii="Verdana" w:hAnsi="Verdana"/>
          <w:sz w:val="20"/>
          <w:lang w:val="pt-BR"/>
        </w:rPr>
        <w:t>o Juiz</w:t>
      </w:r>
      <w:r w:rsidR="004756C1" w:rsidRPr="002F50BD">
        <w:rPr>
          <w:rFonts w:ascii="Verdana" w:hAnsi="Verdana"/>
          <w:sz w:val="20"/>
          <w:lang w:val="pt-BR"/>
        </w:rPr>
        <w:t xml:space="preserve"> </w:t>
      </w:r>
      <w:r w:rsidR="00215E4C" w:rsidRPr="002F50BD">
        <w:rPr>
          <w:rFonts w:ascii="Verdana" w:hAnsi="Verdana"/>
          <w:sz w:val="20"/>
          <w:lang w:val="pt-BR"/>
        </w:rPr>
        <w:t xml:space="preserve">decidiu </w:t>
      </w:r>
      <w:r w:rsidR="0089298C" w:rsidRPr="002F50BD">
        <w:rPr>
          <w:rFonts w:ascii="Verdana" w:hAnsi="Verdana"/>
          <w:sz w:val="20"/>
          <w:lang w:val="pt-BR"/>
        </w:rPr>
        <w:t xml:space="preserve">revogar </w:t>
      </w:r>
      <w:r w:rsidR="004756C1" w:rsidRPr="002F50BD">
        <w:rPr>
          <w:rFonts w:ascii="Verdana" w:hAnsi="Verdana"/>
          <w:sz w:val="20"/>
          <w:lang w:val="pt-BR"/>
        </w:rPr>
        <w:t>“</w:t>
      </w:r>
      <w:r w:rsidR="0089298C" w:rsidRPr="002F50BD">
        <w:rPr>
          <w:rFonts w:ascii="Verdana" w:hAnsi="Verdana"/>
          <w:sz w:val="20"/>
          <w:lang w:val="pt-BR"/>
        </w:rPr>
        <w:t>a providência desta mesm</w:t>
      </w:r>
      <w:r w:rsidR="004756C1" w:rsidRPr="002F50BD">
        <w:rPr>
          <w:rFonts w:ascii="Verdana" w:hAnsi="Verdana"/>
          <w:sz w:val="20"/>
          <w:lang w:val="pt-BR"/>
        </w:rPr>
        <w:t xml:space="preserve">a </w:t>
      </w:r>
      <w:r w:rsidR="0089298C" w:rsidRPr="002F50BD">
        <w:rPr>
          <w:rFonts w:ascii="Verdana" w:hAnsi="Verdana"/>
          <w:sz w:val="20"/>
          <w:lang w:val="pt-BR"/>
        </w:rPr>
        <w:t>data</w:t>
      </w:r>
      <w:r w:rsidR="004756C1" w:rsidRPr="002F50BD">
        <w:rPr>
          <w:rFonts w:ascii="Verdana" w:hAnsi="Verdana"/>
          <w:sz w:val="20"/>
          <w:lang w:val="pt-BR"/>
        </w:rPr>
        <w:t xml:space="preserve"> […]</w:t>
      </w:r>
      <w:r w:rsidR="0089298C" w:rsidRPr="002F50BD">
        <w:rPr>
          <w:rFonts w:ascii="Verdana" w:hAnsi="Verdana"/>
          <w:sz w:val="20"/>
          <w:lang w:val="pt-BR"/>
        </w:rPr>
        <w:t xml:space="preserve"> na </w:t>
      </w:r>
      <w:r w:rsidR="004756C1" w:rsidRPr="002F50BD">
        <w:rPr>
          <w:rFonts w:ascii="Verdana" w:hAnsi="Verdana"/>
          <w:sz w:val="20"/>
          <w:lang w:val="pt-BR"/>
        </w:rPr>
        <w:t xml:space="preserve">parte </w:t>
      </w:r>
      <w:r w:rsidR="00215E4C" w:rsidRPr="002F50BD">
        <w:rPr>
          <w:rFonts w:ascii="Verdana" w:hAnsi="Verdana"/>
          <w:sz w:val="20"/>
          <w:lang w:val="pt-BR"/>
        </w:rPr>
        <w:t xml:space="preserve">em </w:t>
      </w:r>
      <w:r w:rsidR="004756C1" w:rsidRPr="002F50BD">
        <w:rPr>
          <w:rFonts w:ascii="Verdana" w:hAnsi="Verdana"/>
          <w:sz w:val="20"/>
          <w:lang w:val="pt-BR"/>
        </w:rPr>
        <w:t>que se ordena</w:t>
      </w:r>
      <w:r w:rsidR="0089298C" w:rsidRPr="002F50BD">
        <w:rPr>
          <w:rFonts w:ascii="Verdana" w:hAnsi="Verdana"/>
          <w:sz w:val="20"/>
          <w:lang w:val="pt-BR"/>
        </w:rPr>
        <w:t xml:space="preserve"> a </w:t>
      </w:r>
      <w:r w:rsidR="004756C1" w:rsidRPr="002F50BD">
        <w:rPr>
          <w:rFonts w:ascii="Verdana" w:hAnsi="Verdana"/>
          <w:sz w:val="20"/>
          <w:lang w:val="pt-BR"/>
        </w:rPr>
        <w:t>expedi</w:t>
      </w:r>
      <w:r w:rsidR="0089298C" w:rsidRPr="002F50BD">
        <w:rPr>
          <w:rFonts w:ascii="Verdana" w:hAnsi="Verdana"/>
          <w:sz w:val="20"/>
          <w:lang w:val="pt-BR"/>
        </w:rPr>
        <w:t>ção</w:t>
      </w:r>
      <w:r w:rsidR="004756C1" w:rsidRPr="002F50BD">
        <w:rPr>
          <w:rFonts w:ascii="Verdana" w:hAnsi="Verdana"/>
          <w:sz w:val="20"/>
          <w:lang w:val="pt-BR"/>
        </w:rPr>
        <w:t xml:space="preserve"> de foto</w:t>
      </w:r>
      <w:r w:rsidR="0089298C" w:rsidRPr="002F50BD">
        <w:rPr>
          <w:rFonts w:ascii="Verdana" w:hAnsi="Verdana"/>
          <w:sz w:val="20"/>
          <w:lang w:val="pt-BR"/>
        </w:rPr>
        <w:t>cópias</w:t>
      </w:r>
      <w:r w:rsidR="004756C1" w:rsidRPr="002F50BD">
        <w:rPr>
          <w:rFonts w:ascii="Verdana" w:hAnsi="Verdana"/>
          <w:sz w:val="20"/>
          <w:lang w:val="pt-BR"/>
        </w:rPr>
        <w:t xml:space="preserve"> </w:t>
      </w:r>
      <w:r w:rsidR="0089298C" w:rsidRPr="002F50BD">
        <w:rPr>
          <w:rFonts w:ascii="Verdana" w:hAnsi="Verdana"/>
          <w:sz w:val="20"/>
          <w:lang w:val="pt-BR"/>
        </w:rPr>
        <w:t xml:space="preserve">destes </w:t>
      </w:r>
      <w:r w:rsidR="004756C1" w:rsidRPr="002F50BD">
        <w:rPr>
          <w:rFonts w:ascii="Verdana" w:hAnsi="Verdana"/>
          <w:sz w:val="20"/>
          <w:lang w:val="pt-BR"/>
        </w:rPr>
        <w:t xml:space="preserve">autos, </w:t>
      </w:r>
      <w:r w:rsidR="0089298C" w:rsidRPr="002F50BD">
        <w:rPr>
          <w:rFonts w:ascii="Verdana" w:hAnsi="Verdana"/>
          <w:sz w:val="20"/>
          <w:lang w:val="pt-BR"/>
        </w:rPr>
        <w:t>até</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500DEF" w:rsidRPr="002F50BD">
        <w:rPr>
          <w:rFonts w:ascii="Verdana" w:hAnsi="Verdana"/>
          <w:sz w:val="20"/>
          <w:lang w:val="pt-BR"/>
        </w:rPr>
        <w:t>responda.</w:t>
      </w:r>
      <w:r w:rsidR="004756C1" w:rsidRPr="002F50BD">
        <w:rPr>
          <w:rFonts w:ascii="Verdana" w:hAnsi="Verdana"/>
          <w:sz w:val="20"/>
          <w:lang w:val="pt-BR"/>
        </w:rPr>
        <w:t>”</w:t>
      </w:r>
      <w:r w:rsidR="004756C1" w:rsidRPr="002F50BD">
        <w:rPr>
          <w:rStyle w:val="FootnoteReference"/>
          <w:rFonts w:ascii="Verdana" w:hAnsi="Verdana"/>
          <w:lang w:val="es-ES_tradnl"/>
        </w:rPr>
        <w:footnoteReference w:id="137"/>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1999</w:t>
      </w:r>
      <w:r w:rsidR="006D28A8"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vários</w:t>
      </w:r>
      <w:r w:rsidR="004756C1" w:rsidRPr="002F50BD">
        <w:rPr>
          <w:rFonts w:ascii="Verdana" w:hAnsi="Verdana"/>
          <w:sz w:val="20"/>
          <w:lang w:val="pt-BR"/>
        </w:rPr>
        <w:t xml:space="preserve">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foram</w:t>
      </w:r>
      <w:r w:rsidR="004756C1" w:rsidRPr="002F50BD">
        <w:rPr>
          <w:rFonts w:ascii="Verdana" w:hAnsi="Verdana"/>
          <w:sz w:val="20"/>
          <w:lang w:val="pt-BR"/>
        </w:rPr>
        <w:t xml:space="preserve"> </w:t>
      </w:r>
      <w:r w:rsidR="00500DEF" w:rsidRPr="002F50BD">
        <w:rPr>
          <w:rFonts w:ascii="Verdana" w:hAnsi="Verdana"/>
          <w:sz w:val="20"/>
          <w:lang w:val="pt-BR"/>
        </w:rPr>
        <w:t xml:space="preserve">intimados </w:t>
      </w:r>
      <w:r w:rsidR="00215E4C" w:rsidRPr="002F50BD">
        <w:rPr>
          <w:rFonts w:ascii="Verdana" w:hAnsi="Verdana"/>
          <w:sz w:val="20"/>
          <w:lang w:val="pt-BR"/>
        </w:rPr>
        <w:t>par</w:t>
      </w:r>
      <w:r w:rsidR="00500DEF" w:rsidRPr="002F50BD">
        <w:rPr>
          <w:rFonts w:ascii="Verdana" w:hAnsi="Verdana"/>
          <w:sz w:val="20"/>
          <w:lang w:val="pt-BR"/>
        </w:rPr>
        <w:t xml:space="preserve">a </w:t>
      </w:r>
      <w:r w:rsidR="004756C1" w:rsidRPr="002F50BD">
        <w:rPr>
          <w:rFonts w:ascii="Verdana" w:hAnsi="Verdana"/>
          <w:sz w:val="20"/>
          <w:lang w:val="pt-BR"/>
        </w:rPr>
        <w:t>prestar declara</w:t>
      </w:r>
      <w:r w:rsidR="0089298C" w:rsidRPr="002F50BD">
        <w:rPr>
          <w:rFonts w:ascii="Verdana" w:hAnsi="Verdana"/>
          <w:sz w:val="20"/>
          <w:lang w:val="pt-BR"/>
        </w:rPr>
        <w:t>ções</w:t>
      </w:r>
      <w:r w:rsidR="004756C1" w:rsidRPr="002F50BD">
        <w:rPr>
          <w:rFonts w:ascii="Verdana" w:hAnsi="Verdana"/>
          <w:sz w:val="20"/>
          <w:lang w:val="pt-BR"/>
        </w:rPr>
        <w:t xml:space="preserve"> informativas </w:t>
      </w:r>
      <w:r w:rsidR="00500DEF"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juiz da </w:t>
      </w:r>
      <w:r w:rsidR="004756C1" w:rsidRPr="002F50BD">
        <w:rPr>
          <w:rFonts w:ascii="Verdana" w:hAnsi="Verdana"/>
          <w:sz w:val="20"/>
          <w:lang w:val="pt-BR"/>
        </w:rPr>
        <w:t>causa</w:t>
      </w:r>
      <w:r w:rsidR="00500DEF" w:rsidRPr="002F50BD">
        <w:rPr>
          <w:rFonts w:ascii="Verdana" w:hAnsi="Verdana"/>
          <w:sz w:val="20"/>
          <w:lang w:val="pt-BR"/>
        </w:rPr>
        <w:t>.</w:t>
      </w:r>
      <w:r w:rsidR="004756C1" w:rsidRPr="002F50BD">
        <w:rPr>
          <w:rStyle w:val="FootnoteReference"/>
          <w:rFonts w:ascii="Verdana" w:hAnsi="Verdana"/>
          <w:lang w:val="es-ES_tradnl"/>
        </w:rPr>
        <w:footnoteReference w:id="138"/>
      </w:r>
      <w:r w:rsidR="004756C1" w:rsidRPr="002F50BD">
        <w:rPr>
          <w:rFonts w:ascii="Verdana" w:hAnsi="Verdana"/>
          <w:sz w:val="20"/>
          <w:lang w:val="pt-BR"/>
        </w:rPr>
        <w:t xml:space="preserve"> </w:t>
      </w:r>
      <w:r w:rsidR="00500DEF" w:rsidRPr="002F50BD">
        <w:rPr>
          <w:rFonts w:ascii="Verdana" w:hAnsi="Verdana"/>
          <w:sz w:val="20"/>
          <w:lang w:val="pt-BR"/>
        </w:rPr>
        <w:t>No entanto</w:t>
      </w:r>
      <w:r w:rsidR="004756C1" w:rsidRPr="002F50BD" w:rsidDel="001007B8">
        <w:rPr>
          <w:rFonts w:ascii="Verdana" w:hAnsi="Verdana"/>
          <w:sz w:val="20"/>
          <w:lang w:val="pt-BR"/>
        </w:rPr>
        <w:t>, n</w:t>
      </w:r>
      <w:r w:rsidR="00500DEF" w:rsidRPr="002F50BD">
        <w:rPr>
          <w:rFonts w:ascii="Verdana" w:hAnsi="Verdana"/>
          <w:sz w:val="20"/>
          <w:lang w:val="pt-BR"/>
        </w:rPr>
        <w:t>ã</w:t>
      </w:r>
      <w:r w:rsidR="004756C1" w:rsidRPr="002F50BD" w:rsidDel="001007B8">
        <w:rPr>
          <w:rFonts w:ascii="Verdana" w:hAnsi="Verdana"/>
          <w:sz w:val="20"/>
          <w:lang w:val="pt-BR"/>
        </w:rPr>
        <w:t>o consta</w:t>
      </w:r>
      <w:r w:rsidR="0089298C" w:rsidRPr="002F50BD">
        <w:rPr>
          <w:rFonts w:ascii="Verdana" w:hAnsi="Verdana"/>
          <w:sz w:val="20"/>
          <w:lang w:val="pt-BR"/>
        </w:rPr>
        <w:t xml:space="preserve"> no</w:t>
      </w:r>
      <w:r w:rsidR="002829BB">
        <w:rPr>
          <w:rFonts w:ascii="Verdana" w:hAnsi="Verdana"/>
          <w:sz w:val="20"/>
          <w:lang w:val="pt-BR"/>
        </w:rPr>
        <w:t xml:space="preserve">s autos </w:t>
      </w:r>
      <w:r w:rsidR="0089298C" w:rsidRPr="002F50BD">
        <w:rPr>
          <w:rFonts w:ascii="Verdana" w:hAnsi="Verdana"/>
          <w:sz w:val="20"/>
          <w:lang w:val="pt-BR"/>
        </w:rPr>
        <w:t>do processo lev</w:t>
      </w:r>
      <w:r w:rsidR="004756C1" w:rsidRPr="002F50BD" w:rsidDel="001007B8">
        <w:rPr>
          <w:rFonts w:ascii="Verdana" w:hAnsi="Verdana"/>
          <w:sz w:val="20"/>
          <w:lang w:val="pt-BR"/>
        </w:rPr>
        <w:t>ado a cabo</w:t>
      </w:r>
      <w:r w:rsidR="0089298C" w:rsidRPr="002F50BD">
        <w:rPr>
          <w:rFonts w:ascii="Verdana" w:hAnsi="Verdana"/>
          <w:sz w:val="20"/>
          <w:lang w:val="pt-BR"/>
        </w:rPr>
        <w:t xml:space="preserve"> neste </w:t>
      </w:r>
      <w:r w:rsidR="004574D2" w:rsidRPr="002F50BD">
        <w:rPr>
          <w:rFonts w:ascii="Verdana" w:hAnsi="Verdana"/>
          <w:sz w:val="20"/>
          <w:lang w:val="pt-BR"/>
        </w:rPr>
        <w:t>Ju</w:t>
      </w:r>
      <w:r w:rsidR="00500DEF" w:rsidRPr="002F50BD">
        <w:rPr>
          <w:rFonts w:ascii="Verdana" w:hAnsi="Verdana"/>
          <w:sz w:val="20"/>
          <w:lang w:val="pt-BR"/>
        </w:rPr>
        <w:t>ízo</w:t>
      </w:r>
      <w:r w:rsidR="004756C1" w:rsidRPr="002F50BD" w:rsidDel="001007B8">
        <w:rPr>
          <w:rFonts w:ascii="Verdana" w:hAnsi="Verdana"/>
          <w:sz w:val="20"/>
          <w:lang w:val="pt-BR"/>
        </w:rPr>
        <w:t xml:space="preserve"> de </w:t>
      </w:r>
      <w:r w:rsidR="0089298C" w:rsidRPr="002F50BD">
        <w:rPr>
          <w:rFonts w:ascii="Verdana" w:hAnsi="Verdana"/>
          <w:sz w:val="20"/>
          <w:lang w:val="pt-BR"/>
        </w:rPr>
        <w:t>primeira</w:t>
      </w:r>
      <w:r w:rsidR="004756C1" w:rsidRPr="002F50BD" w:rsidDel="001007B8">
        <w:rPr>
          <w:rFonts w:ascii="Verdana" w:hAnsi="Verdana"/>
          <w:sz w:val="20"/>
          <w:lang w:val="pt-BR"/>
        </w:rPr>
        <w:t xml:space="preserve"> </w:t>
      </w:r>
      <w:r w:rsidR="0089298C" w:rsidRPr="002F50BD">
        <w:rPr>
          <w:rFonts w:ascii="Verdana" w:hAnsi="Verdana"/>
          <w:sz w:val="20"/>
          <w:lang w:val="pt-BR"/>
        </w:rPr>
        <w:t>instância</w:t>
      </w:r>
      <w:r w:rsidR="004756C1" w:rsidRPr="002F50BD" w:rsidDel="001007B8">
        <w:rPr>
          <w:rFonts w:ascii="Verdana" w:hAnsi="Verdana"/>
          <w:sz w:val="20"/>
          <w:lang w:val="pt-BR"/>
        </w:rPr>
        <w:t xml:space="preserve"> </w:t>
      </w:r>
      <w:r w:rsidR="006D28A8" w:rsidRPr="002F50BD">
        <w:rPr>
          <w:rFonts w:ascii="Verdana" w:hAnsi="Verdana"/>
          <w:sz w:val="20"/>
          <w:lang w:val="pt-BR"/>
        </w:rPr>
        <w:t>se</w:t>
      </w:r>
      <w:r w:rsidR="004756C1" w:rsidRPr="002F50BD" w:rsidDel="001007B8">
        <w:rPr>
          <w:rFonts w:ascii="Verdana" w:hAnsi="Verdana"/>
          <w:sz w:val="20"/>
          <w:lang w:val="pt-BR"/>
        </w:rPr>
        <w:t xml:space="preserve"> estas </w:t>
      </w:r>
      <w:r w:rsidR="0089298C" w:rsidRPr="002F50BD">
        <w:rPr>
          <w:rFonts w:ascii="Verdana" w:hAnsi="Verdana"/>
          <w:sz w:val="20"/>
          <w:lang w:val="pt-BR"/>
        </w:rPr>
        <w:t>pessoa</w:t>
      </w:r>
      <w:r w:rsidR="004756C1" w:rsidRPr="002F50BD" w:rsidDel="001007B8">
        <w:rPr>
          <w:rFonts w:ascii="Verdana" w:hAnsi="Verdana"/>
          <w:sz w:val="20"/>
          <w:lang w:val="pt-BR"/>
        </w:rPr>
        <w:t>s comparec</w:t>
      </w:r>
      <w:r w:rsidR="006D28A8" w:rsidRPr="002F50BD">
        <w:rPr>
          <w:rFonts w:ascii="Verdana" w:hAnsi="Verdana"/>
          <w:sz w:val="20"/>
          <w:lang w:val="pt-BR"/>
        </w:rPr>
        <w:t xml:space="preserve">eram </w:t>
      </w:r>
      <w:r w:rsidR="00215E4C" w:rsidRPr="002F50BD">
        <w:rPr>
          <w:rFonts w:ascii="Verdana" w:hAnsi="Verdana"/>
          <w:sz w:val="20"/>
          <w:lang w:val="pt-BR"/>
        </w:rPr>
        <w:t>par</w:t>
      </w:r>
      <w:r w:rsidR="006D28A8" w:rsidRPr="002F50BD">
        <w:rPr>
          <w:rFonts w:ascii="Verdana" w:hAnsi="Verdana"/>
          <w:sz w:val="20"/>
          <w:lang w:val="pt-BR"/>
        </w:rPr>
        <w:t>a</w:t>
      </w:r>
      <w:r w:rsidR="004756C1" w:rsidRPr="002F50BD" w:rsidDel="001007B8">
        <w:rPr>
          <w:rFonts w:ascii="Verdana" w:hAnsi="Verdana"/>
          <w:sz w:val="20"/>
          <w:lang w:val="pt-BR"/>
        </w:rPr>
        <w:t xml:space="preserve"> prestar</w:t>
      </w:r>
      <w:r w:rsidR="0089298C" w:rsidRPr="002F50BD">
        <w:rPr>
          <w:rFonts w:ascii="Verdana" w:hAnsi="Verdana"/>
          <w:sz w:val="20"/>
          <w:lang w:val="pt-BR"/>
        </w:rPr>
        <w:t xml:space="preserve"> as </w:t>
      </w:r>
      <w:r w:rsidR="004756C1" w:rsidRPr="002F50BD" w:rsidDel="001007B8">
        <w:rPr>
          <w:rFonts w:ascii="Verdana" w:hAnsi="Verdana"/>
          <w:sz w:val="20"/>
          <w:lang w:val="pt-BR"/>
        </w:rPr>
        <w:t>referidas declara</w:t>
      </w:r>
      <w:r w:rsidR="0089298C" w:rsidRPr="002F50BD">
        <w:rPr>
          <w:rFonts w:ascii="Verdana" w:hAnsi="Verdana"/>
          <w:sz w:val="20"/>
          <w:lang w:val="pt-BR"/>
        </w:rPr>
        <w:t>ções</w:t>
      </w:r>
      <w:r w:rsidR="004756C1" w:rsidRPr="002F50BD" w:rsidDel="001007B8">
        <w:rPr>
          <w:rFonts w:ascii="Verdana" w:hAnsi="Verdana"/>
          <w:sz w:val="20"/>
          <w:lang w:val="pt-BR"/>
        </w:rPr>
        <w:t xml:space="preserve"> informativas.</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21</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2000</w:t>
      </w:r>
      <w:r w:rsidR="006D28A8" w:rsidRPr="002F50BD">
        <w:rPr>
          <w:rFonts w:ascii="Verdana" w:hAnsi="Verdana"/>
          <w:sz w:val="20"/>
          <w:lang w:val="pt-BR"/>
        </w:rPr>
        <w:t>,</w:t>
      </w:r>
      <w:r w:rsidR="0089298C" w:rsidRPr="002F50BD">
        <w:rPr>
          <w:rFonts w:ascii="Verdana" w:hAnsi="Verdana"/>
          <w:sz w:val="20"/>
          <w:lang w:val="pt-BR"/>
        </w:rPr>
        <w:t xml:space="preserve"> o </w:t>
      </w:r>
      <w:r w:rsidR="00B938C8" w:rsidRPr="002F50BD">
        <w:rPr>
          <w:rFonts w:ascii="Verdana" w:hAnsi="Verdana"/>
          <w:sz w:val="20"/>
          <w:lang w:val="pt-BR"/>
        </w:rPr>
        <w:t xml:space="preserve">querelante </w:t>
      </w:r>
      <w:r w:rsidR="004756C1" w:rsidRPr="002F50BD">
        <w:rPr>
          <w:rFonts w:ascii="Verdana" w:hAnsi="Verdana"/>
          <w:sz w:val="20"/>
          <w:lang w:val="pt-BR"/>
        </w:rPr>
        <w:t xml:space="preserve">particular </w:t>
      </w:r>
      <w:r w:rsidR="0089298C" w:rsidRPr="002F50BD">
        <w:rPr>
          <w:rFonts w:ascii="Verdana" w:hAnsi="Verdana"/>
          <w:sz w:val="20"/>
          <w:lang w:val="pt-BR"/>
        </w:rPr>
        <w:t>denunciou</w:t>
      </w:r>
      <w:r w:rsidR="004756C1" w:rsidRPr="002F50BD">
        <w:rPr>
          <w:rFonts w:ascii="Verdana" w:hAnsi="Verdana"/>
          <w:sz w:val="20"/>
          <w:lang w:val="pt-BR"/>
        </w:rPr>
        <w:t xml:space="preserve"> que “</w:t>
      </w:r>
      <w:r w:rsidR="00500DEF"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marco de</w:t>
      </w:r>
      <w:r w:rsidR="0089298C" w:rsidRPr="002F50BD">
        <w:rPr>
          <w:rFonts w:ascii="Verdana" w:hAnsi="Verdana"/>
          <w:sz w:val="20"/>
          <w:lang w:val="pt-BR"/>
        </w:rPr>
        <w:t xml:space="preserve"> um convênio com o Serviço</w:t>
      </w:r>
      <w:r w:rsidR="004756C1" w:rsidRPr="002F50BD">
        <w:rPr>
          <w:rFonts w:ascii="Verdana" w:hAnsi="Verdana"/>
          <w:sz w:val="20"/>
          <w:lang w:val="pt-BR"/>
        </w:rPr>
        <w:t xml:space="preserve"> Nacional de Promo</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Profissional </w:t>
      </w:r>
      <w:r w:rsidR="00CF451D" w:rsidRPr="00CF451D">
        <w:rPr>
          <w:rFonts w:ascii="Verdana" w:hAnsi="Verdana"/>
          <w:sz w:val="20"/>
          <w:lang w:val="pt-BR"/>
        </w:rPr>
        <w:t>(</w:t>
      </w:r>
      <w:r w:rsidR="004756C1" w:rsidRPr="002F50BD">
        <w:rPr>
          <w:rFonts w:ascii="Verdana" w:hAnsi="Verdana"/>
          <w:sz w:val="20"/>
          <w:lang w:val="pt-BR"/>
        </w:rPr>
        <w:t>SNPP</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indígenas [</w:t>
      </w:r>
      <w:r w:rsidR="0089298C" w:rsidRPr="002F50BD">
        <w:rPr>
          <w:rFonts w:ascii="Verdana" w:hAnsi="Verdana"/>
          <w:sz w:val="20"/>
          <w:lang w:val="pt-BR"/>
        </w:rPr>
        <w:t xml:space="preserve">da Comunidade </w:t>
      </w:r>
      <w:r w:rsidR="004756C1" w:rsidRPr="002F50BD">
        <w:rPr>
          <w:rFonts w:ascii="Verdana" w:hAnsi="Verdana"/>
          <w:sz w:val="20"/>
          <w:lang w:val="pt-BR"/>
        </w:rPr>
        <w:t xml:space="preserve">Yakye Axa] </w:t>
      </w:r>
      <w:r w:rsidR="0089298C" w:rsidRPr="002F50BD">
        <w:rPr>
          <w:rFonts w:ascii="Verdana" w:hAnsi="Verdana"/>
          <w:sz w:val="20"/>
          <w:lang w:val="pt-BR"/>
        </w:rPr>
        <w:t>receberam uma primeira</w:t>
      </w:r>
      <w:r w:rsidR="004756C1" w:rsidRPr="002F50BD">
        <w:rPr>
          <w:rFonts w:ascii="Verdana" w:hAnsi="Verdana"/>
          <w:sz w:val="20"/>
          <w:lang w:val="pt-BR"/>
        </w:rPr>
        <w:t xml:space="preserve"> </w:t>
      </w:r>
      <w:r w:rsidR="00E57D41" w:rsidRPr="002F50BD">
        <w:rPr>
          <w:rFonts w:ascii="Verdana" w:hAnsi="Verdana"/>
          <w:sz w:val="20"/>
          <w:lang w:val="pt-BR"/>
        </w:rPr>
        <w:t xml:space="preserve">parcela </w:t>
      </w:r>
      <w:r w:rsidR="004756C1" w:rsidRPr="002F50BD">
        <w:rPr>
          <w:rFonts w:ascii="Verdana" w:hAnsi="Verdana"/>
          <w:sz w:val="20"/>
          <w:lang w:val="pt-BR"/>
        </w:rPr>
        <w:t xml:space="preserve">de </w:t>
      </w:r>
      <w:r w:rsidRPr="002F50BD">
        <w:rPr>
          <w:rFonts w:ascii="Verdana" w:hAnsi="Verdana"/>
          <w:sz w:val="20"/>
          <w:lang w:val="pt-BR"/>
        </w:rPr>
        <w:t>50</w:t>
      </w:r>
      <w:r w:rsidR="004756C1" w:rsidRPr="002F50BD">
        <w:rPr>
          <w:rFonts w:ascii="Verdana" w:hAnsi="Verdana"/>
          <w:sz w:val="20"/>
          <w:lang w:val="pt-BR"/>
        </w:rPr>
        <w:t xml:space="preserve"> </w:t>
      </w:r>
      <w:r w:rsidR="004076AD" w:rsidRPr="002F50BD">
        <w:rPr>
          <w:rFonts w:ascii="Verdana" w:hAnsi="Verdana"/>
          <w:sz w:val="20"/>
          <w:lang w:val="pt-BR"/>
        </w:rPr>
        <w:t>caixas</w:t>
      </w:r>
      <w:r w:rsidR="004756C1" w:rsidRPr="002F50BD">
        <w:rPr>
          <w:rFonts w:ascii="Verdana" w:hAnsi="Verdana"/>
          <w:sz w:val="20"/>
          <w:lang w:val="pt-BR"/>
        </w:rPr>
        <w:t xml:space="preserve"> para apicultura”,</w:t>
      </w:r>
      <w:r w:rsidR="0089298C" w:rsidRPr="002F50BD">
        <w:rPr>
          <w:rFonts w:ascii="Verdana" w:hAnsi="Verdana"/>
          <w:sz w:val="20"/>
          <w:lang w:val="pt-BR"/>
        </w:rPr>
        <w:t xml:space="preserve"> as quais teriam </w:t>
      </w:r>
      <w:r w:rsidR="004756C1" w:rsidRPr="002F50BD">
        <w:rPr>
          <w:rFonts w:ascii="Verdana" w:hAnsi="Verdana"/>
          <w:sz w:val="20"/>
          <w:lang w:val="pt-BR"/>
        </w:rPr>
        <w:t xml:space="preserve">sido </w:t>
      </w:r>
      <w:r w:rsidR="0089298C" w:rsidRPr="002F50BD">
        <w:rPr>
          <w:rFonts w:ascii="Verdana" w:hAnsi="Verdana"/>
          <w:sz w:val="20"/>
          <w:lang w:val="pt-BR"/>
        </w:rPr>
        <w:t>localizad</w:t>
      </w:r>
      <w:r w:rsidR="004756C1" w:rsidRPr="002F50BD">
        <w:rPr>
          <w:rFonts w:ascii="Verdana" w:hAnsi="Verdana"/>
          <w:sz w:val="20"/>
          <w:lang w:val="pt-BR"/>
        </w:rPr>
        <w:t>as dentro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“a uns </w:t>
      </w:r>
      <w:r w:rsidRPr="002F50BD">
        <w:rPr>
          <w:rFonts w:ascii="Verdana" w:hAnsi="Verdana"/>
          <w:sz w:val="20"/>
          <w:lang w:val="pt-BR"/>
        </w:rPr>
        <w:t>150</w:t>
      </w:r>
      <w:r w:rsidR="004756C1" w:rsidRPr="002F50BD">
        <w:rPr>
          <w:rFonts w:ascii="Verdana" w:hAnsi="Verdana"/>
          <w:sz w:val="20"/>
          <w:lang w:val="pt-BR"/>
        </w:rPr>
        <w:t xml:space="preserve"> metros </w:t>
      </w:r>
      <w:r w:rsidR="00E57D41" w:rsidRPr="002F50BD">
        <w:rPr>
          <w:rFonts w:ascii="Verdana" w:hAnsi="Verdana"/>
          <w:sz w:val="20"/>
          <w:lang w:val="pt-BR"/>
        </w:rPr>
        <w:t>a</w:t>
      </w:r>
      <w:r w:rsidR="0089298C" w:rsidRPr="002F50BD">
        <w:rPr>
          <w:rFonts w:ascii="Verdana" w:hAnsi="Verdana"/>
          <w:sz w:val="20"/>
          <w:lang w:val="pt-BR"/>
        </w:rPr>
        <w:t xml:space="preserve">o </w:t>
      </w:r>
      <w:r w:rsidR="00E57D41" w:rsidRPr="002F50BD">
        <w:rPr>
          <w:rFonts w:ascii="Verdana" w:hAnsi="Verdana"/>
          <w:sz w:val="20"/>
          <w:lang w:val="pt-BR"/>
        </w:rPr>
        <w:t>S</w:t>
      </w:r>
      <w:r w:rsidR="0089298C" w:rsidRPr="002F50BD">
        <w:rPr>
          <w:rFonts w:ascii="Verdana" w:hAnsi="Verdana"/>
          <w:sz w:val="20"/>
          <w:lang w:val="pt-BR"/>
        </w:rPr>
        <w:t xml:space="preserve">ul do </w:t>
      </w:r>
      <w:r w:rsidR="004756C1" w:rsidRPr="002F50BD">
        <w:rPr>
          <w:rFonts w:ascii="Verdana" w:hAnsi="Verdana"/>
          <w:sz w:val="20"/>
          <w:lang w:val="pt-BR"/>
        </w:rPr>
        <w:t>tra</w:t>
      </w:r>
      <w:r w:rsidR="00E57D41" w:rsidRPr="002F50BD">
        <w:rPr>
          <w:rFonts w:ascii="Verdana" w:hAnsi="Verdana"/>
          <w:sz w:val="20"/>
          <w:lang w:val="pt-BR"/>
        </w:rPr>
        <w:t>ç</w:t>
      </w:r>
      <w:r w:rsidR="004756C1" w:rsidRPr="002F50BD">
        <w:rPr>
          <w:rFonts w:ascii="Verdana" w:hAnsi="Verdana"/>
          <w:sz w:val="20"/>
          <w:lang w:val="pt-BR"/>
        </w:rPr>
        <w:t>ado</w:t>
      </w:r>
      <w:r w:rsidR="0089298C" w:rsidRPr="002F50BD">
        <w:rPr>
          <w:rFonts w:ascii="Verdana" w:hAnsi="Verdana"/>
          <w:sz w:val="20"/>
          <w:lang w:val="pt-BR"/>
        </w:rPr>
        <w:t xml:space="preserve"> da </w:t>
      </w:r>
      <w:r w:rsidR="00E57D41" w:rsidRPr="002F50BD">
        <w:rPr>
          <w:rFonts w:ascii="Verdana" w:hAnsi="Verdana"/>
          <w:sz w:val="20"/>
          <w:lang w:val="pt-BR"/>
        </w:rPr>
        <w:t xml:space="preserve">estrada </w:t>
      </w:r>
      <w:r w:rsidR="00313394" w:rsidRPr="002F50BD">
        <w:rPr>
          <w:rFonts w:ascii="Verdana" w:hAnsi="Verdana"/>
          <w:sz w:val="20"/>
          <w:lang w:val="pt-BR"/>
        </w:rPr>
        <w:t>Concepción</w:t>
      </w:r>
      <w:r w:rsidR="004756C1" w:rsidRPr="002F50BD">
        <w:rPr>
          <w:rFonts w:ascii="Verdana" w:hAnsi="Verdana"/>
          <w:sz w:val="20"/>
          <w:lang w:val="pt-BR"/>
        </w:rPr>
        <w:t>-Pozo Colorado”</w:t>
      </w:r>
      <w:r w:rsidR="00E57D41" w:rsidRPr="002F50BD">
        <w:rPr>
          <w:rFonts w:ascii="Verdana" w:hAnsi="Verdana"/>
          <w:sz w:val="20"/>
          <w:lang w:val="pt-BR"/>
        </w:rPr>
        <w:t>.</w:t>
      </w:r>
      <w:r w:rsidR="004756C1" w:rsidRPr="002F50BD">
        <w:rPr>
          <w:rStyle w:val="FootnoteReference"/>
          <w:rFonts w:ascii="Verdana" w:hAnsi="Verdana"/>
          <w:lang w:val="es-ES_tradnl"/>
        </w:rPr>
        <w:footnoteReference w:id="139"/>
      </w:r>
      <w:r w:rsidR="00FB33DD" w:rsidRPr="002F50BD">
        <w:rPr>
          <w:rFonts w:ascii="Verdana" w:hAnsi="Verdana"/>
          <w:sz w:val="20"/>
          <w:lang w:val="pt-BR"/>
        </w:rPr>
        <w:t xml:space="preserve"> </w:t>
      </w:r>
      <w:r w:rsidR="002829BB">
        <w:rPr>
          <w:rFonts w:ascii="Verdana" w:hAnsi="Verdana"/>
          <w:sz w:val="20"/>
          <w:lang w:val="pt-BR"/>
        </w:rPr>
        <w:t>Naquele</w:t>
      </w:r>
      <w:r w:rsidR="00FB33DD" w:rsidRPr="002F50BD">
        <w:rPr>
          <w:rFonts w:ascii="Verdana" w:hAnsi="Verdana"/>
          <w:sz w:val="20"/>
          <w:lang w:val="pt-BR"/>
        </w:rPr>
        <w:t xml:space="preserve"> </w:t>
      </w:r>
      <w:r w:rsidR="0089298C" w:rsidRPr="002F50BD">
        <w:rPr>
          <w:rFonts w:ascii="Verdana" w:hAnsi="Verdana"/>
          <w:sz w:val="20"/>
          <w:lang w:val="pt-BR"/>
        </w:rPr>
        <w:t>mesm</w:t>
      </w:r>
      <w:r w:rsidR="004756C1" w:rsidRPr="002F50BD">
        <w:rPr>
          <w:rFonts w:ascii="Verdana" w:hAnsi="Verdana"/>
          <w:sz w:val="20"/>
          <w:lang w:val="pt-BR"/>
        </w:rPr>
        <w:t xml:space="preserve">o </w:t>
      </w:r>
      <w:r w:rsidR="0089298C" w:rsidRPr="002F50BD">
        <w:rPr>
          <w:rFonts w:ascii="Verdana" w:hAnsi="Verdana"/>
          <w:sz w:val="20"/>
          <w:lang w:val="pt-BR"/>
        </w:rPr>
        <w:t>dia</w:t>
      </w:r>
      <w:r w:rsidR="004756C1"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89298C" w:rsidRPr="002F50BD">
        <w:rPr>
          <w:rFonts w:ascii="Verdana" w:hAnsi="Verdana"/>
          <w:sz w:val="20"/>
          <w:lang w:val="pt-BR"/>
        </w:rPr>
        <w:t xml:space="preserve">ordenou a </w:t>
      </w:r>
      <w:r w:rsidR="004756C1" w:rsidRPr="002F50BD">
        <w:rPr>
          <w:rFonts w:ascii="Verdana" w:hAnsi="Verdana"/>
          <w:sz w:val="20"/>
          <w:lang w:val="pt-BR"/>
        </w:rPr>
        <w:t>realiza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uma inspeção</w:t>
      </w:r>
      <w:r w:rsidR="004756C1" w:rsidRPr="002F50BD">
        <w:rPr>
          <w:rFonts w:ascii="Verdana" w:hAnsi="Verdana"/>
          <w:sz w:val="20"/>
          <w:lang w:val="pt-BR"/>
        </w:rPr>
        <w:t xml:space="preserve"> judicial</w:t>
      </w:r>
      <w:r w:rsidR="0089298C" w:rsidRPr="002F50BD">
        <w:rPr>
          <w:rFonts w:ascii="Verdana" w:hAnsi="Verdana"/>
          <w:sz w:val="20"/>
          <w:lang w:val="pt-BR"/>
        </w:rPr>
        <w:t xml:space="preserve"> na </w:t>
      </w:r>
      <w:r w:rsidR="004756C1" w:rsidRPr="002F50BD">
        <w:rPr>
          <w:rFonts w:ascii="Verdana" w:hAnsi="Verdana"/>
          <w:sz w:val="20"/>
          <w:lang w:val="pt-BR"/>
        </w:rPr>
        <w:t xml:space="preserve">referida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E57D41" w:rsidRPr="002F50BD">
        <w:rPr>
          <w:rFonts w:ascii="Verdana" w:hAnsi="Verdana"/>
          <w:sz w:val="20"/>
          <w:lang w:val="pt-BR"/>
        </w:rPr>
        <w:t xml:space="preserve">para </w:t>
      </w:r>
      <w:r w:rsidR="004756C1" w:rsidRPr="002F50BD">
        <w:rPr>
          <w:rFonts w:ascii="Verdana" w:hAnsi="Verdana"/>
          <w:sz w:val="20"/>
          <w:lang w:val="pt-BR"/>
        </w:rPr>
        <w:t>constatar</w:t>
      </w:r>
      <w:r w:rsidR="0089298C" w:rsidRPr="002F50BD">
        <w:rPr>
          <w:rFonts w:ascii="Verdana" w:hAnsi="Verdana"/>
          <w:sz w:val="20"/>
          <w:lang w:val="pt-BR"/>
        </w:rPr>
        <w:t xml:space="preserve"> os fatos</w:t>
      </w:r>
      <w:r w:rsidR="004756C1" w:rsidRPr="002F50BD">
        <w:rPr>
          <w:rFonts w:ascii="Verdana" w:hAnsi="Verdana"/>
          <w:sz w:val="20"/>
          <w:lang w:val="pt-BR"/>
        </w:rPr>
        <w:t xml:space="preserve"> denunciados</w:t>
      </w:r>
      <w:r w:rsidR="00E57D41" w:rsidRPr="002F50BD">
        <w:rPr>
          <w:rFonts w:ascii="Verdana" w:hAnsi="Verdana"/>
          <w:sz w:val="20"/>
          <w:lang w:val="pt-BR"/>
        </w:rPr>
        <w:t>.</w:t>
      </w:r>
      <w:r w:rsidR="004756C1" w:rsidRPr="002F50BD">
        <w:rPr>
          <w:rStyle w:val="FootnoteReference"/>
          <w:rFonts w:ascii="Verdana" w:hAnsi="Verdana"/>
          <w:lang w:val="es-ES_tradnl"/>
        </w:rPr>
        <w:footnoteReference w:id="140"/>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84</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24</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2000</w:t>
      </w:r>
      <w:r w:rsidR="00546E27" w:rsidRPr="002F50BD">
        <w:rPr>
          <w:rFonts w:ascii="Verdana" w:hAnsi="Verdana"/>
          <w:sz w:val="20"/>
          <w:lang w:val="pt-BR"/>
        </w:rPr>
        <w:t>,</w:t>
      </w:r>
      <w:r w:rsidR="0089298C" w:rsidRPr="002F50BD">
        <w:rPr>
          <w:rFonts w:ascii="Verdana" w:hAnsi="Verdana"/>
          <w:sz w:val="20"/>
          <w:lang w:val="pt-BR"/>
        </w:rPr>
        <w:t xml:space="preserve"> o juiz da </w:t>
      </w:r>
      <w:r w:rsidR="004756C1" w:rsidRPr="002F50BD">
        <w:rPr>
          <w:rFonts w:ascii="Verdana" w:hAnsi="Verdana"/>
          <w:sz w:val="20"/>
          <w:lang w:val="pt-BR"/>
        </w:rPr>
        <w:t>causa traslad</w:t>
      </w:r>
      <w:r w:rsidR="00E57D41" w:rsidRPr="002F50BD">
        <w:rPr>
          <w:rFonts w:ascii="Verdana" w:hAnsi="Verdana"/>
          <w:sz w:val="20"/>
          <w:lang w:val="pt-BR"/>
        </w:rPr>
        <w:t>ou-se</w:t>
      </w:r>
      <w:r w:rsidR="0089298C" w:rsidRPr="002F50BD">
        <w:rPr>
          <w:rFonts w:ascii="Verdana" w:hAnsi="Verdana"/>
          <w:sz w:val="20"/>
          <w:lang w:val="pt-BR"/>
        </w:rPr>
        <w:t xml:space="preserve"> à </w:t>
      </w:r>
      <w:r w:rsidR="00060B3A" w:rsidRPr="002F50BD">
        <w:rPr>
          <w:rFonts w:ascii="Verdana" w:hAnsi="Verdana"/>
          <w:i/>
          <w:sz w:val="20"/>
          <w:lang w:val="pt-BR"/>
        </w:rPr>
        <w:t>Estancia Loma Verde</w:t>
      </w:r>
      <w:r w:rsidR="0089298C" w:rsidRPr="002F50BD">
        <w:rPr>
          <w:rFonts w:ascii="Verdana" w:hAnsi="Verdana"/>
          <w:sz w:val="20"/>
          <w:lang w:val="pt-BR"/>
        </w:rPr>
        <w:t xml:space="preserve"> e constatou a existência</w:t>
      </w:r>
      <w:r w:rsidR="004756C1" w:rsidRPr="002F50BD">
        <w:rPr>
          <w:rFonts w:ascii="Verdana" w:hAnsi="Verdana"/>
          <w:sz w:val="20"/>
          <w:lang w:val="pt-BR"/>
        </w:rPr>
        <w:t xml:space="preserve"> de</w:t>
      </w:r>
      <w:r w:rsidR="0089298C" w:rsidRPr="002F50BD">
        <w:rPr>
          <w:rFonts w:ascii="Verdana" w:hAnsi="Verdana"/>
          <w:sz w:val="20"/>
          <w:lang w:val="pt-BR"/>
        </w:rPr>
        <w:t xml:space="preserve"> três </w:t>
      </w:r>
      <w:r w:rsidR="00E57D41" w:rsidRPr="002F50BD">
        <w:rPr>
          <w:rFonts w:ascii="Verdana" w:hAnsi="Verdana"/>
          <w:sz w:val="20"/>
          <w:lang w:val="pt-BR"/>
        </w:rPr>
        <w:t xml:space="preserve">caixas </w:t>
      </w:r>
      <w:r w:rsidR="004756C1" w:rsidRPr="002F50BD">
        <w:rPr>
          <w:rFonts w:ascii="Verdana" w:hAnsi="Verdana"/>
          <w:sz w:val="20"/>
          <w:lang w:val="pt-BR"/>
        </w:rPr>
        <w:t>para apicultura</w:t>
      </w:r>
      <w:r w:rsidR="0089298C" w:rsidRPr="002F50BD">
        <w:rPr>
          <w:rFonts w:ascii="Verdana" w:hAnsi="Verdana"/>
          <w:sz w:val="20"/>
          <w:lang w:val="pt-BR"/>
        </w:rPr>
        <w:t xml:space="preserve"> no </w:t>
      </w:r>
      <w:r w:rsidR="004756C1" w:rsidRPr="002F50BD">
        <w:rPr>
          <w:rFonts w:ascii="Verdana" w:hAnsi="Verdana"/>
          <w:sz w:val="20"/>
          <w:lang w:val="pt-BR"/>
        </w:rPr>
        <w:t xml:space="preserve">interior </w:t>
      </w:r>
      <w:r w:rsidR="0089298C" w:rsidRPr="002F50BD">
        <w:rPr>
          <w:rFonts w:ascii="Verdana" w:hAnsi="Verdana"/>
          <w:sz w:val="20"/>
          <w:lang w:val="pt-BR"/>
        </w:rPr>
        <w:t>deste</w:t>
      </w:r>
      <w:r w:rsidR="004756C1" w:rsidRPr="002F50BD">
        <w:rPr>
          <w:rFonts w:ascii="Verdana" w:hAnsi="Verdana"/>
          <w:sz w:val="20"/>
          <w:lang w:val="pt-BR"/>
        </w:rPr>
        <w:t xml:space="preserve"> </w:t>
      </w:r>
      <w:r w:rsidR="0089298C" w:rsidRPr="002F50BD">
        <w:rPr>
          <w:rFonts w:ascii="Verdana" w:hAnsi="Verdana"/>
          <w:sz w:val="20"/>
          <w:lang w:val="pt-BR"/>
        </w:rPr>
        <w:t>imóvel</w:t>
      </w:r>
      <w:r w:rsidR="004756C1" w:rsidRPr="002F50BD">
        <w:rPr>
          <w:rFonts w:ascii="Verdana" w:hAnsi="Verdana"/>
          <w:sz w:val="20"/>
          <w:lang w:val="pt-BR"/>
        </w:rPr>
        <w:t>,</w:t>
      </w:r>
      <w:r w:rsidR="0089298C" w:rsidRPr="002F50BD">
        <w:rPr>
          <w:rFonts w:ascii="Verdana" w:hAnsi="Verdana"/>
          <w:sz w:val="20"/>
          <w:lang w:val="pt-BR"/>
        </w:rPr>
        <w:t xml:space="preserve"> </w:t>
      </w:r>
      <w:r w:rsidR="00E57D41" w:rsidRPr="002F50BD">
        <w:rPr>
          <w:rFonts w:ascii="Verdana" w:hAnsi="Verdana"/>
          <w:sz w:val="20"/>
          <w:lang w:val="pt-BR"/>
        </w:rPr>
        <w:t xml:space="preserve">de maneira que ordenou o confisco </w:t>
      </w:r>
      <w:r w:rsidR="0089298C" w:rsidRPr="002F50BD">
        <w:rPr>
          <w:rFonts w:ascii="Verdana" w:hAnsi="Verdana"/>
          <w:sz w:val="20"/>
          <w:lang w:val="pt-BR"/>
        </w:rPr>
        <w:t>d</w:t>
      </w:r>
      <w:r w:rsidR="00E57D41" w:rsidRPr="002F50BD">
        <w:rPr>
          <w:rFonts w:ascii="Verdana" w:hAnsi="Verdana"/>
          <w:sz w:val="20"/>
          <w:lang w:val="pt-BR"/>
        </w:rPr>
        <w:t>a</w:t>
      </w:r>
      <w:r w:rsidR="0089298C" w:rsidRPr="002F50BD">
        <w:rPr>
          <w:rFonts w:ascii="Verdana" w:hAnsi="Verdana"/>
          <w:sz w:val="20"/>
          <w:lang w:val="pt-BR"/>
        </w:rPr>
        <w:t>s mesm</w:t>
      </w:r>
      <w:r w:rsidR="00E57D41" w:rsidRPr="002F50BD">
        <w:rPr>
          <w:rFonts w:ascii="Verdana" w:hAnsi="Verdana"/>
          <w:sz w:val="20"/>
          <w:lang w:val="pt-BR"/>
        </w:rPr>
        <w:t>a</w:t>
      </w:r>
      <w:r w:rsidR="004756C1" w:rsidRPr="002F50BD">
        <w:rPr>
          <w:rFonts w:ascii="Verdana" w:hAnsi="Verdana"/>
          <w:sz w:val="20"/>
          <w:lang w:val="pt-BR"/>
        </w:rPr>
        <w:t>s</w:t>
      </w:r>
      <w:r w:rsidR="0089298C" w:rsidRPr="002F50BD">
        <w:rPr>
          <w:rFonts w:ascii="Verdana" w:hAnsi="Verdana"/>
          <w:sz w:val="20"/>
          <w:lang w:val="pt-BR"/>
        </w:rPr>
        <w:t xml:space="preserve"> e </w:t>
      </w:r>
      <w:r w:rsidR="00546E27" w:rsidRPr="002F50BD">
        <w:rPr>
          <w:rFonts w:ascii="Verdana" w:hAnsi="Verdana"/>
          <w:sz w:val="20"/>
          <w:lang w:val="pt-BR"/>
        </w:rPr>
        <w:t>o</w:t>
      </w:r>
      <w:r w:rsidR="004756C1" w:rsidRPr="002F50BD">
        <w:rPr>
          <w:rFonts w:ascii="Verdana" w:hAnsi="Verdana"/>
          <w:sz w:val="20"/>
          <w:lang w:val="pt-BR"/>
        </w:rPr>
        <w:t xml:space="preserve"> respectivo depósito</w:t>
      </w:r>
      <w:r w:rsidR="0089298C" w:rsidRPr="002F50BD">
        <w:rPr>
          <w:rFonts w:ascii="Verdana" w:hAnsi="Verdana"/>
          <w:sz w:val="20"/>
          <w:lang w:val="pt-BR"/>
        </w:rPr>
        <w:t xml:space="preserve"> n</w:t>
      </w:r>
      <w:r w:rsidR="00E57D41" w:rsidRPr="002F50BD">
        <w:rPr>
          <w:rFonts w:ascii="Verdana" w:hAnsi="Verdana"/>
          <w:sz w:val="20"/>
          <w:lang w:val="pt-BR"/>
        </w:rPr>
        <w:t xml:space="preserve">aquele </w:t>
      </w:r>
      <w:r w:rsidR="004756C1" w:rsidRPr="002F50BD">
        <w:rPr>
          <w:rFonts w:ascii="Verdana" w:hAnsi="Verdana"/>
          <w:sz w:val="20"/>
          <w:lang w:val="pt-BR"/>
        </w:rPr>
        <w:t>tribunal</w:t>
      </w:r>
      <w:r w:rsidR="00E57D41" w:rsidRPr="002F50BD">
        <w:rPr>
          <w:rFonts w:ascii="Verdana" w:hAnsi="Verdana"/>
          <w:sz w:val="20"/>
          <w:lang w:val="pt-BR"/>
        </w:rPr>
        <w:t>.</w:t>
      </w:r>
      <w:r w:rsidR="004756C1" w:rsidRPr="002F50BD">
        <w:rPr>
          <w:rStyle w:val="FootnoteReference"/>
          <w:rFonts w:ascii="Verdana" w:hAnsi="Verdana"/>
          <w:lang w:val="es-ES_tradnl"/>
        </w:rPr>
        <w:footnoteReference w:id="141"/>
      </w:r>
      <w:r w:rsidR="004756C1" w:rsidRPr="002F50BD">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30</w:t>
      </w:r>
      <w:r w:rsidR="004756C1" w:rsidRPr="002F50BD">
        <w:rPr>
          <w:rFonts w:ascii="Verdana" w:hAnsi="Verdana"/>
          <w:sz w:val="20"/>
          <w:lang w:val="pt-BR"/>
        </w:rPr>
        <w:t xml:space="preserve"> de agosto de </w:t>
      </w:r>
      <w:r w:rsidRPr="002F50BD">
        <w:rPr>
          <w:rFonts w:ascii="Verdana" w:hAnsi="Verdana"/>
          <w:sz w:val="20"/>
          <w:lang w:val="pt-BR"/>
        </w:rPr>
        <w:t>2000</w:t>
      </w:r>
      <w:r w:rsidR="006D28A8" w:rsidRPr="002F50BD">
        <w:rPr>
          <w:rFonts w:ascii="Verdana" w:hAnsi="Verdana"/>
          <w:sz w:val="20"/>
          <w:lang w:val="pt-BR"/>
        </w:rPr>
        <w:t>,</w:t>
      </w:r>
      <w:r w:rsidR="0089298C" w:rsidRPr="002F50BD">
        <w:rPr>
          <w:rFonts w:ascii="Verdana" w:hAnsi="Verdana"/>
          <w:sz w:val="20"/>
          <w:lang w:val="pt-BR"/>
        </w:rPr>
        <w:t xml:space="preserve"> o juiz da </w:t>
      </w:r>
      <w:r w:rsidR="004756C1" w:rsidRPr="002F50BD">
        <w:rPr>
          <w:rFonts w:ascii="Verdana" w:hAnsi="Verdana"/>
          <w:sz w:val="20"/>
          <w:lang w:val="pt-BR"/>
        </w:rPr>
        <w:t xml:space="preserve">causa </w:t>
      </w:r>
      <w:r w:rsidR="00D70CD3" w:rsidRPr="002F50BD">
        <w:rPr>
          <w:rFonts w:ascii="Verdana" w:hAnsi="Verdana"/>
          <w:sz w:val="20"/>
          <w:lang w:val="pt-BR"/>
        </w:rPr>
        <w:t xml:space="preserve">ordenou, </w:t>
      </w:r>
      <w:r w:rsidR="004756C1" w:rsidRPr="002F50BD">
        <w:rPr>
          <w:rFonts w:ascii="Verdana" w:hAnsi="Verdana"/>
          <w:sz w:val="20"/>
          <w:lang w:val="pt-BR"/>
        </w:rPr>
        <w:t>como medida cautelar</w:t>
      </w:r>
      <w:r w:rsidR="00D70CD3"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“a proibição aos </w:t>
      </w:r>
      <w:r w:rsidR="004756C1" w:rsidRPr="002F50BD">
        <w:rPr>
          <w:rFonts w:ascii="Verdana" w:hAnsi="Verdana"/>
          <w:sz w:val="20"/>
          <w:lang w:val="pt-BR"/>
        </w:rPr>
        <w:t xml:space="preserve">indígenas que se </w:t>
      </w:r>
      <w:r w:rsidR="00D70CD3" w:rsidRPr="002F50BD">
        <w:rPr>
          <w:rFonts w:ascii="Verdana" w:hAnsi="Verdana"/>
          <w:sz w:val="20"/>
          <w:lang w:val="pt-BR"/>
        </w:rPr>
        <w:t xml:space="preserve">encontram </w:t>
      </w:r>
      <w:r w:rsidR="00E7595C" w:rsidRPr="002F50BD">
        <w:rPr>
          <w:rFonts w:ascii="Verdana" w:hAnsi="Verdana"/>
          <w:sz w:val="20"/>
          <w:lang w:val="pt-BR"/>
        </w:rPr>
        <w:t>assentad</w:t>
      </w:r>
      <w:r w:rsidR="004756C1" w:rsidRPr="002F50BD">
        <w:rPr>
          <w:rFonts w:ascii="Verdana" w:hAnsi="Verdana"/>
          <w:sz w:val="20"/>
          <w:lang w:val="pt-BR"/>
        </w:rPr>
        <w:t>os sobre</w:t>
      </w:r>
      <w:r w:rsidR="0089298C" w:rsidRPr="002F50BD">
        <w:rPr>
          <w:rFonts w:ascii="Verdana" w:hAnsi="Verdana"/>
          <w:sz w:val="20"/>
          <w:lang w:val="pt-BR"/>
        </w:rPr>
        <w:t xml:space="preserve"> o </w:t>
      </w:r>
      <w:r w:rsidR="00D70CD3" w:rsidRPr="002F50BD">
        <w:rPr>
          <w:rFonts w:ascii="Verdana" w:hAnsi="Verdana"/>
          <w:sz w:val="20"/>
          <w:lang w:val="pt-BR"/>
        </w:rPr>
        <w:t>traç</w:t>
      </w:r>
      <w:r w:rsidR="004756C1" w:rsidRPr="002F50BD">
        <w:rPr>
          <w:rFonts w:ascii="Verdana" w:hAnsi="Verdana"/>
          <w:sz w:val="20"/>
          <w:lang w:val="pt-BR"/>
        </w:rPr>
        <w:t>ado</w:t>
      </w:r>
      <w:r w:rsidR="0089298C" w:rsidRPr="002F50BD">
        <w:rPr>
          <w:rFonts w:ascii="Verdana" w:hAnsi="Verdana"/>
          <w:sz w:val="20"/>
          <w:lang w:val="pt-BR"/>
        </w:rPr>
        <w:t xml:space="preserve"> da </w:t>
      </w:r>
      <w:r w:rsidR="00D70CD3" w:rsidRPr="002F50BD">
        <w:rPr>
          <w:rFonts w:ascii="Verdana" w:hAnsi="Verdana"/>
          <w:sz w:val="20"/>
          <w:lang w:val="pt-BR"/>
        </w:rPr>
        <w:t>Estrada</w:t>
      </w:r>
      <w:r w:rsidR="004756C1" w:rsidRPr="002F50BD">
        <w:rPr>
          <w:rFonts w:ascii="Verdana" w:hAnsi="Verdana"/>
          <w:sz w:val="20"/>
          <w:lang w:val="pt-BR"/>
        </w:rPr>
        <w:t xml:space="preserve"> </w:t>
      </w:r>
      <w:r w:rsidR="00313394" w:rsidRPr="002F50BD">
        <w:rPr>
          <w:rFonts w:ascii="Verdana" w:hAnsi="Verdana"/>
          <w:sz w:val="20"/>
          <w:lang w:val="pt-BR"/>
        </w:rPr>
        <w:t>Concepción</w:t>
      </w:r>
      <w:r w:rsidR="004756C1" w:rsidRPr="002F50BD">
        <w:rPr>
          <w:rFonts w:ascii="Verdana" w:hAnsi="Verdana"/>
          <w:sz w:val="20"/>
          <w:lang w:val="pt-BR"/>
        </w:rPr>
        <w:t>-Pozo Colorado, liderados por Tomas Galeano</w:t>
      </w:r>
      <w:r w:rsidR="0089298C" w:rsidRPr="002F50BD">
        <w:rPr>
          <w:rFonts w:ascii="Verdana" w:hAnsi="Verdana"/>
          <w:sz w:val="20"/>
          <w:lang w:val="pt-BR"/>
        </w:rPr>
        <w:t xml:space="preserve"> e </w:t>
      </w:r>
      <w:r w:rsidR="004756C1" w:rsidRPr="002F50BD">
        <w:rPr>
          <w:rFonts w:ascii="Verdana" w:hAnsi="Verdana"/>
          <w:sz w:val="20"/>
          <w:lang w:val="pt-BR"/>
        </w:rPr>
        <w:t xml:space="preserve">Esteban López, </w:t>
      </w:r>
      <w:r w:rsidR="00D70CD3" w:rsidRPr="002F50BD">
        <w:rPr>
          <w:rFonts w:ascii="Verdana" w:hAnsi="Verdana"/>
          <w:sz w:val="20"/>
          <w:lang w:val="pt-BR"/>
        </w:rPr>
        <w:t xml:space="preserve">de </w:t>
      </w:r>
      <w:r w:rsidR="0089298C" w:rsidRPr="002F50BD">
        <w:rPr>
          <w:rFonts w:ascii="Verdana" w:hAnsi="Verdana"/>
          <w:sz w:val="20"/>
          <w:lang w:val="pt-BR"/>
        </w:rPr>
        <w:t xml:space="preserve">ingressar </w:t>
      </w:r>
      <w:r w:rsidR="00D70CD3" w:rsidRPr="002F50BD">
        <w:rPr>
          <w:rFonts w:ascii="Verdana" w:hAnsi="Verdana"/>
          <w:sz w:val="20"/>
          <w:lang w:val="pt-BR"/>
        </w:rPr>
        <w:t xml:space="preserve">na </w:t>
      </w:r>
      <w:r w:rsidR="0089298C" w:rsidRPr="002F50BD">
        <w:rPr>
          <w:rFonts w:ascii="Verdana" w:hAnsi="Verdana"/>
          <w:sz w:val="20"/>
          <w:lang w:val="pt-BR"/>
        </w:rPr>
        <w:t xml:space="preserve">propriedade da </w:t>
      </w:r>
      <w:r w:rsidR="004756C1" w:rsidRPr="002F50BD">
        <w:rPr>
          <w:rFonts w:ascii="Verdana" w:hAnsi="Verdana"/>
          <w:i/>
          <w:sz w:val="20"/>
          <w:lang w:val="pt-BR"/>
        </w:rPr>
        <w:t>Estancia ‘Loma Verde’</w:t>
      </w:r>
      <w:r w:rsidR="004756C1" w:rsidRPr="002F50BD">
        <w:rPr>
          <w:rFonts w:ascii="Verdana" w:hAnsi="Verdana"/>
          <w:sz w:val="20"/>
          <w:lang w:val="pt-BR"/>
        </w:rPr>
        <w:t>, de</w:t>
      </w:r>
      <w:r w:rsidR="00D70CD3" w:rsidRPr="002F50BD">
        <w:rPr>
          <w:rFonts w:ascii="Verdana" w:hAnsi="Verdana"/>
          <w:sz w:val="20"/>
          <w:lang w:val="pt-BR"/>
        </w:rPr>
        <w:t xml:space="preserve">vendo </w:t>
      </w:r>
      <w:r w:rsidR="00AB454A" w:rsidRPr="002F50BD">
        <w:rPr>
          <w:rFonts w:ascii="Verdana" w:hAnsi="Verdana"/>
          <w:sz w:val="20"/>
          <w:lang w:val="pt-BR"/>
        </w:rPr>
        <w:t>abster-se</w:t>
      </w:r>
      <w:r w:rsidR="004756C1" w:rsidRPr="002F50BD">
        <w:rPr>
          <w:rFonts w:ascii="Verdana" w:hAnsi="Verdana"/>
          <w:sz w:val="20"/>
          <w:lang w:val="pt-BR"/>
        </w:rPr>
        <w:t xml:space="preserve"> de realizar</w:t>
      </w:r>
      <w:r w:rsidR="0089298C" w:rsidRPr="002F50BD">
        <w:rPr>
          <w:rFonts w:ascii="Verdana" w:hAnsi="Verdana"/>
          <w:sz w:val="20"/>
          <w:lang w:val="pt-BR"/>
        </w:rPr>
        <w:t xml:space="preserve"> atos</w:t>
      </w:r>
      <w:r w:rsidR="004756C1" w:rsidRPr="002F50BD">
        <w:rPr>
          <w:rFonts w:ascii="Verdana" w:hAnsi="Verdana"/>
          <w:sz w:val="20"/>
          <w:lang w:val="pt-BR"/>
        </w:rPr>
        <w:t xml:space="preserve"> de </w:t>
      </w:r>
      <w:r w:rsidR="00D70CD3" w:rsidRPr="002F50BD">
        <w:rPr>
          <w:rFonts w:ascii="Verdana" w:hAnsi="Verdana"/>
          <w:sz w:val="20"/>
          <w:lang w:val="pt-BR"/>
        </w:rPr>
        <w:t>caça</w:t>
      </w:r>
      <w:r w:rsidR="004756C1" w:rsidRPr="002F50BD">
        <w:rPr>
          <w:rFonts w:ascii="Verdana" w:hAnsi="Verdana"/>
          <w:sz w:val="20"/>
          <w:lang w:val="pt-BR"/>
        </w:rPr>
        <w:t xml:space="preserve">, </w:t>
      </w:r>
      <w:r w:rsidR="00D70CD3" w:rsidRPr="002F50BD">
        <w:rPr>
          <w:rFonts w:ascii="Verdana" w:hAnsi="Verdana"/>
          <w:sz w:val="20"/>
          <w:lang w:val="pt-BR"/>
        </w:rPr>
        <w:t xml:space="preserve">corte </w:t>
      </w:r>
      <w:r w:rsidR="004756C1" w:rsidRPr="002F50BD">
        <w:rPr>
          <w:rFonts w:ascii="Verdana" w:hAnsi="Verdana"/>
          <w:sz w:val="20"/>
          <w:lang w:val="pt-BR"/>
        </w:rPr>
        <w:t xml:space="preserve">de </w:t>
      </w:r>
      <w:r w:rsidR="00AB454A" w:rsidRPr="002F50BD">
        <w:rPr>
          <w:rFonts w:ascii="Verdana" w:hAnsi="Verdana"/>
          <w:sz w:val="20"/>
          <w:lang w:val="pt-BR"/>
        </w:rPr>
        <w:t>árvores</w:t>
      </w:r>
      <w:r w:rsidR="0089298C" w:rsidRPr="002F50BD">
        <w:rPr>
          <w:rFonts w:ascii="Verdana" w:hAnsi="Verdana"/>
          <w:sz w:val="20"/>
          <w:lang w:val="pt-BR"/>
        </w:rPr>
        <w:t xml:space="preserve"> e outra</w:t>
      </w:r>
      <w:r w:rsidR="004756C1" w:rsidRPr="002F50BD">
        <w:rPr>
          <w:rFonts w:ascii="Verdana" w:hAnsi="Verdana"/>
          <w:sz w:val="20"/>
          <w:lang w:val="pt-BR"/>
        </w:rPr>
        <w:t xml:space="preserve">s </w:t>
      </w:r>
      <w:r w:rsidR="0089298C" w:rsidRPr="002F50BD">
        <w:rPr>
          <w:rFonts w:ascii="Verdana" w:hAnsi="Verdana"/>
          <w:sz w:val="20"/>
          <w:lang w:val="pt-BR"/>
        </w:rPr>
        <w:t>ativ</w:t>
      </w:r>
      <w:r w:rsidR="004756C1" w:rsidRPr="002F50BD">
        <w:rPr>
          <w:rFonts w:ascii="Verdana" w:hAnsi="Verdana"/>
          <w:sz w:val="20"/>
          <w:lang w:val="pt-BR"/>
        </w:rPr>
        <w:t>idades dentro</w:t>
      </w:r>
      <w:r w:rsidR="0089298C" w:rsidRPr="002F50BD">
        <w:rPr>
          <w:rFonts w:ascii="Verdana" w:hAnsi="Verdana"/>
          <w:sz w:val="20"/>
          <w:lang w:val="pt-BR"/>
        </w:rPr>
        <w:t xml:space="preserve"> da mesm</w:t>
      </w:r>
      <w:r w:rsidR="004756C1" w:rsidRPr="002F50BD">
        <w:rPr>
          <w:rFonts w:ascii="Verdana" w:hAnsi="Verdana"/>
          <w:sz w:val="20"/>
          <w:lang w:val="pt-BR"/>
        </w:rPr>
        <w:t>a”.</w:t>
      </w:r>
      <w:r w:rsidR="00FE08B7">
        <w:rPr>
          <w:rFonts w:ascii="Verdana" w:hAnsi="Verdana"/>
          <w:sz w:val="20"/>
          <w:lang w:val="pt-BR"/>
        </w:rPr>
        <w:t xml:space="preserve"> </w:t>
      </w:r>
      <w:r w:rsidR="00D70CD3" w:rsidRPr="002F50BD">
        <w:rPr>
          <w:rFonts w:ascii="Verdana" w:hAnsi="Verdana"/>
          <w:sz w:val="20"/>
          <w:lang w:val="pt-BR"/>
        </w:rPr>
        <w:t>Além disso</w:t>
      </w:r>
      <w:r w:rsidR="004756C1" w:rsidRPr="002F50BD">
        <w:rPr>
          <w:rFonts w:ascii="Verdana" w:hAnsi="Verdana"/>
          <w:sz w:val="20"/>
          <w:lang w:val="pt-BR"/>
        </w:rPr>
        <w:t xml:space="preserve">, </w:t>
      </w:r>
      <w:r w:rsidR="0089298C" w:rsidRPr="002F50BD">
        <w:rPr>
          <w:rFonts w:ascii="Verdana" w:hAnsi="Verdana"/>
          <w:sz w:val="20"/>
          <w:lang w:val="pt-BR"/>
        </w:rPr>
        <w:t>ordenou aos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w:t>
      </w:r>
      <w:r w:rsidR="00546E27" w:rsidRPr="002F50BD">
        <w:rPr>
          <w:rFonts w:ascii="Verdana" w:hAnsi="Verdana"/>
          <w:sz w:val="20"/>
          <w:lang w:val="pt-BR"/>
        </w:rPr>
        <w:t xml:space="preserve">que se </w:t>
      </w:r>
      <w:r w:rsidR="00AB454A" w:rsidRPr="002F50BD">
        <w:rPr>
          <w:rFonts w:ascii="Verdana" w:hAnsi="Verdana"/>
          <w:sz w:val="20"/>
          <w:lang w:val="pt-BR"/>
        </w:rPr>
        <w:t>abste</w:t>
      </w:r>
      <w:r w:rsidR="00546E27" w:rsidRPr="002F50BD">
        <w:rPr>
          <w:rFonts w:ascii="Verdana" w:hAnsi="Verdana"/>
          <w:sz w:val="20"/>
          <w:lang w:val="pt-BR"/>
        </w:rPr>
        <w:t>nham</w:t>
      </w:r>
      <w:r w:rsidR="004756C1" w:rsidRPr="002F50BD">
        <w:rPr>
          <w:rFonts w:ascii="Verdana" w:hAnsi="Verdana"/>
          <w:sz w:val="20"/>
          <w:lang w:val="pt-BR"/>
        </w:rPr>
        <w:t xml:space="preserve"> de consumir</w:t>
      </w:r>
      <w:r w:rsidR="00AB454A" w:rsidRPr="002F50BD">
        <w:rPr>
          <w:rFonts w:ascii="Verdana" w:hAnsi="Verdana"/>
          <w:sz w:val="20"/>
          <w:lang w:val="pt-BR"/>
        </w:rPr>
        <w:t xml:space="preserve"> água </w:t>
      </w:r>
      <w:r w:rsidR="0089298C" w:rsidRPr="002F50BD">
        <w:rPr>
          <w:rFonts w:ascii="Verdana" w:hAnsi="Verdana"/>
          <w:sz w:val="20"/>
          <w:lang w:val="pt-BR"/>
        </w:rPr>
        <w:t xml:space="preserve">do </w:t>
      </w:r>
      <w:r w:rsidR="00D70CD3" w:rsidRPr="002F50BD">
        <w:rPr>
          <w:rFonts w:ascii="Verdana" w:hAnsi="Verdana"/>
          <w:sz w:val="20"/>
          <w:lang w:val="pt-BR"/>
        </w:rPr>
        <w:t>açude</w:t>
      </w:r>
      <w:r w:rsidR="00914F6C" w:rsidRPr="002F50BD">
        <w:rPr>
          <w:rFonts w:ascii="Verdana" w:hAnsi="Verdana"/>
          <w:sz w:val="20"/>
          <w:lang w:val="pt-BR"/>
        </w:rPr>
        <w:t>, do qual usualmente consomem,</w:t>
      </w:r>
      <w:r w:rsidR="00FE08B7">
        <w:rPr>
          <w:rFonts w:ascii="Verdana" w:hAnsi="Verdana"/>
          <w:sz w:val="20"/>
          <w:lang w:val="pt-BR"/>
        </w:rPr>
        <w:t xml:space="preserve"> </w:t>
      </w:r>
      <w:r w:rsidR="00914F6C" w:rsidRPr="002F50BD">
        <w:rPr>
          <w:rFonts w:ascii="Verdana" w:hAnsi="Verdana"/>
          <w:sz w:val="20"/>
          <w:lang w:val="pt-BR"/>
        </w:rPr>
        <w:t xml:space="preserve">localizado </w:t>
      </w:r>
      <w:r w:rsidR="004756C1" w:rsidRPr="002F50BD">
        <w:rPr>
          <w:rFonts w:ascii="Verdana" w:hAnsi="Verdana"/>
          <w:sz w:val="20"/>
          <w:lang w:val="pt-BR"/>
        </w:rPr>
        <w:t xml:space="preserve">dentro </w:t>
      </w:r>
      <w:r w:rsidR="0089298C" w:rsidRPr="002F50BD">
        <w:rPr>
          <w:rFonts w:ascii="Verdana" w:hAnsi="Verdana"/>
          <w:sz w:val="20"/>
          <w:lang w:val="pt-BR"/>
        </w:rPr>
        <w:t>do estabelecimento</w:t>
      </w:r>
      <w:r w:rsidR="004756C1" w:rsidRPr="002F50BD">
        <w:rPr>
          <w:rFonts w:ascii="Verdana" w:hAnsi="Verdana"/>
          <w:sz w:val="20"/>
          <w:lang w:val="pt-BR"/>
        </w:rPr>
        <w:t xml:space="preserve"> </w:t>
      </w:r>
      <w:r w:rsidR="004756C1" w:rsidRPr="002F50BD">
        <w:rPr>
          <w:rFonts w:ascii="Verdana" w:hAnsi="Verdana"/>
          <w:sz w:val="20"/>
          <w:lang w:val="pt-BR"/>
        </w:rPr>
        <w:lastRenderedPageBreak/>
        <w:t>mencionado”</w:t>
      </w:r>
      <w:r w:rsidR="00D70CD3" w:rsidRPr="002F50BD">
        <w:rPr>
          <w:rFonts w:ascii="Verdana" w:hAnsi="Verdana"/>
          <w:sz w:val="20"/>
          <w:lang w:val="pt-BR"/>
        </w:rPr>
        <w:t>.</w:t>
      </w:r>
      <w:r w:rsidR="004756C1" w:rsidRPr="002F50BD">
        <w:rPr>
          <w:rStyle w:val="FootnoteReference"/>
          <w:rFonts w:ascii="Verdana" w:hAnsi="Verdana"/>
          <w:lang w:val="es-ES_tradnl"/>
        </w:rPr>
        <w:footnoteReference w:id="142"/>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86</w:t>
      </w:r>
      <w:r w:rsidR="004756C1" w:rsidRPr="002F50BD">
        <w:rPr>
          <w:rFonts w:ascii="Verdana" w:hAnsi="Verdana"/>
          <w:sz w:val="20"/>
          <w:lang w:val="pt-BR"/>
        </w:rPr>
        <w:t>.</w:t>
      </w:r>
      <w:r w:rsidR="004756C1" w:rsidRPr="002F50BD">
        <w:rPr>
          <w:rFonts w:ascii="Verdana" w:hAnsi="Verdana"/>
          <w:sz w:val="20"/>
          <w:lang w:val="pt-BR"/>
        </w:rPr>
        <w:tab/>
      </w:r>
      <w:r w:rsidR="00D70CD3" w:rsidRPr="002F50BD">
        <w:rPr>
          <w:rFonts w:ascii="Verdana" w:hAnsi="Verdana"/>
          <w:sz w:val="20"/>
          <w:lang w:val="pt-BR"/>
        </w:rPr>
        <w:t>No</w:t>
      </w:r>
      <w:r w:rsidR="00AB6727" w:rsidRPr="002F50BD">
        <w:rPr>
          <w:rFonts w:ascii="Verdana" w:hAnsi="Verdana"/>
          <w:sz w:val="20"/>
          <w:lang w:val="pt-BR"/>
        </w:rPr>
        <w:t xml:space="preserve">s </w:t>
      </w:r>
      <w:r w:rsidR="0089298C"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5</w:t>
      </w:r>
      <w:r w:rsidR="0089298C" w:rsidRPr="002F50BD">
        <w:rPr>
          <w:rFonts w:ascii="Verdana" w:hAnsi="Verdana"/>
          <w:sz w:val="20"/>
          <w:lang w:val="pt-BR"/>
        </w:rPr>
        <w:t xml:space="preserve"> e </w:t>
      </w:r>
      <w:r w:rsidRPr="002F50BD">
        <w:rPr>
          <w:rFonts w:ascii="Verdana" w:hAnsi="Verdana"/>
          <w:sz w:val="20"/>
          <w:lang w:val="pt-BR"/>
        </w:rPr>
        <w:t>11</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2000</w:t>
      </w:r>
      <w:r w:rsidR="006D28A8"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 xml:space="preserve">Oscar Ayala Amarilla </w:t>
      </w:r>
      <w:r w:rsidR="0089298C" w:rsidRPr="002F50BD">
        <w:rPr>
          <w:rFonts w:ascii="Verdana" w:hAnsi="Verdana"/>
          <w:sz w:val="20"/>
          <w:lang w:val="pt-BR"/>
        </w:rPr>
        <w:t>reiterou</w:t>
      </w:r>
      <w:r w:rsidR="004756C1" w:rsidRPr="002F50BD">
        <w:rPr>
          <w:rFonts w:ascii="Verdana" w:hAnsi="Verdana"/>
          <w:sz w:val="20"/>
          <w:lang w:val="pt-BR"/>
        </w:rPr>
        <w:t xml:space="preserve"> </w:t>
      </w:r>
      <w:r w:rsidR="006D28A8" w:rsidRPr="002F50BD">
        <w:rPr>
          <w:rFonts w:ascii="Verdana" w:hAnsi="Verdana"/>
          <w:sz w:val="20"/>
          <w:lang w:val="pt-BR"/>
        </w:rPr>
        <w:t>seu pedido</w:t>
      </w:r>
      <w:r w:rsidR="0089298C" w:rsidRPr="002F50BD">
        <w:rPr>
          <w:rFonts w:ascii="Verdana" w:hAnsi="Verdana"/>
          <w:sz w:val="20"/>
          <w:lang w:val="pt-BR"/>
        </w:rPr>
        <w:t xml:space="preserve"> </w:t>
      </w:r>
      <w:r w:rsidR="004756C1" w:rsidRPr="002F50BD">
        <w:rPr>
          <w:rFonts w:ascii="Verdana" w:hAnsi="Verdana"/>
          <w:sz w:val="20"/>
          <w:lang w:val="pt-BR"/>
        </w:rPr>
        <w:t>de interven</w:t>
      </w:r>
      <w:r w:rsidR="0089298C" w:rsidRPr="002F50BD">
        <w:rPr>
          <w:rFonts w:ascii="Verdana" w:hAnsi="Verdana"/>
          <w:sz w:val="20"/>
          <w:lang w:val="pt-BR"/>
        </w:rPr>
        <w:t>ção</w:t>
      </w:r>
      <w:r w:rsidR="004756C1" w:rsidRPr="002F50BD">
        <w:rPr>
          <w:rFonts w:ascii="Verdana" w:hAnsi="Verdana"/>
          <w:sz w:val="20"/>
          <w:lang w:val="pt-BR"/>
        </w:rPr>
        <w:t xml:space="preserve"> </w:t>
      </w:r>
      <w:r w:rsidR="002829BB">
        <w:rPr>
          <w:rFonts w:ascii="Verdana" w:hAnsi="Verdana"/>
          <w:sz w:val="20"/>
          <w:lang w:val="pt-BR"/>
        </w:rPr>
        <w:t>legal</w:t>
      </w:r>
      <w:r w:rsidR="0089298C" w:rsidRPr="002F50BD">
        <w:rPr>
          <w:rFonts w:ascii="Verdana" w:hAnsi="Verdana"/>
          <w:sz w:val="20"/>
          <w:lang w:val="pt-BR"/>
        </w:rPr>
        <w:t xml:space="preserve"> </w:t>
      </w:r>
      <w:r w:rsidR="004756C1" w:rsidRPr="002F50BD">
        <w:rPr>
          <w:rFonts w:ascii="Verdana" w:hAnsi="Verdana"/>
          <w:sz w:val="20"/>
          <w:lang w:val="pt-BR"/>
        </w:rPr>
        <w:t xml:space="preserve">como </w:t>
      </w:r>
      <w:r w:rsidR="008C29C9" w:rsidRPr="002F50BD">
        <w:rPr>
          <w:rFonts w:ascii="Verdana" w:hAnsi="Verdana"/>
          <w:sz w:val="20"/>
          <w:lang w:val="pt-BR"/>
        </w:rPr>
        <w:t>representante</w:t>
      </w:r>
      <w:r w:rsidR="004756C1" w:rsidRPr="002F50BD">
        <w:rPr>
          <w:rFonts w:ascii="Verdana" w:hAnsi="Verdana"/>
          <w:sz w:val="20"/>
          <w:lang w:val="pt-BR"/>
        </w:rPr>
        <w:t xml:space="preserve"> </w:t>
      </w:r>
      <w:r w:rsidR="006D28A8" w:rsidRPr="002F50BD">
        <w:rPr>
          <w:rFonts w:ascii="Verdana" w:hAnsi="Verdana"/>
          <w:sz w:val="20"/>
          <w:lang w:val="pt-BR"/>
        </w:rPr>
        <w:t xml:space="preserve">legal </w:t>
      </w:r>
      <w:r w:rsidR="00CF451D" w:rsidRPr="00CF451D">
        <w:rPr>
          <w:rFonts w:ascii="Verdana" w:hAnsi="Verdana"/>
          <w:sz w:val="20"/>
          <w:lang w:val="pt-BR"/>
        </w:rPr>
        <w:t>(</w:t>
      </w:r>
      <w:r w:rsidR="004756C1" w:rsidRPr="002F50BD">
        <w:rPr>
          <w:rFonts w:ascii="Verdana" w:hAnsi="Verdana"/>
          <w:sz w:val="20"/>
          <w:lang w:val="pt-BR"/>
        </w:rPr>
        <w:t>convencional</w:t>
      </w:r>
      <w:r w:rsidR="00CF451D" w:rsidRPr="00CF451D">
        <w:rPr>
          <w:rFonts w:ascii="Verdana" w:hAnsi="Verdana"/>
          <w:sz w:val="20"/>
          <w:lang w:val="pt-BR"/>
        </w:rPr>
        <w:t>)</w:t>
      </w:r>
      <w:r w:rsidR="0089298C" w:rsidRPr="002F50BD">
        <w:rPr>
          <w:rFonts w:ascii="Verdana" w:hAnsi="Verdana"/>
          <w:sz w:val="20"/>
          <w:lang w:val="pt-BR"/>
        </w:rPr>
        <w:t xml:space="preserve"> no procedimento</w:t>
      </w:r>
      <w:r w:rsidR="004756C1" w:rsidRPr="002F50BD">
        <w:rPr>
          <w:rFonts w:ascii="Verdana" w:hAnsi="Verdana"/>
          <w:sz w:val="20"/>
          <w:lang w:val="pt-BR"/>
        </w:rPr>
        <w:t xml:space="preserve"> penal iniciado</w:t>
      </w:r>
      <w:r w:rsidR="00AB454A" w:rsidRPr="002F50BD">
        <w:rPr>
          <w:rFonts w:ascii="Verdana" w:hAnsi="Verdana"/>
          <w:sz w:val="20"/>
          <w:lang w:val="pt-BR"/>
        </w:rPr>
        <w:t xml:space="preserve"> contra </w:t>
      </w:r>
      <w:r w:rsidR="0089298C" w:rsidRPr="002F50BD">
        <w:rPr>
          <w:rFonts w:ascii="Verdana" w:hAnsi="Verdana"/>
          <w:sz w:val="20"/>
          <w:lang w:val="pt-BR"/>
        </w:rPr>
        <w:t>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D70CD3" w:rsidRPr="002F50BD">
        <w:rPr>
          <w:rFonts w:ascii="Verdana" w:hAnsi="Verdana"/>
          <w:sz w:val="20"/>
          <w:lang w:val="pt-BR"/>
        </w:rPr>
        <w:t>.</w:t>
      </w:r>
      <w:r w:rsidR="004756C1" w:rsidRPr="002F50BD">
        <w:rPr>
          <w:rStyle w:val="FootnoteReference"/>
          <w:rFonts w:ascii="Verdana" w:hAnsi="Verdana"/>
          <w:lang w:val="es-ES_tradnl"/>
        </w:rPr>
        <w:footnoteReference w:id="143"/>
      </w:r>
      <w:r w:rsidR="004756C1" w:rsidRPr="002F50BD">
        <w:rPr>
          <w:rFonts w:ascii="Verdana" w:hAnsi="Verdana"/>
          <w:sz w:val="20"/>
          <w:lang w:val="pt-BR"/>
        </w:rPr>
        <w:t xml:space="preserve"> </w:t>
      </w:r>
      <w:r w:rsidR="00D70CD3" w:rsidRPr="002F50BD">
        <w:rPr>
          <w:rFonts w:ascii="Verdana" w:hAnsi="Verdana"/>
          <w:sz w:val="20"/>
          <w:lang w:val="pt-BR"/>
        </w:rPr>
        <w:t>Entretanto</w:t>
      </w:r>
      <w:r w:rsidR="00BE346D" w:rsidRPr="002F50BD">
        <w:rPr>
          <w:rFonts w:ascii="Verdana" w:hAnsi="Verdana"/>
          <w:sz w:val="20"/>
          <w:lang w:val="pt-BR"/>
        </w:rPr>
        <w:t xml:space="preserve">, em </w:t>
      </w:r>
      <w:r w:rsidRPr="002F50BD">
        <w:rPr>
          <w:rFonts w:ascii="Verdana" w:hAnsi="Verdana"/>
          <w:sz w:val="20"/>
          <w:lang w:val="pt-BR"/>
        </w:rPr>
        <w:t>11</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2000</w:t>
      </w:r>
      <w:r w:rsidR="0070394C"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89298C" w:rsidRPr="002F50BD">
        <w:rPr>
          <w:rFonts w:ascii="Verdana" w:hAnsi="Verdana"/>
          <w:sz w:val="20"/>
          <w:lang w:val="pt-BR"/>
        </w:rPr>
        <w:t xml:space="preserve">declarou </w:t>
      </w:r>
      <w:r w:rsidR="006D28A8" w:rsidRPr="002F50BD">
        <w:rPr>
          <w:rFonts w:ascii="Verdana" w:hAnsi="Verdana"/>
          <w:sz w:val="20"/>
          <w:lang w:val="pt-BR"/>
        </w:rPr>
        <w:t xml:space="preserve">improcedente o citado pedido </w:t>
      </w:r>
      <w:r w:rsidR="004756C1" w:rsidRPr="002F50BD">
        <w:rPr>
          <w:rFonts w:ascii="Verdana" w:hAnsi="Verdana"/>
          <w:sz w:val="20"/>
          <w:lang w:val="pt-BR"/>
        </w:rPr>
        <w:t>de interven</w:t>
      </w:r>
      <w:r w:rsidR="0089298C" w:rsidRPr="002F50BD">
        <w:rPr>
          <w:rFonts w:ascii="Verdana" w:hAnsi="Verdana"/>
          <w:sz w:val="20"/>
          <w:lang w:val="pt-BR"/>
        </w:rPr>
        <w:t xml:space="preserve">ção na </w:t>
      </w:r>
      <w:r w:rsidR="004756C1" w:rsidRPr="002F50BD">
        <w:rPr>
          <w:rFonts w:ascii="Verdana" w:hAnsi="Verdana"/>
          <w:sz w:val="20"/>
          <w:lang w:val="pt-BR"/>
        </w:rPr>
        <w:t xml:space="preserve">causa penal </w:t>
      </w:r>
      <w:r w:rsidR="0070394C" w:rsidRPr="002F50BD">
        <w:rPr>
          <w:rFonts w:ascii="Verdana" w:hAnsi="Verdana"/>
          <w:sz w:val="20"/>
          <w:lang w:val="pt-BR"/>
        </w:rPr>
        <w:t>referida</w:t>
      </w:r>
      <w:r w:rsidR="004756C1" w:rsidRPr="002F50BD">
        <w:rPr>
          <w:rFonts w:ascii="Verdana" w:hAnsi="Verdana"/>
          <w:sz w:val="20"/>
          <w:lang w:val="pt-BR"/>
        </w:rPr>
        <w:t xml:space="preserve">, </w:t>
      </w:r>
      <w:r w:rsidR="0089298C" w:rsidRPr="002F50BD">
        <w:rPr>
          <w:rFonts w:ascii="Verdana" w:hAnsi="Verdana"/>
          <w:sz w:val="20"/>
          <w:lang w:val="pt-BR"/>
        </w:rPr>
        <w:t>de acordo com o disposto no artigo</w:t>
      </w:r>
      <w:r w:rsidR="004756C1" w:rsidRPr="002F50BD">
        <w:rPr>
          <w:rFonts w:ascii="Verdana" w:hAnsi="Verdana"/>
          <w:sz w:val="20"/>
          <w:lang w:val="pt-BR"/>
        </w:rPr>
        <w:t xml:space="preserve"> </w:t>
      </w:r>
      <w:r w:rsidRPr="002F50BD">
        <w:rPr>
          <w:rFonts w:ascii="Verdana" w:hAnsi="Verdana"/>
          <w:sz w:val="20"/>
          <w:lang w:val="pt-BR"/>
        </w:rPr>
        <w:t>117</w:t>
      </w:r>
      <w:r w:rsidR="0089298C" w:rsidRPr="002F50BD">
        <w:rPr>
          <w:rFonts w:ascii="Verdana" w:hAnsi="Verdana"/>
          <w:sz w:val="20"/>
          <w:lang w:val="pt-BR"/>
        </w:rPr>
        <w:t xml:space="preserve"> e demais</w:t>
      </w:r>
      <w:r w:rsidR="004756C1" w:rsidRPr="002F50BD">
        <w:rPr>
          <w:rFonts w:ascii="Verdana" w:hAnsi="Verdana"/>
          <w:sz w:val="20"/>
          <w:lang w:val="pt-BR"/>
        </w:rPr>
        <w:t xml:space="preserve"> normas </w:t>
      </w:r>
      <w:r w:rsidR="00D65D40" w:rsidRPr="002F50BD">
        <w:rPr>
          <w:rFonts w:ascii="Verdana" w:hAnsi="Verdana"/>
          <w:sz w:val="20"/>
          <w:lang w:val="pt-BR"/>
        </w:rPr>
        <w:t xml:space="preserve">relacionadas </w:t>
      </w:r>
      <w:r w:rsidR="0089298C" w:rsidRPr="002F50BD">
        <w:rPr>
          <w:rFonts w:ascii="Verdana" w:hAnsi="Verdana"/>
          <w:sz w:val="20"/>
          <w:lang w:val="pt-BR"/>
        </w:rPr>
        <w:t xml:space="preserve">do </w:t>
      </w:r>
      <w:r w:rsidR="004756C1" w:rsidRPr="002F50BD">
        <w:rPr>
          <w:rFonts w:ascii="Verdana" w:hAnsi="Verdana"/>
          <w:sz w:val="20"/>
          <w:lang w:val="pt-BR"/>
        </w:rPr>
        <w:t xml:space="preserve">Código </w:t>
      </w:r>
      <w:r w:rsidR="0089298C" w:rsidRPr="002F50BD">
        <w:rPr>
          <w:rFonts w:ascii="Verdana" w:hAnsi="Verdana"/>
          <w:sz w:val="20"/>
          <w:lang w:val="pt-BR"/>
        </w:rPr>
        <w:t xml:space="preserve">Processual </w:t>
      </w:r>
      <w:r w:rsidR="004756C1" w:rsidRPr="002F50BD">
        <w:rPr>
          <w:rFonts w:ascii="Verdana" w:hAnsi="Verdana"/>
          <w:sz w:val="20"/>
          <w:lang w:val="pt-BR"/>
        </w:rPr>
        <w:t xml:space="preserve">Penal de </w:t>
      </w:r>
      <w:r w:rsidRPr="002F50BD">
        <w:rPr>
          <w:rFonts w:ascii="Verdana" w:hAnsi="Verdana"/>
          <w:sz w:val="20"/>
          <w:lang w:val="pt-BR"/>
        </w:rPr>
        <w:t>1890</w:t>
      </w:r>
      <w:r w:rsidR="004756C1" w:rsidRPr="002F50BD">
        <w:rPr>
          <w:rFonts w:ascii="Verdana" w:hAnsi="Verdana"/>
          <w:sz w:val="20"/>
          <w:lang w:val="pt-BR"/>
        </w:rPr>
        <w:t>,</w:t>
      </w:r>
      <w:r w:rsidR="0089298C" w:rsidRPr="002F50BD">
        <w:rPr>
          <w:rFonts w:ascii="Verdana" w:hAnsi="Verdana"/>
          <w:sz w:val="20"/>
          <w:lang w:val="pt-BR"/>
        </w:rPr>
        <w:t xml:space="preserve"> ainda</w:t>
      </w:r>
      <w:r w:rsidR="004756C1" w:rsidRPr="002F50BD">
        <w:rPr>
          <w:rFonts w:ascii="Verdana" w:hAnsi="Verdana"/>
          <w:sz w:val="20"/>
          <w:lang w:val="pt-BR"/>
        </w:rPr>
        <w:t xml:space="preserve"> vigente</w:t>
      </w:r>
      <w:r w:rsidR="004076AD" w:rsidRPr="002F50BD">
        <w:rPr>
          <w:rFonts w:ascii="Verdana" w:hAnsi="Verdana"/>
          <w:sz w:val="20"/>
          <w:lang w:val="pt-BR"/>
        </w:rPr>
        <w:t>. A este respeito</w:t>
      </w:r>
      <w:r w:rsidR="004756C1" w:rsidRPr="002F50BD">
        <w:rPr>
          <w:rFonts w:ascii="Verdana" w:hAnsi="Verdana"/>
          <w:sz w:val="20"/>
          <w:lang w:val="pt-BR"/>
        </w:rPr>
        <w:t xml:space="preserve">, </w:t>
      </w:r>
      <w:r w:rsidR="00D70CD3" w:rsidRPr="002F50BD">
        <w:rPr>
          <w:rFonts w:ascii="Verdana" w:hAnsi="Verdana"/>
          <w:sz w:val="20"/>
          <w:lang w:val="pt-BR"/>
        </w:rPr>
        <w:t xml:space="preserve">afirmou </w:t>
      </w:r>
      <w:r w:rsidR="004756C1" w:rsidRPr="002F50BD">
        <w:rPr>
          <w:rFonts w:ascii="Verdana" w:hAnsi="Verdana"/>
          <w:sz w:val="20"/>
          <w:lang w:val="pt-BR"/>
        </w:rPr>
        <w:t>que</w:t>
      </w:r>
      <w:r w:rsidR="0089298C" w:rsidRPr="002F50BD">
        <w:rPr>
          <w:rFonts w:ascii="Verdana" w:hAnsi="Verdana"/>
          <w:sz w:val="20"/>
          <w:lang w:val="pt-BR"/>
        </w:rPr>
        <w:t xml:space="preserve"> o senhor </w:t>
      </w:r>
      <w:r w:rsidR="004756C1" w:rsidRPr="002F50BD">
        <w:rPr>
          <w:rFonts w:ascii="Verdana" w:hAnsi="Verdana"/>
          <w:sz w:val="20"/>
          <w:lang w:val="pt-BR"/>
        </w:rPr>
        <w:t xml:space="preserve">Oscar Ayala Amarilla </w:t>
      </w:r>
      <w:r w:rsidR="0089298C" w:rsidRPr="002F50BD">
        <w:rPr>
          <w:rFonts w:ascii="Verdana" w:hAnsi="Verdana"/>
          <w:sz w:val="20"/>
          <w:lang w:val="pt-BR"/>
        </w:rPr>
        <w:t xml:space="preserve">devia apresentar </w:t>
      </w:r>
      <w:r w:rsidR="006D28A8" w:rsidRPr="002F50BD">
        <w:rPr>
          <w:rFonts w:ascii="Verdana" w:hAnsi="Verdana"/>
          <w:sz w:val="20"/>
          <w:lang w:val="pt-BR"/>
        </w:rPr>
        <w:t xml:space="preserve">seu pedido </w:t>
      </w:r>
      <w:r w:rsidR="004756C1" w:rsidRPr="002F50BD">
        <w:rPr>
          <w:rFonts w:ascii="Verdana" w:hAnsi="Verdana"/>
          <w:sz w:val="20"/>
          <w:lang w:val="pt-BR"/>
        </w:rPr>
        <w:t>de interven</w:t>
      </w:r>
      <w:r w:rsidR="0089298C" w:rsidRPr="002F50BD">
        <w:rPr>
          <w:rFonts w:ascii="Verdana" w:hAnsi="Verdana"/>
          <w:sz w:val="20"/>
          <w:lang w:val="pt-BR"/>
        </w:rPr>
        <w:t>ção</w:t>
      </w:r>
      <w:r w:rsidR="004756C1" w:rsidRPr="002F50BD">
        <w:rPr>
          <w:rFonts w:ascii="Verdana" w:hAnsi="Verdana"/>
          <w:sz w:val="20"/>
          <w:lang w:val="pt-BR"/>
        </w:rPr>
        <w:t xml:space="preserve"> como </w:t>
      </w:r>
      <w:r w:rsidR="008C29C9" w:rsidRPr="002F50BD">
        <w:rPr>
          <w:rFonts w:ascii="Verdana" w:hAnsi="Verdana"/>
          <w:sz w:val="20"/>
          <w:lang w:val="pt-BR"/>
        </w:rPr>
        <w:t>representante</w:t>
      </w:r>
      <w:r w:rsidR="004756C1" w:rsidRPr="002F50BD">
        <w:rPr>
          <w:rFonts w:ascii="Verdana" w:hAnsi="Verdana"/>
          <w:sz w:val="20"/>
          <w:lang w:val="pt-BR"/>
        </w:rPr>
        <w:t xml:space="preserve"> </w:t>
      </w:r>
      <w:r w:rsidR="006D28A8" w:rsidRPr="002F50BD">
        <w:rPr>
          <w:rFonts w:ascii="Verdana" w:hAnsi="Verdana"/>
          <w:sz w:val="20"/>
          <w:lang w:val="pt-BR"/>
        </w:rPr>
        <w:t xml:space="preserve">legal </w:t>
      </w:r>
      <w:r w:rsidR="0089298C" w:rsidRPr="002F50BD">
        <w:rPr>
          <w:rFonts w:ascii="Verdana" w:hAnsi="Verdana"/>
          <w:sz w:val="20"/>
          <w:lang w:val="pt-BR"/>
        </w:rPr>
        <w:t xml:space="preserve">da Comunidade </w:t>
      </w:r>
      <w:r w:rsidR="00D70CD3"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D70CD3" w:rsidRPr="002F50BD">
        <w:rPr>
          <w:rFonts w:ascii="Verdana" w:hAnsi="Verdana"/>
          <w:sz w:val="20"/>
          <w:lang w:val="pt-BR"/>
        </w:rPr>
        <w:t>Igualmente</w:t>
      </w:r>
      <w:r w:rsidR="004756C1"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89298C" w:rsidRPr="002F50BD">
        <w:rPr>
          <w:rFonts w:ascii="Verdana" w:hAnsi="Verdana"/>
          <w:sz w:val="20"/>
          <w:lang w:val="pt-BR"/>
        </w:rPr>
        <w:t>ordenou</w:t>
      </w:r>
      <w:r w:rsidR="004756C1" w:rsidRPr="002F50BD">
        <w:rPr>
          <w:rFonts w:ascii="Verdana" w:hAnsi="Verdana"/>
          <w:sz w:val="20"/>
          <w:lang w:val="pt-BR"/>
        </w:rPr>
        <w:t xml:space="preserve"> oficiar</w:t>
      </w:r>
      <w:r w:rsidR="0089298C" w:rsidRPr="002F50BD">
        <w:rPr>
          <w:rFonts w:ascii="Verdana" w:hAnsi="Verdana"/>
          <w:sz w:val="20"/>
          <w:lang w:val="pt-BR"/>
        </w:rPr>
        <w:t xml:space="preserve"> o </w:t>
      </w:r>
      <w:r w:rsidR="004756C1" w:rsidRPr="002F50BD">
        <w:rPr>
          <w:rFonts w:ascii="Verdana" w:hAnsi="Verdana"/>
          <w:sz w:val="20"/>
          <w:lang w:val="pt-BR"/>
        </w:rPr>
        <w:t>INDI a</w:t>
      </w:r>
      <w:r w:rsidR="0089298C" w:rsidRPr="002F50BD">
        <w:rPr>
          <w:rFonts w:ascii="Verdana" w:hAnsi="Verdana"/>
          <w:sz w:val="20"/>
          <w:lang w:val="pt-BR"/>
        </w:rPr>
        <w:t xml:space="preserve"> fim </w:t>
      </w:r>
      <w:r w:rsidR="004756C1" w:rsidRPr="002F50BD">
        <w:rPr>
          <w:rFonts w:ascii="Verdana" w:hAnsi="Verdana"/>
          <w:sz w:val="20"/>
          <w:lang w:val="pt-BR"/>
        </w:rPr>
        <w:t>de que este organismo informa</w:t>
      </w:r>
      <w:r w:rsidR="00D70CD3" w:rsidRPr="002F50BD">
        <w:rPr>
          <w:rFonts w:ascii="Verdana" w:hAnsi="Verdana"/>
          <w:sz w:val="20"/>
          <w:lang w:val="pt-BR"/>
        </w:rPr>
        <w:t>sse</w:t>
      </w:r>
      <w:r w:rsidR="004756C1" w:rsidRPr="002F50BD">
        <w:rPr>
          <w:rFonts w:ascii="Verdana" w:hAnsi="Verdana"/>
          <w:sz w:val="20"/>
          <w:lang w:val="pt-BR"/>
        </w:rPr>
        <w:t xml:space="preserve"> sobre</w:t>
      </w:r>
      <w:r w:rsidR="0089298C" w:rsidRPr="002F50BD">
        <w:rPr>
          <w:rFonts w:ascii="Verdana" w:hAnsi="Verdana"/>
          <w:sz w:val="20"/>
          <w:lang w:val="pt-BR"/>
        </w:rPr>
        <w:t xml:space="preserve"> </w:t>
      </w:r>
      <w:r w:rsidR="00D70CD3" w:rsidRPr="002F50BD">
        <w:rPr>
          <w:rFonts w:ascii="Verdana" w:hAnsi="Verdana"/>
          <w:sz w:val="20"/>
          <w:lang w:val="pt-BR"/>
        </w:rPr>
        <w:t xml:space="preserve">a lista </w:t>
      </w:r>
      <w:r w:rsidR="0089298C" w:rsidRPr="002F50BD">
        <w:rPr>
          <w:rFonts w:ascii="Verdana" w:hAnsi="Verdana"/>
          <w:sz w:val="20"/>
          <w:lang w:val="pt-BR"/>
        </w:rPr>
        <w:t xml:space="preserve">das </w:t>
      </w:r>
      <w:r w:rsidR="004756C1" w:rsidRPr="002F50BD">
        <w:rPr>
          <w:rFonts w:ascii="Verdana" w:hAnsi="Verdana"/>
          <w:sz w:val="20"/>
          <w:lang w:val="pt-BR"/>
        </w:rPr>
        <w:t>organiza</w:t>
      </w:r>
      <w:r w:rsidR="0089298C" w:rsidRPr="002F50BD">
        <w:rPr>
          <w:rFonts w:ascii="Verdana" w:hAnsi="Verdana"/>
          <w:sz w:val="20"/>
          <w:lang w:val="pt-BR"/>
        </w:rPr>
        <w:t>ções</w:t>
      </w:r>
      <w:r w:rsidR="004756C1" w:rsidRPr="002F50BD">
        <w:rPr>
          <w:rFonts w:ascii="Verdana" w:hAnsi="Verdana"/>
          <w:sz w:val="20"/>
          <w:lang w:val="pt-BR"/>
        </w:rPr>
        <w:t xml:space="preserve"> n</w:t>
      </w:r>
      <w:r w:rsidR="00D70CD3"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governamentais </w:t>
      </w:r>
      <w:r w:rsidR="00D70CD3" w:rsidRPr="002F50BD">
        <w:rPr>
          <w:rFonts w:ascii="Verdana" w:hAnsi="Verdana"/>
          <w:sz w:val="20"/>
          <w:lang w:val="pt-BR"/>
        </w:rPr>
        <w:t xml:space="preserve">em seu registro e quais </w:t>
      </w:r>
      <w:r w:rsidR="0089298C" w:rsidRPr="002F50BD">
        <w:rPr>
          <w:rFonts w:ascii="Verdana" w:hAnsi="Verdana"/>
          <w:sz w:val="20"/>
          <w:lang w:val="pt-BR"/>
        </w:rPr>
        <w:t xml:space="preserve">estão </w:t>
      </w:r>
      <w:r w:rsidR="004756C1" w:rsidRPr="002F50BD">
        <w:rPr>
          <w:rFonts w:ascii="Verdana" w:hAnsi="Verdana"/>
          <w:sz w:val="20"/>
          <w:lang w:val="pt-BR"/>
        </w:rPr>
        <w:t>vinculadas</w:t>
      </w:r>
      <w:r w:rsidR="0089298C" w:rsidRPr="002F50BD">
        <w:rPr>
          <w:rFonts w:ascii="Verdana" w:hAnsi="Verdana"/>
          <w:sz w:val="20"/>
          <w:lang w:val="pt-BR"/>
        </w:rPr>
        <w:t xml:space="preserve"> à Comunidade </w:t>
      </w:r>
      <w:r w:rsidR="004756C1" w:rsidRPr="002F50BD">
        <w:rPr>
          <w:rFonts w:ascii="Verdana" w:hAnsi="Verdana"/>
          <w:sz w:val="20"/>
          <w:lang w:val="pt-BR"/>
        </w:rPr>
        <w:t>indígena Yakye Axa</w:t>
      </w:r>
      <w:r w:rsidR="00D70CD3" w:rsidRPr="002F50BD">
        <w:rPr>
          <w:rFonts w:ascii="Verdana" w:hAnsi="Verdana"/>
          <w:sz w:val="20"/>
          <w:lang w:val="pt-BR"/>
        </w:rPr>
        <w:t>.</w:t>
      </w:r>
      <w:r w:rsidR="004756C1" w:rsidRPr="002F50BD">
        <w:rPr>
          <w:rStyle w:val="FootnoteReference"/>
          <w:rFonts w:ascii="Verdana" w:hAnsi="Verdana"/>
          <w:lang w:val="es-ES_tradnl"/>
        </w:rPr>
        <w:footnoteReference w:id="144"/>
      </w:r>
      <w:r w:rsidR="00AB454A" w:rsidRPr="002F50BD">
        <w:rPr>
          <w:rFonts w:ascii="Verdana" w:hAnsi="Verdana"/>
          <w:sz w:val="20"/>
          <w:lang w:val="pt-BR"/>
        </w:rPr>
        <w:t xml:space="preserve"> </w:t>
      </w:r>
      <w:r w:rsidR="00D70CD3" w:rsidRPr="002F50BD">
        <w:rPr>
          <w:rFonts w:ascii="Verdana" w:hAnsi="Verdana"/>
          <w:sz w:val="20"/>
          <w:lang w:val="pt-BR"/>
        </w:rPr>
        <w:t>Em</w:t>
      </w:r>
      <w:r w:rsidR="00AB454A" w:rsidRPr="002F50BD">
        <w:rPr>
          <w:rFonts w:ascii="Verdana" w:hAnsi="Verdana"/>
          <w:sz w:val="20"/>
          <w:lang w:val="pt-BR"/>
        </w:rPr>
        <w:t xml:space="preserve"> </w:t>
      </w:r>
      <w:r w:rsidRPr="002F50BD">
        <w:rPr>
          <w:rFonts w:ascii="Verdana" w:hAnsi="Verdana"/>
          <w:sz w:val="20"/>
          <w:lang w:val="pt-BR"/>
        </w:rPr>
        <w:t>15</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2000</w:t>
      </w:r>
      <w:r w:rsidR="00D65D40"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 xml:space="preserve">Oscar Ayala Amarilla </w:t>
      </w:r>
      <w:r w:rsidR="0089298C" w:rsidRPr="002F50BD">
        <w:rPr>
          <w:rFonts w:ascii="Verdana" w:hAnsi="Verdana"/>
          <w:sz w:val="20"/>
          <w:lang w:val="pt-BR"/>
        </w:rPr>
        <w:t>interpôs</w:t>
      </w:r>
      <w:r w:rsidR="004756C1" w:rsidRPr="002F50BD">
        <w:rPr>
          <w:rFonts w:ascii="Verdana" w:hAnsi="Verdana"/>
          <w:sz w:val="20"/>
          <w:lang w:val="pt-BR"/>
        </w:rPr>
        <w:t xml:space="preserve"> recurso de apela</w:t>
      </w:r>
      <w:r w:rsidR="0089298C" w:rsidRPr="002F50BD">
        <w:rPr>
          <w:rFonts w:ascii="Verdana" w:hAnsi="Verdana"/>
          <w:sz w:val="20"/>
          <w:lang w:val="pt-BR"/>
        </w:rPr>
        <w:t>ção</w:t>
      </w:r>
      <w:r w:rsidR="004756C1" w:rsidRPr="002F50BD">
        <w:rPr>
          <w:rFonts w:ascii="Verdana" w:hAnsi="Verdana"/>
          <w:sz w:val="20"/>
          <w:lang w:val="pt-BR"/>
        </w:rPr>
        <w:t xml:space="preserve"> contra esta </w:t>
      </w:r>
      <w:r w:rsidR="0089298C" w:rsidRPr="002F50BD">
        <w:rPr>
          <w:rFonts w:ascii="Verdana" w:hAnsi="Verdana"/>
          <w:sz w:val="20"/>
          <w:lang w:val="pt-BR"/>
        </w:rPr>
        <w:t>decisão</w:t>
      </w:r>
      <w:r w:rsidR="00D70CD3" w:rsidRPr="002F50BD">
        <w:rPr>
          <w:rFonts w:ascii="Verdana" w:hAnsi="Verdana"/>
          <w:sz w:val="20"/>
          <w:lang w:val="pt-BR"/>
        </w:rPr>
        <w:t>,</w:t>
      </w:r>
      <w:r w:rsidR="004756C1" w:rsidRPr="002F50BD">
        <w:rPr>
          <w:rStyle w:val="FootnoteReference"/>
          <w:rFonts w:ascii="Verdana" w:hAnsi="Verdana"/>
          <w:lang w:val="es-ES_tradnl"/>
        </w:rPr>
        <w:footnoteReference w:id="145"/>
      </w:r>
      <w:r w:rsidR="0089298C" w:rsidRPr="002F50BD">
        <w:rPr>
          <w:rFonts w:ascii="Verdana" w:hAnsi="Verdana"/>
          <w:sz w:val="20"/>
          <w:lang w:val="pt-BR"/>
        </w:rPr>
        <w:t xml:space="preserve"> o qual foi </w:t>
      </w:r>
      <w:r w:rsidR="004756C1" w:rsidRPr="002F50BD" w:rsidDel="001007B8">
        <w:rPr>
          <w:rFonts w:ascii="Verdana" w:hAnsi="Verdana"/>
          <w:sz w:val="20"/>
          <w:lang w:val="pt-BR"/>
        </w:rPr>
        <w:t xml:space="preserve">declarado </w:t>
      </w:r>
      <w:r w:rsidR="006D28A8" w:rsidRPr="002F50BD">
        <w:rPr>
          <w:rFonts w:ascii="Verdana" w:hAnsi="Verdana"/>
          <w:sz w:val="20"/>
          <w:lang w:val="pt-BR"/>
        </w:rPr>
        <w:t xml:space="preserve">improcedente </w:t>
      </w:r>
      <w:r w:rsidR="0089298C" w:rsidRPr="002F50BD">
        <w:rPr>
          <w:rFonts w:ascii="Verdana" w:hAnsi="Verdana"/>
          <w:sz w:val="20"/>
          <w:lang w:val="pt-BR"/>
        </w:rPr>
        <w:t xml:space="preserve">pelo juiz da </w:t>
      </w:r>
      <w:r w:rsidR="004756C1" w:rsidRPr="002F50BD" w:rsidDel="001007B8">
        <w:rPr>
          <w:rFonts w:ascii="Verdana" w:hAnsi="Verdana"/>
          <w:sz w:val="20"/>
          <w:lang w:val="pt-BR"/>
        </w:rPr>
        <w:t>causa</w:t>
      </w:r>
      <w:r w:rsidR="0089298C" w:rsidRPr="002F50BD">
        <w:rPr>
          <w:rFonts w:ascii="Verdana" w:hAnsi="Verdana"/>
          <w:sz w:val="20"/>
          <w:lang w:val="pt-BR"/>
        </w:rPr>
        <w:t xml:space="preserve"> </w:t>
      </w:r>
      <w:r w:rsidR="00D70CD3" w:rsidRPr="002F50BD">
        <w:rPr>
          <w:rFonts w:ascii="Verdana" w:hAnsi="Verdana"/>
          <w:sz w:val="20"/>
          <w:lang w:val="pt-BR"/>
        </w:rPr>
        <w:t>em</w:t>
      </w:r>
      <w:r w:rsidR="0089298C" w:rsidRPr="002F50BD">
        <w:rPr>
          <w:rFonts w:ascii="Verdana" w:hAnsi="Verdana"/>
          <w:sz w:val="20"/>
          <w:lang w:val="pt-BR"/>
        </w:rPr>
        <w:t xml:space="preserve"> </w:t>
      </w:r>
      <w:r w:rsidRPr="002F50BD">
        <w:rPr>
          <w:rFonts w:ascii="Verdana" w:hAnsi="Verdana"/>
          <w:sz w:val="20"/>
          <w:lang w:val="pt-BR"/>
        </w:rPr>
        <w:t>18</w:t>
      </w:r>
      <w:r w:rsidR="004756C1" w:rsidRPr="002F50BD" w:rsidDel="001007B8">
        <w:rPr>
          <w:rFonts w:ascii="Verdana" w:hAnsi="Verdana"/>
          <w:sz w:val="20"/>
          <w:lang w:val="pt-BR"/>
        </w:rPr>
        <w:t xml:space="preserve"> de </w:t>
      </w:r>
      <w:r w:rsidR="0089298C" w:rsidRPr="002F50BD">
        <w:rPr>
          <w:rFonts w:ascii="Verdana" w:hAnsi="Verdana"/>
          <w:sz w:val="20"/>
          <w:lang w:val="pt-BR"/>
        </w:rPr>
        <w:t xml:space="preserve">setembro </w:t>
      </w:r>
      <w:r w:rsidR="002829BB">
        <w:rPr>
          <w:rFonts w:ascii="Verdana" w:hAnsi="Verdana"/>
          <w:sz w:val="20"/>
          <w:lang w:val="pt-BR"/>
        </w:rPr>
        <w:t>daquele</w:t>
      </w:r>
      <w:r w:rsidR="0089298C" w:rsidRPr="002F50BD">
        <w:rPr>
          <w:rFonts w:ascii="Verdana" w:hAnsi="Verdana"/>
          <w:sz w:val="20"/>
          <w:lang w:val="pt-BR"/>
        </w:rPr>
        <w:t xml:space="preserve"> mesm</w:t>
      </w:r>
      <w:r w:rsidR="004756C1" w:rsidRPr="002F50BD" w:rsidDel="001007B8">
        <w:rPr>
          <w:rFonts w:ascii="Verdana" w:hAnsi="Verdana"/>
          <w:sz w:val="20"/>
          <w:lang w:val="pt-BR"/>
        </w:rPr>
        <w:t>o a</w:t>
      </w:r>
      <w:r w:rsidR="00D70CD3" w:rsidRPr="002F50BD">
        <w:rPr>
          <w:rFonts w:ascii="Verdana" w:hAnsi="Verdana"/>
          <w:sz w:val="20"/>
          <w:lang w:val="pt-BR"/>
        </w:rPr>
        <w:t>n</w:t>
      </w:r>
      <w:r w:rsidR="004756C1" w:rsidRPr="002F50BD" w:rsidDel="001007B8">
        <w:rPr>
          <w:rFonts w:ascii="Verdana" w:hAnsi="Verdana"/>
          <w:sz w:val="20"/>
          <w:lang w:val="pt-BR"/>
        </w:rPr>
        <w:t>o</w:t>
      </w:r>
      <w:r w:rsidR="00D70CD3" w:rsidRPr="002F50BD">
        <w:rPr>
          <w:rFonts w:ascii="Verdana" w:hAnsi="Verdana"/>
          <w:sz w:val="20"/>
          <w:lang w:val="pt-BR"/>
        </w:rPr>
        <w:t>.</w:t>
      </w:r>
      <w:r w:rsidR="004756C1" w:rsidRPr="002F50BD" w:rsidDel="001007B8">
        <w:rPr>
          <w:rStyle w:val="FootnoteReference"/>
          <w:rFonts w:ascii="Verdana" w:hAnsi="Verdana"/>
          <w:lang w:val="es-ES_tradnl"/>
        </w:rPr>
        <w:footnoteReference w:id="146"/>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87</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w:t>
      </w:r>
      <w:r w:rsidR="004756C1" w:rsidRPr="002F50BD">
        <w:rPr>
          <w:rFonts w:ascii="Verdana" w:hAnsi="Verdana"/>
          <w:sz w:val="20"/>
          <w:lang w:val="pt-BR"/>
        </w:rPr>
        <w:t>marco</w:t>
      </w:r>
      <w:r w:rsidR="0089298C" w:rsidRPr="002F50BD">
        <w:rPr>
          <w:rFonts w:ascii="Verdana" w:hAnsi="Verdana"/>
          <w:sz w:val="20"/>
          <w:lang w:val="pt-BR"/>
        </w:rPr>
        <w:t xml:space="preserve"> deste procedimento</w:t>
      </w:r>
      <w:r w:rsidR="004756C1" w:rsidRPr="002F50BD">
        <w:rPr>
          <w:rFonts w:ascii="Verdana" w:hAnsi="Verdana"/>
          <w:sz w:val="20"/>
          <w:lang w:val="pt-BR"/>
        </w:rPr>
        <w:t xml:space="preserve"> penal,</w:t>
      </w:r>
      <w:r w:rsidR="0089298C" w:rsidRPr="002F50BD">
        <w:rPr>
          <w:rFonts w:ascii="Verdana" w:hAnsi="Verdana"/>
          <w:sz w:val="20"/>
          <w:lang w:val="pt-BR"/>
        </w:rPr>
        <w:t xml:space="preserve"> em </w:t>
      </w:r>
      <w:r w:rsidRPr="002F50BD">
        <w:rPr>
          <w:rFonts w:ascii="Verdana" w:hAnsi="Verdana"/>
          <w:sz w:val="20"/>
          <w:lang w:val="pt-BR"/>
        </w:rPr>
        <w:t>29</w:t>
      </w:r>
      <w:r w:rsidR="004756C1" w:rsidRPr="002F50BD">
        <w:rPr>
          <w:rFonts w:ascii="Verdana" w:hAnsi="Verdana"/>
          <w:sz w:val="20"/>
          <w:lang w:val="pt-BR"/>
        </w:rPr>
        <w:t xml:space="preserve"> de agosto de </w:t>
      </w:r>
      <w:r w:rsidRPr="002F50BD">
        <w:rPr>
          <w:rFonts w:ascii="Verdana" w:hAnsi="Verdana"/>
          <w:sz w:val="20"/>
          <w:lang w:val="pt-BR"/>
        </w:rPr>
        <w:t>2001</w:t>
      </w:r>
      <w:r w:rsidR="006D28A8" w:rsidRPr="002F50BD">
        <w:rPr>
          <w:rFonts w:ascii="Verdana" w:hAnsi="Verdana"/>
          <w:sz w:val="20"/>
          <w:lang w:val="pt-BR"/>
        </w:rPr>
        <w:t>,</w:t>
      </w:r>
      <w:r w:rsidR="0089298C" w:rsidRPr="002F50BD">
        <w:rPr>
          <w:rFonts w:ascii="Verdana" w:hAnsi="Verdana"/>
          <w:sz w:val="20"/>
          <w:lang w:val="pt-BR"/>
        </w:rPr>
        <w:t xml:space="preserve"> o Juiz</w:t>
      </w:r>
      <w:r w:rsidR="004756C1" w:rsidRPr="002F50BD">
        <w:rPr>
          <w:rFonts w:ascii="Verdana" w:hAnsi="Verdana"/>
          <w:sz w:val="20"/>
          <w:lang w:val="pt-BR"/>
        </w:rPr>
        <w:t xml:space="preserve"> Penal de Liquida</w:t>
      </w:r>
      <w:r w:rsidR="0089298C" w:rsidRPr="002F50BD">
        <w:rPr>
          <w:rFonts w:ascii="Verdana" w:hAnsi="Verdana"/>
          <w:sz w:val="20"/>
          <w:lang w:val="pt-BR"/>
        </w:rPr>
        <w:t>ção e Sentença</w:t>
      </w:r>
      <w:r w:rsidR="004756C1" w:rsidRPr="002F50BD">
        <w:rPr>
          <w:rFonts w:ascii="Verdana" w:hAnsi="Verdana"/>
          <w:sz w:val="20"/>
          <w:lang w:val="pt-BR"/>
        </w:rPr>
        <w:t xml:space="preserve"> </w:t>
      </w:r>
      <w:r w:rsidR="0089298C" w:rsidRPr="002F50BD">
        <w:rPr>
          <w:rFonts w:ascii="Verdana" w:hAnsi="Verdana"/>
          <w:sz w:val="20"/>
          <w:lang w:val="pt-BR"/>
        </w:rPr>
        <w:t xml:space="preserve">ordenou o </w:t>
      </w:r>
      <w:r w:rsidR="00D70CD3" w:rsidRPr="002F50BD">
        <w:rPr>
          <w:rFonts w:ascii="Verdana" w:hAnsi="Verdana"/>
          <w:sz w:val="20"/>
          <w:lang w:val="pt-BR"/>
        </w:rPr>
        <w:t>despejo</w:t>
      </w:r>
      <w:r w:rsidR="0089298C" w:rsidRPr="002F50BD">
        <w:rPr>
          <w:rFonts w:ascii="Verdana" w:hAnsi="Verdana"/>
          <w:sz w:val="20"/>
          <w:lang w:val="pt-BR"/>
        </w:rPr>
        <w:t xml:space="preserve"> da Comunidade da </w:t>
      </w:r>
      <w:r w:rsidR="00D70CD3" w:rsidRPr="002F50BD">
        <w:rPr>
          <w:rFonts w:ascii="Verdana" w:hAnsi="Verdana"/>
          <w:sz w:val="20"/>
          <w:lang w:val="pt-BR"/>
        </w:rPr>
        <w:t xml:space="preserve">faixa </w:t>
      </w:r>
      <w:r w:rsidR="004756C1" w:rsidRPr="002F50BD">
        <w:rPr>
          <w:rFonts w:ascii="Verdana" w:hAnsi="Verdana"/>
          <w:sz w:val="20"/>
          <w:lang w:val="pt-BR"/>
        </w:rPr>
        <w:t>de dom</w:t>
      </w:r>
      <w:r w:rsidR="00D70CD3" w:rsidRPr="002F50BD">
        <w:rPr>
          <w:rFonts w:ascii="Verdana" w:hAnsi="Verdana"/>
          <w:sz w:val="20"/>
          <w:lang w:val="pt-BR"/>
        </w:rPr>
        <w:t>í</w:t>
      </w:r>
      <w:r w:rsidR="004756C1" w:rsidRPr="002F50BD">
        <w:rPr>
          <w:rFonts w:ascii="Verdana" w:hAnsi="Verdana"/>
          <w:sz w:val="20"/>
          <w:lang w:val="pt-BR"/>
        </w:rPr>
        <w:t>nio público</w:t>
      </w:r>
      <w:r w:rsidR="0089298C" w:rsidRPr="002F50BD">
        <w:rPr>
          <w:rFonts w:ascii="Verdana" w:hAnsi="Verdana"/>
          <w:sz w:val="20"/>
          <w:lang w:val="pt-BR"/>
        </w:rPr>
        <w:t xml:space="preserve"> onde</w:t>
      </w:r>
      <w:r w:rsidR="004756C1" w:rsidRPr="002F50BD">
        <w:rPr>
          <w:rFonts w:ascii="Verdana" w:hAnsi="Verdana"/>
          <w:sz w:val="20"/>
          <w:lang w:val="pt-BR"/>
        </w:rPr>
        <w:t xml:space="preserve"> está instalada</w:t>
      </w:r>
      <w:r w:rsidR="0089298C" w:rsidRPr="002F50BD">
        <w:rPr>
          <w:rFonts w:ascii="Verdana" w:hAnsi="Verdana"/>
          <w:sz w:val="20"/>
          <w:lang w:val="pt-BR"/>
        </w:rPr>
        <w:t xml:space="preserve"> e </w:t>
      </w:r>
      <w:r w:rsidR="006D28A8" w:rsidRPr="002F50BD">
        <w:rPr>
          <w:rFonts w:ascii="Verdana" w:hAnsi="Verdana"/>
          <w:sz w:val="20"/>
          <w:lang w:val="pt-BR"/>
        </w:rPr>
        <w:t xml:space="preserve">a remoção </w:t>
      </w:r>
      <w:r w:rsidR="004756C1" w:rsidRPr="002F50BD">
        <w:rPr>
          <w:rFonts w:ascii="Verdana" w:hAnsi="Verdana"/>
          <w:sz w:val="20"/>
          <w:lang w:val="pt-BR"/>
        </w:rPr>
        <w:t>de su</w:t>
      </w:r>
      <w:r w:rsidR="00D70CD3" w:rsidRPr="002F50BD">
        <w:rPr>
          <w:rFonts w:ascii="Verdana" w:hAnsi="Verdana"/>
          <w:sz w:val="20"/>
          <w:lang w:val="pt-BR"/>
        </w:rPr>
        <w:t>a</w:t>
      </w:r>
      <w:r w:rsidR="004756C1" w:rsidRPr="002F50BD">
        <w:rPr>
          <w:rFonts w:ascii="Verdana" w:hAnsi="Verdana"/>
          <w:sz w:val="20"/>
          <w:lang w:val="pt-BR"/>
        </w:rPr>
        <w:t xml:space="preserve">s </w:t>
      </w:r>
      <w:r w:rsidR="00D70CD3" w:rsidRPr="002F50BD">
        <w:rPr>
          <w:rFonts w:ascii="Verdana" w:hAnsi="Verdana"/>
          <w:sz w:val="20"/>
          <w:lang w:val="pt-BR"/>
        </w:rPr>
        <w:t>casas.</w:t>
      </w:r>
      <w:r w:rsidR="004756C1" w:rsidRPr="002F50BD">
        <w:rPr>
          <w:rStyle w:val="FootnoteReference"/>
          <w:rFonts w:ascii="Verdana" w:hAnsi="Verdana"/>
          <w:lang w:val="es-ES_tradnl"/>
        </w:rPr>
        <w:footnoteReference w:id="147"/>
      </w:r>
      <w:r w:rsidR="004756C1" w:rsidRPr="002F50BD">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Em </w:t>
      </w:r>
      <w:r w:rsidRPr="002F50BD">
        <w:rPr>
          <w:rFonts w:ascii="Verdana" w:hAnsi="Verdana"/>
          <w:sz w:val="20"/>
          <w:lang w:val="pt-BR"/>
        </w:rPr>
        <w:t>14</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2001</w:t>
      </w:r>
      <w:r w:rsidR="006D28A8" w:rsidRPr="002F50BD">
        <w:rPr>
          <w:rFonts w:ascii="Verdana" w:hAnsi="Verdana"/>
          <w:sz w:val="20"/>
          <w:lang w:val="pt-BR"/>
        </w:rPr>
        <w:t>,</w:t>
      </w:r>
      <w:r w:rsidR="0089298C" w:rsidRPr="002F50BD">
        <w:rPr>
          <w:rFonts w:ascii="Verdana" w:hAnsi="Verdana"/>
          <w:sz w:val="20"/>
          <w:lang w:val="pt-BR"/>
        </w:rPr>
        <w:t xml:space="preserve"> os senhores</w:t>
      </w:r>
      <w:r w:rsidR="004756C1" w:rsidRPr="002F50BD">
        <w:rPr>
          <w:rFonts w:ascii="Verdana" w:hAnsi="Verdana"/>
          <w:sz w:val="20"/>
          <w:lang w:val="pt-BR"/>
        </w:rPr>
        <w:t xml:space="preserve"> Aurelio R. Sosa Mendoza e Higinio Lovera Sosota, </w:t>
      </w:r>
      <w:r w:rsidR="00AB454A" w:rsidRPr="002F50BD">
        <w:rPr>
          <w:rFonts w:ascii="Verdana" w:hAnsi="Verdana"/>
          <w:sz w:val="20"/>
          <w:lang w:val="pt-BR"/>
        </w:rPr>
        <w:t>atua</w:t>
      </w:r>
      <w:r w:rsidR="004756C1" w:rsidRPr="002F50BD">
        <w:rPr>
          <w:rFonts w:ascii="Verdana" w:hAnsi="Verdana"/>
          <w:sz w:val="20"/>
          <w:lang w:val="pt-BR"/>
        </w:rPr>
        <w:t>ndo</w:t>
      </w:r>
      <w:r w:rsidR="0089298C" w:rsidRPr="002F50BD">
        <w:rPr>
          <w:rFonts w:ascii="Verdana" w:hAnsi="Verdana"/>
          <w:sz w:val="20"/>
          <w:lang w:val="pt-BR"/>
        </w:rPr>
        <w:t xml:space="preserve"> em nome e </w:t>
      </w:r>
      <w:r w:rsidR="004756C1" w:rsidRPr="002F50BD">
        <w:rPr>
          <w:rFonts w:ascii="Verdana" w:hAnsi="Verdana"/>
          <w:sz w:val="20"/>
          <w:lang w:val="pt-BR"/>
        </w:rPr>
        <w:t>representa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solicitaram</w:t>
      </w:r>
      <w:r w:rsidR="004756C1" w:rsidRPr="002F50BD">
        <w:rPr>
          <w:rFonts w:ascii="Verdana" w:hAnsi="Verdana"/>
          <w:sz w:val="20"/>
          <w:lang w:val="pt-BR"/>
        </w:rPr>
        <w:t xml:space="preserve"> su</w:t>
      </w:r>
      <w:r w:rsidR="00D70CD3" w:rsidRPr="002F50BD">
        <w:rPr>
          <w:rFonts w:ascii="Verdana" w:hAnsi="Verdana"/>
          <w:sz w:val="20"/>
          <w:lang w:val="pt-BR"/>
        </w:rPr>
        <w:t>a</w:t>
      </w:r>
      <w:r w:rsidR="004756C1" w:rsidRPr="002F50BD">
        <w:rPr>
          <w:rFonts w:ascii="Verdana" w:hAnsi="Verdana"/>
          <w:sz w:val="20"/>
          <w:lang w:val="pt-BR"/>
        </w:rPr>
        <w:t xml:space="preserve"> interven</w:t>
      </w:r>
      <w:r w:rsidR="0089298C" w:rsidRPr="002F50BD">
        <w:rPr>
          <w:rFonts w:ascii="Verdana" w:hAnsi="Verdana"/>
          <w:sz w:val="20"/>
          <w:lang w:val="pt-BR"/>
        </w:rPr>
        <w:t>ção</w:t>
      </w:r>
      <w:r w:rsidR="004756C1" w:rsidRPr="002F50BD">
        <w:rPr>
          <w:rFonts w:ascii="Verdana" w:hAnsi="Verdana"/>
          <w:sz w:val="20"/>
          <w:lang w:val="pt-BR"/>
        </w:rPr>
        <w:t xml:space="preserve"> legal</w:t>
      </w:r>
      <w:r w:rsidR="0089298C" w:rsidRPr="002F50BD">
        <w:rPr>
          <w:rFonts w:ascii="Verdana" w:hAnsi="Verdana"/>
          <w:sz w:val="20"/>
          <w:lang w:val="pt-BR"/>
        </w:rPr>
        <w:t xml:space="preserve"> no processo</w:t>
      </w:r>
      <w:r w:rsidR="004756C1" w:rsidRPr="002F50BD">
        <w:rPr>
          <w:rFonts w:ascii="Verdana" w:hAnsi="Verdana"/>
          <w:sz w:val="20"/>
          <w:lang w:val="pt-BR"/>
        </w:rPr>
        <w:t xml:space="preserve"> penal </w:t>
      </w:r>
      <w:r w:rsidR="00D70CD3" w:rsidRPr="002F50BD">
        <w:rPr>
          <w:rFonts w:ascii="Verdana" w:hAnsi="Verdana"/>
          <w:sz w:val="20"/>
          <w:lang w:val="pt-BR"/>
        </w:rPr>
        <w:t xml:space="preserve">para </w:t>
      </w:r>
      <w:r w:rsidR="0089298C" w:rsidRPr="002F50BD">
        <w:rPr>
          <w:rFonts w:ascii="Verdana" w:hAnsi="Verdana"/>
          <w:sz w:val="20"/>
          <w:lang w:val="pt-BR"/>
        </w:rPr>
        <w:t xml:space="preserve">assumir a defesa dos </w:t>
      </w:r>
      <w:r w:rsidR="00D70CD3" w:rsidRPr="002F50BD">
        <w:rPr>
          <w:rFonts w:ascii="Verdana" w:hAnsi="Verdana"/>
          <w:sz w:val="20"/>
          <w:lang w:val="pt-BR"/>
        </w:rPr>
        <w:t>acusados.</w:t>
      </w:r>
      <w:r w:rsidR="004756C1" w:rsidRPr="002F50BD">
        <w:rPr>
          <w:rStyle w:val="FootnoteReference"/>
          <w:rFonts w:ascii="Verdana" w:hAnsi="Verdana"/>
          <w:lang w:val="es-ES_tradnl"/>
        </w:rPr>
        <w:footnoteReference w:id="148"/>
      </w:r>
      <w:r w:rsidR="004756C1" w:rsidRPr="002F50BD">
        <w:rPr>
          <w:rFonts w:ascii="Verdana" w:hAnsi="Verdana"/>
          <w:sz w:val="20"/>
          <w:lang w:val="pt-BR"/>
        </w:rPr>
        <w:t xml:space="preserve"> Por </w:t>
      </w:r>
      <w:r w:rsidR="00D70CD3" w:rsidRPr="002F50BD">
        <w:rPr>
          <w:rFonts w:ascii="Verdana" w:hAnsi="Verdana"/>
          <w:sz w:val="20"/>
          <w:lang w:val="pt-BR"/>
        </w:rPr>
        <w:t xml:space="preserve">decisão </w:t>
      </w:r>
      <w:r w:rsidR="00951B61">
        <w:rPr>
          <w:rFonts w:ascii="Verdana" w:hAnsi="Verdana"/>
          <w:sz w:val="20"/>
          <w:lang w:val="pt-BR"/>
        </w:rPr>
        <w:t>daquele</w:t>
      </w:r>
      <w:r w:rsidR="0089298C" w:rsidRPr="002F50BD">
        <w:rPr>
          <w:rFonts w:ascii="Verdana" w:hAnsi="Verdana"/>
          <w:sz w:val="20"/>
          <w:lang w:val="pt-BR"/>
        </w:rPr>
        <w:t xml:space="preserve"> mesm</w:t>
      </w:r>
      <w:r w:rsidR="004756C1" w:rsidRPr="002F50BD">
        <w:rPr>
          <w:rFonts w:ascii="Verdana" w:hAnsi="Verdana"/>
          <w:sz w:val="20"/>
          <w:lang w:val="pt-BR"/>
        </w:rPr>
        <w:t xml:space="preserve">o </w:t>
      </w:r>
      <w:r w:rsidR="0089298C" w:rsidRPr="002F50BD">
        <w:rPr>
          <w:rFonts w:ascii="Verdana" w:hAnsi="Verdana"/>
          <w:sz w:val="20"/>
          <w:lang w:val="pt-BR"/>
        </w:rPr>
        <w:t>dia</w:t>
      </w:r>
      <w:r w:rsidR="004756C1" w:rsidRPr="002F50BD">
        <w:rPr>
          <w:rFonts w:ascii="Verdana" w:hAnsi="Verdana"/>
          <w:sz w:val="20"/>
          <w:lang w:val="pt-BR"/>
        </w:rPr>
        <w:t>,</w:t>
      </w:r>
      <w:r w:rsidR="0089298C" w:rsidRPr="002F50BD">
        <w:rPr>
          <w:rFonts w:ascii="Verdana" w:hAnsi="Verdana"/>
          <w:sz w:val="20"/>
          <w:lang w:val="pt-BR"/>
        </w:rPr>
        <w:t xml:space="preserve"> o Juiz da </w:t>
      </w:r>
      <w:r w:rsidR="004756C1" w:rsidRPr="002F50BD">
        <w:rPr>
          <w:rFonts w:ascii="Verdana" w:hAnsi="Verdana"/>
          <w:sz w:val="20"/>
          <w:lang w:val="pt-BR"/>
        </w:rPr>
        <w:t xml:space="preserve">causa </w:t>
      </w:r>
      <w:r w:rsidR="0089298C" w:rsidRPr="002F50BD">
        <w:rPr>
          <w:rFonts w:ascii="Verdana" w:hAnsi="Verdana"/>
          <w:sz w:val="20"/>
          <w:lang w:val="pt-BR"/>
        </w:rPr>
        <w:t xml:space="preserve">admitiu a </w:t>
      </w:r>
      <w:r w:rsidR="004756C1" w:rsidRPr="002F50BD">
        <w:rPr>
          <w:rFonts w:ascii="Verdana" w:hAnsi="Verdana"/>
          <w:sz w:val="20"/>
          <w:lang w:val="pt-BR"/>
        </w:rPr>
        <w:t>interven</w:t>
      </w:r>
      <w:r w:rsidR="0089298C" w:rsidRPr="002F50BD">
        <w:rPr>
          <w:rFonts w:ascii="Verdana" w:hAnsi="Verdana"/>
          <w:sz w:val="20"/>
          <w:lang w:val="pt-BR"/>
        </w:rPr>
        <w:t>ção</w:t>
      </w:r>
      <w:r w:rsidR="004756C1" w:rsidRPr="002F50BD">
        <w:rPr>
          <w:rFonts w:ascii="Verdana" w:hAnsi="Verdana"/>
          <w:sz w:val="20"/>
          <w:lang w:val="pt-BR"/>
        </w:rPr>
        <w:t xml:space="preserve"> legal solicitada</w:t>
      </w:r>
      <w:r w:rsidR="00D70CD3" w:rsidRPr="002F50BD">
        <w:rPr>
          <w:rFonts w:ascii="Verdana" w:hAnsi="Verdana"/>
          <w:sz w:val="20"/>
          <w:lang w:val="pt-BR"/>
        </w:rPr>
        <w:t>.</w:t>
      </w:r>
      <w:r w:rsidR="004756C1" w:rsidRPr="002F50BD">
        <w:rPr>
          <w:rStyle w:val="FootnoteReference"/>
          <w:rFonts w:ascii="Verdana" w:hAnsi="Verdana"/>
          <w:lang w:val="es-ES_tradnl"/>
        </w:rPr>
        <w:footnoteReference w:id="149"/>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4756C1" w:rsidRPr="002F50BD">
        <w:rPr>
          <w:rFonts w:ascii="Verdana" w:hAnsi="Verdana"/>
          <w:sz w:val="20"/>
          <w:lang w:val="pt-BR"/>
        </w:rPr>
        <w:t xml:space="preserve">INDI </w:t>
      </w:r>
      <w:r w:rsidR="0089298C" w:rsidRPr="002F50BD">
        <w:rPr>
          <w:rFonts w:ascii="Verdana" w:hAnsi="Verdana"/>
          <w:sz w:val="20"/>
          <w:lang w:val="pt-BR"/>
        </w:rPr>
        <w:t>interpôs</w:t>
      </w:r>
      <w:r w:rsidR="004756C1" w:rsidRPr="002F50BD">
        <w:rPr>
          <w:rFonts w:ascii="Verdana" w:hAnsi="Verdana"/>
          <w:sz w:val="20"/>
          <w:lang w:val="pt-BR"/>
        </w:rPr>
        <w:t xml:space="preserve"> recursos de apela</w:t>
      </w:r>
      <w:r w:rsidR="0089298C" w:rsidRPr="002F50BD">
        <w:rPr>
          <w:rFonts w:ascii="Verdana" w:hAnsi="Verdana"/>
          <w:sz w:val="20"/>
          <w:lang w:val="pt-BR"/>
        </w:rPr>
        <w:t xml:space="preserve">ção e </w:t>
      </w:r>
      <w:r w:rsidR="00977CDD" w:rsidRPr="002F50BD">
        <w:rPr>
          <w:rFonts w:ascii="Verdana" w:hAnsi="Verdana"/>
          <w:sz w:val="20"/>
          <w:lang w:val="pt-BR"/>
        </w:rPr>
        <w:t xml:space="preserve">de </w:t>
      </w:r>
      <w:r w:rsidR="004756C1" w:rsidRPr="002F50BD">
        <w:rPr>
          <w:rFonts w:ascii="Verdana" w:hAnsi="Verdana"/>
          <w:sz w:val="20"/>
          <w:lang w:val="pt-BR"/>
        </w:rPr>
        <w:t>reconsidera</w:t>
      </w:r>
      <w:r w:rsidR="0089298C" w:rsidRPr="002F50BD">
        <w:rPr>
          <w:rFonts w:ascii="Verdana" w:hAnsi="Verdana"/>
          <w:sz w:val="20"/>
          <w:lang w:val="pt-BR"/>
        </w:rPr>
        <w:t>ção</w:t>
      </w:r>
      <w:r w:rsidR="004756C1" w:rsidRPr="002F50BD">
        <w:rPr>
          <w:rFonts w:ascii="Verdana" w:hAnsi="Verdana"/>
          <w:sz w:val="20"/>
          <w:lang w:val="pt-BR"/>
        </w:rPr>
        <w:t xml:space="preserve"> contra</w:t>
      </w:r>
      <w:r w:rsidR="0089298C" w:rsidRPr="002F50BD">
        <w:rPr>
          <w:rFonts w:ascii="Verdana" w:hAnsi="Verdana"/>
          <w:sz w:val="20"/>
          <w:lang w:val="pt-BR"/>
        </w:rPr>
        <w:t xml:space="preserve"> a </w:t>
      </w:r>
      <w:r w:rsidR="00977CDD" w:rsidRPr="002F50BD">
        <w:rPr>
          <w:rFonts w:ascii="Verdana" w:hAnsi="Verdana"/>
          <w:sz w:val="20"/>
          <w:lang w:val="pt-BR"/>
        </w:rPr>
        <w:t xml:space="preserve">decisão </w:t>
      </w:r>
      <w:r w:rsidR="004756C1" w:rsidRPr="002F50BD">
        <w:rPr>
          <w:rFonts w:ascii="Verdana" w:hAnsi="Verdana"/>
          <w:sz w:val="20"/>
          <w:lang w:val="pt-BR"/>
        </w:rPr>
        <w:t xml:space="preserve">judicial de </w:t>
      </w:r>
      <w:r w:rsidRPr="002F50BD">
        <w:rPr>
          <w:rFonts w:ascii="Verdana" w:hAnsi="Verdana"/>
          <w:sz w:val="20"/>
          <w:lang w:val="pt-BR"/>
        </w:rPr>
        <w:t>29</w:t>
      </w:r>
      <w:r w:rsidR="004756C1" w:rsidRPr="002F50BD">
        <w:rPr>
          <w:rFonts w:ascii="Verdana" w:hAnsi="Verdana"/>
          <w:sz w:val="20"/>
          <w:lang w:val="pt-BR"/>
        </w:rPr>
        <w:t xml:space="preserve"> de agosto de </w:t>
      </w:r>
      <w:r w:rsidRPr="002F50BD">
        <w:rPr>
          <w:rFonts w:ascii="Verdana" w:hAnsi="Verdana"/>
          <w:sz w:val="20"/>
          <w:lang w:val="pt-BR"/>
        </w:rPr>
        <w:t>2001</w:t>
      </w:r>
      <w:r w:rsidR="004756C1" w:rsidRPr="002F50BD">
        <w:rPr>
          <w:rFonts w:ascii="Verdana" w:hAnsi="Verdana"/>
          <w:sz w:val="20"/>
          <w:lang w:val="pt-BR"/>
        </w:rPr>
        <w:t xml:space="preserve"> que </w:t>
      </w:r>
      <w:r w:rsidR="0089298C" w:rsidRPr="002F50BD">
        <w:rPr>
          <w:rFonts w:ascii="Verdana" w:hAnsi="Verdana"/>
          <w:sz w:val="20"/>
          <w:lang w:val="pt-BR"/>
        </w:rPr>
        <w:t xml:space="preserve">ordenou o </w:t>
      </w:r>
      <w:r w:rsidR="00977CDD" w:rsidRPr="002F50BD">
        <w:rPr>
          <w:rFonts w:ascii="Verdana" w:hAnsi="Verdana"/>
          <w:sz w:val="20"/>
          <w:lang w:val="pt-BR"/>
        </w:rPr>
        <w:t xml:space="preserve">despejo </w:t>
      </w:r>
      <w:r w:rsidR="0089298C" w:rsidRPr="002F50BD">
        <w:rPr>
          <w:rFonts w:ascii="Verdana" w:hAnsi="Verdana"/>
          <w:sz w:val="20"/>
          <w:lang w:val="pt-BR"/>
        </w:rPr>
        <w:t xml:space="preserve">da Comunidade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87</w:t>
      </w:r>
      <w:r w:rsidR="00977CDD" w:rsidRPr="002F50BD">
        <w:rPr>
          <w:rFonts w:ascii="Verdana" w:hAnsi="Verdana"/>
          <w:i/>
          <w:sz w:val="20"/>
          <w:lang w:val="pt-BR"/>
        </w:rPr>
        <w:t xml:space="preserve"> </w:t>
      </w:r>
      <w:r w:rsidR="00977CDD" w:rsidRPr="002F50BD">
        <w:rPr>
          <w:rFonts w:ascii="Verdana" w:hAnsi="Verdana"/>
          <w:i/>
          <w:sz w:val="20"/>
          <w:lang w:val="pt-BR"/>
        </w:rPr>
        <w:lastRenderedPageBreak/>
        <w:t>supra</w:t>
      </w:r>
      <w:r w:rsidR="00CF451D" w:rsidRPr="00CF451D">
        <w:rPr>
          <w:rFonts w:ascii="Verdana" w:hAnsi="Verdana"/>
          <w:sz w:val="20"/>
          <w:lang w:val="pt-BR"/>
        </w:rPr>
        <w:t>)</w:t>
      </w:r>
      <w:r w:rsidR="00D95E71" w:rsidRPr="002F50BD">
        <w:rPr>
          <w:rFonts w:ascii="Verdana" w:hAnsi="Verdana"/>
          <w:sz w:val="20"/>
          <w:lang w:val="pt-BR"/>
        </w:rPr>
        <w:t xml:space="preserve">. O </w:t>
      </w:r>
      <w:r w:rsidR="0089298C" w:rsidRPr="002F50BD">
        <w:rPr>
          <w:rFonts w:ascii="Verdana" w:hAnsi="Verdana"/>
          <w:sz w:val="20"/>
          <w:lang w:val="pt-BR"/>
        </w:rPr>
        <w:t xml:space="preserve">juiz da </w:t>
      </w:r>
      <w:r w:rsidR="004756C1" w:rsidRPr="002F50BD">
        <w:rPr>
          <w:rFonts w:ascii="Verdana" w:hAnsi="Verdana"/>
          <w:sz w:val="20"/>
          <w:lang w:val="pt-BR"/>
        </w:rPr>
        <w:t xml:space="preserve">causa </w:t>
      </w:r>
      <w:r w:rsidR="0089298C" w:rsidRPr="002F50BD">
        <w:rPr>
          <w:rFonts w:ascii="Verdana" w:hAnsi="Verdana"/>
          <w:sz w:val="20"/>
          <w:lang w:val="pt-BR"/>
        </w:rPr>
        <w:t>declarou</w:t>
      </w:r>
      <w:r w:rsidR="004756C1" w:rsidRPr="002F50BD">
        <w:rPr>
          <w:rFonts w:ascii="Verdana" w:hAnsi="Verdana"/>
          <w:sz w:val="20"/>
          <w:lang w:val="pt-BR"/>
        </w:rPr>
        <w:t xml:space="preserve"> </w:t>
      </w:r>
      <w:r w:rsidR="0089298C" w:rsidRPr="002F50BD">
        <w:rPr>
          <w:rFonts w:ascii="Verdana" w:hAnsi="Verdana"/>
          <w:sz w:val="20"/>
          <w:lang w:val="pt-BR"/>
        </w:rPr>
        <w:t>este</w:t>
      </w:r>
      <w:r w:rsidR="004756C1" w:rsidRPr="002F50BD">
        <w:rPr>
          <w:rFonts w:ascii="Verdana" w:hAnsi="Verdana"/>
          <w:sz w:val="20"/>
          <w:lang w:val="pt-BR"/>
        </w:rPr>
        <w:t>s recursos</w:t>
      </w:r>
      <w:r w:rsidR="00977CDD" w:rsidRPr="002F50BD">
        <w:rPr>
          <w:rFonts w:ascii="Verdana" w:hAnsi="Verdana"/>
          <w:sz w:val="20"/>
          <w:lang w:val="pt-BR"/>
        </w:rPr>
        <w:t xml:space="preserve"> </w:t>
      </w:r>
      <w:r w:rsidR="006D28A8" w:rsidRPr="002F50BD">
        <w:rPr>
          <w:rFonts w:ascii="Verdana" w:hAnsi="Verdana"/>
          <w:sz w:val="20"/>
          <w:lang w:val="pt-BR"/>
        </w:rPr>
        <w:t>improcedente</w:t>
      </w:r>
      <w:r w:rsidR="00BD5B55" w:rsidRPr="002F50BD">
        <w:rPr>
          <w:rFonts w:ascii="Verdana" w:hAnsi="Verdana"/>
          <w:sz w:val="20"/>
          <w:lang w:val="pt-BR"/>
        </w:rPr>
        <w:t>s</w:t>
      </w:r>
      <w:r w:rsidR="00977CDD" w:rsidRPr="002F50BD">
        <w:rPr>
          <w:rFonts w:ascii="Verdana" w:hAnsi="Verdana"/>
          <w:sz w:val="20"/>
          <w:lang w:val="pt-BR"/>
        </w:rPr>
        <w:t>.</w:t>
      </w:r>
      <w:r w:rsidR="004756C1" w:rsidRPr="002F50BD">
        <w:rPr>
          <w:rStyle w:val="FootnoteReference"/>
          <w:rFonts w:ascii="Verdana" w:hAnsi="Verdana"/>
          <w:lang w:val="es-ES_tradnl"/>
        </w:rPr>
        <w:footnoteReference w:id="150"/>
      </w:r>
      <w:r w:rsidR="004756C1" w:rsidRPr="002F50BD">
        <w:rPr>
          <w:rFonts w:ascii="Verdana" w:hAnsi="Verdana"/>
          <w:sz w:val="20"/>
          <w:lang w:val="pt-BR"/>
        </w:rPr>
        <w:t xml:space="preserve"> </w:t>
      </w:r>
      <w:r w:rsidR="006D28A8" w:rsidRPr="002F50BD">
        <w:rPr>
          <w:rFonts w:ascii="Verdana" w:hAnsi="Verdana"/>
          <w:sz w:val="20"/>
          <w:lang w:val="pt-BR"/>
        </w:rPr>
        <w:t>Diante d</w:t>
      </w:r>
      <w:r w:rsidR="004756C1" w:rsidRPr="002F50BD">
        <w:rPr>
          <w:rFonts w:ascii="Verdana" w:hAnsi="Verdana"/>
          <w:sz w:val="20"/>
          <w:lang w:val="pt-BR"/>
        </w:rPr>
        <w:t>es</w:t>
      </w:r>
      <w:r w:rsidR="006D28A8" w:rsidRPr="002F50BD">
        <w:rPr>
          <w:rFonts w:ascii="Verdana" w:hAnsi="Verdana"/>
          <w:sz w:val="20"/>
          <w:lang w:val="pt-BR"/>
        </w:rPr>
        <w:t>s</w:t>
      </w:r>
      <w:r w:rsidR="004756C1" w:rsidRPr="002F50BD">
        <w:rPr>
          <w:rFonts w:ascii="Verdana" w:hAnsi="Verdana"/>
          <w:sz w:val="20"/>
          <w:lang w:val="pt-BR"/>
        </w:rPr>
        <w:t>a situa</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26</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Pr="002F50BD">
        <w:rPr>
          <w:rFonts w:ascii="Verdana" w:hAnsi="Verdana"/>
          <w:sz w:val="20"/>
          <w:lang w:val="pt-BR"/>
        </w:rPr>
        <w:t>2001</w:t>
      </w:r>
      <w:r w:rsidR="00BD5B55"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Interamericana </w:t>
      </w:r>
      <w:r w:rsidR="0022481E" w:rsidRPr="002F50BD">
        <w:rPr>
          <w:rFonts w:ascii="Verdana" w:hAnsi="Verdana"/>
          <w:sz w:val="20"/>
          <w:lang w:val="pt-BR"/>
        </w:rPr>
        <w:t>recomendou</w:t>
      </w:r>
      <w:r w:rsidR="0089298C" w:rsidRPr="002F50BD">
        <w:rPr>
          <w:rFonts w:ascii="Verdana" w:hAnsi="Verdana"/>
          <w:sz w:val="20"/>
          <w:lang w:val="pt-BR"/>
        </w:rPr>
        <w:t xml:space="preserve"> ao </w:t>
      </w:r>
      <w:r w:rsidR="004756C1" w:rsidRPr="002F50BD">
        <w:rPr>
          <w:rFonts w:ascii="Verdana" w:hAnsi="Verdana"/>
          <w:sz w:val="20"/>
          <w:lang w:val="pt-BR"/>
        </w:rPr>
        <w:t>Estado</w:t>
      </w:r>
      <w:r w:rsidR="0089298C" w:rsidRPr="002F50BD">
        <w:rPr>
          <w:rFonts w:ascii="Verdana" w:hAnsi="Verdana"/>
          <w:sz w:val="20"/>
          <w:lang w:val="pt-BR"/>
        </w:rPr>
        <w:t xml:space="preserve"> a adoção</w:t>
      </w:r>
      <w:r w:rsidR="004756C1" w:rsidRPr="002F50BD">
        <w:rPr>
          <w:rFonts w:ascii="Verdana" w:hAnsi="Verdana"/>
          <w:sz w:val="20"/>
          <w:lang w:val="pt-BR"/>
        </w:rPr>
        <w:t xml:space="preserve"> </w:t>
      </w:r>
      <w:r w:rsidR="00977CDD" w:rsidRPr="002F50BD">
        <w:rPr>
          <w:rFonts w:ascii="Verdana" w:hAnsi="Verdana"/>
          <w:sz w:val="20"/>
          <w:lang w:val="pt-BR"/>
        </w:rPr>
        <w:t xml:space="preserve">de </w:t>
      </w:r>
      <w:r w:rsidR="004756C1" w:rsidRPr="002F50BD">
        <w:rPr>
          <w:rFonts w:ascii="Verdana" w:hAnsi="Verdana"/>
          <w:sz w:val="20"/>
          <w:lang w:val="pt-BR"/>
        </w:rPr>
        <w:t>medidas cautelares a favor</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com o </w:t>
      </w:r>
      <w:r w:rsidR="004756C1" w:rsidRPr="002F50BD">
        <w:rPr>
          <w:rFonts w:ascii="Verdana" w:hAnsi="Verdana"/>
          <w:sz w:val="20"/>
          <w:lang w:val="pt-BR"/>
        </w:rPr>
        <w:t>propósito de suspender</w:t>
      </w:r>
      <w:r w:rsidR="0089298C" w:rsidRPr="002F50BD">
        <w:rPr>
          <w:rFonts w:ascii="Verdana" w:hAnsi="Verdana"/>
          <w:sz w:val="20"/>
          <w:lang w:val="pt-BR"/>
        </w:rPr>
        <w:t xml:space="preserve"> a execução da </w:t>
      </w:r>
      <w:r w:rsidR="004756C1" w:rsidRPr="002F50BD">
        <w:rPr>
          <w:rFonts w:ascii="Verdana" w:hAnsi="Verdana"/>
          <w:sz w:val="20"/>
          <w:lang w:val="pt-BR"/>
        </w:rPr>
        <w:t>citada</w:t>
      </w:r>
      <w:r w:rsidR="0089298C" w:rsidRPr="002F50BD">
        <w:rPr>
          <w:rFonts w:ascii="Verdana" w:hAnsi="Verdana"/>
          <w:sz w:val="20"/>
          <w:lang w:val="pt-BR"/>
        </w:rPr>
        <w:t xml:space="preserve"> ordem </w:t>
      </w:r>
      <w:r w:rsidR="004756C1" w:rsidRPr="002F50BD">
        <w:rPr>
          <w:rFonts w:ascii="Verdana" w:hAnsi="Verdana"/>
          <w:sz w:val="20"/>
          <w:lang w:val="pt-BR"/>
        </w:rPr>
        <w:t>judicial</w:t>
      </w:r>
      <w:r w:rsidR="00977CDD" w:rsidRPr="002F50BD">
        <w:rPr>
          <w:rFonts w:ascii="Verdana" w:hAnsi="Verdana"/>
          <w:sz w:val="20"/>
          <w:lang w:val="pt-BR"/>
        </w:rPr>
        <w:t>.</w:t>
      </w:r>
      <w:r w:rsidR="004756C1" w:rsidRPr="002F50BD">
        <w:rPr>
          <w:rStyle w:val="FootnoteReference"/>
          <w:rFonts w:ascii="Verdana" w:hAnsi="Verdana"/>
          <w:lang w:val="es-ES_tradnl"/>
        </w:rPr>
        <w:footnoteReference w:id="151"/>
      </w:r>
      <w:r w:rsidR="004756C1" w:rsidRPr="002F50BD">
        <w:rPr>
          <w:rFonts w:ascii="Verdana" w:hAnsi="Verdana"/>
          <w:sz w:val="20"/>
          <w:lang w:val="pt-BR"/>
        </w:rPr>
        <w:t xml:space="preserve"> </w:t>
      </w:r>
      <w:r w:rsidR="0089298C" w:rsidRPr="002F50BD">
        <w:rPr>
          <w:rFonts w:ascii="Verdana" w:hAnsi="Verdana"/>
          <w:sz w:val="20"/>
          <w:lang w:val="pt-BR"/>
        </w:rPr>
        <w:t xml:space="preserve">Até a </w:t>
      </w:r>
      <w:r w:rsidR="00977CDD" w:rsidRPr="002F50BD">
        <w:rPr>
          <w:rFonts w:ascii="Verdana" w:hAnsi="Verdana"/>
          <w:sz w:val="20"/>
          <w:lang w:val="pt-BR"/>
        </w:rPr>
        <w:t xml:space="preserve">presente </w:t>
      </w:r>
      <w:r w:rsidR="0089298C" w:rsidRPr="002F50BD">
        <w:rPr>
          <w:rFonts w:ascii="Verdana" w:hAnsi="Verdana"/>
          <w:sz w:val="20"/>
          <w:lang w:val="pt-BR"/>
        </w:rPr>
        <w:t>data</w:t>
      </w:r>
      <w:r w:rsidR="004A23F8"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Estado n</w:t>
      </w:r>
      <w:r w:rsidR="00977CDD"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execut</w:t>
      </w:r>
      <w:r w:rsidR="00977CDD" w:rsidRPr="002F50BD">
        <w:rPr>
          <w:rFonts w:ascii="Verdana" w:hAnsi="Verdana"/>
          <w:sz w:val="20"/>
          <w:lang w:val="pt-BR"/>
        </w:rPr>
        <w:t>ou</w:t>
      </w:r>
      <w:r w:rsidR="0089298C" w:rsidRPr="002F50BD">
        <w:rPr>
          <w:rFonts w:ascii="Verdana" w:hAnsi="Verdana"/>
          <w:sz w:val="20"/>
          <w:lang w:val="pt-BR"/>
        </w:rPr>
        <w:t xml:space="preserve"> a ordem </w:t>
      </w:r>
      <w:r w:rsidR="004756C1" w:rsidRPr="002F50BD">
        <w:rPr>
          <w:rFonts w:ascii="Verdana" w:hAnsi="Verdana"/>
          <w:sz w:val="20"/>
          <w:lang w:val="pt-BR"/>
        </w:rPr>
        <w:t xml:space="preserve">de </w:t>
      </w:r>
      <w:r w:rsidR="00977CDD" w:rsidRPr="002F50BD">
        <w:rPr>
          <w:rFonts w:ascii="Verdana" w:hAnsi="Verdana"/>
          <w:sz w:val="20"/>
          <w:lang w:val="pt-BR"/>
        </w:rPr>
        <w:t>despejo</w:t>
      </w:r>
      <w:r w:rsidR="004756C1" w:rsidRPr="002F50BD">
        <w:rPr>
          <w:rFonts w:ascii="Verdana" w:hAnsi="Verdana"/>
          <w:sz w:val="20"/>
          <w:lang w:val="pt-BR"/>
        </w:rPr>
        <w:t>.</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Do</w:t>
      </w:r>
      <w:r w:rsidR="00951B61">
        <w:rPr>
          <w:rFonts w:ascii="Verdana" w:hAnsi="Verdana"/>
          <w:sz w:val="20"/>
          <w:lang w:val="pt-BR"/>
        </w:rPr>
        <w:t>s</w:t>
      </w:r>
      <w:r w:rsidR="0089298C" w:rsidRPr="002F50BD">
        <w:rPr>
          <w:rFonts w:ascii="Verdana" w:hAnsi="Verdana"/>
          <w:sz w:val="20"/>
          <w:lang w:val="pt-BR"/>
        </w:rPr>
        <w:t xml:space="preserve"> </w:t>
      </w:r>
      <w:r w:rsidR="00951B61">
        <w:rPr>
          <w:rFonts w:ascii="Verdana" w:hAnsi="Verdana"/>
          <w:sz w:val="20"/>
          <w:lang w:val="pt-BR"/>
        </w:rPr>
        <w:t>autos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presente caso</w:t>
      </w:r>
      <w:r w:rsidR="0089298C" w:rsidRPr="002F50BD">
        <w:rPr>
          <w:rFonts w:ascii="Verdana" w:hAnsi="Verdana"/>
          <w:sz w:val="20"/>
          <w:lang w:val="pt-BR"/>
        </w:rPr>
        <w:t xml:space="preserve"> perante a </w:t>
      </w:r>
      <w:r w:rsidR="004756C1" w:rsidRPr="002F50BD">
        <w:rPr>
          <w:rFonts w:ascii="Verdana" w:hAnsi="Verdana"/>
          <w:sz w:val="20"/>
          <w:lang w:val="pt-BR"/>
        </w:rPr>
        <w:t>Corte Interamericana n</w:t>
      </w:r>
      <w:r w:rsidR="00977CDD" w:rsidRPr="002F50BD">
        <w:rPr>
          <w:rFonts w:ascii="Verdana" w:hAnsi="Verdana"/>
          <w:sz w:val="20"/>
          <w:lang w:val="pt-BR"/>
        </w:rPr>
        <w:t>ã</w:t>
      </w:r>
      <w:r w:rsidR="004756C1" w:rsidRPr="002F50BD">
        <w:rPr>
          <w:rFonts w:ascii="Verdana" w:hAnsi="Verdana"/>
          <w:sz w:val="20"/>
          <w:lang w:val="pt-BR"/>
        </w:rPr>
        <w:t xml:space="preserve">o </w:t>
      </w:r>
      <w:r w:rsidR="00977CDD" w:rsidRPr="002F50BD">
        <w:rPr>
          <w:rFonts w:ascii="Verdana" w:hAnsi="Verdana"/>
          <w:sz w:val="20"/>
          <w:lang w:val="pt-BR"/>
        </w:rPr>
        <w:t xml:space="preserve">se depreende </w:t>
      </w:r>
      <w:r w:rsidR="0089298C" w:rsidRPr="002F50BD">
        <w:rPr>
          <w:rFonts w:ascii="Verdana" w:hAnsi="Verdana"/>
          <w:sz w:val="20"/>
          <w:lang w:val="pt-BR"/>
        </w:rPr>
        <w:t xml:space="preserve">qual é o </w:t>
      </w:r>
      <w:r w:rsidR="004756C1" w:rsidRPr="002F50BD">
        <w:rPr>
          <w:rFonts w:ascii="Verdana" w:hAnsi="Verdana"/>
          <w:sz w:val="20"/>
          <w:lang w:val="pt-BR"/>
        </w:rPr>
        <w:t xml:space="preserve">estado </w:t>
      </w:r>
      <w:r w:rsidR="0089298C" w:rsidRPr="002F50BD">
        <w:rPr>
          <w:rFonts w:ascii="Verdana" w:hAnsi="Verdana"/>
          <w:sz w:val="20"/>
          <w:lang w:val="pt-BR"/>
        </w:rPr>
        <w:t>atual deste processo</w:t>
      </w:r>
      <w:r w:rsidR="004756C1" w:rsidRPr="002F50BD">
        <w:rPr>
          <w:rFonts w:ascii="Verdana" w:hAnsi="Verdana"/>
          <w:sz w:val="20"/>
          <w:lang w:val="pt-BR"/>
        </w:rPr>
        <w:t xml:space="preserve"> penal. </w:t>
      </w:r>
    </w:p>
    <w:p w:rsidR="004756C1" w:rsidRPr="002F50BD" w:rsidRDefault="004756C1">
      <w:pPr>
        <w:pStyle w:val="BodyText"/>
        <w:rPr>
          <w:rFonts w:ascii="Verdana" w:hAnsi="Verdana"/>
          <w:sz w:val="20"/>
          <w:lang w:val="pt-BR"/>
        </w:rPr>
      </w:pPr>
    </w:p>
    <w:p w:rsidR="004756C1" w:rsidRPr="002F50BD" w:rsidRDefault="004756C1">
      <w:pPr>
        <w:pStyle w:val="BodyText"/>
        <w:ind w:left="720"/>
        <w:rPr>
          <w:rFonts w:ascii="Verdana" w:hAnsi="Verdana"/>
          <w:sz w:val="20"/>
          <w:lang w:val="pt-BR"/>
        </w:rPr>
      </w:pPr>
      <w:r w:rsidRPr="002F50BD">
        <w:rPr>
          <w:rFonts w:ascii="Verdana" w:hAnsi="Verdana"/>
          <w:sz w:val="20"/>
          <w:lang w:val="pt-BR"/>
        </w:rPr>
        <w:t>iii.</w:t>
      </w:r>
      <w:r w:rsidRPr="002F50BD">
        <w:rPr>
          <w:rFonts w:ascii="Verdana" w:hAnsi="Verdana"/>
          <w:sz w:val="20"/>
          <w:lang w:val="pt-BR"/>
        </w:rPr>
        <w:tab/>
      </w:r>
      <w:r w:rsidR="0089298C" w:rsidRPr="002F50BD">
        <w:rPr>
          <w:rFonts w:ascii="Verdana" w:hAnsi="Verdana"/>
          <w:sz w:val="20"/>
          <w:lang w:val="pt-BR"/>
        </w:rPr>
        <w:t>Ameaça</w:t>
      </w:r>
      <w:r w:rsidRPr="002F50BD">
        <w:rPr>
          <w:rFonts w:ascii="Verdana" w:hAnsi="Verdana"/>
          <w:sz w:val="20"/>
          <w:lang w:val="pt-BR"/>
        </w:rPr>
        <w:t>s</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91</w:t>
      </w:r>
      <w:r w:rsidR="004756C1" w:rsidRPr="002F50BD">
        <w:rPr>
          <w:rFonts w:ascii="Verdana" w:hAnsi="Verdana"/>
          <w:sz w:val="20"/>
          <w:lang w:val="pt-BR"/>
        </w:rPr>
        <w:tab/>
      </w:r>
      <w:r w:rsidR="00AB6727" w:rsidRPr="002F50BD">
        <w:rPr>
          <w:rFonts w:ascii="Verdana" w:hAnsi="Verdana"/>
          <w:sz w:val="20"/>
          <w:lang w:val="pt-BR"/>
        </w:rPr>
        <w:t xml:space="preserve">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foram</w:t>
      </w:r>
      <w:r w:rsidR="004756C1" w:rsidRPr="002F50BD">
        <w:rPr>
          <w:rFonts w:ascii="Verdana" w:hAnsi="Verdana"/>
          <w:sz w:val="20"/>
          <w:lang w:val="pt-BR"/>
        </w:rPr>
        <w:t xml:space="preserve"> </w:t>
      </w:r>
      <w:r w:rsidR="0089298C" w:rsidRPr="002F50BD">
        <w:rPr>
          <w:rFonts w:ascii="Verdana" w:hAnsi="Verdana"/>
          <w:sz w:val="20"/>
          <w:lang w:val="pt-BR"/>
        </w:rPr>
        <w:t>vítima</w:t>
      </w:r>
      <w:r w:rsidR="004756C1" w:rsidRPr="002F50BD">
        <w:rPr>
          <w:rFonts w:ascii="Verdana" w:hAnsi="Verdana"/>
          <w:sz w:val="20"/>
          <w:lang w:val="pt-BR"/>
        </w:rPr>
        <w:t xml:space="preserve">s de constantes </w:t>
      </w:r>
      <w:r w:rsidR="0089298C" w:rsidRPr="002F50BD">
        <w:rPr>
          <w:rFonts w:ascii="Verdana" w:hAnsi="Verdana"/>
          <w:sz w:val="20"/>
          <w:lang w:val="pt-BR"/>
        </w:rPr>
        <w:t>ameaça</w:t>
      </w:r>
      <w:r w:rsidR="004756C1" w:rsidRPr="002F50BD">
        <w:rPr>
          <w:rFonts w:ascii="Verdana" w:hAnsi="Verdana"/>
          <w:sz w:val="20"/>
          <w:lang w:val="pt-BR"/>
        </w:rPr>
        <w:t>s</w:t>
      </w:r>
      <w:r w:rsidR="0089298C" w:rsidRPr="002F50BD">
        <w:rPr>
          <w:rFonts w:ascii="Verdana" w:hAnsi="Verdana"/>
          <w:sz w:val="20"/>
          <w:lang w:val="pt-BR"/>
        </w:rPr>
        <w:t xml:space="preserve"> e atos</w:t>
      </w:r>
      <w:r w:rsidR="004756C1" w:rsidRPr="002F50BD">
        <w:rPr>
          <w:rFonts w:ascii="Verdana" w:hAnsi="Verdana"/>
          <w:sz w:val="20"/>
          <w:lang w:val="pt-BR"/>
        </w:rPr>
        <w:t xml:space="preserve"> de </w:t>
      </w:r>
      <w:r w:rsidR="00977CDD" w:rsidRPr="002F50BD">
        <w:rPr>
          <w:rFonts w:ascii="Verdana" w:hAnsi="Verdana"/>
          <w:sz w:val="20"/>
          <w:lang w:val="pt-BR"/>
        </w:rPr>
        <w:t>perseguição</w:t>
      </w:r>
      <w:r w:rsidR="004756C1" w:rsidRPr="002F50BD">
        <w:rPr>
          <w:rFonts w:ascii="Verdana" w:hAnsi="Verdana"/>
          <w:sz w:val="20"/>
          <w:lang w:val="pt-BR"/>
        </w:rPr>
        <w:t xml:space="preserve"> durante</w:t>
      </w:r>
      <w:r w:rsidR="0089298C" w:rsidRPr="002F50BD">
        <w:rPr>
          <w:rFonts w:ascii="Verdana" w:hAnsi="Verdana"/>
          <w:sz w:val="20"/>
          <w:lang w:val="pt-BR"/>
        </w:rPr>
        <w:t xml:space="preserve"> o tempo</w:t>
      </w:r>
      <w:r w:rsidR="004756C1" w:rsidRPr="002F50BD">
        <w:rPr>
          <w:rFonts w:ascii="Verdana" w:hAnsi="Verdana"/>
          <w:sz w:val="20"/>
          <w:lang w:val="pt-BR"/>
        </w:rPr>
        <w:t xml:space="preserve"> </w:t>
      </w:r>
      <w:r w:rsidR="004A23F8" w:rsidRPr="002F50BD">
        <w:rPr>
          <w:rFonts w:ascii="Verdana" w:hAnsi="Verdana"/>
          <w:sz w:val="20"/>
          <w:lang w:val="pt-BR"/>
        </w:rPr>
        <w:t>em que</w:t>
      </w:r>
      <w:r w:rsidR="00977CDD" w:rsidRPr="002F50BD">
        <w:rPr>
          <w:rFonts w:ascii="Verdana" w:hAnsi="Verdana"/>
          <w:sz w:val="20"/>
          <w:lang w:val="pt-BR"/>
        </w:rPr>
        <w:t xml:space="preserve"> permaneceram </w:t>
      </w:r>
      <w:r w:rsidR="00E7595C" w:rsidRPr="002F50BD">
        <w:rPr>
          <w:rFonts w:ascii="Verdana" w:hAnsi="Verdana"/>
          <w:sz w:val="20"/>
          <w:lang w:val="pt-BR"/>
        </w:rPr>
        <w:t>assentad</w:t>
      </w:r>
      <w:r w:rsidR="004756C1" w:rsidRPr="002F50BD">
        <w:rPr>
          <w:rFonts w:ascii="Verdana" w:hAnsi="Verdana"/>
          <w:sz w:val="20"/>
          <w:lang w:val="pt-BR"/>
        </w:rPr>
        <w:t>os</w:t>
      </w:r>
      <w:r w:rsidR="0089298C" w:rsidRPr="002F50BD">
        <w:rPr>
          <w:rFonts w:ascii="Verdana" w:hAnsi="Verdana"/>
          <w:sz w:val="20"/>
          <w:lang w:val="pt-BR"/>
        </w:rPr>
        <w:t xml:space="preserve"> </w:t>
      </w:r>
      <w:r w:rsidR="00977CDD" w:rsidRPr="002F50BD">
        <w:rPr>
          <w:rFonts w:ascii="Verdana" w:hAnsi="Verdana"/>
          <w:sz w:val="20"/>
          <w:lang w:val="pt-BR"/>
        </w:rPr>
        <w:t xml:space="preserve">à margem da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006D28A8" w:rsidRPr="002F50BD">
        <w:rPr>
          <w:rFonts w:ascii="Verdana" w:hAnsi="Verdana"/>
          <w:sz w:val="20"/>
          <w:lang w:val="pt-BR"/>
        </w:rPr>
        <w:t>entre</w:t>
      </w:r>
      <w:r w:rsidR="004756C1" w:rsidRPr="002F50BD">
        <w:rPr>
          <w:rFonts w:ascii="Verdana" w:hAnsi="Verdana"/>
          <w:sz w:val="20"/>
          <w:lang w:val="pt-BR"/>
        </w:rPr>
        <w:t xml:space="preserve"> Pozo Colorado</w:t>
      </w:r>
      <w:r w:rsidR="0089298C" w:rsidRPr="002F50BD">
        <w:rPr>
          <w:rFonts w:ascii="Verdana" w:hAnsi="Verdana"/>
          <w:sz w:val="20"/>
          <w:lang w:val="pt-BR"/>
        </w:rPr>
        <w:t xml:space="preserve"> e </w:t>
      </w:r>
      <w:r w:rsidR="00313394" w:rsidRPr="002F50BD">
        <w:rPr>
          <w:rFonts w:ascii="Verdana" w:hAnsi="Verdana"/>
          <w:sz w:val="20"/>
          <w:lang w:val="pt-BR"/>
        </w:rPr>
        <w:t>Concepción</w:t>
      </w:r>
      <w:r w:rsidR="004756C1" w:rsidRPr="002F50BD">
        <w:rPr>
          <w:rFonts w:ascii="Verdana" w:hAnsi="Verdana"/>
          <w:sz w:val="20"/>
          <w:lang w:val="pt-BR"/>
        </w:rPr>
        <w:t xml:space="preserve">. </w:t>
      </w:r>
      <w:r w:rsidR="004A23F8" w:rsidRPr="002F50BD">
        <w:rPr>
          <w:rFonts w:ascii="Verdana" w:hAnsi="Verdana"/>
          <w:sz w:val="20"/>
          <w:lang w:val="pt-BR"/>
        </w:rPr>
        <w:t>Diante</w:t>
      </w:r>
      <w:r w:rsidR="006D28A8" w:rsidRPr="002F50BD">
        <w:rPr>
          <w:rFonts w:ascii="Verdana" w:hAnsi="Verdana"/>
          <w:sz w:val="20"/>
          <w:lang w:val="pt-BR"/>
        </w:rPr>
        <w:t xml:space="preserve"> d</w:t>
      </w:r>
      <w:r w:rsidR="0089298C" w:rsidRPr="002F50BD">
        <w:rPr>
          <w:rFonts w:ascii="Verdana" w:hAnsi="Verdana"/>
          <w:sz w:val="20"/>
          <w:lang w:val="pt-BR"/>
        </w:rPr>
        <w:t>es</w:t>
      </w:r>
      <w:r w:rsidR="004A23F8" w:rsidRPr="002F50BD">
        <w:rPr>
          <w:rFonts w:ascii="Verdana" w:hAnsi="Verdana"/>
          <w:sz w:val="20"/>
          <w:lang w:val="pt-BR"/>
        </w:rPr>
        <w:t>s</w:t>
      </w:r>
      <w:r w:rsidR="0089298C" w:rsidRPr="002F50BD">
        <w:rPr>
          <w:rFonts w:ascii="Verdana" w:hAnsi="Verdana"/>
          <w:sz w:val="20"/>
          <w:lang w:val="pt-BR"/>
        </w:rPr>
        <w:t>es fatos</w:t>
      </w:r>
      <w:r w:rsidR="004756C1"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apresentaram</w:t>
      </w:r>
      <w:r w:rsidR="004756C1" w:rsidRPr="002F50BD">
        <w:rPr>
          <w:rFonts w:ascii="Verdana" w:hAnsi="Verdana"/>
          <w:sz w:val="20"/>
          <w:lang w:val="pt-BR"/>
        </w:rPr>
        <w:t xml:space="preserve"> </w:t>
      </w:r>
      <w:r w:rsidR="0089298C" w:rsidRPr="002F50BD">
        <w:rPr>
          <w:rFonts w:ascii="Verdana" w:hAnsi="Verdana"/>
          <w:sz w:val="20"/>
          <w:lang w:val="pt-BR"/>
        </w:rPr>
        <w:t xml:space="preserve">denúncias </w:t>
      </w:r>
      <w:r w:rsidR="00977CDD" w:rsidRPr="002F50BD">
        <w:rPr>
          <w:rFonts w:ascii="Verdana" w:hAnsi="Verdana"/>
          <w:sz w:val="20"/>
          <w:lang w:val="pt-BR"/>
        </w:rPr>
        <w:t>per</w:t>
      </w:r>
      <w:r w:rsidR="004756C1" w:rsidRPr="002F50BD">
        <w:rPr>
          <w:rFonts w:ascii="Verdana" w:hAnsi="Verdana"/>
          <w:sz w:val="20"/>
          <w:lang w:val="pt-BR"/>
        </w:rPr>
        <w:t xml:space="preserve">ante diversos </w:t>
      </w:r>
      <w:r w:rsidR="0089298C" w:rsidRPr="002F50BD">
        <w:rPr>
          <w:rFonts w:ascii="Verdana" w:hAnsi="Verdana"/>
          <w:sz w:val="20"/>
          <w:lang w:val="pt-BR"/>
        </w:rPr>
        <w:t>órgão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sem </w:t>
      </w:r>
      <w:r w:rsidR="004756C1" w:rsidRPr="002F50BD">
        <w:rPr>
          <w:rFonts w:ascii="Verdana" w:hAnsi="Verdana"/>
          <w:sz w:val="20"/>
          <w:lang w:val="pt-BR"/>
        </w:rPr>
        <w:t xml:space="preserve">que se </w:t>
      </w:r>
      <w:r w:rsidR="004A23F8" w:rsidRPr="002F50BD">
        <w:rPr>
          <w:rFonts w:ascii="Verdana" w:hAnsi="Verdana"/>
          <w:sz w:val="20"/>
          <w:lang w:val="pt-BR"/>
        </w:rPr>
        <w:t xml:space="preserve">tenha conhecimento </w:t>
      </w:r>
      <w:r w:rsidR="00E45396" w:rsidRPr="002F50BD">
        <w:rPr>
          <w:rFonts w:ascii="Verdana" w:hAnsi="Verdana"/>
          <w:sz w:val="20"/>
          <w:lang w:val="pt-BR"/>
        </w:rPr>
        <w:t xml:space="preserve">sobre </w:t>
      </w:r>
      <w:r w:rsidR="0089298C" w:rsidRPr="002F50BD">
        <w:rPr>
          <w:rFonts w:ascii="Verdana" w:hAnsi="Verdana"/>
          <w:sz w:val="20"/>
          <w:lang w:val="pt-BR"/>
        </w:rPr>
        <w:t xml:space="preserve">o início </w:t>
      </w:r>
      <w:r w:rsidR="004756C1" w:rsidRPr="002F50BD">
        <w:rPr>
          <w:rFonts w:ascii="Verdana" w:hAnsi="Verdana"/>
          <w:sz w:val="20"/>
          <w:lang w:val="pt-BR"/>
        </w:rPr>
        <w:t xml:space="preserve">de </w:t>
      </w:r>
      <w:r w:rsidR="00977CDD" w:rsidRPr="002F50BD">
        <w:rPr>
          <w:rFonts w:ascii="Verdana" w:hAnsi="Verdana"/>
          <w:sz w:val="20"/>
          <w:lang w:val="pt-BR"/>
        </w:rPr>
        <w:t xml:space="preserve">qualquer </w:t>
      </w:r>
      <w:r w:rsidR="004756C1" w:rsidRPr="002F50BD">
        <w:rPr>
          <w:rFonts w:ascii="Verdana" w:hAnsi="Verdana"/>
          <w:sz w:val="20"/>
          <w:lang w:val="pt-BR"/>
        </w:rPr>
        <w:t>tipo de investiga</w:t>
      </w:r>
      <w:r w:rsidR="0089298C" w:rsidRPr="002F50BD">
        <w:rPr>
          <w:rFonts w:ascii="Verdana" w:hAnsi="Verdana"/>
          <w:sz w:val="20"/>
          <w:lang w:val="pt-BR"/>
        </w:rPr>
        <w:t>ção</w:t>
      </w:r>
      <w:r w:rsidR="00977CDD" w:rsidRPr="002F50BD">
        <w:rPr>
          <w:rFonts w:ascii="Verdana" w:hAnsi="Verdana"/>
          <w:sz w:val="20"/>
          <w:lang w:val="pt-BR"/>
        </w:rPr>
        <w:t>.</w:t>
      </w:r>
      <w:r w:rsidR="004756C1" w:rsidRPr="002F50BD">
        <w:rPr>
          <w:rStyle w:val="FootnoteReference"/>
          <w:rFonts w:ascii="Verdana" w:hAnsi="Verdana"/>
          <w:lang w:val="es-ES_tradnl"/>
        </w:rPr>
        <w:footnoteReference w:id="152"/>
      </w:r>
      <w:r w:rsidR="00FE08B7">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756C1">
      <w:pPr>
        <w:pStyle w:val="BodyText"/>
        <w:rPr>
          <w:rFonts w:ascii="Verdana" w:hAnsi="Verdana"/>
          <w:i/>
          <w:sz w:val="20"/>
          <w:lang w:val="pt-BR"/>
        </w:rPr>
      </w:pPr>
      <w:r w:rsidRPr="002F50BD">
        <w:rPr>
          <w:rFonts w:ascii="Verdana" w:hAnsi="Verdana"/>
          <w:i/>
          <w:sz w:val="20"/>
          <w:lang w:val="pt-BR"/>
        </w:rPr>
        <w:t>d</w:t>
      </w:r>
      <w:r w:rsidR="00CF451D" w:rsidRPr="00CF451D">
        <w:rPr>
          <w:rFonts w:ascii="Verdana" w:hAnsi="Verdana"/>
          <w:sz w:val="20"/>
          <w:lang w:val="pt-BR"/>
        </w:rPr>
        <w:t>)</w:t>
      </w:r>
      <w:r w:rsidRPr="002F50BD">
        <w:rPr>
          <w:rFonts w:ascii="Verdana" w:hAnsi="Verdana"/>
          <w:i/>
          <w:sz w:val="20"/>
          <w:lang w:val="pt-BR"/>
        </w:rPr>
        <w:tab/>
        <w:t>Condi</w:t>
      </w:r>
      <w:r w:rsidR="0089298C" w:rsidRPr="002F50BD">
        <w:rPr>
          <w:rFonts w:ascii="Verdana" w:hAnsi="Verdana"/>
          <w:i/>
          <w:sz w:val="20"/>
          <w:lang w:val="pt-BR"/>
        </w:rPr>
        <w:t>ções</w:t>
      </w:r>
      <w:r w:rsidRPr="002F50BD">
        <w:rPr>
          <w:rFonts w:ascii="Verdana" w:hAnsi="Verdana"/>
          <w:i/>
          <w:sz w:val="20"/>
          <w:lang w:val="pt-BR"/>
        </w:rPr>
        <w:t xml:space="preserve"> de vida</w:t>
      </w:r>
      <w:r w:rsidR="0089298C" w:rsidRPr="002F50BD">
        <w:rPr>
          <w:rFonts w:ascii="Verdana" w:hAnsi="Verdana"/>
          <w:i/>
          <w:sz w:val="20"/>
          <w:lang w:val="pt-BR"/>
        </w:rPr>
        <w:t xml:space="preserve"> dos membro</w:t>
      </w:r>
      <w:r w:rsidRPr="002F50BD">
        <w:rPr>
          <w:rFonts w:ascii="Verdana" w:hAnsi="Verdana"/>
          <w:i/>
          <w:sz w:val="20"/>
          <w:lang w:val="pt-BR"/>
        </w:rPr>
        <w:t>s</w:t>
      </w:r>
      <w:r w:rsidR="0089298C" w:rsidRPr="002F50BD">
        <w:rPr>
          <w:rFonts w:ascii="Verdana" w:hAnsi="Verdana"/>
          <w:i/>
          <w:sz w:val="20"/>
          <w:lang w:val="pt-BR"/>
        </w:rPr>
        <w:t xml:space="preserve"> da Comunidade </w:t>
      </w:r>
      <w:r w:rsidRPr="002F50BD">
        <w:rPr>
          <w:rFonts w:ascii="Verdana" w:hAnsi="Verdana"/>
          <w:i/>
          <w:sz w:val="20"/>
          <w:lang w:val="pt-BR"/>
        </w:rPr>
        <w:t>indígena Yakye Axa</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92</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ano </w:t>
      </w:r>
      <w:r w:rsidR="00977CDD" w:rsidRPr="002F50BD">
        <w:rPr>
          <w:rFonts w:ascii="Verdana" w:hAnsi="Verdana"/>
          <w:sz w:val="20"/>
          <w:lang w:val="pt-BR"/>
        </w:rPr>
        <w:t xml:space="preserve">de </w:t>
      </w:r>
      <w:r w:rsidRPr="002F50BD">
        <w:rPr>
          <w:rFonts w:ascii="Verdana" w:hAnsi="Verdana"/>
          <w:sz w:val="20"/>
          <w:lang w:val="pt-BR"/>
        </w:rPr>
        <w:t>1996</w:t>
      </w:r>
      <w:r w:rsidR="004A23F8"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alguns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decidiram</w:t>
      </w:r>
      <w:r w:rsidR="004756C1" w:rsidRPr="002F50BD">
        <w:rPr>
          <w:rFonts w:ascii="Verdana" w:hAnsi="Verdana"/>
          <w:sz w:val="20"/>
          <w:lang w:val="pt-BR"/>
        </w:rPr>
        <w:t xml:space="preserve"> </w:t>
      </w:r>
      <w:r w:rsidR="0089298C" w:rsidRPr="002F50BD">
        <w:rPr>
          <w:rFonts w:ascii="Verdana" w:hAnsi="Verdana"/>
          <w:sz w:val="20"/>
          <w:lang w:val="pt-BR"/>
        </w:rPr>
        <w:t xml:space="preserve">sair da </w:t>
      </w:r>
      <w:r w:rsidR="004756C1" w:rsidRPr="002F50BD">
        <w:rPr>
          <w:rFonts w:ascii="Verdana" w:hAnsi="Verdana"/>
          <w:i/>
          <w:sz w:val="20"/>
          <w:lang w:val="pt-BR"/>
        </w:rPr>
        <w:t>Estancia</w:t>
      </w:r>
      <w:r w:rsidR="00D91C0F" w:rsidRPr="002F50BD">
        <w:rPr>
          <w:rFonts w:ascii="Verdana" w:hAnsi="Verdana"/>
          <w:i/>
          <w:sz w:val="20"/>
          <w:lang w:val="pt-BR"/>
        </w:rPr>
        <w:t xml:space="preserve"> El Estribo</w:t>
      </w:r>
      <w:r w:rsidR="0089298C" w:rsidRPr="002F50BD">
        <w:rPr>
          <w:rFonts w:ascii="Verdana" w:hAnsi="Verdana"/>
          <w:sz w:val="20"/>
          <w:lang w:val="pt-BR"/>
        </w:rPr>
        <w:t xml:space="preserve"> e </w:t>
      </w:r>
      <w:r w:rsidR="00E10DBB" w:rsidRPr="002F50BD">
        <w:rPr>
          <w:rFonts w:ascii="Verdana" w:hAnsi="Verdana"/>
          <w:sz w:val="20"/>
          <w:lang w:val="pt-BR"/>
        </w:rPr>
        <w:t>regressar</w:t>
      </w:r>
      <w:r w:rsidR="0089298C" w:rsidRPr="002F50BD">
        <w:rPr>
          <w:rFonts w:ascii="Verdana" w:hAnsi="Verdana"/>
          <w:sz w:val="20"/>
          <w:lang w:val="pt-BR"/>
        </w:rPr>
        <w:t xml:space="preserve"> às terra</w:t>
      </w:r>
      <w:r w:rsidR="004756C1" w:rsidRPr="002F50BD">
        <w:rPr>
          <w:rFonts w:ascii="Verdana" w:hAnsi="Verdana"/>
          <w:sz w:val="20"/>
          <w:lang w:val="pt-BR"/>
        </w:rPr>
        <w:t xml:space="preserve">s reclamadas como parte de </w:t>
      </w:r>
      <w:r w:rsidR="00AB454A" w:rsidRPr="002F50BD">
        <w:rPr>
          <w:rFonts w:ascii="Verdana" w:hAnsi="Verdana"/>
          <w:sz w:val="20"/>
          <w:lang w:val="pt-BR"/>
        </w:rPr>
        <w:t>seu território</w:t>
      </w:r>
      <w:r w:rsidR="004756C1" w:rsidRPr="002F50BD">
        <w:rPr>
          <w:rFonts w:ascii="Verdana" w:hAnsi="Verdana"/>
          <w:sz w:val="20"/>
          <w:lang w:val="pt-BR"/>
        </w:rPr>
        <w:t xml:space="preserve"> ancestral,</w:t>
      </w:r>
      <w:r w:rsidR="0089298C" w:rsidRPr="002F50BD">
        <w:rPr>
          <w:rFonts w:ascii="Verdana" w:hAnsi="Verdana"/>
          <w:sz w:val="20"/>
          <w:lang w:val="pt-BR"/>
        </w:rPr>
        <w:t xml:space="preserve"> à </w:t>
      </w:r>
      <w:r w:rsidR="004756C1" w:rsidRPr="002F50BD">
        <w:rPr>
          <w:rFonts w:ascii="Verdana" w:hAnsi="Verdana"/>
          <w:sz w:val="20"/>
          <w:lang w:val="pt-BR"/>
        </w:rPr>
        <w:t>espera de</w:t>
      </w:r>
      <w:r w:rsidR="0089298C" w:rsidRPr="002F50BD">
        <w:rPr>
          <w:rFonts w:ascii="Verdana" w:hAnsi="Verdana"/>
          <w:sz w:val="20"/>
          <w:lang w:val="pt-BR"/>
        </w:rPr>
        <w:t xml:space="preserve"> uma </w:t>
      </w:r>
      <w:r w:rsidR="004756C1" w:rsidRPr="002F50BD">
        <w:rPr>
          <w:rFonts w:ascii="Verdana" w:hAnsi="Verdana"/>
          <w:sz w:val="20"/>
          <w:lang w:val="pt-BR"/>
        </w:rPr>
        <w:t>resolu</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INDI sobre</w:t>
      </w:r>
      <w:r w:rsidR="00977CDD" w:rsidRPr="002F50BD">
        <w:rPr>
          <w:rFonts w:ascii="Verdana" w:hAnsi="Verdana"/>
          <w:sz w:val="20"/>
          <w:lang w:val="pt-BR"/>
        </w:rPr>
        <w:t xml:space="preserve"> seu caso</w:t>
      </w:r>
      <w:r w:rsidR="00D95E71" w:rsidRPr="002F50BD">
        <w:rPr>
          <w:rFonts w:ascii="Verdana" w:hAnsi="Verdana"/>
          <w:sz w:val="20"/>
          <w:lang w:val="pt-BR"/>
        </w:rPr>
        <w:t xml:space="preserve">. O </w:t>
      </w:r>
      <w:r w:rsidR="0089298C" w:rsidRPr="002F50BD">
        <w:rPr>
          <w:rFonts w:ascii="Verdana" w:hAnsi="Verdana"/>
          <w:sz w:val="20"/>
          <w:lang w:val="pt-BR"/>
        </w:rPr>
        <w:t>ingresso</w:t>
      </w:r>
      <w:r w:rsidR="004756C1" w:rsidRPr="002F50BD">
        <w:rPr>
          <w:rFonts w:ascii="Verdana" w:hAnsi="Verdana"/>
          <w:sz w:val="20"/>
          <w:lang w:val="pt-BR"/>
        </w:rPr>
        <w:t xml:space="preserve"> </w:t>
      </w:r>
      <w:r w:rsidR="0063607A" w:rsidRPr="002F50BD">
        <w:rPr>
          <w:rFonts w:ascii="Verdana" w:hAnsi="Verdana"/>
          <w:sz w:val="20"/>
          <w:lang w:val="pt-BR"/>
        </w:rPr>
        <w:t>n</w:t>
      </w:r>
      <w:r w:rsidR="0089298C" w:rsidRPr="002F50BD">
        <w:rPr>
          <w:rFonts w:ascii="Verdana" w:hAnsi="Verdana"/>
          <w:sz w:val="20"/>
          <w:lang w:val="pt-BR"/>
        </w:rPr>
        <w:t>esta</w:t>
      </w:r>
      <w:r w:rsidR="004756C1" w:rsidRPr="002F50BD">
        <w:rPr>
          <w:rFonts w:ascii="Verdana" w:hAnsi="Verdana"/>
          <w:sz w:val="20"/>
          <w:lang w:val="pt-BR"/>
        </w:rPr>
        <w:t xml:space="preserve">s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lhes foi </w:t>
      </w:r>
      <w:r w:rsidR="004756C1" w:rsidRPr="002F50BD">
        <w:rPr>
          <w:rFonts w:ascii="Verdana" w:hAnsi="Verdana"/>
          <w:sz w:val="20"/>
          <w:lang w:val="pt-BR"/>
        </w:rPr>
        <w:t>negado,</w:t>
      </w:r>
      <w:r w:rsidR="0089298C" w:rsidRPr="002F50BD">
        <w:rPr>
          <w:rFonts w:ascii="Verdana" w:hAnsi="Verdana"/>
          <w:sz w:val="20"/>
          <w:lang w:val="pt-BR"/>
        </w:rPr>
        <w:t xml:space="preserve"> </w:t>
      </w:r>
      <w:r w:rsidR="00977CDD" w:rsidRPr="002F50BD">
        <w:rPr>
          <w:rFonts w:ascii="Verdana" w:hAnsi="Verdana"/>
          <w:sz w:val="20"/>
          <w:lang w:val="pt-BR"/>
        </w:rPr>
        <w:t xml:space="preserve">de modo </w:t>
      </w:r>
      <w:r w:rsidR="0089298C" w:rsidRPr="002F50BD">
        <w:rPr>
          <w:rFonts w:ascii="Verdana" w:hAnsi="Verdana"/>
          <w:sz w:val="20"/>
          <w:lang w:val="pt-BR"/>
        </w:rPr>
        <w:t>que decidiram</w:t>
      </w:r>
      <w:r w:rsidR="004756C1" w:rsidRPr="002F50BD">
        <w:rPr>
          <w:rFonts w:ascii="Verdana" w:hAnsi="Verdana"/>
          <w:sz w:val="20"/>
          <w:lang w:val="pt-BR"/>
        </w:rPr>
        <w:t xml:space="preserve"> instalar</w:t>
      </w:r>
      <w:r w:rsidR="00977CDD" w:rsidRPr="002F50BD">
        <w:rPr>
          <w:rFonts w:ascii="Verdana" w:hAnsi="Verdana"/>
          <w:sz w:val="20"/>
          <w:lang w:val="pt-BR"/>
        </w:rPr>
        <w:t>-</w:t>
      </w:r>
      <w:r w:rsidR="004756C1" w:rsidRPr="002F50BD">
        <w:rPr>
          <w:rFonts w:ascii="Verdana" w:hAnsi="Verdana"/>
          <w:sz w:val="20"/>
          <w:lang w:val="pt-BR"/>
        </w:rPr>
        <w:t xml:space="preserve">se </w:t>
      </w:r>
      <w:r w:rsidR="00977CDD" w:rsidRPr="002F50BD">
        <w:rPr>
          <w:rFonts w:ascii="Verdana" w:hAnsi="Verdana"/>
          <w:sz w:val="20"/>
          <w:lang w:val="pt-BR"/>
        </w:rPr>
        <w:t xml:space="preserve">em </w:t>
      </w:r>
      <w:r w:rsidR="004756C1" w:rsidRPr="002F50BD">
        <w:rPr>
          <w:rFonts w:ascii="Verdana" w:hAnsi="Verdana"/>
          <w:sz w:val="20"/>
          <w:lang w:val="pt-BR"/>
        </w:rPr>
        <w:t>frente</w:t>
      </w:r>
      <w:r w:rsidR="0089298C" w:rsidRPr="002F50BD">
        <w:rPr>
          <w:rFonts w:ascii="Verdana" w:hAnsi="Verdana"/>
          <w:sz w:val="20"/>
          <w:lang w:val="pt-BR"/>
        </w:rPr>
        <w:t xml:space="preserve"> </w:t>
      </w:r>
      <w:r w:rsidR="00977CDD" w:rsidRPr="002F50BD">
        <w:rPr>
          <w:rFonts w:ascii="Verdana" w:hAnsi="Verdana"/>
          <w:sz w:val="20"/>
          <w:lang w:val="pt-BR"/>
        </w:rPr>
        <w:t xml:space="preserve">ao alambrado </w:t>
      </w:r>
      <w:r w:rsidR="0089298C" w:rsidRPr="002F50BD">
        <w:rPr>
          <w:rFonts w:ascii="Verdana" w:hAnsi="Verdana"/>
          <w:sz w:val="20"/>
          <w:lang w:val="pt-BR"/>
        </w:rPr>
        <w:t xml:space="preserve">da </w:t>
      </w:r>
      <w:r w:rsidR="00060B3A" w:rsidRPr="002F50BD">
        <w:rPr>
          <w:rFonts w:ascii="Verdana" w:hAnsi="Verdana"/>
          <w:i/>
          <w:sz w:val="20"/>
          <w:lang w:val="pt-BR"/>
        </w:rPr>
        <w:t>Estancia Loma Verde</w:t>
      </w:r>
      <w:r w:rsidR="004756C1" w:rsidRPr="002F50BD">
        <w:rPr>
          <w:rFonts w:ascii="Verdana" w:hAnsi="Verdana"/>
          <w:sz w:val="20"/>
          <w:lang w:val="pt-BR"/>
        </w:rPr>
        <w:t>,</w:t>
      </w:r>
      <w:r w:rsidR="0089298C" w:rsidRPr="002F50BD">
        <w:rPr>
          <w:rFonts w:ascii="Verdana" w:hAnsi="Verdana"/>
          <w:sz w:val="20"/>
          <w:lang w:val="pt-BR"/>
        </w:rPr>
        <w:t xml:space="preserve"> </w:t>
      </w:r>
      <w:r w:rsidR="00977CDD" w:rsidRPr="002F50BD">
        <w:rPr>
          <w:rFonts w:ascii="Verdana" w:hAnsi="Verdana"/>
          <w:sz w:val="20"/>
          <w:lang w:val="pt-BR"/>
        </w:rPr>
        <w:t xml:space="preserve">ao lado da estrada </w:t>
      </w:r>
      <w:r w:rsidR="006D28A8" w:rsidRPr="002F50BD">
        <w:rPr>
          <w:rFonts w:ascii="Verdana" w:hAnsi="Verdana"/>
          <w:sz w:val="20"/>
          <w:lang w:val="pt-BR"/>
        </w:rPr>
        <w:t xml:space="preserve">entre </w:t>
      </w:r>
      <w:r w:rsidR="004756C1" w:rsidRPr="002F50BD">
        <w:rPr>
          <w:rFonts w:ascii="Verdana" w:hAnsi="Verdana"/>
          <w:sz w:val="20"/>
          <w:lang w:val="pt-BR"/>
        </w:rPr>
        <w:t>Pozo Colorado</w:t>
      </w:r>
      <w:r w:rsidR="0089298C" w:rsidRPr="002F50BD">
        <w:rPr>
          <w:rFonts w:ascii="Verdana" w:hAnsi="Verdana"/>
          <w:sz w:val="20"/>
          <w:lang w:val="pt-BR"/>
        </w:rPr>
        <w:t xml:space="preserve"> e </w:t>
      </w:r>
      <w:r w:rsidR="00313394" w:rsidRPr="002F50BD">
        <w:rPr>
          <w:rFonts w:ascii="Verdana" w:hAnsi="Verdana"/>
          <w:sz w:val="20"/>
          <w:lang w:val="pt-BR"/>
        </w:rPr>
        <w:t>Concepción</w:t>
      </w:r>
      <w:r w:rsidR="004756C1" w:rsidRPr="002F50BD">
        <w:rPr>
          <w:rFonts w:ascii="Verdana" w:hAnsi="Verdana"/>
          <w:sz w:val="20"/>
          <w:lang w:val="pt-BR"/>
        </w:rPr>
        <w:t>,</w:t>
      </w:r>
      <w:r w:rsidR="0089298C" w:rsidRPr="002F50BD">
        <w:rPr>
          <w:rFonts w:ascii="Verdana" w:hAnsi="Verdana"/>
          <w:sz w:val="20"/>
          <w:lang w:val="pt-BR"/>
        </w:rPr>
        <w:t xml:space="preserve"> no </w:t>
      </w:r>
      <w:r w:rsidR="004756C1" w:rsidRPr="002F50BD">
        <w:rPr>
          <w:rFonts w:ascii="Verdana" w:hAnsi="Verdana"/>
          <w:sz w:val="20"/>
          <w:lang w:val="pt-BR"/>
        </w:rPr>
        <w:t>Departamento de Presidente Hayes</w:t>
      </w:r>
      <w:r w:rsidR="004756C1" w:rsidRPr="002F50BD">
        <w:rPr>
          <w:rStyle w:val="FootnoteReference"/>
          <w:rFonts w:ascii="Verdana" w:hAnsi="Verdana"/>
          <w:lang w:val="es-ES_tradnl"/>
        </w:rPr>
        <w:footnoteReference w:id="153"/>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8</w:t>
      </w:r>
      <w:r w:rsidR="00977CDD"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rsidP="00977CDD">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93</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w:t>
      </w:r>
      <w:r w:rsidR="00977CDD" w:rsidRPr="002F50BD">
        <w:rPr>
          <w:rFonts w:ascii="Verdana" w:hAnsi="Verdana"/>
          <w:sz w:val="20"/>
          <w:lang w:val="pt-BR"/>
        </w:rPr>
        <w:t>miséria</w:t>
      </w:r>
      <w:r w:rsidR="0089298C" w:rsidRPr="002F50BD">
        <w:rPr>
          <w:rFonts w:ascii="Verdana" w:hAnsi="Verdana"/>
          <w:sz w:val="20"/>
          <w:lang w:val="pt-BR"/>
        </w:rPr>
        <w:t xml:space="preserve"> </w:t>
      </w:r>
      <w:r w:rsidR="00977CDD" w:rsidRPr="002F50BD">
        <w:rPr>
          <w:rFonts w:ascii="Verdana" w:hAnsi="Verdana"/>
          <w:sz w:val="20"/>
          <w:lang w:val="pt-BR"/>
        </w:rPr>
        <w:t xml:space="preserve">em que </w:t>
      </w:r>
      <w:r w:rsidR="0089298C" w:rsidRPr="002F50BD">
        <w:rPr>
          <w:rFonts w:ascii="Verdana" w:hAnsi="Verdana"/>
          <w:sz w:val="20"/>
          <w:lang w:val="pt-BR"/>
        </w:rPr>
        <w:t>vivem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que</w:t>
      </w:r>
      <w:r w:rsidR="0089298C" w:rsidRPr="002F50BD">
        <w:rPr>
          <w:rFonts w:ascii="Verdana" w:hAnsi="Verdana"/>
          <w:sz w:val="20"/>
          <w:lang w:val="pt-BR"/>
        </w:rPr>
        <w:t xml:space="preserve"> estão </w:t>
      </w:r>
      <w:r w:rsidR="00E7595C" w:rsidRPr="002F50BD">
        <w:rPr>
          <w:rFonts w:ascii="Verdana" w:hAnsi="Verdana"/>
          <w:sz w:val="20"/>
          <w:lang w:val="pt-BR"/>
        </w:rPr>
        <w:t>assentad</w:t>
      </w:r>
      <w:r w:rsidR="004756C1" w:rsidRPr="002F50BD">
        <w:rPr>
          <w:rFonts w:ascii="Verdana" w:hAnsi="Verdana"/>
          <w:sz w:val="20"/>
          <w:lang w:val="pt-BR"/>
        </w:rPr>
        <w:t>os</w:t>
      </w:r>
      <w:r w:rsidR="0089298C" w:rsidRPr="002F50BD">
        <w:rPr>
          <w:rFonts w:ascii="Verdana" w:hAnsi="Verdana"/>
          <w:sz w:val="20"/>
          <w:lang w:val="pt-BR"/>
        </w:rPr>
        <w:t xml:space="preserve"> ao </w:t>
      </w:r>
      <w:r w:rsidR="00977CDD" w:rsidRPr="002F50BD">
        <w:rPr>
          <w:rFonts w:ascii="Verdana" w:hAnsi="Verdana"/>
          <w:sz w:val="20"/>
          <w:lang w:val="pt-BR"/>
        </w:rPr>
        <w:t>lado</w:t>
      </w:r>
      <w:r w:rsidR="0089298C" w:rsidRPr="002F50BD">
        <w:rPr>
          <w:rFonts w:ascii="Verdana" w:hAnsi="Verdana"/>
          <w:sz w:val="20"/>
          <w:lang w:val="pt-BR"/>
        </w:rPr>
        <w:t xml:space="preserve"> da </w:t>
      </w:r>
      <w:r w:rsidR="00475EBB" w:rsidRPr="002F50BD">
        <w:rPr>
          <w:rFonts w:ascii="Verdana" w:hAnsi="Verdana"/>
          <w:sz w:val="20"/>
          <w:lang w:val="pt-BR"/>
        </w:rPr>
        <w:t>rodovia</w:t>
      </w:r>
      <w:r w:rsidR="004756C1" w:rsidRPr="002F50BD">
        <w:rPr>
          <w:rFonts w:ascii="Verdana" w:hAnsi="Verdana"/>
          <w:sz w:val="20"/>
          <w:lang w:val="pt-BR"/>
        </w:rPr>
        <w:t xml:space="preserve"> pública</w:t>
      </w:r>
      <w:r w:rsidR="0089298C" w:rsidRPr="002F50BD">
        <w:rPr>
          <w:rFonts w:ascii="Verdana" w:hAnsi="Verdana"/>
          <w:sz w:val="20"/>
          <w:lang w:val="pt-BR"/>
        </w:rPr>
        <w:t xml:space="preserve"> são </w:t>
      </w:r>
      <w:r w:rsidR="004756C1" w:rsidRPr="002F50BD">
        <w:rPr>
          <w:rFonts w:ascii="Verdana" w:hAnsi="Verdana"/>
          <w:sz w:val="20"/>
          <w:lang w:val="pt-BR"/>
        </w:rPr>
        <w:t>extremas</w:t>
      </w:r>
      <w:r w:rsidR="00977CDD" w:rsidRPr="002F50BD">
        <w:rPr>
          <w:rFonts w:ascii="Verdana" w:hAnsi="Verdana"/>
          <w:sz w:val="20"/>
          <w:lang w:val="pt-BR"/>
        </w:rPr>
        <w:t>.</w:t>
      </w:r>
      <w:r w:rsidR="004756C1" w:rsidRPr="002F50BD">
        <w:rPr>
          <w:rStyle w:val="FootnoteReference"/>
          <w:rFonts w:ascii="Verdana" w:hAnsi="Verdana"/>
          <w:lang w:val="es-ES_tradnl"/>
        </w:rPr>
        <w:footnoteReference w:id="154"/>
      </w:r>
      <w:r w:rsidR="00DB51F0"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w:t>
      </w:r>
      <w:r w:rsidR="0089298C" w:rsidRPr="002F50BD">
        <w:rPr>
          <w:rFonts w:ascii="Verdana" w:hAnsi="Verdana"/>
          <w:sz w:val="20"/>
          <w:lang w:val="pt-BR"/>
        </w:rPr>
        <w:lastRenderedPageBreak/>
        <w:t xml:space="preserve">desta Comunidade </w:t>
      </w:r>
      <w:r w:rsidR="00AB454A" w:rsidRPr="002F50BD">
        <w:rPr>
          <w:rFonts w:ascii="Verdana" w:hAnsi="Verdana"/>
          <w:sz w:val="20"/>
          <w:lang w:val="pt-BR"/>
        </w:rPr>
        <w:t xml:space="preserve">não </w:t>
      </w:r>
      <w:r w:rsidR="00475EBB" w:rsidRPr="002F50BD">
        <w:rPr>
          <w:rFonts w:ascii="Verdana" w:hAnsi="Verdana"/>
          <w:sz w:val="20"/>
          <w:lang w:val="pt-BR"/>
        </w:rPr>
        <w:t xml:space="preserve">podem </w:t>
      </w:r>
      <w:r w:rsidR="004756C1" w:rsidRPr="002F50BD">
        <w:rPr>
          <w:rFonts w:ascii="Verdana" w:hAnsi="Verdana"/>
          <w:sz w:val="20"/>
          <w:lang w:val="pt-BR"/>
        </w:rPr>
        <w:t>cultivar</w:t>
      </w:r>
      <w:r w:rsidR="0089298C" w:rsidRPr="002F50BD">
        <w:rPr>
          <w:rFonts w:ascii="Verdana" w:hAnsi="Verdana"/>
          <w:sz w:val="20"/>
          <w:lang w:val="pt-BR"/>
        </w:rPr>
        <w:t xml:space="preserve"> nem </w:t>
      </w:r>
      <w:r w:rsidR="004076AD" w:rsidRPr="002F50BD">
        <w:rPr>
          <w:rFonts w:ascii="Verdana" w:hAnsi="Verdana"/>
          <w:sz w:val="20"/>
          <w:lang w:val="pt-BR"/>
        </w:rPr>
        <w:t>praticar</w:t>
      </w:r>
      <w:r w:rsidR="004756C1" w:rsidRPr="002F50BD">
        <w:rPr>
          <w:rFonts w:ascii="Verdana" w:hAnsi="Verdana"/>
          <w:sz w:val="20"/>
          <w:lang w:val="pt-BR"/>
        </w:rPr>
        <w:t xml:space="preserve"> </w:t>
      </w:r>
      <w:r w:rsidR="004076AD" w:rsidRPr="002F50BD">
        <w:rPr>
          <w:rFonts w:ascii="Verdana" w:hAnsi="Verdana"/>
          <w:sz w:val="20"/>
          <w:lang w:val="pt-BR"/>
        </w:rPr>
        <w:t>suas atividades</w:t>
      </w:r>
      <w:r w:rsidR="004756C1" w:rsidRPr="002F50BD">
        <w:rPr>
          <w:rFonts w:ascii="Verdana" w:hAnsi="Verdana"/>
          <w:sz w:val="20"/>
          <w:lang w:val="pt-BR"/>
        </w:rPr>
        <w:t xml:space="preserve"> tr</w:t>
      </w:r>
      <w:r w:rsidR="0089298C" w:rsidRPr="002F50BD">
        <w:rPr>
          <w:rFonts w:ascii="Verdana" w:hAnsi="Verdana"/>
          <w:sz w:val="20"/>
          <w:lang w:val="pt-BR"/>
        </w:rPr>
        <w:t>adicionais</w:t>
      </w:r>
      <w:r w:rsidR="004756C1" w:rsidRPr="002F50BD">
        <w:rPr>
          <w:rFonts w:ascii="Verdana" w:hAnsi="Verdana"/>
          <w:sz w:val="20"/>
          <w:lang w:val="pt-BR"/>
        </w:rPr>
        <w:t xml:space="preserve"> de </w:t>
      </w:r>
      <w:r w:rsidR="0089298C" w:rsidRPr="002F50BD">
        <w:rPr>
          <w:rFonts w:ascii="Verdana" w:hAnsi="Verdana"/>
          <w:sz w:val="20"/>
          <w:lang w:val="pt-BR"/>
        </w:rPr>
        <w:t xml:space="preserve">subsistência na </w:t>
      </w:r>
      <w:r w:rsidR="004756C1" w:rsidRPr="002F50BD">
        <w:rPr>
          <w:rFonts w:ascii="Verdana" w:hAnsi="Verdana"/>
          <w:sz w:val="20"/>
          <w:lang w:val="pt-BR"/>
        </w:rPr>
        <w:t xml:space="preserve">zona de </w:t>
      </w:r>
      <w:r w:rsidR="00AB454A" w:rsidRPr="002F50BD">
        <w:rPr>
          <w:rFonts w:ascii="Verdana" w:hAnsi="Verdana"/>
          <w:sz w:val="20"/>
          <w:lang w:val="pt-BR"/>
        </w:rPr>
        <w:t>assentamento</w:t>
      </w:r>
      <w:r w:rsidR="004756C1" w:rsidRPr="002F50BD">
        <w:rPr>
          <w:rFonts w:ascii="Verdana" w:hAnsi="Verdana"/>
          <w:sz w:val="20"/>
          <w:lang w:val="pt-BR"/>
        </w:rPr>
        <w:t>.</w:t>
      </w:r>
      <w:r w:rsidR="00FE08B7">
        <w:rPr>
          <w:rFonts w:ascii="Verdana" w:hAnsi="Verdana"/>
          <w:sz w:val="20"/>
          <w:lang w:val="pt-BR"/>
        </w:rPr>
        <w:t xml:space="preserve"> </w:t>
      </w:r>
      <w:r w:rsidR="0089298C" w:rsidRPr="002F50BD">
        <w:rPr>
          <w:rFonts w:ascii="Verdana" w:hAnsi="Verdana"/>
          <w:sz w:val="20"/>
          <w:lang w:val="pt-BR"/>
        </w:rPr>
        <w:t>Ademais</w:t>
      </w:r>
      <w:r w:rsidR="004756C1" w:rsidRPr="002F50BD">
        <w:rPr>
          <w:rFonts w:ascii="Verdana" w:hAnsi="Verdana"/>
          <w:sz w:val="20"/>
          <w:lang w:val="pt-BR"/>
        </w:rPr>
        <w:t>, n</w:t>
      </w:r>
      <w:r w:rsidR="003F15BE"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lhes </w:t>
      </w:r>
      <w:r w:rsidR="003F15BE" w:rsidRPr="002F50BD">
        <w:rPr>
          <w:rFonts w:ascii="Verdana" w:hAnsi="Verdana"/>
          <w:sz w:val="20"/>
          <w:lang w:val="pt-BR"/>
        </w:rPr>
        <w:t xml:space="preserve">é </w:t>
      </w:r>
      <w:r w:rsidR="004756C1" w:rsidRPr="002F50BD">
        <w:rPr>
          <w:rFonts w:ascii="Verdana" w:hAnsi="Verdana"/>
          <w:sz w:val="20"/>
          <w:lang w:val="pt-BR"/>
        </w:rPr>
        <w:t xml:space="preserve">permitido </w:t>
      </w:r>
      <w:r w:rsidR="0089298C" w:rsidRPr="002F50BD">
        <w:rPr>
          <w:rFonts w:ascii="Verdana" w:hAnsi="Verdana"/>
          <w:sz w:val="20"/>
          <w:lang w:val="pt-BR"/>
        </w:rPr>
        <w:t xml:space="preserve">ingressar </w:t>
      </w:r>
      <w:r w:rsidR="0063607A" w:rsidRPr="002F50BD">
        <w:rPr>
          <w:rFonts w:ascii="Verdana" w:hAnsi="Verdana"/>
          <w:sz w:val="20"/>
          <w:lang w:val="pt-BR"/>
        </w:rPr>
        <w:t xml:space="preserve">nas </w:t>
      </w:r>
      <w:r w:rsidR="0089298C" w:rsidRPr="002F50BD">
        <w:rPr>
          <w:rFonts w:ascii="Verdana" w:hAnsi="Verdana"/>
          <w:sz w:val="20"/>
          <w:lang w:val="pt-BR"/>
        </w:rPr>
        <w:t>terra</w:t>
      </w:r>
      <w:r w:rsidR="004756C1" w:rsidRPr="002F50BD">
        <w:rPr>
          <w:rFonts w:ascii="Verdana" w:hAnsi="Verdana"/>
          <w:sz w:val="20"/>
          <w:lang w:val="pt-BR"/>
        </w:rPr>
        <w:t>s que reclama</w:t>
      </w:r>
      <w:r w:rsidR="003F15BE" w:rsidRPr="002F50BD">
        <w:rPr>
          <w:rFonts w:ascii="Verdana" w:hAnsi="Verdana"/>
          <w:sz w:val="20"/>
          <w:lang w:val="pt-BR"/>
        </w:rPr>
        <w:t>m</w:t>
      </w:r>
      <w:r w:rsidR="004756C1" w:rsidRPr="002F50BD">
        <w:rPr>
          <w:rFonts w:ascii="Verdana" w:hAnsi="Verdana"/>
          <w:sz w:val="20"/>
          <w:lang w:val="pt-BR"/>
        </w:rPr>
        <w:t xml:space="preserve"> como tr</w:t>
      </w:r>
      <w:r w:rsidR="0089298C" w:rsidRPr="002F50BD">
        <w:rPr>
          <w:rFonts w:ascii="Verdana" w:hAnsi="Verdana"/>
          <w:sz w:val="20"/>
          <w:lang w:val="pt-BR"/>
        </w:rPr>
        <w:t>adicionais</w:t>
      </w:r>
      <w:r w:rsidR="004756C1" w:rsidRPr="002F50BD">
        <w:rPr>
          <w:rFonts w:ascii="Verdana" w:hAnsi="Verdana"/>
          <w:sz w:val="20"/>
          <w:lang w:val="pt-BR"/>
        </w:rPr>
        <w:t xml:space="preserve"> para </w:t>
      </w:r>
      <w:r w:rsidR="00AB454A" w:rsidRPr="002F50BD">
        <w:rPr>
          <w:rFonts w:ascii="Verdana" w:hAnsi="Verdana"/>
          <w:sz w:val="20"/>
          <w:lang w:val="pt-BR"/>
        </w:rPr>
        <w:t>caça</w:t>
      </w:r>
      <w:r w:rsidR="004756C1" w:rsidRPr="002F50BD">
        <w:rPr>
          <w:rFonts w:ascii="Verdana" w:hAnsi="Verdana"/>
          <w:sz w:val="20"/>
          <w:lang w:val="pt-BR"/>
        </w:rPr>
        <w:t xml:space="preserve">r </w:t>
      </w:r>
      <w:r w:rsidR="0089298C" w:rsidRPr="002F50BD">
        <w:rPr>
          <w:rFonts w:ascii="Verdana" w:hAnsi="Verdana"/>
          <w:sz w:val="20"/>
          <w:lang w:val="pt-BR"/>
        </w:rPr>
        <w:t>animais</w:t>
      </w:r>
      <w:r w:rsidR="004756C1" w:rsidRPr="002F50BD">
        <w:rPr>
          <w:rFonts w:ascii="Verdana" w:hAnsi="Verdana"/>
          <w:sz w:val="20"/>
          <w:lang w:val="pt-BR"/>
        </w:rPr>
        <w:t xml:space="preserve"> silvestres, pescar, </w:t>
      </w:r>
      <w:r w:rsidR="003F15BE" w:rsidRPr="002F50BD">
        <w:rPr>
          <w:rFonts w:ascii="Verdana" w:hAnsi="Verdana"/>
          <w:sz w:val="20"/>
          <w:lang w:val="pt-BR"/>
        </w:rPr>
        <w:t xml:space="preserve">colher </w:t>
      </w:r>
      <w:r w:rsidR="004756C1" w:rsidRPr="002F50BD">
        <w:rPr>
          <w:rFonts w:ascii="Verdana" w:hAnsi="Verdana"/>
          <w:sz w:val="20"/>
          <w:lang w:val="pt-BR"/>
        </w:rPr>
        <w:t>frutos, mel</w:t>
      </w:r>
      <w:r w:rsidR="0089298C" w:rsidRPr="002F50BD">
        <w:rPr>
          <w:rFonts w:ascii="Verdana" w:hAnsi="Verdana"/>
          <w:sz w:val="20"/>
          <w:lang w:val="pt-BR"/>
        </w:rPr>
        <w:t xml:space="preserve"> e</w:t>
      </w:r>
      <w:r w:rsidR="00475EBB" w:rsidRPr="002F50BD">
        <w:rPr>
          <w:rFonts w:ascii="Verdana" w:hAnsi="Verdana"/>
          <w:sz w:val="20"/>
          <w:lang w:val="pt-BR"/>
        </w:rPr>
        <w:t xml:space="preserve"> água</w:t>
      </w:r>
      <w:r w:rsidR="004756C1" w:rsidRPr="002F50BD">
        <w:rPr>
          <w:rFonts w:ascii="Verdana" w:hAnsi="Verdana"/>
          <w:sz w:val="20"/>
          <w:lang w:val="pt-BR"/>
        </w:rPr>
        <w:t xml:space="preserve">, entre </w:t>
      </w:r>
      <w:r w:rsidR="0089298C" w:rsidRPr="002F50BD">
        <w:rPr>
          <w:rFonts w:ascii="Verdana" w:hAnsi="Verdana"/>
          <w:sz w:val="20"/>
          <w:lang w:val="pt-BR"/>
        </w:rPr>
        <w:t>outros</w:t>
      </w:r>
      <w:r w:rsidR="004756C1" w:rsidRPr="002F50BD">
        <w:rPr>
          <w:rFonts w:ascii="Verdana" w:hAnsi="Verdana"/>
          <w:sz w:val="20"/>
          <w:lang w:val="pt-BR"/>
        </w:rPr>
        <w:t xml:space="preserve">. Para </w:t>
      </w:r>
      <w:r w:rsidR="0089298C" w:rsidRPr="002F50BD">
        <w:rPr>
          <w:rFonts w:ascii="Verdana" w:hAnsi="Verdana"/>
          <w:sz w:val="20"/>
          <w:lang w:val="pt-BR"/>
        </w:rPr>
        <w:t>obter</w:t>
      </w:r>
      <w:r w:rsidR="004756C1" w:rsidRPr="002F50BD">
        <w:rPr>
          <w:rFonts w:ascii="Verdana" w:hAnsi="Verdana"/>
          <w:sz w:val="20"/>
          <w:lang w:val="pt-BR"/>
        </w:rPr>
        <w:t xml:space="preserve"> alimento,</w:t>
      </w:r>
      <w:r w:rsidR="0089298C" w:rsidRPr="002F50BD">
        <w:rPr>
          <w:rFonts w:ascii="Verdana" w:hAnsi="Verdana"/>
          <w:sz w:val="20"/>
          <w:lang w:val="pt-BR"/>
        </w:rPr>
        <w:t xml:space="preserve"> os homens da Comunidade </w:t>
      </w:r>
      <w:r w:rsidR="004756C1" w:rsidRPr="002F50BD">
        <w:rPr>
          <w:rFonts w:ascii="Verdana" w:hAnsi="Verdana"/>
          <w:sz w:val="20"/>
          <w:lang w:val="pt-BR"/>
        </w:rPr>
        <w:t>se ve</w:t>
      </w:r>
      <w:r w:rsidR="003F15BE" w:rsidRPr="002F50BD">
        <w:rPr>
          <w:rFonts w:ascii="Verdana" w:hAnsi="Verdana"/>
          <w:sz w:val="20"/>
          <w:lang w:val="pt-BR"/>
        </w:rPr>
        <w:t>em</w:t>
      </w:r>
      <w:r w:rsidR="004756C1" w:rsidRPr="002F50BD">
        <w:rPr>
          <w:rFonts w:ascii="Verdana" w:hAnsi="Verdana"/>
          <w:sz w:val="20"/>
          <w:lang w:val="pt-BR"/>
        </w:rPr>
        <w:t xml:space="preserve"> </w:t>
      </w:r>
      <w:r w:rsidR="0089298C" w:rsidRPr="002F50BD">
        <w:rPr>
          <w:rFonts w:ascii="Verdana" w:hAnsi="Verdana"/>
          <w:sz w:val="20"/>
          <w:lang w:val="pt-BR"/>
        </w:rPr>
        <w:t>obrigad</w:t>
      </w:r>
      <w:r w:rsidR="004756C1" w:rsidRPr="002F50BD">
        <w:rPr>
          <w:rFonts w:ascii="Verdana" w:hAnsi="Verdana"/>
          <w:sz w:val="20"/>
          <w:lang w:val="pt-BR"/>
        </w:rPr>
        <w:t>os a</w:t>
      </w:r>
      <w:r w:rsidR="0089298C" w:rsidRPr="002F50BD">
        <w:rPr>
          <w:rFonts w:ascii="Verdana" w:hAnsi="Verdana"/>
          <w:sz w:val="20"/>
          <w:lang w:val="pt-BR"/>
        </w:rPr>
        <w:t xml:space="preserve"> fazer </w:t>
      </w:r>
      <w:r w:rsidR="003F15BE" w:rsidRPr="002F50BD">
        <w:rPr>
          <w:rFonts w:ascii="Verdana" w:hAnsi="Verdana"/>
          <w:sz w:val="20"/>
          <w:lang w:val="pt-BR"/>
        </w:rPr>
        <w:t xml:space="preserve">longas </w:t>
      </w:r>
      <w:r w:rsidR="0089298C" w:rsidRPr="002F50BD">
        <w:rPr>
          <w:rFonts w:ascii="Verdana" w:hAnsi="Verdana"/>
          <w:sz w:val="20"/>
          <w:lang w:val="pt-BR"/>
        </w:rPr>
        <w:t>viagens</w:t>
      </w:r>
      <w:r w:rsidR="004756C1" w:rsidRPr="002F50BD">
        <w:rPr>
          <w:rFonts w:ascii="Verdana" w:hAnsi="Verdana"/>
          <w:sz w:val="20"/>
          <w:lang w:val="pt-BR"/>
        </w:rPr>
        <w:t xml:space="preserve"> para </w:t>
      </w:r>
      <w:r w:rsidR="00AB454A" w:rsidRPr="002F50BD">
        <w:rPr>
          <w:rFonts w:ascii="Verdana" w:hAnsi="Verdana"/>
          <w:sz w:val="20"/>
          <w:lang w:val="pt-BR"/>
        </w:rPr>
        <w:t>caça</w:t>
      </w:r>
      <w:r w:rsidR="004756C1" w:rsidRPr="002F50BD">
        <w:rPr>
          <w:rFonts w:ascii="Verdana" w:hAnsi="Verdana"/>
          <w:sz w:val="20"/>
          <w:lang w:val="pt-BR"/>
        </w:rPr>
        <w:t>r</w:t>
      </w:r>
      <w:r w:rsidR="0089298C" w:rsidRPr="002F50BD">
        <w:rPr>
          <w:rFonts w:ascii="Verdana" w:hAnsi="Verdana"/>
          <w:sz w:val="20"/>
          <w:lang w:val="pt-BR"/>
        </w:rPr>
        <w:t xml:space="preserve"> e </w:t>
      </w:r>
      <w:r w:rsidR="004756C1" w:rsidRPr="002F50BD">
        <w:rPr>
          <w:rFonts w:ascii="Verdana" w:hAnsi="Verdana"/>
          <w:sz w:val="20"/>
          <w:lang w:val="pt-BR"/>
        </w:rPr>
        <w:t>pescar</w:t>
      </w:r>
      <w:r w:rsidR="0089298C" w:rsidRPr="002F50BD">
        <w:rPr>
          <w:rFonts w:ascii="Verdana" w:hAnsi="Verdana"/>
          <w:sz w:val="20"/>
          <w:lang w:val="pt-BR"/>
        </w:rPr>
        <w:t xml:space="preserve"> em outra</w:t>
      </w:r>
      <w:r w:rsidR="004756C1" w:rsidRPr="002F50BD">
        <w:rPr>
          <w:rFonts w:ascii="Verdana" w:hAnsi="Verdana"/>
          <w:sz w:val="20"/>
          <w:lang w:val="pt-BR"/>
        </w:rPr>
        <w:t>s zonas</w:t>
      </w:r>
      <w:r w:rsidR="003F15BE" w:rsidRPr="002F50BD">
        <w:rPr>
          <w:rFonts w:ascii="Verdana" w:hAnsi="Verdana"/>
          <w:sz w:val="20"/>
          <w:lang w:val="pt-BR"/>
        </w:rPr>
        <w:t>.</w:t>
      </w:r>
      <w:r w:rsidR="004756C1" w:rsidRPr="002F50BD">
        <w:rPr>
          <w:rStyle w:val="FootnoteReference"/>
          <w:rFonts w:ascii="Verdana" w:hAnsi="Verdana"/>
          <w:lang w:val="es-ES_tradnl"/>
        </w:rPr>
        <w:footnoteReference w:id="155"/>
      </w:r>
      <w:r w:rsidR="001A0CDE" w:rsidRPr="002F50BD">
        <w:rPr>
          <w:rFonts w:ascii="Verdana" w:hAnsi="Verdana"/>
          <w:sz w:val="20"/>
          <w:lang w:val="pt-BR"/>
        </w:rPr>
        <w:t xml:space="preserve"> Est</w:t>
      </w:r>
      <w:r w:rsidR="004756C1" w:rsidRPr="002F50BD">
        <w:rPr>
          <w:rFonts w:ascii="Verdana" w:hAnsi="Verdana"/>
          <w:sz w:val="20"/>
          <w:lang w:val="pt-BR"/>
        </w:rPr>
        <w:t>a situa</w:t>
      </w:r>
      <w:r w:rsidR="0089298C" w:rsidRPr="002F50BD">
        <w:rPr>
          <w:rFonts w:ascii="Verdana" w:hAnsi="Verdana"/>
          <w:sz w:val="20"/>
          <w:lang w:val="pt-BR"/>
        </w:rPr>
        <w:t>ção</w:t>
      </w:r>
      <w:r w:rsidR="004756C1" w:rsidRPr="002F50BD">
        <w:rPr>
          <w:rFonts w:ascii="Verdana" w:hAnsi="Verdana"/>
          <w:sz w:val="20"/>
          <w:lang w:val="pt-BR"/>
        </w:rPr>
        <w:t xml:space="preserve"> se v</w:t>
      </w:r>
      <w:r w:rsidR="003F15BE" w:rsidRPr="002F50BD">
        <w:rPr>
          <w:rFonts w:ascii="Verdana" w:hAnsi="Verdana"/>
          <w:sz w:val="20"/>
          <w:lang w:val="pt-BR"/>
        </w:rPr>
        <w:t>ê</w:t>
      </w:r>
      <w:r w:rsidR="004756C1" w:rsidRPr="002F50BD">
        <w:rPr>
          <w:rFonts w:ascii="Verdana" w:hAnsi="Verdana"/>
          <w:sz w:val="20"/>
          <w:lang w:val="pt-BR"/>
        </w:rPr>
        <w:t xml:space="preserve"> agravada</w:t>
      </w:r>
      <w:r w:rsidR="0089298C" w:rsidRPr="002F50BD">
        <w:rPr>
          <w:rFonts w:ascii="Verdana" w:hAnsi="Verdana"/>
          <w:sz w:val="20"/>
          <w:lang w:val="pt-BR"/>
        </w:rPr>
        <w:t xml:space="preserve"> pelo fato </w:t>
      </w:r>
      <w:r w:rsidR="004756C1" w:rsidRPr="002F50BD">
        <w:rPr>
          <w:rFonts w:ascii="Verdana" w:hAnsi="Verdana"/>
          <w:sz w:val="20"/>
          <w:lang w:val="pt-BR"/>
        </w:rPr>
        <w:t xml:space="preserve">de que </w:t>
      </w:r>
      <w:r w:rsidR="0089298C" w:rsidRPr="002F50BD">
        <w:rPr>
          <w:rFonts w:ascii="Verdana" w:hAnsi="Verdana"/>
          <w:sz w:val="20"/>
          <w:lang w:val="pt-BR"/>
        </w:rPr>
        <w:t>poucos membro</w:t>
      </w:r>
      <w:r w:rsidR="004756C1" w:rsidRPr="002F50BD">
        <w:rPr>
          <w:rFonts w:ascii="Verdana" w:hAnsi="Verdana"/>
          <w:sz w:val="20"/>
          <w:lang w:val="pt-BR"/>
        </w:rPr>
        <w:t>s</w:t>
      </w:r>
      <w:r w:rsidR="0089298C" w:rsidRPr="002F50BD">
        <w:rPr>
          <w:rFonts w:ascii="Verdana" w:hAnsi="Verdana"/>
          <w:sz w:val="20"/>
          <w:lang w:val="pt-BR"/>
        </w:rPr>
        <w:t xml:space="preserve"> da Comunidade têm</w:t>
      </w:r>
      <w:r w:rsidR="004756C1" w:rsidRPr="002F50BD">
        <w:rPr>
          <w:rFonts w:ascii="Verdana" w:hAnsi="Verdana"/>
          <w:sz w:val="20"/>
          <w:lang w:val="pt-BR"/>
        </w:rPr>
        <w:t xml:space="preserve"> </w:t>
      </w:r>
      <w:r w:rsidR="0089298C" w:rsidRPr="002F50BD">
        <w:rPr>
          <w:rFonts w:ascii="Verdana" w:hAnsi="Verdana"/>
          <w:sz w:val="20"/>
          <w:lang w:val="pt-BR"/>
        </w:rPr>
        <w:t>trabalho</w:t>
      </w:r>
      <w:r w:rsidR="004756C1" w:rsidRPr="002F50BD">
        <w:rPr>
          <w:rFonts w:ascii="Verdana" w:hAnsi="Verdana"/>
          <w:sz w:val="20"/>
          <w:lang w:val="pt-BR"/>
        </w:rPr>
        <w:t xml:space="preserve"> o</w:t>
      </w:r>
      <w:r w:rsidR="003F15BE" w:rsidRPr="002F50BD">
        <w:rPr>
          <w:rFonts w:ascii="Verdana" w:hAnsi="Verdana"/>
          <w:sz w:val="20"/>
          <w:lang w:val="pt-BR"/>
        </w:rPr>
        <w:t>u</w:t>
      </w:r>
      <w:r w:rsidR="004756C1" w:rsidRPr="002F50BD">
        <w:rPr>
          <w:rFonts w:ascii="Verdana" w:hAnsi="Verdana"/>
          <w:sz w:val="20"/>
          <w:lang w:val="pt-BR"/>
        </w:rPr>
        <w:t xml:space="preserve"> </w:t>
      </w:r>
      <w:r w:rsidR="003F15BE" w:rsidRPr="002F50BD">
        <w:rPr>
          <w:rFonts w:ascii="Verdana" w:hAnsi="Verdana"/>
          <w:sz w:val="20"/>
          <w:lang w:val="pt-BR"/>
        </w:rPr>
        <w:t xml:space="preserve">qualquer </w:t>
      </w:r>
      <w:r w:rsidR="004756C1" w:rsidRPr="002F50BD">
        <w:rPr>
          <w:rFonts w:ascii="Verdana" w:hAnsi="Verdana"/>
          <w:sz w:val="20"/>
          <w:lang w:val="pt-BR"/>
        </w:rPr>
        <w:t xml:space="preserve">tipo de </w:t>
      </w:r>
      <w:r w:rsidR="0089298C" w:rsidRPr="002F50BD">
        <w:rPr>
          <w:rFonts w:ascii="Verdana" w:hAnsi="Verdana"/>
          <w:sz w:val="20"/>
          <w:lang w:val="pt-BR"/>
        </w:rPr>
        <w:t>ingresso</w:t>
      </w:r>
      <w:r w:rsidR="004756C1" w:rsidRPr="002F50BD">
        <w:rPr>
          <w:rFonts w:ascii="Verdana" w:hAnsi="Verdana"/>
          <w:sz w:val="20"/>
          <w:lang w:val="pt-BR"/>
        </w:rPr>
        <w:t xml:space="preserve"> </w:t>
      </w:r>
      <w:r w:rsidR="0089298C" w:rsidRPr="002F50BD">
        <w:rPr>
          <w:rFonts w:ascii="Verdana" w:hAnsi="Verdana"/>
          <w:sz w:val="20"/>
          <w:lang w:val="pt-BR"/>
        </w:rPr>
        <w:t>econômic</w:t>
      </w:r>
      <w:r w:rsidR="004756C1" w:rsidRPr="002F50BD">
        <w:rPr>
          <w:rFonts w:ascii="Verdana" w:hAnsi="Verdana"/>
          <w:sz w:val="20"/>
          <w:lang w:val="pt-BR"/>
        </w:rPr>
        <w:t>o</w:t>
      </w:r>
      <w:r w:rsidR="003F15BE" w:rsidRPr="002F50BD">
        <w:rPr>
          <w:rFonts w:ascii="Verdana" w:hAnsi="Verdana"/>
          <w:sz w:val="20"/>
          <w:lang w:val="pt-BR"/>
        </w:rPr>
        <w:t>,</w:t>
      </w:r>
      <w:r w:rsidR="004756C1" w:rsidRPr="002F50BD">
        <w:rPr>
          <w:rStyle w:val="FootnoteReference"/>
          <w:rFonts w:ascii="Verdana" w:hAnsi="Verdana"/>
          <w:lang w:val="es-ES_tradnl"/>
        </w:rPr>
        <w:footnoteReference w:id="156"/>
      </w:r>
      <w:r w:rsidR="0089298C" w:rsidRPr="002F50BD">
        <w:rPr>
          <w:rFonts w:ascii="Verdana" w:hAnsi="Verdana"/>
          <w:sz w:val="20"/>
          <w:lang w:val="pt-BR"/>
        </w:rPr>
        <w:t xml:space="preserve"> </w:t>
      </w:r>
      <w:r w:rsidR="006D28A8" w:rsidRPr="002F50BD">
        <w:rPr>
          <w:rFonts w:ascii="Verdana" w:hAnsi="Verdana"/>
          <w:sz w:val="20"/>
          <w:lang w:val="pt-BR"/>
        </w:rPr>
        <w:t>de maneira</w:t>
      </w:r>
      <w:r w:rsidR="0089298C" w:rsidRPr="002F50BD">
        <w:rPr>
          <w:rFonts w:ascii="Verdana" w:hAnsi="Verdana"/>
          <w:sz w:val="20"/>
          <w:lang w:val="pt-BR"/>
        </w:rPr>
        <w:t xml:space="preserve"> que sua fonte</w:t>
      </w:r>
      <w:r w:rsidR="004756C1" w:rsidRPr="002F50BD">
        <w:rPr>
          <w:rFonts w:ascii="Verdana" w:hAnsi="Verdana"/>
          <w:sz w:val="20"/>
          <w:lang w:val="pt-BR"/>
        </w:rPr>
        <w:t xml:space="preserve"> de alimenta</w:t>
      </w:r>
      <w:r w:rsidR="0089298C" w:rsidRPr="002F50BD">
        <w:rPr>
          <w:rFonts w:ascii="Verdana" w:hAnsi="Verdana"/>
          <w:sz w:val="20"/>
          <w:lang w:val="pt-BR"/>
        </w:rPr>
        <w:t>ção</w:t>
      </w:r>
      <w:r w:rsidR="004756C1" w:rsidRPr="002F50BD">
        <w:rPr>
          <w:rFonts w:ascii="Verdana" w:hAnsi="Verdana"/>
          <w:sz w:val="20"/>
          <w:lang w:val="pt-BR"/>
        </w:rPr>
        <w:t xml:space="preserve"> depend</w:t>
      </w:r>
      <w:r w:rsidR="003F15BE" w:rsidRPr="002F50BD">
        <w:rPr>
          <w:rFonts w:ascii="Verdana" w:hAnsi="Verdana"/>
          <w:sz w:val="20"/>
          <w:lang w:val="pt-BR"/>
        </w:rPr>
        <w:t>e</w:t>
      </w:r>
      <w:r w:rsidR="004756C1" w:rsidRPr="002F50BD">
        <w:rPr>
          <w:rFonts w:ascii="Verdana" w:hAnsi="Verdana"/>
          <w:sz w:val="20"/>
          <w:lang w:val="pt-BR"/>
        </w:rPr>
        <w:t xml:space="preserve"> principalmente</w:t>
      </w:r>
      <w:r w:rsidR="0089298C" w:rsidRPr="002F50BD">
        <w:rPr>
          <w:rFonts w:ascii="Verdana" w:hAnsi="Verdana"/>
          <w:sz w:val="20"/>
          <w:lang w:val="pt-BR"/>
        </w:rPr>
        <w:t xml:space="preserve"> da vontade </w:t>
      </w:r>
      <w:r w:rsidR="004756C1" w:rsidRPr="002F50BD">
        <w:rPr>
          <w:rFonts w:ascii="Verdana" w:hAnsi="Verdana"/>
          <w:sz w:val="20"/>
          <w:lang w:val="pt-BR"/>
        </w:rPr>
        <w:t xml:space="preserve">de organismos </w:t>
      </w:r>
      <w:r w:rsidR="0089298C" w:rsidRPr="002F50BD">
        <w:rPr>
          <w:rFonts w:ascii="Verdana" w:hAnsi="Verdana"/>
          <w:sz w:val="20"/>
          <w:lang w:val="pt-BR"/>
        </w:rPr>
        <w:t xml:space="preserve">do </w:t>
      </w:r>
      <w:r w:rsidR="004756C1" w:rsidRPr="002F50BD">
        <w:rPr>
          <w:rFonts w:ascii="Verdana" w:hAnsi="Verdana"/>
          <w:sz w:val="20"/>
          <w:lang w:val="pt-BR"/>
        </w:rPr>
        <w:t xml:space="preserve">Estado e </w:t>
      </w:r>
      <w:r w:rsidR="003F15BE" w:rsidRPr="002F50BD">
        <w:rPr>
          <w:rFonts w:ascii="Verdana" w:hAnsi="Verdana"/>
          <w:sz w:val="20"/>
          <w:lang w:val="pt-BR"/>
        </w:rPr>
        <w:t xml:space="preserve">de </w:t>
      </w:r>
      <w:r w:rsidR="0089298C" w:rsidRPr="002F50BD">
        <w:rPr>
          <w:rFonts w:ascii="Verdana" w:hAnsi="Verdana"/>
          <w:sz w:val="20"/>
          <w:lang w:val="pt-BR"/>
        </w:rPr>
        <w:t>instituições</w:t>
      </w:r>
      <w:r w:rsidR="004756C1" w:rsidRPr="002F50BD">
        <w:rPr>
          <w:rFonts w:ascii="Verdana" w:hAnsi="Verdana"/>
          <w:sz w:val="20"/>
          <w:lang w:val="pt-BR"/>
        </w:rPr>
        <w:t xml:space="preserve"> privadas</w:t>
      </w:r>
      <w:r w:rsidR="003F15BE" w:rsidRPr="002F50BD">
        <w:rPr>
          <w:rFonts w:ascii="Verdana" w:hAnsi="Verdana"/>
          <w:sz w:val="20"/>
          <w:lang w:val="pt-BR"/>
        </w:rPr>
        <w:t>.</w:t>
      </w:r>
      <w:r w:rsidR="004756C1" w:rsidRPr="002F50BD">
        <w:rPr>
          <w:rStyle w:val="FootnoteReference"/>
          <w:rFonts w:ascii="Verdana" w:hAnsi="Verdana"/>
          <w:lang w:val="es-ES_tradnl"/>
        </w:rPr>
        <w:footnoteReference w:id="157"/>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94</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Neste</w:t>
      </w:r>
      <w:r w:rsidR="004756C1" w:rsidRPr="002F50BD">
        <w:rPr>
          <w:rFonts w:ascii="Verdana" w:hAnsi="Verdana"/>
          <w:sz w:val="20"/>
          <w:lang w:val="pt-BR"/>
        </w:rPr>
        <w:t xml:space="preserve"> </w:t>
      </w:r>
      <w:r w:rsidR="00AB454A" w:rsidRPr="002F50BD">
        <w:rPr>
          <w:rFonts w:ascii="Verdana" w:hAnsi="Verdana"/>
          <w:sz w:val="20"/>
          <w:lang w:val="pt-BR"/>
        </w:rPr>
        <w:t>assentamento</w:t>
      </w:r>
      <w:r w:rsidR="0063607A"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4076AD" w:rsidRPr="002F50BD">
        <w:rPr>
          <w:rFonts w:ascii="Verdana" w:hAnsi="Verdana"/>
          <w:sz w:val="20"/>
          <w:lang w:val="pt-BR"/>
        </w:rPr>
        <w:t>não contam</w:t>
      </w:r>
      <w:r w:rsidR="0089298C" w:rsidRPr="002F50BD">
        <w:rPr>
          <w:rFonts w:ascii="Verdana" w:hAnsi="Verdana"/>
          <w:sz w:val="20"/>
          <w:lang w:val="pt-BR"/>
        </w:rPr>
        <w:t xml:space="preserve"> com os serviço</w:t>
      </w:r>
      <w:r w:rsidR="004756C1" w:rsidRPr="002F50BD">
        <w:rPr>
          <w:rFonts w:ascii="Verdana" w:hAnsi="Verdana"/>
          <w:sz w:val="20"/>
          <w:lang w:val="pt-BR"/>
        </w:rPr>
        <w:t xml:space="preserve">s básicos mínimos. </w:t>
      </w:r>
      <w:r w:rsidR="003F15BE" w:rsidRPr="002F50BD">
        <w:rPr>
          <w:rFonts w:ascii="Verdana" w:hAnsi="Verdana"/>
          <w:sz w:val="20"/>
          <w:lang w:val="pt-BR"/>
        </w:rPr>
        <w:t>A</w:t>
      </w:r>
      <w:r w:rsidR="0089298C" w:rsidRPr="002F50BD">
        <w:rPr>
          <w:rFonts w:ascii="Verdana" w:hAnsi="Verdana"/>
          <w:sz w:val="20"/>
          <w:lang w:val="pt-BR"/>
        </w:rPr>
        <w:t xml:space="preserve">s </w:t>
      </w:r>
      <w:r w:rsidR="003F15BE" w:rsidRPr="002F50BD">
        <w:rPr>
          <w:rFonts w:ascii="Verdana" w:hAnsi="Verdana"/>
          <w:sz w:val="20"/>
          <w:lang w:val="pt-BR"/>
        </w:rPr>
        <w:t xml:space="preserve">casas </w:t>
      </w:r>
      <w:r w:rsidR="0089298C" w:rsidRPr="002F50BD">
        <w:rPr>
          <w:rFonts w:ascii="Verdana" w:hAnsi="Verdana"/>
          <w:sz w:val="20"/>
          <w:lang w:val="pt-BR"/>
        </w:rPr>
        <w:t xml:space="preserve">estão </w:t>
      </w:r>
      <w:r w:rsidR="00A93AB9" w:rsidRPr="002F50BD">
        <w:rPr>
          <w:rFonts w:ascii="Verdana" w:hAnsi="Verdana"/>
          <w:sz w:val="20"/>
          <w:lang w:val="pt-BR"/>
        </w:rPr>
        <w:t>prec</w:t>
      </w:r>
      <w:r w:rsidR="003F15BE" w:rsidRPr="002F50BD">
        <w:rPr>
          <w:rFonts w:ascii="Verdana" w:hAnsi="Verdana"/>
          <w:sz w:val="20"/>
          <w:lang w:val="pt-BR"/>
        </w:rPr>
        <w:t>a</w:t>
      </w:r>
      <w:r w:rsidR="00A93AB9" w:rsidRPr="002F50BD">
        <w:rPr>
          <w:rFonts w:ascii="Verdana" w:hAnsi="Verdana"/>
          <w:sz w:val="20"/>
          <w:lang w:val="pt-BR"/>
        </w:rPr>
        <w:t>ria</w:t>
      </w:r>
      <w:r w:rsidR="003F15BE" w:rsidRPr="002F50BD">
        <w:rPr>
          <w:rFonts w:ascii="Verdana" w:hAnsi="Verdana"/>
          <w:sz w:val="20"/>
          <w:lang w:val="pt-BR"/>
        </w:rPr>
        <w:t>mente construí</w:t>
      </w:r>
      <w:r w:rsidR="004756C1" w:rsidRPr="002F50BD">
        <w:rPr>
          <w:rFonts w:ascii="Verdana" w:hAnsi="Verdana"/>
          <w:sz w:val="20"/>
          <w:lang w:val="pt-BR"/>
        </w:rPr>
        <w:t>das de Karanda’y,</w:t>
      </w:r>
      <w:r w:rsidR="0089298C" w:rsidRPr="002F50BD">
        <w:rPr>
          <w:rFonts w:ascii="Verdana" w:hAnsi="Verdana"/>
          <w:sz w:val="20"/>
          <w:lang w:val="pt-BR"/>
        </w:rPr>
        <w:t xml:space="preserve"> um </w:t>
      </w:r>
      <w:r w:rsidR="004756C1" w:rsidRPr="002F50BD">
        <w:rPr>
          <w:rFonts w:ascii="Verdana" w:hAnsi="Verdana"/>
          <w:sz w:val="20"/>
          <w:lang w:val="pt-BR"/>
        </w:rPr>
        <w:t>tipo de palma</w:t>
      </w:r>
      <w:r w:rsidR="0089298C" w:rsidRPr="002F50BD">
        <w:rPr>
          <w:rFonts w:ascii="Verdana" w:hAnsi="Verdana"/>
          <w:sz w:val="20"/>
          <w:lang w:val="pt-BR"/>
        </w:rPr>
        <w:t xml:space="preserve"> da região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Chaco</w:t>
      </w:r>
      <w:r w:rsidR="0089298C" w:rsidRPr="002F50BD">
        <w:rPr>
          <w:rFonts w:ascii="Verdana" w:hAnsi="Verdana"/>
          <w:sz w:val="20"/>
          <w:lang w:val="pt-BR"/>
        </w:rPr>
        <w:t>, e</w:t>
      </w:r>
      <w:r w:rsidR="004756C1" w:rsidRPr="002F50BD">
        <w:rPr>
          <w:rFonts w:ascii="Verdana" w:hAnsi="Verdana"/>
          <w:sz w:val="20"/>
          <w:lang w:val="pt-BR"/>
        </w:rPr>
        <w:t xml:space="preserve"> l</w:t>
      </w:r>
      <w:r w:rsidR="003F15BE" w:rsidRPr="002F50BD">
        <w:rPr>
          <w:rFonts w:ascii="Verdana" w:hAnsi="Verdana"/>
          <w:sz w:val="20"/>
          <w:lang w:val="pt-BR"/>
        </w:rPr>
        <w:t>â</w:t>
      </w:r>
      <w:r w:rsidR="004756C1" w:rsidRPr="002F50BD">
        <w:rPr>
          <w:rFonts w:ascii="Verdana" w:hAnsi="Verdana"/>
          <w:sz w:val="20"/>
          <w:lang w:val="pt-BR"/>
        </w:rPr>
        <w:t>minas de zinc</w:t>
      </w:r>
      <w:r w:rsidR="003F15BE" w:rsidRPr="002F50BD">
        <w:rPr>
          <w:rFonts w:ascii="Verdana" w:hAnsi="Verdana"/>
          <w:sz w:val="20"/>
          <w:lang w:val="pt-BR"/>
        </w:rPr>
        <w:t>o</w:t>
      </w:r>
      <w:r w:rsidR="004756C1" w:rsidRPr="002F50BD">
        <w:rPr>
          <w:rFonts w:ascii="Verdana" w:hAnsi="Verdana"/>
          <w:sz w:val="20"/>
          <w:lang w:val="pt-BR"/>
        </w:rPr>
        <w:t xml:space="preserve"> o</w:t>
      </w:r>
      <w:r w:rsidR="003F15BE" w:rsidRPr="002F50BD">
        <w:rPr>
          <w:rFonts w:ascii="Verdana" w:hAnsi="Verdana"/>
          <w:sz w:val="20"/>
          <w:lang w:val="pt-BR"/>
        </w:rPr>
        <w:t>u</w:t>
      </w:r>
      <w:r w:rsidR="004756C1" w:rsidRPr="002F50BD">
        <w:rPr>
          <w:rFonts w:ascii="Verdana" w:hAnsi="Verdana"/>
          <w:sz w:val="20"/>
          <w:lang w:val="pt-BR"/>
        </w:rPr>
        <w:t xml:space="preserve"> </w:t>
      </w:r>
      <w:r w:rsidR="004076AD" w:rsidRPr="002F50BD">
        <w:rPr>
          <w:rFonts w:ascii="Verdana" w:hAnsi="Verdana"/>
          <w:sz w:val="20"/>
          <w:lang w:val="pt-BR"/>
        </w:rPr>
        <w:t>pedaço</w:t>
      </w:r>
      <w:r w:rsidR="004756C1" w:rsidRPr="002F50BD">
        <w:rPr>
          <w:rFonts w:ascii="Verdana" w:hAnsi="Verdana"/>
          <w:sz w:val="20"/>
          <w:lang w:val="pt-BR"/>
        </w:rPr>
        <w:t>s de plástico,</w:t>
      </w:r>
      <w:r w:rsidR="0089298C" w:rsidRPr="002F50BD">
        <w:rPr>
          <w:rFonts w:ascii="Verdana" w:hAnsi="Verdana"/>
          <w:sz w:val="20"/>
          <w:lang w:val="pt-BR"/>
        </w:rPr>
        <w:t xml:space="preserve"> </w:t>
      </w:r>
      <w:r w:rsidR="003F15BE" w:rsidRPr="002F50BD">
        <w:rPr>
          <w:rFonts w:ascii="Verdana" w:hAnsi="Verdana"/>
          <w:sz w:val="20"/>
          <w:lang w:val="pt-BR"/>
        </w:rPr>
        <w:t xml:space="preserve">razão pela qual são </w:t>
      </w:r>
      <w:r w:rsidR="004756C1" w:rsidRPr="002F50BD">
        <w:rPr>
          <w:rFonts w:ascii="Verdana" w:hAnsi="Verdana"/>
          <w:sz w:val="20"/>
          <w:lang w:val="pt-BR"/>
        </w:rPr>
        <w:t xml:space="preserve">particularmente </w:t>
      </w:r>
      <w:r w:rsidR="0089298C" w:rsidRPr="002F50BD">
        <w:rPr>
          <w:rFonts w:ascii="Verdana" w:hAnsi="Verdana"/>
          <w:sz w:val="20"/>
          <w:lang w:val="pt-BR"/>
        </w:rPr>
        <w:t>afeta</w:t>
      </w:r>
      <w:r w:rsidR="004756C1" w:rsidRPr="002F50BD">
        <w:rPr>
          <w:rFonts w:ascii="Verdana" w:hAnsi="Verdana"/>
          <w:sz w:val="20"/>
          <w:lang w:val="pt-BR"/>
        </w:rPr>
        <w:t>das</w:t>
      </w:r>
      <w:r w:rsidR="0089298C" w:rsidRPr="002F50BD">
        <w:rPr>
          <w:rFonts w:ascii="Verdana" w:hAnsi="Verdana"/>
          <w:sz w:val="20"/>
          <w:lang w:val="pt-BR"/>
        </w:rPr>
        <w:t xml:space="preserve"> </w:t>
      </w:r>
      <w:r w:rsidR="00367FD1" w:rsidRPr="002F50BD">
        <w:rPr>
          <w:rFonts w:ascii="Verdana" w:hAnsi="Verdana"/>
          <w:sz w:val="20"/>
          <w:lang w:val="pt-BR"/>
        </w:rPr>
        <w:t>pel</w:t>
      </w:r>
      <w:r w:rsidR="003F15BE" w:rsidRPr="002F50BD">
        <w:rPr>
          <w:rFonts w:ascii="Verdana" w:hAnsi="Verdana"/>
          <w:sz w:val="20"/>
          <w:lang w:val="pt-BR"/>
        </w:rPr>
        <w:t>a</w:t>
      </w:r>
      <w:r w:rsidR="00367FD1" w:rsidRPr="002F50BD">
        <w:rPr>
          <w:rFonts w:ascii="Verdana" w:hAnsi="Verdana"/>
          <w:sz w:val="20"/>
          <w:lang w:val="pt-BR"/>
        </w:rPr>
        <w:t>s</w:t>
      </w:r>
      <w:r w:rsidR="00AB6727" w:rsidRPr="002F50BD">
        <w:rPr>
          <w:rFonts w:ascii="Verdana" w:hAnsi="Verdana"/>
          <w:sz w:val="20"/>
          <w:lang w:val="pt-BR"/>
        </w:rPr>
        <w:t xml:space="preserve"> </w:t>
      </w:r>
      <w:r w:rsidR="003F15BE" w:rsidRPr="002F50BD">
        <w:rPr>
          <w:rFonts w:ascii="Verdana" w:hAnsi="Verdana"/>
          <w:sz w:val="20"/>
          <w:lang w:val="pt-BR"/>
        </w:rPr>
        <w:t>mudanças de estações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Cada </w:t>
      </w:r>
      <w:r w:rsidR="003F15BE" w:rsidRPr="002F50BD">
        <w:rPr>
          <w:rFonts w:ascii="Verdana" w:hAnsi="Verdana"/>
          <w:sz w:val="20"/>
          <w:lang w:val="pt-BR"/>
        </w:rPr>
        <w:t xml:space="preserve">casa </w:t>
      </w:r>
      <w:r w:rsidR="0089298C" w:rsidRPr="002F50BD">
        <w:rPr>
          <w:rFonts w:ascii="Verdana" w:hAnsi="Verdana"/>
          <w:sz w:val="20"/>
          <w:lang w:val="pt-BR"/>
        </w:rPr>
        <w:t xml:space="preserve">tem </w:t>
      </w:r>
      <w:r w:rsidR="003F15BE" w:rsidRPr="002F50BD">
        <w:rPr>
          <w:rFonts w:ascii="Verdana" w:hAnsi="Verdana"/>
          <w:sz w:val="20"/>
          <w:lang w:val="pt-BR"/>
        </w:rPr>
        <w:t xml:space="preserve">em média </w:t>
      </w:r>
      <w:r w:rsidR="004756C1" w:rsidRPr="002F50BD">
        <w:rPr>
          <w:rFonts w:ascii="Verdana" w:hAnsi="Verdana"/>
          <w:sz w:val="20"/>
          <w:lang w:val="pt-BR"/>
        </w:rPr>
        <w:t xml:space="preserve">cinco habitantes. </w:t>
      </w:r>
      <w:r w:rsidR="004076AD" w:rsidRPr="002F50BD">
        <w:rPr>
          <w:rFonts w:ascii="Verdana" w:hAnsi="Verdana"/>
          <w:sz w:val="20"/>
          <w:lang w:val="pt-BR"/>
        </w:rPr>
        <w:t>Não contam</w:t>
      </w:r>
      <w:r w:rsidR="0089298C" w:rsidRPr="002F50BD">
        <w:rPr>
          <w:rFonts w:ascii="Verdana" w:hAnsi="Verdana"/>
          <w:sz w:val="20"/>
          <w:lang w:val="pt-BR"/>
        </w:rPr>
        <w:t xml:space="preserve"> com </w:t>
      </w:r>
      <w:r w:rsidR="00AB454A" w:rsidRPr="002F50BD">
        <w:rPr>
          <w:rFonts w:ascii="Verdana" w:hAnsi="Verdana"/>
          <w:sz w:val="20"/>
          <w:lang w:val="pt-BR"/>
        </w:rPr>
        <w:t>energia</w:t>
      </w:r>
      <w:r w:rsidR="004756C1" w:rsidRPr="002F50BD">
        <w:rPr>
          <w:rFonts w:ascii="Verdana" w:hAnsi="Verdana"/>
          <w:sz w:val="20"/>
          <w:lang w:val="pt-BR"/>
        </w:rPr>
        <w:t xml:space="preserve"> </w:t>
      </w:r>
      <w:r w:rsidR="00AB454A" w:rsidRPr="002F50BD">
        <w:rPr>
          <w:rFonts w:ascii="Verdana" w:hAnsi="Verdana"/>
          <w:sz w:val="20"/>
          <w:lang w:val="pt-BR"/>
        </w:rPr>
        <w:t>elétric</w:t>
      </w:r>
      <w:r w:rsidR="004756C1" w:rsidRPr="002F50BD">
        <w:rPr>
          <w:rFonts w:ascii="Verdana" w:hAnsi="Verdana"/>
          <w:sz w:val="20"/>
          <w:lang w:val="pt-BR"/>
        </w:rPr>
        <w:t xml:space="preserve">a, </w:t>
      </w:r>
      <w:r w:rsidR="00AB454A" w:rsidRPr="002F50BD">
        <w:rPr>
          <w:rFonts w:ascii="Verdana" w:hAnsi="Verdana"/>
          <w:sz w:val="20"/>
          <w:lang w:val="pt-BR"/>
        </w:rPr>
        <w:t>utilizam</w:t>
      </w:r>
      <w:r w:rsidR="004756C1" w:rsidRPr="002F50BD">
        <w:rPr>
          <w:rFonts w:ascii="Verdana" w:hAnsi="Verdana"/>
          <w:sz w:val="20"/>
          <w:lang w:val="pt-BR"/>
        </w:rPr>
        <w:t xml:space="preserve"> fog</w:t>
      </w:r>
      <w:r w:rsidR="003F15BE" w:rsidRPr="002F50BD">
        <w:rPr>
          <w:rFonts w:ascii="Verdana" w:hAnsi="Verdana"/>
          <w:sz w:val="20"/>
          <w:lang w:val="pt-BR"/>
        </w:rPr>
        <w:t xml:space="preserve">ões </w:t>
      </w:r>
      <w:r w:rsidR="004756C1" w:rsidRPr="002F50BD">
        <w:rPr>
          <w:rFonts w:ascii="Verdana" w:hAnsi="Verdana"/>
          <w:sz w:val="20"/>
          <w:lang w:val="pt-BR"/>
        </w:rPr>
        <w:t xml:space="preserve">para </w:t>
      </w:r>
      <w:r w:rsidR="003F15BE" w:rsidRPr="002F50BD">
        <w:rPr>
          <w:rFonts w:ascii="Verdana" w:hAnsi="Verdana"/>
          <w:sz w:val="20"/>
          <w:lang w:val="pt-BR"/>
        </w:rPr>
        <w:t>cozinhar</w:t>
      </w:r>
      <w:r w:rsidR="004756C1" w:rsidRPr="002F50BD">
        <w:rPr>
          <w:rFonts w:ascii="Verdana" w:hAnsi="Verdana"/>
          <w:sz w:val="20"/>
          <w:lang w:val="pt-BR"/>
        </w:rPr>
        <w:t xml:space="preserve"> </w:t>
      </w:r>
      <w:r w:rsidR="006D28A8" w:rsidRPr="002F50BD">
        <w:rPr>
          <w:rFonts w:ascii="Verdana" w:hAnsi="Verdana"/>
          <w:sz w:val="20"/>
          <w:lang w:val="pt-BR"/>
        </w:rPr>
        <w:t>e</w:t>
      </w:r>
      <w:r w:rsidR="004756C1" w:rsidRPr="002F50BD">
        <w:rPr>
          <w:rFonts w:ascii="Verdana" w:hAnsi="Verdana"/>
          <w:sz w:val="20"/>
          <w:lang w:val="pt-BR"/>
        </w:rPr>
        <w:t xml:space="preserve"> velas</w:t>
      </w:r>
      <w:r w:rsidR="0089298C" w:rsidRPr="002F50BD">
        <w:rPr>
          <w:rFonts w:ascii="Verdana" w:hAnsi="Verdana"/>
          <w:sz w:val="20"/>
          <w:lang w:val="pt-BR"/>
        </w:rPr>
        <w:t xml:space="preserve"> e </w:t>
      </w:r>
      <w:r w:rsidR="003F15BE" w:rsidRPr="002F50BD">
        <w:rPr>
          <w:rFonts w:ascii="Verdana" w:hAnsi="Verdana"/>
          <w:sz w:val="20"/>
          <w:lang w:val="pt-BR"/>
        </w:rPr>
        <w:t>luminárias</w:t>
      </w:r>
      <w:r w:rsidR="004756C1" w:rsidRPr="002F50BD">
        <w:rPr>
          <w:rFonts w:ascii="Verdana" w:hAnsi="Verdana"/>
          <w:sz w:val="20"/>
          <w:lang w:val="pt-BR"/>
        </w:rPr>
        <w:t xml:space="preserve"> para iluminar</w:t>
      </w:r>
      <w:r w:rsidR="0089298C" w:rsidRPr="002F50BD">
        <w:rPr>
          <w:rFonts w:ascii="Verdana" w:hAnsi="Verdana"/>
          <w:sz w:val="20"/>
          <w:lang w:val="pt-BR"/>
        </w:rPr>
        <w:t xml:space="preserve"> o </w:t>
      </w:r>
      <w:r w:rsidR="004756C1" w:rsidRPr="002F50BD">
        <w:rPr>
          <w:rFonts w:ascii="Verdana" w:hAnsi="Verdana"/>
          <w:sz w:val="20"/>
          <w:lang w:val="pt-BR"/>
        </w:rPr>
        <w:t>lugar</w:t>
      </w:r>
      <w:r w:rsidR="003F15BE" w:rsidRPr="002F50BD">
        <w:rPr>
          <w:rFonts w:ascii="Verdana" w:hAnsi="Verdana"/>
          <w:sz w:val="20"/>
          <w:lang w:val="pt-BR"/>
        </w:rPr>
        <w:t>.</w:t>
      </w:r>
      <w:r w:rsidR="004756C1" w:rsidRPr="002F50BD">
        <w:rPr>
          <w:rStyle w:val="FootnoteReference"/>
          <w:rFonts w:ascii="Verdana" w:hAnsi="Verdana"/>
          <w:lang w:val="es-ES_tradnl"/>
        </w:rPr>
        <w:footnoteReference w:id="158"/>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95</w:t>
      </w:r>
      <w:r w:rsidR="004756C1" w:rsidRPr="002F50BD">
        <w:rPr>
          <w:rFonts w:ascii="Verdana" w:hAnsi="Verdana"/>
          <w:sz w:val="20"/>
          <w:lang w:val="pt-BR"/>
        </w:rPr>
        <w:t>.</w:t>
      </w:r>
      <w:r w:rsidR="004756C1" w:rsidRPr="002F50BD">
        <w:rPr>
          <w:rFonts w:ascii="Verdana" w:hAnsi="Verdana"/>
          <w:sz w:val="20"/>
          <w:lang w:val="pt-BR"/>
        </w:rPr>
        <w:tab/>
      </w:r>
      <w:r w:rsidR="00AB6727" w:rsidRPr="002F50BD">
        <w:rPr>
          <w:rFonts w:ascii="Verdana" w:hAnsi="Verdana"/>
          <w:sz w:val="20"/>
          <w:lang w:val="pt-BR"/>
        </w:rPr>
        <w:t xml:space="preserve">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não possuem acesso</w:t>
      </w:r>
      <w:r w:rsidR="004756C1" w:rsidRPr="002F50BD">
        <w:rPr>
          <w:rFonts w:ascii="Verdana" w:hAnsi="Verdana"/>
          <w:sz w:val="20"/>
          <w:lang w:val="pt-BR"/>
        </w:rPr>
        <w:t xml:space="preserve"> a</w:t>
      </w:r>
      <w:r w:rsidR="00AB454A" w:rsidRPr="002F50BD">
        <w:rPr>
          <w:rFonts w:ascii="Verdana" w:hAnsi="Verdana"/>
          <w:sz w:val="20"/>
          <w:lang w:val="pt-BR"/>
        </w:rPr>
        <w:t xml:space="preserve"> água </w:t>
      </w:r>
      <w:r w:rsidR="004756C1" w:rsidRPr="002F50BD">
        <w:rPr>
          <w:rFonts w:ascii="Verdana" w:hAnsi="Verdana"/>
          <w:sz w:val="20"/>
          <w:lang w:val="pt-BR"/>
        </w:rPr>
        <w:t>limpa</w:t>
      </w:r>
      <w:r w:rsidR="0089298C" w:rsidRPr="002F50BD">
        <w:rPr>
          <w:rFonts w:ascii="Verdana" w:hAnsi="Verdana"/>
          <w:sz w:val="20"/>
          <w:lang w:val="pt-BR"/>
        </w:rPr>
        <w:t xml:space="preserve"> e a fonte</w:t>
      </w:r>
      <w:r w:rsidR="004756C1" w:rsidRPr="002F50BD">
        <w:rPr>
          <w:rFonts w:ascii="Verdana" w:hAnsi="Verdana"/>
          <w:sz w:val="20"/>
          <w:lang w:val="pt-BR"/>
        </w:rPr>
        <w:t xml:space="preserve"> de</w:t>
      </w:r>
      <w:r w:rsidR="00AB454A" w:rsidRPr="002F50BD">
        <w:rPr>
          <w:rFonts w:ascii="Verdana" w:hAnsi="Verdana"/>
          <w:sz w:val="20"/>
          <w:lang w:val="pt-BR"/>
        </w:rPr>
        <w:t xml:space="preserve"> água </w:t>
      </w:r>
      <w:r w:rsidR="004756C1" w:rsidRPr="002F50BD">
        <w:rPr>
          <w:rFonts w:ascii="Verdana" w:hAnsi="Verdana"/>
          <w:sz w:val="20"/>
          <w:lang w:val="pt-BR"/>
        </w:rPr>
        <w:t>ma</w:t>
      </w:r>
      <w:r w:rsidR="003F15BE" w:rsidRPr="002F50BD">
        <w:rPr>
          <w:rFonts w:ascii="Verdana" w:hAnsi="Verdana"/>
          <w:sz w:val="20"/>
          <w:lang w:val="pt-BR"/>
        </w:rPr>
        <w:t>i</w:t>
      </w:r>
      <w:r w:rsidR="004756C1" w:rsidRPr="002F50BD">
        <w:rPr>
          <w:rFonts w:ascii="Verdana" w:hAnsi="Verdana"/>
          <w:sz w:val="20"/>
          <w:lang w:val="pt-BR"/>
        </w:rPr>
        <w:t xml:space="preserve">s </w:t>
      </w:r>
      <w:r w:rsidR="003F15BE" w:rsidRPr="002F50BD">
        <w:rPr>
          <w:rFonts w:ascii="Verdana" w:hAnsi="Verdana"/>
          <w:sz w:val="20"/>
          <w:lang w:val="pt-BR"/>
        </w:rPr>
        <w:t xml:space="preserve">confiável </w:t>
      </w:r>
      <w:r w:rsidR="0089298C" w:rsidRPr="002F50BD">
        <w:rPr>
          <w:rFonts w:ascii="Verdana" w:hAnsi="Verdana"/>
          <w:sz w:val="20"/>
          <w:lang w:val="pt-BR"/>
        </w:rPr>
        <w:t xml:space="preserve">é a </w:t>
      </w:r>
      <w:r w:rsidR="003F15BE" w:rsidRPr="002F50BD">
        <w:rPr>
          <w:rFonts w:ascii="Verdana" w:hAnsi="Verdana"/>
          <w:sz w:val="20"/>
          <w:lang w:val="pt-BR"/>
        </w:rPr>
        <w:t>recolhid</w:t>
      </w:r>
      <w:r w:rsidR="004756C1" w:rsidRPr="002F50BD">
        <w:rPr>
          <w:rFonts w:ascii="Verdana" w:hAnsi="Verdana"/>
          <w:sz w:val="20"/>
          <w:lang w:val="pt-BR"/>
        </w:rPr>
        <w:t>a durante</w:t>
      </w:r>
      <w:r w:rsidR="0089298C" w:rsidRPr="002F50BD">
        <w:rPr>
          <w:rFonts w:ascii="Verdana" w:hAnsi="Verdana"/>
          <w:sz w:val="20"/>
          <w:lang w:val="pt-BR"/>
        </w:rPr>
        <w:t xml:space="preserve"> as </w:t>
      </w:r>
      <w:r w:rsidR="00313394" w:rsidRPr="002F50BD">
        <w:rPr>
          <w:rFonts w:ascii="Verdana" w:hAnsi="Verdana"/>
          <w:sz w:val="20"/>
          <w:lang w:val="pt-BR"/>
        </w:rPr>
        <w:t>chuva</w:t>
      </w:r>
      <w:r w:rsidR="004756C1" w:rsidRPr="002F50BD">
        <w:rPr>
          <w:rFonts w:ascii="Verdana" w:hAnsi="Verdana"/>
          <w:sz w:val="20"/>
          <w:lang w:val="pt-BR"/>
        </w:rPr>
        <w:t>s</w:t>
      </w:r>
      <w:r w:rsidR="00AB454A" w:rsidRPr="002F50BD">
        <w:rPr>
          <w:rFonts w:ascii="Verdana" w:hAnsi="Verdana"/>
          <w:sz w:val="20"/>
          <w:lang w:val="pt-BR"/>
        </w:rPr>
        <w:t xml:space="preserve">. </w:t>
      </w:r>
      <w:r w:rsidR="003F15BE" w:rsidRPr="002F50BD">
        <w:rPr>
          <w:rFonts w:ascii="Verdana" w:hAnsi="Verdana"/>
          <w:sz w:val="20"/>
          <w:lang w:val="pt-BR"/>
        </w:rPr>
        <w:t>A</w:t>
      </w:r>
      <w:r w:rsidR="00AB454A" w:rsidRPr="002F50BD">
        <w:rPr>
          <w:rFonts w:ascii="Verdana" w:hAnsi="Verdana"/>
          <w:sz w:val="20"/>
          <w:lang w:val="pt-BR"/>
        </w:rPr>
        <w:t xml:space="preserve"> água </w:t>
      </w:r>
      <w:r w:rsidR="004756C1" w:rsidRPr="002F50BD">
        <w:rPr>
          <w:rFonts w:ascii="Verdana" w:hAnsi="Verdana"/>
          <w:sz w:val="20"/>
          <w:lang w:val="pt-BR"/>
        </w:rPr>
        <w:t>que ob</w:t>
      </w:r>
      <w:r w:rsidR="0089298C" w:rsidRPr="002F50BD">
        <w:rPr>
          <w:rFonts w:ascii="Verdana" w:hAnsi="Verdana"/>
          <w:sz w:val="20"/>
          <w:lang w:val="pt-BR"/>
        </w:rPr>
        <w:t xml:space="preserve">têm com </w:t>
      </w:r>
      <w:r w:rsidR="004756C1" w:rsidRPr="002F50BD">
        <w:rPr>
          <w:rFonts w:ascii="Verdana" w:hAnsi="Verdana"/>
          <w:sz w:val="20"/>
          <w:lang w:val="pt-BR"/>
        </w:rPr>
        <w:t>regularidad</w:t>
      </w:r>
      <w:r w:rsidR="003F15BE" w:rsidRPr="002F50BD">
        <w:rPr>
          <w:rFonts w:ascii="Verdana" w:hAnsi="Verdana"/>
          <w:sz w:val="20"/>
          <w:lang w:val="pt-BR"/>
        </w:rPr>
        <w:t>e</w:t>
      </w:r>
      <w:r w:rsidR="004756C1" w:rsidRPr="002F50BD">
        <w:rPr>
          <w:rFonts w:ascii="Verdana" w:hAnsi="Verdana"/>
          <w:sz w:val="20"/>
          <w:lang w:val="pt-BR"/>
        </w:rPr>
        <w:t xml:space="preserve"> v</w:t>
      </w:r>
      <w:r w:rsidR="003F15BE" w:rsidRPr="002F50BD">
        <w:rPr>
          <w:rFonts w:ascii="Verdana" w:hAnsi="Verdana"/>
          <w:sz w:val="20"/>
          <w:lang w:val="pt-BR"/>
        </w:rPr>
        <w:t xml:space="preserve">em de poços </w:t>
      </w:r>
      <w:r w:rsidR="00CF451D" w:rsidRPr="00CF451D">
        <w:rPr>
          <w:rFonts w:ascii="Verdana" w:hAnsi="Verdana"/>
          <w:sz w:val="20"/>
          <w:lang w:val="pt-BR"/>
        </w:rPr>
        <w:t>(</w:t>
      </w:r>
      <w:r w:rsidR="003F15BE" w:rsidRPr="002F50BD">
        <w:rPr>
          <w:rFonts w:ascii="Verdana" w:hAnsi="Verdana"/>
          <w:sz w:val="20"/>
          <w:lang w:val="pt-BR"/>
        </w:rPr>
        <w:t>açudes</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localizad</w:t>
      </w:r>
      <w:r w:rsidR="004756C1" w:rsidRPr="002F50BD">
        <w:rPr>
          <w:rFonts w:ascii="Verdana" w:hAnsi="Verdana"/>
          <w:sz w:val="20"/>
          <w:lang w:val="pt-BR"/>
        </w:rPr>
        <w:t>os</w:t>
      </w:r>
      <w:r w:rsidR="0089298C" w:rsidRPr="002F50BD">
        <w:rPr>
          <w:rFonts w:ascii="Verdana" w:hAnsi="Verdana"/>
          <w:sz w:val="20"/>
          <w:lang w:val="pt-BR"/>
        </w:rPr>
        <w:t xml:space="preserve"> nas terra</w:t>
      </w:r>
      <w:r w:rsidR="004756C1" w:rsidRPr="002F50BD">
        <w:rPr>
          <w:rFonts w:ascii="Verdana" w:hAnsi="Verdana"/>
          <w:sz w:val="20"/>
          <w:lang w:val="pt-BR"/>
        </w:rPr>
        <w:t>s reclamadas,</w:t>
      </w:r>
      <w:r w:rsidR="0089298C" w:rsidRPr="002F50BD">
        <w:rPr>
          <w:rFonts w:ascii="Verdana" w:hAnsi="Verdana"/>
          <w:sz w:val="20"/>
          <w:lang w:val="pt-BR"/>
        </w:rPr>
        <w:t xml:space="preserve"> </w:t>
      </w:r>
      <w:r w:rsidR="003F15BE" w:rsidRPr="002F50BD">
        <w:rPr>
          <w:rFonts w:ascii="Verdana" w:hAnsi="Verdana"/>
          <w:sz w:val="20"/>
          <w:lang w:val="pt-BR"/>
        </w:rPr>
        <w:t>no entanto</w:t>
      </w:r>
      <w:r w:rsidR="004756C1" w:rsidRPr="002F50BD">
        <w:rPr>
          <w:rFonts w:ascii="Verdana" w:hAnsi="Verdana"/>
          <w:sz w:val="20"/>
          <w:lang w:val="pt-BR"/>
        </w:rPr>
        <w:t>,</w:t>
      </w:r>
      <w:r w:rsidR="0089298C" w:rsidRPr="002F50BD">
        <w:rPr>
          <w:rFonts w:ascii="Verdana" w:hAnsi="Verdana"/>
          <w:sz w:val="20"/>
          <w:lang w:val="pt-BR"/>
        </w:rPr>
        <w:t xml:space="preserve"> é </w:t>
      </w:r>
      <w:r w:rsidR="004756C1" w:rsidRPr="002F50BD">
        <w:rPr>
          <w:rFonts w:ascii="Verdana" w:hAnsi="Verdana"/>
          <w:sz w:val="20"/>
          <w:lang w:val="pt-BR"/>
        </w:rPr>
        <w:t>utilizada tanto para</w:t>
      </w:r>
      <w:r w:rsidR="0089298C" w:rsidRPr="002F50BD">
        <w:rPr>
          <w:rFonts w:ascii="Verdana" w:hAnsi="Verdana"/>
          <w:sz w:val="20"/>
          <w:lang w:val="pt-BR"/>
        </w:rPr>
        <w:t xml:space="preserve"> o </w:t>
      </w:r>
      <w:r w:rsidR="004756C1" w:rsidRPr="002F50BD">
        <w:rPr>
          <w:rFonts w:ascii="Verdana" w:hAnsi="Verdana"/>
          <w:sz w:val="20"/>
          <w:lang w:val="pt-BR"/>
        </w:rPr>
        <w:t>consumo humano como para</w:t>
      </w:r>
      <w:r w:rsidR="0089298C" w:rsidRPr="002F50BD">
        <w:rPr>
          <w:rFonts w:ascii="Verdana" w:hAnsi="Verdana"/>
          <w:sz w:val="20"/>
          <w:lang w:val="pt-BR"/>
        </w:rPr>
        <w:t xml:space="preserve"> o </w:t>
      </w:r>
      <w:r w:rsidR="004756C1" w:rsidRPr="002F50BD">
        <w:rPr>
          <w:rFonts w:ascii="Verdana" w:hAnsi="Verdana"/>
          <w:sz w:val="20"/>
          <w:lang w:val="pt-BR"/>
        </w:rPr>
        <w:t>as</w:t>
      </w:r>
      <w:r w:rsidR="003F15BE" w:rsidRPr="002F50BD">
        <w:rPr>
          <w:rFonts w:ascii="Verdana" w:hAnsi="Verdana"/>
          <w:sz w:val="20"/>
          <w:lang w:val="pt-BR"/>
        </w:rPr>
        <w:t>s</w:t>
      </w:r>
      <w:r w:rsidR="004756C1" w:rsidRPr="002F50BD">
        <w:rPr>
          <w:rFonts w:ascii="Verdana" w:hAnsi="Verdana"/>
          <w:sz w:val="20"/>
          <w:lang w:val="pt-BR"/>
        </w:rPr>
        <w:t>e</w:t>
      </w:r>
      <w:r w:rsidR="003F15BE" w:rsidRPr="002F50BD">
        <w:rPr>
          <w:rFonts w:ascii="Verdana" w:hAnsi="Verdana"/>
          <w:sz w:val="20"/>
          <w:lang w:val="pt-BR"/>
        </w:rPr>
        <w:t>i</w:t>
      </w:r>
      <w:r w:rsidR="004756C1" w:rsidRPr="002F50BD">
        <w:rPr>
          <w:rFonts w:ascii="Verdana" w:hAnsi="Verdana"/>
          <w:sz w:val="20"/>
          <w:lang w:val="pt-BR"/>
        </w:rPr>
        <w:t xml:space="preserve">o </w:t>
      </w:r>
      <w:r w:rsidR="0089298C" w:rsidRPr="002F50BD">
        <w:rPr>
          <w:rFonts w:ascii="Verdana" w:hAnsi="Verdana"/>
          <w:sz w:val="20"/>
          <w:lang w:val="pt-BR"/>
        </w:rPr>
        <w:t>pessoa</w:t>
      </w:r>
      <w:r w:rsidR="004756C1" w:rsidRPr="002F50BD">
        <w:rPr>
          <w:rFonts w:ascii="Verdana" w:hAnsi="Verdana"/>
          <w:sz w:val="20"/>
          <w:lang w:val="pt-BR"/>
        </w:rPr>
        <w:t>l</w:t>
      </w:r>
      <w:r w:rsidR="0089298C" w:rsidRPr="002F50BD">
        <w:rPr>
          <w:rFonts w:ascii="Verdana" w:hAnsi="Verdana"/>
          <w:sz w:val="20"/>
          <w:lang w:val="pt-BR"/>
        </w:rPr>
        <w:t xml:space="preserve"> e </w:t>
      </w:r>
      <w:r w:rsidR="004756C1" w:rsidRPr="002F50BD">
        <w:rPr>
          <w:rFonts w:ascii="Verdana" w:hAnsi="Verdana"/>
          <w:sz w:val="20"/>
          <w:lang w:val="pt-BR"/>
        </w:rPr>
        <w:t>n</w:t>
      </w:r>
      <w:r w:rsidR="003F15BE"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est</w:t>
      </w:r>
      <w:r w:rsidR="006D28A8" w:rsidRPr="002F50BD">
        <w:rPr>
          <w:rFonts w:ascii="Verdana" w:hAnsi="Verdana"/>
          <w:sz w:val="20"/>
          <w:lang w:val="pt-BR"/>
        </w:rPr>
        <w:t>á</w:t>
      </w:r>
      <w:r w:rsidR="0089298C" w:rsidRPr="002F50BD">
        <w:rPr>
          <w:rFonts w:ascii="Verdana" w:hAnsi="Verdana"/>
          <w:sz w:val="20"/>
          <w:lang w:val="pt-BR"/>
        </w:rPr>
        <w:t xml:space="preserve"> </w:t>
      </w:r>
      <w:r w:rsidR="004756C1" w:rsidRPr="002F50BD">
        <w:rPr>
          <w:rFonts w:ascii="Verdana" w:hAnsi="Verdana"/>
          <w:sz w:val="20"/>
          <w:lang w:val="pt-BR"/>
        </w:rPr>
        <w:t xml:space="preserve">protegida </w:t>
      </w:r>
      <w:r w:rsidR="0089298C" w:rsidRPr="002F50BD">
        <w:rPr>
          <w:rFonts w:ascii="Verdana" w:hAnsi="Verdana"/>
          <w:sz w:val="20"/>
          <w:lang w:val="pt-BR"/>
        </w:rPr>
        <w:t xml:space="preserve">do </w:t>
      </w:r>
      <w:r w:rsidR="00AB454A" w:rsidRPr="002F50BD">
        <w:rPr>
          <w:rFonts w:ascii="Verdana" w:hAnsi="Verdana"/>
          <w:sz w:val="20"/>
          <w:lang w:val="pt-BR"/>
        </w:rPr>
        <w:t>contato</w:t>
      </w:r>
      <w:r w:rsidR="0089298C" w:rsidRPr="002F50BD">
        <w:rPr>
          <w:rFonts w:ascii="Verdana" w:hAnsi="Verdana"/>
          <w:sz w:val="20"/>
          <w:lang w:val="pt-BR"/>
        </w:rPr>
        <w:t xml:space="preserve"> com animais</w:t>
      </w:r>
      <w:r w:rsidR="003F15BE" w:rsidRPr="002F50BD">
        <w:rPr>
          <w:rFonts w:ascii="Verdana" w:hAnsi="Verdana"/>
          <w:sz w:val="20"/>
          <w:lang w:val="pt-BR"/>
        </w:rPr>
        <w:t>.</w:t>
      </w:r>
      <w:r w:rsidR="004756C1" w:rsidRPr="002F50BD">
        <w:rPr>
          <w:rStyle w:val="FootnoteReference"/>
          <w:rFonts w:ascii="Verdana" w:hAnsi="Verdana"/>
          <w:lang w:val="es-ES_tradnl"/>
        </w:rPr>
        <w:footnoteReference w:id="159"/>
      </w:r>
    </w:p>
    <w:p w:rsidR="004756C1" w:rsidRPr="002F50BD" w:rsidRDefault="004756C1">
      <w:pPr>
        <w:pStyle w:val="BodyText"/>
        <w:rPr>
          <w:rFonts w:ascii="Verdana" w:hAnsi="Verdana"/>
          <w:sz w:val="20"/>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lang w:val="pt-BR"/>
        </w:rPr>
      </w:pPr>
      <w:r w:rsidRPr="002F50BD">
        <w:rPr>
          <w:rFonts w:ascii="Verdana" w:hAnsi="Verdana"/>
          <w:sz w:val="20"/>
          <w:lang w:val="pt-BR"/>
        </w:rPr>
        <w:lastRenderedPageBreak/>
        <w:t>50</w:t>
      </w:r>
      <w:r w:rsidR="004756C1" w:rsidRPr="002F50BD">
        <w:rPr>
          <w:rFonts w:ascii="Verdana" w:hAnsi="Verdana"/>
          <w:sz w:val="20"/>
          <w:lang w:val="pt-BR"/>
        </w:rPr>
        <w:t>.</w:t>
      </w:r>
      <w:r w:rsidRPr="002F50BD">
        <w:rPr>
          <w:rFonts w:ascii="Verdana" w:hAnsi="Verdana"/>
          <w:sz w:val="20"/>
          <w:lang w:val="pt-BR"/>
        </w:rPr>
        <w:t>96</w:t>
      </w:r>
      <w:r w:rsidR="004076AD" w:rsidRPr="002F50BD">
        <w:rPr>
          <w:rFonts w:ascii="Verdana" w:hAnsi="Verdana"/>
          <w:sz w:val="20"/>
          <w:lang w:val="pt-BR"/>
        </w:rPr>
        <w:t>. Neste</w:t>
      </w:r>
      <w:r w:rsidR="0089298C" w:rsidRPr="002F50BD">
        <w:rPr>
          <w:rFonts w:ascii="Verdana" w:hAnsi="Verdana"/>
          <w:sz w:val="20"/>
          <w:lang w:val="pt-BR"/>
        </w:rPr>
        <w:t xml:space="preserve"> </w:t>
      </w:r>
      <w:r w:rsidR="00AB454A" w:rsidRPr="002F50BD">
        <w:rPr>
          <w:rFonts w:ascii="Verdana" w:hAnsi="Verdana"/>
          <w:sz w:val="20"/>
          <w:lang w:val="pt-BR"/>
        </w:rPr>
        <w:t>assentamento</w:t>
      </w:r>
      <w:r w:rsidR="004756C1"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076AD" w:rsidRPr="002F50BD">
        <w:rPr>
          <w:rFonts w:ascii="Verdana" w:hAnsi="Verdana"/>
          <w:sz w:val="20"/>
          <w:lang w:val="pt-BR"/>
        </w:rPr>
        <w:t>não contam</w:t>
      </w:r>
      <w:r w:rsidR="0089298C" w:rsidRPr="002F50BD">
        <w:rPr>
          <w:rFonts w:ascii="Verdana" w:hAnsi="Verdana"/>
          <w:sz w:val="20"/>
          <w:lang w:val="pt-BR"/>
        </w:rPr>
        <w:t xml:space="preserve"> com </w:t>
      </w:r>
      <w:r w:rsidR="003F15BE" w:rsidRPr="002F50BD">
        <w:rPr>
          <w:rFonts w:ascii="Verdana" w:hAnsi="Verdana"/>
          <w:sz w:val="20"/>
          <w:lang w:val="pt-BR"/>
        </w:rPr>
        <w:t>banheiros</w:t>
      </w:r>
      <w:r w:rsidR="004756C1" w:rsidRPr="002F50BD">
        <w:rPr>
          <w:rFonts w:ascii="Verdana" w:hAnsi="Verdana"/>
          <w:sz w:val="20"/>
          <w:lang w:val="pt-BR"/>
        </w:rPr>
        <w:t xml:space="preserve"> o</w:t>
      </w:r>
      <w:r w:rsidR="003F15BE" w:rsidRPr="002F50BD">
        <w:rPr>
          <w:rFonts w:ascii="Verdana" w:hAnsi="Verdana"/>
          <w:sz w:val="20"/>
          <w:lang w:val="pt-BR"/>
        </w:rPr>
        <w:t>u</w:t>
      </w:r>
      <w:r w:rsidR="004756C1" w:rsidRPr="002F50BD">
        <w:rPr>
          <w:rFonts w:ascii="Verdana" w:hAnsi="Verdana"/>
          <w:sz w:val="20"/>
          <w:lang w:val="pt-BR"/>
        </w:rPr>
        <w:t xml:space="preserve"> </w:t>
      </w:r>
      <w:r w:rsidR="0089298C" w:rsidRPr="002F50BD">
        <w:rPr>
          <w:rFonts w:ascii="Verdana" w:hAnsi="Verdana"/>
          <w:sz w:val="20"/>
          <w:lang w:val="pt-BR"/>
        </w:rPr>
        <w:t>serviço</w:t>
      </w:r>
      <w:r w:rsidR="004756C1" w:rsidRPr="002F50BD">
        <w:rPr>
          <w:rFonts w:ascii="Verdana" w:hAnsi="Verdana"/>
          <w:sz w:val="20"/>
          <w:lang w:val="pt-BR"/>
        </w:rPr>
        <w:t>s sanit</w:t>
      </w:r>
      <w:r w:rsidR="003F15BE" w:rsidRPr="002F50BD">
        <w:rPr>
          <w:rFonts w:ascii="Verdana" w:hAnsi="Verdana"/>
          <w:sz w:val="20"/>
          <w:lang w:val="pt-BR"/>
        </w:rPr>
        <w:t>á</w:t>
      </w:r>
      <w:r w:rsidR="004756C1" w:rsidRPr="002F50BD">
        <w:rPr>
          <w:rFonts w:ascii="Verdana" w:hAnsi="Verdana"/>
          <w:sz w:val="20"/>
          <w:lang w:val="pt-BR"/>
        </w:rPr>
        <w:t xml:space="preserve">rios de </w:t>
      </w:r>
      <w:r w:rsidR="003F15BE" w:rsidRPr="002F50BD">
        <w:rPr>
          <w:rFonts w:ascii="Verdana" w:hAnsi="Verdana"/>
          <w:sz w:val="20"/>
          <w:lang w:val="pt-BR"/>
        </w:rPr>
        <w:t xml:space="preserve">nenhum </w:t>
      </w:r>
      <w:r w:rsidR="004756C1" w:rsidRPr="002F50BD">
        <w:rPr>
          <w:rFonts w:ascii="Verdana" w:hAnsi="Verdana"/>
          <w:sz w:val="20"/>
          <w:lang w:val="pt-BR"/>
        </w:rPr>
        <w:t xml:space="preserve">tipo </w:t>
      </w:r>
      <w:r w:rsidR="00CF451D" w:rsidRPr="00CF451D">
        <w:rPr>
          <w:rFonts w:ascii="Verdana" w:hAnsi="Verdana"/>
          <w:sz w:val="20"/>
          <w:lang w:val="pt-BR"/>
        </w:rPr>
        <w:t>(</w:t>
      </w:r>
      <w:r w:rsidR="004756C1" w:rsidRPr="002F50BD">
        <w:rPr>
          <w:rFonts w:ascii="Verdana" w:hAnsi="Verdana"/>
          <w:sz w:val="20"/>
          <w:lang w:val="pt-BR"/>
        </w:rPr>
        <w:t>l</w:t>
      </w:r>
      <w:r w:rsidR="003F15BE" w:rsidRPr="002F50BD">
        <w:rPr>
          <w:rFonts w:ascii="Verdana" w:hAnsi="Verdana"/>
          <w:sz w:val="20"/>
          <w:lang w:val="pt-BR"/>
        </w:rPr>
        <w:t>a</w:t>
      </w:r>
      <w:r w:rsidR="004756C1" w:rsidRPr="002F50BD">
        <w:rPr>
          <w:rFonts w:ascii="Verdana" w:hAnsi="Verdana"/>
          <w:sz w:val="20"/>
          <w:lang w:val="pt-BR"/>
        </w:rPr>
        <w:t>trinas o</w:t>
      </w:r>
      <w:r w:rsidR="003F15BE" w:rsidRPr="002F50BD">
        <w:rPr>
          <w:rFonts w:ascii="Verdana" w:hAnsi="Verdana"/>
          <w:sz w:val="20"/>
          <w:lang w:val="pt-BR"/>
        </w:rPr>
        <w:t>u</w:t>
      </w:r>
      <w:r w:rsidR="004756C1" w:rsidRPr="002F50BD">
        <w:rPr>
          <w:rFonts w:ascii="Verdana" w:hAnsi="Verdana"/>
          <w:sz w:val="20"/>
          <w:lang w:val="pt-BR"/>
        </w:rPr>
        <w:t xml:space="preserve"> </w:t>
      </w:r>
      <w:r w:rsidR="003F15BE" w:rsidRPr="002F50BD">
        <w:rPr>
          <w:rFonts w:ascii="Verdana" w:hAnsi="Verdana"/>
          <w:sz w:val="20"/>
          <w:lang w:val="pt-BR"/>
        </w:rPr>
        <w:t xml:space="preserve">tanques </w:t>
      </w:r>
      <w:r w:rsidR="004756C1" w:rsidRPr="002F50BD">
        <w:rPr>
          <w:rFonts w:ascii="Verdana" w:hAnsi="Verdana"/>
          <w:sz w:val="20"/>
          <w:lang w:val="pt-BR"/>
        </w:rPr>
        <w:t>sé</w:t>
      </w:r>
      <w:r w:rsidR="003F15BE" w:rsidRPr="002F50BD">
        <w:rPr>
          <w:rFonts w:ascii="Verdana" w:hAnsi="Verdana"/>
          <w:sz w:val="20"/>
          <w:lang w:val="pt-BR"/>
        </w:rPr>
        <w:t>p</w:t>
      </w:r>
      <w:r w:rsidR="004756C1" w:rsidRPr="002F50BD">
        <w:rPr>
          <w:rFonts w:ascii="Verdana" w:hAnsi="Verdana"/>
          <w:sz w:val="20"/>
          <w:lang w:val="pt-BR"/>
        </w:rPr>
        <w:t>ticos</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3F15BE" w:rsidRPr="002F50BD">
        <w:rPr>
          <w:rFonts w:ascii="Verdana" w:hAnsi="Verdana"/>
          <w:sz w:val="20"/>
          <w:lang w:val="pt-BR"/>
        </w:rPr>
        <w:t xml:space="preserve">de modo </w:t>
      </w:r>
      <w:r w:rsidR="0089298C" w:rsidRPr="002F50BD">
        <w:rPr>
          <w:rFonts w:ascii="Verdana" w:hAnsi="Verdana"/>
          <w:sz w:val="20"/>
          <w:lang w:val="pt-BR"/>
        </w:rPr>
        <w:t xml:space="preserve">que </w:t>
      </w:r>
      <w:r w:rsidR="00AB454A" w:rsidRPr="002F50BD">
        <w:rPr>
          <w:rFonts w:ascii="Verdana" w:hAnsi="Verdana"/>
          <w:sz w:val="20"/>
          <w:lang w:val="pt-BR"/>
        </w:rPr>
        <w:t>utilizam</w:t>
      </w:r>
      <w:r w:rsidR="0089298C" w:rsidRPr="002F50BD">
        <w:rPr>
          <w:rFonts w:ascii="Verdana" w:hAnsi="Verdana"/>
          <w:sz w:val="20"/>
          <w:lang w:val="pt-BR"/>
        </w:rPr>
        <w:t xml:space="preserve"> o </w:t>
      </w:r>
      <w:r w:rsidR="004756C1" w:rsidRPr="002F50BD">
        <w:rPr>
          <w:rFonts w:ascii="Verdana" w:hAnsi="Verdana"/>
          <w:sz w:val="20"/>
          <w:lang w:val="pt-BR"/>
        </w:rPr>
        <w:t xml:space="preserve">campo </w:t>
      </w:r>
      <w:r w:rsidR="0089298C" w:rsidRPr="002F50BD">
        <w:rPr>
          <w:rFonts w:ascii="Verdana" w:eastAsia="Times New Roman" w:hAnsi="Verdana"/>
          <w:sz w:val="20"/>
          <w:szCs w:val="26"/>
          <w:lang w:val="pt-BR"/>
        </w:rPr>
        <w:t>abert</w:t>
      </w:r>
      <w:r w:rsidR="004756C1" w:rsidRPr="002F50BD">
        <w:rPr>
          <w:rFonts w:ascii="Verdana" w:eastAsia="Times New Roman" w:hAnsi="Verdana"/>
          <w:sz w:val="20"/>
          <w:szCs w:val="26"/>
          <w:lang w:val="pt-BR"/>
        </w:rPr>
        <w:t>o para</w:t>
      </w:r>
      <w:r w:rsidR="0089298C" w:rsidRPr="002F50BD">
        <w:rPr>
          <w:rFonts w:ascii="Verdana" w:eastAsia="Times New Roman" w:hAnsi="Verdana"/>
          <w:sz w:val="20"/>
          <w:szCs w:val="26"/>
          <w:lang w:val="pt-BR"/>
        </w:rPr>
        <w:t xml:space="preserve"> fazer </w:t>
      </w:r>
      <w:r w:rsidR="004756C1" w:rsidRPr="002F50BD">
        <w:rPr>
          <w:rFonts w:ascii="Verdana" w:eastAsia="Times New Roman" w:hAnsi="Verdana"/>
          <w:sz w:val="20"/>
          <w:szCs w:val="26"/>
          <w:lang w:val="pt-BR"/>
        </w:rPr>
        <w:t>su</w:t>
      </w:r>
      <w:r w:rsidR="003F15BE" w:rsidRPr="002F50BD">
        <w:rPr>
          <w:rFonts w:ascii="Verdana" w:eastAsia="Times New Roman" w:hAnsi="Verdana"/>
          <w:sz w:val="20"/>
          <w:szCs w:val="26"/>
          <w:lang w:val="pt-BR"/>
        </w:rPr>
        <w:t>a</w:t>
      </w:r>
      <w:r w:rsidR="004756C1" w:rsidRPr="002F50BD">
        <w:rPr>
          <w:rFonts w:ascii="Verdana" w:eastAsia="Times New Roman" w:hAnsi="Verdana"/>
          <w:sz w:val="20"/>
          <w:szCs w:val="26"/>
          <w:lang w:val="pt-BR"/>
        </w:rPr>
        <w:t xml:space="preserve">s </w:t>
      </w:r>
      <w:r w:rsidR="0089298C" w:rsidRPr="002F50BD">
        <w:rPr>
          <w:rFonts w:ascii="Verdana" w:eastAsia="Times New Roman" w:hAnsi="Verdana"/>
          <w:sz w:val="20"/>
          <w:szCs w:val="26"/>
          <w:lang w:val="pt-BR"/>
        </w:rPr>
        <w:t>necessidad</w:t>
      </w:r>
      <w:r w:rsidR="004756C1" w:rsidRPr="002F50BD">
        <w:rPr>
          <w:rFonts w:ascii="Verdana" w:eastAsia="Times New Roman" w:hAnsi="Verdana"/>
          <w:sz w:val="20"/>
          <w:szCs w:val="26"/>
          <w:lang w:val="pt-BR"/>
        </w:rPr>
        <w:t xml:space="preserve">es fisiológicas, o </w:t>
      </w:r>
      <w:r w:rsidR="0089298C" w:rsidRPr="002F50BD">
        <w:rPr>
          <w:rFonts w:ascii="Verdana" w:eastAsia="Times New Roman" w:hAnsi="Verdana"/>
          <w:sz w:val="20"/>
          <w:szCs w:val="26"/>
          <w:lang w:val="pt-BR"/>
        </w:rPr>
        <w:t>qu</w:t>
      </w:r>
      <w:r w:rsidR="003F15BE" w:rsidRPr="002F50BD">
        <w:rPr>
          <w:rFonts w:ascii="Verdana" w:eastAsia="Times New Roman" w:hAnsi="Verdana"/>
          <w:sz w:val="20"/>
          <w:szCs w:val="26"/>
          <w:lang w:val="pt-BR"/>
        </w:rPr>
        <w:t>e</w:t>
      </w:r>
      <w:r w:rsidR="0089298C" w:rsidRPr="002F50BD">
        <w:rPr>
          <w:rFonts w:ascii="Verdana" w:eastAsia="Times New Roman" w:hAnsi="Verdana"/>
          <w:sz w:val="20"/>
          <w:szCs w:val="26"/>
          <w:lang w:val="pt-BR"/>
        </w:rPr>
        <w:t xml:space="preserve"> </w:t>
      </w:r>
      <w:r w:rsidR="008A62A6" w:rsidRPr="002F50BD">
        <w:rPr>
          <w:rFonts w:ascii="Verdana" w:eastAsia="Times New Roman" w:hAnsi="Verdana"/>
          <w:sz w:val="20"/>
          <w:szCs w:val="26"/>
          <w:lang w:val="pt-BR"/>
        </w:rPr>
        <w:t xml:space="preserve">faz com </w:t>
      </w:r>
      <w:r w:rsidR="004756C1" w:rsidRPr="002F50BD">
        <w:rPr>
          <w:rFonts w:ascii="Verdana" w:eastAsia="Times New Roman" w:hAnsi="Verdana"/>
          <w:sz w:val="20"/>
          <w:szCs w:val="26"/>
          <w:lang w:val="pt-BR"/>
        </w:rPr>
        <w:t>que</w:t>
      </w:r>
      <w:r w:rsidR="0089298C" w:rsidRPr="002F50BD">
        <w:rPr>
          <w:rFonts w:ascii="Verdana" w:eastAsia="Times New Roman" w:hAnsi="Verdana"/>
          <w:sz w:val="20"/>
          <w:szCs w:val="26"/>
          <w:lang w:val="pt-BR"/>
        </w:rPr>
        <w:t xml:space="preserve"> as </w:t>
      </w:r>
      <w:r w:rsidR="004756C1" w:rsidRPr="002F50BD">
        <w:rPr>
          <w:rFonts w:ascii="Verdana" w:eastAsia="Times New Roman" w:hAnsi="Verdana"/>
          <w:sz w:val="20"/>
          <w:szCs w:val="26"/>
          <w:lang w:val="pt-BR"/>
        </w:rPr>
        <w:t>condi</w:t>
      </w:r>
      <w:r w:rsidR="0089298C" w:rsidRPr="002F50BD">
        <w:rPr>
          <w:rFonts w:ascii="Verdana" w:eastAsia="Times New Roman" w:hAnsi="Verdana"/>
          <w:sz w:val="20"/>
          <w:szCs w:val="26"/>
          <w:lang w:val="pt-BR"/>
        </w:rPr>
        <w:t>ções</w:t>
      </w:r>
      <w:r w:rsidR="004756C1" w:rsidRPr="002F50BD">
        <w:rPr>
          <w:rFonts w:ascii="Verdana" w:eastAsia="Times New Roman" w:hAnsi="Verdana"/>
          <w:sz w:val="20"/>
          <w:szCs w:val="26"/>
          <w:lang w:val="pt-BR"/>
        </w:rPr>
        <w:t xml:space="preserve"> de salubridad</w:t>
      </w:r>
      <w:r w:rsidR="003F15BE" w:rsidRPr="002F50BD">
        <w:rPr>
          <w:rFonts w:ascii="Verdana" w:eastAsia="Times New Roman" w:hAnsi="Verdana"/>
          <w:sz w:val="20"/>
          <w:szCs w:val="26"/>
          <w:lang w:val="pt-BR"/>
        </w:rPr>
        <w:t>e</w:t>
      </w:r>
      <w:r w:rsidR="004756C1" w:rsidRPr="002F50BD">
        <w:rPr>
          <w:rFonts w:ascii="Verdana" w:eastAsia="Times New Roman" w:hAnsi="Verdana"/>
          <w:sz w:val="20"/>
          <w:szCs w:val="26"/>
          <w:lang w:val="pt-BR"/>
        </w:rPr>
        <w:t xml:space="preserve"> </w:t>
      </w:r>
      <w:r w:rsidR="0089298C" w:rsidRPr="002F50BD">
        <w:rPr>
          <w:rFonts w:ascii="Verdana" w:eastAsia="Times New Roman" w:hAnsi="Verdana"/>
          <w:sz w:val="20"/>
          <w:szCs w:val="26"/>
          <w:lang w:val="pt-BR"/>
        </w:rPr>
        <w:t xml:space="preserve">do </w:t>
      </w:r>
      <w:r w:rsidR="00AB454A" w:rsidRPr="002F50BD">
        <w:rPr>
          <w:rFonts w:ascii="Verdana" w:eastAsia="Times New Roman" w:hAnsi="Verdana"/>
          <w:sz w:val="20"/>
          <w:szCs w:val="26"/>
          <w:lang w:val="pt-BR"/>
        </w:rPr>
        <w:t>assentamento</w:t>
      </w:r>
      <w:r w:rsidR="0089298C" w:rsidRPr="002F50BD">
        <w:rPr>
          <w:rFonts w:ascii="Verdana" w:eastAsia="Times New Roman" w:hAnsi="Verdana"/>
          <w:sz w:val="20"/>
          <w:szCs w:val="26"/>
          <w:lang w:val="pt-BR"/>
        </w:rPr>
        <w:t xml:space="preserve"> sejam </w:t>
      </w:r>
      <w:r w:rsidR="004756C1" w:rsidRPr="002F50BD">
        <w:rPr>
          <w:rFonts w:ascii="Verdana" w:eastAsia="Times New Roman" w:hAnsi="Verdana"/>
          <w:sz w:val="20"/>
          <w:szCs w:val="26"/>
          <w:lang w:val="pt-BR"/>
        </w:rPr>
        <w:t>altamente deficientes</w:t>
      </w:r>
      <w:r w:rsidR="003F15BE" w:rsidRPr="002F50BD">
        <w:rPr>
          <w:rFonts w:ascii="Verdana" w:eastAsia="Times New Roman" w:hAnsi="Verdana"/>
          <w:sz w:val="20"/>
          <w:szCs w:val="26"/>
          <w:lang w:val="pt-BR"/>
        </w:rPr>
        <w:t>.</w:t>
      </w:r>
      <w:r w:rsidR="004756C1" w:rsidRPr="002F50BD">
        <w:rPr>
          <w:rStyle w:val="FootnoteReference"/>
          <w:rFonts w:ascii="Verdana" w:eastAsia="Times New Roman" w:hAnsi="Verdana"/>
          <w:szCs w:val="26"/>
        </w:rPr>
        <w:footnoteReference w:id="160"/>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97</w:t>
      </w:r>
      <w:r w:rsidR="004756C1" w:rsidRPr="002F50BD">
        <w:rPr>
          <w:rFonts w:ascii="Verdana" w:hAnsi="Verdana"/>
          <w:sz w:val="20"/>
          <w:lang w:val="pt-BR"/>
        </w:rPr>
        <w:t>.</w:t>
      </w:r>
      <w:r w:rsidR="004756C1" w:rsidRPr="002F50BD">
        <w:rPr>
          <w:rFonts w:ascii="Verdana" w:hAnsi="Verdana"/>
          <w:sz w:val="20"/>
          <w:lang w:val="pt-BR"/>
        </w:rPr>
        <w:tab/>
        <w:t xml:space="preserve">Como </w:t>
      </w:r>
      <w:r w:rsidR="0089298C" w:rsidRPr="002F50BD">
        <w:rPr>
          <w:rFonts w:ascii="Verdana" w:hAnsi="Verdana"/>
          <w:sz w:val="20"/>
          <w:lang w:val="pt-BR"/>
        </w:rPr>
        <w:t>consequência</w:t>
      </w:r>
      <w:r w:rsidR="004756C1" w:rsidRPr="002F50BD">
        <w:rPr>
          <w:rFonts w:ascii="Verdana" w:hAnsi="Verdana"/>
          <w:sz w:val="20"/>
          <w:lang w:val="pt-BR"/>
        </w:rPr>
        <w:t xml:space="preserve"> </w:t>
      </w:r>
      <w:r w:rsidR="0089298C" w:rsidRPr="002F50BD">
        <w:rPr>
          <w:rFonts w:ascii="Verdana" w:hAnsi="Verdana"/>
          <w:sz w:val="20"/>
          <w:lang w:val="pt-BR"/>
        </w:rPr>
        <w:t>desta</w:t>
      </w:r>
      <w:r w:rsidR="004756C1" w:rsidRPr="002F50BD">
        <w:rPr>
          <w:rFonts w:ascii="Verdana" w:hAnsi="Verdana"/>
          <w:sz w:val="20"/>
          <w:lang w:val="pt-BR"/>
        </w:rPr>
        <w:t>s condi</w:t>
      </w:r>
      <w:r w:rsidR="0089298C" w:rsidRPr="002F50BD">
        <w:rPr>
          <w:rFonts w:ascii="Verdana" w:hAnsi="Verdana"/>
          <w:sz w:val="20"/>
          <w:lang w:val="pt-BR"/>
        </w:rPr>
        <w:t>ções</w:t>
      </w:r>
      <w:r w:rsidR="004756C1" w:rsidRPr="002F50BD">
        <w:rPr>
          <w:rFonts w:ascii="Verdana" w:hAnsi="Verdana"/>
          <w:sz w:val="20"/>
          <w:lang w:val="pt-BR"/>
        </w:rPr>
        <w:t>,</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que se </w:t>
      </w:r>
      <w:r w:rsidR="0089298C" w:rsidRPr="002F50BD">
        <w:rPr>
          <w:rFonts w:ascii="Verdana" w:hAnsi="Verdana"/>
          <w:sz w:val="20"/>
          <w:lang w:val="pt-BR"/>
        </w:rPr>
        <w:t xml:space="preserve">encontram neste </w:t>
      </w:r>
      <w:r w:rsidR="00AB454A" w:rsidRPr="002F50BD">
        <w:rPr>
          <w:rFonts w:ascii="Verdana" w:hAnsi="Verdana"/>
          <w:sz w:val="20"/>
          <w:lang w:val="pt-BR"/>
        </w:rPr>
        <w:t>assentamento</w:t>
      </w:r>
      <w:r w:rsidR="004756C1" w:rsidRPr="002F50BD">
        <w:rPr>
          <w:rFonts w:ascii="Verdana" w:hAnsi="Verdana"/>
          <w:sz w:val="20"/>
          <w:lang w:val="pt-BR"/>
        </w:rPr>
        <w:t xml:space="preserve"> padece</w:t>
      </w:r>
      <w:r w:rsidR="003F15BE" w:rsidRPr="002F50BD">
        <w:rPr>
          <w:rFonts w:ascii="Verdana" w:hAnsi="Verdana"/>
          <w:sz w:val="20"/>
          <w:lang w:val="pt-BR"/>
        </w:rPr>
        <w:t>m</w:t>
      </w:r>
      <w:r w:rsidR="004756C1" w:rsidRPr="002F50BD">
        <w:rPr>
          <w:rFonts w:ascii="Verdana" w:hAnsi="Verdana"/>
          <w:sz w:val="20"/>
          <w:lang w:val="pt-BR"/>
        </w:rPr>
        <w:t xml:space="preserve"> de desnutri</w:t>
      </w:r>
      <w:r w:rsidR="0089298C" w:rsidRPr="002F50BD">
        <w:rPr>
          <w:rFonts w:ascii="Verdana" w:hAnsi="Verdana"/>
          <w:sz w:val="20"/>
          <w:lang w:val="pt-BR"/>
        </w:rPr>
        <w:t>ção</w:t>
      </w:r>
      <w:r w:rsidR="004756C1" w:rsidRPr="002F50BD">
        <w:rPr>
          <w:rFonts w:ascii="Verdana" w:hAnsi="Verdana"/>
          <w:sz w:val="20"/>
          <w:lang w:val="pt-BR"/>
        </w:rPr>
        <w:t>, anemia</w:t>
      </w:r>
      <w:r w:rsidR="0089298C" w:rsidRPr="002F50BD">
        <w:rPr>
          <w:rFonts w:ascii="Verdana" w:hAnsi="Verdana"/>
          <w:sz w:val="20"/>
          <w:lang w:val="pt-BR"/>
        </w:rPr>
        <w:t xml:space="preserve"> e </w:t>
      </w:r>
      <w:r w:rsidR="004756C1" w:rsidRPr="002F50BD">
        <w:rPr>
          <w:rFonts w:ascii="Verdana" w:hAnsi="Verdana"/>
          <w:sz w:val="20"/>
          <w:lang w:val="pt-BR"/>
        </w:rPr>
        <w:t>de</w:t>
      </w:r>
      <w:r w:rsidR="0089298C" w:rsidRPr="002F50BD">
        <w:rPr>
          <w:rFonts w:ascii="Verdana" w:hAnsi="Verdana"/>
          <w:sz w:val="20"/>
          <w:lang w:val="pt-BR"/>
        </w:rPr>
        <w:t xml:space="preserve"> uma </w:t>
      </w:r>
      <w:r w:rsidR="00A25859" w:rsidRPr="002F50BD">
        <w:rPr>
          <w:rFonts w:ascii="Verdana" w:hAnsi="Verdana"/>
          <w:sz w:val="20"/>
          <w:lang w:val="pt-BR"/>
        </w:rPr>
        <w:t xml:space="preserve">verminose </w:t>
      </w:r>
      <w:r w:rsidR="0089298C" w:rsidRPr="002F50BD">
        <w:rPr>
          <w:rFonts w:ascii="Verdana" w:hAnsi="Verdana"/>
          <w:sz w:val="20"/>
          <w:lang w:val="pt-BR"/>
        </w:rPr>
        <w:t>geral</w:t>
      </w:r>
      <w:r w:rsidR="003F15BE" w:rsidRPr="002F50BD">
        <w:rPr>
          <w:rFonts w:ascii="Verdana" w:hAnsi="Verdana"/>
          <w:sz w:val="20"/>
          <w:lang w:val="pt-BR"/>
        </w:rPr>
        <w:t>.</w:t>
      </w:r>
      <w:r w:rsidR="004756C1" w:rsidRPr="002F50BD">
        <w:rPr>
          <w:rStyle w:val="FootnoteReference"/>
          <w:rFonts w:ascii="Verdana" w:hAnsi="Verdana"/>
          <w:lang w:val="es-ES_tradnl"/>
        </w:rPr>
        <w:footnoteReference w:id="161"/>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98</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4756C1" w:rsidRPr="002F50BD">
        <w:rPr>
          <w:rFonts w:ascii="Verdana" w:hAnsi="Verdana"/>
          <w:sz w:val="20"/>
          <w:lang w:val="pt-BR"/>
        </w:rPr>
        <w:t xml:space="preserve">hospital </w:t>
      </w:r>
      <w:r w:rsidR="0089298C" w:rsidRPr="002F50BD">
        <w:rPr>
          <w:rFonts w:ascii="Verdana" w:hAnsi="Verdana"/>
          <w:sz w:val="20"/>
          <w:lang w:val="pt-BR"/>
        </w:rPr>
        <w:t xml:space="preserve">mais </w:t>
      </w:r>
      <w:r w:rsidR="003F15BE" w:rsidRPr="002F50BD">
        <w:rPr>
          <w:rFonts w:ascii="Verdana" w:hAnsi="Verdana"/>
          <w:sz w:val="20"/>
          <w:lang w:val="pt-BR"/>
        </w:rPr>
        <w:t>pró</w:t>
      </w:r>
      <w:r w:rsidR="00A25859" w:rsidRPr="002F50BD">
        <w:rPr>
          <w:rFonts w:ascii="Verdana" w:hAnsi="Verdana"/>
          <w:sz w:val="20"/>
          <w:lang w:val="pt-BR"/>
        </w:rPr>
        <w:t>ximo</w:t>
      </w:r>
      <w:r w:rsidR="003F15BE" w:rsidRPr="002F50BD">
        <w:rPr>
          <w:rFonts w:ascii="Verdana" w:hAnsi="Verdana"/>
          <w:sz w:val="20"/>
          <w:lang w:val="pt-BR"/>
        </w:rPr>
        <w:t xml:space="preserve"> da região do </w:t>
      </w:r>
      <w:r w:rsidR="00AB454A" w:rsidRPr="002F50BD">
        <w:rPr>
          <w:rFonts w:ascii="Verdana" w:hAnsi="Verdana"/>
          <w:sz w:val="20"/>
          <w:lang w:val="pt-BR"/>
        </w:rPr>
        <w:t>assentamento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se </w:t>
      </w:r>
      <w:r w:rsidR="0089298C" w:rsidRPr="002F50BD">
        <w:rPr>
          <w:rFonts w:ascii="Verdana" w:hAnsi="Verdana"/>
          <w:sz w:val="20"/>
          <w:lang w:val="pt-BR"/>
        </w:rPr>
        <w:t xml:space="preserve">encontra </w:t>
      </w:r>
      <w:r w:rsidR="004756C1" w:rsidRPr="002F50BD">
        <w:rPr>
          <w:rFonts w:ascii="Verdana" w:hAnsi="Verdana"/>
          <w:sz w:val="20"/>
          <w:lang w:val="pt-BR"/>
        </w:rPr>
        <w:t xml:space="preserve">a aproximadamente </w:t>
      </w:r>
      <w:r w:rsidRPr="002F50BD">
        <w:rPr>
          <w:rFonts w:ascii="Verdana" w:hAnsi="Verdana"/>
          <w:sz w:val="20"/>
          <w:lang w:val="pt-BR"/>
        </w:rPr>
        <w:t>70</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de dist</w:t>
      </w:r>
      <w:r w:rsidR="003F15BE" w:rsidRPr="002F50BD">
        <w:rPr>
          <w:rFonts w:ascii="Verdana" w:hAnsi="Verdana"/>
          <w:sz w:val="20"/>
          <w:lang w:val="pt-BR"/>
        </w:rPr>
        <w:t>â</w:t>
      </w:r>
      <w:r w:rsidR="004756C1" w:rsidRPr="002F50BD">
        <w:rPr>
          <w:rFonts w:ascii="Verdana" w:hAnsi="Verdana"/>
          <w:sz w:val="20"/>
          <w:lang w:val="pt-BR"/>
        </w:rPr>
        <w:t xml:space="preserve">ncia. </w:t>
      </w:r>
      <w:r w:rsidR="003F15BE" w:rsidRPr="002F50BD">
        <w:rPr>
          <w:rFonts w:ascii="Verdana" w:hAnsi="Verdana"/>
          <w:sz w:val="20"/>
          <w:lang w:val="pt-BR"/>
        </w:rPr>
        <w:t>Além disso</w:t>
      </w:r>
      <w:r w:rsidR="004756C1" w:rsidRPr="002F50BD">
        <w:rPr>
          <w:rFonts w:ascii="Verdana" w:hAnsi="Verdana"/>
          <w:sz w:val="20"/>
          <w:lang w:val="pt-BR"/>
        </w:rPr>
        <w:t xml:space="preserve">, para </w:t>
      </w:r>
      <w:r w:rsidR="004076AD" w:rsidRPr="002F50BD">
        <w:rPr>
          <w:rFonts w:ascii="Verdana" w:hAnsi="Verdana"/>
          <w:sz w:val="20"/>
          <w:lang w:val="pt-BR"/>
        </w:rPr>
        <w:t>chegar</w:t>
      </w:r>
      <w:r w:rsidR="0089298C" w:rsidRPr="002F50BD">
        <w:rPr>
          <w:rFonts w:ascii="Verdana" w:hAnsi="Verdana"/>
          <w:sz w:val="20"/>
          <w:lang w:val="pt-BR"/>
        </w:rPr>
        <w:t xml:space="preserve"> ao </w:t>
      </w:r>
      <w:r w:rsidR="004756C1" w:rsidRPr="002F50BD">
        <w:rPr>
          <w:rFonts w:ascii="Verdana" w:hAnsi="Verdana"/>
          <w:sz w:val="20"/>
          <w:lang w:val="pt-BR"/>
        </w:rPr>
        <w:t xml:space="preserve">hospital regional </w:t>
      </w:r>
      <w:r w:rsidR="0089298C" w:rsidRPr="002F50BD">
        <w:rPr>
          <w:rFonts w:ascii="Verdana" w:hAnsi="Verdana"/>
          <w:sz w:val="20"/>
          <w:lang w:val="pt-BR"/>
        </w:rPr>
        <w:t xml:space="preserve">correspondente ao </w:t>
      </w:r>
      <w:r w:rsidR="004756C1" w:rsidRPr="002F50BD">
        <w:rPr>
          <w:rFonts w:ascii="Verdana" w:hAnsi="Verdana"/>
          <w:sz w:val="20"/>
          <w:lang w:val="pt-BR"/>
        </w:rPr>
        <w:t>Departamento Presidente Hayes,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têm</w:t>
      </w:r>
      <w:r w:rsidR="004756C1" w:rsidRPr="002F50BD">
        <w:rPr>
          <w:rFonts w:ascii="Verdana" w:hAnsi="Verdana"/>
          <w:sz w:val="20"/>
          <w:lang w:val="pt-BR"/>
        </w:rPr>
        <w:t xml:space="preserve"> </w:t>
      </w:r>
      <w:r w:rsidR="003F15BE" w:rsidRPr="002F50BD">
        <w:rPr>
          <w:rFonts w:ascii="Verdana" w:hAnsi="Verdana"/>
          <w:sz w:val="20"/>
          <w:lang w:val="pt-BR"/>
        </w:rPr>
        <w:t xml:space="preserve">de </w:t>
      </w:r>
      <w:r w:rsidR="00A25859" w:rsidRPr="002F50BD">
        <w:rPr>
          <w:rFonts w:ascii="Verdana" w:hAnsi="Verdana"/>
          <w:sz w:val="20"/>
          <w:lang w:val="pt-BR"/>
        </w:rPr>
        <w:t>percorrer</w:t>
      </w:r>
      <w:r w:rsidR="004756C1" w:rsidRPr="002F50BD">
        <w:rPr>
          <w:rFonts w:ascii="Verdana" w:hAnsi="Verdana"/>
          <w:sz w:val="20"/>
          <w:lang w:val="pt-BR"/>
        </w:rPr>
        <w:t xml:space="preserve"> </w:t>
      </w:r>
      <w:r w:rsidR="0089298C" w:rsidRPr="002F50BD">
        <w:rPr>
          <w:rFonts w:ascii="Verdana" w:hAnsi="Verdana"/>
          <w:sz w:val="20"/>
          <w:lang w:val="pt-BR"/>
        </w:rPr>
        <w:t xml:space="preserve">mais </w:t>
      </w:r>
      <w:r w:rsidR="004756C1" w:rsidRPr="002F50BD">
        <w:rPr>
          <w:rFonts w:ascii="Verdana" w:hAnsi="Verdana"/>
          <w:sz w:val="20"/>
          <w:lang w:val="pt-BR"/>
        </w:rPr>
        <w:t xml:space="preserve">de </w:t>
      </w:r>
      <w:r w:rsidRPr="002F50BD">
        <w:rPr>
          <w:rFonts w:ascii="Verdana" w:hAnsi="Verdana"/>
          <w:sz w:val="20"/>
          <w:lang w:val="pt-BR"/>
        </w:rPr>
        <w:t>200</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de dist</w:t>
      </w:r>
      <w:r w:rsidR="003F15BE" w:rsidRPr="002F50BD">
        <w:rPr>
          <w:rFonts w:ascii="Verdana" w:hAnsi="Verdana"/>
          <w:sz w:val="20"/>
          <w:lang w:val="pt-BR"/>
        </w:rPr>
        <w:t>â</w:t>
      </w:r>
      <w:r w:rsidR="004756C1" w:rsidRPr="002F50BD">
        <w:rPr>
          <w:rFonts w:ascii="Verdana" w:hAnsi="Verdana"/>
          <w:sz w:val="20"/>
          <w:lang w:val="pt-BR"/>
        </w:rPr>
        <w:t>ncia</w:t>
      </w:r>
      <w:r w:rsidR="0089298C" w:rsidRPr="002F50BD">
        <w:rPr>
          <w:rFonts w:ascii="Verdana" w:hAnsi="Verdana"/>
          <w:sz w:val="20"/>
          <w:lang w:val="pt-BR"/>
        </w:rPr>
        <w:t xml:space="preserve"> e,</w:t>
      </w:r>
      <w:r w:rsidR="004756C1" w:rsidRPr="002F50BD">
        <w:rPr>
          <w:rFonts w:ascii="Verdana" w:hAnsi="Verdana"/>
          <w:sz w:val="20"/>
          <w:lang w:val="pt-BR"/>
        </w:rPr>
        <w:t xml:space="preserve"> para</w:t>
      </w:r>
      <w:r w:rsidR="0089298C" w:rsidRPr="002F50BD">
        <w:rPr>
          <w:rFonts w:ascii="Verdana" w:hAnsi="Verdana"/>
          <w:sz w:val="20"/>
          <w:lang w:val="pt-BR"/>
        </w:rPr>
        <w:t xml:space="preserve"> </w:t>
      </w:r>
      <w:r w:rsidR="003F15BE" w:rsidRPr="002F50BD">
        <w:rPr>
          <w:rFonts w:ascii="Verdana" w:hAnsi="Verdana"/>
          <w:sz w:val="20"/>
          <w:lang w:val="pt-BR"/>
        </w:rPr>
        <w:t>isso</w:t>
      </w:r>
      <w:r w:rsidR="004756C1" w:rsidRPr="002F50BD">
        <w:rPr>
          <w:rFonts w:ascii="Verdana" w:hAnsi="Verdana"/>
          <w:sz w:val="20"/>
          <w:lang w:val="pt-BR"/>
        </w:rPr>
        <w:t xml:space="preserve">, </w:t>
      </w:r>
      <w:r w:rsidR="004076AD" w:rsidRPr="002F50BD">
        <w:rPr>
          <w:rFonts w:ascii="Verdana" w:hAnsi="Verdana"/>
          <w:sz w:val="20"/>
          <w:lang w:val="pt-BR"/>
        </w:rPr>
        <w:t>não contam</w:t>
      </w:r>
      <w:r w:rsidR="0089298C" w:rsidRPr="002F50BD">
        <w:rPr>
          <w:rFonts w:ascii="Verdana" w:hAnsi="Verdana"/>
          <w:sz w:val="20"/>
          <w:lang w:val="pt-BR"/>
        </w:rPr>
        <w:t xml:space="preserve"> com </w:t>
      </w:r>
      <w:r w:rsidR="004756C1" w:rsidRPr="002F50BD">
        <w:rPr>
          <w:rFonts w:ascii="Verdana" w:hAnsi="Verdana"/>
          <w:sz w:val="20"/>
          <w:lang w:val="pt-BR"/>
        </w:rPr>
        <w:t>transporte especial</w:t>
      </w:r>
      <w:r w:rsidR="0089298C" w:rsidRPr="002F50BD">
        <w:rPr>
          <w:rFonts w:ascii="Verdana" w:hAnsi="Verdana"/>
          <w:sz w:val="20"/>
          <w:lang w:val="pt-BR"/>
        </w:rPr>
        <w:t xml:space="preserve"> </w:t>
      </w:r>
      <w:r w:rsidR="003F15BE" w:rsidRPr="002F50BD">
        <w:rPr>
          <w:rFonts w:ascii="Verdana" w:hAnsi="Verdana"/>
          <w:sz w:val="20"/>
          <w:lang w:val="pt-BR"/>
        </w:rPr>
        <w:t xml:space="preserve">e </w:t>
      </w:r>
      <w:r w:rsidR="0089298C" w:rsidRPr="002F50BD">
        <w:rPr>
          <w:rFonts w:ascii="Verdana" w:hAnsi="Verdana"/>
          <w:sz w:val="20"/>
          <w:lang w:val="pt-BR"/>
        </w:rPr>
        <w:t xml:space="preserve">o </w:t>
      </w:r>
      <w:r w:rsidR="004756C1" w:rsidRPr="002F50BD">
        <w:rPr>
          <w:rFonts w:ascii="Verdana" w:hAnsi="Verdana"/>
          <w:sz w:val="20"/>
          <w:lang w:val="pt-BR"/>
        </w:rPr>
        <w:t>transporte público</w:t>
      </w:r>
      <w:r w:rsidR="0089298C" w:rsidRPr="002F50BD">
        <w:rPr>
          <w:rFonts w:ascii="Verdana" w:hAnsi="Verdana"/>
          <w:sz w:val="20"/>
          <w:lang w:val="pt-BR"/>
        </w:rPr>
        <w:t xml:space="preserve"> é </w:t>
      </w:r>
      <w:r w:rsidR="004756C1" w:rsidRPr="002F50BD">
        <w:rPr>
          <w:rFonts w:ascii="Verdana" w:hAnsi="Verdana"/>
          <w:sz w:val="20"/>
          <w:lang w:val="pt-BR"/>
        </w:rPr>
        <w:t>escas</w:t>
      </w:r>
      <w:r w:rsidR="003F15BE" w:rsidRPr="002F50BD">
        <w:rPr>
          <w:rFonts w:ascii="Verdana" w:hAnsi="Verdana"/>
          <w:sz w:val="20"/>
          <w:lang w:val="pt-BR"/>
        </w:rPr>
        <w:t>s</w:t>
      </w:r>
      <w:r w:rsidR="004756C1" w:rsidRPr="002F50BD">
        <w:rPr>
          <w:rFonts w:ascii="Verdana" w:hAnsi="Verdana"/>
          <w:sz w:val="20"/>
          <w:lang w:val="pt-BR"/>
        </w:rPr>
        <w:t>o e in</w:t>
      </w:r>
      <w:r w:rsidR="0089298C" w:rsidRPr="002F50BD">
        <w:rPr>
          <w:rFonts w:ascii="Verdana" w:hAnsi="Verdana"/>
          <w:sz w:val="20"/>
          <w:lang w:val="pt-BR"/>
        </w:rPr>
        <w:t>adequad</w:t>
      </w:r>
      <w:r w:rsidR="004756C1" w:rsidRPr="002F50BD">
        <w:rPr>
          <w:rFonts w:ascii="Verdana" w:hAnsi="Verdana"/>
          <w:sz w:val="20"/>
          <w:lang w:val="pt-BR"/>
        </w:rPr>
        <w:t>o</w:t>
      </w:r>
      <w:r w:rsidR="00AB454A" w:rsidRPr="002F50BD">
        <w:rPr>
          <w:rFonts w:ascii="Verdana" w:hAnsi="Verdana"/>
          <w:sz w:val="20"/>
          <w:lang w:val="pt-BR"/>
        </w:rPr>
        <w:t xml:space="preserve">. A </w:t>
      </w:r>
      <w:r w:rsidR="0089298C" w:rsidRPr="002F50BD">
        <w:rPr>
          <w:rFonts w:ascii="Verdana" w:hAnsi="Verdana"/>
          <w:sz w:val="20"/>
          <w:lang w:val="pt-BR"/>
        </w:rPr>
        <w:t xml:space="preserve">Comunidade </w:t>
      </w:r>
      <w:r w:rsidR="004756C1" w:rsidRPr="002F50BD">
        <w:rPr>
          <w:rFonts w:ascii="Verdana" w:hAnsi="Verdana"/>
          <w:sz w:val="20"/>
          <w:lang w:val="pt-BR"/>
        </w:rPr>
        <w:t>n</w:t>
      </w:r>
      <w:r w:rsidR="003F15BE"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conta com um posto </w:t>
      </w:r>
      <w:r w:rsidR="004756C1" w:rsidRPr="002F50BD">
        <w:rPr>
          <w:rFonts w:ascii="Verdana" w:hAnsi="Verdana"/>
          <w:sz w:val="20"/>
          <w:lang w:val="pt-BR"/>
        </w:rPr>
        <w:t>o</w:t>
      </w:r>
      <w:r w:rsidR="003F15BE" w:rsidRPr="002F50BD">
        <w:rPr>
          <w:rFonts w:ascii="Verdana" w:hAnsi="Verdana"/>
          <w:sz w:val="20"/>
          <w:lang w:val="pt-BR"/>
        </w:rPr>
        <w:t>u</w:t>
      </w:r>
      <w:r w:rsidR="004756C1" w:rsidRPr="002F50BD">
        <w:rPr>
          <w:rFonts w:ascii="Verdana" w:hAnsi="Verdana"/>
          <w:sz w:val="20"/>
          <w:lang w:val="pt-BR"/>
        </w:rPr>
        <w:t xml:space="preserve"> centro de </w:t>
      </w:r>
      <w:r w:rsidR="0089298C" w:rsidRPr="002F50BD">
        <w:rPr>
          <w:rFonts w:ascii="Verdana" w:hAnsi="Verdana"/>
          <w:sz w:val="20"/>
          <w:lang w:val="pt-BR"/>
        </w:rPr>
        <w:t>saúde</w:t>
      </w:r>
      <w:r w:rsidR="00A4549B" w:rsidRPr="002F50BD">
        <w:rPr>
          <w:rFonts w:ascii="Verdana" w:hAnsi="Verdana"/>
          <w:sz w:val="20"/>
          <w:lang w:val="pt-BR"/>
        </w:rPr>
        <w:t>,</w:t>
      </w:r>
      <w:r w:rsidR="0089298C" w:rsidRPr="002F50BD">
        <w:rPr>
          <w:rFonts w:ascii="Verdana" w:hAnsi="Verdana"/>
          <w:sz w:val="20"/>
          <w:lang w:val="pt-BR"/>
        </w:rPr>
        <w:t xml:space="preserve"> nem é </w:t>
      </w:r>
      <w:r w:rsidR="004756C1" w:rsidRPr="002F50BD">
        <w:rPr>
          <w:rFonts w:ascii="Verdana" w:hAnsi="Verdana"/>
          <w:sz w:val="20"/>
          <w:lang w:val="pt-BR"/>
        </w:rPr>
        <w:t xml:space="preserve">visitada regularmente por promotores de </w:t>
      </w:r>
      <w:r w:rsidR="0089298C" w:rsidRPr="002F50BD">
        <w:rPr>
          <w:rFonts w:ascii="Verdana" w:hAnsi="Verdana"/>
          <w:sz w:val="20"/>
          <w:lang w:val="pt-BR"/>
        </w:rPr>
        <w:t>saúde</w:t>
      </w:r>
      <w:r w:rsidR="003F15BE" w:rsidRPr="002F50BD">
        <w:rPr>
          <w:rFonts w:ascii="Verdana" w:hAnsi="Verdana"/>
          <w:sz w:val="20"/>
          <w:lang w:val="pt-BR"/>
        </w:rPr>
        <w:t>.</w:t>
      </w:r>
      <w:r w:rsidR="004756C1" w:rsidRPr="002F50BD">
        <w:rPr>
          <w:rStyle w:val="FootnoteReference"/>
          <w:rFonts w:ascii="Verdana" w:hAnsi="Verdana"/>
          <w:lang w:val="es-ES_tradnl"/>
        </w:rPr>
        <w:footnoteReference w:id="162"/>
      </w:r>
    </w:p>
    <w:p w:rsidR="004756C1" w:rsidRPr="002F50BD" w:rsidRDefault="004756C1">
      <w:pPr>
        <w:pStyle w:val="BodyText"/>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99</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Na </w:t>
      </w:r>
      <w:r w:rsidR="00CD3DEB" w:rsidRPr="002F50BD">
        <w:rPr>
          <w:rFonts w:ascii="Verdana" w:hAnsi="Verdana"/>
          <w:sz w:val="20"/>
          <w:lang w:val="pt-BR"/>
        </w:rPr>
        <w:t>atualidade</w:t>
      </w:r>
      <w:r w:rsidR="00A4549B" w:rsidRPr="002F50BD">
        <w:rPr>
          <w:rFonts w:ascii="Verdana" w:hAnsi="Verdana"/>
          <w:sz w:val="20"/>
          <w:lang w:val="pt-BR"/>
        </w:rPr>
        <w:t>,</w:t>
      </w:r>
      <w:r w:rsidR="00CD3DEB" w:rsidRPr="002F50BD">
        <w:rPr>
          <w:rFonts w:ascii="Verdana" w:hAnsi="Verdana"/>
          <w:sz w:val="20"/>
          <w:lang w:val="pt-BR"/>
        </w:rPr>
        <w:t xml:space="preserve"> </w:t>
      </w:r>
      <w:r w:rsidR="0089298C" w:rsidRPr="002F50BD">
        <w:rPr>
          <w:rFonts w:ascii="Verdana" w:hAnsi="Verdana"/>
          <w:sz w:val="20"/>
          <w:lang w:val="pt-BR"/>
        </w:rPr>
        <w:t xml:space="preserve">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tem uma </w:t>
      </w:r>
      <w:r w:rsidR="004076AD" w:rsidRPr="002F50BD">
        <w:rPr>
          <w:rFonts w:ascii="Verdana" w:hAnsi="Verdana"/>
          <w:sz w:val="20"/>
          <w:lang w:val="pt-BR"/>
        </w:rPr>
        <w:t>escola</w:t>
      </w:r>
      <w:r w:rsidR="0089298C" w:rsidRPr="002F50BD">
        <w:rPr>
          <w:rFonts w:ascii="Verdana" w:hAnsi="Verdana"/>
          <w:sz w:val="20"/>
          <w:lang w:val="pt-BR"/>
        </w:rPr>
        <w:t xml:space="preserve"> à </w:t>
      </w:r>
      <w:r w:rsidR="004756C1" w:rsidRPr="002F50BD">
        <w:rPr>
          <w:rFonts w:ascii="Verdana" w:hAnsi="Verdana"/>
          <w:sz w:val="20"/>
          <w:lang w:val="pt-BR"/>
        </w:rPr>
        <w:t>qu</w:t>
      </w:r>
      <w:r w:rsidR="003F15BE" w:rsidRPr="002F50BD">
        <w:rPr>
          <w:rFonts w:ascii="Verdana" w:hAnsi="Verdana"/>
          <w:sz w:val="20"/>
          <w:lang w:val="pt-BR"/>
        </w:rPr>
        <w:t>al</w:t>
      </w:r>
      <w:r w:rsidR="004756C1" w:rsidRPr="002F50BD">
        <w:rPr>
          <w:rFonts w:ascii="Verdana" w:hAnsi="Verdana"/>
          <w:sz w:val="20"/>
          <w:lang w:val="pt-BR"/>
        </w:rPr>
        <w:t xml:space="preserve"> as</w:t>
      </w:r>
      <w:r w:rsidR="003F15BE" w:rsidRPr="002F50BD">
        <w:rPr>
          <w:rFonts w:ascii="Verdana" w:hAnsi="Verdana"/>
          <w:sz w:val="20"/>
          <w:lang w:val="pt-BR"/>
        </w:rPr>
        <w:t>s</w:t>
      </w:r>
      <w:r w:rsidR="004756C1" w:rsidRPr="002F50BD">
        <w:rPr>
          <w:rFonts w:ascii="Verdana" w:hAnsi="Verdana"/>
          <w:sz w:val="20"/>
          <w:lang w:val="pt-BR"/>
        </w:rPr>
        <w:t>iste</w:t>
      </w:r>
      <w:r w:rsidR="003F15BE" w:rsidRPr="002F50BD">
        <w:rPr>
          <w:rFonts w:ascii="Verdana" w:hAnsi="Verdana"/>
          <w:sz w:val="20"/>
          <w:lang w:val="pt-BR"/>
        </w:rPr>
        <w:t>m</w:t>
      </w:r>
      <w:r w:rsidR="004756C1" w:rsidRPr="002F50BD">
        <w:rPr>
          <w:rFonts w:ascii="Verdana" w:hAnsi="Verdana"/>
          <w:sz w:val="20"/>
          <w:lang w:val="pt-BR"/>
        </w:rPr>
        <w:t xml:space="preserve"> regularmente </w:t>
      </w:r>
      <w:r w:rsidRPr="002F50BD">
        <w:rPr>
          <w:rFonts w:ascii="Verdana" w:hAnsi="Verdana"/>
          <w:sz w:val="20"/>
          <w:lang w:val="pt-BR"/>
        </w:rPr>
        <w:t>57</w:t>
      </w:r>
      <w:r w:rsidR="004756C1" w:rsidRPr="002F50BD">
        <w:rPr>
          <w:rFonts w:ascii="Verdana" w:hAnsi="Verdana"/>
          <w:sz w:val="20"/>
          <w:lang w:val="pt-BR"/>
        </w:rPr>
        <w:t xml:space="preserve"> </w:t>
      </w:r>
      <w:r w:rsidR="0089298C" w:rsidRPr="002F50BD">
        <w:rPr>
          <w:rFonts w:ascii="Verdana" w:hAnsi="Verdana"/>
          <w:sz w:val="20"/>
          <w:lang w:val="pt-BR"/>
        </w:rPr>
        <w:t>crianças</w:t>
      </w:r>
      <w:r w:rsidR="004756C1" w:rsidRPr="002F50BD">
        <w:rPr>
          <w:rFonts w:ascii="Verdana" w:hAnsi="Verdana"/>
          <w:sz w:val="20"/>
          <w:lang w:val="pt-BR"/>
        </w:rPr>
        <w:t xml:space="preserve">. </w:t>
      </w:r>
      <w:r w:rsidR="003F15BE" w:rsidRPr="002F50BD">
        <w:rPr>
          <w:rFonts w:ascii="Verdana" w:hAnsi="Verdana"/>
          <w:sz w:val="20"/>
          <w:lang w:val="pt-BR"/>
        </w:rPr>
        <w:t>Entretanto</w:t>
      </w:r>
      <w:r w:rsidR="004756C1" w:rsidRPr="002F50BD">
        <w:rPr>
          <w:rFonts w:ascii="Verdana" w:hAnsi="Verdana"/>
          <w:sz w:val="20"/>
          <w:lang w:val="pt-BR"/>
        </w:rPr>
        <w:t>, dadas</w:t>
      </w:r>
      <w:r w:rsidR="0089298C" w:rsidRPr="002F50BD">
        <w:rPr>
          <w:rFonts w:ascii="Verdana" w:hAnsi="Verdana"/>
          <w:sz w:val="20"/>
          <w:lang w:val="pt-BR"/>
        </w:rPr>
        <w:t xml:space="preserve"> as </w:t>
      </w:r>
      <w:r w:rsidR="004756C1" w:rsidRPr="002F50BD">
        <w:rPr>
          <w:rFonts w:ascii="Verdana" w:hAnsi="Verdana"/>
          <w:sz w:val="20"/>
          <w:lang w:val="pt-BR"/>
        </w:rPr>
        <w:t xml:space="preserve">características </w:t>
      </w:r>
      <w:r w:rsidR="0089298C" w:rsidRPr="002F50BD">
        <w:rPr>
          <w:rFonts w:ascii="Verdana" w:hAnsi="Verdana"/>
          <w:sz w:val="20"/>
          <w:lang w:val="pt-BR"/>
        </w:rPr>
        <w:t>do atual</w:t>
      </w:r>
      <w:r w:rsidR="004756C1" w:rsidRPr="002F50BD">
        <w:rPr>
          <w:rFonts w:ascii="Verdana" w:hAnsi="Verdana"/>
          <w:sz w:val="20"/>
          <w:lang w:val="pt-BR"/>
        </w:rPr>
        <w:t xml:space="preserve"> </w:t>
      </w:r>
      <w:r w:rsidR="00AB454A" w:rsidRPr="002F50BD">
        <w:rPr>
          <w:rFonts w:ascii="Verdana" w:hAnsi="Verdana"/>
          <w:sz w:val="20"/>
          <w:lang w:val="pt-BR"/>
        </w:rPr>
        <w:t>assentamento</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a </w:t>
      </w:r>
      <w:r w:rsidR="004076AD" w:rsidRPr="002F50BD">
        <w:rPr>
          <w:rFonts w:ascii="Verdana" w:hAnsi="Verdana"/>
          <w:sz w:val="20"/>
          <w:lang w:val="pt-BR"/>
        </w:rPr>
        <w:t>escola</w:t>
      </w:r>
      <w:r w:rsidR="004756C1" w:rsidRPr="002F50BD">
        <w:rPr>
          <w:rFonts w:ascii="Verdana" w:hAnsi="Verdana"/>
          <w:sz w:val="20"/>
          <w:lang w:val="pt-BR"/>
        </w:rPr>
        <w:t xml:space="preserve"> n</w:t>
      </w:r>
      <w:r w:rsidR="003F15BE" w:rsidRPr="002F50BD">
        <w:rPr>
          <w:rFonts w:ascii="Verdana" w:hAnsi="Verdana"/>
          <w:sz w:val="20"/>
          <w:lang w:val="pt-BR"/>
        </w:rPr>
        <w:t>ã</w:t>
      </w:r>
      <w:r w:rsidR="004756C1" w:rsidRPr="002F50BD">
        <w:rPr>
          <w:rFonts w:ascii="Verdana" w:hAnsi="Verdana"/>
          <w:sz w:val="20"/>
          <w:lang w:val="pt-BR"/>
        </w:rPr>
        <w:t xml:space="preserve">o </w:t>
      </w:r>
      <w:r w:rsidR="00AB454A" w:rsidRPr="002F50BD">
        <w:rPr>
          <w:rFonts w:ascii="Verdana" w:hAnsi="Verdana"/>
          <w:sz w:val="20"/>
          <w:lang w:val="pt-BR"/>
        </w:rPr>
        <w:t>possui</w:t>
      </w:r>
      <w:r w:rsidR="0089298C" w:rsidRPr="002F50BD">
        <w:rPr>
          <w:rFonts w:ascii="Verdana" w:hAnsi="Verdana"/>
          <w:sz w:val="20"/>
          <w:lang w:val="pt-BR"/>
        </w:rPr>
        <w:t xml:space="preserve"> uma estrutura</w:t>
      </w:r>
      <w:r w:rsidR="004756C1" w:rsidRPr="002F50BD">
        <w:rPr>
          <w:rFonts w:ascii="Verdana" w:hAnsi="Verdana"/>
          <w:sz w:val="20"/>
          <w:lang w:val="pt-BR"/>
        </w:rPr>
        <w:t xml:space="preserve"> </w:t>
      </w:r>
      <w:r w:rsidR="0089298C" w:rsidRPr="002F50BD">
        <w:rPr>
          <w:rFonts w:ascii="Verdana" w:hAnsi="Verdana"/>
          <w:sz w:val="20"/>
          <w:lang w:val="pt-BR"/>
        </w:rPr>
        <w:t>adequad</w:t>
      </w:r>
      <w:r w:rsidR="004756C1" w:rsidRPr="002F50BD">
        <w:rPr>
          <w:rFonts w:ascii="Verdana" w:hAnsi="Verdana"/>
          <w:sz w:val="20"/>
          <w:lang w:val="pt-BR"/>
        </w:rPr>
        <w:t>a</w:t>
      </w:r>
      <w:r w:rsidR="0089298C" w:rsidRPr="002F50BD">
        <w:rPr>
          <w:rFonts w:ascii="Verdana" w:hAnsi="Verdana"/>
          <w:sz w:val="20"/>
          <w:lang w:val="pt-BR"/>
        </w:rPr>
        <w:t xml:space="preserve"> nem as </w:t>
      </w:r>
      <w:r w:rsidR="004756C1" w:rsidRPr="002F50BD">
        <w:rPr>
          <w:rFonts w:ascii="Verdana" w:hAnsi="Verdana"/>
          <w:sz w:val="20"/>
          <w:lang w:val="pt-BR"/>
        </w:rPr>
        <w:t>facilidades</w:t>
      </w:r>
      <w:r w:rsidR="0089298C" w:rsidRPr="002F50BD">
        <w:rPr>
          <w:rFonts w:ascii="Verdana" w:hAnsi="Verdana"/>
          <w:sz w:val="20"/>
          <w:lang w:val="pt-BR"/>
        </w:rPr>
        <w:t xml:space="preserve"> e </w:t>
      </w:r>
      <w:r w:rsidR="004076AD" w:rsidRPr="002F50BD">
        <w:rPr>
          <w:rFonts w:ascii="Verdana" w:hAnsi="Verdana"/>
          <w:sz w:val="20"/>
          <w:lang w:val="pt-BR"/>
        </w:rPr>
        <w:t>materiais</w:t>
      </w:r>
      <w:r w:rsidR="004756C1" w:rsidRPr="002F50BD">
        <w:rPr>
          <w:rFonts w:ascii="Verdana" w:hAnsi="Verdana"/>
          <w:sz w:val="20"/>
          <w:lang w:val="pt-BR"/>
        </w:rPr>
        <w:t xml:space="preserve"> suficientes,</w:t>
      </w:r>
      <w:r w:rsidR="0089298C" w:rsidRPr="002F50BD">
        <w:rPr>
          <w:rFonts w:ascii="Verdana" w:hAnsi="Verdana"/>
          <w:sz w:val="20"/>
          <w:lang w:val="pt-BR"/>
        </w:rPr>
        <w:t xml:space="preserve"> os quais são </w:t>
      </w:r>
      <w:r w:rsidR="004756C1" w:rsidRPr="002F50BD">
        <w:rPr>
          <w:rFonts w:ascii="Verdana" w:hAnsi="Verdana"/>
          <w:sz w:val="20"/>
          <w:lang w:val="pt-BR"/>
        </w:rPr>
        <w:t>proporcionados principalmente</w:t>
      </w:r>
      <w:r w:rsidR="0089298C" w:rsidRPr="002F50BD">
        <w:rPr>
          <w:rFonts w:ascii="Verdana" w:hAnsi="Verdana"/>
          <w:sz w:val="20"/>
          <w:lang w:val="pt-BR"/>
        </w:rPr>
        <w:t xml:space="preserve"> pelo </w:t>
      </w:r>
      <w:r w:rsidR="004756C1" w:rsidRPr="002F50BD">
        <w:rPr>
          <w:rFonts w:ascii="Verdana" w:hAnsi="Verdana"/>
          <w:sz w:val="20"/>
          <w:lang w:val="pt-BR"/>
        </w:rPr>
        <w:t>Estado.</w:t>
      </w:r>
      <w:r w:rsidR="00FE08B7">
        <w:rPr>
          <w:rFonts w:ascii="Verdana" w:hAnsi="Verdana"/>
          <w:sz w:val="20"/>
          <w:lang w:val="pt-BR"/>
        </w:rPr>
        <w:t xml:space="preserve">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w:t>
      </w:r>
      <w:r w:rsidR="0089298C" w:rsidRPr="002F50BD">
        <w:rPr>
          <w:rFonts w:ascii="Verdana" w:hAnsi="Verdana"/>
          <w:sz w:val="20"/>
          <w:lang w:val="pt-BR"/>
        </w:rPr>
        <w:t>saúde</w:t>
      </w:r>
      <w:r w:rsidR="004756C1" w:rsidRPr="002F50BD">
        <w:rPr>
          <w:rFonts w:ascii="Verdana" w:hAnsi="Verdana"/>
          <w:sz w:val="20"/>
          <w:lang w:val="pt-BR"/>
        </w:rPr>
        <w:t>, alimenta</w:t>
      </w:r>
      <w:r w:rsidR="0089298C" w:rsidRPr="002F50BD">
        <w:rPr>
          <w:rFonts w:ascii="Verdana" w:hAnsi="Verdana"/>
          <w:sz w:val="20"/>
          <w:lang w:val="pt-BR"/>
        </w:rPr>
        <w:t xml:space="preserve">ção e </w:t>
      </w:r>
      <w:r w:rsidR="004756C1" w:rsidRPr="002F50BD">
        <w:rPr>
          <w:rFonts w:ascii="Verdana" w:hAnsi="Verdana"/>
          <w:sz w:val="20"/>
          <w:lang w:val="pt-BR"/>
        </w:rPr>
        <w:t>vesti</w:t>
      </w:r>
      <w:r w:rsidR="003F15BE" w:rsidRPr="002F50BD">
        <w:rPr>
          <w:rFonts w:ascii="Verdana" w:hAnsi="Verdana"/>
          <w:sz w:val="20"/>
          <w:lang w:val="pt-BR"/>
        </w:rPr>
        <w:t>menta</w:t>
      </w:r>
      <w:r w:rsidR="0089298C" w:rsidRPr="002F50BD">
        <w:rPr>
          <w:rFonts w:ascii="Verdana" w:hAnsi="Verdana"/>
          <w:sz w:val="20"/>
          <w:lang w:val="pt-BR"/>
        </w:rPr>
        <w:t xml:space="preserve"> das crianças da Comunidade </w:t>
      </w:r>
      <w:r w:rsidR="003F15BE" w:rsidRPr="002F50BD">
        <w:rPr>
          <w:rFonts w:ascii="Verdana" w:hAnsi="Verdana"/>
          <w:sz w:val="20"/>
          <w:lang w:val="pt-BR"/>
        </w:rPr>
        <w:t>dificultam</w:t>
      </w:r>
      <w:r w:rsidR="004756C1" w:rsidRPr="002F50BD">
        <w:rPr>
          <w:rFonts w:ascii="Verdana" w:hAnsi="Verdana"/>
          <w:sz w:val="20"/>
          <w:lang w:val="pt-BR"/>
        </w:rPr>
        <w:t xml:space="preserve"> </w:t>
      </w:r>
      <w:r w:rsidR="003F15BE" w:rsidRPr="002F50BD">
        <w:rPr>
          <w:rFonts w:ascii="Verdana" w:hAnsi="Verdana"/>
          <w:sz w:val="20"/>
          <w:lang w:val="pt-BR"/>
        </w:rPr>
        <w:t xml:space="preserve">seriamente </w:t>
      </w:r>
      <w:r w:rsidR="004756C1" w:rsidRPr="002F50BD">
        <w:rPr>
          <w:rFonts w:ascii="Verdana" w:hAnsi="Verdana"/>
          <w:sz w:val="20"/>
          <w:lang w:val="pt-BR"/>
        </w:rPr>
        <w:t>su</w:t>
      </w:r>
      <w:r w:rsidR="003F15BE"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 xml:space="preserve">assistência e </w:t>
      </w:r>
      <w:r w:rsidR="004756C1" w:rsidRPr="002F50BD">
        <w:rPr>
          <w:rFonts w:ascii="Verdana" w:hAnsi="Verdana"/>
          <w:sz w:val="20"/>
          <w:lang w:val="pt-BR"/>
        </w:rPr>
        <w:t>rendimento</w:t>
      </w:r>
      <w:r w:rsidR="0089298C" w:rsidRPr="002F50BD">
        <w:rPr>
          <w:rFonts w:ascii="Verdana" w:hAnsi="Verdana"/>
          <w:sz w:val="20"/>
          <w:lang w:val="pt-BR"/>
        </w:rPr>
        <w:t xml:space="preserve"> </w:t>
      </w:r>
      <w:r w:rsidR="003F15BE" w:rsidRPr="002F50BD">
        <w:rPr>
          <w:rFonts w:ascii="Verdana" w:hAnsi="Verdana"/>
          <w:sz w:val="20"/>
          <w:lang w:val="pt-BR"/>
        </w:rPr>
        <w:t>nas aulas.</w:t>
      </w:r>
      <w:r w:rsidR="004756C1" w:rsidRPr="002F50BD">
        <w:rPr>
          <w:rStyle w:val="FootnoteReference"/>
          <w:rFonts w:ascii="Verdana" w:hAnsi="Verdana"/>
        </w:rPr>
        <w:footnoteReference w:id="163"/>
      </w:r>
    </w:p>
    <w:p w:rsidR="004756C1" w:rsidRPr="002F50BD" w:rsidRDefault="004756C1">
      <w:pPr>
        <w:jc w:val="both"/>
        <w:rPr>
          <w:rFonts w:ascii="Verdana" w:hAnsi="Verdana"/>
          <w:sz w:val="20"/>
          <w:lang w:val="pt-BR"/>
        </w:rPr>
      </w:pPr>
    </w:p>
    <w:p w:rsidR="004756C1" w:rsidRPr="002F50BD" w:rsidRDefault="00063B47">
      <w:pPr>
        <w:pStyle w:val="BodyText"/>
        <w:tabs>
          <w:tab w:val="left" w:pos="720"/>
          <w:tab w:val="left" w:pos="864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100</w:t>
      </w:r>
      <w:r w:rsidR="00BE346D" w:rsidRPr="002F50BD">
        <w:rPr>
          <w:rFonts w:ascii="Verdana" w:hAnsi="Verdana"/>
          <w:sz w:val="20"/>
          <w:lang w:val="pt-BR"/>
        </w:rPr>
        <w:t xml:space="preserve">. As </w:t>
      </w:r>
      <w:r w:rsidR="00A93AB9" w:rsidRPr="002F50BD">
        <w:rPr>
          <w:rFonts w:ascii="Verdana" w:hAnsi="Verdana"/>
          <w:sz w:val="20"/>
          <w:lang w:val="pt-BR"/>
        </w:rPr>
        <w:t>precária</w:t>
      </w:r>
      <w:r w:rsidR="004756C1" w:rsidRPr="002F50BD">
        <w:rPr>
          <w:rFonts w:ascii="Verdana" w:hAnsi="Verdana"/>
          <w:sz w:val="20"/>
          <w:lang w:val="pt-BR"/>
        </w:rPr>
        <w:t>s condi</w:t>
      </w:r>
      <w:r w:rsidR="0089298C" w:rsidRPr="002F50BD">
        <w:rPr>
          <w:rFonts w:ascii="Verdana" w:hAnsi="Verdana"/>
          <w:sz w:val="20"/>
          <w:lang w:val="pt-BR"/>
        </w:rPr>
        <w:t>ções</w:t>
      </w:r>
      <w:r w:rsidR="004756C1" w:rsidRPr="002F50BD">
        <w:rPr>
          <w:rFonts w:ascii="Verdana" w:hAnsi="Verdana"/>
          <w:sz w:val="20"/>
          <w:lang w:val="pt-BR"/>
        </w:rPr>
        <w:t xml:space="preserve"> de vida</w:t>
      </w:r>
      <w:r w:rsidR="0089298C" w:rsidRPr="002F50BD">
        <w:rPr>
          <w:rFonts w:ascii="Verdana" w:hAnsi="Verdana"/>
          <w:sz w:val="20"/>
          <w:lang w:val="pt-BR"/>
        </w:rPr>
        <w:t xml:space="preserve"> em </w:t>
      </w:r>
      <w:r w:rsidR="004756C1" w:rsidRPr="002F50BD">
        <w:rPr>
          <w:rFonts w:ascii="Verdana" w:hAnsi="Verdana"/>
          <w:sz w:val="20"/>
          <w:lang w:val="pt-BR"/>
        </w:rPr>
        <w:t xml:space="preserve">que se </w:t>
      </w:r>
      <w:r w:rsidR="0089298C" w:rsidRPr="002F50BD">
        <w:rPr>
          <w:rFonts w:ascii="Verdana" w:hAnsi="Verdana"/>
          <w:sz w:val="20"/>
          <w:lang w:val="pt-BR"/>
        </w:rPr>
        <w:t>encontram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E7595C" w:rsidRPr="002F50BD">
        <w:rPr>
          <w:rFonts w:ascii="Verdana" w:hAnsi="Verdana"/>
          <w:sz w:val="20"/>
          <w:lang w:val="pt-BR"/>
        </w:rPr>
        <w:t>assentad</w:t>
      </w:r>
      <w:r w:rsidR="004756C1" w:rsidRPr="002F50BD">
        <w:rPr>
          <w:rFonts w:ascii="Verdana" w:hAnsi="Verdana"/>
          <w:sz w:val="20"/>
          <w:lang w:val="pt-BR"/>
        </w:rPr>
        <w:t>os</w:t>
      </w:r>
      <w:r w:rsidR="0089298C" w:rsidRPr="002F50BD">
        <w:rPr>
          <w:rFonts w:ascii="Verdana" w:hAnsi="Verdana"/>
          <w:sz w:val="20"/>
          <w:lang w:val="pt-BR"/>
        </w:rPr>
        <w:t xml:space="preserve"> </w:t>
      </w:r>
      <w:r w:rsidR="003F15BE" w:rsidRPr="002F50BD">
        <w:rPr>
          <w:rFonts w:ascii="Verdana" w:hAnsi="Verdana"/>
          <w:sz w:val="20"/>
          <w:lang w:val="pt-BR"/>
        </w:rPr>
        <w:t xml:space="preserve">à margem da </w:t>
      </w:r>
      <w:r w:rsidR="00A25859" w:rsidRPr="002F50BD">
        <w:rPr>
          <w:rFonts w:ascii="Verdana" w:hAnsi="Verdana"/>
          <w:sz w:val="20"/>
          <w:lang w:val="pt-BR"/>
        </w:rPr>
        <w:t xml:space="preserve">estrada entre Pozo </w:t>
      </w:r>
      <w:r w:rsidR="004756C1" w:rsidRPr="002F50BD">
        <w:rPr>
          <w:rFonts w:ascii="Verdana" w:hAnsi="Verdana"/>
          <w:sz w:val="20"/>
          <w:lang w:val="pt-BR"/>
        </w:rPr>
        <w:t>Colorado</w:t>
      </w:r>
      <w:r w:rsidR="0089298C" w:rsidRPr="002F50BD">
        <w:rPr>
          <w:rFonts w:ascii="Verdana" w:hAnsi="Verdana"/>
          <w:sz w:val="20"/>
          <w:lang w:val="pt-BR"/>
        </w:rPr>
        <w:t xml:space="preserve"> e </w:t>
      </w:r>
      <w:r w:rsidR="00313394" w:rsidRPr="002F50BD">
        <w:rPr>
          <w:rFonts w:ascii="Verdana" w:hAnsi="Verdana"/>
          <w:sz w:val="20"/>
          <w:lang w:val="pt-BR"/>
        </w:rPr>
        <w:t>Concepción</w:t>
      </w:r>
      <w:r w:rsidR="0089298C" w:rsidRPr="002F50BD">
        <w:rPr>
          <w:rFonts w:ascii="Verdana" w:hAnsi="Verdana"/>
          <w:sz w:val="20"/>
          <w:lang w:val="pt-BR"/>
        </w:rPr>
        <w:t xml:space="preserve"> foi reconhecida em </w:t>
      </w:r>
      <w:r w:rsidRPr="002F50BD">
        <w:rPr>
          <w:rFonts w:ascii="Verdana" w:hAnsi="Verdana"/>
          <w:sz w:val="20"/>
          <w:lang w:val="pt-BR"/>
        </w:rPr>
        <w:t>23</w:t>
      </w:r>
      <w:r w:rsidR="004756C1" w:rsidRPr="002F50BD">
        <w:rPr>
          <w:rFonts w:ascii="Verdana" w:hAnsi="Verdana"/>
          <w:sz w:val="20"/>
          <w:lang w:val="pt-BR"/>
        </w:rPr>
        <w:t xml:space="preserve"> de </w:t>
      </w:r>
      <w:r w:rsidR="0089298C" w:rsidRPr="002F50BD">
        <w:rPr>
          <w:rFonts w:ascii="Verdana" w:hAnsi="Verdana"/>
          <w:sz w:val="20"/>
          <w:lang w:val="pt-BR"/>
        </w:rPr>
        <w:t>junho</w:t>
      </w:r>
      <w:r w:rsidR="004756C1" w:rsidRPr="002F50BD">
        <w:rPr>
          <w:rFonts w:ascii="Verdana" w:hAnsi="Verdana"/>
          <w:sz w:val="20"/>
          <w:lang w:val="pt-BR"/>
        </w:rPr>
        <w:t xml:space="preserve"> de </w:t>
      </w:r>
      <w:r w:rsidRPr="002F50BD">
        <w:rPr>
          <w:rFonts w:ascii="Verdana" w:hAnsi="Verdana"/>
          <w:sz w:val="20"/>
          <w:lang w:val="pt-BR"/>
        </w:rPr>
        <w:t>1999</w:t>
      </w:r>
      <w:r w:rsidR="0089298C" w:rsidRPr="002F50BD">
        <w:rPr>
          <w:rFonts w:ascii="Verdana" w:hAnsi="Verdana"/>
          <w:sz w:val="20"/>
          <w:lang w:val="pt-BR"/>
        </w:rPr>
        <w:t xml:space="preserve"> pelo </w:t>
      </w:r>
      <w:r w:rsidR="004756C1" w:rsidRPr="002F50BD">
        <w:rPr>
          <w:rFonts w:ascii="Verdana" w:hAnsi="Verdana"/>
          <w:sz w:val="20"/>
          <w:lang w:val="pt-BR"/>
        </w:rPr>
        <w:t>Presidente</w:t>
      </w:r>
      <w:r w:rsidR="0089298C" w:rsidRPr="002F50BD">
        <w:rPr>
          <w:rFonts w:ascii="Verdana" w:hAnsi="Verdana"/>
          <w:sz w:val="20"/>
          <w:lang w:val="pt-BR"/>
        </w:rPr>
        <w:t xml:space="preserve"> da </w:t>
      </w:r>
      <w:r w:rsidR="004756C1" w:rsidRPr="002F50BD">
        <w:rPr>
          <w:rFonts w:ascii="Verdana" w:hAnsi="Verdana"/>
          <w:sz w:val="20"/>
          <w:lang w:val="pt-BR"/>
        </w:rPr>
        <w:t xml:space="preserve">República </w:t>
      </w:r>
      <w:r w:rsidR="0089298C" w:rsidRPr="002F50BD">
        <w:rPr>
          <w:rFonts w:ascii="Verdana" w:hAnsi="Verdana"/>
          <w:sz w:val="20"/>
          <w:lang w:val="pt-BR"/>
        </w:rPr>
        <w:t>do Paraguai</w:t>
      </w:r>
      <w:r w:rsidR="004756C1" w:rsidRPr="002F50BD">
        <w:rPr>
          <w:rFonts w:ascii="Verdana" w:hAnsi="Verdana"/>
          <w:sz w:val="20"/>
          <w:lang w:val="pt-BR"/>
        </w:rPr>
        <w:t xml:space="preserve">, </w:t>
      </w:r>
      <w:r w:rsidR="0089298C" w:rsidRPr="002F50BD">
        <w:rPr>
          <w:rFonts w:ascii="Verdana" w:hAnsi="Verdana"/>
          <w:sz w:val="20"/>
          <w:lang w:val="pt-BR"/>
        </w:rPr>
        <w:t xml:space="preserve">que emitiu o </w:t>
      </w:r>
      <w:r w:rsidR="004756C1" w:rsidRPr="002F50BD">
        <w:rPr>
          <w:rFonts w:ascii="Verdana" w:hAnsi="Verdana"/>
          <w:sz w:val="20"/>
          <w:lang w:val="pt-BR"/>
        </w:rPr>
        <w:t>decreto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3789</w:t>
      </w:r>
      <w:r w:rsidR="004756C1" w:rsidRPr="002F50BD">
        <w:rPr>
          <w:rFonts w:ascii="Verdana" w:hAnsi="Verdana"/>
          <w:sz w:val="20"/>
          <w:lang w:val="pt-BR"/>
        </w:rPr>
        <w:t xml:space="preserve"> </w:t>
      </w:r>
      <w:r w:rsidR="0089298C" w:rsidRPr="002F50BD">
        <w:rPr>
          <w:rFonts w:ascii="Verdana" w:hAnsi="Verdana"/>
          <w:sz w:val="20"/>
          <w:lang w:val="pt-BR"/>
        </w:rPr>
        <w:t>declar</w:t>
      </w:r>
      <w:r w:rsidR="0088662B" w:rsidRPr="002F50BD">
        <w:rPr>
          <w:rFonts w:ascii="Verdana" w:hAnsi="Verdana"/>
          <w:sz w:val="20"/>
          <w:lang w:val="pt-BR"/>
        </w:rPr>
        <w:t>ando</w:t>
      </w:r>
      <w:r w:rsidR="0089298C" w:rsidRPr="002F50BD">
        <w:rPr>
          <w:rFonts w:ascii="Verdana" w:hAnsi="Verdana"/>
          <w:sz w:val="20"/>
          <w:lang w:val="pt-BR"/>
        </w:rPr>
        <w:t xml:space="preserve"> em </w:t>
      </w:r>
      <w:r w:rsidR="004756C1" w:rsidRPr="002F50BD">
        <w:rPr>
          <w:rFonts w:ascii="Verdana" w:hAnsi="Verdana"/>
          <w:sz w:val="20"/>
          <w:lang w:val="pt-BR"/>
        </w:rPr>
        <w:t xml:space="preserve">estado de </w:t>
      </w:r>
      <w:r w:rsidR="00A50140" w:rsidRPr="002F50BD">
        <w:rPr>
          <w:rFonts w:ascii="Verdana" w:hAnsi="Verdana"/>
          <w:sz w:val="20"/>
          <w:lang w:val="pt-BR"/>
        </w:rPr>
        <w:t xml:space="preserve">emergência </w:t>
      </w:r>
      <w:r w:rsidR="00A4549B"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Comunidades indígenas Yakye Axa</w:t>
      </w:r>
      <w:r w:rsidR="0089298C" w:rsidRPr="002F50BD">
        <w:rPr>
          <w:rFonts w:ascii="Verdana" w:hAnsi="Verdana"/>
          <w:sz w:val="20"/>
          <w:lang w:val="pt-BR"/>
        </w:rPr>
        <w:t xml:space="preserve"> e </w:t>
      </w:r>
      <w:r w:rsidR="004756C1" w:rsidRPr="002F50BD">
        <w:rPr>
          <w:rFonts w:ascii="Verdana" w:hAnsi="Verdana"/>
          <w:sz w:val="20"/>
          <w:lang w:val="pt-BR"/>
        </w:rPr>
        <w:t xml:space="preserve">Sawhoyamaxa,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D95E71" w:rsidRPr="002F50BD">
        <w:rPr>
          <w:rFonts w:ascii="Verdana" w:hAnsi="Verdana"/>
          <w:sz w:val="20"/>
          <w:lang w:val="pt-BR"/>
        </w:rPr>
        <w:t xml:space="preserve">. O </w:t>
      </w:r>
      <w:r w:rsidR="004756C1" w:rsidRPr="002F50BD">
        <w:rPr>
          <w:rFonts w:ascii="Verdana" w:hAnsi="Verdana"/>
          <w:sz w:val="20"/>
          <w:lang w:val="pt-BR"/>
        </w:rPr>
        <w:t xml:space="preserve">decreto </w:t>
      </w:r>
      <w:r w:rsidR="00AB454A" w:rsidRPr="002F50BD">
        <w:rPr>
          <w:rFonts w:ascii="Verdana" w:hAnsi="Verdana"/>
          <w:sz w:val="20"/>
          <w:lang w:val="pt-BR"/>
        </w:rPr>
        <w:t xml:space="preserve">Presidencial </w:t>
      </w:r>
      <w:r w:rsidR="004756C1" w:rsidRPr="002F50BD">
        <w:rPr>
          <w:rFonts w:ascii="Verdana" w:hAnsi="Verdana"/>
          <w:sz w:val="20"/>
          <w:lang w:val="pt-BR"/>
        </w:rPr>
        <w:t>re</w:t>
      </w:r>
      <w:r w:rsidR="0089298C" w:rsidRPr="002F50BD">
        <w:rPr>
          <w:rFonts w:ascii="Verdana" w:hAnsi="Verdana"/>
          <w:sz w:val="20"/>
          <w:lang w:val="pt-BR"/>
        </w:rPr>
        <w:t>conheceu</w:t>
      </w:r>
      <w:r w:rsidR="004756C1" w:rsidRPr="002F50BD">
        <w:rPr>
          <w:rFonts w:ascii="Verdana" w:hAnsi="Verdana"/>
          <w:sz w:val="20"/>
          <w:lang w:val="pt-BR"/>
        </w:rPr>
        <w:t xml:space="preserve"> que</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se </w:t>
      </w:r>
      <w:r w:rsidR="0088662B" w:rsidRPr="002F50BD">
        <w:rPr>
          <w:rFonts w:ascii="Verdana" w:hAnsi="Verdana"/>
          <w:sz w:val="20"/>
          <w:lang w:val="pt-BR"/>
        </w:rPr>
        <w:t xml:space="preserve">encontrava </w:t>
      </w:r>
      <w:r w:rsidR="004756C1" w:rsidRPr="002F50BD">
        <w:rPr>
          <w:rFonts w:ascii="Verdana" w:hAnsi="Verdana"/>
          <w:sz w:val="20"/>
          <w:lang w:val="pt-BR"/>
        </w:rPr>
        <w:t xml:space="preserve">privada </w:t>
      </w:r>
      <w:r w:rsidR="0089298C" w:rsidRPr="002F50BD">
        <w:rPr>
          <w:rFonts w:ascii="Verdana" w:hAnsi="Verdana"/>
          <w:sz w:val="20"/>
          <w:lang w:val="pt-BR"/>
        </w:rPr>
        <w:t xml:space="preserve">do </w:t>
      </w:r>
      <w:r w:rsidR="004756C1" w:rsidRPr="002F50BD">
        <w:rPr>
          <w:rFonts w:ascii="Verdana" w:hAnsi="Verdana"/>
          <w:sz w:val="20"/>
          <w:lang w:val="pt-BR"/>
        </w:rPr>
        <w:t>“</w:t>
      </w:r>
      <w:r w:rsidR="0089298C" w:rsidRPr="002F50BD">
        <w:rPr>
          <w:rFonts w:ascii="Verdana" w:hAnsi="Verdana"/>
          <w:sz w:val="20"/>
          <w:lang w:val="pt-BR"/>
        </w:rPr>
        <w:t xml:space="preserve">acesso aos </w:t>
      </w:r>
      <w:r w:rsidR="004756C1" w:rsidRPr="002F50BD">
        <w:rPr>
          <w:rFonts w:ascii="Verdana" w:hAnsi="Verdana"/>
          <w:sz w:val="20"/>
          <w:lang w:val="pt-BR"/>
        </w:rPr>
        <w:t xml:space="preserve">meios de </w:t>
      </w:r>
      <w:r w:rsidR="0089298C" w:rsidRPr="002F50BD">
        <w:rPr>
          <w:rFonts w:ascii="Verdana" w:hAnsi="Verdana"/>
          <w:sz w:val="20"/>
          <w:lang w:val="pt-BR"/>
        </w:rPr>
        <w:t>subsistência</w:t>
      </w:r>
      <w:r w:rsidR="004756C1" w:rsidRPr="002F50BD">
        <w:rPr>
          <w:rFonts w:ascii="Verdana" w:hAnsi="Verdana"/>
          <w:sz w:val="20"/>
          <w:lang w:val="pt-BR"/>
        </w:rPr>
        <w:t xml:space="preserve"> tr</w:t>
      </w:r>
      <w:r w:rsidR="0089298C" w:rsidRPr="002F50BD">
        <w:rPr>
          <w:rFonts w:ascii="Verdana" w:hAnsi="Verdana"/>
          <w:sz w:val="20"/>
          <w:lang w:val="pt-BR"/>
        </w:rPr>
        <w:t>adicionais</w:t>
      </w:r>
      <w:r w:rsidR="004756C1" w:rsidRPr="002F50BD">
        <w:rPr>
          <w:rFonts w:ascii="Verdana" w:hAnsi="Verdana"/>
          <w:sz w:val="20"/>
          <w:lang w:val="pt-BR"/>
        </w:rPr>
        <w:t xml:space="preserve"> ligados </w:t>
      </w:r>
      <w:r w:rsidR="0088662B" w:rsidRPr="002F50BD">
        <w:rPr>
          <w:rFonts w:ascii="Verdana" w:hAnsi="Verdana"/>
          <w:sz w:val="20"/>
          <w:lang w:val="pt-BR"/>
        </w:rPr>
        <w:t>à</w:t>
      </w:r>
      <w:r w:rsidR="004756C1" w:rsidRPr="002F50BD">
        <w:rPr>
          <w:rFonts w:ascii="Verdana" w:hAnsi="Verdana"/>
          <w:sz w:val="20"/>
          <w:lang w:val="pt-BR"/>
        </w:rPr>
        <w:t xml:space="preserve"> </w:t>
      </w:r>
      <w:r w:rsidR="0089298C" w:rsidRPr="002F50BD">
        <w:rPr>
          <w:rFonts w:ascii="Verdana" w:hAnsi="Verdana"/>
          <w:sz w:val="20"/>
          <w:lang w:val="pt-BR"/>
        </w:rPr>
        <w:t xml:space="preserve">sua identidade </w:t>
      </w:r>
      <w:r w:rsidR="004756C1" w:rsidRPr="002F50BD">
        <w:rPr>
          <w:rFonts w:ascii="Verdana" w:hAnsi="Verdana"/>
          <w:sz w:val="20"/>
          <w:lang w:val="pt-BR"/>
        </w:rPr>
        <w:t>cultural,</w:t>
      </w:r>
      <w:r w:rsidR="0089298C" w:rsidRPr="002F50BD">
        <w:rPr>
          <w:rFonts w:ascii="Verdana" w:hAnsi="Verdana"/>
          <w:sz w:val="20"/>
          <w:lang w:val="pt-BR"/>
        </w:rPr>
        <w:t xml:space="preserve"> </w:t>
      </w:r>
      <w:r w:rsidR="00A4549B" w:rsidRPr="002F50BD">
        <w:rPr>
          <w:rFonts w:ascii="Verdana" w:hAnsi="Verdana"/>
          <w:sz w:val="20"/>
          <w:lang w:val="pt-BR"/>
        </w:rPr>
        <w:t>em razão da</w:t>
      </w:r>
      <w:r w:rsidR="0089298C" w:rsidRPr="002F50BD">
        <w:rPr>
          <w:rFonts w:ascii="Verdana" w:hAnsi="Verdana"/>
          <w:sz w:val="20"/>
          <w:lang w:val="pt-BR"/>
        </w:rPr>
        <w:t xml:space="preserve"> proibição </w:t>
      </w:r>
      <w:r w:rsidR="0088662B" w:rsidRPr="002F50BD">
        <w:rPr>
          <w:rFonts w:ascii="Verdana" w:hAnsi="Verdana"/>
          <w:sz w:val="20"/>
          <w:lang w:val="pt-BR"/>
        </w:rPr>
        <w:t>do</w:t>
      </w:r>
      <w:r w:rsidR="0089298C" w:rsidRPr="002F50BD">
        <w:rPr>
          <w:rFonts w:ascii="Verdana" w:hAnsi="Verdana"/>
          <w:sz w:val="20"/>
          <w:lang w:val="pt-BR"/>
        </w:rPr>
        <w:t xml:space="preserve"> </w:t>
      </w:r>
      <w:r w:rsidR="0088662B" w:rsidRPr="002F50BD">
        <w:rPr>
          <w:rFonts w:ascii="Verdana" w:hAnsi="Verdana"/>
          <w:sz w:val="20"/>
          <w:lang w:val="pt-BR"/>
        </w:rPr>
        <w:t xml:space="preserve">seu </w:t>
      </w:r>
      <w:r w:rsidR="0089298C" w:rsidRPr="002F50BD">
        <w:rPr>
          <w:rFonts w:ascii="Verdana" w:hAnsi="Verdana"/>
          <w:sz w:val="20"/>
          <w:lang w:val="pt-BR"/>
        </w:rPr>
        <w:t>ingresso</w:t>
      </w:r>
      <w:r w:rsidR="004756C1" w:rsidRPr="002F50BD">
        <w:rPr>
          <w:rFonts w:ascii="Verdana" w:hAnsi="Verdana"/>
          <w:sz w:val="20"/>
          <w:lang w:val="pt-BR"/>
        </w:rPr>
        <w:t xml:space="preserve"> </w:t>
      </w:r>
      <w:r w:rsidR="0089298C" w:rsidRPr="002F50BD">
        <w:rPr>
          <w:rFonts w:ascii="Verdana" w:hAnsi="Verdana"/>
          <w:sz w:val="20"/>
          <w:lang w:val="pt-BR"/>
        </w:rPr>
        <w:t xml:space="preserve">no </w:t>
      </w:r>
      <w:r w:rsidR="001A0CDE" w:rsidRPr="002F50BD">
        <w:rPr>
          <w:rFonts w:ascii="Verdana" w:hAnsi="Verdana"/>
          <w:i/>
          <w:sz w:val="20"/>
          <w:lang w:val="pt-BR"/>
        </w:rPr>
        <w:t>habitat</w:t>
      </w:r>
      <w:r w:rsidR="004756C1" w:rsidRPr="002F50BD">
        <w:rPr>
          <w:rFonts w:ascii="Verdana" w:hAnsi="Verdana"/>
          <w:sz w:val="20"/>
          <w:lang w:val="pt-BR"/>
        </w:rPr>
        <w:t xml:space="preserve"> reclamado como parte de s</w:t>
      </w:r>
      <w:r w:rsidR="0088662B" w:rsidRPr="002F50BD">
        <w:rPr>
          <w:rFonts w:ascii="Verdana" w:hAnsi="Verdana"/>
          <w:sz w:val="20"/>
          <w:lang w:val="pt-BR"/>
        </w:rPr>
        <w:t>e</w:t>
      </w:r>
      <w:r w:rsidR="004756C1" w:rsidRPr="002F50BD">
        <w:rPr>
          <w:rFonts w:ascii="Verdana" w:hAnsi="Verdana"/>
          <w:sz w:val="20"/>
          <w:lang w:val="pt-BR"/>
        </w:rPr>
        <w:t xml:space="preserve">us </w:t>
      </w:r>
      <w:r w:rsidR="0089298C" w:rsidRPr="002F50BD">
        <w:rPr>
          <w:rFonts w:ascii="Verdana" w:hAnsi="Verdana"/>
          <w:sz w:val="20"/>
          <w:lang w:val="pt-BR"/>
        </w:rPr>
        <w:t>território</w:t>
      </w:r>
      <w:r w:rsidR="004756C1" w:rsidRPr="002F50BD">
        <w:rPr>
          <w:rFonts w:ascii="Verdana" w:hAnsi="Verdana"/>
          <w:sz w:val="20"/>
          <w:lang w:val="pt-BR"/>
        </w:rPr>
        <w:t xml:space="preserve">s </w:t>
      </w:r>
      <w:r w:rsidR="00AB454A" w:rsidRPr="002F50BD">
        <w:rPr>
          <w:rFonts w:ascii="Verdana" w:hAnsi="Verdana"/>
          <w:sz w:val="20"/>
          <w:lang w:val="pt-BR"/>
        </w:rPr>
        <w:t>ancestrais</w:t>
      </w:r>
      <w:r w:rsidR="00A4549B" w:rsidRPr="002F50BD">
        <w:rPr>
          <w:rFonts w:ascii="Verdana" w:hAnsi="Verdana"/>
          <w:sz w:val="20"/>
          <w:lang w:val="pt-BR"/>
        </w:rPr>
        <w:t xml:space="preserve"> por parte dos proprietários</w:t>
      </w:r>
      <w:r w:rsidR="004756C1" w:rsidRPr="002F50BD">
        <w:rPr>
          <w:rFonts w:ascii="Verdana" w:hAnsi="Verdana"/>
          <w:sz w:val="20"/>
          <w:lang w:val="pt-BR"/>
        </w:rPr>
        <w:t>”</w:t>
      </w:r>
      <w:r w:rsidR="0089298C" w:rsidRPr="002F50BD">
        <w:rPr>
          <w:rFonts w:ascii="Verdana" w:hAnsi="Verdana"/>
          <w:sz w:val="20"/>
          <w:lang w:val="pt-BR"/>
        </w:rPr>
        <w:t>; e</w:t>
      </w:r>
      <w:r w:rsidR="004756C1" w:rsidRPr="002F50BD">
        <w:rPr>
          <w:rFonts w:ascii="Verdana" w:hAnsi="Verdana"/>
          <w:sz w:val="20"/>
          <w:lang w:val="pt-BR"/>
        </w:rPr>
        <w:t xml:space="preserve"> </w:t>
      </w:r>
      <w:r w:rsidR="0088662B" w:rsidRPr="002F50BD">
        <w:rPr>
          <w:rFonts w:ascii="Verdana" w:hAnsi="Verdana"/>
          <w:sz w:val="20"/>
          <w:lang w:val="pt-BR"/>
        </w:rPr>
        <w:t xml:space="preserve">ordenou </w:t>
      </w:r>
      <w:r w:rsidR="004756C1" w:rsidRPr="002F50BD">
        <w:rPr>
          <w:rFonts w:ascii="Verdana" w:hAnsi="Verdana"/>
          <w:sz w:val="20"/>
          <w:lang w:val="pt-BR"/>
        </w:rPr>
        <w:t>que</w:t>
      </w:r>
      <w:r w:rsidR="0089298C" w:rsidRPr="002F50BD">
        <w:rPr>
          <w:rFonts w:ascii="Verdana" w:hAnsi="Verdana"/>
          <w:sz w:val="20"/>
          <w:lang w:val="pt-BR"/>
        </w:rPr>
        <w:t xml:space="preserve"> o </w:t>
      </w:r>
      <w:r w:rsidR="004756C1" w:rsidRPr="002F50BD">
        <w:rPr>
          <w:rFonts w:ascii="Verdana" w:hAnsi="Verdana"/>
          <w:sz w:val="20"/>
          <w:lang w:val="pt-BR"/>
        </w:rPr>
        <w:t>INDI</w:t>
      </w:r>
      <w:r w:rsidR="00951B61">
        <w:rPr>
          <w:rFonts w:ascii="Verdana" w:hAnsi="Verdana"/>
          <w:sz w:val="20"/>
          <w:lang w:val="pt-BR"/>
        </w:rPr>
        <w:t>,</w:t>
      </w:r>
      <w:r w:rsidR="004756C1" w:rsidRPr="002F50BD">
        <w:rPr>
          <w:rFonts w:ascii="Verdana" w:hAnsi="Verdana"/>
          <w:sz w:val="20"/>
          <w:lang w:val="pt-BR"/>
        </w:rPr>
        <w:t xml:space="preserve"> </w:t>
      </w:r>
      <w:r w:rsidR="004756C1" w:rsidRPr="002F50BD">
        <w:rPr>
          <w:rFonts w:ascii="Verdana" w:hAnsi="Verdana"/>
          <w:sz w:val="20"/>
          <w:lang w:val="pt-BR"/>
        </w:rPr>
        <w:lastRenderedPageBreak/>
        <w:t>“conjuntamente</w:t>
      </w:r>
      <w:r w:rsidR="0089298C" w:rsidRPr="002F50BD">
        <w:rPr>
          <w:rFonts w:ascii="Verdana" w:hAnsi="Verdana"/>
          <w:sz w:val="20"/>
          <w:lang w:val="pt-BR"/>
        </w:rPr>
        <w:t xml:space="preserve"> com os Ministério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4756C1" w:rsidRPr="002F50BD">
        <w:rPr>
          <w:rFonts w:ascii="Verdana" w:hAnsi="Verdana"/>
          <w:sz w:val="20"/>
          <w:lang w:val="pt-BR"/>
        </w:rPr>
        <w:t>Interior</w:t>
      </w:r>
      <w:r w:rsidR="0089298C" w:rsidRPr="002F50BD">
        <w:rPr>
          <w:rFonts w:ascii="Verdana" w:hAnsi="Verdana"/>
          <w:sz w:val="20"/>
          <w:lang w:val="pt-BR"/>
        </w:rPr>
        <w:t xml:space="preserve"> e </w:t>
      </w:r>
      <w:r w:rsidR="004756C1" w:rsidRPr="002F50BD">
        <w:rPr>
          <w:rFonts w:ascii="Verdana" w:hAnsi="Verdana"/>
          <w:sz w:val="20"/>
          <w:lang w:val="pt-BR"/>
        </w:rPr>
        <w:t xml:space="preserve">de </w:t>
      </w:r>
      <w:r w:rsidR="0089298C" w:rsidRPr="002F50BD">
        <w:rPr>
          <w:rFonts w:ascii="Verdana" w:hAnsi="Verdana"/>
          <w:sz w:val="20"/>
          <w:lang w:val="pt-BR"/>
        </w:rPr>
        <w:t>Saúde</w:t>
      </w:r>
      <w:r w:rsidR="004756C1" w:rsidRPr="002F50BD">
        <w:rPr>
          <w:rFonts w:ascii="Verdana" w:hAnsi="Verdana"/>
          <w:sz w:val="20"/>
          <w:lang w:val="pt-BR"/>
        </w:rPr>
        <w:t xml:space="preserve"> Pública</w:t>
      </w:r>
      <w:r w:rsidR="0089298C" w:rsidRPr="002F50BD">
        <w:rPr>
          <w:rFonts w:ascii="Verdana" w:hAnsi="Verdana"/>
          <w:sz w:val="20"/>
          <w:lang w:val="pt-BR"/>
        </w:rPr>
        <w:t xml:space="preserve"> e </w:t>
      </w:r>
      <w:r w:rsidR="0088662B" w:rsidRPr="002F50BD">
        <w:rPr>
          <w:rFonts w:ascii="Verdana" w:hAnsi="Verdana"/>
          <w:sz w:val="20"/>
          <w:lang w:val="pt-BR"/>
        </w:rPr>
        <w:t xml:space="preserve">do </w:t>
      </w:r>
      <w:r w:rsidR="00475EBB" w:rsidRPr="002F50BD">
        <w:rPr>
          <w:rFonts w:ascii="Verdana" w:hAnsi="Verdana"/>
          <w:sz w:val="20"/>
          <w:lang w:val="pt-BR"/>
        </w:rPr>
        <w:t>Bem Estar</w:t>
      </w:r>
      <w:r w:rsidR="004756C1" w:rsidRPr="002F50BD">
        <w:rPr>
          <w:rFonts w:ascii="Verdana" w:hAnsi="Verdana"/>
          <w:sz w:val="20"/>
          <w:lang w:val="pt-BR"/>
        </w:rPr>
        <w:t xml:space="preserve"> Social</w:t>
      </w:r>
      <w:r w:rsidR="00951B61">
        <w:rPr>
          <w:rFonts w:ascii="Verdana" w:hAnsi="Verdana"/>
          <w:sz w:val="20"/>
          <w:lang w:val="pt-BR"/>
        </w:rPr>
        <w:t>,</w:t>
      </w:r>
      <w:r w:rsidR="004756C1" w:rsidRPr="002F50BD">
        <w:rPr>
          <w:rFonts w:ascii="Verdana" w:hAnsi="Verdana"/>
          <w:sz w:val="20"/>
          <w:lang w:val="pt-BR"/>
        </w:rPr>
        <w:t xml:space="preserve"> </w:t>
      </w:r>
      <w:r w:rsidR="0088662B" w:rsidRPr="002F50BD">
        <w:rPr>
          <w:rFonts w:ascii="Verdana" w:hAnsi="Verdana"/>
          <w:sz w:val="20"/>
          <w:lang w:val="pt-BR"/>
        </w:rPr>
        <w:t xml:space="preserve">executem </w:t>
      </w:r>
      <w:r w:rsidR="0089298C" w:rsidRPr="002F50BD">
        <w:rPr>
          <w:rFonts w:ascii="Verdana" w:hAnsi="Verdana"/>
          <w:sz w:val="20"/>
          <w:lang w:val="pt-BR"/>
        </w:rPr>
        <w:t>as ações</w:t>
      </w:r>
      <w:r w:rsidR="004756C1" w:rsidRPr="002F50BD">
        <w:rPr>
          <w:rFonts w:ascii="Verdana" w:hAnsi="Verdana"/>
          <w:sz w:val="20"/>
          <w:lang w:val="pt-BR"/>
        </w:rPr>
        <w:t xml:space="preserve"> </w:t>
      </w:r>
      <w:r w:rsidR="00A4549B" w:rsidRPr="002F50BD">
        <w:rPr>
          <w:rFonts w:ascii="Verdana" w:hAnsi="Verdana"/>
          <w:sz w:val="20"/>
          <w:lang w:val="pt-BR"/>
        </w:rPr>
        <w:t>necessárias à</w:t>
      </w:r>
      <w:r w:rsidR="0089298C" w:rsidRPr="002F50BD">
        <w:rPr>
          <w:rFonts w:ascii="Verdana" w:hAnsi="Verdana"/>
          <w:sz w:val="20"/>
          <w:lang w:val="pt-BR"/>
        </w:rPr>
        <w:t xml:space="preserve"> imediat</w:t>
      </w:r>
      <w:r w:rsidR="004756C1" w:rsidRPr="002F50BD">
        <w:rPr>
          <w:rFonts w:ascii="Verdana" w:hAnsi="Verdana"/>
          <w:sz w:val="20"/>
          <w:lang w:val="pt-BR"/>
        </w:rPr>
        <w:t xml:space="preserve">a </w:t>
      </w:r>
      <w:r w:rsidR="004076AD" w:rsidRPr="002F50BD">
        <w:rPr>
          <w:rFonts w:ascii="Verdana" w:hAnsi="Verdana"/>
          <w:sz w:val="20"/>
          <w:lang w:val="pt-BR"/>
        </w:rPr>
        <w:t>provisão</w:t>
      </w:r>
      <w:r w:rsidR="004756C1" w:rsidRPr="002F50BD">
        <w:rPr>
          <w:rFonts w:ascii="Verdana" w:hAnsi="Verdana"/>
          <w:sz w:val="20"/>
          <w:lang w:val="pt-BR"/>
        </w:rPr>
        <w:t xml:space="preserve"> de </w:t>
      </w:r>
      <w:r w:rsidR="0089298C" w:rsidRPr="002F50BD">
        <w:rPr>
          <w:rFonts w:ascii="Verdana" w:hAnsi="Verdana"/>
          <w:sz w:val="20"/>
          <w:lang w:val="pt-BR"/>
        </w:rPr>
        <w:t>atenção</w:t>
      </w:r>
      <w:r w:rsidR="004756C1" w:rsidRPr="002F50BD">
        <w:rPr>
          <w:rFonts w:ascii="Verdana" w:hAnsi="Verdana"/>
          <w:sz w:val="20"/>
          <w:lang w:val="pt-BR"/>
        </w:rPr>
        <w:t xml:space="preserve"> médica</w:t>
      </w:r>
      <w:r w:rsidR="0089298C" w:rsidRPr="002F50BD">
        <w:rPr>
          <w:rFonts w:ascii="Verdana" w:hAnsi="Verdana"/>
          <w:sz w:val="20"/>
          <w:lang w:val="pt-BR"/>
        </w:rPr>
        <w:t xml:space="preserve"> e </w:t>
      </w:r>
      <w:r w:rsidR="004756C1" w:rsidRPr="002F50BD">
        <w:rPr>
          <w:rFonts w:ascii="Verdana" w:hAnsi="Verdana"/>
          <w:sz w:val="20"/>
          <w:lang w:val="pt-BR"/>
        </w:rPr>
        <w:t>alimentar</w:t>
      </w:r>
      <w:r w:rsidR="0089298C" w:rsidRPr="002F50BD">
        <w:rPr>
          <w:rFonts w:ascii="Verdana" w:hAnsi="Verdana"/>
          <w:sz w:val="20"/>
          <w:lang w:val="pt-BR"/>
        </w:rPr>
        <w:t xml:space="preserve"> às </w:t>
      </w:r>
      <w:r w:rsidR="005A6BC7" w:rsidRPr="002F50BD">
        <w:rPr>
          <w:rFonts w:ascii="Verdana" w:hAnsi="Verdana"/>
          <w:sz w:val="20"/>
          <w:lang w:val="pt-BR"/>
        </w:rPr>
        <w:t>família</w:t>
      </w:r>
      <w:r w:rsidR="004756C1" w:rsidRPr="002F50BD">
        <w:rPr>
          <w:rFonts w:ascii="Verdana" w:hAnsi="Verdana"/>
          <w:sz w:val="20"/>
          <w:lang w:val="pt-BR"/>
        </w:rPr>
        <w:t>s integrantes</w:t>
      </w:r>
      <w:r w:rsidR="0089298C" w:rsidRPr="002F50BD">
        <w:rPr>
          <w:rFonts w:ascii="Verdana" w:hAnsi="Verdana"/>
          <w:sz w:val="20"/>
          <w:lang w:val="pt-BR"/>
        </w:rPr>
        <w:t xml:space="preserve"> das </w:t>
      </w:r>
      <w:r w:rsidR="004756C1" w:rsidRPr="002F50BD">
        <w:rPr>
          <w:rFonts w:ascii="Verdana" w:hAnsi="Verdana"/>
          <w:sz w:val="20"/>
          <w:lang w:val="pt-BR"/>
        </w:rPr>
        <w:t xml:space="preserve">comunidades </w:t>
      </w:r>
      <w:r w:rsidR="004076AD" w:rsidRPr="002F50BD">
        <w:rPr>
          <w:rFonts w:ascii="Verdana" w:hAnsi="Verdana"/>
          <w:sz w:val="20"/>
          <w:lang w:val="pt-BR"/>
        </w:rPr>
        <w:t>indica</w:t>
      </w:r>
      <w:r w:rsidR="004756C1" w:rsidRPr="002F50BD">
        <w:rPr>
          <w:rFonts w:ascii="Verdana" w:hAnsi="Verdana"/>
          <w:sz w:val="20"/>
          <w:lang w:val="pt-BR"/>
        </w:rPr>
        <w:t>das, durante</w:t>
      </w:r>
      <w:r w:rsidR="0089298C" w:rsidRPr="002F50BD">
        <w:rPr>
          <w:rFonts w:ascii="Verdana" w:hAnsi="Verdana"/>
          <w:sz w:val="20"/>
          <w:lang w:val="pt-BR"/>
        </w:rPr>
        <w:t xml:space="preserve"> o tempo</w:t>
      </w:r>
      <w:r w:rsidR="004756C1" w:rsidRPr="002F50BD">
        <w:rPr>
          <w:rFonts w:ascii="Verdana" w:hAnsi="Verdana"/>
          <w:sz w:val="20"/>
          <w:lang w:val="pt-BR"/>
        </w:rPr>
        <w:t xml:space="preserve"> que dure</w:t>
      </w:r>
      <w:r w:rsidR="0088662B" w:rsidRPr="002F50BD">
        <w:rPr>
          <w:rFonts w:ascii="Verdana" w:hAnsi="Verdana"/>
          <w:sz w:val="20"/>
          <w:lang w:val="pt-BR"/>
        </w:rPr>
        <w:t>m</w:t>
      </w:r>
      <w:r w:rsidR="0089298C" w:rsidRPr="002F50BD">
        <w:rPr>
          <w:rFonts w:ascii="Verdana" w:hAnsi="Verdana"/>
          <w:sz w:val="20"/>
          <w:lang w:val="pt-BR"/>
        </w:rPr>
        <w:t xml:space="preserve"> os trâmite</w:t>
      </w:r>
      <w:r w:rsidR="004756C1" w:rsidRPr="002F50BD">
        <w:rPr>
          <w:rFonts w:ascii="Verdana" w:hAnsi="Verdana"/>
          <w:sz w:val="20"/>
          <w:lang w:val="pt-BR"/>
        </w:rPr>
        <w:t xml:space="preserve">s </w:t>
      </w:r>
      <w:r w:rsidR="0089298C" w:rsidRPr="002F50BD">
        <w:rPr>
          <w:rFonts w:ascii="Verdana" w:hAnsi="Verdana"/>
          <w:sz w:val="20"/>
          <w:lang w:val="pt-BR"/>
        </w:rPr>
        <w:t>judiciais</w:t>
      </w:r>
      <w:r w:rsidR="004756C1" w:rsidRPr="002F50BD">
        <w:rPr>
          <w:rFonts w:ascii="Verdana" w:hAnsi="Verdana"/>
          <w:sz w:val="20"/>
          <w:lang w:val="pt-BR"/>
        </w:rPr>
        <w:t xml:space="preserve"> referente</w:t>
      </w:r>
      <w:r w:rsidR="006603BE" w:rsidRPr="002F50BD">
        <w:rPr>
          <w:rFonts w:ascii="Verdana" w:hAnsi="Verdana"/>
          <w:sz w:val="20"/>
          <w:lang w:val="pt-BR"/>
        </w:rPr>
        <w:t>s</w:t>
      </w:r>
      <w:r w:rsidR="0089298C" w:rsidRPr="002F50BD">
        <w:rPr>
          <w:rFonts w:ascii="Verdana" w:hAnsi="Verdana"/>
          <w:sz w:val="20"/>
          <w:lang w:val="pt-BR"/>
        </w:rPr>
        <w:t xml:space="preserve"> à </w:t>
      </w:r>
      <w:r w:rsidR="004756C1" w:rsidRPr="002F50BD">
        <w:rPr>
          <w:rFonts w:ascii="Verdana" w:hAnsi="Verdana"/>
          <w:sz w:val="20"/>
          <w:lang w:val="pt-BR"/>
        </w:rPr>
        <w:t>legisla</w:t>
      </w:r>
      <w:r w:rsidR="0089298C" w:rsidRPr="002F50BD">
        <w:rPr>
          <w:rFonts w:ascii="Verdana" w:hAnsi="Verdana"/>
          <w:sz w:val="20"/>
          <w:lang w:val="pt-BR"/>
        </w:rPr>
        <w:t>ção das terra</w:t>
      </w:r>
      <w:r w:rsidR="004756C1" w:rsidRPr="002F50BD">
        <w:rPr>
          <w:rFonts w:ascii="Verdana" w:hAnsi="Verdana"/>
          <w:sz w:val="20"/>
          <w:lang w:val="pt-BR"/>
        </w:rPr>
        <w:t xml:space="preserve">s reclamadas como parte </w:t>
      </w:r>
      <w:r w:rsidR="0089298C" w:rsidRPr="002F50BD">
        <w:rPr>
          <w:rFonts w:ascii="Verdana" w:hAnsi="Verdana"/>
          <w:sz w:val="20"/>
          <w:lang w:val="pt-BR"/>
        </w:rPr>
        <w:t xml:space="preserve">do </w:t>
      </w:r>
      <w:r w:rsidR="001A0CDE" w:rsidRPr="002F50BD">
        <w:rPr>
          <w:rFonts w:ascii="Verdana" w:hAnsi="Verdana"/>
          <w:i/>
          <w:sz w:val="20"/>
          <w:lang w:val="pt-BR"/>
        </w:rPr>
        <w:t>habitat</w:t>
      </w:r>
      <w:r w:rsidR="004756C1" w:rsidRPr="002F50BD">
        <w:rPr>
          <w:rFonts w:ascii="Verdana" w:hAnsi="Verdana"/>
          <w:sz w:val="20"/>
          <w:lang w:val="pt-BR"/>
        </w:rPr>
        <w:t xml:space="preserve"> tradicional</w:t>
      </w:r>
      <w:r w:rsidR="0089298C" w:rsidRPr="002F50BD">
        <w:rPr>
          <w:rFonts w:ascii="Verdana" w:hAnsi="Verdana"/>
          <w:sz w:val="20"/>
          <w:lang w:val="pt-BR"/>
        </w:rPr>
        <w:t xml:space="preserve"> das mesm</w:t>
      </w:r>
      <w:r w:rsidR="004756C1" w:rsidRPr="002F50BD">
        <w:rPr>
          <w:rFonts w:ascii="Verdana" w:hAnsi="Verdana"/>
          <w:sz w:val="20"/>
          <w:lang w:val="pt-BR"/>
        </w:rPr>
        <w:t>as.”</w:t>
      </w:r>
      <w:r w:rsidR="004756C1" w:rsidRPr="002F50BD">
        <w:rPr>
          <w:rStyle w:val="FootnoteReference"/>
          <w:rFonts w:ascii="Verdana" w:hAnsi="Verdana"/>
          <w:lang w:val="es-ES_tradnl"/>
        </w:rPr>
        <w:footnoteReference w:id="164"/>
      </w:r>
    </w:p>
    <w:p w:rsidR="004756C1" w:rsidRPr="002F50BD" w:rsidRDefault="004756C1">
      <w:pPr>
        <w:pStyle w:val="BodyText"/>
        <w:tabs>
          <w:tab w:val="left" w:pos="720"/>
          <w:tab w:val="left" w:pos="8640"/>
        </w:tabs>
        <w:rPr>
          <w:rFonts w:ascii="Verdana" w:hAnsi="Verdana"/>
          <w:sz w:val="20"/>
          <w:lang w:val="pt-BR"/>
        </w:rPr>
      </w:pPr>
    </w:p>
    <w:p w:rsidR="004756C1" w:rsidRPr="002F50BD" w:rsidRDefault="00063B47">
      <w:pPr>
        <w:pStyle w:val="BodyText"/>
        <w:tabs>
          <w:tab w:val="left" w:pos="720"/>
        </w:tabs>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101</w:t>
      </w:r>
      <w:r w:rsidR="00D95E71" w:rsidRPr="002F50BD">
        <w:rPr>
          <w:rFonts w:ascii="Verdana" w:hAnsi="Verdana"/>
          <w:sz w:val="20"/>
          <w:lang w:val="pt-BR"/>
        </w:rPr>
        <w:t xml:space="preserve">. O </w:t>
      </w:r>
      <w:r w:rsidR="00AB454A" w:rsidRPr="002F50BD">
        <w:rPr>
          <w:rFonts w:ascii="Verdana" w:hAnsi="Verdana"/>
          <w:sz w:val="20"/>
          <w:lang w:val="pt-BR"/>
        </w:rPr>
        <w:t>senhor</w:t>
      </w:r>
      <w:r w:rsidR="0089298C" w:rsidRPr="002F50BD">
        <w:rPr>
          <w:rFonts w:ascii="Verdana" w:hAnsi="Verdana"/>
          <w:sz w:val="20"/>
          <w:lang w:val="pt-BR"/>
        </w:rPr>
        <w:t xml:space="preserve"> </w:t>
      </w:r>
      <w:r w:rsidR="004756C1" w:rsidRPr="002F50BD">
        <w:rPr>
          <w:rFonts w:ascii="Verdana" w:hAnsi="Verdana"/>
          <w:sz w:val="20"/>
          <w:lang w:val="pt-BR"/>
        </w:rPr>
        <w:t>Esteban López visit</w:t>
      </w:r>
      <w:r w:rsidR="00AB6727" w:rsidRPr="002F50BD">
        <w:rPr>
          <w:rFonts w:ascii="Verdana" w:hAnsi="Verdana"/>
          <w:sz w:val="20"/>
          <w:lang w:val="pt-BR"/>
        </w:rPr>
        <w:t xml:space="preserve">ava </w:t>
      </w:r>
      <w:r w:rsidR="004756C1" w:rsidRPr="002F50BD">
        <w:rPr>
          <w:rFonts w:ascii="Verdana" w:hAnsi="Verdana"/>
          <w:sz w:val="20"/>
          <w:lang w:val="pt-BR"/>
        </w:rPr>
        <w:t>regularmente</w:t>
      </w:r>
      <w:r w:rsidR="0089298C" w:rsidRPr="002F50BD">
        <w:rPr>
          <w:rFonts w:ascii="Verdana" w:hAnsi="Verdana"/>
          <w:sz w:val="20"/>
          <w:lang w:val="pt-BR"/>
        </w:rPr>
        <w:t xml:space="preserve"> o </w:t>
      </w:r>
      <w:r w:rsidR="004756C1" w:rsidRPr="002F50BD">
        <w:rPr>
          <w:rFonts w:ascii="Verdana" w:hAnsi="Verdana"/>
          <w:sz w:val="20"/>
          <w:lang w:val="pt-BR"/>
        </w:rPr>
        <w:t xml:space="preserve">INDI para </w:t>
      </w:r>
      <w:r w:rsidR="006603BE" w:rsidRPr="002F50BD">
        <w:rPr>
          <w:rFonts w:ascii="Verdana" w:hAnsi="Verdana"/>
          <w:sz w:val="20"/>
          <w:lang w:val="pt-BR"/>
        </w:rPr>
        <w:t>pedir</w:t>
      </w:r>
      <w:r w:rsidR="004756C1" w:rsidRPr="002F50BD">
        <w:rPr>
          <w:rFonts w:ascii="Verdana" w:hAnsi="Verdana"/>
          <w:sz w:val="20"/>
          <w:lang w:val="pt-BR"/>
        </w:rPr>
        <w:t xml:space="preserve"> </w:t>
      </w:r>
      <w:r w:rsidR="0088662B" w:rsidRPr="002F50BD">
        <w:rPr>
          <w:rFonts w:ascii="Verdana" w:hAnsi="Verdana"/>
          <w:sz w:val="20"/>
          <w:lang w:val="pt-BR"/>
        </w:rPr>
        <w:t>alimentos</w:t>
      </w:r>
      <w:r w:rsidR="004756C1" w:rsidRPr="002F50BD">
        <w:rPr>
          <w:rFonts w:ascii="Verdana" w:hAnsi="Verdana"/>
          <w:sz w:val="20"/>
          <w:lang w:val="pt-BR"/>
        </w:rPr>
        <w:t>, medicamentos</w:t>
      </w:r>
      <w:r w:rsidR="0089298C" w:rsidRPr="002F50BD">
        <w:rPr>
          <w:rFonts w:ascii="Verdana" w:hAnsi="Verdana"/>
          <w:sz w:val="20"/>
          <w:lang w:val="pt-BR"/>
        </w:rPr>
        <w:t xml:space="preserve"> e qualquer</w:t>
      </w:r>
      <w:r w:rsidR="004756C1" w:rsidRPr="002F50BD">
        <w:rPr>
          <w:rFonts w:ascii="Verdana" w:hAnsi="Verdana"/>
          <w:sz w:val="20"/>
          <w:lang w:val="pt-BR"/>
        </w:rPr>
        <w:t xml:space="preserve"> tipo de </w:t>
      </w:r>
      <w:r w:rsidR="0089298C" w:rsidRPr="002F50BD">
        <w:rPr>
          <w:rFonts w:ascii="Verdana" w:hAnsi="Verdana"/>
          <w:sz w:val="20"/>
          <w:lang w:val="pt-BR"/>
        </w:rPr>
        <w:t>ajuda</w:t>
      </w:r>
      <w:r w:rsidR="004756C1" w:rsidRPr="002F50BD">
        <w:rPr>
          <w:rFonts w:ascii="Verdana" w:hAnsi="Verdana"/>
          <w:sz w:val="20"/>
          <w:lang w:val="pt-BR"/>
        </w:rPr>
        <w:t>,</w:t>
      </w:r>
      <w:r w:rsidR="0089298C" w:rsidRPr="002F50BD">
        <w:rPr>
          <w:rFonts w:ascii="Verdana" w:hAnsi="Verdana"/>
          <w:sz w:val="20"/>
          <w:lang w:val="pt-BR"/>
        </w:rPr>
        <w:t xml:space="preserve"> </w:t>
      </w:r>
      <w:r w:rsidR="0088662B" w:rsidRPr="002F50BD">
        <w:rPr>
          <w:rFonts w:ascii="Verdana" w:hAnsi="Verdana"/>
          <w:sz w:val="20"/>
          <w:lang w:val="pt-BR"/>
        </w:rPr>
        <w:t>a</w:t>
      </w:r>
      <w:r w:rsidR="0089298C" w:rsidRPr="002F50BD">
        <w:rPr>
          <w:rFonts w:ascii="Verdana" w:hAnsi="Verdana"/>
          <w:sz w:val="20"/>
          <w:lang w:val="pt-BR"/>
        </w:rPr>
        <w:t xml:space="preserve"> qual </w:t>
      </w:r>
      <w:r w:rsidR="004756C1" w:rsidRPr="002F50BD">
        <w:rPr>
          <w:rFonts w:ascii="Verdana" w:hAnsi="Verdana"/>
          <w:sz w:val="20"/>
          <w:lang w:val="pt-BR"/>
        </w:rPr>
        <w:t>era concedida</w:t>
      </w:r>
      <w:r w:rsidR="0089298C" w:rsidRPr="002F50BD">
        <w:rPr>
          <w:rFonts w:ascii="Verdana" w:hAnsi="Verdana"/>
          <w:sz w:val="20"/>
          <w:lang w:val="pt-BR"/>
        </w:rPr>
        <w:t xml:space="preserve"> em algumas</w:t>
      </w:r>
      <w:r w:rsidR="004756C1" w:rsidRPr="002F50BD">
        <w:rPr>
          <w:rFonts w:ascii="Verdana" w:hAnsi="Verdana"/>
          <w:sz w:val="20"/>
          <w:lang w:val="pt-BR"/>
        </w:rPr>
        <w:t xml:space="preserve"> oportunidades</w:t>
      </w:r>
      <w:r w:rsidR="0088662B" w:rsidRPr="002F50BD">
        <w:rPr>
          <w:rFonts w:ascii="Verdana" w:hAnsi="Verdana"/>
          <w:sz w:val="20"/>
          <w:lang w:val="pt-BR"/>
        </w:rPr>
        <w:t>.</w:t>
      </w:r>
      <w:r w:rsidR="004756C1" w:rsidRPr="002F50BD">
        <w:rPr>
          <w:rStyle w:val="FootnoteReference"/>
          <w:rFonts w:ascii="Verdana" w:hAnsi="Verdana"/>
          <w:lang w:val="es-ES_tradnl"/>
        </w:rPr>
        <w:footnoteReference w:id="165"/>
      </w:r>
    </w:p>
    <w:p w:rsidR="004756C1" w:rsidRPr="002F50BD" w:rsidRDefault="004756C1">
      <w:pPr>
        <w:pStyle w:val="BodyText"/>
        <w:tabs>
          <w:tab w:val="left" w:pos="720"/>
        </w:tabs>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102</w:t>
      </w:r>
      <w:r w:rsidR="00BE346D" w:rsidRPr="002F50BD">
        <w:rPr>
          <w:rFonts w:ascii="Verdana" w:hAnsi="Verdana"/>
          <w:sz w:val="20"/>
          <w:lang w:val="pt-BR"/>
        </w:rPr>
        <w:t xml:space="preserve">. Em </w:t>
      </w:r>
      <w:r w:rsidRPr="002F50BD">
        <w:rPr>
          <w:rFonts w:ascii="Verdana" w:hAnsi="Verdana"/>
          <w:sz w:val="20"/>
          <w:lang w:val="pt-BR"/>
        </w:rPr>
        <w:t>18</w:t>
      </w:r>
      <w:r w:rsidR="004756C1" w:rsidRPr="002F50BD">
        <w:rPr>
          <w:rFonts w:ascii="Verdana" w:hAnsi="Verdana"/>
          <w:sz w:val="20"/>
          <w:lang w:val="pt-BR"/>
        </w:rPr>
        <w:t xml:space="preserve"> de </w:t>
      </w:r>
      <w:r w:rsidR="0089298C" w:rsidRPr="002F50BD">
        <w:rPr>
          <w:rFonts w:ascii="Verdana" w:hAnsi="Verdana"/>
          <w:sz w:val="20"/>
          <w:lang w:val="pt-BR"/>
        </w:rPr>
        <w:t>fevereiro</w:t>
      </w:r>
      <w:r w:rsidR="004756C1" w:rsidRPr="002F50BD">
        <w:rPr>
          <w:rFonts w:ascii="Verdana" w:hAnsi="Verdana"/>
          <w:sz w:val="20"/>
          <w:lang w:val="pt-BR"/>
        </w:rPr>
        <w:t xml:space="preserve"> de </w:t>
      </w:r>
      <w:r w:rsidRPr="002F50BD">
        <w:rPr>
          <w:rFonts w:ascii="Verdana" w:hAnsi="Verdana"/>
          <w:sz w:val="20"/>
          <w:lang w:val="pt-BR"/>
        </w:rPr>
        <w:t>2000</w:t>
      </w:r>
      <w:r w:rsidR="00A4549B"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funcionári</w:t>
      </w:r>
      <w:r w:rsidR="004756C1" w:rsidRPr="002F50BD">
        <w:rPr>
          <w:rFonts w:ascii="Verdana" w:hAnsi="Verdana"/>
          <w:sz w:val="20"/>
          <w:lang w:val="pt-BR"/>
        </w:rPr>
        <w:t xml:space="preserve">os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realizaram um</w:t>
      </w:r>
      <w:r w:rsidR="0088662B" w:rsidRPr="002F50BD">
        <w:rPr>
          <w:rFonts w:ascii="Verdana" w:hAnsi="Verdana"/>
          <w:sz w:val="20"/>
          <w:lang w:val="pt-BR"/>
        </w:rPr>
        <w:t>a</w:t>
      </w:r>
      <w:r w:rsidR="0089298C" w:rsidRPr="002F50BD">
        <w:rPr>
          <w:rFonts w:ascii="Verdana" w:hAnsi="Verdana"/>
          <w:sz w:val="20"/>
          <w:lang w:val="pt-BR"/>
        </w:rPr>
        <w:t xml:space="preserve"> viagem ao </w:t>
      </w:r>
      <w:r w:rsidR="004756C1" w:rsidRPr="002F50BD">
        <w:rPr>
          <w:rFonts w:ascii="Verdana" w:hAnsi="Verdana"/>
          <w:sz w:val="20"/>
          <w:lang w:val="pt-BR"/>
        </w:rPr>
        <w:t xml:space="preserve">lugar de </w:t>
      </w:r>
      <w:r w:rsidR="00AB454A" w:rsidRPr="002F50BD">
        <w:rPr>
          <w:rFonts w:ascii="Verdana" w:hAnsi="Verdana"/>
          <w:sz w:val="20"/>
          <w:lang w:val="pt-BR"/>
        </w:rPr>
        <w:t>assentamento</w:t>
      </w:r>
      <w:r w:rsidR="0089298C" w:rsidRPr="002F50BD">
        <w:rPr>
          <w:rFonts w:ascii="Verdana" w:hAnsi="Verdana"/>
          <w:sz w:val="20"/>
          <w:lang w:val="pt-BR"/>
        </w:rPr>
        <w:t xml:space="preserve"> das </w:t>
      </w:r>
      <w:r w:rsidR="004756C1" w:rsidRPr="002F50BD">
        <w:rPr>
          <w:rFonts w:ascii="Verdana" w:hAnsi="Verdana"/>
          <w:sz w:val="20"/>
          <w:lang w:val="pt-BR"/>
        </w:rPr>
        <w:t>comunidades Yakye Axa</w:t>
      </w:r>
      <w:r w:rsidR="0089298C" w:rsidRPr="002F50BD">
        <w:rPr>
          <w:rFonts w:ascii="Verdana" w:hAnsi="Verdana"/>
          <w:sz w:val="20"/>
          <w:lang w:val="pt-BR"/>
        </w:rPr>
        <w:t xml:space="preserve"> e </w:t>
      </w:r>
      <w:r w:rsidR="004756C1" w:rsidRPr="002F50BD">
        <w:rPr>
          <w:rFonts w:ascii="Verdana" w:hAnsi="Verdana"/>
          <w:sz w:val="20"/>
          <w:lang w:val="pt-BR"/>
        </w:rPr>
        <w:t xml:space="preserve">Sawhoyamaxa para realizar </w:t>
      </w:r>
      <w:r w:rsidR="0089298C" w:rsidRPr="002F50BD">
        <w:rPr>
          <w:rFonts w:ascii="Verdana" w:hAnsi="Verdana"/>
          <w:sz w:val="20"/>
          <w:lang w:val="pt-BR"/>
        </w:rPr>
        <w:t xml:space="preserve">“o </w:t>
      </w:r>
      <w:r w:rsidR="0088662B" w:rsidRPr="002F50BD">
        <w:rPr>
          <w:rFonts w:ascii="Verdana" w:hAnsi="Verdana"/>
          <w:sz w:val="20"/>
          <w:lang w:val="pt-BR"/>
        </w:rPr>
        <w:t>levantamento</w:t>
      </w:r>
      <w:r w:rsidR="004756C1" w:rsidRPr="002F50BD">
        <w:rPr>
          <w:rFonts w:ascii="Verdana" w:hAnsi="Verdana"/>
          <w:sz w:val="20"/>
          <w:lang w:val="pt-BR"/>
        </w:rPr>
        <w:t xml:space="preserve"> de </w:t>
      </w:r>
      <w:r w:rsidR="0089298C" w:rsidRPr="002F50BD">
        <w:rPr>
          <w:rFonts w:ascii="Verdana" w:hAnsi="Verdana"/>
          <w:sz w:val="20"/>
          <w:lang w:val="pt-BR"/>
        </w:rPr>
        <w:t>dado</w:t>
      </w:r>
      <w:r w:rsidR="004756C1" w:rsidRPr="002F50BD">
        <w:rPr>
          <w:rFonts w:ascii="Verdana" w:hAnsi="Verdana"/>
          <w:sz w:val="20"/>
          <w:lang w:val="pt-BR"/>
        </w:rPr>
        <w:t>s”</w:t>
      </w:r>
      <w:r w:rsidR="00475EBB" w:rsidRPr="002F50BD">
        <w:rPr>
          <w:rFonts w:ascii="Verdana" w:hAnsi="Verdana"/>
          <w:sz w:val="20"/>
          <w:lang w:val="pt-BR"/>
        </w:rPr>
        <w:t>. Ness</w:t>
      </w:r>
      <w:r w:rsidR="00FB33DD"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 xml:space="preserve">visita, </w:t>
      </w:r>
      <w:r w:rsidR="0089298C" w:rsidRPr="002F50BD">
        <w:rPr>
          <w:rFonts w:ascii="Verdana" w:hAnsi="Verdana"/>
          <w:sz w:val="20"/>
          <w:lang w:val="pt-BR"/>
        </w:rPr>
        <w:t>segundo</w:t>
      </w:r>
      <w:r w:rsidR="004756C1" w:rsidRPr="002F50BD">
        <w:rPr>
          <w:rFonts w:ascii="Verdana" w:hAnsi="Verdana"/>
          <w:sz w:val="20"/>
          <w:lang w:val="pt-BR"/>
        </w:rPr>
        <w:t xml:space="preserve"> consta</w:t>
      </w:r>
      <w:r w:rsidR="0089298C" w:rsidRPr="002F50BD">
        <w:rPr>
          <w:rFonts w:ascii="Verdana" w:hAnsi="Verdana"/>
          <w:sz w:val="20"/>
          <w:lang w:val="pt-BR"/>
        </w:rPr>
        <w:t xml:space="preserve"> no relatório </w:t>
      </w:r>
      <w:r w:rsidR="004756C1" w:rsidRPr="002F50BD">
        <w:rPr>
          <w:rFonts w:ascii="Verdana" w:hAnsi="Verdana"/>
          <w:sz w:val="20"/>
          <w:lang w:val="pt-BR"/>
        </w:rPr>
        <w:t>elaborado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funcionári</w:t>
      </w:r>
      <w:r w:rsidR="004756C1" w:rsidRPr="002F50BD">
        <w:rPr>
          <w:rFonts w:ascii="Verdana" w:hAnsi="Verdana"/>
          <w:sz w:val="20"/>
          <w:lang w:val="pt-BR"/>
        </w:rPr>
        <w:t xml:space="preserve">os, </w:t>
      </w:r>
      <w:r w:rsidR="0088662B" w:rsidRPr="002F50BD">
        <w:rPr>
          <w:rFonts w:ascii="Verdana" w:hAnsi="Verdana"/>
          <w:sz w:val="20"/>
          <w:lang w:val="pt-BR"/>
        </w:rPr>
        <w:t xml:space="preserve">foi possível </w:t>
      </w:r>
      <w:r w:rsidR="004756C1" w:rsidRPr="002F50BD">
        <w:rPr>
          <w:rFonts w:ascii="Verdana" w:hAnsi="Verdana"/>
          <w:sz w:val="20"/>
          <w:lang w:val="pt-BR"/>
        </w:rPr>
        <w:t>com</w:t>
      </w:r>
      <w:r w:rsidR="0089298C" w:rsidRPr="002F50BD">
        <w:rPr>
          <w:rFonts w:ascii="Verdana" w:hAnsi="Verdana"/>
          <w:sz w:val="20"/>
          <w:lang w:val="pt-BR"/>
        </w:rPr>
        <w:t>provar</w:t>
      </w:r>
      <w:r w:rsidR="004756C1" w:rsidRPr="002F50BD">
        <w:rPr>
          <w:rFonts w:ascii="Verdana" w:hAnsi="Verdana"/>
          <w:sz w:val="20"/>
          <w:lang w:val="pt-BR"/>
        </w:rPr>
        <w:t xml:space="preserve"> </w:t>
      </w:r>
      <w:r w:rsidR="0089298C" w:rsidRPr="002F50BD">
        <w:rPr>
          <w:rFonts w:ascii="Verdana" w:hAnsi="Verdana"/>
          <w:sz w:val="20"/>
          <w:lang w:val="pt-BR"/>
        </w:rPr>
        <w:t xml:space="preserve">“a </w:t>
      </w:r>
      <w:r w:rsidR="004756C1" w:rsidRPr="002F50BD">
        <w:rPr>
          <w:rFonts w:ascii="Verdana" w:hAnsi="Verdana"/>
          <w:sz w:val="20"/>
          <w:lang w:val="pt-BR"/>
        </w:rPr>
        <w:t>precariedad</w:t>
      </w:r>
      <w:r w:rsidR="0088662B" w:rsidRPr="002F50BD">
        <w:rPr>
          <w:rFonts w:ascii="Verdana" w:hAnsi="Verdana"/>
          <w:sz w:val="20"/>
          <w:lang w:val="pt-BR"/>
        </w:rPr>
        <w:t>e</w:t>
      </w:r>
      <w:r w:rsidR="004756C1" w:rsidRPr="002F50BD">
        <w:rPr>
          <w:rFonts w:ascii="Verdana" w:hAnsi="Verdana"/>
          <w:sz w:val="20"/>
          <w:lang w:val="pt-BR"/>
        </w:rPr>
        <w:t xml:space="preserve"> d</w:t>
      </w:r>
      <w:r w:rsidR="0088662B" w:rsidRPr="002F50BD">
        <w:rPr>
          <w:rFonts w:ascii="Verdana" w:hAnsi="Verdana"/>
          <w:sz w:val="20"/>
          <w:lang w:val="pt-BR"/>
        </w:rPr>
        <w:t xml:space="preserve">os </w:t>
      </w:r>
      <w:r w:rsidR="004756C1" w:rsidRPr="002F50BD">
        <w:rPr>
          <w:rFonts w:ascii="Verdana" w:hAnsi="Verdana"/>
          <w:sz w:val="20"/>
          <w:lang w:val="pt-BR"/>
        </w:rPr>
        <w:t>meios</w:t>
      </w:r>
      <w:r w:rsidR="0089298C" w:rsidRPr="002F50BD">
        <w:rPr>
          <w:rFonts w:ascii="Verdana" w:hAnsi="Verdana"/>
          <w:sz w:val="20"/>
          <w:lang w:val="pt-BR"/>
        </w:rPr>
        <w:t xml:space="preserve"> em </w:t>
      </w:r>
      <w:r w:rsidR="004756C1" w:rsidRPr="002F50BD">
        <w:rPr>
          <w:rFonts w:ascii="Verdana" w:hAnsi="Verdana"/>
          <w:sz w:val="20"/>
          <w:lang w:val="pt-BR"/>
        </w:rPr>
        <w:t>que se desenv</w:t>
      </w:r>
      <w:r w:rsidR="0088662B" w:rsidRPr="002F50BD">
        <w:rPr>
          <w:rFonts w:ascii="Verdana" w:hAnsi="Verdana"/>
          <w:sz w:val="20"/>
          <w:lang w:val="pt-BR"/>
        </w:rPr>
        <w:t>olvem</w:t>
      </w:r>
      <w:r w:rsidR="004756C1" w:rsidRPr="002F50BD">
        <w:rPr>
          <w:rFonts w:ascii="Verdana" w:hAnsi="Verdana"/>
          <w:sz w:val="20"/>
          <w:lang w:val="pt-BR"/>
        </w:rPr>
        <w:t xml:space="preserve"> </w:t>
      </w:r>
      <w:r w:rsidR="0089298C" w:rsidRPr="002F50BD">
        <w:rPr>
          <w:rFonts w:ascii="Verdana" w:hAnsi="Verdana"/>
          <w:sz w:val="20"/>
          <w:lang w:val="pt-BR"/>
        </w:rPr>
        <w:t xml:space="preserve">devido à </w:t>
      </w:r>
      <w:r w:rsidR="004756C1" w:rsidRPr="002F50BD">
        <w:rPr>
          <w:rFonts w:ascii="Verdana" w:hAnsi="Verdana"/>
          <w:sz w:val="20"/>
          <w:lang w:val="pt-BR"/>
        </w:rPr>
        <w:t>im</w:t>
      </w:r>
      <w:r w:rsidR="0089298C" w:rsidRPr="002F50BD">
        <w:rPr>
          <w:rFonts w:ascii="Verdana" w:hAnsi="Verdana"/>
          <w:sz w:val="20"/>
          <w:lang w:val="pt-BR"/>
        </w:rPr>
        <w:t xml:space="preserve">possibilidade </w:t>
      </w:r>
      <w:r w:rsidR="004756C1" w:rsidRPr="002F50BD">
        <w:rPr>
          <w:rFonts w:ascii="Verdana" w:hAnsi="Verdana"/>
          <w:sz w:val="20"/>
          <w:lang w:val="pt-BR"/>
        </w:rPr>
        <w:t xml:space="preserve">de </w:t>
      </w:r>
      <w:r w:rsidR="0089298C" w:rsidRPr="002F50BD">
        <w:rPr>
          <w:rFonts w:ascii="Verdana" w:hAnsi="Verdana"/>
          <w:sz w:val="20"/>
          <w:lang w:val="pt-BR"/>
        </w:rPr>
        <w:t xml:space="preserve">ingressar </w:t>
      </w:r>
      <w:r w:rsidR="00A4549B" w:rsidRPr="002F50BD">
        <w:rPr>
          <w:rFonts w:ascii="Verdana" w:hAnsi="Verdana"/>
          <w:sz w:val="20"/>
          <w:lang w:val="pt-BR"/>
        </w:rPr>
        <w:t>n</w:t>
      </w:r>
      <w:r w:rsidR="0089298C" w:rsidRPr="002F50BD">
        <w:rPr>
          <w:rFonts w:ascii="Verdana" w:hAnsi="Verdana"/>
          <w:sz w:val="20"/>
          <w:lang w:val="pt-BR"/>
        </w:rPr>
        <w:t>os território</w:t>
      </w:r>
      <w:r w:rsidR="004756C1" w:rsidRPr="002F50BD">
        <w:rPr>
          <w:rFonts w:ascii="Verdana" w:hAnsi="Verdana"/>
          <w:sz w:val="20"/>
          <w:lang w:val="pt-BR"/>
        </w:rPr>
        <w:t>s que reiv</w:t>
      </w:r>
      <w:r w:rsidR="0089298C" w:rsidRPr="002F50BD">
        <w:rPr>
          <w:rFonts w:ascii="Verdana" w:hAnsi="Verdana"/>
          <w:sz w:val="20"/>
          <w:lang w:val="pt-BR"/>
        </w:rPr>
        <w:t>indicam</w:t>
      </w:r>
      <w:r w:rsidR="004756C1" w:rsidRPr="002F50BD">
        <w:rPr>
          <w:rFonts w:ascii="Verdana" w:hAnsi="Verdana"/>
          <w:sz w:val="20"/>
          <w:lang w:val="pt-BR"/>
        </w:rPr>
        <w:t xml:space="preserve"> para realizar su</w:t>
      </w:r>
      <w:r w:rsidR="0088662B" w:rsidRPr="002F50BD">
        <w:rPr>
          <w:rFonts w:ascii="Verdana" w:hAnsi="Verdana"/>
          <w:sz w:val="20"/>
          <w:lang w:val="pt-BR"/>
        </w:rPr>
        <w:t>a</w:t>
      </w:r>
      <w:r w:rsidR="004756C1" w:rsidRPr="002F50BD">
        <w:rPr>
          <w:rFonts w:ascii="Verdana" w:hAnsi="Verdana"/>
          <w:sz w:val="20"/>
          <w:lang w:val="pt-BR"/>
        </w:rPr>
        <w:t xml:space="preserve">s </w:t>
      </w:r>
      <w:r w:rsidR="00127D40" w:rsidRPr="002F50BD">
        <w:rPr>
          <w:rFonts w:ascii="Verdana" w:hAnsi="Verdana"/>
          <w:sz w:val="20"/>
          <w:lang w:val="pt-BR"/>
        </w:rPr>
        <w:t xml:space="preserve">atividades </w:t>
      </w:r>
      <w:r w:rsidR="004756C1" w:rsidRPr="002F50BD">
        <w:rPr>
          <w:rFonts w:ascii="Verdana" w:hAnsi="Verdana"/>
          <w:sz w:val="20"/>
          <w:lang w:val="pt-BR"/>
        </w:rPr>
        <w:t>tr</w:t>
      </w:r>
      <w:r w:rsidR="0089298C" w:rsidRPr="002F50BD">
        <w:rPr>
          <w:rFonts w:ascii="Verdana" w:hAnsi="Verdana"/>
          <w:sz w:val="20"/>
          <w:lang w:val="pt-BR"/>
        </w:rPr>
        <w:t>adicionais</w:t>
      </w:r>
      <w:r w:rsidR="004756C1" w:rsidRPr="002F50BD">
        <w:rPr>
          <w:rFonts w:ascii="Verdana" w:hAnsi="Verdana"/>
          <w:sz w:val="20"/>
          <w:lang w:val="pt-BR"/>
        </w:rPr>
        <w:t>, como</w:t>
      </w:r>
      <w:r w:rsidR="0089298C" w:rsidRPr="002F50BD">
        <w:rPr>
          <w:rFonts w:ascii="Verdana" w:hAnsi="Verdana"/>
          <w:sz w:val="20"/>
          <w:lang w:val="pt-BR"/>
        </w:rPr>
        <w:t xml:space="preserve"> são a </w:t>
      </w:r>
      <w:r w:rsidR="00AB454A" w:rsidRPr="002F50BD">
        <w:rPr>
          <w:rFonts w:ascii="Verdana" w:hAnsi="Verdana"/>
          <w:sz w:val="20"/>
          <w:lang w:val="pt-BR"/>
        </w:rPr>
        <w:t>caça</w:t>
      </w:r>
      <w:r w:rsidR="004756C1" w:rsidRPr="002F50BD">
        <w:rPr>
          <w:rFonts w:ascii="Verdana" w:hAnsi="Verdana"/>
          <w:sz w:val="20"/>
          <w:lang w:val="pt-BR"/>
        </w:rPr>
        <w:t>, pesca</w:t>
      </w:r>
      <w:r w:rsidR="0089298C" w:rsidRPr="002F50BD">
        <w:rPr>
          <w:rFonts w:ascii="Verdana" w:hAnsi="Verdana"/>
          <w:sz w:val="20"/>
          <w:lang w:val="pt-BR"/>
        </w:rPr>
        <w:t xml:space="preserve"> e </w:t>
      </w:r>
      <w:r w:rsidR="0088662B" w:rsidRPr="002F50BD">
        <w:rPr>
          <w:rFonts w:ascii="Verdana" w:hAnsi="Verdana"/>
          <w:sz w:val="20"/>
          <w:lang w:val="pt-BR"/>
        </w:rPr>
        <w:t>coleta</w:t>
      </w:r>
      <w:r w:rsidR="004756C1" w:rsidRPr="002F50BD">
        <w:rPr>
          <w:rFonts w:ascii="Verdana" w:hAnsi="Verdana"/>
          <w:sz w:val="20"/>
          <w:lang w:val="pt-BR"/>
        </w:rPr>
        <w:t xml:space="preserve">[, </w:t>
      </w:r>
      <w:r w:rsidR="006603BE" w:rsidRPr="002F50BD">
        <w:rPr>
          <w:rFonts w:ascii="Verdana" w:hAnsi="Verdana"/>
          <w:sz w:val="20"/>
          <w:lang w:val="pt-BR"/>
        </w:rPr>
        <w:t>bem</w:t>
      </w:r>
      <w:r w:rsidR="004756C1" w:rsidRPr="002F50BD">
        <w:rPr>
          <w:rFonts w:ascii="Verdana" w:hAnsi="Verdana"/>
          <w:sz w:val="20"/>
          <w:lang w:val="pt-BR"/>
        </w:rPr>
        <w:t>] como</w:t>
      </w:r>
      <w:r w:rsidR="0089298C" w:rsidRPr="002F50BD">
        <w:rPr>
          <w:rFonts w:ascii="Verdana" w:hAnsi="Verdana"/>
          <w:sz w:val="20"/>
          <w:lang w:val="pt-BR"/>
        </w:rPr>
        <w:t xml:space="preserve"> a </w:t>
      </w:r>
      <w:r w:rsidR="004756C1" w:rsidRPr="002F50BD">
        <w:rPr>
          <w:rFonts w:ascii="Verdana" w:hAnsi="Verdana"/>
          <w:sz w:val="20"/>
          <w:lang w:val="pt-BR"/>
        </w:rPr>
        <w:t>escasez de</w:t>
      </w:r>
      <w:r w:rsidR="00AB454A" w:rsidRPr="002F50BD">
        <w:rPr>
          <w:rFonts w:ascii="Verdana" w:hAnsi="Verdana"/>
          <w:sz w:val="20"/>
          <w:lang w:val="pt-BR"/>
        </w:rPr>
        <w:t xml:space="preserve"> água potável </w:t>
      </w:r>
      <w:r w:rsidR="00127D40" w:rsidRPr="002F50BD">
        <w:rPr>
          <w:rFonts w:ascii="Verdana" w:hAnsi="Verdana"/>
          <w:sz w:val="20"/>
          <w:lang w:val="pt-BR"/>
        </w:rPr>
        <w:t xml:space="preserve">em </w:t>
      </w:r>
      <w:r w:rsidR="0089298C" w:rsidRPr="002F50BD">
        <w:rPr>
          <w:rFonts w:ascii="Verdana" w:hAnsi="Verdana"/>
          <w:sz w:val="20"/>
          <w:lang w:val="pt-BR"/>
        </w:rPr>
        <w:t xml:space="preserve">consequência da </w:t>
      </w:r>
      <w:r w:rsidR="004756C1" w:rsidRPr="002F50BD">
        <w:rPr>
          <w:rFonts w:ascii="Verdana" w:hAnsi="Verdana"/>
          <w:sz w:val="20"/>
          <w:lang w:val="pt-BR"/>
        </w:rPr>
        <w:t>prolongada se</w:t>
      </w:r>
      <w:r w:rsidR="0088662B" w:rsidRPr="002F50BD">
        <w:rPr>
          <w:rFonts w:ascii="Verdana" w:hAnsi="Verdana"/>
          <w:sz w:val="20"/>
          <w:lang w:val="pt-BR"/>
        </w:rPr>
        <w:t>ca</w:t>
      </w:r>
      <w:r w:rsidR="004756C1" w:rsidRPr="002F50BD">
        <w:rPr>
          <w:rFonts w:ascii="Verdana" w:hAnsi="Verdana"/>
          <w:sz w:val="20"/>
          <w:lang w:val="pt-BR"/>
        </w:rPr>
        <w:t xml:space="preserve"> ocasionada</w:t>
      </w:r>
      <w:r w:rsidR="0089298C" w:rsidRPr="002F50BD">
        <w:rPr>
          <w:rFonts w:ascii="Verdana" w:hAnsi="Verdana"/>
          <w:sz w:val="20"/>
          <w:lang w:val="pt-BR"/>
        </w:rPr>
        <w:t xml:space="preserve"> pela </w:t>
      </w:r>
      <w:r w:rsidR="004756C1" w:rsidRPr="002F50BD">
        <w:rPr>
          <w:rFonts w:ascii="Verdana" w:hAnsi="Verdana"/>
          <w:sz w:val="20"/>
          <w:lang w:val="pt-BR"/>
        </w:rPr>
        <w:t xml:space="preserve">falta de </w:t>
      </w:r>
      <w:r w:rsidR="00313394" w:rsidRPr="002F50BD">
        <w:rPr>
          <w:rFonts w:ascii="Verdana" w:hAnsi="Verdana"/>
          <w:sz w:val="20"/>
          <w:lang w:val="pt-BR"/>
        </w:rPr>
        <w:t>chuva</w:t>
      </w:r>
      <w:r w:rsidR="0089298C" w:rsidRPr="002F50BD">
        <w:rPr>
          <w:rFonts w:ascii="Verdana" w:hAnsi="Verdana"/>
          <w:sz w:val="20"/>
          <w:lang w:val="pt-BR"/>
        </w:rPr>
        <w:t xml:space="preserve"> </w:t>
      </w:r>
      <w:r w:rsidR="0088662B" w:rsidRPr="002F50BD">
        <w:rPr>
          <w:rFonts w:ascii="Verdana" w:hAnsi="Verdana"/>
          <w:sz w:val="20"/>
          <w:lang w:val="pt-BR"/>
        </w:rPr>
        <w:t>n</w:t>
      </w:r>
      <w:r w:rsidR="0089298C" w:rsidRPr="002F50BD">
        <w:rPr>
          <w:rFonts w:ascii="Verdana" w:hAnsi="Verdana"/>
          <w:sz w:val="20"/>
          <w:lang w:val="pt-BR"/>
        </w:rPr>
        <w:t xml:space="preserve">a </w:t>
      </w:r>
      <w:r w:rsidR="0088662B" w:rsidRPr="002F50BD">
        <w:rPr>
          <w:rFonts w:ascii="Verdana" w:hAnsi="Verdana"/>
          <w:sz w:val="20"/>
          <w:lang w:val="pt-BR"/>
        </w:rPr>
        <w:t>região</w:t>
      </w:r>
      <w:r w:rsidR="004756C1" w:rsidRPr="002F50BD">
        <w:rPr>
          <w:rFonts w:ascii="Verdana" w:hAnsi="Verdana"/>
          <w:sz w:val="20"/>
          <w:lang w:val="pt-BR"/>
        </w:rPr>
        <w:t xml:space="preserve">”. </w:t>
      </w:r>
      <w:r w:rsidR="0089298C" w:rsidRPr="002F50BD">
        <w:rPr>
          <w:rFonts w:ascii="Verdana" w:hAnsi="Verdana"/>
          <w:sz w:val="20"/>
          <w:lang w:val="pt-BR"/>
        </w:rPr>
        <w:t xml:space="preserve">A respeito da </w:t>
      </w:r>
      <w:r w:rsidR="004756C1" w:rsidRPr="002F50BD">
        <w:rPr>
          <w:rFonts w:ascii="Verdana" w:hAnsi="Verdana"/>
          <w:sz w:val="20"/>
          <w:lang w:val="pt-BR"/>
        </w:rPr>
        <w:t>educa</w:t>
      </w:r>
      <w:r w:rsidR="0089298C" w:rsidRPr="002F50BD">
        <w:rPr>
          <w:rFonts w:ascii="Verdana" w:hAnsi="Verdana"/>
          <w:sz w:val="20"/>
          <w:lang w:val="pt-BR"/>
        </w:rPr>
        <w:t>ção</w:t>
      </w:r>
      <w:r w:rsidR="004756C1" w:rsidRPr="002F50BD">
        <w:rPr>
          <w:rFonts w:ascii="Verdana" w:hAnsi="Verdana"/>
          <w:sz w:val="20"/>
          <w:lang w:val="pt-BR"/>
        </w:rPr>
        <w:t xml:space="preserve">, </w:t>
      </w:r>
      <w:r w:rsidR="0088662B" w:rsidRPr="002F50BD">
        <w:rPr>
          <w:rFonts w:ascii="Verdana" w:hAnsi="Verdana"/>
          <w:sz w:val="20"/>
          <w:lang w:val="pt-BR"/>
        </w:rPr>
        <w:t xml:space="preserve">foi possível </w:t>
      </w:r>
      <w:r w:rsidR="004756C1" w:rsidRPr="002F50BD">
        <w:rPr>
          <w:rFonts w:ascii="Verdana" w:hAnsi="Verdana"/>
          <w:sz w:val="20"/>
          <w:lang w:val="pt-BR"/>
        </w:rPr>
        <w:t>com</w:t>
      </w:r>
      <w:r w:rsidR="0089298C" w:rsidRPr="002F50BD">
        <w:rPr>
          <w:rFonts w:ascii="Verdana" w:hAnsi="Verdana"/>
          <w:sz w:val="20"/>
          <w:lang w:val="pt-BR"/>
        </w:rPr>
        <w:t>provar</w:t>
      </w:r>
      <w:r w:rsidR="004756C1" w:rsidRPr="002F50BD">
        <w:rPr>
          <w:rFonts w:ascii="Verdana" w:hAnsi="Verdana"/>
          <w:sz w:val="20"/>
          <w:lang w:val="pt-BR"/>
        </w:rPr>
        <w:t xml:space="preserve"> que “</w:t>
      </w:r>
      <w:r w:rsidR="004076AD" w:rsidRPr="002F50BD">
        <w:rPr>
          <w:rFonts w:ascii="Verdana" w:hAnsi="Verdana"/>
          <w:sz w:val="20"/>
          <w:lang w:val="pt-BR"/>
        </w:rPr>
        <w:t>contam</w:t>
      </w:r>
      <w:r w:rsidR="0089298C" w:rsidRPr="002F50BD">
        <w:rPr>
          <w:rFonts w:ascii="Verdana" w:hAnsi="Verdana"/>
          <w:sz w:val="20"/>
          <w:lang w:val="pt-BR"/>
        </w:rPr>
        <w:t xml:space="preserve"> com </w:t>
      </w:r>
      <w:r w:rsidR="004076AD" w:rsidRPr="002F50BD">
        <w:rPr>
          <w:rFonts w:ascii="Verdana" w:hAnsi="Verdana"/>
          <w:sz w:val="20"/>
          <w:lang w:val="pt-BR"/>
        </w:rPr>
        <w:t>escola</w:t>
      </w:r>
      <w:r w:rsidR="004756C1" w:rsidRPr="002F50BD">
        <w:rPr>
          <w:rFonts w:ascii="Verdana" w:hAnsi="Verdana"/>
          <w:sz w:val="20"/>
          <w:lang w:val="pt-BR"/>
        </w:rPr>
        <w:t xml:space="preserve">s </w:t>
      </w:r>
      <w:r w:rsidR="00A93AB9" w:rsidRPr="002F50BD">
        <w:rPr>
          <w:rFonts w:ascii="Verdana" w:hAnsi="Verdana"/>
          <w:sz w:val="20"/>
          <w:lang w:val="pt-BR"/>
        </w:rPr>
        <w:t>precária</w:t>
      </w:r>
      <w:r w:rsidR="004756C1" w:rsidRPr="002F50BD">
        <w:rPr>
          <w:rFonts w:ascii="Verdana" w:hAnsi="Verdana"/>
          <w:sz w:val="20"/>
          <w:lang w:val="pt-BR"/>
        </w:rPr>
        <w:t xml:space="preserve">s, </w:t>
      </w:r>
      <w:r w:rsidR="0089298C" w:rsidRPr="002F50BD">
        <w:rPr>
          <w:rFonts w:ascii="Verdana" w:hAnsi="Verdana"/>
          <w:sz w:val="20"/>
          <w:lang w:val="pt-BR"/>
        </w:rPr>
        <w:t>desenvolvida</w:t>
      </w:r>
      <w:r w:rsidR="004756C1" w:rsidRPr="002F50BD">
        <w:rPr>
          <w:rFonts w:ascii="Verdana" w:hAnsi="Verdana"/>
          <w:sz w:val="20"/>
          <w:lang w:val="pt-BR"/>
        </w:rPr>
        <w:t xml:space="preserve">s </w:t>
      </w:r>
      <w:r w:rsidR="0089298C" w:rsidRPr="002F50BD">
        <w:rPr>
          <w:rFonts w:ascii="Verdana" w:hAnsi="Verdana"/>
          <w:sz w:val="20"/>
          <w:lang w:val="pt-BR"/>
        </w:rPr>
        <w:t xml:space="preserve">até </w:t>
      </w:r>
      <w:r w:rsidR="0088662B" w:rsidRPr="002F50BD">
        <w:rPr>
          <w:rFonts w:ascii="Verdana" w:hAnsi="Verdana"/>
          <w:sz w:val="20"/>
          <w:lang w:val="pt-BR"/>
        </w:rPr>
        <w:t xml:space="preserve">a </w:t>
      </w:r>
      <w:r w:rsidRPr="002F50BD">
        <w:rPr>
          <w:rFonts w:ascii="Verdana" w:hAnsi="Verdana"/>
          <w:sz w:val="20"/>
          <w:lang w:val="pt-BR"/>
        </w:rPr>
        <w:t>6</w:t>
      </w:r>
      <w:r w:rsidR="0088662B" w:rsidRPr="002F50BD">
        <w:rPr>
          <w:rFonts w:ascii="Verdana" w:hAnsi="Verdana"/>
          <w:sz w:val="20"/>
          <w:lang w:val="pt-BR"/>
        </w:rPr>
        <w:t>ª série</w:t>
      </w:r>
      <w:r w:rsidR="004756C1" w:rsidRPr="002F50BD">
        <w:rPr>
          <w:rFonts w:ascii="Verdana" w:hAnsi="Verdana"/>
          <w:sz w:val="20"/>
          <w:lang w:val="pt-BR"/>
        </w:rPr>
        <w:t>,</w:t>
      </w:r>
      <w:r w:rsidR="0089298C" w:rsidRPr="002F50BD">
        <w:rPr>
          <w:rFonts w:ascii="Verdana" w:hAnsi="Verdana"/>
          <w:sz w:val="20"/>
          <w:lang w:val="pt-BR"/>
        </w:rPr>
        <w:t xml:space="preserve"> com </w:t>
      </w:r>
      <w:r w:rsidR="00951B61">
        <w:rPr>
          <w:rFonts w:ascii="Verdana" w:hAnsi="Verdana"/>
          <w:sz w:val="20"/>
          <w:lang w:val="pt-BR"/>
        </w:rPr>
        <w:t>recursos</w:t>
      </w:r>
      <w:r w:rsidR="0088662B" w:rsidRPr="002F50BD">
        <w:rPr>
          <w:rFonts w:ascii="Verdana" w:hAnsi="Verdana"/>
          <w:sz w:val="20"/>
          <w:lang w:val="pt-BR"/>
        </w:rPr>
        <w:t xml:space="preserve"> </w:t>
      </w:r>
      <w:r w:rsidR="007E1B5D" w:rsidRPr="002F50BD">
        <w:rPr>
          <w:rFonts w:ascii="Verdana" w:hAnsi="Verdana"/>
          <w:sz w:val="20"/>
          <w:lang w:val="pt-BR"/>
        </w:rPr>
        <w:t xml:space="preserve">fornecidos </w:t>
      </w:r>
      <w:r w:rsidR="0089298C" w:rsidRPr="002F50BD">
        <w:rPr>
          <w:rFonts w:ascii="Verdana" w:hAnsi="Verdana"/>
          <w:sz w:val="20"/>
          <w:lang w:val="pt-BR"/>
        </w:rPr>
        <w:t>pelo Ministério</w:t>
      </w:r>
      <w:r w:rsidR="004756C1" w:rsidRPr="002F50BD">
        <w:rPr>
          <w:rFonts w:ascii="Verdana" w:hAnsi="Verdana"/>
          <w:sz w:val="20"/>
          <w:lang w:val="pt-BR"/>
        </w:rPr>
        <w:t xml:space="preserve"> de Educa</w:t>
      </w:r>
      <w:r w:rsidR="0089298C" w:rsidRPr="002F50BD">
        <w:rPr>
          <w:rFonts w:ascii="Verdana" w:hAnsi="Verdana"/>
          <w:sz w:val="20"/>
          <w:lang w:val="pt-BR"/>
        </w:rPr>
        <w:t xml:space="preserve">ção e </w:t>
      </w:r>
      <w:r w:rsidR="004756C1" w:rsidRPr="002F50BD">
        <w:rPr>
          <w:rFonts w:ascii="Verdana" w:hAnsi="Verdana"/>
          <w:sz w:val="20"/>
          <w:lang w:val="pt-BR"/>
        </w:rPr>
        <w:t>Culto, para</w:t>
      </w:r>
      <w:r w:rsidR="0089298C" w:rsidRPr="002F50BD">
        <w:rPr>
          <w:rFonts w:ascii="Verdana" w:hAnsi="Verdana"/>
          <w:sz w:val="20"/>
          <w:lang w:val="pt-BR"/>
        </w:rPr>
        <w:t xml:space="preserve"> </w:t>
      </w:r>
      <w:r w:rsidR="002D02D4" w:rsidRPr="002F50BD">
        <w:rPr>
          <w:rFonts w:ascii="Verdana" w:hAnsi="Verdana"/>
          <w:sz w:val="20"/>
          <w:lang w:val="pt-BR"/>
        </w:rPr>
        <w:t>as quais</w:t>
      </w:r>
      <w:r w:rsidR="0089298C" w:rsidRPr="002F50BD">
        <w:rPr>
          <w:rFonts w:ascii="Verdana" w:hAnsi="Verdana"/>
          <w:sz w:val="20"/>
          <w:lang w:val="pt-BR"/>
        </w:rPr>
        <w:t xml:space="preserve"> </w:t>
      </w:r>
      <w:r w:rsidR="005A6BC7" w:rsidRPr="002F50BD">
        <w:rPr>
          <w:rFonts w:ascii="Verdana" w:hAnsi="Verdana"/>
          <w:sz w:val="20"/>
          <w:lang w:val="pt-BR"/>
        </w:rPr>
        <w:t>necessitam</w:t>
      </w:r>
      <w:r w:rsidR="0089298C" w:rsidRPr="002F50BD">
        <w:rPr>
          <w:rFonts w:ascii="Verdana" w:hAnsi="Verdana"/>
          <w:sz w:val="20"/>
          <w:lang w:val="pt-BR"/>
        </w:rPr>
        <w:t xml:space="preserve"> a </w:t>
      </w:r>
      <w:r w:rsidR="004076AD" w:rsidRPr="002F50BD">
        <w:rPr>
          <w:rFonts w:ascii="Verdana" w:hAnsi="Verdana"/>
          <w:sz w:val="20"/>
          <w:lang w:val="pt-BR"/>
        </w:rPr>
        <w:t>provisão</w:t>
      </w:r>
      <w:r w:rsidR="004756C1" w:rsidRPr="002F50BD">
        <w:rPr>
          <w:rFonts w:ascii="Verdana" w:hAnsi="Verdana"/>
          <w:sz w:val="20"/>
          <w:lang w:val="pt-BR"/>
        </w:rPr>
        <w:t xml:space="preserve"> de </w:t>
      </w:r>
      <w:r w:rsidR="0088662B" w:rsidRPr="002F50BD">
        <w:rPr>
          <w:rFonts w:ascii="Verdana" w:hAnsi="Verdana"/>
          <w:sz w:val="20"/>
          <w:lang w:val="pt-BR"/>
        </w:rPr>
        <w:t xml:space="preserve">materiais </w:t>
      </w:r>
      <w:r w:rsidR="004756C1" w:rsidRPr="002F50BD">
        <w:rPr>
          <w:rFonts w:ascii="Verdana" w:hAnsi="Verdana"/>
          <w:sz w:val="20"/>
          <w:lang w:val="pt-BR"/>
        </w:rPr>
        <w:t>escolares</w:t>
      </w:r>
      <w:r w:rsidR="0088662B" w:rsidRPr="002F50BD">
        <w:rPr>
          <w:rFonts w:ascii="Verdana" w:hAnsi="Verdana"/>
          <w:sz w:val="20"/>
          <w:lang w:val="pt-BR"/>
        </w:rPr>
        <w:t>.</w:t>
      </w:r>
      <w:r w:rsidR="004756C1" w:rsidRPr="002F50BD">
        <w:rPr>
          <w:rFonts w:ascii="Verdana" w:hAnsi="Verdana"/>
          <w:sz w:val="20"/>
          <w:lang w:val="pt-BR"/>
        </w:rPr>
        <w:t>”</w:t>
      </w:r>
      <w:r w:rsidR="004756C1" w:rsidRPr="002F50BD">
        <w:rPr>
          <w:rStyle w:val="FootnoteReference"/>
          <w:rFonts w:ascii="Verdana" w:hAnsi="Verdana"/>
          <w:lang w:val="es-ES_tradnl"/>
        </w:rPr>
        <w:footnoteReference w:id="166"/>
      </w:r>
      <w:r w:rsidR="00FE08B7">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103</w:t>
      </w:r>
      <w:r w:rsidR="004756C1" w:rsidRPr="002F50BD">
        <w:rPr>
          <w:rFonts w:ascii="Verdana" w:hAnsi="Verdana"/>
          <w:sz w:val="20"/>
          <w:lang w:val="pt-BR"/>
        </w:rPr>
        <w:t>.</w:t>
      </w:r>
      <w:r w:rsidR="0089298C" w:rsidRPr="002F50BD">
        <w:rPr>
          <w:rFonts w:ascii="Verdana" w:hAnsi="Verdana"/>
          <w:sz w:val="20"/>
          <w:lang w:val="pt-BR"/>
        </w:rPr>
        <w:t xml:space="preserve"> </w:t>
      </w:r>
      <w:r w:rsidR="0088662B" w:rsidRPr="002F50BD">
        <w:rPr>
          <w:rFonts w:ascii="Verdana" w:hAnsi="Verdana"/>
          <w:sz w:val="20"/>
          <w:lang w:val="pt-BR"/>
        </w:rPr>
        <w:t>N</w:t>
      </w:r>
      <w:r w:rsidR="0089298C" w:rsidRPr="002F50BD">
        <w:rPr>
          <w:rFonts w:ascii="Verdana" w:hAnsi="Verdana"/>
          <w:sz w:val="20"/>
          <w:lang w:val="pt-BR"/>
        </w:rPr>
        <w:t xml:space="preserve">o mês </w:t>
      </w:r>
      <w:r w:rsidR="004756C1" w:rsidRPr="002F50BD">
        <w:rPr>
          <w:rFonts w:ascii="Verdana" w:hAnsi="Verdana"/>
          <w:sz w:val="20"/>
          <w:lang w:val="pt-BR"/>
        </w:rPr>
        <w:t xml:space="preserve">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2000</w:t>
      </w:r>
      <w:r w:rsidR="002D02D4"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Estado,</w:t>
      </w:r>
      <w:r w:rsidR="0089298C" w:rsidRPr="002F50BD">
        <w:rPr>
          <w:rFonts w:ascii="Verdana" w:hAnsi="Verdana"/>
          <w:sz w:val="20"/>
          <w:lang w:val="pt-BR"/>
        </w:rPr>
        <w:t xml:space="preserve"> através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INDI</w:t>
      </w:r>
      <w:r w:rsidR="0089298C" w:rsidRPr="002F50BD">
        <w:rPr>
          <w:rFonts w:ascii="Verdana" w:hAnsi="Verdana"/>
          <w:sz w:val="20"/>
          <w:lang w:val="pt-BR"/>
        </w:rPr>
        <w:t xml:space="preserve"> e em cumprimento</w:t>
      </w:r>
      <w:r w:rsidR="004756C1" w:rsidRPr="002F50BD">
        <w:rPr>
          <w:rFonts w:ascii="Verdana" w:hAnsi="Verdana"/>
          <w:sz w:val="20"/>
          <w:lang w:val="pt-BR"/>
        </w:rPr>
        <w:t xml:space="preserve"> </w:t>
      </w:r>
      <w:r w:rsidR="00337AC0" w:rsidRPr="002F50BD">
        <w:rPr>
          <w:rFonts w:ascii="Verdana" w:hAnsi="Verdana"/>
          <w:sz w:val="20"/>
          <w:lang w:val="pt-BR"/>
        </w:rPr>
        <w:t>a</w:t>
      </w:r>
      <w:r w:rsidR="0089298C" w:rsidRPr="002F50BD">
        <w:rPr>
          <w:rFonts w:ascii="Verdana" w:hAnsi="Verdana"/>
          <w:sz w:val="20"/>
          <w:lang w:val="pt-BR"/>
        </w:rPr>
        <w:t xml:space="preserve">o </w:t>
      </w:r>
      <w:r w:rsidR="004756C1" w:rsidRPr="002F50BD">
        <w:rPr>
          <w:rFonts w:ascii="Verdana" w:hAnsi="Verdana"/>
          <w:sz w:val="20"/>
          <w:lang w:val="pt-BR"/>
        </w:rPr>
        <w:t xml:space="preserve">decreto </w:t>
      </w:r>
      <w:r w:rsidR="00AB454A" w:rsidRPr="002F50BD">
        <w:rPr>
          <w:rFonts w:ascii="Verdana" w:hAnsi="Verdana"/>
          <w:sz w:val="20"/>
          <w:lang w:val="pt-BR"/>
        </w:rPr>
        <w:t>Presidencial</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3789</w:t>
      </w:r>
      <w:r w:rsidR="004756C1" w:rsidRPr="002F50BD">
        <w:rPr>
          <w:rFonts w:ascii="Verdana" w:hAnsi="Verdana"/>
          <w:sz w:val="20"/>
          <w:lang w:val="pt-BR"/>
        </w:rPr>
        <w:t>/</w:t>
      </w:r>
      <w:r w:rsidRPr="002F50BD">
        <w:rPr>
          <w:rFonts w:ascii="Verdana" w:hAnsi="Verdana"/>
          <w:sz w:val="20"/>
          <w:lang w:val="pt-BR"/>
        </w:rPr>
        <w:t>99</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100</w:t>
      </w:r>
      <w:r w:rsidR="0088662B"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entregou à Comunidade </w:t>
      </w:r>
      <w:r w:rsidR="004756C1" w:rsidRPr="002F50BD">
        <w:rPr>
          <w:rFonts w:ascii="Verdana" w:hAnsi="Verdana"/>
          <w:sz w:val="20"/>
          <w:lang w:val="pt-BR"/>
        </w:rPr>
        <w:t xml:space="preserve">Yakye Axa </w:t>
      </w:r>
      <w:r w:rsidR="0088662B" w:rsidRPr="002F50BD">
        <w:rPr>
          <w:rFonts w:ascii="Verdana" w:hAnsi="Verdana"/>
          <w:sz w:val="20"/>
          <w:lang w:val="pt-BR"/>
        </w:rPr>
        <w:t>alimentos</w:t>
      </w:r>
      <w:r w:rsidR="004756C1" w:rsidRPr="002F50BD">
        <w:rPr>
          <w:rFonts w:ascii="Verdana" w:hAnsi="Verdana"/>
          <w:sz w:val="20"/>
          <w:lang w:val="pt-BR"/>
        </w:rPr>
        <w:t xml:space="preserve">, </w:t>
      </w:r>
      <w:r w:rsidR="0088662B" w:rsidRPr="002F50BD">
        <w:rPr>
          <w:rFonts w:ascii="Verdana" w:hAnsi="Verdana"/>
          <w:sz w:val="20"/>
          <w:lang w:val="pt-BR"/>
        </w:rPr>
        <w:t xml:space="preserve">materiais </w:t>
      </w:r>
      <w:r w:rsidR="004756C1" w:rsidRPr="002F50BD">
        <w:rPr>
          <w:rFonts w:ascii="Verdana" w:hAnsi="Verdana"/>
          <w:sz w:val="20"/>
          <w:lang w:val="pt-BR"/>
        </w:rPr>
        <w:t xml:space="preserve">escolares </w:t>
      </w:r>
      <w:r w:rsidR="00CF451D" w:rsidRPr="00CF451D">
        <w:rPr>
          <w:rFonts w:ascii="Verdana" w:hAnsi="Verdana"/>
          <w:sz w:val="20"/>
          <w:lang w:val="pt-BR"/>
        </w:rPr>
        <w:t>(</w:t>
      </w:r>
      <w:r w:rsidR="004756C1" w:rsidRPr="002F50BD">
        <w:rPr>
          <w:rFonts w:ascii="Verdana" w:hAnsi="Verdana"/>
          <w:sz w:val="20"/>
          <w:lang w:val="pt-BR"/>
        </w:rPr>
        <w:t xml:space="preserve">cadernos, </w:t>
      </w:r>
      <w:r w:rsidR="0089298C" w:rsidRPr="002F50BD">
        <w:rPr>
          <w:rFonts w:ascii="Verdana" w:hAnsi="Verdana"/>
          <w:sz w:val="20"/>
          <w:lang w:val="pt-BR"/>
        </w:rPr>
        <w:t>regras</w:t>
      </w:r>
      <w:r w:rsidR="004756C1" w:rsidRPr="002F50BD">
        <w:rPr>
          <w:rFonts w:ascii="Verdana" w:hAnsi="Verdana"/>
          <w:sz w:val="20"/>
          <w:lang w:val="pt-BR"/>
        </w:rPr>
        <w:t>, lápi</w:t>
      </w:r>
      <w:r w:rsidR="0088662B" w:rsidRPr="002F50BD">
        <w:rPr>
          <w:rFonts w:ascii="Verdana" w:hAnsi="Verdana"/>
          <w:sz w:val="20"/>
          <w:lang w:val="pt-BR"/>
        </w:rPr>
        <w:t>zes</w:t>
      </w:r>
      <w:r w:rsidR="004756C1" w:rsidRPr="002F50BD">
        <w:rPr>
          <w:rFonts w:ascii="Verdana" w:hAnsi="Verdana"/>
          <w:sz w:val="20"/>
          <w:lang w:val="pt-BR"/>
        </w:rPr>
        <w:t xml:space="preserve">, </w:t>
      </w:r>
      <w:r w:rsidR="0088662B" w:rsidRPr="002F50BD">
        <w:rPr>
          <w:rFonts w:ascii="Verdana" w:hAnsi="Verdana"/>
          <w:sz w:val="20"/>
          <w:lang w:val="pt-BR"/>
        </w:rPr>
        <w:t>borrachas</w:t>
      </w:r>
      <w:r w:rsidR="004756C1" w:rsidRPr="002F50BD">
        <w:rPr>
          <w:rFonts w:ascii="Verdana" w:hAnsi="Verdana"/>
          <w:sz w:val="20"/>
          <w:lang w:val="pt-BR"/>
        </w:rPr>
        <w:t xml:space="preserve">, </w:t>
      </w:r>
      <w:r w:rsidR="0088662B" w:rsidRPr="002F50BD">
        <w:rPr>
          <w:rFonts w:ascii="Verdana" w:hAnsi="Verdana"/>
          <w:sz w:val="20"/>
          <w:lang w:val="pt-BR"/>
        </w:rPr>
        <w:t xml:space="preserve">gizes </w:t>
      </w:r>
      <w:r w:rsidR="004756C1" w:rsidRPr="002F50BD">
        <w:rPr>
          <w:rFonts w:ascii="Verdana" w:hAnsi="Verdana"/>
          <w:sz w:val="20"/>
          <w:lang w:val="pt-BR"/>
        </w:rPr>
        <w:t>b</w:t>
      </w:r>
      <w:r w:rsidR="0088662B" w:rsidRPr="002F50BD">
        <w:rPr>
          <w:rFonts w:ascii="Verdana" w:hAnsi="Verdana"/>
          <w:sz w:val="20"/>
          <w:lang w:val="pt-BR"/>
        </w:rPr>
        <w:t>r</w:t>
      </w:r>
      <w:r w:rsidR="004756C1" w:rsidRPr="002F50BD">
        <w:rPr>
          <w:rFonts w:ascii="Verdana" w:hAnsi="Verdana"/>
          <w:sz w:val="20"/>
          <w:lang w:val="pt-BR"/>
        </w:rPr>
        <w:t>anc</w:t>
      </w:r>
      <w:r w:rsidR="0088662B" w:rsidRPr="002F50BD">
        <w:rPr>
          <w:rFonts w:ascii="Verdana" w:hAnsi="Verdana"/>
          <w:sz w:val="20"/>
          <w:lang w:val="pt-BR"/>
        </w:rPr>
        <w:t>o</w:t>
      </w:r>
      <w:r w:rsidR="004756C1" w:rsidRPr="002F50BD">
        <w:rPr>
          <w:rFonts w:ascii="Verdana" w:hAnsi="Verdana"/>
          <w:sz w:val="20"/>
          <w:lang w:val="pt-BR"/>
        </w:rPr>
        <w:t>s, dicion</w:t>
      </w:r>
      <w:r w:rsidR="0088662B" w:rsidRPr="002F50BD">
        <w:rPr>
          <w:rFonts w:ascii="Verdana" w:hAnsi="Verdana"/>
          <w:sz w:val="20"/>
          <w:lang w:val="pt-BR"/>
        </w:rPr>
        <w:t>á</w:t>
      </w:r>
      <w:r w:rsidR="004756C1" w:rsidRPr="002F50BD">
        <w:rPr>
          <w:rFonts w:ascii="Verdana" w:hAnsi="Verdana"/>
          <w:sz w:val="20"/>
          <w:lang w:val="pt-BR"/>
        </w:rPr>
        <w:t>rios</w:t>
      </w:r>
      <w:r w:rsidR="0089298C" w:rsidRPr="002F50BD">
        <w:rPr>
          <w:rFonts w:ascii="Verdana" w:hAnsi="Verdana"/>
          <w:sz w:val="20"/>
          <w:lang w:val="pt-BR"/>
        </w:rPr>
        <w:t xml:space="preserve"> e livro</w:t>
      </w:r>
      <w:r w:rsidR="004756C1" w:rsidRPr="002F50BD">
        <w:rPr>
          <w:rFonts w:ascii="Verdana" w:hAnsi="Verdana"/>
          <w:sz w:val="20"/>
          <w:lang w:val="pt-BR"/>
        </w:rPr>
        <w:t>s</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medicamentos para tratar</w:t>
      </w:r>
      <w:r w:rsidR="0089298C" w:rsidRPr="002F50BD">
        <w:rPr>
          <w:rFonts w:ascii="Verdana" w:hAnsi="Verdana"/>
          <w:sz w:val="20"/>
          <w:lang w:val="pt-BR"/>
        </w:rPr>
        <w:t xml:space="preserve"> as </w:t>
      </w:r>
      <w:r w:rsidR="0088662B" w:rsidRPr="002F50BD">
        <w:rPr>
          <w:rFonts w:ascii="Verdana" w:hAnsi="Verdana"/>
          <w:sz w:val="20"/>
          <w:lang w:val="pt-BR"/>
        </w:rPr>
        <w:t xml:space="preserve">doenças </w:t>
      </w:r>
      <w:r w:rsidR="0089298C" w:rsidRPr="002F50BD">
        <w:rPr>
          <w:rFonts w:ascii="Verdana" w:hAnsi="Verdana"/>
          <w:sz w:val="20"/>
          <w:lang w:val="pt-BR"/>
        </w:rPr>
        <w:t>comuns</w:t>
      </w:r>
      <w:r w:rsidR="00337AC0" w:rsidRPr="002F50BD">
        <w:rPr>
          <w:rFonts w:ascii="Verdana" w:hAnsi="Verdana"/>
          <w:sz w:val="20"/>
          <w:lang w:val="pt-BR"/>
        </w:rPr>
        <w:t>,</w:t>
      </w:r>
      <w:r w:rsidR="004756C1" w:rsidRPr="002F50BD">
        <w:rPr>
          <w:rFonts w:ascii="Verdana" w:hAnsi="Verdana"/>
          <w:sz w:val="20"/>
          <w:lang w:val="pt-BR"/>
        </w:rPr>
        <w:t xml:space="preserve"> como problemas </w:t>
      </w:r>
      <w:r w:rsidR="0088662B" w:rsidRPr="002F50BD">
        <w:rPr>
          <w:rFonts w:ascii="Verdana" w:hAnsi="Verdana"/>
          <w:sz w:val="20"/>
          <w:lang w:val="pt-BR"/>
        </w:rPr>
        <w:t>dérmicos</w:t>
      </w:r>
      <w:r w:rsidR="004756C1" w:rsidRPr="002F50BD">
        <w:rPr>
          <w:rFonts w:ascii="Verdana" w:hAnsi="Verdana"/>
          <w:sz w:val="20"/>
          <w:lang w:val="pt-BR"/>
        </w:rPr>
        <w:t>, bronqui</w:t>
      </w:r>
      <w:r w:rsidR="0088662B" w:rsidRPr="002F50BD">
        <w:rPr>
          <w:rFonts w:ascii="Verdana" w:hAnsi="Verdana"/>
          <w:sz w:val="20"/>
          <w:lang w:val="pt-BR"/>
        </w:rPr>
        <w:t>ais</w:t>
      </w:r>
      <w:r w:rsidR="004756C1" w:rsidRPr="002F50BD">
        <w:rPr>
          <w:rFonts w:ascii="Verdana" w:hAnsi="Verdana"/>
          <w:sz w:val="20"/>
          <w:lang w:val="pt-BR"/>
        </w:rPr>
        <w:t>, estomaca</w:t>
      </w:r>
      <w:r w:rsidR="0088662B" w:rsidRPr="002F50BD">
        <w:rPr>
          <w:rFonts w:ascii="Verdana" w:hAnsi="Verdana"/>
          <w:sz w:val="20"/>
          <w:lang w:val="pt-BR"/>
        </w:rPr>
        <w:t>i</w:t>
      </w:r>
      <w:r w:rsidR="004756C1" w:rsidRPr="002F50BD">
        <w:rPr>
          <w:rFonts w:ascii="Verdana" w:hAnsi="Verdana"/>
          <w:sz w:val="20"/>
          <w:lang w:val="pt-BR"/>
        </w:rPr>
        <w:t xml:space="preserve">s, </w:t>
      </w:r>
      <w:r w:rsidR="006603BE" w:rsidRPr="002F50BD">
        <w:rPr>
          <w:rFonts w:ascii="Verdana" w:hAnsi="Verdana"/>
          <w:sz w:val="20"/>
          <w:lang w:val="pt-BR"/>
        </w:rPr>
        <w:t>febr</w:t>
      </w:r>
      <w:r w:rsidR="00337AC0" w:rsidRPr="002F50BD">
        <w:rPr>
          <w:rFonts w:ascii="Verdana" w:hAnsi="Verdana"/>
          <w:sz w:val="20"/>
          <w:lang w:val="pt-BR"/>
        </w:rPr>
        <w:t>e</w:t>
      </w:r>
      <w:r w:rsidR="006603BE" w:rsidRPr="002F50BD">
        <w:rPr>
          <w:rFonts w:ascii="Verdana" w:hAnsi="Verdana"/>
          <w:sz w:val="20"/>
          <w:lang w:val="pt-BR"/>
        </w:rPr>
        <w:t xml:space="preserve">s, </w:t>
      </w:r>
      <w:r w:rsidR="00337AC0" w:rsidRPr="002F50BD">
        <w:rPr>
          <w:rFonts w:ascii="Verdana" w:hAnsi="Verdana"/>
          <w:sz w:val="20"/>
          <w:lang w:val="pt-BR"/>
        </w:rPr>
        <w:t>anemias</w:t>
      </w:r>
      <w:r w:rsidR="006603BE" w:rsidRPr="002F50BD">
        <w:rPr>
          <w:rFonts w:ascii="Verdana" w:hAnsi="Verdana"/>
          <w:sz w:val="20"/>
          <w:lang w:val="pt-BR"/>
        </w:rPr>
        <w:t xml:space="preserve"> e </w:t>
      </w:r>
      <w:r w:rsidR="0088662B" w:rsidRPr="002F50BD">
        <w:rPr>
          <w:rFonts w:ascii="Verdana" w:hAnsi="Verdana"/>
          <w:sz w:val="20"/>
          <w:lang w:val="pt-BR"/>
        </w:rPr>
        <w:t>cefaléia</w:t>
      </w:r>
      <w:r w:rsidR="004756C1" w:rsidRPr="002F50BD">
        <w:rPr>
          <w:rFonts w:ascii="Verdana" w:hAnsi="Verdana"/>
          <w:sz w:val="20"/>
          <w:lang w:val="pt-BR"/>
        </w:rPr>
        <w:t>.</w:t>
      </w:r>
      <w:r w:rsidR="00FE08B7">
        <w:rPr>
          <w:rFonts w:ascii="Verdana" w:hAnsi="Verdana"/>
          <w:sz w:val="20"/>
          <w:lang w:val="pt-BR"/>
        </w:rPr>
        <w:t xml:space="preserve"> </w:t>
      </w:r>
      <w:r w:rsidR="0088662B"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um </w:t>
      </w:r>
      <w:r w:rsidR="004756C1" w:rsidRPr="002F50BD">
        <w:rPr>
          <w:rFonts w:ascii="Verdana" w:hAnsi="Verdana"/>
          <w:sz w:val="20"/>
          <w:lang w:val="pt-BR"/>
        </w:rPr>
        <w:t xml:space="preserve">oficial </w:t>
      </w:r>
      <w:r w:rsidR="0089298C" w:rsidRPr="002F50BD">
        <w:rPr>
          <w:rFonts w:ascii="Verdana" w:hAnsi="Verdana"/>
          <w:sz w:val="20"/>
          <w:lang w:val="pt-BR"/>
        </w:rPr>
        <w:t xml:space="preserve">do </w:t>
      </w:r>
      <w:r w:rsidR="004756C1" w:rsidRPr="002F50BD">
        <w:rPr>
          <w:rFonts w:ascii="Verdana" w:hAnsi="Verdana"/>
          <w:sz w:val="20"/>
          <w:lang w:val="pt-BR"/>
        </w:rPr>
        <w:t>Registro Civil elabor</w:t>
      </w:r>
      <w:r w:rsidR="0088662B" w:rsidRPr="002F50BD">
        <w:rPr>
          <w:rFonts w:ascii="Verdana" w:hAnsi="Verdana"/>
          <w:sz w:val="20"/>
          <w:lang w:val="pt-BR"/>
        </w:rPr>
        <w:t xml:space="preserve">ou </w:t>
      </w:r>
      <w:r w:rsidR="006603BE" w:rsidRPr="002F50BD">
        <w:rPr>
          <w:rFonts w:ascii="Verdana" w:hAnsi="Verdana"/>
          <w:sz w:val="20"/>
          <w:lang w:val="pt-BR"/>
        </w:rPr>
        <w:t>certidões</w:t>
      </w:r>
      <w:r w:rsidR="0088662B" w:rsidRPr="002F50BD">
        <w:rPr>
          <w:rFonts w:ascii="Verdana" w:hAnsi="Verdana"/>
          <w:sz w:val="20"/>
          <w:lang w:val="pt-BR"/>
        </w:rPr>
        <w:t xml:space="preserve"> de </w:t>
      </w:r>
      <w:r w:rsidR="0089298C" w:rsidRPr="002F50BD">
        <w:rPr>
          <w:rFonts w:ascii="Verdana" w:hAnsi="Verdana"/>
          <w:sz w:val="20"/>
          <w:lang w:val="pt-BR"/>
        </w:rPr>
        <w:t>nascimento</w:t>
      </w:r>
      <w:r w:rsidR="004756C1" w:rsidRPr="002F50BD">
        <w:rPr>
          <w:rFonts w:ascii="Verdana" w:hAnsi="Verdana"/>
          <w:sz w:val="20"/>
          <w:lang w:val="pt-BR"/>
        </w:rPr>
        <w:t xml:space="preserve"> para </w:t>
      </w:r>
      <w:r w:rsidR="0089298C" w:rsidRPr="002F50BD">
        <w:rPr>
          <w:rFonts w:ascii="Verdana" w:hAnsi="Verdana"/>
          <w:sz w:val="20"/>
          <w:lang w:val="pt-BR"/>
        </w:rPr>
        <w:t>crianças em idade</w:t>
      </w:r>
      <w:r w:rsidR="004756C1" w:rsidRPr="002F50BD">
        <w:rPr>
          <w:rFonts w:ascii="Verdana" w:hAnsi="Verdana"/>
          <w:sz w:val="20"/>
          <w:lang w:val="pt-BR"/>
        </w:rPr>
        <w:t xml:space="preserve"> escolar</w:t>
      </w:r>
      <w:r w:rsidR="0089298C" w:rsidRPr="002F50BD">
        <w:rPr>
          <w:rFonts w:ascii="Verdana" w:hAnsi="Verdana"/>
          <w:sz w:val="20"/>
          <w:lang w:val="pt-BR"/>
        </w:rPr>
        <w:t xml:space="preserve"> e outros</w:t>
      </w:r>
      <w:r w:rsidR="004756C1" w:rsidRPr="002F50BD">
        <w:rPr>
          <w:rFonts w:ascii="Verdana" w:hAnsi="Verdana"/>
          <w:sz w:val="20"/>
          <w:lang w:val="pt-BR"/>
        </w:rPr>
        <w:t xml:space="preserve"> </w:t>
      </w:r>
      <w:r w:rsidR="0089298C" w:rsidRPr="002F50BD">
        <w:rPr>
          <w:rFonts w:ascii="Verdana" w:hAnsi="Verdana"/>
          <w:sz w:val="20"/>
          <w:lang w:val="pt-BR"/>
        </w:rPr>
        <w:t>interessad</w:t>
      </w:r>
      <w:r w:rsidR="004756C1" w:rsidRPr="002F50BD">
        <w:rPr>
          <w:rFonts w:ascii="Verdana" w:hAnsi="Verdana"/>
          <w:sz w:val="20"/>
          <w:lang w:val="pt-BR"/>
        </w:rPr>
        <w:t>os</w:t>
      </w:r>
      <w:r w:rsidR="0088662B" w:rsidRPr="002F50BD">
        <w:rPr>
          <w:rFonts w:ascii="Verdana" w:hAnsi="Verdana"/>
          <w:sz w:val="20"/>
          <w:lang w:val="pt-BR"/>
        </w:rPr>
        <w:t>.</w:t>
      </w:r>
      <w:r w:rsidR="004756C1" w:rsidRPr="002F50BD">
        <w:rPr>
          <w:rStyle w:val="FootnoteReference"/>
          <w:rFonts w:ascii="Verdana" w:hAnsi="Verdana"/>
          <w:lang w:val="es-ES_tradnl"/>
        </w:rPr>
        <w:footnoteReference w:id="167"/>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104</w:t>
      </w:r>
      <w:r w:rsidR="004756C1" w:rsidRPr="002F50BD">
        <w:rPr>
          <w:rFonts w:ascii="Verdana" w:hAnsi="Verdana"/>
          <w:sz w:val="20"/>
          <w:lang w:val="pt-BR"/>
        </w:rPr>
        <w:t>. Igualmente,</w:t>
      </w:r>
      <w:r w:rsidR="0089298C" w:rsidRPr="002F50BD">
        <w:rPr>
          <w:rFonts w:ascii="Verdana" w:hAnsi="Verdana"/>
          <w:sz w:val="20"/>
          <w:lang w:val="pt-BR"/>
        </w:rPr>
        <w:t xml:space="preserve"> nos </w:t>
      </w:r>
      <w:r w:rsidR="004756C1" w:rsidRPr="002F50BD">
        <w:rPr>
          <w:rFonts w:ascii="Verdana" w:hAnsi="Verdana"/>
          <w:sz w:val="20"/>
          <w:lang w:val="pt-BR"/>
        </w:rPr>
        <w:t xml:space="preserve">meses de </w:t>
      </w:r>
      <w:r w:rsidR="0089298C" w:rsidRPr="002F50BD">
        <w:rPr>
          <w:rFonts w:ascii="Verdana" w:hAnsi="Verdana"/>
          <w:sz w:val="20"/>
          <w:lang w:val="pt-BR"/>
        </w:rPr>
        <w:t>setembro e novembro</w:t>
      </w:r>
      <w:r w:rsidR="004756C1" w:rsidRPr="002F50BD">
        <w:rPr>
          <w:rFonts w:ascii="Verdana" w:hAnsi="Verdana"/>
          <w:sz w:val="20"/>
          <w:lang w:val="pt-BR"/>
        </w:rPr>
        <w:t xml:space="preserve"> de </w:t>
      </w:r>
      <w:r w:rsidRPr="002F50BD">
        <w:rPr>
          <w:rFonts w:ascii="Verdana" w:hAnsi="Verdana"/>
          <w:sz w:val="20"/>
          <w:lang w:val="pt-BR"/>
        </w:rPr>
        <w:t>2001</w:t>
      </w:r>
      <w:r w:rsidR="0089298C" w:rsidRPr="002F50BD">
        <w:rPr>
          <w:rFonts w:ascii="Verdana" w:hAnsi="Verdana"/>
          <w:sz w:val="20"/>
          <w:lang w:val="pt-BR"/>
        </w:rPr>
        <w:t>, e</w:t>
      </w:r>
      <w:r w:rsidR="004756C1" w:rsidRPr="002F50BD">
        <w:rPr>
          <w:rFonts w:ascii="Verdana" w:hAnsi="Verdana"/>
          <w:sz w:val="20"/>
          <w:lang w:val="pt-BR"/>
        </w:rPr>
        <w:t xml:space="preserve"> </w:t>
      </w:r>
      <w:r w:rsidR="0089298C" w:rsidRPr="002F50BD">
        <w:rPr>
          <w:rFonts w:ascii="Verdana" w:hAnsi="Verdana"/>
          <w:sz w:val="20"/>
          <w:lang w:val="pt-BR"/>
        </w:rPr>
        <w:t>janeiro</w:t>
      </w:r>
      <w:r w:rsidR="004756C1" w:rsidRPr="002F50BD">
        <w:rPr>
          <w:rFonts w:ascii="Verdana" w:hAnsi="Verdana"/>
          <w:sz w:val="20"/>
          <w:lang w:val="pt-BR"/>
        </w:rPr>
        <w:t xml:space="preserve">, abril, </w:t>
      </w:r>
      <w:r w:rsidR="0089298C" w:rsidRPr="002F50BD">
        <w:rPr>
          <w:rFonts w:ascii="Verdana" w:hAnsi="Verdana"/>
          <w:sz w:val="20"/>
          <w:lang w:val="pt-BR"/>
        </w:rPr>
        <w:t>julho e setembro</w:t>
      </w:r>
      <w:r w:rsidR="004756C1" w:rsidRPr="002F50BD">
        <w:rPr>
          <w:rFonts w:ascii="Verdana" w:hAnsi="Verdana"/>
          <w:sz w:val="20"/>
          <w:lang w:val="pt-BR"/>
        </w:rPr>
        <w:t xml:space="preserve"> de </w:t>
      </w:r>
      <w:r w:rsidRPr="002F50BD">
        <w:rPr>
          <w:rFonts w:ascii="Verdana" w:hAnsi="Verdana"/>
          <w:sz w:val="20"/>
          <w:lang w:val="pt-BR"/>
        </w:rPr>
        <w:t>2002</w:t>
      </w:r>
      <w:r w:rsidR="0089298C" w:rsidRPr="002F50BD">
        <w:rPr>
          <w:rFonts w:ascii="Verdana" w:hAnsi="Verdana"/>
          <w:sz w:val="20"/>
          <w:lang w:val="pt-BR"/>
        </w:rPr>
        <w:t xml:space="preserve"> o </w:t>
      </w:r>
      <w:r w:rsidR="004756C1" w:rsidRPr="002F50BD">
        <w:rPr>
          <w:rFonts w:ascii="Verdana" w:hAnsi="Verdana"/>
          <w:sz w:val="20"/>
          <w:lang w:val="pt-BR"/>
        </w:rPr>
        <w:t>Estado,</w:t>
      </w:r>
      <w:r w:rsidR="0089298C" w:rsidRPr="002F50BD">
        <w:rPr>
          <w:rFonts w:ascii="Verdana" w:hAnsi="Verdana"/>
          <w:sz w:val="20"/>
          <w:lang w:val="pt-BR"/>
        </w:rPr>
        <w:t xml:space="preserve"> através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INDI, </w:t>
      </w:r>
      <w:r w:rsidR="0089298C" w:rsidRPr="002F50BD">
        <w:rPr>
          <w:rFonts w:ascii="Verdana" w:hAnsi="Verdana"/>
          <w:sz w:val="20"/>
          <w:lang w:val="pt-BR"/>
        </w:rPr>
        <w:t>entregou</w:t>
      </w:r>
      <w:r w:rsidR="004756C1" w:rsidRPr="002F50BD">
        <w:rPr>
          <w:rFonts w:ascii="Verdana" w:hAnsi="Verdana"/>
          <w:sz w:val="20"/>
          <w:lang w:val="pt-BR"/>
        </w:rPr>
        <w:t xml:space="preserve"> </w:t>
      </w:r>
      <w:r w:rsidR="0088662B" w:rsidRPr="002F50BD">
        <w:rPr>
          <w:rFonts w:ascii="Verdana" w:hAnsi="Verdana"/>
          <w:sz w:val="20"/>
          <w:lang w:val="pt-BR"/>
        </w:rPr>
        <w:t xml:space="preserve">alimentos </w:t>
      </w:r>
      <w:r w:rsidR="0089298C" w:rsidRPr="002F50BD">
        <w:rPr>
          <w:rFonts w:ascii="Verdana" w:hAnsi="Verdana"/>
          <w:sz w:val="20"/>
          <w:lang w:val="pt-BR"/>
        </w:rPr>
        <w:t xml:space="preserve">à Comunidade </w:t>
      </w:r>
      <w:r w:rsidR="004756C1" w:rsidRPr="002F50BD">
        <w:rPr>
          <w:rFonts w:ascii="Verdana" w:hAnsi="Verdana"/>
          <w:sz w:val="20"/>
          <w:lang w:val="pt-BR"/>
        </w:rPr>
        <w:t>Yakye Axa</w:t>
      </w:r>
      <w:r w:rsidR="0089298C" w:rsidRPr="002F50BD">
        <w:rPr>
          <w:rFonts w:ascii="Verdana" w:hAnsi="Verdana"/>
          <w:sz w:val="20"/>
          <w:lang w:val="pt-BR"/>
        </w:rPr>
        <w:t xml:space="preserve"> em cumprimento</w:t>
      </w:r>
      <w:r w:rsidR="004756C1" w:rsidRPr="002F50BD">
        <w:rPr>
          <w:rFonts w:ascii="Verdana" w:hAnsi="Verdana"/>
          <w:sz w:val="20"/>
          <w:lang w:val="pt-BR"/>
        </w:rPr>
        <w:t xml:space="preserve"> </w:t>
      </w:r>
      <w:r w:rsidR="00A71135" w:rsidRPr="002F50BD">
        <w:rPr>
          <w:rFonts w:ascii="Verdana" w:hAnsi="Verdana"/>
          <w:sz w:val="20"/>
          <w:lang w:val="pt-BR"/>
        </w:rPr>
        <w:t>a</w:t>
      </w:r>
      <w:r w:rsidR="0089298C" w:rsidRPr="002F50BD">
        <w:rPr>
          <w:rFonts w:ascii="Verdana" w:hAnsi="Verdana"/>
          <w:sz w:val="20"/>
          <w:lang w:val="pt-BR"/>
        </w:rPr>
        <w:t xml:space="preserve">o </w:t>
      </w:r>
      <w:r w:rsidR="004756C1" w:rsidRPr="002F50BD">
        <w:rPr>
          <w:rFonts w:ascii="Verdana" w:hAnsi="Verdana"/>
          <w:sz w:val="20"/>
          <w:lang w:val="pt-BR"/>
        </w:rPr>
        <w:t xml:space="preserve">Decreto </w:t>
      </w:r>
      <w:r w:rsidR="00AB454A" w:rsidRPr="002F50BD">
        <w:rPr>
          <w:rFonts w:ascii="Verdana" w:hAnsi="Verdana"/>
          <w:sz w:val="20"/>
          <w:lang w:val="pt-BR"/>
        </w:rPr>
        <w:t>Presidencial</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3789</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100</w:t>
      </w:r>
      <w:r w:rsidR="0088662B" w:rsidRPr="002F50BD">
        <w:rPr>
          <w:rFonts w:ascii="Verdana" w:hAnsi="Verdana"/>
          <w:i/>
          <w:sz w:val="20"/>
          <w:lang w:val="pt-BR"/>
        </w:rPr>
        <w:t xml:space="preserve"> supra</w:t>
      </w:r>
      <w:r w:rsidR="00CF451D" w:rsidRPr="00CF451D">
        <w:rPr>
          <w:rFonts w:ascii="Verdana" w:hAnsi="Verdana"/>
          <w:sz w:val="20"/>
          <w:lang w:val="pt-BR"/>
        </w:rPr>
        <w:t>)</w:t>
      </w:r>
      <w:r w:rsidR="00DB51F0" w:rsidRPr="002F50BD">
        <w:rPr>
          <w:rFonts w:ascii="Verdana" w:hAnsi="Verdana"/>
          <w:sz w:val="20"/>
          <w:lang w:val="pt-BR"/>
        </w:rPr>
        <w:t xml:space="preserve">. Os </w:t>
      </w:r>
      <w:r w:rsidR="0088662B" w:rsidRPr="002F50BD">
        <w:rPr>
          <w:rFonts w:ascii="Verdana" w:hAnsi="Verdana"/>
          <w:sz w:val="20"/>
          <w:lang w:val="pt-BR"/>
        </w:rPr>
        <w:t xml:space="preserve">alimentos </w:t>
      </w:r>
      <w:r w:rsidR="004756C1" w:rsidRPr="002F50BD">
        <w:rPr>
          <w:rFonts w:ascii="Verdana" w:hAnsi="Verdana"/>
          <w:sz w:val="20"/>
          <w:lang w:val="pt-BR"/>
        </w:rPr>
        <w:t>entreg</w:t>
      </w:r>
      <w:r w:rsidR="0088662B" w:rsidRPr="002F50BD">
        <w:rPr>
          <w:rFonts w:ascii="Verdana" w:hAnsi="Verdana"/>
          <w:sz w:val="20"/>
          <w:lang w:val="pt-BR"/>
        </w:rPr>
        <w:t>ues</w:t>
      </w:r>
      <w:r w:rsidR="004756C1" w:rsidRPr="002F50BD">
        <w:rPr>
          <w:rFonts w:ascii="Verdana" w:hAnsi="Verdana"/>
          <w:sz w:val="20"/>
          <w:lang w:val="pt-BR"/>
        </w:rPr>
        <w:t xml:space="preserve"> </w:t>
      </w:r>
      <w:r w:rsidR="0089298C" w:rsidRPr="002F50BD">
        <w:rPr>
          <w:rFonts w:ascii="Verdana" w:hAnsi="Verdana"/>
          <w:sz w:val="20"/>
          <w:lang w:val="pt-BR"/>
        </w:rPr>
        <w:t>foram</w:t>
      </w:r>
      <w:r w:rsidR="006603BE"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geral</w:t>
      </w:r>
      <w:r w:rsidR="004756C1" w:rsidRPr="002F50BD">
        <w:rPr>
          <w:rFonts w:ascii="Verdana" w:hAnsi="Verdana"/>
          <w:sz w:val="20"/>
          <w:lang w:val="pt-BR"/>
        </w:rPr>
        <w:t>mente</w:t>
      </w:r>
      <w:r w:rsidR="006603BE" w:rsidRPr="002F50BD">
        <w:rPr>
          <w:rFonts w:ascii="Verdana" w:hAnsi="Verdana"/>
          <w:sz w:val="20"/>
          <w:lang w:val="pt-BR"/>
        </w:rPr>
        <w:t>,</w:t>
      </w:r>
      <w:r w:rsidR="004756C1" w:rsidRPr="002F50BD">
        <w:rPr>
          <w:rFonts w:ascii="Verdana" w:hAnsi="Verdana"/>
          <w:sz w:val="20"/>
          <w:lang w:val="pt-BR"/>
        </w:rPr>
        <w:t xml:space="preserve"> arroz, </w:t>
      </w:r>
      <w:r w:rsidR="0088662B" w:rsidRPr="002F50BD">
        <w:rPr>
          <w:rFonts w:ascii="Verdana" w:hAnsi="Verdana"/>
          <w:sz w:val="20"/>
          <w:lang w:val="pt-BR"/>
        </w:rPr>
        <w:t>macarrão</w:t>
      </w:r>
      <w:r w:rsidR="004756C1" w:rsidRPr="002F50BD">
        <w:rPr>
          <w:rFonts w:ascii="Verdana" w:hAnsi="Verdana"/>
          <w:sz w:val="20"/>
          <w:lang w:val="pt-BR"/>
        </w:rPr>
        <w:t xml:space="preserve">, </w:t>
      </w:r>
      <w:r w:rsidR="0088662B" w:rsidRPr="002F50BD">
        <w:rPr>
          <w:rFonts w:ascii="Verdana" w:hAnsi="Verdana"/>
          <w:sz w:val="20"/>
          <w:lang w:val="pt-BR"/>
        </w:rPr>
        <w:t>bolachas</w:t>
      </w:r>
      <w:r w:rsidR="0089298C" w:rsidRPr="002F50BD">
        <w:rPr>
          <w:rFonts w:ascii="Verdana" w:hAnsi="Verdana"/>
          <w:sz w:val="20"/>
          <w:lang w:val="pt-BR"/>
        </w:rPr>
        <w:t xml:space="preserve">, </w:t>
      </w:r>
      <w:r w:rsidR="0088662B" w:rsidRPr="002F50BD">
        <w:rPr>
          <w:rFonts w:ascii="Verdana" w:hAnsi="Verdana"/>
          <w:sz w:val="20"/>
          <w:lang w:val="pt-BR"/>
        </w:rPr>
        <w:t xml:space="preserve">erva </w:t>
      </w:r>
      <w:r w:rsidR="0089298C" w:rsidRPr="002F50BD">
        <w:rPr>
          <w:rFonts w:ascii="Verdana" w:hAnsi="Verdana"/>
          <w:sz w:val="20"/>
          <w:lang w:val="pt-BR"/>
        </w:rPr>
        <w:t>comum</w:t>
      </w:r>
      <w:r w:rsidR="004756C1" w:rsidRPr="002F50BD">
        <w:rPr>
          <w:rFonts w:ascii="Verdana" w:hAnsi="Verdana"/>
          <w:sz w:val="20"/>
          <w:lang w:val="pt-BR"/>
        </w:rPr>
        <w:t xml:space="preserve">, </w:t>
      </w:r>
      <w:r w:rsidR="0088662B" w:rsidRPr="002F50BD">
        <w:rPr>
          <w:rFonts w:ascii="Verdana" w:hAnsi="Verdana"/>
          <w:sz w:val="20"/>
          <w:lang w:val="pt-BR"/>
        </w:rPr>
        <w:t>óleo</w:t>
      </w:r>
      <w:r w:rsidR="004756C1" w:rsidRPr="002F50BD">
        <w:rPr>
          <w:rFonts w:ascii="Verdana" w:hAnsi="Verdana"/>
          <w:sz w:val="20"/>
          <w:lang w:val="pt-BR"/>
        </w:rPr>
        <w:t xml:space="preserve">, </w:t>
      </w:r>
      <w:r w:rsidR="0088662B" w:rsidRPr="002F50BD">
        <w:rPr>
          <w:rFonts w:ascii="Verdana" w:hAnsi="Verdana"/>
          <w:sz w:val="20"/>
          <w:lang w:val="pt-BR"/>
        </w:rPr>
        <w:t>farinha</w:t>
      </w:r>
      <w:r w:rsidR="004756C1" w:rsidRPr="002F50BD">
        <w:rPr>
          <w:rFonts w:ascii="Verdana" w:hAnsi="Verdana"/>
          <w:sz w:val="20"/>
          <w:lang w:val="pt-BR"/>
        </w:rPr>
        <w:t xml:space="preserve">, </w:t>
      </w:r>
      <w:r w:rsidR="0088662B" w:rsidRPr="002F50BD">
        <w:rPr>
          <w:rFonts w:ascii="Verdana" w:hAnsi="Verdana"/>
          <w:sz w:val="20"/>
          <w:lang w:val="pt-BR"/>
        </w:rPr>
        <w:t>feijão</w:t>
      </w:r>
      <w:r w:rsidR="004756C1" w:rsidRPr="002F50BD">
        <w:rPr>
          <w:rFonts w:ascii="Verdana" w:hAnsi="Verdana"/>
          <w:sz w:val="20"/>
          <w:lang w:val="pt-BR"/>
        </w:rPr>
        <w:t xml:space="preserve">, </w:t>
      </w:r>
      <w:r w:rsidR="004756C1" w:rsidRPr="002F50BD">
        <w:rPr>
          <w:rFonts w:ascii="Verdana" w:hAnsi="Verdana"/>
          <w:i/>
          <w:sz w:val="20"/>
          <w:lang w:val="pt-BR"/>
        </w:rPr>
        <w:t>locro</w:t>
      </w:r>
      <w:r w:rsidR="004756C1" w:rsidRPr="002F50BD">
        <w:rPr>
          <w:rFonts w:ascii="Verdana" w:hAnsi="Verdana"/>
          <w:sz w:val="20"/>
          <w:lang w:val="pt-BR"/>
        </w:rPr>
        <w:t xml:space="preserve">, sal, </w:t>
      </w:r>
      <w:r w:rsidR="0089298C" w:rsidRPr="002F50BD">
        <w:rPr>
          <w:rFonts w:ascii="Verdana" w:hAnsi="Verdana"/>
          <w:sz w:val="20"/>
          <w:lang w:val="pt-BR"/>
        </w:rPr>
        <w:t>açúcar</w:t>
      </w:r>
      <w:r w:rsidR="004756C1" w:rsidRPr="002F50BD">
        <w:rPr>
          <w:rFonts w:ascii="Verdana" w:hAnsi="Verdana"/>
          <w:sz w:val="20"/>
          <w:lang w:val="pt-BR"/>
        </w:rPr>
        <w:t>, carne</w:t>
      </w:r>
      <w:r w:rsidR="0089298C" w:rsidRPr="002F50BD">
        <w:rPr>
          <w:rFonts w:ascii="Verdana" w:hAnsi="Verdana"/>
          <w:sz w:val="20"/>
          <w:lang w:val="pt-BR"/>
        </w:rPr>
        <w:t xml:space="preserve"> e </w:t>
      </w:r>
      <w:r w:rsidR="0088662B" w:rsidRPr="002F50BD">
        <w:rPr>
          <w:rFonts w:ascii="Verdana" w:hAnsi="Verdana"/>
          <w:sz w:val="20"/>
          <w:lang w:val="pt-BR"/>
        </w:rPr>
        <w:t>sabão.</w:t>
      </w:r>
      <w:r w:rsidR="004756C1" w:rsidRPr="002F50BD">
        <w:rPr>
          <w:rStyle w:val="FootnoteReference"/>
          <w:rFonts w:ascii="Verdana" w:hAnsi="Verdana"/>
          <w:lang w:val="es-ES_tradnl"/>
        </w:rPr>
        <w:footnoteReference w:id="168"/>
      </w:r>
      <w:r w:rsidR="004756C1" w:rsidRPr="002F50BD">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105</w:t>
      </w:r>
      <w:r w:rsidR="004756C1" w:rsidRPr="002F50BD">
        <w:rPr>
          <w:rFonts w:ascii="Verdana" w:hAnsi="Verdana"/>
          <w:sz w:val="20"/>
          <w:lang w:val="pt-BR"/>
        </w:rPr>
        <w:t>.</w:t>
      </w:r>
      <w:r w:rsidR="0089298C" w:rsidRPr="002F50BD">
        <w:rPr>
          <w:rFonts w:ascii="Verdana" w:hAnsi="Verdana"/>
          <w:sz w:val="20"/>
          <w:lang w:val="pt-BR"/>
        </w:rPr>
        <w:t xml:space="preserve"> </w:t>
      </w:r>
      <w:r w:rsidR="0088662B" w:rsidRPr="002F50BD">
        <w:rPr>
          <w:rFonts w:ascii="Verdana" w:hAnsi="Verdana"/>
          <w:sz w:val="20"/>
          <w:lang w:val="pt-BR"/>
        </w:rPr>
        <w:t>N</w:t>
      </w:r>
      <w:r w:rsidR="0089298C" w:rsidRPr="002F50BD">
        <w:rPr>
          <w:rFonts w:ascii="Verdana" w:hAnsi="Verdana"/>
          <w:sz w:val="20"/>
          <w:lang w:val="pt-BR"/>
        </w:rPr>
        <w:t xml:space="preserve">o mês </w:t>
      </w:r>
      <w:r w:rsidR="004756C1" w:rsidRPr="002F50BD">
        <w:rPr>
          <w:rFonts w:ascii="Verdana" w:hAnsi="Verdana"/>
          <w:sz w:val="20"/>
          <w:lang w:val="pt-BR"/>
        </w:rPr>
        <w:t xml:space="preserve">de </w:t>
      </w:r>
      <w:r w:rsidR="0089298C" w:rsidRPr="002F50BD">
        <w:rPr>
          <w:rFonts w:ascii="Verdana" w:hAnsi="Verdana"/>
          <w:sz w:val="20"/>
          <w:lang w:val="pt-BR"/>
        </w:rPr>
        <w:t>julho</w:t>
      </w:r>
      <w:r w:rsidR="004756C1" w:rsidRPr="002F50BD">
        <w:rPr>
          <w:rFonts w:ascii="Verdana" w:hAnsi="Verdana"/>
          <w:sz w:val="20"/>
          <w:lang w:val="pt-BR"/>
        </w:rPr>
        <w:t xml:space="preserve"> de </w:t>
      </w:r>
      <w:r w:rsidRPr="002F50BD">
        <w:rPr>
          <w:rFonts w:ascii="Verdana" w:hAnsi="Verdana"/>
          <w:sz w:val="20"/>
          <w:lang w:val="pt-BR"/>
        </w:rPr>
        <w:t>2002</w:t>
      </w:r>
      <w:r w:rsidR="00A71135"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Estado,</w:t>
      </w:r>
      <w:r w:rsidR="0089298C" w:rsidRPr="002F50BD">
        <w:rPr>
          <w:rFonts w:ascii="Verdana" w:hAnsi="Verdana"/>
          <w:sz w:val="20"/>
          <w:lang w:val="pt-BR"/>
        </w:rPr>
        <w:t xml:space="preserve"> através</w:t>
      </w:r>
      <w:r w:rsidR="004756C1" w:rsidRPr="002F50BD">
        <w:rPr>
          <w:rFonts w:ascii="Verdana" w:hAnsi="Verdana"/>
          <w:sz w:val="20"/>
          <w:lang w:val="pt-BR"/>
        </w:rPr>
        <w:t xml:space="preserve"> </w:t>
      </w:r>
      <w:r w:rsidR="0089298C" w:rsidRPr="002F50BD">
        <w:rPr>
          <w:rFonts w:ascii="Verdana" w:hAnsi="Verdana"/>
          <w:sz w:val="20"/>
          <w:lang w:val="pt-BR"/>
        </w:rPr>
        <w:t>do Ministério</w:t>
      </w:r>
      <w:r w:rsidR="004756C1" w:rsidRPr="002F50BD">
        <w:rPr>
          <w:rFonts w:ascii="Verdana" w:hAnsi="Verdana"/>
          <w:sz w:val="20"/>
          <w:lang w:val="pt-BR"/>
        </w:rPr>
        <w:t xml:space="preserve"> de </w:t>
      </w:r>
      <w:r w:rsidR="0089298C" w:rsidRPr="002F50BD">
        <w:rPr>
          <w:rFonts w:ascii="Verdana" w:hAnsi="Verdana"/>
          <w:sz w:val="20"/>
          <w:lang w:val="pt-BR"/>
        </w:rPr>
        <w:t>Saúde</w:t>
      </w:r>
      <w:r w:rsidR="004756C1" w:rsidRPr="002F50BD">
        <w:rPr>
          <w:rFonts w:ascii="Verdana" w:hAnsi="Verdana"/>
          <w:sz w:val="20"/>
          <w:lang w:val="pt-BR"/>
        </w:rPr>
        <w:t xml:space="preserve"> Pública</w:t>
      </w:r>
      <w:r w:rsidR="0089298C" w:rsidRPr="002F50BD">
        <w:rPr>
          <w:rFonts w:ascii="Verdana" w:hAnsi="Verdana"/>
          <w:sz w:val="20"/>
          <w:lang w:val="pt-BR"/>
        </w:rPr>
        <w:t xml:space="preserve"> e </w:t>
      </w:r>
      <w:r w:rsidR="0088662B" w:rsidRPr="002F50BD">
        <w:rPr>
          <w:rFonts w:ascii="Verdana" w:hAnsi="Verdana"/>
          <w:sz w:val="20"/>
          <w:lang w:val="pt-BR"/>
        </w:rPr>
        <w:lastRenderedPageBreak/>
        <w:t xml:space="preserve">do </w:t>
      </w:r>
      <w:r w:rsidR="00475EBB" w:rsidRPr="002F50BD">
        <w:rPr>
          <w:rFonts w:ascii="Verdana" w:hAnsi="Verdana"/>
          <w:sz w:val="20"/>
          <w:lang w:val="pt-BR"/>
        </w:rPr>
        <w:t>Bem Estar</w:t>
      </w:r>
      <w:r w:rsidR="004756C1" w:rsidRPr="002F50BD">
        <w:rPr>
          <w:rFonts w:ascii="Verdana" w:hAnsi="Verdana"/>
          <w:sz w:val="20"/>
          <w:lang w:val="pt-BR"/>
        </w:rPr>
        <w:t xml:space="preserve"> Social, </w:t>
      </w:r>
      <w:r w:rsidR="0088662B" w:rsidRPr="002F50BD">
        <w:rPr>
          <w:rFonts w:ascii="Verdana" w:hAnsi="Verdana"/>
          <w:sz w:val="20"/>
          <w:lang w:val="pt-BR"/>
        </w:rPr>
        <w:t xml:space="preserve">ofereceu </w:t>
      </w:r>
      <w:r w:rsidR="0089298C" w:rsidRPr="002F50BD">
        <w:rPr>
          <w:rFonts w:ascii="Verdana" w:hAnsi="Verdana"/>
          <w:sz w:val="20"/>
          <w:lang w:val="pt-BR"/>
        </w:rPr>
        <w:t>serviço</w:t>
      </w:r>
      <w:r w:rsidR="004756C1" w:rsidRPr="002F50BD">
        <w:rPr>
          <w:rFonts w:ascii="Verdana" w:hAnsi="Verdana"/>
          <w:sz w:val="20"/>
          <w:lang w:val="pt-BR"/>
        </w:rPr>
        <w:t xml:space="preserve"> de </w:t>
      </w:r>
      <w:r w:rsidR="0089298C" w:rsidRPr="002F50BD">
        <w:rPr>
          <w:rFonts w:ascii="Verdana" w:hAnsi="Verdana"/>
          <w:sz w:val="20"/>
          <w:lang w:val="pt-BR"/>
        </w:rPr>
        <w:t>atenção</w:t>
      </w:r>
      <w:r w:rsidR="004756C1" w:rsidRPr="002F50BD">
        <w:rPr>
          <w:rFonts w:ascii="Verdana" w:hAnsi="Verdana"/>
          <w:sz w:val="20"/>
          <w:lang w:val="pt-BR"/>
        </w:rPr>
        <w:t xml:space="preserve"> médica</w:t>
      </w:r>
      <w:r w:rsidR="0089298C" w:rsidRPr="002F50BD">
        <w:rPr>
          <w:rFonts w:ascii="Verdana" w:hAnsi="Verdana"/>
          <w:sz w:val="20"/>
          <w:lang w:val="pt-BR"/>
        </w:rPr>
        <w:t xml:space="preserve"> aos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AB454A" w:rsidRPr="002F50BD">
        <w:rPr>
          <w:rFonts w:ascii="Verdana" w:hAnsi="Verdana"/>
          <w:sz w:val="20"/>
          <w:lang w:val="pt-BR"/>
        </w:rPr>
        <w:t xml:space="preserve">. A </w:t>
      </w:r>
      <w:r w:rsidR="0089298C" w:rsidRPr="002F50BD">
        <w:rPr>
          <w:rFonts w:ascii="Verdana" w:hAnsi="Verdana"/>
          <w:sz w:val="20"/>
          <w:lang w:val="pt-BR"/>
        </w:rPr>
        <w:t xml:space="preserve">assistência </w:t>
      </w:r>
      <w:r w:rsidR="004756C1" w:rsidRPr="002F50BD">
        <w:rPr>
          <w:rFonts w:ascii="Verdana" w:hAnsi="Verdana"/>
          <w:sz w:val="20"/>
          <w:lang w:val="pt-BR"/>
        </w:rPr>
        <w:t xml:space="preserve">médica </w:t>
      </w:r>
      <w:r w:rsidR="0089298C" w:rsidRPr="002F50BD">
        <w:rPr>
          <w:rFonts w:ascii="Verdana" w:hAnsi="Verdana"/>
          <w:sz w:val="20"/>
          <w:lang w:val="pt-BR"/>
        </w:rPr>
        <w:t xml:space="preserve">consistiu na </w:t>
      </w:r>
      <w:r w:rsidR="004076AD" w:rsidRPr="002F50BD">
        <w:rPr>
          <w:rFonts w:ascii="Verdana" w:hAnsi="Verdana"/>
          <w:sz w:val="20"/>
          <w:lang w:val="pt-BR"/>
        </w:rPr>
        <w:t>vacina</w:t>
      </w:r>
      <w:r w:rsidR="0089298C"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84</w:t>
      </w:r>
      <w:r w:rsidR="004756C1" w:rsidRPr="002F50BD">
        <w:rPr>
          <w:rFonts w:ascii="Verdana" w:hAnsi="Verdana"/>
          <w:sz w:val="20"/>
          <w:lang w:val="pt-BR"/>
        </w:rPr>
        <w:t xml:space="preserve"> </w:t>
      </w:r>
      <w:r w:rsidR="0089298C" w:rsidRPr="002F50BD">
        <w:rPr>
          <w:rFonts w:ascii="Verdana" w:hAnsi="Verdana"/>
          <w:sz w:val="20"/>
          <w:lang w:val="pt-BR"/>
        </w:rPr>
        <w:t>pessoa</w:t>
      </w:r>
      <w:r w:rsidR="004756C1" w:rsidRPr="002F50BD">
        <w:rPr>
          <w:rFonts w:ascii="Verdana" w:hAnsi="Verdana"/>
          <w:sz w:val="20"/>
          <w:lang w:val="pt-BR"/>
        </w:rPr>
        <w:t xml:space="preserve">s </w:t>
      </w:r>
      <w:r w:rsidR="00CF451D" w:rsidRPr="00CF451D">
        <w:rPr>
          <w:rFonts w:ascii="Verdana" w:hAnsi="Verdana"/>
          <w:sz w:val="20"/>
          <w:lang w:val="pt-BR"/>
        </w:rPr>
        <w:t>(</w:t>
      </w:r>
      <w:r w:rsidR="004756C1" w:rsidRPr="002F50BD">
        <w:rPr>
          <w:rFonts w:ascii="Verdana" w:hAnsi="Verdana"/>
          <w:sz w:val="20"/>
          <w:lang w:val="pt-BR"/>
        </w:rPr>
        <w:t>M.E.F -</w:t>
      </w:r>
      <w:r w:rsidRPr="002F50BD">
        <w:rPr>
          <w:rFonts w:ascii="Verdana" w:hAnsi="Verdana"/>
          <w:sz w:val="20"/>
          <w:lang w:val="pt-BR"/>
        </w:rPr>
        <w:t>15</w:t>
      </w:r>
      <w:r w:rsidR="004756C1" w:rsidRPr="002F50BD">
        <w:rPr>
          <w:rFonts w:ascii="Verdana" w:hAnsi="Verdana"/>
          <w:sz w:val="20"/>
          <w:lang w:val="pt-BR"/>
        </w:rPr>
        <w:t xml:space="preserve"> </w:t>
      </w:r>
      <w:r w:rsidR="0089298C" w:rsidRPr="002F50BD">
        <w:rPr>
          <w:rFonts w:ascii="Verdana" w:hAnsi="Verdana"/>
          <w:sz w:val="20"/>
          <w:lang w:val="pt-BR"/>
        </w:rPr>
        <w:t>anos</w:t>
      </w:r>
      <w:r w:rsidR="004756C1" w:rsidRPr="002F50BD">
        <w:rPr>
          <w:rFonts w:ascii="Verdana" w:hAnsi="Verdana"/>
          <w:sz w:val="20"/>
          <w:lang w:val="pt-BR"/>
        </w:rPr>
        <w:t xml:space="preserve"> a </w:t>
      </w:r>
      <w:r w:rsidRPr="002F50BD">
        <w:rPr>
          <w:rFonts w:ascii="Verdana" w:hAnsi="Verdana"/>
          <w:sz w:val="20"/>
          <w:lang w:val="pt-BR"/>
        </w:rPr>
        <w:t>49</w:t>
      </w:r>
      <w:r w:rsidR="004756C1" w:rsidRPr="002F50BD">
        <w:rPr>
          <w:rFonts w:ascii="Verdana" w:hAnsi="Verdana"/>
          <w:sz w:val="20"/>
          <w:lang w:val="pt-BR"/>
        </w:rPr>
        <w:t xml:space="preserve"> </w:t>
      </w:r>
      <w:r w:rsidR="0089298C" w:rsidRPr="002F50BD">
        <w:rPr>
          <w:rFonts w:ascii="Verdana" w:hAnsi="Verdana"/>
          <w:sz w:val="20"/>
          <w:lang w:val="pt-BR"/>
        </w:rPr>
        <w:t>anos</w:t>
      </w:r>
      <w:r w:rsidR="004756C1" w:rsidRPr="002F50BD">
        <w:rPr>
          <w:rFonts w:ascii="Verdana" w:hAnsi="Verdana"/>
          <w:sz w:val="20"/>
          <w:lang w:val="pt-BR"/>
        </w:rPr>
        <w:t>- D.T</w:t>
      </w:r>
      <w:r w:rsidR="00D95E71" w:rsidRPr="002F50BD">
        <w:rPr>
          <w:rFonts w:ascii="Verdana" w:hAnsi="Verdana"/>
          <w:sz w:val="20"/>
          <w:lang w:val="pt-BR"/>
        </w:rPr>
        <w:t xml:space="preserve">. O </w:t>
      </w:r>
      <w:r w:rsidR="004756C1" w:rsidRPr="002F50BD">
        <w:rPr>
          <w:rFonts w:ascii="Verdana" w:hAnsi="Verdana"/>
          <w:sz w:val="20"/>
          <w:lang w:val="pt-BR"/>
        </w:rPr>
        <w:t>T.T; D.P.T – meno</w:t>
      </w:r>
      <w:r w:rsidR="0088662B" w:rsidRPr="002F50BD">
        <w:rPr>
          <w:rFonts w:ascii="Verdana" w:hAnsi="Verdana"/>
          <w:sz w:val="20"/>
          <w:lang w:val="pt-BR"/>
        </w:rPr>
        <w:t xml:space="preserve">res </w:t>
      </w:r>
      <w:r w:rsidR="004756C1" w:rsidRPr="002F50BD">
        <w:rPr>
          <w:rFonts w:ascii="Verdana" w:hAnsi="Verdana"/>
          <w:sz w:val="20"/>
          <w:lang w:val="pt-BR"/>
        </w:rPr>
        <w:t>de</w:t>
      </w:r>
      <w:r w:rsidR="0089298C" w:rsidRPr="002F50BD">
        <w:rPr>
          <w:rFonts w:ascii="Verdana" w:hAnsi="Verdana"/>
          <w:sz w:val="20"/>
          <w:lang w:val="pt-BR"/>
        </w:rPr>
        <w:t xml:space="preserve"> um </w:t>
      </w:r>
      <w:r w:rsidR="004756C1" w:rsidRPr="002F50BD">
        <w:rPr>
          <w:rFonts w:ascii="Verdana" w:hAnsi="Verdana"/>
          <w:sz w:val="20"/>
          <w:lang w:val="pt-BR"/>
        </w:rPr>
        <w:t>a</w:t>
      </w:r>
      <w:r w:rsidR="0088662B" w:rsidRPr="002F50BD">
        <w:rPr>
          <w:rFonts w:ascii="Verdana" w:hAnsi="Verdana"/>
          <w:sz w:val="20"/>
          <w:lang w:val="pt-BR"/>
        </w:rPr>
        <w:t>n</w:t>
      </w:r>
      <w:r w:rsidR="004756C1" w:rsidRPr="002F50BD">
        <w:rPr>
          <w:rFonts w:ascii="Verdana" w:hAnsi="Verdana"/>
          <w:sz w:val="20"/>
          <w:lang w:val="pt-BR"/>
        </w:rPr>
        <w:t>o-; Sabin- meno</w:t>
      </w:r>
      <w:r w:rsidR="0088662B" w:rsidRPr="002F50BD">
        <w:rPr>
          <w:rFonts w:ascii="Verdana" w:hAnsi="Verdana"/>
          <w:sz w:val="20"/>
          <w:lang w:val="pt-BR"/>
        </w:rPr>
        <w:t>re</w:t>
      </w:r>
      <w:r w:rsidR="004756C1" w:rsidRPr="002F50BD">
        <w:rPr>
          <w:rFonts w:ascii="Verdana" w:hAnsi="Verdana"/>
          <w:sz w:val="20"/>
          <w:lang w:val="pt-BR"/>
        </w:rPr>
        <w:t>s de</w:t>
      </w:r>
      <w:r w:rsidR="0089298C" w:rsidRPr="002F50BD">
        <w:rPr>
          <w:rFonts w:ascii="Verdana" w:hAnsi="Verdana"/>
          <w:sz w:val="20"/>
          <w:lang w:val="pt-BR"/>
        </w:rPr>
        <w:t xml:space="preserve"> um </w:t>
      </w:r>
      <w:r w:rsidR="004756C1" w:rsidRPr="002F50BD">
        <w:rPr>
          <w:rFonts w:ascii="Verdana" w:hAnsi="Verdana"/>
          <w:sz w:val="20"/>
          <w:lang w:val="pt-BR"/>
        </w:rPr>
        <w:t>a</w:t>
      </w:r>
      <w:r w:rsidR="0088662B" w:rsidRPr="002F50BD">
        <w:rPr>
          <w:rFonts w:ascii="Verdana" w:hAnsi="Verdana"/>
          <w:sz w:val="20"/>
          <w:lang w:val="pt-BR"/>
        </w:rPr>
        <w:t>n</w:t>
      </w:r>
      <w:r w:rsidR="004756C1" w:rsidRPr="002F50BD">
        <w:rPr>
          <w:rFonts w:ascii="Verdana" w:hAnsi="Verdana"/>
          <w:sz w:val="20"/>
          <w:lang w:val="pt-BR"/>
        </w:rPr>
        <w:t>o-; Antisaramp</w:t>
      </w:r>
      <w:r w:rsidR="0088662B" w:rsidRPr="002F50BD">
        <w:rPr>
          <w:rFonts w:ascii="Verdana" w:hAnsi="Verdana"/>
          <w:sz w:val="20"/>
          <w:lang w:val="pt-BR"/>
        </w:rPr>
        <w:t>o</w:t>
      </w:r>
      <w:r w:rsidR="004756C1" w:rsidRPr="002F50BD">
        <w:rPr>
          <w:rFonts w:ascii="Verdana" w:hAnsi="Verdana"/>
          <w:sz w:val="20"/>
          <w:lang w:val="pt-BR"/>
        </w:rPr>
        <w:t>-</w:t>
      </w:r>
      <w:r w:rsidR="0089298C" w:rsidRPr="002F50BD">
        <w:rPr>
          <w:rFonts w:ascii="Verdana" w:hAnsi="Verdana"/>
          <w:sz w:val="20"/>
          <w:lang w:val="pt-BR"/>
        </w:rPr>
        <w:t xml:space="preserve"> um </w:t>
      </w:r>
      <w:r w:rsidR="004756C1" w:rsidRPr="002F50BD">
        <w:rPr>
          <w:rFonts w:ascii="Verdana" w:hAnsi="Verdana"/>
          <w:sz w:val="20"/>
          <w:lang w:val="pt-BR"/>
        </w:rPr>
        <w:t>a</w:t>
      </w:r>
      <w:r w:rsidR="0088662B" w:rsidRPr="002F50BD">
        <w:rPr>
          <w:rFonts w:ascii="Verdana" w:hAnsi="Verdana"/>
          <w:sz w:val="20"/>
          <w:lang w:val="pt-BR"/>
        </w:rPr>
        <w:t>n</w:t>
      </w:r>
      <w:r w:rsidR="004756C1" w:rsidRPr="002F50BD">
        <w:rPr>
          <w:rFonts w:ascii="Verdana" w:hAnsi="Verdana"/>
          <w:sz w:val="20"/>
          <w:lang w:val="pt-BR"/>
        </w:rPr>
        <w:t xml:space="preserve">o-; D.P.T- </w:t>
      </w:r>
      <w:r w:rsidR="0088662B" w:rsidRPr="002F50BD">
        <w:rPr>
          <w:rFonts w:ascii="Verdana" w:hAnsi="Verdana"/>
          <w:sz w:val="20"/>
          <w:lang w:val="pt-BR"/>
        </w:rPr>
        <w:t xml:space="preserve">reforço </w:t>
      </w:r>
      <w:r w:rsidR="004756C1" w:rsidRPr="002F50BD">
        <w:rPr>
          <w:rFonts w:ascii="Verdana" w:hAnsi="Verdana"/>
          <w:sz w:val="20"/>
          <w:lang w:val="pt-BR"/>
        </w:rPr>
        <w:t>de u</w:t>
      </w:r>
      <w:r w:rsidR="0088662B" w:rsidRPr="002F50BD">
        <w:rPr>
          <w:rFonts w:ascii="Verdana" w:hAnsi="Verdana"/>
          <w:sz w:val="20"/>
          <w:lang w:val="pt-BR"/>
        </w:rPr>
        <w:t>m</w:t>
      </w:r>
      <w:r w:rsidR="004756C1" w:rsidRPr="002F50BD">
        <w:rPr>
          <w:rFonts w:ascii="Verdana" w:hAnsi="Verdana"/>
          <w:sz w:val="20"/>
          <w:lang w:val="pt-BR"/>
        </w:rPr>
        <w:t xml:space="preserve"> a </w:t>
      </w:r>
      <w:r w:rsidR="0089298C" w:rsidRPr="002F50BD">
        <w:rPr>
          <w:rFonts w:ascii="Verdana" w:hAnsi="Verdana"/>
          <w:sz w:val="20"/>
          <w:lang w:val="pt-BR"/>
        </w:rPr>
        <w:t>quatro</w:t>
      </w:r>
      <w:r w:rsidR="004756C1" w:rsidRPr="002F50BD">
        <w:rPr>
          <w:rFonts w:ascii="Verdana" w:hAnsi="Verdana"/>
          <w:sz w:val="20"/>
          <w:lang w:val="pt-BR"/>
        </w:rPr>
        <w:t xml:space="preserve"> </w:t>
      </w:r>
      <w:r w:rsidR="0089298C" w:rsidRPr="002F50BD">
        <w:rPr>
          <w:rFonts w:ascii="Verdana" w:hAnsi="Verdana"/>
          <w:sz w:val="20"/>
          <w:lang w:val="pt-BR"/>
        </w:rPr>
        <w:t>anos; e</w:t>
      </w:r>
      <w:r w:rsidR="004756C1" w:rsidRPr="002F50BD">
        <w:rPr>
          <w:rFonts w:ascii="Verdana" w:hAnsi="Verdana"/>
          <w:sz w:val="20"/>
          <w:lang w:val="pt-BR"/>
        </w:rPr>
        <w:t xml:space="preserve"> Sabin</w:t>
      </w:r>
      <w:r w:rsidR="0089298C" w:rsidRPr="002F50BD">
        <w:rPr>
          <w:rFonts w:ascii="Verdana" w:hAnsi="Verdana"/>
          <w:sz w:val="20"/>
          <w:lang w:val="pt-BR"/>
        </w:rPr>
        <w:t xml:space="preserve"> e </w:t>
      </w:r>
      <w:r w:rsidR="004756C1" w:rsidRPr="002F50BD">
        <w:rPr>
          <w:rFonts w:ascii="Verdana" w:hAnsi="Verdana"/>
          <w:sz w:val="20"/>
          <w:lang w:val="pt-BR"/>
        </w:rPr>
        <w:t>Antisaramp</w:t>
      </w:r>
      <w:r w:rsidR="0088662B" w:rsidRPr="002F50BD">
        <w:rPr>
          <w:rFonts w:ascii="Verdana" w:hAnsi="Verdana"/>
          <w:sz w:val="20"/>
          <w:lang w:val="pt-BR"/>
        </w:rPr>
        <w:t>o</w:t>
      </w:r>
      <w:r w:rsidR="004756C1" w:rsidRPr="002F50BD">
        <w:rPr>
          <w:rFonts w:ascii="Verdana" w:hAnsi="Verdana"/>
          <w:sz w:val="20"/>
          <w:lang w:val="pt-BR"/>
        </w:rPr>
        <w:t xml:space="preserve">- </w:t>
      </w:r>
      <w:r w:rsidR="0088662B" w:rsidRPr="002F50BD">
        <w:rPr>
          <w:rFonts w:ascii="Verdana" w:hAnsi="Verdana"/>
          <w:sz w:val="20"/>
          <w:lang w:val="pt-BR"/>
        </w:rPr>
        <w:t>reforço</w:t>
      </w:r>
      <w:r w:rsidR="004756C1" w:rsidRPr="002F50BD">
        <w:rPr>
          <w:rFonts w:ascii="Verdana" w:hAnsi="Verdana"/>
          <w:sz w:val="20"/>
          <w:lang w:val="pt-BR"/>
        </w:rPr>
        <w:t>-</w:t>
      </w:r>
      <w:r w:rsidR="00CF451D" w:rsidRPr="00CF451D">
        <w:rPr>
          <w:rFonts w:ascii="Verdana" w:hAnsi="Verdana"/>
          <w:sz w:val="20"/>
          <w:lang w:val="pt-BR"/>
        </w:rPr>
        <w:t>)</w:t>
      </w:r>
      <w:r w:rsidR="004756C1" w:rsidRPr="002F50BD">
        <w:rPr>
          <w:rFonts w:ascii="Verdana" w:hAnsi="Verdana"/>
          <w:sz w:val="20"/>
          <w:lang w:val="pt-BR"/>
        </w:rPr>
        <w:t xml:space="preserve">, </w:t>
      </w:r>
      <w:r w:rsidR="0088662B" w:rsidRPr="002F50BD">
        <w:rPr>
          <w:rFonts w:ascii="Verdana" w:hAnsi="Verdana"/>
          <w:sz w:val="20"/>
          <w:lang w:val="pt-BR"/>
        </w:rPr>
        <w:t>fornecimento de m</w:t>
      </w:r>
      <w:r w:rsidR="004756C1" w:rsidRPr="002F50BD">
        <w:rPr>
          <w:rFonts w:ascii="Verdana" w:hAnsi="Verdana"/>
          <w:sz w:val="20"/>
          <w:lang w:val="pt-BR"/>
        </w:rPr>
        <w:t xml:space="preserve">edicamentos </w:t>
      </w:r>
      <w:r w:rsidR="00CF451D" w:rsidRPr="00CF451D">
        <w:rPr>
          <w:rFonts w:ascii="Verdana" w:hAnsi="Verdana"/>
          <w:sz w:val="20"/>
          <w:lang w:val="pt-BR"/>
        </w:rPr>
        <w:t>(</w:t>
      </w:r>
      <w:r w:rsidR="004756C1" w:rsidRPr="002F50BD">
        <w:rPr>
          <w:rFonts w:ascii="Verdana" w:hAnsi="Verdana"/>
          <w:sz w:val="20"/>
          <w:lang w:val="pt-BR"/>
        </w:rPr>
        <w:t>Paracetamol</w:t>
      </w:r>
      <w:r w:rsidR="0089298C" w:rsidRPr="002F50BD">
        <w:rPr>
          <w:rFonts w:ascii="Verdana" w:hAnsi="Verdana"/>
          <w:sz w:val="20"/>
          <w:lang w:val="pt-BR"/>
        </w:rPr>
        <w:t xml:space="preserve"> em </w:t>
      </w:r>
      <w:r w:rsidR="004756C1" w:rsidRPr="002F50BD">
        <w:rPr>
          <w:rFonts w:ascii="Verdana" w:hAnsi="Verdana"/>
          <w:sz w:val="20"/>
          <w:lang w:val="pt-BR"/>
        </w:rPr>
        <w:t>gotas</w:t>
      </w:r>
      <w:r w:rsidR="0089298C" w:rsidRPr="002F50BD">
        <w:rPr>
          <w:rFonts w:ascii="Verdana" w:hAnsi="Verdana"/>
          <w:sz w:val="20"/>
          <w:lang w:val="pt-BR"/>
        </w:rPr>
        <w:t xml:space="preserve"> e </w:t>
      </w:r>
      <w:r w:rsidR="004756C1" w:rsidRPr="002F50BD">
        <w:rPr>
          <w:rFonts w:ascii="Verdana" w:hAnsi="Verdana"/>
          <w:sz w:val="20"/>
          <w:lang w:val="pt-BR"/>
        </w:rPr>
        <w:t>sulfato ferroso</w:t>
      </w:r>
      <w:r w:rsidR="00CF451D" w:rsidRPr="00CF451D">
        <w:rPr>
          <w:rFonts w:ascii="Verdana" w:hAnsi="Verdana"/>
          <w:sz w:val="20"/>
          <w:lang w:val="pt-BR"/>
        </w:rPr>
        <w:t>)</w:t>
      </w:r>
      <w:r w:rsidR="004756C1" w:rsidRPr="002F50BD">
        <w:rPr>
          <w:rFonts w:ascii="Verdana" w:hAnsi="Verdana"/>
          <w:sz w:val="20"/>
          <w:lang w:val="pt-BR"/>
        </w:rPr>
        <w:t xml:space="preserve">, </w:t>
      </w:r>
      <w:r w:rsidR="0088662B" w:rsidRPr="002F50BD">
        <w:rPr>
          <w:rFonts w:ascii="Verdana" w:hAnsi="Verdana"/>
          <w:sz w:val="20"/>
          <w:lang w:val="pt-BR"/>
        </w:rPr>
        <w:t>palestra</w:t>
      </w:r>
      <w:r w:rsidR="00AB454A" w:rsidRPr="002F50BD">
        <w:rPr>
          <w:rFonts w:ascii="Verdana" w:hAnsi="Verdana"/>
          <w:sz w:val="20"/>
          <w:lang w:val="pt-BR"/>
        </w:rPr>
        <w:t xml:space="preserve"> </w:t>
      </w:r>
      <w:r w:rsidR="004756C1" w:rsidRPr="002F50BD">
        <w:rPr>
          <w:rFonts w:ascii="Verdana" w:hAnsi="Verdana"/>
          <w:sz w:val="20"/>
          <w:lang w:val="pt-BR"/>
        </w:rPr>
        <w:t>educativa, imuniza</w:t>
      </w:r>
      <w:r w:rsidR="0089298C" w:rsidRPr="002F50BD">
        <w:rPr>
          <w:rFonts w:ascii="Verdana" w:hAnsi="Verdana"/>
          <w:sz w:val="20"/>
          <w:lang w:val="pt-BR"/>
        </w:rPr>
        <w:t>ção</w:t>
      </w:r>
      <w:r w:rsidR="004756C1" w:rsidRPr="002F50BD">
        <w:rPr>
          <w:rFonts w:ascii="Verdana" w:hAnsi="Verdana"/>
          <w:sz w:val="20"/>
          <w:lang w:val="pt-BR"/>
        </w:rPr>
        <w:t xml:space="preserve">, IRA, e higiene </w:t>
      </w:r>
      <w:r w:rsidR="0089298C" w:rsidRPr="002F50BD">
        <w:rPr>
          <w:rFonts w:ascii="Verdana" w:hAnsi="Verdana"/>
          <w:sz w:val="20"/>
          <w:lang w:val="pt-BR"/>
        </w:rPr>
        <w:t>pessoa</w:t>
      </w:r>
      <w:r w:rsidR="004756C1" w:rsidRPr="002F50BD">
        <w:rPr>
          <w:rFonts w:ascii="Verdana" w:hAnsi="Verdana"/>
          <w:sz w:val="20"/>
          <w:lang w:val="pt-BR"/>
        </w:rPr>
        <w:t>l</w:t>
      </w:r>
      <w:r w:rsidR="00D95E71" w:rsidRPr="002F50BD">
        <w:rPr>
          <w:rFonts w:ascii="Verdana" w:hAnsi="Verdana"/>
          <w:sz w:val="20"/>
          <w:lang w:val="pt-BR"/>
        </w:rPr>
        <w:t xml:space="preserve">. O </w:t>
      </w:r>
      <w:r w:rsidR="0089298C" w:rsidRPr="002F50BD">
        <w:rPr>
          <w:rFonts w:ascii="Verdana" w:hAnsi="Verdana"/>
          <w:sz w:val="20"/>
          <w:lang w:val="pt-BR"/>
        </w:rPr>
        <w:t xml:space="preserve">serviço foi </w:t>
      </w:r>
      <w:r w:rsidR="004756C1" w:rsidRPr="002F50BD">
        <w:rPr>
          <w:rFonts w:ascii="Verdana" w:hAnsi="Verdana"/>
          <w:sz w:val="20"/>
          <w:lang w:val="pt-BR"/>
        </w:rPr>
        <w:t xml:space="preserve">prestado por </w:t>
      </w:r>
      <w:r w:rsidR="0089298C" w:rsidRPr="002F50BD">
        <w:rPr>
          <w:rFonts w:ascii="Verdana" w:hAnsi="Verdana"/>
          <w:sz w:val="20"/>
          <w:lang w:val="pt-BR"/>
        </w:rPr>
        <w:t>quatro</w:t>
      </w:r>
      <w:r w:rsidR="004756C1" w:rsidRPr="002F50BD">
        <w:rPr>
          <w:rFonts w:ascii="Verdana" w:hAnsi="Verdana"/>
          <w:sz w:val="20"/>
          <w:lang w:val="pt-BR"/>
        </w:rPr>
        <w:t xml:space="preserve"> </w:t>
      </w:r>
      <w:r w:rsidR="0088662B" w:rsidRPr="002F50BD">
        <w:rPr>
          <w:rFonts w:ascii="Verdana" w:hAnsi="Verdana"/>
          <w:sz w:val="20"/>
          <w:lang w:val="pt-BR"/>
        </w:rPr>
        <w:t>enfermeiros</w:t>
      </w:r>
      <w:r w:rsidR="004756C1" w:rsidRPr="002F50BD">
        <w:rPr>
          <w:rFonts w:ascii="Verdana" w:hAnsi="Verdana"/>
          <w:sz w:val="20"/>
          <w:lang w:val="pt-BR"/>
        </w:rPr>
        <w:t>,</w:t>
      </w:r>
      <w:r w:rsidR="0089298C" w:rsidRPr="002F50BD">
        <w:rPr>
          <w:rFonts w:ascii="Verdana" w:hAnsi="Verdana"/>
          <w:sz w:val="20"/>
          <w:lang w:val="pt-BR"/>
        </w:rPr>
        <w:t xml:space="preserve"> um </w:t>
      </w:r>
      <w:r w:rsidR="004756C1" w:rsidRPr="002F50BD">
        <w:rPr>
          <w:rFonts w:ascii="Verdana" w:hAnsi="Verdana"/>
          <w:sz w:val="20"/>
          <w:lang w:val="pt-BR"/>
        </w:rPr>
        <w:t>auxiliar de enferm</w:t>
      </w:r>
      <w:r w:rsidR="0088662B" w:rsidRPr="002F50BD">
        <w:rPr>
          <w:rFonts w:ascii="Verdana" w:hAnsi="Verdana"/>
          <w:sz w:val="20"/>
          <w:lang w:val="pt-BR"/>
        </w:rPr>
        <w:t>agem</w:t>
      </w:r>
      <w:r w:rsidR="0089298C" w:rsidRPr="002F50BD">
        <w:rPr>
          <w:rFonts w:ascii="Verdana" w:hAnsi="Verdana"/>
          <w:sz w:val="20"/>
          <w:lang w:val="pt-BR"/>
        </w:rPr>
        <w:t xml:space="preserve"> e oito</w:t>
      </w:r>
      <w:r w:rsidR="004756C1" w:rsidRPr="002F50BD">
        <w:rPr>
          <w:rFonts w:ascii="Verdana" w:hAnsi="Verdana"/>
          <w:sz w:val="20"/>
          <w:lang w:val="pt-BR"/>
        </w:rPr>
        <w:t xml:space="preserve"> </w:t>
      </w:r>
      <w:r w:rsidR="0089298C" w:rsidRPr="002F50BD">
        <w:rPr>
          <w:rFonts w:ascii="Verdana" w:hAnsi="Verdana"/>
          <w:sz w:val="20"/>
          <w:lang w:val="pt-BR"/>
        </w:rPr>
        <w:t>estudante</w:t>
      </w:r>
      <w:r w:rsidR="004756C1" w:rsidRPr="002F50BD">
        <w:rPr>
          <w:rFonts w:ascii="Verdana" w:hAnsi="Verdana"/>
          <w:sz w:val="20"/>
          <w:lang w:val="pt-BR"/>
        </w:rPr>
        <w:t xml:space="preserve">s de </w:t>
      </w:r>
      <w:r w:rsidR="0088662B" w:rsidRPr="002F50BD">
        <w:rPr>
          <w:rFonts w:ascii="Verdana" w:hAnsi="Verdana"/>
          <w:sz w:val="20"/>
          <w:lang w:val="pt-BR"/>
        </w:rPr>
        <w:t>enfermagem.</w:t>
      </w:r>
      <w:r w:rsidR="004756C1" w:rsidRPr="002F50BD">
        <w:rPr>
          <w:rStyle w:val="FootnoteReference"/>
          <w:rFonts w:ascii="Verdana" w:hAnsi="Verdana"/>
          <w:lang w:val="es-ES_tradnl"/>
        </w:rPr>
        <w:footnoteReference w:id="169"/>
      </w:r>
      <w:r w:rsidR="004756C1" w:rsidRPr="002F50BD">
        <w:rPr>
          <w:rFonts w:ascii="Verdana" w:hAnsi="Verdana"/>
          <w:sz w:val="20"/>
          <w:lang w:val="pt-BR"/>
        </w:rPr>
        <w:t xml:space="preserve"> </w:t>
      </w:r>
    </w:p>
    <w:p w:rsidR="004756C1" w:rsidRPr="002F50BD" w:rsidRDefault="004756C1">
      <w:pPr>
        <w:pStyle w:val="BodyText"/>
        <w:rPr>
          <w:rFonts w:ascii="Verdana" w:hAnsi="Verdana"/>
          <w:b/>
          <w:sz w:val="20"/>
          <w:lang w:val="pt-BR"/>
        </w:rPr>
      </w:pPr>
    </w:p>
    <w:p w:rsidR="004756C1" w:rsidRPr="002F50BD" w:rsidRDefault="004756C1">
      <w:pPr>
        <w:jc w:val="both"/>
        <w:rPr>
          <w:rFonts w:ascii="Verdana" w:hAnsi="Verdana"/>
          <w:i/>
          <w:sz w:val="20"/>
          <w:lang w:val="pt-BR"/>
        </w:rPr>
      </w:pPr>
      <w:r w:rsidRPr="002F50BD">
        <w:rPr>
          <w:rFonts w:ascii="Verdana" w:hAnsi="Verdana"/>
          <w:i/>
          <w:sz w:val="20"/>
          <w:lang w:val="pt-BR"/>
        </w:rPr>
        <w:t>e</w:t>
      </w:r>
      <w:r w:rsidR="00CF451D" w:rsidRPr="00CF451D">
        <w:rPr>
          <w:rFonts w:ascii="Verdana" w:hAnsi="Verdana"/>
          <w:sz w:val="20"/>
          <w:lang w:val="pt-BR"/>
        </w:rPr>
        <w:t>)</w:t>
      </w:r>
      <w:r w:rsidRPr="002F50BD">
        <w:rPr>
          <w:rFonts w:ascii="Verdana" w:hAnsi="Verdana"/>
          <w:i/>
          <w:sz w:val="20"/>
          <w:lang w:val="pt-BR"/>
        </w:rPr>
        <w:tab/>
        <w:t>D</w:t>
      </w:r>
      <w:r w:rsidR="0089298C" w:rsidRPr="002F50BD">
        <w:rPr>
          <w:rFonts w:ascii="Verdana" w:hAnsi="Verdana"/>
          <w:i/>
          <w:sz w:val="20"/>
          <w:lang w:val="pt-BR"/>
        </w:rPr>
        <w:t>anos</w:t>
      </w:r>
      <w:r w:rsidRPr="002F50BD">
        <w:rPr>
          <w:rFonts w:ascii="Verdana" w:hAnsi="Verdana"/>
          <w:i/>
          <w:sz w:val="20"/>
          <w:lang w:val="pt-BR"/>
        </w:rPr>
        <w:t xml:space="preserve"> </w:t>
      </w:r>
      <w:r w:rsidR="004076AD" w:rsidRPr="002F50BD">
        <w:rPr>
          <w:rFonts w:ascii="Verdana" w:hAnsi="Verdana"/>
          <w:i/>
          <w:sz w:val="20"/>
          <w:lang w:val="pt-BR"/>
        </w:rPr>
        <w:t>materiais</w:t>
      </w:r>
      <w:r w:rsidRPr="002F50BD">
        <w:rPr>
          <w:rFonts w:ascii="Verdana" w:hAnsi="Verdana"/>
          <w:i/>
          <w:sz w:val="20"/>
          <w:lang w:val="pt-BR"/>
        </w:rPr>
        <w:t xml:space="preserve"> e </w:t>
      </w:r>
      <w:r w:rsidR="0089298C" w:rsidRPr="002F50BD">
        <w:rPr>
          <w:rFonts w:ascii="Verdana" w:hAnsi="Verdana"/>
          <w:i/>
          <w:sz w:val="20"/>
          <w:lang w:val="pt-BR"/>
        </w:rPr>
        <w:t>i</w:t>
      </w:r>
      <w:r w:rsidR="004076AD" w:rsidRPr="002F50BD">
        <w:rPr>
          <w:rFonts w:ascii="Verdana" w:hAnsi="Verdana"/>
          <w:i/>
          <w:sz w:val="20"/>
          <w:lang w:val="pt-BR"/>
        </w:rPr>
        <w:t>materiais</w:t>
      </w:r>
      <w:r w:rsidRPr="002F50BD">
        <w:rPr>
          <w:rFonts w:ascii="Verdana" w:hAnsi="Verdana"/>
          <w:i/>
          <w:sz w:val="20"/>
          <w:lang w:val="pt-BR"/>
        </w:rPr>
        <w:t xml:space="preserve"> causados</w:t>
      </w:r>
      <w:r w:rsidR="0089298C" w:rsidRPr="002F50BD">
        <w:rPr>
          <w:rFonts w:ascii="Verdana" w:hAnsi="Verdana"/>
          <w:i/>
          <w:sz w:val="20"/>
          <w:lang w:val="pt-BR"/>
        </w:rPr>
        <w:t xml:space="preserve"> aos membro</w:t>
      </w:r>
      <w:r w:rsidRPr="002F50BD">
        <w:rPr>
          <w:rFonts w:ascii="Verdana" w:hAnsi="Verdana"/>
          <w:i/>
          <w:sz w:val="20"/>
          <w:lang w:val="pt-BR"/>
        </w:rPr>
        <w:t>s</w:t>
      </w:r>
      <w:r w:rsidR="0089298C" w:rsidRPr="002F50BD">
        <w:rPr>
          <w:rFonts w:ascii="Verdana" w:hAnsi="Verdana"/>
          <w:i/>
          <w:sz w:val="20"/>
          <w:lang w:val="pt-BR"/>
        </w:rPr>
        <w:t xml:space="preserve"> da Comunidade </w:t>
      </w:r>
      <w:r w:rsidRPr="002F50BD">
        <w:rPr>
          <w:rFonts w:ascii="Verdana" w:hAnsi="Verdana"/>
          <w:i/>
          <w:sz w:val="20"/>
          <w:lang w:val="pt-BR"/>
        </w:rPr>
        <w:t>indígena Yakye Axa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106</w:t>
      </w:r>
      <w:r w:rsidR="00BE346D"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 </w:t>
      </w:r>
      <w:r w:rsidR="005A6BC7" w:rsidRPr="002F50BD">
        <w:rPr>
          <w:rFonts w:ascii="Verdana" w:hAnsi="Verdana"/>
          <w:sz w:val="20"/>
          <w:lang w:val="pt-BR"/>
        </w:rPr>
        <w:t>seus líderes</w:t>
      </w:r>
      <w:r w:rsidR="004756C1" w:rsidRPr="002F50BD">
        <w:rPr>
          <w:rFonts w:ascii="Verdana" w:hAnsi="Verdana"/>
          <w:sz w:val="20"/>
          <w:lang w:val="pt-BR"/>
        </w:rPr>
        <w:t xml:space="preserve"> </w:t>
      </w:r>
      <w:r w:rsidR="0088662B" w:rsidRPr="002F50BD">
        <w:rPr>
          <w:rFonts w:ascii="Verdana" w:hAnsi="Verdana"/>
          <w:sz w:val="20"/>
          <w:lang w:val="pt-BR"/>
        </w:rPr>
        <w:t>incorreram</w:t>
      </w:r>
      <w:r w:rsidR="0089298C" w:rsidRPr="002F50BD">
        <w:rPr>
          <w:rFonts w:ascii="Verdana" w:hAnsi="Verdana"/>
          <w:sz w:val="20"/>
          <w:lang w:val="pt-BR"/>
        </w:rPr>
        <w:t xml:space="preserve"> em uma série</w:t>
      </w:r>
      <w:r w:rsidR="004756C1" w:rsidRPr="002F50BD">
        <w:rPr>
          <w:rFonts w:ascii="Verdana" w:hAnsi="Verdana"/>
          <w:sz w:val="20"/>
          <w:lang w:val="pt-BR"/>
        </w:rPr>
        <w:t xml:space="preserve"> de gastos relacionados</w:t>
      </w:r>
      <w:r w:rsidR="0089298C" w:rsidRPr="002F50BD">
        <w:rPr>
          <w:rFonts w:ascii="Verdana" w:hAnsi="Verdana"/>
          <w:sz w:val="20"/>
          <w:lang w:val="pt-BR"/>
        </w:rPr>
        <w:t xml:space="preserve"> </w:t>
      </w:r>
      <w:r w:rsidR="0088662B" w:rsidRPr="002F50BD">
        <w:rPr>
          <w:rFonts w:ascii="Verdana" w:hAnsi="Verdana"/>
          <w:sz w:val="20"/>
          <w:lang w:val="pt-BR"/>
        </w:rPr>
        <w:t>à</w:t>
      </w:r>
      <w:r w:rsidR="0089298C" w:rsidRPr="002F50BD">
        <w:rPr>
          <w:rFonts w:ascii="Verdana" w:hAnsi="Verdana"/>
          <w:sz w:val="20"/>
          <w:lang w:val="pt-BR"/>
        </w:rPr>
        <w:t>s gestões</w:t>
      </w:r>
      <w:r w:rsidR="004756C1" w:rsidRPr="002F50BD">
        <w:rPr>
          <w:rFonts w:ascii="Verdana" w:hAnsi="Verdana"/>
          <w:sz w:val="20"/>
          <w:lang w:val="pt-BR"/>
        </w:rPr>
        <w:t xml:space="preserve"> realizadas</w:t>
      </w:r>
      <w:r w:rsidR="0089298C" w:rsidRPr="002F50BD">
        <w:rPr>
          <w:rFonts w:ascii="Verdana" w:hAnsi="Verdana"/>
          <w:sz w:val="20"/>
          <w:lang w:val="pt-BR"/>
        </w:rPr>
        <w:t xml:space="preserve"> com o </w:t>
      </w:r>
      <w:r w:rsidR="004756C1" w:rsidRPr="002F50BD">
        <w:rPr>
          <w:rFonts w:ascii="Verdana" w:hAnsi="Verdana"/>
          <w:sz w:val="20"/>
          <w:lang w:val="pt-BR"/>
        </w:rPr>
        <w:t xml:space="preserve">propósito de </w:t>
      </w:r>
      <w:r w:rsidR="00764557" w:rsidRPr="002F50BD">
        <w:rPr>
          <w:rFonts w:ascii="Verdana" w:hAnsi="Verdana"/>
          <w:sz w:val="20"/>
          <w:lang w:val="pt-BR"/>
        </w:rPr>
        <w:t xml:space="preserve">impulsionar </w:t>
      </w:r>
      <w:r w:rsidR="0089298C" w:rsidRPr="002F50BD">
        <w:rPr>
          <w:rFonts w:ascii="Verdana" w:hAnsi="Verdana"/>
          <w:sz w:val="20"/>
          <w:lang w:val="pt-BR"/>
        </w:rPr>
        <w:t>o processo</w:t>
      </w:r>
      <w:r w:rsidR="004756C1" w:rsidRPr="002F50BD">
        <w:rPr>
          <w:rFonts w:ascii="Verdana" w:hAnsi="Verdana"/>
          <w:sz w:val="20"/>
          <w:lang w:val="pt-BR"/>
        </w:rPr>
        <w:t xml:space="preserve">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0088662B" w:rsidRPr="002F50BD">
        <w:rPr>
          <w:rFonts w:ascii="Verdana" w:hAnsi="Verdana"/>
          <w:sz w:val="20"/>
          <w:lang w:val="pt-BR"/>
        </w:rPr>
        <w:t xml:space="preserve">Apesar de estas </w:t>
      </w:r>
      <w:r w:rsidR="0089298C" w:rsidRPr="002F50BD">
        <w:rPr>
          <w:rFonts w:ascii="Verdana" w:hAnsi="Verdana"/>
          <w:sz w:val="20"/>
          <w:lang w:val="pt-BR"/>
        </w:rPr>
        <w:t>gestões</w:t>
      </w:r>
      <w:r w:rsidR="004756C1" w:rsidRPr="002F50BD">
        <w:rPr>
          <w:rFonts w:ascii="Verdana" w:hAnsi="Verdana"/>
          <w:sz w:val="20"/>
          <w:lang w:val="pt-BR"/>
        </w:rPr>
        <w:t xml:space="preserve"> </w:t>
      </w:r>
      <w:r w:rsidR="00AB454A" w:rsidRPr="002F50BD">
        <w:rPr>
          <w:rFonts w:ascii="Verdana" w:hAnsi="Verdana"/>
          <w:sz w:val="20"/>
          <w:lang w:val="pt-BR"/>
        </w:rPr>
        <w:t xml:space="preserve">não </w:t>
      </w:r>
      <w:r w:rsidR="00764557" w:rsidRPr="002F50BD">
        <w:rPr>
          <w:rFonts w:ascii="Verdana" w:hAnsi="Verdana"/>
          <w:sz w:val="20"/>
          <w:lang w:val="pt-BR"/>
        </w:rPr>
        <w:t xml:space="preserve">serem </w:t>
      </w:r>
      <w:r w:rsidR="00AB454A" w:rsidRPr="002F50BD">
        <w:rPr>
          <w:rFonts w:ascii="Verdana" w:hAnsi="Verdana"/>
          <w:sz w:val="20"/>
          <w:lang w:val="pt-BR"/>
        </w:rPr>
        <w:t>pr</w:t>
      </w:r>
      <w:r w:rsidR="0088662B" w:rsidRPr="002F50BD">
        <w:rPr>
          <w:rFonts w:ascii="Verdana" w:hAnsi="Verdana"/>
          <w:sz w:val="20"/>
          <w:lang w:val="pt-BR"/>
        </w:rPr>
        <w:t>o</w:t>
      </w:r>
      <w:r w:rsidR="00AB454A" w:rsidRPr="002F50BD">
        <w:rPr>
          <w:rFonts w:ascii="Verdana" w:hAnsi="Verdana"/>
          <w:sz w:val="20"/>
          <w:lang w:val="pt-BR"/>
        </w:rPr>
        <w:t>pria</w:t>
      </w:r>
      <w:r w:rsidR="004756C1" w:rsidRPr="002F50BD">
        <w:rPr>
          <w:rFonts w:ascii="Verdana" w:hAnsi="Verdana"/>
          <w:sz w:val="20"/>
          <w:lang w:val="pt-BR"/>
        </w:rPr>
        <w:t xml:space="preserve">mente de </w:t>
      </w:r>
      <w:r w:rsidR="0089298C" w:rsidRPr="002F50BD">
        <w:rPr>
          <w:rFonts w:ascii="Verdana" w:hAnsi="Verdana"/>
          <w:sz w:val="20"/>
          <w:lang w:val="pt-BR"/>
        </w:rPr>
        <w:t>caráter</w:t>
      </w:r>
      <w:r w:rsidR="004756C1" w:rsidRPr="002F50BD">
        <w:rPr>
          <w:rFonts w:ascii="Verdana" w:hAnsi="Verdana"/>
          <w:sz w:val="20"/>
          <w:lang w:val="pt-BR"/>
        </w:rPr>
        <w:t xml:space="preserve"> judicial o</w:t>
      </w:r>
      <w:r w:rsidR="0088662B" w:rsidRPr="002F50BD">
        <w:rPr>
          <w:rFonts w:ascii="Verdana" w:hAnsi="Verdana"/>
          <w:sz w:val="20"/>
          <w:lang w:val="pt-BR"/>
        </w:rPr>
        <w:t>u</w:t>
      </w:r>
      <w:r w:rsidR="004756C1" w:rsidRPr="002F50BD">
        <w:rPr>
          <w:rFonts w:ascii="Verdana" w:hAnsi="Verdana"/>
          <w:sz w:val="20"/>
          <w:lang w:val="pt-BR"/>
        </w:rPr>
        <w:t xml:space="preserve"> administrativo, </w:t>
      </w:r>
      <w:r w:rsidR="0088662B" w:rsidRPr="002F50BD">
        <w:rPr>
          <w:rFonts w:ascii="Verdana" w:hAnsi="Verdana"/>
          <w:sz w:val="20"/>
          <w:lang w:val="pt-BR"/>
        </w:rPr>
        <w:t xml:space="preserve">causaram um dano material </w:t>
      </w:r>
      <w:r w:rsidR="0089298C" w:rsidRPr="002F50BD">
        <w:rPr>
          <w:rFonts w:ascii="Verdana" w:hAnsi="Verdana"/>
          <w:sz w:val="20"/>
          <w:lang w:val="pt-BR"/>
        </w:rPr>
        <w:t>aos membro</w:t>
      </w:r>
      <w:r w:rsidR="004756C1" w:rsidRPr="002F50BD">
        <w:rPr>
          <w:rFonts w:ascii="Verdana" w:hAnsi="Verdana"/>
          <w:sz w:val="20"/>
          <w:lang w:val="pt-BR"/>
        </w:rPr>
        <w:t>s</w:t>
      </w:r>
      <w:r w:rsidR="0089298C" w:rsidRPr="002F50BD">
        <w:rPr>
          <w:rFonts w:ascii="Verdana" w:hAnsi="Verdana"/>
          <w:sz w:val="20"/>
          <w:lang w:val="pt-BR"/>
        </w:rPr>
        <w:t xml:space="preserve"> da Comunidade</w:t>
      </w:r>
      <w:r w:rsidR="0088662B" w:rsidRPr="002F50BD">
        <w:rPr>
          <w:rFonts w:ascii="Verdana" w:hAnsi="Verdana"/>
          <w:sz w:val="20"/>
          <w:lang w:val="pt-BR"/>
        </w:rPr>
        <w:t>.</w:t>
      </w:r>
      <w:r w:rsidR="004756C1" w:rsidRPr="002F50BD">
        <w:rPr>
          <w:rStyle w:val="FootnoteReference"/>
          <w:rFonts w:ascii="Verdana" w:hAnsi="Verdana"/>
        </w:rPr>
        <w:footnoteReference w:id="170"/>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107</w:t>
      </w:r>
      <w:r w:rsidR="00BE346D"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88662B" w:rsidRPr="002F50BD">
        <w:rPr>
          <w:rFonts w:ascii="Verdana" w:hAnsi="Verdana"/>
          <w:sz w:val="20"/>
          <w:lang w:val="pt-BR"/>
        </w:rPr>
        <w:t xml:space="preserve">receberam </w:t>
      </w:r>
      <w:r w:rsidR="0089298C" w:rsidRPr="002F50BD">
        <w:rPr>
          <w:rFonts w:ascii="Verdana" w:hAnsi="Verdana"/>
          <w:sz w:val="20"/>
          <w:lang w:val="pt-BR"/>
        </w:rPr>
        <w:t>apoio</w:t>
      </w:r>
      <w:r w:rsidR="004756C1" w:rsidRPr="002F50BD">
        <w:rPr>
          <w:rFonts w:ascii="Verdana" w:hAnsi="Verdana"/>
          <w:sz w:val="20"/>
          <w:lang w:val="pt-BR"/>
        </w:rPr>
        <w:t xml:space="preserve"> de </w:t>
      </w:r>
      <w:r w:rsidR="0089298C" w:rsidRPr="002F50BD">
        <w:rPr>
          <w:rFonts w:ascii="Verdana" w:hAnsi="Verdana"/>
          <w:sz w:val="20"/>
          <w:lang w:val="pt-BR"/>
        </w:rPr>
        <w:t xml:space="preserve">saúde e </w:t>
      </w:r>
      <w:r w:rsidR="004756C1" w:rsidRPr="002F50BD">
        <w:rPr>
          <w:rFonts w:ascii="Verdana" w:hAnsi="Verdana"/>
          <w:sz w:val="20"/>
          <w:lang w:val="pt-BR"/>
        </w:rPr>
        <w:t>alimenta</w:t>
      </w:r>
      <w:r w:rsidR="0089298C" w:rsidRPr="002F50BD">
        <w:rPr>
          <w:rFonts w:ascii="Verdana" w:hAnsi="Verdana"/>
          <w:sz w:val="20"/>
          <w:lang w:val="pt-BR"/>
        </w:rPr>
        <w:t xml:space="preserve">ção da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n</w:t>
      </w:r>
      <w:r w:rsidR="0088662B"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governamental T</w:t>
      </w:r>
      <w:r w:rsidR="0088662B" w:rsidRPr="002F50BD">
        <w:rPr>
          <w:rFonts w:ascii="Verdana" w:hAnsi="Verdana"/>
          <w:sz w:val="20"/>
          <w:lang w:val="pt-BR"/>
        </w:rPr>
        <w:t>i</w:t>
      </w:r>
      <w:r w:rsidR="0089298C" w:rsidRPr="002F50BD">
        <w:rPr>
          <w:rFonts w:ascii="Verdana" w:hAnsi="Verdana"/>
          <w:sz w:val="20"/>
          <w:lang w:val="pt-BR"/>
        </w:rPr>
        <w:t>erra</w:t>
      </w:r>
      <w:r w:rsidR="004756C1" w:rsidRPr="002F50BD">
        <w:rPr>
          <w:rFonts w:ascii="Verdana" w:hAnsi="Verdana"/>
          <w:sz w:val="20"/>
          <w:lang w:val="pt-BR"/>
        </w:rPr>
        <w:t xml:space="preserve"> Viva, </w:t>
      </w:r>
      <w:r w:rsidR="0089298C" w:rsidRPr="002F50BD">
        <w:rPr>
          <w:rFonts w:ascii="Verdana" w:hAnsi="Verdana"/>
          <w:sz w:val="20"/>
          <w:lang w:val="pt-BR"/>
        </w:rPr>
        <w:t>assim</w:t>
      </w:r>
      <w:r w:rsidR="004756C1" w:rsidRPr="002F50BD">
        <w:rPr>
          <w:rFonts w:ascii="Verdana" w:hAnsi="Verdana"/>
          <w:sz w:val="20"/>
          <w:lang w:val="pt-BR"/>
        </w:rPr>
        <w:t xml:space="preserve"> como de </w:t>
      </w:r>
      <w:r w:rsidR="0089298C" w:rsidRPr="002F50BD">
        <w:rPr>
          <w:rFonts w:ascii="Verdana" w:hAnsi="Verdana"/>
          <w:sz w:val="20"/>
          <w:lang w:val="pt-BR"/>
        </w:rPr>
        <w:t>outros</w:t>
      </w:r>
      <w:r w:rsidR="004756C1" w:rsidRPr="002F50BD">
        <w:rPr>
          <w:rFonts w:ascii="Verdana" w:hAnsi="Verdana"/>
          <w:sz w:val="20"/>
          <w:lang w:val="pt-BR"/>
        </w:rPr>
        <w:t xml:space="preserve"> particulares</w:t>
      </w:r>
      <w:r w:rsidR="0088662B" w:rsidRPr="002F50BD">
        <w:rPr>
          <w:rFonts w:ascii="Verdana" w:hAnsi="Verdana"/>
          <w:sz w:val="20"/>
          <w:lang w:val="pt-BR"/>
        </w:rPr>
        <w:t>.</w:t>
      </w:r>
      <w:r w:rsidR="004756C1" w:rsidRPr="002F50BD">
        <w:rPr>
          <w:rStyle w:val="FootnoteReference"/>
          <w:rFonts w:ascii="Verdana" w:hAnsi="Verdana"/>
        </w:rPr>
        <w:footnoteReference w:id="171"/>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108</w:t>
      </w:r>
      <w:r w:rsidR="00BE346D" w:rsidRPr="002F50BD">
        <w:rPr>
          <w:rFonts w:ascii="Verdana" w:hAnsi="Verdana"/>
          <w:sz w:val="20"/>
          <w:lang w:val="pt-BR"/>
        </w:rPr>
        <w:t xml:space="preserve">. A </w:t>
      </w:r>
      <w:r w:rsidR="004756C1" w:rsidRPr="002F50BD">
        <w:rPr>
          <w:rFonts w:ascii="Verdana" w:hAnsi="Verdana"/>
          <w:sz w:val="20"/>
          <w:lang w:val="pt-BR"/>
        </w:rPr>
        <w:t xml:space="preserve">falta de </w:t>
      </w:r>
      <w:r w:rsidR="0089298C" w:rsidRPr="002F50BD">
        <w:rPr>
          <w:rFonts w:ascii="Verdana" w:hAnsi="Verdana"/>
          <w:sz w:val="20"/>
          <w:lang w:val="pt-BR"/>
        </w:rPr>
        <w:t>garantia do direito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a </w:t>
      </w:r>
      <w:r w:rsidR="009A3094" w:rsidRPr="002F50BD">
        <w:rPr>
          <w:rFonts w:ascii="Verdana" w:hAnsi="Verdana"/>
          <w:sz w:val="20"/>
          <w:lang w:val="pt-BR"/>
        </w:rPr>
        <w:t xml:space="preserve">fez com </w:t>
      </w:r>
      <w:r w:rsidR="004756C1" w:rsidRPr="002F50BD">
        <w:rPr>
          <w:rFonts w:ascii="Verdana" w:hAnsi="Verdana"/>
          <w:sz w:val="20"/>
          <w:lang w:val="pt-BR"/>
        </w:rPr>
        <w:t>que</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permane</w:t>
      </w:r>
      <w:r w:rsidR="00902B44" w:rsidRPr="002F50BD">
        <w:rPr>
          <w:rFonts w:ascii="Verdana" w:hAnsi="Verdana"/>
          <w:sz w:val="20"/>
          <w:lang w:val="pt-BR"/>
        </w:rPr>
        <w:t>cessem</w:t>
      </w:r>
      <w:r w:rsidR="0089298C" w:rsidRPr="002F50BD">
        <w:rPr>
          <w:rFonts w:ascii="Verdana" w:hAnsi="Verdana"/>
          <w:sz w:val="20"/>
          <w:lang w:val="pt-BR"/>
        </w:rPr>
        <w:t xml:space="preserve"> com </w:t>
      </w:r>
      <w:r w:rsidR="00E7595C" w:rsidRPr="002F50BD">
        <w:rPr>
          <w:rFonts w:ascii="Verdana" w:hAnsi="Verdana"/>
          <w:sz w:val="20"/>
          <w:lang w:val="pt-BR"/>
        </w:rPr>
        <w:t>medo</w:t>
      </w:r>
      <w:r w:rsidR="004756C1" w:rsidRPr="002F50BD">
        <w:rPr>
          <w:rFonts w:ascii="Verdana" w:hAnsi="Verdana"/>
          <w:sz w:val="20"/>
          <w:lang w:val="pt-BR"/>
        </w:rPr>
        <w:t>, in</w:t>
      </w:r>
      <w:r w:rsidR="0089298C" w:rsidRPr="002F50BD">
        <w:rPr>
          <w:rFonts w:ascii="Verdana" w:hAnsi="Verdana"/>
          <w:sz w:val="20"/>
          <w:lang w:val="pt-BR"/>
        </w:rPr>
        <w:t xml:space="preserve">tranquilidade e </w:t>
      </w:r>
      <w:r w:rsidR="004756C1" w:rsidRPr="002F50BD">
        <w:rPr>
          <w:rFonts w:ascii="Verdana" w:hAnsi="Verdana"/>
          <w:sz w:val="20"/>
          <w:lang w:val="pt-BR"/>
        </w:rPr>
        <w:t>preocupa</w:t>
      </w:r>
      <w:r w:rsidR="0089298C" w:rsidRPr="002F50BD">
        <w:rPr>
          <w:rFonts w:ascii="Verdana" w:hAnsi="Verdana"/>
          <w:sz w:val="20"/>
          <w:lang w:val="pt-BR"/>
        </w:rPr>
        <w:t>ção</w:t>
      </w:r>
      <w:r w:rsidR="001A0CDE" w:rsidRPr="002F50BD">
        <w:rPr>
          <w:rFonts w:ascii="Verdana" w:hAnsi="Verdana"/>
          <w:sz w:val="20"/>
          <w:lang w:val="pt-BR"/>
        </w:rPr>
        <w:t>. Est</w:t>
      </w:r>
      <w:r w:rsidR="004756C1" w:rsidRPr="002F50BD">
        <w:rPr>
          <w:rFonts w:ascii="Verdana" w:hAnsi="Verdana"/>
          <w:sz w:val="20"/>
          <w:lang w:val="pt-BR"/>
        </w:rPr>
        <w:t>a situa</w:t>
      </w:r>
      <w:r w:rsidR="0089298C" w:rsidRPr="002F50BD">
        <w:rPr>
          <w:rFonts w:ascii="Verdana" w:hAnsi="Verdana"/>
          <w:sz w:val="20"/>
          <w:lang w:val="pt-BR"/>
        </w:rPr>
        <w:t xml:space="preserve">ção os </w:t>
      </w:r>
      <w:r w:rsidR="00902B44" w:rsidRPr="002F50BD">
        <w:rPr>
          <w:rFonts w:ascii="Verdana" w:hAnsi="Verdana"/>
          <w:sz w:val="20"/>
          <w:lang w:val="pt-BR"/>
        </w:rPr>
        <w:t xml:space="preserve">deixou </w:t>
      </w:r>
      <w:r w:rsidR="0089298C" w:rsidRPr="002F50BD">
        <w:rPr>
          <w:rFonts w:ascii="Verdana" w:hAnsi="Verdana"/>
          <w:sz w:val="20"/>
          <w:lang w:val="pt-BR"/>
        </w:rPr>
        <w:t>vulneráveis às ameaça</w:t>
      </w:r>
      <w:r w:rsidR="004756C1" w:rsidRPr="002F50BD">
        <w:rPr>
          <w:rFonts w:ascii="Verdana" w:hAnsi="Verdana"/>
          <w:sz w:val="20"/>
          <w:lang w:val="pt-BR"/>
        </w:rPr>
        <w:t>s</w:t>
      </w:r>
      <w:r w:rsidR="0089298C" w:rsidRPr="002F50BD">
        <w:rPr>
          <w:rFonts w:ascii="Verdana" w:hAnsi="Verdana"/>
          <w:sz w:val="20"/>
          <w:lang w:val="pt-BR"/>
        </w:rPr>
        <w:t xml:space="preserve"> e </w:t>
      </w:r>
      <w:r w:rsidR="0091562E" w:rsidRPr="002F50BD">
        <w:rPr>
          <w:rFonts w:ascii="Verdana" w:hAnsi="Verdana"/>
          <w:sz w:val="20"/>
          <w:lang w:val="pt-BR"/>
        </w:rPr>
        <w:t xml:space="preserve">perseguições </w:t>
      </w:r>
      <w:r w:rsidR="004756C1" w:rsidRPr="002F50BD">
        <w:rPr>
          <w:rFonts w:ascii="Verdana" w:hAnsi="Verdana"/>
          <w:sz w:val="20"/>
          <w:lang w:val="pt-BR"/>
        </w:rPr>
        <w:t xml:space="preserve">por parte de </w:t>
      </w:r>
      <w:r w:rsidR="0089298C" w:rsidRPr="002F50BD">
        <w:rPr>
          <w:rFonts w:ascii="Verdana" w:hAnsi="Verdana"/>
          <w:sz w:val="20"/>
          <w:lang w:val="pt-BR"/>
        </w:rPr>
        <w:t>terceiro</w:t>
      </w:r>
      <w:r w:rsidR="004756C1" w:rsidRPr="002F50BD">
        <w:rPr>
          <w:rFonts w:ascii="Verdana" w:hAnsi="Verdana"/>
          <w:sz w:val="20"/>
          <w:lang w:val="pt-BR"/>
        </w:rPr>
        <w:t xml:space="preserve">s, </w:t>
      </w:r>
      <w:r w:rsidR="0091562E" w:rsidRPr="002F50BD">
        <w:rPr>
          <w:rFonts w:ascii="Verdana" w:hAnsi="Verdana"/>
          <w:sz w:val="20"/>
          <w:lang w:val="pt-BR"/>
        </w:rPr>
        <w:t xml:space="preserve">o </w:t>
      </w:r>
      <w:r w:rsidR="004756C1" w:rsidRPr="002F50BD">
        <w:rPr>
          <w:rFonts w:ascii="Verdana" w:hAnsi="Verdana"/>
          <w:sz w:val="20"/>
          <w:lang w:val="pt-BR"/>
        </w:rPr>
        <w:t>que</w:t>
      </w:r>
      <w:r w:rsidR="00902B44" w:rsidRPr="002F50BD">
        <w:rPr>
          <w:rFonts w:ascii="Verdana" w:hAnsi="Verdana"/>
          <w:sz w:val="20"/>
          <w:lang w:val="pt-BR"/>
        </w:rPr>
        <w:t>,</w:t>
      </w:r>
      <w:r w:rsidR="004756C1" w:rsidRPr="002F50BD">
        <w:rPr>
          <w:rFonts w:ascii="Verdana" w:hAnsi="Verdana"/>
          <w:sz w:val="20"/>
          <w:lang w:val="pt-BR"/>
        </w:rPr>
        <w:t xml:space="preserve"> s</w:t>
      </w:r>
      <w:r w:rsidR="0091562E" w:rsidRPr="002F50BD">
        <w:rPr>
          <w:rFonts w:ascii="Verdana" w:hAnsi="Verdana"/>
          <w:sz w:val="20"/>
          <w:lang w:val="pt-BR"/>
        </w:rPr>
        <w:t>o</w:t>
      </w:r>
      <w:r w:rsidR="004756C1" w:rsidRPr="002F50BD">
        <w:rPr>
          <w:rFonts w:ascii="Verdana" w:hAnsi="Verdana"/>
          <w:sz w:val="20"/>
          <w:lang w:val="pt-BR"/>
        </w:rPr>
        <w:t>mado</w:t>
      </w:r>
      <w:r w:rsidR="0089298C" w:rsidRPr="002F50BD">
        <w:rPr>
          <w:rFonts w:ascii="Verdana" w:hAnsi="Verdana"/>
          <w:sz w:val="20"/>
          <w:lang w:val="pt-BR"/>
        </w:rPr>
        <w:t xml:space="preserve"> à </w:t>
      </w:r>
      <w:r w:rsidR="004756C1" w:rsidRPr="002F50BD">
        <w:rPr>
          <w:rFonts w:ascii="Verdana" w:hAnsi="Verdana"/>
          <w:sz w:val="20"/>
          <w:lang w:val="pt-BR"/>
        </w:rPr>
        <w:t xml:space="preserve">falta de </w:t>
      </w:r>
      <w:r w:rsidR="0089298C" w:rsidRPr="002F50BD">
        <w:rPr>
          <w:rFonts w:ascii="Verdana" w:hAnsi="Verdana"/>
          <w:sz w:val="20"/>
          <w:lang w:val="pt-BR"/>
        </w:rPr>
        <w:t>proteção</w:t>
      </w:r>
      <w:r w:rsidR="004756C1" w:rsidRPr="002F50BD">
        <w:rPr>
          <w:rFonts w:ascii="Verdana" w:hAnsi="Verdana"/>
          <w:sz w:val="20"/>
          <w:lang w:val="pt-BR"/>
        </w:rPr>
        <w:t xml:space="preserve"> estatal, </w:t>
      </w:r>
      <w:r w:rsidR="0091562E" w:rsidRPr="002F50BD">
        <w:rPr>
          <w:rFonts w:ascii="Verdana" w:hAnsi="Verdana"/>
          <w:sz w:val="20"/>
          <w:lang w:val="pt-BR"/>
        </w:rPr>
        <w:t xml:space="preserve">provocou </w:t>
      </w:r>
      <w:r w:rsidR="0089298C" w:rsidRPr="002F50BD">
        <w:rPr>
          <w:rFonts w:ascii="Verdana" w:hAnsi="Verdana"/>
          <w:sz w:val="20"/>
          <w:lang w:val="pt-BR"/>
        </w:rPr>
        <w:t>sentimento</w:t>
      </w:r>
      <w:r w:rsidR="004756C1" w:rsidRPr="002F50BD">
        <w:rPr>
          <w:rFonts w:ascii="Verdana" w:hAnsi="Verdana"/>
          <w:sz w:val="20"/>
          <w:lang w:val="pt-BR"/>
        </w:rPr>
        <w:t xml:space="preserve"> de </w:t>
      </w:r>
      <w:r w:rsidR="0089298C" w:rsidRPr="002F50BD">
        <w:rPr>
          <w:rFonts w:ascii="Verdana" w:hAnsi="Verdana"/>
          <w:sz w:val="20"/>
          <w:lang w:val="pt-BR"/>
        </w:rPr>
        <w:t>angústia</w:t>
      </w:r>
      <w:r w:rsidR="004756C1" w:rsidRPr="002F50BD">
        <w:rPr>
          <w:rFonts w:ascii="Verdana" w:hAnsi="Verdana"/>
          <w:sz w:val="20"/>
          <w:lang w:val="pt-BR"/>
        </w:rPr>
        <w:t xml:space="preserve"> e </w:t>
      </w:r>
      <w:r w:rsidR="0091562E" w:rsidRPr="002F50BD">
        <w:rPr>
          <w:rFonts w:ascii="Verdana" w:hAnsi="Verdana"/>
          <w:sz w:val="20"/>
          <w:lang w:val="pt-BR"/>
        </w:rPr>
        <w:t xml:space="preserve">de </w:t>
      </w:r>
      <w:r w:rsidR="004756C1" w:rsidRPr="002F50BD">
        <w:rPr>
          <w:rFonts w:ascii="Verdana" w:hAnsi="Verdana"/>
          <w:sz w:val="20"/>
          <w:lang w:val="pt-BR"/>
        </w:rPr>
        <w:t>im</w:t>
      </w:r>
      <w:r w:rsidR="0089298C" w:rsidRPr="002F50BD">
        <w:rPr>
          <w:rFonts w:ascii="Verdana" w:hAnsi="Verdana"/>
          <w:sz w:val="20"/>
          <w:lang w:val="pt-BR"/>
        </w:rPr>
        <w:t>potência nos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91562E" w:rsidRPr="002F50BD">
        <w:rPr>
          <w:rFonts w:ascii="Verdana" w:hAnsi="Verdana"/>
          <w:sz w:val="20"/>
          <w:lang w:val="pt-BR"/>
        </w:rPr>
        <w:t>.</w:t>
      </w:r>
      <w:r w:rsidR="004756C1" w:rsidRPr="002F50BD">
        <w:rPr>
          <w:rStyle w:val="FootnoteReference"/>
          <w:rFonts w:ascii="Verdana" w:hAnsi="Verdana"/>
        </w:rPr>
        <w:footnoteReference w:id="172"/>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109</w:t>
      </w:r>
      <w:r w:rsidR="00BE346D" w:rsidRPr="002F50BD">
        <w:rPr>
          <w:rFonts w:ascii="Verdana" w:hAnsi="Verdana"/>
          <w:sz w:val="20"/>
          <w:lang w:val="pt-BR"/>
        </w:rPr>
        <w:t xml:space="preserve">. As </w:t>
      </w:r>
      <w:r w:rsidR="004756C1" w:rsidRPr="002F50BD">
        <w:rPr>
          <w:rFonts w:ascii="Verdana" w:hAnsi="Verdana"/>
          <w:sz w:val="20"/>
          <w:lang w:val="pt-BR"/>
        </w:rPr>
        <w:t>graves condi</w:t>
      </w:r>
      <w:r w:rsidR="0089298C" w:rsidRPr="002F50BD">
        <w:rPr>
          <w:rFonts w:ascii="Verdana" w:hAnsi="Verdana"/>
          <w:sz w:val="20"/>
          <w:lang w:val="pt-BR"/>
        </w:rPr>
        <w:t>ções</w:t>
      </w:r>
      <w:r w:rsidR="004756C1" w:rsidRPr="002F50BD">
        <w:rPr>
          <w:rFonts w:ascii="Verdana" w:hAnsi="Verdana"/>
          <w:sz w:val="20"/>
          <w:lang w:val="pt-BR"/>
        </w:rPr>
        <w:t xml:space="preserve"> de vida</w:t>
      </w:r>
      <w:r w:rsidR="0089298C" w:rsidRPr="002F50BD">
        <w:rPr>
          <w:rFonts w:ascii="Verdana" w:hAnsi="Verdana"/>
          <w:sz w:val="20"/>
          <w:lang w:val="pt-BR"/>
        </w:rPr>
        <w:t xml:space="preserve"> em </w:t>
      </w:r>
      <w:r w:rsidR="004756C1" w:rsidRPr="002F50BD">
        <w:rPr>
          <w:rFonts w:ascii="Verdana" w:hAnsi="Verdana"/>
          <w:sz w:val="20"/>
          <w:lang w:val="pt-BR"/>
        </w:rPr>
        <w:t xml:space="preserve">que </w:t>
      </w:r>
      <w:r w:rsidR="0089298C" w:rsidRPr="002F50BD">
        <w:rPr>
          <w:rFonts w:ascii="Verdana" w:hAnsi="Verdana"/>
          <w:sz w:val="20"/>
          <w:lang w:val="pt-BR"/>
        </w:rPr>
        <w:t>permanecem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E7595C" w:rsidRPr="002F50BD">
        <w:rPr>
          <w:rFonts w:ascii="Verdana" w:hAnsi="Verdana"/>
          <w:sz w:val="20"/>
          <w:lang w:val="pt-BR"/>
        </w:rPr>
        <w:t>assentad</w:t>
      </w:r>
      <w:r w:rsidR="004756C1" w:rsidRPr="002F50BD">
        <w:rPr>
          <w:rFonts w:ascii="Verdana" w:hAnsi="Verdana"/>
          <w:sz w:val="20"/>
          <w:lang w:val="pt-BR"/>
        </w:rPr>
        <w:t>os</w:t>
      </w:r>
      <w:r w:rsidR="0089298C" w:rsidRPr="002F50BD">
        <w:rPr>
          <w:rFonts w:ascii="Verdana" w:hAnsi="Verdana"/>
          <w:sz w:val="20"/>
          <w:lang w:val="pt-BR"/>
        </w:rPr>
        <w:t xml:space="preserve"> </w:t>
      </w:r>
      <w:r w:rsidR="0091562E" w:rsidRPr="002F50BD">
        <w:rPr>
          <w:rFonts w:ascii="Verdana" w:hAnsi="Verdana"/>
          <w:sz w:val="20"/>
          <w:lang w:val="pt-BR"/>
        </w:rPr>
        <w:t xml:space="preserve">à margem </w:t>
      </w:r>
      <w:r w:rsidR="0089298C" w:rsidRPr="002F50BD">
        <w:rPr>
          <w:rFonts w:ascii="Verdana" w:hAnsi="Verdana"/>
          <w:sz w:val="20"/>
          <w:lang w:val="pt-BR"/>
        </w:rPr>
        <w:t xml:space="preserve">da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00B814B3" w:rsidRPr="002F50BD">
        <w:rPr>
          <w:rFonts w:ascii="Verdana" w:hAnsi="Verdana"/>
          <w:sz w:val="20"/>
          <w:lang w:val="pt-BR"/>
        </w:rPr>
        <w:t>causaram</w:t>
      </w:r>
      <w:r w:rsidR="006603BE" w:rsidRPr="002F50BD">
        <w:rPr>
          <w:rFonts w:ascii="Verdana" w:hAnsi="Verdana"/>
          <w:sz w:val="20"/>
          <w:lang w:val="pt-BR"/>
        </w:rPr>
        <w:t>-lhes</w:t>
      </w:r>
      <w:r w:rsidR="0091562E" w:rsidRPr="002F50BD">
        <w:rPr>
          <w:rFonts w:ascii="Verdana" w:hAnsi="Verdana"/>
          <w:sz w:val="20"/>
          <w:lang w:val="pt-BR"/>
        </w:rPr>
        <w:t xml:space="preserve"> </w:t>
      </w:r>
      <w:r w:rsidR="004756C1" w:rsidRPr="002F50BD">
        <w:rPr>
          <w:rFonts w:ascii="Verdana" w:hAnsi="Verdana"/>
          <w:sz w:val="20"/>
          <w:lang w:val="pt-BR"/>
        </w:rPr>
        <w:t>d</w:t>
      </w:r>
      <w:r w:rsidR="0089298C" w:rsidRPr="002F50BD">
        <w:rPr>
          <w:rFonts w:ascii="Verdana" w:hAnsi="Verdana"/>
          <w:sz w:val="20"/>
          <w:lang w:val="pt-BR"/>
        </w:rPr>
        <w:t>anos</w:t>
      </w:r>
      <w:r w:rsidR="004756C1" w:rsidRPr="002F50BD">
        <w:rPr>
          <w:rFonts w:ascii="Verdana" w:hAnsi="Verdana"/>
          <w:sz w:val="20"/>
          <w:lang w:val="pt-BR"/>
        </w:rPr>
        <w:t xml:space="preserve"> </w:t>
      </w:r>
      <w:r w:rsidR="0089298C" w:rsidRPr="002F50BD">
        <w:rPr>
          <w:rFonts w:ascii="Verdana" w:hAnsi="Verdana"/>
          <w:sz w:val="20"/>
          <w:lang w:val="pt-BR"/>
        </w:rPr>
        <w:t>i</w:t>
      </w:r>
      <w:r w:rsidR="004076AD" w:rsidRPr="002F50BD">
        <w:rPr>
          <w:rFonts w:ascii="Verdana" w:hAnsi="Verdana"/>
          <w:sz w:val="20"/>
          <w:lang w:val="pt-BR"/>
        </w:rPr>
        <w:t>materiais</w:t>
      </w:r>
      <w:r w:rsidR="0091562E" w:rsidRPr="002F50BD">
        <w:rPr>
          <w:rFonts w:ascii="Verdana" w:hAnsi="Verdana"/>
          <w:sz w:val="20"/>
          <w:lang w:val="pt-BR"/>
        </w:rPr>
        <w:t>.</w:t>
      </w:r>
      <w:r w:rsidR="004756C1" w:rsidRPr="002F50BD">
        <w:rPr>
          <w:rStyle w:val="FootnoteReference"/>
          <w:rFonts w:ascii="Verdana" w:hAnsi="Verdana"/>
        </w:rPr>
        <w:footnoteReference w:id="173"/>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lastRenderedPageBreak/>
        <w:t>50</w:t>
      </w:r>
      <w:r w:rsidR="004756C1" w:rsidRPr="002F50BD">
        <w:rPr>
          <w:rFonts w:ascii="Verdana" w:hAnsi="Verdana"/>
          <w:sz w:val="20"/>
          <w:lang w:val="pt-BR"/>
        </w:rPr>
        <w:t>.</w:t>
      </w:r>
      <w:r w:rsidRPr="002F50BD">
        <w:rPr>
          <w:rFonts w:ascii="Verdana" w:hAnsi="Verdana"/>
          <w:sz w:val="20"/>
          <w:lang w:val="pt-BR"/>
        </w:rPr>
        <w:t>110</w:t>
      </w:r>
      <w:r w:rsidR="00BE346D"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em </w:t>
      </w:r>
      <w:r w:rsidR="004756C1" w:rsidRPr="002F50BD">
        <w:rPr>
          <w:rFonts w:ascii="Verdana" w:hAnsi="Verdana"/>
          <w:sz w:val="20"/>
          <w:lang w:val="pt-BR"/>
        </w:rPr>
        <w:t>particular</w:t>
      </w:r>
      <w:r w:rsidR="0089298C" w:rsidRPr="002F50BD">
        <w:rPr>
          <w:rFonts w:ascii="Verdana" w:hAnsi="Verdana"/>
          <w:sz w:val="20"/>
          <w:lang w:val="pt-BR"/>
        </w:rPr>
        <w:t xml:space="preserve"> </w:t>
      </w:r>
      <w:r w:rsidR="005A6BC7" w:rsidRPr="002F50BD">
        <w:rPr>
          <w:rFonts w:ascii="Verdana" w:hAnsi="Verdana"/>
          <w:sz w:val="20"/>
          <w:lang w:val="pt-BR"/>
        </w:rPr>
        <w:t>as crianças</w:t>
      </w:r>
      <w:r w:rsidR="0089298C" w:rsidRPr="002F50BD">
        <w:rPr>
          <w:rFonts w:ascii="Verdana" w:hAnsi="Verdana"/>
          <w:sz w:val="20"/>
          <w:lang w:val="pt-BR"/>
        </w:rPr>
        <w:t xml:space="preserve"> e </w:t>
      </w:r>
      <w:r w:rsidR="0091562E" w:rsidRPr="002F50BD">
        <w:rPr>
          <w:rFonts w:ascii="Verdana" w:hAnsi="Verdana"/>
          <w:sz w:val="20"/>
          <w:lang w:val="pt-BR"/>
        </w:rPr>
        <w:t>os idosos</w:t>
      </w:r>
      <w:r w:rsidR="004756C1" w:rsidRPr="002F50BD">
        <w:rPr>
          <w:rFonts w:ascii="Verdana" w:hAnsi="Verdana"/>
          <w:sz w:val="20"/>
          <w:lang w:val="pt-BR"/>
        </w:rPr>
        <w:t xml:space="preserve">, </w:t>
      </w:r>
      <w:r w:rsidR="0091562E" w:rsidRPr="002F50BD">
        <w:rPr>
          <w:rFonts w:ascii="Verdana" w:hAnsi="Verdana"/>
          <w:sz w:val="20"/>
          <w:lang w:val="pt-BR"/>
        </w:rPr>
        <w:t xml:space="preserve">viram sua saúde ser </w:t>
      </w:r>
      <w:r w:rsidR="004756C1" w:rsidRPr="002F50BD">
        <w:rPr>
          <w:rFonts w:ascii="Verdana" w:hAnsi="Verdana"/>
          <w:sz w:val="20"/>
          <w:lang w:val="pt-BR"/>
        </w:rPr>
        <w:t xml:space="preserve">gravemente </w:t>
      </w:r>
      <w:r w:rsidR="0089298C" w:rsidRPr="002F50BD">
        <w:rPr>
          <w:rFonts w:ascii="Verdana" w:hAnsi="Verdana"/>
          <w:sz w:val="20"/>
          <w:lang w:val="pt-BR"/>
        </w:rPr>
        <w:t>afeta</w:t>
      </w:r>
      <w:r w:rsidR="004756C1" w:rsidRPr="002F50BD">
        <w:rPr>
          <w:rFonts w:ascii="Verdana" w:hAnsi="Verdana"/>
          <w:sz w:val="20"/>
          <w:lang w:val="pt-BR"/>
        </w:rPr>
        <w:t xml:space="preserve">da como </w:t>
      </w:r>
      <w:r w:rsidR="0089298C" w:rsidRPr="002F50BD">
        <w:rPr>
          <w:rFonts w:ascii="Verdana" w:hAnsi="Verdana"/>
          <w:sz w:val="20"/>
          <w:lang w:val="pt-BR"/>
        </w:rPr>
        <w:t xml:space="preserve">consequência das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w:t>
      </w:r>
      <w:r w:rsidR="0089298C" w:rsidRPr="002F50BD">
        <w:rPr>
          <w:rFonts w:ascii="Verdana" w:hAnsi="Verdana"/>
          <w:sz w:val="20"/>
          <w:lang w:val="pt-BR"/>
        </w:rPr>
        <w:t xml:space="preserve"> na</w:t>
      </w:r>
      <w:r w:rsidR="00B814B3" w:rsidRPr="002F50BD">
        <w:rPr>
          <w:rFonts w:ascii="Verdana" w:hAnsi="Verdana"/>
          <w:sz w:val="20"/>
          <w:lang w:val="pt-BR"/>
        </w:rPr>
        <w:t>s</w:t>
      </w:r>
      <w:r w:rsidR="0089298C" w:rsidRPr="002F50BD">
        <w:rPr>
          <w:rFonts w:ascii="Verdana" w:hAnsi="Verdana"/>
          <w:sz w:val="20"/>
          <w:lang w:val="pt-BR"/>
        </w:rPr>
        <w:t xml:space="preserve"> </w:t>
      </w:r>
      <w:r w:rsidR="0091562E" w:rsidRPr="002F50BD">
        <w:rPr>
          <w:rFonts w:ascii="Verdana" w:hAnsi="Verdana"/>
          <w:sz w:val="20"/>
          <w:lang w:val="pt-BR"/>
        </w:rPr>
        <w:t>qua</w:t>
      </w:r>
      <w:r w:rsidR="00B814B3" w:rsidRPr="002F50BD">
        <w:rPr>
          <w:rFonts w:ascii="Verdana" w:hAnsi="Verdana"/>
          <w:sz w:val="20"/>
          <w:lang w:val="pt-BR"/>
        </w:rPr>
        <w:t>is</w:t>
      </w:r>
      <w:r w:rsidR="004756C1" w:rsidRPr="002F50BD">
        <w:rPr>
          <w:rFonts w:ascii="Verdana" w:hAnsi="Verdana"/>
          <w:sz w:val="20"/>
          <w:lang w:val="pt-BR"/>
        </w:rPr>
        <w:t xml:space="preserve"> </w:t>
      </w:r>
      <w:r w:rsidR="00691920" w:rsidRPr="002F50BD">
        <w:rPr>
          <w:rFonts w:ascii="Verdana" w:hAnsi="Verdana"/>
          <w:sz w:val="20"/>
          <w:lang w:val="pt-BR"/>
        </w:rPr>
        <w:t>permanecem</w:t>
      </w:r>
      <w:r w:rsidR="0091562E" w:rsidRPr="002F50BD">
        <w:rPr>
          <w:rFonts w:ascii="Verdana" w:hAnsi="Verdana"/>
          <w:sz w:val="20"/>
          <w:lang w:val="pt-BR"/>
        </w:rPr>
        <w:t>.</w:t>
      </w:r>
      <w:r w:rsidR="004756C1" w:rsidRPr="002F50BD">
        <w:rPr>
          <w:rStyle w:val="FootnoteReference"/>
          <w:rFonts w:ascii="Verdana" w:hAnsi="Verdana"/>
        </w:rPr>
        <w:footnoteReference w:id="174"/>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50</w:t>
      </w:r>
      <w:r w:rsidR="004756C1" w:rsidRPr="002F50BD">
        <w:rPr>
          <w:rFonts w:ascii="Verdana" w:hAnsi="Verdana"/>
          <w:sz w:val="20"/>
          <w:lang w:val="pt-BR"/>
        </w:rPr>
        <w:t>.</w:t>
      </w:r>
      <w:r w:rsidRPr="002F50BD">
        <w:rPr>
          <w:rFonts w:ascii="Verdana" w:hAnsi="Verdana"/>
          <w:sz w:val="20"/>
          <w:lang w:val="pt-BR"/>
        </w:rPr>
        <w:t>111</w:t>
      </w:r>
      <w:r w:rsidR="004756C1" w:rsidRPr="002F50BD">
        <w:rPr>
          <w:rFonts w:ascii="Verdana" w:hAnsi="Verdana"/>
          <w:sz w:val="20"/>
          <w:lang w:val="pt-BR"/>
        </w:rPr>
        <w:t xml:space="preserve">. </w:t>
      </w:r>
      <w:r w:rsidR="0089298C" w:rsidRPr="002F50BD">
        <w:rPr>
          <w:rFonts w:ascii="Verdana" w:hAnsi="Verdana"/>
          <w:sz w:val="20"/>
          <w:lang w:val="pt-BR"/>
        </w:rPr>
        <w:t xml:space="preserve">Devido à </w:t>
      </w:r>
      <w:r w:rsidR="004756C1" w:rsidRPr="002F50BD">
        <w:rPr>
          <w:rFonts w:ascii="Verdana" w:hAnsi="Verdana"/>
          <w:sz w:val="20"/>
          <w:lang w:val="pt-BR"/>
        </w:rPr>
        <w:t xml:space="preserve">falta de </w:t>
      </w:r>
      <w:r w:rsidR="0089298C" w:rsidRPr="002F50BD">
        <w:rPr>
          <w:rFonts w:ascii="Verdana" w:hAnsi="Verdana"/>
          <w:sz w:val="20"/>
          <w:lang w:val="pt-BR"/>
        </w:rPr>
        <w:t>terra</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91562E" w:rsidRPr="002F50BD">
        <w:rPr>
          <w:rFonts w:ascii="Verdana" w:hAnsi="Verdana"/>
          <w:sz w:val="20"/>
          <w:lang w:val="pt-BR"/>
        </w:rPr>
        <w:t xml:space="preserve">não puderam </w:t>
      </w:r>
      <w:r w:rsidR="004756C1" w:rsidRPr="002F50BD">
        <w:rPr>
          <w:rFonts w:ascii="Verdana" w:hAnsi="Verdana"/>
          <w:sz w:val="20"/>
          <w:lang w:val="pt-BR"/>
        </w:rPr>
        <w:t>realizar su</w:t>
      </w:r>
      <w:r w:rsidR="0091562E" w:rsidRPr="002F50BD">
        <w:rPr>
          <w:rFonts w:ascii="Verdana" w:hAnsi="Verdana"/>
          <w:sz w:val="20"/>
          <w:lang w:val="pt-BR"/>
        </w:rPr>
        <w:t>a</w:t>
      </w:r>
      <w:r w:rsidR="004756C1" w:rsidRPr="002F50BD">
        <w:rPr>
          <w:rFonts w:ascii="Verdana" w:hAnsi="Verdana"/>
          <w:sz w:val="20"/>
          <w:lang w:val="pt-BR"/>
        </w:rPr>
        <w:t>s cer</w:t>
      </w:r>
      <w:r w:rsidR="0091562E" w:rsidRPr="002F50BD">
        <w:rPr>
          <w:rFonts w:ascii="Verdana" w:hAnsi="Verdana"/>
          <w:sz w:val="20"/>
          <w:lang w:val="pt-BR"/>
        </w:rPr>
        <w:t>i</w:t>
      </w:r>
      <w:r w:rsidR="004756C1" w:rsidRPr="002F50BD">
        <w:rPr>
          <w:rFonts w:ascii="Verdana" w:hAnsi="Verdana"/>
          <w:sz w:val="20"/>
          <w:lang w:val="pt-BR"/>
        </w:rPr>
        <w:t>m</w:t>
      </w:r>
      <w:r w:rsidR="0091562E" w:rsidRPr="002F50BD">
        <w:rPr>
          <w:rFonts w:ascii="Verdana" w:hAnsi="Verdana"/>
          <w:sz w:val="20"/>
          <w:lang w:val="pt-BR"/>
        </w:rPr>
        <w:t>ô</w:t>
      </w:r>
      <w:r w:rsidR="004756C1" w:rsidRPr="002F50BD">
        <w:rPr>
          <w:rFonts w:ascii="Verdana" w:hAnsi="Verdana"/>
          <w:sz w:val="20"/>
          <w:lang w:val="pt-BR"/>
        </w:rPr>
        <w:t>nias tr</w:t>
      </w:r>
      <w:r w:rsidR="0089298C" w:rsidRPr="002F50BD">
        <w:rPr>
          <w:rFonts w:ascii="Verdana" w:hAnsi="Verdana"/>
          <w:sz w:val="20"/>
          <w:lang w:val="pt-BR"/>
        </w:rPr>
        <w:t>adicionais</w:t>
      </w:r>
      <w:r w:rsidR="004756C1" w:rsidRPr="002F50BD">
        <w:rPr>
          <w:rFonts w:ascii="Verdana" w:hAnsi="Verdana"/>
          <w:sz w:val="20"/>
          <w:lang w:val="pt-BR"/>
        </w:rPr>
        <w:t>,</w:t>
      </w:r>
      <w:r w:rsidR="0089298C" w:rsidRPr="002F50BD">
        <w:rPr>
          <w:rFonts w:ascii="Verdana" w:hAnsi="Verdana"/>
          <w:sz w:val="20"/>
          <w:lang w:val="pt-BR"/>
        </w:rPr>
        <w:t xml:space="preserve"> nem </w:t>
      </w:r>
      <w:r w:rsidR="004076AD" w:rsidRPr="002F50BD">
        <w:rPr>
          <w:rFonts w:ascii="Verdana" w:hAnsi="Verdana"/>
          <w:sz w:val="20"/>
          <w:lang w:val="pt-BR"/>
        </w:rPr>
        <w:t>praticar</w:t>
      </w:r>
      <w:r w:rsidR="004756C1" w:rsidRPr="002F50BD">
        <w:rPr>
          <w:rFonts w:ascii="Verdana" w:hAnsi="Verdana"/>
          <w:sz w:val="20"/>
          <w:lang w:val="pt-BR"/>
        </w:rPr>
        <w:t xml:space="preserve"> </w:t>
      </w:r>
      <w:r w:rsidR="004076AD" w:rsidRPr="002F50BD">
        <w:rPr>
          <w:rFonts w:ascii="Verdana" w:hAnsi="Verdana"/>
          <w:sz w:val="20"/>
          <w:lang w:val="pt-BR"/>
        </w:rPr>
        <w:t>suas atividades</w:t>
      </w:r>
      <w:r w:rsidR="004756C1" w:rsidRPr="002F50BD">
        <w:rPr>
          <w:rFonts w:ascii="Verdana" w:hAnsi="Verdana"/>
          <w:sz w:val="20"/>
          <w:lang w:val="pt-BR"/>
        </w:rPr>
        <w:t xml:space="preserve"> tr</w:t>
      </w:r>
      <w:r w:rsidR="0089298C" w:rsidRPr="002F50BD">
        <w:rPr>
          <w:rFonts w:ascii="Verdana" w:hAnsi="Verdana"/>
          <w:sz w:val="20"/>
          <w:lang w:val="pt-BR"/>
        </w:rPr>
        <w:t>adicionais</w:t>
      </w:r>
      <w:r w:rsidR="004756C1" w:rsidRPr="002F50BD">
        <w:rPr>
          <w:rFonts w:ascii="Verdana" w:hAnsi="Verdana"/>
          <w:sz w:val="20"/>
          <w:lang w:val="pt-BR"/>
        </w:rPr>
        <w:t xml:space="preserve"> de </w:t>
      </w:r>
      <w:r w:rsidR="0089298C" w:rsidRPr="002F50BD">
        <w:rPr>
          <w:rFonts w:ascii="Verdana" w:hAnsi="Verdana"/>
          <w:sz w:val="20"/>
          <w:lang w:val="pt-BR"/>
        </w:rPr>
        <w:t>subsistência</w:t>
      </w:r>
      <w:r w:rsidR="004756C1" w:rsidRPr="002F50BD">
        <w:rPr>
          <w:rFonts w:ascii="Verdana" w:hAnsi="Verdana"/>
          <w:sz w:val="20"/>
          <w:lang w:val="pt-BR"/>
        </w:rPr>
        <w:t>.</w:t>
      </w:r>
      <w:r w:rsidR="00FE08B7">
        <w:rPr>
          <w:rFonts w:ascii="Verdana" w:hAnsi="Verdana"/>
          <w:sz w:val="20"/>
          <w:lang w:val="pt-BR"/>
        </w:rPr>
        <w:t xml:space="preserve"> </w:t>
      </w:r>
      <w:r w:rsidR="0091562E"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preserva</w:t>
      </w:r>
      <w:r w:rsidR="0089298C" w:rsidRPr="002F50BD">
        <w:rPr>
          <w:rFonts w:ascii="Verdana" w:hAnsi="Verdana"/>
          <w:sz w:val="20"/>
          <w:lang w:val="pt-BR"/>
        </w:rPr>
        <w:t xml:space="preserve">ção da </w:t>
      </w:r>
      <w:r w:rsidR="004756C1" w:rsidRPr="002F50BD">
        <w:rPr>
          <w:rFonts w:ascii="Verdana" w:hAnsi="Verdana"/>
          <w:sz w:val="20"/>
          <w:lang w:val="pt-BR"/>
        </w:rPr>
        <w:t xml:space="preserve">cultura </w:t>
      </w:r>
      <w:r w:rsidR="0091562E" w:rsidRPr="002F50BD">
        <w:rPr>
          <w:rFonts w:ascii="Verdana" w:hAnsi="Verdana"/>
          <w:sz w:val="20"/>
          <w:lang w:val="pt-BR"/>
        </w:rPr>
        <w:t xml:space="preserve">foi </w:t>
      </w:r>
      <w:r w:rsidR="0089298C" w:rsidRPr="002F50BD">
        <w:rPr>
          <w:rFonts w:ascii="Verdana" w:hAnsi="Verdana"/>
          <w:sz w:val="20"/>
          <w:lang w:val="pt-BR"/>
        </w:rPr>
        <w:t>afeta</w:t>
      </w:r>
      <w:r w:rsidR="004756C1" w:rsidRPr="002F50BD">
        <w:rPr>
          <w:rFonts w:ascii="Verdana" w:hAnsi="Verdana"/>
          <w:sz w:val="20"/>
          <w:lang w:val="pt-BR"/>
        </w:rPr>
        <w:t>da</w:t>
      </w:r>
      <w:r w:rsidR="0089298C" w:rsidRPr="002F50BD">
        <w:rPr>
          <w:rFonts w:ascii="Verdana" w:hAnsi="Verdana"/>
          <w:sz w:val="20"/>
          <w:lang w:val="pt-BR"/>
        </w:rPr>
        <w:t xml:space="preserve"> pela morte dos </w:t>
      </w:r>
      <w:r w:rsidR="0091562E" w:rsidRPr="002F50BD">
        <w:rPr>
          <w:rFonts w:ascii="Verdana" w:hAnsi="Verdana"/>
          <w:sz w:val="20"/>
          <w:lang w:val="pt-BR"/>
        </w:rPr>
        <w:t>idosos</w:t>
      </w:r>
      <w:r w:rsidR="004756C1" w:rsidRPr="002F50BD">
        <w:rPr>
          <w:rFonts w:ascii="Verdana" w:hAnsi="Verdana"/>
          <w:sz w:val="20"/>
          <w:lang w:val="pt-BR"/>
        </w:rPr>
        <w:t xml:space="preserve">, </w:t>
      </w:r>
      <w:r w:rsidR="0089298C" w:rsidRPr="002F50BD">
        <w:rPr>
          <w:rFonts w:ascii="Verdana" w:hAnsi="Verdana"/>
          <w:sz w:val="20"/>
          <w:lang w:val="pt-BR"/>
        </w:rPr>
        <w:t>que são os principais</w:t>
      </w:r>
      <w:r w:rsidR="004756C1" w:rsidRPr="002F50BD">
        <w:rPr>
          <w:rFonts w:ascii="Verdana" w:hAnsi="Verdana"/>
          <w:sz w:val="20"/>
          <w:lang w:val="pt-BR"/>
        </w:rPr>
        <w:t xml:space="preserve"> </w:t>
      </w:r>
      <w:r w:rsidR="004076AD" w:rsidRPr="002F50BD">
        <w:rPr>
          <w:rFonts w:ascii="Verdana" w:hAnsi="Verdana"/>
          <w:sz w:val="20"/>
          <w:lang w:val="pt-BR"/>
        </w:rPr>
        <w:t>encarregad</w:t>
      </w:r>
      <w:r w:rsidR="004756C1" w:rsidRPr="002F50BD">
        <w:rPr>
          <w:rFonts w:ascii="Verdana" w:hAnsi="Verdana"/>
          <w:sz w:val="20"/>
          <w:lang w:val="pt-BR"/>
        </w:rPr>
        <w:t>os</w:t>
      </w:r>
      <w:r w:rsidR="0089298C" w:rsidRPr="002F50BD">
        <w:rPr>
          <w:rFonts w:ascii="Verdana" w:hAnsi="Verdana"/>
          <w:sz w:val="20"/>
          <w:lang w:val="pt-BR"/>
        </w:rPr>
        <w:t xml:space="preserve"> da </w:t>
      </w:r>
      <w:r w:rsidR="004756C1" w:rsidRPr="002F50BD">
        <w:rPr>
          <w:rFonts w:ascii="Verdana" w:hAnsi="Verdana"/>
          <w:sz w:val="20"/>
          <w:lang w:val="pt-BR"/>
        </w:rPr>
        <w:t>trans</w:t>
      </w:r>
      <w:r w:rsidR="0089298C" w:rsidRPr="002F50BD">
        <w:rPr>
          <w:rFonts w:ascii="Verdana" w:hAnsi="Verdana"/>
          <w:sz w:val="20"/>
          <w:lang w:val="pt-BR"/>
        </w:rPr>
        <w:t>missão</w:t>
      </w:r>
      <w:r w:rsidR="004756C1" w:rsidRPr="002F50BD">
        <w:rPr>
          <w:rFonts w:ascii="Verdana" w:hAnsi="Verdana"/>
          <w:sz w:val="20"/>
          <w:lang w:val="pt-BR"/>
        </w:rPr>
        <w:t xml:space="preserve"> oral</w:t>
      </w:r>
      <w:r w:rsidR="0089298C" w:rsidRPr="002F50BD">
        <w:rPr>
          <w:rFonts w:ascii="Verdana" w:hAnsi="Verdana"/>
          <w:sz w:val="20"/>
          <w:lang w:val="pt-BR"/>
        </w:rPr>
        <w:t xml:space="preserve"> da </w:t>
      </w:r>
      <w:r w:rsidR="004756C1" w:rsidRPr="002F50BD">
        <w:rPr>
          <w:rFonts w:ascii="Verdana" w:hAnsi="Verdana"/>
          <w:sz w:val="20"/>
          <w:lang w:val="pt-BR"/>
        </w:rPr>
        <w:t>cultura</w:t>
      </w:r>
      <w:r w:rsidR="0091562E" w:rsidRPr="002F50BD">
        <w:rPr>
          <w:rFonts w:ascii="Verdana" w:hAnsi="Verdana"/>
          <w:sz w:val="20"/>
          <w:lang w:val="pt-BR"/>
        </w:rPr>
        <w:t>.</w:t>
      </w:r>
      <w:r w:rsidR="004756C1" w:rsidRPr="002F50BD">
        <w:rPr>
          <w:rStyle w:val="FootnoteReference"/>
          <w:rFonts w:ascii="Verdana" w:hAnsi="Verdana"/>
          <w:lang w:val="es-ES_tradnl"/>
        </w:rPr>
        <w:footnoteReference w:id="175"/>
      </w:r>
    </w:p>
    <w:p w:rsidR="004756C1" w:rsidRPr="002F50BD" w:rsidRDefault="004756C1">
      <w:pPr>
        <w:rPr>
          <w:rFonts w:ascii="Verdana" w:hAnsi="Verdana"/>
          <w:sz w:val="20"/>
          <w:lang w:val="pt-BR"/>
        </w:rPr>
      </w:pPr>
    </w:p>
    <w:p w:rsidR="0091562E" w:rsidRPr="002F50BD" w:rsidRDefault="0091562E">
      <w:pPr>
        <w:rPr>
          <w:rFonts w:ascii="Verdana" w:hAnsi="Verdana"/>
          <w:sz w:val="20"/>
          <w:lang w:val="pt-BR"/>
        </w:rPr>
      </w:pPr>
    </w:p>
    <w:p w:rsidR="004756C1" w:rsidRPr="002F50BD" w:rsidRDefault="004756C1">
      <w:pPr>
        <w:ind w:left="360"/>
        <w:jc w:val="center"/>
        <w:rPr>
          <w:rFonts w:ascii="Verdana" w:hAnsi="Verdana"/>
          <w:b/>
          <w:smallCaps/>
          <w:sz w:val="20"/>
        </w:rPr>
      </w:pPr>
      <w:r w:rsidRPr="002F50BD">
        <w:rPr>
          <w:rFonts w:ascii="Verdana" w:hAnsi="Verdana"/>
          <w:b/>
          <w:smallCaps/>
          <w:sz w:val="20"/>
        </w:rPr>
        <w:t>VII</w:t>
      </w:r>
    </w:p>
    <w:p w:rsidR="004756C1" w:rsidRPr="002F50BD" w:rsidRDefault="004756C1">
      <w:pPr>
        <w:ind w:left="360"/>
        <w:jc w:val="center"/>
        <w:rPr>
          <w:rFonts w:ascii="Verdana" w:hAnsi="Verdana"/>
          <w:b/>
          <w:smallCaps/>
          <w:sz w:val="20"/>
        </w:rPr>
      </w:pPr>
      <w:r w:rsidRPr="002F50BD">
        <w:rPr>
          <w:rFonts w:ascii="Verdana" w:hAnsi="Verdana"/>
          <w:b/>
          <w:smallCaps/>
          <w:sz w:val="20"/>
        </w:rPr>
        <w:t>Considera</w:t>
      </w:r>
      <w:r w:rsidR="0089298C" w:rsidRPr="002F50BD">
        <w:rPr>
          <w:rFonts w:ascii="Verdana" w:hAnsi="Verdana"/>
          <w:b/>
          <w:smallCaps/>
          <w:sz w:val="20"/>
        </w:rPr>
        <w:t>ções</w:t>
      </w:r>
      <w:r w:rsidR="00266225" w:rsidRPr="002F50BD">
        <w:rPr>
          <w:rFonts w:ascii="Verdana" w:hAnsi="Verdana"/>
          <w:b/>
          <w:smallCaps/>
          <w:sz w:val="20"/>
        </w:rPr>
        <w:t xml:space="preserve"> Pré</w:t>
      </w:r>
      <w:r w:rsidRPr="002F50BD">
        <w:rPr>
          <w:rFonts w:ascii="Verdana" w:hAnsi="Verdana"/>
          <w:b/>
          <w:smallCaps/>
          <w:sz w:val="20"/>
        </w:rPr>
        <w:t>vias</w:t>
      </w:r>
    </w:p>
    <w:p w:rsidR="004756C1" w:rsidRPr="002F50BD" w:rsidRDefault="004756C1">
      <w:pPr>
        <w:jc w:val="both"/>
        <w:rPr>
          <w:rFonts w:ascii="Verdana" w:hAnsi="Verdana"/>
          <w:b/>
          <w:smallCaps/>
          <w:sz w:val="20"/>
        </w:rPr>
      </w:pPr>
    </w:p>
    <w:p w:rsidR="004756C1" w:rsidRPr="002F50BD" w:rsidRDefault="00B814B3">
      <w:pPr>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32"/>
          <w:lang w:val="pt-BR"/>
        </w:rPr>
      </w:pPr>
      <w:r w:rsidRPr="002F50BD">
        <w:rPr>
          <w:rFonts w:ascii="Verdana" w:hAnsi="Verdana"/>
          <w:sz w:val="20"/>
          <w:lang w:val="pt-BR"/>
        </w:rPr>
        <w:t>Considerando</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 xml:space="preserve">presente caso trata </w:t>
      </w:r>
      <w:r w:rsidRPr="002F50BD">
        <w:rPr>
          <w:rFonts w:ascii="Verdana" w:hAnsi="Verdana"/>
          <w:sz w:val="20"/>
          <w:lang w:val="pt-BR"/>
        </w:rPr>
        <w:t>d</w:t>
      </w:r>
      <w:r w:rsidR="0089298C" w:rsidRPr="002F50BD">
        <w:rPr>
          <w:rFonts w:ascii="Verdana" w:hAnsi="Verdana"/>
          <w:sz w:val="20"/>
          <w:lang w:val="pt-BR"/>
        </w:rPr>
        <w:t>os direito</w:t>
      </w:r>
      <w:r w:rsidR="004756C1" w:rsidRPr="002F50BD">
        <w:rPr>
          <w:rFonts w:ascii="Verdana" w:hAnsi="Verdana"/>
          <w:sz w:val="20"/>
          <w:lang w:val="pt-BR"/>
        </w:rPr>
        <w:t>s</w:t>
      </w:r>
      <w:r w:rsidR="0089298C" w:rsidRPr="002F50BD">
        <w:rPr>
          <w:rFonts w:ascii="Verdana" w:hAnsi="Verdana"/>
          <w:sz w:val="20"/>
          <w:lang w:val="pt-BR"/>
        </w:rPr>
        <w:t xml:space="preserve"> dos membro</w:t>
      </w:r>
      <w:r w:rsidR="004756C1" w:rsidRPr="002F50BD">
        <w:rPr>
          <w:rFonts w:ascii="Verdana" w:hAnsi="Verdana"/>
          <w:sz w:val="20"/>
          <w:lang w:val="pt-BR"/>
        </w:rPr>
        <w:t>s de</w:t>
      </w:r>
      <w:r w:rsidR="0089298C" w:rsidRPr="002F50BD">
        <w:rPr>
          <w:rFonts w:ascii="Verdana" w:hAnsi="Verdana"/>
          <w:sz w:val="20"/>
          <w:lang w:val="pt-BR"/>
        </w:rPr>
        <w:t xml:space="preserve"> uma comunidade </w:t>
      </w:r>
      <w:r w:rsidR="004756C1" w:rsidRPr="002F50BD">
        <w:rPr>
          <w:rFonts w:ascii="Verdana" w:hAnsi="Verdana"/>
          <w:sz w:val="20"/>
          <w:lang w:val="pt-BR"/>
        </w:rPr>
        <w:t>indígena,</w:t>
      </w:r>
      <w:r w:rsidR="0089298C" w:rsidRPr="002F50BD">
        <w:rPr>
          <w:rFonts w:ascii="Verdana" w:hAnsi="Verdana"/>
          <w:sz w:val="20"/>
          <w:lang w:val="pt-BR"/>
        </w:rPr>
        <w:t xml:space="preserve"> a </w:t>
      </w:r>
      <w:r w:rsidR="004756C1" w:rsidRPr="002F50BD">
        <w:rPr>
          <w:rFonts w:ascii="Verdana" w:hAnsi="Verdana"/>
          <w:sz w:val="20"/>
          <w:lang w:val="pt-BR"/>
        </w:rPr>
        <w:t xml:space="preserve">Corte considera oportuno recordar que, </w:t>
      </w:r>
      <w:r w:rsidR="0089298C" w:rsidRPr="002F50BD">
        <w:rPr>
          <w:rFonts w:ascii="Verdana" w:hAnsi="Verdana"/>
          <w:sz w:val="20"/>
          <w:lang w:val="pt-BR"/>
        </w:rPr>
        <w:t>de acordo com os artigo</w:t>
      </w:r>
      <w:r w:rsidR="004756C1" w:rsidRPr="002F50BD">
        <w:rPr>
          <w:rFonts w:ascii="Verdana" w:hAnsi="Verdana"/>
          <w:sz w:val="20"/>
          <w:lang w:val="pt-BR"/>
        </w:rPr>
        <w:t xml:space="preserve">s </w:t>
      </w:r>
      <w:r w:rsidR="00063B47" w:rsidRPr="002F50BD">
        <w:rPr>
          <w:rFonts w:ascii="Verdana" w:hAnsi="Verdana"/>
          <w:sz w:val="20"/>
          <w:szCs w:val="32"/>
          <w:lang w:val="pt-BR"/>
        </w:rPr>
        <w:t>24</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0089298C" w:rsidRPr="002F50BD">
        <w:rPr>
          <w:rFonts w:ascii="Verdana" w:hAnsi="Verdana"/>
          <w:sz w:val="20"/>
          <w:szCs w:val="32"/>
          <w:lang w:val="pt-BR"/>
        </w:rPr>
        <w:t xml:space="preserve">Igualdade perante a </w:t>
      </w:r>
      <w:r w:rsidR="0091562E" w:rsidRPr="002F50BD">
        <w:rPr>
          <w:rFonts w:ascii="Verdana" w:hAnsi="Verdana"/>
          <w:sz w:val="20"/>
          <w:szCs w:val="32"/>
          <w:lang w:val="pt-BR"/>
        </w:rPr>
        <w:t>Lei</w:t>
      </w:r>
      <w:r w:rsidR="00CF451D" w:rsidRPr="00CF451D">
        <w:rPr>
          <w:rFonts w:ascii="Verdana" w:hAnsi="Verdana"/>
          <w:sz w:val="20"/>
          <w:szCs w:val="32"/>
          <w:lang w:val="pt-BR"/>
        </w:rPr>
        <w:t>)</w:t>
      </w:r>
      <w:r w:rsidR="0089298C" w:rsidRPr="002F50BD">
        <w:rPr>
          <w:rFonts w:ascii="Verdana" w:hAnsi="Verdana"/>
          <w:sz w:val="20"/>
          <w:szCs w:val="32"/>
          <w:lang w:val="pt-BR"/>
        </w:rPr>
        <w:t xml:space="preserve"> e </w:t>
      </w:r>
      <w:r w:rsidR="00063B47" w:rsidRPr="002F50BD">
        <w:rPr>
          <w:rFonts w:ascii="Verdana" w:hAnsi="Verdana"/>
          <w:sz w:val="20"/>
          <w:szCs w:val="32"/>
          <w:lang w:val="pt-BR"/>
        </w:rPr>
        <w:t>1</w:t>
      </w:r>
      <w:r w:rsidR="004756C1" w:rsidRPr="002F50BD">
        <w:rPr>
          <w:rFonts w:ascii="Verdana" w:hAnsi="Verdana"/>
          <w:sz w:val="20"/>
          <w:szCs w:val="32"/>
          <w:lang w:val="pt-BR"/>
        </w:rPr>
        <w:t>.</w:t>
      </w:r>
      <w:r w:rsidR="00063B47" w:rsidRPr="002F50BD">
        <w:rPr>
          <w:rFonts w:ascii="Verdana" w:hAnsi="Verdana"/>
          <w:sz w:val="20"/>
          <w:szCs w:val="32"/>
          <w:lang w:val="pt-BR"/>
        </w:rPr>
        <w:t>1</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0089298C" w:rsidRPr="002F50BD">
        <w:rPr>
          <w:rFonts w:ascii="Verdana" w:hAnsi="Verdana"/>
          <w:sz w:val="20"/>
          <w:szCs w:val="32"/>
          <w:lang w:val="pt-BR"/>
        </w:rPr>
        <w:t>Obrigação</w:t>
      </w:r>
      <w:r w:rsidR="004756C1" w:rsidRPr="002F50BD">
        <w:rPr>
          <w:rFonts w:ascii="Verdana" w:hAnsi="Verdana"/>
          <w:sz w:val="20"/>
          <w:szCs w:val="32"/>
          <w:lang w:val="pt-BR"/>
        </w:rPr>
        <w:t xml:space="preserve"> de </w:t>
      </w:r>
      <w:r w:rsidR="0089298C" w:rsidRPr="002F50BD">
        <w:rPr>
          <w:rFonts w:ascii="Verdana" w:hAnsi="Verdana"/>
          <w:sz w:val="20"/>
          <w:szCs w:val="32"/>
          <w:lang w:val="pt-BR"/>
        </w:rPr>
        <w:t>Respeitar os Direito</w:t>
      </w:r>
      <w:r w:rsidR="004756C1" w:rsidRPr="002F50BD">
        <w:rPr>
          <w:rFonts w:ascii="Verdana" w:hAnsi="Verdana"/>
          <w:sz w:val="20"/>
          <w:szCs w:val="32"/>
          <w:lang w:val="pt-BR"/>
        </w:rPr>
        <w:t>s</w:t>
      </w:r>
      <w:r w:rsidR="00CF451D" w:rsidRPr="00CF451D">
        <w:rPr>
          <w:rFonts w:ascii="Verdana" w:hAnsi="Verdana"/>
          <w:sz w:val="20"/>
          <w:szCs w:val="32"/>
          <w:lang w:val="pt-BR"/>
        </w:rPr>
        <w:t>)</w:t>
      </w:r>
      <w:r w:rsidR="0089298C" w:rsidRPr="002F50BD">
        <w:rPr>
          <w:rFonts w:ascii="Verdana" w:hAnsi="Verdana"/>
          <w:sz w:val="20"/>
          <w:szCs w:val="32"/>
          <w:lang w:val="pt-BR"/>
        </w:rPr>
        <w:t xml:space="preserve"> da </w:t>
      </w:r>
      <w:r w:rsidR="004756C1" w:rsidRPr="002F50BD">
        <w:rPr>
          <w:rFonts w:ascii="Verdana" w:hAnsi="Verdana"/>
          <w:sz w:val="20"/>
          <w:szCs w:val="32"/>
          <w:lang w:val="pt-BR"/>
        </w:rPr>
        <w:t>Conven</w:t>
      </w:r>
      <w:r w:rsidR="0089298C" w:rsidRPr="002F50BD">
        <w:rPr>
          <w:rFonts w:ascii="Verdana" w:hAnsi="Verdana"/>
          <w:sz w:val="20"/>
          <w:szCs w:val="32"/>
          <w:lang w:val="pt-BR"/>
        </w:rPr>
        <w:t>ção</w:t>
      </w:r>
      <w:r w:rsidR="004756C1" w:rsidRPr="002F50BD">
        <w:rPr>
          <w:rFonts w:ascii="Verdana" w:hAnsi="Verdana"/>
          <w:sz w:val="20"/>
          <w:szCs w:val="32"/>
          <w:lang w:val="pt-BR"/>
        </w:rPr>
        <w:t xml:space="preserve"> Americana,</w:t>
      </w:r>
      <w:r w:rsidR="0089298C" w:rsidRPr="002F50BD">
        <w:rPr>
          <w:rFonts w:ascii="Verdana" w:hAnsi="Verdana"/>
          <w:sz w:val="20"/>
          <w:szCs w:val="32"/>
          <w:lang w:val="pt-BR"/>
        </w:rPr>
        <w:t xml:space="preserve"> os </w:t>
      </w:r>
      <w:r w:rsidR="004756C1" w:rsidRPr="002F50BD">
        <w:rPr>
          <w:rFonts w:ascii="Verdana" w:hAnsi="Verdana"/>
          <w:sz w:val="20"/>
          <w:szCs w:val="32"/>
          <w:lang w:val="pt-BR"/>
        </w:rPr>
        <w:t xml:space="preserve">Estados </w:t>
      </w:r>
      <w:r w:rsidR="0089298C" w:rsidRPr="002F50BD">
        <w:rPr>
          <w:rFonts w:ascii="Verdana" w:hAnsi="Verdana"/>
          <w:sz w:val="20"/>
          <w:szCs w:val="32"/>
          <w:lang w:val="pt-BR"/>
        </w:rPr>
        <w:t>devem</w:t>
      </w:r>
      <w:r w:rsidR="004756C1" w:rsidRPr="002F50BD">
        <w:rPr>
          <w:rFonts w:ascii="Verdana" w:hAnsi="Verdana"/>
          <w:sz w:val="20"/>
          <w:szCs w:val="32"/>
          <w:lang w:val="pt-BR"/>
        </w:rPr>
        <w:t xml:space="preserve"> </w:t>
      </w:r>
      <w:r w:rsidR="0089298C" w:rsidRPr="002F50BD">
        <w:rPr>
          <w:rFonts w:ascii="Verdana" w:hAnsi="Verdana"/>
          <w:sz w:val="20"/>
          <w:szCs w:val="32"/>
          <w:lang w:val="pt-BR"/>
        </w:rPr>
        <w:t>garantir</w:t>
      </w:r>
      <w:r w:rsidR="004756C1" w:rsidRPr="002F50BD">
        <w:rPr>
          <w:rFonts w:ascii="Verdana" w:hAnsi="Verdana"/>
          <w:sz w:val="20"/>
          <w:szCs w:val="32"/>
          <w:lang w:val="pt-BR"/>
        </w:rPr>
        <w:t>,</w:t>
      </w:r>
      <w:r w:rsidR="0089298C" w:rsidRPr="002F50BD">
        <w:rPr>
          <w:rFonts w:ascii="Verdana" w:hAnsi="Verdana"/>
          <w:sz w:val="20"/>
          <w:szCs w:val="32"/>
          <w:lang w:val="pt-BR"/>
        </w:rPr>
        <w:t xml:space="preserve"> em </w:t>
      </w:r>
      <w:r w:rsidR="004756C1" w:rsidRPr="002F50BD">
        <w:rPr>
          <w:rFonts w:ascii="Verdana" w:hAnsi="Verdana"/>
          <w:sz w:val="20"/>
          <w:szCs w:val="32"/>
          <w:lang w:val="pt-BR"/>
        </w:rPr>
        <w:t>condi</w:t>
      </w:r>
      <w:r w:rsidR="0089298C" w:rsidRPr="002F50BD">
        <w:rPr>
          <w:rFonts w:ascii="Verdana" w:hAnsi="Verdana"/>
          <w:sz w:val="20"/>
          <w:szCs w:val="32"/>
          <w:lang w:val="pt-BR"/>
        </w:rPr>
        <w:t>ções</w:t>
      </w:r>
      <w:r w:rsidR="004756C1" w:rsidRPr="002F50BD">
        <w:rPr>
          <w:rFonts w:ascii="Verdana" w:hAnsi="Verdana"/>
          <w:sz w:val="20"/>
          <w:szCs w:val="32"/>
          <w:lang w:val="pt-BR"/>
        </w:rPr>
        <w:t xml:space="preserve"> de igualdad</w:t>
      </w:r>
      <w:r w:rsidR="0091562E" w:rsidRPr="002F50BD">
        <w:rPr>
          <w:rFonts w:ascii="Verdana" w:hAnsi="Verdana"/>
          <w:sz w:val="20"/>
          <w:szCs w:val="32"/>
          <w:lang w:val="pt-BR"/>
        </w:rPr>
        <w:t>e</w:t>
      </w:r>
      <w:r w:rsidR="004756C1" w:rsidRPr="002F50BD">
        <w:rPr>
          <w:rFonts w:ascii="Verdana" w:hAnsi="Verdana"/>
          <w:sz w:val="20"/>
          <w:szCs w:val="32"/>
          <w:lang w:val="pt-BR"/>
        </w:rPr>
        <w:t>,</w:t>
      </w:r>
      <w:r w:rsidR="0089298C" w:rsidRPr="002F50BD">
        <w:rPr>
          <w:rFonts w:ascii="Verdana" w:hAnsi="Verdana"/>
          <w:sz w:val="20"/>
          <w:szCs w:val="32"/>
          <w:lang w:val="pt-BR"/>
        </w:rPr>
        <w:t xml:space="preserve"> o </w:t>
      </w:r>
      <w:r w:rsidR="004756C1" w:rsidRPr="002F50BD">
        <w:rPr>
          <w:rFonts w:ascii="Verdana" w:hAnsi="Verdana"/>
          <w:sz w:val="20"/>
          <w:szCs w:val="32"/>
          <w:lang w:val="pt-BR"/>
        </w:rPr>
        <w:t xml:space="preserve">pleno </w:t>
      </w:r>
      <w:r w:rsidR="0089298C" w:rsidRPr="002F50BD">
        <w:rPr>
          <w:rFonts w:ascii="Verdana" w:hAnsi="Verdana"/>
          <w:sz w:val="20"/>
          <w:szCs w:val="32"/>
          <w:lang w:val="pt-BR"/>
        </w:rPr>
        <w:t xml:space="preserve">exercício e </w:t>
      </w:r>
      <w:r w:rsidR="0091562E" w:rsidRPr="002F50BD">
        <w:rPr>
          <w:rFonts w:ascii="Verdana" w:hAnsi="Verdana"/>
          <w:sz w:val="20"/>
          <w:szCs w:val="32"/>
          <w:lang w:val="pt-BR"/>
        </w:rPr>
        <w:t xml:space="preserve">gozo </w:t>
      </w:r>
      <w:r w:rsidR="0089298C" w:rsidRPr="002F50BD">
        <w:rPr>
          <w:rFonts w:ascii="Verdana" w:hAnsi="Verdana"/>
          <w:sz w:val="20"/>
          <w:szCs w:val="32"/>
          <w:lang w:val="pt-BR"/>
        </w:rPr>
        <w:t>dos direito</w:t>
      </w:r>
      <w:r w:rsidR="004756C1" w:rsidRPr="002F50BD">
        <w:rPr>
          <w:rFonts w:ascii="Verdana" w:hAnsi="Verdana"/>
          <w:sz w:val="20"/>
          <w:szCs w:val="32"/>
          <w:lang w:val="pt-BR"/>
        </w:rPr>
        <w:t xml:space="preserve">s </w:t>
      </w:r>
      <w:r w:rsidR="0089298C" w:rsidRPr="002F50BD">
        <w:rPr>
          <w:rFonts w:ascii="Verdana" w:hAnsi="Verdana"/>
          <w:sz w:val="20"/>
          <w:szCs w:val="32"/>
          <w:lang w:val="pt-BR"/>
        </w:rPr>
        <w:t>desta</w:t>
      </w:r>
      <w:r w:rsidR="004756C1" w:rsidRPr="002F50BD">
        <w:rPr>
          <w:rFonts w:ascii="Verdana" w:hAnsi="Verdana"/>
          <w:sz w:val="20"/>
          <w:szCs w:val="32"/>
          <w:lang w:val="pt-BR"/>
        </w:rPr>
        <w:t xml:space="preserve">s </w:t>
      </w:r>
      <w:r w:rsidR="0089298C" w:rsidRPr="002F50BD">
        <w:rPr>
          <w:rFonts w:ascii="Verdana" w:hAnsi="Verdana"/>
          <w:sz w:val="20"/>
          <w:szCs w:val="32"/>
          <w:lang w:val="pt-BR"/>
        </w:rPr>
        <w:t>pessoa</w:t>
      </w:r>
      <w:r w:rsidR="004756C1" w:rsidRPr="002F50BD">
        <w:rPr>
          <w:rFonts w:ascii="Verdana" w:hAnsi="Verdana"/>
          <w:sz w:val="20"/>
          <w:szCs w:val="32"/>
          <w:lang w:val="pt-BR"/>
        </w:rPr>
        <w:t>s que</w:t>
      </w:r>
      <w:r w:rsidR="0089298C" w:rsidRPr="002F50BD">
        <w:rPr>
          <w:rFonts w:ascii="Verdana" w:hAnsi="Verdana"/>
          <w:sz w:val="20"/>
          <w:szCs w:val="32"/>
          <w:lang w:val="pt-BR"/>
        </w:rPr>
        <w:t xml:space="preserve"> estão sujeita</w:t>
      </w:r>
      <w:r w:rsidR="004756C1" w:rsidRPr="002F50BD">
        <w:rPr>
          <w:rFonts w:ascii="Verdana" w:hAnsi="Verdana"/>
          <w:sz w:val="20"/>
          <w:szCs w:val="32"/>
          <w:lang w:val="pt-BR"/>
        </w:rPr>
        <w:t xml:space="preserve">s </w:t>
      </w:r>
      <w:r w:rsidR="0091562E" w:rsidRPr="002F50BD">
        <w:rPr>
          <w:rFonts w:ascii="Verdana" w:hAnsi="Verdana"/>
          <w:sz w:val="20"/>
          <w:szCs w:val="32"/>
          <w:lang w:val="pt-BR"/>
        </w:rPr>
        <w:t>à</w:t>
      </w:r>
      <w:r w:rsidR="004756C1" w:rsidRPr="002F50BD">
        <w:rPr>
          <w:rFonts w:ascii="Verdana" w:hAnsi="Verdana"/>
          <w:sz w:val="20"/>
          <w:szCs w:val="32"/>
          <w:lang w:val="pt-BR"/>
        </w:rPr>
        <w:t xml:space="preserve"> </w:t>
      </w:r>
      <w:r w:rsidR="0089298C" w:rsidRPr="002F50BD">
        <w:rPr>
          <w:rFonts w:ascii="Verdana" w:hAnsi="Verdana"/>
          <w:sz w:val="20"/>
          <w:szCs w:val="32"/>
          <w:lang w:val="pt-BR"/>
        </w:rPr>
        <w:t>sua jurisdição</w:t>
      </w:r>
      <w:r w:rsidR="004756C1" w:rsidRPr="002F50BD">
        <w:rPr>
          <w:rFonts w:ascii="Verdana" w:hAnsi="Verdana"/>
          <w:sz w:val="20"/>
          <w:szCs w:val="32"/>
          <w:lang w:val="pt-BR"/>
        </w:rPr>
        <w:t xml:space="preserve">. </w:t>
      </w:r>
      <w:r w:rsidR="0091562E" w:rsidRPr="002F50BD">
        <w:rPr>
          <w:rFonts w:ascii="Verdana" w:hAnsi="Verdana"/>
          <w:sz w:val="20"/>
          <w:szCs w:val="32"/>
          <w:lang w:val="pt-BR"/>
        </w:rPr>
        <w:t>Entretanto</w:t>
      </w:r>
      <w:r w:rsidR="004756C1" w:rsidRPr="002F50BD">
        <w:rPr>
          <w:rFonts w:ascii="Verdana" w:hAnsi="Verdana"/>
          <w:sz w:val="20"/>
          <w:szCs w:val="32"/>
          <w:lang w:val="pt-BR"/>
        </w:rPr>
        <w:t xml:space="preserve">, </w:t>
      </w:r>
      <w:r w:rsidR="0089298C" w:rsidRPr="002F50BD">
        <w:rPr>
          <w:rFonts w:ascii="Verdana" w:hAnsi="Verdana"/>
          <w:sz w:val="20"/>
          <w:szCs w:val="32"/>
          <w:lang w:val="pt-BR"/>
        </w:rPr>
        <w:t xml:space="preserve">há </w:t>
      </w:r>
      <w:r w:rsidR="0091562E" w:rsidRPr="002F50BD">
        <w:rPr>
          <w:rFonts w:ascii="Verdana" w:hAnsi="Verdana"/>
          <w:sz w:val="20"/>
          <w:szCs w:val="32"/>
          <w:lang w:val="pt-BR"/>
        </w:rPr>
        <w:t xml:space="preserve">de se </w:t>
      </w:r>
      <w:r w:rsidR="0089298C" w:rsidRPr="002F50BD">
        <w:rPr>
          <w:rFonts w:ascii="Verdana" w:hAnsi="Verdana"/>
          <w:sz w:val="20"/>
          <w:szCs w:val="32"/>
          <w:lang w:val="pt-BR"/>
        </w:rPr>
        <w:t>ressaltar</w:t>
      </w:r>
      <w:r w:rsidR="004756C1" w:rsidRPr="002F50BD">
        <w:rPr>
          <w:rFonts w:ascii="Verdana" w:hAnsi="Verdana"/>
          <w:sz w:val="20"/>
          <w:szCs w:val="32"/>
          <w:lang w:val="pt-BR"/>
        </w:rPr>
        <w:t xml:space="preserve"> que para </w:t>
      </w:r>
      <w:r w:rsidR="0089298C" w:rsidRPr="002F50BD">
        <w:rPr>
          <w:rFonts w:ascii="Verdana" w:hAnsi="Verdana"/>
          <w:sz w:val="20"/>
          <w:szCs w:val="32"/>
          <w:lang w:val="pt-BR"/>
        </w:rPr>
        <w:t>garantir</w:t>
      </w:r>
      <w:r w:rsidR="004756C1" w:rsidRPr="002F50BD">
        <w:rPr>
          <w:rFonts w:ascii="Verdana" w:hAnsi="Verdana"/>
          <w:sz w:val="20"/>
          <w:szCs w:val="32"/>
          <w:lang w:val="pt-BR"/>
        </w:rPr>
        <w:t xml:space="preserve"> </w:t>
      </w:r>
      <w:r w:rsidR="0089298C" w:rsidRPr="002F50BD">
        <w:rPr>
          <w:rFonts w:ascii="Verdana" w:hAnsi="Verdana"/>
          <w:sz w:val="20"/>
          <w:szCs w:val="32"/>
          <w:lang w:val="pt-BR"/>
        </w:rPr>
        <w:t>efetiv</w:t>
      </w:r>
      <w:r w:rsidR="004756C1" w:rsidRPr="002F50BD">
        <w:rPr>
          <w:rFonts w:ascii="Verdana" w:hAnsi="Verdana"/>
          <w:sz w:val="20"/>
          <w:szCs w:val="32"/>
          <w:lang w:val="pt-BR"/>
        </w:rPr>
        <w:t>amente</w:t>
      </w:r>
      <w:r w:rsidR="0089298C" w:rsidRPr="002F50BD">
        <w:rPr>
          <w:rFonts w:ascii="Verdana" w:hAnsi="Verdana"/>
          <w:sz w:val="20"/>
          <w:szCs w:val="32"/>
          <w:lang w:val="pt-BR"/>
        </w:rPr>
        <w:t xml:space="preserve"> estes direito</w:t>
      </w:r>
      <w:r w:rsidR="004756C1" w:rsidRPr="002F50BD">
        <w:rPr>
          <w:rFonts w:ascii="Verdana" w:hAnsi="Verdana"/>
          <w:sz w:val="20"/>
          <w:szCs w:val="32"/>
          <w:lang w:val="pt-BR"/>
        </w:rPr>
        <w:t>s,</w:t>
      </w:r>
      <w:r w:rsidR="0089298C" w:rsidRPr="002F50BD">
        <w:rPr>
          <w:rFonts w:ascii="Verdana" w:hAnsi="Verdana"/>
          <w:sz w:val="20"/>
          <w:szCs w:val="32"/>
          <w:lang w:val="pt-BR"/>
        </w:rPr>
        <w:t xml:space="preserve"> ao </w:t>
      </w:r>
      <w:r w:rsidR="004756C1" w:rsidRPr="002F50BD">
        <w:rPr>
          <w:rFonts w:ascii="Verdana" w:hAnsi="Verdana"/>
          <w:sz w:val="20"/>
          <w:szCs w:val="32"/>
          <w:lang w:val="pt-BR"/>
        </w:rPr>
        <w:t>interpretar</w:t>
      </w:r>
      <w:r w:rsidR="0089298C" w:rsidRPr="002F50BD">
        <w:rPr>
          <w:rFonts w:ascii="Verdana" w:hAnsi="Verdana"/>
          <w:sz w:val="20"/>
          <w:szCs w:val="32"/>
          <w:lang w:val="pt-BR"/>
        </w:rPr>
        <w:t xml:space="preserve"> e </w:t>
      </w:r>
      <w:r w:rsidR="004756C1" w:rsidRPr="002F50BD">
        <w:rPr>
          <w:rFonts w:ascii="Verdana" w:hAnsi="Verdana"/>
          <w:sz w:val="20"/>
          <w:szCs w:val="32"/>
          <w:lang w:val="pt-BR"/>
        </w:rPr>
        <w:t>aplicar su</w:t>
      </w:r>
      <w:r w:rsidR="0091562E" w:rsidRPr="002F50BD">
        <w:rPr>
          <w:rFonts w:ascii="Verdana" w:hAnsi="Verdana"/>
          <w:sz w:val="20"/>
          <w:szCs w:val="32"/>
          <w:lang w:val="pt-BR"/>
        </w:rPr>
        <w:t>a</w:t>
      </w:r>
      <w:r w:rsidR="004756C1" w:rsidRPr="002F50BD">
        <w:rPr>
          <w:rFonts w:ascii="Verdana" w:hAnsi="Verdana"/>
          <w:sz w:val="20"/>
          <w:szCs w:val="32"/>
          <w:lang w:val="pt-BR"/>
        </w:rPr>
        <w:t xml:space="preserve"> normativa interna,</w:t>
      </w:r>
      <w:r w:rsidR="0089298C" w:rsidRPr="002F50BD">
        <w:rPr>
          <w:rFonts w:ascii="Verdana" w:hAnsi="Verdana"/>
          <w:sz w:val="20"/>
          <w:szCs w:val="32"/>
          <w:lang w:val="pt-BR"/>
        </w:rPr>
        <w:t xml:space="preserve"> os </w:t>
      </w:r>
      <w:r w:rsidR="004756C1" w:rsidRPr="002F50BD">
        <w:rPr>
          <w:rFonts w:ascii="Verdana" w:hAnsi="Verdana"/>
          <w:sz w:val="20"/>
          <w:szCs w:val="32"/>
          <w:lang w:val="pt-BR"/>
        </w:rPr>
        <w:t xml:space="preserve">Estados </w:t>
      </w:r>
      <w:r w:rsidR="0089298C" w:rsidRPr="002F50BD">
        <w:rPr>
          <w:rFonts w:ascii="Verdana" w:hAnsi="Verdana"/>
          <w:sz w:val="20"/>
          <w:szCs w:val="32"/>
          <w:lang w:val="pt-BR"/>
        </w:rPr>
        <w:t>devem</w:t>
      </w:r>
      <w:r w:rsidR="004756C1" w:rsidRPr="002F50BD">
        <w:rPr>
          <w:rFonts w:ascii="Verdana" w:hAnsi="Verdana"/>
          <w:sz w:val="20"/>
          <w:szCs w:val="32"/>
          <w:lang w:val="pt-BR"/>
        </w:rPr>
        <w:t xml:space="preserve"> </w:t>
      </w:r>
      <w:r w:rsidR="0091562E" w:rsidRPr="002F50BD">
        <w:rPr>
          <w:rFonts w:ascii="Verdana" w:hAnsi="Verdana"/>
          <w:sz w:val="20"/>
          <w:szCs w:val="32"/>
          <w:lang w:val="pt-BR"/>
        </w:rPr>
        <w:t xml:space="preserve">levar </w:t>
      </w:r>
      <w:r w:rsidR="0089298C" w:rsidRPr="002F50BD">
        <w:rPr>
          <w:rFonts w:ascii="Verdana" w:hAnsi="Verdana"/>
          <w:sz w:val="20"/>
          <w:szCs w:val="32"/>
          <w:lang w:val="pt-BR"/>
        </w:rPr>
        <w:t xml:space="preserve">em </w:t>
      </w:r>
      <w:r w:rsidR="004756C1" w:rsidRPr="002F50BD">
        <w:rPr>
          <w:rFonts w:ascii="Verdana" w:hAnsi="Verdana"/>
          <w:sz w:val="20"/>
          <w:szCs w:val="32"/>
          <w:lang w:val="pt-BR"/>
        </w:rPr>
        <w:t>considera</w:t>
      </w:r>
      <w:r w:rsidR="0089298C" w:rsidRPr="002F50BD">
        <w:rPr>
          <w:rFonts w:ascii="Verdana" w:hAnsi="Verdana"/>
          <w:sz w:val="20"/>
          <w:szCs w:val="32"/>
          <w:lang w:val="pt-BR"/>
        </w:rPr>
        <w:t xml:space="preserve">ção as </w:t>
      </w:r>
      <w:r w:rsidR="004756C1" w:rsidRPr="002F50BD">
        <w:rPr>
          <w:rFonts w:ascii="Verdana" w:hAnsi="Verdana"/>
          <w:sz w:val="20"/>
          <w:szCs w:val="32"/>
          <w:lang w:val="pt-BR"/>
        </w:rPr>
        <w:t>características</w:t>
      </w:r>
      <w:r w:rsidR="00AB454A" w:rsidRPr="002F50BD">
        <w:rPr>
          <w:rFonts w:ascii="Verdana" w:hAnsi="Verdana"/>
          <w:sz w:val="20"/>
          <w:szCs w:val="32"/>
          <w:lang w:val="pt-BR"/>
        </w:rPr>
        <w:t xml:space="preserve"> própria</w:t>
      </w:r>
      <w:r w:rsidR="004756C1" w:rsidRPr="002F50BD">
        <w:rPr>
          <w:rFonts w:ascii="Verdana" w:hAnsi="Verdana"/>
          <w:sz w:val="20"/>
          <w:szCs w:val="32"/>
          <w:lang w:val="pt-BR"/>
        </w:rPr>
        <w:t>s que diferencia</w:t>
      </w:r>
      <w:r w:rsidR="0091562E" w:rsidRPr="002F50BD">
        <w:rPr>
          <w:rFonts w:ascii="Verdana" w:hAnsi="Verdana"/>
          <w:sz w:val="20"/>
          <w:szCs w:val="32"/>
          <w:lang w:val="pt-BR"/>
        </w:rPr>
        <w:t>m</w:t>
      </w:r>
      <w:r w:rsidR="0089298C" w:rsidRPr="002F50BD">
        <w:rPr>
          <w:rFonts w:ascii="Verdana" w:hAnsi="Verdana"/>
          <w:sz w:val="20"/>
          <w:szCs w:val="32"/>
          <w:lang w:val="pt-BR"/>
        </w:rPr>
        <w:t xml:space="preserve"> os membro</w:t>
      </w:r>
      <w:r w:rsidR="004756C1" w:rsidRPr="002F50BD">
        <w:rPr>
          <w:rFonts w:ascii="Verdana" w:hAnsi="Verdana"/>
          <w:sz w:val="20"/>
          <w:szCs w:val="32"/>
          <w:lang w:val="pt-BR"/>
        </w:rPr>
        <w:t>s</w:t>
      </w:r>
      <w:r w:rsidR="0089298C" w:rsidRPr="002F50BD">
        <w:rPr>
          <w:rFonts w:ascii="Verdana" w:hAnsi="Verdana"/>
          <w:sz w:val="20"/>
          <w:szCs w:val="32"/>
          <w:lang w:val="pt-BR"/>
        </w:rPr>
        <w:t xml:space="preserve"> dos povo</w:t>
      </w:r>
      <w:r w:rsidR="004756C1" w:rsidRPr="002F50BD">
        <w:rPr>
          <w:rFonts w:ascii="Verdana" w:hAnsi="Verdana"/>
          <w:sz w:val="20"/>
          <w:szCs w:val="32"/>
          <w:lang w:val="pt-BR"/>
        </w:rPr>
        <w:t>s indígenas</w:t>
      </w:r>
      <w:r w:rsidR="0089298C" w:rsidRPr="002F50BD">
        <w:rPr>
          <w:rFonts w:ascii="Verdana" w:hAnsi="Verdana"/>
          <w:sz w:val="20"/>
          <w:szCs w:val="32"/>
          <w:lang w:val="pt-BR"/>
        </w:rPr>
        <w:t xml:space="preserve"> da população em geral e </w:t>
      </w:r>
      <w:r w:rsidR="004756C1" w:rsidRPr="002F50BD">
        <w:rPr>
          <w:rFonts w:ascii="Verdana" w:hAnsi="Verdana"/>
          <w:sz w:val="20"/>
          <w:szCs w:val="32"/>
          <w:lang w:val="pt-BR"/>
        </w:rPr>
        <w:t>que con</w:t>
      </w:r>
      <w:r w:rsidR="0089298C" w:rsidRPr="002F50BD">
        <w:rPr>
          <w:rFonts w:ascii="Verdana" w:hAnsi="Verdana"/>
          <w:sz w:val="20"/>
          <w:szCs w:val="32"/>
          <w:lang w:val="pt-BR"/>
        </w:rPr>
        <w:t xml:space="preserve">formam sua identidade </w:t>
      </w:r>
      <w:r w:rsidR="004756C1" w:rsidRPr="002F50BD">
        <w:rPr>
          <w:rFonts w:ascii="Verdana" w:hAnsi="Verdana"/>
          <w:sz w:val="20"/>
          <w:szCs w:val="32"/>
          <w:lang w:val="pt-BR"/>
        </w:rPr>
        <w:t>cultural</w:t>
      </w:r>
      <w:r w:rsidR="00D95E71" w:rsidRPr="002F50BD">
        <w:rPr>
          <w:rFonts w:ascii="Verdana" w:hAnsi="Verdana"/>
          <w:sz w:val="20"/>
          <w:szCs w:val="32"/>
          <w:lang w:val="pt-BR"/>
        </w:rPr>
        <w:t xml:space="preserve">. O </w:t>
      </w:r>
      <w:r w:rsidR="0089298C" w:rsidRPr="002F50BD">
        <w:rPr>
          <w:rFonts w:ascii="Verdana" w:hAnsi="Verdana"/>
          <w:sz w:val="20"/>
          <w:szCs w:val="32"/>
          <w:lang w:val="pt-BR"/>
        </w:rPr>
        <w:t>mesm</w:t>
      </w:r>
      <w:r w:rsidR="004756C1" w:rsidRPr="002F50BD">
        <w:rPr>
          <w:rFonts w:ascii="Verdana" w:hAnsi="Verdana"/>
          <w:sz w:val="20"/>
          <w:szCs w:val="32"/>
          <w:lang w:val="pt-BR"/>
        </w:rPr>
        <w:t xml:space="preserve">o </w:t>
      </w:r>
      <w:r w:rsidR="0091562E" w:rsidRPr="002F50BD">
        <w:rPr>
          <w:rFonts w:ascii="Verdana" w:hAnsi="Verdana"/>
          <w:sz w:val="20"/>
          <w:szCs w:val="32"/>
          <w:lang w:val="pt-BR"/>
        </w:rPr>
        <w:t xml:space="preserve">raciocínio </w:t>
      </w:r>
      <w:r w:rsidR="0089298C" w:rsidRPr="002F50BD">
        <w:rPr>
          <w:rFonts w:ascii="Verdana" w:hAnsi="Verdana"/>
          <w:sz w:val="20"/>
          <w:szCs w:val="32"/>
          <w:lang w:val="pt-BR"/>
        </w:rPr>
        <w:t xml:space="preserve">deve </w:t>
      </w:r>
      <w:r w:rsidR="004756C1" w:rsidRPr="002F50BD">
        <w:rPr>
          <w:rFonts w:ascii="Verdana" w:hAnsi="Verdana"/>
          <w:sz w:val="20"/>
          <w:szCs w:val="32"/>
          <w:lang w:val="pt-BR"/>
        </w:rPr>
        <w:t>aplicar</w:t>
      </w:r>
      <w:r w:rsidR="0089298C" w:rsidRPr="002F50BD">
        <w:rPr>
          <w:rFonts w:ascii="Verdana" w:hAnsi="Verdana"/>
          <w:sz w:val="20"/>
          <w:szCs w:val="32"/>
          <w:lang w:val="pt-BR"/>
        </w:rPr>
        <w:t xml:space="preserve"> a </w:t>
      </w:r>
      <w:r w:rsidR="004756C1" w:rsidRPr="002F50BD">
        <w:rPr>
          <w:rFonts w:ascii="Verdana" w:hAnsi="Verdana"/>
          <w:sz w:val="20"/>
          <w:szCs w:val="32"/>
          <w:lang w:val="pt-BR"/>
        </w:rPr>
        <w:t>Corte, como</w:t>
      </w:r>
      <w:r w:rsidR="00B92AD6" w:rsidRPr="002F50BD">
        <w:rPr>
          <w:rFonts w:ascii="Verdana" w:hAnsi="Verdana"/>
          <w:sz w:val="20"/>
          <w:szCs w:val="32"/>
          <w:lang w:val="pt-BR"/>
        </w:rPr>
        <w:t xml:space="preserve">, com </w:t>
      </w:r>
      <w:r w:rsidR="0089298C" w:rsidRPr="002F50BD">
        <w:rPr>
          <w:rFonts w:ascii="Verdana" w:hAnsi="Verdana"/>
          <w:sz w:val="20"/>
          <w:szCs w:val="32"/>
          <w:lang w:val="pt-BR"/>
        </w:rPr>
        <w:t>efeito</w:t>
      </w:r>
      <w:r w:rsidR="00B92AD6" w:rsidRPr="002F50BD">
        <w:rPr>
          <w:rFonts w:ascii="Verdana" w:hAnsi="Verdana"/>
          <w:sz w:val="20"/>
          <w:szCs w:val="32"/>
          <w:lang w:val="pt-BR"/>
        </w:rPr>
        <w:t>,</w:t>
      </w:r>
      <w:r w:rsidR="0089298C" w:rsidRPr="002F50BD">
        <w:rPr>
          <w:rFonts w:ascii="Verdana" w:hAnsi="Verdana"/>
          <w:sz w:val="20"/>
          <w:szCs w:val="32"/>
          <w:lang w:val="pt-BR"/>
        </w:rPr>
        <w:t xml:space="preserve"> fará no </w:t>
      </w:r>
      <w:r w:rsidR="004756C1" w:rsidRPr="002F50BD">
        <w:rPr>
          <w:rFonts w:ascii="Verdana" w:hAnsi="Verdana"/>
          <w:sz w:val="20"/>
          <w:szCs w:val="32"/>
          <w:lang w:val="pt-BR"/>
        </w:rPr>
        <w:t xml:space="preserve">presente caso, para </w:t>
      </w:r>
      <w:r w:rsidR="006C4368" w:rsidRPr="002F50BD">
        <w:rPr>
          <w:rFonts w:ascii="Verdana" w:hAnsi="Verdana"/>
          <w:sz w:val="20"/>
          <w:szCs w:val="32"/>
          <w:lang w:val="pt-BR"/>
        </w:rPr>
        <w:t>aprecia</w:t>
      </w:r>
      <w:r w:rsidR="004756C1" w:rsidRPr="002F50BD">
        <w:rPr>
          <w:rFonts w:ascii="Verdana" w:hAnsi="Verdana"/>
          <w:sz w:val="20"/>
          <w:szCs w:val="32"/>
          <w:lang w:val="pt-BR"/>
        </w:rPr>
        <w:t>r</w:t>
      </w:r>
      <w:r w:rsidR="0089298C" w:rsidRPr="002F50BD">
        <w:rPr>
          <w:rFonts w:ascii="Verdana" w:hAnsi="Verdana"/>
          <w:sz w:val="20"/>
          <w:szCs w:val="32"/>
          <w:lang w:val="pt-BR"/>
        </w:rPr>
        <w:t xml:space="preserve"> o </w:t>
      </w:r>
      <w:r w:rsidR="004756C1" w:rsidRPr="002F50BD">
        <w:rPr>
          <w:rFonts w:ascii="Verdana" w:hAnsi="Verdana"/>
          <w:sz w:val="20"/>
          <w:szCs w:val="32"/>
          <w:lang w:val="pt-BR"/>
        </w:rPr>
        <w:t>alcance</w:t>
      </w:r>
      <w:r w:rsidR="0089298C" w:rsidRPr="002F50BD">
        <w:rPr>
          <w:rFonts w:ascii="Verdana" w:hAnsi="Verdana"/>
          <w:sz w:val="20"/>
          <w:szCs w:val="32"/>
          <w:lang w:val="pt-BR"/>
        </w:rPr>
        <w:t xml:space="preserve"> e o conteúdo dos artigo</w:t>
      </w:r>
      <w:r w:rsidR="004756C1" w:rsidRPr="002F50BD">
        <w:rPr>
          <w:rFonts w:ascii="Verdana" w:hAnsi="Verdana"/>
          <w:sz w:val="20"/>
          <w:szCs w:val="32"/>
          <w:lang w:val="pt-BR"/>
        </w:rPr>
        <w:t>s</w:t>
      </w:r>
      <w:r w:rsidR="0089298C" w:rsidRPr="002F50BD">
        <w:rPr>
          <w:rFonts w:ascii="Verdana" w:hAnsi="Verdana"/>
          <w:sz w:val="20"/>
          <w:szCs w:val="32"/>
          <w:lang w:val="pt-BR"/>
        </w:rPr>
        <w:t xml:space="preserve"> da </w:t>
      </w:r>
      <w:r w:rsidR="004756C1" w:rsidRPr="002F50BD">
        <w:rPr>
          <w:rFonts w:ascii="Verdana" w:hAnsi="Verdana"/>
          <w:sz w:val="20"/>
          <w:szCs w:val="32"/>
          <w:lang w:val="pt-BR"/>
        </w:rPr>
        <w:t>Conven</w:t>
      </w:r>
      <w:r w:rsidR="0089298C" w:rsidRPr="002F50BD">
        <w:rPr>
          <w:rFonts w:ascii="Verdana" w:hAnsi="Verdana"/>
          <w:sz w:val="20"/>
          <w:szCs w:val="32"/>
          <w:lang w:val="pt-BR"/>
        </w:rPr>
        <w:t>ção</w:t>
      </w:r>
      <w:r w:rsidR="004756C1" w:rsidRPr="002F50BD">
        <w:rPr>
          <w:rFonts w:ascii="Verdana" w:hAnsi="Verdana"/>
          <w:sz w:val="20"/>
          <w:szCs w:val="32"/>
          <w:lang w:val="pt-BR"/>
        </w:rPr>
        <w:t xml:space="preserve"> Americana, </w:t>
      </w:r>
      <w:r w:rsidR="0089298C" w:rsidRPr="002F50BD">
        <w:rPr>
          <w:rFonts w:ascii="Verdana" w:hAnsi="Verdana"/>
          <w:sz w:val="20"/>
          <w:szCs w:val="32"/>
          <w:lang w:val="pt-BR"/>
        </w:rPr>
        <w:t>cuja</w:t>
      </w:r>
      <w:r w:rsidR="004756C1" w:rsidRPr="002F50BD">
        <w:rPr>
          <w:rFonts w:ascii="Verdana" w:hAnsi="Verdana"/>
          <w:sz w:val="20"/>
          <w:szCs w:val="32"/>
          <w:lang w:val="pt-BR"/>
        </w:rPr>
        <w:t xml:space="preserve"> viola</w:t>
      </w:r>
      <w:r w:rsidR="0089298C" w:rsidRPr="002F50BD">
        <w:rPr>
          <w:rFonts w:ascii="Verdana" w:hAnsi="Verdana"/>
          <w:sz w:val="20"/>
          <w:szCs w:val="32"/>
          <w:lang w:val="pt-BR"/>
        </w:rPr>
        <w:t xml:space="preserve">ção a Comissão e os </w:t>
      </w:r>
      <w:r w:rsidR="008C29C9" w:rsidRPr="002F50BD">
        <w:rPr>
          <w:rFonts w:ascii="Verdana" w:hAnsi="Verdana"/>
          <w:sz w:val="20"/>
          <w:szCs w:val="32"/>
          <w:lang w:val="pt-BR"/>
        </w:rPr>
        <w:t>representante</w:t>
      </w:r>
      <w:r w:rsidR="004756C1" w:rsidRPr="002F50BD">
        <w:rPr>
          <w:rFonts w:ascii="Verdana" w:hAnsi="Verdana"/>
          <w:sz w:val="20"/>
          <w:szCs w:val="32"/>
          <w:lang w:val="pt-BR"/>
        </w:rPr>
        <w:t>s imputa</w:t>
      </w:r>
      <w:r w:rsidR="0091562E" w:rsidRPr="002F50BD">
        <w:rPr>
          <w:rFonts w:ascii="Verdana" w:hAnsi="Verdana"/>
          <w:sz w:val="20"/>
          <w:szCs w:val="32"/>
          <w:lang w:val="pt-BR"/>
        </w:rPr>
        <w:t>m</w:t>
      </w:r>
      <w:r w:rsidR="0089298C" w:rsidRPr="002F50BD">
        <w:rPr>
          <w:rFonts w:ascii="Verdana" w:hAnsi="Verdana"/>
          <w:sz w:val="20"/>
          <w:szCs w:val="32"/>
          <w:lang w:val="pt-BR"/>
        </w:rPr>
        <w:t xml:space="preserve"> ao </w:t>
      </w:r>
      <w:r w:rsidR="004756C1" w:rsidRPr="002F50BD">
        <w:rPr>
          <w:rFonts w:ascii="Verdana" w:hAnsi="Verdana"/>
          <w:sz w:val="20"/>
          <w:szCs w:val="32"/>
          <w:lang w:val="pt-BR"/>
        </w:rPr>
        <w:t>Estado.</w:t>
      </w:r>
    </w:p>
    <w:p w:rsidR="004756C1" w:rsidRPr="002F50BD" w:rsidRDefault="004756C1">
      <w:pPr>
        <w:jc w:val="center"/>
        <w:rPr>
          <w:rFonts w:ascii="Verdana" w:hAnsi="Verdana"/>
          <w:b/>
          <w:smallCaps/>
          <w:sz w:val="20"/>
          <w:lang w:val="pt-BR"/>
        </w:rPr>
      </w:pP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VIII</w:t>
      </w: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Viola</w:t>
      </w:r>
      <w:r w:rsidR="0089298C" w:rsidRPr="002F50BD">
        <w:rPr>
          <w:rFonts w:ascii="Verdana" w:hAnsi="Verdana"/>
          <w:b/>
          <w:smallCaps/>
          <w:sz w:val="20"/>
          <w:lang w:val="pt-BR"/>
        </w:rPr>
        <w:t>ção dos artigo</w:t>
      </w:r>
      <w:r w:rsidRPr="002F50BD">
        <w:rPr>
          <w:rFonts w:ascii="Verdana" w:hAnsi="Verdana"/>
          <w:b/>
          <w:smallCaps/>
          <w:sz w:val="20"/>
          <w:lang w:val="pt-BR"/>
        </w:rPr>
        <w:t xml:space="preserve">s </w:t>
      </w:r>
      <w:r w:rsidR="00063B47" w:rsidRPr="002F50BD">
        <w:rPr>
          <w:rFonts w:ascii="Verdana" w:hAnsi="Verdana"/>
          <w:b/>
          <w:smallCaps/>
          <w:sz w:val="20"/>
          <w:lang w:val="pt-BR"/>
        </w:rPr>
        <w:t>8</w:t>
      </w:r>
      <w:r w:rsidR="0089298C" w:rsidRPr="002F50BD">
        <w:rPr>
          <w:rFonts w:ascii="Verdana" w:hAnsi="Verdana"/>
          <w:b/>
          <w:smallCaps/>
          <w:sz w:val="20"/>
          <w:lang w:val="pt-BR"/>
        </w:rPr>
        <w:t xml:space="preserve"> e </w:t>
      </w:r>
      <w:r w:rsidR="00063B47" w:rsidRPr="002F50BD">
        <w:rPr>
          <w:rFonts w:ascii="Verdana" w:hAnsi="Verdana"/>
          <w:b/>
          <w:smallCaps/>
          <w:sz w:val="20"/>
          <w:lang w:val="pt-BR"/>
        </w:rPr>
        <w:t>25</w:t>
      </w:r>
      <w:r w:rsidR="0089298C" w:rsidRPr="002F50BD">
        <w:rPr>
          <w:rFonts w:ascii="Verdana" w:hAnsi="Verdana"/>
          <w:b/>
          <w:smallCaps/>
          <w:sz w:val="20"/>
          <w:lang w:val="pt-BR"/>
        </w:rPr>
        <w:t xml:space="preserve"> da </w:t>
      </w:r>
      <w:r w:rsidRPr="002F50BD">
        <w:rPr>
          <w:rFonts w:ascii="Verdana" w:hAnsi="Verdana"/>
          <w:b/>
          <w:smallCaps/>
          <w:sz w:val="20"/>
          <w:lang w:val="pt-BR"/>
        </w:rPr>
        <w:t>Conven</w:t>
      </w:r>
      <w:r w:rsidR="0089298C" w:rsidRPr="002F50BD">
        <w:rPr>
          <w:rFonts w:ascii="Verdana" w:hAnsi="Verdana"/>
          <w:b/>
          <w:smallCaps/>
          <w:sz w:val="20"/>
          <w:lang w:val="pt-BR"/>
        </w:rPr>
        <w:t>ção</w:t>
      </w:r>
      <w:r w:rsidRPr="002F50BD">
        <w:rPr>
          <w:rFonts w:ascii="Verdana" w:hAnsi="Verdana"/>
          <w:b/>
          <w:smallCaps/>
          <w:sz w:val="20"/>
          <w:lang w:val="pt-BR"/>
        </w:rPr>
        <w:t xml:space="preserve"> Americana</w:t>
      </w:r>
    </w:p>
    <w:p w:rsidR="004756C1" w:rsidRPr="002F50BD" w:rsidRDefault="00CF451D">
      <w:pPr>
        <w:jc w:val="center"/>
        <w:rPr>
          <w:rFonts w:ascii="Verdana" w:hAnsi="Verdana"/>
          <w:b/>
          <w:smallCaps/>
          <w:sz w:val="20"/>
          <w:lang w:val="pt-BR"/>
        </w:rPr>
      </w:pPr>
      <w:r w:rsidRPr="00CF451D">
        <w:rPr>
          <w:rFonts w:ascii="Verdana" w:hAnsi="Verdana"/>
          <w:b/>
          <w:smallCaps/>
          <w:sz w:val="20"/>
          <w:lang w:val="pt-BR"/>
        </w:rPr>
        <w:t>(</w:t>
      </w:r>
      <w:r w:rsidR="0089298C" w:rsidRPr="002F50BD">
        <w:rPr>
          <w:rFonts w:ascii="Verdana" w:hAnsi="Verdana"/>
          <w:b/>
          <w:smallCaps/>
          <w:sz w:val="20"/>
          <w:lang w:val="pt-BR"/>
        </w:rPr>
        <w:t>Garantias</w:t>
      </w:r>
      <w:r w:rsidR="004756C1" w:rsidRPr="002F50BD">
        <w:rPr>
          <w:rFonts w:ascii="Verdana" w:hAnsi="Verdana"/>
          <w:b/>
          <w:smallCaps/>
          <w:sz w:val="20"/>
          <w:lang w:val="pt-BR"/>
        </w:rPr>
        <w:t xml:space="preserve"> </w:t>
      </w:r>
      <w:r w:rsidR="0089298C" w:rsidRPr="002F50BD">
        <w:rPr>
          <w:rFonts w:ascii="Verdana" w:hAnsi="Verdana"/>
          <w:b/>
          <w:smallCaps/>
          <w:sz w:val="20"/>
          <w:lang w:val="pt-BR"/>
        </w:rPr>
        <w:t>Judiciais e Proteção</w:t>
      </w:r>
      <w:r w:rsidR="004756C1" w:rsidRPr="002F50BD">
        <w:rPr>
          <w:rFonts w:ascii="Verdana" w:hAnsi="Verdana"/>
          <w:b/>
          <w:smallCaps/>
          <w:sz w:val="20"/>
          <w:lang w:val="pt-BR"/>
        </w:rPr>
        <w:t xml:space="preserve"> Judicial</w:t>
      </w:r>
      <w:r w:rsidRPr="00CF451D">
        <w:rPr>
          <w:rFonts w:ascii="Verdana" w:hAnsi="Verdana"/>
          <w:b/>
          <w:smallCaps/>
          <w:sz w:val="20"/>
          <w:lang w:val="pt-BR"/>
        </w:rPr>
        <w:t>)</w:t>
      </w:r>
    </w:p>
    <w:p w:rsidR="004756C1" w:rsidRPr="002F50BD" w:rsidRDefault="0091562E">
      <w:pPr>
        <w:jc w:val="center"/>
        <w:rPr>
          <w:rFonts w:ascii="Verdana" w:hAnsi="Verdana"/>
          <w:b/>
          <w:smallCaps/>
          <w:sz w:val="20"/>
          <w:lang w:val="pt-BR"/>
        </w:rPr>
      </w:pPr>
      <w:r w:rsidRPr="002F50BD">
        <w:rPr>
          <w:rFonts w:ascii="Verdana" w:hAnsi="Verdana"/>
          <w:b/>
          <w:smallCaps/>
          <w:sz w:val="20"/>
          <w:lang w:val="pt-BR"/>
        </w:rPr>
        <w:t>em</w:t>
      </w:r>
      <w:r w:rsidR="004756C1" w:rsidRPr="002F50BD">
        <w:rPr>
          <w:rFonts w:ascii="Verdana" w:hAnsi="Verdana"/>
          <w:b/>
          <w:smallCaps/>
          <w:sz w:val="20"/>
          <w:lang w:val="pt-BR"/>
        </w:rPr>
        <w:t xml:space="preserve"> rela</w:t>
      </w:r>
      <w:r w:rsidR="006603BE" w:rsidRPr="002F50BD">
        <w:rPr>
          <w:rFonts w:ascii="Verdana" w:hAnsi="Verdana"/>
          <w:b/>
          <w:smallCaps/>
          <w:sz w:val="20"/>
          <w:lang w:val="pt-BR"/>
        </w:rPr>
        <w:t>ção a</w:t>
      </w:r>
      <w:r w:rsidR="0089298C" w:rsidRPr="002F50BD">
        <w:rPr>
          <w:rFonts w:ascii="Verdana" w:hAnsi="Verdana"/>
          <w:b/>
          <w:smallCaps/>
          <w:sz w:val="20"/>
          <w:lang w:val="pt-BR"/>
        </w:rPr>
        <w:t>os artigo</w:t>
      </w:r>
      <w:r w:rsidR="004756C1" w:rsidRPr="002F50BD">
        <w:rPr>
          <w:rFonts w:ascii="Verdana" w:hAnsi="Verdana"/>
          <w:b/>
          <w:smallCaps/>
          <w:sz w:val="20"/>
          <w:lang w:val="pt-BR"/>
        </w:rPr>
        <w:t xml:space="preserve">s </w:t>
      </w:r>
      <w:r w:rsidR="00063B47" w:rsidRPr="002F50BD">
        <w:rPr>
          <w:rFonts w:ascii="Verdana" w:hAnsi="Verdana"/>
          <w:b/>
          <w:smallCaps/>
          <w:sz w:val="20"/>
          <w:lang w:val="pt-BR"/>
        </w:rPr>
        <w:t>1</w:t>
      </w:r>
      <w:r w:rsidR="004756C1" w:rsidRPr="002F50BD">
        <w:rPr>
          <w:rFonts w:ascii="Verdana" w:hAnsi="Verdana"/>
          <w:b/>
          <w:smallCaps/>
          <w:sz w:val="20"/>
          <w:lang w:val="pt-BR"/>
        </w:rPr>
        <w:t>.</w:t>
      </w:r>
      <w:r w:rsidR="00063B47" w:rsidRPr="002F50BD">
        <w:rPr>
          <w:rFonts w:ascii="Verdana" w:hAnsi="Verdana"/>
          <w:b/>
          <w:smallCaps/>
          <w:sz w:val="20"/>
          <w:lang w:val="pt-BR"/>
        </w:rPr>
        <w:t>1</w:t>
      </w:r>
      <w:r w:rsidR="0089298C" w:rsidRPr="002F50BD">
        <w:rPr>
          <w:rFonts w:ascii="Verdana" w:hAnsi="Verdana"/>
          <w:b/>
          <w:smallCaps/>
          <w:sz w:val="20"/>
          <w:lang w:val="pt-BR"/>
        </w:rPr>
        <w:t xml:space="preserve"> e </w:t>
      </w:r>
      <w:r w:rsidR="00063B47" w:rsidRPr="002F50BD">
        <w:rPr>
          <w:rFonts w:ascii="Verdana" w:hAnsi="Verdana"/>
          <w:b/>
          <w:smallCaps/>
          <w:sz w:val="20"/>
          <w:lang w:val="pt-BR"/>
        </w:rPr>
        <w:t>2</w:t>
      </w:r>
      <w:r w:rsidR="0089298C" w:rsidRPr="002F50BD">
        <w:rPr>
          <w:rFonts w:ascii="Verdana" w:hAnsi="Verdana"/>
          <w:b/>
          <w:smallCaps/>
          <w:sz w:val="20"/>
          <w:lang w:val="pt-BR"/>
        </w:rPr>
        <w:t xml:space="preserve"> da mesm</w:t>
      </w:r>
      <w:r w:rsidR="004756C1" w:rsidRPr="002F50BD">
        <w:rPr>
          <w:rFonts w:ascii="Verdana" w:hAnsi="Verdana"/>
          <w:b/>
          <w:smallCaps/>
          <w:sz w:val="20"/>
          <w:lang w:val="pt-BR"/>
        </w:rPr>
        <w:t>a</w:t>
      </w:r>
    </w:p>
    <w:p w:rsidR="004756C1" w:rsidRPr="002F50BD" w:rsidRDefault="004756C1">
      <w:pPr>
        <w:jc w:val="both"/>
        <w:rPr>
          <w:rFonts w:ascii="Verdana" w:hAnsi="Verdana"/>
          <w:i/>
          <w:sz w:val="20"/>
          <w:lang w:val="pt-BR"/>
        </w:rPr>
      </w:pPr>
    </w:p>
    <w:p w:rsidR="004756C1" w:rsidRPr="002F50BD" w:rsidRDefault="0089298C">
      <w:pPr>
        <w:jc w:val="both"/>
        <w:rPr>
          <w:rFonts w:ascii="Verdana" w:hAnsi="Verdana"/>
          <w:i/>
          <w:sz w:val="20"/>
          <w:lang w:val="pt-BR"/>
        </w:rPr>
      </w:pPr>
      <w:r w:rsidRPr="002F50BD">
        <w:rPr>
          <w:rFonts w:ascii="Verdana" w:hAnsi="Verdana"/>
          <w:i/>
          <w:sz w:val="20"/>
          <w:lang w:val="pt-BR"/>
        </w:rPr>
        <w:t>Alegações da Comissão</w:t>
      </w:r>
    </w:p>
    <w:p w:rsidR="004756C1" w:rsidRPr="002F50BD" w:rsidRDefault="004756C1">
      <w:pPr>
        <w:jc w:val="both"/>
        <w:rPr>
          <w:rFonts w:ascii="Verdana" w:hAnsi="Verdana"/>
          <w:i/>
          <w:sz w:val="20"/>
          <w:lang w:val="pt-BR"/>
        </w:rPr>
      </w:pPr>
    </w:p>
    <w:p w:rsidR="004756C1" w:rsidRPr="002F50BD" w:rsidRDefault="0091562E">
      <w:pPr>
        <w:numPr>
          <w:ilvl w:val="0"/>
          <w:numId w:val="26"/>
        </w:numPr>
        <w:jc w:val="both"/>
        <w:rPr>
          <w:rFonts w:ascii="Verdana" w:hAnsi="Verdana"/>
          <w:sz w:val="20"/>
          <w:lang w:val="pt-BR"/>
        </w:rPr>
      </w:pPr>
      <w:r w:rsidRPr="002F50BD">
        <w:rPr>
          <w:rFonts w:ascii="Verdana" w:hAnsi="Verdana"/>
          <w:sz w:val="20"/>
          <w:lang w:val="pt-BR"/>
        </w:rPr>
        <w:t>Em</w:t>
      </w:r>
      <w:r w:rsidR="004756C1" w:rsidRPr="002F50BD">
        <w:rPr>
          <w:rFonts w:ascii="Verdana" w:hAnsi="Verdana"/>
          <w:sz w:val="20"/>
          <w:lang w:val="pt-BR"/>
        </w:rPr>
        <w:t xml:space="preserve"> rela</w:t>
      </w:r>
      <w:r w:rsidR="0089298C" w:rsidRPr="002F50BD">
        <w:rPr>
          <w:rFonts w:ascii="Verdana" w:hAnsi="Verdana"/>
          <w:sz w:val="20"/>
          <w:lang w:val="pt-BR"/>
        </w:rPr>
        <w:t xml:space="preserve">ção </w:t>
      </w:r>
      <w:r w:rsidRPr="002F50BD">
        <w:rPr>
          <w:rFonts w:ascii="Verdana" w:hAnsi="Verdana"/>
          <w:sz w:val="20"/>
          <w:lang w:val="pt-BR"/>
        </w:rPr>
        <w:t>a</w:t>
      </w:r>
      <w:r w:rsidR="0089298C" w:rsidRPr="002F50BD">
        <w:rPr>
          <w:rFonts w:ascii="Verdana" w:hAnsi="Verdana"/>
          <w:sz w:val="20"/>
          <w:lang w:val="pt-BR"/>
        </w:rPr>
        <w:t>os artigo</w:t>
      </w:r>
      <w:r w:rsidR="004756C1" w:rsidRPr="002F50BD">
        <w:rPr>
          <w:rFonts w:ascii="Verdana" w:hAnsi="Verdana"/>
          <w:sz w:val="20"/>
          <w:lang w:val="pt-BR"/>
        </w:rPr>
        <w:t xml:space="preserve">s </w:t>
      </w:r>
      <w:r w:rsidR="00063B47" w:rsidRPr="002F50BD">
        <w:rPr>
          <w:rFonts w:ascii="Verdana" w:hAnsi="Verdana"/>
          <w:sz w:val="20"/>
          <w:lang w:val="pt-BR"/>
        </w:rPr>
        <w:t>8</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91562E">
      <w:pPr>
        <w:numPr>
          <w:ilvl w:val="0"/>
          <w:numId w:val="7"/>
        </w:numPr>
        <w:tabs>
          <w:tab w:val="clear" w:pos="720"/>
          <w:tab w:val="left" w:pos="1080"/>
        </w:tabs>
        <w:ind w:left="720"/>
        <w:jc w:val="both"/>
        <w:rPr>
          <w:rFonts w:ascii="Verdana" w:hAnsi="Verdana"/>
          <w:sz w:val="20"/>
          <w:lang w:val="pt-BR"/>
        </w:rPr>
      </w:pPr>
      <w:r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luz</w:t>
      </w:r>
      <w:r w:rsidR="0089298C" w:rsidRPr="002F50BD">
        <w:rPr>
          <w:rFonts w:ascii="Verdana" w:hAnsi="Verdana"/>
          <w:sz w:val="20"/>
          <w:lang w:val="pt-BR"/>
        </w:rPr>
        <w:t xml:space="preserve"> dos artigo</w:t>
      </w:r>
      <w:r w:rsidR="004756C1" w:rsidRPr="002F50BD">
        <w:rPr>
          <w:rFonts w:ascii="Verdana" w:hAnsi="Verdana"/>
          <w:sz w:val="20"/>
          <w:lang w:val="pt-BR"/>
        </w:rPr>
        <w:t xml:space="preserve">s </w:t>
      </w:r>
      <w:r w:rsidR="00063B47" w:rsidRPr="002F50BD">
        <w:rPr>
          <w:rFonts w:ascii="Verdana" w:hAnsi="Verdana"/>
          <w:sz w:val="20"/>
          <w:lang w:val="pt-BR"/>
        </w:rPr>
        <w:t>25</w:t>
      </w:r>
      <w:r w:rsidR="0089298C" w:rsidRPr="002F50BD">
        <w:rPr>
          <w:rFonts w:ascii="Verdana" w:hAnsi="Verdana"/>
          <w:sz w:val="20"/>
          <w:lang w:val="pt-BR"/>
        </w:rPr>
        <w:t xml:space="preserve"> 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das </w:t>
      </w:r>
      <w:r w:rsidR="004756C1" w:rsidRPr="002F50BD">
        <w:rPr>
          <w:rFonts w:ascii="Verdana" w:hAnsi="Verdana"/>
          <w:sz w:val="20"/>
          <w:lang w:val="pt-BR"/>
        </w:rPr>
        <w:t>disposi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d</w:t>
      </w:r>
      <w:r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89298C" w:rsidRPr="002F50BD">
        <w:rPr>
          <w:rFonts w:ascii="Verdana" w:hAnsi="Verdana"/>
          <w:sz w:val="20"/>
          <w:lang w:val="pt-BR"/>
        </w:rPr>
        <w:t xml:space="preserve"> da </w:t>
      </w:r>
      <w:r w:rsidR="004756C1" w:rsidRPr="002F50BD">
        <w:rPr>
          <w:rFonts w:ascii="Verdana" w:hAnsi="Verdana" w:cs="Arial"/>
          <w:sz w:val="20"/>
          <w:szCs w:val="22"/>
          <w:lang w:val="pt-BR"/>
        </w:rPr>
        <w:t>OIT, ratificad</w:t>
      </w:r>
      <w:r w:rsidRPr="002F50BD">
        <w:rPr>
          <w:rFonts w:ascii="Verdana" w:hAnsi="Verdana" w:cs="Arial"/>
          <w:sz w:val="20"/>
          <w:szCs w:val="22"/>
          <w:lang w:val="pt-BR"/>
        </w:rPr>
        <w:t>a</w:t>
      </w:r>
      <w:r w:rsidR="0089298C" w:rsidRPr="002F50BD">
        <w:rPr>
          <w:rFonts w:ascii="Verdana" w:hAnsi="Verdana" w:cs="Arial"/>
          <w:sz w:val="20"/>
          <w:szCs w:val="22"/>
          <w:lang w:val="pt-BR"/>
        </w:rPr>
        <w:t xml:space="preserve"> pelo Paraguai </w:t>
      </w:r>
      <w:r w:rsidRPr="002F50BD">
        <w:rPr>
          <w:rFonts w:ascii="Verdana" w:hAnsi="Verdana" w:cs="Arial"/>
          <w:sz w:val="20"/>
          <w:szCs w:val="22"/>
          <w:lang w:val="pt-BR"/>
        </w:rPr>
        <w:t>em</w:t>
      </w:r>
      <w:r w:rsidR="0089298C" w:rsidRPr="002F50BD">
        <w:rPr>
          <w:rFonts w:ascii="Verdana" w:hAnsi="Verdana" w:cs="Arial"/>
          <w:sz w:val="20"/>
          <w:szCs w:val="22"/>
          <w:lang w:val="pt-BR"/>
        </w:rPr>
        <w:t xml:space="preserve"> </w:t>
      </w:r>
      <w:r w:rsidR="00063B47" w:rsidRPr="002F50BD">
        <w:rPr>
          <w:rFonts w:ascii="Verdana" w:hAnsi="Verdana" w:cs="Arial"/>
          <w:sz w:val="20"/>
          <w:szCs w:val="22"/>
          <w:lang w:val="pt-BR"/>
        </w:rPr>
        <w:t>10</w:t>
      </w:r>
      <w:r w:rsidR="004756C1" w:rsidRPr="002F50BD">
        <w:rPr>
          <w:rFonts w:ascii="Verdana" w:hAnsi="Verdana" w:cs="Arial"/>
          <w:sz w:val="20"/>
          <w:szCs w:val="22"/>
          <w:lang w:val="pt-BR"/>
        </w:rPr>
        <w:t xml:space="preserve"> de agosto de </w:t>
      </w:r>
      <w:r w:rsidR="00063B47" w:rsidRPr="002F50BD">
        <w:rPr>
          <w:rFonts w:ascii="Verdana" w:hAnsi="Verdana" w:cs="Arial"/>
          <w:sz w:val="20"/>
          <w:szCs w:val="22"/>
          <w:lang w:val="pt-BR"/>
        </w:rPr>
        <w:t>1993</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tem a obrigação</w:t>
      </w:r>
      <w:r w:rsidR="004756C1" w:rsidRPr="002F50BD">
        <w:rPr>
          <w:rFonts w:ascii="Verdana" w:hAnsi="Verdana"/>
          <w:sz w:val="20"/>
          <w:lang w:val="pt-BR"/>
        </w:rPr>
        <w:t xml:space="preserve"> de </w:t>
      </w:r>
      <w:r w:rsidR="007B4699" w:rsidRPr="002F50BD">
        <w:rPr>
          <w:rFonts w:ascii="Verdana" w:hAnsi="Verdana"/>
          <w:sz w:val="20"/>
          <w:lang w:val="pt-BR"/>
        </w:rPr>
        <w:t xml:space="preserve">assegurar </w:t>
      </w:r>
      <w:r w:rsidR="006603BE" w:rsidRPr="002F50BD">
        <w:rPr>
          <w:rFonts w:ascii="Verdana" w:hAnsi="Verdana"/>
          <w:sz w:val="20"/>
          <w:lang w:val="pt-BR"/>
        </w:rPr>
        <w:t>à</w:t>
      </w:r>
      <w:r w:rsidR="0089298C" w:rsidRPr="002F50BD">
        <w:rPr>
          <w:rFonts w:ascii="Verdana" w:hAnsi="Verdana"/>
          <w:sz w:val="20"/>
          <w:lang w:val="pt-BR"/>
        </w:rPr>
        <w:t xml:space="preserve"> Comunidade </w:t>
      </w:r>
      <w:r w:rsidR="004756C1" w:rsidRPr="002F50BD">
        <w:rPr>
          <w:rFonts w:ascii="Verdana" w:hAnsi="Verdana"/>
          <w:sz w:val="20"/>
          <w:lang w:val="pt-BR"/>
        </w:rPr>
        <w:t xml:space="preserve">indígena Yakye Axa </w:t>
      </w:r>
      <w:r w:rsidR="0089298C" w:rsidRPr="002F50BD">
        <w:rPr>
          <w:rFonts w:ascii="Verdana" w:hAnsi="Verdana"/>
          <w:sz w:val="20"/>
          <w:lang w:val="pt-BR"/>
        </w:rPr>
        <w:t xml:space="preserve">um </w:t>
      </w:r>
      <w:r w:rsidR="004756C1" w:rsidRPr="002F50BD">
        <w:rPr>
          <w:rFonts w:ascii="Verdana" w:hAnsi="Verdana"/>
          <w:sz w:val="20"/>
          <w:lang w:val="pt-BR"/>
        </w:rPr>
        <w:t xml:space="preserve">recurso </w:t>
      </w:r>
      <w:r w:rsidR="0089298C" w:rsidRPr="002F50BD">
        <w:rPr>
          <w:rFonts w:ascii="Verdana" w:hAnsi="Verdana"/>
          <w:sz w:val="20"/>
          <w:lang w:val="pt-BR"/>
        </w:rPr>
        <w:t>efetiv</w:t>
      </w:r>
      <w:r w:rsidR="004756C1" w:rsidRPr="002F50BD">
        <w:rPr>
          <w:rFonts w:ascii="Verdana" w:hAnsi="Verdana"/>
          <w:sz w:val="20"/>
          <w:lang w:val="pt-BR"/>
        </w:rPr>
        <w:t>o para solucionar su</w:t>
      </w:r>
      <w:r w:rsidRPr="002F50BD">
        <w:rPr>
          <w:rFonts w:ascii="Verdana" w:hAnsi="Verdana"/>
          <w:sz w:val="20"/>
          <w:lang w:val="pt-BR"/>
        </w:rPr>
        <w:t>a</w:t>
      </w:r>
      <w:r w:rsidR="004756C1" w:rsidRPr="002F50BD">
        <w:rPr>
          <w:rFonts w:ascii="Verdana" w:hAnsi="Verdana"/>
          <w:sz w:val="20"/>
          <w:lang w:val="pt-BR"/>
        </w:rPr>
        <w:t xml:space="preserve"> reclama</w:t>
      </w:r>
      <w:r w:rsidR="0089298C" w:rsidRPr="002F50BD">
        <w:rPr>
          <w:rFonts w:ascii="Verdana" w:hAnsi="Verdana"/>
          <w:sz w:val="20"/>
          <w:lang w:val="pt-BR"/>
        </w:rPr>
        <w:t>ção</w:t>
      </w:r>
      <w:r w:rsidR="004756C1" w:rsidRPr="002F50BD">
        <w:rPr>
          <w:rFonts w:ascii="Verdana" w:hAnsi="Verdana"/>
          <w:sz w:val="20"/>
          <w:lang w:val="pt-BR"/>
        </w:rPr>
        <w:t xml:space="preserve"> territorial, </w:t>
      </w:r>
      <w:r w:rsidR="0089298C" w:rsidRPr="002F50BD">
        <w:rPr>
          <w:rFonts w:ascii="Verdana" w:hAnsi="Verdana"/>
          <w:sz w:val="20"/>
          <w:lang w:val="pt-BR"/>
        </w:rPr>
        <w:t>garantir</w:t>
      </w:r>
      <w:r w:rsidR="004756C1" w:rsidRPr="002F50BD">
        <w:rPr>
          <w:rFonts w:ascii="Verdana" w:hAnsi="Verdana"/>
          <w:sz w:val="20"/>
          <w:lang w:val="pt-BR"/>
        </w:rPr>
        <w:t xml:space="preserve"> que</w:t>
      </w:r>
      <w:r w:rsidR="0089298C" w:rsidRPr="002F50BD">
        <w:rPr>
          <w:rFonts w:ascii="Verdana" w:hAnsi="Verdana"/>
          <w:sz w:val="20"/>
          <w:lang w:val="pt-BR"/>
        </w:rPr>
        <w:t xml:space="preserve"> a Comunidade seja ouvida com as devidas</w:t>
      </w:r>
      <w:r w:rsidR="004756C1" w:rsidRPr="002F50BD">
        <w:rPr>
          <w:rFonts w:ascii="Verdana" w:hAnsi="Verdana"/>
          <w:sz w:val="20"/>
          <w:lang w:val="pt-BR"/>
        </w:rPr>
        <w:t xml:space="preserve"> </w:t>
      </w:r>
      <w:r w:rsidR="0089298C" w:rsidRPr="002F50BD">
        <w:rPr>
          <w:rFonts w:ascii="Verdana" w:hAnsi="Verdana"/>
          <w:sz w:val="20"/>
          <w:lang w:val="pt-BR"/>
        </w:rPr>
        <w:t xml:space="preserve">garantias e </w:t>
      </w:r>
      <w:r w:rsidR="004756C1" w:rsidRPr="002F50BD">
        <w:rPr>
          <w:rFonts w:ascii="Verdana" w:hAnsi="Verdana"/>
          <w:sz w:val="20"/>
          <w:lang w:val="pt-BR"/>
        </w:rPr>
        <w:t>determinar</w:t>
      </w:r>
      <w:r w:rsidR="0089298C" w:rsidRPr="002F50BD">
        <w:rPr>
          <w:rFonts w:ascii="Verdana" w:hAnsi="Verdana"/>
          <w:sz w:val="20"/>
          <w:lang w:val="pt-BR"/>
        </w:rPr>
        <w:t xml:space="preserve"> um prazo</w:t>
      </w:r>
      <w:r w:rsidR="004756C1" w:rsidRPr="002F50BD">
        <w:rPr>
          <w:rFonts w:ascii="Verdana" w:hAnsi="Verdana"/>
          <w:sz w:val="20"/>
          <w:lang w:val="pt-BR"/>
        </w:rPr>
        <w:t xml:space="preserve"> </w:t>
      </w:r>
      <w:r w:rsidR="0089298C" w:rsidRPr="002F50BD">
        <w:rPr>
          <w:rFonts w:ascii="Verdana" w:hAnsi="Verdana"/>
          <w:sz w:val="20"/>
          <w:lang w:val="pt-BR"/>
        </w:rPr>
        <w:t xml:space="preserve">razoável </w:t>
      </w:r>
      <w:r w:rsidR="004756C1" w:rsidRPr="002F50BD">
        <w:rPr>
          <w:rFonts w:ascii="Verdana" w:hAnsi="Verdana"/>
          <w:sz w:val="20"/>
          <w:lang w:val="pt-BR"/>
        </w:rPr>
        <w:t xml:space="preserve">para </w:t>
      </w:r>
      <w:r w:rsidR="0089298C" w:rsidRPr="002F50BD">
        <w:rPr>
          <w:rFonts w:ascii="Verdana" w:hAnsi="Verdana"/>
          <w:sz w:val="20"/>
          <w:lang w:val="pt-BR"/>
        </w:rPr>
        <w:t>garantir os direito</w:t>
      </w:r>
      <w:r w:rsidR="004756C1" w:rsidRPr="002F50BD">
        <w:rPr>
          <w:rFonts w:ascii="Verdana" w:hAnsi="Verdana"/>
          <w:sz w:val="20"/>
          <w:lang w:val="pt-BR"/>
        </w:rPr>
        <w:t>s</w:t>
      </w:r>
      <w:r w:rsidR="0089298C" w:rsidRPr="002F50BD">
        <w:rPr>
          <w:rFonts w:ascii="Verdana" w:hAnsi="Verdana"/>
          <w:sz w:val="20"/>
          <w:lang w:val="pt-BR"/>
        </w:rPr>
        <w:t xml:space="preserve"> e obrigações</w:t>
      </w:r>
      <w:r w:rsidR="004756C1" w:rsidRPr="002F50BD">
        <w:rPr>
          <w:rFonts w:ascii="Verdana" w:hAnsi="Verdana"/>
          <w:sz w:val="20"/>
          <w:lang w:val="pt-BR"/>
        </w:rPr>
        <w:t xml:space="preserve"> </w:t>
      </w:r>
      <w:r w:rsidR="0089298C" w:rsidRPr="002F50BD">
        <w:rPr>
          <w:rFonts w:ascii="Verdana" w:hAnsi="Verdana"/>
          <w:sz w:val="20"/>
          <w:lang w:val="pt-BR"/>
        </w:rPr>
        <w:t>submetido</w:t>
      </w:r>
      <w:r w:rsidR="004756C1" w:rsidRPr="002F50BD">
        <w:rPr>
          <w:rFonts w:ascii="Verdana" w:hAnsi="Verdana"/>
          <w:sz w:val="20"/>
          <w:lang w:val="pt-BR"/>
        </w:rPr>
        <w:t xml:space="preserve">s </w:t>
      </w:r>
      <w:r w:rsidRPr="002F50BD">
        <w:rPr>
          <w:rFonts w:ascii="Verdana" w:hAnsi="Verdana"/>
          <w:sz w:val="20"/>
          <w:lang w:val="pt-BR"/>
        </w:rPr>
        <w:t>à</w:t>
      </w:r>
      <w:r w:rsidR="004756C1" w:rsidRPr="002F50BD">
        <w:rPr>
          <w:rFonts w:ascii="Verdana" w:hAnsi="Verdana"/>
          <w:sz w:val="20"/>
          <w:lang w:val="pt-BR"/>
        </w:rPr>
        <w:t xml:space="preserve"> </w:t>
      </w:r>
      <w:r w:rsidR="0089298C" w:rsidRPr="002F50BD">
        <w:rPr>
          <w:rFonts w:ascii="Verdana" w:hAnsi="Verdana"/>
          <w:sz w:val="20"/>
          <w:lang w:val="pt-BR"/>
        </w:rPr>
        <w:t>sua jurisdição</w:t>
      </w:r>
      <w:r w:rsidR="004756C1" w:rsidRPr="002F50BD">
        <w:rPr>
          <w:rFonts w:ascii="Verdana" w:hAnsi="Verdana"/>
          <w:sz w:val="20"/>
          <w:lang w:val="pt-BR"/>
        </w:rPr>
        <w:t>;</w:t>
      </w:r>
    </w:p>
    <w:p w:rsidR="0091562E" w:rsidRPr="002F50BD" w:rsidRDefault="0091562E" w:rsidP="0091562E">
      <w:pPr>
        <w:tabs>
          <w:tab w:val="left" w:pos="1080"/>
        </w:tabs>
        <w:ind w:left="720"/>
        <w:jc w:val="both"/>
        <w:rPr>
          <w:rFonts w:ascii="Verdana" w:hAnsi="Verdana"/>
          <w:sz w:val="20"/>
          <w:lang w:val="pt-BR"/>
        </w:rPr>
      </w:pPr>
    </w:p>
    <w:p w:rsidR="004756C1" w:rsidRPr="002F50BD" w:rsidRDefault="0089298C">
      <w:pPr>
        <w:numPr>
          <w:ilvl w:val="0"/>
          <w:numId w:val="7"/>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in</w:t>
      </w:r>
      <w:r w:rsidRPr="002F50BD">
        <w:rPr>
          <w:rFonts w:ascii="Verdana" w:hAnsi="Verdana"/>
          <w:sz w:val="20"/>
          <w:lang w:val="pt-BR"/>
        </w:rPr>
        <w:t>existência</w:t>
      </w:r>
      <w:r w:rsidR="004756C1" w:rsidRPr="002F50BD">
        <w:rPr>
          <w:rFonts w:ascii="Verdana" w:hAnsi="Verdana"/>
          <w:sz w:val="20"/>
          <w:lang w:val="pt-BR"/>
        </w:rPr>
        <w:t xml:space="preserve"> de</w:t>
      </w:r>
      <w:r w:rsidRPr="002F50BD">
        <w:rPr>
          <w:rFonts w:ascii="Verdana" w:hAnsi="Verdana"/>
          <w:sz w:val="20"/>
          <w:lang w:val="pt-BR"/>
        </w:rPr>
        <w:t xml:space="preserve"> um </w:t>
      </w:r>
      <w:r w:rsidR="004756C1" w:rsidRPr="002F50BD">
        <w:rPr>
          <w:rFonts w:ascii="Verdana" w:hAnsi="Verdana"/>
          <w:sz w:val="20"/>
          <w:lang w:val="pt-BR"/>
        </w:rPr>
        <w:t xml:space="preserve">recurso </w:t>
      </w:r>
      <w:r w:rsidRPr="002F50BD">
        <w:rPr>
          <w:rFonts w:ascii="Verdana" w:hAnsi="Verdana"/>
          <w:sz w:val="20"/>
          <w:lang w:val="pt-BR"/>
        </w:rPr>
        <w:t>efetiv</w:t>
      </w:r>
      <w:r w:rsidR="004756C1" w:rsidRPr="002F50BD">
        <w:rPr>
          <w:rFonts w:ascii="Verdana" w:hAnsi="Verdana"/>
          <w:sz w:val="20"/>
          <w:lang w:val="pt-BR"/>
        </w:rPr>
        <w:t>o contra</w:t>
      </w:r>
      <w:r w:rsidRPr="002F50BD">
        <w:rPr>
          <w:rFonts w:ascii="Verdana" w:hAnsi="Verdana"/>
          <w:sz w:val="20"/>
          <w:lang w:val="pt-BR"/>
        </w:rPr>
        <w:t xml:space="preserve"> as </w:t>
      </w:r>
      <w:r w:rsidR="004756C1" w:rsidRPr="002F50BD">
        <w:rPr>
          <w:rFonts w:ascii="Verdana" w:hAnsi="Verdana"/>
          <w:sz w:val="20"/>
          <w:lang w:val="pt-BR"/>
        </w:rPr>
        <w:t>viola</w:t>
      </w:r>
      <w:r w:rsidRPr="002F50BD">
        <w:rPr>
          <w:rFonts w:ascii="Verdana" w:hAnsi="Verdana"/>
          <w:sz w:val="20"/>
          <w:lang w:val="pt-BR"/>
        </w:rPr>
        <w:t>ções aos direito</w:t>
      </w:r>
      <w:r w:rsidR="004756C1" w:rsidRPr="002F50BD">
        <w:rPr>
          <w:rFonts w:ascii="Verdana" w:hAnsi="Verdana"/>
          <w:sz w:val="20"/>
          <w:lang w:val="pt-BR"/>
        </w:rPr>
        <w:t xml:space="preserve">s </w:t>
      </w:r>
      <w:r w:rsidRPr="002F50BD">
        <w:rPr>
          <w:rFonts w:ascii="Verdana" w:hAnsi="Verdana"/>
          <w:sz w:val="20"/>
          <w:lang w:val="pt-BR"/>
        </w:rPr>
        <w:t>fundamentais</w:t>
      </w:r>
      <w:r w:rsidR="004756C1" w:rsidRPr="002F50BD">
        <w:rPr>
          <w:rFonts w:ascii="Verdana" w:hAnsi="Verdana"/>
          <w:sz w:val="20"/>
          <w:lang w:val="pt-BR"/>
        </w:rPr>
        <w:t xml:space="preserve"> re</w:t>
      </w:r>
      <w:r w:rsidRPr="002F50BD">
        <w:rPr>
          <w:rFonts w:ascii="Verdana" w:hAnsi="Verdana"/>
          <w:sz w:val="20"/>
          <w:lang w:val="pt-BR"/>
        </w:rPr>
        <w:t>conhecido</w:t>
      </w:r>
      <w:r w:rsidR="004756C1" w:rsidRPr="002F50BD">
        <w:rPr>
          <w:rFonts w:ascii="Verdana" w:hAnsi="Verdana"/>
          <w:sz w:val="20"/>
          <w:lang w:val="pt-BR"/>
        </w:rPr>
        <w:t>s</w:t>
      </w:r>
      <w:r w:rsidRPr="002F50BD">
        <w:rPr>
          <w:rFonts w:ascii="Verdana" w:hAnsi="Verdana"/>
          <w:sz w:val="20"/>
          <w:lang w:val="pt-BR"/>
        </w:rPr>
        <w:t xml:space="preserve"> pela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constitui em si mesm</w:t>
      </w:r>
      <w:r w:rsidR="004756C1" w:rsidRPr="002F50BD">
        <w:rPr>
          <w:rFonts w:ascii="Verdana" w:hAnsi="Verdana"/>
          <w:sz w:val="20"/>
          <w:lang w:val="pt-BR"/>
        </w:rPr>
        <w:t>a</w:t>
      </w:r>
      <w:r w:rsidRPr="002F50BD">
        <w:rPr>
          <w:rFonts w:ascii="Verdana" w:hAnsi="Verdana"/>
          <w:sz w:val="20"/>
          <w:lang w:val="pt-BR"/>
        </w:rPr>
        <w:t xml:space="preserve"> uma </w:t>
      </w:r>
      <w:r w:rsidR="004756C1" w:rsidRPr="002F50BD">
        <w:rPr>
          <w:rFonts w:ascii="Verdana" w:hAnsi="Verdana"/>
          <w:sz w:val="20"/>
          <w:lang w:val="pt-BR"/>
        </w:rPr>
        <w:t>tra</w:t>
      </w:r>
      <w:r w:rsidR="0091562E" w:rsidRPr="002F50BD">
        <w:rPr>
          <w:rFonts w:ascii="Verdana" w:hAnsi="Verdana"/>
          <w:sz w:val="20"/>
          <w:lang w:val="pt-BR"/>
        </w:rPr>
        <w:t>n</w:t>
      </w:r>
      <w:r w:rsidR="004756C1" w:rsidRPr="002F50BD">
        <w:rPr>
          <w:rFonts w:ascii="Verdana" w:hAnsi="Verdana"/>
          <w:sz w:val="20"/>
          <w:lang w:val="pt-BR"/>
        </w:rPr>
        <w:t>sgres</w:t>
      </w:r>
      <w:r w:rsidR="0091562E" w:rsidRPr="002F50BD">
        <w:rPr>
          <w:rFonts w:ascii="Verdana" w:hAnsi="Verdana"/>
          <w:sz w:val="20"/>
          <w:lang w:val="pt-BR"/>
        </w:rPr>
        <w:t xml:space="preserve">são </w:t>
      </w:r>
      <w:r w:rsidRPr="002F50BD">
        <w:rPr>
          <w:rFonts w:ascii="Verdana" w:hAnsi="Verdana"/>
          <w:sz w:val="20"/>
          <w:lang w:val="pt-BR"/>
        </w:rPr>
        <w:t xml:space="preserve">deste </w:t>
      </w:r>
      <w:r w:rsidR="004756C1" w:rsidRPr="002F50BD">
        <w:rPr>
          <w:rFonts w:ascii="Verdana" w:hAnsi="Verdana"/>
          <w:sz w:val="20"/>
          <w:lang w:val="pt-BR"/>
        </w:rPr>
        <w:t xml:space="preserve">instrumento por parte </w:t>
      </w:r>
      <w:r w:rsidRPr="002F50BD">
        <w:rPr>
          <w:rFonts w:ascii="Verdana" w:hAnsi="Verdana"/>
          <w:sz w:val="20"/>
          <w:lang w:val="pt-BR"/>
        </w:rPr>
        <w:t xml:space="preserve">do </w:t>
      </w:r>
      <w:r w:rsidR="004756C1" w:rsidRPr="002F50BD">
        <w:rPr>
          <w:rFonts w:ascii="Verdana" w:hAnsi="Verdana"/>
          <w:sz w:val="20"/>
          <w:lang w:val="pt-BR"/>
        </w:rPr>
        <w:t>Estado Parte</w:t>
      </w:r>
      <w:r w:rsidRPr="002F50BD">
        <w:rPr>
          <w:rFonts w:ascii="Verdana" w:hAnsi="Verdana"/>
          <w:sz w:val="20"/>
          <w:lang w:val="pt-BR"/>
        </w:rPr>
        <w:t xml:space="preserve"> no qual </w:t>
      </w:r>
      <w:r w:rsidR="004756C1" w:rsidRPr="002F50BD">
        <w:rPr>
          <w:rFonts w:ascii="Verdana" w:hAnsi="Verdana"/>
          <w:sz w:val="20"/>
          <w:lang w:val="pt-BR"/>
        </w:rPr>
        <w:t>seme</w:t>
      </w:r>
      <w:r w:rsidR="0091562E" w:rsidRPr="002F50BD">
        <w:rPr>
          <w:rFonts w:ascii="Verdana" w:hAnsi="Verdana"/>
          <w:sz w:val="20"/>
          <w:lang w:val="pt-BR"/>
        </w:rPr>
        <w:t>lh</w:t>
      </w:r>
      <w:r w:rsidR="004756C1" w:rsidRPr="002F50BD">
        <w:rPr>
          <w:rFonts w:ascii="Verdana" w:hAnsi="Verdana"/>
          <w:sz w:val="20"/>
          <w:lang w:val="pt-BR"/>
        </w:rPr>
        <w:t>ante situa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tenha</w:t>
      </w:r>
      <w:r w:rsidR="004756C1" w:rsidRPr="002F50BD">
        <w:rPr>
          <w:rFonts w:ascii="Verdana" w:hAnsi="Verdana"/>
          <w:sz w:val="20"/>
          <w:lang w:val="pt-BR"/>
        </w:rPr>
        <w:t xml:space="preserve"> lugar; </w:t>
      </w:r>
    </w:p>
    <w:p w:rsidR="004756C1" w:rsidRPr="002F50BD" w:rsidRDefault="004756C1">
      <w:pPr>
        <w:tabs>
          <w:tab w:val="num" w:pos="720"/>
          <w:tab w:val="left" w:pos="1080"/>
        </w:tabs>
        <w:ind w:left="720"/>
        <w:jc w:val="both"/>
        <w:rPr>
          <w:rFonts w:ascii="Verdana" w:hAnsi="Verdana"/>
          <w:sz w:val="20"/>
          <w:lang w:val="pt-BR"/>
        </w:rPr>
      </w:pPr>
    </w:p>
    <w:p w:rsidR="004756C1" w:rsidRPr="002F50BD" w:rsidRDefault="0089298C">
      <w:pPr>
        <w:numPr>
          <w:ilvl w:val="0"/>
          <w:numId w:val="7"/>
        </w:numPr>
        <w:tabs>
          <w:tab w:val="left" w:pos="1080"/>
        </w:tabs>
        <w:ind w:left="720"/>
        <w:jc w:val="both"/>
        <w:rPr>
          <w:rFonts w:ascii="Verdana" w:hAnsi="Verdana" w:cs="Arial"/>
          <w:sz w:val="20"/>
          <w:szCs w:val="22"/>
          <w:lang w:val="pt-BR"/>
        </w:rPr>
      </w:pPr>
      <w:r w:rsidRPr="002F50BD">
        <w:rPr>
          <w:rFonts w:ascii="Verdana" w:hAnsi="Verdana"/>
          <w:sz w:val="20"/>
          <w:lang w:val="pt-BR"/>
        </w:rPr>
        <w:t xml:space="preserve">No ano </w:t>
      </w:r>
      <w:r w:rsidR="0091562E" w:rsidRPr="002F50BD">
        <w:rPr>
          <w:rFonts w:ascii="Verdana" w:hAnsi="Verdana"/>
          <w:sz w:val="20"/>
          <w:lang w:val="pt-BR"/>
        </w:rPr>
        <w:t xml:space="preserve">de </w:t>
      </w:r>
      <w:r w:rsidR="00063B47" w:rsidRPr="002F50BD">
        <w:rPr>
          <w:rFonts w:ascii="Verdana" w:hAnsi="Verdana"/>
          <w:sz w:val="20"/>
          <w:lang w:val="pt-BR"/>
        </w:rPr>
        <w:t>1993</w:t>
      </w:r>
      <w:r w:rsidR="007B4699" w:rsidRPr="002F50BD">
        <w:rPr>
          <w:rFonts w:ascii="Verdana" w:hAnsi="Verdana"/>
          <w:sz w:val="20"/>
          <w:lang w:val="pt-BR"/>
        </w:rPr>
        <w:t>,</w:t>
      </w:r>
      <w:r w:rsidRPr="002F50BD">
        <w:rPr>
          <w:rFonts w:ascii="Verdana" w:hAnsi="Verdana"/>
          <w:sz w:val="20"/>
          <w:lang w:val="pt-BR"/>
        </w:rPr>
        <w:t xml:space="preserve"> a Comunidade </w:t>
      </w:r>
      <w:r w:rsidR="004756C1" w:rsidRPr="002F50BD">
        <w:rPr>
          <w:rFonts w:ascii="Verdana" w:hAnsi="Verdana"/>
          <w:sz w:val="20"/>
          <w:lang w:val="pt-BR"/>
        </w:rPr>
        <w:t xml:space="preserve">indígena Yakye Axa </w:t>
      </w:r>
      <w:r w:rsidRPr="002F50BD">
        <w:rPr>
          <w:rFonts w:ascii="Verdana" w:hAnsi="Verdana"/>
          <w:sz w:val="20"/>
          <w:lang w:val="pt-BR"/>
        </w:rPr>
        <w:t>iniciou os trâmite</w:t>
      </w:r>
      <w:r w:rsidR="004756C1" w:rsidRPr="002F50BD">
        <w:rPr>
          <w:rFonts w:ascii="Verdana" w:hAnsi="Verdana"/>
          <w:sz w:val="20"/>
          <w:lang w:val="pt-BR"/>
        </w:rPr>
        <w:t xml:space="preserve">s para </w:t>
      </w:r>
      <w:r w:rsidRPr="002F50BD">
        <w:rPr>
          <w:rFonts w:ascii="Verdana" w:hAnsi="Verdana"/>
          <w:sz w:val="20"/>
          <w:lang w:val="pt-BR"/>
        </w:rPr>
        <w:t xml:space="preserve">obter a </w:t>
      </w:r>
      <w:r w:rsidR="004756C1" w:rsidRPr="002F50BD">
        <w:rPr>
          <w:rFonts w:ascii="Verdana" w:hAnsi="Verdana"/>
          <w:sz w:val="20"/>
          <w:lang w:val="pt-BR"/>
        </w:rPr>
        <w:t>reivindica</w:t>
      </w:r>
      <w:r w:rsidRPr="002F50BD">
        <w:rPr>
          <w:rFonts w:ascii="Verdana" w:hAnsi="Verdana"/>
          <w:sz w:val="20"/>
          <w:lang w:val="pt-BR"/>
        </w:rPr>
        <w:t>ção</w:t>
      </w:r>
      <w:r w:rsidR="004756C1" w:rsidRPr="002F50BD">
        <w:rPr>
          <w:rFonts w:ascii="Verdana" w:hAnsi="Verdana"/>
          <w:sz w:val="20"/>
          <w:lang w:val="pt-BR"/>
        </w:rPr>
        <w:t xml:space="preserve"> de </w:t>
      </w:r>
      <w:r w:rsidR="00AB454A" w:rsidRPr="002F50BD">
        <w:rPr>
          <w:rFonts w:ascii="Verdana" w:hAnsi="Verdana"/>
          <w:sz w:val="20"/>
          <w:lang w:val="pt-BR"/>
        </w:rPr>
        <w:t>seu território</w:t>
      </w:r>
      <w:r w:rsidR="004756C1" w:rsidRPr="002F50BD">
        <w:rPr>
          <w:rFonts w:ascii="Verdana" w:hAnsi="Verdana"/>
          <w:sz w:val="20"/>
          <w:lang w:val="pt-BR"/>
        </w:rPr>
        <w:t xml:space="preserve"> ancestral,</w:t>
      </w:r>
      <w:r w:rsidRPr="002F50BD">
        <w:rPr>
          <w:rFonts w:ascii="Verdana" w:hAnsi="Verdana"/>
          <w:sz w:val="20"/>
          <w:lang w:val="pt-BR"/>
        </w:rPr>
        <w:t xml:space="preserve"> sem </w:t>
      </w:r>
      <w:r w:rsidR="004756C1" w:rsidRPr="002F50BD">
        <w:rPr>
          <w:rFonts w:ascii="Verdana" w:hAnsi="Verdana"/>
          <w:sz w:val="20"/>
          <w:lang w:val="pt-BR"/>
        </w:rPr>
        <w:t xml:space="preserve">que </w:t>
      </w:r>
      <w:r w:rsidRPr="002F50BD">
        <w:rPr>
          <w:rFonts w:ascii="Verdana" w:hAnsi="Verdana"/>
          <w:sz w:val="20"/>
          <w:lang w:val="pt-BR"/>
        </w:rPr>
        <w:t xml:space="preserve">até a </w:t>
      </w:r>
      <w:r w:rsidR="0091562E" w:rsidRPr="002F50BD">
        <w:rPr>
          <w:rFonts w:ascii="Verdana" w:hAnsi="Verdana"/>
          <w:sz w:val="20"/>
          <w:lang w:val="pt-BR"/>
        </w:rPr>
        <w:t xml:space="preserve">presente </w:t>
      </w:r>
      <w:r w:rsidRPr="002F50BD">
        <w:rPr>
          <w:rFonts w:ascii="Verdana" w:hAnsi="Verdana"/>
          <w:sz w:val="20"/>
          <w:lang w:val="pt-BR"/>
        </w:rPr>
        <w:t>data</w:t>
      </w:r>
      <w:r w:rsidR="004756C1" w:rsidRPr="002F50BD">
        <w:rPr>
          <w:rFonts w:ascii="Verdana" w:hAnsi="Verdana"/>
          <w:sz w:val="20"/>
          <w:lang w:val="pt-BR"/>
        </w:rPr>
        <w:t xml:space="preserve"> </w:t>
      </w:r>
      <w:r w:rsidR="0091562E" w:rsidRPr="002F50BD">
        <w:rPr>
          <w:rFonts w:ascii="Verdana" w:hAnsi="Verdana"/>
          <w:sz w:val="20"/>
          <w:lang w:val="pt-BR"/>
        </w:rPr>
        <w:t xml:space="preserve">tenha sido dada </w:t>
      </w:r>
      <w:r w:rsidRPr="002F50BD">
        <w:rPr>
          <w:rFonts w:ascii="Verdana" w:hAnsi="Verdana"/>
          <w:sz w:val="20"/>
          <w:lang w:val="pt-BR"/>
        </w:rPr>
        <w:t xml:space="preserve">uma </w:t>
      </w:r>
      <w:r w:rsidR="004756C1" w:rsidRPr="002F50BD">
        <w:rPr>
          <w:rFonts w:ascii="Verdana" w:hAnsi="Verdana"/>
          <w:sz w:val="20"/>
          <w:lang w:val="pt-BR"/>
        </w:rPr>
        <w:t>solu</w:t>
      </w:r>
      <w:r w:rsidRPr="002F50BD">
        <w:rPr>
          <w:rFonts w:ascii="Verdana" w:hAnsi="Verdana"/>
          <w:sz w:val="20"/>
          <w:lang w:val="pt-BR"/>
        </w:rPr>
        <w:t>ção</w:t>
      </w:r>
      <w:r w:rsidR="004756C1" w:rsidRPr="002F50BD">
        <w:rPr>
          <w:rFonts w:ascii="Verdana" w:hAnsi="Verdana"/>
          <w:sz w:val="20"/>
          <w:lang w:val="pt-BR"/>
        </w:rPr>
        <w:t xml:space="preserve"> definitiva</w:t>
      </w:r>
      <w:r w:rsidRPr="002F50BD">
        <w:rPr>
          <w:rFonts w:ascii="Verdana" w:hAnsi="Verdana"/>
          <w:sz w:val="20"/>
          <w:lang w:val="pt-BR"/>
        </w:rPr>
        <w:t xml:space="preserve"> e </w:t>
      </w:r>
      <w:r w:rsidR="004756C1" w:rsidRPr="002F50BD">
        <w:rPr>
          <w:rFonts w:ascii="Verdana" w:hAnsi="Verdana"/>
          <w:sz w:val="20"/>
          <w:lang w:val="pt-BR"/>
        </w:rPr>
        <w:t>satis</w:t>
      </w:r>
      <w:r w:rsidRPr="002F50BD">
        <w:rPr>
          <w:rFonts w:ascii="Verdana" w:hAnsi="Verdana"/>
          <w:sz w:val="20"/>
          <w:lang w:val="pt-BR"/>
        </w:rPr>
        <w:t>fat</w:t>
      </w:r>
      <w:r w:rsidR="0091562E" w:rsidRPr="002F50BD">
        <w:rPr>
          <w:rFonts w:ascii="Verdana" w:hAnsi="Verdana"/>
          <w:sz w:val="20"/>
          <w:lang w:val="pt-BR"/>
        </w:rPr>
        <w:t>ó</w:t>
      </w:r>
      <w:r w:rsidR="004756C1" w:rsidRPr="002F50BD">
        <w:rPr>
          <w:rFonts w:ascii="Verdana" w:hAnsi="Verdana"/>
          <w:sz w:val="20"/>
          <w:lang w:val="pt-BR"/>
        </w:rPr>
        <w:t xml:space="preserve">ria </w:t>
      </w:r>
      <w:r w:rsidR="0091562E" w:rsidRPr="002F50BD">
        <w:rPr>
          <w:rFonts w:ascii="Verdana" w:hAnsi="Verdana"/>
          <w:sz w:val="20"/>
          <w:lang w:val="pt-BR"/>
        </w:rPr>
        <w:t>par</w:t>
      </w:r>
      <w:r w:rsidR="004756C1" w:rsidRPr="002F50BD">
        <w:rPr>
          <w:rFonts w:ascii="Verdana" w:hAnsi="Verdana"/>
          <w:sz w:val="20"/>
          <w:lang w:val="pt-BR"/>
        </w:rPr>
        <w:t>a s</w:t>
      </w:r>
      <w:r w:rsidR="0091562E" w:rsidRPr="002F50BD">
        <w:rPr>
          <w:rFonts w:ascii="Verdana" w:hAnsi="Verdana"/>
          <w:sz w:val="20"/>
          <w:lang w:val="pt-BR"/>
        </w:rPr>
        <w:t>e</w:t>
      </w:r>
      <w:r w:rsidR="004756C1" w:rsidRPr="002F50BD">
        <w:rPr>
          <w:rFonts w:ascii="Verdana" w:hAnsi="Verdana"/>
          <w:sz w:val="20"/>
          <w:lang w:val="pt-BR"/>
        </w:rPr>
        <w:t>u reclamo.</w:t>
      </w:r>
      <w:r w:rsidR="00FE08B7">
        <w:rPr>
          <w:rFonts w:ascii="Verdana" w:hAnsi="Verdana"/>
          <w:sz w:val="20"/>
          <w:lang w:val="pt-BR"/>
        </w:rPr>
        <w:t xml:space="preserve"> </w:t>
      </w:r>
      <w:r w:rsidR="004756C1" w:rsidRPr="002F50BD">
        <w:rPr>
          <w:rFonts w:ascii="Verdana" w:hAnsi="Verdana" w:cs="Arial"/>
          <w:sz w:val="20"/>
          <w:szCs w:val="22"/>
          <w:lang w:val="pt-BR"/>
        </w:rPr>
        <w:t xml:space="preserve">Como parte </w:t>
      </w:r>
      <w:r w:rsidRPr="002F50BD">
        <w:rPr>
          <w:rFonts w:ascii="Verdana" w:hAnsi="Verdana" w:cs="Arial"/>
          <w:sz w:val="20"/>
          <w:szCs w:val="22"/>
          <w:lang w:val="pt-BR"/>
        </w:rPr>
        <w:t>deste</w:t>
      </w:r>
      <w:r w:rsidR="004756C1" w:rsidRPr="002F50BD">
        <w:rPr>
          <w:rFonts w:ascii="Verdana" w:hAnsi="Verdana" w:cs="Arial"/>
          <w:sz w:val="20"/>
          <w:szCs w:val="22"/>
          <w:lang w:val="pt-BR"/>
        </w:rPr>
        <w:t xml:space="preserve">s </w:t>
      </w:r>
      <w:r w:rsidRPr="002F50BD">
        <w:rPr>
          <w:rFonts w:ascii="Verdana" w:hAnsi="Verdana" w:cs="Arial"/>
          <w:sz w:val="20"/>
          <w:szCs w:val="22"/>
          <w:lang w:val="pt-BR"/>
        </w:rPr>
        <w:t>trâmite</w:t>
      </w:r>
      <w:r w:rsidR="004756C1" w:rsidRPr="002F50BD">
        <w:rPr>
          <w:rFonts w:ascii="Verdana" w:hAnsi="Verdana" w:cs="Arial"/>
          <w:sz w:val="20"/>
          <w:szCs w:val="22"/>
          <w:lang w:val="pt-BR"/>
        </w:rPr>
        <w:t>s,</w:t>
      </w:r>
      <w:r w:rsidRPr="002F50BD">
        <w:rPr>
          <w:rFonts w:ascii="Verdana" w:hAnsi="Verdana" w:cs="Arial"/>
          <w:sz w:val="20"/>
          <w:szCs w:val="22"/>
          <w:lang w:val="pt-BR"/>
        </w:rPr>
        <w:t xml:space="preserve"> a Comunidade cumpriu os </w:t>
      </w:r>
      <w:r w:rsidR="004756C1" w:rsidRPr="002F50BD">
        <w:rPr>
          <w:rFonts w:ascii="Verdana" w:hAnsi="Verdana" w:cs="Arial"/>
          <w:sz w:val="20"/>
          <w:szCs w:val="22"/>
          <w:lang w:val="pt-BR"/>
        </w:rPr>
        <w:t xml:space="preserve">requisitos </w:t>
      </w:r>
      <w:r w:rsidRPr="002F50BD">
        <w:rPr>
          <w:rFonts w:ascii="Verdana" w:hAnsi="Verdana" w:cs="Arial"/>
          <w:sz w:val="20"/>
          <w:szCs w:val="22"/>
          <w:lang w:val="pt-BR"/>
        </w:rPr>
        <w:t>imposto</w:t>
      </w:r>
      <w:r w:rsidR="004756C1" w:rsidRPr="002F50BD">
        <w:rPr>
          <w:rFonts w:ascii="Verdana" w:hAnsi="Verdana" w:cs="Arial"/>
          <w:sz w:val="20"/>
          <w:szCs w:val="22"/>
          <w:lang w:val="pt-BR"/>
        </w:rPr>
        <w:t>s</w:t>
      </w:r>
      <w:r w:rsidRPr="002F50BD">
        <w:rPr>
          <w:rFonts w:ascii="Verdana" w:hAnsi="Verdana" w:cs="Arial"/>
          <w:sz w:val="20"/>
          <w:szCs w:val="22"/>
          <w:lang w:val="pt-BR"/>
        </w:rPr>
        <w:t xml:space="preserve"> pelo Paraguai</w:t>
      </w:r>
      <w:r w:rsidR="004756C1" w:rsidRPr="002F50BD">
        <w:rPr>
          <w:rFonts w:ascii="Verdana" w:hAnsi="Verdana" w:cs="Arial"/>
          <w:sz w:val="20"/>
          <w:szCs w:val="22"/>
          <w:lang w:val="pt-BR"/>
        </w:rPr>
        <w:t xml:space="preserve"> para</w:t>
      </w:r>
      <w:r w:rsidRPr="002F50BD">
        <w:rPr>
          <w:rFonts w:ascii="Verdana" w:hAnsi="Verdana" w:cs="Arial"/>
          <w:sz w:val="20"/>
          <w:szCs w:val="22"/>
          <w:lang w:val="pt-BR"/>
        </w:rPr>
        <w:t xml:space="preserve"> o </w:t>
      </w:r>
      <w:r w:rsidR="004756C1" w:rsidRPr="002F50BD">
        <w:rPr>
          <w:rFonts w:ascii="Verdana" w:hAnsi="Verdana" w:cs="Arial"/>
          <w:sz w:val="20"/>
          <w:szCs w:val="22"/>
          <w:lang w:val="pt-BR"/>
        </w:rPr>
        <w:t>re</w:t>
      </w:r>
      <w:r w:rsidRPr="002F50BD">
        <w:rPr>
          <w:rFonts w:ascii="Verdana" w:hAnsi="Verdana" w:cs="Arial"/>
          <w:sz w:val="20"/>
          <w:szCs w:val="22"/>
          <w:lang w:val="pt-BR"/>
        </w:rPr>
        <w:t>conhecimento</w:t>
      </w:r>
      <w:r w:rsidR="004756C1" w:rsidRPr="002F50BD">
        <w:rPr>
          <w:rFonts w:ascii="Verdana" w:hAnsi="Verdana" w:cs="Arial"/>
          <w:sz w:val="20"/>
          <w:szCs w:val="22"/>
          <w:lang w:val="pt-BR"/>
        </w:rPr>
        <w:t xml:space="preserve"> de </w:t>
      </w:r>
      <w:r w:rsidR="005A6BC7" w:rsidRPr="002F50BD">
        <w:rPr>
          <w:rFonts w:ascii="Verdana" w:hAnsi="Verdana" w:cs="Arial"/>
          <w:sz w:val="20"/>
          <w:szCs w:val="22"/>
          <w:lang w:val="pt-BR"/>
        </w:rPr>
        <w:t>seus líderes</w:t>
      </w:r>
      <w:r w:rsidRPr="002F50BD">
        <w:rPr>
          <w:rFonts w:ascii="Verdana" w:hAnsi="Verdana" w:cs="Arial"/>
          <w:sz w:val="20"/>
          <w:szCs w:val="22"/>
          <w:lang w:val="pt-BR"/>
        </w:rPr>
        <w:t xml:space="preserve"> e </w:t>
      </w:r>
      <w:r w:rsidR="004756C1" w:rsidRPr="002F50BD">
        <w:rPr>
          <w:rFonts w:ascii="Verdana" w:hAnsi="Verdana" w:cs="Arial"/>
          <w:sz w:val="20"/>
          <w:szCs w:val="22"/>
          <w:lang w:val="pt-BR"/>
        </w:rPr>
        <w:t>para</w:t>
      </w:r>
      <w:r w:rsidRPr="002F50BD">
        <w:rPr>
          <w:rFonts w:ascii="Verdana" w:hAnsi="Verdana" w:cs="Arial"/>
          <w:sz w:val="20"/>
          <w:szCs w:val="22"/>
          <w:lang w:val="pt-BR"/>
        </w:rPr>
        <w:t xml:space="preserve"> a </w:t>
      </w:r>
      <w:r w:rsidR="004756C1" w:rsidRPr="002F50BD">
        <w:rPr>
          <w:rFonts w:ascii="Verdana" w:hAnsi="Verdana" w:cs="Arial"/>
          <w:sz w:val="20"/>
          <w:szCs w:val="22"/>
          <w:lang w:val="pt-BR"/>
        </w:rPr>
        <w:t>obten</w:t>
      </w:r>
      <w:r w:rsidRPr="002F50BD">
        <w:rPr>
          <w:rFonts w:ascii="Verdana" w:hAnsi="Verdana" w:cs="Arial"/>
          <w:sz w:val="20"/>
          <w:szCs w:val="22"/>
          <w:lang w:val="pt-BR"/>
        </w:rPr>
        <w:t>ção</w:t>
      </w:r>
      <w:r w:rsidR="004756C1" w:rsidRPr="002F50BD">
        <w:rPr>
          <w:rFonts w:ascii="Verdana" w:hAnsi="Verdana" w:cs="Arial"/>
          <w:sz w:val="20"/>
          <w:szCs w:val="22"/>
          <w:lang w:val="pt-BR"/>
        </w:rPr>
        <w:t xml:space="preserve"> de </w:t>
      </w:r>
      <w:r w:rsidRPr="002F50BD">
        <w:rPr>
          <w:rFonts w:ascii="Verdana" w:hAnsi="Verdana" w:cs="Arial"/>
          <w:sz w:val="20"/>
          <w:szCs w:val="22"/>
          <w:lang w:val="pt-BR"/>
        </w:rPr>
        <w:t xml:space="preserve">personalidade </w:t>
      </w:r>
      <w:r w:rsidR="004756C1" w:rsidRPr="002F50BD">
        <w:rPr>
          <w:rFonts w:ascii="Verdana" w:hAnsi="Verdana" w:cs="Arial"/>
          <w:sz w:val="20"/>
          <w:szCs w:val="22"/>
          <w:lang w:val="pt-BR"/>
        </w:rPr>
        <w:t xml:space="preserve">jurídica, </w:t>
      </w:r>
      <w:r w:rsidR="0091562E" w:rsidRPr="002F50BD">
        <w:rPr>
          <w:rFonts w:ascii="Verdana" w:hAnsi="Verdana" w:cs="Arial"/>
          <w:sz w:val="20"/>
          <w:szCs w:val="22"/>
          <w:lang w:val="pt-BR"/>
        </w:rPr>
        <w:t xml:space="preserve">aguardou </w:t>
      </w:r>
      <w:r w:rsidR="004756C1" w:rsidRPr="002F50BD">
        <w:rPr>
          <w:rFonts w:ascii="Verdana" w:hAnsi="Verdana" w:cs="Arial"/>
          <w:sz w:val="20"/>
          <w:szCs w:val="22"/>
          <w:lang w:val="pt-BR"/>
        </w:rPr>
        <w:t>por</w:t>
      </w:r>
      <w:r w:rsidRPr="002F50BD">
        <w:rPr>
          <w:rFonts w:ascii="Verdana" w:hAnsi="Verdana" w:cs="Arial"/>
          <w:sz w:val="20"/>
          <w:szCs w:val="22"/>
          <w:lang w:val="pt-BR"/>
        </w:rPr>
        <w:t xml:space="preserve"> ele</w:t>
      </w:r>
      <w:r w:rsidR="004756C1" w:rsidRPr="002F50BD">
        <w:rPr>
          <w:rFonts w:ascii="Verdana" w:hAnsi="Verdana" w:cs="Arial"/>
          <w:sz w:val="20"/>
          <w:szCs w:val="22"/>
          <w:lang w:val="pt-BR"/>
        </w:rPr>
        <w:t xml:space="preserve">s e </w:t>
      </w:r>
      <w:r w:rsidRPr="002F50BD">
        <w:rPr>
          <w:rFonts w:ascii="Verdana" w:hAnsi="Verdana" w:cs="Arial"/>
          <w:sz w:val="20"/>
          <w:szCs w:val="22"/>
          <w:lang w:val="pt-BR"/>
        </w:rPr>
        <w:t xml:space="preserve">interpôs os </w:t>
      </w:r>
      <w:r w:rsidR="004756C1" w:rsidRPr="002F50BD">
        <w:rPr>
          <w:rFonts w:ascii="Verdana" w:hAnsi="Verdana" w:cs="Arial"/>
          <w:sz w:val="20"/>
          <w:szCs w:val="22"/>
          <w:lang w:val="pt-BR"/>
        </w:rPr>
        <w:t xml:space="preserve">recursos pertinentes de </w:t>
      </w:r>
      <w:r w:rsidRPr="002F50BD">
        <w:rPr>
          <w:rFonts w:ascii="Verdana" w:hAnsi="Verdana" w:cs="Arial"/>
          <w:sz w:val="20"/>
          <w:szCs w:val="22"/>
          <w:lang w:val="pt-BR"/>
        </w:rPr>
        <w:t>acordo com as leis</w:t>
      </w:r>
      <w:r w:rsidR="004756C1" w:rsidRPr="002F50BD">
        <w:rPr>
          <w:rFonts w:ascii="Verdana" w:hAnsi="Verdana" w:cs="Arial"/>
          <w:sz w:val="20"/>
          <w:szCs w:val="22"/>
          <w:lang w:val="pt-BR"/>
        </w:rPr>
        <w:t xml:space="preserve"> </w:t>
      </w:r>
      <w:r w:rsidRPr="002F50BD">
        <w:rPr>
          <w:rFonts w:ascii="Verdana" w:hAnsi="Verdana" w:cs="Arial"/>
          <w:sz w:val="20"/>
          <w:szCs w:val="22"/>
          <w:lang w:val="pt-BR"/>
        </w:rPr>
        <w:t>Paraguai</w:t>
      </w:r>
      <w:r w:rsidR="004756C1" w:rsidRPr="002F50BD">
        <w:rPr>
          <w:rFonts w:ascii="Verdana" w:hAnsi="Verdana" w:cs="Arial"/>
          <w:sz w:val="20"/>
          <w:szCs w:val="22"/>
          <w:lang w:val="pt-BR"/>
        </w:rPr>
        <w:t xml:space="preserve">as </w:t>
      </w:r>
      <w:r w:rsidRPr="002F50BD">
        <w:rPr>
          <w:rFonts w:ascii="Verdana" w:hAnsi="Verdana" w:cs="Arial"/>
          <w:sz w:val="20"/>
          <w:szCs w:val="22"/>
          <w:lang w:val="pt-BR"/>
        </w:rPr>
        <w:t xml:space="preserve">aplicáveis em matéria </w:t>
      </w:r>
      <w:r w:rsidR="004756C1" w:rsidRPr="002F50BD">
        <w:rPr>
          <w:rFonts w:ascii="Verdana" w:hAnsi="Verdana" w:cs="Arial"/>
          <w:sz w:val="20"/>
          <w:szCs w:val="22"/>
          <w:lang w:val="pt-BR"/>
        </w:rPr>
        <w:t>de reivindica</w:t>
      </w:r>
      <w:r w:rsidRPr="002F50BD">
        <w:rPr>
          <w:rFonts w:ascii="Verdana" w:hAnsi="Verdana" w:cs="Arial"/>
          <w:sz w:val="20"/>
          <w:szCs w:val="22"/>
          <w:lang w:val="pt-BR"/>
        </w:rPr>
        <w:t>ção</w:t>
      </w:r>
      <w:r w:rsidR="004756C1" w:rsidRPr="002F50BD">
        <w:rPr>
          <w:rFonts w:ascii="Verdana" w:hAnsi="Verdana" w:cs="Arial"/>
          <w:sz w:val="20"/>
          <w:szCs w:val="22"/>
          <w:lang w:val="pt-BR"/>
        </w:rPr>
        <w:t xml:space="preserve"> de </w:t>
      </w:r>
      <w:r w:rsidRPr="002F50BD">
        <w:rPr>
          <w:rFonts w:ascii="Verdana" w:hAnsi="Verdana" w:cs="Arial"/>
          <w:sz w:val="20"/>
          <w:szCs w:val="22"/>
          <w:lang w:val="pt-BR"/>
        </w:rPr>
        <w:t>terra</w:t>
      </w:r>
      <w:r w:rsidR="004756C1" w:rsidRPr="002F50BD">
        <w:rPr>
          <w:rFonts w:ascii="Verdana" w:hAnsi="Verdana" w:cs="Arial"/>
          <w:sz w:val="20"/>
          <w:szCs w:val="22"/>
          <w:lang w:val="pt-BR"/>
        </w:rPr>
        <w:t xml:space="preserve">s </w:t>
      </w:r>
      <w:r w:rsidR="00AB454A" w:rsidRPr="002F50BD">
        <w:rPr>
          <w:rFonts w:ascii="Verdana" w:hAnsi="Verdana" w:cs="Arial"/>
          <w:sz w:val="20"/>
          <w:szCs w:val="22"/>
          <w:lang w:val="pt-BR"/>
        </w:rPr>
        <w:t>ancestrais</w:t>
      </w:r>
      <w:r w:rsidR="004756C1" w:rsidRPr="002F50BD">
        <w:rPr>
          <w:rFonts w:ascii="Verdana" w:hAnsi="Verdana" w:cs="Arial"/>
          <w:sz w:val="20"/>
          <w:szCs w:val="22"/>
          <w:lang w:val="pt-BR"/>
        </w:rPr>
        <w:t xml:space="preserve"> de </w:t>
      </w:r>
      <w:r w:rsidRPr="002F50BD">
        <w:rPr>
          <w:rFonts w:ascii="Verdana" w:hAnsi="Verdana" w:cs="Arial"/>
          <w:sz w:val="20"/>
          <w:szCs w:val="22"/>
          <w:lang w:val="pt-BR"/>
        </w:rPr>
        <w:t>povo</w:t>
      </w:r>
      <w:r w:rsidR="004756C1" w:rsidRPr="002F50BD">
        <w:rPr>
          <w:rFonts w:ascii="Verdana" w:hAnsi="Verdana" w:cs="Arial"/>
          <w:sz w:val="20"/>
          <w:szCs w:val="22"/>
          <w:lang w:val="pt-BR"/>
        </w:rPr>
        <w:t>s indígenas;</w:t>
      </w:r>
    </w:p>
    <w:p w:rsidR="0091562E" w:rsidRPr="002F50BD" w:rsidRDefault="0091562E" w:rsidP="0091562E">
      <w:pPr>
        <w:tabs>
          <w:tab w:val="left" w:pos="1080"/>
        </w:tabs>
        <w:ind w:left="360"/>
        <w:jc w:val="both"/>
        <w:rPr>
          <w:rFonts w:ascii="Verdana" w:hAnsi="Verdana" w:cs="Arial"/>
          <w:sz w:val="20"/>
          <w:szCs w:val="22"/>
          <w:lang w:val="pt-BR"/>
        </w:rPr>
      </w:pPr>
    </w:p>
    <w:p w:rsidR="004756C1" w:rsidRPr="002F50BD" w:rsidRDefault="0089298C">
      <w:pPr>
        <w:numPr>
          <w:ilvl w:val="0"/>
          <w:numId w:val="7"/>
        </w:numPr>
        <w:tabs>
          <w:tab w:val="left" w:pos="1080"/>
        </w:tabs>
        <w:ind w:left="720"/>
        <w:jc w:val="both"/>
        <w:rPr>
          <w:rFonts w:ascii="Verdana" w:hAnsi="Verdana" w:cs="Arial"/>
          <w:sz w:val="20"/>
          <w:szCs w:val="22"/>
          <w:lang w:val="pt-BR"/>
        </w:rPr>
      </w:pPr>
      <w:r w:rsidRPr="002F50BD">
        <w:rPr>
          <w:rFonts w:ascii="Verdana" w:hAnsi="Verdana" w:cs="Arial"/>
          <w:sz w:val="20"/>
          <w:szCs w:val="22"/>
          <w:lang w:val="pt-BR"/>
        </w:rPr>
        <w:t xml:space="preserve">O </w:t>
      </w:r>
      <w:r w:rsidR="004756C1" w:rsidRPr="002F50BD">
        <w:rPr>
          <w:rFonts w:ascii="Verdana" w:hAnsi="Verdana" w:cs="Arial"/>
          <w:sz w:val="20"/>
          <w:szCs w:val="22"/>
          <w:lang w:val="pt-BR"/>
        </w:rPr>
        <w:t xml:space="preserve">argumento </w:t>
      </w:r>
      <w:r w:rsidR="0091562E" w:rsidRPr="002F50BD">
        <w:rPr>
          <w:rFonts w:ascii="Verdana" w:hAnsi="Verdana" w:cs="Arial"/>
          <w:sz w:val="20"/>
          <w:szCs w:val="22"/>
          <w:lang w:val="pt-BR"/>
        </w:rPr>
        <w:t xml:space="preserve">do </w:t>
      </w:r>
      <w:r w:rsidR="004756C1" w:rsidRPr="002F50BD">
        <w:rPr>
          <w:rFonts w:ascii="Verdana" w:hAnsi="Verdana" w:cs="Arial"/>
          <w:sz w:val="20"/>
          <w:szCs w:val="22"/>
          <w:lang w:val="pt-BR"/>
        </w:rPr>
        <w:t>Estado</w:t>
      </w:r>
      <w:r w:rsidRPr="002F50BD">
        <w:rPr>
          <w:rFonts w:ascii="Verdana" w:hAnsi="Verdana" w:cs="Arial"/>
          <w:sz w:val="20"/>
          <w:szCs w:val="22"/>
          <w:lang w:val="pt-BR"/>
        </w:rPr>
        <w:t xml:space="preserve"> no </w:t>
      </w:r>
      <w:r w:rsidR="004756C1" w:rsidRPr="002F50BD">
        <w:rPr>
          <w:rFonts w:ascii="Verdana" w:hAnsi="Verdana" w:cs="Arial"/>
          <w:sz w:val="20"/>
          <w:szCs w:val="22"/>
          <w:lang w:val="pt-BR"/>
        </w:rPr>
        <w:t>sentido de que</w:t>
      </w:r>
      <w:r w:rsidRPr="002F50BD">
        <w:rPr>
          <w:rFonts w:ascii="Verdana" w:hAnsi="Verdana" w:cs="Arial"/>
          <w:sz w:val="20"/>
          <w:szCs w:val="22"/>
          <w:lang w:val="pt-BR"/>
        </w:rPr>
        <w:t xml:space="preserve"> a Comunidade </w:t>
      </w:r>
      <w:r w:rsidR="004756C1" w:rsidRPr="002F50BD">
        <w:rPr>
          <w:rFonts w:ascii="Verdana" w:hAnsi="Verdana" w:cs="Arial"/>
          <w:sz w:val="20"/>
          <w:szCs w:val="22"/>
          <w:lang w:val="pt-BR"/>
        </w:rPr>
        <w:t>indígena Yakye Axa existe desde que</w:t>
      </w:r>
      <w:r w:rsidRPr="002F50BD">
        <w:rPr>
          <w:rFonts w:ascii="Verdana" w:hAnsi="Verdana" w:cs="Arial"/>
          <w:sz w:val="20"/>
          <w:szCs w:val="22"/>
          <w:lang w:val="pt-BR"/>
        </w:rPr>
        <w:t xml:space="preserve"> o </w:t>
      </w:r>
      <w:r w:rsidR="004756C1" w:rsidRPr="002F50BD">
        <w:rPr>
          <w:rFonts w:ascii="Verdana" w:hAnsi="Verdana" w:cs="Arial"/>
          <w:sz w:val="20"/>
          <w:szCs w:val="22"/>
          <w:lang w:val="pt-BR"/>
        </w:rPr>
        <w:t xml:space="preserve">Poder </w:t>
      </w:r>
      <w:r w:rsidRPr="002F50BD">
        <w:rPr>
          <w:rFonts w:ascii="Verdana" w:hAnsi="Verdana" w:cs="Arial"/>
          <w:sz w:val="20"/>
          <w:szCs w:val="22"/>
          <w:lang w:val="pt-BR"/>
        </w:rPr>
        <w:t>Executiv</w:t>
      </w:r>
      <w:r w:rsidR="004756C1" w:rsidRPr="002F50BD">
        <w:rPr>
          <w:rFonts w:ascii="Verdana" w:hAnsi="Verdana" w:cs="Arial"/>
          <w:sz w:val="20"/>
          <w:szCs w:val="22"/>
          <w:lang w:val="pt-BR"/>
        </w:rPr>
        <w:t>o re</w:t>
      </w:r>
      <w:r w:rsidRPr="002F50BD">
        <w:rPr>
          <w:rFonts w:ascii="Verdana" w:hAnsi="Verdana" w:cs="Arial"/>
          <w:sz w:val="20"/>
          <w:szCs w:val="22"/>
          <w:lang w:val="pt-BR"/>
        </w:rPr>
        <w:t>conheceu</w:t>
      </w:r>
      <w:r w:rsidR="004756C1" w:rsidRPr="002F50BD">
        <w:rPr>
          <w:rFonts w:ascii="Verdana" w:hAnsi="Verdana" w:cs="Arial"/>
          <w:sz w:val="20"/>
          <w:szCs w:val="22"/>
          <w:lang w:val="pt-BR"/>
        </w:rPr>
        <w:t xml:space="preserve"> </w:t>
      </w:r>
      <w:r w:rsidR="006603BE" w:rsidRPr="002F50BD">
        <w:rPr>
          <w:rFonts w:ascii="Verdana" w:hAnsi="Verdana" w:cs="Arial"/>
          <w:sz w:val="20"/>
          <w:szCs w:val="22"/>
          <w:lang w:val="pt-BR"/>
        </w:rPr>
        <w:t xml:space="preserve">sua </w:t>
      </w:r>
      <w:r w:rsidRPr="002F50BD">
        <w:rPr>
          <w:rFonts w:ascii="Verdana" w:hAnsi="Verdana" w:cs="Arial"/>
          <w:sz w:val="20"/>
          <w:szCs w:val="22"/>
          <w:lang w:val="pt-BR"/>
        </w:rPr>
        <w:t xml:space="preserve">personalidade </w:t>
      </w:r>
      <w:r w:rsidR="004756C1" w:rsidRPr="002F50BD">
        <w:rPr>
          <w:rFonts w:ascii="Verdana" w:hAnsi="Verdana" w:cs="Arial"/>
          <w:sz w:val="20"/>
          <w:szCs w:val="22"/>
          <w:lang w:val="pt-BR"/>
        </w:rPr>
        <w:t>jurídica</w:t>
      </w:r>
      <w:r w:rsidRPr="002F50BD">
        <w:rPr>
          <w:rFonts w:ascii="Verdana" w:hAnsi="Verdana" w:cs="Arial"/>
          <w:sz w:val="20"/>
          <w:szCs w:val="22"/>
          <w:lang w:val="pt-BR"/>
        </w:rPr>
        <w:t xml:space="preserve"> é </w:t>
      </w:r>
      <w:r w:rsidR="004756C1" w:rsidRPr="002F50BD">
        <w:rPr>
          <w:rFonts w:ascii="Verdana" w:hAnsi="Verdana" w:cs="Arial"/>
          <w:sz w:val="20"/>
          <w:szCs w:val="22"/>
          <w:lang w:val="pt-BR"/>
        </w:rPr>
        <w:t>contr</w:t>
      </w:r>
      <w:r w:rsidR="0091562E" w:rsidRPr="002F50BD">
        <w:rPr>
          <w:rFonts w:ascii="Verdana" w:hAnsi="Verdana" w:cs="Arial"/>
          <w:sz w:val="20"/>
          <w:szCs w:val="22"/>
          <w:lang w:val="pt-BR"/>
        </w:rPr>
        <w:t>á</w:t>
      </w:r>
      <w:r w:rsidR="004756C1" w:rsidRPr="002F50BD">
        <w:rPr>
          <w:rFonts w:ascii="Verdana" w:hAnsi="Verdana" w:cs="Arial"/>
          <w:sz w:val="20"/>
          <w:szCs w:val="22"/>
          <w:lang w:val="pt-BR"/>
        </w:rPr>
        <w:t>rio</w:t>
      </w:r>
      <w:r w:rsidRPr="002F50BD">
        <w:rPr>
          <w:rFonts w:ascii="Verdana" w:hAnsi="Verdana" w:cs="Arial"/>
          <w:sz w:val="20"/>
          <w:szCs w:val="22"/>
          <w:lang w:val="pt-BR"/>
        </w:rPr>
        <w:t xml:space="preserve"> à própria </w:t>
      </w:r>
      <w:r w:rsidR="004756C1" w:rsidRPr="002F50BD">
        <w:rPr>
          <w:rFonts w:ascii="Verdana" w:hAnsi="Verdana" w:cs="Arial"/>
          <w:sz w:val="20"/>
          <w:szCs w:val="22"/>
          <w:lang w:val="pt-BR"/>
        </w:rPr>
        <w:t>legisla</w:t>
      </w:r>
      <w:r w:rsidRPr="002F50BD">
        <w:rPr>
          <w:rFonts w:ascii="Verdana" w:hAnsi="Verdana" w:cs="Arial"/>
          <w:sz w:val="20"/>
          <w:szCs w:val="22"/>
          <w:lang w:val="pt-BR"/>
        </w:rPr>
        <w:t>ção</w:t>
      </w:r>
      <w:r w:rsidR="004756C1" w:rsidRPr="002F50BD">
        <w:rPr>
          <w:rFonts w:ascii="Verdana" w:hAnsi="Verdana" w:cs="Arial"/>
          <w:sz w:val="20"/>
          <w:szCs w:val="22"/>
          <w:lang w:val="pt-BR"/>
        </w:rPr>
        <w:t xml:space="preserve"> interna </w:t>
      </w:r>
      <w:r w:rsidR="0091562E" w:rsidRPr="002F50BD">
        <w:rPr>
          <w:rFonts w:ascii="Verdana" w:hAnsi="Verdana" w:cs="Arial"/>
          <w:sz w:val="20"/>
          <w:szCs w:val="22"/>
          <w:lang w:val="pt-BR"/>
        </w:rPr>
        <w:t>p</w:t>
      </w:r>
      <w:r w:rsidRPr="002F50BD">
        <w:rPr>
          <w:rFonts w:ascii="Verdana" w:hAnsi="Verdana" w:cs="Arial"/>
          <w:sz w:val="20"/>
          <w:szCs w:val="22"/>
          <w:lang w:val="pt-BR"/>
        </w:rPr>
        <w:t>araguai</w:t>
      </w:r>
      <w:r w:rsidR="004756C1" w:rsidRPr="002F50BD">
        <w:rPr>
          <w:rFonts w:ascii="Verdana" w:hAnsi="Verdana" w:cs="Arial"/>
          <w:sz w:val="20"/>
          <w:szCs w:val="22"/>
          <w:lang w:val="pt-BR"/>
        </w:rPr>
        <w:t>a que re</w:t>
      </w:r>
      <w:r w:rsidRPr="002F50BD">
        <w:rPr>
          <w:rFonts w:ascii="Verdana" w:hAnsi="Verdana" w:cs="Arial"/>
          <w:sz w:val="20"/>
          <w:szCs w:val="22"/>
          <w:lang w:val="pt-BR"/>
        </w:rPr>
        <w:t>conhece a existência dos povo</w:t>
      </w:r>
      <w:r w:rsidR="004756C1" w:rsidRPr="002F50BD">
        <w:rPr>
          <w:rFonts w:ascii="Verdana" w:hAnsi="Verdana" w:cs="Arial"/>
          <w:sz w:val="20"/>
          <w:szCs w:val="22"/>
          <w:lang w:val="pt-BR"/>
        </w:rPr>
        <w:t>s indígenas como anteriores</w:t>
      </w:r>
      <w:r w:rsidRPr="002F50BD">
        <w:rPr>
          <w:rFonts w:ascii="Verdana" w:hAnsi="Verdana" w:cs="Arial"/>
          <w:sz w:val="20"/>
          <w:szCs w:val="22"/>
          <w:lang w:val="pt-BR"/>
        </w:rPr>
        <w:t xml:space="preserve"> à </w:t>
      </w:r>
      <w:r w:rsidR="004756C1" w:rsidRPr="002F50BD">
        <w:rPr>
          <w:rFonts w:ascii="Verdana" w:hAnsi="Verdana" w:cs="Arial"/>
          <w:sz w:val="20"/>
          <w:szCs w:val="22"/>
          <w:lang w:val="pt-BR"/>
        </w:rPr>
        <w:t>forma</w:t>
      </w:r>
      <w:r w:rsidRPr="002F50BD">
        <w:rPr>
          <w:rFonts w:ascii="Verdana" w:hAnsi="Verdana" w:cs="Arial"/>
          <w:sz w:val="20"/>
          <w:szCs w:val="22"/>
          <w:lang w:val="pt-BR"/>
        </w:rPr>
        <w:t>ção</w:t>
      </w:r>
      <w:r w:rsidR="004756C1" w:rsidRPr="002F50BD">
        <w:rPr>
          <w:rFonts w:ascii="Verdana" w:hAnsi="Verdana" w:cs="Arial"/>
          <w:sz w:val="20"/>
          <w:szCs w:val="22"/>
          <w:lang w:val="pt-BR"/>
        </w:rPr>
        <w:t xml:space="preserve"> </w:t>
      </w:r>
      <w:r w:rsidRPr="002F50BD">
        <w:rPr>
          <w:rFonts w:ascii="Verdana" w:hAnsi="Verdana" w:cs="Arial"/>
          <w:sz w:val="20"/>
          <w:szCs w:val="22"/>
          <w:lang w:val="pt-BR"/>
        </w:rPr>
        <w:t>do próprio</w:t>
      </w:r>
      <w:r w:rsidR="004756C1" w:rsidRPr="002F50BD">
        <w:rPr>
          <w:rFonts w:ascii="Verdana" w:hAnsi="Verdana" w:cs="Arial"/>
          <w:sz w:val="20"/>
          <w:szCs w:val="22"/>
          <w:lang w:val="pt-BR"/>
        </w:rPr>
        <w:t xml:space="preserve"> Estado</w:t>
      </w:r>
      <w:r w:rsidR="00D95E71" w:rsidRPr="002F50BD">
        <w:rPr>
          <w:rFonts w:ascii="Verdana" w:hAnsi="Verdana" w:cs="Arial"/>
          <w:sz w:val="20"/>
          <w:szCs w:val="22"/>
          <w:lang w:val="pt-BR"/>
        </w:rPr>
        <w:t xml:space="preserve">. O </w:t>
      </w:r>
      <w:r w:rsidR="004756C1" w:rsidRPr="002F50BD">
        <w:rPr>
          <w:rFonts w:ascii="Verdana" w:hAnsi="Verdana" w:cs="Arial"/>
          <w:sz w:val="20"/>
          <w:szCs w:val="22"/>
          <w:lang w:val="pt-BR"/>
        </w:rPr>
        <w:t>re</w:t>
      </w:r>
      <w:r w:rsidRPr="002F50BD">
        <w:rPr>
          <w:rFonts w:ascii="Verdana" w:hAnsi="Verdana" w:cs="Arial"/>
          <w:sz w:val="20"/>
          <w:szCs w:val="22"/>
          <w:lang w:val="pt-BR"/>
        </w:rPr>
        <w:t>conhecimento</w:t>
      </w:r>
      <w:r w:rsidR="004756C1" w:rsidRPr="002F50BD">
        <w:rPr>
          <w:rFonts w:ascii="Verdana" w:hAnsi="Verdana" w:cs="Arial"/>
          <w:sz w:val="20"/>
          <w:szCs w:val="22"/>
          <w:lang w:val="pt-BR"/>
        </w:rPr>
        <w:t xml:space="preserve"> de </w:t>
      </w:r>
      <w:r w:rsidRPr="002F50BD">
        <w:rPr>
          <w:rFonts w:ascii="Verdana" w:hAnsi="Verdana" w:cs="Arial"/>
          <w:sz w:val="20"/>
          <w:szCs w:val="22"/>
          <w:lang w:val="pt-BR"/>
        </w:rPr>
        <w:t xml:space="preserve">personalidade </w:t>
      </w:r>
      <w:r w:rsidR="004756C1" w:rsidRPr="002F50BD">
        <w:rPr>
          <w:rFonts w:ascii="Verdana" w:hAnsi="Verdana" w:cs="Arial"/>
          <w:sz w:val="20"/>
          <w:szCs w:val="22"/>
          <w:lang w:val="pt-BR"/>
        </w:rPr>
        <w:t>jurídica</w:t>
      </w:r>
      <w:r w:rsidRPr="002F50BD">
        <w:rPr>
          <w:rFonts w:ascii="Verdana" w:hAnsi="Verdana" w:cs="Arial"/>
          <w:sz w:val="20"/>
          <w:szCs w:val="22"/>
          <w:lang w:val="pt-BR"/>
        </w:rPr>
        <w:t xml:space="preserve"> é apenas uma </w:t>
      </w:r>
      <w:r w:rsidR="004756C1" w:rsidRPr="002F50BD">
        <w:rPr>
          <w:rFonts w:ascii="Verdana" w:hAnsi="Verdana" w:cs="Arial"/>
          <w:sz w:val="20"/>
          <w:szCs w:val="22"/>
          <w:lang w:val="pt-BR"/>
        </w:rPr>
        <w:t xml:space="preserve">forma de </w:t>
      </w:r>
      <w:r w:rsidR="007B4699" w:rsidRPr="002F50BD">
        <w:rPr>
          <w:rFonts w:ascii="Verdana" w:hAnsi="Verdana" w:cs="Arial"/>
          <w:sz w:val="20"/>
          <w:szCs w:val="22"/>
          <w:lang w:val="pt-BR"/>
        </w:rPr>
        <w:t xml:space="preserve">operacionalizar </w:t>
      </w:r>
      <w:r w:rsidRPr="002F50BD">
        <w:rPr>
          <w:rFonts w:ascii="Verdana" w:hAnsi="Verdana" w:cs="Arial"/>
          <w:sz w:val="20"/>
          <w:szCs w:val="22"/>
          <w:lang w:val="pt-BR"/>
        </w:rPr>
        <w:t>a transferência das terra</w:t>
      </w:r>
      <w:r w:rsidR="004756C1" w:rsidRPr="002F50BD">
        <w:rPr>
          <w:rFonts w:ascii="Verdana" w:hAnsi="Verdana" w:cs="Arial"/>
          <w:sz w:val="20"/>
          <w:szCs w:val="22"/>
          <w:lang w:val="pt-BR"/>
        </w:rPr>
        <w:t xml:space="preserve">s reclamadas por determinadas comunidades indígenas; </w:t>
      </w:r>
    </w:p>
    <w:p w:rsidR="0091562E" w:rsidRPr="002F50BD" w:rsidRDefault="0091562E" w:rsidP="0091562E">
      <w:pPr>
        <w:tabs>
          <w:tab w:val="left" w:pos="1080"/>
        </w:tabs>
        <w:ind w:left="360"/>
        <w:jc w:val="both"/>
        <w:rPr>
          <w:rFonts w:ascii="Verdana" w:hAnsi="Verdana"/>
          <w:sz w:val="20"/>
          <w:lang w:val="pt-BR"/>
        </w:rPr>
      </w:pPr>
    </w:p>
    <w:p w:rsidR="004756C1" w:rsidRPr="002F50BD" w:rsidRDefault="0089298C">
      <w:pPr>
        <w:numPr>
          <w:ilvl w:val="0"/>
          <w:numId w:val="7"/>
        </w:numPr>
        <w:tabs>
          <w:tab w:val="left" w:pos="1080"/>
        </w:tabs>
        <w:ind w:left="720"/>
        <w:jc w:val="both"/>
        <w:rPr>
          <w:rFonts w:ascii="Verdana" w:hAnsi="Verdana"/>
          <w:sz w:val="20"/>
          <w:lang w:val="pt-BR"/>
        </w:rPr>
      </w:pPr>
      <w:r w:rsidRPr="002F50BD">
        <w:rPr>
          <w:rFonts w:ascii="Verdana" w:hAnsi="Verdana" w:cs="Arial"/>
          <w:sz w:val="20"/>
          <w:szCs w:val="22"/>
          <w:lang w:val="pt-BR"/>
        </w:rPr>
        <w:t xml:space="preserve">O </w:t>
      </w:r>
      <w:r w:rsidR="004756C1" w:rsidRPr="002F50BD">
        <w:rPr>
          <w:rFonts w:ascii="Verdana" w:hAnsi="Verdana"/>
          <w:sz w:val="20"/>
          <w:lang w:val="pt-BR"/>
        </w:rPr>
        <w:t xml:space="preserve">recurso administrativo </w:t>
      </w:r>
      <w:r w:rsidR="00951B61">
        <w:rPr>
          <w:rFonts w:ascii="Verdana" w:hAnsi="Verdana"/>
          <w:sz w:val="20"/>
          <w:lang w:val="pt-BR"/>
        </w:rPr>
        <w:t>previsto</w:t>
      </w:r>
      <w:r w:rsidR="004756C1" w:rsidRPr="002F50BD">
        <w:rPr>
          <w:rFonts w:ascii="Verdana" w:hAnsi="Verdana"/>
          <w:sz w:val="20"/>
          <w:lang w:val="pt-BR"/>
        </w:rPr>
        <w:t xml:space="preserve"> para solucionar</w:t>
      </w:r>
      <w:r w:rsidRPr="002F50BD">
        <w:rPr>
          <w:rFonts w:ascii="Verdana" w:hAnsi="Verdana"/>
          <w:sz w:val="20"/>
          <w:lang w:val="pt-BR"/>
        </w:rPr>
        <w:t xml:space="preserve"> a </w:t>
      </w:r>
      <w:r w:rsidR="004756C1" w:rsidRPr="002F50BD">
        <w:rPr>
          <w:rFonts w:ascii="Verdana" w:hAnsi="Verdana"/>
          <w:sz w:val="20"/>
          <w:lang w:val="pt-BR"/>
        </w:rPr>
        <w:t>reivindica</w:t>
      </w:r>
      <w:r w:rsidRPr="002F50BD">
        <w:rPr>
          <w:rFonts w:ascii="Verdana" w:hAnsi="Verdana"/>
          <w:sz w:val="20"/>
          <w:lang w:val="pt-BR"/>
        </w:rPr>
        <w:t xml:space="preserve">ção da Comunidade </w:t>
      </w:r>
      <w:r w:rsidR="004756C1" w:rsidRPr="002F50BD">
        <w:rPr>
          <w:rFonts w:ascii="Verdana" w:hAnsi="Verdana"/>
          <w:sz w:val="20"/>
          <w:lang w:val="pt-BR"/>
        </w:rPr>
        <w:t xml:space="preserve">indígena Yakye Axa, de </w:t>
      </w:r>
      <w:r w:rsidRPr="002F50BD">
        <w:rPr>
          <w:rFonts w:ascii="Verdana" w:hAnsi="Verdana"/>
          <w:sz w:val="20"/>
          <w:lang w:val="pt-BR"/>
        </w:rPr>
        <w:t>acordo com o procedimento</w:t>
      </w:r>
      <w:r w:rsidR="004756C1" w:rsidRPr="002F50BD">
        <w:rPr>
          <w:rFonts w:ascii="Verdana" w:hAnsi="Verdana"/>
          <w:sz w:val="20"/>
          <w:lang w:val="pt-BR"/>
        </w:rPr>
        <w:t xml:space="preserve"> </w:t>
      </w:r>
      <w:r w:rsidRPr="002F50BD">
        <w:rPr>
          <w:rFonts w:ascii="Verdana" w:hAnsi="Verdana"/>
          <w:sz w:val="20"/>
          <w:lang w:val="pt-BR"/>
        </w:rPr>
        <w:t>estabelecid</w:t>
      </w:r>
      <w:r w:rsidR="004756C1" w:rsidRPr="002F50BD">
        <w:rPr>
          <w:rFonts w:ascii="Verdana" w:hAnsi="Verdana"/>
          <w:sz w:val="20"/>
          <w:lang w:val="pt-BR"/>
        </w:rPr>
        <w:t>o</w:t>
      </w:r>
      <w:r w:rsidRPr="002F50BD">
        <w:rPr>
          <w:rFonts w:ascii="Verdana" w:hAnsi="Verdana"/>
          <w:sz w:val="20"/>
          <w:lang w:val="pt-BR"/>
        </w:rPr>
        <w:t xml:space="preserv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 xml:space="preserve">, </w:t>
      </w:r>
      <w:r w:rsidR="00AB454A" w:rsidRPr="002F50BD">
        <w:rPr>
          <w:rFonts w:ascii="Verdana" w:hAnsi="Verdana"/>
          <w:sz w:val="20"/>
          <w:lang w:val="pt-BR"/>
        </w:rPr>
        <w:t>não foi</w:t>
      </w:r>
      <w:r w:rsidRPr="002F50BD">
        <w:rPr>
          <w:rFonts w:ascii="Verdana" w:hAnsi="Verdana"/>
          <w:sz w:val="20"/>
          <w:lang w:val="pt-BR"/>
        </w:rPr>
        <w:t xml:space="preserve"> efetiv</w:t>
      </w:r>
      <w:r w:rsidR="004756C1" w:rsidRPr="002F50BD">
        <w:rPr>
          <w:rFonts w:ascii="Verdana" w:hAnsi="Verdana"/>
          <w:sz w:val="20"/>
          <w:lang w:val="pt-BR"/>
        </w:rPr>
        <w:t>o para</w:t>
      </w:r>
      <w:r w:rsidRPr="002F50BD">
        <w:rPr>
          <w:rFonts w:ascii="Verdana" w:hAnsi="Verdana"/>
          <w:sz w:val="20"/>
          <w:lang w:val="pt-BR"/>
        </w:rPr>
        <w:t xml:space="preserve"> a </w:t>
      </w:r>
      <w:r w:rsidR="004756C1" w:rsidRPr="002F50BD">
        <w:rPr>
          <w:rFonts w:ascii="Verdana" w:hAnsi="Verdana"/>
          <w:sz w:val="20"/>
          <w:lang w:val="pt-BR"/>
        </w:rPr>
        <w:t>solu</w:t>
      </w:r>
      <w:r w:rsidRPr="002F50BD">
        <w:rPr>
          <w:rFonts w:ascii="Verdana" w:hAnsi="Verdana"/>
          <w:sz w:val="20"/>
          <w:lang w:val="pt-BR"/>
        </w:rPr>
        <w:t>ção</w:t>
      </w:r>
      <w:r w:rsidR="004756C1" w:rsidRPr="002F50BD">
        <w:rPr>
          <w:rFonts w:ascii="Verdana" w:hAnsi="Verdana"/>
          <w:sz w:val="20"/>
          <w:lang w:val="pt-BR"/>
        </w:rPr>
        <w:t xml:space="preserve"> definitiva</w:t>
      </w:r>
      <w:r w:rsidR="006603BE" w:rsidRPr="002F50BD">
        <w:rPr>
          <w:rFonts w:ascii="Verdana" w:hAnsi="Verdana"/>
          <w:sz w:val="20"/>
          <w:lang w:val="pt-BR"/>
        </w:rPr>
        <w:t xml:space="preserve"> </w:t>
      </w:r>
      <w:r w:rsidR="00C837AF" w:rsidRPr="002F50BD">
        <w:rPr>
          <w:rFonts w:ascii="Verdana" w:hAnsi="Verdana"/>
          <w:sz w:val="20"/>
          <w:lang w:val="pt-BR"/>
        </w:rPr>
        <w:t>da reivindicação</w:t>
      </w:r>
      <w:r w:rsidRPr="002F50BD">
        <w:rPr>
          <w:rFonts w:ascii="Verdana" w:hAnsi="Verdana"/>
          <w:sz w:val="20"/>
          <w:lang w:val="pt-BR"/>
        </w:rPr>
        <w:t xml:space="preserve"> da </w:t>
      </w:r>
      <w:r w:rsidR="00A50140" w:rsidRPr="002F50BD">
        <w:rPr>
          <w:rFonts w:ascii="Verdana" w:hAnsi="Verdana"/>
          <w:sz w:val="20"/>
          <w:lang w:val="pt-BR"/>
        </w:rPr>
        <w:t>Comunidade.</w:t>
      </w:r>
      <w:r w:rsidR="004756C1" w:rsidRPr="002F50BD">
        <w:rPr>
          <w:rFonts w:ascii="Verdana" w:hAnsi="Verdana"/>
          <w:sz w:val="20"/>
          <w:lang w:val="pt-BR"/>
        </w:rPr>
        <w:t xml:space="preserve"> </w:t>
      </w:r>
      <w:r w:rsidR="0091562E"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as gestões</w:t>
      </w:r>
      <w:r w:rsidR="004756C1" w:rsidRPr="002F50BD">
        <w:rPr>
          <w:rFonts w:ascii="Verdana" w:hAnsi="Verdana"/>
          <w:sz w:val="20"/>
          <w:lang w:val="pt-BR"/>
        </w:rPr>
        <w:t xml:space="preserve"> realizadas</w:t>
      </w:r>
      <w:r w:rsidRPr="002F50BD">
        <w:rPr>
          <w:rFonts w:ascii="Verdana" w:hAnsi="Verdana"/>
          <w:sz w:val="20"/>
          <w:lang w:val="pt-BR"/>
        </w:rPr>
        <w:t xml:space="preserve"> pela Comunidade no ano </w:t>
      </w:r>
      <w:r w:rsidR="00063B47" w:rsidRPr="002F50BD">
        <w:rPr>
          <w:rFonts w:ascii="Verdana" w:hAnsi="Verdana"/>
          <w:sz w:val="20"/>
          <w:lang w:val="pt-BR"/>
        </w:rPr>
        <w:t>2000</w:t>
      </w:r>
      <w:r w:rsidRPr="002F50BD">
        <w:rPr>
          <w:rFonts w:ascii="Verdana" w:hAnsi="Verdana"/>
          <w:sz w:val="20"/>
          <w:lang w:val="pt-BR"/>
        </w:rPr>
        <w:t xml:space="preserve"> e pelo próprio</w:t>
      </w:r>
      <w:r w:rsidR="004756C1" w:rsidRPr="002F50BD">
        <w:rPr>
          <w:rFonts w:ascii="Verdana" w:hAnsi="Verdana"/>
          <w:sz w:val="20"/>
          <w:lang w:val="pt-BR"/>
        </w:rPr>
        <w:t xml:space="preserve"> Poder </w:t>
      </w:r>
      <w:r w:rsidRPr="002F50BD">
        <w:rPr>
          <w:rFonts w:ascii="Verdana" w:hAnsi="Verdana"/>
          <w:sz w:val="20"/>
          <w:lang w:val="pt-BR"/>
        </w:rPr>
        <w:t>Executiv</w:t>
      </w:r>
      <w:r w:rsidR="004756C1" w:rsidRPr="002F50BD">
        <w:rPr>
          <w:rFonts w:ascii="Verdana" w:hAnsi="Verdana"/>
          <w:sz w:val="20"/>
          <w:lang w:val="pt-BR"/>
        </w:rPr>
        <w:t>o</w:t>
      </w:r>
      <w:r w:rsidRPr="002F50BD">
        <w:rPr>
          <w:rFonts w:ascii="Verdana" w:hAnsi="Verdana"/>
          <w:sz w:val="20"/>
          <w:lang w:val="pt-BR"/>
        </w:rPr>
        <w:t xml:space="preserve"> no ano </w:t>
      </w:r>
      <w:r w:rsidR="00063B47" w:rsidRPr="002F50BD">
        <w:rPr>
          <w:rFonts w:ascii="Verdana" w:hAnsi="Verdana"/>
          <w:sz w:val="20"/>
          <w:lang w:val="pt-BR"/>
        </w:rPr>
        <w:t>2002</w:t>
      </w:r>
      <w:r w:rsidR="006603BE" w:rsidRPr="002F50BD">
        <w:rPr>
          <w:rFonts w:ascii="Verdana" w:hAnsi="Verdana"/>
          <w:sz w:val="20"/>
          <w:lang w:val="pt-BR"/>
        </w:rPr>
        <w:t>,</w:t>
      </w:r>
      <w:r w:rsidR="004756C1" w:rsidRPr="002F50BD">
        <w:rPr>
          <w:rFonts w:ascii="Verdana" w:hAnsi="Verdana"/>
          <w:sz w:val="20"/>
          <w:lang w:val="pt-BR"/>
        </w:rPr>
        <w:t xml:space="preserve"> </w:t>
      </w:r>
      <w:r w:rsidR="0091562E"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Congresso</w:t>
      </w:r>
      <w:r w:rsidR="004756C1" w:rsidRPr="002F50BD">
        <w:rPr>
          <w:rFonts w:ascii="Verdana" w:hAnsi="Verdana"/>
          <w:sz w:val="20"/>
          <w:lang w:val="pt-BR"/>
        </w:rPr>
        <w:t xml:space="preserve"> Nacional </w:t>
      </w:r>
      <w:r w:rsidRPr="002F50BD">
        <w:rPr>
          <w:rFonts w:ascii="Verdana" w:hAnsi="Verdana"/>
          <w:sz w:val="20"/>
          <w:lang w:val="pt-BR"/>
        </w:rPr>
        <w:t>do Paraguai</w:t>
      </w:r>
      <w:r w:rsidR="004756C1" w:rsidRPr="002F50BD">
        <w:rPr>
          <w:rFonts w:ascii="Verdana" w:hAnsi="Verdana"/>
          <w:sz w:val="20"/>
          <w:lang w:val="pt-BR"/>
        </w:rPr>
        <w:t>,</w:t>
      </w:r>
      <w:r w:rsidRPr="002F50BD">
        <w:rPr>
          <w:rFonts w:ascii="Verdana" w:hAnsi="Verdana"/>
          <w:sz w:val="20"/>
          <w:lang w:val="pt-BR"/>
        </w:rPr>
        <w:t xml:space="preserve"> através da apresentação d</w:t>
      </w:r>
      <w:r w:rsidR="0091562E" w:rsidRPr="002F50BD">
        <w:rPr>
          <w:rFonts w:ascii="Verdana" w:hAnsi="Verdana"/>
          <w:sz w:val="20"/>
          <w:lang w:val="pt-BR"/>
        </w:rPr>
        <w:t>e</w:t>
      </w:r>
      <w:r w:rsidRPr="002F50BD">
        <w:rPr>
          <w:rFonts w:ascii="Verdana" w:hAnsi="Verdana"/>
          <w:sz w:val="20"/>
          <w:lang w:val="pt-BR"/>
        </w:rPr>
        <w:t xml:space="preserve"> projeto</w:t>
      </w:r>
      <w:r w:rsidR="004756C1" w:rsidRPr="002F50BD">
        <w:rPr>
          <w:rFonts w:ascii="Verdana" w:hAnsi="Verdana"/>
          <w:sz w:val="20"/>
          <w:lang w:val="pt-BR"/>
        </w:rPr>
        <w:t xml:space="preserve">s de </w:t>
      </w:r>
      <w:r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4756C1" w:rsidRPr="002F50BD">
        <w:rPr>
          <w:rFonts w:ascii="Verdana" w:hAnsi="Verdana"/>
          <w:sz w:val="20"/>
          <w:lang w:val="pt-BR"/>
        </w:rPr>
        <w:t xml:space="preserve"> </w:t>
      </w:r>
      <w:r w:rsidRPr="002F50BD">
        <w:rPr>
          <w:rFonts w:ascii="Verdana" w:hAnsi="Verdana"/>
          <w:sz w:val="20"/>
          <w:lang w:val="pt-BR"/>
        </w:rPr>
        <w:t>d</w:t>
      </w:r>
      <w:r w:rsidR="0091562E"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 reclamada, tam</w:t>
      </w:r>
      <w:r w:rsidRPr="002F50BD">
        <w:rPr>
          <w:rFonts w:ascii="Verdana" w:hAnsi="Verdana"/>
          <w:sz w:val="20"/>
          <w:lang w:val="pt-BR"/>
        </w:rPr>
        <w:t>pouco foram</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as;</w:t>
      </w:r>
    </w:p>
    <w:p w:rsidR="0091562E" w:rsidRPr="002F50BD" w:rsidRDefault="0091562E" w:rsidP="0091562E">
      <w:pPr>
        <w:tabs>
          <w:tab w:val="left" w:pos="1080"/>
        </w:tabs>
        <w:ind w:left="360"/>
        <w:jc w:val="both"/>
        <w:rPr>
          <w:rFonts w:ascii="Verdana" w:hAnsi="Verdana"/>
          <w:sz w:val="20"/>
          <w:lang w:val="pt-BR"/>
        </w:rPr>
      </w:pPr>
    </w:p>
    <w:p w:rsidR="004756C1" w:rsidRPr="002F50BD" w:rsidRDefault="0089298C">
      <w:pPr>
        <w:numPr>
          <w:ilvl w:val="0"/>
          <w:numId w:val="7"/>
        </w:numPr>
        <w:tabs>
          <w:tab w:val="left" w:pos="1080"/>
        </w:tabs>
        <w:ind w:left="720"/>
        <w:jc w:val="both"/>
        <w:rPr>
          <w:rFonts w:ascii="Verdana" w:hAnsi="Verdana"/>
          <w:sz w:val="20"/>
          <w:lang w:val="pt-BR"/>
        </w:rPr>
      </w:pPr>
      <w:r w:rsidRPr="002F50BD">
        <w:rPr>
          <w:rFonts w:ascii="Verdana" w:hAnsi="Verdana"/>
          <w:sz w:val="20"/>
          <w:lang w:val="pt-BR"/>
        </w:rPr>
        <w:t xml:space="preserve">A </w:t>
      </w:r>
      <w:r w:rsidR="00385366" w:rsidRPr="002F50BD">
        <w:rPr>
          <w:rFonts w:ascii="Verdana" w:hAnsi="Verdana" w:cs="Arial"/>
          <w:sz w:val="20"/>
          <w:lang w:val="pt-BR"/>
        </w:rPr>
        <w:t>legislação paraguaia</w:t>
      </w:r>
      <w:r w:rsidR="004756C1" w:rsidRPr="002F50BD">
        <w:rPr>
          <w:rFonts w:ascii="Verdana" w:hAnsi="Verdana" w:cs="Arial"/>
          <w:sz w:val="20"/>
          <w:lang w:val="pt-BR"/>
        </w:rPr>
        <w:t xml:space="preserve"> n</w:t>
      </w:r>
      <w:r w:rsidR="0091562E" w:rsidRPr="002F50BD">
        <w:rPr>
          <w:rFonts w:ascii="Verdana" w:hAnsi="Verdana" w:cs="Arial"/>
          <w:sz w:val="20"/>
          <w:lang w:val="pt-BR"/>
        </w:rPr>
        <w:t>ã</w:t>
      </w:r>
      <w:r w:rsidR="004756C1" w:rsidRPr="002F50BD">
        <w:rPr>
          <w:rFonts w:ascii="Verdana" w:hAnsi="Verdana" w:cs="Arial"/>
          <w:sz w:val="20"/>
          <w:lang w:val="pt-BR"/>
        </w:rPr>
        <w:t>o contempla</w:t>
      </w:r>
      <w:r w:rsidRPr="002F50BD">
        <w:rPr>
          <w:rFonts w:ascii="Verdana" w:hAnsi="Verdana" w:cs="Arial"/>
          <w:sz w:val="20"/>
          <w:lang w:val="pt-BR"/>
        </w:rPr>
        <w:t xml:space="preserve"> um </w:t>
      </w:r>
      <w:r w:rsidR="004756C1" w:rsidRPr="002F50BD">
        <w:rPr>
          <w:rFonts w:ascii="Verdana" w:hAnsi="Verdana" w:cs="Arial"/>
          <w:sz w:val="20"/>
          <w:lang w:val="pt-BR"/>
        </w:rPr>
        <w:t xml:space="preserve">recurso judicial </w:t>
      </w:r>
      <w:r w:rsidRPr="002F50BD">
        <w:rPr>
          <w:rFonts w:ascii="Verdana" w:hAnsi="Verdana" w:cs="Arial"/>
          <w:sz w:val="20"/>
          <w:lang w:val="pt-BR"/>
        </w:rPr>
        <w:t>efetiv</w:t>
      </w:r>
      <w:r w:rsidR="004756C1" w:rsidRPr="002F50BD">
        <w:rPr>
          <w:rFonts w:ascii="Verdana" w:hAnsi="Verdana" w:cs="Arial"/>
          <w:sz w:val="20"/>
          <w:lang w:val="pt-BR"/>
        </w:rPr>
        <w:t>o, destinado a proteger</w:t>
      </w:r>
      <w:r w:rsidRPr="002F50BD">
        <w:rPr>
          <w:rFonts w:ascii="Verdana" w:hAnsi="Verdana" w:cs="Arial"/>
          <w:sz w:val="20"/>
          <w:lang w:val="pt-BR"/>
        </w:rPr>
        <w:t xml:space="preserve"> as </w:t>
      </w:r>
      <w:r w:rsidR="004756C1" w:rsidRPr="002F50BD">
        <w:rPr>
          <w:rFonts w:ascii="Verdana" w:hAnsi="Verdana" w:cs="Arial"/>
          <w:sz w:val="20"/>
          <w:lang w:val="pt-BR"/>
        </w:rPr>
        <w:t>legítimas reivindica</w:t>
      </w:r>
      <w:r w:rsidRPr="002F50BD">
        <w:rPr>
          <w:rFonts w:ascii="Verdana" w:hAnsi="Verdana" w:cs="Arial"/>
          <w:sz w:val="20"/>
          <w:lang w:val="pt-BR"/>
        </w:rPr>
        <w:t>ções</w:t>
      </w:r>
      <w:r w:rsidR="004756C1" w:rsidRPr="002F50BD">
        <w:rPr>
          <w:rFonts w:ascii="Verdana" w:hAnsi="Verdana" w:cs="Arial"/>
          <w:sz w:val="20"/>
          <w:lang w:val="pt-BR"/>
        </w:rPr>
        <w:t xml:space="preserve"> </w:t>
      </w:r>
      <w:r w:rsidR="00AB454A" w:rsidRPr="002F50BD">
        <w:rPr>
          <w:rFonts w:ascii="Verdana" w:hAnsi="Verdana" w:cs="Arial"/>
          <w:sz w:val="20"/>
          <w:lang w:val="pt-BR"/>
        </w:rPr>
        <w:t>territoriais</w:t>
      </w:r>
      <w:r w:rsidRPr="002F50BD">
        <w:rPr>
          <w:rFonts w:ascii="Verdana" w:hAnsi="Verdana" w:cs="Arial"/>
          <w:sz w:val="20"/>
          <w:lang w:val="pt-BR"/>
        </w:rPr>
        <w:t xml:space="preserve"> dos povo</w:t>
      </w:r>
      <w:r w:rsidR="004756C1" w:rsidRPr="002F50BD">
        <w:rPr>
          <w:rFonts w:ascii="Verdana" w:hAnsi="Verdana" w:cs="Arial"/>
          <w:sz w:val="20"/>
          <w:lang w:val="pt-BR"/>
        </w:rPr>
        <w:t xml:space="preserve">s indígenas </w:t>
      </w:r>
      <w:r w:rsidRPr="002F50BD">
        <w:rPr>
          <w:rFonts w:ascii="Verdana" w:hAnsi="Verdana" w:cs="Arial"/>
          <w:sz w:val="20"/>
          <w:lang w:val="pt-BR"/>
        </w:rPr>
        <w:t>do Paraguai</w:t>
      </w:r>
      <w:r w:rsidR="004756C1" w:rsidRPr="002F50BD">
        <w:rPr>
          <w:rFonts w:ascii="Verdana" w:hAnsi="Verdana" w:cs="Arial"/>
          <w:sz w:val="20"/>
          <w:lang w:val="pt-BR"/>
        </w:rPr>
        <w:t xml:space="preserve">. </w:t>
      </w:r>
      <w:r w:rsidR="0091562E" w:rsidRPr="002F50BD">
        <w:rPr>
          <w:rFonts w:ascii="Verdana" w:hAnsi="Verdana" w:cs="Arial"/>
          <w:sz w:val="20"/>
          <w:lang w:val="pt-BR"/>
        </w:rPr>
        <w:t>S</w:t>
      </w:r>
      <w:r w:rsidRPr="002F50BD">
        <w:rPr>
          <w:rFonts w:ascii="Verdana" w:hAnsi="Verdana" w:cs="Arial"/>
          <w:sz w:val="20"/>
          <w:lang w:val="pt-BR"/>
        </w:rPr>
        <w:t>e as gestões</w:t>
      </w:r>
      <w:r w:rsidR="004756C1" w:rsidRPr="002F50BD">
        <w:rPr>
          <w:rFonts w:ascii="Verdana" w:hAnsi="Verdana" w:cs="Arial"/>
          <w:sz w:val="20"/>
          <w:lang w:val="pt-BR"/>
        </w:rPr>
        <w:t xml:space="preserve"> </w:t>
      </w:r>
      <w:r w:rsidR="0091562E" w:rsidRPr="002F50BD">
        <w:rPr>
          <w:rFonts w:ascii="Verdana" w:hAnsi="Verdana" w:cs="Arial"/>
          <w:sz w:val="20"/>
          <w:lang w:val="pt-BR"/>
        </w:rPr>
        <w:t>per</w:t>
      </w:r>
      <w:r w:rsidR="004756C1" w:rsidRPr="002F50BD">
        <w:rPr>
          <w:rFonts w:ascii="Verdana" w:hAnsi="Verdana" w:cs="Arial"/>
          <w:sz w:val="20"/>
          <w:lang w:val="pt-BR"/>
        </w:rPr>
        <w:t>ante</w:t>
      </w:r>
      <w:r w:rsidRPr="002F50BD">
        <w:rPr>
          <w:rFonts w:ascii="Verdana" w:hAnsi="Verdana" w:cs="Arial"/>
          <w:sz w:val="20"/>
          <w:lang w:val="pt-BR"/>
        </w:rPr>
        <w:t xml:space="preserve"> o </w:t>
      </w:r>
      <w:r w:rsidR="004756C1" w:rsidRPr="002F50BD">
        <w:rPr>
          <w:rFonts w:ascii="Verdana" w:hAnsi="Verdana" w:cs="Arial"/>
          <w:sz w:val="20"/>
          <w:lang w:val="pt-BR"/>
        </w:rPr>
        <w:t xml:space="preserve">Poder </w:t>
      </w:r>
      <w:r w:rsidRPr="002F50BD">
        <w:rPr>
          <w:rFonts w:ascii="Verdana" w:hAnsi="Verdana" w:cs="Arial"/>
          <w:sz w:val="20"/>
          <w:lang w:val="pt-BR"/>
        </w:rPr>
        <w:t>Executiv</w:t>
      </w:r>
      <w:r w:rsidR="004756C1" w:rsidRPr="002F50BD">
        <w:rPr>
          <w:rFonts w:ascii="Verdana" w:hAnsi="Verdana" w:cs="Arial"/>
          <w:sz w:val="20"/>
          <w:lang w:val="pt-BR"/>
        </w:rPr>
        <w:t xml:space="preserve">o </w:t>
      </w:r>
      <w:r w:rsidR="00CF451D" w:rsidRPr="00CF451D">
        <w:rPr>
          <w:rFonts w:ascii="Verdana" w:hAnsi="Verdana" w:cs="Arial"/>
          <w:sz w:val="20"/>
          <w:lang w:val="pt-BR"/>
        </w:rPr>
        <w:t>(</w:t>
      </w:r>
      <w:r w:rsidR="004756C1" w:rsidRPr="002F50BD">
        <w:rPr>
          <w:rFonts w:ascii="Verdana" w:hAnsi="Verdana" w:cs="Arial"/>
          <w:sz w:val="20"/>
          <w:lang w:val="pt-BR"/>
        </w:rPr>
        <w:t>reclama</w:t>
      </w:r>
      <w:r w:rsidRPr="002F50BD">
        <w:rPr>
          <w:rFonts w:ascii="Verdana" w:hAnsi="Verdana" w:cs="Arial"/>
          <w:sz w:val="20"/>
          <w:lang w:val="pt-BR"/>
        </w:rPr>
        <w:t>ção</w:t>
      </w:r>
      <w:r w:rsidR="004756C1" w:rsidRPr="002F50BD">
        <w:rPr>
          <w:rFonts w:ascii="Verdana" w:hAnsi="Verdana" w:cs="Arial"/>
          <w:sz w:val="20"/>
          <w:lang w:val="pt-BR"/>
        </w:rPr>
        <w:t xml:space="preserve"> territorial</w:t>
      </w:r>
      <w:r w:rsidR="00CF451D" w:rsidRPr="00CF451D">
        <w:rPr>
          <w:rFonts w:ascii="Verdana" w:hAnsi="Verdana" w:cs="Arial"/>
          <w:sz w:val="20"/>
          <w:lang w:val="pt-BR"/>
        </w:rPr>
        <w:t>)</w:t>
      </w:r>
      <w:r w:rsidR="004756C1" w:rsidRPr="002F50BD">
        <w:rPr>
          <w:rFonts w:ascii="Verdana" w:hAnsi="Verdana" w:cs="Arial"/>
          <w:sz w:val="20"/>
          <w:lang w:val="pt-BR"/>
        </w:rPr>
        <w:t xml:space="preserve"> o</w:t>
      </w:r>
      <w:r w:rsidR="0091562E" w:rsidRPr="002F50BD">
        <w:rPr>
          <w:rFonts w:ascii="Verdana" w:hAnsi="Verdana" w:cs="Arial"/>
          <w:sz w:val="20"/>
          <w:lang w:val="pt-BR"/>
        </w:rPr>
        <w:t>u</w:t>
      </w:r>
      <w:r w:rsidR="004756C1" w:rsidRPr="002F50BD">
        <w:rPr>
          <w:rFonts w:ascii="Verdana" w:hAnsi="Verdana" w:cs="Arial"/>
          <w:sz w:val="20"/>
          <w:lang w:val="pt-BR"/>
        </w:rPr>
        <w:t xml:space="preserve"> </w:t>
      </w:r>
      <w:r w:rsidR="0091562E" w:rsidRPr="002F50BD">
        <w:rPr>
          <w:rFonts w:ascii="Verdana" w:hAnsi="Verdana" w:cs="Arial"/>
          <w:sz w:val="20"/>
          <w:lang w:val="pt-BR"/>
        </w:rPr>
        <w:t>per</w:t>
      </w:r>
      <w:r w:rsidR="004756C1" w:rsidRPr="002F50BD">
        <w:rPr>
          <w:rFonts w:ascii="Verdana" w:hAnsi="Verdana" w:cs="Arial"/>
          <w:sz w:val="20"/>
          <w:lang w:val="pt-BR"/>
        </w:rPr>
        <w:t>ante</w:t>
      </w:r>
      <w:r w:rsidRPr="002F50BD">
        <w:rPr>
          <w:rFonts w:ascii="Verdana" w:hAnsi="Verdana" w:cs="Arial"/>
          <w:sz w:val="20"/>
          <w:lang w:val="pt-BR"/>
        </w:rPr>
        <w:t xml:space="preserve"> o </w:t>
      </w:r>
      <w:r w:rsidR="004756C1" w:rsidRPr="002F50BD">
        <w:rPr>
          <w:rFonts w:ascii="Verdana" w:hAnsi="Verdana" w:cs="Arial"/>
          <w:sz w:val="20"/>
          <w:lang w:val="pt-BR"/>
        </w:rPr>
        <w:t xml:space="preserve">Poder Legislativo </w:t>
      </w:r>
      <w:r w:rsidR="00CF451D" w:rsidRPr="00CF451D">
        <w:rPr>
          <w:rFonts w:ascii="Verdana" w:hAnsi="Verdana" w:cs="Arial"/>
          <w:sz w:val="20"/>
          <w:lang w:val="pt-BR"/>
        </w:rPr>
        <w:t>(</w:t>
      </w:r>
      <w:r w:rsidR="00DB51F0" w:rsidRPr="002F50BD">
        <w:rPr>
          <w:rFonts w:ascii="Verdana" w:hAnsi="Verdana" w:cs="Arial"/>
          <w:sz w:val="20"/>
          <w:lang w:val="pt-BR"/>
        </w:rPr>
        <w:t>expropriação</w:t>
      </w:r>
      <w:r w:rsidR="00CF451D" w:rsidRPr="00CF451D">
        <w:rPr>
          <w:rFonts w:ascii="Verdana" w:hAnsi="Verdana" w:cs="Arial"/>
          <w:sz w:val="20"/>
          <w:lang w:val="pt-BR"/>
        </w:rPr>
        <w:t>)</w:t>
      </w:r>
      <w:r w:rsidR="004756C1" w:rsidRPr="002F50BD">
        <w:rPr>
          <w:rFonts w:ascii="Verdana" w:hAnsi="Verdana" w:cs="Arial"/>
          <w:sz w:val="20"/>
          <w:lang w:val="pt-BR"/>
        </w:rPr>
        <w:t xml:space="preserve"> </w:t>
      </w:r>
      <w:r w:rsidR="00AB454A" w:rsidRPr="002F50BD">
        <w:rPr>
          <w:rFonts w:ascii="Verdana" w:hAnsi="Verdana" w:cs="Arial"/>
          <w:sz w:val="20"/>
          <w:lang w:val="pt-BR"/>
        </w:rPr>
        <w:t>não são</w:t>
      </w:r>
      <w:r w:rsidRPr="002F50BD">
        <w:rPr>
          <w:rFonts w:ascii="Verdana" w:hAnsi="Verdana" w:cs="Arial"/>
          <w:sz w:val="20"/>
          <w:lang w:val="pt-BR"/>
        </w:rPr>
        <w:t xml:space="preserve"> efetiv</w:t>
      </w:r>
      <w:r w:rsidR="004756C1" w:rsidRPr="002F50BD" w:rsidDel="00417518">
        <w:rPr>
          <w:rFonts w:ascii="Verdana" w:hAnsi="Verdana" w:cs="Arial"/>
          <w:sz w:val="20"/>
          <w:lang w:val="pt-BR"/>
        </w:rPr>
        <w:t>a</w:t>
      </w:r>
      <w:r w:rsidR="004756C1" w:rsidRPr="002F50BD">
        <w:rPr>
          <w:rFonts w:ascii="Verdana" w:hAnsi="Verdana" w:cs="Arial"/>
          <w:sz w:val="20"/>
          <w:lang w:val="pt-BR"/>
        </w:rPr>
        <w:t>s,</w:t>
      </w:r>
      <w:r w:rsidRPr="002F50BD">
        <w:rPr>
          <w:rFonts w:ascii="Verdana" w:hAnsi="Verdana" w:cs="Arial"/>
          <w:sz w:val="20"/>
          <w:lang w:val="pt-BR"/>
        </w:rPr>
        <w:t xml:space="preserve"> os afeta</w:t>
      </w:r>
      <w:r w:rsidR="004756C1" w:rsidRPr="002F50BD">
        <w:rPr>
          <w:rFonts w:ascii="Verdana" w:hAnsi="Verdana" w:cs="Arial"/>
          <w:sz w:val="20"/>
          <w:lang w:val="pt-BR"/>
        </w:rPr>
        <w:t>dos,</w:t>
      </w:r>
      <w:r w:rsidRPr="002F50BD">
        <w:rPr>
          <w:rFonts w:ascii="Verdana" w:hAnsi="Verdana" w:cs="Arial"/>
          <w:sz w:val="20"/>
          <w:lang w:val="pt-BR"/>
        </w:rPr>
        <w:t xml:space="preserve"> neste </w:t>
      </w:r>
      <w:r w:rsidR="004756C1" w:rsidRPr="002F50BD">
        <w:rPr>
          <w:rFonts w:ascii="Verdana" w:hAnsi="Verdana" w:cs="Arial"/>
          <w:sz w:val="20"/>
          <w:lang w:val="pt-BR"/>
        </w:rPr>
        <w:t>caso</w:t>
      </w:r>
      <w:r w:rsidRPr="002F50BD">
        <w:rPr>
          <w:rFonts w:ascii="Verdana" w:hAnsi="Verdana" w:cs="Arial"/>
          <w:sz w:val="20"/>
          <w:lang w:val="pt-BR"/>
        </w:rPr>
        <w:t xml:space="preserve"> a Comunidade </w:t>
      </w:r>
      <w:r w:rsidR="004756C1" w:rsidRPr="002F50BD">
        <w:rPr>
          <w:rFonts w:ascii="Verdana" w:hAnsi="Verdana" w:cs="Arial"/>
          <w:sz w:val="20"/>
          <w:lang w:val="pt-BR"/>
        </w:rPr>
        <w:t>Yakye Axa</w:t>
      </w:r>
      <w:r w:rsidRPr="002F50BD">
        <w:rPr>
          <w:rFonts w:ascii="Verdana" w:hAnsi="Verdana" w:cs="Arial"/>
          <w:sz w:val="20"/>
          <w:lang w:val="pt-BR"/>
        </w:rPr>
        <w:t xml:space="preserve"> e </w:t>
      </w:r>
      <w:r w:rsidR="00AB454A" w:rsidRPr="002F50BD">
        <w:rPr>
          <w:rFonts w:ascii="Verdana" w:hAnsi="Verdana" w:cs="Arial"/>
          <w:sz w:val="20"/>
          <w:lang w:val="pt-BR"/>
        </w:rPr>
        <w:t>seus membros</w:t>
      </w:r>
      <w:r w:rsidR="004756C1" w:rsidRPr="002F50BD">
        <w:rPr>
          <w:rFonts w:ascii="Verdana" w:hAnsi="Verdana" w:cs="Arial"/>
          <w:sz w:val="20"/>
          <w:lang w:val="pt-BR"/>
        </w:rPr>
        <w:t xml:space="preserve">, </w:t>
      </w:r>
      <w:r w:rsidRPr="002F50BD">
        <w:rPr>
          <w:rFonts w:ascii="Verdana" w:hAnsi="Verdana" w:cs="Arial"/>
          <w:sz w:val="20"/>
          <w:lang w:val="pt-BR"/>
        </w:rPr>
        <w:t xml:space="preserve">não possuem um </w:t>
      </w:r>
      <w:r w:rsidR="004756C1" w:rsidRPr="002F50BD">
        <w:rPr>
          <w:rFonts w:ascii="Verdana" w:hAnsi="Verdana" w:cs="Arial"/>
          <w:sz w:val="20"/>
          <w:szCs w:val="22"/>
          <w:lang w:val="pt-BR"/>
        </w:rPr>
        <w:t xml:space="preserve">recurso judicial por </w:t>
      </w:r>
      <w:r w:rsidRPr="002F50BD">
        <w:rPr>
          <w:rFonts w:ascii="Verdana" w:hAnsi="Verdana" w:cs="Arial"/>
          <w:sz w:val="20"/>
          <w:szCs w:val="22"/>
          <w:lang w:val="pt-BR"/>
        </w:rPr>
        <w:t xml:space="preserve">meio do qual </w:t>
      </w:r>
      <w:r w:rsidR="00AB454A" w:rsidRPr="002F50BD">
        <w:rPr>
          <w:rFonts w:ascii="Verdana" w:hAnsi="Verdana" w:cs="Arial"/>
          <w:sz w:val="20"/>
          <w:szCs w:val="22"/>
          <w:lang w:val="pt-BR"/>
        </w:rPr>
        <w:t>possam</w:t>
      </w:r>
      <w:r w:rsidRPr="002F50BD">
        <w:rPr>
          <w:rFonts w:ascii="Verdana" w:hAnsi="Verdana" w:cs="Arial"/>
          <w:sz w:val="20"/>
          <w:szCs w:val="22"/>
          <w:lang w:val="pt-BR"/>
        </w:rPr>
        <w:t xml:space="preserve"> fazer </w:t>
      </w:r>
      <w:r w:rsidR="004756C1" w:rsidRPr="002F50BD">
        <w:rPr>
          <w:rFonts w:ascii="Verdana" w:hAnsi="Verdana" w:cs="Arial"/>
          <w:sz w:val="20"/>
          <w:szCs w:val="22"/>
          <w:lang w:val="pt-BR"/>
        </w:rPr>
        <w:t xml:space="preserve">valer </w:t>
      </w:r>
      <w:r w:rsidRPr="002F50BD">
        <w:rPr>
          <w:rFonts w:ascii="Verdana" w:hAnsi="Verdana" w:cs="Arial"/>
          <w:sz w:val="20"/>
          <w:szCs w:val="22"/>
          <w:lang w:val="pt-BR"/>
        </w:rPr>
        <w:t>seus direitos, e</w:t>
      </w:r>
    </w:p>
    <w:p w:rsidR="0091562E" w:rsidRPr="002F50BD" w:rsidRDefault="0091562E" w:rsidP="0091562E">
      <w:pPr>
        <w:tabs>
          <w:tab w:val="left" w:pos="1080"/>
        </w:tabs>
        <w:ind w:left="360"/>
        <w:jc w:val="both"/>
        <w:rPr>
          <w:rFonts w:ascii="Verdana" w:hAnsi="Verdana"/>
          <w:sz w:val="20"/>
          <w:lang w:val="pt-BR"/>
        </w:rPr>
      </w:pPr>
    </w:p>
    <w:p w:rsidR="004756C1" w:rsidRPr="002F50BD" w:rsidRDefault="0089298C">
      <w:pPr>
        <w:numPr>
          <w:ilvl w:val="0"/>
          <w:numId w:val="7"/>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cs="Arial"/>
          <w:sz w:val="20"/>
          <w:lang w:val="pt-BR"/>
        </w:rPr>
        <w:t>in</w:t>
      </w:r>
      <w:r w:rsidRPr="002F50BD">
        <w:rPr>
          <w:rFonts w:ascii="Verdana" w:hAnsi="Verdana" w:cs="Arial"/>
          <w:sz w:val="20"/>
          <w:lang w:val="pt-BR"/>
        </w:rPr>
        <w:t>eficácia</w:t>
      </w:r>
      <w:r w:rsidR="004756C1" w:rsidRPr="002F50BD">
        <w:rPr>
          <w:rFonts w:ascii="Verdana" w:hAnsi="Verdana" w:cs="Arial"/>
          <w:sz w:val="20"/>
          <w:lang w:val="pt-BR"/>
        </w:rPr>
        <w:t xml:space="preserve"> </w:t>
      </w:r>
      <w:r w:rsidRPr="002F50BD">
        <w:rPr>
          <w:rFonts w:ascii="Verdana" w:hAnsi="Verdana" w:cs="Arial"/>
          <w:sz w:val="20"/>
          <w:lang w:val="pt-BR"/>
        </w:rPr>
        <w:t>destes procedimento</w:t>
      </w:r>
      <w:r w:rsidR="004756C1" w:rsidRPr="002F50BD">
        <w:rPr>
          <w:rFonts w:ascii="Verdana" w:hAnsi="Verdana" w:cs="Arial"/>
          <w:sz w:val="20"/>
          <w:lang w:val="pt-BR"/>
        </w:rPr>
        <w:t>s signific</w:t>
      </w:r>
      <w:r w:rsidR="0091562E" w:rsidRPr="002F50BD">
        <w:rPr>
          <w:rFonts w:ascii="Verdana" w:hAnsi="Verdana" w:cs="Arial"/>
          <w:sz w:val="20"/>
          <w:lang w:val="pt-BR"/>
        </w:rPr>
        <w:t>ou, em concreto,</w:t>
      </w:r>
      <w:r w:rsidR="004756C1" w:rsidRPr="002F50BD">
        <w:rPr>
          <w:rFonts w:ascii="Verdana" w:hAnsi="Verdana" w:cs="Arial"/>
          <w:sz w:val="20"/>
          <w:lang w:val="pt-BR"/>
        </w:rPr>
        <w:t xml:space="preserve"> que </w:t>
      </w:r>
      <w:r w:rsidRPr="002F50BD">
        <w:rPr>
          <w:rFonts w:ascii="Verdana" w:hAnsi="Verdana" w:cs="Arial"/>
          <w:sz w:val="20"/>
          <w:lang w:val="pt-BR"/>
        </w:rPr>
        <w:t xml:space="preserve">o </w:t>
      </w:r>
      <w:r w:rsidR="004756C1" w:rsidRPr="002F50BD">
        <w:rPr>
          <w:rFonts w:ascii="Verdana" w:hAnsi="Verdana" w:cs="Arial"/>
          <w:sz w:val="20"/>
          <w:lang w:val="pt-BR"/>
        </w:rPr>
        <w:t>Estado</w:t>
      </w:r>
      <w:r w:rsidRPr="002F50BD">
        <w:rPr>
          <w:rFonts w:ascii="Verdana" w:hAnsi="Verdana" w:cs="Arial"/>
          <w:sz w:val="20"/>
          <w:lang w:val="pt-BR"/>
        </w:rPr>
        <w:t xml:space="preserve"> </w:t>
      </w:r>
      <w:r w:rsidR="00C837AF" w:rsidRPr="002F50BD">
        <w:rPr>
          <w:rFonts w:ascii="Verdana" w:hAnsi="Verdana" w:cs="Arial"/>
          <w:sz w:val="20"/>
          <w:lang w:val="pt-BR"/>
        </w:rPr>
        <w:t xml:space="preserve">não </w:t>
      </w:r>
      <w:r w:rsidR="006603BE" w:rsidRPr="002F50BD">
        <w:rPr>
          <w:rFonts w:ascii="Verdana" w:hAnsi="Verdana" w:cs="Arial"/>
          <w:sz w:val="20"/>
          <w:lang w:val="pt-BR"/>
        </w:rPr>
        <w:t>garant</w:t>
      </w:r>
      <w:r w:rsidR="00C837AF" w:rsidRPr="002F50BD">
        <w:rPr>
          <w:rFonts w:ascii="Verdana" w:hAnsi="Verdana" w:cs="Arial"/>
          <w:sz w:val="20"/>
          <w:lang w:val="pt-BR"/>
        </w:rPr>
        <w:t>iu</w:t>
      </w:r>
      <w:r w:rsidR="006603BE" w:rsidRPr="002F50BD">
        <w:rPr>
          <w:rFonts w:ascii="Verdana" w:hAnsi="Verdana" w:cs="Arial"/>
          <w:sz w:val="20"/>
          <w:lang w:val="pt-BR"/>
        </w:rPr>
        <w:t xml:space="preserve"> </w:t>
      </w:r>
      <w:r w:rsidRPr="002F50BD">
        <w:rPr>
          <w:rFonts w:ascii="Verdana" w:hAnsi="Verdana" w:cs="Arial"/>
          <w:sz w:val="20"/>
          <w:lang w:val="pt-BR"/>
        </w:rPr>
        <w:t>o direito</w:t>
      </w:r>
      <w:r w:rsidR="004756C1" w:rsidRPr="002F50BD">
        <w:rPr>
          <w:rFonts w:ascii="Verdana" w:hAnsi="Verdana" w:cs="Arial"/>
          <w:sz w:val="20"/>
          <w:lang w:val="pt-BR"/>
        </w:rPr>
        <w:t xml:space="preserve"> de </w:t>
      </w:r>
      <w:r w:rsidRPr="002F50BD">
        <w:rPr>
          <w:rFonts w:ascii="Verdana" w:hAnsi="Verdana" w:cs="Arial"/>
          <w:sz w:val="20"/>
          <w:lang w:val="pt-BR"/>
        </w:rPr>
        <w:t xml:space="preserve">propriedade da Comunidade </w:t>
      </w:r>
      <w:r w:rsidR="004756C1" w:rsidRPr="002F50BD">
        <w:rPr>
          <w:rFonts w:ascii="Verdana" w:hAnsi="Verdana" w:cs="Arial"/>
          <w:sz w:val="20"/>
          <w:lang w:val="pt-BR"/>
        </w:rPr>
        <w:t xml:space="preserve">Yakye Axa a </w:t>
      </w:r>
      <w:r w:rsidR="00AB454A" w:rsidRPr="002F50BD">
        <w:rPr>
          <w:rFonts w:ascii="Verdana" w:hAnsi="Verdana" w:cs="Arial"/>
          <w:sz w:val="20"/>
          <w:lang w:val="pt-BR"/>
        </w:rPr>
        <w:t>seu território</w:t>
      </w:r>
      <w:r w:rsidR="004756C1" w:rsidRPr="002F50BD">
        <w:rPr>
          <w:rFonts w:ascii="Verdana" w:hAnsi="Verdana" w:cs="Arial"/>
          <w:sz w:val="20"/>
          <w:lang w:val="pt-BR"/>
        </w:rPr>
        <w:t xml:space="preserve"> ancestral.</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 xml:space="preserve">Alegações dos </w:t>
      </w:r>
      <w:r w:rsidR="008C29C9" w:rsidRPr="002F50BD">
        <w:rPr>
          <w:rFonts w:ascii="Verdana" w:hAnsi="Verdana"/>
          <w:i/>
          <w:sz w:val="20"/>
        </w:rPr>
        <w:t>representante</w:t>
      </w:r>
      <w:r w:rsidR="004756C1" w:rsidRPr="002F50BD">
        <w:rPr>
          <w:rFonts w:ascii="Verdana" w:hAnsi="Verdana"/>
          <w:i/>
          <w:sz w:val="20"/>
        </w:rPr>
        <w:t>s</w:t>
      </w:r>
    </w:p>
    <w:p w:rsidR="004756C1" w:rsidRPr="002F50BD" w:rsidRDefault="004756C1">
      <w:pPr>
        <w:ind w:left="360"/>
        <w:jc w:val="both"/>
        <w:rPr>
          <w:rFonts w:ascii="Verdana" w:hAnsi="Verdana"/>
          <w:i/>
          <w:sz w:val="20"/>
        </w:rPr>
      </w:pPr>
    </w:p>
    <w:p w:rsidR="004756C1" w:rsidRPr="002F50BD" w:rsidRDefault="004756C1">
      <w:pPr>
        <w:numPr>
          <w:ilvl w:val="0"/>
          <w:numId w:val="26"/>
        </w:numPr>
        <w:jc w:val="both"/>
        <w:rPr>
          <w:rFonts w:ascii="Verdana" w:hAnsi="Verdana"/>
          <w:sz w:val="20"/>
          <w:lang w:val="pt-BR"/>
        </w:rPr>
      </w:pPr>
      <w:r w:rsidRPr="002F50BD">
        <w:rPr>
          <w:rFonts w:ascii="Verdana" w:hAnsi="Verdana"/>
          <w:sz w:val="20"/>
          <w:lang w:val="pt-BR"/>
        </w:rPr>
        <w:lastRenderedPageBreak/>
        <w:t>E</w:t>
      </w:r>
      <w:r w:rsidR="0091562E" w:rsidRPr="002F50BD">
        <w:rPr>
          <w:rFonts w:ascii="Verdana" w:hAnsi="Verdana"/>
          <w:sz w:val="20"/>
          <w:lang w:val="pt-BR"/>
        </w:rPr>
        <w:t>m</w:t>
      </w:r>
      <w:r w:rsidRPr="002F50BD">
        <w:rPr>
          <w:rFonts w:ascii="Verdana" w:hAnsi="Verdana"/>
          <w:sz w:val="20"/>
          <w:lang w:val="pt-BR"/>
        </w:rPr>
        <w:t xml:space="preserve"> rela</w:t>
      </w:r>
      <w:r w:rsidR="0089298C" w:rsidRPr="002F50BD">
        <w:rPr>
          <w:rFonts w:ascii="Verdana" w:hAnsi="Verdana"/>
          <w:sz w:val="20"/>
          <w:lang w:val="pt-BR"/>
        </w:rPr>
        <w:t xml:space="preserve">ção </w:t>
      </w:r>
      <w:r w:rsidR="0091562E" w:rsidRPr="002F50BD">
        <w:rPr>
          <w:rFonts w:ascii="Verdana" w:hAnsi="Verdana"/>
          <w:sz w:val="20"/>
          <w:lang w:val="pt-BR"/>
        </w:rPr>
        <w:t>a</w:t>
      </w:r>
      <w:r w:rsidR="0089298C" w:rsidRPr="002F50BD">
        <w:rPr>
          <w:rFonts w:ascii="Verdana" w:hAnsi="Verdana"/>
          <w:sz w:val="20"/>
          <w:lang w:val="pt-BR"/>
        </w:rPr>
        <w:t>os artigo</w:t>
      </w:r>
      <w:r w:rsidRPr="002F50BD">
        <w:rPr>
          <w:rFonts w:ascii="Verdana" w:hAnsi="Verdana"/>
          <w:sz w:val="20"/>
          <w:lang w:val="pt-BR"/>
        </w:rPr>
        <w:t xml:space="preserve">s </w:t>
      </w:r>
      <w:r w:rsidR="00063B47" w:rsidRPr="002F50BD">
        <w:rPr>
          <w:rFonts w:ascii="Verdana" w:hAnsi="Verdana"/>
          <w:sz w:val="20"/>
          <w:lang w:val="pt-BR"/>
        </w:rPr>
        <w:t>8</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Pr="002F50BD">
        <w:rPr>
          <w:rFonts w:ascii="Verdana" w:hAnsi="Verdana"/>
          <w:sz w:val="20"/>
          <w:lang w:val="pt-BR"/>
        </w:rPr>
        <w:t xml:space="preserve">s </w:t>
      </w:r>
      <w:r w:rsidR="0089298C" w:rsidRPr="002F50BD">
        <w:rPr>
          <w:rFonts w:ascii="Verdana" w:hAnsi="Verdana"/>
          <w:sz w:val="20"/>
          <w:lang w:val="pt-BR"/>
        </w:rPr>
        <w:t>alegaram</w:t>
      </w:r>
      <w:r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89298C">
      <w:pPr>
        <w:numPr>
          <w:ilvl w:val="0"/>
          <w:numId w:val="8"/>
        </w:numPr>
        <w:tabs>
          <w:tab w:val="left" w:pos="1080"/>
        </w:tabs>
        <w:ind w:left="720"/>
        <w:jc w:val="both"/>
        <w:rPr>
          <w:rFonts w:ascii="Verdana" w:hAnsi="Verdana"/>
          <w:sz w:val="20"/>
          <w:lang w:val="pt-BR"/>
        </w:rPr>
      </w:pPr>
      <w:r w:rsidRPr="002F50BD">
        <w:rPr>
          <w:rFonts w:ascii="Verdana" w:hAnsi="Verdana"/>
          <w:sz w:val="20"/>
          <w:lang w:val="pt-BR"/>
        </w:rPr>
        <w:t>No processo</w:t>
      </w:r>
      <w:r w:rsidR="004756C1" w:rsidRPr="002F50BD">
        <w:rPr>
          <w:rFonts w:ascii="Verdana" w:hAnsi="Verdana"/>
          <w:sz w:val="20"/>
          <w:lang w:val="pt-BR"/>
        </w:rPr>
        <w:t xml:space="preserve"> interno de </w:t>
      </w:r>
      <w:r w:rsidRPr="002F50BD">
        <w:rPr>
          <w:rFonts w:ascii="Verdana" w:hAnsi="Verdana"/>
          <w:sz w:val="20"/>
          <w:lang w:val="pt-BR"/>
        </w:rPr>
        <w:t>restituição da terra</w:t>
      </w:r>
      <w:r w:rsidR="004756C1" w:rsidRPr="002F50BD">
        <w:rPr>
          <w:rFonts w:ascii="Verdana" w:hAnsi="Verdana"/>
          <w:sz w:val="20"/>
          <w:lang w:val="pt-BR"/>
        </w:rPr>
        <w:t xml:space="preserve"> ancestral iniciado</w:t>
      </w:r>
      <w:r w:rsidRPr="002F50BD">
        <w:rPr>
          <w:rFonts w:ascii="Verdana" w:hAnsi="Verdana"/>
          <w:sz w:val="20"/>
          <w:lang w:val="pt-BR"/>
        </w:rPr>
        <w:t xml:space="preserve"> pela Comunidade </w:t>
      </w:r>
      <w:r w:rsidR="004756C1" w:rsidRPr="002F50BD">
        <w:rPr>
          <w:rFonts w:ascii="Verdana" w:hAnsi="Verdana"/>
          <w:sz w:val="20"/>
          <w:lang w:val="pt-BR"/>
        </w:rPr>
        <w:t xml:space="preserve">Yakye Axa </w:t>
      </w:r>
      <w:r w:rsidR="00C03ED8"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as </w:t>
      </w:r>
      <w:r w:rsidR="004756C1" w:rsidRPr="002F50BD">
        <w:rPr>
          <w:rFonts w:ascii="Verdana" w:hAnsi="Verdana"/>
          <w:sz w:val="20"/>
          <w:lang w:val="pt-BR"/>
        </w:rPr>
        <w:t xml:space="preserve">autoridades </w:t>
      </w:r>
      <w:r w:rsidRPr="002F50BD">
        <w:rPr>
          <w:rFonts w:ascii="Verdana" w:hAnsi="Verdana"/>
          <w:sz w:val="20"/>
          <w:lang w:val="pt-BR"/>
        </w:rPr>
        <w:t>Paraguai</w:t>
      </w:r>
      <w:r w:rsidR="004756C1" w:rsidRPr="002F50BD">
        <w:rPr>
          <w:rFonts w:ascii="Verdana" w:hAnsi="Verdana"/>
          <w:sz w:val="20"/>
          <w:lang w:val="pt-BR"/>
        </w:rPr>
        <w:t>as, n</w:t>
      </w:r>
      <w:r w:rsidR="006603BE" w:rsidRPr="002F50BD">
        <w:rPr>
          <w:rFonts w:ascii="Verdana" w:hAnsi="Verdana"/>
          <w:sz w:val="20"/>
          <w:lang w:val="pt-BR"/>
        </w:rPr>
        <w:t>ã</w:t>
      </w:r>
      <w:r w:rsidR="004756C1" w:rsidRPr="002F50BD">
        <w:rPr>
          <w:rFonts w:ascii="Verdana" w:hAnsi="Verdana"/>
          <w:sz w:val="20"/>
          <w:lang w:val="pt-BR"/>
        </w:rPr>
        <w:t xml:space="preserve">o </w:t>
      </w:r>
      <w:r w:rsidR="00C03ED8" w:rsidRPr="002F50BD">
        <w:rPr>
          <w:rFonts w:ascii="Verdana" w:hAnsi="Verdana"/>
          <w:sz w:val="20"/>
          <w:lang w:val="pt-BR"/>
        </w:rPr>
        <w:t xml:space="preserve">foi respeitado </w:t>
      </w:r>
      <w:r w:rsidRPr="002F50BD">
        <w:rPr>
          <w:rFonts w:ascii="Verdana" w:hAnsi="Verdana"/>
          <w:sz w:val="20"/>
          <w:lang w:val="pt-BR"/>
        </w:rPr>
        <w:t>o princípio</w:t>
      </w:r>
      <w:r w:rsidR="004756C1" w:rsidRPr="002F50BD">
        <w:rPr>
          <w:rFonts w:ascii="Verdana" w:hAnsi="Verdana"/>
          <w:sz w:val="20"/>
          <w:lang w:val="pt-BR"/>
        </w:rPr>
        <w:t xml:space="preserve"> d</w:t>
      </w:r>
      <w:r w:rsidR="0049664C" w:rsidRPr="002F50BD">
        <w:rPr>
          <w:rFonts w:ascii="Verdana" w:hAnsi="Verdana"/>
          <w:sz w:val="20"/>
          <w:lang w:val="pt-BR"/>
        </w:rPr>
        <w:t>o</w:t>
      </w:r>
      <w:r w:rsidRPr="002F50BD">
        <w:rPr>
          <w:rFonts w:ascii="Verdana" w:hAnsi="Verdana"/>
          <w:sz w:val="20"/>
          <w:lang w:val="pt-BR"/>
        </w:rPr>
        <w:t xml:space="preserve"> prazo</w:t>
      </w:r>
      <w:r w:rsidR="004756C1" w:rsidRPr="002F50BD">
        <w:rPr>
          <w:rFonts w:ascii="Verdana" w:hAnsi="Verdana"/>
          <w:sz w:val="20"/>
          <w:lang w:val="pt-BR"/>
        </w:rPr>
        <w:t xml:space="preserve"> </w:t>
      </w:r>
      <w:r w:rsidR="00AB454A" w:rsidRPr="002F50BD">
        <w:rPr>
          <w:rFonts w:ascii="Verdana" w:hAnsi="Verdana"/>
          <w:sz w:val="20"/>
          <w:lang w:val="pt-BR"/>
        </w:rPr>
        <w:t>razoável,</w:t>
      </w:r>
      <w:r w:rsidR="004756C1" w:rsidRPr="002F50BD">
        <w:rPr>
          <w:rFonts w:ascii="Verdana" w:hAnsi="Verdana"/>
          <w:sz w:val="20"/>
          <w:lang w:val="pt-BR"/>
        </w:rPr>
        <w:t xml:space="preserve"> consagrado</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AB454A" w:rsidRPr="002F50BD">
        <w:rPr>
          <w:rFonts w:ascii="Verdana" w:hAnsi="Verdana"/>
          <w:sz w:val="20"/>
          <w:lang w:val="pt-BR"/>
        </w:rPr>
        <w:t xml:space="preserve">. A </w:t>
      </w:r>
      <w:r w:rsidRPr="002F50BD">
        <w:rPr>
          <w:rFonts w:ascii="Verdana" w:hAnsi="Verdana"/>
          <w:sz w:val="20"/>
          <w:lang w:val="pt-BR"/>
        </w:rPr>
        <w:t xml:space="preserve">inscrição dos </w:t>
      </w:r>
      <w:r w:rsidR="004756C1" w:rsidRPr="002F50BD">
        <w:rPr>
          <w:rFonts w:ascii="Verdana" w:hAnsi="Verdana"/>
          <w:sz w:val="20"/>
          <w:lang w:val="pt-BR"/>
        </w:rPr>
        <w:t>líderes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03ED8" w:rsidRPr="002F50BD">
        <w:rPr>
          <w:rFonts w:ascii="Verdana" w:hAnsi="Verdana"/>
          <w:sz w:val="20"/>
          <w:lang w:val="pt-BR"/>
        </w:rPr>
        <w:t xml:space="preserve">demorou </w:t>
      </w:r>
      <w:r w:rsidRPr="002F50BD">
        <w:rPr>
          <w:rFonts w:ascii="Verdana" w:hAnsi="Verdana"/>
          <w:sz w:val="20"/>
          <w:lang w:val="pt-BR"/>
        </w:rPr>
        <w:t xml:space="preserve">três </w:t>
      </w:r>
      <w:r w:rsidR="006603BE" w:rsidRPr="002F50BD">
        <w:rPr>
          <w:rFonts w:ascii="Verdana" w:hAnsi="Verdana"/>
          <w:sz w:val="20"/>
          <w:lang w:val="pt-BR"/>
        </w:rPr>
        <w:t>anos para</w:t>
      </w:r>
      <w:r w:rsidRPr="002F50BD">
        <w:rPr>
          <w:rFonts w:ascii="Verdana" w:hAnsi="Verdana"/>
          <w:sz w:val="20"/>
          <w:lang w:val="pt-BR"/>
        </w:rPr>
        <w:t xml:space="preserve"> </w:t>
      </w:r>
      <w:r w:rsidR="00C03ED8" w:rsidRPr="002F50BD">
        <w:rPr>
          <w:rFonts w:ascii="Verdana" w:hAnsi="Verdana"/>
          <w:sz w:val="20"/>
          <w:lang w:val="pt-BR"/>
        </w:rPr>
        <w:t>ser concluída</w:t>
      </w:r>
      <w:r w:rsidR="004756C1" w:rsidRPr="002F50BD">
        <w:rPr>
          <w:rFonts w:ascii="Verdana" w:hAnsi="Verdana"/>
          <w:sz w:val="20"/>
          <w:lang w:val="pt-BR"/>
        </w:rPr>
        <w:t xml:space="preserve">, </w:t>
      </w:r>
      <w:r w:rsidRPr="002F50BD">
        <w:rPr>
          <w:rFonts w:ascii="Verdana" w:hAnsi="Verdana"/>
          <w:sz w:val="20"/>
          <w:lang w:val="pt-BR"/>
        </w:rPr>
        <w:t>quando o prazo</w:t>
      </w:r>
      <w:r w:rsidR="004756C1" w:rsidRPr="002F50BD">
        <w:rPr>
          <w:rFonts w:ascii="Verdana" w:hAnsi="Verdana"/>
          <w:sz w:val="20"/>
          <w:lang w:val="pt-BR"/>
        </w:rPr>
        <w:t xml:space="preserve"> para proceder a esta </w:t>
      </w:r>
      <w:r w:rsidRPr="002F50BD">
        <w:rPr>
          <w:rFonts w:ascii="Verdana" w:hAnsi="Verdana"/>
          <w:sz w:val="20"/>
          <w:lang w:val="pt-BR"/>
        </w:rPr>
        <w:t>inscrição</w:t>
      </w:r>
      <w:r w:rsidR="004756C1" w:rsidRPr="002F50BD">
        <w:rPr>
          <w:rFonts w:ascii="Verdana" w:hAnsi="Verdana"/>
          <w:sz w:val="20"/>
          <w:lang w:val="pt-BR"/>
        </w:rPr>
        <w:t xml:space="preserve">, </w:t>
      </w:r>
      <w:r w:rsidRPr="002F50BD">
        <w:rPr>
          <w:rFonts w:ascii="Verdana" w:hAnsi="Verdana"/>
          <w:sz w:val="20"/>
          <w:lang w:val="pt-BR"/>
        </w:rPr>
        <w:t xml:space="preserve">de acordo </w:t>
      </w:r>
      <w:r w:rsidR="004076AD" w:rsidRPr="002F50BD">
        <w:rPr>
          <w:rFonts w:ascii="Verdana" w:hAnsi="Verdana"/>
          <w:sz w:val="20"/>
          <w:lang w:val="pt-BR"/>
        </w:rPr>
        <w:t>com o estabelecido</w:t>
      </w:r>
      <w:r w:rsidRPr="002F50BD">
        <w:rPr>
          <w:rFonts w:ascii="Verdana" w:hAnsi="Verdana"/>
          <w:sz w:val="20"/>
          <w:lang w:val="pt-BR"/>
        </w:rPr>
        <w:t xml:space="preserve"> pelo artigo</w:t>
      </w:r>
      <w:r w:rsidR="004756C1" w:rsidRPr="002F50BD">
        <w:rPr>
          <w:rFonts w:ascii="Verdana" w:hAnsi="Verdana"/>
          <w:sz w:val="20"/>
          <w:lang w:val="pt-BR"/>
        </w:rPr>
        <w:t xml:space="preserve"> </w:t>
      </w:r>
      <w:r w:rsidR="00063B47" w:rsidRPr="002F50BD">
        <w:rPr>
          <w:rFonts w:ascii="Verdana" w:hAnsi="Verdana"/>
          <w:sz w:val="20"/>
          <w:lang w:val="pt-BR"/>
        </w:rPr>
        <w:t>12</w:t>
      </w:r>
      <w:r w:rsidRPr="002F50BD">
        <w:rPr>
          <w:rFonts w:ascii="Verdana" w:hAnsi="Verdana"/>
          <w:sz w:val="20"/>
          <w:lang w:val="pt-BR"/>
        </w:rPr>
        <w:t xml:space="preserve"> da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9664C" w:rsidRPr="002F50BD">
        <w:rPr>
          <w:rFonts w:ascii="Verdana" w:hAnsi="Verdana"/>
          <w:sz w:val="20"/>
          <w:lang w:val="pt-BR"/>
        </w:rPr>
        <w:t>,</w:t>
      </w:r>
      <w:r w:rsidRPr="002F50BD">
        <w:rPr>
          <w:rFonts w:ascii="Verdana" w:hAnsi="Verdana"/>
          <w:sz w:val="20"/>
          <w:lang w:val="pt-BR"/>
        </w:rPr>
        <w:t xml:space="preserve"> é </w:t>
      </w:r>
      <w:r w:rsidR="004756C1" w:rsidRPr="002F50BD">
        <w:rPr>
          <w:rFonts w:ascii="Verdana" w:hAnsi="Verdana"/>
          <w:sz w:val="20"/>
          <w:lang w:val="pt-BR"/>
        </w:rPr>
        <w:t xml:space="preserve">de </w:t>
      </w:r>
      <w:r w:rsidR="00063B47" w:rsidRPr="002F50BD">
        <w:rPr>
          <w:rFonts w:ascii="Verdana" w:hAnsi="Verdana"/>
          <w:sz w:val="20"/>
          <w:lang w:val="pt-BR"/>
        </w:rPr>
        <w:t>30</w:t>
      </w:r>
      <w:r w:rsidR="004756C1" w:rsidRPr="002F50BD">
        <w:rPr>
          <w:rFonts w:ascii="Verdana" w:hAnsi="Verdana"/>
          <w:sz w:val="20"/>
          <w:lang w:val="pt-BR"/>
        </w:rPr>
        <w:t xml:space="preserve"> </w:t>
      </w:r>
      <w:r w:rsidRPr="002F50BD">
        <w:rPr>
          <w:rFonts w:ascii="Verdana" w:hAnsi="Verdana"/>
          <w:sz w:val="20"/>
          <w:lang w:val="pt-BR"/>
        </w:rPr>
        <w:t>dia</w:t>
      </w:r>
      <w:r w:rsidR="004756C1" w:rsidRPr="002F50BD">
        <w:rPr>
          <w:rFonts w:ascii="Verdana" w:hAnsi="Verdana"/>
          <w:sz w:val="20"/>
          <w:lang w:val="pt-BR"/>
        </w:rPr>
        <w:t>s</w:t>
      </w:r>
      <w:r w:rsidR="00D95E71" w:rsidRPr="002F50BD">
        <w:rPr>
          <w:rFonts w:ascii="Verdana" w:hAnsi="Verdana"/>
          <w:sz w:val="20"/>
          <w:lang w:val="pt-BR"/>
        </w:rPr>
        <w:t xml:space="preserve">. O </w:t>
      </w:r>
      <w:r w:rsidR="004756C1" w:rsidRPr="002F50BD">
        <w:rPr>
          <w:rFonts w:ascii="Verdana" w:hAnsi="Verdana"/>
          <w:sz w:val="20"/>
          <w:lang w:val="pt-BR"/>
        </w:rPr>
        <w:t xml:space="preserve">elemento de </w:t>
      </w:r>
      <w:r w:rsidRPr="002F50BD">
        <w:rPr>
          <w:rFonts w:ascii="Verdana" w:hAnsi="Verdana"/>
          <w:sz w:val="20"/>
          <w:lang w:val="pt-BR"/>
        </w:rPr>
        <w:t>complexidade</w:t>
      </w:r>
      <w:r w:rsidR="004756C1" w:rsidRPr="002F50BD">
        <w:rPr>
          <w:rFonts w:ascii="Verdana" w:hAnsi="Verdana"/>
          <w:sz w:val="20"/>
          <w:lang w:val="pt-BR"/>
        </w:rPr>
        <w:t xml:space="preserve"> </w:t>
      </w:r>
      <w:r w:rsidR="006603BE" w:rsidRPr="002F50BD">
        <w:rPr>
          <w:rFonts w:ascii="Verdana" w:hAnsi="Verdana"/>
          <w:sz w:val="20"/>
          <w:lang w:val="pt-BR"/>
        </w:rPr>
        <w:t xml:space="preserve">neste caso </w:t>
      </w:r>
      <w:r w:rsidR="004756C1" w:rsidRPr="002F50BD">
        <w:rPr>
          <w:rFonts w:ascii="Verdana" w:hAnsi="Verdana"/>
          <w:sz w:val="20"/>
          <w:lang w:val="pt-BR"/>
        </w:rPr>
        <w:t>era mínimo</w:t>
      </w:r>
      <w:r w:rsidRPr="002F50BD">
        <w:rPr>
          <w:rFonts w:ascii="Verdana" w:hAnsi="Verdana"/>
          <w:sz w:val="20"/>
          <w:lang w:val="pt-BR"/>
        </w:rPr>
        <w:t xml:space="preserve"> 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Pr="002F50BD">
        <w:rPr>
          <w:rFonts w:ascii="Verdana" w:hAnsi="Verdana"/>
          <w:sz w:val="20"/>
          <w:lang w:val="pt-BR"/>
        </w:rPr>
        <w:t xml:space="preserve">legais da Comunidade </w:t>
      </w:r>
      <w:r w:rsidR="0049664C" w:rsidRPr="002F50BD">
        <w:rPr>
          <w:rFonts w:ascii="Verdana" w:hAnsi="Verdana"/>
          <w:sz w:val="20"/>
          <w:lang w:val="pt-BR"/>
        </w:rPr>
        <w:t>anexaram</w:t>
      </w:r>
      <w:r w:rsidRPr="002F50BD">
        <w:rPr>
          <w:rFonts w:ascii="Verdana" w:hAnsi="Verdana"/>
          <w:sz w:val="20"/>
          <w:lang w:val="pt-BR"/>
        </w:rPr>
        <w:t xml:space="preserve"> à solicitação </w:t>
      </w:r>
      <w:r w:rsidR="004756C1" w:rsidRPr="002F50BD">
        <w:rPr>
          <w:rFonts w:ascii="Verdana" w:hAnsi="Verdana"/>
          <w:sz w:val="20"/>
          <w:lang w:val="pt-BR"/>
        </w:rPr>
        <w:t xml:space="preserve">de </w:t>
      </w:r>
      <w:r w:rsidRPr="002F50BD">
        <w:rPr>
          <w:rFonts w:ascii="Verdana" w:hAnsi="Verdana"/>
          <w:sz w:val="20"/>
          <w:lang w:val="pt-BR"/>
        </w:rPr>
        <w:t xml:space="preserve">inscrição os </w:t>
      </w:r>
      <w:r w:rsidR="004756C1" w:rsidRPr="002F50BD">
        <w:rPr>
          <w:rFonts w:ascii="Verdana" w:hAnsi="Verdana"/>
          <w:sz w:val="20"/>
          <w:lang w:val="pt-BR"/>
        </w:rPr>
        <w:t>documentos requeridos</w:t>
      </w:r>
      <w:r w:rsidRPr="002F50BD">
        <w:rPr>
          <w:rFonts w:ascii="Verdana" w:hAnsi="Verdana"/>
          <w:sz w:val="20"/>
          <w:lang w:val="pt-BR"/>
        </w:rPr>
        <w:t xml:space="preserve"> pela </w:t>
      </w:r>
      <w:r w:rsidR="004756C1" w:rsidRPr="002F50BD">
        <w:rPr>
          <w:rFonts w:ascii="Verdana" w:hAnsi="Verdana"/>
          <w:sz w:val="20"/>
          <w:lang w:val="pt-BR"/>
        </w:rPr>
        <w:t>normativa interna. Igualmente,</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03ED8" w:rsidRPr="002F50BD">
        <w:rPr>
          <w:rFonts w:ascii="Verdana" w:hAnsi="Verdana"/>
          <w:sz w:val="20"/>
          <w:lang w:val="pt-BR"/>
        </w:rPr>
        <w:t xml:space="preserve">demorou </w:t>
      </w:r>
      <w:r w:rsidRPr="002F50BD">
        <w:rPr>
          <w:rFonts w:ascii="Verdana" w:hAnsi="Verdana"/>
          <w:sz w:val="20"/>
          <w:lang w:val="pt-BR"/>
        </w:rPr>
        <w:t xml:space="preserve">mais </w:t>
      </w:r>
      <w:r w:rsidR="004756C1" w:rsidRPr="002F50BD">
        <w:rPr>
          <w:rFonts w:ascii="Verdana" w:hAnsi="Verdana"/>
          <w:sz w:val="20"/>
          <w:lang w:val="pt-BR"/>
        </w:rPr>
        <w:t>de</w:t>
      </w:r>
      <w:r w:rsidRPr="002F50BD">
        <w:rPr>
          <w:rFonts w:ascii="Verdana" w:hAnsi="Verdana"/>
          <w:sz w:val="20"/>
          <w:lang w:val="pt-BR"/>
        </w:rPr>
        <w:t xml:space="preserve"> três anos em </w:t>
      </w:r>
      <w:r w:rsidR="00C03ED8" w:rsidRPr="002F50BD">
        <w:rPr>
          <w:rFonts w:ascii="Verdana" w:hAnsi="Verdana"/>
          <w:sz w:val="20"/>
          <w:lang w:val="pt-BR"/>
        </w:rPr>
        <w:t>ser concluído</w:t>
      </w:r>
      <w:r w:rsidR="00AB454A" w:rsidRPr="002F50BD">
        <w:rPr>
          <w:rFonts w:ascii="Verdana" w:hAnsi="Verdana"/>
          <w:sz w:val="20"/>
          <w:lang w:val="pt-BR"/>
        </w:rPr>
        <w:t xml:space="preserve">. A </w:t>
      </w:r>
      <w:r w:rsidRPr="002F50BD">
        <w:rPr>
          <w:rFonts w:ascii="Verdana" w:hAnsi="Verdana"/>
          <w:sz w:val="20"/>
          <w:lang w:val="pt-BR"/>
        </w:rPr>
        <w:t xml:space="preserve">Comunidade fez a solicitação </w:t>
      </w:r>
      <w:r w:rsidR="00C03ED8"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INDI</w:t>
      </w:r>
      <w:r w:rsidRPr="002F50BD">
        <w:rPr>
          <w:rFonts w:ascii="Verdana" w:hAnsi="Verdana"/>
          <w:sz w:val="20"/>
          <w:lang w:val="pt-BR"/>
        </w:rPr>
        <w:t xml:space="preserve"> em </w:t>
      </w:r>
      <w:r w:rsidR="00063B47" w:rsidRPr="002F50BD">
        <w:rPr>
          <w:rFonts w:ascii="Verdana" w:hAnsi="Verdana"/>
          <w:sz w:val="20"/>
          <w:lang w:val="pt-BR"/>
        </w:rPr>
        <w:t>21</w:t>
      </w:r>
      <w:r w:rsidR="004756C1" w:rsidRPr="002F50BD">
        <w:rPr>
          <w:rFonts w:ascii="Verdana" w:hAnsi="Verdana"/>
          <w:sz w:val="20"/>
          <w:lang w:val="pt-BR"/>
        </w:rPr>
        <w:t xml:space="preserve"> de</w:t>
      </w:r>
      <w:r w:rsidRPr="002F50BD">
        <w:rPr>
          <w:rFonts w:ascii="Verdana" w:hAnsi="Verdana"/>
          <w:sz w:val="20"/>
          <w:lang w:val="pt-BR"/>
        </w:rPr>
        <w:t xml:space="preserve"> maio </w:t>
      </w:r>
      <w:r w:rsidR="004756C1" w:rsidRPr="002F50BD">
        <w:rPr>
          <w:rFonts w:ascii="Verdana" w:hAnsi="Verdana"/>
          <w:sz w:val="20"/>
          <w:lang w:val="pt-BR"/>
        </w:rPr>
        <w:t xml:space="preserve">de </w:t>
      </w:r>
      <w:r w:rsidR="00063B47" w:rsidRPr="002F50BD">
        <w:rPr>
          <w:rFonts w:ascii="Verdana" w:hAnsi="Verdana"/>
          <w:sz w:val="20"/>
          <w:lang w:val="pt-BR"/>
        </w:rPr>
        <w:t>1998</w:t>
      </w:r>
      <w:r w:rsidR="004756C1" w:rsidRPr="002F50BD">
        <w:rPr>
          <w:rFonts w:ascii="Verdana" w:hAnsi="Verdana"/>
          <w:sz w:val="20"/>
          <w:lang w:val="pt-BR"/>
        </w:rPr>
        <w:t>,</w:t>
      </w:r>
      <w:r w:rsidRPr="002F50BD">
        <w:rPr>
          <w:rFonts w:ascii="Verdana" w:hAnsi="Verdana"/>
          <w:sz w:val="20"/>
          <w:lang w:val="pt-BR"/>
        </w:rPr>
        <w:t xml:space="preserve"> </w:t>
      </w:r>
      <w:r w:rsidR="00C03ED8" w:rsidRPr="002F50BD">
        <w:rPr>
          <w:rFonts w:ascii="Verdana" w:hAnsi="Verdana"/>
          <w:sz w:val="20"/>
          <w:lang w:val="pt-BR"/>
        </w:rPr>
        <w:t>no entanto</w:t>
      </w:r>
      <w:r w:rsidR="004756C1" w:rsidRPr="002F50BD">
        <w:rPr>
          <w:rFonts w:ascii="Verdana" w:hAnsi="Verdana"/>
          <w:sz w:val="20"/>
          <w:lang w:val="pt-BR"/>
        </w:rPr>
        <w:t>,</w:t>
      </w:r>
      <w:r w:rsidRPr="002F50BD">
        <w:rPr>
          <w:rFonts w:ascii="Verdana" w:hAnsi="Verdana"/>
          <w:sz w:val="20"/>
          <w:lang w:val="pt-BR"/>
        </w:rPr>
        <w:t xml:space="preserve"> 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foi reconhecida </w:t>
      </w:r>
      <w:r w:rsidR="00C03ED8" w:rsidRPr="002F50BD">
        <w:rPr>
          <w:rFonts w:ascii="Verdana" w:hAnsi="Verdana"/>
          <w:sz w:val="20"/>
          <w:lang w:val="pt-BR"/>
        </w:rPr>
        <w:t>em</w:t>
      </w:r>
      <w:r w:rsidRPr="002F50BD">
        <w:rPr>
          <w:rFonts w:ascii="Verdana" w:hAnsi="Verdana"/>
          <w:sz w:val="20"/>
          <w:lang w:val="pt-BR"/>
        </w:rPr>
        <w:t xml:space="preserve"> </w:t>
      </w:r>
      <w:r w:rsidR="00063B47" w:rsidRPr="002F50BD">
        <w:rPr>
          <w:rFonts w:ascii="Verdana" w:hAnsi="Verdana"/>
          <w:sz w:val="20"/>
          <w:lang w:val="pt-BR"/>
        </w:rPr>
        <w:t>10</w:t>
      </w:r>
      <w:r w:rsidR="004756C1" w:rsidRPr="002F50BD">
        <w:rPr>
          <w:rFonts w:ascii="Verdana" w:hAnsi="Verdana"/>
          <w:sz w:val="20"/>
          <w:lang w:val="pt-BR"/>
        </w:rPr>
        <w:t xml:space="preserve"> de </w:t>
      </w:r>
      <w:r w:rsidRPr="002F50BD">
        <w:rPr>
          <w:rFonts w:ascii="Verdana" w:hAnsi="Verdana"/>
          <w:sz w:val="20"/>
          <w:lang w:val="pt-BR"/>
        </w:rPr>
        <w:t>dezembro</w:t>
      </w:r>
      <w:r w:rsidR="004756C1" w:rsidRPr="002F50BD">
        <w:rPr>
          <w:rFonts w:ascii="Verdana" w:hAnsi="Verdana"/>
          <w:sz w:val="20"/>
          <w:lang w:val="pt-BR"/>
        </w:rPr>
        <w:t xml:space="preserve"> de </w:t>
      </w:r>
      <w:r w:rsidR="00063B47" w:rsidRPr="002F50BD">
        <w:rPr>
          <w:rFonts w:ascii="Verdana" w:hAnsi="Verdana"/>
          <w:sz w:val="20"/>
          <w:lang w:val="pt-BR"/>
        </w:rPr>
        <w:t>2001</w:t>
      </w:r>
      <w:r w:rsidR="001A0CDE" w:rsidRPr="002F50BD">
        <w:rPr>
          <w:rFonts w:ascii="Verdana" w:hAnsi="Verdana"/>
          <w:sz w:val="20"/>
          <w:lang w:val="pt-BR"/>
        </w:rPr>
        <w:t>. Est</w:t>
      </w:r>
      <w:r w:rsidR="004756C1" w:rsidRPr="002F50BD">
        <w:rPr>
          <w:rFonts w:ascii="Verdana" w:hAnsi="Verdana"/>
          <w:sz w:val="20"/>
          <w:lang w:val="pt-BR"/>
        </w:rPr>
        <w:t>e</w:t>
      </w:r>
      <w:r w:rsidRPr="002F50BD">
        <w:rPr>
          <w:rFonts w:ascii="Verdana" w:hAnsi="Verdana"/>
          <w:sz w:val="20"/>
          <w:lang w:val="pt-BR"/>
        </w:rPr>
        <w:t xml:space="preserve"> ato </w:t>
      </w:r>
      <w:r w:rsidR="004756C1" w:rsidRPr="002F50BD">
        <w:rPr>
          <w:rFonts w:ascii="Verdana" w:hAnsi="Verdana"/>
          <w:sz w:val="20"/>
          <w:lang w:val="pt-BR"/>
        </w:rPr>
        <w:t>de re</w:t>
      </w:r>
      <w:r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 </w:t>
      </w:r>
      <w:r w:rsidRPr="002F50BD">
        <w:rPr>
          <w:rFonts w:ascii="Verdana" w:hAnsi="Verdana"/>
          <w:sz w:val="20"/>
          <w:lang w:val="pt-BR"/>
        </w:rPr>
        <w:t xml:space="preserve">constitui </w:t>
      </w:r>
      <w:r w:rsidR="00C03ED8" w:rsidRPr="002F50BD">
        <w:rPr>
          <w:rFonts w:ascii="Verdana" w:hAnsi="Verdana"/>
          <w:sz w:val="20"/>
          <w:lang w:val="pt-BR"/>
        </w:rPr>
        <w:t xml:space="preserve">apenas </w:t>
      </w:r>
      <w:r w:rsidRPr="002F50BD">
        <w:rPr>
          <w:rFonts w:ascii="Verdana" w:hAnsi="Verdana"/>
          <w:sz w:val="20"/>
          <w:lang w:val="pt-BR"/>
        </w:rPr>
        <w:t xml:space="preserve">um </w:t>
      </w:r>
      <w:r w:rsidR="004756C1" w:rsidRPr="002F50BD">
        <w:rPr>
          <w:rFonts w:ascii="Verdana" w:hAnsi="Verdana"/>
          <w:sz w:val="20"/>
          <w:lang w:val="pt-BR"/>
        </w:rPr>
        <w:t>requisito para</w:t>
      </w:r>
      <w:r w:rsidRPr="002F50BD">
        <w:rPr>
          <w:rFonts w:ascii="Verdana" w:hAnsi="Verdana"/>
          <w:sz w:val="20"/>
          <w:lang w:val="pt-BR"/>
        </w:rPr>
        <w:t xml:space="preserve"> fazer efetiv</w:t>
      </w:r>
      <w:r w:rsidR="004756C1" w:rsidRPr="002F50BD">
        <w:rPr>
          <w:rFonts w:ascii="Verdana" w:hAnsi="Verdana"/>
          <w:sz w:val="20"/>
          <w:lang w:val="pt-BR"/>
        </w:rPr>
        <w:t>a</w:t>
      </w:r>
      <w:r w:rsidRPr="002F50BD">
        <w:rPr>
          <w:rFonts w:ascii="Verdana" w:hAnsi="Verdana"/>
          <w:sz w:val="20"/>
          <w:lang w:val="pt-BR"/>
        </w:rPr>
        <w:t xml:space="preserve"> a </w:t>
      </w:r>
      <w:r w:rsidR="004756C1" w:rsidRPr="002F50BD">
        <w:rPr>
          <w:rFonts w:ascii="Verdana" w:hAnsi="Verdana"/>
          <w:sz w:val="20"/>
          <w:lang w:val="pt-BR"/>
        </w:rPr>
        <w:t>titula</w:t>
      </w:r>
      <w:r w:rsidRPr="002F50BD">
        <w:rPr>
          <w:rFonts w:ascii="Verdana" w:hAnsi="Verdana"/>
          <w:sz w:val="20"/>
          <w:lang w:val="pt-BR"/>
        </w:rPr>
        <w:t>ção da terra</w:t>
      </w:r>
      <w:r w:rsidR="004756C1" w:rsidRPr="002F50BD">
        <w:rPr>
          <w:rFonts w:ascii="Verdana" w:hAnsi="Verdana"/>
          <w:sz w:val="20"/>
          <w:lang w:val="pt-BR"/>
        </w:rPr>
        <w:t xml:space="preserve"> ancestral que </w:t>
      </w:r>
      <w:r w:rsidR="00AB454A" w:rsidRPr="002F50BD">
        <w:rPr>
          <w:rFonts w:ascii="Verdana" w:hAnsi="Verdana"/>
          <w:sz w:val="20"/>
          <w:lang w:val="pt-BR"/>
        </w:rPr>
        <w:t>pertence</w:t>
      </w:r>
      <w:r w:rsidRPr="002F50BD">
        <w:rPr>
          <w:rFonts w:ascii="Verdana" w:hAnsi="Verdana"/>
          <w:sz w:val="20"/>
          <w:lang w:val="pt-BR"/>
        </w:rPr>
        <w:t xml:space="preserve"> às </w:t>
      </w:r>
      <w:r w:rsidR="004756C1" w:rsidRPr="002F50BD">
        <w:rPr>
          <w:rFonts w:ascii="Verdana" w:hAnsi="Verdana"/>
          <w:sz w:val="20"/>
          <w:lang w:val="pt-BR"/>
        </w:rPr>
        <w:t>comunidades indígenas</w:t>
      </w:r>
      <w:r w:rsidRPr="002F50BD">
        <w:rPr>
          <w:rFonts w:ascii="Verdana" w:hAnsi="Verdana"/>
          <w:sz w:val="20"/>
          <w:lang w:val="pt-BR"/>
        </w:rPr>
        <w:t xml:space="preserve"> e </w:t>
      </w:r>
      <w:r w:rsidR="00AB454A" w:rsidRPr="002F50BD">
        <w:rPr>
          <w:rFonts w:ascii="Verdana" w:hAnsi="Verdana"/>
          <w:sz w:val="20"/>
          <w:lang w:val="pt-BR"/>
        </w:rPr>
        <w:t>não é</w:t>
      </w:r>
      <w:r w:rsidRPr="002F50BD">
        <w:rPr>
          <w:rFonts w:ascii="Verdana" w:hAnsi="Verdana"/>
          <w:sz w:val="20"/>
          <w:lang w:val="pt-BR"/>
        </w:rPr>
        <w:t xml:space="preserve"> um </w:t>
      </w:r>
      <w:r w:rsidR="004756C1" w:rsidRPr="002F50BD">
        <w:rPr>
          <w:rFonts w:ascii="Verdana" w:hAnsi="Verdana"/>
          <w:sz w:val="20"/>
          <w:lang w:val="pt-BR"/>
        </w:rPr>
        <w:t>requisito para declarar</w:t>
      </w:r>
      <w:r w:rsidRPr="002F50BD">
        <w:rPr>
          <w:rFonts w:ascii="Verdana" w:hAnsi="Verdana"/>
          <w:sz w:val="20"/>
          <w:lang w:val="pt-BR"/>
        </w:rPr>
        <w:t xml:space="preserve"> a existência das </w:t>
      </w:r>
      <w:r w:rsidR="004756C1" w:rsidRPr="002F50BD">
        <w:rPr>
          <w:rFonts w:ascii="Verdana" w:hAnsi="Verdana"/>
          <w:sz w:val="20"/>
          <w:lang w:val="pt-BR"/>
        </w:rPr>
        <w:t>comunidades,</w:t>
      </w:r>
      <w:r w:rsidRPr="002F50BD">
        <w:rPr>
          <w:rFonts w:ascii="Verdana" w:hAnsi="Verdana"/>
          <w:sz w:val="20"/>
          <w:lang w:val="pt-BR"/>
        </w:rPr>
        <w:t xml:space="preserve"> nem </w:t>
      </w:r>
      <w:r w:rsidR="004756C1" w:rsidRPr="002F50BD">
        <w:rPr>
          <w:rFonts w:ascii="Verdana" w:hAnsi="Verdana"/>
          <w:sz w:val="20"/>
          <w:lang w:val="pt-BR"/>
        </w:rPr>
        <w:t>para</w:t>
      </w:r>
      <w:r w:rsidRPr="002F50BD">
        <w:rPr>
          <w:rFonts w:ascii="Verdana" w:hAnsi="Verdana"/>
          <w:sz w:val="20"/>
          <w:lang w:val="pt-BR"/>
        </w:rPr>
        <w:t xml:space="preserve"> o início do procedimento</w:t>
      </w:r>
      <w:r w:rsidR="004756C1" w:rsidRPr="002F50BD">
        <w:rPr>
          <w:rFonts w:ascii="Verdana" w:hAnsi="Verdana"/>
          <w:sz w:val="20"/>
          <w:lang w:val="pt-BR"/>
        </w:rPr>
        <w:t xml:space="preserve"> de reivindica</w:t>
      </w:r>
      <w:r w:rsidRPr="002F50BD">
        <w:rPr>
          <w:rFonts w:ascii="Verdana" w:hAnsi="Verdana"/>
          <w:sz w:val="20"/>
          <w:lang w:val="pt-BR"/>
        </w:rPr>
        <w:t>ção</w:t>
      </w:r>
      <w:r w:rsidR="004756C1" w:rsidRPr="002F50BD">
        <w:rPr>
          <w:rFonts w:ascii="Verdana" w:hAnsi="Verdana"/>
          <w:sz w:val="20"/>
          <w:lang w:val="pt-BR"/>
        </w:rPr>
        <w:t xml:space="preserve"> de </w:t>
      </w:r>
      <w:r w:rsidR="00A50140" w:rsidRPr="002F50BD">
        <w:rPr>
          <w:rFonts w:ascii="Verdana" w:hAnsi="Verdana"/>
          <w:sz w:val="20"/>
          <w:lang w:val="pt-BR"/>
        </w:rPr>
        <w:t>suas terras</w:t>
      </w:r>
      <w:r w:rsidR="004756C1" w:rsidRPr="002F50BD">
        <w:rPr>
          <w:rFonts w:ascii="Verdana" w:hAnsi="Verdana"/>
          <w:sz w:val="20"/>
          <w:lang w:val="pt-BR"/>
        </w:rPr>
        <w:t xml:space="preserve"> </w:t>
      </w:r>
      <w:r w:rsidR="00AB454A" w:rsidRPr="002F50BD">
        <w:rPr>
          <w:rFonts w:ascii="Verdana" w:hAnsi="Verdana"/>
          <w:sz w:val="20"/>
          <w:lang w:val="pt-BR"/>
        </w:rPr>
        <w:t>ancestrais</w:t>
      </w:r>
      <w:r w:rsidR="004756C1" w:rsidRPr="002F50BD">
        <w:rPr>
          <w:rFonts w:ascii="Verdana" w:hAnsi="Verdana"/>
          <w:sz w:val="20"/>
          <w:lang w:val="pt-BR"/>
        </w:rPr>
        <w:t>;</w:t>
      </w:r>
    </w:p>
    <w:p w:rsidR="00C03ED8" w:rsidRPr="002F50BD" w:rsidRDefault="00C03ED8" w:rsidP="00C03ED8">
      <w:pPr>
        <w:tabs>
          <w:tab w:val="left" w:pos="1080"/>
        </w:tabs>
        <w:ind w:left="360"/>
        <w:jc w:val="both"/>
        <w:rPr>
          <w:rFonts w:ascii="Verdana" w:hAnsi="Verdana"/>
          <w:sz w:val="20"/>
          <w:lang w:val="pt-BR"/>
        </w:rPr>
      </w:pPr>
    </w:p>
    <w:p w:rsidR="004756C1" w:rsidRPr="002F50BD" w:rsidRDefault="00C03ED8">
      <w:pPr>
        <w:numPr>
          <w:ilvl w:val="0"/>
          <w:numId w:val="8"/>
        </w:numPr>
        <w:tabs>
          <w:tab w:val="left" w:pos="1080"/>
        </w:tabs>
        <w:ind w:left="720"/>
        <w:jc w:val="both"/>
        <w:rPr>
          <w:rFonts w:ascii="Verdana" w:hAnsi="Verdana"/>
          <w:sz w:val="20"/>
          <w:lang w:val="pt-BR"/>
        </w:rPr>
      </w:pPr>
      <w:r w:rsidRPr="002F50BD">
        <w:rPr>
          <w:rFonts w:ascii="Verdana" w:hAnsi="Verdana"/>
          <w:sz w:val="20"/>
          <w:lang w:val="pt-BR"/>
        </w:rPr>
        <w:t xml:space="preserve">O pedido </w:t>
      </w:r>
      <w:r w:rsidR="004756C1" w:rsidRPr="002F50BD">
        <w:rPr>
          <w:rFonts w:ascii="Verdana" w:hAnsi="Verdana"/>
          <w:sz w:val="20"/>
          <w:lang w:val="pt-BR"/>
        </w:rPr>
        <w:t xml:space="preserve">de </w:t>
      </w:r>
      <w:r w:rsidR="0089298C" w:rsidRPr="002F50BD">
        <w:rPr>
          <w:rFonts w:ascii="Verdana" w:hAnsi="Verdana"/>
          <w:sz w:val="20"/>
          <w:lang w:val="pt-BR"/>
        </w:rPr>
        <w:t>restituição da terra</w:t>
      </w:r>
      <w:r w:rsidR="004756C1" w:rsidRPr="002F50BD">
        <w:rPr>
          <w:rFonts w:ascii="Verdana" w:hAnsi="Verdana"/>
          <w:sz w:val="20"/>
          <w:lang w:val="pt-BR"/>
        </w:rPr>
        <w:t xml:space="preserve"> ancestral</w:t>
      </w:r>
      <w:r w:rsidR="0089298C" w:rsidRPr="002F50BD">
        <w:rPr>
          <w:rFonts w:ascii="Verdana" w:hAnsi="Verdana"/>
          <w:sz w:val="20"/>
          <w:lang w:val="pt-BR"/>
        </w:rPr>
        <w:t xml:space="preserve"> foi apresentad</w:t>
      </w:r>
      <w:r w:rsidRPr="002F50BD">
        <w:rPr>
          <w:rFonts w:ascii="Verdana" w:hAnsi="Verdana"/>
          <w:sz w:val="20"/>
          <w:lang w:val="pt-BR"/>
        </w:rPr>
        <w:t>o</w:t>
      </w:r>
      <w:r w:rsidR="0089298C" w:rsidRPr="002F50BD">
        <w:rPr>
          <w:rFonts w:ascii="Verdana" w:hAnsi="Verdana"/>
          <w:sz w:val="20"/>
          <w:lang w:val="pt-BR"/>
        </w:rPr>
        <w:t xml:space="preserve"> pela Comunidad</w:t>
      </w:r>
      <w:r w:rsidR="006603BE" w:rsidRPr="002F50BD">
        <w:rPr>
          <w:rFonts w:ascii="Verdana" w:hAnsi="Verdana"/>
          <w:sz w:val="20"/>
          <w:lang w:val="pt-BR"/>
        </w:rPr>
        <w:t>e em</w:t>
      </w:r>
      <w:r w:rsidR="0089298C" w:rsidRPr="002F50BD">
        <w:rPr>
          <w:rFonts w:ascii="Verdana" w:hAnsi="Verdana"/>
          <w:sz w:val="20"/>
          <w:lang w:val="pt-BR"/>
        </w:rPr>
        <w:t xml:space="preserve"> </w:t>
      </w:r>
      <w:r w:rsidR="00063B47" w:rsidRPr="002F50BD">
        <w:rPr>
          <w:rFonts w:ascii="Verdana" w:hAnsi="Verdana"/>
          <w:sz w:val="20"/>
          <w:lang w:val="pt-BR"/>
        </w:rPr>
        <w:t>13</w:t>
      </w:r>
      <w:r w:rsidR="004756C1" w:rsidRPr="002F50BD">
        <w:rPr>
          <w:rFonts w:ascii="Verdana" w:hAnsi="Verdana"/>
          <w:sz w:val="20"/>
          <w:lang w:val="pt-BR"/>
        </w:rPr>
        <w:t xml:space="preserve"> de </w:t>
      </w:r>
      <w:r w:rsidR="0089298C" w:rsidRPr="002F50BD">
        <w:rPr>
          <w:rFonts w:ascii="Verdana" w:hAnsi="Verdana"/>
          <w:sz w:val="20"/>
          <w:lang w:val="pt-BR"/>
        </w:rPr>
        <w:t>outubro</w:t>
      </w:r>
      <w:r w:rsidR="004756C1" w:rsidRPr="002F50BD">
        <w:rPr>
          <w:rFonts w:ascii="Verdana" w:hAnsi="Verdana"/>
          <w:sz w:val="20"/>
          <w:lang w:val="pt-BR"/>
        </w:rPr>
        <w:t xml:space="preserve"> de </w:t>
      </w:r>
      <w:r w:rsidR="00063B47" w:rsidRPr="002F50BD">
        <w:rPr>
          <w:rFonts w:ascii="Verdana" w:hAnsi="Verdana"/>
          <w:sz w:val="20"/>
          <w:lang w:val="pt-BR"/>
        </w:rPr>
        <w:t>1993</w:t>
      </w:r>
      <w:r w:rsidR="0089298C" w:rsidRPr="002F50BD">
        <w:rPr>
          <w:rFonts w:ascii="Verdana" w:hAnsi="Verdana"/>
          <w:sz w:val="20"/>
          <w:lang w:val="pt-BR"/>
        </w:rPr>
        <w:t xml:space="preserve"> e </w:t>
      </w:r>
      <w:r w:rsidRPr="002F50BD">
        <w:rPr>
          <w:rFonts w:ascii="Verdana" w:hAnsi="Verdana"/>
          <w:sz w:val="20"/>
          <w:lang w:val="pt-BR"/>
        </w:rPr>
        <w:t xml:space="preserve">até a presente </w:t>
      </w:r>
      <w:r w:rsidR="0089298C" w:rsidRPr="002F50BD">
        <w:rPr>
          <w:rFonts w:ascii="Verdana" w:hAnsi="Verdana"/>
          <w:sz w:val="20"/>
          <w:lang w:val="pt-BR"/>
        </w:rPr>
        <w:t>data</w:t>
      </w:r>
      <w:r w:rsidR="004756C1" w:rsidRPr="002F50BD">
        <w:rPr>
          <w:rFonts w:ascii="Verdana" w:hAnsi="Verdana"/>
          <w:sz w:val="20"/>
          <w:lang w:val="pt-BR"/>
        </w:rPr>
        <w:t xml:space="preserve">, </w:t>
      </w:r>
      <w:r w:rsidR="0089298C" w:rsidRPr="002F50BD">
        <w:rPr>
          <w:rFonts w:ascii="Verdana" w:hAnsi="Verdana"/>
          <w:sz w:val="20"/>
          <w:lang w:val="pt-BR"/>
        </w:rPr>
        <w:t xml:space="preserve">quase </w:t>
      </w:r>
      <w:r w:rsidR="00951B61">
        <w:rPr>
          <w:rFonts w:ascii="Verdana" w:hAnsi="Verdana"/>
          <w:sz w:val="20"/>
          <w:lang w:val="pt-BR"/>
        </w:rPr>
        <w:t>12</w:t>
      </w:r>
      <w:r w:rsidR="0089298C" w:rsidRPr="002F50BD">
        <w:rPr>
          <w:rFonts w:ascii="Verdana" w:hAnsi="Verdana"/>
          <w:sz w:val="20"/>
          <w:lang w:val="pt-BR"/>
        </w:rPr>
        <w:t xml:space="preserve"> anos</w:t>
      </w:r>
      <w:r w:rsidR="004756C1" w:rsidRPr="002F50BD">
        <w:rPr>
          <w:rFonts w:ascii="Verdana" w:hAnsi="Verdana"/>
          <w:sz w:val="20"/>
          <w:lang w:val="pt-BR"/>
        </w:rPr>
        <w:t xml:space="preserve"> </w:t>
      </w:r>
      <w:r w:rsidR="0089298C" w:rsidRPr="002F50BD">
        <w:rPr>
          <w:rFonts w:ascii="Verdana" w:hAnsi="Verdana"/>
          <w:sz w:val="20"/>
          <w:lang w:val="pt-BR"/>
        </w:rPr>
        <w:t>depois</w:t>
      </w:r>
      <w:r w:rsidR="004756C1" w:rsidRPr="002F50BD">
        <w:rPr>
          <w:rFonts w:ascii="Verdana" w:hAnsi="Verdana"/>
          <w:sz w:val="20"/>
          <w:lang w:val="pt-BR"/>
        </w:rPr>
        <w:t xml:space="preserve"> de </w:t>
      </w:r>
      <w:r w:rsidRPr="002F50BD">
        <w:rPr>
          <w:rFonts w:ascii="Verdana" w:hAnsi="Verdana"/>
          <w:sz w:val="20"/>
          <w:lang w:val="pt-BR"/>
        </w:rPr>
        <w:t>a</w:t>
      </w:r>
      <w:r w:rsidR="004756C1" w:rsidRPr="002F50BD">
        <w:rPr>
          <w:rFonts w:ascii="Verdana" w:hAnsi="Verdana"/>
          <w:sz w:val="20"/>
          <w:lang w:val="pt-BR"/>
        </w:rPr>
        <w:t>presentada</w:t>
      </w:r>
      <w:r w:rsidR="004756C1" w:rsidRPr="002F50BD" w:rsidDel="000239C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 xml:space="preserve">não deu </w:t>
      </w:r>
      <w:r w:rsidR="0089298C" w:rsidRPr="002F50BD">
        <w:rPr>
          <w:rFonts w:ascii="Verdana" w:hAnsi="Verdana"/>
          <w:sz w:val="20"/>
          <w:lang w:val="pt-BR"/>
        </w:rPr>
        <w:t xml:space="preserve">uma </w:t>
      </w:r>
      <w:r w:rsidR="004756C1" w:rsidRPr="002F50BD">
        <w:rPr>
          <w:rFonts w:ascii="Verdana" w:hAnsi="Verdana"/>
          <w:sz w:val="20"/>
          <w:lang w:val="pt-BR"/>
        </w:rPr>
        <w:t>res</w:t>
      </w:r>
      <w:r w:rsidR="0089298C" w:rsidRPr="002F50BD">
        <w:rPr>
          <w:rFonts w:ascii="Verdana" w:hAnsi="Verdana"/>
          <w:sz w:val="20"/>
          <w:lang w:val="pt-BR"/>
        </w:rPr>
        <w:t>posta</w:t>
      </w:r>
      <w:r w:rsidR="004756C1" w:rsidRPr="002F50BD">
        <w:rPr>
          <w:rFonts w:ascii="Verdana" w:hAnsi="Verdana"/>
          <w:sz w:val="20"/>
          <w:lang w:val="pt-BR"/>
        </w:rPr>
        <w:t xml:space="preserve"> definitiva</w:t>
      </w:r>
      <w:r w:rsidR="0089298C" w:rsidRPr="002F50BD">
        <w:rPr>
          <w:rFonts w:ascii="Verdana" w:hAnsi="Verdana"/>
          <w:sz w:val="20"/>
          <w:lang w:val="pt-BR"/>
        </w:rPr>
        <w:t xml:space="preserve"> </w:t>
      </w:r>
      <w:r w:rsidR="00B861C7" w:rsidRPr="002F50BD">
        <w:rPr>
          <w:rFonts w:ascii="Verdana" w:hAnsi="Verdana"/>
          <w:sz w:val="20"/>
          <w:lang w:val="pt-BR"/>
        </w:rPr>
        <w:t>à reivindicação</w:t>
      </w:r>
      <w:r w:rsidR="0089298C" w:rsidRPr="002F50BD">
        <w:rPr>
          <w:rFonts w:ascii="Verdana" w:hAnsi="Verdana"/>
          <w:sz w:val="20"/>
          <w:lang w:val="pt-BR"/>
        </w:rPr>
        <w:t xml:space="preserve"> da </w:t>
      </w:r>
      <w:r w:rsidR="00A50140" w:rsidRPr="002F50BD">
        <w:rPr>
          <w:rFonts w:ascii="Verdana" w:hAnsi="Verdana"/>
          <w:sz w:val="20"/>
          <w:lang w:val="pt-BR"/>
        </w:rPr>
        <w:t>Comunidade.</w:t>
      </w:r>
      <w:r w:rsidR="00AB454A" w:rsidRPr="002F50BD">
        <w:rPr>
          <w:rFonts w:ascii="Verdana" w:hAnsi="Verdana"/>
          <w:sz w:val="20"/>
          <w:lang w:val="pt-BR"/>
        </w:rPr>
        <w:t xml:space="preserve"> A </w:t>
      </w:r>
      <w:r w:rsidR="0089298C" w:rsidRPr="002F50BD">
        <w:rPr>
          <w:rFonts w:ascii="Verdana" w:hAnsi="Verdana"/>
          <w:sz w:val="20"/>
          <w:lang w:val="pt-BR"/>
        </w:rPr>
        <w:t>reconhecida complexidade deste assunto</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o justifica que</w:t>
      </w:r>
      <w:r w:rsidR="0089298C" w:rsidRPr="002F50BD">
        <w:rPr>
          <w:rFonts w:ascii="Verdana" w:hAnsi="Verdana"/>
          <w:sz w:val="20"/>
          <w:lang w:val="pt-BR"/>
        </w:rPr>
        <w:t xml:space="preserve"> o processo</w:t>
      </w:r>
      <w:r w:rsidR="004756C1" w:rsidRPr="002F50BD">
        <w:rPr>
          <w:rFonts w:ascii="Verdana" w:hAnsi="Verdana"/>
          <w:sz w:val="20"/>
          <w:lang w:val="pt-BR"/>
        </w:rPr>
        <w:t xml:space="preserve"> </w:t>
      </w:r>
      <w:r w:rsidR="0089298C" w:rsidRPr="002F50BD">
        <w:rPr>
          <w:rFonts w:ascii="Verdana" w:hAnsi="Verdana"/>
          <w:sz w:val="20"/>
          <w:lang w:val="pt-BR"/>
        </w:rPr>
        <w:t xml:space="preserve">tenha </w:t>
      </w:r>
      <w:r w:rsidRPr="002F50BD">
        <w:rPr>
          <w:rFonts w:ascii="Verdana" w:hAnsi="Verdana"/>
          <w:sz w:val="20"/>
          <w:lang w:val="pt-BR"/>
        </w:rPr>
        <w:t xml:space="preserve">se </w:t>
      </w:r>
      <w:r w:rsidR="004756C1" w:rsidRPr="002F50BD">
        <w:rPr>
          <w:rFonts w:ascii="Verdana" w:hAnsi="Verdana"/>
          <w:sz w:val="20"/>
          <w:lang w:val="pt-BR"/>
        </w:rPr>
        <w:t xml:space="preserve">prolongado por tantos </w:t>
      </w:r>
      <w:r w:rsidR="0089298C" w:rsidRPr="002F50BD">
        <w:rPr>
          <w:rFonts w:ascii="Verdana" w:hAnsi="Verdana"/>
          <w:sz w:val="20"/>
          <w:lang w:val="pt-BR"/>
        </w:rPr>
        <w:t>anos</w:t>
      </w:r>
      <w:r w:rsidR="004756C1" w:rsidRPr="002F50BD">
        <w:rPr>
          <w:rFonts w:ascii="Verdana" w:hAnsi="Verdana"/>
          <w:sz w:val="20"/>
          <w:lang w:val="pt-BR"/>
        </w:rPr>
        <w:t>;</w:t>
      </w:r>
    </w:p>
    <w:p w:rsidR="00C03ED8" w:rsidRPr="002F50BD" w:rsidRDefault="00C03ED8" w:rsidP="00C03ED8">
      <w:pPr>
        <w:tabs>
          <w:tab w:val="left" w:pos="1080"/>
          <w:tab w:val="left" w:pos="8010"/>
        </w:tabs>
        <w:ind w:left="360"/>
        <w:jc w:val="both"/>
        <w:rPr>
          <w:rFonts w:ascii="Verdana" w:hAnsi="Verdana"/>
          <w:sz w:val="20"/>
          <w:lang w:val="pt-BR"/>
        </w:rPr>
      </w:pPr>
    </w:p>
    <w:p w:rsidR="004756C1" w:rsidRPr="002F50BD" w:rsidRDefault="0089298C">
      <w:pPr>
        <w:numPr>
          <w:ilvl w:val="0"/>
          <w:numId w:val="8"/>
        </w:numPr>
        <w:tabs>
          <w:tab w:val="left" w:pos="1080"/>
          <w:tab w:val="left" w:pos="801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demora de </w:t>
      </w:r>
      <w:r w:rsidRPr="002F50BD">
        <w:rPr>
          <w:rFonts w:ascii="Verdana" w:hAnsi="Verdana"/>
          <w:sz w:val="20"/>
          <w:lang w:val="pt-BR"/>
        </w:rPr>
        <w:t xml:space="preserve">quase </w:t>
      </w:r>
      <w:r w:rsidR="00951B61">
        <w:rPr>
          <w:rFonts w:ascii="Verdana" w:hAnsi="Verdana"/>
          <w:sz w:val="20"/>
          <w:lang w:val="pt-BR"/>
        </w:rPr>
        <w:t>12</w:t>
      </w:r>
      <w:r w:rsidRPr="002F50BD">
        <w:rPr>
          <w:rFonts w:ascii="Verdana" w:hAnsi="Verdana"/>
          <w:sz w:val="20"/>
          <w:lang w:val="pt-BR"/>
        </w:rPr>
        <w:t xml:space="preserve"> anos</w:t>
      </w:r>
      <w:r w:rsidR="004756C1" w:rsidRPr="002F50BD">
        <w:rPr>
          <w:rFonts w:ascii="Verdana" w:hAnsi="Verdana"/>
          <w:sz w:val="20"/>
          <w:lang w:val="pt-BR"/>
        </w:rPr>
        <w:t xml:space="preserve"> </w:t>
      </w:r>
      <w:r w:rsidR="00B861C7" w:rsidRPr="002F50BD">
        <w:rPr>
          <w:rFonts w:ascii="Verdana" w:hAnsi="Verdana"/>
          <w:sz w:val="20"/>
          <w:lang w:val="pt-BR"/>
        </w:rPr>
        <w:t>n</w:t>
      </w:r>
      <w:r w:rsidRPr="002F50BD">
        <w:rPr>
          <w:rFonts w:ascii="Verdana" w:hAnsi="Verdana"/>
          <w:sz w:val="20"/>
          <w:lang w:val="pt-BR"/>
        </w:rPr>
        <w:t>o procedimento</w:t>
      </w:r>
      <w:r w:rsidR="004756C1" w:rsidRPr="002F50BD">
        <w:rPr>
          <w:rFonts w:ascii="Verdana" w:hAnsi="Verdana"/>
          <w:sz w:val="20"/>
          <w:lang w:val="pt-BR"/>
        </w:rPr>
        <w:t xml:space="preserve"> administrativo n</w:t>
      </w:r>
      <w:r w:rsidR="00C03ED8" w:rsidRPr="002F50BD">
        <w:rPr>
          <w:rFonts w:ascii="Verdana" w:hAnsi="Verdana"/>
          <w:sz w:val="20"/>
          <w:lang w:val="pt-BR"/>
        </w:rPr>
        <w:t>ã</w:t>
      </w:r>
      <w:r w:rsidR="004756C1" w:rsidRPr="002F50BD">
        <w:rPr>
          <w:rFonts w:ascii="Verdana" w:hAnsi="Verdana"/>
          <w:sz w:val="20"/>
          <w:lang w:val="pt-BR"/>
        </w:rPr>
        <w:t>o se</w:t>
      </w:r>
      <w:r w:rsidRPr="002F50BD">
        <w:rPr>
          <w:rFonts w:ascii="Verdana" w:hAnsi="Verdana"/>
          <w:sz w:val="20"/>
          <w:lang w:val="pt-BR"/>
        </w:rPr>
        <w:t xml:space="preserve"> deve à complexidade</w:t>
      </w:r>
      <w:r w:rsidR="004756C1" w:rsidRPr="002F50BD">
        <w:rPr>
          <w:rFonts w:ascii="Verdana" w:hAnsi="Verdana"/>
          <w:sz w:val="20"/>
          <w:lang w:val="pt-BR"/>
        </w:rPr>
        <w:t xml:space="preserve"> </w:t>
      </w:r>
      <w:r w:rsidRPr="002F50BD">
        <w:rPr>
          <w:rFonts w:ascii="Verdana" w:hAnsi="Verdana"/>
          <w:sz w:val="20"/>
          <w:lang w:val="pt-BR"/>
        </w:rPr>
        <w:t>do assunto</w:t>
      </w:r>
      <w:r w:rsidR="004756C1" w:rsidRPr="002F50BD">
        <w:rPr>
          <w:rFonts w:ascii="Verdana" w:hAnsi="Verdana"/>
          <w:sz w:val="20"/>
          <w:lang w:val="pt-BR"/>
        </w:rPr>
        <w:t>,</w:t>
      </w:r>
      <w:r w:rsidRPr="002F50BD">
        <w:rPr>
          <w:rFonts w:ascii="Verdana" w:hAnsi="Verdana"/>
          <w:sz w:val="20"/>
          <w:lang w:val="pt-BR"/>
        </w:rPr>
        <w:t xml:space="preserve"> mas à </w:t>
      </w:r>
      <w:r w:rsidR="004756C1" w:rsidRPr="002F50BD">
        <w:rPr>
          <w:rFonts w:ascii="Verdana" w:hAnsi="Verdana"/>
          <w:sz w:val="20"/>
          <w:lang w:val="pt-BR"/>
        </w:rPr>
        <w:t>falta de aplica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critério</w:t>
      </w:r>
      <w:r w:rsidR="004756C1" w:rsidRPr="002F50BD">
        <w:rPr>
          <w:rFonts w:ascii="Verdana" w:hAnsi="Verdana"/>
          <w:sz w:val="20"/>
          <w:lang w:val="pt-BR"/>
        </w:rPr>
        <w:t xml:space="preserve">s </w:t>
      </w:r>
      <w:r w:rsidRPr="002F50BD">
        <w:rPr>
          <w:rFonts w:ascii="Verdana" w:hAnsi="Verdana"/>
          <w:sz w:val="20"/>
          <w:lang w:val="pt-BR"/>
        </w:rPr>
        <w:t>adequad</w:t>
      </w:r>
      <w:r w:rsidR="004756C1" w:rsidRPr="002F50BD">
        <w:rPr>
          <w:rFonts w:ascii="Verdana" w:hAnsi="Verdana"/>
          <w:sz w:val="20"/>
          <w:lang w:val="pt-BR"/>
        </w:rPr>
        <w:t xml:space="preserve">os, </w:t>
      </w:r>
      <w:r w:rsidR="00C03ED8" w:rsidRPr="002F50BD">
        <w:rPr>
          <w:rFonts w:ascii="Verdana" w:hAnsi="Verdana"/>
          <w:sz w:val="20"/>
          <w:lang w:val="pt-BR"/>
        </w:rPr>
        <w:t xml:space="preserve">por </w:t>
      </w:r>
      <w:r w:rsidR="004756C1" w:rsidRPr="002F50BD">
        <w:rPr>
          <w:rFonts w:ascii="Verdana" w:hAnsi="Verdana"/>
          <w:sz w:val="20"/>
          <w:lang w:val="pt-BR"/>
        </w:rPr>
        <w:t xml:space="preserve">parte </w:t>
      </w:r>
      <w:r w:rsidRPr="002F50BD">
        <w:rPr>
          <w:rFonts w:ascii="Verdana" w:hAnsi="Verdana"/>
          <w:sz w:val="20"/>
          <w:lang w:val="pt-BR"/>
        </w:rPr>
        <w:t xml:space="preserve">do </w:t>
      </w:r>
      <w:r w:rsidR="004756C1" w:rsidRPr="002F50BD">
        <w:rPr>
          <w:rFonts w:ascii="Verdana" w:hAnsi="Verdana"/>
          <w:sz w:val="20"/>
          <w:lang w:val="pt-BR"/>
        </w:rPr>
        <w:t>Estado, para restituir</w:t>
      </w:r>
      <w:r w:rsidRPr="002F50BD">
        <w:rPr>
          <w:rFonts w:ascii="Verdana" w:hAnsi="Verdana"/>
          <w:sz w:val="20"/>
          <w:lang w:val="pt-BR"/>
        </w:rPr>
        <w:t xml:space="preserve"> a terra</w:t>
      </w:r>
      <w:r w:rsidR="004756C1" w:rsidRPr="002F50BD">
        <w:rPr>
          <w:rFonts w:ascii="Verdana" w:hAnsi="Verdana"/>
          <w:sz w:val="20"/>
          <w:lang w:val="pt-BR"/>
        </w:rPr>
        <w:t xml:space="preserve"> ancestral reclamada</w:t>
      </w:r>
      <w:r w:rsidRPr="002F50BD">
        <w:rPr>
          <w:rFonts w:ascii="Verdana" w:hAnsi="Verdana"/>
          <w:sz w:val="20"/>
          <w:lang w:val="pt-BR"/>
        </w:rPr>
        <w:t xml:space="preserve"> pela Comunidade </w:t>
      </w:r>
      <w:r w:rsidR="004756C1" w:rsidRPr="002F50BD">
        <w:rPr>
          <w:rFonts w:ascii="Verdana" w:hAnsi="Verdana"/>
          <w:sz w:val="20"/>
          <w:lang w:val="pt-BR"/>
        </w:rPr>
        <w:t>Yakye Axa;</w:t>
      </w:r>
    </w:p>
    <w:p w:rsidR="004756C1" w:rsidRPr="002F50BD" w:rsidRDefault="004756C1">
      <w:pPr>
        <w:tabs>
          <w:tab w:val="left" w:pos="1080"/>
          <w:tab w:val="left" w:pos="8010"/>
        </w:tabs>
        <w:ind w:left="720"/>
        <w:jc w:val="both"/>
        <w:rPr>
          <w:rFonts w:ascii="Verdana" w:hAnsi="Verdana"/>
          <w:sz w:val="20"/>
          <w:lang w:val="pt-BR"/>
        </w:rPr>
      </w:pPr>
    </w:p>
    <w:p w:rsidR="004756C1" w:rsidRPr="002F50BD" w:rsidRDefault="00C03ED8">
      <w:pPr>
        <w:numPr>
          <w:ilvl w:val="0"/>
          <w:numId w:val="8"/>
        </w:numPr>
        <w:tabs>
          <w:tab w:val="left" w:pos="1080"/>
        </w:tabs>
        <w:ind w:left="720"/>
        <w:jc w:val="both"/>
        <w:rPr>
          <w:rFonts w:ascii="Verdana" w:hAnsi="Verdana"/>
          <w:sz w:val="20"/>
          <w:lang w:val="pt-BR"/>
        </w:rPr>
      </w:pPr>
      <w:r w:rsidRPr="002F50BD">
        <w:rPr>
          <w:rFonts w:ascii="Verdana" w:hAnsi="Verdana"/>
          <w:sz w:val="20"/>
          <w:lang w:val="pt-BR"/>
        </w:rPr>
        <w:t>D</w:t>
      </w:r>
      <w:r w:rsidR="004756C1" w:rsidRPr="002F50BD">
        <w:rPr>
          <w:rFonts w:ascii="Verdana" w:hAnsi="Verdana"/>
          <w:sz w:val="20"/>
          <w:lang w:val="pt-BR"/>
        </w:rPr>
        <w:t xml:space="preserve">entro </w:t>
      </w:r>
      <w:r w:rsidR="0089298C" w:rsidRPr="002F50BD">
        <w:rPr>
          <w:rFonts w:ascii="Verdana" w:hAnsi="Verdana"/>
          <w:sz w:val="20"/>
          <w:lang w:val="pt-BR"/>
        </w:rPr>
        <w:t>do processo</w:t>
      </w:r>
      <w:r w:rsidR="004756C1" w:rsidRPr="002F50BD">
        <w:rPr>
          <w:rFonts w:ascii="Verdana" w:hAnsi="Verdana"/>
          <w:sz w:val="20"/>
          <w:lang w:val="pt-BR"/>
        </w:rPr>
        <w:t xml:space="preserve"> penal que se </w:t>
      </w:r>
      <w:r w:rsidR="0089298C" w:rsidRPr="002F50BD">
        <w:rPr>
          <w:rFonts w:ascii="Verdana" w:hAnsi="Verdana"/>
          <w:sz w:val="20"/>
          <w:lang w:val="pt-BR"/>
        </w:rPr>
        <w:t xml:space="preserve">iniciou </w:t>
      </w:r>
      <w:r w:rsidRPr="002F50BD">
        <w:rPr>
          <w:rFonts w:ascii="Verdana" w:hAnsi="Verdana"/>
          <w:sz w:val="20"/>
          <w:lang w:val="pt-BR"/>
        </w:rPr>
        <w:t>em</w:t>
      </w:r>
      <w:r w:rsidR="0089298C" w:rsidRPr="002F50BD">
        <w:rPr>
          <w:rFonts w:ascii="Verdana" w:hAnsi="Verdana"/>
          <w:sz w:val="20"/>
          <w:lang w:val="pt-BR"/>
        </w:rPr>
        <w:t xml:space="preserve"> </w:t>
      </w:r>
      <w:r w:rsidR="00063B47" w:rsidRPr="002F50BD">
        <w:rPr>
          <w:rFonts w:ascii="Verdana" w:hAnsi="Verdana"/>
          <w:sz w:val="20"/>
          <w:lang w:val="pt-BR"/>
        </w:rPr>
        <w:t>17</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00063B47" w:rsidRPr="002F50BD">
        <w:rPr>
          <w:rFonts w:ascii="Verdana" w:hAnsi="Verdana"/>
          <w:sz w:val="20"/>
          <w:lang w:val="pt-BR"/>
        </w:rPr>
        <w:t>1999</w:t>
      </w:r>
      <w:r w:rsidR="004756C1" w:rsidRPr="002F50BD">
        <w:rPr>
          <w:rFonts w:ascii="Verdana" w:hAnsi="Verdana"/>
          <w:sz w:val="20"/>
          <w:lang w:val="pt-BR"/>
        </w:rPr>
        <w:t xml:space="preserve"> contra</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pela </w:t>
      </w:r>
      <w:r w:rsidR="004756C1" w:rsidRPr="002F50BD">
        <w:rPr>
          <w:rFonts w:ascii="Verdana" w:hAnsi="Verdana"/>
          <w:sz w:val="20"/>
          <w:lang w:val="pt-BR"/>
        </w:rPr>
        <w:t>su</w:t>
      </w:r>
      <w:r w:rsidR="0089298C" w:rsidRPr="002F50BD">
        <w:rPr>
          <w:rFonts w:ascii="Verdana" w:hAnsi="Verdana"/>
          <w:sz w:val="20"/>
          <w:lang w:val="pt-BR"/>
        </w:rPr>
        <w:t>posta</w:t>
      </w:r>
      <w:r w:rsidR="004756C1" w:rsidRPr="002F50BD">
        <w:rPr>
          <w:rFonts w:ascii="Verdana" w:hAnsi="Verdana"/>
          <w:sz w:val="20"/>
          <w:lang w:val="pt-BR"/>
        </w:rPr>
        <w:t xml:space="preserve"> </w:t>
      </w:r>
      <w:r w:rsidR="0089298C" w:rsidRPr="002F50BD">
        <w:rPr>
          <w:rFonts w:ascii="Verdana" w:hAnsi="Verdana"/>
          <w:sz w:val="20"/>
          <w:lang w:val="pt-BR"/>
        </w:rPr>
        <w:t xml:space="preserve">comissão dos </w:t>
      </w:r>
      <w:r w:rsidR="004756C1" w:rsidRPr="002F50BD">
        <w:rPr>
          <w:rFonts w:ascii="Verdana" w:hAnsi="Verdana"/>
          <w:sz w:val="20"/>
          <w:lang w:val="pt-BR"/>
        </w:rPr>
        <w:t xml:space="preserve">delitos de </w:t>
      </w:r>
      <w:r w:rsidR="00500DEF" w:rsidRPr="002F50BD">
        <w:rPr>
          <w:rFonts w:ascii="Verdana" w:hAnsi="Verdana"/>
          <w:sz w:val="20"/>
          <w:lang w:val="pt-BR"/>
        </w:rPr>
        <w:t>invasão</w:t>
      </w:r>
      <w:r w:rsidR="004756C1" w:rsidRPr="002F50BD">
        <w:rPr>
          <w:rFonts w:ascii="Verdana" w:hAnsi="Verdana"/>
          <w:sz w:val="20"/>
          <w:lang w:val="pt-BR"/>
        </w:rPr>
        <w:t xml:space="preserve"> de </w:t>
      </w:r>
      <w:r w:rsidR="0089298C" w:rsidRPr="002F50BD">
        <w:rPr>
          <w:rFonts w:ascii="Verdana" w:hAnsi="Verdana"/>
          <w:sz w:val="20"/>
          <w:lang w:val="pt-BR"/>
        </w:rPr>
        <w:t>imóvel</w:t>
      </w:r>
      <w:r w:rsidR="004756C1" w:rsidRPr="002F50BD">
        <w:rPr>
          <w:rFonts w:ascii="Verdana" w:hAnsi="Verdana"/>
          <w:sz w:val="20"/>
          <w:lang w:val="pt-BR"/>
        </w:rPr>
        <w:t xml:space="preserve"> </w:t>
      </w:r>
      <w:r w:rsidR="0089298C" w:rsidRPr="002F50BD">
        <w:rPr>
          <w:rFonts w:ascii="Verdana" w:hAnsi="Verdana"/>
          <w:sz w:val="20"/>
          <w:lang w:val="pt-BR"/>
        </w:rPr>
        <w:t>alheio</w:t>
      </w:r>
      <w:r w:rsidR="004756C1" w:rsidRPr="002F50BD">
        <w:rPr>
          <w:rFonts w:ascii="Verdana" w:hAnsi="Verdana"/>
          <w:sz w:val="20"/>
          <w:lang w:val="pt-BR"/>
        </w:rPr>
        <w:t>, co</w:t>
      </w:r>
      <w:r w:rsidR="004076AD" w:rsidRPr="002F50BD">
        <w:rPr>
          <w:rFonts w:ascii="Verdana" w:hAnsi="Verdana"/>
          <w:sz w:val="20"/>
          <w:lang w:val="pt-BR"/>
        </w:rPr>
        <w:t>ação</w:t>
      </w:r>
      <w:r w:rsidR="004756C1" w:rsidRPr="002F50BD">
        <w:rPr>
          <w:rFonts w:ascii="Verdana" w:hAnsi="Verdana"/>
          <w:sz w:val="20"/>
          <w:lang w:val="pt-BR"/>
        </w:rPr>
        <w:t xml:space="preserve"> grave</w:t>
      </w:r>
      <w:r w:rsidR="0089298C" w:rsidRPr="002F50BD">
        <w:rPr>
          <w:rFonts w:ascii="Verdana" w:hAnsi="Verdana"/>
          <w:sz w:val="20"/>
          <w:lang w:val="pt-BR"/>
        </w:rPr>
        <w:t xml:space="preserve"> e </w:t>
      </w:r>
      <w:r w:rsidR="00500DEF" w:rsidRPr="002F50BD">
        <w:rPr>
          <w:rFonts w:ascii="Verdana" w:hAnsi="Verdana"/>
          <w:sz w:val="20"/>
          <w:lang w:val="pt-BR"/>
        </w:rPr>
        <w:t>furto</w:t>
      </w:r>
      <w:r w:rsidR="004756C1" w:rsidRPr="002F50BD">
        <w:rPr>
          <w:rFonts w:ascii="Verdana" w:hAnsi="Verdana"/>
          <w:sz w:val="20"/>
          <w:lang w:val="pt-BR"/>
        </w:rPr>
        <w:t xml:space="preserve">, </w:t>
      </w:r>
      <w:r w:rsidRPr="002F50BD">
        <w:rPr>
          <w:rFonts w:ascii="Verdana" w:hAnsi="Verdana"/>
          <w:sz w:val="20"/>
          <w:lang w:val="pt-BR"/>
        </w:rPr>
        <w:t xml:space="preserve">eles </w:t>
      </w:r>
      <w:r w:rsidR="00475EBB" w:rsidRPr="002F50BD">
        <w:rPr>
          <w:rFonts w:ascii="Verdana" w:hAnsi="Verdana"/>
          <w:sz w:val="20"/>
          <w:lang w:val="pt-BR"/>
        </w:rPr>
        <w:t>não tiveram</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 de </w:t>
      </w:r>
      <w:r w:rsidR="0089298C" w:rsidRPr="002F50BD">
        <w:rPr>
          <w:rFonts w:ascii="Verdana" w:hAnsi="Verdana"/>
          <w:sz w:val="20"/>
          <w:lang w:val="pt-BR"/>
        </w:rPr>
        <w:t>nomea</w:t>
      </w:r>
      <w:r w:rsidR="004756C1" w:rsidRPr="002F50BD">
        <w:rPr>
          <w:rFonts w:ascii="Verdana" w:hAnsi="Verdana"/>
          <w:sz w:val="20"/>
          <w:lang w:val="pt-BR"/>
        </w:rPr>
        <w:t>r</w:t>
      </w:r>
      <w:r w:rsidR="0089298C" w:rsidRPr="002F50BD">
        <w:rPr>
          <w:rFonts w:ascii="Verdana" w:hAnsi="Verdana"/>
          <w:sz w:val="20"/>
          <w:lang w:val="pt-BR"/>
        </w:rPr>
        <w:t xml:space="preserve"> um advogad</w:t>
      </w:r>
      <w:r w:rsidR="004756C1" w:rsidRPr="002F50BD">
        <w:rPr>
          <w:rFonts w:ascii="Verdana" w:hAnsi="Verdana"/>
          <w:sz w:val="20"/>
          <w:lang w:val="pt-BR"/>
        </w:rPr>
        <w:t>o</w:t>
      </w:r>
      <w:r w:rsidR="00B861C7" w:rsidRPr="002F50BD">
        <w:rPr>
          <w:rFonts w:ascii="Verdana" w:hAnsi="Verdana"/>
          <w:sz w:val="20"/>
          <w:lang w:val="pt-BR"/>
        </w:rPr>
        <w:t>,</w:t>
      </w:r>
      <w:r w:rsidR="0089298C" w:rsidRPr="002F50BD">
        <w:rPr>
          <w:rFonts w:ascii="Verdana" w:hAnsi="Verdana"/>
          <w:sz w:val="20"/>
          <w:lang w:val="pt-BR"/>
        </w:rPr>
        <w:t xml:space="preserve"> nem puderam</w:t>
      </w:r>
      <w:r w:rsidR="004756C1" w:rsidRPr="002F50BD">
        <w:rPr>
          <w:rFonts w:ascii="Verdana" w:hAnsi="Verdana"/>
          <w:sz w:val="20"/>
          <w:lang w:val="pt-BR"/>
        </w:rPr>
        <w:t xml:space="preserve"> </w:t>
      </w:r>
      <w:r w:rsidR="0089298C" w:rsidRPr="002F50BD">
        <w:rPr>
          <w:rFonts w:ascii="Verdana" w:hAnsi="Verdana"/>
          <w:sz w:val="20"/>
          <w:lang w:val="pt-BR"/>
        </w:rPr>
        <w:t>exercer</w:t>
      </w:r>
      <w:r w:rsidR="004756C1" w:rsidRPr="002F50BD">
        <w:rPr>
          <w:rFonts w:ascii="Verdana" w:hAnsi="Verdana"/>
          <w:sz w:val="20"/>
          <w:lang w:val="pt-BR"/>
        </w:rPr>
        <w:t xml:space="preserve"> </w:t>
      </w:r>
      <w:r w:rsidR="0089298C" w:rsidRPr="002F50BD">
        <w:rPr>
          <w:rFonts w:ascii="Verdana" w:hAnsi="Verdana"/>
          <w:sz w:val="20"/>
          <w:lang w:val="pt-BR"/>
        </w:rPr>
        <w:t>seu direito</w:t>
      </w:r>
      <w:r w:rsidR="004756C1" w:rsidRPr="002F50BD">
        <w:rPr>
          <w:rFonts w:ascii="Verdana" w:hAnsi="Verdana"/>
          <w:sz w:val="20"/>
          <w:lang w:val="pt-BR"/>
        </w:rPr>
        <w:t xml:space="preserve"> de </w:t>
      </w:r>
      <w:r w:rsidR="0089298C" w:rsidRPr="002F50BD">
        <w:rPr>
          <w:rFonts w:ascii="Verdana" w:hAnsi="Verdana"/>
          <w:sz w:val="20"/>
          <w:lang w:val="pt-BR"/>
        </w:rPr>
        <w:t>defesa</w:t>
      </w:r>
      <w:r w:rsidR="004756C1" w:rsidRPr="002F50BD">
        <w:rPr>
          <w:rFonts w:ascii="Verdana" w:hAnsi="Verdana"/>
          <w:sz w:val="20"/>
          <w:lang w:val="pt-BR"/>
        </w:rPr>
        <w:t>,</w:t>
      </w:r>
      <w:r w:rsidR="0089298C" w:rsidRPr="002F50BD">
        <w:rPr>
          <w:rFonts w:ascii="Verdana" w:hAnsi="Verdana"/>
          <w:sz w:val="20"/>
          <w:lang w:val="pt-BR"/>
        </w:rPr>
        <w:t xml:space="preserve"> o que </w:t>
      </w:r>
      <w:r w:rsidR="004756C1" w:rsidRPr="002F50BD">
        <w:rPr>
          <w:rFonts w:ascii="Verdana" w:hAnsi="Verdana"/>
          <w:sz w:val="20"/>
          <w:lang w:val="pt-BR"/>
        </w:rPr>
        <w:t>configura</w:t>
      </w:r>
      <w:r w:rsidR="0089298C" w:rsidRPr="002F50BD">
        <w:rPr>
          <w:rFonts w:ascii="Verdana" w:hAnsi="Verdana"/>
          <w:sz w:val="20"/>
          <w:lang w:val="pt-BR"/>
        </w:rPr>
        <w:t xml:space="preserve"> uma </w:t>
      </w:r>
      <w:r w:rsidR="004756C1" w:rsidRPr="002F50BD">
        <w:rPr>
          <w:rFonts w:ascii="Verdana" w:hAnsi="Verdana"/>
          <w:sz w:val="20"/>
          <w:lang w:val="pt-BR"/>
        </w:rPr>
        <w:t>viola</w:t>
      </w:r>
      <w:r w:rsidR="0089298C" w:rsidRPr="002F50BD">
        <w:rPr>
          <w:rFonts w:ascii="Verdana" w:hAnsi="Verdana"/>
          <w:sz w:val="20"/>
          <w:lang w:val="pt-BR"/>
        </w:rPr>
        <w:t xml:space="preserve">ção </w:t>
      </w:r>
      <w:r w:rsidRPr="002F50BD">
        <w:rPr>
          <w:rFonts w:ascii="Verdana" w:hAnsi="Verdana"/>
          <w:sz w:val="20"/>
          <w:lang w:val="pt-BR"/>
        </w:rPr>
        <w:t>das alíneas</w:t>
      </w:r>
      <w:r w:rsidR="004756C1" w:rsidRPr="002F50BD">
        <w:rPr>
          <w:rFonts w:ascii="Verdana" w:hAnsi="Verdana"/>
          <w:sz w:val="20"/>
          <w:lang w:val="pt-BR"/>
        </w:rPr>
        <w:t xml:space="preserve"> d</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e</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2</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AB454A" w:rsidRPr="002F50BD">
        <w:rPr>
          <w:rFonts w:ascii="Verdana" w:hAnsi="Verdana"/>
          <w:sz w:val="20"/>
          <w:lang w:val="pt-BR"/>
        </w:rPr>
        <w:t>não adotou</w:t>
      </w:r>
      <w:r w:rsidR="004756C1" w:rsidRPr="002F50BD">
        <w:rPr>
          <w:rFonts w:ascii="Verdana" w:hAnsi="Verdana"/>
          <w:sz w:val="20"/>
          <w:lang w:val="pt-BR"/>
        </w:rPr>
        <w:t xml:space="preserve"> medidas destinadas a investigar</w:t>
      </w:r>
      <w:r w:rsidR="0089298C" w:rsidRPr="002F50BD">
        <w:rPr>
          <w:rFonts w:ascii="Verdana" w:hAnsi="Verdana"/>
          <w:sz w:val="20"/>
          <w:lang w:val="pt-BR"/>
        </w:rPr>
        <w:t xml:space="preserve"> e </w:t>
      </w:r>
      <w:r w:rsidR="006603BE" w:rsidRPr="002F50BD">
        <w:rPr>
          <w:rFonts w:ascii="Verdana" w:hAnsi="Verdana"/>
          <w:sz w:val="20"/>
          <w:lang w:val="pt-BR"/>
        </w:rPr>
        <w:t>punir</w:t>
      </w:r>
      <w:r w:rsidRPr="002F50BD">
        <w:rPr>
          <w:rFonts w:ascii="Verdana" w:hAnsi="Verdana"/>
          <w:sz w:val="20"/>
          <w:lang w:val="pt-BR"/>
        </w:rPr>
        <w:t xml:space="preserve">, caso fosse correspondente, </w:t>
      </w:r>
      <w:r w:rsidR="0089298C" w:rsidRPr="002F50BD">
        <w:rPr>
          <w:rFonts w:ascii="Verdana" w:hAnsi="Verdana"/>
          <w:sz w:val="20"/>
          <w:lang w:val="pt-BR"/>
        </w:rPr>
        <w:t xml:space="preserve">os </w:t>
      </w:r>
      <w:r w:rsidR="004756C1" w:rsidRPr="002F50BD">
        <w:rPr>
          <w:rFonts w:ascii="Verdana" w:hAnsi="Verdana"/>
          <w:sz w:val="20"/>
          <w:lang w:val="pt-BR"/>
        </w:rPr>
        <w:t>magistrados</w:t>
      </w:r>
      <w:r w:rsidR="0089298C" w:rsidRPr="002F50BD">
        <w:rPr>
          <w:rFonts w:ascii="Verdana" w:hAnsi="Verdana"/>
          <w:sz w:val="20"/>
          <w:lang w:val="pt-BR"/>
        </w:rPr>
        <w:t xml:space="preserve"> ou outros</w:t>
      </w:r>
      <w:r w:rsidR="004756C1" w:rsidRPr="002F50BD">
        <w:rPr>
          <w:rFonts w:ascii="Verdana" w:hAnsi="Verdana"/>
          <w:sz w:val="20"/>
          <w:lang w:val="pt-BR"/>
        </w:rPr>
        <w:t xml:space="preserve"> </w:t>
      </w:r>
      <w:r w:rsidR="0089298C" w:rsidRPr="002F50BD">
        <w:rPr>
          <w:rFonts w:ascii="Verdana" w:hAnsi="Verdana"/>
          <w:sz w:val="20"/>
          <w:lang w:val="pt-BR"/>
        </w:rPr>
        <w:t>funcionári</w:t>
      </w:r>
      <w:r w:rsidR="004756C1" w:rsidRPr="002F50BD">
        <w:rPr>
          <w:rFonts w:ascii="Verdana" w:hAnsi="Verdana"/>
          <w:sz w:val="20"/>
          <w:lang w:val="pt-BR"/>
        </w:rPr>
        <w:t xml:space="preserve">os </w:t>
      </w:r>
      <w:r w:rsidR="0089298C" w:rsidRPr="002F50BD">
        <w:rPr>
          <w:rFonts w:ascii="Verdana" w:hAnsi="Verdana"/>
          <w:sz w:val="20"/>
          <w:lang w:val="pt-BR"/>
        </w:rPr>
        <w:t>judiciais</w:t>
      </w:r>
      <w:r w:rsidR="004756C1" w:rsidRPr="002F50BD">
        <w:rPr>
          <w:rFonts w:ascii="Verdana" w:hAnsi="Verdana"/>
          <w:sz w:val="20"/>
          <w:lang w:val="pt-BR"/>
        </w:rPr>
        <w:t xml:space="preserve"> que interv</w:t>
      </w:r>
      <w:r w:rsidRPr="002F50BD">
        <w:rPr>
          <w:rFonts w:ascii="Verdana" w:hAnsi="Verdana"/>
          <w:sz w:val="20"/>
          <w:lang w:val="pt-BR"/>
        </w:rPr>
        <w:t xml:space="preserve">ieram </w:t>
      </w:r>
      <w:r w:rsidR="0089298C" w:rsidRPr="002F50BD">
        <w:rPr>
          <w:rFonts w:ascii="Verdana" w:hAnsi="Verdana"/>
          <w:sz w:val="20"/>
          <w:lang w:val="pt-BR"/>
        </w:rPr>
        <w:t>neste processo</w:t>
      </w:r>
      <w:r w:rsidR="004756C1" w:rsidRPr="002F50BD">
        <w:rPr>
          <w:rFonts w:ascii="Verdana" w:hAnsi="Verdana"/>
          <w:sz w:val="20"/>
          <w:lang w:val="pt-BR"/>
        </w:rPr>
        <w:t>;</w:t>
      </w:r>
    </w:p>
    <w:p w:rsidR="00C03ED8" w:rsidRPr="002F50BD" w:rsidRDefault="00C03ED8" w:rsidP="00C03ED8">
      <w:pPr>
        <w:pStyle w:val="Sangradetindependiente2"/>
        <w:tabs>
          <w:tab w:val="left" w:pos="1080"/>
        </w:tabs>
        <w:spacing w:line="240" w:lineRule="auto"/>
        <w:ind w:left="360"/>
        <w:jc w:val="both"/>
        <w:rPr>
          <w:rFonts w:ascii="Verdana" w:hAnsi="Verdana"/>
          <w:sz w:val="20"/>
          <w:lang w:val="pt-BR"/>
        </w:rPr>
      </w:pPr>
    </w:p>
    <w:p w:rsidR="004756C1" w:rsidRPr="002F50BD" w:rsidRDefault="0089298C">
      <w:pPr>
        <w:pStyle w:val="Sangradetindependiente2"/>
        <w:numPr>
          <w:ilvl w:val="0"/>
          <w:numId w:val="8"/>
        </w:numPr>
        <w:tabs>
          <w:tab w:val="left" w:pos="1080"/>
        </w:tabs>
        <w:spacing w:line="240" w:lineRule="auto"/>
        <w:ind w:left="720"/>
        <w:jc w:val="both"/>
        <w:rPr>
          <w:rFonts w:ascii="Verdana" w:hAnsi="Verdana"/>
          <w:sz w:val="20"/>
          <w:lang w:val="pt-BR"/>
        </w:rPr>
      </w:pPr>
      <w:r w:rsidRPr="002F50BD">
        <w:rPr>
          <w:rFonts w:ascii="Verdana" w:hAnsi="Verdana"/>
          <w:sz w:val="20"/>
          <w:szCs w:val="24"/>
          <w:lang w:val="pt-BR"/>
        </w:rPr>
        <w:t xml:space="preserve">O </w:t>
      </w:r>
      <w:r w:rsidRPr="002F50BD">
        <w:rPr>
          <w:rFonts w:ascii="Verdana" w:hAnsi="Verdana"/>
          <w:sz w:val="20"/>
          <w:lang w:val="pt-BR"/>
        </w:rPr>
        <w:t>Paraguai</w:t>
      </w:r>
      <w:r w:rsidR="004756C1" w:rsidRPr="002F50BD">
        <w:rPr>
          <w:rFonts w:ascii="Verdana" w:hAnsi="Verdana"/>
          <w:sz w:val="20"/>
          <w:lang w:val="pt-BR"/>
        </w:rPr>
        <w:t xml:space="preserve"> n</w:t>
      </w:r>
      <w:r w:rsidR="00C03ED8" w:rsidRPr="002F50BD">
        <w:rPr>
          <w:rFonts w:ascii="Verdana" w:hAnsi="Verdana"/>
          <w:sz w:val="20"/>
          <w:lang w:val="pt-BR"/>
        </w:rPr>
        <w:t>ã</w:t>
      </w:r>
      <w:r w:rsidR="004756C1" w:rsidRPr="002F50BD">
        <w:rPr>
          <w:rFonts w:ascii="Verdana" w:hAnsi="Verdana"/>
          <w:sz w:val="20"/>
          <w:lang w:val="pt-BR"/>
        </w:rPr>
        <w:t xml:space="preserve">o </w:t>
      </w:r>
      <w:r w:rsidR="00C03ED8" w:rsidRPr="002F50BD">
        <w:rPr>
          <w:rFonts w:ascii="Verdana" w:hAnsi="Verdana"/>
          <w:sz w:val="20"/>
          <w:lang w:val="pt-BR"/>
        </w:rPr>
        <w:t xml:space="preserve">garantiu </w:t>
      </w:r>
      <w:r w:rsidRPr="002F50BD">
        <w:rPr>
          <w:rFonts w:ascii="Verdana" w:hAnsi="Verdana"/>
          <w:sz w:val="20"/>
          <w:lang w:val="pt-BR"/>
        </w:rPr>
        <w:t xml:space="preserve">à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a </w:t>
      </w:r>
      <w:r w:rsidR="00AB454A" w:rsidRPr="002F50BD">
        <w:rPr>
          <w:rFonts w:ascii="Verdana" w:hAnsi="Verdana"/>
          <w:sz w:val="20"/>
          <w:lang w:val="pt-BR"/>
        </w:rPr>
        <w:t>seus membros</w:t>
      </w:r>
      <w:r w:rsidRPr="002F50BD">
        <w:rPr>
          <w:rFonts w:ascii="Verdana" w:hAnsi="Verdana"/>
          <w:sz w:val="20"/>
          <w:lang w:val="pt-BR"/>
        </w:rPr>
        <w:t xml:space="preserve"> um </w:t>
      </w:r>
      <w:r w:rsidR="004756C1" w:rsidRPr="002F50BD">
        <w:rPr>
          <w:rFonts w:ascii="Verdana" w:hAnsi="Verdana"/>
          <w:sz w:val="20"/>
          <w:lang w:val="pt-BR"/>
        </w:rPr>
        <w:t xml:space="preserve">recurso </w:t>
      </w:r>
      <w:r w:rsidRPr="002F50BD">
        <w:rPr>
          <w:rFonts w:ascii="Verdana" w:hAnsi="Verdana"/>
          <w:sz w:val="20"/>
          <w:lang w:val="pt-BR"/>
        </w:rPr>
        <w:t>efetiv</w:t>
      </w:r>
      <w:r w:rsidR="004756C1" w:rsidRPr="002F50BD">
        <w:rPr>
          <w:rFonts w:ascii="Verdana" w:hAnsi="Verdana"/>
          <w:sz w:val="20"/>
          <w:lang w:val="pt-BR"/>
        </w:rPr>
        <w:t>o que</w:t>
      </w:r>
      <w:r w:rsidRPr="002F50BD">
        <w:rPr>
          <w:rFonts w:ascii="Verdana" w:hAnsi="Verdana"/>
          <w:sz w:val="20"/>
          <w:lang w:val="pt-BR"/>
        </w:rPr>
        <w:t xml:space="preserve"> a </w:t>
      </w:r>
      <w:r w:rsidR="00542EE5" w:rsidRPr="002F50BD">
        <w:rPr>
          <w:rFonts w:ascii="Verdana" w:hAnsi="Verdana"/>
          <w:sz w:val="20"/>
          <w:lang w:val="pt-BR"/>
        </w:rPr>
        <w:t xml:space="preserve">proteja </w:t>
      </w:r>
      <w:r w:rsidR="004756C1" w:rsidRPr="002F50BD">
        <w:rPr>
          <w:rFonts w:ascii="Verdana" w:hAnsi="Verdana"/>
          <w:sz w:val="20"/>
          <w:lang w:val="pt-BR"/>
        </w:rPr>
        <w:t>de</w:t>
      </w:r>
      <w:r w:rsidRPr="002F50BD">
        <w:rPr>
          <w:rFonts w:ascii="Verdana" w:hAnsi="Verdana"/>
          <w:sz w:val="20"/>
          <w:lang w:val="pt-BR"/>
        </w:rPr>
        <w:t xml:space="preserve"> atos</w:t>
      </w:r>
      <w:r w:rsidR="00C03ED8" w:rsidRPr="002F50BD">
        <w:rPr>
          <w:rFonts w:ascii="Verdana" w:hAnsi="Verdana"/>
          <w:sz w:val="20"/>
          <w:lang w:val="pt-BR"/>
        </w:rPr>
        <w:t xml:space="preserve"> que violem</w:t>
      </w:r>
      <w:r w:rsidR="004756C1" w:rsidRPr="002F50BD">
        <w:rPr>
          <w:rFonts w:ascii="Verdana" w:hAnsi="Verdana"/>
          <w:sz w:val="20"/>
          <w:lang w:val="pt-BR"/>
        </w:rPr>
        <w:t xml:space="preserve"> </w:t>
      </w:r>
      <w:r w:rsidRPr="002F50BD">
        <w:rPr>
          <w:rFonts w:ascii="Verdana" w:hAnsi="Verdana"/>
          <w:sz w:val="20"/>
          <w:lang w:val="pt-BR"/>
        </w:rPr>
        <w:t>seus direitos</w:t>
      </w:r>
      <w:r w:rsidR="006603BE" w:rsidRPr="002F50BD">
        <w:rPr>
          <w:rFonts w:ascii="Verdana" w:hAnsi="Verdana"/>
          <w:sz w:val="20"/>
          <w:lang w:val="pt-BR"/>
        </w:rPr>
        <w:t>,</w:t>
      </w:r>
      <w:r w:rsidRPr="002F50BD">
        <w:rPr>
          <w:rFonts w:ascii="Verdana" w:hAnsi="Verdana"/>
          <w:sz w:val="20"/>
          <w:lang w:val="pt-BR"/>
        </w:rPr>
        <w:t xml:space="preserve"> nem um procedimento</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o que solucione su</w:t>
      </w:r>
      <w:r w:rsidR="00C03ED8" w:rsidRPr="002F50BD">
        <w:rPr>
          <w:rFonts w:ascii="Verdana" w:hAnsi="Verdana"/>
          <w:sz w:val="20"/>
          <w:lang w:val="pt-BR"/>
        </w:rPr>
        <w:t>a</w:t>
      </w:r>
      <w:r w:rsidR="004756C1" w:rsidRPr="002F50BD">
        <w:rPr>
          <w:rFonts w:ascii="Verdana" w:hAnsi="Verdana"/>
          <w:sz w:val="20"/>
          <w:lang w:val="pt-BR"/>
        </w:rPr>
        <w:t xml:space="preserve"> reivindica</w:t>
      </w:r>
      <w:r w:rsidRPr="002F50BD">
        <w:rPr>
          <w:rFonts w:ascii="Verdana" w:hAnsi="Verdana"/>
          <w:sz w:val="20"/>
          <w:lang w:val="pt-BR"/>
        </w:rPr>
        <w:t>ção da terra</w:t>
      </w:r>
      <w:r w:rsidR="004756C1" w:rsidRPr="002F50BD">
        <w:rPr>
          <w:rFonts w:ascii="Verdana" w:hAnsi="Verdana"/>
          <w:sz w:val="20"/>
          <w:lang w:val="pt-BR"/>
        </w:rPr>
        <w:t xml:space="preserve"> ancestral</w:t>
      </w:r>
      <w:r w:rsidRPr="002F50BD">
        <w:rPr>
          <w:rFonts w:ascii="Verdana" w:hAnsi="Verdana"/>
          <w:sz w:val="20"/>
          <w:lang w:val="pt-BR"/>
        </w:rPr>
        <w:t xml:space="preserve"> e </w:t>
      </w:r>
      <w:r w:rsidR="004756C1" w:rsidRPr="002F50BD">
        <w:rPr>
          <w:rFonts w:ascii="Verdana" w:hAnsi="Verdana"/>
          <w:sz w:val="20"/>
          <w:lang w:val="pt-BR"/>
        </w:rPr>
        <w:t>que,</w:t>
      </w:r>
      <w:r w:rsidRPr="002F50BD">
        <w:rPr>
          <w:rFonts w:ascii="Verdana" w:hAnsi="Verdana"/>
          <w:sz w:val="20"/>
          <w:lang w:val="pt-BR"/>
        </w:rPr>
        <w:t xml:space="preserve"> desta </w:t>
      </w:r>
      <w:r w:rsidR="004756C1" w:rsidRPr="002F50BD">
        <w:rPr>
          <w:rFonts w:ascii="Verdana" w:hAnsi="Verdana"/>
          <w:sz w:val="20"/>
          <w:lang w:val="pt-BR"/>
        </w:rPr>
        <w:t xml:space="preserve">forma, tutele </w:t>
      </w:r>
      <w:r w:rsidRPr="002F50BD">
        <w:rPr>
          <w:rFonts w:ascii="Verdana" w:hAnsi="Verdana"/>
          <w:sz w:val="20"/>
          <w:lang w:val="pt-BR"/>
        </w:rPr>
        <w:t xml:space="preserve">seu direito à propriedade e </w:t>
      </w:r>
      <w:r w:rsidR="00A50140" w:rsidRPr="002F50BD">
        <w:rPr>
          <w:rFonts w:ascii="Verdana" w:hAnsi="Verdana"/>
          <w:sz w:val="20"/>
          <w:lang w:val="pt-BR"/>
        </w:rPr>
        <w:t>posse</w:t>
      </w:r>
      <w:r w:rsidRPr="002F50BD">
        <w:rPr>
          <w:rFonts w:ascii="Verdana" w:hAnsi="Verdana"/>
          <w:sz w:val="20"/>
          <w:lang w:val="pt-BR"/>
        </w:rPr>
        <w:t xml:space="preserve"> da mesm</w:t>
      </w:r>
      <w:r w:rsidR="004756C1" w:rsidRPr="002F50BD">
        <w:rPr>
          <w:rFonts w:ascii="Verdana" w:hAnsi="Verdana"/>
          <w:sz w:val="20"/>
          <w:lang w:val="pt-BR"/>
        </w:rPr>
        <w:t>a;</w:t>
      </w:r>
    </w:p>
    <w:p w:rsidR="00C03ED8" w:rsidRPr="002F50BD" w:rsidRDefault="00C03ED8" w:rsidP="00C03ED8">
      <w:pPr>
        <w:pStyle w:val="Sangradetindependiente2"/>
        <w:tabs>
          <w:tab w:val="left" w:pos="1080"/>
        </w:tabs>
        <w:spacing w:line="240" w:lineRule="auto"/>
        <w:ind w:left="360"/>
        <w:jc w:val="both"/>
        <w:rPr>
          <w:rFonts w:ascii="Verdana" w:hAnsi="Verdana"/>
          <w:sz w:val="20"/>
          <w:lang w:val="pt-BR"/>
        </w:rPr>
      </w:pPr>
    </w:p>
    <w:p w:rsidR="004756C1" w:rsidRPr="002F50BD" w:rsidRDefault="0089298C">
      <w:pPr>
        <w:pStyle w:val="Sangradetindependiente2"/>
        <w:numPr>
          <w:ilvl w:val="0"/>
          <w:numId w:val="8"/>
        </w:numPr>
        <w:tabs>
          <w:tab w:val="left" w:pos="1080"/>
        </w:tabs>
        <w:spacing w:line="240" w:lineRule="auto"/>
        <w:ind w:left="720"/>
        <w:jc w:val="both"/>
        <w:rPr>
          <w:rFonts w:ascii="Verdana" w:hAnsi="Verdana"/>
          <w:sz w:val="20"/>
          <w:lang w:val="pt-BR"/>
        </w:rPr>
      </w:pPr>
      <w:r w:rsidRPr="002F50BD">
        <w:rPr>
          <w:rFonts w:ascii="Verdana" w:hAnsi="Verdana"/>
          <w:sz w:val="20"/>
          <w:lang w:val="pt-BR"/>
        </w:rPr>
        <w:t>O direito</w:t>
      </w:r>
      <w:r w:rsidR="004756C1" w:rsidRPr="002F50BD">
        <w:rPr>
          <w:rFonts w:ascii="Verdana" w:hAnsi="Verdana"/>
          <w:sz w:val="20"/>
          <w:lang w:val="pt-BR"/>
        </w:rPr>
        <w:t xml:space="preserve"> interno </w:t>
      </w:r>
      <w:r w:rsidR="00C03ED8"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o </w:t>
      </w:r>
      <w:r w:rsidRPr="002F50BD">
        <w:rPr>
          <w:rFonts w:ascii="Verdana" w:hAnsi="Verdana"/>
          <w:sz w:val="20"/>
          <w:lang w:val="pt-BR"/>
        </w:rPr>
        <w:t>estabelece</w:t>
      </w:r>
      <w:r w:rsidR="004756C1" w:rsidRPr="002F50BD">
        <w:rPr>
          <w:rFonts w:ascii="Verdana" w:hAnsi="Verdana"/>
          <w:sz w:val="20"/>
          <w:lang w:val="pt-BR"/>
        </w:rPr>
        <w:t xml:space="preserve"> como único </w:t>
      </w:r>
      <w:r w:rsidRPr="002F50BD">
        <w:rPr>
          <w:rFonts w:ascii="Verdana" w:hAnsi="Verdana"/>
          <w:sz w:val="20"/>
          <w:lang w:val="pt-BR"/>
        </w:rPr>
        <w:t>procedimento</w:t>
      </w:r>
      <w:r w:rsidR="004756C1" w:rsidRPr="002F50BD">
        <w:rPr>
          <w:rFonts w:ascii="Verdana" w:hAnsi="Verdana"/>
          <w:sz w:val="20"/>
          <w:lang w:val="pt-BR"/>
        </w:rPr>
        <w:t xml:space="preserve"> a </w:t>
      </w:r>
      <w:r w:rsidR="00542EE5" w:rsidRPr="002F50BD">
        <w:rPr>
          <w:rFonts w:ascii="Verdana" w:hAnsi="Verdana"/>
          <w:sz w:val="20"/>
          <w:lang w:val="pt-BR"/>
        </w:rPr>
        <w:t xml:space="preserve">ser </w:t>
      </w:r>
      <w:r w:rsidR="004756C1" w:rsidRPr="002F50BD">
        <w:rPr>
          <w:rFonts w:ascii="Verdana" w:hAnsi="Verdana"/>
          <w:sz w:val="20"/>
          <w:lang w:val="pt-BR"/>
        </w:rPr>
        <w:t>segui</w:t>
      </w:r>
      <w:r w:rsidR="00542EE5" w:rsidRPr="002F50BD">
        <w:rPr>
          <w:rFonts w:ascii="Verdana" w:hAnsi="Verdana"/>
          <w:sz w:val="20"/>
          <w:lang w:val="pt-BR"/>
        </w:rPr>
        <w:t>do</w:t>
      </w:r>
      <w:r w:rsidR="004756C1" w:rsidRPr="002F50BD">
        <w:rPr>
          <w:rFonts w:ascii="Verdana" w:hAnsi="Verdana"/>
          <w:sz w:val="20"/>
          <w:lang w:val="pt-BR"/>
        </w:rPr>
        <w:t xml:space="preserve"> por parte</w:t>
      </w:r>
      <w:r w:rsidRPr="002F50BD">
        <w:rPr>
          <w:rFonts w:ascii="Verdana" w:hAnsi="Verdana"/>
          <w:sz w:val="20"/>
          <w:lang w:val="pt-BR"/>
        </w:rPr>
        <w:t xml:space="preserve"> </w:t>
      </w:r>
      <w:r w:rsidR="006603BE" w:rsidRPr="002F50BD">
        <w:rPr>
          <w:rFonts w:ascii="Verdana" w:hAnsi="Verdana"/>
          <w:sz w:val="20"/>
          <w:lang w:val="pt-BR"/>
        </w:rPr>
        <w:t>d</w:t>
      </w:r>
      <w:r w:rsidRPr="002F50BD">
        <w:rPr>
          <w:rFonts w:ascii="Verdana" w:hAnsi="Verdana"/>
          <w:sz w:val="20"/>
          <w:lang w:val="pt-BR"/>
        </w:rPr>
        <w:t xml:space="preserve">as </w:t>
      </w:r>
      <w:r w:rsidR="004756C1" w:rsidRPr="002F50BD">
        <w:rPr>
          <w:rFonts w:ascii="Verdana" w:hAnsi="Verdana"/>
          <w:sz w:val="20"/>
          <w:lang w:val="pt-BR"/>
        </w:rPr>
        <w:t>comunidades indígenas para</w:t>
      </w:r>
      <w:r w:rsidRPr="002F50BD">
        <w:rPr>
          <w:rFonts w:ascii="Verdana" w:hAnsi="Verdana"/>
          <w:sz w:val="20"/>
          <w:lang w:val="pt-BR"/>
        </w:rPr>
        <w:t xml:space="preserve"> a </w:t>
      </w:r>
      <w:r w:rsidR="004756C1" w:rsidRPr="002F50BD">
        <w:rPr>
          <w:rFonts w:ascii="Verdana" w:hAnsi="Verdana"/>
          <w:sz w:val="20"/>
          <w:lang w:val="pt-BR"/>
        </w:rPr>
        <w:t>adjudica</w:t>
      </w:r>
      <w:r w:rsidRPr="002F50BD">
        <w:rPr>
          <w:rFonts w:ascii="Verdana" w:hAnsi="Verdana"/>
          <w:sz w:val="20"/>
          <w:lang w:val="pt-BR"/>
        </w:rPr>
        <w:t>ção</w:t>
      </w:r>
      <w:r w:rsidR="004756C1" w:rsidRPr="002F50BD">
        <w:rPr>
          <w:rFonts w:ascii="Verdana" w:hAnsi="Verdana"/>
          <w:sz w:val="20"/>
          <w:lang w:val="pt-BR"/>
        </w:rPr>
        <w:t xml:space="preserve"> de </w:t>
      </w:r>
      <w:r w:rsidR="00A50140" w:rsidRPr="002F50BD">
        <w:rPr>
          <w:rFonts w:ascii="Verdana" w:hAnsi="Verdana"/>
          <w:sz w:val="20"/>
          <w:lang w:val="pt-BR"/>
        </w:rPr>
        <w:t>suas terras</w:t>
      </w:r>
      <w:r w:rsidRPr="002F50BD">
        <w:rPr>
          <w:rFonts w:ascii="Verdana" w:hAnsi="Verdana"/>
          <w:sz w:val="20"/>
          <w:lang w:val="pt-BR"/>
        </w:rPr>
        <w:t xml:space="preserve"> o </w:t>
      </w:r>
      <w:r w:rsidR="004756C1" w:rsidRPr="002F50BD">
        <w:rPr>
          <w:rFonts w:ascii="Verdana" w:hAnsi="Verdana"/>
          <w:sz w:val="20"/>
          <w:lang w:val="pt-BR"/>
        </w:rPr>
        <w:t>contemplado</w:t>
      </w:r>
      <w:r w:rsidRPr="002F50BD">
        <w:rPr>
          <w:rFonts w:ascii="Verdana" w:hAnsi="Verdana"/>
          <w:sz w:val="20"/>
          <w:lang w:val="pt-BR"/>
        </w:rPr>
        <w:t xml:space="preserv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CD7100" w:rsidRPr="002F50BD">
        <w:rPr>
          <w:rFonts w:ascii="Verdana" w:hAnsi="Verdana"/>
          <w:sz w:val="20"/>
          <w:lang w:val="pt-BR"/>
        </w:rPr>
        <w:t xml:space="preserve">. </w:t>
      </w:r>
      <w:r w:rsidR="006603BE" w:rsidRPr="002F50BD">
        <w:rPr>
          <w:rFonts w:ascii="Verdana" w:hAnsi="Verdana"/>
          <w:sz w:val="20"/>
          <w:lang w:val="pt-BR"/>
        </w:rPr>
        <w:t xml:space="preserve">Com </w:t>
      </w:r>
      <w:r w:rsidRPr="002F50BD">
        <w:rPr>
          <w:rFonts w:ascii="Verdana" w:hAnsi="Verdana"/>
          <w:sz w:val="20"/>
          <w:lang w:val="pt-BR"/>
        </w:rPr>
        <w:t>efeito</w:t>
      </w:r>
      <w:r w:rsidR="004756C1" w:rsidRPr="002F50BD">
        <w:rPr>
          <w:rFonts w:ascii="Verdana" w:hAnsi="Verdana"/>
          <w:sz w:val="20"/>
          <w:lang w:val="pt-BR"/>
        </w:rPr>
        <w:t xml:space="preserve">, esta </w:t>
      </w:r>
      <w:r w:rsidRPr="002F50BD">
        <w:rPr>
          <w:rFonts w:ascii="Verdana" w:hAnsi="Verdana"/>
          <w:sz w:val="20"/>
          <w:lang w:val="pt-BR"/>
        </w:rPr>
        <w:t xml:space="preserve">lei </w:t>
      </w:r>
      <w:r w:rsidR="00542EE5" w:rsidRPr="002F50BD">
        <w:rPr>
          <w:rFonts w:ascii="Verdana" w:hAnsi="Verdana"/>
          <w:sz w:val="20"/>
          <w:lang w:val="pt-BR"/>
        </w:rPr>
        <w:t xml:space="preserve">retira </w:t>
      </w:r>
      <w:r w:rsidRPr="002F50BD">
        <w:rPr>
          <w:rFonts w:ascii="Verdana" w:hAnsi="Verdana"/>
          <w:sz w:val="20"/>
          <w:lang w:val="pt-BR"/>
        </w:rPr>
        <w:t xml:space="preserve">a matéria </w:t>
      </w:r>
      <w:r w:rsidR="004756C1" w:rsidRPr="002F50BD">
        <w:rPr>
          <w:rFonts w:ascii="Verdana" w:hAnsi="Verdana"/>
          <w:sz w:val="20"/>
          <w:lang w:val="pt-BR"/>
        </w:rPr>
        <w:t>relativa</w:t>
      </w:r>
      <w:r w:rsidRPr="002F50BD">
        <w:rPr>
          <w:rFonts w:ascii="Verdana" w:hAnsi="Verdana"/>
          <w:sz w:val="20"/>
          <w:lang w:val="pt-BR"/>
        </w:rPr>
        <w:t xml:space="preserve"> à propriedade</w:t>
      </w:r>
      <w:r w:rsidR="004756C1" w:rsidRPr="002F50BD">
        <w:rPr>
          <w:rFonts w:ascii="Verdana" w:hAnsi="Verdana"/>
          <w:sz w:val="20"/>
          <w:lang w:val="pt-BR"/>
        </w:rPr>
        <w:t xml:space="preserve"> </w:t>
      </w:r>
      <w:r w:rsidR="00C03ED8" w:rsidRPr="002F50BD">
        <w:rPr>
          <w:rFonts w:ascii="Verdana" w:hAnsi="Verdana"/>
          <w:sz w:val="20"/>
          <w:lang w:val="pt-BR"/>
        </w:rPr>
        <w:t xml:space="preserve">imobiliária </w:t>
      </w:r>
      <w:r w:rsidRPr="002F50BD">
        <w:rPr>
          <w:rFonts w:ascii="Verdana" w:hAnsi="Verdana"/>
          <w:sz w:val="20"/>
          <w:lang w:val="pt-BR"/>
        </w:rPr>
        <w:t>coletiv</w:t>
      </w:r>
      <w:r w:rsidR="004756C1" w:rsidRPr="002F50BD">
        <w:rPr>
          <w:rFonts w:ascii="Verdana" w:hAnsi="Verdana"/>
          <w:sz w:val="20"/>
          <w:lang w:val="pt-BR"/>
        </w:rPr>
        <w:t>a</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xml:space="preserve"> da jurisdição</w:t>
      </w:r>
      <w:r w:rsidR="004756C1" w:rsidRPr="002F50BD">
        <w:rPr>
          <w:rFonts w:ascii="Verdana" w:hAnsi="Verdana"/>
          <w:sz w:val="20"/>
          <w:lang w:val="pt-BR"/>
        </w:rPr>
        <w:t xml:space="preserve"> </w:t>
      </w:r>
      <w:r w:rsidRPr="002F50BD">
        <w:rPr>
          <w:rFonts w:ascii="Verdana" w:hAnsi="Verdana"/>
          <w:sz w:val="20"/>
          <w:lang w:val="pt-BR"/>
        </w:rPr>
        <w:t>ordinári</w:t>
      </w:r>
      <w:r w:rsidR="004756C1" w:rsidRPr="002F50BD">
        <w:rPr>
          <w:rFonts w:ascii="Verdana" w:hAnsi="Verdana"/>
          <w:sz w:val="20"/>
          <w:lang w:val="pt-BR"/>
        </w:rPr>
        <w:t>a</w:t>
      </w:r>
      <w:r w:rsidR="00AB454A" w:rsidRPr="002F50BD">
        <w:rPr>
          <w:rFonts w:ascii="Verdana" w:hAnsi="Verdana"/>
          <w:sz w:val="20"/>
          <w:lang w:val="pt-BR"/>
        </w:rPr>
        <w:t xml:space="preserve">. A </w:t>
      </w:r>
      <w:r w:rsidRPr="002F50BD">
        <w:rPr>
          <w:rFonts w:ascii="Verdana" w:hAnsi="Verdana"/>
          <w:sz w:val="20"/>
          <w:lang w:val="pt-BR"/>
        </w:rPr>
        <w:t xml:space="preserve">Comunidade </w:t>
      </w:r>
      <w:r w:rsidR="004756C1" w:rsidRPr="002F50BD">
        <w:rPr>
          <w:rFonts w:ascii="Verdana" w:hAnsi="Verdana"/>
          <w:sz w:val="20"/>
          <w:lang w:val="pt-BR"/>
        </w:rPr>
        <w:t xml:space="preserve">Yakye Axa </w:t>
      </w:r>
      <w:r w:rsidRPr="002F50BD">
        <w:rPr>
          <w:rFonts w:ascii="Verdana" w:hAnsi="Verdana"/>
          <w:sz w:val="20"/>
          <w:lang w:val="pt-BR"/>
        </w:rPr>
        <w:t>iniciou o processo</w:t>
      </w:r>
      <w:r w:rsidR="004756C1" w:rsidRPr="002F50BD">
        <w:rPr>
          <w:rFonts w:ascii="Verdana" w:hAnsi="Verdana"/>
          <w:sz w:val="20"/>
          <w:lang w:val="pt-BR"/>
        </w:rPr>
        <w:t xml:space="preserve"> de </w:t>
      </w:r>
      <w:r w:rsidR="00542EE5" w:rsidRPr="002F50BD">
        <w:rPr>
          <w:rFonts w:ascii="Verdana" w:hAnsi="Verdana"/>
          <w:sz w:val="20"/>
          <w:lang w:val="pt-BR"/>
        </w:rPr>
        <w:t xml:space="preserve">reivindicação </w:t>
      </w:r>
      <w:r w:rsidR="004756C1" w:rsidRPr="002F50BD">
        <w:rPr>
          <w:rFonts w:ascii="Verdana" w:hAnsi="Verdana"/>
          <w:sz w:val="20"/>
          <w:lang w:val="pt-BR"/>
        </w:rPr>
        <w:t xml:space="preserve">de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em outubro</w:t>
      </w:r>
      <w:r w:rsidR="004756C1" w:rsidRPr="002F50BD">
        <w:rPr>
          <w:rFonts w:ascii="Verdana" w:hAnsi="Verdana"/>
          <w:sz w:val="20"/>
          <w:lang w:val="pt-BR"/>
        </w:rPr>
        <w:t xml:space="preserve"> de </w:t>
      </w:r>
      <w:r w:rsidR="00063B47" w:rsidRPr="002F50BD">
        <w:rPr>
          <w:rFonts w:ascii="Verdana" w:hAnsi="Verdana"/>
          <w:sz w:val="20"/>
          <w:lang w:val="pt-BR"/>
        </w:rPr>
        <w:t>1993</w:t>
      </w:r>
      <w:r w:rsidR="001A0CDE" w:rsidRPr="002F50BD">
        <w:rPr>
          <w:rFonts w:ascii="Verdana" w:hAnsi="Verdana"/>
          <w:sz w:val="20"/>
          <w:lang w:val="pt-BR"/>
        </w:rPr>
        <w:t>. Est</w:t>
      </w:r>
      <w:r w:rsidR="004756C1" w:rsidRPr="002F50BD">
        <w:rPr>
          <w:rFonts w:ascii="Verdana" w:hAnsi="Verdana"/>
          <w:sz w:val="20"/>
          <w:lang w:val="pt-BR"/>
        </w:rPr>
        <w:t xml:space="preserve">e </w:t>
      </w:r>
      <w:r w:rsidRPr="002F50BD">
        <w:rPr>
          <w:rFonts w:ascii="Verdana" w:hAnsi="Verdana"/>
          <w:sz w:val="20"/>
          <w:lang w:val="pt-BR"/>
        </w:rPr>
        <w:t>procedimento foi esgotado</w:t>
      </w:r>
      <w:r w:rsidR="004756C1"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lastRenderedPageBreak/>
        <w:t xml:space="preserve">todas </w:t>
      </w:r>
      <w:r w:rsidR="00542EE5" w:rsidRPr="002F50BD">
        <w:rPr>
          <w:rFonts w:ascii="Verdana" w:hAnsi="Verdana"/>
          <w:sz w:val="20"/>
          <w:lang w:val="pt-BR"/>
        </w:rPr>
        <w:t xml:space="preserve">as </w:t>
      </w:r>
      <w:r w:rsidR="004756C1" w:rsidRPr="002F50BD">
        <w:rPr>
          <w:rFonts w:ascii="Verdana" w:hAnsi="Verdana"/>
          <w:sz w:val="20"/>
          <w:lang w:val="pt-BR"/>
        </w:rPr>
        <w:t>su</w:t>
      </w:r>
      <w:r w:rsidR="00C03ED8" w:rsidRPr="002F50BD">
        <w:rPr>
          <w:rFonts w:ascii="Verdana" w:hAnsi="Verdana"/>
          <w:sz w:val="20"/>
          <w:lang w:val="pt-BR"/>
        </w:rPr>
        <w:t>a</w:t>
      </w:r>
      <w:r w:rsidR="004756C1" w:rsidRPr="002F50BD">
        <w:rPr>
          <w:rFonts w:ascii="Verdana" w:hAnsi="Verdana"/>
          <w:sz w:val="20"/>
          <w:lang w:val="pt-BR"/>
        </w:rPr>
        <w:t>s etapas,</w:t>
      </w:r>
      <w:r w:rsidRPr="002F50BD">
        <w:rPr>
          <w:rFonts w:ascii="Verdana" w:hAnsi="Verdana"/>
          <w:sz w:val="20"/>
          <w:lang w:val="pt-BR"/>
        </w:rPr>
        <w:t xml:space="preserve"> sem </w:t>
      </w:r>
      <w:r w:rsidR="004756C1" w:rsidRPr="002F50BD">
        <w:rPr>
          <w:rFonts w:ascii="Verdana" w:hAnsi="Verdana"/>
          <w:sz w:val="20"/>
          <w:lang w:val="pt-BR"/>
        </w:rPr>
        <w:t>que</w:t>
      </w:r>
      <w:r w:rsidRPr="002F50BD">
        <w:rPr>
          <w:rFonts w:ascii="Verdana" w:hAnsi="Verdana"/>
          <w:sz w:val="20"/>
          <w:lang w:val="pt-BR"/>
        </w:rPr>
        <w:t xml:space="preserve"> </w:t>
      </w:r>
      <w:r w:rsidR="00C03ED8" w:rsidRPr="002F50BD">
        <w:rPr>
          <w:rFonts w:ascii="Verdana" w:hAnsi="Verdana"/>
          <w:sz w:val="20"/>
          <w:lang w:val="pt-BR"/>
        </w:rPr>
        <w:t xml:space="preserve">até a presente </w:t>
      </w:r>
      <w:r w:rsidRPr="002F50BD">
        <w:rPr>
          <w:rFonts w:ascii="Verdana" w:hAnsi="Verdana"/>
          <w:sz w:val="20"/>
          <w:lang w:val="pt-BR"/>
        </w:rPr>
        <w:t>data</w:t>
      </w:r>
      <w:r w:rsidR="004756C1" w:rsidRPr="002F50BD">
        <w:rPr>
          <w:rFonts w:ascii="Verdana" w:hAnsi="Verdana"/>
          <w:sz w:val="20"/>
          <w:lang w:val="pt-BR"/>
        </w:rPr>
        <w:t xml:space="preserve"> </w:t>
      </w:r>
      <w:r w:rsidRPr="002F50BD">
        <w:rPr>
          <w:rFonts w:ascii="Verdana" w:hAnsi="Verdana"/>
          <w:sz w:val="20"/>
          <w:lang w:val="pt-BR"/>
        </w:rPr>
        <w:t>tenham</w:t>
      </w:r>
      <w:r w:rsidR="004756C1" w:rsidRPr="002F50BD">
        <w:rPr>
          <w:rFonts w:ascii="Verdana" w:hAnsi="Verdana"/>
          <w:sz w:val="20"/>
          <w:lang w:val="pt-BR"/>
        </w:rPr>
        <w:t xml:space="preserve"> </w:t>
      </w:r>
      <w:r w:rsidR="00C03ED8" w:rsidRPr="002F50BD">
        <w:rPr>
          <w:rFonts w:ascii="Verdana" w:hAnsi="Verdana"/>
          <w:sz w:val="20"/>
          <w:lang w:val="pt-BR"/>
        </w:rPr>
        <w:t xml:space="preserve">sido </w:t>
      </w:r>
      <w:r w:rsidRPr="002F50BD">
        <w:rPr>
          <w:rFonts w:ascii="Verdana" w:hAnsi="Verdana"/>
          <w:sz w:val="20"/>
          <w:lang w:val="pt-BR"/>
        </w:rPr>
        <w:t>produzid</w:t>
      </w:r>
      <w:r w:rsidR="004756C1" w:rsidRPr="002F50BD">
        <w:rPr>
          <w:rFonts w:ascii="Verdana" w:hAnsi="Verdana"/>
          <w:sz w:val="20"/>
          <w:lang w:val="pt-BR"/>
        </w:rPr>
        <w:t>o</w:t>
      </w:r>
      <w:r w:rsidR="00C03ED8" w:rsidRPr="002F50BD">
        <w:rPr>
          <w:rFonts w:ascii="Verdana" w:hAnsi="Verdana"/>
          <w:sz w:val="20"/>
          <w:lang w:val="pt-BR"/>
        </w:rPr>
        <w:t>s</w:t>
      </w:r>
      <w:r w:rsidR="004756C1" w:rsidRPr="002F50BD">
        <w:rPr>
          <w:rFonts w:ascii="Verdana" w:hAnsi="Verdana"/>
          <w:sz w:val="20"/>
          <w:lang w:val="pt-BR"/>
        </w:rPr>
        <w:t xml:space="preserve"> resultados;</w:t>
      </w:r>
    </w:p>
    <w:p w:rsidR="00C03ED8" w:rsidRPr="002F50BD" w:rsidRDefault="00C03ED8" w:rsidP="00C03ED8">
      <w:pPr>
        <w:tabs>
          <w:tab w:val="left" w:pos="1080"/>
        </w:tabs>
        <w:ind w:left="360"/>
        <w:jc w:val="both"/>
        <w:rPr>
          <w:rFonts w:ascii="Verdana" w:hAnsi="Verdana"/>
          <w:sz w:val="20"/>
          <w:lang w:val="pt-BR"/>
        </w:rPr>
      </w:pPr>
    </w:p>
    <w:p w:rsidR="004756C1" w:rsidRPr="002F50BD" w:rsidRDefault="00BE346D">
      <w:pPr>
        <w:numPr>
          <w:ilvl w:val="0"/>
          <w:numId w:val="8"/>
        </w:numPr>
        <w:tabs>
          <w:tab w:val="left" w:pos="1080"/>
        </w:tabs>
        <w:ind w:left="720"/>
        <w:jc w:val="both"/>
        <w:rPr>
          <w:rFonts w:ascii="Verdana" w:hAnsi="Verdana"/>
          <w:sz w:val="20"/>
          <w:lang w:val="pt-BR"/>
        </w:rPr>
      </w:pPr>
      <w:r w:rsidRPr="002F50BD">
        <w:rPr>
          <w:rFonts w:ascii="Verdana" w:hAnsi="Verdana"/>
          <w:sz w:val="20"/>
          <w:lang w:val="pt-BR"/>
        </w:rPr>
        <w:t xml:space="preserve">Em </w:t>
      </w:r>
      <w:r w:rsidR="00063B47" w:rsidRPr="002F50BD">
        <w:rPr>
          <w:rFonts w:ascii="Verdana" w:hAnsi="Verdana"/>
          <w:sz w:val="20"/>
          <w:lang w:val="pt-BR"/>
        </w:rPr>
        <w:t>3</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00063B47" w:rsidRPr="002F50BD">
        <w:rPr>
          <w:rFonts w:ascii="Verdana" w:hAnsi="Verdana"/>
          <w:sz w:val="20"/>
          <w:lang w:val="pt-BR"/>
        </w:rPr>
        <w:t>1997</w:t>
      </w:r>
      <w:r w:rsidR="006603BE"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apresentou uma </w:t>
      </w:r>
      <w:r w:rsidR="004076AD" w:rsidRPr="002F50BD">
        <w:rPr>
          <w:rFonts w:ascii="Verdana" w:hAnsi="Verdana"/>
          <w:sz w:val="20"/>
          <w:lang w:val="pt-BR"/>
        </w:rPr>
        <w:t>ação</w:t>
      </w:r>
      <w:r w:rsidR="004756C1" w:rsidRPr="002F50BD">
        <w:rPr>
          <w:rFonts w:ascii="Verdana" w:hAnsi="Verdana"/>
          <w:sz w:val="20"/>
          <w:lang w:val="pt-BR"/>
        </w:rPr>
        <w:t xml:space="preserve"> de amparo para proteger </w:t>
      </w:r>
      <w:r w:rsidR="0089298C" w:rsidRPr="002F50BD">
        <w:rPr>
          <w:rFonts w:ascii="Verdana" w:hAnsi="Verdana"/>
          <w:sz w:val="20"/>
          <w:lang w:val="pt-BR"/>
        </w:rPr>
        <w:t>seu direito</w:t>
      </w:r>
      <w:r w:rsidR="004756C1" w:rsidRPr="002F50BD">
        <w:rPr>
          <w:rFonts w:ascii="Verdana" w:hAnsi="Verdana"/>
          <w:sz w:val="20"/>
          <w:lang w:val="pt-BR"/>
        </w:rPr>
        <w:t xml:space="preserve"> a </w:t>
      </w:r>
      <w:r w:rsidR="00AB454A" w:rsidRPr="002F50BD">
        <w:rPr>
          <w:rFonts w:ascii="Verdana" w:hAnsi="Verdana"/>
          <w:sz w:val="20"/>
          <w:lang w:val="pt-BR"/>
        </w:rPr>
        <w:t>caça</w:t>
      </w:r>
      <w:r w:rsidR="004756C1" w:rsidRPr="002F50BD">
        <w:rPr>
          <w:rFonts w:ascii="Verdana" w:hAnsi="Verdana"/>
          <w:sz w:val="20"/>
          <w:lang w:val="pt-BR"/>
        </w:rPr>
        <w:t>r, pescar</w:t>
      </w:r>
      <w:r w:rsidR="0089298C" w:rsidRPr="002F50BD">
        <w:rPr>
          <w:rFonts w:ascii="Verdana" w:hAnsi="Verdana"/>
          <w:sz w:val="20"/>
          <w:lang w:val="pt-BR"/>
        </w:rPr>
        <w:t xml:space="preserve"> e </w:t>
      </w:r>
      <w:r w:rsidR="00C03ED8" w:rsidRPr="002F50BD">
        <w:rPr>
          <w:rFonts w:ascii="Verdana" w:hAnsi="Verdana"/>
          <w:sz w:val="20"/>
          <w:lang w:val="pt-BR"/>
        </w:rPr>
        <w:t xml:space="preserve">colher </w:t>
      </w:r>
      <w:r w:rsidR="004756C1" w:rsidRPr="002F50BD">
        <w:rPr>
          <w:rFonts w:ascii="Verdana" w:hAnsi="Verdana"/>
          <w:sz w:val="20"/>
          <w:lang w:val="pt-BR"/>
        </w:rPr>
        <w:t>frutos</w:t>
      </w:r>
      <w:r w:rsidR="0089298C" w:rsidRPr="002F50BD">
        <w:rPr>
          <w:rFonts w:ascii="Verdana" w:hAnsi="Verdana"/>
          <w:sz w:val="20"/>
          <w:lang w:val="pt-BR"/>
        </w:rPr>
        <w:t xml:space="preserve"> em </w:t>
      </w:r>
      <w:r w:rsidR="00475EBB" w:rsidRPr="002F50BD">
        <w:rPr>
          <w:rFonts w:ascii="Verdana" w:hAnsi="Verdana"/>
          <w:sz w:val="20"/>
          <w:lang w:val="pt-BR"/>
        </w:rPr>
        <w:t>sua terra</w:t>
      </w:r>
      <w:r w:rsidR="004756C1" w:rsidRPr="002F50BD">
        <w:rPr>
          <w:rFonts w:ascii="Verdana" w:hAnsi="Verdana"/>
          <w:sz w:val="20"/>
          <w:lang w:val="pt-BR"/>
        </w:rPr>
        <w:t xml:space="preserve"> ancestral, que</w:t>
      </w:r>
      <w:r w:rsidR="0089298C" w:rsidRPr="002F50BD">
        <w:rPr>
          <w:rFonts w:ascii="Verdana" w:hAnsi="Verdana"/>
          <w:sz w:val="20"/>
          <w:lang w:val="pt-BR"/>
        </w:rPr>
        <w:t xml:space="preserve"> foi </w:t>
      </w:r>
      <w:r w:rsidR="006603BE" w:rsidRPr="002F50BD">
        <w:rPr>
          <w:rFonts w:ascii="Verdana" w:hAnsi="Verdana"/>
          <w:sz w:val="20"/>
          <w:lang w:val="pt-BR"/>
        </w:rPr>
        <w:t>rejeitada</w:t>
      </w:r>
      <w:r w:rsidR="0089298C" w:rsidRPr="002F50BD">
        <w:rPr>
          <w:rFonts w:ascii="Verdana" w:hAnsi="Verdana"/>
          <w:sz w:val="20"/>
          <w:lang w:val="pt-BR"/>
        </w:rPr>
        <w:t xml:space="preserve"> em primeira e </w:t>
      </w:r>
      <w:r w:rsidR="004756C1" w:rsidRPr="002F50BD">
        <w:rPr>
          <w:rFonts w:ascii="Verdana" w:hAnsi="Verdana"/>
          <w:sz w:val="20"/>
          <w:lang w:val="pt-BR"/>
        </w:rPr>
        <w:t xml:space="preserve">segunda </w:t>
      </w:r>
      <w:r w:rsidR="0089298C" w:rsidRPr="002F50BD">
        <w:rPr>
          <w:rFonts w:ascii="Verdana" w:hAnsi="Verdana"/>
          <w:sz w:val="20"/>
          <w:lang w:val="pt-BR"/>
        </w:rPr>
        <w:t>instância</w:t>
      </w:r>
      <w:r w:rsidR="00C03ED8" w:rsidRPr="002F50BD">
        <w:rPr>
          <w:rFonts w:ascii="Verdana" w:hAnsi="Verdana"/>
          <w:sz w:val="20"/>
          <w:lang w:val="pt-BR"/>
        </w:rPr>
        <w:t>s</w:t>
      </w:r>
      <w:r w:rsidR="004756C1" w:rsidRPr="002F50BD">
        <w:rPr>
          <w:rFonts w:ascii="Verdana" w:hAnsi="Verdana"/>
          <w:sz w:val="20"/>
          <w:lang w:val="pt-BR"/>
        </w:rPr>
        <w:t xml:space="preserve"> por</w:t>
      </w:r>
      <w:r w:rsidR="0089298C" w:rsidRPr="002F50BD">
        <w:rPr>
          <w:rFonts w:ascii="Verdana" w:hAnsi="Verdana"/>
          <w:sz w:val="20"/>
          <w:lang w:val="pt-BR"/>
        </w:rPr>
        <w:t xml:space="preserve"> uma questão</w:t>
      </w:r>
      <w:r w:rsidR="004756C1" w:rsidRPr="002F50BD">
        <w:rPr>
          <w:rFonts w:ascii="Verdana" w:hAnsi="Verdana"/>
          <w:sz w:val="20"/>
          <w:lang w:val="pt-BR"/>
        </w:rPr>
        <w:t xml:space="preserve"> </w:t>
      </w:r>
      <w:r w:rsidR="00542EE5" w:rsidRPr="002F50BD">
        <w:rPr>
          <w:rFonts w:ascii="Verdana" w:hAnsi="Verdana"/>
          <w:sz w:val="20"/>
          <w:lang w:val="pt-BR"/>
        </w:rPr>
        <w:t>formal</w:t>
      </w:r>
      <w:r w:rsidR="00E6530C" w:rsidRPr="002F50BD">
        <w:rPr>
          <w:rFonts w:ascii="Verdana" w:hAnsi="Verdana"/>
          <w:sz w:val="20"/>
          <w:lang w:val="pt-BR"/>
        </w:rPr>
        <w:t>. Dest</w:t>
      </w:r>
      <w:r w:rsidR="0089298C" w:rsidRPr="002F50BD">
        <w:rPr>
          <w:rFonts w:ascii="Verdana" w:hAnsi="Verdana"/>
          <w:sz w:val="20"/>
          <w:lang w:val="pt-BR"/>
        </w:rPr>
        <w:t>a maneira</w:t>
      </w:r>
      <w:r w:rsidR="004756C1"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 xml:space="preserve">Yakye Axa </w:t>
      </w:r>
      <w:r w:rsidR="0089298C" w:rsidRPr="002F50BD">
        <w:rPr>
          <w:rFonts w:ascii="Verdana" w:hAnsi="Verdana"/>
          <w:sz w:val="20"/>
          <w:lang w:val="pt-BR"/>
        </w:rPr>
        <w:t>permaneceu</w:t>
      </w:r>
      <w:r w:rsidR="004756C1" w:rsidRPr="002F50BD">
        <w:rPr>
          <w:rFonts w:ascii="Verdana" w:hAnsi="Verdana"/>
          <w:sz w:val="20"/>
          <w:lang w:val="pt-BR"/>
        </w:rPr>
        <w:t xml:space="preserve"> privada de</w:t>
      </w:r>
      <w:r w:rsidR="0089298C" w:rsidRPr="002F50BD">
        <w:rPr>
          <w:rFonts w:ascii="Verdana" w:hAnsi="Verdana"/>
          <w:sz w:val="20"/>
          <w:lang w:val="pt-BR"/>
        </w:rPr>
        <w:t xml:space="preserve"> uma decisão</w:t>
      </w:r>
      <w:r w:rsidR="004756C1" w:rsidRPr="002F50BD">
        <w:rPr>
          <w:rFonts w:ascii="Verdana" w:hAnsi="Verdana"/>
          <w:sz w:val="20"/>
          <w:lang w:val="pt-BR"/>
        </w:rPr>
        <w:t xml:space="preserve"> judicial que ampara</w:t>
      </w:r>
      <w:r w:rsidR="00C03ED8" w:rsidRPr="002F50BD">
        <w:rPr>
          <w:rFonts w:ascii="Verdana" w:hAnsi="Verdana"/>
          <w:sz w:val="20"/>
          <w:lang w:val="pt-BR"/>
        </w:rPr>
        <w:t>sse</w:t>
      </w:r>
      <w:r w:rsidR="004756C1" w:rsidRPr="002F50BD">
        <w:rPr>
          <w:rFonts w:ascii="Verdana" w:hAnsi="Verdana"/>
          <w:sz w:val="20"/>
          <w:lang w:val="pt-BR"/>
        </w:rPr>
        <w:t xml:space="preserve"> </w:t>
      </w:r>
      <w:r w:rsidR="0089298C" w:rsidRPr="002F50BD">
        <w:rPr>
          <w:rFonts w:ascii="Verdana" w:hAnsi="Verdana"/>
          <w:sz w:val="20"/>
          <w:lang w:val="pt-BR"/>
        </w:rPr>
        <w:t>seu direito à subsistência</w:t>
      </w:r>
      <w:r w:rsidR="004756C1" w:rsidRPr="002F50BD">
        <w:rPr>
          <w:rFonts w:ascii="Verdana" w:hAnsi="Verdana"/>
          <w:sz w:val="20"/>
          <w:lang w:val="pt-BR"/>
        </w:rPr>
        <w:t>.</w:t>
      </w:r>
      <w:r w:rsidR="00FE08B7">
        <w:rPr>
          <w:rFonts w:ascii="Verdana" w:hAnsi="Verdana"/>
          <w:sz w:val="20"/>
          <w:lang w:val="pt-BR"/>
        </w:rPr>
        <w:t xml:space="preserve"> </w:t>
      </w:r>
      <w:r w:rsidR="00C03ED8"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 </w:t>
      </w:r>
      <w:r w:rsidR="004076AD" w:rsidRPr="002F50BD">
        <w:rPr>
          <w:rFonts w:ascii="Verdana" w:hAnsi="Verdana"/>
          <w:sz w:val="20"/>
          <w:lang w:val="pt-BR"/>
        </w:rPr>
        <w:t>ação</w:t>
      </w:r>
      <w:r w:rsidR="004756C1" w:rsidRPr="002F50BD">
        <w:rPr>
          <w:rFonts w:ascii="Verdana" w:hAnsi="Verdana"/>
          <w:sz w:val="20"/>
          <w:lang w:val="pt-BR"/>
        </w:rPr>
        <w:t xml:space="preserve"> de in</w:t>
      </w:r>
      <w:r w:rsidR="0089298C" w:rsidRPr="002F50BD">
        <w:rPr>
          <w:rFonts w:ascii="Verdana" w:hAnsi="Verdana"/>
          <w:sz w:val="20"/>
          <w:lang w:val="pt-BR"/>
        </w:rPr>
        <w:t>constitucionalidade interpost</w:t>
      </w:r>
      <w:r w:rsidR="004756C1" w:rsidRPr="002F50BD">
        <w:rPr>
          <w:rFonts w:ascii="Verdana" w:hAnsi="Verdana"/>
          <w:sz w:val="20"/>
          <w:lang w:val="pt-BR"/>
        </w:rPr>
        <w:t>a</w:t>
      </w:r>
      <w:r w:rsidR="0089298C" w:rsidRPr="002F50BD">
        <w:rPr>
          <w:rFonts w:ascii="Verdana" w:hAnsi="Verdana"/>
          <w:sz w:val="20"/>
          <w:lang w:val="pt-BR"/>
        </w:rPr>
        <w:t xml:space="preserve"> perante a </w:t>
      </w:r>
      <w:r w:rsidR="004756C1" w:rsidRPr="002F50BD">
        <w:rPr>
          <w:rFonts w:ascii="Verdana" w:hAnsi="Verdana"/>
          <w:sz w:val="20"/>
          <w:lang w:val="pt-BR"/>
        </w:rPr>
        <w:t xml:space="preserve">Corte Suprema de </w:t>
      </w:r>
      <w:r w:rsidR="0089298C" w:rsidRPr="002F50BD">
        <w:rPr>
          <w:rFonts w:ascii="Verdana" w:hAnsi="Verdana"/>
          <w:sz w:val="20"/>
          <w:lang w:val="pt-BR"/>
        </w:rPr>
        <w:t>Justiça</w:t>
      </w:r>
      <w:r w:rsidR="004756C1" w:rsidRPr="002F50BD">
        <w:rPr>
          <w:rFonts w:ascii="Verdana" w:hAnsi="Verdana"/>
          <w:sz w:val="20"/>
          <w:lang w:val="pt-BR"/>
        </w:rPr>
        <w:t xml:space="preserve"> contra</w:t>
      </w:r>
      <w:r w:rsidR="0089298C" w:rsidRPr="002F50BD">
        <w:rPr>
          <w:rFonts w:ascii="Verdana" w:hAnsi="Verdana"/>
          <w:sz w:val="20"/>
          <w:lang w:val="pt-BR"/>
        </w:rPr>
        <w:t xml:space="preserve"> as decisões</w:t>
      </w:r>
      <w:r w:rsidR="004756C1" w:rsidRPr="002F50BD">
        <w:rPr>
          <w:rFonts w:ascii="Verdana" w:hAnsi="Verdana"/>
          <w:sz w:val="20"/>
          <w:lang w:val="pt-BR"/>
        </w:rPr>
        <w:t xml:space="preserve"> que </w:t>
      </w:r>
      <w:r w:rsidR="00C03ED8" w:rsidRPr="002F50BD">
        <w:rPr>
          <w:rFonts w:ascii="Verdana" w:hAnsi="Verdana"/>
          <w:sz w:val="20"/>
          <w:lang w:val="pt-BR"/>
        </w:rPr>
        <w:t>rejeitaram</w:t>
      </w:r>
      <w:r w:rsidR="0089298C" w:rsidRPr="002F50BD">
        <w:rPr>
          <w:rFonts w:ascii="Verdana" w:hAnsi="Verdana"/>
          <w:sz w:val="20"/>
          <w:lang w:val="pt-BR"/>
        </w:rPr>
        <w:t xml:space="preserve"> a </w:t>
      </w:r>
      <w:r w:rsidR="004076AD" w:rsidRPr="002F50BD">
        <w:rPr>
          <w:rFonts w:ascii="Verdana" w:hAnsi="Verdana"/>
          <w:sz w:val="20"/>
          <w:lang w:val="pt-BR"/>
        </w:rPr>
        <w:t>ação</w:t>
      </w:r>
      <w:r w:rsidR="004756C1" w:rsidRPr="002F50BD">
        <w:rPr>
          <w:rFonts w:ascii="Verdana" w:hAnsi="Verdana"/>
          <w:sz w:val="20"/>
          <w:lang w:val="pt-BR"/>
        </w:rPr>
        <w:t xml:space="preserve"> de amparo</w:t>
      </w:r>
      <w:r w:rsidR="0089298C" w:rsidRPr="002F50BD">
        <w:rPr>
          <w:rFonts w:ascii="Verdana" w:hAnsi="Verdana"/>
          <w:sz w:val="20"/>
          <w:lang w:val="pt-BR"/>
        </w:rPr>
        <w:t xml:space="preserve"> foi </w:t>
      </w:r>
      <w:r w:rsidR="004756C1" w:rsidRPr="002F50BD">
        <w:rPr>
          <w:rFonts w:ascii="Verdana" w:hAnsi="Verdana"/>
          <w:sz w:val="20"/>
          <w:lang w:val="pt-BR"/>
        </w:rPr>
        <w:t>decidida,</w:t>
      </w:r>
      <w:r w:rsidR="0089298C" w:rsidRPr="002F50BD">
        <w:rPr>
          <w:rFonts w:ascii="Verdana" w:hAnsi="Verdana"/>
          <w:sz w:val="20"/>
          <w:lang w:val="pt-BR"/>
        </w:rPr>
        <w:t xml:space="preserve"> com um </w:t>
      </w:r>
      <w:r w:rsidR="00C03ED8" w:rsidRPr="002F50BD">
        <w:rPr>
          <w:rFonts w:ascii="Verdana" w:hAnsi="Verdana"/>
          <w:sz w:val="20"/>
          <w:lang w:val="pt-BR"/>
        </w:rPr>
        <w:t xml:space="preserve">atraso </w:t>
      </w:r>
      <w:r w:rsidR="004756C1" w:rsidRPr="002F50BD">
        <w:rPr>
          <w:rFonts w:ascii="Verdana" w:hAnsi="Verdana"/>
          <w:sz w:val="20"/>
          <w:lang w:val="pt-BR"/>
        </w:rPr>
        <w:t xml:space="preserve">injustificado, de </w:t>
      </w:r>
      <w:r w:rsidR="0089298C" w:rsidRPr="002F50BD">
        <w:rPr>
          <w:rFonts w:ascii="Verdana" w:hAnsi="Verdana"/>
          <w:sz w:val="20"/>
          <w:lang w:val="pt-BR"/>
        </w:rPr>
        <w:t>maneira</w:t>
      </w:r>
      <w:r w:rsidR="004756C1" w:rsidRPr="002F50BD">
        <w:rPr>
          <w:rFonts w:ascii="Verdana" w:hAnsi="Verdana"/>
          <w:sz w:val="20"/>
          <w:lang w:val="pt-BR"/>
        </w:rPr>
        <w:t xml:space="preserve"> desfavor</w:t>
      </w:r>
      <w:r w:rsidR="00C03ED8" w:rsidRPr="002F50BD">
        <w:rPr>
          <w:rFonts w:ascii="Verdana" w:hAnsi="Verdana"/>
          <w:sz w:val="20"/>
          <w:lang w:val="pt-BR"/>
        </w:rPr>
        <w:t>ável</w:t>
      </w:r>
      <w:r w:rsidR="0089298C" w:rsidRPr="002F50BD">
        <w:rPr>
          <w:rFonts w:ascii="Verdana" w:hAnsi="Verdana"/>
          <w:sz w:val="20"/>
          <w:lang w:val="pt-BR"/>
        </w:rPr>
        <w:t>, e</w:t>
      </w:r>
      <w:r w:rsidR="00FE08B7">
        <w:rPr>
          <w:rFonts w:ascii="Verdana" w:hAnsi="Verdana"/>
          <w:sz w:val="20"/>
          <w:lang w:val="pt-BR"/>
        </w:rPr>
        <w:t xml:space="preserve">  </w:t>
      </w:r>
      <w:r w:rsidR="004756C1" w:rsidRPr="002F50BD">
        <w:rPr>
          <w:rFonts w:ascii="Verdana" w:hAnsi="Verdana"/>
          <w:sz w:val="20"/>
          <w:lang w:val="pt-BR"/>
        </w:rPr>
        <w:t xml:space="preserve"> </w:t>
      </w:r>
    </w:p>
    <w:p w:rsidR="00C03ED8" w:rsidRPr="002F50BD" w:rsidRDefault="00C03ED8" w:rsidP="00C03ED8">
      <w:pPr>
        <w:tabs>
          <w:tab w:val="left" w:pos="1080"/>
        </w:tabs>
        <w:ind w:left="360"/>
        <w:jc w:val="both"/>
        <w:rPr>
          <w:rFonts w:ascii="Verdana" w:hAnsi="Verdana"/>
          <w:sz w:val="20"/>
          <w:lang w:val="pt-BR"/>
        </w:rPr>
      </w:pPr>
    </w:p>
    <w:p w:rsidR="004756C1" w:rsidRPr="002F50BD" w:rsidRDefault="0089298C">
      <w:pPr>
        <w:numPr>
          <w:ilvl w:val="0"/>
          <w:numId w:val="8"/>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in</w:t>
      </w:r>
      <w:r w:rsidRPr="002F50BD">
        <w:rPr>
          <w:rFonts w:ascii="Verdana" w:hAnsi="Verdana"/>
          <w:sz w:val="20"/>
          <w:lang w:val="pt-BR"/>
        </w:rPr>
        <w:t>existência</w:t>
      </w:r>
      <w:r w:rsidR="004756C1" w:rsidRPr="002F50BD">
        <w:rPr>
          <w:rFonts w:ascii="Verdana" w:hAnsi="Verdana"/>
          <w:sz w:val="20"/>
          <w:lang w:val="pt-BR"/>
        </w:rPr>
        <w:t xml:space="preserve"> de</w:t>
      </w:r>
      <w:r w:rsidRPr="002F50BD">
        <w:rPr>
          <w:rFonts w:ascii="Verdana" w:hAnsi="Verdana"/>
          <w:sz w:val="20"/>
          <w:lang w:val="pt-BR"/>
        </w:rPr>
        <w:t xml:space="preserve"> um </w:t>
      </w:r>
      <w:r w:rsidR="004756C1" w:rsidRPr="002F50BD">
        <w:rPr>
          <w:rFonts w:ascii="Verdana" w:hAnsi="Verdana"/>
          <w:sz w:val="20"/>
          <w:lang w:val="pt-BR"/>
        </w:rPr>
        <w:t xml:space="preserve">recurso </w:t>
      </w:r>
      <w:r w:rsidRPr="002F50BD">
        <w:rPr>
          <w:rFonts w:ascii="Verdana" w:hAnsi="Verdana"/>
          <w:sz w:val="20"/>
          <w:lang w:val="pt-BR"/>
        </w:rPr>
        <w:t>efetiv</w:t>
      </w:r>
      <w:r w:rsidR="004756C1" w:rsidRPr="002F50BD">
        <w:rPr>
          <w:rFonts w:ascii="Verdana" w:hAnsi="Verdana"/>
          <w:sz w:val="20"/>
          <w:lang w:val="pt-BR"/>
        </w:rPr>
        <w:t>o, que tutele</w:t>
      </w:r>
      <w:r w:rsidRPr="002F50BD">
        <w:rPr>
          <w:rFonts w:ascii="Verdana" w:hAnsi="Verdana"/>
          <w:sz w:val="20"/>
          <w:lang w:val="pt-BR"/>
        </w:rPr>
        <w:t xml:space="preserve"> </w:t>
      </w:r>
      <w:r w:rsidR="00C03ED8" w:rsidRPr="002F50BD">
        <w:rPr>
          <w:rFonts w:ascii="Verdana" w:hAnsi="Verdana"/>
          <w:sz w:val="20"/>
          <w:lang w:val="pt-BR"/>
        </w:rPr>
        <w:t xml:space="preserve">estes direitos </w:t>
      </w:r>
      <w:r w:rsidRPr="002F50BD">
        <w:rPr>
          <w:rFonts w:ascii="Verdana" w:hAnsi="Verdana"/>
          <w:sz w:val="20"/>
          <w:lang w:val="pt-BR"/>
        </w:rPr>
        <w:t xml:space="preserve">na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interna</w:t>
      </w:r>
      <w:r w:rsidR="006603BE" w:rsidRPr="002F50BD">
        <w:rPr>
          <w:rFonts w:ascii="Verdana" w:hAnsi="Verdana"/>
          <w:sz w:val="20"/>
          <w:lang w:val="pt-BR"/>
        </w:rPr>
        <w:t xml:space="preserve"> de maneira eficaz</w:t>
      </w:r>
      <w:r w:rsidR="004756C1" w:rsidRPr="002F50BD">
        <w:rPr>
          <w:rFonts w:ascii="Verdana" w:hAnsi="Verdana"/>
          <w:sz w:val="20"/>
          <w:lang w:val="pt-BR"/>
        </w:rPr>
        <w:t>, signific</w:t>
      </w:r>
      <w:r w:rsidR="00C03ED8" w:rsidRPr="002F50BD">
        <w:rPr>
          <w:rFonts w:ascii="Verdana" w:hAnsi="Verdana"/>
          <w:sz w:val="20"/>
          <w:lang w:val="pt-BR"/>
        </w:rPr>
        <w:t>ou</w:t>
      </w:r>
      <w:r w:rsidR="004756C1" w:rsidRPr="002F50BD">
        <w:rPr>
          <w:rFonts w:ascii="Verdana" w:hAnsi="Verdana"/>
          <w:sz w:val="20"/>
          <w:lang w:val="pt-BR"/>
        </w:rPr>
        <w:t xml:space="preserve"> para</w:t>
      </w:r>
      <w:r w:rsidRPr="002F50BD">
        <w:rPr>
          <w:rFonts w:ascii="Verdana" w:hAnsi="Verdana"/>
          <w:sz w:val="20"/>
          <w:lang w:val="pt-BR"/>
        </w:rPr>
        <w:t xml:space="preserve"> a Comunidade </w:t>
      </w:r>
      <w:r w:rsidR="004756C1" w:rsidRPr="002F50BD">
        <w:rPr>
          <w:rFonts w:ascii="Verdana" w:hAnsi="Verdana"/>
          <w:sz w:val="20"/>
          <w:lang w:val="pt-BR"/>
        </w:rPr>
        <w:t>Yakye Axa</w:t>
      </w:r>
      <w:r w:rsidRPr="002F50BD">
        <w:rPr>
          <w:rFonts w:ascii="Verdana" w:hAnsi="Verdana"/>
          <w:sz w:val="20"/>
          <w:lang w:val="pt-BR"/>
        </w:rPr>
        <w:t xml:space="preserve"> a </w:t>
      </w:r>
      <w:r w:rsidR="004756C1" w:rsidRPr="002F50BD">
        <w:rPr>
          <w:rFonts w:ascii="Verdana" w:hAnsi="Verdana"/>
          <w:sz w:val="20"/>
          <w:lang w:val="pt-BR"/>
        </w:rPr>
        <w:t>priva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uso</w:t>
      </w:r>
      <w:r w:rsidRPr="002F50BD">
        <w:rPr>
          <w:rFonts w:ascii="Verdana" w:hAnsi="Verdana"/>
          <w:sz w:val="20"/>
          <w:lang w:val="pt-BR"/>
        </w:rPr>
        <w:t xml:space="preserve"> e </w:t>
      </w:r>
      <w:r w:rsidR="004756C1" w:rsidRPr="002F50BD">
        <w:rPr>
          <w:rFonts w:ascii="Verdana" w:hAnsi="Verdana"/>
          <w:sz w:val="20"/>
          <w:lang w:val="pt-BR"/>
        </w:rPr>
        <w:t>d</w:t>
      </w:r>
      <w:r w:rsidR="00C03ED8" w:rsidRPr="002F50BD">
        <w:rPr>
          <w:rFonts w:ascii="Verdana" w:hAnsi="Verdana"/>
          <w:sz w:val="20"/>
          <w:lang w:val="pt-BR"/>
        </w:rPr>
        <w:t>e</w:t>
      </w:r>
      <w:r w:rsidR="004756C1" w:rsidRPr="002F50BD">
        <w:rPr>
          <w:rFonts w:ascii="Verdana" w:hAnsi="Verdana"/>
          <w:sz w:val="20"/>
          <w:lang w:val="pt-BR"/>
        </w:rPr>
        <w:t>sfrute,</w:t>
      </w:r>
      <w:r w:rsidRPr="002F50BD">
        <w:rPr>
          <w:rFonts w:ascii="Verdana" w:hAnsi="Verdana"/>
          <w:sz w:val="20"/>
          <w:lang w:val="pt-BR"/>
        </w:rPr>
        <w:t xml:space="preserve"> livre e </w:t>
      </w:r>
      <w:r w:rsidR="004756C1" w:rsidRPr="002F50BD">
        <w:rPr>
          <w:rFonts w:ascii="Verdana" w:hAnsi="Verdana"/>
          <w:sz w:val="20"/>
          <w:lang w:val="pt-BR"/>
        </w:rPr>
        <w:t xml:space="preserve">pleno, de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e </w:t>
      </w:r>
      <w:r w:rsidR="004756C1" w:rsidRPr="002F50BD">
        <w:rPr>
          <w:rFonts w:ascii="Verdana" w:hAnsi="Verdana"/>
          <w:sz w:val="20"/>
          <w:lang w:val="pt-BR"/>
        </w:rPr>
        <w:t xml:space="preserve">de </w:t>
      </w:r>
      <w:r w:rsidR="00AB454A" w:rsidRPr="002F50BD">
        <w:rPr>
          <w:rFonts w:ascii="Verdana" w:hAnsi="Verdana"/>
          <w:sz w:val="20"/>
          <w:lang w:val="pt-BR"/>
        </w:rPr>
        <w:t>seu território</w:t>
      </w:r>
      <w:r w:rsidRPr="002F50BD">
        <w:rPr>
          <w:rFonts w:ascii="Verdana" w:hAnsi="Verdana"/>
          <w:sz w:val="20"/>
          <w:lang w:val="pt-BR"/>
        </w:rPr>
        <w:t xml:space="preserve"> e </w:t>
      </w:r>
      <w:r w:rsidR="001A0CDE" w:rsidRPr="002F50BD">
        <w:rPr>
          <w:rFonts w:ascii="Verdana" w:hAnsi="Verdana"/>
          <w:sz w:val="20"/>
          <w:lang w:val="pt-BR"/>
        </w:rPr>
        <w:t>habitat</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w:t>
      </w:r>
      <w:r w:rsidR="00C03ED8" w:rsidRPr="002F50BD">
        <w:rPr>
          <w:rFonts w:ascii="Verdana" w:hAnsi="Verdana"/>
          <w:sz w:val="20"/>
          <w:lang w:val="pt-BR"/>
        </w:rPr>
        <w:t>Além disso</w:t>
      </w:r>
      <w:r w:rsidR="004756C1" w:rsidRPr="002F50BD">
        <w:rPr>
          <w:rFonts w:ascii="Verdana" w:hAnsi="Verdana"/>
          <w:sz w:val="20"/>
          <w:lang w:val="pt-BR"/>
        </w:rPr>
        <w:t xml:space="preserve">, </w:t>
      </w:r>
      <w:r w:rsidR="00C03ED8" w:rsidRPr="002F50BD">
        <w:rPr>
          <w:rFonts w:ascii="Verdana" w:hAnsi="Verdana"/>
          <w:sz w:val="20"/>
          <w:lang w:val="pt-BR"/>
        </w:rPr>
        <w:t xml:space="preserve">isso </w:t>
      </w:r>
      <w:r w:rsidR="004756C1" w:rsidRPr="002F50BD">
        <w:rPr>
          <w:rFonts w:ascii="Verdana" w:hAnsi="Verdana"/>
          <w:sz w:val="20"/>
          <w:lang w:val="pt-BR"/>
        </w:rPr>
        <w:t>signific</w:t>
      </w:r>
      <w:r w:rsidR="00C03ED8" w:rsidRPr="002F50BD">
        <w:rPr>
          <w:rFonts w:ascii="Verdana" w:hAnsi="Verdana"/>
          <w:sz w:val="20"/>
          <w:lang w:val="pt-BR"/>
        </w:rPr>
        <w:t>ou</w:t>
      </w:r>
      <w:r w:rsidRPr="002F50BD">
        <w:rPr>
          <w:rFonts w:ascii="Verdana" w:hAnsi="Verdana"/>
          <w:sz w:val="20"/>
          <w:lang w:val="pt-BR"/>
        </w:rPr>
        <w:t xml:space="preserve"> a </w:t>
      </w:r>
      <w:r w:rsidR="004756C1" w:rsidRPr="002F50BD">
        <w:rPr>
          <w:rFonts w:ascii="Verdana" w:hAnsi="Verdana"/>
          <w:sz w:val="20"/>
          <w:lang w:val="pt-BR"/>
        </w:rPr>
        <w:t>im</w:t>
      </w:r>
      <w:r w:rsidRPr="002F50BD">
        <w:rPr>
          <w:rFonts w:ascii="Verdana" w:hAnsi="Verdana"/>
          <w:sz w:val="20"/>
          <w:lang w:val="pt-BR"/>
        </w:rPr>
        <w:t>possibilidade d</w:t>
      </w:r>
      <w:r w:rsidR="00C03ED8" w:rsidRPr="002F50BD">
        <w:rPr>
          <w:rFonts w:ascii="Verdana" w:hAnsi="Verdana"/>
          <w:sz w:val="20"/>
          <w:lang w:val="pt-BR"/>
        </w:rPr>
        <w:t xml:space="preserve">e </w:t>
      </w:r>
      <w:r w:rsidRPr="002F50BD">
        <w:rPr>
          <w:rFonts w:ascii="Verdana" w:hAnsi="Verdana"/>
          <w:sz w:val="20"/>
          <w:lang w:val="pt-BR"/>
        </w:rPr>
        <w:t xml:space="preserve">a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004756C1" w:rsidRPr="002F50BD">
        <w:rPr>
          <w:rFonts w:ascii="Verdana" w:hAnsi="Verdana"/>
          <w:sz w:val="20"/>
          <w:lang w:val="pt-BR"/>
        </w:rPr>
        <w:t xml:space="preserve"> de </w:t>
      </w:r>
      <w:r w:rsidR="00C03ED8" w:rsidRPr="002F50BD">
        <w:rPr>
          <w:rFonts w:ascii="Verdana" w:hAnsi="Verdana"/>
          <w:sz w:val="20"/>
          <w:lang w:val="pt-BR"/>
        </w:rPr>
        <w:t>d</w:t>
      </w:r>
      <w:r w:rsidR="006603BE" w:rsidRPr="002F50BD">
        <w:rPr>
          <w:rFonts w:ascii="Verdana" w:hAnsi="Verdana"/>
          <w:sz w:val="20"/>
          <w:lang w:val="pt-BR"/>
        </w:rPr>
        <w:t>e</w:t>
      </w:r>
      <w:r w:rsidR="00C03ED8" w:rsidRPr="002F50BD">
        <w:rPr>
          <w:rFonts w:ascii="Verdana" w:hAnsi="Verdana"/>
          <w:sz w:val="20"/>
          <w:lang w:val="pt-BR"/>
        </w:rPr>
        <w:t>sfrutar</w:t>
      </w:r>
      <w:r w:rsidR="004756C1" w:rsidRPr="002F50BD">
        <w:rPr>
          <w:rFonts w:ascii="Verdana" w:hAnsi="Verdana"/>
          <w:sz w:val="20"/>
          <w:lang w:val="pt-BR"/>
        </w:rPr>
        <w:t>,</w:t>
      </w:r>
      <w:r w:rsidRPr="002F50BD">
        <w:rPr>
          <w:rFonts w:ascii="Verdana" w:hAnsi="Verdana"/>
          <w:sz w:val="20"/>
          <w:lang w:val="pt-BR"/>
        </w:rPr>
        <w:t xml:space="preserve"> livre e </w:t>
      </w:r>
      <w:r w:rsidR="004756C1" w:rsidRPr="002F50BD">
        <w:rPr>
          <w:rFonts w:ascii="Verdana" w:hAnsi="Verdana"/>
          <w:sz w:val="20"/>
          <w:lang w:val="pt-BR"/>
        </w:rPr>
        <w:t xml:space="preserve">plenamente, </w:t>
      </w:r>
      <w:r w:rsidRPr="002F50BD">
        <w:rPr>
          <w:rFonts w:ascii="Verdana" w:hAnsi="Verdana"/>
          <w:sz w:val="20"/>
          <w:lang w:val="pt-BR"/>
        </w:rPr>
        <w:t>do direito</w:t>
      </w:r>
      <w:r w:rsidR="004756C1" w:rsidRPr="002F50BD">
        <w:rPr>
          <w:rFonts w:ascii="Verdana" w:hAnsi="Verdana"/>
          <w:sz w:val="20"/>
          <w:lang w:val="pt-BR"/>
        </w:rPr>
        <w:t xml:space="preserve"> a </w:t>
      </w:r>
      <w:r w:rsidRPr="002F50BD">
        <w:rPr>
          <w:rFonts w:ascii="Verdana" w:hAnsi="Verdana"/>
          <w:sz w:val="20"/>
          <w:lang w:val="pt-BR"/>
        </w:rPr>
        <w:t xml:space="preserve">viver em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dignas</w:t>
      </w:r>
      <w:r w:rsidRPr="002F50BD">
        <w:rPr>
          <w:rFonts w:ascii="Verdana" w:hAnsi="Verdana"/>
          <w:sz w:val="20"/>
          <w:lang w:val="pt-BR"/>
        </w:rPr>
        <w:t xml:space="preserve"> e </w:t>
      </w:r>
      <w:r w:rsidR="006603BE" w:rsidRPr="002F50BD">
        <w:rPr>
          <w:rFonts w:ascii="Verdana" w:hAnsi="Verdana"/>
          <w:sz w:val="20"/>
          <w:lang w:val="pt-BR"/>
        </w:rPr>
        <w:t>a dar sentido à</w:t>
      </w:r>
      <w:r w:rsidR="004756C1" w:rsidRPr="002F50BD">
        <w:rPr>
          <w:rFonts w:ascii="Verdana" w:hAnsi="Verdana"/>
          <w:sz w:val="20"/>
          <w:lang w:val="pt-BR"/>
        </w:rPr>
        <w:t xml:space="preserve"> su</w:t>
      </w:r>
      <w:r w:rsidR="00C03ED8"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existência</w:t>
      </w:r>
      <w:r w:rsidR="004756C1" w:rsidRPr="002F50BD">
        <w:rPr>
          <w:rFonts w:ascii="Verdana" w:hAnsi="Verdana"/>
          <w:sz w:val="20"/>
          <w:lang w:val="pt-BR"/>
        </w:rPr>
        <w:t>.</w:t>
      </w:r>
      <w:r w:rsidR="00FE08B7">
        <w:rPr>
          <w:rFonts w:ascii="Verdana" w:hAnsi="Verdana"/>
          <w:sz w:val="20"/>
          <w:lang w:val="pt-BR"/>
        </w:rPr>
        <w:t xml:space="preserve"> </w:t>
      </w:r>
      <w:r w:rsidR="00C03ED8" w:rsidRPr="002F50BD">
        <w:rPr>
          <w:rFonts w:ascii="Verdana" w:hAnsi="Verdana"/>
          <w:sz w:val="20"/>
          <w:lang w:val="pt-BR"/>
        </w:rPr>
        <w:t>N</w:t>
      </w:r>
      <w:r w:rsidRPr="002F50BD">
        <w:rPr>
          <w:rFonts w:ascii="Verdana" w:hAnsi="Verdana"/>
          <w:sz w:val="20"/>
          <w:lang w:val="pt-BR"/>
        </w:rPr>
        <w:t xml:space="preserve">esta </w:t>
      </w:r>
      <w:r w:rsidR="004756C1" w:rsidRPr="002F50BD">
        <w:rPr>
          <w:rFonts w:ascii="Verdana" w:hAnsi="Verdana"/>
          <w:sz w:val="20"/>
          <w:lang w:val="pt-BR"/>
        </w:rPr>
        <w:t>medida,</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violou o artigo</w:t>
      </w:r>
      <w:r w:rsidR="004756C1" w:rsidRPr="002F50BD">
        <w:rPr>
          <w:rFonts w:ascii="Verdana" w:hAnsi="Verdana"/>
          <w:sz w:val="20"/>
          <w:lang w:val="pt-BR"/>
        </w:rPr>
        <w:t xml:space="preserve"> </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Pr="002F50BD">
        <w:rPr>
          <w:rFonts w:ascii="Verdana" w:hAnsi="Verdana"/>
          <w:sz w:val="20"/>
          <w:lang w:val="pt-BR"/>
        </w:rPr>
        <w:t xml:space="preserve"> em </w:t>
      </w:r>
      <w:r w:rsidR="00C03ED8" w:rsidRPr="002F50BD">
        <w:rPr>
          <w:rFonts w:ascii="Verdana" w:hAnsi="Verdana"/>
          <w:sz w:val="20"/>
          <w:lang w:val="pt-BR"/>
        </w:rPr>
        <w:t xml:space="preserve">detrimento </w:t>
      </w:r>
      <w:r w:rsidRPr="002F50BD">
        <w:rPr>
          <w:rFonts w:ascii="Verdana" w:hAnsi="Verdana"/>
          <w:sz w:val="20"/>
          <w:lang w:val="pt-BR"/>
        </w:rPr>
        <w:t>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Alegações</w:t>
      </w:r>
      <w:r w:rsidR="004756C1" w:rsidRPr="002F50BD">
        <w:rPr>
          <w:rFonts w:ascii="Verdana" w:hAnsi="Verdana"/>
          <w:i/>
          <w:sz w:val="20"/>
        </w:rPr>
        <w:t xml:space="preserve"> </w:t>
      </w:r>
      <w:r w:rsidRPr="002F50BD">
        <w:rPr>
          <w:rFonts w:ascii="Verdana" w:hAnsi="Verdana"/>
          <w:i/>
          <w:sz w:val="20"/>
        </w:rPr>
        <w:t xml:space="preserve">do </w:t>
      </w:r>
      <w:r w:rsidR="004756C1" w:rsidRPr="002F50BD">
        <w:rPr>
          <w:rFonts w:ascii="Verdana" w:hAnsi="Verdana"/>
          <w:i/>
          <w:sz w:val="20"/>
        </w:rPr>
        <w:t>Estado</w:t>
      </w:r>
    </w:p>
    <w:p w:rsidR="004756C1" w:rsidRPr="002F50BD" w:rsidRDefault="004756C1">
      <w:pPr>
        <w:jc w:val="both"/>
        <w:rPr>
          <w:rFonts w:ascii="Verdana" w:hAnsi="Verdana"/>
          <w:i/>
          <w:sz w:val="20"/>
        </w:rPr>
      </w:pPr>
    </w:p>
    <w:p w:rsidR="004756C1" w:rsidRPr="002F50BD" w:rsidRDefault="004076AD">
      <w:pPr>
        <w:numPr>
          <w:ilvl w:val="0"/>
          <w:numId w:val="26"/>
        </w:numPr>
        <w:jc w:val="both"/>
        <w:rPr>
          <w:rFonts w:ascii="Verdana" w:hAnsi="Verdana"/>
          <w:sz w:val="20"/>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argumentou</w:t>
      </w:r>
      <w:r w:rsidR="004756C1" w:rsidRPr="002F50BD">
        <w:rPr>
          <w:rFonts w:ascii="Verdana" w:hAnsi="Verdana"/>
          <w:sz w:val="20"/>
          <w:lang w:val="pt-BR"/>
        </w:rPr>
        <w:t xml:space="preserve"> que:</w:t>
      </w:r>
    </w:p>
    <w:p w:rsidR="004756C1" w:rsidRPr="002F50BD" w:rsidRDefault="004756C1">
      <w:pPr>
        <w:tabs>
          <w:tab w:val="left" w:pos="6480"/>
        </w:tabs>
        <w:jc w:val="both"/>
        <w:rPr>
          <w:rFonts w:ascii="Verdana" w:hAnsi="Verdana"/>
          <w:sz w:val="20"/>
          <w:lang w:val="pt-BR"/>
        </w:rPr>
      </w:pPr>
    </w:p>
    <w:p w:rsidR="004756C1" w:rsidRPr="002F50BD" w:rsidRDefault="00C03ED8">
      <w:pPr>
        <w:numPr>
          <w:ilvl w:val="0"/>
          <w:numId w:val="24"/>
        </w:numPr>
        <w:tabs>
          <w:tab w:val="left" w:pos="1080"/>
        </w:tabs>
        <w:ind w:left="720"/>
        <w:jc w:val="both"/>
        <w:rPr>
          <w:rFonts w:ascii="Verdana" w:hAnsi="Verdana"/>
          <w:sz w:val="20"/>
          <w:lang w:val="pt-BR"/>
        </w:rPr>
      </w:pPr>
      <w:r w:rsidRPr="002F50BD">
        <w:rPr>
          <w:rFonts w:ascii="Verdana" w:hAnsi="Verdana"/>
          <w:sz w:val="20"/>
          <w:lang w:val="pt-BR"/>
        </w:rPr>
        <w:t>Nã</w:t>
      </w:r>
      <w:r w:rsidR="004756C1" w:rsidRPr="002F50BD">
        <w:rPr>
          <w:rFonts w:ascii="Verdana" w:hAnsi="Verdana"/>
          <w:sz w:val="20"/>
          <w:lang w:val="pt-BR"/>
        </w:rPr>
        <w:t>o</w:t>
      </w:r>
      <w:r w:rsidR="0089298C" w:rsidRPr="002F50BD">
        <w:rPr>
          <w:rFonts w:ascii="Verdana" w:hAnsi="Verdana"/>
          <w:sz w:val="20"/>
          <w:lang w:val="pt-BR"/>
        </w:rPr>
        <w:t xml:space="preserve"> violou os artigo</w:t>
      </w:r>
      <w:r w:rsidR="004756C1" w:rsidRPr="002F50BD">
        <w:rPr>
          <w:rFonts w:ascii="Verdana" w:hAnsi="Verdana"/>
          <w:sz w:val="20"/>
          <w:lang w:val="pt-BR"/>
        </w:rPr>
        <w:t xml:space="preserve">s </w:t>
      </w:r>
      <w:r w:rsidR="00063B47" w:rsidRPr="002F50BD">
        <w:rPr>
          <w:rFonts w:ascii="Verdana" w:hAnsi="Verdana"/>
          <w:sz w:val="20"/>
          <w:lang w:val="pt-BR"/>
        </w:rPr>
        <w:t>8</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w:t>
      </w:r>
      <w:r w:rsidRPr="002F50BD">
        <w:rPr>
          <w:rFonts w:ascii="Verdana" w:hAnsi="Verdana"/>
          <w:sz w:val="20"/>
          <w:lang w:val="pt-BR"/>
        </w:rPr>
        <w:t>detrimento</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 </w:t>
      </w:r>
      <w:r w:rsidR="006603BE" w:rsidRPr="002F50BD">
        <w:rPr>
          <w:rFonts w:ascii="Verdana" w:hAnsi="Verdana"/>
          <w:sz w:val="20"/>
          <w:lang w:val="pt-BR"/>
        </w:rPr>
        <w:t xml:space="preserve">de </w:t>
      </w:r>
      <w:r w:rsidR="00AB454A" w:rsidRPr="002F50BD">
        <w:rPr>
          <w:rFonts w:ascii="Verdana" w:hAnsi="Verdana"/>
          <w:sz w:val="20"/>
          <w:lang w:val="pt-BR"/>
        </w:rPr>
        <w:t>seus membros</w:t>
      </w:r>
      <w:r w:rsidR="00DB51F0" w:rsidRPr="002F50BD">
        <w:rPr>
          <w:rFonts w:ascii="Verdana" w:hAnsi="Verdana"/>
          <w:sz w:val="20"/>
          <w:lang w:val="pt-BR"/>
        </w:rPr>
        <w:t xml:space="preserve">. Os </w:t>
      </w:r>
      <w:r w:rsidR="004756C1" w:rsidRPr="002F50BD">
        <w:rPr>
          <w:rFonts w:ascii="Verdana" w:hAnsi="Verdana"/>
          <w:sz w:val="20"/>
          <w:lang w:val="pt-BR"/>
        </w:rPr>
        <w:t xml:space="preserve">mecanismos </w:t>
      </w:r>
      <w:r w:rsidR="0089298C" w:rsidRPr="002F50BD">
        <w:rPr>
          <w:rFonts w:ascii="Verdana" w:hAnsi="Verdana"/>
          <w:sz w:val="20"/>
          <w:lang w:val="pt-BR"/>
        </w:rPr>
        <w:t>legais e o procedimento</w:t>
      </w:r>
      <w:r w:rsidR="004756C1" w:rsidRPr="002F50BD">
        <w:rPr>
          <w:rFonts w:ascii="Verdana" w:hAnsi="Verdana"/>
          <w:sz w:val="20"/>
          <w:lang w:val="pt-BR"/>
        </w:rPr>
        <w:t xml:space="preserve"> previsto</w:t>
      </w:r>
      <w:r w:rsidR="0089298C" w:rsidRPr="002F50BD">
        <w:rPr>
          <w:rFonts w:ascii="Verdana" w:hAnsi="Verdana"/>
          <w:sz w:val="20"/>
          <w:lang w:val="pt-BR"/>
        </w:rPr>
        <w:t xml:space="preserve"> na lei </w:t>
      </w:r>
      <w:r w:rsidR="004756C1" w:rsidRPr="002F50BD">
        <w:rPr>
          <w:rFonts w:ascii="Verdana" w:hAnsi="Verdana"/>
          <w:sz w:val="20"/>
          <w:lang w:val="pt-BR"/>
        </w:rPr>
        <w:t>como parte</w:t>
      </w:r>
      <w:r w:rsidR="0089298C" w:rsidRPr="002F50BD">
        <w:rPr>
          <w:rFonts w:ascii="Verdana" w:hAnsi="Verdana"/>
          <w:sz w:val="20"/>
          <w:lang w:val="pt-BR"/>
        </w:rPr>
        <w:t xml:space="preserve"> da </w:t>
      </w:r>
      <w:r w:rsidR="004756C1" w:rsidRPr="002F50BD">
        <w:rPr>
          <w:rFonts w:ascii="Verdana" w:hAnsi="Verdana"/>
          <w:sz w:val="20"/>
          <w:lang w:val="pt-BR"/>
        </w:rPr>
        <w:t>materializa</w:t>
      </w:r>
      <w:r w:rsidR="0089298C" w:rsidRPr="002F50BD">
        <w:rPr>
          <w:rFonts w:ascii="Verdana" w:hAnsi="Verdana"/>
          <w:sz w:val="20"/>
          <w:lang w:val="pt-BR"/>
        </w:rPr>
        <w:t>ção dos direito</w:t>
      </w:r>
      <w:r w:rsidR="004756C1" w:rsidRPr="002F50BD">
        <w:rPr>
          <w:rFonts w:ascii="Verdana" w:hAnsi="Verdana"/>
          <w:sz w:val="20"/>
          <w:lang w:val="pt-BR"/>
        </w:rPr>
        <w:t>s humanos</w:t>
      </w:r>
      <w:r w:rsidR="0089298C" w:rsidRPr="002F50BD">
        <w:rPr>
          <w:rFonts w:ascii="Verdana" w:hAnsi="Verdana"/>
          <w:sz w:val="20"/>
          <w:lang w:val="pt-BR"/>
        </w:rPr>
        <w:t xml:space="preserve"> estão em </w:t>
      </w:r>
      <w:r w:rsidR="004756C1" w:rsidRPr="002F50BD">
        <w:rPr>
          <w:rFonts w:ascii="Verdana" w:hAnsi="Verdana"/>
          <w:sz w:val="20"/>
          <w:lang w:val="pt-BR"/>
        </w:rPr>
        <w:t xml:space="preserve">plena </w:t>
      </w:r>
      <w:r w:rsidR="0089298C" w:rsidRPr="002F50BD">
        <w:rPr>
          <w:rFonts w:ascii="Verdana" w:hAnsi="Verdana"/>
          <w:sz w:val="20"/>
          <w:lang w:val="pt-BR"/>
        </w:rPr>
        <w:t>vigência</w:t>
      </w:r>
      <w:r w:rsidR="004756C1" w:rsidRPr="002F50BD">
        <w:rPr>
          <w:rFonts w:ascii="Verdana" w:hAnsi="Verdana"/>
          <w:sz w:val="20"/>
          <w:lang w:val="pt-BR"/>
        </w:rPr>
        <w:t xml:space="preserve"> para ser</w:t>
      </w:r>
      <w:r w:rsidR="00A76090" w:rsidRPr="002F50BD">
        <w:rPr>
          <w:rFonts w:ascii="Verdana" w:hAnsi="Verdana"/>
          <w:sz w:val="20"/>
          <w:lang w:val="pt-BR"/>
        </w:rPr>
        <w:t>em</w:t>
      </w:r>
      <w:r w:rsidR="004756C1" w:rsidRPr="002F50BD">
        <w:rPr>
          <w:rFonts w:ascii="Verdana" w:hAnsi="Verdana"/>
          <w:sz w:val="20"/>
          <w:lang w:val="pt-BR"/>
        </w:rPr>
        <w:t xml:space="preserve"> utilizados</w:t>
      </w:r>
      <w:r w:rsidR="0089298C" w:rsidRPr="002F50BD">
        <w:rPr>
          <w:rFonts w:ascii="Verdana" w:hAnsi="Verdana"/>
          <w:sz w:val="20"/>
          <w:lang w:val="pt-BR"/>
        </w:rPr>
        <w:t xml:space="preserve"> em </w:t>
      </w:r>
      <w:r w:rsidR="00A76090" w:rsidRPr="002F50BD">
        <w:rPr>
          <w:rFonts w:ascii="Verdana" w:hAnsi="Verdana"/>
          <w:sz w:val="20"/>
          <w:lang w:val="pt-BR"/>
        </w:rPr>
        <w:t xml:space="preserve">busca </w:t>
      </w:r>
      <w:r w:rsidR="004756C1" w:rsidRPr="002F50BD">
        <w:rPr>
          <w:rFonts w:ascii="Verdana" w:hAnsi="Verdana"/>
          <w:sz w:val="20"/>
          <w:lang w:val="pt-BR"/>
        </w:rPr>
        <w:t xml:space="preserve">de </w:t>
      </w:r>
      <w:r w:rsidR="0089298C" w:rsidRPr="002F50BD">
        <w:rPr>
          <w:rFonts w:ascii="Verdana" w:hAnsi="Verdana"/>
          <w:sz w:val="20"/>
          <w:lang w:val="pt-BR"/>
        </w:rPr>
        <w:t>justiça</w:t>
      </w:r>
      <w:r w:rsidR="00D95E71" w:rsidRPr="002F50BD">
        <w:rPr>
          <w:rFonts w:ascii="Verdana" w:hAnsi="Verdana"/>
          <w:sz w:val="20"/>
          <w:lang w:val="pt-BR"/>
        </w:rPr>
        <w:t xml:space="preserve">. O </w:t>
      </w:r>
      <w:r w:rsidR="004756C1" w:rsidRPr="002F50BD">
        <w:rPr>
          <w:rFonts w:ascii="Verdana" w:hAnsi="Verdana"/>
          <w:sz w:val="20"/>
          <w:lang w:val="pt-BR"/>
        </w:rPr>
        <w:t xml:space="preserve">Estado </w:t>
      </w:r>
      <w:r w:rsidR="00AB454A" w:rsidRPr="002F50BD">
        <w:rPr>
          <w:rFonts w:ascii="Verdana" w:hAnsi="Verdana"/>
          <w:sz w:val="20"/>
          <w:lang w:val="pt-BR"/>
        </w:rPr>
        <w:t>não pode</w:t>
      </w:r>
      <w:r w:rsidR="006603BE" w:rsidRPr="002F50BD">
        <w:rPr>
          <w:rFonts w:ascii="Verdana" w:hAnsi="Verdana"/>
          <w:sz w:val="20"/>
          <w:lang w:val="pt-BR"/>
        </w:rPr>
        <w:t xml:space="preserve"> supr</w:t>
      </w:r>
      <w:r w:rsidR="004756C1" w:rsidRPr="002F50BD">
        <w:rPr>
          <w:rFonts w:ascii="Verdana" w:hAnsi="Verdana"/>
          <w:sz w:val="20"/>
          <w:lang w:val="pt-BR"/>
        </w:rPr>
        <w:t>ir</w:t>
      </w:r>
      <w:r w:rsidR="0089298C" w:rsidRPr="002F50BD">
        <w:rPr>
          <w:rFonts w:ascii="Verdana" w:hAnsi="Verdana"/>
          <w:sz w:val="20"/>
          <w:lang w:val="pt-BR"/>
        </w:rPr>
        <w:t xml:space="preserve"> a vontade das </w:t>
      </w:r>
      <w:r w:rsidR="004756C1" w:rsidRPr="002F50BD">
        <w:rPr>
          <w:rFonts w:ascii="Verdana" w:hAnsi="Verdana"/>
          <w:sz w:val="20"/>
          <w:lang w:val="pt-BR"/>
        </w:rPr>
        <w:t>partes</w:t>
      </w:r>
      <w:r w:rsidR="0089298C" w:rsidRPr="002F50BD">
        <w:rPr>
          <w:rFonts w:ascii="Verdana" w:hAnsi="Verdana"/>
          <w:sz w:val="20"/>
          <w:lang w:val="pt-BR"/>
        </w:rPr>
        <w:t xml:space="preserve"> na </w:t>
      </w:r>
      <w:r w:rsidR="004756C1" w:rsidRPr="002F50BD">
        <w:rPr>
          <w:rFonts w:ascii="Verdana" w:hAnsi="Verdana"/>
          <w:sz w:val="20"/>
          <w:lang w:val="pt-BR"/>
        </w:rPr>
        <w:t>reclama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s</w:t>
      </w:r>
      <w:r w:rsidR="0089298C" w:rsidRPr="002F50BD">
        <w:rPr>
          <w:rFonts w:ascii="Verdana" w:hAnsi="Verdana"/>
          <w:sz w:val="20"/>
          <w:lang w:val="pt-BR"/>
        </w:rPr>
        <w:t xml:space="preserve"> </w:t>
      </w:r>
      <w:r w:rsidR="006603BE" w:rsidRPr="002F50BD">
        <w:rPr>
          <w:rFonts w:ascii="Verdana" w:hAnsi="Verdana"/>
          <w:sz w:val="20"/>
          <w:lang w:val="pt-BR"/>
        </w:rPr>
        <w:t>na</w:t>
      </w:r>
      <w:r w:rsidR="0089298C" w:rsidRPr="002F50BD">
        <w:rPr>
          <w:rFonts w:ascii="Verdana" w:hAnsi="Verdana"/>
          <w:sz w:val="20"/>
          <w:lang w:val="pt-BR"/>
        </w:rPr>
        <w:t xml:space="preserve"> </w:t>
      </w:r>
      <w:r w:rsidR="006603BE" w:rsidRPr="002F50BD">
        <w:rPr>
          <w:rFonts w:ascii="Verdana" w:hAnsi="Verdana"/>
          <w:sz w:val="20"/>
          <w:lang w:val="pt-BR"/>
        </w:rPr>
        <w:t>esfera</w:t>
      </w:r>
      <w:r w:rsidR="004756C1" w:rsidRPr="002F50BD">
        <w:rPr>
          <w:rFonts w:ascii="Verdana" w:hAnsi="Verdana"/>
          <w:sz w:val="20"/>
          <w:lang w:val="pt-BR"/>
        </w:rPr>
        <w:t xml:space="preserve"> judicial</w:t>
      </w:r>
      <w:r w:rsidR="0089298C" w:rsidRPr="002F50BD">
        <w:rPr>
          <w:rFonts w:ascii="Verdana" w:hAnsi="Verdana"/>
          <w:sz w:val="20"/>
          <w:lang w:val="pt-BR"/>
        </w:rPr>
        <w:t xml:space="preserve"> nem </w:t>
      </w:r>
      <w:r w:rsidR="004756C1" w:rsidRPr="002F50BD">
        <w:rPr>
          <w:rFonts w:ascii="Verdana" w:hAnsi="Verdana"/>
          <w:sz w:val="20"/>
          <w:lang w:val="pt-BR"/>
        </w:rPr>
        <w:t>instruir</w:t>
      </w:r>
      <w:r w:rsidR="0089298C" w:rsidRPr="002F50BD">
        <w:rPr>
          <w:rFonts w:ascii="Verdana" w:hAnsi="Verdana"/>
          <w:sz w:val="20"/>
          <w:lang w:val="pt-BR"/>
        </w:rPr>
        <w:t xml:space="preserve"> os </w:t>
      </w:r>
      <w:r w:rsidR="004756C1" w:rsidRPr="002F50BD">
        <w:rPr>
          <w:rFonts w:ascii="Verdana" w:hAnsi="Verdana"/>
          <w:sz w:val="20"/>
          <w:lang w:val="pt-BR"/>
        </w:rPr>
        <w:t xml:space="preserve">particulares sobre </w:t>
      </w:r>
      <w:r w:rsidR="0089298C" w:rsidRPr="002F50BD">
        <w:rPr>
          <w:rFonts w:ascii="Verdana" w:hAnsi="Verdana"/>
          <w:sz w:val="20"/>
          <w:lang w:val="pt-BR"/>
        </w:rPr>
        <w:t xml:space="preserve">qual deve </w:t>
      </w:r>
      <w:r w:rsidR="004756C1" w:rsidRPr="002F50BD">
        <w:rPr>
          <w:rFonts w:ascii="Verdana" w:hAnsi="Verdana"/>
          <w:sz w:val="20"/>
          <w:lang w:val="pt-BR"/>
        </w:rPr>
        <w:t>ser</w:t>
      </w:r>
      <w:r w:rsidR="0089298C" w:rsidRPr="002F50BD">
        <w:rPr>
          <w:rFonts w:ascii="Verdana" w:hAnsi="Verdana"/>
          <w:sz w:val="20"/>
          <w:lang w:val="pt-BR"/>
        </w:rPr>
        <w:t xml:space="preserve"> o </w:t>
      </w:r>
      <w:r w:rsidR="004756C1" w:rsidRPr="002F50BD">
        <w:rPr>
          <w:rFonts w:ascii="Verdana" w:hAnsi="Verdana"/>
          <w:sz w:val="20"/>
          <w:lang w:val="pt-BR"/>
        </w:rPr>
        <w:t>mecanismo legal id</w:t>
      </w:r>
      <w:r w:rsidR="00A76090" w:rsidRPr="002F50BD">
        <w:rPr>
          <w:rFonts w:ascii="Verdana" w:hAnsi="Verdana"/>
          <w:sz w:val="20"/>
          <w:lang w:val="pt-BR"/>
        </w:rPr>
        <w:t>ô</w:t>
      </w:r>
      <w:r w:rsidR="004756C1" w:rsidRPr="002F50BD">
        <w:rPr>
          <w:rFonts w:ascii="Verdana" w:hAnsi="Verdana"/>
          <w:sz w:val="20"/>
          <w:lang w:val="pt-BR"/>
        </w:rPr>
        <w:t xml:space="preserve">neo para reclamar </w:t>
      </w:r>
      <w:r w:rsidR="0089298C" w:rsidRPr="002F50BD">
        <w:rPr>
          <w:rFonts w:ascii="Verdana" w:hAnsi="Verdana"/>
          <w:sz w:val="20"/>
          <w:lang w:val="pt-BR"/>
        </w:rPr>
        <w:t>seus direitos</w:t>
      </w:r>
      <w:r w:rsidR="004756C1" w:rsidRPr="002F50BD">
        <w:rPr>
          <w:rFonts w:ascii="Verdana" w:hAnsi="Verdana"/>
          <w:sz w:val="20"/>
          <w:lang w:val="pt-BR"/>
        </w:rPr>
        <w:t>;</w:t>
      </w:r>
    </w:p>
    <w:p w:rsidR="004756C1" w:rsidRPr="002F50BD" w:rsidRDefault="004756C1">
      <w:pPr>
        <w:tabs>
          <w:tab w:val="left" w:pos="1080"/>
        </w:tabs>
        <w:ind w:left="720"/>
        <w:jc w:val="both"/>
        <w:rPr>
          <w:rFonts w:ascii="Verdana" w:hAnsi="Verdana"/>
          <w:sz w:val="20"/>
          <w:lang w:val="pt-BR"/>
        </w:rPr>
      </w:pPr>
    </w:p>
    <w:p w:rsidR="004756C1" w:rsidRPr="002F50BD" w:rsidRDefault="0089298C">
      <w:pPr>
        <w:numPr>
          <w:ilvl w:val="0"/>
          <w:numId w:val="24"/>
        </w:numPr>
        <w:tabs>
          <w:tab w:val="left" w:pos="1080"/>
        </w:tabs>
        <w:ind w:left="720"/>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00983CE3" w:rsidRPr="002F50BD">
        <w:rPr>
          <w:rFonts w:ascii="Verdana" w:hAnsi="Verdana"/>
          <w:sz w:val="20"/>
          <w:lang w:val="pt-BR"/>
        </w:rPr>
        <w:t>,</w:t>
      </w:r>
      <w:r w:rsidR="004756C1" w:rsidRPr="002F50BD">
        <w:rPr>
          <w:rFonts w:ascii="Verdana" w:hAnsi="Verdana"/>
          <w:sz w:val="20"/>
          <w:lang w:val="pt-BR"/>
        </w:rPr>
        <w:t xml:space="preserve"> </w:t>
      </w:r>
      <w:r w:rsidR="00A76090" w:rsidRPr="002F50BD">
        <w:rPr>
          <w:rFonts w:ascii="Verdana" w:hAnsi="Verdana"/>
          <w:sz w:val="20"/>
          <w:lang w:val="pt-BR"/>
        </w:rPr>
        <w:t>foi dad</w:t>
      </w:r>
      <w:r w:rsidR="002C18B3" w:rsidRPr="002F50BD">
        <w:rPr>
          <w:rFonts w:ascii="Verdana" w:hAnsi="Verdana"/>
          <w:sz w:val="20"/>
          <w:lang w:val="pt-BR"/>
        </w:rPr>
        <w:t>a</w:t>
      </w:r>
      <w:r w:rsidR="00A76090" w:rsidRPr="002F50BD">
        <w:rPr>
          <w:rFonts w:ascii="Verdana" w:hAnsi="Verdana"/>
          <w:sz w:val="20"/>
          <w:lang w:val="pt-BR"/>
        </w:rPr>
        <w:t xml:space="preserve"> </w:t>
      </w:r>
      <w:r w:rsidR="002C18B3" w:rsidRPr="002F50BD">
        <w:rPr>
          <w:rFonts w:ascii="Verdana" w:hAnsi="Verdana"/>
          <w:sz w:val="20"/>
          <w:lang w:val="pt-BR"/>
        </w:rPr>
        <w:t xml:space="preserve">tramitação </w:t>
      </w:r>
      <w:r w:rsidR="00A76090" w:rsidRPr="002F50BD">
        <w:rPr>
          <w:rFonts w:ascii="Verdana" w:hAnsi="Verdana"/>
          <w:sz w:val="20"/>
          <w:lang w:val="pt-BR"/>
        </w:rPr>
        <w:t xml:space="preserve">ao pedido </w:t>
      </w:r>
      <w:r w:rsidR="004756C1" w:rsidRPr="002F50BD">
        <w:rPr>
          <w:rFonts w:ascii="Verdana" w:hAnsi="Verdana"/>
          <w:sz w:val="20"/>
          <w:lang w:val="pt-BR"/>
        </w:rPr>
        <w:t>de reivindica</w:t>
      </w:r>
      <w:r w:rsidRPr="002F50BD">
        <w:rPr>
          <w:rFonts w:ascii="Verdana" w:hAnsi="Verdana"/>
          <w:sz w:val="20"/>
          <w:lang w:val="pt-BR"/>
        </w:rPr>
        <w:t>ção da terra</w:t>
      </w:r>
      <w:r w:rsidR="004756C1" w:rsidRPr="002F50BD">
        <w:rPr>
          <w:rFonts w:ascii="Verdana" w:hAnsi="Verdana"/>
          <w:sz w:val="20"/>
          <w:lang w:val="pt-BR"/>
        </w:rPr>
        <w:t xml:space="preserve"> </w:t>
      </w:r>
      <w:r w:rsidR="00A76090"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 xml:space="preserve">organismo </w:t>
      </w:r>
      <w:r w:rsidR="004076AD" w:rsidRPr="002F50BD">
        <w:rPr>
          <w:rFonts w:ascii="Verdana" w:hAnsi="Verdana"/>
          <w:sz w:val="20"/>
          <w:lang w:val="pt-BR"/>
        </w:rPr>
        <w:t>encarregad</w:t>
      </w:r>
      <w:r w:rsidR="004756C1" w:rsidRPr="002F50BD">
        <w:rPr>
          <w:rFonts w:ascii="Verdana" w:hAnsi="Verdana"/>
          <w:sz w:val="20"/>
          <w:lang w:val="pt-BR"/>
        </w:rPr>
        <w:t>o</w:t>
      </w:r>
      <w:r w:rsidRPr="002F50BD">
        <w:rPr>
          <w:rFonts w:ascii="Verdana" w:hAnsi="Verdana"/>
          <w:sz w:val="20"/>
          <w:lang w:val="pt-BR"/>
        </w:rPr>
        <w:t xml:space="preserve"> da </w:t>
      </w:r>
      <w:r w:rsidR="004756C1" w:rsidRPr="002F50BD">
        <w:rPr>
          <w:rFonts w:ascii="Verdana" w:hAnsi="Verdana"/>
          <w:sz w:val="20"/>
          <w:lang w:val="pt-BR"/>
        </w:rPr>
        <w:t>administra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tais </w:t>
      </w:r>
      <w:r w:rsidR="004756C1" w:rsidRPr="002F50BD">
        <w:rPr>
          <w:rFonts w:ascii="Verdana" w:hAnsi="Verdana"/>
          <w:sz w:val="20"/>
          <w:lang w:val="pt-BR"/>
        </w:rPr>
        <w:t>recursos,</w:t>
      </w:r>
      <w:r w:rsidRPr="002F50BD">
        <w:rPr>
          <w:rFonts w:ascii="Verdana" w:hAnsi="Verdana"/>
          <w:sz w:val="20"/>
          <w:lang w:val="pt-BR"/>
        </w:rPr>
        <w:t xml:space="preserve"> o que constitui uma prova</w:t>
      </w:r>
      <w:r w:rsidR="004756C1" w:rsidRPr="002F50BD">
        <w:rPr>
          <w:rFonts w:ascii="Verdana" w:hAnsi="Verdana"/>
          <w:sz w:val="20"/>
          <w:lang w:val="pt-BR"/>
        </w:rPr>
        <w:t xml:space="preserve"> </w:t>
      </w:r>
      <w:r w:rsidRPr="002F50BD">
        <w:rPr>
          <w:rFonts w:ascii="Verdana" w:hAnsi="Verdana"/>
          <w:sz w:val="20"/>
          <w:lang w:val="pt-BR"/>
        </w:rPr>
        <w:t xml:space="preserve">do exercício das garantias e proteção </w:t>
      </w:r>
      <w:r w:rsidR="006603BE" w:rsidRPr="002F50BD">
        <w:rPr>
          <w:rFonts w:ascii="Verdana" w:hAnsi="Verdana"/>
          <w:sz w:val="20"/>
          <w:lang w:val="pt-BR"/>
        </w:rPr>
        <w:t xml:space="preserve">na esfera </w:t>
      </w:r>
      <w:r w:rsidR="004756C1" w:rsidRPr="002F50BD">
        <w:rPr>
          <w:rFonts w:ascii="Verdana" w:hAnsi="Verdana"/>
          <w:sz w:val="20"/>
          <w:lang w:val="pt-BR"/>
        </w:rPr>
        <w:t>administrativa prevista</w:t>
      </w:r>
      <w:r w:rsidRPr="002F50BD">
        <w:rPr>
          <w:rFonts w:ascii="Verdana" w:hAnsi="Verdana"/>
          <w:sz w:val="20"/>
          <w:lang w:val="pt-BR"/>
        </w:rPr>
        <w:t xml:space="preserve"> na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do Paraguai</w:t>
      </w:r>
      <w:r w:rsidR="00BE346D" w:rsidRPr="002F50BD">
        <w:rPr>
          <w:rFonts w:ascii="Verdana" w:hAnsi="Verdana"/>
          <w:sz w:val="20"/>
          <w:lang w:val="pt-BR"/>
        </w:rPr>
        <w:t xml:space="preserve">. 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administrativa admite todo tipo de peti</w:t>
      </w:r>
      <w:r w:rsidRPr="002F50BD">
        <w:rPr>
          <w:rFonts w:ascii="Verdana" w:hAnsi="Verdana"/>
          <w:sz w:val="20"/>
          <w:lang w:val="pt-BR"/>
        </w:rPr>
        <w:t>ções</w:t>
      </w:r>
      <w:r w:rsidR="004756C1" w:rsidRPr="002F50BD">
        <w:rPr>
          <w:rFonts w:ascii="Verdana" w:hAnsi="Verdana"/>
          <w:sz w:val="20"/>
          <w:lang w:val="pt-BR"/>
        </w:rPr>
        <w:t xml:space="preserve"> para que</w:t>
      </w:r>
      <w:r w:rsidRPr="002F50BD">
        <w:rPr>
          <w:rFonts w:ascii="Verdana" w:hAnsi="Verdana"/>
          <w:sz w:val="20"/>
          <w:lang w:val="pt-BR"/>
        </w:rPr>
        <w:t xml:space="preserve"> as instituições</w:t>
      </w:r>
      <w:r w:rsidR="004756C1" w:rsidRPr="002F50BD">
        <w:rPr>
          <w:rFonts w:ascii="Verdana" w:hAnsi="Verdana"/>
          <w:sz w:val="20"/>
          <w:lang w:val="pt-BR"/>
        </w:rPr>
        <w:t xml:space="preserve"> especializadas se pronun</w:t>
      </w:r>
      <w:r w:rsidRPr="002F50BD">
        <w:rPr>
          <w:rFonts w:ascii="Verdana" w:hAnsi="Verdana"/>
          <w:sz w:val="20"/>
          <w:lang w:val="pt-BR"/>
        </w:rPr>
        <w:t>c</w:t>
      </w:r>
      <w:r w:rsidR="00A76090" w:rsidRPr="002F50BD">
        <w:rPr>
          <w:rFonts w:ascii="Verdana" w:hAnsi="Verdana"/>
          <w:sz w:val="20"/>
          <w:lang w:val="pt-BR"/>
        </w:rPr>
        <w:t>i</w:t>
      </w:r>
      <w:r w:rsidRPr="002F50BD">
        <w:rPr>
          <w:rFonts w:ascii="Verdana" w:hAnsi="Verdana"/>
          <w:sz w:val="20"/>
          <w:lang w:val="pt-BR"/>
        </w:rPr>
        <w:t xml:space="preserve">em </w:t>
      </w:r>
      <w:r w:rsidR="004756C1" w:rsidRPr="002F50BD">
        <w:rPr>
          <w:rFonts w:ascii="Verdana" w:hAnsi="Verdana"/>
          <w:sz w:val="20"/>
          <w:lang w:val="pt-BR"/>
        </w:rPr>
        <w:t>mediante decretos, resolu</w:t>
      </w:r>
      <w:r w:rsidRPr="002F50BD">
        <w:rPr>
          <w:rFonts w:ascii="Verdana" w:hAnsi="Verdana"/>
          <w:sz w:val="20"/>
          <w:lang w:val="pt-BR"/>
        </w:rPr>
        <w:t>ções</w:t>
      </w:r>
      <w:r w:rsidR="004756C1" w:rsidRPr="002F50BD">
        <w:rPr>
          <w:rFonts w:ascii="Verdana" w:hAnsi="Verdana"/>
          <w:sz w:val="20"/>
          <w:lang w:val="pt-BR"/>
        </w:rPr>
        <w:t xml:space="preserve">, </w:t>
      </w:r>
      <w:r w:rsidR="00A76090" w:rsidRPr="002F50BD">
        <w:rPr>
          <w:rFonts w:ascii="Verdana" w:hAnsi="Verdana"/>
          <w:sz w:val="20"/>
          <w:lang w:val="pt-BR"/>
        </w:rPr>
        <w:t>ordens</w:t>
      </w:r>
      <w:r w:rsidR="004756C1" w:rsidRPr="002F50BD">
        <w:rPr>
          <w:rFonts w:ascii="Verdana" w:hAnsi="Verdana"/>
          <w:sz w:val="20"/>
          <w:lang w:val="pt-BR"/>
        </w:rPr>
        <w:t>, etc</w:t>
      </w:r>
      <w:r w:rsidR="001A0CDE" w:rsidRPr="002F50BD">
        <w:rPr>
          <w:rFonts w:ascii="Verdana" w:hAnsi="Verdana"/>
          <w:sz w:val="20"/>
          <w:lang w:val="pt-BR"/>
        </w:rPr>
        <w:t>. Est</w:t>
      </w:r>
      <w:r w:rsidRPr="002F50BD">
        <w:rPr>
          <w:rFonts w:ascii="Verdana" w:hAnsi="Verdana"/>
          <w:sz w:val="20"/>
          <w:lang w:val="pt-BR"/>
        </w:rPr>
        <w:t>es atos</w:t>
      </w:r>
      <w:r w:rsidR="004756C1" w:rsidRPr="002F50BD">
        <w:rPr>
          <w:rFonts w:ascii="Verdana" w:hAnsi="Verdana"/>
          <w:sz w:val="20"/>
          <w:lang w:val="pt-BR"/>
        </w:rPr>
        <w:t>,</w:t>
      </w:r>
      <w:r w:rsidRPr="002F50BD">
        <w:rPr>
          <w:rFonts w:ascii="Verdana" w:hAnsi="Verdana"/>
          <w:sz w:val="20"/>
          <w:lang w:val="pt-BR"/>
        </w:rPr>
        <w:t xml:space="preserve"> por sua vez</w:t>
      </w:r>
      <w:r w:rsidR="004756C1" w:rsidRPr="002F50BD">
        <w:rPr>
          <w:rFonts w:ascii="Verdana" w:hAnsi="Verdana"/>
          <w:sz w:val="20"/>
          <w:lang w:val="pt-BR"/>
        </w:rPr>
        <w:t>,</w:t>
      </w:r>
      <w:r w:rsidRPr="002F50BD">
        <w:rPr>
          <w:rFonts w:ascii="Verdana" w:hAnsi="Verdana"/>
          <w:sz w:val="20"/>
          <w:lang w:val="pt-BR"/>
        </w:rPr>
        <w:t xml:space="preserve"> são </w:t>
      </w:r>
      <w:r w:rsidR="004756C1" w:rsidRPr="002F50BD">
        <w:rPr>
          <w:rFonts w:ascii="Verdana" w:hAnsi="Verdana"/>
          <w:sz w:val="20"/>
          <w:lang w:val="pt-BR"/>
        </w:rPr>
        <w:t>rec</w:t>
      </w:r>
      <w:r w:rsidR="00A76090" w:rsidRPr="002F50BD">
        <w:rPr>
          <w:rFonts w:ascii="Verdana" w:hAnsi="Verdana"/>
          <w:sz w:val="20"/>
          <w:lang w:val="pt-BR"/>
        </w:rPr>
        <w:t>o</w:t>
      </w:r>
      <w:r w:rsidR="004756C1" w:rsidRPr="002F50BD">
        <w:rPr>
          <w:rFonts w:ascii="Verdana" w:hAnsi="Verdana"/>
          <w:sz w:val="20"/>
          <w:lang w:val="pt-BR"/>
        </w:rPr>
        <w:t>rr</w:t>
      </w:r>
      <w:r w:rsidRPr="002F50BD">
        <w:rPr>
          <w:rFonts w:ascii="Verdana" w:hAnsi="Verdana"/>
          <w:sz w:val="20"/>
          <w:lang w:val="pt-BR"/>
        </w:rPr>
        <w:t xml:space="preserve">íveis </w:t>
      </w:r>
      <w:r w:rsidR="00A76090" w:rsidRPr="002F50BD">
        <w:rPr>
          <w:rFonts w:ascii="Verdana" w:hAnsi="Verdana"/>
          <w:sz w:val="20"/>
          <w:lang w:val="pt-BR"/>
        </w:rPr>
        <w:t xml:space="preserve">perante </w:t>
      </w:r>
      <w:r w:rsidRPr="002F50BD">
        <w:rPr>
          <w:rFonts w:ascii="Verdana" w:hAnsi="Verdana"/>
          <w:sz w:val="20"/>
          <w:lang w:val="pt-BR"/>
        </w:rPr>
        <w:t>o órgão</w:t>
      </w:r>
      <w:r w:rsidR="004756C1" w:rsidRPr="002F50BD">
        <w:rPr>
          <w:rFonts w:ascii="Verdana" w:hAnsi="Verdana"/>
          <w:sz w:val="20"/>
          <w:lang w:val="pt-BR"/>
        </w:rPr>
        <w:t xml:space="preserve"> </w:t>
      </w:r>
      <w:r w:rsidR="002C18B3" w:rsidRPr="002F50BD">
        <w:rPr>
          <w:rFonts w:ascii="Verdana" w:hAnsi="Verdana"/>
          <w:sz w:val="20"/>
          <w:lang w:val="pt-BR"/>
        </w:rPr>
        <w:t>determinado por lei para</w:t>
      </w:r>
      <w:r w:rsidRPr="002F50BD">
        <w:rPr>
          <w:rFonts w:ascii="Verdana" w:hAnsi="Verdana"/>
          <w:sz w:val="20"/>
          <w:lang w:val="pt-BR"/>
        </w:rPr>
        <w:t xml:space="preserve"> </w:t>
      </w:r>
      <w:r w:rsidR="004756C1" w:rsidRPr="002F50BD">
        <w:rPr>
          <w:rFonts w:ascii="Verdana" w:hAnsi="Verdana"/>
          <w:sz w:val="20"/>
          <w:lang w:val="pt-BR"/>
        </w:rPr>
        <w:t>cada caso</w:t>
      </w:r>
      <w:r w:rsidR="002C18B3" w:rsidRPr="002F50BD">
        <w:rPr>
          <w:rFonts w:ascii="Verdana" w:hAnsi="Verdana"/>
          <w:sz w:val="20"/>
          <w:lang w:val="pt-BR"/>
        </w:rPr>
        <w:t xml:space="preserve"> </w:t>
      </w:r>
      <w:r w:rsidRPr="002F50BD">
        <w:rPr>
          <w:rFonts w:ascii="Verdana" w:hAnsi="Verdana"/>
          <w:sz w:val="20"/>
          <w:lang w:val="pt-BR"/>
        </w:rPr>
        <w:t>e</w:t>
      </w:r>
      <w:r w:rsidR="006603BE" w:rsidRPr="002F50BD">
        <w:rPr>
          <w:rFonts w:ascii="Verdana" w:hAnsi="Verdana"/>
          <w:sz w:val="20"/>
          <w:lang w:val="pt-BR"/>
        </w:rPr>
        <w:t>,</w:t>
      </w:r>
      <w:r w:rsidR="004756C1" w:rsidRPr="002F50BD">
        <w:rPr>
          <w:rFonts w:ascii="Verdana" w:hAnsi="Verdana"/>
          <w:sz w:val="20"/>
          <w:lang w:val="pt-BR"/>
        </w:rPr>
        <w:t xml:space="preserve"> posteriormente</w:t>
      </w:r>
      <w:r w:rsidR="006603BE" w:rsidRPr="002F50BD">
        <w:rPr>
          <w:rFonts w:ascii="Verdana" w:hAnsi="Verdana"/>
          <w:sz w:val="20"/>
          <w:lang w:val="pt-BR"/>
        </w:rPr>
        <w:t>,</w:t>
      </w:r>
      <w:r w:rsidR="004756C1" w:rsidRPr="002F50BD">
        <w:rPr>
          <w:rFonts w:ascii="Verdana" w:hAnsi="Verdana"/>
          <w:sz w:val="20"/>
          <w:lang w:val="pt-BR"/>
        </w:rPr>
        <w:t xml:space="preserve"> </w:t>
      </w:r>
      <w:r w:rsidR="00A76090"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Tribunal Contencioso Administrativo;</w:t>
      </w:r>
    </w:p>
    <w:p w:rsidR="004756C1" w:rsidRPr="002F50BD" w:rsidRDefault="004756C1">
      <w:pPr>
        <w:tabs>
          <w:tab w:val="left" w:pos="1080"/>
        </w:tabs>
        <w:ind w:left="720"/>
        <w:jc w:val="both"/>
        <w:rPr>
          <w:rFonts w:ascii="Verdana" w:hAnsi="Verdana"/>
          <w:sz w:val="20"/>
          <w:lang w:val="pt-BR"/>
        </w:rPr>
      </w:pPr>
    </w:p>
    <w:p w:rsidR="004756C1" w:rsidRPr="002F50BD" w:rsidRDefault="004076AD">
      <w:pPr>
        <w:numPr>
          <w:ilvl w:val="0"/>
          <w:numId w:val="24"/>
        </w:numPr>
        <w:tabs>
          <w:tab w:val="left" w:pos="1080"/>
        </w:tabs>
        <w:ind w:left="720"/>
        <w:jc w:val="both"/>
        <w:rPr>
          <w:rFonts w:ascii="Verdana" w:hAnsi="Verdana"/>
          <w:sz w:val="20"/>
          <w:lang w:val="pt-BR"/>
        </w:rPr>
      </w:pPr>
      <w:r w:rsidRPr="002F50BD">
        <w:rPr>
          <w:rFonts w:ascii="Verdana" w:hAnsi="Verdana"/>
          <w:sz w:val="20"/>
          <w:lang w:val="pt-BR"/>
        </w:rPr>
        <w:t xml:space="preserve">Os </w:t>
      </w:r>
      <w:r w:rsidR="008C29C9" w:rsidRPr="002F50BD">
        <w:rPr>
          <w:rFonts w:ascii="Verdana" w:hAnsi="Verdana"/>
          <w:sz w:val="20"/>
          <w:lang w:val="pt-BR"/>
        </w:rPr>
        <w:t>representante</w:t>
      </w:r>
      <w:r w:rsidRPr="002F50BD">
        <w:rPr>
          <w:rFonts w:ascii="Verdana" w:hAnsi="Verdana"/>
          <w:sz w:val="20"/>
          <w:lang w:val="pt-BR"/>
        </w:rPr>
        <w:t xml:space="preserve">s </w:t>
      </w:r>
      <w:r w:rsidR="0089298C" w:rsidRPr="002F50BD">
        <w:rPr>
          <w:rFonts w:ascii="Verdana" w:hAnsi="Verdana"/>
          <w:sz w:val="20"/>
          <w:lang w:val="pt-BR"/>
        </w:rPr>
        <w:t xml:space="preserve">da Comunidade </w:t>
      </w:r>
      <w:r w:rsidR="004756C1" w:rsidRPr="002F50BD">
        <w:rPr>
          <w:rFonts w:ascii="Verdana" w:hAnsi="Verdana"/>
          <w:sz w:val="20"/>
          <w:lang w:val="pt-BR"/>
        </w:rPr>
        <w:t>n</w:t>
      </w:r>
      <w:r w:rsidR="00A76090" w:rsidRPr="002F50BD">
        <w:rPr>
          <w:rFonts w:ascii="Verdana" w:hAnsi="Verdana"/>
          <w:sz w:val="20"/>
          <w:lang w:val="pt-BR"/>
        </w:rPr>
        <w:t>ã</w:t>
      </w:r>
      <w:r w:rsidR="004756C1" w:rsidRPr="002F50BD">
        <w:rPr>
          <w:rFonts w:ascii="Verdana" w:hAnsi="Verdana"/>
          <w:sz w:val="20"/>
          <w:lang w:val="pt-BR"/>
        </w:rPr>
        <w:t xml:space="preserve">o </w:t>
      </w:r>
      <w:r w:rsidR="00A76090" w:rsidRPr="002F50BD">
        <w:rPr>
          <w:rFonts w:ascii="Verdana" w:hAnsi="Verdana"/>
          <w:sz w:val="20"/>
          <w:lang w:val="pt-BR"/>
        </w:rPr>
        <w:t xml:space="preserve">souberam propor </w:t>
      </w:r>
      <w:r w:rsidR="0089298C" w:rsidRPr="002F50BD">
        <w:rPr>
          <w:rFonts w:ascii="Verdana" w:hAnsi="Verdana"/>
          <w:sz w:val="20"/>
          <w:lang w:val="pt-BR"/>
        </w:rPr>
        <w:t xml:space="preserve">e </w:t>
      </w:r>
      <w:r w:rsidR="004756C1" w:rsidRPr="002F50BD">
        <w:rPr>
          <w:rFonts w:ascii="Verdana" w:hAnsi="Verdana"/>
          <w:sz w:val="20"/>
          <w:lang w:val="pt-BR"/>
        </w:rPr>
        <w:t xml:space="preserve">defender </w:t>
      </w:r>
      <w:r w:rsidR="00A76090" w:rsidRPr="002F50BD">
        <w:rPr>
          <w:rFonts w:ascii="Verdana" w:hAnsi="Verdana"/>
          <w:sz w:val="20"/>
          <w:lang w:val="pt-BR"/>
        </w:rPr>
        <w:t>seus direitos legítimos per</w:t>
      </w:r>
      <w:r w:rsidR="004756C1" w:rsidRPr="002F50BD">
        <w:rPr>
          <w:rFonts w:ascii="Verdana" w:hAnsi="Verdana"/>
          <w:sz w:val="20"/>
          <w:lang w:val="pt-BR"/>
        </w:rPr>
        <w:t>ante</w:t>
      </w:r>
      <w:r w:rsidR="0089298C" w:rsidRPr="002F50BD">
        <w:rPr>
          <w:rFonts w:ascii="Verdana" w:hAnsi="Verdana"/>
          <w:sz w:val="20"/>
          <w:lang w:val="pt-BR"/>
        </w:rPr>
        <w:t xml:space="preserve"> os órgão</w:t>
      </w:r>
      <w:r w:rsidR="004756C1" w:rsidRPr="002F50BD">
        <w:rPr>
          <w:rFonts w:ascii="Verdana" w:hAnsi="Verdana"/>
          <w:sz w:val="20"/>
          <w:lang w:val="pt-BR"/>
        </w:rPr>
        <w:t xml:space="preserve">s </w:t>
      </w:r>
      <w:r w:rsidR="0089298C" w:rsidRPr="002F50BD">
        <w:rPr>
          <w:rFonts w:ascii="Verdana" w:hAnsi="Verdana"/>
          <w:sz w:val="20"/>
          <w:lang w:val="pt-BR"/>
        </w:rPr>
        <w:t>jurisdicionais</w:t>
      </w:r>
      <w:r w:rsidR="004756C1" w:rsidRPr="002F50BD">
        <w:rPr>
          <w:rFonts w:ascii="Verdana" w:hAnsi="Verdana"/>
          <w:sz w:val="20"/>
          <w:lang w:val="pt-BR"/>
        </w:rPr>
        <w:t xml:space="preserve"> internos. </w:t>
      </w:r>
      <w:r w:rsidR="00A76090" w:rsidRPr="002F50BD">
        <w:rPr>
          <w:rFonts w:ascii="Verdana" w:hAnsi="Verdana"/>
          <w:sz w:val="20"/>
          <w:lang w:val="pt-BR"/>
        </w:rPr>
        <w:t>A</w:t>
      </w:r>
      <w:r w:rsidR="0089298C" w:rsidRPr="002F50BD">
        <w:rPr>
          <w:rFonts w:ascii="Verdana" w:hAnsi="Verdana"/>
          <w:sz w:val="20"/>
          <w:lang w:val="pt-BR"/>
        </w:rPr>
        <w:t>s ações</w:t>
      </w:r>
      <w:r w:rsidR="004756C1" w:rsidRPr="002F50BD">
        <w:rPr>
          <w:rFonts w:ascii="Verdana" w:hAnsi="Verdana"/>
          <w:sz w:val="20"/>
          <w:lang w:val="pt-BR"/>
        </w:rPr>
        <w:t xml:space="preserve"> empre</w:t>
      </w:r>
      <w:r w:rsidR="00A76090" w:rsidRPr="002F50BD">
        <w:rPr>
          <w:rFonts w:ascii="Verdana" w:hAnsi="Verdana"/>
          <w:sz w:val="20"/>
          <w:lang w:val="pt-BR"/>
        </w:rPr>
        <w:t>e</w:t>
      </w:r>
      <w:r w:rsidR="004756C1" w:rsidRPr="002F50BD">
        <w:rPr>
          <w:rFonts w:ascii="Verdana" w:hAnsi="Verdana"/>
          <w:sz w:val="20"/>
          <w:lang w:val="pt-BR"/>
        </w:rPr>
        <w:t xml:space="preserve">ndidas </w:t>
      </w:r>
      <w:r w:rsidR="0089298C" w:rsidRPr="002F50BD">
        <w:rPr>
          <w:rFonts w:ascii="Verdana" w:hAnsi="Verdana"/>
          <w:sz w:val="20"/>
          <w:lang w:val="pt-BR"/>
        </w:rPr>
        <w:t>foram</w:t>
      </w:r>
      <w:r w:rsidR="004756C1" w:rsidRPr="002F50BD">
        <w:rPr>
          <w:rFonts w:ascii="Verdana" w:hAnsi="Verdana"/>
          <w:sz w:val="20"/>
          <w:lang w:val="pt-BR"/>
        </w:rPr>
        <w:t xml:space="preserve"> in</w:t>
      </w:r>
      <w:r w:rsidR="0089298C" w:rsidRPr="002F50BD">
        <w:rPr>
          <w:rFonts w:ascii="Verdana" w:hAnsi="Verdana"/>
          <w:sz w:val="20"/>
          <w:lang w:val="pt-BR"/>
        </w:rPr>
        <w:t>apropriad</w:t>
      </w:r>
      <w:r w:rsidR="004756C1" w:rsidRPr="002F50BD">
        <w:rPr>
          <w:rFonts w:ascii="Verdana" w:hAnsi="Verdana"/>
          <w:sz w:val="20"/>
          <w:lang w:val="pt-BR"/>
        </w:rPr>
        <w:t xml:space="preserve">as, </w:t>
      </w:r>
      <w:r w:rsidR="0089298C" w:rsidRPr="002F50BD">
        <w:rPr>
          <w:rFonts w:ascii="Verdana" w:hAnsi="Verdana"/>
          <w:sz w:val="20"/>
          <w:lang w:val="pt-BR"/>
        </w:rPr>
        <w:t>extemporâne</w:t>
      </w:r>
      <w:r w:rsidR="004756C1" w:rsidRPr="002F50BD">
        <w:rPr>
          <w:rFonts w:ascii="Verdana" w:hAnsi="Verdana"/>
          <w:sz w:val="20"/>
          <w:lang w:val="pt-BR"/>
        </w:rPr>
        <w:t>as o</w:t>
      </w:r>
      <w:r w:rsidR="00A76090" w:rsidRPr="002F50BD">
        <w:rPr>
          <w:rFonts w:ascii="Verdana" w:hAnsi="Verdana"/>
          <w:sz w:val="20"/>
          <w:lang w:val="pt-BR"/>
        </w:rPr>
        <w:t>u</w:t>
      </w:r>
      <w:r w:rsidR="004756C1" w:rsidRPr="002F50BD">
        <w:rPr>
          <w:rFonts w:ascii="Verdana" w:hAnsi="Verdana"/>
          <w:sz w:val="20"/>
          <w:lang w:val="pt-BR"/>
        </w:rPr>
        <w:t xml:space="preserve"> negligentes</w:t>
      </w:r>
      <w:r w:rsidR="00CD7100" w:rsidRPr="002F50BD">
        <w:rPr>
          <w:rFonts w:ascii="Verdana" w:hAnsi="Verdana"/>
          <w:sz w:val="20"/>
          <w:lang w:val="pt-BR"/>
        </w:rPr>
        <w:t xml:space="preserve">. </w:t>
      </w:r>
      <w:r w:rsidR="006603BE" w:rsidRPr="002F50BD">
        <w:rPr>
          <w:rFonts w:ascii="Verdana" w:hAnsi="Verdana"/>
          <w:sz w:val="20"/>
          <w:lang w:val="pt-BR"/>
        </w:rPr>
        <w:t>Com</w:t>
      </w:r>
      <w:r w:rsidR="0089298C" w:rsidRPr="002F50BD">
        <w:rPr>
          <w:rFonts w:ascii="Verdana" w:hAnsi="Verdana"/>
          <w:sz w:val="20"/>
          <w:lang w:val="pt-BR"/>
        </w:rPr>
        <w:t xml:space="preserve"> efeito</w:t>
      </w:r>
      <w:r w:rsidR="004756C1" w:rsidRPr="002F50BD">
        <w:rPr>
          <w:rFonts w:ascii="Verdana" w:hAnsi="Verdana"/>
          <w:sz w:val="20"/>
          <w:lang w:val="pt-BR"/>
        </w:rPr>
        <w:t>,</w:t>
      </w:r>
      <w:r w:rsidR="0089298C" w:rsidRPr="002F50BD">
        <w:rPr>
          <w:rFonts w:ascii="Verdana" w:hAnsi="Verdana"/>
          <w:sz w:val="20"/>
          <w:lang w:val="pt-BR"/>
        </w:rPr>
        <w:t xml:space="preserve"> a </w:t>
      </w:r>
      <w:r w:rsidRPr="002F50BD">
        <w:rPr>
          <w:rFonts w:ascii="Verdana" w:hAnsi="Verdana"/>
          <w:sz w:val="20"/>
          <w:lang w:val="pt-BR"/>
        </w:rPr>
        <w:t>ação</w:t>
      </w:r>
      <w:r w:rsidR="004756C1" w:rsidRPr="002F50BD">
        <w:rPr>
          <w:rFonts w:ascii="Verdana" w:hAnsi="Verdana"/>
          <w:sz w:val="20"/>
          <w:lang w:val="pt-BR"/>
        </w:rPr>
        <w:t xml:space="preserve"> de amparo promovida</w:t>
      </w:r>
      <w:r w:rsidR="0089298C" w:rsidRPr="002F50BD">
        <w:rPr>
          <w:rFonts w:ascii="Verdana" w:hAnsi="Verdana"/>
          <w:sz w:val="20"/>
          <w:lang w:val="pt-BR"/>
        </w:rPr>
        <w:t xml:space="preserve"> neste </w:t>
      </w:r>
      <w:r w:rsidR="004756C1" w:rsidRPr="002F50BD">
        <w:rPr>
          <w:rFonts w:ascii="Verdana" w:hAnsi="Verdana"/>
          <w:sz w:val="20"/>
          <w:lang w:val="pt-BR"/>
        </w:rPr>
        <w:t>caso</w:t>
      </w:r>
      <w:r w:rsidR="0089298C" w:rsidRPr="002F50BD">
        <w:rPr>
          <w:rFonts w:ascii="Verdana" w:hAnsi="Verdana"/>
          <w:sz w:val="20"/>
          <w:lang w:val="pt-BR"/>
        </w:rPr>
        <w:t xml:space="preserve"> foi </w:t>
      </w:r>
      <w:r w:rsidR="00A76090" w:rsidRPr="002F50BD">
        <w:rPr>
          <w:rFonts w:ascii="Verdana" w:hAnsi="Verdana"/>
          <w:sz w:val="20"/>
          <w:lang w:val="pt-BR"/>
        </w:rPr>
        <w:t xml:space="preserve">rejeitada </w:t>
      </w:r>
      <w:r w:rsidR="0089298C" w:rsidRPr="002F50BD">
        <w:rPr>
          <w:rFonts w:ascii="Verdana" w:hAnsi="Verdana"/>
          <w:sz w:val="20"/>
          <w:lang w:val="pt-BR"/>
        </w:rPr>
        <w:t xml:space="preserve">em </w:t>
      </w:r>
      <w:r w:rsidR="004756C1" w:rsidRPr="002F50BD">
        <w:rPr>
          <w:rFonts w:ascii="Verdana" w:hAnsi="Verdana"/>
          <w:sz w:val="20"/>
          <w:lang w:val="pt-BR"/>
        </w:rPr>
        <w:t>d</w:t>
      </w:r>
      <w:r w:rsidR="00A76090" w:rsidRPr="002F50BD">
        <w:rPr>
          <w:rFonts w:ascii="Verdana" w:hAnsi="Verdana"/>
          <w:sz w:val="20"/>
          <w:lang w:val="pt-BR"/>
        </w:rPr>
        <w:t>ua</w:t>
      </w:r>
      <w:r w:rsidR="004756C1" w:rsidRPr="002F50BD">
        <w:rPr>
          <w:rFonts w:ascii="Verdana" w:hAnsi="Verdana"/>
          <w:sz w:val="20"/>
          <w:lang w:val="pt-BR"/>
        </w:rPr>
        <w:t xml:space="preserve">s </w:t>
      </w:r>
      <w:r w:rsidR="0089298C" w:rsidRPr="002F50BD">
        <w:rPr>
          <w:rFonts w:ascii="Verdana" w:hAnsi="Verdana"/>
          <w:sz w:val="20"/>
          <w:lang w:val="pt-BR"/>
        </w:rPr>
        <w:t>instância</w:t>
      </w:r>
      <w:r w:rsidR="004756C1" w:rsidRPr="002F50BD">
        <w:rPr>
          <w:rFonts w:ascii="Verdana" w:hAnsi="Verdana"/>
          <w:sz w:val="20"/>
          <w:lang w:val="pt-BR"/>
        </w:rPr>
        <w:t xml:space="preserve">s por </w:t>
      </w:r>
      <w:r w:rsidR="00A76090" w:rsidRPr="002F50BD">
        <w:rPr>
          <w:rFonts w:ascii="Verdana" w:hAnsi="Verdana"/>
          <w:sz w:val="20"/>
          <w:lang w:val="pt-BR"/>
        </w:rPr>
        <w:t xml:space="preserve">ser </w:t>
      </w:r>
      <w:r w:rsidR="0089298C" w:rsidRPr="002F50BD">
        <w:rPr>
          <w:rFonts w:ascii="Verdana" w:hAnsi="Verdana"/>
          <w:sz w:val="20"/>
          <w:lang w:val="pt-BR"/>
        </w:rPr>
        <w:t>extemporâne</w:t>
      </w:r>
      <w:r w:rsidR="004756C1" w:rsidRPr="002F50BD">
        <w:rPr>
          <w:rFonts w:ascii="Verdana" w:hAnsi="Verdana"/>
          <w:sz w:val="20"/>
          <w:lang w:val="pt-BR"/>
        </w:rPr>
        <w:t>a,</w:t>
      </w:r>
      <w:r w:rsidR="0089298C" w:rsidRPr="002F50BD">
        <w:rPr>
          <w:rFonts w:ascii="Verdana" w:hAnsi="Verdana"/>
          <w:sz w:val="20"/>
          <w:lang w:val="pt-BR"/>
        </w:rPr>
        <w:t xml:space="preserve"> as </w:t>
      </w:r>
      <w:r w:rsidR="004756C1" w:rsidRPr="002F50BD">
        <w:rPr>
          <w:rFonts w:ascii="Verdana" w:hAnsi="Verdana"/>
          <w:sz w:val="20"/>
          <w:lang w:val="pt-BR"/>
        </w:rPr>
        <w:t xml:space="preserve">medidas cautelares </w:t>
      </w:r>
      <w:r w:rsidR="0089298C" w:rsidRPr="002F50BD">
        <w:rPr>
          <w:rFonts w:ascii="Verdana" w:hAnsi="Verdana"/>
          <w:sz w:val="20"/>
          <w:lang w:val="pt-BR"/>
        </w:rPr>
        <w:t>foram</w:t>
      </w:r>
      <w:r w:rsidR="004756C1" w:rsidRPr="002F50BD">
        <w:rPr>
          <w:rFonts w:ascii="Verdana" w:hAnsi="Verdana"/>
          <w:sz w:val="20"/>
          <w:lang w:val="pt-BR"/>
        </w:rPr>
        <w:t xml:space="preserve"> revo</w:t>
      </w:r>
      <w:r w:rsidR="00A76090" w:rsidRPr="002F50BD">
        <w:rPr>
          <w:rFonts w:ascii="Verdana" w:hAnsi="Verdana"/>
          <w:sz w:val="20"/>
          <w:lang w:val="pt-BR"/>
        </w:rPr>
        <w:t>g</w:t>
      </w:r>
      <w:r w:rsidR="004756C1" w:rsidRPr="002F50BD">
        <w:rPr>
          <w:rFonts w:ascii="Verdana" w:hAnsi="Verdana"/>
          <w:sz w:val="20"/>
          <w:lang w:val="pt-BR"/>
        </w:rPr>
        <w:t>adas porque</w:t>
      </w:r>
      <w:r w:rsidR="0089298C" w:rsidRPr="002F50BD">
        <w:rPr>
          <w:rFonts w:ascii="Verdana" w:hAnsi="Verdana"/>
          <w:sz w:val="20"/>
          <w:lang w:val="pt-BR"/>
        </w:rPr>
        <w:t xml:space="preserve"> o juiz</w:t>
      </w:r>
      <w:r w:rsidR="004756C1" w:rsidRPr="002F50BD">
        <w:rPr>
          <w:rFonts w:ascii="Verdana" w:hAnsi="Verdana"/>
          <w:sz w:val="20"/>
          <w:lang w:val="pt-BR"/>
        </w:rPr>
        <w:t xml:space="preserve"> </w:t>
      </w:r>
      <w:r w:rsidR="0089298C" w:rsidRPr="002F50BD">
        <w:rPr>
          <w:rFonts w:ascii="Verdana" w:hAnsi="Verdana"/>
          <w:sz w:val="20"/>
          <w:lang w:val="pt-BR"/>
        </w:rPr>
        <w:t>considerou</w:t>
      </w:r>
      <w:r w:rsidR="004756C1" w:rsidRPr="002F50BD">
        <w:rPr>
          <w:rFonts w:ascii="Verdana" w:hAnsi="Verdana"/>
          <w:sz w:val="20"/>
          <w:lang w:val="pt-BR"/>
        </w:rPr>
        <w:t xml:space="preserve"> que </w:t>
      </w:r>
      <w:r w:rsidRPr="002F50BD">
        <w:rPr>
          <w:rFonts w:ascii="Verdana" w:hAnsi="Verdana"/>
          <w:sz w:val="20"/>
          <w:lang w:val="pt-BR"/>
        </w:rPr>
        <w:t>estaria</w:t>
      </w:r>
      <w:r w:rsidR="002C18B3" w:rsidRPr="002F50BD">
        <w:rPr>
          <w:rFonts w:ascii="Verdana" w:hAnsi="Verdana"/>
          <w:sz w:val="20"/>
          <w:lang w:val="pt-BR"/>
        </w:rPr>
        <w:t>m</w:t>
      </w:r>
      <w:r w:rsidRPr="002F50BD">
        <w:rPr>
          <w:rFonts w:ascii="Verdana" w:hAnsi="Verdana"/>
          <w:sz w:val="20"/>
          <w:lang w:val="pt-BR"/>
        </w:rPr>
        <w:t xml:space="preserve"> </w:t>
      </w:r>
      <w:r w:rsidR="004756C1" w:rsidRPr="002F50BD">
        <w:rPr>
          <w:rFonts w:ascii="Verdana" w:hAnsi="Verdana"/>
          <w:sz w:val="20"/>
          <w:lang w:val="pt-BR"/>
        </w:rPr>
        <w:t>impo</w:t>
      </w:r>
      <w:r w:rsidR="006603BE" w:rsidRPr="002F50BD">
        <w:rPr>
          <w:rFonts w:ascii="Verdana" w:hAnsi="Verdana"/>
          <w:sz w:val="20"/>
          <w:lang w:val="pt-BR"/>
        </w:rPr>
        <w:t>s</w:t>
      </w:r>
      <w:r w:rsidR="004756C1" w:rsidRPr="002F50BD">
        <w:rPr>
          <w:rFonts w:ascii="Verdana" w:hAnsi="Verdana"/>
          <w:sz w:val="20"/>
          <w:lang w:val="pt-BR"/>
        </w:rPr>
        <w:t>sibilitando que</w:t>
      </w:r>
      <w:r w:rsidR="0089298C" w:rsidRPr="002F50BD">
        <w:rPr>
          <w:rFonts w:ascii="Verdana" w:hAnsi="Verdana"/>
          <w:sz w:val="20"/>
          <w:lang w:val="pt-BR"/>
        </w:rPr>
        <w:t xml:space="preserve"> os </w:t>
      </w:r>
      <w:r w:rsidR="000920B2" w:rsidRPr="002F50BD">
        <w:rPr>
          <w:rFonts w:ascii="Verdana" w:hAnsi="Verdana"/>
          <w:sz w:val="20"/>
          <w:lang w:val="pt-BR"/>
        </w:rPr>
        <w:t>imóveis</w:t>
      </w:r>
      <w:r w:rsidR="00A76090" w:rsidRPr="002F50BD">
        <w:rPr>
          <w:rFonts w:ascii="Verdana" w:hAnsi="Verdana"/>
          <w:sz w:val="20"/>
          <w:lang w:val="pt-BR"/>
        </w:rPr>
        <w:t xml:space="preserve"> reclamados continuassem </w:t>
      </w:r>
      <w:r w:rsidR="0089298C" w:rsidRPr="002F50BD">
        <w:rPr>
          <w:rFonts w:ascii="Verdana" w:hAnsi="Verdana"/>
          <w:sz w:val="20"/>
          <w:lang w:val="pt-BR"/>
        </w:rPr>
        <w:t>sendo</w:t>
      </w:r>
      <w:r w:rsidR="004756C1" w:rsidRPr="002F50BD">
        <w:rPr>
          <w:rFonts w:ascii="Verdana" w:hAnsi="Verdana"/>
          <w:sz w:val="20"/>
          <w:lang w:val="pt-BR"/>
        </w:rPr>
        <w:t xml:space="preserve"> </w:t>
      </w:r>
      <w:r w:rsidR="00A76090" w:rsidRPr="002F50BD">
        <w:rPr>
          <w:rFonts w:ascii="Verdana" w:hAnsi="Verdana"/>
          <w:sz w:val="20"/>
          <w:lang w:val="pt-BR"/>
        </w:rPr>
        <w:t xml:space="preserve">racionalmente </w:t>
      </w:r>
      <w:r w:rsidR="00475EBB" w:rsidRPr="002F50BD">
        <w:rPr>
          <w:rFonts w:ascii="Verdana" w:hAnsi="Verdana"/>
          <w:sz w:val="20"/>
          <w:lang w:val="pt-BR"/>
        </w:rPr>
        <w:t>explorad</w:t>
      </w:r>
      <w:r w:rsidR="004756C1" w:rsidRPr="002F50BD">
        <w:rPr>
          <w:rFonts w:ascii="Verdana" w:hAnsi="Verdana"/>
          <w:sz w:val="20"/>
          <w:lang w:val="pt-BR"/>
        </w:rPr>
        <w:t>os por s</w:t>
      </w:r>
      <w:r w:rsidR="00A76090" w:rsidRPr="002F50BD">
        <w:rPr>
          <w:rFonts w:ascii="Verdana" w:hAnsi="Verdana"/>
          <w:sz w:val="20"/>
          <w:lang w:val="pt-BR"/>
        </w:rPr>
        <w:t>e</w:t>
      </w:r>
      <w:r w:rsidR="004756C1" w:rsidRPr="002F50BD">
        <w:rPr>
          <w:rFonts w:ascii="Verdana" w:hAnsi="Verdana"/>
          <w:sz w:val="20"/>
          <w:lang w:val="pt-BR"/>
        </w:rPr>
        <w:t xml:space="preserve">us </w:t>
      </w:r>
      <w:r w:rsidR="007801FA" w:rsidRPr="002F50BD">
        <w:rPr>
          <w:rFonts w:ascii="Verdana" w:hAnsi="Verdana"/>
          <w:sz w:val="20"/>
          <w:lang w:val="pt-BR"/>
        </w:rPr>
        <w:t>proprietário</w:t>
      </w:r>
      <w:r w:rsidR="004756C1" w:rsidRPr="002F50BD">
        <w:rPr>
          <w:rFonts w:ascii="Verdana" w:hAnsi="Verdana"/>
          <w:sz w:val="20"/>
          <w:lang w:val="pt-BR"/>
        </w:rPr>
        <w:t>s</w:t>
      </w:r>
      <w:r w:rsidR="0089298C" w:rsidRPr="002F50BD">
        <w:rPr>
          <w:rFonts w:ascii="Verdana" w:hAnsi="Verdana"/>
          <w:sz w:val="20"/>
          <w:lang w:val="pt-BR"/>
        </w:rPr>
        <w:t xml:space="preserve"> e a </w:t>
      </w:r>
      <w:r w:rsidRPr="002F50BD">
        <w:rPr>
          <w:rFonts w:ascii="Verdana" w:hAnsi="Verdana"/>
          <w:sz w:val="20"/>
          <w:lang w:val="pt-BR"/>
        </w:rPr>
        <w:t>ação</w:t>
      </w:r>
      <w:r w:rsidR="004756C1" w:rsidRPr="002F50BD">
        <w:rPr>
          <w:rFonts w:ascii="Verdana" w:hAnsi="Verdana"/>
          <w:sz w:val="20"/>
          <w:lang w:val="pt-BR"/>
        </w:rPr>
        <w:t xml:space="preserve"> de in</w:t>
      </w:r>
      <w:r w:rsidR="0089298C" w:rsidRPr="002F50BD">
        <w:rPr>
          <w:rFonts w:ascii="Verdana" w:hAnsi="Verdana"/>
          <w:sz w:val="20"/>
          <w:lang w:val="pt-BR"/>
        </w:rPr>
        <w:t xml:space="preserve">constitucionalidade foi </w:t>
      </w:r>
      <w:r w:rsidR="004756C1" w:rsidRPr="002F50BD">
        <w:rPr>
          <w:rFonts w:ascii="Verdana" w:hAnsi="Verdana"/>
          <w:sz w:val="20"/>
          <w:lang w:val="pt-BR"/>
        </w:rPr>
        <w:t>declarada</w:t>
      </w:r>
      <w:r w:rsidR="0089298C" w:rsidRPr="002F50BD">
        <w:rPr>
          <w:rFonts w:ascii="Verdana" w:hAnsi="Verdana"/>
          <w:sz w:val="20"/>
          <w:lang w:val="pt-BR"/>
        </w:rPr>
        <w:t xml:space="preserve"> </w:t>
      </w:r>
      <w:r w:rsidR="00FF3563" w:rsidRPr="002F50BD">
        <w:rPr>
          <w:rFonts w:ascii="Verdana" w:hAnsi="Verdana"/>
          <w:sz w:val="20"/>
          <w:lang w:val="pt-BR"/>
        </w:rPr>
        <w:t>abandonada</w:t>
      </w:r>
      <w:r w:rsidR="004756C1" w:rsidRPr="002F50BD">
        <w:rPr>
          <w:rFonts w:ascii="Verdana" w:hAnsi="Verdana"/>
          <w:sz w:val="20"/>
          <w:lang w:val="pt-BR"/>
        </w:rPr>
        <w:t>,</w:t>
      </w:r>
      <w:r w:rsidR="0089298C" w:rsidRPr="002F50BD">
        <w:rPr>
          <w:rFonts w:ascii="Verdana" w:hAnsi="Verdana"/>
          <w:sz w:val="20"/>
          <w:lang w:val="pt-BR"/>
        </w:rPr>
        <w:t xml:space="preserve"> </w:t>
      </w:r>
      <w:r w:rsidR="00FF3563" w:rsidRPr="002F50BD">
        <w:rPr>
          <w:rFonts w:ascii="Verdana" w:hAnsi="Verdana"/>
          <w:sz w:val="20"/>
          <w:lang w:val="pt-BR"/>
        </w:rPr>
        <w:t>isto é</w:t>
      </w:r>
      <w:r w:rsidR="004756C1" w:rsidRPr="002F50BD">
        <w:rPr>
          <w:rFonts w:ascii="Verdana" w:hAnsi="Verdana"/>
          <w:sz w:val="20"/>
          <w:lang w:val="pt-BR"/>
        </w:rPr>
        <w:t>,</w:t>
      </w:r>
      <w:r w:rsidR="004756C1" w:rsidRPr="002F50BD" w:rsidDel="004521EC">
        <w:rPr>
          <w:rFonts w:ascii="Verdana" w:hAnsi="Verdana"/>
          <w:sz w:val="20"/>
          <w:lang w:val="pt-BR"/>
        </w:rPr>
        <w:t xml:space="preserve"> </w:t>
      </w:r>
      <w:r w:rsidR="0089298C" w:rsidRPr="002F50BD">
        <w:rPr>
          <w:rFonts w:ascii="Verdana" w:hAnsi="Verdana"/>
          <w:sz w:val="20"/>
          <w:lang w:val="pt-BR"/>
        </w:rPr>
        <w:t>declarou</w:t>
      </w:r>
      <w:r w:rsidR="00FF3563" w:rsidRPr="002F50BD">
        <w:rPr>
          <w:rFonts w:ascii="Verdana" w:hAnsi="Verdana"/>
          <w:sz w:val="20"/>
          <w:lang w:val="pt-BR"/>
        </w:rPr>
        <w:t>-se</w:t>
      </w:r>
      <w:r w:rsidR="0089298C" w:rsidRPr="002F50BD">
        <w:rPr>
          <w:rFonts w:ascii="Verdana" w:hAnsi="Verdana"/>
          <w:sz w:val="20"/>
          <w:lang w:val="pt-BR"/>
        </w:rPr>
        <w:t xml:space="preserve"> a caducidade da instância</w:t>
      </w:r>
      <w:r w:rsidR="004756C1" w:rsidRPr="002F50BD" w:rsidDel="004521EC">
        <w:rPr>
          <w:rFonts w:ascii="Verdana" w:hAnsi="Verdana"/>
          <w:sz w:val="20"/>
          <w:lang w:val="pt-BR"/>
        </w:rPr>
        <w:t xml:space="preserve"> </w:t>
      </w:r>
      <w:r w:rsidR="004756C1" w:rsidRPr="002F50BD">
        <w:rPr>
          <w:rFonts w:ascii="Verdana" w:hAnsi="Verdana"/>
          <w:sz w:val="20"/>
          <w:lang w:val="pt-BR"/>
        </w:rPr>
        <w:t xml:space="preserve">por falta de impulso </w:t>
      </w:r>
      <w:r w:rsidR="0089298C" w:rsidRPr="002F50BD">
        <w:rPr>
          <w:rFonts w:ascii="Verdana" w:hAnsi="Verdana"/>
          <w:sz w:val="20"/>
          <w:lang w:val="pt-BR"/>
        </w:rPr>
        <w:t>processual dos interessad</w:t>
      </w:r>
      <w:r w:rsidR="004756C1" w:rsidRPr="002F50BD">
        <w:rPr>
          <w:rFonts w:ascii="Verdana" w:hAnsi="Verdana"/>
          <w:sz w:val="20"/>
          <w:lang w:val="pt-BR"/>
        </w:rPr>
        <w:t>os;</w:t>
      </w:r>
      <w:r w:rsidR="00FE08B7">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FF3563">
      <w:pPr>
        <w:numPr>
          <w:ilvl w:val="0"/>
          <w:numId w:val="24"/>
        </w:numPr>
        <w:tabs>
          <w:tab w:val="left" w:pos="1080"/>
        </w:tabs>
        <w:ind w:left="720"/>
        <w:jc w:val="both"/>
        <w:rPr>
          <w:rFonts w:ascii="Verdana" w:hAnsi="Verdana"/>
          <w:sz w:val="20"/>
          <w:lang w:val="pt-BR"/>
        </w:rPr>
      </w:pPr>
      <w:r w:rsidRPr="002F50BD">
        <w:rPr>
          <w:rFonts w:ascii="Verdana" w:hAnsi="Verdana"/>
          <w:sz w:val="20"/>
          <w:lang w:val="pt-BR"/>
        </w:rPr>
        <w:lastRenderedPageBreak/>
        <w:t>P</w:t>
      </w:r>
      <w:r w:rsidR="004756C1" w:rsidRPr="002F50BD">
        <w:rPr>
          <w:rFonts w:ascii="Verdana" w:hAnsi="Verdana"/>
          <w:sz w:val="20"/>
          <w:lang w:val="pt-BR"/>
        </w:rPr>
        <w:t>ara</w:t>
      </w:r>
      <w:r w:rsidR="0089298C" w:rsidRPr="002F50BD">
        <w:rPr>
          <w:rFonts w:ascii="Verdana" w:hAnsi="Verdana"/>
          <w:sz w:val="20"/>
          <w:lang w:val="pt-BR"/>
        </w:rPr>
        <w:t xml:space="preserve"> o direito</w:t>
      </w:r>
      <w:r w:rsidR="004756C1" w:rsidRPr="002F50BD">
        <w:rPr>
          <w:rFonts w:ascii="Verdana" w:hAnsi="Verdana"/>
          <w:sz w:val="20"/>
          <w:lang w:val="pt-BR"/>
        </w:rPr>
        <w:t xml:space="preserve"> interno</w:t>
      </w:r>
      <w:r w:rsidR="0089298C" w:rsidRPr="002F50BD">
        <w:rPr>
          <w:rFonts w:ascii="Verdana" w:hAnsi="Verdana"/>
          <w:sz w:val="20"/>
          <w:lang w:val="pt-BR"/>
        </w:rPr>
        <w:t xml:space="preserve"> e a justiça</w:t>
      </w:r>
      <w:r w:rsidR="004756C1" w:rsidRPr="002F50BD">
        <w:rPr>
          <w:rFonts w:ascii="Verdana" w:hAnsi="Verdana"/>
          <w:sz w:val="20"/>
          <w:lang w:val="pt-BR"/>
        </w:rPr>
        <w:t xml:space="preserve"> interna</w:t>
      </w:r>
      <w:r w:rsidR="002C18B3"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Yakye Axa</w:t>
      </w:r>
      <w:r w:rsidR="00AB454A" w:rsidRPr="002F50BD">
        <w:rPr>
          <w:rFonts w:ascii="Verdana" w:hAnsi="Verdana"/>
          <w:sz w:val="20"/>
          <w:lang w:val="pt-BR"/>
        </w:rPr>
        <w:t xml:space="preserve"> não tinha</w:t>
      </w:r>
      <w:r w:rsidR="0089298C" w:rsidRPr="002F50BD">
        <w:rPr>
          <w:rFonts w:ascii="Verdana" w:hAnsi="Verdana"/>
          <w:sz w:val="20"/>
          <w:lang w:val="pt-BR"/>
        </w:rPr>
        <w:t xml:space="preserve"> a </w:t>
      </w:r>
      <w:r w:rsidR="00A50140" w:rsidRPr="002F50BD">
        <w:rPr>
          <w:rFonts w:ascii="Verdana" w:hAnsi="Verdana"/>
          <w:sz w:val="20"/>
          <w:lang w:val="pt-BR"/>
        </w:rPr>
        <w:t>posse</w:t>
      </w:r>
      <w:r w:rsidR="0089298C" w:rsidRPr="002F50BD">
        <w:rPr>
          <w:rFonts w:ascii="Verdana" w:hAnsi="Verdana"/>
          <w:sz w:val="20"/>
          <w:lang w:val="pt-BR"/>
        </w:rPr>
        <w:t xml:space="preserve"> nem a propriedade</w:t>
      </w:r>
      <w:r w:rsidR="004756C1" w:rsidRPr="002F50BD">
        <w:rPr>
          <w:rFonts w:ascii="Verdana" w:hAnsi="Verdana"/>
          <w:sz w:val="20"/>
          <w:lang w:val="pt-BR"/>
        </w:rPr>
        <w:t xml:space="preserve"> </w:t>
      </w:r>
      <w:r w:rsidR="0089298C" w:rsidRPr="002F50BD">
        <w:rPr>
          <w:rFonts w:ascii="Verdana" w:hAnsi="Verdana"/>
          <w:sz w:val="20"/>
          <w:lang w:val="pt-BR"/>
        </w:rPr>
        <w:t>do imóvel</w:t>
      </w:r>
      <w:r w:rsidR="004756C1" w:rsidRPr="002F50BD">
        <w:rPr>
          <w:rFonts w:ascii="Verdana" w:hAnsi="Verdana"/>
          <w:sz w:val="20"/>
          <w:lang w:val="pt-BR"/>
        </w:rPr>
        <w:t xml:space="preserve"> que reivindica</w:t>
      </w:r>
      <w:r w:rsidR="00AB454A" w:rsidRPr="002F50BD">
        <w:rPr>
          <w:rFonts w:ascii="Verdana" w:hAnsi="Verdana"/>
          <w:sz w:val="20"/>
          <w:lang w:val="pt-BR"/>
        </w:rPr>
        <w:t xml:space="preserve">. A </w:t>
      </w:r>
      <w:r w:rsidR="0089298C" w:rsidRPr="002F50BD">
        <w:rPr>
          <w:rFonts w:ascii="Verdana" w:hAnsi="Verdana"/>
          <w:sz w:val="20"/>
          <w:lang w:val="pt-BR"/>
        </w:rPr>
        <w:t>Comunidade</w:t>
      </w:r>
      <w:r w:rsidR="00AB454A" w:rsidRPr="002F50BD">
        <w:rPr>
          <w:rFonts w:ascii="Verdana" w:hAnsi="Verdana"/>
          <w:sz w:val="20"/>
          <w:lang w:val="pt-BR"/>
        </w:rPr>
        <w:t xml:space="preserve"> não tinha</w:t>
      </w:r>
      <w:r w:rsidR="0089298C" w:rsidRPr="002F50BD">
        <w:rPr>
          <w:rFonts w:ascii="Verdana" w:hAnsi="Verdana"/>
          <w:sz w:val="20"/>
          <w:lang w:val="pt-BR"/>
        </w:rPr>
        <w:t xml:space="preserve"> sequer o </w:t>
      </w:r>
      <w:r w:rsidR="004756C1" w:rsidRPr="002F50BD">
        <w:rPr>
          <w:rFonts w:ascii="Verdana" w:hAnsi="Verdana"/>
          <w:sz w:val="20"/>
          <w:lang w:val="pt-BR"/>
        </w:rPr>
        <w:t xml:space="preserve">número mínimo de integrantes que </w:t>
      </w:r>
      <w:r w:rsidR="0089298C" w:rsidRPr="002F50BD">
        <w:rPr>
          <w:rFonts w:ascii="Verdana" w:hAnsi="Verdana"/>
          <w:sz w:val="20"/>
          <w:lang w:val="pt-BR"/>
        </w:rPr>
        <w:t xml:space="preserve">requer a lei </w:t>
      </w:r>
      <w:r w:rsidR="004756C1" w:rsidRPr="002F50BD">
        <w:rPr>
          <w:rFonts w:ascii="Verdana" w:hAnsi="Verdana"/>
          <w:sz w:val="20"/>
          <w:lang w:val="pt-BR"/>
        </w:rPr>
        <w:t xml:space="preserve">para </w:t>
      </w:r>
      <w:r w:rsidRPr="002F50BD">
        <w:rPr>
          <w:rFonts w:ascii="Verdana" w:hAnsi="Verdana"/>
          <w:sz w:val="20"/>
          <w:lang w:val="pt-BR"/>
        </w:rPr>
        <w:t xml:space="preserve">ter acesso </w:t>
      </w:r>
      <w:r w:rsidR="0089298C" w:rsidRPr="002F50BD">
        <w:rPr>
          <w:rFonts w:ascii="Verdana" w:hAnsi="Verdana"/>
          <w:sz w:val="20"/>
          <w:lang w:val="pt-BR"/>
        </w:rPr>
        <w:t xml:space="preserve">e </w:t>
      </w:r>
      <w:r w:rsidR="004756C1" w:rsidRPr="002F50BD">
        <w:rPr>
          <w:rFonts w:ascii="Verdana" w:hAnsi="Verdana"/>
          <w:sz w:val="20"/>
          <w:lang w:val="pt-BR"/>
        </w:rPr>
        <w:t>justificar</w:t>
      </w:r>
      <w:r w:rsidR="0089298C" w:rsidRPr="002F50BD">
        <w:rPr>
          <w:rFonts w:ascii="Verdana" w:hAnsi="Verdana"/>
          <w:sz w:val="20"/>
          <w:lang w:val="pt-BR"/>
        </w:rPr>
        <w:t xml:space="preserve"> uma propriedade</w:t>
      </w:r>
      <w:r w:rsidR="004756C1" w:rsidRPr="002F50BD">
        <w:rPr>
          <w:rFonts w:ascii="Verdana" w:hAnsi="Verdana"/>
          <w:sz w:val="20"/>
          <w:lang w:val="pt-BR"/>
        </w:rPr>
        <w:t xml:space="preserve"> ancestral </w:t>
      </w:r>
      <w:r w:rsidR="006603BE" w:rsidRPr="002F50BD">
        <w:rPr>
          <w:rFonts w:ascii="Verdana" w:hAnsi="Verdana"/>
          <w:sz w:val="20"/>
          <w:lang w:val="pt-BR"/>
        </w:rPr>
        <w:t>em face dos</w:t>
      </w:r>
      <w:r w:rsidR="0089298C" w:rsidRPr="002F50BD">
        <w:rPr>
          <w:rFonts w:ascii="Verdana" w:hAnsi="Verdana"/>
          <w:sz w:val="20"/>
          <w:lang w:val="pt-BR"/>
        </w:rPr>
        <w:t xml:space="preserve"> direito</w:t>
      </w:r>
      <w:r w:rsidR="004756C1" w:rsidRPr="002F50BD">
        <w:rPr>
          <w:rFonts w:ascii="Verdana" w:hAnsi="Verdana"/>
          <w:sz w:val="20"/>
          <w:lang w:val="pt-BR"/>
        </w:rPr>
        <w:t>s que</w:t>
      </w:r>
      <w:r w:rsidR="0089298C" w:rsidRPr="002F50BD">
        <w:rPr>
          <w:rFonts w:ascii="Verdana" w:hAnsi="Verdana"/>
          <w:sz w:val="20"/>
          <w:lang w:val="pt-BR"/>
        </w:rPr>
        <w:t xml:space="preserve"> a </w:t>
      </w:r>
      <w:r w:rsidR="004756C1" w:rsidRPr="002F50BD">
        <w:rPr>
          <w:rFonts w:ascii="Verdana" w:hAnsi="Verdana"/>
          <w:sz w:val="20"/>
          <w:lang w:val="pt-BR"/>
        </w:rPr>
        <w:t>legisla</w:t>
      </w:r>
      <w:r w:rsidR="0089298C" w:rsidRPr="002F50BD">
        <w:rPr>
          <w:rFonts w:ascii="Verdana" w:hAnsi="Verdana"/>
          <w:sz w:val="20"/>
          <w:lang w:val="pt-BR"/>
        </w:rPr>
        <w:t>ção</w:t>
      </w:r>
      <w:r w:rsidR="004756C1" w:rsidRPr="002F50BD">
        <w:rPr>
          <w:rFonts w:ascii="Verdana" w:hAnsi="Verdana"/>
          <w:sz w:val="20"/>
          <w:lang w:val="pt-BR"/>
        </w:rPr>
        <w:t xml:space="preserve"> nacional re</w:t>
      </w:r>
      <w:r w:rsidR="0089298C" w:rsidRPr="002F50BD">
        <w:rPr>
          <w:rFonts w:ascii="Verdana" w:hAnsi="Verdana"/>
          <w:sz w:val="20"/>
          <w:lang w:val="pt-BR"/>
        </w:rPr>
        <w:t xml:space="preserve">conhece e </w:t>
      </w:r>
      <w:r w:rsidR="004756C1" w:rsidRPr="002F50BD">
        <w:rPr>
          <w:rFonts w:ascii="Verdana" w:hAnsi="Verdana"/>
          <w:sz w:val="20"/>
          <w:lang w:val="pt-BR"/>
        </w:rPr>
        <w:t>protege</w:t>
      </w:r>
      <w:r w:rsidR="0089298C" w:rsidRPr="002F50BD">
        <w:rPr>
          <w:rFonts w:ascii="Verdana" w:hAnsi="Verdana"/>
          <w:sz w:val="20"/>
          <w:lang w:val="pt-BR"/>
        </w:rPr>
        <w:t xml:space="preserve"> com a propriedade</w:t>
      </w:r>
      <w:r w:rsidR="004756C1" w:rsidRPr="002F50BD">
        <w:rPr>
          <w:rFonts w:ascii="Verdana" w:hAnsi="Verdana"/>
          <w:sz w:val="20"/>
          <w:lang w:val="pt-BR"/>
        </w:rPr>
        <w:t xml:space="preserve"> privada, </w:t>
      </w:r>
      <w:r w:rsidR="0089298C" w:rsidRPr="002F50BD">
        <w:rPr>
          <w:rFonts w:ascii="Verdana" w:hAnsi="Verdana"/>
          <w:sz w:val="20"/>
          <w:lang w:val="pt-BR"/>
        </w:rPr>
        <w:t>cujo</w:t>
      </w:r>
      <w:r w:rsidR="004756C1" w:rsidRPr="002F50BD">
        <w:rPr>
          <w:rFonts w:ascii="Verdana" w:hAnsi="Verdana"/>
          <w:sz w:val="20"/>
          <w:lang w:val="pt-BR"/>
        </w:rPr>
        <w:t xml:space="preserve">s titulares, </w:t>
      </w:r>
      <w:r w:rsidRPr="002F50BD">
        <w:rPr>
          <w:rFonts w:ascii="Verdana" w:hAnsi="Verdana"/>
          <w:sz w:val="20"/>
          <w:lang w:val="pt-BR"/>
        </w:rPr>
        <w:t xml:space="preserve">em conformidade com </w:t>
      </w:r>
      <w:r w:rsidR="0089298C" w:rsidRPr="002F50BD">
        <w:rPr>
          <w:rFonts w:ascii="Verdana" w:hAnsi="Verdana"/>
          <w:sz w:val="20"/>
          <w:lang w:val="pt-BR"/>
        </w:rPr>
        <w:t>os procedimento</w:t>
      </w:r>
      <w:r w:rsidR="004756C1" w:rsidRPr="002F50BD">
        <w:rPr>
          <w:rFonts w:ascii="Verdana" w:hAnsi="Verdana"/>
          <w:sz w:val="20"/>
          <w:lang w:val="pt-BR"/>
        </w:rPr>
        <w:t>s administrativos</w:t>
      </w:r>
      <w:r w:rsidR="0089298C" w:rsidRPr="002F50BD">
        <w:rPr>
          <w:rFonts w:ascii="Verdana" w:hAnsi="Verdana"/>
          <w:sz w:val="20"/>
          <w:lang w:val="pt-BR"/>
        </w:rPr>
        <w:t xml:space="preserve"> e judiciais</w:t>
      </w:r>
      <w:r w:rsidRPr="002F50BD">
        <w:rPr>
          <w:rFonts w:ascii="Verdana" w:hAnsi="Verdana"/>
          <w:sz w:val="20"/>
          <w:lang w:val="pt-BR"/>
        </w:rPr>
        <w:t xml:space="preserve">, defenderam e obtiveram </w:t>
      </w:r>
      <w:r w:rsidR="0089298C" w:rsidRPr="002F50BD">
        <w:rPr>
          <w:rFonts w:ascii="Verdana" w:hAnsi="Verdana"/>
          <w:sz w:val="20"/>
          <w:lang w:val="pt-BR"/>
        </w:rPr>
        <w:t>proteção</w:t>
      </w:r>
      <w:r w:rsidR="006603BE" w:rsidRPr="002F50BD">
        <w:rPr>
          <w:rFonts w:ascii="Verdana" w:hAnsi="Verdana"/>
          <w:sz w:val="20"/>
          <w:lang w:val="pt-BR"/>
        </w:rPr>
        <w:t xml:space="preserve"> jurisdic</w:t>
      </w:r>
      <w:r w:rsidR="004756C1" w:rsidRPr="002F50BD">
        <w:rPr>
          <w:rFonts w:ascii="Verdana" w:hAnsi="Verdana"/>
          <w:sz w:val="20"/>
          <w:lang w:val="pt-BR"/>
        </w:rPr>
        <w:t>ional</w:t>
      </w:r>
      <w:r w:rsidR="0089298C" w:rsidRPr="002F50BD">
        <w:rPr>
          <w:rFonts w:ascii="Verdana" w:hAnsi="Verdana"/>
          <w:sz w:val="20"/>
          <w:lang w:val="pt-BR"/>
        </w:rPr>
        <w:t xml:space="preserve"> no direito</w:t>
      </w:r>
      <w:r w:rsidR="004756C1" w:rsidRPr="002F50BD">
        <w:rPr>
          <w:rFonts w:ascii="Verdana" w:hAnsi="Verdana"/>
          <w:sz w:val="20"/>
          <w:lang w:val="pt-BR"/>
        </w:rPr>
        <w:t xml:space="preserve"> interno;</w:t>
      </w:r>
    </w:p>
    <w:p w:rsidR="004756C1" w:rsidRPr="002F50BD" w:rsidRDefault="004756C1">
      <w:pPr>
        <w:tabs>
          <w:tab w:val="left" w:pos="1080"/>
        </w:tabs>
        <w:ind w:left="720"/>
        <w:jc w:val="both"/>
        <w:rPr>
          <w:rFonts w:ascii="Verdana" w:hAnsi="Verdana"/>
          <w:sz w:val="20"/>
          <w:lang w:val="pt-BR"/>
        </w:rPr>
      </w:pPr>
    </w:p>
    <w:p w:rsidR="004756C1" w:rsidRPr="002F50BD" w:rsidRDefault="00AB6727">
      <w:pPr>
        <w:numPr>
          <w:ilvl w:val="0"/>
          <w:numId w:val="24"/>
        </w:numPr>
        <w:tabs>
          <w:tab w:val="left" w:pos="1080"/>
        </w:tabs>
        <w:ind w:left="720"/>
        <w:jc w:val="both"/>
        <w:rPr>
          <w:rFonts w:ascii="Verdana" w:hAnsi="Verdana"/>
          <w:sz w:val="20"/>
          <w:lang w:val="pt-BR"/>
        </w:rPr>
      </w:pPr>
      <w:r w:rsidRPr="002F50BD">
        <w:rPr>
          <w:rFonts w:ascii="Verdana" w:hAnsi="Verdana"/>
          <w:sz w:val="20"/>
          <w:lang w:val="pt-BR"/>
        </w:rPr>
        <w:t xml:space="preserve">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pretend</w:t>
      </w:r>
      <w:r w:rsidR="00FF3563" w:rsidRPr="002F50BD">
        <w:rPr>
          <w:rFonts w:ascii="Verdana" w:hAnsi="Verdana"/>
          <w:sz w:val="20"/>
          <w:lang w:val="pt-BR"/>
        </w:rPr>
        <w:t>eram</w:t>
      </w:r>
      <w:r w:rsidR="0089298C" w:rsidRPr="002F50BD">
        <w:rPr>
          <w:rFonts w:ascii="Verdana" w:hAnsi="Verdana"/>
          <w:sz w:val="20"/>
          <w:lang w:val="pt-BR"/>
        </w:rPr>
        <w:t xml:space="preserve"> fazer </w:t>
      </w:r>
      <w:r w:rsidR="004756C1" w:rsidRPr="002F50BD">
        <w:rPr>
          <w:rFonts w:ascii="Verdana" w:hAnsi="Verdana"/>
          <w:sz w:val="20"/>
          <w:lang w:val="pt-BR"/>
        </w:rPr>
        <w:t>valer</w:t>
      </w:r>
      <w:r w:rsidR="0089298C" w:rsidRPr="002F50BD">
        <w:rPr>
          <w:rFonts w:ascii="Verdana" w:hAnsi="Verdana"/>
          <w:sz w:val="20"/>
          <w:lang w:val="pt-BR"/>
        </w:rPr>
        <w:t xml:space="preserve"> uma </w:t>
      </w:r>
      <w:r w:rsidR="00A50140" w:rsidRPr="002F50BD">
        <w:rPr>
          <w:rFonts w:ascii="Verdana" w:hAnsi="Verdana"/>
          <w:sz w:val="20"/>
          <w:lang w:val="pt-BR"/>
        </w:rPr>
        <w:t>posse</w:t>
      </w:r>
      <w:r w:rsidR="004756C1" w:rsidRPr="002F50BD">
        <w:rPr>
          <w:rFonts w:ascii="Verdana" w:hAnsi="Verdana"/>
          <w:sz w:val="20"/>
          <w:lang w:val="pt-BR"/>
        </w:rPr>
        <w:t xml:space="preserve"> hist</w:t>
      </w:r>
      <w:r w:rsidR="00FF3563" w:rsidRPr="002F50BD">
        <w:rPr>
          <w:rFonts w:ascii="Verdana" w:hAnsi="Verdana"/>
          <w:sz w:val="20"/>
          <w:lang w:val="pt-BR"/>
        </w:rPr>
        <w:t>o</w:t>
      </w:r>
      <w:r w:rsidR="004756C1" w:rsidRPr="002F50BD">
        <w:rPr>
          <w:rFonts w:ascii="Verdana" w:hAnsi="Verdana"/>
          <w:sz w:val="20"/>
          <w:lang w:val="pt-BR"/>
        </w:rPr>
        <w:t>ricamente re</w:t>
      </w:r>
      <w:r w:rsidR="00AB454A" w:rsidRPr="002F50BD">
        <w:rPr>
          <w:rFonts w:ascii="Verdana" w:hAnsi="Verdana"/>
          <w:sz w:val="20"/>
          <w:lang w:val="pt-BR"/>
        </w:rPr>
        <w:t>conheci</w:t>
      </w:r>
      <w:r w:rsidR="004756C1" w:rsidRPr="002F50BD">
        <w:rPr>
          <w:rFonts w:ascii="Verdana" w:hAnsi="Verdana"/>
          <w:sz w:val="20"/>
          <w:lang w:val="pt-BR"/>
        </w:rPr>
        <w:t xml:space="preserve">da, </w:t>
      </w:r>
      <w:r w:rsidR="0089298C" w:rsidRPr="002F50BD">
        <w:rPr>
          <w:rFonts w:ascii="Verdana" w:hAnsi="Verdana"/>
          <w:sz w:val="20"/>
          <w:lang w:val="pt-BR"/>
        </w:rPr>
        <w:t>mas</w:t>
      </w:r>
      <w:r w:rsidR="004756C1" w:rsidRPr="002F50BD">
        <w:rPr>
          <w:rFonts w:ascii="Verdana" w:hAnsi="Verdana"/>
          <w:sz w:val="20"/>
          <w:lang w:val="pt-BR"/>
        </w:rPr>
        <w:t xml:space="preserve"> que </w:t>
      </w:r>
      <w:r w:rsidR="0089298C" w:rsidRPr="002F50BD">
        <w:rPr>
          <w:rFonts w:ascii="Verdana" w:hAnsi="Verdana"/>
          <w:sz w:val="20"/>
          <w:lang w:val="pt-BR"/>
        </w:rPr>
        <w:t>juridicamente</w:t>
      </w:r>
      <w:r w:rsidR="004756C1" w:rsidRPr="002F50BD">
        <w:rPr>
          <w:rFonts w:ascii="Verdana" w:hAnsi="Verdana"/>
          <w:sz w:val="20"/>
          <w:lang w:val="pt-BR"/>
        </w:rPr>
        <w:t xml:space="preserve"> </w:t>
      </w:r>
      <w:r w:rsidR="0089298C" w:rsidRPr="002F50BD">
        <w:rPr>
          <w:rFonts w:ascii="Verdana" w:hAnsi="Verdana"/>
          <w:sz w:val="20"/>
          <w:lang w:val="pt-BR"/>
        </w:rPr>
        <w:t>estava</w:t>
      </w:r>
      <w:r w:rsidR="004756C1" w:rsidRPr="002F50BD">
        <w:rPr>
          <w:rFonts w:ascii="Verdana" w:hAnsi="Verdana"/>
          <w:sz w:val="20"/>
          <w:lang w:val="pt-BR"/>
        </w:rPr>
        <w:t xml:space="preserve"> </w:t>
      </w:r>
      <w:r w:rsidR="0089298C" w:rsidRPr="002F50BD">
        <w:rPr>
          <w:rFonts w:ascii="Verdana" w:hAnsi="Verdana"/>
          <w:sz w:val="20"/>
          <w:lang w:val="pt-BR"/>
        </w:rPr>
        <w:t>sendo</w:t>
      </w:r>
      <w:r w:rsidR="004756C1" w:rsidRPr="002F50BD">
        <w:rPr>
          <w:rFonts w:ascii="Verdana" w:hAnsi="Verdana"/>
          <w:sz w:val="20"/>
          <w:lang w:val="pt-BR"/>
        </w:rPr>
        <w:t xml:space="preserve"> mal </w:t>
      </w:r>
      <w:r w:rsidR="0095109B" w:rsidRPr="002F50BD">
        <w:rPr>
          <w:rFonts w:ascii="Verdana" w:hAnsi="Verdana"/>
          <w:sz w:val="20"/>
          <w:lang w:val="pt-BR"/>
        </w:rPr>
        <w:t>colocada</w:t>
      </w:r>
      <w:r w:rsidR="00DB51F0" w:rsidRPr="002F50BD">
        <w:rPr>
          <w:rFonts w:ascii="Verdana" w:hAnsi="Verdana"/>
          <w:sz w:val="20"/>
          <w:lang w:val="pt-BR"/>
        </w:rPr>
        <w:t xml:space="preserve">. 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foram</w:t>
      </w:r>
      <w:r w:rsidR="004756C1" w:rsidRPr="002F50BD">
        <w:rPr>
          <w:rFonts w:ascii="Verdana" w:hAnsi="Verdana"/>
          <w:sz w:val="20"/>
          <w:lang w:val="pt-BR"/>
        </w:rPr>
        <w:t xml:space="preserve"> objeto de manipula</w:t>
      </w:r>
      <w:r w:rsidR="0089298C" w:rsidRPr="002F50BD">
        <w:rPr>
          <w:rFonts w:ascii="Verdana" w:hAnsi="Verdana"/>
          <w:sz w:val="20"/>
          <w:lang w:val="pt-BR"/>
        </w:rPr>
        <w:t>ção</w:t>
      </w:r>
      <w:r w:rsidR="004756C1" w:rsidRPr="002F50BD">
        <w:rPr>
          <w:rFonts w:ascii="Verdana" w:hAnsi="Verdana"/>
          <w:sz w:val="20"/>
          <w:lang w:val="pt-BR"/>
        </w:rPr>
        <w:t xml:space="preserve"> </w:t>
      </w:r>
      <w:r w:rsidR="00FF3563" w:rsidRPr="002F50BD">
        <w:rPr>
          <w:rFonts w:ascii="Verdana" w:hAnsi="Verdana"/>
          <w:sz w:val="20"/>
          <w:lang w:val="pt-BR"/>
        </w:rPr>
        <w:t xml:space="preserve">para </w:t>
      </w:r>
      <w:r w:rsidR="0089298C" w:rsidRPr="002F50BD">
        <w:rPr>
          <w:rFonts w:ascii="Verdana" w:hAnsi="Verdana"/>
          <w:sz w:val="20"/>
          <w:lang w:val="pt-BR"/>
        </w:rPr>
        <w:t>obter</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s, </w:t>
      </w:r>
      <w:r w:rsidR="0095109B" w:rsidRPr="002F50BD">
        <w:rPr>
          <w:rFonts w:ascii="Verdana" w:hAnsi="Verdana"/>
          <w:sz w:val="20"/>
          <w:lang w:val="pt-BR"/>
        </w:rPr>
        <w:t>os quais</w:t>
      </w:r>
      <w:r w:rsidR="0089298C" w:rsidRPr="002F50BD">
        <w:rPr>
          <w:rFonts w:ascii="Verdana" w:hAnsi="Verdana"/>
          <w:sz w:val="20"/>
          <w:lang w:val="pt-BR"/>
        </w:rPr>
        <w:t xml:space="preserve"> o </w:t>
      </w:r>
      <w:r w:rsidR="004756C1" w:rsidRPr="002F50BD">
        <w:rPr>
          <w:rFonts w:ascii="Verdana" w:hAnsi="Verdana"/>
          <w:sz w:val="20"/>
          <w:lang w:val="pt-BR"/>
        </w:rPr>
        <w:t>Estado re</w:t>
      </w:r>
      <w:r w:rsidR="0089298C" w:rsidRPr="002F50BD">
        <w:rPr>
          <w:rFonts w:ascii="Verdana" w:hAnsi="Verdana"/>
          <w:sz w:val="20"/>
          <w:lang w:val="pt-BR"/>
        </w:rPr>
        <w:t>conhece expressa</w:t>
      </w:r>
      <w:r w:rsidR="004756C1" w:rsidRPr="002F50BD">
        <w:rPr>
          <w:rFonts w:ascii="Verdana" w:hAnsi="Verdana"/>
          <w:sz w:val="20"/>
          <w:lang w:val="pt-BR"/>
        </w:rPr>
        <w:t xml:space="preserve">mente, </w:t>
      </w:r>
      <w:r w:rsidR="0089298C" w:rsidRPr="002F50BD">
        <w:rPr>
          <w:rFonts w:ascii="Verdana" w:hAnsi="Verdana"/>
          <w:sz w:val="20"/>
          <w:lang w:val="pt-BR"/>
        </w:rPr>
        <w:t>mas</w:t>
      </w:r>
      <w:r w:rsidR="004756C1" w:rsidRPr="002F50BD">
        <w:rPr>
          <w:rFonts w:ascii="Verdana" w:hAnsi="Verdana"/>
          <w:sz w:val="20"/>
          <w:lang w:val="pt-BR"/>
        </w:rPr>
        <w:t xml:space="preserve"> que </w:t>
      </w:r>
      <w:r w:rsidR="0089298C" w:rsidRPr="002F50BD">
        <w:rPr>
          <w:rFonts w:ascii="Verdana" w:hAnsi="Verdana"/>
          <w:sz w:val="20"/>
          <w:lang w:val="pt-BR"/>
        </w:rPr>
        <w:t>devem</w:t>
      </w:r>
      <w:r w:rsidR="004756C1" w:rsidRPr="002F50BD">
        <w:rPr>
          <w:rFonts w:ascii="Verdana" w:hAnsi="Verdana"/>
          <w:sz w:val="20"/>
          <w:lang w:val="pt-BR"/>
        </w:rPr>
        <w:t xml:space="preserve"> ser </w:t>
      </w:r>
      <w:r w:rsidR="0089298C" w:rsidRPr="002F50BD">
        <w:rPr>
          <w:rFonts w:ascii="Verdana" w:hAnsi="Verdana"/>
          <w:sz w:val="20"/>
          <w:lang w:val="pt-BR"/>
        </w:rPr>
        <w:t>arguído</w:t>
      </w:r>
      <w:r w:rsidR="004756C1" w:rsidRPr="002F50BD">
        <w:rPr>
          <w:rFonts w:ascii="Verdana" w:hAnsi="Verdana"/>
          <w:sz w:val="20"/>
          <w:lang w:val="pt-BR"/>
        </w:rPr>
        <w:t>s sobre bases jurídicas</w:t>
      </w:r>
      <w:r w:rsidR="0089298C" w:rsidRPr="002F50BD">
        <w:rPr>
          <w:rFonts w:ascii="Verdana" w:hAnsi="Verdana"/>
          <w:sz w:val="20"/>
          <w:lang w:val="pt-BR"/>
        </w:rPr>
        <w:t xml:space="preserve"> e </w:t>
      </w:r>
      <w:r w:rsidR="004756C1" w:rsidRPr="002F50BD">
        <w:rPr>
          <w:rFonts w:ascii="Verdana" w:hAnsi="Verdana"/>
          <w:sz w:val="20"/>
          <w:lang w:val="pt-BR"/>
        </w:rPr>
        <w:t>antecedentes de</w:t>
      </w:r>
      <w:r w:rsidR="0089298C" w:rsidRPr="002F50BD">
        <w:rPr>
          <w:rFonts w:ascii="Verdana" w:hAnsi="Verdana"/>
          <w:sz w:val="20"/>
          <w:lang w:val="pt-BR"/>
        </w:rPr>
        <w:t xml:space="preserve"> fato e </w:t>
      </w:r>
      <w:r w:rsidR="004756C1" w:rsidRPr="002F50BD">
        <w:rPr>
          <w:rFonts w:ascii="Verdana" w:hAnsi="Verdana"/>
          <w:sz w:val="20"/>
          <w:lang w:val="pt-BR"/>
        </w:rPr>
        <w:t xml:space="preserve">de </w:t>
      </w:r>
      <w:r w:rsidR="0089298C" w:rsidRPr="002F50BD">
        <w:rPr>
          <w:rFonts w:ascii="Verdana" w:hAnsi="Verdana"/>
          <w:sz w:val="20"/>
          <w:lang w:val="pt-BR"/>
        </w:rPr>
        <w:t>direito</w:t>
      </w:r>
      <w:r w:rsidR="004756C1" w:rsidRPr="002F50BD">
        <w:rPr>
          <w:rFonts w:ascii="Verdana" w:hAnsi="Verdana"/>
          <w:sz w:val="20"/>
          <w:lang w:val="pt-BR"/>
        </w:rPr>
        <w:t xml:space="preserve"> razoa</w:t>
      </w:r>
      <w:r w:rsidR="0089298C" w:rsidRPr="002F50BD">
        <w:rPr>
          <w:rFonts w:ascii="Verdana" w:hAnsi="Verdana"/>
          <w:sz w:val="20"/>
          <w:lang w:val="pt-BR"/>
        </w:rPr>
        <w:t xml:space="preserve">velmente </w:t>
      </w:r>
      <w:r w:rsidR="004756C1" w:rsidRPr="002F50BD">
        <w:rPr>
          <w:rFonts w:ascii="Verdana" w:hAnsi="Verdana"/>
          <w:sz w:val="20"/>
          <w:lang w:val="pt-BR"/>
        </w:rPr>
        <w:t>funda</w:t>
      </w:r>
      <w:r w:rsidR="0095109B" w:rsidRPr="002F50BD">
        <w:rPr>
          <w:rFonts w:ascii="Verdana" w:hAnsi="Verdana"/>
          <w:sz w:val="20"/>
          <w:lang w:val="pt-BR"/>
        </w:rPr>
        <w:t>menta</w:t>
      </w:r>
      <w:r w:rsidR="004756C1" w:rsidRPr="002F50BD">
        <w:rPr>
          <w:rFonts w:ascii="Verdana" w:hAnsi="Verdana"/>
          <w:sz w:val="20"/>
          <w:lang w:val="pt-BR"/>
        </w:rPr>
        <w:t>dos;</w:t>
      </w:r>
    </w:p>
    <w:p w:rsidR="004756C1" w:rsidRPr="002F50BD" w:rsidRDefault="004756C1">
      <w:pPr>
        <w:tabs>
          <w:tab w:val="left" w:pos="1080"/>
        </w:tabs>
        <w:ind w:left="720"/>
        <w:jc w:val="both"/>
        <w:rPr>
          <w:rFonts w:ascii="Verdana" w:hAnsi="Verdana"/>
          <w:sz w:val="20"/>
          <w:lang w:val="pt-BR"/>
        </w:rPr>
      </w:pPr>
    </w:p>
    <w:p w:rsidR="004756C1" w:rsidRPr="002F50BD" w:rsidRDefault="006603BE">
      <w:pPr>
        <w:numPr>
          <w:ilvl w:val="0"/>
          <w:numId w:val="24"/>
        </w:numPr>
        <w:tabs>
          <w:tab w:val="left" w:pos="1080"/>
        </w:tabs>
        <w:ind w:left="720"/>
        <w:jc w:val="both"/>
        <w:rPr>
          <w:rFonts w:ascii="Verdana" w:hAnsi="Verdana"/>
          <w:sz w:val="20"/>
          <w:lang w:val="pt-BR"/>
        </w:rPr>
      </w:pPr>
      <w:r w:rsidRPr="002F50BD">
        <w:rPr>
          <w:rFonts w:ascii="Verdana" w:hAnsi="Verdana"/>
          <w:sz w:val="20"/>
          <w:lang w:val="pt-BR"/>
        </w:rPr>
        <w:t>Devia ser discutid</w:t>
      </w:r>
      <w:r w:rsidR="00FF3563" w:rsidRPr="002F50BD">
        <w:rPr>
          <w:rFonts w:ascii="Verdana" w:hAnsi="Verdana"/>
          <w:sz w:val="20"/>
          <w:lang w:val="pt-BR"/>
        </w:rPr>
        <w:t xml:space="preserve">o </w:t>
      </w:r>
      <w:r w:rsidR="0089298C" w:rsidRPr="002F50BD">
        <w:rPr>
          <w:rFonts w:ascii="Verdana" w:hAnsi="Verdana"/>
          <w:sz w:val="20"/>
          <w:lang w:val="pt-BR"/>
        </w:rPr>
        <w:t>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ancestral</w:t>
      </w:r>
      <w:r w:rsidR="0089298C" w:rsidRPr="002F50BD">
        <w:rPr>
          <w:rFonts w:ascii="Verdana" w:hAnsi="Verdana"/>
          <w:sz w:val="20"/>
          <w:lang w:val="pt-BR"/>
        </w:rPr>
        <w:t xml:space="preserve"> </w:t>
      </w:r>
      <w:r w:rsidR="00FF3563" w:rsidRPr="002F50BD">
        <w:rPr>
          <w:rFonts w:ascii="Verdana" w:hAnsi="Verdana"/>
          <w:sz w:val="20"/>
          <w:lang w:val="pt-BR"/>
        </w:rPr>
        <w:t>no</w:t>
      </w:r>
      <w:r w:rsidR="0089298C" w:rsidRPr="002F50BD">
        <w:rPr>
          <w:rFonts w:ascii="Verdana" w:hAnsi="Verdana"/>
          <w:sz w:val="20"/>
          <w:lang w:val="pt-BR"/>
        </w:rPr>
        <w:t xml:space="preserve"> juízo</w:t>
      </w:r>
      <w:r w:rsidR="004756C1" w:rsidRPr="002F50BD">
        <w:rPr>
          <w:rFonts w:ascii="Verdana" w:hAnsi="Verdana"/>
          <w:sz w:val="20"/>
          <w:lang w:val="pt-BR"/>
        </w:rPr>
        <w:t xml:space="preserve"> </w:t>
      </w:r>
      <w:r w:rsidR="0089298C" w:rsidRPr="002F50BD">
        <w:rPr>
          <w:rFonts w:ascii="Verdana" w:hAnsi="Verdana"/>
          <w:sz w:val="20"/>
          <w:lang w:val="pt-BR"/>
        </w:rPr>
        <w:t>ordinári</w:t>
      </w:r>
      <w:r w:rsidR="004756C1" w:rsidRPr="002F50BD">
        <w:rPr>
          <w:rFonts w:ascii="Verdana" w:hAnsi="Verdana"/>
          <w:sz w:val="20"/>
          <w:lang w:val="pt-BR"/>
        </w:rPr>
        <w:t>o, a</w:t>
      </w:r>
      <w:r w:rsidR="0089298C" w:rsidRPr="002F50BD">
        <w:rPr>
          <w:rFonts w:ascii="Verdana" w:hAnsi="Verdana"/>
          <w:sz w:val="20"/>
          <w:lang w:val="pt-BR"/>
        </w:rPr>
        <w:t xml:space="preserve"> fim </w:t>
      </w:r>
      <w:r w:rsidR="004756C1" w:rsidRPr="002F50BD">
        <w:rPr>
          <w:rFonts w:ascii="Verdana" w:hAnsi="Verdana"/>
          <w:sz w:val="20"/>
          <w:lang w:val="pt-BR"/>
        </w:rPr>
        <w:t>de determinar</w:t>
      </w:r>
      <w:r w:rsidR="0089298C" w:rsidRPr="002F50BD">
        <w:rPr>
          <w:rFonts w:ascii="Verdana" w:hAnsi="Verdana"/>
          <w:sz w:val="20"/>
          <w:lang w:val="pt-BR"/>
        </w:rPr>
        <w:t xml:space="preserve"> o melhor</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 pretendido. </w:t>
      </w:r>
      <w:r w:rsidR="0095109B" w:rsidRPr="002F50BD">
        <w:rPr>
          <w:rFonts w:ascii="Verdana" w:hAnsi="Verdana"/>
          <w:sz w:val="20"/>
          <w:lang w:val="pt-BR"/>
        </w:rPr>
        <w:t xml:space="preserve">Se houvesse sido utilizado </w:t>
      </w:r>
      <w:r w:rsidR="0089298C" w:rsidRPr="002F50BD">
        <w:rPr>
          <w:rFonts w:ascii="Verdana" w:hAnsi="Verdana"/>
          <w:sz w:val="20"/>
          <w:lang w:val="pt-BR"/>
        </w:rPr>
        <w:t>o procedimento</w:t>
      </w:r>
      <w:r w:rsidRPr="002F50BD">
        <w:rPr>
          <w:rFonts w:ascii="Verdana" w:hAnsi="Verdana"/>
          <w:sz w:val="20"/>
          <w:lang w:val="pt-BR"/>
        </w:rPr>
        <w:t xml:space="preserve"> corre</w:t>
      </w:r>
      <w:r w:rsidR="004756C1" w:rsidRPr="002F50BD">
        <w:rPr>
          <w:rFonts w:ascii="Verdana" w:hAnsi="Verdana"/>
          <w:sz w:val="20"/>
          <w:lang w:val="pt-BR"/>
        </w:rPr>
        <w:t>to,</w:t>
      </w:r>
      <w:r w:rsidR="0089298C" w:rsidRPr="002F50BD">
        <w:rPr>
          <w:rFonts w:ascii="Verdana" w:hAnsi="Verdana"/>
          <w:sz w:val="20"/>
          <w:lang w:val="pt-BR"/>
        </w:rPr>
        <w:t xml:space="preserve"> o </w:t>
      </w:r>
      <w:r w:rsidR="004756C1" w:rsidRPr="002F50BD">
        <w:rPr>
          <w:rFonts w:ascii="Verdana" w:hAnsi="Verdana"/>
          <w:sz w:val="20"/>
          <w:lang w:val="pt-BR"/>
        </w:rPr>
        <w:t xml:space="preserve">resultado </w:t>
      </w:r>
      <w:r w:rsidR="0089298C" w:rsidRPr="002F50BD">
        <w:rPr>
          <w:rFonts w:ascii="Verdana" w:hAnsi="Verdana"/>
          <w:sz w:val="20"/>
          <w:lang w:val="pt-BR"/>
        </w:rPr>
        <w:t>teria</w:t>
      </w:r>
      <w:r w:rsidR="004756C1" w:rsidRPr="002F50BD">
        <w:rPr>
          <w:rFonts w:ascii="Verdana" w:hAnsi="Verdana"/>
          <w:sz w:val="20"/>
          <w:lang w:val="pt-BR"/>
        </w:rPr>
        <w:t xml:space="preserve"> servido de antecedente jurisprudencial para casos similares de reivindica</w:t>
      </w:r>
      <w:r w:rsidR="0089298C" w:rsidRPr="002F50BD">
        <w:rPr>
          <w:rFonts w:ascii="Verdana" w:hAnsi="Verdana"/>
          <w:sz w:val="20"/>
          <w:lang w:val="pt-BR"/>
        </w:rPr>
        <w:t>ções</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004076AD" w:rsidRPr="002F50BD">
        <w:rPr>
          <w:rFonts w:ascii="Verdana" w:hAnsi="Verdana"/>
          <w:sz w:val="20"/>
          <w:lang w:val="pt-BR"/>
        </w:rPr>
        <w:t>comunitári</w:t>
      </w:r>
      <w:r w:rsidR="004756C1" w:rsidRPr="002F50BD">
        <w:rPr>
          <w:rFonts w:ascii="Verdana" w:hAnsi="Verdana"/>
          <w:sz w:val="20"/>
          <w:lang w:val="pt-BR"/>
        </w:rPr>
        <w:t>as indígenas;</w:t>
      </w:r>
    </w:p>
    <w:p w:rsidR="004756C1" w:rsidRPr="002F50BD" w:rsidRDefault="004756C1">
      <w:pPr>
        <w:tabs>
          <w:tab w:val="left" w:pos="1080"/>
        </w:tabs>
        <w:ind w:left="720"/>
        <w:jc w:val="both"/>
        <w:rPr>
          <w:rFonts w:ascii="Verdana" w:hAnsi="Verdana"/>
          <w:sz w:val="20"/>
          <w:lang w:val="pt-BR"/>
        </w:rPr>
      </w:pPr>
    </w:p>
    <w:p w:rsidR="004756C1" w:rsidRPr="002F50BD" w:rsidRDefault="00FF3563">
      <w:pPr>
        <w:numPr>
          <w:ilvl w:val="0"/>
          <w:numId w:val="24"/>
        </w:numPr>
        <w:tabs>
          <w:tab w:val="left" w:pos="1080"/>
        </w:tabs>
        <w:ind w:left="720"/>
        <w:jc w:val="both"/>
        <w:rPr>
          <w:rFonts w:ascii="Verdana" w:hAnsi="Verdana"/>
          <w:sz w:val="20"/>
          <w:lang w:val="pt-BR"/>
        </w:rPr>
      </w:pPr>
      <w:r w:rsidRPr="002F50BD">
        <w:rPr>
          <w:rFonts w:ascii="Verdana" w:hAnsi="Verdana"/>
          <w:sz w:val="20"/>
          <w:lang w:val="pt-BR"/>
        </w:rPr>
        <w:t>N</w:t>
      </w:r>
      <w:r w:rsidR="004756C1" w:rsidRPr="002F50BD">
        <w:rPr>
          <w:rFonts w:ascii="Verdana" w:hAnsi="Verdana"/>
          <w:sz w:val="20"/>
          <w:lang w:val="pt-BR"/>
        </w:rPr>
        <w:t>unca</w:t>
      </w:r>
      <w:r w:rsidR="0089298C" w:rsidRPr="002F50BD">
        <w:rPr>
          <w:rFonts w:ascii="Verdana" w:hAnsi="Verdana"/>
          <w:sz w:val="20"/>
          <w:lang w:val="pt-BR"/>
        </w:rPr>
        <w:t xml:space="preserve"> foi </w:t>
      </w:r>
      <w:r w:rsidR="004756C1" w:rsidRPr="002F50BD">
        <w:rPr>
          <w:rFonts w:ascii="Verdana" w:hAnsi="Verdana"/>
          <w:sz w:val="20"/>
          <w:lang w:val="pt-BR"/>
        </w:rPr>
        <w:t>controvertida</w:t>
      </w:r>
      <w:r w:rsidR="0089298C" w:rsidRPr="002F50BD">
        <w:rPr>
          <w:rFonts w:ascii="Verdana" w:hAnsi="Verdana"/>
          <w:sz w:val="20"/>
          <w:lang w:val="pt-BR"/>
        </w:rPr>
        <w:t xml:space="preserve"> </w:t>
      </w:r>
      <w:r w:rsidRPr="002F50BD">
        <w:rPr>
          <w:rFonts w:ascii="Verdana" w:hAnsi="Verdana"/>
          <w:sz w:val="20"/>
          <w:lang w:val="pt-BR"/>
        </w:rPr>
        <w:t xml:space="preserve">na esfera </w:t>
      </w:r>
      <w:r w:rsidR="004756C1" w:rsidRPr="002F50BD">
        <w:rPr>
          <w:rFonts w:ascii="Verdana" w:hAnsi="Verdana"/>
          <w:sz w:val="20"/>
          <w:lang w:val="pt-BR"/>
        </w:rPr>
        <w:t>contencios</w:t>
      </w:r>
      <w:r w:rsidR="006603BE" w:rsidRPr="002F50BD">
        <w:rPr>
          <w:rFonts w:ascii="Verdana" w:hAnsi="Verdana"/>
          <w:sz w:val="20"/>
          <w:lang w:val="pt-BR"/>
        </w:rPr>
        <w:t>o</w:t>
      </w:r>
      <w:r w:rsidR="004756C1" w:rsidRPr="002F50BD">
        <w:rPr>
          <w:rFonts w:ascii="Verdana" w:hAnsi="Verdana"/>
          <w:sz w:val="20"/>
          <w:lang w:val="pt-BR"/>
        </w:rPr>
        <w:t>-administrativa</w:t>
      </w:r>
      <w:r w:rsidR="0089298C" w:rsidRPr="002F50BD">
        <w:rPr>
          <w:rFonts w:ascii="Verdana" w:hAnsi="Verdana"/>
          <w:sz w:val="20"/>
          <w:lang w:val="pt-BR"/>
        </w:rPr>
        <w:t xml:space="preserve"> a qualidade </w:t>
      </w:r>
      <w:r w:rsidR="004756C1" w:rsidRPr="002F50BD">
        <w:rPr>
          <w:rFonts w:ascii="Verdana" w:hAnsi="Verdana"/>
          <w:sz w:val="20"/>
          <w:lang w:val="pt-BR"/>
        </w:rPr>
        <w:t xml:space="preserve">de </w:t>
      </w:r>
      <w:r w:rsidR="0089298C" w:rsidRPr="002F50BD">
        <w:rPr>
          <w:rFonts w:ascii="Verdana" w:hAnsi="Verdana"/>
          <w:sz w:val="20"/>
          <w:lang w:val="pt-BR"/>
        </w:rPr>
        <w:t>terra</w:t>
      </w:r>
      <w:r w:rsidR="004756C1" w:rsidRPr="002F50BD">
        <w:rPr>
          <w:rFonts w:ascii="Verdana" w:hAnsi="Verdana"/>
          <w:sz w:val="20"/>
          <w:lang w:val="pt-BR"/>
        </w:rPr>
        <w:t xml:space="preserve">s racionalmente </w:t>
      </w:r>
      <w:r w:rsidR="00475EBB" w:rsidRPr="002F50BD">
        <w:rPr>
          <w:rFonts w:ascii="Verdana" w:hAnsi="Verdana"/>
          <w:sz w:val="20"/>
          <w:lang w:val="pt-BR"/>
        </w:rPr>
        <w:t>explorad</w:t>
      </w:r>
      <w:r w:rsidR="004756C1" w:rsidRPr="002F50BD">
        <w:rPr>
          <w:rFonts w:ascii="Verdana" w:hAnsi="Verdana"/>
          <w:sz w:val="20"/>
          <w:lang w:val="pt-BR"/>
        </w:rPr>
        <w:t xml:space="preserve">as, que </w:t>
      </w:r>
      <w:r w:rsidR="0089298C" w:rsidRPr="002F50BD">
        <w:rPr>
          <w:rFonts w:ascii="Verdana" w:hAnsi="Verdana"/>
          <w:sz w:val="20"/>
          <w:lang w:val="pt-BR"/>
        </w:rPr>
        <w:t>servi</w:t>
      </w:r>
      <w:r w:rsidR="008664AA" w:rsidRPr="002F50BD">
        <w:rPr>
          <w:rFonts w:ascii="Verdana" w:hAnsi="Verdana"/>
          <w:sz w:val="20"/>
          <w:lang w:val="pt-BR"/>
        </w:rPr>
        <w:t>u</w:t>
      </w:r>
      <w:r w:rsidR="0089298C" w:rsidRPr="002F50BD">
        <w:rPr>
          <w:rFonts w:ascii="Verdana" w:hAnsi="Verdana"/>
          <w:sz w:val="20"/>
          <w:lang w:val="pt-BR"/>
        </w:rPr>
        <w:t xml:space="preserve"> </w:t>
      </w:r>
      <w:r w:rsidR="004756C1" w:rsidRPr="002F50BD">
        <w:rPr>
          <w:rFonts w:ascii="Verdana" w:hAnsi="Verdana"/>
          <w:sz w:val="20"/>
          <w:lang w:val="pt-BR"/>
        </w:rPr>
        <w:t>de fundamento para</w:t>
      </w:r>
      <w:r w:rsidR="00951B61">
        <w:rPr>
          <w:rFonts w:ascii="Verdana" w:hAnsi="Verdana"/>
          <w:sz w:val="20"/>
          <w:lang w:val="pt-BR"/>
        </w:rPr>
        <w:t xml:space="preserve"> a rejeição </w:t>
      </w:r>
      <w:r w:rsidR="0089298C" w:rsidRPr="002F50BD">
        <w:rPr>
          <w:rFonts w:ascii="Verdana" w:hAnsi="Verdana"/>
          <w:sz w:val="20"/>
          <w:lang w:val="pt-BR"/>
        </w:rPr>
        <w:t xml:space="preserve">da </w:t>
      </w:r>
      <w:r w:rsidR="00DB51F0" w:rsidRPr="002F50BD">
        <w:rPr>
          <w:rFonts w:ascii="Verdana" w:hAnsi="Verdana"/>
          <w:sz w:val="20"/>
          <w:lang w:val="pt-BR"/>
        </w:rPr>
        <w:t>expropriação</w:t>
      </w:r>
      <w:r w:rsidR="004756C1" w:rsidRPr="002F50BD">
        <w:rPr>
          <w:rFonts w:ascii="Verdana" w:hAnsi="Verdana"/>
          <w:sz w:val="20"/>
          <w:lang w:val="pt-BR"/>
        </w:rPr>
        <w:t xml:space="preserve"> solicitada</w:t>
      </w:r>
      <w:r w:rsidR="0089298C" w:rsidRPr="002F50BD">
        <w:rPr>
          <w:rFonts w:ascii="Verdana" w:hAnsi="Verdana"/>
          <w:sz w:val="20"/>
          <w:lang w:val="pt-BR"/>
        </w:rPr>
        <w:t xml:space="preserve"> pelo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o;</w:t>
      </w:r>
    </w:p>
    <w:p w:rsidR="004756C1" w:rsidRPr="002F50BD" w:rsidDel="004521EC" w:rsidRDefault="004756C1">
      <w:pPr>
        <w:tabs>
          <w:tab w:val="left" w:pos="1080"/>
        </w:tabs>
        <w:ind w:left="720"/>
        <w:jc w:val="both"/>
        <w:rPr>
          <w:rFonts w:ascii="Verdana" w:hAnsi="Verdana"/>
          <w:sz w:val="20"/>
          <w:lang w:val="pt-BR"/>
        </w:rPr>
      </w:pPr>
    </w:p>
    <w:p w:rsidR="004756C1" w:rsidRPr="002F50BD" w:rsidRDefault="00FF3563">
      <w:pPr>
        <w:numPr>
          <w:ilvl w:val="0"/>
          <w:numId w:val="24"/>
        </w:numPr>
        <w:tabs>
          <w:tab w:val="left" w:pos="1080"/>
        </w:tabs>
        <w:ind w:left="720"/>
        <w:jc w:val="both"/>
        <w:rPr>
          <w:rFonts w:ascii="Verdana" w:hAnsi="Verdana"/>
          <w:sz w:val="20"/>
          <w:lang w:val="pt-BR"/>
        </w:rPr>
      </w:pPr>
      <w:r w:rsidRPr="002F50BD">
        <w:rPr>
          <w:rFonts w:ascii="Verdana" w:hAnsi="Verdana"/>
          <w:sz w:val="20"/>
          <w:lang w:val="pt-BR"/>
        </w:rPr>
        <w:t>Nã</w:t>
      </w:r>
      <w:r w:rsidR="004756C1" w:rsidRPr="002F50BD">
        <w:rPr>
          <w:rFonts w:ascii="Verdana" w:hAnsi="Verdana"/>
          <w:sz w:val="20"/>
          <w:lang w:val="pt-BR"/>
        </w:rPr>
        <w:t>o existe disposi</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alguma</w:t>
      </w:r>
      <w:r w:rsidR="004756C1" w:rsidRPr="002F50BD">
        <w:rPr>
          <w:rFonts w:ascii="Verdana" w:hAnsi="Verdana"/>
          <w:sz w:val="20"/>
          <w:lang w:val="pt-BR"/>
        </w:rPr>
        <w:t xml:space="preserve"> que </w:t>
      </w:r>
      <w:r w:rsidRPr="002F50BD">
        <w:rPr>
          <w:rFonts w:ascii="Verdana" w:hAnsi="Verdana"/>
          <w:sz w:val="20"/>
          <w:lang w:val="pt-BR"/>
        </w:rPr>
        <w:t xml:space="preserve">negue ou proíba </w:t>
      </w:r>
      <w:r w:rsidR="004756C1" w:rsidRPr="002F50BD">
        <w:rPr>
          <w:rFonts w:ascii="Verdana" w:hAnsi="Verdana"/>
          <w:sz w:val="20"/>
          <w:lang w:val="pt-BR"/>
        </w:rPr>
        <w:t xml:space="preserve">solicitar </w:t>
      </w:r>
      <w:r w:rsidR="0089298C" w:rsidRPr="002F50BD">
        <w:rPr>
          <w:rFonts w:ascii="Verdana" w:hAnsi="Verdana"/>
          <w:sz w:val="20"/>
          <w:lang w:val="pt-BR"/>
        </w:rPr>
        <w:t>nova</w:t>
      </w:r>
      <w:r w:rsidR="004756C1" w:rsidRPr="002F50BD">
        <w:rPr>
          <w:rFonts w:ascii="Verdana" w:hAnsi="Verdana"/>
          <w:sz w:val="20"/>
          <w:lang w:val="pt-BR"/>
        </w:rPr>
        <w:t>mente</w:t>
      </w:r>
      <w:r w:rsidR="0089298C" w:rsidRPr="002F50BD">
        <w:rPr>
          <w:rFonts w:ascii="Verdana" w:hAnsi="Verdana"/>
          <w:sz w:val="20"/>
          <w:lang w:val="pt-BR"/>
        </w:rPr>
        <w:t xml:space="preserve"> ao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9298C" w:rsidRPr="002F50BD">
        <w:rPr>
          <w:rFonts w:ascii="Verdana" w:hAnsi="Verdana"/>
          <w:sz w:val="20"/>
          <w:lang w:val="pt-BR"/>
        </w:rPr>
        <w:t>do imóvel</w:t>
      </w:r>
      <w:r w:rsidR="004756C1" w:rsidRPr="002F50BD">
        <w:rPr>
          <w:rFonts w:ascii="Verdana" w:hAnsi="Verdana"/>
          <w:sz w:val="20"/>
          <w:lang w:val="pt-BR"/>
        </w:rPr>
        <w:t xml:space="preserve"> reclamado</w:t>
      </w:r>
      <w:r w:rsidR="0089298C" w:rsidRPr="002F50BD">
        <w:rPr>
          <w:rFonts w:ascii="Verdana" w:hAnsi="Verdana"/>
          <w:sz w:val="20"/>
          <w:lang w:val="pt-BR"/>
        </w:rPr>
        <w:t xml:space="preserve"> pela Comunidad</w:t>
      </w:r>
      <w:r w:rsidRPr="002F50BD">
        <w:rPr>
          <w:rFonts w:ascii="Verdana" w:hAnsi="Verdana"/>
          <w:sz w:val="20"/>
          <w:lang w:val="pt-BR"/>
        </w:rPr>
        <w:t xml:space="preserve">e </w:t>
      </w:r>
      <w:r w:rsidR="0089298C" w:rsidRPr="002F50BD">
        <w:rPr>
          <w:rFonts w:ascii="Verdana" w:hAnsi="Verdana"/>
          <w:sz w:val="20"/>
          <w:lang w:val="pt-BR"/>
        </w:rPr>
        <w:t>o</w:t>
      </w:r>
      <w:r w:rsidRPr="002F50BD">
        <w:rPr>
          <w:rFonts w:ascii="Verdana" w:hAnsi="Verdana"/>
          <w:sz w:val="20"/>
          <w:lang w:val="pt-BR"/>
        </w:rPr>
        <w:t>u</w:t>
      </w:r>
      <w:r w:rsidR="0089298C" w:rsidRPr="002F50BD">
        <w:rPr>
          <w:rFonts w:ascii="Verdana" w:hAnsi="Verdana"/>
          <w:sz w:val="20"/>
          <w:lang w:val="pt-BR"/>
        </w:rPr>
        <w:t xml:space="preserve"> qualquer outro imóvel</w:t>
      </w:r>
      <w:r w:rsidR="004756C1" w:rsidRPr="002F50BD">
        <w:rPr>
          <w:rFonts w:ascii="Verdana" w:hAnsi="Verdana"/>
          <w:sz w:val="20"/>
          <w:lang w:val="pt-BR"/>
        </w:rPr>
        <w:t xml:space="preserve">, </w:t>
      </w:r>
      <w:r w:rsidR="00EF5257" w:rsidRPr="002F50BD">
        <w:rPr>
          <w:rFonts w:ascii="Verdana" w:hAnsi="Verdana"/>
          <w:sz w:val="20"/>
          <w:lang w:val="pt-BR"/>
        </w:rPr>
        <w:t>sobretudo</w:t>
      </w:r>
      <w:r w:rsidRPr="002F50BD">
        <w:rPr>
          <w:rFonts w:ascii="Verdana" w:hAnsi="Verdana"/>
          <w:sz w:val="20"/>
          <w:lang w:val="pt-BR"/>
        </w:rPr>
        <w:t xml:space="preserve"> </w:t>
      </w:r>
      <w:r w:rsidR="004756C1" w:rsidRPr="002F50BD">
        <w:rPr>
          <w:rFonts w:ascii="Verdana" w:hAnsi="Verdana"/>
          <w:sz w:val="20"/>
          <w:lang w:val="pt-BR"/>
        </w:rPr>
        <w:t>considerando que</w:t>
      </w:r>
      <w:r w:rsidR="0089298C" w:rsidRPr="002F50BD">
        <w:rPr>
          <w:rFonts w:ascii="Verdana" w:hAnsi="Verdana"/>
          <w:sz w:val="20"/>
          <w:lang w:val="pt-BR"/>
        </w:rPr>
        <w:t xml:space="preserve"> a </w:t>
      </w:r>
      <w:r w:rsidR="004756C1" w:rsidRPr="002F50BD">
        <w:rPr>
          <w:rFonts w:ascii="Verdana" w:hAnsi="Verdana"/>
          <w:sz w:val="20"/>
          <w:lang w:val="pt-BR"/>
        </w:rPr>
        <w:t>denegat</w:t>
      </w:r>
      <w:r w:rsidRPr="002F50BD">
        <w:rPr>
          <w:rFonts w:ascii="Verdana" w:hAnsi="Verdana"/>
          <w:sz w:val="20"/>
          <w:lang w:val="pt-BR"/>
        </w:rPr>
        <w:t>ó</w:t>
      </w:r>
      <w:r w:rsidR="004756C1" w:rsidRPr="002F50BD">
        <w:rPr>
          <w:rFonts w:ascii="Verdana" w:hAnsi="Verdana"/>
          <w:sz w:val="20"/>
          <w:lang w:val="pt-BR"/>
        </w:rPr>
        <w:t xml:space="preserve">ria de </w:t>
      </w:r>
      <w:r w:rsidR="00DB51F0" w:rsidRPr="002F50BD">
        <w:rPr>
          <w:rFonts w:ascii="Verdana" w:hAnsi="Verdana"/>
          <w:sz w:val="20"/>
          <w:lang w:val="pt-BR"/>
        </w:rPr>
        <w:t>expropriação</w:t>
      </w:r>
      <w:r w:rsidR="004756C1" w:rsidRPr="002F50BD">
        <w:rPr>
          <w:rFonts w:ascii="Verdana" w:hAnsi="Verdana"/>
          <w:sz w:val="20"/>
          <w:lang w:val="pt-BR"/>
        </w:rPr>
        <w:t xml:space="preserve"> se </w:t>
      </w:r>
      <w:r w:rsidR="0089298C" w:rsidRPr="002F50BD">
        <w:rPr>
          <w:rFonts w:ascii="Verdana" w:hAnsi="Verdana"/>
          <w:sz w:val="20"/>
          <w:lang w:val="pt-BR"/>
        </w:rPr>
        <w:t xml:space="preserve">produziu em um </w:t>
      </w:r>
      <w:r w:rsidR="004756C1" w:rsidRPr="002F50BD">
        <w:rPr>
          <w:rFonts w:ascii="Verdana" w:hAnsi="Verdana"/>
          <w:sz w:val="20"/>
          <w:lang w:val="pt-BR"/>
        </w:rPr>
        <w:t>período parlamentar anterior;</w:t>
      </w:r>
    </w:p>
    <w:p w:rsidR="004756C1" w:rsidRPr="002F50BD" w:rsidDel="004521EC" w:rsidRDefault="004756C1">
      <w:pPr>
        <w:tabs>
          <w:tab w:val="left" w:pos="1080"/>
        </w:tabs>
        <w:ind w:left="720"/>
        <w:jc w:val="both"/>
        <w:rPr>
          <w:rFonts w:ascii="Verdana" w:hAnsi="Verdana"/>
          <w:sz w:val="20"/>
          <w:lang w:val="pt-BR"/>
        </w:rPr>
      </w:pPr>
    </w:p>
    <w:p w:rsidR="004756C1" w:rsidRPr="002F50BD" w:rsidDel="004521EC" w:rsidRDefault="00FF3563">
      <w:pPr>
        <w:numPr>
          <w:ilvl w:val="0"/>
          <w:numId w:val="24"/>
        </w:numPr>
        <w:tabs>
          <w:tab w:val="left" w:pos="1080"/>
        </w:tabs>
        <w:ind w:left="720"/>
        <w:jc w:val="both"/>
        <w:rPr>
          <w:rFonts w:ascii="Verdana" w:hAnsi="Verdana"/>
          <w:sz w:val="20"/>
          <w:lang w:val="pt-BR"/>
        </w:rPr>
      </w:pPr>
      <w:r w:rsidRPr="002F50BD">
        <w:rPr>
          <w:rFonts w:ascii="Verdana" w:hAnsi="Verdana"/>
          <w:sz w:val="20"/>
          <w:lang w:val="pt-BR"/>
        </w:rPr>
        <w:t>Nã</w:t>
      </w:r>
      <w:r w:rsidR="004756C1" w:rsidRPr="002F50BD">
        <w:rPr>
          <w:rFonts w:ascii="Verdana" w:hAnsi="Verdana"/>
          <w:sz w:val="20"/>
          <w:lang w:val="pt-BR"/>
        </w:rPr>
        <w:t>o existe</w:t>
      </w:r>
      <w:r w:rsidR="0089298C" w:rsidRPr="002F50BD">
        <w:rPr>
          <w:rFonts w:ascii="Verdana" w:hAnsi="Verdana"/>
          <w:sz w:val="20"/>
          <w:lang w:val="pt-BR"/>
        </w:rPr>
        <w:t xml:space="preserve"> uma </w:t>
      </w:r>
      <w:r w:rsidR="004756C1" w:rsidRPr="002F50BD">
        <w:rPr>
          <w:rFonts w:ascii="Verdana" w:hAnsi="Verdana"/>
          <w:sz w:val="20"/>
          <w:lang w:val="pt-BR"/>
        </w:rPr>
        <w:t xml:space="preserve">demora de </w:t>
      </w:r>
      <w:r w:rsidR="0089298C" w:rsidRPr="002F50BD">
        <w:rPr>
          <w:rFonts w:ascii="Verdana" w:hAnsi="Verdana"/>
          <w:sz w:val="20"/>
          <w:lang w:val="pt-BR"/>
        </w:rPr>
        <w:t xml:space="preserve">mais </w:t>
      </w:r>
      <w:r w:rsidR="004756C1" w:rsidRPr="002F50BD">
        <w:rPr>
          <w:rFonts w:ascii="Verdana" w:hAnsi="Verdana"/>
          <w:sz w:val="20"/>
          <w:lang w:val="pt-BR"/>
        </w:rPr>
        <w:t>de</w:t>
      </w:r>
      <w:r w:rsidR="0089298C" w:rsidRPr="002F50BD">
        <w:rPr>
          <w:rFonts w:ascii="Verdana" w:hAnsi="Verdana"/>
          <w:sz w:val="20"/>
          <w:lang w:val="pt-BR"/>
        </w:rPr>
        <w:t xml:space="preserve"> dez anos no procedimento</w:t>
      </w:r>
      <w:r w:rsidR="004756C1" w:rsidRPr="002F50BD">
        <w:rPr>
          <w:rFonts w:ascii="Verdana" w:hAnsi="Verdana"/>
          <w:sz w:val="20"/>
          <w:lang w:val="pt-BR"/>
        </w:rPr>
        <w:t xml:space="preserve">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Pr="002F50BD">
        <w:rPr>
          <w:rFonts w:ascii="Verdana" w:hAnsi="Verdana"/>
          <w:sz w:val="20"/>
          <w:lang w:val="pt-BR"/>
        </w:rPr>
        <w:t xml:space="preserve">pois </w:t>
      </w:r>
      <w:r w:rsidR="0089298C" w:rsidRPr="002F50BD">
        <w:rPr>
          <w:rFonts w:ascii="Verdana" w:hAnsi="Verdana"/>
          <w:sz w:val="20"/>
          <w:lang w:val="pt-BR"/>
        </w:rPr>
        <w:t xml:space="preserve">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 Comunidade </w:t>
      </w:r>
      <w:r w:rsidRPr="002F50BD">
        <w:rPr>
          <w:rFonts w:ascii="Verdana" w:hAnsi="Verdana"/>
          <w:sz w:val="20"/>
          <w:lang w:val="pt-BR"/>
        </w:rPr>
        <w:t>foi outorgada</w:t>
      </w:r>
      <w:r w:rsidR="0089298C" w:rsidRPr="002F50BD">
        <w:rPr>
          <w:rFonts w:ascii="Verdana" w:hAnsi="Verdana"/>
          <w:sz w:val="20"/>
          <w:lang w:val="pt-BR"/>
        </w:rPr>
        <w:t xml:space="preserve"> </w:t>
      </w:r>
      <w:r w:rsidRPr="002F50BD">
        <w:rPr>
          <w:rFonts w:ascii="Verdana" w:hAnsi="Verdana"/>
          <w:sz w:val="20"/>
          <w:lang w:val="pt-BR"/>
        </w:rPr>
        <w:t>em</w:t>
      </w:r>
      <w:r w:rsidR="0089298C" w:rsidRPr="002F50BD">
        <w:rPr>
          <w:rFonts w:ascii="Verdana" w:hAnsi="Verdana"/>
          <w:sz w:val="20"/>
          <w:lang w:val="pt-BR"/>
        </w:rPr>
        <w:t xml:space="preserve"> </w:t>
      </w:r>
      <w:r w:rsidR="00063B47"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00063B47" w:rsidRPr="002F50BD">
        <w:rPr>
          <w:rFonts w:ascii="Verdana" w:hAnsi="Verdana"/>
          <w:sz w:val="20"/>
          <w:lang w:val="pt-BR"/>
        </w:rPr>
        <w:t>2001</w:t>
      </w:r>
      <w:r w:rsidR="00AB454A" w:rsidRPr="002F50BD">
        <w:rPr>
          <w:rFonts w:ascii="Verdana" w:hAnsi="Verdana"/>
          <w:sz w:val="20"/>
          <w:lang w:val="pt-BR"/>
        </w:rPr>
        <w:t xml:space="preserve">. A </w:t>
      </w:r>
      <w:r w:rsidR="007801FA" w:rsidRPr="002F50BD">
        <w:rPr>
          <w:rFonts w:ascii="Verdana" w:hAnsi="Verdana"/>
          <w:sz w:val="20"/>
          <w:lang w:val="pt-BR"/>
        </w:rPr>
        <w:t>personalidade</w:t>
      </w:r>
      <w:r w:rsidR="004756C1" w:rsidRPr="002F50BD" w:rsidDel="004521EC">
        <w:rPr>
          <w:rFonts w:ascii="Verdana" w:hAnsi="Verdana"/>
          <w:sz w:val="20"/>
          <w:lang w:val="pt-BR"/>
        </w:rPr>
        <w:t xml:space="preserve"> jurídica </w:t>
      </w:r>
      <w:r w:rsidR="0089298C" w:rsidRPr="002F50BD">
        <w:rPr>
          <w:rFonts w:ascii="Verdana" w:hAnsi="Verdana"/>
          <w:sz w:val="20"/>
          <w:lang w:val="pt-BR"/>
        </w:rPr>
        <w:t>outorga</w:t>
      </w:r>
      <w:r w:rsidR="004756C1" w:rsidRPr="002F50BD" w:rsidDel="004521EC">
        <w:rPr>
          <w:rFonts w:ascii="Verdana" w:hAnsi="Verdana"/>
          <w:sz w:val="20"/>
          <w:lang w:val="pt-BR"/>
        </w:rPr>
        <w:t>da</w:t>
      </w:r>
      <w:r w:rsidR="0089298C" w:rsidRPr="002F50BD">
        <w:rPr>
          <w:rFonts w:ascii="Verdana" w:hAnsi="Verdana"/>
          <w:sz w:val="20"/>
          <w:lang w:val="pt-BR"/>
        </w:rPr>
        <w:t xml:space="preserve"> à Comunidade </w:t>
      </w:r>
      <w:r w:rsidR="004756C1" w:rsidRPr="002F50BD" w:rsidDel="004521EC">
        <w:rPr>
          <w:rFonts w:ascii="Verdana" w:hAnsi="Verdana"/>
          <w:sz w:val="20"/>
          <w:lang w:val="pt-BR"/>
        </w:rPr>
        <w:t>mediante</w:t>
      </w:r>
      <w:r w:rsidR="0089298C" w:rsidRPr="002F50BD">
        <w:rPr>
          <w:rFonts w:ascii="Verdana" w:hAnsi="Verdana"/>
          <w:sz w:val="20"/>
          <w:lang w:val="pt-BR"/>
        </w:rPr>
        <w:t xml:space="preserve"> o </w:t>
      </w:r>
      <w:r w:rsidR="004756C1" w:rsidRPr="002F50BD" w:rsidDel="004521EC">
        <w:rPr>
          <w:rFonts w:ascii="Verdana" w:hAnsi="Verdana"/>
          <w:sz w:val="20"/>
          <w:lang w:val="pt-BR"/>
        </w:rPr>
        <w:t>Decreto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15</w:t>
      </w:r>
      <w:r w:rsidR="004756C1" w:rsidRPr="002F50BD" w:rsidDel="004521EC">
        <w:rPr>
          <w:rFonts w:ascii="Verdana" w:hAnsi="Verdana"/>
          <w:sz w:val="20"/>
          <w:lang w:val="pt-BR"/>
        </w:rPr>
        <w:t>.</w:t>
      </w:r>
      <w:r w:rsidR="00063B47" w:rsidRPr="002F50BD">
        <w:rPr>
          <w:rFonts w:ascii="Verdana" w:hAnsi="Verdana"/>
          <w:sz w:val="20"/>
          <w:lang w:val="pt-BR"/>
        </w:rPr>
        <w:t>228</w:t>
      </w:r>
      <w:r w:rsidR="0089298C" w:rsidRPr="002F50BD">
        <w:rPr>
          <w:rFonts w:ascii="Verdana" w:hAnsi="Verdana"/>
          <w:sz w:val="20"/>
          <w:lang w:val="pt-BR"/>
        </w:rPr>
        <w:t xml:space="preserve"> é a </w:t>
      </w:r>
      <w:r w:rsidR="004756C1" w:rsidRPr="002F50BD" w:rsidDel="004521EC">
        <w:rPr>
          <w:rFonts w:ascii="Verdana" w:hAnsi="Verdana"/>
          <w:sz w:val="20"/>
          <w:lang w:val="pt-BR"/>
        </w:rPr>
        <w:t>que l</w:t>
      </w:r>
      <w:r w:rsidRPr="002F50BD">
        <w:rPr>
          <w:rFonts w:ascii="Verdana" w:hAnsi="Verdana"/>
          <w:sz w:val="20"/>
          <w:lang w:val="pt-BR"/>
        </w:rPr>
        <w:t>h</w:t>
      </w:r>
      <w:r w:rsidR="004756C1" w:rsidRPr="002F50BD" w:rsidDel="004521EC">
        <w:rPr>
          <w:rFonts w:ascii="Verdana" w:hAnsi="Verdana"/>
          <w:sz w:val="20"/>
          <w:lang w:val="pt-BR"/>
        </w:rPr>
        <w:t>e d</w:t>
      </w:r>
      <w:r w:rsidRPr="002F50BD">
        <w:rPr>
          <w:rFonts w:ascii="Verdana" w:hAnsi="Verdana"/>
          <w:sz w:val="20"/>
          <w:lang w:val="pt-BR"/>
        </w:rPr>
        <w:t>á</w:t>
      </w:r>
      <w:r w:rsidR="0089298C" w:rsidRPr="002F50BD">
        <w:rPr>
          <w:rFonts w:ascii="Verdana" w:hAnsi="Verdana"/>
          <w:sz w:val="20"/>
          <w:lang w:val="pt-BR"/>
        </w:rPr>
        <w:t xml:space="preserve"> o direito </w:t>
      </w:r>
      <w:r w:rsidRPr="002F50BD">
        <w:rPr>
          <w:rFonts w:ascii="Verdana" w:hAnsi="Verdana"/>
          <w:sz w:val="20"/>
          <w:lang w:val="pt-BR"/>
        </w:rPr>
        <w:t xml:space="preserve">aos reclamos que lhe corresponde </w:t>
      </w:r>
      <w:r w:rsidR="004756C1" w:rsidRPr="002F50BD" w:rsidDel="004521EC">
        <w:rPr>
          <w:rFonts w:ascii="Verdana" w:hAnsi="Verdana"/>
          <w:sz w:val="20"/>
          <w:lang w:val="pt-BR"/>
        </w:rPr>
        <w:t xml:space="preserve">como </w:t>
      </w:r>
      <w:r w:rsidR="0089298C" w:rsidRPr="002F50BD">
        <w:rPr>
          <w:rFonts w:ascii="Verdana" w:hAnsi="Verdana"/>
          <w:sz w:val="20"/>
          <w:lang w:val="pt-BR"/>
        </w:rPr>
        <w:t>povo</w:t>
      </w:r>
      <w:r w:rsidR="004756C1" w:rsidRPr="002F50BD" w:rsidDel="004521EC">
        <w:rPr>
          <w:rFonts w:ascii="Verdana" w:hAnsi="Verdana"/>
          <w:sz w:val="20"/>
          <w:lang w:val="pt-BR"/>
        </w:rPr>
        <w:t xml:space="preserve"> indígena, considerando que</w:t>
      </w:r>
      <w:r w:rsidR="0089298C" w:rsidRPr="002F50BD">
        <w:rPr>
          <w:rFonts w:ascii="Verdana" w:hAnsi="Verdana"/>
          <w:sz w:val="20"/>
          <w:lang w:val="pt-BR"/>
        </w:rPr>
        <w:t xml:space="preserve"> a propriedade</w:t>
      </w:r>
      <w:r w:rsidR="004756C1" w:rsidRPr="002F50BD" w:rsidDel="004521EC">
        <w:rPr>
          <w:rFonts w:ascii="Verdana" w:hAnsi="Verdana"/>
          <w:sz w:val="20"/>
          <w:lang w:val="pt-BR"/>
        </w:rPr>
        <w:t xml:space="preserve"> indígena prevista</w:t>
      </w:r>
      <w:r w:rsidR="0089298C" w:rsidRPr="002F50BD">
        <w:rPr>
          <w:rFonts w:ascii="Verdana" w:hAnsi="Verdana"/>
          <w:sz w:val="20"/>
          <w:lang w:val="pt-BR"/>
        </w:rPr>
        <w:t xml:space="preserve"> na Constituição e nas leis</w:t>
      </w:r>
      <w:r w:rsidR="004756C1" w:rsidRPr="002F50BD" w:rsidDel="004521EC">
        <w:rPr>
          <w:rFonts w:ascii="Verdana" w:hAnsi="Verdana"/>
          <w:sz w:val="20"/>
          <w:lang w:val="pt-BR"/>
        </w:rPr>
        <w:t xml:space="preserve"> vigentes</w:t>
      </w:r>
      <w:r w:rsidR="0089298C" w:rsidRPr="002F50BD">
        <w:rPr>
          <w:rFonts w:ascii="Verdana" w:hAnsi="Verdana"/>
          <w:sz w:val="20"/>
          <w:lang w:val="pt-BR"/>
        </w:rPr>
        <w:t xml:space="preserve"> no Paraguai </w:t>
      </w:r>
      <w:r w:rsidR="006603BE" w:rsidRPr="002F50BD">
        <w:rPr>
          <w:rFonts w:ascii="Verdana" w:hAnsi="Verdana"/>
          <w:sz w:val="20"/>
          <w:lang w:val="pt-BR"/>
        </w:rPr>
        <w:t>é</w:t>
      </w:r>
      <w:r w:rsidR="0089298C" w:rsidRPr="002F50BD">
        <w:rPr>
          <w:rFonts w:ascii="Verdana" w:hAnsi="Verdana"/>
          <w:sz w:val="20"/>
          <w:lang w:val="pt-BR"/>
        </w:rPr>
        <w:t xml:space="preserve"> </w:t>
      </w:r>
      <w:r w:rsidR="004756C1" w:rsidRPr="002F50BD" w:rsidDel="004521EC">
        <w:rPr>
          <w:rFonts w:ascii="Verdana" w:hAnsi="Verdana"/>
          <w:sz w:val="20"/>
          <w:lang w:val="pt-BR"/>
        </w:rPr>
        <w:t xml:space="preserve">de </w:t>
      </w:r>
      <w:r w:rsidR="0089298C" w:rsidRPr="002F50BD">
        <w:rPr>
          <w:rFonts w:ascii="Verdana" w:hAnsi="Verdana"/>
          <w:sz w:val="20"/>
          <w:lang w:val="pt-BR"/>
        </w:rPr>
        <w:t>caráter</w:t>
      </w:r>
      <w:r w:rsidR="004756C1" w:rsidRPr="002F50BD" w:rsidDel="004521EC">
        <w:rPr>
          <w:rFonts w:ascii="Verdana" w:hAnsi="Verdana"/>
          <w:sz w:val="20"/>
          <w:lang w:val="pt-BR"/>
        </w:rPr>
        <w:t xml:space="preserve"> </w:t>
      </w:r>
      <w:r w:rsidR="004076AD" w:rsidRPr="002F50BD">
        <w:rPr>
          <w:rFonts w:ascii="Verdana" w:hAnsi="Verdana"/>
          <w:sz w:val="20"/>
          <w:lang w:val="pt-BR"/>
        </w:rPr>
        <w:t>comunitári</w:t>
      </w:r>
      <w:r w:rsidR="004756C1" w:rsidRPr="002F50BD" w:rsidDel="004521EC">
        <w:rPr>
          <w:rFonts w:ascii="Verdana" w:hAnsi="Verdana"/>
          <w:sz w:val="20"/>
          <w:lang w:val="pt-BR"/>
        </w:rPr>
        <w:t>o</w:t>
      </w:r>
      <w:r w:rsidR="0089298C" w:rsidRPr="002F50BD">
        <w:rPr>
          <w:rFonts w:ascii="Verdana" w:hAnsi="Verdana"/>
          <w:sz w:val="20"/>
          <w:lang w:val="pt-BR"/>
        </w:rPr>
        <w:t xml:space="preserve"> e </w:t>
      </w:r>
      <w:r w:rsidR="004756C1" w:rsidRPr="002F50BD" w:rsidDel="004521EC">
        <w:rPr>
          <w:rFonts w:ascii="Verdana" w:hAnsi="Verdana"/>
          <w:sz w:val="20"/>
          <w:lang w:val="pt-BR"/>
        </w:rPr>
        <w:t>n</w:t>
      </w:r>
      <w:r w:rsidRPr="002F50BD">
        <w:rPr>
          <w:rFonts w:ascii="Verdana" w:hAnsi="Verdana"/>
          <w:sz w:val="20"/>
          <w:lang w:val="pt-BR"/>
        </w:rPr>
        <w:t>ã</w:t>
      </w:r>
      <w:r w:rsidR="004756C1" w:rsidRPr="002F50BD" w:rsidDel="004521EC">
        <w:rPr>
          <w:rFonts w:ascii="Verdana" w:hAnsi="Verdana"/>
          <w:sz w:val="20"/>
          <w:lang w:val="pt-BR"/>
        </w:rPr>
        <w:t>o individual;</w:t>
      </w:r>
    </w:p>
    <w:p w:rsidR="004756C1" w:rsidRPr="002F50BD" w:rsidDel="004521EC" w:rsidRDefault="004756C1">
      <w:pPr>
        <w:tabs>
          <w:tab w:val="left" w:pos="1080"/>
        </w:tabs>
        <w:ind w:left="720"/>
        <w:jc w:val="both"/>
        <w:rPr>
          <w:rFonts w:ascii="Verdana" w:hAnsi="Verdana"/>
          <w:sz w:val="20"/>
          <w:lang w:val="pt-BR"/>
        </w:rPr>
      </w:pPr>
    </w:p>
    <w:p w:rsidR="004756C1" w:rsidRPr="002F50BD" w:rsidRDefault="00FF3563">
      <w:pPr>
        <w:numPr>
          <w:ilvl w:val="0"/>
          <w:numId w:val="24"/>
        </w:numPr>
        <w:tabs>
          <w:tab w:val="left" w:pos="1080"/>
        </w:tabs>
        <w:ind w:left="720"/>
        <w:jc w:val="both"/>
        <w:rPr>
          <w:rFonts w:ascii="Verdana" w:hAnsi="Verdana"/>
          <w:sz w:val="20"/>
          <w:lang w:val="pt-BR"/>
        </w:rPr>
      </w:pPr>
      <w:r w:rsidRPr="002F50BD">
        <w:rPr>
          <w:rFonts w:ascii="Verdana" w:hAnsi="Verdana"/>
          <w:sz w:val="20"/>
          <w:lang w:val="pt-BR"/>
        </w:rPr>
        <w:t>Em</w:t>
      </w:r>
      <w:r w:rsidR="004756C1" w:rsidRPr="002F50BD">
        <w:rPr>
          <w:rFonts w:ascii="Verdana" w:hAnsi="Verdana"/>
          <w:sz w:val="20"/>
          <w:lang w:val="pt-BR"/>
        </w:rPr>
        <w:t xml:space="preserve"> todos</w:t>
      </w:r>
      <w:r w:rsidR="0089298C" w:rsidRPr="002F50BD">
        <w:rPr>
          <w:rFonts w:ascii="Verdana" w:hAnsi="Verdana"/>
          <w:sz w:val="20"/>
          <w:lang w:val="pt-BR"/>
        </w:rPr>
        <w:t xml:space="preserve"> os processo</w:t>
      </w:r>
      <w:r w:rsidR="004756C1" w:rsidRPr="002F50BD">
        <w:rPr>
          <w:rFonts w:ascii="Verdana" w:hAnsi="Verdana"/>
          <w:sz w:val="20"/>
          <w:lang w:val="pt-BR"/>
        </w:rPr>
        <w:t>s internos iniciados</w:t>
      </w:r>
      <w:r w:rsidR="0089298C" w:rsidRPr="002F50BD">
        <w:rPr>
          <w:rFonts w:ascii="Verdana" w:hAnsi="Verdana"/>
          <w:sz w:val="20"/>
          <w:lang w:val="pt-BR"/>
        </w:rPr>
        <w:t xml:space="preserve"> neste </w:t>
      </w:r>
      <w:r w:rsidR="004756C1" w:rsidRPr="002F50BD">
        <w:rPr>
          <w:rFonts w:ascii="Verdana" w:hAnsi="Verdana"/>
          <w:sz w:val="20"/>
          <w:lang w:val="pt-BR"/>
        </w:rPr>
        <w:t xml:space="preserve">caso </w:t>
      </w:r>
      <w:r w:rsidRPr="002F50BD">
        <w:rPr>
          <w:rFonts w:ascii="Verdana" w:hAnsi="Verdana"/>
          <w:sz w:val="20"/>
          <w:lang w:val="pt-BR"/>
        </w:rPr>
        <w:t xml:space="preserve">foi dada perfeita </w:t>
      </w:r>
      <w:r w:rsidR="004756C1" w:rsidRPr="002F50BD">
        <w:rPr>
          <w:rFonts w:ascii="Verdana" w:hAnsi="Verdana"/>
          <w:sz w:val="20"/>
          <w:lang w:val="pt-BR"/>
        </w:rPr>
        <w:t>interven</w:t>
      </w:r>
      <w:r w:rsidR="0089298C" w:rsidRPr="002F50BD">
        <w:rPr>
          <w:rFonts w:ascii="Verdana" w:hAnsi="Verdana"/>
          <w:sz w:val="20"/>
          <w:lang w:val="pt-BR"/>
        </w:rPr>
        <w:t>ção aos advogad</w:t>
      </w:r>
      <w:r w:rsidR="004756C1" w:rsidRPr="002F50BD">
        <w:rPr>
          <w:rFonts w:ascii="Verdana" w:hAnsi="Verdana"/>
          <w:sz w:val="20"/>
          <w:lang w:val="pt-BR"/>
        </w:rPr>
        <w:t>os</w:t>
      </w:r>
      <w:r w:rsidR="0089298C" w:rsidRPr="002F50BD">
        <w:rPr>
          <w:rFonts w:ascii="Verdana" w:hAnsi="Verdana"/>
          <w:sz w:val="20"/>
          <w:lang w:val="pt-BR"/>
        </w:rPr>
        <w:t xml:space="preserve"> das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 xml:space="preserve">s, </w:t>
      </w:r>
      <w:r w:rsidR="0089298C" w:rsidRPr="002F50BD">
        <w:rPr>
          <w:rFonts w:ascii="Verdana" w:hAnsi="Verdana"/>
          <w:sz w:val="20"/>
          <w:lang w:val="pt-BR"/>
        </w:rPr>
        <w:t xml:space="preserve">lhes </w:t>
      </w:r>
      <w:r w:rsidR="00EF5257" w:rsidRPr="002F50BD">
        <w:rPr>
          <w:rFonts w:ascii="Verdana" w:hAnsi="Verdana"/>
          <w:sz w:val="20"/>
          <w:lang w:val="pt-BR"/>
        </w:rPr>
        <w:t>foram franqueados</w:t>
      </w:r>
      <w:r w:rsidRPr="002F50BD">
        <w:rPr>
          <w:rFonts w:ascii="Verdana" w:hAnsi="Verdana"/>
          <w:sz w:val="20"/>
          <w:lang w:val="pt-BR"/>
        </w:rPr>
        <w:t xml:space="preserve"> </w:t>
      </w:r>
      <w:r w:rsidR="004756C1" w:rsidRPr="002F50BD">
        <w:rPr>
          <w:rFonts w:ascii="Verdana" w:hAnsi="Verdana"/>
          <w:sz w:val="20"/>
          <w:lang w:val="pt-BR"/>
        </w:rPr>
        <w:t>todo</w:t>
      </w:r>
      <w:r w:rsidR="006603BE" w:rsidRPr="002F50BD">
        <w:rPr>
          <w:rFonts w:ascii="Verdana" w:hAnsi="Verdana"/>
          <w:sz w:val="20"/>
          <w:lang w:val="pt-BR"/>
        </w:rPr>
        <w:t>s</w:t>
      </w:r>
      <w:r w:rsidR="0089298C" w:rsidRPr="002F50BD">
        <w:rPr>
          <w:rFonts w:ascii="Verdana" w:hAnsi="Verdana"/>
          <w:sz w:val="20"/>
          <w:lang w:val="pt-BR"/>
        </w:rPr>
        <w:t xml:space="preserve"> o</w:t>
      </w:r>
      <w:r w:rsidR="006603BE" w:rsidRPr="002F50BD">
        <w:rPr>
          <w:rFonts w:ascii="Verdana" w:hAnsi="Verdana"/>
          <w:sz w:val="20"/>
          <w:lang w:val="pt-BR"/>
        </w:rPr>
        <w:t>s</w:t>
      </w:r>
      <w:r w:rsidR="0089298C" w:rsidRPr="002F50BD">
        <w:rPr>
          <w:rFonts w:ascii="Verdana" w:hAnsi="Verdana"/>
          <w:sz w:val="20"/>
          <w:lang w:val="pt-BR"/>
        </w:rPr>
        <w:t xml:space="preserve"> </w:t>
      </w:r>
      <w:r w:rsidR="004756C1" w:rsidRPr="002F50BD">
        <w:rPr>
          <w:rFonts w:ascii="Verdana" w:hAnsi="Verdana"/>
          <w:sz w:val="20"/>
          <w:lang w:val="pt-BR"/>
        </w:rPr>
        <w:t>mecanismo</w:t>
      </w:r>
      <w:r w:rsidR="006603BE" w:rsidRPr="002F50BD">
        <w:rPr>
          <w:rFonts w:ascii="Verdana" w:hAnsi="Verdana"/>
          <w:sz w:val="20"/>
          <w:lang w:val="pt-BR"/>
        </w:rPr>
        <w:t>s</w:t>
      </w:r>
      <w:r w:rsidR="004756C1" w:rsidRPr="002F50BD">
        <w:rPr>
          <w:rFonts w:ascii="Verdana" w:hAnsi="Verdana"/>
          <w:sz w:val="20"/>
          <w:lang w:val="pt-BR"/>
        </w:rPr>
        <w:t xml:space="preserve"> lega</w:t>
      </w:r>
      <w:r w:rsidR="006603BE" w:rsidRPr="002F50BD">
        <w:rPr>
          <w:rFonts w:ascii="Verdana" w:hAnsi="Verdana"/>
          <w:sz w:val="20"/>
          <w:lang w:val="pt-BR"/>
        </w:rPr>
        <w:t>is e processuais</w:t>
      </w:r>
      <w:r w:rsidR="0089298C" w:rsidRPr="002F50BD">
        <w:rPr>
          <w:rFonts w:ascii="Verdana" w:hAnsi="Verdana"/>
          <w:sz w:val="20"/>
          <w:lang w:val="pt-BR"/>
        </w:rPr>
        <w:t xml:space="preserve"> </w:t>
      </w:r>
      <w:r w:rsidR="004756C1" w:rsidRPr="002F50BD">
        <w:rPr>
          <w:rFonts w:ascii="Verdana" w:hAnsi="Verdana"/>
          <w:sz w:val="20"/>
          <w:lang w:val="pt-BR"/>
        </w:rPr>
        <w:t>para</w:t>
      </w:r>
      <w:r w:rsidR="0089298C" w:rsidRPr="002F50BD">
        <w:rPr>
          <w:rFonts w:ascii="Verdana" w:hAnsi="Verdana"/>
          <w:sz w:val="20"/>
          <w:lang w:val="pt-BR"/>
        </w:rPr>
        <w:t xml:space="preserve"> a </w:t>
      </w:r>
      <w:r w:rsidR="004756C1" w:rsidRPr="002F50BD">
        <w:rPr>
          <w:rFonts w:ascii="Verdana" w:hAnsi="Verdana"/>
          <w:sz w:val="20"/>
          <w:lang w:val="pt-BR"/>
        </w:rPr>
        <w:t>obten</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seus direitos e</w:t>
      </w:r>
      <w:r w:rsidR="006603BE"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finalmente</w:t>
      </w:r>
      <w:r w:rsidR="006603BE"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foi garantido </w:t>
      </w:r>
      <w:r w:rsidR="0089298C" w:rsidRPr="002F50BD">
        <w:rPr>
          <w:rFonts w:ascii="Verdana" w:hAnsi="Verdana"/>
          <w:sz w:val="20"/>
          <w:lang w:val="pt-BR"/>
        </w:rPr>
        <w:t>o cumprimento das sentença</w:t>
      </w:r>
      <w:r w:rsidR="004756C1" w:rsidRPr="002F50BD">
        <w:rPr>
          <w:rFonts w:ascii="Verdana" w:hAnsi="Verdana"/>
          <w:sz w:val="20"/>
          <w:lang w:val="pt-BR"/>
        </w:rPr>
        <w:t>s, que</w:t>
      </w:r>
      <w:r w:rsidR="00EF5257" w:rsidRPr="002F50BD">
        <w:rPr>
          <w:rFonts w:ascii="Verdana" w:hAnsi="Verdana"/>
          <w:sz w:val="20"/>
          <w:lang w:val="pt-BR"/>
        </w:rPr>
        <w:t>,</w:t>
      </w:r>
      <w:r w:rsidR="004756C1" w:rsidRPr="002F50BD">
        <w:rPr>
          <w:rFonts w:ascii="Verdana" w:hAnsi="Verdana"/>
          <w:sz w:val="20"/>
          <w:lang w:val="pt-BR"/>
        </w:rPr>
        <w:t xml:space="preserve"> lamenta</w:t>
      </w:r>
      <w:r w:rsidRPr="002F50BD">
        <w:rPr>
          <w:rFonts w:ascii="Verdana" w:hAnsi="Verdana"/>
          <w:sz w:val="20"/>
          <w:lang w:val="pt-BR"/>
        </w:rPr>
        <w:t>ve</w:t>
      </w:r>
      <w:r w:rsidR="004756C1" w:rsidRPr="002F50BD">
        <w:rPr>
          <w:rFonts w:ascii="Verdana" w:hAnsi="Verdana"/>
          <w:sz w:val="20"/>
          <w:lang w:val="pt-BR"/>
        </w:rPr>
        <w:t xml:space="preserve">lmente, por erros </w:t>
      </w:r>
      <w:r w:rsidR="0089298C" w:rsidRPr="002F50BD">
        <w:rPr>
          <w:rFonts w:ascii="Verdana" w:hAnsi="Verdana"/>
          <w:sz w:val="20"/>
          <w:lang w:val="pt-BR"/>
        </w:rPr>
        <w:t>processuais</w:t>
      </w:r>
      <w:r w:rsidR="004756C1" w:rsidRPr="002F50BD">
        <w:rPr>
          <w:rFonts w:ascii="Verdana" w:hAnsi="Verdana"/>
          <w:sz w:val="20"/>
          <w:lang w:val="pt-BR"/>
        </w:rPr>
        <w:t xml:space="preserve"> ins</w:t>
      </w:r>
      <w:r w:rsidRPr="002F50BD">
        <w:rPr>
          <w:rFonts w:ascii="Verdana" w:hAnsi="Verdana"/>
          <w:sz w:val="20"/>
          <w:lang w:val="pt-BR"/>
        </w:rPr>
        <w:t>uperáveis</w:t>
      </w:r>
      <w:r w:rsidR="004756C1" w:rsidRPr="002F50BD">
        <w:rPr>
          <w:rFonts w:ascii="Verdana" w:hAnsi="Verdana"/>
          <w:sz w:val="20"/>
          <w:lang w:val="pt-BR"/>
        </w:rPr>
        <w:t>,</w:t>
      </w:r>
      <w:r w:rsidR="0089298C" w:rsidRPr="002F50BD">
        <w:rPr>
          <w:rFonts w:ascii="Verdana" w:hAnsi="Verdana"/>
          <w:sz w:val="20"/>
          <w:lang w:val="pt-BR"/>
        </w:rPr>
        <w:t xml:space="preserve"> foram</w:t>
      </w:r>
      <w:r w:rsidR="004756C1" w:rsidRPr="002F50BD">
        <w:rPr>
          <w:rFonts w:ascii="Verdana" w:hAnsi="Verdana"/>
          <w:sz w:val="20"/>
          <w:lang w:val="pt-BR"/>
        </w:rPr>
        <w:t xml:space="preserve"> adversas</w:t>
      </w:r>
      <w:r w:rsidR="00EF5257" w:rsidRPr="002F50BD">
        <w:rPr>
          <w:rFonts w:ascii="Verdana" w:hAnsi="Verdana"/>
          <w:sz w:val="20"/>
          <w:lang w:val="pt-BR"/>
        </w:rPr>
        <w:t xml:space="preserve"> a elas</w:t>
      </w:r>
      <w:r w:rsidR="004756C1" w:rsidRPr="002F50BD">
        <w:rPr>
          <w:rFonts w:ascii="Verdana" w:hAnsi="Verdana"/>
          <w:sz w:val="20"/>
          <w:lang w:val="pt-BR"/>
        </w:rPr>
        <w:t>;</w:t>
      </w:r>
    </w:p>
    <w:p w:rsidR="00FF3563" w:rsidRPr="002F50BD" w:rsidRDefault="00FF3563" w:rsidP="00FF3563">
      <w:pPr>
        <w:tabs>
          <w:tab w:val="left" w:pos="1080"/>
        </w:tabs>
        <w:ind w:left="360"/>
        <w:jc w:val="both"/>
        <w:rPr>
          <w:rFonts w:ascii="Verdana" w:hAnsi="Verdana"/>
          <w:sz w:val="20"/>
          <w:lang w:val="pt-BR"/>
        </w:rPr>
      </w:pPr>
    </w:p>
    <w:p w:rsidR="004756C1" w:rsidRPr="002F50BD" w:rsidRDefault="0089298C">
      <w:pPr>
        <w:numPr>
          <w:ilvl w:val="0"/>
          <w:numId w:val="24"/>
        </w:numPr>
        <w:tabs>
          <w:tab w:val="left" w:pos="1080"/>
        </w:tabs>
        <w:ind w:left="720"/>
        <w:jc w:val="both"/>
        <w:rPr>
          <w:rFonts w:ascii="Verdana" w:hAnsi="Verdana"/>
          <w:sz w:val="20"/>
          <w:lang w:val="pt-BR"/>
        </w:rPr>
      </w:pPr>
      <w:r w:rsidRPr="002F50BD">
        <w:rPr>
          <w:rFonts w:ascii="Verdana" w:hAnsi="Verdana"/>
          <w:sz w:val="20"/>
          <w:lang w:val="pt-BR"/>
        </w:rPr>
        <w:t xml:space="preserve">As </w:t>
      </w:r>
      <w:r w:rsidR="004756C1" w:rsidRPr="002F50BD">
        <w:rPr>
          <w:rFonts w:ascii="Verdana" w:hAnsi="Verdana"/>
          <w:sz w:val="20"/>
          <w:lang w:val="pt-BR"/>
        </w:rPr>
        <w:t>disposi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 xml:space="preserve"> interno </w:t>
      </w:r>
      <w:r w:rsidR="00FF3563"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o sobre </w:t>
      </w:r>
      <w:r w:rsidRPr="002F50BD">
        <w:rPr>
          <w:rFonts w:ascii="Verdana" w:hAnsi="Verdana"/>
          <w:sz w:val="20"/>
          <w:lang w:val="pt-BR"/>
        </w:rPr>
        <w:t>povo</w:t>
      </w:r>
      <w:r w:rsidR="004756C1" w:rsidRPr="002F50BD">
        <w:rPr>
          <w:rFonts w:ascii="Verdana" w:hAnsi="Verdana"/>
          <w:sz w:val="20"/>
          <w:lang w:val="pt-BR"/>
        </w:rPr>
        <w:t>s indígenas</w:t>
      </w:r>
      <w:r w:rsidRPr="002F50BD">
        <w:rPr>
          <w:rFonts w:ascii="Verdana" w:hAnsi="Verdana"/>
          <w:sz w:val="20"/>
          <w:lang w:val="pt-BR"/>
        </w:rPr>
        <w:t xml:space="preserve"> são </w:t>
      </w:r>
      <w:r w:rsidR="004756C1" w:rsidRPr="002F50BD">
        <w:rPr>
          <w:rFonts w:ascii="Verdana" w:hAnsi="Verdana"/>
          <w:sz w:val="20"/>
          <w:lang w:val="pt-BR"/>
        </w:rPr>
        <w:t>variadas</w:t>
      </w:r>
      <w:r w:rsidRPr="002F50BD">
        <w:rPr>
          <w:rFonts w:ascii="Verdana" w:hAnsi="Verdana"/>
          <w:sz w:val="20"/>
          <w:lang w:val="pt-BR"/>
        </w:rPr>
        <w:t xml:space="preserve"> e </w:t>
      </w:r>
      <w:r w:rsidR="00FF3563" w:rsidRPr="002F50BD">
        <w:rPr>
          <w:rFonts w:ascii="Verdana" w:hAnsi="Verdana"/>
          <w:sz w:val="20"/>
          <w:lang w:val="pt-BR"/>
        </w:rPr>
        <w:t>abundantes</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Ademais</w:t>
      </w:r>
      <w:r w:rsidR="004756C1" w:rsidRPr="002F50BD">
        <w:rPr>
          <w:rFonts w:ascii="Verdana" w:hAnsi="Verdana"/>
          <w:sz w:val="20"/>
          <w:lang w:val="pt-BR"/>
        </w:rPr>
        <w:t xml:space="preserve">, </w:t>
      </w:r>
      <w:r w:rsidRPr="002F50BD">
        <w:rPr>
          <w:rFonts w:ascii="Verdana" w:hAnsi="Verdana"/>
          <w:sz w:val="20"/>
          <w:lang w:val="pt-BR"/>
        </w:rPr>
        <w:t>têm</w:t>
      </w:r>
      <w:r w:rsidR="004756C1" w:rsidRPr="002F50BD">
        <w:rPr>
          <w:rFonts w:ascii="Verdana" w:hAnsi="Verdana"/>
          <w:sz w:val="20"/>
          <w:lang w:val="pt-BR"/>
        </w:rPr>
        <w:t xml:space="preserve"> como complemento </w:t>
      </w:r>
      <w:r w:rsidRPr="002F50BD">
        <w:rPr>
          <w:rFonts w:ascii="Verdana" w:hAnsi="Verdana"/>
          <w:sz w:val="20"/>
          <w:lang w:val="pt-BR"/>
        </w:rPr>
        <w:t>necessári</w:t>
      </w:r>
      <w:r w:rsidR="004756C1" w:rsidRPr="002F50BD">
        <w:rPr>
          <w:rFonts w:ascii="Verdana" w:hAnsi="Verdana"/>
          <w:sz w:val="20"/>
          <w:lang w:val="pt-BR"/>
        </w:rPr>
        <w:t>o</w:t>
      </w:r>
      <w:r w:rsidRPr="002F50BD">
        <w:rPr>
          <w:rFonts w:ascii="Verdana" w:hAnsi="Verdana"/>
          <w:sz w:val="20"/>
          <w:lang w:val="pt-BR"/>
        </w:rPr>
        <w:t xml:space="preserve"> as </w:t>
      </w:r>
      <w:r w:rsidR="004756C1" w:rsidRPr="002F50BD">
        <w:rPr>
          <w:rFonts w:ascii="Verdana" w:hAnsi="Verdana"/>
          <w:sz w:val="20"/>
          <w:lang w:val="pt-BR"/>
        </w:rPr>
        <w:t xml:space="preserve">que </w:t>
      </w:r>
      <w:r w:rsidR="00FF3563" w:rsidRPr="002F50BD">
        <w:rPr>
          <w:rFonts w:ascii="Verdana" w:hAnsi="Verdana"/>
          <w:sz w:val="20"/>
          <w:lang w:val="pt-BR"/>
        </w:rPr>
        <w:t xml:space="preserve">regem </w:t>
      </w:r>
      <w:r w:rsidRPr="002F50BD">
        <w:rPr>
          <w:rFonts w:ascii="Verdana" w:hAnsi="Verdana"/>
          <w:sz w:val="20"/>
          <w:lang w:val="pt-BR"/>
        </w:rPr>
        <w:t xml:space="preserve">o </w:t>
      </w:r>
      <w:r w:rsidR="004756C1" w:rsidRPr="002F50BD">
        <w:rPr>
          <w:rFonts w:ascii="Verdana" w:hAnsi="Verdana"/>
          <w:sz w:val="20"/>
          <w:lang w:val="pt-BR"/>
        </w:rPr>
        <w:t>resto</w:t>
      </w:r>
      <w:r w:rsidRPr="002F50BD">
        <w:rPr>
          <w:rFonts w:ascii="Verdana" w:hAnsi="Verdana"/>
          <w:sz w:val="20"/>
          <w:lang w:val="pt-BR"/>
        </w:rPr>
        <w:t xml:space="preserve"> da população</w:t>
      </w:r>
      <w:r w:rsidR="004756C1" w:rsidRPr="002F50BD">
        <w:rPr>
          <w:rFonts w:ascii="Verdana" w:hAnsi="Verdana"/>
          <w:sz w:val="20"/>
          <w:lang w:val="pt-BR"/>
        </w:rPr>
        <w:t xml:space="preserve">, que igualmente </w:t>
      </w:r>
      <w:r w:rsidRPr="002F50BD">
        <w:rPr>
          <w:rFonts w:ascii="Verdana" w:hAnsi="Verdana"/>
          <w:sz w:val="20"/>
          <w:lang w:val="pt-BR"/>
        </w:rPr>
        <w:t xml:space="preserve">formam </w:t>
      </w:r>
      <w:r w:rsidR="004756C1" w:rsidRPr="002F50BD">
        <w:rPr>
          <w:rFonts w:ascii="Verdana" w:hAnsi="Verdana"/>
          <w:sz w:val="20"/>
          <w:lang w:val="pt-BR"/>
        </w:rPr>
        <w:t xml:space="preserve">parte </w:t>
      </w:r>
      <w:r w:rsidRPr="002F50BD">
        <w:rPr>
          <w:rFonts w:ascii="Verdana" w:hAnsi="Verdana"/>
          <w:sz w:val="20"/>
          <w:lang w:val="pt-BR"/>
        </w:rPr>
        <w:t xml:space="preserve">do </w:t>
      </w:r>
      <w:r w:rsidR="004756C1" w:rsidRPr="002F50BD">
        <w:rPr>
          <w:rFonts w:ascii="Verdana" w:hAnsi="Verdana"/>
          <w:sz w:val="20"/>
          <w:lang w:val="pt-BR"/>
        </w:rPr>
        <w:t>repert</w:t>
      </w:r>
      <w:r w:rsidR="00FF3563" w:rsidRPr="002F50BD">
        <w:rPr>
          <w:rFonts w:ascii="Verdana" w:hAnsi="Verdana"/>
          <w:sz w:val="20"/>
          <w:lang w:val="pt-BR"/>
        </w:rPr>
        <w:t>ó</w:t>
      </w:r>
      <w:r w:rsidR="004756C1" w:rsidRPr="002F50BD">
        <w:rPr>
          <w:rFonts w:ascii="Verdana" w:hAnsi="Verdana"/>
          <w:sz w:val="20"/>
          <w:lang w:val="pt-BR"/>
        </w:rPr>
        <w:t>rio legislativo vigente</w:t>
      </w:r>
      <w:r w:rsidR="00E10DBB" w:rsidRPr="002F50BD">
        <w:rPr>
          <w:rFonts w:ascii="Verdana" w:hAnsi="Verdana"/>
          <w:sz w:val="20"/>
          <w:lang w:val="pt-BR"/>
        </w:rPr>
        <w:t xml:space="preserve">. É </w:t>
      </w:r>
      <w:r w:rsidRPr="002F50BD">
        <w:rPr>
          <w:rFonts w:ascii="Verdana" w:hAnsi="Verdana"/>
          <w:sz w:val="20"/>
          <w:lang w:val="pt-BR"/>
        </w:rPr>
        <w:t xml:space="preserve">certo </w:t>
      </w:r>
      <w:r w:rsidR="004756C1" w:rsidRPr="002F50BD">
        <w:rPr>
          <w:rFonts w:ascii="Verdana" w:hAnsi="Verdana"/>
          <w:sz w:val="20"/>
          <w:lang w:val="pt-BR"/>
        </w:rPr>
        <w:t>que</w:t>
      </w:r>
      <w:r w:rsidRPr="002F50BD">
        <w:rPr>
          <w:rFonts w:ascii="Verdana" w:hAnsi="Verdana"/>
          <w:sz w:val="20"/>
          <w:lang w:val="pt-BR"/>
        </w:rPr>
        <w:t xml:space="preserve"> 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processual e </w:t>
      </w:r>
      <w:r w:rsidR="00DA1591" w:rsidRPr="002F50BD">
        <w:rPr>
          <w:rFonts w:ascii="Verdana" w:hAnsi="Verdana"/>
          <w:sz w:val="20"/>
          <w:lang w:val="pt-BR"/>
        </w:rPr>
        <w:t>material</w:t>
      </w:r>
      <w:r w:rsidR="004756C1" w:rsidRPr="002F50BD">
        <w:rPr>
          <w:rFonts w:ascii="Verdana" w:hAnsi="Verdana"/>
          <w:sz w:val="20"/>
          <w:lang w:val="pt-BR"/>
        </w:rPr>
        <w:t xml:space="preserve"> </w:t>
      </w:r>
      <w:r w:rsidR="00AB454A" w:rsidRPr="002F50BD">
        <w:rPr>
          <w:rFonts w:ascii="Verdana" w:hAnsi="Verdana"/>
          <w:sz w:val="20"/>
          <w:lang w:val="pt-BR"/>
        </w:rPr>
        <w:t xml:space="preserve">não </w:t>
      </w:r>
      <w:r w:rsidR="00FF3563" w:rsidRPr="002F50BD">
        <w:rPr>
          <w:rFonts w:ascii="Verdana" w:hAnsi="Verdana"/>
          <w:sz w:val="20"/>
          <w:lang w:val="pt-BR"/>
        </w:rPr>
        <w:t>são</w:t>
      </w:r>
      <w:r w:rsidRPr="002F50BD">
        <w:rPr>
          <w:rFonts w:ascii="Verdana" w:hAnsi="Verdana"/>
          <w:sz w:val="20"/>
          <w:lang w:val="pt-BR"/>
        </w:rPr>
        <w:t xml:space="preserve"> </w:t>
      </w:r>
      <w:r w:rsidR="004756C1" w:rsidRPr="002F50BD">
        <w:rPr>
          <w:rFonts w:ascii="Verdana" w:hAnsi="Verdana"/>
          <w:sz w:val="20"/>
          <w:lang w:val="pt-BR"/>
        </w:rPr>
        <w:t>definitiva</w:t>
      </w:r>
      <w:r w:rsidR="00FF3563"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conclu</w:t>
      </w:r>
      <w:r w:rsidR="00FF3563" w:rsidRPr="002F50BD">
        <w:rPr>
          <w:rFonts w:ascii="Verdana" w:hAnsi="Verdana"/>
          <w:sz w:val="20"/>
          <w:lang w:val="pt-BR"/>
        </w:rPr>
        <w:t>sivas</w:t>
      </w:r>
      <w:r w:rsidR="004756C1" w:rsidRPr="002F50BD">
        <w:rPr>
          <w:rFonts w:ascii="Verdana" w:hAnsi="Verdana"/>
          <w:sz w:val="20"/>
          <w:lang w:val="pt-BR"/>
        </w:rPr>
        <w:t xml:space="preserve">, </w:t>
      </w:r>
      <w:r w:rsidRPr="002F50BD">
        <w:rPr>
          <w:rFonts w:ascii="Verdana" w:hAnsi="Verdana"/>
          <w:sz w:val="20"/>
          <w:lang w:val="pt-BR"/>
        </w:rPr>
        <w:t>mas</w:t>
      </w:r>
      <w:r w:rsidR="004756C1" w:rsidRPr="002F50BD">
        <w:rPr>
          <w:rFonts w:ascii="Verdana" w:hAnsi="Verdana"/>
          <w:sz w:val="20"/>
          <w:lang w:val="pt-BR"/>
        </w:rPr>
        <w:t xml:space="preserve"> </w:t>
      </w:r>
      <w:r w:rsidR="00FF3563" w:rsidRPr="002F50BD">
        <w:rPr>
          <w:rFonts w:ascii="Verdana" w:hAnsi="Verdana"/>
          <w:sz w:val="20"/>
          <w:lang w:val="pt-BR"/>
        </w:rPr>
        <w:t xml:space="preserve">isso </w:t>
      </w:r>
      <w:r w:rsidR="004756C1" w:rsidRPr="002F50BD">
        <w:rPr>
          <w:rFonts w:ascii="Verdana" w:hAnsi="Verdana"/>
          <w:sz w:val="20"/>
          <w:lang w:val="pt-BR"/>
        </w:rPr>
        <w:t>se</w:t>
      </w:r>
      <w:r w:rsidRPr="002F50BD">
        <w:rPr>
          <w:rFonts w:ascii="Verdana" w:hAnsi="Verdana"/>
          <w:sz w:val="20"/>
          <w:lang w:val="pt-BR"/>
        </w:rPr>
        <w:t xml:space="preserve"> deve </w:t>
      </w:r>
      <w:r w:rsidR="004756C1" w:rsidRPr="002F50BD">
        <w:rPr>
          <w:rFonts w:ascii="Verdana" w:hAnsi="Verdana"/>
          <w:sz w:val="20"/>
          <w:lang w:val="pt-BR"/>
        </w:rPr>
        <w:t>a que</w:t>
      </w:r>
      <w:r w:rsidRPr="002F50BD">
        <w:rPr>
          <w:rFonts w:ascii="Verdana" w:hAnsi="Verdana"/>
          <w:sz w:val="20"/>
          <w:lang w:val="pt-BR"/>
        </w:rPr>
        <w:t xml:space="preserve"> as leis</w:t>
      </w:r>
      <w:r w:rsidR="004756C1" w:rsidRPr="002F50BD">
        <w:rPr>
          <w:rFonts w:ascii="Verdana" w:hAnsi="Verdana"/>
          <w:sz w:val="20"/>
          <w:lang w:val="pt-BR"/>
        </w:rPr>
        <w:t xml:space="preserve"> </w:t>
      </w:r>
      <w:r w:rsidR="00AB454A" w:rsidRPr="002F50BD">
        <w:rPr>
          <w:rFonts w:ascii="Verdana" w:hAnsi="Verdana"/>
          <w:sz w:val="20"/>
          <w:lang w:val="pt-BR"/>
        </w:rPr>
        <w:t>não são</w:t>
      </w:r>
      <w:r w:rsidRPr="002F50BD">
        <w:rPr>
          <w:rFonts w:ascii="Verdana" w:hAnsi="Verdana"/>
          <w:sz w:val="20"/>
          <w:lang w:val="pt-BR"/>
        </w:rPr>
        <w:t xml:space="preserve"> </w:t>
      </w:r>
      <w:r w:rsidR="004756C1" w:rsidRPr="002F50BD">
        <w:rPr>
          <w:rFonts w:ascii="Verdana" w:hAnsi="Verdana"/>
          <w:sz w:val="20"/>
          <w:lang w:val="pt-BR"/>
        </w:rPr>
        <w:t>eternas</w:t>
      </w:r>
      <w:r w:rsidRPr="002F50BD">
        <w:rPr>
          <w:rFonts w:ascii="Verdana" w:hAnsi="Verdana"/>
          <w:sz w:val="20"/>
          <w:lang w:val="pt-BR"/>
        </w:rPr>
        <w:t xml:space="preserve"> nem </w:t>
      </w:r>
      <w:r w:rsidR="004756C1" w:rsidRPr="002F50BD">
        <w:rPr>
          <w:rFonts w:ascii="Verdana" w:hAnsi="Verdana"/>
          <w:sz w:val="20"/>
          <w:lang w:val="pt-BR"/>
        </w:rPr>
        <w:t>imut</w:t>
      </w:r>
      <w:r w:rsidRPr="002F50BD">
        <w:rPr>
          <w:rFonts w:ascii="Verdana" w:hAnsi="Verdana"/>
          <w:sz w:val="20"/>
          <w:lang w:val="pt-BR"/>
        </w:rPr>
        <w:t>áveis</w:t>
      </w:r>
      <w:r w:rsidR="00FF3563" w:rsidRPr="002F50BD">
        <w:rPr>
          <w:rFonts w:ascii="Verdana" w:hAnsi="Verdana"/>
          <w:sz w:val="20"/>
          <w:lang w:val="pt-BR"/>
        </w:rPr>
        <w:t>,</w:t>
      </w:r>
      <w:r w:rsidRPr="002F50BD">
        <w:rPr>
          <w:rFonts w:ascii="Verdana" w:hAnsi="Verdana"/>
          <w:sz w:val="20"/>
          <w:lang w:val="pt-BR"/>
        </w:rPr>
        <w:t xml:space="preserve"> mas dependem dos </w:t>
      </w:r>
      <w:r w:rsidR="004076AD" w:rsidRPr="002F50BD">
        <w:rPr>
          <w:rFonts w:ascii="Verdana" w:hAnsi="Verdana"/>
          <w:sz w:val="20"/>
          <w:lang w:val="pt-BR"/>
        </w:rPr>
        <w:t>requerimento</w:t>
      </w:r>
      <w:r w:rsidR="004756C1" w:rsidRPr="002F50BD">
        <w:rPr>
          <w:rFonts w:ascii="Verdana" w:hAnsi="Verdana"/>
          <w:sz w:val="20"/>
          <w:lang w:val="pt-BR"/>
        </w:rPr>
        <w:t>s</w:t>
      </w:r>
      <w:r w:rsidRPr="002F50BD">
        <w:rPr>
          <w:rFonts w:ascii="Verdana" w:hAnsi="Verdana"/>
          <w:sz w:val="20"/>
          <w:lang w:val="pt-BR"/>
        </w:rPr>
        <w:t xml:space="preserve"> das circunstâncias</w:t>
      </w:r>
      <w:r w:rsidR="004756C1" w:rsidRPr="002F50BD">
        <w:rPr>
          <w:rFonts w:ascii="Verdana" w:hAnsi="Verdana"/>
          <w:sz w:val="20"/>
          <w:lang w:val="pt-BR"/>
        </w:rPr>
        <w:t xml:space="preserve"> histórico-</w:t>
      </w:r>
      <w:r w:rsidRPr="002F50BD">
        <w:rPr>
          <w:rFonts w:ascii="Verdana" w:hAnsi="Verdana"/>
          <w:sz w:val="20"/>
          <w:lang w:val="pt-BR"/>
        </w:rPr>
        <w:t xml:space="preserve">sociais e </w:t>
      </w:r>
      <w:r w:rsidR="006603BE" w:rsidRPr="002F50BD">
        <w:rPr>
          <w:rFonts w:ascii="Verdana" w:hAnsi="Verdana"/>
          <w:sz w:val="20"/>
          <w:lang w:val="pt-BR"/>
        </w:rPr>
        <w:t>d</w:t>
      </w:r>
      <w:r w:rsidRPr="002F50BD">
        <w:rPr>
          <w:rFonts w:ascii="Verdana" w:hAnsi="Verdana"/>
          <w:sz w:val="20"/>
          <w:lang w:val="pt-BR"/>
        </w:rPr>
        <w:t>as necessidad</w:t>
      </w:r>
      <w:r w:rsidR="004756C1" w:rsidRPr="002F50BD">
        <w:rPr>
          <w:rFonts w:ascii="Verdana" w:hAnsi="Verdana"/>
          <w:sz w:val="20"/>
          <w:lang w:val="pt-BR"/>
        </w:rPr>
        <w:t>es</w:t>
      </w:r>
      <w:r w:rsidRPr="002F50BD">
        <w:rPr>
          <w:rFonts w:ascii="Verdana" w:hAnsi="Verdana"/>
          <w:sz w:val="20"/>
          <w:lang w:val="pt-BR"/>
        </w:rPr>
        <w:t xml:space="preserve"> dos </w:t>
      </w:r>
      <w:r w:rsidR="00AB454A" w:rsidRPr="002F50BD">
        <w:rPr>
          <w:rFonts w:ascii="Verdana" w:hAnsi="Verdana"/>
          <w:sz w:val="20"/>
          <w:lang w:val="pt-BR"/>
        </w:rPr>
        <w:t>cidadãos</w:t>
      </w:r>
      <w:r w:rsidR="004756C1" w:rsidRPr="002F50BD" w:rsidDel="00417518">
        <w:rPr>
          <w:rFonts w:ascii="Verdana" w:hAnsi="Verdana"/>
          <w:sz w:val="20"/>
          <w:lang w:val="pt-BR"/>
        </w:rPr>
        <w:t>;</w:t>
      </w:r>
      <w:r w:rsidR="004756C1" w:rsidRPr="002F50BD">
        <w:rPr>
          <w:rFonts w:ascii="Verdana" w:hAnsi="Verdana"/>
          <w:sz w:val="20"/>
          <w:lang w:val="pt-BR"/>
        </w:rPr>
        <w:t xml:space="preserve"> </w:t>
      </w:r>
    </w:p>
    <w:p w:rsidR="00FF3563" w:rsidRPr="002F50BD" w:rsidRDefault="00FF3563" w:rsidP="00FF3563">
      <w:pPr>
        <w:pStyle w:val="BodyText"/>
        <w:widowControl/>
        <w:tabs>
          <w:tab w:val="left" w:pos="1080"/>
        </w:tabs>
        <w:ind w:left="360"/>
        <w:rPr>
          <w:rFonts w:ascii="Verdana" w:hAnsi="Verdana"/>
          <w:sz w:val="20"/>
          <w:lang w:val="pt-BR"/>
        </w:rPr>
      </w:pPr>
    </w:p>
    <w:p w:rsidR="004756C1" w:rsidRPr="002F50BD" w:rsidRDefault="0089298C">
      <w:pPr>
        <w:pStyle w:val="BodyText"/>
        <w:widowControl/>
        <w:numPr>
          <w:ilvl w:val="0"/>
          <w:numId w:val="24"/>
        </w:numPr>
        <w:tabs>
          <w:tab w:val="left" w:pos="720"/>
          <w:tab w:val="left" w:pos="1080"/>
        </w:tabs>
        <w:ind w:left="720"/>
        <w:rPr>
          <w:rFonts w:ascii="Verdana" w:hAnsi="Verdana"/>
          <w:sz w:val="20"/>
          <w:lang w:val="pt-BR"/>
        </w:rPr>
      </w:pPr>
      <w:r w:rsidRPr="002F50BD">
        <w:rPr>
          <w:rFonts w:ascii="Verdana" w:hAnsi="Verdana"/>
          <w:sz w:val="20"/>
          <w:lang w:val="pt-BR"/>
        </w:rPr>
        <w:lastRenderedPageBreak/>
        <w:t>A Constituição</w:t>
      </w:r>
      <w:r w:rsidR="004756C1" w:rsidRPr="002F50BD">
        <w:rPr>
          <w:rFonts w:ascii="Verdana" w:hAnsi="Verdana"/>
          <w:sz w:val="20"/>
          <w:lang w:val="pt-BR"/>
        </w:rPr>
        <w:t xml:space="preserve"> vigente de </w:t>
      </w:r>
      <w:r w:rsidR="00063B47" w:rsidRPr="002F50BD">
        <w:rPr>
          <w:rFonts w:ascii="Verdana" w:hAnsi="Verdana"/>
          <w:sz w:val="20"/>
          <w:lang w:val="pt-BR"/>
        </w:rPr>
        <w:t>1992</w:t>
      </w:r>
      <w:r w:rsidR="004756C1" w:rsidRPr="002F50BD">
        <w:rPr>
          <w:rFonts w:ascii="Verdana" w:hAnsi="Verdana"/>
          <w:sz w:val="20"/>
          <w:lang w:val="pt-BR"/>
        </w:rPr>
        <w:t>,</w:t>
      </w:r>
      <w:r w:rsidRPr="002F50BD">
        <w:rPr>
          <w:rFonts w:ascii="Verdana" w:hAnsi="Verdana"/>
          <w:sz w:val="20"/>
          <w:lang w:val="pt-BR"/>
        </w:rPr>
        <w:t xml:space="preserve"> </w:t>
      </w:r>
      <w:r w:rsidR="00FF3563"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Pr="002F50BD">
        <w:rPr>
          <w:rFonts w:ascii="Verdana" w:hAnsi="Verdana"/>
          <w:sz w:val="20"/>
          <w:lang w:val="pt-BR"/>
        </w:rPr>
        <w:t xml:space="preserve"> da </w:t>
      </w:r>
      <w:r w:rsidR="004756C1" w:rsidRPr="002F50BD">
        <w:rPr>
          <w:rFonts w:ascii="Verdana" w:hAnsi="Verdana"/>
          <w:sz w:val="20"/>
          <w:lang w:val="pt-BR"/>
        </w:rPr>
        <w:t>OIT,</w:t>
      </w:r>
      <w:r w:rsidRPr="002F50BD">
        <w:rPr>
          <w:rFonts w:ascii="Verdana" w:hAnsi="Verdana"/>
          <w:sz w:val="20"/>
          <w:lang w:val="pt-BR"/>
        </w:rPr>
        <w:t xml:space="preserve"> 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1863</w:t>
      </w:r>
      <w:r w:rsidR="004756C1" w:rsidRPr="002F50BD">
        <w:rPr>
          <w:rFonts w:ascii="Verdana" w:hAnsi="Verdana"/>
          <w:sz w:val="20"/>
          <w:lang w:val="pt-BR"/>
        </w:rPr>
        <w:t>/</w:t>
      </w:r>
      <w:r w:rsidR="00063B47" w:rsidRPr="002F50BD">
        <w:rPr>
          <w:rFonts w:ascii="Verdana" w:hAnsi="Verdana"/>
          <w:sz w:val="20"/>
          <w:lang w:val="pt-BR"/>
        </w:rPr>
        <w:t>02</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Estatuto Agr</w:t>
      </w:r>
      <w:r w:rsidR="00FF3563" w:rsidRPr="002F50BD">
        <w:rPr>
          <w:rFonts w:ascii="Verdana" w:hAnsi="Verdana"/>
          <w:sz w:val="20"/>
          <w:lang w:val="pt-BR"/>
        </w:rPr>
        <w:t>á</w:t>
      </w:r>
      <w:r w:rsidR="004756C1" w:rsidRPr="002F50BD">
        <w:rPr>
          <w:rFonts w:ascii="Verdana" w:hAnsi="Verdana"/>
          <w:sz w:val="20"/>
          <w:lang w:val="pt-BR"/>
        </w:rPr>
        <w:t>rio,</w:t>
      </w:r>
      <w:r w:rsidRPr="002F50BD">
        <w:rPr>
          <w:rFonts w:ascii="Verdana" w:hAnsi="Verdana"/>
          <w:sz w:val="20"/>
          <w:lang w:val="pt-BR"/>
        </w:rPr>
        <w:t xml:space="preserve"> 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w:t>
      </w:r>
      <w:r w:rsidRPr="002F50BD">
        <w:rPr>
          <w:rFonts w:ascii="Verdana" w:hAnsi="Verdana"/>
          <w:sz w:val="20"/>
          <w:lang w:val="pt-BR"/>
        </w:rPr>
        <w:t xml:space="preserve"> a Lei Geral</w:t>
      </w:r>
      <w:r w:rsidR="004756C1" w:rsidRPr="002F50BD">
        <w:rPr>
          <w:rFonts w:ascii="Verdana" w:hAnsi="Verdana"/>
          <w:sz w:val="20"/>
          <w:lang w:val="pt-BR"/>
        </w:rPr>
        <w:t xml:space="preserve"> de Educa</w:t>
      </w:r>
      <w:r w:rsidRPr="002F50BD">
        <w:rPr>
          <w:rFonts w:ascii="Verdana" w:hAnsi="Verdana"/>
          <w:sz w:val="20"/>
          <w:lang w:val="pt-BR"/>
        </w:rPr>
        <w:t>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264</w:t>
      </w:r>
      <w:r w:rsidR="004756C1" w:rsidRPr="002F50BD">
        <w:rPr>
          <w:rFonts w:ascii="Verdana" w:hAnsi="Verdana"/>
          <w:sz w:val="20"/>
          <w:lang w:val="pt-BR"/>
        </w:rPr>
        <w:t>/</w:t>
      </w:r>
      <w:r w:rsidR="00063B47" w:rsidRPr="002F50BD">
        <w:rPr>
          <w:rFonts w:ascii="Verdana" w:hAnsi="Verdana"/>
          <w:sz w:val="20"/>
          <w:lang w:val="pt-BR"/>
        </w:rPr>
        <w:t>98</w:t>
      </w:r>
      <w:r w:rsidRPr="002F50BD">
        <w:rPr>
          <w:rFonts w:ascii="Verdana" w:hAnsi="Verdana"/>
          <w:sz w:val="20"/>
          <w:lang w:val="pt-BR"/>
        </w:rPr>
        <w:t xml:space="preserve"> e o </w:t>
      </w:r>
      <w:r w:rsidR="004756C1" w:rsidRPr="002F50BD">
        <w:rPr>
          <w:rFonts w:ascii="Verdana" w:hAnsi="Verdana"/>
          <w:sz w:val="20"/>
          <w:lang w:val="pt-BR"/>
        </w:rPr>
        <w:t xml:space="preserve">Código </w:t>
      </w:r>
      <w:r w:rsidRPr="002F50BD">
        <w:rPr>
          <w:rFonts w:ascii="Verdana" w:hAnsi="Verdana"/>
          <w:sz w:val="20"/>
          <w:lang w:val="pt-BR"/>
        </w:rPr>
        <w:t xml:space="preserve">Processual </w:t>
      </w:r>
      <w:r w:rsidR="004756C1" w:rsidRPr="002F50BD">
        <w:rPr>
          <w:rFonts w:ascii="Verdana" w:hAnsi="Verdana"/>
          <w:sz w:val="20"/>
          <w:lang w:val="pt-BR"/>
        </w:rPr>
        <w:t xml:space="preserve">Penal, entre </w:t>
      </w:r>
      <w:r w:rsidRPr="002F50BD">
        <w:rPr>
          <w:rFonts w:ascii="Verdana" w:hAnsi="Verdana"/>
          <w:sz w:val="20"/>
          <w:lang w:val="pt-BR"/>
        </w:rPr>
        <w:t>outra</w:t>
      </w:r>
      <w:r w:rsidR="004756C1" w:rsidRPr="002F50BD">
        <w:rPr>
          <w:rFonts w:ascii="Verdana" w:hAnsi="Verdana"/>
          <w:sz w:val="20"/>
          <w:lang w:val="pt-BR"/>
        </w:rPr>
        <w:t xml:space="preserve">s normas, </w:t>
      </w:r>
      <w:r w:rsidR="004076AD" w:rsidRPr="002F50BD">
        <w:rPr>
          <w:rFonts w:ascii="Verdana" w:hAnsi="Verdana"/>
          <w:sz w:val="20"/>
          <w:lang w:val="pt-BR"/>
        </w:rPr>
        <w:t>demonstra</w:t>
      </w:r>
      <w:r w:rsidRPr="002F50BD">
        <w:rPr>
          <w:rFonts w:ascii="Verdana" w:hAnsi="Verdana"/>
          <w:sz w:val="20"/>
          <w:lang w:val="pt-BR"/>
        </w:rPr>
        <w:t>m os esforço</w:t>
      </w:r>
      <w:r w:rsidR="004756C1" w:rsidRPr="002F50BD">
        <w:rPr>
          <w:rFonts w:ascii="Verdana" w:hAnsi="Verdana"/>
          <w:sz w:val="20"/>
          <w:lang w:val="pt-BR"/>
        </w:rPr>
        <w:t>s que</w:t>
      </w:r>
      <w:r w:rsidRPr="002F50BD">
        <w:rPr>
          <w:rFonts w:ascii="Verdana" w:hAnsi="Verdana"/>
          <w:sz w:val="20"/>
          <w:lang w:val="pt-BR"/>
        </w:rPr>
        <w:t xml:space="preserve"> estão sendo</w:t>
      </w:r>
      <w:r w:rsidR="004756C1" w:rsidRPr="002F50BD">
        <w:rPr>
          <w:rFonts w:ascii="Verdana" w:hAnsi="Verdana"/>
          <w:sz w:val="20"/>
          <w:lang w:val="pt-BR"/>
        </w:rPr>
        <w:t xml:space="preserve"> dirigidos </w:t>
      </w:r>
      <w:r w:rsidR="00FF3563" w:rsidRPr="002F50BD">
        <w:rPr>
          <w:rFonts w:ascii="Verdana" w:hAnsi="Verdana"/>
          <w:sz w:val="20"/>
          <w:lang w:val="pt-BR"/>
        </w:rPr>
        <w:t xml:space="preserve">para </w:t>
      </w:r>
      <w:r w:rsidRPr="002F50BD">
        <w:rPr>
          <w:rFonts w:ascii="Verdana" w:hAnsi="Verdana"/>
          <w:sz w:val="20"/>
          <w:lang w:val="pt-BR"/>
        </w:rPr>
        <w:t xml:space="preserve">a </w:t>
      </w:r>
      <w:r w:rsidR="004756C1" w:rsidRPr="002F50BD">
        <w:rPr>
          <w:rFonts w:ascii="Verdana" w:hAnsi="Verdana"/>
          <w:sz w:val="20"/>
          <w:lang w:val="pt-BR"/>
        </w:rPr>
        <w:t>ade</w:t>
      </w:r>
      <w:r w:rsidR="00FF3563" w:rsidRPr="002F50BD">
        <w:rPr>
          <w:rFonts w:ascii="Verdana" w:hAnsi="Verdana"/>
          <w:sz w:val="20"/>
          <w:lang w:val="pt-BR"/>
        </w:rPr>
        <w:t>q</w:t>
      </w:r>
      <w:r w:rsidR="004756C1" w:rsidRPr="002F50BD">
        <w:rPr>
          <w:rFonts w:ascii="Verdana" w:hAnsi="Verdana"/>
          <w:sz w:val="20"/>
          <w:lang w:val="pt-BR"/>
        </w:rPr>
        <w:t>ua</w:t>
      </w:r>
      <w:r w:rsidRPr="002F50BD">
        <w:rPr>
          <w:rFonts w:ascii="Verdana" w:hAnsi="Verdana"/>
          <w:sz w:val="20"/>
          <w:lang w:val="pt-BR"/>
        </w:rPr>
        <w:t>ção</w:t>
      </w:r>
      <w:r w:rsidR="004756C1" w:rsidRPr="002F50BD">
        <w:rPr>
          <w:rFonts w:ascii="Verdana" w:hAnsi="Verdana"/>
          <w:sz w:val="20"/>
          <w:lang w:val="pt-BR"/>
        </w:rPr>
        <w:t xml:space="preserve"> legislativa de </w:t>
      </w:r>
      <w:r w:rsidRPr="002F50BD">
        <w:rPr>
          <w:rFonts w:ascii="Verdana" w:hAnsi="Verdana"/>
          <w:sz w:val="20"/>
          <w:lang w:val="pt-BR"/>
        </w:rPr>
        <w:t>parâmetro</w:t>
      </w:r>
      <w:r w:rsidR="004756C1" w:rsidRPr="002F50BD">
        <w:rPr>
          <w:rFonts w:ascii="Verdana" w:hAnsi="Verdana"/>
          <w:sz w:val="20"/>
          <w:lang w:val="pt-BR"/>
        </w:rPr>
        <w:t>s participativos</w:t>
      </w:r>
      <w:r w:rsidRPr="002F50BD">
        <w:rPr>
          <w:rFonts w:ascii="Verdana" w:hAnsi="Verdana"/>
          <w:sz w:val="20"/>
          <w:lang w:val="pt-BR"/>
        </w:rPr>
        <w:t xml:space="preserve"> e </w:t>
      </w:r>
      <w:r w:rsidR="004756C1" w:rsidRPr="002F50BD">
        <w:rPr>
          <w:rFonts w:ascii="Verdana" w:hAnsi="Verdana"/>
          <w:sz w:val="20"/>
          <w:lang w:val="pt-BR"/>
        </w:rPr>
        <w:t>democráticos que reformule</w:t>
      </w:r>
      <w:r w:rsidR="00FF3563" w:rsidRPr="002F50BD">
        <w:rPr>
          <w:rFonts w:ascii="Verdana" w:hAnsi="Verdana"/>
          <w:sz w:val="20"/>
          <w:lang w:val="pt-BR"/>
        </w:rPr>
        <w:t>m</w:t>
      </w:r>
      <w:r w:rsidRPr="002F50BD">
        <w:rPr>
          <w:rFonts w:ascii="Verdana" w:hAnsi="Verdana"/>
          <w:sz w:val="20"/>
          <w:lang w:val="pt-BR"/>
        </w:rPr>
        <w:t xml:space="preserve"> os </w:t>
      </w:r>
      <w:r w:rsidR="004756C1" w:rsidRPr="002F50BD">
        <w:rPr>
          <w:rFonts w:ascii="Verdana" w:hAnsi="Verdana"/>
          <w:sz w:val="20"/>
          <w:lang w:val="pt-BR"/>
        </w:rPr>
        <w:t xml:space="preserve">objetivos </w:t>
      </w:r>
      <w:r w:rsidRPr="002F50BD">
        <w:rPr>
          <w:rFonts w:ascii="Verdana" w:hAnsi="Verdana"/>
          <w:sz w:val="20"/>
          <w:lang w:val="pt-BR"/>
        </w:rPr>
        <w:t>nacionais</w:t>
      </w:r>
      <w:r w:rsidR="004756C1" w:rsidRPr="002F50BD">
        <w:rPr>
          <w:rFonts w:ascii="Verdana" w:hAnsi="Verdana"/>
          <w:sz w:val="20"/>
          <w:lang w:val="pt-BR"/>
        </w:rPr>
        <w:t xml:space="preserve"> </w:t>
      </w:r>
      <w:r w:rsidR="00DA1591" w:rsidRPr="002F50BD">
        <w:rPr>
          <w:rFonts w:ascii="Verdana" w:hAnsi="Verdana"/>
          <w:sz w:val="20"/>
          <w:lang w:val="pt-BR"/>
        </w:rPr>
        <w:t>quanto às</w:t>
      </w:r>
      <w:r w:rsidR="00FF3563" w:rsidRPr="002F50BD">
        <w:rPr>
          <w:rFonts w:ascii="Verdana" w:hAnsi="Verdana"/>
          <w:sz w:val="20"/>
          <w:lang w:val="pt-BR"/>
        </w:rPr>
        <w:t xml:space="preserve"> </w:t>
      </w:r>
      <w:r w:rsidR="004756C1" w:rsidRPr="002F50BD">
        <w:rPr>
          <w:rFonts w:ascii="Verdana" w:hAnsi="Verdana"/>
          <w:sz w:val="20"/>
          <w:lang w:val="pt-BR"/>
        </w:rPr>
        <w:t xml:space="preserve">metas de </w:t>
      </w:r>
      <w:r w:rsidRPr="002F50BD">
        <w:rPr>
          <w:rFonts w:ascii="Verdana" w:hAnsi="Verdana"/>
          <w:sz w:val="20"/>
          <w:lang w:val="pt-BR"/>
        </w:rPr>
        <w:t>desenvolvimento</w:t>
      </w:r>
      <w:r w:rsidR="004756C1" w:rsidRPr="002F50BD">
        <w:rPr>
          <w:rFonts w:ascii="Verdana" w:hAnsi="Verdana"/>
          <w:sz w:val="20"/>
          <w:lang w:val="pt-BR"/>
        </w:rPr>
        <w:t xml:space="preserve"> integral</w:t>
      </w:r>
      <w:r w:rsidRPr="002F50BD">
        <w:rPr>
          <w:rFonts w:ascii="Verdana" w:hAnsi="Verdana"/>
          <w:sz w:val="20"/>
          <w:lang w:val="pt-BR"/>
        </w:rPr>
        <w:t xml:space="preserve"> da </w:t>
      </w:r>
      <w:r w:rsidR="006603BE" w:rsidRPr="002F50BD">
        <w:rPr>
          <w:rFonts w:ascii="Verdana" w:hAnsi="Verdana"/>
          <w:sz w:val="20"/>
          <w:lang w:val="pt-BR"/>
        </w:rPr>
        <w:t>população</w:t>
      </w:r>
      <w:r w:rsidRPr="002F50BD">
        <w:rPr>
          <w:rFonts w:ascii="Verdana" w:hAnsi="Verdana"/>
          <w:sz w:val="20"/>
          <w:lang w:val="pt-BR"/>
        </w:rPr>
        <w:t xml:space="preserve"> em geral e dos coletiv</w:t>
      </w:r>
      <w:r w:rsidR="004756C1" w:rsidRPr="002F50BD">
        <w:rPr>
          <w:rFonts w:ascii="Verdana" w:hAnsi="Verdana"/>
          <w:sz w:val="20"/>
          <w:lang w:val="pt-BR"/>
        </w:rPr>
        <w:t>os específicos, como</w:t>
      </w:r>
      <w:r w:rsidRPr="002F50BD">
        <w:rPr>
          <w:rFonts w:ascii="Verdana" w:hAnsi="Verdana"/>
          <w:sz w:val="20"/>
          <w:lang w:val="pt-BR"/>
        </w:rPr>
        <w:t xml:space="preserve"> é o </w:t>
      </w:r>
      <w:r w:rsidR="004756C1" w:rsidRPr="002F50BD">
        <w:rPr>
          <w:rFonts w:ascii="Verdana" w:hAnsi="Verdana"/>
          <w:sz w:val="20"/>
          <w:lang w:val="pt-BR"/>
        </w:rPr>
        <w:t>caso</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e</w:t>
      </w:r>
    </w:p>
    <w:p w:rsidR="00FF3563" w:rsidRPr="002F50BD" w:rsidRDefault="00FF3563" w:rsidP="00FF3563">
      <w:pPr>
        <w:pStyle w:val="BodyText"/>
        <w:widowControl/>
        <w:tabs>
          <w:tab w:val="left" w:pos="1080"/>
        </w:tabs>
        <w:ind w:left="360"/>
        <w:rPr>
          <w:rFonts w:ascii="Verdana" w:hAnsi="Verdana"/>
          <w:sz w:val="20"/>
          <w:lang w:val="pt-BR"/>
        </w:rPr>
      </w:pPr>
    </w:p>
    <w:p w:rsidR="004756C1" w:rsidRPr="002F50BD" w:rsidRDefault="0089298C">
      <w:pPr>
        <w:pStyle w:val="BodyText"/>
        <w:widowControl/>
        <w:numPr>
          <w:ilvl w:val="0"/>
          <w:numId w:val="24"/>
        </w:numPr>
        <w:tabs>
          <w:tab w:val="left" w:pos="1080"/>
        </w:tabs>
        <w:ind w:left="720"/>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vigente sobre</w:t>
      </w:r>
      <w:r w:rsidRPr="002F50BD">
        <w:rPr>
          <w:rFonts w:ascii="Verdana" w:hAnsi="Verdana"/>
          <w:sz w:val="20"/>
          <w:lang w:val="pt-BR"/>
        </w:rPr>
        <w:t xml:space="preserve"> o acesso </w:t>
      </w:r>
      <w:r w:rsidR="00951B61">
        <w:rPr>
          <w:rFonts w:ascii="Verdana" w:hAnsi="Verdana"/>
          <w:sz w:val="20"/>
          <w:lang w:val="pt-BR"/>
        </w:rPr>
        <w:t>à</w:t>
      </w:r>
      <w:r w:rsidRPr="002F50BD">
        <w:rPr>
          <w:rFonts w:ascii="Verdana" w:hAnsi="Verdana"/>
          <w:sz w:val="20"/>
          <w:lang w:val="pt-BR"/>
        </w:rPr>
        <w:t xml:space="preserve"> terra é </w:t>
      </w:r>
      <w:r w:rsidR="00FF3563" w:rsidRPr="002F50BD">
        <w:rPr>
          <w:rFonts w:ascii="Verdana" w:hAnsi="Verdana"/>
          <w:sz w:val="20"/>
          <w:lang w:val="pt-BR"/>
        </w:rPr>
        <w:t xml:space="preserve">aperfeiçoável </w:t>
      </w:r>
      <w:r w:rsidRPr="002F50BD">
        <w:rPr>
          <w:rFonts w:ascii="Verdana" w:hAnsi="Verdana"/>
          <w:sz w:val="20"/>
          <w:lang w:val="pt-BR"/>
        </w:rPr>
        <w:t>e</w:t>
      </w:r>
      <w:r w:rsidR="00FF3563" w:rsidRPr="002F50BD">
        <w:rPr>
          <w:rFonts w:ascii="Verdana" w:hAnsi="Verdana"/>
          <w:sz w:val="20"/>
          <w:lang w:val="pt-BR"/>
        </w:rPr>
        <w:t>,</w:t>
      </w:r>
      <w:r w:rsidRPr="002F50BD">
        <w:rPr>
          <w:rFonts w:ascii="Verdana" w:hAnsi="Verdana"/>
          <w:sz w:val="20"/>
          <w:lang w:val="pt-BR"/>
        </w:rPr>
        <w:t xml:space="preserve"> portanto</w:t>
      </w:r>
      <w:r w:rsidR="00FF3563" w:rsidRPr="002F50BD">
        <w:rPr>
          <w:rFonts w:ascii="Verdana" w:hAnsi="Verdana"/>
          <w:sz w:val="20"/>
          <w:lang w:val="pt-BR"/>
        </w:rPr>
        <w:t>,</w:t>
      </w:r>
      <w:r w:rsidR="004756C1" w:rsidRPr="002F50BD">
        <w:rPr>
          <w:rFonts w:ascii="Verdana" w:hAnsi="Verdana"/>
          <w:sz w:val="20"/>
          <w:lang w:val="pt-BR"/>
        </w:rPr>
        <w:t xml:space="preserve"> neces</w:t>
      </w:r>
      <w:r w:rsidR="00FF3563" w:rsidRPr="002F50BD">
        <w:rPr>
          <w:rFonts w:ascii="Verdana" w:hAnsi="Verdana"/>
          <w:sz w:val="20"/>
          <w:lang w:val="pt-BR"/>
        </w:rPr>
        <w:t>s</w:t>
      </w:r>
      <w:r w:rsidR="004756C1" w:rsidRPr="002F50BD">
        <w:rPr>
          <w:rFonts w:ascii="Verdana" w:hAnsi="Verdana"/>
          <w:sz w:val="20"/>
          <w:lang w:val="pt-BR"/>
        </w:rPr>
        <w:t>ita</w:t>
      </w:r>
      <w:r w:rsidRPr="002F50BD">
        <w:rPr>
          <w:rFonts w:ascii="Verdana" w:hAnsi="Verdana"/>
          <w:sz w:val="20"/>
          <w:lang w:val="pt-BR"/>
        </w:rPr>
        <w:t xml:space="preserve"> </w:t>
      </w:r>
      <w:r w:rsidR="00FF3563" w:rsidRPr="002F50BD">
        <w:rPr>
          <w:rFonts w:ascii="Verdana" w:hAnsi="Verdana"/>
          <w:sz w:val="20"/>
          <w:lang w:val="pt-BR"/>
        </w:rPr>
        <w:t xml:space="preserve">de </w:t>
      </w:r>
      <w:r w:rsidRPr="002F50BD">
        <w:rPr>
          <w:rFonts w:ascii="Verdana" w:hAnsi="Verdana"/>
          <w:sz w:val="20"/>
          <w:lang w:val="pt-BR"/>
        </w:rPr>
        <w:t xml:space="preserve">uma </w:t>
      </w:r>
      <w:r w:rsidR="004756C1" w:rsidRPr="002F50BD">
        <w:rPr>
          <w:rFonts w:ascii="Verdana" w:hAnsi="Verdana"/>
          <w:sz w:val="20"/>
          <w:lang w:val="pt-BR"/>
        </w:rPr>
        <w:t>disposi</w:t>
      </w:r>
      <w:r w:rsidRPr="002F50BD">
        <w:rPr>
          <w:rFonts w:ascii="Verdana" w:hAnsi="Verdana"/>
          <w:sz w:val="20"/>
          <w:lang w:val="pt-BR"/>
        </w:rPr>
        <w:t>ção</w:t>
      </w:r>
      <w:r w:rsidR="004756C1" w:rsidRPr="002F50BD">
        <w:rPr>
          <w:rFonts w:ascii="Verdana" w:hAnsi="Verdana"/>
          <w:sz w:val="20"/>
          <w:lang w:val="pt-BR"/>
        </w:rPr>
        <w:t xml:space="preserve"> especial que trate</w:t>
      </w:r>
      <w:r w:rsidRPr="002F50BD">
        <w:rPr>
          <w:rFonts w:ascii="Verdana" w:hAnsi="Verdana"/>
          <w:sz w:val="20"/>
          <w:lang w:val="pt-BR"/>
        </w:rPr>
        <w:t xml:space="preserve"> da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que implica</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de </w:t>
      </w:r>
      <w:r w:rsidRPr="002F50BD">
        <w:rPr>
          <w:rFonts w:ascii="Verdana" w:hAnsi="Verdana"/>
          <w:sz w:val="20"/>
          <w:lang w:val="pt-BR"/>
        </w:rPr>
        <w:t>propriedade</w:t>
      </w:r>
      <w:r w:rsidR="004756C1" w:rsidRPr="002F50BD">
        <w:rPr>
          <w:rFonts w:ascii="Verdana" w:hAnsi="Verdana"/>
          <w:sz w:val="20"/>
          <w:lang w:val="pt-BR"/>
        </w:rPr>
        <w:t xml:space="preserve"> ancestral indígena </w:t>
      </w:r>
      <w:r w:rsidR="006603BE" w:rsidRPr="002F50BD">
        <w:rPr>
          <w:rFonts w:ascii="Verdana" w:hAnsi="Verdana"/>
          <w:sz w:val="20"/>
          <w:lang w:val="pt-BR"/>
        </w:rPr>
        <w:t>em face d</w:t>
      </w:r>
      <w:r w:rsidRPr="002F50BD">
        <w:rPr>
          <w:rFonts w:ascii="Verdana" w:hAnsi="Verdana"/>
          <w:sz w:val="20"/>
          <w:lang w:val="pt-BR"/>
        </w:rPr>
        <w:t xml:space="preserve">o direito dos </w:t>
      </w:r>
      <w:r w:rsidR="007801FA" w:rsidRPr="002F50BD">
        <w:rPr>
          <w:rFonts w:ascii="Verdana" w:hAnsi="Verdana"/>
          <w:sz w:val="20"/>
          <w:lang w:val="pt-BR"/>
        </w:rPr>
        <w:t>proprietário</w:t>
      </w:r>
      <w:r w:rsidR="004756C1" w:rsidRPr="002F50BD">
        <w:rPr>
          <w:rFonts w:ascii="Verdana" w:hAnsi="Verdana"/>
          <w:sz w:val="20"/>
          <w:lang w:val="pt-BR"/>
        </w:rPr>
        <w:t xml:space="preserve">s </w:t>
      </w:r>
      <w:r w:rsidRPr="002F50BD">
        <w:rPr>
          <w:rFonts w:ascii="Verdana" w:hAnsi="Verdana"/>
          <w:sz w:val="20"/>
          <w:lang w:val="pt-BR"/>
        </w:rPr>
        <w:t>atuais</w:t>
      </w:r>
      <w:r w:rsidR="004756C1" w:rsidRPr="002F50BD">
        <w:rPr>
          <w:rFonts w:ascii="Verdana" w:hAnsi="Verdana"/>
          <w:sz w:val="20"/>
          <w:lang w:val="pt-BR"/>
        </w:rPr>
        <w:t xml:space="preserve"> de </w:t>
      </w:r>
      <w:r w:rsidR="000920B2" w:rsidRPr="002F50BD">
        <w:rPr>
          <w:rFonts w:ascii="Verdana" w:hAnsi="Verdana"/>
          <w:sz w:val="20"/>
          <w:lang w:val="pt-BR"/>
        </w:rPr>
        <w:t>imóveis</w:t>
      </w:r>
      <w:r w:rsidR="004756C1" w:rsidRPr="002F50BD">
        <w:rPr>
          <w:rFonts w:ascii="Verdana" w:hAnsi="Verdana"/>
          <w:sz w:val="20"/>
          <w:lang w:val="pt-BR"/>
        </w:rPr>
        <w:t xml:space="preserve"> de dom</w:t>
      </w:r>
      <w:r w:rsidR="00FF3563" w:rsidRPr="002F50BD">
        <w:rPr>
          <w:rFonts w:ascii="Verdana" w:hAnsi="Verdana"/>
          <w:sz w:val="20"/>
          <w:lang w:val="pt-BR"/>
        </w:rPr>
        <w:t>í</w:t>
      </w:r>
      <w:r w:rsidR="004756C1" w:rsidRPr="002F50BD">
        <w:rPr>
          <w:rFonts w:ascii="Verdana" w:hAnsi="Verdana"/>
          <w:sz w:val="20"/>
          <w:lang w:val="pt-BR"/>
        </w:rPr>
        <w:t>nio privado</w:t>
      </w:r>
      <w:r w:rsidR="001A0CDE" w:rsidRPr="002F50BD">
        <w:rPr>
          <w:rFonts w:ascii="Verdana" w:hAnsi="Verdana"/>
          <w:sz w:val="20"/>
          <w:lang w:val="pt-BR"/>
        </w:rPr>
        <w:t xml:space="preserve">. </w:t>
      </w:r>
      <w:r w:rsidR="00CF451D">
        <w:rPr>
          <w:rFonts w:ascii="Verdana" w:hAnsi="Verdana"/>
          <w:sz w:val="20"/>
          <w:lang w:val="pt-BR"/>
        </w:rPr>
        <w:t>Nesse sentido,</w:t>
      </w:r>
      <w:r w:rsidR="004756C1" w:rsidRPr="002F50BD">
        <w:rPr>
          <w:rFonts w:ascii="Verdana" w:hAnsi="Verdana"/>
          <w:sz w:val="20"/>
          <w:lang w:val="pt-BR"/>
        </w:rPr>
        <w:t xml:space="preserve"> existe</w:t>
      </w:r>
      <w:r w:rsidRPr="002F50BD">
        <w:rPr>
          <w:rFonts w:ascii="Verdana" w:hAnsi="Verdana"/>
          <w:sz w:val="20"/>
          <w:lang w:val="pt-BR"/>
        </w:rPr>
        <w:t xml:space="preserve"> a necessidade </w:t>
      </w:r>
      <w:r w:rsidR="004756C1" w:rsidRPr="002F50BD">
        <w:rPr>
          <w:rFonts w:ascii="Verdana" w:hAnsi="Verdana"/>
          <w:sz w:val="20"/>
          <w:lang w:val="pt-BR"/>
        </w:rPr>
        <w:t>de implementar</w:t>
      </w:r>
      <w:r w:rsidRPr="002F50BD">
        <w:rPr>
          <w:rFonts w:ascii="Verdana" w:hAnsi="Verdana"/>
          <w:sz w:val="20"/>
          <w:lang w:val="pt-BR"/>
        </w:rPr>
        <w:t xml:space="preserve"> uma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que contemple</w:t>
      </w:r>
      <w:r w:rsidRPr="002F50BD">
        <w:rPr>
          <w:rFonts w:ascii="Verdana" w:hAnsi="Verdana"/>
          <w:sz w:val="20"/>
          <w:lang w:val="pt-BR"/>
        </w:rPr>
        <w:t xml:space="preserve"> um </w:t>
      </w:r>
      <w:r w:rsidR="004756C1" w:rsidRPr="002F50BD">
        <w:rPr>
          <w:rFonts w:ascii="Verdana" w:hAnsi="Verdana"/>
          <w:sz w:val="20"/>
          <w:lang w:val="pt-BR"/>
        </w:rPr>
        <w:t xml:space="preserve">recurso </w:t>
      </w:r>
      <w:r w:rsidRPr="002F50BD">
        <w:rPr>
          <w:rFonts w:ascii="Verdana" w:hAnsi="Verdana"/>
          <w:sz w:val="20"/>
          <w:lang w:val="pt-BR"/>
        </w:rPr>
        <w:t>efetiv</w:t>
      </w:r>
      <w:r w:rsidR="004756C1" w:rsidRPr="002F50BD">
        <w:rPr>
          <w:rFonts w:ascii="Verdana" w:hAnsi="Verdana"/>
          <w:sz w:val="20"/>
          <w:lang w:val="pt-BR"/>
        </w:rPr>
        <w:t>o</w:t>
      </w:r>
      <w:r w:rsidRPr="002F50BD">
        <w:rPr>
          <w:rFonts w:ascii="Verdana" w:hAnsi="Verdana"/>
          <w:sz w:val="20"/>
          <w:lang w:val="pt-BR"/>
        </w:rPr>
        <w:t xml:space="preserve"> e </w:t>
      </w:r>
      <w:r w:rsidR="004756C1" w:rsidRPr="002F50BD">
        <w:rPr>
          <w:rFonts w:ascii="Verdana" w:hAnsi="Verdana"/>
          <w:sz w:val="20"/>
          <w:lang w:val="pt-BR"/>
        </w:rPr>
        <w:t>rápido para ser utilizado</w:t>
      </w:r>
      <w:r w:rsidRPr="002F50BD">
        <w:rPr>
          <w:rFonts w:ascii="Verdana" w:hAnsi="Verdana"/>
          <w:sz w:val="20"/>
          <w:lang w:val="pt-BR"/>
        </w:rPr>
        <w:t xml:space="preserve"> nestas </w:t>
      </w:r>
      <w:r w:rsidR="004756C1" w:rsidRPr="002F50BD">
        <w:rPr>
          <w:rFonts w:ascii="Verdana" w:hAnsi="Verdana"/>
          <w:sz w:val="20"/>
          <w:lang w:val="pt-BR"/>
        </w:rPr>
        <w:t>situa</w:t>
      </w:r>
      <w:r w:rsidRPr="002F50BD">
        <w:rPr>
          <w:rFonts w:ascii="Verdana" w:hAnsi="Verdana"/>
          <w:sz w:val="20"/>
          <w:lang w:val="pt-BR"/>
        </w:rPr>
        <w:t>ções</w:t>
      </w:r>
      <w:r w:rsidR="004756C1" w:rsidRPr="002F50BD">
        <w:rPr>
          <w:rFonts w:ascii="Verdana" w:hAnsi="Verdana"/>
          <w:sz w:val="20"/>
          <w:lang w:val="pt-BR"/>
        </w:rPr>
        <w:t xml:space="preserve"> de </w:t>
      </w:r>
      <w:r w:rsidR="00937400" w:rsidRPr="002F50BD">
        <w:rPr>
          <w:rFonts w:ascii="Verdana" w:hAnsi="Verdana"/>
          <w:sz w:val="20"/>
          <w:lang w:val="pt-BR"/>
        </w:rPr>
        <w:t>colisão</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s.</w:t>
      </w:r>
    </w:p>
    <w:p w:rsidR="004756C1" w:rsidRPr="002F50BD" w:rsidRDefault="004756C1">
      <w:pPr>
        <w:pStyle w:val="BodyText"/>
        <w:tabs>
          <w:tab w:val="left" w:pos="360"/>
        </w:tabs>
        <w:rPr>
          <w:rFonts w:ascii="Verdana" w:hAnsi="Verdana"/>
          <w:sz w:val="20"/>
          <w:lang w:val="pt-BR"/>
        </w:rPr>
      </w:pPr>
    </w:p>
    <w:p w:rsidR="004756C1" w:rsidRPr="002F50BD" w:rsidRDefault="004756C1">
      <w:pPr>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FF3563" w:rsidRPr="002F50BD" w:rsidRDefault="00FF3563" w:rsidP="00FF3563">
      <w:pPr>
        <w:pStyle w:val="Textoindependiente1"/>
        <w:rPr>
          <w:sz w:val="20"/>
          <w:lang w:val="pt-BR"/>
        </w:rPr>
      </w:pPr>
    </w:p>
    <w:p w:rsidR="004756C1" w:rsidRPr="002F50BD" w:rsidRDefault="0089298C">
      <w:pPr>
        <w:pStyle w:val="Textoindependiente1"/>
        <w:numPr>
          <w:ilvl w:val="0"/>
          <w:numId w:val="26"/>
        </w:numPr>
        <w:rPr>
          <w:sz w:val="20"/>
          <w:lang w:val="pt-BR"/>
        </w:rPr>
      </w:pPr>
      <w:r w:rsidRPr="002F50BD">
        <w:rPr>
          <w:sz w:val="20"/>
          <w:lang w:val="pt-BR"/>
        </w:rPr>
        <w:t>O artigo</w:t>
      </w:r>
      <w:r w:rsidR="004756C1" w:rsidRPr="002F50BD">
        <w:rPr>
          <w:sz w:val="20"/>
          <w:lang w:val="pt-BR"/>
        </w:rPr>
        <w:t xml:space="preserve"> </w:t>
      </w:r>
      <w:r w:rsidR="00063B47" w:rsidRPr="002F50BD">
        <w:rPr>
          <w:sz w:val="20"/>
          <w:lang w:val="pt-BR"/>
        </w:rPr>
        <w:t>8</w:t>
      </w:r>
      <w:r w:rsidRPr="002F50BD">
        <w:rPr>
          <w:sz w:val="20"/>
          <w:lang w:val="pt-BR"/>
        </w:rPr>
        <w:t xml:space="preserve"> da </w:t>
      </w:r>
      <w:r w:rsidR="004756C1" w:rsidRPr="002F50BD">
        <w:rPr>
          <w:sz w:val="20"/>
          <w:lang w:val="pt-BR"/>
        </w:rPr>
        <w:t>Conven</w:t>
      </w:r>
      <w:r w:rsidRPr="002F50BD">
        <w:rPr>
          <w:sz w:val="20"/>
          <w:lang w:val="pt-BR"/>
        </w:rPr>
        <w:t>ção</w:t>
      </w:r>
      <w:r w:rsidR="004756C1" w:rsidRPr="002F50BD">
        <w:rPr>
          <w:sz w:val="20"/>
          <w:lang w:val="pt-BR"/>
        </w:rPr>
        <w:t xml:space="preserve"> Americana </w:t>
      </w:r>
      <w:r w:rsidRPr="002F50BD">
        <w:rPr>
          <w:sz w:val="20"/>
          <w:lang w:val="pt-BR"/>
        </w:rPr>
        <w:t>estabelece</w:t>
      </w:r>
      <w:r w:rsidR="004756C1" w:rsidRPr="002F50BD">
        <w:rPr>
          <w:sz w:val="20"/>
          <w:lang w:val="pt-BR"/>
        </w:rPr>
        <w:t xml:space="preserve"> que:</w:t>
      </w:r>
    </w:p>
    <w:p w:rsidR="004756C1" w:rsidRPr="002F50BD" w:rsidRDefault="004756C1">
      <w:pPr>
        <w:jc w:val="both"/>
        <w:rPr>
          <w:rFonts w:ascii="Verdana" w:hAnsi="Verdana"/>
          <w:sz w:val="20"/>
          <w:lang w:val="pt-BR"/>
        </w:rPr>
      </w:pPr>
    </w:p>
    <w:p w:rsidR="00FF3563" w:rsidRPr="002F50BD" w:rsidRDefault="00063B47" w:rsidP="00FF3563">
      <w:pPr>
        <w:pStyle w:val="BodyText"/>
        <w:tabs>
          <w:tab w:val="left" w:pos="1080"/>
        </w:tabs>
        <w:ind w:left="720" w:right="720"/>
        <w:rPr>
          <w:rFonts w:ascii="Verdana" w:hAnsi="Verdana"/>
          <w:sz w:val="16"/>
          <w:lang w:val="pt-BR"/>
        </w:rPr>
      </w:pPr>
      <w:r w:rsidRPr="002F50BD">
        <w:rPr>
          <w:rFonts w:ascii="Verdana" w:hAnsi="Verdana"/>
          <w:sz w:val="16"/>
          <w:lang w:val="pt-BR"/>
        </w:rPr>
        <w:t>1</w:t>
      </w:r>
      <w:r w:rsidR="004756C1" w:rsidRPr="002F50BD">
        <w:rPr>
          <w:rFonts w:ascii="Verdana" w:hAnsi="Verdana"/>
          <w:sz w:val="16"/>
          <w:lang w:val="pt-BR"/>
        </w:rPr>
        <w:t>.</w:t>
      </w:r>
      <w:r w:rsidR="004756C1" w:rsidRPr="002F50BD">
        <w:rPr>
          <w:rFonts w:ascii="Verdana" w:hAnsi="Verdana"/>
          <w:sz w:val="16"/>
          <w:lang w:val="pt-BR"/>
        </w:rPr>
        <w:tab/>
      </w:r>
      <w:r w:rsidRPr="002F50BD">
        <w:rPr>
          <w:rFonts w:ascii="Verdana" w:hAnsi="Verdana"/>
          <w:sz w:val="16"/>
          <w:lang w:val="pt-BR"/>
        </w:rPr>
        <w:t>1</w:t>
      </w:r>
      <w:r w:rsidR="00FF3563" w:rsidRPr="002F50BD">
        <w:rPr>
          <w:rFonts w:ascii="Verdana" w:hAnsi="Verdana"/>
          <w:sz w:val="16"/>
          <w:lang w:val="pt-BR"/>
        </w:rPr>
        <w:t>.</w:t>
      </w:r>
      <w:r w:rsidR="00FF3563" w:rsidRPr="002F50BD">
        <w:rPr>
          <w:rFonts w:ascii="Verdana" w:hAnsi="Verdana"/>
          <w:sz w:val="16"/>
          <w:lang w:val="pt-BR"/>
        </w:rPr>
        <w:tab/>
        <w:t xml:space="preserve">Toda pessoa tem direito </w:t>
      </w:r>
      <w:r w:rsidR="001C4F0E" w:rsidRPr="002F50BD">
        <w:rPr>
          <w:rFonts w:ascii="Verdana" w:hAnsi="Verdana"/>
          <w:sz w:val="16"/>
          <w:lang w:val="pt-BR"/>
        </w:rPr>
        <w:t>de</w:t>
      </w:r>
      <w:r w:rsidR="00FF3563" w:rsidRPr="002F50BD">
        <w:rPr>
          <w:rFonts w:ascii="Verdana" w:hAnsi="Verdana"/>
          <w:sz w:val="16"/>
          <w:lang w:val="pt-BR"/>
        </w:rPr>
        <w:t xml:space="preserve">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p>
    <w:p w:rsidR="00FF3563" w:rsidRPr="002F50BD" w:rsidRDefault="00FF3563" w:rsidP="00FF3563">
      <w:pPr>
        <w:pStyle w:val="BodyText"/>
        <w:tabs>
          <w:tab w:val="left" w:pos="1080"/>
        </w:tabs>
        <w:ind w:left="720" w:right="720"/>
        <w:rPr>
          <w:rFonts w:ascii="Verdana" w:hAnsi="Verdana"/>
          <w:sz w:val="16"/>
          <w:lang w:val="pt-BR"/>
        </w:rPr>
      </w:pPr>
    </w:p>
    <w:p w:rsidR="004756C1" w:rsidRPr="002F50BD" w:rsidRDefault="00063B47" w:rsidP="00FF3563">
      <w:pPr>
        <w:pStyle w:val="BodyText"/>
        <w:widowControl/>
        <w:tabs>
          <w:tab w:val="left" w:pos="1080"/>
        </w:tabs>
        <w:ind w:left="720" w:right="720"/>
        <w:rPr>
          <w:rFonts w:ascii="Verdana" w:hAnsi="Verdana"/>
          <w:sz w:val="16"/>
          <w:szCs w:val="26"/>
          <w:lang w:val="pt-BR"/>
        </w:rPr>
      </w:pPr>
      <w:r w:rsidRPr="002F50BD">
        <w:rPr>
          <w:rFonts w:ascii="Verdana" w:hAnsi="Verdana"/>
          <w:sz w:val="16"/>
          <w:lang w:val="pt-BR"/>
        </w:rPr>
        <w:t>2</w:t>
      </w:r>
      <w:r w:rsidR="00FF3563" w:rsidRPr="002F50BD">
        <w:rPr>
          <w:rFonts w:ascii="Verdana" w:hAnsi="Verdana"/>
          <w:sz w:val="16"/>
          <w:lang w:val="pt-BR"/>
        </w:rPr>
        <w:t>.</w:t>
      </w:r>
      <w:r w:rsidR="00FF3563" w:rsidRPr="002F50BD">
        <w:rPr>
          <w:rFonts w:ascii="Verdana" w:hAnsi="Verdana"/>
          <w:sz w:val="16"/>
          <w:lang w:val="pt-BR"/>
        </w:rPr>
        <w:tab/>
        <w:t>Toda pessoa acusada de delito tem direito a que se presuma sua inocência enquanto não se comprove legalmente sua culpa. Durante o processo, toda pessoa tem direito, em plena igualdade, às seguintes garantias mínimas: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r w:rsidRPr="002F50BD">
        <w:rPr>
          <w:rFonts w:ascii="Verdana" w:eastAsia="Times New Roman" w:hAnsi="Verdana"/>
          <w:sz w:val="16"/>
          <w:szCs w:val="2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p>
    <w:p w:rsidR="00FF3563" w:rsidRPr="002F50BD" w:rsidRDefault="00FF3563" w:rsidP="00FF3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r w:rsidRPr="002F50BD">
        <w:rPr>
          <w:rFonts w:ascii="Verdana" w:eastAsia="Times New Roman" w:hAnsi="Verdana"/>
          <w:sz w:val="16"/>
          <w:szCs w:val="26"/>
          <w:lang w:val="pt-BR"/>
        </w:rPr>
        <w:t>d. direito do acusado de defender-se pessoalmente ou de ser assistido por um defensor de sua escolha e de comunicar-se, livremente e em particular, com seu defensor;</w:t>
      </w:r>
    </w:p>
    <w:p w:rsidR="00FF3563" w:rsidRPr="002F50BD" w:rsidRDefault="00FF3563" w:rsidP="00FF3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p>
    <w:p w:rsidR="00FF3563" w:rsidRPr="002F50BD" w:rsidRDefault="00FF3563" w:rsidP="00FF3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r w:rsidRPr="002F50BD">
        <w:rPr>
          <w:rFonts w:ascii="Verdana" w:eastAsia="Times New Roman" w:hAnsi="Verdana"/>
          <w:sz w:val="16"/>
          <w:szCs w:val="26"/>
          <w:lang w:val="pt-BR"/>
        </w:rPr>
        <w:t>e. direito irrenunciável de ser assistido por um defensor proporcionado pelo Estado, remunerado ou não, segundo a legislação interna, se o acusado não se defender ele próprio nem nomear defensor dentro do prazo estabelecido pela lei;</w:t>
      </w:r>
    </w:p>
    <w:p w:rsidR="00FF3563" w:rsidRPr="002F50BD" w:rsidRDefault="00FF3563" w:rsidP="00FF3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p>
    <w:p w:rsidR="004756C1" w:rsidRPr="002F50BD" w:rsidRDefault="00FF3563" w:rsidP="00FF3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lang w:val="pt-BR"/>
        </w:rPr>
      </w:pPr>
      <w:r w:rsidRPr="002F50BD">
        <w:rPr>
          <w:rFonts w:ascii="Verdana" w:eastAsia="Times New Roman" w:hAnsi="Verdana"/>
          <w:sz w:val="16"/>
          <w:szCs w:val="26"/>
          <w:lang w:val="pt-BR"/>
        </w:rPr>
        <w:t>f. direito da defesa de inquirir as testemunhas presentes no tribunal e de obter o comparecimento, como testemunhas ou peritos, de outras pessoas que possam lançar luz sobre os fatos;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26"/>
        </w:rPr>
      </w:pPr>
      <w:r w:rsidRPr="002F50BD">
        <w:rPr>
          <w:rFonts w:ascii="Verdana" w:eastAsia="Times New Roman" w:hAnsi="Verdana"/>
          <w:sz w:val="16"/>
          <w:szCs w:val="26"/>
        </w:rPr>
        <w:t>[…]</w:t>
      </w:r>
    </w:p>
    <w:p w:rsidR="00FF3563" w:rsidRPr="002F50BD" w:rsidRDefault="00FF3563" w:rsidP="00FF3563">
      <w:pPr>
        <w:pStyle w:val="BodyText"/>
        <w:widowControl/>
        <w:rPr>
          <w:rFonts w:ascii="Verdana" w:hAnsi="Verdana"/>
          <w:sz w:val="20"/>
          <w:lang w:val="pt-BR"/>
        </w:rPr>
      </w:pPr>
    </w:p>
    <w:p w:rsidR="004756C1" w:rsidRPr="002F50BD" w:rsidRDefault="0089298C">
      <w:pPr>
        <w:pStyle w:val="BodyText"/>
        <w:widowControl/>
        <w:numPr>
          <w:ilvl w:val="0"/>
          <w:numId w:val="26"/>
        </w:numPr>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25</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afirma </w:t>
      </w:r>
      <w:r w:rsidR="004756C1" w:rsidRPr="002F50BD">
        <w:rPr>
          <w:rFonts w:ascii="Verdana" w:hAnsi="Verdana"/>
          <w:sz w:val="20"/>
          <w:lang w:val="pt-BR"/>
        </w:rPr>
        <w:t>que:</w:t>
      </w:r>
    </w:p>
    <w:p w:rsidR="004756C1" w:rsidRPr="002F50BD" w:rsidRDefault="004756C1">
      <w:pPr>
        <w:pStyle w:val="BodyText"/>
        <w:widowControl/>
        <w:rPr>
          <w:rFonts w:ascii="Verdana" w:hAnsi="Verdana"/>
          <w:sz w:val="20"/>
          <w:lang w:val="pt-BR"/>
        </w:rPr>
      </w:pPr>
    </w:p>
    <w:p w:rsidR="00FF3563" w:rsidRPr="002F50BD" w:rsidRDefault="00063B47" w:rsidP="00FF3563">
      <w:pPr>
        <w:pStyle w:val="BodyText"/>
        <w:tabs>
          <w:tab w:val="left" w:pos="1260"/>
        </w:tabs>
        <w:ind w:left="720" w:right="720"/>
        <w:rPr>
          <w:rFonts w:ascii="Verdana" w:hAnsi="Verdana"/>
          <w:sz w:val="16"/>
          <w:lang w:val="pt-BR"/>
        </w:rPr>
      </w:pPr>
      <w:r w:rsidRPr="002F50BD">
        <w:rPr>
          <w:rFonts w:ascii="Verdana" w:hAnsi="Verdana"/>
          <w:sz w:val="16"/>
          <w:lang w:val="pt-BR"/>
        </w:rPr>
        <w:t>1</w:t>
      </w:r>
      <w:r w:rsidR="00FF3563" w:rsidRPr="002F50BD">
        <w:rPr>
          <w:rFonts w:ascii="Verdana" w:hAnsi="Verdana"/>
          <w:sz w:val="16"/>
          <w:lang w:val="pt-BR"/>
        </w:rPr>
        <w:t>.</w:t>
      </w:r>
      <w:r w:rsidR="00FF3563" w:rsidRPr="002F50BD">
        <w:rPr>
          <w:rFonts w:ascii="Verdana" w:hAnsi="Verdana"/>
          <w:sz w:val="16"/>
          <w:lang w:val="pt-BR"/>
        </w:rPr>
        <w:tab/>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p>
    <w:p w:rsidR="00FF3563" w:rsidRPr="002F50BD" w:rsidRDefault="00FF3563" w:rsidP="00FF3563">
      <w:pPr>
        <w:pStyle w:val="BodyText"/>
        <w:tabs>
          <w:tab w:val="left" w:pos="1260"/>
        </w:tabs>
        <w:ind w:left="720" w:right="720"/>
        <w:rPr>
          <w:rFonts w:ascii="Verdana" w:hAnsi="Verdana"/>
          <w:sz w:val="16"/>
          <w:lang w:val="pt-BR"/>
        </w:rPr>
      </w:pPr>
    </w:p>
    <w:p w:rsidR="00FF3563" w:rsidRPr="002F50BD" w:rsidRDefault="00063B47" w:rsidP="00FF3563">
      <w:pPr>
        <w:pStyle w:val="BodyText"/>
        <w:tabs>
          <w:tab w:val="left" w:pos="1260"/>
        </w:tabs>
        <w:ind w:left="720" w:right="720"/>
        <w:rPr>
          <w:rFonts w:ascii="Verdana" w:hAnsi="Verdana"/>
          <w:sz w:val="16"/>
          <w:lang w:val="pt-BR"/>
        </w:rPr>
      </w:pPr>
      <w:r w:rsidRPr="002F50BD">
        <w:rPr>
          <w:rFonts w:ascii="Verdana" w:hAnsi="Verdana"/>
          <w:sz w:val="16"/>
          <w:lang w:val="pt-BR"/>
        </w:rPr>
        <w:t>2</w:t>
      </w:r>
      <w:r w:rsidR="00FF3563" w:rsidRPr="002F50BD">
        <w:rPr>
          <w:rFonts w:ascii="Verdana" w:hAnsi="Verdana"/>
          <w:sz w:val="16"/>
          <w:lang w:val="pt-BR"/>
        </w:rPr>
        <w:t>.</w:t>
      </w:r>
      <w:r w:rsidR="00FF3563" w:rsidRPr="002F50BD">
        <w:rPr>
          <w:rFonts w:ascii="Verdana" w:hAnsi="Verdana"/>
          <w:sz w:val="16"/>
          <w:lang w:val="pt-BR"/>
        </w:rPr>
        <w:tab/>
        <w:t>Os Estados Partes comprometem-se:</w:t>
      </w:r>
    </w:p>
    <w:p w:rsidR="00FF3563" w:rsidRPr="002F50BD" w:rsidRDefault="00FF3563" w:rsidP="00FF3563">
      <w:pPr>
        <w:pStyle w:val="BodyText"/>
        <w:tabs>
          <w:tab w:val="left" w:pos="1260"/>
        </w:tabs>
        <w:ind w:left="720" w:right="720"/>
        <w:rPr>
          <w:rFonts w:ascii="Verdana" w:hAnsi="Verdana"/>
          <w:sz w:val="16"/>
          <w:lang w:val="pt-BR"/>
        </w:rPr>
      </w:pPr>
    </w:p>
    <w:p w:rsidR="00FF3563" w:rsidRPr="002F50BD" w:rsidRDefault="00FF3563" w:rsidP="00FF3563">
      <w:pPr>
        <w:pStyle w:val="BodyText"/>
        <w:tabs>
          <w:tab w:val="left" w:pos="1260"/>
        </w:tabs>
        <w:ind w:left="720" w:right="720"/>
        <w:rPr>
          <w:rFonts w:ascii="Verdana" w:hAnsi="Verdana"/>
          <w:sz w:val="16"/>
          <w:lang w:val="pt-BR"/>
        </w:rPr>
      </w:pPr>
      <w:r w:rsidRPr="002F50BD">
        <w:rPr>
          <w:rFonts w:ascii="Verdana" w:hAnsi="Verdana"/>
          <w:sz w:val="16"/>
          <w:lang w:val="pt-BR"/>
        </w:rPr>
        <w:t>a.</w:t>
      </w:r>
      <w:r w:rsidRPr="002F50BD">
        <w:rPr>
          <w:rFonts w:ascii="Verdana" w:hAnsi="Verdana"/>
          <w:sz w:val="16"/>
          <w:lang w:val="pt-BR"/>
        </w:rPr>
        <w:tab/>
        <w:t>a assegurar que a autoridade competente prevista pelo sistema legal do Estado decida sobre os direitos de toda pessoa que interpuser tal recurso;</w:t>
      </w:r>
    </w:p>
    <w:p w:rsidR="00FF3563" w:rsidRPr="002F50BD" w:rsidRDefault="00FF3563" w:rsidP="00FF3563">
      <w:pPr>
        <w:pStyle w:val="BodyText"/>
        <w:tabs>
          <w:tab w:val="left" w:pos="1260"/>
        </w:tabs>
        <w:ind w:left="720" w:right="720"/>
        <w:rPr>
          <w:rFonts w:ascii="Verdana" w:hAnsi="Verdana"/>
          <w:sz w:val="16"/>
          <w:lang w:val="pt-BR"/>
        </w:rPr>
      </w:pPr>
    </w:p>
    <w:p w:rsidR="00FF3563" w:rsidRPr="002F50BD" w:rsidRDefault="00FF3563" w:rsidP="00FF3563">
      <w:pPr>
        <w:pStyle w:val="BodyText"/>
        <w:tabs>
          <w:tab w:val="left" w:pos="1260"/>
        </w:tabs>
        <w:ind w:left="720" w:right="720"/>
        <w:rPr>
          <w:rFonts w:ascii="Verdana" w:hAnsi="Verdana"/>
          <w:sz w:val="16"/>
          <w:lang w:val="pt-BR"/>
        </w:rPr>
      </w:pPr>
      <w:r w:rsidRPr="002F50BD">
        <w:rPr>
          <w:rFonts w:ascii="Verdana" w:hAnsi="Verdana"/>
          <w:sz w:val="16"/>
          <w:lang w:val="pt-BR"/>
        </w:rPr>
        <w:t>b.</w:t>
      </w:r>
      <w:r w:rsidRPr="002F50BD">
        <w:rPr>
          <w:rFonts w:ascii="Verdana" w:hAnsi="Verdana"/>
          <w:sz w:val="16"/>
          <w:lang w:val="pt-BR"/>
        </w:rPr>
        <w:tab/>
        <w:t>a desenvolver as possibilidades de recurso judicial; e</w:t>
      </w:r>
    </w:p>
    <w:p w:rsidR="00FF3563" w:rsidRPr="002F50BD" w:rsidRDefault="00FF3563" w:rsidP="00FF3563">
      <w:pPr>
        <w:pStyle w:val="BodyText"/>
        <w:tabs>
          <w:tab w:val="left" w:pos="1260"/>
        </w:tabs>
        <w:ind w:left="720" w:right="720"/>
        <w:rPr>
          <w:rFonts w:ascii="Verdana" w:hAnsi="Verdana"/>
          <w:sz w:val="16"/>
          <w:lang w:val="pt-BR"/>
        </w:rPr>
      </w:pPr>
    </w:p>
    <w:p w:rsidR="004756C1" w:rsidRPr="002F50BD" w:rsidRDefault="00FF3563" w:rsidP="00FF3563">
      <w:pPr>
        <w:pStyle w:val="BodyText"/>
        <w:widowControl/>
        <w:tabs>
          <w:tab w:val="left" w:pos="1260"/>
        </w:tabs>
        <w:ind w:left="720" w:right="720"/>
        <w:rPr>
          <w:rFonts w:ascii="Verdana" w:hAnsi="Verdana"/>
          <w:sz w:val="16"/>
          <w:lang w:val="pt-BR"/>
        </w:rPr>
      </w:pPr>
      <w:r w:rsidRPr="002F50BD">
        <w:rPr>
          <w:rFonts w:ascii="Verdana" w:hAnsi="Verdana"/>
          <w:sz w:val="16"/>
          <w:lang w:val="pt-BR"/>
        </w:rPr>
        <w:lastRenderedPageBreak/>
        <w:t>c.</w:t>
      </w:r>
      <w:r w:rsidRPr="002F50BD">
        <w:rPr>
          <w:rFonts w:ascii="Verdana" w:hAnsi="Verdana"/>
          <w:sz w:val="16"/>
          <w:lang w:val="pt-BR"/>
        </w:rPr>
        <w:tab/>
        <w:t>a assegurar o cumprimento, pelas autoridades competentes, de toda decisão em que se tenha considerado procedente o recurso.</w:t>
      </w:r>
    </w:p>
    <w:p w:rsidR="00FF3563" w:rsidRPr="002F50BD" w:rsidRDefault="00FF3563" w:rsidP="00FF3563">
      <w:pPr>
        <w:pStyle w:val="negritamayuscula"/>
        <w:widowControl/>
        <w:tabs>
          <w:tab w:val="clear" w:pos="1120"/>
        </w:tabs>
        <w:spacing w:line="240" w:lineRule="auto"/>
        <w:rPr>
          <w:rFonts w:ascii="Verdana" w:hAnsi="Verdana"/>
          <w:sz w:val="20"/>
          <w:lang w:val="pt-BR"/>
        </w:rPr>
      </w:pPr>
    </w:p>
    <w:p w:rsidR="004756C1" w:rsidRPr="002F50BD" w:rsidRDefault="0089298C">
      <w:pPr>
        <w:pStyle w:val="negritamayuscula"/>
        <w:widowControl/>
        <w:numPr>
          <w:ilvl w:val="0"/>
          <w:numId w:val="26"/>
        </w:numPr>
        <w:tabs>
          <w:tab w:val="clear" w:pos="1120"/>
        </w:tabs>
        <w:spacing w:line="240" w:lineRule="auto"/>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p>
    <w:p w:rsidR="004756C1" w:rsidRPr="002F50BD" w:rsidRDefault="004756C1">
      <w:pPr>
        <w:pStyle w:val="negritamayuscula"/>
        <w:widowControl/>
        <w:tabs>
          <w:tab w:val="clear" w:pos="1120"/>
        </w:tabs>
        <w:spacing w:line="240" w:lineRule="auto"/>
        <w:rPr>
          <w:rFonts w:ascii="Verdana" w:hAnsi="Verdana"/>
          <w:lang w:val="pt-BR"/>
        </w:rPr>
      </w:pPr>
    </w:p>
    <w:p w:rsidR="004756C1" w:rsidRPr="002F50BD" w:rsidRDefault="00FF3563">
      <w:pPr>
        <w:pStyle w:val="BlockText"/>
        <w:spacing w:line="240" w:lineRule="auto"/>
        <w:rPr>
          <w:lang w:val="pt-BR"/>
        </w:rPr>
      </w:pPr>
      <w:r w:rsidRPr="002F50BD">
        <w:rPr>
          <w:lang w:val="pt-BR"/>
        </w:rPr>
        <w:t>[o</w:t>
      </w:r>
      <w:r w:rsidR="004756C1" w:rsidRPr="002F50BD">
        <w:rPr>
          <w:lang w:val="pt-BR"/>
        </w:rPr>
        <w:t xml:space="preserve">]s </w:t>
      </w:r>
      <w:r w:rsidRPr="002F50BD">
        <w:rPr>
          <w:lang w:val="pt-BR"/>
        </w:rPr>
        <w:t>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r w:rsidR="004756C1" w:rsidRPr="002F50BD">
        <w:rPr>
          <w:lang w:val="pt-BR"/>
        </w:rPr>
        <w:t>.</w:t>
      </w:r>
    </w:p>
    <w:p w:rsidR="00FF3563" w:rsidRPr="002F50BD" w:rsidRDefault="00FF3563" w:rsidP="00FF3563">
      <w:pPr>
        <w:pStyle w:val="negritamayuscula"/>
        <w:widowControl/>
        <w:tabs>
          <w:tab w:val="clear" w:pos="1120"/>
        </w:tabs>
        <w:spacing w:line="240" w:lineRule="auto"/>
        <w:rPr>
          <w:rFonts w:ascii="Verdana" w:hAnsi="Verdana"/>
          <w:sz w:val="20"/>
          <w:lang w:val="pt-BR"/>
        </w:rPr>
      </w:pPr>
    </w:p>
    <w:p w:rsidR="004756C1" w:rsidRPr="002F50BD" w:rsidRDefault="0089298C">
      <w:pPr>
        <w:pStyle w:val="negritamayuscula"/>
        <w:widowControl/>
        <w:numPr>
          <w:ilvl w:val="0"/>
          <w:numId w:val="26"/>
        </w:numPr>
        <w:tabs>
          <w:tab w:val="clear" w:pos="1120"/>
        </w:tabs>
        <w:spacing w:line="240" w:lineRule="auto"/>
        <w:rPr>
          <w:rFonts w:ascii="Verdana" w:hAnsi="Verdana"/>
          <w:sz w:val="20"/>
          <w:lang w:val="pt-BR"/>
        </w:rPr>
      </w:pPr>
      <w:r w:rsidRPr="002F50BD">
        <w:rPr>
          <w:rFonts w:ascii="Verdana" w:hAnsi="Verdana"/>
          <w:lang w:val="pt-BR"/>
        </w:rPr>
        <w:t xml:space="preserve">O </w:t>
      </w:r>
      <w:r w:rsidRPr="002F50BD">
        <w:rPr>
          <w:rFonts w:ascii="Verdana" w:hAnsi="Verdana"/>
          <w:sz w:val="20"/>
          <w:lang w:val="pt-BR"/>
        </w:rPr>
        <w:t>artigo</w:t>
      </w:r>
      <w:r w:rsidR="004756C1" w:rsidRPr="002F50BD">
        <w:rPr>
          <w:rFonts w:ascii="Verdana" w:hAnsi="Verdana"/>
          <w:sz w:val="20"/>
          <w:lang w:val="pt-BR"/>
        </w:rPr>
        <w:t xml:space="preserve"> </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determina que</w:t>
      </w:r>
    </w:p>
    <w:p w:rsidR="004756C1" w:rsidRPr="002F50BD" w:rsidRDefault="004756C1">
      <w:pPr>
        <w:jc w:val="both"/>
        <w:rPr>
          <w:rFonts w:ascii="Verdana" w:hAnsi="Verdana"/>
          <w:sz w:val="20"/>
          <w:lang w:val="pt-BR"/>
        </w:rPr>
      </w:pPr>
    </w:p>
    <w:p w:rsidR="004756C1" w:rsidRPr="002F50BD" w:rsidRDefault="004756C1">
      <w:pPr>
        <w:pStyle w:val="BlockText"/>
        <w:tabs>
          <w:tab w:val="left" w:pos="7920"/>
        </w:tabs>
        <w:spacing w:line="240" w:lineRule="auto"/>
        <w:rPr>
          <w:lang w:val="pt-BR"/>
        </w:rPr>
      </w:pPr>
      <w:r w:rsidRPr="002F50BD">
        <w:rPr>
          <w:lang w:val="pt-BR"/>
        </w:rPr>
        <w:t>[s]</w:t>
      </w:r>
      <w:r w:rsidR="00FF3563" w:rsidRPr="002F50BD">
        <w:rPr>
          <w:lang w:val="pt-BR"/>
        </w:rPr>
        <w:t>e</w:t>
      </w:r>
      <w:r w:rsidR="0089298C" w:rsidRPr="002F50BD">
        <w:rPr>
          <w:lang w:val="pt-BR"/>
        </w:rPr>
        <w:t xml:space="preserve"> </w:t>
      </w:r>
      <w:r w:rsidR="00FF3563" w:rsidRPr="002F50BD">
        <w:rPr>
          <w:lang w:val="pt-BR"/>
        </w:rPr>
        <w:t xml:space="preserve">o exercício dos direitos e liberdades mencionados no artigo </w:t>
      </w:r>
      <w:r w:rsidR="00063B47" w:rsidRPr="002F50BD">
        <w:rPr>
          <w:lang w:val="pt-BR"/>
        </w:rPr>
        <w:t>1</w:t>
      </w:r>
      <w:r w:rsidR="00FF3563" w:rsidRPr="002F50BD">
        <w:rPr>
          <w:lang w:val="pt-BR"/>
        </w:rPr>
        <w:t xml:space="preserve"> ainda não estiver garantido por disposições legislativas ou de outra natureza, os Estados Partes comprometem-se a adotar, de acordo com as suas normas constitucionais e com as disposições desta Convenção, as medidas legislativas ou de outra natureza que forem necessárias para tornar efetivos tais direitos e liberdades.</w:t>
      </w:r>
    </w:p>
    <w:p w:rsidR="00FF3563" w:rsidRPr="002F50BD" w:rsidRDefault="00FF3563" w:rsidP="00FF3563">
      <w:pPr>
        <w:pStyle w:val="BodyText2"/>
        <w:tabs>
          <w:tab w:val="left" w:pos="720"/>
          <w:tab w:val="left" w:pos="1440"/>
        </w:tabs>
        <w:rPr>
          <w:rFonts w:ascii="Verdana" w:hAnsi="Verdana"/>
          <w:sz w:val="20"/>
          <w:lang w:val="pt-BR"/>
        </w:rPr>
      </w:pPr>
    </w:p>
    <w:p w:rsidR="004756C1" w:rsidRPr="002F50BD" w:rsidRDefault="0089298C">
      <w:pPr>
        <w:pStyle w:val="BodyText2"/>
        <w:numPr>
          <w:ilvl w:val="0"/>
          <w:numId w:val="26"/>
        </w:numPr>
        <w:tabs>
          <w:tab w:val="left" w:pos="720"/>
          <w:tab w:val="left" w:pos="1440"/>
        </w:tabs>
        <w:rPr>
          <w:rFonts w:ascii="Verdana" w:hAnsi="Verdana"/>
          <w:sz w:val="20"/>
          <w:lang w:val="pt-BR"/>
        </w:rPr>
      </w:pPr>
      <w:r w:rsidRPr="002F50BD">
        <w:rPr>
          <w:rFonts w:ascii="Verdana" w:eastAsia="Times" w:hAnsi="Verdana"/>
          <w:sz w:val="20"/>
          <w:lang w:val="pt-BR"/>
        </w:rPr>
        <w:t xml:space="preserve">A </w:t>
      </w:r>
      <w:r w:rsidRPr="002F50BD">
        <w:rPr>
          <w:rFonts w:ascii="Verdana" w:hAnsi="Verdana"/>
          <w:sz w:val="20"/>
          <w:lang w:val="pt-BR"/>
        </w:rPr>
        <w:t xml:space="preserve">Comissão e os </w:t>
      </w:r>
      <w:r w:rsidR="008C29C9" w:rsidRPr="002F50BD">
        <w:rPr>
          <w:rFonts w:ascii="Verdana" w:hAnsi="Verdana"/>
          <w:sz w:val="20"/>
          <w:lang w:val="pt-BR"/>
        </w:rPr>
        <w:t>representante</w:t>
      </w:r>
      <w:r w:rsidR="00CE698C" w:rsidRPr="002F50BD">
        <w:rPr>
          <w:rFonts w:ascii="Verdana" w:hAnsi="Verdana"/>
          <w:sz w:val="20"/>
          <w:lang w:val="pt-BR"/>
        </w:rPr>
        <w:t>s alegam</w:t>
      </w:r>
      <w:r w:rsidR="004756C1" w:rsidRPr="002F50BD">
        <w:rPr>
          <w:rFonts w:ascii="Verdana" w:hAnsi="Verdana"/>
          <w:sz w:val="20"/>
          <w:lang w:val="pt-BR"/>
        </w:rPr>
        <w:t>, como</w:t>
      </w:r>
      <w:r w:rsidRPr="002F50BD">
        <w:rPr>
          <w:rFonts w:ascii="Verdana" w:hAnsi="Verdana"/>
          <w:sz w:val="20"/>
          <w:lang w:val="pt-BR"/>
        </w:rPr>
        <w:t xml:space="preserve"> ponto </w:t>
      </w:r>
      <w:r w:rsidR="004756C1" w:rsidRPr="002F50BD">
        <w:rPr>
          <w:rFonts w:ascii="Verdana" w:hAnsi="Verdana"/>
          <w:sz w:val="20"/>
          <w:lang w:val="pt-BR"/>
        </w:rPr>
        <w:t>fundamental,</w:t>
      </w:r>
      <w:r w:rsidRPr="002F50BD">
        <w:rPr>
          <w:rFonts w:ascii="Verdana" w:hAnsi="Verdana"/>
          <w:sz w:val="20"/>
          <w:lang w:val="pt-BR"/>
        </w:rPr>
        <w:t xml:space="preserve"> a </w:t>
      </w:r>
      <w:r w:rsidR="004756C1" w:rsidRPr="002F50BD">
        <w:rPr>
          <w:rFonts w:ascii="Verdana" w:hAnsi="Verdana"/>
          <w:sz w:val="20"/>
          <w:lang w:val="pt-BR"/>
        </w:rPr>
        <w:t>in</w:t>
      </w:r>
      <w:r w:rsidRPr="002F50BD">
        <w:rPr>
          <w:rFonts w:ascii="Verdana" w:hAnsi="Verdana"/>
          <w:sz w:val="20"/>
          <w:lang w:val="pt-BR"/>
        </w:rPr>
        <w:t>eficácia dos procedimento</w:t>
      </w:r>
      <w:r w:rsidR="004756C1" w:rsidRPr="002F50BD">
        <w:rPr>
          <w:rFonts w:ascii="Verdana" w:hAnsi="Verdana"/>
          <w:sz w:val="20"/>
          <w:lang w:val="pt-BR"/>
        </w:rPr>
        <w:t xml:space="preserve">s </w:t>
      </w:r>
      <w:r w:rsidRPr="002F50BD">
        <w:rPr>
          <w:rFonts w:ascii="Verdana" w:hAnsi="Verdana"/>
          <w:sz w:val="20"/>
          <w:lang w:val="pt-BR"/>
        </w:rPr>
        <w:t>estabelecid</w:t>
      </w:r>
      <w:r w:rsidR="004756C1" w:rsidRPr="002F50BD">
        <w:rPr>
          <w:rFonts w:ascii="Verdana" w:hAnsi="Verdana"/>
          <w:sz w:val="20"/>
          <w:lang w:val="pt-BR"/>
        </w:rPr>
        <w:t>os</w:t>
      </w:r>
      <w:r w:rsidRPr="002F50BD">
        <w:rPr>
          <w:rFonts w:ascii="Verdana" w:hAnsi="Verdana"/>
          <w:sz w:val="20"/>
          <w:lang w:val="pt-BR"/>
        </w:rPr>
        <w:t xml:space="preserve"> na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do Paraguai</w:t>
      </w:r>
      <w:r w:rsidR="004756C1" w:rsidRPr="002F50BD">
        <w:rPr>
          <w:rFonts w:ascii="Verdana" w:hAnsi="Verdana"/>
          <w:sz w:val="20"/>
          <w:lang w:val="pt-BR"/>
        </w:rPr>
        <w:t xml:space="preserve"> para responder</w:t>
      </w:r>
      <w:r w:rsidRPr="002F50BD">
        <w:rPr>
          <w:rFonts w:ascii="Verdana" w:hAnsi="Verdana"/>
          <w:sz w:val="20"/>
          <w:lang w:val="pt-BR"/>
        </w:rPr>
        <w:t xml:space="preserve"> às </w:t>
      </w:r>
      <w:r w:rsidR="004756C1" w:rsidRPr="002F50BD">
        <w:rPr>
          <w:rFonts w:ascii="Verdana" w:hAnsi="Verdana"/>
          <w:sz w:val="20"/>
          <w:lang w:val="pt-BR"/>
        </w:rPr>
        <w:t>reclama</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território</w:t>
      </w:r>
      <w:r w:rsidR="004756C1" w:rsidRPr="002F50BD">
        <w:rPr>
          <w:rFonts w:ascii="Verdana" w:hAnsi="Verdana"/>
          <w:sz w:val="20"/>
          <w:lang w:val="pt-BR"/>
        </w:rPr>
        <w:t xml:space="preserve"> ancestral</w:t>
      </w:r>
      <w:r w:rsidRPr="002F50BD">
        <w:rPr>
          <w:rFonts w:ascii="Verdana" w:hAnsi="Verdana"/>
          <w:sz w:val="20"/>
          <w:lang w:val="pt-BR"/>
        </w:rPr>
        <w:t xml:space="preserve"> e fazer efetiv</w:t>
      </w:r>
      <w:r w:rsidR="004756C1" w:rsidRPr="002F50BD">
        <w:rPr>
          <w:rFonts w:ascii="Verdana" w:hAnsi="Verdana"/>
          <w:sz w:val="20"/>
          <w:lang w:val="pt-BR"/>
        </w:rPr>
        <w:t>o</w:t>
      </w:r>
      <w:r w:rsidRPr="002F50BD">
        <w:rPr>
          <w:rFonts w:ascii="Verdana" w:hAnsi="Verdana"/>
          <w:sz w:val="20"/>
          <w:lang w:val="pt-BR"/>
        </w:rPr>
        <w:t xml:space="preserve"> o direito</w:t>
      </w:r>
      <w:r w:rsidR="004756C1" w:rsidRPr="002F50BD">
        <w:rPr>
          <w:rFonts w:ascii="Verdana" w:hAnsi="Verdana"/>
          <w:sz w:val="20"/>
          <w:lang w:val="pt-BR"/>
        </w:rPr>
        <w:t xml:space="preserve"> de </w:t>
      </w:r>
      <w:r w:rsidRPr="002F50BD">
        <w:rPr>
          <w:rFonts w:ascii="Verdana" w:hAnsi="Verdana"/>
          <w:sz w:val="20"/>
          <w:lang w:val="pt-BR"/>
        </w:rPr>
        <w:t>propriedade 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indígena Yakye Axa,</w:t>
      </w:r>
      <w:r w:rsidR="004076AD" w:rsidRPr="002F50BD">
        <w:rPr>
          <w:rFonts w:ascii="Verdana" w:hAnsi="Verdana"/>
          <w:sz w:val="20"/>
          <w:lang w:val="pt-BR"/>
        </w:rPr>
        <w:t xml:space="preserve"> apesar </w:t>
      </w:r>
      <w:r w:rsidRPr="002F50BD">
        <w:rPr>
          <w:rFonts w:ascii="Verdana" w:hAnsi="Verdana"/>
          <w:sz w:val="20"/>
          <w:lang w:val="pt-BR"/>
        </w:rPr>
        <w:t>das múltipla</w:t>
      </w:r>
      <w:r w:rsidR="004756C1" w:rsidRPr="002F50BD">
        <w:rPr>
          <w:rFonts w:ascii="Verdana" w:hAnsi="Verdana"/>
          <w:sz w:val="20"/>
          <w:lang w:val="pt-BR"/>
        </w:rPr>
        <w:t xml:space="preserve">s </w:t>
      </w:r>
      <w:r w:rsidRPr="002F50BD">
        <w:rPr>
          <w:rFonts w:ascii="Verdana" w:hAnsi="Verdana"/>
          <w:sz w:val="20"/>
          <w:lang w:val="pt-BR"/>
        </w:rPr>
        <w:t>gestões</w:t>
      </w:r>
      <w:r w:rsidR="004756C1" w:rsidRPr="002F50BD">
        <w:rPr>
          <w:rFonts w:ascii="Verdana" w:hAnsi="Verdana"/>
          <w:sz w:val="20"/>
          <w:lang w:val="pt-BR"/>
        </w:rPr>
        <w:t xml:space="preserve"> </w:t>
      </w:r>
      <w:r w:rsidR="00CE698C" w:rsidRPr="002F50BD">
        <w:rPr>
          <w:rFonts w:ascii="Verdana" w:hAnsi="Verdana"/>
          <w:sz w:val="20"/>
          <w:lang w:val="pt-BR"/>
        </w:rPr>
        <w:t xml:space="preserve">por ela </w:t>
      </w:r>
      <w:r w:rsidR="004756C1" w:rsidRPr="002F50BD">
        <w:rPr>
          <w:rFonts w:ascii="Verdana" w:hAnsi="Verdana"/>
          <w:sz w:val="20"/>
          <w:lang w:val="pt-BR"/>
        </w:rPr>
        <w:t xml:space="preserve">iniciadas a partir </w:t>
      </w:r>
      <w:r w:rsidRPr="002F50BD">
        <w:rPr>
          <w:rFonts w:ascii="Verdana" w:hAnsi="Verdana"/>
          <w:sz w:val="20"/>
          <w:lang w:val="pt-BR"/>
        </w:rPr>
        <w:t xml:space="preserve">do ano </w:t>
      </w:r>
      <w:r w:rsidR="00CE698C" w:rsidRPr="002F50BD">
        <w:rPr>
          <w:rFonts w:ascii="Verdana" w:hAnsi="Verdana"/>
          <w:sz w:val="20"/>
          <w:lang w:val="pt-BR"/>
        </w:rPr>
        <w:t xml:space="preserve">de </w:t>
      </w:r>
      <w:r w:rsidR="00063B47" w:rsidRPr="002F50BD">
        <w:rPr>
          <w:rFonts w:ascii="Verdana" w:hAnsi="Verdana"/>
          <w:sz w:val="20"/>
          <w:lang w:val="pt-BR"/>
        </w:rPr>
        <w:t>1993</w:t>
      </w:r>
      <w:r w:rsidR="004756C1" w:rsidRPr="002F50BD">
        <w:rPr>
          <w:rFonts w:ascii="Verdana" w:hAnsi="Verdana"/>
          <w:sz w:val="20"/>
          <w:lang w:val="pt-BR"/>
        </w:rPr>
        <w:t xml:space="preserve">. </w:t>
      </w:r>
      <w:r w:rsidR="00CE698C" w:rsidRPr="002F50BD">
        <w:rPr>
          <w:rFonts w:ascii="Verdana" w:hAnsi="Verdana"/>
          <w:sz w:val="20"/>
          <w:lang w:val="pt-BR"/>
        </w:rPr>
        <w:t xml:space="preserve">Os representantes acrescentam </w:t>
      </w:r>
      <w:r w:rsidR="004756C1" w:rsidRPr="002F50BD">
        <w:rPr>
          <w:rFonts w:ascii="Verdana" w:hAnsi="Verdana"/>
          <w:sz w:val="20"/>
          <w:lang w:val="pt-BR"/>
        </w:rPr>
        <w:t>que</w:t>
      </w:r>
      <w:r w:rsidRPr="002F50BD">
        <w:rPr>
          <w:rFonts w:ascii="Verdana" w:hAnsi="Verdana"/>
          <w:sz w:val="20"/>
          <w:lang w:val="pt-BR"/>
        </w:rPr>
        <w:t xml:space="preserve"> os </w:t>
      </w:r>
      <w:r w:rsidR="004756C1" w:rsidRPr="002F50BD">
        <w:rPr>
          <w:rFonts w:ascii="Verdana" w:hAnsi="Verdana"/>
          <w:sz w:val="20"/>
          <w:lang w:val="pt-BR"/>
        </w:rPr>
        <w:t xml:space="preserve">recursos </w:t>
      </w:r>
      <w:r w:rsidRPr="002F50BD">
        <w:rPr>
          <w:rFonts w:ascii="Verdana" w:hAnsi="Verdana"/>
          <w:sz w:val="20"/>
          <w:lang w:val="pt-BR"/>
        </w:rPr>
        <w:t>interpost</w:t>
      </w:r>
      <w:r w:rsidR="004756C1" w:rsidRPr="002F50BD">
        <w:rPr>
          <w:rFonts w:ascii="Verdana" w:hAnsi="Verdana"/>
          <w:sz w:val="20"/>
          <w:lang w:val="pt-BR"/>
        </w:rPr>
        <w:t>o</w:t>
      </w:r>
      <w:r w:rsidR="00CE698C" w:rsidRPr="002F50BD">
        <w:rPr>
          <w:rFonts w:ascii="Verdana" w:hAnsi="Verdana"/>
          <w:sz w:val="20"/>
          <w:lang w:val="pt-BR"/>
        </w:rPr>
        <w:t>s</w:t>
      </w:r>
      <w:r w:rsidR="004756C1" w:rsidRPr="002F50BD">
        <w:rPr>
          <w:rFonts w:ascii="Verdana" w:hAnsi="Verdana"/>
          <w:sz w:val="20"/>
          <w:lang w:val="pt-BR"/>
        </w:rPr>
        <w:t xml:space="preserve"> a</w:t>
      </w:r>
      <w:r w:rsidRPr="002F50BD">
        <w:rPr>
          <w:rFonts w:ascii="Verdana" w:hAnsi="Verdana"/>
          <w:sz w:val="20"/>
          <w:lang w:val="pt-BR"/>
        </w:rPr>
        <w:t xml:space="preserve"> fim </w:t>
      </w:r>
      <w:r w:rsidR="004756C1" w:rsidRPr="002F50BD">
        <w:rPr>
          <w:rFonts w:ascii="Verdana" w:hAnsi="Verdana"/>
          <w:sz w:val="20"/>
          <w:lang w:val="pt-BR"/>
        </w:rPr>
        <w:t xml:space="preserve">de </w:t>
      </w:r>
      <w:r w:rsidR="00DB3660" w:rsidRPr="002F50BD">
        <w:rPr>
          <w:rFonts w:ascii="Verdana" w:hAnsi="Verdana"/>
          <w:sz w:val="20"/>
          <w:lang w:val="pt-BR"/>
        </w:rPr>
        <w:t xml:space="preserve">assegurar </w:t>
      </w:r>
      <w:r w:rsidRPr="002F50BD">
        <w:rPr>
          <w:rFonts w:ascii="Verdana" w:hAnsi="Verdana"/>
          <w:sz w:val="20"/>
          <w:lang w:val="pt-BR"/>
        </w:rPr>
        <w:t xml:space="preserve">a subsistência </w:t>
      </w:r>
      <w:r w:rsidR="00CE698C" w:rsidRPr="002F50BD">
        <w:rPr>
          <w:rFonts w:ascii="Verdana" w:hAnsi="Verdana"/>
          <w:sz w:val="20"/>
          <w:lang w:val="pt-BR"/>
        </w:rPr>
        <w:t xml:space="preserve">diária </w:t>
      </w:r>
      <w:r w:rsidRPr="002F50BD">
        <w:rPr>
          <w:rFonts w:ascii="Verdana" w:hAnsi="Verdana"/>
          <w:sz w:val="20"/>
          <w:lang w:val="pt-BR"/>
        </w:rPr>
        <w:t>das suposta</w:t>
      </w:r>
      <w:r w:rsidR="004756C1" w:rsidRPr="002F50BD">
        <w:rPr>
          <w:rFonts w:ascii="Verdana" w:hAnsi="Verdana"/>
          <w:sz w:val="20"/>
          <w:lang w:val="pt-BR"/>
        </w:rPr>
        <w:t xml:space="preserve">s </w:t>
      </w:r>
      <w:r w:rsidRPr="002F50BD">
        <w:rPr>
          <w:rFonts w:ascii="Verdana" w:hAnsi="Verdana"/>
          <w:sz w:val="20"/>
          <w:lang w:val="pt-BR"/>
        </w:rPr>
        <w:t>vítima</w:t>
      </w:r>
      <w:r w:rsidR="004756C1" w:rsidRPr="002F50BD">
        <w:rPr>
          <w:rFonts w:ascii="Verdana" w:hAnsi="Verdana"/>
          <w:sz w:val="20"/>
          <w:lang w:val="pt-BR"/>
        </w:rPr>
        <w:t>s</w:t>
      </w:r>
      <w:r w:rsidR="00DB3660" w:rsidRPr="002F50BD">
        <w:rPr>
          <w:rFonts w:ascii="Verdana" w:hAnsi="Verdana"/>
          <w:sz w:val="20"/>
          <w:lang w:val="pt-BR"/>
        </w:rPr>
        <w:t>,</w:t>
      </w:r>
      <w:r w:rsidRPr="002F50BD">
        <w:rPr>
          <w:rFonts w:ascii="Verdana" w:hAnsi="Verdana"/>
          <w:sz w:val="20"/>
          <w:lang w:val="pt-BR"/>
        </w:rPr>
        <w:t xml:space="preserve"> através</w:t>
      </w:r>
      <w:r w:rsidR="004756C1" w:rsidRPr="002F50BD">
        <w:rPr>
          <w:rFonts w:ascii="Verdana" w:hAnsi="Verdana"/>
          <w:sz w:val="20"/>
          <w:lang w:val="pt-BR"/>
        </w:rPr>
        <w:t xml:space="preserve"> de </w:t>
      </w:r>
      <w:r w:rsidR="00CE698C" w:rsidRPr="002F50BD">
        <w:rPr>
          <w:rFonts w:ascii="Verdana" w:hAnsi="Verdana"/>
          <w:sz w:val="20"/>
          <w:lang w:val="pt-BR"/>
        </w:rPr>
        <w:t>seus métodos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de </w:t>
      </w:r>
      <w:r w:rsidR="00CE698C" w:rsidRPr="002F50BD">
        <w:rPr>
          <w:rFonts w:ascii="Verdana" w:hAnsi="Verdana"/>
          <w:sz w:val="20"/>
          <w:lang w:val="pt-BR"/>
        </w:rPr>
        <w:t>caça</w:t>
      </w:r>
      <w:r w:rsidR="004756C1" w:rsidRPr="002F50BD">
        <w:rPr>
          <w:rFonts w:ascii="Verdana" w:hAnsi="Verdana"/>
          <w:sz w:val="20"/>
          <w:lang w:val="pt-BR"/>
        </w:rPr>
        <w:t>, pesca</w:t>
      </w:r>
      <w:r w:rsidRPr="002F50BD">
        <w:rPr>
          <w:rFonts w:ascii="Verdana" w:hAnsi="Verdana"/>
          <w:sz w:val="20"/>
          <w:lang w:val="pt-BR"/>
        </w:rPr>
        <w:t xml:space="preserve"> e </w:t>
      </w:r>
      <w:r w:rsidR="00CE698C" w:rsidRPr="002F50BD">
        <w:rPr>
          <w:rFonts w:ascii="Verdana" w:hAnsi="Verdana"/>
          <w:sz w:val="20"/>
          <w:lang w:val="pt-BR"/>
        </w:rPr>
        <w:t>coleta</w:t>
      </w:r>
      <w:r w:rsidR="004756C1" w:rsidRPr="002F50BD">
        <w:rPr>
          <w:rFonts w:ascii="Verdana" w:hAnsi="Verdana"/>
          <w:sz w:val="20"/>
          <w:lang w:val="pt-BR"/>
        </w:rPr>
        <w:t xml:space="preserve">, </w:t>
      </w:r>
      <w:r w:rsidRPr="002F50BD">
        <w:rPr>
          <w:rFonts w:ascii="Verdana" w:hAnsi="Verdana"/>
          <w:sz w:val="20"/>
          <w:lang w:val="pt-BR"/>
        </w:rPr>
        <w:t>foram</w:t>
      </w:r>
      <w:r w:rsidR="004756C1" w:rsidRPr="002F50BD">
        <w:rPr>
          <w:rFonts w:ascii="Verdana" w:hAnsi="Verdana"/>
          <w:sz w:val="20"/>
          <w:lang w:val="pt-BR"/>
        </w:rPr>
        <w:t xml:space="preserve"> in</w:t>
      </w:r>
      <w:r w:rsidRPr="002F50BD">
        <w:rPr>
          <w:rFonts w:ascii="Verdana" w:hAnsi="Verdana"/>
          <w:sz w:val="20"/>
          <w:lang w:val="pt-BR"/>
        </w:rPr>
        <w:t>eficazes</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076AD">
      <w:pPr>
        <w:pStyle w:val="BodyText3"/>
        <w:numPr>
          <w:ilvl w:val="0"/>
          <w:numId w:val="26"/>
        </w:numPr>
        <w:tabs>
          <w:tab w:val="left" w:pos="720"/>
        </w:tabs>
        <w:rPr>
          <w:rFonts w:ascii="Verdana" w:hAnsi="Verdana"/>
          <w:sz w:val="20"/>
          <w:u w:val="none"/>
          <w:lang w:val="pt-BR"/>
        </w:rPr>
      </w:pPr>
      <w:r w:rsidRPr="002F50BD">
        <w:rPr>
          <w:rFonts w:ascii="Verdana" w:hAnsi="Verdana"/>
          <w:sz w:val="20"/>
          <w:u w:val="none"/>
          <w:lang w:val="pt-BR"/>
        </w:rPr>
        <w:t>Por sua vez</w:t>
      </w:r>
      <w:r w:rsidR="004756C1" w:rsidRPr="002F50BD">
        <w:rPr>
          <w:rFonts w:ascii="Verdana" w:hAnsi="Verdana"/>
          <w:sz w:val="20"/>
          <w:u w:val="none"/>
          <w:lang w:val="pt-BR"/>
        </w:rPr>
        <w:t>,</w:t>
      </w:r>
      <w:r w:rsidR="0089298C" w:rsidRPr="002F50BD">
        <w:rPr>
          <w:rFonts w:ascii="Verdana" w:hAnsi="Verdana"/>
          <w:sz w:val="20"/>
          <w:u w:val="none"/>
          <w:lang w:val="pt-BR"/>
        </w:rPr>
        <w:t xml:space="preserve"> o </w:t>
      </w:r>
      <w:r w:rsidR="004756C1" w:rsidRPr="002F50BD">
        <w:rPr>
          <w:rFonts w:ascii="Verdana" w:hAnsi="Verdana"/>
          <w:sz w:val="20"/>
          <w:u w:val="none"/>
          <w:lang w:val="pt-BR"/>
        </w:rPr>
        <w:t xml:space="preserve">Estado </w:t>
      </w:r>
      <w:r w:rsidRPr="002F50BD">
        <w:rPr>
          <w:rFonts w:ascii="Verdana" w:hAnsi="Verdana"/>
          <w:sz w:val="20"/>
          <w:u w:val="none"/>
          <w:lang w:val="pt-BR"/>
        </w:rPr>
        <w:t>indica</w:t>
      </w:r>
      <w:r w:rsidR="004756C1" w:rsidRPr="002F50BD">
        <w:rPr>
          <w:rFonts w:ascii="Verdana" w:hAnsi="Verdana"/>
          <w:sz w:val="20"/>
          <w:u w:val="none"/>
          <w:lang w:val="pt-BR"/>
        </w:rPr>
        <w:t xml:space="preserve">, </w:t>
      </w:r>
      <w:r w:rsidR="0089298C" w:rsidRPr="002F50BD">
        <w:rPr>
          <w:rFonts w:ascii="Verdana" w:hAnsi="Verdana"/>
          <w:sz w:val="20"/>
          <w:u w:val="none"/>
          <w:lang w:val="pt-BR"/>
        </w:rPr>
        <w:t>basicamente</w:t>
      </w:r>
      <w:r w:rsidR="004756C1" w:rsidRPr="002F50BD">
        <w:rPr>
          <w:rFonts w:ascii="Verdana" w:hAnsi="Verdana"/>
          <w:sz w:val="20"/>
          <w:u w:val="none"/>
          <w:lang w:val="pt-BR"/>
        </w:rPr>
        <w:t>, que</w:t>
      </w:r>
      <w:r w:rsidR="0089298C" w:rsidRPr="002F50BD">
        <w:rPr>
          <w:rFonts w:ascii="Verdana" w:hAnsi="Verdana"/>
          <w:sz w:val="20"/>
          <w:u w:val="none"/>
          <w:lang w:val="pt-BR"/>
        </w:rPr>
        <w:t xml:space="preserve"> cumpriu suas obrigações</w:t>
      </w:r>
      <w:r w:rsidR="004756C1" w:rsidRPr="002F50BD">
        <w:rPr>
          <w:rFonts w:ascii="Verdana" w:hAnsi="Verdana"/>
          <w:sz w:val="20"/>
          <w:u w:val="none"/>
          <w:lang w:val="pt-BR"/>
        </w:rPr>
        <w:t xml:space="preserve"> </w:t>
      </w:r>
      <w:r w:rsidR="0089298C" w:rsidRPr="002F50BD">
        <w:rPr>
          <w:rFonts w:ascii="Verdana" w:hAnsi="Verdana"/>
          <w:sz w:val="20"/>
          <w:u w:val="none"/>
          <w:lang w:val="pt-BR"/>
        </w:rPr>
        <w:t>constitucionais e legais</w:t>
      </w:r>
      <w:r w:rsidR="004756C1" w:rsidRPr="002F50BD">
        <w:rPr>
          <w:rFonts w:ascii="Verdana" w:hAnsi="Verdana"/>
          <w:sz w:val="20"/>
          <w:u w:val="none"/>
          <w:lang w:val="pt-BR"/>
        </w:rPr>
        <w:t xml:space="preserve"> para </w:t>
      </w:r>
      <w:r w:rsidR="0089298C" w:rsidRPr="002F50BD">
        <w:rPr>
          <w:rFonts w:ascii="Verdana" w:hAnsi="Verdana"/>
          <w:sz w:val="20"/>
          <w:u w:val="none"/>
          <w:lang w:val="pt-BR"/>
        </w:rPr>
        <w:t xml:space="preserve">garantir e </w:t>
      </w:r>
      <w:r w:rsidR="004756C1" w:rsidRPr="002F50BD">
        <w:rPr>
          <w:rFonts w:ascii="Verdana" w:hAnsi="Verdana"/>
          <w:sz w:val="20"/>
          <w:u w:val="none"/>
          <w:lang w:val="pt-BR"/>
        </w:rPr>
        <w:t>facilitar</w:t>
      </w:r>
      <w:r w:rsidR="0089298C" w:rsidRPr="002F50BD">
        <w:rPr>
          <w:rFonts w:ascii="Verdana" w:hAnsi="Verdana"/>
          <w:sz w:val="20"/>
          <w:u w:val="none"/>
          <w:lang w:val="pt-BR"/>
        </w:rPr>
        <w:t xml:space="preserve"> aos membro</w:t>
      </w:r>
      <w:r w:rsidR="004756C1" w:rsidRPr="002F50BD">
        <w:rPr>
          <w:rFonts w:ascii="Verdana" w:hAnsi="Verdana"/>
          <w:sz w:val="20"/>
          <w:u w:val="none"/>
          <w:lang w:val="pt-BR"/>
        </w:rPr>
        <w:t>s</w:t>
      </w:r>
      <w:r w:rsidR="0089298C" w:rsidRPr="002F50BD">
        <w:rPr>
          <w:rFonts w:ascii="Verdana" w:hAnsi="Verdana"/>
          <w:sz w:val="20"/>
          <w:u w:val="none"/>
          <w:lang w:val="pt-BR"/>
        </w:rPr>
        <w:t xml:space="preserve"> da Comunidad</w:t>
      </w:r>
      <w:r w:rsidR="00CE698C" w:rsidRPr="002F50BD">
        <w:rPr>
          <w:rFonts w:ascii="Verdana" w:hAnsi="Verdana"/>
          <w:sz w:val="20"/>
          <w:u w:val="none"/>
          <w:lang w:val="pt-BR"/>
        </w:rPr>
        <w:t>e o</w:t>
      </w:r>
      <w:r w:rsidR="0089298C" w:rsidRPr="002F50BD">
        <w:rPr>
          <w:rFonts w:ascii="Verdana" w:hAnsi="Verdana"/>
          <w:sz w:val="20"/>
          <w:u w:val="none"/>
          <w:lang w:val="pt-BR"/>
        </w:rPr>
        <w:t xml:space="preserve"> acesso aos </w:t>
      </w:r>
      <w:r w:rsidR="004756C1" w:rsidRPr="002F50BD">
        <w:rPr>
          <w:rFonts w:ascii="Verdana" w:hAnsi="Verdana"/>
          <w:sz w:val="20"/>
          <w:u w:val="none"/>
          <w:lang w:val="pt-BR"/>
        </w:rPr>
        <w:t>mecanismos administrativos</w:t>
      </w:r>
      <w:r w:rsidR="0089298C" w:rsidRPr="002F50BD">
        <w:rPr>
          <w:rFonts w:ascii="Verdana" w:hAnsi="Verdana"/>
          <w:sz w:val="20"/>
          <w:u w:val="none"/>
          <w:lang w:val="pt-BR"/>
        </w:rPr>
        <w:t xml:space="preserve"> no processo</w:t>
      </w:r>
      <w:r w:rsidR="004756C1" w:rsidRPr="002F50BD">
        <w:rPr>
          <w:rFonts w:ascii="Verdana" w:hAnsi="Verdana"/>
          <w:sz w:val="20"/>
          <w:u w:val="none"/>
          <w:lang w:val="pt-BR"/>
        </w:rPr>
        <w:t xml:space="preserve"> de reivindica</w:t>
      </w:r>
      <w:r w:rsidR="0089298C" w:rsidRPr="002F50BD">
        <w:rPr>
          <w:rFonts w:ascii="Verdana" w:hAnsi="Verdana"/>
          <w:sz w:val="20"/>
          <w:u w:val="none"/>
          <w:lang w:val="pt-BR"/>
        </w:rPr>
        <w:t>ção</w:t>
      </w:r>
      <w:r w:rsidR="004756C1" w:rsidRPr="002F50BD">
        <w:rPr>
          <w:rFonts w:ascii="Verdana" w:hAnsi="Verdana"/>
          <w:sz w:val="20"/>
          <w:u w:val="none"/>
          <w:lang w:val="pt-BR"/>
        </w:rPr>
        <w:t xml:space="preserve"> de </w:t>
      </w:r>
      <w:r w:rsidR="0089298C" w:rsidRPr="002F50BD">
        <w:rPr>
          <w:rFonts w:ascii="Verdana" w:hAnsi="Verdana"/>
          <w:sz w:val="20"/>
          <w:u w:val="none"/>
          <w:lang w:val="pt-BR"/>
        </w:rPr>
        <w:t>seu direito à propriedade</w:t>
      </w:r>
      <w:r w:rsidR="004756C1" w:rsidRPr="002F50BD">
        <w:rPr>
          <w:rFonts w:ascii="Verdana" w:hAnsi="Verdana"/>
          <w:sz w:val="20"/>
          <w:u w:val="none"/>
          <w:lang w:val="pt-BR"/>
        </w:rPr>
        <w:t xml:space="preserve"> </w:t>
      </w:r>
      <w:r w:rsidRPr="002F50BD">
        <w:rPr>
          <w:rFonts w:ascii="Verdana" w:hAnsi="Verdana"/>
          <w:sz w:val="20"/>
          <w:u w:val="none"/>
          <w:lang w:val="pt-BR"/>
        </w:rPr>
        <w:t>comunitári</w:t>
      </w:r>
      <w:r w:rsidR="004756C1" w:rsidRPr="002F50BD">
        <w:rPr>
          <w:rFonts w:ascii="Verdana" w:hAnsi="Verdana"/>
          <w:sz w:val="20"/>
          <w:u w:val="none"/>
          <w:lang w:val="pt-BR"/>
        </w:rPr>
        <w:t>a</w:t>
      </w:r>
      <w:r w:rsidR="0089298C" w:rsidRPr="002F50BD">
        <w:rPr>
          <w:rFonts w:ascii="Verdana" w:hAnsi="Verdana"/>
          <w:sz w:val="20"/>
          <w:u w:val="none"/>
          <w:lang w:val="pt-BR"/>
        </w:rPr>
        <w:t xml:space="preserve"> da terra</w:t>
      </w:r>
      <w:r w:rsidR="004756C1" w:rsidRPr="002F50BD">
        <w:rPr>
          <w:rFonts w:ascii="Verdana" w:hAnsi="Verdana"/>
          <w:sz w:val="20"/>
          <w:u w:val="none"/>
          <w:lang w:val="pt-BR"/>
        </w:rPr>
        <w:t xml:space="preserve">, </w:t>
      </w:r>
      <w:r w:rsidR="0089298C" w:rsidRPr="002F50BD">
        <w:rPr>
          <w:rFonts w:ascii="Verdana" w:hAnsi="Verdana"/>
          <w:sz w:val="20"/>
          <w:u w:val="none"/>
          <w:lang w:val="pt-BR"/>
        </w:rPr>
        <w:t>mas</w:t>
      </w:r>
      <w:r w:rsidR="004756C1" w:rsidRPr="002F50BD">
        <w:rPr>
          <w:rFonts w:ascii="Verdana" w:hAnsi="Verdana"/>
          <w:sz w:val="20"/>
          <w:u w:val="none"/>
          <w:lang w:val="pt-BR"/>
        </w:rPr>
        <w:t xml:space="preserve"> </w:t>
      </w:r>
      <w:r w:rsidRPr="002F50BD">
        <w:rPr>
          <w:rFonts w:ascii="Verdana" w:hAnsi="Verdana"/>
          <w:sz w:val="20"/>
          <w:u w:val="none"/>
          <w:lang w:val="pt-BR"/>
        </w:rPr>
        <w:t>suas instituições</w:t>
      </w:r>
      <w:r w:rsidR="004756C1" w:rsidRPr="002F50BD">
        <w:rPr>
          <w:rFonts w:ascii="Verdana" w:hAnsi="Verdana"/>
          <w:sz w:val="20"/>
          <w:u w:val="none"/>
          <w:lang w:val="pt-BR"/>
        </w:rPr>
        <w:t xml:space="preserve"> administrativas encontra</w:t>
      </w:r>
      <w:r w:rsidR="00CE698C" w:rsidRPr="002F50BD">
        <w:rPr>
          <w:rFonts w:ascii="Verdana" w:hAnsi="Verdana"/>
          <w:sz w:val="20"/>
          <w:u w:val="none"/>
          <w:lang w:val="pt-BR"/>
        </w:rPr>
        <w:t>ram</w:t>
      </w:r>
      <w:r w:rsidR="004756C1" w:rsidRPr="002F50BD">
        <w:rPr>
          <w:rFonts w:ascii="Verdana" w:hAnsi="Verdana"/>
          <w:sz w:val="20"/>
          <w:u w:val="none"/>
          <w:lang w:val="pt-BR"/>
        </w:rPr>
        <w:t xml:space="preserve"> </w:t>
      </w:r>
      <w:r w:rsidR="0089298C" w:rsidRPr="002F50BD">
        <w:rPr>
          <w:rFonts w:ascii="Verdana" w:hAnsi="Verdana"/>
          <w:sz w:val="20"/>
          <w:u w:val="none"/>
          <w:lang w:val="pt-BR"/>
        </w:rPr>
        <w:t>dificuldades</w:t>
      </w:r>
      <w:r w:rsidR="004756C1" w:rsidRPr="002F50BD">
        <w:rPr>
          <w:rFonts w:ascii="Verdana" w:hAnsi="Verdana"/>
          <w:sz w:val="20"/>
          <w:u w:val="none"/>
          <w:lang w:val="pt-BR"/>
        </w:rPr>
        <w:t xml:space="preserve"> para responder </w:t>
      </w:r>
      <w:r w:rsidR="0089298C" w:rsidRPr="002F50BD">
        <w:rPr>
          <w:rFonts w:ascii="Verdana" w:hAnsi="Verdana"/>
          <w:sz w:val="20"/>
          <w:u w:val="none"/>
          <w:lang w:val="pt-BR"/>
        </w:rPr>
        <w:t>efetiv</w:t>
      </w:r>
      <w:r w:rsidR="004756C1" w:rsidRPr="002F50BD">
        <w:rPr>
          <w:rFonts w:ascii="Verdana" w:hAnsi="Verdana"/>
          <w:sz w:val="20"/>
          <w:u w:val="none"/>
          <w:lang w:val="pt-BR"/>
        </w:rPr>
        <w:t>amente</w:t>
      </w:r>
      <w:r w:rsidR="0089298C" w:rsidRPr="002F50BD">
        <w:rPr>
          <w:rFonts w:ascii="Verdana" w:hAnsi="Verdana"/>
          <w:sz w:val="20"/>
          <w:u w:val="none"/>
          <w:lang w:val="pt-BR"/>
        </w:rPr>
        <w:t xml:space="preserve"> </w:t>
      </w:r>
      <w:r w:rsidR="006603BE" w:rsidRPr="002F50BD">
        <w:rPr>
          <w:rFonts w:ascii="Verdana" w:hAnsi="Verdana"/>
          <w:sz w:val="20"/>
          <w:u w:val="none"/>
          <w:lang w:val="pt-BR"/>
        </w:rPr>
        <w:t>a</w:t>
      </w:r>
      <w:r w:rsidR="0089298C" w:rsidRPr="002F50BD">
        <w:rPr>
          <w:rFonts w:ascii="Verdana" w:hAnsi="Verdana"/>
          <w:sz w:val="20"/>
          <w:u w:val="none"/>
          <w:lang w:val="pt-BR"/>
        </w:rPr>
        <w:t xml:space="preserve">o </w:t>
      </w:r>
      <w:r w:rsidR="004756C1" w:rsidRPr="002F50BD">
        <w:rPr>
          <w:rFonts w:ascii="Verdana" w:hAnsi="Verdana"/>
          <w:sz w:val="20"/>
          <w:u w:val="none"/>
          <w:lang w:val="pt-BR"/>
        </w:rPr>
        <w:t>reclamo</w:t>
      </w:r>
      <w:r w:rsidR="0089298C" w:rsidRPr="002F50BD">
        <w:rPr>
          <w:rFonts w:ascii="Verdana" w:hAnsi="Verdana"/>
          <w:sz w:val="20"/>
          <w:u w:val="none"/>
          <w:lang w:val="pt-BR"/>
        </w:rPr>
        <w:t xml:space="preserve"> dos membro</w:t>
      </w:r>
      <w:r w:rsidR="004756C1" w:rsidRPr="002F50BD">
        <w:rPr>
          <w:rFonts w:ascii="Verdana" w:hAnsi="Verdana"/>
          <w:sz w:val="20"/>
          <w:u w:val="none"/>
          <w:lang w:val="pt-BR"/>
        </w:rPr>
        <w:t>s</w:t>
      </w:r>
      <w:r w:rsidR="0089298C" w:rsidRPr="002F50BD">
        <w:rPr>
          <w:rFonts w:ascii="Verdana" w:hAnsi="Verdana"/>
          <w:sz w:val="20"/>
          <w:u w:val="none"/>
          <w:lang w:val="pt-BR"/>
        </w:rPr>
        <w:t xml:space="preserve"> da Comunidade </w:t>
      </w:r>
      <w:r w:rsidR="004756C1" w:rsidRPr="002F50BD">
        <w:rPr>
          <w:rFonts w:ascii="Verdana" w:hAnsi="Verdana"/>
          <w:sz w:val="20"/>
          <w:u w:val="none"/>
          <w:lang w:val="pt-BR"/>
        </w:rPr>
        <w:t xml:space="preserve">indígena </w:t>
      </w:r>
      <w:r w:rsidR="0089298C" w:rsidRPr="002F50BD">
        <w:rPr>
          <w:rFonts w:ascii="Verdana" w:hAnsi="Verdana"/>
          <w:sz w:val="20"/>
          <w:u w:val="none"/>
          <w:lang w:val="pt-BR"/>
        </w:rPr>
        <w:t xml:space="preserve">devido à </w:t>
      </w:r>
      <w:r w:rsidR="00C03ED8" w:rsidRPr="002F50BD">
        <w:rPr>
          <w:rFonts w:ascii="Verdana" w:hAnsi="Verdana"/>
          <w:sz w:val="20"/>
          <w:u w:val="none"/>
          <w:lang w:val="pt-BR"/>
        </w:rPr>
        <w:t>complexidade</w:t>
      </w:r>
      <w:r w:rsidR="004756C1" w:rsidRPr="002F50BD">
        <w:rPr>
          <w:rFonts w:ascii="Verdana" w:hAnsi="Verdana"/>
          <w:sz w:val="20"/>
          <w:u w:val="none"/>
          <w:lang w:val="pt-BR"/>
        </w:rPr>
        <w:t xml:space="preserve"> </w:t>
      </w:r>
      <w:r w:rsidR="0089298C" w:rsidRPr="002F50BD">
        <w:rPr>
          <w:rFonts w:ascii="Verdana" w:hAnsi="Verdana"/>
          <w:sz w:val="20"/>
          <w:u w:val="none"/>
          <w:lang w:val="pt-BR"/>
        </w:rPr>
        <w:t xml:space="preserve">do </w:t>
      </w:r>
      <w:r w:rsidR="004756C1" w:rsidRPr="002F50BD">
        <w:rPr>
          <w:rFonts w:ascii="Verdana" w:hAnsi="Verdana"/>
          <w:sz w:val="20"/>
          <w:u w:val="none"/>
          <w:lang w:val="pt-BR"/>
        </w:rPr>
        <w:t xml:space="preserve">caso. </w:t>
      </w:r>
    </w:p>
    <w:p w:rsidR="00FF3563" w:rsidRPr="002F50BD" w:rsidRDefault="00FF3563" w:rsidP="00FF3563">
      <w:pPr>
        <w:jc w:val="both"/>
        <w:rPr>
          <w:rFonts w:ascii="Verdana" w:hAnsi="Verdana"/>
          <w:sz w:val="20"/>
          <w:lang w:val="pt-BR"/>
        </w:rPr>
      </w:pPr>
    </w:p>
    <w:p w:rsidR="004756C1" w:rsidRPr="002F50BD" w:rsidRDefault="0089298C">
      <w:pPr>
        <w:numPr>
          <w:ilvl w:val="0"/>
          <w:numId w:val="26"/>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4076AD" w:rsidRPr="002F50BD">
        <w:rPr>
          <w:rFonts w:ascii="Verdana" w:hAnsi="Verdana"/>
          <w:sz w:val="20"/>
          <w:lang w:val="pt-BR"/>
        </w:rPr>
        <w:t>indicou</w:t>
      </w:r>
      <w:r w:rsidR="004756C1"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rela</w:t>
      </w:r>
      <w:r w:rsidRPr="002F50BD">
        <w:rPr>
          <w:rFonts w:ascii="Verdana" w:hAnsi="Verdana"/>
          <w:sz w:val="20"/>
          <w:lang w:val="pt-BR"/>
        </w:rPr>
        <w:t xml:space="preserve">ção </w:t>
      </w:r>
      <w:r w:rsidR="006603BE" w:rsidRPr="002F50BD">
        <w:rPr>
          <w:rFonts w:ascii="Verdana" w:hAnsi="Verdana"/>
          <w:sz w:val="20"/>
          <w:lang w:val="pt-BR"/>
        </w:rPr>
        <w:t>a</w:t>
      </w: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25</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que </w:t>
      </w:r>
    </w:p>
    <w:p w:rsidR="004756C1" w:rsidRPr="002F50BD" w:rsidRDefault="0089298C">
      <w:pPr>
        <w:ind w:left="720" w:right="720"/>
        <w:jc w:val="both"/>
        <w:rPr>
          <w:rFonts w:ascii="Verdana" w:hAnsi="Verdana"/>
          <w:b/>
          <w:sz w:val="16"/>
          <w:lang w:val="pt-BR"/>
        </w:rPr>
      </w:pPr>
      <w:r w:rsidRPr="002F50BD">
        <w:rPr>
          <w:rFonts w:ascii="Verdana" w:hAnsi="Verdana"/>
          <w:sz w:val="20"/>
          <w:lang w:val="pt-BR"/>
        </w:rPr>
        <w:cr/>
      </w:r>
      <w:r w:rsidRPr="002F50BD">
        <w:rPr>
          <w:rFonts w:ascii="Verdana" w:hAnsi="Verdana"/>
          <w:sz w:val="16"/>
          <w:szCs w:val="16"/>
          <w:lang w:val="pt-BR"/>
        </w:rPr>
        <w:t>A</w:t>
      </w:r>
      <w:r w:rsidRPr="002F50BD">
        <w:rPr>
          <w:rFonts w:ascii="Verdana" w:hAnsi="Verdana"/>
          <w:b/>
          <w:sz w:val="16"/>
          <w:szCs w:val="16"/>
          <w:lang w:val="pt-BR"/>
        </w:rPr>
        <w:t xml:space="preserve"> </w:t>
      </w:r>
      <w:r w:rsidR="004756C1" w:rsidRPr="002F50BD">
        <w:rPr>
          <w:rFonts w:ascii="Verdana" w:hAnsi="Verdana"/>
          <w:sz w:val="16"/>
          <w:szCs w:val="16"/>
          <w:lang w:val="pt-BR"/>
        </w:rPr>
        <w:t>in</w:t>
      </w:r>
      <w:r w:rsidRPr="002F50BD">
        <w:rPr>
          <w:rFonts w:ascii="Verdana" w:hAnsi="Verdana"/>
          <w:sz w:val="16"/>
          <w:szCs w:val="16"/>
          <w:lang w:val="pt-BR"/>
        </w:rPr>
        <w:t>existência</w:t>
      </w:r>
      <w:r w:rsidR="004756C1" w:rsidRPr="002F50BD">
        <w:rPr>
          <w:rFonts w:ascii="Verdana" w:hAnsi="Verdana"/>
          <w:sz w:val="16"/>
          <w:szCs w:val="16"/>
          <w:lang w:val="pt-BR"/>
        </w:rPr>
        <w:t xml:space="preserve"> de</w:t>
      </w:r>
      <w:r w:rsidRPr="002F50BD">
        <w:rPr>
          <w:rFonts w:ascii="Verdana" w:hAnsi="Verdana"/>
          <w:sz w:val="16"/>
          <w:szCs w:val="16"/>
          <w:lang w:val="pt-BR"/>
        </w:rPr>
        <w:t xml:space="preserve"> um </w:t>
      </w:r>
      <w:r w:rsidR="004756C1" w:rsidRPr="002F50BD">
        <w:rPr>
          <w:rFonts w:ascii="Verdana" w:hAnsi="Verdana"/>
          <w:sz w:val="16"/>
          <w:szCs w:val="16"/>
          <w:lang w:val="pt-BR"/>
        </w:rPr>
        <w:t xml:space="preserve">recurso </w:t>
      </w:r>
      <w:r w:rsidRPr="002F50BD">
        <w:rPr>
          <w:rFonts w:ascii="Verdana" w:hAnsi="Verdana"/>
          <w:sz w:val="16"/>
          <w:szCs w:val="16"/>
          <w:lang w:val="pt-BR"/>
        </w:rPr>
        <w:t>efetiv</w:t>
      </w:r>
      <w:r w:rsidR="004756C1" w:rsidRPr="002F50BD">
        <w:rPr>
          <w:rFonts w:ascii="Verdana" w:hAnsi="Verdana"/>
          <w:sz w:val="16"/>
          <w:szCs w:val="16"/>
          <w:lang w:val="pt-BR"/>
        </w:rPr>
        <w:t>o contra</w:t>
      </w:r>
      <w:r w:rsidRPr="002F50BD">
        <w:rPr>
          <w:rFonts w:ascii="Verdana" w:hAnsi="Verdana"/>
          <w:sz w:val="16"/>
          <w:szCs w:val="16"/>
          <w:lang w:val="pt-BR"/>
        </w:rPr>
        <w:t xml:space="preserve"> as </w:t>
      </w:r>
      <w:r w:rsidR="004756C1" w:rsidRPr="002F50BD">
        <w:rPr>
          <w:rFonts w:ascii="Verdana" w:hAnsi="Verdana"/>
          <w:sz w:val="16"/>
          <w:szCs w:val="16"/>
          <w:lang w:val="pt-BR"/>
        </w:rPr>
        <w:t>viola</w:t>
      </w:r>
      <w:r w:rsidRPr="002F50BD">
        <w:rPr>
          <w:rFonts w:ascii="Verdana" w:hAnsi="Verdana"/>
          <w:sz w:val="16"/>
          <w:szCs w:val="16"/>
          <w:lang w:val="pt-BR"/>
        </w:rPr>
        <w:t xml:space="preserve">ções </w:t>
      </w:r>
      <w:r w:rsidR="00CE698C" w:rsidRPr="002F50BD">
        <w:rPr>
          <w:rFonts w:ascii="Verdana" w:hAnsi="Verdana"/>
          <w:sz w:val="16"/>
          <w:szCs w:val="16"/>
          <w:lang w:val="pt-BR"/>
        </w:rPr>
        <w:t>d</w:t>
      </w:r>
      <w:r w:rsidRPr="002F50BD">
        <w:rPr>
          <w:rFonts w:ascii="Verdana" w:hAnsi="Verdana"/>
          <w:sz w:val="16"/>
          <w:szCs w:val="16"/>
          <w:lang w:val="pt-BR"/>
        </w:rPr>
        <w:t>os direito</w:t>
      </w:r>
      <w:r w:rsidR="004756C1" w:rsidRPr="002F50BD">
        <w:rPr>
          <w:rFonts w:ascii="Verdana" w:hAnsi="Verdana"/>
          <w:sz w:val="16"/>
          <w:szCs w:val="16"/>
          <w:lang w:val="pt-BR"/>
        </w:rPr>
        <w:t>s re</w:t>
      </w:r>
      <w:r w:rsidRPr="002F50BD">
        <w:rPr>
          <w:rFonts w:ascii="Verdana" w:hAnsi="Verdana"/>
          <w:sz w:val="16"/>
          <w:szCs w:val="16"/>
          <w:lang w:val="pt-BR"/>
        </w:rPr>
        <w:t>conhecido</w:t>
      </w:r>
      <w:r w:rsidR="004756C1" w:rsidRPr="002F50BD">
        <w:rPr>
          <w:rFonts w:ascii="Verdana" w:hAnsi="Verdana"/>
          <w:sz w:val="16"/>
          <w:szCs w:val="16"/>
          <w:lang w:val="pt-BR"/>
        </w:rPr>
        <w:t>s</w:t>
      </w:r>
      <w:r w:rsidRPr="002F50BD">
        <w:rPr>
          <w:rFonts w:ascii="Verdana" w:hAnsi="Verdana"/>
          <w:sz w:val="16"/>
          <w:szCs w:val="16"/>
          <w:lang w:val="pt-BR"/>
        </w:rPr>
        <w:t xml:space="preserve"> pela</w:t>
      </w:r>
      <w:r w:rsidRPr="002F50BD">
        <w:rPr>
          <w:rFonts w:ascii="Verdana" w:hAnsi="Verdana"/>
          <w:sz w:val="16"/>
          <w:lang w:val="pt-BR"/>
        </w:rPr>
        <w:t xml:space="preserve"> </w:t>
      </w:r>
      <w:r w:rsidR="004756C1" w:rsidRPr="002F50BD">
        <w:rPr>
          <w:rFonts w:ascii="Verdana" w:hAnsi="Verdana"/>
          <w:sz w:val="16"/>
          <w:lang w:val="pt-BR"/>
        </w:rPr>
        <w:t>Conven</w:t>
      </w:r>
      <w:r w:rsidRPr="002F50BD">
        <w:rPr>
          <w:rFonts w:ascii="Verdana" w:hAnsi="Verdana"/>
          <w:sz w:val="16"/>
          <w:lang w:val="pt-BR"/>
        </w:rPr>
        <w:t>ção</w:t>
      </w:r>
      <w:r w:rsidR="004756C1" w:rsidRPr="002F50BD">
        <w:rPr>
          <w:rFonts w:ascii="Verdana" w:hAnsi="Verdana"/>
          <w:sz w:val="16"/>
          <w:lang w:val="pt-BR"/>
        </w:rPr>
        <w:t xml:space="preserve"> </w:t>
      </w:r>
      <w:r w:rsidRPr="002F50BD">
        <w:rPr>
          <w:rFonts w:ascii="Verdana" w:hAnsi="Verdana"/>
          <w:sz w:val="16"/>
          <w:lang w:val="pt-BR"/>
        </w:rPr>
        <w:t xml:space="preserve">constitui uma </w:t>
      </w:r>
      <w:r w:rsidR="00CE698C" w:rsidRPr="002F50BD">
        <w:rPr>
          <w:rFonts w:ascii="Verdana" w:hAnsi="Verdana"/>
          <w:sz w:val="16"/>
          <w:lang w:val="pt-BR"/>
        </w:rPr>
        <w:t>transgressão</w:t>
      </w:r>
      <w:r w:rsidRPr="002F50BD">
        <w:rPr>
          <w:rFonts w:ascii="Verdana" w:hAnsi="Verdana"/>
          <w:sz w:val="16"/>
          <w:lang w:val="pt-BR"/>
        </w:rPr>
        <w:t xml:space="preserve"> da mesm</w:t>
      </w:r>
      <w:r w:rsidR="004756C1" w:rsidRPr="002F50BD">
        <w:rPr>
          <w:rFonts w:ascii="Verdana" w:hAnsi="Verdana"/>
          <w:sz w:val="16"/>
          <w:lang w:val="pt-BR"/>
        </w:rPr>
        <w:t>a</w:t>
      </w:r>
      <w:r w:rsidRPr="002F50BD">
        <w:rPr>
          <w:rFonts w:ascii="Verdana" w:hAnsi="Verdana"/>
          <w:sz w:val="16"/>
          <w:lang w:val="pt-BR"/>
        </w:rPr>
        <w:t xml:space="preserve"> </w:t>
      </w:r>
      <w:r w:rsidR="00CE698C" w:rsidRPr="002F50BD">
        <w:rPr>
          <w:rFonts w:ascii="Verdana" w:hAnsi="Verdana"/>
          <w:sz w:val="16"/>
          <w:lang w:val="pt-BR"/>
        </w:rPr>
        <w:t xml:space="preserve">por parte do </w:t>
      </w:r>
      <w:r w:rsidR="004756C1" w:rsidRPr="002F50BD">
        <w:rPr>
          <w:rFonts w:ascii="Verdana" w:hAnsi="Verdana"/>
          <w:sz w:val="16"/>
          <w:lang w:val="pt-BR"/>
        </w:rPr>
        <w:t>Estado Parte</w:t>
      </w:r>
      <w:r w:rsidRPr="002F50BD">
        <w:rPr>
          <w:rFonts w:ascii="Verdana" w:hAnsi="Verdana"/>
          <w:sz w:val="16"/>
          <w:lang w:val="pt-BR"/>
        </w:rPr>
        <w:t xml:space="preserve"> no qual </w:t>
      </w:r>
      <w:r w:rsidR="004756C1" w:rsidRPr="002F50BD">
        <w:rPr>
          <w:rFonts w:ascii="Verdana" w:hAnsi="Verdana"/>
          <w:sz w:val="16"/>
          <w:lang w:val="pt-BR"/>
        </w:rPr>
        <w:t>seme</w:t>
      </w:r>
      <w:r w:rsidR="00CE698C" w:rsidRPr="002F50BD">
        <w:rPr>
          <w:rFonts w:ascii="Verdana" w:hAnsi="Verdana"/>
          <w:sz w:val="16"/>
          <w:lang w:val="pt-BR"/>
        </w:rPr>
        <w:t>lh</w:t>
      </w:r>
      <w:r w:rsidR="004756C1" w:rsidRPr="002F50BD">
        <w:rPr>
          <w:rFonts w:ascii="Verdana" w:hAnsi="Verdana"/>
          <w:sz w:val="16"/>
          <w:lang w:val="pt-BR"/>
        </w:rPr>
        <w:t>ante situa</w:t>
      </w:r>
      <w:r w:rsidRPr="002F50BD">
        <w:rPr>
          <w:rFonts w:ascii="Verdana" w:hAnsi="Verdana"/>
          <w:sz w:val="16"/>
          <w:lang w:val="pt-BR"/>
        </w:rPr>
        <w:t>ção</w:t>
      </w:r>
      <w:r w:rsidR="004756C1" w:rsidRPr="002F50BD">
        <w:rPr>
          <w:rFonts w:ascii="Verdana" w:hAnsi="Verdana"/>
          <w:sz w:val="16"/>
          <w:lang w:val="pt-BR"/>
        </w:rPr>
        <w:t xml:space="preserve"> </w:t>
      </w:r>
      <w:r w:rsidR="001C609B" w:rsidRPr="002F50BD">
        <w:rPr>
          <w:rFonts w:ascii="Verdana" w:hAnsi="Verdana"/>
          <w:sz w:val="16"/>
          <w:lang w:val="pt-BR"/>
        </w:rPr>
        <w:t>aconteça</w:t>
      </w:r>
      <w:r w:rsidR="00475EBB" w:rsidRPr="002F50BD">
        <w:rPr>
          <w:rFonts w:ascii="Verdana" w:hAnsi="Verdana"/>
          <w:sz w:val="16"/>
          <w:lang w:val="pt-BR"/>
        </w:rPr>
        <w:t>. Ness</w:t>
      </w:r>
      <w:r w:rsidR="00FB33DD" w:rsidRPr="002F50BD">
        <w:rPr>
          <w:rFonts w:ascii="Verdana" w:hAnsi="Verdana"/>
          <w:sz w:val="16"/>
          <w:lang w:val="pt-BR"/>
        </w:rPr>
        <w:t>e</w:t>
      </w:r>
      <w:r w:rsidRPr="002F50BD">
        <w:rPr>
          <w:rFonts w:ascii="Verdana" w:hAnsi="Verdana"/>
          <w:sz w:val="16"/>
          <w:lang w:val="pt-BR"/>
        </w:rPr>
        <w:t xml:space="preserve"> </w:t>
      </w:r>
      <w:r w:rsidR="004756C1" w:rsidRPr="002F50BD">
        <w:rPr>
          <w:rFonts w:ascii="Verdana" w:hAnsi="Verdana"/>
          <w:sz w:val="16"/>
          <w:lang w:val="pt-BR"/>
        </w:rPr>
        <w:t>sentido</w:t>
      </w:r>
      <w:r w:rsidR="00CE698C" w:rsidRPr="002F50BD">
        <w:rPr>
          <w:rFonts w:ascii="Verdana" w:hAnsi="Verdana"/>
          <w:sz w:val="16"/>
          <w:lang w:val="pt-BR"/>
        </w:rPr>
        <w:t>,</w:t>
      </w:r>
      <w:r w:rsidRPr="002F50BD">
        <w:rPr>
          <w:rFonts w:ascii="Verdana" w:hAnsi="Verdana"/>
          <w:sz w:val="16"/>
          <w:lang w:val="pt-BR"/>
        </w:rPr>
        <w:t xml:space="preserve"> deve</w:t>
      </w:r>
      <w:r w:rsidR="001C609B" w:rsidRPr="002F50BD">
        <w:rPr>
          <w:rFonts w:ascii="Verdana" w:hAnsi="Verdana"/>
          <w:sz w:val="16"/>
          <w:lang w:val="pt-BR"/>
        </w:rPr>
        <w:t xml:space="preserve">-se destacar </w:t>
      </w:r>
      <w:r w:rsidR="004756C1" w:rsidRPr="002F50BD">
        <w:rPr>
          <w:rFonts w:ascii="Verdana" w:hAnsi="Verdana"/>
          <w:sz w:val="16"/>
          <w:lang w:val="pt-BR"/>
        </w:rPr>
        <w:t>que, para que tal recurso exista, n</w:t>
      </w:r>
      <w:r w:rsidR="00CE698C" w:rsidRPr="002F50BD">
        <w:rPr>
          <w:rFonts w:ascii="Verdana" w:hAnsi="Verdana"/>
          <w:sz w:val="16"/>
          <w:lang w:val="pt-BR"/>
        </w:rPr>
        <w:t>ã</w:t>
      </w:r>
      <w:r w:rsidR="004756C1" w:rsidRPr="002F50BD">
        <w:rPr>
          <w:rFonts w:ascii="Verdana" w:hAnsi="Verdana"/>
          <w:sz w:val="16"/>
          <w:lang w:val="pt-BR"/>
        </w:rPr>
        <w:t>o basta</w:t>
      </w:r>
      <w:r w:rsidRPr="002F50BD">
        <w:rPr>
          <w:rFonts w:ascii="Verdana" w:hAnsi="Verdana"/>
          <w:sz w:val="16"/>
          <w:lang w:val="pt-BR"/>
        </w:rPr>
        <w:t xml:space="preserve"> </w:t>
      </w:r>
      <w:r w:rsidR="004756C1" w:rsidRPr="002F50BD">
        <w:rPr>
          <w:rFonts w:ascii="Verdana" w:hAnsi="Verdana"/>
          <w:sz w:val="16"/>
          <w:lang w:val="pt-BR"/>
        </w:rPr>
        <w:t xml:space="preserve">que </w:t>
      </w:r>
      <w:r w:rsidR="00CE698C" w:rsidRPr="002F50BD">
        <w:rPr>
          <w:rFonts w:ascii="Verdana" w:hAnsi="Verdana"/>
          <w:sz w:val="16"/>
          <w:lang w:val="pt-BR"/>
        </w:rPr>
        <w:t xml:space="preserve">esteja </w:t>
      </w:r>
      <w:r w:rsidR="004756C1" w:rsidRPr="002F50BD">
        <w:rPr>
          <w:rFonts w:ascii="Verdana" w:hAnsi="Verdana"/>
          <w:sz w:val="16"/>
          <w:lang w:val="pt-BR"/>
        </w:rPr>
        <w:t>previsto</w:t>
      </w:r>
      <w:r w:rsidRPr="002F50BD">
        <w:rPr>
          <w:rFonts w:ascii="Verdana" w:hAnsi="Verdana"/>
          <w:sz w:val="16"/>
          <w:lang w:val="pt-BR"/>
        </w:rPr>
        <w:t xml:space="preserve"> </w:t>
      </w:r>
      <w:r w:rsidR="001C609B" w:rsidRPr="002F50BD">
        <w:rPr>
          <w:rFonts w:ascii="Verdana" w:hAnsi="Verdana"/>
          <w:sz w:val="16"/>
          <w:lang w:val="pt-BR"/>
        </w:rPr>
        <w:t>n</w:t>
      </w:r>
      <w:r w:rsidRPr="002F50BD">
        <w:rPr>
          <w:rFonts w:ascii="Verdana" w:hAnsi="Verdana"/>
          <w:sz w:val="16"/>
          <w:lang w:val="pt-BR"/>
        </w:rPr>
        <w:t>a Constituição</w:t>
      </w:r>
      <w:r w:rsidR="004756C1" w:rsidRPr="002F50BD">
        <w:rPr>
          <w:rFonts w:ascii="Verdana" w:hAnsi="Verdana"/>
          <w:sz w:val="16"/>
          <w:lang w:val="pt-BR"/>
        </w:rPr>
        <w:t xml:space="preserve"> o</w:t>
      </w:r>
      <w:r w:rsidR="00CE698C" w:rsidRPr="002F50BD">
        <w:rPr>
          <w:rFonts w:ascii="Verdana" w:hAnsi="Verdana"/>
          <w:sz w:val="16"/>
          <w:lang w:val="pt-BR"/>
        </w:rPr>
        <w:t>u</w:t>
      </w:r>
      <w:r w:rsidRPr="002F50BD">
        <w:rPr>
          <w:rFonts w:ascii="Verdana" w:hAnsi="Verdana"/>
          <w:sz w:val="16"/>
          <w:lang w:val="pt-BR"/>
        </w:rPr>
        <w:t xml:space="preserve"> </w:t>
      </w:r>
      <w:r w:rsidR="00CE698C" w:rsidRPr="002F50BD">
        <w:rPr>
          <w:rFonts w:ascii="Verdana" w:hAnsi="Verdana"/>
          <w:sz w:val="16"/>
          <w:lang w:val="pt-BR"/>
        </w:rPr>
        <w:t>n</w:t>
      </w:r>
      <w:r w:rsidRPr="002F50BD">
        <w:rPr>
          <w:rFonts w:ascii="Verdana" w:hAnsi="Verdana"/>
          <w:sz w:val="16"/>
          <w:lang w:val="pt-BR"/>
        </w:rPr>
        <w:t xml:space="preserve">a lei </w:t>
      </w:r>
      <w:r w:rsidR="004756C1" w:rsidRPr="002F50BD">
        <w:rPr>
          <w:rFonts w:ascii="Verdana" w:hAnsi="Verdana"/>
          <w:sz w:val="16"/>
          <w:lang w:val="pt-BR"/>
        </w:rPr>
        <w:t>o</w:t>
      </w:r>
      <w:r w:rsidR="00CE698C" w:rsidRPr="002F50BD">
        <w:rPr>
          <w:rFonts w:ascii="Verdana" w:hAnsi="Verdana"/>
          <w:sz w:val="16"/>
          <w:lang w:val="pt-BR"/>
        </w:rPr>
        <w:t>u</w:t>
      </w:r>
      <w:r w:rsidRPr="002F50BD">
        <w:rPr>
          <w:rFonts w:ascii="Verdana" w:hAnsi="Verdana"/>
          <w:sz w:val="16"/>
          <w:lang w:val="pt-BR"/>
        </w:rPr>
        <w:t xml:space="preserve"> </w:t>
      </w:r>
      <w:r w:rsidR="004756C1" w:rsidRPr="002F50BD">
        <w:rPr>
          <w:rFonts w:ascii="Verdana" w:hAnsi="Verdana"/>
          <w:sz w:val="16"/>
          <w:lang w:val="pt-BR"/>
        </w:rPr>
        <w:t>que</w:t>
      </w:r>
      <w:r w:rsidRPr="002F50BD">
        <w:rPr>
          <w:rFonts w:ascii="Verdana" w:hAnsi="Verdana"/>
          <w:sz w:val="16"/>
          <w:lang w:val="pt-BR"/>
        </w:rPr>
        <w:t xml:space="preserve"> seja </w:t>
      </w:r>
      <w:r w:rsidR="004756C1" w:rsidRPr="002F50BD">
        <w:rPr>
          <w:rFonts w:ascii="Verdana" w:hAnsi="Verdana"/>
          <w:sz w:val="16"/>
          <w:lang w:val="pt-BR"/>
        </w:rPr>
        <w:t xml:space="preserve">formalmente </w:t>
      </w:r>
      <w:r w:rsidRPr="002F50BD">
        <w:rPr>
          <w:rFonts w:ascii="Verdana" w:hAnsi="Verdana"/>
          <w:sz w:val="16"/>
          <w:lang w:val="pt-BR"/>
        </w:rPr>
        <w:t>admissível</w:t>
      </w:r>
      <w:r w:rsidR="004756C1" w:rsidRPr="002F50BD">
        <w:rPr>
          <w:rFonts w:ascii="Verdana" w:hAnsi="Verdana"/>
          <w:sz w:val="16"/>
          <w:lang w:val="pt-BR"/>
        </w:rPr>
        <w:t>,</w:t>
      </w:r>
      <w:r w:rsidRPr="002F50BD">
        <w:rPr>
          <w:rFonts w:ascii="Verdana" w:hAnsi="Verdana"/>
          <w:sz w:val="16"/>
          <w:lang w:val="pt-BR"/>
        </w:rPr>
        <w:t xml:space="preserve"> mas </w:t>
      </w:r>
      <w:r w:rsidR="00CE698C" w:rsidRPr="002F50BD">
        <w:rPr>
          <w:rFonts w:ascii="Verdana" w:hAnsi="Verdana"/>
          <w:sz w:val="16"/>
          <w:lang w:val="pt-BR"/>
        </w:rPr>
        <w:t xml:space="preserve">se </w:t>
      </w:r>
      <w:r w:rsidRPr="002F50BD">
        <w:rPr>
          <w:rFonts w:ascii="Verdana" w:hAnsi="Verdana"/>
          <w:sz w:val="16"/>
          <w:lang w:val="pt-BR"/>
        </w:rPr>
        <w:t xml:space="preserve">requer </w:t>
      </w:r>
      <w:r w:rsidR="004756C1" w:rsidRPr="002F50BD">
        <w:rPr>
          <w:rFonts w:ascii="Verdana" w:hAnsi="Verdana"/>
          <w:sz w:val="16"/>
          <w:lang w:val="pt-BR"/>
        </w:rPr>
        <w:t>que</w:t>
      </w:r>
      <w:r w:rsidRPr="002F50BD">
        <w:rPr>
          <w:rFonts w:ascii="Verdana" w:hAnsi="Verdana"/>
          <w:sz w:val="16"/>
          <w:lang w:val="pt-BR"/>
        </w:rPr>
        <w:t xml:space="preserve"> seja </w:t>
      </w:r>
      <w:r w:rsidR="004756C1" w:rsidRPr="002F50BD">
        <w:rPr>
          <w:rFonts w:ascii="Verdana" w:hAnsi="Verdana"/>
          <w:sz w:val="16"/>
          <w:lang w:val="pt-BR"/>
        </w:rPr>
        <w:t>realmente id</w:t>
      </w:r>
      <w:r w:rsidR="00CE698C" w:rsidRPr="002F50BD">
        <w:rPr>
          <w:rFonts w:ascii="Verdana" w:hAnsi="Verdana"/>
          <w:sz w:val="16"/>
          <w:lang w:val="pt-BR"/>
        </w:rPr>
        <w:t>ô</w:t>
      </w:r>
      <w:r w:rsidR="004756C1" w:rsidRPr="002F50BD">
        <w:rPr>
          <w:rFonts w:ascii="Verdana" w:hAnsi="Verdana"/>
          <w:sz w:val="16"/>
          <w:lang w:val="pt-BR"/>
        </w:rPr>
        <w:t xml:space="preserve">neo para </w:t>
      </w:r>
      <w:r w:rsidRPr="002F50BD">
        <w:rPr>
          <w:rFonts w:ascii="Verdana" w:hAnsi="Verdana"/>
          <w:sz w:val="16"/>
          <w:lang w:val="pt-BR"/>
        </w:rPr>
        <w:t>estabelece</w:t>
      </w:r>
      <w:r w:rsidR="004756C1" w:rsidRPr="002F50BD">
        <w:rPr>
          <w:rFonts w:ascii="Verdana" w:hAnsi="Verdana"/>
          <w:sz w:val="16"/>
          <w:lang w:val="pt-BR"/>
        </w:rPr>
        <w:t>r</w:t>
      </w:r>
      <w:r w:rsidRPr="002F50BD">
        <w:rPr>
          <w:rFonts w:ascii="Verdana" w:hAnsi="Verdana"/>
          <w:sz w:val="16"/>
          <w:lang w:val="pt-BR"/>
        </w:rPr>
        <w:t xml:space="preserve"> se </w:t>
      </w:r>
      <w:r w:rsidR="00CE698C" w:rsidRPr="002F50BD">
        <w:rPr>
          <w:rFonts w:ascii="Verdana" w:hAnsi="Verdana"/>
          <w:sz w:val="16"/>
          <w:lang w:val="pt-BR"/>
        </w:rPr>
        <w:t>incorreu</w:t>
      </w:r>
      <w:r w:rsidR="001C609B" w:rsidRPr="002F50BD">
        <w:rPr>
          <w:rFonts w:ascii="Verdana" w:hAnsi="Verdana"/>
          <w:sz w:val="16"/>
          <w:lang w:val="pt-BR"/>
        </w:rPr>
        <w:t>-se</w:t>
      </w:r>
      <w:r w:rsidR="00CE698C" w:rsidRPr="002F50BD">
        <w:rPr>
          <w:rFonts w:ascii="Verdana" w:hAnsi="Verdana"/>
          <w:sz w:val="16"/>
          <w:lang w:val="pt-BR"/>
        </w:rPr>
        <w:t xml:space="preserve"> </w:t>
      </w:r>
      <w:r w:rsidRPr="002F50BD">
        <w:rPr>
          <w:rFonts w:ascii="Verdana" w:hAnsi="Verdana"/>
          <w:sz w:val="16"/>
          <w:lang w:val="pt-BR"/>
        </w:rPr>
        <w:t xml:space="preserve">em uma </w:t>
      </w:r>
      <w:r w:rsidR="004756C1" w:rsidRPr="002F50BD">
        <w:rPr>
          <w:rFonts w:ascii="Verdana" w:hAnsi="Verdana"/>
          <w:sz w:val="16"/>
          <w:lang w:val="pt-BR"/>
        </w:rPr>
        <w:t>viola</w:t>
      </w:r>
      <w:r w:rsidRPr="002F50BD">
        <w:rPr>
          <w:rFonts w:ascii="Verdana" w:hAnsi="Verdana"/>
          <w:sz w:val="16"/>
          <w:lang w:val="pt-BR"/>
        </w:rPr>
        <w:t>ção aos direito</w:t>
      </w:r>
      <w:r w:rsidR="004756C1" w:rsidRPr="002F50BD">
        <w:rPr>
          <w:rFonts w:ascii="Verdana" w:hAnsi="Verdana"/>
          <w:sz w:val="16"/>
          <w:lang w:val="pt-BR"/>
        </w:rPr>
        <w:t>s humanos</w:t>
      </w:r>
      <w:r w:rsidRPr="002F50BD">
        <w:rPr>
          <w:rFonts w:ascii="Verdana" w:hAnsi="Verdana"/>
          <w:sz w:val="16"/>
          <w:lang w:val="pt-BR"/>
        </w:rPr>
        <w:t xml:space="preserve"> e </w:t>
      </w:r>
      <w:r w:rsidR="004756C1" w:rsidRPr="002F50BD">
        <w:rPr>
          <w:rFonts w:ascii="Verdana" w:hAnsi="Verdana"/>
          <w:sz w:val="16"/>
          <w:lang w:val="pt-BR"/>
        </w:rPr>
        <w:t xml:space="preserve">prover o </w:t>
      </w:r>
      <w:r w:rsidRPr="002F50BD">
        <w:rPr>
          <w:rFonts w:ascii="Verdana" w:hAnsi="Verdana"/>
          <w:sz w:val="16"/>
          <w:lang w:val="pt-BR"/>
        </w:rPr>
        <w:t>necessári</w:t>
      </w:r>
      <w:r w:rsidR="004756C1" w:rsidRPr="002F50BD">
        <w:rPr>
          <w:rFonts w:ascii="Verdana" w:hAnsi="Verdana"/>
          <w:sz w:val="16"/>
          <w:lang w:val="pt-BR"/>
        </w:rPr>
        <w:t>o para remedi</w:t>
      </w:r>
      <w:r w:rsidR="00CE698C" w:rsidRPr="002F50BD">
        <w:rPr>
          <w:rFonts w:ascii="Verdana" w:hAnsi="Verdana"/>
          <w:sz w:val="16"/>
          <w:lang w:val="pt-BR"/>
        </w:rPr>
        <w:t>á-</w:t>
      </w:r>
      <w:r w:rsidR="004756C1" w:rsidRPr="002F50BD">
        <w:rPr>
          <w:rFonts w:ascii="Verdana" w:hAnsi="Verdana"/>
          <w:sz w:val="16"/>
          <w:lang w:val="pt-BR"/>
        </w:rPr>
        <w:t>la</w:t>
      </w:r>
      <w:r w:rsidR="00CE698C" w:rsidRPr="002F50BD">
        <w:rPr>
          <w:rFonts w:ascii="Verdana" w:hAnsi="Verdana"/>
          <w:sz w:val="16"/>
          <w:lang w:val="pt-BR"/>
        </w:rPr>
        <w:t>.</w:t>
      </w:r>
      <w:r w:rsidR="004756C1" w:rsidRPr="002F50BD">
        <w:rPr>
          <w:rStyle w:val="FootnoteReference"/>
          <w:rFonts w:ascii="Verdana" w:hAnsi="Verdana"/>
          <w:sz w:val="16"/>
        </w:rPr>
        <w:footnoteReference w:id="176"/>
      </w:r>
      <w:r w:rsidR="004756C1" w:rsidRPr="002F50BD">
        <w:rPr>
          <w:rFonts w:ascii="Verdana" w:hAnsi="Verdana"/>
          <w:b/>
          <w:sz w:val="16"/>
          <w:lang w:val="pt-BR"/>
        </w:rPr>
        <w:t xml:space="preserve"> </w:t>
      </w:r>
    </w:p>
    <w:p w:rsidR="004756C1" w:rsidRPr="002F50BD" w:rsidRDefault="004756C1">
      <w:pPr>
        <w:jc w:val="both"/>
        <w:rPr>
          <w:rFonts w:ascii="Verdana" w:hAnsi="Verdana"/>
          <w:sz w:val="20"/>
          <w:lang w:val="pt-BR"/>
        </w:rPr>
      </w:pPr>
    </w:p>
    <w:p w:rsidR="004756C1" w:rsidRPr="002F50BD" w:rsidRDefault="00AB6727">
      <w:pPr>
        <w:numPr>
          <w:ilvl w:val="0"/>
          <w:numId w:val="26"/>
        </w:numPr>
        <w:jc w:val="both"/>
        <w:rPr>
          <w:rFonts w:ascii="Verdana" w:hAnsi="Verdana"/>
          <w:sz w:val="20"/>
          <w:lang w:val="pt-BR"/>
        </w:rPr>
      </w:pPr>
      <w:r w:rsidRPr="002F50BD">
        <w:rPr>
          <w:rFonts w:ascii="Verdana" w:hAnsi="Verdana"/>
          <w:sz w:val="20"/>
          <w:lang w:val="pt-BR"/>
        </w:rPr>
        <w:t xml:space="preserve">Os </w:t>
      </w:r>
      <w:r w:rsidR="004756C1" w:rsidRPr="002F50BD">
        <w:rPr>
          <w:rFonts w:ascii="Verdana" w:hAnsi="Verdana"/>
          <w:sz w:val="20"/>
          <w:lang w:val="pt-BR"/>
        </w:rPr>
        <w:t xml:space="preserve">recursos </w:t>
      </w:r>
      <w:r w:rsidR="0089298C" w:rsidRPr="002F50BD">
        <w:rPr>
          <w:rFonts w:ascii="Verdana" w:hAnsi="Verdana"/>
          <w:sz w:val="20"/>
          <w:lang w:val="pt-BR"/>
        </w:rPr>
        <w:t>efetiv</w:t>
      </w:r>
      <w:r w:rsidR="004756C1" w:rsidRPr="002F50BD">
        <w:rPr>
          <w:rFonts w:ascii="Verdana" w:hAnsi="Verdana"/>
          <w:sz w:val="20"/>
          <w:lang w:val="pt-BR"/>
        </w:rPr>
        <w:t>os que</w:t>
      </w:r>
      <w:r w:rsidR="0089298C" w:rsidRPr="002F50BD">
        <w:rPr>
          <w:rFonts w:ascii="Verdana" w:hAnsi="Verdana"/>
          <w:sz w:val="20"/>
          <w:lang w:val="pt-BR"/>
        </w:rPr>
        <w:t xml:space="preserve"> os </w:t>
      </w:r>
      <w:r w:rsidR="004756C1" w:rsidRPr="002F50BD">
        <w:rPr>
          <w:rFonts w:ascii="Verdana" w:hAnsi="Verdana"/>
          <w:sz w:val="20"/>
          <w:lang w:val="pt-BR"/>
        </w:rPr>
        <w:t xml:space="preserve">Estados </w:t>
      </w:r>
      <w:r w:rsidR="0089298C" w:rsidRPr="002F50BD">
        <w:rPr>
          <w:rFonts w:ascii="Verdana" w:hAnsi="Verdana"/>
          <w:sz w:val="20"/>
          <w:lang w:val="pt-BR"/>
        </w:rPr>
        <w:t>devem</w:t>
      </w:r>
      <w:r w:rsidR="004756C1" w:rsidRPr="002F50BD">
        <w:rPr>
          <w:rFonts w:ascii="Verdana" w:hAnsi="Verdana"/>
          <w:sz w:val="20"/>
          <w:lang w:val="pt-BR"/>
        </w:rPr>
        <w:t xml:space="preserve"> </w:t>
      </w:r>
      <w:r w:rsidR="0089298C" w:rsidRPr="002F50BD">
        <w:rPr>
          <w:rFonts w:ascii="Verdana" w:hAnsi="Verdana"/>
          <w:sz w:val="20"/>
          <w:lang w:val="pt-BR"/>
        </w:rPr>
        <w:t>oferece</w:t>
      </w:r>
      <w:r w:rsidR="004756C1" w:rsidRPr="002F50BD">
        <w:rPr>
          <w:rFonts w:ascii="Verdana" w:hAnsi="Verdana"/>
          <w:sz w:val="20"/>
          <w:lang w:val="pt-BR"/>
        </w:rPr>
        <w:t xml:space="preserve">r </w:t>
      </w:r>
      <w:r w:rsidR="001C609B" w:rsidRPr="002F50BD">
        <w:rPr>
          <w:rFonts w:ascii="Verdana" w:hAnsi="Verdana"/>
          <w:sz w:val="20"/>
          <w:lang w:val="pt-BR"/>
        </w:rPr>
        <w:t xml:space="preserve">em conformidade com </w:t>
      </w:r>
      <w:r w:rsidR="0089298C"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89298C" w:rsidRPr="002F50BD">
        <w:rPr>
          <w:rFonts w:ascii="Verdana" w:hAnsi="Verdana"/>
          <w:sz w:val="20"/>
          <w:lang w:val="pt-BR"/>
        </w:rPr>
        <w:t>devem</w:t>
      </w:r>
      <w:r w:rsidR="004756C1" w:rsidRPr="002F50BD">
        <w:rPr>
          <w:rFonts w:ascii="Verdana" w:hAnsi="Verdana"/>
          <w:sz w:val="20"/>
          <w:lang w:val="pt-BR"/>
        </w:rPr>
        <w:t xml:space="preserve"> ser </w:t>
      </w:r>
      <w:r w:rsidR="001C609B" w:rsidRPr="002F50BD">
        <w:rPr>
          <w:rFonts w:ascii="Verdana" w:hAnsi="Verdana"/>
          <w:sz w:val="20"/>
          <w:lang w:val="pt-BR"/>
        </w:rPr>
        <w:t xml:space="preserve">fundamentados </w:t>
      </w:r>
      <w:r w:rsidR="0089298C" w:rsidRPr="002F50BD">
        <w:rPr>
          <w:rFonts w:ascii="Verdana" w:hAnsi="Verdana"/>
          <w:sz w:val="20"/>
          <w:lang w:val="pt-BR"/>
        </w:rPr>
        <w:t>de acordo com as regras</w:t>
      </w:r>
      <w:r w:rsidR="004756C1" w:rsidRPr="002F50BD">
        <w:rPr>
          <w:rFonts w:ascii="Verdana" w:hAnsi="Verdana"/>
          <w:sz w:val="20"/>
          <w:lang w:val="pt-BR"/>
        </w:rPr>
        <w:t xml:space="preserve"> </w:t>
      </w:r>
      <w:r w:rsidR="0089298C" w:rsidRPr="002F50BD">
        <w:rPr>
          <w:rFonts w:ascii="Verdana" w:hAnsi="Verdana"/>
          <w:sz w:val="20"/>
          <w:lang w:val="pt-BR"/>
        </w:rPr>
        <w:t>do devido</w:t>
      </w:r>
      <w:r w:rsidR="004756C1" w:rsidRPr="002F50BD">
        <w:rPr>
          <w:rFonts w:ascii="Verdana" w:hAnsi="Verdana"/>
          <w:sz w:val="20"/>
          <w:lang w:val="pt-BR"/>
        </w:rPr>
        <w:t xml:space="preserve"> </w:t>
      </w:r>
      <w:r w:rsidR="0089298C" w:rsidRPr="002F50BD">
        <w:rPr>
          <w:rFonts w:ascii="Verdana" w:hAnsi="Verdana"/>
          <w:sz w:val="20"/>
          <w:lang w:val="pt-BR"/>
        </w:rPr>
        <w:t>processo</w:t>
      </w:r>
      <w:r w:rsidR="004756C1" w:rsidRPr="002F50BD">
        <w:rPr>
          <w:rFonts w:ascii="Verdana" w:hAnsi="Verdana"/>
          <w:sz w:val="20"/>
          <w:lang w:val="pt-BR"/>
        </w:rPr>
        <w:t xml:space="preserve"> legal </w:t>
      </w:r>
      <w:r w:rsidR="00CF451D" w:rsidRPr="00CF451D">
        <w:rPr>
          <w:rFonts w:ascii="Verdana" w:hAnsi="Verdana"/>
          <w:sz w:val="20"/>
          <w:lang w:val="pt-BR"/>
        </w:rPr>
        <w:t>(</w:t>
      </w:r>
      <w:r w:rsidR="0089298C" w:rsidRPr="002F50BD">
        <w:rPr>
          <w:rFonts w:ascii="Verdana" w:hAnsi="Verdana"/>
          <w:sz w:val="20"/>
          <w:lang w:val="pt-BR"/>
        </w:rPr>
        <w:t>artigo</w:t>
      </w:r>
      <w:r w:rsidR="004756C1" w:rsidRPr="002F50BD">
        <w:rPr>
          <w:rFonts w:ascii="Verdana" w:hAnsi="Verdana"/>
          <w:sz w:val="20"/>
          <w:lang w:val="pt-BR"/>
        </w:rPr>
        <w:t xml:space="preserve"> </w:t>
      </w:r>
      <w:r w:rsidR="00063B47" w:rsidRPr="002F50BD">
        <w:rPr>
          <w:rFonts w:ascii="Verdana" w:hAnsi="Verdana"/>
          <w:sz w:val="20"/>
          <w:lang w:val="pt-BR"/>
        </w:rPr>
        <w:t>8</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CF451D" w:rsidRPr="00CF451D">
        <w:rPr>
          <w:rFonts w:ascii="Verdana" w:hAnsi="Verdana"/>
          <w:sz w:val="20"/>
          <w:lang w:val="pt-BR"/>
        </w:rPr>
        <w:t>)</w:t>
      </w:r>
      <w:r w:rsidR="004756C1" w:rsidRPr="002F50BD">
        <w:rPr>
          <w:rFonts w:ascii="Verdana" w:hAnsi="Verdana"/>
          <w:sz w:val="20"/>
          <w:lang w:val="pt-BR"/>
        </w:rPr>
        <w:t xml:space="preserve">, </w:t>
      </w:r>
      <w:r w:rsidR="001C609B" w:rsidRPr="002F50BD">
        <w:rPr>
          <w:rFonts w:ascii="Verdana" w:hAnsi="Verdana"/>
          <w:sz w:val="20"/>
          <w:lang w:val="pt-BR"/>
        </w:rPr>
        <w:t xml:space="preserve">tudo isso </w:t>
      </w:r>
      <w:r w:rsidR="004756C1" w:rsidRPr="002F50BD">
        <w:rPr>
          <w:rFonts w:ascii="Verdana" w:hAnsi="Verdana"/>
          <w:sz w:val="20"/>
          <w:lang w:val="pt-BR"/>
        </w:rPr>
        <w:t>dentro</w:t>
      </w:r>
      <w:r w:rsidR="0089298C" w:rsidRPr="002F50BD">
        <w:rPr>
          <w:rFonts w:ascii="Verdana" w:hAnsi="Verdana"/>
          <w:sz w:val="20"/>
          <w:lang w:val="pt-BR"/>
        </w:rPr>
        <w:t xml:space="preserve"> da obrigação</w:t>
      </w:r>
      <w:r w:rsidR="004756C1" w:rsidRPr="002F50BD">
        <w:rPr>
          <w:rFonts w:ascii="Verdana" w:hAnsi="Verdana"/>
          <w:sz w:val="20"/>
          <w:lang w:val="pt-BR"/>
        </w:rPr>
        <w:t xml:space="preserve"> </w:t>
      </w:r>
      <w:r w:rsidR="0089298C" w:rsidRPr="002F50BD">
        <w:rPr>
          <w:rFonts w:ascii="Verdana" w:hAnsi="Verdana"/>
          <w:sz w:val="20"/>
          <w:lang w:val="pt-BR"/>
        </w:rPr>
        <w:t>geral</w:t>
      </w:r>
      <w:r w:rsidR="004756C1" w:rsidRPr="002F50BD">
        <w:rPr>
          <w:rFonts w:ascii="Verdana" w:hAnsi="Verdana"/>
          <w:sz w:val="20"/>
          <w:lang w:val="pt-BR"/>
        </w:rPr>
        <w:t xml:space="preserve"> </w:t>
      </w:r>
      <w:r w:rsidR="0089298C" w:rsidRPr="002F50BD">
        <w:rPr>
          <w:rFonts w:ascii="Verdana" w:hAnsi="Verdana"/>
          <w:sz w:val="20"/>
          <w:lang w:val="pt-BR"/>
        </w:rPr>
        <w:t>dos mesm</w:t>
      </w:r>
      <w:r w:rsidR="004756C1" w:rsidRPr="002F50BD">
        <w:rPr>
          <w:rFonts w:ascii="Verdana" w:hAnsi="Verdana"/>
          <w:sz w:val="20"/>
          <w:lang w:val="pt-BR"/>
        </w:rPr>
        <w:t xml:space="preserve">os Estados de </w:t>
      </w:r>
      <w:r w:rsidR="0089298C" w:rsidRPr="002F50BD">
        <w:rPr>
          <w:rFonts w:ascii="Verdana" w:hAnsi="Verdana"/>
          <w:sz w:val="20"/>
          <w:lang w:val="pt-BR"/>
        </w:rPr>
        <w:t xml:space="preserve">garantir o livre e </w:t>
      </w:r>
      <w:r w:rsidR="004756C1" w:rsidRPr="002F50BD">
        <w:rPr>
          <w:rFonts w:ascii="Verdana" w:hAnsi="Verdana"/>
          <w:sz w:val="20"/>
          <w:lang w:val="pt-BR"/>
        </w:rPr>
        <w:t xml:space="preserve">pleno </w:t>
      </w:r>
      <w:r w:rsidR="0089298C" w:rsidRPr="002F50BD">
        <w:rPr>
          <w:rFonts w:ascii="Verdana" w:hAnsi="Verdana"/>
          <w:sz w:val="20"/>
          <w:lang w:val="pt-BR"/>
        </w:rPr>
        <w:t>exercício dos direito</w:t>
      </w:r>
      <w:r w:rsidR="004756C1" w:rsidRPr="002F50BD">
        <w:rPr>
          <w:rFonts w:ascii="Verdana" w:hAnsi="Verdana"/>
          <w:sz w:val="20"/>
          <w:lang w:val="pt-BR"/>
        </w:rPr>
        <w:t>s re</w:t>
      </w:r>
      <w:r w:rsidR="0089298C" w:rsidRPr="002F50BD">
        <w:rPr>
          <w:rFonts w:ascii="Verdana" w:hAnsi="Verdana"/>
          <w:sz w:val="20"/>
          <w:lang w:val="pt-BR"/>
        </w:rPr>
        <w:t>conhecido</w:t>
      </w:r>
      <w:r w:rsidR="004756C1" w:rsidRPr="002F50BD">
        <w:rPr>
          <w:rFonts w:ascii="Verdana" w:hAnsi="Verdana"/>
          <w:sz w:val="20"/>
          <w:lang w:val="pt-BR"/>
        </w:rPr>
        <w:t>s</w:t>
      </w:r>
      <w:r w:rsidR="0089298C" w:rsidRPr="002F50BD">
        <w:rPr>
          <w:rFonts w:ascii="Verdana" w:hAnsi="Verdana"/>
          <w:sz w:val="20"/>
          <w:lang w:val="pt-BR"/>
        </w:rPr>
        <w:t xml:space="preserve"> pela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 toda </w:t>
      </w:r>
      <w:r w:rsidR="0089298C" w:rsidRPr="002F50BD">
        <w:rPr>
          <w:rFonts w:ascii="Verdana" w:hAnsi="Verdana"/>
          <w:sz w:val="20"/>
          <w:lang w:val="pt-BR"/>
        </w:rPr>
        <w:t>pessoa</w:t>
      </w:r>
      <w:r w:rsidR="004756C1" w:rsidRPr="002F50BD">
        <w:rPr>
          <w:rFonts w:ascii="Verdana" w:hAnsi="Verdana"/>
          <w:sz w:val="20"/>
          <w:lang w:val="pt-BR"/>
        </w:rPr>
        <w:t xml:space="preserve"> que se </w:t>
      </w:r>
      <w:r w:rsidR="0089298C" w:rsidRPr="002F50BD">
        <w:rPr>
          <w:rFonts w:ascii="Verdana" w:hAnsi="Verdana"/>
          <w:sz w:val="20"/>
          <w:lang w:val="pt-BR"/>
        </w:rPr>
        <w:t>encontre sob sua jurisdição</w:t>
      </w:r>
      <w:r w:rsidR="001C609B" w:rsidRPr="002F50BD">
        <w:rPr>
          <w:rFonts w:ascii="Verdana" w:hAnsi="Verdana"/>
          <w:sz w:val="20"/>
          <w:lang w:val="pt-BR"/>
        </w:rPr>
        <w:t>.</w:t>
      </w:r>
      <w:r w:rsidR="004756C1" w:rsidRPr="002F50BD">
        <w:rPr>
          <w:rStyle w:val="FootnoteReference"/>
          <w:rFonts w:ascii="Verdana" w:hAnsi="Verdana"/>
        </w:rPr>
        <w:footnoteReference w:id="177"/>
      </w:r>
      <w:r w:rsidR="001A0CDE" w:rsidRPr="002F50BD">
        <w:rPr>
          <w:rFonts w:ascii="Verdana" w:hAnsi="Verdana"/>
          <w:sz w:val="20"/>
          <w:lang w:val="pt-BR"/>
        </w:rPr>
        <w:t xml:space="preserve"> </w:t>
      </w:r>
      <w:r w:rsidR="00CF451D">
        <w:rPr>
          <w:rFonts w:ascii="Verdana" w:hAnsi="Verdana"/>
          <w:sz w:val="20"/>
          <w:lang w:val="pt-BR"/>
        </w:rPr>
        <w:lastRenderedPageBreak/>
        <w:t>Nesse sentido,</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considerou</w:t>
      </w:r>
      <w:r w:rsidR="004756C1" w:rsidRPr="002F50BD">
        <w:rPr>
          <w:rFonts w:ascii="Verdana" w:hAnsi="Verdana"/>
          <w:sz w:val="20"/>
          <w:lang w:val="pt-BR"/>
        </w:rPr>
        <w:t xml:space="preserve"> que</w:t>
      </w:r>
      <w:r w:rsidR="0089298C" w:rsidRPr="002F50BD">
        <w:rPr>
          <w:rFonts w:ascii="Verdana" w:hAnsi="Verdana"/>
          <w:sz w:val="20"/>
          <w:lang w:val="pt-BR"/>
        </w:rPr>
        <w:t xml:space="preserve"> o devido</w:t>
      </w:r>
      <w:r w:rsidR="004756C1" w:rsidRPr="002F50BD">
        <w:rPr>
          <w:rFonts w:ascii="Verdana" w:hAnsi="Verdana"/>
          <w:sz w:val="20"/>
          <w:lang w:val="pt-BR"/>
        </w:rPr>
        <w:t xml:space="preserve"> </w:t>
      </w:r>
      <w:r w:rsidR="0089298C" w:rsidRPr="002F50BD">
        <w:rPr>
          <w:rFonts w:ascii="Verdana" w:hAnsi="Verdana"/>
          <w:sz w:val="20"/>
          <w:lang w:val="pt-BR"/>
        </w:rPr>
        <w:t>processo</w:t>
      </w:r>
      <w:r w:rsidR="004756C1" w:rsidRPr="002F50BD">
        <w:rPr>
          <w:rFonts w:ascii="Verdana" w:hAnsi="Verdana"/>
          <w:sz w:val="20"/>
          <w:lang w:val="pt-BR"/>
        </w:rPr>
        <w:t xml:space="preserve"> legal</w:t>
      </w:r>
      <w:r w:rsidR="0089298C" w:rsidRPr="002F50BD">
        <w:rPr>
          <w:rFonts w:ascii="Verdana" w:hAnsi="Verdana"/>
          <w:sz w:val="20"/>
          <w:lang w:val="pt-BR"/>
        </w:rPr>
        <w:t xml:space="preserve"> deve </w:t>
      </w:r>
      <w:r w:rsidR="001C609B" w:rsidRPr="002F50BD">
        <w:rPr>
          <w:rFonts w:ascii="Verdana" w:hAnsi="Verdana"/>
          <w:sz w:val="20"/>
          <w:lang w:val="pt-BR"/>
        </w:rPr>
        <w:t xml:space="preserve">ser </w:t>
      </w:r>
      <w:r w:rsidR="0089298C" w:rsidRPr="002F50BD">
        <w:rPr>
          <w:rFonts w:ascii="Verdana" w:hAnsi="Verdana"/>
          <w:sz w:val="20"/>
          <w:lang w:val="pt-BR"/>
        </w:rPr>
        <w:t>respeita</w:t>
      </w:r>
      <w:r w:rsidR="001C609B" w:rsidRPr="002F50BD">
        <w:rPr>
          <w:rFonts w:ascii="Verdana" w:hAnsi="Verdana"/>
          <w:sz w:val="20"/>
          <w:lang w:val="pt-BR"/>
        </w:rPr>
        <w:t>do</w:t>
      </w:r>
      <w:r w:rsidR="0089298C" w:rsidRPr="002F50BD">
        <w:rPr>
          <w:rFonts w:ascii="Verdana" w:hAnsi="Verdana"/>
          <w:sz w:val="20"/>
          <w:lang w:val="pt-BR"/>
        </w:rPr>
        <w:t xml:space="preserve"> no procedimento</w:t>
      </w:r>
      <w:r w:rsidR="004756C1" w:rsidRPr="002F50BD">
        <w:rPr>
          <w:rFonts w:ascii="Verdana" w:hAnsi="Verdana"/>
          <w:sz w:val="20"/>
          <w:lang w:val="pt-BR"/>
        </w:rPr>
        <w:t xml:space="preserve"> administrativo</w:t>
      </w:r>
      <w:r w:rsidR="0089298C" w:rsidRPr="002F50BD">
        <w:rPr>
          <w:rFonts w:ascii="Verdana" w:hAnsi="Verdana"/>
          <w:sz w:val="20"/>
          <w:lang w:val="pt-BR"/>
        </w:rPr>
        <w:t xml:space="preserve"> e em qualquer outro procedimento</w:t>
      </w:r>
      <w:r w:rsidR="004756C1" w:rsidRPr="002F50BD">
        <w:rPr>
          <w:rFonts w:ascii="Verdana" w:hAnsi="Verdana"/>
          <w:sz w:val="20"/>
          <w:lang w:val="pt-BR"/>
        </w:rPr>
        <w:t xml:space="preserve"> </w:t>
      </w:r>
      <w:r w:rsidR="0089298C" w:rsidRPr="002F50BD">
        <w:rPr>
          <w:rFonts w:ascii="Verdana" w:hAnsi="Verdana"/>
          <w:sz w:val="20"/>
          <w:lang w:val="pt-BR"/>
        </w:rPr>
        <w:t>cuja</w:t>
      </w:r>
      <w:r w:rsidR="004756C1" w:rsidRPr="002F50BD">
        <w:rPr>
          <w:rFonts w:ascii="Verdana" w:hAnsi="Verdana"/>
          <w:sz w:val="20"/>
          <w:lang w:val="pt-BR"/>
        </w:rPr>
        <w:t xml:space="preserve"> </w:t>
      </w:r>
      <w:r w:rsidR="0089298C" w:rsidRPr="002F50BD">
        <w:rPr>
          <w:rFonts w:ascii="Verdana" w:hAnsi="Verdana"/>
          <w:sz w:val="20"/>
          <w:lang w:val="pt-BR"/>
        </w:rPr>
        <w:t>decisão</w:t>
      </w:r>
      <w:r w:rsidR="004756C1" w:rsidRPr="002F50BD">
        <w:rPr>
          <w:rFonts w:ascii="Verdana" w:hAnsi="Verdana"/>
          <w:sz w:val="20"/>
          <w:lang w:val="pt-BR"/>
        </w:rPr>
        <w:t xml:space="preserve"> </w:t>
      </w:r>
      <w:r w:rsidR="0089298C" w:rsidRPr="002F50BD">
        <w:rPr>
          <w:rFonts w:ascii="Verdana" w:hAnsi="Verdana"/>
          <w:sz w:val="20"/>
          <w:lang w:val="pt-BR"/>
        </w:rPr>
        <w:t>possa</w:t>
      </w:r>
      <w:r w:rsidR="004756C1" w:rsidRPr="002F50BD">
        <w:rPr>
          <w:rFonts w:ascii="Verdana" w:hAnsi="Verdana"/>
          <w:sz w:val="20"/>
          <w:lang w:val="pt-BR"/>
        </w:rPr>
        <w:t xml:space="preserve"> </w:t>
      </w:r>
      <w:r w:rsidR="0089298C" w:rsidRPr="002F50BD">
        <w:rPr>
          <w:rFonts w:ascii="Verdana" w:hAnsi="Verdana"/>
          <w:sz w:val="20"/>
          <w:lang w:val="pt-BR"/>
        </w:rPr>
        <w:t>afeta</w:t>
      </w:r>
      <w:r w:rsidR="004756C1" w:rsidRPr="002F50BD">
        <w:rPr>
          <w:rFonts w:ascii="Verdana" w:hAnsi="Verdana"/>
          <w:sz w:val="20"/>
          <w:lang w:val="pt-BR"/>
        </w:rPr>
        <w:t>r</w:t>
      </w:r>
      <w:r w:rsidR="0089298C" w:rsidRPr="002F50BD">
        <w:rPr>
          <w:rFonts w:ascii="Verdana" w:hAnsi="Verdana"/>
          <w:sz w:val="20"/>
          <w:lang w:val="pt-BR"/>
        </w:rPr>
        <w:t xml:space="preserve"> os direito</w:t>
      </w:r>
      <w:r w:rsidR="004756C1" w:rsidRPr="002F50BD">
        <w:rPr>
          <w:rFonts w:ascii="Verdana" w:hAnsi="Verdana"/>
          <w:sz w:val="20"/>
          <w:lang w:val="pt-BR"/>
        </w:rPr>
        <w:t>s</w:t>
      </w:r>
      <w:r w:rsidR="0089298C" w:rsidRPr="002F50BD">
        <w:rPr>
          <w:rFonts w:ascii="Verdana" w:hAnsi="Verdana"/>
          <w:sz w:val="20"/>
          <w:lang w:val="pt-BR"/>
        </w:rPr>
        <w:t xml:space="preserve"> das pessoa</w:t>
      </w:r>
      <w:r w:rsidR="004756C1" w:rsidRPr="002F50BD">
        <w:rPr>
          <w:rFonts w:ascii="Verdana" w:hAnsi="Verdana"/>
          <w:sz w:val="20"/>
          <w:lang w:val="pt-BR"/>
        </w:rPr>
        <w:t>s</w:t>
      </w:r>
      <w:r w:rsidR="001C609B" w:rsidRPr="002F50BD">
        <w:rPr>
          <w:rFonts w:ascii="Verdana" w:hAnsi="Verdana"/>
          <w:sz w:val="20"/>
          <w:lang w:val="pt-BR"/>
        </w:rPr>
        <w:t>.</w:t>
      </w:r>
      <w:r w:rsidR="004756C1" w:rsidRPr="002F50BD">
        <w:rPr>
          <w:rStyle w:val="FootnoteReference"/>
          <w:rFonts w:ascii="Verdana" w:hAnsi="Verdana"/>
        </w:rPr>
        <w:footnoteReference w:id="178"/>
      </w:r>
    </w:p>
    <w:p w:rsidR="004756C1" w:rsidRPr="002F50BD" w:rsidRDefault="004756C1">
      <w:pPr>
        <w:jc w:val="both"/>
        <w:rPr>
          <w:rFonts w:ascii="Verdana" w:hAnsi="Verdana"/>
          <w:sz w:val="20"/>
          <w:lang w:val="pt-BR"/>
        </w:rPr>
      </w:pPr>
    </w:p>
    <w:p w:rsidR="004756C1" w:rsidRPr="002F50BD" w:rsidRDefault="001C609B">
      <w:pPr>
        <w:pStyle w:val="BodyText2"/>
        <w:numPr>
          <w:ilvl w:val="0"/>
          <w:numId w:val="26"/>
        </w:numPr>
        <w:tabs>
          <w:tab w:val="left" w:pos="720"/>
        </w:tabs>
        <w:rPr>
          <w:rFonts w:ascii="Verdana" w:hAnsi="Verdana"/>
          <w:color w:val="0000FF"/>
          <w:sz w:val="20"/>
          <w:lang w:val="pt-BR"/>
        </w:rPr>
      </w:pPr>
      <w:r w:rsidRPr="002F50BD">
        <w:rPr>
          <w:rFonts w:ascii="Verdana" w:hAnsi="Verdana"/>
          <w:sz w:val="20"/>
          <w:lang w:val="pt-BR"/>
        </w:rPr>
        <w:t xml:space="preserve">No </w:t>
      </w:r>
      <w:r w:rsidR="0089298C" w:rsidRPr="002F50BD">
        <w:rPr>
          <w:rFonts w:ascii="Verdana" w:hAnsi="Verdana"/>
          <w:sz w:val="20"/>
          <w:lang w:val="pt-BR"/>
        </w:rPr>
        <w:t xml:space="preserve">que </w:t>
      </w:r>
      <w:r w:rsidR="00D3773B" w:rsidRPr="002F50BD">
        <w:rPr>
          <w:rFonts w:ascii="Verdana" w:hAnsi="Verdana"/>
          <w:sz w:val="20"/>
          <w:lang w:val="pt-BR"/>
        </w:rPr>
        <w:t>diz respeito</w:t>
      </w:r>
      <w:r w:rsidR="004756C1" w:rsidRPr="002F50BD">
        <w:rPr>
          <w:rFonts w:ascii="Verdana" w:hAnsi="Verdana"/>
          <w:sz w:val="20"/>
          <w:lang w:val="pt-BR"/>
        </w:rPr>
        <w:t xml:space="preserve"> a</w:t>
      </w:r>
      <w:r w:rsidRPr="002F50BD">
        <w:rPr>
          <w:rFonts w:ascii="Verdana" w:hAnsi="Verdana"/>
          <w:sz w:val="20"/>
          <w:lang w:val="pt-BR"/>
        </w:rPr>
        <w:t>os</w:t>
      </w:r>
      <w:r w:rsidR="004756C1" w:rsidRPr="002F50BD">
        <w:rPr>
          <w:rFonts w:ascii="Verdana" w:hAnsi="Verdana"/>
          <w:sz w:val="20"/>
          <w:lang w:val="pt-BR"/>
        </w:rPr>
        <w:t xml:space="preserve"> </w:t>
      </w:r>
      <w:r w:rsidR="0089298C" w:rsidRPr="002F50BD">
        <w:rPr>
          <w:rFonts w:ascii="Verdana" w:hAnsi="Verdana"/>
          <w:sz w:val="20"/>
          <w:lang w:val="pt-BR"/>
        </w:rPr>
        <w:t>povo</w:t>
      </w:r>
      <w:r w:rsidR="004756C1" w:rsidRPr="002F50BD">
        <w:rPr>
          <w:rFonts w:ascii="Verdana" w:hAnsi="Verdana"/>
          <w:sz w:val="20"/>
          <w:lang w:val="pt-BR"/>
        </w:rPr>
        <w:t>s indígenas,</w:t>
      </w:r>
      <w:r w:rsidR="0089298C" w:rsidRPr="002F50BD">
        <w:rPr>
          <w:rFonts w:ascii="Verdana" w:hAnsi="Verdana"/>
          <w:sz w:val="20"/>
          <w:lang w:val="pt-BR"/>
        </w:rPr>
        <w:t xml:space="preserve"> é indispensável </w:t>
      </w:r>
      <w:r w:rsidR="004756C1" w:rsidRPr="002F50BD">
        <w:rPr>
          <w:rFonts w:ascii="Verdana" w:hAnsi="Verdana"/>
          <w:sz w:val="20"/>
          <w:lang w:val="pt-BR"/>
        </w:rPr>
        <w:t>que</w:t>
      </w:r>
      <w:r w:rsidR="0089298C" w:rsidRPr="002F50BD">
        <w:rPr>
          <w:rFonts w:ascii="Verdana" w:hAnsi="Verdana"/>
          <w:sz w:val="20"/>
          <w:lang w:val="pt-BR"/>
        </w:rPr>
        <w:t xml:space="preserve"> os </w:t>
      </w:r>
      <w:r w:rsidR="004756C1" w:rsidRPr="002F50BD">
        <w:rPr>
          <w:rFonts w:ascii="Verdana" w:hAnsi="Verdana"/>
          <w:sz w:val="20"/>
          <w:lang w:val="pt-BR"/>
        </w:rPr>
        <w:t xml:space="preserve">Estados </w:t>
      </w:r>
      <w:r w:rsidRPr="002F50BD">
        <w:rPr>
          <w:rFonts w:ascii="Verdana" w:hAnsi="Verdana"/>
          <w:sz w:val="20"/>
          <w:lang w:val="pt-BR"/>
        </w:rPr>
        <w:t xml:space="preserve">concedam </w:t>
      </w:r>
      <w:r w:rsidR="0089298C" w:rsidRPr="002F50BD">
        <w:rPr>
          <w:rFonts w:ascii="Verdana" w:hAnsi="Verdana"/>
          <w:sz w:val="20"/>
          <w:lang w:val="pt-BR"/>
        </w:rPr>
        <w:t>uma proteção</w:t>
      </w:r>
      <w:r w:rsidR="004756C1" w:rsidRPr="002F50BD">
        <w:rPr>
          <w:rFonts w:ascii="Verdana" w:hAnsi="Verdana"/>
          <w:sz w:val="20"/>
          <w:lang w:val="pt-BR"/>
        </w:rPr>
        <w:t xml:space="preserve"> </w:t>
      </w:r>
      <w:r w:rsidR="0089298C" w:rsidRPr="002F50BD">
        <w:rPr>
          <w:rFonts w:ascii="Verdana" w:hAnsi="Verdana"/>
          <w:sz w:val="20"/>
          <w:lang w:val="pt-BR"/>
        </w:rPr>
        <w:t>efetiv</w:t>
      </w:r>
      <w:r w:rsidR="004756C1" w:rsidRPr="002F50BD">
        <w:rPr>
          <w:rFonts w:ascii="Verdana" w:hAnsi="Verdana"/>
          <w:sz w:val="20"/>
          <w:lang w:val="pt-BR"/>
        </w:rPr>
        <w:t xml:space="preserve">a que </w:t>
      </w:r>
      <w:r w:rsidR="006603BE" w:rsidRPr="002F50BD">
        <w:rPr>
          <w:rFonts w:ascii="Verdana" w:hAnsi="Verdana"/>
          <w:sz w:val="20"/>
          <w:lang w:val="pt-BR"/>
        </w:rPr>
        <w:t>leve</w:t>
      </w:r>
      <w:r w:rsidR="0089298C" w:rsidRPr="002F50BD">
        <w:rPr>
          <w:rFonts w:ascii="Verdana" w:hAnsi="Verdana"/>
          <w:sz w:val="20"/>
          <w:lang w:val="pt-BR"/>
        </w:rPr>
        <w:t xml:space="preserve"> em </w:t>
      </w:r>
      <w:r w:rsidR="006603BE" w:rsidRPr="002F50BD">
        <w:rPr>
          <w:rFonts w:ascii="Verdana" w:hAnsi="Verdana"/>
          <w:sz w:val="20"/>
          <w:lang w:val="pt-BR"/>
        </w:rPr>
        <w:t xml:space="preserve">consideração </w:t>
      </w:r>
      <w:r w:rsidR="004756C1" w:rsidRPr="002F50BD">
        <w:rPr>
          <w:rFonts w:ascii="Verdana" w:hAnsi="Verdana"/>
          <w:sz w:val="20"/>
          <w:lang w:val="pt-BR"/>
        </w:rPr>
        <w:t>su</w:t>
      </w:r>
      <w:r w:rsidRPr="002F50BD">
        <w:rPr>
          <w:rFonts w:ascii="Verdana" w:hAnsi="Verdana"/>
          <w:sz w:val="20"/>
          <w:lang w:val="pt-BR"/>
        </w:rPr>
        <w:t>a</w:t>
      </w:r>
      <w:r w:rsidR="004756C1" w:rsidRPr="002F50BD">
        <w:rPr>
          <w:rFonts w:ascii="Verdana" w:hAnsi="Verdana"/>
          <w:sz w:val="20"/>
          <w:lang w:val="pt-BR"/>
        </w:rPr>
        <w:t>s particularidades</w:t>
      </w:r>
      <w:r w:rsidR="00AB454A" w:rsidRPr="002F50BD">
        <w:rPr>
          <w:rFonts w:ascii="Verdana" w:hAnsi="Verdana"/>
          <w:sz w:val="20"/>
          <w:lang w:val="pt-BR"/>
        </w:rPr>
        <w:t xml:space="preserve"> própria</w:t>
      </w:r>
      <w:r w:rsidR="004756C1" w:rsidRPr="002F50BD">
        <w:rPr>
          <w:rFonts w:ascii="Verdana" w:hAnsi="Verdana"/>
          <w:sz w:val="20"/>
          <w:lang w:val="pt-BR"/>
        </w:rPr>
        <w:t xml:space="preserve">s, </w:t>
      </w:r>
      <w:r w:rsidR="0089298C" w:rsidRPr="002F50BD">
        <w:rPr>
          <w:rFonts w:ascii="Verdana" w:hAnsi="Verdana"/>
          <w:sz w:val="20"/>
          <w:szCs w:val="32"/>
          <w:lang w:val="pt-BR"/>
        </w:rPr>
        <w:t>suas características</w:t>
      </w:r>
      <w:r w:rsidR="004756C1" w:rsidRPr="002F50BD">
        <w:rPr>
          <w:rFonts w:ascii="Verdana" w:hAnsi="Verdana"/>
          <w:sz w:val="20"/>
          <w:szCs w:val="32"/>
          <w:lang w:val="pt-BR"/>
        </w:rPr>
        <w:t xml:space="preserve"> </w:t>
      </w:r>
      <w:r w:rsidR="0089298C" w:rsidRPr="002F50BD">
        <w:rPr>
          <w:rFonts w:ascii="Verdana" w:hAnsi="Verdana"/>
          <w:sz w:val="20"/>
          <w:szCs w:val="32"/>
          <w:lang w:val="pt-BR"/>
        </w:rPr>
        <w:t>econômic</w:t>
      </w:r>
      <w:r w:rsidR="004756C1" w:rsidRPr="002F50BD">
        <w:rPr>
          <w:rFonts w:ascii="Verdana" w:hAnsi="Verdana"/>
          <w:sz w:val="20"/>
          <w:szCs w:val="32"/>
          <w:lang w:val="pt-BR"/>
        </w:rPr>
        <w:t>as</w:t>
      </w:r>
      <w:r w:rsidR="0089298C" w:rsidRPr="002F50BD">
        <w:rPr>
          <w:rFonts w:ascii="Verdana" w:hAnsi="Verdana"/>
          <w:sz w:val="20"/>
          <w:szCs w:val="32"/>
          <w:lang w:val="pt-BR"/>
        </w:rPr>
        <w:t xml:space="preserve"> e sociais</w:t>
      </w:r>
      <w:r w:rsidR="004756C1" w:rsidRPr="002F50BD">
        <w:rPr>
          <w:rFonts w:ascii="Verdana" w:hAnsi="Verdana"/>
          <w:sz w:val="20"/>
          <w:szCs w:val="32"/>
          <w:lang w:val="pt-BR"/>
        </w:rPr>
        <w:t xml:space="preserve">, </w:t>
      </w:r>
      <w:r w:rsidR="0089298C" w:rsidRPr="002F50BD">
        <w:rPr>
          <w:rFonts w:ascii="Verdana" w:hAnsi="Verdana"/>
          <w:sz w:val="20"/>
          <w:szCs w:val="32"/>
          <w:lang w:val="pt-BR"/>
        </w:rPr>
        <w:t>assim</w:t>
      </w:r>
      <w:r w:rsidR="004756C1" w:rsidRPr="002F50BD">
        <w:rPr>
          <w:rFonts w:ascii="Verdana" w:hAnsi="Verdana"/>
          <w:sz w:val="20"/>
          <w:szCs w:val="32"/>
          <w:lang w:val="pt-BR"/>
        </w:rPr>
        <w:t xml:space="preserve"> como</w:t>
      </w:r>
      <w:r w:rsidR="004756C1" w:rsidRPr="002F50BD">
        <w:rPr>
          <w:rFonts w:ascii="Verdana" w:hAnsi="Verdana"/>
          <w:sz w:val="20"/>
          <w:lang w:val="pt-BR"/>
        </w:rPr>
        <w:t xml:space="preserve"> </w:t>
      </w:r>
      <w:r w:rsidR="004076AD" w:rsidRPr="002F50BD">
        <w:rPr>
          <w:rFonts w:ascii="Verdana" w:hAnsi="Verdana"/>
          <w:sz w:val="20"/>
          <w:lang w:val="pt-BR"/>
        </w:rPr>
        <w:t xml:space="preserve">sua situação </w:t>
      </w:r>
      <w:r w:rsidR="004756C1" w:rsidRPr="002F50BD">
        <w:rPr>
          <w:rFonts w:ascii="Verdana" w:hAnsi="Verdana"/>
          <w:sz w:val="20"/>
          <w:lang w:val="pt-BR"/>
        </w:rPr>
        <w:t>de especial vulnerabilidad</w:t>
      </w:r>
      <w:r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seu direito</w:t>
      </w:r>
      <w:r w:rsidR="004756C1" w:rsidRPr="002F50BD">
        <w:rPr>
          <w:rFonts w:ascii="Verdana" w:hAnsi="Verdana"/>
          <w:sz w:val="20"/>
          <w:lang w:val="pt-BR"/>
        </w:rPr>
        <w:t xml:space="preserve"> </w:t>
      </w:r>
      <w:r w:rsidR="0089298C" w:rsidRPr="002F50BD">
        <w:rPr>
          <w:rFonts w:ascii="Verdana" w:hAnsi="Verdana"/>
          <w:sz w:val="20"/>
          <w:lang w:val="pt-BR"/>
        </w:rPr>
        <w:t>consuetudinário</w:t>
      </w:r>
      <w:r w:rsidR="004756C1" w:rsidRPr="002F50BD">
        <w:rPr>
          <w:rFonts w:ascii="Verdana" w:hAnsi="Verdana"/>
          <w:sz w:val="20"/>
          <w:lang w:val="pt-BR"/>
        </w:rPr>
        <w:t>, valores, usos</w:t>
      </w:r>
      <w:r w:rsidR="0089298C" w:rsidRPr="002F50BD">
        <w:rPr>
          <w:rFonts w:ascii="Verdana" w:hAnsi="Verdana"/>
          <w:sz w:val="20"/>
          <w:lang w:val="pt-BR"/>
        </w:rPr>
        <w:t xml:space="preserve"> e costume</w:t>
      </w:r>
      <w:r w:rsidR="004756C1" w:rsidRPr="002F50BD">
        <w:rPr>
          <w:rFonts w:ascii="Verdana" w:hAnsi="Verdana"/>
          <w:sz w:val="20"/>
          <w:lang w:val="pt-BR"/>
        </w:rPr>
        <w:t xml:space="preserve">s </w:t>
      </w:r>
      <w:r w:rsidR="00CF451D" w:rsidRPr="00CF451D">
        <w:rPr>
          <w:rFonts w:ascii="Verdana" w:hAnsi="Verdana"/>
          <w:sz w:val="20"/>
          <w:lang w:val="pt-BR"/>
        </w:rPr>
        <w:t>(</w:t>
      </w:r>
      <w:r w:rsidR="00E0019F" w:rsidRPr="002F50BD">
        <w:rPr>
          <w:rFonts w:ascii="Verdana" w:hAnsi="Verdana"/>
          <w:sz w:val="20"/>
          <w:lang w:val="pt-BR"/>
        </w:rPr>
        <w:t xml:space="preserve">par. </w:t>
      </w:r>
      <w:r w:rsidR="00063B47" w:rsidRPr="002F50BD">
        <w:rPr>
          <w:rFonts w:ascii="Verdana" w:hAnsi="Verdana"/>
          <w:sz w:val="20"/>
          <w:lang w:val="pt-BR"/>
        </w:rPr>
        <w:t>51</w:t>
      </w:r>
      <w:r w:rsidR="00E0019F" w:rsidRPr="002F50BD">
        <w:rPr>
          <w:rFonts w:ascii="Verdana" w:hAnsi="Verdana"/>
          <w:sz w:val="20"/>
          <w:lang w:val="pt-BR"/>
        </w:rPr>
        <w:t xml:space="preserve"> </w:t>
      </w:r>
      <w:r w:rsidR="00E0019F" w:rsidRPr="002F50BD">
        <w:rPr>
          <w:rFonts w:ascii="Verdana" w:hAnsi="Verdana"/>
          <w:i/>
          <w:sz w:val="20"/>
          <w:lang w:val="pt-BR"/>
        </w:rPr>
        <w:t>supra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pStyle w:val="BodyText2"/>
        <w:rPr>
          <w:rFonts w:ascii="Verdana" w:hAnsi="Verdana"/>
          <w:sz w:val="20"/>
          <w:lang w:val="pt-BR"/>
        </w:rPr>
      </w:pPr>
    </w:p>
    <w:p w:rsidR="004756C1" w:rsidRPr="002F50BD" w:rsidRDefault="0089298C">
      <w:pPr>
        <w:pStyle w:val="BodyText2"/>
        <w:numPr>
          <w:ilvl w:val="0"/>
          <w:numId w:val="26"/>
        </w:numPr>
        <w:tabs>
          <w:tab w:val="left" w:pos="720"/>
        </w:tabs>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Pr="002F50BD">
        <w:rPr>
          <w:rFonts w:ascii="Verdana" w:hAnsi="Verdana"/>
          <w:sz w:val="20"/>
          <w:lang w:val="pt-BR"/>
        </w:rPr>
        <w:t xml:space="preserve"> </w:t>
      </w:r>
      <w:r w:rsidR="001C609B" w:rsidRPr="002F50BD">
        <w:rPr>
          <w:rFonts w:ascii="Verdana" w:hAnsi="Verdana"/>
          <w:sz w:val="20"/>
          <w:lang w:val="pt-BR"/>
        </w:rPr>
        <w:t>a</w:t>
      </w:r>
      <w:r w:rsidRPr="002F50BD">
        <w:rPr>
          <w:rFonts w:ascii="Verdana" w:hAnsi="Verdana"/>
          <w:sz w:val="20"/>
          <w:lang w:val="pt-BR"/>
        </w:rPr>
        <w:t xml:space="preserve"> análise dos artigo</w:t>
      </w:r>
      <w:r w:rsidR="004756C1" w:rsidRPr="002F50BD">
        <w:rPr>
          <w:rFonts w:ascii="Verdana" w:hAnsi="Verdana"/>
          <w:sz w:val="20"/>
          <w:lang w:val="pt-BR"/>
        </w:rPr>
        <w:t xml:space="preserve">s </w:t>
      </w:r>
      <w:r w:rsidR="00063B47" w:rsidRPr="002F50BD">
        <w:rPr>
          <w:rFonts w:ascii="Verdana" w:hAnsi="Verdana"/>
          <w:sz w:val="20"/>
          <w:lang w:val="pt-BR"/>
        </w:rPr>
        <w:t>8</w:t>
      </w:r>
      <w:r w:rsidRPr="002F50BD">
        <w:rPr>
          <w:rFonts w:ascii="Verdana" w:hAnsi="Verdana"/>
          <w:sz w:val="20"/>
          <w:lang w:val="pt-BR"/>
        </w:rPr>
        <w:t xml:space="preserve"> e </w:t>
      </w:r>
      <w:r w:rsidR="00063B47" w:rsidRPr="002F50BD">
        <w:rPr>
          <w:rFonts w:ascii="Verdana" w:hAnsi="Verdana"/>
          <w:sz w:val="20"/>
          <w:lang w:val="pt-BR"/>
        </w:rPr>
        <w:t>25</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 xml:space="preserve">ção deve </w:t>
      </w:r>
      <w:r w:rsidR="001C609B" w:rsidRPr="002F50BD">
        <w:rPr>
          <w:rFonts w:ascii="Verdana" w:hAnsi="Verdana"/>
          <w:sz w:val="20"/>
          <w:lang w:val="pt-BR"/>
        </w:rPr>
        <w:t xml:space="preserve">ser feita a partir de </w:t>
      </w:r>
      <w:r w:rsidR="004756C1" w:rsidRPr="002F50BD">
        <w:rPr>
          <w:rFonts w:ascii="Verdana" w:hAnsi="Verdana"/>
          <w:sz w:val="20"/>
          <w:lang w:val="pt-BR"/>
        </w:rPr>
        <w:t>d</w:t>
      </w:r>
      <w:r w:rsidR="001C609B" w:rsidRPr="002F50BD">
        <w:rPr>
          <w:rFonts w:ascii="Verdana" w:hAnsi="Verdana"/>
          <w:sz w:val="20"/>
          <w:lang w:val="pt-BR"/>
        </w:rPr>
        <w:t>ua</w:t>
      </w:r>
      <w:r w:rsidR="004756C1" w:rsidRPr="002F50BD">
        <w:rPr>
          <w:rFonts w:ascii="Verdana" w:hAnsi="Verdana"/>
          <w:sz w:val="20"/>
          <w:lang w:val="pt-BR"/>
        </w:rPr>
        <w:t>s perspectivas: a</w:t>
      </w:r>
      <w:r w:rsidR="00CF451D" w:rsidRPr="00CF451D">
        <w:rPr>
          <w:rFonts w:ascii="Verdana" w:hAnsi="Verdana"/>
          <w:sz w:val="20"/>
          <w:lang w:val="pt-BR"/>
        </w:rPr>
        <w:t>)</w:t>
      </w:r>
      <w:r w:rsidRPr="002F50BD">
        <w:rPr>
          <w:rFonts w:ascii="Verdana" w:hAnsi="Verdana"/>
          <w:sz w:val="20"/>
          <w:lang w:val="pt-BR"/>
        </w:rPr>
        <w:t xml:space="preserve"> deve </w:t>
      </w:r>
      <w:r w:rsidR="001C609B" w:rsidRPr="002F50BD">
        <w:rPr>
          <w:rFonts w:ascii="Verdana" w:hAnsi="Verdana"/>
          <w:sz w:val="20"/>
          <w:lang w:val="pt-BR"/>
        </w:rPr>
        <w:t xml:space="preserve">ser analisado se </w:t>
      </w:r>
      <w:r w:rsidR="004756C1" w:rsidRPr="002F50BD">
        <w:rPr>
          <w:rFonts w:ascii="Verdana" w:hAnsi="Verdana"/>
          <w:sz w:val="20"/>
          <w:lang w:val="pt-BR"/>
        </w:rPr>
        <w:t>existe o</w:t>
      </w:r>
      <w:r w:rsidR="001C609B" w:rsidRPr="002F50BD">
        <w:rPr>
          <w:rFonts w:ascii="Verdana" w:hAnsi="Verdana"/>
          <w:sz w:val="20"/>
          <w:lang w:val="pt-BR"/>
        </w:rPr>
        <w:t>u</w:t>
      </w:r>
      <w:r w:rsidR="004756C1" w:rsidRPr="002F50BD">
        <w:rPr>
          <w:rFonts w:ascii="Verdana" w:hAnsi="Verdana"/>
          <w:sz w:val="20"/>
          <w:lang w:val="pt-BR"/>
        </w:rPr>
        <w:t xml:space="preserve"> n</w:t>
      </w:r>
      <w:r w:rsidR="001C609B"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um procedimento</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o para responder</w:t>
      </w:r>
      <w:r w:rsidRPr="002F50BD">
        <w:rPr>
          <w:rFonts w:ascii="Verdana" w:hAnsi="Verdana"/>
          <w:sz w:val="20"/>
          <w:lang w:val="pt-BR"/>
        </w:rPr>
        <w:t xml:space="preserve"> às </w:t>
      </w:r>
      <w:r w:rsidR="004756C1" w:rsidRPr="002F50BD">
        <w:rPr>
          <w:rFonts w:ascii="Verdana" w:hAnsi="Verdana"/>
          <w:sz w:val="20"/>
          <w:lang w:val="pt-BR"/>
        </w:rPr>
        <w:t>reclama</w:t>
      </w:r>
      <w:r w:rsidRPr="002F50BD">
        <w:rPr>
          <w:rFonts w:ascii="Verdana" w:hAnsi="Verdana"/>
          <w:sz w:val="20"/>
          <w:lang w:val="pt-BR"/>
        </w:rPr>
        <w:t>ções</w:t>
      </w:r>
      <w:r w:rsidR="004756C1" w:rsidRPr="002F50BD">
        <w:rPr>
          <w:rFonts w:ascii="Verdana" w:hAnsi="Verdana"/>
          <w:sz w:val="20"/>
          <w:lang w:val="pt-BR"/>
        </w:rPr>
        <w:t xml:space="preserve"> </w:t>
      </w:r>
      <w:r w:rsidR="00AB454A" w:rsidRPr="002F50BD">
        <w:rPr>
          <w:rFonts w:ascii="Verdana" w:hAnsi="Verdana"/>
          <w:sz w:val="20"/>
          <w:lang w:val="pt-BR"/>
        </w:rPr>
        <w:t>territoriais</w:t>
      </w:r>
      <w:r w:rsidRPr="002F50BD">
        <w:rPr>
          <w:rFonts w:ascii="Verdana" w:hAnsi="Verdana"/>
          <w:sz w:val="20"/>
          <w:lang w:val="pt-BR"/>
        </w:rPr>
        <w:t xml:space="preserve"> dos povo</w:t>
      </w:r>
      <w:r w:rsidR="004756C1" w:rsidRPr="002F50BD">
        <w:rPr>
          <w:rFonts w:ascii="Verdana" w:hAnsi="Verdana"/>
          <w:sz w:val="20"/>
          <w:lang w:val="pt-BR"/>
        </w:rPr>
        <w:t>s indígenas que reúna</w:t>
      </w:r>
      <w:r w:rsidRPr="002F50BD">
        <w:rPr>
          <w:rFonts w:ascii="Verdana" w:hAnsi="Verdana"/>
          <w:sz w:val="20"/>
          <w:lang w:val="pt-BR"/>
        </w:rPr>
        <w:t xml:space="preserve"> as </w:t>
      </w:r>
      <w:r w:rsidR="004756C1" w:rsidRPr="002F50BD">
        <w:rPr>
          <w:rFonts w:ascii="Verdana" w:hAnsi="Verdana"/>
          <w:sz w:val="20"/>
          <w:lang w:val="pt-BR"/>
        </w:rPr>
        <w:t>características</w:t>
      </w:r>
      <w:r w:rsidRPr="002F50BD">
        <w:rPr>
          <w:rFonts w:ascii="Verdana" w:hAnsi="Verdana"/>
          <w:sz w:val="20"/>
          <w:lang w:val="pt-BR"/>
        </w:rPr>
        <w:t xml:space="preserve"> já </w:t>
      </w:r>
      <w:r w:rsidR="004076AD" w:rsidRPr="002F50BD">
        <w:rPr>
          <w:rFonts w:ascii="Verdana" w:hAnsi="Verdana"/>
          <w:sz w:val="20"/>
          <w:lang w:val="pt-BR"/>
        </w:rPr>
        <w:t>indica</w:t>
      </w:r>
      <w:r w:rsidR="004756C1" w:rsidRPr="002F50BD">
        <w:rPr>
          <w:rFonts w:ascii="Verdana" w:hAnsi="Verdana"/>
          <w:sz w:val="20"/>
          <w:lang w:val="pt-BR"/>
        </w:rPr>
        <w:t>das</w:t>
      </w:r>
      <w:r w:rsidRPr="002F50BD">
        <w:rPr>
          <w:rFonts w:ascii="Verdana" w:hAnsi="Verdana"/>
          <w:sz w:val="20"/>
          <w:lang w:val="pt-BR"/>
        </w:rPr>
        <w:t>; e</w:t>
      </w:r>
      <w:r w:rsidR="004756C1" w:rsidRPr="002F50BD">
        <w:rPr>
          <w:rFonts w:ascii="Verdana" w:hAnsi="Verdana"/>
          <w:sz w:val="20"/>
          <w:lang w:val="pt-BR"/>
        </w:rPr>
        <w:t xml:space="preserve"> b</w:t>
      </w:r>
      <w:r w:rsidR="00CF451D" w:rsidRPr="00CF451D">
        <w:rPr>
          <w:rFonts w:ascii="Verdana" w:hAnsi="Verdana"/>
          <w:sz w:val="20"/>
          <w:lang w:val="pt-BR"/>
        </w:rPr>
        <w:t>)</w:t>
      </w:r>
      <w:r w:rsidRPr="002F50BD">
        <w:rPr>
          <w:rFonts w:ascii="Verdana" w:hAnsi="Verdana"/>
          <w:sz w:val="20"/>
          <w:lang w:val="pt-BR"/>
        </w:rPr>
        <w:t xml:space="preserve"> deve </w:t>
      </w:r>
      <w:r w:rsidR="001C609B" w:rsidRPr="002F50BD">
        <w:rPr>
          <w:rFonts w:ascii="Verdana" w:hAnsi="Verdana"/>
          <w:sz w:val="20"/>
          <w:lang w:val="pt-BR"/>
        </w:rPr>
        <w:t xml:space="preserve">ser </w:t>
      </w:r>
      <w:r w:rsidRPr="002F50BD">
        <w:rPr>
          <w:rFonts w:ascii="Verdana" w:hAnsi="Verdana"/>
          <w:sz w:val="20"/>
          <w:lang w:val="pt-BR"/>
        </w:rPr>
        <w:t>estabelec</w:t>
      </w:r>
      <w:r w:rsidR="001C609B" w:rsidRPr="002F50BD">
        <w:rPr>
          <w:rFonts w:ascii="Verdana" w:hAnsi="Verdana"/>
          <w:sz w:val="20"/>
          <w:lang w:val="pt-BR"/>
        </w:rPr>
        <w:t>ido</w:t>
      </w:r>
      <w:r w:rsidRPr="002F50BD">
        <w:rPr>
          <w:rFonts w:ascii="Verdana" w:hAnsi="Verdana"/>
          <w:sz w:val="20"/>
          <w:lang w:val="pt-BR"/>
        </w:rPr>
        <w:t xml:space="preserve"> se o procedimento</w:t>
      </w:r>
      <w:r w:rsidR="004756C1" w:rsidRPr="002F50BD">
        <w:rPr>
          <w:rFonts w:ascii="Verdana" w:hAnsi="Verdana"/>
          <w:sz w:val="20"/>
          <w:lang w:val="pt-BR"/>
        </w:rPr>
        <w:t xml:space="preserve"> penal instaurado</w:t>
      </w:r>
      <w:r w:rsidR="00AB454A" w:rsidRPr="002F50BD">
        <w:rPr>
          <w:rFonts w:ascii="Verdana" w:hAnsi="Verdana"/>
          <w:sz w:val="20"/>
          <w:lang w:val="pt-BR"/>
        </w:rPr>
        <w:t xml:space="preserve"> contra </w:t>
      </w:r>
      <w:r w:rsidRPr="002F50BD">
        <w:rPr>
          <w:rFonts w:ascii="Verdana" w:hAnsi="Verdana"/>
          <w:sz w:val="20"/>
          <w:lang w:val="pt-BR"/>
        </w:rPr>
        <w:t>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 xml:space="preserve">seguido </w:t>
      </w:r>
      <w:r w:rsidR="001C609B"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Juiz</w:t>
      </w:r>
      <w:r w:rsidR="004756C1" w:rsidRPr="002F50BD">
        <w:rPr>
          <w:rFonts w:ascii="Verdana" w:hAnsi="Verdana"/>
          <w:sz w:val="20"/>
          <w:lang w:val="pt-BR"/>
        </w:rPr>
        <w:t xml:space="preserve"> de </w:t>
      </w:r>
      <w:r w:rsidRPr="002F50BD">
        <w:rPr>
          <w:rFonts w:ascii="Verdana" w:hAnsi="Verdana"/>
          <w:sz w:val="20"/>
          <w:lang w:val="pt-BR"/>
        </w:rPr>
        <w:t>Primeira</w:t>
      </w:r>
      <w:r w:rsidR="004756C1" w:rsidRPr="002F50BD">
        <w:rPr>
          <w:rFonts w:ascii="Verdana" w:hAnsi="Verdana"/>
          <w:sz w:val="20"/>
          <w:lang w:val="pt-BR"/>
        </w:rPr>
        <w:t xml:space="preserve"> </w:t>
      </w:r>
      <w:r w:rsidRPr="002F50BD">
        <w:rPr>
          <w:rFonts w:ascii="Verdana" w:hAnsi="Verdana"/>
          <w:sz w:val="20"/>
          <w:lang w:val="pt-BR"/>
        </w:rPr>
        <w:t xml:space="preserve">Instância </w:t>
      </w:r>
      <w:r w:rsidR="004756C1" w:rsidRPr="002F50BD">
        <w:rPr>
          <w:rFonts w:ascii="Verdana" w:hAnsi="Verdana"/>
          <w:sz w:val="20"/>
          <w:lang w:val="pt-BR"/>
        </w:rPr>
        <w:t>Criminal</w:t>
      </w:r>
      <w:r w:rsidRPr="002F50BD">
        <w:rPr>
          <w:rFonts w:ascii="Verdana" w:hAnsi="Verdana"/>
          <w:sz w:val="20"/>
          <w:lang w:val="pt-BR"/>
        </w:rPr>
        <w:t xml:space="preserve"> e </w:t>
      </w:r>
      <w:r w:rsidR="004756C1" w:rsidRPr="002F50BD">
        <w:rPr>
          <w:rFonts w:ascii="Verdana" w:hAnsi="Verdana"/>
          <w:sz w:val="20"/>
          <w:lang w:val="pt-BR"/>
        </w:rPr>
        <w:t xml:space="preserve">Correcional </w:t>
      </w:r>
      <w:r w:rsidRPr="002F50BD">
        <w:rPr>
          <w:rFonts w:ascii="Verdana" w:hAnsi="Verdana"/>
          <w:sz w:val="20"/>
          <w:lang w:val="pt-BR"/>
        </w:rPr>
        <w:t xml:space="preserve">do </w:t>
      </w:r>
      <w:r w:rsidR="004756C1" w:rsidRPr="002F50BD">
        <w:rPr>
          <w:rFonts w:ascii="Verdana" w:hAnsi="Verdana"/>
          <w:sz w:val="20"/>
          <w:lang w:val="pt-BR"/>
        </w:rPr>
        <w:t>Menor</w:t>
      </w:r>
      <w:r w:rsidRPr="002F50BD">
        <w:rPr>
          <w:rFonts w:ascii="Verdana" w:hAnsi="Verdana"/>
          <w:sz w:val="20"/>
          <w:lang w:val="pt-BR"/>
        </w:rPr>
        <w:t xml:space="preserve"> da </w:t>
      </w:r>
      <w:r w:rsidR="004756C1" w:rsidRPr="002F50BD">
        <w:rPr>
          <w:rFonts w:ascii="Verdana" w:hAnsi="Verdana"/>
          <w:sz w:val="20"/>
          <w:lang w:val="pt-BR"/>
        </w:rPr>
        <w:t>Circunscri</w:t>
      </w:r>
      <w:r w:rsidRPr="002F50BD">
        <w:rPr>
          <w:rFonts w:ascii="Verdana" w:hAnsi="Verdana"/>
          <w:sz w:val="20"/>
          <w:lang w:val="pt-BR"/>
        </w:rPr>
        <w:t>ção</w:t>
      </w:r>
      <w:r w:rsidR="004756C1" w:rsidRPr="002F50BD">
        <w:rPr>
          <w:rFonts w:ascii="Verdana" w:hAnsi="Verdana"/>
          <w:sz w:val="20"/>
          <w:lang w:val="pt-BR"/>
        </w:rPr>
        <w:t xml:space="preserve"> Judicial de </w:t>
      </w:r>
      <w:r w:rsidR="00313394" w:rsidRPr="002F50BD">
        <w:rPr>
          <w:rFonts w:ascii="Verdana" w:hAnsi="Verdana"/>
          <w:sz w:val="20"/>
          <w:lang w:val="pt-BR"/>
        </w:rPr>
        <w:t>Concepción</w:t>
      </w:r>
      <w:r w:rsidR="004756C1" w:rsidRPr="002F50BD">
        <w:rPr>
          <w:rFonts w:ascii="Verdana" w:hAnsi="Verdana"/>
          <w:sz w:val="20"/>
          <w:lang w:val="pt-BR"/>
        </w:rPr>
        <w:t>, respe</w:t>
      </w:r>
      <w:r w:rsidR="001C609B" w:rsidRPr="002F50BD">
        <w:rPr>
          <w:rFonts w:ascii="Verdana" w:hAnsi="Verdana"/>
          <w:sz w:val="20"/>
          <w:lang w:val="pt-BR"/>
        </w:rPr>
        <w:t>itou</w:t>
      </w:r>
      <w:r w:rsidRPr="002F50BD">
        <w:rPr>
          <w:rFonts w:ascii="Verdana" w:hAnsi="Verdana"/>
          <w:sz w:val="20"/>
          <w:lang w:val="pt-BR"/>
        </w:rPr>
        <w:t xml:space="preserve"> as garantias</w:t>
      </w:r>
      <w:r w:rsidR="004756C1" w:rsidRPr="002F50BD">
        <w:rPr>
          <w:rFonts w:ascii="Verdana" w:hAnsi="Verdana"/>
          <w:sz w:val="20"/>
          <w:lang w:val="pt-BR"/>
        </w:rPr>
        <w:t xml:space="preserve"> consagradas</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w:t>
      </w:r>
    </w:p>
    <w:p w:rsidR="004756C1" w:rsidRPr="002F50BD" w:rsidRDefault="004756C1">
      <w:pPr>
        <w:jc w:val="both"/>
        <w:rPr>
          <w:rFonts w:ascii="Verdana" w:hAnsi="Verdana"/>
          <w:sz w:val="20"/>
          <w:lang w:val="pt-BR"/>
        </w:rPr>
      </w:pPr>
    </w:p>
    <w:p w:rsidR="004756C1" w:rsidRPr="002F50BD" w:rsidRDefault="0089298C">
      <w:pPr>
        <w:numPr>
          <w:ilvl w:val="0"/>
          <w:numId w:val="23"/>
        </w:numPr>
        <w:jc w:val="both"/>
        <w:rPr>
          <w:rFonts w:ascii="Verdana" w:hAnsi="Verdana"/>
          <w:i/>
          <w:sz w:val="20"/>
          <w:lang w:val="pt-BR"/>
        </w:rPr>
      </w:pPr>
      <w:r w:rsidRPr="002F50BD">
        <w:rPr>
          <w:rFonts w:ascii="Verdana" w:hAnsi="Verdana"/>
          <w:i/>
          <w:sz w:val="20"/>
          <w:lang w:val="pt-BR"/>
        </w:rPr>
        <w:t>Existência</w:t>
      </w:r>
      <w:r w:rsidR="004756C1" w:rsidRPr="002F50BD">
        <w:rPr>
          <w:rFonts w:ascii="Verdana" w:hAnsi="Verdana"/>
          <w:i/>
          <w:sz w:val="20"/>
          <w:lang w:val="pt-BR"/>
        </w:rPr>
        <w:t xml:space="preserve"> de</w:t>
      </w:r>
      <w:r w:rsidRPr="002F50BD">
        <w:rPr>
          <w:rFonts w:ascii="Verdana" w:hAnsi="Verdana"/>
          <w:i/>
          <w:sz w:val="20"/>
          <w:lang w:val="pt-BR"/>
        </w:rPr>
        <w:t xml:space="preserve"> um procedimento</w:t>
      </w:r>
      <w:r w:rsidR="004756C1" w:rsidRPr="002F50BD">
        <w:rPr>
          <w:rFonts w:ascii="Verdana" w:hAnsi="Verdana"/>
          <w:i/>
          <w:sz w:val="20"/>
          <w:lang w:val="pt-BR"/>
        </w:rPr>
        <w:t xml:space="preserve"> </w:t>
      </w:r>
      <w:r w:rsidRPr="002F50BD">
        <w:rPr>
          <w:rFonts w:ascii="Verdana" w:hAnsi="Verdana"/>
          <w:i/>
          <w:sz w:val="20"/>
          <w:lang w:val="pt-BR"/>
        </w:rPr>
        <w:t>efetiv</w:t>
      </w:r>
      <w:r w:rsidR="004756C1" w:rsidRPr="002F50BD">
        <w:rPr>
          <w:rFonts w:ascii="Verdana" w:hAnsi="Verdana"/>
          <w:i/>
          <w:sz w:val="20"/>
          <w:lang w:val="pt-BR"/>
        </w:rPr>
        <w:t>o para</w:t>
      </w:r>
      <w:r w:rsidRPr="002F50BD">
        <w:rPr>
          <w:rFonts w:ascii="Verdana" w:hAnsi="Verdana"/>
          <w:i/>
          <w:sz w:val="20"/>
          <w:lang w:val="pt-BR"/>
        </w:rPr>
        <w:t xml:space="preserve"> a </w:t>
      </w:r>
      <w:r w:rsidR="004756C1" w:rsidRPr="002F50BD">
        <w:rPr>
          <w:rFonts w:ascii="Verdana" w:hAnsi="Verdana"/>
          <w:i/>
          <w:sz w:val="20"/>
          <w:lang w:val="pt-BR"/>
        </w:rPr>
        <w:t>reivindica</w:t>
      </w:r>
      <w:r w:rsidRPr="002F50BD">
        <w:rPr>
          <w:rFonts w:ascii="Verdana" w:hAnsi="Verdana"/>
          <w:i/>
          <w:sz w:val="20"/>
          <w:lang w:val="pt-BR"/>
        </w:rPr>
        <w:t>ção</w:t>
      </w:r>
      <w:r w:rsidR="004756C1" w:rsidRPr="002F50BD">
        <w:rPr>
          <w:rFonts w:ascii="Verdana" w:hAnsi="Verdana"/>
          <w:i/>
          <w:sz w:val="20"/>
          <w:lang w:val="pt-BR"/>
        </w:rPr>
        <w:t xml:space="preserve"> de </w:t>
      </w:r>
      <w:r w:rsidRPr="002F50BD">
        <w:rPr>
          <w:rFonts w:ascii="Verdana" w:hAnsi="Verdana"/>
          <w:i/>
          <w:sz w:val="20"/>
          <w:lang w:val="pt-BR"/>
        </w:rPr>
        <w:t>terra</w:t>
      </w:r>
      <w:r w:rsidR="004756C1" w:rsidRPr="002F50BD">
        <w:rPr>
          <w:rFonts w:ascii="Verdana" w:hAnsi="Verdana"/>
          <w:i/>
          <w:sz w:val="20"/>
          <w:lang w:val="pt-BR"/>
        </w:rPr>
        <w:t>s indígenas</w:t>
      </w:r>
    </w:p>
    <w:p w:rsidR="004756C1" w:rsidRPr="002F50BD" w:rsidRDefault="004756C1">
      <w:pPr>
        <w:jc w:val="both"/>
        <w:rPr>
          <w:rFonts w:ascii="Verdana" w:hAnsi="Verdana"/>
          <w:i/>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65</w:t>
      </w:r>
      <w:r w:rsidR="004756C1" w:rsidRPr="002F50BD">
        <w:rPr>
          <w:rFonts w:ascii="Verdana" w:hAnsi="Verdana"/>
          <w:sz w:val="20"/>
          <w:lang w:val="pt-BR"/>
        </w:rPr>
        <w:t>.</w:t>
      </w:r>
      <w:r w:rsidR="004756C1" w:rsidRPr="002F50BD">
        <w:rPr>
          <w:rFonts w:ascii="Verdana" w:hAnsi="Verdana"/>
          <w:sz w:val="20"/>
          <w:lang w:val="pt-BR"/>
        </w:rPr>
        <w:tab/>
        <w:t>A</w:t>
      </w:r>
      <w:r w:rsidR="001C609B"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analisar o processo</w:t>
      </w:r>
      <w:r w:rsidR="004756C1" w:rsidRPr="002F50BD">
        <w:rPr>
          <w:rFonts w:ascii="Verdana" w:hAnsi="Verdana"/>
          <w:sz w:val="20"/>
          <w:lang w:val="pt-BR"/>
        </w:rPr>
        <w:t xml:space="preserve"> administrativo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indígenas</w:t>
      </w:r>
      <w:r w:rsidR="0089298C" w:rsidRPr="002F50BD">
        <w:rPr>
          <w:rFonts w:ascii="Verdana" w:hAnsi="Verdana"/>
          <w:sz w:val="20"/>
          <w:lang w:val="pt-BR"/>
        </w:rPr>
        <w:t xml:space="preserve"> no </w:t>
      </w:r>
      <w:r w:rsidR="004756C1" w:rsidRPr="002F50BD">
        <w:rPr>
          <w:rFonts w:ascii="Verdana" w:hAnsi="Verdana"/>
          <w:sz w:val="20"/>
          <w:lang w:val="pt-BR"/>
        </w:rPr>
        <w:t>presente caso,</w:t>
      </w:r>
      <w:r w:rsidR="0089298C" w:rsidRPr="002F50BD">
        <w:rPr>
          <w:rFonts w:ascii="Verdana" w:hAnsi="Verdana"/>
          <w:sz w:val="20"/>
          <w:lang w:val="pt-BR"/>
        </w:rPr>
        <w:t xml:space="preserve"> a </w:t>
      </w:r>
      <w:r w:rsidR="004756C1" w:rsidRPr="002F50BD">
        <w:rPr>
          <w:rFonts w:ascii="Verdana" w:hAnsi="Verdana"/>
          <w:sz w:val="20"/>
          <w:lang w:val="pt-BR"/>
        </w:rPr>
        <w:t>Corte examinará,</w:t>
      </w:r>
      <w:r w:rsidR="0089298C" w:rsidRPr="002F50BD">
        <w:rPr>
          <w:rFonts w:ascii="Verdana" w:hAnsi="Verdana"/>
          <w:sz w:val="20"/>
          <w:lang w:val="pt-BR"/>
        </w:rPr>
        <w:t xml:space="preserve"> em primeiro </w:t>
      </w:r>
      <w:r w:rsidR="001C609B" w:rsidRPr="002F50BD">
        <w:rPr>
          <w:rFonts w:ascii="Verdana" w:hAnsi="Verdana"/>
          <w:sz w:val="20"/>
          <w:lang w:val="pt-BR"/>
        </w:rPr>
        <w:t>lugar</w:t>
      </w:r>
      <w:r w:rsidR="004756C1" w:rsidRPr="002F50BD">
        <w:rPr>
          <w:rFonts w:ascii="Verdana" w:hAnsi="Verdana"/>
          <w:sz w:val="20"/>
          <w:lang w:val="pt-BR"/>
        </w:rPr>
        <w:t>,</w:t>
      </w:r>
      <w:r w:rsidR="0089298C" w:rsidRPr="002F50BD">
        <w:rPr>
          <w:rFonts w:ascii="Verdana" w:hAnsi="Verdana"/>
          <w:sz w:val="20"/>
          <w:lang w:val="pt-BR"/>
        </w:rPr>
        <w:t xml:space="preserve"> a existência</w:t>
      </w:r>
      <w:r w:rsidR="004756C1" w:rsidRPr="002F50BD">
        <w:rPr>
          <w:rFonts w:ascii="Verdana" w:hAnsi="Verdana"/>
          <w:sz w:val="20"/>
          <w:lang w:val="pt-BR"/>
        </w:rPr>
        <w:t xml:space="preserve"> formal de</w:t>
      </w:r>
      <w:r w:rsidR="0089298C" w:rsidRPr="002F50BD">
        <w:rPr>
          <w:rFonts w:ascii="Verdana" w:hAnsi="Verdana"/>
          <w:sz w:val="20"/>
          <w:lang w:val="pt-BR"/>
        </w:rPr>
        <w:t xml:space="preserve"> um </w:t>
      </w:r>
      <w:r w:rsidR="004756C1" w:rsidRPr="002F50BD">
        <w:rPr>
          <w:rFonts w:ascii="Verdana" w:hAnsi="Verdana"/>
          <w:sz w:val="20"/>
          <w:lang w:val="pt-BR"/>
        </w:rPr>
        <w:t>recurso que permita solicitar</w:t>
      </w:r>
      <w:r w:rsidR="0089298C" w:rsidRPr="002F50BD">
        <w:rPr>
          <w:rFonts w:ascii="Verdana" w:hAnsi="Verdana"/>
          <w:sz w:val="20"/>
          <w:lang w:val="pt-BR"/>
        </w:rPr>
        <w:t xml:space="preserve"> a </w:t>
      </w:r>
      <w:r w:rsidR="004756C1" w:rsidRPr="002F50BD">
        <w:rPr>
          <w:rFonts w:ascii="Verdana" w:hAnsi="Verdana"/>
          <w:sz w:val="20"/>
          <w:lang w:val="pt-BR"/>
        </w:rPr>
        <w:t>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indígenas.</w:t>
      </w:r>
      <w:r w:rsidR="0089298C" w:rsidRPr="002F50BD">
        <w:rPr>
          <w:rFonts w:ascii="Verdana" w:hAnsi="Verdana"/>
          <w:sz w:val="20"/>
          <w:lang w:val="pt-BR"/>
        </w:rPr>
        <w:t xml:space="preserve"> </w:t>
      </w:r>
      <w:r w:rsidR="001C609B" w:rsidRPr="002F50BD">
        <w:rPr>
          <w:rFonts w:ascii="Verdana" w:hAnsi="Verdana"/>
          <w:sz w:val="20"/>
          <w:lang w:val="pt-BR"/>
        </w:rPr>
        <w:t>E</w:t>
      </w:r>
      <w:r w:rsidR="0089298C" w:rsidRPr="002F50BD">
        <w:rPr>
          <w:rFonts w:ascii="Verdana" w:hAnsi="Verdana"/>
          <w:sz w:val="20"/>
          <w:lang w:val="pt-BR"/>
        </w:rPr>
        <w:t xml:space="preserve">m </w:t>
      </w:r>
      <w:r w:rsidR="004756C1" w:rsidRPr="002F50BD">
        <w:rPr>
          <w:rFonts w:ascii="Verdana" w:hAnsi="Verdana"/>
          <w:sz w:val="20"/>
          <w:lang w:val="pt-BR"/>
        </w:rPr>
        <w:t xml:space="preserve">segundo </w:t>
      </w:r>
      <w:r w:rsidR="001C609B" w:rsidRPr="002F50BD">
        <w:rPr>
          <w:rFonts w:ascii="Verdana" w:hAnsi="Verdana"/>
          <w:sz w:val="20"/>
          <w:lang w:val="pt-BR"/>
        </w:rPr>
        <w:t>lugar</w:t>
      </w:r>
      <w:r w:rsidR="004756C1" w:rsidRPr="002F50BD">
        <w:rPr>
          <w:rFonts w:ascii="Verdana" w:hAnsi="Verdana"/>
          <w:sz w:val="20"/>
          <w:lang w:val="pt-BR"/>
        </w:rPr>
        <w:t>, compete</w:t>
      </w:r>
      <w:r w:rsidR="0089298C" w:rsidRPr="002F50BD">
        <w:rPr>
          <w:rFonts w:ascii="Verdana" w:hAnsi="Verdana"/>
          <w:sz w:val="20"/>
          <w:lang w:val="pt-BR"/>
        </w:rPr>
        <w:t xml:space="preserve"> à </w:t>
      </w:r>
      <w:r w:rsidR="004756C1" w:rsidRPr="002F50BD">
        <w:rPr>
          <w:rFonts w:ascii="Verdana" w:hAnsi="Verdana"/>
          <w:sz w:val="20"/>
          <w:lang w:val="pt-BR"/>
        </w:rPr>
        <w:t xml:space="preserve">Corte </w:t>
      </w:r>
      <w:r w:rsidR="0089298C" w:rsidRPr="002F50BD">
        <w:rPr>
          <w:rFonts w:ascii="Verdana" w:hAnsi="Verdana"/>
          <w:sz w:val="20"/>
          <w:lang w:val="pt-BR"/>
        </w:rPr>
        <w:t xml:space="preserve">analisar a efetividade do </w:t>
      </w:r>
      <w:r w:rsidR="004756C1" w:rsidRPr="002F50BD">
        <w:rPr>
          <w:rFonts w:ascii="Verdana" w:hAnsi="Verdana"/>
          <w:sz w:val="20"/>
          <w:lang w:val="pt-BR"/>
        </w:rPr>
        <w:t>mencionado recurso,</w:t>
      </w:r>
      <w:r w:rsidR="0089298C" w:rsidRPr="002F50BD">
        <w:rPr>
          <w:rFonts w:ascii="Verdana" w:hAnsi="Verdana"/>
          <w:sz w:val="20"/>
          <w:lang w:val="pt-BR"/>
        </w:rPr>
        <w:t xml:space="preserve"> o que </w:t>
      </w:r>
      <w:r w:rsidR="004756C1" w:rsidRPr="002F50BD">
        <w:rPr>
          <w:rFonts w:ascii="Verdana" w:hAnsi="Verdana"/>
          <w:sz w:val="20"/>
          <w:lang w:val="pt-BR"/>
        </w:rPr>
        <w:t xml:space="preserve">implica examinar, </w:t>
      </w:r>
      <w:r w:rsidR="004756C1" w:rsidRPr="002F50BD">
        <w:rPr>
          <w:rFonts w:ascii="Verdana" w:hAnsi="Verdana"/>
          <w:i/>
          <w:sz w:val="20"/>
          <w:lang w:val="pt-BR"/>
        </w:rPr>
        <w:t>inter alia,</w:t>
      </w:r>
      <w:r w:rsidR="0089298C" w:rsidRPr="002F50BD">
        <w:rPr>
          <w:rFonts w:ascii="Verdana" w:hAnsi="Verdana"/>
          <w:i/>
          <w:sz w:val="20"/>
          <w:lang w:val="pt-BR"/>
        </w:rPr>
        <w:t xml:space="preserve"> </w:t>
      </w:r>
      <w:r w:rsidR="0089298C" w:rsidRPr="002F50BD">
        <w:rPr>
          <w:rFonts w:ascii="Verdana" w:hAnsi="Verdana"/>
          <w:sz w:val="20"/>
          <w:lang w:val="pt-BR"/>
        </w:rPr>
        <w:t>o respeito</w:t>
      </w:r>
      <w:r w:rsidR="0089298C" w:rsidRPr="002F50BD">
        <w:rPr>
          <w:rFonts w:ascii="Verdana" w:hAnsi="Verdana"/>
          <w:i/>
          <w:sz w:val="20"/>
          <w:lang w:val="pt-BR"/>
        </w:rPr>
        <w:t xml:space="preserve"> </w:t>
      </w:r>
      <w:r w:rsidR="0089298C" w:rsidRPr="002F50BD">
        <w:rPr>
          <w:rFonts w:ascii="Verdana" w:hAnsi="Verdana"/>
          <w:sz w:val="20"/>
          <w:lang w:val="pt-BR"/>
        </w:rPr>
        <w:t>ao princípio</w:t>
      </w:r>
      <w:r w:rsidR="004756C1" w:rsidRPr="002F50BD">
        <w:rPr>
          <w:rFonts w:ascii="Verdana" w:hAnsi="Verdana"/>
          <w:sz w:val="20"/>
          <w:lang w:val="pt-BR"/>
        </w:rPr>
        <w:t xml:space="preserve"> </w:t>
      </w:r>
      <w:r w:rsidR="0089298C" w:rsidRPr="002F50BD">
        <w:rPr>
          <w:rFonts w:ascii="Verdana" w:hAnsi="Verdana"/>
          <w:sz w:val="20"/>
          <w:lang w:val="pt-BR"/>
        </w:rPr>
        <w:t>do prazo</w:t>
      </w:r>
      <w:r w:rsidR="004756C1" w:rsidRPr="002F50BD">
        <w:rPr>
          <w:rFonts w:ascii="Verdana" w:hAnsi="Verdana"/>
          <w:sz w:val="20"/>
          <w:lang w:val="pt-BR"/>
        </w:rPr>
        <w:t xml:space="preserve"> </w:t>
      </w:r>
      <w:r w:rsidR="001C609B" w:rsidRPr="002F50BD">
        <w:rPr>
          <w:rFonts w:ascii="Verdana" w:hAnsi="Verdana"/>
          <w:sz w:val="20"/>
          <w:lang w:val="pt-BR"/>
        </w:rPr>
        <w:t>razoável</w:t>
      </w:r>
      <w:r w:rsidR="004756C1" w:rsidRPr="002F50BD">
        <w:rPr>
          <w:rFonts w:ascii="Verdana" w:hAnsi="Verdana"/>
          <w:sz w:val="20"/>
          <w:lang w:val="pt-BR"/>
        </w:rPr>
        <w:t>. Para</w:t>
      </w:r>
      <w:r w:rsidR="0089298C" w:rsidRPr="002F50BD">
        <w:rPr>
          <w:rFonts w:ascii="Verdana" w:hAnsi="Verdana"/>
          <w:sz w:val="20"/>
          <w:lang w:val="pt-BR"/>
        </w:rPr>
        <w:t xml:space="preserve"> </w:t>
      </w:r>
      <w:r w:rsidR="001C609B" w:rsidRPr="002F50BD">
        <w:rPr>
          <w:rFonts w:ascii="Verdana" w:hAnsi="Verdana"/>
          <w:sz w:val="20"/>
          <w:lang w:val="pt-BR"/>
        </w:rPr>
        <w:t>isso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recorda</w:t>
      </w:r>
      <w:r w:rsidR="004756C1" w:rsidRPr="002F50BD">
        <w:rPr>
          <w:rFonts w:ascii="Verdana" w:hAnsi="Verdana"/>
          <w:sz w:val="20"/>
          <w:lang w:val="pt-BR"/>
        </w:rPr>
        <w:t xml:space="preserve"> que para determinar</w:t>
      </w:r>
      <w:r w:rsidR="0089298C" w:rsidRPr="002F50BD">
        <w:rPr>
          <w:rFonts w:ascii="Verdana" w:hAnsi="Verdana"/>
          <w:sz w:val="20"/>
          <w:lang w:val="pt-BR"/>
        </w:rPr>
        <w:t xml:space="preserve"> a razoabilidade</w:t>
      </w:r>
      <w:r w:rsidR="004756C1" w:rsidRPr="002F50BD">
        <w:rPr>
          <w:rFonts w:ascii="Verdana" w:hAnsi="Verdana"/>
          <w:sz w:val="20"/>
          <w:lang w:val="pt-BR"/>
        </w:rPr>
        <w:t xml:space="preserve"> </w:t>
      </w:r>
      <w:r w:rsidR="0089298C" w:rsidRPr="002F50BD">
        <w:rPr>
          <w:rFonts w:ascii="Verdana" w:hAnsi="Verdana"/>
          <w:sz w:val="20"/>
          <w:lang w:val="pt-BR"/>
        </w:rPr>
        <w:t xml:space="preserve">do prazo no </w:t>
      </w:r>
      <w:r w:rsidR="004756C1" w:rsidRPr="002F50BD">
        <w:rPr>
          <w:rFonts w:ascii="Verdana" w:hAnsi="Verdana"/>
          <w:sz w:val="20"/>
          <w:lang w:val="pt-BR"/>
        </w:rPr>
        <w:t>q</w:t>
      </w:r>
      <w:r w:rsidR="001C609B" w:rsidRPr="002F50BD">
        <w:rPr>
          <w:rFonts w:ascii="Verdana" w:hAnsi="Verdana"/>
          <w:sz w:val="20"/>
          <w:lang w:val="pt-BR"/>
        </w:rPr>
        <w:t>ual</w:t>
      </w:r>
      <w:r w:rsidR="004756C1" w:rsidRPr="002F50BD">
        <w:rPr>
          <w:rFonts w:ascii="Verdana" w:hAnsi="Verdana"/>
          <w:sz w:val="20"/>
          <w:lang w:val="pt-BR"/>
        </w:rPr>
        <w:t xml:space="preserve"> se </w:t>
      </w:r>
      <w:r w:rsidR="007801FA" w:rsidRPr="002F50BD">
        <w:rPr>
          <w:rFonts w:ascii="Verdana" w:hAnsi="Verdana"/>
          <w:sz w:val="20"/>
          <w:lang w:val="pt-BR"/>
        </w:rPr>
        <w:t>desenvolve</w:t>
      </w:r>
      <w:r w:rsidR="0089298C" w:rsidRPr="002F50BD">
        <w:rPr>
          <w:rFonts w:ascii="Verdana" w:hAnsi="Verdana"/>
          <w:sz w:val="20"/>
          <w:lang w:val="pt-BR"/>
        </w:rPr>
        <w:t xml:space="preserve"> um processo é </w:t>
      </w:r>
      <w:r w:rsidR="004756C1" w:rsidRPr="002F50BD">
        <w:rPr>
          <w:rFonts w:ascii="Verdana" w:hAnsi="Verdana"/>
          <w:sz w:val="20"/>
          <w:lang w:val="pt-BR"/>
        </w:rPr>
        <w:t>preciso tomar</w:t>
      </w:r>
      <w:r w:rsidR="0089298C" w:rsidRPr="002F50BD">
        <w:rPr>
          <w:rFonts w:ascii="Verdana" w:hAnsi="Verdana"/>
          <w:sz w:val="20"/>
          <w:lang w:val="pt-BR"/>
        </w:rPr>
        <w:t xml:space="preserve"> em conta três </w:t>
      </w:r>
      <w:r w:rsidR="004756C1" w:rsidRPr="002F50BD">
        <w:rPr>
          <w:rFonts w:ascii="Verdana" w:hAnsi="Verdana"/>
          <w:sz w:val="20"/>
          <w:lang w:val="pt-BR"/>
        </w:rPr>
        <w:t>elementos: a</w:t>
      </w:r>
      <w:r w:rsidR="00CF451D" w:rsidRPr="00CF451D">
        <w:rPr>
          <w:rFonts w:ascii="Verdana" w:hAnsi="Verdana"/>
          <w:sz w:val="20"/>
          <w:lang w:val="pt-BR"/>
        </w:rPr>
        <w:t>)</w:t>
      </w:r>
      <w:r w:rsidR="004756C1" w:rsidRPr="002F50BD">
        <w:rPr>
          <w:rFonts w:ascii="Verdana" w:hAnsi="Verdana"/>
          <w:sz w:val="20"/>
          <w:lang w:val="pt-BR"/>
        </w:rPr>
        <w:t xml:space="preserve"> </w:t>
      </w:r>
      <w:r w:rsidR="00C03ED8" w:rsidRPr="002F50BD">
        <w:rPr>
          <w:rFonts w:ascii="Verdana" w:hAnsi="Verdana"/>
          <w:sz w:val="20"/>
          <w:lang w:val="pt-BR"/>
        </w:rPr>
        <w:t>complexidade</w:t>
      </w:r>
      <w:r w:rsidR="004756C1" w:rsidRPr="002F50BD">
        <w:rPr>
          <w:rFonts w:ascii="Verdana" w:hAnsi="Verdana"/>
          <w:sz w:val="20"/>
          <w:lang w:val="pt-BR"/>
        </w:rPr>
        <w:t xml:space="preserve"> </w:t>
      </w:r>
      <w:r w:rsidR="0089298C" w:rsidRPr="002F50BD">
        <w:rPr>
          <w:rFonts w:ascii="Verdana" w:hAnsi="Verdana"/>
          <w:sz w:val="20"/>
          <w:lang w:val="pt-BR"/>
        </w:rPr>
        <w:t>do assunto</w:t>
      </w:r>
      <w:r w:rsidR="004756C1" w:rsidRPr="002F50BD">
        <w:rPr>
          <w:rFonts w:ascii="Verdana" w:hAnsi="Verdana"/>
          <w:sz w:val="20"/>
          <w:lang w:val="pt-BR"/>
        </w:rPr>
        <w:t>, b</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atividade processual do interessad</w:t>
      </w:r>
      <w:r w:rsidR="004756C1" w:rsidRPr="002F50BD">
        <w:rPr>
          <w:rFonts w:ascii="Verdana" w:hAnsi="Verdana"/>
          <w:sz w:val="20"/>
          <w:lang w:val="pt-BR"/>
        </w:rPr>
        <w:t>o</w:t>
      </w:r>
      <w:r w:rsidR="0089298C" w:rsidRPr="002F50BD">
        <w:rPr>
          <w:rFonts w:ascii="Verdana" w:hAnsi="Verdana"/>
          <w:sz w:val="20"/>
          <w:lang w:val="pt-BR"/>
        </w:rPr>
        <w:t xml:space="preserve"> e </w:t>
      </w:r>
      <w:r w:rsidR="004756C1" w:rsidRPr="002F50BD">
        <w:rPr>
          <w:rFonts w:ascii="Verdana" w:hAnsi="Verdana"/>
          <w:sz w:val="20"/>
          <w:lang w:val="pt-BR"/>
        </w:rPr>
        <w:t>c</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conduta das </w:t>
      </w:r>
      <w:r w:rsidR="004756C1" w:rsidRPr="002F50BD">
        <w:rPr>
          <w:rFonts w:ascii="Verdana" w:hAnsi="Verdana"/>
          <w:sz w:val="20"/>
          <w:lang w:val="pt-BR"/>
        </w:rPr>
        <w:t xml:space="preserve">autoridades </w:t>
      </w:r>
      <w:r w:rsidR="0089298C" w:rsidRPr="002F50BD">
        <w:rPr>
          <w:rFonts w:ascii="Verdana" w:hAnsi="Verdana"/>
          <w:sz w:val="20"/>
          <w:lang w:val="pt-BR"/>
        </w:rPr>
        <w:t>judiciais</w:t>
      </w:r>
      <w:r w:rsidR="001C609B" w:rsidRPr="002F50BD">
        <w:rPr>
          <w:rFonts w:ascii="Verdana" w:hAnsi="Verdana"/>
          <w:sz w:val="20"/>
          <w:lang w:val="pt-BR"/>
        </w:rPr>
        <w:t>.</w:t>
      </w:r>
      <w:r w:rsidR="004756C1" w:rsidRPr="002F50BD">
        <w:rPr>
          <w:rStyle w:val="FootnoteReference"/>
          <w:rFonts w:ascii="Verdana" w:hAnsi="Verdana"/>
        </w:rPr>
        <w:footnoteReference w:id="179"/>
      </w:r>
    </w:p>
    <w:p w:rsidR="004756C1" w:rsidRPr="002F50BD" w:rsidRDefault="004756C1">
      <w:pPr>
        <w:jc w:val="both"/>
        <w:rPr>
          <w:rFonts w:ascii="Verdana" w:hAnsi="Verdana"/>
          <w:sz w:val="20"/>
          <w:lang w:val="pt-BR"/>
        </w:rPr>
      </w:pPr>
    </w:p>
    <w:p w:rsidR="004756C1" w:rsidRPr="002F50BD" w:rsidRDefault="001C609B">
      <w:pPr>
        <w:numPr>
          <w:ilvl w:val="0"/>
          <w:numId w:val="28"/>
        </w:numPr>
        <w:jc w:val="both"/>
        <w:rPr>
          <w:rFonts w:ascii="Verdana" w:hAnsi="Verdana"/>
          <w:sz w:val="20"/>
          <w:lang w:val="pt-BR"/>
        </w:rPr>
      </w:pPr>
      <w:r w:rsidRPr="002F50BD">
        <w:rPr>
          <w:rFonts w:ascii="Verdana" w:hAnsi="Verdana"/>
          <w:sz w:val="20"/>
          <w:lang w:val="pt-BR"/>
        </w:rPr>
        <w:t xml:space="preserve">Em função do </w:t>
      </w:r>
      <w:r w:rsidR="004756C1" w:rsidRPr="002F50BD">
        <w:rPr>
          <w:rFonts w:ascii="Verdana" w:hAnsi="Verdana"/>
          <w:sz w:val="20"/>
          <w:lang w:val="pt-BR"/>
        </w:rPr>
        <w:t>anterior,</w:t>
      </w:r>
      <w:r w:rsidR="0089298C" w:rsidRPr="002F50BD">
        <w:rPr>
          <w:rFonts w:ascii="Verdana" w:hAnsi="Verdana"/>
          <w:sz w:val="20"/>
          <w:lang w:val="pt-BR"/>
        </w:rPr>
        <w:t xml:space="preserve"> o </w:t>
      </w:r>
      <w:r w:rsidR="004756C1" w:rsidRPr="002F50BD">
        <w:rPr>
          <w:rFonts w:ascii="Verdana" w:hAnsi="Verdana"/>
          <w:sz w:val="20"/>
          <w:lang w:val="pt-BR"/>
        </w:rPr>
        <w:t xml:space="preserve">Tribunal </w:t>
      </w:r>
      <w:r w:rsidR="0089298C" w:rsidRPr="002F50BD">
        <w:rPr>
          <w:rFonts w:ascii="Verdana" w:hAnsi="Verdana"/>
          <w:sz w:val="20"/>
          <w:lang w:val="pt-BR"/>
        </w:rPr>
        <w:t xml:space="preserve">analisará as </w:t>
      </w:r>
      <w:r w:rsidR="004756C1" w:rsidRPr="002F50BD">
        <w:rPr>
          <w:rFonts w:ascii="Verdana" w:hAnsi="Verdana"/>
          <w:sz w:val="20"/>
          <w:lang w:val="pt-BR"/>
        </w:rPr>
        <w:t xml:space="preserve">distintas fases </w:t>
      </w:r>
      <w:r w:rsidR="0089298C" w:rsidRPr="002F50BD">
        <w:rPr>
          <w:rFonts w:ascii="Verdana" w:hAnsi="Verdana"/>
          <w:sz w:val="20"/>
          <w:lang w:val="pt-BR"/>
        </w:rPr>
        <w:t>do procedimento</w:t>
      </w:r>
      <w:r w:rsidR="004756C1" w:rsidRPr="002F50BD">
        <w:rPr>
          <w:rFonts w:ascii="Verdana" w:hAnsi="Verdana"/>
          <w:sz w:val="20"/>
          <w:lang w:val="pt-BR"/>
        </w:rPr>
        <w:t xml:space="preserve"> administrativo</w:t>
      </w:r>
      <w:r w:rsidR="0089298C" w:rsidRPr="002F50BD">
        <w:rPr>
          <w:rFonts w:ascii="Verdana" w:hAnsi="Verdana"/>
          <w:sz w:val="20"/>
          <w:lang w:val="pt-BR"/>
        </w:rPr>
        <w:t xml:space="preserve"> no </w:t>
      </w:r>
      <w:r w:rsidR="004756C1" w:rsidRPr="002F50BD">
        <w:rPr>
          <w:rFonts w:ascii="Verdana" w:hAnsi="Verdana"/>
          <w:sz w:val="20"/>
          <w:lang w:val="pt-BR"/>
        </w:rPr>
        <w:t>presente caso, a saber: i</w:t>
      </w:r>
      <w:r w:rsidR="00CF451D" w:rsidRPr="00CF451D">
        <w:rPr>
          <w:rFonts w:ascii="Verdana" w:hAnsi="Verdana"/>
          <w:sz w:val="20"/>
          <w:lang w:val="pt-BR"/>
        </w:rPr>
        <w:t>)</w:t>
      </w:r>
      <w:r w:rsidR="0089298C" w:rsidRPr="002F50BD">
        <w:rPr>
          <w:rFonts w:ascii="Verdana" w:hAnsi="Verdana"/>
          <w:sz w:val="20"/>
          <w:lang w:val="pt-BR"/>
        </w:rPr>
        <w:t xml:space="preserve"> o processo</w:t>
      </w:r>
      <w:r w:rsidR="004756C1" w:rsidRPr="002F50BD">
        <w:rPr>
          <w:rFonts w:ascii="Verdana" w:hAnsi="Verdana"/>
          <w:sz w:val="20"/>
          <w:lang w:val="pt-BR"/>
        </w:rPr>
        <w:t xml:space="preserve"> de re</w:t>
      </w:r>
      <w:r w:rsidR="0089298C" w:rsidRPr="002F50BD">
        <w:rPr>
          <w:rFonts w:ascii="Verdana" w:hAnsi="Verdana"/>
          <w:sz w:val="20"/>
          <w:lang w:val="pt-BR"/>
        </w:rPr>
        <w:t xml:space="preserve">conhecimento dos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4756C1" w:rsidRPr="002F50BD">
        <w:rPr>
          <w:rFonts w:ascii="Verdana" w:hAnsi="Verdana"/>
          <w:sz w:val="20"/>
          <w:lang w:val="pt-BR"/>
        </w:rPr>
        <w:t>Yakye Axa; ii</w:t>
      </w:r>
      <w:r w:rsidR="00CF451D" w:rsidRPr="00CF451D">
        <w:rPr>
          <w:rFonts w:ascii="Verdana" w:hAnsi="Verdana"/>
          <w:sz w:val="20"/>
          <w:lang w:val="pt-BR"/>
        </w:rPr>
        <w:t>)</w:t>
      </w:r>
      <w:r w:rsidR="0089298C" w:rsidRPr="002F50BD">
        <w:rPr>
          <w:rFonts w:ascii="Verdana" w:hAnsi="Verdana"/>
          <w:sz w:val="20"/>
          <w:lang w:val="pt-BR"/>
        </w:rPr>
        <w:t xml:space="preserve"> o processo</w:t>
      </w:r>
      <w:r w:rsidR="004756C1" w:rsidRPr="002F50BD">
        <w:rPr>
          <w:rFonts w:ascii="Verdana" w:hAnsi="Verdana"/>
          <w:sz w:val="20"/>
          <w:lang w:val="pt-BR"/>
        </w:rPr>
        <w:t xml:space="preserve"> de re</w:t>
      </w:r>
      <w:r w:rsidR="0089298C" w:rsidRPr="002F50BD">
        <w:rPr>
          <w:rFonts w:ascii="Verdana" w:hAnsi="Verdana"/>
          <w:sz w:val="20"/>
          <w:lang w:val="pt-BR"/>
        </w:rPr>
        <w:t>conhecimento</w:t>
      </w:r>
      <w:r w:rsidR="004756C1" w:rsidRPr="002F50BD">
        <w:rPr>
          <w:rFonts w:ascii="Verdana" w:hAnsi="Verdana"/>
          <w:sz w:val="20"/>
          <w:lang w:val="pt-BR"/>
        </w:rPr>
        <w:t xml:space="preserve"> de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w:t>
      </w:r>
      <w:r w:rsidR="00D3773B" w:rsidRPr="002F50BD">
        <w:rPr>
          <w:rFonts w:ascii="Verdana" w:hAnsi="Verdana"/>
          <w:sz w:val="20"/>
          <w:lang w:val="pt-BR"/>
        </w:rPr>
        <w:t>da</w:t>
      </w:r>
      <w:r w:rsidR="0089298C" w:rsidRPr="002F50BD">
        <w:rPr>
          <w:rFonts w:ascii="Verdana" w:hAnsi="Verdana"/>
          <w:sz w:val="20"/>
          <w:lang w:val="pt-BR"/>
        </w:rPr>
        <w:t xml:space="preserve"> </w:t>
      </w:r>
      <w:r w:rsidR="004756C1" w:rsidRPr="002F50BD">
        <w:rPr>
          <w:rFonts w:ascii="Verdana" w:hAnsi="Verdana"/>
          <w:sz w:val="20"/>
          <w:lang w:val="pt-BR"/>
        </w:rPr>
        <w:t>mencionada Comunidad</w:t>
      </w:r>
      <w:r w:rsidRPr="002F50BD">
        <w:rPr>
          <w:rFonts w:ascii="Verdana" w:hAnsi="Verdana"/>
          <w:sz w:val="20"/>
          <w:lang w:val="pt-BR"/>
        </w:rPr>
        <w:t>e</w:t>
      </w:r>
      <w:r w:rsidR="0089298C" w:rsidRPr="002F50BD">
        <w:rPr>
          <w:rFonts w:ascii="Verdana" w:hAnsi="Verdana"/>
          <w:sz w:val="20"/>
          <w:lang w:val="pt-BR"/>
        </w:rPr>
        <w:t>; e</w:t>
      </w:r>
      <w:r w:rsidR="004756C1" w:rsidRPr="002F50BD">
        <w:rPr>
          <w:rFonts w:ascii="Verdana" w:hAnsi="Verdana"/>
          <w:sz w:val="20"/>
          <w:lang w:val="pt-BR"/>
        </w:rPr>
        <w:t xml:space="preserve"> iii</w:t>
      </w:r>
      <w:r w:rsidR="00CF451D" w:rsidRPr="00CF451D">
        <w:rPr>
          <w:rFonts w:ascii="Verdana" w:hAnsi="Verdana"/>
          <w:sz w:val="20"/>
          <w:lang w:val="pt-BR"/>
        </w:rPr>
        <w:t>)</w:t>
      </w:r>
      <w:r w:rsidR="0089298C" w:rsidRPr="002F50BD">
        <w:rPr>
          <w:rFonts w:ascii="Verdana" w:hAnsi="Verdana"/>
          <w:sz w:val="20"/>
          <w:lang w:val="pt-BR"/>
        </w:rPr>
        <w:t xml:space="preserve"> a efetividade do </w:t>
      </w:r>
      <w:r w:rsidR="004756C1" w:rsidRPr="002F50BD">
        <w:rPr>
          <w:rFonts w:ascii="Verdana" w:hAnsi="Verdana"/>
          <w:sz w:val="20"/>
          <w:lang w:val="pt-BR"/>
        </w:rPr>
        <w:t xml:space="preserve">citado </w:t>
      </w:r>
      <w:r w:rsidR="0089298C" w:rsidRPr="002F50BD">
        <w:rPr>
          <w:rFonts w:ascii="Verdana" w:hAnsi="Verdana"/>
          <w:sz w:val="20"/>
          <w:lang w:val="pt-BR"/>
        </w:rPr>
        <w:t>processo</w:t>
      </w:r>
      <w:r w:rsidR="004756C1" w:rsidRPr="002F50BD">
        <w:rPr>
          <w:rFonts w:ascii="Verdana" w:hAnsi="Verdana"/>
          <w:sz w:val="20"/>
          <w:lang w:val="pt-BR"/>
        </w:rPr>
        <w:t xml:space="preserve">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p>
    <w:p w:rsidR="004756C1" w:rsidRPr="002F50BD" w:rsidRDefault="004756C1">
      <w:pPr>
        <w:jc w:val="both"/>
        <w:rPr>
          <w:rFonts w:ascii="Verdana" w:hAnsi="Verdana"/>
          <w:sz w:val="20"/>
          <w:lang w:val="pt-BR"/>
        </w:rPr>
      </w:pPr>
    </w:p>
    <w:p w:rsidR="004756C1" w:rsidRPr="002F50BD" w:rsidRDefault="004756C1">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lang w:val="pt-BR"/>
        </w:rPr>
      </w:pPr>
      <w:r w:rsidRPr="002F50BD">
        <w:rPr>
          <w:rFonts w:ascii="Verdana" w:hAnsi="Verdana"/>
          <w:i/>
          <w:sz w:val="20"/>
          <w:lang w:val="pt-BR"/>
        </w:rPr>
        <w:tab/>
      </w:r>
      <w:r w:rsidRPr="002F50BD">
        <w:rPr>
          <w:rFonts w:ascii="Verdana" w:hAnsi="Verdana"/>
          <w:i/>
          <w:sz w:val="20"/>
          <w:lang w:val="pt-BR"/>
        </w:rPr>
        <w:tab/>
      </w:r>
      <w:r w:rsidRPr="002F50BD">
        <w:rPr>
          <w:rFonts w:ascii="Verdana" w:hAnsi="Verdana"/>
          <w:sz w:val="20"/>
          <w:lang w:val="pt-BR"/>
        </w:rPr>
        <w:t>i.</w:t>
      </w:r>
      <w:r w:rsidRPr="002F50BD">
        <w:rPr>
          <w:rFonts w:ascii="Verdana" w:hAnsi="Verdana"/>
          <w:sz w:val="20"/>
          <w:lang w:val="pt-BR"/>
        </w:rPr>
        <w:tab/>
      </w:r>
      <w:r w:rsidR="0089298C" w:rsidRPr="002F50BD">
        <w:rPr>
          <w:rFonts w:ascii="Verdana" w:hAnsi="Verdana"/>
          <w:sz w:val="20"/>
          <w:lang w:val="pt-BR"/>
        </w:rPr>
        <w:t>Processo</w:t>
      </w:r>
      <w:r w:rsidRPr="002F50BD">
        <w:rPr>
          <w:rFonts w:ascii="Verdana" w:hAnsi="Verdana"/>
          <w:sz w:val="20"/>
          <w:lang w:val="pt-BR"/>
        </w:rPr>
        <w:t xml:space="preserve"> de re</w:t>
      </w:r>
      <w:r w:rsidR="0089298C" w:rsidRPr="002F50BD">
        <w:rPr>
          <w:rFonts w:ascii="Verdana" w:hAnsi="Verdana"/>
          <w:sz w:val="20"/>
          <w:lang w:val="pt-BR"/>
        </w:rPr>
        <w:t>conhecimento</w:t>
      </w:r>
      <w:r w:rsidRPr="002F50BD">
        <w:rPr>
          <w:rFonts w:ascii="Verdana" w:hAnsi="Verdana"/>
          <w:sz w:val="20"/>
          <w:lang w:val="pt-BR"/>
        </w:rPr>
        <w:t xml:space="preserve"> de líderes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i/>
          <w:sz w:val="20"/>
          <w:lang w:val="pt-BR"/>
        </w:rPr>
      </w:pPr>
    </w:p>
    <w:p w:rsidR="004756C1" w:rsidRPr="002F50BD" w:rsidRDefault="001C609B">
      <w:pPr>
        <w:numPr>
          <w:ilvl w:val="0"/>
          <w:numId w:val="28"/>
        </w:numPr>
        <w:jc w:val="both"/>
        <w:rPr>
          <w:rFonts w:ascii="Verdana" w:hAnsi="Verdana"/>
          <w:sz w:val="20"/>
          <w:lang w:val="pt-BR"/>
        </w:rPr>
      </w:pPr>
      <w:r w:rsidRPr="002F50BD">
        <w:rPr>
          <w:rFonts w:ascii="Verdana" w:hAnsi="Verdana"/>
          <w:sz w:val="20"/>
          <w:lang w:val="pt-BR"/>
        </w:rPr>
        <w:t xml:space="preserve">No tocante </w:t>
      </w:r>
      <w:r w:rsidR="0089298C" w:rsidRPr="002F50BD">
        <w:rPr>
          <w:rFonts w:ascii="Verdana" w:hAnsi="Verdana"/>
          <w:sz w:val="20"/>
          <w:lang w:val="pt-BR"/>
        </w:rPr>
        <w:t xml:space="preserve">ao </w:t>
      </w:r>
      <w:r w:rsidR="004756C1" w:rsidRPr="002F50BD">
        <w:rPr>
          <w:rFonts w:ascii="Verdana" w:hAnsi="Verdana"/>
          <w:sz w:val="20"/>
          <w:lang w:val="pt-BR"/>
        </w:rPr>
        <w:t>re</w:t>
      </w:r>
      <w:r w:rsidR="0089298C" w:rsidRPr="002F50BD">
        <w:rPr>
          <w:rFonts w:ascii="Verdana" w:hAnsi="Verdana"/>
          <w:sz w:val="20"/>
          <w:lang w:val="pt-BR"/>
        </w:rPr>
        <w:t>conhecimento</w:t>
      </w:r>
      <w:r w:rsidR="004756C1" w:rsidRPr="002F50BD">
        <w:rPr>
          <w:rFonts w:ascii="Verdana" w:hAnsi="Verdana"/>
          <w:sz w:val="20"/>
          <w:lang w:val="pt-BR"/>
        </w:rPr>
        <w:t xml:space="preserve"> de líderes,</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00063B47" w:rsidRPr="002F50BD">
        <w:rPr>
          <w:rFonts w:ascii="Verdana" w:hAnsi="Verdana"/>
          <w:sz w:val="20"/>
          <w:lang w:val="pt-BR"/>
        </w:rPr>
        <w:t>12</w:t>
      </w:r>
      <w:r w:rsidR="0089298C" w:rsidRPr="002F50BD">
        <w:rPr>
          <w:rFonts w:ascii="Verdana" w:hAnsi="Verdana"/>
          <w:sz w:val="20"/>
          <w:lang w:val="pt-BR"/>
        </w:rPr>
        <w:t xml:space="preserve"> da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eastAsia="Times New Roman" w:hAnsi="Verdana"/>
          <w:sz w:val="20"/>
          <w:lang w:val="pt-BR"/>
        </w:rPr>
        <w:t xml:space="preserve"> </w:t>
      </w:r>
      <w:r w:rsidR="0089298C" w:rsidRPr="002F50BD">
        <w:rPr>
          <w:rFonts w:ascii="Verdana" w:hAnsi="Verdana"/>
          <w:sz w:val="20"/>
          <w:lang w:val="pt-BR"/>
        </w:rPr>
        <w:t>dispõe</w:t>
      </w:r>
      <w:r w:rsidR="004756C1" w:rsidRPr="002F50BD">
        <w:rPr>
          <w:rFonts w:ascii="Verdana" w:hAnsi="Verdana"/>
          <w:sz w:val="20"/>
          <w:lang w:val="pt-BR"/>
        </w:rPr>
        <w:t xml:space="preserve"> que</w:t>
      </w:r>
      <w:r w:rsidR="006603BE"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ind w:left="810" w:right="720"/>
        <w:jc w:val="both"/>
        <w:rPr>
          <w:rFonts w:ascii="Verdana" w:hAnsi="Verdana"/>
          <w:sz w:val="16"/>
          <w:lang w:val="pt-BR"/>
        </w:rPr>
      </w:pPr>
      <w:r w:rsidRPr="002F50BD">
        <w:rPr>
          <w:rFonts w:ascii="Verdana" w:hAnsi="Verdana"/>
          <w:sz w:val="16"/>
          <w:lang w:val="pt-BR"/>
        </w:rPr>
        <w:t>[</w:t>
      </w:r>
      <w:r w:rsidR="001C609B" w:rsidRPr="002F50BD">
        <w:rPr>
          <w:rFonts w:ascii="Verdana" w:hAnsi="Verdana"/>
          <w:sz w:val="16"/>
          <w:lang w:val="pt-BR"/>
        </w:rPr>
        <w:t>o</w:t>
      </w:r>
      <w:r w:rsidRPr="002F50BD">
        <w:rPr>
          <w:rFonts w:ascii="Verdana" w:hAnsi="Verdana"/>
          <w:sz w:val="16"/>
          <w:lang w:val="pt-BR"/>
        </w:rPr>
        <w:t xml:space="preserve">]s líderes </w:t>
      </w:r>
      <w:r w:rsidR="0089298C" w:rsidRPr="002F50BD">
        <w:rPr>
          <w:rFonts w:ascii="Verdana" w:hAnsi="Verdana"/>
          <w:sz w:val="16"/>
          <w:lang w:val="pt-BR"/>
        </w:rPr>
        <w:t>exercer</w:t>
      </w:r>
      <w:r w:rsidR="001C609B" w:rsidRPr="002F50BD">
        <w:rPr>
          <w:rFonts w:ascii="Verdana" w:hAnsi="Verdana"/>
          <w:sz w:val="16"/>
          <w:lang w:val="pt-BR"/>
        </w:rPr>
        <w:t>ão</w:t>
      </w:r>
      <w:r w:rsidR="0089298C" w:rsidRPr="002F50BD">
        <w:rPr>
          <w:rFonts w:ascii="Verdana" w:hAnsi="Verdana"/>
          <w:sz w:val="16"/>
          <w:lang w:val="pt-BR"/>
        </w:rPr>
        <w:t xml:space="preserve"> a </w:t>
      </w:r>
      <w:r w:rsidRPr="002F50BD">
        <w:rPr>
          <w:rFonts w:ascii="Verdana" w:hAnsi="Verdana"/>
          <w:sz w:val="16"/>
          <w:lang w:val="pt-BR"/>
        </w:rPr>
        <w:t>representa</w:t>
      </w:r>
      <w:r w:rsidR="0089298C" w:rsidRPr="002F50BD">
        <w:rPr>
          <w:rFonts w:ascii="Verdana" w:hAnsi="Verdana"/>
          <w:sz w:val="16"/>
          <w:lang w:val="pt-BR"/>
        </w:rPr>
        <w:t>ção</w:t>
      </w:r>
      <w:r w:rsidRPr="002F50BD">
        <w:rPr>
          <w:rFonts w:ascii="Verdana" w:hAnsi="Verdana"/>
          <w:sz w:val="16"/>
          <w:lang w:val="pt-BR"/>
        </w:rPr>
        <w:t xml:space="preserve"> legal de su</w:t>
      </w:r>
      <w:r w:rsidR="001C609B" w:rsidRPr="002F50BD">
        <w:rPr>
          <w:rFonts w:ascii="Verdana" w:hAnsi="Verdana"/>
          <w:sz w:val="16"/>
          <w:lang w:val="pt-BR"/>
        </w:rPr>
        <w:t>a</w:t>
      </w:r>
      <w:r w:rsidRPr="002F50BD">
        <w:rPr>
          <w:rFonts w:ascii="Verdana" w:hAnsi="Verdana"/>
          <w:sz w:val="16"/>
          <w:lang w:val="pt-BR"/>
        </w:rPr>
        <w:t xml:space="preserve"> </w:t>
      </w:r>
      <w:r w:rsidR="00A50140" w:rsidRPr="002F50BD">
        <w:rPr>
          <w:rFonts w:ascii="Verdana" w:hAnsi="Verdana"/>
          <w:sz w:val="16"/>
          <w:lang w:val="pt-BR"/>
        </w:rPr>
        <w:t>comunidade.</w:t>
      </w:r>
      <w:r w:rsidR="00BE346D" w:rsidRPr="002F50BD">
        <w:rPr>
          <w:rFonts w:ascii="Verdana" w:hAnsi="Verdana"/>
          <w:sz w:val="16"/>
          <w:lang w:val="pt-BR"/>
        </w:rPr>
        <w:t xml:space="preserve"> A </w:t>
      </w:r>
      <w:r w:rsidRPr="002F50BD">
        <w:rPr>
          <w:rFonts w:ascii="Verdana" w:hAnsi="Verdana"/>
          <w:sz w:val="16"/>
          <w:lang w:val="pt-BR"/>
        </w:rPr>
        <w:t>nom</w:t>
      </w:r>
      <w:r w:rsidR="001C609B" w:rsidRPr="002F50BD">
        <w:rPr>
          <w:rFonts w:ascii="Verdana" w:hAnsi="Verdana"/>
          <w:sz w:val="16"/>
          <w:lang w:val="pt-BR"/>
        </w:rPr>
        <w:t>e</w:t>
      </w:r>
      <w:r w:rsidRPr="002F50BD">
        <w:rPr>
          <w:rFonts w:ascii="Verdana" w:hAnsi="Verdana"/>
          <w:sz w:val="16"/>
          <w:lang w:val="pt-BR"/>
        </w:rPr>
        <w:t>a</w:t>
      </w:r>
      <w:r w:rsidR="0089298C" w:rsidRPr="002F50BD">
        <w:rPr>
          <w:rFonts w:ascii="Verdana" w:hAnsi="Verdana"/>
          <w:sz w:val="16"/>
          <w:lang w:val="pt-BR"/>
        </w:rPr>
        <w:t xml:space="preserve">ção dos </w:t>
      </w:r>
      <w:r w:rsidRPr="002F50BD">
        <w:rPr>
          <w:rFonts w:ascii="Verdana" w:hAnsi="Verdana"/>
          <w:sz w:val="16"/>
          <w:lang w:val="pt-BR"/>
        </w:rPr>
        <w:t>líderes será comunicada</w:t>
      </w:r>
      <w:r w:rsidR="0089298C" w:rsidRPr="002F50BD">
        <w:rPr>
          <w:rFonts w:ascii="Verdana" w:hAnsi="Verdana"/>
          <w:sz w:val="16"/>
          <w:lang w:val="pt-BR"/>
        </w:rPr>
        <w:t xml:space="preserve"> ao </w:t>
      </w:r>
      <w:r w:rsidRPr="002F50BD">
        <w:rPr>
          <w:rFonts w:ascii="Verdana" w:hAnsi="Verdana"/>
          <w:sz w:val="16"/>
          <w:lang w:val="pt-BR"/>
        </w:rPr>
        <w:t>Instituto [</w:t>
      </w:r>
      <w:r w:rsidR="0089298C" w:rsidRPr="002F50BD">
        <w:rPr>
          <w:rFonts w:ascii="Verdana" w:hAnsi="Verdana"/>
          <w:sz w:val="16"/>
          <w:lang w:val="pt-BR"/>
        </w:rPr>
        <w:t>Paraguai</w:t>
      </w:r>
      <w:r w:rsidRPr="002F50BD">
        <w:rPr>
          <w:rFonts w:ascii="Verdana" w:hAnsi="Verdana"/>
          <w:sz w:val="16"/>
          <w:lang w:val="pt-BR"/>
        </w:rPr>
        <w:t xml:space="preserve">o </w:t>
      </w:r>
      <w:r w:rsidR="0089298C" w:rsidRPr="002F50BD">
        <w:rPr>
          <w:rFonts w:ascii="Verdana" w:hAnsi="Verdana"/>
          <w:sz w:val="16"/>
          <w:lang w:val="pt-BR"/>
        </w:rPr>
        <w:t xml:space="preserve">do </w:t>
      </w:r>
      <w:r w:rsidRPr="002F50BD">
        <w:rPr>
          <w:rFonts w:ascii="Verdana" w:hAnsi="Verdana"/>
          <w:sz w:val="16"/>
          <w:lang w:val="pt-BR"/>
        </w:rPr>
        <w:t>Indígena],</w:t>
      </w:r>
      <w:r w:rsidR="0089298C" w:rsidRPr="002F50BD">
        <w:rPr>
          <w:rFonts w:ascii="Verdana" w:hAnsi="Verdana"/>
          <w:sz w:val="16"/>
          <w:lang w:val="pt-BR"/>
        </w:rPr>
        <w:t xml:space="preserve"> </w:t>
      </w:r>
      <w:r w:rsidRPr="002F50BD">
        <w:rPr>
          <w:rFonts w:ascii="Verdana" w:hAnsi="Verdana"/>
          <w:sz w:val="16"/>
          <w:lang w:val="pt-BR"/>
        </w:rPr>
        <w:t>que</w:t>
      </w:r>
      <w:r w:rsidR="0089298C" w:rsidRPr="002F50BD">
        <w:rPr>
          <w:rFonts w:ascii="Verdana" w:hAnsi="Verdana"/>
          <w:sz w:val="16"/>
          <w:lang w:val="pt-BR"/>
        </w:rPr>
        <w:t xml:space="preserve"> a </w:t>
      </w:r>
      <w:r w:rsidRPr="002F50BD">
        <w:rPr>
          <w:rFonts w:ascii="Verdana" w:hAnsi="Verdana"/>
          <w:sz w:val="16"/>
          <w:lang w:val="pt-BR"/>
        </w:rPr>
        <w:t>re</w:t>
      </w:r>
      <w:r w:rsidR="0089298C" w:rsidRPr="002F50BD">
        <w:rPr>
          <w:rFonts w:ascii="Verdana" w:hAnsi="Verdana"/>
          <w:sz w:val="16"/>
          <w:lang w:val="pt-BR"/>
        </w:rPr>
        <w:t>conhecer</w:t>
      </w:r>
      <w:r w:rsidRPr="002F50BD">
        <w:rPr>
          <w:rFonts w:ascii="Verdana" w:hAnsi="Verdana"/>
          <w:sz w:val="16"/>
          <w:lang w:val="pt-BR"/>
        </w:rPr>
        <w:t>á</w:t>
      </w:r>
      <w:r w:rsidR="0089298C" w:rsidRPr="002F50BD">
        <w:rPr>
          <w:rFonts w:ascii="Verdana" w:hAnsi="Verdana"/>
          <w:sz w:val="16"/>
          <w:lang w:val="pt-BR"/>
        </w:rPr>
        <w:t xml:space="preserve"> no prazo</w:t>
      </w:r>
      <w:r w:rsidRPr="002F50BD">
        <w:rPr>
          <w:rFonts w:ascii="Verdana" w:hAnsi="Verdana"/>
          <w:sz w:val="16"/>
          <w:lang w:val="pt-BR"/>
        </w:rPr>
        <w:t xml:space="preserve"> de </w:t>
      </w:r>
      <w:r w:rsidR="00951B61">
        <w:rPr>
          <w:rFonts w:ascii="Verdana" w:hAnsi="Verdana"/>
          <w:sz w:val="16"/>
          <w:lang w:val="pt-BR"/>
        </w:rPr>
        <w:t>30 dias</w:t>
      </w:r>
      <w:r w:rsidRPr="002F50BD">
        <w:rPr>
          <w:rFonts w:ascii="Verdana" w:hAnsi="Verdana"/>
          <w:sz w:val="16"/>
          <w:lang w:val="pt-BR"/>
        </w:rPr>
        <w:t xml:space="preserve"> a contar </w:t>
      </w:r>
      <w:r w:rsidR="00AB6727" w:rsidRPr="002F50BD">
        <w:rPr>
          <w:rFonts w:ascii="Verdana" w:hAnsi="Verdana"/>
          <w:sz w:val="16"/>
          <w:lang w:val="pt-BR"/>
        </w:rPr>
        <w:t xml:space="preserve">desde a </w:t>
      </w:r>
      <w:r w:rsidR="0089298C" w:rsidRPr="002F50BD">
        <w:rPr>
          <w:rFonts w:ascii="Verdana" w:hAnsi="Verdana"/>
          <w:sz w:val="16"/>
          <w:lang w:val="pt-BR"/>
        </w:rPr>
        <w:t xml:space="preserve">data </w:t>
      </w:r>
      <w:r w:rsidR="001C609B" w:rsidRPr="002F50BD">
        <w:rPr>
          <w:rFonts w:ascii="Verdana" w:hAnsi="Verdana"/>
          <w:sz w:val="16"/>
          <w:lang w:val="pt-BR"/>
        </w:rPr>
        <w:t xml:space="preserve">na qual </w:t>
      </w:r>
      <w:r w:rsidR="0089298C" w:rsidRPr="002F50BD">
        <w:rPr>
          <w:rFonts w:ascii="Verdana" w:hAnsi="Verdana"/>
          <w:sz w:val="16"/>
          <w:lang w:val="pt-BR"/>
        </w:rPr>
        <w:t>teve</w:t>
      </w:r>
      <w:r w:rsidRPr="002F50BD">
        <w:rPr>
          <w:rFonts w:ascii="Verdana" w:hAnsi="Verdana"/>
          <w:sz w:val="16"/>
          <w:lang w:val="pt-BR"/>
        </w:rPr>
        <w:t xml:space="preserve"> lugar </w:t>
      </w:r>
      <w:r w:rsidR="0089298C" w:rsidRPr="002F50BD">
        <w:rPr>
          <w:rFonts w:ascii="Verdana" w:hAnsi="Verdana"/>
          <w:sz w:val="16"/>
          <w:lang w:val="pt-BR"/>
        </w:rPr>
        <w:t>esta</w:t>
      </w:r>
      <w:r w:rsidRPr="002F50BD">
        <w:rPr>
          <w:rFonts w:ascii="Verdana" w:hAnsi="Verdana"/>
          <w:sz w:val="16"/>
          <w:lang w:val="pt-BR"/>
        </w:rPr>
        <w:t xml:space="preserve"> comunica</w:t>
      </w:r>
      <w:r w:rsidR="0089298C" w:rsidRPr="002F50BD">
        <w:rPr>
          <w:rFonts w:ascii="Verdana" w:hAnsi="Verdana"/>
          <w:sz w:val="16"/>
          <w:lang w:val="pt-BR"/>
        </w:rPr>
        <w:t xml:space="preserve">ção e a </w:t>
      </w:r>
      <w:r w:rsidR="004574D2" w:rsidRPr="002F50BD">
        <w:rPr>
          <w:rFonts w:ascii="Verdana" w:hAnsi="Verdana"/>
          <w:sz w:val="16"/>
          <w:lang w:val="pt-BR"/>
        </w:rPr>
        <w:t>inscrever</w:t>
      </w:r>
      <w:r w:rsidRPr="002F50BD">
        <w:rPr>
          <w:rFonts w:ascii="Verdana" w:hAnsi="Verdana"/>
          <w:sz w:val="16"/>
          <w:lang w:val="pt-BR"/>
        </w:rPr>
        <w:t>á</w:t>
      </w:r>
      <w:r w:rsidR="0089298C" w:rsidRPr="002F50BD">
        <w:rPr>
          <w:rFonts w:ascii="Verdana" w:hAnsi="Verdana"/>
          <w:sz w:val="16"/>
          <w:lang w:val="pt-BR"/>
        </w:rPr>
        <w:t xml:space="preserve"> no </w:t>
      </w:r>
      <w:r w:rsidRPr="002F50BD">
        <w:rPr>
          <w:rFonts w:ascii="Verdana" w:hAnsi="Verdana"/>
          <w:sz w:val="16"/>
          <w:lang w:val="pt-BR"/>
        </w:rPr>
        <w:t>Registro Nacional de Comunidades Indígenas.</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Pr="002F50BD">
        <w:rPr>
          <w:rFonts w:ascii="Verdana" w:hAnsi="Verdana"/>
          <w:sz w:val="20"/>
          <w:lang w:val="pt-BR"/>
        </w:rPr>
        <w:t>constatou</w:t>
      </w:r>
      <w:r w:rsidR="004756C1" w:rsidRPr="002F50BD">
        <w:rPr>
          <w:rFonts w:ascii="Verdana" w:hAnsi="Verdana"/>
          <w:sz w:val="20"/>
          <w:lang w:val="pt-BR"/>
        </w:rPr>
        <w:t xml:space="preserve"> que</w:t>
      </w:r>
      <w:r w:rsidRPr="002F50BD">
        <w:rPr>
          <w:rFonts w:ascii="Verdana" w:hAnsi="Verdana"/>
          <w:sz w:val="20"/>
          <w:lang w:val="pt-BR"/>
        </w:rPr>
        <w:t xml:space="preserve"> </w:t>
      </w:r>
      <w:r w:rsidR="002E48ED" w:rsidRPr="002F50BD">
        <w:rPr>
          <w:rFonts w:ascii="Verdana" w:hAnsi="Verdana"/>
          <w:sz w:val="20"/>
          <w:lang w:val="pt-BR"/>
        </w:rPr>
        <w:t>em</w:t>
      </w:r>
      <w:r w:rsidRPr="002F50BD">
        <w:rPr>
          <w:rFonts w:ascii="Verdana" w:hAnsi="Verdana"/>
          <w:sz w:val="20"/>
          <w:lang w:val="pt-BR"/>
        </w:rPr>
        <w:t xml:space="preserve"> </w:t>
      </w:r>
      <w:r w:rsidR="00063B47" w:rsidRPr="002F50BD">
        <w:rPr>
          <w:rFonts w:ascii="Verdana" w:hAnsi="Verdana"/>
          <w:sz w:val="20"/>
          <w:lang w:val="pt-BR"/>
        </w:rPr>
        <w:t>15</w:t>
      </w:r>
      <w:r w:rsidR="004756C1" w:rsidRPr="002F50BD">
        <w:rPr>
          <w:rFonts w:ascii="Verdana" w:hAnsi="Verdana"/>
          <w:sz w:val="20"/>
          <w:lang w:val="pt-BR"/>
        </w:rPr>
        <w:t xml:space="preserve"> de agosto de </w:t>
      </w:r>
      <w:r w:rsidR="00063B47" w:rsidRPr="002F50BD">
        <w:rPr>
          <w:rFonts w:ascii="Verdana" w:hAnsi="Verdana"/>
          <w:sz w:val="20"/>
          <w:lang w:val="pt-BR"/>
        </w:rPr>
        <w:t>1993</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 xml:space="preserve">solicitaram ao </w:t>
      </w:r>
      <w:r w:rsidR="004756C1" w:rsidRPr="002F50BD">
        <w:rPr>
          <w:rFonts w:ascii="Verdana" w:hAnsi="Verdana"/>
          <w:sz w:val="20"/>
          <w:lang w:val="pt-BR"/>
        </w:rPr>
        <w:t>INDI</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conhecimento dos senhores</w:t>
      </w:r>
      <w:r w:rsidR="004756C1" w:rsidRPr="002F50BD">
        <w:rPr>
          <w:rFonts w:ascii="Verdana" w:hAnsi="Verdana"/>
          <w:sz w:val="20"/>
          <w:lang w:val="pt-BR"/>
        </w:rPr>
        <w:t xml:space="preserve"> </w:t>
      </w:r>
      <w:r w:rsidR="00CD7100" w:rsidRPr="002F50BD">
        <w:rPr>
          <w:rFonts w:ascii="Verdana" w:hAnsi="Verdana"/>
          <w:sz w:val="20"/>
          <w:lang w:val="pt-BR"/>
        </w:rPr>
        <w:t>Tomás Galeano</w:t>
      </w:r>
      <w:r w:rsidRPr="002F50BD">
        <w:rPr>
          <w:rFonts w:ascii="Verdana" w:hAnsi="Verdana"/>
          <w:sz w:val="20"/>
          <w:lang w:val="pt-BR"/>
        </w:rPr>
        <w:t xml:space="preserve"> e </w:t>
      </w:r>
      <w:r w:rsidR="004756C1" w:rsidRPr="002F50BD">
        <w:rPr>
          <w:rFonts w:ascii="Verdana" w:hAnsi="Verdana"/>
          <w:sz w:val="20"/>
          <w:lang w:val="pt-BR"/>
        </w:rPr>
        <w:lastRenderedPageBreak/>
        <w:t>Esteban López como líderes</w:t>
      </w:r>
      <w:r w:rsidRPr="002F50BD">
        <w:rPr>
          <w:rFonts w:ascii="Verdana" w:hAnsi="Verdana"/>
          <w:sz w:val="20"/>
          <w:lang w:val="pt-BR"/>
        </w:rPr>
        <w:t xml:space="preserve"> da Comunidade e </w:t>
      </w:r>
      <w:r w:rsidR="0022481E" w:rsidRPr="002F50BD">
        <w:rPr>
          <w:rFonts w:ascii="Verdana" w:hAnsi="Verdana"/>
          <w:sz w:val="20"/>
          <w:lang w:val="pt-BR"/>
        </w:rPr>
        <w:t>sua inscrição</w:t>
      </w:r>
      <w:r w:rsidRPr="002F50BD">
        <w:rPr>
          <w:rFonts w:ascii="Verdana" w:hAnsi="Verdana"/>
          <w:sz w:val="20"/>
          <w:lang w:val="pt-BR"/>
        </w:rPr>
        <w:t xml:space="preserve"> no </w:t>
      </w:r>
      <w:r w:rsidR="004756C1" w:rsidRPr="002F50BD">
        <w:rPr>
          <w:rFonts w:ascii="Verdana" w:hAnsi="Verdana"/>
          <w:sz w:val="20"/>
          <w:lang w:val="pt-BR"/>
        </w:rPr>
        <w:t xml:space="preserve">Registro Nacional de Comunidades Indígenas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17</w:t>
      </w:r>
      <w:r w:rsidR="002E48ED"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002E48ED" w:rsidRPr="002F50BD">
        <w:rPr>
          <w:rFonts w:ascii="Verdana" w:hAnsi="Verdana"/>
          <w:sz w:val="20"/>
          <w:lang w:val="pt-BR"/>
        </w:rPr>
        <w:t xml:space="preserve">apenas em </w:t>
      </w:r>
      <w:r w:rsidR="00063B47" w:rsidRPr="002F50BD">
        <w:rPr>
          <w:rFonts w:ascii="Verdana" w:hAnsi="Verdana"/>
          <w:sz w:val="20"/>
          <w:lang w:val="pt-BR"/>
        </w:rPr>
        <w:t>18</w:t>
      </w:r>
      <w:r w:rsidR="004756C1" w:rsidRPr="002F50BD">
        <w:rPr>
          <w:rFonts w:ascii="Verdana" w:hAnsi="Verdana"/>
          <w:sz w:val="20"/>
          <w:lang w:val="pt-BR"/>
        </w:rPr>
        <w:t xml:space="preserve"> de </w:t>
      </w:r>
      <w:r w:rsidRPr="002F50BD">
        <w:rPr>
          <w:rFonts w:ascii="Verdana" w:hAnsi="Verdana"/>
          <w:sz w:val="20"/>
          <w:lang w:val="pt-BR"/>
        </w:rPr>
        <w:t>setembro</w:t>
      </w:r>
      <w:r w:rsidR="002E48ED" w:rsidRPr="002F50BD">
        <w:rPr>
          <w:rFonts w:ascii="Verdana" w:hAnsi="Verdana"/>
          <w:sz w:val="20"/>
          <w:lang w:val="pt-BR"/>
        </w:rPr>
        <w:t xml:space="preserve"> de </w:t>
      </w:r>
      <w:r w:rsidR="00063B47" w:rsidRPr="002F50BD">
        <w:rPr>
          <w:rFonts w:ascii="Verdana" w:hAnsi="Verdana"/>
          <w:sz w:val="20"/>
          <w:lang w:val="pt-BR"/>
        </w:rPr>
        <w:t>1996</w:t>
      </w:r>
      <w:r w:rsidR="002E48ED" w:rsidRPr="002F50BD">
        <w:rPr>
          <w:rFonts w:ascii="Verdana" w:hAnsi="Verdana"/>
          <w:sz w:val="20"/>
          <w:lang w:val="pt-BR"/>
        </w:rPr>
        <w:t xml:space="preserve"> </w:t>
      </w:r>
      <w:r w:rsidRPr="002F50BD">
        <w:rPr>
          <w:rFonts w:ascii="Verdana" w:hAnsi="Verdana"/>
          <w:sz w:val="20"/>
          <w:lang w:val="pt-BR"/>
        </w:rPr>
        <w:t xml:space="preserve">o </w:t>
      </w:r>
      <w:r w:rsidR="004756C1" w:rsidRPr="002F50BD">
        <w:rPr>
          <w:rFonts w:ascii="Verdana" w:hAnsi="Verdana"/>
          <w:sz w:val="20"/>
          <w:lang w:val="pt-BR"/>
        </w:rPr>
        <w:t xml:space="preserve">Presidente </w:t>
      </w:r>
      <w:r w:rsidRPr="002F50BD">
        <w:rPr>
          <w:rFonts w:ascii="Verdana" w:hAnsi="Verdana"/>
          <w:sz w:val="20"/>
          <w:lang w:val="pt-BR"/>
        </w:rPr>
        <w:t>do Conselho</w:t>
      </w:r>
      <w:r w:rsidR="004756C1" w:rsidRPr="002F50BD">
        <w:rPr>
          <w:rFonts w:ascii="Verdana" w:hAnsi="Verdana"/>
          <w:sz w:val="20"/>
          <w:lang w:val="pt-BR"/>
        </w:rPr>
        <w:t xml:space="preserve"> </w:t>
      </w:r>
      <w:r w:rsidRPr="002F50BD">
        <w:rPr>
          <w:rFonts w:ascii="Verdana" w:hAnsi="Verdana"/>
          <w:sz w:val="20"/>
          <w:lang w:val="pt-BR"/>
        </w:rPr>
        <w:t>Diret</w:t>
      </w:r>
      <w:r w:rsidR="004756C1" w:rsidRPr="002F50BD">
        <w:rPr>
          <w:rFonts w:ascii="Verdana" w:hAnsi="Verdana"/>
          <w:sz w:val="20"/>
          <w:lang w:val="pt-BR"/>
        </w:rPr>
        <w:t xml:space="preserve">ivo </w:t>
      </w:r>
      <w:r w:rsidRPr="002F50BD">
        <w:rPr>
          <w:rFonts w:ascii="Verdana" w:hAnsi="Verdana"/>
          <w:sz w:val="20"/>
          <w:lang w:val="pt-BR"/>
        </w:rPr>
        <w:t xml:space="preserve">do </w:t>
      </w:r>
      <w:r w:rsidR="004756C1" w:rsidRPr="002F50BD">
        <w:rPr>
          <w:rFonts w:ascii="Verdana" w:hAnsi="Verdana"/>
          <w:sz w:val="20"/>
          <w:lang w:val="pt-BR"/>
        </w:rPr>
        <w:t xml:space="preserve">INDI </w:t>
      </w:r>
      <w:r w:rsidRPr="002F50BD">
        <w:rPr>
          <w:rFonts w:ascii="Verdana" w:hAnsi="Verdana"/>
          <w:sz w:val="20"/>
          <w:lang w:val="pt-BR"/>
        </w:rPr>
        <w:t xml:space="preserve">emitiu uma </w:t>
      </w:r>
      <w:r w:rsidR="004756C1" w:rsidRPr="002F50BD">
        <w:rPr>
          <w:rFonts w:ascii="Verdana" w:hAnsi="Verdana"/>
          <w:sz w:val="20"/>
          <w:lang w:val="pt-BR"/>
        </w:rPr>
        <w:t>resolu</w:t>
      </w:r>
      <w:r w:rsidRPr="002F50BD">
        <w:rPr>
          <w:rFonts w:ascii="Verdana" w:hAnsi="Verdana"/>
          <w:sz w:val="20"/>
          <w:lang w:val="pt-BR"/>
        </w:rPr>
        <w:t>ção</w:t>
      </w:r>
      <w:r w:rsidR="004756C1" w:rsidRPr="002F50BD">
        <w:rPr>
          <w:rFonts w:ascii="Verdana" w:hAnsi="Verdana"/>
          <w:sz w:val="20"/>
          <w:lang w:val="pt-BR"/>
        </w:rPr>
        <w:t xml:space="preserve"> </w:t>
      </w:r>
      <w:r w:rsidR="002E48ED" w:rsidRPr="002F50BD">
        <w:rPr>
          <w:rFonts w:ascii="Verdana" w:hAnsi="Verdana"/>
          <w:sz w:val="20"/>
          <w:lang w:val="pt-BR"/>
        </w:rPr>
        <w:t>por meio d</w:t>
      </w:r>
      <w:r w:rsidRPr="002F50BD">
        <w:rPr>
          <w:rFonts w:ascii="Verdana" w:hAnsi="Verdana"/>
          <w:sz w:val="20"/>
          <w:lang w:val="pt-BR"/>
        </w:rPr>
        <w:t>a qual aceitou</w:t>
      </w:r>
      <w:r w:rsidR="004756C1" w:rsidRPr="002F50BD">
        <w:rPr>
          <w:rFonts w:ascii="Verdana" w:hAnsi="Verdana"/>
          <w:sz w:val="20"/>
          <w:lang w:val="pt-BR"/>
        </w:rPr>
        <w:t xml:space="preserve"> </w:t>
      </w:r>
      <w:r w:rsidRPr="002F50BD">
        <w:rPr>
          <w:rFonts w:ascii="Verdana" w:hAnsi="Verdana"/>
          <w:sz w:val="20"/>
          <w:lang w:val="pt-BR"/>
        </w:rPr>
        <w:t>esta</w:t>
      </w:r>
      <w:r w:rsidR="004756C1" w:rsidRPr="002F50BD">
        <w:rPr>
          <w:rFonts w:ascii="Verdana" w:hAnsi="Verdana"/>
          <w:sz w:val="20"/>
          <w:lang w:val="pt-BR"/>
        </w:rPr>
        <w:t xml:space="preserve"> </w:t>
      </w:r>
      <w:r w:rsidRPr="002F50BD">
        <w:rPr>
          <w:rFonts w:ascii="Verdana" w:hAnsi="Verdana"/>
          <w:sz w:val="20"/>
          <w:lang w:val="pt-BR"/>
        </w:rPr>
        <w:t xml:space="preserve">solicitação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18</w:t>
      </w:r>
      <w:r w:rsidR="002E48ED"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prazo</w:t>
      </w:r>
      <w:r w:rsidR="004756C1" w:rsidRPr="002F50BD">
        <w:rPr>
          <w:rFonts w:ascii="Verdana" w:hAnsi="Verdana"/>
          <w:sz w:val="20"/>
          <w:lang w:val="pt-BR"/>
        </w:rPr>
        <w:t xml:space="preserve"> de</w:t>
      </w:r>
      <w:r w:rsidRPr="002F50BD">
        <w:rPr>
          <w:rFonts w:ascii="Verdana" w:hAnsi="Verdana"/>
          <w:sz w:val="20"/>
          <w:lang w:val="pt-BR"/>
        </w:rPr>
        <w:t xml:space="preserve"> três anos</w:t>
      </w:r>
      <w:r w:rsidR="004756C1" w:rsidRPr="002F50BD">
        <w:rPr>
          <w:rFonts w:ascii="Verdana" w:hAnsi="Verdana"/>
          <w:sz w:val="20"/>
          <w:lang w:val="pt-BR"/>
        </w:rPr>
        <w:t>,</w:t>
      </w:r>
      <w:r w:rsidRPr="002F50BD">
        <w:rPr>
          <w:rFonts w:ascii="Verdana" w:hAnsi="Verdana"/>
          <w:sz w:val="20"/>
          <w:lang w:val="pt-BR"/>
        </w:rPr>
        <w:t xml:space="preserve"> um mês e três dia</w:t>
      </w:r>
      <w:r w:rsidR="004756C1" w:rsidRPr="002F50BD">
        <w:rPr>
          <w:rFonts w:ascii="Verdana" w:hAnsi="Verdana"/>
          <w:sz w:val="20"/>
          <w:lang w:val="pt-BR"/>
        </w:rPr>
        <w:t>s para resolver</w:t>
      </w:r>
      <w:r w:rsidRPr="002F50BD">
        <w:rPr>
          <w:rFonts w:ascii="Verdana" w:hAnsi="Verdana"/>
          <w:sz w:val="20"/>
          <w:lang w:val="pt-BR"/>
        </w:rPr>
        <w:t xml:space="preserve"> uma solicitação cuja</w:t>
      </w:r>
      <w:r w:rsidR="004756C1" w:rsidRPr="002F50BD">
        <w:rPr>
          <w:rFonts w:ascii="Verdana" w:hAnsi="Verdana"/>
          <w:sz w:val="20"/>
          <w:lang w:val="pt-BR"/>
        </w:rPr>
        <w:t xml:space="preserve"> </w:t>
      </w:r>
      <w:r w:rsidR="00C03ED8" w:rsidRPr="002F50BD">
        <w:rPr>
          <w:rFonts w:ascii="Verdana" w:hAnsi="Verdana"/>
          <w:sz w:val="20"/>
          <w:lang w:val="pt-BR"/>
        </w:rPr>
        <w:t>complexidade</w:t>
      </w:r>
      <w:r w:rsidR="004756C1" w:rsidRPr="002F50BD">
        <w:rPr>
          <w:rFonts w:ascii="Verdana" w:hAnsi="Verdana"/>
          <w:sz w:val="20"/>
          <w:lang w:val="pt-BR"/>
        </w:rPr>
        <w:t xml:space="preserve"> era mínima, </w:t>
      </w:r>
      <w:r w:rsidRPr="002F50BD">
        <w:rPr>
          <w:rFonts w:ascii="Verdana" w:hAnsi="Verdana"/>
          <w:sz w:val="20"/>
          <w:lang w:val="pt-BR"/>
        </w:rPr>
        <w:t>quando o prazo</w:t>
      </w:r>
      <w:r w:rsidR="004756C1" w:rsidRPr="002F50BD">
        <w:rPr>
          <w:rFonts w:ascii="Verdana" w:hAnsi="Verdana"/>
          <w:sz w:val="20"/>
          <w:lang w:val="pt-BR"/>
        </w:rPr>
        <w:t xml:space="preserve"> legal</w:t>
      </w:r>
      <w:r w:rsidRPr="002F50BD">
        <w:rPr>
          <w:rFonts w:ascii="Verdana" w:hAnsi="Verdana"/>
          <w:sz w:val="20"/>
          <w:lang w:val="pt-BR"/>
        </w:rPr>
        <w:t xml:space="preserve"> é </w:t>
      </w:r>
      <w:r w:rsidR="004756C1" w:rsidRPr="002F50BD">
        <w:rPr>
          <w:rFonts w:ascii="Verdana" w:hAnsi="Verdana"/>
          <w:sz w:val="20"/>
          <w:lang w:val="pt-BR"/>
        </w:rPr>
        <w:t xml:space="preserve">de </w:t>
      </w:r>
      <w:r w:rsidR="00951B61">
        <w:rPr>
          <w:rFonts w:ascii="Verdana" w:hAnsi="Verdana"/>
          <w:sz w:val="20"/>
          <w:lang w:val="pt-BR"/>
        </w:rPr>
        <w:t>30 dias</w:t>
      </w:r>
      <w:r w:rsidR="004756C1" w:rsidRPr="002F50BD">
        <w:rPr>
          <w:rFonts w:ascii="Verdana" w:hAnsi="Verdana"/>
          <w:sz w:val="20"/>
          <w:lang w:val="pt-BR"/>
        </w:rPr>
        <w:t xml:space="preserve">, </w:t>
      </w:r>
      <w:r w:rsidR="00D3773B" w:rsidRPr="002F50BD">
        <w:rPr>
          <w:rFonts w:ascii="Verdana" w:hAnsi="Verdana"/>
          <w:sz w:val="20"/>
          <w:lang w:val="pt-BR"/>
        </w:rPr>
        <w:t xml:space="preserve">desconsidera </w:t>
      </w:r>
      <w:r w:rsidRPr="002F50BD">
        <w:rPr>
          <w:rFonts w:ascii="Verdana" w:hAnsi="Verdana"/>
          <w:sz w:val="20"/>
          <w:lang w:val="pt-BR"/>
        </w:rPr>
        <w:t>o princípio</w:t>
      </w:r>
      <w:r w:rsidR="004756C1" w:rsidRPr="002F50BD">
        <w:rPr>
          <w:rFonts w:ascii="Verdana" w:hAnsi="Verdana"/>
          <w:sz w:val="20"/>
          <w:lang w:val="pt-BR"/>
        </w:rPr>
        <w:t xml:space="preserve"> </w:t>
      </w:r>
      <w:r w:rsidRPr="002F50BD">
        <w:rPr>
          <w:rFonts w:ascii="Verdana" w:hAnsi="Verdana"/>
          <w:sz w:val="20"/>
          <w:lang w:val="pt-BR"/>
        </w:rPr>
        <w:t>do prazo</w:t>
      </w:r>
      <w:r w:rsidR="004756C1" w:rsidRPr="002F50BD">
        <w:rPr>
          <w:rFonts w:ascii="Verdana" w:hAnsi="Verdana"/>
          <w:sz w:val="20"/>
          <w:lang w:val="pt-BR"/>
        </w:rPr>
        <w:t xml:space="preserve"> </w:t>
      </w:r>
      <w:r w:rsidR="002E48ED" w:rsidRPr="002F50BD">
        <w:rPr>
          <w:rFonts w:ascii="Verdana" w:hAnsi="Verdana"/>
          <w:sz w:val="20"/>
          <w:lang w:val="pt-BR"/>
        </w:rPr>
        <w:t>razoável.</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tabs>
          <w:tab w:val="left" w:pos="1800"/>
        </w:tabs>
        <w:ind w:left="1170"/>
        <w:jc w:val="both"/>
        <w:rPr>
          <w:rFonts w:ascii="Verdana" w:hAnsi="Verdana"/>
          <w:i/>
          <w:sz w:val="20"/>
          <w:lang w:val="pt-BR"/>
        </w:rPr>
      </w:pPr>
      <w:r w:rsidRPr="002F50BD">
        <w:rPr>
          <w:rFonts w:ascii="Verdana" w:hAnsi="Verdana"/>
          <w:sz w:val="20"/>
          <w:lang w:val="pt-BR"/>
        </w:rPr>
        <w:t>ii.</w:t>
      </w:r>
      <w:r w:rsidRPr="002F50BD">
        <w:rPr>
          <w:rFonts w:ascii="Verdana" w:hAnsi="Verdana"/>
          <w:sz w:val="20"/>
          <w:lang w:val="pt-BR"/>
        </w:rPr>
        <w:tab/>
      </w:r>
      <w:r w:rsidR="0089298C" w:rsidRPr="002F50BD">
        <w:rPr>
          <w:rFonts w:ascii="Verdana" w:hAnsi="Verdana"/>
          <w:sz w:val="20"/>
          <w:lang w:val="pt-BR"/>
        </w:rPr>
        <w:t>Processo</w:t>
      </w:r>
      <w:r w:rsidRPr="002F50BD">
        <w:rPr>
          <w:rFonts w:ascii="Verdana" w:hAnsi="Verdana"/>
          <w:sz w:val="20"/>
          <w:lang w:val="pt-BR"/>
        </w:rPr>
        <w:t xml:space="preserve"> de re</w:t>
      </w:r>
      <w:r w:rsidR="0089298C" w:rsidRPr="002F50BD">
        <w:rPr>
          <w:rFonts w:ascii="Verdana" w:hAnsi="Verdana"/>
          <w:sz w:val="20"/>
          <w:lang w:val="pt-BR"/>
        </w:rPr>
        <w:t>conhecimento</w:t>
      </w:r>
      <w:r w:rsidRPr="002F50BD">
        <w:rPr>
          <w:rFonts w:ascii="Verdana" w:hAnsi="Verdana"/>
          <w:sz w:val="20"/>
          <w:lang w:val="pt-BR"/>
        </w:rPr>
        <w:t xml:space="preserve"> d</w:t>
      </w:r>
      <w:r w:rsidR="002E48ED" w:rsidRPr="002F50BD">
        <w:rPr>
          <w:rFonts w:ascii="Verdana" w:hAnsi="Verdana"/>
          <w:sz w:val="20"/>
          <w:lang w:val="pt-BR"/>
        </w:rPr>
        <w:t>a</w:t>
      </w:r>
      <w:r w:rsidRPr="002F50BD">
        <w:rPr>
          <w:rFonts w:ascii="Verdana" w:hAnsi="Verdana"/>
          <w:sz w:val="20"/>
          <w:lang w:val="pt-BR"/>
        </w:rPr>
        <w:t xml:space="preserve"> </w:t>
      </w:r>
      <w:r w:rsidR="007801FA" w:rsidRPr="002F50BD">
        <w:rPr>
          <w:rFonts w:ascii="Verdana" w:hAnsi="Verdana"/>
          <w:sz w:val="20"/>
          <w:lang w:val="pt-BR"/>
        </w:rPr>
        <w:t>personalidade</w:t>
      </w:r>
      <w:r w:rsidRPr="002F50BD">
        <w:rPr>
          <w:rFonts w:ascii="Verdana" w:hAnsi="Verdana"/>
          <w:sz w:val="20"/>
          <w:lang w:val="pt-BR"/>
        </w:rPr>
        <w:t xml:space="preserve"> jurídica</w:t>
      </w:r>
    </w:p>
    <w:p w:rsidR="001C609B" w:rsidRPr="002F50BD" w:rsidRDefault="001C609B" w:rsidP="001C609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sz w:val="20"/>
          <w:lang w:val="pt-BR"/>
        </w:rPr>
      </w:pPr>
    </w:p>
    <w:p w:rsidR="004756C1" w:rsidRPr="002F50BD" w:rsidRDefault="0089298C">
      <w:pPr>
        <w:widowControl w:val="0"/>
        <w:numPr>
          <w:ilvl w:val="0"/>
          <w:numId w:val="2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sz w:val="20"/>
          <w:lang w:val="pt-BR"/>
        </w:rPr>
      </w:pPr>
      <w:r w:rsidRPr="002F50BD">
        <w:rPr>
          <w:rFonts w:ascii="Verdana" w:hAnsi="Verdana"/>
          <w:sz w:val="20"/>
          <w:lang w:val="pt-BR"/>
        </w:rPr>
        <w:t xml:space="preserve">As </w:t>
      </w:r>
      <w:r w:rsidR="004756C1" w:rsidRPr="002F50BD">
        <w:rPr>
          <w:rFonts w:ascii="Verdana" w:hAnsi="Verdana"/>
          <w:sz w:val="20"/>
          <w:lang w:val="pt-BR"/>
        </w:rPr>
        <w:t>normas pertinentes</w:t>
      </w:r>
      <w:r w:rsidRPr="002F50BD">
        <w:rPr>
          <w:rFonts w:ascii="Verdana" w:hAnsi="Verdana"/>
          <w:sz w:val="20"/>
          <w:lang w:val="pt-BR"/>
        </w:rPr>
        <w:t xml:space="preserve"> da </w:t>
      </w:r>
      <w:r w:rsidRPr="002F50BD">
        <w:rPr>
          <w:rFonts w:ascii="Verdana" w:eastAsia="Times New Roman" w:hAnsi="Verdana"/>
          <w:sz w:val="20"/>
          <w:lang w:val="pt-BR"/>
        </w:rPr>
        <w:t>Lei</w:t>
      </w:r>
      <w:r w:rsidR="00FC6B22" w:rsidRPr="002F50BD">
        <w:rPr>
          <w:rFonts w:ascii="Verdana" w:eastAsia="Times New Roman" w:hAnsi="Verdana"/>
          <w:sz w:val="20"/>
          <w:lang w:val="pt-BR"/>
        </w:rPr>
        <w:t xml:space="preserve"> </w:t>
      </w:r>
      <w:r w:rsidR="00063B47" w:rsidRPr="002F50BD">
        <w:rPr>
          <w:rFonts w:ascii="Verdana" w:eastAsia="Times New Roman" w:hAnsi="Verdana"/>
          <w:sz w:val="20"/>
          <w:lang w:val="pt-BR"/>
        </w:rPr>
        <w:t>nº</w:t>
      </w:r>
      <w:r w:rsidR="00FC6B22" w:rsidRPr="002F50BD">
        <w:rPr>
          <w:rFonts w:ascii="Verdana" w:eastAsia="Times New Roman" w:hAnsi="Verdana"/>
          <w:sz w:val="20"/>
          <w:lang w:val="pt-BR"/>
        </w:rPr>
        <w:t xml:space="preserve"> </w:t>
      </w:r>
      <w:r w:rsidR="00063B47" w:rsidRPr="002F50BD">
        <w:rPr>
          <w:rFonts w:ascii="Verdana" w:eastAsia="Times New Roman" w:hAnsi="Verdana"/>
          <w:sz w:val="20"/>
          <w:lang w:val="pt-BR"/>
        </w:rPr>
        <w:t>904</w:t>
      </w:r>
      <w:r w:rsidR="004756C1" w:rsidRPr="002F50BD">
        <w:rPr>
          <w:rFonts w:ascii="Verdana" w:eastAsia="Times New Roman" w:hAnsi="Verdana"/>
          <w:sz w:val="20"/>
          <w:lang w:val="pt-BR"/>
        </w:rPr>
        <w:t>/</w:t>
      </w:r>
      <w:r w:rsidR="00063B47" w:rsidRPr="002F50BD">
        <w:rPr>
          <w:rFonts w:ascii="Verdana" w:eastAsia="Times New Roman" w:hAnsi="Verdana"/>
          <w:sz w:val="20"/>
          <w:lang w:val="pt-BR"/>
        </w:rPr>
        <w:t>81</w:t>
      </w:r>
      <w:r w:rsidR="004756C1" w:rsidRPr="002F50BD">
        <w:rPr>
          <w:rFonts w:ascii="Verdana" w:eastAsia="Times New Roman" w:hAnsi="Verdana"/>
          <w:sz w:val="20"/>
          <w:lang w:val="pt-BR"/>
        </w:rPr>
        <w:t xml:space="preserve"> </w:t>
      </w:r>
      <w:r w:rsidRPr="002F50BD">
        <w:rPr>
          <w:rFonts w:ascii="Verdana" w:eastAsia="Times New Roman" w:hAnsi="Verdana"/>
          <w:sz w:val="20"/>
          <w:lang w:val="pt-BR"/>
        </w:rPr>
        <w:t xml:space="preserve">afirmam </w:t>
      </w:r>
      <w:r w:rsidR="004756C1" w:rsidRPr="002F50BD">
        <w:rPr>
          <w:rFonts w:ascii="Verdana" w:eastAsia="Times New Roman" w:hAnsi="Verdana"/>
          <w:sz w:val="20"/>
          <w:lang w:val="pt-BR"/>
        </w:rPr>
        <w:t>que:</w:t>
      </w:r>
    </w:p>
    <w:p w:rsidR="004756C1" w:rsidRPr="002F50BD" w:rsidRDefault="004756C1">
      <w:pPr>
        <w:ind w:left="810" w:right="450"/>
        <w:jc w:val="both"/>
        <w:rPr>
          <w:rFonts w:ascii="Verdana" w:hAnsi="Verdana"/>
          <w:sz w:val="20"/>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9</w:t>
      </w:r>
      <w:r w:rsidR="00D95E71" w:rsidRPr="002F50BD">
        <w:rPr>
          <w:rFonts w:ascii="Verdana" w:eastAsia="Times New Roman" w:hAnsi="Verdana"/>
          <w:sz w:val="16"/>
          <w:lang w:val="pt-BR"/>
        </w:rPr>
        <w:t>.- O</w:t>
      </w:r>
      <w:r w:rsidRPr="002F50BD">
        <w:rPr>
          <w:rFonts w:ascii="Verdana" w:eastAsia="Times New Roman" w:hAnsi="Verdana"/>
          <w:sz w:val="16"/>
          <w:lang w:val="pt-BR"/>
        </w:rPr>
        <w:t xml:space="preserve"> </w:t>
      </w:r>
      <w:r w:rsidR="004756C1" w:rsidRPr="002F50BD">
        <w:rPr>
          <w:rFonts w:ascii="Verdana" w:eastAsia="Times New Roman" w:hAnsi="Verdana"/>
          <w:sz w:val="16"/>
          <w:lang w:val="pt-BR"/>
        </w:rPr>
        <w:t>pedido de re</w:t>
      </w:r>
      <w:r w:rsidRPr="002F50BD">
        <w:rPr>
          <w:rFonts w:ascii="Verdana" w:eastAsia="Times New Roman" w:hAnsi="Verdana"/>
          <w:sz w:val="16"/>
          <w:lang w:val="pt-BR"/>
        </w:rPr>
        <w:t xml:space="preserve">conhecimento da </w:t>
      </w:r>
      <w:r w:rsidR="007801FA" w:rsidRPr="002F50BD">
        <w:rPr>
          <w:rFonts w:ascii="Verdana" w:eastAsia="Times New Roman" w:hAnsi="Verdana"/>
          <w:sz w:val="16"/>
          <w:lang w:val="pt-BR"/>
        </w:rPr>
        <w:t>personalidade</w:t>
      </w:r>
      <w:r w:rsidR="004756C1" w:rsidRPr="002F50BD">
        <w:rPr>
          <w:rFonts w:ascii="Verdana" w:eastAsia="Times New Roman" w:hAnsi="Verdana"/>
          <w:sz w:val="16"/>
          <w:lang w:val="pt-BR"/>
        </w:rPr>
        <w:t xml:space="preserve"> jurídica será</w:t>
      </w:r>
      <w:r w:rsidRPr="002F50BD">
        <w:rPr>
          <w:rFonts w:ascii="Verdana" w:eastAsia="Times New Roman" w:hAnsi="Verdana"/>
          <w:sz w:val="16"/>
          <w:lang w:val="pt-BR"/>
        </w:rPr>
        <w:t xml:space="preserve"> apresentado </w:t>
      </w:r>
      <w:r w:rsidR="00D95E71" w:rsidRPr="002F50BD">
        <w:rPr>
          <w:rFonts w:ascii="Verdana" w:eastAsia="Times New Roman" w:hAnsi="Verdana"/>
          <w:sz w:val="16"/>
          <w:lang w:val="pt-BR"/>
        </w:rPr>
        <w:t>a</w:t>
      </w:r>
      <w:r w:rsidRPr="002F50BD">
        <w:rPr>
          <w:rFonts w:ascii="Verdana" w:eastAsia="Times New Roman" w:hAnsi="Verdana"/>
          <w:sz w:val="16"/>
          <w:lang w:val="pt-BR"/>
        </w:rPr>
        <w:t xml:space="preserve">o </w:t>
      </w:r>
      <w:r w:rsidR="004756C1" w:rsidRPr="002F50BD">
        <w:rPr>
          <w:rFonts w:ascii="Verdana" w:eastAsia="Times New Roman" w:hAnsi="Verdana"/>
          <w:sz w:val="16"/>
          <w:lang w:val="pt-BR"/>
        </w:rPr>
        <w:t xml:space="preserve">Instituto </w:t>
      </w:r>
      <w:r w:rsidRPr="002F50BD">
        <w:rPr>
          <w:rFonts w:ascii="Verdana" w:eastAsia="Times New Roman" w:hAnsi="Verdana"/>
          <w:sz w:val="16"/>
          <w:lang w:val="pt-BR"/>
        </w:rPr>
        <w:t>Paraguai</w:t>
      </w:r>
      <w:r w:rsidR="004756C1" w:rsidRPr="002F50BD">
        <w:rPr>
          <w:rFonts w:ascii="Verdana" w:eastAsia="Times New Roman" w:hAnsi="Verdana"/>
          <w:sz w:val="16"/>
          <w:lang w:val="pt-BR"/>
        </w:rPr>
        <w:t xml:space="preserve">o </w:t>
      </w:r>
      <w:r w:rsidRPr="002F50BD">
        <w:rPr>
          <w:rFonts w:ascii="Verdana" w:eastAsia="Times New Roman" w:hAnsi="Verdana"/>
          <w:sz w:val="16"/>
          <w:lang w:val="pt-BR"/>
        </w:rPr>
        <w:t xml:space="preserve">do </w:t>
      </w:r>
      <w:r w:rsidR="004756C1" w:rsidRPr="002F50BD">
        <w:rPr>
          <w:rFonts w:ascii="Verdana" w:eastAsia="Times New Roman" w:hAnsi="Verdana"/>
          <w:sz w:val="16"/>
          <w:lang w:val="pt-BR"/>
        </w:rPr>
        <w:t>Indígena</w:t>
      </w:r>
      <w:r w:rsidRPr="002F50BD">
        <w:rPr>
          <w:rFonts w:ascii="Verdana" w:eastAsia="Times New Roman" w:hAnsi="Verdana"/>
          <w:sz w:val="16"/>
          <w:lang w:val="pt-BR"/>
        </w:rPr>
        <w:t xml:space="preserve"> </w:t>
      </w:r>
      <w:r w:rsidR="00367FD1" w:rsidRPr="002F50BD">
        <w:rPr>
          <w:rFonts w:ascii="Verdana" w:eastAsia="Times New Roman" w:hAnsi="Verdana"/>
          <w:sz w:val="16"/>
          <w:lang w:val="pt-BR"/>
        </w:rPr>
        <w:t>pelos</w:t>
      </w:r>
      <w:r w:rsidR="00AB6727" w:rsidRPr="002F50BD">
        <w:rPr>
          <w:rFonts w:ascii="Verdana" w:eastAsia="Times New Roman" w:hAnsi="Verdana"/>
          <w:sz w:val="16"/>
          <w:lang w:val="pt-BR"/>
        </w:rPr>
        <w:t xml:space="preserve"> </w:t>
      </w:r>
      <w:r w:rsidR="004756C1" w:rsidRPr="002F50BD">
        <w:rPr>
          <w:rFonts w:ascii="Verdana" w:eastAsia="Times New Roman" w:hAnsi="Verdana"/>
          <w:sz w:val="16"/>
          <w:lang w:val="pt-BR"/>
        </w:rPr>
        <w:t>líderes</w:t>
      </w:r>
      <w:r w:rsidRPr="002F50BD">
        <w:rPr>
          <w:rFonts w:ascii="Verdana" w:eastAsia="Times New Roman" w:hAnsi="Verdana"/>
          <w:sz w:val="16"/>
          <w:lang w:val="pt-BR"/>
        </w:rPr>
        <w:t xml:space="preserve"> da </w:t>
      </w:r>
      <w:r w:rsidR="004756C1" w:rsidRPr="002F50BD">
        <w:rPr>
          <w:rFonts w:ascii="Verdana" w:eastAsia="Times New Roman" w:hAnsi="Verdana"/>
          <w:sz w:val="16"/>
          <w:lang w:val="pt-BR"/>
        </w:rPr>
        <w:t>comu</w:t>
      </w:r>
      <w:r w:rsidR="00AB454A" w:rsidRPr="002F50BD">
        <w:rPr>
          <w:rFonts w:ascii="Verdana" w:eastAsia="Times New Roman" w:hAnsi="Verdana"/>
          <w:sz w:val="16"/>
          <w:lang w:val="pt-BR"/>
        </w:rPr>
        <w:t xml:space="preserve">nidade, </w:t>
      </w:r>
      <w:r w:rsidRPr="002F50BD">
        <w:rPr>
          <w:rFonts w:ascii="Verdana" w:eastAsia="Times New Roman" w:hAnsi="Verdana"/>
          <w:sz w:val="16"/>
          <w:lang w:val="pt-BR"/>
        </w:rPr>
        <w:t>com os seguinte</w:t>
      </w:r>
      <w:r w:rsidR="004756C1" w:rsidRPr="002F50BD">
        <w:rPr>
          <w:rFonts w:ascii="Verdana" w:eastAsia="Times New Roman" w:hAnsi="Verdana"/>
          <w:sz w:val="16"/>
          <w:lang w:val="pt-BR"/>
        </w:rPr>
        <w:t xml:space="preserve">s </w:t>
      </w:r>
      <w:r w:rsidRPr="002F50BD">
        <w:rPr>
          <w:rFonts w:ascii="Verdana" w:eastAsia="Times New Roman" w:hAnsi="Verdana"/>
          <w:sz w:val="16"/>
          <w:lang w:val="pt-BR"/>
        </w:rPr>
        <w:t>dado</w:t>
      </w:r>
      <w:r w:rsidR="004756C1" w:rsidRPr="002F50BD">
        <w:rPr>
          <w:rFonts w:ascii="Verdana" w:eastAsia="Times New Roman" w:hAnsi="Verdana"/>
          <w:sz w:val="16"/>
          <w:lang w:val="pt-BR"/>
        </w:rPr>
        <w:t>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r w:rsidRPr="002F50BD">
        <w:rPr>
          <w:rFonts w:ascii="Verdana" w:eastAsia="Times New Roman" w:hAnsi="Verdana"/>
          <w:sz w:val="16"/>
          <w:lang w:val="pt-BR"/>
        </w:rPr>
        <w:t>a</w:t>
      </w:r>
      <w:r w:rsidR="00CF451D" w:rsidRPr="00CF451D">
        <w:rPr>
          <w:rFonts w:ascii="Verdana" w:eastAsia="Times New Roman" w:hAnsi="Verdana"/>
          <w:sz w:val="16"/>
          <w:lang w:val="pt-BR"/>
        </w:rPr>
        <w:t>)</w:t>
      </w:r>
      <w:r w:rsidRPr="002F50BD">
        <w:rPr>
          <w:rFonts w:ascii="Verdana" w:eastAsia="Times New Roman" w:hAnsi="Verdana"/>
          <w:sz w:val="16"/>
          <w:lang w:val="pt-BR"/>
        </w:rPr>
        <w:tab/>
        <w:t>denomina</w:t>
      </w:r>
      <w:r w:rsidR="0089298C" w:rsidRPr="002F50BD">
        <w:rPr>
          <w:rFonts w:ascii="Verdana" w:eastAsia="Times New Roman" w:hAnsi="Verdana"/>
          <w:sz w:val="16"/>
          <w:lang w:val="pt-BR"/>
        </w:rPr>
        <w:t xml:space="preserve">ção da </w:t>
      </w:r>
      <w:r w:rsidRPr="002F50BD">
        <w:rPr>
          <w:rFonts w:ascii="Verdana" w:eastAsia="Times New Roman" w:hAnsi="Verdana"/>
          <w:sz w:val="16"/>
          <w:lang w:val="pt-BR"/>
        </w:rPr>
        <w:t>comunidad</w:t>
      </w:r>
      <w:r w:rsidR="00D95E71" w:rsidRPr="002F50BD">
        <w:rPr>
          <w:rFonts w:ascii="Verdana" w:eastAsia="Times New Roman" w:hAnsi="Verdana"/>
          <w:sz w:val="16"/>
          <w:lang w:val="pt-BR"/>
        </w:rPr>
        <w:t>e</w:t>
      </w:r>
      <w:r w:rsidRPr="002F50BD">
        <w:rPr>
          <w:rFonts w:ascii="Verdana" w:eastAsia="Times New Roman" w:hAnsi="Verdana"/>
          <w:sz w:val="16"/>
          <w:lang w:val="pt-BR"/>
        </w:rPr>
        <w:t xml:space="preserve">; </w:t>
      </w:r>
      <w:r w:rsidR="00D95E71" w:rsidRPr="002F50BD">
        <w:rPr>
          <w:rFonts w:ascii="Verdana" w:eastAsia="Times New Roman" w:hAnsi="Verdana"/>
          <w:sz w:val="16"/>
          <w:lang w:val="pt-BR"/>
        </w:rPr>
        <w:t xml:space="preserve">lista </w:t>
      </w:r>
      <w:r w:rsidR="0089298C" w:rsidRPr="002F50BD">
        <w:rPr>
          <w:rFonts w:ascii="Verdana" w:eastAsia="Times New Roman" w:hAnsi="Verdana"/>
          <w:sz w:val="16"/>
          <w:lang w:val="pt-BR"/>
        </w:rPr>
        <w:t xml:space="preserve">das </w:t>
      </w:r>
      <w:r w:rsidR="005A6BC7" w:rsidRPr="002F50BD">
        <w:rPr>
          <w:rFonts w:ascii="Verdana" w:eastAsia="Times New Roman" w:hAnsi="Verdana"/>
          <w:sz w:val="16"/>
          <w:lang w:val="pt-BR"/>
        </w:rPr>
        <w:t>família</w:t>
      </w:r>
      <w:r w:rsidRPr="002F50BD">
        <w:rPr>
          <w:rFonts w:ascii="Verdana" w:eastAsia="Times New Roman" w:hAnsi="Verdana"/>
          <w:sz w:val="16"/>
          <w:lang w:val="pt-BR"/>
        </w:rPr>
        <w:t>s</w:t>
      </w:r>
      <w:r w:rsidR="0089298C" w:rsidRPr="002F50BD">
        <w:rPr>
          <w:rFonts w:ascii="Verdana" w:eastAsia="Times New Roman" w:hAnsi="Verdana"/>
          <w:sz w:val="16"/>
          <w:lang w:val="pt-BR"/>
        </w:rPr>
        <w:t xml:space="preserve"> e </w:t>
      </w:r>
      <w:r w:rsidR="00AB454A" w:rsidRPr="002F50BD">
        <w:rPr>
          <w:rFonts w:ascii="Verdana" w:eastAsia="Times New Roman" w:hAnsi="Verdana"/>
          <w:sz w:val="16"/>
          <w:lang w:val="pt-BR"/>
        </w:rPr>
        <w:t>seus membros</w:t>
      </w:r>
      <w:r w:rsidRPr="002F50BD">
        <w:rPr>
          <w:rFonts w:ascii="Verdana" w:eastAsia="Times New Roman" w:hAnsi="Verdana"/>
          <w:sz w:val="16"/>
          <w:lang w:val="pt-BR"/>
        </w:rPr>
        <w:t>,</w:t>
      </w:r>
      <w:r w:rsidR="0089298C" w:rsidRPr="002F50BD">
        <w:rPr>
          <w:rFonts w:ascii="Verdana" w:eastAsia="Times New Roman" w:hAnsi="Verdana"/>
          <w:sz w:val="16"/>
          <w:lang w:val="pt-BR"/>
        </w:rPr>
        <w:t xml:space="preserve"> com </w:t>
      </w:r>
      <w:r w:rsidR="006603BE" w:rsidRPr="002F50BD">
        <w:rPr>
          <w:rFonts w:ascii="Verdana" w:eastAsia="Times New Roman" w:hAnsi="Verdana"/>
          <w:sz w:val="16"/>
          <w:lang w:val="pt-BR"/>
        </w:rPr>
        <w:t>informação sobre</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idade</w:t>
      </w:r>
      <w:r w:rsidRPr="002F50BD">
        <w:rPr>
          <w:rFonts w:ascii="Verdana" w:eastAsia="Times New Roman" w:hAnsi="Verdana"/>
          <w:sz w:val="16"/>
          <w:lang w:val="pt-BR"/>
        </w:rPr>
        <w:t>, estado civil</w:t>
      </w:r>
      <w:r w:rsidR="0089298C" w:rsidRPr="002F50BD">
        <w:rPr>
          <w:rFonts w:ascii="Verdana" w:eastAsia="Times New Roman" w:hAnsi="Verdana"/>
          <w:sz w:val="16"/>
          <w:lang w:val="pt-BR"/>
        </w:rPr>
        <w:t xml:space="preserve"> e </w:t>
      </w:r>
      <w:r w:rsidRPr="002F50BD">
        <w:rPr>
          <w:rFonts w:ascii="Verdana" w:eastAsia="Times New Roman" w:hAnsi="Verdana"/>
          <w:sz w:val="16"/>
          <w:lang w:val="pt-BR"/>
        </w:rPr>
        <w:t>sexo;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r w:rsidRPr="002F50BD">
        <w:rPr>
          <w:rFonts w:ascii="Verdana" w:eastAsia="Times New Roman" w:hAnsi="Verdana"/>
          <w:sz w:val="16"/>
          <w:lang w:val="pt-BR"/>
        </w:rPr>
        <w:t>b</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89298C" w:rsidRPr="002F50BD">
        <w:rPr>
          <w:rFonts w:ascii="Verdana" w:eastAsia="Times New Roman" w:hAnsi="Verdana"/>
          <w:sz w:val="16"/>
          <w:lang w:val="pt-BR"/>
        </w:rPr>
        <w:t>localização</w:t>
      </w:r>
      <w:r w:rsidRPr="002F50BD">
        <w:rPr>
          <w:rFonts w:ascii="Verdana" w:eastAsia="Times New Roman" w:hAnsi="Verdana"/>
          <w:sz w:val="16"/>
          <w:lang w:val="pt-BR"/>
        </w:rPr>
        <w:t xml:space="preserve"> geográfica</w:t>
      </w:r>
      <w:r w:rsidR="0089298C" w:rsidRPr="002F50BD">
        <w:rPr>
          <w:rFonts w:ascii="Verdana" w:eastAsia="Times New Roman" w:hAnsi="Verdana"/>
          <w:sz w:val="16"/>
          <w:lang w:val="pt-BR"/>
        </w:rPr>
        <w:t xml:space="preserve"> da comunidade</w:t>
      </w:r>
      <w:r w:rsidR="00D3773B" w:rsidRPr="002F50BD">
        <w:rPr>
          <w:rFonts w:ascii="Verdana" w:eastAsia="Times New Roman" w:hAnsi="Verdana"/>
          <w:sz w:val="16"/>
          <w:lang w:val="pt-BR"/>
        </w:rPr>
        <w:t>,</w:t>
      </w:r>
      <w:r w:rsidR="0089298C" w:rsidRPr="002F50BD">
        <w:rPr>
          <w:rFonts w:ascii="Verdana" w:eastAsia="Times New Roman" w:hAnsi="Verdana"/>
          <w:sz w:val="16"/>
          <w:lang w:val="pt-BR"/>
        </w:rPr>
        <w:t xml:space="preserve"> se ela é </w:t>
      </w:r>
      <w:r w:rsidRPr="002F50BD">
        <w:rPr>
          <w:rFonts w:ascii="Verdana" w:eastAsia="Times New Roman" w:hAnsi="Verdana"/>
          <w:sz w:val="16"/>
          <w:lang w:val="pt-BR"/>
        </w:rPr>
        <w:t>permanente, o</w:t>
      </w:r>
      <w:r w:rsidR="00D95E71" w:rsidRPr="002F50BD">
        <w:rPr>
          <w:rFonts w:ascii="Verdana" w:eastAsia="Times New Roman" w:hAnsi="Verdana"/>
          <w:sz w:val="16"/>
          <w:lang w:val="pt-BR"/>
        </w:rPr>
        <w:t>u</w:t>
      </w:r>
      <w:r w:rsidR="0089298C" w:rsidRPr="002F50BD">
        <w:rPr>
          <w:rFonts w:ascii="Verdana" w:eastAsia="Times New Roman" w:hAnsi="Verdana"/>
          <w:sz w:val="16"/>
          <w:lang w:val="pt-BR"/>
        </w:rPr>
        <w:t xml:space="preserve"> dos sítio</w:t>
      </w:r>
      <w:r w:rsidRPr="002F50BD">
        <w:rPr>
          <w:rFonts w:ascii="Verdana" w:eastAsia="Times New Roman" w:hAnsi="Verdana"/>
          <w:sz w:val="16"/>
          <w:lang w:val="pt-BR"/>
        </w:rPr>
        <w:t>s</w:t>
      </w:r>
      <w:r w:rsidR="00FE08B7">
        <w:rPr>
          <w:rFonts w:ascii="Verdana" w:eastAsia="Times New Roman" w:hAnsi="Verdana"/>
          <w:sz w:val="16"/>
          <w:lang w:val="pt-BR"/>
        </w:rPr>
        <w:t xml:space="preserve"> </w:t>
      </w:r>
      <w:r w:rsidRPr="002F50BD">
        <w:rPr>
          <w:rFonts w:ascii="Verdana" w:eastAsia="Times New Roman" w:hAnsi="Verdana"/>
          <w:sz w:val="16"/>
          <w:lang w:val="pt-BR"/>
        </w:rPr>
        <w:t>fre</w:t>
      </w:r>
      <w:r w:rsidR="00D95E71" w:rsidRPr="002F50BD">
        <w:rPr>
          <w:rFonts w:ascii="Verdana" w:eastAsia="Times New Roman" w:hAnsi="Verdana"/>
          <w:sz w:val="16"/>
          <w:lang w:val="pt-BR"/>
        </w:rPr>
        <w:t>q</w:t>
      </w:r>
      <w:r w:rsidR="006603BE" w:rsidRPr="002F50BD">
        <w:rPr>
          <w:rFonts w:ascii="Verdana" w:eastAsia="Times New Roman" w:hAnsi="Verdana"/>
          <w:sz w:val="16"/>
          <w:lang w:val="pt-BR"/>
        </w:rPr>
        <w:t>u</w:t>
      </w:r>
      <w:r w:rsidRPr="002F50BD">
        <w:rPr>
          <w:rFonts w:ascii="Verdana" w:eastAsia="Times New Roman" w:hAnsi="Verdana"/>
          <w:sz w:val="16"/>
          <w:lang w:val="pt-BR"/>
        </w:rPr>
        <w:t>entados</w:t>
      </w:r>
      <w:r w:rsidR="0089298C" w:rsidRPr="002F50BD">
        <w:rPr>
          <w:rFonts w:ascii="Verdana" w:eastAsia="Times New Roman" w:hAnsi="Verdana"/>
          <w:sz w:val="16"/>
          <w:lang w:val="pt-BR"/>
        </w:rPr>
        <w:t xml:space="preserve"> pela mesm</w:t>
      </w:r>
      <w:r w:rsidRPr="002F50BD">
        <w:rPr>
          <w:rFonts w:ascii="Verdana" w:eastAsia="Times New Roman" w:hAnsi="Verdana"/>
          <w:sz w:val="16"/>
          <w:lang w:val="pt-BR"/>
        </w:rPr>
        <w:t xml:space="preserve">a, </w:t>
      </w:r>
      <w:r w:rsidR="0089298C" w:rsidRPr="002F50BD">
        <w:rPr>
          <w:rFonts w:ascii="Verdana" w:eastAsia="Times New Roman" w:hAnsi="Verdana"/>
          <w:sz w:val="16"/>
          <w:lang w:val="pt-BR"/>
        </w:rPr>
        <w:t>quando</w:t>
      </w:r>
      <w:r w:rsidRPr="002F50BD">
        <w:rPr>
          <w:rFonts w:ascii="Verdana" w:eastAsia="Times New Roman" w:hAnsi="Verdana"/>
          <w:sz w:val="16"/>
          <w:lang w:val="pt-BR"/>
        </w:rPr>
        <w:t xml:space="preserve"> n</w:t>
      </w:r>
      <w:r w:rsidR="00D95E71" w:rsidRPr="002F50BD">
        <w:rPr>
          <w:rFonts w:ascii="Verdana" w:eastAsia="Times New Roman" w:hAnsi="Verdana"/>
          <w:sz w:val="16"/>
          <w:lang w:val="pt-BR"/>
        </w:rPr>
        <w:t>ão o seja</w:t>
      </w:r>
      <w:r w:rsidR="0089298C" w:rsidRPr="002F50BD">
        <w:rPr>
          <w:rFonts w:ascii="Verdana" w:eastAsia="Times New Roman" w:hAnsi="Verdana"/>
          <w:sz w:val="16"/>
          <w:lang w:val="pt-BR"/>
        </w:rPr>
        <w:t>; 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r w:rsidRPr="002F50BD">
        <w:rPr>
          <w:rFonts w:ascii="Verdana" w:eastAsia="Times New Roman" w:hAnsi="Verdana"/>
          <w:sz w:val="16"/>
          <w:lang w:val="pt-BR"/>
        </w:rPr>
        <w:t>c</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89298C" w:rsidRPr="002F50BD">
        <w:rPr>
          <w:rFonts w:ascii="Verdana" w:eastAsia="Times New Roman" w:hAnsi="Verdana"/>
          <w:sz w:val="16"/>
          <w:lang w:val="pt-BR"/>
        </w:rPr>
        <w:t xml:space="preserve">nome dos </w:t>
      </w:r>
      <w:r w:rsidRPr="002F50BD">
        <w:rPr>
          <w:rFonts w:ascii="Verdana" w:eastAsia="Times New Roman" w:hAnsi="Verdana"/>
          <w:sz w:val="16"/>
          <w:lang w:val="pt-BR"/>
        </w:rPr>
        <w:t>líderes</w:t>
      </w:r>
      <w:r w:rsidR="0089298C" w:rsidRPr="002F50BD">
        <w:rPr>
          <w:rFonts w:ascii="Verdana" w:eastAsia="Times New Roman" w:hAnsi="Verdana"/>
          <w:sz w:val="16"/>
          <w:lang w:val="pt-BR"/>
        </w:rPr>
        <w:t xml:space="preserve"> da comunidade e </w:t>
      </w:r>
      <w:r w:rsidRPr="002F50BD">
        <w:rPr>
          <w:rFonts w:ascii="Verdana" w:eastAsia="Times New Roman" w:hAnsi="Verdana"/>
          <w:sz w:val="16"/>
          <w:lang w:val="pt-BR"/>
        </w:rPr>
        <w:t>justifica</w:t>
      </w:r>
      <w:r w:rsidR="0089298C" w:rsidRPr="002F50BD">
        <w:rPr>
          <w:rFonts w:ascii="Verdana" w:eastAsia="Times New Roman" w:hAnsi="Verdana"/>
          <w:sz w:val="16"/>
          <w:lang w:val="pt-BR"/>
        </w:rPr>
        <w:t>ção</w:t>
      </w:r>
      <w:r w:rsidRPr="002F50BD">
        <w:rPr>
          <w:rFonts w:ascii="Verdana" w:eastAsia="Times New Roman" w:hAnsi="Verdana"/>
          <w:sz w:val="16"/>
          <w:lang w:val="pt-BR"/>
        </w:rPr>
        <w:t xml:space="preserve"> de </w:t>
      </w:r>
      <w:r w:rsidR="00D95E71" w:rsidRPr="002F50BD">
        <w:rPr>
          <w:rFonts w:ascii="Verdana" w:eastAsia="Times New Roman" w:hAnsi="Verdana"/>
          <w:sz w:val="16"/>
          <w:lang w:val="pt-BR"/>
        </w:rPr>
        <w:t>sua autoridade</w:t>
      </w:r>
      <w:r w:rsidRPr="002F50BD">
        <w:rPr>
          <w:rFonts w:ascii="Verdana" w:eastAsia="Times New Roman"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10</w:t>
      </w:r>
      <w:r w:rsidR="00D95E71" w:rsidRPr="002F50BD">
        <w:rPr>
          <w:rFonts w:ascii="Verdana" w:eastAsia="Times New Roman" w:hAnsi="Verdana"/>
          <w:sz w:val="16"/>
          <w:lang w:val="pt-BR"/>
        </w:rPr>
        <w:t>.- O</w:t>
      </w:r>
      <w:r w:rsidRPr="002F50BD">
        <w:rPr>
          <w:rFonts w:ascii="Verdana" w:eastAsia="Times New Roman" w:hAnsi="Verdana"/>
          <w:sz w:val="16"/>
          <w:lang w:val="pt-BR"/>
        </w:rPr>
        <w:t xml:space="preserve"> </w:t>
      </w:r>
      <w:r w:rsidR="004756C1" w:rsidRPr="002F50BD">
        <w:rPr>
          <w:rFonts w:ascii="Verdana" w:eastAsia="Times New Roman" w:hAnsi="Verdana"/>
          <w:sz w:val="16"/>
          <w:lang w:val="pt-BR"/>
        </w:rPr>
        <w:t>Instituto,</w:t>
      </w:r>
      <w:r w:rsidRPr="002F50BD">
        <w:rPr>
          <w:rFonts w:ascii="Verdana" w:eastAsia="Times New Roman" w:hAnsi="Verdana"/>
          <w:sz w:val="16"/>
          <w:lang w:val="pt-BR"/>
        </w:rPr>
        <w:t xml:space="preserve"> em um </w:t>
      </w:r>
      <w:r w:rsidR="00D95E71" w:rsidRPr="002F50BD">
        <w:rPr>
          <w:rFonts w:ascii="Verdana" w:eastAsia="Times New Roman" w:hAnsi="Verdana"/>
          <w:sz w:val="16"/>
          <w:lang w:val="pt-BR"/>
        </w:rPr>
        <w:t xml:space="preserve">prazo </w:t>
      </w:r>
      <w:r w:rsidR="004756C1" w:rsidRPr="002F50BD">
        <w:rPr>
          <w:rFonts w:ascii="Verdana" w:eastAsia="Times New Roman" w:hAnsi="Verdana"/>
          <w:sz w:val="16"/>
          <w:lang w:val="pt-BR"/>
        </w:rPr>
        <w:t>n</w:t>
      </w:r>
      <w:r w:rsidR="00D95E71" w:rsidRPr="002F50BD">
        <w:rPr>
          <w:rFonts w:ascii="Verdana" w:eastAsia="Times New Roman" w:hAnsi="Verdana"/>
          <w:sz w:val="16"/>
          <w:lang w:val="pt-BR"/>
        </w:rPr>
        <w:t>ã</w:t>
      </w:r>
      <w:r w:rsidR="004756C1" w:rsidRPr="002F50BD">
        <w:rPr>
          <w:rFonts w:ascii="Verdana" w:eastAsia="Times New Roman" w:hAnsi="Verdana"/>
          <w:sz w:val="16"/>
          <w:lang w:val="pt-BR"/>
        </w:rPr>
        <w:t xml:space="preserve">o </w:t>
      </w:r>
      <w:r w:rsidRPr="002F50BD">
        <w:rPr>
          <w:rFonts w:ascii="Verdana" w:eastAsia="Times New Roman" w:hAnsi="Verdana"/>
          <w:sz w:val="16"/>
          <w:lang w:val="pt-BR"/>
        </w:rPr>
        <w:t xml:space="preserve">maior </w:t>
      </w:r>
      <w:r w:rsidR="00F130FD">
        <w:rPr>
          <w:rFonts w:ascii="Verdana" w:eastAsia="Times New Roman" w:hAnsi="Verdana"/>
          <w:sz w:val="16"/>
          <w:lang w:val="pt-BR"/>
        </w:rPr>
        <w:t>a</w:t>
      </w:r>
      <w:r w:rsidR="004756C1" w:rsidRPr="002F50BD">
        <w:rPr>
          <w:rFonts w:ascii="Verdana" w:eastAsia="Times New Roman" w:hAnsi="Verdana"/>
          <w:sz w:val="16"/>
          <w:lang w:val="pt-BR"/>
        </w:rPr>
        <w:t xml:space="preserve"> </w:t>
      </w:r>
      <w:r w:rsidR="00951B61">
        <w:rPr>
          <w:rFonts w:ascii="Verdana" w:eastAsia="Times New Roman" w:hAnsi="Verdana"/>
          <w:sz w:val="16"/>
          <w:lang w:val="pt-BR"/>
        </w:rPr>
        <w:t>30 dias</w:t>
      </w:r>
      <w:r w:rsidR="00D95E71" w:rsidRPr="002F50BD">
        <w:rPr>
          <w:rFonts w:ascii="Verdana" w:eastAsia="Times New Roman" w:hAnsi="Verdana"/>
          <w:sz w:val="16"/>
          <w:lang w:val="pt-BR"/>
        </w:rPr>
        <w:t>,</w:t>
      </w:r>
      <w:r w:rsidR="004756C1" w:rsidRPr="002F50BD">
        <w:rPr>
          <w:rFonts w:ascii="Verdana" w:eastAsia="Times New Roman" w:hAnsi="Verdana"/>
          <w:sz w:val="16"/>
          <w:lang w:val="pt-BR"/>
        </w:rPr>
        <w:t xml:space="preserve"> solicitará</w:t>
      </w:r>
      <w:r w:rsidRPr="002F50BD">
        <w:rPr>
          <w:rFonts w:ascii="Verdana" w:eastAsia="Times New Roman" w:hAnsi="Verdana"/>
          <w:sz w:val="16"/>
          <w:lang w:val="pt-BR"/>
        </w:rPr>
        <w:t xml:space="preserve"> ao </w:t>
      </w:r>
      <w:r w:rsidR="004756C1" w:rsidRPr="002F50BD">
        <w:rPr>
          <w:rFonts w:ascii="Verdana" w:eastAsia="Times New Roman" w:hAnsi="Verdana"/>
          <w:sz w:val="16"/>
          <w:lang w:val="pt-BR"/>
        </w:rPr>
        <w:t xml:space="preserve">Poder </w:t>
      </w:r>
      <w:r w:rsidRPr="002F50BD">
        <w:rPr>
          <w:rFonts w:ascii="Verdana" w:eastAsia="Times New Roman" w:hAnsi="Verdana"/>
          <w:sz w:val="16"/>
          <w:lang w:val="pt-BR"/>
        </w:rPr>
        <w:t>Executiv</w:t>
      </w:r>
      <w:r w:rsidR="004756C1" w:rsidRPr="002F50BD">
        <w:rPr>
          <w:rFonts w:ascii="Verdana" w:eastAsia="Times New Roman" w:hAnsi="Verdana"/>
          <w:sz w:val="16"/>
          <w:lang w:val="pt-BR"/>
        </w:rPr>
        <w:t>o</w:t>
      </w:r>
      <w:r w:rsidR="006F2023" w:rsidRPr="002F50BD">
        <w:rPr>
          <w:rFonts w:ascii="Verdana" w:eastAsia="Times New Roman" w:hAnsi="Verdana"/>
          <w:sz w:val="16"/>
          <w:lang w:val="pt-BR"/>
        </w:rPr>
        <w:t>,</w:t>
      </w:r>
      <w:r w:rsidR="004756C1" w:rsidRPr="002F50BD">
        <w:rPr>
          <w:rFonts w:ascii="Verdana" w:eastAsia="Times New Roman" w:hAnsi="Verdana"/>
          <w:sz w:val="16"/>
          <w:lang w:val="pt-BR"/>
        </w:rPr>
        <w:t xml:space="preserve"> por conduto </w:t>
      </w:r>
      <w:r w:rsidRPr="002F50BD">
        <w:rPr>
          <w:rFonts w:ascii="Verdana" w:eastAsia="Times New Roman" w:hAnsi="Verdana"/>
          <w:sz w:val="16"/>
          <w:lang w:val="pt-BR"/>
        </w:rPr>
        <w:t>do Ministério</w:t>
      </w:r>
      <w:r w:rsidR="004756C1" w:rsidRPr="002F50BD">
        <w:rPr>
          <w:rFonts w:ascii="Verdana" w:eastAsia="Times New Roman" w:hAnsi="Verdana"/>
          <w:sz w:val="16"/>
          <w:lang w:val="pt-BR"/>
        </w:rPr>
        <w:t xml:space="preserve"> de </w:t>
      </w:r>
      <w:r w:rsidRPr="002F50BD">
        <w:rPr>
          <w:rFonts w:ascii="Verdana" w:eastAsia="Times New Roman" w:hAnsi="Verdana"/>
          <w:sz w:val="16"/>
          <w:lang w:val="pt-BR"/>
        </w:rPr>
        <w:t>Defesa</w:t>
      </w:r>
      <w:r w:rsidR="004756C1" w:rsidRPr="002F50BD">
        <w:rPr>
          <w:rFonts w:ascii="Verdana" w:eastAsia="Times New Roman" w:hAnsi="Verdana"/>
          <w:sz w:val="16"/>
          <w:lang w:val="pt-BR"/>
        </w:rPr>
        <w:t xml:space="preserve"> Nacional</w:t>
      </w:r>
      <w:r w:rsidR="006603BE" w:rsidRPr="002F50BD">
        <w:rPr>
          <w:rFonts w:ascii="Verdana" w:eastAsia="Times New Roman" w:hAnsi="Verdana"/>
          <w:sz w:val="16"/>
          <w:lang w:val="pt-BR"/>
        </w:rPr>
        <w:t>,</w:t>
      </w:r>
      <w:r w:rsidRPr="002F50BD">
        <w:rPr>
          <w:rFonts w:ascii="Verdana" w:eastAsia="Times New Roman" w:hAnsi="Verdana"/>
          <w:sz w:val="16"/>
          <w:lang w:val="pt-BR"/>
        </w:rPr>
        <w:t xml:space="preserve"> o </w:t>
      </w:r>
      <w:r w:rsidR="004756C1" w:rsidRPr="002F50BD">
        <w:rPr>
          <w:rFonts w:ascii="Verdana" w:eastAsia="Times New Roman" w:hAnsi="Verdana"/>
          <w:sz w:val="16"/>
          <w:lang w:val="pt-BR"/>
        </w:rPr>
        <w:t>re</w:t>
      </w:r>
      <w:r w:rsidRPr="002F50BD">
        <w:rPr>
          <w:rFonts w:ascii="Verdana" w:eastAsia="Times New Roman" w:hAnsi="Verdana"/>
          <w:sz w:val="16"/>
          <w:lang w:val="pt-BR"/>
        </w:rPr>
        <w:t xml:space="preserve">conhecimento da </w:t>
      </w:r>
      <w:r w:rsidR="007801FA" w:rsidRPr="002F50BD">
        <w:rPr>
          <w:rFonts w:ascii="Verdana" w:eastAsia="Times New Roman" w:hAnsi="Verdana"/>
          <w:sz w:val="16"/>
          <w:lang w:val="pt-BR"/>
        </w:rPr>
        <w:t>personalidade</w:t>
      </w:r>
      <w:r w:rsidR="004756C1" w:rsidRPr="002F50BD">
        <w:rPr>
          <w:rFonts w:ascii="Verdana" w:eastAsia="Times New Roman" w:hAnsi="Verdana"/>
          <w:sz w:val="16"/>
          <w:lang w:val="pt-BR"/>
        </w:rPr>
        <w:t xml:space="preserve"> jurídica.</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eastAsia="Times New Roman" w:hAnsi="Verdana"/>
          <w:sz w:val="16"/>
          <w:lang w:val="pt-BR"/>
        </w:rPr>
      </w:pPr>
    </w:p>
    <w:p w:rsidR="004756C1" w:rsidRPr="002F50BD" w:rsidRDefault="0089298C">
      <w:pPr>
        <w:ind w:left="810" w:right="720"/>
        <w:jc w:val="both"/>
        <w:rPr>
          <w:rFonts w:ascii="Verdana"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11</w:t>
      </w:r>
      <w:r w:rsidR="00D95E71" w:rsidRPr="002F50BD">
        <w:rPr>
          <w:rFonts w:ascii="Verdana" w:eastAsia="Times New Roman" w:hAnsi="Verdana"/>
          <w:sz w:val="16"/>
          <w:lang w:val="pt-BR"/>
        </w:rPr>
        <w:t>.- O</w:t>
      </w:r>
      <w:r w:rsidRPr="002F50BD">
        <w:rPr>
          <w:rFonts w:ascii="Verdana" w:eastAsia="Times New Roman" w:hAnsi="Verdana"/>
          <w:sz w:val="16"/>
          <w:lang w:val="pt-BR"/>
        </w:rPr>
        <w:t xml:space="preserve"> </w:t>
      </w:r>
      <w:r w:rsidR="004756C1" w:rsidRPr="002F50BD">
        <w:rPr>
          <w:rFonts w:ascii="Verdana" w:eastAsia="Times New Roman" w:hAnsi="Verdana"/>
          <w:sz w:val="16"/>
          <w:lang w:val="pt-BR"/>
        </w:rPr>
        <w:t xml:space="preserve">Instituto </w:t>
      </w:r>
      <w:r w:rsidR="004574D2" w:rsidRPr="002F50BD">
        <w:rPr>
          <w:rFonts w:ascii="Verdana" w:eastAsia="Times New Roman" w:hAnsi="Verdana"/>
          <w:sz w:val="16"/>
          <w:lang w:val="pt-BR"/>
        </w:rPr>
        <w:t>inscrever</w:t>
      </w:r>
      <w:r w:rsidR="004756C1" w:rsidRPr="002F50BD">
        <w:rPr>
          <w:rFonts w:ascii="Verdana" w:eastAsia="Times New Roman" w:hAnsi="Verdana"/>
          <w:sz w:val="16"/>
          <w:lang w:val="pt-BR"/>
        </w:rPr>
        <w:t>á</w:t>
      </w:r>
      <w:r w:rsidRPr="002F50BD">
        <w:rPr>
          <w:rFonts w:ascii="Verdana" w:eastAsia="Times New Roman" w:hAnsi="Verdana"/>
          <w:sz w:val="16"/>
          <w:lang w:val="pt-BR"/>
        </w:rPr>
        <w:t xml:space="preserve"> o </w:t>
      </w:r>
      <w:r w:rsidR="004756C1" w:rsidRPr="002F50BD">
        <w:rPr>
          <w:rFonts w:ascii="Verdana" w:eastAsia="Times New Roman" w:hAnsi="Verdana"/>
          <w:sz w:val="16"/>
          <w:lang w:val="pt-BR"/>
        </w:rPr>
        <w:t>Decreto que re</w:t>
      </w:r>
      <w:r w:rsidRPr="002F50BD">
        <w:rPr>
          <w:rFonts w:ascii="Verdana" w:eastAsia="Times New Roman" w:hAnsi="Verdana"/>
          <w:sz w:val="16"/>
          <w:lang w:val="pt-BR"/>
        </w:rPr>
        <w:t xml:space="preserve">conheça a </w:t>
      </w:r>
      <w:r w:rsidR="007801FA" w:rsidRPr="002F50BD">
        <w:rPr>
          <w:rFonts w:ascii="Verdana" w:eastAsia="Times New Roman" w:hAnsi="Verdana"/>
          <w:sz w:val="16"/>
          <w:lang w:val="pt-BR"/>
        </w:rPr>
        <w:t>personalidade</w:t>
      </w:r>
      <w:r w:rsidR="004756C1" w:rsidRPr="002F50BD">
        <w:rPr>
          <w:rFonts w:ascii="Verdana" w:eastAsia="Times New Roman" w:hAnsi="Verdana"/>
          <w:sz w:val="16"/>
          <w:lang w:val="pt-BR"/>
        </w:rPr>
        <w:t xml:space="preserve"> jurídica de</w:t>
      </w:r>
      <w:r w:rsidRPr="002F50BD">
        <w:rPr>
          <w:rFonts w:ascii="Verdana" w:eastAsia="Times New Roman" w:hAnsi="Verdana"/>
          <w:sz w:val="16"/>
          <w:lang w:val="pt-BR"/>
        </w:rPr>
        <w:t xml:space="preserve"> uma Comunidade </w:t>
      </w:r>
      <w:r w:rsidR="004756C1" w:rsidRPr="002F50BD">
        <w:rPr>
          <w:rFonts w:ascii="Verdana" w:eastAsia="Times New Roman" w:hAnsi="Verdana"/>
          <w:sz w:val="16"/>
          <w:lang w:val="pt-BR"/>
        </w:rPr>
        <w:t>Indígena</w:t>
      </w:r>
      <w:r w:rsidRPr="002F50BD">
        <w:rPr>
          <w:rFonts w:ascii="Verdana" w:eastAsia="Times New Roman" w:hAnsi="Verdana"/>
          <w:sz w:val="16"/>
          <w:lang w:val="pt-BR"/>
        </w:rPr>
        <w:t xml:space="preserve"> no </w:t>
      </w:r>
      <w:r w:rsidR="004756C1" w:rsidRPr="002F50BD">
        <w:rPr>
          <w:rFonts w:ascii="Verdana" w:eastAsia="Times New Roman" w:hAnsi="Verdana"/>
          <w:sz w:val="16"/>
          <w:lang w:val="pt-BR"/>
        </w:rPr>
        <w:t>Registro Nacional de Comunidades</w:t>
      </w:r>
      <w:r w:rsidRPr="002F50BD">
        <w:rPr>
          <w:rFonts w:ascii="Verdana" w:eastAsia="Times New Roman" w:hAnsi="Verdana"/>
          <w:sz w:val="16"/>
          <w:lang w:val="pt-BR"/>
        </w:rPr>
        <w:t xml:space="preserve"> e </w:t>
      </w:r>
      <w:r w:rsidR="004756C1" w:rsidRPr="002F50BD">
        <w:rPr>
          <w:rFonts w:ascii="Verdana" w:eastAsia="Times New Roman" w:hAnsi="Verdana"/>
          <w:sz w:val="16"/>
          <w:lang w:val="pt-BR"/>
        </w:rPr>
        <w:t>expedirá c</w:t>
      </w:r>
      <w:r w:rsidR="00D95E71" w:rsidRPr="002F50BD">
        <w:rPr>
          <w:rFonts w:ascii="Verdana" w:eastAsia="Times New Roman" w:hAnsi="Verdana"/>
          <w:sz w:val="16"/>
          <w:lang w:val="pt-BR"/>
        </w:rPr>
        <w:t>ó</w:t>
      </w:r>
      <w:r w:rsidR="004756C1" w:rsidRPr="002F50BD">
        <w:rPr>
          <w:rFonts w:ascii="Verdana" w:eastAsia="Times New Roman" w:hAnsi="Verdana"/>
          <w:sz w:val="16"/>
          <w:lang w:val="pt-BR"/>
        </w:rPr>
        <w:t xml:space="preserve">pia </w:t>
      </w:r>
      <w:r w:rsidRPr="002F50BD">
        <w:rPr>
          <w:rFonts w:ascii="Verdana" w:eastAsia="Times New Roman" w:hAnsi="Verdana"/>
          <w:sz w:val="16"/>
          <w:lang w:val="pt-BR"/>
        </w:rPr>
        <w:t>autêntica aos interessad</w:t>
      </w:r>
      <w:r w:rsidR="004756C1" w:rsidRPr="002F50BD">
        <w:rPr>
          <w:rFonts w:ascii="Verdana" w:eastAsia="Times New Roman" w:hAnsi="Verdana"/>
          <w:sz w:val="16"/>
          <w:lang w:val="pt-BR"/>
        </w:rPr>
        <w:t>os.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hAnsi="Verdana"/>
          <w:sz w:val="16"/>
          <w:lang w:val="pt-BR"/>
        </w:rPr>
      </w:pPr>
      <w:r w:rsidRPr="002F50BD">
        <w:rPr>
          <w:rFonts w:ascii="Verdana" w:hAnsi="Verdana"/>
          <w:sz w:val="16"/>
          <w:lang w:val="pt-BR"/>
        </w:rPr>
        <w:t>Artigo</w:t>
      </w:r>
      <w:r w:rsidR="004756C1" w:rsidRPr="002F50BD">
        <w:rPr>
          <w:rFonts w:ascii="Verdana" w:hAnsi="Verdana"/>
          <w:sz w:val="16"/>
          <w:lang w:val="pt-BR"/>
        </w:rPr>
        <w:t xml:space="preserve"> </w:t>
      </w:r>
      <w:r w:rsidR="00063B47" w:rsidRPr="002F50BD">
        <w:rPr>
          <w:rFonts w:ascii="Verdana" w:hAnsi="Verdana"/>
          <w:sz w:val="16"/>
          <w:lang w:val="pt-BR"/>
        </w:rPr>
        <w:t>20</w:t>
      </w:r>
      <w:r w:rsidR="004756C1" w:rsidRPr="002F50BD">
        <w:rPr>
          <w:rFonts w:ascii="Verdana" w:hAnsi="Verdana"/>
          <w:sz w:val="16"/>
          <w:lang w:val="pt-BR"/>
        </w:rPr>
        <w:t xml:space="preserve">.- </w:t>
      </w:r>
      <w:r w:rsidRPr="002F50BD">
        <w:rPr>
          <w:rFonts w:ascii="Verdana" w:hAnsi="Verdana"/>
          <w:sz w:val="16"/>
          <w:lang w:val="pt-BR"/>
        </w:rPr>
        <w:t xml:space="preserve">Quando uma comunidade </w:t>
      </w:r>
      <w:r w:rsidR="004756C1" w:rsidRPr="002F50BD">
        <w:rPr>
          <w:rFonts w:ascii="Verdana" w:hAnsi="Verdana"/>
          <w:sz w:val="16"/>
          <w:lang w:val="pt-BR"/>
        </w:rPr>
        <w:t xml:space="preserve">indígena </w:t>
      </w:r>
      <w:r w:rsidR="00D95E71" w:rsidRPr="002F50BD">
        <w:rPr>
          <w:rFonts w:ascii="Verdana" w:hAnsi="Verdana"/>
          <w:sz w:val="16"/>
          <w:lang w:val="pt-BR"/>
        </w:rPr>
        <w:t xml:space="preserve">tiver </w:t>
      </w:r>
      <w:r w:rsidR="006F2023" w:rsidRPr="002F50BD">
        <w:rPr>
          <w:rFonts w:ascii="Verdana" w:hAnsi="Verdana"/>
          <w:sz w:val="16"/>
          <w:lang w:val="pt-BR"/>
        </w:rPr>
        <w:t xml:space="preserve">sua personalidade jurídica </w:t>
      </w:r>
      <w:r w:rsidRPr="002F50BD">
        <w:rPr>
          <w:rFonts w:ascii="Verdana" w:hAnsi="Verdana"/>
          <w:sz w:val="16"/>
          <w:lang w:val="pt-BR"/>
        </w:rPr>
        <w:t>reconhecida</w:t>
      </w:r>
      <w:r w:rsidR="004756C1" w:rsidRPr="002F50BD">
        <w:rPr>
          <w:rFonts w:ascii="Verdana" w:hAnsi="Verdana"/>
          <w:sz w:val="16"/>
          <w:lang w:val="pt-BR"/>
        </w:rPr>
        <w:t xml:space="preserve">, </w:t>
      </w:r>
      <w:r w:rsidR="00D95E71" w:rsidRPr="002F50BD">
        <w:rPr>
          <w:rFonts w:ascii="Verdana" w:hAnsi="Verdana"/>
          <w:sz w:val="16"/>
          <w:lang w:val="pt-BR"/>
        </w:rPr>
        <w:t>ser</w:t>
      </w:r>
      <w:r w:rsidR="00525DAF" w:rsidRPr="002F50BD">
        <w:rPr>
          <w:rFonts w:ascii="Verdana" w:hAnsi="Verdana"/>
          <w:sz w:val="16"/>
          <w:lang w:val="pt-BR"/>
        </w:rPr>
        <w:t>-lhe-</w:t>
      </w:r>
      <w:r w:rsidR="00D95E71" w:rsidRPr="002F50BD">
        <w:rPr>
          <w:rFonts w:ascii="Verdana" w:hAnsi="Verdana"/>
          <w:sz w:val="16"/>
          <w:lang w:val="pt-BR"/>
        </w:rPr>
        <w:t xml:space="preserve">ão </w:t>
      </w:r>
      <w:r w:rsidR="004756C1" w:rsidRPr="002F50BD">
        <w:rPr>
          <w:rFonts w:ascii="Verdana" w:hAnsi="Verdana"/>
          <w:sz w:val="16"/>
          <w:lang w:val="pt-BR"/>
        </w:rPr>
        <w:t>transferi</w:t>
      </w:r>
      <w:r w:rsidR="00D95E71" w:rsidRPr="002F50BD">
        <w:rPr>
          <w:rFonts w:ascii="Verdana" w:hAnsi="Verdana"/>
          <w:sz w:val="16"/>
          <w:lang w:val="pt-BR"/>
        </w:rPr>
        <w:t xml:space="preserve">das </w:t>
      </w:r>
      <w:r w:rsidRPr="002F50BD">
        <w:rPr>
          <w:rFonts w:ascii="Verdana" w:hAnsi="Verdana"/>
          <w:sz w:val="16"/>
          <w:lang w:val="pt-BR"/>
        </w:rPr>
        <w:t>as terra</w:t>
      </w:r>
      <w:r w:rsidR="004756C1" w:rsidRPr="002F50BD">
        <w:rPr>
          <w:rFonts w:ascii="Verdana" w:hAnsi="Verdana"/>
          <w:sz w:val="16"/>
          <w:lang w:val="pt-BR"/>
        </w:rPr>
        <w:t>s</w:t>
      </w:r>
      <w:r w:rsidRPr="002F50BD">
        <w:rPr>
          <w:rFonts w:ascii="Verdana" w:hAnsi="Verdana"/>
          <w:sz w:val="16"/>
          <w:lang w:val="pt-BR"/>
        </w:rPr>
        <w:t xml:space="preserve"> </w:t>
      </w:r>
      <w:r w:rsidR="00D95E71" w:rsidRPr="002F50BD">
        <w:rPr>
          <w:rFonts w:ascii="Verdana" w:hAnsi="Verdana"/>
          <w:sz w:val="16"/>
          <w:lang w:val="pt-BR"/>
        </w:rPr>
        <w:t xml:space="preserve">de forma gratuita e </w:t>
      </w:r>
      <w:r w:rsidR="001D10A4" w:rsidRPr="002F50BD">
        <w:rPr>
          <w:rFonts w:ascii="Verdana" w:hAnsi="Verdana"/>
          <w:sz w:val="16"/>
          <w:lang w:val="pt-BR"/>
        </w:rPr>
        <w:t>indivisa e livre de gravames</w:t>
      </w:r>
      <w:r w:rsidR="004756C1" w:rsidRPr="002F50BD">
        <w:rPr>
          <w:rFonts w:ascii="Verdana" w:hAnsi="Verdana"/>
          <w:sz w:val="16"/>
          <w:lang w:val="pt-BR"/>
        </w:rPr>
        <w:t>, de</w:t>
      </w:r>
      <w:r w:rsidR="00D95E71" w:rsidRPr="002F50BD">
        <w:rPr>
          <w:rFonts w:ascii="Verdana" w:hAnsi="Verdana"/>
          <w:sz w:val="16"/>
          <w:lang w:val="pt-BR"/>
        </w:rPr>
        <w:t xml:space="preserve">vendo inscrever-se </w:t>
      </w:r>
      <w:r w:rsidRPr="002F50BD">
        <w:rPr>
          <w:rFonts w:ascii="Verdana" w:hAnsi="Verdana"/>
          <w:sz w:val="16"/>
          <w:lang w:val="pt-BR"/>
        </w:rPr>
        <w:t xml:space="preserve">o </w:t>
      </w:r>
      <w:r w:rsidR="004756C1" w:rsidRPr="002F50BD">
        <w:rPr>
          <w:rFonts w:ascii="Verdana" w:hAnsi="Verdana"/>
          <w:sz w:val="16"/>
          <w:lang w:val="pt-BR"/>
        </w:rPr>
        <w:t>título</w:t>
      </w:r>
      <w:r w:rsidRPr="002F50BD">
        <w:rPr>
          <w:rFonts w:ascii="Verdana" w:hAnsi="Verdana"/>
          <w:sz w:val="16"/>
          <w:lang w:val="pt-BR"/>
        </w:rPr>
        <w:t xml:space="preserve"> no </w:t>
      </w:r>
      <w:r w:rsidR="004756C1" w:rsidRPr="002F50BD">
        <w:rPr>
          <w:rFonts w:ascii="Verdana" w:hAnsi="Verdana"/>
          <w:sz w:val="16"/>
          <w:lang w:val="pt-BR"/>
        </w:rPr>
        <w:t xml:space="preserve">Registro </w:t>
      </w:r>
      <w:r w:rsidR="00D95E71" w:rsidRPr="002F50BD">
        <w:rPr>
          <w:rFonts w:ascii="Verdana" w:hAnsi="Verdana"/>
          <w:sz w:val="16"/>
          <w:lang w:val="pt-BR"/>
        </w:rPr>
        <w:t>Agrário</w:t>
      </w:r>
      <w:r w:rsidR="004756C1" w:rsidRPr="002F50BD">
        <w:rPr>
          <w:rFonts w:ascii="Verdana" w:hAnsi="Verdana"/>
          <w:sz w:val="16"/>
          <w:lang w:val="pt-BR"/>
        </w:rPr>
        <w:t xml:space="preserve">, Registro </w:t>
      </w:r>
      <w:r w:rsidRPr="002F50BD">
        <w:rPr>
          <w:rFonts w:ascii="Verdana" w:hAnsi="Verdana"/>
          <w:sz w:val="16"/>
          <w:lang w:val="pt-BR"/>
        </w:rPr>
        <w:t xml:space="preserve">Geral da Propriedade e </w:t>
      </w:r>
      <w:r w:rsidR="004756C1" w:rsidRPr="002F50BD">
        <w:rPr>
          <w:rFonts w:ascii="Verdana" w:hAnsi="Verdana"/>
          <w:sz w:val="16"/>
          <w:lang w:val="pt-BR"/>
        </w:rPr>
        <w:t>Registro Nacional de Comunidades Indígenas</w:t>
      </w:r>
      <w:r w:rsidR="00BE346D" w:rsidRPr="002F50BD">
        <w:rPr>
          <w:rFonts w:ascii="Verdana" w:hAnsi="Verdana"/>
          <w:sz w:val="16"/>
          <w:lang w:val="pt-BR"/>
        </w:rPr>
        <w:t xml:space="preserve">. A </w:t>
      </w:r>
      <w:r w:rsidR="004756C1" w:rsidRPr="002F50BD">
        <w:rPr>
          <w:rFonts w:ascii="Verdana" w:hAnsi="Verdana"/>
          <w:sz w:val="16"/>
          <w:lang w:val="pt-BR"/>
        </w:rPr>
        <w:t xml:space="preserve">escritura </w:t>
      </w:r>
      <w:r w:rsidR="00D95E71" w:rsidRPr="002F50BD">
        <w:rPr>
          <w:rFonts w:ascii="Verdana" w:hAnsi="Verdana"/>
          <w:sz w:val="16"/>
          <w:lang w:val="pt-BR"/>
        </w:rPr>
        <w:t xml:space="preserve">de transferência </w:t>
      </w:r>
      <w:r w:rsidR="004756C1" w:rsidRPr="002F50BD">
        <w:rPr>
          <w:rFonts w:ascii="Verdana" w:hAnsi="Verdana"/>
          <w:sz w:val="16"/>
          <w:lang w:val="pt-BR"/>
        </w:rPr>
        <w:t>de dom</w:t>
      </w:r>
      <w:r w:rsidR="00D95E71" w:rsidRPr="002F50BD">
        <w:rPr>
          <w:rFonts w:ascii="Verdana" w:hAnsi="Verdana"/>
          <w:sz w:val="16"/>
          <w:lang w:val="pt-BR"/>
        </w:rPr>
        <w:t>í</w:t>
      </w:r>
      <w:r w:rsidR="004756C1" w:rsidRPr="002F50BD">
        <w:rPr>
          <w:rFonts w:ascii="Verdana" w:hAnsi="Verdana"/>
          <w:sz w:val="16"/>
          <w:lang w:val="pt-BR"/>
        </w:rPr>
        <w:t xml:space="preserve">nio </w:t>
      </w:r>
      <w:r w:rsidR="00D95E71" w:rsidRPr="002F50BD">
        <w:rPr>
          <w:rFonts w:ascii="Verdana" w:hAnsi="Verdana"/>
          <w:sz w:val="16"/>
          <w:lang w:val="pt-BR"/>
        </w:rPr>
        <w:t>far-se-á</w:t>
      </w:r>
      <w:r w:rsidRPr="002F50BD">
        <w:rPr>
          <w:rFonts w:ascii="Verdana" w:hAnsi="Verdana"/>
          <w:sz w:val="16"/>
          <w:lang w:val="pt-BR"/>
        </w:rPr>
        <w:t xml:space="preserve"> </w:t>
      </w:r>
      <w:r w:rsidR="004756C1" w:rsidRPr="002F50BD">
        <w:rPr>
          <w:rFonts w:ascii="Verdana" w:hAnsi="Verdana"/>
          <w:sz w:val="16"/>
          <w:lang w:val="pt-BR"/>
        </w:rPr>
        <w:t>conforme</w:t>
      </w:r>
      <w:r w:rsidRPr="002F50BD">
        <w:rPr>
          <w:rFonts w:ascii="Verdana" w:hAnsi="Verdana"/>
          <w:sz w:val="16"/>
          <w:lang w:val="pt-BR"/>
        </w:rPr>
        <w:t xml:space="preserve"> </w:t>
      </w:r>
      <w:r w:rsidR="00D95E71" w:rsidRPr="002F50BD">
        <w:rPr>
          <w:rFonts w:ascii="Verdana" w:hAnsi="Verdana"/>
          <w:sz w:val="16"/>
          <w:lang w:val="pt-BR"/>
        </w:rPr>
        <w:t>a</w:t>
      </w:r>
      <w:r w:rsidRPr="002F50BD">
        <w:rPr>
          <w:rFonts w:ascii="Verdana" w:hAnsi="Verdana"/>
          <w:sz w:val="16"/>
          <w:lang w:val="pt-BR"/>
        </w:rPr>
        <w:t xml:space="preserve">s </w:t>
      </w:r>
      <w:r w:rsidR="004756C1" w:rsidRPr="002F50BD">
        <w:rPr>
          <w:rFonts w:ascii="Verdana" w:hAnsi="Verdana"/>
          <w:sz w:val="16"/>
          <w:lang w:val="pt-BR"/>
        </w:rPr>
        <w:t>disposi</w:t>
      </w:r>
      <w:r w:rsidRPr="002F50BD">
        <w:rPr>
          <w:rFonts w:ascii="Verdana" w:hAnsi="Verdana"/>
          <w:sz w:val="16"/>
          <w:lang w:val="pt-BR"/>
        </w:rPr>
        <w:t>ções</w:t>
      </w:r>
      <w:r w:rsidR="004756C1" w:rsidRPr="002F50BD">
        <w:rPr>
          <w:rFonts w:ascii="Verdana" w:hAnsi="Verdana"/>
          <w:sz w:val="16"/>
          <w:lang w:val="pt-BR"/>
        </w:rPr>
        <w:t xml:space="preserve"> </w:t>
      </w:r>
      <w:r w:rsidRPr="002F50BD">
        <w:rPr>
          <w:rFonts w:ascii="Verdana" w:hAnsi="Verdana"/>
          <w:sz w:val="16"/>
          <w:lang w:val="pt-BR"/>
        </w:rPr>
        <w:t>do artigo</w:t>
      </w:r>
      <w:r w:rsidR="004756C1" w:rsidRPr="002F50BD">
        <w:rPr>
          <w:rFonts w:ascii="Verdana" w:hAnsi="Verdana"/>
          <w:sz w:val="16"/>
          <w:lang w:val="pt-BR"/>
        </w:rPr>
        <w:t xml:space="preserve"> </w:t>
      </w:r>
      <w:r w:rsidR="00063B47" w:rsidRPr="002F50BD">
        <w:rPr>
          <w:rFonts w:ascii="Verdana" w:hAnsi="Verdana"/>
          <w:sz w:val="16"/>
          <w:lang w:val="pt-BR"/>
        </w:rPr>
        <w:t>17</w:t>
      </w:r>
      <w:r w:rsidRPr="002F50BD">
        <w:rPr>
          <w:rFonts w:ascii="Verdana" w:hAnsi="Verdana"/>
          <w:sz w:val="16"/>
          <w:lang w:val="pt-BR"/>
        </w:rPr>
        <w:t xml:space="preserve"> desta Lei.</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27</w:t>
      </w:r>
      <w:r w:rsidR="004756C1" w:rsidRPr="002F50BD">
        <w:rPr>
          <w:rFonts w:ascii="Verdana" w:eastAsia="Times New Roman" w:hAnsi="Verdana"/>
          <w:sz w:val="16"/>
          <w:lang w:val="pt-BR"/>
        </w:rPr>
        <w:t>.-</w:t>
      </w:r>
      <w:r w:rsidR="004756C1" w:rsidRPr="002F50BD">
        <w:rPr>
          <w:rFonts w:ascii="Verdana" w:eastAsia="Times New Roman" w:hAnsi="Verdana"/>
          <w:b/>
          <w:sz w:val="16"/>
          <w:lang w:val="pt-BR"/>
        </w:rPr>
        <w:t xml:space="preserve"> </w:t>
      </w:r>
      <w:r w:rsidRPr="002F50BD">
        <w:rPr>
          <w:rFonts w:ascii="Verdana" w:eastAsia="Times New Roman" w:hAnsi="Verdana"/>
          <w:sz w:val="16"/>
          <w:lang w:val="pt-BR"/>
        </w:rPr>
        <w:t xml:space="preserve">Quando uma comunidade </w:t>
      </w:r>
      <w:r w:rsidR="004756C1" w:rsidRPr="002F50BD">
        <w:rPr>
          <w:rFonts w:ascii="Verdana" w:eastAsia="Times New Roman" w:hAnsi="Verdana"/>
          <w:sz w:val="16"/>
          <w:lang w:val="pt-BR"/>
        </w:rPr>
        <w:t xml:space="preserve">indígena </w:t>
      </w:r>
      <w:r w:rsidR="00D95E71" w:rsidRPr="002F50BD">
        <w:rPr>
          <w:rFonts w:ascii="Verdana" w:eastAsia="Times New Roman" w:hAnsi="Verdana"/>
          <w:sz w:val="16"/>
          <w:lang w:val="pt-BR"/>
        </w:rPr>
        <w:t xml:space="preserve">tiver </w:t>
      </w:r>
      <w:r w:rsidRPr="002F50BD">
        <w:rPr>
          <w:rFonts w:ascii="Verdana" w:eastAsia="Times New Roman" w:hAnsi="Verdana"/>
          <w:sz w:val="16"/>
          <w:lang w:val="pt-BR"/>
        </w:rPr>
        <w:t xml:space="preserve">reconhecida </w:t>
      </w:r>
      <w:r w:rsidR="004756C1" w:rsidRPr="002F50BD">
        <w:rPr>
          <w:rFonts w:ascii="Verdana" w:eastAsia="Times New Roman" w:hAnsi="Verdana"/>
          <w:sz w:val="16"/>
          <w:lang w:val="pt-BR"/>
        </w:rPr>
        <w:t>su</w:t>
      </w:r>
      <w:r w:rsidR="00D95E71" w:rsidRPr="002F50BD">
        <w:rPr>
          <w:rFonts w:ascii="Verdana" w:eastAsia="Times New Roman" w:hAnsi="Verdana"/>
          <w:sz w:val="16"/>
          <w:lang w:val="pt-BR"/>
        </w:rPr>
        <w:t>a</w:t>
      </w:r>
      <w:r w:rsidR="004756C1" w:rsidRPr="002F50BD">
        <w:rPr>
          <w:rFonts w:ascii="Verdana" w:eastAsia="Times New Roman" w:hAnsi="Verdana"/>
          <w:sz w:val="16"/>
          <w:lang w:val="pt-BR"/>
        </w:rPr>
        <w:t xml:space="preserve"> </w:t>
      </w:r>
      <w:r w:rsidR="007801FA" w:rsidRPr="002F50BD">
        <w:rPr>
          <w:rFonts w:ascii="Verdana" w:eastAsia="Times New Roman" w:hAnsi="Verdana"/>
          <w:sz w:val="16"/>
          <w:lang w:val="pt-BR"/>
        </w:rPr>
        <w:t>personalidade</w:t>
      </w:r>
      <w:r w:rsidR="004756C1" w:rsidRPr="002F50BD">
        <w:rPr>
          <w:rFonts w:ascii="Verdana" w:eastAsia="Times New Roman" w:hAnsi="Verdana"/>
          <w:sz w:val="16"/>
          <w:lang w:val="pt-BR"/>
        </w:rPr>
        <w:t xml:space="preserve"> jurídica,</w:t>
      </w:r>
      <w:r w:rsidRPr="002F50BD">
        <w:rPr>
          <w:rFonts w:ascii="Verdana" w:eastAsia="Times New Roman" w:hAnsi="Verdana"/>
          <w:sz w:val="16"/>
          <w:lang w:val="pt-BR"/>
        </w:rPr>
        <w:t xml:space="preserve"> o </w:t>
      </w:r>
      <w:r w:rsidR="004756C1" w:rsidRPr="002F50BD">
        <w:rPr>
          <w:rFonts w:ascii="Verdana" w:eastAsia="Times New Roman" w:hAnsi="Verdana"/>
          <w:sz w:val="16"/>
          <w:lang w:val="pt-BR"/>
        </w:rPr>
        <w:t>Estado l</w:t>
      </w:r>
      <w:r w:rsidR="00D95E71" w:rsidRPr="002F50BD">
        <w:rPr>
          <w:rFonts w:ascii="Verdana" w:eastAsia="Times New Roman" w:hAnsi="Verdana"/>
          <w:sz w:val="16"/>
          <w:lang w:val="pt-BR"/>
        </w:rPr>
        <w:t>h</w:t>
      </w:r>
      <w:r w:rsidR="004756C1" w:rsidRPr="002F50BD">
        <w:rPr>
          <w:rFonts w:ascii="Verdana" w:eastAsia="Times New Roman" w:hAnsi="Verdana"/>
          <w:sz w:val="16"/>
          <w:lang w:val="pt-BR"/>
        </w:rPr>
        <w:t>e transferirá</w:t>
      </w:r>
      <w:r w:rsidRPr="002F50BD">
        <w:rPr>
          <w:rFonts w:ascii="Verdana" w:eastAsia="Times New Roman" w:hAnsi="Verdana"/>
          <w:sz w:val="16"/>
          <w:lang w:val="pt-BR"/>
        </w:rPr>
        <w:t xml:space="preserve"> o imóvel</w:t>
      </w:r>
      <w:r w:rsidR="004756C1" w:rsidRPr="002F50BD">
        <w:rPr>
          <w:rFonts w:ascii="Verdana" w:eastAsia="Times New Roman" w:hAnsi="Verdana"/>
          <w:sz w:val="16"/>
          <w:lang w:val="pt-BR"/>
        </w:rPr>
        <w:t xml:space="preserve"> </w:t>
      </w:r>
      <w:r w:rsidRPr="002F50BD">
        <w:rPr>
          <w:rFonts w:ascii="Verdana" w:eastAsia="Times New Roman" w:hAnsi="Verdana"/>
          <w:sz w:val="16"/>
          <w:lang w:val="pt-BR"/>
        </w:rPr>
        <w:t>apropriad</w:t>
      </w:r>
      <w:r w:rsidR="004756C1" w:rsidRPr="002F50BD">
        <w:rPr>
          <w:rFonts w:ascii="Verdana" w:eastAsia="Times New Roman" w:hAnsi="Verdana"/>
          <w:sz w:val="16"/>
          <w:lang w:val="pt-BR"/>
        </w:rPr>
        <w:t>o</w:t>
      </w:r>
      <w:r w:rsidRPr="002F50BD">
        <w:rPr>
          <w:rFonts w:ascii="Verdana" w:eastAsia="Times New Roman" w:hAnsi="Verdana"/>
          <w:sz w:val="16"/>
          <w:lang w:val="pt-BR"/>
        </w:rPr>
        <w:t xml:space="preserve"> em </w:t>
      </w:r>
      <w:r w:rsidR="004756C1" w:rsidRPr="002F50BD">
        <w:rPr>
          <w:rFonts w:ascii="Verdana" w:eastAsia="Times New Roman" w:hAnsi="Verdana"/>
          <w:sz w:val="16"/>
          <w:lang w:val="pt-BR"/>
        </w:rPr>
        <w:t>s</w:t>
      </w:r>
      <w:r w:rsidR="00D95E71" w:rsidRPr="002F50BD">
        <w:rPr>
          <w:rFonts w:ascii="Verdana" w:eastAsia="Times New Roman" w:hAnsi="Verdana"/>
          <w:sz w:val="16"/>
          <w:lang w:val="pt-BR"/>
        </w:rPr>
        <w:t>e</w:t>
      </w:r>
      <w:r w:rsidR="004756C1" w:rsidRPr="002F50BD">
        <w:rPr>
          <w:rFonts w:ascii="Verdana" w:eastAsia="Times New Roman" w:hAnsi="Verdana"/>
          <w:sz w:val="16"/>
          <w:lang w:val="pt-BR"/>
        </w:rPr>
        <w:t xml:space="preserve">u </w:t>
      </w:r>
      <w:r w:rsidRPr="002F50BD">
        <w:rPr>
          <w:rFonts w:ascii="Verdana" w:eastAsia="Times New Roman" w:hAnsi="Verdana"/>
          <w:sz w:val="16"/>
          <w:lang w:val="pt-BR"/>
        </w:rPr>
        <w:t>benefício</w:t>
      </w:r>
      <w:r w:rsidR="004756C1" w:rsidRPr="002F50BD">
        <w:rPr>
          <w:rFonts w:ascii="Verdana" w:eastAsia="Times New Roman" w:hAnsi="Verdana"/>
          <w:sz w:val="16"/>
          <w:lang w:val="pt-BR"/>
        </w:rPr>
        <w:t>,</w:t>
      </w:r>
      <w:r w:rsidRPr="002F50BD">
        <w:rPr>
          <w:rFonts w:ascii="Verdana" w:eastAsia="Times New Roman" w:hAnsi="Verdana"/>
          <w:sz w:val="16"/>
          <w:lang w:val="pt-BR"/>
        </w:rPr>
        <w:t xml:space="preserve"> na </w:t>
      </w:r>
      <w:r w:rsidR="004756C1" w:rsidRPr="002F50BD">
        <w:rPr>
          <w:rFonts w:ascii="Verdana" w:eastAsia="Times New Roman" w:hAnsi="Verdana"/>
          <w:sz w:val="16"/>
          <w:lang w:val="pt-BR"/>
        </w:rPr>
        <w:t>forma prevista</w:t>
      </w:r>
      <w:r w:rsidRPr="002F50BD">
        <w:rPr>
          <w:rFonts w:ascii="Verdana" w:eastAsia="Times New Roman" w:hAnsi="Verdana"/>
          <w:sz w:val="16"/>
          <w:lang w:val="pt-BR"/>
        </w:rPr>
        <w:t xml:space="preserve"> no 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19</w:t>
      </w:r>
      <w:r w:rsidR="004756C1" w:rsidRPr="002F50BD">
        <w:rPr>
          <w:rFonts w:ascii="Verdana" w:eastAsia="Times New Roman" w:hAnsi="Verdana"/>
          <w:sz w:val="16"/>
          <w:lang w:val="pt-BR"/>
        </w:rPr>
        <w:t>.</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Pr="002F50BD">
        <w:rPr>
          <w:rFonts w:ascii="Verdana" w:hAnsi="Verdana"/>
          <w:sz w:val="20"/>
          <w:lang w:val="pt-BR"/>
        </w:rPr>
        <w:t>constatou</w:t>
      </w:r>
      <w:r w:rsidR="004756C1" w:rsidRPr="002F50BD">
        <w:rPr>
          <w:rFonts w:ascii="Verdana" w:hAnsi="Verdana"/>
          <w:sz w:val="20"/>
          <w:lang w:val="pt-BR"/>
        </w:rPr>
        <w:t xml:space="preserve"> que</w:t>
      </w:r>
      <w:r w:rsidR="001D10A4" w:rsidRPr="002F50BD">
        <w:rPr>
          <w:rFonts w:ascii="Verdana" w:hAnsi="Verdana"/>
          <w:sz w:val="20"/>
          <w:lang w:val="pt-BR"/>
        </w:rPr>
        <w:t>,</w:t>
      </w:r>
      <w:r w:rsidRPr="002F50BD">
        <w:rPr>
          <w:rFonts w:ascii="Verdana" w:hAnsi="Verdana"/>
          <w:sz w:val="20"/>
          <w:lang w:val="pt-BR"/>
        </w:rPr>
        <w:t xml:space="preserve"> em </w:t>
      </w:r>
      <w:r w:rsidR="00063B47" w:rsidRPr="002F50BD">
        <w:rPr>
          <w:rFonts w:ascii="Verdana" w:hAnsi="Verdana"/>
          <w:sz w:val="20"/>
          <w:lang w:val="pt-BR"/>
        </w:rPr>
        <w:t>21</w:t>
      </w:r>
      <w:r w:rsidR="004756C1" w:rsidRPr="002F50BD">
        <w:rPr>
          <w:rFonts w:ascii="Verdana" w:hAnsi="Verdana"/>
          <w:sz w:val="20"/>
          <w:lang w:val="pt-BR"/>
        </w:rPr>
        <w:t xml:space="preserve"> de</w:t>
      </w:r>
      <w:r w:rsidRPr="002F50BD">
        <w:rPr>
          <w:rFonts w:ascii="Verdana" w:hAnsi="Verdana"/>
          <w:sz w:val="20"/>
          <w:lang w:val="pt-BR"/>
        </w:rPr>
        <w:t xml:space="preserve"> maio </w:t>
      </w:r>
      <w:r w:rsidR="004756C1" w:rsidRPr="002F50BD">
        <w:rPr>
          <w:rFonts w:ascii="Verdana" w:hAnsi="Verdana"/>
          <w:sz w:val="20"/>
          <w:lang w:val="pt-BR"/>
        </w:rPr>
        <w:t xml:space="preserve">de </w:t>
      </w:r>
      <w:r w:rsidR="00063B47" w:rsidRPr="002F50BD">
        <w:rPr>
          <w:rFonts w:ascii="Verdana" w:hAnsi="Verdana"/>
          <w:sz w:val="20"/>
          <w:lang w:val="pt-BR"/>
        </w:rPr>
        <w:t>1998</w:t>
      </w:r>
      <w:r w:rsidR="001D10A4"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iniciaram</w:t>
      </w:r>
      <w:r w:rsidR="00F130FD">
        <w:rPr>
          <w:rFonts w:ascii="Verdana" w:hAnsi="Verdana"/>
          <w:sz w:val="20"/>
          <w:lang w:val="pt-BR"/>
        </w:rPr>
        <w:t>-se</w:t>
      </w:r>
      <w:r w:rsidRPr="002F50BD">
        <w:rPr>
          <w:rFonts w:ascii="Verdana" w:hAnsi="Verdana"/>
          <w:sz w:val="20"/>
          <w:lang w:val="pt-BR"/>
        </w:rPr>
        <w:t xml:space="preserve"> os trâmite</w:t>
      </w:r>
      <w:r w:rsidR="004756C1" w:rsidRPr="002F50BD">
        <w:rPr>
          <w:rFonts w:ascii="Verdana" w:hAnsi="Verdana"/>
          <w:sz w:val="20"/>
          <w:lang w:val="pt-BR"/>
        </w:rPr>
        <w:t xml:space="preserve">s </w:t>
      </w:r>
      <w:r w:rsidR="00D95E71" w:rsidRPr="002F50BD">
        <w:rPr>
          <w:rFonts w:ascii="Verdana" w:hAnsi="Verdana"/>
          <w:sz w:val="20"/>
          <w:lang w:val="pt-BR"/>
        </w:rPr>
        <w:t>per</w:t>
      </w:r>
      <w:r w:rsidR="004756C1" w:rsidRPr="002F50BD">
        <w:rPr>
          <w:rFonts w:ascii="Verdana" w:hAnsi="Verdana"/>
          <w:sz w:val="20"/>
          <w:lang w:val="pt-BR"/>
        </w:rPr>
        <w:t>ante</w:t>
      </w:r>
      <w:r w:rsidRPr="002F50BD">
        <w:rPr>
          <w:rFonts w:ascii="Verdana" w:hAnsi="Verdana"/>
          <w:sz w:val="20"/>
          <w:lang w:val="pt-BR"/>
        </w:rPr>
        <w:t xml:space="preserve"> o </w:t>
      </w:r>
      <w:r w:rsidR="004756C1" w:rsidRPr="002F50BD">
        <w:rPr>
          <w:rFonts w:ascii="Verdana" w:hAnsi="Verdana"/>
          <w:sz w:val="20"/>
          <w:lang w:val="pt-BR"/>
        </w:rPr>
        <w:t>INDI para</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 xml:space="preserve">conhecimento da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19</w:t>
      </w:r>
      <w:r w:rsidR="00D95E71"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decreto </w:t>
      </w:r>
      <w:r w:rsidR="00D95E71" w:rsidRPr="002F50BD">
        <w:rPr>
          <w:rFonts w:ascii="Verdana" w:hAnsi="Verdana"/>
          <w:sz w:val="20"/>
          <w:lang w:val="pt-BR"/>
        </w:rPr>
        <w:t>por meio d</w:t>
      </w:r>
      <w:r w:rsidRPr="002F50BD">
        <w:rPr>
          <w:rFonts w:ascii="Verdana" w:hAnsi="Verdana"/>
          <w:sz w:val="20"/>
          <w:lang w:val="pt-BR"/>
        </w:rPr>
        <w:t xml:space="preserve">o qual </w:t>
      </w:r>
      <w:r w:rsidR="00F130FD">
        <w:rPr>
          <w:rFonts w:ascii="Verdana" w:hAnsi="Verdana"/>
          <w:sz w:val="20"/>
          <w:lang w:val="pt-BR"/>
        </w:rPr>
        <w:t>foi</w:t>
      </w:r>
      <w:r w:rsidR="004756C1" w:rsidRPr="002F50BD">
        <w:rPr>
          <w:rFonts w:ascii="Verdana" w:hAnsi="Verdana"/>
          <w:sz w:val="20"/>
          <w:lang w:val="pt-BR"/>
        </w:rPr>
        <w:t xml:space="preserve"> re</w:t>
      </w:r>
      <w:r w:rsidRPr="002F50BD">
        <w:rPr>
          <w:rFonts w:ascii="Verdana" w:hAnsi="Verdana"/>
          <w:sz w:val="20"/>
          <w:lang w:val="pt-BR"/>
        </w:rPr>
        <w:t>conhec</w:t>
      </w:r>
      <w:r w:rsidR="00F130FD">
        <w:rPr>
          <w:rFonts w:ascii="Verdana" w:hAnsi="Verdana"/>
          <w:sz w:val="20"/>
          <w:lang w:val="pt-BR"/>
        </w:rPr>
        <w:t>ida</w:t>
      </w:r>
      <w:r w:rsidRPr="002F50BD">
        <w:rPr>
          <w:rFonts w:ascii="Verdana" w:hAnsi="Verdana"/>
          <w:sz w:val="20"/>
          <w:lang w:val="pt-BR"/>
        </w:rPr>
        <w:t xml:space="preserve"> 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da Comunidade foi </w:t>
      </w:r>
      <w:r w:rsidR="004756C1" w:rsidRPr="002F50BD">
        <w:rPr>
          <w:rFonts w:ascii="Verdana" w:hAnsi="Verdana"/>
          <w:sz w:val="20"/>
          <w:lang w:val="pt-BR"/>
        </w:rPr>
        <w:t>emitido</w:t>
      </w:r>
      <w:r w:rsidRPr="002F50BD">
        <w:rPr>
          <w:rFonts w:ascii="Verdana" w:hAnsi="Verdana"/>
          <w:sz w:val="20"/>
          <w:lang w:val="pt-BR"/>
        </w:rPr>
        <w:t xml:space="preserve"> </w:t>
      </w:r>
      <w:r w:rsidR="00D95E71" w:rsidRPr="002F50BD">
        <w:rPr>
          <w:rFonts w:ascii="Verdana" w:hAnsi="Verdana"/>
          <w:sz w:val="20"/>
          <w:lang w:val="pt-BR"/>
        </w:rPr>
        <w:t>em</w:t>
      </w:r>
      <w:r w:rsidRPr="002F50BD">
        <w:rPr>
          <w:rFonts w:ascii="Verdana" w:hAnsi="Verdana"/>
          <w:sz w:val="20"/>
          <w:lang w:val="pt-BR"/>
        </w:rPr>
        <w:t xml:space="preserve"> </w:t>
      </w:r>
      <w:r w:rsidR="00063B47" w:rsidRPr="002F50BD">
        <w:rPr>
          <w:rFonts w:ascii="Verdana" w:hAnsi="Verdana"/>
          <w:sz w:val="20"/>
          <w:lang w:val="pt-BR"/>
        </w:rPr>
        <w:t>10</w:t>
      </w:r>
      <w:r w:rsidR="004756C1" w:rsidRPr="002F50BD">
        <w:rPr>
          <w:rFonts w:ascii="Verdana" w:hAnsi="Verdana"/>
          <w:sz w:val="20"/>
          <w:lang w:val="pt-BR"/>
        </w:rPr>
        <w:t xml:space="preserve"> de </w:t>
      </w:r>
      <w:r w:rsidRPr="002F50BD">
        <w:rPr>
          <w:rFonts w:ascii="Verdana" w:hAnsi="Verdana"/>
          <w:sz w:val="20"/>
          <w:lang w:val="pt-BR"/>
        </w:rPr>
        <w:t>dezembro</w:t>
      </w:r>
      <w:r w:rsidR="004756C1" w:rsidRPr="002F50BD">
        <w:rPr>
          <w:rFonts w:ascii="Verdana" w:hAnsi="Verdana"/>
          <w:sz w:val="20"/>
          <w:lang w:val="pt-BR"/>
        </w:rPr>
        <w:t xml:space="preserve"> de </w:t>
      </w:r>
      <w:r w:rsidR="00063B47" w:rsidRPr="002F50BD">
        <w:rPr>
          <w:rFonts w:ascii="Verdana" w:hAnsi="Verdana"/>
          <w:sz w:val="20"/>
          <w:lang w:val="pt-BR"/>
        </w:rPr>
        <w:t>2001</w:t>
      </w:r>
      <w:r w:rsidR="004756C1" w:rsidRPr="002F50BD">
        <w:rPr>
          <w:rFonts w:ascii="Verdana" w:hAnsi="Verdana"/>
          <w:sz w:val="20"/>
          <w:lang w:val="pt-BR"/>
        </w:rPr>
        <w:t>,</w:t>
      </w:r>
      <w:r w:rsidRPr="002F50BD">
        <w:rPr>
          <w:rFonts w:ascii="Verdana" w:hAnsi="Verdana"/>
          <w:sz w:val="20"/>
          <w:lang w:val="pt-BR"/>
        </w:rPr>
        <w:t xml:space="preserve"> </w:t>
      </w:r>
      <w:r w:rsidR="00D95E71" w:rsidRPr="002F50BD">
        <w:rPr>
          <w:rFonts w:ascii="Verdana" w:hAnsi="Verdana"/>
          <w:sz w:val="20"/>
          <w:lang w:val="pt-BR"/>
        </w:rPr>
        <w:t>isto é</w:t>
      </w:r>
      <w:r w:rsidR="004756C1" w:rsidRPr="002F50BD">
        <w:rPr>
          <w:rFonts w:ascii="Verdana" w:hAnsi="Verdana"/>
          <w:sz w:val="20"/>
          <w:lang w:val="pt-BR"/>
        </w:rPr>
        <w:t>,</w:t>
      </w:r>
      <w:r w:rsidRPr="002F50BD">
        <w:rPr>
          <w:rFonts w:ascii="Verdana" w:hAnsi="Verdana"/>
          <w:sz w:val="20"/>
          <w:lang w:val="pt-BR"/>
        </w:rPr>
        <w:t xml:space="preserve"> três anos</w:t>
      </w:r>
      <w:r w:rsidR="004756C1" w:rsidRPr="002F50BD">
        <w:rPr>
          <w:rFonts w:ascii="Verdana" w:hAnsi="Verdana"/>
          <w:sz w:val="20"/>
          <w:lang w:val="pt-BR"/>
        </w:rPr>
        <w:t>, seis meses</w:t>
      </w:r>
      <w:r w:rsidRPr="002F50BD">
        <w:rPr>
          <w:rFonts w:ascii="Verdana" w:hAnsi="Verdana"/>
          <w:sz w:val="20"/>
          <w:lang w:val="pt-BR"/>
        </w:rPr>
        <w:t xml:space="preserve"> e </w:t>
      </w:r>
      <w:r w:rsidR="00063B47" w:rsidRPr="002F50BD">
        <w:rPr>
          <w:rFonts w:ascii="Verdana" w:hAnsi="Verdana"/>
          <w:sz w:val="20"/>
          <w:lang w:val="pt-BR"/>
        </w:rPr>
        <w:t>19</w:t>
      </w:r>
      <w:r w:rsidR="004756C1" w:rsidRPr="002F50BD">
        <w:rPr>
          <w:rFonts w:ascii="Verdana" w:hAnsi="Verdana"/>
          <w:sz w:val="20"/>
          <w:lang w:val="pt-BR"/>
        </w:rPr>
        <w:t xml:space="preserve"> </w:t>
      </w:r>
      <w:r w:rsidRPr="002F50BD">
        <w:rPr>
          <w:rFonts w:ascii="Verdana" w:hAnsi="Verdana"/>
          <w:sz w:val="20"/>
          <w:lang w:val="pt-BR"/>
        </w:rPr>
        <w:t>dia</w:t>
      </w:r>
      <w:r w:rsidR="004756C1" w:rsidRPr="002F50BD">
        <w:rPr>
          <w:rFonts w:ascii="Verdana" w:hAnsi="Verdana"/>
          <w:sz w:val="20"/>
          <w:lang w:val="pt-BR"/>
        </w:rPr>
        <w:t xml:space="preserve">s </w:t>
      </w:r>
      <w:r w:rsidRPr="002F50BD">
        <w:rPr>
          <w:rFonts w:ascii="Verdana" w:hAnsi="Verdana"/>
          <w:sz w:val="20"/>
          <w:lang w:val="pt-BR"/>
        </w:rPr>
        <w:t>depois</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22</w:t>
      </w:r>
      <w:r w:rsidR="00D95E71"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Corte considera que</w:t>
      </w:r>
      <w:r w:rsidRPr="002F50BD">
        <w:rPr>
          <w:rFonts w:ascii="Verdana" w:hAnsi="Verdana"/>
          <w:sz w:val="20"/>
          <w:lang w:val="pt-BR"/>
        </w:rPr>
        <w:t xml:space="preserve"> a </w:t>
      </w:r>
      <w:r w:rsidR="00C03ED8" w:rsidRPr="002F50BD">
        <w:rPr>
          <w:rFonts w:ascii="Verdana" w:hAnsi="Verdana"/>
          <w:sz w:val="20"/>
          <w:lang w:val="pt-BR"/>
        </w:rPr>
        <w:t>complexidade</w:t>
      </w:r>
      <w:r w:rsidRPr="002F50BD">
        <w:rPr>
          <w:rFonts w:ascii="Verdana" w:hAnsi="Verdana"/>
          <w:sz w:val="20"/>
          <w:lang w:val="pt-BR"/>
        </w:rPr>
        <w:t xml:space="preserve"> deste procedimento</w:t>
      </w:r>
      <w:r w:rsidR="004756C1" w:rsidRPr="002F50BD">
        <w:rPr>
          <w:rFonts w:ascii="Verdana" w:hAnsi="Verdana"/>
          <w:sz w:val="20"/>
          <w:lang w:val="pt-BR"/>
        </w:rPr>
        <w:t xml:space="preserve"> era mínima</w:t>
      </w:r>
      <w:r w:rsidRPr="002F50BD">
        <w:rPr>
          <w:rFonts w:ascii="Verdana" w:hAnsi="Verdana"/>
          <w:sz w:val="20"/>
          <w:lang w:val="pt-BR"/>
        </w:rPr>
        <w:t xml:space="preserve"> e </w:t>
      </w:r>
      <w:r w:rsidR="004756C1" w:rsidRPr="002F50BD">
        <w:rPr>
          <w:rFonts w:ascii="Verdana" w:hAnsi="Verdana"/>
          <w:sz w:val="20"/>
          <w:lang w:val="pt-BR"/>
        </w:rPr>
        <w:t>que</w:t>
      </w:r>
      <w:r w:rsidRPr="002F50BD">
        <w:rPr>
          <w:rFonts w:ascii="Verdana" w:hAnsi="Verdana"/>
          <w:sz w:val="20"/>
          <w:lang w:val="pt-BR"/>
        </w:rPr>
        <w:t xml:space="preserve"> o </w:t>
      </w:r>
      <w:r w:rsidR="004756C1" w:rsidRPr="002F50BD">
        <w:rPr>
          <w:rFonts w:ascii="Verdana" w:hAnsi="Verdana"/>
          <w:sz w:val="20"/>
          <w:lang w:val="pt-BR"/>
        </w:rPr>
        <w:t>Estado n</w:t>
      </w:r>
      <w:r w:rsidR="00D95E71" w:rsidRPr="002F50BD">
        <w:rPr>
          <w:rFonts w:ascii="Verdana" w:hAnsi="Verdana"/>
          <w:sz w:val="20"/>
          <w:lang w:val="pt-BR"/>
        </w:rPr>
        <w:t>ã</w:t>
      </w:r>
      <w:r w:rsidR="004756C1" w:rsidRPr="002F50BD">
        <w:rPr>
          <w:rFonts w:ascii="Verdana" w:hAnsi="Verdana"/>
          <w:sz w:val="20"/>
          <w:lang w:val="pt-BR"/>
        </w:rPr>
        <w:t xml:space="preserve">o </w:t>
      </w:r>
      <w:r w:rsidR="00D95E71" w:rsidRPr="002F50BD">
        <w:rPr>
          <w:rFonts w:ascii="Verdana" w:hAnsi="Verdana"/>
          <w:sz w:val="20"/>
          <w:lang w:val="pt-BR"/>
        </w:rPr>
        <w:t xml:space="preserve">justificou </w:t>
      </w:r>
      <w:r w:rsidR="00F130FD">
        <w:rPr>
          <w:rFonts w:ascii="Verdana" w:hAnsi="Verdana"/>
          <w:sz w:val="20"/>
          <w:lang w:val="pt-BR"/>
        </w:rPr>
        <w:t xml:space="preserve">a </w:t>
      </w:r>
      <w:r w:rsidR="004756C1" w:rsidRPr="002F50BD">
        <w:rPr>
          <w:rFonts w:ascii="Verdana" w:hAnsi="Verdana"/>
          <w:sz w:val="20"/>
          <w:lang w:val="pt-BR"/>
        </w:rPr>
        <w:t>mencionada demora</w:t>
      </w:r>
      <w:r w:rsidR="00D95E71" w:rsidRPr="002F50BD">
        <w:rPr>
          <w:rFonts w:ascii="Verdana" w:hAnsi="Verdana"/>
          <w:sz w:val="20"/>
          <w:lang w:val="pt-BR"/>
        </w:rPr>
        <w:t>. E</w:t>
      </w:r>
      <w:r w:rsidRPr="002F50BD">
        <w:rPr>
          <w:rFonts w:ascii="Verdana" w:hAnsi="Verdana"/>
          <w:sz w:val="20"/>
          <w:lang w:val="pt-BR"/>
        </w:rPr>
        <w:t>m consequência</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Tribunal</w:t>
      </w:r>
      <w:r w:rsidRPr="002F50BD">
        <w:rPr>
          <w:rFonts w:ascii="Verdana" w:hAnsi="Verdana"/>
          <w:sz w:val="20"/>
          <w:lang w:val="pt-BR"/>
        </w:rPr>
        <w:t xml:space="preserve"> a </w:t>
      </w:r>
      <w:r w:rsidR="004756C1" w:rsidRPr="002F50BD">
        <w:rPr>
          <w:rFonts w:ascii="Verdana" w:hAnsi="Verdana"/>
          <w:sz w:val="20"/>
          <w:lang w:val="pt-BR"/>
        </w:rPr>
        <w:t>considera desproporciona</w:t>
      </w:r>
      <w:r w:rsidR="00F130FD">
        <w:rPr>
          <w:rFonts w:ascii="Verdana" w:hAnsi="Verdana"/>
          <w:sz w:val="20"/>
          <w:lang w:val="pt-BR"/>
        </w:rPr>
        <w:t>l</w:t>
      </w:r>
      <w:r w:rsidR="004756C1" w:rsidRPr="002F50BD">
        <w:rPr>
          <w:rFonts w:ascii="Verdana" w:hAnsi="Verdana"/>
          <w:sz w:val="20"/>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i/>
          <w:sz w:val="20"/>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i/>
          <w:sz w:val="20"/>
          <w:lang w:val="pt-BR"/>
        </w:rPr>
      </w:pPr>
      <w:r w:rsidRPr="002F50BD">
        <w:rPr>
          <w:rFonts w:ascii="Verdana" w:hAnsi="Verdana"/>
          <w:i/>
          <w:sz w:val="20"/>
          <w:lang w:val="pt-BR"/>
        </w:rPr>
        <w:tab/>
      </w:r>
      <w:r w:rsidRPr="002F50BD">
        <w:rPr>
          <w:rFonts w:ascii="Verdana" w:hAnsi="Verdana"/>
          <w:i/>
          <w:sz w:val="20"/>
          <w:lang w:val="pt-BR"/>
        </w:rPr>
        <w:tab/>
      </w:r>
      <w:r w:rsidRPr="002F50BD">
        <w:rPr>
          <w:rFonts w:ascii="Verdana" w:hAnsi="Verdana"/>
          <w:sz w:val="20"/>
          <w:lang w:val="pt-BR"/>
        </w:rPr>
        <w:t xml:space="preserve">iii. </w:t>
      </w:r>
      <w:r w:rsidRPr="002F50BD">
        <w:rPr>
          <w:rFonts w:ascii="Verdana" w:hAnsi="Verdana"/>
          <w:sz w:val="20"/>
          <w:lang w:val="pt-BR"/>
        </w:rPr>
        <w:tab/>
      </w:r>
      <w:r w:rsidR="0089298C" w:rsidRPr="002F50BD">
        <w:rPr>
          <w:rFonts w:ascii="Verdana" w:hAnsi="Verdana"/>
          <w:sz w:val="20"/>
          <w:lang w:val="pt-BR"/>
        </w:rPr>
        <w:t>Processo</w:t>
      </w:r>
      <w:r w:rsidRPr="002F50BD">
        <w:rPr>
          <w:rFonts w:ascii="Verdana" w:hAnsi="Verdana"/>
          <w:sz w:val="20"/>
          <w:lang w:val="pt-BR"/>
        </w:rPr>
        <w:t xml:space="preserve"> administrativo 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 xml:space="preserve">s </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64</w:t>
      </w:r>
      <w:r w:rsidRPr="002F50BD">
        <w:rPr>
          <w:rFonts w:ascii="Verdana" w:hAnsi="Verdana"/>
          <w:sz w:val="20"/>
          <w:lang w:val="pt-BR"/>
        </w:rPr>
        <w:t xml:space="preserve"> da Constituição</w:t>
      </w:r>
      <w:r w:rsidR="004756C1" w:rsidRPr="002F50BD">
        <w:rPr>
          <w:rFonts w:ascii="Verdana" w:hAnsi="Verdana"/>
          <w:sz w:val="20"/>
          <w:lang w:val="pt-BR"/>
        </w:rPr>
        <w:t xml:space="preserve"> Política </w:t>
      </w:r>
      <w:r w:rsidRPr="002F50BD">
        <w:rPr>
          <w:rFonts w:ascii="Verdana" w:hAnsi="Verdana"/>
          <w:sz w:val="20"/>
          <w:lang w:val="pt-BR"/>
        </w:rPr>
        <w:t>do Paraguai</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540"/>
        <w:jc w:val="both"/>
        <w:rPr>
          <w:rFonts w:ascii="Verdana"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w:t>
      </w:r>
      <w:r w:rsidR="00D95E71" w:rsidRPr="002F50BD">
        <w:rPr>
          <w:rFonts w:ascii="Verdana" w:hAnsi="Verdana"/>
          <w:sz w:val="16"/>
          <w:szCs w:val="32"/>
          <w:lang w:val="pt-BR"/>
        </w:rPr>
        <w:t>o</w:t>
      </w:r>
      <w:r w:rsidRPr="002F50BD">
        <w:rPr>
          <w:rFonts w:ascii="Verdana" w:hAnsi="Verdana"/>
          <w:sz w:val="16"/>
          <w:szCs w:val="32"/>
          <w:lang w:val="pt-BR"/>
        </w:rPr>
        <w:t xml:space="preserve">]s </w:t>
      </w:r>
      <w:r w:rsidR="0089298C" w:rsidRPr="002F50BD">
        <w:rPr>
          <w:rFonts w:ascii="Verdana" w:hAnsi="Verdana"/>
          <w:sz w:val="16"/>
          <w:szCs w:val="32"/>
          <w:lang w:val="pt-BR"/>
        </w:rPr>
        <w:t>povo</w:t>
      </w:r>
      <w:r w:rsidRPr="002F50BD">
        <w:rPr>
          <w:rFonts w:ascii="Verdana" w:hAnsi="Verdana"/>
          <w:sz w:val="16"/>
          <w:szCs w:val="32"/>
          <w:lang w:val="pt-BR"/>
        </w:rPr>
        <w:t xml:space="preserve">s indígenas </w:t>
      </w:r>
      <w:r w:rsidR="0089298C" w:rsidRPr="002F50BD">
        <w:rPr>
          <w:rFonts w:ascii="Verdana" w:hAnsi="Verdana"/>
          <w:sz w:val="16"/>
          <w:szCs w:val="32"/>
          <w:lang w:val="pt-BR"/>
        </w:rPr>
        <w:t>têm</w:t>
      </w:r>
      <w:r w:rsidRPr="002F50BD">
        <w:rPr>
          <w:rFonts w:ascii="Verdana" w:hAnsi="Verdana"/>
          <w:sz w:val="16"/>
          <w:szCs w:val="32"/>
          <w:lang w:val="pt-BR"/>
        </w:rPr>
        <w:t xml:space="preserve"> </w:t>
      </w:r>
      <w:r w:rsidR="0089298C" w:rsidRPr="002F50BD">
        <w:rPr>
          <w:rFonts w:ascii="Verdana" w:hAnsi="Verdana"/>
          <w:sz w:val="16"/>
          <w:szCs w:val="32"/>
          <w:lang w:val="pt-BR"/>
        </w:rPr>
        <w:t>direito à propriedade</w:t>
      </w:r>
      <w:r w:rsidRPr="002F50BD">
        <w:rPr>
          <w:rFonts w:ascii="Verdana" w:hAnsi="Verdana"/>
          <w:sz w:val="16"/>
          <w:szCs w:val="32"/>
          <w:lang w:val="pt-BR"/>
        </w:rPr>
        <w:t xml:space="preserve"> </w:t>
      </w:r>
      <w:r w:rsidR="004076AD" w:rsidRPr="002F50BD">
        <w:rPr>
          <w:rFonts w:ascii="Verdana" w:hAnsi="Verdana"/>
          <w:sz w:val="16"/>
          <w:szCs w:val="32"/>
          <w:lang w:val="pt-BR"/>
        </w:rPr>
        <w:t>comunitári</w:t>
      </w:r>
      <w:r w:rsidRPr="002F50BD">
        <w:rPr>
          <w:rFonts w:ascii="Verdana" w:hAnsi="Verdana"/>
          <w:sz w:val="16"/>
          <w:szCs w:val="32"/>
          <w:lang w:val="pt-BR"/>
        </w:rPr>
        <w:t>a</w:t>
      </w:r>
      <w:r w:rsidR="0089298C" w:rsidRPr="002F50BD">
        <w:rPr>
          <w:rFonts w:ascii="Verdana" w:hAnsi="Verdana"/>
          <w:sz w:val="16"/>
          <w:szCs w:val="32"/>
          <w:lang w:val="pt-BR"/>
        </w:rPr>
        <w:t xml:space="preserve"> da terra</w:t>
      </w:r>
      <w:r w:rsidRPr="002F50BD">
        <w:rPr>
          <w:rFonts w:ascii="Verdana" w:hAnsi="Verdana"/>
          <w:sz w:val="16"/>
          <w:szCs w:val="32"/>
          <w:lang w:val="pt-BR"/>
        </w:rPr>
        <w:t>,</w:t>
      </w:r>
      <w:r w:rsidR="0089298C" w:rsidRPr="002F50BD">
        <w:rPr>
          <w:rFonts w:ascii="Verdana" w:hAnsi="Verdana"/>
          <w:sz w:val="16"/>
          <w:szCs w:val="32"/>
          <w:lang w:val="pt-BR"/>
        </w:rPr>
        <w:t xml:space="preserve"> em extensão e </w:t>
      </w:r>
      <w:r w:rsidR="0089298C" w:rsidRPr="002F50BD">
        <w:rPr>
          <w:rFonts w:ascii="Verdana" w:hAnsi="Verdana"/>
          <w:sz w:val="16"/>
          <w:szCs w:val="32"/>
          <w:lang w:val="pt-BR"/>
        </w:rPr>
        <w:lastRenderedPageBreak/>
        <w:t xml:space="preserve">qualidade </w:t>
      </w:r>
      <w:r w:rsidRPr="002F50BD">
        <w:rPr>
          <w:rFonts w:ascii="Verdana" w:hAnsi="Verdana"/>
          <w:sz w:val="16"/>
          <w:szCs w:val="32"/>
          <w:lang w:val="pt-BR"/>
        </w:rPr>
        <w:t>suficientes para</w:t>
      </w:r>
      <w:r w:rsidR="0089298C" w:rsidRPr="002F50BD">
        <w:rPr>
          <w:rFonts w:ascii="Verdana" w:hAnsi="Verdana"/>
          <w:sz w:val="16"/>
          <w:szCs w:val="32"/>
          <w:lang w:val="pt-BR"/>
        </w:rPr>
        <w:t xml:space="preserve"> a </w:t>
      </w:r>
      <w:r w:rsidRPr="002F50BD">
        <w:rPr>
          <w:rFonts w:ascii="Verdana" w:hAnsi="Verdana"/>
          <w:sz w:val="16"/>
          <w:szCs w:val="32"/>
          <w:lang w:val="pt-BR"/>
        </w:rPr>
        <w:t>conserva</w:t>
      </w:r>
      <w:r w:rsidR="0089298C" w:rsidRPr="002F50BD">
        <w:rPr>
          <w:rFonts w:ascii="Verdana" w:hAnsi="Verdana"/>
          <w:sz w:val="16"/>
          <w:szCs w:val="32"/>
          <w:lang w:val="pt-BR"/>
        </w:rPr>
        <w:t>ção e o desenvolvimento</w:t>
      </w:r>
      <w:r w:rsidRPr="002F50BD">
        <w:rPr>
          <w:rFonts w:ascii="Verdana" w:hAnsi="Verdana"/>
          <w:sz w:val="16"/>
          <w:szCs w:val="32"/>
          <w:lang w:val="pt-BR"/>
        </w:rPr>
        <w:t xml:space="preserve"> de su</w:t>
      </w:r>
      <w:r w:rsidR="00D95E71" w:rsidRPr="002F50BD">
        <w:rPr>
          <w:rFonts w:ascii="Verdana" w:hAnsi="Verdana"/>
          <w:sz w:val="16"/>
          <w:szCs w:val="32"/>
          <w:lang w:val="pt-BR"/>
        </w:rPr>
        <w:t>a</w:t>
      </w:r>
      <w:r w:rsidRPr="002F50BD">
        <w:rPr>
          <w:rFonts w:ascii="Verdana" w:hAnsi="Verdana"/>
          <w:sz w:val="16"/>
          <w:szCs w:val="32"/>
          <w:lang w:val="pt-BR"/>
        </w:rPr>
        <w:t>s formas peculiares de vida</w:t>
      </w:r>
      <w:r w:rsidR="00D95E71" w:rsidRPr="002F50BD">
        <w:rPr>
          <w:rFonts w:ascii="Verdana" w:hAnsi="Verdana"/>
          <w:sz w:val="16"/>
          <w:szCs w:val="32"/>
          <w:lang w:val="pt-BR"/>
        </w:rPr>
        <w:t xml:space="preserve">. </w:t>
      </w:r>
      <w:r w:rsidR="00A157C9">
        <w:rPr>
          <w:rFonts w:ascii="Verdana" w:hAnsi="Verdana"/>
          <w:sz w:val="16"/>
          <w:szCs w:val="32"/>
          <w:lang w:val="pt-BR"/>
        </w:rPr>
        <w:t xml:space="preserve">O Estado lhes fornecerá gratuitamente </w:t>
      </w:r>
      <w:r w:rsidR="0089298C" w:rsidRPr="002F50BD">
        <w:rPr>
          <w:rFonts w:ascii="Verdana" w:hAnsi="Verdana"/>
          <w:sz w:val="16"/>
          <w:szCs w:val="32"/>
          <w:lang w:val="pt-BR"/>
        </w:rPr>
        <w:t>esta</w:t>
      </w:r>
      <w:r w:rsidRPr="002F50BD">
        <w:rPr>
          <w:rFonts w:ascii="Verdana" w:hAnsi="Verdana"/>
          <w:sz w:val="16"/>
          <w:szCs w:val="32"/>
          <w:lang w:val="pt-BR"/>
        </w:rPr>
        <w:t xml:space="preserve">s </w:t>
      </w:r>
      <w:r w:rsidR="0089298C" w:rsidRPr="002F50BD">
        <w:rPr>
          <w:rFonts w:ascii="Verdana" w:hAnsi="Verdana"/>
          <w:sz w:val="16"/>
          <w:szCs w:val="32"/>
          <w:lang w:val="pt-BR"/>
        </w:rPr>
        <w:t>terra</w:t>
      </w:r>
      <w:r w:rsidRPr="002F50BD">
        <w:rPr>
          <w:rFonts w:ascii="Verdana" w:hAnsi="Verdana"/>
          <w:sz w:val="16"/>
          <w:szCs w:val="32"/>
          <w:lang w:val="pt-BR"/>
        </w:rPr>
        <w:t>s,</w:t>
      </w:r>
      <w:r w:rsidR="0089298C" w:rsidRPr="002F50BD">
        <w:rPr>
          <w:rFonts w:ascii="Verdana" w:hAnsi="Verdana"/>
          <w:sz w:val="16"/>
          <w:szCs w:val="32"/>
          <w:lang w:val="pt-BR"/>
        </w:rPr>
        <w:t xml:space="preserve"> as quais</w:t>
      </w:r>
      <w:r w:rsidRPr="002F50BD">
        <w:rPr>
          <w:rFonts w:ascii="Verdana" w:hAnsi="Verdana"/>
          <w:sz w:val="16"/>
          <w:szCs w:val="32"/>
          <w:lang w:val="pt-BR"/>
        </w:rPr>
        <w:t xml:space="preserve"> </w:t>
      </w:r>
      <w:r w:rsidR="0089298C" w:rsidRPr="002F50BD">
        <w:rPr>
          <w:rFonts w:ascii="Verdana" w:hAnsi="Verdana"/>
          <w:sz w:val="16"/>
          <w:szCs w:val="32"/>
          <w:lang w:val="pt-BR"/>
        </w:rPr>
        <w:t>serão</w:t>
      </w:r>
      <w:r w:rsidRPr="002F50BD">
        <w:rPr>
          <w:rFonts w:ascii="Verdana" w:hAnsi="Verdana"/>
          <w:sz w:val="16"/>
          <w:szCs w:val="32"/>
          <w:lang w:val="pt-BR"/>
        </w:rPr>
        <w:t xml:space="preserve"> </w:t>
      </w:r>
      <w:r w:rsidR="00D95E71" w:rsidRPr="002F50BD">
        <w:rPr>
          <w:rFonts w:ascii="Verdana" w:hAnsi="Verdana"/>
          <w:sz w:val="16"/>
          <w:szCs w:val="32"/>
          <w:lang w:val="pt-BR"/>
        </w:rPr>
        <w:t>não embargáveis</w:t>
      </w:r>
      <w:r w:rsidRPr="002F50BD">
        <w:rPr>
          <w:rFonts w:ascii="Verdana" w:hAnsi="Verdana"/>
          <w:sz w:val="16"/>
          <w:szCs w:val="32"/>
          <w:lang w:val="pt-BR"/>
        </w:rPr>
        <w:t>, indivis</w:t>
      </w:r>
      <w:r w:rsidR="00D95E71" w:rsidRPr="002F50BD">
        <w:rPr>
          <w:rFonts w:ascii="Verdana" w:hAnsi="Verdana"/>
          <w:sz w:val="16"/>
          <w:szCs w:val="32"/>
          <w:lang w:val="pt-BR"/>
        </w:rPr>
        <w:t>íveis</w:t>
      </w:r>
      <w:r w:rsidRPr="002F50BD">
        <w:rPr>
          <w:rFonts w:ascii="Verdana" w:hAnsi="Verdana"/>
          <w:sz w:val="16"/>
          <w:szCs w:val="32"/>
          <w:lang w:val="pt-BR"/>
        </w:rPr>
        <w:t>, intransfer</w:t>
      </w:r>
      <w:r w:rsidR="00D95E71" w:rsidRPr="002F50BD">
        <w:rPr>
          <w:rFonts w:ascii="Verdana" w:hAnsi="Verdana"/>
          <w:sz w:val="16"/>
          <w:szCs w:val="32"/>
          <w:lang w:val="pt-BR"/>
        </w:rPr>
        <w:t>íveis</w:t>
      </w:r>
      <w:r w:rsidRPr="002F50BD">
        <w:rPr>
          <w:rFonts w:ascii="Verdana" w:hAnsi="Verdana"/>
          <w:sz w:val="16"/>
          <w:szCs w:val="32"/>
          <w:lang w:val="pt-BR"/>
        </w:rPr>
        <w:t xml:space="preserve">, </w:t>
      </w:r>
      <w:r w:rsidR="0089298C" w:rsidRPr="002F50BD">
        <w:rPr>
          <w:rFonts w:ascii="Verdana" w:hAnsi="Verdana"/>
          <w:sz w:val="16"/>
          <w:szCs w:val="32"/>
          <w:lang w:val="pt-BR"/>
        </w:rPr>
        <w:t>imprescrit</w:t>
      </w:r>
      <w:r w:rsidR="00D95E71" w:rsidRPr="002F50BD">
        <w:rPr>
          <w:rFonts w:ascii="Verdana" w:hAnsi="Verdana"/>
          <w:sz w:val="16"/>
          <w:szCs w:val="32"/>
          <w:lang w:val="pt-BR"/>
        </w:rPr>
        <w:t>íveis</w:t>
      </w:r>
      <w:r w:rsidRPr="002F50BD">
        <w:rPr>
          <w:rFonts w:ascii="Verdana" w:hAnsi="Verdana"/>
          <w:sz w:val="16"/>
          <w:szCs w:val="32"/>
          <w:lang w:val="pt-BR"/>
        </w:rPr>
        <w:t>, n</w:t>
      </w:r>
      <w:r w:rsidR="00D95E71" w:rsidRPr="002F50BD">
        <w:rPr>
          <w:rFonts w:ascii="Verdana" w:hAnsi="Verdana"/>
          <w:sz w:val="16"/>
          <w:szCs w:val="32"/>
          <w:lang w:val="pt-BR"/>
        </w:rPr>
        <w:t>ã</w:t>
      </w:r>
      <w:r w:rsidRPr="002F50BD">
        <w:rPr>
          <w:rFonts w:ascii="Verdana" w:hAnsi="Verdana"/>
          <w:sz w:val="16"/>
          <w:szCs w:val="32"/>
          <w:lang w:val="pt-BR"/>
        </w:rPr>
        <w:t>o suscet</w:t>
      </w:r>
      <w:r w:rsidR="0089298C" w:rsidRPr="002F50BD">
        <w:rPr>
          <w:rFonts w:ascii="Verdana" w:hAnsi="Verdana"/>
          <w:sz w:val="16"/>
          <w:szCs w:val="32"/>
          <w:lang w:val="pt-BR"/>
        </w:rPr>
        <w:t xml:space="preserve">íveis </w:t>
      </w:r>
      <w:r w:rsidRPr="002F50BD">
        <w:rPr>
          <w:rFonts w:ascii="Verdana" w:hAnsi="Verdana"/>
          <w:sz w:val="16"/>
          <w:szCs w:val="32"/>
          <w:lang w:val="pt-BR"/>
        </w:rPr>
        <w:t xml:space="preserve">de </w:t>
      </w:r>
      <w:r w:rsidR="00D95E71" w:rsidRPr="002F50BD">
        <w:rPr>
          <w:rFonts w:ascii="Verdana" w:hAnsi="Verdana"/>
          <w:sz w:val="16"/>
          <w:szCs w:val="32"/>
          <w:lang w:val="pt-BR"/>
        </w:rPr>
        <w:t>garantia</w:t>
      </w:r>
      <w:r w:rsidRPr="002F50BD">
        <w:rPr>
          <w:rFonts w:ascii="Verdana" w:hAnsi="Verdana"/>
          <w:sz w:val="16"/>
          <w:szCs w:val="32"/>
          <w:lang w:val="pt-BR"/>
        </w:rPr>
        <w:t xml:space="preserve"> </w:t>
      </w:r>
      <w:r w:rsidR="00D95E71" w:rsidRPr="002F50BD">
        <w:rPr>
          <w:rFonts w:ascii="Verdana" w:hAnsi="Verdana"/>
          <w:sz w:val="16"/>
          <w:szCs w:val="32"/>
          <w:lang w:val="pt-BR"/>
        </w:rPr>
        <w:t xml:space="preserve">de </w:t>
      </w:r>
      <w:r w:rsidR="0089298C" w:rsidRPr="002F50BD">
        <w:rPr>
          <w:rFonts w:ascii="Verdana" w:hAnsi="Verdana"/>
          <w:sz w:val="16"/>
          <w:szCs w:val="32"/>
          <w:lang w:val="pt-BR"/>
        </w:rPr>
        <w:t>obrigações</w:t>
      </w:r>
      <w:r w:rsidRPr="002F50BD">
        <w:rPr>
          <w:rFonts w:ascii="Verdana" w:hAnsi="Verdana"/>
          <w:sz w:val="16"/>
          <w:szCs w:val="32"/>
          <w:lang w:val="pt-BR"/>
        </w:rPr>
        <w:t xml:space="preserve"> contr</w:t>
      </w:r>
      <w:r w:rsidR="0089298C" w:rsidRPr="002F50BD">
        <w:rPr>
          <w:rFonts w:ascii="Verdana" w:hAnsi="Verdana"/>
          <w:sz w:val="16"/>
          <w:szCs w:val="32"/>
          <w:lang w:val="pt-BR"/>
        </w:rPr>
        <w:t xml:space="preserve">atuais nem </w:t>
      </w:r>
      <w:r w:rsidRPr="002F50BD">
        <w:rPr>
          <w:rFonts w:ascii="Verdana" w:hAnsi="Verdana"/>
          <w:sz w:val="16"/>
          <w:szCs w:val="32"/>
          <w:lang w:val="pt-BR"/>
        </w:rPr>
        <w:t>de ser</w:t>
      </w:r>
      <w:r w:rsidR="00D95E71" w:rsidRPr="002F50BD">
        <w:rPr>
          <w:rFonts w:ascii="Verdana" w:hAnsi="Verdana"/>
          <w:sz w:val="16"/>
          <w:szCs w:val="32"/>
          <w:lang w:val="pt-BR"/>
        </w:rPr>
        <w:t>em</w:t>
      </w:r>
      <w:r w:rsidRPr="002F50BD">
        <w:rPr>
          <w:rFonts w:ascii="Verdana" w:hAnsi="Verdana"/>
          <w:sz w:val="16"/>
          <w:szCs w:val="32"/>
          <w:lang w:val="pt-BR"/>
        </w:rPr>
        <w:t xml:space="preserve"> arrendadas; </w:t>
      </w:r>
      <w:r w:rsidR="006603BE" w:rsidRPr="002F50BD">
        <w:rPr>
          <w:rFonts w:ascii="Verdana" w:hAnsi="Verdana"/>
          <w:sz w:val="16"/>
          <w:szCs w:val="32"/>
          <w:lang w:val="pt-BR"/>
        </w:rPr>
        <w:t>e também</w:t>
      </w:r>
      <w:r w:rsidRPr="002F50BD">
        <w:rPr>
          <w:rFonts w:ascii="Verdana" w:hAnsi="Verdana"/>
          <w:sz w:val="16"/>
          <w:szCs w:val="32"/>
          <w:lang w:val="pt-BR"/>
        </w:rPr>
        <w:t xml:space="preserve"> </w:t>
      </w:r>
      <w:r w:rsidR="0089298C" w:rsidRPr="002F50BD">
        <w:rPr>
          <w:rFonts w:ascii="Verdana" w:hAnsi="Verdana"/>
          <w:sz w:val="16"/>
          <w:szCs w:val="32"/>
          <w:lang w:val="pt-BR"/>
        </w:rPr>
        <w:t>estarão</w:t>
      </w:r>
      <w:r w:rsidRPr="002F50BD">
        <w:rPr>
          <w:rFonts w:ascii="Verdana" w:hAnsi="Verdana"/>
          <w:sz w:val="16"/>
          <w:szCs w:val="32"/>
          <w:lang w:val="pt-BR"/>
        </w:rPr>
        <w:t xml:space="preserve"> </w:t>
      </w:r>
      <w:r w:rsidR="00D95E71" w:rsidRPr="002F50BD">
        <w:rPr>
          <w:rFonts w:ascii="Verdana" w:hAnsi="Verdana"/>
          <w:sz w:val="16"/>
          <w:szCs w:val="32"/>
          <w:lang w:val="pt-BR"/>
        </w:rPr>
        <w:t>is</w:t>
      </w:r>
      <w:r w:rsidRPr="002F50BD">
        <w:rPr>
          <w:rFonts w:ascii="Verdana" w:hAnsi="Verdana"/>
          <w:sz w:val="16"/>
          <w:szCs w:val="32"/>
          <w:lang w:val="pt-BR"/>
        </w:rPr>
        <w:t>entas de tributo.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243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 xml:space="preserve">Proíbe-se a remoção </w:t>
      </w:r>
      <w:r w:rsidR="004756C1" w:rsidRPr="002F50BD">
        <w:rPr>
          <w:rFonts w:ascii="Verdana" w:hAnsi="Verdana"/>
          <w:sz w:val="16"/>
          <w:szCs w:val="32"/>
          <w:lang w:val="pt-BR"/>
        </w:rPr>
        <w:t>o</w:t>
      </w:r>
      <w:r w:rsidR="00D95E71" w:rsidRPr="002F50BD">
        <w:rPr>
          <w:rFonts w:ascii="Verdana" w:hAnsi="Verdana"/>
          <w:sz w:val="16"/>
          <w:szCs w:val="32"/>
          <w:lang w:val="pt-BR"/>
        </w:rPr>
        <w:t>u</w:t>
      </w:r>
      <w:r w:rsidR="004756C1" w:rsidRPr="002F50BD">
        <w:rPr>
          <w:rFonts w:ascii="Verdana" w:hAnsi="Verdana"/>
          <w:sz w:val="16"/>
          <w:szCs w:val="32"/>
          <w:lang w:val="pt-BR"/>
        </w:rPr>
        <w:t xml:space="preserve"> traslado de </w:t>
      </w:r>
      <w:r w:rsidR="00DB51F0" w:rsidRPr="002F50BD">
        <w:rPr>
          <w:rFonts w:ascii="Verdana" w:hAnsi="Verdana"/>
          <w:sz w:val="16"/>
          <w:szCs w:val="32"/>
          <w:lang w:val="pt-BR"/>
        </w:rPr>
        <w:t xml:space="preserve">seu </w:t>
      </w:r>
      <w:r w:rsidR="00DB51F0" w:rsidRPr="002F50BD">
        <w:rPr>
          <w:rFonts w:ascii="Verdana" w:hAnsi="Verdana"/>
          <w:i/>
          <w:sz w:val="16"/>
          <w:szCs w:val="32"/>
          <w:lang w:val="pt-BR"/>
        </w:rPr>
        <w:t>habitat</w:t>
      </w:r>
      <w:r w:rsidR="0089298C" w:rsidRPr="002F50BD">
        <w:rPr>
          <w:rFonts w:ascii="Verdana" w:hAnsi="Verdana"/>
          <w:sz w:val="16"/>
          <w:szCs w:val="32"/>
          <w:lang w:val="pt-BR"/>
        </w:rPr>
        <w:t xml:space="preserve"> sem o expresso</w:t>
      </w:r>
      <w:r w:rsidR="004756C1" w:rsidRPr="002F50BD">
        <w:rPr>
          <w:rFonts w:ascii="Verdana" w:hAnsi="Verdana"/>
          <w:sz w:val="16"/>
          <w:szCs w:val="32"/>
          <w:lang w:val="pt-BR"/>
        </w:rPr>
        <w:t xml:space="preserve"> </w:t>
      </w:r>
      <w:r w:rsidR="0089298C" w:rsidRPr="002F50BD">
        <w:rPr>
          <w:rFonts w:ascii="Verdana" w:hAnsi="Verdana"/>
          <w:sz w:val="16"/>
          <w:szCs w:val="32"/>
          <w:lang w:val="pt-BR"/>
        </w:rPr>
        <w:t>consentimento dos mesm</w:t>
      </w:r>
      <w:r w:rsidR="004756C1" w:rsidRPr="002F50BD">
        <w:rPr>
          <w:rFonts w:ascii="Verdana" w:hAnsi="Verdana"/>
          <w:sz w:val="16"/>
          <w:szCs w:val="32"/>
          <w:lang w:val="pt-BR"/>
        </w:rPr>
        <w:t>os.</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 xml:space="preserve"> consagra</w:t>
      </w:r>
      <w:r w:rsidRPr="002F50BD">
        <w:rPr>
          <w:rFonts w:ascii="Verdana" w:hAnsi="Verdana"/>
          <w:sz w:val="20"/>
          <w:lang w:val="pt-BR"/>
        </w:rPr>
        <w:t xml:space="preserve"> o procedimento</w:t>
      </w:r>
      <w:r w:rsidR="004756C1" w:rsidRPr="002F50BD">
        <w:rPr>
          <w:rFonts w:ascii="Verdana" w:hAnsi="Verdana"/>
          <w:sz w:val="20"/>
          <w:lang w:val="pt-BR"/>
        </w:rPr>
        <w:t xml:space="preserve"> para</w:t>
      </w:r>
      <w:r w:rsidRPr="002F50BD">
        <w:rPr>
          <w:rFonts w:ascii="Verdana" w:hAnsi="Verdana"/>
          <w:sz w:val="20"/>
          <w:lang w:val="pt-BR"/>
        </w:rPr>
        <w:t xml:space="preserve"> a </w:t>
      </w:r>
      <w:r w:rsidR="004756C1" w:rsidRPr="002F50BD">
        <w:rPr>
          <w:rFonts w:ascii="Verdana" w:hAnsi="Verdana"/>
          <w:sz w:val="20"/>
          <w:lang w:val="pt-BR"/>
        </w:rPr>
        <w:t>reivindica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 xml:space="preserve">s de </w:t>
      </w:r>
      <w:r w:rsidR="00D95E71" w:rsidRPr="002F50BD">
        <w:rPr>
          <w:rFonts w:ascii="Verdana" w:hAnsi="Verdana"/>
          <w:sz w:val="20"/>
          <w:lang w:val="pt-BR"/>
        </w:rPr>
        <w:t xml:space="preserve">domínio </w:t>
      </w:r>
      <w:r w:rsidR="004756C1" w:rsidRPr="002F50BD">
        <w:rPr>
          <w:rFonts w:ascii="Verdana" w:hAnsi="Verdana"/>
          <w:sz w:val="20"/>
          <w:lang w:val="pt-BR"/>
        </w:rPr>
        <w:t>privado</w:t>
      </w:r>
      <w:r w:rsidR="00BE346D" w:rsidRPr="002F50BD">
        <w:rPr>
          <w:rFonts w:ascii="Verdana" w:hAnsi="Verdana"/>
          <w:sz w:val="20"/>
          <w:lang w:val="pt-BR"/>
        </w:rPr>
        <w:t xml:space="preserve">. As </w:t>
      </w:r>
      <w:r w:rsidR="004756C1" w:rsidRPr="002F50BD">
        <w:rPr>
          <w:rFonts w:ascii="Verdana" w:hAnsi="Verdana"/>
          <w:sz w:val="20"/>
          <w:lang w:val="pt-BR"/>
        </w:rPr>
        <w:t xml:space="preserve">normas pertinentes </w:t>
      </w:r>
      <w:r w:rsidRPr="002F50BD">
        <w:rPr>
          <w:rFonts w:ascii="Verdana" w:hAnsi="Verdana"/>
          <w:sz w:val="20"/>
          <w:lang w:val="pt-BR"/>
        </w:rPr>
        <w:t xml:space="preserve">afirmam </w:t>
      </w:r>
      <w:r w:rsidR="004756C1" w:rsidRPr="002F50BD">
        <w:rPr>
          <w:rFonts w:ascii="Verdana" w:hAnsi="Verdana"/>
          <w:sz w:val="20"/>
          <w:lang w:val="pt-BR"/>
        </w:rPr>
        <w:t>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54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24</w:t>
      </w:r>
      <w:r w:rsidR="00D95E71" w:rsidRPr="002F50BD">
        <w:rPr>
          <w:rFonts w:ascii="Verdana" w:eastAsia="Times New Roman" w:hAnsi="Verdana"/>
          <w:sz w:val="16"/>
          <w:lang w:val="pt-BR"/>
        </w:rPr>
        <w:t xml:space="preserve">.- </w:t>
      </w:r>
      <w:r w:rsidR="006603BE" w:rsidRPr="002F50BD">
        <w:rPr>
          <w:rFonts w:ascii="Verdana" w:eastAsia="Times New Roman" w:hAnsi="Verdana"/>
          <w:sz w:val="16"/>
          <w:lang w:val="pt-BR"/>
        </w:rPr>
        <w:t>O pedido</w:t>
      </w:r>
      <w:r w:rsidRPr="002F50BD">
        <w:rPr>
          <w:rFonts w:ascii="Verdana" w:eastAsia="Times New Roman" w:hAnsi="Verdana"/>
          <w:sz w:val="16"/>
          <w:lang w:val="pt-BR"/>
        </w:rPr>
        <w:t xml:space="preserve"> </w:t>
      </w:r>
      <w:r w:rsidR="004756C1" w:rsidRPr="002F50BD">
        <w:rPr>
          <w:rFonts w:ascii="Verdana" w:eastAsia="Times New Roman" w:hAnsi="Verdana"/>
          <w:sz w:val="16"/>
          <w:lang w:val="pt-BR"/>
        </w:rPr>
        <w:t xml:space="preserve">de </w:t>
      </w:r>
      <w:r w:rsidRPr="002F50BD">
        <w:rPr>
          <w:rFonts w:ascii="Verdana" w:eastAsia="Times New Roman" w:hAnsi="Verdana"/>
          <w:sz w:val="16"/>
          <w:lang w:val="pt-BR"/>
        </w:rPr>
        <w:t>terra</w:t>
      </w:r>
      <w:r w:rsidR="004756C1" w:rsidRPr="002F50BD">
        <w:rPr>
          <w:rFonts w:ascii="Verdana" w:eastAsia="Times New Roman" w:hAnsi="Verdana"/>
          <w:sz w:val="16"/>
          <w:lang w:val="pt-BR"/>
        </w:rPr>
        <w:t xml:space="preserve">s </w:t>
      </w:r>
      <w:r w:rsidRPr="002F50BD">
        <w:rPr>
          <w:rFonts w:ascii="Verdana" w:eastAsia="Times New Roman" w:hAnsi="Verdana"/>
          <w:sz w:val="16"/>
          <w:lang w:val="pt-BR"/>
        </w:rPr>
        <w:t>d</w:t>
      </w:r>
      <w:r w:rsidR="00D95E71" w:rsidRPr="002F50BD">
        <w:rPr>
          <w:rFonts w:ascii="Verdana" w:eastAsia="Times New Roman" w:hAnsi="Verdana"/>
          <w:sz w:val="16"/>
          <w:lang w:val="pt-BR"/>
        </w:rPr>
        <w:t>e</w:t>
      </w:r>
      <w:r w:rsidRPr="002F50BD">
        <w:rPr>
          <w:rFonts w:ascii="Verdana" w:eastAsia="Times New Roman" w:hAnsi="Verdana"/>
          <w:sz w:val="16"/>
          <w:lang w:val="pt-BR"/>
        </w:rPr>
        <w:t xml:space="preserve"> </w:t>
      </w:r>
      <w:r w:rsidR="00D95E71" w:rsidRPr="002F50BD">
        <w:rPr>
          <w:rFonts w:ascii="Verdana" w:eastAsia="Times New Roman" w:hAnsi="Verdana"/>
          <w:sz w:val="16"/>
          <w:lang w:val="pt-BR"/>
        </w:rPr>
        <w:t xml:space="preserve">domínio </w:t>
      </w:r>
      <w:r w:rsidR="004756C1" w:rsidRPr="002F50BD">
        <w:rPr>
          <w:rFonts w:ascii="Verdana" w:eastAsia="Times New Roman" w:hAnsi="Verdana"/>
          <w:sz w:val="16"/>
          <w:lang w:val="pt-BR"/>
        </w:rPr>
        <w:t>privado para</w:t>
      </w:r>
      <w:r w:rsidRPr="002F50BD">
        <w:rPr>
          <w:rFonts w:ascii="Verdana" w:eastAsia="Times New Roman" w:hAnsi="Verdana"/>
          <w:sz w:val="16"/>
          <w:lang w:val="pt-BR"/>
        </w:rPr>
        <w:t xml:space="preserve"> o </w:t>
      </w:r>
      <w:r w:rsidR="00AB454A" w:rsidRPr="002F50BD">
        <w:rPr>
          <w:rFonts w:ascii="Verdana" w:eastAsia="Times New Roman" w:hAnsi="Verdana"/>
          <w:sz w:val="16"/>
          <w:lang w:val="pt-BR"/>
        </w:rPr>
        <w:t>assentamento</w:t>
      </w:r>
      <w:r w:rsidR="004756C1" w:rsidRPr="002F50BD">
        <w:rPr>
          <w:rFonts w:ascii="Verdana" w:eastAsia="Times New Roman" w:hAnsi="Verdana"/>
          <w:sz w:val="16"/>
          <w:lang w:val="pt-BR"/>
        </w:rPr>
        <w:t xml:space="preserve"> de comunidades indígenas será</w:t>
      </w:r>
      <w:r w:rsidR="00313394" w:rsidRPr="002F50BD">
        <w:rPr>
          <w:rFonts w:ascii="Verdana" w:eastAsia="Times New Roman" w:hAnsi="Verdana"/>
          <w:sz w:val="16"/>
          <w:lang w:val="pt-BR"/>
        </w:rPr>
        <w:t xml:space="preserve"> feit</w:t>
      </w:r>
      <w:r w:rsidR="006603BE" w:rsidRPr="002F50BD">
        <w:rPr>
          <w:rFonts w:ascii="Verdana" w:eastAsia="Times New Roman" w:hAnsi="Verdana"/>
          <w:sz w:val="16"/>
          <w:lang w:val="pt-BR"/>
        </w:rPr>
        <w:t>o</w:t>
      </w:r>
      <w:r w:rsidR="00313394" w:rsidRPr="002F50BD">
        <w:rPr>
          <w:rFonts w:ascii="Verdana" w:eastAsia="Times New Roman" w:hAnsi="Verdana"/>
          <w:sz w:val="16"/>
          <w:lang w:val="pt-BR"/>
        </w:rPr>
        <w:t xml:space="preserve"> </w:t>
      </w:r>
      <w:r w:rsidRPr="002F50BD">
        <w:rPr>
          <w:rFonts w:ascii="Verdana" w:eastAsia="Times New Roman" w:hAnsi="Verdana"/>
          <w:sz w:val="16"/>
          <w:lang w:val="pt-BR"/>
        </w:rPr>
        <w:t xml:space="preserve">pela própria </w:t>
      </w:r>
      <w:r w:rsidR="004756C1" w:rsidRPr="002F50BD">
        <w:rPr>
          <w:rFonts w:ascii="Verdana" w:eastAsia="Times New Roman" w:hAnsi="Verdana"/>
          <w:sz w:val="16"/>
          <w:lang w:val="pt-BR"/>
        </w:rPr>
        <w:t>comu</w:t>
      </w:r>
      <w:r w:rsidR="00AB454A" w:rsidRPr="002F50BD">
        <w:rPr>
          <w:rFonts w:ascii="Verdana" w:eastAsia="Times New Roman" w:hAnsi="Verdana"/>
          <w:sz w:val="16"/>
          <w:lang w:val="pt-BR"/>
        </w:rPr>
        <w:t xml:space="preserve">nidade, </w:t>
      </w:r>
      <w:r w:rsidR="004756C1" w:rsidRPr="002F50BD">
        <w:rPr>
          <w:rFonts w:ascii="Verdana" w:eastAsia="Times New Roman" w:hAnsi="Verdana"/>
          <w:sz w:val="16"/>
          <w:lang w:val="pt-BR"/>
        </w:rPr>
        <w:t>o</w:t>
      </w:r>
      <w:r w:rsidR="00D95E71" w:rsidRPr="002F50BD">
        <w:rPr>
          <w:rFonts w:ascii="Verdana" w:eastAsia="Times New Roman" w:hAnsi="Verdana"/>
          <w:sz w:val="16"/>
          <w:lang w:val="pt-BR"/>
        </w:rPr>
        <w:t>u</w:t>
      </w:r>
      <w:r w:rsidR="004756C1" w:rsidRPr="002F50BD">
        <w:rPr>
          <w:rFonts w:ascii="Verdana" w:eastAsia="Times New Roman" w:hAnsi="Verdana"/>
          <w:sz w:val="16"/>
          <w:lang w:val="pt-BR"/>
        </w:rPr>
        <w:t xml:space="preserve"> por </w:t>
      </w:r>
      <w:r w:rsidRPr="002F50BD">
        <w:rPr>
          <w:rFonts w:ascii="Verdana" w:eastAsia="Times New Roman" w:hAnsi="Verdana"/>
          <w:sz w:val="16"/>
          <w:lang w:val="pt-BR"/>
        </w:rPr>
        <w:t>qualquer</w:t>
      </w:r>
      <w:r w:rsidR="004756C1" w:rsidRPr="002F50BD">
        <w:rPr>
          <w:rFonts w:ascii="Verdana" w:eastAsia="Times New Roman" w:hAnsi="Verdana"/>
          <w:sz w:val="16"/>
          <w:lang w:val="pt-BR"/>
        </w:rPr>
        <w:t xml:space="preserve"> indígena o</w:t>
      </w:r>
      <w:r w:rsidR="00D95E71" w:rsidRPr="002F50BD">
        <w:rPr>
          <w:rFonts w:ascii="Verdana" w:eastAsia="Times New Roman" w:hAnsi="Verdana"/>
          <w:sz w:val="16"/>
          <w:lang w:val="pt-BR"/>
        </w:rPr>
        <w:t>u</w:t>
      </w:r>
      <w:r w:rsidR="004756C1" w:rsidRPr="002F50BD">
        <w:rPr>
          <w:rFonts w:ascii="Verdana" w:eastAsia="Times New Roman" w:hAnsi="Verdana"/>
          <w:sz w:val="16"/>
          <w:lang w:val="pt-BR"/>
        </w:rPr>
        <w:t xml:space="preserve"> indigenista</w:t>
      </w:r>
      <w:r w:rsidRPr="002F50BD">
        <w:rPr>
          <w:rFonts w:ascii="Verdana" w:eastAsia="Times New Roman" w:hAnsi="Verdana"/>
          <w:sz w:val="16"/>
          <w:lang w:val="pt-BR"/>
        </w:rPr>
        <w:t xml:space="preserve"> com </w:t>
      </w:r>
      <w:r w:rsidR="007801FA" w:rsidRPr="002F50BD">
        <w:rPr>
          <w:rFonts w:ascii="Verdana" w:eastAsia="Times New Roman" w:hAnsi="Verdana"/>
          <w:sz w:val="16"/>
          <w:lang w:val="pt-BR"/>
        </w:rPr>
        <w:t>personalidade</w:t>
      </w:r>
      <w:r w:rsidR="004756C1" w:rsidRPr="002F50BD">
        <w:rPr>
          <w:rFonts w:ascii="Verdana" w:eastAsia="Times New Roman" w:hAnsi="Verdana"/>
          <w:sz w:val="16"/>
          <w:lang w:val="pt-BR"/>
        </w:rPr>
        <w:t xml:space="preserve"> jurídica</w:t>
      </w:r>
      <w:r w:rsidRPr="002F50BD">
        <w:rPr>
          <w:rFonts w:ascii="Verdana" w:eastAsia="Times New Roman" w:hAnsi="Verdana"/>
          <w:sz w:val="16"/>
          <w:lang w:val="pt-BR"/>
        </w:rPr>
        <w:t xml:space="preserve"> </w:t>
      </w:r>
      <w:r w:rsidR="00D95E71" w:rsidRPr="002F50BD">
        <w:rPr>
          <w:rFonts w:ascii="Verdana" w:eastAsia="Times New Roman" w:hAnsi="Verdana"/>
          <w:sz w:val="16"/>
          <w:lang w:val="pt-BR"/>
        </w:rPr>
        <w:t xml:space="preserve">de </w:t>
      </w:r>
      <w:r w:rsidR="004756C1" w:rsidRPr="002F50BD">
        <w:rPr>
          <w:rFonts w:ascii="Verdana" w:eastAsia="Times New Roman" w:hAnsi="Verdana"/>
          <w:sz w:val="16"/>
          <w:lang w:val="pt-BR"/>
        </w:rPr>
        <w:t xml:space="preserve">forma </w:t>
      </w:r>
      <w:r w:rsidRPr="002F50BD">
        <w:rPr>
          <w:rFonts w:ascii="Verdana" w:eastAsia="Times New Roman" w:hAnsi="Verdana"/>
          <w:sz w:val="16"/>
          <w:lang w:val="pt-BR"/>
        </w:rPr>
        <w:t>diret</w:t>
      </w:r>
      <w:r w:rsidR="004756C1" w:rsidRPr="002F50BD">
        <w:rPr>
          <w:rFonts w:ascii="Verdana" w:eastAsia="Times New Roman" w:hAnsi="Verdana"/>
          <w:sz w:val="16"/>
          <w:lang w:val="pt-BR"/>
        </w:rPr>
        <w:t>a a</w:t>
      </w:r>
      <w:r w:rsidR="00D95E71" w:rsidRPr="002F50BD">
        <w:rPr>
          <w:rFonts w:ascii="Verdana" w:eastAsia="Times New Roman" w:hAnsi="Verdana"/>
          <w:sz w:val="16"/>
          <w:lang w:val="pt-BR"/>
        </w:rPr>
        <w:t>o</w:t>
      </w:r>
      <w:hyperlink r:id="rId10" w:history="1">
        <w:r w:rsidR="004756C1" w:rsidRPr="002F50BD">
          <w:rPr>
            <w:rFonts w:ascii="Verdana" w:eastAsia="Times New Roman" w:hAnsi="Verdana"/>
            <w:sz w:val="16"/>
            <w:lang w:val="pt-BR"/>
          </w:rPr>
          <w:t xml:space="preserve"> I.B.R.</w:t>
        </w:r>
      </w:hyperlink>
      <w:r w:rsidR="004756C1" w:rsidRPr="002F50BD">
        <w:rPr>
          <w:rFonts w:ascii="Verdana" w:eastAsia="Times New Roman" w:hAnsi="Verdana"/>
          <w:sz w:val="16"/>
          <w:lang w:val="pt-BR"/>
        </w:rPr>
        <w:t xml:space="preserve"> o</w:t>
      </w:r>
      <w:r w:rsidR="00D95E71" w:rsidRPr="002F50BD">
        <w:rPr>
          <w:rFonts w:ascii="Verdana" w:eastAsia="Times New Roman" w:hAnsi="Verdana"/>
          <w:sz w:val="16"/>
          <w:lang w:val="pt-BR"/>
        </w:rPr>
        <w:t>u</w:t>
      </w:r>
      <w:r w:rsidR="004756C1" w:rsidRPr="002F50BD">
        <w:rPr>
          <w:rFonts w:ascii="Verdana" w:eastAsia="Times New Roman" w:hAnsi="Verdana"/>
          <w:sz w:val="16"/>
          <w:lang w:val="pt-BR"/>
        </w:rPr>
        <w:t xml:space="preserve"> por inter</w:t>
      </w:r>
      <w:r w:rsidRPr="002F50BD">
        <w:rPr>
          <w:rFonts w:ascii="Verdana" w:eastAsia="Times New Roman" w:hAnsi="Verdana"/>
          <w:sz w:val="16"/>
          <w:lang w:val="pt-BR"/>
        </w:rPr>
        <w:t>m</w:t>
      </w:r>
      <w:r w:rsidR="00D95E71" w:rsidRPr="002F50BD">
        <w:rPr>
          <w:rFonts w:ascii="Verdana" w:eastAsia="Times New Roman" w:hAnsi="Verdana"/>
          <w:sz w:val="16"/>
          <w:lang w:val="pt-BR"/>
        </w:rPr>
        <w:t xml:space="preserve">édio </w:t>
      </w:r>
      <w:r w:rsidRPr="002F50BD">
        <w:rPr>
          <w:rFonts w:ascii="Verdana" w:eastAsia="Times New Roman" w:hAnsi="Verdana"/>
          <w:sz w:val="16"/>
          <w:lang w:val="pt-BR"/>
        </w:rPr>
        <w:t xml:space="preserve">do </w:t>
      </w:r>
      <w:r w:rsidR="004756C1" w:rsidRPr="002F50BD">
        <w:rPr>
          <w:rFonts w:ascii="Verdana" w:eastAsia="Times New Roman" w:hAnsi="Verdana"/>
          <w:sz w:val="16"/>
          <w:lang w:val="pt-BR"/>
        </w:rPr>
        <w:t>Instituto.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25</w:t>
      </w:r>
      <w:r w:rsidR="00D95E71" w:rsidRPr="002F50BD">
        <w:rPr>
          <w:rFonts w:ascii="Verdana" w:eastAsia="Times New Roman" w:hAnsi="Verdana"/>
          <w:sz w:val="16"/>
          <w:lang w:val="pt-BR"/>
        </w:rPr>
        <w:t xml:space="preserve">.- </w:t>
      </w:r>
      <w:r w:rsidR="006603BE" w:rsidRPr="002F50BD">
        <w:rPr>
          <w:rFonts w:ascii="Verdana" w:eastAsia="Times New Roman" w:hAnsi="Verdana"/>
          <w:sz w:val="16"/>
          <w:lang w:val="pt-BR"/>
        </w:rPr>
        <w:t>O pedido</w:t>
      </w:r>
      <w:r w:rsidRPr="002F50BD">
        <w:rPr>
          <w:rFonts w:ascii="Verdana" w:eastAsia="Times New Roman" w:hAnsi="Verdana"/>
          <w:sz w:val="16"/>
          <w:lang w:val="pt-BR"/>
        </w:rPr>
        <w:t xml:space="preserve"> </w:t>
      </w:r>
      <w:r w:rsidR="004756C1" w:rsidRPr="002F50BD">
        <w:rPr>
          <w:rFonts w:ascii="Verdana" w:eastAsia="Times New Roman" w:hAnsi="Verdana"/>
          <w:sz w:val="16"/>
          <w:lang w:val="pt-BR"/>
        </w:rPr>
        <w:t>con</w:t>
      </w:r>
      <w:r w:rsidRPr="002F50BD">
        <w:rPr>
          <w:rFonts w:ascii="Verdana" w:eastAsia="Times New Roman" w:hAnsi="Verdana"/>
          <w:sz w:val="16"/>
          <w:lang w:val="pt-BR"/>
        </w:rPr>
        <w:t>terá os mesm</w:t>
      </w:r>
      <w:r w:rsidR="004756C1" w:rsidRPr="002F50BD">
        <w:rPr>
          <w:rFonts w:ascii="Verdana" w:eastAsia="Times New Roman" w:hAnsi="Verdana"/>
          <w:sz w:val="16"/>
          <w:lang w:val="pt-BR"/>
        </w:rPr>
        <w:t xml:space="preserve">os requisitos </w:t>
      </w:r>
      <w:r w:rsidRPr="002F50BD">
        <w:rPr>
          <w:rFonts w:ascii="Verdana" w:eastAsia="Times New Roman" w:hAnsi="Verdana"/>
          <w:sz w:val="16"/>
          <w:lang w:val="pt-BR"/>
        </w:rPr>
        <w:t>estabelecid</w:t>
      </w:r>
      <w:r w:rsidR="004756C1" w:rsidRPr="002F50BD">
        <w:rPr>
          <w:rFonts w:ascii="Verdana" w:eastAsia="Times New Roman" w:hAnsi="Verdana"/>
          <w:sz w:val="16"/>
          <w:lang w:val="pt-BR"/>
        </w:rPr>
        <w:t>os</w:t>
      </w:r>
      <w:r w:rsidRPr="002F50BD">
        <w:rPr>
          <w:rFonts w:ascii="Verdana" w:eastAsia="Times New Roman" w:hAnsi="Verdana"/>
          <w:sz w:val="16"/>
          <w:lang w:val="pt-BR"/>
        </w:rPr>
        <w:t xml:space="preserve"> no 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22</w:t>
      </w:r>
      <w:r w:rsidR="004756C1" w:rsidRPr="002F50BD">
        <w:rPr>
          <w:rFonts w:ascii="Verdana" w:eastAsia="Times New Roman" w:hAnsi="Verdana"/>
          <w:sz w:val="16"/>
          <w:lang w:val="pt-BR"/>
        </w:rPr>
        <w:t>, inc. a</w:t>
      </w:r>
      <w:r w:rsidR="00CF451D" w:rsidRPr="00CF451D">
        <w:rPr>
          <w:rFonts w:ascii="Verdana" w:eastAsia="Times New Roman" w:hAnsi="Verdana"/>
          <w:sz w:val="16"/>
          <w:lang w:val="pt-BR"/>
        </w:rPr>
        <w:t>)</w:t>
      </w:r>
      <w:r w:rsidR="004756C1" w:rsidRPr="002F50BD">
        <w:rPr>
          <w:rFonts w:ascii="Verdana" w:eastAsia="Times New Roman" w:hAnsi="Verdana"/>
          <w:sz w:val="16"/>
          <w:lang w:val="pt-BR"/>
        </w:rPr>
        <w:t xml:space="preserve"> </w:t>
      </w:r>
      <w:r w:rsidRPr="002F50BD">
        <w:rPr>
          <w:rFonts w:ascii="Verdana" w:eastAsia="Times New Roman" w:hAnsi="Verdana"/>
          <w:sz w:val="16"/>
          <w:lang w:val="pt-BR"/>
        </w:rPr>
        <w:t xml:space="preserve">incluindo o nome e </w:t>
      </w:r>
      <w:r w:rsidR="00233F2D" w:rsidRPr="002F50BD">
        <w:rPr>
          <w:rFonts w:ascii="Verdana" w:eastAsia="Times New Roman" w:hAnsi="Verdana"/>
          <w:sz w:val="16"/>
          <w:lang w:val="pt-BR"/>
        </w:rPr>
        <w:t xml:space="preserve">o </w:t>
      </w:r>
      <w:r w:rsidRPr="002F50BD">
        <w:rPr>
          <w:rFonts w:ascii="Verdana" w:eastAsia="Times New Roman" w:hAnsi="Verdana"/>
          <w:sz w:val="16"/>
          <w:lang w:val="pt-BR"/>
        </w:rPr>
        <w:t xml:space="preserve">sobrenome dos </w:t>
      </w:r>
      <w:r w:rsidR="007801FA" w:rsidRPr="002F50BD">
        <w:rPr>
          <w:rFonts w:ascii="Verdana" w:eastAsia="Times New Roman" w:hAnsi="Verdana"/>
          <w:sz w:val="16"/>
          <w:lang w:val="pt-BR"/>
        </w:rPr>
        <w:t>proprietário</w:t>
      </w:r>
      <w:r w:rsidR="004756C1" w:rsidRPr="002F50BD">
        <w:rPr>
          <w:rFonts w:ascii="Verdana" w:eastAsia="Times New Roman" w:hAnsi="Verdana"/>
          <w:sz w:val="16"/>
          <w:lang w:val="pt-BR"/>
        </w:rPr>
        <w:t>s</w:t>
      </w:r>
      <w:r w:rsidRPr="002F50BD">
        <w:rPr>
          <w:rFonts w:ascii="Verdana" w:eastAsia="Times New Roman" w:hAnsi="Verdana"/>
          <w:sz w:val="16"/>
          <w:lang w:val="pt-BR"/>
        </w:rPr>
        <w:t xml:space="preserve"> da </w:t>
      </w:r>
      <w:r w:rsidR="004756C1" w:rsidRPr="002F50BD">
        <w:rPr>
          <w:rFonts w:ascii="Verdana" w:eastAsia="Times New Roman" w:hAnsi="Verdana"/>
          <w:sz w:val="16"/>
          <w:lang w:val="pt-BR"/>
        </w:rPr>
        <w:t>fr</w:t>
      </w:r>
      <w:r w:rsidR="004076AD" w:rsidRPr="002F50BD">
        <w:rPr>
          <w:rFonts w:ascii="Verdana" w:eastAsia="Times New Roman" w:hAnsi="Verdana"/>
          <w:sz w:val="16"/>
          <w:lang w:val="pt-BR"/>
        </w:rPr>
        <w:t>ação</w:t>
      </w:r>
      <w:r w:rsidR="004756C1" w:rsidRPr="002F50BD">
        <w:rPr>
          <w:rFonts w:ascii="Verdana" w:eastAsia="Times New Roman" w:hAnsi="Verdana"/>
          <w:sz w:val="16"/>
          <w:lang w:val="pt-BR"/>
        </w:rPr>
        <w:t xml:space="preserve"> que</w:t>
      </w:r>
      <w:r w:rsidRPr="002F50BD">
        <w:rPr>
          <w:rFonts w:ascii="Verdana" w:eastAsia="Times New Roman" w:hAnsi="Verdana"/>
          <w:sz w:val="16"/>
          <w:lang w:val="pt-BR"/>
        </w:rPr>
        <w:t xml:space="preserve"> os </w:t>
      </w:r>
      <w:r w:rsidR="004756C1" w:rsidRPr="002F50BD">
        <w:rPr>
          <w:rFonts w:ascii="Verdana" w:eastAsia="Times New Roman" w:hAnsi="Verdana"/>
          <w:sz w:val="16"/>
          <w:lang w:val="pt-BR"/>
        </w:rPr>
        <w:t>indígenas ocupe</w:t>
      </w:r>
      <w:r w:rsidR="00D95E71" w:rsidRPr="002F50BD">
        <w:rPr>
          <w:rFonts w:ascii="Verdana" w:eastAsia="Times New Roman" w:hAnsi="Verdana"/>
          <w:sz w:val="16"/>
          <w:lang w:val="pt-BR"/>
        </w:rPr>
        <w:t xml:space="preserve">m. O </w:t>
      </w:r>
      <w:r w:rsidRPr="002F50BD">
        <w:rPr>
          <w:rFonts w:ascii="Verdana" w:eastAsia="Times New Roman" w:hAnsi="Verdana"/>
          <w:sz w:val="16"/>
          <w:lang w:val="pt-BR"/>
        </w:rPr>
        <w:t>procedimento</w:t>
      </w:r>
      <w:r w:rsidR="004756C1" w:rsidRPr="002F50BD">
        <w:rPr>
          <w:rFonts w:ascii="Verdana" w:eastAsia="Times New Roman" w:hAnsi="Verdana"/>
          <w:sz w:val="16"/>
          <w:lang w:val="pt-BR"/>
        </w:rPr>
        <w:t xml:space="preserve"> será</w:t>
      </w:r>
      <w:r w:rsidRPr="002F50BD">
        <w:rPr>
          <w:rFonts w:ascii="Verdana" w:eastAsia="Times New Roman" w:hAnsi="Verdana"/>
          <w:sz w:val="16"/>
          <w:lang w:val="pt-BR"/>
        </w:rPr>
        <w:t xml:space="preserve"> o estabelecid</w:t>
      </w:r>
      <w:r w:rsidR="004756C1" w:rsidRPr="002F50BD">
        <w:rPr>
          <w:rFonts w:ascii="Verdana" w:eastAsia="Times New Roman" w:hAnsi="Verdana"/>
          <w:sz w:val="16"/>
          <w:lang w:val="pt-BR"/>
        </w:rPr>
        <w:t>o</w:t>
      </w:r>
      <w:r w:rsidRPr="002F50BD">
        <w:rPr>
          <w:rFonts w:ascii="Verdana" w:eastAsia="Times New Roman" w:hAnsi="Verdana"/>
          <w:sz w:val="16"/>
          <w:lang w:val="pt-BR"/>
        </w:rPr>
        <w:t xml:space="preserve"> no mesm</w:t>
      </w:r>
      <w:r w:rsidR="004756C1" w:rsidRPr="002F50BD">
        <w:rPr>
          <w:rFonts w:ascii="Verdana" w:eastAsia="Times New Roman" w:hAnsi="Verdana"/>
          <w:sz w:val="16"/>
          <w:lang w:val="pt-BR"/>
        </w:rPr>
        <w:t xml:space="preserve">o </w:t>
      </w:r>
      <w:r w:rsidRPr="002F50BD">
        <w:rPr>
          <w:rFonts w:ascii="Verdana" w:eastAsia="Times New Roman" w:hAnsi="Verdana"/>
          <w:sz w:val="16"/>
          <w:lang w:val="pt-BR"/>
        </w:rPr>
        <w:t>artigo</w:t>
      </w:r>
      <w:r w:rsidR="004756C1" w:rsidRPr="002F50BD">
        <w:rPr>
          <w:rFonts w:ascii="Verdana" w:eastAsia="Times New Roman"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Artigo</w:t>
      </w:r>
      <w:r w:rsidR="004756C1" w:rsidRPr="002F50BD">
        <w:rPr>
          <w:rFonts w:ascii="Verdana" w:eastAsia="Times New Roman" w:hAnsi="Verdana"/>
          <w:sz w:val="16"/>
          <w:lang w:val="pt-BR"/>
        </w:rPr>
        <w:t xml:space="preserve"> </w:t>
      </w:r>
      <w:r w:rsidR="00063B47" w:rsidRPr="002F50BD">
        <w:rPr>
          <w:rFonts w:ascii="Verdana" w:eastAsia="Times New Roman" w:hAnsi="Verdana"/>
          <w:sz w:val="16"/>
          <w:lang w:val="pt-BR"/>
        </w:rPr>
        <w:t>26</w:t>
      </w:r>
      <w:r w:rsidR="004756C1" w:rsidRPr="002F50BD">
        <w:rPr>
          <w:rFonts w:ascii="Verdana" w:eastAsia="Times New Roman" w:hAnsi="Verdana"/>
          <w:sz w:val="16"/>
          <w:lang w:val="pt-BR"/>
        </w:rPr>
        <w:t>.-</w:t>
      </w:r>
      <w:r w:rsidRPr="002F50BD">
        <w:rPr>
          <w:rFonts w:ascii="Verdana" w:eastAsia="Times New Roman" w:hAnsi="Verdana"/>
          <w:sz w:val="16"/>
          <w:lang w:val="pt-BR"/>
        </w:rPr>
        <w:t xml:space="preserve"> </w:t>
      </w:r>
      <w:r w:rsidR="00D95E71" w:rsidRPr="002F50BD">
        <w:rPr>
          <w:rFonts w:ascii="Verdana" w:eastAsia="Times New Roman" w:hAnsi="Verdana"/>
          <w:sz w:val="16"/>
          <w:lang w:val="pt-BR"/>
        </w:rPr>
        <w:t>E</w:t>
      </w:r>
      <w:r w:rsidRPr="002F50BD">
        <w:rPr>
          <w:rFonts w:ascii="Verdana" w:eastAsia="Times New Roman" w:hAnsi="Verdana"/>
          <w:sz w:val="16"/>
          <w:lang w:val="pt-BR"/>
        </w:rPr>
        <w:t xml:space="preserve">m </w:t>
      </w:r>
      <w:r w:rsidR="004756C1" w:rsidRPr="002F50BD">
        <w:rPr>
          <w:rFonts w:ascii="Verdana" w:eastAsia="Times New Roman" w:hAnsi="Verdana"/>
          <w:sz w:val="16"/>
          <w:lang w:val="pt-BR"/>
        </w:rPr>
        <w:t xml:space="preserve">casos de </w:t>
      </w:r>
      <w:r w:rsidR="00DB51F0" w:rsidRPr="002F50BD">
        <w:rPr>
          <w:rFonts w:ascii="Verdana" w:eastAsia="Times New Roman" w:hAnsi="Verdana"/>
          <w:sz w:val="16"/>
          <w:lang w:val="pt-BR"/>
        </w:rPr>
        <w:t>expropriação</w:t>
      </w:r>
      <w:r w:rsidR="004756C1" w:rsidRPr="002F50BD">
        <w:rPr>
          <w:rFonts w:ascii="Verdana" w:eastAsia="Times New Roman" w:hAnsi="Verdana"/>
          <w:sz w:val="16"/>
          <w:lang w:val="pt-BR"/>
        </w:rPr>
        <w:t>,</w:t>
      </w:r>
      <w:r w:rsidRPr="002F50BD">
        <w:rPr>
          <w:rFonts w:ascii="Verdana" w:eastAsia="Times New Roman" w:hAnsi="Verdana"/>
          <w:sz w:val="16"/>
          <w:lang w:val="pt-BR"/>
        </w:rPr>
        <w:t xml:space="preserve"> o procedimento e a indenização </w:t>
      </w:r>
      <w:r w:rsidR="006603BE" w:rsidRPr="002F50BD">
        <w:rPr>
          <w:rFonts w:ascii="Verdana" w:eastAsia="Times New Roman" w:hAnsi="Verdana"/>
          <w:sz w:val="16"/>
          <w:lang w:val="pt-BR"/>
        </w:rPr>
        <w:t>serão os dispostos</w:t>
      </w:r>
      <w:r w:rsidRPr="002F50BD">
        <w:rPr>
          <w:rFonts w:ascii="Verdana" w:eastAsia="Times New Roman" w:hAnsi="Verdana"/>
          <w:sz w:val="16"/>
          <w:lang w:val="pt-BR"/>
        </w:rPr>
        <w:t xml:space="preserve"> na Constituição e </w:t>
      </w:r>
      <w:r w:rsidR="00D95E71" w:rsidRPr="002F50BD">
        <w:rPr>
          <w:rFonts w:ascii="Verdana" w:eastAsia="Times New Roman" w:hAnsi="Verdana"/>
          <w:sz w:val="16"/>
          <w:lang w:val="pt-BR"/>
        </w:rPr>
        <w:t>n</w:t>
      </w:r>
      <w:r w:rsidRPr="002F50BD">
        <w:rPr>
          <w:rFonts w:ascii="Verdana" w:eastAsia="Times New Roman" w:hAnsi="Verdana"/>
          <w:sz w:val="16"/>
          <w:lang w:val="pt-BR"/>
        </w:rPr>
        <w:t>as Leis</w:t>
      </w:r>
      <w:r w:rsidR="00840E59" w:rsidRPr="002F50BD">
        <w:rPr>
          <w:rFonts w:ascii="Verdana" w:eastAsia="Times New Roman" w:hAnsi="Verdana"/>
          <w:sz w:val="16"/>
          <w:lang w:val="pt-BR"/>
        </w:rPr>
        <w:t>,</w:t>
      </w:r>
      <w:r w:rsidRPr="002F50BD">
        <w:rPr>
          <w:rFonts w:ascii="Verdana" w:eastAsia="Times New Roman" w:hAnsi="Verdana"/>
          <w:sz w:val="16"/>
          <w:lang w:val="pt-BR"/>
        </w:rPr>
        <w:t xml:space="preserve"> e </w:t>
      </w:r>
      <w:r w:rsidR="004756C1" w:rsidRPr="002F50BD">
        <w:rPr>
          <w:rFonts w:ascii="Verdana" w:eastAsia="Times New Roman" w:hAnsi="Verdana"/>
          <w:sz w:val="16"/>
          <w:lang w:val="pt-BR"/>
        </w:rPr>
        <w:t>para</w:t>
      </w:r>
      <w:r w:rsidRPr="002F50BD">
        <w:rPr>
          <w:rFonts w:ascii="Verdana" w:eastAsia="Times New Roman" w:hAnsi="Verdana"/>
          <w:sz w:val="16"/>
          <w:lang w:val="pt-BR"/>
        </w:rPr>
        <w:t xml:space="preserve"> o pagamento das indenizações</w:t>
      </w:r>
      <w:r w:rsidR="00840E59" w:rsidRPr="002F50BD">
        <w:rPr>
          <w:rFonts w:ascii="Verdana" w:eastAsia="Times New Roman" w:hAnsi="Verdana"/>
          <w:sz w:val="16"/>
          <w:lang w:val="pt-BR"/>
        </w:rPr>
        <w:t>,</w:t>
      </w:r>
      <w:r w:rsidR="004756C1" w:rsidRPr="002F50BD">
        <w:rPr>
          <w:rFonts w:ascii="Verdana" w:eastAsia="Times New Roman" w:hAnsi="Verdana"/>
          <w:sz w:val="16"/>
          <w:lang w:val="pt-BR"/>
        </w:rPr>
        <w:t xml:space="preserve"> </w:t>
      </w:r>
      <w:r w:rsidRPr="002F50BD">
        <w:rPr>
          <w:rFonts w:ascii="Verdana" w:eastAsia="Times New Roman" w:hAnsi="Verdana"/>
          <w:sz w:val="16"/>
          <w:lang w:val="pt-BR"/>
        </w:rPr>
        <w:t>serão</w:t>
      </w:r>
      <w:r w:rsidR="004756C1" w:rsidRPr="002F50BD">
        <w:rPr>
          <w:rFonts w:ascii="Verdana" w:eastAsia="Times New Roman" w:hAnsi="Verdana"/>
          <w:sz w:val="16"/>
          <w:lang w:val="pt-BR"/>
        </w:rPr>
        <w:t xml:space="preserve"> previstos</w:t>
      </w:r>
      <w:r w:rsidRPr="002F50BD">
        <w:rPr>
          <w:rFonts w:ascii="Verdana" w:eastAsia="Times New Roman" w:hAnsi="Verdana"/>
          <w:sz w:val="16"/>
          <w:lang w:val="pt-BR"/>
        </w:rPr>
        <w:t xml:space="preserve"> os </w:t>
      </w:r>
      <w:r w:rsidR="004756C1" w:rsidRPr="002F50BD">
        <w:rPr>
          <w:rFonts w:ascii="Verdana" w:eastAsia="Times New Roman" w:hAnsi="Verdana"/>
          <w:sz w:val="16"/>
          <w:lang w:val="pt-BR"/>
        </w:rPr>
        <w:t xml:space="preserve">recursos </w:t>
      </w:r>
      <w:r w:rsidRPr="002F50BD">
        <w:rPr>
          <w:rFonts w:ascii="Verdana" w:eastAsia="Times New Roman" w:hAnsi="Verdana"/>
          <w:sz w:val="16"/>
          <w:lang w:val="pt-BR"/>
        </w:rPr>
        <w:t>necessári</w:t>
      </w:r>
      <w:r w:rsidR="004756C1" w:rsidRPr="002F50BD">
        <w:rPr>
          <w:rFonts w:ascii="Verdana" w:eastAsia="Times New Roman" w:hAnsi="Verdana"/>
          <w:sz w:val="16"/>
          <w:lang w:val="pt-BR"/>
        </w:rPr>
        <w:t>os</w:t>
      </w:r>
      <w:r w:rsidRPr="002F50BD">
        <w:rPr>
          <w:rFonts w:ascii="Verdana" w:eastAsia="Times New Roman" w:hAnsi="Verdana"/>
          <w:sz w:val="16"/>
          <w:lang w:val="pt-BR"/>
        </w:rPr>
        <w:t xml:space="preserve"> no Orçamento</w:t>
      </w:r>
      <w:r w:rsidR="004756C1" w:rsidRPr="002F50BD">
        <w:rPr>
          <w:rFonts w:ascii="Verdana" w:eastAsia="Times New Roman" w:hAnsi="Verdana"/>
          <w:sz w:val="16"/>
          <w:lang w:val="pt-BR"/>
        </w:rPr>
        <w:t xml:space="preserve"> </w:t>
      </w:r>
      <w:r w:rsidRPr="002F50BD">
        <w:rPr>
          <w:rFonts w:ascii="Verdana" w:eastAsia="Times New Roman" w:hAnsi="Verdana"/>
          <w:sz w:val="16"/>
          <w:lang w:val="pt-BR"/>
        </w:rPr>
        <w:t xml:space="preserve">Geral da </w:t>
      </w:r>
      <w:r w:rsidR="004756C1" w:rsidRPr="002F50BD">
        <w:rPr>
          <w:rFonts w:ascii="Verdana" w:eastAsia="Times New Roman" w:hAnsi="Verdana"/>
          <w:sz w:val="16"/>
          <w:lang w:val="pt-BR"/>
        </w:rPr>
        <w:t>Na</w:t>
      </w:r>
      <w:r w:rsidRPr="002F50BD">
        <w:rPr>
          <w:rFonts w:ascii="Verdana" w:eastAsia="Times New Roman" w:hAnsi="Verdana"/>
          <w:sz w:val="16"/>
          <w:lang w:val="pt-BR"/>
        </w:rPr>
        <w:t>ção</w:t>
      </w:r>
      <w:r w:rsidR="004756C1" w:rsidRPr="002F50BD">
        <w:rPr>
          <w:rFonts w:ascii="Verdana" w:eastAsia="Times New Roman" w:hAnsi="Verdana"/>
          <w:sz w:val="16"/>
          <w:lang w:val="pt-BR"/>
        </w:rPr>
        <w:t>.</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Neste</w:t>
      </w:r>
      <w:r w:rsidR="004756C1" w:rsidRPr="002F50BD">
        <w:rPr>
          <w:rFonts w:ascii="Verdana" w:hAnsi="Verdana"/>
          <w:sz w:val="20"/>
          <w:lang w:val="pt-BR"/>
        </w:rPr>
        <w:t xml:space="preserve"> tipo de </w:t>
      </w:r>
      <w:r w:rsidRPr="002F50BD">
        <w:rPr>
          <w:rFonts w:ascii="Verdana" w:hAnsi="Verdana"/>
          <w:sz w:val="20"/>
          <w:lang w:val="pt-BR"/>
        </w:rPr>
        <w:t>procedimento</w:t>
      </w:r>
      <w:r w:rsidR="004756C1" w:rsidRPr="002F50BD">
        <w:rPr>
          <w:rFonts w:ascii="Verdana" w:hAnsi="Verdana"/>
          <w:sz w:val="20"/>
          <w:lang w:val="pt-BR"/>
        </w:rPr>
        <w:t>s</w:t>
      </w:r>
      <w:r w:rsidR="00CD17CA"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devem</w:t>
      </w:r>
      <w:r w:rsidR="004756C1" w:rsidRPr="002F50BD">
        <w:rPr>
          <w:rFonts w:ascii="Verdana" w:hAnsi="Verdana"/>
          <w:sz w:val="20"/>
          <w:lang w:val="pt-BR"/>
        </w:rPr>
        <w:t xml:space="preserve"> </w:t>
      </w:r>
      <w:r w:rsidR="00840E59" w:rsidRPr="002F50BD">
        <w:rPr>
          <w:rFonts w:ascii="Verdana" w:hAnsi="Verdana"/>
          <w:sz w:val="20"/>
          <w:lang w:val="pt-BR"/>
        </w:rPr>
        <w:t xml:space="preserve">ser </w:t>
      </w:r>
      <w:r w:rsidR="006603BE" w:rsidRPr="002F50BD">
        <w:rPr>
          <w:rFonts w:ascii="Verdana" w:hAnsi="Verdana"/>
          <w:sz w:val="20"/>
          <w:lang w:val="pt-BR"/>
        </w:rPr>
        <w:t>a</w:t>
      </w:r>
      <w:r w:rsidR="004756C1" w:rsidRPr="002F50BD">
        <w:rPr>
          <w:rFonts w:ascii="Verdana" w:hAnsi="Verdana"/>
          <w:sz w:val="20"/>
          <w:lang w:val="pt-BR"/>
        </w:rPr>
        <w:t>presenta</w:t>
      </w:r>
      <w:r w:rsidR="00840E59" w:rsidRPr="002F50BD">
        <w:rPr>
          <w:rFonts w:ascii="Verdana" w:hAnsi="Verdana"/>
          <w:sz w:val="20"/>
          <w:lang w:val="pt-BR"/>
        </w:rPr>
        <w:t>dos</w:t>
      </w:r>
      <w:r w:rsidRPr="002F50BD">
        <w:rPr>
          <w:rFonts w:ascii="Verdana" w:hAnsi="Verdana"/>
          <w:sz w:val="20"/>
          <w:lang w:val="pt-BR"/>
        </w:rPr>
        <w:t xml:space="preserve"> os mesm</w:t>
      </w:r>
      <w:r w:rsidR="004756C1" w:rsidRPr="002F50BD">
        <w:rPr>
          <w:rFonts w:ascii="Verdana" w:hAnsi="Verdana"/>
          <w:sz w:val="20"/>
          <w:lang w:val="pt-BR"/>
        </w:rPr>
        <w:t>os requisitos requeridos</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22</w:t>
      </w:r>
      <w:r w:rsidRPr="002F50BD">
        <w:rPr>
          <w:rFonts w:ascii="Verdana" w:hAnsi="Verdana"/>
          <w:sz w:val="20"/>
          <w:lang w:val="pt-BR"/>
        </w:rPr>
        <w:t xml:space="preserve"> da mesm</w:t>
      </w:r>
      <w:r w:rsidR="004756C1" w:rsidRPr="002F50BD">
        <w:rPr>
          <w:rFonts w:ascii="Verdana" w:hAnsi="Verdana"/>
          <w:sz w:val="20"/>
          <w:lang w:val="pt-BR"/>
        </w:rPr>
        <w:t xml:space="preserve">a </w:t>
      </w:r>
      <w:r w:rsidR="004076AD" w:rsidRPr="002F50BD">
        <w:rPr>
          <w:rFonts w:ascii="Verdana" w:hAnsi="Verdana"/>
          <w:sz w:val="20"/>
          <w:lang w:val="pt-BR"/>
        </w:rPr>
        <w:t>Lei</w:t>
      </w:r>
      <w:r w:rsidR="004756C1" w:rsidRPr="002F50BD">
        <w:rPr>
          <w:rFonts w:ascii="Verdana" w:hAnsi="Verdana"/>
          <w:sz w:val="20"/>
          <w:lang w:val="pt-BR"/>
        </w:rPr>
        <w:t xml:space="preserve"> para</w:t>
      </w:r>
      <w:r w:rsidRPr="002F50BD">
        <w:rPr>
          <w:rFonts w:ascii="Verdana" w:hAnsi="Verdana"/>
          <w:sz w:val="20"/>
          <w:lang w:val="pt-BR"/>
        </w:rPr>
        <w:t xml:space="preserve"> a </w:t>
      </w:r>
      <w:r w:rsidR="004756C1" w:rsidRPr="002F50BD">
        <w:rPr>
          <w:rFonts w:ascii="Verdana" w:hAnsi="Verdana"/>
          <w:sz w:val="20"/>
          <w:lang w:val="pt-BR"/>
        </w:rPr>
        <w:t>reivindica</w:t>
      </w:r>
      <w:r w:rsidRPr="002F50BD">
        <w:rPr>
          <w:rFonts w:ascii="Verdana" w:hAnsi="Verdana"/>
          <w:sz w:val="20"/>
          <w:lang w:val="pt-BR"/>
        </w:rPr>
        <w:t>ção</w:t>
      </w:r>
      <w:r w:rsidR="004756C1" w:rsidRPr="002F50BD">
        <w:rPr>
          <w:rFonts w:ascii="Verdana" w:hAnsi="Verdana"/>
          <w:sz w:val="20"/>
          <w:lang w:val="pt-BR"/>
        </w:rPr>
        <w:t xml:space="preserve"> de </w:t>
      </w:r>
      <w:r w:rsidR="007043AA" w:rsidRPr="002F50BD">
        <w:rPr>
          <w:rFonts w:ascii="Verdana" w:hAnsi="Verdana"/>
          <w:sz w:val="20"/>
          <w:lang w:val="pt-BR"/>
        </w:rPr>
        <w:t>terras públicas</w:t>
      </w:r>
      <w:r w:rsidR="00D95E71" w:rsidRPr="002F50BD">
        <w:rPr>
          <w:rFonts w:ascii="Verdana" w:hAnsi="Verdana"/>
          <w:sz w:val="20"/>
          <w:lang w:val="pt-BR"/>
        </w:rPr>
        <w:t xml:space="preserve">. O </w:t>
      </w:r>
      <w:r w:rsidRPr="002F50BD">
        <w:rPr>
          <w:rFonts w:ascii="Verdana" w:hAnsi="Verdana"/>
          <w:sz w:val="20"/>
          <w:lang w:val="pt-BR"/>
        </w:rPr>
        <w:t>artigo</w:t>
      </w:r>
      <w:r w:rsidR="004756C1" w:rsidRPr="002F50BD">
        <w:rPr>
          <w:rFonts w:ascii="Verdana" w:hAnsi="Verdana"/>
          <w:sz w:val="20"/>
          <w:lang w:val="pt-BR"/>
        </w:rPr>
        <w:t xml:space="preserve"> </w:t>
      </w:r>
      <w:r w:rsidR="00063B47" w:rsidRPr="002F50BD">
        <w:rPr>
          <w:rFonts w:ascii="Verdana" w:hAnsi="Verdana"/>
          <w:sz w:val="20"/>
          <w:lang w:val="pt-BR"/>
        </w:rPr>
        <w:t>22</w:t>
      </w:r>
      <w:r w:rsidR="004756C1" w:rsidRPr="002F50BD">
        <w:rPr>
          <w:rFonts w:ascii="Verdana" w:hAnsi="Verdana"/>
          <w:sz w:val="20"/>
          <w:lang w:val="pt-BR"/>
        </w:rPr>
        <w:t xml:space="preserve"> </w:t>
      </w:r>
      <w:r w:rsidRPr="002F50BD">
        <w:rPr>
          <w:rFonts w:ascii="Verdana" w:hAnsi="Verdana"/>
          <w:sz w:val="20"/>
          <w:lang w:val="pt-BR"/>
        </w:rPr>
        <w:t>dispõe</w:t>
      </w:r>
      <w:r w:rsidR="004756C1" w:rsidRPr="002F50BD">
        <w:rPr>
          <w:rFonts w:ascii="Verdana" w:hAnsi="Verdana"/>
          <w:sz w:val="20"/>
          <w:lang w:val="pt-BR"/>
        </w:rPr>
        <w:t xml:space="preserve"> que</w:t>
      </w:r>
      <w:r w:rsidR="006603BE" w:rsidRPr="002F50BD">
        <w:rPr>
          <w:rFonts w:ascii="Verdana" w:hAnsi="Verdana"/>
          <w:sz w:val="20"/>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54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[p]ara</w:t>
      </w:r>
      <w:r w:rsidR="0089298C" w:rsidRPr="002F50BD">
        <w:rPr>
          <w:rFonts w:ascii="Verdana" w:eastAsia="Times New Roman" w:hAnsi="Verdana"/>
          <w:sz w:val="16"/>
          <w:lang w:val="pt-BR"/>
        </w:rPr>
        <w:t xml:space="preserve"> o </w:t>
      </w:r>
      <w:r w:rsidR="00AB454A" w:rsidRPr="002F50BD">
        <w:rPr>
          <w:rFonts w:ascii="Verdana" w:eastAsia="Times New Roman" w:hAnsi="Verdana"/>
          <w:sz w:val="16"/>
          <w:lang w:val="pt-BR"/>
        </w:rPr>
        <w:t>assentamento</w:t>
      </w:r>
      <w:r w:rsidRPr="002F50BD">
        <w:rPr>
          <w:rFonts w:ascii="Verdana" w:eastAsia="Times New Roman" w:hAnsi="Verdana"/>
          <w:sz w:val="16"/>
          <w:lang w:val="pt-BR"/>
        </w:rPr>
        <w:t xml:space="preserve"> de comunidades indígenas</w:t>
      </w:r>
      <w:r w:rsidR="0089298C" w:rsidRPr="002F50BD">
        <w:rPr>
          <w:rFonts w:ascii="Verdana" w:eastAsia="Times New Roman" w:hAnsi="Verdana"/>
          <w:sz w:val="16"/>
          <w:lang w:val="pt-BR"/>
        </w:rPr>
        <w:t xml:space="preserve"> em </w:t>
      </w:r>
      <w:r w:rsidR="007043AA" w:rsidRPr="002F50BD">
        <w:rPr>
          <w:rFonts w:ascii="Verdana" w:eastAsia="Times New Roman" w:hAnsi="Verdana"/>
          <w:sz w:val="16"/>
          <w:lang w:val="pt-BR"/>
        </w:rPr>
        <w:t>terras públicas</w:t>
      </w:r>
      <w:r w:rsidRPr="002F50BD">
        <w:rPr>
          <w:rFonts w:ascii="Verdana" w:eastAsia="Times New Roman" w:hAnsi="Verdana"/>
          <w:sz w:val="16"/>
          <w:lang w:val="pt-BR"/>
        </w:rPr>
        <w:t>, seguir</w:t>
      </w:r>
      <w:r w:rsidR="00840E59" w:rsidRPr="002F50BD">
        <w:rPr>
          <w:rFonts w:ascii="Verdana" w:eastAsia="Times New Roman" w:hAnsi="Verdana"/>
          <w:sz w:val="16"/>
          <w:lang w:val="pt-BR"/>
        </w:rPr>
        <w:t>-se-</w:t>
      </w:r>
      <w:r w:rsidRPr="002F50BD">
        <w:rPr>
          <w:rFonts w:ascii="Verdana" w:eastAsia="Times New Roman" w:hAnsi="Verdana"/>
          <w:sz w:val="16"/>
          <w:lang w:val="pt-BR"/>
        </w:rPr>
        <w:t>á</w:t>
      </w:r>
      <w:r w:rsidR="0089298C" w:rsidRPr="002F50BD">
        <w:rPr>
          <w:rFonts w:ascii="Verdana" w:eastAsia="Times New Roman" w:hAnsi="Verdana"/>
          <w:sz w:val="16"/>
          <w:lang w:val="pt-BR"/>
        </w:rPr>
        <w:t xml:space="preserve"> o seguinte</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procedimento</w:t>
      </w:r>
      <w:r w:rsidRPr="002F50BD">
        <w:rPr>
          <w:rFonts w:ascii="Verdana" w:eastAsia="Times New Roman"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a</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89298C" w:rsidRPr="002F50BD">
        <w:rPr>
          <w:rFonts w:ascii="Verdana" w:eastAsia="Times New Roman" w:hAnsi="Verdana"/>
          <w:sz w:val="16"/>
          <w:lang w:val="pt-BR"/>
        </w:rPr>
        <w:t xml:space="preserve">Denúncia do </w:t>
      </w:r>
      <w:r w:rsidRPr="002F50BD">
        <w:rPr>
          <w:rFonts w:ascii="Verdana" w:eastAsia="Times New Roman" w:hAnsi="Verdana"/>
          <w:sz w:val="16"/>
          <w:lang w:val="pt-BR"/>
        </w:rPr>
        <w:t>Instituto a</w:t>
      </w:r>
      <w:r w:rsidR="00840E59" w:rsidRPr="002F50BD">
        <w:rPr>
          <w:rFonts w:ascii="Verdana" w:eastAsia="Times New Roman" w:hAnsi="Verdana"/>
          <w:sz w:val="16"/>
          <w:lang w:val="pt-BR"/>
        </w:rPr>
        <w:t>o</w:t>
      </w:r>
      <w:hyperlink r:id="rId11" w:history="1">
        <w:r w:rsidRPr="002F50BD">
          <w:rPr>
            <w:rFonts w:ascii="Verdana" w:eastAsia="Times New Roman" w:hAnsi="Verdana"/>
            <w:sz w:val="16"/>
            <w:lang w:val="pt-BR"/>
          </w:rPr>
          <w:t xml:space="preserve"> I.B.R.</w:t>
        </w:r>
      </w:hyperlink>
      <w:r w:rsidRPr="002F50BD">
        <w:rPr>
          <w:rFonts w:ascii="Verdana" w:eastAsia="Times New Roman" w:hAnsi="Verdana"/>
          <w:sz w:val="16"/>
          <w:lang w:val="pt-BR"/>
        </w:rPr>
        <w:t xml:space="preserve"> sobre</w:t>
      </w:r>
      <w:r w:rsidR="0089298C" w:rsidRPr="002F50BD">
        <w:rPr>
          <w:rFonts w:ascii="Verdana" w:eastAsia="Times New Roman" w:hAnsi="Verdana"/>
          <w:sz w:val="16"/>
          <w:lang w:val="pt-BR"/>
        </w:rPr>
        <w:t xml:space="preserve"> a existência</w:t>
      </w:r>
      <w:r w:rsidRPr="002F50BD">
        <w:rPr>
          <w:rFonts w:ascii="Verdana" w:eastAsia="Times New Roman" w:hAnsi="Verdana"/>
          <w:sz w:val="16"/>
          <w:lang w:val="pt-BR"/>
        </w:rPr>
        <w:t xml:space="preserve"> de</w:t>
      </w:r>
      <w:r w:rsidR="0089298C" w:rsidRPr="002F50BD">
        <w:rPr>
          <w:rFonts w:ascii="Verdana" w:eastAsia="Times New Roman" w:hAnsi="Verdana"/>
          <w:sz w:val="16"/>
          <w:lang w:val="pt-BR"/>
        </w:rPr>
        <w:t xml:space="preserve"> uma comunidade </w:t>
      </w:r>
      <w:r w:rsidRPr="002F50BD">
        <w:rPr>
          <w:rFonts w:ascii="Verdana" w:eastAsia="Times New Roman" w:hAnsi="Verdana"/>
          <w:sz w:val="16"/>
          <w:lang w:val="pt-BR"/>
        </w:rPr>
        <w:t>indígena,</w:t>
      </w:r>
      <w:r w:rsidR="0089298C" w:rsidRPr="002F50BD">
        <w:rPr>
          <w:rFonts w:ascii="Verdana" w:eastAsia="Times New Roman" w:hAnsi="Verdana"/>
          <w:sz w:val="16"/>
          <w:lang w:val="pt-BR"/>
        </w:rPr>
        <w:t xml:space="preserve"> com expressão</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 xml:space="preserve">do </w:t>
      </w:r>
      <w:r w:rsidRPr="002F50BD">
        <w:rPr>
          <w:rFonts w:ascii="Verdana" w:eastAsia="Times New Roman" w:hAnsi="Verdana"/>
          <w:sz w:val="16"/>
          <w:lang w:val="pt-BR"/>
        </w:rPr>
        <w:t xml:space="preserve">número de </w:t>
      </w:r>
      <w:r w:rsidR="00AB454A" w:rsidRPr="002F50BD">
        <w:rPr>
          <w:rFonts w:ascii="Verdana" w:eastAsia="Times New Roman" w:hAnsi="Verdana"/>
          <w:sz w:val="16"/>
          <w:lang w:val="pt-BR"/>
        </w:rPr>
        <w:t>seus integrantes</w:t>
      </w:r>
      <w:r w:rsidRPr="002F50BD">
        <w:rPr>
          <w:rFonts w:ascii="Verdana" w:eastAsia="Times New Roman" w:hAnsi="Verdana"/>
          <w:sz w:val="16"/>
          <w:lang w:val="pt-BR"/>
        </w:rPr>
        <w:t>, lugar</w:t>
      </w:r>
      <w:r w:rsidR="0089298C" w:rsidRPr="002F50BD">
        <w:rPr>
          <w:rFonts w:ascii="Verdana" w:eastAsia="Times New Roman" w:hAnsi="Verdana"/>
          <w:sz w:val="16"/>
          <w:lang w:val="pt-BR"/>
        </w:rPr>
        <w:t xml:space="preserve"> em </w:t>
      </w:r>
      <w:r w:rsidRPr="002F50BD">
        <w:rPr>
          <w:rFonts w:ascii="Verdana" w:eastAsia="Times New Roman" w:hAnsi="Verdana"/>
          <w:sz w:val="16"/>
          <w:lang w:val="pt-BR"/>
        </w:rPr>
        <w:t xml:space="preserve">que </w:t>
      </w:r>
      <w:r w:rsidR="00840E59" w:rsidRPr="002F50BD">
        <w:rPr>
          <w:rFonts w:ascii="Verdana" w:eastAsia="Times New Roman" w:hAnsi="Verdana"/>
          <w:sz w:val="16"/>
          <w:lang w:val="pt-BR"/>
        </w:rPr>
        <w:t xml:space="preserve">se </w:t>
      </w:r>
      <w:r w:rsidRPr="002F50BD">
        <w:rPr>
          <w:rFonts w:ascii="Verdana" w:eastAsia="Times New Roman" w:hAnsi="Verdana"/>
          <w:sz w:val="16"/>
          <w:lang w:val="pt-BR"/>
        </w:rPr>
        <w:t>enc</w:t>
      </w:r>
      <w:r w:rsidR="00840E59" w:rsidRPr="002F50BD">
        <w:rPr>
          <w:rFonts w:ascii="Verdana" w:eastAsia="Times New Roman" w:hAnsi="Verdana"/>
          <w:sz w:val="16"/>
          <w:lang w:val="pt-BR"/>
        </w:rPr>
        <w:t>o</w:t>
      </w:r>
      <w:r w:rsidRPr="002F50BD">
        <w:rPr>
          <w:rFonts w:ascii="Verdana" w:eastAsia="Times New Roman" w:hAnsi="Verdana"/>
          <w:sz w:val="16"/>
          <w:lang w:val="pt-BR"/>
        </w:rPr>
        <w:t xml:space="preserve">ntra, </w:t>
      </w:r>
      <w:r w:rsidR="0089298C" w:rsidRPr="002F50BD">
        <w:rPr>
          <w:rFonts w:ascii="Verdana" w:eastAsia="Times New Roman" w:hAnsi="Verdana"/>
          <w:sz w:val="16"/>
          <w:lang w:val="pt-BR"/>
        </w:rPr>
        <w:t>tempo</w:t>
      </w:r>
      <w:r w:rsidRPr="002F50BD">
        <w:rPr>
          <w:rFonts w:ascii="Verdana" w:eastAsia="Times New Roman" w:hAnsi="Verdana"/>
          <w:sz w:val="16"/>
          <w:lang w:val="pt-BR"/>
        </w:rPr>
        <w:t xml:space="preserve"> de perman</w:t>
      </w:r>
      <w:r w:rsidR="00840E59" w:rsidRPr="002F50BD">
        <w:rPr>
          <w:rFonts w:ascii="Verdana" w:eastAsia="Times New Roman" w:hAnsi="Verdana"/>
          <w:sz w:val="16"/>
          <w:lang w:val="pt-BR"/>
        </w:rPr>
        <w:t>ê</w:t>
      </w:r>
      <w:r w:rsidRPr="002F50BD">
        <w:rPr>
          <w:rFonts w:ascii="Verdana" w:eastAsia="Times New Roman" w:hAnsi="Verdana"/>
          <w:sz w:val="16"/>
          <w:lang w:val="pt-BR"/>
        </w:rPr>
        <w:t>ncia</w:t>
      </w:r>
      <w:r w:rsidR="0089298C" w:rsidRPr="002F50BD">
        <w:rPr>
          <w:rFonts w:ascii="Verdana" w:eastAsia="Times New Roman" w:hAnsi="Verdana"/>
          <w:sz w:val="16"/>
          <w:lang w:val="pt-BR"/>
        </w:rPr>
        <w:t xml:space="preserve"> no mesm</w:t>
      </w:r>
      <w:r w:rsidRPr="002F50BD">
        <w:rPr>
          <w:rFonts w:ascii="Verdana" w:eastAsia="Times New Roman" w:hAnsi="Verdana"/>
          <w:sz w:val="16"/>
          <w:lang w:val="pt-BR"/>
        </w:rPr>
        <w:t>o, cultivos</w:t>
      </w:r>
      <w:r w:rsidR="0089298C" w:rsidRPr="002F50BD">
        <w:rPr>
          <w:rFonts w:ascii="Verdana" w:eastAsia="Times New Roman" w:hAnsi="Verdana"/>
          <w:sz w:val="16"/>
          <w:lang w:val="pt-BR"/>
        </w:rPr>
        <w:t xml:space="preserve"> e melhor</w:t>
      </w:r>
      <w:r w:rsidRPr="002F50BD">
        <w:rPr>
          <w:rFonts w:ascii="Verdana" w:eastAsia="Times New Roman" w:hAnsi="Verdana"/>
          <w:sz w:val="16"/>
          <w:lang w:val="pt-BR"/>
        </w:rPr>
        <w:t xml:space="preserve">as </w:t>
      </w:r>
      <w:r w:rsidR="004076AD" w:rsidRPr="002F50BD">
        <w:rPr>
          <w:rFonts w:ascii="Verdana" w:eastAsia="Times New Roman" w:hAnsi="Verdana"/>
          <w:sz w:val="16"/>
          <w:lang w:val="pt-BR"/>
        </w:rPr>
        <w:t>introduzid</w:t>
      </w:r>
      <w:r w:rsidRPr="002F50BD">
        <w:rPr>
          <w:rFonts w:ascii="Verdana" w:eastAsia="Times New Roman" w:hAnsi="Verdana"/>
          <w:sz w:val="16"/>
          <w:lang w:val="pt-BR"/>
        </w:rPr>
        <w:t>as, fr</w:t>
      </w:r>
      <w:r w:rsidR="004076AD" w:rsidRPr="002F50BD">
        <w:rPr>
          <w:rFonts w:ascii="Verdana" w:eastAsia="Times New Roman" w:hAnsi="Verdana"/>
          <w:sz w:val="16"/>
          <w:lang w:val="pt-BR"/>
        </w:rPr>
        <w:t>ação</w:t>
      </w:r>
      <w:r w:rsidRPr="002F50BD">
        <w:rPr>
          <w:rFonts w:ascii="Verdana" w:eastAsia="Times New Roman" w:hAnsi="Verdana"/>
          <w:sz w:val="16"/>
          <w:lang w:val="pt-BR"/>
        </w:rPr>
        <w:t xml:space="preserve"> ocupada </w:t>
      </w:r>
      <w:r w:rsidR="0089298C" w:rsidRPr="002F50BD">
        <w:rPr>
          <w:rFonts w:ascii="Verdana" w:eastAsia="Times New Roman" w:hAnsi="Verdana"/>
          <w:sz w:val="16"/>
          <w:lang w:val="pt-BR"/>
        </w:rPr>
        <w:t>efetiv</w:t>
      </w:r>
      <w:r w:rsidRPr="002F50BD">
        <w:rPr>
          <w:rFonts w:ascii="Verdana" w:eastAsia="Times New Roman" w:hAnsi="Verdana"/>
          <w:sz w:val="16"/>
          <w:lang w:val="pt-BR"/>
        </w:rPr>
        <w:t>amente</w:t>
      </w:r>
      <w:r w:rsidR="0089298C" w:rsidRPr="002F50BD">
        <w:rPr>
          <w:rFonts w:ascii="Verdana" w:eastAsia="Times New Roman" w:hAnsi="Verdana"/>
          <w:sz w:val="16"/>
          <w:lang w:val="pt-BR"/>
        </w:rPr>
        <w:t xml:space="preserve"> e a </w:t>
      </w:r>
      <w:r w:rsidRPr="002F50BD">
        <w:rPr>
          <w:rFonts w:ascii="Verdana" w:eastAsia="Times New Roman" w:hAnsi="Verdana"/>
          <w:sz w:val="16"/>
          <w:lang w:val="pt-BR"/>
        </w:rPr>
        <w:t>reclama</w:t>
      </w:r>
      <w:r w:rsidR="00840E59" w:rsidRPr="002F50BD">
        <w:rPr>
          <w:rFonts w:ascii="Verdana" w:eastAsia="Times New Roman" w:hAnsi="Verdana"/>
          <w:sz w:val="16"/>
          <w:lang w:val="pt-BR"/>
        </w:rPr>
        <w:t>ção</w:t>
      </w:r>
      <w:r w:rsidRPr="002F50BD">
        <w:rPr>
          <w:rFonts w:ascii="Verdana" w:eastAsia="Times New Roman" w:hAnsi="Verdana"/>
          <w:sz w:val="16"/>
          <w:lang w:val="pt-BR"/>
        </w:rPr>
        <w:t xml:space="preserve"> adicional para atender a su</w:t>
      </w:r>
      <w:r w:rsidR="00840E59" w:rsidRPr="002F50BD">
        <w:rPr>
          <w:rFonts w:ascii="Verdana" w:eastAsia="Times New Roman" w:hAnsi="Verdana"/>
          <w:sz w:val="16"/>
          <w:lang w:val="pt-BR"/>
        </w:rPr>
        <w:t>a</w:t>
      </w:r>
      <w:r w:rsidRPr="002F50BD">
        <w:rPr>
          <w:rFonts w:ascii="Verdana" w:eastAsia="Times New Roman" w:hAnsi="Verdana"/>
          <w:sz w:val="16"/>
          <w:lang w:val="pt-BR"/>
        </w:rPr>
        <w:t xml:space="preserve">s </w:t>
      </w:r>
      <w:r w:rsidR="0089298C" w:rsidRPr="002F50BD">
        <w:rPr>
          <w:rFonts w:ascii="Verdana" w:eastAsia="Times New Roman" w:hAnsi="Verdana"/>
          <w:sz w:val="16"/>
          <w:lang w:val="pt-BR"/>
        </w:rPr>
        <w:t>necessidad</w:t>
      </w:r>
      <w:r w:rsidRPr="002F50BD">
        <w:rPr>
          <w:rFonts w:ascii="Verdana" w:eastAsia="Times New Roman" w:hAnsi="Verdana"/>
          <w:sz w:val="16"/>
          <w:lang w:val="pt-BR"/>
        </w:rPr>
        <w:t xml:space="preserve">es </w:t>
      </w:r>
      <w:r w:rsidR="0089298C" w:rsidRPr="002F50BD">
        <w:rPr>
          <w:rFonts w:ascii="Verdana" w:eastAsia="Times New Roman" w:hAnsi="Verdana"/>
          <w:sz w:val="16"/>
          <w:lang w:val="pt-BR"/>
        </w:rPr>
        <w:t>econômic</w:t>
      </w:r>
      <w:r w:rsidRPr="002F50BD">
        <w:rPr>
          <w:rFonts w:ascii="Verdana" w:eastAsia="Times New Roman" w:hAnsi="Verdana"/>
          <w:sz w:val="16"/>
          <w:lang w:val="pt-BR"/>
        </w:rPr>
        <w:t>as</w:t>
      </w:r>
      <w:r w:rsidR="0089298C" w:rsidRPr="002F50BD">
        <w:rPr>
          <w:rFonts w:ascii="Verdana" w:eastAsia="Times New Roman" w:hAnsi="Verdana"/>
          <w:sz w:val="16"/>
          <w:lang w:val="pt-BR"/>
        </w:rPr>
        <w:t xml:space="preserve"> e </w:t>
      </w:r>
      <w:r w:rsidR="006603BE" w:rsidRPr="002F50BD">
        <w:rPr>
          <w:rFonts w:ascii="Verdana" w:eastAsia="Times New Roman" w:hAnsi="Verdana"/>
          <w:sz w:val="16"/>
          <w:lang w:val="pt-BR"/>
        </w:rPr>
        <w:t xml:space="preserve">de </w:t>
      </w:r>
      <w:r w:rsidRPr="002F50BD">
        <w:rPr>
          <w:rFonts w:ascii="Verdana" w:eastAsia="Times New Roman" w:hAnsi="Verdana"/>
          <w:sz w:val="16"/>
          <w:lang w:val="pt-BR"/>
        </w:rPr>
        <w:t>expans</w:t>
      </w:r>
      <w:r w:rsidR="00840E59" w:rsidRPr="002F50BD">
        <w:rPr>
          <w:rFonts w:ascii="Verdana" w:eastAsia="Times New Roman" w:hAnsi="Verdana"/>
          <w:sz w:val="16"/>
          <w:lang w:val="pt-BR"/>
        </w:rPr>
        <w:t>ão</w:t>
      </w:r>
      <w:r w:rsidRPr="002F50BD">
        <w:rPr>
          <w:rFonts w:ascii="Verdana" w:eastAsia="Times New Roman"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b</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89298C" w:rsidRPr="002F50BD">
        <w:rPr>
          <w:rFonts w:ascii="Verdana" w:eastAsia="Times New Roman" w:hAnsi="Verdana"/>
          <w:sz w:val="16"/>
          <w:lang w:val="pt-BR"/>
        </w:rPr>
        <w:t xml:space="preserve">Localização da </w:t>
      </w:r>
      <w:r w:rsidRPr="002F50BD">
        <w:rPr>
          <w:rFonts w:ascii="Verdana" w:eastAsia="Times New Roman" w:hAnsi="Verdana"/>
          <w:sz w:val="16"/>
          <w:lang w:val="pt-BR"/>
        </w:rPr>
        <w:t>fr</w:t>
      </w:r>
      <w:r w:rsidR="004076AD" w:rsidRPr="002F50BD">
        <w:rPr>
          <w:rFonts w:ascii="Verdana" w:eastAsia="Times New Roman" w:hAnsi="Verdana"/>
          <w:sz w:val="16"/>
          <w:lang w:val="pt-BR"/>
        </w:rPr>
        <w:t>ação</w:t>
      </w:r>
      <w:r w:rsidR="0089298C" w:rsidRPr="002F50BD">
        <w:rPr>
          <w:rFonts w:ascii="Verdana" w:eastAsia="Times New Roman" w:hAnsi="Verdana"/>
          <w:sz w:val="16"/>
          <w:lang w:val="pt-BR"/>
        </w:rPr>
        <w:t xml:space="preserve"> no </w:t>
      </w:r>
      <w:r w:rsidRPr="002F50BD">
        <w:rPr>
          <w:rFonts w:ascii="Verdana" w:eastAsia="Times New Roman" w:hAnsi="Verdana"/>
          <w:sz w:val="16"/>
          <w:lang w:val="pt-BR"/>
        </w:rPr>
        <w:t>ca</w:t>
      </w:r>
      <w:r w:rsidR="00840E59" w:rsidRPr="002F50BD">
        <w:rPr>
          <w:rFonts w:ascii="Verdana" w:eastAsia="Times New Roman" w:hAnsi="Verdana"/>
          <w:sz w:val="16"/>
          <w:lang w:val="pt-BR"/>
        </w:rPr>
        <w:t>d</w:t>
      </w:r>
      <w:r w:rsidRPr="002F50BD">
        <w:rPr>
          <w:rFonts w:ascii="Verdana" w:eastAsia="Times New Roman" w:hAnsi="Verdana"/>
          <w:sz w:val="16"/>
          <w:lang w:val="pt-BR"/>
        </w:rPr>
        <w:t>astro d</w:t>
      </w:r>
      <w:r w:rsidR="00840E59" w:rsidRPr="002F50BD">
        <w:rPr>
          <w:rFonts w:ascii="Verdana" w:eastAsia="Times New Roman" w:hAnsi="Verdana"/>
          <w:sz w:val="16"/>
          <w:lang w:val="pt-BR"/>
        </w:rPr>
        <w:t>o</w:t>
      </w:r>
      <w:hyperlink r:id="rId12" w:history="1">
        <w:r w:rsidRPr="002F50BD">
          <w:rPr>
            <w:rFonts w:ascii="Verdana" w:eastAsia="Times New Roman" w:hAnsi="Verdana"/>
            <w:sz w:val="16"/>
            <w:lang w:val="pt-BR"/>
          </w:rPr>
          <w:t xml:space="preserve"> I.B.R.</w:t>
        </w:r>
      </w:hyperlink>
      <w:r w:rsidRPr="002F50BD">
        <w:rPr>
          <w:rFonts w:ascii="Verdana" w:eastAsia="Times New Roman" w:hAnsi="Verdana"/>
          <w:sz w:val="16"/>
          <w:lang w:val="pt-BR"/>
        </w:rPr>
        <w:t xml:space="preserve"> dentro</w:t>
      </w:r>
      <w:r w:rsidR="0089298C" w:rsidRPr="002F50BD">
        <w:rPr>
          <w:rFonts w:ascii="Verdana" w:eastAsia="Times New Roman" w:hAnsi="Verdana"/>
          <w:sz w:val="16"/>
          <w:lang w:val="pt-BR"/>
        </w:rPr>
        <w:t xml:space="preserve"> d</w:t>
      </w:r>
      <w:r w:rsidR="00CD17CA" w:rsidRPr="002F50BD">
        <w:rPr>
          <w:rFonts w:ascii="Verdana" w:eastAsia="Times New Roman" w:hAnsi="Verdana"/>
          <w:sz w:val="16"/>
          <w:lang w:val="pt-BR"/>
        </w:rPr>
        <w:t>e</w:t>
      </w:r>
      <w:r w:rsidR="0089298C" w:rsidRPr="002F50BD">
        <w:rPr>
          <w:rFonts w:ascii="Verdana" w:eastAsia="Times New Roman" w:hAnsi="Verdana"/>
          <w:sz w:val="16"/>
          <w:lang w:val="pt-BR"/>
        </w:rPr>
        <w:t xml:space="preserve"> </w:t>
      </w:r>
      <w:r w:rsidR="00F130FD">
        <w:rPr>
          <w:rFonts w:ascii="Verdana" w:eastAsia="Times New Roman" w:hAnsi="Verdana"/>
          <w:sz w:val="16"/>
          <w:lang w:val="pt-BR"/>
        </w:rPr>
        <w:t>20 dias</w:t>
      </w:r>
      <w:r w:rsidRPr="002F50BD">
        <w:rPr>
          <w:rFonts w:ascii="Verdana" w:eastAsia="Times New Roman" w:hAnsi="Verdana"/>
          <w:sz w:val="16"/>
          <w:lang w:val="pt-BR"/>
        </w:rPr>
        <w:t xml:space="preserve"> </w:t>
      </w:r>
      <w:r w:rsidR="00840E59" w:rsidRPr="002F50BD">
        <w:rPr>
          <w:rFonts w:ascii="Verdana" w:eastAsia="Times New Roman" w:hAnsi="Verdana"/>
          <w:sz w:val="16"/>
          <w:lang w:val="pt-BR"/>
        </w:rPr>
        <w:t xml:space="preserve">contados </w:t>
      </w:r>
      <w:r w:rsidRPr="002F50BD">
        <w:rPr>
          <w:rFonts w:ascii="Verdana" w:eastAsia="Times New Roman" w:hAnsi="Verdana"/>
          <w:sz w:val="16"/>
          <w:lang w:val="pt-BR"/>
        </w:rPr>
        <w:t>d</w:t>
      </w:r>
      <w:r w:rsidR="0089298C" w:rsidRPr="002F50BD">
        <w:rPr>
          <w:rFonts w:ascii="Verdana" w:eastAsia="Times New Roman" w:hAnsi="Verdana"/>
          <w:sz w:val="16"/>
          <w:lang w:val="pt-BR"/>
        </w:rPr>
        <w:t>a apresentação</w:t>
      </w:r>
      <w:r w:rsidRPr="002F50BD">
        <w:rPr>
          <w:rFonts w:ascii="Verdana" w:eastAsia="Times New Roman"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c</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89298C" w:rsidRPr="002F50BD">
        <w:rPr>
          <w:rFonts w:ascii="Verdana" w:eastAsia="Times New Roman" w:hAnsi="Verdana"/>
          <w:sz w:val="16"/>
          <w:lang w:val="pt-BR"/>
        </w:rPr>
        <w:t>Inspeção</w:t>
      </w:r>
      <w:r w:rsidRPr="002F50BD">
        <w:rPr>
          <w:rFonts w:ascii="Verdana" w:eastAsia="Times New Roman" w:hAnsi="Verdana"/>
          <w:sz w:val="16"/>
          <w:lang w:val="pt-BR"/>
        </w:rPr>
        <w:t xml:space="preserve"> ocular por parte </w:t>
      </w:r>
      <w:r w:rsidR="0089298C" w:rsidRPr="002F50BD">
        <w:rPr>
          <w:rFonts w:ascii="Verdana" w:eastAsia="Times New Roman" w:hAnsi="Verdana"/>
          <w:sz w:val="16"/>
          <w:lang w:val="pt-BR"/>
        </w:rPr>
        <w:t xml:space="preserve">do </w:t>
      </w:r>
      <w:hyperlink r:id="rId13" w:history="1">
        <w:r w:rsidRPr="002F50BD">
          <w:rPr>
            <w:rFonts w:ascii="Verdana" w:eastAsia="Times New Roman" w:hAnsi="Verdana"/>
            <w:sz w:val="16"/>
            <w:lang w:val="pt-BR"/>
          </w:rPr>
          <w:t>I.B.R.</w:t>
        </w:r>
      </w:hyperlink>
      <w:r w:rsidRPr="002F50BD">
        <w:rPr>
          <w:rFonts w:ascii="Verdana" w:eastAsia="Times New Roman" w:hAnsi="Verdana"/>
          <w:sz w:val="16"/>
          <w:lang w:val="pt-BR"/>
        </w:rPr>
        <w:t xml:space="preserve"> dentro </w:t>
      </w:r>
      <w:r w:rsidR="0089298C" w:rsidRPr="002F50BD">
        <w:rPr>
          <w:rFonts w:ascii="Verdana" w:eastAsia="Times New Roman" w:hAnsi="Verdana"/>
          <w:sz w:val="16"/>
          <w:lang w:val="pt-BR"/>
        </w:rPr>
        <w:t>do prazo</w:t>
      </w:r>
      <w:r w:rsidRPr="002F50BD">
        <w:rPr>
          <w:rFonts w:ascii="Verdana" w:eastAsia="Times New Roman" w:hAnsi="Verdana"/>
          <w:sz w:val="16"/>
          <w:lang w:val="pt-BR"/>
        </w:rPr>
        <w:t xml:space="preserve"> de </w:t>
      </w:r>
      <w:r w:rsidR="00951B61">
        <w:rPr>
          <w:rFonts w:ascii="Verdana" w:eastAsia="Times New Roman" w:hAnsi="Verdana"/>
          <w:sz w:val="16"/>
          <w:lang w:val="pt-BR"/>
        </w:rPr>
        <w:t>30 dias</w:t>
      </w:r>
      <w:r w:rsidR="0089298C" w:rsidRPr="002F50BD">
        <w:rPr>
          <w:rFonts w:ascii="Verdana" w:eastAsia="Times New Roman" w:hAnsi="Verdana"/>
          <w:sz w:val="16"/>
          <w:lang w:val="pt-BR"/>
        </w:rPr>
        <w:t xml:space="preserve"> </w:t>
      </w:r>
      <w:r w:rsidR="00840E59" w:rsidRPr="002F50BD">
        <w:rPr>
          <w:rFonts w:ascii="Verdana" w:eastAsia="Times New Roman" w:hAnsi="Verdana"/>
          <w:sz w:val="16"/>
          <w:lang w:val="pt-BR"/>
        </w:rPr>
        <w:t xml:space="preserve">contados </w:t>
      </w:r>
      <w:r w:rsidR="0089298C" w:rsidRPr="002F50BD">
        <w:rPr>
          <w:rFonts w:ascii="Verdana" w:eastAsia="Times New Roman" w:hAnsi="Verdana"/>
          <w:sz w:val="16"/>
          <w:lang w:val="pt-BR"/>
        </w:rPr>
        <w:t xml:space="preserve">da localização no </w:t>
      </w:r>
      <w:r w:rsidRPr="002F50BD">
        <w:rPr>
          <w:rFonts w:ascii="Verdana" w:eastAsia="Times New Roman" w:hAnsi="Verdana"/>
          <w:sz w:val="16"/>
          <w:lang w:val="pt-BR"/>
        </w:rPr>
        <w:t>ca</w:t>
      </w:r>
      <w:r w:rsidR="00840E59" w:rsidRPr="002F50BD">
        <w:rPr>
          <w:rFonts w:ascii="Verdana" w:eastAsia="Times New Roman" w:hAnsi="Verdana"/>
          <w:sz w:val="16"/>
          <w:lang w:val="pt-BR"/>
        </w:rPr>
        <w:t>d</w:t>
      </w:r>
      <w:r w:rsidRPr="002F50BD">
        <w:rPr>
          <w:rFonts w:ascii="Verdana" w:eastAsia="Times New Roman" w:hAnsi="Verdana"/>
          <w:sz w:val="16"/>
          <w:lang w:val="pt-BR"/>
        </w:rPr>
        <w:t>astro, inclu</w:t>
      </w:r>
      <w:r w:rsidR="00840E59" w:rsidRPr="002F50BD">
        <w:rPr>
          <w:rFonts w:ascii="Verdana" w:eastAsia="Times New Roman" w:hAnsi="Verdana"/>
          <w:sz w:val="16"/>
          <w:lang w:val="pt-BR"/>
        </w:rPr>
        <w:t>i</w:t>
      </w:r>
      <w:r w:rsidRPr="002F50BD">
        <w:rPr>
          <w:rFonts w:ascii="Verdana" w:eastAsia="Times New Roman" w:hAnsi="Verdana"/>
          <w:sz w:val="16"/>
          <w:lang w:val="pt-BR"/>
        </w:rPr>
        <w:t>ndo</w:t>
      </w:r>
      <w:r w:rsidR="00840E59" w:rsidRPr="002F50BD">
        <w:rPr>
          <w:rFonts w:ascii="Verdana" w:eastAsia="Times New Roman" w:hAnsi="Verdana"/>
          <w:sz w:val="16"/>
          <w:lang w:val="pt-BR"/>
        </w:rPr>
        <w:t>-</w:t>
      </w:r>
      <w:r w:rsidRPr="002F50BD">
        <w:rPr>
          <w:rFonts w:ascii="Verdana" w:eastAsia="Times New Roman" w:hAnsi="Verdana"/>
          <w:sz w:val="16"/>
          <w:lang w:val="pt-BR"/>
        </w:rPr>
        <w:t>se</w:t>
      </w:r>
      <w:r w:rsidR="0089298C" w:rsidRPr="002F50BD">
        <w:rPr>
          <w:rFonts w:ascii="Verdana" w:eastAsia="Times New Roman" w:hAnsi="Verdana"/>
          <w:sz w:val="16"/>
          <w:lang w:val="pt-BR"/>
        </w:rPr>
        <w:t xml:space="preserve"> neste prazo a apresentação</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do relatório;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d</w:t>
      </w:r>
      <w:r w:rsidR="00CF451D" w:rsidRPr="00CF451D">
        <w:rPr>
          <w:rFonts w:ascii="Verdana" w:eastAsia="Times New Roman" w:hAnsi="Verdana"/>
          <w:sz w:val="16"/>
          <w:lang w:val="pt-BR"/>
        </w:rPr>
        <w:t>)</w:t>
      </w:r>
      <w:r w:rsidRPr="002F50BD">
        <w:rPr>
          <w:rFonts w:ascii="Verdana" w:eastAsia="Times New Roman" w:hAnsi="Verdana"/>
          <w:sz w:val="16"/>
          <w:lang w:val="pt-BR"/>
        </w:rPr>
        <w:tab/>
        <w:t>Me</w:t>
      </w:r>
      <w:r w:rsidR="00840E59" w:rsidRPr="002F50BD">
        <w:rPr>
          <w:rFonts w:ascii="Verdana" w:eastAsia="Times New Roman" w:hAnsi="Verdana"/>
          <w:sz w:val="16"/>
          <w:lang w:val="pt-BR"/>
        </w:rPr>
        <w:t xml:space="preserve">dida e demarcação </w:t>
      </w:r>
      <w:r w:rsidR="0089298C" w:rsidRPr="002F50BD">
        <w:rPr>
          <w:rFonts w:ascii="Verdana" w:eastAsia="Times New Roman" w:hAnsi="Verdana"/>
          <w:sz w:val="16"/>
          <w:lang w:val="pt-BR"/>
        </w:rPr>
        <w:t xml:space="preserve">da </w:t>
      </w:r>
      <w:r w:rsidRPr="002F50BD">
        <w:rPr>
          <w:rFonts w:ascii="Verdana" w:eastAsia="Times New Roman" w:hAnsi="Verdana"/>
          <w:sz w:val="16"/>
          <w:lang w:val="pt-BR"/>
        </w:rPr>
        <w:t>fr</w:t>
      </w:r>
      <w:r w:rsidR="004076AD" w:rsidRPr="002F50BD">
        <w:rPr>
          <w:rFonts w:ascii="Verdana" w:eastAsia="Times New Roman" w:hAnsi="Verdana"/>
          <w:sz w:val="16"/>
          <w:lang w:val="pt-BR"/>
        </w:rPr>
        <w:t>ação</w:t>
      </w:r>
      <w:r w:rsidRPr="002F50BD">
        <w:rPr>
          <w:rFonts w:ascii="Verdana" w:eastAsia="Times New Roman" w:hAnsi="Verdana"/>
          <w:sz w:val="16"/>
          <w:lang w:val="pt-BR"/>
        </w:rPr>
        <w:t xml:space="preserve"> a cargo d</w:t>
      </w:r>
      <w:r w:rsidR="00840E59" w:rsidRPr="002F50BD">
        <w:rPr>
          <w:rFonts w:ascii="Verdana" w:eastAsia="Times New Roman" w:hAnsi="Verdana"/>
          <w:sz w:val="16"/>
          <w:lang w:val="pt-BR"/>
        </w:rPr>
        <w:t>o</w:t>
      </w:r>
      <w:hyperlink r:id="rId14" w:history="1">
        <w:r w:rsidRPr="002F50BD">
          <w:rPr>
            <w:rFonts w:ascii="Verdana" w:eastAsia="Times New Roman" w:hAnsi="Verdana"/>
            <w:sz w:val="16"/>
            <w:lang w:val="pt-BR"/>
          </w:rPr>
          <w:t xml:space="preserve"> I.B.R.</w:t>
        </w:r>
      </w:hyperlink>
      <w:r w:rsidRPr="002F50BD">
        <w:rPr>
          <w:rFonts w:ascii="Verdana" w:eastAsia="Times New Roman" w:hAnsi="Verdana"/>
          <w:sz w:val="16"/>
          <w:lang w:val="pt-BR"/>
        </w:rPr>
        <w:t xml:space="preserve"> dentro </w:t>
      </w:r>
      <w:r w:rsidR="0089298C" w:rsidRPr="002F50BD">
        <w:rPr>
          <w:rFonts w:ascii="Verdana" w:eastAsia="Times New Roman" w:hAnsi="Verdana"/>
          <w:sz w:val="16"/>
          <w:lang w:val="pt-BR"/>
        </w:rPr>
        <w:t xml:space="preserve">do </w:t>
      </w:r>
      <w:r w:rsidR="00840E59" w:rsidRPr="002F50BD">
        <w:rPr>
          <w:rFonts w:ascii="Verdana" w:eastAsia="Times New Roman" w:hAnsi="Verdana"/>
          <w:sz w:val="16"/>
          <w:lang w:val="pt-BR"/>
        </w:rPr>
        <w:t xml:space="preserve">prazo </w:t>
      </w:r>
      <w:r w:rsidRPr="002F50BD">
        <w:rPr>
          <w:rFonts w:ascii="Verdana" w:eastAsia="Times New Roman" w:hAnsi="Verdana"/>
          <w:sz w:val="16"/>
          <w:lang w:val="pt-BR"/>
        </w:rPr>
        <w:t xml:space="preserve">de </w:t>
      </w:r>
      <w:r w:rsidR="00F130FD">
        <w:rPr>
          <w:rFonts w:ascii="Verdana" w:eastAsia="Times New Roman" w:hAnsi="Verdana"/>
          <w:sz w:val="16"/>
          <w:lang w:val="pt-BR"/>
        </w:rPr>
        <w:t>60</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dia</w:t>
      </w:r>
      <w:r w:rsidRPr="002F50BD">
        <w:rPr>
          <w:rFonts w:ascii="Verdana" w:eastAsia="Times New Roman" w:hAnsi="Verdana"/>
          <w:sz w:val="16"/>
          <w:lang w:val="pt-BR"/>
        </w:rPr>
        <w:t>s a contar</w:t>
      </w:r>
      <w:r w:rsidR="0089298C" w:rsidRPr="002F50BD">
        <w:rPr>
          <w:rFonts w:ascii="Verdana" w:eastAsia="Times New Roman" w:hAnsi="Verdana"/>
          <w:sz w:val="16"/>
          <w:lang w:val="pt-BR"/>
        </w:rPr>
        <w:t xml:space="preserve"> da apresentação</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do relatório do funcionári</w:t>
      </w:r>
      <w:r w:rsidRPr="002F50BD">
        <w:rPr>
          <w:rFonts w:ascii="Verdana" w:eastAsia="Times New Roman" w:hAnsi="Verdana"/>
          <w:sz w:val="16"/>
          <w:lang w:val="pt-BR"/>
        </w:rPr>
        <w:t xml:space="preserve">o </w:t>
      </w:r>
      <w:r w:rsidR="0089298C" w:rsidRPr="002F50BD">
        <w:rPr>
          <w:rFonts w:ascii="Verdana" w:eastAsia="Times New Roman" w:hAnsi="Verdana"/>
          <w:sz w:val="16"/>
          <w:lang w:val="pt-BR"/>
        </w:rPr>
        <w:t>comissionad</w:t>
      </w:r>
      <w:r w:rsidRPr="002F50BD">
        <w:rPr>
          <w:rFonts w:ascii="Verdana" w:eastAsia="Times New Roman" w:hAnsi="Verdana"/>
          <w:sz w:val="16"/>
          <w:lang w:val="pt-BR"/>
        </w:rPr>
        <w:t>o para</w:t>
      </w:r>
      <w:r w:rsidR="0089298C" w:rsidRPr="002F50BD">
        <w:rPr>
          <w:rFonts w:ascii="Verdana" w:eastAsia="Times New Roman" w:hAnsi="Verdana"/>
          <w:sz w:val="16"/>
          <w:lang w:val="pt-BR"/>
        </w:rPr>
        <w:t xml:space="preserve"> a inspeção</w:t>
      </w:r>
      <w:r w:rsidRPr="002F50BD">
        <w:rPr>
          <w:rFonts w:ascii="Verdana" w:eastAsia="Times New Roman" w:hAnsi="Verdana"/>
          <w:sz w:val="16"/>
          <w:lang w:val="pt-BR"/>
        </w:rPr>
        <w:t xml:space="preserve"> ocular;</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r w:rsidRPr="002F50BD">
        <w:rPr>
          <w:rFonts w:ascii="Verdana" w:eastAsia="Times New Roman" w:hAnsi="Verdana"/>
          <w:sz w:val="16"/>
          <w:lang w:val="pt-BR"/>
        </w:rPr>
        <w:t>e</w:t>
      </w:r>
      <w:r w:rsidR="00CF451D" w:rsidRPr="00CF451D">
        <w:rPr>
          <w:rFonts w:ascii="Verdana" w:eastAsia="Times New Roman" w:hAnsi="Verdana"/>
          <w:sz w:val="16"/>
          <w:lang w:val="pt-BR"/>
        </w:rPr>
        <w:t>)</w:t>
      </w:r>
      <w:r w:rsidRPr="002F50BD">
        <w:rPr>
          <w:rFonts w:ascii="Verdana" w:eastAsia="Times New Roman" w:hAnsi="Verdana"/>
          <w:sz w:val="16"/>
          <w:lang w:val="pt-BR"/>
        </w:rPr>
        <w:tab/>
      </w:r>
      <w:r w:rsidR="004076AD" w:rsidRPr="002F50BD">
        <w:rPr>
          <w:rFonts w:ascii="Verdana" w:eastAsia="Times New Roman" w:hAnsi="Verdana"/>
          <w:sz w:val="16"/>
          <w:lang w:val="pt-BR"/>
        </w:rPr>
        <w:t>Aprovação</w:t>
      </w:r>
      <w:r w:rsidR="0089298C" w:rsidRPr="002F50BD">
        <w:rPr>
          <w:rFonts w:ascii="Verdana" w:eastAsia="Times New Roman" w:hAnsi="Verdana"/>
          <w:sz w:val="16"/>
          <w:lang w:val="pt-BR"/>
        </w:rPr>
        <w:t xml:space="preserve"> da </w:t>
      </w:r>
      <w:r w:rsidR="00840E59" w:rsidRPr="002F50BD">
        <w:rPr>
          <w:rFonts w:ascii="Verdana" w:eastAsia="Times New Roman" w:hAnsi="Verdana"/>
          <w:sz w:val="16"/>
          <w:lang w:val="pt-BR"/>
        </w:rPr>
        <w:t>medida d</w:t>
      </w:r>
      <w:r w:rsidRPr="002F50BD">
        <w:rPr>
          <w:rFonts w:ascii="Verdana" w:eastAsia="Times New Roman" w:hAnsi="Verdana"/>
          <w:sz w:val="16"/>
          <w:lang w:val="pt-BR"/>
        </w:rPr>
        <w:t xml:space="preserve">entro </w:t>
      </w:r>
      <w:r w:rsidR="0089298C" w:rsidRPr="002F50BD">
        <w:rPr>
          <w:rFonts w:ascii="Verdana" w:eastAsia="Times New Roman" w:hAnsi="Verdana"/>
          <w:sz w:val="16"/>
          <w:lang w:val="pt-BR"/>
        </w:rPr>
        <w:t>do prazo</w:t>
      </w:r>
      <w:r w:rsidRPr="002F50BD">
        <w:rPr>
          <w:rFonts w:ascii="Verdana" w:eastAsia="Times New Roman" w:hAnsi="Verdana"/>
          <w:sz w:val="16"/>
          <w:lang w:val="pt-BR"/>
        </w:rPr>
        <w:t xml:space="preserve"> de </w:t>
      </w:r>
      <w:r w:rsidR="00951B61">
        <w:rPr>
          <w:rFonts w:ascii="Verdana" w:eastAsia="Times New Roman" w:hAnsi="Verdana"/>
          <w:sz w:val="16"/>
          <w:lang w:val="pt-BR"/>
        </w:rPr>
        <w:t>30 dias</w:t>
      </w:r>
      <w:r w:rsidRPr="002F50BD">
        <w:rPr>
          <w:rFonts w:ascii="Verdana" w:eastAsia="Times New Roman" w:hAnsi="Verdana"/>
          <w:sz w:val="16"/>
          <w:lang w:val="pt-BR"/>
        </w:rPr>
        <w:t xml:space="preserve"> </w:t>
      </w:r>
      <w:r w:rsidR="00840E59" w:rsidRPr="002F50BD">
        <w:rPr>
          <w:rFonts w:ascii="Verdana" w:eastAsia="Times New Roman" w:hAnsi="Verdana"/>
          <w:sz w:val="16"/>
          <w:lang w:val="pt-BR"/>
        </w:rPr>
        <w:t xml:space="preserve">contados a partir da </w:t>
      </w:r>
      <w:r w:rsidR="0089298C" w:rsidRPr="002F50BD">
        <w:rPr>
          <w:rFonts w:ascii="Verdana" w:eastAsia="Times New Roman" w:hAnsi="Verdana"/>
          <w:sz w:val="16"/>
          <w:lang w:val="pt-BR"/>
        </w:rPr>
        <w:t>data</w:t>
      </w:r>
      <w:r w:rsidRPr="002F50BD">
        <w:rPr>
          <w:rFonts w:ascii="Verdana" w:eastAsia="Times New Roman" w:hAnsi="Verdana"/>
          <w:sz w:val="16"/>
          <w:lang w:val="pt-BR"/>
        </w:rPr>
        <w:t xml:space="preserve"> de su</w:t>
      </w:r>
      <w:r w:rsidR="00840E59" w:rsidRPr="002F50BD">
        <w:rPr>
          <w:rFonts w:ascii="Verdana" w:eastAsia="Times New Roman" w:hAnsi="Verdana"/>
          <w:sz w:val="16"/>
          <w:lang w:val="pt-BR"/>
        </w:rPr>
        <w:t>a</w:t>
      </w:r>
      <w:r w:rsidR="0089298C" w:rsidRPr="002F50BD">
        <w:rPr>
          <w:rFonts w:ascii="Verdana" w:eastAsia="Times New Roman" w:hAnsi="Verdana"/>
          <w:sz w:val="16"/>
          <w:lang w:val="pt-BR"/>
        </w:rPr>
        <w:t xml:space="preserve"> apresentação</w:t>
      </w:r>
      <w:r w:rsidRPr="002F50BD">
        <w:rPr>
          <w:rFonts w:ascii="Verdana" w:eastAsia="Times New Roman" w:hAnsi="Verdana"/>
          <w:sz w:val="16"/>
          <w:lang w:val="pt-BR"/>
        </w:rPr>
        <w:t>; </w:t>
      </w:r>
      <w:r w:rsidR="00840E59" w:rsidRPr="002F50BD">
        <w:rPr>
          <w:rFonts w:ascii="Verdana" w:eastAsia="Times New Roman" w:hAnsi="Verdana"/>
          <w:sz w:val="16"/>
          <w:lang w:val="pt-BR"/>
        </w:rPr>
        <w:t>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r w:rsidRPr="002F50BD">
        <w:rPr>
          <w:rFonts w:ascii="Verdana" w:eastAsia="Times New Roman" w:hAnsi="Verdana"/>
          <w:sz w:val="16"/>
          <w:lang w:val="pt-BR"/>
        </w:rPr>
        <w:t>f</w:t>
      </w:r>
      <w:r w:rsidR="00CF451D" w:rsidRPr="00CF451D">
        <w:rPr>
          <w:rFonts w:ascii="Verdana" w:eastAsia="Times New Roman" w:hAnsi="Verdana"/>
          <w:sz w:val="16"/>
          <w:lang w:val="pt-BR"/>
        </w:rPr>
        <w:t>)</w:t>
      </w:r>
      <w:r w:rsidRPr="002F50BD">
        <w:rPr>
          <w:rFonts w:ascii="Verdana" w:eastAsia="Times New Roman" w:hAnsi="Verdana"/>
          <w:sz w:val="16"/>
          <w:lang w:val="pt-BR"/>
        </w:rPr>
        <w:tab/>
        <w:t>Resolu</w:t>
      </w:r>
      <w:r w:rsidR="0089298C" w:rsidRPr="002F50BD">
        <w:rPr>
          <w:rFonts w:ascii="Verdana" w:eastAsia="Times New Roman" w:hAnsi="Verdana"/>
          <w:sz w:val="16"/>
          <w:lang w:val="pt-BR"/>
        </w:rPr>
        <w:t>ção</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 xml:space="preserve">do </w:t>
      </w:r>
      <w:hyperlink r:id="rId15" w:history="1">
        <w:r w:rsidRPr="002F50BD">
          <w:rPr>
            <w:rFonts w:ascii="Verdana" w:eastAsia="Times New Roman" w:hAnsi="Verdana"/>
            <w:sz w:val="16"/>
            <w:lang w:val="pt-BR"/>
          </w:rPr>
          <w:t>I.B.R.,</w:t>
        </w:r>
      </w:hyperlink>
      <w:r w:rsidRPr="002F50BD">
        <w:rPr>
          <w:rFonts w:ascii="Verdana" w:eastAsia="Times New Roman" w:hAnsi="Verdana"/>
          <w:sz w:val="16"/>
          <w:lang w:val="pt-BR"/>
        </w:rPr>
        <w:t xml:space="preserve"> </w:t>
      </w:r>
      <w:r w:rsidR="00840E59" w:rsidRPr="002F50BD">
        <w:rPr>
          <w:rFonts w:ascii="Verdana" w:eastAsia="Times New Roman" w:hAnsi="Verdana"/>
          <w:sz w:val="16"/>
          <w:lang w:val="pt-BR"/>
        </w:rPr>
        <w:t xml:space="preserve">mediante </w:t>
      </w:r>
      <w:r w:rsidR="0089298C" w:rsidRPr="002F50BD">
        <w:rPr>
          <w:rFonts w:ascii="Verdana" w:eastAsia="Times New Roman" w:hAnsi="Verdana"/>
          <w:sz w:val="16"/>
          <w:lang w:val="pt-BR"/>
        </w:rPr>
        <w:t>prévio</w:t>
      </w:r>
      <w:r w:rsidRPr="002F50BD">
        <w:rPr>
          <w:rFonts w:ascii="Verdana" w:eastAsia="Times New Roman" w:hAnsi="Verdana"/>
          <w:sz w:val="16"/>
          <w:lang w:val="pt-BR"/>
        </w:rPr>
        <w:t xml:space="preserve"> </w:t>
      </w:r>
      <w:r w:rsidR="0089298C" w:rsidRPr="002F50BD">
        <w:rPr>
          <w:rFonts w:ascii="Verdana" w:eastAsia="Times New Roman" w:hAnsi="Verdana"/>
          <w:sz w:val="16"/>
          <w:lang w:val="pt-BR"/>
        </w:rPr>
        <w:t xml:space="preserve">parecer favorável do </w:t>
      </w:r>
      <w:r w:rsidRPr="002F50BD">
        <w:rPr>
          <w:rFonts w:ascii="Verdana" w:eastAsia="Times New Roman" w:hAnsi="Verdana"/>
          <w:sz w:val="16"/>
          <w:lang w:val="pt-BR"/>
        </w:rPr>
        <w:t>Instituto, habilitando</w:t>
      </w:r>
      <w:r w:rsidR="0089298C" w:rsidRPr="002F50BD">
        <w:rPr>
          <w:rFonts w:ascii="Verdana" w:eastAsia="Times New Roman" w:hAnsi="Verdana"/>
          <w:sz w:val="16"/>
          <w:lang w:val="pt-BR"/>
        </w:rPr>
        <w:t xml:space="preserve"> o</w:t>
      </w:r>
      <w:r w:rsidR="00FE08B7">
        <w:rPr>
          <w:rFonts w:ascii="Verdana" w:eastAsia="Times New Roman" w:hAnsi="Verdana"/>
          <w:sz w:val="16"/>
          <w:lang w:val="pt-BR"/>
        </w:rPr>
        <w:t xml:space="preserve"> </w:t>
      </w:r>
      <w:r w:rsidR="00AB454A" w:rsidRPr="002F50BD">
        <w:rPr>
          <w:rFonts w:ascii="Verdana" w:eastAsia="Times New Roman" w:hAnsi="Verdana"/>
          <w:sz w:val="16"/>
          <w:lang w:val="pt-BR"/>
        </w:rPr>
        <w:t>assentamento</w:t>
      </w:r>
      <w:r w:rsidR="0089298C" w:rsidRPr="002F50BD">
        <w:rPr>
          <w:rFonts w:ascii="Verdana" w:eastAsia="Times New Roman" w:hAnsi="Verdana"/>
          <w:sz w:val="16"/>
          <w:lang w:val="pt-BR"/>
        </w:rPr>
        <w:t xml:space="preserve"> da comunidade </w:t>
      </w:r>
      <w:r w:rsidRPr="002F50BD">
        <w:rPr>
          <w:rFonts w:ascii="Verdana" w:eastAsia="Times New Roman" w:hAnsi="Verdana"/>
          <w:sz w:val="16"/>
          <w:lang w:val="pt-BR"/>
        </w:rPr>
        <w:t>indígena.</w:t>
      </w:r>
    </w:p>
    <w:p w:rsidR="001C609B" w:rsidRPr="002F50BD" w:rsidRDefault="001C609B" w:rsidP="001C609B">
      <w:pPr>
        <w:jc w:val="both"/>
        <w:rPr>
          <w:rFonts w:ascii="Verdana" w:hAnsi="Verdana"/>
          <w:i/>
          <w:sz w:val="20"/>
          <w:lang w:val="pt-BR"/>
        </w:rPr>
      </w:pPr>
    </w:p>
    <w:p w:rsidR="004756C1" w:rsidRPr="002F50BD" w:rsidRDefault="0089298C">
      <w:pPr>
        <w:numPr>
          <w:ilvl w:val="0"/>
          <w:numId w:val="28"/>
        </w:numPr>
        <w:jc w:val="both"/>
        <w:rPr>
          <w:rFonts w:ascii="Verdana" w:hAnsi="Verdana"/>
          <w:i/>
          <w:sz w:val="20"/>
          <w:lang w:val="pt-BR"/>
        </w:rPr>
      </w:pPr>
      <w:r w:rsidRPr="002F50BD">
        <w:rPr>
          <w:rFonts w:ascii="Verdana" w:hAnsi="Verdana"/>
          <w:sz w:val="20"/>
          <w:lang w:val="pt-BR"/>
        </w:rPr>
        <w:t>O trâmite</w:t>
      </w:r>
      <w:r w:rsidR="004756C1" w:rsidRPr="002F50BD">
        <w:rPr>
          <w:rFonts w:ascii="Verdana" w:hAnsi="Verdana"/>
          <w:sz w:val="20"/>
          <w:lang w:val="pt-BR"/>
        </w:rPr>
        <w:t xml:space="preserve"> de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40E59" w:rsidRPr="002F50BD">
        <w:rPr>
          <w:rFonts w:ascii="Verdana" w:hAnsi="Verdana"/>
          <w:sz w:val="20"/>
          <w:lang w:val="pt-BR"/>
        </w:rPr>
        <w:t>p</w:t>
      </w:r>
      <w:r w:rsidR="004076AD" w:rsidRPr="002F50BD">
        <w:rPr>
          <w:rFonts w:ascii="Verdana" w:hAnsi="Verdana"/>
          <w:sz w:val="20"/>
          <w:lang w:val="pt-BR"/>
        </w:rPr>
        <w:t>or sua vez</w:t>
      </w:r>
      <w:r w:rsidR="004756C1" w:rsidRPr="002F50BD">
        <w:rPr>
          <w:rFonts w:ascii="Verdana" w:hAnsi="Verdana"/>
          <w:sz w:val="20"/>
          <w:lang w:val="pt-BR"/>
        </w:rPr>
        <w:t xml:space="preserve">, se </w:t>
      </w:r>
      <w:r w:rsidRPr="002F50BD">
        <w:rPr>
          <w:rFonts w:ascii="Verdana" w:hAnsi="Verdana"/>
          <w:sz w:val="20"/>
          <w:lang w:val="pt-BR"/>
        </w:rPr>
        <w:t>encontrava</w:t>
      </w:r>
      <w:r w:rsidR="004756C1" w:rsidRPr="002F50BD">
        <w:rPr>
          <w:rFonts w:ascii="Verdana" w:hAnsi="Verdana"/>
          <w:sz w:val="20"/>
          <w:lang w:val="pt-BR"/>
        </w:rPr>
        <w:t xml:space="preserve"> regulado</w:t>
      </w:r>
      <w:r w:rsidRPr="002F50BD">
        <w:rPr>
          <w:rFonts w:ascii="Verdana" w:hAnsi="Verdana"/>
          <w:sz w:val="20"/>
          <w:lang w:val="pt-BR"/>
        </w:rPr>
        <w:t xml:space="preserv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854</w:t>
      </w:r>
      <w:r w:rsidR="004756C1" w:rsidRPr="002F50BD">
        <w:rPr>
          <w:rFonts w:ascii="Verdana" w:hAnsi="Verdana"/>
          <w:sz w:val="20"/>
          <w:lang w:val="pt-BR"/>
        </w:rPr>
        <w:t>/</w:t>
      </w:r>
      <w:r w:rsidR="00063B47" w:rsidRPr="002F50BD">
        <w:rPr>
          <w:rFonts w:ascii="Verdana" w:hAnsi="Verdana"/>
          <w:sz w:val="20"/>
          <w:lang w:val="pt-BR"/>
        </w:rPr>
        <w:t>63</w:t>
      </w:r>
      <w:r w:rsidR="004756C1" w:rsidRPr="002F50BD">
        <w:rPr>
          <w:rFonts w:ascii="Verdana" w:hAnsi="Verdana"/>
          <w:sz w:val="20"/>
          <w:lang w:val="pt-BR"/>
        </w:rPr>
        <w:t xml:space="preserve"> que </w:t>
      </w:r>
      <w:r w:rsidR="004076AD" w:rsidRPr="002F50BD">
        <w:rPr>
          <w:rFonts w:ascii="Verdana" w:hAnsi="Verdana"/>
          <w:sz w:val="20"/>
          <w:lang w:val="pt-BR"/>
        </w:rPr>
        <w:t>estabelecia</w:t>
      </w:r>
      <w:r w:rsidRPr="002F50BD">
        <w:rPr>
          <w:rFonts w:ascii="Verdana" w:hAnsi="Verdana"/>
          <w:sz w:val="20"/>
          <w:lang w:val="pt-BR"/>
        </w:rPr>
        <w:t xml:space="preserve"> o </w:t>
      </w:r>
      <w:r w:rsidR="004756C1" w:rsidRPr="002F50BD">
        <w:rPr>
          <w:rFonts w:ascii="Verdana" w:hAnsi="Verdana"/>
          <w:sz w:val="20"/>
          <w:lang w:val="pt-BR"/>
        </w:rPr>
        <w:t xml:space="preserve">Estatuto </w:t>
      </w:r>
      <w:r w:rsidR="00D95E71" w:rsidRPr="002F50BD">
        <w:rPr>
          <w:rFonts w:ascii="Verdana" w:hAnsi="Verdana"/>
          <w:sz w:val="20"/>
          <w:lang w:val="pt-BR"/>
        </w:rPr>
        <w:t>Agrário</w:t>
      </w:r>
      <w:r w:rsidR="004756C1" w:rsidRPr="002F50BD">
        <w:rPr>
          <w:rFonts w:ascii="Verdana" w:hAnsi="Verdana"/>
          <w:sz w:val="20"/>
          <w:lang w:val="pt-BR"/>
        </w:rPr>
        <w:t>, modificada</w:t>
      </w:r>
      <w:r w:rsidRPr="002F50BD">
        <w:rPr>
          <w:rFonts w:ascii="Verdana" w:hAnsi="Verdana"/>
          <w:sz w:val="20"/>
          <w:lang w:val="pt-BR"/>
        </w:rPr>
        <w:t xml:space="preserve"> pelo </w:t>
      </w:r>
      <w:r w:rsidRPr="002F50BD">
        <w:rPr>
          <w:rFonts w:ascii="Verdana" w:hAnsi="Verdana"/>
          <w:bCs/>
          <w:sz w:val="20"/>
          <w:lang w:val="pt-BR"/>
        </w:rPr>
        <w:t>artigo</w:t>
      </w:r>
      <w:r w:rsidR="004756C1" w:rsidRPr="002F50BD">
        <w:rPr>
          <w:rFonts w:ascii="Verdana" w:hAnsi="Verdana"/>
          <w:bCs/>
          <w:sz w:val="20"/>
          <w:lang w:val="pt-BR"/>
        </w:rPr>
        <w:t xml:space="preserve"> </w:t>
      </w:r>
      <w:r w:rsidR="00063B47" w:rsidRPr="002F50BD">
        <w:rPr>
          <w:rFonts w:ascii="Verdana" w:hAnsi="Verdana"/>
          <w:bCs/>
          <w:sz w:val="20"/>
          <w:lang w:val="pt-BR"/>
        </w:rPr>
        <w:t>67</w:t>
      </w:r>
      <w:r w:rsidRPr="002F50BD">
        <w:rPr>
          <w:rFonts w:ascii="Verdana" w:hAnsi="Verdana"/>
          <w:sz w:val="20"/>
          <w:lang w:val="pt-BR"/>
        </w:rPr>
        <w:t xml:space="preserve"> da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szCs w:val="32"/>
          <w:lang w:val="pt-BR"/>
        </w:rPr>
        <w:t>352</w:t>
      </w:r>
      <w:r w:rsidR="004756C1" w:rsidRPr="002F50BD">
        <w:rPr>
          <w:rFonts w:ascii="Verdana" w:hAnsi="Verdana"/>
          <w:sz w:val="20"/>
          <w:szCs w:val="32"/>
          <w:lang w:val="pt-BR"/>
        </w:rPr>
        <w:t>/</w:t>
      </w:r>
      <w:r w:rsidR="00063B47" w:rsidRPr="002F50BD">
        <w:rPr>
          <w:rFonts w:ascii="Verdana" w:hAnsi="Verdana"/>
          <w:sz w:val="20"/>
          <w:szCs w:val="32"/>
          <w:lang w:val="pt-BR"/>
        </w:rPr>
        <w:t>94</w:t>
      </w:r>
      <w:r w:rsidR="004756C1" w:rsidRPr="002F50BD">
        <w:rPr>
          <w:rFonts w:ascii="Verdana" w:hAnsi="Verdana"/>
          <w:sz w:val="20"/>
          <w:lang w:val="pt-BR"/>
        </w:rPr>
        <w:t xml:space="preserve"> </w:t>
      </w:r>
      <w:r w:rsidR="00840E59" w:rsidRPr="002F50BD">
        <w:rPr>
          <w:rFonts w:ascii="Verdana" w:hAnsi="Verdana"/>
          <w:sz w:val="20"/>
          <w:lang w:val="pt-BR"/>
        </w:rPr>
        <w:t>sobre</w:t>
      </w:r>
      <w:r w:rsidR="004756C1" w:rsidRPr="002F50BD">
        <w:rPr>
          <w:rFonts w:ascii="Verdana" w:hAnsi="Verdana"/>
          <w:sz w:val="20"/>
          <w:lang w:val="pt-BR"/>
        </w:rPr>
        <w:t xml:space="preserve"> Áreas Silvestres Protegidas,</w:t>
      </w:r>
      <w:r w:rsidRPr="002F50BD">
        <w:rPr>
          <w:rFonts w:ascii="Verdana" w:hAnsi="Verdana"/>
          <w:sz w:val="20"/>
          <w:lang w:val="pt-BR"/>
        </w:rPr>
        <w:t xml:space="preserve"> nos seguinte</w:t>
      </w:r>
      <w:r w:rsidR="004756C1" w:rsidRPr="002F50BD">
        <w:rPr>
          <w:rFonts w:ascii="Verdana" w:hAnsi="Verdana"/>
          <w:sz w:val="20"/>
          <w:lang w:val="pt-BR"/>
        </w:rPr>
        <w:t xml:space="preserve">s </w:t>
      </w:r>
      <w:r w:rsidRPr="002F50BD">
        <w:rPr>
          <w:rFonts w:ascii="Verdana" w:hAnsi="Verdana"/>
          <w:sz w:val="20"/>
          <w:lang w:val="pt-BR"/>
        </w:rPr>
        <w:t>termo</w:t>
      </w:r>
      <w:r w:rsidR="004756C1" w:rsidRPr="002F50BD">
        <w:rPr>
          <w:rFonts w:ascii="Verdana" w:hAnsi="Verdana"/>
          <w:sz w:val="20"/>
          <w:lang w:val="pt-BR"/>
        </w:rPr>
        <w:t xml:space="preserve">s: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Artigo</w:t>
      </w:r>
      <w:r w:rsidR="004756C1" w:rsidRPr="002F50BD">
        <w:rPr>
          <w:rFonts w:ascii="Verdana" w:eastAsia="Times New Roman" w:hAnsi="Verdana"/>
          <w:sz w:val="16"/>
          <w:szCs w:val="32"/>
          <w:lang w:val="pt-BR"/>
        </w:rPr>
        <w:t xml:space="preserve"> </w:t>
      </w:r>
      <w:r w:rsidR="00063B47" w:rsidRPr="002F50BD">
        <w:rPr>
          <w:rFonts w:ascii="Verdana" w:eastAsia="Times New Roman" w:hAnsi="Verdana"/>
          <w:sz w:val="16"/>
          <w:szCs w:val="32"/>
          <w:lang w:val="pt-BR"/>
        </w:rPr>
        <w:t>146</w:t>
      </w:r>
      <w:r w:rsidR="004756C1" w:rsidRPr="002F50BD">
        <w:rPr>
          <w:rFonts w:ascii="Verdana" w:eastAsia="Times New Roman" w:hAnsi="Verdana"/>
          <w:sz w:val="16"/>
          <w:szCs w:val="32"/>
          <w:lang w:val="pt-BR"/>
        </w:rPr>
        <w:t xml:space="preserve">. </w:t>
      </w:r>
      <w:r w:rsidR="00840E59" w:rsidRPr="002F50BD">
        <w:rPr>
          <w:rFonts w:ascii="Verdana" w:eastAsia="Times New Roman" w:hAnsi="Verdana"/>
          <w:sz w:val="16"/>
          <w:szCs w:val="32"/>
          <w:lang w:val="pt-BR"/>
        </w:rPr>
        <w:t>–</w:t>
      </w:r>
      <w:r w:rsidR="004756C1" w:rsidRPr="002F50BD">
        <w:rPr>
          <w:rFonts w:ascii="Verdana" w:eastAsia="Times New Roman" w:hAnsi="Verdana"/>
          <w:sz w:val="16"/>
          <w:szCs w:val="32"/>
          <w:lang w:val="pt-BR"/>
        </w:rPr>
        <w:t xml:space="preserve"> Decl</w:t>
      </w:r>
      <w:r w:rsidR="00840E59" w:rsidRPr="002F50BD">
        <w:rPr>
          <w:rFonts w:ascii="Verdana" w:eastAsia="Times New Roman" w:hAnsi="Verdana"/>
          <w:sz w:val="16"/>
          <w:szCs w:val="32"/>
          <w:lang w:val="pt-BR"/>
        </w:rPr>
        <w:t>a</w:t>
      </w:r>
      <w:r w:rsidR="004756C1" w:rsidRPr="002F50BD">
        <w:rPr>
          <w:rFonts w:ascii="Verdana" w:eastAsia="Times New Roman" w:hAnsi="Verdana"/>
          <w:sz w:val="16"/>
          <w:szCs w:val="32"/>
          <w:lang w:val="pt-BR"/>
        </w:rPr>
        <w:t>ra</w:t>
      </w:r>
      <w:r w:rsidR="00840E59" w:rsidRPr="002F50BD">
        <w:rPr>
          <w:rFonts w:ascii="Verdana" w:eastAsia="Times New Roman" w:hAnsi="Verdana"/>
          <w:sz w:val="16"/>
          <w:szCs w:val="32"/>
          <w:lang w:val="pt-BR"/>
        </w:rPr>
        <w:t>-se</w:t>
      </w:r>
      <w:r w:rsidR="004756C1" w:rsidRPr="002F50BD">
        <w:rPr>
          <w:rFonts w:ascii="Verdana" w:eastAsia="Times New Roman" w:hAnsi="Verdana"/>
          <w:sz w:val="16"/>
          <w:szCs w:val="32"/>
          <w:lang w:val="pt-BR"/>
        </w:rPr>
        <w:t xml:space="preserve"> de </w:t>
      </w:r>
      <w:r w:rsidRPr="002F50BD">
        <w:rPr>
          <w:rFonts w:ascii="Verdana" w:eastAsia="Times New Roman" w:hAnsi="Verdana"/>
          <w:sz w:val="16"/>
          <w:szCs w:val="32"/>
          <w:lang w:val="pt-BR"/>
        </w:rPr>
        <w:t xml:space="preserve">utilidade </w:t>
      </w:r>
      <w:r w:rsidR="004756C1" w:rsidRPr="002F50BD">
        <w:rPr>
          <w:rFonts w:ascii="Verdana" w:eastAsia="Times New Roman" w:hAnsi="Verdana"/>
          <w:sz w:val="16"/>
          <w:szCs w:val="32"/>
          <w:lang w:val="pt-BR"/>
        </w:rPr>
        <w:t xml:space="preserve">social, </w:t>
      </w:r>
      <w:r w:rsidRPr="002F50BD">
        <w:rPr>
          <w:rFonts w:ascii="Verdana" w:eastAsia="Times New Roman" w:hAnsi="Verdana"/>
          <w:sz w:val="16"/>
          <w:szCs w:val="32"/>
          <w:lang w:val="pt-BR"/>
        </w:rPr>
        <w:t>sujeita</w:t>
      </w:r>
      <w:r w:rsidR="004756C1" w:rsidRPr="002F50BD">
        <w:rPr>
          <w:rFonts w:ascii="Verdana" w:eastAsia="Times New Roman" w:hAnsi="Verdana"/>
          <w:sz w:val="16"/>
          <w:szCs w:val="32"/>
          <w:lang w:val="pt-BR"/>
        </w:rPr>
        <w:t xml:space="preserve">s a </w:t>
      </w:r>
      <w:r w:rsidR="00DB51F0" w:rsidRPr="002F50BD">
        <w:rPr>
          <w:rFonts w:ascii="Verdana" w:eastAsia="Times New Roman" w:hAnsi="Verdana"/>
          <w:sz w:val="16"/>
          <w:szCs w:val="32"/>
          <w:lang w:val="pt-BR"/>
        </w:rPr>
        <w:t>expropriação</w:t>
      </w:r>
      <w:r w:rsidR="004756C1" w:rsidRPr="002F50BD">
        <w:rPr>
          <w:rFonts w:ascii="Verdana" w:eastAsia="Times New Roman" w:hAnsi="Verdana"/>
          <w:sz w:val="16"/>
          <w:szCs w:val="32"/>
          <w:lang w:val="pt-BR"/>
        </w:rPr>
        <w:t>,</w:t>
      </w:r>
      <w:r w:rsidRPr="002F50BD">
        <w:rPr>
          <w:rFonts w:ascii="Verdana" w:eastAsia="Times New Roman" w:hAnsi="Verdana"/>
          <w:sz w:val="16"/>
          <w:szCs w:val="32"/>
          <w:lang w:val="pt-BR"/>
        </w:rPr>
        <w:t xml:space="preserve"> as </w:t>
      </w:r>
      <w:r w:rsidR="00840E59" w:rsidRPr="002F50BD">
        <w:rPr>
          <w:rFonts w:ascii="Verdana" w:eastAsia="Times New Roman" w:hAnsi="Verdana"/>
          <w:sz w:val="16"/>
          <w:szCs w:val="32"/>
          <w:lang w:val="pt-BR"/>
        </w:rPr>
        <w:t xml:space="preserve">seguintes </w:t>
      </w:r>
      <w:r w:rsidRPr="002F50BD">
        <w:rPr>
          <w:rFonts w:ascii="Verdana" w:eastAsia="Times New Roman" w:hAnsi="Verdana"/>
          <w:sz w:val="16"/>
          <w:szCs w:val="32"/>
          <w:lang w:val="pt-BR"/>
        </w:rPr>
        <w:t>terra</w:t>
      </w:r>
      <w:r w:rsidR="004756C1" w:rsidRPr="002F50BD">
        <w:rPr>
          <w:rFonts w:ascii="Verdana" w:eastAsia="Times New Roman" w:hAnsi="Verdana"/>
          <w:sz w:val="16"/>
          <w:szCs w:val="32"/>
          <w:lang w:val="pt-BR"/>
        </w:rPr>
        <w:t xml:space="preserve">s </w:t>
      </w:r>
      <w:r w:rsidRPr="002F50BD">
        <w:rPr>
          <w:rFonts w:ascii="Verdana" w:eastAsia="Times New Roman" w:hAnsi="Verdana"/>
          <w:sz w:val="16"/>
          <w:szCs w:val="32"/>
          <w:lang w:val="pt-BR"/>
        </w:rPr>
        <w:t>d</w:t>
      </w:r>
      <w:r w:rsidR="00840E59" w:rsidRPr="002F50BD">
        <w:rPr>
          <w:rFonts w:ascii="Verdana" w:eastAsia="Times New Roman" w:hAnsi="Verdana"/>
          <w:sz w:val="16"/>
          <w:szCs w:val="32"/>
          <w:lang w:val="pt-BR"/>
        </w:rPr>
        <w:t>e</w:t>
      </w:r>
      <w:r w:rsidRPr="002F50BD">
        <w:rPr>
          <w:rFonts w:ascii="Verdana" w:eastAsia="Times New Roman" w:hAnsi="Verdana"/>
          <w:sz w:val="16"/>
          <w:szCs w:val="32"/>
          <w:lang w:val="pt-BR"/>
        </w:rPr>
        <w:t xml:space="preserve"> </w:t>
      </w:r>
      <w:r w:rsidR="00D95E71" w:rsidRPr="002F50BD">
        <w:rPr>
          <w:rFonts w:ascii="Verdana" w:eastAsia="Times New Roman" w:hAnsi="Verdana"/>
          <w:sz w:val="16"/>
          <w:szCs w:val="32"/>
          <w:lang w:val="pt-BR"/>
        </w:rPr>
        <w:t xml:space="preserve">domínio </w:t>
      </w:r>
      <w:r w:rsidR="004756C1" w:rsidRPr="002F50BD">
        <w:rPr>
          <w:rFonts w:ascii="Verdana" w:eastAsia="Times New Roman" w:hAnsi="Verdana"/>
          <w:sz w:val="16"/>
          <w:szCs w:val="32"/>
          <w:lang w:val="pt-BR"/>
        </w:rPr>
        <w:t>privado: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w:t>
      </w:r>
      <w:r w:rsidR="00CF451D" w:rsidRPr="00CF451D">
        <w:rPr>
          <w:rFonts w:ascii="Verdana" w:eastAsia="Times New Roman" w:hAnsi="Verdana"/>
          <w:sz w:val="16"/>
          <w:szCs w:val="32"/>
          <w:lang w:val="pt-BR"/>
        </w:rPr>
        <w:t>)</w:t>
      </w:r>
      <w:r w:rsidRPr="002F50BD">
        <w:rPr>
          <w:rFonts w:ascii="Verdana" w:eastAsia="Times New Roman" w:hAnsi="Verdana"/>
          <w:sz w:val="16"/>
          <w:szCs w:val="32"/>
          <w:lang w:val="pt-BR"/>
        </w:rPr>
        <w:tab/>
      </w:r>
      <w:r w:rsidR="00FB33DD" w:rsidRPr="002F50BD">
        <w:rPr>
          <w:rFonts w:ascii="Verdana" w:eastAsia="Times New Roman" w:hAnsi="Verdana"/>
          <w:sz w:val="16"/>
          <w:szCs w:val="32"/>
          <w:lang w:val="pt-BR"/>
        </w:rPr>
        <w:t xml:space="preserve">As </w:t>
      </w:r>
      <w:r w:rsidRPr="002F50BD">
        <w:rPr>
          <w:rFonts w:ascii="Verdana" w:eastAsia="Times New Roman" w:hAnsi="Verdana"/>
          <w:sz w:val="16"/>
          <w:szCs w:val="32"/>
          <w:lang w:val="pt-BR"/>
        </w:rPr>
        <w:t>que n</w:t>
      </w:r>
      <w:r w:rsidR="00840E59" w:rsidRPr="002F50BD">
        <w:rPr>
          <w:rFonts w:ascii="Verdana" w:eastAsia="Times New Roman" w:hAnsi="Verdana"/>
          <w:sz w:val="16"/>
          <w:szCs w:val="32"/>
          <w:lang w:val="pt-BR"/>
        </w:rPr>
        <w:t>ã</w:t>
      </w:r>
      <w:r w:rsidRPr="002F50BD">
        <w:rPr>
          <w:rFonts w:ascii="Verdana" w:eastAsia="Times New Roman" w:hAnsi="Verdana"/>
          <w:sz w:val="16"/>
          <w:szCs w:val="32"/>
          <w:lang w:val="pt-BR"/>
        </w:rPr>
        <w:t xml:space="preserve">o </w:t>
      </w:r>
      <w:r w:rsidR="00840E59" w:rsidRPr="002F50BD">
        <w:rPr>
          <w:rFonts w:ascii="Verdana" w:eastAsia="Times New Roman" w:hAnsi="Verdana"/>
          <w:sz w:val="16"/>
          <w:szCs w:val="32"/>
          <w:lang w:val="pt-BR"/>
        </w:rPr>
        <w:t xml:space="preserve">estejam </w:t>
      </w:r>
      <w:r w:rsidRPr="002F50BD">
        <w:rPr>
          <w:rFonts w:ascii="Verdana" w:eastAsia="Times New Roman" w:hAnsi="Verdana"/>
          <w:sz w:val="16"/>
          <w:szCs w:val="32"/>
          <w:lang w:val="pt-BR"/>
        </w:rPr>
        <w:t xml:space="preserve">racionalmente </w:t>
      </w:r>
      <w:r w:rsidR="00475EBB" w:rsidRPr="002F50BD">
        <w:rPr>
          <w:rFonts w:ascii="Verdana" w:eastAsia="Times New Roman" w:hAnsi="Verdana"/>
          <w:sz w:val="16"/>
          <w:szCs w:val="32"/>
          <w:lang w:val="pt-BR"/>
        </w:rPr>
        <w:t>explorad</w:t>
      </w:r>
      <w:r w:rsidRPr="002F50BD">
        <w:rPr>
          <w:rFonts w:ascii="Verdana" w:eastAsia="Times New Roman" w:hAnsi="Verdana"/>
          <w:sz w:val="16"/>
          <w:szCs w:val="32"/>
          <w:lang w:val="pt-BR"/>
        </w:rPr>
        <w:t>as</w:t>
      </w:r>
      <w:r w:rsidR="0089298C" w:rsidRPr="002F50BD">
        <w:rPr>
          <w:rFonts w:ascii="Verdana" w:eastAsia="Times New Roman" w:hAnsi="Verdana"/>
          <w:sz w:val="16"/>
          <w:szCs w:val="32"/>
          <w:lang w:val="pt-BR"/>
        </w:rPr>
        <w:t xml:space="preserve"> e sejam </w:t>
      </w:r>
      <w:r w:rsidRPr="002F50BD">
        <w:rPr>
          <w:rFonts w:ascii="Verdana" w:eastAsia="Times New Roman" w:hAnsi="Verdana"/>
          <w:sz w:val="16"/>
          <w:szCs w:val="32"/>
          <w:lang w:val="pt-BR"/>
        </w:rPr>
        <w:t>aptas para</w:t>
      </w:r>
      <w:r w:rsidR="0089298C" w:rsidRPr="002F50BD">
        <w:rPr>
          <w:rFonts w:ascii="Verdana" w:eastAsia="Times New Roman" w:hAnsi="Verdana"/>
          <w:sz w:val="16"/>
          <w:szCs w:val="32"/>
          <w:lang w:val="pt-BR"/>
        </w:rPr>
        <w:t xml:space="preserve"> a </w:t>
      </w:r>
      <w:r w:rsidRPr="002F50BD">
        <w:rPr>
          <w:rFonts w:ascii="Verdana" w:eastAsia="Times New Roman" w:hAnsi="Verdana"/>
          <w:sz w:val="16"/>
          <w:szCs w:val="32"/>
          <w:lang w:val="pt-BR"/>
        </w:rPr>
        <w:t>forma</w:t>
      </w:r>
      <w:r w:rsidR="0089298C" w:rsidRPr="002F50BD">
        <w:rPr>
          <w:rFonts w:ascii="Verdana" w:eastAsia="Times New Roman" w:hAnsi="Verdana"/>
          <w:sz w:val="16"/>
          <w:szCs w:val="32"/>
          <w:lang w:val="pt-BR"/>
        </w:rPr>
        <w:t>ção</w:t>
      </w:r>
      <w:r w:rsidR="00840E59" w:rsidRPr="002F50BD">
        <w:rPr>
          <w:rFonts w:ascii="Verdana" w:eastAsia="Times New Roman" w:hAnsi="Verdana"/>
          <w:sz w:val="16"/>
          <w:szCs w:val="32"/>
          <w:lang w:val="pt-BR"/>
        </w:rPr>
        <w:t xml:space="preserve"> de</w:t>
      </w:r>
      <w:r w:rsidR="00FE08B7">
        <w:rPr>
          <w:rFonts w:ascii="Verdana" w:eastAsia="Times New Roman" w:hAnsi="Verdana"/>
          <w:sz w:val="16"/>
          <w:szCs w:val="32"/>
          <w:lang w:val="pt-BR"/>
        </w:rPr>
        <w:t xml:space="preserve"> </w:t>
      </w:r>
      <w:r w:rsidR="00840E59" w:rsidRPr="002F50BD">
        <w:rPr>
          <w:rFonts w:ascii="Verdana" w:eastAsia="Times New Roman" w:hAnsi="Verdana"/>
          <w:sz w:val="16"/>
          <w:szCs w:val="32"/>
          <w:lang w:val="pt-BR"/>
        </w:rPr>
        <w:t>colônias agropecuá</w:t>
      </w:r>
      <w:r w:rsidRPr="002F50BD">
        <w:rPr>
          <w:rFonts w:ascii="Verdana" w:eastAsia="Times New Roman" w:hAnsi="Verdana"/>
          <w:sz w:val="16"/>
          <w:szCs w:val="32"/>
          <w:lang w:val="pt-BR"/>
        </w:rPr>
        <w:t>rias;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rPr>
      </w:pPr>
      <w:r w:rsidRPr="002F50BD">
        <w:rPr>
          <w:rFonts w:ascii="Verdana" w:eastAsia="Times New Roman" w:hAnsi="Verdana"/>
          <w:sz w:val="16"/>
          <w:szCs w:val="32"/>
        </w:rPr>
        <w:t>[…]</w:t>
      </w:r>
    </w:p>
    <w:p w:rsidR="00840E59" w:rsidRPr="002F50BD" w:rsidRDefault="00840E59" w:rsidP="00840E5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1120" w:right="720"/>
        <w:jc w:val="both"/>
        <w:rPr>
          <w:rFonts w:ascii="Verdana" w:hAnsi="Verdana"/>
          <w:sz w:val="16"/>
          <w:lang w:val="pt-BR"/>
        </w:rPr>
      </w:pPr>
    </w:p>
    <w:p w:rsidR="004756C1" w:rsidRPr="002F50BD" w:rsidRDefault="0089298C">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right="720"/>
        <w:jc w:val="both"/>
        <w:rPr>
          <w:rFonts w:ascii="Verdana" w:hAnsi="Verdana"/>
          <w:sz w:val="16"/>
          <w:lang w:val="pt-BR"/>
        </w:rPr>
      </w:pPr>
      <w:r w:rsidRPr="002F50BD">
        <w:rPr>
          <w:rFonts w:ascii="Verdana" w:eastAsia="Times New Roman" w:hAnsi="Verdana"/>
          <w:sz w:val="16"/>
          <w:szCs w:val="32"/>
          <w:lang w:val="pt-BR"/>
        </w:rPr>
        <w:t xml:space="preserve">As </w:t>
      </w:r>
      <w:r w:rsidRPr="002F50BD">
        <w:rPr>
          <w:rFonts w:ascii="Verdana" w:hAnsi="Verdana"/>
          <w:sz w:val="16"/>
          <w:lang w:val="pt-BR"/>
        </w:rPr>
        <w:t>terra</w:t>
      </w:r>
      <w:r w:rsidR="004756C1" w:rsidRPr="002F50BD">
        <w:rPr>
          <w:rFonts w:ascii="Verdana" w:hAnsi="Verdana"/>
          <w:sz w:val="16"/>
          <w:lang w:val="pt-BR"/>
        </w:rPr>
        <w:t xml:space="preserve">s </w:t>
      </w:r>
      <w:r w:rsidRPr="002F50BD">
        <w:rPr>
          <w:rFonts w:ascii="Verdana" w:hAnsi="Verdana"/>
          <w:sz w:val="16"/>
          <w:lang w:val="pt-BR"/>
        </w:rPr>
        <w:t>necessári</w:t>
      </w:r>
      <w:r w:rsidR="004756C1" w:rsidRPr="002F50BD">
        <w:rPr>
          <w:rFonts w:ascii="Verdana" w:hAnsi="Verdana"/>
          <w:sz w:val="16"/>
          <w:lang w:val="pt-BR"/>
        </w:rPr>
        <w:t>as para</w:t>
      </w:r>
      <w:r w:rsidRPr="002F50BD">
        <w:rPr>
          <w:rFonts w:ascii="Verdana" w:hAnsi="Verdana"/>
          <w:sz w:val="16"/>
          <w:lang w:val="pt-BR"/>
        </w:rPr>
        <w:t xml:space="preserve"> o estabelecimento</w:t>
      </w:r>
      <w:r w:rsidR="004756C1" w:rsidRPr="002F50BD">
        <w:rPr>
          <w:rFonts w:ascii="Verdana" w:hAnsi="Verdana"/>
          <w:sz w:val="16"/>
          <w:lang w:val="pt-BR"/>
        </w:rPr>
        <w:t xml:space="preserve"> de Áreas Silvestres Protegidas</w:t>
      </w:r>
      <w:r w:rsidRPr="002F50BD">
        <w:rPr>
          <w:rFonts w:ascii="Verdana" w:hAnsi="Verdana"/>
          <w:sz w:val="16"/>
          <w:lang w:val="pt-BR"/>
        </w:rPr>
        <w:t xml:space="preserve"> e </w:t>
      </w:r>
      <w:r w:rsidR="00840E59" w:rsidRPr="002F50BD">
        <w:rPr>
          <w:rFonts w:ascii="Verdana" w:hAnsi="Verdana"/>
          <w:sz w:val="16"/>
          <w:lang w:val="pt-BR"/>
        </w:rPr>
        <w:t xml:space="preserve">de </w:t>
      </w:r>
      <w:r w:rsidR="004756C1" w:rsidRPr="002F50BD">
        <w:rPr>
          <w:rFonts w:ascii="Verdana" w:hAnsi="Verdana"/>
          <w:sz w:val="16"/>
          <w:lang w:val="pt-BR"/>
        </w:rPr>
        <w:lastRenderedPageBreak/>
        <w:t>Col</w:t>
      </w:r>
      <w:r w:rsidR="00840E59" w:rsidRPr="002F50BD">
        <w:rPr>
          <w:rFonts w:ascii="Verdana" w:hAnsi="Verdana"/>
          <w:sz w:val="16"/>
          <w:lang w:val="pt-BR"/>
        </w:rPr>
        <w:t>ô</w:t>
      </w:r>
      <w:r w:rsidR="004756C1" w:rsidRPr="002F50BD">
        <w:rPr>
          <w:rFonts w:ascii="Verdana" w:hAnsi="Verdana"/>
          <w:sz w:val="16"/>
          <w:lang w:val="pt-BR"/>
        </w:rPr>
        <w:t>nias Indígenas;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Artigo</w:t>
      </w:r>
      <w:r w:rsidR="004756C1" w:rsidRPr="002F50BD">
        <w:rPr>
          <w:rFonts w:ascii="Verdana" w:eastAsia="Times New Roman" w:hAnsi="Verdana"/>
          <w:sz w:val="16"/>
          <w:szCs w:val="32"/>
          <w:lang w:val="pt-BR"/>
        </w:rPr>
        <w:t xml:space="preserve"> </w:t>
      </w:r>
      <w:r w:rsidR="00063B47" w:rsidRPr="002F50BD">
        <w:rPr>
          <w:rFonts w:ascii="Verdana" w:eastAsia="Times New Roman" w:hAnsi="Verdana"/>
          <w:sz w:val="16"/>
          <w:szCs w:val="32"/>
          <w:lang w:val="pt-BR"/>
        </w:rPr>
        <w:t>147</w:t>
      </w:r>
      <w:r w:rsidR="00D95E71" w:rsidRPr="002F50BD">
        <w:rPr>
          <w:rFonts w:ascii="Verdana" w:eastAsia="Times New Roman" w:hAnsi="Verdana"/>
          <w:sz w:val="16"/>
          <w:szCs w:val="32"/>
          <w:lang w:val="pt-BR"/>
        </w:rPr>
        <w:t>.- A</w:t>
      </w:r>
      <w:r w:rsidR="004756C1" w:rsidRPr="002F50BD">
        <w:rPr>
          <w:rFonts w:ascii="Verdana" w:eastAsia="Times New Roman" w:hAnsi="Verdana"/>
          <w:sz w:val="16"/>
          <w:szCs w:val="32"/>
          <w:lang w:val="pt-BR"/>
        </w:rPr>
        <w:t xml:space="preserve">ntes de </w:t>
      </w:r>
      <w:r w:rsidR="006603BE" w:rsidRPr="002F50BD">
        <w:rPr>
          <w:rFonts w:ascii="Verdana" w:eastAsia="Times New Roman" w:hAnsi="Verdana"/>
          <w:sz w:val="16"/>
          <w:szCs w:val="32"/>
          <w:lang w:val="pt-BR"/>
        </w:rPr>
        <w:t>dirigir</w:t>
      </w:r>
      <w:r w:rsidR="00840E59" w:rsidRPr="002F50BD">
        <w:rPr>
          <w:rFonts w:ascii="Verdana" w:eastAsia="Times New Roman" w:hAnsi="Verdana"/>
          <w:sz w:val="16"/>
          <w:szCs w:val="32"/>
          <w:lang w:val="pt-BR"/>
        </w:rPr>
        <w:t xml:space="preserve"> </w:t>
      </w:r>
      <w:r w:rsidRPr="002F50BD">
        <w:rPr>
          <w:rFonts w:ascii="Verdana" w:eastAsia="Times New Roman" w:hAnsi="Verdana"/>
          <w:sz w:val="16"/>
          <w:szCs w:val="32"/>
          <w:lang w:val="pt-BR"/>
        </w:rPr>
        <w:t xml:space="preserve">a </w:t>
      </w:r>
      <w:r w:rsidR="00DB51F0" w:rsidRPr="002F50BD">
        <w:rPr>
          <w:rFonts w:ascii="Verdana" w:eastAsia="Times New Roman" w:hAnsi="Verdana"/>
          <w:sz w:val="16"/>
          <w:szCs w:val="32"/>
          <w:lang w:val="pt-BR"/>
        </w:rPr>
        <w:t>expropriação</w:t>
      </w:r>
      <w:r w:rsidR="006603BE" w:rsidRPr="002F50BD">
        <w:rPr>
          <w:rFonts w:ascii="Verdana" w:eastAsia="Times New Roman" w:hAnsi="Verdana"/>
          <w:sz w:val="16"/>
          <w:szCs w:val="32"/>
          <w:lang w:val="pt-BR"/>
        </w:rPr>
        <w:t>,</w:t>
      </w:r>
      <w:r w:rsidR="00840E59" w:rsidRPr="002F50BD">
        <w:rPr>
          <w:rFonts w:ascii="Verdana" w:eastAsia="Times New Roman" w:hAnsi="Verdana"/>
          <w:sz w:val="16"/>
          <w:szCs w:val="32"/>
          <w:lang w:val="pt-BR"/>
        </w:rPr>
        <w:t xml:space="preserve"> o</w:t>
      </w:r>
      <w:hyperlink r:id="rId16" w:history="1">
        <w:r w:rsidR="004756C1" w:rsidRPr="002F50BD">
          <w:rPr>
            <w:rFonts w:ascii="Verdana" w:eastAsia="Times New Roman" w:hAnsi="Verdana"/>
            <w:sz w:val="16"/>
            <w:szCs w:val="32"/>
            <w:lang w:val="pt-BR"/>
          </w:rPr>
          <w:t xml:space="preserve"> Instituto de </w:t>
        </w:r>
        <w:r w:rsidR="00475EBB" w:rsidRPr="002F50BD">
          <w:rPr>
            <w:rFonts w:ascii="Verdana" w:eastAsia="Times New Roman" w:hAnsi="Verdana"/>
            <w:sz w:val="16"/>
            <w:szCs w:val="32"/>
            <w:lang w:val="pt-BR"/>
          </w:rPr>
          <w:t>Bem Estar</w:t>
        </w:r>
        <w:r w:rsidR="004756C1" w:rsidRPr="002F50BD">
          <w:rPr>
            <w:rFonts w:ascii="Verdana" w:eastAsia="Times New Roman" w:hAnsi="Verdana"/>
            <w:sz w:val="16"/>
            <w:szCs w:val="32"/>
            <w:lang w:val="pt-BR"/>
          </w:rPr>
          <w:t xml:space="preserve"> Rural</w:t>
        </w:r>
      </w:hyperlink>
      <w:r w:rsidR="004756C1" w:rsidRPr="002F50BD">
        <w:rPr>
          <w:rFonts w:ascii="Verdana" w:eastAsia="Times New Roman" w:hAnsi="Verdana"/>
          <w:sz w:val="16"/>
          <w:szCs w:val="32"/>
          <w:lang w:val="pt-BR"/>
        </w:rPr>
        <w:t xml:space="preserve"> </w:t>
      </w:r>
      <w:r w:rsidRPr="002F50BD">
        <w:rPr>
          <w:rFonts w:ascii="Verdana" w:eastAsia="Times New Roman" w:hAnsi="Verdana"/>
          <w:sz w:val="16"/>
          <w:szCs w:val="32"/>
          <w:lang w:val="pt-BR"/>
        </w:rPr>
        <w:t>poderá</w:t>
      </w:r>
      <w:r w:rsidR="006971F1" w:rsidRPr="002F50BD">
        <w:rPr>
          <w:rFonts w:ascii="Verdana" w:eastAsia="Times New Roman" w:hAnsi="Verdana"/>
          <w:sz w:val="16"/>
          <w:szCs w:val="32"/>
          <w:lang w:val="pt-BR"/>
        </w:rPr>
        <w:t>,</w:t>
      </w:r>
      <w:r w:rsidRPr="002F50BD">
        <w:rPr>
          <w:rFonts w:ascii="Verdana" w:eastAsia="Times New Roman" w:hAnsi="Verdana"/>
          <w:sz w:val="16"/>
          <w:szCs w:val="32"/>
          <w:lang w:val="pt-BR"/>
        </w:rPr>
        <w:t xml:space="preserve"> </w:t>
      </w:r>
      <w:r w:rsidR="004756C1" w:rsidRPr="002F50BD">
        <w:rPr>
          <w:rFonts w:ascii="Verdana" w:eastAsia="Times New Roman" w:hAnsi="Verdana"/>
          <w:sz w:val="16"/>
          <w:szCs w:val="32"/>
          <w:lang w:val="pt-BR"/>
        </w:rPr>
        <w:t xml:space="preserve">de </w:t>
      </w:r>
      <w:r w:rsidRPr="002F50BD">
        <w:rPr>
          <w:rFonts w:ascii="Verdana" w:eastAsia="Times New Roman" w:hAnsi="Verdana"/>
          <w:sz w:val="16"/>
          <w:szCs w:val="32"/>
          <w:lang w:val="pt-BR"/>
        </w:rPr>
        <w:t xml:space="preserve">acordo com </w:t>
      </w:r>
      <w:r w:rsidR="004756C1" w:rsidRPr="002F50BD">
        <w:rPr>
          <w:rFonts w:ascii="Verdana" w:eastAsia="Times New Roman" w:hAnsi="Verdana"/>
          <w:sz w:val="16"/>
          <w:szCs w:val="32"/>
          <w:lang w:val="pt-BR"/>
        </w:rPr>
        <w:t>su</w:t>
      </w:r>
      <w:r w:rsidR="006971F1" w:rsidRPr="002F50BD">
        <w:rPr>
          <w:rFonts w:ascii="Verdana" w:eastAsia="Times New Roman" w:hAnsi="Verdana"/>
          <w:sz w:val="16"/>
          <w:szCs w:val="32"/>
          <w:lang w:val="pt-BR"/>
        </w:rPr>
        <w:t>a</w:t>
      </w:r>
      <w:r w:rsidR="004756C1" w:rsidRPr="002F50BD">
        <w:rPr>
          <w:rFonts w:ascii="Verdana" w:eastAsia="Times New Roman" w:hAnsi="Verdana"/>
          <w:sz w:val="16"/>
          <w:szCs w:val="32"/>
          <w:lang w:val="pt-BR"/>
        </w:rPr>
        <w:t xml:space="preserve">s </w:t>
      </w:r>
      <w:r w:rsidR="004076AD" w:rsidRPr="002F50BD">
        <w:rPr>
          <w:rFonts w:ascii="Verdana" w:eastAsia="Times New Roman" w:hAnsi="Verdana"/>
          <w:sz w:val="16"/>
          <w:szCs w:val="32"/>
          <w:lang w:val="pt-BR"/>
        </w:rPr>
        <w:t>possibilidade</w:t>
      </w:r>
      <w:r w:rsidR="004756C1" w:rsidRPr="002F50BD">
        <w:rPr>
          <w:rFonts w:ascii="Verdana" w:eastAsia="Times New Roman" w:hAnsi="Verdana"/>
          <w:sz w:val="16"/>
          <w:szCs w:val="32"/>
          <w:lang w:val="pt-BR"/>
        </w:rPr>
        <w:t xml:space="preserve">s </w:t>
      </w:r>
      <w:r w:rsidRPr="002F50BD">
        <w:rPr>
          <w:rFonts w:ascii="Verdana" w:eastAsia="Times New Roman" w:hAnsi="Verdana"/>
          <w:sz w:val="16"/>
          <w:szCs w:val="32"/>
          <w:lang w:val="pt-BR"/>
        </w:rPr>
        <w:t>financeira</w:t>
      </w:r>
      <w:r w:rsidR="004756C1" w:rsidRPr="002F50BD">
        <w:rPr>
          <w:rFonts w:ascii="Verdana" w:eastAsia="Times New Roman" w:hAnsi="Verdana"/>
          <w:sz w:val="16"/>
          <w:szCs w:val="32"/>
          <w:lang w:val="pt-BR"/>
        </w:rPr>
        <w:t>s o</w:t>
      </w:r>
      <w:r w:rsidR="006971F1" w:rsidRPr="002F50BD">
        <w:rPr>
          <w:rFonts w:ascii="Verdana" w:eastAsia="Times New Roman" w:hAnsi="Verdana"/>
          <w:sz w:val="16"/>
          <w:szCs w:val="32"/>
          <w:lang w:val="pt-BR"/>
        </w:rPr>
        <w:t>u</w:t>
      </w:r>
      <w:r w:rsidR="004756C1" w:rsidRPr="002F50BD">
        <w:rPr>
          <w:rFonts w:ascii="Verdana" w:eastAsia="Times New Roman" w:hAnsi="Verdana"/>
          <w:sz w:val="16"/>
          <w:szCs w:val="32"/>
          <w:lang w:val="pt-BR"/>
        </w:rPr>
        <w:t xml:space="preserve"> disponibilidad</w:t>
      </w:r>
      <w:r w:rsidR="006971F1" w:rsidRPr="002F50BD">
        <w:rPr>
          <w:rFonts w:ascii="Verdana" w:eastAsia="Times New Roman" w:hAnsi="Verdana"/>
          <w:sz w:val="16"/>
          <w:szCs w:val="32"/>
          <w:lang w:val="pt-BR"/>
        </w:rPr>
        <w:t>e</w:t>
      </w:r>
      <w:r w:rsidR="004756C1" w:rsidRPr="002F50BD">
        <w:rPr>
          <w:rFonts w:ascii="Verdana" w:eastAsia="Times New Roman" w:hAnsi="Verdana"/>
          <w:sz w:val="16"/>
          <w:szCs w:val="32"/>
          <w:lang w:val="pt-BR"/>
        </w:rPr>
        <w:t xml:space="preserve"> de </w:t>
      </w:r>
      <w:r w:rsidRPr="002F50BD">
        <w:rPr>
          <w:rFonts w:ascii="Verdana" w:eastAsia="Times New Roman" w:hAnsi="Verdana"/>
          <w:sz w:val="16"/>
          <w:szCs w:val="32"/>
          <w:lang w:val="pt-BR"/>
        </w:rPr>
        <w:t>terra</w:t>
      </w:r>
      <w:r w:rsidR="004756C1" w:rsidRPr="002F50BD">
        <w:rPr>
          <w:rFonts w:ascii="Verdana" w:eastAsia="Times New Roman" w:hAnsi="Verdana"/>
          <w:sz w:val="16"/>
          <w:szCs w:val="32"/>
          <w:lang w:val="pt-BR"/>
        </w:rPr>
        <w:t xml:space="preserve">s, </w:t>
      </w:r>
      <w:r w:rsidRPr="002F50BD">
        <w:rPr>
          <w:rFonts w:ascii="Verdana" w:eastAsia="Times New Roman" w:hAnsi="Verdana"/>
          <w:sz w:val="16"/>
          <w:szCs w:val="32"/>
          <w:lang w:val="pt-BR"/>
        </w:rPr>
        <w:t xml:space="preserve">propor ao </w:t>
      </w:r>
      <w:r w:rsidR="007801FA" w:rsidRPr="002F50BD">
        <w:rPr>
          <w:rFonts w:ascii="Verdana" w:eastAsia="Times New Roman" w:hAnsi="Verdana"/>
          <w:sz w:val="16"/>
          <w:szCs w:val="32"/>
          <w:lang w:val="pt-BR"/>
        </w:rPr>
        <w:t>proprietário</w:t>
      </w:r>
      <w:r w:rsidRPr="002F50BD">
        <w:rPr>
          <w:rFonts w:ascii="Verdana" w:eastAsia="Times New Roman" w:hAnsi="Verdana"/>
          <w:sz w:val="16"/>
          <w:szCs w:val="32"/>
          <w:lang w:val="pt-BR"/>
        </w:rPr>
        <w:t xml:space="preserve"> a </w:t>
      </w:r>
      <w:r w:rsidR="00367FD1" w:rsidRPr="002F50BD">
        <w:rPr>
          <w:rFonts w:ascii="Verdana" w:eastAsia="Times New Roman" w:hAnsi="Verdana"/>
          <w:sz w:val="16"/>
          <w:szCs w:val="32"/>
          <w:lang w:val="pt-BR"/>
        </w:rPr>
        <w:t>aquisição</w:t>
      </w:r>
      <w:r w:rsidR="004756C1" w:rsidRPr="002F50BD">
        <w:rPr>
          <w:rFonts w:ascii="Verdana" w:eastAsia="Times New Roman" w:hAnsi="Verdana"/>
          <w:sz w:val="16"/>
          <w:szCs w:val="32"/>
          <w:lang w:val="pt-BR"/>
        </w:rPr>
        <w:t xml:space="preserve"> </w:t>
      </w:r>
      <w:r w:rsidRPr="002F50BD">
        <w:rPr>
          <w:rFonts w:ascii="Verdana" w:eastAsia="Times New Roman" w:hAnsi="Verdana"/>
          <w:sz w:val="16"/>
          <w:szCs w:val="32"/>
          <w:lang w:val="pt-BR"/>
        </w:rPr>
        <w:t>do imóvel</w:t>
      </w:r>
      <w:r w:rsidR="004756C1" w:rsidRPr="002F50BD">
        <w:rPr>
          <w:rFonts w:ascii="Verdana" w:eastAsia="Times New Roman" w:hAnsi="Verdana"/>
          <w:sz w:val="16"/>
          <w:szCs w:val="32"/>
          <w:lang w:val="pt-BR"/>
        </w:rPr>
        <w:t xml:space="preserve"> declarado de </w:t>
      </w:r>
      <w:r w:rsidRPr="002F50BD">
        <w:rPr>
          <w:rFonts w:ascii="Verdana" w:eastAsia="Times New Roman" w:hAnsi="Verdana"/>
          <w:sz w:val="16"/>
          <w:szCs w:val="32"/>
          <w:lang w:val="pt-BR"/>
        </w:rPr>
        <w:t xml:space="preserve">utilidade </w:t>
      </w:r>
      <w:r w:rsidR="004756C1" w:rsidRPr="002F50BD">
        <w:rPr>
          <w:rFonts w:ascii="Verdana" w:eastAsia="Times New Roman" w:hAnsi="Verdana"/>
          <w:sz w:val="16"/>
          <w:szCs w:val="32"/>
          <w:lang w:val="pt-BR"/>
        </w:rPr>
        <w:t>social</w:t>
      </w:r>
      <w:r w:rsidRPr="002F50BD">
        <w:rPr>
          <w:rFonts w:ascii="Verdana" w:eastAsia="Times New Roman" w:hAnsi="Verdana"/>
          <w:sz w:val="16"/>
          <w:szCs w:val="32"/>
          <w:lang w:val="pt-BR"/>
        </w:rPr>
        <w:t xml:space="preserve"> </w:t>
      </w:r>
      <w:r w:rsidR="006971F1" w:rsidRPr="002F50BD">
        <w:rPr>
          <w:rFonts w:ascii="Verdana" w:eastAsia="Times New Roman" w:hAnsi="Verdana"/>
          <w:sz w:val="16"/>
          <w:szCs w:val="32"/>
          <w:lang w:val="pt-BR"/>
        </w:rPr>
        <w:t>por meio de</w:t>
      </w:r>
      <w:r w:rsidRPr="002F50BD">
        <w:rPr>
          <w:rFonts w:ascii="Verdana" w:eastAsia="Times New Roman" w:hAnsi="Verdana"/>
          <w:sz w:val="16"/>
          <w:szCs w:val="32"/>
          <w:lang w:val="pt-BR"/>
        </w:rPr>
        <w:t xml:space="preserve"> </w:t>
      </w:r>
      <w:r w:rsidR="004756C1" w:rsidRPr="002F50BD">
        <w:rPr>
          <w:rFonts w:ascii="Verdana" w:eastAsia="Times New Roman" w:hAnsi="Verdana"/>
          <w:sz w:val="16"/>
          <w:szCs w:val="32"/>
          <w:lang w:val="pt-BR"/>
        </w:rPr>
        <w:t>compra o</w:t>
      </w:r>
      <w:r w:rsidR="006971F1" w:rsidRPr="002F50BD">
        <w:rPr>
          <w:rFonts w:ascii="Verdana" w:eastAsia="Times New Roman" w:hAnsi="Verdana"/>
          <w:sz w:val="16"/>
          <w:szCs w:val="32"/>
          <w:lang w:val="pt-BR"/>
        </w:rPr>
        <w:t>u</w:t>
      </w:r>
      <w:r w:rsidR="004756C1" w:rsidRPr="002F50BD">
        <w:rPr>
          <w:rFonts w:ascii="Verdana" w:eastAsia="Times New Roman" w:hAnsi="Verdana"/>
          <w:sz w:val="16"/>
          <w:szCs w:val="32"/>
          <w:lang w:val="pt-BR"/>
        </w:rPr>
        <w:t xml:space="preserve"> permuta.</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Artigo</w:t>
      </w:r>
      <w:r w:rsidR="004756C1" w:rsidRPr="002F50BD">
        <w:rPr>
          <w:rFonts w:ascii="Verdana" w:eastAsia="Times New Roman" w:hAnsi="Verdana"/>
          <w:sz w:val="16"/>
          <w:szCs w:val="32"/>
          <w:lang w:val="pt-BR"/>
        </w:rPr>
        <w:t xml:space="preserve"> </w:t>
      </w:r>
      <w:r w:rsidR="00063B47" w:rsidRPr="002F50BD">
        <w:rPr>
          <w:rFonts w:ascii="Verdana" w:eastAsia="Times New Roman" w:hAnsi="Verdana"/>
          <w:sz w:val="16"/>
          <w:szCs w:val="32"/>
          <w:lang w:val="pt-BR"/>
        </w:rPr>
        <w:t>148</w:t>
      </w:r>
      <w:r w:rsidR="004756C1" w:rsidRPr="002F50BD">
        <w:rPr>
          <w:rFonts w:ascii="Verdana" w:eastAsia="Times New Roman" w:hAnsi="Verdana"/>
          <w:sz w:val="16"/>
          <w:szCs w:val="32"/>
          <w:lang w:val="pt-BR"/>
        </w:rPr>
        <w:t>.- Tanto</w:t>
      </w:r>
      <w:r w:rsidRPr="002F50BD">
        <w:rPr>
          <w:rFonts w:ascii="Verdana" w:eastAsia="Times New Roman" w:hAnsi="Verdana"/>
          <w:sz w:val="16"/>
          <w:szCs w:val="32"/>
          <w:lang w:val="pt-BR"/>
        </w:rPr>
        <w:t xml:space="preserve"> se </w:t>
      </w:r>
      <w:r w:rsidR="004756C1" w:rsidRPr="002F50BD">
        <w:rPr>
          <w:rFonts w:ascii="Verdana" w:eastAsia="Times New Roman" w:hAnsi="Verdana"/>
          <w:sz w:val="16"/>
          <w:szCs w:val="32"/>
          <w:lang w:val="pt-BR"/>
        </w:rPr>
        <w:t>optar</w:t>
      </w:r>
      <w:r w:rsidRPr="002F50BD">
        <w:rPr>
          <w:rFonts w:ascii="Verdana" w:eastAsia="Times New Roman" w:hAnsi="Verdana"/>
          <w:sz w:val="16"/>
          <w:szCs w:val="32"/>
          <w:lang w:val="pt-BR"/>
        </w:rPr>
        <w:t xml:space="preserve"> pela </w:t>
      </w:r>
      <w:r w:rsidR="00DB51F0" w:rsidRPr="002F50BD">
        <w:rPr>
          <w:rFonts w:ascii="Verdana" w:eastAsia="Times New Roman" w:hAnsi="Verdana"/>
          <w:sz w:val="16"/>
          <w:szCs w:val="32"/>
          <w:lang w:val="pt-BR"/>
        </w:rPr>
        <w:t>expropriação</w:t>
      </w:r>
      <w:r w:rsidR="004756C1" w:rsidRPr="002F50BD">
        <w:rPr>
          <w:rFonts w:ascii="Verdana" w:eastAsia="Times New Roman" w:hAnsi="Verdana"/>
          <w:sz w:val="16"/>
          <w:szCs w:val="32"/>
          <w:lang w:val="pt-BR"/>
        </w:rPr>
        <w:t xml:space="preserve"> como</w:t>
      </w:r>
      <w:r w:rsidRPr="002F50BD">
        <w:rPr>
          <w:rFonts w:ascii="Verdana" w:eastAsia="Times New Roman" w:hAnsi="Verdana"/>
          <w:sz w:val="16"/>
          <w:szCs w:val="32"/>
          <w:lang w:val="pt-BR"/>
        </w:rPr>
        <w:t xml:space="preserve"> pela </w:t>
      </w:r>
      <w:r w:rsidR="004756C1" w:rsidRPr="002F50BD">
        <w:rPr>
          <w:rFonts w:ascii="Verdana" w:eastAsia="Times New Roman" w:hAnsi="Verdana"/>
          <w:sz w:val="16"/>
          <w:szCs w:val="32"/>
          <w:lang w:val="pt-BR"/>
        </w:rPr>
        <w:t>compra o</w:t>
      </w:r>
      <w:r w:rsidR="006971F1" w:rsidRPr="002F50BD">
        <w:rPr>
          <w:rFonts w:ascii="Verdana" w:eastAsia="Times New Roman" w:hAnsi="Verdana"/>
          <w:sz w:val="16"/>
          <w:szCs w:val="32"/>
          <w:lang w:val="pt-BR"/>
        </w:rPr>
        <w:t>u</w:t>
      </w:r>
      <w:r w:rsidR="004756C1" w:rsidRPr="002F50BD">
        <w:rPr>
          <w:rFonts w:ascii="Verdana" w:eastAsia="Times New Roman" w:hAnsi="Verdana"/>
          <w:sz w:val="16"/>
          <w:szCs w:val="32"/>
          <w:lang w:val="pt-BR"/>
        </w:rPr>
        <w:t xml:space="preserve"> permuta,</w:t>
      </w:r>
      <w:r w:rsidRPr="002F50BD">
        <w:rPr>
          <w:rFonts w:ascii="Verdana" w:eastAsia="Times New Roman" w:hAnsi="Verdana"/>
          <w:sz w:val="16"/>
          <w:szCs w:val="32"/>
          <w:lang w:val="pt-BR"/>
        </w:rPr>
        <w:t xml:space="preserve"> o </w:t>
      </w:r>
      <w:r w:rsidR="004756C1" w:rsidRPr="002F50BD">
        <w:rPr>
          <w:rFonts w:ascii="Verdana" w:eastAsia="Times New Roman" w:hAnsi="Verdana"/>
          <w:sz w:val="16"/>
          <w:szCs w:val="32"/>
          <w:lang w:val="pt-BR"/>
        </w:rPr>
        <w:t xml:space="preserve">Instituto de </w:t>
      </w:r>
      <w:r w:rsidR="00475EBB" w:rsidRPr="002F50BD">
        <w:rPr>
          <w:rFonts w:ascii="Verdana" w:eastAsia="Times New Roman" w:hAnsi="Verdana"/>
          <w:sz w:val="16"/>
          <w:szCs w:val="32"/>
          <w:lang w:val="pt-BR"/>
        </w:rPr>
        <w:t>Bem Estar</w:t>
      </w:r>
      <w:r w:rsidR="004756C1" w:rsidRPr="002F50BD">
        <w:rPr>
          <w:rFonts w:ascii="Verdana" w:eastAsia="Times New Roman" w:hAnsi="Verdana"/>
          <w:sz w:val="16"/>
          <w:szCs w:val="32"/>
          <w:lang w:val="pt-BR"/>
        </w:rPr>
        <w:t xml:space="preserve"> Rural cump</w:t>
      </w:r>
      <w:r w:rsidR="006971F1" w:rsidRPr="002F50BD">
        <w:rPr>
          <w:rFonts w:ascii="Verdana" w:eastAsia="Times New Roman" w:hAnsi="Verdana"/>
          <w:sz w:val="16"/>
          <w:szCs w:val="32"/>
          <w:lang w:val="pt-BR"/>
        </w:rPr>
        <w:t>r</w:t>
      </w:r>
      <w:r w:rsidR="004756C1" w:rsidRPr="002F50BD">
        <w:rPr>
          <w:rFonts w:ascii="Verdana" w:eastAsia="Times New Roman" w:hAnsi="Verdana"/>
          <w:sz w:val="16"/>
          <w:szCs w:val="32"/>
          <w:lang w:val="pt-BR"/>
        </w:rPr>
        <w:t>irá</w:t>
      </w:r>
      <w:r w:rsidRPr="002F50BD">
        <w:rPr>
          <w:rFonts w:ascii="Verdana" w:eastAsia="Times New Roman" w:hAnsi="Verdana"/>
          <w:sz w:val="16"/>
          <w:szCs w:val="32"/>
          <w:lang w:val="pt-BR"/>
        </w:rPr>
        <w:t xml:space="preserve"> as </w:t>
      </w:r>
      <w:r w:rsidR="006971F1" w:rsidRPr="002F50BD">
        <w:rPr>
          <w:rFonts w:ascii="Verdana" w:eastAsia="Times New Roman" w:hAnsi="Verdana"/>
          <w:sz w:val="16"/>
          <w:szCs w:val="32"/>
          <w:lang w:val="pt-BR"/>
        </w:rPr>
        <w:t xml:space="preserve">seguintes </w:t>
      </w:r>
      <w:r w:rsidRPr="002F50BD">
        <w:rPr>
          <w:rFonts w:ascii="Verdana" w:eastAsia="Times New Roman" w:hAnsi="Verdana"/>
          <w:sz w:val="16"/>
          <w:szCs w:val="32"/>
          <w:lang w:val="pt-BR"/>
        </w:rPr>
        <w:t>diligência</w:t>
      </w:r>
      <w:r w:rsidR="004756C1" w:rsidRPr="002F50BD">
        <w:rPr>
          <w:rFonts w:ascii="Verdana" w:eastAsia="Times New Roman" w:hAnsi="Verdana"/>
          <w:sz w:val="16"/>
          <w:szCs w:val="32"/>
          <w:lang w:val="pt-BR"/>
        </w:rPr>
        <w:t>s pr</w:t>
      </w:r>
      <w:r w:rsidR="006971F1" w:rsidRPr="002F50BD">
        <w:rPr>
          <w:rFonts w:ascii="Verdana" w:eastAsia="Times New Roman" w:hAnsi="Verdana"/>
          <w:sz w:val="16"/>
          <w:szCs w:val="32"/>
          <w:lang w:val="pt-BR"/>
        </w:rPr>
        <w:t>é</w:t>
      </w:r>
      <w:r w:rsidR="004756C1" w:rsidRPr="002F50BD">
        <w:rPr>
          <w:rFonts w:ascii="Verdana" w:eastAsia="Times New Roman" w:hAnsi="Verdana"/>
          <w:sz w:val="16"/>
          <w:szCs w:val="32"/>
          <w:lang w:val="pt-BR"/>
        </w:rPr>
        <w:t>vias: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w:t>
      </w:r>
      <w:r w:rsidR="00CF451D" w:rsidRPr="00CF451D">
        <w:rPr>
          <w:rFonts w:ascii="Verdana" w:eastAsia="Times New Roman" w:hAnsi="Verdana"/>
          <w:sz w:val="16"/>
          <w:szCs w:val="32"/>
          <w:lang w:val="pt-BR"/>
        </w:rPr>
        <w:t>)</w:t>
      </w:r>
      <w:r w:rsidRPr="002F50BD">
        <w:rPr>
          <w:rFonts w:ascii="Verdana" w:eastAsia="Times New Roman" w:hAnsi="Verdana"/>
          <w:sz w:val="16"/>
          <w:szCs w:val="32"/>
          <w:lang w:val="pt-BR"/>
        </w:rPr>
        <w:tab/>
        <w:t>Notificar</w:t>
      </w:r>
      <w:r w:rsidR="006971F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 xml:space="preserve">o </w:t>
      </w:r>
      <w:r w:rsidR="007801FA" w:rsidRPr="002F50BD">
        <w:rPr>
          <w:rFonts w:ascii="Verdana" w:eastAsia="Times New Roman" w:hAnsi="Verdana"/>
          <w:sz w:val="16"/>
          <w:szCs w:val="32"/>
          <w:lang w:val="pt-BR"/>
        </w:rPr>
        <w:t>proprietário</w:t>
      </w:r>
      <w:r w:rsidRPr="002F50BD">
        <w:rPr>
          <w:rFonts w:ascii="Verdana" w:eastAsia="Times New Roman" w:hAnsi="Verdana"/>
          <w:sz w:val="16"/>
          <w:szCs w:val="32"/>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b</w:t>
      </w:r>
      <w:r w:rsidR="00CF451D" w:rsidRPr="00CF451D">
        <w:rPr>
          <w:rFonts w:ascii="Verdana" w:eastAsia="Times New Roman" w:hAnsi="Verdana"/>
          <w:sz w:val="16"/>
          <w:szCs w:val="32"/>
          <w:lang w:val="pt-BR"/>
        </w:rPr>
        <w:t>)</w:t>
      </w:r>
      <w:r w:rsidRPr="002F50BD">
        <w:rPr>
          <w:rFonts w:ascii="Verdana" w:eastAsia="Times New Roman" w:hAnsi="Verdana"/>
          <w:sz w:val="16"/>
          <w:szCs w:val="32"/>
          <w:lang w:val="pt-BR"/>
        </w:rPr>
        <w:tab/>
        <w:t>Com</w:t>
      </w:r>
      <w:r w:rsidR="0089298C" w:rsidRPr="002F50BD">
        <w:rPr>
          <w:rFonts w:ascii="Verdana" w:eastAsia="Times New Roman" w:hAnsi="Verdana"/>
          <w:sz w:val="16"/>
          <w:szCs w:val="32"/>
          <w:lang w:val="pt-BR"/>
        </w:rPr>
        <w:t>provar</w:t>
      </w:r>
      <w:r w:rsidRPr="002F50BD">
        <w:rPr>
          <w:rFonts w:ascii="Verdana" w:eastAsia="Times New Roman" w:hAnsi="Verdana"/>
          <w:sz w:val="16"/>
          <w:szCs w:val="32"/>
          <w:lang w:val="pt-BR"/>
        </w:rPr>
        <w:t xml:space="preserve"> que</w:t>
      </w:r>
      <w:r w:rsidR="0089298C" w:rsidRPr="002F50BD">
        <w:rPr>
          <w:rFonts w:ascii="Verdana" w:eastAsia="Times New Roman" w:hAnsi="Verdana"/>
          <w:sz w:val="16"/>
          <w:szCs w:val="32"/>
          <w:lang w:val="pt-BR"/>
        </w:rPr>
        <w:t xml:space="preserve"> as terra</w:t>
      </w:r>
      <w:r w:rsidRPr="002F50BD">
        <w:rPr>
          <w:rFonts w:ascii="Verdana" w:eastAsia="Times New Roman" w:hAnsi="Verdana"/>
          <w:sz w:val="16"/>
          <w:szCs w:val="32"/>
          <w:lang w:val="pt-BR"/>
        </w:rPr>
        <w:t>s, por su</w:t>
      </w:r>
      <w:r w:rsidR="006971F1" w:rsidRPr="002F50BD">
        <w:rPr>
          <w:rFonts w:ascii="Verdana" w:eastAsia="Times New Roman" w:hAnsi="Verdana"/>
          <w:sz w:val="16"/>
          <w:szCs w:val="32"/>
          <w:lang w:val="pt-BR"/>
        </w:rPr>
        <w:t>a</w:t>
      </w:r>
      <w:r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 xml:space="preserve">localização e </w:t>
      </w:r>
      <w:r w:rsidRPr="002F50BD">
        <w:rPr>
          <w:rFonts w:ascii="Verdana" w:eastAsia="Times New Roman" w:hAnsi="Verdana"/>
          <w:sz w:val="16"/>
          <w:szCs w:val="32"/>
          <w:lang w:val="pt-BR"/>
        </w:rPr>
        <w:t>condi</w:t>
      </w:r>
      <w:r w:rsidR="0089298C" w:rsidRPr="002F50BD">
        <w:rPr>
          <w:rFonts w:ascii="Verdana" w:eastAsia="Times New Roman" w:hAnsi="Verdana"/>
          <w:sz w:val="16"/>
          <w:szCs w:val="32"/>
          <w:lang w:val="pt-BR"/>
        </w:rPr>
        <w:t>ções</w:t>
      </w:r>
      <w:r w:rsidRPr="002F50BD">
        <w:rPr>
          <w:rFonts w:ascii="Verdana" w:eastAsia="Times New Roman" w:hAnsi="Verdana"/>
          <w:sz w:val="16"/>
          <w:szCs w:val="32"/>
          <w:lang w:val="pt-BR"/>
        </w:rPr>
        <w:t xml:space="preserve"> agrológicas</w:t>
      </w:r>
      <w:r w:rsidR="00CD17CA" w:rsidRPr="002F50BD">
        <w:rPr>
          <w:rFonts w:ascii="Verdana" w:eastAsia="Times New Roman" w:hAnsi="Verdana"/>
          <w:sz w:val="16"/>
          <w:szCs w:val="32"/>
          <w:lang w:val="pt-BR"/>
        </w:rPr>
        <w:t>,</w:t>
      </w:r>
      <w:r w:rsidR="0089298C" w:rsidRPr="002F50BD">
        <w:rPr>
          <w:rFonts w:ascii="Verdana" w:eastAsia="Times New Roman" w:hAnsi="Verdana"/>
          <w:sz w:val="16"/>
          <w:szCs w:val="32"/>
          <w:lang w:val="pt-BR"/>
        </w:rPr>
        <w:t xml:space="preserve"> são </w:t>
      </w:r>
      <w:r w:rsidRPr="002F50BD">
        <w:rPr>
          <w:rFonts w:ascii="Verdana" w:eastAsia="Times New Roman" w:hAnsi="Verdana"/>
          <w:sz w:val="16"/>
          <w:szCs w:val="32"/>
          <w:lang w:val="pt-BR"/>
        </w:rPr>
        <w:t>aptas para empre</w:t>
      </w:r>
      <w:r w:rsidR="006971F1" w:rsidRPr="002F50BD">
        <w:rPr>
          <w:rFonts w:ascii="Verdana" w:eastAsia="Times New Roman" w:hAnsi="Verdana"/>
          <w:sz w:val="16"/>
          <w:szCs w:val="32"/>
          <w:lang w:val="pt-BR"/>
        </w:rPr>
        <w:t>e</w:t>
      </w:r>
      <w:r w:rsidRPr="002F50BD">
        <w:rPr>
          <w:rFonts w:ascii="Verdana" w:eastAsia="Times New Roman" w:hAnsi="Verdana"/>
          <w:sz w:val="16"/>
          <w:szCs w:val="32"/>
          <w:lang w:val="pt-BR"/>
        </w:rPr>
        <w:t>nder</w:t>
      </w:r>
      <w:r w:rsidR="0089298C" w:rsidRPr="002F50BD">
        <w:rPr>
          <w:rFonts w:ascii="Verdana" w:eastAsia="Times New Roman" w:hAnsi="Verdana"/>
          <w:sz w:val="16"/>
          <w:szCs w:val="32"/>
          <w:lang w:val="pt-BR"/>
        </w:rPr>
        <w:t xml:space="preserve"> uma </w:t>
      </w:r>
      <w:r w:rsidRPr="002F50BD">
        <w:rPr>
          <w:rFonts w:ascii="Verdana" w:eastAsia="Times New Roman" w:hAnsi="Verdana"/>
          <w:sz w:val="16"/>
          <w:szCs w:val="32"/>
          <w:lang w:val="pt-BR"/>
        </w:rPr>
        <w:t>coloniza</w:t>
      </w:r>
      <w:r w:rsidR="0089298C" w:rsidRPr="002F50BD">
        <w:rPr>
          <w:rFonts w:ascii="Verdana" w:eastAsia="Times New Roman" w:hAnsi="Verdana"/>
          <w:sz w:val="16"/>
          <w:szCs w:val="32"/>
          <w:lang w:val="pt-BR"/>
        </w:rPr>
        <w:t>ção</w:t>
      </w:r>
      <w:r w:rsidRPr="002F50BD">
        <w:rPr>
          <w:rFonts w:ascii="Verdana" w:eastAsia="Times New Roman" w:hAnsi="Verdana"/>
          <w:sz w:val="16"/>
          <w:szCs w:val="32"/>
          <w:lang w:val="pt-BR"/>
        </w:rPr>
        <w:t xml:space="preserve"> agropecu</w:t>
      </w:r>
      <w:r w:rsidR="006971F1" w:rsidRPr="002F50BD">
        <w:rPr>
          <w:rFonts w:ascii="Verdana" w:eastAsia="Times New Roman" w:hAnsi="Verdana"/>
          <w:sz w:val="16"/>
          <w:szCs w:val="32"/>
          <w:lang w:val="pt-BR"/>
        </w:rPr>
        <w:t>á</w:t>
      </w:r>
      <w:r w:rsidRPr="002F50BD">
        <w:rPr>
          <w:rFonts w:ascii="Verdana" w:eastAsia="Times New Roman" w:hAnsi="Verdana"/>
          <w:sz w:val="16"/>
          <w:szCs w:val="32"/>
          <w:lang w:val="pt-BR"/>
        </w:rPr>
        <w:t>ria;</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c</w:t>
      </w:r>
      <w:r w:rsidR="00CF451D" w:rsidRPr="00CF451D">
        <w:rPr>
          <w:rFonts w:ascii="Verdana" w:eastAsia="Times New Roman" w:hAnsi="Verdana"/>
          <w:sz w:val="16"/>
          <w:szCs w:val="32"/>
          <w:lang w:val="pt-BR"/>
        </w:rPr>
        <w:t>)</w:t>
      </w:r>
      <w:r w:rsidRPr="002F50BD">
        <w:rPr>
          <w:rFonts w:ascii="Verdana" w:eastAsia="Times New Roman" w:hAnsi="Verdana"/>
          <w:sz w:val="16"/>
          <w:szCs w:val="32"/>
          <w:lang w:val="pt-BR"/>
        </w:rPr>
        <w:tab/>
        <w:t>Com</w:t>
      </w:r>
      <w:r w:rsidR="0089298C" w:rsidRPr="002F50BD">
        <w:rPr>
          <w:rFonts w:ascii="Verdana" w:eastAsia="Times New Roman" w:hAnsi="Verdana"/>
          <w:sz w:val="16"/>
          <w:szCs w:val="32"/>
          <w:lang w:val="pt-BR"/>
        </w:rPr>
        <w:t>provar a existência e a trascendência</w:t>
      </w:r>
      <w:r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 xml:space="preserve">do </w:t>
      </w:r>
      <w:r w:rsidRPr="002F50BD">
        <w:rPr>
          <w:rFonts w:ascii="Verdana" w:eastAsia="Times New Roman" w:hAnsi="Verdana"/>
          <w:sz w:val="16"/>
          <w:szCs w:val="32"/>
          <w:lang w:val="pt-BR"/>
        </w:rPr>
        <w:t>problema social</w:t>
      </w:r>
      <w:r w:rsidR="0089298C" w:rsidRPr="002F50BD">
        <w:rPr>
          <w:rFonts w:ascii="Verdana" w:eastAsia="Times New Roman" w:hAnsi="Verdana"/>
          <w:sz w:val="16"/>
          <w:szCs w:val="32"/>
          <w:lang w:val="pt-BR"/>
        </w:rPr>
        <w:t xml:space="preserve"> na </w:t>
      </w:r>
      <w:r w:rsidRPr="002F50BD">
        <w:rPr>
          <w:rFonts w:ascii="Verdana" w:eastAsia="Times New Roman" w:hAnsi="Verdana"/>
          <w:sz w:val="16"/>
          <w:szCs w:val="32"/>
          <w:lang w:val="pt-BR"/>
        </w:rPr>
        <w:t>l</w:t>
      </w:r>
      <w:r w:rsidR="006971F1" w:rsidRPr="002F50BD">
        <w:rPr>
          <w:rFonts w:ascii="Verdana" w:eastAsia="Times New Roman" w:hAnsi="Verdana"/>
          <w:sz w:val="16"/>
          <w:szCs w:val="32"/>
          <w:lang w:val="pt-BR"/>
        </w:rPr>
        <w:t>oc</w:t>
      </w:r>
      <w:r w:rsidR="0089298C" w:rsidRPr="002F50BD">
        <w:rPr>
          <w:rFonts w:ascii="Verdana" w:eastAsia="Times New Roman" w:hAnsi="Verdana"/>
          <w:sz w:val="16"/>
          <w:szCs w:val="32"/>
          <w:lang w:val="pt-BR"/>
        </w:rPr>
        <w:t xml:space="preserve">alidade </w:t>
      </w:r>
      <w:r w:rsidR="00F130FD">
        <w:rPr>
          <w:rFonts w:ascii="Verdana" w:eastAsia="Times New Roman" w:hAnsi="Verdana"/>
          <w:sz w:val="16"/>
          <w:szCs w:val="32"/>
          <w:lang w:val="pt-BR"/>
        </w:rPr>
        <w:t>em questão</w:t>
      </w:r>
      <w:r w:rsidRPr="002F50BD">
        <w:rPr>
          <w:rFonts w:ascii="Verdana" w:eastAsia="Times New Roman" w:hAnsi="Verdana"/>
          <w:sz w:val="16"/>
          <w:szCs w:val="32"/>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d</w:t>
      </w:r>
      <w:r w:rsidR="00CF451D" w:rsidRPr="00CF451D">
        <w:rPr>
          <w:rFonts w:ascii="Verdana" w:eastAsia="Times New Roman" w:hAnsi="Verdana"/>
          <w:sz w:val="16"/>
          <w:szCs w:val="32"/>
          <w:lang w:val="pt-BR"/>
        </w:rPr>
        <w:t>)</w:t>
      </w:r>
      <w:r w:rsidRPr="002F50BD">
        <w:rPr>
          <w:rFonts w:ascii="Verdana" w:eastAsia="Times New Roman" w:hAnsi="Verdana"/>
          <w:sz w:val="16"/>
          <w:szCs w:val="32"/>
          <w:lang w:val="pt-BR"/>
        </w:rPr>
        <w:tab/>
      </w:r>
      <w:r w:rsidR="006971F1" w:rsidRPr="002F50BD">
        <w:rPr>
          <w:rFonts w:ascii="Verdana" w:eastAsia="Times New Roman" w:hAnsi="Verdana"/>
          <w:sz w:val="16"/>
          <w:szCs w:val="32"/>
          <w:lang w:val="pt-BR"/>
        </w:rPr>
        <w:t xml:space="preserve">Notificar </w:t>
      </w:r>
      <w:r w:rsidR="0089298C" w:rsidRPr="002F50BD">
        <w:rPr>
          <w:rFonts w:ascii="Verdana" w:eastAsia="Times New Roman" w:hAnsi="Verdana"/>
          <w:sz w:val="16"/>
          <w:szCs w:val="32"/>
          <w:lang w:val="pt-BR"/>
        </w:rPr>
        <w:t xml:space="preserve">o </w:t>
      </w:r>
      <w:r w:rsidR="007801FA" w:rsidRPr="002F50BD">
        <w:rPr>
          <w:rFonts w:ascii="Verdana" w:eastAsia="Times New Roman" w:hAnsi="Verdana"/>
          <w:sz w:val="16"/>
          <w:szCs w:val="32"/>
          <w:lang w:val="pt-BR"/>
        </w:rPr>
        <w:t>proprietário</w:t>
      </w:r>
      <w:r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do imóvel</w:t>
      </w:r>
      <w:r w:rsidRPr="002F50BD">
        <w:rPr>
          <w:rFonts w:ascii="Verdana" w:eastAsia="Times New Roman" w:hAnsi="Verdana"/>
          <w:sz w:val="16"/>
          <w:szCs w:val="32"/>
          <w:lang w:val="pt-BR"/>
        </w:rPr>
        <w:t xml:space="preserve"> para que dentro </w:t>
      </w:r>
      <w:r w:rsidR="0089298C" w:rsidRPr="002F50BD">
        <w:rPr>
          <w:rFonts w:ascii="Verdana" w:eastAsia="Times New Roman" w:hAnsi="Verdana"/>
          <w:sz w:val="16"/>
          <w:szCs w:val="32"/>
          <w:lang w:val="pt-BR"/>
        </w:rPr>
        <w:t>do termo</w:t>
      </w:r>
      <w:r w:rsidRPr="002F50BD">
        <w:rPr>
          <w:rFonts w:ascii="Verdana" w:eastAsia="Times New Roman" w:hAnsi="Verdana"/>
          <w:sz w:val="16"/>
          <w:szCs w:val="32"/>
          <w:lang w:val="pt-BR"/>
        </w:rPr>
        <w:t xml:space="preserve"> pere</w:t>
      </w:r>
      <w:r w:rsidR="006971F1" w:rsidRPr="002F50BD">
        <w:rPr>
          <w:rFonts w:ascii="Verdana" w:eastAsia="Times New Roman" w:hAnsi="Verdana"/>
          <w:sz w:val="16"/>
          <w:szCs w:val="32"/>
          <w:lang w:val="pt-BR"/>
        </w:rPr>
        <w:t xml:space="preserve">mptório </w:t>
      </w:r>
      <w:r w:rsidRPr="002F50BD">
        <w:rPr>
          <w:rFonts w:ascii="Verdana" w:eastAsia="Times New Roman" w:hAnsi="Verdana"/>
          <w:sz w:val="16"/>
          <w:szCs w:val="32"/>
          <w:lang w:val="pt-BR"/>
        </w:rPr>
        <w:t xml:space="preserve">de </w:t>
      </w:r>
      <w:r w:rsidR="00F130FD">
        <w:rPr>
          <w:rFonts w:ascii="Verdana" w:eastAsia="Times New Roman" w:hAnsi="Verdana"/>
          <w:sz w:val="16"/>
          <w:szCs w:val="32"/>
          <w:lang w:val="pt-BR"/>
        </w:rPr>
        <w:t>90</w:t>
      </w:r>
      <w:r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dia</w:t>
      </w:r>
      <w:r w:rsidRPr="002F50BD">
        <w:rPr>
          <w:rFonts w:ascii="Verdana" w:eastAsia="Times New Roman" w:hAnsi="Verdana"/>
          <w:sz w:val="16"/>
          <w:szCs w:val="32"/>
          <w:lang w:val="pt-BR"/>
        </w:rPr>
        <w:t>s manifeste su</w:t>
      </w:r>
      <w:r w:rsidR="006971F1" w:rsidRPr="002F50BD">
        <w:rPr>
          <w:rFonts w:ascii="Verdana" w:eastAsia="Times New Roman" w:hAnsi="Verdana"/>
          <w:sz w:val="16"/>
          <w:szCs w:val="32"/>
          <w:lang w:val="pt-BR"/>
        </w:rPr>
        <w:t>a</w:t>
      </w:r>
      <w:r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conform</w:t>
      </w:r>
      <w:r w:rsidR="006971F1" w:rsidRPr="002F50BD">
        <w:rPr>
          <w:rFonts w:ascii="Verdana" w:eastAsia="Times New Roman" w:hAnsi="Verdana"/>
          <w:sz w:val="16"/>
          <w:szCs w:val="32"/>
          <w:lang w:val="pt-BR"/>
        </w:rPr>
        <w:t>idade</w:t>
      </w:r>
      <w:r w:rsidR="0089298C" w:rsidRPr="002F50BD">
        <w:rPr>
          <w:rFonts w:ascii="Verdana" w:eastAsia="Times New Roman" w:hAnsi="Verdana"/>
          <w:sz w:val="16"/>
          <w:szCs w:val="32"/>
          <w:lang w:val="pt-BR"/>
        </w:rPr>
        <w:t xml:space="preserve"> em </w:t>
      </w:r>
      <w:r w:rsidRPr="002F50BD">
        <w:rPr>
          <w:rFonts w:ascii="Verdana" w:eastAsia="Times New Roman" w:hAnsi="Verdana"/>
          <w:sz w:val="16"/>
          <w:szCs w:val="32"/>
          <w:lang w:val="pt-BR"/>
        </w:rPr>
        <w:t>coloniz</w:t>
      </w:r>
      <w:r w:rsidR="00AB454A" w:rsidRPr="002F50BD">
        <w:rPr>
          <w:rFonts w:ascii="Verdana" w:eastAsia="Times New Roman" w:hAnsi="Verdana"/>
          <w:sz w:val="16"/>
          <w:szCs w:val="32"/>
          <w:lang w:val="pt-BR"/>
        </w:rPr>
        <w:t xml:space="preserve">á-lo </w:t>
      </w:r>
      <w:r w:rsidRPr="002F50BD">
        <w:rPr>
          <w:rFonts w:ascii="Verdana" w:eastAsia="Times New Roman" w:hAnsi="Verdana"/>
          <w:sz w:val="16"/>
          <w:szCs w:val="32"/>
          <w:lang w:val="pt-BR"/>
        </w:rPr>
        <w:t>o</w:t>
      </w:r>
      <w:r w:rsidR="006971F1" w:rsidRPr="002F50BD">
        <w:rPr>
          <w:rFonts w:ascii="Verdana" w:eastAsia="Times New Roman" w:hAnsi="Verdana"/>
          <w:sz w:val="16"/>
          <w:szCs w:val="32"/>
          <w:lang w:val="pt-BR"/>
        </w:rPr>
        <w:t>u</w:t>
      </w:r>
      <w:r w:rsidRPr="002F50BD">
        <w:rPr>
          <w:rFonts w:ascii="Verdana" w:eastAsia="Times New Roman" w:hAnsi="Verdana"/>
          <w:sz w:val="16"/>
          <w:szCs w:val="32"/>
          <w:lang w:val="pt-BR"/>
        </w:rPr>
        <w:t xml:space="preserve"> vend</w:t>
      </w:r>
      <w:r w:rsidR="006971F1" w:rsidRPr="002F50BD">
        <w:rPr>
          <w:rFonts w:ascii="Verdana" w:eastAsia="Times New Roman" w:hAnsi="Verdana"/>
          <w:sz w:val="16"/>
          <w:szCs w:val="32"/>
          <w:lang w:val="pt-BR"/>
        </w:rPr>
        <w:t>ê-</w:t>
      </w:r>
      <w:r w:rsidRPr="002F50BD">
        <w:rPr>
          <w:rFonts w:ascii="Verdana" w:eastAsia="Times New Roman" w:hAnsi="Verdana"/>
          <w:sz w:val="16"/>
          <w:szCs w:val="32"/>
          <w:lang w:val="pt-BR"/>
        </w:rPr>
        <w:t xml:space="preserve">lo </w:t>
      </w:r>
      <w:r w:rsidR="0089298C" w:rsidRPr="002F50BD">
        <w:rPr>
          <w:rFonts w:ascii="Verdana" w:eastAsia="Times New Roman" w:hAnsi="Verdana"/>
          <w:sz w:val="16"/>
          <w:szCs w:val="32"/>
          <w:lang w:val="pt-BR"/>
        </w:rPr>
        <w:t>diret</w:t>
      </w:r>
      <w:r w:rsidRPr="002F50BD">
        <w:rPr>
          <w:rFonts w:ascii="Verdana" w:eastAsia="Times New Roman" w:hAnsi="Verdana"/>
          <w:sz w:val="16"/>
          <w:szCs w:val="32"/>
          <w:lang w:val="pt-BR"/>
        </w:rPr>
        <w:t>amente</w:t>
      </w:r>
      <w:r w:rsidR="0089298C" w:rsidRPr="002F50BD">
        <w:rPr>
          <w:rFonts w:ascii="Verdana" w:eastAsia="Times New Roman" w:hAnsi="Verdana"/>
          <w:sz w:val="16"/>
          <w:szCs w:val="32"/>
          <w:lang w:val="pt-BR"/>
        </w:rPr>
        <w:t xml:space="preserve"> aos </w:t>
      </w:r>
      <w:r w:rsidRPr="002F50BD">
        <w:rPr>
          <w:rFonts w:ascii="Verdana" w:eastAsia="Times New Roman" w:hAnsi="Verdana"/>
          <w:sz w:val="16"/>
          <w:szCs w:val="32"/>
          <w:lang w:val="pt-BR"/>
        </w:rPr>
        <w:t>ocupantes, de</w:t>
      </w:r>
      <w:r w:rsidR="00FE08B7">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 xml:space="preserve">acordo com as </w:t>
      </w:r>
      <w:r w:rsidRPr="002F50BD">
        <w:rPr>
          <w:rFonts w:ascii="Verdana" w:eastAsia="Times New Roman" w:hAnsi="Verdana"/>
          <w:sz w:val="16"/>
          <w:szCs w:val="32"/>
          <w:lang w:val="pt-BR"/>
        </w:rPr>
        <w:t>condi</w:t>
      </w:r>
      <w:r w:rsidR="0089298C" w:rsidRPr="002F50BD">
        <w:rPr>
          <w:rFonts w:ascii="Verdana" w:eastAsia="Times New Roman" w:hAnsi="Verdana"/>
          <w:sz w:val="16"/>
          <w:szCs w:val="32"/>
          <w:lang w:val="pt-BR"/>
        </w:rPr>
        <w:t>ções</w:t>
      </w:r>
      <w:r w:rsidRPr="002F50BD">
        <w:rPr>
          <w:rFonts w:ascii="Verdana" w:eastAsia="Times New Roman" w:hAnsi="Verdana"/>
          <w:sz w:val="16"/>
          <w:szCs w:val="32"/>
          <w:lang w:val="pt-BR"/>
        </w:rPr>
        <w:t xml:space="preserve"> prescritas por esta </w:t>
      </w:r>
      <w:r w:rsidR="0089298C" w:rsidRPr="002F50BD">
        <w:rPr>
          <w:rFonts w:ascii="Verdana" w:eastAsia="Times New Roman" w:hAnsi="Verdana"/>
          <w:sz w:val="16"/>
          <w:szCs w:val="32"/>
          <w:lang w:val="pt-BR"/>
        </w:rPr>
        <w:t>lei.</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720" w:right="720"/>
        <w:jc w:val="both"/>
        <w:rPr>
          <w:rFonts w:ascii="Verdana" w:eastAsia="Times New Roman" w:hAnsi="Verdana"/>
          <w:sz w:val="16"/>
          <w:szCs w:val="32"/>
          <w:lang w:val="pt-BR"/>
        </w:rPr>
      </w:pPr>
    </w:p>
    <w:p w:rsidR="004756C1" w:rsidRPr="002F50BD" w:rsidRDefault="0089298C">
      <w:pPr>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Artigo</w:t>
      </w:r>
      <w:r w:rsidR="004756C1" w:rsidRPr="002F50BD">
        <w:rPr>
          <w:rFonts w:ascii="Verdana" w:eastAsia="Times New Roman" w:hAnsi="Verdana"/>
          <w:sz w:val="16"/>
          <w:szCs w:val="32"/>
          <w:lang w:val="pt-BR"/>
        </w:rPr>
        <w:t xml:space="preserve"> </w:t>
      </w:r>
      <w:r w:rsidR="00063B47" w:rsidRPr="002F50BD">
        <w:rPr>
          <w:rFonts w:ascii="Verdana" w:eastAsia="Times New Roman" w:hAnsi="Verdana"/>
          <w:sz w:val="16"/>
          <w:szCs w:val="32"/>
          <w:lang w:val="pt-BR"/>
        </w:rPr>
        <w:t>150</w:t>
      </w:r>
      <w:r w:rsidR="004756C1" w:rsidRPr="002F50BD">
        <w:rPr>
          <w:rFonts w:ascii="Verdana" w:eastAsia="Times New Roman" w:hAnsi="Verdana"/>
          <w:sz w:val="16"/>
          <w:szCs w:val="32"/>
          <w:lang w:val="pt-BR"/>
        </w:rPr>
        <w:t>. - Como resultado</w:t>
      </w:r>
      <w:r w:rsidRPr="002F50BD">
        <w:rPr>
          <w:rFonts w:ascii="Verdana" w:eastAsia="Times New Roman" w:hAnsi="Verdana"/>
          <w:sz w:val="16"/>
          <w:szCs w:val="32"/>
          <w:lang w:val="pt-BR"/>
        </w:rPr>
        <w:t xml:space="preserve"> das diligência</w:t>
      </w:r>
      <w:r w:rsidR="004756C1" w:rsidRPr="002F50BD">
        <w:rPr>
          <w:rFonts w:ascii="Verdana" w:eastAsia="Times New Roman" w:hAnsi="Verdana"/>
          <w:sz w:val="16"/>
          <w:szCs w:val="32"/>
          <w:lang w:val="pt-BR"/>
        </w:rPr>
        <w:t>s prescritas</w:t>
      </w:r>
      <w:r w:rsidRPr="002F50BD">
        <w:rPr>
          <w:rFonts w:ascii="Verdana" w:eastAsia="Times New Roman" w:hAnsi="Verdana"/>
          <w:sz w:val="16"/>
          <w:szCs w:val="32"/>
          <w:lang w:val="pt-BR"/>
        </w:rPr>
        <w:t xml:space="preserve"> no artigo</w:t>
      </w:r>
      <w:r w:rsidR="004756C1" w:rsidRPr="002F50BD">
        <w:rPr>
          <w:rFonts w:ascii="Verdana" w:eastAsia="Times New Roman" w:hAnsi="Verdana"/>
          <w:sz w:val="16"/>
          <w:szCs w:val="32"/>
          <w:lang w:val="pt-BR"/>
        </w:rPr>
        <w:t xml:space="preserve"> </w:t>
      </w:r>
      <w:r w:rsidR="00063B47" w:rsidRPr="002F50BD">
        <w:rPr>
          <w:rFonts w:ascii="Verdana" w:eastAsia="Times New Roman" w:hAnsi="Verdana"/>
          <w:sz w:val="16"/>
          <w:szCs w:val="32"/>
          <w:lang w:val="pt-BR"/>
        </w:rPr>
        <w:t>148</w:t>
      </w:r>
      <w:r w:rsidR="004756C1" w:rsidRPr="002F50BD">
        <w:rPr>
          <w:rFonts w:ascii="Verdana" w:eastAsia="Times New Roman" w:hAnsi="Verdana"/>
          <w:sz w:val="16"/>
          <w:szCs w:val="32"/>
          <w:lang w:val="pt-BR"/>
        </w:rPr>
        <w:t>,</w:t>
      </w:r>
      <w:r w:rsidRPr="002F50BD">
        <w:rPr>
          <w:rFonts w:ascii="Verdana" w:eastAsia="Times New Roman" w:hAnsi="Verdana"/>
          <w:sz w:val="16"/>
          <w:szCs w:val="32"/>
          <w:lang w:val="pt-BR"/>
        </w:rPr>
        <w:t xml:space="preserve"> o </w:t>
      </w:r>
      <w:r w:rsidR="004756C1" w:rsidRPr="002F50BD">
        <w:rPr>
          <w:rFonts w:ascii="Verdana" w:eastAsia="Times New Roman" w:hAnsi="Verdana"/>
          <w:sz w:val="16"/>
          <w:szCs w:val="32"/>
          <w:lang w:val="pt-BR"/>
        </w:rPr>
        <w:t xml:space="preserve">Poder </w:t>
      </w:r>
      <w:r w:rsidRPr="002F50BD">
        <w:rPr>
          <w:rFonts w:ascii="Verdana" w:eastAsia="Times New Roman" w:hAnsi="Verdana"/>
          <w:sz w:val="16"/>
          <w:szCs w:val="32"/>
          <w:lang w:val="pt-BR"/>
        </w:rPr>
        <w:t>Executiv</w:t>
      </w:r>
      <w:r w:rsidR="004756C1" w:rsidRPr="002F50BD">
        <w:rPr>
          <w:rFonts w:ascii="Verdana" w:eastAsia="Times New Roman" w:hAnsi="Verdana"/>
          <w:sz w:val="16"/>
          <w:szCs w:val="32"/>
          <w:lang w:val="pt-BR"/>
        </w:rPr>
        <w:t xml:space="preserve">o, a </w:t>
      </w:r>
      <w:r w:rsidR="006971F1" w:rsidRPr="002F50BD">
        <w:rPr>
          <w:rFonts w:ascii="Verdana" w:eastAsia="Times New Roman" w:hAnsi="Verdana"/>
          <w:sz w:val="16"/>
          <w:szCs w:val="32"/>
          <w:lang w:val="pt-BR"/>
        </w:rPr>
        <w:t xml:space="preserve">pedido </w:t>
      </w:r>
      <w:r w:rsidRPr="002F50BD">
        <w:rPr>
          <w:rFonts w:ascii="Verdana" w:eastAsia="Times New Roman" w:hAnsi="Verdana"/>
          <w:sz w:val="16"/>
          <w:szCs w:val="32"/>
          <w:lang w:val="pt-BR"/>
        </w:rPr>
        <w:t xml:space="preserve">do </w:t>
      </w:r>
      <w:r w:rsidR="004756C1" w:rsidRPr="002F50BD">
        <w:rPr>
          <w:rFonts w:ascii="Verdana" w:eastAsia="Times New Roman" w:hAnsi="Verdana"/>
          <w:sz w:val="16"/>
          <w:szCs w:val="32"/>
          <w:lang w:val="pt-BR"/>
        </w:rPr>
        <w:t xml:space="preserve">Instituto de </w:t>
      </w:r>
      <w:r w:rsidR="00475EBB" w:rsidRPr="002F50BD">
        <w:rPr>
          <w:rFonts w:ascii="Verdana" w:eastAsia="Times New Roman" w:hAnsi="Verdana"/>
          <w:sz w:val="16"/>
          <w:szCs w:val="32"/>
          <w:lang w:val="pt-BR"/>
        </w:rPr>
        <w:t>Bem Estar</w:t>
      </w:r>
      <w:r w:rsidR="004756C1" w:rsidRPr="002F50BD">
        <w:rPr>
          <w:rFonts w:ascii="Verdana" w:eastAsia="Times New Roman" w:hAnsi="Verdana"/>
          <w:sz w:val="16"/>
          <w:szCs w:val="32"/>
          <w:lang w:val="pt-BR"/>
        </w:rPr>
        <w:t xml:space="preserve"> Rural, </w:t>
      </w:r>
      <w:r w:rsidRPr="002F50BD">
        <w:rPr>
          <w:rFonts w:ascii="Verdana" w:eastAsia="Times New Roman" w:hAnsi="Verdana"/>
          <w:sz w:val="16"/>
          <w:szCs w:val="32"/>
          <w:lang w:val="pt-BR"/>
        </w:rPr>
        <w:t xml:space="preserve">poderá </w:t>
      </w:r>
      <w:r w:rsidR="004756C1" w:rsidRPr="002F50BD">
        <w:rPr>
          <w:rFonts w:ascii="Verdana" w:eastAsia="Times New Roman" w:hAnsi="Verdana"/>
          <w:sz w:val="16"/>
          <w:szCs w:val="32"/>
          <w:lang w:val="pt-BR"/>
        </w:rPr>
        <w:t>decretar</w:t>
      </w:r>
      <w:r w:rsidRPr="002F50BD">
        <w:rPr>
          <w:rFonts w:ascii="Verdana" w:eastAsia="Times New Roman" w:hAnsi="Verdana"/>
          <w:sz w:val="16"/>
          <w:szCs w:val="32"/>
          <w:lang w:val="pt-BR"/>
        </w:rPr>
        <w:t xml:space="preserve"> a </w:t>
      </w:r>
      <w:r w:rsidR="00DB51F0" w:rsidRPr="002F50BD">
        <w:rPr>
          <w:rFonts w:ascii="Verdana" w:eastAsia="Times New Roman" w:hAnsi="Verdana"/>
          <w:sz w:val="16"/>
          <w:szCs w:val="32"/>
          <w:lang w:val="pt-BR"/>
        </w:rPr>
        <w:t>expropriação</w:t>
      </w:r>
      <w:r w:rsidRPr="002F50BD">
        <w:rPr>
          <w:rFonts w:ascii="Verdana" w:eastAsia="Times New Roman" w:hAnsi="Verdana"/>
          <w:sz w:val="16"/>
          <w:szCs w:val="32"/>
          <w:lang w:val="pt-BR"/>
        </w:rPr>
        <w:t xml:space="preserve"> das terra</w:t>
      </w:r>
      <w:r w:rsidR="004756C1" w:rsidRPr="002F50BD">
        <w:rPr>
          <w:rFonts w:ascii="Verdana" w:eastAsia="Times New Roman" w:hAnsi="Verdana"/>
          <w:sz w:val="16"/>
          <w:szCs w:val="32"/>
          <w:lang w:val="pt-BR"/>
        </w:rPr>
        <w:t xml:space="preserve">s </w:t>
      </w:r>
      <w:r w:rsidR="006971F1" w:rsidRPr="002F50BD">
        <w:rPr>
          <w:rFonts w:ascii="Verdana" w:eastAsia="Times New Roman" w:hAnsi="Verdana"/>
          <w:sz w:val="16"/>
          <w:szCs w:val="32"/>
          <w:lang w:val="pt-BR"/>
        </w:rPr>
        <w:t xml:space="preserve">com </w:t>
      </w:r>
      <w:r w:rsidR="004756C1" w:rsidRPr="002F50BD">
        <w:rPr>
          <w:rFonts w:ascii="Verdana" w:eastAsia="Times New Roman" w:hAnsi="Verdana"/>
          <w:sz w:val="16"/>
          <w:szCs w:val="32"/>
          <w:lang w:val="pt-BR"/>
        </w:rPr>
        <w:t>base</w:t>
      </w:r>
      <w:r w:rsidRPr="002F50BD">
        <w:rPr>
          <w:rFonts w:ascii="Verdana" w:eastAsia="Times New Roman" w:hAnsi="Verdana"/>
          <w:sz w:val="16"/>
          <w:szCs w:val="32"/>
          <w:lang w:val="pt-BR"/>
        </w:rPr>
        <w:t xml:space="preserve"> </w:t>
      </w:r>
      <w:r w:rsidR="006971F1" w:rsidRPr="002F50BD">
        <w:rPr>
          <w:rFonts w:ascii="Verdana" w:eastAsia="Times New Roman" w:hAnsi="Verdana"/>
          <w:sz w:val="16"/>
          <w:szCs w:val="32"/>
          <w:lang w:val="pt-BR"/>
        </w:rPr>
        <w:t>n</w:t>
      </w:r>
      <w:r w:rsidRPr="002F50BD">
        <w:rPr>
          <w:rFonts w:ascii="Verdana" w:eastAsia="Times New Roman" w:hAnsi="Verdana"/>
          <w:sz w:val="16"/>
          <w:szCs w:val="32"/>
          <w:lang w:val="pt-BR"/>
        </w:rPr>
        <w:t>a qualific</w:t>
      </w:r>
      <w:r w:rsidR="004756C1" w:rsidRPr="002F50BD">
        <w:rPr>
          <w:rFonts w:ascii="Verdana" w:eastAsia="Times New Roman" w:hAnsi="Verdana"/>
          <w:sz w:val="16"/>
          <w:szCs w:val="32"/>
          <w:lang w:val="pt-BR"/>
        </w:rPr>
        <w:t>a</w:t>
      </w:r>
      <w:r w:rsidRPr="002F50BD">
        <w:rPr>
          <w:rFonts w:ascii="Verdana" w:eastAsia="Times New Roman" w:hAnsi="Verdana"/>
          <w:sz w:val="16"/>
          <w:szCs w:val="32"/>
          <w:lang w:val="pt-BR"/>
        </w:rPr>
        <w:t>ção</w:t>
      </w:r>
      <w:r w:rsidR="004756C1" w:rsidRPr="002F50BD">
        <w:rPr>
          <w:rFonts w:ascii="Verdana" w:eastAsia="Times New Roman" w:hAnsi="Verdana"/>
          <w:sz w:val="16"/>
          <w:szCs w:val="32"/>
          <w:lang w:val="pt-BR"/>
        </w:rPr>
        <w:t xml:space="preserve"> constitucional contida</w:t>
      </w:r>
      <w:r w:rsidRPr="002F50BD">
        <w:rPr>
          <w:rFonts w:ascii="Verdana" w:eastAsia="Times New Roman" w:hAnsi="Verdana"/>
          <w:sz w:val="16"/>
          <w:szCs w:val="32"/>
          <w:lang w:val="pt-BR"/>
        </w:rPr>
        <w:t xml:space="preserve"> nesta lei.</w:t>
      </w:r>
    </w:p>
    <w:p w:rsidR="004756C1" w:rsidRPr="002F50BD" w:rsidRDefault="004756C1">
      <w:pPr>
        <w:ind w:left="720" w:right="540"/>
        <w:jc w:val="both"/>
        <w:rPr>
          <w:rFonts w:ascii="Verdana" w:hAnsi="Verdana"/>
          <w:i/>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00CD17CA" w:rsidRPr="002F50BD">
        <w:rPr>
          <w:rFonts w:ascii="Verdana" w:hAnsi="Verdana"/>
          <w:sz w:val="20"/>
          <w:lang w:val="pt-BR"/>
        </w:rPr>
        <w:t>,</w:t>
      </w:r>
      <w:r w:rsidR="004756C1" w:rsidRPr="002F50BD">
        <w:rPr>
          <w:rFonts w:ascii="Verdana" w:hAnsi="Verdana"/>
          <w:sz w:val="20"/>
          <w:lang w:val="pt-BR"/>
        </w:rPr>
        <w:t xml:space="preserve"> existe</w:t>
      </w:r>
      <w:r w:rsidRPr="002F50BD">
        <w:rPr>
          <w:rFonts w:ascii="Verdana" w:hAnsi="Verdana"/>
          <w:sz w:val="20"/>
          <w:lang w:val="pt-BR"/>
        </w:rPr>
        <w:t xml:space="preserve"> uma </w:t>
      </w:r>
      <w:r w:rsidR="009B11AD" w:rsidRPr="002F50BD">
        <w:rPr>
          <w:rFonts w:ascii="Verdana" w:hAnsi="Verdana"/>
          <w:sz w:val="20"/>
          <w:lang w:val="pt-BR"/>
        </w:rPr>
        <w:t>discrepância</w:t>
      </w:r>
      <w:r w:rsidR="004756C1" w:rsidRPr="002F50BD">
        <w:rPr>
          <w:rFonts w:ascii="Verdana" w:hAnsi="Verdana"/>
          <w:sz w:val="20"/>
          <w:lang w:val="pt-BR"/>
        </w:rPr>
        <w:t xml:space="preserve"> entre</w:t>
      </w:r>
      <w:r w:rsidRPr="002F50BD">
        <w:rPr>
          <w:rFonts w:ascii="Verdana" w:hAnsi="Verdana"/>
          <w:sz w:val="20"/>
          <w:lang w:val="pt-BR"/>
        </w:rPr>
        <w:t xml:space="preserve"> as </w:t>
      </w:r>
      <w:r w:rsidR="004756C1" w:rsidRPr="002F50BD">
        <w:rPr>
          <w:rFonts w:ascii="Verdana" w:hAnsi="Verdana"/>
          <w:sz w:val="20"/>
          <w:lang w:val="pt-BR"/>
        </w:rPr>
        <w:t xml:space="preserve">partes </w:t>
      </w:r>
      <w:r w:rsidRPr="002F50BD">
        <w:rPr>
          <w:rFonts w:ascii="Verdana" w:hAnsi="Verdana"/>
          <w:sz w:val="20"/>
          <w:lang w:val="pt-BR"/>
        </w:rPr>
        <w:t xml:space="preserve">a respeito </w:t>
      </w:r>
      <w:r w:rsidR="009B11AD" w:rsidRPr="002F50BD">
        <w:rPr>
          <w:rFonts w:ascii="Verdana" w:hAnsi="Verdana"/>
          <w:sz w:val="20"/>
          <w:lang w:val="pt-BR"/>
        </w:rPr>
        <w:t>da</w:t>
      </w:r>
      <w:r w:rsidRPr="002F50BD">
        <w:rPr>
          <w:rFonts w:ascii="Verdana" w:hAnsi="Verdana"/>
          <w:sz w:val="20"/>
          <w:lang w:val="pt-BR"/>
        </w:rPr>
        <w:t xml:space="preserve"> data</w:t>
      </w:r>
      <w:r w:rsidR="004756C1" w:rsidRPr="002F50BD">
        <w:rPr>
          <w:rFonts w:ascii="Verdana" w:hAnsi="Verdana"/>
          <w:sz w:val="20"/>
          <w:lang w:val="pt-BR"/>
        </w:rPr>
        <w:t xml:space="preserve"> de </w:t>
      </w:r>
      <w:r w:rsidRPr="002F50BD">
        <w:rPr>
          <w:rFonts w:ascii="Verdana" w:hAnsi="Verdana"/>
          <w:sz w:val="20"/>
          <w:lang w:val="pt-BR"/>
        </w:rPr>
        <w:t xml:space="preserve">início do </w:t>
      </w:r>
      <w:r w:rsidR="004756C1" w:rsidRPr="002F50BD">
        <w:rPr>
          <w:rFonts w:ascii="Verdana" w:hAnsi="Verdana"/>
          <w:sz w:val="20"/>
          <w:lang w:val="pt-BR"/>
        </w:rPr>
        <w:t xml:space="preserve">citado </w:t>
      </w:r>
      <w:r w:rsidRPr="002F50BD">
        <w:rPr>
          <w:rFonts w:ascii="Verdana" w:hAnsi="Verdana"/>
          <w:sz w:val="20"/>
          <w:lang w:val="pt-BR"/>
        </w:rPr>
        <w:t>procedimento</w:t>
      </w:r>
      <w:r w:rsidR="004756C1" w:rsidRPr="002F50BD">
        <w:rPr>
          <w:rFonts w:ascii="Verdana" w:hAnsi="Verdana"/>
          <w:sz w:val="20"/>
          <w:lang w:val="pt-BR"/>
        </w:rPr>
        <w:t xml:space="preserve"> de reivindica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 Por</w:t>
      </w:r>
      <w:r w:rsidRPr="002F50BD">
        <w:rPr>
          <w:rFonts w:ascii="Verdana" w:hAnsi="Verdana"/>
          <w:sz w:val="20"/>
          <w:lang w:val="pt-BR"/>
        </w:rPr>
        <w:t xml:space="preserve"> um </w:t>
      </w:r>
      <w:r w:rsidR="004756C1" w:rsidRPr="002F50BD">
        <w:rPr>
          <w:rFonts w:ascii="Verdana" w:hAnsi="Verdana"/>
          <w:sz w:val="20"/>
          <w:lang w:val="pt-BR"/>
        </w:rPr>
        <w:t>lado,</w:t>
      </w:r>
      <w:r w:rsidRPr="002F50BD">
        <w:rPr>
          <w:rFonts w:ascii="Verdana" w:hAnsi="Verdana"/>
          <w:sz w:val="20"/>
          <w:lang w:val="pt-BR"/>
        </w:rPr>
        <w:t xml:space="preserve"> a Comissão</w:t>
      </w:r>
      <w:r w:rsidR="004756C1" w:rsidRPr="002F50BD">
        <w:rPr>
          <w:rFonts w:ascii="Verdana" w:hAnsi="Verdana"/>
          <w:sz w:val="20"/>
          <w:lang w:val="pt-BR"/>
        </w:rPr>
        <w:t xml:space="preserve"> Interamericana</w:t>
      </w:r>
      <w:r w:rsidRPr="002F50BD">
        <w:rPr>
          <w:rFonts w:ascii="Verdana" w:hAnsi="Verdana"/>
          <w:sz w:val="20"/>
          <w:lang w:val="pt-BR"/>
        </w:rPr>
        <w:t xml:space="preserve"> 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AB454A" w:rsidRPr="002F50BD">
        <w:rPr>
          <w:rFonts w:ascii="Verdana" w:hAnsi="Verdana"/>
          <w:sz w:val="20"/>
          <w:lang w:val="pt-BR"/>
        </w:rPr>
        <w:t>sustentam</w:t>
      </w:r>
      <w:r w:rsidR="004756C1" w:rsidRPr="002F50BD">
        <w:rPr>
          <w:rFonts w:ascii="Verdana" w:hAnsi="Verdana"/>
          <w:sz w:val="20"/>
          <w:lang w:val="pt-BR"/>
        </w:rPr>
        <w:t xml:space="preserve"> que</w:t>
      </w:r>
      <w:r w:rsidRPr="002F50BD">
        <w:rPr>
          <w:rFonts w:ascii="Verdana" w:hAnsi="Verdana"/>
          <w:sz w:val="20"/>
          <w:lang w:val="pt-BR"/>
        </w:rPr>
        <w:t xml:space="preserve"> o procedimento</w:t>
      </w:r>
      <w:r w:rsidR="004756C1" w:rsidRPr="002F50BD">
        <w:rPr>
          <w:rFonts w:ascii="Verdana" w:hAnsi="Verdana"/>
          <w:sz w:val="20"/>
          <w:lang w:val="pt-BR"/>
        </w:rPr>
        <w:t xml:space="preserve"> </w:t>
      </w:r>
      <w:r w:rsidR="009B11AD" w:rsidRPr="002F50BD">
        <w:rPr>
          <w:rFonts w:ascii="Verdana" w:hAnsi="Verdana"/>
          <w:sz w:val="20"/>
          <w:lang w:val="pt-BR"/>
        </w:rPr>
        <w:t xml:space="preserve">teve início </w:t>
      </w:r>
      <w:r w:rsidRPr="002F50BD">
        <w:rPr>
          <w:rFonts w:ascii="Verdana" w:hAnsi="Verdana"/>
          <w:sz w:val="20"/>
          <w:lang w:val="pt-BR"/>
        </w:rPr>
        <w:t xml:space="preserve">em </w:t>
      </w:r>
      <w:r w:rsidR="00063B47" w:rsidRPr="002F50BD">
        <w:rPr>
          <w:rFonts w:ascii="Verdana" w:hAnsi="Verdana"/>
          <w:sz w:val="20"/>
          <w:lang w:val="pt-BR"/>
        </w:rPr>
        <w:t>5</w:t>
      </w:r>
      <w:r w:rsidR="004756C1" w:rsidRPr="002F50BD">
        <w:rPr>
          <w:rFonts w:ascii="Verdana" w:hAnsi="Verdana"/>
          <w:sz w:val="20"/>
          <w:lang w:val="pt-BR"/>
        </w:rPr>
        <w:t xml:space="preserve"> de </w:t>
      </w:r>
      <w:r w:rsidRPr="002F50BD">
        <w:rPr>
          <w:rFonts w:ascii="Verdana" w:hAnsi="Verdana"/>
          <w:sz w:val="20"/>
          <w:lang w:val="pt-BR"/>
        </w:rPr>
        <w:t>outubro</w:t>
      </w:r>
      <w:r w:rsidR="004756C1" w:rsidRPr="002F50BD">
        <w:rPr>
          <w:rFonts w:ascii="Verdana" w:hAnsi="Verdana"/>
          <w:sz w:val="20"/>
          <w:lang w:val="pt-BR"/>
        </w:rPr>
        <w:t xml:space="preserve"> de </w:t>
      </w:r>
      <w:r w:rsidR="00063B47" w:rsidRPr="002F50BD">
        <w:rPr>
          <w:rFonts w:ascii="Verdana" w:hAnsi="Verdana"/>
          <w:sz w:val="20"/>
          <w:lang w:val="pt-BR"/>
        </w:rPr>
        <w:t>1993</w:t>
      </w:r>
      <w:r w:rsidR="004756C1" w:rsidRPr="002F50BD">
        <w:rPr>
          <w:rFonts w:ascii="Verdana" w:hAnsi="Verdana"/>
          <w:sz w:val="20"/>
          <w:lang w:val="pt-BR"/>
        </w:rPr>
        <w:t>,</w:t>
      </w:r>
      <w:r w:rsidRPr="002F50BD">
        <w:rPr>
          <w:rFonts w:ascii="Verdana" w:hAnsi="Verdana"/>
          <w:sz w:val="20"/>
          <w:lang w:val="pt-BR"/>
        </w:rPr>
        <w:t xml:space="preserve"> com a </w:t>
      </w:r>
      <w:r w:rsidR="004756C1" w:rsidRPr="002F50BD">
        <w:rPr>
          <w:rFonts w:ascii="Verdana" w:hAnsi="Verdana"/>
          <w:sz w:val="20"/>
          <w:lang w:val="pt-BR"/>
        </w:rPr>
        <w:t>comunica</w:t>
      </w:r>
      <w:r w:rsidRPr="002F50BD">
        <w:rPr>
          <w:rFonts w:ascii="Verdana" w:hAnsi="Verdana"/>
          <w:sz w:val="20"/>
          <w:lang w:val="pt-BR"/>
        </w:rPr>
        <w:t>ção</w:t>
      </w:r>
      <w:r w:rsidR="004756C1" w:rsidRPr="002F50BD">
        <w:rPr>
          <w:rFonts w:ascii="Verdana" w:hAnsi="Verdana"/>
          <w:sz w:val="20"/>
          <w:lang w:val="pt-BR"/>
        </w:rPr>
        <w:t xml:space="preserve"> dirigida</w:t>
      </w:r>
      <w:r w:rsidRPr="002F50BD">
        <w:rPr>
          <w:rFonts w:ascii="Verdana" w:hAnsi="Verdana"/>
          <w:sz w:val="20"/>
          <w:lang w:val="pt-BR"/>
        </w:rPr>
        <w:t xml:space="preserve"> pelo senhor </w:t>
      </w:r>
      <w:r w:rsidR="00CD7100" w:rsidRPr="002F50BD">
        <w:rPr>
          <w:rFonts w:ascii="Verdana" w:hAnsi="Verdana"/>
          <w:sz w:val="20"/>
          <w:lang w:val="pt-BR"/>
        </w:rPr>
        <w:t>Tomás Galeano</w:t>
      </w:r>
      <w:r w:rsidR="004756C1" w:rsidRPr="002F50BD">
        <w:rPr>
          <w:rFonts w:ascii="Verdana" w:hAnsi="Verdana"/>
          <w:sz w:val="20"/>
          <w:lang w:val="pt-BR"/>
        </w:rPr>
        <w:t>, líder</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 xml:space="preserve">ao </w:t>
      </w:r>
      <w:r w:rsidR="004756C1" w:rsidRPr="002F50BD">
        <w:rPr>
          <w:rFonts w:ascii="Verdana" w:hAnsi="Verdana"/>
          <w:sz w:val="20"/>
          <w:lang w:val="pt-BR"/>
        </w:rPr>
        <w:t>IBR, mediante</w:t>
      </w:r>
      <w:r w:rsidRPr="002F50BD">
        <w:rPr>
          <w:rFonts w:ascii="Verdana" w:hAnsi="Verdana"/>
          <w:sz w:val="20"/>
          <w:lang w:val="pt-BR"/>
        </w:rPr>
        <w:t xml:space="preserve"> a qual informou</w:t>
      </w:r>
      <w:r w:rsidR="004756C1" w:rsidRPr="002F50BD">
        <w:rPr>
          <w:rFonts w:ascii="Verdana" w:hAnsi="Verdana"/>
          <w:sz w:val="20"/>
          <w:lang w:val="pt-BR"/>
        </w:rPr>
        <w:t xml:space="preserve"> sobre</w:t>
      </w:r>
      <w:r w:rsidRPr="002F50BD">
        <w:rPr>
          <w:rFonts w:ascii="Verdana" w:hAnsi="Verdana"/>
          <w:sz w:val="20"/>
          <w:lang w:val="pt-BR"/>
        </w:rPr>
        <w:t xml:space="preserve"> o interesse da Comunidade </w:t>
      </w:r>
      <w:r w:rsidR="004756C1" w:rsidRPr="002F50BD">
        <w:rPr>
          <w:rFonts w:ascii="Verdana" w:hAnsi="Verdana"/>
          <w:sz w:val="20"/>
          <w:lang w:val="pt-BR"/>
        </w:rPr>
        <w:t xml:space="preserve">indígena Yakye Axa </w:t>
      </w:r>
      <w:r w:rsidR="00904A14" w:rsidRPr="002F50BD">
        <w:rPr>
          <w:rFonts w:ascii="Verdana" w:hAnsi="Verdana"/>
          <w:sz w:val="20"/>
          <w:lang w:val="pt-BR"/>
        </w:rPr>
        <w:t xml:space="preserve">em </w:t>
      </w:r>
      <w:r w:rsidR="00E10DBB" w:rsidRPr="002F50BD">
        <w:rPr>
          <w:rFonts w:ascii="Verdana" w:hAnsi="Verdana"/>
          <w:sz w:val="20"/>
          <w:lang w:val="pt-BR"/>
        </w:rPr>
        <w:t>regressar</w:t>
      </w:r>
      <w:r w:rsidR="004756C1" w:rsidRPr="002F50BD">
        <w:rPr>
          <w:rFonts w:ascii="Verdana" w:hAnsi="Verdana"/>
          <w:sz w:val="20"/>
          <w:lang w:val="pt-BR"/>
        </w:rPr>
        <w:t xml:space="preserve"> a </w:t>
      </w:r>
      <w:r w:rsidR="00AB454A" w:rsidRPr="002F50BD">
        <w:rPr>
          <w:rFonts w:ascii="Verdana" w:hAnsi="Verdana"/>
          <w:sz w:val="20"/>
          <w:lang w:val="pt-BR"/>
        </w:rPr>
        <w:t>seu território</w:t>
      </w:r>
      <w:r w:rsidR="004756C1" w:rsidRPr="002F50BD">
        <w:rPr>
          <w:rFonts w:ascii="Verdana" w:hAnsi="Verdana"/>
          <w:sz w:val="20"/>
          <w:lang w:val="pt-BR"/>
        </w:rPr>
        <w:t xml:space="preserve"> tradicional</w:t>
      </w:r>
      <w:r w:rsidRPr="002F50BD">
        <w:rPr>
          <w:rFonts w:ascii="Verdana" w:hAnsi="Verdana"/>
          <w:sz w:val="20"/>
          <w:lang w:val="pt-BR"/>
        </w:rPr>
        <w:t xml:space="preserve"> e solicitou a </w:t>
      </w:r>
      <w:r w:rsidR="004756C1" w:rsidRPr="002F50BD">
        <w:rPr>
          <w:rFonts w:ascii="Verdana" w:hAnsi="Verdana"/>
          <w:sz w:val="20"/>
          <w:lang w:val="pt-BR"/>
        </w:rPr>
        <w:t>“legaliza</w:t>
      </w:r>
      <w:r w:rsidRPr="002F50BD">
        <w:rPr>
          <w:rFonts w:ascii="Verdana" w:hAnsi="Verdana"/>
          <w:sz w:val="20"/>
          <w:lang w:val="pt-BR"/>
        </w:rPr>
        <w:t>ção</w:t>
      </w:r>
      <w:r w:rsidR="004756C1" w:rsidRPr="002F50BD">
        <w:rPr>
          <w:rFonts w:ascii="Verdana" w:hAnsi="Verdana"/>
          <w:sz w:val="20"/>
          <w:lang w:val="pt-BR"/>
        </w:rPr>
        <w:t>” de</w:t>
      </w:r>
      <w:r w:rsidRPr="002F50BD">
        <w:rPr>
          <w:rFonts w:ascii="Verdana" w:hAnsi="Verdana"/>
          <w:sz w:val="20"/>
          <w:lang w:val="pt-BR"/>
        </w:rPr>
        <w:t xml:space="preserve"> um </w:t>
      </w:r>
      <w:r w:rsidR="004756C1" w:rsidRPr="002F50BD">
        <w:rPr>
          <w:rFonts w:ascii="Verdana" w:hAnsi="Verdana"/>
          <w:sz w:val="20"/>
          <w:lang w:val="pt-BR"/>
        </w:rPr>
        <w:t xml:space="preserve">mínimo de </w:t>
      </w:r>
      <w:r w:rsidR="00063B47" w:rsidRPr="002F50BD">
        <w:rPr>
          <w:rFonts w:ascii="Verdana" w:hAnsi="Verdana"/>
          <w:sz w:val="20"/>
          <w:lang w:val="pt-BR"/>
        </w:rPr>
        <w:t>15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Por</w:t>
      </w:r>
      <w:r w:rsidRPr="002F50BD">
        <w:rPr>
          <w:rFonts w:ascii="Verdana" w:hAnsi="Verdana"/>
          <w:sz w:val="20"/>
          <w:lang w:val="pt-BR"/>
        </w:rPr>
        <w:t xml:space="preserve"> outro </w:t>
      </w:r>
      <w:r w:rsidR="004756C1" w:rsidRPr="002F50BD">
        <w:rPr>
          <w:rFonts w:ascii="Verdana" w:hAnsi="Verdana"/>
          <w:sz w:val="20"/>
          <w:lang w:val="pt-BR"/>
        </w:rPr>
        <w:t>lado,</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sustenta</w:t>
      </w:r>
      <w:r w:rsidR="004756C1" w:rsidRPr="002F50BD">
        <w:rPr>
          <w:rFonts w:ascii="Verdana" w:hAnsi="Verdana"/>
          <w:sz w:val="20"/>
          <w:lang w:val="pt-BR"/>
        </w:rPr>
        <w:t xml:space="preserve"> que</w:t>
      </w:r>
      <w:r w:rsidRPr="002F50BD">
        <w:rPr>
          <w:rFonts w:ascii="Verdana" w:hAnsi="Verdana"/>
          <w:sz w:val="20"/>
          <w:lang w:val="pt-BR"/>
        </w:rPr>
        <w:t xml:space="preserve"> as gestões</w:t>
      </w:r>
      <w:r w:rsidR="004756C1" w:rsidRPr="002F50BD">
        <w:rPr>
          <w:rFonts w:ascii="Verdana" w:hAnsi="Verdana"/>
          <w:sz w:val="20"/>
          <w:lang w:val="pt-BR"/>
        </w:rPr>
        <w:t xml:space="preserve"> que </w:t>
      </w:r>
      <w:r w:rsidRPr="002F50BD">
        <w:rPr>
          <w:rFonts w:ascii="Verdana" w:hAnsi="Verdana"/>
          <w:sz w:val="20"/>
          <w:lang w:val="pt-BR"/>
        </w:rPr>
        <w:t>devem</w:t>
      </w:r>
      <w:r w:rsidR="004756C1" w:rsidRPr="002F50BD">
        <w:rPr>
          <w:rFonts w:ascii="Verdana" w:hAnsi="Verdana"/>
          <w:sz w:val="20"/>
          <w:lang w:val="pt-BR"/>
        </w:rPr>
        <w:t xml:space="preserve"> considerar</w:t>
      </w:r>
      <w:r w:rsidR="009B11AD" w:rsidRPr="002F50BD">
        <w:rPr>
          <w:rFonts w:ascii="Verdana" w:hAnsi="Verdana"/>
          <w:sz w:val="20"/>
          <w:lang w:val="pt-BR"/>
        </w:rPr>
        <w:t>-</w:t>
      </w:r>
      <w:r w:rsidR="004756C1" w:rsidRPr="002F50BD">
        <w:rPr>
          <w:rFonts w:ascii="Verdana" w:hAnsi="Verdana"/>
          <w:sz w:val="20"/>
          <w:lang w:val="pt-BR"/>
        </w:rPr>
        <w:t xml:space="preserve">se como válidas para </w:t>
      </w:r>
      <w:r w:rsidR="009B11AD" w:rsidRPr="002F50BD">
        <w:rPr>
          <w:rFonts w:ascii="Verdana" w:hAnsi="Verdana"/>
          <w:sz w:val="20"/>
          <w:lang w:val="pt-BR"/>
        </w:rPr>
        <w:t xml:space="preserve">ter acesso </w:t>
      </w:r>
      <w:r w:rsidRPr="002F50BD">
        <w:rPr>
          <w:rFonts w:ascii="Verdana" w:hAnsi="Verdana"/>
          <w:sz w:val="20"/>
          <w:lang w:val="pt-BR"/>
        </w:rPr>
        <w:t>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Pr="002F50BD">
        <w:rPr>
          <w:rFonts w:ascii="Verdana" w:hAnsi="Verdana"/>
          <w:sz w:val="20"/>
          <w:lang w:val="pt-BR"/>
        </w:rPr>
        <w:t xml:space="preserve"> da terra são aquelas</w:t>
      </w:r>
      <w:r w:rsidR="004756C1" w:rsidRPr="002F50BD">
        <w:rPr>
          <w:rFonts w:ascii="Verdana" w:hAnsi="Verdana"/>
          <w:sz w:val="20"/>
          <w:lang w:val="pt-BR"/>
        </w:rPr>
        <w:t xml:space="preserve"> posteriores</w:t>
      </w:r>
      <w:r w:rsidRPr="002F50BD">
        <w:rPr>
          <w:rFonts w:ascii="Verdana" w:hAnsi="Verdana"/>
          <w:sz w:val="20"/>
          <w:lang w:val="pt-BR"/>
        </w:rPr>
        <w:t xml:space="preserve"> a </w:t>
      </w:r>
      <w:r w:rsidR="00063B47" w:rsidRPr="002F50BD">
        <w:rPr>
          <w:rFonts w:ascii="Verdana" w:hAnsi="Verdana"/>
          <w:sz w:val="20"/>
          <w:lang w:val="pt-BR"/>
        </w:rPr>
        <w:t>10</w:t>
      </w:r>
      <w:r w:rsidR="004756C1" w:rsidRPr="002F50BD">
        <w:rPr>
          <w:rFonts w:ascii="Verdana" w:hAnsi="Verdana"/>
          <w:sz w:val="20"/>
          <w:lang w:val="pt-BR"/>
        </w:rPr>
        <w:t xml:space="preserve"> de </w:t>
      </w:r>
      <w:r w:rsidRPr="002F50BD">
        <w:rPr>
          <w:rFonts w:ascii="Verdana" w:hAnsi="Verdana"/>
          <w:sz w:val="20"/>
          <w:lang w:val="pt-BR"/>
        </w:rPr>
        <w:t>dezembro</w:t>
      </w:r>
      <w:r w:rsidR="004756C1" w:rsidRPr="002F50BD">
        <w:rPr>
          <w:rFonts w:ascii="Verdana" w:hAnsi="Verdana"/>
          <w:sz w:val="20"/>
          <w:lang w:val="pt-BR"/>
        </w:rPr>
        <w:t xml:space="preserve"> de </w:t>
      </w:r>
      <w:r w:rsidR="00063B47" w:rsidRPr="002F50BD">
        <w:rPr>
          <w:rFonts w:ascii="Verdana" w:hAnsi="Verdana"/>
          <w:sz w:val="20"/>
          <w:lang w:val="pt-BR"/>
        </w:rPr>
        <w:t>2001</w:t>
      </w:r>
      <w:r w:rsidR="004756C1" w:rsidRPr="002F50BD">
        <w:rPr>
          <w:rFonts w:ascii="Verdana" w:hAnsi="Verdana"/>
          <w:sz w:val="20"/>
          <w:lang w:val="pt-BR"/>
        </w:rPr>
        <w:t xml:space="preserve">, </w:t>
      </w:r>
      <w:r w:rsidRPr="002F50BD">
        <w:rPr>
          <w:rFonts w:ascii="Verdana" w:hAnsi="Verdana"/>
          <w:sz w:val="20"/>
          <w:lang w:val="pt-BR"/>
        </w:rPr>
        <w:t xml:space="preserve">data na qual a Comunidade </w:t>
      </w:r>
      <w:r w:rsidR="004756C1" w:rsidRPr="002F50BD">
        <w:rPr>
          <w:rFonts w:ascii="Verdana" w:hAnsi="Verdana"/>
          <w:sz w:val="20"/>
          <w:lang w:val="pt-BR"/>
        </w:rPr>
        <w:t xml:space="preserve">Yakye Axa </w:t>
      </w:r>
      <w:r w:rsidRPr="002F50BD">
        <w:rPr>
          <w:rFonts w:ascii="Verdana" w:hAnsi="Verdana"/>
          <w:sz w:val="20"/>
          <w:lang w:val="pt-BR"/>
        </w:rPr>
        <w:t xml:space="preserve">recebeu o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de </w:t>
      </w:r>
      <w:r w:rsidR="009B11AD" w:rsidRPr="002F50BD">
        <w:rPr>
          <w:rFonts w:ascii="Verdana" w:hAnsi="Verdana"/>
          <w:sz w:val="20"/>
          <w:lang w:val="pt-BR"/>
        </w:rPr>
        <w:t>sua personalidade</w:t>
      </w:r>
      <w:r w:rsidR="004756C1" w:rsidRPr="002F50BD">
        <w:rPr>
          <w:rFonts w:ascii="Verdana" w:hAnsi="Verdana"/>
          <w:sz w:val="20"/>
          <w:lang w:val="pt-BR"/>
        </w:rPr>
        <w:t xml:space="preserve"> jurídica. </w:t>
      </w:r>
    </w:p>
    <w:p w:rsidR="001C609B" w:rsidRPr="002F50BD" w:rsidRDefault="001C609B" w:rsidP="001C609B">
      <w:pPr>
        <w:jc w:val="both"/>
        <w:rPr>
          <w:rFonts w:ascii="Verdana" w:eastAsia="Times New Roman" w:hAnsi="Verdana"/>
          <w:sz w:val="20"/>
          <w:lang w:val="pt-BR"/>
        </w:rPr>
      </w:pPr>
    </w:p>
    <w:p w:rsidR="004756C1" w:rsidRPr="002F50BD" w:rsidRDefault="0089298C">
      <w:pPr>
        <w:numPr>
          <w:ilvl w:val="0"/>
          <w:numId w:val="28"/>
        </w:numPr>
        <w:jc w:val="both"/>
        <w:rPr>
          <w:rFonts w:ascii="Verdana" w:eastAsia="Times New Roman"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62</w:t>
      </w:r>
      <w:r w:rsidRPr="002F50BD">
        <w:rPr>
          <w:rFonts w:ascii="Verdana" w:hAnsi="Verdana"/>
          <w:sz w:val="20"/>
          <w:lang w:val="pt-BR"/>
        </w:rPr>
        <w:t xml:space="preserve"> da Constituição</w:t>
      </w:r>
      <w:r w:rsidR="004756C1" w:rsidRPr="002F50BD">
        <w:rPr>
          <w:rFonts w:ascii="Verdana" w:hAnsi="Verdana"/>
          <w:sz w:val="20"/>
          <w:lang w:val="pt-BR"/>
        </w:rPr>
        <w:t xml:space="preserve"> Política </w:t>
      </w:r>
      <w:r w:rsidRPr="002F50BD">
        <w:rPr>
          <w:rFonts w:ascii="Verdana" w:hAnsi="Verdana"/>
          <w:sz w:val="20"/>
          <w:lang w:val="pt-BR"/>
        </w:rPr>
        <w:t>do Paraguai</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r w:rsidR="006603BE" w:rsidRPr="002F50BD">
        <w:rPr>
          <w:rFonts w:ascii="Verdana" w:hAnsi="Verdana"/>
          <w:sz w:val="20"/>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450"/>
        <w:jc w:val="both"/>
        <w:rPr>
          <w:rFonts w:ascii="Verdana"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jc w:val="both"/>
        <w:rPr>
          <w:rFonts w:ascii="Verdana" w:hAnsi="Verdana"/>
          <w:sz w:val="16"/>
          <w:szCs w:val="32"/>
          <w:lang w:val="pt-BR"/>
        </w:rPr>
      </w:pPr>
      <w:r w:rsidRPr="002F50BD">
        <w:rPr>
          <w:rFonts w:ascii="Verdana" w:hAnsi="Verdana"/>
          <w:sz w:val="16"/>
          <w:szCs w:val="32"/>
          <w:lang w:val="pt-BR"/>
        </w:rPr>
        <w:t xml:space="preserve">[e]sta </w:t>
      </w:r>
      <w:r w:rsidR="0089298C" w:rsidRPr="002F50BD">
        <w:rPr>
          <w:rFonts w:ascii="Verdana" w:hAnsi="Verdana"/>
          <w:sz w:val="16"/>
          <w:szCs w:val="32"/>
          <w:lang w:val="pt-BR"/>
        </w:rPr>
        <w:t>Constituição</w:t>
      </w:r>
      <w:r w:rsidRPr="002F50BD">
        <w:rPr>
          <w:rFonts w:ascii="Verdana" w:hAnsi="Verdana"/>
          <w:sz w:val="16"/>
          <w:szCs w:val="32"/>
          <w:lang w:val="pt-BR"/>
        </w:rPr>
        <w:t xml:space="preserve"> re</w:t>
      </w:r>
      <w:r w:rsidR="0089298C" w:rsidRPr="002F50BD">
        <w:rPr>
          <w:rFonts w:ascii="Verdana" w:hAnsi="Verdana"/>
          <w:sz w:val="16"/>
          <w:szCs w:val="32"/>
          <w:lang w:val="pt-BR"/>
        </w:rPr>
        <w:t>conhece a existência dos povo</w:t>
      </w:r>
      <w:r w:rsidRPr="002F50BD">
        <w:rPr>
          <w:rFonts w:ascii="Verdana" w:hAnsi="Verdana"/>
          <w:sz w:val="16"/>
          <w:szCs w:val="32"/>
          <w:lang w:val="pt-BR"/>
        </w:rPr>
        <w:t>s indígenas, definidos como grupos de cultura anteriores</w:t>
      </w:r>
      <w:r w:rsidR="0089298C" w:rsidRPr="002F50BD">
        <w:rPr>
          <w:rFonts w:ascii="Verdana" w:hAnsi="Verdana"/>
          <w:sz w:val="16"/>
          <w:szCs w:val="32"/>
          <w:lang w:val="pt-BR"/>
        </w:rPr>
        <w:t xml:space="preserve"> à </w:t>
      </w:r>
      <w:r w:rsidRPr="002F50BD">
        <w:rPr>
          <w:rFonts w:ascii="Verdana" w:hAnsi="Verdana"/>
          <w:sz w:val="16"/>
          <w:szCs w:val="32"/>
          <w:lang w:val="pt-BR"/>
        </w:rPr>
        <w:t>forma</w:t>
      </w:r>
      <w:r w:rsidR="0089298C" w:rsidRPr="002F50BD">
        <w:rPr>
          <w:rFonts w:ascii="Verdana" w:hAnsi="Verdana"/>
          <w:sz w:val="16"/>
          <w:szCs w:val="32"/>
          <w:lang w:val="pt-BR"/>
        </w:rPr>
        <w:t xml:space="preserve">ção e </w:t>
      </w:r>
      <w:r w:rsidRPr="002F50BD">
        <w:rPr>
          <w:rFonts w:ascii="Verdana" w:hAnsi="Verdana"/>
          <w:sz w:val="16"/>
          <w:szCs w:val="32"/>
          <w:lang w:val="pt-BR"/>
        </w:rPr>
        <w:t>organiza</w:t>
      </w:r>
      <w:r w:rsidR="0089298C" w:rsidRPr="002F50BD">
        <w:rPr>
          <w:rFonts w:ascii="Verdana" w:hAnsi="Verdana"/>
          <w:sz w:val="16"/>
          <w:szCs w:val="32"/>
          <w:lang w:val="pt-BR"/>
        </w:rPr>
        <w:t>ção</w:t>
      </w:r>
      <w:r w:rsidRPr="002F50BD">
        <w:rPr>
          <w:rFonts w:ascii="Verdana" w:hAnsi="Verdana"/>
          <w:sz w:val="16"/>
          <w:szCs w:val="32"/>
          <w:lang w:val="pt-BR"/>
        </w:rPr>
        <w:t xml:space="preserve"> </w:t>
      </w:r>
      <w:r w:rsidR="0089298C" w:rsidRPr="002F50BD">
        <w:rPr>
          <w:rFonts w:ascii="Verdana" w:hAnsi="Verdana"/>
          <w:sz w:val="16"/>
          <w:szCs w:val="32"/>
          <w:lang w:val="pt-BR"/>
        </w:rPr>
        <w:t xml:space="preserve">do </w:t>
      </w:r>
      <w:r w:rsidRPr="002F50BD">
        <w:rPr>
          <w:rFonts w:ascii="Verdana" w:hAnsi="Verdana"/>
          <w:sz w:val="16"/>
          <w:szCs w:val="32"/>
          <w:lang w:val="pt-BR"/>
        </w:rPr>
        <w:t xml:space="preserve">Estado </w:t>
      </w:r>
      <w:r w:rsidR="009B11AD" w:rsidRPr="002F50BD">
        <w:rPr>
          <w:rFonts w:ascii="Verdana" w:hAnsi="Verdana"/>
          <w:sz w:val="16"/>
          <w:szCs w:val="32"/>
          <w:lang w:val="pt-BR"/>
        </w:rPr>
        <w:t>p</w:t>
      </w:r>
      <w:r w:rsidR="0089298C" w:rsidRPr="002F50BD">
        <w:rPr>
          <w:rFonts w:ascii="Verdana" w:hAnsi="Verdana"/>
          <w:sz w:val="16"/>
          <w:szCs w:val="32"/>
          <w:lang w:val="pt-BR"/>
        </w:rPr>
        <w:t>araguai</w:t>
      </w:r>
      <w:r w:rsidRPr="002F50BD">
        <w:rPr>
          <w:rFonts w:ascii="Verdana" w:hAnsi="Verdana"/>
          <w:sz w:val="16"/>
          <w:szCs w:val="32"/>
          <w:lang w:val="pt-BR"/>
        </w:rPr>
        <w:t>o.</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szCs w:val="32"/>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as </w:t>
      </w:r>
      <w:r w:rsidR="004756C1" w:rsidRPr="002F50BD">
        <w:rPr>
          <w:rFonts w:ascii="Verdana" w:hAnsi="Verdana"/>
          <w:sz w:val="20"/>
          <w:lang w:val="pt-BR"/>
        </w:rPr>
        <w:t>normas pertinentes</w:t>
      </w:r>
      <w:r w:rsidR="0089298C" w:rsidRPr="002F50BD">
        <w:rPr>
          <w:rFonts w:ascii="Verdana" w:hAnsi="Verdana"/>
          <w:sz w:val="20"/>
          <w:lang w:val="pt-BR"/>
        </w:rPr>
        <w:t xml:space="preserve"> da </w:t>
      </w:r>
      <w:r w:rsidR="0089298C" w:rsidRPr="002F50BD">
        <w:rPr>
          <w:rFonts w:ascii="Verdana" w:eastAsia="Times New Roman" w:hAnsi="Verdana"/>
          <w:sz w:val="20"/>
          <w:lang w:val="pt-BR"/>
        </w:rPr>
        <w:t>Lei</w:t>
      </w:r>
      <w:r w:rsidR="00FC6B22" w:rsidRPr="002F50BD">
        <w:rPr>
          <w:rFonts w:ascii="Verdana" w:eastAsia="Times New Roman" w:hAnsi="Verdana"/>
          <w:sz w:val="20"/>
          <w:lang w:val="pt-BR"/>
        </w:rPr>
        <w:t xml:space="preserve"> </w:t>
      </w:r>
      <w:r w:rsidR="00063B47" w:rsidRPr="002F50BD">
        <w:rPr>
          <w:rFonts w:ascii="Verdana" w:eastAsia="Times New Roman" w:hAnsi="Verdana"/>
          <w:sz w:val="20"/>
          <w:lang w:val="pt-BR"/>
        </w:rPr>
        <w:t>nº</w:t>
      </w:r>
      <w:r w:rsidR="00FC6B22" w:rsidRPr="002F50BD">
        <w:rPr>
          <w:rFonts w:ascii="Verdana" w:eastAsia="Times New Roman" w:hAnsi="Verdana"/>
          <w:sz w:val="20"/>
          <w:lang w:val="pt-BR"/>
        </w:rPr>
        <w:t xml:space="preserve"> </w:t>
      </w:r>
      <w:r w:rsidR="00063B47" w:rsidRPr="002F50BD">
        <w:rPr>
          <w:rFonts w:ascii="Verdana" w:eastAsia="Times New Roman" w:hAnsi="Verdana"/>
          <w:sz w:val="20"/>
          <w:lang w:val="pt-BR"/>
        </w:rPr>
        <w:t>904</w:t>
      </w:r>
      <w:r w:rsidR="004756C1" w:rsidRPr="002F50BD">
        <w:rPr>
          <w:rFonts w:ascii="Verdana" w:eastAsia="Times New Roman" w:hAnsi="Verdana"/>
          <w:sz w:val="20"/>
          <w:lang w:val="pt-BR"/>
        </w:rPr>
        <w:t>/</w:t>
      </w:r>
      <w:r w:rsidR="00063B47" w:rsidRPr="002F50BD">
        <w:rPr>
          <w:rFonts w:ascii="Verdana" w:eastAsia="Times New Roman" w:hAnsi="Verdana"/>
          <w:sz w:val="20"/>
          <w:lang w:val="pt-BR"/>
        </w:rPr>
        <w:t>81</w:t>
      </w:r>
      <w:r w:rsidR="004756C1" w:rsidRPr="002F50BD">
        <w:rPr>
          <w:rFonts w:ascii="Verdana" w:eastAsia="Times New Roman" w:hAnsi="Verdana"/>
          <w:sz w:val="20"/>
          <w:lang w:val="pt-BR"/>
        </w:rPr>
        <w:t xml:space="preserve"> </w:t>
      </w:r>
      <w:r w:rsidR="0089298C" w:rsidRPr="002F50BD">
        <w:rPr>
          <w:rFonts w:ascii="Verdana" w:eastAsia="Times New Roman" w:hAnsi="Verdana"/>
          <w:sz w:val="20"/>
          <w:lang w:val="pt-BR"/>
        </w:rPr>
        <w:t xml:space="preserve">afirmam </w:t>
      </w:r>
      <w:r w:rsidR="004756C1" w:rsidRPr="002F50BD">
        <w:rPr>
          <w:rFonts w:ascii="Verdana" w:eastAsia="Times New Roman" w:hAnsi="Verdana"/>
          <w:sz w:val="20"/>
          <w:lang w:val="pt-BR"/>
        </w:rPr>
        <w:t>que:</w:t>
      </w:r>
    </w:p>
    <w:p w:rsidR="004756C1" w:rsidRPr="002F50BD" w:rsidRDefault="004756C1">
      <w:pPr>
        <w:jc w:val="both"/>
        <w:rPr>
          <w:rFonts w:ascii="Verdana" w:hAnsi="Verdana"/>
          <w:sz w:val="20"/>
          <w:szCs w:val="32"/>
          <w:lang w:val="pt-BR"/>
        </w:rPr>
      </w:pPr>
    </w:p>
    <w:p w:rsidR="004756C1" w:rsidRPr="002F50BD" w:rsidRDefault="0089298C">
      <w:pPr>
        <w:ind w:left="810" w:right="720"/>
        <w:jc w:val="both"/>
        <w:rPr>
          <w:rFonts w:ascii="Verdana" w:hAnsi="Verdana"/>
          <w:sz w:val="16"/>
          <w:lang w:val="pt-BR"/>
        </w:rPr>
      </w:pPr>
      <w:r w:rsidRPr="002F50BD">
        <w:rPr>
          <w:rFonts w:ascii="Verdana" w:hAnsi="Verdana"/>
          <w:sz w:val="16"/>
          <w:lang w:val="pt-BR"/>
        </w:rPr>
        <w:t>Artigo</w:t>
      </w:r>
      <w:r w:rsidR="004756C1" w:rsidRPr="002F50BD">
        <w:rPr>
          <w:rFonts w:ascii="Verdana" w:hAnsi="Verdana"/>
          <w:sz w:val="16"/>
          <w:lang w:val="pt-BR"/>
        </w:rPr>
        <w:t xml:space="preserve"> </w:t>
      </w:r>
      <w:r w:rsidR="00063B47" w:rsidRPr="002F50BD">
        <w:rPr>
          <w:rFonts w:ascii="Verdana" w:hAnsi="Verdana"/>
          <w:sz w:val="16"/>
          <w:lang w:val="pt-BR"/>
        </w:rPr>
        <w:t>7</w:t>
      </w:r>
      <w:r w:rsidR="00D95E71" w:rsidRPr="002F50BD">
        <w:rPr>
          <w:rFonts w:ascii="Verdana" w:hAnsi="Verdana"/>
          <w:sz w:val="16"/>
          <w:lang w:val="pt-BR"/>
        </w:rPr>
        <w:t>.- O</w:t>
      </w:r>
      <w:r w:rsidRPr="002F50BD">
        <w:rPr>
          <w:rFonts w:ascii="Verdana" w:hAnsi="Verdana"/>
          <w:sz w:val="16"/>
          <w:lang w:val="pt-BR"/>
        </w:rPr>
        <w:t xml:space="preserve"> </w:t>
      </w:r>
      <w:r w:rsidR="004756C1" w:rsidRPr="002F50BD">
        <w:rPr>
          <w:rFonts w:ascii="Verdana" w:hAnsi="Verdana"/>
          <w:sz w:val="16"/>
          <w:lang w:val="pt-BR"/>
        </w:rPr>
        <w:t>Estado re</w:t>
      </w:r>
      <w:r w:rsidRPr="002F50BD">
        <w:rPr>
          <w:rFonts w:ascii="Verdana" w:hAnsi="Verdana"/>
          <w:sz w:val="16"/>
          <w:lang w:val="pt-BR"/>
        </w:rPr>
        <w:t>conhece a existência</w:t>
      </w:r>
      <w:r w:rsidR="004756C1" w:rsidRPr="002F50BD">
        <w:rPr>
          <w:rFonts w:ascii="Verdana" w:hAnsi="Verdana"/>
          <w:sz w:val="16"/>
          <w:lang w:val="pt-BR"/>
        </w:rPr>
        <w:t xml:space="preserve"> legal</w:t>
      </w:r>
      <w:r w:rsidRPr="002F50BD">
        <w:rPr>
          <w:rFonts w:ascii="Verdana" w:hAnsi="Verdana"/>
          <w:sz w:val="16"/>
          <w:lang w:val="pt-BR"/>
        </w:rPr>
        <w:t xml:space="preserve"> das </w:t>
      </w:r>
      <w:r w:rsidR="004756C1" w:rsidRPr="002F50BD">
        <w:rPr>
          <w:rFonts w:ascii="Verdana" w:hAnsi="Verdana"/>
          <w:sz w:val="16"/>
          <w:lang w:val="pt-BR"/>
        </w:rPr>
        <w:t>comunidades indígenas</w:t>
      </w:r>
      <w:r w:rsidRPr="002F50BD">
        <w:rPr>
          <w:rFonts w:ascii="Verdana" w:hAnsi="Verdana"/>
          <w:sz w:val="16"/>
          <w:lang w:val="pt-BR"/>
        </w:rPr>
        <w:t xml:space="preserve">, e lhes </w:t>
      </w:r>
      <w:r w:rsidR="009B11AD" w:rsidRPr="002F50BD">
        <w:rPr>
          <w:rFonts w:ascii="Verdana" w:hAnsi="Verdana"/>
          <w:sz w:val="16"/>
          <w:lang w:val="pt-BR"/>
        </w:rPr>
        <w:t xml:space="preserve">concederá </w:t>
      </w:r>
      <w:r w:rsidR="007801FA" w:rsidRPr="002F50BD">
        <w:rPr>
          <w:rFonts w:ascii="Verdana" w:hAnsi="Verdana"/>
          <w:sz w:val="16"/>
          <w:lang w:val="pt-BR"/>
        </w:rPr>
        <w:t>personalidade</w:t>
      </w:r>
      <w:r w:rsidR="004756C1" w:rsidRPr="002F50BD">
        <w:rPr>
          <w:rFonts w:ascii="Verdana" w:hAnsi="Verdana"/>
          <w:sz w:val="16"/>
          <w:lang w:val="pt-BR"/>
        </w:rPr>
        <w:t xml:space="preserve"> jurídica conforme</w:t>
      </w:r>
      <w:r w:rsidRPr="002F50BD">
        <w:rPr>
          <w:rFonts w:ascii="Verdana" w:hAnsi="Verdana"/>
          <w:sz w:val="16"/>
          <w:lang w:val="pt-BR"/>
        </w:rPr>
        <w:t xml:space="preserve"> </w:t>
      </w:r>
      <w:r w:rsidR="009B11AD" w:rsidRPr="002F50BD">
        <w:rPr>
          <w:rFonts w:ascii="Verdana" w:hAnsi="Verdana"/>
          <w:sz w:val="16"/>
          <w:lang w:val="pt-BR"/>
        </w:rPr>
        <w:t>a</w:t>
      </w:r>
      <w:r w:rsidRPr="002F50BD">
        <w:rPr>
          <w:rFonts w:ascii="Verdana" w:hAnsi="Verdana"/>
          <w:sz w:val="16"/>
          <w:lang w:val="pt-BR"/>
        </w:rPr>
        <w:t xml:space="preserve">s </w:t>
      </w:r>
      <w:r w:rsidR="004756C1" w:rsidRPr="002F50BD">
        <w:rPr>
          <w:rFonts w:ascii="Verdana" w:hAnsi="Verdana"/>
          <w:sz w:val="16"/>
          <w:lang w:val="pt-BR"/>
        </w:rPr>
        <w:t>disposi</w:t>
      </w:r>
      <w:r w:rsidRPr="002F50BD">
        <w:rPr>
          <w:rFonts w:ascii="Verdana" w:hAnsi="Verdana"/>
          <w:sz w:val="16"/>
          <w:lang w:val="pt-BR"/>
        </w:rPr>
        <w:t>ções desta lei.</w:t>
      </w:r>
    </w:p>
    <w:p w:rsidR="004756C1" w:rsidRPr="002F50BD" w:rsidRDefault="004756C1">
      <w:pPr>
        <w:ind w:left="810" w:right="720"/>
        <w:jc w:val="both"/>
        <w:rPr>
          <w:rFonts w:ascii="Verdana" w:hAnsi="Verdana"/>
          <w:sz w:val="16"/>
          <w:lang w:val="pt-BR"/>
        </w:rPr>
      </w:pPr>
    </w:p>
    <w:p w:rsidR="004756C1" w:rsidRPr="002F50BD" w:rsidRDefault="0089298C">
      <w:pPr>
        <w:ind w:left="810" w:right="720"/>
        <w:jc w:val="both"/>
        <w:rPr>
          <w:rFonts w:ascii="Verdana" w:hAnsi="Verdana"/>
          <w:sz w:val="16"/>
          <w:lang w:val="pt-BR"/>
        </w:rPr>
      </w:pPr>
      <w:r w:rsidRPr="002F50BD">
        <w:rPr>
          <w:rFonts w:ascii="Verdana" w:hAnsi="Verdana"/>
          <w:sz w:val="16"/>
          <w:lang w:val="pt-BR"/>
        </w:rPr>
        <w:t>Artigo</w:t>
      </w:r>
      <w:r w:rsidR="004756C1" w:rsidRPr="002F50BD">
        <w:rPr>
          <w:rFonts w:ascii="Verdana" w:hAnsi="Verdana"/>
          <w:sz w:val="16"/>
          <w:lang w:val="pt-BR"/>
        </w:rPr>
        <w:t xml:space="preserve"> </w:t>
      </w:r>
      <w:r w:rsidR="00063B47" w:rsidRPr="002F50BD">
        <w:rPr>
          <w:rFonts w:ascii="Verdana" w:hAnsi="Verdana"/>
          <w:sz w:val="16"/>
          <w:lang w:val="pt-BR"/>
        </w:rPr>
        <w:t>8</w:t>
      </w:r>
      <w:r w:rsidR="004756C1" w:rsidRPr="002F50BD">
        <w:rPr>
          <w:rFonts w:ascii="Verdana" w:hAnsi="Verdana"/>
          <w:sz w:val="16"/>
          <w:lang w:val="pt-BR"/>
        </w:rPr>
        <w:t xml:space="preserve">.- </w:t>
      </w:r>
      <w:r w:rsidR="00C04D11" w:rsidRPr="002F50BD">
        <w:rPr>
          <w:rFonts w:ascii="Verdana" w:hAnsi="Verdana"/>
          <w:sz w:val="16"/>
          <w:lang w:val="pt-BR"/>
        </w:rPr>
        <w:t>R</w:t>
      </w:r>
      <w:r w:rsidR="004756C1" w:rsidRPr="002F50BD">
        <w:rPr>
          <w:rFonts w:ascii="Verdana" w:hAnsi="Verdana"/>
          <w:sz w:val="16"/>
          <w:lang w:val="pt-BR"/>
        </w:rPr>
        <w:t>e</w:t>
      </w:r>
      <w:r w:rsidRPr="002F50BD">
        <w:rPr>
          <w:rFonts w:ascii="Verdana" w:hAnsi="Verdana"/>
          <w:sz w:val="16"/>
          <w:lang w:val="pt-BR"/>
        </w:rPr>
        <w:t>conhecer</w:t>
      </w:r>
      <w:r w:rsidR="00C04D11" w:rsidRPr="002F50BD">
        <w:rPr>
          <w:rFonts w:ascii="Verdana" w:hAnsi="Verdana"/>
          <w:sz w:val="16"/>
          <w:lang w:val="pt-BR"/>
        </w:rPr>
        <w:t>-se-</w:t>
      </w:r>
      <w:r w:rsidR="004756C1" w:rsidRPr="002F50BD">
        <w:rPr>
          <w:rFonts w:ascii="Verdana" w:hAnsi="Verdana"/>
          <w:sz w:val="16"/>
          <w:lang w:val="pt-BR"/>
        </w:rPr>
        <w:t>á</w:t>
      </w:r>
      <w:r w:rsidRPr="002F50BD">
        <w:rPr>
          <w:rFonts w:ascii="Verdana" w:hAnsi="Verdana"/>
          <w:sz w:val="16"/>
          <w:lang w:val="pt-BR"/>
        </w:rPr>
        <w:t xml:space="preserve"> a </w:t>
      </w:r>
      <w:r w:rsidR="007801FA" w:rsidRPr="002F50BD">
        <w:rPr>
          <w:rFonts w:ascii="Verdana" w:hAnsi="Verdana"/>
          <w:sz w:val="16"/>
          <w:lang w:val="pt-BR"/>
        </w:rPr>
        <w:t>personalidade</w:t>
      </w:r>
      <w:r w:rsidR="004756C1" w:rsidRPr="002F50BD">
        <w:rPr>
          <w:rFonts w:ascii="Verdana" w:hAnsi="Verdana"/>
          <w:sz w:val="16"/>
          <w:lang w:val="pt-BR"/>
        </w:rPr>
        <w:t xml:space="preserve"> jurídica</w:t>
      </w:r>
      <w:r w:rsidRPr="002F50BD">
        <w:rPr>
          <w:rFonts w:ascii="Verdana" w:hAnsi="Verdana"/>
          <w:sz w:val="16"/>
          <w:lang w:val="pt-BR"/>
        </w:rPr>
        <w:t xml:space="preserve"> das </w:t>
      </w:r>
      <w:r w:rsidR="004756C1" w:rsidRPr="002F50BD">
        <w:rPr>
          <w:rFonts w:ascii="Verdana" w:hAnsi="Verdana"/>
          <w:sz w:val="16"/>
          <w:lang w:val="pt-BR"/>
        </w:rPr>
        <w:t>comunidades indígenas pre</w:t>
      </w:r>
      <w:r w:rsidR="004076AD" w:rsidRPr="002F50BD">
        <w:rPr>
          <w:rFonts w:ascii="Verdana" w:hAnsi="Verdana"/>
          <w:sz w:val="16"/>
          <w:lang w:val="pt-BR"/>
        </w:rPr>
        <w:t>existentes</w:t>
      </w:r>
      <w:r w:rsidRPr="002F50BD">
        <w:rPr>
          <w:rFonts w:ascii="Verdana" w:hAnsi="Verdana"/>
          <w:sz w:val="16"/>
          <w:lang w:val="pt-BR"/>
        </w:rPr>
        <w:t xml:space="preserve"> à </w:t>
      </w:r>
      <w:r w:rsidR="004756C1" w:rsidRPr="002F50BD">
        <w:rPr>
          <w:rFonts w:ascii="Verdana" w:hAnsi="Verdana"/>
          <w:sz w:val="16"/>
          <w:lang w:val="pt-BR"/>
        </w:rPr>
        <w:t>promulga</w:t>
      </w:r>
      <w:r w:rsidRPr="002F50BD">
        <w:rPr>
          <w:rFonts w:ascii="Verdana" w:hAnsi="Verdana"/>
          <w:sz w:val="16"/>
          <w:lang w:val="pt-BR"/>
        </w:rPr>
        <w:t xml:space="preserve">ção desta lei e às </w:t>
      </w:r>
      <w:r w:rsidR="009B11AD" w:rsidRPr="002F50BD">
        <w:rPr>
          <w:rFonts w:ascii="Verdana" w:hAnsi="Verdana"/>
          <w:sz w:val="16"/>
          <w:lang w:val="pt-BR"/>
        </w:rPr>
        <w:t>constituí</w:t>
      </w:r>
      <w:r w:rsidR="004756C1" w:rsidRPr="002F50BD">
        <w:rPr>
          <w:rFonts w:ascii="Verdana" w:hAnsi="Verdana"/>
          <w:sz w:val="16"/>
          <w:lang w:val="pt-BR"/>
        </w:rPr>
        <w:t xml:space="preserve">das por </w:t>
      </w:r>
      <w:r w:rsidR="005A6BC7" w:rsidRPr="002F50BD">
        <w:rPr>
          <w:rFonts w:ascii="Verdana" w:hAnsi="Verdana"/>
          <w:sz w:val="16"/>
          <w:lang w:val="pt-BR"/>
        </w:rPr>
        <w:t>família</w:t>
      </w:r>
      <w:r w:rsidR="009B11AD" w:rsidRPr="002F50BD">
        <w:rPr>
          <w:rFonts w:ascii="Verdana" w:hAnsi="Verdana"/>
          <w:sz w:val="16"/>
          <w:lang w:val="pt-BR"/>
        </w:rPr>
        <w:t>s indígenas que se reagrupam</w:t>
      </w:r>
      <w:r w:rsidRPr="002F50BD">
        <w:rPr>
          <w:rFonts w:ascii="Verdana" w:hAnsi="Verdana"/>
          <w:sz w:val="16"/>
          <w:lang w:val="pt-BR"/>
        </w:rPr>
        <w:t xml:space="preserve"> em </w:t>
      </w:r>
      <w:r w:rsidR="004756C1" w:rsidRPr="002F50BD">
        <w:rPr>
          <w:rFonts w:ascii="Verdana" w:hAnsi="Verdana"/>
          <w:sz w:val="16"/>
          <w:lang w:val="pt-BR"/>
        </w:rPr>
        <w:t xml:space="preserve">comunidades para </w:t>
      </w:r>
      <w:r w:rsidR="009B11AD" w:rsidRPr="002F50BD">
        <w:rPr>
          <w:rFonts w:ascii="Verdana" w:hAnsi="Verdana"/>
          <w:sz w:val="16"/>
          <w:lang w:val="pt-BR"/>
        </w:rPr>
        <w:t xml:space="preserve">ter acesso </w:t>
      </w:r>
      <w:r w:rsidRPr="002F50BD">
        <w:rPr>
          <w:rFonts w:ascii="Verdana" w:hAnsi="Verdana"/>
          <w:sz w:val="16"/>
          <w:lang w:val="pt-BR"/>
        </w:rPr>
        <w:t>aos benefício</w:t>
      </w:r>
      <w:r w:rsidR="004756C1" w:rsidRPr="002F50BD">
        <w:rPr>
          <w:rFonts w:ascii="Verdana" w:hAnsi="Verdana"/>
          <w:sz w:val="16"/>
          <w:lang w:val="pt-BR"/>
        </w:rPr>
        <w:t>s acordados por</w:t>
      </w:r>
      <w:r w:rsidRPr="002F50BD">
        <w:rPr>
          <w:rFonts w:ascii="Verdana" w:hAnsi="Verdana"/>
          <w:sz w:val="16"/>
          <w:lang w:val="pt-BR"/>
        </w:rPr>
        <w:t xml:space="preserve"> ela</w:t>
      </w:r>
      <w:r w:rsidR="004756C1" w:rsidRPr="002F50BD">
        <w:rPr>
          <w:rFonts w:ascii="Verdana" w:hAnsi="Verdana"/>
          <w:sz w:val="16"/>
          <w:lang w:val="pt-BR"/>
        </w:rPr>
        <w:t>.</w:t>
      </w:r>
    </w:p>
    <w:p w:rsidR="004756C1" w:rsidRPr="002F50BD" w:rsidRDefault="004756C1">
      <w:pPr>
        <w:ind w:left="810" w:right="450"/>
        <w:jc w:val="both"/>
        <w:rPr>
          <w:rFonts w:ascii="Verdana" w:hAnsi="Verdana"/>
          <w:sz w:val="20"/>
          <w:szCs w:val="32"/>
          <w:lang w:val="pt-BR"/>
        </w:rPr>
      </w:pPr>
    </w:p>
    <w:p w:rsidR="004756C1" w:rsidRPr="002F50BD" w:rsidRDefault="00691920">
      <w:pPr>
        <w:numPr>
          <w:ilvl w:val="0"/>
          <w:numId w:val="28"/>
        </w:numPr>
        <w:jc w:val="both"/>
        <w:rPr>
          <w:rFonts w:ascii="Verdana" w:hAnsi="Verdana"/>
          <w:sz w:val="20"/>
          <w:szCs w:val="32"/>
          <w:lang w:val="pt-BR"/>
        </w:rPr>
      </w:pPr>
      <w:r w:rsidRPr="002F50BD">
        <w:rPr>
          <w:rFonts w:ascii="Verdana" w:hAnsi="Verdana"/>
          <w:sz w:val="20"/>
          <w:lang w:val="pt-BR"/>
        </w:rPr>
        <w:t>D</w:t>
      </w:r>
      <w:r w:rsidR="0089298C" w:rsidRPr="002F50BD">
        <w:rPr>
          <w:rFonts w:ascii="Verdana" w:hAnsi="Verdana"/>
          <w:sz w:val="20"/>
          <w:lang w:val="pt-BR"/>
        </w:rPr>
        <w:t xml:space="preserve">os </w:t>
      </w:r>
      <w:r w:rsidR="004756C1" w:rsidRPr="002F50BD">
        <w:rPr>
          <w:rFonts w:ascii="Verdana" w:hAnsi="Verdana"/>
          <w:sz w:val="20"/>
          <w:lang w:val="pt-BR"/>
        </w:rPr>
        <w:t xml:space="preserve">citados </w:t>
      </w:r>
      <w:r w:rsidR="0089298C" w:rsidRPr="002F50BD">
        <w:rPr>
          <w:rFonts w:ascii="Verdana" w:hAnsi="Verdana"/>
          <w:sz w:val="20"/>
          <w:lang w:val="pt-BR"/>
        </w:rPr>
        <w:t>artigo</w:t>
      </w:r>
      <w:r w:rsidR="004756C1" w:rsidRPr="002F50BD">
        <w:rPr>
          <w:rFonts w:ascii="Verdana" w:hAnsi="Verdana"/>
          <w:sz w:val="20"/>
          <w:lang w:val="pt-BR"/>
        </w:rPr>
        <w:t xml:space="preserve">s </w:t>
      </w:r>
      <w:r w:rsidR="00C04D11" w:rsidRPr="002F50BD">
        <w:rPr>
          <w:rFonts w:ascii="Verdana" w:hAnsi="Verdana"/>
          <w:sz w:val="20"/>
          <w:lang w:val="pt-BR"/>
        </w:rPr>
        <w:t xml:space="preserve">extrai-se </w:t>
      </w:r>
      <w:r w:rsidR="004756C1" w:rsidRPr="002F50BD">
        <w:rPr>
          <w:rFonts w:ascii="Verdana" w:hAnsi="Verdana"/>
          <w:sz w:val="20"/>
          <w:lang w:val="pt-BR"/>
        </w:rPr>
        <w:t>que</w:t>
      </w:r>
      <w:r w:rsidR="0089298C" w:rsidRPr="002F50BD">
        <w:rPr>
          <w:rFonts w:ascii="Verdana" w:hAnsi="Verdana"/>
          <w:sz w:val="20"/>
          <w:lang w:val="pt-BR"/>
        </w:rPr>
        <w:t xml:space="preserve"> a </w:t>
      </w:r>
      <w:r w:rsidR="004756C1" w:rsidRPr="002F50BD">
        <w:rPr>
          <w:rFonts w:ascii="Verdana" w:hAnsi="Verdana"/>
          <w:sz w:val="20"/>
          <w:lang w:val="pt-BR"/>
        </w:rPr>
        <w:t>obten</w:t>
      </w:r>
      <w:r w:rsidR="0089298C" w:rsidRPr="002F50BD">
        <w:rPr>
          <w:rFonts w:ascii="Verdana" w:hAnsi="Verdana"/>
          <w:sz w:val="20"/>
          <w:lang w:val="pt-BR"/>
        </w:rPr>
        <w:t>ção</w:t>
      </w:r>
      <w:r w:rsidR="004756C1" w:rsidRPr="002F50BD">
        <w:rPr>
          <w:rFonts w:ascii="Verdana" w:hAnsi="Verdana"/>
          <w:sz w:val="20"/>
          <w:lang w:val="pt-BR"/>
        </w:rPr>
        <w:t xml:space="preserve"> de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é indispensável </w:t>
      </w:r>
      <w:r w:rsidR="004756C1" w:rsidRPr="002F50BD">
        <w:rPr>
          <w:rFonts w:ascii="Verdana" w:hAnsi="Verdana"/>
          <w:sz w:val="20"/>
          <w:lang w:val="pt-BR"/>
        </w:rPr>
        <w:t>para</w:t>
      </w:r>
      <w:r w:rsidR="0089298C" w:rsidRPr="002F50BD">
        <w:rPr>
          <w:rFonts w:ascii="Verdana" w:hAnsi="Verdana"/>
          <w:sz w:val="20"/>
          <w:lang w:val="pt-BR"/>
        </w:rPr>
        <w:t xml:space="preserve"> a transferência da terra</w:t>
      </w:r>
      <w:r w:rsidR="004756C1" w:rsidRPr="002F50BD">
        <w:rPr>
          <w:rFonts w:ascii="Verdana" w:hAnsi="Verdana"/>
          <w:sz w:val="20"/>
          <w:lang w:val="pt-BR"/>
        </w:rPr>
        <w:t>, mas n</w:t>
      </w:r>
      <w:r w:rsidR="009B11AD" w:rsidRPr="002F50BD">
        <w:rPr>
          <w:rFonts w:ascii="Verdana" w:hAnsi="Verdana"/>
          <w:sz w:val="20"/>
          <w:lang w:val="pt-BR"/>
        </w:rPr>
        <w:t>ã</w:t>
      </w:r>
      <w:r w:rsidR="004756C1" w:rsidRPr="002F50BD">
        <w:rPr>
          <w:rFonts w:ascii="Verdana" w:hAnsi="Verdana"/>
          <w:sz w:val="20"/>
          <w:lang w:val="pt-BR"/>
        </w:rPr>
        <w:t>o para</w:t>
      </w:r>
      <w:r w:rsidR="0089298C" w:rsidRPr="002F50BD">
        <w:rPr>
          <w:rFonts w:ascii="Verdana" w:hAnsi="Verdana"/>
          <w:sz w:val="20"/>
          <w:lang w:val="pt-BR"/>
        </w:rPr>
        <w:t xml:space="preserve"> </w:t>
      </w:r>
      <w:r w:rsidR="009B11AD" w:rsidRPr="002F50BD">
        <w:rPr>
          <w:rFonts w:ascii="Verdana" w:hAnsi="Verdana"/>
          <w:sz w:val="20"/>
          <w:lang w:val="pt-BR"/>
        </w:rPr>
        <w:t xml:space="preserve">o início </w:t>
      </w:r>
      <w:r w:rsidR="0089298C" w:rsidRPr="002F50BD">
        <w:rPr>
          <w:rFonts w:ascii="Verdana" w:hAnsi="Verdana"/>
          <w:sz w:val="20"/>
          <w:lang w:val="pt-BR"/>
        </w:rPr>
        <w:t>do trâmite</w:t>
      </w:r>
      <w:r w:rsidR="004756C1" w:rsidRPr="002F50BD">
        <w:rPr>
          <w:rFonts w:ascii="Verdana" w:hAnsi="Verdana"/>
          <w:sz w:val="20"/>
          <w:lang w:val="pt-BR"/>
        </w:rPr>
        <w:t xml:space="preserve"> de reivindica</w:t>
      </w:r>
      <w:r w:rsidR="0089298C" w:rsidRPr="002F50BD">
        <w:rPr>
          <w:rFonts w:ascii="Verdana" w:hAnsi="Verdana"/>
          <w:sz w:val="20"/>
          <w:lang w:val="pt-BR"/>
        </w:rPr>
        <w:t>ção</w:t>
      </w:r>
      <w:r w:rsidR="004756C1" w:rsidRPr="002F50BD">
        <w:rPr>
          <w:rFonts w:ascii="Verdana" w:hAnsi="Verdana"/>
          <w:sz w:val="20"/>
          <w:lang w:val="pt-BR"/>
        </w:rPr>
        <w:t>.</w:t>
      </w:r>
    </w:p>
    <w:p w:rsidR="001C609B" w:rsidRPr="002F50BD" w:rsidRDefault="001C609B" w:rsidP="001C609B">
      <w:pPr>
        <w:jc w:val="both"/>
        <w:rPr>
          <w:rFonts w:ascii="Verdana" w:hAnsi="Verdana"/>
          <w:sz w:val="20"/>
          <w:szCs w:val="32"/>
          <w:lang w:val="pt-BR"/>
        </w:rPr>
      </w:pPr>
    </w:p>
    <w:p w:rsidR="004756C1" w:rsidRPr="002F50BD" w:rsidRDefault="0089298C">
      <w:pPr>
        <w:numPr>
          <w:ilvl w:val="0"/>
          <w:numId w:val="28"/>
        </w:numPr>
        <w:jc w:val="both"/>
        <w:rPr>
          <w:rFonts w:ascii="Verdana" w:hAnsi="Verdana"/>
          <w:sz w:val="20"/>
          <w:szCs w:val="32"/>
          <w:lang w:val="pt-BR"/>
        </w:rPr>
      </w:pPr>
      <w:r w:rsidRPr="002F50BD">
        <w:rPr>
          <w:rFonts w:ascii="Verdana" w:hAnsi="Verdana"/>
          <w:sz w:val="20"/>
          <w:szCs w:val="32"/>
          <w:lang w:val="pt-BR"/>
        </w:rPr>
        <w:t xml:space="preserve">A </w:t>
      </w:r>
      <w:r w:rsidR="004756C1" w:rsidRPr="002F50BD">
        <w:rPr>
          <w:rFonts w:ascii="Verdana" w:hAnsi="Verdana"/>
          <w:sz w:val="20"/>
          <w:lang w:val="pt-BR"/>
        </w:rPr>
        <w:t>Corte considera que</w:t>
      </w:r>
      <w:r w:rsidRPr="002F50BD">
        <w:rPr>
          <w:rFonts w:ascii="Verdana" w:hAnsi="Verdana"/>
          <w:sz w:val="20"/>
          <w:lang w:val="pt-BR"/>
        </w:rPr>
        <w:t xml:space="preserve"> </w:t>
      </w:r>
      <w:r w:rsidR="009B11AD" w:rsidRPr="002F50BD">
        <w:rPr>
          <w:rFonts w:ascii="Verdana" w:hAnsi="Verdana"/>
          <w:sz w:val="20"/>
          <w:lang w:val="pt-BR"/>
        </w:rPr>
        <w:t xml:space="preserve">a concessão </w:t>
      </w:r>
      <w:r w:rsidR="004756C1" w:rsidRPr="002F50BD">
        <w:rPr>
          <w:rFonts w:ascii="Verdana" w:hAnsi="Verdana"/>
          <w:sz w:val="20"/>
          <w:lang w:val="pt-BR"/>
        </w:rPr>
        <w:t xml:space="preserve">de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Pr="002F50BD">
        <w:rPr>
          <w:rFonts w:ascii="Verdana" w:hAnsi="Verdana"/>
          <w:sz w:val="20"/>
          <w:lang w:val="pt-BR"/>
        </w:rPr>
        <w:t xml:space="preserve"> serve </w:t>
      </w:r>
      <w:r w:rsidR="004756C1" w:rsidRPr="002F50BD">
        <w:rPr>
          <w:rFonts w:ascii="Verdana" w:hAnsi="Verdana"/>
          <w:sz w:val="20"/>
          <w:lang w:val="pt-BR"/>
        </w:rPr>
        <w:t>para</w:t>
      </w:r>
      <w:r w:rsidRPr="002F50BD">
        <w:rPr>
          <w:rFonts w:ascii="Verdana" w:hAnsi="Verdana"/>
          <w:sz w:val="20"/>
          <w:lang w:val="pt-BR"/>
        </w:rPr>
        <w:t xml:space="preserve"> </w:t>
      </w:r>
      <w:r w:rsidR="009B11AD" w:rsidRPr="002F50BD">
        <w:rPr>
          <w:rFonts w:ascii="Verdana" w:hAnsi="Verdana"/>
          <w:sz w:val="20"/>
          <w:lang w:val="pt-BR"/>
        </w:rPr>
        <w:t xml:space="preserve">tornar </w:t>
      </w:r>
      <w:r w:rsidR="004756C1" w:rsidRPr="002F50BD">
        <w:rPr>
          <w:rFonts w:ascii="Verdana" w:hAnsi="Verdana"/>
          <w:sz w:val="20"/>
          <w:lang w:val="pt-BR"/>
        </w:rPr>
        <w:t>operativos</w:t>
      </w:r>
      <w:r w:rsidRPr="002F50BD">
        <w:rPr>
          <w:rFonts w:ascii="Verdana" w:hAnsi="Verdana"/>
          <w:sz w:val="20"/>
          <w:lang w:val="pt-BR"/>
        </w:rPr>
        <w:t xml:space="preserve"> os direito</w:t>
      </w:r>
      <w:r w:rsidR="004756C1" w:rsidRPr="002F50BD">
        <w:rPr>
          <w:rFonts w:ascii="Verdana" w:hAnsi="Verdana"/>
          <w:sz w:val="20"/>
          <w:lang w:val="pt-BR"/>
        </w:rPr>
        <w:t>s</w:t>
      </w:r>
      <w:r w:rsidRPr="002F50BD">
        <w:rPr>
          <w:rFonts w:ascii="Verdana" w:hAnsi="Verdana"/>
          <w:sz w:val="20"/>
          <w:lang w:val="pt-BR"/>
        </w:rPr>
        <w:t xml:space="preserve"> já </w:t>
      </w:r>
      <w:r w:rsidR="004076AD" w:rsidRPr="002F50BD">
        <w:rPr>
          <w:rFonts w:ascii="Verdana" w:hAnsi="Verdana"/>
          <w:sz w:val="20"/>
          <w:lang w:val="pt-BR"/>
        </w:rPr>
        <w:t>existentes</w:t>
      </w:r>
      <w:r w:rsidRPr="002F50BD">
        <w:rPr>
          <w:rFonts w:ascii="Verdana" w:hAnsi="Verdana"/>
          <w:sz w:val="20"/>
          <w:lang w:val="pt-BR"/>
        </w:rPr>
        <w:t xml:space="preserve"> das </w:t>
      </w:r>
      <w:r w:rsidR="004756C1" w:rsidRPr="002F50BD">
        <w:rPr>
          <w:rFonts w:ascii="Verdana" w:hAnsi="Verdana"/>
          <w:sz w:val="20"/>
          <w:lang w:val="pt-BR"/>
        </w:rPr>
        <w:t>comunidades indígenas, que</w:t>
      </w:r>
      <w:r w:rsidRPr="002F50BD">
        <w:rPr>
          <w:rFonts w:ascii="Verdana" w:hAnsi="Verdana"/>
          <w:sz w:val="20"/>
          <w:lang w:val="pt-BR"/>
        </w:rPr>
        <w:t xml:space="preserve"> os </w:t>
      </w:r>
      <w:r w:rsidR="009B11AD" w:rsidRPr="002F50BD">
        <w:rPr>
          <w:rFonts w:ascii="Verdana" w:hAnsi="Verdana"/>
          <w:sz w:val="20"/>
          <w:lang w:val="pt-BR"/>
        </w:rPr>
        <w:t xml:space="preserve">vêm </w:t>
      </w:r>
      <w:r w:rsidR="009B11AD" w:rsidRPr="002F50BD">
        <w:rPr>
          <w:rFonts w:ascii="Verdana" w:hAnsi="Verdana"/>
          <w:sz w:val="20"/>
          <w:lang w:val="pt-BR"/>
        </w:rPr>
        <w:lastRenderedPageBreak/>
        <w:t>exerce</w:t>
      </w:r>
      <w:r w:rsidR="004756C1" w:rsidRPr="002F50BD">
        <w:rPr>
          <w:rFonts w:ascii="Verdana" w:hAnsi="Verdana"/>
          <w:sz w:val="20"/>
          <w:lang w:val="pt-BR"/>
        </w:rPr>
        <w:t xml:space="preserve">ndo </w:t>
      </w:r>
      <w:r w:rsidR="009B11AD" w:rsidRPr="002F50BD">
        <w:rPr>
          <w:rFonts w:ascii="Verdana" w:hAnsi="Verdana"/>
          <w:sz w:val="20"/>
          <w:lang w:val="pt-BR"/>
        </w:rPr>
        <w:t>historicamente</w:t>
      </w:r>
      <w:r w:rsidRPr="002F50BD">
        <w:rPr>
          <w:rFonts w:ascii="Verdana" w:hAnsi="Verdana"/>
          <w:sz w:val="20"/>
          <w:lang w:val="pt-BR"/>
        </w:rPr>
        <w:t xml:space="preserve"> e </w:t>
      </w:r>
      <w:r w:rsidR="004756C1" w:rsidRPr="002F50BD">
        <w:rPr>
          <w:rFonts w:ascii="Verdana" w:hAnsi="Verdana"/>
          <w:sz w:val="20"/>
          <w:lang w:val="pt-BR"/>
        </w:rPr>
        <w:t>n</w:t>
      </w:r>
      <w:r w:rsidR="009B11AD" w:rsidRPr="002F50BD">
        <w:rPr>
          <w:rFonts w:ascii="Verdana" w:hAnsi="Verdana"/>
          <w:sz w:val="20"/>
          <w:lang w:val="pt-BR"/>
        </w:rPr>
        <w:t>ã</w:t>
      </w:r>
      <w:r w:rsidR="004756C1" w:rsidRPr="002F50BD">
        <w:rPr>
          <w:rFonts w:ascii="Verdana" w:hAnsi="Verdana"/>
          <w:sz w:val="20"/>
          <w:lang w:val="pt-BR"/>
        </w:rPr>
        <w:t xml:space="preserve">o a partir de </w:t>
      </w:r>
      <w:r w:rsidR="009B11AD" w:rsidRPr="002F50BD">
        <w:rPr>
          <w:rFonts w:ascii="Verdana" w:hAnsi="Verdana"/>
          <w:sz w:val="20"/>
          <w:lang w:val="pt-BR"/>
        </w:rPr>
        <w:t>seu nascimento</w:t>
      </w:r>
      <w:r w:rsidR="004756C1" w:rsidRPr="002F50BD">
        <w:rPr>
          <w:rFonts w:ascii="Verdana" w:hAnsi="Verdana"/>
          <w:sz w:val="20"/>
          <w:lang w:val="pt-BR"/>
        </w:rPr>
        <w:t xml:space="preserve"> como </w:t>
      </w:r>
      <w:r w:rsidRPr="002F50BD">
        <w:rPr>
          <w:rFonts w:ascii="Verdana" w:hAnsi="Verdana"/>
          <w:sz w:val="20"/>
          <w:lang w:val="pt-BR"/>
        </w:rPr>
        <w:t>pessoa</w:t>
      </w:r>
      <w:r w:rsidR="004756C1" w:rsidRPr="002F50BD">
        <w:rPr>
          <w:rFonts w:ascii="Verdana" w:hAnsi="Verdana"/>
          <w:sz w:val="20"/>
          <w:lang w:val="pt-BR"/>
        </w:rPr>
        <w:t xml:space="preserve">s jurídicas. </w:t>
      </w:r>
      <w:r w:rsidR="004756C1" w:rsidRPr="002F50BD">
        <w:rPr>
          <w:rFonts w:ascii="Verdana" w:hAnsi="Verdana"/>
          <w:sz w:val="20"/>
          <w:szCs w:val="32"/>
          <w:lang w:val="pt-BR"/>
        </w:rPr>
        <w:t>S</w:t>
      </w:r>
      <w:r w:rsidR="009B11AD" w:rsidRPr="002F50BD">
        <w:rPr>
          <w:rFonts w:ascii="Verdana" w:hAnsi="Verdana"/>
          <w:sz w:val="20"/>
          <w:szCs w:val="32"/>
          <w:lang w:val="pt-BR"/>
        </w:rPr>
        <w:t>e</w:t>
      </w:r>
      <w:r w:rsidR="004756C1" w:rsidRPr="002F50BD">
        <w:rPr>
          <w:rFonts w:ascii="Verdana" w:hAnsi="Verdana"/>
          <w:sz w:val="20"/>
          <w:szCs w:val="32"/>
          <w:lang w:val="pt-BR"/>
        </w:rPr>
        <w:t>us sistemas de organiza</w:t>
      </w:r>
      <w:r w:rsidRPr="002F50BD">
        <w:rPr>
          <w:rFonts w:ascii="Verdana" w:hAnsi="Verdana"/>
          <w:sz w:val="20"/>
          <w:szCs w:val="32"/>
          <w:lang w:val="pt-BR"/>
        </w:rPr>
        <w:t>ção</w:t>
      </w:r>
      <w:r w:rsidR="004756C1" w:rsidRPr="002F50BD">
        <w:rPr>
          <w:rFonts w:ascii="Verdana" w:hAnsi="Verdana"/>
          <w:sz w:val="20"/>
          <w:szCs w:val="32"/>
          <w:lang w:val="pt-BR"/>
        </w:rPr>
        <w:t xml:space="preserve"> política, social, </w:t>
      </w:r>
      <w:r w:rsidRPr="002F50BD">
        <w:rPr>
          <w:rFonts w:ascii="Verdana" w:hAnsi="Verdana"/>
          <w:sz w:val="20"/>
          <w:szCs w:val="32"/>
          <w:lang w:val="pt-BR"/>
        </w:rPr>
        <w:t>econômic</w:t>
      </w:r>
      <w:r w:rsidR="004756C1" w:rsidRPr="002F50BD">
        <w:rPr>
          <w:rFonts w:ascii="Verdana" w:hAnsi="Verdana"/>
          <w:sz w:val="20"/>
          <w:szCs w:val="32"/>
          <w:lang w:val="pt-BR"/>
        </w:rPr>
        <w:t>a, cultural</w:t>
      </w:r>
      <w:r w:rsidRPr="002F50BD">
        <w:rPr>
          <w:rFonts w:ascii="Verdana" w:hAnsi="Verdana"/>
          <w:sz w:val="20"/>
          <w:szCs w:val="32"/>
          <w:lang w:val="pt-BR"/>
        </w:rPr>
        <w:t xml:space="preserve"> e </w:t>
      </w:r>
      <w:r w:rsidR="004756C1" w:rsidRPr="002F50BD">
        <w:rPr>
          <w:rFonts w:ascii="Verdana" w:hAnsi="Verdana"/>
          <w:sz w:val="20"/>
          <w:szCs w:val="32"/>
          <w:lang w:val="pt-BR"/>
        </w:rPr>
        <w:t>religiosa</w:t>
      </w:r>
      <w:r w:rsidRPr="002F50BD">
        <w:rPr>
          <w:rFonts w:ascii="Verdana" w:hAnsi="Verdana"/>
          <w:sz w:val="20"/>
          <w:szCs w:val="32"/>
          <w:lang w:val="pt-BR"/>
        </w:rPr>
        <w:t>, e os direito</w:t>
      </w:r>
      <w:r w:rsidR="004756C1" w:rsidRPr="002F50BD">
        <w:rPr>
          <w:rFonts w:ascii="Verdana" w:hAnsi="Verdana"/>
          <w:sz w:val="20"/>
          <w:szCs w:val="32"/>
          <w:lang w:val="pt-BR"/>
        </w:rPr>
        <w:t xml:space="preserve">s </w:t>
      </w:r>
      <w:r w:rsidR="009B11AD" w:rsidRPr="002F50BD">
        <w:rPr>
          <w:rFonts w:ascii="Verdana" w:hAnsi="Verdana"/>
          <w:sz w:val="20"/>
          <w:szCs w:val="32"/>
          <w:lang w:val="pt-BR"/>
        </w:rPr>
        <w:t>deles resultantes</w:t>
      </w:r>
      <w:r w:rsidR="004756C1" w:rsidRPr="002F50BD">
        <w:rPr>
          <w:rFonts w:ascii="Verdana" w:hAnsi="Verdana"/>
          <w:sz w:val="20"/>
          <w:szCs w:val="32"/>
          <w:lang w:val="pt-BR"/>
        </w:rPr>
        <w:t>, como</w:t>
      </w:r>
      <w:r w:rsidRPr="002F50BD">
        <w:rPr>
          <w:rFonts w:ascii="Verdana" w:hAnsi="Verdana"/>
          <w:sz w:val="20"/>
          <w:szCs w:val="32"/>
          <w:lang w:val="pt-BR"/>
        </w:rPr>
        <w:t xml:space="preserve"> a </w:t>
      </w:r>
      <w:r w:rsidR="004756C1" w:rsidRPr="002F50BD">
        <w:rPr>
          <w:rFonts w:ascii="Verdana" w:hAnsi="Verdana"/>
          <w:sz w:val="20"/>
          <w:szCs w:val="32"/>
          <w:lang w:val="pt-BR"/>
        </w:rPr>
        <w:t>designa</w:t>
      </w:r>
      <w:r w:rsidRPr="002F50BD">
        <w:rPr>
          <w:rFonts w:ascii="Verdana" w:hAnsi="Verdana"/>
          <w:sz w:val="20"/>
          <w:szCs w:val="32"/>
          <w:lang w:val="pt-BR"/>
        </w:rPr>
        <w:t>ção</w:t>
      </w:r>
      <w:r w:rsidR="004756C1" w:rsidRPr="002F50BD">
        <w:rPr>
          <w:rFonts w:ascii="Verdana" w:hAnsi="Verdana"/>
          <w:sz w:val="20"/>
          <w:szCs w:val="32"/>
          <w:lang w:val="pt-BR"/>
        </w:rPr>
        <w:t xml:space="preserve"> de s</w:t>
      </w:r>
      <w:r w:rsidR="009B11AD" w:rsidRPr="002F50BD">
        <w:rPr>
          <w:rFonts w:ascii="Verdana" w:hAnsi="Verdana"/>
          <w:sz w:val="20"/>
          <w:szCs w:val="32"/>
          <w:lang w:val="pt-BR"/>
        </w:rPr>
        <w:t>e</w:t>
      </w:r>
      <w:r w:rsidR="004756C1" w:rsidRPr="002F50BD">
        <w:rPr>
          <w:rFonts w:ascii="Verdana" w:hAnsi="Verdana"/>
          <w:sz w:val="20"/>
          <w:szCs w:val="32"/>
          <w:lang w:val="pt-BR"/>
        </w:rPr>
        <w:t xml:space="preserve">us </w:t>
      </w:r>
      <w:r w:rsidRPr="002F50BD">
        <w:rPr>
          <w:rFonts w:ascii="Verdana" w:hAnsi="Verdana"/>
          <w:sz w:val="20"/>
          <w:szCs w:val="32"/>
          <w:lang w:val="pt-BR"/>
        </w:rPr>
        <w:t>próprio</w:t>
      </w:r>
      <w:r w:rsidR="004756C1" w:rsidRPr="002F50BD">
        <w:rPr>
          <w:rFonts w:ascii="Verdana" w:hAnsi="Verdana"/>
          <w:sz w:val="20"/>
          <w:szCs w:val="32"/>
          <w:lang w:val="pt-BR"/>
        </w:rPr>
        <w:t>s líderes</w:t>
      </w:r>
      <w:r w:rsidRPr="002F50BD">
        <w:rPr>
          <w:rFonts w:ascii="Verdana" w:hAnsi="Verdana"/>
          <w:sz w:val="20"/>
          <w:szCs w:val="32"/>
          <w:lang w:val="pt-BR"/>
        </w:rPr>
        <w:t xml:space="preserve"> e o direito</w:t>
      </w:r>
      <w:r w:rsidR="004756C1" w:rsidRPr="002F50BD">
        <w:rPr>
          <w:rFonts w:ascii="Verdana" w:hAnsi="Verdana"/>
          <w:sz w:val="20"/>
          <w:szCs w:val="32"/>
          <w:lang w:val="pt-BR"/>
        </w:rPr>
        <w:t xml:space="preserve"> a reclamar </w:t>
      </w:r>
      <w:r w:rsidR="00A50140" w:rsidRPr="002F50BD">
        <w:rPr>
          <w:rFonts w:ascii="Verdana" w:hAnsi="Verdana"/>
          <w:sz w:val="20"/>
          <w:szCs w:val="32"/>
          <w:lang w:val="pt-BR"/>
        </w:rPr>
        <w:t>suas terras</w:t>
      </w:r>
      <w:r w:rsidR="004756C1" w:rsidRPr="002F50BD">
        <w:rPr>
          <w:rFonts w:ascii="Verdana" w:hAnsi="Verdana"/>
          <w:sz w:val="20"/>
          <w:szCs w:val="32"/>
          <w:lang w:val="pt-BR"/>
        </w:rPr>
        <w:t xml:space="preserve"> tr</w:t>
      </w:r>
      <w:r w:rsidRPr="002F50BD">
        <w:rPr>
          <w:rFonts w:ascii="Verdana" w:hAnsi="Verdana"/>
          <w:sz w:val="20"/>
          <w:szCs w:val="32"/>
          <w:lang w:val="pt-BR"/>
        </w:rPr>
        <w:t>adicionais</w:t>
      </w:r>
      <w:r w:rsidR="004756C1" w:rsidRPr="002F50BD">
        <w:rPr>
          <w:rFonts w:ascii="Verdana" w:hAnsi="Verdana"/>
          <w:sz w:val="20"/>
          <w:szCs w:val="32"/>
          <w:lang w:val="pt-BR"/>
        </w:rPr>
        <w:t>,</w:t>
      </w:r>
      <w:r w:rsidRPr="002F50BD">
        <w:rPr>
          <w:rFonts w:ascii="Verdana" w:hAnsi="Verdana"/>
          <w:sz w:val="20"/>
          <w:szCs w:val="32"/>
          <w:lang w:val="pt-BR"/>
        </w:rPr>
        <w:t xml:space="preserve"> são </w:t>
      </w:r>
      <w:r w:rsidR="004756C1" w:rsidRPr="002F50BD">
        <w:rPr>
          <w:rFonts w:ascii="Verdana" w:hAnsi="Verdana"/>
          <w:sz w:val="20"/>
          <w:szCs w:val="32"/>
          <w:lang w:val="pt-BR"/>
        </w:rPr>
        <w:t>re</w:t>
      </w:r>
      <w:r w:rsidRPr="002F50BD">
        <w:rPr>
          <w:rFonts w:ascii="Verdana" w:hAnsi="Verdana"/>
          <w:sz w:val="20"/>
          <w:szCs w:val="32"/>
          <w:lang w:val="pt-BR"/>
        </w:rPr>
        <w:t>conhecido</w:t>
      </w:r>
      <w:r w:rsidR="004756C1" w:rsidRPr="002F50BD">
        <w:rPr>
          <w:rFonts w:ascii="Verdana" w:hAnsi="Verdana"/>
          <w:sz w:val="20"/>
          <w:szCs w:val="32"/>
          <w:lang w:val="pt-BR"/>
        </w:rPr>
        <w:t>s n</w:t>
      </w:r>
      <w:r w:rsidR="009B11AD" w:rsidRPr="002F50BD">
        <w:rPr>
          <w:rFonts w:ascii="Verdana" w:hAnsi="Verdana"/>
          <w:sz w:val="20"/>
          <w:szCs w:val="32"/>
          <w:lang w:val="pt-BR"/>
        </w:rPr>
        <w:t>ã</w:t>
      </w:r>
      <w:r w:rsidR="004756C1" w:rsidRPr="002F50BD">
        <w:rPr>
          <w:rFonts w:ascii="Verdana" w:hAnsi="Verdana"/>
          <w:sz w:val="20"/>
          <w:szCs w:val="32"/>
          <w:lang w:val="pt-BR"/>
        </w:rPr>
        <w:t>o</w:t>
      </w:r>
      <w:r w:rsidRPr="002F50BD">
        <w:rPr>
          <w:rFonts w:ascii="Verdana" w:hAnsi="Verdana"/>
          <w:sz w:val="20"/>
          <w:szCs w:val="32"/>
          <w:lang w:val="pt-BR"/>
        </w:rPr>
        <w:t xml:space="preserve"> à pessoa</w:t>
      </w:r>
      <w:r w:rsidR="004756C1" w:rsidRPr="002F50BD">
        <w:rPr>
          <w:rFonts w:ascii="Verdana" w:hAnsi="Verdana"/>
          <w:sz w:val="20"/>
          <w:szCs w:val="32"/>
          <w:lang w:val="pt-BR"/>
        </w:rPr>
        <w:t xml:space="preserve"> jurídica que</w:t>
      </w:r>
      <w:r w:rsidRPr="002F50BD">
        <w:rPr>
          <w:rFonts w:ascii="Verdana" w:hAnsi="Verdana"/>
          <w:sz w:val="20"/>
          <w:szCs w:val="32"/>
          <w:lang w:val="pt-BR"/>
        </w:rPr>
        <w:t xml:space="preserve"> deve </w:t>
      </w:r>
      <w:r w:rsidR="004574D2" w:rsidRPr="002F50BD">
        <w:rPr>
          <w:rFonts w:ascii="Verdana" w:hAnsi="Verdana"/>
          <w:sz w:val="20"/>
          <w:szCs w:val="32"/>
          <w:lang w:val="pt-BR"/>
        </w:rPr>
        <w:t>inscrever</w:t>
      </w:r>
      <w:r w:rsidR="009B11AD" w:rsidRPr="002F50BD">
        <w:rPr>
          <w:rFonts w:ascii="Verdana" w:hAnsi="Verdana"/>
          <w:sz w:val="20"/>
          <w:szCs w:val="32"/>
          <w:lang w:val="pt-BR"/>
        </w:rPr>
        <w:t>-</w:t>
      </w:r>
      <w:r w:rsidR="004756C1" w:rsidRPr="002F50BD">
        <w:rPr>
          <w:rFonts w:ascii="Verdana" w:hAnsi="Verdana"/>
          <w:sz w:val="20"/>
          <w:szCs w:val="32"/>
          <w:lang w:val="pt-BR"/>
        </w:rPr>
        <w:t xml:space="preserve">se para </w:t>
      </w:r>
      <w:r w:rsidRPr="002F50BD">
        <w:rPr>
          <w:rFonts w:ascii="Verdana" w:hAnsi="Verdana"/>
          <w:sz w:val="20"/>
          <w:szCs w:val="32"/>
          <w:lang w:val="pt-BR"/>
        </w:rPr>
        <w:t xml:space="preserve">cumprir um </w:t>
      </w:r>
      <w:r w:rsidR="004756C1" w:rsidRPr="002F50BD">
        <w:rPr>
          <w:rFonts w:ascii="Verdana" w:hAnsi="Verdana"/>
          <w:sz w:val="20"/>
          <w:szCs w:val="32"/>
          <w:lang w:val="pt-BR"/>
        </w:rPr>
        <w:t>formalismo legal,</w:t>
      </w:r>
      <w:r w:rsidRPr="002F50BD">
        <w:rPr>
          <w:rFonts w:ascii="Verdana" w:hAnsi="Verdana"/>
          <w:sz w:val="20"/>
          <w:szCs w:val="32"/>
          <w:lang w:val="pt-BR"/>
        </w:rPr>
        <w:t xml:space="preserve"> mas à comunidade em si mesm</w:t>
      </w:r>
      <w:r w:rsidR="004756C1" w:rsidRPr="002F50BD">
        <w:rPr>
          <w:rFonts w:ascii="Verdana" w:hAnsi="Verdana"/>
          <w:sz w:val="20"/>
          <w:szCs w:val="32"/>
          <w:lang w:val="pt-BR"/>
        </w:rPr>
        <w:t>a</w:t>
      </w:r>
      <w:r w:rsidR="009B11AD" w:rsidRPr="002F50BD">
        <w:rPr>
          <w:rFonts w:ascii="Verdana" w:hAnsi="Verdana"/>
          <w:sz w:val="20"/>
          <w:szCs w:val="32"/>
          <w:lang w:val="pt-BR"/>
        </w:rPr>
        <w:t>,</w:t>
      </w:r>
      <w:r w:rsidR="004756C1" w:rsidRPr="002F50BD">
        <w:rPr>
          <w:rFonts w:ascii="Verdana" w:hAnsi="Verdana"/>
          <w:sz w:val="20"/>
          <w:szCs w:val="32"/>
          <w:lang w:val="pt-BR"/>
        </w:rPr>
        <w:t xml:space="preserve"> que</w:t>
      </w:r>
      <w:r w:rsidRPr="002F50BD">
        <w:rPr>
          <w:rFonts w:ascii="Verdana" w:hAnsi="Verdana"/>
          <w:sz w:val="20"/>
          <w:szCs w:val="32"/>
          <w:lang w:val="pt-BR"/>
        </w:rPr>
        <w:t xml:space="preserve"> a própria Constituição</w:t>
      </w:r>
      <w:r w:rsidR="004756C1" w:rsidRPr="002F50BD">
        <w:rPr>
          <w:rFonts w:ascii="Verdana" w:hAnsi="Verdana"/>
          <w:sz w:val="20"/>
          <w:szCs w:val="32"/>
          <w:lang w:val="pt-BR"/>
        </w:rPr>
        <w:t xml:space="preserve"> </w:t>
      </w:r>
      <w:r w:rsidRPr="002F50BD">
        <w:rPr>
          <w:rFonts w:ascii="Verdana" w:hAnsi="Verdana"/>
          <w:sz w:val="20"/>
          <w:szCs w:val="32"/>
          <w:lang w:val="pt-BR"/>
        </w:rPr>
        <w:t>Paraguai</w:t>
      </w:r>
      <w:r w:rsidR="004756C1" w:rsidRPr="002F50BD">
        <w:rPr>
          <w:rFonts w:ascii="Verdana" w:hAnsi="Verdana"/>
          <w:sz w:val="20"/>
          <w:szCs w:val="32"/>
          <w:lang w:val="pt-BR"/>
        </w:rPr>
        <w:t>a re</w:t>
      </w:r>
      <w:r w:rsidRPr="002F50BD">
        <w:rPr>
          <w:rFonts w:ascii="Verdana" w:hAnsi="Verdana"/>
          <w:sz w:val="20"/>
          <w:szCs w:val="32"/>
          <w:lang w:val="pt-BR"/>
        </w:rPr>
        <w:t xml:space="preserve">conhece </w:t>
      </w:r>
      <w:r w:rsidR="004756C1" w:rsidRPr="002F50BD">
        <w:rPr>
          <w:rFonts w:ascii="Verdana" w:hAnsi="Verdana"/>
          <w:sz w:val="20"/>
          <w:szCs w:val="32"/>
          <w:lang w:val="pt-BR"/>
        </w:rPr>
        <w:t>como pre</w:t>
      </w:r>
      <w:r w:rsidR="00AB454A" w:rsidRPr="002F50BD">
        <w:rPr>
          <w:rFonts w:ascii="Verdana" w:hAnsi="Verdana"/>
          <w:sz w:val="20"/>
          <w:szCs w:val="32"/>
          <w:lang w:val="pt-BR"/>
        </w:rPr>
        <w:t>existente</w:t>
      </w:r>
      <w:r w:rsidRPr="002F50BD">
        <w:rPr>
          <w:rFonts w:ascii="Verdana" w:hAnsi="Verdana"/>
          <w:sz w:val="20"/>
          <w:szCs w:val="32"/>
          <w:lang w:val="pt-BR"/>
        </w:rPr>
        <w:t xml:space="preserve"> ao </w:t>
      </w:r>
      <w:r w:rsidR="004756C1" w:rsidRPr="002F50BD">
        <w:rPr>
          <w:rFonts w:ascii="Verdana" w:hAnsi="Verdana"/>
          <w:sz w:val="20"/>
          <w:szCs w:val="32"/>
          <w:lang w:val="pt-BR"/>
        </w:rPr>
        <w:t>Estado.</w:t>
      </w:r>
    </w:p>
    <w:p w:rsidR="001C609B" w:rsidRPr="002F50BD" w:rsidRDefault="001C609B" w:rsidP="001C609B">
      <w:pPr>
        <w:jc w:val="both"/>
        <w:rPr>
          <w:rFonts w:ascii="Verdana" w:hAnsi="Verdana"/>
          <w:sz w:val="20"/>
          <w:szCs w:val="26"/>
          <w:lang w:val="pt-BR"/>
        </w:rPr>
      </w:pPr>
    </w:p>
    <w:p w:rsidR="004756C1" w:rsidRPr="002F50BD" w:rsidRDefault="0089298C">
      <w:pPr>
        <w:numPr>
          <w:ilvl w:val="0"/>
          <w:numId w:val="28"/>
        </w:numPr>
        <w:jc w:val="both"/>
        <w:rPr>
          <w:rFonts w:ascii="Verdana" w:hAnsi="Verdana"/>
          <w:sz w:val="20"/>
          <w:szCs w:val="26"/>
          <w:lang w:val="pt-BR"/>
        </w:rPr>
      </w:pPr>
      <w:r w:rsidRPr="002F50BD">
        <w:rPr>
          <w:rFonts w:ascii="Verdana" w:hAnsi="Verdana"/>
          <w:sz w:val="20"/>
          <w:szCs w:val="32"/>
          <w:lang w:val="pt-BR"/>
        </w:rPr>
        <w:t xml:space="preserve">A comunidade </w:t>
      </w:r>
      <w:r w:rsidR="004756C1" w:rsidRPr="002F50BD">
        <w:rPr>
          <w:rFonts w:ascii="Verdana" w:hAnsi="Verdana"/>
          <w:sz w:val="20"/>
          <w:szCs w:val="32"/>
          <w:lang w:val="pt-BR"/>
        </w:rPr>
        <w:t>indígena, para</w:t>
      </w:r>
      <w:r w:rsidRPr="002F50BD">
        <w:rPr>
          <w:rFonts w:ascii="Verdana" w:hAnsi="Verdana"/>
          <w:sz w:val="20"/>
          <w:szCs w:val="32"/>
          <w:lang w:val="pt-BR"/>
        </w:rPr>
        <w:t xml:space="preserve"> a </w:t>
      </w:r>
      <w:r w:rsidR="00385366" w:rsidRPr="002F50BD">
        <w:rPr>
          <w:rFonts w:ascii="Verdana" w:hAnsi="Verdana"/>
          <w:sz w:val="20"/>
          <w:szCs w:val="32"/>
          <w:lang w:val="pt-BR"/>
        </w:rPr>
        <w:t>legislação paraguaia</w:t>
      </w:r>
      <w:r w:rsidR="004756C1" w:rsidRPr="002F50BD">
        <w:rPr>
          <w:rFonts w:ascii="Verdana" w:hAnsi="Verdana"/>
          <w:sz w:val="20"/>
          <w:szCs w:val="32"/>
          <w:lang w:val="pt-BR"/>
        </w:rPr>
        <w:t xml:space="preserve">, </w:t>
      </w:r>
      <w:r w:rsidR="009B11AD" w:rsidRPr="002F50BD">
        <w:rPr>
          <w:rFonts w:ascii="Verdana" w:hAnsi="Verdana"/>
          <w:sz w:val="20"/>
          <w:szCs w:val="32"/>
          <w:lang w:val="pt-BR"/>
        </w:rPr>
        <w:t xml:space="preserve">deixou </w:t>
      </w:r>
      <w:r w:rsidR="004756C1" w:rsidRPr="002F50BD">
        <w:rPr>
          <w:rFonts w:ascii="Verdana" w:hAnsi="Verdana"/>
          <w:sz w:val="20"/>
          <w:szCs w:val="32"/>
          <w:lang w:val="pt-BR"/>
        </w:rPr>
        <w:t>de ser</w:t>
      </w:r>
      <w:r w:rsidRPr="002F50BD">
        <w:rPr>
          <w:rFonts w:ascii="Verdana" w:hAnsi="Verdana"/>
          <w:sz w:val="20"/>
          <w:szCs w:val="32"/>
          <w:lang w:val="pt-BR"/>
        </w:rPr>
        <w:t xml:space="preserve"> uma realidade </w:t>
      </w:r>
      <w:r w:rsidR="00AB454A" w:rsidRPr="002F50BD">
        <w:rPr>
          <w:rFonts w:ascii="Verdana" w:hAnsi="Verdana"/>
          <w:sz w:val="20"/>
          <w:szCs w:val="32"/>
          <w:lang w:val="pt-BR"/>
        </w:rPr>
        <w:t>fática</w:t>
      </w:r>
      <w:r w:rsidR="004756C1" w:rsidRPr="002F50BD">
        <w:rPr>
          <w:rFonts w:ascii="Verdana" w:hAnsi="Verdana"/>
          <w:sz w:val="20"/>
          <w:szCs w:val="32"/>
          <w:lang w:val="pt-BR"/>
        </w:rPr>
        <w:t xml:space="preserve"> para </w:t>
      </w:r>
      <w:r w:rsidR="005A6BC7" w:rsidRPr="002F50BD">
        <w:rPr>
          <w:rFonts w:ascii="Verdana" w:hAnsi="Verdana"/>
          <w:sz w:val="20"/>
          <w:szCs w:val="32"/>
          <w:lang w:val="pt-BR"/>
        </w:rPr>
        <w:t>passar</w:t>
      </w:r>
      <w:r w:rsidR="004756C1" w:rsidRPr="002F50BD">
        <w:rPr>
          <w:rFonts w:ascii="Verdana" w:hAnsi="Verdana"/>
          <w:sz w:val="20"/>
          <w:szCs w:val="32"/>
          <w:lang w:val="pt-BR"/>
        </w:rPr>
        <w:t xml:space="preserve"> a convert</w:t>
      </w:r>
      <w:r w:rsidR="009B11AD" w:rsidRPr="002F50BD">
        <w:rPr>
          <w:rFonts w:ascii="Verdana" w:hAnsi="Verdana"/>
          <w:sz w:val="20"/>
          <w:szCs w:val="32"/>
          <w:lang w:val="pt-BR"/>
        </w:rPr>
        <w:t>e</w:t>
      </w:r>
      <w:r w:rsidR="004756C1" w:rsidRPr="002F50BD">
        <w:rPr>
          <w:rFonts w:ascii="Verdana" w:hAnsi="Verdana"/>
          <w:sz w:val="20"/>
          <w:szCs w:val="32"/>
          <w:lang w:val="pt-BR"/>
        </w:rPr>
        <w:t>r</w:t>
      </w:r>
      <w:r w:rsidR="009B11AD" w:rsidRPr="002F50BD">
        <w:rPr>
          <w:rFonts w:ascii="Verdana" w:hAnsi="Verdana"/>
          <w:sz w:val="20"/>
          <w:szCs w:val="32"/>
          <w:lang w:val="pt-BR"/>
        </w:rPr>
        <w:t>-</w:t>
      </w:r>
      <w:r w:rsidR="004756C1" w:rsidRPr="002F50BD">
        <w:rPr>
          <w:rFonts w:ascii="Verdana" w:hAnsi="Verdana"/>
          <w:sz w:val="20"/>
          <w:szCs w:val="32"/>
          <w:lang w:val="pt-BR"/>
        </w:rPr>
        <w:t>se</w:t>
      </w:r>
      <w:r w:rsidRPr="002F50BD">
        <w:rPr>
          <w:rFonts w:ascii="Verdana" w:hAnsi="Verdana"/>
          <w:sz w:val="20"/>
          <w:szCs w:val="32"/>
          <w:lang w:val="pt-BR"/>
        </w:rPr>
        <w:t xml:space="preserve"> em sujeito</w:t>
      </w:r>
      <w:r w:rsidR="004756C1" w:rsidRPr="002F50BD">
        <w:rPr>
          <w:rFonts w:ascii="Verdana" w:hAnsi="Verdana"/>
          <w:sz w:val="20"/>
          <w:szCs w:val="32"/>
          <w:lang w:val="pt-BR"/>
        </w:rPr>
        <w:t xml:space="preserve"> pleno de </w:t>
      </w:r>
      <w:r w:rsidRPr="002F50BD">
        <w:rPr>
          <w:rFonts w:ascii="Verdana" w:hAnsi="Verdana"/>
          <w:sz w:val="20"/>
          <w:szCs w:val="32"/>
          <w:lang w:val="pt-BR"/>
        </w:rPr>
        <w:t>direito</w:t>
      </w:r>
      <w:r w:rsidR="004756C1" w:rsidRPr="002F50BD">
        <w:rPr>
          <w:rFonts w:ascii="Verdana" w:hAnsi="Verdana"/>
          <w:sz w:val="20"/>
          <w:szCs w:val="32"/>
          <w:lang w:val="pt-BR"/>
        </w:rPr>
        <w:t>s, que n</w:t>
      </w:r>
      <w:r w:rsidR="009B11AD" w:rsidRPr="002F50BD">
        <w:rPr>
          <w:rFonts w:ascii="Verdana" w:hAnsi="Verdana"/>
          <w:sz w:val="20"/>
          <w:szCs w:val="32"/>
          <w:lang w:val="pt-BR"/>
        </w:rPr>
        <w:t>ã</w:t>
      </w:r>
      <w:r w:rsidR="004756C1" w:rsidRPr="002F50BD">
        <w:rPr>
          <w:rFonts w:ascii="Verdana" w:hAnsi="Verdana"/>
          <w:sz w:val="20"/>
          <w:szCs w:val="32"/>
          <w:lang w:val="pt-BR"/>
        </w:rPr>
        <w:t>o se redu</w:t>
      </w:r>
      <w:r w:rsidR="009B11AD" w:rsidRPr="002F50BD">
        <w:rPr>
          <w:rFonts w:ascii="Verdana" w:hAnsi="Verdana"/>
          <w:sz w:val="20"/>
          <w:szCs w:val="32"/>
          <w:lang w:val="pt-BR"/>
        </w:rPr>
        <w:t>zem</w:t>
      </w:r>
      <w:r w:rsidRPr="002F50BD">
        <w:rPr>
          <w:rFonts w:ascii="Verdana" w:hAnsi="Verdana"/>
          <w:sz w:val="20"/>
          <w:szCs w:val="32"/>
          <w:lang w:val="pt-BR"/>
        </w:rPr>
        <w:t xml:space="preserve"> ao direito</w:t>
      </w:r>
      <w:r w:rsidR="004756C1" w:rsidRPr="002F50BD">
        <w:rPr>
          <w:rFonts w:ascii="Verdana" w:hAnsi="Verdana"/>
          <w:sz w:val="20"/>
          <w:szCs w:val="32"/>
          <w:lang w:val="pt-BR"/>
        </w:rPr>
        <w:t xml:space="preserve"> de </w:t>
      </w:r>
      <w:r w:rsidR="00AB454A" w:rsidRPr="002F50BD">
        <w:rPr>
          <w:rFonts w:ascii="Verdana" w:hAnsi="Verdana"/>
          <w:sz w:val="20"/>
          <w:szCs w:val="32"/>
          <w:lang w:val="pt-BR"/>
        </w:rPr>
        <w:t>seus membros</w:t>
      </w:r>
      <w:r w:rsidR="004756C1" w:rsidRPr="002F50BD">
        <w:rPr>
          <w:rFonts w:ascii="Verdana" w:hAnsi="Verdana"/>
          <w:sz w:val="20"/>
          <w:szCs w:val="32"/>
          <w:lang w:val="pt-BR"/>
        </w:rPr>
        <w:t xml:space="preserve"> individualmente considerados,</w:t>
      </w:r>
      <w:r w:rsidRPr="002F50BD">
        <w:rPr>
          <w:rFonts w:ascii="Verdana" w:hAnsi="Verdana"/>
          <w:sz w:val="20"/>
          <w:szCs w:val="32"/>
          <w:lang w:val="pt-BR"/>
        </w:rPr>
        <w:t xml:space="preserve"> mas </w:t>
      </w:r>
      <w:r w:rsidR="009B11AD" w:rsidRPr="002F50BD">
        <w:rPr>
          <w:rFonts w:ascii="Verdana" w:hAnsi="Verdana"/>
          <w:sz w:val="20"/>
          <w:szCs w:val="32"/>
          <w:lang w:val="pt-BR"/>
        </w:rPr>
        <w:t xml:space="preserve">que </w:t>
      </w:r>
      <w:r w:rsidR="004756C1" w:rsidRPr="002F50BD">
        <w:rPr>
          <w:rFonts w:ascii="Verdana" w:hAnsi="Verdana"/>
          <w:sz w:val="20"/>
          <w:szCs w:val="32"/>
          <w:lang w:val="pt-BR"/>
        </w:rPr>
        <w:t xml:space="preserve">se </w:t>
      </w:r>
      <w:r w:rsidR="006603BE" w:rsidRPr="002F50BD">
        <w:rPr>
          <w:rFonts w:ascii="Verdana" w:hAnsi="Verdana"/>
          <w:sz w:val="20"/>
          <w:szCs w:val="32"/>
          <w:lang w:val="pt-BR"/>
        </w:rPr>
        <w:t>estabelecem</w:t>
      </w:r>
      <w:r w:rsidRPr="002F50BD">
        <w:rPr>
          <w:rFonts w:ascii="Verdana" w:hAnsi="Verdana"/>
          <w:sz w:val="20"/>
          <w:szCs w:val="32"/>
          <w:lang w:val="pt-BR"/>
        </w:rPr>
        <w:t xml:space="preserve"> na </w:t>
      </w:r>
      <w:r w:rsidR="009B11AD" w:rsidRPr="002F50BD">
        <w:rPr>
          <w:rFonts w:ascii="Verdana" w:hAnsi="Verdana"/>
          <w:sz w:val="20"/>
          <w:szCs w:val="32"/>
          <w:lang w:val="pt-BR"/>
        </w:rPr>
        <w:t xml:space="preserve">própria </w:t>
      </w:r>
      <w:r w:rsidRPr="002F50BD">
        <w:rPr>
          <w:rFonts w:ascii="Verdana" w:hAnsi="Verdana"/>
          <w:sz w:val="20"/>
          <w:szCs w:val="32"/>
          <w:lang w:val="pt-BR"/>
        </w:rPr>
        <w:t>comunidade</w:t>
      </w:r>
      <w:r w:rsidR="004756C1" w:rsidRPr="002F50BD">
        <w:rPr>
          <w:rFonts w:ascii="Verdana" w:hAnsi="Verdana"/>
          <w:sz w:val="20"/>
          <w:szCs w:val="32"/>
          <w:lang w:val="pt-BR"/>
        </w:rPr>
        <w:t>, dotada de singularidad</w:t>
      </w:r>
      <w:r w:rsidR="009B11AD" w:rsidRPr="002F50BD">
        <w:rPr>
          <w:rFonts w:ascii="Verdana" w:hAnsi="Verdana"/>
          <w:sz w:val="20"/>
          <w:szCs w:val="32"/>
          <w:lang w:val="pt-BR"/>
        </w:rPr>
        <w:t>e</w:t>
      </w:r>
      <w:r w:rsidR="00AB454A" w:rsidRPr="002F50BD">
        <w:rPr>
          <w:rFonts w:ascii="Verdana" w:hAnsi="Verdana"/>
          <w:sz w:val="20"/>
          <w:szCs w:val="32"/>
          <w:lang w:val="pt-BR"/>
        </w:rPr>
        <w:t xml:space="preserve"> própria</w:t>
      </w:r>
      <w:r w:rsidR="00BE346D" w:rsidRPr="002F50BD">
        <w:rPr>
          <w:rFonts w:ascii="Verdana" w:hAnsi="Verdana"/>
          <w:sz w:val="20"/>
          <w:szCs w:val="32"/>
          <w:lang w:val="pt-BR"/>
        </w:rPr>
        <w:t xml:space="preserve">. A </w:t>
      </w:r>
      <w:r w:rsidR="007801FA" w:rsidRPr="002F50BD">
        <w:rPr>
          <w:rFonts w:ascii="Verdana" w:hAnsi="Verdana"/>
          <w:sz w:val="20"/>
          <w:szCs w:val="32"/>
          <w:lang w:val="pt-BR"/>
        </w:rPr>
        <w:t>personalidade</w:t>
      </w:r>
      <w:r w:rsidR="004756C1" w:rsidRPr="002F50BD">
        <w:rPr>
          <w:rFonts w:ascii="Verdana" w:hAnsi="Verdana"/>
          <w:sz w:val="20"/>
          <w:szCs w:val="32"/>
          <w:lang w:val="pt-BR"/>
        </w:rPr>
        <w:t xml:space="preserve"> jurídica, </w:t>
      </w:r>
      <w:r w:rsidR="001051F4" w:rsidRPr="002F50BD">
        <w:rPr>
          <w:rFonts w:ascii="Verdana" w:hAnsi="Verdana"/>
          <w:sz w:val="20"/>
          <w:szCs w:val="32"/>
          <w:lang w:val="pt-BR"/>
        </w:rPr>
        <w:t>p</w:t>
      </w:r>
      <w:r w:rsidR="004076AD" w:rsidRPr="002F50BD">
        <w:rPr>
          <w:rFonts w:ascii="Verdana" w:hAnsi="Verdana"/>
          <w:sz w:val="20"/>
          <w:szCs w:val="32"/>
          <w:lang w:val="pt-BR"/>
        </w:rPr>
        <w:t>or sua vez</w:t>
      </w:r>
      <w:r w:rsidR="004756C1" w:rsidRPr="002F50BD">
        <w:rPr>
          <w:rFonts w:ascii="Verdana" w:hAnsi="Verdana"/>
          <w:sz w:val="20"/>
          <w:szCs w:val="32"/>
          <w:lang w:val="pt-BR"/>
        </w:rPr>
        <w:t>,</w:t>
      </w:r>
      <w:r w:rsidRPr="002F50BD">
        <w:rPr>
          <w:rFonts w:ascii="Verdana" w:hAnsi="Verdana"/>
          <w:sz w:val="20"/>
          <w:szCs w:val="32"/>
          <w:lang w:val="pt-BR"/>
        </w:rPr>
        <w:t xml:space="preserve"> é o </w:t>
      </w:r>
      <w:r w:rsidR="004756C1" w:rsidRPr="002F50BD">
        <w:rPr>
          <w:rFonts w:ascii="Verdana" w:hAnsi="Verdana"/>
          <w:sz w:val="20"/>
          <w:szCs w:val="32"/>
          <w:lang w:val="pt-BR"/>
        </w:rPr>
        <w:t>mecanismo legal que</w:t>
      </w:r>
      <w:r w:rsidRPr="002F50BD">
        <w:rPr>
          <w:rFonts w:ascii="Verdana" w:hAnsi="Verdana"/>
          <w:sz w:val="20"/>
          <w:szCs w:val="32"/>
          <w:lang w:val="pt-BR"/>
        </w:rPr>
        <w:t xml:space="preserve"> lhes </w:t>
      </w:r>
      <w:r w:rsidR="001051F4" w:rsidRPr="002F50BD">
        <w:rPr>
          <w:rFonts w:ascii="Verdana" w:hAnsi="Verdana"/>
          <w:sz w:val="20"/>
          <w:szCs w:val="32"/>
          <w:lang w:val="pt-BR"/>
        </w:rPr>
        <w:t>confere</w:t>
      </w:r>
      <w:r w:rsidRPr="002F50BD">
        <w:rPr>
          <w:rFonts w:ascii="Verdana" w:hAnsi="Verdana"/>
          <w:sz w:val="20"/>
          <w:szCs w:val="32"/>
          <w:lang w:val="pt-BR"/>
        </w:rPr>
        <w:t xml:space="preserve"> o </w:t>
      </w:r>
      <w:r w:rsidR="004756C1" w:rsidRPr="00F130FD">
        <w:rPr>
          <w:rFonts w:ascii="Verdana" w:hAnsi="Verdana"/>
          <w:i/>
          <w:sz w:val="20"/>
          <w:szCs w:val="32"/>
          <w:lang w:val="pt-BR"/>
        </w:rPr>
        <w:t>status</w:t>
      </w:r>
      <w:r w:rsidR="004756C1" w:rsidRPr="002F50BD">
        <w:rPr>
          <w:rFonts w:ascii="Verdana" w:hAnsi="Verdana"/>
          <w:sz w:val="20"/>
          <w:szCs w:val="32"/>
          <w:lang w:val="pt-BR"/>
        </w:rPr>
        <w:t xml:space="preserve"> </w:t>
      </w:r>
      <w:r w:rsidRPr="002F50BD">
        <w:rPr>
          <w:rFonts w:ascii="Verdana" w:hAnsi="Verdana"/>
          <w:sz w:val="20"/>
          <w:szCs w:val="32"/>
          <w:lang w:val="pt-BR"/>
        </w:rPr>
        <w:t>necessári</w:t>
      </w:r>
      <w:r w:rsidR="004756C1" w:rsidRPr="002F50BD">
        <w:rPr>
          <w:rFonts w:ascii="Verdana" w:hAnsi="Verdana"/>
          <w:sz w:val="20"/>
          <w:szCs w:val="32"/>
          <w:lang w:val="pt-BR"/>
        </w:rPr>
        <w:t>o para gozar de</w:t>
      </w:r>
      <w:r w:rsidRPr="002F50BD">
        <w:rPr>
          <w:rFonts w:ascii="Verdana" w:hAnsi="Verdana"/>
          <w:sz w:val="20"/>
          <w:szCs w:val="32"/>
          <w:lang w:val="pt-BR"/>
        </w:rPr>
        <w:t xml:space="preserve"> certos</w:t>
      </w:r>
      <w:r w:rsidR="004756C1" w:rsidRPr="002F50BD">
        <w:rPr>
          <w:rFonts w:ascii="Verdana" w:hAnsi="Verdana"/>
          <w:sz w:val="20"/>
          <w:szCs w:val="32"/>
          <w:lang w:val="pt-BR"/>
        </w:rPr>
        <w:t xml:space="preserve"> </w:t>
      </w:r>
      <w:r w:rsidRPr="002F50BD">
        <w:rPr>
          <w:rFonts w:ascii="Verdana" w:hAnsi="Verdana"/>
          <w:sz w:val="20"/>
          <w:szCs w:val="32"/>
          <w:lang w:val="pt-BR"/>
        </w:rPr>
        <w:t>direito</w:t>
      </w:r>
      <w:r w:rsidR="004756C1" w:rsidRPr="002F50BD">
        <w:rPr>
          <w:rFonts w:ascii="Verdana" w:hAnsi="Verdana"/>
          <w:sz w:val="20"/>
          <w:szCs w:val="32"/>
          <w:lang w:val="pt-BR"/>
        </w:rPr>
        <w:t xml:space="preserve">s </w:t>
      </w:r>
      <w:r w:rsidRPr="002F50BD">
        <w:rPr>
          <w:rFonts w:ascii="Verdana" w:hAnsi="Verdana"/>
          <w:sz w:val="20"/>
          <w:szCs w:val="32"/>
          <w:lang w:val="pt-BR"/>
        </w:rPr>
        <w:t>fundamentais</w:t>
      </w:r>
      <w:r w:rsidR="004756C1" w:rsidRPr="002F50BD">
        <w:rPr>
          <w:rFonts w:ascii="Verdana" w:hAnsi="Verdana"/>
          <w:sz w:val="20"/>
          <w:szCs w:val="32"/>
          <w:lang w:val="pt-BR"/>
        </w:rPr>
        <w:t>, como</w:t>
      </w:r>
      <w:r w:rsidR="001051F4" w:rsidRPr="002F50BD">
        <w:rPr>
          <w:rFonts w:ascii="Verdana" w:hAnsi="Verdana"/>
          <w:sz w:val="20"/>
          <w:szCs w:val="32"/>
          <w:lang w:val="pt-BR"/>
        </w:rPr>
        <w:t>,</w:t>
      </w:r>
      <w:r w:rsidR="004756C1" w:rsidRPr="002F50BD">
        <w:rPr>
          <w:rFonts w:ascii="Verdana" w:hAnsi="Verdana"/>
          <w:sz w:val="20"/>
          <w:szCs w:val="32"/>
          <w:lang w:val="pt-BR"/>
        </w:rPr>
        <w:t xml:space="preserve"> por </w:t>
      </w:r>
      <w:r w:rsidRPr="002F50BD">
        <w:rPr>
          <w:rFonts w:ascii="Verdana" w:hAnsi="Verdana"/>
          <w:sz w:val="20"/>
          <w:szCs w:val="32"/>
          <w:lang w:val="pt-BR"/>
        </w:rPr>
        <w:t>exemplo</w:t>
      </w:r>
      <w:r w:rsidR="001051F4" w:rsidRPr="002F50BD">
        <w:rPr>
          <w:rFonts w:ascii="Verdana" w:hAnsi="Verdana"/>
          <w:sz w:val="20"/>
          <w:szCs w:val="32"/>
          <w:lang w:val="pt-BR"/>
        </w:rPr>
        <w:t>,</w:t>
      </w:r>
      <w:r w:rsidRPr="002F50BD">
        <w:rPr>
          <w:rFonts w:ascii="Verdana" w:hAnsi="Verdana"/>
          <w:sz w:val="20"/>
          <w:szCs w:val="32"/>
          <w:lang w:val="pt-BR"/>
        </w:rPr>
        <w:t xml:space="preserve"> a propriedade</w:t>
      </w:r>
      <w:r w:rsidR="004756C1" w:rsidRPr="002F50BD">
        <w:rPr>
          <w:rFonts w:ascii="Verdana" w:hAnsi="Verdana"/>
          <w:sz w:val="20"/>
          <w:szCs w:val="32"/>
          <w:lang w:val="pt-BR"/>
        </w:rPr>
        <w:t xml:space="preserve"> comunal</w:t>
      </w:r>
      <w:r w:rsidRPr="002F50BD">
        <w:rPr>
          <w:rFonts w:ascii="Verdana" w:hAnsi="Verdana"/>
          <w:sz w:val="20"/>
          <w:szCs w:val="32"/>
          <w:lang w:val="pt-BR"/>
        </w:rPr>
        <w:t>, e</w:t>
      </w:r>
      <w:r w:rsidR="004756C1" w:rsidRPr="002F50BD">
        <w:rPr>
          <w:rFonts w:ascii="Verdana" w:hAnsi="Verdana"/>
          <w:sz w:val="20"/>
          <w:szCs w:val="32"/>
          <w:lang w:val="pt-BR"/>
        </w:rPr>
        <w:t xml:space="preserve"> exigir su</w:t>
      </w:r>
      <w:r w:rsidR="001051F4" w:rsidRPr="002F50BD">
        <w:rPr>
          <w:rFonts w:ascii="Verdana" w:hAnsi="Verdana"/>
          <w:sz w:val="20"/>
          <w:szCs w:val="32"/>
          <w:lang w:val="pt-BR"/>
        </w:rPr>
        <w:t>a</w:t>
      </w:r>
      <w:r w:rsidR="004756C1" w:rsidRPr="002F50BD">
        <w:rPr>
          <w:rFonts w:ascii="Verdana" w:hAnsi="Verdana"/>
          <w:sz w:val="20"/>
          <w:szCs w:val="32"/>
          <w:lang w:val="pt-BR"/>
        </w:rPr>
        <w:t xml:space="preserve"> </w:t>
      </w:r>
      <w:r w:rsidRPr="002F50BD">
        <w:rPr>
          <w:rFonts w:ascii="Verdana" w:hAnsi="Verdana"/>
          <w:sz w:val="20"/>
          <w:szCs w:val="32"/>
          <w:lang w:val="pt-BR"/>
        </w:rPr>
        <w:t>proteção</w:t>
      </w:r>
      <w:r w:rsidR="004756C1" w:rsidRPr="002F50BD">
        <w:rPr>
          <w:rFonts w:ascii="Verdana" w:hAnsi="Verdana"/>
          <w:sz w:val="20"/>
          <w:szCs w:val="32"/>
          <w:lang w:val="pt-BR"/>
        </w:rPr>
        <w:t xml:space="preserve"> cada vez que</w:t>
      </w:r>
      <w:r w:rsidRPr="002F50BD">
        <w:rPr>
          <w:rFonts w:ascii="Verdana" w:hAnsi="Verdana"/>
          <w:sz w:val="20"/>
          <w:szCs w:val="32"/>
          <w:lang w:val="pt-BR"/>
        </w:rPr>
        <w:t xml:space="preserve"> ele</w:t>
      </w:r>
      <w:r w:rsidR="004756C1" w:rsidRPr="002F50BD">
        <w:rPr>
          <w:rFonts w:ascii="Verdana" w:hAnsi="Verdana"/>
          <w:sz w:val="20"/>
          <w:szCs w:val="32"/>
          <w:lang w:val="pt-BR"/>
        </w:rPr>
        <w:t>s</w:t>
      </w:r>
      <w:r w:rsidRPr="002F50BD">
        <w:rPr>
          <w:rFonts w:ascii="Verdana" w:hAnsi="Verdana"/>
          <w:sz w:val="20"/>
          <w:szCs w:val="32"/>
          <w:lang w:val="pt-BR"/>
        </w:rPr>
        <w:t xml:space="preserve"> sejam </w:t>
      </w:r>
      <w:r w:rsidR="006603BE" w:rsidRPr="002F50BD">
        <w:rPr>
          <w:rFonts w:ascii="Verdana" w:hAnsi="Verdana"/>
          <w:sz w:val="20"/>
          <w:szCs w:val="32"/>
          <w:lang w:val="pt-BR"/>
        </w:rPr>
        <w:t>violados</w:t>
      </w:r>
      <w:r w:rsidR="004756C1" w:rsidRPr="002F50BD">
        <w:rPr>
          <w:rFonts w:ascii="Verdana" w:hAnsi="Verdana"/>
          <w:sz w:val="20"/>
          <w:szCs w:val="32"/>
          <w:lang w:val="pt-BR"/>
        </w:rPr>
        <w:t xml:space="preserve">. </w:t>
      </w:r>
    </w:p>
    <w:p w:rsidR="004756C1" w:rsidRPr="002F50BD" w:rsidRDefault="004756C1">
      <w:pPr>
        <w:jc w:val="both"/>
        <w:rPr>
          <w:rFonts w:ascii="Verdana" w:hAnsi="Verdana"/>
          <w:sz w:val="20"/>
          <w:lang w:val="pt-BR"/>
        </w:rPr>
      </w:pPr>
    </w:p>
    <w:p w:rsidR="004756C1" w:rsidRPr="002F50BD" w:rsidRDefault="001051F4">
      <w:pPr>
        <w:numPr>
          <w:ilvl w:val="0"/>
          <w:numId w:val="28"/>
        </w:numPr>
        <w:jc w:val="both"/>
        <w:rPr>
          <w:rFonts w:ascii="Verdana" w:hAnsi="Verdana"/>
          <w:sz w:val="20"/>
          <w:lang w:val="pt-BR"/>
        </w:rPr>
      </w:pPr>
      <w:r w:rsidRPr="002F50BD">
        <w:rPr>
          <w:rFonts w:ascii="Verdana" w:hAnsi="Verdana"/>
          <w:sz w:val="20"/>
          <w:lang w:val="pt-BR"/>
        </w:rPr>
        <w:t>Consequentemente</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 xml:space="preserve">conclui </w:t>
      </w:r>
      <w:r w:rsidR="004756C1" w:rsidRPr="002F50BD">
        <w:rPr>
          <w:rFonts w:ascii="Verdana" w:hAnsi="Verdana"/>
          <w:sz w:val="20"/>
          <w:lang w:val="pt-BR"/>
        </w:rPr>
        <w:t>que</w:t>
      </w:r>
      <w:r w:rsidR="0089298C" w:rsidRPr="002F50BD">
        <w:rPr>
          <w:rFonts w:ascii="Verdana" w:hAnsi="Verdana"/>
          <w:sz w:val="20"/>
          <w:lang w:val="pt-BR"/>
        </w:rPr>
        <w:t xml:space="preserve"> a </w:t>
      </w:r>
      <w:r w:rsidR="007801FA" w:rsidRPr="002F50BD">
        <w:rPr>
          <w:rFonts w:ascii="Verdana" w:hAnsi="Verdana"/>
          <w:sz w:val="20"/>
          <w:szCs w:val="26"/>
          <w:lang w:val="pt-BR"/>
        </w:rPr>
        <w:t>personalidade</w:t>
      </w:r>
      <w:r w:rsidR="004756C1" w:rsidRPr="002F50BD">
        <w:rPr>
          <w:rFonts w:ascii="Verdana" w:hAnsi="Verdana"/>
          <w:sz w:val="20"/>
          <w:szCs w:val="26"/>
          <w:lang w:val="pt-BR"/>
        </w:rPr>
        <w:t xml:space="preserve"> jurídica,</w:t>
      </w:r>
      <w:r w:rsidR="0089298C" w:rsidRPr="002F50BD">
        <w:rPr>
          <w:rFonts w:ascii="Verdana" w:hAnsi="Verdana"/>
          <w:sz w:val="20"/>
          <w:szCs w:val="26"/>
          <w:lang w:val="pt-BR"/>
        </w:rPr>
        <w:t xml:space="preserve"> </w:t>
      </w:r>
      <w:r w:rsidRPr="002F50BD">
        <w:rPr>
          <w:rFonts w:ascii="Verdana" w:hAnsi="Verdana"/>
          <w:sz w:val="20"/>
          <w:szCs w:val="26"/>
          <w:lang w:val="pt-BR"/>
        </w:rPr>
        <w:t xml:space="preserve">de acordo com </w:t>
      </w:r>
      <w:r w:rsidR="0089298C" w:rsidRPr="002F50BD">
        <w:rPr>
          <w:rFonts w:ascii="Verdana" w:hAnsi="Verdana"/>
          <w:sz w:val="20"/>
          <w:szCs w:val="26"/>
          <w:lang w:val="pt-BR"/>
        </w:rPr>
        <w:t>o direito</w:t>
      </w:r>
      <w:r w:rsidR="004756C1" w:rsidRPr="002F50BD">
        <w:rPr>
          <w:rFonts w:ascii="Verdana" w:hAnsi="Verdana"/>
          <w:sz w:val="20"/>
          <w:szCs w:val="26"/>
          <w:lang w:val="pt-BR"/>
        </w:rPr>
        <w:t xml:space="preserve"> interno </w:t>
      </w:r>
      <w:r w:rsidRPr="002F50BD">
        <w:rPr>
          <w:rFonts w:ascii="Verdana" w:hAnsi="Verdana"/>
          <w:sz w:val="20"/>
          <w:szCs w:val="26"/>
          <w:lang w:val="pt-BR"/>
        </w:rPr>
        <w:t>p</w:t>
      </w:r>
      <w:r w:rsidR="0089298C" w:rsidRPr="002F50BD">
        <w:rPr>
          <w:rFonts w:ascii="Verdana" w:hAnsi="Verdana"/>
          <w:sz w:val="20"/>
          <w:szCs w:val="26"/>
          <w:lang w:val="pt-BR"/>
        </w:rPr>
        <w:t>araguai</w:t>
      </w:r>
      <w:r w:rsidR="004756C1" w:rsidRPr="002F50BD">
        <w:rPr>
          <w:rFonts w:ascii="Verdana" w:hAnsi="Verdana"/>
          <w:sz w:val="20"/>
          <w:szCs w:val="26"/>
          <w:lang w:val="pt-BR"/>
        </w:rPr>
        <w:t>o,</w:t>
      </w:r>
      <w:r w:rsidR="0089298C" w:rsidRPr="002F50BD">
        <w:rPr>
          <w:rFonts w:ascii="Verdana" w:hAnsi="Verdana"/>
          <w:sz w:val="20"/>
          <w:szCs w:val="26"/>
          <w:lang w:val="pt-BR"/>
        </w:rPr>
        <w:t xml:space="preserve"> é outro direito</w:t>
      </w:r>
      <w:r w:rsidR="004756C1" w:rsidRPr="002F50BD">
        <w:rPr>
          <w:rFonts w:ascii="Verdana" w:hAnsi="Verdana"/>
          <w:sz w:val="20"/>
          <w:szCs w:val="26"/>
          <w:lang w:val="pt-BR"/>
        </w:rPr>
        <w:t xml:space="preserve"> </w:t>
      </w:r>
      <w:r w:rsidR="0089298C" w:rsidRPr="002F50BD">
        <w:rPr>
          <w:rFonts w:ascii="Verdana" w:hAnsi="Verdana"/>
          <w:sz w:val="20"/>
          <w:szCs w:val="26"/>
          <w:lang w:val="pt-BR"/>
        </w:rPr>
        <w:t>garantid</w:t>
      </w:r>
      <w:r w:rsidR="004756C1" w:rsidRPr="002F50BD">
        <w:rPr>
          <w:rFonts w:ascii="Verdana" w:hAnsi="Verdana"/>
          <w:sz w:val="20"/>
          <w:szCs w:val="26"/>
          <w:lang w:val="pt-BR"/>
        </w:rPr>
        <w:t>o</w:t>
      </w:r>
      <w:r w:rsidR="0089298C" w:rsidRPr="002F50BD">
        <w:rPr>
          <w:rFonts w:ascii="Verdana" w:hAnsi="Verdana"/>
          <w:sz w:val="20"/>
          <w:szCs w:val="26"/>
          <w:lang w:val="pt-BR"/>
        </w:rPr>
        <w:t xml:space="preserve"> à Comunidade </w:t>
      </w:r>
      <w:r w:rsidR="004756C1" w:rsidRPr="002F50BD">
        <w:rPr>
          <w:rFonts w:ascii="Verdana" w:hAnsi="Verdana"/>
          <w:sz w:val="20"/>
          <w:szCs w:val="26"/>
          <w:lang w:val="pt-BR"/>
        </w:rPr>
        <w:t xml:space="preserve">indígena, como </w:t>
      </w:r>
      <w:r w:rsidR="0089298C" w:rsidRPr="002F50BD">
        <w:rPr>
          <w:rFonts w:ascii="Verdana" w:hAnsi="Verdana"/>
          <w:sz w:val="20"/>
          <w:szCs w:val="26"/>
          <w:lang w:val="pt-BR"/>
        </w:rPr>
        <w:t>sujeito</w:t>
      </w:r>
      <w:r w:rsidR="004756C1" w:rsidRPr="002F50BD">
        <w:rPr>
          <w:rFonts w:ascii="Verdana" w:hAnsi="Verdana"/>
          <w:sz w:val="20"/>
          <w:szCs w:val="26"/>
          <w:lang w:val="pt-BR"/>
        </w:rPr>
        <w:t xml:space="preserve"> de </w:t>
      </w:r>
      <w:r w:rsidR="0089298C" w:rsidRPr="002F50BD">
        <w:rPr>
          <w:rFonts w:ascii="Verdana" w:hAnsi="Verdana"/>
          <w:sz w:val="20"/>
          <w:szCs w:val="26"/>
          <w:lang w:val="pt-BR"/>
        </w:rPr>
        <w:t>direito</w:t>
      </w:r>
      <w:r w:rsidR="004756C1" w:rsidRPr="002F50BD">
        <w:rPr>
          <w:rFonts w:ascii="Verdana" w:hAnsi="Verdana"/>
          <w:sz w:val="20"/>
          <w:szCs w:val="26"/>
          <w:lang w:val="pt-BR"/>
        </w:rPr>
        <w:t>s</w:t>
      </w:r>
      <w:r w:rsidRPr="002F50BD">
        <w:rPr>
          <w:rFonts w:ascii="Verdana" w:hAnsi="Verdana"/>
          <w:sz w:val="20"/>
          <w:szCs w:val="26"/>
          <w:lang w:val="pt-BR"/>
        </w:rPr>
        <w:t xml:space="preserve"> </w:t>
      </w:r>
      <w:r w:rsidR="0089298C" w:rsidRPr="002F50BD">
        <w:rPr>
          <w:rFonts w:ascii="Verdana" w:hAnsi="Verdana"/>
          <w:sz w:val="20"/>
          <w:szCs w:val="26"/>
          <w:lang w:val="pt-BR"/>
        </w:rPr>
        <w:t>e</w:t>
      </w:r>
      <w:r w:rsidRPr="002F50BD">
        <w:rPr>
          <w:rFonts w:ascii="Verdana" w:hAnsi="Verdana"/>
          <w:sz w:val="20"/>
          <w:szCs w:val="26"/>
          <w:lang w:val="pt-BR"/>
        </w:rPr>
        <w:t>,</w:t>
      </w:r>
      <w:r w:rsidR="004756C1" w:rsidRPr="002F50BD">
        <w:rPr>
          <w:rFonts w:ascii="Verdana" w:hAnsi="Verdana"/>
          <w:sz w:val="20"/>
          <w:szCs w:val="26"/>
          <w:lang w:val="pt-BR"/>
        </w:rPr>
        <w:t xml:space="preserve"> portanto,</w:t>
      </w:r>
      <w:r w:rsidR="0089298C" w:rsidRPr="002F50BD">
        <w:rPr>
          <w:rFonts w:ascii="Verdana" w:hAnsi="Verdana"/>
          <w:sz w:val="20"/>
          <w:szCs w:val="26"/>
          <w:lang w:val="pt-BR"/>
        </w:rPr>
        <w:t xml:space="preserve"> é </w:t>
      </w:r>
      <w:r w:rsidR="004756C1" w:rsidRPr="002F50BD">
        <w:rPr>
          <w:rFonts w:ascii="Verdana" w:hAnsi="Verdana"/>
          <w:sz w:val="20"/>
          <w:szCs w:val="26"/>
          <w:lang w:val="pt-BR"/>
        </w:rPr>
        <w:t>irrelevante</w:t>
      </w:r>
      <w:r w:rsidR="0089298C" w:rsidRPr="002F50BD">
        <w:rPr>
          <w:rFonts w:ascii="Verdana" w:hAnsi="Verdana"/>
          <w:sz w:val="20"/>
          <w:szCs w:val="26"/>
          <w:lang w:val="pt-BR"/>
        </w:rPr>
        <w:t xml:space="preserve"> a data </w:t>
      </w:r>
      <w:r w:rsidRPr="002F50BD">
        <w:rPr>
          <w:rFonts w:ascii="Verdana" w:hAnsi="Verdana"/>
          <w:sz w:val="20"/>
          <w:szCs w:val="26"/>
          <w:lang w:val="pt-BR"/>
        </w:rPr>
        <w:t xml:space="preserve">na qual </w:t>
      </w:r>
      <w:r w:rsidR="0089298C" w:rsidRPr="002F50BD">
        <w:rPr>
          <w:rFonts w:ascii="Verdana" w:hAnsi="Verdana"/>
          <w:sz w:val="20"/>
          <w:szCs w:val="26"/>
          <w:lang w:val="pt-BR"/>
        </w:rPr>
        <w:t>esta foi outorga</w:t>
      </w:r>
      <w:r w:rsidR="004756C1" w:rsidRPr="002F50BD">
        <w:rPr>
          <w:rFonts w:ascii="Verdana" w:hAnsi="Verdana"/>
          <w:sz w:val="20"/>
          <w:szCs w:val="26"/>
          <w:lang w:val="pt-BR"/>
        </w:rPr>
        <w:t xml:space="preserve">da, </w:t>
      </w:r>
      <w:r w:rsidRPr="002F50BD">
        <w:rPr>
          <w:rFonts w:ascii="Verdana" w:hAnsi="Verdana"/>
          <w:sz w:val="20"/>
          <w:szCs w:val="26"/>
          <w:lang w:val="pt-BR"/>
        </w:rPr>
        <w:t>para</w:t>
      </w:r>
      <w:r w:rsidR="004756C1" w:rsidRPr="002F50BD">
        <w:rPr>
          <w:rFonts w:ascii="Verdana" w:hAnsi="Verdana"/>
          <w:sz w:val="20"/>
          <w:szCs w:val="26"/>
          <w:lang w:val="pt-BR"/>
        </w:rPr>
        <w:t xml:space="preserve"> </w:t>
      </w:r>
      <w:r w:rsidR="0089298C" w:rsidRPr="002F50BD">
        <w:rPr>
          <w:rFonts w:ascii="Verdana" w:hAnsi="Verdana"/>
          <w:sz w:val="20"/>
          <w:szCs w:val="26"/>
          <w:lang w:val="pt-BR"/>
        </w:rPr>
        <w:t>efeito</w:t>
      </w:r>
      <w:r w:rsidR="004756C1" w:rsidRPr="002F50BD">
        <w:rPr>
          <w:rFonts w:ascii="Verdana" w:hAnsi="Verdana"/>
          <w:sz w:val="20"/>
          <w:szCs w:val="26"/>
          <w:lang w:val="pt-BR"/>
        </w:rPr>
        <w:t xml:space="preserve">s </w:t>
      </w:r>
      <w:r w:rsidR="0089298C" w:rsidRPr="002F50BD">
        <w:rPr>
          <w:rFonts w:ascii="Verdana" w:hAnsi="Verdana"/>
          <w:sz w:val="20"/>
          <w:szCs w:val="26"/>
          <w:lang w:val="pt-BR"/>
        </w:rPr>
        <w:t>do estabelecimento</w:t>
      </w:r>
      <w:r w:rsidR="004756C1" w:rsidRPr="002F50BD">
        <w:rPr>
          <w:rFonts w:ascii="Verdana" w:hAnsi="Verdana"/>
          <w:sz w:val="20"/>
          <w:szCs w:val="26"/>
          <w:lang w:val="pt-BR"/>
        </w:rPr>
        <w:t xml:space="preserve"> </w:t>
      </w:r>
      <w:r w:rsidR="0089298C" w:rsidRPr="002F50BD">
        <w:rPr>
          <w:rFonts w:ascii="Verdana" w:hAnsi="Verdana"/>
          <w:sz w:val="20"/>
          <w:szCs w:val="26"/>
          <w:lang w:val="pt-BR"/>
        </w:rPr>
        <w:t xml:space="preserve">do início </w:t>
      </w:r>
      <w:r w:rsidR="004756C1" w:rsidRPr="002F50BD">
        <w:rPr>
          <w:rFonts w:ascii="Verdana" w:hAnsi="Verdana"/>
          <w:sz w:val="20"/>
          <w:szCs w:val="26"/>
          <w:lang w:val="pt-BR"/>
        </w:rPr>
        <w:t>de contabiliza</w:t>
      </w:r>
      <w:r w:rsidR="0089298C" w:rsidRPr="002F50BD">
        <w:rPr>
          <w:rFonts w:ascii="Verdana" w:hAnsi="Verdana"/>
          <w:sz w:val="20"/>
          <w:szCs w:val="26"/>
          <w:lang w:val="pt-BR"/>
        </w:rPr>
        <w:t>ção</w:t>
      </w:r>
      <w:r w:rsidR="004756C1" w:rsidRPr="002F50BD">
        <w:rPr>
          <w:rFonts w:ascii="Verdana" w:hAnsi="Verdana"/>
          <w:sz w:val="20"/>
          <w:szCs w:val="26"/>
          <w:lang w:val="pt-BR"/>
        </w:rPr>
        <w:t xml:space="preserve"> </w:t>
      </w:r>
      <w:r w:rsidR="0089298C" w:rsidRPr="002F50BD">
        <w:rPr>
          <w:rFonts w:ascii="Verdana" w:hAnsi="Verdana"/>
          <w:sz w:val="20"/>
          <w:szCs w:val="26"/>
          <w:lang w:val="pt-BR"/>
        </w:rPr>
        <w:t>do prazo</w:t>
      </w:r>
      <w:r w:rsidR="004756C1" w:rsidRPr="002F50BD">
        <w:rPr>
          <w:rFonts w:ascii="Verdana" w:hAnsi="Verdana"/>
          <w:sz w:val="20"/>
          <w:szCs w:val="26"/>
          <w:lang w:val="pt-BR"/>
        </w:rPr>
        <w:t xml:space="preserve"> de dura</w:t>
      </w:r>
      <w:r w:rsidR="0089298C" w:rsidRPr="002F50BD">
        <w:rPr>
          <w:rFonts w:ascii="Verdana" w:hAnsi="Verdana"/>
          <w:sz w:val="20"/>
          <w:szCs w:val="26"/>
          <w:lang w:val="pt-BR"/>
        </w:rPr>
        <w:t>ção</w:t>
      </w:r>
      <w:r w:rsidR="004756C1" w:rsidRPr="002F50BD">
        <w:rPr>
          <w:rFonts w:ascii="Verdana" w:hAnsi="Verdana"/>
          <w:sz w:val="20"/>
          <w:szCs w:val="26"/>
          <w:lang w:val="pt-BR"/>
        </w:rPr>
        <w:t xml:space="preserve"> </w:t>
      </w:r>
      <w:r w:rsidR="0089298C" w:rsidRPr="002F50BD">
        <w:rPr>
          <w:rFonts w:ascii="Verdana" w:hAnsi="Verdana"/>
          <w:sz w:val="20"/>
          <w:szCs w:val="26"/>
          <w:lang w:val="pt-BR"/>
        </w:rPr>
        <w:t>do procedimento</w:t>
      </w:r>
      <w:r w:rsidR="004756C1" w:rsidRPr="002F50BD">
        <w:rPr>
          <w:rFonts w:ascii="Verdana" w:hAnsi="Verdana"/>
          <w:sz w:val="20"/>
          <w:szCs w:val="26"/>
          <w:lang w:val="pt-BR"/>
        </w:rPr>
        <w:t xml:space="preserve"> administrativo de reivindica</w:t>
      </w:r>
      <w:r w:rsidR="0089298C" w:rsidRPr="002F50BD">
        <w:rPr>
          <w:rFonts w:ascii="Verdana" w:hAnsi="Verdana"/>
          <w:sz w:val="20"/>
          <w:szCs w:val="26"/>
          <w:lang w:val="pt-BR"/>
        </w:rPr>
        <w:t>ção</w:t>
      </w:r>
      <w:r w:rsidR="004756C1" w:rsidRPr="002F50BD">
        <w:rPr>
          <w:rFonts w:ascii="Verdana" w:hAnsi="Verdana"/>
          <w:sz w:val="20"/>
          <w:szCs w:val="26"/>
          <w:lang w:val="pt-BR"/>
        </w:rPr>
        <w:t xml:space="preserve"> de </w:t>
      </w:r>
      <w:r w:rsidR="0089298C" w:rsidRPr="002F50BD">
        <w:rPr>
          <w:rFonts w:ascii="Verdana" w:hAnsi="Verdana"/>
          <w:sz w:val="20"/>
          <w:szCs w:val="26"/>
          <w:lang w:val="pt-BR"/>
        </w:rPr>
        <w:t>terra</w:t>
      </w:r>
      <w:r w:rsidR="004756C1" w:rsidRPr="002F50BD">
        <w:rPr>
          <w:rFonts w:ascii="Verdana" w:hAnsi="Verdana"/>
          <w:sz w:val="20"/>
          <w:szCs w:val="26"/>
          <w:lang w:val="pt-BR"/>
        </w:rPr>
        <w:t>s.</w:t>
      </w:r>
      <w:r w:rsidR="00FE08B7">
        <w:rPr>
          <w:rFonts w:ascii="Verdana" w:hAnsi="Verdana"/>
          <w:sz w:val="20"/>
          <w:szCs w:val="26"/>
          <w:lang w:val="pt-BR"/>
        </w:rPr>
        <w:t xml:space="preserve"> </w:t>
      </w:r>
      <w:r w:rsidR="004756C1" w:rsidRPr="002F50BD">
        <w:rPr>
          <w:rFonts w:ascii="Verdana" w:hAnsi="Verdana"/>
          <w:sz w:val="20"/>
          <w:szCs w:val="26"/>
          <w:lang w:val="pt-BR"/>
        </w:rPr>
        <w:t>Por</w:t>
      </w:r>
      <w:r w:rsidR="0089298C" w:rsidRPr="002F50BD">
        <w:rPr>
          <w:rFonts w:ascii="Verdana" w:hAnsi="Verdana"/>
          <w:sz w:val="20"/>
          <w:szCs w:val="26"/>
          <w:lang w:val="pt-BR"/>
        </w:rPr>
        <w:t xml:space="preserve"> </w:t>
      </w:r>
      <w:r w:rsidRPr="002F50BD">
        <w:rPr>
          <w:rFonts w:ascii="Verdana" w:hAnsi="Verdana"/>
          <w:sz w:val="20"/>
          <w:szCs w:val="26"/>
          <w:lang w:val="pt-BR"/>
        </w:rPr>
        <w:t>essa razão</w:t>
      </w:r>
      <w:r w:rsidR="004756C1" w:rsidRPr="002F50BD">
        <w:rPr>
          <w:rFonts w:ascii="Verdana" w:hAnsi="Verdana"/>
          <w:sz w:val="20"/>
          <w:szCs w:val="26"/>
          <w:lang w:val="pt-BR"/>
        </w:rPr>
        <w:t>,</w:t>
      </w:r>
      <w:r w:rsidR="0089298C" w:rsidRPr="002F50BD">
        <w:rPr>
          <w:rFonts w:ascii="Verdana" w:hAnsi="Verdana"/>
          <w:sz w:val="20"/>
          <w:szCs w:val="26"/>
          <w:lang w:val="pt-BR"/>
        </w:rPr>
        <w:t xml:space="preserve"> a </w:t>
      </w:r>
      <w:r w:rsidR="004756C1" w:rsidRPr="002F50BD">
        <w:rPr>
          <w:rFonts w:ascii="Verdana" w:hAnsi="Verdana"/>
          <w:sz w:val="20"/>
          <w:szCs w:val="26"/>
          <w:lang w:val="pt-BR"/>
        </w:rPr>
        <w:t>Corte tomará</w:t>
      </w:r>
      <w:r w:rsidR="0089298C" w:rsidRPr="002F50BD">
        <w:rPr>
          <w:rFonts w:ascii="Verdana" w:hAnsi="Verdana"/>
          <w:sz w:val="20"/>
          <w:szCs w:val="26"/>
          <w:lang w:val="pt-BR"/>
        </w:rPr>
        <w:t xml:space="preserve"> em conta </w:t>
      </w:r>
      <w:r w:rsidRPr="002F50BD">
        <w:rPr>
          <w:rFonts w:ascii="Verdana" w:hAnsi="Verdana"/>
          <w:sz w:val="20"/>
          <w:szCs w:val="26"/>
          <w:lang w:val="pt-BR"/>
        </w:rPr>
        <w:t xml:space="preserve">a data de </w:t>
      </w:r>
      <w:r w:rsidR="00063B47" w:rsidRPr="002F50BD">
        <w:rPr>
          <w:rFonts w:ascii="Verdana" w:hAnsi="Verdana"/>
          <w:sz w:val="20"/>
          <w:szCs w:val="26"/>
          <w:lang w:val="pt-BR"/>
        </w:rPr>
        <w:t>5</w:t>
      </w:r>
      <w:r w:rsidR="004756C1" w:rsidRPr="002F50BD">
        <w:rPr>
          <w:rFonts w:ascii="Verdana" w:hAnsi="Verdana"/>
          <w:sz w:val="20"/>
          <w:szCs w:val="26"/>
          <w:lang w:val="pt-BR"/>
        </w:rPr>
        <w:t xml:space="preserve"> de </w:t>
      </w:r>
      <w:r w:rsidR="0089298C" w:rsidRPr="002F50BD">
        <w:rPr>
          <w:rFonts w:ascii="Verdana" w:hAnsi="Verdana"/>
          <w:sz w:val="20"/>
          <w:szCs w:val="26"/>
          <w:lang w:val="pt-BR"/>
        </w:rPr>
        <w:t>outubro</w:t>
      </w:r>
      <w:r w:rsidR="004756C1" w:rsidRPr="002F50BD">
        <w:rPr>
          <w:rFonts w:ascii="Verdana" w:hAnsi="Verdana"/>
          <w:sz w:val="20"/>
          <w:szCs w:val="26"/>
          <w:lang w:val="pt-BR"/>
        </w:rPr>
        <w:t xml:space="preserve"> de </w:t>
      </w:r>
      <w:r w:rsidR="00063B47" w:rsidRPr="002F50BD">
        <w:rPr>
          <w:rFonts w:ascii="Verdana" w:hAnsi="Verdana"/>
          <w:sz w:val="20"/>
          <w:szCs w:val="26"/>
          <w:lang w:val="pt-BR"/>
        </w:rPr>
        <w:t>1993</w:t>
      </w:r>
      <w:r w:rsidR="004756C1" w:rsidRPr="002F50BD">
        <w:rPr>
          <w:rFonts w:ascii="Verdana" w:hAnsi="Verdana"/>
          <w:sz w:val="20"/>
          <w:szCs w:val="26"/>
          <w:lang w:val="pt-BR"/>
        </w:rPr>
        <w:t xml:space="preserve"> como </w:t>
      </w:r>
      <w:r w:rsidRPr="002F50BD">
        <w:rPr>
          <w:rFonts w:ascii="Verdana" w:hAnsi="Verdana"/>
          <w:sz w:val="20"/>
          <w:szCs w:val="26"/>
          <w:lang w:val="pt-BR"/>
        </w:rPr>
        <w:t xml:space="preserve">o </w:t>
      </w:r>
      <w:r w:rsidR="0089298C" w:rsidRPr="002F50BD">
        <w:rPr>
          <w:rFonts w:ascii="Verdana" w:hAnsi="Verdana"/>
          <w:sz w:val="20"/>
          <w:szCs w:val="26"/>
          <w:lang w:val="pt-BR"/>
        </w:rPr>
        <w:t>início deste</w:t>
      </w:r>
      <w:r w:rsidR="004756C1" w:rsidRPr="002F50BD">
        <w:rPr>
          <w:rFonts w:ascii="Verdana" w:hAnsi="Verdana"/>
          <w:sz w:val="20"/>
          <w:szCs w:val="26"/>
          <w:lang w:val="pt-BR"/>
        </w:rPr>
        <w:t xml:space="preserve"> </w:t>
      </w:r>
      <w:r w:rsidR="0089298C" w:rsidRPr="002F50BD">
        <w:rPr>
          <w:rFonts w:ascii="Verdana" w:hAnsi="Verdana"/>
          <w:sz w:val="20"/>
          <w:szCs w:val="26"/>
          <w:lang w:val="pt-BR"/>
        </w:rPr>
        <w:t>procedimento</w:t>
      </w:r>
      <w:r w:rsidR="004756C1" w:rsidRPr="002F50BD">
        <w:rPr>
          <w:rFonts w:ascii="Verdana" w:hAnsi="Verdana"/>
          <w:sz w:val="20"/>
          <w:szCs w:val="26"/>
          <w:lang w:val="pt-BR"/>
        </w:rPr>
        <w:t xml:space="preserve"> </w:t>
      </w:r>
      <w:r w:rsidR="00CF451D" w:rsidRPr="00CF451D">
        <w:rPr>
          <w:rFonts w:ascii="Verdana" w:hAnsi="Verdana"/>
          <w:sz w:val="20"/>
          <w:szCs w:val="26"/>
          <w:lang w:val="pt-BR"/>
        </w:rPr>
        <w:t>(</w:t>
      </w:r>
      <w:r w:rsidR="0089298C" w:rsidRPr="002F50BD">
        <w:rPr>
          <w:rFonts w:ascii="Verdana" w:hAnsi="Verdana"/>
          <w:sz w:val="20"/>
          <w:szCs w:val="26"/>
          <w:lang w:val="pt-BR"/>
        </w:rPr>
        <w:t>par.</w:t>
      </w:r>
      <w:r w:rsidR="004756C1" w:rsidRPr="002F50BD">
        <w:rPr>
          <w:rFonts w:ascii="Verdana" w:hAnsi="Verdana"/>
          <w:sz w:val="20"/>
          <w:szCs w:val="26"/>
          <w:lang w:val="pt-BR"/>
        </w:rPr>
        <w:t xml:space="preserv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24</w:t>
      </w:r>
      <w:r w:rsidRPr="002F50BD">
        <w:rPr>
          <w:rFonts w:ascii="Verdana" w:hAnsi="Verdana"/>
          <w:i/>
          <w:sz w:val="20"/>
          <w:szCs w:val="26"/>
          <w:lang w:val="pt-BR"/>
        </w:rPr>
        <w:t xml:space="preserve"> supra</w:t>
      </w:r>
      <w:r w:rsidR="00CF451D" w:rsidRPr="00CF451D">
        <w:rPr>
          <w:rFonts w:ascii="Verdana" w:hAnsi="Verdana"/>
          <w:sz w:val="20"/>
          <w:szCs w:val="26"/>
          <w:lang w:val="pt-BR"/>
        </w:rPr>
        <w:t>)</w:t>
      </w:r>
      <w:r w:rsidR="004756C1" w:rsidRPr="002F50BD">
        <w:rPr>
          <w:rFonts w:ascii="Verdana" w:hAnsi="Verdana"/>
          <w:sz w:val="20"/>
          <w:szCs w:val="26"/>
          <w:lang w:val="pt-BR"/>
        </w:rPr>
        <w:t>.</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Des</w:t>
      </w:r>
      <w:r w:rsidR="0089298C" w:rsidRPr="002F50BD">
        <w:rPr>
          <w:rFonts w:ascii="Verdana" w:hAnsi="Verdana"/>
          <w:sz w:val="20"/>
          <w:lang w:val="pt-BR"/>
        </w:rPr>
        <w:t>de</w:t>
      </w:r>
      <w:r w:rsidR="001051F4" w:rsidRPr="002F50BD">
        <w:rPr>
          <w:rFonts w:ascii="Verdana" w:hAnsi="Verdana"/>
          <w:sz w:val="20"/>
          <w:lang w:val="pt-BR"/>
        </w:rPr>
        <w:t xml:space="preserve"> e</w:t>
      </w:r>
      <w:r w:rsidR="0089298C" w:rsidRPr="002F50BD">
        <w:rPr>
          <w:rFonts w:ascii="Verdana" w:hAnsi="Verdana"/>
          <w:sz w:val="20"/>
          <w:lang w:val="pt-BR"/>
        </w:rPr>
        <w:t>s</w:t>
      </w:r>
      <w:r w:rsidR="001051F4" w:rsidRPr="002F50BD">
        <w:rPr>
          <w:rFonts w:ascii="Verdana" w:hAnsi="Verdana"/>
          <w:sz w:val="20"/>
          <w:lang w:val="pt-BR"/>
        </w:rPr>
        <w:t>s</w:t>
      </w:r>
      <w:r w:rsidR="0089298C"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data</w:t>
      </w:r>
      <w:r w:rsidRPr="002F50BD">
        <w:rPr>
          <w:rFonts w:ascii="Verdana" w:hAnsi="Verdana"/>
          <w:sz w:val="20"/>
          <w:lang w:val="pt-BR"/>
        </w:rPr>
        <w:t xml:space="preserve"> </w:t>
      </w:r>
      <w:r w:rsidR="0089298C" w:rsidRPr="002F50BD">
        <w:rPr>
          <w:rFonts w:ascii="Verdana" w:hAnsi="Verdana"/>
          <w:sz w:val="20"/>
          <w:lang w:val="pt-BR"/>
        </w:rPr>
        <w:t xml:space="preserve">até a </w:t>
      </w:r>
      <w:r w:rsidRPr="002F50BD">
        <w:rPr>
          <w:rFonts w:ascii="Verdana" w:hAnsi="Verdana"/>
          <w:sz w:val="20"/>
          <w:lang w:val="pt-BR"/>
        </w:rPr>
        <w:t>e</w:t>
      </w:r>
      <w:r w:rsidR="0089298C" w:rsidRPr="002F50BD">
        <w:rPr>
          <w:rFonts w:ascii="Verdana" w:hAnsi="Verdana"/>
          <w:sz w:val="20"/>
          <w:lang w:val="pt-BR"/>
        </w:rPr>
        <w:t xml:space="preserve">missão da </w:t>
      </w:r>
      <w:r w:rsidRPr="002F50BD">
        <w:rPr>
          <w:rFonts w:ascii="Verdana" w:hAnsi="Verdana"/>
          <w:sz w:val="20"/>
          <w:lang w:val="pt-BR"/>
        </w:rPr>
        <w:t xml:space="preserve">presente </w:t>
      </w:r>
      <w:r w:rsidR="0089298C" w:rsidRPr="002F50BD">
        <w:rPr>
          <w:rFonts w:ascii="Verdana" w:hAnsi="Verdana"/>
          <w:sz w:val="20"/>
          <w:lang w:val="pt-BR"/>
        </w:rPr>
        <w:t>Sentença</w:t>
      </w:r>
      <w:r w:rsidRPr="002F50BD">
        <w:rPr>
          <w:rFonts w:ascii="Verdana" w:hAnsi="Verdana"/>
          <w:sz w:val="20"/>
          <w:lang w:val="pt-BR"/>
        </w:rPr>
        <w:t xml:space="preserve">, </w:t>
      </w:r>
      <w:r w:rsidR="00152C8C" w:rsidRPr="002F50BD">
        <w:rPr>
          <w:rFonts w:ascii="Verdana" w:hAnsi="Verdana"/>
          <w:sz w:val="20"/>
          <w:lang w:val="pt-BR"/>
        </w:rPr>
        <w:t>transcorreram</w:t>
      </w:r>
      <w:r w:rsidR="001051F4" w:rsidRPr="002F50BD">
        <w:rPr>
          <w:rFonts w:ascii="Verdana" w:hAnsi="Verdana"/>
          <w:sz w:val="20"/>
          <w:lang w:val="pt-BR"/>
        </w:rPr>
        <w:t xml:space="preserve"> </w:t>
      </w:r>
      <w:r w:rsidR="00063B47" w:rsidRPr="002F50BD">
        <w:rPr>
          <w:rFonts w:ascii="Verdana" w:hAnsi="Verdana"/>
          <w:sz w:val="20"/>
          <w:lang w:val="pt-BR"/>
        </w:rPr>
        <w:t>11</w:t>
      </w:r>
      <w:r w:rsidRPr="002F50BD">
        <w:rPr>
          <w:rFonts w:ascii="Verdana" w:hAnsi="Verdana"/>
          <w:sz w:val="20"/>
          <w:lang w:val="pt-BR"/>
        </w:rPr>
        <w:t xml:space="preserve"> </w:t>
      </w:r>
      <w:r w:rsidR="0089298C" w:rsidRPr="002F50BD">
        <w:rPr>
          <w:rFonts w:ascii="Verdana" w:hAnsi="Verdana"/>
          <w:sz w:val="20"/>
          <w:lang w:val="pt-BR"/>
        </w:rPr>
        <w:t>anos</w:t>
      </w:r>
      <w:r w:rsidRPr="002F50BD">
        <w:rPr>
          <w:rFonts w:ascii="Verdana" w:hAnsi="Verdana"/>
          <w:sz w:val="20"/>
          <w:lang w:val="pt-BR"/>
        </w:rPr>
        <w:t xml:space="preserve"> </w:t>
      </w:r>
      <w:r w:rsidR="00063B47" w:rsidRPr="002F50BD">
        <w:rPr>
          <w:rFonts w:ascii="Verdana" w:hAnsi="Verdana"/>
          <w:sz w:val="20"/>
          <w:lang w:val="pt-BR"/>
        </w:rPr>
        <w:t>8</w:t>
      </w:r>
      <w:r w:rsidRPr="002F50BD">
        <w:rPr>
          <w:rFonts w:ascii="Verdana" w:hAnsi="Verdana"/>
          <w:sz w:val="20"/>
          <w:lang w:val="pt-BR"/>
        </w:rPr>
        <w:t xml:space="preserve"> meses</w:t>
      </w:r>
      <w:r w:rsidR="0089298C" w:rsidRPr="002F50BD">
        <w:rPr>
          <w:rFonts w:ascii="Verdana" w:hAnsi="Verdana"/>
          <w:sz w:val="20"/>
          <w:lang w:val="pt-BR"/>
        </w:rPr>
        <w:t xml:space="preserve"> e </w:t>
      </w:r>
      <w:r w:rsidR="00063B47" w:rsidRPr="002F50BD">
        <w:rPr>
          <w:rFonts w:ascii="Verdana" w:hAnsi="Verdana"/>
          <w:sz w:val="20"/>
          <w:lang w:val="pt-BR"/>
        </w:rPr>
        <w:t>12</w:t>
      </w:r>
      <w:r w:rsidRPr="002F50BD">
        <w:rPr>
          <w:rFonts w:ascii="Verdana" w:hAnsi="Verdana"/>
          <w:sz w:val="20"/>
          <w:lang w:val="pt-BR"/>
        </w:rPr>
        <w:t xml:space="preserve"> </w:t>
      </w:r>
      <w:r w:rsidR="0089298C" w:rsidRPr="002F50BD">
        <w:rPr>
          <w:rFonts w:ascii="Verdana" w:hAnsi="Verdana"/>
          <w:sz w:val="20"/>
          <w:lang w:val="pt-BR"/>
        </w:rPr>
        <w:t>dia</w:t>
      </w:r>
      <w:r w:rsidRPr="002F50BD">
        <w:rPr>
          <w:rFonts w:ascii="Verdana" w:hAnsi="Verdana"/>
          <w:sz w:val="20"/>
          <w:lang w:val="pt-BR"/>
        </w:rPr>
        <w:t>s</w:t>
      </w:r>
      <w:r w:rsidR="0089298C" w:rsidRPr="002F50BD">
        <w:rPr>
          <w:rFonts w:ascii="Verdana" w:hAnsi="Verdana"/>
          <w:sz w:val="20"/>
          <w:lang w:val="pt-BR"/>
        </w:rPr>
        <w:t xml:space="preserve"> e ainda</w:t>
      </w:r>
      <w:r w:rsidRPr="002F50BD">
        <w:rPr>
          <w:rFonts w:ascii="Verdana" w:hAnsi="Verdana"/>
          <w:sz w:val="20"/>
          <w:lang w:val="pt-BR"/>
        </w:rPr>
        <w:t xml:space="preserve"> n</w:t>
      </w:r>
      <w:r w:rsidR="001051F4" w:rsidRPr="002F50BD">
        <w:rPr>
          <w:rFonts w:ascii="Verdana" w:hAnsi="Verdana"/>
          <w:sz w:val="20"/>
          <w:lang w:val="pt-BR"/>
        </w:rPr>
        <w:t>ã</w:t>
      </w:r>
      <w:r w:rsidRPr="002F50BD">
        <w:rPr>
          <w:rFonts w:ascii="Verdana" w:hAnsi="Verdana"/>
          <w:sz w:val="20"/>
          <w:lang w:val="pt-BR"/>
        </w:rPr>
        <w:t xml:space="preserve">o </w:t>
      </w:r>
      <w:r w:rsidR="001051F4" w:rsidRPr="002F50BD">
        <w:rPr>
          <w:rFonts w:ascii="Verdana" w:hAnsi="Verdana"/>
          <w:sz w:val="20"/>
          <w:lang w:val="pt-BR"/>
        </w:rPr>
        <w:t xml:space="preserve">foi dada </w:t>
      </w:r>
      <w:r w:rsidR="0089298C" w:rsidRPr="002F50BD">
        <w:rPr>
          <w:rFonts w:ascii="Verdana" w:hAnsi="Verdana"/>
          <w:sz w:val="20"/>
          <w:lang w:val="pt-BR"/>
        </w:rPr>
        <w:t xml:space="preserve">uma </w:t>
      </w:r>
      <w:r w:rsidRPr="002F50BD">
        <w:rPr>
          <w:rFonts w:ascii="Verdana" w:hAnsi="Verdana"/>
          <w:sz w:val="20"/>
          <w:lang w:val="pt-BR"/>
        </w:rPr>
        <w:t>solu</w:t>
      </w:r>
      <w:r w:rsidR="0089298C" w:rsidRPr="002F50BD">
        <w:rPr>
          <w:rFonts w:ascii="Verdana" w:hAnsi="Verdana"/>
          <w:sz w:val="20"/>
          <w:lang w:val="pt-BR"/>
        </w:rPr>
        <w:t>ção</w:t>
      </w:r>
      <w:r w:rsidRPr="002F50BD">
        <w:rPr>
          <w:rFonts w:ascii="Verdana" w:hAnsi="Verdana"/>
          <w:sz w:val="20"/>
          <w:lang w:val="pt-BR"/>
        </w:rPr>
        <w:t xml:space="preserve"> definitiva</w:t>
      </w:r>
      <w:r w:rsidR="0089298C" w:rsidRPr="002F50BD">
        <w:rPr>
          <w:rFonts w:ascii="Verdana" w:hAnsi="Verdana"/>
          <w:sz w:val="20"/>
          <w:lang w:val="pt-BR"/>
        </w:rPr>
        <w:t xml:space="preserve"> ao </w:t>
      </w:r>
      <w:r w:rsidRPr="002F50BD">
        <w:rPr>
          <w:rFonts w:ascii="Verdana" w:hAnsi="Verdana"/>
          <w:sz w:val="20"/>
          <w:lang w:val="pt-BR"/>
        </w:rPr>
        <w:t>reclamo</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w:t>
      </w:r>
      <w:r w:rsidR="001A0CDE" w:rsidRPr="002F50BD">
        <w:rPr>
          <w:rFonts w:ascii="Verdana" w:hAnsi="Verdana"/>
          <w:sz w:val="20"/>
          <w:lang w:val="pt-BR"/>
        </w:rPr>
        <w:t xml:space="preserve">. </w:t>
      </w:r>
      <w:r w:rsidR="001051F4" w:rsidRPr="002F50BD">
        <w:rPr>
          <w:rFonts w:ascii="Verdana" w:hAnsi="Verdana"/>
          <w:sz w:val="20"/>
          <w:lang w:val="pt-BR"/>
        </w:rPr>
        <w:t>Isso</w:t>
      </w:r>
      <w:r w:rsidR="00152C8C" w:rsidRPr="002F50BD">
        <w:rPr>
          <w:rFonts w:ascii="Verdana" w:hAnsi="Verdana"/>
          <w:sz w:val="20"/>
          <w:lang w:val="pt-BR"/>
        </w:rPr>
        <w:t xml:space="preserve"> ocorreu,</w:t>
      </w:r>
      <w:r w:rsidR="001051F4" w:rsidRPr="002F50BD">
        <w:rPr>
          <w:rFonts w:ascii="Verdana" w:hAnsi="Verdana"/>
          <w:sz w:val="20"/>
          <w:lang w:val="pt-BR"/>
        </w:rPr>
        <w:t xml:space="preserve"> </w:t>
      </w:r>
      <w:r w:rsidR="004076AD" w:rsidRPr="002F50BD">
        <w:rPr>
          <w:rFonts w:ascii="Verdana" w:hAnsi="Verdana"/>
          <w:sz w:val="20"/>
          <w:lang w:val="pt-BR"/>
        </w:rPr>
        <w:t xml:space="preserve">apesar </w:t>
      </w:r>
      <w:r w:rsidRPr="002F50BD">
        <w:rPr>
          <w:rFonts w:ascii="Verdana" w:hAnsi="Verdana"/>
          <w:sz w:val="20"/>
          <w:lang w:val="pt-BR"/>
        </w:rPr>
        <w:t xml:space="preserve">de </w:t>
      </w:r>
      <w:r w:rsidR="0089298C" w:rsidRPr="002F50BD">
        <w:rPr>
          <w:rFonts w:ascii="Verdana" w:hAnsi="Verdana"/>
          <w:sz w:val="20"/>
          <w:lang w:val="pt-BR"/>
        </w:rPr>
        <w:t>o artigo</w:t>
      </w:r>
      <w:r w:rsidRPr="002F50BD">
        <w:rPr>
          <w:rFonts w:ascii="Verdana" w:hAnsi="Verdana"/>
          <w:sz w:val="20"/>
          <w:lang w:val="pt-BR"/>
        </w:rPr>
        <w:t xml:space="preserve"> </w:t>
      </w:r>
      <w:r w:rsidR="00063B47" w:rsidRPr="002F50BD">
        <w:rPr>
          <w:rFonts w:ascii="Verdana" w:hAnsi="Verdana"/>
          <w:sz w:val="20"/>
          <w:lang w:val="pt-BR"/>
        </w:rPr>
        <w:t>4</w:t>
      </w:r>
      <w:r w:rsidR="0089298C" w:rsidRPr="002F50BD">
        <w:rPr>
          <w:rFonts w:ascii="Verdana" w:hAnsi="Verdana"/>
          <w:sz w:val="20"/>
          <w:lang w:val="pt-BR"/>
        </w:rPr>
        <w:t xml:space="preserve"> da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43</w:t>
      </w:r>
      <w:r w:rsidRPr="002F50BD">
        <w:rPr>
          <w:rFonts w:ascii="Verdana" w:hAnsi="Verdana"/>
          <w:sz w:val="20"/>
          <w:lang w:val="pt-BR"/>
        </w:rPr>
        <w:t>/</w:t>
      </w:r>
      <w:r w:rsidR="00063B47" w:rsidRPr="002F50BD">
        <w:rPr>
          <w:rFonts w:ascii="Verdana" w:hAnsi="Verdana"/>
          <w:sz w:val="20"/>
          <w:lang w:val="pt-BR"/>
        </w:rPr>
        <w:t>89</w:t>
      </w:r>
      <w:r w:rsidRPr="002F50BD">
        <w:rPr>
          <w:rFonts w:ascii="Verdana" w:hAnsi="Verdana"/>
          <w:sz w:val="20"/>
          <w:lang w:val="pt-BR"/>
        </w:rPr>
        <w:t xml:space="preserve"> </w:t>
      </w:r>
      <w:r w:rsidR="0089298C" w:rsidRPr="002F50BD">
        <w:rPr>
          <w:rFonts w:ascii="Verdana" w:hAnsi="Verdana"/>
          <w:sz w:val="20"/>
          <w:lang w:val="pt-BR"/>
        </w:rPr>
        <w:t>estabelece</w:t>
      </w:r>
      <w:r w:rsidR="00152C8C" w:rsidRPr="002F50BD">
        <w:rPr>
          <w:rFonts w:ascii="Verdana" w:hAnsi="Verdana"/>
          <w:sz w:val="20"/>
          <w:lang w:val="pt-BR"/>
        </w:rPr>
        <w:t>r</w:t>
      </w:r>
      <w:r w:rsidRPr="002F50BD">
        <w:rPr>
          <w:rFonts w:ascii="Verdana" w:hAnsi="Verdana"/>
          <w:sz w:val="20"/>
          <w:lang w:val="pt-BR"/>
        </w:rPr>
        <w:t xml:space="preserve"> que</w:t>
      </w:r>
    </w:p>
    <w:p w:rsidR="004756C1" w:rsidRPr="002F50BD" w:rsidRDefault="004756C1">
      <w:pPr>
        <w:ind w:left="540" w:right="540"/>
        <w:jc w:val="both"/>
        <w:rPr>
          <w:rFonts w:ascii="Verdana" w:hAnsi="Verdana"/>
          <w:sz w:val="16"/>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[d]urante</w:t>
      </w:r>
      <w:r w:rsidR="0089298C" w:rsidRPr="002F50BD">
        <w:rPr>
          <w:rFonts w:ascii="Verdana" w:hAnsi="Verdana"/>
          <w:sz w:val="16"/>
          <w:lang w:val="pt-BR"/>
        </w:rPr>
        <w:t xml:space="preserve"> a </w:t>
      </w:r>
      <w:r w:rsidRPr="002F50BD">
        <w:rPr>
          <w:rFonts w:ascii="Verdana" w:hAnsi="Verdana"/>
          <w:sz w:val="16"/>
          <w:lang w:val="pt-BR"/>
        </w:rPr>
        <w:t>tramita</w:t>
      </w:r>
      <w:r w:rsidR="0089298C" w:rsidRPr="002F50BD">
        <w:rPr>
          <w:rFonts w:ascii="Verdana" w:hAnsi="Verdana"/>
          <w:sz w:val="16"/>
          <w:lang w:val="pt-BR"/>
        </w:rPr>
        <w:t>ção</w:t>
      </w:r>
      <w:r w:rsidRPr="002F50BD">
        <w:rPr>
          <w:rFonts w:ascii="Verdana" w:hAnsi="Verdana"/>
          <w:sz w:val="16"/>
          <w:lang w:val="pt-BR"/>
        </w:rPr>
        <w:t xml:space="preserve"> administrativa</w:t>
      </w:r>
      <w:r w:rsidR="0089298C" w:rsidRPr="002F50BD">
        <w:rPr>
          <w:rFonts w:ascii="Verdana" w:hAnsi="Verdana"/>
          <w:sz w:val="16"/>
          <w:lang w:val="pt-BR"/>
        </w:rPr>
        <w:t xml:space="preserve"> e </w:t>
      </w:r>
      <w:r w:rsidRPr="002F50BD">
        <w:rPr>
          <w:rFonts w:ascii="Verdana" w:hAnsi="Verdana"/>
          <w:sz w:val="16"/>
          <w:lang w:val="pt-BR"/>
        </w:rPr>
        <w:t>judicial contemplada</w:t>
      </w:r>
      <w:r w:rsidR="0089298C" w:rsidRPr="002F50BD">
        <w:rPr>
          <w:rFonts w:ascii="Verdana" w:hAnsi="Verdana"/>
          <w:sz w:val="16"/>
          <w:lang w:val="pt-BR"/>
        </w:rPr>
        <w:t xml:space="preserve"> no artigo</w:t>
      </w:r>
      <w:r w:rsidRPr="002F50BD">
        <w:rPr>
          <w:rFonts w:ascii="Verdana" w:hAnsi="Verdana"/>
          <w:sz w:val="16"/>
          <w:lang w:val="pt-BR"/>
        </w:rPr>
        <w:t xml:space="preserve"> </w:t>
      </w:r>
      <w:r w:rsidR="00063B47" w:rsidRPr="002F50BD">
        <w:rPr>
          <w:rFonts w:ascii="Verdana" w:hAnsi="Verdana"/>
          <w:sz w:val="16"/>
          <w:lang w:val="pt-BR"/>
        </w:rPr>
        <w:t>2</w:t>
      </w:r>
      <w:r w:rsidRPr="002F50BD">
        <w:rPr>
          <w:rFonts w:ascii="Verdana" w:hAnsi="Verdana"/>
          <w:sz w:val="16"/>
          <w:lang w:val="pt-BR"/>
        </w:rPr>
        <w:t>,</w:t>
      </w:r>
      <w:r w:rsidR="0089298C" w:rsidRPr="002F50BD">
        <w:rPr>
          <w:rFonts w:ascii="Verdana" w:hAnsi="Verdana"/>
          <w:sz w:val="16"/>
          <w:lang w:val="pt-BR"/>
        </w:rPr>
        <w:t xml:space="preserve"> o </w:t>
      </w:r>
      <w:r w:rsidRPr="002F50BD">
        <w:rPr>
          <w:rFonts w:ascii="Verdana" w:hAnsi="Verdana"/>
          <w:sz w:val="16"/>
          <w:lang w:val="pt-BR"/>
        </w:rPr>
        <w:t xml:space="preserve">Instituto </w:t>
      </w:r>
      <w:r w:rsidR="0089298C" w:rsidRPr="002F50BD">
        <w:rPr>
          <w:rFonts w:ascii="Verdana" w:hAnsi="Verdana"/>
          <w:sz w:val="16"/>
          <w:lang w:val="pt-BR"/>
        </w:rPr>
        <w:t>Paraguai</w:t>
      </w:r>
      <w:r w:rsidRPr="002F50BD">
        <w:rPr>
          <w:rFonts w:ascii="Verdana" w:hAnsi="Verdana"/>
          <w:sz w:val="16"/>
          <w:lang w:val="pt-BR"/>
        </w:rPr>
        <w:t xml:space="preserve">o </w:t>
      </w:r>
      <w:r w:rsidR="0089298C" w:rsidRPr="002F50BD">
        <w:rPr>
          <w:rFonts w:ascii="Verdana" w:hAnsi="Verdana"/>
          <w:sz w:val="16"/>
          <w:lang w:val="pt-BR"/>
        </w:rPr>
        <w:t xml:space="preserve">do </w:t>
      </w:r>
      <w:r w:rsidRPr="002F50BD">
        <w:rPr>
          <w:rFonts w:ascii="Verdana" w:hAnsi="Verdana"/>
          <w:sz w:val="16"/>
          <w:lang w:val="pt-BR"/>
        </w:rPr>
        <w:t xml:space="preserve">Indígena </w:t>
      </w:r>
      <w:r w:rsidR="00CF451D" w:rsidRPr="00CF451D">
        <w:rPr>
          <w:rFonts w:ascii="Verdana" w:hAnsi="Verdana"/>
          <w:sz w:val="16"/>
          <w:lang w:val="pt-BR"/>
        </w:rPr>
        <w:t>(</w:t>
      </w:r>
      <w:r w:rsidRPr="002F50BD">
        <w:rPr>
          <w:rFonts w:ascii="Verdana" w:hAnsi="Verdana"/>
          <w:sz w:val="16"/>
          <w:lang w:val="pt-BR"/>
        </w:rPr>
        <w:t>INDI</w:t>
      </w:r>
      <w:r w:rsidR="00CF451D" w:rsidRPr="00CF451D">
        <w:rPr>
          <w:rFonts w:ascii="Verdana" w:hAnsi="Verdana"/>
          <w:sz w:val="16"/>
          <w:lang w:val="pt-BR"/>
        </w:rPr>
        <w:t>)</w:t>
      </w:r>
      <w:r w:rsidR="0089298C" w:rsidRPr="002F50BD">
        <w:rPr>
          <w:rFonts w:ascii="Verdana" w:hAnsi="Verdana"/>
          <w:sz w:val="16"/>
          <w:lang w:val="pt-BR"/>
        </w:rPr>
        <w:t xml:space="preserve"> e o </w:t>
      </w:r>
      <w:r w:rsidRPr="002F50BD">
        <w:rPr>
          <w:rFonts w:ascii="Verdana" w:hAnsi="Verdana"/>
          <w:sz w:val="16"/>
          <w:lang w:val="pt-BR"/>
        </w:rPr>
        <w:t xml:space="preserve">Instituto de </w:t>
      </w:r>
      <w:r w:rsidR="00475EBB" w:rsidRPr="002F50BD">
        <w:rPr>
          <w:rFonts w:ascii="Verdana" w:hAnsi="Verdana"/>
          <w:sz w:val="16"/>
          <w:lang w:val="pt-BR"/>
        </w:rPr>
        <w:t>Bem Estar</w:t>
      </w:r>
      <w:r w:rsidRPr="002F50BD">
        <w:rPr>
          <w:rFonts w:ascii="Verdana" w:hAnsi="Verdana"/>
          <w:sz w:val="16"/>
          <w:lang w:val="pt-BR"/>
        </w:rPr>
        <w:t xml:space="preserve"> Rural </w:t>
      </w:r>
      <w:r w:rsidR="00CF451D" w:rsidRPr="00CF451D">
        <w:rPr>
          <w:rFonts w:ascii="Verdana" w:hAnsi="Verdana"/>
          <w:sz w:val="16"/>
          <w:lang w:val="pt-BR"/>
        </w:rPr>
        <w:t>(</w:t>
      </w:r>
      <w:r w:rsidRPr="002F50BD">
        <w:rPr>
          <w:rFonts w:ascii="Verdana" w:hAnsi="Verdana"/>
          <w:sz w:val="16"/>
          <w:lang w:val="pt-BR"/>
        </w:rPr>
        <w:t>IBR</w:t>
      </w:r>
      <w:r w:rsidR="00CF451D" w:rsidRPr="00CF451D">
        <w:rPr>
          <w:rFonts w:ascii="Verdana" w:hAnsi="Verdana"/>
          <w:sz w:val="16"/>
          <w:lang w:val="pt-BR"/>
        </w:rPr>
        <w:t>)</w:t>
      </w:r>
      <w:r w:rsidRPr="002F50BD">
        <w:rPr>
          <w:rFonts w:ascii="Verdana" w:hAnsi="Verdana"/>
          <w:sz w:val="16"/>
          <w:lang w:val="pt-BR"/>
        </w:rPr>
        <w:t xml:space="preserve"> </w:t>
      </w:r>
      <w:r w:rsidR="0089298C" w:rsidRPr="002F50BD">
        <w:rPr>
          <w:rFonts w:ascii="Verdana" w:hAnsi="Verdana"/>
          <w:sz w:val="16"/>
          <w:lang w:val="pt-BR"/>
        </w:rPr>
        <w:t>deverão</w:t>
      </w:r>
      <w:r w:rsidRPr="002F50BD">
        <w:rPr>
          <w:rFonts w:ascii="Verdana" w:hAnsi="Verdana"/>
          <w:sz w:val="16"/>
          <w:lang w:val="pt-BR"/>
        </w:rPr>
        <w:t xml:space="preserve"> </w:t>
      </w:r>
      <w:r w:rsidR="0089298C" w:rsidRPr="002F50BD">
        <w:rPr>
          <w:rFonts w:ascii="Verdana" w:hAnsi="Verdana"/>
          <w:sz w:val="16"/>
          <w:lang w:val="pt-BR"/>
        </w:rPr>
        <w:t>propor</w:t>
      </w:r>
      <w:r w:rsidRPr="002F50BD">
        <w:rPr>
          <w:rFonts w:ascii="Verdana" w:hAnsi="Verdana"/>
          <w:sz w:val="16"/>
          <w:lang w:val="pt-BR"/>
        </w:rPr>
        <w:t xml:space="preserve"> solu</w:t>
      </w:r>
      <w:r w:rsidR="0089298C" w:rsidRPr="002F50BD">
        <w:rPr>
          <w:rFonts w:ascii="Verdana" w:hAnsi="Verdana"/>
          <w:sz w:val="16"/>
          <w:lang w:val="pt-BR"/>
        </w:rPr>
        <w:t>ções</w:t>
      </w:r>
      <w:r w:rsidRPr="002F50BD">
        <w:rPr>
          <w:rFonts w:ascii="Verdana" w:hAnsi="Verdana"/>
          <w:sz w:val="16"/>
          <w:lang w:val="pt-BR"/>
        </w:rPr>
        <w:t xml:space="preserve"> definitivas para</w:t>
      </w:r>
      <w:r w:rsidR="0089298C" w:rsidRPr="002F50BD">
        <w:rPr>
          <w:rFonts w:ascii="Verdana" w:hAnsi="Verdana"/>
          <w:sz w:val="16"/>
          <w:lang w:val="pt-BR"/>
        </w:rPr>
        <w:t xml:space="preserve"> os </w:t>
      </w:r>
      <w:r w:rsidR="00AB454A" w:rsidRPr="002F50BD">
        <w:rPr>
          <w:rFonts w:ascii="Verdana" w:hAnsi="Verdana"/>
          <w:sz w:val="16"/>
          <w:lang w:val="pt-BR"/>
        </w:rPr>
        <w:t>assentamento</w:t>
      </w:r>
      <w:r w:rsidRPr="002F50BD">
        <w:rPr>
          <w:rFonts w:ascii="Verdana" w:hAnsi="Verdana"/>
          <w:sz w:val="16"/>
          <w:lang w:val="pt-BR"/>
        </w:rPr>
        <w:t>s</w:t>
      </w:r>
      <w:r w:rsidR="0089298C" w:rsidRPr="002F50BD">
        <w:rPr>
          <w:rFonts w:ascii="Verdana" w:hAnsi="Verdana"/>
          <w:sz w:val="16"/>
          <w:lang w:val="pt-BR"/>
        </w:rPr>
        <w:t xml:space="preserve"> das </w:t>
      </w:r>
      <w:r w:rsidRPr="002F50BD">
        <w:rPr>
          <w:rFonts w:ascii="Verdana" w:hAnsi="Verdana"/>
          <w:sz w:val="16"/>
          <w:lang w:val="pt-BR"/>
        </w:rPr>
        <w:t>comunidades indígenas conforme</w:t>
      </w:r>
      <w:r w:rsidR="0089298C" w:rsidRPr="002F50BD">
        <w:rPr>
          <w:rFonts w:ascii="Verdana" w:hAnsi="Verdana"/>
          <w:sz w:val="16"/>
          <w:lang w:val="pt-BR"/>
        </w:rPr>
        <w:t xml:space="preserve"> </w:t>
      </w:r>
      <w:r w:rsidR="001051F4" w:rsidRPr="002F50BD">
        <w:rPr>
          <w:rFonts w:ascii="Verdana" w:hAnsi="Verdana"/>
          <w:sz w:val="16"/>
          <w:lang w:val="pt-BR"/>
        </w:rPr>
        <w:t>a</w:t>
      </w:r>
      <w:r w:rsidR="0089298C" w:rsidRPr="002F50BD">
        <w:rPr>
          <w:rFonts w:ascii="Verdana" w:hAnsi="Verdana"/>
          <w:sz w:val="16"/>
          <w:lang w:val="pt-BR"/>
        </w:rPr>
        <w:t xml:space="preserve"> Lei</w:t>
      </w:r>
      <w:r w:rsidR="00FC6B22" w:rsidRPr="002F50BD">
        <w:rPr>
          <w:rFonts w:ascii="Verdana" w:hAnsi="Verdana"/>
          <w:sz w:val="16"/>
          <w:lang w:val="pt-BR"/>
        </w:rPr>
        <w:t xml:space="preserve"> </w:t>
      </w:r>
      <w:r w:rsidR="00063B47" w:rsidRPr="002F50BD">
        <w:rPr>
          <w:rFonts w:ascii="Verdana" w:hAnsi="Verdana"/>
          <w:sz w:val="16"/>
          <w:lang w:val="pt-BR"/>
        </w:rPr>
        <w:t>nº</w:t>
      </w:r>
      <w:r w:rsidR="00FC6B22" w:rsidRPr="002F50BD">
        <w:rPr>
          <w:rFonts w:ascii="Verdana" w:hAnsi="Verdana"/>
          <w:sz w:val="16"/>
          <w:lang w:val="pt-BR"/>
        </w:rPr>
        <w:t xml:space="preserve"> </w:t>
      </w:r>
      <w:r w:rsidR="00063B47" w:rsidRPr="002F50BD">
        <w:rPr>
          <w:rFonts w:ascii="Verdana" w:hAnsi="Verdana"/>
          <w:sz w:val="16"/>
          <w:lang w:val="pt-BR"/>
        </w:rPr>
        <w:t>854</w:t>
      </w:r>
      <w:r w:rsidRPr="002F50BD">
        <w:rPr>
          <w:rFonts w:ascii="Verdana" w:hAnsi="Verdana"/>
          <w:sz w:val="16"/>
          <w:lang w:val="pt-BR"/>
        </w:rPr>
        <w:t>/</w:t>
      </w:r>
      <w:r w:rsidR="00063B47" w:rsidRPr="002F50BD">
        <w:rPr>
          <w:rFonts w:ascii="Verdana" w:hAnsi="Verdana"/>
          <w:sz w:val="16"/>
          <w:lang w:val="pt-BR"/>
        </w:rPr>
        <w:t>63</w:t>
      </w:r>
      <w:r w:rsidRPr="002F50BD">
        <w:rPr>
          <w:rFonts w:ascii="Verdana" w:hAnsi="Verdana"/>
          <w:sz w:val="16"/>
          <w:lang w:val="pt-BR"/>
        </w:rPr>
        <w:t xml:space="preserve">, Estatuto </w:t>
      </w:r>
      <w:r w:rsidR="00D95E71" w:rsidRPr="002F50BD">
        <w:rPr>
          <w:rFonts w:ascii="Verdana" w:hAnsi="Verdana"/>
          <w:sz w:val="16"/>
          <w:lang w:val="pt-BR"/>
        </w:rPr>
        <w:t>Agrário</w:t>
      </w:r>
      <w:r w:rsidR="0089298C" w:rsidRPr="002F50BD">
        <w:rPr>
          <w:rFonts w:ascii="Verdana" w:hAnsi="Verdana"/>
          <w:sz w:val="16"/>
          <w:lang w:val="pt-BR"/>
        </w:rPr>
        <w:t>, e a Lei</w:t>
      </w:r>
      <w:r w:rsidR="00FC6B22" w:rsidRPr="002F50BD">
        <w:rPr>
          <w:rFonts w:ascii="Verdana" w:hAnsi="Verdana"/>
          <w:sz w:val="16"/>
          <w:lang w:val="pt-BR"/>
        </w:rPr>
        <w:t xml:space="preserve"> </w:t>
      </w:r>
      <w:r w:rsidR="00063B47" w:rsidRPr="002F50BD">
        <w:rPr>
          <w:rFonts w:ascii="Verdana" w:hAnsi="Verdana"/>
          <w:sz w:val="16"/>
          <w:lang w:val="pt-BR"/>
        </w:rPr>
        <w:t>nº</w:t>
      </w:r>
      <w:r w:rsidR="00FC6B22" w:rsidRPr="002F50BD">
        <w:rPr>
          <w:rFonts w:ascii="Verdana" w:hAnsi="Verdana"/>
          <w:sz w:val="16"/>
          <w:lang w:val="pt-BR"/>
        </w:rPr>
        <w:t xml:space="preserve"> </w:t>
      </w:r>
      <w:r w:rsidR="00063B47" w:rsidRPr="002F50BD">
        <w:rPr>
          <w:rFonts w:ascii="Verdana" w:hAnsi="Verdana"/>
          <w:sz w:val="16"/>
          <w:lang w:val="pt-BR"/>
        </w:rPr>
        <w:t>604</w:t>
      </w:r>
      <w:r w:rsidRPr="002F50BD">
        <w:rPr>
          <w:rFonts w:ascii="Verdana" w:hAnsi="Verdana"/>
          <w:sz w:val="16"/>
          <w:lang w:val="pt-BR"/>
        </w:rPr>
        <w:t>/</w:t>
      </w:r>
      <w:r w:rsidR="00063B47" w:rsidRPr="002F50BD">
        <w:rPr>
          <w:rFonts w:ascii="Verdana" w:hAnsi="Verdana"/>
          <w:sz w:val="16"/>
          <w:lang w:val="pt-BR"/>
        </w:rPr>
        <w:t>81</w:t>
      </w:r>
      <w:r w:rsidRPr="002F50BD">
        <w:rPr>
          <w:rFonts w:ascii="Verdana" w:hAnsi="Verdana"/>
          <w:sz w:val="16"/>
          <w:lang w:val="pt-BR"/>
        </w:rPr>
        <w:t>, Estatuto</w:t>
      </w:r>
      <w:r w:rsidR="0089298C" w:rsidRPr="002F50BD">
        <w:rPr>
          <w:rFonts w:ascii="Verdana" w:hAnsi="Verdana"/>
          <w:sz w:val="16"/>
          <w:lang w:val="pt-BR"/>
        </w:rPr>
        <w:t xml:space="preserve"> das </w:t>
      </w:r>
      <w:r w:rsidRPr="002F50BD">
        <w:rPr>
          <w:rFonts w:ascii="Verdana" w:hAnsi="Verdana"/>
          <w:sz w:val="16"/>
          <w:lang w:val="pt-BR"/>
        </w:rPr>
        <w:t>Comunidades Indígenas, propondo</w:t>
      </w:r>
      <w:r w:rsidR="0089298C" w:rsidRPr="002F50BD">
        <w:rPr>
          <w:rFonts w:ascii="Verdana" w:hAnsi="Verdana"/>
          <w:sz w:val="16"/>
          <w:lang w:val="pt-BR"/>
        </w:rPr>
        <w:t xml:space="preserve"> a </w:t>
      </w:r>
      <w:r w:rsidR="00DB51F0" w:rsidRPr="002F50BD">
        <w:rPr>
          <w:rFonts w:ascii="Verdana" w:hAnsi="Verdana"/>
          <w:sz w:val="16"/>
          <w:lang w:val="pt-BR"/>
        </w:rPr>
        <w:t>expropriação</w:t>
      </w:r>
      <w:r w:rsidRPr="002F50BD">
        <w:rPr>
          <w:rFonts w:ascii="Verdana" w:hAnsi="Verdana"/>
          <w:sz w:val="16"/>
          <w:lang w:val="pt-BR"/>
        </w:rPr>
        <w:t xml:space="preserve"> de </w:t>
      </w:r>
      <w:r w:rsidR="0089298C" w:rsidRPr="002F50BD">
        <w:rPr>
          <w:rFonts w:ascii="Verdana" w:hAnsi="Verdana"/>
          <w:sz w:val="16"/>
          <w:lang w:val="pt-BR"/>
        </w:rPr>
        <w:t>acordo com o artigo</w:t>
      </w:r>
      <w:r w:rsidRPr="002F50BD">
        <w:rPr>
          <w:rFonts w:ascii="Verdana" w:hAnsi="Verdana"/>
          <w:sz w:val="16"/>
          <w:lang w:val="pt-BR"/>
        </w:rPr>
        <w:t xml:space="preserve"> </w:t>
      </w:r>
      <w:r w:rsidR="00063B47" w:rsidRPr="002F50BD">
        <w:rPr>
          <w:rFonts w:ascii="Verdana" w:hAnsi="Verdana"/>
          <w:sz w:val="16"/>
          <w:lang w:val="pt-BR"/>
        </w:rPr>
        <w:t>1</w:t>
      </w:r>
      <w:r w:rsidR="0089298C" w:rsidRPr="002F50BD">
        <w:rPr>
          <w:rFonts w:ascii="Verdana" w:hAnsi="Verdana"/>
          <w:sz w:val="16"/>
          <w:lang w:val="pt-BR"/>
        </w:rPr>
        <w:t xml:space="preserve"> da Lei</w:t>
      </w:r>
      <w:r w:rsidR="00FC6B22" w:rsidRPr="002F50BD">
        <w:rPr>
          <w:rFonts w:ascii="Verdana" w:hAnsi="Verdana"/>
          <w:sz w:val="16"/>
          <w:lang w:val="pt-BR"/>
        </w:rPr>
        <w:t xml:space="preserve"> </w:t>
      </w:r>
      <w:r w:rsidR="00063B47" w:rsidRPr="002F50BD">
        <w:rPr>
          <w:rFonts w:ascii="Verdana" w:hAnsi="Verdana"/>
          <w:sz w:val="16"/>
          <w:lang w:val="pt-BR"/>
        </w:rPr>
        <w:t>nº</w:t>
      </w:r>
      <w:r w:rsidR="00FC6B22" w:rsidRPr="002F50BD">
        <w:rPr>
          <w:rFonts w:ascii="Verdana" w:hAnsi="Verdana"/>
          <w:sz w:val="16"/>
          <w:lang w:val="pt-BR"/>
        </w:rPr>
        <w:t xml:space="preserve"> </w:t>
      </w:r>
      <w:r w:rsidR="00063B47" w:rsidRPr="002F50BD">
        <w:rPr>
          <w:rFonts w:ascii="Verdana" w:hAnsi="Verdana"/>
          <w:sz w:val="16"/>
          <w:lang w:val="pt-BR"/>
        </w:rPr>
        <w:t>1372</w:t>
      </w:r>
      <w:r w:rsidRPr="002F50BD">
        <w:rPr>
          <w:rFonts w:ascii="Verdana" w:hAnsi="Verdana"/>
          <w:sz w:val="16"/>
          <w:lang w:val="pt-BR"/>
        </w:rPr>
        <w:t>/</w:t>
      </w:r>
      <w:r w:rsidR="00063B47" w:rsidRPr="002F50BD">
        <w:rPr>
          <w:rFonts w:ascii="Verdana" w:hAnsi="Verdana"/>
          <w:sz w:val="16"/>
          <w:lang w:val="pt-BR"/>
        </w:rPr>
        <w:t>88</w:t>
      </w:r>
      <w:r w:rsidRPr="002F50BD">
        <w:rPr>
          <w:rFonts w:ascii="Verdana" w:hAnsi="Verdana"/>
          <w:sz w:val="16"/>
          <w:lang w:val="pt-BR"/>
        </w:rPr>
        <w:t xml:space="preserve"> </w:t>
      </w:r>
      <w:r w:rsidR="0089298C" w:rsidRPr="002F50BD">
        <w:rPr>
          <w:rFonts w:ascii="Verdana" w:hAnsi="Verdana"/>
          <w:sz w:val="16"/>
          <w:lang w:val="pt-BR"/>
        </w:rPr>
        <w:t>quando</w:t>
      </w:r>
      <w:r w:rsidRPr="002F50BD">
        <w:rPr>
          <w:rFonts w:ascii="Verdana" w:hAnsi="Verdana"/>
          <w:sz w:val="16"/>
          <w:lang w:val="pt-BR"/>
        </w:rPr>
        <w:t xml:space="preserve"> n</w:t>
      </w:r>
      <w:r w:rsidR="001051F4" w:rsidRPr="002F50BD">
        <w:rPr>
          <w:rFonts w:ascii="Verdana" w:hAnsi="Verdana"/>
          <w:sz w:val="16"/>
          <w:lang w:val="pt-BR"/>
        </w:rPr>
        <w:t>ã</w:t>
      </w:r>
      <w:r w:rsidRPr="002F50BD">
        <w:rPr>
          <w:rFonts w:ascii="Verdana" w:hAnsi="Verdana"/>
          <w:sz w:val="16"/>
          <w:lang w:val="pt-BR"/>
        </w:rPr>
        <w:t>o se ob</w:t>
      </w:r>
      <w:r w:rsidR="0089298C" w:rsidRPr="002F50BD">
        <w:rPr>
          <w:rFonts w:ascii="Verdana" w:hAnsi="Verdana"/>
          <w:sz w:val="16"/>
          <w:lang w:val="pt-BR"/>
        </w:rPr>
        <w:t xml:space="preserve">tenham </w:t>
      </w:r>
      <w:r w:rsidRPr="002F50BD">
        <w:rPr>
          <w:rFonts w:ascii="Verdana" w:hAnsi="Verdana"/>
          <w:sz w:val="16"/>
          <w:lang w:val="pt-BR"/>
        </w:rPr>
        <w:t>solu</w:t>
      </w:r>
      <w:r w:rsidR="0089298C" w:rsidRPr="002F50BD">
        <w:rPr>
          <w:rFonts w:ascii="Verdana" w:hAnsi="Verdana"/>
          <w:sz w:val="16"/>
          <w:lang w:val="pt-BR"/>
        </w:rPr>
        <w:t xml:space="preserve">ções </w:t>
      </w:r>
      <w:r w:rsidR="001051F4" w:rsidRPr="002F50BD">
        <w:rPr>
          <w:rFonts w:ascii="Verdana" w:hAnsi="Verdana"/>
          <w:sz w:val="16"/>
          <w:lang w:val="pt-BR"/>
        </w:rPr>
        <w:t xml:space="preserve">através das </w:t>
      </w:r>
      <w:r w:rsidR="0089298C" w:rsidRPr="002F50BD">
        <w:rPr>
          <w:rFonts w:ascii="Verdana" w:hAnsi="Verdana"/>
          <w:sz w:val="16"/>
          <w:lang w:val="pt-BR"/>
        </w:rPr>
        <w:t>via</w:t>
      </w:r>
      <w:r w:rsidRPr="002F50BD">
        <w:rPr>
          <w:rFonts w:ascii="Verdana" w:hAnsi="Verdana"/>
          <w:sz w:val="16"/>
          <w:lang w:val="pt-BR"/>
        </w:rPr>
        <w:t>s previstas.</w:t>
      </w:r>
    </w:p>
    <w:p w:rsidR="001C609B" w:rsidRPr="002F50BD" w:rsidRDefault="001C609B" w:rsidP="001C609B">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Corte considera que</w:t>
      </w:r>
      <w:r w:rsidRPr="002F50BD">
        <w:rPr>
          <w:rFonts w:ascii="Verdana" w:hAnsi="Verdana"/>
          <w:sz w:val="20"/>
          <w:lang w:val="pt-BR"/>
        </w:rPr>
        <w:t xml:space="preserve"> uma </w:t>
      </w:r>
      <w:r w:rsidR="004756C1" w:rsidRPr="002F50BD">
        <w:rPr>
          <w:rFonts w:ascii="Verdana" w:hAnsi="Verdana"/>
          <w:sz w:val="20"/>
          <w:lang w:val="pt-BR"/>
        </w:rPr>
        <w:t>demora prolongada, como</w:t>
      </w:r>
      <w:r w:rsidRPr="002F50BD">
        <w:rPr>
          <w:rFonts w:ascii="Verdana" w:hAnsi="Verdana"/>
          <w:sz w:val="20"/>
          <w:lang w:val="pt-BR"/>
        </w:rPr>
        <w:t xml:space="preserve"> a </w:t>
      </w:r>
      <w:r w:rsidR="004756C1" w:rsidRPr="002F50BD">
        <w:rPr>
          <w:rFonts w:ascii="Verdana" w:hAnsi="Verdana"/>
          <w:sz w:val="20"/>
          <w:lang w:val="pt-BR"/>
        </w:rPr>
        <w:t xml:space="preserve">que se </w:t>
      </w:r>
      <w:r w:rsidR="001051F4" w:rsidRPr="002F50BD">
        <w:rPr>
          <w:rFonts w:ascii="Verdana" w:hAnsi="Verdana"/>
          <w:sz w:val="20"/>
          <w:lang w:val="pt-BR"/>
        </w:rPr>
        <w:t xml:space="preserve">deu </w:t>
      </w:r>
      <w:r w:rsidRPr="002F50BD">
        <w:rPr>
          <w:rFonts w:ascii="Verdana" w:hAnsi="Verdana"/>
          <w:sz w:val="20"/>
          <w:lang w:val="pt-BR"/>
        </w:rPr>
        <w:t xml:space="preserve">neste </w:t>
      </w:r>
      <w:r w:rsidR="004756C1" w:rsidRPr="002F50BD">
        <w:rPr>
          <w:rFonts w:ascii="Verdana" w:hAnsi="Verdana"/>
          <w:sz w:val="20"/>
          <w:lang w:val="pt-BR"/>
        </w:rPr>
        <w:t xml:space="preserve">caso, </w:t>
      </w:r>
      <w:r w:rsidRPr="002F50BD">
        <w:rPr>
          <w:rFonts w:ascii="Verdana" w:hAnsi="Verdana"/>
          <w:sz w:val="20"/>
          <w:lang w:val="pt-BR"/>
        </w:rPr>
        <w:t>constitui em princípio</w:t>
      </w:r>
      <w:r w:rsidR="004756C1" w:rsidRPr="002F50BD">
        <w:rPr>
          <w:rFonts w:ascii="Verdana" w:hAnsi="Verdana"/>
          <w:sz w:val="20"/>
          <w:lang w:val="pt-BR"/>
        </w:rPr>
        <w:t xml:space="preserve">, por </w:t>
      </w:r>
      <w:r w:rsidRPr="002F50BD">
        <w:rPr>
          <w:rFonts w:ascii="Verdana" w:hAnsi="Verdana"/>
          <w:sz w:val="20"/>
          <w:lang w:val="pt-BR"/>
        </w:rPr>
        <w:t>si mesm</w:t>
      </w:r>
      <w:r w:rsidR="004756C1" w:rsidRPr="002F50BD">
        <w:rPr>
          <w:rFonts w:ascii="Verdana" w:hAnsi="Verdana"/>
          <w:sz w:val="20"/>
          <w:lang w:val="pt-BR"/>
        </w:rPr>
        <w:t>a,</w:t>
      </w:r>
      <w:r w:rsidRPr="002F50BD">
        <w:rPr>
          <w:rFonts w:ascii="Verdana" w:hAnsi="Verdana"/>
          <w:sz w:val="20"/>
          <w:lang w:val="pt-BR"/>
        </w:rPr>
        <w:t xml:space="preserve"> uma </w:t>
      </w:r>
      <w:r w:rsidR="004756C1" w:rsidRPr="002F50BD">
        <w:rPr>
          <w:rFonts w:ascii="Verdana" w:hAnsi="Verdana"/>
          <w:sz w:val="20"/>
          <w:lang w:val="pt-BR"/>
        </w:rPr>
        <w:t>viola</w:t>
      </w:r>
      <w:r w:rsidRPr="002F50BD">
        <w:rPr>
          <w:rFonts w:ascii="Verdana" w:hAnsi="Verdana"/>
          <w:sz w:val="20"/>
          <w:lang w:val="pt-BR"/>
        </w:rPr>
        <w:t>ção das garantias</w:t>
      </w:r>
      <w:r w:rsidR="004756C1" w:rsidRPr="002F50BD">
        <w:rPr>
          <w:rFonts w:ascii="Verdana" w:hAnsi="Verdana"/>
          <w:sz w:val="20"/>
          <w:lang w:val="pt-BR"/>
        </w:rPr>
        <w:t xml:space="preserve"> </w:t>
      </w:r>
      <w:r w:rsidRPr="002F50BD">
        <w:rPr>
          <w:rFonts w:ascii="Verdana" w:hAnsi="Verdana"/>
          <w:sz w:val="20"/>
          <w:lang w:val="pt-BR"/>
        </w:rPr>
        <w:t>judiciais</w:t>
      </w:r>
      <w:r w:rsidR="001051F4" w:rsidRPr="002F50BD">
        <w:rPr>
          <w:rFonts w:ascii="Verdana" w:hAnsi="Verdana"/>
          <w:sz w:val="20"/>
          <w:lang w:val="pt-BR"/>
        </w:rPr>
        <w:t>.</w:t>
      </w:r>
      <w:r w:rsidR="004756C1" w:rsidRPr="002F50BD">
        <w:rPr>
          <w:rStyle w:val="FootnoteReference"/>
          <w:rFonts w:ascii="Verdana" w:hAnsi="Verdana"/>
        </w:rPr>
        <w:footnoteReference w:id="180"/>
      </w:r>
      <w:r w:rsidR="00AB454A" w:rsidRPr="002F50BD">
        <w:rPr>
          <w:rFonts w:ascii="Verdana" w:hAnsi="Verdana"/>
          <w:sz w:val="20"/>
          <w:lang w:val="pt-BR"/>
        </w:rPr>
        <w:t xml:space="preserve"> A </w:t>
      </w:r>
      <w:r w:rsidR="004756C1" w:rsidRPr="002F50BD">
        <w:rPr>
          <w:rFonts w:ascii="Verdana" w:hAnsi="Verdana"/>
          <w:sz w:val="20"/>
          <w:lang w:val="pt-BR"/>
        </w:rPr>
        <w:t xml:space="preserve">falta de </w:t>
      </w:r>
      <w:r w:rsidRPr="002F50BD">
        <w:rPr>
          <w:rFonts w:ascii="Verdana" w:hAnsi="Verdana"/>
          <w:sz w:val="20"/>
          <w:lang w:val="pt-BR"/>
        </w:rPr>
        <w:t>razoabilidade</w:t>
      </w:r>
      <w:r w:rsidR="004756C1" w:rsidRPr="002F50BD">
        <w:rPr>
          <w:rFonts w:ascii="Verdana" w:hAnsi="Verdana"/>
          <w:sz w:val="20"/>
          <w:lang w:val="pt-BR"/>
        </w:rPr>
        <w:t>,</w:t>
      </w:r>
      <w:r w:rsidRPr="002F50BD">
        <w:rPr>
          <w:rFonts w:ascii="Verdana" w:hAnsi="Verdana"/>
          <w:sz w:val="20"/>
          <w:lang w:val="pt-BR"/>
        </w:rPr>
        <w:t xml:space="preserve"> </w:t>
      </w:r>
      <w:r w:rsidR="001051F4" w:rsidRPr="002F50BD">
        <w:rPr>
          <w:rFonts w:ascii="Verdana" w:hAnsi="Verdana"/>
          <w:sz w:val="20"/>
          <w:lang w:val="pt-BR"/>
        </w:rPr>
        <w:t>entretanto</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xml:space="preserve"> ser desvirtuada</w:t>
      </w:r>
      <w:r w:rsidRPr="002F50BD">
        <w:rPr>
          <w:rFonts w:ascii="Verdana" w:hAnsi="Verdana"/>
          <w:sz w:val="20"/>
          <w:lang w:val="pt-BR"/>
        </w:rPr>
        <w:t xml:space="preserve"> pelo </w:t>
      </w:r>
      <w:r w:rsidR="004756C1" w:rsidRPr="002F50BD">
        <w:rPr>
          <w:rFonts w:ascii="Verdana" w:hAnsi="Verdana"/>
          <w:sz w:val="20"/>
          <w:lang w:val="pt-BR"/>
        </w:rPr>
        <w:t>Estado,</w:t>
      </w:r>
      <w:r w:rsidRPr="002F50BD">
        <w:rPr>
          <w:rFonts w:ascii="Verdana" w:hAnsi="Verdana"/>
          <w:sz w:val="20"/>
          <w:lang w:val="pt-BR"/>
        </w:rPr>
        <w:t xml:space="preserve"> se </w:t>
      </w:r>
      <w:r w:rsidR="001051F4" w:rsidRPr="002F50BD">
        <w:rPr>
          <w:rFonts w:ascii="Verdana" w:hAnsi="Verdana"/>
          <w:sz w:val="20"/>
          <w:lang w:val="pt-BR"/>
        </w:rPr>
        <w:t>e</w:t>
      </w:r>
      <w:r w:rsidR="00691920" w:rsidRPr="002F50BD">
        <w:rPr>
          <w:rFonts w:ascii="Verdana" w:hAnsi="Verdana"/>
          <w:sz w:val="20"/>
          <w:lang w:val="pt-BR"/>
        </w:rPr>
        <w:t xml:space="preserve">ste </w:t>
      </w:r>
      <w:r w:rsidR="004756C1" w:rsidRPr="002F50BD">
        <w:rPr>
          <w:rFonts w:ascii="Verdana" w:hAnsi="Verdana"/>
          <w:sz w:val="20"/>
          <w:lang w:val="pt-BR"/>
        </w:rPr>
        <w:t>exp</w:t>
      </w:r>
      <w:r w:rsidR="001051F4" w:rsidRPr="002F50BD">
        <w:rPr>
          <w:rFonts w:ascii="Verdana" w:hAnsi="Verdana"/>
          <w:sz w:val="20"/>
          <w:lang w:val="pt-BR"/>
        </w:rPr>
        <w:t>user</w:t>
      </w:r>
      <w:r w:rsidRPr="002F50BD">
        <w:rPr>
          <w:rFonts w:ascii="Verdana" w:hAnsi="Verdana"/>
          <w:sz w:val="20"/>
          <w:lang w:val="pt-BR"/>
        </w:rPr>
        <w:t xml:space="preserve"> e prova</w:t>
      </w:r>
      <w:r w:rsidR="001051F4" w:rsidRPr="002F50BD">
        <w:rPr>
          <w:rFonts w:ascii="Verdana" w:hAnsi="Verdana"/>
          <w:sz w:val="20"/>
          <w:lang w:val="pt-BR"/>
        </w:rPr>
        <w:t>r</w:t>
      </w:r>
      <w:r w:rsidR="004756C1" w:rsidRPr="002F50BD">
        <w:rPr>
          <w:rFonts w:ascii="Verdana" w:hAnsi="Verdana"/>
          <w:sz w:val="20"/>
          <w:lang w:val="pt-BR"/>
        </w:rPr>
        <w:t xml:space="preserve"> que</w:t>
      </w:r>
      <w:r w:rsidRPr="002F50BD">
        <w:rPr>
          <w:rFonts w:ascii="Verdana" w:hAnsi="Verdana"/>
          <w:sz w:val="20"/>
          <w:lang w:val="pt-BR"/>
        </w:rPr>
        <w:t xml:space="preserve"> a </w:t>
      </w:r>
      <w:r w:rsidR="004756C1" w:rsidRPr="002F50BD">
        <w:rPr>
          <w:rFonts w:ascii="Verdana" w:hAnsi="Verdana"/>
          <w:sz w:val="20"/>
          <w:lang w:val="pt-BR"/>
        </w:rPr>
        <w:t xml:space="preserve">demora </w:t>
      </w:r>
      <w:r w:rsidRPr="002F50BD">
        <w:rPr>
          <w:rFonts w:ascii="Verdana" w:hAnsi="Verdana"/>
          <w:sz w:val="20"/>
          <w:lang w:val="pt-BR"/>
        </w:rPr>
        <w:t xml:space="preserve">tem </w:t>
      </w:r>
      <w:r w:rsidR="004756C1" w:rsidRPr="002F50BD">
        <w:rPr>
          <w:rFonts w:ascii="Verdana" w:hAnsi="Verdana"/>
          <w:sz w:val="20"/>
          <w:lang w:val="pt-BR"/>
        </w:rPr>
        <w:t>rela</w:t>
      </w:r>
      <w:r w:rsidRPr="002F50BD">
        <w:rPr>
          <w:rFonts w:ascii="Verdana" w:hAnsi="Verdana"/>
          <w:sz w:val="20"/>
          <w:lang w:val="pt-BR"/>
        </w:rPr>
        <w:t xml:space="preserve">ção </w:t>
      </w:r>
      <w:r w:rsidR="001051F4" w:rsidRPr="002F50BD">
        <w:rPr>
          <w:rFonts w:ascii="Verdana" w:hAnsi="Verdana"/>
          <w:sz w:val="20"/>
          <w:lang w:val="pt-BR"/>
        </w:rPr>
        <w:t xml:space="preserve">direta </w:t>
      </w:r>
      <w:r w:rsidRPr="002F50BD">
        <w:rPr>
          <w:rFonts w:ascii="Verdana" w:hAnsi="Verdana"/>
          <w:sz w:val="20"/>
          <w:lang w:val="pt-BR"/>
        </w:rPr>
        <w:t xml:space="preserve">com a </w:t>
      </w:r>
      <w:r w:rsidR="00C03ED8" w:rsidRPr="002F50BD">
        <w:rPr>
          <w:rFonts w:ascii="Verdana" w:hAnsi="Verdana"/>
          <w:sz w:val="20"/>
          <w:lang w:val="pt-BR"/>
        </w:rPr>
        <w:t>complexidade</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caso o</w:t>
      </w:r>
      <w:r w:rsidR="001051F4" w:rsidRPr="002F50BD">
        <w:rPr>
          <w:rFonts w:ascii="Verdana" w:hAnsi="Verdana"/>
          <w:sz w:val="20"/>
          <w:lang w:val="pt-BR"/>
        </w:rPr>
        <w:t>u</w:t>
      </w:r>
      <w:r w:rsidRPr="002F50BD">
        <w:rPr>
          <w:rFonts w:ascii="Verdana" w:hAnsi="Verdana"/>
          <w:sz w:val="20"/>
          <w:lang w:val="pt-BR"/>
        </w:rPr>
        <w:t xml:space="preserve"> com a conduta das </w:t>
      </w:r>
      <w:r w:rsidR="004756C1" w:rsidRPr="002F50BD">
        <w:rPr>
          <w:rFonts w:ascii="Verdana" w:hAnsi="Verdana"/>
          <w:sz w:val="20"/>
          <w:lang w:val="pt-BR"/>
        </w:rPr>
        <w:t>partes</w:t>
      </w:r>
      <w:r w:rsidRPr="002F50BD">
        <w:rPr>
          <w:rFonts w:ascii="Verdana" w:hAnsi="Verdana"/>
          <w:sz w:val="20"/>
          <w:lang w:val="pt-BR"/>
        </w:rPr>
        <w:t xml:space="preserve"> no mesm</w:t>
      </w:r>
      <w:r w:rsidR="004756C1" w:rsidRPr="002F50BD">
        <w:rPr>
          <w:rFonts w:ascii="Verdana" w:hAnsi="Verdana"/>
          <w:sz w:val="20"/>
          <w:lang w:val="pt-BR"/>
        </w:rPr>
        <w:t xml:space="preserve">o. </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Bas</w:t>
      </w:r>
      <w:r w:rsidR="001051F4" w:rsidRPr="002F50BD">
        <w:rPr>
          <w:rFonts w:ascii="Verdana" w:hAnsi="Verdana"/>
          <w:sz w:val="20"/>
          <w:lang w:val="pt-BR"/>
        </w:rPr>
        <w:t>ea</w:t>
      </w:r>
      <w:r w:rsidRPr="002F50BD">
        <w:rPr>
          <w:rFonts w:ascii="Verdana" w:hAnsi="Verdana"/>
          <w:sz w:val="20"/>
          <w:lang w:val="pt-BR"/>
        </w:rPr>
        <w:t>ndo</w:t>
      </w:r>
      <w:r w:rsidR="001051F4" w:rsidRPr="002F50BD">
        <w:rPr>
          <w:rFonts w:ascii="Verdana" w:hAnsi="Verdana"/>
          <w:sz w:val="20"/>
          <w:lang w:val="pt-BR"/>
        </w:rPr>
        <w:t>-</w:t>
      </w:r>
      <w:r w:rsidRPr="002F50BD">
        <w:rPr>
          <w:rFonts w:ascii="Verdana" w:hAnsi="Verdana"/>
          <w:sz w:val="20"/>
          <w:lang w:val="pt-BR"/>
        </w:rPr>
        <w:t>se</w:t>
      </w:r>
      <w:r w:rsidR="0089298C" w:rsidRPr="002F50BD">
        <w:rPr>
          <w:rFonts w:ascii="Verdana" w:hAnsi="Verdana"/>
          <w:sz w:val="20"/>
          <w:lang w:val="pt-BR"/>
        </w:rPr>
        <w:t xml:space="preserve"> nos </w:t>
      </w:r>
      <w:r w:rsidRPr="002F50BD">
        <w:rPr>
          <w:rFonts w:ascii="Verdana" w:hAnsi="Verdana"/>
          <w:sz w:val="20"/>
          <w:lang w:val="pt-BR"/>
        </w:rPr>
        <w:t xml:space="preserve">antecedentes </w:t>
      </w:r>
      <w:r w:rsidR="0089298C" w:rsidRPr="002F50BD">
        <w:rPr>
          <w:rFonts w:ascii="Verdana" w:hAnsi="Verdana"/>
          <w:sz w:val="20"/>
          <w:lang w:val="pt-BR"/>
        </w:rPr>
        <w:t>expost</w:t>
      </w:r>
      <w:r w:rsidRPr="002F50BD">
        <w:rPr>
          <w:rFonts w:ascii="Verdana" w:hAnsi="Verdana"/>
          <w:sz w:val="20"/>
          <w:lang w:val="pt-BR"/>
        </w:rPr>
        <w:t>os</w:t>
      </w:r>
      <w:r w:rsidR="0089298C" w:rsidRPr="002F50BD">
        <w:rPr>
          <w:rFonts w:ascii="Verdana" w:hAnsi="Verdana"/>
          <w:sz w:val="20"/>
          <w:lang w:val="pt-BR"/>
        </w:rPr>
        <w:t xml:space="preserve"> no </w:t>
      </w:r>
      <w:r w:rsidRPr="002F50BD">
        <w:rPr>
          <w:rFonts w:ascii="Verdana" w:hAnsi="Verdana"/>
          <w:sz w:val="20"/>
          <w:lang w:val="pt-BR"/>
        </w:rPr>
        <w:t xml:space="preserve">capítulo sobre </w:t>
      </w:r>
      <w:r w:rsidR="0089298C" w:rsidRPr="002F50BD">
        <w:rPr>
          <w:rFonts w:ascii="Verdana" w:hAnsi="Verdana"/>
          <w:sz w:val="20"/>
          <w:lang w:val="pt-BR"/>
        </w:rPr>
        <w:t>Fatos</w:t>
      </w:r>
      <w:r w:rsidRPr="002F50BD">
        <w:rPr>
          <w:rFonts w:ascii="Verdana" w:hAnsi="Verdana"/>
          <w:sz w:val="20"/>
          <w:lang w:val="pt-BR"/>
        </w:rPr>
        <w:t xml:space="preserve"> </w:t>
      </w:r>
      <w:r w:rsidR="0089298C" w:rsidRPr="002F50BD">
        <w:rPr>
          <w:rFonts w:ascii="Verdana" w:hAnsi="Verdana"/>
          <w:sz w:val="20"/>
          <w:lang w:val="pt-BR"/>
        </w:rPr>
        <w:t>Provad</w:t>
      </w:r>
      <w:r w:rsidRPr="002F50BD">
        <w:rPr>
          <w:rFonts w:ascii="Verdana" w:hAnsi="Verdana"/>
          <w:sz w:val="20"/>
          <w:lang w:val="pt-BR"/>
        </w:rPr>
        <w:t>os,</w:t>
      </w:r>
      <w:r w:rsidR="0089298C" w:rsidRPr="002F50BD">
        <w:rPr>
          <w:rFonts w:ascii="Verdana" w:hAnsi="Verdana"/>
          <w:sz w:val="20"/>
          <w:lang w:val="pt-BR"/>
        </w:rPr>
        <w:t xml:space="preserve"> a </w:t>
      </w:r>
      <w:r w:rsidRPr="002F50BD">
        <w:rPr>
          <w:rFonts w:ascii="Verdana" w:hAnsi="Verdana"/>
          <w:sz w:val="20"/>
          <w:lang w:val="pt-BR"/>
        </w:rPr>
        <w:t>Corte re</w:t>
      </w:r>
      <w:r w:rsidR="0089298C" w:rsidRPr="002F50BD">
        <w:rPr>
          <w:rFonts w:ascii="Verdana" w:hAnsi="Verdana"/>
          <w:sz w:val="20"/>
          <w:lang w:val="pt-BR"/>
        </w:rPr>
        <w:t xml:space="preserve">conhece </w:t>
      </w:r>
      <w:r w:rsidRPr="002F50BD">
        <w:rPr>
          <w:rFonts w:ascii="Verdana" w:hAnsi="Verdana"/>
          <w:sz w:val="20"/>
          <w:lang w:val="pt-BR"/>
        </w:rPr>
        <w:t>que</w:t>
      </w:r>
      <w:r w:rsidR="0089298C" w:rsidRPr="002F50BD">
        <w:rPr>
          <w:rFonts w:ascii="Verdana" w:hAnsi="Verdana"/>
          <w:sz w:val="20"/>
          <w:lang w:val="pt-BR"/>
        </w:rPr>
        <w:t xml:space="preserve"> o assunto neste </w:t>
      </w:r>
      <w:r w:rsidRPr="002F50BD">
        <w:rPr>
          <w:rFonts w:ascii="Verdana" w:hAnsi="Verdana"/>
          <w:sz w:val="20"/>
          <w:lang w:val="pt-BR"/>
        </w:rPr>
        <w:t>caso</w:t>
      </w:r>
      <w:r w:rsidR="0089298C" w:rsidRPr="002F50BD">
        <w:rPr>
          <w:rFonts w:ascii="Verdana" w:hAnsi="Verdana"/>
          <w:sz w:val="20"/>
          <w:lang w:val="pt-BR"/>
        </w:rPr>
        <w:t xml:space="preserve"> é complexo e </w:t>
      </w:r>
      <w:r w:rsidRPr="002F50BD">
        <w:rPr>
          <w:rFonts w:ascii="Verdana" w:hAnsi="Verdana"/>
          <w:sz w:val="20"/>
          <w:lang w:val="pt-BR"/>
        </w:rPr>
        <w:t xml:space="preserve">que </w:t>
      </w:r>
      <w:r w:rsidR="001051F4" w:rsidRPr="002F50BD">
        <w:rPr>
          <w:rFonts w:ascii="Verdana" w:hAnsi="Verdana"/>
          <w:sz w:val="20"/>
          <w:lang w:val="pt-BR"/>
        </w:rPr>
        <w:t xml:space="preserve">isso </w:t>
      </w:r>
      <w:r w:rsidR="0089298C" w:rsidRPr="002F50BD">
        <w:rPr>
          <w:rFonts w:ascii="Verdana" w:hAnsi="Verdana"/>
          <w:sz w:val="20"/>
          <w:lang w:val="pt-BR"/>
        </w:rPr>
        <w:t xml:space="preserve">deve </w:t>
      </w:r>
      <w:r w:rsidR="001051F4" w:rsidRPr="002F50BD">
        <w:rPr>
          <w:rFonts w:ascii="Verdana" w:hAnsi="Verdana"/>
          <w:sz w:val="20"/>
          <w:lang w:val="pt-BR"/>
        </w:rPr>
        <w:t xml:space="preserve">ser </w:t>
      </w:r>
      <w:r w:rsidR="006603BE" w:rsidRPr="002F50BD">
        <w:rPr>
          <w:rFonts w:ascii="Verdana" w:hAnsi="Verdana"/>
          <w:sz w:val="20"/>
          <w:lang w:val="pt-BR"/>
        </w:rPr>
        <w:t>levado</w:t>
      </w:r>
      <w:r w:rsidR="001051F4" w:rsidRPr="002F50BD">
        <w:rPr>
          <w:rFonts w:ascii="Verdana" w:hAnsi="Verdana"/>
          <w:sz w:val="20"/>
          <w:lang w:val="pt-BR"/>
        </w:rPr>
        <w:t xml:space="preserve"> em </w:t>
      </w:r>
      <w:r w:rsidRPr="002F50BD">
        <w:rPr>
          <w:rFonts w:ascii="Verdana" w:hAnsi="Verdana"/>
          <w:sz w:val="20"/>
          <w:lang w:val="pt-BR"/>
        </w:rPr>
        <w:t>considera</w:t>
      </w:r>
      <w:r w:rsidR="0089298C" w:rsidRPr="002F50BD">
        <w:rPr>
          <w:rFonts w:ascii="Verdana" w:hAnsi="Verdana"/>
          <w:sz w:val="20"/>
          <w:lang w:val="pt-BR"/>
        </w:rPr>
        <w:t>ção</w:t>
      </w:r>
      <w:r w:rsidRPr="002F50BD">
        <w:rPr>
          <w:rFonts w:ascii="Verdana" w:hAnsi="Verdana"/>
          <w:sz w:val="20"/>
          <w:lang w:val="pt-BR"/>
        </w:rPr>
        <w:t xml:space="preserve"> para apreciar</w:t>
      </w:r>
      <w:r w:rsidR="0089298C" w:rsidRPr="002F50BD">
        <w:rPr>
          <w:rFonts w:ascii="Verdana" w:hAnsi="Verdana"/>
          <w:sz w:val="20"/>
          <w:lang w:val="pt-BR"/>
        </w:rPr>
        <w:t xml:space="preserve"> a razoabilidade</w:t>
      </w:r>
      <w:r w:rsidRPr="002F50BD">
        <w:rPr>
          <w:rFonts w:ascii="Verdana" w:hAnsi="Verdana"/>
          <w:sz w:val="20"/>
          <w:lang w:val="pt-BR"/>
        </w:rPr>
        <w:t xml:space="preserve"> </w:t>
      </w:r>
      <w:r w:rsidR="0089298C" w:rsidRPr="002F50BD">
        <w:rPr>
          <w:rFonts w:ascii="Verdana" w:hAnsi="Verdana"/>
          <w:sz w:val="20"/>
          <w:lang w:val="pt-BR"/>
        </w:rPr>
        <w:t>do prazo</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1051F4">
      <w:pPr>
        <w:numPr>
          <w:ilvl w:val="0"/>
          <w:numId w:val="28"/>
        </w:numPr>
        <w:jc w:val="both"/>
        <w:rPr>
          <w:rFonts w:ascii="Verdana" w:hAnsi="Verdana"/>
          <w:sz w:val="20"/>
          <w:lang w:val="pt-BR"/>
        </w:rPr>
      </w:pPr>
      <w:r w:rsidRPr="002F50BD">
        <w:rPr>
          <w:rFonts w:ascii="Verdana" w:hAnsi="Verdana"/>
          <w:sz w:val="20"/>
          <w:lang w:val="pt-BR"/>
        </w:rPr>
        <w:t>Porém</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Tribunal </w:t>
      </w:r>
      <w:r w:rsidR="0089298C" w:rsidRPr="002F50BD">
        <w:rPr>
          <w:rFonts w:ascii="Verdana" w:hAnsi="Verdana"/>
          <w:sz w:val="20"/>
          <w:lang w:val="pt-BR"/>
        </w:rPr>
        <w:t>adverte</w:t>
      </w:r>
      <w:r w:rsidR="004756C1" w:rsidRPr="002F50BD">
        <w:rPr>
          <w:rFonts w:ascii="Verdana" w:hAnsi="Verdana"/>
          <w:sz w:val="20"/>
          <w:lang w:val="pt-BR"/>
        </w:rPr>
        <w:t xml:space="preserve"> que</w:t>
      </w:r>
      <w:r w:rsidR="0089298C" w:rsidRPr="002F50BD">
        <w:rPr>
          <w:rFonts w:ascii="Verdana" w:hAnsi="Verdana"/>
          <w:sz w:val="20"/>
          <w:lang w:val="pt-BR"/>
        </w:rPr>
        <w:t xml:space="preserve"> as </w:t>
      </w:r>
      <w:r w:rsidR="004756C1" w:rsidRPr="002F50BD">
        <w:rPr>
          <w:rFonts w:ascii="Verdana" w:hAnsi="Verdana"/>
          <w:sz w:val="20"/>
          <w:lang w:val="pt-BR"/>
        </w:rPr>
        <w:t>demoras</w:t>
      </w:r>
      <w:r w:rsidR="0089298C" w:rsidRPr="002F50BD">
        <w:rPr>
          <w:rFonts w:ascii="Verdana" w:hAnsi="Verdana"/>
          <w:sz w:val="20"/>
          <w:lang w:val="pt-BR"/>
        </w:rPr>
        <w:t xml:space="preserve"> no processo</w:t>
      </w:r>
      <w:r w:rsidR="004756C1" w:rsidRPr="002F50BD">
        <w:rPr>
          <w:rFonts w:ascii="Verdana" w:hAnsi="Verdana"/>
          <w:sz w:val="20"/>
          <w:lang w:val="pt-BR"/>
        </w:rPr>
        <w:t xml:space="preserve"> administrativo que se examina</w:t>
      </w:r>
      <w:r w:rsidR="0089298C" w:rsidRPr="002F50BD">
        <w:rPr>
          <w:rFonts w:ascii="Verdana" w:hAnsi="Verdana"/>
          <w:sz w:val="20"/>
          <w:lang w:val="pt-BR"/>
        </w:rPr>
        <w:t xml:space="preserve"> na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 xml:space="preserve">o se </w:t>
      </w:r>
      <w:r w:rsidRPr="002F50BD">
        <w:rPr>
          <w:rFonts w:ascii="Verdana" w:hAnsi="Verdana"/>
          <w:sz w:val="20"/>
          <w:lang w:val="pt-BR"/>
        </w:rPr>
        <w:t xml:space="preserve">produziram </w:t>
      </w:r>
      <w:r w:rsidR="0089298C" w:rsidRPr="002F50BD">
        <w:rPr>
          <w:rFonts w:ascii="Verdana" w:hAnsi="Verdana"/>
          <w:sz w:val="20"/>
          <w:lang w:val="pt-BR"/>
        </w:rPr>
        <w:t xml:space="preserve">pela </w:t>
      </w:r>
      <w:r w:rsidR="00C03ED8" w:rsidRPr="002F50BD">
        <w:rPr>
          <w:rFonts w:ascii="Verdana" w:hAnsi="Verdana"/>
          <w:sz w:val="20"/>
          <w:lang w:val="pt-BR"/>
        </w:rPr>
        <w:t>complexidade</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caso,</w:t>
      </w:r>
      <w:r w:rsidR="0089298C" w:rsidRPr="002F50BD">
        <w:rPr>
          <w:rFonts w:ascii="Verdana" w:hAnsi="Verdana"/>
          <w:sz w:val="20"/>
          <w:lang w:val="pt-BR"/>
        </w:rPr>
        <w:t xml:space="preserve"> mas pelas atuações</w:t>
      </w:r>
      <w:r w:rsidR="004756C1" w:rsidRPr="002F50BD">
        <w:rPr>
          <w:rFonts w:ascii="Verdana" w:hAnsi="Verdana"/>
          <w:sz w:val="20"/>
          <w:lang w:val="pt-BR"/>
        </w:rPr>
        <w:t xml:space="preserve"> </w:t>
      </w:r>
      <w:r w:rsidR="00AB454A" w:rsidRPr="002F50BD">
        <w:rPr>
          <w:rFonts w:ascii="Verdana" w:hAnsi="Verdana"/>
          <w:sz w:val="20"/>
          <w:lang w:val="pt-BR"/>
        </w:rPr>
        <w:t>sistematicamente</w:t>
      </w:r>
      <w:r w:rsidR="004756C1" w:rsidRPr="002F50BD">
        <w:rPr>
          <w:rFonts w:ascii="Verdana" w:hAnsi="Verdana"/>
          <w:sz w:val="20"/>
          <w:lang w:val="pt-BR"/>
        </w:rPr>
        <w:t xml:space="preserve"> demoradas</w:t>
      </w:r>
      <w:r w:rsidR="0089298C" w:rsidRPr="002F50BD">
        <w:rPr>
          <w:rFonts w:ascii="Verdana" w:hAnsi="Verdana"/>
          <w:sz w:val="20"/>
          <w:lang w:val="pt-BR"/>
        </w:rPr>
        <w:t xml:space="preserve"> das </w:t>
      </w:r>
      <w:r w:rsidR="004756C1" w:rsidRPr="002F50BD">
        <w:rPr>
          <w:rFonts w:ascii="Verdana" w:hAnsi="Verdana"/>
          <w:sz w:val="20"/>
          <w:lang w:val="pt-BR"/>
        </w:rPr>
        <w:t>autoridades esta</w:t>
      </w:r>
      <w:r w:rsidR="0089298C" w:rsidRPr="002F50BD">
        <w:rPr>
          <w:rFonts w:ascii="Verdana" w:hAnsi="Verdana"/>
          <w:sz w:val="20"/>
          <w:lang w:val="pt-BR"/>
        </w:rPr>
        <w:t>tais</w:t>
      </w:r>
      <w:r w:rsidR="00CD7100" w:rsidRPr="002F50BD">
        <w:rPr>
          <w:rFonts w:ascii="Verdana" w:hAnsi="Verdana"/>
          <w:sz w:val="20"/>
          <w:lang w:val="pt-BR"/>
        </w:rPr>
        <w:t xml:space="preserve">. </w:t>
      </w:r>
      <w:r w:rsidRPr="002F50BD">
        <w:rPr>
          <w:rFonts w:ascii="Verdana" w:hAnsi="Verdana"/>
          <w:sz w:val="20"/>
          <w:lang w:val="pt-BR"/>
        </w:rPr>
        <w:t xml:space="preserve">Com </w:t>
      </w:r>
      <w:r w:rsidR="0089298C" w:rsidRPr="002F50BD">
        <w:rPr>
          <w:rFonts w:ascii="Verdana" w:hAnsi="Verdana"/>
          <w:sz w:val="20"/>
          <w:lang w:val="pt-BR"/>
        </w:rPr>
        <w:t>efeito</w:t>
      </w:r>
      <w:r w:rsidR="004756C1" w:rsidRPr="002F50BD">
        <w:rPr>
          <w:rFonts w:ascii="Verdana" w:hAnsi="Verdana"/>
          <w:sz w:val="20"/>
          <w:lang w:val="pt-BR"/>
        </w:rPr>
        <w:t>,</w:t>
      </w:r>
      <w:r w:rsidR="0089298C" w:rsidRPr="002F50BD">
        <w:rPr>
          <w:rFonts w:ascii="Verdana" w:hAnsi="Verdana"/>
          <w:sz w:val="20"/>
          <w:lang w:val="pt-BR"/>
        </w:rPr>
        <w:t xml:space="preserve"> em múltipla</w:t>
      </w:r>
      <w:r w:rsidR="004756C1" w:rsidRPr="002F50BD">
        <w:rPr>
          <w:rFonts w:ascii="Verdana" w:hAnsi="Verdana"/>
          <w:sz w:val="20"/>
          <w:lang w:val="pt-BR"/>
        </w:rPr>
        <w:t xml:space="preserve">s </w:t>
      </w:r>
      <w:r w:rsidR="0089298C" w:rsidRPr="002F50BD">
        <w:rPr>
          <w:rFonts w:ascii="Verdana" w:hAnsi="Verdana"/>
          <w:sz w:val="20"/>
          <w:lang w:val="pt-BR"/>
        </w:rPr>
        <w:t xml:space="preserve">ocasiões o </w:t>
      </w:r>
      <w:r w:rsidR="004756C1" w:rsidRPr="002F50BD">
        <w:rPr>
          <w:rFonts w:ascii="Verdana" w:hAnsi="Verdana"/>
          <w:sz w:val="20"/>
          <w:lang w:val="pt-BR"/>
        </w:rPr>
        <w:t xml:space="preserve">IBR </w:t>
      </w:r>
      <w:r w:rsidR="0089298C" w:rsidRPr="002F50BD">
        <w:rPr>
          <w:rFonts w:ascii="Verdana" w:hAnsi="Verdana"/>
          <w:sz w:val="20"/>
          <w:lang w:val="pt-BR"/>
        </w:rPr>
        <w:t>requer</w:t>
      </w:r>
      <w:r w:rsidRPr="002F50BD">
        <w:rPr>
          <w:rFonts w:ascii="Verdana" w:hAnsi="Verdana"/>
          <w:sz w:val="20"/>
          <w:lang w:val="pt-BR"/>
        </w:rPr>
        <w:t>e</w:t>
      </w:r>
      <w:r w:rsidR="0089298C" w:rsidRPr="002F50BD">
        <w:rPr>
          <w:rFonts w:ascii="Verdana" w:hAnsi="Verdana"/>
          <w:sz w:val="20"/>
          <w:lang w:val="pt-BR"/>
        </w:rPr>
        <w:t xml:space="preserve">u ao </w:t>
      </w:r>
      <w:r w:rsidR="004756C1" w:rsidRPr="002F50BD">
        <w:rPr>
          <w:rFonts w:ascii="Verdana" w:hAnsi="Verdana"/>
          <w:sz w:val="20"/>
          <w:lang w:val="pt-BR"/>
        </w:rPr>
        <w:t>INDI</w:t>
      </w:r>
      <w:r w:rsidR="0089298C" w:rsidRPr="002F50BD">
        <w:rPr>
          <w:rFonts w:ascii="Verdana" w:hAnsi="Verdana"/>
          <w:sz w:val="20"/>
          <w:lang w:val="pt-BR"/>
        </w:rPr>
        <w:t xml:space="preserve"> a apresentação</w:t>
      </w:r>
      <w:r w:rsidR="004756C1" w:rsidRPr="002F50BD">
        <w:rPr>
          <w:rFonts w:ascii="Verdana" w:hAnsi="Verdana"/>
          <w:sz w:val="20"/>
          <w:lang w:val="pt-BR"/>
        </w:rPr>
        <w:t xml:space="preserve"> de </w:t>
      </w:r>
      <w:r w:rsidR="0089298C" w:rsidRPr="002F50BD">
        <w:rPr>
          <w:rFonts w:ascii="Verdana" w:hAnsi="Verdana"/>
          <w:sz w:val="20"/>
          <w:lang w:val="pt-BR"/>
        </w:rPr>
        <w:t>dado</w:t>
      </w:r>
      <w:r w:rsidRPr="002F50BD">
        <w:rPr>
          <w:rFonts w:ascii="Verdana" w:hAnsi="Verdana"/>
          <w:sz w:val="20"/>
          <w:lang w:val="pt-BR"/>
        </w:rPr>
        <w:t>s</w:t>
      </w:r>
      <w:r w:rsidR="004756C1" w:rsidRPr="002F50BD">
        <w:rPr>
          <w:rFonts w:ascii="Verdana" w:hAnsi="Verdana"/>
          <w:sz w:val="20"/>
          <w:lang w:val="pt-BR"/>
        </w:rPr>
        <w:t xml:space="preserve"> </w:t>
      </w:r>
      <w:r w:rsidR="0089298C" w:rsidRPr="002F50BD">
        <w:rPr>
          <w:rFonts w:ascii="Verdana" w:hAnsi="Verdana"/>
          <w:sz w:val="20"/>
          <w:lang w:val="pt-BR"/>
        </w:rPr>
        <w:t xml:space="preserve">a respeito </w:t>
      </w:r>
      <w:r w:rsidRPr="002F50BD">
        <w:rPr>
          <w:rFonts w:ascii="Verdana" w:hAnsi="Verdana"/>
          <w:sz w:val="20"/>
          <w:lang w:val="pt-BR"/>
        </w:rPr>
        <w:t>da</w:t>
      </w:r>
      <w:r w:rsidR="0089298C" w:rsidRPr="002F50BD">
        <w:rPr>
          <w:rFonts w:ascii="Verdana" w:hAnsi="Verdana"/>
          <w:sz w:val="20"/>
          <w:lang w:val="pt-BR"/>
        </w:rPr>
        <w:t xml:space="preserve">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0089298C" w:rsidRPr="002F50BD">
        <w:rPr>
          <w:rFonts w:ascii="Verdana" w:hAnsi="Verdana"/>
          <w:sz w:val="20"/>
          <w:szCs w:val="26"/>
          <w:lang w:val="pt-BR"/>
        </w:rPr>
        <w:t>pars.</w:t>
      </w:r>
      <w:r w:rsidR="004756C1" w:rsidRPr="002F50BD">
        <w:rPr>
          <w:rFonts w:ascii="Verdana" w:hAnsi="Verdana"/>
          <w:sz w:val="20"/>
          <w:szCs w:val="26"/>
          <w:lang w:val="pt-BR"/>
        </w:rPr>
        <w:t xml:space="preserv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25</w:t>
      </w:r>
      <w:r w:rsidR="0089298C" w:rsidRPr="002F50BD">
        <w:rPr>
          <w:rFonts w:ascii="Verdana" w:hAnsi="Verdana"/>
          <w:sz w:val="20"/>
          <w:szCs w:val="26"/>
          <w:lang w:val="pt-BR"/>
        </w:rPr>
        <w:t xml:space="preserve"> 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32</w:t>
      </w:r>
      <w:r w:rsidRPr="002F50BD">
        <w:rPr>
          <w:rFonts w:ascii="Verdana" w:hAnsi="Verdana"/>
          <w:i/>
          <w:sz w:val="20"/>
          <w:szCs w:val="26"/>
          <w:lang w:val="pt-BR"/>
        </w:rPr>
        <w:t xml:space="preserve"> supra</w:t>
      </w:r>
      <w:r w:rsidR="00CF451D" w:rsidRPr="00CF451D">
        <w:rPr>
          <w:rFonts w:ascii="Verdana" w:hAnsi="Verdana"/>
          <w:sz w:val="20"/>
          <w:szCs w:val="26"/>
          <w:lang w:val="pt-BR"/>
        </w:rPr>
        <w:t>)</w:t>
      </w:r>
      <w:r w:rsidR="0089298C" w:rsidRPr="002F50BD">
        <w:rPr>
          <w:rFonts w:ascii="Verdana" w:hAnsi="Verdana"/>
          <w:sz w:val="20"/>
          <w:szCs w:val="26"/>
          <w:lang w:val="pt-BR"/>
        </w:rPr>
        <w:t xml:space="preserve"> sem </w:t>
      </w:r>
      <w:r w:rsidR="004756C1" w:rsidRPr="002F50BD">
        <w:rPr>
          <w:rFonts w:ascii="Verdana" w:hAnsi="Verdana"/>
          <w:sz w:val="20"/>
          <w:lang w:val="pt-BR"/>
        </w:rPr>
        <w:t xml:space="preserve">que esta </w:t>
      </w:r>
      <w:r w:rsidR="0089298C" w:rsidRPr="002F50BD">
        <w:rPr>
          <w:rFonts w:ascii="Verdana" w:hAnsi="Verdana"/>
          <w:sz w:val="20"/>
          <w:lang w:val="pt-BR"/>
        </w:rPr>
        <w:t>instituição</w:t>
      </w:r>
      <w:r w:rsidR="004756C1" w:rsidRPr="002F50BD">
        <w:rPr>
          <w:rFonts w:ascii="Verdana" w:hAnsi="Verdana"/>
          <w:sz w:val="20"/>
          <w:lang w:val="pt-BR"/>
        </w:rPr>
        <w:t xml:space="preserve"> </w:t>
      </w:r>
      <w:r w:rsidRPr="002F50BD">
        <w:rPr>
          <w:rFonts w:ascii="Verdana" w:hAnsi="Verdana"/>
          <w:sz w:val="20"/>
          <w:lang w:val="pt-BR"/>
        </w:rPr>
        <w:t xml:space="preserve">tenha </w:t>
      </w:r>
      <w:r w:rsidR="00697AFE" w:rsidRPr="002F50BD">
        <w:rPr>
          <w:rFonts w:ascii="Verdana" w:hAnsi="Verdana"/>
          <w:sz w:val="20"/>
          <w:lang w:val="pt-BR"/>
        </w:rPr>
        <w:t>cumprido</w:t>
      </w:r>
      <w:r w:rsidR="0089298C" w:rsidRPr="002F50BD">
        <w:rPr>
          <w:rFonts w:ascii="Verdana" w:hAnsi="Verdana"/>
          <w:sz w:val="20"/>
          <w:lang w:val="pt-BR"/>
        </w:rPr>
        <w:t xml:space="preserve"> o </w:t>
      </w:r>
      <w:r w:rsidR="004756C1" w:rsidRPr="002F50BD">
        <w:rPr>
          <w:rFonts w:ascii="Verdana" w:hAnsi="Verdana"/>
          <w:sz w:val="20"/>
          <w:lang w:val="pt-BR"/>
        </w:rPr>
        <w:t>requerido</w:t>
      </w:r>
      <w:r w:rsidR="00D95E71" w:rsidRPr="002F50BD">
        <w:rPr>
          <w:rFonts w:ascii="Verdana" w:hAnsi="Verdana"/>
          <w:sz w:val="20"/>
          <w:lang w:val="pt-BR"/>
        </w:rPr>
        <w:t xml:space="preserve">. O </w:t>
      </w:r>
      <w:r w:rsidR="004756C1" w:rsidRPr="002F50BD">
        <w:rPr>
          <w:rFonts w:ascii="Verdana" w:hAnsi="Verdana"/>
          <w:sz w:val="20"/>
          <w:lang w:val="pt-BR"/>
        </w:rPr>
        <w:t>INDI esper</w:t>
      </w:r>
      <w:r w:rsidRPr="002F50BD">
        <w:rPr>
          <w:rFonts w:ascii="Verdana" w:hAnsi="Verdana"/>
          <w:sz w:val="20"/>
          <w:lang w:val="pt-BR"/>
        </w:rPr>
        <w:t>ou</w:t>
      </w:r>
      <w:r w:rsidR="004756C1" w:rsidRPr="002F50BD">
        <w:rPr>
          <w:rFonts w:ascii="Verdana" w:hAnsi="Verdana"/>
          <w:sz w:val="20"/>
          <w:lang w:val="pt-BR"/>
        </w:rPr>
        <w:t xml:space="preserve"> </w:t>
      </w:r>
      <w:r w:rsidR="0089298C" w:rsidRPr="002F50BD">
        <w:rPr>
          <w:rFonts w:ascii="Verdana" w:hAnsi="Verdana"/>
          <w:sz w:val="20"/>
          <w:lang w:val="pt-BR"/>
        </w:rPr>
        <w:t xml:space="preserve">até </w:t>
      </w:r>
      <w:r w:rsidR="00063B47" w:rsidRPr="002F50BD">
        <w:rPr>
          <w:rFonts w:ascii="Verdana" w:hAnsi="Verdana"/>
          <w:sz w:val="20"/>
          <w:lang w:val="pt-BR"/>
        </w:rPr>
        <w:t>28</w:t>
      </w:r>
      <w:r w:rsidR="004756C1" w:rsidRPr="002F50BD">
        <w:rPr>
          <w:rFonts w:ascii="Verdana" w:hAnsi="Verdana"/>
          <w:sz w:val="20"/>
          <w:lang w:val="pt-BR"/>
        </w:rPr>
        <w:t xml:space="preserve"> de</w:t>
      </w:r>
      <w:r w:rsidR="0089298C" w:rsidRPr="002F50BD">
        <w:rPr>
          <w:rFonts w:ascii="Verdana" w:hAnsi="Verdana"/>
          <w:sz w:val="20"/>
          <w:lang w:val="pt-BR"/>
        </w:rPr>
        <w:t xml:space="preserve"> maio </w:t>
      </w:r>
      <w:r w:rsidR="004756C1" w:rsidRPr="002F50BD">
        <w:rPr>
          <w:rFonts w:ascii="Verdana" w:hAnsi="Verdana"/>
          <w:sz w:val="20"/>
          <w:lang w:val="pt-BR"/>
        </w:rPr>
        <w:t xml:space="preserve">de </w:t>
      </w:r>
      <w:r w:rsidR="00063B47" w:rsidRPr="002F50BD">
        <w:rPr>
          <w:rFonts w:ascii="Verdana" w:hAnsi="Verdana"/>
          <w:sz w:val="20"/>
          <w:lang w:val="pt-BR"/>
        </w:rPr>
        <w:t>1997</w:t>
      </w:r>
      <w:r w:rsidR="004756C1" w:rsidRPr="002F50BD">
        <w:rPr>
          <w:rFonts w:ascii="Verdana" w:hAnsi="Verdana"/>
          <w:sz w:val="20"/>
          <w:lang w:val="pt-BR"/>
        </w:rPr>
        <w:t xml:space="preserve"> para solicitar</w:t>
      </w:r>
      <w:r w:rsidR="0089298C" w:rsidRPr="002F50BD">
        <w:rPr>
          <w:rFonts w:ascii="Verdana" w:hAnsi="Verdana"/>
          <w:sz w:val="20"/>
          <w:lang w:val="pt-BR"/>
        </w:rPr>
        <w:t xml:space="preserve"> a </w:t>
      </w:r>
      <w:r w:rsidR="0089298C" w:rsidRPr="002F50BD">
        <w:rPr>
          <w:rFonts w:ascii="Verdana" w:hAnsi="Verdana"/>
          <w:sz w:val="20"/>
          <w:lang w:val="pt-BR"/>
        </w:rPr>
        <w:lastRenderedPageBreak/>
        <w:t xml:space="preserve">localização da </w:t>
      </w:r>
      <w:r w:rsidR="004756C1" w:rsidRPr="002F50BD">
        <w:rPr>
          <w:rFonts w:ascii="Verdana" w:hAnsi="Verdana"/>
          <w:sz w:val="20"/>
          <w:lang w:val="pt-BR"/>
        </w:rPr>
        <w:t>fr</w:t>
      </w:r>
      <w:r w:rsidR="004076AD" w:rsidRPr="002F50BD">
        <w:rPr>
          <w:rFonts w:ascii="Verdana" w:hAnsi="Verdana"/>
          <w:sz w:val="20"/>
          <w:lang w:val="pt-BR"/>
        </w:rPr>
        <w:t>ação</w:t>
      </w:r>
      <w:r w:rsidR="004756C1" w:rsidRPr="002F50BD">
        <w:rPr>
          <w:rFonts w:ascii="Verdana" w:hAnsi="Verdana"/>
          <w:sz w:val="20"/>
          <w:lang w:val="pt-BR"/>
        </w:rPr>
        <w:t xml:space="preserve"> reivindicada</w:t>
      </w:r>
      <w:r w:rsidR="0089298C" w:rsidRPr="002F50BD">
        <w:rPr>
          <w:rFonts w:ascii="Verdana" w:hAnsi="Verdana"/>
          <w:sz w:val="20"/>
          <w:lang w:val="pt-BR"/>
        </w:rPr>
        <w:t xml:space="preserve"> e </w:t>
      </w:r>
      <w:r w:rsidR="004756C1" w:rsidRPr="002F50BD">
        <w:rPr>
          <w:rFonts w:ascii="Verdana" w:hAnsi="Verdana"/>
          <w:sz w:val="20"/>
          <w:lang w:val="pt-BR"/>
        </w:rPr>
        <w:t>su</w:t>
      </w:r>
      <w:r w:rsidRPr="002F50BD">
        <w:rPr>
          <w:rFonts w:ascii="Verdana" w:hAnsi="Verdana"/>
          <w:sz w:val="20"/>
          <w:lang w:val="pt-BR"/>
        </w:rPr>
        <w:t>a</w:t>
      </w:r>
      <w:r w:rsidR="004756C1" w:rsidRPr="002F50BD">
        <w:rPr>
          <w:rFonts w:ascii="Verdana" w:hAnsi="Verdana"/>
          <w:sz w:val="20"/>
          <w:lang w:val="pt-BR"/>
        </w:rPr>
        <w:t xml:space="preserve"> rela</w:t>
      </w:r>
      <w:r w:rsidR="0089298C" w:rsidRPr="002F50BD">
        <w:rPr>
          <w:rFonts w:ascii="Verdana" w:hAnsi="Verdana"/>
          <w:sz w:val="20"/>
          <w:lang w:val="pt-BR"/>
        </w:rPr>
        <w:t xml:space="preserve">ção com </w:t>
      </w:r>
      <w:r w:rsidR="006603BE" w:rsidRPr="002F50BD">
        <w:rPr>
          <w:rFonts w:ascii="Verdana" w:hAnsi="Verdana"/>
          <w:sz w:val="20"/>
          <w:lang w:val="pt-BR"/>
        </w:rPr>
        <w:t>a</w:t>
      </w:r>
      <w:r w:rsidRPr="002F50BD">
        <w:rPr>
          <w:rFonts w:ascii="Verdana" w:hAnsi="Verdana"/>
          <w:sz w:val="20"/>
          <w:lang w:val="pt-BR"/>
        </w:rPr>
        <w:t xml:space="preserve">s </w:t>
      </w:r>
      <w:r w:rsidR="00C247F1" w:rsidRPr="002F50BD">
        <w:rPr>
          <w:rFonts w:ascii="Verdana" w:hAnsi="Verdana"/>
          <w:sz w:val="20"/>
          <w:lang w:val="pt-BR"/>
        </w:rPr>
        <w:t>fazendas</w:t>
      </w:r>
      <w:r w:rsidRPr="002F50BD">
        <w:rPr>
          <w:rFonts w:ascii="Verdana" w:hAnsi="Verdana"/>
          <w:sz w:val="20"/>
          <w:lang w:val="pt-BR"/>
        </w:rPr>
        <w:t xml:space="preserve"> </w:t>
      </w:r>
      <w:r w:rsidR="0089298C" w:rsidRPr="002F50BD">
        <w:rPr>
          <w:rFonts w:ascii="Verdana" w:hAnsi="Verdana"/>
          <w:sz w:val="20"/>
          <w:lang w:val="pt-BR"/>
        </w:rPr>
        <w:t>afeta</w:t>
      </w:r>
      <w:r w:rsidR="004756C1" w:rsidRPr="002F50BD">
        <w:rPr>
          <w:rFonts w:ascii="Verdana" w:hAnsi="Verdana"/>
          <w:sz w:val="20"/>
          <w:lang w:val="pt-BR"/>
        </w:rPr>
        <w:t>d</w:t>
      </w:r>
      <w:r w:rsidR="006603BE" w:rsidRPr="002F50BD">
        <w:rPr>
          <w:rFonts w:ascii="Verdana" w:hAnsi="Verdana"/>
          <w:sz w:val="20"/>
          <w:lang w:val="pt-BR"/>
        </w:rPr>
        <w:t>a</w:t>
      </w:r>
      <w:r w:rsidR="004756C1" w:rsidRPr="002F50BD">
        <w:rPr>
          <w:rFonts w:ascii="Verdana" w:hAnsi="Verdana"/>
          <w:sz w:val="20"/>
          <w:lang w:val="pt-BR"/>
        </w:rPr>
        <w:t>s</w:t>
      </w:r>
      <w:r w:rsidR="0089298C" w:rsidRPr="002F50BD">
        <w:rPr>
          <w:rFonts w:ascii="Verdana" w:hAnsi="Verdana"/>
          <w:sz w:val="20"/>
          <w:lang w:val="pt-BR"/>
        </w:rPr>
        <w:t xml:space="preserve">, e o relatório </w:t>
      </w:r>
      <w:r w:rsidR="004756C1" w:rsidRPr="002F50BD">
        <w:rPr>
          <w:rFonts w:ascii="Verdana" w:hAnsi="Verdana"/>
          <w:sz w:val="20"/>
          <w:lang w:val="pt-BR"/>
        </w:rPr>
        <w:t>técnico-antropológico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33</w:t>
      </w:r>
      <w:r w:rsidRPr="002F50BD">
        <w:rPr>
          <w:rFonts w:ascii="Verdana" w:hAnsi="Verdana"/>
          <w:i/>
          <w:sz w:val="20"/>
          <w:lang w:val="pt-BR"/>
        </w:rPr>
        <w:t xml:space="preserve"> supra</w:t>
      </w:r>
      <w:r w:rsidR="00CF451D" w:rsidRPr="00CF451D">
        <w:rPr>
          <w:rFonts w:ascii="Verdana" w:hAnsi="Verdana"/>
          <w:sz w:val="20"/>
          <w:lang w:val="pt-BR"/>
        </w:rPr>
        <w:t>)</w:t>
      </w:r>
      <w:r w:rsidR="00CD7100" w:rsidRPr="002F50BD">
        <w:rPr>
          <w:rFonts w:ascii="Verdana" w:hAnsi="Verdana"/>
          <w:sz w:val="20"/>
          <w:lang w:val="pt-BR"/>
        </w:rPr>
        <w:t>. Em</w:t>
      </w:r>
      <w:r w:rsidR="0089298C" w:rsidRPr="002F50BD">
        <w:rPr>
          <w:rFonts w:ascii="Verdana" w:hAnsi="Verdana"/>
          <w:sz w:val="20"/>
          <w:lang w:val="pt-BR"/>
        </w:rPr>
        <w:t xml:space="preserve"> </w:t>
      </w:r>
      <w:r w:rsidR="004756C1" w:rsidRPr="002F50BD">
        <w:rPr>
          <w:rFonts w:ascii="Verdana" w:hAnsi="Verdana"/>
          <w:sz w:val="20"/>
          <w:lang w:val="pt-BR"/>
        </w:rPr>
        <w:t xml:space="preserve">diversas </w:t>
      </w:r>
      <w:r w:rsidR="0089298C" w:rsidRPr="002F50BD">
        <w:rPr>
          <w:rFonts w:ascii="Verdana" w:hAnsi="Verdana"/>
          <w:sz w:val="20"/>
          <w:lang w:val="pt-BR"/>
        </w:rPr>
        <w:t>ocasiões</w:t>
      </w:r>
      <w:r w:rsidR="00697AFE" w:rsidRPr="002F50BD">
        <w:rPr>
          <w:rFonts w:ascii="Verdana" w:hAnsi="Verdana"/>
          <w:sz w:val="20"/>
          <w:lang w:val="pt-BR"/>
        </w:rPr>
        <w:t>,</w:t>
      </w:r>
      <w:r w:rsidR="0089298C" w:rsidRPr="002F50BD">
        <w:rPr>
          <w:rFonts w:ascii="Verdana" w:hAnsi="Verdana"/>
          <w:sz w:val="20"/>
          <w:lang w:val="pt-BR"/>
        </w:rPr>
        <w:t xml:space="preserve"> os advogad</w:t>
      </w:r>
      <w:r w:rsidR="004756C1" w:rsidRPr="002F50BD">
        <w:rPr>
          <w:rFonts w:ascii="Verdana" w:hAnsi="Verdana"/>
          <w:sz w:val="20"/>
          <w:lang w:val="pt-BR"/>
        </w:rPr>
        <w:t>os</w:t>
      </w:r>
      <w:r w:rsidR="0089298C" w:rsidRPr="002F50BD">
        <w:rPr>
          <w:rFonts w:ascii="Verdana" w:hAnsi="Verdana"/>
          <w:sz w:val="20"/>
          <w:lang w:val="pt-BR"/>
        </w:rPr>
        <w:t xml:space="preserve"> da Comunidade solicitaram ao </w:t>
      </w:r>
      <w:r w:rsidR="004756C1" w:rsidRPr="002F50BD">
        <w:rPr>
          <w:rFonts w:ascii="Verdana" w:hAnsi="Verdana"/>
          <w:sz w:val="20"/>
          <w:lang w:val="pt-BR"/>
        </w:rPr>
        <w:t>IBR</w:t>
      </w:r>
      <w:r w:rsidR="0089298C" w:rsidRPr="002F50BD">
        <w:rPr>
          <w:rFonts w:ascii="Verdana" w:hAnsi="Verdana"/>
          <w:sz w:val="20"/>
          <w:lang w:val="pt-BR"/>
        </w:rPr>
        <w:t xml:space="preserve"> a </w:t>
      </w:r>
      <w:r w:rsidR="004756C1" w:rsidRPr="002F50BD">
        <w:rPr>
          <w:rFonts w:ascii="Verdana" w:hAnsi="Verdana"/>
          <w:sz w:val="20"/>
          <w:lang w:val="pt-BR"/>
        </w:rPr>
        <w:t>realiza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uma inspeção</w:t>
      </w:r>
      <w:r w:rsidR="004756C1" w:rsidRPr="002F50BD">
        <w:rPr>
          <w:rFonts w:ascii="Verdana" w:hAnsi="Verdana"/>
          <w:sz w:val="20"/>
          <w:lang w:val="pt-BR"/>
        </w:rPr>
        <w:t xml:space="preserve"> ocular</w:t>
      </w:r>
      <w:r w:rsidR="0089298C" w:rsidRPr="002F50BD">
        <w:rPr>
          <w:rFonts w:ascii="Verdana" w:hAnsi="Verdana"/>
          <w:sz w:val="20"/>
          <w:lang w:val="pt-BR"/>
        </w:rPr>
        <w:t xml:space="preserve"> nas terra</w:t>
      </w:r>
      <w:r w:rsidR="004756C1" w:rsidRPr="002F50BD">
        <w:rPr>
          <w:rFonts w:ascii="Verdana" w:hAnsi="Verdana"/>
          <w:sz w:val="20"/>
          <w:lang w:val="pt-BR"/>
        </w:rPr>
        <w:t xml:space="preserve">s reivindicadas </w:t>
      </w:r>
      <w:r w:rsidR="00CF451D" w:rsidRPr="00CF451D">
        <w:rPr>
          <w:rFonts w:ascii="Verdana" w:hAnsi="Verdana"/>
          <w:sz w:val="20"/>
          <w:lang w:val="pt-BR"/>
        </w:rPr>
        <w:t>(</w:t>
      </w:r>
      <w:r w:rsidR="0089298C" w:rsidRPr="002F50BD">
        <w:rPr>
          <w:rFonts w:ascii="Verdana" w:hAnsi="Verdana"/>
          <w:sz w:val="20"/>
          <w:szCs w:val="26"/>
          <w:lang w:val="pt-BR"/>
        </w:rPr>
        <w:t>par.</w:t>
      </w:r>
      <w:r w:rsidR="004756C1" w:rsidRPr="002F50BD">
        <w:rPr>
          <w:rFonts w:ascii="Verdana" w:hAnsi="Verdana"/>
          <w:sz w:val="20"/>
          <w:szCs w:val="26"/>
          <w:lang w:val="pt-BR"/>
        </w:rPr>
        <w:t xml:space="preserv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26</w:t>
      </w:r>
      <w:r w:rsidRPr="002F50BD">
        <w:rPr>
          <w:rFonts w:ascii="Verdana" w:hAnsi="Verdana"/>
          <w:i/>
          <w:sz w:val="20"/>
          <w:lang w:val="pt-BR"/>
        </w:rPr>
        <w:t xml:space="preserve"> supra</w:t>
      </w:r>
      <w:r w:rsidR="00CF451D" w:rsidRPr="00CF451D">
        <w:rPr>
          <w:rFonts w:ascii="Verdana" w:hAnsi="Verdana"/>
          <w:sz w:val="20"/>
          <w:szCs w:val="26"/>
          <w:lang w:val="pt-BR"/>
        </w:rPr>
        <w:t>)</w:t>
      </w:r>
      <w:r w:rsidR="004756C1" w:rsidRPr="002F50BD">
        <w:rPr>
          <w:rFonts w:ascii="Verdana" w:hAnsi="Verdana"/>
          <w:sz w:val="20"/>
          <w:szCs w:val="26"/>
          <w:lang w:val="pt-BR"/>
        </w:rPr>
        <w:t>,</w:t>
      </w:r>
      <w:r w:rsidR="0089298C" w:rsidRPr="002F50BD">
        <w:rPr>
          <w:rFonts w:ascii="Verdana" w:hAnsi="Verdana"/>
          <w:sz w:val="20"/>
          <w:szCs w:val="26"/>
          <w:lang w:val="pt-BR"/>
        </w:rPr>
        <w:t xml:space="preserve"> a </w:t>
      </w:r>
      <w:r w:rsidRPr="002F50BD">
        <w:rPr>
          <w:rFonts w:ascii="Verdana" w:hAnsi="Verdana"/>
          <w:sz w:val="20"/>
          <w:lang w:val="pt-BR"/>
        </w:rPr>
        <w:t>qual</w:t>
      </w:r>
      <w:r w:rsidR="004756C1" w:rsidRPr="002F50BD">
        <w:rPr>
          <w:rFonts w:ascii="Verdana" w:hAnsi="Verdana"/>
          <w:sz w:val="20"/>
          <w:lang w:val="pt-BR"/>
        </w:rPr>
        <w:t xml:space="preserve"> </w:t>
      </w:r>
      <w:r w:rsidR="00AB454A" w:rsidRPr="002F50BD">
        <w:rPr>
          <w:rFonts w:ascii="Verdana" w:hAnsi="Verdana"/>
          <w:sz w:val="20"/>
          <w:lang w:val="pt-BR"/>
        </w:rPr>
        <w:t>não foi</w:t>
      </w:r>
      <w:r w:rsidR="0089298C" w:rsidRPr="002F50BD">
        <w:rPr>
          <w:rFonts w:ascii="Verdana" w:hAnsi="Verdana"/>
          <w:sz w:val="20"/>
          <w:lang w:val="pt-BR"/>
        </w:rPr>
        <w:t xml:space="preserve"> </w:t>
      </w:r>
      <w:r w:rsidR="004756C1" w:rsidRPr="002F50BD">
        <w:rPr>
          <w:rFonts w:ascii="Verdana" w:hAnsi="Verdana"/>
          <w:sz w:val="20"/>
          <w:lang w:val="pt-BR"/>
        </w:rPr>
        <w:t>ordenada</w:t>
      </w:r>
      <w:r w:rsidR="0089298C" w:rsidRPr="002F50BD">
        <w:rPr>
          <w:rFonts w:ascii="Verdana" w:hAnsi="Verdana"/>
          <w:sz w:val="20"/>
          <w:lang w:val="pt-BR"/>
        </w:rPr>
        <w:t xml:space="preserve"> até </w:t>
      </w:r>
      <w:r w:rsidR="00063B47" w:rsidRPr="002F50BD">
        <w:rPr>
          <w:rFonts w:ascii="Verdana" w:hAnsi="Verdana"/>
          <w:sz w:val="20"/>
          <w:lang w:val="pt-BR"/>
        </w:rPr>
        <w:t>25</w:t>
      </w:r>
      <w:r w:rsidR="004756C1" w:rsidRPr="002F50BD">
        <w:rPr>
          <w:rFonts w:ascii="Verdana" w:hAnsi="Verdana"/>
          <w:sz w:val="20"/>
          <w:lang w:val="pt-BR"/>
        </w:rPr>
        <w:t xml:space="preserve"> de </w:t>
      </w:r>
      <w:r w:rsidR="0089298C" w:rsidRPr="002F50BD">
        <w:rPr>
          <w:rFonts w:ascii="Verdana" w:hAnsi="Verdana"/>
          <w:sz w:val="20"/>
          <w:lang w:val="pt-BR"/>
        </w:rPr>
        <w:t>julho</w:t>
      </w:r>
      <w:r w:rsidR="004756C1" w:rsidRPr="002F50BD">
        <w:rPr>
          <w:rFonts w:ascii="Verdana" w:hAnsi="Verdana"/>
          <w:sz w:val="20"/>
          <w:lang w:val="pt-BR"/>
        </w:rPr>
        <w:t xml:space="preserve"> de </w:t>
      </w:r>
      <w:r w:rsidR="00063B47" w:rsidRPr="002F50BD">
        <w:rPr>
          <w:rFonts w:ascii="Verdana" w:hAnsi="Verdana"/>
          <w:sz w:val="20"/>
          <w:lang w:val="pt-BR"/>
        </w:rPr>
        <w:t>1996</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szCs w:val="26"/>
          <w:lang w:val="pt-BR"/>
        </w:rPr>
        <w:t>par.</w:t>
      </w:r>
      <w:r w:rsidR="004756C1" w:rsidRPr="002F50BD">
        <w:rPr>
          <w:rFonts w:ascii="Verdana" w:hAnsi="Verdana"/>
          <w:sz w:val="20"/>
          <w:szCs w:val="26"/>
          <w:lang w:val="pt-BR"/>
        </w:rPr>
        <w:t xml:space="preserv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31</w:t>
      </w:r>
      <w:r w:rsidRPr="002F50BD">
        <w:rPr>
          <w:rFonts w:ascii="Verdana" w:hAnsi="Verdana"/>
          <w:i/>
          <w:sz w:val="20"/>
          <w:lang w:val="pt-BR"/>
        </w:rPr>
        <w:t xml:space="preserve"> supra</w:t>
      </w:r>
      <w:r w:rsidR="00CF451D" w:rsidRPr="00CF451D">
        <w:rPr>
          <w:rFonts w:ascii="Verdana" w:hAnsi="Verdana"/>
          <w:sz w:val="20"/>
          <w:szCs w:val="26"/>
          <w:lang w:val="pt-BR"/>
        </w:rPr>
        <w:t>)</w:t>
      </w:r>
      <w:r w:rsidR="00D95E71" w:rsidRPr="002F50BD">
        <w:rPr>
          <w:rFonts w:ascii="Verdana" w:hAnsi="Verdana"/>
          <w:sz w:val="20"/>
          <w:szCs w:val="26"/>
          <w:lang w:val="pt-BR"/>
        </w:rPr>
        <w:t xml:space="preserve">. O </w:t>
      </w:r>
      <w:r w:rsidRPr="002F50BD">
        <w:rPr>
          <w:rFonts w:ascii="Verdana" w:hAnsi="Verdana"/>
          <w:sz w:val="20"/>
          <w:lang w:val="pt-BR"/>
        </w:rPr>
        <w:t>IBR demorou</w:t>
      </w:r>
      <w:r w:rsidR="004756C1" w:rsidRPr="002F50BD">
        <w:rPr>
          <w:rFonts w:ascii="Verdana" w:hAnsi="Verdana"/>
          <w:sz w:val="20"/>
          <w:lang w:val="pt-BR"/>
        </w:rPr>
        <w:t xml:space="preserve"> </w:t>
      </w:r>
      <w:r w:rsidR="0089298C" w:rsidRPr="002F50BD">
        <w:rPr>
          <w:rFonts w:ascii="Verdana" w:hAnsi="Verdana"/>
          <w:sz w:val="20"/>
          <w:lang w:val="pt-BR"/>
        </w:rPr>
        <w:t xml:space="preserve">até </w:t>
      </w:r>
      <w:r w:rsidR="00063B47" w:rsidRPr="002F50BD">
        <w:rPr>
          <w:rFonts w:ascii="Verdana" w:hAnsi="Verdana"/>
          <w:sz w:val="20"/>
          <w:lang w:val="pt-BR"/>
        </w:rPr>
        <w:t>8</w:t>
      </w:r>
      <w:r w:rsidR="004756C1" w:rsidRPr="002F50BD">
        <w:rPr>
          <w:rFonts w:ascii="Verdana" w:hAnsi="Verdana"/>
          <w:sz w:val="20"/>
          <w:lang w:val="pt-BR"/>
        </w:rPr>
        <w:t xml:space="preserve"> de </w:t>
      </w:r>
      <w:r w:rsidR="0089298C" w:rsidRPr="002F50BD">
        <w:rPr>
          <w:rFonts w:ascii="Verdana" w:hAnsi="Verdana"/>
          <w:sz w:val="20"/>
          <w:lang w:val="pt-BR"/>
        </w:rPr>
        <w:t>setembro</w:t>
      </w:r>
      <w:r w:rsidR="004756C1" w:rsidRPr="002F50BD">
        <w:rPr>
          <w:rFonts w:ascii="Verdana" w:hAnsi="Verdana"/>
          <w:sz w:val="20"/>
          <w:lang w:val="pt-BR"/>
        </w:rPr>
        <w:t xml:space="preserve"> de </w:t>
      </w:r>
      <w:r w:rsidR="00063B47" w:rsidRPr="002F50BD">
        <w:rPr>
          <w:rFonts w:ascii="Verdana" w:hAnsi="Verdana"/>
          <w:sz w:val="20"/>
          <w:lang w:val="pt-BR"/>
        </w:rPr>
        <w:t>1998</w:t>
      </w:r>
      <w:r w:rsidR="004756C1" w:rsidRPr="002F50BD">
        <w:rPr>
          <w:rFonts w:ascii="Verdana" w:hAnsi="Verdana"/>
          <w:sz w:val="20"/>
          <w:lang w:val="pt-BR"/>
        </w:rPr>
        <w:t xml:space="preserve"> para emitir</w:t>
      </w:r>
      <w:r w:rsidR="0089298C" w:rsidRPr="002F50BD">
        <w:rPr>
          <w:rFonts w:ascii="Verdana" w:hAnsi="Verdana"/>
          <w:sz w:val="20"/>
          <w:lang w:val="pt-BR"/>
        </w:rPr>
        <w:t xml:space="preserve"> a </w:t>
      </w:r>
      <w:r w:rsidR="004756C1" w:rsidRPr="002F50BD">
        <w:rPr>
          <w:rFonts w:ascii="Verdana" w:hAnsi="Verdana"/>
          <w:sz w:val="20"/>
          <w:lang w:val="pt-BR"/>
        </w:rPr>
        <w:t>resolu</w:t>
      </w:r>
      <w:r w:rsidR="0089298C" w:rsidRPr="002F50BD">
        <w:rPr>
          <w:rFonts w:ascii="Verdana" w:hAnsi="Verdana"/>
          <w:sz w:val="20"/>
          <w:lang w:val="pt-BR"/>
        </w:rPr>
        <w:t>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755</w:t>
      </w:r>
      <w:r w:rsidR="004756C1" w:rsidRPr="002F50BD">
        <w:rPr>
          <w:rFonts w:ascii="Verdana" w:hAnsi="Verdana"/>
          <w:sz w:val="20"/>
          <w:lang w:val="pt-BR"/>
        </w:rPr>
        <w:t>, mediante</w:t>
      </w:r>
      <w:r w:rsidR="0089298C" w:rsidRPr="002F50BD">
        <w:rPr>
          <w:rFonts w:ascii="Verdana" w:hAnsi="Verdana"/>
          <w:sz w:val="20"/>
          <w:lang w:val="pt-BR"/>
        </w:rPr>
        <w:t xml:space="preserve"> a qual resolveu</w:t>
      </w:r>
      <w:r w:rsidR="004756C1" w:rsidRPr="002F50BD">
        <w:rPr>
          <w:rFonts w:ascii="Verdana" w:hAnsi="Verdana"/>
          <w:sz w:val="20"/>
          <w:lang w:val="pt-BR"/>
        </w:rPr>
        <w:t xml:space="preserve"> decretar </w:t>
      </w:r>
      <w:r w:rsidR="0089298C" w:rsidRPr="002F50BD">
        <w:rPr>
          <w:rFonts w:ascii="Verdana" w:hAnsi="Verdana"/>
          <w:sz w:val="20"/>
          <w:lang w:val="pt-BR"/>
        </w:rPr>
        <w:t>as terra</w:t>
      </w:r>
      <w:r w:rsidR="004756C1" w:rsidRPr="002F50BD">
        <w:rPr>
          <w:rFonts w:ascii="Verdana" w:hAnsi="Verdana"/>
          <w:sz w:val="20"/>
          <w:lang w:val="pt-BR"/>
        </w:rPr>
        <w:t>s reivindicadas</w:t>
      </w:r>
      <w:r w:rsidRPr="002F50BD">
        <w:rPr>
          <w:rFonts w:ascii="Verdana" w:hAnsi="Verdana"/>
          <w:sz w:val="20"/>
          <w:lang w:val="pt-BR"/>
        </w:rPr>
        <w:t xml:space="preserve"> como racionalmente exploradas</w:t>
      </w:r>
      <w:r w:rsidR="00D95E71" w:rsidRPr="002F50BD">
        <w:rPr>
          <w:rFonts w:ascii="Verdana" w:hAnsi="Verdana"/>
          <w:sz w:val="20"/>
          <w:lang w:val="pt-BR"/>
        </w:rPr>
        <w:t xml:space="preserve">. O </w:t>
      </w:r>
      <w:r w:rsidR="004756C1" w:rsidRPr="002F50BD">
        <w:rPr>
          <w:rFonts w:ascii="Verdana" w:hAnsi="Verdana"/>
          <w:sz w:val="20"/>
          <w:lang w:val="pt-BR"/>
        </w:rPr>
        <w:t>expediente administrativo pas</w:t>
      </w:r>
      <w:r w:rsidRPr="002F50BD">
        <w:rPr>
          <w:rFonts w:ascii="Verdana" w:hAnsi="Verdana"/>
          <w:sz w:val="20"/>
          <w:lang w:val="pt-BR"/>
        </w:rPr>
        <w:t>sou</w:t>
      </w:r>
      <w:r w:rsidR="0089298C" w:rsidRPr="002F50BD">
        <w:rPr>
          <w:rFonts w:ascii="Verdana" w:hAnsi="Verdana"/>
          <w:sz w:val="20"/>
          <w:lang w:val="pt-BR"/>
        </w:rPr>
        <w:t xml:space="preserve"> das mãos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IBR</w:t>
      </w:r>
      <w:r w:rsidR="0089298C" w:rsidRPr="002F50BD">
        <w:rPr>
          <w:rFonts w:ascii="Verdana" w:hAnsi="Verdana"/>
          <w:sz w:val="20"/>
          <w:lang w:val="pt-BR"/>
        </w:rPr>
        <w:t xml:space="preserve"> ao </w:t>
      </w:r>
      <w:r w:rsidR="004756C1" w:rsidRPr="002F50BD">
        <w:rPr>
          <w:rFonts w:ascii="Verdana" w:hAnsi="Verdana"/>
          <w:sz w:val="20"/>
          <w:lang w:val="pt-BR"/>
        </w:rPr>
        <w:t>INDI</w:t>
      </w:r>
      <w:r w:rsidR="006603BE" w:rsidRPr="002F50B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vice</w:t>
      </w:r>
      <w:r w:rsidRPr="002F50BD">
        <w:rPr>
          <w:rFonts w:ascii="Verdana" w:hAnsi="Verdana"/>
          <w:sz w:val="20"/>
          <w:lang w:val="pt-BR"/>
        </w:rPr>
        <w:t>-</w:t>
      </w:r>
      <w:r w:rsidR="004756C1" w:rsidRPr="002F50BD">
        <w:rPr>
          <w:rFonts w:ascii="Verdana" w:hAnsi="Verdana"/>
          <w:sz w:val="20"/>
          <w:lang w:val="pt-BR"/>
        </w:rPr>
        <w:t>versa</w:t>
      </w:r>
      <w:r w:rsidR="006603BE" w:rsidRPr="002F50BD">
        <w:rPr>
          <w:rFonts w:ascii="Verdana" w:hAnsi="Verdana"/>
          <w:sz w:val="20"/>
          <w:lang w:val="pt-BR"/>
        </w:rPr>
        <w:t>,</w:t>
      </w:r>
      <w:r w:rsidR="0089298C" w:rsidRPr="002F50BD">
        <w:rPr>
          <w:rFonts w:ascii="Verdana" w:hAnsi="Verdana"/>
          <w:sz w:val="20"/>
          <w:lang w:val="pt-BR"/>
        </w:rPr>
        <w:t xml:space="preserve"> em múltipla</w:t>
      </w:r>
      <w:r w:rsidR="004756C1" w:rsidRPr="002F50BD">
        <w:rPr>
          <w:rFonts w:ascii="Verdana" w:hAnsi="Verdana"/>
          <w:sz w:val="20"/>
          <w:lang w:val="pt-BR"/>
        </w:rPr>
        <w:t xml:space="preserve">s </w:t>
      </w:r>
      <w:r w:rsidR="0089298C" w:rsidRPr="002F50BD">
        <w:rPr>
          <w:rFonts w:ascii="Verdana" w:hAnsi="Verdana"/>
          <w:sz w:val="20"/>
          <w:lang w:val="pt-BR"/>
        </w:rPr>
        <w:t>ocasiões</w:t>
      </w:r>
      <w:r w:rsidR="004756C1" w:rsidRPr="002F50BD">
        <w:rPr>
          <w:rFonts w:ascii="Verdana" w:hAnsi="Verdana"/>
          <w:sz w:val="20"/>
          <w:lang w:val="pt-BR"/>
        </w:rPr>
        <w:t>,</w:t>
      </w:r>
      <w:r w:rsidR="0089298C" w:rsidRPr="002F50BD">
        <w:rPr>
          <w:rFonts w:ascii="Verdana" w:hAnsi="Verdana"/>
          <w:sz w:val="20"/>
          <w:lang w:val="pt-BR"/>
        </w:rPr>
        <w:t xml:space="preserve"> sem </w:t>
      </w:r>
      <w:r w:rsidR="004756C1" w:rsidRPr="002F50BD">
        <w:rPr>
          <w:rFonts w:ascii="Verdana" w:hAnsi="Verdana"/>
          <w:sz w:val="20"/>
          <w:lang w:val="pt-BR"/>
        </w:rPr>
        <w:t xml:space="preserve">que </w:t>
      </w:r>
      <w:r w:rsidRPr="002F50BD">
        <w:rPr>
          <w:rFonts w:ascii="Verdana" w:hAnsi="Verdana"/>
          <w:sz w:val="20"/>
          <w:lang w:val="pt-BR"/>
        </w:rPr>
        <w:t xml:space="preserve">tenha sido dada uma </w:t>
      </w:r>
      <w:r w:rsidR="004756C1" w:rsidRPr="002F50BD">
        <w:rPr>
          <w:rFonts w:ascii="Verdana" w:hAnsi="Verdana"/>
          <w:sz w:val="20"/>
          <w:lang w:val="pt-BR"/>
        </w:rPr>
        <w:t>res</w:t>
      </w:r>
      <w:r w:rsidR="0089298C" w:rsidRPr="002F50BD">
        <w:rPr>
          <w:rFonts w:ascii="Verdana" w:hAnsi="Verdana"/>
          <w:sz w:val="20"/>
          <w:lang w:val="pt-BR"/>
        </w:rPr>
        <w:t>posta</w:t>
      </w:r>
      <w:r w:rsidR="004756C1" w:rsidRPr="002F50BD">
        <w:rPr>
          <w:rFonts w:ascii="Verdana" w:hAnsi="Verdana"/>
          <w:sz w:val="20"/>
          <w:lang w:val="pt-BR"/>
        </w:rPr>
        <w:t xml:space="preserve"> definitiva</w:t>
      </w:r>
      <w:r w:rsidR="0089298C" w:rsidRPr="002F50BD">
        <w:rPr>
          <w:rFonts w:ascii="Verdana" w:hAnsi="Verdana"/>
          <w:sz w:val="20"/>
          <w:lang w:val="pt-BR"/>
        </w:rPr>
        <w:t xml:space="preserve"> à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e</w:t>
      </w:r>
      <w:r w:rsidR="004756C1" w:rsidRPr="002F50BD">
        <w:rPr>
          <w:rFonts w:ascii="Verdana" w:hAnsi="Verdana"/>
          <w:sz w:val="20"/>
          <w:lang w:val="pt-BR"/>
        </w:rPr>
        <w:t xml:space="preserve"> </w:t>
      </w:r>
      <w:r w:rsidR="00DD5EE2" w:rsidRPr="002F50BD">
        <w:rPr>
          <w:rFonts w:ascii="Verdana" w:hAnsi="Verdana"/>
          <w:sz w:val="20"/>
          <w:lang w:val="pt-BR"/>
        </w:rPr>
        <w:t>somente n</w:t>
      </w:r>
      <w:r w:rsidRPr="002F50BD">
        <w:rPr>
          <w:rFonts w:ascii="Verdana" w:hAnsi="Verdana"/>
          <w:sz w:val="20"/>
          <w:lang w:val="pt-BR"/>
        </w:rPr>
        <w:t xml:space="preserve">o dia </w:t>
      </w:r>
      <w:r w:rsidR="00063B47" w:rsidRPr="002F50BD">
        <w:rPr>
          <w:rFonts w:ascii="Verdana" w:hAnsi="Verdana"/>
          <w:sz w:val="20"/>
          <w:lang w:val="pt-BR"/>
        </w:rPr>
        <w:t>2</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00063B47" w:rsidRPr="002F50BD">
        <w:rPr>
          <w:rFonts w:ascii="Verdana" w:hAnsi="Verdana"/>
          <w:sz w:val="20"/>
          <w:lang w:val="pt-BR"/>
        </w:rPr>
        <w:t>2001</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0089298C" w:rsidRPr="002F50BD">
        <w:rPr>
          <w:rFonts w:ascii="Verdana" w:hAnsi="Verdana"/>
          <w:sz w:val="20"/>
          <w:lang w:val="pt-BR"/>
        </w:rPr>
        <w:t>decidiu</w:t>
      </w:r>
      <w:r w:rsidR="004756C1" w:rsidRPr="002F50BD">
        <w:rPr>
          <w:rFonts w:ascii="Verdana" w:hAnsi="Verdana"/>
          <w:sz w:val="20"/>
          <w:lang w:val="pt-BR"/>
        </w:rPr>
        <w:t xml:space="preserve"> solicitar</w:t>
      </w:r>
      <w:r w:rsidR="0089298C" w:rsidRPr="002F50BD">
        <w:rPr>
          <w:rFonts w:ascii="Verdana" w:hAnsi="Verdana"/>
          <w:sz w:val="20"/>
          <w:lang w:val="pt-BR"/>
        </w:rPr>
        <w:t xml:space="preserve"> ao </w:t>
      </w:r>
      <w:r w:rsidR="004756C1" w:rsidRPr="002F50BD">
        <w:rPr>
          <w:rFonts w:ascii="Verdana" w:hAnsi="Verdana"/>
          <w:sz w:val="20"/>
          <w:lang w:val="pt-BR"/>
        </w:rPr>
        <w:t xml:space="preserve">Parlamento Nacional, </w:t>
      </w:r>
      <w:r w:rsidR="0089298C" w:rsidRPr="002F50BD">
        <w:rPr>
          <w:rFonts w:ascii="Verdana" w:hAnsi="Verdana"/>
          <w:sz w:val="20"/>
          <w:lang w:val="pt-BR"/>
        </w:rPr>
        <w:t>via</w:t>
      </w:r>
      <w:r w:rsidR="004756C1" w:rsidRPr="002F50BD">
        <w:rPr>
          <w:rFonts w:ascii="Verdana" w:hAnsi="Verdana"/>
          <w:sz w:val="20"/>
          <w:lang w:val="pt-BR"/>
        </w:rPr>
        <w:t xml:space="preserve"> </w:t>
      </w:r>
      <w:r w:rsidRPr="002F50BD">
        <w:rPr>
          <w:rFonts w:ascii="Verdana" w:hAnsi="Verdana"/>
          <w:sz w:val="20"/>
          <w:lang w:val="pt-BR"/>
        </w:rPr>
        <w:t xml:space="preserve">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o,</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de parte</w:t>
      </w:r>
      <w:r w:rsidR="0089298C" w:rsidRPr="002F50BD">
        <w:rPr>
          <w:rFonts w:ascii="Verdana" w:hAnsi="Verdana"/>
          <w:sz w:val="20"/>
          <w:lang w:val="pt-BR"/>
        </w:rPr>
        <w:t xml:space="preserve"> </w:t>
      </w:r>
      <w:r w:rsidR="006603BE" w:rsidRPr="002F50BD">
        <w:rPr>
          <w:rFonts w:ascii="Verdana" w:hAnsi="Verdana"/>
          <w:sz w:val="20"/>
          <w:lang w:val="pt-BR"/>
        </w:rPr>
        <w:t>da</w:t>
      </w:r>
      <w:r w:rsidRPr="002F50BD">
        <w:rPr>
          <w:rFonts w:ascii="Verdana" w:hAnsi="Verdana"/>
          <w:sz w:val="20"/>
          <w:lang w:val="pt-BR"/>
        </w:rPr>
        <w:t xml:space="preserve">s </w:t>
      </w:r>
      <w:r w:rsidR="00C247F1" w:rsidRPr="002F50BD">
        <w:rPr>
          <w:rFonts w:ascii="Verdana" w:hAnsi="Verdana"/>
          <w:sz w:val="20"/>
          <w:lang w:val="pt-BR"/>
        </w:rPr>
        <w:t>fazendas</w:t>
      </w:r>
      <w:r w:rsidRPr="002F50BD">
        <w:rPr>
          <w:rFonts w:ascii="Verdana" w:hAnsi="Verdana"/>
          <w:sz w:val="20"/>
          <w:lang w:val="pt-BR"/>
        </w:rPr>
        <w:t xml:space="preserve"> </w:t>
      </w:r>
      <w:r w:rsidR="004756C1" w:rsidRPr="002F50BD">
        <w:rPr>
          <w:rFonts w:ascii="Verdana" w:hAnsi="Verdana"/>
          <w:sz w:val="20"/>
          <w:lang w:val="pt-BR"/>
        </w:rPr>
        <w:t>reivindicad</w:t>
      </w:r>
      <w:r w:rsidR="006603BE" w:rsidRPr="002F50BD">
        <w:rPr>
          <w:rFonts w:ascii="Verdana" w:hAnsi="Verdana"/>
          <w:sz w:val="20"/>
          <w:lang w:val="pt-BR"/>
        </w:rPr>
        <w:t>a</w:t>
      </w:r>
      <w:r w:rsidR="004756C1" w:rsidRPr="002F50BD">
        <w:rPr>
          <w:rFonts w:ascii="Verdana" w:hAnsi="Verdana"/>
          <w:sz w:val="20"/>
          <w:lang w:val="pt-BR"/>
        </w:rPr>
        <w:t xml:space="preserve">s </w:t>
      </w:r>
      <w:r w:rsidR="00CF451D" w:rsidRPr="00CF451D">
        <w:rPr>
          <w:rFonts w:ascii="Verdana" w:hAnsi="Verdana"/>
          <w:sz w:val="20"/>
          <w:lang w:val="pt-BR"/>
        </w:rPr>
        <w:t>(</w:t>
      </w:r>
      <w:r w:rsidR="0089298C" w:rsidRPr="002F50BD">
        <w:rPr>
          <w:rFonts w:ascii="Verdana" w:hAnsi="Verdana"/>
          <w:sz w:val="20"/>
          <w:szCs w:val="26"/>
          <w:lang w:val="pt-BR"/>
        </w:rPr>
        <w:t>par.</w:t>
      </w:r>
      <w:r w:rsidR="004756C1" w:rsidRPr="002F50BD">
        <w:rPr>
          <w:rFonts w:ascii="Verdana" w:hAnsi="Verdana"/>
          <w:sz w:val="20"/>
          <w:szCs w:val="26"/>
          <w:lang w:val="pt-BR"/>
        </w:rPr>
        <w:t xml:space="preserve"> </w:t>
      </w:r>
      <w:r w:rsidR="00063B47" w:rsidRPr="002F50BD">
        <w:rPr>
          <w:rFonts w:ascii="Verdana" w:hAnsi="Verdana"/>
          <w:sz w:val="20"/>
          <w:szCs w:val="26"/>
          <w:lang w:val="pt-BR"/>
        </w:rPr>
        <w:t>50</w:t>
      </w:r>
      <w:r w:rsidR="004756C1" w:rsidRPr="002F50BD">
        <w:rPr>
          <w:rFonts w:ascii="Verdana" w:hAnsi="Verdana"/>
          <w:sz w:val="20"/>
          <w:szCs w:val="26"/>
          <w:lang w:val="pt-BR"/>
        </w:rPr>
        <w:t>.</w:t>
      </w:r>
      <w:r w:rsidR="00063B47" w:rsidRPr="002F50BD">
        <w:rPr>
          <w:rFonts w:ascii="Verdana" w:hAnsi="Verdana"/>
          <w:sz w:val="20"/>
          <w:szCs w:val="26"/>
          <w:lang w:val="pt-BR"/>
        </w:rPr>
        <w:t>53</w:t>
      </w:r>
      <w:r w:rsidRPr="002F50BD">
        <w:rPr>
          <w:rFonts w:ascii="Verdana" w:hAnsi="Verdana"/>
          <w:i/>
          <w:sz w:val="20"/>
          <w:szCs w:val="26"/>
          <w:lang w:val="pt-BR"/>
        </w:rPr>
        <w:t xml:space="preserve"> supra</w:t>
      </w:r>
      <w:r w:rsidR="00CF451D" w:rsidRPr="00CF451D">
        <w:rPr>
          <w:rFonts w:ascii="Verdana" w:hAnsi="Verdana"/>
          <w:sz w:val="20"/>
          <w:szCs w:val="26"/>
          <w:lang w:val="pt-BR"/>
        </w:rPr>
        <w:t>)</w:t>
      </w:r>
      <w:r w:rsidR="004756C1" w:rsidRPr="002F50BD">
        <w:rPr>
          <w:rFonts w:ascii="Verdana" w:hAnsi="Verdana"/>
          <w:sz w:val="20"/>
          <w:szCs w:val="26"/>
          <w:lang w:val="pt-BR"/>
        </w:rPr>
        <w:t>.</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Desta</w:t>
      </w:r>
      <w:r w:rsidR="004756C1" w:rsidRPr="002F50BD">
        <w:rPr>
          <w:rFonts w:ascii="Verdana" w:hAnsi="Verdana"/>
          <w:sz w:val="20"/>
          <w:lang w:val="pt-BR"/>
        </w:rPr>
        <w:t xml:space="preserve"> </w:t>
      </w:r>
      <w:r w:rsidRPr="002F50BD">
        <w:rPr>
          <w:rFonts w:ascii="Verdana" w:hAnsi="Verdana"/>
          <w:sz w:val="20"/>
          <w:lang w:val="pt-BR"/>
        </w:rPr>
        <w:t>maneira</w:t>
      </w:r>
      <w:r w:rsidR="004756C1" w:rsidRPr="002F50BD">
        <w:rPr>
          <w:rFonts w:ascii="Verdana" w:hAnsi="Verdana"/>
          <w:sz w:val="20"/>
          <w:lang w:val="pt-BR"/>
        </w:rPr>
        <w:t>, este Tribunal considera que</w:t>
      </w:r>
      <w:r w:rsidR="001051F4" w:rsidRPr="002F50BD">
        <w:rPr>
          <w:rFonts w:ascii="Verdana" w:hAnsi="Verdana"/>
          <w:sz w:val="20"/>
          <w:lang w:val="pt-BR"/>
        </w:rPr>
        <w:t>,</w:t>
      </w:r>
      <w:r w:rsidR="004076AD" w:rsidRPr="002F50BD">
        <w:rPr>
          <w:rFonts w:ascii="Verdana" w:hAnsi="Verdana"/>
          <w:sz w:val="20"/>
          <w:lang w:val="pt-BR"/>
        </w:rPr>
        <w:t xml:space="preserve"> apesar </w:t>
      </w:r>
      <w:r w:rsidRPr="002F50BD">
        <w:rPr>
          <w:rFonts w:ascii="Verdana" w:hAnsi="Verdana"/>
          <w:sz w:val="20"/>
          <w:lang w:val="pt-BR"/>
        </w:rPr>
        <w:t xml:space="preserve">da </w:t>
      </w:r>
      <w:r w:rsidR="004076AD" w:rsidRPr="002F50BD">
        <w:rPr>
          <w:rFonts w:ascii="Verdana" w:hAnsi="Verdana"/>
          <w:sz w:val="20"/>
          <w:lang w:val="pt-BR"/>
        </w:rPr>
        <w:t>demonstra</w:t>
      </w:r>
      <w:r w:rsidR="004756C1" w:rsidRPr="002F50BD">
        <w:rPr>
          <w:rFonts w:ascii="Verdana" w:hAnsi="Verdana"/>
          <w:sz w:val="20"/>
          <w:lang w:val="pt-BR"/>
        </w:rPr>
        <w:t xml:space="preserve">da </w:t>
      </w:r>
      <w:r w:rsidR="00C03ED8" w:rsidRPr="002F50BD">
        <w:rPr>
          <w:rFonts w:ascii="Verdana" w:hAnsi="Verdana"/>
          <w:sz w:val="20"/>
          <w:lang w:val="pt-BR"/>
        </w:rPr>
        <w:t>complexidade</w:t>
      </w:r>
      <w:r w:rsidR="004756C1" w:rsidRPr="002F50BD">
        <w:rPr>
          <w:rFonts w:ascii="Verdana" w:hAnsi="Verdana"/>
          <w:sz w:val="20"/>
          <w:lang w:val="pt-BR"/>
        </w:rPr>
        <w:t xml:space="preserve"> </w:t>
      </w:r>
      <w:r w:rsidRPr="002F50BD">
        <w:rPr>
          <w:rFonts w:ascii="Verdana" w:hAnsi="Verdana"/>
          <w:sz w:val="20"/>
          <w:lang w:val="pt-BR"/>
        </w:rPr>
        <w:t>do procedimento</w:t>
      </w:r>
      <w:r w:rsidR="004756C1" w:rsidRPr="002F50BD">
        <w:rPr>
          <w:rFonts w:ascii="Verdana" w:hAnsi="Verdana"/>
          <w:sz w:val="20"/>
          <w:lang w:val="pt-BR"/>
        </w:rPr>
        <w:t xml:space="preserve"> administrativo de reivindica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as atuações das </w:t>
      </w:r>
      <w:r w:rsidR="004756C1" w:rsidRPr="002F50BD">
        <w:rPr>
          <w:rFonts w:ascii="Verdana" w:hAnsi="Verdana"/>
          <w:sz w:val="20"/>
          <w:lang w:val="pt-BR"/>
        </w:rPr>
        <w:t>autoridades esta</w:t>
      </w:r>
      <w:r w:rsidRPr="002F50BD">
        <w:rPr>
          <w:rFonts w:ascii="Verdana" w:hAnsi="Verdana"/>
          <w:sz w:val="20"/>
          <w:lang w:val="pt-BR"/>
        </w:rPr>
        <w:t>tais</w:t>
      </w:r>
      <w:r w:rsidR="004756C1" w:rsidRPr="002F50BD">
        <w:rPr>
          <w:rFonts w:ascii="Verdana" w:hAnsi="Verdana"/>
          <w:sz w:val="20"/>
          <w:lang w:val="pt-BR"/>
        </w:rPr>
        <w:t xml:space="preserve"> competentes n</w:t>
      </w:r>
      <w:r w:rsidR="001051F4"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foram</w:t>
      </w:r>
      <w:r w:rsidR="004756C1" w:rsidRPr="002F50BD">
        <w:rPr>
          <w:rFonts w:ascii="Verdana" w:hAnsi="Verdana"/>
          <w:sz w:val="20"/>
          <w:lang w:val="pt-BR"/>
        </w:rPr>
        <w:t xml:space="preserve"> </w:t>
      </w:r>
      <w:r w:rsidRPr="002F50BD">
        <w:rPr>
          <w:rFonts w:ascii="Verdana" w:hAnsi="Verdana"/>
          <w:sz w:val="20"/>
          <w:lang w:val="pt-BR"/>
        </w:rPr>
        <w:t>compatíveis com o princípio</w:t>
      </w:r>
      <w:r w:rsidR="004756C1" w:rsidRPr="002F50BD">
        <w:rPr>
          <w:rFonts w:ascii="Verdana" w:hAnsi="Verdana"/>
          <w:sz w:val="20"/>
          <w:lang w:val="pt-BR"/>
        </w:rPr>
        <w:t xml:space="preserve"> </w:t>
      </w:r>
      <w:r w:rsidRPr="002F50BD">
        <w:rPr>
          <w:rFonts w:ascii="Verdana" w:hAnsi="Verdana"/>
          <w:sz w:val="20"/>
          <w:lang w:val="pt-BR"/>
        </w:rPr>
        <w:t>do prazo</w:t>
      </w:r>
      <w:r w:rsidR="004756C1" w:rsidRPr="002F50BD">
        <w:rPr>
          <w:rFonts w:ascii="Verdana" w:hAnsi="Verdana"/>
          <w:sz w:val="20"/>
          <w:lang w:val="pt-BR"/>
        </w:rPr>
        <w:t xml:space="preserve"> </w:t>
      </w:r>
      <w:r w:rsidR="002E48ED" w:rsidRPr="002F50BD">
        <w:rPr>
          <w:rFonts w:ascii="Verdana" w:hAnsi="Verdana"/>
          <w:sz w:val="20"/>
          <w:lang w:val="pt-BR"/>
        </w:rPr>
        <w:t>razoável.</w:t>
      </w:r>
    </w:p>
    <w:p w:rsidR="004756C1" w:rsidRPr="002F50BD" w:rsidRDefault="004756C1">
      <w:pPr>
        <w:jc w:val="both"/>
        <w:rPr>
          <w:rFonts w:ascii="Verdana" w:hAnsi="Verdana"/>
          <w:sz w:val="20"/>
          <w:lang w:val="pt-BR"/>
        </w:rPr>
      </w:pPr>
    </w:p>
    <w:p w:rsidR="004756C1" w:rsidRPr="002F50BD" w:rsidRDefault="004756C1" w:rsidP="001051F4">
      <w:pPr>
        <w:numPr>
          <w:ilvl w:val="0"/>
          <w:numId w:val="28"/>
        </w:numPr>
        <w:jc w:val="both"/>
        <w:rPr>
          <w:rFonts w:ascii="Verdana" w:hAnsi="Verdana"/>
          <w:sz w:val="20"/>
          <w:lang w:val="pt-BR"/>
        </w:rPr>
      </w:pPr>
      <w:r w:rsidRPr="002F50BD">
        <w:rPr>
          <w:rFonts w:ascii="Verdana" w:hAnsi="Verdana"/>
          <w:sz w:val="20"/>
          <w:lang w:val="pt-BR"/>
        </w:rPr>
        <w:t>Por</w:t>
      </w:r>
      <w:r w:rsidR="0089298C" w:rsidRPr="002F50BD">
        <w:rPr>
          <w:rFonts w:ascii="Verdana" w:hAnsi="Verdana"/>
          <w:sz w:val="20"/>
          <w:lang w:val="pt-BR"/>
        </w:rPr>
        <w:t xml:space="preserve"> outro </w:t>
      </w:r>
      <w:r w:rsidRPr="002F50BD">
        <w:rPr>
          <w:rFonts w:ascii="Verdana" w:hAnsi="Verdana"/>
          <w:sz w:val="20"/>
          <w:lang w:val="pt-BR"/>
        </w:rPr>
        <w:t>lado,</w:t>
      </w:r>
      <w:r w:rsidR="0089298C" w:rsidRPr="002F50BD">
        <w:rPr>
          <w:rFonts w:ascii="Verdana" w:hAnsi="Verdana"/>
          <w:sz w:val="20"/>
          <w:lang w:val="pt-BR"/>
        </w:rPr>
        <w:t xml:space="preserve"> o </w:t>
      </w:r>
      <w:r w:rsidRPr="002F50BD">
        <w:rPr>
          <w:rFonts w:ascii="Verdana" w:hAnsi="Verdana"/>
          <w:sz w:val="20"/>
          <w:lang w:val="pt-BR"/>
        </w:rPr>
        <w:t xml:space="preserve">Estado </w:t>
      </w:r>
      <w:r w:rsidR="001051F4" w:rsidRPr="002F50BD">
        <w:rPr>
          <w:rFonts w:ascii="Verdana" w:hAnsi="Verdana"/>
          <w:sz w:val="20"/>
          <w:lang w:val="pt-BR"/>
        </w:rPr>
        <w:t>argumentou</w:t>
      </w:r>
      <w:r w:rsidRPr="002F50BD">
        <w:rPr>
          <w:rFonts w:ascii="Verdana" w:hAnsi="Verdana"/>
          <w:sz w:val="20"/>
          <w:lang w:val="pt-BR"/>
        </w:rPr>
        <w:t xml:space="preserve"> que</w:t>
      </w:r>
      <w:r w:rsidR="0089298C" w:rsidRPr="002F50BD">
        <w:rPr>
          <w:rFonts w:ascii="Verdana" w:hAnsi="Verdana"/>
          <w:sz w:val="20"/>
          <w:lang w:val="pt-BR"/>
        </w:rPr>
        <w:t xml:space="preserve"> a instância</w:t>
      </w:r>
      <w:r w:rsidRPr="002F50BD">
        <w:rPr>
          <w:rFonts w:ascii="Verdana" w:hAnsi="Verdana"/>
          <w:sz w:val="20"/>
          <w:lang w:val="pt-BR"/>
        </w:rPr>
        <w:t xml:space="preserve"> contencios</w:t>
      </w:r>
      <w:r w:rsidR="006603BE" w:rsidRPr="002F50BD">
        <w:rPr>
          <w:rFonts w:ascii="Verdana" w:hAnsi="Verdana"/>
          <w:sz w:val="20"/>
          <w:lang w:val="pt-BR"/>
        </w:rPr>
        <w:t>o</w:t>
      </w:r>
      <w:r w:rsidRPr="002F50BD">
        <w:rPr>
          <w:rFonts w:ascii="Verdana" w:hAnsi="Verdana"/>
          <w:sz w:val="20"/>
          <w:lang w:val="pt-BR"/>
        </w:rPr>
        <w:t>-administrativa nunca</w:t>
      </w:r>
      <w:r w:rsidR="0089298C" w:rsidRPr="002F50BD">
        <w:rPr>
          <w:rFonts w:ascii="Verdana" w:hAnsi="Verdana"/>
          <w:sz w:val="20"/>
          <w:lang w:val="pt-BR"/>
        </w:rPr>
        <w:t xml:space="preserve"> foi </w:t>
      </w:r>
      <w:r w:rsidRPr="002F50BD">
        <w:rPr>
          <w:rFonts w:ascii="Verdana" w:hAnsi="Verdana"/>
          <w:sz w:val="20"/>
          <w:lang w:val="pt-BR"/>
        </w:rPr>
        <w:t>utilizada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Pr="002F50BD">
        <w:rPr>
          <w:rFonts w:ascii="Verdana" w:hAnsi="Verdana"/>
          <w:sz w:val="20"/>
          <w:lang w:val="pt-BR"/>
        </w:rPr>
        <w:t xml:space="preserve">para </w:t>
      </w:r>
      <w:r w:rsidR="0089298C" w:rsidRPr="002F50BD">
        <w:rPr>
          <w:rFonts w:ascii="Verdana" w:hAnsi="Verdana"/>
          <w:sz w:val="20"/>
          <w:lang w:val="pt-BR"/>
        </w:rPr>
        <w:t xml:space="preserve">contradizer a qualidade </w:t>
      </w:r>
      <w:r w:rsidRPr="002F50BD">
        <w:rPr>
          <w:rFonts w:ascii="Verdana" w:hAnsi="Verdana"/>
          <w:sz w:val="20"/>
          <w:lang w:val="pt-BR"/>
        </w:rPr>
        <w:t xml:space="preserve">de </w:t>
      </w:r>
      <w:r w:rsidR="0089298C" w:rsidRPr="002F50BD">
        <w:rPr>
          <w:rFonts w:ascii="Verdana" w:hAnsi="Verdana"/>
          <w:sz w:val="20"/>
          <w:lang w:val="pt-BR"/>
        </w:rPr>
        <w:t>terra</w:t>
      </w:r>
      <w:r w:rsidRPr="002F50BD">
        <w:rPr>
          <w:rFonts w:ascii="Verdana" w:hAnsi="Verdana"/>
          <w:sz w:val="20"/>
          <w:lang w:val="pt-BR"/>
        </w:rPr>
        <w:t xml:space="preserve">s racionalmente </w:t>
      </w:r>
      <w:r w:rsidR="00475EBB" w:rsidRPr="002F50BD">
        <w:rPr>
          <w:rFonts w:ascii="Verdana" w:hAnsi="Verdana"/>
          <w:sz w:val="20"/>
          <w:lang w:val="pt-BR"/>
        </w:rPr>
        <w:t>explorad</w:t>
      </w:r>
      <w:r w:rsidRPr="002F50BD">
        <w:rPr>
          <w:rFonts w:ascii="Verdana" w:hAnsi="Verdana"/>
          <w:sz w:val="20"/>
          <w:lang w:val="pt-BR"/>
        </w:rPr>
        <w:t xml:space="preserve">as </w:t>
      </w:r>
      <w:r w:rsidR="006603BE" w:rsidRPr="002F50BD">
        <w:rPr>
          <w:rFonts w:ascii="Verdana" w:hAnsi="Verdana"/>
          <w:sz w:val="20"/>
          <w:lang w:val="pt-BR"/>
        </w:rPr>
        <w:t xml:space="preserve">e </w:t>
      </w:r>
      <w:r w:rsidRPr="002F50BD">
        <w:rPr>
          <w:rFonts w:ascii="Verdana" w:hAnsi="Verdana"/>
          <w:sz w:val="20"/>
          <w:lang w:val="pt-BR"/>
        </w:rPr>
        <w:t>tam</w:t>
      </w:r>
      <w:r w:rsidR="0089298C" w:rsidRPr="002F50BD">
        <w:rPr>
          <w:rFonts w:ascii="Verdana" w:hAnsi="Verdana"/>
          <w:sz w:val="20"/>
          <w:lang w:val="pt-BR"/>
        </w:rPr>
        <w:t xml:space="preserve">pouco foi </w:t>
      </w:r>
      <w:r w:rsidRPr="002F50BD">
        <w:rPr>
          <w:rFonts w:ascii="Verdana" w:hAnsi="Verdana"/>
          <w:sz w:val="20"/>
          <w:lang w:val="pt-BR"/>
        </w:rPr>
        <w:t>instaurado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interessad</w:t>
      </w:r>
      <w:r w:rsidRPr="002F50BD">
        <w:rPr>
          <w:rFonts w:ascii="Verdana" w:hAnsi="Verdana"/>
          <w:sz w:val="20"/>
          <w:lang w:val="pt-BR"/>
        </w:rPr>
        <w:t>os</w:t>
      </w:r>
      <w:r w:rsidR="0089298C" w:rsidRPr="002F50BD">
        <w:rPr>
          <w:rFonts w:ascii="Verdana" w:hAnsi="Verdana"/>
          <w:sz w:val="20"/>
          <w:lang w:val="pt-BR"/>
        </w:rPr>
        <w:t xml:space="preserve"> um </w:t>
      </w:r>
      <w:r w:rsidR="00F130FD">
        <w:rPr>
          <w:rFonts w:ascii="Verdana" w:hAnsi="Verdana"/>
          <w:sz w:val="20"/>
          <w:lang w:val="pt-BR"/>
        </w:rPr>
        <w:t>processo</w:t>
      </w:r>
      <w:r w:rsidRPr="002F50BD">
        <w:rPr>
          <w:rFonts w:ascii="Verdana" w:hAnsi="Verdana"/>
          <w:sz w:val="20"/>
          <w:lang w:val="pt-BR"/>
        </w:rPr>
        <w:t xml:space="preserve"> </w:t>
      </w:r>
      <w:r w:rsidR="0089298C" w:rsidRPr="002F50BD">
        <w:rPr>
          <w:rFonts w:ascii="Verdana" w:hAnsi="Verdana"/>
          <w:sz w:val="20"/>
          <w:lang w:val="pt-BR"/>
        </w:rPr>
        <w:t>ordinári</w:t>
      </w:r>
      <w:r w:rsidRPr="002F50BD">
        <w:rPr>
          <w:rFonts w:ascii="Verdana" w:hAnsi="Verdana"/>
          <w:sz w:val="20"/>
          <w:lang w:val="pt-BR"/>
        </w:rPr>
        <w:t xml:space="preserve">o para determinar </w:t>
      </w:r>
      <w:r w:rsidR="0089298C" w:rsidRPr="002F50BD">
        <w:rPr>
          <w:rFonts w:ascii="Verdana" w:hAnsi="Verdana"/>
          <w:sz w:val="20"/>
          <w:lang w:val="pt-BR"/>
        </w:rPr>
        <w:t>qual é o melhor</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w:t>
      </w:r>
      <w:r w:rsidR="0089298C" w:rsidRPr="002F50BD">
        <w:rPr>
          <w:rFonts w:ascii="Verdana" w:hAnsi="Verdana"/>
          <w:sz w:val="20"/>
          <w:lang w:val="pt-BR"/>
        </w:rPr>
        <w:t xml:space="preserve"> o da propriedade</w:t>
      </w:r>
      <w:r w:rsidRPr="002F50BD">
        <w:rPr>
          <w:rFonts w:ascii="Verdana" w:hAnsi="Verdana"/>
          <w:sz w:val="20"/>
          <w:lang w:val="pt-BR"/>
        </w:rPr>
        <w:t xml:space="preserve"> comunal ancestral</w:t>
      </w:r>
      <w:r w:rsidR="0089298C" w:rsidRPr="002F50BD">
        <w:rPr>
          <w:rFonts w:ascii="Verdana" w:hAnsi="Verdana"/>
          <w:sz w:val="20"/>
          <w:lang w:val="pt-BR"/>
        </w:rPr>
        <w:t xml:space="preserve"> da terra</w:t>
      </w:r>
      <w:r w:rsidRPr="002F50BD">
        <w:rPr>
          <w:rFonts w:ascii="Verdana" w:hAnsi="Verdana"/>
          <w:sz w:val="20"/>
          <w:lang w:val="pt-BR"/>
        </w:rPr>
        <w:t xml:space="preserve"> o</w:t>
      </w:r>
      <w:r w:rsidR="001051F4" w:rsidRPr="002F50BD">
        <w:rPr>
          <w:rFonts w:ascii="Verdana" w:hAnsi="Verdana"/>
          <w:sz w:val="20"/>
          <w:lang w:val="pt-BR"/>
        </w:rPr>
        <w:t>u</w:t>
      </w:r>
      <w:r w:rsidR="0089298C" w:rsidRPr="002F50BD">
        <w:rPr>
          <w:rFonts w:ascii="Verdana" w:hAnsi="Verdana"/>
          <w:sz w:val="20"/>
          <w:lang w:val="pt-BR"/>
        </w:rPr>
        <w:t xml:space="preserve"> o </w:t>
      </w:r>
      <w:r w:rsidRPr="002F50BD">
        <w:rPr>
          <w:rFonts w:ascii="Verdana" w:hAnsi="Verdana"/>
          <w:sz w:val="20"/>
          <w:lang w:val="pt-BR"/>
        </w:rPr>
        <w:t xml:space="preserve">de </w:t>
      </w:r>
      <w:r w:rsidR="0089298C" w:rsidRPr="002F50BD">
        <w:rPr>
          <w:rFonts w:ascii="Verdana" w:hAnsi="Verdana"/>
          <w:sz w:val="20"/>
          <w:lang w:val="pt-BR"/>
        </w:rPr>
        <w:t>propriedade</w:t>
      </w:r>
      <w:r w:rsidRPr="002F50BD">
        <w:rPr>
          <w:rFonts w:ascii="Verdana" w:hAnsi="Verdana"/>
          <w:sz w:val="20"/>
          <w:lang w:val="pt-BR"/>
        </w:rPr>
        <w:t xml:space="preserve"> privada.</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considera que</w:t>
      </w:r>
      <w:r w:rsidR="0089298C" w:rsidRPr="002F50BD">
        <w:rPr>
          <w:rFonts w:ascii="Verdana" w:hAnsi="Verdana"/>
          <w:sz w:val="20"/>
          <w:lang w:val="pt-BR"/>
        </w:rPr>
        <w:t xml:space="preserve"> o </w:t>
      </w:r>
      <w:r w:rsidR="004756C1" w:rsidRPr="002F50BD">
        <w:rPr>
          <w:rFonts w:ascii="Verdana" w:hAnsi="Verdana"/>
          <w:sz w:val="20"/>
          <w:lang w:val="pt-BR"/>
        </w:rPr>
        <w:t xml:space="preserve">citado argumento </w:t>
      </w:r>
      <w:r w:rsidR="0089298C" w:rsidRPr="002F50BD">
        <w:rPr>
          <w:rFonts w:ascii="Verdana" w:hAnsi="Verdana"/>
          <w:sz w:val="20"/>
          <w:lang w:val="pt-BR"/>
        </w:rPr>
        <w:t xml:space="preserve">do </w:t>
      </w:r>
      <w:r w:rsidR="004756C1" w:rsidRPr="002F50BD">
        <w:rPr>
          <w:rFonts w:ascii="Verdana" w:hAnsi="Verdana"/>
          <w:sz w:val="20"/>
          <w:lang w:val="pt-BR"/>
        </w:rPr>
        <w:t xml:space="preserve">Estado </w:t>
      </w:r>
      <w:r w:rsidR="001051F4" w:rsidRPr="002F50BD">
        <w:rPr>
          <w:rFonts w:ascii="Verdana" w:hAnsi="Verdana"/>
          <w:sz w:val="20"/>
          <w:lang w:val="pt-BR"/>
        </w:rPr>
        <w:t xml:space="preserve">se refere a </w:t>
      </w:r>
      <w:r w:rsidR="004756C1" w:rsidRPr="002F50BD">
        <w:rPr>
          <w:rFonts w:ascii="Verdana" w:hAnsi="Verdana"/>
          <w:sz w:val="20"/>
          <w:lang w:val="pt-BR"/>
        </w:rPr>
        <w:t>aspectos relacionados</w:t>
      </w:r>
      <w:r w:rsidR="0089298C" w:rsidRPr="002F50BD">
        <w:rPr>
          <w:rFonts w:ascii="Verdana" w:hAnsi="Verdana"/>
          <w:sz w:val="20"/>
          <w:lang w:val="pt-BR"/>
        </w:rPr>
        <w:t xml:space="preserve"> </w:t>
      </w:r>
      <w:r w:rsidR="001051F4" w:rsidRPr="002F50BD">
        <w:rPr>
          <w:rFonts w:ascii="Verdana" w:hAnsi="Verdana"/>
          <w:sz w:val="20"/>
          <w:lang w:val="pt-BR"/>
        </w:rPr>
        <w:t>à f</w:t>
      </w:r>
      <w:r w:rsidR="004756C1" w:rsidRPr="002F50BD">
        <w:rPr>
          <w:rFonts w:ascii="Verdana" w:hAnsi="Verdana"/>
          <w:sz w:val="20"/>
          <w:lang w:val="pt-BR"/>
        </w:rPr>
        <w:t xml:space="preserve">alta de </w:t>
      </w:r>
      <w:r w:rsidR="0089298C" w:rsidRPr="002F50BD">
        <w:rPr>
          <w:rFonts w:ascii="Verdana" w:hAnsi="Verdana"/>
          <w:sz w:val="20"/>
          <w:lang w:val="pt-BR"/>
        </w:rPr>
        <w:t>esgotamento</w:t>
      </w:r>
      <w:r w:rsidR="004756C1" w:rsidRPr="002F50BD">
        <w:rPr>
          <w:rFonts w:ascii="Verdana" w:hAnsi="Verdana"/>
          <w:sz w:val="20"/>
          <w:lang w:val="pt-BR"/>
        </w:rPr>
        <w:t xml:space="preserve"> de recursos internos. Conforme</w:t>
      </w:r>
      <w:r w:rsidR="0089298C" w:rsidRPr="002F50BD">
        <w:rPr>
          <w:rFonts w:ascii="Verdana" w:hAnsi="Verdana"/>
          <w:sz w:val="20"/>
          <w:lang w:val="pt-BR"/>
        </w:rPr>
        <w:t xml:space="preserve"> </w:t>
      </w:r>
      <w:r w:rsidR="001051F4" w:rsidRPr="002F50BD">
        <w:rPr>
          <w:rFonts w:ascii="Verdana" w:hAnsi="Verdana"/>
          <w:sz w:val="20"/>
          <w:lang w:val="pt-BR"/>
        </w:rPr>
        <w:t>a</w:t>
      </w:r>
      <w:r w:rsidR="0089298C" w:rsidRPr="002F50BD">
        <w:rPr>
          <w:rFonts w:ascii="Verdana" w:hAnsi="Verdana"/>
          <w:sz w:val="20"/>
          <w:lang w:val="pt-BR"/>
        </w:rPr>
        <w:t xml:space="preserve"> jurisprudência </w:t>
      </w:r>
      <w:r w:rsidR="004756C1" w:rsidRPr="002F50BD">
        <w:rPr>
          <w:rFonts w:ascii="Verdana" w:hAnsi="Verdana"/>
          <w:sz w:val="20"/>
          <w:lang w:val="pt-BR"/>
        </w:rPr>
        <w:t>constante</w:t>
      </w:r>
      <w:r w:rsidR="0089298C" w:rsidRPr="002F50BD">
        <w:rPr>
          <w:rFonts w:ascii="Verdana" w:hAnsi="Verdana"/>
          <w:sz w:val="20"/>
          <w:lang w:val="pt-BR"/>
        </w:rPr>
        <w:t xml:space="preserve"> deste </w:t>
      </w:r>
      <w:r w:rsidR="004756C1" w:rsidRPr="002F50BD">
        <w:rPr>
          <w:rFonts w:ascii="Verdana" w:hAnsi="Verdana"/>
          <w:sz w:val="20"/>
          <w:lang w:val="pt-BR"/>
        </w:rPr>
        <w:t xml:space="preserve">Tribunal, </w:t>
      </w:r>
      <w:r w:rsidR="00AB454A" w:rsidRPr="002F50BD">
        <w:rPr>
          <w:rFonts w:ascii="Verdana" w:hAnsi="Verdana"/>
          <w:sz w:val="20"/>
          <w:lang w:val="pt-BR"/>
        </w:rPr>
        <w:t>não é</w:t>
      </w:r>
      <w:r w:rsidR="0089298C" w:rsidRPr="002F50BD">
        <w:rPr>
          <w:rFonts w:ascii="Verdana" w:hAnsi="Verdana"/>
          <w:sz w:val="20"/>
          <w:lang w:val="pt-BR"/>
        </w:rPr>
        <w:t xml:space="preserve"> possível </w:t>
      </w:r>
      <w:r w:rsidR="004756C1" w:rsidRPr="002F50BD">
        <w:rPr>
          <w:rFonts w:ascii="Verdana" w:hAnsi="Verdana"/>
          <w:sz w:val="20"/>
          <w:lang w:val="pt-BR"/>
        </w:rPr>
        <w:t>que</w:t>
      </w:r>
      <w:r w:rsidR="0089298C" w:rsidRPr="002F50BD">
        <w:rPr>
          <w:rFonts w:ascii="Verdana" w:hAnsi="Verdana"/>
          <w:sz w:val="20"/>
          <w:lang w:val="pt-BR"/>
        </w:rPr>
        <w:t xml:space="preserve"> na </w:t>
      </w:r>
      <w:r w:rsidR="004756C1" w:rsidRPr="002F50BD">
        <w:rPr>
          <w:rFonts w:ascii="Verdana" w:hAnsi="Verdana"/>
          <w:sz w:val="20"/>
          <w:lang w:val="pt-BR"/>
        </w:rPr>
        <w:t xml:space="preserve">presente etapa </w:t>
      </w:r>
      <w:r w:rsidR="0089298C" w:rsidRPr="002F50BD">
        <w:rPr>
          <w:rFonts w:ascii="Verdana" w:hAnsi="Verdana"/>
          <w:sz w:val="20"/>
          <w:lang w:val="pt-BR"/>
        </w:rPr>
        <w:t>do procedimento</w:t>
      </w:r>
      <w:r w:rsidR="004756C1" w:rsidRPr="002F50BD">
        <w:rPr>
          <w:rFonts w:ascii="Verdana" w:hAnsi="Verdana"/>
          <w:sz w:val="20"/>
          <w:lang w:val="pt-BR"/>
        </w:rPr>
        <w:t xml:space="preserve"> </w:t>
      </w:r>
      <w:r w:rsidR="00AB454A" w:rsidRPr="002F50BD">
        <w:rPr>
          <w:rFonts w:ascii="Verdana" w:hAnsi="Verdana"/>
          <w:sz w:val="20"/>
          <w:lang w:val="pt-BR"/>
        </w:rPr>
        <w:t>possam</w:t>
      </w:r>
      <w:r w:rsidR="004756C1" w:rsidRPr="002F50BD">
        <w:rPr>
          <w:rFonts w:ascii="Verdana" w:hAnsi="Verdana"/>
          <w:sz w:val="20"/>
          <w:lang w:val="pt-BR"/>
        </w:rPr>
        <w:t xml:space="preserve"> </w:t>
      </w:r>
      <w:r w:rsidR="001051F4" w:rsidRPr="002F50BD">
        <w:rPr>
          <w:rFonts w:ascii="Verdana" w:hAnsi="Verdana"/>
          <w:sz w:val="20"/>
          <w:lang w:val="pt-BR"/>
        </w:rPr>
        <w:t xml:space="preserve">ser discutidos </w:t>
      </w:r>
      <w:r w:rsidR="0089298C" w:rsidRPr="002F50BD">
        <w:rPr>
          <w:rFonts w:ascii="Verdana" w:hAnsi="Verdana"/>
          <w:sz w:val="20"/>
          <w:lang w:val="pt-BR"/>
        </w:rPr>
        <w:t>assunto</w:t>
      </w:r>
      <w:r w:rsidR="004756C1" w:rsidRPr="002F50BD">
        <w:rPr>
          <w:rFonts w:ascii="Verdana" w:hAnsi="Verdana"/>
          <w:sz w:val="20"/>
          <w:lang w:val="pt-BR"/>
        </w:rPr>
        <w:t xml:space="preserve">s que </w:t>
      </w:r>
      <w:r w:rsidR="001051F4" w:rsidRPr="002F50BD">
        <w:rPr>
          <w:rFonts w:ascii="Verdana" w:hAnsi="Verdana"/>
          <w:sz w:val="20"/>
          <w:lang w:val="pt-BR"/>
        </w:rPr>
        <w:t xml:space="preserve">deveriam ser tratados </w:t>
      </w:r>
      <w:r w:rsidR="0089298C" w:rsidRPr="002F50BD">
        <w:rPr>
          <w:rFonts w:ascii="Verdana" w:hAnsi="Verdana"/>
          <w:sz w:val="20"/>
          <w:lang w:val="pt-BR"/>
        </w:rPr>
        <w:t xml:space="preserve">em </w:t>
      </w:r>
      <w:r w:rsidR="004756C1" w:rsidRPr="002F50BD">
        <w:rPr>
          <w:rFonts w:ascii="Verdana" w:hAnsi="Verdana"/>
          <w:sz w:val="20"/>
          <w:lang w:val="pt-BR"/>
        </w:rPr>
        <w:t>etapas anteriores</w:t>
      </w:r>
      <w:r w:rsidR="0089298C" w:rsidRPr="002F50BD">
        <w:rPr>
          <w:rFonts w:ascii="Verdana" w:hAnsi="Verdana"/>
          <w:sz w:val="20"/>
          <w:lang w:val="pt-BR"/>
        </w:rPr>
        <w:t xml:space="preserve"> e </w:t>
      </w:r>
      <w:r w:rsidR="001051F4" w:rsidRPr="002F50BD">
        <w:rPr>
          <w:rFonts w:ascii="Verdana" w:hAnsi="Verdana"/>
          <w:sz w:val="20"/>
          <w:lang w:val="pt-BR"/>
        </w:rPr>
        <w:t>ocorreu</w:t>
      </w:r>
      <w:r w:rsidR="00650A25" w:rsidRPr="002F50BD">
        <w:rPr>
          <w:rFonts w:ascii="Verdana" w:hAnsi="Verdana"/>
          <w:sz w:val="20"/>
          <w:lang w:val="pt-BR"/>
        </w:rPr>
        <w:t>, desse modo,</w:t>
      </w:r>
      <w:r w:rsidR="001051F4" w:rsidRPr="002F50BD">
        <w:rPr>
          <w:rFonts w:ascii="Verdana" w:hAnsi="Verdana"/>
          <w:sz w:val="20"/>
          <w:lang w:val="pt-BR"/>
        </w:rPr>
        <w:t xml:space="preserve"> </w:t>
      </w:r>
      <w:r w:rsidR="0089298C" w:rsidRPr="002F50BD">
        <w:rPr>
          <w:rFonts w:ascii="Verdana" w:hAnsi="Verdana"/>
          <w:sz w:val="20"/>
          <w:lang w:val="pt-BR"/>
        </w:rPr>
        <w:t xml:space="preserve">uma </w:t>
      </w:r>
      <w:r w:rsidR="004756C1" w:rsidRPr="002F50BD">
        <w:rPr>
          <w:rFonts w:ascii="Verdana" w:hAnsi="Verdana"/>
          <w:sz w:val="20"/>
          <w:lang w:val="pt-BR"/>
        </w:rPr>
        <w:t xml:space="preserve">renuncia tácita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à exceção</w:t>
      </w:r>
      <w:r w:rsidR="004756C1" w:rsidRPr="002F50BD">
        <w:rPr>
          <w:rFonts w:ascii="Verdana" w:hAnsi="Verdana"/>
          <w:sz w:val="20"/>
          <w:lang w:val="pt-BR"/>
        </w:rPr>
        <w:t xml:space="preserve"> de falta de </w:t>
      </w:r>
      <w:r w:rsidR="0089298C" w:rsidRPr="002F50BD">
        <w:rPr>
          <w:rFonts w:ascii="Verdana" w:hAnsi="Verdana"/>
          <w:sz w:val="20"/>
          <w:lang w:val="pt-BR"/>
        </w:rPr>
        <w:t xml:space="preserve">esgotamento dos </w:t>
      </w:r>
      <w:r w:rsidR="004756C1" w:rsidRPr="002F50BD">
        <w:rPr>
          <w:rFonts w:ascii="Verdana" w:hAnsi="Verdana"/>
          <w:sz w:val="20"/>
          <w:lang w:val="pt-BR"/>
        </w:rPr>
        <w:t>recursos internos</w:t>
      </w:r>
      <w:r w:rsidR="001051F4" w:rsidRPr="002F50BD">
        <w:rPr>
          <w:rFonts w:ascii="Verdana" w:hAnsi="Verdana"/>
          <w:sz w:val="20"/>
          <w:lang w:val="pt-BR"/>
        </w:rPr>
        <w:t>.</w:t>
      </w:r>
      <w:r w:rsidR="004756C1" w:rsidRPr="002F50BD">
        <w:rPr>
          <w:rStyle w:val="FootnoteReference"/>
          <w:rFonts w:ascii="Verdana" w:hAnsi="Verdana"/>
        </w:rPr>
        <w:footnoteReference w:id="181"/>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Sobre</w:t>
      </w:r>
      <w:r w:rsidR="0089298C" w:rsidRPr="002F50BD">
        <w:rPr>
          <w:rFonts w:ascii="Verdana" w:hAnsi="Verdana"/>
          <w:sz w:val="20"/>
          <w:lang w:val="pt-BR"/>
        </w:rPr>
        <w:t xml:space="preserve"> a efetividade do procedimento</w:t>
      </w:r>
      <w:r w:rsidRPr="002F50BD">
        <w:rPr>
          <w:rFonts w:ascii="Verdana" w:hAnsi="Verdana"/>
          <w:sz w:val="20"/>
          <w:lang w:val="pt-BR"/>
        </w:rPr>
        <w:t xml:space="preserve"> administrativo 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s para comunidades indígenas,</w:t>
      </w:r>
      <w:r w:rsidR="0089298C" w:rsidRPr="002F50BD">
        <w:rPr>
          <w:rFonts w:ascii="Verdana" w:hAnsi="Verdana"/>
          <w:sz w:val="20"/>
          <w:lang w:val="pt-BR"/>
        </w:rPr>
        <w:t xml:space="preserve"> o </w:t>
      </w:r>
      <w:r w:rsidRPr="002F50BD">
        <w:rPr>
          <w:rFonts w:ascii="Verdana" w:hAnsi="Verdana"/>
          <w:sz w:val="20"/>
          <w:lang w:val="pt-BR"/>
        </w:rPr>
        <w:t xml:space="preserve">perito Enrique Castillo </w:t>
      </w:r>
      <w:r w:rsidR="0089298C" w:rsidRPr="002F50BD">
        <w:rPr>
          <w:rFonts w:ascii="Verdana" w:hAnsi="Verdana"/>
          <w:sz w:val="20"/>
          <w:lang w:val="pt-BR"/>
        </w:rPr>
        <w:t>manifestou</w:t>
      </w:r>
      <w:r w:rsidRPr="002F50BD">
        <w:rPr>
          <w:rFonts w:ascii="Verdana" w:hAnsi="Verdana"/>
          <w:sz w:val="20"/>
          <w:lang w:val="pt-BR"/>
        </w:rPr>
        <w:t xml:space="preserve"> que este </w:t>
      </w:r>
      <w:r w:rsidR="0089298C" w:rsidRPr="002F50BD">
        <w:rPr>
          <w:rFonts w:ascii="Verdana" w:hAnsi="Verdana"/>
          <w:sz w:val="20"/>
          <w:lang w:val="pt-BR"/>
        </w:rPr>
        <w:t>procedimento</w:t>
      </w:r>
      <w:r w:rsidRPr="002F50BD">
        <w:rPr>
          <w:rFonts w:ascii="Verdana" w:hAnsi="Verdana"/>
          <w:sz w:val="20"/>
          <w:lang w:val="pt-BR"/>
        </w:rPr>
        <w:t xml:space="preserve"> </w:t>
      </w:r>
      <w:r w:rsidR="007043AA" w:rsidRPr="002F50BD">
        <w:rPr>
          <w:rFonts w:ascii="Verdana" w:hAnsi="Verdana"/>
          <w:sz w:val="20"/>
          <w:lang w:val="pt-BR"/>
        </w:rPr>
        <w:t xml:space="preserve">ofereceu </w:t>
      </w:r>
      <w:r w:rsidRPr="002F50BD">
        <w:rPr>
          <w:rFonts w:ascii="Verdana" w:hAnsi="Verdana"/>
          <w:sz w:val="20"/>
          <w:lang w:val="pt-BR"/>
        </w:rPr>
        <w:t>resultados positivos</w:t>
      </w:r>
      <w:r w:rsidR="0089298C" w:rsidRPr="002F50BD">
        <w:rPr>
          <w:rFonts w:ascii="Verdana" w:hAnsi="Verdana"/>
          <w:sz w:val="20"/>
          <w:lang w:val="pt-BR"/>
        </w:rPr>
        <w:t xml:space="preserve"> em </w:t>
      </w:r>
      <w:r w:rsidRPr="002F50BD">
        <w:rPr>
          <w:rFonts w:ascii="Verdana" w:hAnsi="Verdana"/>
          <w:sz w:val="20"/>
          <w:lang w:val="pt-BR"/>
        </w:rPr>
        <w:t>casos</w:t>
      </w:r>
      <w:r w:rsidR="0089298C" w:rsidRPr="002F50BD">
        <w:rPr>
          <w:rFonts w:ascii="Verdana" w:hAnsi="Verdana"/>
          <w:sz w:val="20"/>
          <w:lang w:val="pt-BR"/>
        </w:rPr>
        <w:t xml:space="preserve"> </w:t>
      </w:r>
      <w:r w:rsidR="007043AA" w:rsidRPr="002F50BD">
        <w:rPr>
          <w:rFonts w:ascii="Verdana" w:hAnsi="Verdana"/>
          <w:sz w:val="20"/>
          <w:lang w:val="pt-BR"/>
        </w:rPr>
        <w:t xml:space="preserve">nos quais os proprietários de terras concordaram em </w:t>
      </w:r>
      <w:r w:rsidRPr="002F50BD">
        <w:rPr>
          <w:rFonts w:ascii="Verdana" w:hAnsi="Verdana"/>
          <w:sz w:val="20"/>
          <w:lang w:val="pt-BR"/>
        </w:rPr>
        <w:t>negociar</w:t>
      </w:r>
      <w:r w:rsidR="0089298C" w:rsidRPr="002F50BD">
        <w:rPr>
          <w:rFonts w:ascii="Verdana" w:hAnsi="Verdana"/>
          <w:sz w:val="20"/>
          <w:lang w:val="pt-BR"/>
        </w:rPr>
        <w:t xml:space="preserve"> a transferência dos </w:t>
      </w:r>
      <w:r w:rsidR="000920B2" w:rsidRPr="002F50BD">
        <w:rPr>
          <w:rFonts w:ascii="Verdana" w:hAnsi="Verdana"/>
          <w:sz w:val="20"/>
          <w:lang w:val="pt-BR"/>
        </w:rPr>
        <w:t>imóveis</w:t>
      </w:r>
      <w:r w:rsidRPr="002F50BD">
        <w:rPr>
          <w:rFonts w:ascii="Verdana" w:hAnsi="Verdana"/>
          <w:sz w:val="20"/>
          <w:lang w:val="pt-BR"/>
        </w:rPr>
        <w:t xml:space="preserve"> reivindicados, </w:t>
      </w:r>
      <w:r w:rsidR="0089298C" w:rsidRPr="002F50BD">
        <w:rPr>
          <w:rFonts w:ascii="Verdana" w:hAnsi="Verdana"/>
          <w:sz w:val="20"/>
          <w:lang w:val="pt-BR"/>
        </w:rPr>
        <w:t>mas foi abert</w:t>
      </w:r>
      <w:r w:rsidRPr="002F50BD">
        <w:rPr>
          <w:rFonts w:ascii="Verdana" w:hAnsi="Verdana"/>
          <w:sz w:val="20"/>
          <w:lang w:val="pt-BR"/>
        </w:rPr>
        <w:t xml:space="preserve">amente ineficaz </w:t>
      </w:r>
      <w:r w:rsidR="006603BE" w:rsidRPr="002F50BD">
        <w:rPr>
          <w:rFonts w:ascii="Verdana" w:hAnsi="Verdana"/>
          <w:sz w:val="20"/>
          <w:lang w:val="pt-BR"/>
        </w:rPr>
        <w:t>em</w:t>
      </w:r>
      <w:r w:rsidRPr="002F50BD">
        <w:rPr>
          <w:rFonts w:ascii="Verdana" w:hAnsi="Verdana"/>
          <w:sz w:val="20"/>
          <w:lang w:val="pt-BR"/>
        </w:rPr>
        <w:t xml:space="preserve"> casos</w:t>
      </w:r>
      <w:r w:rsidR="0089298C" w:rsidRPr="002F50BD">
        <w:rPr>
          <w:rFonts w:ascii="Verdana" w:hAnsi="Verdana"/>
          <w:sz w:val="20"/>
          <w:lang w:val="pt-BR"/>
        </w:rPr>
        <w:t xml:space="preserve"> </w:t>
      </w:r>
      <w:r w:rsidR="007043AA" w:rsidRPr="002F50BD">
        <w:rPr>
          <w:rFonts w:ascii="Verdana" w:hAnsi="Verdana"/>
          <w:sz w:val="20"/>
          <w:lang w:val="pt-BR"/>
        </w:rPr>
        <w:t xml:space="preserve">nos quais </w:t>
      </w:r>
      <w:r w:rsidR="0089298C" w:rsidRPr="002F50BD">
        <w:rPr>
          <w:rFonts w:ascii="Verdana" w:hAnsi="Verdana"/>
          <w:sz w:val="20"/>
          <w:lang w:val="pt-BR"/>
        </w:rPr>
        <w:t xml:space="preserve">as </w:t>
      </w:r>
      <w:r w:rsidRPr="002F50BD">
        <w:rPr>
          <w:rFonts w:ascii="Verdana" w:hAnsi="Verdana"/>
          <w:sz w:val="20"/>
          <w:lang w:val="pt-BR"/>
        </w:rPr>
        <w:t>negocia</w:t>
      </w:r>
      <w:r w:rsidR="0089298C" w:rsidRPr="002F50BD">
        <w:rPr>
          <w:rFonts w:ascii="Verdana" w:hAnsi="Verdana"/>
          <w:sz w:val="20"/>
          <w:lang w:val="pt-BR"/>
        </w:rPr>
        <w:t xml:space="preserve">ções com os </w:t>
      </w:r>
      <w:r w:rsidR="007801FA" w:rsidRPr="002F50BD">
        <w:rPr>
          <w:rFonts w:ascii="Verdana" w:hAnsi="Verdana"/>
          <w:sz w:val="20"/>
          <w:lang w:val="pt-BR"/>
        </w:rPr>
        <w:t>proprietário</w:t>
      </w:r>
      <w:r w:rsidRPr="002F50BD">
        <w:rPr>
          <w:rFonts w:ascii="Verdana" w:hAnsi="Verdana"/>
          <w:sz w:val="20"/>
          <w:lang w:val="pt-BR"/>
        </w:rPr>
        <w:t>s n</w:t>
      </w:r>
      <w:r w:rsidR="007043AA"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foram</w:t>
      </w:r>
      <w:r w:rsidRPr="002F50BD">
        <w:rPr>
          <w:rFonts w:ascii="Verdana" w:hAnsi="Verdana"/>
          <w:sz w:val="20"/>
          <w:lang w:val="pt-BR"/>
        </w:rPr>
        <w:t xml:space="preserve"> vi</w:t>
      </w:r>
      <w:r w:rsidR="0089298C" w:rsidRPr="002F50BD">
        <w:rPr>
          <w:rFonts w:ascii="Verdana" w:hAnsi="Verdana"/>
          <w:sz w:val="20"/>
          <w:lang w:val="pt-BR"/>
        </w:rPr>
        <w:t xml:space="preserve">áveis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38</w:t>
      </w:r>
      <w:r w:rsidRPr="002F50BD">
        <w:rPr>
          <w:rFonts w:ascii="Verdana" w:hAnsi="Verdana"/>
          <w:sz w:val="20"/>
          <w:lang w:val="pt-BR"/>
        </w:rPr>
        <w:t>.b</w:t>
      </w:r>
      <w:r w:rsidR="007043AA"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w:t>
      </w:r>
    </w:p>
    <w:p w:rsidR="007043AA" w:rsidRPr="002F50BD" w:rsidRDefault="007043AA" w:rsidP="007043AA">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próprio</w:t>
      </w:r>
      <w:r w:rsidR="004756C1" w:rsidRPr="002F50BD">
        <w:rPr>
          <w:rFonts w:ascii="Verdana" w:hAnsi="Verdana"/>
          <w:sz w:val="20"/>
          <w:lang w:val="pt-BR"/>
        </w:rPr>
        <w:t xml:space="preserve"> Estado</w:t>
      </w:r>
      <w:r w:rsidR="007043AA"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su</w:t>
      </w:r>
      <w:r w:rsidR="007043AA" w:rsidRPr="002F50BD">
        <w:rPr>
          <w:rFonts w:ascii="Verdana" w:hAnsi="Verdana"/>
          <w:sz w:val="20"/>
          <w:lang w:val="pt-BR"/>
        </w:rPr>
        <w:t>a</w:t>
      </w:r>
      <w:r w:rsidR="004756C1" w:rsidRPr="002F50BD">
        <w:rPr>
          <w:rFonts w:ascii="Verdana" w:hAnsi="Verdana"/>
          <w:sz w:val="20"/>
          <w:lang w:val="pt-BR"/>
        </w:rPr>
        <w:t xml:space="preserve"> contesta</w:t>
      </w:r>
      <w:r w:rsidRPr="002F50BD">
        <w:rPr>
          <w:rFonts w:ascii="Verdana" w:hAnsi="Verdana"/>
          <w:sz w:val="20"/>
          <w:lang w:val="pt-BR"/>
        </w:rPr>
        <w:t xml:space="preserve">ção da </w:t>
      </w:r>
      <w:r w:rsidR="004756C1" w:rsidRPr="002F50BD">
        <w:rPr>
          <w:rFonts w:ascii="Verdana" w:hAnsi="Verdana"/>
          <w:sz w:val="20"/>
          <w:lang w:val="pt-BR"/>
        </w:rPr>
        <w:t>demanda</w:t>
      </w:r>
      <w:r w:rsidR="007043AA"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afirmou</w:t>
      </w:r>
      <w:r w:rsidR="006603BE" w:rsidRPr="002F50BD">
        <w:rPr>
          <w:rFonts w:ascii="Verdana" w:hAnsi="Verdana"/>
          <w:sz w:val="20"/>
          <w:lang w:val="pt-BR"/>
        </w:rPr>
        <w:t xml:space="preserve"> que:</w:t>
      </w:r>
    </w:p>
    <w:p w:rsidR="004756C1" w:rsidRPr="002F50BD" w:rsidRDefault="0089298C">
      <w:pPr>
        <w:ind w:left="720" w:right="720"/>
        <w:jc w:val="both"/>
        <w:rPr>
          <w:rFonts w:ascii="Verdana" w:hAnsi="Verdana"/>
          <w:sz w:val="16"/>
          <w:lang w:val="pt-BR"/>
        </w:rPr>
      </w:pPr>
      <w:r w:rsidRPr="002F50BD">
        <w:rPr>
          <w:rFonts w:ascii="Verdana" w:hAnsi="Verdana"/>
          <w:sz w:val="16"/>
          <w:lang w:val="pt-BR"/>
        </w:rPr>
        <w:cr/>
        <w:t xml:space="preserve">O </w:t>
      </w:r>
      <w:r w:rsidR="004756C1" w:rsidRPr="002F50BD">
        <w:rPr>
          <w:rFonts w:ascii="Verdana" w:hAnsi="Verdana"/>
          <w:sz w:val="16"/>
          <w:lang w:val="pt-BR"/>
        </w:rPr>
        <w:t>sistema legal protetor</w:t>
      </w:r>
      <w:r w:rsidRPr="002F50BD">
        <w:rPr>
          <w:rFonts w:ascii="Verdana" w:hAnsi="Verdana"/>
          <w:sz w:val="16"/>
          <w:lang w:val="pt-BR"/>
        </w:rPr>
        <w:t xml:space="preserve"> dos direito</w:t>
      </w:r>
      <w:r w:rsidR="004756C1" w:rsidRPr="002F50BD">
        <w:rPr>
          <w:rFonts w:ascii="Verdana" w:hAnsi="Verdana"/>
          <w:sz w:val="16"/>
          <w:lang w:val="pt-BR"/>
        </w:rPr>
        <w:t>s indígenas</w:t>
      </w:r>
      <w:r w:rsidRPr="002F50BD">
        <w:rPr>
          <w:rFonts w:ascii="Verdana" w:hAnsi="Verdana"/>
          <w:sz w:val="16"/>
          <w:lang w:val="pt-BR"/>
        </w:rPr>
        <w:t xml:space="preserve"> em matéria </w:t>
      </w:r>
      <w:r w:rsidR="004756C1" w:rsidRPr="002F50BD">
        <w:rPr>
          <w:rFonts w:ascii="Verdana" w:hAnsi="Verdana"/>
          <w:sz w:val="16"/>
          <w:lang w:val="pt-BR"/>
        </w:rPr>
        <w:t xml:space="preserve">de </w:t>
      </w:r>
      <w:r w:rsidR="00A50140" w:rsidRPr="002F50BD">
        <w:rPr>
          <w:rFonts w:ascii="Verdana" w:hAnsi="Verdana"/>
          <w:sz w:val="16"/>
          <w:lang w:val="pt-BR"/>
        </w:rPr>
        <w:t>suas terras</w:t>
      </w:r>
      <w:r w:rsidR="004756C1" w:rsidRPr="002F50BD">
        <w:rPr>
          <w:rFonts w:ascii="Verdana" w:hAnsi="Verdana"/>
          <w:sz w:val="16"/>
          <w:lang w:val="pt-BR"/>
        </w:rPr>
        <w:t xml:space="preserve"> </w:t>
      </w:r>
      <w:r w:rsidR="00AB454A" w:rsidRPr="002F50BD">
        <w:rPr>
          <w:rFonts w:ascii="Verdana" w:hAnsi="Verdana"/>
          <w:sz w:val="16"/>
          <w:lang w:val="pt-BR"/>
        </w:rPr>
        <w:t>ancestrais</w:t>
      </w:r>
      <w:r w:rsidRPr="002F50BD">
        <w:rPr>
          <w:rFonts w:ascii="Verdana" w:hAnsi="Verdana"/>
          <w:sz w:val="16"/>
          <w:lang w:val="pt-BR"/>
        </w:rPr>
        <w:t xml:space="preserve"> é </w:t>
      </w:r>
      <w:r w:rsidR="004756C1" w:rsidRPr="002F50BD">
        <w:rPr>
          <w:rFonts w:ascii="Verdana" w:hAnsi="Verdana"/>
          <w:sz w:val="16"/>
          <w:lang w:val="pt-BR"/>
        </w:rPr>
        <w:t>eficaz dando res</w:t>
      </w:r>
      <w:r w:rsidRPr="002F50BD">
        <w:rPr>
          <w:rFonts w:ascii="Verdana" w:hAnsi="Verdana"/>
          <w:sz w:val="16"/>
          <w:lang w:val="pt-BR"/>
        </w:rPr>
        <w:t>posta</w:t>
      </w:r>
      <w:r w:rsidR="0052705C" w:rsidRPr="002F50BD">
        <w:rPr>
          <w:rFonts w:ascii="Verdana" w:hAnsi="Verdana"/>
          <w:sz w:val="16"/>
          <w:lang w:val="pt-BR"/>
        </w:rPr>
        <w:t>s</w:t>
      </w:r>
      <w:r w:rsidR="004756C1" w:rsidRPr="002F50BD">
        <w:rPr>
          <w:rFonts w:ascii="Verdana" w:hAnsi="Verdana"/>
          <w:sz w:val="16"/>
          <w:lang w:val="pt-BR"/>
        </w:rPr>
        <w:t xml:space="preserve"> </w:t>
      </w:r>
      <w:r w:rsidRPr="002F50BD">
        <w:rPr>
          <w:rFonts w:ascii="Verdana" w:hAnsi="Verdana"/>
          <w:sz w:val="16"/>
          <w:lang w:val="pt-BR"/>
        </w:rPr>
        <w:t>favoráveis às solicitações</w:t>
      </w:r>
      <w:r w:rsidR="004756C1" w:rsidRPr="002F50BD">
        <w:rPr>
          <w:rFonts w:ascii="Verdana" w:hAnsi="Verdana"/>
          <w:sz w:val="16"/>
          <w:lang w:val="pt-BR"/>
        </w:rPr>
        <w:t xml:space="preserve">, </w:t>
      </w:r>
      <w:r w:rsidRPr="002F50BD">
        <w:rPr>
          <w:rFonts w:ascii="Verdana" w:hAnsi="Verdana"/>
          <w:sz w:val="16"/>
          <w:lang w:val="pt-BR"/>
        </w:rPr>
        <w:t>sempre</w:t>
      </w:r>
      <w:r w:rsidR="004756C1" w:rsidRPr="002F50BD">
        <w:rPr>
          <w:rFonts w:ascii="Verdana" w:hAnsi="Verdana"/>
          <w:sz w:val="16"/>
          <w:lang w:val="pt-BR"/>
        </w:rPr>
        <w:t xml:space="preserve"> que n</w:t>
      </w:r>
      <w:r w:rsidR="007043AA" w:rsidRPr="002F50BD">
        <w:rPr>
          <w:rFonts w:ascii="Verdana" w:hAnsi="Verdana"/>
          <w:sz w:val="16"/>
          <w:lang w:val="pt-BR"/>
        </w:rPr>
        <w:t>ã</w:t>
      </w:r>
      <w:r w:rsidR="004756C1" w:rsidRPr="002F50BD">
        <w:rPr>
          <w:rFonts w:ascii="Verdana" w:hAnsi="Verdana"/>
          <w:sz w:val="16"/>
          <w:lang w:val="pt-BR"/>
        </w:rPr>
        <w:t xml:space="preserve">o </w:t>
      </w:r>
      <w:r w:rsidRPr="002F50BD">
        <w:rPr>
          <w:rFonts w:ascii="Verdana" w:hAnsi="Verdana"/>
          <w:sz w:val="16"/>
          <w:lang w:val="pt-BR"/>
        </w:rPr>
        <w:t>exist</w:t>
      </w:r>
      <w:r w:rsidR="007043AA" w:rsidRPr="002F50BD">
        <w:rPr>
          <w:rFonts w:ascii="Verdana" w:hAnsi="Verdana"/>
          <w:sz w:val="16"/>
          <w:lang w:val="pt-BR"/>
        </w:rPr>
        <w:t>a</w:t>
      </w:r>
      <w:r w:rsidRPr="002F50BD">
        <w:rPr>
          <w:rFonts w:ascii="Verdana" w:hAnsi="Verdana"/>
          <w:sz w:val="16"/>
          <w:lang w:val="pt-BR"/>
        </w:rPr>
        <w:t>m</w:t>
      </w:r>
      <w:r w:rsidR="004756C1" w:rsidRPr="002F50BD">
        <w:rPr>
          <w:rFonts w:ascii="Verdana" w:hAnsi="Verdana"/>
          <w:sz w:val="16"/>
          <w:lang w:val="pt-BR"/>
        </w:rPr>
        <w:t xml:space="preserve"> </w:t>
      </w:r>
      <w:r w:rsidRPr="002F50BD">
        <w:rPr>
          <w:rFonts w:ascii="Verdana" w:hAnsi="Verdana"/>
          <w:sz w:val="16"/>
          <w:lang w:val="pt-BR"/>
        </w:rPr>
        <w:t>direito</w:t>
      </w:r>
      <w:r w:rsidR="004756C1" w:rsidRPr="002F50BD">
        <w:rPr>
          <w:rFonts w:ascii="Verdana" w:hAnsi="Verdana"/>
          <w:sz w:val="16"/>
          <w:lang w:val="pt-BR"/>
        </w:rPr>
        <w:t>s igualmente protegidos</w:t>
      </w:r>
      <w:r w:rsidRPr="002F50BD">
        <w:rPr>
          <w:rFonts w:ascii="Verdana" w:hAnsi="Verdana"/>
          <w:sz w:val="16"/>
          <w:lang w:val="pt-BR"/>
        </w:rPr>
        <w:t xml:space="preserve"> pela Constituição</w:t>
      </w:r>
      <w:r w:rsidR="004756C1" w:rsidRPr="002F50BD">
        <w:rPr>
          <w:rFonts w:ascii="Verdana" w:hAnsi="Verdana"/>
          <w:sz w:val="16"/>
          <w:lang w:val="pt-BR"/>
        </w:rPr>
        <w:t>,</w:t>
      </w:r>
      <w:r w:rsidRPr="002F50BD">
        <w:rPr>
          <w:rFonts w:ascii="Verdana" w:hAnsi="Verdana"/>
          <w:sz w:val="16"/>
          <w:lang w:val="pt-BR"/>
        </w:rPr>
        <w:t xml:space="preserve"> </w:t>
      </w:r>
      <w:r w:rsidR="007043AA" w:rsidRPr="002F50BD">
        <w:rPr>
          <w:rFonts w:ascii="Verdana" w:hAnsi="Verdana"/>
          <w:sz w:val="16"/>
          <w:lang w:val="pt-BR"/>
        </w:rPr>
        <w:t>pel</w:t>
      </w:r>
      <w:r w:rsidRPr="002F50BD">
        <w:rPr>
          <w:rFonts w:ascii="Verdana" w:hAnsi="Verdana"/>
          <w:sz w:val="16"/>
          <w:lang w:val="pt-BR"/>
        </w:rPr>
        <w:t xml:space="preserve">os </w:t>
      </w:r>
      <w:r w:rsidR="004756C1" w:rsidRPr="002F50BD">
        <w:rPr>
          <w:rFonts w:ascii="Verdana" w:hAnsi="Verdana"/>
          <w:sz w:val="16"/>
          <w:lang w:val="pt-BR"/>
        </w:rPr>
        <w:t xml:space="preserve">tratados </w:t>
      </w:r>
      <w:r w:rsidRPr="002F50BD">
        <w:rPr>
          <w:rFonts w:ascii="Verdana" w:hAnsi="Verdana"/>
          <w:sz w:val="16"/>
          <w:lang w:val="pt-BR"/>
        </w:rPr>
        <w:t xml:space="preserve">internacionais e </w:t>
      </w:r>
      <w:r w:rsidR="007043AA" w:rsidRPr="002F50BD">
        <w:rPr>
          <w:rFonts w:ascii="Verdana" w:hAnsi="Verdana"/>
          <w:sz w:val="16"/>
          <w:lang w:val="pt-BR"/>
        </w:rPr>
        <w:t>pel</w:t>
      </w:r>
      <w:r w:rsidRPr="002F50BD">
        <w:rPr>
          <w:rFonts w:ascii="Verdana" w:hAnsi="Verdana"/>
          <w:sz w:val="16"/>
          <w:lang w:val="pt-BR"/>
        </w:rPr>
        <w:t>as leis</w:t>
      </w:r>
      <w:r w:rsidR="004756C1" w:rsidRPr="002F50BD">
        <w:rPr>
          <w:rFonts w:ascii="Verdana" w:hAnsi="Verdana"/>
          <w:sz w:val="16"/>
          <w:lang w:val="pt-BR"/>
        </w:rPr>
        <w:t xml:space="preserve"> vigentes […]</w:t>
      </w:r>
    </w:p>
    <w:p w:rsidR="004756C1" w:rsidRPr="002F50BD" w:rsidRDefault="004756C1">
      <w:pPr>
        <w:jc w:val="both"/>
        <w:rPr>
          <w:rFonts w:ascii="Verdana" w:hAnsi="Verdana"/>
          <w:sz w:val="20"/>
          <w:lang w:val="pt-BR"/>
        </w:rPr>
      </w:pPr>
    </w:p>
    <w:p w:rsidR="004756C1" w:rsidRPr="002F50BD" w:rsidRDefault="007043AA">
      <w:pPr>
        <w:numPr>
          <w:ilvl w:val="0"/>
          <w:numId w:val="28"/>
        </w:numPr>
        <w:jc w:val="both"/>
        <w:rPr>
          <w:rFonts w:ascii="Verdana" w:hAnsi="Verdana"/>
          <w:sz w:val="20"/>
          <w:lang w:val="pt-BR"/>
        </w:rPr>
      </w:pPr>
      <w:r w:rsidRPr="002F50BD">
        <w:rPr>
          <w:rFonts w:ascii="Verdana" w:hAnsi="Verdana"/>
          <w:sz w:val="20"/>
          <w:lang w:val="pt-BR"/>
        </w:rPr>
        <w:t>Do mesmo modo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manifestou</w:t>
      </w:r>
      <w:r w:rsidR="004756C1" w:rsidRPr="002F50BD">
        <w:rPr>
          <w:rFonts w:ascii="Verdana" w:hAnsi="Verdana"/>
          <w:sz w:val="20"/>
          <w:lang w:val="pt-BR"/>
        </w:rPr>
        <w:t xml:space="preserve"> que “[</w:t>
      </w:r>
      <w:r w:rsidRPr="002F50BD">
        <w:rPr>
          <w:rFonts w:ascii="Verdana" w:hAnsi="Verdana"/>
          <w:sz w:val="20"/>
          <w:lang w:val="pt-BR"/>
        </w:rPr>
        <w:t>a</w:t>
      </w:r>
      <w:r w:rsidR="004756C1" w:rsidRPr="002F50BD">
        <w:rPr>
          <w:rFonts w:ascii="Verdana" w:hAnsi="Verdana"/>
          <w:sz w:val="20"/>
          <w:lang w:val="pt-BR"/>
        </w:rPr>
        <w:t>] legisla</w:t>
      </w:r>
      <w:r w:rsidR="0089298C" w:rsidRPr="002F50BD">
        <w:rPr>
          <w:rFonts w:ascii="Verdana" w:hAnsi="Verdana"/>
          <w:sz w:val="20"/>
          <w:lang w:val="pt-BR"/>
        </w:rPr>
        <w:t>ção</w:t>
      </w:r>
      <w:r w:rsidR="004756C1" w:rsidRPr="002F50BD">
        <w:rPr>
          <w:rFonts w:ascii="Verdana" w:hAnsi="Verdana"/>
          <w:sz w:val="20"/>
          <w:lang w:val="pt-BR"/>
        </w:rPr>
        <w:t xml:space="preserve"> interna n</w:t>
      </w:r>
      <w:r w:rsidRPr="002F50BD">
        <w:rPr>
          <w:rFonts w:ascii="Verdana" w:hAnsi="Verdana"/>
          <w:sz w:val="20"/>
          <w:lang w:val="pt-BR"/>
        </w:rPr>
        <w:t>ã</w:t>
      </w:r>
      <w:r w:rsidR="004756C1" w:rsidRPr="002F50BD">
        <w:rPr>
          <w:rFonts w:ascii="Verdana" w:hAnsi="Verdana"/>
          <w:sz w:val="20"/>
          <w:lang w:val="pt-BR"/>
        </w:rPr>
        <w:t>o contempla</w:t>
      </w:r>
      <w:r w:rsidR="0089298C" w:rsidRPr="002F50BD">
        <w:rPr>
          <w:rFonts w:ascii="Verdana" w:hAnsi="Verdana"/>
          <w:sz w:val="20"/>
          <w:lang w:val="pt-BR"/>
        </w:rPr>
        <w:t xml:space="preserve"> um</w:t>
      </w:r>
      <w:r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mod</w:t>
      </w:r>
      <w:r w:rsidRPr="002F50BD">
        <w:rPr>
          <w:rFonts w:ascii="Verdana" w:hAnsi="Verdana"/>
          <w:sz w:val="20"/>
          <w:lang w:val="pt-BR"/>
        </w:rPr>
        <w:t xml:space="preserve">alidade de acesso </w:t>
      </w:r>
      <w:r w:rsidR="0089298C" w:rsidRPr="002F50BD">
        <w:rPr>
          <w:rFonts w:ascii="Verdana" w:hAnsi="Verdana"/>
          <w:sz w:val="20"/>
          <w:lang w:val="pt-BR"/>
        </w:rPr>
        <w:t>ao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bas</w:t>
      </w:r>
      <w:r w:rsidRPr="002F50BD">
        <w:rPr>
          <w:rFonts w:ascii="Verdana" w:hAnsi="Verdana"/>
          <w:sz w:val="20"/>
          <w:lang w:val="pt-BR"/>
        </w:rPr>
        <w:t>e</w:t>
      </w:r>
      <w:r w:rsidR="004756C1" w:rsidRPr="002F50BD">
        <w:rPr>
          <w:rFonts w:ascii="Verdana" w:hAnsi="Verdana"/>
          <w:sz w:val="20"/>
          <w:lang w:val="pt-BR"/>
        </w:rPr>
        <w:t>ad</w:t>
      </w:r>
      <w:r w:rsidRPr="002F50BD">
        <w:rPr>
          <w:rFonts w:ascii="Verdana" w:hAnsi="Verdana"/>
          <w:sz w:val="20"/>
          <w:lang w:val="pt-BR"/>
        </w:rPr>
        <w:t>a</w:t>
      </w:r>
      <w:r w:rsidR="0089298C" w:rsidRPr="002F50BD">
        <w:rPr>
          <w:rFonts w:ascii="Verdana" w:hAnsi="Verdana"/>
          <w:sz w:val="20"/>
          <w:lang w:val="pt-BR"/>
        </w:rPr>
        <w:t xml:space="preserve"> em um direito</w:t>
      </w:r>
      <w:r w:rsidR="004756C1" w:rsidRPr="002F50BD">
        <w:rPr>
          <w:rFonts w:ascii="Verdana" w:hAnsi="Verdana"/>
          <w:sz w:val="20"/>
          <w:lang w:val="pt-BR"/>
        </w:rPr>
        <w:t xml:space="preserve"> histórico”</w:t>
      </w:r>
      <w:r w:rsidR="0089298C" w:rsidRPr="002F50BD">
        <w:rPr>
          <w:rFonts w:ascii="Verdana" w:hAnsi="Verdana"/>
          <w:sz w:val="20"/>
          <w:lang w:val="pt-BR"/>
        </w:rPr>
        <w:t xml:space="preserve"> e </w:t>
      </w:r>
      <w:r w:rsidR="00AB454A" w:rsidRPr="002F50BD">
        <w:rPr>
          <w:rFonts w:ascii="Verdana" w:hAnsi="Verdana"/>
          <w:sz w:val="20"/>
          <w:lang w:val="pt-BR"/>
        </w:rPr>
        <w:t>acrescentou</w:t>
      </w:r>
      <w:r w:rsidR="004756C1" w:rsidRPr="002F50BD">
        <w:rPr>
          <w:rFonts w:ascii="Verdana" w:hAnsi="Verdana"/>
          <w:sz w:val="20"/>
          <w:lang w:val="pt-BR"/>
        </w:rPr>
        <w:t xml:space="preserve"> que “</w:t>
      </w:r>
      <w:r w:rsidR="0089298C" w:rsidRPr="002F50BD">
        <w:rPr>
          <w:rFonts w:ascii="Verdana" w:hAnsi="Verdana"/>
          <w:sz w:val="20"/>
          <w:lang w:val="pt-BR"/>
        </w:rPr>
        <w:t xml:space="preserve">ainda que </w:t>
      </w:r>
      <w:r w:rsidRPr="002F50BD">
        <w:rPr>
          <w:rFonts w:ascii="Verdana" w:hAnsi="Verdana"/>
          <w:sz w:val="20"/>
          <w:lang w:val="pt-BR"/>
        </w:rPr>
        <w:t>de</w:t>
      </w:r>
      <w:r w:rsidR="0089298C" w:rsidRPr="002F50BD">
        <w:rPr>
          <w:rFonts w:ascii="Verdana" w:hAnsi="Verdana"/>
          <w:sz w:val="20"/>
          <w:lang w:val="pt-BR"/>
        </w:rPr>
        <w:t xml:space="preserve"> </w:t>
      </w:r>
      <w:r w:rsidR="004756C1" w:rsidRPr="002F50BD">
        <w:rPr>
          <w:rFonts w:ascii="Verdana" w:hAnsi="Verdana"/>
          <w:sz w:val="20"/>
          <w:lang w:val="pt-BR"/>
        </w:rPr>
        <w:t>forma genérica se re</w:t>
      </w:r>
      <w:r w:rsidR="0089298C" w:rsidRPr="002F50BD">
        <w:rPr>
          <w:rFonts w:ascii="Verdana" w:hAnsi="Verdana"/>
          <w:sz w:val="20"/>
          <w:lang w:val="pt-BR"/>
        </w:rPr>
        <w:t>conhe</w:t>
      </w:r>
      <w:r w:rsidR="0052705C" w:rsidRPr="002F50BD">
        <w:rPr>
          <w:rFonts w:ascii="Verdana" w:hAnsi="Verdana"/>
          <w:sz w:val="20"/>
          <w:lang w:val="pt-BR"/>
        </w:rPr>
        <w:t>ça</w:t>
      </w:r>
      <w:r w:rsidR="0089298C" w:rsidRPr="002F50BD">
        <w:rPr>
          <w:rFonts w:ascii="Verdana" w:hAnsi="Verdana"/>
          <w:sz w:val="20"/>
          <w:lang w:val="pt-BR"/>
        </w:rPr>
        <w:t xml:space="preserve"> 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ancestral</w:t>
      </w:r>
      <w:r w:rsidR="0089298C" w:rsidRPr="002F50BD">
        <w:rPr>
          <w:rFonts w:ascii="Verdana" w:hAnsi="Verdana"/>
          <w:sz w:val="20"/>
          <w:lang w:val="pt-BR"/>
        </w:rPr>
        <w:t xml:space="preserve"> dos </w:t>
      </w:r>
      <w:r w:rsidR="004756C1" w:rsidRPr="002F50BD">
        <w:rPr>
          <w:rFonts w:ascii="Verdana" w:hAnsi="Verdana"/>
          <w:sz w:val="20"/>
          <w:lang w:val="pt-BR"/>
        </w:rPr>
        <w:t xml:space="preserve">indígenas a </w:t>
      </w:r>
      <w:r w:rsidR="00A50140" w:rsidRPr="002F50BD">
        <w:rPr>
          <w:rFonts w:ascii="Verdana" w:hAnsi="Verdana"/>
          <w:sz w:val="20"/>
          <w:lang w:val="pt-BR"/>
        </w:rPr>
        <w:t>suas terras</w:t>
      </w:r>
      <w:r w:rsidR="004756C1" w:rsidRPr="002F50BD">
        <w:rPr>
          <w:rFonts w:ascii="Verdana" w:hAnsi="Verdana"/>
          <w:sz w:val="20"/>
          <w:lang w:val="pt-BR"/>
        </w:rPr>
        <w:t>[,]</w:t>
      </w:r>
      <w:r w:rsidR="0089298C" w:rsidRPr="002F50BD">
        <w:rPr>
          <w:rFonts w:ascii="Verdana" w:hAnsi="Verdana"/>
          <w:sz w:val="20"/>
          <w:lang w:val="pt-BR"/>
        </w:rPr>
        <w:t xml:space="preserve"> é </w:t>
      </w:r>
      <w:r w:rsidR="0052705C" w:rsidRPr="002F50BD">
        <w:rPr>
          <w:rFonts w:ascii="Verdana" w:hAnsi="Verdana"/>
          <w:sz w:val="20"/>
          <w:lang w:val="pt-BR"/>
        </w:rPr>
        <w:t>necessário</w:t>
      </w:r>
      <w:r w:rsidR="004756C1" w:rsidRPr="002F50BD">
        <w:rPr>
          <w:rFonts w:ascii="Verdana" w:hAnsi="Verdana"/>
          <w:sz w:val="20"/>
          <w:lang w:val="pt-BR"/>
        </w:rPr>
        <w:t xml:space="preserve"> que</w:t>
      </w:r>
      <w:r w:rsidR="0089298C" w:rsidRPr="002F50BD">
        <w:rPr>
          <w:rFonts w:ascii="Verdana" w:hAnsi="Verdana"/>
          <w:sz w:val="20"/>
          <w:lang w:val="pt-BR"/>
        </w:rPr>
        <w:t xml:space="preserve"> os </w:t>
      </w:r>
      <w:r w:rsidR="004756C1" w:rsidRPr="002F50BD">
        <w:rPr>
          <w:rFonts w:ascii="Verdana" w:hAnsi="Verdana"/>
          <w:sz w:val="20"/>
          <w:lang w:val="pt-BR"/>
        </w:rPr>
        <w:t>indígenas est</w:t>
      </w:r>
      <w:r w:rsidRPr="002F50BD">
        <w:rPr>
          <w:rFonts w:ascii="Verdana" w:hAnsi="Verdana"/>
          <w:sz w:val="20"/>
          <w:lang w:val="pt-BR"/>
        </w:rPr>
        <w:t>ejam</w:t>
      </w:r>
      <w:r w:rsidR="0089298C" w:rsidRPr="002F50BD">
        <w:rPr>
          <w:rFonts w:ascii="Verdana" w:hAnsi="Verdana"/>
          <w:sz w:val="20"/>
          <w:lang w:val="pt-BR"/>
        </w:rPr>
        <w:t xml:space="preserve"> em </w:t>
      </w:r>
      <w:r w:rsidR="00A50140" w:rsidRPr="002F50BD">
        <w:rPr>
          <w:rFonts w:ascii="Verdana" w:hAnsi="Verdana"/>
          <w:sz w:val="20"/>
          <w:lang w:val="pt-BR"/>
        </w:rPr>
        <w:t>posse</w:t>
      </w:r>
      <w:r w:rsidR="0089298C" w:rsidRPr="002F50BD">
        <w:rPr>
          <w:rFonts w:ascii="Verdana" w:hAnsi="Verdana"/>
          <w:sz w:val="20"/>
          <w:lang w:val="pt-BR"/>
        </w:rPr>
        <w:t xml:space="preserve"> e </w:t>
      </w:r>
      <w:r w:rsidR="004756C1" w:rsidRPr="002F50BD">
        <w:rPr>
          <w:rFonts w:ascii="Verdana" w:hAnsi="Verdana"/>
          <w:sz w:val="20"/>
          <w:lang w:val="pt-BR"/>
        </w:rPr>
        <w:t>conviva</w:t>
      </w:r>
      <w:r w:rsidRPr="002F50BD">
        <w:rPr>
          <w:rFonts w:ascii="Verdana" w:hAnsi="Verdana"/>
          <w:sz w:val="20"/>
          <w:lang w:val="pt-BR"/>
        </w:rPr>
        <w:t>m</w:t>
      </w:r>
      <w:r w:rsidR="0089298C" w:rsidRPr="002F50BD">
        <w:rPr>
          <w:rFonts w:ascii="Verdana" w:hAnsi="Verdana"/>
          <w:sz w:val="20"/>
          <w:lang w:val="pt-BR"/>
        </w:rPr>
        <w:t xml:space="preserve"> em comunidade </w:t>
      </w:r>
      <w:r w:rsidR="004756C1" w:rsidRPr="002F50BD">
        <w:rPr>
          <w:rFonts w:ascii="Verdana" w:hAnsi="Verdana"/>
          <w:sz w:val="20"/>
          <w:lang w:val="pt-BR"/>
        </w:rPr>
        <w:t xml:space="preserve">dentro </w:t>
      </w:r>
      <w:r w:rsidR="0089298C" w:rsidRPr="002F50BD">
        <w:rPr>
          <w:rFonts w:ascii="Verdana" w:hAnsi="Verdana"/>
          <w:sz w:val="20"/>
          <w:lang w:val="pt-BR"/>
        </w:rPr>
        <w:t>dessa terra</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 incorporad</w:t>
      </w:r>
      <w:r w:rsidR="007043AA" w:rsidRPr="002F50BD">
        <w:rPr>
          <w:rFonts w:ascii="Verdana" w:hAnsi="Verdana"/>
          <w:sz w:val="20"/>
          <w:lang w:val="pt-BR"/>
        </w:rPr>
        <w:t>a</w:t>
      </w:r>
      <w:r w:rsidR="0089298C" w:rsidRPr="002F50BD">
        <w:rPr>
          <w:rFonts w:ascii="Verdana" w:hAnsi="Verdana"/>
          <w:sz w:val="20"/>
          <w:lang w:val="pt-BR"/>
        </w:rPr>
        <w:t xml:space="preserve"> ao direito</w:t>
      </w:r>
      <w:r w:rsidR="004756C1" w:rsidRPr="002F50BD">
        <w:rPr>
          <w:rFonts w:ascii="Verdana" w:hAnsi="Verdana"/>
          <w:sz w:val="20"/>
          <w:lang w:val="pt-BR"/>
        </w:rPr>
        <w:t xml:space="preserve"> interno </w:t>
      </w:r>
      <w:r w:rsidR="007043AA"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 xml:space="preserve">o </w:t>
      </w:r>
      <w:r w:rsidR="007043AA" w:rsidRPr="002F50BD">
        <w:rPr>
          <w:rFonts w:ascii="Verdana" w:hAnsi="Verdana"/>
          <w:sz w:val="20"/>
          <w:lang w:val="pt-BR"/>
        </w:rPr>
        <w:t>por meio d</w:t>
      </w:r>
      <w:r w:rsidR="0089298C" w:rsidRPr="002F50BD">
        <w:rPr>
          <w:rFonts w:ascii="Verdana" w:hAnsi="Verdana"/>
          <w:sz w:val="20"/>
          <w:lang w:val="pt-BR"/>
        </w:rPr>
        <w:t>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234</w:t>
      </w:r>
      <w:r w:rsidR="004756C1" w:rsidRPr="002F50BD">
        <w:rPr>
          <w:rFonts w:ascii="Verdana" w:hAnsi="Verdana"/>
          <w:sz w:val="20"/>
          <w:lang w:val="pt-BR"/>
        </w:rPr>
        <w:t>/</w:t>
      </w:r>
      <w:r w:rsidR="00063B47" w:rsidRPr="002F50BD">
        <w:rPr>
          <w:rFonts w:ascii="Verdana" w:hAnsi="Verdana"/>
          <w:sz w:val="20"/>
          <w:lang w:val="pt-BR"/>
        </w:rPr>
        <w:t>93</w:t>
      </w:r>
      <w:r w:rsidR="004756C1" w:rsidRPr="002F50BD">
        <w:rPr>
          <w:rFonts w:ascii="Verdana" w:hAnsi="Verdana"/>
          <w:sz w:val="20"/>
          <w:lang w:val="pt-BR"/>
        </w:rPr>
        <w:t>,</w:t>
      </w:r>
      <w:r w:rsidR="0089298C" w:rsidRPr="002F50BD">
        <w:rPr>
          <w:rFonts w:ascii="Verdana" w:hAnsi="Verdana"/>
          <w:sz w:val="20"/>
          <w:lang w:val="pt-BR"/>
        </w:rPr>
        <w:t xml:space="preserve"> em seu artigo </w:t>
      </w:r>
      <w:r w:rsidR="00063B47" w:rsidRPr="002F50BD">
        <w:rPr>
          <w:rFonts w:ascii="Verdana" w:hAnsi="Verdana"/>
          <w:sz w:val="20"/>
          <w:lang w:val="pt-BR"/>
        </w:rPr>
        <w:t>14</w:t>
      </w:r>
      <w:r w:rsidR="004756C1" w:rsidRPr="002F50BD">
        <w:rPr>
          <w:rFonts w:ascii="Verdana" w:hAnsi="Verdana"/>
          <w:sz w:val="20"/>
          <w:lang w:val="pt-BR"/>
        </w:rPr>
        <w:t>.</w:t>
      </w:r>
      <w:r w:rsidR="00063B47" w:rsidRPr="002F50BD">
        <w:rPr>
          <w:rFonts w:ascii="Verdana" w:hAnsi="Verdana"/>
          <w:sz w:val="20"/>
          <w:lang w:val="pt-BR"/>
        </w:rPr>
        <w:t>3</w:t>
      </w:r>
      <w:r w:rsidR="004756C1" w:rsidRPr="002F50BD">
        <w:rPr>
          <w:rFonts w:ascii="Verdana" w:hAnsi="Verdana"/>
          <w:sz w:val="20"/>
          <w:lang w:val="pt-BR"/>
        </w:rPr>
        <w:t xml:space="preserve"> </w:t>
      </w:r>
      <w:r w:rsidR="0089298C" w:rsidRPr="002F50BD">
        <w:rPr>
          <w:rFonts w:ascii="Verdana" w:hAnsi="Verdana"/>
          <w:sz w:val="20"/>
          <w:lang w:val="pt-BR"/>
        </w:rPr>
        <w:t>dispõe</w:t>
      </w:r>
      <w:r w:rsidR="004756C1" w:rsidRPr="002F50BD">
        <w:rPr>
          <w:rFonts w:ascii="Verdana" w:hAnsi="Verdana"/>
          <w:sz w:val="20"/>
          <w:lang w:val="pt-BR"/>
        </w:rPr>
        <w:t xml:space="preserve"> que</w:t>
      </w:r>
      <w:r w:rsidR="006603BE" w:rsidRPr="002F50BD">
        <w:rPr>
          <w:rFonts w:ascii="Verdana" w:hAnsi="Verdana"/>
          <w:sz w:val="20"/>
          <w:lang w:val="pt-BR"/>
        </w:rPr>
        <w:t>:</w:t>
      </w:r>
    </w:p>
    <w:p w:rsidR="004756C1" w:rsidRPr="002F50BD" w:rsidRDefault="004756C1">
      <w:pPr>
        <w:ind w:left="720" w:right="720"/>
        <w:jc w:val="both"/>
        <w:rPr>
          <w:rFonts w:ascii="Verdana" w:eastAsia="Times New Roman" w:hAnsi="Verdana"/>
          <w:sz w:val="20"/>
          <w:szCs w:val="32"/>
          <w:lang w:val="pt-BR"/>
        </w:rPr>
      </w:pPr>
    </w:p>
    <w:p w:rsidR="004756C1" w:rsidRPr="002F50BD" w:rsidRDefault="004756C1" w:rsidP="007043AA">
      <w:pPr>
        <w:ind w:left="720" w:right="720"/>
        <w:jc w:val="both"/>
        <w:rPr>
          <w:rFonts w:ascii="Verdana" w:hAnsi="Verdana"/>
          <w:i/>
          <w:sz w:val="16"/>
          <w:lang w:val="pt-BR"/>
        </w:rPr>
      </w:pPr>
      <w:r w:rsidRPr="002F50BD">
        <w:rPr>
          <w:rFonts w:ascii="Verdana" w:eastAsia="Times New Roman" w:hAnsi="Verdana"/>
          <w:sz w:val="16"/>
          <w:szCs w:val="32"/>
          <w:lang w:val="pt-BR"/>
        </w:rPr>
        <w:t>[d]</w:t>
      </w:r>
      <w:r w:rsidR="007043AA" w:rsidRPr="002F50BD">
        <w:rPr>
          <w:rFonts w:ascii="Verdana" w:eastAsia="Times New Roman" w:hAnsi="Verdana"/>
          <w:sz w:val="16"/>
          <w:szCs w:val="32"/>
          <w:lang w:val="pt-BR"/>
        </w:rPr>
        <w:t>everão ser instituídos procedimentos adequados no âmbito do sistema jurídico nacional para solucionar as reivindicações de terras formuladas pelos povos interessados</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Esta norma internacional,</w:t>
      </w:r>
      <w:r w:rsidR="0089298C" w:rsidRPr="002F50BD">
        <w:rPr>
          <w:rFonts w:ascii="Verdana" w:hAnsi="Verdana"/>
          <w:sz w:val="20"/>
          <w:lang w:val="pt-BR"/>
        </w:rPr>
        <w:t xml:space="preserve"> em </w:t>
      </w:r>
      <w:r w:rsidR="007043AA" w:rsidRPr="002F50BD">
        <w:rPr>
          <w:rFonts w:ascii="Verdana" w:hAnsi="Verdana"/>
          <w:sz w:val="20"/>
          <w:lang w:val="pt-BR"/>
        </w:rPr>
        <w:t xml:space="preserve">consoância </w:t>
      </w:r>
      <w:r w:rsidR="0089298C" w:rsidRPr="002F50BD">
        <w:rPr>
          <w:rFonts w:ascii="Verdana" w:hAnsi="Verdana"/>
          <w:sz w:val="20"/>
          <w:lang w:val="pt-BR"/>
        </w:rPr>
        <w:t>com os artigo</w:t>
      </w:r>
      <w:r w:rsidRPr="002F50BD">
        <w:rPr>
          <w:rFonts w:ascii="Verdana" w:hAnsi="Verdana"/>
          <w:sz w:val="20"/>
          <w:lang w:val="pt-BR"/>
        </w:rPr>
        <w:t xml:space="preserve">s </w:t>
      </w:r>
      <w:r w:rsidR="00063B47" w:rsidRPr="002F50BD">
        <w:rPr>
          <w:rFonts w:ascii="Verdana" w:hAnsi="Verdana"/>
          <w:sz w:val="20"/>
          <w:lang w:val="pt-BR"/>
        </w:rPr>
        <w:t>8</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Americana, </w:t>
      </w:r>
      <w:r w:rsidR="006603BE" w:rsidRPr="002F50BD">
        <w:rPr>
          <w:rFonts w:ascii="Verdana" w:hAnsi="Verdana"/>
          <w:sz w:val="20"/>
          <w:lang w:val="pt-BR"/>
        </w:rPr>
        <w:t>obriga</w:t>
      </w:r>
      <w:r w:rsidR="0089298C" w:rsidRPr="002F50BD">
        <w:rPr>
          <w:rFonts w:ascii="Verdana" w:hAnsi="Verdana"/>
          <w:sz w:val="20"/>
          <w:lang w:val="pt-BR"/>
        </w:rPr>
        <w:t xml:space="preserve"> o </w:t>
      </w:r>
      <w:r w:rsidRPr="002F50BD">
        <w:rPr>
          <w:rFonts w:ascii="Verdana" w:hAnsi="Verdana"/>
          <w:sz w:val="20"/>
          <w:lang w:val="pt-BR"/>
        </w:rPr>
        <w:t xml:space="preserve">Estado a </w:t>
      </w:r>
      <w:r w:rsidR="0089298C" w:rsidRPr="002F50BD">
        <w:rPr>
          <w:rFonts w:ascii="Verdana" w:hAnsi="Verdana"/>
          <w:sz w:val="20"/>
          <w:lang w:val="pt-BR"/>
        </w:rPr>
        <w:t>oferece</w:t>
      </w:r>
      <w:r w:rsidRPr="002F50BD">
        <w:rPr>
          <w:rFonts w:ascii="Verdana" w:hAnsi="Verdana"/>
          <w:sz w:val="20"/>
          <w:lang w:val="pt-BR"/>
        </w:rPr>
        <w:t>r</w:t>
      </w:r>
      <w:r w:rsidR="0089298C" w:rsidRPr="002F50BD">
        <w:rPr>
          <w:rFonts w:ascii="Verdana" w:hAnsi="Verdana"/>
          <w:sz w:val="20"/>
          <w:lang w:val="pt-BR"/>
        </w:rPr>
        <w:t xml:space="preserve"> um </w:t>
      </w:r>
      <w:r w:rsidRPr="002F50BD">
        <w:rPr>
          <w:rFonts w:ascii="Verdana" w:hAnsi="Verdana"/>
          <w:sz w:val="20"/>
          <w:lang w:val="pt-BR"/>
        </w:rPr>
        <w:t>recurso eficaz</w:t>
      </w:r>
      <w:r w:rsidR="006603BE" w:rsidRPr="002F50BD">
        <w:rPr>
          <w:rFonts w:ascii="Verdana" w:hAnsi="Verdana"/>
          <w:sz w:val="20"/>
          <w:lang w:val="pt-BR"/>
        </w:rPr>
        <w:t>,</w:t>
      </w:r>
      <w:r w:rsidR="0089298C" w:rsidRPr="002F50BD">
        <w:rPr>
          <w:rFonts w:ascii="Verdana" w:hAnsi="Verdana"/>
          <w:sz w:val="20"/>
          <w:lang w:val="pt-BR"/>
        </w:rPr>
        <w:t xml:space="preserve"> com as garantias</w:t>
      </w:r>
      <w:r w:rsidRPr="002F50BD">
        <w:rPr>
          <w:rFonts w:ascii="Verdana" w:hAnsi="Verdana"/>
          <w:sz w:val="20"/>
          <w:lang w:val="pt-BR"/>
        </w:rPr>
        <w:t xml:space="preserve"> </w:t>
      </w:r>
      <w:r w:rsidR="0089298C" w:rsidRPr="002F50BD">
        <w:rPr>
          <w:rFonts w:ascii="Verdana" w:hAnsi="Verdana"/>
          <w:sz w:val="20"/>
          <w:lang w:val="pt-BR"/>
        </w:rPr>
        <w:t>do devido</w:t>
      </w:r>
      <w:r w:rsidRPr="002F50BD">
        <w:rPr>
          <w:rFonts w:ascii="Verdana" w:hAnsi="Verdana"/>
          <w:sz w:val="20"/>
          <w:lang w:val="pt-BR"/>
        </w:rPr>
        <w:t xml:space="preserve"> </w:t>
      </w:r>
      <w:r w:rsidR="0089298C" w:rsidRPr="002F50BD">
        <w:rPr>
          <w:rFonts w:ascii="Verdana" w:hAnsi="Verdana"/>
          <w:sz w:val="20"/>
          <w:lang w:val="pt-BR"/>
        </w:rPr>
        <w:t>processo</w:t>
      </w:r>
      <w:r w:rsidR="0052705C" w:rsidRPr="002F50BD">
        <w:rPr>
          <w:rFonts w:ascii="Verdana" w:hAnsi="Verdana"/>
          <w:sz w:val="20"/>
          <w:lang w:val="pt-BR"/>
        </w:rPr>
        <w:t>,</w:t>
      </w:r>
      <w:r w:rsidR="0089298C" w:rsidRPr="002F50BD">
        <w:rPr>
          <w:rFonts w:ascii="Verdana" w:hAnsi="Verdana"/>
          <w:sz w:val="20"/>
          <w:lang w:val="pt-BR"/>
        </w:rPr>
        <w:t xml:space="preserve"> aos membro</w:t>
      </w:r>
      <w:r w:rsidRPr="002F50BD">
        <w:rPr>
          <w:rFonts w:ascii="Verdana" w:hAnsi="Verdana"/>
          <w:sz w:val="20"/>
          <w:lang w:val="pt-BR"/>
        </w:rPr>
        <w:t>s</w:t>
      </w:r>
      <w:r w:rsidR="0089298C" w:rsidRPr="002F50BD">
        <w:rPr>
          <w:rFonts w:ascii="Verdana" w:hAnsi="Verdana"/>
          <w:sz w:val="20"/>
          <w:lang w:val="pt-BR"/>
        </w:rPr>
        <w:t xml:space="preserve"> das </w:t>
      </w:r>
      <w:r w:rsidRPr="002F50BD">
        <w:rPr>
          <w:rFonts w:ascii="Verdana" w:hAnsi="Verdana"/>
          <w:sz w:val="20"/>
          <w:lang w:val="pt-BR"/>
        </w:rPr>
        <w:t>comunidades indígenas que</w:t>
      </w:r>
      <w:r w:rsidR="0089298C" w:rsidRPr="002F50BD">
        <w:rPr>
          <w:rFonts w:ascii="Verdana" w:hAnsi="Verdana"/>
          <w:sz w:val="20"/>
          <w:lang w:val="pt-BR"/>
        </w:rPr>
        <w:t xml:space="preserve"> lhes </w:t>
      </w:r>
      <w:r w:rsidRPr="002F50BD">
        <w:rPr>
          <w:rFonts w:ascii="Verdana" w:hAnsi="Verdana"/>
          <w:sz w:val="20"/>
          <w:lang w:val="pt-BR"/>
        </w:rPr>
        <w:t xml:space="preserve">permita </w:t>
      </w:r>
      <w:r w:rsidR="007043AA" w:rsidRPr="002F50BD">
        <w:rPr>
          <w:rFonts w:ascii="Verdana" w:hAnsi="Verdana"/>
          <w:sz w:val="20"/>
          <w:lang w:val="pt-BR"/>
        </w:rPr>
        <w:t xml:space="preserve">realizar </w:t>
      </w:r>
      <w:r w:rsidR="0089298C" w:rsidRPr="002F50BD">
        <w:rPr>
          <w:rFonts w:ascii="Verdana" w:hAnsi="Verdana"/>
          <w:sz w:val="20"/>
          <w:lang w:val="pt-BR"/>
        </w:rPr>
        <w:t xml:space="preserve">as </w:t>
      </w:r>
      <w:r w:rsidRPr="002F50BD">
        <w:rPr>
          <w:rFonts w:ascii="Verdana" w:hAnsi="Verdana"/>
          <w:sz w:val="20"/>
          <w:lang w:val="pt-BR"/>
        </w:rPr>
        <w:t>reivindica</w:t>
      </w:r>
      <w:r w:rsidR="0089298C" w:rsidRPr="002F50BD">
        <w:rPr>
          <w:rFonts w:ascii="Verdana" w:hAnsi="Verdana"/>
          <w:sz w:val="20"/>
          <w:lang w:val="pt-BR"/>
        </w:rPr>
        <w:t>ções</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 xml:space="preserve">s </w:t>
      </w:r>
      <w:r w:rsidR="00AB454A" w:rsidRPr="002F50BD">
        <w:rPr>
          <w:rFonts w:ascii="Verdana" w:hAnsi="Verdana"/>
          <w:sz w:val="20"/>
          <w:lang w:val="pt-BR"/>
        </w:rPr>
        <w:t>ancestrais</w:t>
      </w:r>
      <w:r w:rsidRPr="002F50BD">
        <w:rPr>
          <w:rFonts w:ascii="Verdana" w:hAnsi="Verdana"/>
          <w:sz w:val="20"/>
          <w:lang w:val="pt-BR"/>
        </w:rPr>
        <w:t xml:space="preserve">, como </w:t>
      </w:r>
      <w:r w:rsidR="0089298C" w:rsidRPr="002F50BD">
        <w:rPr>
          <w:rFonts w:ascii="Verdana" w:hAnsi="Verdana"/>
          <w:sz w:val="20"/>
          <w:lang w:val="pt-BR"/>
        </w:rPr>
        <w:t xml:space="preserve">garantia </w:t>
      </w:r>
      <w:r w:rsidRPr="002F50BD">
        <w:rPr>
          <w:rFonts w:ascii="Verdana" w:hAnsi="Verdana"/>
          <w:sz w:val="20"/>
          <w:lang w:val="pt-BR"/>
        </w:rPr>
        <w:t xml:space="preserve">de </w:t>
      </w:r>
      <w:r w:rsidR="0089298C" w:rsidRPr="002F50BD">
        <w:rPr>
          <w:rFonts w:ascii="Verdana" w:hAnsi="Verdana"/>
          <w:sz w:val="20"/>
          <w:lang w:val="pt-BR"/>
        </w:rPr>
        <w:t>seu direito à propriedade</w:t>
      </w:r>
      <w:r w:rsidRPr="002F50BD">
        <w:rPr>
          <w:rFonts w:ascii="Verdana" w:hAnsi="Verdana"/>
          <w:sz w:val="20"/>
          <w:lang w:val="pt-BR"/>
        </w:rPr>
        <w:t xml:space="preserve"> comunal.</w:t>
      </w:r>
    </w:p>
    <w:p w:rsidR="004756C1" w:rsidRPr="002F50BD" w:rsidRDefault="004756C1">
      <w:pPr>
        <w:jc w:val="both"/>
        <w:rPr>
          <w:rFonts w:ascii="Verdana" w:hAnsi="Verdana"/>
          <w:sz w:val="20"/>
          <w:lang w:val="pt-BR"/>
        </w:rPr>
      </w:pPr>
    </w:p>
    <w:p w:rsidR="004756C1" w:rsidRPr="002F50BD" w:rsidRDefault="00AB6727">
      <w:pPr>
        <w:numPr>
          <w:ilvl w:val="0"/>
          <w:numId w:val="28"/>
        </w:numPr>
        <w:jc w:val="both"/>
        <w:rPr>
          <w:rFonts w:ascii="Verdana" w:hAnsi="Verdana"/>
          <w:sz w:val="20"/>
          <w:lang w:val="pt-BR"/>
        </w:rPr>
      </w:pPr>
      <w:r w:rsidRPr="002F50BD">
        <w:rPr>
          <w:rFonts w:ascii="Verdana" w:hAnsi="Verdana"/>
          <w:sz w:val="20"/>
          <w:lang w:val="pt-BR"/>
        </w:rPr>
        <w:t xml:space="preserve">Os </w:t>
      </w:r>
      <w:r w:rsidR="0089298C" w:rsidRPr="002F50BD">
        <w:rPr>
          <w:rFonts w:ascii="Verdana" w:hAnsi="Verdana"/>
          <w:sz w:val="20"/>
          <w:lang w:val="pt-BR"/>
        </w:rPr>
        <w:t>procedimento</w:t>
      </w:r>
      <w:r w:rsidR="004756C1" w:rsidRPr="002F50BD">
        <w:rPr>
          <w:rFonts w:ascii="Verdana" w:hAnsi="Verdana"/>
          <w:sz w:val="20"/>
          <w:lang w:val="pt-BR"/>
        </w:rPr>
        <w:t xml:space="preserve">s </w:t>
      </w:r>
      <w:r w:rsidR="0089298C" w:rsidRPr="002F50BD">
        <w:rPr>
          <w:rFonts w:ascii="Verdana" w:hAnsi="Verdana"/>
          <w:sz w:val="20"/>
          <w:lang w:val="pt-BR"/>
        </w:rPr>
        <w:t>estabelecid</w:t>
      </w:r>
      <w:r w:rsidR="004756C1" w:rsidRPr="002F50BD">
        <w:rPr>
          <w:rFonts w:ascii="Verdana" w:hAnsi="Verdana"/>
          <w:sz w:val="20"/>
          <w:lang w:val="pt-BR"/>
        </w:rPr>
        <w:t>os</w:t>
      </w:r>
      <w:r w:rsidR="0089298C" w:rsidRPr="002F50BD">
        <w:rPr>
          <w:rFonts w:ascii="Verdana" w:hAnsi="Verdana"/>
          <w:sz w:val="20"/>
          <w:lang w:val="pt-BR"/>
        </w:rPr>
        <w:t xml:space="preserv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854</w:t>
      </w:r>
      <w:r w:rsidR="004756C1" w:rsidRPr="002F50BD">
        <w:rPr>
          <w:rFonts w:ascii="Verdana" w:hAnsi="Verdana"/>
          <w:sz w:val="20"/>
          <w:lang w:val="pt-BR"/>
        </w:rPr>
        <w:t>/</w:t>
      </w:r>
      <w:r w:rsidR="00063B47" w:rsidRPr="002F50BD">
        <w:rPr>
          <w:rFonts w:ascii="Verdana" w:hAnsi="Verdana"/>
          <w:sz w:val="20"/>
          <w:lang w:val="pt-BR"/>
        </w:rPr>
        <w:t>63</w:t>
      </w:r>
      <w:r w:rsidR="0089298C" w:rsidRPr="002F50BD">
        <w:rPr>
          <w:rFonts w:ascii="Verdana" w:hAnsi="Verdana"/>
          <w:sz w:val="20"/>
          <w:lang w:val="pt-BR"/>
        </w:rPr>
        <w:t xml:space="preserve"> e na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 xml:space="preserve"> </w:t>
      </w:r>
      <w:r w:rsidR="0089298C" w:rsidRPr="002F50BD">
        <w:rPr>
          <w:rFonts w:ascii="Verdana" w:hAnsi="Verdana"/>
          <w:sz w:val="20"/>
          <w:lang w:val="pt-BR"/>
        </w:rPr>
        <w:t>unicamente</w:t>
      </w:r>
      <w:r w:rsidR="004756C1" w:rsidRPr="002F50BD">
        <w:rPr>
          <w:rFonts w:ascii="Verdana" w:hAnsi="Verdana"/>
          <w:sz w:val="20"/>
          <w:lang w:val="pt-BR"/>
        </w:rPr>
        <w:t xml:space="preserve"> </w:t>
      </w:r>
      <w:r w:rsidR="0089298C" w:rsidRPr="002F50BD">
        <w:rPr>
          <w:rFonts w:ascii="Verdana" w:hAnsi="Verdana"/>
          <w:sz w:val="20"/>
          <w:lang w:val="pt-BR"/>
        </w:rPr>
        <w:t xml:space="preserve">permitem ao </w:t>
      </w:r>
      <w:r w:rsidR="004756C1" w:rsidRPr="002F50BD">
        <w:rPr>
          <w:rFonts w:ascii="Verdana" w:hAnsi="Verdana"/>
          <w:sz w:val="20"/>
          <w:lang w:val="pt-BR"/>
        </w:rPr>
        <w:t>IBR</w:t>
      </w:r>
      <w:r w:rsidR="0089298C" w:rsidRPr="002F50BD">
        <w:rPr>
          <w:rFonts w:ascii="Verdana" w:hAnsi="Verdana"/>
          <w:sz w:val="20"/>
          <w:lang w:val="pt-BR"/>
        </w:rPr>
        <w:t xml:space="preserve"> e ao </w:t>
      </w:r>
      <w:r w:rsidR="004756C1" w:rsidRPr="002F50BD">
        <w:rPr>
          <w:rFonts w:ascii="Verdana" w:hAnsi="Verdana"/>
          <w:sz w:val="20"/>
          <w:lang w:val="pt-BR"/>
        </w:rPr>
        <w:t xml:space="preserve">INDI, respectivamente, </w:t>
      </w:r>
      <w:r w:rsidR="004076AD" w:rsidRPr="002F50BD">
        <w:rPr>
          <w:rFonts w:ascii="Verdana" w:hAnsi="Verdana"/>
          <w:sz w:val="20"/>
          <w:lang w:val="pt-BR"/>
        </w:rPr>
        <w:t>dispor</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007043AA" w:rsidRPr="002F50BD">
        <w:rPr>
          <w:rFonts w:ascii="Verdana" w:hAnsi="Verdana"/>
          <w:sz w:val="20"/>
          <w:lang w:val="pt-BR"/>
        </w:rPr>
        <w:t>públicas</w:t>
      </w:r>
      <w:r w:rsidR="004756C1" w:rsidRPr="002F50BD">
        <w:rPr>
          <w:rFonts w:ascii="Verdana" w:hAnsi="Verdana"/>
          <w:sz w:val="20"/>
          <w:lang w:val="pt-BR"/>
        </w:rPr>
        <w:t>, exprop</w:t>
      </w:r>
      <w:r w:rsidR="007043AA" w:rsidRPr="002F50BD">
        <w:rPr>
          <w:rFonts w:ascii="Verdana" w:hAnsi="Verdana"/>
          <w:sz w:val="20"/>
          <w:lang w:val="pt-BR"/>
        </w:rPr>
        <w:t>r</w:t>
      </w:r>
      <w:r w:rsidR="004756C1" w:rsidRPr="002F50BD">
        <w:rPr>
          <w:rFonts w:ascii="Verdana" w:hAnsi="Verdana"/>
          <w:sz w:val="20"/>
          <w:lang w:val="pt-BR"/>
        </w:rPr>
        <w:t xml:space="preserve">iar </w:t>
      </w:r>
      <w:r w:rsidR="0089298C" w:rsidRPr="002F50BD">
        <w:rPr>
          <w:rFonts w:ascii="Verdana" w:hAnsi="Verdana"/>
          <w:sz w:val="20"/>
          <w:lang w:val="pt-BR"/>
        </w:rPr>
        <w:t>terra</w:t>
      </w:r>
      <w:r w:rsidR="004756C1" w:rsidRPr="002F50BD">
        <w:rPr>
          <w:rFonts w:ascii="Verdana" w:hAnsi="Verdana"/>
          <w:sz w:val="20"/>
          <w:lang w:val="pt-BR"/>
        </w:rPr>
        <w:t xml:space="preserve">s </w:t>
      </w:r>
      <w:r w:rsidR="007043AA" w:rsidRPr="002F50BD">
        <w:rPr>
          <w:rFonts w:ascii="Verdana" w:hAnsi="Verdana"/>
          <w:sz w:val="20"/>
          <w:lang w:val="pt-BR"/>
        </w:rPr>
        <w:t xml:space="preserve">exploradas </w:t>
      </w:r>
      <w:r w:rsidR="004756C1" w:rsidRPr="002F50BD">
        <w:rPr>
          <w:rFonts w:ascii="Verdana" w:hAnsi="Verdana"/>
          <w:sz w:val="20"/>
          <w:lang w:val="pt-BR"/>
        </w:rPr>
        <w:t>irracionalmente o</w:t>
      </w:r>
      <w:r w:rsidR="007043AA" w:rsidRPr="002F50BD">
        <w:rPr>
          <w:rFonts w:ascii="Verdana" w:hAnsi="Verdana"/>
          <w:sz w:val="20"/>
          <w:lang w:val="pt-BR"/>
        </w:rPr>
        <w:t>u</w:t>
      </w:r>
      <w:r w:rsidR="004756C1" w:rsidRPr="002F50BD">
        <w:rPr>
          <w:rFonts w:ascii="Verdana" w:hAnsi="Verdana"/>
          <w:sz w:val="20"/>
          <w:lang w:val="pt-BR"/>
        </w:rPr>
        <w:t xml:space="preserve"> negociar</w:t>
      </w:r>
      <w:r w:rsidR="0089298C" w:rsidRPr="002F50BD">
        <w:rPr>
          <w:rFonts w:ascii="Verdana" w:hAnsi="Verdana"/>
          <w:sz w:val="20"/>
          <w:lang w:val="pt-BR"/>
        </w:rPr>
        <w:t xml:space="preserve"> com os </w:t>
      </w:r>
      <w:r w:rsidR="007801FA" w:rsidRPr="002F50BD">
        <w:rPr>
          <w:rFonts w:ascii="Verdana" w:hAnsi="Verdana"/>
          <w:sz w:val="20"/>
          <w:lang w:val="pt-BR"/>
        </w:rPr>
        <w:t>proprietário</w:t>
      </w:r>
      <w:r w:rsidR="004756C1" w:rsidRPr="002F50BD">
        <w:rPr>
          <w:rFonts w:ascii="Verdana" w:hAnsi="Verdana"/>
          <w:sz w:val="20"/>
          <w:lang w:val="pt-BR"/>
        </w:rPr>
        <w:t xml:space="preserve">s privados, </w:t>
      </w:r>
      <w:r w:rsidR="006603BE" w:rsidRPr="002F50BD">
        <w:rPr>
          <w:rFonts w:ascii="Verdana" w:hAnsi="Verdana"/>
          <w:sz w:val="20"/>
          <w:lang w:val="pt-BR"/>
        </w:rPr>
        <w:t>a fim de</w:t>
      </w:r>
      <w:r w:rsidR="004756C1" w:rsidRPr="002F50BD">
        <w:rPr>
          <w:rFonts w:ascii="Verdana" w:hAnsi="Verdana"/>
          <w:sz w:val="20"/>
          <w:lang w:val="pt-BR"/>
        </w:rPr>
        <w:t xml:space="preserve"> entreg</w:t>
      </w:r>
      <w:r w:rsidR="007043AA" w:rsidRPr="002F50BD">
        <w:rPr>
          <w:rFonts w:ascii="Verdana" w:hAnsi="Verdana"/>
          <w:sz w:val="20"/>
          <w:lang w:val="pt-BR"/>
        </w:rPr>
        <w:t>á-</w:t>
      </w:r>
      <w:r w:rsidR="004756C1" w:rsidRPr="002F50BD">
        <w:rPr>
          <w:rFonts w:ascii="Verdana" w:hAnsi="Verdana"/>
          <w:sz w:val="20"/>
          <w:lang w:val="pt-BR"/>
        </w:rPr>
        <w:t>las</w:t>
      </w:r>
      <w:r w:rsidR="0089298C" w:rsidRPr="002F50BD">
        <w:rPr>
          <w:rFonts w:ascii="Verdana" w:hAnsi="Verdana"/>
          <w:sz w:val="20"/>
          <w:lang w:val="pt-BR"/>
        </w:rPr>
        <w:t xml:space="preserve"> às </w:t>
      </w:r>
      <w:r w:rsidR="004756C1" w:rsidRPr="002F50BD">
        <w:rPr>
          <w:rFonts w:ascii="Verdana" w:hAnsi="Verdana"/>
          <w:sz w:val="20"/>
          <w:lang w:val="pt-BR"/>
        </w:rPr>
        <w:t xml:space="preserve">comunidades indígenas, </w:t>
      </w:r>
      <w:r w:rsidR="0089298C" w:rsidRPr="002F50BD">
        <w:rPr>
          <w:rFonts w:ascii="Verdana" w:hAnsi="Verdana"/>
          <w:sz w:val="20"/>
          <w:lang w:val="pt-BR"/>
        </w:rPr>
        <w:t>mas</w:t>
      </w:r>
      <w:r w:rsidR="004756C1" w:rsidRPr="002F50BD">
        <w:rPr>
          <w:rFonts w:ascii="Verdana" w:hAnsi="Verdana"/>
          <w:sz w:val="20"/>
          <w:lang w:val="pt-BR"/>
        </w:rPr>
        <w:t xml:space="preserve"> </w:t>
      </w:r>
      <w:r w:rsidR="0089298C" w:rsidRPr="002F50BD">
        <w:rPr>
          <w:rFonts w:ascii="Verdana" w:hAnsi="Verdana"/>
          <w:sz w:val="20"/>
          <w:lang w:val="pt-BR"/>
        </w:rPr>
        <w:t xml:space="preserve">quando os </w:t>
      </w:r>
      <w:r w:rsidR="007801FA" w:rsidRPr="002F50BD">
        <w:rPr>
          <w:rFonts w:ascii="Verdana" w:hAnsi="Verdana"/>
          <w:sz w:val="20"/>
          <w:lang w:val="pt-BR"/>
        </w:rPr>
        <w:t>proprietário</w:t>
      </w:r>
      <w:r w:rsidR="004756C1" w:rsidRPr="002F50BD">
        <w:rPr>
          <w:rFonts w:ascii="Verdana" w:hAnsi="Verdana"/>
          <w:sz w:val="20"/>
          <w:lang w:val="pt-BR"/>
        </w:rPr>
        <w:t>s particulares se nega</w:t>
      </w:r>
      <w:r w:rsidR="007043AA" w:rsidRPr="002F50BD">
        <w:rPr>
          <w:rFonts w:ascii="Verdana" w:hAnsi="Verdana"/>
          <w:sz w:val="20"/>
          <w:lang w:val="pt-BR"/>
        </w:rPr>
        <w:t>m</w:t>
      </w:r>
      <w:r w:rsidR="004756C1" w:rsidRPr="002F50BD">
        <w:rPr>
          <w:rFonts w:ascii="Verdana" w:hAnsi="Verdana"/>
          <w:sz w:val="20"/>
          <w:lang w:val="pt-BR"/>
        </w:rPr>
        <w:t xml:space="preserve"> a vender</w:t>
      </w:r>
      <w:r w:rsidR="0089298C" w:rsidRPr="002F50BD">
        <w:rPr>
          <w:rFonts w:ascii="Verdana" w:hAnsi="Verdana"/>
          <w:sz w:val="20"/>
          <w:lang w:val="pt-BR"/>
        </w:rPr>
        <w:t xml:space="preserve"> as terra</w:t>
      </w:r>
      <w:r w:rsidR="004756C1" w:rsidRPr="002F50BD">
        <w:rPr>
          <w:rFonts w:ascii="Verdana" w:hAnsi="Verdana"/>
          <w:sz w:val="20"/>
          <w:lang w:val="pt-BR"/>
        </w:rPr>
        <w:t>s</w:t>
      </w:r>
      <w:r w:rsidR="0089298C" w:rsidRPr="002F50BD">
        <w:rPr>
          <w:rFonts w:ascii="Verdana" w:hAnsi="Verdana"/>
          <w:sz w:val="20"/>
          <w:lang w:val="pt-BR"/>
        </w:rPr>
        <w:t xml:space="preserve"> e </w:t>
      </w:r>
      <w:r w:rsidR="004076AD" w:rsidRPr="002F50BD">
        <w:rPr>
          <w:rFonts w:ascii="Verdana" w:hAnsi="Verdana"/>
          <w:sz w:val="20"/>
          <w:lang w:val="pt-BR"/>
        </w:rPr>
        <w:t>demonstra</w:t>
      </w:r>
      <w:r w:rsidR="0089298C" w:rsidRPr="002F50BD">
        <w:rPr>
          <w:rFonts w:ascii="Verdana" w:hAnsi="Verdana"/>
          <w:sz w:val="20"/>
          <w:lang w:val="pt-BR"/>
        </w:rPr>
        <w:t xml:space="preserve">m a </w:t>
      </w:r>
      <w:r w:rsidR="00AB454A" w:rsidRPr="002F50BD">
        <w:rPr>
          <w:rFonts w:ascii="Verdana" w:hAnsi="Verdana"/>
          <w:sz w:val="20"/>
          <w:lang w:val="pt-BR"/>
        </w:rPr>
        <w:t>exploração</w:t>
      </w:r>
      <w:r w:rsidR="004756C1" w:rsidRPr="002F50BD">
        <w:rPr>
          <w:rFonts w:ascii="Verdana" w:hAnsi="Verdana"/>
          <w:sz w:val="20"/>
          <w:lang w:val="pt-BR"/>
        </w:rPr>
        <w:t xml:space="preserve"> racional</w:t>
      </w:r>
      <w:r w:rsidR="0089298C" w:rsidRPr="002F50BD">
        <w:rPr>
          <w:rFonts w:ascii="Verdana" w:hAnsi="Verdana"/>
          <w:sz w:val="20"/>
          <w:lang w:val="pt-BR"/>
        </w:rPr>
        <w:t xml:space="preserve"> das mesm</w:t>
      </w:r>
      <w:r w:rsidR="004756C1" w:rsidRPr="002F50BD">
        <w:rPr>
          <w:rFonts w:ascii="Verdana" w:hAnsi="Verdana"/>
          <w:sz w:val="20"/>
          <w:lang w:val="pt-BR"/>
        </w:rPr>
        <w:t>as,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das </w:t>
      </w:r>
      <w:r w:rsidR="004756C1" w:rsidRPr="002F50BD">
        <w:rPr>
          <w:rFonts w:ascii="Verdana" w:hAnsi="Verdana"/>
          <w:sz w:val="20"/>
          <w:lang w:val="pt-BR"/>
        </w:rPr>
        <w:t xml:space="preserve">comunidades indígenas </w:t>
      </w:r>
      <w:r w:rsidR="0089298C" w:rsidRPr="002F50BD">
        <w:rPr>
          <w:rFonts w:ascii="Verdana" w:hAnsi="Verdana"/>
          <w:sz w:val="20"/>
          <w:lang w:val="pt-BR"/>
        </w:rPr>
        <w:t xml:space="preserve">não possuem um </w:t>
      </w:r>
      <w:r w:rsidR="004756C1" w:rsidRPr="002F50BD">
        <w:rPr>
          <w:rFonts w:ascii="Verdana" w:hAnsi="Verdana"/>
          <w:sz w:val="20"/>
          <w:lang w:val="pt-BR"/>
        </w:rPr>
        <w:t xml:space="preserve">recurso administrativo </w:t>
      </w:r>
      <w:r w:rsidR="0089298C" w:rsidRPr="002F50BD">
        <w:rPr>
          <w:rFonts w:ascii="Verdana" w:hAnsi="Verdana"/>
          <w:sz w:val="20"/>
          <w:lang w:val="pt-BR"/>
        </w:rPr>
        <w:t>efetiv</w:t>
      </w:r>
      <w:r w:rsidR="004756C1" w:rsidRPr="002F50BD">
        <w:rPr>
          <w:rFonts w:ascii="Verdana" w:hAnsi="Verdana"/>
          <w:sz w:val="20"/>
          <w:lang w:val="pt-BR"/>
        </w:rPr>
        <w:t>o que</w:t>
      </w:r>
      <w:r w:rsidR="0089298C" w:rsidRPr="002F50BD">
        <w:rPr>
          <w:rFonts w:ascii="Verdana" w:hAnsi="Verdana"/>
          <w:sz w:val="20"/>
          <w:lang w:val="pt-BR"/>
        </w:rPr>
        <w:t xml:space="preserve"> lhes </w:t>
      </w:r>
      <w:r w:rsidR="004756C1" w:rsidRPr="002F50BD">
        <w:rPr>
          <w:rFonts w:ascii="Verdana" w:hAnsi="Verdana"/>
          <w:sz w:val="20"/>
          <w:lang w:val="pt-BR"/>
        </w:rPr>
        <w:t>permita reclam</w:t>
      </w:r>
      <w:r w:rsidR="007043AA" w:rsidRPr="002F50BD">
        <w:rPr>
          <w:rFonts w:ascii="Verdana" w:hAnsi="Verdana"/>
          <w:sz w:val="20"/>
          <w:lang w:val="pt-BR"/>
        </w:rPr>
        <w:t>á-las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7043AA">
      <w:pPr>
        <w:numPr>
          <w:ilvl w:val="0"/>
          <w:numId w:val="28"/>
        </w:numPr>
        <w:jc w:val="both"/>
        <w:rPr>
          <w:rFonts w:ascii="Verdana" w:hAnsi="Verdana"/>
          <w:sz w:val="20"/>
          <w:lang w:val="pt-BR"/>
        </w:rPr>
      </w:pPr>
      <w:r w:rsidRPr="002F50BD">
        <w:rPr>
          <w:rFonts w:ascii="Verdana" w:hAnsi="Verdana"/>
          <w:sz w:val="20"/>
          <w:lang w:val="pt-BR"/>
        </w:rPr>
        <w:t xml:space="preserve">Em virtude do </w:t>
      </w:r>
      <w:r w:rsidR="004756C1" w:rsidRPr="002F50BD">
        <w:rPr>
          <w:rFonts w:ascii="Verdana" w:hAnsi="Verdana"/>
          <w:sz w:val="20"/>
          <w:lang w:val="pt-BR"/>
        </w:rPr>
        <w:t xml:space="preserve">anteriormente </w:t>
      </w:r>
      <w:r w:rsidR="0089298C" w:rsidRPr="002F50BD">
        <w:rPr>
          <w:rFonts w:ascii="Verdana" w:hAnsi="Verdana"/>
          <w:sz w:val="20"/>
          <w:lang w:val="pt-BR"/>
        </w:rPr>
        <w:t>expost</w:t>
      </w:r>
      <w:r w:rsidR="004756C1" w:rsidRPr="002F50BD">
        <w:rPr>
          <w:rFonts w:ascii="Verdana" w:hAnsi="Verdana"/>
          <w:sz w:val="20"/>
          <w:lang w:val="pt-BR"/>
        </w:rPr>
        <w:t>o,</w:t>
      </w:r>
      <w:r w:rsidR="0089298C" w:rsidRPr="002F50BD">
        <w:rPr>
          <w:rFonts w:ascii="Verdana" w:hAnsi="Verdana"/>
          <w:sz w:val="20"/>
          <w:lang w:val="pt-BR"/>
        </w:rPr>
        <w:t xml:space="preserve"> a </w:t>
      </w:r>
      <w:r w:rsidR="004756C1" w:rsidRPr="002F50BD">
        <w:rPr>
          <w:rFonts w:ascii="Verdana" w:hAnsi="Verdana"/>
          <w:sz w:val="20"/>
          <w:lang w:val="pt-BR"/>
        </w:rPr>
        <w:t>Corte considera que</w:t>
      </w:r>
      <w:r w:rsidR="0089298C" w:rsidRPr="002F50BD">
        <w:rPr>
          <w:rFonts w:ascii="Verdana" w:hAnsi="Verdana"/>
          <w:sz w:val="20"/>
          <w:lang w:val="pt-BR"/>
        </w:rPr>
        <w:t xml:space="preserve"> o processo</w:t>
      </w:r>
      <w:r w:rsidR="004756C1" w:rsidRPr="002F50BD">
        <w:rPr>
          <w:rFonts w:ascii="Verdana" w:hAnsi="Verdana"/>
          <w:sz w:val="20"/>
          <w:lang w:val="pt-BR"/>
        </w:rPr>
        <w:t xml:space="preserve"> administrativo seguido </w:t>
      </w:r>
      <w:r w:rsidRPr="002F50BD">
        <w:rPr>
          <w:rFonts w:ascii="Verdana" w:hAnsi="Verdana"/>
          <w:sz w:val="20"/>
          <w:lang w:val="pt-BR"/>
        </w:rPr>
        <w:t>per</w:t>
      </w:r>
      <w:r w:rsidR="004756C1" w:rsidRPr="002F50BD">
        <w:rPr>
          <w:rFonts w:ascii="Verdana" w:hAnsi="Verdana"/>
          <w:sz w:val="20"/>
          <w:lang w:val="pt-BR"/>
        </w:rPr>
        <w:t>ante IBR</w:t>
      </w:r>
      <w:r w:rsidR="0089298C" w:rsidRPr="002F50BD">
        <w:rPr>
          <w:rFonts w:ascii="Verdana" w:hAnsi="Verdana"/>
          <w:sz w:val="20"/>
          <w:lang w:val="pt-BR"/>
        </w:rPr>
        <w:t xml:space="preserve"> em </w:t>
      </w:r>
      <w:r w:rsidR="004756C1" w:rsidRPr="002F50BD">
        <w:rPr>
          <w:rFonts w:ascii="Verdana" w:hAnsi="Verdana"/>
          <w:sz w:val="20"/>
          <w:lang w:val="pt-BR"/>
        </w:rPr>
        <w:t>colabora</w:t>
      </w:r>
      <w:r w:rsidR="0089298C" w:rsidRPr="002F50BD">
        <w:rPr>
          <w:rFonts w:ascii="Verdana" w:hAnsi="Verdana"/>
          <w:sz w:val="20"/>
          <w:lang w:val="pt-BR"/>
        </w:rPr>
        <w:t xml:space="preserve">ção com o </w:t>
      </w:r>
      <w:r w:rsidR="004756C1" w:rsidRPr="002F50BD">
        <w:rPr>
          <w:rFonts w:ascii="Verdana" w:hAnsi="Verdana"/>
          <w:sz w:val="20"/>
          <w:lang w:val="pt-BR"/>
        </w:rPr>
        <w:t>INDI des</w:t>
      </w:r>
      <w:r w:rsidR="0089298C" w:rsidRPr="002F50BD">
        <w:rPr>
          <w:rFonts w:ascii="Verdana" w:hAnsi="Verdana"/>
          <w:sz w:val="20"/>
          <w:lang w:val="pt-BR"/>
        </w:rPr>
        <w:t>conheceu o princípio</w:t>
      </w:r>
      <w:r w:rsidR="004756C1" w:rsidRPr="002F50BD">
        <w:rPr>
          <w:rFonts w:ascii="Verdana" w:hAnsi="Verdana"/>
          <w:sz w:val="20"/>
          <w:lang w:val="pt-BR"/>
        </w:rPr>
        <w:t xml:space="preserve"> </w:t>
      </w:r>
      <w:r w:rsidR="0089298C" w:rsidRPr="002F50BD">
        <w:rPr>
          <w:rFonts w:ascii="Verdana" w:hAnsi="Verdana"/>
          <w:sz w:val="20"/>
          <w:lang w:val="pt-BR"/>
        </w:rPr>
        <w:t>do prazo</w:t>
      </w:r>
      <w:r w:rsidR="004756C1" w:rsidRPr="002F50BD">
        <w:rPr>
          <w:rFonts w:ascii="Verdana" w:hAnsi="Verdana"/>
          <w:sz w:val="20"/>
          <w:lang w:val="pt-BR"/>
        </w:rPr>
        <w:t xml:space="preserve"> </w:t>
      </w:r>
      <w:r w:rsidR="0089298C" w:rsidRPr="002F50BD">
        <w:rPr>
          <w:rFonts w:ascii="Verdana" w:hAnsi="Verdana"/>
          <w:sz w:val="20"/>
          <w:lang w:val="pt-BR"/>
        </w:rPr>
        <w:t xml:space="preserve">razoável </w:t>
      </w:r>
      <w:r w:rsidR="004756C1" w:rsidRPr="002F50BD">
        <w:rPr>
          <w:rFonts w:ascii="Verdana" w:hAnsi="Verdana"/>
          <w:sz w:val="20"/>
          <w:lang w:val="pt-BR"/>
        </w:rPr>
        <w:t>consagrado</w:t>
      </w:r>
      <w:r w:rsidR="0089298C" w:rsidRPr="002F50BD">
        <w:rPr>
          <w:rFonts w:ascii="Verdana" w:hAnsi="Verdana"/>
          <w:sz w:val="20"/>
          <w:lang w:val="pt-BR"/>
        </w:rPr>
        <w:t xml:space="preserve"> na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Tribunal observa que este </w:t>
      </w:r>
      <w:r w:rsidR="0089298C" w:rsidRPr="002F50BD">
        <w:rPr>
          <w:rFonts w:ascii="Verdana" w:hAnsi="Verdana"/>
          <w:sz w:val="20"/>
          <w:lang w:val="pt-BR"/>
        </w:rPr>
        <w:t>procedimento</w:t>
      </w:r>
      <w:r w:rsidR="004756C1" w:rsidRPr="002F50BD">
        <w:rPr>
          <w:rFonts w:ascii="Verdana" w:hAnsi="Verdana"/>
          <w:sz w:val="20"/>
          <w:lang w:val="pt-BR"/>
        </w:rPr>
        <w:t xml:space="preserve"> se mostr</w:t>
      </w:r>
      <w:r w:rsidRPr="002F50BD">
        <w:rPr>
          <w:rFonts w:ascii="Verdana" w:hAnsi="Verdana"/>
          <w:sz w:val="20"/>
          <w:lang w:val="pt-BR"/>
        </w:rPr>
        <w:t>ou</w:t>
      </w:r>
      <w:r w:rsidR="004756C1" w:rsidRPr="002F50BD">
        <w:rPr>
          <w:rFonts w:ascii="Verdana" w:hAnsi="Verdana"/>
          <w:sz w:val="20"/>
          <w:lang w:val="pt-BR"/>
        </w:rPr>
        <w:t xml:space="preserve"> </w:t>
      </w:r>
      <w:r w:rsidR="0089298C" w:rsidRPr="002F50BD">
        <w:rPr>
          <w:rFonts w:ascii="Verdana" w:hAnsi="Verdana"/>
          <w:sz w:val="20"/>
          <w:lang w:val="pt-BR"/>
        </w:rPr>
        <w:t>abert</w:t>
      </w:r>
      <w:r w:rsidR="004756C1" w:rsidRPr="002F50BD">
        <w:rPr>
          <w:rFonts w:ascii="Verdana" w:hAnsi="Verdana"/>
          <w:sz w:val="20"/>
          <w:lang w:val="pt-BR"/>
        </w:rPr>
        <w:t>amente in</w:t>
      </w:r>
      <w:r w:rsidR="0089298C" w:rsidRPr="002F50BD">
        <w:rPr>
          <w:rFonts w:ascii="Verdana" w:hAnsi="Verdana"/>
          <w:sz w:val="20"/>
          <w:lang w:val="pt-BR"/>
        </w:rPr>
        <w:t>ef</w:t>
      </w:r>
      <w:r w:rsidRPr="002F50BD">
        <w:rPr>
          <w:rFonts w:ascii="Verdana" w:hAnsi="Verdana"/>
          <w:sz w:val="20"/>
          <w:lang w:val="pt-BR"/>
        </w:rPr>
        <w:t>iciente</w:t>
      </w:r>
      <w:r w:rsidR="004756C1" w:rsidRPr="002F50BD">
        <w:rPr>
          <w:rFonts w:ascii="Verdana" w:hAnsi="Verdana"/>
          <w:sz w:val="20"/>
          <w:lang w:val="pt-BR"/>
        </w:rPr>
        <w:t xml:space="preserve"> para atender</w:t>
      </w:r>
      <w:r w:rsidR="0089298C" w:rsidRPr="002F50BD">
        <w:rPr>
          <w:rFonts w:ascii="Verdana" w:hAnsi="Verdana"/>
          <w:sz w:val="20"/>
          <w:lang w:val="pt-BR"/>
        </w:rPr>
        <w:t xml:space="preserve"> </w:t>
      </w:r>
      <w:r w:rsidR="0052705C" w:rsidRPr="002F50BD">
        <w:rPr>
          <w:rFonts w:ascii="Verdana" w:hAnsi="Verdana"/>
          <w:sz w:val="20"/>
          <w:lang w:val="pt-BR"/>
        </w:rPr>
        <w:t>à</w:t>
      </w:r>
      <w:r w:rsidR="0089298C" w:rsidRPr="002F50BD">
        <w:rPr>
          <w:rFonts w:ascii="Verdana" w:hAnsi="Verdana"/>
          <w:sz w:val="20"/>
          <w:lang w:val="pt-BR"/>
        </w:rPr>
        <w:t>s solicitações</w:t>
      </w:r>
      <w:r w:rsidR="004756C1" w:rsidRPr="002F50BD">
        <w:rPr>
          <w:rFonts w:ascii="Verdana" w:hAnsi="Verdana"/>
          <w:sz w:val="20"/>
          <w:lang w:val="pt-BR"/>
        </w:rPr>
        <w:t xml:space="preserve"> de reivindica</w:t>
      </w:r>
      <w:r w:rsidR="0089298C" w:rsidRPr="002F50BD">
        <w:rPr>
          <w:rFonts w:ascii="Verdana" w:hAnsi="Verdana"/>
          <w:sz w:val="20"/>
          <w:lang w:val="pt-BR"/>
        </w:rPr>
        <w:t>ção das terra</w:t>
      </w:r>
      <w:r w:rsidR="004756C1" w:rsidRPr="002F50BD">
        <w:rPr>
          <w:rFonts w:ascii="Verdana" w:hAnsi="Verdana"/>
          <w:sz w:val="20"/>
          <w:lang w:val="pt-BR"/>
        </w:rPr>
        <w:t>s que</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 xml:space="preserve">consideram </w:t>
      </w:r>
      <w:r w:rsidR="004756C1" w:rsidRPr="002F50BD">
        <w:rPr>
          <w:rFonts w:ascii="Verdana" w:hAnsi="Verdana"/>
          <w:sz w:val="20"/>
          <w:lang w:val="pt-BR"/>
        </w:rPr>
        <w:t xml:space="preserve">como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ancestral</w:t>
      </w:r>
      <w:r w:rsidR="0089298C" w:rsidRPr="002F50BD">
        <w:rPr>
          <w:rFonts w:ascii="Verdana" w:hAnsi="Verdana"/>
          <w:sz w:val="20"/>
          <w:lang w:val="pt-BR"/>
        </w:rPr>
        <w:t xml:space="preserve"> e </w:t>
      </w:r>
      <w:r w:rsidR="004756C1" w:rsidRPr="002F50BD">
        <w:rPr>
          <w:rFonts w:ascii="Verdana" w:hAnsi="Verdana"/>
          <w:sz w:val="20"/>
          <w:lang w:val="pt-BR"/>
        </w:rPr>
        <w:t xml:space="preserve">tradicional. </w:t>
      </w:r>
    </w:p>
    <w:p w:rsidR="004756C1" w:rsidRPr="002F50BD" w:rsidRDefault="004756C1">
      <w:pPr>
        <w:jc w:val="both"/>
        <w:rPr>
          <w:rFonts w:ascii="Verdana" w:hAnsi="Verdana"/>
          <w:sz w:val="20"/>
          <w:lang w:val="pt-BR"/>
        </w:rPr>
      </w:pPr>
    </w:p>
    <w:p w:rsidR="004756C1" w:rsidRPr="002F50BD" w:rsidRDefault="004756C1">
      <w:pPr>
        <w:jc w:val="center"/>
        <w:rPr>
          <w:rFonts w:ascii="Verdana" w:hAnsi="Verdana"/>
          <w:sz w:val="20"/>
        </w:rPr>
      </w:pPr>
      <w:r w:rsidRPr="002F50BD">
        <w:rPr>
          <w:rFonts w:ascii="Verdana" w:hAnsi="Verdana"/>
          <w:sz w:val="20"/>
        </w:rPr>
        <w:t>*</w:t>
      </w:r>
    </w:p>
    <w:p w:rsidR="004756C1" w:rsidRPr="002F50BD" w:rsidRDefault="004756C1">
      <w:pPr>
        <w:jc w:val="center"/>
        <w:rPr>
          <w:rFonts w:ascii="Verdana" w:hAnsi="Verdana"/>
          <w:sz w:val="20"/>
        </w:rPr>
      </w:pPr>
      <w:r w:rsidRPr="002F50BD">
        <w:rPr>
          <w:rFonts w:ascii="Verdana" w:hAnsi="Verdana"/>
          <w:sz w:val="20"/>
        </w:rPr>
        <w:t>*</w:t>
      </w:r>
      <w:r w:rsidRPr="002F50BD">
        <w:rPr>
          <w:rFonts w:ascii="Verdana" w:hAnsi="Verdana"/>
          <w:sz w:val="20"/>
        </w:rPr>
        <w:tab/>
        <w:t>*</w:t>
      </w:r>
    </w:p>
    <w:p w:rsidR="007043AA" w:rsidRPr="002F50BD" w:rsidRDefault="007043AA" w:rsidP="007043AA">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7043AA" w:rsidRPr="002F50BD">
        <w:rPr>
          <w:rFonts w:ascii="Verdana" w:hAnsi="Verdana"/>
          <w:sz w:val="20"/>
          <w:lang w:val="pt-BR"/>
        </w:rPr>
        <w:t xml:space="preserve">afirmou </w:t>
      </w:r>
      <w:r w:rsidR="004756C1" w:rsidRPr="002F50BD">
        <w:rPr>
          <w:rFonts w:ascii="Verdana" w:hAnsi="Verdana"/>
          <w:sz w:val="20"/>
          <w:lang w:val="pt-BR"/>
        </w:rPr>
        <w:t>que</w:t>
      </w:r>
      <w:r w:rsidRPr="002F50BD">
        <w:rPr>
          <w:rFonts w:ascii="Verdana" w:hAnsi="Verdana"/>
          <w:sz w:val="20"/>
          <w:lang w:val="pt-BR"/>
        </w:rPr>
        <w:t xml:space="preserve"> o artigo</w:t>
      </w:r>
      <w:r w:rsidR="004756C1" w:rsidRPr="002F50BD">
        <w:rPr>
          <w:rFonts w:ascii="Verdana" w:hAnsi="Verdana"/>
          <w:sz w:val="20"/>
          <w:lang w:val="pt-BR"/>
        </w:rPr>
        <w:t xml:space="preserve"> </w:t>
      </w:r>
      <w:r w:rsidR="00063B47" w:rsidRPr="002F50BD">
        <w:rPr>
          <w:rFonts w:ascii="Verdana" w:hAnsi="Verdana"/>
          <w:sz w:val="20"/>
          <w:lang w:val="pt-BR"/>
        </w:rPr>
        <w:t>25</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se </w:t>
      </w:r>
      <w:r w:rsidRPr="002F50BD">
        <w:rPr>
          <w:rFonts w:ascii="Verdana" w:hAnsi="Verdana"/>
          <w:sz w:val="20"/>
          <w:lang w:val="pt-BR"/>
        </w:rPr>
        <w:t xml:space="preserve">encontra </w:t>
      </w:r>
      <w:r w:rsidR="007043AA" w:rsidRPr="002F50BD">
        <w:rPr>
          <w:rFonts w:ascii="Verdana" w:hAnsi="Verdana"/>
          <w:sz w:val="20"/>
          <w:lang w:val="pt-BR"/>
        </w:rPr>
        <w:t>i</w:t>
      </w:r>
      <w:r w:rsidR="004756C1" w:rsidRPr="002F50BD">
        <w:rPr>
          <w:rFonts w:ascii="Verdana" w:hAnsi="Verdana"/>
          <w:sz w:val="20"/>
          <w:lang w:val="pt-BR"/>
        </w:rPr>
        <w:t xml:space="preserve">ntimamente </w:t>
      </w:r>
      <w:r w:rsidR="007043AA" w:rsidRPr="002F50BD">
        <w:rPr>
          <w:rFonts w:ascii="Verdana" w:hAnsi="Verdana"/>
          <w:sz w:val="20"/>
          <w:lang w:val="pt-BR"/>
        </w:rPr>
        <w:t xml:space="preserve">relacionado à </w:t>
      </w:r>
      <w:r w:rsidRPr="002F50BD">
        <w:rPr>
          <w:rFonts w:ascii="Verdana" w:hAnsi="Verdana"/>
          <w:sz w:val="20"/>
          <w:lang w:val="pt-BR"/>
        </w:rPr>
        <w:t>obrigação</w:t>
      </w:r>
      <w:r w:rsidR="004756C1" w:rsidRPr="002F50BD">
        <w:rPr>
          <w:rFonts w:ascii="Verdana" w:hAnsi="Verdana"/>
          <w:sz w:val="20"/>
          <w:lang w:val="pt-BR"/>
        </w:rPr>
        <w:t xml:space="preserve"> </w:t>
      </w:r>
      <w:r w:rsidRPr="002F50BD">
        <w:rPr>
          <w:rFonts w:ascii="Verdana" w:hAnsi="Verdana"/>
          <w:sz w:val="20"/>
          <w:lang w:val="pt-BR"/>
        </w:rPr>
        <w:t>geral</w:t>
      </w:r>
      <w:r w:rsidR="004756C1" w:rsidRPr="002F50BD">
        <w:rPr>
          <w:rFonts w:ascii="Verdana" w:hAnsi="Verdana"/>
          <w:sz w:val="20"/>
          <w:lang w:val="pt-BR"/>
        </w:rPr>
        <w:t xml:space="preserve"> </w:t>
      </w:r>
      <w:r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da mesm</w:t>
      </w:r>
      <w:r w:rsidR="007043AA" w:rsidRPr="002F50BD">
        <w:rPr>
          <w:rFonts w:ascii="Verdana" w:hAnsi="Verdana"/>
          <w:sz w:val="20"/>
          <w:lang w:val="pt-BR"/>
        </w:rPr>
        <w:t>a, que atribui</w:t>
      </w:r>
      <w:r w:rsidR="004756C1" w:rsidRPr="002F50BD">
        <w:rPr>
          <w:rFonts w:ascii="Verdana" w:hAnsi="Verdana"/>
          <w:sz w:val="20"/>
          <w:lang w:val="pt-BR"/>
        </w:rPr>
        <w:t xml:space="preserve"> fun</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proteção ao direito</w:t>
      </w:r>
      <w:r w:rsidR="004756C1" w:rsidRPr="002F50BD">
        <w:rPr>
          <w:rFonts w:ascii="Verdana" w:hAnsi="Verdana"/>
          <w:sz w:val="20"/>
          <w:lang w:val="pt-BR"/>
        </w:rPr>
        <w:t xml:space="preserve"> interno</w:t>
      </w:r>
      <w:r w:rsidRPr="002F50BD">
        <w:rPr>
          <w:rFonts w:ascii="Verdana" w:hAnsi="Verdana"/>
          <w:sz w:val="20"/>
          <w:lang w:val="pt-BR"/>
        </w:rPr>
        <w:t xml:space="preserve"> dos </w:t>
      </w:r>
      <w:r w:rsidR="004756C1" w:rsidRPr="002F50BD">
        <w:rPr>
          <w:rFonts w:ascii="Verdana" w:hAnsi="Verdana"/>
          <w:sz w:val="20"/>
          <w:lang w:val="pt-BR"/>
        </w:rPr>
        <w:t>Estados Parte,</w:t>
      </w:r>
      <w:r w:rsidRPr="002F50BD">
        <w:rPr>
          <w:rFonts w:ascii="Verdana" w:hAnsi="Verdana"/>
          <w:sz w:val="20"/>
          <w:lang w:val="pt-BR"/>
        </w:rPr>
        <w:t xml:space="preserve"> do qu</w:t>
      </w:r>
      <w:r w:rsidR="007043AA" w:rsidRPr="002F50BD">
        <w:rPr>
          <w:rFonts w:ascii="Verdana" w:hAnsi="Verdana"/>
          <w:sz w:val="20"/>
          <w:lang w:val="pt-BR"/>
        </w:rPr>
        <w:t>e</w:t>
      </w:r>
      <w:r w:rsidRPr="002F50BD">
        <w:rPr>
          <w:rFonts w:ascii="Verdana" w:hAnsi="Verdana"/>
          <w:sz w:val="20"/>
          <w:lang w:val="pt-BR"/>
        </w:rPr>
        <w:t xml:space="preserve"> decorre</w:t>
      </w:r>
      <w:r w:rsidR="004756C1" w:rsidRPr="002F50BD">
        <w:rPr>
          <w:rFonts w:ascii="Verdana" w:hAnsi="Verdana"/>
          <w:sz w:val="20"/>
          <w:lang w:val="pt-BR"/>
        </w:rPr>
        <w:t xml:space="preserve"> que</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 xml:space="preserve">tem a responsabilidade </w:t>
      </w:r>
      <w:r w:rsidR="004756C1" w:rsidRPr="002F50BD">
        <w:rPr>
          <w:rFonts w:ascii="Verdana" w:hAnsi="Verdana"/>
          <w:sz w:val="20"/>
          <w:lang w:val="pt-BR"/>
        </w:rPr>
        <w:t xml:space="preserve">de </w:t>
      </w:r>
      <w:r w:rsidR="007043AA" w:rsidRPr="002F50BD">
        <w:rPr>
          <w:rFonts w:ascii="Verdana" w:hAnsi="Verdana"/>
          <w:sz w:val="20"/>
          <w:lang w:val="pt-BR"/>
        </w:rPr>
        <w:t xml:space="preserve">implementar </w:t>
      </w:r>
      <w:r w:rsidRPr="002F50BD">
        <w:rPr>
          <w:rFonts w:ascii="Verdana" w:hAnsi="Verdana"/>
          <w:sz w:val="20"/>
          <w:lang w:val="pt-BR"/>
        </w:rPr>
        <w:t xml:space="preserve">e </w:t>
      </w:r>
      <w:r w:rsidR="004756C1" w:rsidRPr="002F50BD">
        <w:rPr>
          <w:rFonts w:ascii="Verdana" w:hAnsi="Verdana"/>
          <w:sz w:val="20"/>
          <w:lang w:val="pt-BR"/>
        </w:rPr>
        <w:t>consagrar normativamente</w:t>
      </w:r>
      <w:r w:rsidRPr="002F50BD">
        <w:rPr>
          <w:rFonts w:ascii="Verdana" w:hAnsi="Verdana"/>
          <w:sz w:val="20"/>
          <w:lang w:val="pt-BR"/>
        </w:rPr>
        <w:t xml:space="preserve"> um </w:t>
      </w:r>
      <w:r w:rsidR="004756C1" w:rsidRPr="002F50BD">
        <w:rPr>
          <w:rFonts w:ascii="Verdana" w:hAnsi="Verdana"/>
          <w:sz w:val="20"/>
          <w:lang w:val="pt-BR"/>
        </w:rPr>
        <w:t xml:space="preserve">recurso eficaz, </w:t>
      </w:r>
      <w:r w:rsidR="007043AA" w:rsidRPr="002F50BD">
        <w:rPr>
          <w:rFonts w:ascii="Verdana" w:hAnsi="Verdana"/>
          <w:sz w:val="20"/>
          <w:lang w:val="pt-BR"/>
        </w:rPr>
        <w:t xml:space="preserve">bem </w:t>
      </w:r>
      <w:r w:rsidR="004756C1" w:rsidRPr="002F50BD">
        <w:rPr>
          <w:rFonts w:ascii="Verdana" w:hAnsi="Verdana"/>
          <w:sz w:val="20"/>
          <w:lang w:val="pt-BR"/>
        </w:rPr>
        <w:t>como</w:t>
      </w:r>
      <w:r w:rsidR="006603BE" w:rsidRPr="002F50BD">
        <w:rPr>
          <w:rFonts w:ascii="Verdana" w:hAnsi="Verdana"/>
          <w:sz w:val="20"/>
          <w:lang w:val="pt-BR"/>
        </w:rPr>
        <w:t xml:space="preserve"> </w:t>
      </w:r>
      <w:r w:rsidR="004756C1" w:rsidRPr="002F50BD">
        <w:rPr>
          <w:rFonts w:ascii="Verdana" w:hAnsi="Verdana"/>
          <w:sz w:val="20"/>
          <w:lang w:val="pt-BR"/>
        </w:rPr>
        <w:t xml:space="preserve">de </w:t>
      </w:r>
      <w:r w:rsidRPr="002F50BD">
        <w:rPr>
          <w:rFonts w:ascii="Verdana" w:hAnsi="Verdana"/>
          <w:sz w:val="20"/>
          <w:lang w:val="pt-BR"/>
        </w:rPr>
        <w:t xml:space="preserve">assegurar a devida </w:t>
      </w:r>
      <w:r w:rsidR="004756C1" w:rsidRPr="002F50BD">
        <w:rPr>
          <w:rFonts w:ascii="Verdana" w:hAnsi="Verdana"/>
          <w:sz w:val="20"/>
          <w:lang w:val="pt-BR"/>
        </w:rPr>
        <w:t>aplica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deste</w:t>
      </w:r>
      <w:r w:rsidR="004756C1" w:rsidRPr="002F50BD">
        <w:rPr>
          <w:rFonts w:ascii="Verdana" w:hAnsi="Verdana"/>
          <w:sz w:val="20"/>
          <w:lang w:val="pt-BR"/>
        </w:rPr>
        <w:t xml:space="preserve"> recurso por parte de su</w:t>
      </w:r>
      <w:r w:rsidR="007043AA" w:rsidRPr="002F50BD">
        <w:rPr>
          <w:rFonts w:ascii="Verdana" w:hAnsi="Verdana"/>
          <w:sz w:val="20"/>
          <w:lang w:val="pt-BR"/>
        </w:rPr>
        <w:t>a</w:t>
      </w:r>
      <w:r w:rsidR="004756C1" w:rsidRPr="002F50BD">
        <w:rPr>
          <w:rFonts w:ascii="Verdana" w:hAnsi="Verdana"/>
          <w:sz w:val="20"/>
          <w:lang w:val="pt-BR"/>
        </w:rPr>
        <w:t xml:space="preserve">s autoridades </w:t>
      </w:r>
      <w:r w:rsidRPr="002F50BD">
        <w:rPr>
          <w:rFonts w:ascii="Verdana" w:hAnsi="Verdana"/>
          <w:sz w:val="20"/>
          <w:lang w:val="pt-BR"/>
        </w:rPr>
        <w:t>judiciais</w:t>
      </w:r>
      <w:r w:rsidR="007043AA" w:rsidRPr="002F50BD">
        <w:rPr>
          <w:rFonts w:ascii="Verdana" w:hAnsi="Verdana"/>
          <w:sz w:val="20"/>
          <w:lang w:val="pt-BR"/>
        </w:rPr>
        <w:t>.</w:t>
      </w:r>
      <w:r w:rsidR="004756C1" w:rsidRPr="002F50BD">
        <w:rPr>
          <w:rStyle w:val="FootnoteReference"/>
          <w:rFonts w:ascii="Verdana" w:hAnsi="Verdana"/>
        </w:rPr>
        <w:footnoteReference w:id="182"/>
      </w:r>
    </w:p>
    <w:p w:rsidR="007043AA" w:rsidRPr="002F50BD" w:rsidRDefault="007043AA" w:rsidP="007043AA">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w:t>
      </w:r>
      <w:r w:rsidRPr="002F50BD">
        <w:rPr>
          <w:rFonts w:ascii="Verdana" w:hAnsi="Verdana"/>
          <w:sz w:val="20"/>
          <w:lang w:val="pt-BR"/>
        </w:rPr>
        <w:t xml:space="preserve">obriga os </w:t>
      </w:r>
      <w:r w:rsidR="004756C1" w:rsidRPr="002F50BD">
        <w:rPr>
          <w:rFonts w:ascii="Verdana" w:hAnsi="Verdana"/>
          <w:sz w:val="20"/>
          <w:lang w:val="pt-BR"/>
        </w:rPr>
        <w:t xml:space="preserve">Estados Partes a </w:t>
      </w:r>
      <w:r w:rsidRPr="002F50BD">
        <w:rPr>
          <w:rFonts w:ascii="Verdana" w:hAnsi="Verdana"/>
          <w:sz w:val="20"/>
          <w:lang w:val="pt-BR"/>
        </w:rPr>
        <w:t>adot</w:t>
      </w:r>
      <w:r w:rsidR="004756C1" w:rsidRPr="002F50BD">
        <w:rPr>
          <w:rFonts w:ascii="Verdana" w:hAnsi="Verdana"/>
          <w:sz w:val="20"/>
          <w:lang w:val="pt-BR"/>
        </w:rPr>
        <w:t>ar,</w:t>
      </w:r>
      <w:r w:rsidRPr="002F50BD">
        <w:rPr>
          <w:rFonts w:ascii="Verdana" w:hAnsi="Verdana"/>
          <w:sz w:val="20"/>
          <w:lang w:val="pt-BR"/>
        </w:rPr>
        <w:t xml:space="preserve"> co</w:t>
      </w:r>
      <w:r w:rsidR="004D555D" w:rsidRPr="002F50BD">
        <w:rPr>
          <w:rFonts w:ascii="Verdana" w:hAnsi="Verdana"/>
          <w:sz w:val="20"/>
          <w:lang w:val="pt-BR"/>
        </w:rPr>
        <w:t xml:space="preserve">nforme seus </w:t>
      </w:r>
      <w:r w:rsidRPr="002F50BD">
        <w:rPr>
          <w:rFonts w:ascii="Verdana" w:hAnsi="Verdana"/>
          <w:sz w:val="20"/>
          <w:lang w:val="pt-BR"/>
        </w:rPr>
        <w:t>procedimento</w:t>
      </w:r>
      <w:r w:rsidR="004756C1" w:rsidRPr="002F50BD">
        <w:rPr>
          <w:rFonts w:ascii="Verdana" w:hAnsi="Verdana"/>
          <w:sz w:val="20"/>
          <w:lang w:val="pt-BR"/>
        </w:rPr>
        <w:t xml:space="preserve">s </w:t>
      </w:r>
      <w:r w:rsidRPr="002F50BD">
        <w:rPr>
          <w:rFonts w:ascii="Verdana" w:hAnsi="Verdana"/>
          <w:sz w:val="20"/>
          <w:lang w:val="pt-BR"/>
        </w:rPr>
        <w:t xml:space="preserve">constitucionais e </w:t>
      </w:r>
      <w:r w:rsidR="004D555D" w:rsidRPr="002F50BD">
        <w:rPr>
          <w:rFonts w:ascii="Verdana" w:hAnsi="Verdana"/>
          <w:sz w:val="20"/>
          <w:lang w:val="pt-BR"/>
        </w:rPr>
        <w:t>a</w:t>
      </w:r>
      <w:r w:rsidRPr="002F50BD">
        <w:rPr>
          <w:rFonts w:ascii="Verdana" w:hAnsi="Verdana"/>
          <w:sz w:val="20"/>
          <w:lang w:val="pt-BR"/>
        </w:rPr>
        <w:t xml:space="preserve">s </w:t>
      </w:r>
      <w:r w:rsidR="004756C1" w:rsidRPr="002F50BD">
        <w:rPr>
          <w:rFonts w:ascii="Verdana" w:hAnsi="Verdana"/>
          <w:sz w:val="20"/>
          <w:lang w:val="pt-BR"/>
        </w:rPr>
        <w:t>disposi</w:t>
      </w:r>
      <w:r w:rsidRPr="002F50BD">
        <w:rPr>
          <w:rFonts w:ascii="Verdana" w:hAnsi="Verdana"/>
          <w:sz w:val="20"/>
          <w:lang w:val="pt-BR"/>
        </w:rPr>
        <w:t xml:space="preserve">ções desta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w:t>
      </w:r>
      <w:r w:rsidRPr="002F50BD">
        <w:rPr>
          <w:rFonts w:ascii="Verdana" w:hAnsi="Verdana"/>
          <w:sz w:val="20"/>
          <w:lang w:val="pt-BR"/>
        </w:rPr>
        <w:t xml:space="preserve"> as </w:t>
      </w:r>
      <w:r w:rsidR="004756C1" w:rsidRPr="002F50BD">
        <w:rPr>
          <w:rFonts w:ascii="Verdana" w:hAnsi="Verdana"/>
          <w:sz w:val="20"/>
          <w:lang w:val="pt-BR"/>
        </w:rPr>
        <w:t>medidas legislativas o</w:t>
      </w:r>
      <w:r w:rsidR="004D555D" w:rsidRPr="002F50BD">
        <w:rPr>
          <w:rFonts w:ascii="Verdana" w:hAnsi="Verdana"/>
          <w:sz w:val="20"/>
          <w:lang w:val="pt-BR"/>
        </w:rPr>
        <w:t>u</w:t>
      </w:r>
      <w:r w:rsidR="004756C1" w:rsidRPr="002F50BD">
        <w:rPr>
          <w:rFonts w:ascii="Verdana" w:hAnsi="Verdana"/>
          <w:sz w:val="20"/>
          <w:lang w:val="pt-BR"/>
        </w:rPr>
        <w:t xml:space="preserve"> de</w:t>
      </w:r>
      <w:r w:rsidRPr="002F50BD">
        <w:rPr>
          <w:rFonts w:ascii="Verdana" w:hAnsi="Verdana"/>
          <w:sz w:val="20"/>
          <w:lang w:val="pt-BR"/>
        </w:rPr>
        <w:t xml:space="preserve"> outro caráter</w:t>
      </w:r>
      <w:r w:rsidR="004756C1" w:rsidRPr="002F50BD">
        <w:rPr>
          <w:rFonts w:ascii="Verdana" w:hAnsi="Verdana"/>
          <w:sz w:val="20"/>
          <w:lang w:val="pt-BR"/>
        </w:rPr>
        <w:t xml:space="preserve"> que </w:t>
      </w:r>
      <w:r w:rsidR="004D555D" w:rsidRPr="002F50BD">
        <w:rPr>
          <w:rFonts w:ascii="Verdana" w:hAnsi="Verdana"/>
          <w:sz w:val="20"/>
          <w:lang w:val="pt-BR"/>
        </w:rPr>
        <w:t xml:space="preserve">sejam </w:t>
      </w:r>
      <w:r w:rsidRPr="002F50BD">
        <w:rPr>
          <w:rFonts w:ascii="Verdana" w:hAnsi="Verdana"/>
          <w:sz w:val="20"/>
          <w:lang w:val="pt-BR"/>
        </w:rPr>
        <w:t>necessári</w:t>
      </w:r>
      <w:r w:rsidR="004756C1" w:rsidRPr="002F50BD">
        <w:rPr>
          <w:rFonts w:ascii="Verdana" w:hAnsi="Verdana"/>
          <w:sz w:val="20"/>
          <w:lang w:val="pt-BR"/>
        </w:rPr>
        <w:t>as para</w:t>
      </w:r>
      <w:r w:rsidRPr="002F50BD">
        <w:rPr>
          <w:rFonts w:ascii="Verdana" w:hAnsi="Verdana"/>
          <w:sz w:val="20"/>
          <w:lang w:val="pt-BR"/>
        </w:rPr>
        <w:t xml:space="preserve"> fazer efetiv</w:t>
      </w:r>
      <w:r w:rsidR="004756C1" w:rsidRPr="002F50BD">
        <w:rPr>
          <w:rFonts w:ascii="Verdana" w:hAnsi="Verdana"/>
          <w:sz w:val="20"/>
          <w:lang w:val="pt-BR"/>
        </w:rPr>
        <w:t>os</w:t>
      </w:r>
      <w:r w:rsidRPr="002F50BD">
        <w:rPr>
          <w:rFonts w:ascii="Verdana" w:hAnsi="Verdana"/>
          <w:sz w:val="20"/>
          <w:lang w:val="pt-BR"/>
        </w:rPr>
        <w:t xml:space="preserve"> os direito</w:t>
      </w:r>
      <w:r w:rsidR="004756C1" w:rsidRPr="002F50BD">
        <w:rPr>
          <w:rFonts w:ascii="Verdana" w:hAnsi="Verdana"/>
          <w:sz w:val="20"/>
          <w:lang w:val="pt-BR"/>
        </w:rPr>
        <w:t>s</w:t>
      </w:r>
      <w:r w:rsidRPr="002F50BD">
        <w:rPr>
          <w:rFonts w:ascii="Verdana" w:hAnsi="Verdana"/>
          <w:sz w:val="20"/>
          <w:lang w:val="pt-BR"/>
        </w:rPr>
        <w:t xml:space="preserve"> e liberdades</w:t>
      </w:r>
      <w:r w:rsidR="004756C1" w:rsidRPr="002F50BD">
        <w:rPr>
          <w:rFonts w:ascii="Verdana" w:hAnsi="Verdana"/>
          <w:sz w:val="20"/>
          <w:lang w:val="pt-BR"/>
        </w:rPr>
        <w:t xml:space="preserve"> protegidos</w:t>
      </w:r>
      <w:r w:rsidRPr="002F50BD">
        <w:rPr>
          <w:rFonts w:ascii="Verdana" w:hAnsi="Verdana"/>
          <w:sz w:val="20"/>
          <w:lang w:val="pt-BR"/>
        </w:rPr>
        <w:t xml:space="preserve"> pela mesm</w:t>
      </w:r>
      <w:r w:rsidR="004756C1" w:rsidRPr="002F50BD">
        <w:rPr>
          <w:rFonts w:ascii="Verdana" w:hAnsi="Verdana"/>
          <w:sz w:val="20"/>
          <w:lang w:val="pt-BR"/>
        </w:rPr>
        <w:t>a Conven</w:t>
      </w:r>
      <w:r w:rsidRPr="002F50BD">
        <w:rPr>
          <w:rFonts w:ascii="Verdana" w:hAnsi="Verdana"/>
          <w:sz w:val="20"/>
          <w:lang w:val="pt-BR"/>
        </w:rPr>
        <w:t>ção</w:t>
      </w:r>
      <w:r w:rsidR="00E10DBB" w:rsidRPr="002F50BD">
        <w:rPr>
          <w:rFonts w:ascii="Verdana" w:hAnsi="Verdana"/>
          <w:sz w:val="20"/>
          <w:lang w:val="pt-BR"/>
        </w:rPr>
        <w:t xml:space="preserve">. É </w:t>
      </w:r>
      <w:r w:rsidRPr="002F50BD">
        <w:rPr>
          <w:rFonts w:ascii="Verdana" w:hAnsi="Verdana"/>
          <w:sz w:val="20"/>
          <w:lang w:val="pt-BR"/>
        </w:rPr>
        <w:t>necessári</w:t>
      </w:r>
      <w:r w:rsidR="004756C1" w:rsidRPr="002F50BD">
        <w:rPr>
          <w:rFonts w:ascii="Verdana" w:hAnsi="Verdana"/>
          <w:sz w:val="20"/>
          <w:lang w:val="pt-BR"/>
        </w:rPr>
        <w:t>o reafirmar que</w:t>
      </w:r>
      <w:r w:rsidRPr="002F50BD">
        <w:rPr>
          <w:rFonts w:ascii="Verdana" w:hAnsi="Verdana"/>
          <w:sz w:val="20"/>
          <w:lang w:val="pt-BR"/>
        </w:rPr>
        <w:t xml:space="preserve"> a obrigação</w:t>
      </w:r>
      <w:r w:rsidR="004756C1" w:rsidRPr="002F50BD">
        <w:rPr>
          <w:rFonts w:ascii="Verdana" w:hAnsi="Verdana"/>
          <w:sz w:val="20"/>
          <w:lang w:val="pt-BR"/>
        </w:rPr>
        <w:t xml:space="preserve"> de adaptar</w:t>
      </w:r>
      <w:r w:rsidRPr="002F50BD">
        <w:rPr>
          <w:rFonts w:ascii="Verdana" w:hAnsi="Verdana"/>
          <w:sz w:val="20"/>
          <w:lang w:val="pt-BR"/>
        </w:rPr>
        <w:t xml:space="preserve"> 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interna </w:t>
      </w:r>
      <w:r w:rsidR="004D555D" w:rsidRPr="002F50BD">
        <w:rPr>
          <w:rFonts w:ascii="Verdana" w:hAnsi="Verdana"/>
          <w:sz w:val="20"/>
          <w:lang w:val="pt-BR"/>
        </w:rPr>
        <w:t>é</w:t>
      </w:r>
      <w:r w:rsidR="004756C1" w:rsidRPr="002F50BD">
        <w:rPr>
          <w:rFonts w:ascii="Verdana" w:hAnsi="Verdana"/>
          <w:sz w:val="20"/>
          <w:lang w:val="pt-BR"/>
        </w:rPr>
        <w:t>, por su</w:t>
      </w:r>
      <w:r w:rsidR="004D555D"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própria natureza</w:t>
      </w:r>
      <w:r w:rsidR="004756C1" w:rsidRPr="002F50BD">
        <w:rPr>
          <w:rFonts w:ascii="Verdana" w:hAnsi="Verdana"/>
          <w:sz w:val="20"/>
          <w:lang w:val="pt-BR"/>
        </w:rPr>
        <w:t>,</w:t>
      </w:r>
      <w:r w:rsidRPr="002F50BD">
        <w:rPr>
          <w:rFonts w:ascii="Verdana" w:hAnsi="Verdana"/>
          <w:b/>
          <w:color w:val="FF00FF"/>
          <w:sz w:val="20"/>
          <w:lang w:val="pt-BR"/>
        </w:rPr>
        <w:t xml:space="preserve"> </w:t>
      </w:r>
      <w:r w:rsidRPr="002F50BD">
        <w:rPr>
          <w:rFonts w:ascii="Verdana" w:hAnsi="Verdana"/>
          <w:sz w:val="20"/>
          <w:lang w:val="pt-BR"/>
        </w:rPr>
        <w:t>uma</w:t>
      </w:r>
      <w:r w:rsidRPr="002F50BD">
        <w:rPr>
          <w:rFonts w:ascii="Verdana" w:hAnsi="Verdana"/>
          <w:b/>
          <w:sz w:val="20"/>
          <w:lang w:val="pt-BR"/>
        </w:rPr>
        <w:t xml:space="preserve"> </w:t>
      </w:r>
      <w:r w:rsidR="004D555D" w:rsidRPr="002F50BD">
        <w:rPr>
          <w:rFonts w:ascii="Verdana" w:hAnsi="Verdana"/>
          <w:sz w:val="20"/>
          <w:lang w:val="pt-BR"/>
        </w:rPr>
        <w:t xml:space="preserve">obrigação </w:t>
      </w:r>
      <w:r w:rsidR="004756C1" w:rsidRPr="002F50BD">
        <w:rPr>
          <w:rFonts w:ascii="Verdana" w:hAnsi="Verdana"/>
          <w:sz w:val="20"/>
          <w:lang w:val="pt-BR"/>
        </w:rPr>
        <w:t>de resultado</w:t>
      </w:r>
      <w:r w:rsidR="004D555D" w:rsidRPr="002F50BD">
        <w:rPr>
          <w:rFonts w:ascii="Verdana" w:hAnsi="Verdana"/>
          <w:sz w:val="20"/>
          <w:lang w:val="pt-BR"/>
        </w:rPr>
        <w:t>.</w:t>
      </w:r>
      <w:r w:rsidR="004756C1" w:rsidRPr="002F50BD">
        <w:rPr>
          <w:rStyle w:val="FootnoteReference"/>
          <w:rFonts w:ascii="Verdana" w:hAnsi="Verdana"/>
        </w:rPr>
        <w:footnoteReference w:id="183"/>
      </w:r>
    </w:p>
    <w:p w:rsidR="007043AA" w:rsidRPr="002F50BD" w:rsidRDefault="007043AA" w:rsidP="007043AA">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4076AD" w:rsidRPr="002F50BD">
        <w:rPr>
          <w:rFonts w:ascii="Verdana" w:hAnsi="Verdana"/>
          <w:sz w:val="20"/>
          <w:lang w:val="pt-BR"/>
        </w:rPr>
        <w:t>indicou</w:t>
      </w:r>
      <w:r w:rsidRPr="002F50BD">
        <w:rPr>
          <w:rFonts w:ascii="Verdana" w:hAnsi="Verdana"/>
          <w:sz w:val="20"/>
          <w:lang w:val="pt-BR"/>
        </w:rPr>
        <w:t xml:space="preserve"> em outra</w:t>
      </w:r>
      <w:r w:rsidR="004756C1" w:rsidRPr="002F50BD">
        <w:rPr>
          <w:rFonts w:ascii="Verdana" w:hAnsi="Verdana"/>
          <w:sz w:val="20"/>
          <w:lang w:val="pt-BR"/>
        </w:rPr>
        <w:t xml:space="preserve">s oportunidades que esta norma </w:t>
      </w:r>
      <w:r w:rsidR="004076AD" w:rsidRPr="002F50BD">
        <w:rPr>
          <w:rFonts w:ascii="Verdana" w:hAnsi="Verdana"/>
          <w:sz w:val="20"/>
          <w:lang w:val="pt-BR"/>
        </w:rPr>
        <w:t xml:space="preserve">impõe </w:t>
      </w:r>
      <w:r w:rsidRPr="002F50BD">
        <w:rPr>
          <w:rFonts w:ascii="Verdana" w:hAnsi="Verdana"/>
          <w:sz w:val="20"/>
          <w:lang w:val="pt-BR"/>
        </w:rPr>
        <w:t xml:space="preserve">aos </w:t>
      </w:r>
      <w:r w:rsidR="004756C1" w:rsidRPr="002F50BD">
        <w:rPr>
          <w:rFonts w:ascii="Verdana" w:hAnsi="Verdana"/>
          <w:sz w:val="20"/>
          <w:lang w:val="pt-BR"/>
        </w:rPr>
        <w:t>Estados Partes</w:t>
      </w:r>
      <w:r w:rsidRPr="002F50BD">
        <w:rPr>
          <w:rFonts w:ascii="Verdana" w:hAnsi="Verdana"/>
          <w:sz w:val="20"/>
          <w:lang w:val="pt-BR"/>
        </w:rPr>
        <w:t xml:space="preserve"> a obrigação</w:t>
      </w:r>
      <w:r w:rsidR="004756C1" w:rsidRPr="002F50BD">
        <w:rPr>
          <w:rFonts w:ascii="Verdana" w:hAnsi="Verdana"/>
          <w:sz w:val="20"/>
          <w:lang w:val="pt-BR"/>
        </w:rPr>
        <w:t xml:space="preserve"> </w:t>
      </w:r>
      <w:r w:rsidRPr="002F50BD">
        <w:rPr>
          <w:rFonts w:ascii="Verdana" w:hAnsi="Verdana"/>
          <w:sz w:val="20"/>
          <w:lang w:val="pt-BR"/>
        </w:rPr>
        <w:t>geral</w:t>
      </w:r>
      <w:r w:rsidR="004756C1" w:rsidRPr="002F50BD">
        <w:rPr>
          <w:rFonts w:ascii="Verdana" w:hAnsi="Verdana"/>
          <w:sz w:val="20"/>
          <w:lang w:val="pt-BR"/>
        </w:rPr>
        <w:t xml:space="preserve"> de </w:t>
      </w:r>
      <w:r w:rsidRPr="002F50BD">
        <w:rPr>
          <w:rFonts w:ascii="Verdana" w:hAnsi="Verdana"/>
          <w:sz w:val="20"/>
          <w:lang w:val="pt-BR"/>
        </w:rPr>
        <w:t>adequar</w:t>
      </w:r>
      <w:r w:rsidR="004756C1" w:rsidRPr="002F50BD">
        <w:rPr>
          <w:rFonts w:ascii="Verdana" w:hAnsi="Verdana"/>
          <w:sz w:val="20"/>
          <w:lang w:val="pt-BR"/>
        </w:rPr>
        <w:t xml:space="preserve"> </w:t>
      </w:r>
      <w:r w:rsidRPr="002F50BD">
        <w:rPr>
          <w:rFonts w:ascii="Verdana" w:hAnsi="Verdana"/>
          <w:sz w:val="20"/>
          <w:lang w:val="pt-BR"/>
        </w:rPr>
        <w:t>seu direito</w:t>
      </w:r>
      <w:r w:rsidR="004756C1" w:rsidRPr="002F50BD">
        <w:rPr>
          <w:rFonts w:ascii="Verdana" w:hAnsi="Verdana"/>
          <w:sz w:val="20"/>
          <w:lang w:val="pt-BR"/>
        </w:rPr>
        <w:t xml:space="preserve"> interno</w:t>
      </w:r>
      <w:r w:rsidRPr="002F50BD">
        <w:rPr>
          <w:rFonts w:ascii="Verdana" w:hAnsi="Verdana"/>
          <w:sz w:val="20"/>
          <w:lang w:val="pt-BR"/>
        </w:rPr>
        <w:t xml:space="preserve"> às </w:t>
      </w:r>
      <w:r w:rsidR="004756C1" w:rsidRPr="002F50BD">
        <w:rPr>
          <w:rFonts w:ascii="Verdana" w:hAnsi="Verdana"/>
          <w:sz w:val="20"/>
          <w:lang w:val="pt-BR"/>
        </w:rPr>
        <w:t>normas</w:t>
      </w:r>
      <w:r w:rsidRPr="002F50BD">
        <w:rPr>
          <w:rFonts w:ascii="Verdana" w:hAnsi="Verdana"/>
          <w:sz w:val="20"/>
          <w:lang w:val="pt-BR"/>
        </w:rPr>
        <w:t xml:space="preserve"> da própria </w:t>
      </w:r>
      <w:r w:rsidR="004756C1" w:rsidRPr="002F50BD">
        <w:rPr>
          <w:rFonts w:ascii="Verdana" w:hAnsi="Verdana"/>
          <w:sz w:val="20"/>
          <w:lang w:val="pt-BR"/>
        </w:rPr>
        <w:lastRenderedPageBreak/>
        <w:t>Conven</w:t>
      </w:r>
      <w:r w:rsidRPr="002F50BD">
        <w:rPr>
          <w:rFonts w:ascii="Verdana" w:hAnsi="Verdana"/>
          <w:sz w:val="20"/>
          <w:lang w:val="pt-BR"/>
        </w:rPr>
        <w:t>ção</w:t>
      </w:r>
      <w:r w:rsidR="004756C1" w:rsidRPr="002F50BD">
        <w:rPr>
          <w:rFonts w:ascii="Verdana" w:hAnsi="Verdana"/>
          <w:sz w:val="20"/>
          <w:lang w:val="pt-BR"/>
        </w:rPr>
        <w:t xml:space="preserve">, para </w:t>
      </w:r>
      <w:r w:rsidR="004D555D" w:rsidRPr="002F50BD">
        <w:rPr>
          <w:rFonts w:ascii="Verdana" w:hAnsi="Verdana"/>
          <w:sz w:val="20"/>
          <w:lang w:val="pt-BR"/>
        </w:rPr>
        <w:t xml:space="preserve">assim </w:t>
      </w:r>
      <w:r w:rsidRPr="002F50BD">
        <w:rPr>
          <w:rFonts w:ascii="Verdana" w:hAnsi="Verdana"/>
          <w:sz w:val="20"/>
          <w:lang w:val="pt-BR"/>
        </w:rPr>
        <w:t>garantir</w:t>
      </w:r>
      <w:r w:rsidR="004756C1" w:rsidRPr="002F50BD">
        <w:rPr>
          <w:rFonts w:ascii="Verdana" w:hAnsi="Verdana"/>
          <w:sz w:val="20"/>
          <w:lang w:val="pt-BR"/>
        </w:rPr>
        <w:t xml:space="preserve"> </w:t>
      </w:r>
      <w:r w:rsidRPr="002F50BD">
        <w:rPr>
          <w:rFonts w:ascii="Verdana" w:hAnsi="Verdana"/>
          <w:sz w:val="20"/>
          <w:lang w:val="pt-BR"/>
        </w:rPr>
        <w:t>os direito</w:t>
      </w:r>
      <w:r w:rsidR="004756C1" w:rsidRPr="002F50BD">
        <w:rPr>
          <w:rFonts w:ascii="Verdana" w:hAnsi="Verdana"/>
          <w:sz w:val="20"/>
          <w:lang w:val="pt-BR"/>
        </w:rPr>
        <w:t>s</w:t>
      </w:r>
      <w:r w:rsidR="006603BE" w:rsidRPr="002F50BD">
        <w:rPr>
          <w:rFonts w:ascii="Verdana" w:hAnsi="Verdana"/>
          <w:sz w:val="20"/>
          <w:lang w:val="pt-BR"/>
        </w:rPr>
        <w:t xml:space="preserve"> nela</w:t>
      </w:r>
      <w:r w:rsidR="004756C1" w:rsidRPr="002F50BD">
        <w:rPr>
          <w:rFonts w:ascii="Verdana" w:hAnsi="Verdana"/>
          <w:sz w:val="20"/>
          <w:lang w:val="pt-BR"/>
        </w:rPr>
        <w:t xml:space="preserve"> consagrados. </w:t>
      </w:r>
      <w:r w:rsidR="004D555D" w:rsidRPr="002F50BD">
        <w:rPr>
          <w:rFonts w:ascii="Verdana" w:hAnsi="Verdana"/>
          <w:sz w:val="20"/>
          <w:lang w:val="pt-BR"/>
        </w:rPr>
        <w:t>A</w:t>
      </w:r>
      <w:r w:rsidRPr="002F50BD">
        <w:rPr>
          <w:rFonts w:ascii="Verdana" w:hAnsi="Verdana"/>
          <w:sz w:val="20"/>
          <w:lang w:val="pt-BR"/>
        </w:rPr>
        <w:t xml:space="preserve">s </w:t>
      </w:r>
      <w:r w:rsidR="004756C1" w:rsidRPr="002F50BD">
        <w:rPr>
          <w:rFonts w:ascii="Verdana" w:hAnsi="Verdana"/>
          <w:sz w:val="20"/>
          <w:lang w:val="pt-BR"/>
        </w:rPr>
        <w:t>disposi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 xml:space="preserve"> interno que sirva</w:t>
      </w:r>
      <w:r w:rsidR="004D555D" w:rsidRPr="002F50BD">
        <w:rPr>
          <w:rFonts w:ascii="Verdana" w:hAnsi="Verdana"/>
          <w:sz w:val="20"/>
          <w:lang w:val="pt-BR"/>
        </w:rPr>
        <w:t>m</w:t>
      </w:r>
      <w:r w:rsidR="004756C1" w:rsidRPr="002F50BD">
        <w:rPr>
          <w:rFonts w:ascii="Verdana" w:hAnsi="Verdana"/>
          <w:sz w:val="20"/>
          <w:lang w:val="pt-BR"/>
        </w:rPr>
        <w:t xml:space="preserve"> a este</w:t>
      </w:r>
      <w:r w:rsidRPr="002F50BD">
        <w:rPr>
          <w:rFonts w:ascii="Verdana" w:hAnsi="Verdana"/>
          <w:sz w:val="20"/>
          <w:lang w:val="pt-BR"/>
        </w:rPr>
        <w:t xml:space="preserve"> fim </w:t>
      </w:r>
      <w:r w:rsidR="004D555D" w:rsidRPr="002F50BD">
        <w:rPr>
          <w:rFonts w:ascii="Verdana" w:hAnsi="Verdana"/>
          <w:sz w:val="20"/>
          <w:lang w:val="pt-BR"/>
        </w:rPr>
        <w:t xml:space="preserve">devem </w:t>
      </w:r>
      <w:r w:rsidR="004756C1" w:rsidRPr="002F50BD">
        <w:rPr>
          <w:rFonts w:ascii="Verdana" w:hAnsi="Verdana"/>
          <w:sz w:val="20"/>
          <w:lang w:val="pt-BR"/>
        </w:rPr>
        <w:t xml:space="preserve">ser </w:t>
      </w:r>
      <w:r w:rsidRPr="002F50BD">
        <w:rPr>
          <w:rFonts w:ascii="Verdana" w:hAnsi="Verdana"/>
          <w:sz w:val="20"/>
          <w:lang w:val="pt-BR"/>
        </w:rPr>
        <w:t>efetiv</w:t>
      </w:r>
      <w:r w:rsidR="004756C1" w:rsidRPr="002F50BD">
        <w:rPr>
          <w:rFonts w:ascii="Verdana" w:hAnsi="Verdana"/>
          <w:sz w:val="20"/>
          <w:lang w:val="pt-BR"/>
        </w:rPr>
        <w:t xml:space="preserve">as </w:t>
      </w:r>
      <w:r w:rsidR="00CF451D" w:rsidRPr="00CF451D">
        <w:rPr>
          <w:rFonts w:ascii="Verdana" w:hAnsi="Verdana"/>
          <w:sz w:val="20"/>
          <w:lang w:val="pt-BR"/>
        </w:rPr>
        <w:t>(</w:t>
      </w:r>
      <w:r w:rsidRPr="002F50BD">
        <w:rPr>
          <w:rFonts w:ascii="Verdana" w:hAnsi="Verdana"/>
          <w:sz w:val="20"/>
          <w:lang w:val="pt-BR"/>
        </w:rPr>
        <w:t>princípio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i/>
          <w:sz w:val="20"/>
          <w:lang w:val="pt-BR"/>
        </w:rPr>
        <w:t>effet utile</w:t>
      </w:r>
      <w:r w:rsidR="00CF451D" w:rsidRPr="00CF451D">
        <w:rPr>
          <w:rFonts w:ascii="Verdana" w:hAnsi="Verdana"/>
          <w:sz w:val="20"/>
          <w:lang w:val="pt-BR"/>
        </w:rPr>
        <w:t>)</w:t>
      </w:r>
      <w:r w:rsidR="004756C1" w:rsidRPr="002F50BD">
        <w:rPr>
          <w:rFonts w:ascii="Verdana" w:hAnsi="Verdana"/>
          <w:sz w:val="20"/>
          <w:lang w:val="pt-BR"/>
        </w:rPr>
        <w:t>,</w:t>
      </w:r>
      <w:r w:rsidRPr="002F50BD">
        <w:rPr>
          <w:rFonts w:ascii="Verdana" w:hAnsi="Verdana"/>
          <w:sz w:val="20"/>
          <w:lang w:val="pt-BR"/>
        </w:rPr>
        <w:t xml:space="preserve"> o que </w:t>
      </w:r>
      <w:r w:rsidR="004756C1" w:rsidRPr="002F50BD">
        <w:rPr>
          <w:rFonts w:ascii="Verdana" w:hAnsi="Verdana"/>
          <w:sz w:val="20"/>
          <w:lang w:val="pt-BR"/>
        </w:rPr>
        <w:t>significa que</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deve adot</w:t>
      </w:r>
      <w:r w:rsidR="004756C1" w:rsidRPr="002F50BD">
        <w:rPr>
          <w:rFonts w:ascii="Verdana" w:hAnsi="Verdana"/>
          <w:sz w:val="20"/>
          <w:lang w:val="pt-BR"/>
        </w:rPr>
        <w:t>ar todas</w:t>
      </w:r>
      <w:r w:rsidRPr="002F50BD">
        <w:rPr>
          <w:rFonts w:ascii="Verdana" w:hAnsi="Verdana"/>
          <w:sz w:val="20"/>
          <w:lang w:val="pt-BR"/>
        </w:rPr>
        <w:t xml:space="preserve"> as </w:t>
      </w:r>
      <w:r w:rsidR="004756C1" w:rsidRPr="002F50BD">
        <w:rPr>
          <w:rFonts w:ascii="Verdana" w:hAnsi="Verdana"/>
          <w:sz w:val="20"/>
          <w:lang w:val="pt-BR"/>
        </w:rPr>
        <w:t xml:space="preserve">medidas </w:t>
      </w:r>
      <w:r w:rsidRPr="002F50BD">
        <w:rPr>
          <w:rFonts w:ascii="Verdana" w:hAnsi="Verdana"/>
          <w:sz w:val="20"/>
          <w:lang w:val="pt-BR"/>
        </w:rPr>
        <w:t>necessári</w:t>
      </w:r>
      <w:r w:rsidR="004756C1" w:rsidRPr="002F50BD">
        <w:rPr>
          <w:rFonts w:ascii="Verdana" w:hAnsi="Verdana"/>
          <w:sz w:val="20"/>
          <w:lang w:val="pt-BR"/>
        </w:rPr>
        <w:t xml:space="preserve">as para que o </w:t>
      </w:r>
      <w:r w:rsidRPr="002F50BD">
        <w:rPr>
          <w:rFonts w:ascii="Verdana" w:hAnsi="Verdana"/>
          <w:sz w:val="20"/>
          <w:lang w:val="pt-BR"/>
        </w:rPr>
        <w:t>estabelecid</w:t>
      </w:r>
      <w:r w:rsidR="004756C1" w:rsidRPr="002F50BD">
        <w:rPr>
          <w:rFonts w:ascii="Verdana" w:hAnsi="Verdana"/>
          <w:sz w:val="20"/>
          <w:lang w:val="pt-BR"/>
        </w:rPr>
        <w:t>o</w:t>
      </w:r>
      <w:r w:rsidRPr="002F50BD">
        <w:rPr>
          <w:rFonts w:ascii="Verdana" w:hAnsi="Verdana"/>
          <w:sz w:val="20"/>
          <w:lang w:val="pt-BR"/>
        </w:rPr>
        <w:t xml:space="preserve"> na </w:t>
      </w:r>
      <w:r w:rsidR="004756C1" w:rsidRPr="002F50BD">
        <w:rPr>
          <w:rFonts w:ascii="Verdana" w:hAnsi="Verdana"/>
          <w:sz w:val="20"/>
          <w:lang w:val="pt-BR"/>
        </w:rPr>
        <w:t>Conven</w:t>
      </w:r>
      <w:r w:rsidRPr="002F50BD">
        <w:rPr>
          <w:rFonts w:ascii="Verdana" w:hAnsi="Verdana"/>
          <w:sz w:val="20"/>
          <w:lang w:val="pt-BR"/>
        </w:rPr>
        <w:t xml:space="preserve">ção seja </w:t>
      </w:r>
      <w:r w:rsidR="004756C1" w:rsidRPr="002F50BD">
        <w:rPr>
          <w:rFonts w:ascii="Verdana" w:hAnsi="Verdana"/>
          <w:sz w:val="20"/>
          <w:lang w:val="pt-BR"/>
        </w:rPr>
        <w:t xml:space="preserve">realmente </w:t>
      </w:r>
      <w:r w:rsidRPr="002F50BD">
        <w:rPr>
          <w:rFonts w:ascii="Verdana" w:hAnsi="Verdana"/>
          <w:sz w:val="20"/>
          <w:lang w:val="pt-BR"/>
        </w:rPr>
        <w:t>cumprido</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De acordo com o artigo</w:t>
      </w:r>
      <w:r w:rsidR="004756C1" w:rsidRPr="002F50BD">
        <w:rPr>
          <w:rFonts w:ascii="Verdana" w:hAnsi="Verdana"/>
          <w:sz w:val="20"/>
          <w:lang w:val="pt-BR"/>
        </w:rPr>
        <w:t xml:space="preserve"> </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6603BE"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szCs w:val="26"/>
          <w:lang w:val="pt-BR"/>
        </w:rPr>
        <w:t>deverão</w:t>
      </w:r>
      <w:r w:rsidR="004756C1" w:rsidRPr="002F50BD">
        <w:rPr>
          <w:rFonts w:ascii="Verdana" w:hAnsi="Verdana"/>
          <w:sz w:val="20"/>
          <w:szCs w:val="26"/>
          <w:lang w:val="pt-BR"/>
        </w:rPr>
        <w:t xml:space="preserve"> </w:t>
      </w:r>
      <w:r w:rsidR="006603BE" w:rsidRPr="002F50BD">
        <w:rPr>
          <w:rFonts w:ascii="Verdana" w:hAnsi="Verdana"/>
          <w:sz w:val="20"/>
          <w:szCs w:val="26"/>
          <w:lang w:val="pt-BR"/>
        </w:rPr>
        <w:t xml:space="preserve">ser instituídos </w:t>
      </w:r>
      <w:r w:rsidRPr="002F50BD">
        <w:rPr>
          <w:rFonts w:ascii="Verdana" w:hAnsi="Verdana"/>
          <w:sz w:val="20"/>
          <w:szCs w:val="26"/>
          <w:lang w:val="pt-BR"/>
        </w:rPr>
        <w:t>procedimento</w:t>
      </w:r>
      <w:r w:rsidR="004756C1" w:rsidRPr="002F50BD">
        <w:rPr>
          <w:rFonts w:ascii="Verdana" w:hAnsi="Verdana"/>
          <w:sz w:val="20"/>
          <w:szCs w:val="26"/>
          <w:lang w:val="pt-BR"/>
        </w:rPr>
        <w:t xml:space="preserve">s </w:t>
      </w:r>
      <w:r w:rsidRPr="002F50BD">
        <w:rPr>
          <w:rFonts w:ascii="Verdana" w:hAnsi="Verdana"/>
          <w:sz w:val="20"/>
          <w:szCs w:val="26"/>
          <w:lang w:val="pt-BR"/>
        </w:rPr>
        <w:t>adequad</w:t>
      </w:r>
      <w:r w:rsidR="004756C1" w:rsidRPr="002F50BD">
        <w:rPr>
          <w:rFonts w:ascii="Verdana" w:hAnsi="Verdana"/>
          <w:sz w:val="20"/>
          <w:szCs w:val="26"/>
          <w:lang w:val="pt-BR"/>
        </w:rPr>
        <w:t>os</w:t>
      </w:r>
      <w:r w:rsidRPr="002F50BD">
        <w:rPr>
          <w:rFonts w:ascii="Verdana" w:hAnsi="Verdana"/>
          <w:sz w:val="20"/>
          <w:szCs w:val="26"/>
          <w:lang w:val="pt-BR"/>
        </w:rPr>
        <w:t xml:space="preserve"> no </w:t>
      </w:r>
      <w:r w:rsidR="004756C1" w:rsidRPr="002F50BD">
        <w:rPr>
          <w:rFonts w:ascii="Verdana" w:hAnsi="Verdana"/>
          <w:sz w:val="20"/>
          <w:szCs w:val="26"/>
          <w:lang w:val="pt-BR"/>
        </w:rPr>
        <w:t xml:space="preserve">marco </w:t>
      </w:r>
      <w:r w:rsidRPr="002F50BD">
        <w:rPr>
          <w:rFonts w:ascii="Verdana" w:hAnsi="Verdana"/>
          <w:sz w:val="20"/>
          <w:szCs w:val="26"/>
          <w:lang w:val="pt-BR"/>
        </w:rPr>
        <w:t xml:space="preserve">do </w:t>
      </w:r>
      <w:r w:rsidR="004756C1" w:rsidRPr="002F50BD">
        <w:rPr>
          <w:rFonts w:ascii="Verdana" w:hAnsi="Verdana"/>
          <w:sz w:val="20"/>
          <w:szCs w:val="26"/>
          <w:lang w:val="pt-BR"/>
        </w:rPr>
        <w:t xml:space="preserve">sistema jurídico nacional para </w:t>
      </w:r>
      <w:r w:rsidR="004076AD" w:rsidRPr="002F50BD">
        <w:rPr>
          <w:rFonts w:ascii="Verdana" w:hAnsi="Verdana"/>
          <w:sz w:val="20"/>
          <w:szCs w:val="26"/>
          <w:lang w:val="pt-BR"/>
        </w:rPr>
        <w:t>processar</w:t>
      </w:r>
      <w:r w:rsidRPr="002F50BD">
        <w:rPr>
          <w:rFonts w:ascii="Verdana" w:hAnsi="Verdana"/>
          <w:sz w:val="20"/>
          <w:szCs w:val="26"/>
          <w:lang w:val="pt-BR"/>
        </w:rPr>
        <w:t xml:space="preserve"> as </w:t>
      </w:r>
      <w:r w:rsidR="004756C1" w:rsidRPr="002F50BD">
        <w:rPr>
          <w:rFonts w:ascii="Verdana" w:hAnsi="Verdana"/>
          <w:sz w:val="20"/>
          <w:szCs w:val="26"/>
          <w:lang w:val="pt-BR"/>
        </w:rPr>
        <w:t>reivindica</w:t>
      </w:r>
      <w:r w:rsidRPr="002F50BD">
        <w:rPr>
          <w:rFonts w:ascii="Verdana" w:hAnsi="Verdana"/>
          <w:sz w:val="20"/>
          <w:szCs w:val="26"/>
          <w:lang w:val="pt-BR"/>
        </w:rPr>
        <w:t>ções</w:t>
      </w:r>
      <w:r w:rsidR="004756C1" w:rsidRPr="002F50BD">
        <w:rPr>
          <w:rFonts w:ascii="Verdana" w:hAnsi="Verdana"/>
          <w:sz w:val="20"/>
          <w:szCs w:val="26"/>
          <w:lang w:val="pt-BR"/>
        </w:rPr>
        <w:t xml:space="preserve"> de </w:t>
      </w:r>
      <w:r w:rsidRPr="002F50BD">
        <w:rPr>
          <w:rFonts w:ascii="Verdana" w:hAnsi="Verdana"/>
          <w:sz w:val="20"/>
          <w:szCs w:val="26"/>
          <w:lang w:val="pt-BR"/>
        </w:rPr>
        <w:t>terra</w:t>
      </w:r>
      <w:r w:rsidR="004756C1" w:rsidRPr="002F50BD">
        <w:rPr>
          <w:rFonts w:ascii="Verdana" w:hAnsi="Verdana"/>
          <w:sz w:val="20"/>
          <w:szCs w:val="26"/>
          <w:lang w:val="pt-BR"/>
        </w:rPr>
        <w:t>s</w:t>
      </w:r>
      <w:r w:rsidRPr="002F50BD">
        <w:rPr>
          <w:rFonts w:ascii="Verdana" w:hAnsi="Verdana"/>
          <w:sz w:val="20"/>
          <w:szCs w:val="26"/>
          <w:lang w:val="pt-BR"/>
        </w:rPr>
        <w:t xml:space="preserve"> dos povo</w:t>
      </w:r>
      <w:r w:rsidR="004756C1" w:rsidRPr="002F50BD">
        <w:rPr>
          <w:rFonts w:ascii="Verdana" w:hAnsi="Verdana"/>
          <w:sz w:val="20"/>
          <w:szCs w:val="26"/>
          <w:lang w:val="pt-BR"/>
        </w:rPr>
        <w:t xml:space="preserve">s indígenas </w:t>
      </w:r>
      <w:r w:rsidRPr="002F50BD">
        <w:rPr>
          <w:rFonts w:ascii="Verdana" w:hAnsi="Verdana"/>
          <w:sz w:val="20"/>
          <w:szCs w:val="26"/>
          <w:lang w:val="pt-BR"/>
        </w:rPr>
        <w:t>interessad</w:t>
      </w:r>
      <w:r w:rsidR="004756C1" w:rsidRPr="002F50BD">
        <w:rPr>
          <w:rFonts w:ascii="Verdana" w:hAnsi="Verdana"/>
          <w:sz w:val="20"/>
          <w:szCs w:val="26"/>
          <w:lang w:val="pt-BR"/>
        </w:rPr>
        <w:t>os</w:t>
      </w:r>
      <w:r w:rsidR="00DB51F0" w:rsidRPr="002F50BD">
        <w:rPr>
          <w:rFonts w:ascii="Verdana" w:hAnsi="Verdana"/>
          <w:sz w:val="20"/>
          <w:szCs w:val="26"/>
          <w:lang w:val="pt-BR"/>
        </w:rPr>
        <w:t xml:space="preserve">. Os </w:t>
      </w:r>
      <w:r w:rsidR="004756C1" w:rsidRPr="002F50BD">
        <w:rPr>
          <w:rFonts w:ascii="Verdana" w:hAnsi="Verdana"/>
          <w:sz w:val="20"/>
          <w:szCs w:val="26"/>
          <w:lang w:val="pt-BR"/>
        </w:rPr>
        <w:t xml:space="preserve">Estados </w:t>
      </w:r>
      <w:r w:rsidRPr="002F50BD">
        <w:rPr>
          <w:rFonts w:ascii="Verdana" w:hAnsi="Verdana"/>
          <w:sz w:val="20"/>
          <w:szCs w:val="26"/>
          <w:lang w:val="pt-BR"/>
        </w:rPr>
        <w:t>deverão</w:t>
      </w:r>
      <w:r w:rsidR="004756C1" w:rsidRPr="002F50BD">
        <w:rPr>
          <w:rFonts w:ascii="Verdana" w:hAnsi="Verdana"/>
          <w:sz w:val="20"/>
          <w:szCs w:val="26"/>
          <w:lang w:val="pt-BR"/>
        </w:rPr>
        <w:t xml:space="preserve"> </w:t>
      </w:r>
      <w:r w:rsidRPr="002F50BD">
        <w:rPr>
          <w:rFonts w:ascii="Verdana" w:hAnsi="Verdana"/>
          <w:sz w:val="20"/>
          <w:szCs w:val="26"/>
          <w:lang w:val="pt-BR"/>
        </w:rPr>
        <w:t>estabelece</w:t>
      </w:r>
      <w:r w:rsidR="004756C1" w:rsidRPr="002F50BD">
        <w:rPr>
          <w:rFonts w:ascii="Verdana" w:hAnsi="Verdana"/>
          <w:sz w:val="20"/>
          <w:szCs w:val="26"/>
          <w:lang w:val="pt-BR"/>
        </w:rPr>
        <w:t xml:space="preserve">r </w:t>
      </w:r>
      <w:r w:rsidRPr="002F50BD">
        <w:rPr>
          <w:rFonts w:ascii="Verdana" w:hAnsi="Verdana"/>
          <w:sz w:val="20"/>
          <w:szCs w:val="26"/>
          <w:lang w:val="pt-BR"/>
        </w:rPr>
        <w:t>este</w:t>
      </w:r>
      <w:r w:rsidR="004756C1" w:rsidRPr="002F50BD">
        <w:rPr>
          <w:rFonts w:ascii="Verdana" w:hAnsi="Verdana"/>
          <w:sz w:val="20"/>
          <w:szCs w:val="26"/>
          <w:lang w:val="pt-BR"/>
        </w:rPr>
        <w:t xml:space="preserve">s </w:t>
      </w:r>
      <w:r w:rsidRPr="002F50BD">
        <w:rPr>
          <w:rFonts w:ascii="Verdana" w:hAnsi="Verdana"/>
          <w:sz w:val="20"/>
          <w:szCs w:val="26"/>
          <w:lang w:val="pt-BR"/>
        </w:rPr>
        <w:t>procedimento</w:t>
      </w:r>
      <w:r w:rsidR="004756C1" w:rsidRPr="002F50BD">
        <w:rPr>
          <w:rFonts w:ascii="Verdana" w:hAnsi="Verdana"/>
          <w:sz w:val="20"/>
          <w:szCs w:val="26"/>
          <w:lang w:val="pt-BR"/>
        </w:rPr>
        <w:t>s a</w:t>
      </w:r>
      <w:r w:rsidRPr="002F50BD">
        <w:rPr>
          <w:rFonts w:ascii="Verdana" w:hAnsi="Verdana"/>
          <w:sz w:val="20"/>
          <w:szCs w:val="26"/>
          <w:lang w:val="pt-BR"/>
        </w:rPr>
        <w:t xml:space="preserve"> fim </w:t>
      </w:r>
      <w:r w:rsidR="004756C1" w:rsidRPr="002F50BD">
        <w:rPr>
          <w:rFonts w:ascii="Verdana" w:hAnsi="Verdana"/>
          <w:sz w:val="20"/>
          <w:szCs w:val="26"/>
          <w:lang w:val="pt-BR"/>
        </w:rPr>
        <w:t>de resolver</w:t>
      </w:r>
      <w:r w:rsidRPr="002F50BD">
        <w:rPr>
          <w:rFonts w:ascii="Verdana" w:hAnsi="Verdana"/>
          <w:sz w:val="20"/>
          <w:szCs w:val="26"/>
          <w:lang w:val="pt-BR"/>
        </w:rPr>
        <w:t xml:space="preserve"> os </w:t>
      </w:r>
      <w:r w:rsidR="004756C1" w:rsidRPr="002F50BD">
        <w:rPr>
          <w:rFonts w:ascii="Verdana" w:hAnsi="Verdana"/>
          <w:sz w:val="20"/>
          <w:szCs w:val="26"/>
          <w:lang w:val="pt-BR"/>
        </w:rPr>
        <w:t>reclamos de modo que</w:t>
      </w:r>
      <w:r w:rsidRPr="002F50BD">
        <w:rPr>
          <w:rFonts w:ascii="Verdana" w:hAnsi="Verdana"/>
          <w:sz w:val="20"/>
          <w:szCs w:val="26"/>
          <w:lang w:val="pt-BR"/>
        </w:rPr>
        <w:t xml:space="preserve"> estes povo</w:t>
      </w:r>
      <w:r w:rsidR="004756C1" w:rsidRPr="002F50BD">
        <w:rPr>
          <w:rFonts w:ascii="Verdana" w:hAnsi="Verdana"/>
          <w:sz w:val="20"/>
          <w:szCs w:val="26"/>
          <w:lang w:val="pt-BR"/>
        </w:rPr>
        <w:t xml:space="preserve">s </w:t>
      </w:r>
      <w:r w:rsidRPr="002F50BD">
        <w:rPr>
          <w:rFonts w:ascii="Verdana" w:hAnsi="Verdana"/>
          <w:sz w:val="20"/>
          <w:szCs w:val="26"/>
          <w:lang w:val="pt-BR"/>
        </w:rPr>
        <w:t xml:space="preserve">tenham uma possibilidade </w:t>
      </w:r>
      <w:r w:rsidR="004756C1" w:rsidRPr="002F50BD">
        <w:rPr>
          <w:rFonts w:ascii="Verdana" w:hAnsi="Verdana"/>
          <w:sz w:val="20"/>
          <w:szCs w:val="26"/>
          <w:lang w:val="pt-BR"/>
        </w:rPr>
        <w:t>real de devolu</w:t>
      </w:r>
      <w:r w:rsidRPr="002F50BD">
        <w:rPr>
          <w:rFonts w:ascii="Verdana" w:hAnsi="Verdana"/>
          <w:sz w:val="20"/>
          <w:szCs w:val="26"/>
          <w:lang w:val="pt-BR"/>
        </w:rPr>
        <w:t>ção</w:t>
      </w:r>
      <w:r w:rsidR="004756C1" w:rsidRPr="002F50BD">
        <w:rPr>
          <w:rFonts w:ascii="Verdana" w:hAnsi="Verdana"/>
          <w:sz w:val="20"/>
          <w:szCs w:val="26"/>
          <w:lang w:val="pt-BR"/>
        </w:rPr>
        <w:t xml:space="preserve"> de </w:t>
      </w:r>
      <w:r w:rsidR="00A50140" w:rsidRPr="002F50BD">
        <w:rPr>
          <w:rFonts w:ascii="Verdana" w:hAnsi="Verdana"/>
          <w:sz w:val="20"/>
          <w:szCs w:val="26"/>
          <w:lang w:val="pt-BR"/>
        </w:rPr>
        <w:t>suas terras</w:t>
      </w:r>
      <w:r w:rsidR="004756C1" w:rsidRPr="002F50BD">
        <w:rPr>
          <w:rFonts w:ascii="Verdana" w:hAnsi="Verdana"/>
          <w:sz w:val="20"/>
          <w:szCs w:val="26"/>
          <w:lang w:val="pt-BR"/>
        </w:rPr>
        <w:t>.</w:t>
      </w:r>
      <w:r w:rsidR="00FE08B7">
        <w:rPr>
          <w:rFonts w:ascii="Verdana" w:hAnsi="Verdana"/>
          <w:sz w:val="20"/>
          <w:szCs w:val="26"/>
          <w:lang w:val="pt-BR"/>
        </w:rPr>
        <w:t xml:space="preserve"> </w:t>
      </w:r>
      <w:r w:rsidR="004756C1" w:rsidRPr="002F50BD">
        <w:rPr>
          <w:rFonts w:ascii="Verdana" w:hAnsi="Verdana"/>
          <w:sz w:val="20"/>
          <w:szCs w:val="26"/>
          <w:lang w:val="pt-BR"/>
        </w:rPr>
        <w:t>Para</w:t>
      </w:r>
      <w:r w:rsidRPr="002F50BD">
        <w:rPr>
          <w:rFonts w:ascii="Verdana" w:hAnsi="Verdana"/>
          <w:sz w:val="20"/>
          <w:szCs w:val="26"/>
          <w:lang w:val="pt-BR"/>
        </w:rPr>
        <w:t xml:space="preserve"> </w:t>
      </w:r>
      <w:r w:rsidR="004D555D" w:rsidRPr="002F50BD">
        <w:rPr>
          <w:rFonts w:ascii="Verdana" w:hAnsi="Verdana"/>
          <w:sz w:val="20"/>
          <w:szCs w:val="26"/>
          <w:lang w:val="pt-BR"/>
        </w:rPr>
        <w:t>isso</w:t>
      </w:r>
      <w:r w:rsidR="004756C1" w:rsidRPr="002F50BD">
        <w:rPr>
          <w:rFonts w:ascii="Verdana" w:hAnsi="Verdana"/>
          <w:sz w:val="20"/>
          <w:szCs w:val="26"/>
          <w:lang w:val="pt-BR"/>
        </w:rPr>
        <w:t>,</w:t>
      </w:r>
      <w:r w:rsidRPr="002F50BD">
        <w:rPr>
          <w:rFonts w:ascii="Verdana" w:hAnsi="Verdana"/>
          <w:sz w:val="20"/>
          <w:szCs w:val="26"/>
          <w:lang w:val="pt-BR"/>
        </w:rPr>
        <w:t xml:space="preserve"> a </w:t>
      </w:r>
      <w:r w:rsidRPr="002F50BD">
        <w:rPr>
          <w:rFonts w:ascii="Verdana" w:hAnsi="Verdana"/>
          <w:sz w:val="20"/>
          <w:lang w:val="pt-BR"/>
        </w:rPr>
        <w:t>obrigação</w:t>
      </w:r>
      <w:r w:rsidR="004756C1" w:rsidRPr="002F50BD">
        <w:rPr>
          <w:rFonts w:ascii="Verdana" w:hAnsi="Verdana"/>
          <w:sz w:val="20"/>
          <w:lang w:val="pt-BR"/>
        </w:rPr>
        <w:t xml:space="preserve"> </w:t>
      </w:r>
      <w:r w:rsidRPr="002F50BD">
        <w:rPr>
          <w:rFonts w:ascii="Verdana" w:hAnsi="Verdana"/>
          <w:sz w:val="20"/>
          <w:lang w:val="pt-BR"/>
        </w:rPr>
        <w:t>geral</w:t>
      </w:r>
      <w:r w:rsidR="004756C1" w:rsidRPr="002F50BD">
        <w:rPr>
          <w:rFonts w:ascii="Verdana" w:hAnsi="Verdana"/>
          <w:sz w:val="20"/>
          <w:lang w:val="pt-BR"/>
        </w:rPr>
        <w:t xml:space="preserve"> de </w:t>
      </w:r>
      <w:r w:rsidRPr="002F50BD">
        <w:rPr>
          <w:rFonts w:ascii="Verdana" w:hAnsi="Verdana"/>
          <w:sz w:val="20"/>
          <w:lang w:val="pt-BR"/>
        </w:rPr>
        <w:t>garantia estabelecid</w:t>
      </w:r>
      <w:r w:rsidR="004756C1" w:rsidRPr="002F50BD">
        <w:rPr>
          <w:rFonts w:ascii="Verdana" w:hAnsi="Verdana"/>
          <w:sz w:val="20"/>
          <w:lang w:val="pt-BR"/>
        </w:rPr>
        <w:t>a</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004756C1" w:rsidRPr="002F50BD">
        <w:rPr>
          <w:rFonts w:ascii="Verdana" w:hAnsi="Verdana"/>
          <w:sz w:val="20"/>
          <w:lang w:val="pt-BR"/>
        </w:rPr>
        <w:t xml:space="preserve"> </w:t>
      </w:r>
      <w:r w:rsidRPr="002F50BD">
        <w:rPr>
          <w:rFonts w:ascii="Verdana" w:hAnsi="Verdana"/>
          <w:sz w:val="20"/>
          <w:lang w:val="pt-BR"/>
        </w:rPr>
        <w:t>deste</w:t>
      </w:r>
      <w:r w:rsidR="004756C1" w:rsidRPr="002F50BD">
        <w:rPr>
          <w:rFonts w:ascii="Verdana" w:hAnsi="Verdana"/>
          <w:sz w:val="20"/>
          <w:lang w:val="pt-BR"/>
        </w:rPr>
        <w:t xml:space="preserve"> tratado </w:t>
      </w:r>
      <w:r w:rsidR="004076AD" w:rsidRPr="002F50BD">
        <w:rPr>
          <w:rFonts w:ascii="Verdana" w:hAnsi="Verdana"/>
          <w:sz w:val="20"/>
          <w:lang w:val="pt-BR"/>
        </w:rPr>
        <w:t xml:space="preserve">impõe </w:t>
      </w:r>
      <w:r w:rsidRPr="002F50BD">
        <w:rPr>
          <w:rFonts w:ascii="Verdana" w:hAnsi="Verdana"/>
          <w:sz w:val="20"/>
          <w:lang w:val="pt-BR"/>
        </w:rPr>
        <w:t xml:space="preserve">aos </w:t>
      </w:r>
      <w:r w:rsidR="004756C1" w:rsidRPr="002F50BD">
        <w:rPr>
          <w:rFonts w:ascii="Verdana" w:hAnsi="Verdana"/>
          <w:sz w:val="20"/>
          <w:lang w:val="pt-BR"/>
        </w:rPr>
        <w:t>Estados</w:t>
      </w:r>
      <w:r w:rsidRPr="002F50BD">
        <w:rPr>
          <w:rFonts w:ascii="Verdana" w:hAnsi="Verdana"/>
          <w:sz w:val="20"/>
          <w:lang w:val="pt-BR"/>
        </w:rPr>
        <w:t xml:space="preserve"> o dever</w:t>
      </w:r>
      <w:r w:rsidR="004756C1" w:rsidRPr="002F50BD">
        <w:rPr>
          <w:rFonts w:ascii="Verdana" w:hAnsi="Verdana"/>
          <w:sz w:val="20"/>
          <w:lang w:val="pt-BR"/>
        </w:rPr>
        <w:t xml:space="preserve"> de </w:t>
      </w:r>
      <w:r w:rsidR="004D555D" w:rsidRPr="002F50BD">
        <w:rPr>
          <w:rFonts w:ascii="Verdana" w:hAnsi="Verdana"/>
          <w:sz w:val="20"/>
          <w:lang w:val="pt-BR"/>
        </w:rPr>
        <w:t>garantir</w:t>
      </w:r>
      <w:r w:rsidR="004756C1" w:rsidRPr="002F50BD">
        <w:rPr>
          <w:rFonts w:ascii="Verdana" w:hAnsi="Verdana"/>
          <w:sz w:val="20"/>
          <w:lang w:val="pt-BR"/>
        </w:rPr>
        <w:t xml:space="preserve"> que</w:t>
      </w:r>
      <w:r w:rsidRPr="002F50BD">
        <w:rPr>
          <w:rFonts w:ascii="Verdana" w:hAnsi="Verdana"/>
          <w:sz w:val="20"/>
          <w:lang w:val="pt-BR"/>
        </w:rPr>
        <w:t xml:space="preserve"> os trâmite</w:t>
      </w:r>
      <w:r w:rsidR="004756C1" w:rsidRPr="002F50BD">
        <w:rPr>
          <w:rFonts w:ascii="Verdana" w:hAnsi="Verdana"/>
          <w:sz w:val="20"/>
          <w:lang w:val="pt-BR"/>
        </w:rPr>
        <w:t xml:space="preserve">s </w:t>
      </w:r>
      <w:r w:rsidRPr="002F50BD">
        <w:rPr>
          <w:rFonts w:ascii="Verdana" w:hAnsi="Verdana"/>
          <w:sz w:val="20"/>
          <w:lang w:val="pt-BR"/>
        </w:rPr>
        <w:t>destes procedimento</w:t>
      </w:r>
      <w:r w:rsidR="004756C1" w:rsidRPr="002F50BD">
        <w:rPr>
          <w:rFonts w:ascii="Verdana" w:hAnsi="Verdana"/>
          <w:sz w:val="20"/>
          <w:lang w:val="pt-BR"/>
        </w:rPr>
        <w:t>s</w:t>
      </w:r>
      <w:r w:rsidRPr="002F50BD">
        <w:rPr>
          <w:rFonts w:ascii="Verdana" w:hAnsi="Verdana"/>
          <w:sz w:val="20"/>
          <w:lang w:val="pt-BR"/>
        </w:rPr>
        <w:t xml:space="preserve"> sejam </w:t>
      </w:r>
      <w:r w:rsidR="004756C1" w:rsidRPr="002F50BD">
        <w:rPr>
          <w:rFonts w:ascii="Verdana" w:hAnsi="Verdana"/>
          <w:sz w:val="20"/>
          <w:lang w:val="pt-BR"/>
        </w:rPr>
        <w:t>ace</w:t>
      </w:r>
      <w:r w:rsidR="006603BE" w:rsidRPr="002F50BD">
        <w:rPr>
          <w:rFonts w:ascii="Verdana" w:hAnsi="Verdana"/>
          <w:sz w:val="20"/>
          <w:lang w:val="pt-BR"/>
        </w:rPr>
        <w:t>s</w:t>
      </w:r>
      <w:r w:rsidR="004756C1" w:rsidRPr="002F50BD">
        <w:rPr>
          <w:rFonts w:ascii="Verdana" w:hAnsi="Verdana"/>
          <w:sz w:val="20"/>
          <w:lang w:val="pt-BR"/>
        </w:rPr>
        <w:t>s</w:t>
      </w:r>
      <w:r w:rsidRPr="002F50BD">
        <w:rPr>
          <w:rFonts w:ascii="Verdana" w:hAnsi="Verdana"/>
          <w:sz w:val="20"/>
          <w:lang w:val="pt-BR"/>
        </w:rPr>
        <w:t xml:space="preserve">íveis e </w:t>
      </w:r>
      <w:r w:rsidR="004756C1" w:rsidRPr="002F50BD">
        <w:rPr>
          <w:rFonts w:ascii="Verdana" w:hAnsi="Verdana"/>
          <w:sz w:val="20"/>
          <w:lang w:val="pt-BR"/>
        </w:rPr>
        <w:t>simples</w:t>
      </w:r>
      <w:r w:rsidR="006603BE" w:rsidRPr="002F50BD">
        <w:rPr>
          <w:rFonts w:ascii="Verdana" w:hAnsi="Verdana"/>
          <w:sz w:val="20"/>
          <w:lang w:val="pt-BR"/>
        </w:rPr>
        <w:t>,</w:t>
      </w:r>
      <w:r w:rsidRPr="002F50BD">
        <w:rPr>
          <w:rFonts w:ascii="Verdana" w:hAnsi="Verdana"/>
          <w:sz w:val="20"/>
          <w:lang w:val="pt-BR"/>
        </w:rPr>
        <w:t xml:space="preserve"> e </w:t>
      </w:r>
      <w:r w:rsidR="004756C1" w:rsidRPr="002F50BD">
        <w:rPr>
          <w:rFonts w:ascii="Verdana" w:hAnsi="Verdana"/>
          <w:sz w:val="20"/>
          <w:lang w:val="pt-BR"/>
        </w:rPr>
        <w:t>que</w:t>
      </w:r>
      <w:r w:rsidRPr="002F50BD">
        <w:rPr>
          <w:rFonts w:ascii="Verdana" w:hAnsi="Verdana"/>
          <w:sz w:val="20"/>
          <w:lang w:val="pt-BR"/>
        </w:rPr>
        <w:t xml:space="preserve"> os órgão</w:t>
      </w:r>
      <w:r w:rsidR="004756C1" w:rsidRPr="002F50BD">
        <w:rPr>
          <w:rFonts w:ascii="Verdana" w:hAnsi="Verdana"/>
          <w:sz w:val="20"/>
          <w:lang w:val="pt-BR"/>
        </w:rPr>
        <w:t xml:space="preserve">s </w:t>
      </w:r>
      <w:r w:rsidR="004D555D" w:rsidRPr="002F50BD">
        <w:rPr>
          <w:rFonts w:ascii="Verdana" w:hAnsi="Verdana"/>
          <w:sz w:val="20"/>
          <w:lang w:val="pt-BR"/>
        </w:rPr>
        <w:t xml:space="preserve">responsáveis </w:t>
      </w:r>
      <w:r w:rsidR="004076AD" w:rsidRPr="002F50BD">
        <w:rPr>
          <w:rFonts w:ascii="Verdana" w:hAnsi="Verdana"/>
          <w:sz w:val="20"/>
          <w:lang w:val="pt-BR"/>
        </w:rPr>
        <w:t>contem</w:t>
      </w:r>
      <w:r w:rsidRPr="002F50BD">
        <w:rPr>
          <w:rFonts w:ascii="Verdana" w:hAnsi="Verdana"/>
          <w:sz w:val="20"/>
          <w:lang w:val="pt-BR"/>
        </w:rPr>
        <w:t xml:space="preserve"> com 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técnicas</w:t>
      </w:r>
      <w:r w:rsidRPr="002F50BD">
        <w:rPr>
          <w:rFonts w:ascii="Verdana" w:hAnsi="Verdana"/>
          <w:sz w:val="20"/>
          <w:lang w:val="pt-BR"/>
        </w:rPr>
        <w:t xml:space="preserve"> e </w:t>
      </w:r>
      <w:r w:rsidR="004076AD" w:rsidRPr="002F50BD">
        <w:rPr>
          <w:rFonts w:ascii="Verdana" w:hAnsi="Verdana"/>
          <w:sz w:val="20"/>
          <w:lang w:val="pt-BR"/>
        </w:rPr>
        <w:t>materiais</w:t>
      </w:r>
      <w:r w:rsidR="004756C1" w:rsidRPr="002F50BD">
        <w:rPr>
          <w:rFonts w:ascii="Verdana" w:hAnsi="Verdana"/>
          <w:sz w:val="20"/>
          <w:lang w:val="pt-BR"/>
        </w:rPr>
        <w:t xml:space="preserve"> </w:t>
      </w:r>
      <w:r w:rsidRPr="002F50BD">
        <w:rPr>
          <w:rFonts w:ascii="Verdana" w:hAnsi="Verdana"/>
          <w:sz w:val="20"/>
          <w:lang w:val="pt-BR"/>
        </w:rPr>
        <w:t>necessári</w:t>
      </w:r>
      <w:r w:rsidR="004756C1" w:rsidRPr="002F50BD">
        <w:rPr>
          <w:rFonts w:ascii="Verdana" w:hAnsi="Verdana"/>
          <w:sz w:val="20"/>
          <w:lang w:val="pt-BR"/>
        </w:rPr>
        <w:t>as para dar res</w:t>
      </w:r>
      <w:r w:rsidRPr="002F50BD">
        <w:rPr>
          <w:rFonts w:ascii="Verdana" w:hAnsi="Verdana"/>
          <w:sz w:val="20"/>
          <w:lang w:val="pt-BR"/>
        </w:rPr>
        <w:t xml:space="preserve">posta </w:t>
      </w:r>
      <w:r w:rsidR="004D555D" w:rsidRPr="002F50BD">
        <w:rPr>
          <w:rFonts w:ascii="Verdana" w:hAnsi="Verdana"/>
          <w:sz w:val="20"/>
          <w:lang w:val="pt-BR"/>
        </w:rPr>
        <w:t xml:space="preserve">oportuna </w:t>
      </w:r>
      <w:r w:rsidRPr="002F50BD">
        <w:rPr>
          <w:rFonts w:ascii="Verdana" w:hAnsi="Verdana"/>
          <w:sz w:val="20"/>
          <w:lang w:val="pt-BR"/>
        </w:rPr>
        <w:t>às solicitações</w:t>
      </w:r>
      <w:r w:rsidR="004756C1" w:rsidRPr="002F50BD">
        <w:rPr>
          <w:rFonts w:ascii="Verdana" w:hAnsi="Verdana"/>
          <w:sz w:val="20"/>
          <w:lang w:val="pt-BR"/>
        </w:rPr>
        <w:t xml:space="preserve"> que </w:t>
      </w:r>
      <w:r w:rsidR="004D555D" w:rsidRPr="002F50BD">
        <w:rPr>
          <w:rFonts w:ascii="Verdana" w:hAnsi="Verdana"/>
          <w:sz w:val="20"/>
          <w:lang w:val="pt-BR"/>
        </w:rPr>
        <w:t xml:space="preserve">sejam feitas </w:t>
      </w:r>
      <w:r w:rsidRPr="002F50BD">
        <w:rPr>
          <w:rFonts w:ascii="Verdana" w:hAnsi="Verdana"/>
          <w:sz w:val="20"/>
          <w:lang w:val="pt-BR"/>
        </w:rPr>
        <w:t xml:space="preserve">no </w:t>
      </w:r>
      <w:r w:rsidR="004D555D" w:rsidRPr="002F50BD">
        <w:rPr>
          <w:rFonts w:ascii="Verdana" w:hAnsi="Verdana"/>
          <w:sz w:val="20"/>
          <w:lang w:val="pt-BR"/>
        </w:rPr>
        <w:t xml:space="preserve">âmbito </w:t>
      </w:r>
      <w:r w:rsidRPr="002F50BD">
        <w:rPr>
          <w:rFonts w:ascii="Verdana" w:hAnsi="Verdana"/>
          <w:sz w:val="20"/>
          <w:lang w:val="pt-BR"/>
        </w:rPr>
        <w:t>deste</w:t>
      </w:r>
      <w:r w:rsidR="004756C1" w:rsidRPr="002F50BD">
        <w:rPr>
          <w:rFonts w:ascii="Verdana" w:hAnsi="Verdana"/>
          <w:sz w:val="20"/>
          <w:lang w:val="pt-BR"/>
        </w:rPr>
        <w:t xml:space="preserve">s </w:t>
      </w:r>
      <w:r w:rsidRPr="002F50BD">
        <w:rPr>
          <w:rFonts w:ascii="Verdana" w:hAnsi="Verdana"/>
          <w:sz w:val="20"/>
          <w:lang w:val="pt-BR"/>
        </w:rPr>
        <w:t>procedimento</w:t>
      </w:r>
      <w:r w:rsidR="004756C1" w:rsidRPr="002F50BD">
        <w:rPr>
          <w:rFonts w:ascii="Verdana" w:hAnsi="Verdana"/>
          <w:sz w:val="20"/>
          <w:lang w:val="pt-BR"/>
        </w:rPr>
        <w:t xml:space="preserve">s. </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i/>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Pr="002F50BD">
        <w:rPr>
          <w:rFonts w:ascii="Verdana" w:hAnsi="Verdana"/>
          <w:sz w:val="20"/>
          <w:lang w:val="pt-BR"/>
        </w:rPr>
        <w:t xml:space="preserve"> o Paraguai</w:t>
      </w:r>
      <w:r w:rsidR="004756C1" w:rsidRPr="002F50BD">
        <w:rPr>
          <w:rFonts w:ascii="Verdana" w:hAnsi="Verdana"/>
          <w:sz w:val="20"/>
          <w:lang w:val="pt-BR"/>
        </w:rPr>
        <w:t xml:space="preserve"> </w:t>
      </w:r>
      <w:r w:rsidR="00AB454A" w:rsidRPr="002F50BD">
        <w:rPr>
          <w:rFonts w:ascii="Verdana" w:hAnsi="Verdana"/>
          <w:sz w:val="20"/>
          <w:lang w:val="pt-BR"/>
        </w:rPr>
        <w:t>não adotou</w:t>
      </w:r>
      <w:r w:rsidRPr="002F50BD">
        <w:rPr>
          <w:rFonts w:ascii="Verdana" w:hAnsi="Verdana"/>
          <w:sz w:val="20"/>
          <w:lang w:val="pt-BR"/>
        </w:rPr>
        <w:t xml:space="preserve"> as </w:t>
      </w:r>
      <w:r w:rsidR="004756C1" w:rsidRPr="002F50BD">
        <w:rPr>
          <w:rFonts w:ascii="Verdana" w:hAnsi="Verdana"/>
          <w:sz w:val="20"/>
          <w:lang w:val="pt-BR"/>
        </w:rPr>
        <w:t xml:space="preserve">medidas </w:t>
      </w:r>
      <w:r w:rsidRPr="002F50BD">
        <w:rPr>
          <w:rFonts w:ascii="Verdana" w:hAnsi="Verdana"/>
          <w:sz w:val="20"/>
          <w:lang w:val="pt-BR"/>
        </w:rPr>
        <w:t>adequad</w:t>
      </w:r>
      <w:r w:rsidR="004756C1" w:rsidRPr="002F50BD">
        <w:rPr>
          <w:rFonts w:ascii="Verdana" w:hAnsi="Verdana"/>
          <w:sz w:val="20"/>
          <w:lang w:val="pt-BR"/>
        </w:rPr>
        <w:t xml:space="preserve">as de </w:t>
      </w:r>
      <w:r w:rsidRPr="002F50BD">
        <w:rPr>
          <w:rFonts w:ascii="Verdana" w:hAnsi="Verdana"/>
          <w:sz w:val="20"/>
          <w:lang w:val="pt-BR"/>
        </w:rPr>
        <w:t>direito</w:t>
      </w:r>
      <w:r w:rsidR="004756C1" w:rsidRPr="002F50BD">
        <w:rPr>
          <w:rFonts w:ascii="Verdana" w:hAnsi="Verdana"/>
          <w:sz w:val="20"/>
          <w:lang w:val="pt-BR"/>
        </w:rPr>
        <w:t xml:space="preserve"> interno </w:t>
      </w:r>
      <w:r w:rsidRPr="002F50BD">
        <w:rPr>
          <w:rFonts w:ascii="Verdana" w:hAnsi="Verdana"/>
          <w:sz w:val="20"/>
          <w:lang w:val="pt-BR"/>
        </w:rPr>
        <w:t>necessári</w:t>
      </w:r>
      <w:r w:rsidR="004756C1" w:rsidRPr="002F50BD">
        <w:rPr>
          <w:rFonts w:ascii="Verdana" w:hAnsi="Verdana"/>
          <w:sz w:val="20"/>
          <w:lang w:val="pt-BR"/>
        </w:rPr>
        <w:t xml:space="preserve">as para </w:t>
      </w:r>
      <w:r w:rsidRPr="002F50BD">
        <w:rPr>
          <w:rFonts w:ascii="Verdana" w:hAnsi="Verdana"/>
          <w:sz w:val="20"/>
          <w:lang w:val="pt-BR"/>
        </w:rPr>
        <w:t>assegurar um procedimento</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o que d</w:t>
      </w:r>
      <w:r w:rsidR="004D555D" w:rsidRPr="002F50BD">
        <w:rPr>
          <w:rFonts w:ascii="Verdana" w:hAnsi="Verdana"/>
          <w:sz w:val="20"/>
          <w:lang w:val="pt-BR"/>
        </w:rPr>
        <w:t>ê</w:t>
      </w:r>
      <w:r w:rsidRPr="002F50BD">
        <w:rPr>
          <w:rFonts w:ascii="Verdana" w:hAnsi="Verdana"/>
          <w:sz w:val="20"/>
          <w:lang w:val="pt-BR"/>
        </w:rPr>
        <w:t xml:space="preserve"> uma </w:t>
      </w:r>
      <w:r w:rsidR="004756C1" w:rsidRPr="002F50BD">
        <w:rPr>
          <w:rFonts w:ascii="Verdana" w:hAnsi="Verdana"/>
          <w:sz w:val="20"/>
          <w:lang w:val="pt-BR"/>
        </w:rPr>
        <w:t>solu</w:t>
      </w:r>
      <w:r w:rsidRPr="002F50BD">
        <w:rPr>
          <w:rFonts w:ascii="Verdana" w:hAnsi="Verdana"/>
          <w:sz w:val="20"/>
          <w:lang w:val="pt-BR"/>
        </w:rPr>
        <w:t>ção</w:t>
      </w:r>
      <w:r w:rsidR="004756C1" w:rsidRPr="002F50BD">
        <w:rPr>
          <w:rFonts w:ascii="Verdana" w:hAnsi="Verdana"/>
          <w:sz w:val="20"/>
          <w:lang w:val="pt-BR"/>
        </w:rPr>
        <w:t xml:space="preserve"> definitiva</w:t>
      </w:r>
      <w:r w:rsidRPr="002F50BD">
        <w:rPr>
          <w:rFonts w:ascii="Verdana" w:hAnsi="Verdana"/>
          <w:sz w:val="20"/>
          <w:lang w:val="pt-BR"/>
        </w:rPr>
        <w:t xml:space="preserve"> à </w:t>
      </w:r>
      <w:r w:rsidR="004756C1" w:rsidRPr="002F50BD">
        <w:rPr>
          <w:rFonts w:ascii="Verdana" w:hAnsi="Verdana"/>
          <w:sz w:val="20"/>
          <w:lang w:val="pt-BR"/>
        </w:rPr>
        <w:t>reclama</w:t>
      </w:r>
      <w:r w:rsidRPr="002F50BD">
        <w:rPr>
          <w:rFonts w:ascii="Verdana" w:hAnsi="Verdana"/>
          <w:sz w:val="20"/>
          <w:lang w:val="pt-BR"/>
        </w:rPr>
        <w:t>ção</w:t>
      </w:r>
      <w:r w:rsidR="004756C1" w:rsidRPr="002F50BD">
        <w:rPr>
          <w:rFonts w:ascii="Verdana" w:hAnsi="Verdana"/>
          <w:sz w:val="20"/>
          <w:lang w:val="pt-BR"/>
        </w:rPr>
        <w:t xml:space="preserve"> </w:t>
      </w:r>
      <w:r w:rsidR="004D555D" w:rsidRPr="002F50BD">
        <w:rPr>
          <w:rFonts w:ascii="Verdana" w:hAnsi="Verdana"/>
          <w:sz w:val="20"/>
          <w:lang w:val="pt-BR"/>
        </w:rPr>
        <w:t xml:space="preserve">feita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nos termo</w:t>
      </w:r>
      <w:r w:rsidR="004756C1" w:rsidRPr="002F50BD">
        <w:rPr>
          <w:rFonts w:ascii="Verdana" w:hAnsi="Verdana"/>
          <w:sz w:val="20"/>
          <w:lang w:val="pt-BR"/>
        </w:rPr>
        <w:t xml:space="preserve">s </w:t>
      </w:r>
      <w:r w:rsidRPr="002F50BD">
        <w:rPr>
          <w:rFonts w:ascii="Verdana" w:hAnsi="Verdana"/>
          <w:sz w:val="20"/>
          <w:lang w:val="pt-BR"/>
        </w:rPr>
        <w:t>do parágrafo</w:t>
      </w:r>
      <w:r w:rsidR="004756C1" w:rsidRPr="002F50BD">
        <w:rPr>
          <w:rFonts w:ascii="Verdana" w:hAnsi="Verdana"/>
          <w:sz w:val="20"/>
          <w:lang w:val="pt-BR"/>
        </w:rPr>
        <w:t xml:space="preserve"> anterior. </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 xml:space="preserve">Por </w:t>
      </w:r>
      <w:r w:rsidR="004D555D" w:rsidRPr="002F50BD">
        <w:rPr>
          <w:rFonts w:ascii="Verdana" w:hAnsi="Verdana"/>
          <w:sz w:val="20"/>
          <w:lang w:val="pt-BR"/>
        </w:rPr>
        <w:t xml:space="preserve">tudo o que foi exposto </w:t>
      </w:r>
      <w:r w:rsidRPr="002F50BD">
        <w:rPr>
          <w:rFonts w:ascii="Verdana" w:hAnsi="Verdana"/>
          <w:sz w:val="20"/>
          <w:lang w:val="pt-BR"/>
        </w:rPr>
        <w:t>anteriormente,</w:t>
      </w:r>
      <w:r w:rsidR="0089298C" w:rsidRPr="002F50BD">
        <w:rPr>
          <w:rFonts w:ascii="Verdana" w:hAnsi="Verdana"/>
          <w:sz w:val="20"/>
          <w:lang w:val="pt-BR"/>
        </w:rPr>
        <w:t xml:space="preserve"> a </w:t>
      </w:r>
      <w:r w:rsidRPr="002F50BD">
        <w:rPr>
          <w:rFonts w:ascii="Verdana" w:hAnsi="Verdana"/>
          <w:sz w:val="20"/>
          <w:lang w:val="pt-BR"/>
        </w:rPr>
        <w:t>Corte considera que</w:t>
      </w:r>
      <w:r w:rsidR="0089298C" w:rsidRPr="002F50BD">
        <w:rPr>
          <w:rFonts w:ascii="Verdana" w:hAnsi="Verdana"/>
          <w:sz w:val="20"/>
          <w:lang w:val="pt-BR"/>
        </w:rPr>
        <w:t xml:space="preserve"> o procedimento</w:t>
      </w:r>
      <w:r w:rsidRPr="002F50BD">
        <w:rPr>
          <w:rFonts w:ascii="Verdana" w:hAnsi="Verdana"/>
          <w:sz w:val="20"/>
          <w:lang w:val="pt-BR"/>
        </w:rPr>
        <w:t xml:space="preserve"> legal 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s instaurado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 des</w:t>
      </w:r>
      <w:r w:rsidR="0089298C" w:rsidRPr="002F50BD">
        <w:rPr>
          <w:rFonts w:ascii="Verdana" w:hAnsi="Verdana"/>
          <w:sz w:val="20"/>
          <w:lang w:val="pt-BR"/>
        </w:rPr>
        <w:t>conheceu o princípio</w:t>
      </w:r>
      <w:r w:rsidRPr="002F50BD">
        <w:rPr>
          <w:rFonts w:ascii="Verdana" w:hAnsi="Verdana"/>
          <w:sz w:val="20"/>
          <w:lang w:val="pt-BR"/>
        </w:rPr>
        <w:t xml:space="preserve"> </w:t>
      </w:r>
      <w:r w:rsidR="0089298C" w:rsidRPr="002F50BD">
        <w:rPr>
          <w:rFonts w:ascii="Verdana" w:hAnsi="Verdana"/>
          <w:sz w:val="20"/>
          <w:lang w:val="pt-BR"/>
        </w:rPr>
        <w:t>do prazo</w:t>
      </w:r>
      <w:r w:rsidRPr="002F50BD">
        <w:rPr>
          <w:rFonts w:ascii="Verdana" w:hAnsi="Verdana"/>
          <w:sz w:val="20"/>
          <w:lang w:val="pt-BR"/>
        </w:rPr>
        <w:t xml:space="preserve"> </w:t>
      </w:r>
      <w:r w:rsidR="0089298C" w:rsidRPr="002F50BD">
        <w:rPr>
          <w:rFonts w:ascii="Verdana" w:hAnsi="Verdana"/>
          <w:sz w:val="20"/>
          <w:lang w:val="pt-BR"/>
        </w:rPr>
        <w:t xml:space="preserve">razoável e </w:t>
      </w:r>
      <w:r w:rsidRPr="002F50BD">
        <w:rPr>
          <w:rFonts w:ascii="Verdana" w:hAnsi="Verdana"/>
          <w:sz w:val="20"/>
          <w:lang w:val="pt-BR"/>
        </w:rPr>
        <w:t xml:space="preserve">se </w:t>
      </w:r>
      <w:r w:rsidR="004D555D" w:rsidRPr="002F50BD">
        <w:rPr>
          <w:rFonts w:ascii="Verdana" w:hAnsi="Verdana"/>
          <w:sz w:val="20"/>
          <w:lang w:val="pt-BR"/>
        </w:rPr>
        <w:t>mostrou</w:t>
      </w:r>
      <w:r w:rsidRPr="002F50BD">
        <w:rPr>
          <w:rFonts w:ascii="Verdana" w:hAnsi="Verdana"/>
          <w:sz w:val="20"/>
          <w:lang w:val="pt-BR"/>
        </w:rPr>
        <w:t xml:space="preserve"> </w:t>
      </w:r>
      <w:r w:rsidR="0089298C" w:rsidRPr="002F50BD">
        <w:rPr>
          <w:rFonts w:ascii="Verdana" w:hAnsi="Verdana"/>
          <w:sz w:val="20"/>
          <w:lang w:val="pt-BR"/>
        </w:rPr>
        <w:t>abert</w:t>
      </w:r>
      <w:r w:rsidRPr="002F50BD">
        <w:rPr>
          <w:rFonts w:ascii="Verdana" w:hAnsi="Verdana"/>
          <w:sz w:val="20"/>
          <w:lang w:val="pt-BR"/>
        </w:rPr>
        <w:t>amente in</w:t>
      </w:r>
      <w:r w:rsidR="0089298C" w:rsidRPr="002F50BD">
        <w:rPr>
          <w:rFonts w:ascii="Verdana" w:hAnsi="Verdana"/>
          <w:sz w:val="20"/>
          <w:lang w:val="pt-BR"/>
        </w:rPr>
        <w:t>ef</w:t>
      </w:r>
      <w:r w:rsidR="004D555D" w:rsidRPr="002F50BD">
        <w:rPr>
          <w:rFonts w:ascii="Verdana" w:hAnsi="Verdana"/>
          <w:sz w:val="20"/>
          <w:lang w:val="pt-BR"/>
        </w:rPr>
        <w:t>iciente</w:t>
      </w:r>
      <w:r w:rsidRPr="002F50BD">
        <w:rPr>
          <w:rFonts w:ascii="Verdana" w:hAnsi="Verdana"/>
          <w:sz w:val="20"/>
          <w:lang w:val="pt-BR"/>
        </w:rPr>
        <w:t>, t</w:t>
      </w:r>
      <w:r w:rsidR="004D555D" w:rsidRPr="002F50BD">
        <w:rPr>
          <w:rFonts w:ascii="Verdana" w:hAnsi="Verdana"/>
          <w:sz w:val="20"/>
          <w:lang w:val="pt-BR"/>
        </w:rPr>
        <w:t xml:space="preserve">udo isso </w:t>
      </w:r>
      <w:r w:rsidR="0089298C" w:rsidRPr="002F50BD">
        <w:rPr>
          <w:rFonts w:ascii="Verdana" w:hAnsi="Verdana"/>
          <w:sz w:val="20"/>
          <w:lang w:val="pt-BR"/>
        </w:rPr>
        <w:t xml:space="preserve">em </w:t>
      </w:r>
      <w:r w:rsidRPr="002F50BD">
        <w:rPr>
          <w:rFonts w:ascii="Verdana" w:hAnsi="Verdana"/>
          <w:sz w:val="20"/>
          <w:lang w:val="pt-BR"/>
        </w:rPr>
        <w:t>viola</w:t>
      </w:r>
      <w:r w:rsidR="0089298C" w:rsidRPr="002F50BD">
        <w:rPr>
          <w:rFonts w:ascii="Verdana" w:hAnsi="Verdana"/>
          <w:sz w:val="20"/>
          <w:lang w:val="pt-BR"/>
        </w:rPr>
        <w:t xml:space="preserve">ção </w:t>
      </w:r>
      <w:r w:rsidR="00F07905" w:rsidRPr="002F50BD">
        <w:rPr>
          <w:rFonts w:ascii="Verdana" w:hAnsi="Verdana"/>
          <w:sz w:val="20"/>
          <w:lang w:val="pt-BR"/>
        </w:rPr>
        <w:t>a</w:t>
      </w:r>
      <w:r w:rsidR="0089298C" w:rsidRPr="002F50BD">
        <w:rPr>
          <w:rFonts w:ascii="Verdana" w:hAnsi="Verdana"/>
          <w:sz w:val="20"/>
          <w:lang w:val="pt-BR"/>
        </w:rPr>
        <w:t>os artigo</w:t>
      </w:r>
      <w:r w:rsidRPr="002F50BD">
        <w:rPr>
          <w:rFonts w:ascii="Verdana" w:hAnsi="Verdana"/>
          <w:sz w:val="20"/>
          <w:lang w:val="pt-BR"/>
        </w:rPr>
        <w:t xml:space="preserve">s </w:t>
      </w:r>
      <w:r w:rsidR="00063B47" w:rsidRPr="002F50BD">
        <w:rPr>
          <w:rFonts w:ascii="Verdana" w:hAnsi="Verdana"/>
          <w:sz w:val="20"/>
          <w:lang w:val="pt-BR"/>
        </w:rPr>
        <w:t>8</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Americana,</w:t>
      </w:r>
      <w:r w:rsidR="0089298C" w:rsidRPr="002F50BD">
        <w:rPr>
          <w:rFonts w:ascii="Verdana" w:hAnsi="Verdana"/>
          <w:sz w:val="20"/>
          <w:lang w:val="pt-BR"/>
        </w:rPr>
        <w:t xml:space="preserve"> em concordância com os artigo</w:t>
      </w:r>
      <w:r w:rsidRPr="002F50BD">
        <w:rPr>
          <w:rFonts w:ascii="Verdana" w:hAnsi="Verdana"/>
          <w:sz w:val="20"/>
          <w:lang w:val="pt-BR"/>
        </w:rPr>
        <w:t xml:space="preserve">s </w:t>
      </w:r>
      <w:r w:rsidR="00063B47" w:rsidRPr="002F50BD">
        <w:rPr>
          <w:rFonts w:ascii="Verdana" w:hAnsi="Verdana"/>
          <w:sz w:val="20"/>
          <w:lang w:val="pt-BR"/>
        </w:rPr>
        <w:t>1</w:t>
      </w:r>
      <w:r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e </w:t>
      </w:r>
      <w:r w:rsidR="00063B47" w:rsidRPr="002F50BD">
        <w:rPr>
          <w:rFonts w:ascii="Verdana" w:hAnsi="Verdana"/>
          <w:sz w:val="20"/>
          <w:lang w:val="pt-BR"/>
        </w:rPr>
        <w:t>2</w:t>
      </w:r>
      <w:r w:rsidR="0089298C" w:rsidRPr="002F50BD">
        <w:rPr>
          <w:rFonts w:ascii="Verdana" w:hAnsi="Verdana"/>
          <w:sz w:val="20"/>
          <w:lang w:val="pt-BR"/>
        </w:rPr>
        <w:t xml:space="preserve"> da mesm</w:t>
      </w:r>
      <w:r w:rsidRPr="002F50BD">
        <w:rPr>
          <w:rFonts w:ascii="Verdana" w:hAnsi="Verdana"/>
          <w:sz w:val="20"/>
          <w:lang w:val="pt-BR"/>
        </w:rPr>
        <w:t>a.</w:t>
      </w:r>
    </w:p>
    <w:p w:rsidR="004756C1" w:rsidRPr="002F50BD" w:rsidRDefault="004756C1">
      <w:pPr>
        <w:jc w:val="both"/>
        <w:rPr>
          <w:rFonts w:ascii="Verdana" w:hAnsi="Verdana"/>
          <w:sz w:val="20"/>
          <w:lang w:val="pt-BR"/>
        </w:rPr>
      </w:pPr>
    </w:p>
    <w:p w:rsidR="004756C1" w:rsidRPr="002F50BD" w:rsidRDefault="004D555D">
      <w:pPr>
        <w:numPr>
          <w:ilvl w:val="0"/>
          <w:numId w:val="28"/>
        </w:numPr>
        <w:jc w:val="both"/>
        <w:rPr>
          <w:rFonts w:ascii="Verdana" w:hAnsi="Verdana"/>
          <w:sz w:val="20"/>
          <w:lang w:val="pt-BR"/>
        </w:rPr>
      </w:pPr>
      <w:r w:rsidRPr="002F50BD">
        <w:rPr>
          <w:rFonts w:ascii="Verdana" w:hAnsi="Verdana"/>
          <w:sz w:val="20"/>
          <w:lang w:val="pt-BR"/>
        </w:rPr>
        <w:t>Q</w:t>
      </w:r>
      <w:r w:rsidR="0089298C" w:rsidRPr="002F50BD">
        <w:rPr>
          <w:rFonts w:ascii="Verdana" w:hAnsi="Verdana"/>
          <w:sz w:val="20"/>
          <w:lang w:val="pt-BR"/>
        </w:rPr>
        <w:t xml:space="preserve">uanto ao </w:t>
      </w:r>
      <w:r w:rsidR="004756C1" w:rsidRPr="002F50BD">
        <w:rPr>
          <w:rFonts w:ascii="Verdana" w:hAnsi="Verdana"/>
          <w:sz w:val="20"/>
          <w:lang w:val="pt-BR"/>
        </w:rPr>
        <w:t>recurso de amparo</w:t>
      </w:r>
      <w:r w:rsidR="0089298C" w:rsidRPr="002F50BD">
        <w:rPr>
          <w:rFonts w:ascii="Verdana" w:hAnsi="Verdana"/>
          <w:sz w:val="20"/>
          <w:lang w:val="pt-BR"/>
        </w:rPr>
        <w:t xml:space="preserve"> e às ações</w:t>
      </w:r>
      <w:r w:rsidR="004756C1" w:rsidRPr="002F50BD">
        <w:rPr>
          <w:rFonts w:ascii="Verdana" w:hAnsi="Verdana"/>
          <w:sz w:val="20"/>
          <w:lang w:val="pt-BR"/>
        </w:rPr>
        <w:t xml:space="preserve"> de </w:t>
      </w:r>
      <w:r w:rsidRPr="002F50BD">
        <w:rPr>
          <w:rFonts w:ascii="Verdana" w:hAnsi="Verdana"/>
          <w:sz w:val="20"/>
          <w:lang w:val="pt-BR"/>
        </w:rPr>
        <w:t xml:space="preserve">não inovação </w:t>
      </w:r>
      <w:r w:rsidR="0089298C" w:rsidRPr="002F50BD">
        <w:rPr>
          <w:rFonts w:ascii="Verdana" w:hAnsi="Verdana"/>
          <w:sz w:val="20"/>
          <w:lang w:val="pt-BR"/>
        </w:rPr>
        <w:t xml:space="preserve">e </w:t>
      </w:r>
      <w:r w:rsidRPr="002F50BD">
        <w:rPr>
          <w:rFonts w:ascii="Verdana" w:hAnsi="Verdana"/>
          <w:sz w:val="20"/>
          <w:lang w:val="pt-BR"/>
        </w:rPr>
        <w:t xml:space="preserve">registro da </w:t>
      </w:r>
      <w:r w:rsidR="00F07905" w:rsidRPr="002F50BD">
        <w:rPr>
          <w:rFonts w:ascii="Verdana" w:hAnsi="Verdana"/>
          <w:sz w:val="20"/>
          <w:lang w:val="pt-BR"/>
        </w:rPr>
        <w:t>lide</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considera que</w:t>
      </w:r>
      <w:r w:rsidR="0089298C" w:rsidRPr="002F50BD">
        <w:rPr>
          <w:rFonts w:ascii="Verdana" w:hAnsi="Verdana"/>
          <w:sz w:val="20"/>
          <w:lang w:val="pt-BR"/>
        </w:rPr>
        <w:t xml:space="preserve"> são processo</w:t>
      </w:r>
      <w:r w:rsidR="004756C1" w:rsidRPr="002F50BD">
        <w:rPr>
          <w:rFonts w:ascii="Verdana" w:hAnsi="Verdana"/>
          <w:sz w:val="20"/>
          <w:lang w:val="pt-BR"/>
        </w:rPr>
        <w:t xml:space="preserve">s </w:t>
      </w:r>
      <w:r w:rsidR="0089298C" w:rsidRPr="002F50BD">
        <w:rPr>
          <w:rFonts w:ascii="Verdana" w:hAnsi="Verdana"/>
          <w:sz w:val="20"/>
          <w:lang w:val="pt-BR"/>
        </w:rPr>
        <w:t>acess</w:t>
      </w:r>
      <w:r w:rsidRPr="002F50BD">
        <w:rPr>
          <w:rFonts w:ascii="Verdana" w:hAnsi="Verdana"/>
          <w:sz w:val="20"/>
          <w:lang w:val="pt-BR"/>
        </w:rPr>
        <w:t>ó</w:t>
      </w:r>
      <w:r w:rsidR="004756C1" w:rsidRPr="002F50BD">
        <w:rPr>
          <w:rFonts w:ascii="Verdana" w:hAnsi="Verdana"/>
          <w:sz w:val="20"/>
          <w:lang w:val="pt-BR"/>
        </w:rPr>
        <w:t xml:space="preserve">rios, que </w:t>
      </w:r>
      <w:r w:rsidR="0089298C" w:rsidRPr="002F50BD">
        <w:rPr>
          <w:rFonts w:ascii="Verdana" w:hAnsi="Verdana"/>
          <w:sz w:val="20"/>
          <w:lang w:val="pt-BR"/>
        </w:rPr>
        <w:t>dependem do processo</w:t>
      </w:r>
      <w:r w:rsidR="004756C1" w:rsidRPr="002F50BD">
        <w:rPr>
          <w:rFonts w:ascii="Verdana" w:hAnsi="Verdana"/>
          <w:sz w:val="20"/>
          <w:lang w:val="pt-BR"/>
        </w:rPr>
        <w:t xml:space="preserve"> administrativo de reivindica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que</w:t>
      </w:r>
      <w:r w:rsidR="0089298C" w:rsidRPr="002F50BD">
        <w:rPr>
          <w:rFonts w:ascii="Verdana" w:hAnsi="Verdana"/>
          <w:sz w:val="20"/>
          <w:lang w:val="pt-BR"/>
        </w:rPr>
        <w:t xml:space="preserve"> já foi qualific</w:t>
      </w:r>
      <w:r w:rsidR="004756C1" w:rsidRPr="002F50BD">
        <w:rPr>
          <w:rFonts w:ascii="Verdana" w:hAnsi="Verdana"/>
          <w:sz w:val="20"/>
          <w:lang w:val="pt-BR"/>
        </w:rPr>
        <w:t>ado</w:t>
      </w:r>
      <w:r w:rsidR="0089298C" w:rsidRPr="002F50BD">
        <w:rPr>
          <w:rFonts w:ascii="Verdana" w:hAnsi="Verdana"/>
          <w:sz w:val="20"/>
          <w:lang w:val="pt-BR"/>
        </w:rPr>
        <w:t xml:space="preserve"> pela </w:t>
      </w:r>
      <w:r w:rsidR="004756C1" w:rsidRPr="002F50BD">
        <w:rPr>
          <w:rFonts w:ascii="Verdana" w:hAnsi="Verdana"/>
          <w:sz w:val="20"/>
          <w:lang w:val="pt-BR"/>
        </w:rPr>
        <w:t xml:space="preserve">Corte como </w:t>
      </w:r>
      <w:r w:rsidRPr="002F50BD">
        <w:rPr>
          <w:rFonts w:ascii="Verdana" w:hAnsi="Verdana"/>
          <w:sz w:val="20"/>
          <w:lang w:val="pt-BR"/>
        </w:rPr>
        <w:t>ineficiente</w:t>
      </w:r>
      <w:r w:rsidR="004756C1" w:rsidRPr="002F50BD">
        <w:rPr>
          <w:rFonts w:ascii="Verdana" w:hAnsi="Verdana"/>
          <w:sz w:val="20"/>
          <w:lang w:val="pt-BR"/>
        </w:rPr>
        <w:t xml:space="preserve">. </w:t>
      </w:r>
      <w:r w:rsidRPr="002F50BD">
        <w:rPr>
          <w:rFonts w:ascii="Verdana" w:hAnsi="Verdana"/>
          <w:sz w:val="20"/>
          <w:lang w:val="pt-BR"/>
        </w:rPr>
        <w:t xml:space="preserve">De maneira </w:t>
      </w:r>
      <w:r w:rsidR="0089298C" w:rsidRPr="002F50BD">
        <w:rPr>
          <w:rFonts w:ascii="Verdana" w:hAnsi="Verdana"/>
          <w:sz w:val="20"/>
          <w:lang w:val="pt-BR"/>
        </w:rPr>
        <w:t xml:space="preserve">que </w:t>
      </w:r>
      <w:r w:rsidR="004756C1" w:rsidRPr="002F50BD">
        <w:rPr>
          <w:rFonts w:ascii="Verdana" w:hAnsi="Verdana"/>
          <w:sz w:val="20"/>
          <w:lang w:val="pt-BR"/>
        </w:rPr>
        <w:t>n</w:t>
      </w:r>
      <w:r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há necessidade </w:t>
      </w:r>
      <w:r w:rsidR="004756C1" w:rsidRPr="002F50BD">
        <w:rPr>
          <w:rFonts w:ascii="Verdana" w:hAnsi="Verdana"/>
          <w:sz w:val="20"/>
          <w:lang w:val="pt-BR"/>
        </w:rPr>
        <w:t>de entrar</w:t>
      </w:r>
      <w:r w:rsidR="0089298C" w:rsidRPr="002F50BD">
        <w:rPr>
          <w:rFonts w:ascii="Verdana" w:hAnsi="Verdana"/>
          <w:sz w:val="20"/>
          <w:lang w:val="pt-BR"/>
        </w:rPr>
        <w:t xml:space="preserve"> em mais detalhe</w:t>
      </w:r>
      <w:r w:rsidR="004756C1" w:rsidRPr="002F50BD">
        <w:rPr>
          <w:rFonts w:ascii="Verdana" w:hAnsi="Verdana"/>
          <w:sz w:val="20"/>
          <w:lang w:val="pt-BR"/>
        </w:rPr>
        <w:t xml:space="preserve">s. </w:t>
      </w:r>
    </w:p>
    <w:p w:rsidR="004756C1" w:rsidRPr="002F50BD" w:rsidRDefault="004756C1">
      <w:pPr>
        <w:ind w:left="1080" w:hanging="360"/>
        <w:jc w:val="both"/>
        <w:rPr>
          <w:rFonts w:ascii="Verdana" w:hAnsi="Verdana"/>
          <w:i/>
          <w:sz w:val="20"/>
          <w:lang w:val="pt-BR"/>
        </w:rPr>
      </w:pPr>
    </w:p>
    <w:p w:rsidR="004756C1" w:rsidRPr="002F50BD" w:rsidRDefault="004756C1">
      <w:pPr>
        <w:ind w:left="1080" w:hanging="360"/>
        <w:jc w:val="both"/>
        <w:rPr>
          <w:rFonts w:ascii="Verdana" w:hAnsi="Verdana"/>
          <w:i/>
          <w:sz w:val="20"/>
          <w:lang w:val="pt-BR"/>
        </w:rPr>
      </w:pPr>
      <w:r w:rsidRPr="002F50BD">
        <w:rPr>
          <w:rFonts w:ascii="Verdana" w:hAnsi="Verdana"/>
          <w:i/>
          <w:sz w:val="20"/>
          <w:lang w:val="pt-BR"/>
        </w:rPr>
        <w:t>b</w:t>
      </w:r>
      <w:r w:rsidR="00CF451D" w:rsidRPr="00CF451D">
        <w:rPr>
          <w:rFonts w:ascii="Verdana" w:hAnsi="Verdana"/>
          <w:sz w:val="20"/>
          <w:lang w:val="pt-BR"/>
        </w:rPr>
        <w:t>)</w:t>
      </w:r>
      <w:r w:rsidRPr="002F50BD">
        <w:rPr>
          <w:rFonts w:ascii="Verdana" w:hAnsi="Verdana"/>
          <w:i/>
          <w:sz w:val="20"/>
          <w:lang w:val="pt-BR"/>
        </w:rPr>
        <w:tab/>
      </w:r>
      <w:r w:rsidR="0089298C" w:rsidRPr="002F50BD">
        <w:rPr>
          <w:rFonts w:ascii="Verdana" w:hAnsi="Verdana"/>
          <w:i/>
          <w:sz w:val="20"/>
          <w:lang w:val="pt-BR"/>
        </w:rPr>
        <w:t>Procedimento</w:t>
      </w:r>
      <w:r w:rsidRPr="002F50BD">
        <w:rPr>
          <w:rFonts w:ascii="Verdana" w:hAnsi="Verdana"/>
          <w:i/>
          <w:sz w:val="20"/>
          <w:lang w:val="pt-BR"/>
        </w:rPr>
        <w:t xml:space="preserve"> penal instaurado</w:t>
      </w:r>
      <w:r w:rsidR="00AB454A" w:rsidRPr="002F50BD">
        <w:rPr>
          <w:rFonts w:ascii="Verdana" w:hAnsi="Verdana"/>
          <w:i/>
          <w:sz w:val="20"/>
          <w:lang w:val="pt-BR"/>
        </w:rPr>
        <w:t xml:space="preserve"> contra </w:t>
      </w:r>
      <w:r w:rsidR="0089298C" w:rsidRPr="002F50BD">
        <w:rPr>
          <w:rFonts w:ascii="Verdana" w:hAnsi="Verdana"/>
          <w:i/>
          <w:sz w:val="20"/>
          <w:lang w:val="pt-BR"/>
        </w:rPr>
        <w:t>os membro</w:t>
      </w:r>
      <w:r w:rsidRPr="002F50BD">
        <w:rPr>
          <w:rFonts w:ascii="Verdana" w:hAnsi="Verdana"/>
          <w:i/>
          <w:sz w:val="20"/>
          <w:lang w:val="pt-BR"/>
        </w:rPr>
        <w:t>s</w:t>
      </w:r>
      <w:r w:rsidR="0089298C" w:rsidRPr="002F50BD">
        <w:rPr>
          <w:rFonts w:ascii="Verdana" w:hAnsi="Verdana"/>
          <w:i/>
          <w:sz w:val="20"/>
          <w:lang w:val="pt-BR"/>
        </w:rPr>
        <w:t xml:space="preserve"> da </w:t>
      </w:r>
      <w:r w:rsidRPr="002F50BD">
        <w:rPr>
          <w:rFonts w:ascii="Verdana" w:hAnsi="Verdana"/>
          <w:i/>
          <w:sz w:val="20"/>
          <w:lang w:val="pt-BR"/>
        </w:rPr>
        <w:t>Comunidad</w:t>
      </w:r>
      <w:r w:rsidR="004D555D" w:rsidRPr="002F50BD">
        <w:rPr>
          <w:rFonts w:ascii="Verdana" w:hAnsi="Verdana"/>
          <w:i/>
          <w:sz w:val="20"/>
          <w:lang w:val="pt-BR"/>
        </w:rPr>
        <w:t>e</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 xml:space="preserve">Os </w:t>
      </w:r>
      <w:r w:rsidR="008C29C9" w:rsidRPr="002F50BD">
        <w:rPr>
          <w:rFonts w:ascii="Verdana" w:hAnsi="Verdana"/>
          <w:sz w:val="20"/>
          <w:lang w:val="pt-BR"/>
        </w:rPr>
        <w:t>representante</w:t>
      </w:r>
      <w:r w:rsidRPr="002F50BD">
        <w:rPr>
          <w:rFonts w:ascii="Verdana" w:hAnsi="Verdana"/>
          <w:sz w:val="20"/>
          <w:lang w:val="pt-BR"/>
        </w:rPr>
        <w:t xml:space="preserve">s </w:t>
      </w:r>
      <w:r w:rsidR="0089298C" w:rsidRPr="002F50BD">
        <w:rPr>
          <w:rFonts w:ascii="Verdana" w:hAnsi="Verdana"/>
          <w:sz w:val="20"/>
          <w:lang w:val="pt-BR"/>
        </w:rPr>
        <w:t>alegaram</w:t>
      </w:r>
      <w:r w:rsidR="004756C1" w:rsidRPr="002F50BD">
        <w:rPr>
          <w:rFonts w:ascii="Verdana" w:hAnsi="Verdana"/>
          <w:sz w:val="20"/>
          <w:lang w:val="pt-BR"/>
        </w:rPr>
        <w:t xml:space="preserve"> que</w:t>
      </w:r>
      <w:r w:rsidR="0089298C" w:rsidRPr="002F50BD">
        <w:rPr>
          <w:rFonts w:ascii="Verdana" w:hAnsi="Verdana"/>
          <w:sz w:val="20"/>
          <w:lang w:val="pt-BR"/>
        </w:rPr>
        <w:t xml:space="preserve"> o procedimento</w:t>
      </w:r>
      <w:r w:rsidR="00AB454A" w:rsidRPr="002F50BD">
        <w:rPr>
          <w:rFonts w:ascii="Verdana" w:hAnsi="Verdana"/>
          <w:sz w:val="20"/>
          <w:lang w:val="pt-BR"/>
        </w:rPr>
        <w:t xml:space="preserve"> contra </w:t>
      </w:r>
      <w:r w:rsidR="00E0567F" w:rsidRPr="002F50BD">
        <w:rPr>
          <w:rFonts w:ascii="Verdana" w:hAnsi="Verdana"/>
          <w:sz w:val="20"/>
          <w:lang w:val="pt-BR"/>
        </w:rPr>
        <w:t xml:space="preserve">membros não identificados </w:t>
      </w:r>
      <w:r w:rsidR="0089298C" w:rsidRPr="002F50BD">
        <w:rPr>
          <w:rFonts w:ascii="Verdana" w:hAnsi="Verdana"/>
          <w:sz w:val="20"/>
          <w:lang w:val="pt-BR"/>
        </w:rPr>
        <w:t xml:space="preserve">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 xml:space="preserve">delitos de </w:t>
      </w:r>
      <w:r w:rsidR="00500DEF" w:rsidRPr="002F50BD">
        <w:rPr>
          <w:rFonts w:ascii="Verdana" w:hAnsi="Verdana"/>
          <w:sz w:val="20"/>
          <w:lang w:val="pt-BR"/>
        </w:rPr>
        <w:t>invasão</w:t>
      </w:r>
      <w:r w:rsidR="004756C1" w:rsidRPr="002F50BD">
        <w:rPr>
          <w:rFonts w:ascii="Verdana" w:hAnsi="Verdana"/>
          <w:sz w:val="20"/>
          <w:lang w:val="pt-BR"/>
        </w:rPr>
        <w:t xml:space="preserve"> de </w:t>
      </w:r>
      <w:r w:rsidR="0089298C" w:rsidRPr="002F50BD">
        <w:rPr>
          <w:rFonts w:ascii="Verdana" w:hAnsi="Verdana"/>
          <w:sz w:val="20"/>
          <w:lang w:val="pt-BR"/>
        </w:rPr>
        <w:t>imóvel</w:t>
      </w:r>
      <w:r w:rsidR="004756C1" w:rsidRPr="002F50BD">
        <w:rPr>
          <w:rFonts w:ascii="Verdana" w:hAnsi="Verdana"/>
          <w:sz w:val="20"/>
          <w:lang w:val="pt-BR"/>
        </w:rPr>
        <w:t xml:space="preserve"> </w:t>
      </w:r>
      <w:r w:rsidR="0089298C" w:rsidRPr="002F50BD">
        <w:rPr>
          <w:rFonts w:ascii="Verdana" w:hAnsi="Verdana"/>
          <w:sz w:val="20"/>
          <w:lang w:val="pt-BR"/>
        </w:rPr>
        <w:t>alheio</w:t>
      </w:r>
      <w:r w:rsidR="004756C1" w:rsidRPr="002F50BD">
        <w:rPr>
          <w:rFonts w:ascii="Verdana" w:hAnsi="Verdana"/>
          <w:sz w:val="20"/>
          <w:lang w:val="pt-BR"/>
        </w:rPr>
        <w:t>, co</w:t>
      </w:r>
      <w:r w:rsidRPr="002F50BD">
        <w:rPr>
          <w:rFonts w:ascii="Verdana" w:hAnsi="Verdana"/>
          <w:sz w:val="20"/>
          <w:lang w:val="pt-BR"/>
        </w:rPr>
        <w:t>ação</w:t>
      </w:r>
      <w:r w:rsidR="004756C1" w:rsidRPr="002F50BD">
        <w:rPr>
          <w:rFonts w:ascii="Verdana" w:hAnsi="Verdana"/>
          <w:sz w:val="20"/>
          <w:lang w:val="pt-BR"/>
        </w:rPr>
        <w:t xml:space="preserve"> grave</w:t>
      </w:r>
      <w:r w:rsidR="0089298C" w:rsidRPr="002F50BD">
        <w:rPr>
          <w:rFonts w:ascii="Verdana" w:hAnsi="Verdana"/>
          <w:sz w:val="20"/>
          <w:lang w:val="pt-BR"/>
        </w:rPr>
        <w:t xml:space="preserve"> e </w:t>
      </w:r>
      <w:r w:rsidR="00500DEF" w:rsidRPr="002F50BD">
        <w:rPr>
          <w:rFonts w:ascii="Verdana" w:hAnsi="Verdana"/>
          <w:sz w:val="20"/>
          <w:lang w:val="pt-BR"/>
        </w:rPr>
        <w:t>furto</w:t>
      </w:r>
      <w:r w:rsidR="004756C1" w:rsidRPr="002F50BD">
        <w:rPr>
          <w:rFonts w:ascii="Verdana" w:hAnsi="Verdana"/>
          <w:sz w:val="20"/>
          <w:lang w:val="pt-BR"/>
        </w:rPr>
        <w:t xml:space="preserve">, </w:t>
      </w:r>
      <w:r w:rsidR="00E0567F" w:rsidRPr="002F50BD">
        <w:rPr>
          <w:rFonts w:ascii="Verdana" w:hAnsi="Verdana"/>
          <w:sz w:val="20"/>
          <w:lang w:val="pt-BR"/>
        </w:rPr>
        <w:t>tramitado per</w:t>
      </w:r>
      <w:r w:rsidR="004756C1" w:rsidRPr="002F50BD">
        <w:rPr>
          <w:rFonts w:ascii="Verdana" w:hAnsi="Verdana"/>
          <w:sz w:val="20"/>
          <w:lang w:val="pt-BR"/>
        </w:rPr>
        <w:t>ante</w:t>
      </w:r>
      <w:r w:rsidR="0089298C" w:rsidRPr="002F50BD">
        <w:rPr>
          <w:rFonts w:ascii="Verdana" w:hAnsi="Verdana"/>
          <w:sz w:val="20"/>
          <w:lang w:val="pt-BR"/>
        </w:rPr>
        <w:t xml:space="preserve"> o Juiz</w:t>
      </w:r>
      <w:r w:rsidR="004756C1" w:rsidRPr="002F50BD">
        <w:rPr>
          <w:rFonts w:ascii="Verdana" w:hAnsi="Verdana"/>
          <w:sz w:val="20"/>
          <w:lang w:val="pt-BR"/>
        </w:rPr>
        <w:t xml:space="preserve"> de </w:t>
      </w:r>
      <w:r w:rsidR="00E0567F" w:rsidRPr="002F50BD">
        <w:rPr>
          <w:rFonts w:ascii="Verdana" w:hAnsi="Verdana"/>
          <w:sz w:val="20"/>
          <w:lang w:val="pt-BR"/>
        </w:rPr>
        <w:t xml:space="preserve">Primeira Instância Criminal e Correcional do Menor da Circunscrição </w:t>
      </w:r>
      <w:r w:rsidR="004756C1" w:rsidRPr="002F50BD">
        <w:rPr>
          <w:rFonts w:ascii="Verdana" w:hAnsi="Verdana"/>
          <w:sz w:val="20"/>
          <w:lang w:val="pt-BR"/>
        </w:rPr>
        <w:t xml:space="preserve">Judicial de </w:t>
      </w:r>
      <w:r w:rsidR="00313394" w:rsidRPr="002F50BD">
        <w:rPr>
          <w:rFonts w:ascii="Verdana" w:hAnsi="Verdana"/>
          <w:sz w:val="20"/>
          <w:lang w:val="pt-BR"/>
        </w:rPr>
        <w:t>Concepción</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 xml:space="preserve">párrs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79</w:t>
      </w:r>
      <w:r w:rsidR="004756C1" w:rsidRPr="002F50BD">
        <w:rPr>
          <w:rFonts w:ascii="Verdana" w:hAnsi="Verdana"/>
          <w:sz w:val="20"/>
          <w:lang w:val="pt-BR"/>
        </w:rPr>
        <w:t xml:space="preserve"> a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90</w:t>
      </w:r>
      <w:r w:rsidR="00E0567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foi </w:t>
      </w:r>
      <w:r w:rsidR="00E0567F" w:rsidRPr="002F50BD">
        <w:rPr>
          <w:rFonts w:ascii="Verdana" w:hAnsi="Verdana"/>
          <w:sz w:val="20"/>
          <w:lang w:val="pt-BR"/>
        </w:rPr>
        <w:t>levado adiante</w:t>
      </w:r>
      <w:r w:rsidR="0089298C" w:rsidRPr="002F50BD">
        <w:rPr>
          <w:rFonts w:ascii="Verdana" w:hAnsi="Verdana"/>
          <w:sz w:val="20"/>
          <w:lang w:val="pt-BR"/>
        </w:rPr>
        <w:t xml:space="preserve"> sem as garantias</w:t>
      </w:r>
      <w:r w:rsidR="004756C1" w:rsidRPr="002F50BD">
        <w:rPr>
          <w:rFonts w:ascii="Verdana" w:hAnsi="Verdana"/>
          <w:sz w:val="20"/>
          <w:lang w:val="pt-BR"/>
        </w:rPr>
        <w:t xml:space="preserve"> </w:t>
      </w:r>
      <w:r w:rsidR="0089298C" w:rsidRPr="002F50BD">
        <w:rPr>
          <w:rFonts w:ascii="Verdana" w:hAnsi="Verdana"/>
          <w:sz w:val="20"/>
          <w:lang w:val="pt-BR"/>
        </w:rPr>
        <w:t>processuais</w:t>
      </w:r>
      <w:r w:rsidR="004756C1" w:rsidRPr="002F50BD">
        <w:rPr>
          <w:rFonts w:ascii="Verdana" w:hAnsi="Verdana"/>
          <w:sz w:val="20"/>
          <w:lang w:val="pt-BR"/>
        </w:rPr>
        <w:t xml:space="preserve"> </w:t>
      </w:r>
      <w:r w:rsidR="0089298C" w:rsidRPr="002F50BD">
        <w:rPr>
          <w:rFonts w:ascii="Verdana" w:hAnsi="Verdana"/>
          <w:sz w:val="20"/>
          <w:lang w:val="pt-BR"/>
        </w:rPr>
        <w:t>devidas</w:t>
      </w:r>
      <w:r w:rsidR="004756C1" w:rsidRPr="002F50BD">
        <w:rPr>
          <w:rFonts w:ascii="Verdana" w:hAnsi="Verdana"/>
          <w:sz w:val="20"/>
          <w:lang w:val="pt-BR"/>
        </w:rPr>
        <w:t>, dado que</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EBB" w:rsidRPr="002F50BD">
        <w:rPr>
          <w:rFonts w:ascii="Verdana" w:hAnsi="Verdana"/>
          <w:sz w:val="20"/>
          <w:lang w:val="pt-BR"/>
        </w:rPr>
        <w:t>não tiveram</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 </w:t>
      </w:r>
      <w:r w:rsidR="00F07905" w:rsidRPr="002F50BD">
        <w:rPr>
          <w:rFonts w:ascii="Verdana" w:hAnsi="Verdana"/>
          <w:sz w:val="20"/>
          <w:lang w:val="pt-BR"/>
        </w:rPr>
        <w:t>de</w:t>
      </w:r>
      <w:r w:rsidR="004756C1" w:rsidRPr="002F50BD">
        <w:rPr>
          <w:rFonts w:ascii="Verdana" w:hAnsi="Verdana"/>
          <w:sz w:val="20"/>
          <w:lang w:val="pt-BR"/>
        </w:rPr>
        <w:t xml:space="preserve"> </w:t>
      </w:r>
      <w:r w:rsidR="0089298C" w:rsidRPr="002F50BD">
        <w:rPr>
          <w:rFonts w:ascii="Verdana" w:hAnsi="Verdana"/>
          <w:sz w:val="20"/>
          <w:lang w:val="pt-BR"/>
        </w:rPr>
        <w:t>nomea</w:t>
      </w:r>
      <w:r w:rsidR="004756C1" w:rsidRPr="002F50BD">
        <w:rPr>
          <w:rFonts w:ascii="Verdana" w:hAnsi="Verdana"/>
          <w:sz w:val="20"/>
          <w:lang w:val="pt-BR"/>
        </w:rPr>
        <w:t>r</w:t>
      </w:r>
      <w:r w:rsidR="0089298C" w:rsidRPr="002F50BD">
        <w:rPr>
          <w:rFonts w:ascii="Verdana" w:hAnsi="Verdana"/>
          <w:sz w:val="20"/>
          <w:lang w:val="pt-BR"/>
        </w:rPr>
        <w:t xml:space="preserve"> um advogad</w:t>
      </w:r>
      <w:r w:rsidR="004756C1" w:rsidRPr="002F50BD">
        <w:rPr>
          <w:rFonts w:ascii="Verdana" w:hAnsi="Verdana"/>
          <w:sz w:val="20"/>
          <w:lang w:val="pt-BR"/>
        </w:rPr>
        <w:t>o defensor</w:t>
      </w:r>
      <w:r w:rsidR="0089298C" w:rsidRPr="002F50BD">
        <w:rPr>
          <w:rFonts w:ascii="Verdana" w:hAnsi="Verdana"/>
          <w:sz w:val="20"/>
          <w:lang w:val="pt-BR"/>
        </w:rPr>
        <w:t xml:space="preserve"> nem puderam</w:t>
      </w:r>
      <w:r w:rsidR="004756C1" w:rsidRPr="002F50BD">
        <w:rPr>
          <w:rFonts w:ascii="Verdana" w:hAnsi="Verdana"/>
          <w:sz w:val="20"/>
          <w:lang w:val="pt-BR"/>
        </w:rPr>
        <w:t xml:space="preserve"> </w:t>
      </w:r>
      <w:r w:rsidR="0089298C" w:rsidRPr="002F50BD">
        <w:rPr>
          <w:rFonts w:ascii="Verdana" w:hAnsi="Verdana"/>
          <w:sz w:val="20"/>
          <w:lang w:val="pt-BR"/>
        </w:rPr>
        <w:t>exercer</w:t>
      </w:r>
      <w:r w:rsidR="004756C1" w:rsidRPr="002F50BD">
        <w:rPr>
          <w:rFonts w:ascii="Verdana" w:hAnsi="Verdana"/>
          <w:sz w:val="20"/>
          <w:lang w:val="pt-BR"/>
        </w:rPr>
        <w:t xml:space="preserve"> </w:t>
      </w:r>
      <w:r w:rsidR="0089298C" w:rsidRPr="002F50BD">
        <w:rPr>
          <w:rFonts w:ascii="Verdana" w:hAnsi="Verdana"/>
          <w:sz w:val="20"/>
          <w:lang w:val="pt-BR"/>
        </w:rPr>
        <w:t>seu direito</w:t>
      </w:r>
      <w:r w:rsidR="004756C1" w:rsidRPr="002F50BD">
        <w:rPr>
          <w:rFonts w:ascii="Verdana" w:hAnsi="Verdana"/>
          <w:sz w:val="20"/>
          <w:lang w:val="pt-BR"/>
        </w:rPr>
        <w:t xml:space="preserve"> de </w:t>
      </w:r>
      <w:r w:rsidR="0089298C" w:rsidRPr="002F50BD">
        <w:rPr>
          <w:rFonts w:ascii="Verdana" w:hAnsi="Verdana"/>
          <w:sz w:val="20"/>
          <w:lang w:val="pt-BR"/>
        </w:rPr>
        <w:t>defesa</w:t>
      </w:r>
      <w:r w:rsidR="004756C1" w:rsidRPr="002F50BD">
        <w:rPr>
          <w:rFonts w:ascii="Verdana" w:hAnsi="Verdana"/>
          <w:sz w:val="20"/>
          <w:lang w:val="pt-BR"/>
        </w:rPr>
        <w:t>,</w:t>
      </w:r>
      <w:r w:rsidR="0089298C" w:rsidRPr="002F50BD">
        <w:rPr>
          <w:rFonts w:ascii="Verdana" w:hAnsi="Verdana"/>
          <w:sz w:val="20"/>
          <w:lang w:val="pt-BR"/>
        </w:rPr>
        <w:t xml:space="preserve"> o que lhes impediu</w:t>
      </w:r>
      <w:r w:rsidR="004756C1" w:rsidRPr="002F50BD">
        <w:rPr>
          <w:rFonts w:ascii="Verdana" w:hAnsi="Verdana"/>
          <w:sz w:val="20"/>
          <w:lang w:val="pt-BR"/>
        </w:rPr>
        <w:t xml:space="preserve"> </w:t>
      </w:r>
      <w:r w:rsidR="00E0567F" w:rsidRPr="002F50BD">
        <w:rPr>
          <w:rFonts w:ascii="Verdana" w:hAnsi="Verdana"/>
          <w:sz w:val="20"/>
          <w:lang w:val="pt-BR"/>
        </w:rPr>
        <w:t xml:space="preserve">de </w:t>
      </w:r>
      <w:r w:rsidR="0089298C" w:rsidRPr="002F50BD">
        <w:rPr>
          <w:rFonts w:ascii="Verdana" w:hAnsi="Verdana"/>
          <w:sz w:val="20"/>
          <w:lang w:val="pt-BR"/>
        </w:rPr>
        <w:t>exercer</w:t>
      </w:r>
      <w:r w:rsidR="004756C1" w:rsidRPr="002F50BD">
        <w:rPr>
          <w:rFonts w:ascii="Verdana" w:hAnsi="Verdana"/>
          <w:sz w:val="20"/>
          <w:lang w:val="pt-BR"/>
        </w:rPr>
        <w:t xml:space="preserve"> </w:t>
      </w:r>
      <w:r w:rsidR="0089298C" w:rsidRPr="002F50BD">
        <w:rPr>
          <w:rFonts w:ascii="Verdana" w:hAnsi="Verdana"/>
          <w:sz w:val="20"/>
          <w:lang w:val="pt-BR"/>
        </w:rPr>
        <w:t>outros</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s como</w:t>
      </w:r>
      <w:r w:rsidR="0089298C" w:rsidRPr="002F50BD">
        <w:rPr>
          <w:rFonts w:ascii="Verdana" w:hAnsi="Verdana"/>
          <w:sz w:val="20"/>
          <w:lang w:val="pt-BR"/>
        </w:rPr>
        <w:t xml:space="preserve"> o </w:t>
      </w:r>
      <w:r w:rsidR="004756C1" w:rsidRPr="002F50BD">
        <w:rPr>
          <w:rFonts w:ascii="Verdana" w:hAnsi="Verdana"/>
          <w:sz w:val="20"/>
          <w:lang w:val="pt-BR"/>
        </w:rPr>
        <w:t>de comunica</w:t>
      </w:r>
      <w:r w:rsidR="0089298C" w:rsidRPr="002F50BD">
        <w:rPr>
          <w:rFonts w:ascii="Verdana" w:hAnsi="Verdana"/>
          <w:sz w:val="20"/>
          <w:lang w:val="pt-BR"/>
        </w:rPr>
        <w:t>ção</w:t>
      </w:r>
      <w:r w:rsidR="00E0567F" w:rsidRPr="002F50BD">
        <w:rPr>
          <w:rFonts w:ascii="Verdana" w:hAnsi="Verdana"/>
          <w:sz w:val="20"/>
          <w:lang w:val="pt-BR"/>
        </w:rPr>
        <w:t xml:space="preserve"> pré</w:t>
      </w:r>
      <w:r w:rsidR="004756C1" w:rsidRPr="002F50BD">
        <w:rPr>
          <w:rFonts w:ascii="Verdana" w:hAnsi="Verdana"/>
          <w:sz w:val="20"/>
          <w:lang w:val="pt-BR"/>
        </w:rPr>
        <w:t>via</w:t>
      </w:r>
      <w:r w:rsidR="0089298C" w:rsidRPr="002F50BD">
        <w:rPr>
          <w:rFonts w:ascii="Verdana" w:hAnsi="Verdana"/>
          <w:sz w:val="20"/>
          <w:lang w:val="pt-BR"/>
        </w:rPr>
        <w:t xml:space="preserve"> e detalhad</w:t>
      </w:r>
      <w:r w:rsidR="004756C1" w:rsidRPr="002F50BD">
        <w:rPr>
          <w:rFonts w:ascii="Verdana" w:hAnsi="Verdana"/>
          <w:sz w:val="20"/>
          <w:lang w:val="pt-BR"/>
        </w:rPr>
        <w:t>a</w:t>
      </w:r>
      <w:r w:rsidR="0089298C" w:rsidRPr="002F50BD">
        <w:rPr>
          <w:rFonts w:ascii="Verdana" w:hAnsi="Verdana"/>
          <w:sz w:val="20"/>
          <w:lang w:val="pt-BR"/>
        </w:rPr>
        <w:t xml:space="preserve"> da </w:t>
      </w:r>
      <w:r w:rsidR="00E0567F" w:rsidRPr="002F50BD">
        <w:rPr>
          <w:rFonts w:ascii="Verdana" w:hAnsi="Verdana"/>
          <w:sz w:val="20"/>
          <w:lang w:val="pt-BR"/>
        </w:rPr>
        <w:t xml:space="preserve">acusação </w:t>
      </w:r>
      <w:r w:rsidR="004756C1" w:rsidRPr="002F50BD">
        <w:rPr>
          <w:rFonts w:ascii="Verdana" w:hAnsi="Verdana"/>
          <w:sz w:val="20"/>
          <w:lang w:val="pt-BR"/>
        </w:rPr>
        <w:t>formulada</w:t>
      </w:r>
      <w:r w:rsidR="0089298C" w:rsidRPr="002F50BD">
        <w:rPr>
          <w:rFonts w:ascii="Verdana" w:hAnsi="Verdana"/>
          <w:sz w:val="20"/>
          <w:lang w:val="pt-BR"/>
        </w:rPr>
        <w:t xml:space="preserve"> e o direito</w:t>
      </w:r>
      <w:r w:rsidR="004756C1" w:rsidRPr="002F50BD">
        <w:rPr>
          <w:rFonts w:ascii="Verdana" w:hAnsi="Verdana"/>
          <w:sz w:val="20"/>
          <w:lang w:val="pt-BR"/>
        </w:rPr>
        <w:t xml:space="preserve"> </w:t>
      </w:r>
      <w:r w:rsidR="00F07905" w:rsidRPr="002F50BD">
        <w:rPr>
          <w:rFonts w:ascii="Verdana" w:hAnsi="Verdana"/>
          <w:sz w:val="20"/>
          <w:lang w:val="pt-BR"/>
        </w:rPr>
        <w:t>de</w:t>
      </w:r>
      <w:r w:rsidR="004756C1" w:rsidRPr="002F50BD">
        <w:rPr>
          <w:rFonts w:ascii="Verdana" w:hAnsi="Verdana"/>
          <w:sz w:val="20"/>
          <w:lang w:val="pt-BR"/>
        </w:rPr>
        <w:t xml:space="preserve"> interrogar</w:t>
      </w:r>
      <w:r w:rsidR="0089298C" w:rsidRPr="002F50BD">
        <w:rPr>
          <w:rFonts w:ascii="Verdana" w:hAnsi="Verdana"/>
          <w:sz w:val="20"/>
          <w:lang w:val="pt-BR"/>
        </w:rPr>
        <w:t xml:space="preserve"> e </w:t>
      </w:r>
      <w:r w:rsidR="004756C1" w:rsidRPr="002F50BD">
        <w:rPr>
          <w:rFonts w:ascii="Verdana" w:hAnsi="Verdana"/>
          <w:sz w:val="20"/>
          <w:lang w:val="pt-BR"/>
        </w:rPr>
        <w:t>solicitar</w:t>
      </w:r>
      <w:r w:rsidR="0089298C" w:rsidRPr="002F50BD">
        <w:rPr>
          <w:rFonts w:ascii="Verdana" w:hAnsi="Verdana"/>
          <w:sz w:val="20"/>
          <w:lang w:val="pt-BR"/>
        </w:rPr>
        <w:t xml:space="preserve"> </w:t>
      </w:r>
      <w:r w:rsidR="00E0567F" w:rsidRPr="002F50BD">
        <w:rPr>
          <w:rFonts w:ascii="Verdana" w:hAnsi="Verdana"/>
          <w:sz w:val="20"/>
          <w:lang w:val="pt-BR"/>
        </w:rPr>
        <w:t xml:space="preserve">o comparecimento </w:t>
      </w:r>
      <w:r w:rsidR="004756C1" w:rsidRPr="002F50BD">
        <w:rPr>
          <w:rFonts w:ascii="Verdana" w:hAnsi="Verdana"/>
          <w:sz w:val="20"/>
          <w:lang w:val="pt-BR"/>
        </w:rPr>
        <w:t xml:space="preserve">de </w:t>
      </w:r>
      <w:r w:rsidR="0089298C" w:rsidRPr="002F50BD">
        <w:rPr>
          <w:rFonts w:ascii="Verdana" w:hAnsi="Verdana"/>
          <w:sz w:val="20"/>
          <w:lang w:val="pt-BR"/>
        </w:rPr>
        <w:t>testemunha</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 xml:space="preserve">peritos. </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afirmou</w:t>
      </w:r>
      <w:r w:rsidR="004756C1" w:rsidRPr="002F50BD">
        <w:rPr>
          <w:rFonts w:ascii="Verdana" w:hAnsi="Verdana"/>
          <w:sz w:val="20"/>
          <w:lang w:val="pt-BR"/>
        </w:rPr>
        <w:t xml:space="preserve"> que</w:t>
      </w:r>
      <w:r w:rsidR="0089298C" w:rsidRPr="002F50BD">
        <w:rPr>
          <w:rFonts w:ascii="Verdana" w:hAnsi="Verdana"/>
          <w:sz w:val="20"/>
          <w:lang w:val="pt-BR"/>
        </w:rPr>
        <w:t xml:space="preserve"> </w:t>
      </w:r>
      <w:r w:rsidR="00F07905" w:rsidRPr="002F50BD">
        <w:rPr>
          <w:rFonts w:ascii="Verdana" w:hAnsi="Verdana"/>
          <w:sz w:val="20"/>
          <w:lang w:val="pt-BR"/>
        </w:rPr>
        <w:t>assegurou a</w:t>
      </w:r>
      <w:r w:rsidR="0089298C" w:rsidRPr="002F50BD">
        <w:rPr>
          <w:rFonts w:ascii="Verdana" w:hAnsi="Verdana"/>
          <w:sz w:val="20"/>
          <w:lang w:val="pt-BR"/>
        </w:rPr>
        <w:t xml:space="preserve"> </w:t>
      </w:r>
      <w:r w:rsidR="004756C1" w:rsidRPr="002F50BD">
        <w:rPr>
          <w:rFonts w:ascii="Verdana" w:hAnsi="Verdana"/>
          <w:sz w:val="20"/>
          <w:lang w:val="pt-BR"/>
        </w:rPr>
        <w:t>perfe</w:t>
      </w:r>
      <w:r w:rsidR="00E0567F" w:rsidRPr="002F50BD">
        <w:rPr>
          <w:rFonts w:ascii="Verdana" w:hAnsi="Verdana"/>
          <w:sz w:val="20"/>
          <w:lang w:val="pt-BR"/>
        </w:rPr>
        <w:t>i</w:t>
      </w:r>
      <w:r w:rsidR="004756C1" w:rsidRPr="002F50BD">
        <w:rPr>
          <w:rFonts w:ascii="Verdana" w:hAnsi="Verdana"/>
          <w:sz w:val="20"/>
          <w:lang w:val="pt-BR"/>
        </w:rPr>
        <w:t>ta interven</w:t>
      </w:r>
      <w:r w:rsidR="0089298C" w:rsidRPr="002F50BD">
        <w:rPr>
          <w:rFonts w:ascii="Verdana" w:hAnsi="Verdana"/>
          <w:sz w:val="20"/>
          <w:lang w:val="pt-BR"/>
        </w:rPr>
        <w:t xml:space="preserve">ção </w:t>
      </w:r>
      <w:r w:rsidR="00F07905" w:rsidRPr="002F50BD">
        <w:rPr>
          <w:rFonts w:ascii="Verdana" w:hAnsi="Verdana"/>
          <w:sz w:val="20"/>
          <w:lang w:val="pt-BR"/>
        </w:rPr>
        <w:t>d</w:t>
      </w:r>
      <w:r w:rsidR="0089298C" w:rsidRPr="002F50BD">
        <w:rPr>
          <w:rFonts w:ascii="Verdana" w:hAnsi="Verdana"/>
          <w:sz w:val="20"/>
          <w:lang w:val="pt-BR"/>
        </w:rPr>
        <w:t xml:space="preserve">os </w:t>
      </w:r>
      <w:r w:rsidR="00E0567F" w:rsidRPr="002F50BD">
        <w:rPr>
          <w:rFonts w:ascii="Verdana" w:hAnsi="Verdana"/>
          <w:sz w:val="20"/>
          <w:lang w:val="pt-BR"/>
        </w:rPr>
        <w:t xml:space="preserve">advogados </w:t>
      </w:r>
      <w:r w:rsidR="0089298C" w:rsidRPr="002F50BD">
        <w:rPr>
          <w:rFonts w:ascii="Verdana" w:hAnsi="Verdana"/>
          <w:sz w:val="20"/>
          <w:lang w:val="pt-BR"/>
        </w:rPr>
        <w:t>das suposta</w:t>
      </w:r>
      <w:r w:rsidR="004756C1" w:rsidRPr="002F50BD">
        <w:rPr>
          <w:rFonts w:ascii="Verdana" w:hAnsi="Verdana"/>
          <w:sz w:val="20"/>
          <w:lang w:val="pt-BR"/>
        </w:rPr>
        <w:t xml:space="preserve">s </w:t>
      </w:r>
      <w:r w:rsidR="0089298C" w:rsidRPr="002F50BD">
        <w:rPr>
          <w:rFonts w:ascii="Verdana" w:hAnsi="Verdana"/>
          <w:sz w:val="20"/>
          <w:lang w:val="pt-BR"/>
        </w:rPr>
        <w:t>vítima</w:t>
      </w:r>
      <w:r w:rsidR="004756C1" w:rsidRPr="002F50BD">
        <w:rPr>
          <w:rFonts w:ascii="Verdana" w:hAnsi="Verdana"/>
          <w:sz w:val="20"/>
          <w:lang w:val="pt-BR"/>
        </w:rPr>
        <w:t>s</w:t>
      </w:r>
      <w:r w:rsidR="0089298C" w:rsidRPr="002F50BD">
        <w:rPr>
          <w:rFonts w:ascii="Verdana" w:hAnsi="Verdana"/>
          <w:sz w:val="20"/>
          <w:lang w:val="pt-BR"/>
        </w:rPr>
        <w:t xml:space="preserve"> e lhes </w:t>
      </w:r>
      <w:r w:rsidR="00E0567F" w:rsidRPr="002F50BD">
        <w:rPr>
          <w:rFonts w:ascii="Verdana" w:hAnsi="Verdana"/>
          <w:sz w:val="20"/>
          <w:lang w:val="pt-BR"/>
        </w:rPr>
        <w:t xml:space="preserve">foi possibilitado o acesso a </w:t>
      </w:r>
      <w:r w:rsidR="004756C1" w:rsidRPr="002F50BD">
        <w:rPr>
          <w:rFonts w:ascii="Verdana" w:hAnsi="Verdana"/>
          <w:sz w:val="20"/>
          <w:lang w:val="pt-BR"/>
        </w:rPr>
        <w:t>todo</w:t>
      </w:r>
      <w:r w:rsidR="0089298C" w:rsidRPr="002F50BD">
        <w:rPr>
          <w:rFonts w:ascii="Verdana" w:hAnsi="Verdana"/>
          <w:sz w:val="20"/>
          <w:lang w:val="pt-BR"/>
        </w:rPr>
        <w:t xml:space="preserve"> o </w:t>
      </w:r>
      <w:r w:rsidR="004756C1" w:rsidRPr="002F50BD">
        <w:rPr>
          <w:rFonts w:ascii="Verdana" w:hAnsi="Verdana"/>
          <w:sz w:val="20"/>
          <w:lang w:val="pt-BR"/>
        </w:rPr>
        <w:t xml:space="preserve">mecanismo </w:t>
      </w:r>
      <w:r w:rsidR="0089298C" w:rsidRPr="002F50BD">
        <w:rPr>
          <w:rFonts w:ascii="Verdana" w:hAnsi="Verdana"/>
          <w:sz w:val="20"/>
          <w:lang w:val="pt-BR"/>
        </w:rPr>
        <w:t xml:space="preserve">processual e </w:t>
      </w:r>
      <w:r w:rsidR="004756C1" w:rsidRPr="002F50BD">
        <w:rPr>
          <w:rFonts w:ascii="Verdana" w:hAnsi="Verdana"/>
          <w:sz w:val="20"/>
          <w:lang w:val="pt-BR"/>
        </w:rPr>
        <w:t>legal para</w:t>
      </w:r>
      <w:r w:rsidR="0089298C" w:rsidRPr="002F50BD">
        <w:rPr>
          <w:rFonts w:ascii="Verdana" w:hAnsi="Verdana"/>
          <w:sz w:val="20"/>
          <w:lang w:val="pt-BR"/>
        </w:rPr>
        <w:t xml:space="preserve"> a </w:t>
      </w:r>
      <w:r w:rsidR="004756C1" w:rsidRPr="002F50BD">
        <w:rPr>
          <w:rFonts w:ascii="Verdana" w:hAnsi="Verdana"/>
          <w:sz w:val="20"/>
          <w:lang w:val="pt-BR"/>
        </w:rPr>
        <w:t>obten</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seus direitos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A</w:t>
      </w:r>
      <w:r w:rsidR="00E0567F" w:rsidRPr="002F50BD">
        <w:rPr>
          <w:rFonts w:ascii="Verdana" w:hAnsi="Verdana"/>
          <w:sz w:val="20"/>
          <w:lang w:val="pt-BR"/>
        </w:rPr>
        <w:t>o</w:t>
      </w:r>
      <w:r w:rsidRPr="002F50BD">
        <w:rPr>
          <w:rFonts w:ascii="Verdana" w:hAnsi="Verdana"/>
          <w:sz w:val="20"/>
          <w:lang w:val="pt-BR"/>
        </w:rPr>
        <w:t xml:space="preserve"> </w:t>
      </w:r>
      <w:r w:rsidR="0089298C" w:rsidRPr="002F50BD">
        <w:rPr>
          <w:rFonts w:ascii="Verdana" w:hAnsi="Verdana"/>
          <w:sz w:val="20"/>
          <w:lang w:val="pt-BR"/>
        </w:rPr>
        <w:t>referir-se às garantias</w:t>
      </w:r>
      <w:r w:rsidRPr="002F50BD">
        <w:rPr>
          <w:rFonts w:ascii="Verdana" w:hAnsi="Verdana"/>
          <w:sz w:val="20"/>
          <w:lang w:val="pt-BR"/>
        </w:rPr>
        <w:t xml:space="preserve"> </w:t>
      </w:r>
      <w:r w:rsidR="0089298C" w:rsidRPr="002F50BD">
        <w:rPr>
          <w:rFonts w:ascii="Verdana" w:hAnsi="Verdana"/>
          <w:sz w:val="20"/>
          <w:lang w:val="pt-BR"/>
        </w:rPr>
        <w:t>judiciais</w:t>
      </w:r>
      <w:r w:rsidRPr="002F50BD">
        <w:rPr>
          <w:rFonts w:ascii="Verdana" w:hAnsi="Verdana"/>
          <w:sz w:val="20"/>
          <w:lang w:val="pt-BR"/>
        </w:rPr>
        <w:t xml:space="preserve"> o</w:t>
      </w:r>
      <w:r w:rsidR="00E0567F" w:rsidRPr="002F50BD">
        <w:rPr>
          <w:rFonts w:ascii="Verdana" w:hAnsi="Verdana"/>
          <w:sz w:val="20"/>
          <w:lang w:val="pt-BR"/>
        </w:rPr>
        <w:t>u</w:t>
      </w:r>
      <w:r w:rsidRPr="002F50BD">
        <w:rPr>
          <w:rFonts w:ascii="Verdana" w:hAnsi="Verdana"/>
          <w:sz w:val="20"/>
          <w:lang w:val="pt-BR"/>
        </w:rPr>
        <w:t xml:space="preserve"> </w:t>
      </w:r>
      <w:r w:rsidR="0089298C" w:rsidRPr="002F50BD">
        <w:rPr>
          <w:rFonts w:ascii="Verdana" w:hAnsi="Verdana"/>
          <w:sz w:val="20"/>
          <w:lang w:val="pt-BR"/>
        </w:rPr>
        <w:t>processuais</w:t>
      </w:r>
      <w:r w:rsidRPr="002F50BD">
        <w:rPr>
          <w:rFonts w:ascii="Verdana" w:hAnsi="Verdana"/>
          <w:sz w:val="20"/>
          <w:lang w:val="pt-BR"/>
        </w:rPr>
        <w:t xml:space="preserve"> consagradas</w:t>
      </w:r>
      <w:r w:rsidR="0089298C" w:rsidRPr="002F50BD">
        <w:rPr>
          <w:rFonts w:ascii="Verdana" w:hAnsi="Verdana"/>
          <w:sz w:val="20"/>
          <w:lang w:val="pt-BR"/>
        </w:rPr>
        <w:t xml:space="preserve"> no artigo</w:t>
      </w:r>
      <w:r w:rsidRPr="002F50BD">
        <w:rPr>
          <w:rFonts w:ascii="Verdana" w:hAnsi="Verdana"/>
          <w:sz w:val="20"/>
          <w:lang w:val="pt-BR"/>
        </w:rPr>
        <w:t xml:space="preserve"> </w:t>
      </w:r>
      <w:r w:rsidR="00063B47" w:rsidRPr="002F50BD">
        <w:rPr>
          <w:rFonts w:ascii="Verdana" w:hAnsi="Verdana"/>
          <w:sz w:val="20"/>
          <w:lang w:val="pt-BR"/>
        </w:rPr>
        <w:t>8</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esta Corte </w:t>
      </w:r>
      <w:r w:rsidR="0089298C" w:rsidRPr="002F50BD">
        <w:rPr>
          <w:rFonts w:ascii="Verdana" w:hAnsi="Verdana"/>
          <w:sz w:val="20"/>
          <w:lang w:val="pt-BR"/>
        </w:rPr>
        <w:t>manifestou</w:t>
      </w:r>
      <w:r w:rsidRPr="002F50BD">
        <w:rPr>
          <w:rFonts w:ascii="Verdana" w:hAnsi="Verdana"/>
          <w:sz w:val="20"/>
          <w:lang w:val="pt-BR"/>
        </w:rPr>
        <w:t xml:space="preserve"> que</w:t>
      </w:r>
      <w:r w:rsidR="0089298C" w:rsidRPr="002F50BD">
        <w:rPr>
          <w:rFonts w:ascii="Verdana" w:hAnsi="Verdana"/>
          <w:sz w:val="20"/>
          <w:lang w:val="pt-BR"/>
        </w:rPr>
        <w:t xml:space="preserve"> no processo</w:t>
      </w:r>
      <w:r w:rsidRPr="002F50BD">
        <w:rPr>
          <w:rFonts w:ascii="Verdana" w:hAnsi="Verdana"/>
          <w:sz w:val="20"/>
          <w:lang w:val="pt-BR"/>
        </w:rPr>
        <w:t xml:space="preserve"> </w:t>
      </w:r>
      <w:r w:rsidR="0089298C" w:rsidRPr="002F50BD">
        <w:rPr>
          <w:rFonts w:ascii="Verdana" w:hAnsi="Verdana"/>
          <w:sz w:val="20"/>
          <w:lang w:val="pt-BR"/>
        </w:rPr>
        <w:t>devem</w:t>
      </w:r>
      <w:r w:rsidRPr="002F50BD">
        <w:rPr>
          <w:rFonts w:ascii="Verdana" w:hAnsi="Verdana"/>
          <w:sz w:val="20"/>
          <w:lang w:val="pt-BR"/>
        </w:rPr>
        <w:t xml:space="preserve"> </w:t>
      </w:r>
      <w:r w:rsidR="00E0567F" w:rsidRPr="002F50BD">
        <w:rPr>
          <w:rFonts w:ascii="Verdana" w:hAnsi="Verdana"/>
          <w:sz w:val="20"/>
          <w:lang w:val="pt-BR"/>
        </w:rPr>
        <w:t>ser observadas</w:t>
      </w:r>
      <w:r w:rsidRPr="002F50BD">
        <w:rPr>
          <w:rFonts w:ascii="Verdana" w:hAnsi="Verdana"/>
          <w:sz w:val="20"/>
          <w:lang w:val="pt-BR"/>
        </w:rPr>
        <w:t xml:space="preserve"> todas</w:t>
      </w:r>
      <w:r w:rsidR="0089298C" w:rsidRPr="002F50BD">
        <w:rPr>
          <w:rFonts w:ascii="Verdana" w:hAnsi="Verdana"/>
          <w:sz w:val="20"/>
          <w:lang w:val="pt-BR"/>
        </w:rPr>
        <w:t xml:space="preserve"> as </w:t>
      </w:r>
      <w:r w:rsidRPr="002F50BD">
        <w:rPr>
          <w:rFonts w:ascii="Verdana" w:hAnsi="Verdana"/>
          <w:sz w:val="20"/>
          <w:lang w:val="pt-BR"/>
        </w:rPr>
        <w:t>formalidades que “sirv[a]</w:t>
      </w:r>
      <w:r w:rsidR="00E0567F" w:rsidRPr="002F50BD">
        <w:rPr>
          <w:rFonts w:ascii="Verdana" w:hAnsi="Verdana"/>
          <w:sz w:val="20"/>
          <w:lang w:val="pt-BR"/>
        </w:rPr>
        <w:t>m</w:t>
      </w:r>
      <w:r w:rsidRPr="002F50BD">
        <w:rPr>
          <w:rFonts w:ascii="Verdana" w:hAnsi="Verdana"/>
          <w:sz w:val="20"/>
          <w:lang w:val="pt-BR"/>
        </w:rPr>
        <w:t xml:space="preserve"> para proteger, </w:t>
      </w:r>
      <w:r w:rsidR="0089298C" w:rsidRPr="002F50BD">
        <w:rPr>
          <w:rFonts w:ascii="Verdana" w:hAnsi="Verdana"/>
          <w:sz w:val="20"/>
          <w:lang w:val="pt-BR"/>
        </w:rPr>
        <w:t>assegurar</w:t>
      </w:r>
      <w:r w:rsidRPr="002F50BD">
        <w:rPr>
          <w:rFonts w:ascii="Verdana" w:hAnsi="Verdana"/>
          <w:sz w:val="20"/>
          <w:lang w:val="pt-BR"/>
        </w:rPr>
        <w:t xml:space="preserve"> o</w:t>
      </w:r>
      <w:r w:rsidR="00E0567F" w:rsidRPr="002F50BD">
        <w:rPr>
          <w:rFonts w:ascii="Verdana" w:hAnsi="Verdana"/>
          <w:sz w:val="20"/>
          <w:lang w:val="pt-BR"/>
        </w:rPr>
        <w:t>u</w:t>
      </w:r>
      <w:r w:rsidR="0089298C" w:rsidRPr="002F50BD">
        <w:rPr>
          <w:rFonts w:ascii="Verdana" w:hAnsi="Verdana"/>
          <w:sz w:val="20"/>
          <w:lang w:val="pt-BR"/>
        </w:rPr>
        <w:t xml:space="preserve"> fazer </w:t>
      </w:r>
      <w:r w:rsidRPr="002F50BD">
        <w:rPr>
          <w:rFonts w:ascii="Verdana" w:hAnsi="Verdana"/>
          <w:sz w:val="20"/>
          <w:lang w:val="pt-BR"/>
        </w:rPr>
        <w:t>valer</w:t>
      </w:r>
      <w:r w:rsidR="0089298C" w:rsidRPr="002F50BD">
        <w:rPr>
          <w:rFonts w:ascii="Verdana" w:hAnsi="Verdana"/>
          <w:sz w:val="20"/>
          <w:lang w:val="pt-BR"/>
        </w:rPr>
        <w:t xml:space="preserve"> a </w:t>
      </w:r>
      <w:r w:rsidRPr="002F50BD">
        <w:rPr>
          <w:rFonts w:ascii="Verdana" w:hAnsi="Verdana"/>
          <w:sz w:val="20"/>
          <w:lang w:val="pt-BR"/>
        </w:rPr>
        <w:t>titularidad</w:t>
      </w:r>
      <w:r w:rsidR="00E0567F" w:rsidRPr="002F50BD">
        <w:rPr>
          <w:rFonts w:ascii="Verdana" w:hAnsi="Verdana"/>
          <w:sz w:val="20"/>
          <w:lang w:val="pt-BR"/>
        </w:rPr>
        <w:t>e</w:t>
      </w:r>
      <w:r w:rsidRPr="002F50BD">
        <w:rPr>
          <w:rFonts w:ascii="Verdana" w:hAnsi="Verdana"/>
          <w:sz w:val="20"/>
          <w:lang w:val="pt-BR"/>
        </w:rPr>
        <w:t xml:space="preserve"> o</w:t>
      </w:r>
      <w:r w:rsidR="00E0567F" w:rsidRPr="002F50BD">
        <w:rPr>
          <w:rFonts w:ascii="Verdana" w:hAnsi="Verdana"/>
          <w:sz w:val="20"/>
          <w:lang w:val="pt-BR"/>
        </w:rPr>
        <w:t>u</w:t>
      </w:r>
      <w:r w:rsidR="0089298C" w:rsidRPr="002F50BD">
        <w:rPr>
          <w:rFonts w:ascii="Verdana" w:hAnsi="Verdana"/>
          <w:sz w:val="20"/>
          <w:lang w:val="pt-BR"/>
        </w:rPr>
        <w:t xml:space="preserve"> </w:t>
      </w:r>
      <w:r w:rsidR="0089298C" w:rsidRPr="002F50BD">
        <w:rPr>
          <w:rFonts w:ascii="Verdana" w:hAnsi="Verdana"/>
          <w:sz w:val="20"/>
          <w:lang w:val="pt-BR"/>
        </w:rPr>
        <w:lastRenderedPageBreak/>
        <w:t>o exercício</w:t>
      </w:r>
      <w:r w:rsidRPr="002F50BD">
        <w:rPr>
          <w:rFonts w:ascii="Verdana" w:hAnsi="Verdana"/>
          <w:sz w:val="20"/>
          <w:lang w:val="pt-BR"/>
        </w:rPr>
        <w:t xml:space="preserve"> de</w:t>
      </w:r>
      <w:r w:rsidR="0089298C" w:rsidRPr="002F50BD">
        <w:rPr>
          <w:rFonts w:ascii="Verdana" w:hAnsi="Verdana"/>
          <w:sz w:val="20"/>
          <w:lang w:val="pt-BR"/>
        </w:rPr>
        <w:t xml:space="preserve"> um direito</w:t>
      </w:r>
      <w:r w:rsidRPr="002F50BD">
        <w:rPr>
          <w:rFonts w:ascii="Verdana" w:hAnsi="Verdana"/>
          <w:sz w:val="20"/>
          <w:lang w:val="pt-BR"/>
        </w:rPr>
        <w:t>”</w:t>
      </w:r>
      <w:r w:rsidR="00E0567F" w:rsidRPr="002F50BD">
        <w:rPr>
          <w:rFonts w:ascii="Verdana" w:hAnsi="Verdana"/>
          <w:sz w:val="20"/>
          <w:lang w:val="pt-BR"/>
        </w:rPr>
        <w:t>,</w:t>
      </w:r>
      <w:r w:rsidRPr="002F50BD">
        <w:rPr>
          <w:rStyle w:val="FootnoteReference"/>
          <w:rFonts w:ascii="Verdana" w:hAnsi="Verdana"/>
        </w:rPr>
        <w:footnoteReference w:id="184"/>
      </w:r>
      <w:r w:rsidR="0089298C" w:rsidRPr="002F50BD">
        <w:rPr>
          <w:rFonts w:ascii="Verdana" w:hAnsi="Verdana"/>
          <w:sz w:val="20"/>
          <w:lang w:val="pt-BR"/>
        </w:rPr>
        <w:t xml:space="preserve"> </w:t>
      </w:r>
      <w:r w:rsidR="00E0567F" w:rsidRPr="002F50BD">
        <w:rPr>
          <w:rFonts w:ascii="Verdana" w:hAnsi="Verdana"/>
          <w:sz w:val="20"/>
          <w:lang w:val="pt-BR"/>
        </w:rPr>
        <w:t>isto é</w:t>
      </w:r>
      <w:r w:rsidRPr="002F50BD">
        <w:rPr>
          <w:rFonts w:ascii="Verdana" w:hAnsi="Verdana"/>
          <w:sz w:val="20"/>
          <w:lang w:val="pt-BR"/>
        </w:rPr>
        <w:t>,</w:t>
      </w:r>
      <w:r w:rsidR="0089298C" w:rsidRPr="002F50BD">
        <w:rPr>
          <w:rFonts w:ascii="Verdana" w:hAnsi="Verdana"/>
          <w:sz w:val="20"/>
          <w:lang w:val="pt-BR"/>
        </w:rPr>
        <w:t xml:space="preserve"> 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que </w:t>
      </w:r>
      <w:r w:rsidR="0089298C" w:rsidRPr="002F50BD">
        <w:rPr>
          <w:rFonts w:ascii="Verdana" w:hAnsi="Verdana"/>
          <w:sz w:val="20"/>
          <w:lang w:val="pt-BR"/>
        </w:rPr>
        <w:t>devem</w:t>
      </w:r>
      <w:r w:rsidRPr="002F50BD">
        <w:rPr>
          <w:rFonts w:ascii="Verdana" w:hAnsi="Verdana"/>
          <w:sz w:val="20"/>
          <w:lang w:val="pt-BR"/>
        </w:rPr>
        <w:t xml:space="preserve"> </w:t>
      </w:r>
      <w:r w:rsidR="00E0567F" w:rsidRPr="002F50BD">
        <w:rPr>
          <w:rFonts w:ascii="Verdana" w:hAnsi="Verdana"/>
          <w:sz w:val="20"/>
          <w:lang w:val="pt-BR"/>
        </w:rPr>
        <w:t xml:space="preserve">ser cumpridas </w:t>
      </w:r>
      <w:r w:rsidRPr="002F50BD">
        <w:rPr>
          <w:rFonts w:ascii="Verdana" w:hAnsi="Verdana"/>
          <w:sz w:val="20"/>
          <w:lang w:val="pt-BR"/>
        </w:rPr>
        <w:t xml:space="preserve">para </w:t>
      </w:r>
      <w:r w:rsidR="0089298C" w:rsidRPr="002F50BD">
        <w:rPr>
          <w:rFonts w:ascii="Verdana" w:hAnsi="Verdana"/>
          <w:sz w:val="20"/>
          <w:lang w:val="pt-BR"/>
        </w:rPr>
        <w:t>assegurar a adequad</w:t>
      </w:r>
      <w:r w:rsidRPr="002F50BD">
        <w:rPr>
          <w:rFonts w:ascii="Verdana" w:hAnsi="Verdana"/>
          <w:sz w:val="20"/>
          <w:lang w:val="pt-BR"/>
        </w:rPr>
        <w:t xml:space="preserve">a </w:t>
      </w:r>
      <w:r w:rsidR="0089298C" w:rsidRPr="002F50BD">
        <w:rPr>
          <w:rFonts w:ascii="Verdana" w:hAnsi="Verdana"/>
          <w:sz w:val="20"/>
          <w:lang w:val="pt-BR"/>
        </w:rPr>
        <w:t>defesa</w:t>
      </w:r>
      <w:r w:rsidRPr="002F50BD">
        <w:rPr>
          <w:rFonts w:ascii="Verdana" w:hAnsi="Verdana"/>
          <w:sz w:val="20"/>
          <w:lang w:val="pt-BR"/>
        </w:rPr>
        <w:t xml:space="preserve"> </w:t>
      </w:r>
      <w:r w:rsidR="00E0567F" w:rsidRPr="002F50BD">
        <w:rPr>
          <w:rFonts w:ascii="Verdana" w:hAnsi="Verdana"/>
          <w:sz w:val="20"/>
          <w:lang w:val="pt-BR"/>
        </w:rPr>
        <w:t xml:space="preserve">daqueles </w:t>
      </w:r>
      <w:r w:rsidR="0089298C" w:rsidRPr="002F50BD">
        <w:rPr>
          <w:rFonts w:ascii="Verdana" w:hAnsi="Verdana"/>
          <w:sz w:val="20"/>
          <w:lang w:val="pt-BR"/>
        </w:rPr>
        <w:t>cujo</w:t>
      </w:r>
      <w:r w:rsidRPr="002F50BD">
        <w:rPr>
          <w:rFonts w:ascii="Verdana" w:hAnsi="Verdana"/>
          <w:sz w:val="20"/>
          <w:lang w:val="pt-BR"/>
        </w:rPr>
        <w:t xml:space="preserve">s </w:t>
      </w:r>
      <w:r w:rsidR="0089298C" w:rsidRPr="002F50BD">
        <w:rPr>
          <w:rFonts w:ascii="Verdana" w:hAnsi="Verdana"/>
          <w:sz w:val="20"/>
          <w:lang w:val="pt-BR"/>
        </w:rPr>
        <w:t>direito</w:t>
      </w:r>
      <w:r w:rsidRPr="002F50BD">
        <w:rPr>
          <w:rFonts w:ascii="Verdana" w:hAnsi="Verdana"/>
          <w:sz w:val="20"/>
          <w:lang w:val="pt-BR"/>
        </w:rPr>
        <w:t>s</w:t>
      </w:r>
      <w:r w:rsidR="0089298C" w:rsidRPr="002F50BD">
        <w:rPr>
          <w:rFonts w:ascii="Verdana" w:hAnsi="Verdana"/>
          <w:sz w:val="20"/>
          <w:lang w:val="pt-BR"/>
        </w:rPr>
        <w:t xml:space="preserve"> ou obrigações estão sob </w:t>
      </w:r>
      <w:r w:rsidR="00F07905" w:rsidRPr="002F50BD">
        <w:rPr>
          <w:rFonts w:ascii="Verdana" w:hAnsi="Verdana"/>
          <w:sz w:val="20"/>
          <w:lang w:val="pt-BR"/>
        </w:rPr>
        <w:t>apreciação</w:t>
      </w:r>
      <w:r w:rsidRPr="002F50BD">
        <w:rPr>
          <w:rFonts w:ascii="Verdana" w:hAnsi="Verdana"/>
          <w:sz w:val="20"/>
          <w:lang w:val="pt-BR"/>
        </w:rPr>
        <w:t xml:space="preserve"> judicial”</w:t>
      </w:r>
      <w:r w:rsidR="00E0567F" w:rsidRPr="002F50BD">
        <w:rPr>
          <w:rFonts w:ascii="Verdana" w:hAnsi="Verdana"/>
          <w:sz w:val="20"/>
          <w:lang w:val="pt-BR"/>
        </w:rPr>
        <w:t>.</w:t>
      </w:r>
      <w:r w:rsidRPr="002F50BD">
        <w:rPr>
          <w:rStyle w:val="FootnoteReference"/>
          <w:rFonts w:ascii="Verdana" w:hAnsi="Verdana"/>
        </w:rPr>
        <w:footnoteReference w:id="185"/>
      </w:r>
    </w:p>
    <w:p w:rsidR="00E0567F" w:rsidRPr="002F50BD" w:rsidRDefault="00E0567F" w:rsidP="00E0567F">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Tribunal </w:t>
      </w:r>
      <w:r w:rsidRPr="002F50BD">
        <w:rPr>
          <w:rFonts w:ascii="Verdana" w:hAnsi="Verdana"/>
          <w:sz w:val="20"/>
          <w:lang w:val="pt-BR"/>
        </w:rPr>
        <w:t>estabeleceu</w:t>
      </w:r>
      <w:r w:rsidR="004756C1" w:rsidRPr="002F50BD">
        <w:rPr>
          <w:rFonts w:ascii="Verdana" w:hAnsi="Verdana"/>
          <w:sz w:val="20"/>
          <w:lang w:val="pt-BR"/>
        </w:rPr>
        <w:t xml:space="preserve"> que “</w:t>
      </w:r>
      <w:r w:rsidR="001B03F5" w:rsidRPr="002F50BD">
        <w:rPr>
          <w:rFonts w:ascii="Verdana" w:hAnsi="Verdana"/>
          <w:sz w:val="20"/>
          <w:lang w:val="pt-BR"/>
        </w:rPr>
        <w:t xml:space="preserve">[a necessidade de] esclarecer </w:t>
      </w:r>
      <w:r w:rsidRPr="002F50BD">
        <w:rPr>
          <w:rFonts w:ascii="Verdana" w:hAnsi="Verdana"/>
          <w:sz w:val="20"/>
          <w:lang w:val="pt-BR"/>
        </w:rPr>
        <w:t xml:space="preserve">se o </w:t>
      </w:r>
      <w:r w:rsidR="004756C1" w:rsidRPr="002F50BD">
        <w:rPr>
          <w:rFonts w:ascii="Verdana" w:hAnsi="Verdana"/>
          <w:sz w:val="20"/>
          <w:lang w:val="pt-BR"/>
        </w:rPr>
        <w:t>Estado</w:t>
      </w:r>
      <w:r w:rsidRPr="002F50BD">
        <w:rPr>
          <w:rFonts w:ascii="Verdana" w:hAnsi="Verdana"/>
          <w:sz w:val="20"/>
          <w:lang w:val="pt-BR"/>
        </w:rPr>
        <w:t xml:space="preserve"> violou </w:t>
      </w:r>
      <w:r w:rsidR="004756C1" w:rsidRPr="002F50BD">
        <w:rPr>
          <w:rFonts w:ascii="Verdana" w:hAnsi="Verdana"/>
          <w:sz w:val="20"/>
          <w:lang w:val="pt-BR"/>
        </w:rPr>
        <w:t>o</w:t>
      </w:r>
      <w:r w:rsidR="00E0567F" w:rsidRPr="002F50BD">
        <w:rPr>
          <w:rFonts w:ascii="Verdana" w:hAnsi="Verdana"/>
          <w:sz w:val="20"/>
          <w:lang w:val="pt-BR"/>
        </w:rPr>
        <w:t>u</w:t>
      </w:r>
      <w:r w:rsidR="004756C1" w:rsidRPr="002F50BD">
        <w:rPr>
          <w:rFonts w:ascii="Verdana" w:hAnsi="Verdana"/>
          <w:sz w:val="20"/>
          <w:lang w:val="pt-BR"/>
        </w:rPr>
        <w:t xml:space="preserve"> n</w:t>
      </w:r>
      <w:r w:rsidR="00E0567F"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suas obrigações</w:t>
      </w:r>
      <w:r w:rsidR="004756C1" w:rsidRPr="002F50BD">
        <w:rPr>
          <w:rFonts w:ascii="Verdana" w:hAnsi="Verdana"/>
          <w:sz w:val="20"/>
          <w:lang w:val="pt-BR"/>
        </w:rPr>
        <w:t xml:space="preserve"> </w:t>
      </w:r>
      <w:r w:rsidRPr="002F50BD">
        <w:rPr>
          <w:rFonts w:ascii="Verdana" w:hAnsi="Verdana"/>
          <w:sz w:val="20"/>
          <w:lang w:val="pt-BR"/>
        </w:rPr>
        <w:t>internacionais</w:t>
      </w:r>
      <w:r w:rsidR="004756C1" w:rsidRPr="002F50BD">
        <w:rPr>
          <w:rFonts w:ascii="Verdana" w:hAnsi="Verdana"/>
          <w:sz w:val="20"/>
          <w:lang w:val="pt-BR"/>
        </w:rPr>
        <w:t xml:space="preserve"> </w:t>
      </w:r>
      <w:r w:rsidR="00E0567F" w:rsidRPr="002F50BD">
        <w:rPr>
          <w:rFonts w:ascii="Verdana" w:hAnsi="Verdana"/>
          <w:sz w:val="20"/>
          <w:lang w:val="pt-BR"/>
        </w:rPr>
        <w:t xml:space="preserve">em </w:t>
      </w:r>
      <w:r w:rsidRPr="002F50BD">
        <w:rPr>
          <w:rFonts w:ascii="Verdana" w:hAnsi="Verdana"/>
          <w:sz w:val="20"/>
          <w:lang w:val="pt-BR"/>
        </w:rPr>
        <w:t>virtude das atuações</w:t>
      </w:r>
      <w:r w:rsidR="004756C1" w:rsidRPr="002F50BD">
        <w:rPr>
          <w:rFonts w:ascii="Verdana" w:hAnsi="Verdana"/>
          <w:sz w:val="20"/>
          <w:lang w:val="pt-BR"/>
        </w:rPr>
        <w:t xml:space="preserve"> de s</w:t>
      </w:r>
      <w:r w:rsidR="00E0567F"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órgão</w:t>
      </w:r>
      <w:r w:rsidR="004756C1" w:rsidRPr="002F50BD">
        <w:rPr>
          <w:rFonts w:ascii="Verdana" w:hAnsi="Verdana"/>
          <w:sz w:val="20"/>
          <w:lang w:val="pt-BR"/>
        </w:rPr>
        <w:t xml:space="preserve">s </w:t>
      </w:r>
      <w:r w:rsidRPr="002F50BD">
        <w:rPr>
          <w:rFonts w:ascii="Verdana" w:hAnsi="Verdana"/>
          <w:sz w:val="20"/>
          <w:lang w:val="pt-BR"/>
        </w:rPr>
        <w:t>judiciais</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xml:space="preserve"> </w:t>
      </w:r>
      <w:r w:rsidR="001B03F5" w:rsidRPr="002F50BD">
        <w:rPr>
          <w:rFonts w:ascii="Verdana" w:hAnsi="Verdana"/>
          <w:sz w:val="20"/>
          <w:lang w:val="pt-BR"/>
        </w:rPr>
        <w:t>levar</w:t>
      </w:r>
      <w:r w:rsidRPr="002F50BD">
        <w:rPr>
          <w:rFonts w:ascii="Verdana" w:hAnsi="Verdana"/>
          <w:sz w:val="20"/>
          <w:lang w:val="pt-BR"/>
        </w:rPr>
        <w:t xml:space="preserve"> a </w:t>
      </w:r>
      <w:r w:rsidR="004756C1" w:rsidRPr="002F50BD">
        <w:rPr>
          <w:rFonts w:ascii="Verdana" w:hAnsi="Verdana"/>
          <w:sz w:val="20"/>
          <w:lang w:val="pt-BR"/>
        </w:rPr>
        <w:t xml:space="preserve">Corte </w:t>
      </w:r>
      <w:r w:rsidR="001B03F5" w:rsidRPr="002F50BD">
        <w:rPr>
          <w:rFonts w:ascii="Verdana" w:hAnsi="Verdana"/>
          <w:sz w:val="20"/>
          <w:lang w:val="pt-BR"/>
        </w:rPr>
        <w:t>a</w:t>
      </w:r>
      <w:r w:rsidR="004756C1" w:rsidRPr="002F50BD">
        <w:rPr>
          <w:rFonts w:ascii="Verdana" w:hAnsi="Verdana"/>
          <w:sz w:val="20"/>
          <w:lang w:val="pt-BR"/>
        </w:rPr>
        <w:t xml:space="preserve"> examinar</w:t>
      </w:r>
      <w:r w:rsidRPr="002F50BD">
        <w:rPr>
          <w:rFonts w:ascii="Verdana" w:hAnsi="Verdana"/>
          <w:sz w:val="20"/>
          <w:lang w:val="pt-BR"/>
        </w:rPr>
        <w:t xml:space="preserve"> os </w:t>
      </w:r>
      <w:r w:rsidR="004756C1" w:rsidRPr="002F50BD">
        <w:rPr>
          <w:rFonts w:ascii="Verdana" w:hAnsi="Verdana"/>
          <w:sz w:val="20"/>
          <w:lang w:val="pt-BR"/>
        </w:rPr>
        <w:t xml:space="preserve">respectivos </w:t>
      </w:r>
      <w:r w:rsidRPr="002F50BD">
        <w:rPr>
          <w:rFonts w:ascii="Verdana" w:hAnsi="Verdana"/>
          <w:sz w:val="20"/>
          <w:lang w:val="pt-BR"/>
        </w:rPr>
        <w:t>processo</w:t>
      </w:r>
      <w:r w:rsidR="004756C1" w:rsidRPr="002F50BD">
        <w:rPr>
          <w:rFonts w:ascii="Verdana" w:hAnsi="Verdana"/>
          <w:sz w:val="20"/>
          <w:lang w:val="pt-BR"/>
        </w:rPr>
        <w:t>s internos”</w:t>
      </w:r>
      <w:r w:rsidR="00E0567F" w:rsidRPr="002F50BD">
        <w:rPr>
          <w:rFonts w:ascii="Verdana" w:hAnsi="Verdana"/>
          <w:sz w:val="20"/>
          <w:lang w:val="pt-BR"/>
        </w:rPr>
        <w:t>,</w:t>
      </w:r>
      <w:r w:rsidR="004756C1" w:rsidRPr="002F50BD">
        <w:rPr>
          <w:rStyle w:val="FootnoteReference"/>
          <w:rFonts w:ascii="Verdana" w:hAnsi="Verdana"/>
        </w:rPr>
        <w:footnoteReference w:id="186"/>
      </w:r>
      <w:r w:rsidR="004756C1" w:rsidRPr="002F50BD">
        <w:rPr>
          <w:rFonts w:ascii="Verdana" w:hAnsi="Verdana"/>
          <w:sz w:val="20"/>
          <w:lang w:val="pt-BR"/>
        </w:rPr>
        <w:t xml:space="preserve"> para </w:t>
      </w:r>
      <w:r w:rsidRPr="002F50BD">
        <w:rPr>
          <w:rFonts w:ascii="Verdana" w:hAnsi="Verdana"/>
          <w:sz w:val="20"/>
          <w:lang w:val="pt-BR"/>
        </w:rPr>
        <w:t>estabelece</w:t>
      </w:r>
      <w:r w:rsidR="004756C1" w:rsidRPr="002F50BD">
        <w:rPr>
          <w:rFonts w:ascii="Verdana" w:hAnsi="Verdana"/>
          <w:sz w:val="20"/>
          <w:lang w:val="pt-BR"/>
        </w:rPr>
        <w:t>r su</w:t>
      </w:r>
      <w:r w:rsidR="00E0567F" w:rsidRPr="002F50BD">
        <w:rPr>
          <w:rFonts w:ascii="Verdana" w:hAnsi="Verdana"/>
          <w:sz w:val="20"/>
          <w:lang w:val="pt-BR"/>
        </w:rPr>
        <w:t>a</w:t>
      </w:r>
      <w:r w:rsidR="004756C1" w:rsidRPr="002F50BD">
        <w:rPr>
          <w:rFonts w:ascii="Verdana" w:hAnsi="Verdana"/>
          <w:sz w:val="20"/>
          <w:lang w:val="pt-BR"/>
        </w:rPr>
        <w:t xml:space="preserve"> compatibilidad</w:t>
      </w:r>
      <w:r w:rsidR="006603BE" w:rsidRPr="002F50BD">
        <w:rPr>
          <w:rFonts w:ascii="Verdana" w:hAnsi="Verdana"/>
          <w:sz w:val="20"/>
          <w:lang w:val="pt-BR"/>
        </w:rPr>
        <w:t>e</w:t>
      </w:r>
      <w:r w:rsidRPr="002F50BD">
        <w:rPr>
          <w:rFonts w:ascii="Verdana" w:hAnsi="Verdana"/>
          <w:sz w:val="20"/>
          <w:lang w:val="pt-BR"/>
        </w:rPr>
        <w:t xml:space="preserve"> com 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Pr="002F50BD">
        <w:rPr>
          <w:rFonts w:ascii="Verdana" w:hAnsi="Verdana"/>
          <w:sz w:val="20"/>
          <w:lang w:val="pt-BR"/>
        </w:rPr>
        <w:t xml:space="preserve">. </w:t>
      </w:r>
      <w:r w:rsidR="00E0567F" w:rsidRPr="002F50BD">
        <w:rPr>
          <w:rFonts w:ascii="Verdana" w:hAnsi="Verdana"/>
          <w:sz w:val="20"/>
          <w:lang w:val="pt-BR"/>
        </w:rPr>
        <w:t>À</w:t>
      </w:r>
      <w:r w:rsidRPr="002F50BD">
        <w:rPr>
          <w:rFonts w:ascii="Verdana" w:hAnsi="Verdana"/>
          <w:sz w:val="20"/>
          <w:lang w:val="pt-BR"/>
        </w:rPr>
        <w:t xml:space="preserve"> </w:t>
      </w:r>
      <w:r w:rsidR="004756C1" w:rsidRPr="002F50BD">
        <w:rPr>
          <w:rFonts w:ascii="Verdana" w:hAnsi="Verdana"/>
          <w:sz w:val="20"/>
          <w:lang w:val="pt-BR"/>
        </w:rPr>
        <w:t>luz</w:t>
      </w:r>
      <w:r w:rsidRPr="002F50BD">
        <w:rPr>
          <w:rFonts w:ascii="Verdana" w:hAnsi="Verdana"/>
          <w:sz w:val="20"/>
          <w:lang w:val="pt-BR"/>
        </w:rPr>
        <w:t xml:space="preserve"> do </w:t>
      </w:r>
      <w:r w:rsidR="004756C1" w:rsidRPr="002F50BD">
        <w:rPr>
          <w:rFonts w:ascii="Verdana" w:hAnsi="Verdana"/>
          <w:sz w:val="20"/>
          <w:lang w:val="pt-BR"/>
        </w:rPr>
        <w:t xml:space="preserve">anterior, </w:t>
      </w:r>
      <w:r w:rsidRPr="002F50BD">
        <w:rPr>
          <w:rFonts w:ascii="Verdana" w:hAnsi="Verdana"/>
          <w:sz w:val="20"/>
          <w:lang w:val="pt-BR"/>
        </w:rPr>
        <w:t>devem</w:t>
      </w:r>
      <w:r w:rsidR="004756C1" w:rsidRPr="002F50BD">
        <w:rPr>
          <w:rFonts w:ascii="Verdana" w:hAnsi="Verdana"/>
          <w:sz w:val="20"/>
          <w:lang w:val="pt-BR"/>
        </w:rPr>
        <w:t xml:space="preserve"> </w:t>
      </w:r>
      <w:r w:rsidR="00E0567F" w:rsidRPr="002F50BD">
        <w:rPr>
          <w:rFonts w:ascii="Verdana" w:hAnsi="Verdana"/>
          <w:sz w:val="20"/>
          <w:lang w:val="pt-BR"/>
        </w:rPr>
        <w:t xml:space="preserve">ser considerados </w:t>
      </w:r>
      <w:r w:rsidRPr="002F50BD">
        <w:rPr>
          <w:rFonts w:ascii="Verdana" w:hAnsi="Verdana"/>
          <w:sz w:val="20"/>
          <w:lang w:val="pt-BR"/>
        </w:rPr>
        <w:t>os procedimento</w:t>
      </w:r>
      <w:r w:rsidR="004756C1" w:rsidRPr="002F50BD">
        <w:rPr>
          <w:rFonts w:ascii="Verdana" w:hAnsi="Verdana"/>
          <w:sz w:val="20"/>
          <w:lang w:val="pt-BR"/>
        </w:rPr>
        <w:t>s internos como</w:t>
      </w:r>
      <w:r w:rsidRPr="002F50BD">
        <w:rPr>
          <w:rFonts w:ascii="Verdana" w:hAnsi="Verdana"/>
          <w:sz w:val="20"/>
          <w:lang w:val="pt-BR"/>
        </w:rPr>
        <w:t xml:space="preserve"> um </w:t>
      </w:r>
      <w:r w:rsidR="004756C1" w:rsidRPr="002F50BD">
        <w:rPr>
          <w:rFonts w:ascii="Verdana" w:hAnsi="Verdana"/>
          <w:sz w:val="20"/>
          <w:lang w:val="pt-BR"/>
        </w:rPr>
        <w:t xml:space="preserve">todo, </w:t>
      </w:r>
      <w:r w:rsidRPr="002F50BD">
        <w:rPr>
          <w:rFonts w:ascii="Verdana" w:hAnsi="Verdana"/>
          <w:sz w:val="20"/>
          <w:lang w:val="pt-BR"/>
        </w:rPr>
        <w:t>incluindo as decisões dos tribunais</w:t>
      </w:r>
      <w:r w:rsidR="004756C1" w:rsidRPr="002F50BD">
        <w:rPr>
          <w:rFonts w:ascii="Verdana" w:hAnsi="Verdana"/>
          <w:sz w:val="20"/>
          <w:lang w:val="pt-BR"/>
        </w:rPr>
        <w:t xml:space="preserve"> de apela</w:t>
      </w:r>
      <w:r w:rsidRPr="002F50BD">
        <w:rPr>
          <w:rFonts w:ascii="Verdana" w:hAnsi="Verdana"/>
          <w:sz w:val="20"/>
          <w:lang w:val="pt-BR"/>
        </w:rPr>
        <w:t>ção</w:t>
      </w:r>
      <w:r w:rsidR="00AB454A" w:rsidRPr="002F50BD">
        <w:rPr>
          <w:rFonts w:ascii="Verdana" w:hAnsi="Verdana"/>
          <w:sz w:val="20"/>
          <w:lang w:val="pt-BR"/>
        </w:rPr>
        <w:t xml:space="preserve">. A </w:t>
      </w:r>
      <w:r w:rsidR="004756C1" w:rsidRPr="002F50BD">
        <w:rPr>
          <w:rFonts w:ascii="Verdana" w:hAnsi="Verdana"/>
          <w:sz w:val="20"/>
          <w:lang w:val="pt-BR"/>
        </w:rPr>
        <w:t>fun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tribunal internacional</w:t>
      </w:r>
      <w:r w:rsidRPr="002F50BD">
        <w:rPr>
          <w:rFonts w:ascii="Verdana" w:hAnsi="Verdana"/>
          <w:sz w:val="20"/>
          <w:lang w:val="pt-BR"/>
        </w:rPr>
        <w:t xml:space="preserve"> é </w:t>
      </w:r>
      <w:r w:rsidR="004756C1" w:rsidRPr="002F50BD">
        <w:rPr>
          <w:rFonts w:ascii="Verdana" w:hAnsi="Verdana"/>
          <w:sz w:val="20"/>
          <w:lang w:val="pt-BR"/>
        </w:rPr>
        <w:t>determinar</w:t>
      </w:r>
      <w:r w:rsidRPr="002F50BD">
        <w:rPr>
          <w:rFonts w:ascii="Verdana" w:hAnsi="Verdana"/>
          <w:sz w:val="20"/>
          <w:lang w:val="pt-BR"/>
        </w:rPr>
        <w:t xml:space="preserve"> se a </w:t>
      </w:r>
      <w:r w:rsidR="00E0567F" w:rsidRPr="002F50BD">
        <w:rPr>
          <w:rFonts w:ascii="Verdana" w:hAnsi="Verdana"/>
          <w:sz w:val="20"/>
          <w:lang w:val="pt-BR"/>
        </w:rPr>
        <w:t>íntegra</w:t>
      </w:r>
      <w:r w:rsidR="004756C1" w:rsidRPr="002F50BD">
        <w:rPr>
          <w:rFonts w:ascii="Verdana" w:hAnsi="Verdana"/>
          <w:sz w:val="20"/>
          <w:lang w:val="pt-BR"/>
        </w:rPr>
        <w:t xml:space="preserve"> </w:t>
      </w:r>
      <w:r w:rsidRPr="002F50BD">
        <w:rPr>
          <w:rFonts w:ascii="Verdana" w:hAnsi="Verdana"/>
          <w:sz w:val="20"/>
          <w:lang w:val="pt-BR"/>
        </w:rPr>
        <w:t>do procedimento</w:t>
      </w:r>
      <w:r w:rsidR="004756C1" w:rsidRPr="002F50BD">
        <w:rPr>
          <w:rFonts w:ascii="Verdana" w:hAnsi="Verdana"/>
          <w:sz w:val="20"/>
          <w:lang w:val="pt-BR"/>
        </w:rPr>
        <w:t>, inclusive</w:t>
      </w:r>
      <w:r w:rsidRPr="002F50BD">
        <w:rPr>
          <w:rFonts w:ascii="Verdana" w:hAnsi="Verdana"/>
          <w:sz w:val="20"/>
          <w:lang w:val="pt-BR"/>
        </w:rPr>
        <w:t xml:space="preserve"> a </w:t>
      </w:r>
      <w:r w:rsidR="00A00E13" w:rsidRPr="002F50BD">
        <w:rPr>
          <w:rFonts w:ascii="Verdana" w:hAnsi="Verdana"/>
          <w:sz w:val="20"/>
          <w:lang w:val="pt-BR"/>
        </w:rPr>
        <w:t>instrução probatória</w:t>
      </w:r>
      <w:r w:rsidR="004756C1" w:rsidRPr="002F50BD">
        <w:rPr>
          <w:rFonts w:ascii="Verdana" w:hAnsi="Verdana"/>
          <w:sz w:val="20"/>
          <w:lang w:val="pt-BR"/>
        </w:rPr>
        <w:t>, se ajust</w:t>
      </w:r>
      <w:r w:rsidR="00E0567F" w:rsidRPr="002F50BD">
        <w:rPr>
          <w:rFonts w:ascii="Verdana" w:hAnsi="Verdana"/>
          <w:sz w:val="20"/>
          <w:lang w:val="pt-BR"/>
        </w:rPr>
        <w:t>ou</w:t>
      </w:r>
      <w:r w:rsidRPr="002F50BD">
        <w:rPr>
          <w:rFonts w:ascii="Verdana" w:hAnsi="Verdana"/>
          <w:sz w:val="20"/>
          <w:lang w:val="pt-BR"/>
        </w:rPr>
        <w:t xml:space="preserve"> à </w:t>
      </w:r>
      <w:r w:rsidR="004756C1" w:rsidRPr="002F50BD">
        <w:rPr>
          <w:rFonts w:ascii="Verdana" w:hAnsi="Verdana"/>
          <w:sz w:val="20"/>
          <w:lang w:val="pt-BR"/>
        </w:rPr>
        <w:t>Conven</w:t>
      </w:r>
      <w:r w:rsidRPr="002F50BD">
        <w:rPr>
          <w:rFonts w:ascii="Verdana" w:hAnsi="Verdana"/>
          <w:sz w:val="20"/>
          <w:lang w:val="pt-BR"/>
        </w:rPr>
        <w:t>ção</w:t>
      </w:r>
      <w:r w:rsidR="00E0567F" w:rsidRPr="002F50BD">
        <w:rPr>
          <w:rFonts w:ascii="Verdana" w:hAnsi="Verdana"/>
          <w:sz w:val="20"/>
          <w:lang w:val="pt-BR"/>
        </w:rPr>
        <w:t>.</w:t>
      </w:r>
      <w:r w:rsidR="004756C1" w:rsidRPr="002F50BD">
        <w:rPr>
          <w:rStyle w:val="FootnoteReference"/>
          <w:rFonts w:ascii="Verdana" w:hAnsi="Verdana"/>
        </w:rPr>
        <w:footnoteReference w:id="187"/>
      </w:r>
    </w:p>
    <w:p w:rsidR="004756C1" w:rsidRPr="002F50BD" w:rsidRDefault="004756C1">
      <w:pPr>
        <w:jc w:val="both"/>
        <w:rPr>
          <w:rFonts w:ascii="Verdana" w:hAnsi="Verdana"/>
          <w:sz w:val="20"/>
          <w:lang w:val="pt-BR"/>
        </w:rPr>
      </w:pPr>
    </w:p>
    <w:p w:rsidR="004756C1" w:rsidRPr="002F50BD" w:rsidRDefault="00E0567F">
      <w:pPr>
        <w:numPr>
          <w:ilvl w:val="0"/>
          <w:numId w:val="28"/>
        </w:numPr>
        <w:jc w:val="both"/>
        <w:rPr>
          <w:rFonts w:ascii="Verdana" w:hAnsi="Verdana"/>
          <w:sz w:val="20"/>
          <w:lang w:val="pt-BR"/>
        </w:rPr>
      </w:pPr>
      <w:r w:rsidRPr="002F50BD">
        <w:rPr>
          <w:rFonts w:ascii="Verdana" w:hAnsi="Verdana"/>
          <w:sz w:val="20"/>
          <w:lang w:val="pt-BR"/>
        </w:rPr>
        <w:t xml:space="preserve">Em função das </w:t>
      </w:r>
      <w:r w:rsidR="006603BE" w:rsidRPr="002F50BD">
        <w:rPr>
          <w:rFonts w:ascii="Verdana" w:hAnsi="Verdana"/>
          <w:sz w:val="20"/>
          <w:lang w:val="pt-BR"/>
        </w:rPr>
        <w:t xml:space="preserve">especificidades </w:t>
      </w:r>
      <w:r w:rsidR="0089298C" w:rsidRPr="002F50BD">
        <w:rPr>
          <w:rFonts w:ascii="Verdana" w:hAnsi="Verdana"/>
          <w:sz w:val="20"/>
          <w:lang w:val="pt-BR"/>
        </w:rPr>
        <w:t xml:space="preserve">do </w:t>
      </w:r>
      <w:r w:rsidR="004756C1" w:rsidRPr="002F50BD">
        <w:rPr>
          <w:rFonts w:ascii="Verdana" w:hAnsi="Verdana"/>
          <w:sz w:val="20"/>
          <w:lang w:val="pt-BR"/>
        </w:rPr>
        <w:t>caso</w:t>
      </w:r>
      <w:r w:rsidR="0089298C" w:rsidRPr="002F50BD">
        <w:rPr>
          <w:rFonts w:ascii="Verdana" w:hAnsi="Verdana"/>
          <w:sz w:val="20"/>
          <w:lang w:val="pt-BR"/>
        </w:rPr>
        <w:t xml:space="preserve"> e </w:t>
      </w:r>
      <w:r w:rsidRPr="002F50BD">
        <w:rPr>
          <w:rFonts w:ascii="Verdana" w:hAnsi="Verdana"/>
          <w:sz w:val="20"/>
          <w:lang w:val="pt-BR"/>
        </w:rPr>
        <w:t>d</w:t>
      </w:r>
      <w:r w:rsidR="0089298C" w:rsidRPr="002F50BD">
        <w:rPr>
          <w:rFonts w:ascii="Verdana" w:hAnsi="Verdana"/>
          <w:sz w:val="20"/>
          <w:lang w:val="pt-BR"/>
        </w:rPr>
        <w:t xml:space="preserve">a natureza das </w:t>
      </w:r>
      <w:r w:rsidR="004756C1" w:rsidRPr="002F50BD">
        <w:rPr>
          <w:rFonts w:ascii="Verdana" w:hAnsi="Verdana"/>
          <w:sz w:val="20"/>
          <w:lang w:val="pt-BR"/>
        </w:rPr>
        <w:t>su</w:t>
      </w:r>
      <w:r w:rsidR="0089298C" w:rsidRPr="002F50BD">
        <w:rPr>
          <w:rFonts w:ascii="Verdana" w:hAnsi="Verdana"/>
          <w:sz w:val="20"/>
          <w:lang w:val="pt-BR"/>
        </w:rPr>
        <w:t>posta</w:t>
      </w:r>
      <w:r w:rsidR="004756C1" w:rsidRPr="002F50BD">
        <w:rPr>
          <w:rFonts w:ascii="Verdana" w:hAnsi="Verdana"/>
          <w:sz w:val="20"/>
          <w:lang w:val="pt-BR"/>
        </w:rPr>
        <w:t>s infr</w:t>
      </w:r>
      <w:r w:rsidR="0089298C" w:rsidRPr="002F50BD">
        <w:rPr>
          <w:rFonts w:ascii="Verdana" w:hAnsi="Verdana"/>
          <w:sz w:val="20"/>
          <w:lang w:val="pt-BR"/>
        </w:rPr>
        <w:t>ações</w:t>
      </w:r>
      <w:r w:rsidR="004756C1" w:rsidRPr="002F50BD">
        <w:rPr>
          <w:rFonts w:ascii="Verdana" w:hAnsi="Verdana"/>
          <w:sz w:val="20"/>
          <w:lang w:val="pt-BR"/>
        </w:rPr>
        <w:t xml:space="preserve"> alegadas</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assim</w:t>
      </w:r>
      <w:r w:rsidR="004756C1" w:rsidRPr="002F50BD">
        <w:rPr>
          <w:rFonts w:ascii="Verdana" w:hAnsi="Verdana"/>
          <w:sz w:val="20"/>
          <w:lang w:val="pt-BR"/>
        </w:rPr>
        <w:t xml:space="preserve"> como</w:t>
      </w:r>
      <w:r w:rsidR="0089298C" w:rsidRPr="002F50BD">
        <w:rPr>
          <w:rFonts w:ascii="Verdana" w:hAnsi="Verdana"/>
          <w:sz w:val="20"/>
          <w:lang w:val="pt-BR"/>
        </w:rPr>
        <w:t xml:space="preserve"> </w:t>
      </w:r>
      <w:r w:rsidRPr="002F50BD">
        <w:rPr>
          <w:rFonts w:ascii="Verdana" w:hAnsi="Verdana"/>
          <w:sz w:val="20"/>
          <w:lang w:val="pt-BR"/>
        </w:rPr>
        <w:t>d</w:t>
      </w:r>
      <w:r w:rsidR="0089298C" w:rsidRPr="002F50BD">
        <w:rPr>
          <w:rFonts w:ascii="Verdana" w:hAnsi="Verdana"/>
          <w:sz w:val="20"/>
          <w:lang w:val="pt-BR"/>
        </w:rPr>
        <w:t xml:space="preserve">os </w:t>
      </w:r>
      <w:r w:rsidR="004756C1" w:rsidRPr="002F50BD">
        <w:rPr>
          <w:rFonts w:ascii="Verdana" w:hAnsi="Verdana"/>
          <w:sz w:val="20"/>
          <w:lang w:val="pt-BR"/>
        </w:rPr>
        <w:t>argumentos</w:t>
      </w:r>
      <w:r w:rsidR="0089298C" w:rsidRPr="002F50BD">
        <w:rPr>
          <w:rFonts w:ascii="Verdana" w:hAnsi="Verdana"/>
          <w:sz w:val="20"/>
          <w:lang w:val="pt-BR"/>
        </w:rPr>
        <w:t xml:space="preserve"> apresentados pelo </w:t>
      </w:r>
      <w:r w:rsidR="004756C1" w:rsidRPr="002F50BD">
        <w:rPr>
          <w:rFonts w:ascii="Verdana" w:hAnsi="Verdana"/>
          <w:sz w:val="20"/>
          <w:lang w:val="pt-BR"/>
        </w:rPr>
        <w:t>Estado,</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realizar</w:t>
      </w:r>
      <w:r w:rsidR="00C84CDE" w:rsidRPr="002F50BD">
        <w:rPr>
          <w:rFonts w:ascii="Verdana" w:hAnsi="Verdana"/>
          <w:sz w:val="20"/>
          <w:lang w:val="pt-BR"/>
        </w:rPr>
        <w:t>á</w:t>
      </w:r>
      <w:r w:rsidR="0089298C" w:rsidRPr="002F50BD">
        <w:rPr>
          <w:rFonts w:ascii="Verdana" w:hAnsi="Verdana"/>
          <w:sz w:val="20"/>
          <w:lang w:val="pt-BR"/>
        </w:rPr>
        <w:t xml:space="preserve"> um exame</w:t>
      </w:r>
      <w:r w:rsidR="00C84CDE" w:rsidRPr="002F50BD">
        <w:rPr>
          <w:rFonts w:ascii="Verdana" w:hAnsi="Verdana"/>
          <w:sz w:val="20"/>
          <w:lang w:val="pt-BR"/>
        </w:rPr>
        <w:t>,</w:t>
      </w:r>
      <w:r w:rsidR="0089298C" w:rsidRPr="002F50BD">
        <w:rPr>
          <w:rFonts w:ascii="Verdana" w:hAnsi="Verdana"/>
          <w:sz w:val="20"/>
          <w:lang w:val="pt-BR"/>
        </w:rPr>
        <w:t xml:space="preserve"> em </w:t>
      </w:r>
      <w:r w:rsidR="004076AD" w:rsidRPr="002F50BD">
        <w:rPr>
          <w:rFonts w:ascii="Verdana" w:hAnsi="Verdana"/>
          <w:sz w:val="20"/>
          <w:lang w:val="pt-BR"/>
        </w:rPr>
        <w:t>seu conjunto</w:t>
      </w:r>
      <w:r w:rsidR="00C84CDE" w:rsidRPr="002F50BD">
        <w:rPr>
          <w:rFonts w:ascii="Verdana" w:hAnsi="Verdana"/>
          <w:sz w:val="20"/>
          <w:lang w:val="pt-BR"/>
        </w:rPr>
        <w:t>,</w:t>
      </w:r>
      <w:r w:rsidR="0089298C" w:rsidRPr="002F50BD">
        <w:rPr>
          <w:rFonts w:ascii="Verdana" w:hAnsi="Verdana"/>
          <w:sz w:val="20"/>
          <w:lang w:val="pt-BR"/>
        </w:rPr>
        <w:t xml:space="preserve"> das atuações</w:t>
      </w:r>
      <w:r w:rsidR="004756C1" w:rsidRPr="002F50BD">
        <w:rPr>
          <w:rFonts w:ascii="Verdana" w:hAnsi="Verdana"/>
          <w:sz w:val="20"/>
          <w:lang w:val="pt-BR"/>
        </w:rPr>
        <w:t xml:space="preserve"> </w:t>
      </w:r>
      <w:r w:rsidR="0089298C" w:rsidRPr="002F50BD">
        <w:rPr>
          <w:rFonts w:ascii="Verdana" w:hAnsi="Verdana"/>
          <w:sz w:val="20"/>
          <w:lang w:val="pt-BR"/>
        </w:rPr>
        <w:t>judiciais</w:t>
      </w:r>
      <w:r w:rsidR="004756C1" w:rsidRPr="002F50BD">
        <w:rPr>
          <w:rFonts w:ascii="Verdana" w:hAnsi="Verdana"/>
          <w:sz w:val="20"/>
          <w:lang w:val="pt-BR"/>
        </w:rPr>
        <w:t xml:space="preserve"> internas</w:t>
      </w:r>
      <w:r w:rsidR="0089298C" w:rsidRPr="002F50BD">
        <w:rPr>
          <w:rFonts w:ascii="Verdana" w:hAnsi="Verdana"/>
          <w:sz w:val="20"/>
          <w:lang w:val="pt-BR"/>
        </w:rPr>
        <w:t xml:space="preserve"> lev</w:t>
      </w:r>
      <w:r w:rsidR="004756C1" w:rsidRPr="002F50BD">
        <w:rPr>
          <w:rFonts w:ascii="Verdana" w:hAnsi="Verdana"/>
          <w:sz w:val="20"/>
          <w:lang w:val="pt-BR"/>
        </w:rPr>
        <w:t>adas a cabo</w:t>
      </w:r>
      <w:r w:rsidR="0089298C" w:rsidRPr="002F50BD">
        <w:rPr>
          <w:rFonts w:ascii="Verdana" w:hAnsi="Verdana"/>
          <w:sz w:val="20"/>
          <w:lang w:val="pt-BR"/>
        </w:rPr>
        <w:t xml:space="preserve"> no processo</w:t>
      </w:r>
      <w:r w:rsidR="004756C1" w:rsidRPr="002F50BD">
        <w:rPr>
          <w:rFonts w:ascii="Verdana" w:hAnsi="Verdana"/>
          <w:sz w:val="20"/>
          <w:lang w:val="pt-BR"/>
        </w:rPr>
        <w:t xml:space="preserve"> penal </w:t>
      </w:r>
      <w:r w:rsidRPr="002F50BD">
        <w:rPr>
          <w:rFonts w:ascii="Verdana" w:hAnsi="Verdana"/>
          <w:sz w:val="20"/>
          <w:lang w:val="pt-BR"/>
        </w:rPr>
        <w:t>tramitado per</w:t>
      </w:r>
      <w:r w:rsidR="004756C1" w:rsidRPr="002F50BD">
        <w:rPr>
          <w:rFonts w:ascii="Verdana" w:hAnsi="Verdana"/>
          <w:sz w:val="20"/>
          <w:lang w:val="pt-BR"/>
        </w:rPr>
        <w:t>ante</w:t>
      </w:r>
      <w:r w:rsidR="0089298C" w:rsidRPr="002F50BD">
        <w:rPr>
          <w:rFonts w:ascii="Verdana" w:hAnsi="Verdana"/>
          <w:sz w:val="20"/>
          <w:lang w:val="pt-BR"/>
        </w:rPr>
        <w:t xml:space="preserve"> o Juiz</w:t>
      </w:r>
      <w:r w:rsidR="004756C1" w:rsidRPr="002F50BD">
        <w:rPr>
          <w:rFonts w:ascii="Verdana" w:hAnsi="Verdana"/>
          <w:sz w:val="20"/>
          <w:lang w:val="pt-BR"/>
        </w:rPr>
        <w:t xml:space="preserve"> de </w:t>
      </w:r>
      <w:r w:rsidRPr="002F50BD">
        <w:rPr>
          <w:rFonts w:ascii="Verdana" w:hAnsi="Verdana"/>
          <w:sz w:val="20"/>
          <w:lang w:val="pt-BR"/>
        </w:rPr>
        <w:t xml:space="preserve">Primeira Instância Criminal e Correcional do Menor da Circunscrição </w:t>
      </w:r>
      <w:r w:rsidR="004756C1" w:rsidRPr="002F50BD">
        <w:rPr>
          <w:rFonts w:ascii="Verdana" w:hAnsi="Verdana"/>
          <w:sz w:val="20"/>
          <w:lang w:val="pt-BR"/>
        </w:rPr>
        <w:t xml:space="preserve">Judicial de </w:t>
      </w:r>
      <w:r w:rsidR="00313394" w:rsidRPr="002F50BD">
        <w:rPr>
          <w:rFonts w:ascii="Verdana" w:hAnsi="Verdana"/>
          <w:sz w:val="20"/>
          <w:lang w:val="pt-BR"/>
        </w:rPr>
        <w:t>Concepción</w:t>
      </w:r>
      <w:r w:rsidR="004756C1" w:rsidRPr="002F50BD">
        <w:rPr>
          <w:rFonts w:ascii="Verdana" w:hAnsi="Verdana"/>
          <w:sz w:val="20"/>
          <w:lang w:val="pt-BR"/>
        </w:rPr>
        <w:t xml:space="preserve">, para </w:t>
      </w:r>
      <w:r w:rsidR="0089298C" w:rsidRPr="002F50BD">
        <w:rPr>
          <w:rFonts w:ascii="Verdana" w:hAnsi="Verdana"/>
          <w:sz w:val="20"/>
          <w:lang w:val="pt-BR"/>
        </w:rPr>
        <w:t>estabelece</w:t>
      </w:r>
      <w:r w:rsidR="004756C1" w:rsidRPr="002F50BD">
        <w:rPr>
          <w:rFonts w:ascii="Verdana" w:hAnsi="Verdana"/>
          <w:sz w:val="20"/>
          <w:lang w:val="pt-BR"/>
        </w:rPr>
        <w:t>r</w:t>
      </w:r>
      <w:r w:rsidR="0089298C" w:rsidRPr="002F50BD">
        <w:rPr>
          <w:rFonts w:ascii="Verdana" w:hAnsi="Verdana"/>
          <w:sz w:val="20"/>
          <w:lang w:val="pt-BR"/>
        </w:rPr>
        <w:t xml:space="preserve"> se esta</w:t>
      </w:r>
      <w:r w:rsidR="004756C1" w:rsidRPr="002F50BD">
        <w:rPr>
          <w:rFonts w:ascii="Verdana" w:hAnsi="Verdana"/>
          <w:sz w:val="20"/>
          <w:lang w:val="pt-BR"/>
        </w:rPr>
        <w:t xml:space="preserve">s </w:t>
      </w:r>
      <w:r w:rsidR="0089298C" w:rsidRPr="002F50BD">
        <w:rPr>
          <w:rFonts w:ascii="Verdana" w:hAnsi="Verdana"/>
          <w:sz w:val="20"/>
          <w:lang w:val="pt-BR"/>
        </w:rPr>
        <w:t>atuações</w:t>
      </w:r>
      <w:r w:rsidR="004756C1" w:rsidRPr="002F50BD">
        <w:rPr>
          <w:rFonts w:ascii="Verdana" w:hAnsi="Verdana"/>
          <w:sz w:val="20"/>
          <w:lang w:val="pt-BR"/>
        </w:rPr>
        <w:t xml:space="preserve"> se </w:t>
      </w:r>
      <w:r w:rsidR="0089298C" w:rsidRPr="002F50BD">
        <w:rPr>
          <w:rFonts w:ascii="Verdana" w:hAnsi="Verdana"/>
          <w:sz w:val="20"/>
          <w:lang w:val="pt-BR"/>
        </w:rPr>
        <w:t>adequar</w:t>
      </w:r>
      <w:r w:rsidRPr="002F50BD">
        <w:rPr>
          <w:rFonts w:ascii="Verdana" w:hAnsi="Verdana"/>
          <w:sz w:val="20"/>
          <w:lang w:val="pt-BR"/>
        </w:rPr>
        <w:t>am</w:t>
      </w:r>
      <w:r w:rsidR="0089298C" w:rsidRPr="002F50BD">
        <w:rPr>
          <w:rFonts w:ascii="Verdana" w:hAnsi="Verdana"/>
          <w:sz w:val="20"/>
          <w:lang w:val="pt-BR"/>
        </w:rPr>
        <w:t xml:space="preserve"> às </w:t>
      </w:r>
      <w:r w:rsidRPr="002F50BD">
        <w:rPr>
          <w:rFonts w:ascii="Verdana" w:hAnsi="Verdana"/>
          <w:sz w:val="20"/>
          <w:lang w:val="pt-BR"/>
        </w:rPr>
        <w:t xml:space="preserve">regras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8</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p>
    <w:p w:rsidR="00E0567F" w:rsidRPr="002F50BD" w:rsidRDefault="00E0567F" w:rsidP="00E0567F">
      <w:pPr>
        <w:jc w:val="both"/>
        <w:rPr>
          <w:rFonts w:ascii="Verdana" w:eastAsia="Times New Roman" w:hAnsi="Verdana"/>
          <w:sz w:val="20"/>
          <w:szCs w:val="32"/>
          <w:lang w:val="pt-BR"/>
        </w:rPr>
      </w:pPr>
    </w:p>
    <w:p w:rsidR="004756C1" w:rsidRPr="002F50BD" w:rsidRDefault="0089298C">
      <w:pPr>
        <w:numPr>
          <w:ilvl w:val="0"/>
          <w:numId w:val="28"/>
        </w:numPr>
        <w:jc w:val="both"/>
        <w:rPr>
          <w:rFonts w:ascii="Verdana" w:eastAsia="Times New Roman" w:hAnsi="Verdana"/>
          <w:sz w:val="20"/>
          <w:szCs w:val="32"/>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16</w:t>
      </w:r>
      <w:r w:rsidRPr="002F50BD">
        <w:rPr>
          <w:rFonts w:ascii="Verdana" w:hAnsi="Verdana"/>
          <w:sz w:val="20"/>
          <w:lang w:val="pt-BR"/>
        </w:rPr>
        <w:t xml:space="preserve"> da Constituição</w:t>
      </w:r>
      <w:r w:rsidR="004756C1" w:rsidRPr="002F50BD">
        <w:rPr>
          <w:rFonts w:ascii="Verdana" w:hAnsi="Verdana"/>
          <w:sz w:val="20"/>
          <w:lang w:val="pt-BR"/>
        </w:rPr>
        <w:t xml:space="preserve"> Política </w:t>
      </w:r>
      <w:r w:rsidRPr="002F50BD">
        <w:rPr>
          <w:rFonts w:ascii="Verdana" w:hAnsi="Verdana"/>
          <w:sz w:val="20"/>
          <w:lang w:val="pt-BR"/>
        </w:rPr>
        <w:t>do Paraguai</w:t>
      </w:r>
      <w:r w:rsidR="004756C1" w:rsidRPr="002F50BD">
        <w:rPr>
          <w:rFonts w:ascii="Verdana" w:hAnsi="Verdana"/>
          <w:sz w:val="20"/>
          <w:lang w:val="pt-BR"/>
        </w:rPr>
        <w:t xml:space="preserve"> de </w:t>
      </w:r>
      <w:r w:rsidR="00063B47" w:rsidRPr="002F50BD">
        <w:rPr>
          <w:rFonts w:ascii="Verdana" w:hAnsi="Verdana"/>
          <w:sz w:val="20"/>
          <w:lang w:val="pt-BR"/>
        </w:rPr>
        <w:t>1992</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r w:rsidR="006603BE" w:rsidRPr="002F50B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jc w:val="both"/>
        <w:rPr>
          <w:rFonts w:ascii="Verdana" w:eastAsia="Times New Roman" w:hAnsi="Verdana"/>
          <w:sz w:val="20"/>
          <w:szCs w:val="32"/>
          <w:lang w:val="pt-BR"/>
        </w:rPr>
      </w:pPr>
    </w:p>
    <w:p w:rsidR="004756C1" w:rsidRPr="002F50BD" w:rsidRDefault="00E0567F">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[a</w:t>
      </w:r>
      <w:r w:rsidR="004756C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defesa em juízo das pessoa</w:t>
      </w:r>
      <w:r w:rsidR="004756C1" w:rsidRPr="002F50BD">
        <w:rPr>
          <w:rFonts w:ascii="Verdana" w:eastAsia="Times New Roman" w:hAnsi="Verdana"/>
          <w:sz w:val="16"/>
          <w:szCs w:val="32"/>
          <w:lang w:val="pt-BR"/>
        </w:rPr>
        <w:t>s</w:t>
      </w:r>
      <w:r w:rsidR="0089298C" w:rsidRPr="002F50BD">
        <w:rPr>
          <w:rFonts w:ascii="Verdana" w:eastAsia="Times New Roman" w:hAnsi="Verdana"/>
          <w:sz w:val="16"/>
          <w:szCs w:val="32"/>
          <w:lang w:val="pt-BR"/>
        </w:rPr>
        <w:t xml:space="preserve"> e </w:t>
      </w:r>
      <w:r w:rsidR="004756C1" w:rsidRPr="002F50BD">
        <w:rPr>
          <w:rFonts w:ascii="Verdana" w:eastAsia="Times New Roman" w:hAnsi="Verdana"/>
          <w:sz w:val="16"/>
          <w:szCs w:val="32"/>
          <w:lang w:val="pt-BR"/>
        </w:rPr>
        <w:t xml:space="preserve">de </w:t>
      </w:r>
      <w:r w:rsidR="0089298C" w:rsidRPr="002F50BD">
        <w:rPr>
          <w:rFonts w:ascii="Verdana" w:eastAsia="Times New Roman" w:hAnsi="Verdana"/>
          <w:sz w:val="16"/>
          <w:szCs w:val="32"/>
          <w:lang w:val="pt-BR"/>
        </w:rPr>
        <w:t xml:space="preserve">seus direitos é </w:t>
      </w:r>
      <w:r w:rsidR="004756C1" w:rsidRPr="002F50BD">
        <w:rPr>
          <w:rFonts w:ascii="Verdana" w:eastAsia="Times New Roman" w:hAnsi="Verdana"/>
          <w:sz w:val="16"/>
          <w:szCs w:val="32"/>
          <w:lang w:val="pt-BR"/>
        </w:rPr>
        <w:t>inviol</w:t>
      </w:r>
      <w:r w:rsidR="0092602F" w:rsidRPr="002F50BD">
        <w:rPr>
          <w:rFonts w:ascii="Verdana" w:eastAsia="Times New Roman" w:hAnsi="Verdana"/>
          <w:sz w:val="16"/>
          <w:szCs w:val="32"/>
          <w:lang w:val="pt-BR"/>
        </w:rPr>
        <w:t>ável</w:t>
      </w:r>
      <w:r w:rsidR="004756C1" w:rsidRPr="002F50BD">
        <w:rPr>
          <w:rFonts w:ascii="Verdana" w:eastAsia="Times New Roman" w:hAnsi="Verdana"/>
          <w:sz w:val="16"/>
          <w:szCs w:val="32"/>
          <w:lang w:val="pt-BR"/>
        </w:rPr>
        <w:t xml:space="preserve">. Toda </w:t>
      </w:r>
      <w:r w:rsidR="0089298C" w:rsidRPr="002F50BD">
        <w:rPr>
          <w:rFonts w:ascii="Verdana" w:eastAsia="Times New Roman" w:hAnsi="Verdana"/>
          <w:sz w:val="16"/>
          <w:szCs w:val="32"/>
          <w:lang w:val="pt-BR"/>
        </w:rPr>
        <w:t>pessoa</w:t>
      </w:r>
      <w:r w:rsidR="004756C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tem direito</w:t>
      </w:r>
      <w:r w:rsidR="004756C1" w:rsidRPr="002F50BD">
        <w:rPr>
          <w:rFonts w:ascii="Verdana" w:eastAsia="Times New Roman" w:hAnsi="Verdana"/>
          <w:sz w:val="16"/>
          <w:szCs w:val="32"/>
          <w:lang w:val="pt-BR"/>
        </w:rPr>
        <w:t xml:space="preserve"> a ser ju</w:t>
      </w:r>
      <w:r w:rsidR="0092602F" w:rsidRPr="002F50BD">
        <w:rPr>
          <w:rFonts w:ascii="Verdana" w:eastAsia="Times New Roman" w:hAnsi="Verdana"/>
          <w:sz w:val="16"/>
          <w:szCs w:val="32"/>
          <w:lang w:val="pt-BR"/>
        </w:rPr>
        <w:t>l</w:t>
      </w:r>
      <w:r w:rsidR="004756C1" w:rsidRPr="002F50BD">
        <w:rPr>
          <w:rFonts w:ascii="Verdana" w:eastAsia="Times New Roman" w:hAnsi="Verdana"/>
          <w:sz w:val="16"/>
          <w:szCs w:val="32"/>
          <w:lang w:val="pt-BR"/>
        </w:rPr>
        <w:t xml:space="preserve">gada por </w:t>
      </w:r>
      <w:r w:rsidR="0089298C" w:rsidRPr="002F50BD">
        <w:rPr>
          <w:rFonts w:ascii="Verdana" w:eastAsia="Times New Roman" w:hAnsi="Verdana"/>
          <w:sz w:val="16"/>
          <w:szCs w:val="32"/>
          <w:lang w:val="pt-BR"/>
        </w:rPr>
        <w:t>tribunais e juízes</w:t>
      </w:r>
      <w:r w:rsidR="004756C1" w:rsidRPr="002F50BD">
        <w:rPr>
          <w:rFonts w:ascii="Verdana" w:eastAsia="Times New Roman" w:hAnsi="Verdana"/>
          <w:sz w:val="16"/>
          <w:szCs w:val="32"/>
          <w:lang w:val="pt-BR"/>
        </w:rPr>
        <w:t xml:space="preserve"> competentes, </w:t>
      </w:r>
      <w:r w:rsidR="0089298C" w:rsidRPr="002F50BD">
        <w:rPr>
          <w:rFonts w:ascii="Verdana" w:eastAsia="Times New Roman" w:hAnsi="Verdana"/>
          <w:sz w:val="16"/>
          <w:szCs w:val="32"/>
          <w:lang w:val="pt-BR"/>
        </w:rPr>
        <w:t>independente</w:t>
      </w:r>
      <w:r w:rsidR="004756C1" w:rsidRPr="002F50BD">
        <w:rPr>
          <w:rFonts w:ascii="Verdana" w:eastAsia="Times New Roman" w:hAnsi="Verdana"/>
          <w:sz w:val="16"/>
          <w:szCs w:val="32"/>
          <w:lang w:val="pt-BR"/>
        </w:rPr>
        <w:t xml:space="preserve">s e </w:t>
      </w:r>
      <w:r w:rsidR="004076AD" w:rsidRPr="002F50BD">
        <w:rPr>
          <w:rFonts w:ascii="Verdana" w:eastAsia="Times New Roman" w:hAnsi="Verdana"/>
          <w:sz w:val="16"/>
          <w:szCs w:val="32"/>
          <w:lang w:val="pt-BR"/>
        </w:rPr>
        <w:t>imparciais</w:t>
      </w:r>
      <w:r w:rsidR="004756C1" w:rsidRPr="002F50BD">
        <w:rPr>
          <w:rFonts w:ascii="Verdana" w:eastAsia="Times New Roman" w:hAnsi="Verdana"/>
          <w:sz w:val="16"/>
          <w:szCs w:val="32"/>
          <w:lang w:val="pt-BR"/>
        </w:rPr>
        <w:t>.</w:t>
      </w:r>
    </w:p>
    <w:p w:rsidR="004756C1" w:rsidRPr="002F50BD" w:rsidRDefault="004756C1">
      <w:pPr>
        <w:jc w:val="both"/>
        <w:rPr>
          <w:rFonts w:ascii="Verdana" w:eastAsia="Times New Roman" w:hAnsi="Verdana"/>
          <w:sz w:val="20"/>
          <w:szCs w:val="32"/>
          <w:lang w:val="pt-BR"/>
        </w:rPr>
      </w:pPr>
    </w:p>
    <w:p w:rsidR="004756C1" w:rsidRPr="002F50BD" w:rsidRDefault="004756C1">
      <w:pPr>
        <w:numPr>
          <w:ilvl w:val="0"/>
          <w:numId w:val="28"/>
        </w:numPr>
        <w:jc w:val="both"/>
        <w:rPr>
          <w:rFonts w:ascii="Verdana" w:hAnsi="Verdana"/>
          <w:sz w:val="20"/>
          <w:lang w:val="pt-BR"/>
        </w:rPr>
      </w:pPr>
      <w:r w:rsidRPr="002F50BD">
        <w:rPr>
          <w:rFonts w:ascii="Verdana" w:eastAsia="Times New Roman" w:hAnsi="Verdana"/>
          <w:sz w:val="20"/>
          <w:szCs w:val="32"/>
          <w:lang w:val="pt-BR"/>
        </w:rPr>
        <w:t>De igual forma,</w:t>
      </w:r>
      <w:r w:rsidR="0089298C" w:rsidRPr="002F50BD">
        <w:rPr>
          <w:rFonts w:ascii="Verdana" w:eastAsia="Times New Roman" w:hAnsi="Verdana"/>
          <w:sz w:val="20"/>
          <w:szCs w:val="32"/>
          <w:lang w:val="pt-BR"/>
        </w:rPr>
        <w:t xml:space="preserve"> o artigo</w:t>
      </w:r>
      <w:r w:rsidRPr="002F50BD">
        <w:rPr>
          <w:rFonts w:ascii="Verdana" w:eastAsia="Times New Roman" w:hAnsi="Verdana"/>
          <w:sz w:val="20"/>
          <w:szCs w:val="32"/>
          <w:lang w:val="pt-BR"/>
        </w:rPr>
        <w:t xml:space="preserve"> </w:t>
      </w:r>
      <w:r w:rsidR="00063B47" w:rsidRPr="002F50BD">
        <w:rPr>
          <w:rFonts w:ascii="Verdana" w:eastAsia="Times New Roman" w:hAnsi="Verdana"/>
          <w:sz w:val="20"/>
          <w:szCs w:val="32"/>
          <w:lang w:val="pt-BR"/>
        </w:rPr>
        <w:t>17</w:t>
      </w:r>
      <w:r w:rsidR="0089298C" w:rsidRPr="002F50BD">
        <w:rPr>
          <w:rFonts w:ascii="Verdana" w:eastAsia="Times New Roman" w:hAnsi="Verdana"/>
          <w:sz w:val="20"/>
          <w:szCs w:val="32"/>
          <w:lang w:val="pt-BR"/>
        </w:rPr>
        <w:t xml:space="preserve"> da </w:t>
      </w:r>
      <w:r w:rsidRPr="002F50BD">
        <w:rPr>
          <w:rFonts w:ascii="Verdana" w:eastAsia="Times New Roman" w:hAnsi="Verdana"/>
          <w:sz w:val="20"/>
          <w:szCs w:val="32"/>
          <w:lang w:val="pt-BR"/>
        </w:rPr>
        <w:t xml:space="preserve">citada </w:t>
      </w:r>
      <w:r w:rsidR="0089298C" w:rsidRPr="002F50BD">
        <w:rPr>
          <w:rFonts w:ascii="Verdana" w:eastAsia="Times New Roman" w:hAnsi="Verdana"/>
          <w:sz w:val="20"/>
          <w:szCs w:val="32"/>
          <w:lang w:val="pt-BR"/>
        </w:rPr>
        <w:t>Constituição</w:t>
      </w:r>
      <w:r w:rsidRPr="002F50BD">
        <w:rPr>
          <w:rFonts w:ascii="Verdana" w:eastAsia="Times New Roman" w:hAnsi="Verdana"/>
          <w:sz w:val="20"/>
          <w:szCs w:val="32"/>
          <w:lang w:val="pt-BR"/>
        </w:rPr>
        <w:t xml:space="preserve"> </w:t>
      </w:r>
      <w:r w:rsidR="0089298C" w:rsidRPr="002F50BD">
        <w:rPr>
          <w:rFonts w:ascii="Verdana" w:eastAsia="Times New Roman" w:hAnsi="Verdana"/>
          <w:sz w:val="20"/>
          <w:szCs w:val="32"/>
          <w:lang w:val="pt-BR"/>
        </w:rPr>
        <w:t xml:space="preserve">afirma </w:t>
      </w:r>
      <w:r w:rsidRPr="002F50BD">
        <w:rPr>
          <w:rFonts w:ascii="Verdana" w:eastAsia="Times New Roman" w:hAnsi="Verdana"/>
          <w:sz w:val="20"/>
          <w:szCs w:val="32"/>
          <w:lang w:val="pt-BR"/>
        </w:rPr>
        <w:t>que:</w:t>
      </w:r>
    </w:p>
    <w:p w:rsidR="004756C1" w:rsidRPr="002F50BD" w:rsidRDefault="004756C1">
      <w:pPr>
        <w:jc w:val="both"/>
        <w:rPr>
          <w:rFonts w:ascii="Verdana" w:hAnsi="Verdana"/>
          <w:sz w:val="20"/>
          <w:lang w:val="pt-BR"/>
        </w:rPr>
      </w:pPr>
    </w:p>
    <w:p w:rsidR="004756C1" w:rsidRPr="002F50BD" w:rsidRDefault="008929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No processo</w:t>
      </w:r>
      <w:r w:rsidR="004756C1" w:rsidRPr="002F50BD">
        <w:rPr>
          <w:rFonts w:ascii="Verdana" w:eastAsia="Times New Roman" w:hAnsi="Verdana"/>
          <w:sz w:val="16"/>
          <w:szCs w:val="32"/>
          <w:lang w:val="pt-BR"/>
        </w:rPr>
        <w:t xml:space="preserve"> penal, o</w:t>
      </w:r>
      <w:r w:rsidR="0092602F" w:rsidRPr="002F50BD">
        <w:rPr>
          <w:rFonts w:ascii="Verdana" w:eastAsia="Times New Roman" w:hAnsi="Verdana"/>
          <w:sz w:val="16"/>
          <w:szCs w:val="32"/>
          <w:lang w:val="pt-BR"/>
        </w:rPr>
        <w:t>u</w:t>
      </w:r>
      <w:r w:rsidRPr="002F50BD">
        <w:rPr>
          <w:rFonts w:ascii="Verdana" w:eastAsia="Times New Roman" w:hAnsi="Verdana"/>
          <w:sz w:val="16"/>
          <w:szCs w:val="32"/>
          <w:lang w:val="pt-BR"/>
        </w:rPr>
        <w:t xml:space="preserve"> em qualquer outro do qual </w:t>
      </w:r>
      <w:r w:rsidR="0092602F" w:rsidRPr="002F50BD">
        <w:rPr>
          <w:rFonts w:ascii="Verdana" w:eastAsia="Times New Roman" w:hAnsi="Verdana"/>
          <w:sz w:val="16"/>
          <w:szCs w:val="32"/>
          <w:lang w:val="pt-BR"/>
        </w:rPr>
        <w:t xml:space="preserve">possa </w:t>
      </w:r>
      <w:r w:rsidR="004756C1" w:rsidRPr="002F50BD">
        <w:rPr>
          <w:rFonts w:ascii="Verdana" w:eastAsia="Times New Roman" w:hAnsi="Verdana"/>
          <w:sz w:val="16"/>
          <w:szCs w:val="32"/>
          <w:lang w:val="pt-BR"/>
        </w:rPr>
        <w:t>derivar</w:t>
      </w:r>
      <w:r w:rsidR="0092602F" w:rsidRPr="002F50BD">
        <w:rPr>
          <w:rFonts w:ascii="Verdana" w:eastAsia="Times New Roman" w:hAnsi="Verdana"/>
          <w:sz w:val="16"/>
          <w:szCs w:val="32"/>
          <w:lang w:val="pt-BR"/>
        </w:rPr>
        <w:t>-</w:t>
      </w:r>
      <w:r w:rsidR="004756C1" w:rsidRPr="002F50BD">
        <w:rPr>
          <w:rFonts w:ascii="Verdana" w:eastAsia="Times New Roman" w:hAnsi="Verdana"/>
          <w:sz w:val="16"/>
          <w:szCs w:val="32"/>
          <w:lang w:val="pt-BR"/>
        </w:rPr>
        <w:t>se pena o</w:t>
      </w:r>
      <w:r w:rsidR="0092602F" w:rsidRPr="002F50BD">
        <w:rPr>
          <w:rFonts w:ascii="Verdana" w:eastAsia="Times New Roman" w:hAnsi="Verdana"/>
          <w:sz w:val="16"/>
          <w:szCs w:val="32"/>
          <w:lang w:val="pt-BR"/>
        </w:rPr>
        <w:t>u</w:t>
      </w:r>
      <w:r w:rsidR="004756C1" w:rsidRPr="002F50BD">
        <w:rPr>
          <w:rFonts w:ascii="Verdana" w:eastAsia="Times New Roman" w:hAnsi="Verdana"/>
          <w:sz w:val="16"/>
          <w:szCs w:val="32"/>
          <w:lang w:val="pt-BR"/>
        </w:rPr>
        <w:t xml:space="preserve"> san</w:t>
      </w:r>
      <w:r w:rsidRPr="002F50BD">
        <w:rPr>
          <w:rFonts w:ascii="Verdana" w:eastAsia="Times New Roman" w:hAnsi="Verdana"/>
          <w:sz w:val="16"/>
          <w:szCs w:val="32"/>
          <w:lang w:val="pt-BR"/>
        </w:rPr>
        <w:t>ção</w:t>
      </w:r>
      <w:r w:rsidR="004756C1" w:rsidRPr="002F50BD">
        <w:rPr>
          <w:rFonts w:ascii="Verdana" w:eastAsia="Times New Roman" w:hAnsi="Verdana"/>
          <w:sz w:val="16"/>
          <w:szCs w:val="32"/>
          <w:lang w:val="pt-BR"/>
        </w:rPr>
        <w:t xml:space="preserve">, toda </w:t>
      </w:r>
      <w:r w:rsidRPr="002F50BD">
        <w:rPr>
          <w:rFonts w:ascii="Verdana" w:eastAsia="Times New Roman" w:hAnsi="Verdana"/>
          <w:sz w:val="16"/>
          <w:szCs w:val="32"/>
          <w:lang w:val="pt-BR"/>
        </w:rPr>
        <w:t>pessoa</w:t>
      </w:r>
      <w:r w:rsidR="004756C1" w:rsidRPr="002F50BD">
        <w:rPr>
          <w:rFonts w:ascii="Verdana" w:eastAsia="Times New Roman" w:hAnsi="Verdana"/>
          <w:sz w:val="16"/>
          <w:szCs w:val="32"/>
          <w:lang w:val="pt-BR"/>
        </w:rPr>
        <w:t xml:space="preserve"> </w:t>
      </w:r>
      <w:r w:rsidRPr="002F50BD">
        <w:rPr>
          <w:rFonts w:ascii="Verdana" w:eastAsia="Times New Roman" w:hAnsi="Verdana"/>
          <w:sz w:val="16"/>
          <w:szCs w:val="32"/>
          <w:lang w:val="pt-BR"/>
        </w:rPr>
        <w:t>tem direito</w:t>
      </w:r>
      <w:r w:rsidR="004756C1" w:rsidRPr="002F50BD">
        <w:rPr>
          <w:rFonts w:ascii="Verdana" w:eastAsia="Times New Roman" w:hAnsi="Verdana"/>
          <w:sz w:val="16"/>
          <w:szCs w:val="32"/>
          <w:lang w:val="pt-BR"/>
        </w:rPr>
        <w:t xml:space="preserve"> a:</w:t>
      </w:r>
    </w:p>
    <w:p w:rsidR="004756C1" w:rsidRPr="002F50BD" w:rsidRDefault="004756C1">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w:t>
      </w:r>
      <w:r w:rsidRPr="002F50BD">
        <w:rPr>
          <w:rFonts w:ascii="Verdana" w:eastAsia="Times New Roman" w:hAnsi="Verdana"/>
          <w:sz w:val="16"/>
          <w:szCs w:val="32"/>
          <w:lang w:val="pt-BR"/>
        </w:rPr>
        <w:tab/>
      </w:r>
    </w:p>
    <w:p w:rsidR="004756C1" w:rsidRPr="002F50BD" w:rsidRDefault="00063B47">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5</w:t>
      </w:r>
      <w:r w:rsidR="004756C1" w:rsidRPr="002F50BD">
        <w:rPr>
          <w:rFonts w:ascii="Verdana" w:eastAsia="Times New Roman" w:hAnsi="Verdana"/>
          <w:sz w:val="16"/>
          <w:szCs w:val="32"/>
          <w:lang w:val="pt-BR"/>
        </w:rPr>
        <w:t xml:space="preserve">. </w:t>
      </w:r>
      <w:r w:rsidR="00F130FD">
        <w:rPr>
          <w:rFonts w:ascii="Verdana" w:eastAsia="Times New Roman" w:hAnsi="Verdana"/>
          <w:sz w:val="16"/>
          <w:szCs w:val="32"/>
          <w:lang w:val="pt-BR"/>
        </w:rPr>
        <w:t>Q</w:t>
      </w:r>
      <w:r w:rsidR="004756C1" w:rsidRPr="002F50BD">
        <w:rPr>
          <w:rFonts w:ascii="Verdana" w:eastAsia="Times New Roman" w:hAnsi="Verdana"/>
          <w:sz w:val="16"/>
          <w:szCs w:val="32"/>
          <w:lang w:val="pt-BR"/>
        </w:rPr>
        <w:t xml:space="preserve">ue se defenda por </w:t>
      </w:r>
      <w:r w:rsidR="0089298C" w:rsidRPr="002F50BD">
        <w:rPr>
          <w:rFonts w:ascii="Verdana" w:eastAsia="Times New Roman" w:hAnsi="Verdana"/>
          <w:sz w:val="16"/>
          <w:szCs w:val="32"/>
          <w:lang w:val="pt-BR"/>
        </w:rPr>
        <w:t>si mesm</w:t>
      </w:r>
      <w:r w:rsidR="004756C1" w:rsidRPr="002F50BD">
        <w:rPr>
          <w:rFonts w:ascii="Verdana" w:eastAsia="Times New Roman" w:hAnsi="Verdana"/>
          <w:sz w:val="16"/>
          <w:szCs w:val="32"/>
          <w:lang w:val="pt-BR"/>
        </w:rPr>
        <w:t>a o</w:t>
      </w:r>
      <w:r w:rsidR="0092602F" w:rsidRPr="002F50BD">
        <w:rPr>
          <w:rFonts w:ascii="Verdana" w:eastAsia="Times New Roman" w:hAnsi="Verdana"/>
          <w:sz w:val="16"/>
          <w:szCs w:val="32"/>
          <w:lang w:val="pt-BR"/>
        </w:rPr>
        <w:t>u</w:t>
      </w:r>
      <w:r w:rsidR="0089298C" w:rsidRPr="002F50BD">
        <w:rPr>
          <w:rFonts w:ascii="Verdana" w:eastAsia="Times New Roman" w:hAnsi="Verdana"/>
          <w:sz w:val="16"/>
          <w:szCs w:val="32"/>
          <w:lang w:val="pt-BR"/>
        </w:rPr>
        <w:t xml:space="preserve"> seja assistid</w:t>
      </w:r>
      <w:r w:rsidR="004756C1" w:rsidRPr="002F50BD">
        <w:rPr>
          <w:rFonts w:ascii="Verdana" w:eastAsia="Times New Roman" w:hAnsi="Verdana"/>
          <w:sz w:val="16"/>
          <w:szCs w:val="32"/>
          <w:lang w:val="pt-BR"/>
        </w:rPr>
        <w:t>a por defensores de su</w:t>
      </w:r>
      <w:r w:rsidR="0092602F" w:rsidRPr="002F50BD">
        <w:rPr>
          <w:rFonts w:ascii="Verdana" w:eastAsia="Times New Roman" w:hAnsi="Verdana"/>
          <w:sz w:val="16"/>
          <w:szCs w:val="32"/>
          <w:lang w:val="pt-BR"/>
        </w:rPr>
        <w:t>a</w:t>
      </w:r>
      <w:r w:rsidR="004756C1" w:rsidRPr="002F50BD">
        <w:rPr>
          <w:rFonts w:ascii="Verdana" w:eastAsia="Times New Roman" w:hAnsi="Verdana"/>
          <w:sz w:val="16"/>
          <w:szCs w:val="32"/>
          <w:lang w:val="pt-BR"/>
        </w:rPr>
        <w:t xml:space="preserve"> </w:t>
      </w:r>
      <w:r w:rsidR="0092602F" w:rsidRPr="002F50BD">
        <w:rPr>
          <w:rFonts w:ascii="Verdana" w:eastAsia="Times New Roman" w:hAnsi="Verdana"/>
          <w:sz w:val="16"/>
          <w:szCs w:val="32"/>
          <w:lang w:val="pt-BR"/>
        </w:rPr>
        <w:t>escolha</w:t>
      </w:r>
      <w:r w:rsidR="004756C1" w:rsidRPr="002F50BD">
        <w:rPr>
          <w:rFonts w:ascii="Verdana" w:eastAsia="Times New Roman" w:hAnsi="Verdana"/>
          <w:sz w:val="16"/>
          <w:szCs w:val="32"/>
          <w:lang w:val="pt-BR"/>
        </w:rPr>
        <w:t>;</w:t>
      </w:r>
    </w:p>
    <w:p w:rsidR="004756C1" w:rsidRPr="002F50BD" w:rsidRDefault="00063B47">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6</w:t>
      </w:r>
      <w:r w:rsidR="004756C1" w:rsidRPr="002F50BD">
        <w:rPr>
          <w:rFonts w:ascii="Verdana" w:eastAsia="Times New Roman" w:hAnsi="Verdana"/>
          <w:sz w:val="16"/>
          <w:szCs w:val="32"/>
          <w:lang w:val="pt-BR"/>
        </w:rPr>
        <w:t xml:space="preserve">. </w:t>
      </w:r>
      <w:r w:rsidR="00F130FD">
        <w:rPr>
          <w:rFonts w:ascii="Verdana" w:eastAsia="Times New Roman" w:hAnsi="Verdana"/>
          <w:sz w:val="16"/>
          <w:szCs w:val="32"/>
          <w:lang w:val="pt-BR"/>
        </w:rPr>
        <w:t>Q</w:t>
      </w:r>
      <w:r w:rsidR="004756C1" w:rsidRPr="002F50BD">
        <w:rPr>
          <w:rFonts w:ascii="Verdana" w:eastAsia="Times New Roman" w:hAnsi="Verdana"/>
          <w:sz w:val="16"/>
          <w:szCs w:val="32"/>
          <w:lang w:val="pt-BR"/>
        </w:rPr>
        <w:t>ue</w:t>
      </w:r>
      <w:r w:rsidR="0089298C" w:rsidRPr="002F50BD">
        <w:rPr>
          <w:rFonts w:ascii="Verdana" w:eastAsia="Times New Roman" w:hAnsi="Verdana"/>
          <w:sz w:val="16"/>
          <w:szCs w:val="32"/>
          <w:lang w:val="pt-BR"/>
        </w:rPr>
        <w:t xml:space="preserve"> o </w:t>
      </w:r>
      <w:r w:rsidR="004756C1" w:rsidRPr="002F50BD">
        <w:rPr>
          <w:rFonts w:ascii="Verdana" w:eastAsia="Times New Roman" w:hAnsi="Verdana"/>
          <w:sz w:val="16"/>
          <w:szCs w:val="32"/>
          <w:lang w:val="pt-BR"/>
        </w:rPr>
        <w:t>Estado l</w:t>
      </w:r>
      <w:r w:rsidR="0092602F" w:rsidRPr="002F50BD">
        <w:rPr>
          <w:rFonts w:ascii="Verdana" w:eastAsia="Times New Roman" w:hAnsi="Verdana"/>
          <w:sz w:val="16"/>
          <w:szCs w:val="32"/>
          <w:lang w:val="pt-BR"/>
        </w:rPr>
        <w:t>h</w:t>
      </w:r>
      <w:r w:rsidR="004756C1" w:rsidRPr="002F50BD">
        <w:rPr>
          <w:rFonts w:ascii="Verdana" w:eastAsia="Times New Roman" w:hAnsi="Verdana"/>
          <w:sz w:val="16"/>
          <w:szCs w:val="32"/>
          <w:lang w:val="pt-BR"/>
        </w:rPr>
        <w:t xml:space="preserve">e </w:t>
      </w:r>
      <w:r w:rsidR="0092602F" w:rsidRPr="002F50BD">
        <w:rPr>
          <w:rFonts w:ascii="Verdana" w:eastAsia="Times New Roman" w:hAnsi="Verdana"/>
          <w:sz w:val="16"/>
          <w:szCs w:val="32"/>
          <w:lang w:val="pt-BR"/>
        </w:rPr>
        <w:t xml:space="preserve">proporcione </w:t>
      </w:r>
      <w:r w:rsidR="0089298C" w:rsidRPr="002F50BD">
        <w:rPr>
          <w:rFonts w:ascii="Verdana" w:eastAsia="Times New Roman" w:hAnsi="Verdana"/>
          <w:sz w:val="16"/>
          <w:szCs w:val="32"/>
          <w:lang w:val="pt-BR"/>
        </w:rPr>
        <w:t xml:space="preserve">um </w:t>
      </w:r>
      <w:r w:rsidR="004756C1" w:rsidRPr="002F50BD">
        <w:rPr>
          <w:rFonts w:ascii="Verdana" w:eastAsia="Times New Roman" w:hAnsi="Verdana"/>
          <w:sz w:val="16"/>
          <w:szCs w:val="32"/>
          <w:lang w:val="pt-BR"/>
        </w:rPr>
        <w:t>defensor gratuito,</w:t>
      </w:r>
      <w:r w:rsidR="0089298C" w:rsidRPr="002F50BD">
        <w:rPr>
          <w:rFonts w:ascii="Verdana" w:eastAsia="Times New Roman" w:hAnsi="Verdana"/>
          <w:sz w:val="16"/>
          <w:szCs w:val="32"/>
          <w:lang w:val="pt-BR"/>
        </w:rPr>
        <w:t xml:space="preserve"> </w:t>
      </w:r>
      <w:r w:rsidR="0092602F" w:rsidRPr="002F50BD">
        <w:rPr>
          <w:rFonts w:ascii="Verdana" w:eastAsia="Times New Roman" w:hAnsi="Verdana"/>
          <w:sz w:val="16"/>
          <w:szCs w:val="32"/>
          <w:lang w:val="pt-BR"/>
        </w:rPr>
        <w:t xml:space="preserve">no </w:t>
      </w:r>
      <w:r w:rsidR="004756C1" w:rsidRPr="002F50BD">
        <w:rPr>
          <w:rFonts w:ascii="Verdana" w:eastAsia="Times New Roman" w:hAnsi="Verdana"/>
          <w:sz w:val="16"/>
          <w:szCs w:val="32"/>
          <w:lang w:val="pt-BR"/>
        </w:rPr>
        <w:t>caso de n</w:t>
      </w:r>
      <w:r w:rsidR="0092602F" w:rsidRPr="002F50BD">
        <w:rPr>
          <w:rFonts w:ascii="Verdana" w:eastAsia="Times New Roman" w:hAnsi="Verdana"/>
          <w:sz w:val="16"/>
          <w:szCs w:val="32"/>
          <w:lang w:val="pt-BR"/>
        </w:rPr>
        <w:t>ã</w:t>
      </w:r>
      <w:r w:rsidR="004756C1" w:rsidRPr="002F50BD">
        <w:rPr>
          <w:rFonts w:ascii="Verdana" w:eastAsia="Times New Roman" w:hAnsi="Verdana"/>
          <w:sz w:val="16"/>
          <w:szCs w:val="32"/>
          <w:lang w:val="pt-BR"/>
        </w:rPr>
        <w:t xml:space="preserve">o </w:t>
      </w:r>
      <w:r w:rsidR="004076AD" w:rsidRPr="002F50BD">
        <w:rPr>
          <w:rFonts w:ascii="Verdana" w:eastAsia="Times New Roman" w:hAnsi="Verdana"/>
          <w:sz w:val="16"/>
          <w:szCs w:val="32"/>
          <w:lang w:val="pt-BR"/>
        </w:rPr>
        <w:t>dispor</w:t>
      </w:r>
      <w:r w:rsidR="004756C1" w:rsidRPr="002F50BD">
        <w:rPr>
          <w:rFonts w:ascii="Verdana" w:eastAsia="Times New Roman" w:hAnsi="Verdana"/>
          <w:sz w:val="16"/>
          <w:szCs w:val="32"/>
          <w:lang w:val="pt-BR"/>
        </w:rPr>
        <w:t xml:space="preserve"> de meios </w:t>
      </w:r>
      <w:r w:rsidR="0089298C" w:rsidRPr="002F50BD">
        <w:rPr>
          <w:rFonts w:ascii="Verdana" w:eastAsia="Times New Roman" w:hAnsi="Verdana"/>
          <w:sz w:val="16"/>
          <w:szCs w:val="32"/>
          <w:lang w:val="pt-BR"/>
        </w:rPr>
        <w:t>econômic</w:t>
      </w:r>
      <w:r w:rsidR="004756C1" w:rsidRPr="002F50BD">
        <w:rPr>
          <w:rFonts w:ascii="Verdana" w:eastAsia="Times New Roman" w:hAnsi="Verdana"/>
          <w:sz w:val="16"/>
          <w:szCs w:val="32"/>
          <w:lang w:val="pt-BR"/>
        </w:rPr>
        <w:t xml:space="preserve">os para </w:t>
      </w:r>
      <w:r w:rsidR="0092602F" w:rsidRPr="002F50BD">
        <w:rPr>
          <w:rFonts w:ascii="Verdana" w:eastAsia="Times New Roman" w:hAnsi="Verdana"/>
          <w:sz w:val="16"/>
          <w:szCs w:val="32"/>
          <w:lang w:val="pt-BR"/>
        </w:rPr>
        <w:t>financiá-lo</w:t>
      </w:r>
      <w:r w:rsidR="004756C1" w:rsidRPr="002F50BD">
        <w:rPr>
          <w:rFonts w:ascii="Verdana" w:eastAsia="Times New Roman" w:hAnsi="Verdana"/>
          <w:sz w:val="16"/>
          <w:szCs w:val="32"/>
          <w:lang w:val="pt-BR"/>
        </w:rPr>
        <w:t>;</w:t>
      </w:r>
    </w:p>
    <w:p w:rsidR="004756C1" w:rsidRPr="002F50BD" w:rsidRDefault="00063B47">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7</w:t>
      </w:r>
      <w:r w:rsidR="00BE346D" w:rsidRPr="002F50BD">
        <w:rPr>
          <w:rFonts w:ascii="Verdana" w:eastAsia="Times New Roman" w:hAnsi="Verdana"/>
          <w:sz w:val="16"/>
          <w:szCs w:val="32"/>
          <w:lang w:val="pt-BR"/>
        </w:rPr>
        <w:t xml:space="preserve">. A </w:t>
      </w:r>
      <w:r w:rsidR="004756C1" w:rsidRPr="002F50BD">
        <w:rPr>
          <w:rFonts w:ascii="Verdana" w:eastAsia="Times New Roman" w:hAnsi="Verdana"/>
          <w:sz w:val="16"/>
          <w:szCs w:val="32"/>
          <w:lang w:val="pt-BR"/>
        </w:rPr>
        <w:t>comunica</w:t>
      </w:r>
      <w:r w:rsidR="0089298C" w:rsidRPr="002F50BD">
        <w:rPr>
          <w:rFonts w:ascii="Verdana" w:eastAsia="Times New Roman" w:hAnsi="Verdana"/>
          <w:sz w:val="16"/>
          <w:szCs w:val="32"/>
          <w:lang w:val="pt-BR"/>
        </w:rPr>
        <w:t>ção</w:t>
      </w:r>
      <w:r w:rsidR="004756C1" w:rsidRPr="002F50BD">
        <w:rPr>
          <w:rFonts w:ascii="Verdana" w:eastAsia="Times New Roman" w:hAnsi="Verdana"/>
          <w:sz w:val="16"/>
          <w:szCs w:val="32"/>
          <w:lang w:val="pt-BR"/>
        </w:rPr>
        <w:t xml:space="preserve"> pr</w:t>
      </w:r>
      <w:r w:rsidR="0092602F" w:rsidRPr="002F50BD">
        <w:rPr>
          <w:rFonts w:ascii="Verdana" w:eastAsia="Times New Roman" w:hAnsi="Verdana"/>
          <w:sz w:val="16"/>
          <w:szCs w:val="32"/>
          <w:lang w:val="pt-BR"/>
        </w:rPr>
        <w:t>é</w:t>
      </w:r>
      <w:r w:rsidR="004756C1" w:rsidRPr="002F50BD">
        <w:rPr>
          <w:rFonts w:ascii="Verdana" w:eastAsia="Times New Roman" w:hAnsi="Verdana"/>
          <w:sz w:val="16"/>
          <w:szCs w:val="32"/>
          <w:lang w:val="pt-BR"/>
        </w:rPr>
        <w:t>via</w:t>
      </w:r>
      <w:r w:rsidR="0089298C" w:rsidRPr="002F50BD">
        <w:rPr>
          <w:rFonts w:ascii="Verdana" w:eastAsia="Times New Roman" w:hAnsi="Verdana"/>
          <w:sz w:val="16"/>
          <w:szCs w:val="32"/>
          <w:lang w:val="pt-BR"/>
        </w:rPr>
        <w:t xml:space="preserve"> e detalhad</w:t>
      </w:r>
      <w:r w:rsidR="004756C1" w:rsidRPr="002F50BD">
        <w:rPr>
          <w:rFonts w:ascii="Verdana" w:eastAsia="Times New Roman" w:hAnsi="Verdana"/>
          <w:sz w:val="16"/>
          <w:szCs w:val="32"/>
          <w:lang w:val="pt-BR"/>
        </w:rPr>
        <w:t>a</w:t>
      </w:r>
      <w:r w:rsidR="0089298C" w:rsidRPr="002F50BD">
        <w:rPr>
          <w:rFonts w:ascii="Verdana" w:eastAsia="Times New Roman" w:hAnsi="Verdana"/>
          <w:sz w:val="16"/>
          <w:szCs w:val="32"/>
          <w:lang w:val="pt-BR"/>
        </w:rPr>
        <w:t xml:space="preserve"> da </w:t>
      </w:r>
      <w:r w:rsidR="0092602F" w:rsidRPr="002F50BD">
        <w:rPr>
          <w:rFonts w:ascii="Verdana" w:eastAsia="Times New Roman" w:hAnsi="Verdana"/>
          <w:sz w:val="16"/>
          <w:szCs w:val="32"/>
          <w:lang w:val="pt-BR"/>
        </w:rPr>
        <w:t>acusação</w:t>
      </w:r>
      <w:r w:rsidR="004756C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assim</w:t>
      </w:r>
      <w:r w:rsidR="004756C1" w:rsidRPr="002F50BD">
        <w:rPr>
          <w:rFonts w:ascii="Verdana" w:eastAsia="Times New Roman" w:hAnsi="Verdana"/>
          <w:sz w:val="16"/>
          <w:szCs w:val="32"/>
          <w:lang w:val="pt-BR"/>
        </w:rPr>
        <w:t xml:space="preserve"> como a </w:t>
      </w:r>
      <w:r w:rsidR="0092602F" w:rsidRPr="002F50BD">
        <w:rPr>
          <w:rFonts w:ascii="Verdana" w:eastAsia="Times New Roman" w:hAnsi="Verdana"/>
          <w:sz w:val="16"/>
          <w:szCs w:val="32"/>
          <w:lang w:val="pt-BR"/>
        </w:rPr>
        <w:t xml:space="preserve">ter acesso a </w:t>
      </w:r>
      <w:r w:rsidR="0089298C" w:rsidRPr="002F50BD">
        <w:rPr>
          <w:rFonts w:ascii="Verdana" w:eastAsia="Times New Roman" w:hAnsi="Verdana"/>
          <w:sz w:val="16"/>
          <w:szCs w:val="32"/>
          <w:lang w:val="pt-BR"/>
        </w:rPr>
        <w:t>cópias</w:t>
      </w:r>
      <w:r w:rsidR="004756C1" w:rsidRPr="002F50BD">
        <w:rPr>
          <w:rFonts w:ascii="Verdana" w:eastAsia="Times New Roman" w:hAnsi="Verdana"/>
          <w:sz w:val="16"/>
          <w:szCs w:val="32"/>
          <w:lang w:val="pt-BR"/>
        </w:rPr>
        <w:t>, meios</w:t>
      </w:r>
      <w:r w:rsidR="0089298C" w:rsidRPr="002F50BD">
        <w:rPr>
          <w:rFonts w:ascii="Verdana" w:eastAsia="Times New Roman" w:hAnsi="Verdana"/>
          <w:sz w:val="16"/>
          <w:szCs w:val="32"/>
          <w:lang w:val="pt-BR"/>
        </w:rPr>
        <w:t xml:space="preserve"> e prazo</w:t>
      </w:r>
      <w:r w:rsidR="004756C1" w:rsidRPr="002F50BD">
        <w:rPr>
          <w:rFonts w:ascii="Verdana" w:eastAsia="Times New Roman" w:hAnsi="Verdana"/>
          <w:sz w:val="16"/>
          <w:szCs w:val="32"/>
          <w:lang w:val="pt-BR"/>
        </w:rPr>
        <w:t>s indispens</w:t>
      </w:r>
      <w:r w:rsidR="0089298C" w:rsidRPr="002F50BD">
        <w:rPr>
          <w:rFonts w:ascii="Verdana" w:eastAsia="Times New Roman" w:hAnsi="Verdana"/>
          <w:sz w:val="16"/>
          <w:szCs w:val="32"/>
          <w:lang w:val="pt-BR"/>
        </w:rPr>
        <w:t xml:space="preserve">áveis </w:t>
      </w:r>
      <w:r w:rsidR="004756C1" w:rsidRPr="002F50BD">
        <w:rPr>
          <w:rFonts w:ascii="Verdana" w:eastAsia="Times New Roman" w:hAnsi="Verdana"/>
          <w:sz w:val="16"/>
          <w:szCs w:val="32"/>
          <w:lang w:val="pt-BR"/>
        </w:rPr>
        <w:t>para</w:t>
      </w:r>
      <w:r w:rsidR="0089298C" w:rsidRPr="002F50BD">
        <w:rPr>
          <w:rFonts w:ascii="Verdana" w:eastAsia="Times New Roman" w:hAnsi="Verdana"/>
          <w:sz w:val="16"/>
          <w:szCs w:val="32"/>
          <w:lang w:val="pt-BR"/>
        </w:rPr>
        <w:t xml:space="preserve"> a </w:t>
      </w:r>
      <w:r w:rsidR="004756C1" w:rsidRPr="002F50BD">
        <w:rPr>
          <w:rFonts w:ascii="Verdana" w:eastAsia="Times New Roman" w:hAnsi="Verdana"/>
          <w:sz w:val="16"/>
          <w:szCs w:val="32"/>
          <w:lang w:val="pt-BR"/>
        </w:rPr>
        <w:t>prepara</w:t>
      </w:r>
      <w:r w:rsidR="0089298C" w:rsidRPr="002F50BD">
        <w:rPr>
          <w:rFonts w:ascii="Verdana" w:eastAsia="Times New Roman" w:hAnsi="Verdana"/>
          <w:sz w:val="16"/>
          <w:szCs w:val="32"/>
          <w:lang w:val="pt-BR"/>
        </w:rPr>
        <w:t>ção</w:t>
      </w:r>
      <w:r w:rsidR="004756C1" w:rsidRPr="002F50BD">
        <w:rPr>
          <w:rFonts w:ascii="Verdana" w:eastAsia="Times New Roman" w:hAnsi="Verdana"/>
          <w:sz w:val="16"/>
          <w:szCs w:val="32"/>
          <w:lang w:val="pt-BR"/>
        </w:rPr>
        <w:t xml:space="preserve"> de su</w:t>
      </w:r>
      <w:r w:rsidR="0092602F" w:rsidRPr="002F50BD">
        <w:rPr>
          <w:rFonts w:ascii="Verdana" w:eastAsia="Times New Roman" w:hAnsi="Verdana"/>
          <w:sz w:val="16"/>
          <w:szCs w:val="32"/>
          <w:lang w:val="pt-BR"/>
        </w:rPr>
        <w:t>a</w:t>
      </w:r>
      <w:r w:rsidR="004756C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 xml:space="preserve">defesa em livre </w:t>
      </w:r>
      <w:r w:rsidR="004756C1" w:rsidRPr="002F50BD">
        <w:rPr>
          <w:rFonts w:ascii="Verdana" w:eastAsia="Times New Roman" w:hAnsi="Verdana"/>
          <w:sz w:val="16"/>
          <w:szCs w:val="32"/>
          <w:lang w:val="pt-BR"/>
        </w:rPr>
        <w:t>comunica</w:t>
      </w:r>
      <w:r w:rsidR="0089298C" w:rsidRPr="002F50BD">
        <w:rPr>
          <w:rFonts w:ascii="Verdana" w:eastAsia="Times New Roman" w:hAnsi="Verdana"/>
          <w:sz w:val="16"/>
          <w:szCs w:val="32"/>
          <w:lang w:val="pt-BR"/>
        </w:rPr>
        <w:t>ção</w:t>
      </w:r>
      <w:r w:rsidR="004756C1" w:rsidRPr="002F50BD">
        <w:rPr>
          <w:rFonts w:ascii="Verdana" w:eastAsia="Times New Roman" w:hAnsi="Verdana"/>
          <w:sz w:val="16"/>
          <w:szCs w:val="32"/>
          <w:lang w:val="pt-BR"/>
        </w:rPr>
        <w:t>;</w:t>
      </w:r>
    </w:p>
    <w:p w:rsidR="004756C1" w:rsidRPr="002F50BD" w:rsidRDefault="00063B47">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8</w:t>
      </w:r>
      <w:r w:rsidR="006603BE" w:rsidRPr="002F50BD">
        <w:rPr>
          <w:rFonts w:ascii="Verdana" w:eastAsia="Times New Roman" w:hAnsi="Verdana"/>
          <w:sz w:val="16"/>
          <w:szCs w:val="32"/>
          <w:lang w:val="pt-BR"/>
        </w:rPr>
        <w:t>. Q</w:t>
      </w:r>
      <w:r w:rsidR="004756C1" w:rsidRPr="002F50BD">
        <w:rPr>
          <w:rFonts w:ascii="Verdana" w:eastAsia="Times New Roman" w:hAnsi="Verdana"/>
          <w:sz w:val="16"/>
          <w:szCs w:val="32"/>
          <w:lang w:val="pt-BR"/>
        </w:rPr>
        <w:t>ue of</w:t>
      </w:r>
      <w:r w:rsidR="0092602F" w:rsidRPr="002F50BD">
        <w:rPr>
          <w:rFonts w:ascii="Verdana" w:eastAsia="Times New Roman" w:hAnsi="Verdana"/>
          <w:sz w:val="16"/>
          <w:szCs w:val="32"/>
          <w:lang w:val="pt-BR"/>
        </w:rPr>
        <w:t>e</w:t>
      </w:r>
      <w:r w:rsidR="004756C1" w:rsidRPr="002F50BD">
        <w:rPr>
          <w:rFonts w:ascii="Verdana" w:eastAsia="Times New Roman" w:hAnsi="Verdana"/>
          <w:sz w:val="16"/>
          <w:szCs w:val="32"/>
          <w:lang w:val="pt-BR"/>
        </w:rPr>
        <w:t>re</w:t>
      </w:r>
      <w:r w:rsidR="0092602F" w:rsidRPr="002F50BD">
        <w:rPr>
          <w:rFonts w:ascii="Verdana" w:eastAsia="Times New Roman" w:hAnsi="Verdana"/>
          <w:sz w:val="16"/>
          <w:szCs w:val="32"/>
          <w:lang w:val="pt-BR"/>
        </w:rPr>
        <w:t>ç</w:t>
      </w:r>
      <w:r w:rsidR="004756C1" w:rsidRPr="002F50BD">
        <w:rPr>
          <w:rFonts w:ascii="Verdana" w:eastAsia="Times New Roman" w:hAnsi="Verdana"/>
          <w:sz w:val="16"/>
          <w:szCs w:val="32"/>
          <w:lang w:val="pt-BR"/>
        </w:rPr>
        <w:t xml:space="preserve">a, </w:t>
      </w:r>
      <w:r w:rsidR="00A64278" w:rsidRPr="002F50BD">
        <w:rPr>
          <w:rFonts w:ascii="Verdana" w:eastAsia="Times New Roman" w:hAnsi="Verdana"/>
          <w:sz w:val="16"/>
          <w:szCs w:val="32"/>
          <w:lang w:val="pt-BR"/>
        </w:rPr>
        <w:t>produza</w:t>
      </w:r>
      <w:r w:rsidR="004756C1" w:rsidRPr="002F50BD">
        <w:rPr>
          <w:rFonts w:ascii="Verdana" w:eastAsia="Times New Roman" w:hAnsi="Verdana"/>
          <w:sz w:val="16"/>
          <w:szCs w:val="32"/>
          <w:lang w:val="pt-BR"/>
        </w:rPr>
        <w:t xml:space="preserve">, controle e </w:t>
      </w:r>
      <w:r w:rsidR="0092602F" w:rsidRPr="002F50BD">
        <w:rPr>
          <w:rFonts w:ascii="Verdana" w:eastAsia="Times New Roman" w:hAnsi="Verdana"/>
          <w:sz w:val="16"/>
          <w:szCs w:val="32"/>
          <w:lang w:val="pt-BR"/>
        </w:rPr>
        <w:t xml:space="preserve">conteste </w:t>
      </w:r>
      <w:r w:rsidR="0089298C" w:rsidRPr="002F50BD">
        <w:rPr>
          <w:rFonts w:ascii="Verdana" w:eastAsia="Times New Roman" w:hAnsi="Verdana"/>
          <w:sz w:val="16"/>
          <w:szCs w:val="32"/>
          <w:lang w:val="pt-BR"/>
        </w:rPr>
        <w:t>prova</w:t>
      </w:r>
      <w:r w:rsidR="004756C1" w:rsidRPr="002F50BD">
        <w:rPr>
          <w:rFonts w:ascii="Verdana" w:eastAsia="Times New Roman" w:hAnsi="Verdana"/>
          <w:sz w:val="16"/>
          <w:szCs w:val="32"/>
          <w:lang w:val="pt-BR"/>
        </w:rPr>
        <w:t>s;</w:t>
      </w:r>
    </w:p>
    <w:p w:rsidR="004756C1" w:rsidRPr="002F50BD" w:rsidRDefault="004756C1">
      <w:pPr>
        <w:widowControl w:val="0"/>
        <w:tabs>
          <w:tab w:val="right" w:pos="266"/>
          <w:tab w:val="left" w:pos="480"/>
        </w:tabs>
        <w:autoSpaceDE w:val="0"/>
        <w:autoSpaceDN w:val="0"/>
        <w:adjustRightInd w:val="0"/>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w:t>
      </w:r>
    </w:p>
    <w:p w:rsidR="004756C1" w:rsidRPr="002F50BD" w:rsidRDefault="00063B47">
      <w:pPr>
        <w:ind w:left="720" w:right="720"/>
        <w:jc w:val="both"/>
        <w:rPr>
          <w:rFonts w:ascii="Verdana" w:eastAsia="Times New Roman" w:hAnsi="Verdana"/>
          <w:sz w:val="16"/>
          <w:szCs w:val="32"/>
          <w:lang w:val="pt-BR"/>
        </w:rPr>
      </w:pPr>
      <w:r w:rsidRPr="002F50BD">
        <w:rPr>
          <w:rFonts w:ascii="Verdana" w:eastAsia="Times New Roman" w:hAnsi="Verdana"/>
          <w:sz w:val="16"/>
          <w:szCs w:val="32"/>
          <w:lang w:val="pt-BR"/>
        </w:rPr>
        <w:t>10</w:t>
      </w:r>
      <w:r w:rsidR="00D95E71" w:rsidRPr="002F50BD">
        <w:rPr>
          <w:rFonts w:ascii="Verdana" w:eastAsia="Times New Roman" w:hAnsi="Verdana"/>
          <w:sz w:val="16"/>
          <w:szCs w:val="32"/>
          <w:lang w:val="pt-BR"/>
        </w:rPr>
        <w:t xml:space="preserve">. O </w:t>
      </w:r>
      <w:r w:rsidR="0089298C" w:rsidRPr="002F50BD">
        <w:rPr>
          <w:rFonts w:ascii="Verdana" w:eastAsia="Times New Roman" w:hAnsi="Verdana"/>
          <w:sz w:val="16"/>
          <w:szCs w:val="32"/>
          <w:lang w:val="pt-BR"/>
        </w:rPr>
        <w:t>acesso</w:t>
      </w:r>
      <w:r w:rsidR="004756C1" w:rsidRPr="002F50BD">
        <w:rPr>
          <w:rFonts w:ascii="Verdana" w:eastAsia="Times New Roman" w:hAnsi="Verdana"/>
          <w:sz w:val="16"/>
          <w:szCs w:val="32"/>
          <w:lang w:val="pt-BR"/>
        </w:rPr>
        <w:t xml:space="preserve">, por </w:t>
      </w:r>
      <w:r w:rsidR="0089298C" w:rsidRPr="002F50BD">
        <w:rPr>
          <w:rFonts w:ascii="Verdana" w:eastAsia="Times New Roman" w:hAnsi="Verdana"/>
          <w:sz w:val="16"/>
          <w:szCs w:val="32"/>
          <w:lang w:val="pt-BR"/>
        </w:rPr>
        <w:t xml:space="preserve">si </w:t>
      </w:r>
      <w:r w:rsidR="006603BE" w:rsidRPr="002F50BD">
        <w:rPr>
          <w:rFonts w:ascii="Verdana" w:eastAsia="Times New Roman" w:hAnsi="Verdana"/>
          <w:sz w:val="16"/>
          <w:szCs w:val="32"/>
          <w:lang w:val="pt-BR"/>
        </w:rPr>
        <w:t xml:space="preserve">mesmo </w:t>
      </w:r>
      <w:r w:rsidR="004756C1" w:rsidRPr="002F50BD">
        <w:rPr>
          <w:rFonts w:ascii="Verdana" w:eastAsia="Times New Roman" w:hAnsi="Verdana"/>
          <w:sz w:val="16"/>
          <w:szCs w:val="32"/>
          <w:lang w:val="pt-BR"/>
        </w:rPr>
        <w:t>o</w:t>
      </w:r>
      <w:r w:rsidR="0092602F" w:rsidRPr="002F50BD">
        <w:rPr>
          <w:rFonts w:ascii="Verdana" w:eastAsia="Times New Roman" w:hAnsi="Verdana"/>
          <w:sz w:val="16"/>
          <w:szCs w:val="32"/>
          <w:lang w:val="pt-BR"/>
        </w:rPr>
        <w:t>u através de seu defensor</w:t>
      </w:r>
      <w:r w:rsidR="004756C1" w:rsidRPr="002F50BD">
        <w:rPr>
          <w:rFonts w:ascii="Verdana" w:eastAsia="Times New Roman" w:hAnsi="Verdana"/>
          <w:sz w:val="16"/>
          <w:szCs w:val="32"/>
          <w:lang w:val="pt-BR"/>
        </w:rPr>
        <w:t>,</w:t>
      </w:r>
      <w:r w:rsidR="0089298C" w:rsidRPr="002F50BD">
        <w:rPr>
          <w:rFonts w:ascii="Verdana" w:eastAsia="Times New Roman" w:hAnsi="Verdana"/>
          <w:sz w:val="16"/>
          <w:szCs w:val="32"/>
          <w:lang w:val="pt-BR"/>
        </w:rPr>
        <w:t xml:space="preserve"> às atuações</w:t>
      </w:r>
      <w:r w:rsidR="004756C1" w:rsidRPr="002F50BD">
        <w:rPr>
          <w:rFonts w:ascii="Verdana" w:eastAsia="Times New Roman" w:hAnsi="Verdana"/>
          <w:sz w:val="16"/>
          <w:szCs w:val="32"/>
          <w:lang w:val="pt-BR"/>
        </w:rPr>
        <w:t xml:space="preserve"> </w:t>
      </w:r>
      <w:r w:rsidR="0089298C" w:rsidRPr="002F50BD">
        <w:rPr>
          <w:rFonts w:ascii="Verdana" w:eastAsia="Times New Roman" w:hAnsi="Verdana"/>
          <w:sz w:val="16"/>
          <w:szCs w:val="32"/>
          <w:lang w:val="pt-BR"/>
        </w:rPr>
        <w:t>processuais</w:t>
      </w:r>
      <w:r w:rsidR="004756C1" w:rsidRPr="002F50BD">
        <w:rPr>
          <w:rFonts w:ascii="Verdana" w:eastAsia="Times New Roman" w:hAnsi="Verdana"/>
          <w:sz w:val="16"/>
          <w:szCs w:val="32"/>
          <w:lang w:val="pt-BR"/>
        </w:rPr>
        <w:t>,</w:t>
      </w:r>
      <w:r w:rsidR="0089298C" w:rsidRPr="002F50BD">
        <w:rPr>
          <w:rFonts w:ascii="Verdana" w:eastAsia="Times New Roman" w:hAnsi="Verdana"/>
          <w:sz w:val="16"/>
          <w:szCs w:val="32"/>
          <w:lang w:val="pt-BR"/>
        </w:rPr>
        <w:t xml:space="preserve"> as quais em nenhum </w:t>
      </w:r>
      <w:r w:rsidR="004756C1" w:rsidRPr="002F50BD">
        <w:rPr>
          <w:rFonts w:ascii="Verdana" w:eastAsia="Times New Roman" w:hAnsi="Verdana"/>
          <w:sz w:val="16"/>
          <w:szCs w:val="32"/>
          <w:lang w:val="pt-BR"/>
        </w:rPr>
        <w:t xml:space="preserve">caso </w:t>
      </w:r>
      <w:r w:rsidR="0089298C" w:rsidRPr="002F50BD">
        <w:rPr>
          <w:rFonts w:ascii="Verdana" w:eastAsia="Times New Roman" w:hAnsi="Verdana"/>
          <w:sz w:val="16"/>
          <w:szCs w:val="32"/>
          <w:lang w:val="pt-BR"/>
        </w:rPr>
        <w:t>poderão</w:t>
      </w:r>
      <w:r w:rsidR="004756C1" w:rsidRPr="002F50BD">
        <w:rPr>
          <w:rFonts w:ascii="Verdana" w:eastAsia="Times New Roman" w:hAnsi="Verdana"/>
          <w:sz w:val="16"/>
          <w:szCs w:val="32"/>
          <w:lang w:val="pt-BR"/>
        </w:rPr>
        <w:t xml:space="preserve"> ser secretas para</w:t>
      </w:r>
      <w:r w:rsidR="0089298C" w:rsidRPr="002F50BD">
        <w:rPr>
          <w:rFonts w:ascii="Verdana" w:eastAsia="Times New Roman" w:hAnsi="Verdana"/>
          <w:sz w:val="16"/>
          <w:szCs w:val="32"/>
          <w:lang w:val="pt-BR"/>
        </w:rPr>
        <w:t xml:space="preserve"> ele</w:t>
      </w:r>
      <w:r w:rsidR="004756C1" w:rsidRPr="002F50BD">
        <w:rPr>
          <w:rFonts w:ascii="Verdana" w:eastAsia="Times New Roman" w:hAnsi="Verdana"/>
          <w:sz w:val="16"/>
          <w:szCs w:val="32"/>
          <w:lang w:val="pt-BR"/>
        </w:rPr>
        <w:t>s. […]</w:t>
      </w:r>
    </w:p>
    <w:p w:rsidR="0092602F" w:rsidRPr="002F50BD" w:rsidRDefault="0092602F" w:rsidP="0092602F">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11</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Código de </w:t>
      </w:r>
      <w:r w:rsidRPr="002F50BD">
        <w:rPr>
          <w:rFonts w:ascii="Verdana" w:hAnsi="Verdana"/>
          <w:sz w:val="20"/>
          <w:lang w:val="pt-BR"/>
        </w:rPr>
        <w:t>Procedimento</w:t>
      </w:r>
      <w:r w:rsidR="004756C1" w:rsidRPr="002F50BD">
        <w:rPr>
          <w:rFonts w:ascii="Verdana" w:hAnsi="Verdana"/>
          <w:sz w:val="20"/>
          <w:lang w:val="pt-BR"/>
        </w:rPr>
        <w:t xml:space="preserve">s </w:t>
      </w:r>
      <w:r w:rsidRPr="002F50BD">
        <w:rPr>
          <w:rFonts w:ascii="Verdana" w:hAnsi="Verdana"/>
          <w:sz w:val="20"/>
          <w:lang w:val="pt-BR"/>
        </w:rPr>
        <w:t>Penais</w:t>
      </w:r>
      <w:r w:rsidR="004756C1" w:rsidRPr="002F50BD">
        <w:rPr>
          <w:rFonts w:ascii="Verdana" w:hAnsi="Verdana"/>
          <w:sz w:val="20"/>
          <w:lang w:val="pt-BR"/>
        </w:rPr>
        <w:t xml:space="preserve"> de </w:t>
      </w:r>
      <w:r w:rsidR="00063B47" w:rsidRPr="002F50BD">
        <w:rPr>
          <w:rFonts w:ascii="Verdana" w:hAnsi="Verdana"/>
          <w:sz w:val="20"/>
          <w:lang w:val="pt-BR"/>
        </w:rPr>
        <w:t>1890</w:t>
      </w:r>
      <w:r w:rsidR="004756C1" w:rsidRPr="002F50BD">
        <w:rPr>
          <w:rFonts w:ascii="Verdana" w:hAnsi="Verdana"/>
          <w:sz w:val="20"/>
          <w:lang w:val="pt-BR"/>
        </w:rPr>
        <w:t xml:space="preserve">, </w:t>
      </w:r>
      <w:r w:rsidRPr="002F50BD">
        <w:rPr>
          <w:rFonts w:ascii="Verdana" w:hAnsi="Verdana"/>
          <w:sz w:val="20"/>
          <w:lang w:val="pt-BR"/>
        </w:rPr>
        <w:t>aplic</w:t>
      </w:r>
      <w:r w:rsidR="0092602F" w:rsidRPr="002F50BD">
        <w:rPr>
          <w:rFonts w:ascii="Verdana" w:hAnsi="Verdana"/>
          <w:sz w:val="20"/>
          <w:lang w:val="pt-BR"/>
        </w:rPr>
        <w:t>ado</w:t>
      </w:r>
      <w:r w:rsidR="004756C1" w:rsidRPr="002F50BD">
        <w:rPr>
          <w:rFonts w:ascii="Verdana" w:hAnsi="Verdana"/>
          <w:sz w:val="20"/>
          <w:lang w:val="pt-BR"/>
        </w:rPr>
        <w:t xml:space="preserve"> a este caso, </w:t>
      </w:r>
      <w:r w:rsidRPr="002F50BD">
        <w:rPr>
          <w:rFonts w:ascii="Verdana" w:hAnsi="Verdana"/>
          <w:sz w:val="20"/>
          <w:lang w:val="pt-BR"/>
        </w:rPr>
        <w:t>dispunha</w:t>
      </w:r>
      <w:r w:rsidR="004756C1" w:rsidRPr="002F50BD">
        <w:rPr>
          <w:rFonts w:ascii="Verdana" w:hAnsi="Verdana"/>
          <w:sz w:val="20"/>
          <w:lang w:val="pt-BR"/>
        </w:rPr>
        <w:t xml:space="preserve"> que</w:t>
      </w:r>
    </w:p>
    <w:p w:rsidR="004756C1" w:rsidRPr="002F50BD" w:rsidRDefault="004756C1">
      <w:pPr>
        <w:tabs>
          <w:tab w:val="left" w:pos="270"/>
        </w:tabs>
        <w:ind w:left="540" w:right="540"/>
        <w:jc w:val="both"/>
        <w:rPr>
          <w:rFonts w:ascii="Verdana" w:hAnsi="Verdana"/>
          <w:sz w:val="16"/>
          <w:lang w:val="pt-BR"/>
        </w:rPr>
      </w:pPr>
    </w:p>
    <w:p w:rsidR="004756C1" w:rsidRPr="002F50BD" w:rsidRDefault="004756C1">
      <w:pPr>
        <w:tabs>
          <w:tab w:val="left" w:pos="270"/>
        </w:tabs>
        <w:ind w:left="720" w:right="720"/>
        <w:jc w:val="both"/>
        <w:rPr>
          <w:rFonts w:ascii="Verdana" w:hAnsi="Verdana"/>
          <w:sz w:val="16"/>
          <w:lang w:val="pt-BR"/>
        </w:rPr>
      </w:pPr>
      <w:r w:rsidRPr="002F50BD">
        <w:rPr>
          <w:rFonts w:ascii="Verdana" w:hAnsi="Verdana"/>
          <w:sz w:val="16"/>
          <w:lang w:val="pt-BR"/>
        </w:rPr>
        <w:lastRenderedPageBreak/>
        <w:t>[</w:t>
      </w:r>
      <w:r w:rsidR="0092602F" w:rsidRPr="002F50BD">
        <w:rPr>
          <w:rFonts w:ascii="Verdana" w:hAnsi="Verdana"/>
          <w:sz w:val="16"/>
          <w:lang w:val="pt-BR"/>
        </w:rPr>
        <w:t>é</w:t>
      </w:r>
      <w:r w:rsidRPr="002F50BD">
        <w:rPr>
          <w:rFonts w:ascii="Verdana" w:hAnsi="Verdana"/>
          <w:sz w:val="16"/>
          <w:lang w:val="pt-BR"/>
        </w:rPr>
        <w:t xml:space="preserve">] </w:t>
      </w:r>
      <w:r w:rsidR="0092602F" w:rsidRPr="002F50BD">
        <w:rPr>
          <w:rFonts w:ascii="Verdana" w:hAnsi="Verdana"/>
          <w:sz w:val="16"/>
          <w:lang w:val="pt-BR"/>
        </w:rPr>
        <w:t>inviolável</w:t>
      </w:r>
      <w:r w:rsidR="0089298C" w:rsidRPr="002F50BD">
        <w:rPr>
          <w:rFonts w:ascii="Verdana" w:hAnsi="Verdana"/>
          <w:sz w:val="16"/>
          <w:lang w:val="pt-BR"/>
        </w:rPr>
        <w:t xml:space="preserve"> a defesa em juízo da pessoa e dos direito</w:t>
      </w:r>
      <w:r w:rsidRPr="002F50BD">
        <w:rPr>
          <w:rFonts w:ascii="Verdana" w:hAnsi="Verdana"/>
          <w:sz w:val="16"/>
          <w:lang w:val="pt-BR"/>
        </w:rPr>
        <w:t>s</w:t>
      </w:r>
      <w:r w:rsidR="0089298C" w:rsidRPr="002F50BD">
        <w:rPr>
          <w:rFonts w:ascii="Verdana" w:hAnsi="Verdana"/>
          <w:sz w:val="16"/>
          <w:lang w:val="pt-BR"/>
        </w:rPr>
        <w:t xml:space="preserve"> dos processad</w:t>
      </w:r>
      <w:r w:rsidRPr="002F50BD">
        <w:rPr>
          <w:rFonts w:ascii="Verdana" w:hAnsi="Verdana"/>
          <w:sz w:val="16"/>
          <w:lang w:val="pt-BR"/>
        </w:rPr>
        <w:t>os.</w:t>
      </w:r>
      <w:r w:rsidR="0089298C" w:rsidRPr="002F50BD">
        <w:rPr>
          <w:rFonts w:ascii="Verdana" w:hAnsi="Verdana"/>
          <w:sz w:val="16"/>
          <w:lang w:val="pt-BR"/>
        </w:rPr>
        <w:t xml:space="preserve"> </w:t>
      </w:r>
      <w:r w:rsidR="0092602F" w:rsidRPr="002F50BD">
        <w:rPr>
          <w:rFonts w:ascii="Verdana" w:hAnsi="Verdana"/>
          <w:sz w:val="16"/>
          <w:lang w:val="pt-BR"/>
        </w:rPr>
        <w:t>E</w:t>
      </w:r>
      <w:r w:rsidR="0089298C" w:rsidRPr="002F50BD">
        <w:rPr>
          <w:rFonts w:ascii="Verdana" w:hAnsi="Verdana"/>
          <w:sz w:val="16"/>
          <w:lang w:val="pt-BR"/>
        </w:rPr>
        <w:t xml:space="preserve">stes </w:t>
      </w:r>
      <w:r w:rsidR="00475EBB" w:rsidRPr="002F50BD">
        <w:rPr>
          <w:rFonts w:ascii="Verdana" w:hAnsi="Verdana"/>
          <w:sz w:val="16"/>
          <w:lang w:val="pt-BR"/>
        </w:rPr>
        <w:t xml:space="preserve">podem </w:t>
      </w:r>
      <w:r w:rsidR="0092602F" w:rsidRPr="002F50BD">
        <w:rPr>
          <w:rFonts w:ascii="Verdana" w:hAnsi="Verdana"/>
          <w:sz w:val="16"/>
          <w:lang w:val="pt-BR"/>
        </w:rPr>
        <w:t xml:space="preserve">se </w:t>
      </w:r>
      <w:r w:rsidRPr="002F50BD">
        <w:rPr>
          <w:rFonts w:ascii="Verdana" w:hAnsi="Verdana"/>
          <w:sz w:val="16"/>
          <w:lang w:val="pt-BR"/>
        </w:rPr>
        <w:t xml:space="preserve">defender por </w:t>
      </w:r>
      <w:r w:rsidR="0089298C" w:rsidRPr="002F50BD">
        <w:rPr>
          <w:rFonts w:ascii="Verdana" w:hAnsi="Verdana"/>
          <w:sz w:val="16"/>
          <w:lang w:val="pt-BR"/>
        </w:rPr>
        <w:t>si mesm</w:t>
      </w:r>
      <w:r w:rsidRPr="002F50BD">
        <w:rPr>
          <w:rFonts w:ascii="Verdana" w:hAnsi="Verdana"/>
          <w:sz w:val="16"/>
          <w:lang w:val="pt-BR"/>
        </w:rPr>
        <w:t>os o</w:t>
      </w:r>
      <w:r w:rsidR="0092602F" w:rsidRPr="002F50BD">
        <w:rPr>
          <w:rFonts w:ascii="Verdana" w:hAnsi="Verdana"/>
          <w:sz w:val="16"/>
          <w:lang w:val="pt-BR"/>
        </w:rPr>
        <w:t>u</w:t>
      </w:r>
      <w:r w:rsidRPr="002F50BD">
        <w:rPr>
          <w:rFonts w:ascii="Verdana" w:hAnsi="Verdana"/>
          <w:sz w:val="16"/>
          <w:lang w:val="pt-BR"/>
        </w:rPr>
        <w:t xml:space="preserve"> por </w:t>
      </w:r>
      <w:r w:rsidR="0089298C" w:rsidRPr="002F50BD">
        <w:rPr>
          <w:rFonts w:ascii="Verdana" w:hAnsi="Verdana"/>
          <w:sz w:val="16"/>
          <w:lang w:val="pt-BR"/>
        </w:rPr>
        <w:t>pessoa</w:t>
      </w:r>
      <w:r w:rsidRPr="002F50BD">
        <w:rPr>
          <w:rFonts w:ascii="Verdana" w:hAnsi="Verdana"/>
          <w:sz w:val="16"/>
          <w:lang w:val="pt-BR"/>
        </w:rPr>
        <w:t>s de con</w:t>
      </w:r>
      <w:r w:rsidR="0089298C" w:rsidRPr="002F50BD">
        <w:rPr>
          <w:rFonts w:ascii="Verdana" w:hAnsi="Verdana"/>
          <w:sz w:val="16"/>
          <w:lang w:val="pt-BR"/>
        </w:rPr>
        <w:t>fiança</w:t>
      </w:r>
      <w:r w:rsidRPr="002F50BD">
        <w:rPr>
          <w:rFonts w:ascii="Verdana" w:hAnsi="Verdana"/>
          <w:sz w:val="16"/>
          <w:lang w:val="pt-BR"/>
        </w:rPr>
        <w:t xml:space="preserve"> </w:t>
      </w:r>
      <w:r w:rsidR="0089298C" w:rsidRPr="002F50BD">
        <w:rPr>
          <w:rFonts w:ascii="Verdana" w:hAnsi="Verdana"/>
          <w:sz w:val="16"/>
          <w:lang w:val="pt-BR"/>
        </w:rPr>
        <w:t>nomea</w:t>
      </w:r>
      <w:r w:rsidRPr="002F50BD">
        <w:rPr>
          <w:rFonts w:ascii="Verdana" w:hAnsi="Verdana"/>
          <w:sz w:val="16"/>
          <w:lang w:val="pt-BR"/>
        </w:rPr>
        <w:t>d</w:t>
      </w:r>
      <w:r w:rsidR="0092602F" w:rsidRPr="002F50BD">
        <w:rPr>
          <w:rFonts w:ascii="Verdana" w:hAnsi="Verdana"/>
          <w:sz w:val="16"/>
          <w:lang w:val="pt-BR"/>
        </w:rPr>
        <w:t>a</w:t>
      </w:r>
      <w:r w:rsidRPr="002F50BD">
        <w:rPr>
          <w:rFonts w:ascii="Verdana" w:hAnsi="Verdana"/>
          <w:sz w:val="16"/>
          <w:lang w:val="pt-BR"/>
        </w:rPr>
        <w:t>s por</w:t>
      </w:r>
      <w:r w:rsidR="0089298C" w:rsidRPr="002F50BD">
        <w:rPr>
          <w:rFonts w:ascii="Verdana" w:hAnsi="Verdana"/>
          <w:sz w:val="16"/>
          <w:lang w:val="pt-BR"/>
        </w:rPr>
        <w:t xml:space="preserve"> ele</w:t>
      </w:r>
      <w:r w:rsidRPr="002F50BD">
        <w:rPr>
          <w:rFonts w:ascii="Verdana" w:hAnsi="Verdana"/>
          <w:sz w:val="16"/>
          <w:lang w:val="pt-BR"/>
        </w:rPr>
        <w:t>s.</w:t>
      </w:r>
    </w:p>
    <w:p w:rsidR="004756C1" w:rsidRPr="002F50BD" w:rsidRDefault="0092602F">
      <w:pPr>
        <w:ind w:left="720" w:right="720"/>
        <w:jc w:val="both"/>
        <w:rPr>
          <w:rFonts w:ascii="Verdana" w:hAnsi="Verdana"/>
          <w:sz w:val="16"/>
          <w:lang w:val="pt-BR"/>
        </w:rPr>
      </w:pPr>
      <w:r w:rsidRPr="002F50BD">
        <w:rPr>
          <w:rFonts w:ascii="Verdana" w:hAnsi="Verdana"/>
          <w:sz w:val="16"/>
          <w:lang w:val="pt-BR"/>
        </w:rPr>
        <w:t xml:space="preserve">Na sua falta, </w:t>
      </w:r>
      <w:r w:rsidR="0089298C" w:rsidRPr="002F50BD">
        <w:rPr>
          <w:rFonts w:ascii="Verdana" w:hAnsi="Verdana"/>
          <w:sz w:val="16"/>
          <w:lang w:val="pt-BR"/>
        </w:rPr>
        <w:t>o Juiz lhes nomea</w:t>
      </w:r>
      <w:r w:rsidR="004756C1" w:rsidRPr="002F50BD">
        <w:rPr>
          <w:rFonts w:ascii="Verdana" w:hAnsi="Verdana"/>
          <w:sz w:val="16"/>
          <w:lang w:val="pt-BR"/>
        </w:rPr>
        <w:t>rá defensor.</w:t>
      </w:r>
    </w:p>
    <w:p w:rsidR="004756C1" w:rsidRPr="002F50BD" w:rsidRDefault="004756C1">
      <w:pPr>
        <w:jc w:val="both"/>
        <w:rPr>
          <w:rFonts w:ascii="Verdana" w:hAnsi="Verdana"/>
          <w:sz w:val="20"/>
          <w:lang w:val="pt-BR"/>
        </w:rPr>
      </w:pPr>
    </w:p>
    <w:p w:rsidR="004756C1" w:rsidRPr="002F50BD" w:rsidRDefault="0092602F">
      <w:pPr>
        <w:numPr>
          <w:ilvl w:val="0"/>
          <w:numId w:val="28"/>
        </w:numPr>
        <w:jc w:val="both"/>
        <w:rPr>
          <w:rFonts w:ascii="Verdana" w:hAnsi="Verdana"/>
          <w:sz w:val="20"/>
          <w:lang w:val="pt-BR"/>
        </w:rPr>
      </w:pPr>
      <w:r w:rsidRPr="002F50BD">
        <w:rPr>
          <w:rFonts w:ascii="Verdana" w:hAnsi="Verdana"/>
          <w:sz w:val="20"/>
          <w:lang w:val="pt-BR"/>
        </w:rPr>
        <w:t>Em que pese</w:t>
      </w:r>
      <w:r w:rsidR="00F86365" w:rsidRPr="002F50BD">
        <w:rPr>
          <w:rFonts w:ascii="Verdana" w:hAnsi="Verdana"/>
          <w:sz w:val="20"/>
          <w:lang w:val="pt-BR"/>
        </w:rPr>
        <w:t>m</w:t>
      </w:r>
      <w:r w:rsidRPr="002F50BD">
        <w:rPr>
          <w:rFonts w:ascii="Verdana" w:hAnsi="Verdana"/>
          <w:sz w:val="20"/>
          <w:lang w:val="pt-BR"/>
        </w:rPr>
        <w:t xml:space="preserve"> </w:t>
      </w:r>
      <w:r w:rsidR="006603BE"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normas citadas,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contar</w:t>
      </w:r>
      <w:r w:rsidRPr="002F50BD">
        <w:rPr>
          <w:rFonts w:ascii="Verdana" w:hAnsi="Verdana"/>
          <w:sz w:val="20"/>
          <w:lang w:val="pt-BR"/>
        </w:rPr>
        <w:t xml:space="preserve">am </w:t>
      </w:r>
      <w:r w:rsidR="0089298C" w:rsidRPr="002F50BD">
        <w:rPr>
          <w:rFonts w:ascii="Verdana" w:hAnsi="Verdana"/>
          <w:sz w:val="20"/>
          <w:lang w:val="pt-BR"/>
        </w:rPr>
        <w:t xml:space="preserve">com o </w:t>
      </w:r>
      <w:r w:rsidRPr="002F50BD">
        <w:rPr>
          <w:rFonts w:ascii="Verdana" w:hAnsi="Verdana"/>
          <w:sz w:val="20"/>
          <w:lang w:val="pt-BR"/>
        </w:rPr>
        <w:t xml:space="preserve">patrocínio </w:t>
      </w:r>
      <w:r w:rsidR="004756C1" w:rsidRPr="002F50BD">
        <w:rPr>
          <w:rFonts w:ascii="Verdana" w:hAnsi="Verdana"/>
          <w:sz w:val="20"/>
          <w:lang w:val="pt-BR"/>
        </w:rPr>
        <w:t>de</w:t>
      </w:r>
      <w:r w:rsidR="0089298C" w:rsidRPr="002F50BD">
        <w:rPr>
          <w:rFonts w:ascii="Verdana" w:hAnsi="Verdana"/>
          <w:sz w:val="20"/>
          <w:lang w:val="pt-BR"/>
        </w:rPr>
        <w:t xml:space="preserve"> um advogad</w:t>
      </w:r>
      <w:r w:rsidR="004756C1" w:rsidRPr="002F50BD">
        <w:rPr>
          <w:rFonts w:ascii="Verdana" w:hAnsi="Verdana"/>
          <w:sz w:val="20"/>
          <w:lang w:val="pt-BR"/>
        </w:rPr>
        <w:t xml:space="preserve">o defensor </w:t>
      </w:r>
      <w:r w:rsidR="0089298C" w:rsidRPr="002F50BD">
        <w:rPr>
          <w:rFonts w:ascii="Verdana" w:hAnsi="Verdana"/>
          <w:sz w:val="20"/>
          <w:lang w:val="pt-BR"/>
        </w:rPr>
        <w:t>depois</w:t>
      </w:r>
      <w:r w:rsidR="004756C1" w:rsidRPr="002F50BD">
        <w:rPr>
          <w:rFonts w:ascii="Verdana" w:hAnsi="Verdana"/>
          <w:sz w:val="20"/>
          <w:lang w:val="pt-BR"/>
        </w:rPr>
        <w:t xml:space="preserve"> de do</w:t>
      </w:r>
      <w:r w:rsidRPr="002F50BD">
        <w:rPr>
          <w:rFonts w:ascii="Verdana" w:hAnsi="Verdana"/>
          <w:sz w:val="20"/>
          <w:lang w:val="pt-BR"/>
        </w:rPr>
        <w:t>i</w:t>
      </w:r>
      <w:r w:rsidR="004756C1" w:rsidRPr="002F50BD">
        <w:rPr>
          <w:rFonts w:ascii="Verdana" w:hAnsi="Verdana"/>
          <w:sz w:val="20"/>
          <w:lang w:val="pt-BR"/>
        </w:rPr>
        <w:t xml:space="preserve">s </w:t>
      </w:r>
      <w:r w:rsidR="0089298C" w:rsidRPr="002F50BD">
        <w:rPr>
          <w:rFonts w:ascii="Verdana" w:hAnsi="Verdana"/>
          <w:sz w:val="20"/>
          <w:lang w:val="pt-BR"/>
        </w:rPr>
        <w:t xml:space="preserve">anos e </w:t>
      </w:r>
      <w:r w:rsidR="004756C1" w:rsidRPr="002F50BD">
        <w:rPr>
          <w:rFonts w:ascii="Verdana" w:hAnsi="Verdana"/>
          <w:sz w:val="20"/>
          <w:lang w:val="pt-BR"/>
        </w:rPr>
        <w:t>seis meses de iniciado</w:t>
      </w:r>
      <w:r w:rsidR="0089298C" w:rsidRPr="002F50BD">
        <w:rPr>
          <w:rFonts w:ascii="Verdana" w:hAnsi="Verdana"/>
          <w:sz w:val="20"/>
          <w:lang w:val="pt-BR"/>
        </w:rPr>
        <w:t xml:space="preserve"> o procedimento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 xml:space="preserve">Como </w:t>
      </w:r>
      <w:r w:rsidR="0092602F" w:rsidRPr="002F50BD">
        <w:rPr>
          <w:rFonts w:ascii="Verdana" w:hAnsi="Verdana"/>
          <w:sz w:val="20"/>
          <w:lang w:val="pt-BR"/>
        </w:rPr>
        <w:t xml:space="preserve">foi </w:t>
      </w:r>
      <w:r w:rsidR="0089298C" w:rsidRPr="002F50BD">
        <w:rPr>
          <w:rFonts w:ascii="Verdana" w:hAnsi="Verdana"/>
          <w:sz w:val="20"/>
          <w:lang w:val="pt-BR"/>
        </w:rPr>
        <w:t>demonstrado</w:t>
      </w:r>
      <w:r w:rsidRPr="002F50BD">
        <w:rPr>
          <w:rFonts w:ascii="Verdana" w:hAnsi="Verdana"/>
          <w:sz w:val="20"/>
          <w:lang w:val="pt-BR"/>
        </w:rPr>
        <w:t>,</w:t>
      </w:r>
      <w:r w:rsidR="0089298C" w:rsidRPr="002F50BD">
        <w:rPr>
          <w:rFonts w:ascii="Verdana" w:hAnsi="Verdana"/>
          <w:sz w:val="20"/>
          <w:lang w:val="pt-BR"/>
        </w:rPr>
        <w:t xml:space="preserve"> o processo</w:t>
      </w:r>
      <w:r w:rsidRPr="002F50BD">
        <w:rPr>
          <w:rFonts w:ascii="Verdana" w:hAnsi="Verdana"/>
          <w:sz w:val="20"/>
          <w:lang w:val="pt-BR"/>
        </w:rPr>
        <w:t xml:space="preserve"> penal</w:t>
      </w:r>
      <w:r w:rsidR="00AB454A" w:rsidRPr="002F50BD">
        <w:rPr>
          <w:rFonts w:ascii="Verdana" w:hAnsi="Verdana"/>
          <w:sz w:val="20"/>
          <w:lang w:val="pt-BR"/>
        </w:rPr>
        <w:t xml:space="preserve"> contra </w:t>
      </w:r>
      <w:r w:rsidR="0089298C" w:rsidRPr="002F50BD">
        <w:rPr>
          <w:rFonts w:ascii="Verdana" w:hAnsi="Verdana"/>
          <w:sz w:val="20"/>
          <w:lang w:val="pt-BR"/>
        </w:rPr>
        <w:t>membro</w:t>
      </w:r>
      <w:r w:rsidRPr="002F50BD">
        <w:rPr>
          <w:rFonts w:ascii="Verdana" w:hAnsi="Verdana"/>
          <w:sz w:val="20"/>
          <w:lang w:val="pt-BR"/>
        </w:rPr>
        <w:t xml:space="preserve">s </w:t>
      </w:r>
      <w:r w:rsidR="0092602F" w:rsidRPr="002F50BD">
        <w:rPr>
          <w:rFonts w:ascii="Verdana" w:hAnsi="Verdana"/>
          <w:sz w:val="20"/>
          <w:lang w:val="pt-BR"/>
        </w:rPr>
        <w:t xml:space="preserve">não identificados </w:t>
      </w:r>
      <w:r w:rsidR="0089298C" w:rsidRPr="002F50BD">
        <w:rPr>
          <w:rFonts w:ascii="Verdana" w:hAnsi="Verdana"/>
          <w:sz w:val="20"/>
          <w:lang w:val="pt-BR"/>
        </w:rPr>
        <w:t xml:space="preserve">da Comunidade </w:t>
      </w:r>
      <w:r w:rsidRPr="002F50BD">
        <w:rPr>
          <w:rFonts w:ascii="Verdana" w:hAnsi="Verdana"/>
          <w:sz w:val="20"/>
          <w:lang w:val="pt-BR"/>
        </w:rPr>
        <w:t xml:space="preserve">Yakye Axa </w:t>
      </w:r>
      <w:r w:rsidR="00F86365" w:rsidRPr="002F50BD">
        <w:rPr>
          <w:rFonts w:ascii="Verdana" w:hAnsi="Verdana"/>
          <w:sz w:val="20"/>
          <w:lang w:val="pt-BR"/>
        </w:rPr>
        <w:t xml:space="preserve">teve início </w:t>
      </w:r>
      <w:r w:rsidR="0092602F" w:rsidRPr="002F50BD">
        <w:rPr>
          <w:rFonts w:ascii="Verdana" w:hAnsi="Verdana"/>
          <w:sz w:val="20"/>
          <w:lang w:val="pt-BR"/>
        </w:rPr>
        <w:t>em</w:t>
      </w:r>
      <w:r w:rsidR="0089298C" w:rsidRPr="002F50BD">
        <w:rPr>
          <w:rFonts w:ascii="Verdana" w:hAnsi="Verdana"/>
          <w:sz w:val="20"/>
          <w:lang w:val="pt-BR"/>
        </w:rPr>
        <w:t xml:space="preserve"> </w:t>
      </w:r>
      <w:r w:rsidR="00063B47" w:rsidRPr="002F50BD">
        <w:rPr>
          <w:rFonts w:ascii="Verdana" w:hAnsi="Verdana"/>
          <w:sz w:val="20"/>
          <w:lang w:val="pt-BR"/>
        </w:rPr>
        <w:t>16</w:t>
      </w:r>
      <w:r w:rsidRPr="002F50BD">
        <w:rPr>
          <w:rFonts w:ascii="Verdana" w:hAnsi="Verdana"/>
          <w:sz w:val="20"/>
          <w:lang w:val="pt-BR"/>
        </w:rPr>
        <w:t xml:space="preserve"> de </w:t>
      </w:r>
      <w:r w:rsidR="0089298C" w:rsidRPr="002F50BD">
        <w:rPr>
          <w:rFonts w:ascii="Verdana" w:hAnsi="Verdana"/>
          <w:sz w:val="20"/>
          <w:lang w:val="pt-BR"/>
        </w:rPr>
        <w:t>março</w:t>
      </w:r>
      <w:r w:rsidRPr="002F50BD">
        <w:rPr>
          <w:rFonts w:ascii="Verdana" w:hAnsi="Verdana"/>
          <w:sz w:val="20"/>
          <w:lang w:val="pt-BR"/>
        </w:rPr>
        <w:t xml:space="preserve"> de </w:t>
      </w:r>
      <w:r w:rsidR="00063B47" w:rsidRPr="002F50BD">
        <w:rPr>
          <w:rFonts w:ascii="Verdana" w:hAnsi="Verdana"/>
          <w:sz w:val="20"/>
          <w:lang w:val="pt-BR"/>
        </w:rPr>
        <w:t>1999</w:t>
      </w:r>
      <w:r w:rsidR="0089298C" w:rsidRPr="002F50BD">
        <w:rPr>
          <w:rFonts w:ascii="Verdana" w:hAnsi="Verdana"/>
          <w:sz w:val="20"/>
          <w:lang w:val="pt-BR"/>
        </w:rPr>
        <w:t xml:space="preserve"> com a denúncia apresent</w:t>
      </w:r>
      <w:r w:rsidR="0092602F" w:rsidRPr="002F50BD">
        <w:rPr>
          <w:rFonts w:ascii="Verdana" w:hAnsi="Verdana"/>
          <w:sz w:val="20"/>
          <w:lang w:val="pt-BR"/>
        </w:rPr>
        <w:t xml:space="preserve">ada pelo </w:t>
      </w:r>
      <w:r w:rsidR="008C29C9" w:rsidRPr="002F50BD">
        <w:rPr>
          <w:rFonts w:ascii="Verdana" w:hAnsi="Verdana"/>
          <w:sz w:val="20"/>
          <w:lang w:val="pt-BR"/>
        </w:rPr>
        <w:t>representante</w:t>
      </w:r>
      <w:r w:rsidRPr="002F50BD">
        <w:rPr>
          <w:rFonts w:ascii="Verdana" w:hAnsi="Verdana"/>
          <w:sz w:val="20"/>
          <w:lang w:val="pt-BR"/>
        </w:rPr>
        <w:t xml:space="preserve"> legal</w:t>
      </w:r>
      <w:r w:rsidR="0089298C" w:rsidRPr="002F50BD">
        <w:rPr>
          <w:rFonts w:ascii="Verdana" w:hAnsi="Verdana"/>
          <w:sz w:val="20"/>
          <w:lang w:val="pt-BR"/>
        </w:rPr>
        <w:t xml:space="preserve"> da </w:t>
      </w:r>
      <w:r w:rsidRPr="002F50BD">
        <w:rPr>
          <w:rFonts w:ascii="Verdana" w:hAnsi="Verdana"/>
          <w:sz w:val="20"/>
          <w:lang w:val="pt-BR"/>
        </w:rPr>
        <w:t xml:space="preserve">firma Livestock Capital Group Inc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79</w:t>
      </w:r>
      <w:r w:rsidR="0092602F" w:rsidRPr="002F50BD">
        <w:rPr>
          <w:rFonts w:ascii="Verdana" w:hAnsi="Verdana"/>
          <w:i/>
          <w:sz w:val="20"/>
          <w:lang w:val="pt-BR"/>
        </w:rPr>
        <w:t xml:space="preserve"> supra</w:t>
      </w:r>
      <w:r w:rsidR="00CF451D" w:rsidRPr="00CF451D">
        <w:rPr>
          <w:rFonts w:ascii="Verdana" w:hAnsi="Verdana"/>
          <w:sz w:val="20"/>
          <w:lang w:val="pt-BR"/>
        </w:rPr>
        <w:t>)</w:t>
      </w:r>
      <w:r w:rsidR="00BE346D" w:rsidRPr="002F50BD">
        <w:rPr>
          <w:rFonts w:ascii="Verdana" w:hAnsi="Verdana"/>
          <w:sz w:val="20"/>
          <w:lang w:val="pt-BR"/>
        </w:rPr>
        <w:t xml:space="preserve">. Em </w:t>
      </w:r>
      <w:r w:rsidR="00063B47" w:rsidRPr="002F50BD">
        <w:rPr>
          <w:rFonts w:ascii="Verdana" w:hAnsi="Verdana"/>
          <w:sz w:val="20"/>
          <w:lang w:val="pt-BR"/>
        </w:rPr>
        <w:t>22</w:t>
      </w:r>
      <w:r w:rsidRPr="002F50BD">
        <w:rPr>
          <w:rFonts w:ascii="Verdana" w:hAnsi="Verdana"/>
          <w:sz w:val="20"/>
          <w:lang w:val="pt-BR"/>
        </w:rPr>
        <w:t xml:space="preserve"> de </w:t>
      </w:r>
      <w:r w:rsidR="0089298C" w:rsidRPr="002F50BD">
        <w:rPr>
          <w:rFonts w:ascii="Verdana" w:hAnsi="Verdana"/>
          <w:sz w:val="20"/>
          <w:lang w:val="pt-BR"/>
        </w:rPr>
        <w:t>março</w:t>
      </w:r>
      <w:r w:rsidRPr="002F50BD">
        <w:rPr>
          <w:rFonts w:ascii="Verdana" w:hAnsi="Verdana"/>
          <w:sz w:val="20"/>
          <w:lang w:val="pt-BR"/>
        </w:rPr>
        <w:t xml:space="preserve"> de </w:t>
      </w:r>
      <w:r w:rsidR="00063B47" w:rsidRPr="002F50BD">
        <w:rPr>
          <w:rFonts w:ascii="Verdana" w:hAnsi="Verdana"/>
          <w:sz w:val="20"/>
          <w:lang w:val="pt-BR"/>
        </w:rPr>
        <w:t>1999</w:t>
      </w:r>
      <w:r w:rsidR="00F86365" w:rsidRPr="002F50BD">
        <w:rPr>
          <w:rFonts w:ascii="Verdana" w:hAnsi="Verdana"/>
          <w:sz w:val="20"/>
          <w:lang w:val="pt-BR"/>
        </w:rPr>
        <w:t>,</w:t>
      </w:r>
      <w:r w:rsidR="0089298C" w:rsidRPr="002F50BD">
        <w:rPr>
          <w:rFonts w:ascii="Verdana" w:hAnsi="Verdana"/>
          <w:sz w:val="20"/>
          <w:lang w:val="pt-BR"/>
        </w:rPr>
        <w:t xml:space="preserve"> o </w:t>
      </w:r>
      <w:r w:rsidR="0092602F" w:rsidRPr="002F50BD">
        <w:rPr>
          <w:rFonts w:ascii="Verdana" w:hAnsi="Verdana"/>
          <w:sz w:val="20"/>
          <w:lang w:val="pt-BR"/>
        </w:rPr>
        <w:t>j</w:t>
      </w:r>
      <w:r w:rsidR="0089298C" w:rsidRPr="002F50BD">
        <w:rPr>
          <w:rFonts w:ascii="Verdana" w:hAnsi="Verdana"/>
          <w:sz w:val="20"/>
          <w:lang w:val="pt-BR"/>
        </w:rPr>
        <w:t>uiz</w:t>
      </w:r>
      <w:r w:rsidR="0092602F" w:rsidRPr="002F50BD">
        <w:rPr>
          <w:rFonts w:ascii="Verdana" w:hAnsi="Verdana"/>
          <w:sz w:val="20"/>
          <w:lang w:val="pt-BR"/>
        </w:rPr>
        <w:t xml:space="preserve"> </w:t>
      </w:r>
      <w:r w:rsidR="00F86365" w:rsidRPr="002F50BD">
        <w:rPr>
          <w:rFonts w:ascii="Verdana" w:hAnsi="Verdana"/>
          <w:sz w:val="20"/>
          <w:lang w:val="pt-BR"/>
        </w:rPr>
        <w:t>iniciou a</w:t>
      </w:r>
      <w:r w:rsidR="0092602F" w:rsidRPr="002F50BD">
        <w:rPr>
          <w:rFonts w:ascii="Verdana" w:hAnsi="Verdana"/>
          <w:sz w:val="20"/>
          <w:lang w:val="pt-BR"/>
        </w:rPr>
        <w:t xml:space="preserve"> fase</w:t>
      </w:r>
      <w:r w:rsidR="0089298C" w:rsidRPr="002F50BD">
        <w:rPr>
          <w:rFonts w:ascii="Verdana" w:hAnsi="Verdana"/>
          <w:sz w:val="20"/>
          <w:lang w:val="pt-BR"/>
        </w:rPr>
        <w:t xml:space="preserve"> </w:t>
      </w:r>
      <w:r w:rsidR="0092602F" w:rsidRPr="002F50BD">
        <w:rPr>
          <w:rFonts w:ascii="Verdana" w:hAnsi="Verdana"/>
          <w:sz w:val="20"/>
          <w:lang w:val="pt-BR"/>
        </w:rPr>
        <w:t xml:space="preserve">de </w:t>
      </w:r>
      <w:r w:rsidR="006603BE" w:rsidRPr="002F50BD">
        <w:rPr>
          <w:rFonts w:ascii="Verdana" w:hAnsi="Verdana"/>
          <w:sz w:val="20"/>
          <w:lang w:val="pt-BR"/>
        </w:rPr>
        <w:t>inquérito</w:t>
      </w:r>
      <w:r w:rsidR="000F2A3D" w:rsidRPr="002F50BD">
        <w:rPr>
          <w:rFonts w:ascii="Verdana" w:hAnsi="Verdana"/>
          <w:sz w:val="20"/>
          <w:lang w:val="pt-BR"/>
        </w:rPr>
        <w:t xml:space="preserve">. Em </w:t>
      </w:r>
      <w:r w:rsidR="00063B47" w:rsidRPr="002F50BD">
        <w:rPr>
          <w:rFonts w:ascii="Verdana" w:hAnsi="Verdana"/>
          <w:sz w:val="20"/>
          <w:lang w:val="pt-BR"/>
        </w:rPr>
        <w:t>3</w:t>
      </w:r>
      <w:r w:rsidRPr="002F50BD">
        <w:rPr>
          <w:rFonts w:ascii="Verdana" w:hAnsi="Verdana"/>
          <w:sz w:val="20"/>
          <w:lang w:val="pt-BR"/>
        </w:rPr>
        <w:t xml:space="preserve"> de</w:t>
      </w:r>
      <w:r w:rsidR="0089298C" w:rsidRPr="002F50BD">
        <w:rPr>
          <w:rFonts w:ascii="Verdana" w:hAnsi="Verdana"/>
          <w:sz w:val="20"/>
          <w:lang w:val="pt-BR"/>
        </w:rPr>
        <w:t xml:space="preserve"> maio </w:t>
      </w:r>
      <w:r w:rsidRPr="002F50BD">
        <w:rPr>
          <w:rFonts w:ascii="Verdana" w:hAnsi="Verdana"/>
          <w:sz w:val="20"/>
          <w:lang w:val="pt-BR"/>
        </w:rPr>
        <w:t xml:space="preserve">de </w:t>
      </w:r>
      <w:r w:rsidR="00063B47" w:rsidRPr="002F50BD">
        <w:rPr>
          <w:rFonts w:ascii="Verdana" w:hAnsi="Verdana"/>
          <w:sz w:val="20"/>
          <w:lang w:val="pt-BR"/>
        </w:rPr>
        <w:t>1999</w:t>
      </w:r>
      <w:r w:rsidR="00F86365" w:rsidRPr="002F50BD">
        <w:rPr>
          <w:rFonts w:ascii="Verdana" w:hAnsi="Verdana"/>
          <w:sz w:val="20"/>
          <w:lang w:val="pt-BR"/>
        </w:rPr>
        <w:t>,</w:t>
      </w:r>
      <w:r w:rsidR="0089298C" w:rsidRPr="002F50BD">
        <w:rPr>
          <w:rFonts w:ascii="Verdana" w:hAnsi="Verdana"/>
          <w:sz w:val="20"/>
          <w:lang w:val="pt-BR"/>
        </w:rPr>
        <w:t xml:space="preserve"> os </w:t>
      </w:r>
      <w:r w:rsidRPr="002F50BD">
        <w:rPr>
          <w:rFonts w:ascii="Verdana" w:hAnsi="Verdana"/>
          <w:sz w:val="20"/>
          <w:lang w:val="pt-BR"/>
        </w:rPr>
        <w:t>líderes</w:t>
      </w:r>
      <w:r w:rsidR="0089298C" w:rsidRPr="002F50BD">
        <w:rPr>
          <w:rFonts w:ascii="Verdana" w:hAnsi="Verdana"/>
          <w:sz w:val="20"/>
          <w:lang w:val="pt-BR"/>
        </w:rPr>
        <w:t xml:space="preserve"> da </w:t>
      </w:r>
      <w:r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re</w:t>
      </w:r>
      <w:r w:rsidR="0089298C" w:rsidRPr="002F50BD">
        <w:rPr>
          <w:rFonts w:ascii="Verdana" w:hAnsi="Verdana"/>
          <w:sz w:val="20"/>
          <w:lang w:val="pt-BR"/>
        </w:rPr>
        <w:t>conhecido</w:t>
      </w:r>
      <w:r w:rsidRPr="002F50BD">
        <w:rPr>
          <w:rFonts w:ascii="Verdana" w:hAnsi="Verdana"/>
          <w:sz w:val="20"/>
          <w:lang w:val="pt-BR"/>
        </w:rPr>
        <w:t>s como</w:t>
      </w:r>
      <w:r w:rsidR="0089298C" w:rsidRPr="002F50BD">
        <w:rPr>
          <w:rFonts w:ascii="Verdana" w:hAnsi="Verdana"/>
          <w:sz w:val="20"/>
          <w:lang w:val="pt-BR"/>
        </w:rPr>
        <w:t xml:space="preserve"> tais pelo </w:t>
      </w:r>
      <w:r w:rsidRPr="002F50BD">
        <w:rPr>
          <w:rFonts w:ascii="Verdana" w:hAnsi="Verdana"/>
          <w:sz w:val="20"/>
          <w:lang w:val="pt-BR"/>
        </w:rPr>
        <w:t>INDI, designar</w:t>
      </w:r>
      <w:r w:rsidR="0092602F" w:rsidRPr="002F50BD">
        <w:rPr>
          <w:rFonts w:ascii="Verdana" w:hAnsi="Verdana"/>
          <w:sz w:val="20"/>
          <w:lang w:val="pt-BR"/>
        </w:rPr>
        <w:t>am</w:t>
      </w:r>
      <w:r w:rsidRPr="002F50BD">
        <w:rPr>
          <w:rFonts w:ascii="Verdana" w:hAnsi="Verdana"/>
          <w:sz w:val="20"/>
          <w:lang w:val="pt-BR"/>
        </w:rPr>
        <w:t xml:space="preserve"> </w:t>
      </w:r>
      <w:r w:rsidR="0092602F" w:rsidRPr="002F50BD">
        <w:rPr>
          <w:rFonts w:ascii="Verdana" w:hAnsi="Verdana"/>
          <w:sz w:val="20"/>
          <w:lang w:val="pt-BR"/>
        </w:rPr>
        <w:t xml:space="preserve">um </w:t>
      </w:r>
      <w:r w:rsidR="0089298C" w:rsidRPr="002F50BD">
        <w:rPr>
          <w:rFonts w:ascii="Verdana" w:hAnsi="Verdana"/>
          <w:sz w:val="20"/>
          <w:lang w:val="pt-BR"/>
        </w:rPr>
        <w:t>advogad</w:t>
      </w:r>
      <w:r w:rsidRPr="002F50BD">
        <w:rPr>
          <w:rFonts w:ascii="Verdana" w:hAnsi="Verdana"/>
          <w:sz w:val="20"/>
          <w:lang w:val="pt-BR"/>
        </w:rPr>
        <w:t>o a</w:t>
      </w:r>
      <w:r w:rsidR="0089298C" w:rsidRPr="002F50BD">
        <w:rPr>
          <w:rFonts w:ascii="Verdana" w:hAnsi="Verdana"/>
          <w:sz w:val="20"/>
          <w:lang w:val="pt-BR"/>
        </w:rPr>
        <w:t xml:space="preserve"> fim </w:t>
      </w:r>
      <w:r w:rsidRPr="002F50BD">
        <w:rPr>
          <w:rFonts w:ascii="Verdana" w:hAnsi="Verdana"/>
          <w:sz w:val="20"/>
          <w:lang w:val="pt-BR"/>
        </w:rPr>
        <w:t>de que</w:t>
      </w:r>
      <w:r w:rsidR="0089298C" w:rsidRPr="002F50BD">
        <w:rPr>
          <w:rFonts w:ascii="Verdana" w:hAnsi="Verdana"/>
          <w:sz w:val="20"/>
          <w:lang w:val="pt-BR"/>
        </w:rPr>
        <w:t xml:space="preserve"> os </w:t>
      </w:r>
      <w:r w:rsidRPr="002F50BD">
        <w:rPr>
          <w:rFonts w:ascii="Verdana" w:hAnsi="Verdana"/>
          <w:sz w:val="20"/>
          <w:lang w:val="pt-BR"/>
        </w:rPr>
        <w:t>re</w:t>
      </w:r>
      <w:r w:rsidR="00AB454A" w:rsidRPr="002F50BD">
        <w:rPr>
          <w:rFonts w:ascii="Verdana" w:hAnsi="Verdana"/>
          <w:sz w:val="20"/>
          <w:lang w:val="pt-BR"/>
        </w:rPr>
        <w:t xml:space="preserve">presentasse </w:t>
      </w:r>
      <w:r w:rsidR="0089298C" w:rsidRPr="002F50BD">
        <w:rPr>
          <w:rFonts w:ascii="Verdana" w:hAnsi="Verdana"/>
          <w:sz w:val="20"/>
          <w:lang w:val="pt-BR"/>
        </w:rPr>
        <w:t>no processo</w:t>
      </w:r>
      <w:r w:rsidRPr="002F50BD">
        <w:rPr>
          <w:rFonts w:ascii="Verdana" w:hAnsi="Verdana"/>
          <w:sz w:val="20"/>
          <w:lang w:val="pt-BR"/>
        </w:rPr>
        <w:t xml:space="preserve"> penal, o </w:t>
      </w:r>
      <w:r w:rsidR="0089298C" w:rsidRPr="002F50BD">
        <w:rPr>
          <w:rFonts w:ascii="Verdana" w:hAnsi="Verdana"/>
          <w:sz w:val="20"/>
          <w:lang w:val="pt-BR"/>
        </w:rPr>
        <w:t>qu</w:t>
      </w:r>
      <w:r w:rsidR="0092602F" w:rsidRPr="002F50BD">
        <w:rPr>
          <w:rFonts w:ascii="Verdana" w:hAnsi="Verdana"/>
          <w:sz w:val="20"/>
          <w:lang w:val="pt-BR"/>
        </w:rPr>
        <w:t>e</w:t>
      </w:r>
      <w:r w:rsidR="0089298C" w:rsidRPr="002F50BD">
        <w:rPr>
          <w:rFonts w:ascii="Verdana" w:hAnsi="Verdana"/>
          <w:sz w:val="20"/>
          <w:lang w:val="pt-BR"/>
        </w:rPr>
        <w:t xml:space="preserve"> foi aceit</w:t>
      </w:r>
      <w:r w:rsidRPr="002F50BD">
        <w:rPr>
          <w:rFonts w:ascii="Verdana" w:hAnsi="Verdana"/>
          <w:sz w:val="20"/>
          <w:lang w:val="pt-BR"/>
        </w:rPr>
        <w:t>o</w:t>
      </w:r>
      <w:r w:rsidR="0089298C" w:rsidRPr="002F50BD">
        <w:rPr>
          <w:rFonts w:ascii="Verdana" w:hAnsi="Verdana"/>
          <w:sz w:val="20"/>
          <w:lang w:val="pt-BR"/>
        </w:rPr>
        <w:t xml:space="preserve"> </w:t>
      </w:r>
      <w:r w:rsidR="0092602F" w:rsidRPr="002F50BD">
        <w:rPr>
          <w:rFonts w:ascii="Verdana" w:hAnsi="Verdana"/>
          <w:sz w:val="20"/>
          <w:lang w:val="pt-BR"/>
        </w:rPr>
        <w:t xml:space="preserve">inicialmente </w:t>
      </w:r>
      <w:r w:rsidR="0089298C" w:rsidRPr="002F50BD">
        <w:rPr>
          <w:rFonts w:ascii="Verdana" w:hAnsi="Verdana"/>
          <w:sz w:val="20"/>
          <w:lang w:val="pt-BR"/>
        </w:rPr>
        <w:t xml:space="preserve">pelo </w:t>
      </w:r>
      <w:r w:rsidR="0092602F" w:rsidRPr="002F50BD">
        <w:rPr>
          <w:rFonts w:ascii="Verdana" w:hAnsi="Verdana"/>
          <w:sz w:val="20"/>
          <w:lang w:val="pt-BR"/>
        </w:rPr>
        <w:t>j</w:t>
      </w:r>
      <w:r w:rsidR="0089298C" w:rsidRPr="002F50BD">
        <w:rPr>
          <w:rFonts w:ascii="Verdana" w:hAnsi="Verdana"/>
          <w:sz w:val="20"/>
          <w:lang w:val="pt-BR"/>
        </w:rPr>
        <w:t xml:space="preserve">uiz da </w:t>
      </w:r>
      <w:r w:rsidRPr="002F50BD">
        <w:rPr>
          <w:rFonts w:ascii="Verdana" w:hAnsi="Verdana"/>
          <w:sz w:val="20"/>
          <w:lang w:val="pt-BR"/>
        </w:rPr>
        <w:t>causa. N</w:t>
      </w:r>
      <w:r w:rsidR="0092602F" w:rsidRPr="002F50BD">
        <w:rPr>
          <w:rFonts w:ascii="Verdana" w:hAnsi="Verdana"/>
          <w:sz w:val="20"/>
          <w:lang w:val="pt-BR"/>
        </w:rPr>
        <w:t>ã</w:t>
      </w:r>
      <w:r w:rsidRPr="002F50BD">
        <w:rPr>
          <w:rFonts w:ascii="Verdana" w:hAnsi="Verdana"/>
          <w:sz w:val="20"/>
          <w:lang w:val="pt-BR"/>
        </w:rPr>
        <w:t>o obstante</w:t>
      </w:r>
      <w:r w:rsidR="0092602F" w:rsidRPr="002F50BD">
        <w:rPr>
          <w:rFonts w:ascii="Verdana" w:hAnsi="Verdana"/>
          <w:sz w:val="20"/>
          <w:lang w:val="pt-BR"/>
        </w:rPr>
        <w:t xml:space="preserve"> isso</w:t>
      </w:r>
      <w:r w:rsidRPr="002F50BD">
        <w:rPr>
          <w:rFonts w:ascii="Verdana" w:hAnsi="Verdana"/>
          <w:sz w:val="20"/>
          <w:lang w:val="pt-BR"/>
        </w:rPr>
        <w:t xml:space="preserve">, </w:t>
      </w:r>
      <w:r w:rsidR="006603BE" w:rsidRPr="002F50BD">
        <w:rPr>
          <w:rFonts w:ascii="Verdana" w:hAnsi="Verdana"/>
          <w:sz w:val="20"/>
          <w:lang w:val="pt-BR"/>
        </w:rPr>
        <w:t>diante da</w:t>
      </w:r>
      <w:r w:rsidR="0089298C" w:rsidRPr="002F50BD">
        <w:rPr>
          <w:rFonts w:ascii="Verdana" w:hAnsi="Verdana"/>
          <w:sz w:val="20"/>
          <w:lang w:val="pt-BR"/>
        </w:rPr>
        <w:t xml:space="preserve"> </w:t>
      </w:r>
      <w:r w:rsidRPr="002F50BD">
        <w:rPr>
          <w:rFonts w:ascii="Verdana" w:hAnsi="Verdana"/>
          <w:sz w:val="20"/>
          <w:lang w:val="pt-BR"/>
        </w:rPr>
        <w:t>oposi</w:t>
      </w:r>
      <w:r w:rsidR="0089298C" w:rsidRPr="002F50BD">
        <w:rPr>
          <w:rFonts w:ascii="Verdana" w:hAnsi="Verdana"/>
          <w:sz w:val="20"/>
          <w:lang w:val="pt-BR"/>
        </w:rPr>
        <w:t xml:space="preserve">ção da </w:t>
      </w:r>
      <w:r w:rsidRPr="002F50BD">
        <w:rPr>
          <w:rFonts w:ascii="Verdana" w:hAnsi="Verdana"/>
          <w:sz w:val="20"/>
          <w:lang w:val="pt-BR"/>
        </w:rPr>
        <w:t xml:space="preserve">parte </w:t>
      </w:r>
      <w:r w:rsidR="004076AD" w:rsidRPr="002F50BD">
        <w:rPr>
          <w:rFonts w:ascii="Verdana" w:hAnsi="Verdana"/>
          <w:sz w:val="20"/>
          <w:lang w:val="pt-BR"/>
        </w:rPr>
        <w:t>a</w:t>
      </w:r>
      <w:r w:rsidR="0092602F" w:rsidRPr="002F50BD">
        <w:rPr>
          <w:rFonts w:ascii="Verdana" w:hAnsi="Verdana"/>
          <w:sz w:val="20"/>
          <w:lang w:val="pt-BR"/>
        </w:rPr>
        <w:t>u</w:t>
      </w:r>
      <w:r w:rsidR="004076AD" w:rsidRPr="002F50BD">
        <w:rPr>
          <w:rFonts w:ascii="Verdana" w:hAnsi="Verdana"/>
          <w:sz w:val="20"/>
          <w:lang w:val="pt-BR"/>
        </w:rPr>
        <w:t>tor</w:t>
      </w:r>
      <w:r w:rsidRPr="002F50BD">
        <w:rPr>
          <w:rFonts w:ascii="Verdana" w:hAnsi="Verdana"/>
          <w:sz w:val="20"/>
          <w:lang w:val="pt-BR"/>
        </w:rPr>
        <w:t>a,</w:t>
      </w:r>
      <w:r w:rsidR="0089298C" w:rsidRPr="002F50BD">
        <w:rPr>
          <w:rFonts w:ascii="Verdana" w:hAnsi="Verdana"/>
          <w:sz w:val="20"/>
          <w:lang w:val="pt-BR"/>
        </w:rPr>
        <w:t xml:space="preserve"> o </w:t>
      </w:r>
      <w:r w:rsidR="0092602F" w:rsidRPr="002F50BD">
        <w:rPr>
          <w:rFonts w:ascii="Verdana" w:hAnsi="Verdana"/>
          <w:sz w:val="20"/>
          <w:lang w:val="pt-BR"/>
        </w:rPr>
        <w:t>j</w:t>
      </w:r>
      <w:r w:rsidR="0089298C" w:rsidRPr="002F50BD">
        <w:rPr>
          <w:rFonts w:ascii="Verdana" w:hAnsi="Verdana"/>
          <w:sz w:val="20"/>
          <w:lang w:val="pt-BR"/>
        </w:rPr>
        <w:t>uiz</w:t>
      </w:r>
      <w:r w:rsidRPr="002F50BD">
        <w:rPr>
          <w:rFonts w:ascii="Verdana" w:hAnsi="Verdana"/>
          <w:sz w:val="20"/>
          <w:lang w:val="pt-BR"/>
        </w:rPr>
        <w:t xml:space="preserve"> revo</w:t>
      </w:r>
      <w:r w:rsidR="0092602F" w:rsidRPr="002F50BD">
        <w:rPr>
          <w:rFonts w:ascii="Verdana" w:hAnsi="Verdana"/>
          <w:sz w:val="20"/>
          <w:lang w:val="pt-BR"/>
        </w:rPr>
        <w:t xml:space="preserve">gou </w:t>
      </w:r>
      <w:r w:rsidRPr="002F50BD">
        <w:rPr>
          <w:rFonts w:ascii="Verdana" w:hAnsi="Verdana"/>
          <w:sz w:val="20"/>
          <w:lang w:val="pt-BR"/>
        </w:rPr>
        <w:t>su</w:t>
      </w:r>
      <w:r w:rsidR="0092602F" w:rsidRPr="002F50BD">
        <w:rPr>
          <w:rFonts w:ascii="Verdana" w:hAnsi="Verdana"/>
          <w:sz w:val="20"/>
          <w:lang w:val="pt-BR"/>
        </w:rPr>
        <w:t xml:space="preserve">a decisão </w:t>
      </w:r>
      <w:r w:rsidRPr="002F50BD">
        <w:rPr>
          <w:rFonts w:ascii="Verdana" w:hAnsi="Verdana"/>
          <w:sz w:val="20"/>
          <w:lang w:val="pt-BR"/>
        </w:rPr>
        <w:t xml:space="preserve">anterior e </w:t>
      </w:r>
      <w:r w:rsidR="0089298C" w:rsidRPr="002F50BD">
        <w:rPr>
          <w:rFonts w:ascii="Verdana" w:hAnsi="Verdana"/>
          <w:sz w:val="20"/>
          <w:lang w:val="pt-BR"/>
        </w:rPr>
        <w:t xml:space="preserve">impediu a </w:t>
      </w:r>
      <w:r w:rsidRPr="002F50BD">
        <w:rPr>
          <w:rFonts w:ascii="Verdana" w:hAnsi="Verdana"/>
          <w:sz w:val="20"/>
          <w:lang w:val="pt-BR"/>
        </w:rPr>
        <w:t>expedi</w:t>
      </w:r>
      <w:r w:rsidR="0089298C" w:rsidRPr="002F50BD">
        <w:rPr>
          <w:rFonts w:ascii="Verdana" w:hAnsi="Verdana"/>
          <w:sz w:val="20"/>
          <w:lang w:val="pt-BR"/>
        </w:rPr>
        <w:t>ção</w:t>
      </w:r>
      <w:r w:rsidRPr="002F50BD">
        <w:rPr>
          <w:rFonts w:ascii="Verdana" w:hAnsi="Verdana"/>
          <w:sz w:val="20"/>
          <w:lang w:val="pt-BR"/>
        </w:rPr>
        <w:t xml:space="preserve"> de foto</w:t>
      </w:r>
      <w:r w:rsidR="0089298C" w:rsidRPr="002F50BD">
        <w:rPr>
          <w:rFonts w:ascii="Verdana" w:hAnsi="Verdana"/>
          <w:sz w:val="20"/>
          <w:lang w:val="pt-BR"/>
        </w:rPr>
        <w:t xml:space="preserve">cópias ao </w:t>
      </w:r>
      <w:r w:rsidR="00F86365" w:rsidRPr="002F50BD">
        <w:rPr>
          <w:rFonts w:ascii="Verdana" w:hAnsi="Verdana"/>
          <w:sz w:val="20"/>
          <w:lang w:val="pt-BR"/>
        </w:rPr>
        <w:t xml:space="preserve">patrono </w:t>
      </w:r>
      <w:r w:rsidR="0089298C" w:rsidRPr="002F50BD">
        <w:rPr>
          <w:rFonts w:ascii="Verdana" w:hAnsi="Verdana"/>
          <w:sz w:val="20"/>
          <w:lang w:val="pt-BR"/>
        </w:rPr>
        <w:t xml:space="preserve">da Comunidade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81</w:t>
      </w:r>
      <w:r w:rsidR="0092602F" w:rsidRPr="002F50BD">
        <w:rPr>
          <w:rFonts w:ascii="Verdana" w:hAnsi="Verdana"/>
          <w:i/>
          <w:sz w:val="20"/>
          <w:lang w:val="pt-BR"/>
        </w:rPr>
        <w:t xml:space="preserve"> supra</w:t>
      </w:r>
      <w:r w:rsidR="00CF451D" w:rsidRPr="00CF451D">
        <w:rPr>
          <w:rFonts w:ascii="Verdana" w:hAnsi="Verdana"/>
          <w:sz w:val="20"/>
          <w:lang w:val="pt-BR"/>
        </w:rPr>
        <w:t>)</w:t>
      </w:r>
      <w:r w:rsidR="00DB51F0" w:rsidRPr="002F50BD">
        <w:rPr>
          <w:rFonts w:ascii="Verdana" w:hAnsi="Verdana"/>
          <w:sz w:val="20"/>
          <w:lang w:val="pt-BR"/>
        </w:rPr>
        <w:t xml:space="preserve">. </w:t>
      </w:r>
      <w:r w:rsidR="0092602F" w:rsidRPr="002F50BD">
        <w:rPr>
          <w:rFonts w:ascii="Verdana" w:hAnsi="Verdana"/>
          <w:sz w:val="20"/>
          <w:lang w:val="pt-BR"/>
        </w:rPr>
        <w:t>No</w:t>
      </w:r>
      <w:r w:rsidR="00DB51F0" w:rsidRPr="002F50BD">
        <w:rPr>
          <w:rFonts w:ascii="Verdana" w:hAnsi="Verdana"/>
          <w:sz w:val="20"/>
          <w:lang w:val="pt-BR"/>
        </w:rPr>
        <w:t xml:space="preserve">s </w:t>
      </w:r>
      <w:r w:rsidR="0089298C" w:rsidRPr="002F50BD">
        <w:rPr>
          <w:rFonts w:ascii="Verdana" w:hAnsi="Verdana"/>
          <w:sz w:val="20"/>
          <w:lang w:val="pt-BR"/>
        </w:rPr>
        <w:t>dia</w:t>
      </w:r>
      <w:r w:rsidRPr="002F50BD">
        <w:rPr>
          <w:rFonts w:ascii="Verdana" w:hAnsi="Verdana"/>
          <w:sz w:val="20"/>
          <w:lang w:val="pt-BR"/>
        </w:rPr>
        <w:t xml:space="preserve">s </w:t>
      </w:r>
      <w:r w:rsidR="00063B47" w:rsidRPr="002F50BD">
        <w:rPr>
          <w:rFonts w:ascii="Verdana" w:hAnsi="Verdana"/>
          <w:sz w:val="20"/>
          <w:lang w:val="pt-BR"/>
        </w:rPr>
        <w:t>5</w:t>
      </w:r>
      <w:r w:rsidR="0089298C" w:rsidRPr="002F50BD">
        <w:rPr>
          <w:rFonts w:ascii="Verdana" w:hAnsi="Verdana"/>
          <w:sz w:val="20"/>
          <w:lang w:val="pt-BR"/>
        </w:rPr>
        <w:t xml:space="preserve"> e </w:t>
      </w:r>
      <w:r w:rsidR="00063B47" w:rsidRPr="002F50BD">
        <w:rPr>
          <w:rFonts w:ascii="Verdana" w:hAnsi="Verdana"/>
          <w:sz w:val="20"/>
          <w:lang w:val="pt-BR"/>
        </w:rPr>
        <w:t>11</w:t>
      </w:r>
      <w:r w:rsidRPr="002F50BD">
        <w:rPr>
          <w:rFonts w:ascii="Verdana" w:hAnsi="Verdana"/>
          <w:sz w:val="20"/>
          <w:lang w:val="pt-BR"/>
        </w:rPr>
        <w:t xml:space="preserve"> de </w:t>
      </w:r>
      <w:r w:rsidR="0089298C" w:rsidRPr="002F50BD">
        <w:rPr>
          <w:rFonts w:ascii="Verdana" w:hAnsi="Verdana"/>
          <w:sz w:val="20"/>
          <w:lang w:val="pt-BR"/>
        </w:rPr>
        <w:t>setembro</w:t>
      </w:r>
      <w:r w:rsidRPr="002F50BD">
        <w:rPr>
          <w:rFonts w:ascii="Verdana" w:hAnsi="Verdana"/>
          <w:sz w:val="20"/>
          <w:lang w:val="pt-BR"/>
        </w:rPr>
        <w:t xml:space="preserve"> de </w:t>
      </w:r>
      <w:r w:rsidR="00063B47" w:rsidRPr="002F50BD">
        <w:rPr>
          <w:rFonts w:ascii="Verdana" w:hAnsi="Verdana"/>
          <w:sz w:val="20"/>
          <w:lang w:val="pt-BR"/>
        </w:rPr>
        <w:t>2000</w:t>
      </w:r>
      <w:r w:rsidR="00F86365" w:rsidRPr="002F50BD">
        <w:rPr>
          <w:rFonts w:ascii="Verdana" w:hAnsi="Verdana"/>
          <w:sz w:val="20"/>
          <w:lang w:val="pt-BR"/>
        </w:rPr>
        <w:t>,</w:t>
      </w:r>
      <w:r w:rsidR="0089298C" w:rsidRPr="002F50BD">
        <w:rPr>
          <w:rFonts w:ascii="Verdana" w:hAnsi="Verdana"/>
          <w:sz w:val="20"/>
          <w:lang w:val="pt-BR"/>
        </w:rPr>
        <w:t xml:space="preserve"> o advogad</w:t>
      </w:r>
      <w:r w:rsidRPr="002F50BD">
        <w:rPr>
          <w:rFonts w:ascii="Verdana" w:hAnsi="Verdana"/>
          <w:sz w:val="20"/>
          <w:lang w:val="pt-BR"/>
        </w:rPr>
        <w:t>o</w:t>
      </w:r>
      <w:r w:rsidR="0089298C" w:rsidRPr="002F50BD">
        <w:rPr>
          <w:rFonts w:ascii="Verdana" w:hAnsi="Verdana"/>
          <w:sz w:val="20"/>
          <w:lang w:val="pt-BR"/>
        </w:rPr>
        <w:t xml:space="preserve"> da Comunidade voltou</w:t>
      </w:r>
      <w:r w:rsidRPr="002F50BD">
        <w:rPr>
          <w:rFonts w:ascii="Verdana" w:hAnsi="Verdana"/>
          <w:sz w:val="20"/>
          <w:lang w:val="pt-BR"/>
        </w:rPr>
        <w:t xml:space="preserve"> a solicitar</w:t>
      </w:r>
      <w:r w:rsidR="0089298C" w:rsidRPr="002F50BD">
        <w:rPr>
          <w:rFonts w:ascii="Verdana" w:hAnsi="Verdana"/>
          <w:sz w:val="20"/>
          <w:lang w:val="pt-BR"/>
        </w:rPr>
        <w:t xml:space="preserve"> a </w:t>
      </w:r>
      <w:r w:rsidRPr="002F50BD">
        <w:rPr>
          <w:rFonts w:ascii="Verdana" w:hAnsi="Verdana"/>
          <w:sz w:val="20"/>
          <w:lang w:val="pt-BR"/>
        </w:rPr>
        <w:t>interven</w:t>
      </w:r>
      <w:r w:rsidR="0089298C" w:rsidRPr="002F50BD">
        <w:rPr>
          <w:rFonts w:ascii="Verdana" w:hAnsi="Verdana"/>
          <w:sz w:val="20"/>
          <w:lang w:val="pt-BR"/>
        </w:rPr>
        <w:t>ção no processo</w:t>
      </w:r>
      <w:r w:rsidRPr="002F50BD">
        <w:rPr>
          <w:rFonts w:ascii="Verdana" w:hAnsi="Verdana"/>
          <w:sz w:val="20"/>
          <w:lang w:val="pt-BR"/>
        </w:rPr>
        <w:t xml:space="preserve"> penal</w:t>
      </w:r>
      <w:r w:rsidR="0089298C" w:rsidRPr="002F50BD">
        <w:rPr>
          <w:rFonts w:ascii="Verdana" w:hAnsi="Verdana"/>
          <w:sz w:val="20"/>
          <w:lang w:val="pt-BR"/>
        </w:rPr>
        <w:t xml:space="preserve"> e solicitou</w:t>
      </w:r>
      <w:r w:rsidR="006603BE" w:rsidRPr="002F50BD">
        <w:rPr>
          <w:rFonts w:ascii="Verdana" w:hAnsi="Verdana"/>
          <w:sz w:val="20"/>
          <w:lang w:val="pt-BR"/>
        </w:rPr>
        <w:t xml:space="preserve"> </w:t>
      </w:r>
      <w:r w:rsidR="0092602F" w:rsidRPr="002F50BD">
        <w:rPr>
          <w:rFonts w:ascii="Verdana" w:hAnsi="Verdana"/>
          <w:sz w:val="20"/>
          <w:lang w:val="pt-BR"/>
        </w:rPr>
        <w:t xml:space="preserve">fossem feitas </w:t>
      </w:r>
      <w:r w:rsidRPr="002F50BD">
        <w:rPr>
          <w:rFonts w:ascii="Verdana" w:hAnsi="Verdana"/>
          <w:sz w:val="20"/>
          <w:lang w:val="pt-BR"/>
        </w:rPr>
        <w:t>foto</w:t>
      </w:r>
      <w:r w:rsidR="0089298C" w:rsidRPr="002F50BD">
        <w:rPr>
          <w:rFonts w:ascii="Verdana" w:hAnsi="Verdana"/>
          <w:sz w:val="20"/>
          <w:lang w:val="pt-BR"/>
        </w:rPr>
        <w:t xml:space="preserve">cópias do </w:t>
      </w:r>
      <w:r w:rsidR="00AB454A" w:rsidRPr="002F50BD">
        <w:rPr>
          <w:rFonts w:ascii="Verdana" w:hAnsi="Verdana"/>
          <w:sz w:val="20"/>
          <w:lang w:val="pt-BR"/>
        </w:rPr>
        <w:t>a</w:t>
      </w:r>
      <w:r w:rsidR="00FD26B7" w:rsidRPr="002F50BD">
        <w:rPr>
          <w:rFonts w:ascii="Verdana" w:hAnsi="Verdana"/>
          <w:sz w:val="20"/>
          <w:lang w:val="pt-BR"/>
        </w:rPr>
        <w:t>u</w:t>
      </w:r>
      <w:r w:rsidR="00AB454A" w:rsidRPr="002F50BD">
        <w:rPr>
          <w:rFonts w:ascii="Verdana" w:hAnsi="Verdana"/>
          <w:sz w:val="20"/>
          <w:lang w:val="pt-BR"/>
        </w:rPr>
        <w:t>tua</w:t>
      </w:r>
      <w:r w:rsidRPr="002F50BD">
        <w:rPr>
          <w:rFonts w:ascii="Verdana" w:hAnsi="Verdana"/>
          <w:sz w:val="20"/>
          <w:lang w:val="pt-BR"/>
        </w:rPr>
        <w:t xml:space="preserve">do </w:t>
      </w:r>
      <w:r w:rsidR="0089298C" w:rsidRPr="002F50BD">
        <w:rPr>
          <w:rFonts w:ascii="Verdana" w:hAnsi="Verdana"/>
          <w:sz w:val="20"/>
          <w:lang w:val="pt-BR"/>
        </w:rPr>
        <w:t xml:space="preserve">até </w:t>
      </w:r>
      <w:r w:rsidR="0092602F" w:rsidRPr="002F50BD">
        <w:rPr>
          <w:rFonts w:ascii="Verdana" w:hAnsi="Verdana"/>
          <w:sz w:val="20"/>
          <w:lang w:val="pt-BR"/>
        </w:rPr>
        <w:t xml:space="preserve">aquela </w:t>
      </w:r>
      <w:r w:rsidR="0089298C" w:rsidRPr="002F50BD">
        <w:rPr>
          <w:rFonts w:ascii="Verdana" w:hAnsi="Verdana"/>
          <w:sz w:val="20"/>
          <w:lang w:val="pt-BR"/>
        </w:rPr>
        <w:t>data</w:t>
      </w:r>
      <w:r w:rsidR="00D95E71" w:rsidRPr="002F50BD">
        <w:rPr>
          <w:rFonts w:ascii="Verdana" w:hAnsi="Verdana"/>
          <w:sz w:val="20"/>
          <w:lang w:val="pt-BR"/>
        </w:rPr>
        <w:t xml:space="preserve">. </w:t>
      </w:r>
      <w:r w:rsidR="0092602F" w:rsidRPr="002F50BD">
        <w:rPr>
          <w:rFonts w:ascii="Verdana" w:hAnsi="Verdana"/>
          <w:sz w:val="20"/>
          <w:lang w:val="pt-BR"/>
        </w:rPr>
        <w:t>Em</w:t>
      </w:r>
      <w:r w:rsidR="00D95E71" w:rsidRPr="002F50BD">
        <w:rPr>
          <w:rFonts w:ascii="Verdana" w:hAnsi="Verdana"/>
          <w:sz w:val="20"/>
          <w:lang w:val="pt-BR"/>
        </w:rPr>
        <w:t xml:space="preserve"> </w:t>
      </w:r>
      <w:r w:rsidR="00063B47" w:rsidRPr="002F50BD">
        <w:rPr>
          <w:rFonts w:ascii="Verdana" w:hAnsi="Verdana"/>
          <w:sz w:val="20"/>
          <w:lang w:val="pt-BR"/>
        </w:rPr>
        <w:t>11</w:t>
      </w:r>
      <w:r w:rsidRPr="002F50BD">
        <w:rPr>
          <w:rFonts w:ascii="Verdana" w:hAnsi="Verdana"/>
          <w:sz w:val="20"/>
          <w:lang w:val="pt-BR"/>
        </w:rPr>
        <w:t xml:space="preserve"> de </w:t>
      </w:r>
      <w:r w:rsidR="0089298C" w:rsidRPr="002F50BD">
        <w:rPr>
          <w:rFonts w:ascii="Verdana" w:hAnsi="Verdana"/>
          <w:sz w:val="20"/>
          <w:lang w:val="pt-BR"/>
        </w:rPr>
        <w:t>setembro</w:t>
      </w:r>
      <w:r w:rsidRPr="002F50BD">
        <w:rPr>
          <w:rFonts w:ascii="Verdana" w:hAnsi="Verdana"/>
          <w:sz w:val="20"/>
          <w:lang w:val="pt-BR"/>
        </w:rPr>
        <w:t xml:space="preserve"> </w:t>
      </w:r>
      <w:r w:rsidR="0089298C" w:rsidRPr="002F50BD">
        <w:rPr>
          <w:rFonts w:ascii="Verdana" w:hAnsi="Verdana"/>
          <w:sz w:val="20"/>
          <w:lang w:val="pt-BR"/>
        </w:rPr>
        <w:t>do mesm</w:t>
      </w:r>
      <w:r w:rsidRPr="002F50BD">
        <w:rPr>
          <w:rFonts w:ascii="Verdana" w:hAnsi="Verdana"/>
          <w:sz w:val="20"/>
          <w:lang w:val="pt-BR"/>
        </w:rPr>
        <w:t>o</w:t>
      </w:r>
      <w:r w:rsidR="0089298C" w:rsidRPr="002F50BD">
        <w:rPr>
          <w:rFonts w:ascii="Verdana" w:hAnsi="Verdana"/>
          <w:sz w:val="20"/>
          <w:lang w:val="pt-BR"/>
        </w:rPr>
        <w:t xml:space="preserve"> ano</w:t>
      </w:r>
      <w:r w:rsidR="00FD26B7" w:rsidRPr="002F50BD">
        <w:rPr>
          <w:rFonts w:ascii="Verdana" w:hAnsi="Verdana"/>
          <w:sz w:val="20"/>
          <w:lang w:val="pt-BR"/>
        </w:rPr>
        <w:t>,</w:t>
      </w:r>
      <w:r w:rsidR="0089298C" w:rsidRPr="002F50BD">
        <w:rPr>
          <w:rFonts w:ascii="Verdana" w:hAnsi="Verdana"/>
          <w:sz w:val="20"/>
          <w:lang w:val="pt-BR"/>
        </w:rPr>
        <w:t xml:space="preserve"> o </w:t>
      </w:r>
      <w:r w:rsidR="0092602F" w:rsidRPr="002F50BD">
        <w:rPr>
          <w:rFonts w:ascii="Verdana" w:hAnsi="Verdana"/>
          <w:sz w:val="20"/>
          <w:lang w:val="pt-BR"/>
        </w:rPr>
        <w:t>j</w:t>
      </w:r>
      <w:r w:rsidR="0089298C" w:rsidRPr="002F50BD">
        <w:rPr>
          <w:rFonts w:ascii="Verdana" w:hAnsi="Verdana"/>
          <w:sz w:val="20"/>
          <w:lang w:val="pt-BR"/>
        </w:rPr>
        <w:t>uiz</w:t>
      </w:r>
      <w:r w:rsidRPr="002F50BD">
        <w:rPr>
          <w:rFonts w:ascii="Verdana" w:hAnsi="Verdana"/>
          <w:sz w:val="20"/>
          <w:lang w:val="pt-BR"/>
        </w:rPr>
        <w:t xml:space="preserve"> </w:t>
      </w:r>
      <w:r w:rsidR="0089298C" w:rsidRPr="002F50BD">
        <w:rPr>
          <w:rFonts w:ascii="Verdana" w:hAnsi="Verdana"/>
          <w:sz w:val="20"/>
          <w:lang w:val="pt-BR"/>
        </w:rPr>
        <w:t>declarou</w:t>
      </w:r>
      <w:r w:rsidRPr="002F50BD">
        <w:rPr>
          <w:rFonts w:ascii="Verdana" w:hAnsi="Verdana"/>
          <w:sz w:val="20"/>
          <w:lang w:val="pt-BR"/>
        </w:rPr>
        <w:t xml:space="preserve"> “</w:t>
      </w:r>
      <w:r w:rsidR="006603BE" w:rsidRPr="002F50BD">
        <w:rPr>
          <w:rFonts w:ascii="Verdana" w:hAnsi="Verdana"/>
          <w:sz w:val="20"/>
          <w:lang w:val="pt-BR"/>
        </w:rPr>
        <w:t>improcedente</w:t>
      </w:r>
      <w:r w:rsidRPr="002F50BD">
        <w:rPr>
          <w:rFonts w:ascii="Verdana" w:hAnsi="Verdana"/>
          <w:sz w:val="20"/>
          <w:lang w:val="pt-BR"/>
        </w:rPr>
        <w:t>”</w:t>
      </w:r>
      <w:r w:rsidR="0089298C" w:rsidRPr="002F50BD">
        <w:rPr>
          <w:rFonts w:ascii="Verdana" w:hAnsi="Verdana"/>
          <w:sz w:val="20"/>
          <w:lang w:val="pt-BR"/>
        </w:rPr>
        <w:t xml:space="preserve"> a solicitação </w:t>
      </w:r>
      <w:r w:rsidRPr="002F50BD">
        <w:rPr>
          <w:rFonts w:ascii="Verdana" w:hAnsi="Verdana"/>
          <w:sz w:val="20"/>
          <w:lang w:val="pt-BR"/>
        </w:rPr>
        <w:t>de interven</w:t>
      </w:r>
      <w:r w:rsidR="0089298C" w:rsidRPr="002F50BD">
        <w:rPr>
          <w:rFonts w:ascii="Verdana" w:hAnsi="Verdana"/>
          <w:sz w:val="20"/>
          <w:lang w:val="pt-BR"/>
        </w:rPr>
        <w:t>ção</w:t>
      </w:r>
      <w:r w:rsidR="00D95E71" w:rsidRPr="002F50BD">
        <w:rPr>
          <w:rFonts w:ascii="Verdana" w:hAnsi="Verdana"/>
          <w:sz w:val="20"/>
          <w:lang w:val="pt-BR"/>
        </w:rPr>
        <w:t xml:space="preserve">. </w:t>
      </w:r>
      <w:r w:rsidR="0092602F" w:rsidRPr="002F50BD">
        <w:rPr>
          <w:rFonts w:ascii="Verdana" w:hAnsi="Verdana"/>
          <w:sz w:val="20"/>
          <w:lang w:val="pt-BR"/>
        </w:rPr>
        <w:t>Em</w:t>
      </w:r>
      <w:r w:rsidR="00D95E71" w:rsidRPr="002F50BD">
        <w:rPr>
          <w:rFonts w:ascii="Verdana" w:hAnsi="Verdana"/>
          <w:sz w:val="20"/>
          <w:lang w:val="pt-BR"/>
        </w:rPr>
        <w:t xml:space="preserve"> </w:t>
      </w:r>
      <w:r w:rsidR="00063B47" w:rsidRPr="002F50BD">
        <w:rPr>
          <w:rFonts w:ascii="Verdana" w:hAnsi="Verdana"/>
          <w:sz w:val="20"/>
          <w:lang w:val="pt-BR"/>
        </w:rPr>
        <w:t>15</w:t>
      </w:r>
      <w:r w:rsidRPr="002F50BD">
        <w:rPr>
          <w:rFonts w:ascii="Verdana" w:hAnsi="Verdana"/>
          <w:sz w:val="20"/>
          <w:lang w:val="pt-BR"/>
        </w:rPr>
        <w:t xml:space="preserve"> de </w:t>
      </w:r>
      <w:r w:rsidR="0089298C" w:rsidRPr="002F50BD">
        <w:rPr>
          <w:rFonts w:ascii="Verdana" w:hAnsi="Verdana"/>
          <w:sz w:val="20"/>
          <w:lang w:val="pt-BR"/>
        </w:rPr>
        <w:t>setembro</w:t>
      </w:r>
      <w:r w:rsidRPr="002F50BD">
        <w:rPr>
          <w:rFonts w:ascii="Verdana" w:hAnsi="Verdana"/>
          <w:sz w:val="20"/>
          <w:lang w:val="pt-BR"/>
        </w:rPr>
        <w:t xml:space="preserve"> de </w:t>
      </w:r>
      <w:r w:rsidR="00063B47" w:rsidRPr="002F50BD">
        <w:rPr>
          <w:rFonts w:ascii="Verdana" w:hAnsi="Verdana"/>
          <w:sz w:val="20"/>
          <w:lang w:val="pt-BR"/>
        </w:rPr>
        <w:t>2000</w:t>
      </w:r>
      <w:r w:rsidR="00FD26B7" w:rsidRPr="002F50BD">
        <w:rPr>
          <w:rFonts w:ascii="Verdana" w:hAnsi="Verdana"/>
          <w:sz w:val="20"/>
          <w:lang w:val="pt-BR"/>
        </w:rPr>
        <w:t>,</w:t>
      </w:r>
      <w:r w:rsidR="0089298C" w:rsidRPr="002F50BD">
        <w:rPr>
          <w:rFonts w:ascii="Verdana" w:hAnsi="Verdana"/>
          <w:sz w:val="20"/>
          <w:lang w:val="pt-BR"/>
        </w:rPr>
        <w:t xml:space="preserve"> o advogad</w:t>
      </w:r>
      <w:r w:rsidRPr="002F50BD">
        <w:rPr>
          <w:rFonts w:ascii="Verdana" w:hAnsi="Verdana"/>
          <w:sz w:val="20"/>
          <w:lang w:val="pt-BR"/>
        </w:rPr>
        <w:t>o</w:t>
      </w:r>
      <w:r w:rsidR="0089298C" w:rsidRPr="002F50BD">
        <w:rPr>
          <w:rFonts w:ascii="Verdana" w:hAnsi="Verdana"/>
          <w:sz w:val="20"/>
          <w:lang w:val="pt-BR"/>
        </w:rPr>
        <w:t xml:space="preserve"> da Comunidade interpôs um </w:t>
      </w:r>
      <w:r w:rsidRPr="002F50BD">
        <w:rPr>
          <w:rFonts w:ascii="Verdana" w:hAnsi="Verdana"/>
          <w:sz w:val="20"/>
          <w:lang w:val="pt-BR"/>
        </w:rPr>
        <w:t>recurso de apela</w:t>
      </w:r>
      <w:r w:rsidR="0089298C" w:rsidRPr="002F50BD">
        <w:rPr>
          <w:rFonts w:ascii="Verdana" w:hAnsi="Verdana"/>
          <w:sz w:val="20"/>
          <w:lang w:val="pt-BR"/>
        </w:rPr>
        <w:t>ção</w:t>
      </w:r>
      <w:r w:rsidRPr="002F50BD">
        <w:rPr>
          <w:rFonts w:ascii="Verdana" w:hAnsi="Verdana"/>
          <w:sz w:val="20"/>
          <w:lang w:val="pt-BR"/>
        </w:rPr>
        <w:t xml:space="preserve"> contra</w:t>
      </w:r>
      <w:r w:rsidR="0089298C" w:rsidRPr="002F50BD">
        <w:rPr>
          <w:rFonts w:ascii="Verdana" w:hAnsi="Verdana"/>
          <w:sz w:val="20"/>
          <w:lang w:val="pt-BR"/>
        </w:rPr>
        <w:t xml:space="preserve"> a </w:t>
      </w:r>
      <w:r w:rsidR="0092602F" w:rsidRPr="002F50BD">
        <w:rPr>
          <w:rFonts w:ascii="Verdana" w:hAnsi="Verdana"/>
          <w:sz w:val="20"/>
          <w:lang w:val="pt-BR"/>
        </w:rPr>
        <w:t xml:space="preserve">decisão que negou </w:t>
      </w:r>
      <w:r w:rsidR="00AB454A" w:rsidRPr="002F50BD">
        <w:rPr>
          <w:rFonts w:ascii="Verdana" w:hAnsi="Verdana"/>
          <w:sz w:val="20"/>
          <w:lang w:val="pt-BR"/>
        </w:rPr>
        <w:t>sua participação</w:t>
      </w:r>
      <w:r w:rsidRPr="002F50BD">
        <w:rPr>
          <w:rFonts w:ascii="Verdana" w:hAnsi="Verdana"/>
          <w:sz w:val="20"/>
          <w:lang w:val="pt-BR"/>
        </w:rPr>
        <w:t>, recurso que</w:t>
      </w:r>
      <w:r w:rsidR="0089298C" w:rsidRPr="002F50BD">
        <w:rPr>
          <w:rFonts w:ascii="Verdana" w:hAnsi="Verdana"/>
          <w:sz w:val="20"/>
          <w:lang w:val="pt-BR"/>
        </w:rPr>
        <w:t xml:space="preserve"> foi </w:t>
      </w:r>
      <w:r w:rsidR="0092602F" w:rsidRPr="002F50BD">
        <w:rPr>
          <w:rFonts w:ascii="Verdana" w:hAnsi="Verdana"/>
          <w:sz w:val="20"/>
          <w:lang w:val="pt-BR"/>
        </w:rPr>
        <w:t xml:space="preserve">rejeitado </w:t>
      </w:r>
      <w:r w:rsidR="0089298C" w:rsidRPr="002F50BD">
        <w:rPr>
          <w:rFonts w:ascii="Verdana" w:hAnsi="Verdana"/>
          <w:sz w:val="20"/>
          <w:lang w:val="pt-BR"/>
        </w:rPr>
        <w:t xml:space="preserve">pelo </w:t>
      </w:r>
      <w:r w:rsidR="0092602F" w:rsidRPr="002F50BD">
        <w:rPr>
          <w:rFonts w:ascii="Verdana" w:hAnsi="Verdana"/>
          <w:sz w:val="20"/>
          <w:lang w:val="pt-BR"/>
        </w:rPr>
        <w:t>j</w:t>
      </w:r>
      <w:r w:rsidR="0089298C" w:rsidRPr="002F50BD">
        <w:rPr>
          <w:rFonts w:ascii="Verdana" w:hAnsi="Verdana"/>
          <w:sz w:val="20"/>
          <w:lang w:val="pt-BR"/>
        </w:rPr>
        <w:t xml:space="preserve">uiz </w:t>
      </w:r>
      <w:r w:rsidR="0092602F" w:rsidRPr="002F50BD">
        <w:rPr>
          <w:rFonts w:ascii="Verdana" w:hAnsi="Verdana"/>
          <w:sz w:val="20"/>
          <w:lang w:val="pt-BR"/>
        </w:rPr>
        <w:t>em</w:t>
      </w:r>
      <w:r w:rsidR="0089298C" w:rsidRPr="002F50BD">
        <w:rPr>
          <w:rFonts w:ascii="Verdana" w:hAnsi="Verdana"/>
          <w:sz w:val="20"/>
          <w:lang w:val="pt-BR"/>
        </w:rPr>
        <w:t xml:space="preserve"> </w:t>
      </w:r>
      <w:r w:rsidR="00063B47" w:rsidRPr="002F50BD">
        <w:rPr>
          <w:rFonts w:ascii="Verdana" w:hAnsi="Verdana"/>
          <w:sz w:val="20"/>
          <w:lang w:val="pt-BR"/>
        </w:rPr>
        <w:t>18</w:t>
      </w:r>
      <w:r w:rsidRPr="002F50BD">
        <w:rPr>
          <w:rFonts w:ascii="Verdana" w:hAnsi="Verdana"/>
          <w:sz w:val="20"/>
          <w:lang w:val="pt-BR"/>
        </w:rPr>
        <w:t xml:space="preserve"> de </w:t>
      </w:r>
      <w:r w:rsidR="0089298C" w:rsidRPr="002F50BD">
        <w:rPr>
          <w:rFonts w:ascii="Verdana" w:hAnsi="Verdana"/>
          <w:sz w:val="20"/>
          <w:lang w:val="pt-BR"/>
        </w:rPr>
        <w:t>setembro</w:t>
      </w:r>
      <w:r w:rsidRPr="002F50BD">
        <w:rPr>
          <w:rFonts w:ascii="Verdana" w:hAnsi="Verdana"/>
          <w:sz w:val="20"/>
          <w:lang w:val="pt-BR"/>
        </w:rPr>
        <w:t xml:space="preserve"> de </w:t>
      </w:r>
      <w:r w:rsidR="00063B47" w:rsidRPr="002F50BD">
        <w:rPr>
          <w:rFonts w:ascii="Verdana" w:hAnsi="Verdana"/>
          <w:sz w:val="20"/>
          <w:lang w:val="pt-BR"/>
        </w:rPr>
        <w:t>2000</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86</w:t>
      </w:r>
      <w:r w:rsidR="0092602F"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Durante</w:t>
      </w:r>
      <w:r w:rsidR="0089298C" w:rsidRPr="002F50BD">
        <w:rPr>
          <w:rFonts w:ascii="Verdana" w:hAnsi="Verdana"/>
          <w:sz w:val="20"/>
          <w:lang w:val="pt-BR"/>
        </w:rPr>
        <w:t xml:space="preserve"> o </w:t>
      </w:r>
      <w:r w:rsidRPr="002F50BD">
        <w:rPr>
          <w:rFonts w:ascii="Verdana" w:hAnsi="Verdana"/>
          <w:sz w:val="20"/>
          <w:lang w:val="pt-BR"/>
        </w:rPr>
        <w:t xml:space="preserve">referido </w:t>
      </w:r>
      <w:r w:rsidR="0089298C" w:rsidRPr="002F50BD">
        <w:rPr>
          <w:rFonts w:ascii="Verdana" w:hAnsi="Verdana"/>
          <w:sz w:val="20"/>
          <w:lang w:val="pt-BR"/>
        </w:rPr>
        <w:t>processo</w:t>
      </w:r>
      <w:r w:rsidRPr="002F50BD">
        <w:rPr>
          <w:rFonts w:ascii="Verdana" w:hAnsi="Verdana"/>
          <w:sz w:val="20"/>
          <w:lang w:val="pt-BR"/>
        </w:rPr>
        <w:t xml:space="preserve"> penal </w:t>
      </w:r>
      <w:r w:rsidR="0092602F" w:rsidRPr="002F50BD">
        <w:rPr>
          <w:rFonts w:ascii="Verdana" w:hAnsi="Verdana"/>
          <w:sz w:val="20"/>
          <w:lang w:val="pt-BR"/>
        </w:rPr>
        <w:t xml:space="preserve">foram realizadas </w:t>
      </w:r>
      <w:r w:rsidR="0089298C" w:rsidRPr="002F50BD">
        <w:rPr>
          <w:rFonts w:ascii="Verdana" w:hAnsi="Verdana"/>
          <w:sz w:val="20"/>
          <w:lang w:val="pt-BR"/>
        </w:rPr>
        <w:t>várias</w:t>
      </w:r>
      <w:r w:rsidRPr="002F50BD">
        <w:rPr>
          <w:rFonts w:ascii="Verdana" w:hAnsi="Verdana"/>
          <w:sz w:val="20"/>
          <w:lang w:val="pt-BR"/>
        </w:rPr>
        <w:t xml:space="preserve"> </w:t>
      </w:r>
      <w:r w:rsidR="0089298C" w:rsidRPr="002F50BD">
        <w:rPr>
          <w:rFonts w:ascii="Verdana" w:hAnsi="Verdana"/>
          <w:sz w:val="20"/>
          <w:lang w:val="pt-BR"/>
        </w:rPr>
        <w:t>diligência</w:t>
      </w:r>
      <w:r w:rsidRPr="002F50BD">
        <w:rPr>
          <w:rFonts w:ascii="Verdana" w:hAnsi="Verdana"/>
          <w:sz w:val="20"/>
          <w:lang w:val="pt-BR"/>
        </w:rPr>
        <w:t xml:space="preserve">s </w:t>
      </w:r>
      <w:r w:rsidR="0089298C" w:rsidRPr="002F50BD">
        <w:rPr>
          <w:rFonts w:ascii="Verdana" w:hAnsi="Verdana"/>
          <w:sz w:val="20"/>
          <w:lang w:val="pt-BR"/>
        </w:rPr>
        <w:t>probatória</w:t>
      </w:r>
      <w:r w:rsidRPr="002F50BD">
        <w:rPr>
          <w:rFonts w:ascii="Verdana" w:hAnsi="Verdana"/>
          <w:sz w:val="20"/>
          <w:lang w:val="pt-BR"/>
        </w:rPr>
        <w:t>s, entre</w:t>
      </w:r>
      <w:r w:rsidR="0089298C" w:rsidRPr="002F50BD">
        <w:rPr>
          <w:rFonts w:ascii="Verdana" w:hAnsi="Verdana"/>
          <w:sz w:val="20"/>
          <w:lang w:val="pt-BR"/>
        </w:rPr>
        <w:t xml:space="preserve"> ela</w:t>
      </w:r>
      <w:r w:rsidRPr="002F50BD">
        <w:rPr>
          <w:rFonts w:ascii="Verdana" w:hAnsi="Verdana"/>
          <w:sz w:val="20"/>
          <w:lang w:val="pt-BR"/>
        </w:rPr>
        <w:t>s, declara</w:t>
      </w:r>
      <w:r w:rsidR="0089298C" w:rsidRPr="002F50BD">
        <w:rPr>
          <w:rFonts w:ascii="Verdana" w:hAnsi="Verdana"/>
          <w:sz w:val="20"/>
          <w:lang w:val="pt-BR"/>
        </w:rPr>
        <w:t>ções</w:t>
      </w:r>
      <w:r w:rsidRPr="002F50BD">
        <w:rPr>
          <w:rFonts w:ascii="Verdana" w:hAnsi="Verdana"/>
          <w:sz w:val="20"/>
          <w:lang w:val="pt-BR"/>
        </w:rPr>
        <w:t xml:space="preserve"> de </w:t>
      </w:r>
      <w:r w:rsidR="0089298C" w:rsidRPr="002F50BD">
        <w:rPr>
          <w:rFonts w:ascii="Verdana" w:hAnsi="Verdana"/>
          <w:sz w:val="20"/>
          <w:lang w:val="pt-BR"/>
        </w:rPr>
        <w:t>testemunha</w:t>
      </w:r>
      <w:r w:rsidRPr="002F50BD">
        <w:rPr>
          <w:rFonts w:ascii="Verdana" w:hAnsi="Verdana"/>
          <w:sz w:val="20"/>
          <w:lang w:val="pt-BR"/>
        </w:rPr>
        <w:t xml:space="preserve">s, </w:t>
      </w:r>
      <w:r w:rsidR="0088662B" w:rsidRPr="002F50BD">
        <w:rPr>
          <w:rFonts w:ascii="Verdana" w:hAnsi="Verdana"/>
          <w:sz w:val="20"/>
          <w:lang w:val="pt-BR"/>
        </w:rPr>
        <w:t>levantamento</w:t>
      </w:r>
      <w:r w:rsidRPr="002F50BD">
        <w:rPr>
          <w:rFonts w:ascii="Verdana" w:hAnsi="Verdana"/>
          <w:sz w:val="20"/>
          <w:lang w:val="pt-BR"/>
        </w:rPr>
        <w:t xml:space="preserve">s de </w:t>
      </w:r>
      <w:r w:rsidR="0089298C" w:rsidRPr="002F50BD">
        <w:rPr>
          <w:rFonts w:ascii="Verdana" w:hAnsi="Verdana"/>
          <w:sz w:val="20"/>
          <w:lang w:val="pt-BR"/>
        </w:rPr>
        <w:t>dado</w:t>
      </w:r>
      <w:r w:rsidRPr="002F50BD">
        <w:rPr>
          <w:rFonts w:ascii="Verdana" w:hAnsi="Verdana"/>
          <w:sz w:val="20"/>
          <w:lang w:val="pt-BR"/>
        </w:rPr>
        <w:t>s</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 </w:t>
      </w:r>
      <w:r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inspeções no </w:t>
      </w:r>
      <w:r w:rsidRPr="002F50BD">
        <w:rPr>
          <w:rFonts w:ascii="Verdana" w:hAnsi="Verdana"/>
          <w:sz w:val="20"/>
          <w:lang w:val="pt-BR"/>
        </w:rPr>
        <w:t>lugar</w:t>
      </w:r>
      <w:r w:rsidR="0089298C" w:rsidRPr="002F50BD">
        <w:rPr>
          <w:rFonts w:ascii="Verdana" w:hAnsi="Verdana"/>
          <w:sz w:val="20"/>
          <w:lang w:val="pt-BR"/>
        </w:rPr>
        <w:t xml:space="preserve"> dos fatos</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80</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82</w:t>
      </w:r>
      <w:r w:rsidR="0089298C" w:rsidRPr="002F50BD">
        <w:rPr>
          <w:rFonts w:ascii="Verdana" w:hAnsi="Verdana"/>
          <w:sz w:val="20"/>
          <w:lang w:val="pt-BR"/>
        </w:rPr>
        <w:t xml:space="preserve"> 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83</w:t>
      </w:r>
      <w:r w:rsidR="0092602F"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De igual forma, </w:t>
      </w:r>
      <w:r w:rsidR="0092602F" w:rsidRPr="002F50BD">
        <w:rPr>
          <w:rFonts w:ascii="Verdana" w:hAnsi="Verdana"/>
          <w:sz w:val="20"/>
          <w:lang w:val="pt-BR"/>
        </w:rPr>
        <w:t xml:space="preserve">foram concedidas </w:t>
      </w:r>
      <w:r w:rsidRPr="002F50BD">
        <w:rPr>
          <w:rFonts w:ascii="Verdana" w:hAnsi="Verdana"/>
          <w:sz w:val="20"/>
          <w:lang w:val="pt-BR"/>
        </w:rPr>
        <w:t xml:space="preserve">medidas </w:t>
      </w:r>
      <w:r w:rsidR="0089298C" w:rsidRPr="002F50BD">
        <w:rPr>
          <w:rFonts w:ascii="Verdana" w:hAnsi="Verdana"/>
          <w:sz w:val="20"/>
          <w:lang w:val="pt-BR"/>
        </w:rPr>
        <w:t>provisórias</w:t>
      </w:r>
      <w:r w:rsidRPr="002F50BD">
        <w:rPr>
          <w:rFonts w:ascii="Verdana" w:hAnsi="Verdana"/>
          <w:sz w:val="20"/>
          <w:lang w:val="pt-BR"/>
        </w:rPr>
        <w:t xml:space="preserve"> a favor</w:t>
      </w:r>
      <w:r w:rsidR="0089298C" w:rsidRPr="002F50BD">
        <w:rPr>
          <w:rFonts w:ascii="Verdana" w:hAnsi="Verdana"/>
          <w:sz w:val="20"/>
          <w:lang w:val="pt-BR"/>
        </w:rPr>
        <w:t xml:space="preserve"> da </w:t>
      </w:r>
      <w:r w:rsidRPr="002F50BD">
        <w:rPr>
          <w:rFonts w:ascii="Verdana" w:hAnsi="Verdana"/>
          <w:sz w:val="20"/>
          <w:lang w:val="pt-BR"/>
        </w:rPr>
        <w:t xml:space="preserve">parte </w:t>
      </w:r>
      <w:r w:rsidR="004076AD" w:rsidRPr="002F50BD">
        <w:rPr>
          <w:rFonts w:ascii="Verdana" w:hAnsi="Verdana"/>
          <w:sz w:val="20"/>
          <w:lang w:val="pt-BR"/>
        </w:rPr>
        <w:t>a</w:t>
      </w:r>
      <w:r w:rsidR="0092602F" w:rsidRPr="002F50BD">
        <w:rPr>
          <w:rFonts w:ascii="Verdana" w:hAnsi="Verdana"/>
          <w:sz w:val="20"/>
          <w:lang w:val="pt-BR"/>
        </w:rPr>
        <w:t>u</w:t>
      </w:r>
      <w:r w:rsidR="004076AD" w:rsidRPr="002F50BD">
        <w:rPr>
          <w:rFonts w:ascii="Verdana" w:hAnsi="Verdana"/>
          <w:sz w:val="20"/>
          <w:lang w:val="pt-BR"/>
        </w:rPr>
        <w:t>tor</w:t>
      </w:r>
      <w:r w:rsidRPr="002F50BD">
        <w:rPr>
          <w:rFonts w:ascii="Verdana" w:hAnsi="Verdana"/>
          <w:sz w:val="20"/>
          <w:lang w:val="pt-BR"/>
        </w:rPr>
        <w:t>a, consistentes</w:t>
      </w:r>
      <w:r w:rsidR="0089298C" w:rsidRPr="002F50BD">
        <w:rPr>
          <w:rFonts w:ascii="Verdana" w:hAnsi="Verdana"/>
          <w:sz w:val="20"/>
          <w:lang w:val="pt-BR"/>
        </w:rPr>
        <w:t xml:space="preserve"> na proibição</w:t>
      </w:r>
      <w:r w:rsidRPr="002F50BD">
        <w:rPr>
          <w:rFonts w:ascii="Verdana" w:hAnsi="Verdana"/>
          <w:sz w:val="20"/>
          <w:lang w:val="pt-BR"/>
        </w:rPr>
        <w:t xml:space="preserve"> de </w:t>
      </w:r>
      <w:r w:rsidR="0089298C" w:rsidRPr="002F50BD">
        <w:rPr>
          <w:rFonts w:ascii="Verdana" w:hAnsi="Verdana"/>
          <w:sz w:val="20"/>
          <w:lang w:val="pt-BR"/>
        </w:rPr>
        <w:t>ingresso dos membro</w:t>
      </w:r>
      <w:r w:rsidRPr="002F50BD">
        <w:rPr>
          <w:rFonts w:ascii="Verdana" w:hAnsi="Verdana"/>
          <w:sz w:val="20"/>
          <w:lang w:val="pt-BR"/>
        </w:rPr>
        <w:t>s</w:t>
      </w:r>
      <w:r w:rsidR="0089298C" w:rsidRPr="002F50BD">
        <w:rPr>
          <w:rFonts w:ascii="Verdana" w:hAnsi="Verdana"/>
          <w:sz w:val="20"/>
          <w:lang w:val="pt-BR"/>
        </w:rPr>
        <w:t xml:space="preserve"> da Comunidade </w:t>
      </w:r>
      <w:r w:rsidR="00FD26B7" w:rsidRPr="002F50BD">
        <w:rPr>
          <w:rFonts w:ascii="Verdana" w:hAnsi="Verdana"/>
          <w:sz w:val="20"/>
          <w:lang w:val="pt-BR"/>
        </w:rPr>
        <w:t>n</w:t>
      </w:r>
      <w:r w:rsidR="0089298C" w:rsidRPr="002F50BD">
        <w:rPr>
          <w:rFonts w:ascii="Verdana" w:hAnsi="Verdana"/>
          <w:sz w:val="20"/>
          <w:lang w:val="pt-BR"/>
        </w:rPr>
        <w:t xml:space="preserve">o território da </w:t>
      </w:r>
      <w:r w:rsidR="00060B3A" w:rsidRPr="002F50BD">
        <w:rPr>
          <w:rFonts w:ascii="Verdana" w:hAnsi="Verdana"/>
          <w:i/>
          <w:sz w:val="20"/>
          <w:lang w:val="pt-BR"/>
        </w:rPr>
        <w:t>Estancia Loma Verde</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85</w:t>
      </w:r>
      <w:r w:rsidR="0092602F"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w:t>
      </w:r>
      <w:r w:rsidR="0092602F" w:rsidRPr="002F50BD">
        <w:rPr>
          <w:rFonts w:ascii="Verdana" w:hAnsi="Verdana"/>
          <w:sz w:val="20"/>
          <w:lang w:val="pt-BR"/>
        </w:rPr>
        <w:t xml:space="preserve">foram apreendidas várias caixas </w:t>
      </w:r>
      <w:r w:rsidRPr="002F50BD">
        <w:rPr>
          <w:rFonts w:ascii="Verdana" w:hAnsi="Verdana"/>
          <w:sz w:val="20"/>
          <w:lang w:val="pt-BR"/>
        </w:rPr>
        <w:t xml:space="preserve">de apicultura </w:t>
      </w:r>
      <w:r w:rsidR="004076AD" w:rsidRPr="002F50BD">
        <w:rPr>
          <w:rFonts w:ascii="Verdana" w:hAnsi="Verdana"/>
          <w:sz w:val="20"/>
          <w:lang w:val="pt-BR"/>
        </w:rPr>
        <w:t>pertencente</w:t>
      </w:r>
      <w:r w:rsidRPr="002F50BD">
        <w:rPr>
          <w:rFonts w:ascii="Verdana" w:hAnsi="Verdana"/>
          <w:sz w:val="20"/>
          <w:lang w:val="pt-BR"/>
        </w:rPr>
        <w:t>s</w:t>
      </w:r>
      <w:r w:rsidR="0089298C" w:rsidRPr="002F50BD">
        <w:rPr>
          <w:rFonts w:ascii="Verdana" w:hAnsi="Verdana"/>
          <w:sz w:val="20"/>
          <w:lang w:val="pt-BR"/>
        </w:rPr>
        <w:t xml:space="preserve"> à Comunidade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84</w:t>
      </w:r>
      <w:r w:rsidR="0092602F" w:rsidRPr="002F50BD">
        <w:rPr>
          <w:rFonts w:ascii="Verdana" w:hAnsi="Verdana"/>
          <w:i/>
          <w:sz w:val="20"/>
          <w:lang w:val="pt-BR"/>
        </w:rPr>
        <w:t xml:space="preserve"> supra</w:t>
      </w:r>
      <w:r w:rsidR="00CF451D" w:rsidRPr="00CF451D">
        <w:rPr>
          <w:rFonts w:ascii="Verdana" w:hAnsi="Verdana"/>
          <w:sz w:val="20"/>
          <w:lang w:val="pt-BR"/>
        </w:rPr>
        <w:t>)</w:t>
      </w:r>
      <w:r w:rsidR="0089298C" w:rsidRPr="002F50BD">
        <w:rPr>
          <w:rFonts w:ascii="Verdana" w:hAnsi="Verdana"/>
          <w:sz w:val="20"/>
          <w:lang w:val="pt-BR"/>
        </w:rPr>
        <w:t>, e</w:t>
      </w:r>
      <w:r w:rsidRPr="002F50BD">
        <w:rPr>
          <w:rFonts w:ascii="Verdana" w:hAnsi="Verdana"/>
          <w:sz w:val="20"/>
          <w:lang w:val="pt-BR"/>
        </w:rPr>
        <w:t xml:space="preserve"> se </w:t>
      </w:r>
      <w:r w:rsidR="0089298C" w:rsidRPr="002F50BD">
        <w:rPr>
          <w:rFonts w:ascii="Verdana" w:hAnsi="Verdana"/>
          <w:sz w:val="20"/>
          <w:lang w:val="pt-BR"/>
        </w:rPr>
        <w:t xml:space="preserve">ordenou </w:t>
      </w:r>
      <w:r w:rsidR="0092602F" w:rsidRPr="002F50BD">
        <w:rPr>
          <w:rFonts w:ascii="Verdana" w:hAnsi="Verdana"/>
          <w:sz w:val="20"/>
          <w:lang w:val="pt-BR"/>
        </w:rPr>
        <w:t xml:space="preserve">o despejo das casas </w:t>
      </w:r>
      <w:r w:rsidR="0089298C" w:rsidRPr="002F50BD">
        <w:rPr>
          <w:rFonts w:ascii="Verdana" w:hAnsi="Verdana"/>
          <w:sz w:val="20"/>
          <w:lang w:val="pt-BR"/>
        </w:rPr>
        <w:t xml:space="preserve">da Comunidade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87</w:t>
      </w:r>
      <w:r w:rsidR="0092602F"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Todas estas </w:t>
      </w:r>
      <w:r w:rsidR="0089298C" w:rsidRPr="002F50BD">
        <w:rPr>
          <w:rFonts w:ascii="Verdana" w:hAnsi="Verdana"/>
          <w:sz w:val="20"/>
          <w:lang w:val="pt-BR"/>
        </w:rPr>
        <w:t>gestões</w:t>
      </w:r>
      <w:r w:rsidRPr="002F50BD">
        <w:rPr>
          <w:rFonts w:ascii="Verdana" w:hAnsi="Verdana"/>
          <w:sz w:val="20"/>
          <w:lang w:val="pt-BR"/>
        </w:rPr>
        <w:t xml:space="preserve"> </w:t>
      </w:r>
      <w:r w:rsidR="00FD26B7" w:rsidRPr="002F50BD">
        <w:rPr>
          <w:rFonts w:ascii="Verdana" w:hAnsi="Verdana"/>
          <w:sz w:val="20"/>
          <w:lang w:val="pt-BR"/>
        </w:rPr>
        <w:t>foram levadas</w:t>
      </w:r>
      <w:r w:rsidRPr="002F50BD">
        <w:rPr>
          <w:rFonts w:ascii="Verdana" w:hAnsi="Verdana"/>
          <w:sz w:val="20"/>
          <w:lang w:val="pt-BR"/>
        </w:rPr>
        <w:t xml:space="preserve"> a cabo</w:t>
      </w:r>
      <w:r w:rsidR="0089298C" w:rsidRPr="002F50BD">
        <w:rPr>
          <w:rFonts w:ascii="Verdana" w:hAnsi="Verdana"/>
          <w:sz w:val="20"/>
          <w:lang w:val="pt-BR"/>
        </w:rPr>
        <w:t xml:space="preserve"> sem </w:t>
      </w:r>
      <w:r w:rsidRPr="002F50BD">
        <w:rPr>
          <w:rFonts w:ascii="Verdana" w:hAnsi="Verdana"/>
          <w:sz w:val="20"/>
          <w:lang w:val="pt-BR"/>
        </w:rPr>
        <w:t>que</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Yakye Axa </w:t>
      </w:r>
      <w:r w:rsidR="0092602F" w:rsidRPr="002F50BD">
        <w:rPr>
          <w:rFonts w:ascii="Verdana" w:hAnsi="Verdana"/>
          <w:sz w:val="20"/>
          <w:lang w:val="pt-BR"/>
        </w:rPr>
        <w:t xml:space="preserve">fossem </w:t>
      </w:r>
      <w:r w:rsidR="0089298C" w:rsidRPr="002F50BD">
        <w:rPr>
          <w:rFonts w:ascii="Verdana" w:hAnsi="Verdana"/>
          <w:sz w:val="20"/>
          <w:lang w:val="pt-BR"/>
        </w:rPr>
        <w:t>ouvido</w:t>
      </w:r>
      <w:r w:rsidRPr="002F50BD">
        <w:rPr>
          <w:rFonts w:ascii="Verdana" w:hAnsi="Verdana"/>
          <w:sz w:val="20"/>
          <w:lang w:val="pt-BR"/>
        </w:rPr>
        <w:t>s</w:t>
      </w:r>
      <w:r w:rsidR="0089298C" w:rsidRPr="002F50BD">
        <w:rPr>
          <w:rFonts w:ascii="Verdana" w:hAnsi="Verdana"/>
          <w:sz w:val="20"/>
          <w:lang w:val="pt-BR"/>
        </w:rPr>
        <w:t xml:space="preserve"> e </w:t>
      </w:r>
      <w:r w:rsidRPr="002F50BD">
        <w:rPr>
          <w:rFonts w:ascii="Verdana" w:hAnsi="Verdana"/>
          <w:sz w:val="20"/>
          <w:lang w:val="pt-BR"/>
        </w:rPr>
        <w:t>participa</w:t>
      </w:r>
      <w:r w:rsidR="0092602F" w:rsidRPr="002F50BD">
        <w:rPr>
          <w:rFonts w:ascii="Verdana" w:hAnsi="Verdana"/>
          <w:sz w:val="20"/>
          <w:lang w:val="pt-BR"/>
        </w:rPr>
        <w:t>ssem</w:t>
      </w:r>
      <w:r w:rsidR="0089298C" w:rsidRPr="002F50BD">
        <w:rPr>
          <w:rFonts w:ascii="Verdana" w:hAnsi="Verdana"/>
          <w:sz w:val="20"/>
          <w:lang w:val="pt-BR"/>
        </w:rPr>
        <w:t xml:space="preserve"> através</w:t>
      </w:r>
      <w:r w:rsidRPr="002F50BD">
        <w:rPr>
          <w:rFonts w:ascii="Verdana" w:hAnsi="Verdana"/>
          <w:sz w:val="20"/>
          <w:lang w:val="pt-BR"/>
        </w:rPr>
        <w:t xml:space="preserve"> de</w:t>
      </w:r>
      <w:r w:rsidR="0089298C" w:rsidRPr="002F50BD">
        <w:rPr>
          <w:rFonts w:ascii="Verdana" w:hAnsi="Verdana"/>
          <w:sz w:val="20"/>
          <w:lang w:val="pt-BR"/>
        </w:rPr>
        <w:t xml:space="preserve"> um advogad</w:t>
      </w:r>
      <w:r w:rsidRPr="002F50BD">
        <w:rPr>
          <w:rFonts w:ascii="Verdana" w:hAnsi="Verdana"/>
          <w:sz w:val="20"/>
          <w:lang w:val="pt-BR"/>
        </w:rPr>
        <w:t>o de su</w:t>
      </w:r>
      <w:r w:rsidR="0092602F" w:rsidRPr="002F50BD">
        <w:rPr>
          <w:rFonts w:ascii="Verdana" w:hAnsi="Verdana"/>
          <w:sz w:val="20"/>
          <w:lang w:val="pt-BR"/>
        </w:rPr>
        <w:t>a</w:t>
      </w:r>
      <w:r w:rsidRPr="002F50BD">
        <w:rPr>
          <w:rFonts w:ascii="Verdana" w:hAnsi="Verdana"/>
          <w:sz w:val="20"/>
          <w:lang w:val="pt-BR"/>
        </w:rPr>
        <w:t xml:space="preserve"> </w:t>
      </w:r>
      <w:r w:rsidR="0092602F" w:rsidRPr="002F50BD">
        <w:rPr>
          <w:rFonts w:ascii="Verdana" w:hAnsi="Verdana"/>
          <w:sz w:val="20"/>
          <w:lang w:val="pt-BR"/>
        </w:rPr>
        <w:t>escolha</w:t>
      </w:r>
      <w:r w:rsidRPr="002F50BD">
        <w:rPr>
          <w:rFonts w:ascii="Verdana" w:hAnsi="Verdana"/>
          <w:sz w:val="20"/>
          <w:lang w:val="pt-BR"/>
        </w:rPr>
        <w:t>.</w:t>
      </w:r>
      <w:r w:rsidR="00FE08B7">
        <w:rPr>
          <w:rFonts w:ascii="Verdana" w:hAnsi="Verdana"/>
          <w:sz w:val="20"/>
          <w:lang w:val="pt-BR"/>
        </w:rPr>
        <w:t xml:space="preserve"> </w:t>
      </w:r>
      <w:r w:rsidR="0092602F" w:rsidRPr="002F50BD">
        <w:rPr>
          <w:rFonts w:ascii="Verdana" w:hAnsi="Verdana"/>
          <w:sz w:val="20"/>
          <w:lang w:val="pt-BR"/>
        </w:rPr>
        <w:t>Além disso</w:t>
      </w:r>
      <w:r w:rsidRPr="002F50BD">
        <w:rPr>
          <w:rFonts w:ascii="Verdana" w:hAnsi="Verdana"/>
          <w:sz w:val="20"/>
          <w:lang w:val="pt-BR"/>
        </w:rPr>
        <w:t>,</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n</w:t>
      </w:r>
      <w:r w:rsidR="0092602F"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puderam apresentar prova</w:t>
      </w:r>
      <w:r w:rsidRPr="002F50BD">
        <w:rPr>
          <w:rFonts w:ascii="Verdana" w:hAnsi="Verdana"/>
          <w:sz w:val="20"/>
          <w:lang w:val="pt-BR"/>
        </w:rPr>
        <w:t xml:space="preserve">s de </w:t>
      </w:r>
      <w:r w:rsidR="0092602F" w:rsidRPr="002F50BD">
        <w:rPr>
          <w:rFonts w:ascii="Verdana" w:hAnsi="Verdana"/>
          <w:sz w:val="20"/>
          <w:lang w:val="pt-BR"/>
        </w:rPr>
        <w:t xml:space="preserve">defesa, </w:t>
      </w:r>
      <w:r w:rsidR="0089298C" w:rsidRPr="002F50BD">
        <w:rPr>
          <w:rFonts w:ascii="Verdana" w:hAnsi="Verdana"/>
          <w:sz w:val="20"/>
          <w:lang w:val="pt-BR"/>
        </w:rPr>
        <w:t xml:space="preserve">nem </w:t>
      </w:r>
      <w:r w:rsidRPr="002F50BD">
        <w:rPr>
          <w:rFonts w:ascii="Verdana" w:hAnsi="Verdana"/>
          <w:sz w:val="20"/>
          <w:lang w:val="pt-BR"/>
        </w:rPr>
        <w:t>interrogar</w:t>
      </w:r>
      <w:r w:rsidR="0089298C" w:rsidRPr="002F50BD">
        <w:rPr>
          <w:rFonts w:ascii="Verdana" w:hAnsi="Verdana"/>
          <w:sz w:val="20"/>
          <w:lang w:val="pt-BR"/>
        </w:rPr>
        <w:t xml:space="preserve"> </w:t>
      </w:r>
      <w:r w:rsidR="0092602F" w:rsidRPr="002F50BD">
        <w:rPr>
          <w:rFonts w:ascii="Verdana" w:hAnsi="Verdana"/>
          <w:sz w:val="20"/>
          <w:lang w:val="pt-BR"/>
        </w:rPr>
        <w:t>a</w:t>
      </w:r>
      <w:r w:rsidR="0089298C" w:rsidRPr="002F50BD">
        <w:rPr>
          <w:rFonts w:ascii="Verdana" w:hAnsi="Verdana"/>
          <w:sz w:val="20"/>
          <w:lang w:val="pt-BR"/>
        </w:rPr>
        <w:t>s testemunha</w:t>
      </w:r>
      <w:r w:rsidRPr="002F50BD">
        <w:rPr>
          <w:rFonts w:ascii="Verdana" w:hAnsi="Verdana"/>
          <w:sz w:val="20"/>
          <w:lang w:val="pt-BR"/>
        </w:rPr>
        <w:t xml:space="preserve">s </w:t>
      </w:r>
      <w:r w:rsidR="0089298C" w:rsidRPr="002F50BD">
        <w:rPr>
          <w:rFonts w:ascii="Verdana" w:hAnsi="Verdana"/>
          <w:sz w:val="20"/>
          <w:lang w:val="pt-BR"/>
        </w:rPr>
        <w:t>propost</w:t>
      </w:r>
      <w:r w:rsidR="0092602F" w:rsidRPr="002F50BD">
        <w:rPr>
          <w:rFonts w:ascii="Verdana" w:hAnsi="Verdana"/>
          <w:sz w:val="20"/>
          <w:lang w:val="pt-BR"/>
        </w:rPr>
        <w:t>a</w:t>
      </w:r>
      <w:r w:rsidRPr="002F50BD">
        <w:rPr>
          <w:rFonts w:ascii="Verdana" w:hAnsi="Verdana"/>
          <w:sz w:val="20"/>
          <w:lang w:val="pt-BR"/>
        </w:rPr>
        <w:t>s</w:t>
      </w:r>
      <w:r w:rsidR="0089298C" w:rsidRPr="002F50BD">
        <w:rPr>
          <w:rFonts w:ascii="Verdana" w:hAnsi="Verdana"/>
          <w:sz w:val="20"/>
          <w:lang w:val="pt-BR"/>
        </w:rPr>
        <w:t xml:space="preserve"> pela </w:t>
      </w:r>
      <w:r w:rsidRPr="002F50BD">
        <w:rPr>
          <w:rFonts w:ascii="Verdana" w:hAnsi="Verdana"/>
          <w:sz w:val="20"/>
          <w:lang w:val="pt-BR"/>
        </w:rPr>
        <w:t>contraparte</w:t>
      </w:r>
      <w:r w:rsidR="001A0CDE" w:rsidRPr="002F50BD">
        <w:rPr>
          <w:rFonts w:ascii="Verdana" w:hAnsi="Verdana"/>
          <w:sz w:val="20"/>
          <w:lang w:val="pt-BR"/>
        </w:rPr>
        <w:t>. Est</w:t>
      </w:r>
      <w:r w:rsidRPr="002F50BD">
        <w:rPr>
          <w:rFonts w:ascii="Verdana" w:hAnsi="Verdana"/>
          <w:sz w:val="20"/>
          <w:lang w:val="pt-BR"/>
        </w:rPr>
        <w:t xml:space="preserve">a </w:t>
      </w:r>
      <w:r w:rsidR="00B017F0" w:rsidRPr="002F50BD">
        <w:rPr>
          <w:rFonts w:ascii="Verdana" w:hAnsi="Verdana"/>
          <w:sz w:val="20"/>
          <w:lang w:val="pt-BR"/>
        </w:rPr>
        <w:t xml:space="preserve">desproteção </w:t>
      </w:r>
      <w:r w:rsidR="0089298C" w:rsidRPr="002F50BD">
        <w:rPr>
          <w:rFonts w:ascii="Verdana" w:hAnsi="Verdana"/>
          <w:sz w:val="20"/>
          <w:lang w:val="pt-BR"/>
        </w:rPr>
        <w:t>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se </w:t>
      </w:r>
      <w:r w:rsidR="0089298C" w:rsidRPr="002F50BD">
        <w:rPr>
          <w:rFonts w:ascii="Verdana" w:hAnsi="Verdana"/>
          <w:sz w:val="20"/>
          <w:lang w:val="pt-BR"/>
        </w:rPr>
        <w:t>prolongou</w:t>
      </w:r>
      <w:r w:rsidRPr="002F50BD">
        <w:rPr>
          <w:rFonts w:ascii="Verdana" w:hAnsi="Verdana"/>
          <w:sz w:val="20"/>
          <w:lang w:val="pt-BR"/>
        </w:rPr>
        <w:t xml:space="preserve"> </w:t>
      </w:r>
      <w:r w:rsidR="0089298C" w:rsidRPr="002F50BD">
        <w:rPr>
          <w:rFonts w:ascii="Verdana" w:hAnsi="Verdana"/>
          <w:sz w:val="20"/>
          <w:lang w:val="pt-BR"/>
        </w:rPr>
        <w:t xml:space="preserve">até </w:t>
      </w:r>
      <w:r w:rsidR="00063B47" w:rsidRPr="002F50BD">
        <w:rPr>
          <w:rFonts w:ascii="Verdana" w:hAnsi="Verdana"/>
          <w:sz w:val="20"/>
          <w:lang w:val="pt-BR"/>
        </w:rPr>
        <w:t>14</w:t>
      </w:r>
      <w:r w:rsidRPr="002F50BD">
        <w:rPr>
          <w:rFonts w:ascii="Verdana" w:hAnsi="Verdana"/>
          <w:sz w:val="20"/>
          <w:lang w:val="pt-BR"/>
        </w:rPr>
        <w:t xml:space="preserve"> de </w:t>
      </w:r>
      <w:r w:rsidR="0089298C" w:rsidRPr="002F50BD">
        <w:rPr>
          <w:rFonts w:ascii="Verdana" w:hAnsi="Verdana"/>
          <w:sz w:val="20"/>
          <w:lang w:val="pt-BR"/>
        </w:rPr>
        <w:t>setembro</w:t>
      </w:r>
      <w:r w:rsidRPr="002F50BD">
        <w:rPr>
          <w:rFonts w:ascii="Verdana" w:hAnsi="Verdana"/>
          <w:sz w:val="20"/>
          <w:lang w:val="pt-BR"/>
        </w:rPr>
        <w:t xml:space="preserve"> de </w:t>
      </w:r>
      <w:r w:rsidR="00063B47" w:rsidRPr="002F50BD">
        <w:rPr>
          <w:rFonts w:ascii="Verdana" w:hAnsi="Verdana"/>
          <w:sz w:val="20"/>
          <w:lang w:val="pt-BR"/>
        </w:rPr>
        <w:t>2001</w:t>
      </w:r>
      <w:r w:rsidRPr="002F50BD">
        <w:rPr>
          <w:rFonts w:ascii="Verdana" w:hAnsi="Verdana"/>
          <w:sz w:val="20"/>
          <w:lang w:val="pt-BR"/>
        </w:rPr>
        <w:t xml:space="preserve">, </w:t>
      </w:r>
      <w:r w:rsidR="0089298C" w:rsidRPr="002F50BD">
        <w:rPr>
          <w:rFonts w:ascii="Verdana" w:hAnsi="Verdana"/>
          <w:sz w:val="20"/>
          <w:lang w:val="pt-BR"/>
        </w:rPr>
        <w:t xml:space="preserve">quando o </w:t>
      </w:r>
      <w:r w:rsidR="00B017F0" w:rsidRPr="002F50BD">
        <w:rPr>
          <w:rFonts w:ascii="Verdana" w:hAnsi="Verdana"/>
          <w:sz w:val="20"/>
          <w:lang w:val="pt-BR"/>
        </w:rPr>
        <w:t>j</w:t>
      </w:r>
      <w:r w:rsidR="0089298C" w:rsidRPr="002F50BD">
        <w:rPr>
          <w:rFonts w:ascii="Verdana" w:hAnsi="Verdana"/>
          <w:sz w:val="20"/>
          <w:lang w:val="pt-BR"/>
        </w:rPr>
        <w:t>uiz</w:t>
      </w:r>
      <w:r w:rsidRPr="002F50BD">
        <w:rPr>
          <w:rFonts w:ascii="Verdana" w:hAnsi="Verdana"/>
          <w:sz w:val="20"/>
          <w:lang w:val="pt-BR"/>
        </w:rPr>
        <w:t xml:space="preserve"> </w:t>
      </w:r>
      <w:r w:rsidR="0089298C" w:rsidRPr="002F50BD">
        <w:rPr>
          <w:rFonts w:ascii="Verdana" w:hAnsi="Verdana"/>
          <w:sz w:val="20"/>
          <w:lang w:val="pt-BR"/>
        </w:rPr>
        <w:t xml:space="preserve">aceitou a </w:t>
      </w:r>
      <w:r w:rsidRPr="002F50BD">
        <w:rPr>
          <w:rFonts w:ascii="Verdana" w:hAnsi="Verdana"/>
          <w:sz w:val="20"/>
          <w:lang w:val="pt-BR"/>
        </w:rPr>
        <w:t>participa</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 xml:space="preserve">do </w:t>
      </w:r>
      <w:r w:rsidRPr="002F50BD">
        <w:rPr>
          <w:rFonts w:ascii="Verdana" w:hAnsi="Verdana"/>
          <w:sz w:val="20"/>
          <w:lang w:val="pt-BR"/>
        </w:rPr>
        <w:t xml:space="preserve">INDI como </w:t>
      </w:r>
      <w:r w:rsidR="008C29C9" w:rsidRPr="002F50BD">
        <w:rPr>
          <w:rFonts w:ascii="Verdana" w:hAnsi="Verdana"/>
          <w:sz w:val="20"/>
          <w:lang w:val="pt-BR"/>
        </w:rPr>
        <w:t>representante</w:t>
      </w:r>
      <w:r w:rsidR="0089298C" w:rsidRPr="002F50BD">
        <w:rPr>
          <w:rFonts w:ascii="Verdana" w:hAnsi="Verdana"/>
          <w:sz w:val="20"/>
          <w:lang w:val="pt-BR"/>
        </w:rPr>
        <w:t xml:space="preserve"> da Comunidade </w:t>
      </w:r>
      <w:r w:rsidRPr="002F50BD">
        <w:rPr>
          <w:rFonts w:ascii="Verdana" w:hAnsi="Verdana"/>
          <w:sz w:val="20"/>
          <w:lang w:val="pt-BR"/>
        </w:rPr>
        <w:t xml:space="preserve">Yakye Axa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88</w:t>
      </w:r>
      <w:r w:rsidR="00B017F0"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 xml:space="preserve">De </w:t>
      </w:r>
      <w:r w:rsidR="0089298C" w:rsidRPr="002F50BD">
        <w:rPr>
          <w:rFonts w:ascii="Verdana" w:hAnsi="Verdana"/>
          <w:sz w:val="20"/>
          <w:lang w:val="pt-BR"/>
        </w:rPr>
        <w:t>acordo com o</w:t>
      </w:r>
      <w:r w:rsidR="00F04F59">
        <w:rPr>
          <w:rFonts w:ascii="Verdana" w:hAnsi="Verdana"/>
          <w:sz w:val="20"/>
          <w:lang w:val="pt-BR"/>
        </w:rPr>
        <w:t>s</w:t>
      </w:r>
      <w:r w:rsidR="0089298C" w:rsidRPr="002F50BD">
        <w:rPr>
          <w:rFonts w:ascii="Verdana" w:hAnsi="Verdana"/>
          <w:sz w:val="20"/>
          <w:lang w:val="pt-BR"/>
        </w:rPr>
        <w:t xml:space="preserve"> </w:t>
      </w:r>
      <w:r w:rsidR="00F04F59">
        <w:rPr>
          <w:rFonts w:ascii="Verdana" w:hAnsi="Verdana"/>
          <w:sz w:val="20"/>
          <w:lang w:val="pt-BR"/>
        </w:rPr>
        <w:t>autos</w:t>
      </w:r>
      <w:r w:rsidRPr="002F50BD">
        <w:rPr>
          <w:rFonts w:ascii="Verdana" w:hAnsi="Verdana"/>
          <w:sz w:val="20"/>
          <w:lang w:val="pt-BR"/>
        </w:rPr>
        <w:t xml:space="preserve"> </w:t>
      </w:r>
      <w:r w:rsidR="00F04F59">
        <w:rPr>
          <w:rFonts w:ascii="Verdana" w:hAnsi="Verdana"/>
          <w:sz w:val="20"/>
          <w:lang w:val="pt-BR"/>
        </w:rPr>
        <w:t>disponíveis</w:t>
      </w:r>
      <w:r w:rsidR="00B017F0" w:rsidRPr="002F50BD">
        <w:rPr>
          <w:rFonts w:ascii="Verdana" w:hAnsi="Verdana"/>
          <w:sz w:val="20"/>
          <w:lang w:val="pt-BR"/>
        </w:rPr>
        <w:t xml:space="preserve"> </w:t>
      </w:r>
      <w:r w:rsidR="0089298C" w:rsidRPr="002F50BD">
        <w:rPr>
          <w:rFonts w:ascii="Verdana" w:hAnsi="Verdana"/>
          <w:sz w:val="20"/>
          <w:lang w:val="pt-BR"/>
        </w:rPr>
        <w:t xml:space="preserve">no </w:t>
      </w:r>
      <w:r w:rsidRPr="002F50BD">
        <w:rPr>
          <w:rFonts w:ascii="Verdana" w:hAnsi="Verdana"/>
          <w:sz w:val="20"/>
          <w:lang w:val="pt-BR"/>
        </w:rPr>
        <w:t>presente caso,</w:t>
      </w:r>
      <w:r w:rsidR="0089298C" w:rsidRPr="002F50BD">
        <w:rPr>
          <w:rFonts w:ascii="Verdana" w:hAnsi="Verdana"/>
          <w:sz w:val="20"/>
          <w:lang w:val="pt-BR"/>
        </w:rPr>
        <w:t xml:space="preserve"> a </w:t>
      </w:r>
      <w:r w:rsidRPr="002F50BD">
        <w:rPr>
          <w:rFonts w:ascii="Verdana" w:hAnsi="Verdana"/>
          <w:sz w:val="20"/>
          <w:lang w:val="pt-BR"/>
        </w:rPr>
        <w:t>causa penal n</w:t>
      </w:r>
      <w:r w:rsidR="00B017F0" w:rsidRPr="002F50BD">
        <w:rPr>
          <w:rFonts w:ascii="Verdana" w:hAnsi="Verdana"/>
          <w:sz w:val="20"/>
          <w:lang w:val="pt-BR"/>
        </w:rPr>
        <w:t>ã</w:t>
      </w:r>
      <w:r w:rsidRPr="002F50BD">
        <w:rPr>
          <w:rFonts w:ascii="Verdana" w:hAnsi="Verdana"/>
          <w:sz w:val="20"/>
          <w:lang w:val="pt-BR"/>
        </w:rPr>
        <w:t xml:space="preserve">o </w:t>
      </w:r>
      <w:r w:rsidR="00B017F0" w:rsidRPr="002F50BD">
        <w:rPr>
          <w:rFonts w:ascii="Verdana" w:hAnsi="Verdana"/>
          <w:sz w:val="20"/>
          <w:lang w:val="pt-BR"/>
        </w:rPr>
        <w:t xml:space="preserve">continuou além da fase de </w:t>
      </w:r>
      <w:r w:rsidR="006603BE" w:rsidRPr="002F50BD">
        <w:rPr>
          <w:rFonts w:ascii="Verdana" w:hAnsi="Verdana"/>
          <w:sz w:val="20"/>
          <w:lang w:val="pt-BR"/>
        </w:rPr>
        <w:t>inquérito</w:t>
      </w:r>
      <w:r w:rsidRPr="002F50BD">
        <w:rPr>
          <w:rFonts w:ascii="Verdana" w:hAnsi="Verdana"/>
          <w:sz w:val="20"/>
          <w:lang w:val="pt-BR"/>
        </w:rPr>
        <w:t>.</w:t>
      </w:r>
    </w:p>
    <w:p w:rsidR="00B017F0" w:rsidRPr="002F50BD" w:rsidRDefault="00B017F0" w:rsidP="00B017F0">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considera, </w:t>
      </w:r>
      <w:r w:rsidR="004076AD" w:rsidRPr="002F50BD">
        <w:rPr>
          <w:rFonts w:ascii="Verdana" w:hAnsi="Verdana"/>
          <w:sz w:val="20"/>
          <w:lang w:val="pt-BR"/>
        </w:rPr>
        <w:t>como o fez</w:t>
      </w:r>
      <w:r w:rsidRPr="002F50BD">
        <w:rPr>
          <w:rFonts w:ascii="Verdana" w:hAnsi="Verdana"/>
          <w:sz w:val="20"/>
          <w:lang w:val="pt-BR"/>
        </w:rPr>
        <w:t xml:space="preserve"> </w:t>
      </w:r>
      <w:r w:rsidR="004756C1" w:rsidRPr="002F50BD">
        <w:rPr>
          <w:rFonts w:ascii="Verdana" w:hAnsi="Verdana"/>
          <w:sz w:val="20"/>
          <w:lang w:val="pt-BR"/>
        </w:rPr>
        <w:t>anteriormente</w:t>
      </w:r>
      <w:r w:rsidR="00B017F0" w:rsidRPr="002F50BD">
        <w:rPr>
          <w:rFonts w:ascii="Verdana" w:hAnsi="Verdana"/>
          <w:sz w:val="20"/>
          <w:lang w:val="pt-BR"/>
        </w:rPr>
        <w:t>,</w:t>
      </w:r>
      <w:r w:rsidR="004756C1" w:rsidRPr="002F50BD">
        <w:rPr>
          <w:rStyle w:val="FootnoteReference"/>
          <w:rFonts w:ascii="Verdana" w:hAnsi="Verdana"/>
        </w:rPr>
        <w:footnoteReference w:id="188"/>
      </w:r>
      <w:r w:rsidR="004756C1" w:rsidRPr="002F50BD">
        <w:rPr>
          <w:rFonts w:ascii="Verdana" w:hAnsi="Verdana"/>
          <w:sz w:val="20"/>
          <w:lang w:val="pt-BR"/>
        </w:rPr>
        <w:t xml:space="preserve"> que</w:t>
      </w:r>
      <w:r w:rsidRPr="002F50BD">
        <w:rPr>
          <w:rFonts w:ascii="Verdana" w:hAnsi="Verdana"/>
          <w:sz w:val="20"/>
          <w:lang w:val="pt-BR"/>
        </w:rPr>
        <w:t xml:space="preserve"> a </w:t>
      </w:r>
      <w:r w:rsidR="004756C1" w:rsidRPr="002F50BD">
        <w:rPr>
          <w:rFonts w:ascii="Verdana" w:hAnsi="Verdana"/>
          <w:sz w:val="20"/>
          <w:lang w:val="pt-BR"/>
        </w:rPr>
        <w:t>falta de</w:t>
      </w:r>
      <w:r w:rsidRPr="002F50BD">
        <w:rPr>
          <w:rFonts w:ascii="Verdana" w:hAnsi="Verdana"/>
          <w:sz w:val="20"/>
          <w:lang w:val="pt-BR"/>
        </w:rPr>
        <w:t xml:space="preserve"> um advogad</w:t>
      </w:r>
      <w:r w:rsidR="004756C1" w:rsidRPr="002F50BD">
        <w:rPr>
          <w:rFonts w:ascii="Verdana" w:hAnsi="Verdana"/>
          <w:sz w:val="20"/>
          <w:lang w:val="pt-BR"/>
        </w:rPr>
        <w:t xml:space="preserve">o defensor </w:t>
      </w:r>
      <w:r w:rsidRPr="002F50BD">
        <w:rPr>
          <w:rFonts w:ascii="Verdana" w:hAnsi="Verdana"/>
          <w:sz w:val="20"/>
          <w:lang w:val="pt-BR"/>
        </w:rPr>
        <w:t xml:space="preserve">constitui uma </w:t>
      </w:r>
      <w:r w:rsidR="004756C1" w:rsidRPr="002F50BD">
        <w:rPr>
          <w:rFonts w:ascii="Verdana" w:hAnsi="Verdana"/>
          <w:sz w:val="20"/>
          <w:lang w:val="pt-BR"/>
        </w:rPr>
        <w:t>viola</w:t>
      </w:r>
      <w:r w:rsidRPr="002F50BD">
        <w:rPr>
          <w:rFonts w:ascii="Verdana" w:hAnsi="Verdana"/>
          <w:sz w:val="20"/>
          <w:lang w:val="pt-BR"/>
        </w:rPr>
        <w:t>ção às garantias</w:t>
      </w:r>
      <w:r w:rsidR="004756C1" w:rsidRPr="002F50BD">
        <w:rPr>
          <w:rFonts w:ascii="Verdana" w:hAnsi="Verdana"/>
          <w:sz w:val="20"/>
          <w:lang w:val="pt-BR"/>
        </w:rPr>
        <w:t xml:space="preserve"> </w:t>
      </w:r>
      <w:r w:rsidRPr="002F50BD">
        <w:rPr>
          <w:rFonts w:ascii="Verdana" w:hAnsi="Verdana"/>
          <w:sz w:val="20"/>
          <w:lang w:val="pt-BR"/>
        </w:rPr>
        <w:t>judiciais</w:t>
      </w:r>
      <w:r w:rsidR="004756C1" w:rsidRPr="002F50BD">
        <w:rPr>
          <w:rFonts w:ascii="Verdana" w:hAnsi="Verdana"/>
          <w:sz w:val="20"/>
          <w:lang w:val="pt-BR"/>
        </w:rPr>
        <w:t xml:space="preserve"> </w:t>
      </w:r>
      <w:r w:rsidRPr="002F50BD">
        <w:rPr>
          <w:rFonts w:ascii="Verdana" w:hAnsi="Verdana"/>
          <w:sz w:val="20"/>
          <w:lang w:val="pt-BR"/>
        </w:rPr>
        <w:t>estabelecid</w:t>
      </w:r>
      <w:r w:rsidR="004756C1" w:rsidRPr="002F50BD">
        <w:rPr>
          <w:rFonts w:ascii="Verdana" w:hAnsi="Verdana"/>
          <w:sz w:val="20"/>
          <w:lang w:val="pt-BR"/>
        </w:rPr>
        <w:t>as</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8</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00FE08B7">
        <w:rPr>
          <w:rFonts w:ascii="Verdana" w:hAnsi="Verdana"/>
          <w:sz w:val="20"/>
          <w:lang w:val="pt-BR"/>
        </w:rPr>
        <w:t xml:space="preserve"> </w:t>
      </w:r>
      <w:r w:rsidR="004756C1" w:rsidRPr="002F50BD">
        <w:rPr>
          <w:rFonts w:ascii="Verdana" w:hAnsi="Verdana"/>
          <w:sz w:val="20"/>
          <w:lang w:val="pt-BR"/>
        </w:rPr>
        <w:t xml:space="preserve">De igual </w:t>
      </w:r>
      <w:r w:rsidR="00B017F0" w:rsidRPr="002F50BD">
        <w:rPr>
          <w:rFonts w:ascii="Verdana" w:hAnsi="Verdana"/>
          <w:sz w:val="20"/>
          <w:lang w:val="pt-BR"/>
        </w:rPr>
        <w:t>maneira</w:t>
      </w:r>
      <w:r w:rsidR="004756C1"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 xml:space="preserve">Corte Interamericana </w:t>
      </w:r>
      <w:r w:rsidR="004076AD" w:rsidRPr="002F50BD">
        <w:rPr>
          <w:rFonts w:ascii="Verdana" w:hAnsi="Verdana"/>
          <w:sz w:val="20"/>
          <w:lang w:val="pt-BR"/>
        </w:rPr>
        <w:t>indicou</w:t>
      </w:r>
      <w:r w:rsidR="004756C1" w:rsidRPr="002F50BD">
        <w:rPr>
          <w:rFonts w:ascii="Verdana" w:hAnsi="Verdana"/>
          <w:sz w:val="20"/>
          <w:lang w:val="pt-BR"/>
        </w:rPr>
        <w:t xml:space="preserve"> que</w:t>
      </w:r>
      <w:r w:rsidRPr="002F50BD">
        <w:rPr>
          <w:rFonts w:ascii="Verdana" w:hAnsi="Verdana"/>
          <w:sz w:val="20"/>
          <w:lang w:val="pt-BR"/>
        </w:rPr>
        <w:t xml:space="preserve"> o </w:t>
      </w:r>
      <w:r w:rsidR="00B017F0" w:rsidRPr="002F50BD">
        <w:rPr>
          <w:rFonts w:ascii="Verdana" w:hAnsi="Verdana"/>
          <w:sz w:val="20"/>
          <w:lang w:val="pt-BR"/>
        </w:rPr>
        <w:t xml:space="preserve">acusado </w:t>
      </w:r>
      <w:r w:rsidRPr="002F50BD">
        <w:rPr>
          <w:rFonts w:ascii="Verdana" w:hAnsi="Verdana"/>
          <w:sz w:val="20"/>
          <w:lang w:val="pt-BR"/>
        </w:rPr>
        <w:t>tem direito</w:t>
      </w:r>
      <w:r w:rsidR="004756C1" w:rsidRPr="002F50BD">
        <w:rPr>
          <w:rFonts w:ascii="Verdana" w:hAnsi="Verdana"/>
          <w:sz w:val="20"/>
          <w:lang w:val="pt-BR"/>
        </w:rPr>
        <w:t>,</w:t>
      </w:r>
      <w:r w:rsidRPr="002F50BD">
        <w:rPr>
          <w:rFonts w:ascii="Verdana" w:hAnsi="Verdana"/>
          <w:sz w:val="20"/>
          <w:lang w:val="pt-BR"/>
        </w:rPr>
        <w:t xml:space="preserve"> com o </w:t>
      </w:r>
      <w:r w:rsidR="004756C1" w:rsidRPr="002F50BD">
        <w:rPr>
          <w:rFonts w:ascii="Verdana" w:hAnsi="Verdana"/>
          <w:sz w:val="20"/>
          <w:lang w:val="pt-BR"/>
        </w:rPr>
        <w:t>objet</w:t>
      </w:r>
      <w:r w:rsidR="00B017F0" w:rsidRPr="002F50BD">
        <w:rPr>
          <w:rFonts w:ascii="Verdana" w:hAnsi="Verdana"/>
          <w:sz w:val="20"/>
          <w:lang w:val="pt-BR"/>
        </w:rPr>
        <w:t>iv</w:t>
      </w:r>
      <w:r w:rsidR="004756C1" w:rsidRPr="002F50BD">
        <w:rPr>
          <w:rFonts w:ascii="Verdana" w:hAnsi="Verdana"/>
          <w:sz w:val="20"/>
          <w:lang w:val="pt-BR"/>
        </w:rPr>
        <w:t xml:space="preserve">o de </w:t>
      </w:r>
      <w:r w:rsidRPr="002F50BD">
        <w:rPr>
          <w:rFonts w:ascii="Verdana" w:hAnsi="Verdana"/>
          <w:sz w:val="20"/>
          <w:lang w:val="pt-BR"/>
        </w:rPr>
        <w:t>exercer</w:t>
      </w:r>
      <w:r w:rsidR="004756C1" w:rsidRPr="002F50BD">
        <w:rPr>
          <w:rFonts w:ascii="Verdana" w:hAnsi="Verdana"/>
          <w:sz w:val="20"/>
          <w:lang w:val="pt-BR"/>
        </w:rPr>
        <w:t xml:space="preserve"> su</w:t>
      </w:r>
      <w:r w:rsidR="00B017F0"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defesa</w:t>
      </w:r>
      <w:r w:rsidR="00B017F0" w:rsidRPr="002F50BD">
        <w:rPr>
          <w:rFonts w:ascii="Verdana" w:hAnsi="Verdana"/>
          <w:sz w:val="20"/>
          <w:lang w:val="pt-BR"/>
        </w:rPr>
        <w:t>,</w:t>
      </w:r>
      <w:r w:rsidR="004756C1" w:rsidRPr="002F50BD">
        <w:rPr>
          <w:rStyle w:val="FootnoteReference"/>
          <w:rFonts w:ascii="Verdana" w:hAnsi="Verdana"/>
        </w:rPr>
        <w:footnoteReference w:id="189"/>
      </w:r>
      <w:r w:rsidR="004756C1" w:rsidRPr="002F50BD">
        <w:rPr>
          <w:rFonts w:ascii="Verdana" w:hAnsi="Verdana"/>
          <w:sz w:val="20"/>
          <w:lang w:val="pt-BR"/>
        </w:rPr>
        <w:t xml:space="preserve"> </w:t>
      </w:r>
      <w:r w:rsidR="00FD26B7" w:rsidRPr="002F50BD">
        <w:rPr>
          <w:rFonts w:ascii="Verdana" w:hAnsi="Verdana"/>
          <w:sz w:val="20"/>
          <w:lang w:val="pt-BR"/>
        </w:rPr>
        <w:t>de</w:t>
      </w:r>
      <w:r w:rsidR="004756C1" w:rsidRPr="002F50BD">
        <w:rPr>
          <w:rFonts w:ascii="Verdana" w:hAnsi="Verdana"/>
          <w:sz w:val="20"/>
          <w:lang w:val="pt-BR"/>
        </w:rPr>
        <w:t xml:space="preserve"> examinar</w:t>
      </w:r>
      <w:r w:rsidRPr="002F50BD">
        <w:rPr>
          <w:rFonts w:ascii="Verdana" w:hAnsi="Verdana"/>
          <w:sz w:val="20"/>
          <w:lang w:val="pt-BR"/>
        </w:rPr>
        <w:t xml:space="preserve"> as testemunha</w:t>
      </w:r>
      <w:r w:rsidR="00B017F0" w:rsidRPr="002F50BD">
        <w:rPr>
          <w:rFonts w:ascii="Verdana" w:hAnsi="Verdana"/>
          <w:sz w:val="20"/>
          <w:lang w:val="pt-BR"/>
        </w:rPr>
        <w:t>s que declaram</w:t>
      </w:r>
      <w:r w:rsidRPr="002F50BD">
        <w:rPr>
          <w:rFonts w:ascii="Verdana" w:hAnsi="Verdana"/>
          <w:sz w:val="20"/>
          <w:lang w:val="pt-BR"/>
        </w:rPr>
        <w:t xml:space="preserve"> </w:t>
      </w:r>
      <w:r w:rsidR="004756C1" w:rsidRPr="002F50BD">
        <w:rPr>
          <w:rFonts w:ascii="Verdana" w:hAnsi="Verdana"/>
          <w:sz w:val="20"/>
          <w:lang w:val="pt-BR"/>
        </w:rPr>
        <w:t>contra</w:t>
      </w:r>
      <w:r w:rsidRPr="002F50BD">
        <w:rPr>
          <w:rFonts w:ascii="Verdana" w:hAnsi="Verdana"/>
          <w:sz w:val="20"/>
          <w:lang w:val="pt-BR"/>
        </w:rPr>
        <w:t xml:space="preserve"> </w:t>
      </w:r>
      <w:r w:rsidR="00B017F0" w:rsidRPr="002F50BD">
        <w:rPr>
          <w:rFonts w:ascii="Verdana" w:hAnsi="Verdana"/>
          <w:sz w:val="20"/>
          <w:lang w:val="pt-BR"/>
        </w:rPr>
        <w:t xml:space="preserve">si </w:t>
      </w:r>
      <w:r w:rsidRPr="002F50BD">
        <w:rPr>
          <w:rFonts w:ascii="Verdana" w:hAnsi="Verdana"/>
          <w:sz w:val="20"/>
          <w:lang w:val="pt-BR"/>
        </w:rPr>
        <w:t xml:space="preserve">e </w:t>
      </w:r>
      <w:r w:rsidR="004756C1" w:rsidRPr="002F50BD">
        <w:rPr>
          <w:rFonts w:ascii="Verdana" w:hAnsi="Verdana"/>
          <w:sz w:val="20"/>
          <w:lang w:val="pt-BR"/>
        </w:rPr>
        <w:t xml:space="preserve">a </w:t>
      </w:r>
      <w:r w:rsidR="00AB454A" w:rsidRPr="002F50BD">
        <w:rPr>
          <w:rFonts w:ascii="Verdana" w:hAnsi="Verdana"/>
          <w:sz w:val="20"/>
          <w:lang w:val="pt-BR"/>
        </w:rPr>
        <w:t>seu favor</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 xml:space="preserve"> como</w:t>
      </w:r>
      <w:r w:rsidRPr="002F50BD">
        <w:rPr>
          <w:rFonts w:ascii="Verdana" w:hAnsi="Verdana"/>
          <w:sz w:val="20"/>
          <w:lang w:val="pt-BR"/>
        </w:rPr>
        <w:t xml:space="preserve"> o </w:t>
      </w:r>
      <w:r w:rsidR="00B017F0" w:rsidRPr="002F50BD">
        <w:rPr>
          <w:rFonts w:ascii="Verdana" w:hAnsi="Verdana"/>
          <w:sz w:val="20"/>
          <w:lang w:val="pt-BR"/>
        </w:rPr>
        <w:t xml:space="preserve">direito </w:t>
      </w:r>
      <w:r w:rsidR="004756C1" w:rsidRPr="002F50BD">
        <w:rPr>
          <w:rFonts w:ascii="Verdana" w:hAnsi="Verdana"/>
          <w:sz w:val="20"/>
          <w:lang w:val="pt-BR"/>
        </w:rPr>
        <w:t>de</w:t>
      </w:r>
      <w:r w:rsidRPr="002F50BD">
        <w:rPr>
          <w:rFonts w:ascii="Verdana" w:hAnsi="Verdana"/>
          <w:sz w:val="20"/>
          <w:lang w:val="pt-BR"/>
        </w:rPr>
        <w:t xml:space="preserve"> fazer </w:t>
      </w:r>
      <w:r w:rsidR="004756C1" w:rsidRPr="002F50BD">
        <w:rPr>
          <w:rFonts w:ascii="Verdana" w:hAnsi="Verdana"/>
          <w:sz w:val="20"/>
          <w:lang w:val="pt-BR"/>
        </w:rPr>
        <w:t xml:space="preserve">comparecer </w:t>
      </w:r>
      <w:r w:rsidRPr="002F50BD">
        <w:rPr>
          <w:rFonts w:ascii="Verdana" w:hAnsi="Verdana"/>
          <w:sz w:val="20"/>
          <w:lang w:val="pt-BR"/>
        </w:rPr>
        <w:t>pessoa</w:t>
      </w:r>
      <w:r w:rsidR="004756C1" w:rsidRPr="002F50BD">
        <w:rPr>
          <w:rFonts w:ascii="Verdana" w:hAnsi="Verdana"/>
          <w:sz w:val="20"/>
          <w:lang w:val="pt-BR"/>
        </w:rPr>
        <w:t xml:space="preserve">s que </w:t>
      </w:r>
      <w:r w:rsidR="00AB454A" w:rsidRPr="002F50BD">
        <w:rPr>
          <w:rFonts w:ascii="Verdana" w:hAnsi="Verdana"/>
          <w:sz w:val="20"/>
          <w:lang w:val="pt-BR"/>
        </w:rPr>
        <w:t>possam</w:t>
      </w:r>
      <w:r w:rsidR="004756C1" w:rsidRPr="002F50BD">
        <w:rPr>
          <w:rFonts w:ascii="Verdana" w:hAnsi="Verdana"/>
          <w:sz w:val="20"/>
          <w:lang w:val="pt-BR"/>
        </w:rPr>
        <w:t xml:space="preserve"> </w:t>
      </w:r>
      <w:r w:rsidR="009A4073" w:rsidRPr="002F50BD">
        <w:rPr>
          <w:rFonts w:ascii="Verdana" w:hAnsi="Verdana"/>
          <w:sz w:val="20"/>
          <w:lang w:val="pt-BR"/>
        </w:rPr>
        <w:t xml:space="preserve">jogar </w:t>
      </w:r>
      <w:r w:rsidR="004756C1" w:rsidRPr="002F50BD">
        <w:rPr>
          <w:rFonts w:ascii="Verdana" w:hAnsi="Verdana"/>
          <w:sz w:val="20"/>
          <w:lang w:val="pt-BR"/>
        </w:rPr>
        <w:t>luz sobre</w:t>
      </w:r>
      <w:r w:rsidRPr="002F50BD">
        <w:rPr>
          <w:rFonts w:ascii="Verdana" w:hAnsi="Verdana"/>
          <w:sz w:val="20"/>
          <w:lang w:val="pt-BR"/>
        </w:rPr>
        <w:t xml:space="preserve"> os fatos</w:t>
      </w:r>
      <w:r w:rsidR="00B017F0" w:rsidRPr="002F50BD">
        <w:rPr>
          <w:rFonts w:ascii="Verdana" w:hAnsi="Verdana"/>
          <w:sz w:val="20"/>
          <w:lang w:val="pt-BR"/>
        </w:rPr>
        <w:t>.</w:t>
      </w:r>
      <w:r w:rsidR="004756C1" w:rsidRPr="002F50BD">
        <w:rPr>
          <w:rStyle w:val="FootnoteReference"/>
          <w:rFonts w:ascii="Verdana" w:hAnsi="Verdana"/>
        </w:rPr>
        <w:footnoteReference w:id="190"/>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E</w:t>
      </w:r>
      <w:r w:rsidR="00B017F0"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consequência</w:t>
      </w:r>
      <w:r w:rsidRPr="002F50BD">
        <w:rPr>
          <w:rFonts w:ascii="Verdana" w:hAnsi="Verdana"/>
          <w:sz w:val="20"/>
          <w:lang w:val="pt-BR"/>
        </w:rPr>
        <w:t>, esta Corte considera que</w:t>
      </w:r>
      <w:r w:rsidR="009A4073" w:rsidRPr="002F50BD">
        <w:rPr>
          <w:rFonts w:ascii="Verdana" w:hAnsi="Verdana"/>
          <w:sz w:val="20"/>
          <w:lang w:val="pt-BR"/>
        </w:rPr>
        <w:t>,</w:t>
      </w:r>
      <w:r w:rsidR="0089298C" w:rsidRPr="002F50BD">
        <w:rPr>
          <w:rFonts w:ascii="Verdana" w:hAnsi="Verdana"/>
          <w:sz w:val="20"/>
          <w:lang w:val="pt-BR"/>
        </w:rPr>
        <w:t xml:space="preserve"> no </w:t>
      </w:r>
      <w:r w:rsidRPr="002F50BD">
        <w:rPr>
          <w:rFonts w:ascii="Verdana" w:hAnsi="Verdana"/>
          <w:sz w:val="20"/>
          <w:lang w:val="pt-BR"/>
        </w:rPr>
        <w:t>presente caso</w:t>
      </w:r>
      <w:r w:rsidR="009A4073"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violou o direito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Yakye Axa </w:t>
      </w:r>
      <w:r w:rsidR="009A4073" w:rsidRPr="002F50BD">
        <w:rPr>
          <w:rFonts w:ascii="Verdana" w:hAnsi="Verdana"/>
          <w:sz w:val="20"/>
          <w:lang w:val="pt-BR"/>
        </w:rPr>
        <w:t>de</w:t>
      </w:r>
      <w:r w:rsidRPr="002F50BD">
        <w:rPr>
          <w:rFonts w:ascii="Verdana" w:hAnsi="Verdana"/>
          <w:sz w:val="20"/>
          <w:lang w:val="pt-BR"/>
        </w:rPr>
        <w:t xml:space="preserve"> ser</w:t>
      </w:r>
      <w:r w:rsidR="00B017F0" w:rsidRPr="002F50BD">
        <w:rPr>
          <w:rFonts w:ascii="Verdana" w:hAnsi="Verdana"/>
          <w:sz w:val="20"/>
          <w:lang w:val="pt-BR"/>
        </w:rPr>
        <w:t>em</w:t>
      </w:r>
      <w:r w:rsidRPr="002F50BD">
        <w:rPr>
          <w:rFonts w:ascii="Verdana" w:hAnsi="Verdana"/>
          <w:sz w:val="20"/>
          <w:lang w:val="pt-BR"/>
        </w:rPr>
        <w:t xml:space="preserve"> </w:t>
      </w:r>
      <w:r w:rsidR="0089298C" w:rsidRPr="002F50BD">
        <w:rPr>
          <w:rFonts w:ascii="Verdana" w:hAnsi="Verdana"/>
          <w:sz w:val="20"/>
          <w:lang w:val="pt-BR"/>
        </w:rPr>
        <w:t>assistid</w:t>
      </w:r>
      <w:r w:rsidRPr="002F50BD">
        <w:rPr>
          <w:rFonts w:ascii="Verdana" w:hAnsi="Verdana"/>
          <w:sz w:val="20"/>
          <w:lang w:val="pt-BR"/>
        </w:rPr>
        <w:t>os por</w:t>
      </w:r>
      <w:r w:rsidR="0089298C" w:rsidRPr="002F50BD">
        <w:rPr>
          <w:rFonts w:ascii="Verdana" w:hAnsi="Verdana"/>
          <w:sz w:val="20"/>
          <w:lang w:val="pt-BR"/>
        </w:rPr>
        <w:t xml:space="preserve"> um </w:t>
      </w:r>
      <w:r w:rsidRPr="002F50BD">
        <w:rPr>
          <w:rFonts w:ascii="Verdana" w:hAnsi="Verdana"/>
          <w:sz w:val="20"/>
          <w:lang w:val="pt-BR"/>
        </w:rPr>
        <w:t>defensor de su</w:t>
      </w:r>
      <w:r w:rsidR="00B017F0" w:rsidRPr="002F50BD">
        <w:rPr>
          <w:rFonts w:ascii="Verdana" w:hAnsi="Verdana"/>
          <w:sz w:val="20"/>
          <w:lang w:val="pt-BR"/>
        </w:rPr>
        <w:t>a escolha</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B017F0">
      <w:pPr>
        <w:numPr>
          <w:ilvl w:val="0"/>
          <w:numId w:val="28"/>
        </w:numPr>
        <w:jc w:val="both"/>
        <w:rPr>
          <w:rFonts w:ascii="Verdana" w:hAnsi="Verdana"/>
          <w:sz w:val="20"/>
          <w:lang w:val="pt-BR"/>
        </w:rPr>
      </w:pPr>
      <w:r w:rsidRPr="002F50BD">
        <w:rPr>
          <w:rFonts w:ascii="Verdana" w:hAnsi="Verdana"/>
          <w:sz w:val="20"/>
          <w:lang w:val="pt-BR"/>
        </w:rPr>
        <w:t xml:space="preserve">Em razão do </w:t>
      </w:r>
      <w:r w:rsidR="004756C1" w:rsidRPr="002F50BD">
        <w:rPr>
          <w:rFonts w:ascii="Verdana" w:hAnsi="Verdana"/>
          <w:sz w:val="20"/>
          <w:lang w:val="pt-BR"/>
        </w:rPr>
        <w:t xml:space="preserve">anteriormente </w:t>
      </w:r>
      <w:r w:rsidR="0089298C" w:rsidRPr="002F50BD">
        <w:rPr>
          <w:rFonts w:ascii="Verdana" w:hAnsi="Verdana"/>
          <w:sz w:val="20"/>
          <w:lang w:val="pt-BR"/>
        </w:rPr>
        <w:t>expost</w:t>
      </w:r>
      <w:r w:rsidR="004756C1" w:rsidRPr="002F50BD">
        <w:rPr>
          <w:rFonts w:ascii="Verdana" w:hAnsi="Verdana"/>
          <w:sz w:val="20"/>
          <w:lang w:val="pt-BR"/>
        </w:rPr>
        <w:t>o,</w:t>
      </w:r>
      <w:r w:rsidR="0089298C" w:rsidRPr="002F50BD">
        <w:rPr>
          <w:rFonts w:ascii="Verdana" w:hAnsi="Verdana"/>
          <w:sz w:val="20"/>
          <w:lang w:val="pt-BR"/>
        </w:rPr>
        <w:t xml:space="preserve"> o </w:t>
      </w:r>
      <w:r w:rsidR="004756C1" w:rsidRPr="002F50BD">
        <w:rPr>
          <w:rFonts w:ascii="Verdana" w:hAnsi="Verdana"/>
          <w:sz w:val="20"/>
          <w:lang w:val="pt-BR"/>
        </w:rPr>
        <w:t>Tribunal considera que</w:t>
      </w:r>
      <w:r w:rsidR="0089298C" w:rsidRPr="002F50BD">
        <w:rPr>
          <w:rFonts w:ascii="Verdana" w:hAnsi="Verdana"/>
          <w:sz w:val="20"/>
          <w:lang w:val="pt-BR"/>
        </w:rPr>
        <w:t xml:space="preserve"> o Paraguai</w:t>
      </w:r>
      <w:r w:rsidR="004756C1" w:rsidRPr="002F50BD">
        <w:rPr>
          <w:rFonts w:ascii="Verdana" w:hAnsi="Verdana"/>
          <w:sz w:val="20"/>
          <w:lang w:val="pt-BR"/>
        </w:rPr>
        <w:t xml:space="preserve"> des</w:t>
      </w:r>
      <w:r w:rsidR="0089298C" w:rsidRPr="002F50BD">
        <w:rPr>
          <w:rFonts w:ascii="Verdana" w:hAnsi="Verdana"/>
          <w:sz w:val="20"/>
          <w:lang w:val="pt-BR"/>
        </w:rPr>
        <w:t>conheceu os direito</w:t>
      </w:r>
      <w:r w:rsidR="004756C1" w:rsidRPr="002F50BD">
        <w:rPr>
          <w:rFonts w:ascii="Verdana" w:hAnsi="Verdana"/>
          <w:sz w:val="20"/>
          <w:lang w:val="pt-BR"/>
        </w:rPr>
        <w:t>s consagrados</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1</w:t>
      </w:r>
      <w:r w:rsidR="004756C1" w:rsidRPr="002F50BD">
        <w:rPr>
          <w:rFonts w:ascii="Verdana" w:hAnsi="Verdana"/>
          <w:sz w:val="20"/>
          <w:lang w:val="pt-BR"/>
        </w:rPr>
        <w:t xml:space="preserv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2</w:t>
      </w:r>
      <w:r w:rsidR="004756C1" w:rsidRPr="002F50BD">
        <w:rPr>
          <w:rFonts w:ascii="Verdana" w:hAnsi="Verdana"/>
          <w:sz w:val="20"/>
          <w:lang w:val="pt-BR"/>
        </w:rPr>
        <w:t xml:space="preserve">.d,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2</w:t>
      </w:r>
      <w:r w:rsidR="004756C1" w:rsidRPr="002F50BD">
        <w:rPr>
          <w:rFonts w:ascii="Verdana" w:hAnsi="Verdana"/>
          <w:sz w:val="20"/>
          <w:lang w:val="pt-BR"/>
        </w:rPr>
        <w:t xml:space="preserve">.e,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2</w:t>
      </w:r>
      <w:r w:rsidR="004756C1" w:rsidRPr="002F50BD">
        <w:rPr>
          <w:rFonts w:ascii="Verdana" w:hAnsi="Verdana"/>
          <w:sz w:val="20"/>
          <w:lang w:val="pt-BR"/>
        </w:rPr>
        <w:t>.f</w:t>
      </w:r>
      <w:r w:rsidR="0089298C" w:rsidRPr="002F50BD">
        <w:rPr>
          <w:rFonts w:ascii="Verdana" w:hAnsi="Verdana"/>
          <w:sz w:val="20"/>
          <w:lang w:val="pt-BR"/>
        </w:rPr>
        <w:t xml:space="preserve"> e </w:t>
      </w:r>
      <w:r w:rsidR="00063B47"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w:t>
      </w:r>
      <w:r w:rsidR="006603BE" w:rsidRPr="002F50BD">
        <w:rPr>
          <w:rFonts w:ascii="Verdana" w:hAnsi="Verdana"/>
          <w:sz w:val="20"/>
          <w:lang w:val="pt-BR"/>
        </w:rPr>
        <w:t>con</w:t>
      </w:r>
      <w:r w:rsidRPr="002F50BD">
        <w:rPr>
          <w:rFonts w:ascii="Verdana" w:hAnsi="Verdana"/>
          <w:sz w:val="20"/>
          <w:lang w:val="pt-BR"/>
        </w:rPr>
        <w:t>s</w:t>
      </w:r>
      <w:r w:rsidR="006603BE" w:rsidRPr="002F50BD">
        <w:rPr>
          <w:rFonts w:ascii="Verdana" w:hAnsi="Verdana"/>
          <w:sz w:val="20"/>
          <w:lang w:val="pt-BR"/>
        </w:rPr>
        <w:t>o</w:t>
      </w:r>
      <w:r w:rsidRPr="002F50BD">
        <w:rPr>
          <w:rFonts w:ascii="Verdana" w:hAnsi="Verdana"/>
          <w:sz w:val="20"/>
          <w:lang w:val="pt-BR"/>
        </w:rPr>
        <w:t xml:space="preserve">ância </w:t>
      </w:r>
      <w:r w:rsidR="0089298C" w:rsidRPr="002F50BD">
        <w:rPr>
          <w:rFonts w:ascii="Verdana" w:hAnsi="Verdana"/>
          <w:sz w:val="20"/>
          <w:lang w:val="pt-BR"/>
        </w:rPr>
        <w:t>com os artigo</w:t>
      </w:r>
      <w:r w:rsidR="004756C1" w:rsidRPr="002F50BD">
        <w:rPr>
          <w:rFonts w:ascii="Verdana" w:hAnsi="Verdana"/>
          <w:sz w:val="20"/>
          <w:lang w:val="pt-BR"/>
        </w:rPr>
        <w:t xml:space="preserve">s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e </w:t>
      </w:r>
      <w:r w:rsidR="00063B47" w:rsidRPr="002F50BD">
        <w:rPr>
          <w:rFonts w:ascii="Verdana" w:hAnsi="Verdana"/>
          <w:sz w:val="20"/>
          <w:lang w:val="pt-BR"/>
        </w:rPr>
        <w:t>2</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Pr="002F50BD">
        <w:rPr>
          <w:rFonts w:ascii="Verdana" w:hAnsi="Verdana"/>
          <w:sz w:val="20"/>
          <w:lang w:val="pt-BR"/>
        </w:rPr>
        <w:t xml:space="preserve">detrimento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p>
    <w:p w:rsidR="004756C1" w:rsidRPr="002F50BD" w:rsidRDefault="004756C1">
      <w:pPr>
        <w:ind w:left="720"/>
        <w:rPr>
          <w:rFonts w:ascii="Verdana" w:hAnsi="Verdana"/>
          <w:sz w:val="20"/>
          <w:lang w:val="pt-BR"/>
        </w:rPr>
      </w:pPr>
    </w:p>
    <w:p w:rsidR="004756C1" w:rsidRPr="002F50BD" w:rsidRDefault="004756C1">
      <w:pPr>
        <w:ind w:left="720"/>
        <w:jc w:val="center"/>
        <w:rPr>
          <w:rFonts w:ascii="Verdana" w:hAnsi="Verdana"/>
          <w:b/>
          <w:sz w:val="20"/>
          <w:lang w:val="pt-BR"/>
        </w:rPr>
      </w:pPr>
      <w:r w:rsidRPr="002F50BD">
        <w:rPr>
          <w:rFonts w:ascii="Verdana" w:hAnsi="Verdana"/>
          <w:b/>
          <w:sz w:val="20"/>
          <w:lang w:val="pt-BR"/>
        </w:rPr>
        <w:t>IX</w:t>
      </w: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Viola</w:t>
      </w:r>
      <w:r w:rsidR="0089298C" w:rsidRPr="002F50BD">
        <w:rPr>
          <w:rFonts w:ascii="Verdana" w:hAnsi="Verdana"/>
          <w:b/>
          <w:smallCaps/>
          <w:sz w:val="20"/>
          <w:lang w:val="pt-BR"/>
        </w:rPr>
        <w:t>ção</w:t>
      </w:r>
      <w:r w:rsidRPr="002F50BD">
        <w:rPr>
          <w:rFonts w:ascii="Verdana" w:hAnsi="Verdana"/>
          <w:b/>
          <w:smallCaps/>
          <w:sz w:val="20"/>
          <w:lang w:val="pt-BR"/>
        </w:rPr>
        <w:t xml:space="preserve"> </w:t>
      </w:r>
      <w:r w:rsidR="0089298C" w:rsidRPr="002F50BD">
        <w:rPr>
          <w:rFonts w:ascii="Verdana" w:hAnsi="Verdana"/>
          <w:b/>
          <w:smallCaps/>
          <w:sz w:val="20"/>
          <w:lang w:val="pt-BR"/>
        </w:rPr>
        <w:t>do artigo</w:t>
      </w:r>
      <w:r w:rsidRPr="002F50BD">
        <w:rPr>
          <w:rFonts w:ascii="Verdana" w:hAnsi="Verdana"/>
          <w:b/>
          <w:smallCaps/>
          <w:sz w:val="20"/>
          <w:lang w:val="pt-BR"/>
        </w:rPr>
        <w:t xml:space="preserve"> </w:t>
      </w:r>
      <w:r w:rsidR="00063B47" w:rsidRPr="002F50BD">
        <w:rPr>
          <w:rFonts w:ascii="Verdana" w:hAnsi="Verdana"/>
          <w:b/>
          <w:smallCaps/>
          <w:sz w:val="20"/>
          <w:lang w:val="pt-BR"/>
        </w:rPr>
        <w:t>21</w:t>
      </w:r>
      <w:r w:rsidR="0089298C" w:rsidRPr="002F50BD">
        <w:rPr>
          <w:rFonts w:ascii="Verdana" w:hAnsi="Verdana"/>
          <w:b/>
          <w:smallCaps/>
          <w:sz w:val="20"/>
          <w:lang w:val="pt-BR"/>
        </w:rPr>
        <w:t xml:space="preserve"> da </w:t>
      </w:r>
      <w:r w:rsidRPr="002F50BD">
        <w:rPr>
          <w:rFonts w:ascii="Verdana" w:hAnsi="Verdana"/>
          <w:b/>
          <w:smallCaps/>
          <w:sz w:val="20"/>
          <w:lang w:val="pt-BR"/>
        </w:rPr>
        <w:t>Conven</w:t>
      </w:r>
      <w:r w:rsidR="0089298C" w:rsidRPr="002F50BD">
        <w:rPr>
          <w:rFonts w:ascii="Verdana" w:hAnsi="Verdana"/>
          <w:b/>
          <w:smallCaps/>
          <w:sz w:val="20"/>
          <w:lang w:val="pt-BR"/>
        </w:rPr>
        <w:t>ção</w:t>
      </w:r>
      <w:r w:rsidRPr="002F50BD">
        <w:rPr>
          <w:rFonts w:ascii="Verdana" w:hAnsi="Verdana"/>
          <w:b/>
          <w:smallCaps/>
          <w:sz w:val="20"/>
          <w:lang w:val="pt-BR"/>
        </w:rPr>
        <w:t xml:space="preserve"> Americana</w:t>
      </w:r>
    </w:p>
    <w:p w:rsidR="004756C1" w:rsidRPr="002F50BD" w:rsidRDefault="00CF451D">
      <w:pPr>
        <w:jc w:val="center"/>
        <w:rPr>
          <w:rFonts w:ascii="Verdana" w:hAnsi="Verdana"/>
          <w:b/>
          <w:smallCaps/>
          <w:sz w:val="20"/>
          <w:lang w:val="pt-BR"/>
        </w:rPr>
      </w:pPr>
      <w:r w:rsidRPr="00CF451D">
        <w:rPr>
          <w:rFonts w:ascii="Verdana" w:hAnsi="Verdana"/>
          <w:b/>
          <w:smallCaps/>
          <w:sz w:val="20"/>
          <w:lang w:val="pt-BR"/>
        </w:rPr>
        <w:t>(</w:t>
      </w:r>
      <w:r w:rsidR="0089298C" w:rsidRPr="002F50BD">
        <w:rPr>
          <w:rFonts w:ascii="Verdana" w:hAnsi="Verdana"/>
          <w:b/>
          <w:smallCaps/>
          <w:sz w:val="20"/>
          <w:lang w:val="pt-BR"/>
        </w:rPr>
        <w:t>Direito à Propriedade</w:t>
      </w:r>
      <w:r w:rsidR="004756C1" w:rsidRPr="002F50BD">
        <w:rPr>
          <w:rFonts w:ascii="Verdana" w:hAnsi="Verdana"/>
          <w:b/>
          <w:smallCaps/>
          <w:sz w:val="20"/>
          <w:lang w:val="pt-BR"/>
        </w:rPr>
        <w:t xml:space="preserve"> Privada</w:t>
      </w:r>
      <w:r w:rsidRPr="00CF451D">
        <w:rPr>
          <w:rFonts w:ascii="Verdana" w:hAnsi="Verdana"/>
          <w:b/>
          <w:smallCaps/>
          <w:sz w:val="20"/>
          <w:lang w:val="pt-BR"/>
        </w:rPr>
        <w:t>)</w:t>
      </w:r>
    </w:p>
    <w:p w:rsidR="004756C1" w:rsidRPr="002F50BD" w:rsidRDefault="00B017F0">
      <w:pPr>
        <w:jc w:val="center"/>
        <w:rPr>
          <w:rFonts w:ascii="Verdana" w:hAnsi="Verdana"/>
          <w:b/>
          <w:smallCaps/>
          <w:sz w:val="20"/>
          <w:lang w:val="pt-BR"/>
        </w:rPr>
      </w:pPr>
      <w:r w:rsidRPr="002F50BD">
        <w:rPr>
          <w:rFonts w:ascii="Verdana" w:hAnsi="Verdana"/>
          <w:b/>
          <w:smallCaps/>
          <w:sz w:val="20"/>
          <w:lang w:val="pt-BR"/>
        </w:rPr>
        <w:t>em</w:t>
      </w:r>
      <w:r w:rsidR="004756C1" w:rsidRPr="002F50BD">
        <w:rPr>
          <w:rFonts w:ascii="Verdana" w:hAnsi="Verdana"/>
          <w:b/>
          <w:smallCaps/>
          <w:sz w:val="20"/>
          <w:lang w:val="pt-BR"/>
        </w:rPr>
        <w:t xml:space="preserve"> rela</w:t>
      </w:r>
      <w:r w:rsidR="006603BE" w:rsidRPr="002F50BD">
        <w:rPr>
          <w:rFonts w:ascii="Verdana" w:hAnsi="Verdana"/>
          <w:b/>
          <w:smallCaps/>
          <w:sz w:val="20"/>
          <w:lang w:val="pt-BR"/>
        </w:rPr>
        <w:t>ção a</w:t>
      </w:r>
      <w:r w:rsidR="0089298C" w:rsidRPr="002F50BD">
        <w:rPr>
          <w:rFonts w:ascii="Verdana" w:hAnsi="Verdana"/>
          <w:b/>
          <w:smallCaps/>
          <w:sz w:val="20"/>
          <w:lang w:val="pt-BR"/>
        </w:rPr>
        <w:t>os artigo</w:t>
      </w:r>
      <w:r w:rsidR="004756C1" w:rsidRPr="002F50BD">
        <w:rPr>
          <w:rFonts w:ascii="Verdana" w:hAnsi="Verdana"/>
          <w:b/>
          <w:smallCaps/>
          <w:sz w:val="20"/>
          <w:lang w:val="pt-BR"/>
        </w:rPr>
        <w:t xml:space="preserve">s </w:t>
      </w:r>
      <w:r w:rsidR="00063B47" w:rsidRPr="002F50BD">
        <w:rPr>
          <w:rFonts w:ascii="Verdana" w:hAnsi="Verdana"/>
          <w:b/>
          <w:smallCaps/>
          <w:sz w:val="20"/>
          <w:lang w:val="pt-BR"/>
        </w:rPr>
        <w:t>1</w:t>
      </w:r>
      <w:r w:rsidR="004756C1" w:rsidRPr="002F50BD">
        <w:rPr>
          <w:rFonts w:ascii="Verdana" w:hAnsi="Verdana"/>
          <w:b/>
          <w:smallCaps/>
          <w:sz w:val="20"/>
          <w:lang w:val="pt-BR"/>
        </w:rPr>
        <w:t>.</w:t>
      </w:r>
      <w:r w:rsidR="00063B47" w:rsidRPr="002F50BD">
        <w:rPr>
          <w:rFonts w:ascii="Verdana" w:hAnsi="Verdana"/>
          <w:b/>
          <w:smallCaps/>
          <w:sz w:val="20"/>
          <w:lang w:val="pt-BR"/>
        </w:rPr>
        <w:t>1</w:t>
      </w:r>
      <w:r w:rsidR="0089298C" w:rsidRPr="002F50BD">
        <w:rPr>
          <w:rFonts w:ascii="Verdana" w:hAnsi="Verdana"/>
          <w:b/>
          <w:smallCaps/>
          <w:sz w:val="20"/>
          <w:lang w:val="pt-BR"/>
        </w:rPr>
        <w:t xml:space="preserve"> e </w:t>
      </w:r>
      <w:r w:rsidR="00063B47" w:rsidRPr="002F50BD">
        <w:rPr>
          <w:rFonts w:ascii="Verdana" w:hAnsi="Verdana"/>
          <w:b/>
          <w:smallCaps/>
          <w:sz w:val="20"/>
          <w:lang w:val="pt-BR"/>
        </w:rPr>
        <w:t>2</w:t>
      </w:r>
      <w:r w:rsidR="0089298C" w:rsidRPr="002F50BD">
        <w:rPr>
          <w:rFonts w:ascii="Verdana" w:hAnsi="Verdana"/>
          <w:b/>
          <w:smallCaps/>
          <w:sz w:val="20"/>
          <w:lang w:val="pt-BR"/>
        </w:rPr>
        <w:t xml:space="preserve"> da mesm</w:t>
      </w:r>
      <w:r w:rsidR="004756C1" w:rsidRPr="002F50BD">
        <w:rPr>
          <w:rFonts w:ascii="Verdana" w:hAnsi="Verdana"/>
          <w:b/>
          <w:smallCaps/>
          <w:sz w:val="20"/>
          <w:lang w:val="pt-BR"/>
        </w:rPr>
        <w:t>a</w:t>
      </w:r>
    </w:p>
    <w:p w:rsidR="004756C1" w:rsidRPr="002F50BD" w:rsidRDefault="004756C1">
      <w:pPr>
        <w:jc w:val="both"/>
        <w:rPr>
          <w:rFonts w:ascii="Verdana" w:hAnsi="Verdana"/>
          <w:i/>
          <w:sz w:val="20"/>
          <w:lang w:val="pt-BR"/>
        </w:rPr>
      </w:pPr>
    </w:p>
    <w:p w:rsidR="004756C1" w:rsidRPr="002F50BD" w:rsidRDefault="0089298C">
      <w:pPr>
        <w:jc w:val="both"/>
        <w:rPr>
          <w:rFonts w:ascii="Verdana" w:hAnsi="Verdana"/>
          <w:i/>
          <w:sz w:val="20"/>
          <w:lang w:val="pt-BR"/>
        </w:rPr>
      </w:pPr>
      <w:r w:rsidRPr="002F50BD">
        <w:rPr>
          <w:rFonts w:ascii="Verdana" w:hAnsi="Verdana"/>
          <w:i/>
          <w:sz w:val="20"/>
          <w:lang w:val="pt-BR"/>
        </w:rPr>
        <w:t>Alegações da Comissão</w:t>
      </w:r>
    </w:p>
    <w:p w:rsidR="004756C1" w:rsidRPr="002F50BD" w:rsidRDefault="004756C1">
      <w:pPr>
        <w:jc w:val="both"/>
        <w:rPr>
          <w:rFonts w:ascii="Verdana" w:hAnsi="Verdana"/>
          <w:i/>
          <w:sz w:val="20"/>
          <w:lang w:val="pt-BR"/>
        </w:rPr>
      </w:pPr>
    </w:p>
    <w:p w:rsidR="004756C1" w:rsidRPr="002F50BD" w:rsidRDefault="00B017F0">
      <w:pPr>
        <w:numPr>
          <w:ilvl w:val="0"/>
          <w:numId w:val="28"/>
        </w:numPr>
        <w:tabs>
          <w:tab w:val="left" w:pos="360"/>
        </w:tabs>
        <w:jc w:val="both"/>
        <w:rPr>
          <w:rFonts w:ascii="Verdana" w:hAnsi="Verdana"/>
          <w:sz w:val="20"/>
          <w:lang w:val="pt-BR"/>
        </w:rPr>
      </w:pPr>
      <w:r w:rsidRPr="002F50BD">
        <w:rPr>
          <w:rFonts w:ascii="Verdana" w:hAnsi="Verdana"/>
          <w:sz w:val="20"/>
          <w:lang w:val="pt-BR"/>
        </w:rPr>
        <w:t>Q</w:t>
      </w:r>
      <w:r w:rsidR="0089298C" w:rsidRPr="002F50BD">
        <w:rPr>
          <w:rFonts w:ascii="Verdana" w:hAnsi="Verdana"/>
          <w:sz w:val="20"/>
          <w:lang w:val="pt-BR"/>
        </w:rPr>
        <w:t>uanto ao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w:t>
      </w:r>
    </w:p>
    <w:p w:rsidR="00B017F0" w:rsidRPr="002F50BD" w:rsidRDefault="00B017F0" w:rsidP="00B017F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sz w:val="20"/>
          <w:lang w:val="pt-BR"/>
        </w:rPr>
        <w:t>O direito</w:t>
      </w:r>
      <w:r w:rsidR="004756C1" w:rsidRPr="002F50BD">
        <w:rPr>
          <w:rFonts w:ascii="Verdana" w:hAnsi="Verdana"/>
          <w:sz w:val="20"/>
          <w:lang w:val="pt-BR"/>
        </w:rPr>
        <w:t xml:space="preserve"> de </w:t>
      </w:r>
      <w:r w:rsidRPr="002F50BD">
        <w:rPr>
          <w:rFonts w:ascii="Verdana" w:hAnsi="Verdana"/>
          <w:sz w:val="20"/>
          <w:lang w:val="pt-BR"/>
        </w:rPr>
        <w:t>propriedade</w:t>
      </w:r>
      <w:r w:rsidR="004756C1" w:rsidRPr="002F50BD">
        <w:rPr>
          <w:rFonts w:ascii="Verdana" w:hAnsi="Verdana"/>
          <w:sz w:val="20"/>
          <w:lang w:val="pt-BR"/>
        </w:rPr>
        <w:t xml:space="preserve"> consagrado</w:t>
      </w:r>
      <w:r w:rsidRPr="002F50BD">
        <w:rPr>
          <w:rFonts w:ascii="Verdana" w:hAnsi="Verdana"/>
          <w:sz w:val="20"/>
          <w:lang w:val="pt-BR"/>
        </w:rPr>
        <w:t xml:space="preserve"> na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w:t>
      </w:r>
      <w:r w:rsidR="00AB454A" w:rsidRPr="002F50BD">
        <w:rPr>
          <w:rFonts w:ascii="Verdana" w:hAnsi="Verdana"/>
          <w:sz w:val="20"/>
          <w:lang w:val="pt-BR"/>
        </w:rPr>
        <w:t>não pode</w:t>
      </w:r>
      <w:r w:rsidR="004756C1" w:rsidRPr="002F50BD">
        <w:rPr>
          <w:rFonts w:ascii="Verdana" w:hAnsi="Verdana"/>
          <w:sz w:val="20"/>
          <w:lang w:val="pt-BR"/>
        </w:rPr>
        <w:t xml:space="preserve"> </w:t>
      </w:r>
      <w:r w:rsidR="006603BE" w:rsidRPr="002F50BD">
        <w:rPr>
          <w:rFonts w:ascii="Verdana" w:hAnsi="Verdana"/>
          <w:sz w:val="20"/>
          <w:lang w:val="pt-BR"/>
        </w:rPr>
        <w:t xml:space="preserve">ser </w:t>
      </w:r>
      <w:r w:rsidR="004756C1" w:rsidRPr="002F50BD">
        <w:rPr>
          <w:rFonts w:ascii="Verdana" w:hAnsi="Verdana"/>
          <w:sz w:val="20"/>
          <w:lang w:val="pt-BR"/>
        </w:rPr>
        <w:t>interpreta</w:t>
      </w:r>
      <w:r w:rsidR="006603BE" w:rsidRPr="002F50BD">
        <w:rPr>
          <w:rFonts w:ascii="Verdana" w:hAnsi="Verdana"/>
          <w:sz w:val="20"/>
          <w:lang w:val="pt-BR"/>
        </w:rPr>
        <w:t xml:space="preserve">do </w:t>
      </w:r>
      <w:r w:rsidRPr="002F50BD">
        <w:rPr>
          <w:rFonts w:ascii="Verdana" w:hAnsi="Verdana"/>
          <w:sz w:val="20"/>
          <w:lang w:val="pt-BR"/>
        </w:rPr>
        <w:t>isoladamente</w:t>
      </w:r>
      <w:r w:rsidR="004756C1" w:rsidRPr="002F50BD">
        <w:rPr>
          <w:rFonts w:ascii="Verdana" w:hAnsi="Verdana"/>
          <w:sz w:val="20"/>
          <w:lang w:val="pt-BR"/>
        </w:rPr>
        <w:t>,</w:t>
      </w:r>
      <w:r w:rsidRPr="002F50BD">
        <w:rPr>
          <w:rFonts w:ascii="Verdana" w:hAnsi="Verdana"/>
          <w:sz w:val="20"/>
          <w:lang w:val="pt-BR"/>
        </w:rPr>
        <w:t xml:space="preserve"> mas deve </w:t>
      </w:r>
      <w:r w:rsidR="00562C0D" w:rsidRPr="002F50BD">
        <w:rPr>
          <w:rFonts w:ascii="Verdana" w:hAnsi="Verdana"/>
          <w:sz w:val="20"/>
          <w:lang w:val="pt-BR"/>
        </w:rPr>
        <w:t>ser feito</w:t>
      </w:r>
      <w:r w:rsidR="0078412B" w:rsidRPr="002F50BD">
        <w:rPr>
          <w:rFonts w:ascii="Verdana" w:hAnsi="Verdana"/>
          <w:sz w:val="20"/>
          <w:lang w:val="pt-BR"/>
        </w:rPr>
        <w:t xml:space="preserve"> </w:t>
      </w:r>
      <w:r w:rsidR="006603BE" w:rsidRPr="002F50BD">
        <w:rPr>
          <w:rFonts w:ascii="Verdana" w:hAnsi="Verdana"/>
          <w:sz w:val="20"/>
          <w:lang w:val="pt-BR"/>
        </w:rPr>
        <w:t>levando</w:t>
      </w:r>
      <w:r w:rsidRPr="002F50BD">
        <w:rPr>
          <w:rFonts w:ascii="Verdana" w:hAnsi="Verdana"/>
          <w:sz w:val="20"/>
          <w:lang w:val="pt-BR"/>
        </w:rPr>
        <w:t xml:space="preserve"> em conta o </w:t>
      </w:r>
      <w:r w:rsidR="004756C1" w:rsidRPr="002F50BD">
        <w:rPr>
          <w:rFonts w:ascii="Verdana" w:hAnsi="Verdana"/>
          <w:sz w:val="20"/>
          <w:lang w:val="pt-BR"/>
        </w:rPr>
        <w:t xml:space="preserve">conjunto </w:t>
      </w:r>
      <w:r w:rsidRPr="002F50BD">
        <w:rPr>
          <w:rFonts w:ascii="Verdana" w:hAnsi="Verdana"/>
          <w:sz w:val="20"/>
          <w:lang w:val="pt-BR"/>
        </w:rPr>
        <w:t xml:space="preserve">do </w:t>
      </w:r>
      <w:r w:rsidR="004756C1" w:rsidRPr="002F50BD">
        <w:rPr>
          <w:rFonts w:ascii="Verdana" w:hAnsi="Verdana"/>
          <w:sz w:val="20"/>
          <w:lang w:val="pt-BR"/>
        </w:rPr>
        <w:t>sistema jurídico</w:t>
      </w:r>
      <w:r w:rsidRPr="002F50BD">
        <w:rPr>
          <w:rFonts w:ascii="Verdana" w:hAnsi="Verdana"/>
          <w:sz w:val="20"/>
          <w:lang w:val="pt-BR"/>
        </w:rPr>
        <w:t xml:space="preserve"> no </w:t>
      </w:r>
      <w:r w:rsidR="004756C1" w:rsidRPr="002F50BD">
        <w:rPr>
          <w:rFonts w:ascii="Verdana" w:hAnsi="Verdana"/>
          <w:sz w:val="20"/>
          <w:lang w:val="pt-BR"/>
        </w:rPr>
        <w:t>qu</w:t>
      </w:r>
      <w:r w:rsidR="0078412B" w:rsidRPr="002F50BD">
        <w:rPr>
          <w:rFonts w:ascii="Verdana" w:hAnsi="Verdana"/>
          <w:sz w:val="20"/>
          <w:lang w:val="pt-BR"/>
        </w:rPr>
        <w:t>al</w:t>
      </w:r>
      <w:r w:rsidR="004756C1" w:rsidRPr="002F50BD">
        <w:rPr>
          <w:rFonts w:ascii="Verdana" w:hAnsi="Verdana"/>
          <w:sz w:val="20"/>
          <w:lang w:val="pt-BR"/>
        </w:rPr>
        <w:t xml:space="preserve"> opera, considerando tanto</w:t>
      </w:r>
      <w:r w:rsidRPr="002F50BD">
        <w:rPr>
          <w:rFonts w:ascii="Verdana" w:hAnsi="Verdana"/>
          <w:sz w:val="20"/>
          <w:lang w:val="pt-BR"/>
        </w:rPr>
        <w:t xml:space="preserve"> o direito</w:t>
      </w:r>
      <w:r w:rsidR="004756C1" w:rsidRPr="002F50BD">
        <w:rPr>
          <w:rFonts w:ascii="Verdana" w:hAnsi="Verdana"/>
          <w:sz w:val="20"/>
          <w:lang w:val="pt-BR"/>
        </w:rPr>
        <w:t xml:space="preserve"> nacional como</w:t>
      </w:r>
      <w:r w:rsidRPr="002F50BD">
        <w:rPr>
          <w:rFonts w:ascii="Verdana" w:hAnsi="Verdana"/>
          <w:sz w:val="20"/>
          <w:lang w:val="pt-BR"/>
        </w:rPr>
        <w:t xml:space="preserve"> o </w:t>
      </w:r>
      <w:r w:rsidR="004756C1" w:rsidRPr="002F50BD">
        <w:rPr>
          <w:rFonts w:ascii="Verdana" w:hAnsi="Verdana"/>
          <w:sz w:val="20"/>
          <w:lang w:val="pt-BR"/>
        </w:rPr>
        <w:t>internacional,</w:t>
      </w:r>
      <w:r w:rsidRPr="002F50BD">
        <w:rPr>
          <w:rFonts w:ascii="Verdana" w:hAnsi="Verdana"/>
          <w:sz w:val="20"/>
          <w:lang w:val="pt-BR"/>
        </w:rPr>
        <w:t xml:space="preserve"> em virtude do artigo</w:t>
      </w:r>
      <w:r w:rsidR="004756C1" w:rsidRPr="002F50BD">
        <w:rPr>
          <w:rFonts w:ascii="Verdana" w:hAnsi="Verdana"/>
          <w:sz w:val="20"/>
          <w:lang w:val="pt-BR"/>
        </w:rPr>
        <w:t xml:space="preserve"> </w:t>
      </w:r>
      <w:r w:rsidR="00063B47" w:rsidRPr="002F50BD">
        <w:rPr>
          <w:rFonts w:ascii="Verdana" w:hAnsi="Verdana"/>
          <w:sz w:val="20"/>
          <w:lang w:val="pt-BR"/>
        </w:rPr>
        <w:t>29</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076AD" w:rsidRPr="002F50BD">
        <w:rPr>
          <w:rFonts w:ascii="Verdana" w:hAnsi="Verdana"/>
          <w:sz w:val="20"/>
          <w:lang w:val="pt-BR"/>
        </w:rPr>
        <w:t>. A este respeito</w:t>
      </w:r>
      <w:r w:rsidRPr="002F50BD">
        <w:rPr>
          <w:rFonts w:ascii="Verdana" w:hAnsi="Verdana"/>
          <w:sz w:val="20"/>
          <w:lang w:val="pt-BR"/>
        </w:rPr>
        <w:t xml:space="preserve">, e em uma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que </w:t>
      </w:r>
      <w:r w:rsidRPr="002F50BD">
        <w:rPr>
          <w:rFonts w:ascii="Verdana" w:hAnsi="Verdana"/>
          <w:sz w:val="20"/>
          <w:lang w:val="pt-BR"/>
        </w:rPr>
        <w:t>também</w:t>
      </w:r>
      <w:r w:rsidR="004756C1" w:rsidRPr="002F50BD">
        <w:rPr>
          <w:rFonts w:ascii="Verdana" w:hAnsi="Verdana"/>
          <w:sz w:val="20"/>
          <w:lang w:val="pt-BR"/>
        </w:rPr>
        <w:t xml:space="preserve"> </w:t>
      </w:r>
      <w:r w:rsidRPr="002F50BD">
        <w:rPr>
          <w:rFonts w:ascii="Verdana" w:hAnsi="Verdana"/>
          <w:sz w:val="20"/>
          <w:lang w:val="pt-BR"/>
        </w:rPr>
        <w:t>envolv</w:t>
      </w:r>
      <w:r w:rsidR="0078412B" w:rsidRPr="002F50BD">
        <w:rPr>
          <w:rFonts w:ascii="Verdana" w:hAnsi="Verdana"/>
          <w:sz w:val="20"/>
          <w:lang w:val="pt-BR"/>
        </w:rPr>
        <w:t>ia</w:t>
      </w:r>
      <w:r w:rsidR="004756C1" w:rsidRPr="002F50BD">
        <w:rPr>
          <w:rFonts w:ascii="Verdana" w:hAnsi="Verdana"/>
          <w:sz w:val="20"/>
          <w:lang w:val="pt-BR"/>
        </w:rPr>
        <w:t xml:space="preserve"> reclama</w:t>
      </w:r>
      <w:r w:rsidRPr="002F50BD">
        <w:rPr>
          <w:rFonts w:ascii="Verdana" w:hAnsi="Verdana"/>
          <w:sz w:val="20"/>
          <w:lang w:val="pt-BR"/>
        </w:rPr>
        <w:t>ções</w:t>
      </w:r>
      <w:r w:rsidR="004756C1" w:rsidRPr="002F50BD">
        <w:rPr>
          <w:rFonts w:ascii="Verdana" w:hAnsi="Verdana"/>
          <w:sz w:val="20"/>
          <w:lang w:val="pt-BR"/>
        </w:rPr>
        <w:t xml:space="preserve"> sobre </w:t>
      </w:r>
      <w:r w:rsidRPr="002F50BD">
        <w:rPr>
          <w:rFonts w:ascii="Verdana" w:hAnsi="Verdana"/>
          <w:sz w:val="20"/>
          <w:lang w:val="pt-BR"/>
        </w:rPr>
        <w:t>terra</w:t>
      </w:r>
      <w:r w:rsidR="004756C1" w:rsidRPr="002F50BD">
        <w:rPr>
          <w:rFonts w:ascii="Verdana" w:hAnsi="Verdana"/>
          <w:sz w:val="20"/>
          <w:lang w:val="pt-BR"/>
        </w:rPr>
        <w:t xml:space="preserve">s </w:t>
      </w:r>
      <w:r w:rsidR="00AB454A" w:rsidRPr="002F50BD">
        <w:rPr>
          <w:rFonts w:ascii="Verdana" w:hAnsi="Verdana"/>
          <w:sz w:val="20"/>
          <w:lang w:val="pt-BR"/>
        </w:rPr>
        <w:t>ancestrais</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xml:space="preserve"> a </w:t>
      </w:r>
      <w:r w:rsidR="004756C1" w:rsidRPr="002F50BD">
        <w:rPr>
          <w:rFonts w:ascii="Verdana" w:hAnsi="Verdana"/>
          <w:sz w:val="20"/>
          <w:lang w:val="pt-BR"/>
        </w:rPr>
        <w:t xml:space="preserve">Corte Interamericana, </w:t>
      </w:r>
      <w:r w:rsidR="0078412B" w:rsidRPr="002F50BD">
        <w:rPr>
          <w:rFonts w:ascii="Verdana" w:hAnsi="Verdana"/>
          <w:sz w:val="20"/>
          <w:lang w:val="pt-BR"/>
        </w:rPr>
        <w:t xml:space="preserve">através de </w:t>
      </w:r>
      <w:r w:rsidRPr="002F50BD">
        <w:rPr>
          <w:rFonts w:ascii="Verdana" w:hAnsi="Verdana"/>
          <w:sz w:val="20"/>
          <w:lang w:val="pt-BR"/>
        </w:rPr>
        <w:t xml:space="preserve">uma </w:t>
      </w:r>
      <w:r w:rsidR="004756C1" w:rsidRPr="002F50BD">
        <w:rPr>
          <w:rFonts w:ascii="Verdana" w:hAnsi="Verdana"/>
          <w:sz w:val="20"/>
          <w:lang w:val="pt-BR"/>
        </w:rPr>
        <w:t>interpreta</w:t>
      </w:r>
      <w:r w:rsidRPr="002F50BD">
        <w:rPr>
          <w:rFonts w:ascii="Verdana" w:hAnsi="Verdana"/>
          <w:sz w:val="20"/>
          <w:lang w:val="pt-BR"/>
        </w:rPr>
        <w:t>ção</w:t>
      </w:r>
      <w:r w:rsidR="004756C1" w:rsidRPr="002F50BD">
        <w:rPr>
          <w:rFonts w:ascii="Verdana" w:hAnsi="Verdana"/>
          <w:sz w:val="20"/>
          <w:lang w:val="pt-BR"/>
        </w:rPr>
        <w:t xml:space="preserve"> evolutiva </w:t>
      </w:r>
      <w:r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21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considerou</w:t>
      </w:r>
      <w:r w:rsidR="004756C1" w:rsidRPr="002F50BD">
        <w:rPr>
          <w:rFonts w:ascii="Verdana" w:hAnsi="Verdana"/>
          <w:sz w:val="20"/>
          <w:lang w:val="pt-BR"/>
        </w:rPr>
        <w:t xml:space="preserve"> que </w:t>
      </w:r>
      <w:r w:rsidRPr="002F50BD">
        <w:rPr>
          <w:rFonts w:ascii="Verdana" w:hAnsi="Verdana"/>
          <w:sz w:val="20"/>
          <w:lang w:val="pt-BR"/>
        </w:rPr>
        <w:t>este</w:t>
      </w:r>
      <w:r w:rsidR="004756C1" w:rsidRPr="002F50BD">
        <w:rPr>
          <w:rFonts w:ascii="Verdana" w:hAnsi="Verdana"/>
          <w:sz w:val="20"/>
          <w:lang w:val="pt-BR"/>
        </w:rPr>
        <w:t xml:space="preserve"> </w:t>
      </w:r>
      <w:r w:rsidRPr="002F50BD">
        <w:rPr>
          <w:rFonts w:ascii="Verdana" w:hAnsi="Verdana"/>
          <w:sz w:val="20"/>
          <w:lang w:val="pt-BR"/>
        </w:rPr>
        <w:t>artigo</w:t>
      </w:r>
      <w:r w:rsidR="004756C1" w:rsidRPr="002F50BD">
        <w:rPr>
          <w:rFonts w:ascii="Verdana" w:hAnsi="Verdana"/>
          <w:sz w:val="20"/>
          <w:lang w:val="pt-BR"/>
        </w:rPr>
        <w:t xml:space="preserve"> protege</w:t>
      </w:r>
      <w:r w:rsidRPr="002F50BD">
        <w:rPr>
          <w:rFonts w:ascii="Verdana" w:hAnsi="Verdana"/>
          <w:sz w:val="20"/>
          <w:lang w:val="pt-BR"/>
        </w:rPr>
        <w:t xml:space="preserve"> os direito</w:t>
      </w:r>
      <w:r w:rsidR="004756C1" w:rsidRPr="002F50BD">
        <w:rPr>
          <w:rFonts w:ascii="Verdana" w:hAnsi="Verdana"/>
          <w:sz w:val="20"/>
          <w:lang w:val="pt-BR"/>
        </w:rPr>
        <w:t>s</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comunidades indígenas</w:t>
      </w:r>
      <w:r w:rsidRPr="002F50BD">
        <w:rPr>
          <w:rFonts w:ascii="Verdana" w:hAnsi="Verdana"/>
          <w:sz w:val="20"/>
          <w:lang w:val="pt-BR"/>
        </w:rPr>
        <w:t xml:space="preserve"> no </w:t>
      </w:r>
      <w:r w:rsidR="0078412B" w:rsidRPr="002F50BD">
        <w:rPr>
          <w:rFonts w:ascii="Verdana" w:hAnsi="Verdana"/>
          <w:sz w:val="20"/>
          <w:lang w:val="pt-BR"/>
        </w:rPr>
        <w:t xml:space="preserve">âmbito </w:t>
      </w:r>
      <w:r w:rsidRPr="002F50BD">
        <w:rPr>
          <w:rFonts w:ascii="Verdana" w:hAnsi="Verdana"/>
          <w:sz w:val="20"/>
          <w:lang w:val="pt-BR"/>
        </w:rPr>
        <w:t>da propriedade</w:t>
      </w:r>
      <w:r w:rsidR="004756C1" w:rsidRPr="002F50BD">
        <w:rPr>
          <w:rFonts w:ascii="Verdana" w:hAnsi="Verdana"/>
          <w:sz w:val="20"/>
          <w:lang w:val="pt-BR"/>
        </w:rPr>
        <w:t xml:space="preserve"> comunal; </w:t>
      </w:r>
    </w:p>
    <w:p w:rsidR="004756C1" w:rsidRPr="002F50BD" w:rsidRDefault="004756C1">
      <w:pPr>
        <w:tabs>
          <w:tab w:val="left" w:pos="1080"/>
        </w:tabs>
        <w:ind w:left="720"/>
        <w:jc w:val="both"/>
        <w:rPr>
          <w:rFonts w:ascii="Verdana" w:hAnsi="Verdana" w:cs="Arial"/>
          <w:sz w:val="20"/>
          <w:szCs w:val="22"/>
          <w:lang w:val="pt-BR"/>
        </w:rPr>
      </w:pPr>
    </w:p>
    <w:p w:rsidR="004756C1" w:rsidRPr="002F50BD" w:rsidRDefault="0078412B">
      <w:pPr>
        <w:numPr>
          <w:ilvl w:val="0"/>
          <w:numId w:val="9"/>
        </w:numPr>
        <w:tabs>
          <w:tab w:val="left" w:pos="1080"/>
        </w:tabs>
        <w:ind w:left="720"/>
        <w:jc w:val="both"/>
        <w:rPr>
          <w:rFonts w:ascii="Verdana" w:hAnsi="Verdana" w:cs="Arial"/>
          <w:sz w:val="20"/>
          <w:szCs w:val="22"/>
          <w:lang w:val="pt-BR"/>
        </w:rPr>
      </w:pPr>
      <w:r w:rsidRPr="002F50BD">
        <w:rPr>
          <w:rFonts w:ascii="Verdana" w:hAnsi="Verdana" w:cs="Arial"/>
          <w:sz w:val="20"/>
          <w:szCs w:val="22"/>
          <w:lang w:val="pt-BR"/>
        </w:rPr>
        <w:t xml:space="preserve">Ainda que </w:t>
      </w:r>
      <w:r w:rsidR="0089298C" w:rsidRPr="002F50BD">
        <w:rPr>
          <w:rFonts w:ascii="Verdana" w:hAnsi="Verdana" w:cs="Arial"/>
          <w:sz w:val="20"/>
          <w:szCs w:val="22"/>
          <w:lang w:val="pt-BR"/>
        </w:rPr>
        <w:t xml:space="preserve">a </w:t>
      </w:r>
      <w:r w:rsidR="004756C1" w:rsidRPr="002F50BD">
        <w:rPr>
          <w:rFonts w:ascii="Verdana" w:hAnsi="Verdana" w:cs="Arial"/>
          <w:sz w:val="20"/>
          <w:szCs w:val="22"/>
          <w:lang w:val="pt-BR"/>
        </w:rPr>
        <w:t>legisla</w:t>
      </w:r>
      <w:r w:rsidR="0089298C" w:rsidRPr="002F50BD">
        <w:rPr>
          <w:rFonts w:ascii="Verdana" w:hAnsi="Verdana" w:cs="Arial"/>
          <w:sz w:val="20"/>
          <w:szCs w:val="22"/>
          <w:lang w:val="pt-BR"/>
        </w:rPr>
        <w:t>ção</w:t>
      </w:r>
      <w:r w:rsidR="004756C1" w:rsidRPr="002F50BD">
        <w:rPr>
          <w:rFonts w:ascii="Verdana" w:hAnsi="Verdana" w:cs="Arial"/>
          <w:sz w:val="20"/>
          <w:szCs w:val="22"/>
          <w:lang w:val="pt-BR"/>
        </w:rPr>
        <w:t xml:space="preserve"> vigente</w:t>
      </w:r>
      <w:r w:rsidR="0089298C" w:rsidRPr="002F50BD">
        <w:rPr>
          <w:rFonts w:ascii="Verdana" w:hAnsi="Verdana" w:cs="Arial"/>
          <w:sz w:val="20"/>
          <w:szCs w:val="22"/>
          <w:lang w:val="pt-BR"/>
        </w:rPr>
        <w:t xml:space="preserve"> no Paraguai</w:t>
      </w:r>
      <w:r w:rsidR="004756C1" w:rsidRPr="002F50BD">
        <w:rPr>
          <w:rFonts w:ascii="Verdana" w:hAnsi="Verdana" w:cs="Arial"/>
          <w:sz w:val="20"/>
          <w:szCs w:val="22"/>
          <w:lang w:val="pt-BR"/>
        </w:rPr>
        <w:t xml:space="preserve"> </w:t>
      </w:r>
      <w:r w:rsidRPr="002F50BD">
        <w:rPr>
          <w:rFonts w:ascii="Verdana" w:hAnsi="Verdana" w:cs="Arial"/>
          <w:sz w:val="20"/>
          <w:szCs w:val="22"/>
          <w:lang w:val="pt-BR"/>
        </w:rPr>
        <w:t>a</w:t>
      </w:r>
      <w:r w:rsidR="004756C1" w:rsidRPr="002F50BD">
        <w:rPr>
          <w:rFonts w:ascii="Verdana" w:hAnsi="Verdana"/>
          <w:sz w:val="20"/>
          <w:lang w:val="pt-BR"/>
        </w:rPr>
        <w:t>present</w:t>
      </w:r>
      <w:r w:rsidRPr="002F50BD">
        <w:rPr>
          <w:rFonts w:ascii="Verdana" w:hAnsi="Verdana"/>
          <w:sz w:val="20"/>
          <w:lang w:val="pt-BR"/>
        </w:rPr>
        <w:t>e</w:t>
      </w:r>
      <w:r w:rsidR="0089298C" w:rsidRPr="002F50BD">
        <w:rPr>
          <w:rFonts w:ascii="Verdana" w:hAnsi="Verdana"/>
          <w:sz w:val="20"/>
          <w:lang w:val="pt-BR"/>
        </w:rPr>
        <w:t xml:space="preserve"> um </w:t>
      </w:r>
      <w:r w:rsidR="004756C1" w:rsidRPr="002F50BD">
        <w:rPr>
          <w:rFonts w:ascii="Verdana" w:hAnsi="Verdana"/>
          <w:sz w:val="20"/>
          <w:lang w:val="pt-BR"/>
        </w:rPr>
        <w:t xml:space="preserve">marco jurídico </w:t>
      </w:r>
      <w:r w:rsidR="0089298C" w:rsidRPr="002F50BD">
        <w:rPr>
          <w:rFonts w:ascii="Verdana" w:hAnsi="Verdana"/>
          <w:sz w:val="20"/>
          <w:lang w:val="pt-BR"/>
        </w:rPr>
        <w:t xml:space="preserve">favorável </w:t>
      </w:r>
      <w:r w:rsidR="004756C1" w:rsidRPr="002F50BD">
        <w:rPr>
          <w:rFonts w:ascii="Verdana" w:hAnsi="Verdana"/>
          <w:sz w:val="20"/>
          <w:lang w:val="pt-BR"/>
        </w:rPr>
        <w:t>para</w:t>
      </w:r>
      <w:r w:rsidR="0089298C" w:rsidRPr="002F50BD">
        <w:rPr>
          <w:rFonts w:ascii="Verdana" w:hAnsi="Verdana"/>
          <w:sz w:val="20"/>
          <w:lang w:val="pt-BR"/>
        </w:rPr>
        <w:t xml:space="preserve"> os povo</w:t>
      </w:r>
      <w:r w:rsidR="004756C1" w:rsidRPr="002F50BD">
        <w:rPr>
          <w:rFonts w:ascii="Verdana" w:hAnsi="Verdana"/>
          <w:sz w:val="20"/>
          <w:lang w:val="pt-BR"/>
        </w:rPr>
        <w:t>s indígenas,</w:t>
      </w:r>
      <w:r w:rsidR="0089298C" w:rsidRPr="002F50BD">
        <w:rPr>
          <w:rFonts w:ascii="Verdana" w:hAnsi="Verdana"/>
          <w:sz w:val="20"/>
          <w:lang w:val="pt-BR"/>
        </w:rPr>
        <w:t xml:space="preserve"> est</w:t>
      </w:r>
      <w:r w:rsidRPr="002F50BD">
        <w:rPr>
          <w:rFonts w:ascii="Verdana" w:hAnsi="Verdana"/>
          <w:sz w:val="20"/>
          <w:lang w:val="pt-BR"/>
        </w:rPr>
        <w:t>e</w:t>
      </w:r>
      <w:r w:rsidR="0089298C" w:rsidRPr="002F50BD">
        <w:rPr>
          <w:rFonts w:ascii="Verdana" w:hAnsi="Verdana"/>
          <w:sz w:val="20"/>
          <w:lang w:val="pt-BR"/>
        </w:rPr>
        <w:t xml:space="preserve"> </w:t>
      </w:r>
      <w:r w:rsidR="00AB454A" w:rsidRPr="002F50BD">
        <w:rPr>
          <w:rFonts w:ascii="Verdana" w:hAnsi="Verdana"/>
          <w:sz w:val="20"/>
          <w:lang w:val="pt-BR"/>
        </w:rPr>
        <w:t>não é</w:t>
      </w:r>
      <w:r w:rsidR="0089298C" w:rsidRPr="002F50BD">
        <w:rPr>
          <w:rFonts w:ascii="Verdana" w:hAnsi="Verdana"/>
          <w:sz w:val="20"/>
          <w:lang w:val="pt-BR"/>
        </w:rPr>
        <w:t xml:space="preserve"> </w:t>
      </w:r>
      <w:r w:rsidR="004756C1" w:rsidRPr="002F50BD">
        <w:rPr>
          <w:rFonts w:ascii="Verdana" w:hAnsi="Verdana"/>
          <w:sz w:val="20"/>
          <w:lang w:val="pt-BR"/>
        </w:rPr>
        <w:t>suficiente para</w:t>
      </w:r>
      <w:r w:rsidR="0089298C" w:rsidRPr="002F50BD">
        <w:rPr>
          <w:rFonts w:ascii="Verdana" w:hAnsi="Verdana"/>
          <w:sz w:val="20"/>
          <w:lang w:val="pt-BR"/>
        </w:rPr>
        <w:t xml:space="preserve"> a devida proteção</w:t>
      </w:r>
      <w:r w:rsidR="004756C1" w:rsidRPr="002F50BD">
        <w:rPr>
          <w:rFonts w:ascii="Verdana" w:hAnsi="Verdana"/>
          <w:sz w:val="20"/>
          <w:lang w:val="pt-BR"/>
        </w:rPr>
        <w:t xml:space="preserve"> de </w:t>
      </w:r>
      <w:r w:rsidR="0089298C" w:rsidRPr="002F50BD">
        <w:rPr>
          <w:rFonts w:ascii="Verdana" w:hAnsi="Verdana"/>
          <w:sz w:val="20"/>
          <w:lang w:val="pt-BR"/>
        </w:rPr>
        <w:t>seus direitos se</w:t>
      </w:r>
      <w:r w:rsidR="00AB454A" w:rsidRPr="002F50BD">
        <w:rPr>
          <w:rFonts w:ascii="Verdana" w:hAnsi="Verdana"/>
          <w:sz w:val="20"/>
          <w:lang w:val="pt-BR"/>
        </w:rPr>
        <w:t xml:space="preserve"> não est</w:t>
      </w:r>
      <w:r w:rsidRPr="002F50BD">
        <w:rPr>
          <w:rFonts w:ascii="Verdana" w:hAnsi="Verdana"/>
          <w:sz w:val="20"/>
          <w:lang w:val="pt-BR"/>
        </w:rPr>
        <w:t>iver</w:t>
      </w:r>
      <w:r w:rsidR="004756C1" w:rsidRPr="002F50BD">
        <w:rPr>
          <w:rFonts w:ascii="Verdana" w:hAnsi="Verdana"/>
          <w:sz w:val="20"/>
          <w:lang w:val="pt-BR"/>
        </w:rPr>
        <w:t xml:space="preserve"> </w:t>
      </w:r>
      <w:r w:rsidR="0089298C" w:rsidRPr="002F50BD">
        <w:rPr>
          <w:rFonts w:ascii="Verdana" w:hAnsi="Verdana"/>
          <w:sz w:val="20"/>
          <w:lang w:val="pt-BR"/>
        </w:rPr>
        <w:t>acompanh</w:t>
      </w:r>
      <w:r w:rsidR="004756C1" w:rsidRPr="002F50BD">
        <w:rPr>
          <w:rFonts w:ascii="Verdana" w:hAnsi="Verdana"/>
          <w:sz w:val="20"/>
          <w:lang w:val="pt-BR"/>
        </w:rPr>
        <w:t>ad</w:t>
      </w:r>
      <w:r w:rsidRPr="002F50BD">
        <w:rPr>
          <w:rFonts w:ascii="Verdana" w:hAnsi="Verdana"/>
          <w:sz w:val="20"/>
          <w:lang w:val="pt-BR"/>
        </w:rPr>
        <w:t>o</w:t>
      </w:r>
      <w:r w:rsidR="004756C1" w:rsidRPr="002F50BD">
        <w:rPr>
          <w:rFonts w:ascii="Verdana" w:hAnsi="Verdana"/>
          <w:sz w:val="20"/>
          <w:lang w:val="pt-BR"/>
        </w:rPr>
        <w:t xml:space="preserve"> de políticas</w:t>
      </w:r>
      <w:r w:rsidR="0089298C" w:rsidRPr="002F50BD">
        <w:rPr>
          <w:rFonts w:ascii="Verdana" w:hAnsi="Verdana"/>
          <w:sz w:val="20"/>
          <w:lang w:val="pt-BR"/>
        </w:rPr>
        <w:t xml:space="preserve"> e ações</w:t>
      </w:r>
      <w:r w:rsidR="004756C1" w:rsidRPr="002F50BD">
        <w:rPr>
          <w:rFonts w:ascii="Verdana" w:hAnsi="Verdana"/>
          <w:sz w:val="20"/>
          <w:lang w:val="pt-BR"/>
        </w:rPr>
        <w:t xml:space="preserve"> esta</w:t>
      </w:r>
      <w:r w:rsidR="0089298C" w:rsidRPr="002F50BD">
        <w:rPr>
          <w:rFonts w:ascii="Verdana" w:hAnsi="Verdana"/>
          <w:sz w:val="20"/>
          <w:lang w:val="pt-BR"/>
        </w:rPr>
        <w:t>tais</w:t>
      </w:r>
      <w:r w:rsidR="004756C1" w:rsidRPr="002F50BD">
        <w:rPr>
          <w:rFonts w:ascii="Verdana" w:hAnsi="Verdana"/>
          <w:sz w:val="20"/>
          <w:lang w:val="pt-BR"/>
        </w:rPr>
        <w:t xml:space="preserve"> que </w:t>
      </w:r>
      <w:r w:rsidR="000B0611" w:rsidRPr="002F50BD">
        <w:rPr>
          <w:rFonts w:ascii="Verdana" w:hAnsi="Verdana"/>
          <w:sz w:val="20"/>
          <w:lang w:val="pt-BR"/>
        </w:rPr>
        <w:t xml:space="preserve">zelem </w:t>
      </w:r>
      <w:r w:rsidR="0089298C" w:rsidRPr="002F50BD">
        <w:rPr>
          <w:rFonts w:ascii="Verdana" w:hAnsi="Verdana"/>
          <w:sz w:val="20"/>
          <w:lang w:val="pt-BR"/>
        </w:rPr>
        <w:t xml:space="preserve">pela </w:t>
      </w:r>
      <w:r w:rsidR="004756C1" w:rsidRPr="002F50BD">
        <w:rPr>
          <w:rFonts w:ascii="Verdana" w:hAnsi="Verdana"/>
          <w:sz w:val="20"/>
          <w:lang w:val="pt-BR"/>
        </w:rPr>
        <w:t>aplica</w:t>
      </w:r>
      <w:r w:rsidR="0089298C" w:rsidRPr="002F50BD">
        <w:rPr>
          <w:rFonts w:ascii="Verdana" w:hAnsi="Verdana"/>
          <w:sz w:val="20"/>
          <w:lang w:val="pt-BR"/>
        </w:rPr>
        <w:t xml:space="preserve">ção e </w:t>
      </w:r>
      <w:r w:rsidR="006603BE" w:rsidRPr="002F50BD">
        <w:rPr>
          <w:rFonts w:ascii="Verdana" w:hAnsi="Verdana"/>
          <w:sz w:val="20"/>
          <w:lang w:val="pt-BR"/>
        </w:rPr>
        <w:t>pel</w:t>
      </w:r>
      <w:r w:rsidR="000B0611" w:rsidRPr="002F50BD">
        <w:rPr>
          <w:rFonts w:ascii="Verdana" w:hAnsi="Verdana"/>
          <w:sz w:val="20"/>
          <w:lang w:val="pt-BR"/>
        </w:rPr>
        <w:t xml:space="preserve">o </w:t>
      </w:r>
      <w:r w:rsidR="0089298C" w:rsidRPr="002F50BD">
        <w:rPr>
          <w:rFonts w:ascii="Verdana" w:hAnsi="Verdana"/>
          <w:sz w:val="20"/>
          <w:lang w:val="pt-BR"/>
        </w:rPr>
        <w:t>cumprimento</w:t>
      </w:r>
      <w:r w:rsidR="004756C1" w:rsidRPr="002F50BD">
        <w:rPr>
          <w:rFonts w:ascii="Verdana" w:hAnsi="Verdana"/>
          <w:sz w:val="20"/>
          <w:lang w:val="pt-BR"/>
        </w:rPr>
        <w:t xml:space="preserve"> </w:t>
      </w:r>
      <w:r w:rsidR="0089298C" w:rsidRPr="002F50BD">
        <w:rPr>
          <w:rFonts w:ascii="Verdana" w:hAnsi="Verdana"/>
          <w:sz w:val="20"/>
          <w:lang w:val="pt-BR"/>
        </w:rPr>
        <w:t>efetiv</w:t>
      </w:r>
      <w:r w:rsidR="004756C1" w:rsidRPr="002F50BD">
        <w:rPr>
          <w:rFonts w:ascii="Verdana" w:hAnsi="Verdana"/>
          <w:sz w:val="20"/>
          <w:lang w:val="pt-BR"/>
        </w:rPr>
        <w:t>o</w:t>
      </w:r>
      <w:r w:rsidR="0089298C" w:rsidRPr="002F50BD">
        <w:rPr>
          <w:rFonts w:ascii="Verdana" w:hAnsi="Verdana"/>
          <w:sz w:val="20"/>
          <w:lang w:val="pt-BR"/>
        </w:rPr>
        <w:t xml:space="preserve"> das </w:t>
      </w:r>
      <w:r w:rsidR="004756C1" w:rsidRPr="002F50BD">
        <w:rPr>
          <w:rFonts w:ascii="Verdana" w:hAnsi="Verdana"/>
          <w:sz w:val="20"/>
          <w:lang w:val="pt-BR"/>
        </w:rPr>
        <w:t>normas</w:t>
      </w:r>
      <w:r w:rsidR="0089298C" w:rsidRPr="002F50BD">
        <w:rPr>
          <w:rFonts w:ascii="Verdana" w:hAnsi="Verdana"/>
          <w:sz w:val="20"/>
          <w:lang w:val="pt-BR"/>
        </w:rPr>
        <w:t xml:space="preserve"> às </w:t>
      </w:r>
      <w:r w:rsidR="000B0611" w:rsidRPr="002F50BD">
        <w:rPr>
          <w:rFonts w:ascii="Verdana" w:hAnsi="Verdana"/>
          <w:sz w:val="20"/>
          <w:lang w:val="pt-BR"/>
        </w:rPr>
        <w:t>quais</w:t>
      </w:r>
      <w:r w:rsidR="0089298C" w:rsidRPr="002F50BD">
        <w:rPr>
          <w:rFonts w:ascii="Verdana" w:hAnsi="Verdana"/>
          <w:sz w:val="20"/>
          <w:lang w:val="pt-BR"/>
        </w:rPr>
        <w:t xml:space="preserve"> o próprio</w:t>
      </w:r>
      <w:r w:rsidR="004756C1" w:rsidRPr="002F50BD">
        <w:rPr>
          <w:rFonts w:ascii="Verdana" w:hAnsi="Verdana"/>
          <w:sz w:val="20"/>
          <w:lang w:val="pt-BR"/>
        </w:rPr>
        <w:t xml:space="preserve"> Estado soberanamente se </w:t>
      </w:r>
      <w:r w:rsidR="0089298C" w:rsidRPr="002F50BD">
        <w:rPr>
          <w:rFonts w:ascii="Verdana" w:hAnsi="Verdana"/>
          <w:sz w:val="20"/>
          <w:lang w:val="pt-BR"/>
        </w:rPr>
        <w:t>obrig</w:t>
      </w:r>
      <w:r w:rsidR="000B0611" w:rsidRPr="002F50BD">
        <w:rPr>
          <w:rFonts w:ascii="Verdana" w:hAnsi="Verdana"/>
          <w:sz w:val="20"/>
          <w:lang w:val="pt-BR"/>
        </w:rPr>
        <w:t>ou</w:t>
      </w:r>
      <w:r w:rsidR="004756C1" w:rsidRPr="002F50BD">
        <w:rPr>
          <w:rFonts w:ascii="Verdana" w:hAnsi="Verdana"/>
          <w:sz w:val="20"/>
          <w:lang w:val="pt-BR"/>
        </w:rPr>
        <w:t>;</w:t>
      </w:r>
    </w:p>
    <w:p w:rsidR="00B017F0" w:rsidRPr="002F50BD" w:rsidRDefault="00B017F0" w:rsidP="00B017F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cs="Arial"/>
          <w:sz w:val="20"/>
          <w:szCs w:val="22"/>
          <w:lang w:val="pt-BR"/>
        </w:rPr>
        <w:t xml:space="preserve">A </w:t>
      </w:r>
      <w:r w:rsidRPr="002F50BD">
        <w:rPr>
          <w:rFonts w:ascii="Verdana" w:hAnsi="Verdana"/>
          <w:sz w:val="20"/>
          <w:lang w:val="pt-BR"/>
        </w:rPr>
        <w:t>proteção</w:t>
      </w:r>
      <w:r w:rsidR="004756C1" w:rsidRPr="002F50BD">
        <w:rPr>
          <w:rFonts w:ascii="Verdana" w:hAnsi="Verdana"/>
          <w:sz w:val="20"/>
          <w:lang w:val="pt-BR"/>
        </w:rPr>
        <w:t xml:space="preserve"> </w:t>
      </w:r>
      <w:r w:rsidRPr="002F50BD">
        <w:rPr>
          <w:rFonts w:ascii="Verdana" w:hAnsi="Verdana"/>
          <w:sz w:val="20"/>
          <w:lang w:val="pt-BR"/>
        </w:rPr>
        <w:t>do direito à propriedade dos povo</w:t>
      </w:r>
      <w:r w:rsidR="004756C1" w:rsidRPr="002F50BD">
        <w:rPr>
          <w:rFonts w:ascii="Verdana" w:hAnsi="Verdana"/>
          <w:sz w:val="20"/>
          <w:lang w:val="pt-BR"/>
        </w:rPr>
        <w:t xml:space="preserve">s indígenas sobre </w:t>
      </w:r>
      <w:r w:rsidR="00385366" w:rsidRPr="002F50BD">
        <w:rPr>
          <w:rFonts w:ascii="Verdana" w:hAnsi="Verdana"/>
          <w:sz w:val="20"/>
          <w:lang w:val="pt-BR"/>
        </w:rPr>
        <w:t>seus territórios</w:t>
      </w:r>
      <w:r w:rsidR="004756C1" w:rsidRPr="002F50BD">
        <w:rPr>
          <w:rFonts w:ascii="Verdana" w:hAnsi="Verdana"/>
          <w:sz w:val="20"/>
          <w:lang w:val="pt-BR"/>
        </w:rPr>
        <w:t xml:space="preserve"> </w:t>
      </w:r>
      <w:r w:rsidR="00AB454A" w:rsidRPr="002F50BD">
        <w:rPr>
          <w:rFonts w:ascii="Verdana" w:hAnsi="Verdana"/>
          <w:sz w:val="20"/>
          <w:lang w:val="pt-BR"/>
        </w:rPr>
        <w:t>ancestrais</w:t>
      </w:r>
      <w:r w:rsidRPr="002F50BD">
        <w:rPr>
          <w:rFonts w:ascii="Verdana" w:hAnsi="Verdana"/>
          <w:sz w:val="20"/>
          <w:lang w:val="pt-BR"/>
        </w:rPr>
        <w:t xml:space="preserve"> é um assunto</w:t>
      </w:r>
      <w:r w:rsidR="004756C1" w:rsidRPr="002F50BD">
        <w:rPr>
          <w:rFonts w:ascii="Verdana" w:hAnsi="Verdana"/>
          <w:sz w:val="20"/>
          <w:lang w:val="pt-BR"/>
        </w:rPr>
        <w:t xml:space="preserve"> de especial </w:t>
      </w:r>
      <w:r w:rsidRPr="002F50BD">
        <w:rPr>
          <w:rFonts w:ascii="Verdana" w:hAnsi="Verdana"/>
          <w:sz w:val="20"/>
          <w:lang w:val="pt-BR"/>
        </w:rPr>
        <w:t>importância</w:t>
      </w:r>
      <w:r w:rsidR="004756C1" w:rsidRPr="002F50BD">
        <w:rPr>
          <w:rFonts w:ascii="Verdana" w:hAnsi="Verdana"/>
          <w:sz w:val="20"/>
          <w:lang w:val="pt-BR"/>
        </w:rPr>
        <w:t xml:space="preserve">, porque </w:t>
      </w:r>
      <w:r w:rsidR="00385366" w:rsidRPr="002F50BD">
        <w:rPr>
          <w:rFonts w:ascii="Verdana" w:hAnsi="Verdana"/>
          <w:sz w:val="20"/>
          <w:lang w:val="pt-BR"/>
        </w:rPr>
        <w:t xml:space="preserve">seu gozo </w:t>
      </w:r>
      <w:r w:rsidRPr="002F50BD">
        <w:rPr>
          <w:rFonts w:ascii="Verdana" w:hAnsi="Verdana"/>
          <w:sz w:val="20"/>
          <w:lang w:val="pt-BR"/>
        </w:rPr>
        <w:t>efetiv</w:t>
      </w:r>
      <w:r w:rsidR="004756C1" w:rsidRPr="002F50BD">
        <w:rPr>
          <w:rFonts w:ascii="Verdana" w:hAnsi="Verdana"/>
          <w:sz w:val="20"/>
          <w:lang w:val="pt-BR"/>
        </w:rPr>
        <w:t>o implica</w:t>
      </w:r>
      <w:r w:rsidR="00AB454A" w:rsidRPr="002F50BD">
        <w:rPr>
          <w:rFonts w:ascii="Verdana" w:hAnsi="Verdana"/>
          <w:sz w:val="20"/>
          <w:lang w:val="pt-BR"/>
        </w:rPr>
        <w:t xml:space="preserve"> não apenas</w:t>
      </w:r>
      <w:r w:rsidRPr="002F50BD">
        <w:rPr>
          <w:rFonts w:ascii="Verdana" w:hAnsi="Verdana"/>
          <w:sz w:val="20"/>
          <w:lang w:val="pt-BR"/>
        </w:rPr>
        <w:t xml:space="preserve"> </w:t>
      </w:r>
      <w:r w:rsidR="00551A45" w:rsidRPr="002F50BD">
        <w:rPr>
          <w:rFonts w:ascii="Verdana" w:hAnsi="Verdana"/>
          <w:sz w:val="20"/>
          <w:lang w:val="pt-BR"/>
        </w:rPr>
        <w:t>n</w:t>
      </w:r>
      <w:r w:rsidRPr="002F50BD">
        <w:rPr>
          <w:rFonts w:ascii="Verdana" w:hAnsi="Verdana"/>
          <w:sz w:val="20"/>
          <w:lang w:val="pt-BR"/>
        </w:rPr>
        <w:t>a proteção</w:t>
      </w:r>
      <w:r w:rsidR="004756C1" w:rsidRPr="002F50BD">
        <w:rPr>
          <w:rFonts w:ascii="Verdana" w:hAnsi="Verdana"/>
          <w:sz w:val="20"/>
          <w:lang w:val="pt-BR"/>
        </w:rPr>
        <w:t xml:space="preserve"> de</w:t>
      </w:r>
      <w:r w:rsidRPr="002F50BD">
        <w:rPr>
          <w:rFonts w:ascii="Verdana" w:hAnsi="Verdana"/>
          <w:sz w:val="20"/>
          <w:lang w:val="pt-BR"/>
        </w:rPr>
        <w:t xml:space="preserve"> uma unidade econômic</w:t>
      </w:r>
      <w:r w:rsidR="004756C1" w:rsidRPr="002F50BD">
        <w:rPr>
          <w:rFonts w:ascii="Verdana" w:hAnsi="Verdana"/>
          <w:sz w:val="20"/>
          <w:lang w:val="pt-BR"/>
        </w:rPr>
        <w:t>a</w:t>
      </w:r>
      <w:r w:rsidR="00385366" w:rsidRPr="002F50BD">
        <w:rPr>
          <w:rFonts w:ascii="Verdana" w:hAnsi="Verdana"/>
          <w:sz w:val="20"/>
          <w:lang w:val="pt-BR"/>
        </w:rPr>
        <w:t>,</w:t>
      </w:r>
      <w:r w:rsidRPr="002F50BD">
        <w:rPr>
          <w:rFonts w:ascii="Verdana" w:hAnsi="Verdana"/>
          <w:sz w:val="20"/>
          <w:lang w:val="pt-BR"/>
        </w:rPr>
        <w:t xml:space="preserve"> mas </w:t>
      </w:r>
      <w:r w:rsidR="00551A45" w:rsidRPr="002F50BD">
        <w:rPr>
          <w:rFonts w:ascii="Verdana" w:hAnsi="Verdana"/>
          <w:sz w:val="20"/>
          <w:lang w:val="pt-BR"/>
        </w:rPr>
        <w:t>n</w:t>
      </w:r>
      <w:r w:rsidRPr="002F50BD">
        <w:rPr>
          <w:rFonts w:ascii="Verdana" w:hAnsi="Verdana"/>
          <w:sz w:val="20"/>
          <w:lang w:val="pt-BR"/>
        </w:rPr>
        <w:t>a proteção dos direito</w:t>
      </w:r>
      <w:r w:rsidR="004756C1" w:rsidRPr="002F50BD">
        <w:rPr>
          <w:rFonts w:ascii="Verdana" w:hAnsi="Verdana"/>
          <w:sz w:val="20"/>
          <w:lang w:val="pt-BR"/>
        </w:rPr>
        <w:t>s humanos de</w:t>
      </w:r>
      <w:r w:rsidRPr="002F50BD">
        <w:rPr>
          <w:rFonts w:ascii="Verdana" w:hAnsi="Verdana"/>
          <w:sz w:val="20"/>
          <w:lang w:val="pt-BR"/>
        </w:rPr>
        <w:t xml:space="preserve"> uma coletiv</w:t>
      </w:r>
      <w:r w:rsidR="004756C1" w:rsidRPr="002F50BD">
        <w:rPr>
          <w:rFonts w:ascii="Verdana" w:hAnsi="Verdana"/>
          <w:sz w:val="20"/>
          <w:lang w:val="pt-BR"/>
        </w:rPr>
        <w:t>idad</w:t>
      </w:r>
      <w:r w:rsidR="00385366" w:rsidRPr="002F50BD">
        <w:rPr>
          <w:rFonts w:ascii="Verdana" w:hAnsi="Verdana"/>
          <w:sz w:val="20"/>
          <w:lang w:val="pt-BR"/>
        </w:rPr>
        <w:t>e</w:t>
      </w:r>
      <w:r w:rsidR="004756C1" w:rsidRPr="002F50BD">
        <w:rPr>
          <w:rFonts w:ascii="Verdana" w:hAnsi="Verdana"/>
          <w:sz w:val="20"/>
          <w:lang w:val="pt-BR"/>
        </w:rPr>
        <w:t xml:space="preserve"> que bas</w:t>
      </w:r>
      <w:r w:rsidR="00385366" w:rsidRPr="002F50BD">
        <w:rPr>
          <w:rFonts w:ascii="Verdana" w:hAnsi="Verdana"/>
          <w:sz w:val="20"/>
          <w:lang w:val="pt-BR"/>
        </w:rPr>
        <w:t>ei</w:t>
      </w:r>
      <w:r w:rsidR="004756C1" w:rsidRPr="002F50BD">
        <w:rPr>
          <w:rFonts w:ascii="Verdana" w:hAnsi="Verdana"/>
          <w:sz w:val="20"/>
          <w:lang w:val="pt-BR"/>
        </w:rPr>
        <w:t xml:space="preserve">a </w:t>
      </w:r>
      <w:r w:rsidR="00385366" w:rsidRPr="002F50BD">
        <w:rPr>
          <w:rFonts w:ascii="Verdana" w:hAnsi="Verdana"/>
          <w:sz w:val="20"/>
          <w:lang w:val="pt-BR"/>
        </w:rPr>
        <w:t>seu desenvolvimento</w:t>
      </w:r>
      <w:r w:rsidR="004756C1" w:rsidRPr="002F50BD">
        <w:rPr>
          <w:rFonts w:ascii="Verdana" w:hAnsi="Verdana"/>
          <w:sz w:val="20"/>
          <w:lang w:val="pt-BR"/>
        </w:rPr>
        <w:t xml:space="preserve"> </w:t>
      </w:r>
      <w:r w:rsidRPr="002F50BD">
        <w:rPr>
          <w:rFonts w:ascii="Verdana" w:hAnsi="Verdana"/>
          <w:sz w:val="20"/>
          <w:lang w:val="pt-BR"/>
        </w:rPr>
        <w:t>econômic</w:t>
      </w:r>
      <w:r w:rsidR="004756C1" w:rsidRPr="002F50BD">
        <w:rPr>
          <w:rFonts w:ascii="Verdana" w:hAnsi="Verdana"/>
          <w:sz w:val="20"/>
          <w:lang w:val="pt-BR"/>
        </w:rPr>
        <w:t>o, social</w:t>
      </w:r>
      <w:r w:rsidRPr="002F50BD">
        <w:rPr>
          <w:rFonts w:ascii="Verdana" w:hAnsi="Verdana"/>
          <w:sz w:val="20"/>
          <w:lang w:val="pt-BR"/>
        </w:rPr>
        <w:t xml:space="preserve"> e </w:t>
      </w:r>
      <w:r w:rsidR="004756C1" w:rsidRPr="002F50BD">
        <w:rPr>
          <w:rFonts w:ascii="Verdana" w:hAnsi="Verdana"/>
          <w:sz w:val="20"/>
          <w:lang w:val="pt-BR"/>
        </w:rPr>
        <w:t>cultural</w:t>
      </w:r>
      <w:r w:rsidRPr="002F50BD">
        <w:rPr>
          <w:rFonts w:ascii="Verdana" w:hAnsi="Verdana"/>
          <w:sz w:val="20"/>
          <w:lang w:val="pt-BR"/>
        </w:rPr>
        <w:t xml:space="preserve"> na </w:t>
      </w:r>
      <w:r w:rsidR="004756C1" w:rsidRPr="002F50BD">
        <w:rPr>
          <w:rFonts w:ascii="Verdana" w:hAnsi="Verdana"/>
          <w:sz w:val="20"/>
          <w:lang w:val="pt-BR"/>
        </w:rPr>
        <w:t>rela</w:t>
      </w:r>
      <w:r w:rsidRPr="002F50BD">
        <w:rPr>
          <w:rFonts w:ascii="Verdana" w:hAnsi="Verdana"/>
          <w:sz w:val="20"/>
          <w:lang w:val="pt-BR"/>
        </w:rPr>
        <w:t>ção com a terra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tabs>
          <w:tab w:val="left" w:pos="1080"/>
        </w:tabs>
        <w:ind w:left="720"/>
        <w:jc w:val="both"/>
        <w:rPr>
          <w:rFonts w:ascii="Verdana" w:hAnsi="Verdana" w:cs="Arial"/>
          <w:sz w:val="20"/>
          <w:szCs w:val="22"/>
          <w:lang w:val="pt-BR"/>
        </w:rPr>
      </w:pPr>
    </w:p>
    <w:p w:rsidR="004756C1" w:rsidRPr="002F50BD" w:rsidRDefault="0089298C">
      <w:pPr>
        <w:numPr>
          <w:ilvl w:val="0"/>
          <w:numId w:val="9"/>
        </w:numPr>
        <w:tabs>
          <w:tab w:val="left" w:pos="1080"/>
        </w:tabs>
        <w:ind w:left="720"/>
        <w:jc w:val="both"/>
        <w:rPr>
          <w:rFonts w:ascii="Verdana" w:hAnsi="Verdana" w:cs="Arial"/>
          <w:sz w:val="20"/>
          <w:szCs w:val="22"/>
          <w:lang w:val="pt-BR"/>
        </w:rPr>
      </w:pPr>
      <w:r w:rsidRPr="002F50BD">
        <w:rPr>
          <w:rFonts w:ascii="Verdana" w:hAnsi="Verdana" w:cs="Arial"/>
          <w:sz w:val="20"/>
          <w:szCs w:val="22"/>
          <w:lang w:val="pt-BR"/>
        </w:rPr>
        <w:t xml:space="preserve">No ano </w:t>
      </w:r>
      <w:r w:rsidR="00385366" w:rsidRPr="002F50BD">
        <w:rPr>
          <w:rFonts w:ascii="Verdana" w:hAnsi="Verdana" w:cs="Arial"/>
          <w:sz w:val="20"/>
          <w:szCs w:val="22"/>
          <w:lang w:val="pt-BR"/>
        </w:rPr>
        <w:t xml:space="preserve">de </w:t>
      </w:r>
      <w:r w:rsidR="00063B47" w:rsidRPr="002F50BD">
        <w:rPr>
          <w:rFonts w:ascii="Verdana" w:hAnsi="Verdana" w:cs="Arial"/>
          <w:sz w:val="20"/>
          <w:szCs w:val="22"/>
          <w:lang w:val="pt-BR"/>
        </w:rPr>
        <w:t>1993</w:t>
      </w:r>
      <w:r w:rsidR="00551A45" w:rsidRPr="002F50BD">
        <w:rPr>
          <w:rFonts w:ascii="Verdana" w:hAnsi="Verdana" w:cs="Arial"/>
          <w:sz w:val="20"/>
          <w:szCs w:val="22"/>
          <w:lang w:val="pt-BR"/>
        </w:rPr>
        <w:t>,</w:t>
      </w:r>
      <w:r w:rsidRPr="002F50BD">
        <w:rPr>
          <w:rFonts w:ascii="Verdana" w:hAnsi="Verdana" w:cs="Arial"/>
          <w:sz w:val="20"/>
          <w:szCs w:val="22"/>
          <w:lang w:val="pt-BR"/>
        </w:rPr>
        <w:t xml:space="preserve"> a Comunidade </w:t>
      </w:r>
      <w:r w:rsidR="004756C1" w:rsidRPr="002F50BD">
        <w:rPr>
          <w:rFonts w:ascii="Verdana" w:hAnsi="Verdana" w:cs="Arial"/>
          <w:sz w:val="20"/>
          <w:szCs w:val="22"/>
          <w:lang w:val="pt-BR"/>
        </w:rPr>
        <w:t xml:space="preserve">Yakye Axa </w:t>
      </w:r>
      <w:r w:rsidRPr="002F50BD">
        <w:rPr>
          <w:rFonts w:ascii="Verdana" w:hAnsi="Verdana" w:cs="Arial"/>
          <w:sz w:val="20"/>
          <w:szCs w:val="22"/>
          <w:lang w:val="pt-BR"/>
        </w:rPr>
        <w:t>iniciou os trâmite</w:t>
      </w:r>
      <w:r w:rsidR="004756C1" w:rsidRPr="002F50BD">
        <w:rPr>
          <w:rFonts w:ascii="Verdana" w:hAnsi="Verdana" w:cs="Arial"/>
          <w:sz w:val="20"/>
          <w:szCs w:val="22"/>
          <w:lang w:val="pt-BR"/>
        </w:rPr>
        <w:t>s contemplados</w:t>
      </w:r>
      <w:r w:rsidRPr="002F50BD">
        <w:rPr>
          <w:rFonts w:ascii="Verdana" w:hAnsi="Verdana" w:cs="Arial"/>
          <w:sz w:val="20"/>
          <w:szCs w:val="22"/>
          <w:lang w:val="pt-BR"/>
        </w:rPr>
        <w:t xml:space="preserve"> na </w:t>
      </w:r>
      <w:r w:rsidR="00385366" w:rsidRPr="002F50BD">
        <w:rPr>
          <w:rFonts w:ascii="Verdana" w:hAnsi="Verdana" w:cs="Arial"/>
          <w:sz w:val="20"/>
          <w:szCs w:val="22"/>
          <w:lang w:val="pt-BR"/>
        </w:rPr>
        <w:t>legislação paraguaia</w:t>
      </w:r>
      <w:r w:rsidR="004756C1" w:rsidRPr="002F50BD">
        <w:rPr>
          <w:rFonts w:ascii="Verdana" w:hAnsi="Verdana" w:cs="Arial"/>
          <w:sz w:val="20"/>
          <w:szCs w:val="22"/>
          <w:lang w:val="pt-BR"/>
        </w:rPr>
        <w:t xml:space="preserve"> para reclamar</w:t>
      </w:r>
      <w:r w:rsidRPr="002F50BD">
        <w:rPr>
          <w:rFonts w:ascii="Verdana" w:hAnsi="Verdana" w:cs="Arial"/>
          <w:sz w:val="20"/>
          <w:szCs w:val="22"/>
          <w:lang w:val="pt-BR"/>
        </w:rPr>
        <w:t xml:space="preserve"> ao </w:t>
      </w:r>
      <w:r w:rsidR="004756C1" w:rsidRPr="002F50BD">
        <w:rPr>
          <w:rFonts w:ascii="Verdana" w:hAnsi="Verdana" w:cs="Arial"/>
          <w:sz w:val="20"/>
          <w:szCs w:val="22"/>
          <w:lang w:val="pt-BR"/>
        </w:rPr>
        <w:t xml:space="preserve">menos parte de </w:t>
      </w:r>
      <w:r w:rsidR="00AB454A" w:rsidRPr="002F50BD">
        <w:rPr>
          <w:rFonts w:ascii="Verdana" w:hAnsi="Verdana" w:cs="Arial"/>
          <w:sz w:val="20"/>
          <w:szCs w:val="22"/>
          <w:lang w:val="pt-BR"/>
        </w:rPr>
        <w:t>seu território</w:t>
      </w:r>
      <w:r w:rsidR="004756C1" w:rsidRPr="002F50BD">
        <w:rPr>
          <w:rFonts w:ascii="Verdana" w:hAnsi="Verdana" w:cs="Arial"/>
          <w:sz w:val="20"/>
          <w:szCs w:val="22"/>
          <w:lang w:val="pt-BR"/>
        </w:rPr>
        <w:t xml:space="preserve"> ancestral. Des</w:t>
      </w:r>
      <w:r w:rsidRPr="002F50BD">
        <w:rPr>
          <w:rFonts w:ascii="Verdana" w:hAnsi="Verdana" w:cs="Arial"/>
          <w:sz w:val="20"/>
          <w:szCs w:val="22"/>
          <w:lang w:val="pt-BR"/>
        </w:rPr>
        <w:t>de</w:t>
      </w:r>
      <w:r w:rsidR="00385366" w:rsidRPr="002F50BD">
        <w:rPr>
          <w:rFonts w:ascii="Verdana" w:hAnsi="Verdana" w:cs="Arial"/>
          <w:sz w:val="20"/>
          <w:szCs w:val="22"/>
          <w:lang w:val="pt-BR"/>
        </w:rPr>
        <w:t xml:space="preserve"> e</w:t>
      </w:r>
      <w:r w:rsidRPr="002F50BD">
        <w:rPr>
          <w:rFonts w:ascii="Verdana" w:hAnsi="Verdana" w:cs="Arial"/>
          <w:sz w:val="20"/>
          <w:szCs w:val="22"/>
          <w:lang w:val="pt-BR"/>
        </w:rPr>
        <w:t>ssa data</w:t>
      </w:r>
      <w:r w:rsidR="00551A45" w:rsidRPr="002F50BD">
        <w:rPr>
          <w:rFonts w:ascii="Verdana" w:hAnsi="Verdana" w:cs="Arial"/>
          <w:sz w:val="20"/>
          <w:szCs w:val="22"/>
          <w:lang w:val="pt-BR"/>
        </w:rPr>
        <w:t>,</w:t>
      </w:r>
      <w:r w:rsidR="004756C1" w:rsidRPr="002F50BD">
        <w:rPr>
          <w:rFonts w:ascii="Verdana" w:hAnsi="Verdana" w:cs="Arial"/>
          <w:sz w:val="20"/>
          <w:szCs w:val="22"/>
          <w:lang w:val="pt-BR"/>
        </w:rPr>
        <w:t xml:space="preserve"> transc</w:t>
      </w:r>
      <w:r w:rsidR="00385366" w:rsidRPr="002F50BD">
        <w:rPr>
          <w:rFonts w:ascii="Verdana" w:hAnsi="Verdana" w:cs="Arial"/>
          <w:sz w:val="20"/>
          <w:szCs w:val="22"/>
          <w:lang w:val="pt-BR"/>
        </w:rPr>
        <w:t>orreram</w:t>
      </w:r>
      <w:r w:rsidR="004756C1" w:rsidRPr="002F50BD">
        <w:rPr>
          <w:rFonts w:ascii="Verdana" w:hAnsi="Verdana" w:cs="Arial"/>
          <w:sz w:val="20"/>
          <w:szCs w:val="22"/>
          <w:lang w:val="pt-BR"/>
        </w:rPr>
        <w:t xml:space="preserve"> </w:t>
      </w:r>
      <w:r w:rsidR="00063B47" w:rsidRPr="002F50BD">
        <w:rPr>
          <w:rFonts w:ascii="Verdana" w:hAnsi="Verdana" w:cs="Arial"/>
          <w:sz w:val="20"/>
          <w:szCs w:val="22"/>
          <w:lang w:val="pt-BR"/>
        </w:rPr>
        <w:t>12</w:t>
      </w:r>
      <w:r w:rsidR="004756C1" w:rsidRPr="002F50BD">
        <w:rPr>
          <w:rFonts w:ascii="Verdana" w:hAnsi="Verdana" w:cs="Arial"/>
          <w:sz w:val="20"/>
          <w:szCs w:val="22"/>
          <w:lang w:val="pt-BR"/>
        </w:rPr>
        <w:t xml:space="preserve"> </w:t>
      </w:r>
      <w:r w:rsidRPr="002F50BD">
        <w:rPr>
          <w:rFonts w:ascii="Verdana" w:hAnsi="Verdana" w:cs="Arial"/>
          <w:sz w:val="20"/>
          <w:szCs w:val="22"/>
          <w:lang w:val="pt-BR"/>
        </w:rPr>
        <w:t>anos e a Comunidade ainda</w:t>
      </w:r>
      <w:r w:rsidR="004756C1" w:rsidRPr="002F50BD">
        <w:rPr>
          <w:rFonts w:ascii="Verdana" w:hAnsi="Verdana" w:cs="Arial"/>
          <w:sz w:val="20"/>
          <w:szCs w:val="22"/>
          <w:lang w:val="pt-BR"/>
        </w:rPr>
        <w:t xml:space="preserve"> </w:t>
      </w:r>
      <w:r w:rsidR="00AB454A" w:rsidRPr="002F50BD">
        <w:rPr>
          <w:rFonts w:ascii="Verdana" w:hAnsi="Verdana" w:cs="Arial"/>
          <w:sz w:val="20"/>
          <w:szCs w:val="22"/>
          <w:lang w:val="pt-BR"/>
        </w:rPr>
        <w:t>não pode</w:t>
      </w:r>
      <w:r w:rsidR="004756C1" w:rsidRPr="002F50BD">
        <w:rPr>
          <w:rFonts w:ascii="Verdana" w:hAnsi="Verdana" w:cs="Arial"/>
          <w:sz w:val="20"/>
          <w:szCs w:val="22"/>
          <w:lang w:val="pt-BR"/>
        </w:rPr>
        <w:t xml:space="preserve"> gozar</w:t>
      </w:r>
      <w:r w:rsidRPr="002F50BD">
        <w:rPr>
          <w:rFonts w:ascii="Verdana" w:hAnsi="Verdana" w:cs="Arial"/>
          <w:sz w:val="20"/>
          <w:szCs w:val="22"/>
          <w:lang w:val="pt-BR"/>
        </w:rPr>
        <w:t xml:space="preserve"> das terra</w:t>
      </w:r>
      <w:r w:rsidR="004756C1" w:rsidRPr="002F50BD">
        <w:rPr>
          <w:rFonts w:ascii="Verdana" w:hAnsi="Verdana" w:cs="Arial"/>
          <w:sz w:val="20"/>
          <w:szCs w:val="22"/>
          <w:lang w:val="pt-BR"/>
        </w:rPr>
        <w:t>s reclama</w:t>
      </w:r>
      <w:r w:rsidR="006603BE" w:rsidRPr="002F50BD">
        <w:rPr>
          <w:rFonts w:ascii="Verdana" w:hAnsi="Verdana" w:cs="Arial"/>
          <w:sz w:val="20"/>
          <w:szCs w:val="22"/>
          <w:lang w:val="pt-BR"/>
        </w:rPr>
        <w:t>das</w:t>
      </w:r>
      <w:r w:rsidR="004756C1" w:rsidRPr="002F50BD">
        <w:rPr>
          <w:rFonts w:ascii="Verdana" w:hAnsi="Verdana" w:cs="Arial"/>
          <w:sz w:val="20"/>
          <w:szCs w:val="22"/>
          <w:lang w:val="pt-BR"/>
        </w:rPr>
        <w:t>;</w:t>
      </w:r>
    </w:p>
    <w:p w:rsidR="004756C1" w:rsidRPr="002F50BD" w:rsidRDefault="004756C1">
      <w:pPr>
        <w:tabs>
          <w:tab w:val="left" w:pos="1080"/>
        </w:tabs>
        <w:ind w:left="720"/>
        <w:jc w:val="both"/>
        <w:rPr>
          <w:rFonts w:ascii="Verdana" w:hAnsi="Verdana" w:cs="Arial"/>
          <w:sz w:val="20"/>
          <w:szCs w:val="22"/>
          <w:lang w:val="pt-BR"/>
        </w:rPr>
      </w:pPr>
    </w:p>
    <w:p w:rsidR="004756C1" w:rsidRPr="002F50BD" w:rsidRDefault="00385366">
      <w:pPr>
        <w:numPr>
          <w:ilvl w:val="0"/>
          <w:numId w:val="9"/>
        </w:numPr>
        <w:tabs>
          <w:tab w:val="left" w:pos="1080"/>
        </w:tabs>
        <w:ind w:left="720"/>
        <w:jc w:val="both"/>
        <w:rPr>
          <w:rFonts w:ascii="Verdana" w:hAnsi="Verdana" w:cs="Arial"/>
          <w:sz w:val="20"/>
          <w:szCs w:val="22"/>
          <w:lang w:val="pt-BR"/>
        </w:rPr>
      </w:pPr>
      <w:r w:rsidRPr="002F50BD">
        <w:rPr>
          <w:rFonts w:ascii="Verdana" w:hAnsi="Verdana" w:cs="Arial"/>
          <w:sz w:val="20"/>
          <w:szCs w:val="22"/>
          <w:lang w:val="pt-BR"/>
        </w:rPr>
        <w:t>N</w:t>
      </w:r>
      <w:r w:rsidR="0089298C" w:rsidRPr="002F50BD">
        <w:rPr>
          <w:rFonts w:ascii="Verdana" w:hAnsi="Verdana" w:cs="Arial"/>
          <w:sz w:val="20"/>
          <w:szCs w:val="22"/>
          <w:lang w:val="pt-BR"/>
        </w:rPr>
        <w:t>este</w:t>
      </w:r>
      <w:r w:rsidR="004756C1" w:rsidRPr="002F50BD">
        <w:rPr>
          <w:rFonts w:ascii="Verdana" w:hAnsi="Verdana" w:cs="Arial"/>
          <w:sz w:val="20"/>
          <w:szCs w:val="22"/>
          <w:lang w:val="pt-BR"/>
        </w:rPr>
        <w:t xml:space="preserve"> caso </w:t>
      </w:r>
      <w:r w:rsidR="00551A45" w:rsidRPr="002F50BD">
        <w:rPr>
          <w:rFonts w:ascii="Verdana" w:hAnsi="Verdana" w:cs="Arial"/>
          <w:sz w:val="20"/>
          <w:szCs w:val="22"/>
          <w:lang w:val="pt-BR"/>
        </w:rPr>
        <w:t>foram realizados</w:t>
      </w:r>
      <w:r w:rsidR="004756C1" w:rsidRPr="002F50BD">
        <w:rPr>
          <w:rFonts w:ascii="Verdana" w:hAnsi="Verdana" w:cs="Arial"/>
          <w:sz w:val="20"/>
          <w:szCs w:val="22"/>
          <w:lang w:val="pt-BR"/>
        </w:rPr>
        <w:t xml:space="preserve"> todos</w:t>
      </w:r>
      <w:r w:rsidR="0089298C" w:rsidRPr="002F50BD">
        <w:rPr>
          <w:rFonts w:ascii="Verdana" w:hAnsi="Verdana" w:cs="Arial"/>
          <w:sz w:val="20"/>
          <w:szCs w:val="22"/>
          <w:lang w:val="pt-BR"/>
        </w:rPr>
        <w:t xml:space="preserve"> os trâmite</w:t>
      </w:r>
      <w:r w:rsidR="004756C1" w:rsidRPr="002F50BD">
        <w:rPr>
          <w:rFonts w:ascii="Verdana" w:hAnsi="Verdana" w:cs="Arial"/>
          <w:sz w:val="20"/>
          <w:szCs w:val="22"/>
          <w:lang w:val="pt-BR"/>
        </w:rPr>
        <w:t>s para encontrar</w:t>
      </w:r>
      <w:r w:rsidR="0089298C" w:rsidRPr="002F50BD">
        <w:rPr>
          <w:rFonts w:ascii="Verdana" w:hAnsi="Verdana" w:cs="Arial"/>
          <w:sz w:val="20"/>
          <w:szCs w:val="22"/>
          <w:lang w:val="pt-BR"/>
        </w:rPr>
        <w:t xml:space="preserve"> uma </w:t>
      </w:r>
      <w:r w:rsidR="004756C1" w:rsidRPr="002F50BD">
        <w:rPr>
          <w:rFonts w:ascii="Verdana" w:hAnsi="Verdana" w:cs="Arial"/>
          <w:sz w:val="20"/>
          <w:szCs w:val="22"/>
          <w:lang w:val="pt-BR"/>
        </w:rPr>
        <w:t>“solu</w:t>
      </w:r>
      <w:r w:rsidR="0089298C" w:rsidRPr="002F50BD">
        <w:rPr>
          <w:rFonts w:ascii="Verdana" w:hAnsi="Verdana" w:cs="Arial"/>
          <w:sz w:val="20"/>
          <w:szCs w:val="22"/>
          <w:lang w:val="pt-BR"/>
        </w:rPr>
        <w:t>ção</w:t>
      </w:r>
      <w:r w:rsidR="004756C1" w:rsidRPr="002F50BD">
        <w:rPr>
          <w:rFonts w:ascii="Verdana" w:hAnsi="Verdana" w:cs="Arial"/>
          <w:sz w:val="20"/>
          <w:szCs w:val="22"/>
          <w:lang w:val="pt-BR"/>
        </w:rPr>
        <w:t xml:space="preserve"> definitiva”</w:t>
      </w:r>
      <w:r w:rsidR="0089298C" w:rsidRPr="002F50BD">
        <w:rPr>
          <w:rFonts w:ascii="Verdana" w:hAnsi="Verdana" w:cs="Arial"/>
          <w:sz w:val="20"/>
          <w:szCs w:val="22"/>
          <w:lang w:val="pt-BR"/>
        </w:rPr>
        <w:t xml:space="preserve"> ao </w:t>
      </w:r>
      <w:r w:rsidR="004756C1" w:rsidRPr="002F50BD">
        <w:rPr>
          <w:rFonts w:ascii="Verdana" w:hAnsi="Verdana" w:cs="Arial"/>
          <w:sz w:val="20"/>
          <w:szCs w:val="22"/>
          <w:lang w:val="pt-BR"/>
        </w:rPr>
        <w:t xml:space="preserve">reclamo </w:t>
      </w:r>
      <w:r w:rsidRPr="002F50BD">
        <w:rPr>
          <w:rFonts w:ascii="Verdana" w:hAnsi="Verdana" w:cs="Arial"/>
          <w:sz w:val="20"/>
          <w:szCs w:val="22"/>
          <w:lang w:val="pt-BR"/>
        </w:rPr>
        <w:t xml:space="preserve">realizado </w:t>
      </w:r>
      <w:r w:rsidR="0089298C" w:rsidRPr="002F50BD">
        <w:rPr>
          <w:rFonts w:ascii="Verdana" w:hAnsi="Verdana" w:cs="Arial"/>
          <w:sz w:val="20"/>
          <w:szCs w:val="22"/>
          <w:lang w:val="pt-BR"/>
        </w:rPr>
        <w:t xml:space="preserve">pela </w:t>
      </w:r>
      <w:r w:rsidR="00A50140" w:rsidRPr="002F50BD">
        <w:rPr>
          <w:rFonts w:ascii="Verdana" w:hAnsi="Verdana" w:cs="Arial"/>
          <w:sz w:val="20"/>
          <w:szCs w:val="22"/>
          <w:lang w:val="pt-BR"/>
        </w:rPr>
        <w:t>Comunidade.</w:t>
      </w:r>
      <w:r w:rsidR="004756C1" w:rsidRPr="002F50BD">
        <w:rPr>
          <w:rFonts w:ascii="Verdana" w:hAnsi="Verdana" w:cs="Arial"/>
          <w:sz w:val="20"/>
          <w:szCs w:val="22"/>
          <w:lang w:val="pt-BR"/>
        </w:rPr>
        <w:t xml:space="preserve"> Solu</w:t>
      </w:r>
      <w:r w:rsidR="0089298C" w:rsidRPr="002F50BD">
        <w:rPr>
          <w:rFonts w:ascii="Verdana" w:hAnsi="Verdana" w:cs="Arial"/>
          <w:sz w:val="20"/>
          <w:szCs w:val="22"/>
          <w:lang w:val="pt-BR"/>
        </w:rPr>
        <w:t>ção</w:t>
      </w:r>
      <w:r w:rsidR="004756C1" w:rsidRPr="002F50BD">
        <w:rPr>
          <w:rFonts w:ascii="Verdana" w:hAnsi="Verdana" w:cs="Arial"/>
          <w:sz w:val="20"/>
          <w:szCs w:val="22"/>
          <w:lang w:val="pt-BR"/>
        </w:rPr>
        <w:t xml:space="preserve"> que contempl</w:t>
      </w:r>
      <w:r w:rsidR="00AB6727" w:rsidRPr="002F50BD">
        <w:rPr>
          <w:rFonts w:ascii="Verdana" w:hAnsi="Verdana" w:cs="Arial"/>
          <w:sz w:val="20"/>
          <w:szCs w:val="22"/>
          <w:lang w:val="pt-BR"/>
        </w:rPr>
        <w:t xml:space="preserve">ava </w:t>
      </w:r>
      <w:r w:rsidR="0089298C" w:rsidRPr="002F50BD">
        <w:rPr>
          <w:rFonts w:ascii="Verdana" w:hAnsi="Verdana" w:cs="Arial"/>
          <w:sz w:val="20"/>
          <w:szCs w:val="22"/>
          <w:lang w:val="pt-BR"/>
        </w:rPr>
        <w:t xml:space="preserve">ao </w:t>
      </w:r>
      <w:r w:rsidR="004756C1" w:rsidRPr="002F50BD">
        <w:rPr>
          <w:rFonts w:ascii="Verdana" w:hAnsi="Verdana" w:cs="Arial"/>
          <w:sz w:val="20"/>
          <w:szCs w:val="22"/>
          <w:lang w:val="pt-BR"/>
        </w:rPr>
        <w:t>menos d</w:t>
      </w:r>
      <w:r w:rsidRPr="002F50BD">
        <w:rPr>
          <w:rFonts w:ascii="Verdana" w:hAnsi="Verdana" w:cs="Arial"/>
          <w:sz w:val="20"/>
          <w:szCs w:val="22"/>
          <w:lang w:val="pt-BR"/>
        </w:rPr>
        <w:t>u</w:t>
      </w:r>
      <w:r w:rsidR="006603BE" w:rsidRPr="002F50BD">
        <w:rPr>
          <w:rFonts w:ascii="Verdana" w:hAnsi="Verdana" w:cs="Arial"/>
          <w:sz w:val="20"/>
          <w:szCs w:val="22"/>
          <w:lang w:val="pt-BR"/>
        </w:rPr>
        <w:t>a</w:t>
      </w:r>
      <w:r w:rsidR="004756C1" w:rsidRPr="002F50BD">
        <w:rPr>
          <w:rFonts w:ascii="Verdana" w:hAnsi="Verdana" w:cs="Arial"/>
          <w:sz w:val="20"/>
          <w:szCs w:val="22"/>
          <w:lang w:val="pt-BR"/>
        </w:rPr>
        <w:t>s</w:t>
      </w:r>
      <w:r w:rsidR="006603BE" w:rsidRPr="002F50BD">
        <w:rPr>
          <w:rFonts w:ascii="Verdana" w:hAnsi="Verdana" w:cs="Arial"/>
          <w:sz w:val="20"/>
          <w:szCs w:val="22"/>
          <w:lang w:val="pt-BR"/>
        </w:rPr>
        <w:t xml:space="preserve"> vias.</w:t>
      </w:r>
      <w:r w:rsidR="00AB454A" w:rsidRPr="002F50BD">
        <w:rPr>
          <w:rFonts w:ascii="Verdana" w:hAnsi="Verdana" w:cs="Arial"/>
          <w:sz w:val="20"/>
          <w:szCs w:val="22"/>
          <w:lang w:val="pt-BR"/>
        </w:rPr>
        <w:t xml:space="preserve"> A </w:t>
      </w:r>
      <w:r w:rsidR="0089298C" w:rsidRPr="002F50BD">
        <w:rPr>
          <w:rFonts w:ascii="Verdana" w:hAnsi="Verdana" w:cs="Arial"/>
          <w:sz w:val="20"/>
          <w:szCs w:val="22"/>
          <w:lang w:val="pt-BR"/>
        </w:rPr>
        <w:t>primeira</w:t>
      </w:r>
      <w:r w:rsidR="004756C1" w:rsidRPr="002F50BD">
        <w:rPr>
          <w:rFonts w:ascii="Verdana" w:hAnsi="Verdana" w:cs="Arial"/>
          <w:sz w:val="20"/>
          <w:szCs w:val="22"/>
          <w:lang w:val="pt-BR"/>
        </w:rPr>
        <w:t>,</w:t>
      </w:r>
      <w:r w:rsidR="0089298C" w:rsidRPr="002F50BD">
        <w:rPr>
          <w:rFonts w:ascii="Verdana" w:hAnsi="Verdana" w:cs="Arial"/>
          <w:sz w:val="20"/>
          <w:szCs w:val="22"/>
          <w:lang w:val="pt-BR"/>
        </w:rPr>
        <w:t xml:space="preserve"> a </w:t>
      </w:r>
      <w:r w:rsidR="004756C1" w:rsidRPr="002F50BD">
        <w:rPr>
          <w:rFonts w:ascii="Verdana" w:hAnsi="Verdana" w:cs="Arial"/>
          <w:sz w:val="20"/>
          <w:szCs w:val="22"/>
          <w:lang w:val="pt-BR"/>
        </w:rPr>
        <w:t xml:space="preserve">compra </w:t>
      </w:r>
      <w:r w:rsidR="0089298C" w:rsidRPr="002F50BD">
        <w:rPr>
          <w:rFonts w:ascii="Verdana" w:hAnsi="Verdana" w:cs="Arial"/>
          <w:sz w:val="20"/>
          <w:szCs w:val="22"/>
          <w:lang w:val="pt-BR"/>
        </w:rPr>
        <w:t>diret</w:t>
      </w:r>
      <w:r w:rsidR="004756C1" w:rsidRPr="002F50BD">
        <w:rPr>
          <w:rFonts w:ascii="Verdana" w:hAnsi="Verdana" w:cs="Arial"/>
          <w:sz w:val="20"/>
          <w:szCs w:val="22"/>
          <w:lang w:val="pt-BR"/>
        </w:rPr>
        <w:t xml:space="preserve">a </w:t>
      </w:r>
      <w:r w:rsidR="0089298C" w:rsidRPr="002F50BD">
        <w:rPr>
          <w:rFonts w:ascii="Verdana" w:hAnsi="Verdana" w:cs="Arial"/>
          <w:sz w:val="20"/>
          <w:szCs w:val="22"/>
          <w:lang w:val="pt-BR"/>
        </w:rPr>
        <w:t xml:space="preserve">do bem </w:t>
      </w:r>
      <w:r w:rsidR="004756C1" w:rsidRPr="002F50BD">
        <w:rPr>
          <w:rFonts w:ascii="Verdana" w:hAnsi="Verdana" w:cs="Arial"/>
          <w:sz w:val="20"/>
          <w:szCs w:val="22"/>
          <w:lang w:val="pt-BR"/>
        </w:rPr>
        <w:t xml:space="preserve">reclamado para </w:t>
      </w:r>
      <w:r w:rsidRPr="002F50BD">
        <w:rPr>
          <w:rFonts w:ascii="Verdana" w:hAnsi="Verdana" w:cs="Arial"/>
          <w:sz w:val="20"/>
          <w:szCs w:val="22"/>
          <w:lang w:val="pt-BR"/>
        </w:rPr>
        <w:t>depois</w:t>
      </w:r>
      <w:r w:rsidR="004756C1" w:rsidRPr="002F50BD">
        <w:rPr>
          <w:rFonts w:ascii="Verdana" w:hAnsi="Verdana" w:cs="Arial"/>
          <w:sz w:val="20"/>
          <w:szCs w:val="22"/>
          <w:lang w:val="pt-BR"/>
        </w:rPr>
        <w:t xml:space="preserve"> ser transferido</w:t>
      </w:r>
      <w:r w:rsidR="0089298C" w:rsidRPr="002F50BD">
        <w:rPr>
          <w:rFonts w:ascii="Verdana" w:hAnsi="Verdana" w:cs="Arial"/>
          <w:sz w:val="20"/>
          <w:szCs w:val="22"/>
          <w:lang w:val="pt-BR"/>
        </w:rPr>
        <w:t xml:space="preserve"> à comunidade solicita</w:t>
      </w:r>
      <w:r w:rsidRPr="002F50BD">
        <w:rPr>
          <w:rFonts w:ascii="Verdana" w:hAnsi="Verdana" w:cs="Arial"/>
          <w:sz w:val="20"/>
          <w:szCs w:val="22"/>
          <w:lang w:val="pt-BR"/>
        </w:rPr>
        <w:t>n</w:t>
      </w:r>
      <w:r w:rsidR="004756C1" w:rsidRPr="002F50BD">
        <w:rPr>
          <w:rFonts w:ascii="Verdana" w:hAnsi="Verdana" w:cs="Arial"/>
          <w:sz w:val="20"/>
          <w:szCs w:val="22"/>
          <w:lang w:val="pt-BR"/>
        </w:rPr>
        <w:t>te</w:t>
      </w:r>
      <w:r w:rsidR="0089298C" w:rsidRPr="002F50BD">
        <w:rPr>
          <w:rFonts w:ascii="Verdana" w:hAnsi="Verdana" w:cs="Arial"/>
          <w:sz w:val="20"/>
          <w:szCs w:val="22"/>
          <w:lang w:val="pt-BR"/>
        </w:rPr>
        <w:t xml:space="preserve"> e, a </w:t>
      </w:r>
      <w:r w:rsidR="004756C1" w:rsidRPr="002F50BD">
        <w:rPr>
          <w:rFonts w:ascii="Verdana" w:hAnsi="Verdana" w:cs="Arial"/>
          <w:sz w:val="20"/>
          <w:szCs w:val="22"/>
          <w:lang w:val="pt-BR"/>
        </w:rPr>
        <w:t>segunda,</w:t>
      </w:r>
      <w:r w:rsidR="0089298C" w:rsidRPr="002F50BD">
        <w:rPr>
          <w:rFonts w:ascii="Verdana" w:hAnsi="Verdana" w:cs="Arial"/>
          <w:sz w:val="20"/>
          <w:szCs w:val="22"/>
          <w:lang w:val="pt-BR"/>
        </w:rPr>
        <w:t xml:space="preserve"> </w:t>
      </w:r>
      <w:r w:rsidRPr="002F50BD">
        <w:rPr>
          <w:rFonts w:ascii="Verdana" w:hAnsi="Verdana" w:cs="Arial"/>
          <w:sz w:val="20"/>
          <w:szCs w:val="22"/>
          <w:lang w:val="pt-BR"/>
        </w:rPr>
        <w:t xml:space="preserve">no </w:t>
      </w:r>
      <w:r w:rsidR="004756C1" w:rsidRPr="002F50BD">
        <w:rPr>
          <w:rFonts w:ascii="Verdana" w:hAnsi="Verdana" w:cs="Arial"/>
          <w:sz w:val="20"/>
          <w:szCs w:val="22"/>
          <w:lang w:val="pt-BR"/>
        </w:rPr>
        <w:t>caso de n</w:t>
      </w:r>
      <w:r w:rsidRPr="002F50BD">
        <w:rPr>
          <w:rFonts w:ascii="Verdana" w:hAnsi="Verdana" w:cs="Arial"/>
          <w:sz w:val="20"/>
          <w:szCs w:val="22"/>
          <w:lang w:val="pt-BR"/>
        </w:rPr>
        <w:t>ã</w:t>
      </w:r>
      <w:r w:rsidR="004756C1" w:rsidRPr="002F50BD">
        <w:rPr>
          <w:rFonts w:ascii="Verdana" w:hAnsi="Verdana" w:cs="Arial"/>
          <w:sz w:val="20"/>
          <w:szCs w:val="22"/>
          <w:lang w:val="pt-BR"/>
        </w:rPr>
        <w:t xml:space="preserve">o </w:t>
      </w:r>
      <w:r w:rsidRPr="002F50BD">
        <w:rPr>
          <w:rFonts w:ascii="Verdana" w:hAnsi="Verdana" w:cs="Arial"/>
          <w:sz w:val="20"/>
          <w:szCs w:val="22"/>
          <w:lang w:val="pt-BR"/>
        </w:rPr>
        <w:t xml:space="preserve">ser exitosa </w:t>
      </w:r>
      <w:r w:rsidR="0089298C" w:rsidRPr="002F50BD">
        <w:rPr>
          <w:rFonts w:ascii="Verdana" w:hAnsi="Verdana" w:cs="Arial"/>
          <w:sz w:val="20"/>
          <w:szCs w:val="22"/>
          <w:lang w:val="pt-BR"/>
        </w:rPr>
        <w:t xml:space="preserve">a </w:t>
      </w:r>
      <w:r w:rsidR="004756C1" w:rsidRPr="002F50BD">
        <w:rPr>
          <w:rFonts w:ascii="Verdana" w:hAnsi="Verdana" w:cs="Arial"/>
          <w:sz w:val="20"/>
          <w:szCs w:val="22"/>
          <w:lang w:val="pt-BR"/>
        </w:rPr>
        <w:t xml:space="preserve">compra </w:t>
      </w:r>
      <w:r w:rsidR="0089298C" w:rsidRPr="002F50BD">
        <w:rPr>
          <w:rFonts w:ascii="Verdana" w:hAnsi="Verdana" w:cs="Arial"/>
          <w:sz w:val="20"/>
          <w:szCs w:val="22"/>
          <w:lang w:val="pt-BR"/>
        </w:rPr>
        <w:t>diret</w:t>
      </w:r>
      <w:r w:rsidR="004756C1" w:rsidRPr="002F50BD">
        <w:rPr>
          <w:rFonts w:ascii="Verdana" w:hAnsi="Verdana" w:cs="Arial"/>
          <w:sz w:val="20"/>
          <w:szCs w:val="22"/>
          <w:lang w:val="pt-BR"/>
        </w:rPr>
        <w:t xml:space="preserve">a </w:t>
      </w:r>
      <w:r w:rsidR="0089298C" w:rsidRPr="002F50BD">
        <w:rPr>
          <w:rFonts w:ascii="Verdana" w:hAnsi="Verdana" w:cs="Arial"/>
          <w:sz w:val="20"/>
          <w:szCs w:val="22"/>
          <w:lang w:val="pt-BR"/>
        </w:rPr>
        <w:t xml:space="preserve">do bem </w:t>
      </w:r>
      <w:r w:rsidR="004756C1" w:rsidRPr="002F50BD">
        <w:rPr>
          <w:rFonts w:ascii="Verdana" w:hAnsi="Verdana" w:cs="Arial"/>
          <w:sz w:val="20"/>
          <w:szCs w:val="22"/>
          <w:lang w:val="pt-BR"/>
        </w:rPr>
        <w:t>reclamado, solicitar</w:t>
      </w:r>
      <w:r w:rsidR="0089298C" w:rsidRPr="002F50BD">
        <w:rPr>
          <w:rFonts w:ascii="Verdana" w:hAnsi="Verdana" w:cs="Arial"/>
          <w:sz w:val="20"/>
          <w:szCs w:val="22"/>
          <w:lang w:val="pt-BR"/>
        </w:rPr>
        <w:t xml:space="preserve"> a </w:t>
      </w:r>
      <w:r w:rsidR="00DB51F0" w:rsidRPr="002F50BD">
        <w:rPr>
          <w:rFonts w:ascii="Verdana" w:hAnsi="Verdana" w:cs="Arial"/>
          <w:sz w:val="20"/>
          <w:szCs w:val="22"/>
          <w:lang w:val="pt-BR"/>
        </w:rPr>
        <w:lastRenderedPageBreak/>
        <w:t>expropriação</w:t>
      </w:r>
      <w:r w:rsidR="004756C1" w:rsidRPr="002F50BD">
        <w:rPr>
          <w:rFonts w:ascii="Verdana" w:hAnsi="Verdana" w:cs="Arial"/>
          <w:sz w:val="20"/>
          <w:szCs w:val="22"/>
          <w:lang w:val="pt-BR"/>
        </w:rPr>
        <w:t xml:space="preserve"> </w:t>
      </w:r>
      <w:r w:rsidR="0089298C" w:rsidRPr="002F50BD">
        <w:rPr>
          <w:rFonts w:ascii="Verdana" w:hAnsi="Verdana" w:cs="Arial"/>
          <w:sz w:val="20"/>
          <w:szCs w:val="22"/>
          <w:lang w:val="pt-BR"/>
        </w:rPr>
        <w:t>do</w:t>
      </w:r>
      <w:r w:rsidR="00E7595C" w:rsidRPr="002F50BD">
        <w:rPr>
          <w:rFonts w:ascii="Verdana" w:hAnsi="Verdana" w:cs="Arial"/>
          <w:sz w:val="20"/>
          <w:szCs w:val="22"/>
          <w:lang w:val="pt-BR"/>
        </w:rPr>
        <w:t xml:space="preserve"> bem</w:t>
      </w:r>
      <w:r w:rsidR="004756C1" w:rsidRPr="002F50BD">
        <w:rPr>
          <w:rFonts w:ascii="Verdana" w:hAnsi="Verdana" w:cs="Arial"/>
          <w:sz w:val="20"/>
          <w:szCs w:val="22"/>
          <w:lang w:val="pt-BR"/>
        </w:rPr>
        <w:t xml:space="preserve">. </w:t>
      </w:r>
      <w:r w:rsidR="0089298C" w:rsidRPr="002F50BD">
        <w:rPr>
          <w:rFonts w:ascii="Verdana" w:hAnsi="Verdana" w:cs="Arial"/>
          <w:sz w:val="20"/>
          <w:szCs w:val="22"/>
          <w:lang w:val="pt-BR"/>
        </w:rPr>
        <w:t>Efetiv</w:t>
      </w:r>
      <w:r w:rsidR="004756C1" w:rsidRPr="002F50BD">
        <w:rPr>
          <w:rFonts w:ascii="Verdana" w:hAnsi="Verdana" w:cs="Arial"/>
          <w:sz w:val="20"/>
          <w:szCs w:val="22"/>
          <w:lang w:val="pt-BR"/>
        </w:rPr>
        <w:t>amente,</w:t>
      </w:r>
      <w:r w:rsidR="0089298C" w:rsidRPr="002F50BD">
        <w:rPr>
          <w:rFonts w:ascii="Verdana" w:hAnsi="Verdana" w:cs="Arial"/>
          <w:sz w:val="20"/>
          <w:szCs w:val="22"/>
          <w:lang w:val="pt-BR"/>
        </w:rPr>
        <w:t xml:space="preserve"> o </w:t>
      </w:r>
      <w:r w:rsidR="004756C1" w:rsidRPr="002F50BD">
        <w:rPr>
          <w:rFonts w:ascii="Verdana" w:hAnsi="Verdana" w:cs="Arial"/>
          <w:sz w:val="20"/>
          <w:szCs w:val="22"/>
          <w:lang w:val="pt-BR"/>
        </w:rPr>
        <w:t xml:space="preserve">Poder </w:t>
      </w:r>
      <w:r w:rsidR="0089298C" w:rsidRPr="002F50BD">
        <w:rPr>
          <w:rFonts w:ascii="Verdana" w:hAnsi="Verdana" w:cs="Arial"/>
          <w:sz w:val="20"/>
          <w:szCs w:val="22"/>
          <w:lang w:val="pt-BR"/>
        </w:rPr>
        <w:t>Executiv</w:t>
      </w:r>
      <w:r w:rsidR="004756C1" w:rsidRPr="002F50BD">
        <w:rPr>
          <w:rFonts w:ascii="Verdana" w:hAnsi="Verdana" w:cs="Arial"/>
          <w:sz w:val="20"/>
          <w:szCs w:val="22"/>
          <w:lang w:val="pt-BR"/>
        </w:rPr>
        <w:t>o,</w:t>
      </w:r>
      <w:r w:rsidR="0089298C" w:rsidRPr="002F50BD">
        <w:rPr>
          <w:rFonts w:ascii="Verdana" w:hAnsi="Verdana" w:cs="Arial"/>
          <w:sz w:val="20"/>
          <w:szCs w:val="22"/>
          <w:lang w:val="pt-BR"/>
        </w:rPr>
        <w:t xml:space="preserve"> através</w:t>
      </w:r>
      <w:r w:rsidR="004756C1" w:rsidRPr="002F50BD">
        <w:rPr>
          <w:rFonts w:ascii="Verdana" w:hAnsi="Verdana" w:cs="Arial"/>
          <w:sz w:val="20"/>
          <w:szCs w:val="22"/>
          <w:lang w:val="pt-BR"/>
        </w:rPr>
        <w:t xml:space="preserve"> </w:t>
      </w:r>
      <w:r w:rsidR="0089298C" w:rsidRPr="002F50BD">
        <w:rPr>
          <w:rFonts w:ascii="Verdana" w:hAnsi="Verdana" w:cs="Arial"/>
          <w:sz w:val="20"/>
          <w:szCs w:val="22"/>
          <w:lang w:val="pt-BR"/>
        </w:rPr>
        <w:t xml:space="preserve">do </w:t>
      </w:r>
      <w:r w:rsidR="004756C1" w:rsidRPr="002F50BD">
        <w:rPr>
          <w:rFonts w:ascii="Verdana" w:hAnsi="Verdana" w:cs="Arial"/>
          <w:sz w:val="20"/>
          <w:szCs w:val="22"/>
          <w:lang w:val="pt-BR"/>
        </w:rPr>
        <w:t>INDI</w:t>
      </w:r>
      <w:r w:rsidR="0089298C" w:rsidRPr="002F50BD">
        <w:rPr>
          <w:rFonts w:ascii="Verdana" w:hAnsi="Verdana" w:cs="Arial"/>
          <w:sz w:val="20"/>
          <w:szCs w:val="22"/>
          <w:lang w:val="pt-BR"/>
        </w:rPr>
        <w:t xml:space="preserve"> e do próprio</w:t>
      </w:r>
      <w:r w:rsidR="004756C1" w:rsidRPr="002F50BD">
        <w:rPr>
          <w:rFonts w:ascii="Verdana" w:hAnsi="Verdana" w:cs="Arial"/>
          <w:sz w:val="20"/>
          <w:szCs w:val="22"/>
          <w:lang w:val="pt-BR"/>
        </w:rPr>
        <w:t xml:space="preserve"> Presidente</w:t>
      </w:r>
      <w:r w:rsidR="0089298C" w:rsidRPr="002F50BD">
        <w:rPr>
          <w:rFonts w:ascii="Verdana" w:hAnsi="Verdana" w:cs="Arial"/>
          <w:sz w:val="20"/>
          <w:szCs w:val="22"/>
          <w:lang w:val="pt-BR"/>
        </w:rPr>
        <w:t xml:space="preserve"> da </w:t>
      </w:r>
      <w:r w:rsidR="004756C1" w:rsidRPr="002F50BD">
        <w:rPr>
          <w:rFonts w:ascii="Verdana" w:hAnsi="Verdana" w:cs="Arial"/>
          <w:sz w:val="20"/>
          <w:szCs w:val="22"/>
          <w:lang w:val="pt-BR"/>
        </w:rPr>
        <w:t xml:space="preserve">República, </w:t>
      </w:r>
      <w:r w:rsidRPr="002F50BD">
        <w:rPr>
          <w:rFonts w:ascii="Verdana" w:hAnsi="Verdana" w:cs="Arial"/>
          <w:sz w:val="20"/>
          <w:szCs w:val="22"/>
          <w:lang w:val="pt-BR"/>
        </w:rPr>
        <w:t xml:space="preserve">tentaram </w:t>
      </w:r>
      <w:r w:rsidR="004756C1" w:rsidRPr="002F50BD">
        <w:rPr>
          <w:rFonts w:ascii="Verdana" w:hAnsi="Verdana" w:cs="Arial"/>
          <w:sz w:val="20"/>
          <w:szCs w:val="22"/>
          <w:lang w:val="pt-BR"/>
        </w:rPr>
        <w:t>estas</w:t>
      </w:r>
      <w:r w:rsidR="006603BE" w:rsidRPr="002F50BD">
        <w:rPr>
          <w:rFonts w:ascii="Verdana" w:hAnsi="Verdana" w:cs="Arial"/>
          <w:sz w:val="20"/>
          <w:szCs w:val="22"/>
          <w:lang w:val="pt-BR"/>
        </w:rPr>
        <w:t xml:space="preserve"> vias </w:t>
      </w:r>
      <w:r w:rsidR="0089298C" w:rsidRPr="002F50BD">
        <w:rPr>
          <w:rFonts w:ascii="Verdana" w:hAnsi="Verdana" w:cs="Arial"/>
          <w:sz w:val="20"/>
          <w:szCs w:val="22"/>
          <w:lang w:val="pt-BR"/>
        </w:rPr>
        <w:t xml:space="preserve">sem </w:t>
      </w:r>
      <w:r w:rsidR="004756C1" w:rsidRPr="002F50BD">
        <w:rPr>
          <w:rFonts w:ascii="Verdana" w:hAnsi="Verdana" w:cs="Arial"/>
          <w:sz w:val="20"/>
          <w:szCs w:val="22"/>
          <w:lang w:val="pt-BR"/>
        </w:rPr>
        <w:t>resultados</w:t>
      </w:r>
      <w:r w:rsidR="00D95E71" w:rsidRPr="002F50BD">
        <w:rPr>
          <w:rFonts w:ascii="Verdana" w:hAnsi="Verdana" w:cs="Arial"/>
          <w:sz w:val="20"/>
          <w:szCs w:val="22"/>
          <w:lang w:val="pt-BR"/>
        </w:rPr>
        <w:t xml:space="preserve">. O </w:t>
      </w:r>
      <w:r w:rsidR="004756C1" w:rsidRPr="002F50BD">
        <w:rPr>
          <w:rFonts w:ascii="Verdana" w:hAnsi="Verdana" w:cs="Arial"/>
          <w:sz w:val="20"/>
          <w:szCs w:val="22"/>
          <w:lang w:val="pt-BR"/>
        </w:rPr>
        <w:t xml:space="preserve">Poder Legislativo </w:t>
      </w:r>
      <w:r w:rsidRPr="002F50BD">
        <w:rPr>
          <w:rFonts w:ascii="Verdana" w:hAnsi="Verdana" w:cs="Arial"/>
          <w:sz w:val="20"/>
          <w:szCs w:val="22"/>
          <w:lang w:val="pt-BR"/>
        </w:rPr>
        <w:t xml:space="preserve">negou </w:t>
      </w:r>
      <w:r w:rsidR="0089298C" w:rsidRPr="002F50BD">
        <w:rPr>
          <w:rFonts w:ascii="Verdana" w:hAnsi="Verdana" w:cs="Arial"/>
          <w:sz w:val="20"/>
          <w:szCs w:val="22"/>
          <w:lang w:val="pt-BR"/>
        </w:rPr>
        <w:t xml:space="preserve">o </w:t>
      </w:r>
      <w:r w:rsidR="004756C1" w:rsidRPr="002F50BD">
        <w:rPr>
          <w:rFonts w:ascii="Verdana" w:hAnsi="Verdana" w:cs="Arial"/>
          <w:sz w:val="20"/>
          <w:szCs w:val="22"/>
          <w:lang w:val="pt-BR"/>
        </w:rPr>
        <w:t xml:space="preserve">reclamo </w:t>
      </w:r>
      <w:r w:rsidRPr="002F50BD">
        <w:rPr>
          <w:rFonts w:ascii="Verdana" w:hAnsi="Verdana" w:cs="Arial"/>
          <w:sz w:val="20"/>
          <w:szCs w:val="22"/>
          <w:lang w:val="pt-BR"/>
        </w:rPr>
        <w:t xml:space="preserve">justificando </w:t>
      </w:r>
      <w:r w:rsidR="0089298C" w:rsidRPr="002F50BD">
        <w:rPr>
          <w:rFonts w:ascii="Verdana" w:hAnsi="Verdana" w:cs="Arial"/>
          <w:sz w:val="20"/>
          <w:szCs w:val="22"/>
          <w:lang w:val="pt-BR"/>
        </w:rPr>
        <w:t xml:space="preserve">“a </w:t>
      </w:r>
      <w:r w:rsidR="004756C1" w:rsidRPr="002F50BD">
        <w:rPr>
          <w:rFonts w:ascii="Verdana" w:hAnsi="Verdana" w:cs="Arial"/>
          <w:sz w:val="20"/>
          <w:szCs w:val="22"/>
          <w:lang w:val="pt-BR"/>
        </w:rPr>
        <w:t>racionalidad</w:t>
      </w:r>
      <w:r w:rsidRPr="002F50BD">
        <w:rPr>
          <w:rFonts w:ascii="Verdana" w:hAnsi="Verdana" w:cs="Arial"/>
          <w:sz w:val="20"/>
          <w:szCs w:val="22"/>
          <w:lang w:val="pt-BR"/>
        </w:rPr>
        <w:t>e</w:t>
      </w:r>
      <w:r w:rsidR="0089298C" w:rsidRPr="002F50BD">
        <w:rPr>
          <w:rFonts w:ascii="Verdana" w:hAnsi="Verdana" w:cs="Arial"/>
          <w:sz w:val="20"/>
          <w:szCs w:val="22"/>
          <w:lang w:val="pt-BR"/>
        </w:rPr>
        <w:t xml:space="preserve"> da </w:t>
      </w:r>
      <w:r w:rsidR="00AB454A" w:rsidRPr="002F50BD">
        <w:rPr>
          <w:rFonts w:ascii="Verdana" w:hAnsi="Verdana" w:cs="Arial"/>
          <w:sz w:val="20"/>
          <w:szCs w:val="22"/>
          <w:lang w:val="pt-BR"/>
        </w:rPr>
        <w:t>exploração</w:t>
      </w:r>
      <w:r w:rsidR="006603BE" w:rsidRPr="002F50BD">
        <w:rPr>
          <w:rFonts w:ascii="Verdana" w:hAnsi="Verdana" w:cs="Arial"/>
          <w:sz w:val="20"/>
          <w:szCs w:val="22"/>
          <w:lang w:val="pt-BR"/>
        </w:rPr>
        <w:t xml:space="preserve"> d</w:t>
      </w:r>
      <w:r w:rsidR="0089298C" w:rsidRPr="002F50BD">
        <w:rPr>
          <w:rFonts w:ascii="Verdana" w:hAnsi="Verdana" w:cs="Arial"/>
          <w:sz w:val="20"/>
          <w:szCs w:val="22"/>
          <w:lang w:val="pt-BR"/>
        </w:rPr>
        <w:t>a terra</w:t>
      </w:r>
      <w:r w:rsidR="004756C1" w:rsidRPr="002F50BD">
        <w:rPr>
          <w:rFonts w:ascii="Verdana" w:hAnsi="Verdana" w:cs="Arial"/>
          <w:sz w:val="20"/>
          <w:szCs w:val="22"/>
          <w:lang w:val="pt-BR"/>
        </w:rPr>
        <w:t xml:space="preserve"> reclamada”;</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cs="Arial"/>
          <w:sz w:val="20"/>
          <w:szCs w:val="22"/>
          <w:lang w:val="pt-BR"/>
        </w:rPr>
        <w:t xml:space="preserve">As </w:t>
      </w:r>
      <w:r w:rsidRPr="002F50BD">
        <w:rPr>
          <w:rFonts w:ascii="Verdana" w:hAnsi="Verdana"/>
          <w:sz w:val="20"/>
          <w:lang w:val="pt-BR"/>
        </w:rPr>
        <w:t>terra</w:t>
      </w:r>
      <w:r w:rsidR="004756C1" w:rsidRPr="002F50BD">
        <w:rPr>
          <w:rFonts w:ascii="Verdana" w:hAnsi="Verdana"/>
          <w:sz w:val="20"/>
          <w:lang w:val="pt-BR"/>
        </w:rPr>
        <w:t>s reclamadas</w:t>
      </w:r>
      <w:r w:rsidRPr="002F50BD">
        <w:rPr>
          <w:rFonts w:ascii="Verdana" w:hAnsi="Verdana"/>
          <w:sz w:val="20"/>
          <w:lang w:val="pt-BR"/>
        </w:rPr>
        <w:t xml:space="preserve"> pela Comunidade </w:t>
      </w:r>
      <w:r w:rsidR="004756C1" w:rsidRPr="002F50BD">
        <w:rPr>
          <w:rFonts w:ascii="Verdana" w:hAnsi="Verdana"/>
          <w:sz w:val="20"/>
          <w:lang w:val="pt-BR"/>
        </w:rPr>
        <w:t>indígena Yakye Axa</w:t>
      </w:r>
      <w:r w:rsidRPr="002F50BD">
        <w:rPr>
          <w:rFonts w:ascii="Verdana" w:hAnsi="Verdana"/>
          <w:sz w:val="20"/>
          <w:lang w:val="pt-BR"/>
        </w:rPr>
        <w:t xml:space="preserve"> são </w:t>
      </w:r>
      <w:r w:rsidR="004756C1" w:rsidRPr="002F50BD">
        <w:rPr>
          <w:rFonts w:ascii="Verdana" w:hAnsi="Verdana"/>
          <w:sz w:val="20"/>
          <w:lang w:val="pt-BR"/>
        </w:rPr>
        <w:t xml:space="preserve">parte de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tradicional o</w:t>
      </w:r>
      <w:r w:rsidR="00385366"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território</w:t>
      </w:r>
      <w:r w:rsidR="004756C1" w:rsidRPr="002F50BD">
        <w:rPr>
          <w:rFonts w:ascii="Verdana" w:hAnsi="Verdana"/>
          <w:sz w:val="20"/>
          <w:lang w:val="pt-BR"/>
        </w:rPr>
        <w:t xml:space="preserve"> ancestral, tal como</w:t>
      </w:r>
      <w:r w:rsidRPr="002F50BD">
        <w:rPr>
          <w:rFonts w:ascii="Verdana" w:hAnsi="Verdana"/>
          <w:sz w:val="20"/>
          <w:lang w:val="pt-BR"/>
        </w:rPr>
        <w:t xml:space="preserve"> o próprio</w:t>
      </w:r>
      <w:r w:rsidR="004756C1" w:rsidRPr="002F50BD">
        <w:rPr>
          <w:rFonts w:ascii="Verdana" w:hAnsi="Verdana"/>
          <w:sz w:val="20"/>
          <w:lang w:val="pt-BR"/>
        </w:rPr>
        <w:t xml:space="preserve"> Estado o re</w:t>
      </w:r>
      <w:r w:rsidRPr="002F50BD">
        <w:rPr>
          <w:rFonts w:ascii="Verdana" w:hAnsi="Verdana"/>
          <w:sz w:val="20"/>
          <w:lang w:val="pt-BR"/>
        </w:rPr>
        <w:t>conheceu</w:t>
      </w:r>
      <w:r w:rsidR="00BE346D"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deveria</w:t>
      </w:r>
      <w:r w:rsidR="004756C1" w:rsidRPr="002F50BD">
        <w:rPr>
          <w:rFonts w:ascii="Verdana" w:hAnsi="Verdana"/>
          <w:sz w:val="20"/>
          <w:lang w:val="pt-BR"/>
        </w:rPr>
        <w:t xml:space="preserve"> tutelar</w:t>
      </w:r>
      <w:r w:rsidRPr="002F50BD">
        <w:rPr>
          <w:rFonts w:ascii="Verdana" w:hAnsi="Verdana"/>
          <w:sz w:val="20"/>
          <w:lang w:val="pt-BR"/>
        </w:rPr>
        <w:t xml:space="preserve"> o direito da Comunidad</w:t>
      </w:r>
      <w:r w:rsidR="00385366" w:rsidRPr="002F50BD">
        <w:rPr>
          <w:rFonts w:ascii="Verdana" w:hAnsi="Verdana"/>
          <w:sz w:val="20"/>
          <w:lang w:val="pt-BR"/>
        </w:rPr>
        <w:t xml:space="preserve">e </w:t>
      </w:r>
      <w:r w:rsidR="00551A45" w:rsidRPr="002F50BD">
        <w:rPr>
          <w:rFonts w:ascii="Verdana" w:hAnsi="Verdana"/>
          <w:sz w:val="20"/>
          <w:lang w:val="pt-BR"/>
        </w:rPr>
        <w:t>de</w:t>
      </w:r>
      <w:r w:rsidRPr="002F50BD">
        <w:rPr>
          <w:rFonts w:ascii="Verdana" w:hAnsi="Verdana"/>
          <w:sz w:val="20"/>
          <w:lang w:val="pt-BR"/>
        </w:rPr>
        <w:t xml:space="preserve"> viver neste território</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 xml:space="preserve"> contemplado</w:t>
      </w:r>
      <w:r w:rsidRPr="002F50BD">
        <w:rPr>
          <w:rFonts w:ascii="Verdana" w:hAnsi="Verdana"/>
          <w:sz w:val="20"/>
          <w:lang w:val="pt-BR"/>
        </w:rPr>
        <w:t xml:space="preserve"> e </w:t>
      </w:r>
      <w:r w:rsidR="004756C1" w:rsidRPr="002F50BD">
        <w:rPr>
          <w:rFonts w:ascii="Verdana" w:hAnsi="Verdana"/>
          <w:sz w:val="20"/>
          <w:lang w:val="pt-BR"/>
        </w:rPr>
        <w:t>protegido</w:t>
      </w:r>
      <w:r w:rsidRPr="002F50BD">
        <w:rPr>
          <w:rFonts w:ascii="Verdana" w:hAnsi="Verdana"/>
          <w:sz w:val="20"/>
          <w:lang w:val="pt-BR"/>
        </w:rPr>
        <w:t xml:space="preserve"> pelo artigo</w:t>
      </w:r>
      <w:r w:rsidR="004756C1" w:rsidRPr="002F50BD">
        <w:rPr>
          <w:rFonts w:ascii="Verdana" w:hAnsi="Verdana"/>
          <w:sz w:val="20"/>
          <w:lang w:val="pt-BR"/>
        </w:rPr>
        <w:t xml:space="preserve"> </w:t>
      </w:r>
      <w:r w:rsidR="00063B47" w:rsidRPr="002F50BD">
        <w:rPr>
          <w:rFonts w:ascii="Verdana" w:hAnsi="Verdana"/>
          <w:sz w:val="20"/>
          <w:lang w:val="pt-BR"/>
        </w:rPr>
        <w:t>21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 xml:space="preserve">ção e pela própria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interna </w:t>
      </w:r>
      <w:r w:rsidR="00385366"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a; </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sz w:val="20"/>
          <w:lang w:val="pt-BR"/>
        </w:rPr>
        <w:t>O território</w:t>
      </w:r>
      <w:r w:rsidR="004756C1" w:rsidRPr="002F50BD">
        <w:rPr>
          <w:rFonts w:ascii="Verdana" w:hAnsi="Verdana"/>
          <w:sz w:val="20"/>
          <w:lang w:val="pt-BR"/>
        </w:rPr>
        <w:t xml:space="preserve"> que reclama</w:t>
      </w:r>
      <w:r w:rsidR="00385366" w:rsidRPr="002F50BD">
        <w:rPr>
          <w:rFonts w:ascii="Verdana" w:hAnsi="Verdana"/>
          <w:sz w:val="20"/>
          <w:lang w:val="pt-BR"/>
        </w:rPr>
        <w:t>m</w:t>
      </w:r>
      <w:r w:rsidRPr="002F50BD">
        <w:rPr>
          <w:rFonts w:ascii="Verdana" w:hAnsi="Verdana"/>
          <w:sz w:val="20"/>
          <w:lang w:val="pt-BR"/>
        </w:rPr>
        <w:t xml:space="preserve"> é um </w:t>
      </w:r>
      <w:r w:rsidR="004756C1" w:rsidRPr="002F50BD">
        <w:rPr>
          <w:rFonts w:ascii="Verdana" w:hAnsi="Verdana"/>
          <w:sz w:val="20"/>
          <w:lang w:val="pt-BR"/>
        </w:rPr>
        <w:t>lugar sagrado,</w:t>
      </w:r>
      <w:r w:rsidRPr="002F50BD">
        <w:rPr>
          <w:rFonts w:ascii="Verdana" w:hAnsi="Verdana"/>
          <w:sz w:val="20"/>
          <w:lang w:val="pt-BR"/>
        </w:rPr>
        <w:t xml:space="preserve"> é o </w:t>
      </w:r>
      <w:r w:rsidR="004756C1" w:rsidRPr="002F50BD">
        <w:rPr>
          <w:rFonts w:ascii="Verdana" w:hAnsi="Verdana"/>
          <w:sz w:val="20"/>
          <w:lang w:val="pt-BR"/>
        </w:rPr>
        <w:t>único lugar</w:t>
      </w:r>
      <w:r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terão</w:t>
      </w:r>
      <w:r w:rsidR="004756C1" w:rsidRPr="002F50BD">
        <w:rPr>
          <w:rFonts w:ascii="Verdana" w:hAnsi="Verdana"/>
          <w:sz w:val="20"/>
          <w:lang w:val="pt-BR"/>
        </w:rPr>
        <w:t xml:space="preserve"> plena </w:t>
      </w:r>
      <w:r w:rsidRPr="002F50BD">
        <w:rPr>
          <w:rFonts w:ascii="Verdana" w:hAnsi="Verdana"/>
          <w:sz w:val="20"/>
          <w:lang w:val="pt-BR"/>
        </w:rPr>
        <w:t xml:space="preserve">liberdade </w:t>
      </w:r>
      <w:r w:rsidR="004756C1" w:rsidRPr="002F50BD">
        <w:rPr>
          <w:rFonts w:ascii="Verdana" w:hAnsi="Verdana"/>
          <w:sz w:val="20"/>
          <w:lang w:val="pt-BR"/>
        </w:rPr>
        <w:t>porque</w:t>
      </w:r>
      <w:r w:rsidRPr="002F50BD">
        <w:rPr>
          <w:rFonts w:ascii="Verdana" w:hAnsi="Verdana"/>
          <w:sz w:val="20"/>
          <w:lang w:val="pt-BR"/>
        </w:rPr>
        <w:t xml:space="preserve"> é a terra</w:t>
      </w:r>
      <w:r w:rsidR="004756C1" w:rsidRPr="002F50BD">
        <w:rPr>
          <w:rFonts w:ascii="Verdana" w:hAnsi="Verdana"/>
          <w:sz w:val="20"/>
          <w:lang w:val="pt-BR"/>
        </w:rPr>
        <w:t xml:space="preserve"> que</w:t>
      </w:r>
      <w:r w:rsidRPr="002F50BD">
        <w:rPr>
          <w:rFonts w:ascii="Verdana" w:hAnsi="Verdana"/>
          <w:sz w:val="20"/>
          <w:lang w:val="pt-BR"/>
        </w:rPr>
        <w:t xml:space="preserve"> lhes </w:t>
      </w:r>
      <w:r w:rsidR="00AB454A" w:rsidRPr="002F50BD">
        <w:rPr>
          <w:rFonts w:ascii="Verdana" w:hAnsi="Verdana"/>
          <w:sz w:val="20"/>
          <w:lang w:val="pt-BR"/>
        </w:rPr>
        <w:t>pertence</w:t>
      </w:r>
      <w:r w:rsidR="004756C1" w:rsidRPr="002F50BD">
        <w:rPr>
          <w:rFonts w:ascii="Verdana" w:hAnsi="Verdana"/>
          <w:sz w:val="20"/>
          <w:lang w:val="pt-BR"/>
        </w:rPr>
        <w:t>,</w:t>
      </w:r>
      <w:r w:rsidRPr="002F50BD">
        <w:rPr>
          <w:rFonts w:ascii="Verdana" w:hAnsi="Verdana"/>
          <w:sz w:val="20"/>
          <w:lang w:val="pt-BR"/>
        </w:rPr>
        <w:t xml:space="preserve"> é o </w:t>
      </w:r>
      <w:r w:rsidR="004756C1" w:rsidRPr="002F50BD">
        <w:rPr>
          <w:rFonts w:ascii="Verdana" w:hAnsi="Verdana"/>
          <w:sz w:val="20"/>
          <w:lang w:val="pt-BR"/>
        </w:rPr>
        <w:t>lugar</w:t>
      </w:r>
      <w:r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poderão</w:t>
      </w:r>
      <w:r w:rsidR="004756C1" w:rsidRPr="002F50BD">
        <w:rPr>
          <w:rFonts w:ascii="Verdana" w:hAnsi="Verdana"/>
          <w:sz w:val="20"/>
          <w:lang w:val="pt-BR"/>
        </w:rPr>
        <w:t xml:space="preserve"> recuperar</w:t>
      </w:r>
      <w:r w:rsidRPr="002F50BD">
        <w:rPr>
          <w:rFonts w:ascii="Verdana" w:hAnsi="Verdana"/>
          <w:sz w:val="20"/>
          <w:lang w:val="pt-BR"/>
        </w:rPr>
        <w:t xml:space="preserve"> a convivência</w:t>
      </w:r>
      <w:r w:rsidR="004756C1"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cultura</w:t>
      </w:r>
      <w:r w:rsidRPr="002F50BD">
        <w:rPr>
          <w:rFonts w:ascii="Verdana" w:hAnsi="Verdana"/>
          <w:sz w:val="20"/>
          <w:lang w:val="pt-BR"/>
        </w:rPr>
        <w:t xml:space="preserve"> e a </w:t>
      </w:r>
      <w:r w:rsidR="004756C1" w:rsidRPr="002F50BD">
        <w:rPr>
          <w:rFonts w:ascii="Verdana" w:hAnsi="Verdana"/>
          <w:sz w:val="20"/>
          <w:lang w:val="pt-BR"/>
        </w:rPr>
        <w:t>alegr</w:t>
      </w:r>
      <w:r w:rsidR="00385366" w:rsidRPr="002F50BD">
        <w:rPr>
          <w:rFonts w:ascii="Verdana" w:hAnsi="Verdana"/>
          <w:sz w:val="20"/>
          <w:lang w:val="pt-BR"/>
        </w:rPr>
        <w:t>i</w:t>
      </w:r>
      <w:r w:rsidR="004756C1" w:rsidRPr="002F50BD">
        <w:rPr>
          <w:rFonts w:ascii="Verdana" w:hAnsi="Verdana"/>
          <w:sz w:val="20"/>
          <w:lang w:val="pt-BR"/>
        </w:rPr>
        <w:t>a;</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ocupa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um território</w:t>
      </w:r>
      <w:r w:rsidR="004756C1" w:rsidRPr="002F50BD">
        <w:rPr>
          <w:rFonts w:ascii="Verdana" w:hAnsi="Verdana"/>
          <w:sz w:val="20"/>
          <w:lang w:val="pt-BR"/>
        </w:rPr>
        <w:t xml:space="preserve"> por parte de</w:t>
      </w:r>
      <w:r w:rsidRPr="002F50BD">
        <w:rPr>
          <w:rFonts w:ascii="Verdana" w:hAnsi="Verdana"/>
          <w:sz w:val="20"/>
          <w:lang w:val="pt-BR"/>
        </w:rPr>
        <w:t xml:space="preserve"> um povo</w:t>
      </w:r>
      <w:r w:rsidR="004756C1" w:rsidRPr="002F50BD">
        <w:rPr>
          <w:rFonts w:ascii="Verdana" w:hAnsi="Verdana"/>
          <w:sz w:val="20"/>
          <w:lang w:val="pt-BR"/>
        </w:rPr>
        <w:t xml:space="preserve"> o</w:t>
      </w:r>
      <w:r w:rsidR="006603BE"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 xml:space="preserve">comunidade </w:t>
      </w:r>
      <w:r w:rsidR="004756C1" w:rsidRPr="002F50BD">
        <w:rPr>
          <w:rFonts w:ascii="Verdana" w:hAnsi="Verdana"/>
          <w:sz w:val="20"/>
          <w:lang w:val="pt-BR"/>
        </w:rPr>
        <w:t>indígena</w:t>
      </w:r>
      <w:r w:rsidR="00551A45" w:rsidRPr="002F50BD">
        <w:rPr>
          <w:rFonts w:ascii="Verdana" w:hAnsi="Verdana"/>
          <w:sz w:val="20"/>
          <w:lang w:val="pt-BR"/>
        </w:rPr>
        <w:t>,</w:t>
      </w:r>
      <w:r w:rsidR="004756C1" w:rsidRPr="002F50BD">
        <w:rPr>
          <w:rFonts w:ascii="Verdana" w:hAnsi="Verdana"/>
          <w:sz w:val="20"/>
          <w:lang w:val="pt-BR"/>
        </w:rPr>
        <w:t xml:space="preserve"> de </w:t>
      </w:r>
      <w:r w:rsidRPr="002F50BD">
        <w:rPr>
          <w:rFonts w:ascii="Verdana" w:hAnsi="Verdana"/>
          <w:sz w:val="20"/>
          <w:lang w:val="pt-BR"/>
        </w:rPr>
        <w:t xml:space="preserve">acordo </w:t>
      </w:r>
      <w:r w:rsidR="00385366" w:rsidRPr="002F50BD">
        <w:rPr>
          <w:rFonts w:ascii="Verdana" w:hAnsi="Verdana"/>
          <w:sz w:val="20"/>
          <w:lang w:val="pt-BR"/>
        </w:rPr>
        <w:t>com a</w:t>
      </w:r>
      <w:r w:rsidRPr="002F50BD">
        <w:rPr>
          <w:rFonts w:ascii="Verdana" w:hAnsi="Verdana"/>
          <w:sz w:val="20"/>
          <w:lang w:val="pt-BR"/>
        </w:rPr>
        <w:t xml:space="preserve"> </w:t>
      </w:r>
      <w:r w:rsidR="00385366" w:rsidRPr="002F50BD">
        <w:rPr>
          <w:rFonts w:ascii="Verdana" w:hAnsi="Verdana"/>
          <w:sz w:val="20"/>
          <w:lang w:val="pt-BR"/>
        </w:rPr>
        <w:t>legislação paraguaia</w:t>
      </w:r>
      <w:r w:rsidR="006603BE" w:rsidRPr="002F50BD">
        <w:rPr>
          <w:rFonts w:ascii="Verdana" w:hAnsi="Verdana"/>
          <w:sz w:val="20"/>
          <w:lang w:val="pt-BR"/>
        </w:rPr>
        <w:t>,</w:t>
      </w:r>
      <w:r w:rsidR="004756C1" w:rsidRPr="002F50BD">
        <w:rPr>
          <w:rFonts w:ascii="Verdana" w:hAnsi="Verdana"/>
          <w:sz w:val="20"/>
          <w:lang w:val="pt-BR"/>
        </w:rPr>
        <w:t xml:space="preserve"> n</w:t>
      </w:r>
      <w:r w:rsidR="00385366" w:rsidRPr="002F50BD">
        <w:rPr>
          <w:rFonts w:ascii="Verdana" w:hAnsi="Verdana"/>
          <w:sz w:val="20"/>
          <w:lang w:val="pt-BR"/>
        </w:rPr>
        <w:t>ã</w:t>
      </w:r>
      <w:r w:rsidR="004756C1" w:rsidRPr="002F50BD">
        <w:rPr>
          <w:rFonts w:ascii="Verdana" w:hAnsi="Verdana"/>
          <w:sz w:val="20"/>
          <w:lang w:val="pt-BR"/>
        </w:rPr>
        <w:t>o se restringe</w:t>
      </w:r>
      <w:r w:rsidRPr="002F50BD">
        <w:rPr>
          <w:rFonts w:ascii="Verdana" w:hAnsi="Verdana"/>
          <w:sz w:val="20"/>
          <w:lang w:val="pt-BR"/>
        </w:rPr>
        <w:t xml:space="preserve"> ao </w:t>
      </w:r>
      <w:r w:rsidR="004756C1" w:rsidRPr="002F50BD">
        <w:rPr>
          <w:rFonts w:ascii="Verdana" w:hAnsi="Verdana"/>
          <w:sz w:val="20"/>
          <w:lang w:val="pt-BR"/>
        </w:rPr>
        <w:t>simple</w:t>
      </w:r>
      <w:r w:rsidR="00385366" w:rsidRPr="002F50BD">
        <w:rPr>
          <w:rFonts w:ascii="Verdana" w:hAnsi="Verdana"/>
          <w:sz w:val="20"/>
          <w:lang w:val="pt-BR"/>
        </w:rPr>
        <w:t>s</w:t>
      </w:r>
      <w:r w:rsidR="004756C1" w:rsidRPr="002F50BD">
        <w:rPr>
          <w:rFonts w:ascii="Verdana" w:hAnsi="Verdana"/>
          <w:sz w:val="20"/>
          <w:lang w:val="pt-BR"/>
        </w:rPr>
        <w:t xml:space="preserve"> núcleo de casas</w:t>
      </w:r>
      <w:r w:rsidRPr="002F50BD">
        <w:rPr>
          <w:rFonts w:ascii="Verdana" w:hAnsi="Verdana"/>
          <w:sz w:val="20"/>
          <w:lang w:val="pt-BR"/>
        </w:rPr>
        <w:t xml:space="preserve"> dos </w:t>
      </w:r>
      <w:r w:rsidR="004756C1" w:rsidRPr="002F50BD">
        <w:rPr>
          <w:rFonts w:ascii="Verdana" w:hAnsi="Verdana"/>
          <w:sz w:val="20"/>
          <w:lang w:val="pt-BR"/>
        </w:rPr>
        <w:t>indígenas.</w:t>
      </w:r>
      <w:r w:rsidRPr="002F50BD">
        <w:rPr>
          <w:rFonts w:ascii="Verdana" w:hAnsi="Verdana"/>
          <w:sz w:val="20"/>
          <w:lang w:val="pt-BR"/>
        </w:rPr>
        <w:t xml:space="preserve"> </w:t>
      </w:r>
      <w:r w:rsidR="00385366" w:rsidRPr="002F50BD">
        <w:rPr>
          <w:rFonts w:ascii="Verdana" w:hAnsi="Verdana"/>
          <w:sz w:val="20"/>
          <w:lang w:val="pt-BR"/>
        </w:rPr>
        <w:t xml:space="preserve">Ao </w:t>
      </w:r>
      <w:r w:rsidR="004076AD" w:rsidRPr="002F50BD">
        <w:rPr>
          <w:rFonts w:ascii="Verdana" w:hAnsi="Verdana"/>
          <w:sz w:val="20"/>
          <w:lang w:val="pt-BR"/>
        </w:rPr>
        <w:t>contrário,</w:t>
      </w:r>
      <w:r w:rsidRPr="002F50BD">
        <w:rPr>
          <w:rFonts w:ascii="Verdana" w:hAnsi="Verdana"/>
          <w:sz w:val="20"/>
          <w:lang w:val="pt-BR"/>
        </w:rPr>
        <w:t xml:space="preserve"> o território inclui um</w:t>
      </w:r>
      <w:r w:rsidR="00385366"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 física conformada por</w:t>
      </w:r>
      <w:r w:rsidRPr="002F50BD">
        <w:rPr>
          <w:rFonts w:ascii="Verdana" w:hAnsi="Verdana"/>
          <w:sz w:val="20"/>
          <w:lang w:val="pt-BR"/>
        </w:rPr>
        <w:t xml:space="preserve"> um </w:t>
      </w:r>
      <w:r w:rsidR="004756C1" w:rsidRPr="002F50BD">
        <w:rPr>
          <w:rFonts w:ascii="Verdana" w:hAnsi="Verdana"/>
          <w:sz w:val="20"/>
          <w:lang w:val="pt-BR"/>
        </w:rPr>
        <w:t xml:space="preserve">núcleo de casas, recursos </w:t>
      </w:r>
      <w:r w:rsidR="005D1589" w:rsidRPr="002F50BD">
        <w:rPr>
          <w:rFonts w:ascii="Verdana" w:hAnsi="Verdana"/>
          <w:sz w:val="20"/>
          <w:lang w:val="pt-BR"/>
        </w:rPr>
        <w:t>naturais</w:t>
      </w:r>
      <w:r w:rsidR="004756C1" w:rsidRPr="002F50BD">
        <w:rPr>
          <w:rFonts w:ascii="Verdana" w:hAnsi="Verdana"/>
          <w:sz w:val="20"/>
          <w:lang w:val="pt-BR"/>
        </w:rPr>
        <w:t>, cultivos, planta</w:t>
      </w:r>
      <w:r w:rsidRPr="002F50BD">
        <w:rPr>
          <w:rFonts w:ascii="Verdana" w:hAnsi="Verdana"/>
          <w:sz w:val="20"/>
          <w:lang w:val="pt-BR"/>
        </w:rPr>
        <w:t xml:space="preserve">ções e </w:t>
      </w:r>
      <w:r w:rsidR="004756C1" w:rsidRPr="002F50BD">
        <w:rPr>
          <w:rFonts w:ascii="Verdana" w:hAnsi="Verdana"/>
          <w:sz w:val="20"/>
          <w:lang w:val="pt-BR"/>
        </w:rPr>
        <w:t>s</w:t>
      </w:r>
      <w:r w:rsidR="00385366" w:rsidRPr="002F50BD">
        <w:rPr>
          <w:rFonts w:ascii="Verdana" w:hAnsi="Verdana"/>
          <w:sz w:val="20"/>
          <w:lang w:val="pt-BR"/>
        </w:rPr>
        <w:t>e</w:t>
      </w:r>
      <w:r w:rsidR="004756C1" w:rsidRPr="002F50BD">
        <w:rPr>
          <w:rFonts w:ascii="Verdana" w:hAnsi="Verdana"/>
          <w:sz w:val="20"/>
          <w:lang w:val="pt-BR"/>
        </w:rPr>
        <w:t>u entorno, ligados</w:t>
      </w:r>
      <w:r w:rsidRPr="002F50BD">
        <w:rPr>
          <w:rFonts w:ascii="Verdana" w:hAnsi="Verdana"/>
          <w:sz w:val="20"/>
          <w:lang w:val="pt-BR"/>
        </w:rPr>
        <w:t xml:space="preserve"> </w:t>
      </w:r>
      <w:r w:rsidR="00385366" w:rsidRPr="002F50BD">
        <w:rPr>
          <w:rFonts w:ascii="Verdana" w:hAnsi="Verdana"/>
          <w:sz w:val="20"/>
          <w:lang w:val="pt-BR"/>
        </w:rPr>
        <w:t xml:space="preserve">na medida do </w:t>
      </w:r>
      <w:r w:rsidRPr="002F50BD">
        <w:rPr>
          <w:rFonts w:ascii="Verdana" w:hAnsi="Verdana"/>
          <w:sz w:val="20"/>
          <w:lang w:val="pt-BR"/>
        </w:rPr>
        <w:t xml:space="preserve">possível </w:t>
      </w:r>
      <w:r w:rsidR="00385366" w:rsidRPr="002F50BD">
        <w:rPr>
          <w:rFonts w:ascii="Verdana" w:hAnsi="Verdana"/>
          <w:sz w:val="20"/>
          <w:lang w:val="pt-BR"/>
        </w:rPr>
        <w:t>à</w:t>
      </w:r>
      <w:r w:rsidR="004756C1" w:rsidRPr="002F50BD">
        <w:rPr>
          <w:rFonts w:ascii="Verdana" w:hAnsi="Verdana"/>
          <w:sz w:val="20"/>
          <w:lang w:val="pt-BR"/>
        </w:rPr>
        <w:t xml:space="preserve"> su</w:t>
      </w:r>
      <w:r w:rsidR="00385366" w:rsidRPr="002F50BD">
        <w:rPr>
          <w:rFonts w:ascii="Verdana" w:hAnsi="Verdana"/>
          <w:sz w:val="20"/>
          <w:lang w:val="pt-BR"/>
        </w:rPr>
        <w:t>a</w:t>
      </w:r>
      <w:r w:rsidR="004756C1" w:rsidRPr="002F50BD">
        <w:rPr>
          <w:rFonts w:ascii="Verdana" w:hAnsi="Verdana"/>
          <w:sz w:val="20"/>
          <w:lang w:val="pt-BR"/>
        </w:rPr>
        <w:t xml:space="preserve"> tradi</w:t>
      </w:r>
      <w:r w:rsidRPr="002F50BD">
        <w:rPr>
          <w:rFonts w:ascii="Verdana" w:hAnsi="Verdana"/>
          <w:sz w:val="20"/>
          <w:lang w:val="pt-BR"/>
        </w:rPr>
        <w:t>ção</w:t>
      </w:r>
      <w:r w:rsidR="004756C1" w:rsidRPr="002F50BD">
        <w:rPr>
          <w:rFonts w:ascii="Verdana" w:hAnsi="Verdana"/>
          <w:sz w:val="20"/>
          <w:lang w:val="pt-BR"/>
        </w:rPr>
        <w:t xml:space="preserve"> cultural;</w:t>
      </w:r>
    </w:p>
    <w:p w:rsidR="004756C1" w:rsidRPr="002F50BD" w:rsidRDefault="004756C1">
      <w:pPr>
        <w:tabs>
          <w:tab w:val="left" w:pos="1080"/>
        </w:tabs>
        <w:ind w:left="720"/>
        <w:jc w:val="both"/>
        <w:rPr>
          <w:rFonts w:ascii="Verdana" w:hAnsi="Verdana" w:cs="Arial"/>
          <w:sz w:val="20"/>
          <w:szCs w:val="22"/>
          <w:lang w:val="pt-BR"/>
        </w:rPr>
      </w:pPr>
    </w:p>
    <w:p w:rsidR="004756C1" w:rsidRPr="002F50BD" w:rsidRDefault="00385366">
      <w:pPr>
        <w:numPr>
          <w:ilvl w:val="0"/>
          <w:numId w:val="9"/>
        </w:numPr>
        <w:tabs>
          <w:tab w:val="left" w:pos="1080"/>
        </w:tabs>
        <w:ind w:left="720"/>
        <w:jc w:val="both"/>
        <w:rPr>
          <w:rFonts w:ascii="Verdana" w:hAnsi="Verdana"/>
          <w:sz w:val="20"/>
          <w:lang w:val="pt-BR"/>
        </w:rPr>
      </w:pPr>
      <w:r w:rsidRPr="002F50BD">
        <w:rPr>
          <w:rFonts w:ascii="Verdana" w:hAnsi="Verdana" w:cs="Arial"/>
          <w:sz w:val="20"/>
          <w:szCs w:val="22"/>
          <w:lang w:val="pt-BR"/>
        </w:rPr>
        <w:t xml:space="preserve">Foi provado </w:t>
      </w:r>
      <w:r w:rsidR="004756C1" w:rsidRPr="002F50BD">
        <w:rPr>
          <w:rFonts w:ascii="Verdana" w:hAnsi="Verdana" w:cs="Arial"/>
          <w:sz w:val="20"/>
          <w:szCs w:val="22"/>
          <w:lang w:val="pt-BR"/>
        </w:rPr>
        <w:t>que</w:t>
      </w:r>
      <w:r w:rsidR="0089298C" w:rsidRPr="002F50BD">
        <w:rPr>
          <w:rFonts w:ascii="Verdana" w:hAnsi="Verdana" w:cs="Arial"/>
          <w:sz w:val="20"/>
          <w:szCs w:val="22"/>
          <w:lang w:val="pt-BR"/>
        </w:rPr>
        <w:t xml:space="preserve"> a Comunidade </w:t>
      </w:r>
      <w:r w:rsidR="004756C1" w:rsidRPr="002F50BD">
        <w:rPr>
          <w:rFonts w:ascii="Verdana" w:hAnsi="Verdana" w:cs="Arial"/>
          <w:sz w:val="20"/>
          <w:szCs w:val="22"/>
          <w:lang w:val="pt-BR"/>
        </w:rPr>
        <w:t>Yakye Axa</w:t>
      </w:r>
      <w:r w:rsidR="0089298C" w:rsidRPr="002F50BD">
        <w:rPr>
          <w:rFonts w:ascii="Verdana" w:hAnsi="Verdana" w:cs="Arial"/>
          <w:sz w:val="20"/>
          <w:szCs w:val="22"/>
          <w:lang w:val="pt-BR"/>
        </w:rPr>
        <w:t xml:space="preserve"> é uma comunidade </w:t>
      </w:r>
      <w:r w:rsidR="00AB454A" w:rsidRPr="002F50BD">
        <w:rPr>
          <w:rFonts w:ascii="Verdana" w:hAnsi="Verdana" w:cs="Arial"/>
          <w:sz w:val="20"/>
          <w:szCs w:val="22"/>
          <w:lang w:val="pt-BR"/>
        </w:rPr>
        <w:t>caça</w:t>
      </w:r>
      <w:r w:rsidR="004756C1" w:rsidRPr="002F50BD">
        <w:rPr>
          <w:rFonts w:ascii="Verdana" w:hAnsi="Verdana" w:cs="Arial"/>
          <w:sz w:val="20"/>
          <w:szCs w:val="22"/>
          <w:lang w:val="pt-BR"/>
        </w:rPr>
        <w:t>dora</w:t>
      </w:r>
      <w:r w:rsidR="0089298C" w:rsidRPr="002F50BD">
        <w:rPr>
          <w:rFonts w:ascii="Verdana" w:hAnsi="Verdana" w:cs="Arial"/>
          <w:sz w:val="20"/>
          <w:szCs w:val="22"/>
          <w:lang w:val="pt-BR"/>
        </w:rPr>
        <w:t xml:space="preserve"> e </w:t>
      </w:r>
      <w:r w:rsidRPr="002F50BD">
        <w:rPr>
          <w:rFonts w:ascii="Verdana" w:hAnsi="Verdana" w:cs="Arial"/>
          <w:sz w:val="20"/>
          <w:szCs w:val="22"/>
          <w:lang w:val="pt-BR"/>
        </w:rPr>
        <w:t>coletora</w:t>
      </w:r>
      <w:r w:rsidR="004756C1" w:rsidRPr="002F50BD">
        <w:rPr>
          <w:rFonts w:ascii="Verdana" w:hAnsi="Verdana" w:cs="Arial"/>
          <w:sz w:val="20"/>
          <w:szCs w:val="22"/>
          <w:lang w:val="pt-BR"/>
        </w:rPr>
        <w:t>,</w:t>
      </w:r>
      <w:r w:rsidR="0089298C" w:rsidRPr="002F50BD">
        <w:rPr>
          <w:rFonts w:ascii="Verdana" w:hAnsi="Verdana" w:cs="Arial"/>
          <w:sz w:val="20"/>
          <w:szCs w:val="22"/>
          <w:lang w:val="pt-BR"/>
        </w:rPr>
        <w:t xml:space="preserve"> </w:t>
      </w:r>
      <w:r w:rsidRPr="002F50BD">
        <w:rPr>
          <w:rFonts w:ascii="Verdana" w:hAnsi="Verdana" w:cs="Arial"/>
          <w:sz w:val="20"/>
          <w:szCs w:val="22"/>
          <w:lang w:val="pt-BR"/>
        </w:rPr>
        <w:t xml:space="preserve">de modo </w:t>
      </w:r>
      <w:r w:rsidR="0089298C" w:rsidRPr="002F50BD">
        <w:rPr>
          <w:rFonts w:ascii="Verdana" w:hAnsi="Verdana" w:cs="Arial"/>
          <w:sz w:val="20"/>
          <w:szCs w:val="22"/>
          <w:lang w:val="pt-BR"/>
        </w:rPr>
        <w:t xml:space="preserve">que a </w:t>
      </w:r>
      <w:r w:rsidR="00E10DBB" w:rsidRPr="002F50BD">
        <w:rPr>
          <w:rFonts w:ascii="Verdana" w:hAnsi="Verdana" w:cs="Arial"/>
          <w:sz w:val="20"/>
          <w:szCs w:val="22"/>
          <w:lang w:val="pt-BR"/>
        </w:rPr>
        <w:t>superfície</w:t>
      </w:r>
      <w:r w:rsidR="004756C1" w:rsidRPr="002F50BD">
        <w:rPr>
          <w:rFonts w:ascii="Verdana" w:hAnsi="Verdana" w:cs="Arial"/>
          <w:sz w:val="20"/>
          <w:szCs w:val="22"/>
          <w:lang w:val="pt-BR"/>
        </w:rPr>
        <w:t xml:space="preserve"> </w:t>
      </w:r>
      <w:r w:rsidR="0089298C" w:rsidRPr="002F50BD">
        <w:rPr>
          <w:rFonts w:ascii="Verdana" w:hAnsi="Verdana" w:cs="Arial"/>
          <w:sz w:val="20"/>
          <w:szCs w:val="22"/>
          <w:lang w:val="pt-BR"/>
        </w:rPr>
        <w:t>do território</w:t>
      </w:r>
      <w:r w:rsidR="004756C1" w:rsidRPr="002F50BD">
        <w:rPr>
          <w:rFonts w:ascii="Verdana" w:hAnsi="Verdana" w:cs="Arial"/>
          <w:sz w:val="20"/>
          <w:szCs w:val="22"/>
          <w:lang w:val="pt-BR"/>
        </w:rPr>
        <w:t xml:space="preserve"> que </w:t>
      </w:r>
      <w:r w:rsidRPr="002F50BD">
        <w:rPr>
          <w:rFonts w:ascii="Verdana" w:hAnsi="Verdana" w:cs="Arial"/>
          <w:sz w:val="20"/>
          <w:szCs w:val="22"/>
          <w:lang w:val="pt-BR"/>
        </w:rPr>
        <w:t xml:space="preserve">lhe </w:t>
      </w:r>
      <w:r w:rsidR="00551A45" w:rsidRPr="002F50BD">
        <w:rPr>
          <w:rFonts w:ascii="Verdana" w:hAnsi="Verdana" w:cs="Arial"/>
          <w:sz w:val="20"/>
          <w:szCs w:val="22"/>
          <w:lang w:val="pt-BR"/>
        </w:rPr>
        <w:t xml:space="preserve">for </w:t>
      </w:r>
      <w:r w:rsidRPr="002F50BD">
        <w:rPr>
          <w:rFonts w:ascii="Verdana" w:hAnsi="Verdana" w:cs="Arial"/>
          <w:sz w:val="20"/>
          <w:szCs w:val="22"/>
          <w:lang w:val="pt-BR"/>
        </w:rPr>
        <w:t xml:space="preserve">transferido </w:t>
      </w:r>
      <w:r w:rsidR="0089298C" w:rsidRPr="002F50BD">
        <w:rPr>
          <w:rFonts w:ascii="Verdana" w:hAnsi="Verdana" w:cs="Arial"/>
          <w:sz w:val="20"/>
          <w:szCs w:val="22"/>
          <w:lang w:val="pt-BR"/>
        </w:rPr>
        <w:t xml:space="preserve">deve </w:t>
      </w:r>
      <w:r w:rsidR="004756C1" w:rsidRPr="002F50BD">
        <w:rPr>
          <w:rFonts w:ascii="Verdana" w:hAnsi="Verdana" w:cs="Arial"/>
          <w:sz w:val="20"/>
          <w:szCs w:val="22"/>
          <w:lang w:val="pt-BR"/>
        </w:rPr>
        <w:t>ser suficiente para que preserve su</w:t>
      </w:r>
      <w:r w:rsidRPr="002F50BD">
        <w:rPr>
          <w:rFonts w:ascii="Verdana" w:hAnsi="Verdana" w:cs="Arial"/>
          <w:sz w:val="20"/>
          <w:szCs w:val="22"/>
          <w:lang w:val="pt-BR"/>
        </w:rPr>
        <w:t>a</w:t>
      </w:r>
      <w:r w:rsidR="004756C1" w:rsidRPr="002F50BD">
        <w:rPr>
          <w:rFonts w:ascii="Verdana" w:hAnsi="Verdana" w:cs="Arial"/>
          <w:sz w:val="20"/>
          <w:szCs w:val="22"/>
          <w:lang w:val="pt-BR"/>
        </w:rPr>
        <w:t>s</w:t>
      </w:r>
      <w:r w:rsidR="00AB454A" w:rsidRPr="002F50BD">
        <w:rPr>
          <w:rFonts w:ascii="Verdana" w:hAnsi="Verdana" w:cs="Arial"/>
          <w:sz w:val="20"/>
          <w:szCs w:val="22"/>
          <w:lang w:val="pt-BR"/>
        </w:rPr>
        <w:t xml:space="preserve"> própria</w:t>
      </w:r>
      <w:r w:rsidR="004756C1" w:rsidRPr="002F50BD">
        <w:rPr>
          <w:rFonts w:ascii="Verdana" w:hAnsi="Verdana" w:cs="Arial"/>
          <w:sz w:val="20"/>
          <w:szCs w:val="22"/>
          <w:lang w:val="pt-BR"/>
        </w:rPr>
        <w:t xml:space="preserve">s formas de vida, </w:t>
      </w:r>
      <w:r w:rsidR="0089298C" w:rsidRPr="002F50BD">
        <w:rPr>
          <w:rFonts w:ascii="Verdana" w:hAnsi="Verdana" w:cs="Arial"/>
          <w:sz w:val="20"/>
          <w:szCs w:val="22"/>
          <w:lang w:val="pt-BR"/>
        </w:rPr>
        <w:t>assegure</w:t>
      </w:r>
      <w:r w:rsidR="004756C1" w:rsidRPr="002F50BD">
        <w:rPr>
          <w:rFonts w:ascii="Verdana" w:hAnsi="Verdana" w:cs="Arial"/>
          <w:sz w:val="20"/>
          <w:szCs w:val="22"/>
          <w:lang w:val="pt-BR"/>
        </w:rPr>
        <w:t xml:space="preserve"> su</w:t>
      </w:r>
      <w:r w:rsidRPr="002F50BD">
        <w:rPr>
          <w:rFonts w:ascii="Verdana" w:hAnsi="Verdana" w:cs="Arial"/>
          <w:sz w:val="20"/>
          <w:szCs w:val="22"/>
          <w:lang w:val="pt-BR"/>
        </w:rPr>
        <w:t>a</w:t>
      </w:r>
      <w:r w:rsidR="004756C1" w:rsidRPr="002F50BD">
        <w:rPr>
          <w:rFonts w:ascii="Verdana" w:hAnsi="Verdana" w:cs="Arial"/>
          <w:sz w:val="20"/>
          <w:szCs w:val="22"/>
          <w:lang w:val="pt-BR"/>
        </w:rPr>
        <w:t xml:space="preserve"> viabilidad</w:t>
      </w:r>
      <w:r w:rsidRPr="002F50BD">
        <w:rPr>
          <w:rFonts w:ascii="Verdana" w:hAnsi="Verdana" w:cs="Arial"/>
          <w:sz w:val="20"/>
          <w:szCs w:val="22"/>
          <w:lang w:val="pt-BR"/>
        </w:rPr>
        <w:t>e</w:t>
      </w:r>
      <w:r w:rsidR="004756C1" w:rsidRPr="002F50BD">
        <w:rPr>
          <w:rFonts w:ascii="Verdana" w:hAnsi="Verdana" w:cs="Arial"/>
          <w:sz w:val="20"/>
          <w:szCs w:val="22"/>
          <w:lang w:val="pt-BR"/>
        </w:rPr>
        <w:t xml:space="preserve"> cultural</w:t>
      </w:r>
      <w:r w:rsidR="0089298C" w:rsidRPr="002F50BD">
        <w:rPr>
          <w:rFonts w:ascii="Verdana" w:hAnsi="Verdana" w:cs="Arial"/>
          <w:sz w:val="20"/>
          <w:szCs w:val="22"/>
          <w:lang w:val="pt-BR"/>
        </w:rPr>
        <w:t xml:space="preserve"> e econômic</w:t>
      </w:r>
      <w:r w:rsidR="004756C1" w:rsidRPr="002F50BD">
        <w:rPr>
          <w:rFonts w:ascii="Verdana" w:hAnsi="Verdana" w:cs="Arial"/>
          <w:sz w:val="20"/>
          <w:szCs w:val="22"/>
          <w:lang w:val="pt-BR"/>
        </w:rPr>
        <w:t xml:space="preserve">a, </w:t>
      </w:r>
      <w:r w:rsidR="0089298C" w:rsidRPr="002F50BD">
        <w:rPr>
          <w:rFonts w:ascii="Verdana" w:hAnsi="Verdana" w:cs="Arial"/>
          <w:sz w:val="20"/>
          <w:szCs w:val="22"/>
          <w:lang w:val="pt-BR"/>
        </w:rPr>
        <w:t>assim</w:t>
      </w:r>
      <w:r w:rsidR="004756C1" w:rsidRPr="002F50BD">
        <w:rPr>
          <w:rFonts w:ascii="Verdana" w:hAnsi="Verdana" w:cs="Arial"/>
          <w:sz w:val="20"/>
          <w:szCs w:val="22"/>
          <w:lang w:val="pt-BR"/>
        </w:rPr>
        <w:t xml:space="preserve"> como </w:t>
      </w:r>
      <w:r w:rsidRPr="002F50BD">
        <w:rPr>
          <w:rFonts w:ascii="Verdana" w:hAnsi="Verdana" w:cs="Arial"/>
          <w:sz w:val="20"/>
          <w:szCs w:val="22"/>
          <w:lang w:val="pt-BR"/>
        </w:rPr>
        <w:t>sua própria</w:t>
      </w:r>
      <w:r w:rsidR="0089298C" w:rsidRPr="002F50BD">
        <w:rPr>
          <w:rFonts w:ascii="Verdana" w:hAnsi="Verdana" w:cs="Arial"/>
          <w:sz w:val="20"/>
          <w:szCs w:val="22"/>
          <w:lang w:val="pt-BR"/>
        </w:rPr>
        <w:t xml:space="preserve"> </w:t>
      </w:r>
      <w:r w:rsidRPr="002F50BD">
        <w:rPr>
          <w:rFonts w:ascii="Verdana" w:hAnsi="Verdana" w:cs="Arial"/>
          <w:sz w:val="20"/>
          <w:szCs w:val="22"/>
          <w:lang w:val="pt-BR"/>
        </w:rPr>
        <w:t>expansão</w:t>
      </w:r>
      <w:r w:rsidR="0089298C" w:rsidRPr="002F50BD">
        <w:rPr>
          <w:rFonts w:ascii="Verdana" w:hAnsi="Verdana" w:cs="Arial"/>
          <w:sz w:val="20"/>
          <w:szCs w:val="22"/>
          <w:lang w:val="pt-BR"/>
        </w:rPr>
        <w:t>, e</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9"/>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00385366" w:rsidRPr="002F50BD">
        <w:rPr>
          <w:rFonts w:ascii="Verdana" w:hAnsi="Verdana"/>
          <w:sz w:val="20"/>
          <w:lang w:val="pt-BR"/>
        </w:rPr>
        <w:t>não garantiu</w:t>
      </w:r>
      <w:r w:rsidRPr="002F50BD">
        <w:rPr>
          <w:rFonts w:ascii="Verdana" w:hAnsi="Verdana"/>
          <w:sz w:val="20"/>
          <w:lang w:val="pt-BR"/>
        </w:rPr>
        <w:t xml:space="preserve"> o direito</w:t>
      </w:r>
      <w:r w:rsidR="004756C1" w:rsidRPr="002F50BD">
        <w:rPr>
          <w:rFonts w:ascii="Verdana" w:hAnsi="Verdana"/>
          <w:sz w:val="20"/>
          <w:lang w:val="pt-BR"/>
        </w:rPr>
        <w:t xml:space="preserve"> de </w:t>
      </w:r>
      <w:r w:rsidRPr="002F50BD">
        <w:rPr>
          <w:rFonts w:ascii="Verdana" w:hAnsi="Verdana"/>
          <w:sz w:val="20"/>
          <w:lang w:val="pt-BR"/>
        </w:rPr>
        <w:t xml:space="preserve">propriedade da Comunidade </w:t>
      </w:r>
      <w:r w:rsidR="004756C1" w:rsidRPr="002F50BD">
        <w:rPr>
          <w:rFonts w:ascii="Verdana" w:hAnsi="Verdana"/>
          <w:sz w:val="20"/>
          <w:lang w:val="pt-BR"/>
        </w:rPr>
        <w:t xml:space="preserve">indígena Yakye Axa de </w:t>
      </w:r>
      <w:r w:rsidR="0039684E" w:rsidRPr="002F50BD">
        <w:rPr>
          <w:rFonts w:ascii="Verdana" w:hAnsi="Verdana"/>
          <w:sz w:val="20"/>
          <w:lang w:val="pt-BR"/>
        </w:rPr>
        <w:t>Povo Enxet-Lengua</w:t>
      </w:r>
      <w:r w:rsidRPr="002F50BD">
        <w:rPr>
          <w:rFonts w:ascii="Verdana" w:hAnsi="Verdana"/>
          <w:sz w:val="20"/>
          <w:lang w:val="pt-BR"/>
        </w:rPr>
        <w:t xml:space="preserve"> e </w:t>
      </w:r>
      <w:r w:rsidR="00250677" w:rsidRPr="002F50BD">
        <w:rPr>
          <w:rFonts w:ascii="Verdana" w:hAnsi="Verdana"/>
          <w:sz w:val="20"/>
          <w:lang w:val="pt-BR"/>
        </w:rPr>
        <w:t xml:space="preserve">de </w:t>
      </w:r>
      <w:r w:rsidR="00AB454A" w:rsidRPr="002F50BD">
        <w:rPr>
          <w:rFonts w:ascii="Verdana" w:hAnsi="Verdana"/>
          <w:sz w:val="20"/>
          <w:lang w:val="pt-BR"/>
        </w:rPr>
        <w:t>seus membros</w:t>
      </w:r>
      <w:r w:rsidR="004756C1" w:rsidRPr="002F50BD">
        <w:rPr>
          <w:rFonts w:ascii="Verdana" w:hAnsi="Verdana"/>
          <w:sz w:val="20"/>
          <w:lang w:val="pt-BR"/>
        </w:rPr>
        <w:t xml:space="preserve"> </w:t>
      </w:r>
      <w:r w:rsidR="00551A45" w:rsidRPr="002F50BD">
        <w:rPr>
          <w:rFonts w:ascii="Verdana" w:hAnsi="Verdana"/>
          <w:sz w:val="20"/>
          <w:lang w:val="pt-BR"/>
        </w:rPr>
        <w:t>sobre</w:t>
      </w:r>
      <w:r w:rsidR="004756C1" w:rsidRPr="002F50BD">
        <w:rPr>
          <w:rFonts w:ascii="Verdana" w:hAnsi="Verdana"/>
          <w:sz w:val="20"/>
          <w:lang w:val="pt-BR"/>
        </w:rPr>
        <w:t xml:space="preserve"> </w:t>
      </w:r>
      <w:r w:rsidR="00AB454A" w:rsidRPr="002F50BD">
        <w:rPr>
          <w:rFonts w:ascii="Verdana" w:hAnsi="Verdana"/>
          <w:sz w:val="20"/>
          <w:lang w:val="pt-BR"/>
        </w:rPr>
        <w:t>seu território</w:t>
      </w:r>
      <w:r w:rsidR="004756C1" w:rsidRPr="002F50BD">
        <w:rPr>
          <w:rFonts w:ascii="Verdana" w:hAnsi="Verdana"/>
          <w:sz w:val="20"/>
          <w:lang w:val="pt-BR"/>
        </w:rPr>
        <w:t xml:space="preserve"> ancestral, priv</w:t>
      </w:r>
      <w:r w:rsidR="00250677" w:rsidRPr="002F50BD">
        <w:rPr>
          <w:rFonts w:ascii="Verdana" w:hAnsi="Verdana"/>
          <w:sz w:val="20"/>
          <w:lang w:val="pt-BR"/>
        </w:rPr>
        <w:t xml:space="preserve">ando-os </w:t>
      </w:r>
      <w:r w:rsidR="00AB454A" w:rsidRPr="002F50BD">
        <w:rPr>
          <w:rFonts w:ascii="Verdana" w:hAnsi="Verdana"/>
          <w:sz w:val="20"/>
          <w:lang w:val="pt-BR"/>
        </w:rPr>
        <w:t>não apenas</w:t>
      </w:r>
      <w:r w:rsidRPr="002F50BD">
        <w:rPr>
          <w:rFonts w:ascii="Verdana" w:hAnsi="Verdana"/>
          <w:sz w:val="20"/>
          <w:lang w:val="pt-BR"/>
        </w:rPr>
        <w:t xml:space="preserve"> da </w:t>
      </w:r>
      <w:r w:rsidR="00A50140" w:rsidRPr="002F50BD">
        <w:rPr>
          <w:rFonts w:ascii="Verdana" w:hAnsi="Verdana"/>
          <w:sz w:val="20"/>
          <w:lang w:val="pt-BR"/>
        </w:rPr>
        <w:t>posse</w:t>
      </w:r>
      <w:r w:rsidR="004756C1" w:rsidRPr="002F50BD">
        <w:rPr>
          <w:rFonts w:ascii="Verdana" w:hAnsi="Verdana"/>
          <w:sz w:val="20"/>
          <w:lang w:val="pt-BR"/>
        </w:rPr>
        <w:t xml:space="preserve"> material de </w:t>
      </w:r>
      <w:r w:rsidR="00AB454A" w:rsidRPr="002F50BD">
        <w:rPr>
          <w:rFonts w:ascii="Verdana" w:hAnsi="Verdana"/>
          <w:sz w:val="20"/>
          <w:lang w:val="pt-BR"/>
        </w:rPr>
        <w:t>seu território</w:t>
      </w:r>
      <w:r w:rsidR="00250677" w:rsidRPr="002F50BD">
        <w:rPr>
          <w:rFonts w:ascii="Verdana" w:hAnsi="Verdana"/>
          <w:sz w:val="20"/>
          <w:lang w:val="pt-BR"/>
        </w:rPr>
        <w:t>,</w:t>
      </w:r>
      <w:r w:rsidRPr="002F50BD">
        <w:rPr>
          <w:rFonts w:ascii="Verdana" w:hAnsi="Verdana"/>
          <w:sz w:val="20"/>
          <w:lang w:val="pt-BR"/>
        </w:rPr>
        <w:t xml:space="preserve"> mas </w:t>
      </w:r>
      <w:r w:rsidR="00250677" w:rsidRPr="002F50BD">
        <w:rPr>
          <w:rFonts w:ascii="Verdana" w:hAnsi="Verdana"/>
          <w:sz w:val="20"/>
          <w:lang w:val="pt-BR"/>
        </w:rPr>
        <w:t xml:space="preserve">também </w:t>
      </w:r>
      <w:r w:rsidRPr="002F50BD">
        <w:rPr>
          <w:rFonts w:ascii="Verdana" w:hAnsi="Verdana"/>
          <w:sz w:val="20"/>
          <w:lang w:val="pt-BR"/>
        </w:rPr>
        <w:t xml:space="preserve">da </w:t>
      </w:r>
      <w:r w:rsidR="004756C1" w:rsidRPr="002F50BD">
        <w:rPr>
          <w:rFonts w:ascii="Verdana" w:hAnsi="Verdana"/>
          <w:sz w:val="20"/>
          <w:lang w:val="pt-BR"/>
        </w:rPr>
        <w:t xml:space="preserve">base fundamental para </w:t>
      </w:r>
      <w:r w:rsidRPr="002F50BD">
        <w:rPr>
          <w:rFonts w:ascii="Verdana" w:hAnsi="Verdana"/>
          <w:sz w:val="20"/>
          <w:lang w:val="pt-BR"/>
        </w:rPr>
        <w:t>desenvolver</w:t>
      </w:r>
      <w:r w:rsidR="004756C1" w:rsidRPr="002F50BD">
        <w:rPr>
          <w:rFonts w:ascii="Verdana" w:hAnsi="Verdana"/>
          <w:sz w:val="20"/>
          <w:lang w:val="pt-BR"/>
        </w:rPr>
        <w:t xml:space="preserve"> </w:t>
      </w:r>
      <w:r w:rsidR="005A6BC7" w:rsidRPr="002F50BD">
        <w:rPr>
          <w:rFonts w:ascii="Verdana" w:hAnsi="Verdana"/>
          <w:sz w:val="20"/>
          <w:lang w:val="pt-BR"/>
        </w:rPr>
        <w:t>sua cultura</w:t>
      </w:r>
      <w:r w:rsidR="004756C1" w:rsidRPr="002F50BD">
        <w:rPr>
          <w:rFonts w:ascii="Verdana" w:hAnsi="Verdana"/>
          <w:sz w:val="20"/>
          <w:lang w:val="pt-BR"/>
        </w:rPr>
        <w:t>,</w:t>
      </w:r>
      <w:r w:rsidRPr="002F50BD">
        <w:rPr>
          <w:rFonts w:ascii="Verdana" w:hAnsi="Verdana"/>
          <w:sz w:val="20"/>
          <w:lang w:val="pt-BR"/>
        </w:rPr>
        <w:t xml:space="preserve"> sua vida</w:t>
      </w:r>
      <w:r w:rsidR="004756C1" w:rsidRPr="002F50BD">
        <w:rPr>
          <w:rFonts w:ascii="Verdana" w:hAnsi="Verdana"/>
          <w:sz w:val="20"/>
          <w:lang w:val="pt-BR"/>
        </w:rPr>
        <w:t xml:space="preserve"> espiritual, </w:t>
      </w:r>
      <w:r w:rsidRPr="002F50BD">
        <w:rPr>
          <w:rFonts w:ascii="Verdana" w:hAnsi="Verdana"/>
          <w:sz w:val="20"/>
          <w:lang w:val="pt-BR"/>
        </w:rPr>
        <w:t xml:space="preserve">sua integridade e </w:t>
      </w:r>
      <w:r w:rsidR="004756C1" w:rsidRPr="002F50BD">
        <w:rPr>
          <w:rFonts w:ascii="Verdana" w:hAnsi="Verdana"/>
          <w:sz w:val="20"/>
          <w:lang w:val="pt-BR"/>
        </w:rPr>
        <w:t>su</w:t>
      </w:r>
      <w:r w:rsidR="00250677" w:rsidRPr="002F50BD">
        <w:rPr>
          <w:rFonts w:ascii="Verdana" w:hAnsi="Verdana"/>
          <w:sz w:val="20"/>
          <w:lang w:val="pt-BR"/>
        </w:rPr>
        <w:t>a</w:t>
      </w:r>
      <w:r w:rsidR="004756C1" w:rsidRPr="002F50BD">
        <w:rPr>
          <w:rFonts w:ascii="Verdana" w:hAnsi="Verdana"/>
          <w:sz w:val="20"/>
          <w:lang w:val="pt-BR"/>
        </w:rPr>
        <w:t xml:space="preserve"> </w:t>
      </w:r>
      <w:r w:rsidR="004076AD" w:rsidRPr="002F50BD">
        <w:rPr>
          <w:rFonts w:ascii="Verdana" w:hAnsi="Verdana"/>
          <w:sz w:val="20"/>
          <w:lang w:val="pt-BR"/>
        </w:rPr>
        <w:t>sobrevivência</w:t>
      </w:r>
      <w:r w:rsidR="004756C1" w:rsidRPr="002F50BD">
        <w:rPr>
          <w:rFonts w:ascii="Verdana" w:hAnsi="Verdana"/>
          <w:sz w:val="20"/>
          <w:lang w:val="pt-BR"/>
        </w:rPr>
        <w:t xml:space="preserve"> </w:t>
      </w:r>
      <w:r w:rsidRPr="002F50BD">
        <w:rPr>
          <w:rFonts w:ascii="Verdana" w:hAnsi="Verdana"/>
          <w:sz w:val="20"/>
          <w:lang w:val="pt-BR"/>
        </w:rPr>
        <w:t>econômic</w:t>
      </w:r>
      <w:r w:rsidR="004756C1" w:rsidRPr="002F50BD">
        <w:rPr>
          <w:rFonts w:ascii="Verdana" w:hAnsi="Verdana"/>
          <w:sz w:val="20"/>
          <w:lang w:val="pt-BR"/>
        </w:rPr>
        <w:t xml:space="preserve">a.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 xml:space="preserve">Alegações dos </w:t>
      </w:r>
      <w:r w:rsidR="008C29C9" w:rsidRPr="002F50BD">
        <w:rPr>
          <w:rFonts w:ascii="Verdana" w:hAnsi="Verdana"/>
          <w:i/>
          <w:sz w:val="20"/>
        </w:rPr>
        <w:t>representante</w:t>
      </w:r>
      <w:r w:rsidR="004756C1" w:rsidRPr="002F50BD">
        <w:rPr>
          <w:rFonts w:ascii="Verdana" w:hAnsi="Verdana"/>
          <w:i/>
          <w:sz w:val="20"/>
        </w:rPr>
        <w:t>s</w:t>
      </w:r>
    </w:p>
    <w:p w:rsidR="004756C1" w:rsidRPr="002F50BD" w:rsidRDefault="004756C1">
      <w:pPr>
        <w:ind w:left="360"/>
        <w:jc w:val="both"/>
        <w:rPr>
          <w:rFonts w:ascii="Verdana" w:hAnsi="Verdana"/>
          <w:i/>
          <w:sz w:val="20"/>
        </w:rPr>
      </w:pPr>
    </w:p>
    <w:p w:rsidR="004756C1" w:rsidRPr="002F50BD" w:rsidRDefault="00F46680">
      <w:pPr>
        <w:numPr>
          <w:ilvl w:val="0"/>
          <w:numId w:val="28"/>
        </w:numPr>
        <w:tabs>
          <w:tab w:val="left" w:pos="360"/>
        </w:tabs>
        <w:jc w:val="both"/>
        <w:rPr>
          <w:rFonts w:ascii="Verdana" w:hAnsi="Verdana"/>
          <w:sz w:val="20"/>
          <w:lang w:val="pt-BR"/>
        </w:rPr>
      </w:pPr>
      <w:r w:rsidRPr="002F50BD">
        <w:rPr>
          <w:rFonts w:ascii="Verdana" w:hAnsi="Verdana"/>
          <w:sz w:val="20"/>
          <w:lang w:val="pt-BR"/>
        </w:rPr>
        <w:t xml:space="preserve">Quanto </w:t>
      </w:r>
      <w:r w:rsidR="0089298C" w:rsidRPr="002F50BD">
        <w:rPr>
          <w:rFonts w:ascii="Verdana" w:hAnsi="Verdana"/>
          <w:sz w:val="20"/>
          <w:lang w:val="pt-BR"/>
        </w:rPr>
        <w:t>ao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alegaram</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F04F59">
      <w:pPr>
        <w:numPr>
          <w:ilvl w:val="0"/>
          <w:numId w:val="10"/>
        </w:numPr>
        <w:tabs>
          <w:tab w:val="left" w:pos="270"/>
          <w:tab w:val="left" w:pos="1080"/>
        </w:tabs>
        <w:ind w:left="720"/>
        <w:jc w:val="both"/>
        <w:rPr>
          <w:rFonts w:ascii="Verdana" w:hAnsi="Verdana"/>
          <w:sz w:val="20"/>
          <w:lang w:val="pt-BR"/>
        </w:rPr>
      </w:pPr>
      <w:r>
        <w:rPr>
          <w:rFonts w:ascii="Verdana" w:hAnsi="Verdana"/>
          <w:sz w:val="20"/>
          <w:lang w:val="pt-BR"/>
        </w:rPr>
        <w:t>Iss</w:t>
      </w:r>
      <w:r w:rsidR="00180286" w:rsidRPr="002F50BD">
        <w:rPr>
          <w:rFonts w:ascii="Verdana" w:hAnsi="Verdana"/>
          <w:sz w:val="20"/>
          <w:lang w:val="pt-BR"/>
        </w:rPr>
        <w:t xml:space="preserve">o </w:t>
      </w:r>
      <w:r w:rsidR="0089298C" w:rsidRPr="002F50BD">
        <w:rPr>
          <w:rFonts w:ascii="Verdana" w:hAnsi="Verdana"/>
          <w:sz w:val="20"/>
          <w:lang w:val="pt-BR"/>
        </w:rPr>
        <w:t>inclui o direito dos povo</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comunidades indígenas</w:t>
      </w:r>
      <w:r w:rsidR="0089298C" w:rsidRPr="002F50BD">
        <w:rPr>
          <w:rFonts w:ascii="Verdana" w:hAnsi="Verdana"/>
          <w:sz w:val="20"/>
          <w:lang w:val="pt-BR"/>
        </w:rPr>
        <w:t xml:space="preserve">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 sobre</w:t>
      </w:r>
      <w:r w:rsidR="0089298C" w:rsidRPr="002F50BD">
        <w:rPr>
          <w:rFonts w:ascii="Verdana" w:hAnsi="Verdana"/>
          <w:sz w:val="20"/>
          <w:lang w:val="pt-BR"/>
        </w:rPr>
        <w:t xml:space="preserve"> as terra</w:t>
      </w:r>
      <w:r w:rsidR="004756C1" w:rsidRPr="002F50BD">
        <w:rPr>
          <w:rFonts w:ascii="Verdana" w:hAnsi="Verdana"/>
          <w:sz w:val="20"/>
          <w:lang w:val="pt-BR"/>
        </w:rPr>
        <w:t xml:space="preserve">s ancestralmente habitadas, </w:t>
      </w:r>
      <w:r w:rsidR="0089298C" w:rsidRPr="002F50BD">
        <w:rPr>
          <w:rFonts w:ascii="Verdana" w:hAnsi="Verdana"/>
          <w:sz w:val="20"/>
          <w:lang w:val="pt-BR"/>
        </w:rPr>
        <w:t>terra</w:t>
      </w:r>
      <w:r w:rsidR="004756C1" w:rsidRPr="002F50BD">
        <w:rPr>
          <w:rFonts w:ascii="Verdana" w:hAnsi="Verdana"/>
          <w:sz w:val="20"/>
          <w:lang w:val="pt-BR"/>
        </w:rPr>
        <w:t xml:space="preserve">s que </w:t>
      </w:r>
      <w:r w:rsidR="00FD2C38" w:rsidRPr="002F50BD">
        <w:rPr>
          <w:rFonts w:ascii="Verdana" w:hAnsi="Verdana"/>
          <w:sz w:val="20"/>
          <w:lang w:val="pt-BR"/>
        </w:rPr>
        <w:t xml:space="preserve">incorporam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tradicional</w:t>
      </w:r>
      <w:r w:rsidR="0089298C" w:rsidRPr="002F50BD">
        <w:rPr>
          <w:rFonts w:ascii="Verdana" w:hAnsi="Verdana"/>
          <w:sz w:val="20"/>
          <w:lang w:val="pt-BR"/>
        </w:rPr>
        <w:t xml:space="preserve">, isto é, o </w:t>
      </w:r>
      <w:r w:rsidR="001A0CDE" w:rsidRPr="002F50BD">
        <w:rPr>
          <w:rFonts w:ascii="Verdana" w:hAnsi="Verdana"/>
          <w:i/>
          <w:sz w:val="20"/>
          <w:lang w:val="pt-BR"/>
        </w:rPr>
        <w:t>habitat</w:t>
      </w:r>
      <w:r w:rsidR="004756C1" w:rsidRPr="002F50BD">
        <w:rPr>
          <w:rFonts w:ascii="Verdana" w:hAnsi="Verdana"/>
          <w:sz w:val="20"/>
          <w:lang w:val="pt-BR"/>
        </w:rPr>
        <w:t xml:space="preserve"> que</w:t>
      </w:r>
      <w:r w:rsidR="0089298C" w:rsidRPr="002F50BD">
        <w:rPr>
          <w:rFonts w:ascii="Verdana" w:hAnsi="Verdana"/>
          <w:sz w:val="20"/>
          <w:lang w:val="pt-BR"/>
        </w:rPr>
        <w:t xml:space="preserve"> os membro</w:t>
      </w:r>
      <w:r w:rsidR="004756C1" w:rsidRPr="002F50BD">
        <w:rPr>
          <w:rFonts w:ascii="Verdana" w:hAnsi="Verdana"/>
          <w:sz w:val="20"/>
          <w:lang w:val="pt-BR"/>
        </w:rPr>
        <w:t xml:space="preserve">s </w:t>
      </w:r>
      <w:r w:rsidR="0089298C" w:rsidRPr="002F50BD">
        <w:rPr>
          <w:rFonts w:ascii="Verdana" w:hAnsi="Verdana"/>
          <w:sz w:val="20"/>
          <w:lang w:val="pt-BR"/>
        </w:rPr>
        <w:t>desta</w:t>
      </w:r>
      <w:r w:rsidR="004756C1" w:rsidRPr="002F50BD">
        <w:rPr>
          <w:rFonts w:ascii="Verdana" w:hAnsi="Verdana"/>
          <w:sz w:val="20"/>
          <w:lang w:val="pt-BR"/>
        </w:rPr>
        <w:t xml:space="preserve">s comunidades </w:t>
      </w:r>
      <w:r w:rsidR="006603BE" w:rsidRPr="002F50BD">
        <w:rPr>
          <w:rFonts w:ascii="Verdana" w:hAnsi="Verdana"/>
          <w:sz w:val="20"/>
          <w:lang w:val="pt-BR"/>
        </w:rPr>
        <w:t>per</w:t>
      </w:r>
      <w:r w:rsidR="004756C1" w:rsidRPr="002F50BD">
        <w:rPr>
          <w:rFonts w:ascii="Verdana" w:hAnsi="Verdana"/>
          <w:sz w:val="20"/>
          <w:lang w:val="pt-BR"/>
        </w:rPr>
        <w:t>corr</w:t>
      </w:r>
      <w:r w:rsidR="00FD2C38" w:rsidRPr="002F50BD">
        <w:rPr>
          <w:rFonts w:ascii="Verdana" w:hAnsi="Verdana"/>
          <w:sz w:val="20"/>
          <w:lang w:val="pt-BR"/>
        </w:rPr>
        <w:t>eram</w:t>
      </w:r>
      <w:r w:rsidR="0089298C" w:rsidRPr="002F50BD">
        <w:rPr>
          <w:rFonts w:ascii="Verdana" w:hAnsi="Verdana"/>
          <w:sz w:val="20"/>
          <w:lang w:val="pt-BR"/>
        </w:rPr>
        <w:t xml:space="preserve"> e </w:t>
      </w:r>
      <w:r w:rsidR="004756C1" w:rsidRPr="002F50BD">
        <w:rPr>
          <w:rFonts w:ascii="Verdana" w:hAnsi="Verdana"/>
          <w:sz w:val="20"/>
          <w:lang w:val="pt-BR"/>
        </w:rPr>
        <w:t>humaniza</w:t>
      </w:r>
      <w:r w:rsidR="00FD2C38" w:rsidRPr="002F50BD">
        <w:rPr>
          <w:rFonts w:ascii="Verdana" w:hAnsi="Verdana"/>
          <w:sz w:val="20"/>
          <w:lang w:val="pt-BR"/>
        </w:rPr>
        <w:t>ram</w:t>
      </w:r>
      <w:r w:rsidR="0089298C" w:rsidRPr="002F50BD">
        <w:rPr>
          <w:rFonts w:ascii="Verdana" w:hAnsi="Verdana"/>
          <w:sz w:val="20"/>
          <w:lang w:val="pt-BR"/>
        </w:rPr>
        <w:t xml:space="preserve">, e em </w:t>
      </w:r>
      <w:r w:rsidR="004756C1" w:rsidRPr="002F50BD">
        <w:rPr>
          <w:rFonts w:ascii="Verdana" w:hAnsi="Verdana"/>
          <w:sz w:val="20"/>
          <w:lang w:val="pt-BR"/>
        </w:rPr>
        <w:t>rela</w:t>
      </w:r>
      <w:r w:rsidR="0089298C" w:rsidRPr="002F50BD">
        <w:rPr>
          <w:rFonts w:ascii="Verdana" w:hAnsi="Verdana"/>
          <w:sz w:val="20"/>
          <w:lang w:val="pt-BR"/>
        </w:rPr>
        <w:t xml:space="preserve">ção </w:t>
      </w:r>
      <w:r w:rsidR="00FD2C38" w:rsidRPr="002F50BD">
        <w:rPr>
          <w:rFonts w:ascii="Verdana" w:hAnsi="Verdana"/>
          <w:sz w:val="20"/>
          <w:lang w:val="pt-BR"/>
        </w:rPr>
        <w:t>a</w:t>
      </w:r>
      <w:r w:rsidR="0089298C" w:rsidRPr="002F50BD">
        <w:rPr>
          <w:rFonts w:ascii="Verdana" w:hAnsi="Verdana"/>
          <w:sz w:val="20"/>
          <w:lang w:val="pt-BR"/>
        </w:rPr>
        <w:t xml:space="preserve">o qual </w:t>
      </w:r>
      <w:r w:rsidR="004756C1" w:rsidRPr="002F50BD">
        <w:rPr>
          <w:rFonts w:ascii="Verdana" w:hAnsi="Verdana"/>
          <w:sz w:val="20"/>
          <w:lang w:val="pt-BR"/>
        </w:rPr>
        <w:t>man</w:t>
      </w:r>
      <w:r w:rsidR="0089298C" w:rsidRPr="002F50BD">
        <w:rPr>
          <w:rFonts w:ascii="Verdana" w:hAnsi="Verdana"/>
          <w:sz w:val="20"/>
          <w:lang w:val="pt-BR"/>
        </w:rPr>
        <w:t>têm</w:t>
      </w:r>
      <w:r w:rsidR="004756C1" w:rsidRPr="002F50BD">
        <w:rPr>
          <w:rFonts w:ascii="Verdana" w:hAnsi="Verdana"/>
          <w:sz w:val="20"/>
          <w:lang w:val="pt-BR"/>
        </w:rPr>
        <w:t xml:space="preserve"> víncu</w:t>
      </w:r>
      <w:r w:rsidR="00FD2C38" w:rsidRPr="002F50BD">
        <w:rPr>
          <w:rFonts w:ascii="Verdana" w:hAnsi="Verdana"/>
          <w:sz w:val="20"/>
          <w:lang w:val="pt-BR"/>
        </w:rPr>
        <w:t>lo</w:t>
      </w:r>
      <w:r w:rsidR="00AB6727" w:rsidRPr="002F50BD">
        <w:rPr>
          <w:rFonts w:ascii="Verdana" w:hAnsi="Verdana"/>
          <w:sz w:val="20"/>
          <w:lang w:val="pt-BR"/>
        </w:rPr>
        <w:t xml:space="preserve">s </w:t>
      </w:r>
      <w:r w:rsidR="004756C1" w:rsidRPr="002F50BD">
        <w:rPr>
          <w:rFonts w:ascii="Verdana" w:hAnsi="Verdana"/>
          <w:sz w:val="20"/>
          <w:lang w:val="pt-BR"/>
        </w:rPr>
        <w:t>de perten</w:t>
      </w:r>
      <w:r w:rsidR="00FD2C38" w:rsidRPr="002F50BD">
        <w:rPr>
          <w:rFonts w:ascii="Verdana" w:hAnsi="Verdana"/>
          <w:sz w:val="20"/>
          <w:lang w:val="pt-BR"/>
        </w:rPr>
        <w:t>cimento</w:t>
      </w:r>
      <w:r w:rsidR="004756C1" w:rsidRPr="002F50BD">
        <w:rPr>
          <w:rFonts w:ascii="Verdana" w:hAnsi="Verdana"/>
          <w:sz w:val="20"/>
          <w:lang w:val="pt-BR"/>
        </w:rPr>
        <w:t xml:space="preserve">. </w:t>
      </w:r>
      <w:r w:rsidR="00FD2C38" w:rsidRPr="002F50BD">
        <w:rPr>
          <w:rFonts w:ascii="Verdana" w:hAnsi="Verdana"/>
          <w:sz w:val="20"/>
          <w:lang w:val="pt-BR"/>
        </w:rPr>
        <w:t>N</w:t>
      </w:r>
      <w:r w:rsidR="0089298C" w:rsidRPr="002F50BD">
        <w:rPr>
          <w:rFonts w:ascii="Verdana" w:hAnsi="Verdana"/>
          <w:sz w:val="20"/>
          <w:lang w:val="pt-BR"/>
        </w:rPr>
        <w:t>estas terra</w:t>
      </w:r>
      <w:r w:rsidR="004756C1" w:rsidRPr="002F50BD">
        <w:rPr>
          <w:rFonts w:ascii="Verdana" w:hAnsi="Verdana"/>
          <w:sz w:val="20"/>
          <w:lang w:val="pt-BR"/>
        </w:rPr>
        <w:t>s</w:t>
      </w:r>
      <w:r w:rsidR="0010746C" w:rsidRPr="002F50BD">
        <w:rPr>
          <w:rFonts w:ascii="Verdana" w:hAnsi="Verdana"/>
          <w:sz w:val="20"/>
          <w:lang w:val="pt-BR"/>
        </w:rPr>
        <w:t>,</w:t>
      </w:r>
      <w:r w:rsidR="0089298C" w:rsidRPr="002F50BD">
        <w:rPr>
          <w:rFonts w:ascii="Verdana" w:hAnsi="Verdana"/>
          <w:sz w:val="20"/>
          <w:lang w:val="pt-BR"/>
        </w:rPr>
        <w:t xml:space="preserve"> os povo</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comunidades indígenas,</w:t>
      </w:r>
      <w:r w:rsidR="0089298C" w:rsidRPr="002F50BD">
        <w:rPr>
          <w:rFonts w:ascii="Verdana" w:hAnsi="Verdana"/>
          <w:sz w:val="20"/>
          <w:lang w:val="pt-BR"/>
        </w:rPr>
        <w:t xml:space="preserve"> pelo </w:t>
      </w:r>
      <w:r w:rsidR="00FD2C38" w:rsidRPr="002F50BD">
        <w:rPr>
          <w:rFonts w:ascii="Verdana" w:hAnsi="Verdana"/>
          <w:sz w:val="20"/>
          <w:lang w:val="pt-BR"/>
        </w:rPr>
        <w:t xml:space="preserve">próprio </w:t>
      </w:r>
      <w:r w:rsidR="0089298C" w:rsidRPr="002F50BD">
        <w:rPr>
          <w:rFonts w:ascii="Verdana" w:hAnsi="Verdana"/>
          <w:sz w:val="20"/>
          <w:lang w:val="pt-BR"/>
        </w:rPr>
        <w:t xml:space="preserve">fato </w:t>
      </w:r>
      <w:r w:rsidR="004756C1" w:rsidRPr="002F50BD">
        <w:rPr>
          <w:rFonts w:ascii="Verdana" w:hAnsi="Verdana"/>
          <w:sz w:val="20"/>
          <w:lang w:val="pt-BR"/>
        </w:rPr>
        <w:t>de su</w:t>
      </w:r>
      <w:r w:rsidR="00FD2C38"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existência</w:t>
      </w:r>
      <w:r w:rsidR="004756C1" w:rsidRPr="002F50BD">
        <w:rPr>
          <w:rFonts w:ascii="Verdana" w:hAnsi="Verdana"/>
          <w:sz w:val="20"/>
          <w:lang w:val="pt-BR"/>
        </w:rPr>
        <w:t xml:space="preserve">, </w:t>
      </w:r>
      <w:r w:rsidR="00AB454A" w:rsidRPr="002F50BD">
        <w:rPr>
          <w:rFonts w:ascii="Verdana" w:hAnsi="Verdana"/>
          <w:sz w:val="20"/>
          <w:lang w:val="pt-BR"/>
        </w:rPr>
        <w:t>têm o</w:t>
      </w:r>
      <w:r w:rsidR="0089298C" w:rsidRPr="002F50BD">
        <w:rPr>
          <w:rFonts w:ascii="Verdana" w:hAnsi="Verdana"/>
          <w:sz w:val="20"/>
          <w:lang w:val="pt-BR"/>
        </w:rPr>
        <w:t xml:space="preserve"> direito</w:t>
      </w:r>
      <w:r w:rsidR="004756C1" w:rsidRPr="002F50BD">
        <w:rPr>
          <w:rFonts w:ascii="Verdana" w:hAnsi="Verdana"/>
          <w:sz w:val="20"/>
          <w:lang w:val="pt-BR"/>
        </w:rPr>
        <w:t xml:space="preserve"> a </w:t>
      </w:r>
      <w:r w:rsidR="0089298C" w:rsidRPr="002F50BD">
        <w:rPr>
          <w:rFonts w:ascii="Verdana" w:hAnsi="Verdana"/>
          <w:sz w:val="20"/>
          <w:lang w:val="pt-BR"/>
        </w:rPr>
        <w:t>viver</w:t>
      </w:r>
      <w:r w:rsidR="004756C1" w:rsidRPr="002F50BD">
        <w:rPr>
          <w:rFonts w:ascii="Verdana" w:hAnsi="Verdana"/>
          <w:sz w:val="20"/>
          <w:lang w:val="pt-BR"/>
        </w:rPr>
        <w:t xml:space="preserve"> </w:t>
      </w:r>
      <w:r w:rsidR="0089298C" w:rsidRPr="002F50BD">
        <w:rPr>
          <w:rFonts w:ascii="Verdana" w:hAnsi="Verdana"/>
          <w:sz w:val="20"/>
          <w:lang w:val="pt-BR"/>
        </w:rPr>
        <w:t>livremente</w:t>
      </w:r>
      <w:r w:rsidR="004756C1" w:rsidRPr="002F50BD">
        <w:rPr>
          <w:rFonts w:ascii="Verdana" w:hAnsi="Verdana"/>
          <w:sz w:val="20"/>
          <w:lang w:val="pt-BR"/>
        </w:rPr>
        <w:t>;</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a </w:t>
      </w:r>
      <w:r w:rsidRPr="002F50BD">
        <w:rPr>
          <w:rFonts w:ascii="Verdana" w:hAnsi="Verdana"/>
          <w:sz w:val="20"/>
          <w:lang w:val="pt-BR"/>
        </w:rPr>
        <w:t xml:space="preserve">viver na terra dos </w:t>
      </w:r>
      <w:r w:rsidR="004756C1" w:rsidRPr="002F50BD">
        <w:rPr>
          <w:rFonts w:ascii="Verdana" w:hAnsi="Verdana"/>
          <w:sz w:val="20"/>
          <w:lang w:val="pt-BR"/>
        </w:rPr>
        <w:t>ante</w:t>
      </w:r>
      <w:r w:rsidRPr="002F50BD">
        <w:rPr>
          <w:rFonts w:ascii="Verdana" w:hAnsi="Verdana"/>
          <w:sz w:val="20"/>
          <w:lang w:val="pt-BR"/>
        </w:rPr>
        <w:t>passado</w:t>
      </w:r>
      <w:r w:rsidR="004756C1" w:rsidRPr="002F50BD">
        <w:rPr>
          <w:rFonts w:ascii="Verdana" w:hAnsi="Verdana"/>
          <w:sz w:val="20"/>
          <w:lang w:val="pt-BR"/>
        </w:rPr>
        <w:t>s</w:t>
      </w:r>
      <w:r w:rsidRPr="002F50BD">
        <w:rPr>
          <w:rFonts w:ascii="Verdana" w:hAnsi="Verdana"/>
          <w:sz w:val="20"/>
          <w:lang w:val="pt-BR"/>
        </w:rPr>
        <w:t xml:space="preserve"> e no </w:t>
      </w:r>
      <w:r w:rsidR="001A0CDE" w:rsidRPr="002F50BD">
        <w:rPr>
          <w:rFonts w:ascii="Verdana" w:hAnsi="Verdana"/>
          <w:i/>
          <w:sz w:val="20"/>
          <w:lang w:val="pt-BR"/>
        </w:rPr>
        <w:t>habitat</w:t>
      </w:r>
      <w:r w:rsidR="004756C1" w:rsidRPr="002F50BD">
        <w:rPr>
          <w:rFonts w:ascii="Verdana" w:hAnsi="Verdana"/>
          <w:sz w:val="20"/>
          <w:lang w:val="pt-BR"/>
        </w:rPr>
        <w:t xml:space="preserve"> humanizado</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comunidades indígenas, de </w:t>
      </w:r>
      <w:r w:rsidRPr="002F50BD">
        <w:rPr>
          <w:rFonts w:ascii="Verdana" w:hAnsi="Verdana"/>
          <w:sz w:val="20"/>
          <w:lang w:val="pt-BR"/>
        </w:rPr>
        <w:t xml:space="preserve">acordo com </w:t>
      </w:r>
      <w:r w:rsidR="00385366" w:rsidRPr="002F50BD">
        <w:rPr>
          <w:rFonts w:ascii="Verdana" w:hAnsi="Verdana"/>
          <w:sz w:val="20"/>
          <w:lang w:val="pt-BR"/>
        </w:rPr>
        <w:t>sua própria</w:t>
      </w:r>
      <w:r w:rsidRPr="002F50BD">
        <w:rPr>
          <w:rFonts w:ascii="Verdana" w:hAnsi="Verdana"/>
          <w:sz w:val="20"/>
          <w:lang w:val="pt-BR"/>
        </w:rPr>
        <w:t xml:space="preserve"> </w:t>
      </w:r>
      <w:r w:rsidR="004756C1" w:rsidRPr="002F50BD">
        <w:rPr>
          <w:rFonts w:ascii="Verdana" w:hAnsi="Verdana"/>
          <w:sz w:val="20"/>
          <w:lang w:val="pt-BR"/>
        </w:rPr>
        <w:t>forma de vida, implica</w:t>
      </w:r>
      <w:r w:rsidRPr="002F50BD">
        <w:rPr>
          <w:rFonts w:ascii="Verdana" w:hAnsi="Verdana"/>
          <w:sz w:val="20"/>
          <w:lang w:val="pt-BR"/>
        </w:rPr>
        <w:t xml:space="preserve"> a adoção</w:t>
      </w:r>
      <w:r w:rsidR="004756C1" w:rsidRPr="002F50BD">
        <w:rPr>
          <w:rFonts w:ascii="Verdana" w:hAnsi="Verdana"/>
          <w:sz w:val="20"/>
          <w:lang w:val="pt-BR"/>
        </w:rPr>
        <w:t>,</w:t>
      </w:r>
      <w:r w:rsidRPr="002F50BD">
        <w:rPr>
          <w:rFonts w:ascii="Verdana" w:hAnsi="Verdana"/>
          <w:sz w:val="20"/>
          <w:lang w:val="pt-BR"/>
        </w:rPr>
        <w:t xml:space="preserve"> n</w:t>
      </w:r>
      <w:r w:rsidR="00FD2C38" w:rsidRPr="002F50BD">
        <w:rPr>
          <w:rFonts w:ascii="Verdana" w:hAnsi="Verdana"/>
          <w:sz w:val="20"/>
          <w:lang w:val="pt-BR"/>
        </w:rPr>
        <w:t>a</w:t>
      </w:r>
      <w:r w:rsidRPr="002F50BD">
        <w:rPr>
          <w:rFonts w:ascii="Verdana" w:hAnsi="Verdana"/>
          <w:sz w:val="20"/>
          <w:lang w:val="pt-BR"/>
        </w:rPr>
        <w:t xml:space="preserve"> ordem </w:t>
      </w:r>
      <w:r w:rsidR="004756C1" w:rsidRPr="002F50BD">
        <w:rPr>
          <w:rFonts w:ascii="Verdana" w:hAnsi="Verdana"/>
          <w:sz w:val="20"/>
          <w:lang w:val="pt-BR"/>
        </w:rPr>
        <w:t>jurídic</w:t>
      </w:r>
      <w:r w:rsidR="00FD2C38" w:rsidRPr="002F50BD">
        <w:rPr>
          <w:rFonts w:ascii="Verdana" w:hAnsi="Verdana"/>
          <w:sz w:val="20"/>
          <w:lang w:val="pt-BR"/>
        </w:rPr>
        <w:t>a</w:t>
      </w:r>
      <w:r w:rsidR="004756C1" w:rsidRPr="002F50BD">
        <w:rPr>
          <w:rFonts w:ascii="Verdana" w:hAnsi="Verdana"/>
          <w:sz w:val="20"/>
          <w:lang w:val="pt-BR"/>
        </w:rPr>
        <w:t xml:space="preserve"> intern</w:t>
      </w:r>
      <w:r w:rsidR="006603BE"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do Paraguai</w:t>
      </w:r>
      <w:r w:rsidR="004756C1" w:rsidRPr="002F50BD">
        <w:rPr>
          <w:rFonts w:ascii="Verdana" w:hAnsi="Verdana"/>
          <w:sz w:val="20"/>
          <w:lang w:val="pt-BR"/>
        </w:rPr>
        <w:t>, de</w:t>
      </w:r>
      <w:r w:rsidRPr="002F50BD">
        <w:rPr>
          <w:rFonts w:ascii="Verdana" w:hAnsi="Verdana"/>
          <w:sz w:val="20"/>
          <w:lang w:val="pt-BR"/>
        </w:rPr>
        <w:t xml:space="preserve"> um conceito</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 xml:space="preserve"> </w:t>
      </w:r>
      <w:r w:rsidR="0010746C" w:rsidRPr="002F50BD">
        <w:rPr>
          <w:rFonts w:ascii="Verdana" w:hAnsi="Verdana"/>
          <w:sz w:val="20"/>
          <w:lang w:val="pt-BR"/>
        </w:rPr>
        <w:t>à</w:t>
      </w:r>
      <w:r w:rsidR="004756C1" w:rsidRPr="002F50BD">
        <w:rPr>
          <w:rFonts w:ascii="Verdana" w:hAnsi="Verdana"/>
          <w:sz w:val="20"/>
          <w:lang w:val="pt-BR"/>
        </w:rPr>
        <w:t xml:space="preserve"> </w:t>
      </w:r>
      <w:r w:rsidRPr="002F50BD">
        <w:rPr>
          <w:rFonts w:ascii="Verdana" w:hAnsi="Verdana"/>
          <w:sz w:val="20"/>
          <w:lang w:val="pt-BR"/>
        </w:rPr>
        <w:t>propriedade da terra</w:t>
      </w:r>
      <w:r w:rsidR="004756C1" w:rsidRPr="002F50BD">
        <w:rPr>
          <w:rFonts w:ascii="Verdana" w:hAnsi="Verdana"/>
          <w:sz w:val="20"/>
          <w:lang w:val="pt-BR"/>
        </w:rPr>
        <w:t xml:space="preserve"> distinto </w:t>
      </w:r>
      <w:r w:rsidRPr="002F50BD">
        <w:rPr>
          <w:rFonts w:ascii="Verdana" w:hAnsi="Verdana"/>
          <w:sz w:val="20"/>
          <w:lang w:val="pt-BR"/>
        </w:rPr>
        <w:t>do conceito</w:t>
      </w:r>
      <w:r w:rsidR="004756C1" w:rsidRPr="002F50BD">
        <w:rPr>
          <w:rFonts w:ascii="Verdana" w:hAnsi="Verdana"/>
          <w:sz w:val="20"/>
          <w:lang w:val="pt-BR"/>
        </w:rPr>
        <w:t xml:space="preserve"> </w:t>
      </w:r>
      <w:r w:rsidRPr="002F50BD">
        <w:rPr>
          <w:rFonts w:ascii="Verdana" w:hAnsi="Verdana"/>
          <w:sz w:val="20"/>
          <w:lang w:val="pt-BR"/>
        </w:rPr>
        <w:t>geral</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w:t>
      </w:r>
      <w:r w:rsidR="0010746C" w:rsidRPr="002F50BD">
        <w:rPr>
          <w:rFonts w:ascii="Verdana" w:hAnsi="Verdana"/>
          <w:sz w:val="20"/>
          <w:lang w:val="pt-BR"/>
        </w:rPr>
        <w:t>à</w:t>
      </w:r>
      <w:r w:rsidR="004756C1" w:rsidRPr="002F50BD">
        <w:rPr>
          <w:rFonts w:ascii="Verdana" w:hAnsi="Verdana"/>
          <w:sz w:val="20"/>
          <w:lang w:val="pt-BR"/>
        </w:rPr>
        <w:t xml:space="preserve"> </w:t>
      </w:r>
      <w:r w:rsidRPr="002F50BD">
        <w:rPr>
          <w:rFonts w:ascii="Verdana" w:hAnsi="Verdana"/>
          <w:sz w:val="20"/>
          <w:lang w:val="pt-BR"/>
        </w:rPr>
        <w:t>propriedade</w:t>
      </w:r>
      <w:r w:rsidR="004756C1" w:rsidRPr="002F50BD">
        <w:rPr>
          <w:rFonts w:ascii="Verdana" w:hAnsi="Verdana"/>
          <w:sz w:val="20"/>
          <w:lang w:val="pt-BR"/>
        </w:rPr>
        <w:t xml:space="preserve"> privada.</w:t>
      </w:r>
      <w:r w:rsidR="00FE08B7">
        <w:rPr>
          <w:rFonts w:ascii="Verdana" w:hAnsi="Verdana"/>
          <w:sz w:val="20"/>
          <w:lang w:val="pt-BR"/>
        </w:rPr>
        <w:t xml:space="preserve"> </w:t>
      </w:r>
      <w:r w:rsidR="00FD2C38" w:rsidRPr="002F50BD">
        <w:rPr>
          <w:rFonts w:ascii="Verdana" w:hAnsi="Verdana"/>
          <w:sz w:val="20"/>
          <w:lang w:val="pt-BR"/>
        </w:rPr>
        <w:t xml:space="preserve">De acordo com </w:t>
      </w:r>
      <w:r w:rsidR="004756C1" w:rsidRPr="002F50BD">
        <w:rPr>
          <w:rFonts w:ascii="Verdana" w:hAnsi="Verdana"/>
          <w:sz w:val="20"/>
          <w:lang w:val="pt-BR"/>
        </w:rPr>
        <w:t xml:space="preserve">este </w:t>
      </w:r>
      <w:r w:rsidRPr="002F50BD">
        <w:rPr>
          <w:rFonts w:ascii="Verdana" w:hAnsi="Verdana"/>
          <w:sz w:val="20"/>
          <w:lang w:val="pt-BR"/>
        </w:rPr>
        <w:t>conceito</w:t>
      </w:r>
      <w:r w:rsidR="004756C1" w:rsidRPr="002F50BD">
        <w:rPr>
          <w:rFonts w:ascii="Verdana" w:hAnsi="Verdana"/>
          <w:sz w:val="20"/>
          <w:lang w:val="pt-BR"/>
        </w:rPr>
        <w:t>,</w:t>
      </w:r>
      <w:r w:rsidRPr="002F50BD">
        <w:rPr>
          <w:rFonts w:ascii="Verdana" w:hAnsi="Verdana"/>
          <w:sz w:val="20"/>
          <w:lang w:val="pt-BR"/>
        </w:rPr>
        <w:t xml:space="preserve"> a terra</w:t>
      </w:r>
      <w:r w:rsidR="004756C1" w:rsidRPr="002F50BD">
        <w:rPr>
          <w:rFonts w:ascii="Verdana" w:hAnsi="Verdana"/>
          <w:sz w:val="20"/>
          <w:lang w:val="pt-BR"/>
        </w:rPr>
        <w:t xml:space="preserve"> </w:t>
      </w:r>
      <w:r w:rsidR="00FD2C38" w:rsidRPr="002F50BD">
        <w:rPr>
          <w:rFonts w:ascii="Verdana" w:hAnsi="Verdana"/>
          <w:sz w:val="20"/>
          <w:lang w:val="pt-BR"/>
        </w:rPr>
        <w:t xml:space="preserve">volta </w:t>
      </w:r>
      <w:r w:rsidR="004756C1" w:rsidRPr="002F50BD">
        <w:rPr>
          <w:rFonts w:ascii="Verdana" w:hAnsi="Verdana"/>
          <w:sz w:val="20"/>
          <w:lang w:val="pt-BR"/>
        </w:rPr>
        <w:t xml:space="preserve">a ser </w:t>
      </w:r>
      <w:r w:rsidRPr="002F50BD">
        <w:rPr>
          <w:rFonts w:ascii="Verdana" w:hAnsi="Verdana"/>
          <w:sz w:val="20"/>
          <w:lang w:val="pt-BR"/>
        </w:rPr>
        <w:t xml:space="preserve">fonte da </w:t>
      </w:r>
      <w:r w:rsidR="004756C1" w:rsidRPr="002F50BD">
        <w:rPr>
          <w:rFonts w:ascii="Verdana" w:hAnsi="Verdana"/>
          <w:sz w:val="20"/>
          <w:lang w:val="pt-BR"/>
        </w:rPr>
        <w:t>vida</w:t>
      </w:r>
      <w:r w:rsidRPr="002F50BD">
        <w:rPr>
          <w:rFonts w:ascii="Verdana" w:hAnsi="Verdana"/>
          <w:sz w:val="20"/>
          <w:lang w:val="pt-BR"/>
        </w:rPr>
        <w:t xml:space="preserve"> e da </w:t>
      </w:r>
      <w:r w:rsidR="004756C1" w:rsidRPr="002F50BD">
        <w:rPr>
          <w:rFonts w:ascii="Verdana" w:hAnsi="Verdana"/>
          <w:sz w:val="20"/>
          <w:lang w:val="pt-BR"/>
        </w:rPr>
        <w:t>cultura</w:t>
      </w:r>
      <w:r w:rsidRPr="002F50BD">
        <w:rPr>
          <w:rFonts w:ascii="Verdana" w:hAnsi="Verdana"/>
          <w:sz w:val="20"/>
          <w:lang w:val="pt-BR"/>
        </w:rPr>
        <w:t xml:space="preserve"> dos 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comunidades indígenas. </w:t>
      </w:r>
      <w:r w:rsidR="00FD2C38" w:rsidRPr="002F50BD">
        <w:rPr>
          <w:rFonts w:ascii="Verdana" w:hAnsi="Verdana"/>
          <w:sz w:val="20"/>
          <w:lang w:val="pt-BR"/>
        </w:rPr>
        <w:t xml:space="preserve">Isso </w:t>
      </w:r>
      <w:r w:rsidR="004756C1" w:rsidRPr="002F50BD">
        <w:rPr>
          <w:rFonts w:ascii="Verdana" w:hAnsi="Verdana"/>
          <w:sz w:val="20"/>
          <w:lang w:val="pt-BR"/>
        </w:rPr>
        <w:t>implica,</w:t>
      </w:r>
      <w:r w:rsidRPr="002F50BD">
        <w:rPr>
          <w:rFonts w:ascii="Verdana" w:hAnsi="Verdana"/>
          <w:sz w:val="20"/>
          <w:lang w:val="pt-BR"/>
        </w:rPr>
        <w:t xml:space="preserve"> por sua vez</w:t>
      </w:r>
      <w:r w:rsidR="004756C1" w:rsidRPr="002F50BD">
        <w:rPr>
          <w:rFonts w:ascii="Verdana" w:hAnsi="Verdana"/>
          <w:sz w:val="20"/>
          <w:lang w:val="pt-BR"/>
        </w:rPr>
        <w:t>,</w:t>
      </w:r>
      <w:r w:rsidRPr="002F50BD">
        <w:rPr>
          <w:rFonts w:ascii="Verdana" w:hAnsi="Verdana"/>
          <w:sz w:val="20"/>
          <w:lang w:val="pt-BR"/>
        </w:rPr>
        <w:t xml:space="preserve"> a adoção</w:t>
      </w:r>
      <w:r w:rsidR="004756C1" w:rsidRPr="002F50BD">
        <w:rPr>
          <w:rFonts w:ascii="Verdana" w:hAnsi="Verdana"/>
          <w:sz w:val="20"/>
          <w:lang w:val="pt-BR"/>
        </w:rPr>
        <w:t xml:space="preserve"> de </w:t>
      </w:r>
      <w:r w:rsidRPr="002F50BD">
        <w:rPr>
          <w:rFonts w:ascii="Verdana" w:hAnsi="Verdana"/>
          <w:sz w:val="20"/>
          <w:lang w:val="pt-BR"/>
        </w:rPr>
        <w:t>critério</w:t>
      </w:r>
      <w:r w:rsidR="004756C1" w:rsidRPr="002F50BD">
        <w:rPr>
          <w:rFonts w:ascii="Verdana" w:hAnsi="Verdana"/>
          <w:sz w:val="20"/>
          <w:lang w:val="pt-BR"/>
        </w:rPr>
        <w:t xml:space="preserve">s de </w:t>
      </w:r>
      <w:r w:rsidR="006C4368" w:rsidRPr="002F50BD">
        <w:rPr>
          <w:rFonts w:ascii="Verdana" w:hAnsi="Verdana"/>
          <w:sz w:val="20"/>
          <w:lang w:val="pt-BR"/>
        </w:rPr>
        <w:t>a</w:t>
      </w:r>
      <w:r w:rsidR="004756C1" w:rsidRPr="002F50BD">
        <w:rPr>
          <w:rFonts w:ascii="Verdana" w:hAnsi="Verdana"/>
          <w:sz w:val="20"/>
          <w:lang w:val="pt-BR"/>
        </w:rPr>
        <w:t>val</w:t>
      </w:r>
      <w:r w:rsidR="006C4368" w:rsidRPr="002F50BD">
        <w:rPr>
          <w:rFonts w:ascii="Verdana" w:hAnsi="Verdana"/>
          <w:sz w:val="20"/>
          <w:lang w:val="pt-BR"/>
        </w:rPr>
        <w:t>i</w:t>
      </w:r>
      <w:r w:rsidR="004756C1" w:rsidRPr="002F50BD">
        <w:rPr>
          <w:rFonts w:ascii="Verdana" w:hAnsi="Verdana"/>
          <w:sz w:val="20"/>
          <w:lang w:val="pt-BR"/>
        </w:rPr>
        <w: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uso</w:t>
      </w:r>
      <w:r w:rsidRPr="002F50BD">
        <w:rPr>
          <w:rFonts w:ascii="Verdana" w:hAnsi="Verdana"/>
          <w:sz w:val="20"/>
          <w:lang w:val="pt-BR"/>
        </w:rPr>
        <w:t xml:space="preserve"> da terra</w:t>
      </w:r>
      <w:r w:rsidR="004756C1" w:rsidRPr="002F50BD">
        <w:rPr>
          <w:rFonts w:ascii="Verdana" w:hAnsi="Verdana"/>
          <w:sz w:val="20"/>
          <w:lang w:val="pt-BR"/>
        </w:rPr>
        <w:t xml:space="preserve"> distintos</w:t>
      </w:r>
      <w:r w:rsidRPr="002F50BD">
        <w:rPr>
          <w:rFonts w:ascii="Verdana" w:hAnsi="Verdana"/>
          <w:sz w:val="20"/>
          <w:lang w:val="pt-BR"/>
        </w:rPr>
        <w:t xml:space="preserve"> </w:t>
      </w:r>
      <w:r w:rsidR="0010746C" w:rsidRPr="002F50BD">
        <w:rPr>
          <w:rFonts w:ascii="Verdana" w:hAnsi="Verdana"/>
          <w:sz w:val="20"/>
          <w:lang w:val="pt-BR"/>
        </w:rPr>
        <w:t>d</w:t>
      </w:r>
      <w:r w:rsidRPr="002F50BD">
        <w:rPr>
          <w:rFonts w:ascii="Verdana" w:hAnsi="Verdana"/>
          <w:sz w:val="20"/>
          <w:lang w:val="pt-BR"/>
        </w:rPr>
        <w:t xml:space="preserve">os </w:t>
      </w:r>
      <w:r w:rsidR="004756C1" w:rsidRPr="002F50BD">
        <w:rPr>
          <w:rFonts w:ascii="Verdana" w:hAnsi="Verdana"/>
          <w:sz w:val="20"/>
          <w:lang w:val="pt-BR"/>
        </w:rPr>
        <w:t>contemplados</w:t>
      </w:r>
      <w:r w:rsidRPr="002F50BD">
        <w:rPr>
          <w:rFonts w:ascii="Verdana" w:hAnsi="Verdana"/>
          <w:sz w:val="20"/>
          <w:lang w:val="pt-BR"/>
        </w:rPr>
        <w:t xml:space="preserve"> no direito</w:t>
      </w:r>
      <w:r w:rsidR="004756C1" w:rsidRPr="002F50BD">
        <w:rPr>
          <w:rFonts w:ascii="Verdana" w:hAnsi="Verdana"/>
          <w:sz w:val="20"/>
          <w:lang w:val="pt-BR"/>
        </w:rPr>
        <w:t xml:space="preserve"> privado</w:t>
      </w:r>
      <w:r w:rsidRPr="002F50BD">
        <w:rPr>
          <w:rFonts w:ascii="Verdana" w:hAnsi="Verdana"/>
          <w:sz w:val="20"/>
          <w:lang w:val="pt-BR"/>
        </w:rPr>
        <w:t xml:space="preserve"> e no próprio</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 xml:space="preserve"> </w:t>
      </w:r>
      <w:r w:rsidR="00D95E71" w:rsidRPr="002F50BD">
        <w:rPr>
          <w:rFonts w:ascii="Verdana" w:hAnsi="Verdana"/>
          <w:sz w:val="20"/>
          <w:lang w:val="pt-BR"/>
        </w:rPr>
        <w:t>agrário</w:t>
      </w:r>
      <w:r w:rsidR="004756C1" w:rsidRPr="002F50BD">
        <w:rPr>
          <w:rFonts w:ascii="Verdana" w:hAnsi="Verdana"/>
          <w:sz w:val="20"/>
          <w:lang w:val="pt-BR"/>
        </w:rPr>
        <w:t>;</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lastRenderedPageBreak/>
        <w:t>A Constituição</w:t>
      </w:r>
      <w:r w:rsidR="004756C1" w:rsidRPr="002F50BD">
        <w:rPr>
          <w:rFonts w:ascii="Verdana" w:hAnsi="Verdana"/>
          <w:sz w:val="20"/>
          <w:lang w:val="pt-BR"/>
        </w:rPr>
        <w:t xml:space="preserve"> Nacional </w:t>
      </w:r>
      <w:r w:rsidRPr="002F50BD">
        <w:rPr>
          <w:rFonts w:ascii="Verdana" w:hAnsi="Verdana"/>
          <w:sz w:val="20"/>
          <w:lang w:val="pt-BR"/>
        </w:rPr>
        <w:t>do Paraguai</w:t>
      </w:r>
      <w:r w:rsidR="004756C1" w:rsidRPr="002F50BD">
        <w:rPr>
          <w:rFonts w:ascii="Verdana" w:hAnsi="Verdana"/>
          <w:sz w:val="20"/>
          <w:lang w:val="pt-BR"/>
        </w:rPr>
        <w:t xml:space="preserve"> re</w:t>
      </w:r>
      <w:r w:rsidRPr="002F50BD">
        <w:rPr>
          <w:rFonts w:ascii="Verdana" w:hAnsi="Verdana"/>
          <w:sz w:val="20"/>
          <w:lang w:val="pt-BR"/>
        </w:rPr>
        <w:t>conhece o direito dos povo</w:t>
      </w:r>
      <w:r w:rsidR="004756C1" w:rsidRPr="002F50BD">
        <w:rPr>
          <w:rFonts w:ascii="Verdana" w:hAnsi="Verdana"/>
          <w:sz w:val="20"/>
          <w:lang w:val="pt-BR"/>
        </w:rPr>
        <w:t>s indígenas, como grupos de cultura anteriores</w:t>
      </w:r>
      <w:r w:rsidRPr="002F50BD">
        <w:rPr>
          <w:rFonts w:ascii="Verdana" w:hAnsi="Verdana"/>
          <w:sz w:val="20"/>
          <w:lang w:val="pt-BR"/>
        </w:rPr>
        <w:t xml:space="preserve"> à </w:t>
      </w:r>
      <w:r w:rsidR="004756C1" w:rsidRPr="002F50BD">
        <w:rPr>
          <w:rFonts w:ascii="Verdana" w:hAnsi="Verdana"/>
          <w:sz w:val="20"/>
          <w:lang w:val="pt-BR"/>
        </w:rPr>
        <w:t>forma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Estado, a </w:t>
      </w:r>
      <w:r w:rsidRPr="002F50BD">
        <w:rPr>
          <w:rFonts w:ascii="Verdana" w:hAnsi="Verdana"/>
          <w:sz w:val="20"/>
          <w:lang w:val="pt-BR"/>
        </w:rPr>
        <w:t xml:space="preserve">viver em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e em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respectivo</w:t>
      </w:r>
      <w:r w:rsidR="00AB454A" w:rsidRPr="002F50BD">
        <w:rPr>
          <w:rFonts w:ascii="Verdana" w:hAnsi="Verdana"/>
          <w:sz w:val="20"/>
          <w:lang w:val="pt-BR"/>
        </w:rPr>
        <w:t xml:space="preserve">. A </w:t>
      </w:r>
      <w:r w:rsidRPr="002F50BD">
        <w:rPr>
          <w:rFonts w:ascii="Verdana" w:hAnsi="Verdana"/>
          <w:sz w:val="20"/>
          <w:lang w:val="pt-BR"/>
        </w:rPr>
        <w:t xml:space="preserve">Constituição é </w:t>
      </w:r>
      <w:r w:rsidR="004756C1" w:rsidRPr="002F50BD">
        <w:rPr>
          <w:rFonts w:ascii="Verdana" w:hAnsi="Verdana"/>
          <w:sz w:val="20"/>
          <w:lang w:val="pt-BR"/>
        </w:rPr>
        <w:t>complementada</w:t>
      </w:r>
      <w:r w:rsidRPr="002F50BD">
        <w:rPr>
          <w:rFonts w:ascii="Verdana" w:hAnsi="Verdana"/>
          <w:sz w:val="20"/>
          <w:lang w:val="pt-BR"/>
        </w:rPr>
        <w:t xml:space="preserve"> pel</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 incorporad</w:t>
      </w:r>
      <w:r w:rsidR="00FD2C38" w:rsidRPr="002F50BD">
        <w:rPr>
          <w:rFonts w:ascii="Verdana" w:hAnsi="Verdana"/>
          <w:sz w:val="20"/>
          <w:lang w:val="pt-BR"/>
        </w:rPr>
        <w:t>a</w:t>
      </w:r>
      <w:r w:rsidRPr="002F50BD">
        <w:rPr>
          <w:rFonts w:ascii="Verdana" w:hAnsi="Verdana"/>
          <w:sz w:val="20"/>
          <w:lang w:val="pt-BR"/>
        </w:rPr>
        <w:t xml:space="preserve"> </w:t>
      </w:r>
      <w:r w:rsidR="00FD2C38" w:rsidRPr="002F50BD">
        <w:rPr>
          <w:rFonts w:ascii="Verdana" w:hAnsi="Verdana"/>
          <w:sz w:val="20"/>
          <w:lang w:val="pt-BR"/>
        </w:rPr>
        <w:t>a</w:t>
      </w:r>
      <w:r w:rsidRPr="002F50BD">
        <w:rPr>
          <w:rFonts w:ascii="Verdana" w:hAnsi="Verdana"/>
          <w:sz w:val="20"/>
          <w:lang w:val="pt-BR"/>
        </w:rPr>
        <w:t>o direito</w:t>
      </w:r>
      <w:r w:rsidR="004756C1" w:rsidRPr="002F50BD">
        <w:rPr>
          <w:rFonts w:ascii="Verdana" w:hAnsi="Verdana"/>
          <w:sz w:val="20"/>
          <w:lang w:val="pt-BR"/>
        </w:rPr>
        <w:t xml:space="preserve"> interno </w:t>
      </w:r>
      <w:r w:rsidR="00FD2C38" w:rsidRPr="002F50BD">
        <w:rPr>
          <w:rFonts w:ascii="Verdana" w:hAnsi="Verdana"/>
          <w:sz w:val="20"/>
          <w:lang w:val="pt-BR"/>
        </w:rPr>
        <w:t>p</w:t>
      </w:r>
      <w:r w:rsidRPr="002F50BD">
        <w:rPr>
          <w:rFonts w:ascii="Verdana" w:hAnsi="Verdana"/>
          <w:sz w:val="20"/>
          <w:lang w:val="pt-BR"/>
        </w:rPr>
        <w:t>araguai</w:t>
      </w:r>
      <w:r w:rsidR="006603BE" w:rsidRPr="002F50BD">
        <w:rPr>
          <w:rFonts w:ascii="Verdana" w:hAnsi="Verdana"/>
          <w:sz w:val="20"/>
          <w:lang w:val="pt-BR"/>
        </w:rPr>
        <w:t>o</w:t>
      </w:r>
      <w:r w:rsidR="004756C1" w:rsidRPr="002F50BD">
        <w:rPr>
          <w:rFonts w:ascii="Verdana" w:hAnsi="Verdana"/>
          <w:sz w:val="20"/>
          <w:lang w:val="pt-BR"/>
        </w:rPr>
        <w:t xml:space="preserve"> </w:t>
      </w:r>
      <w:r w:rsidR="00FD2C38" w:rsidRPr="002F50BD">
        <w:rPr>
          <w:rFonts w:ascii="Verdana" w:hAnsi="Verdana"/>
          <w:sz w:val="20"/>
          <w:lang w:val="pt-BR"/>
        </w:rPr>
        <w:t>por meio d</w:t>
      </w:r>
      <w:r w:rsidRPr="002F50BD">
        <w:rPr>
          <w:rFonts w:ascii="Verdana" w:hAnsi="Verdana"/>
          <w:sz w:val="20"/>
          <w:lang w:val="pt-BR"/>
        </w:rPr>
        <w:t>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234</w:t>
      </w:r>
      <w:r w:rsidR="004756C1" w:rsidRPr="002F50BD">
        <w:rPr>
          <w:rFonts w:ascii="Verdana" w:hAnsi="Verdana"/>
          <w:sz w:val="20"/>
          <w:lang w:val="pt-BR"/>
        </w:rPr>
        <w:t xml:space="preserve"> de </w:t>
      </w:r>
      <w:r w:rsidR="00063B47" w:rsidRPr="002F50BD">
        <w:rPr>
          <w:rFonts w:ascii="Verdana" w:hAnsi="Verdana"/>
          <w:sz w:val="20"/>
          <w:lang w:val="pt-BR"/>
        </w:rPr>
        <w:t>1993</w:t>
      </w:r>
      <w:r w:rsidR="00E6530C" w:rsidRPr="002F50BD">
        <w:rPr>
          <w:rFonts w:ascii="Verdana" w:hAnsi="Verdana"/>
          <w:sz w:val="20"/>
          <w:lang w:val="pt-BR"/>
        </w:rPr>
        <w:t>. Dest</w:t>
      </w:r>
      <w:r w:rsidRPr="002F50BD">
        <w:rPr>
          <w:rFonts w:ascii="Verdana" w:hAnsi="Verdana"/>
          <w:sz w:val="20"/>
          <w:lang w:val="pt-BR"/>
        </w:rPr>
        <w:t xml:space="preserve">a </w:t>
      </w:r>
      <w:r w:rsidR="004756C1" w:rsidRPr="002F50BD">
        <w:rPr>
          <w:rFonts w:ascii="Verdana" w:hAnsi="Verdana"/>
          <w:sz w:val="20"/>
          <w:lang w:val="pt-BR"/>
        </w:rPr>
        <w:t>forma,</w:t>
      </w:r>
      <w:r w:rsidRPr="002F50BD">
        <w:rPr>
          <w:rFonts w:ascii="Verdana" w:hAnsi="Verdana"/>
          <w:sz w:val="20"/>
          <w:lang w:val="pt-BR"/>
        </w:rPr>
        <w:t xml:space="preserve"> </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w:t>
      </w:r>
      <w:r w:rsidRPr="002F50BD">
        <w:rPr>
          <w:rFonts w:ascii="Verdana" w:hAnsi="Verdana"/>
          <w:sz w:val="20"/>
          <w:lang w:val="pt-BR"/>
        </w:rPr>
        <w:t xml:space="preserve"> nos termo</w:t>
      </w:r>
      <w:r w:rsidR="004756C1" w:rsidRPr="002F50BD">
        <w:rPr>
          <w:rFonts w:ascii="Verdana" w:hAnsi="Verdana"/>
          <w:sz w:val="20"/>
          <w:lang w:val="pt-BR"/>
        </w:rPr>
        <w:t xml:space="preserve">s </w:t>
      </w:r>
      <w:r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29</w:t>
      </w:r>
      <w:r w:rsidR="004756C1" w:rsidRPr="002F50BD">
        <w:rPr>
          <w:rFonts w:ascii="Verdana" w:hAnsi="Verdana"/>
          <w:sz w:val="20"/>
          <w:lang w:val="pt-BR"/>
        </w:rPr>
        <w:t>.b</w:t>
      </w:r>
      <w:r w:rsidR="00CF451D" w:rsidRPr="00CF451D">
        <w:rPr>
          <w:rFonts w:ascii="Verdana" w:hAnsi="Verdana"/>
          <w:sz w:val="20"/>
          <w:lang w:val="pt-BR"/>
        </w:rPr>
        <w:t>)</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FD2C38" w:rsidRPr="002F50BD">
        <w:rPr>
          <w:rFonts w:ascii="Verdana" w:hAnsi="Verdana"/>
          <w:sz w:val="20"/>
          <w:lang w:val="pt-BR"/>
        </w:rPr>
        <w:t xml:space="preserve"> Americana</w:t>
      </w:r>
      <w:r w:rsidR="004756C1" w:rsidRPr="002F50BD">
        <w:rPr>
          <w:rFonts w:ascii="Verdana" w:hAnsi="Verdana"/>
          <w:sz w:val="20"/>
          <w:lang w:val="pt-BR"/>
        </w:rPr>
        <w:t xml:space="preserve">, </w:t>
      </w:r>
      <w:r w:rsidRPr="002F50BD">
        <w:rPr>
          <w:rFonts w:ascii="Verdana" w:hAnsi="Verdana"/>
          <w:sz w:val="20"/>
          <w:lang w:val="pt-BR"/>
        </w:rPr>
        <w:t xml:space="preserve">estabelece o </w:t>
      </w:r>
      <w:r w:rsidR="004756C1" w:rsidRPr="002F50BD">
        <w:rPr>
          <w:rFonts w:ascii="Verdana" w:hAnsi="Verdana"/>
          <w:sz w:val="20"/>
          <w:lang w:val="pt-BR"/>
        </w:rPr>
        <w:t>alcance dado</w:t>
      </w:r>
      <w:r w:rsidRPr="002F50BD">
        <w:rPr>
          <w:rFonts w:ascii="Verdana" w:hAnsi="Verdana"/>
          <w:sz w:val="20"/>
          <w:lang w:val="pt-BR"/>
        </w:rPr>
        <w:t xml:space="preserve"> pela </w:t>
      </w:r>
      <w:r w:rsidR="00385366" w:rsidRPr="002F50BD">
        <w:rPr>
          <w:rFonts w:ascii="Verdana" w:hAnsi="Verdana"/>
          <w:sz w:val="20"/>
          <w:lang w:val="pt-BR"/>
        </w:rPr>
        <w:t>legislação paraguaia</w:t>
      </w:r>
      <w:r w:rsidRPr="002F50BD">
        <w:rPr>
          <w:rFonts w:ascii="Verdana" w:hAnsi="Verdana"/>
          <w:sz w:val="20"/>
          <w:lang w:val="pt-BR"/>
        </w:rPr>
        <w:t xml:space="preserve"> ao direito</w:t>
      </w:r>
      <w:r w:rsidR="004756C1" w:rsidRPr="002F50BD">
        <w:rPr>
          <w:rFonts w:ascii="Verdana" w:hAnsi="Verdana"/>
          <w:sz w:val="20"/>
          <w:lang w:val="pt-BR"/>
        </w:rPr>
        <w:t xml:space="preserve"> de </w:t>
      </w:r>
      <w:r w:rsidRPr="002F50BD">
        <w:rPr>
          <w:rFonts w:ascii="Verdana" w:hAnsi="Verdana"/>
          <w:sz w:val="20"/>
          <w:lang w:val="pt-BR"/>
        </w:rPr>
        <w:t xml:space="preserve">propriedade e </w:t>
      </w:r>
      <w:r w:rsidR="006603BE" w:rsidRPr="002F50BD">
        <w:rPr>
          <w:rFonts w:ascii="Verdana" w:hAnsi="Verdana"/>
          <w:sz w:val="20"/>
          <w:lang w:val="pt-BR"/>
        </w:rPr>
        <w:t xml:space="preserve">também </w:t>
      </w:r>
      <w:r w:rsidR="004756C1" w:rsidRPr="002F50BD">
        <w:rPr>
          <w:rFonts w:ascii="Verdana" w:hAnsi="Verdana"/>
          <w:sz w:val="20"/>
          <w:lang w:val="pt-BR"/>
        </w:rPr>
        <w:t xml:space="preserve">vincula </w:t>
      </w: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w:t>
      </w:r>
      <w:r w:rsidR="00BE46ED" w:rsidRPr="002F50BD">
        <w:rPr>
          <w:rFonts w:ascii="Verdana" w:hAnsi="Verdana"/>
          <w:sz w:val="20"/>
          <w:lang w:val="pt-BR"/>
        </w:rPr>
        <w:t>a</w:t>
      </w:r>
      <w:r w:rsidRPr="002F50BD">
        <w:rPr>
          <w:rFonts w:ascii="Verdana" w:hAnsi="Verdana"/>
          <w:sz w:val="20"/>
          <w:lang w:val="pt-BR"/>
        </w:rPr>
        <w:t xml:space="preserve"> seu dever</w:t>
      </w:r>
      <w:r w:rsidR="004756C1" w:rsidRPr="002F50BD">
        <w:rPr>
          <w:rFonts w:ascii="Verdana" w:hAnsi="Verdana"/>
          <w:sz w:val="20"/>
          <w:lang w:val="pt-BR"/>
        </w:rPr>
        <w:t xml:space="preserve"> de </w:t>
      </w:r>
      <w:r w:rsidRPr="002F50BD">
        <w:rPr>
          <w:rFonts w:ascii="Verdana" w:hAnsi="Verdana"/>
          <w:sz w:val="20"/>
          <w:lang w:val="pt-BR"/>
        </w:rPr>
        <w:t>proteção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de </w:t>
      </w:r>
      <w:r w:rsidRPr="002F50BD">
        <w:rPr>
          <w:rFonts w:ascii="Verdana" w:hAnsi="Verdana"/>
          <w:sz w:val="20"/>
          <w:lang w:val="pt-BR"/>
        </w:rPr>
        <w:t>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FE08B7">
        <w:rPr>
          <w:rFonts w:ascii="Verdana" w:hAnsi="Verdana"/>
          <w:sz w:val="20"/>
          <w:lang w:val="pt-BR"/>
        </w:rPr>
        <w:t xml:space="preserve"> </w:t>
      </w:r>
      <w:r w:rsidR="004756C1" w:rsidRPr="002F50BD">
        <w:rPr>
          <w:rFonts w:ascii="Verdana" w:hAnsi="Verdana"/>
          <w:sz w:val="20"/>
          <w:lang w:val="pt-BR"/>
        </w:rPr>
        <w:t xml:space="preserve"> </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O direito das </w:t>
      </w:r>
      <w:r w:rsidR="004756C1" w:rsidRPr="002F50BD">
        <w:rPr>
          <w:rFonts w:ascii="Verdana" w:hAnsi="Verdana"/>
          <w:sz w:val="20"/>
          <w:lang w:val="pt-BR"/>
        </w:rPr>
        <w:t>comunidades indígenas</w:t>
      </w:r>
      <w:r w:rsidRPr="002F50BD">
        <w:rPr>
          <w:rFonts w:ascii="Verdana" w:hAnsi="Verdana"/>
          <w:sz w:val="20"/>
          <w:lang w:val="pt-BR"/>
        </w:rPr>
        <w:t xml:space="preserve"> à propriedade</w:t>
      </w:r>
      <w:r w:rsidR="004756C1" w:rsidRPr="002F50BD">
        <w:rPr>
          <w:rFonts w:ascii="Verdana" w:hAnsi="Verdana"/>
          <w:sz w:val="20"/>
          <w:lang w:val="pt-BR"/>
        </w:rPr>
        <w:t xml:space="preserve"> </w:t>
      </w:r>
      <w:r w:rsidRPr="002F50BD">
        <w:rPr>
          <w:rFonts w:ascii="Verdana" w:hAnsi="Verdana"/>
          <w:sz w:val="20"/>
          <w:lang w:val="pt-BR"/>
        </w:rPr>
        <w:t>coletiv</w:t>
      </w:r>
      <w:r w:rsidR="004756C1" w:rsidRPr="002F50BD">
        <w:rPr>
          <w:rFonts w:ascii="Verdana" w:hAnsi="Verdana"/>
          <w:sz w:val="20"/>
          <w:lang w:val="pt-BR"/>
        </w:rPr>
        <w:t xml:space="preserve">a de </w:t>
      </w:r>
      <w:r w:rsidR="00A50140" w:rsidRPr="002F50BD">
        <w:rPr>
          <w:rFonts w:ascii="Verdana" w:hAnsi="Verdana"/>
          <w:sz w:val="20"/>
          <w:lang w:val="pt-BR"/>
        </w:rPr>
        <w:t>suas terras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se concret</w:t>
      </w:r>
      <w:r w:rsidR="00FD2C38" w:rsidRPr="002F50BD">
        <w:rPr>
          <w:rFonts w:ascii="Verdana" w:hAnsi="Verdana"/>
          <w:sz w:val="20"/>
          <w:lang w:val="pt-BR"/>
        </w:rPr>
        <w:t>iz</w:t>
      </w:r>
      <w:r w:rsidR="004756C1" w:rsidRPr="002F50BD">
        <w:rPr>
          <w:rFonts w:ascii="Verdana" w:hAnsi="Verdana"/>
          <w:sz w:val="20"/>
          <w:lang w:val="pt-BR"/>
        </w:rPr>
        <w:t xml:space="preserve">a, entre </w:t>
      </w:r>
      <w:r w:rsidRPr="002F50BD">
        <w:rPr>
          <w:rFonts w:ascii="Verdana" w:hAnsi="Verdana"/>
          <w:sz w:val="20"/>
          <w:lang w:val="pt-BR"/>
        </w:rPr>
        <w:t>outra</w:t>
      </w:r>
      <w:r w:rsidR="004756C1" w:rsidRPr="002F50BD">
        <w:rPr>
          <w:rFonts w:ascii="Verdana" w:hAnsi="Verdana"/>
          <w:sz w:val="20"/>
          <w:lang w:val="pt-BR"/>
        </w:rPr>
        <w:t>s,</w:t>
      </w:r>
      <w:r w:rsidRPr="002F50BD">
        <w:rPr>
          <w:rFonts w:ascii="Verdana" w:hAnsi="Verdana"/>
          <w:sz w:val="20"/>
          <w:lang w:val="pt-BR"/>
        </w:rPr>
        <w:t xml:space="preserve"> na obrigação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 de delimitar, demarcar</w:t>
      </w:r>
      <w:r w:rsidRPr="002F50BD">
        <w:rPr>
          <w:rFonts w:ascii="Verdana" w:hAnsi="Verdana"/>
          <w:sz w:val="20"/>
          <w:lang w:val="pt-BR"/>
        </w:rPr>
        <w:t xml:space="preserve"> e </w:t>
      </w:r>
      <w:r w:rsidR="004756C1" w:rsidRPr="002F50BD">
        <w:rPr>
          <w:rFonts w:ascii="Verdana" w:hAnsi="Verdana"/>
          <w:sz w:val="20"/>
          <w:lang w:val="pt-BR"/>
        </w:rPr>
        <w:t>titula</w:t>
      </w:r>
      <w:r w:rsidR="00FD2C38" w:rsidRPr="002F50BD">
        <w:rPr>
          <w:rFonts w:ascii="Verdana" w:hAnsi="Verdana"/>
          <w:sz w:val="20"/>
          <w:lang w:val="pt-BR"/>
        </w:rPr>
        <w:t>riza</w:t>
      </w:r>
      <w:r w:rsidR="004756C1" w:rsidRPr="002F50BD">
        <w:rPr>
          <w:rFonts w:ascii="Verdana" w:hAnsi="Verdana"/>
          <w:sz w:val="20"/>
          <w:lang w:val="pt-BR"/>
        </w:rPr>
        <w:t>r</w:t>
      </w:r>
      <w:r w:rsidRPr="002F50BD">
        <w:rPr>
          <w:rFonts w:ascii="Verdana" w:hAnsi="Verdana"/>
          <w:sz w:val="20"/>
          <w:lang w:val="pt-BR"/>
        </w:rPr>
        <w:t xml:space="preserve"> o território das </w:t>
      </w:r>
      <w:r w:rsidR="004756C1" w:rsidRPr="002F50BD">
        <w:rPr>
          <w:rFonts w:ascii="Verdana" w:hAnsi="Verdana"/>
          <w:sz w:val="20"/>
          <w:lang w:val="pt-BR"/>
        </w:rPr>
        <w:t>respectivas comunidades</w:t>
      </w:r>
      <w:r w:rsidR="001A0CDE" w:rsidRPr="002F50BD">
        <w:rPr>
          <w:rFonts w:ascii="Verdana" w:hAnsi="Verdana"/>
          <w:sz w:val="20"/>
          <w:lang w:val="pt-BR"/>
        </w:rPr>
        <w:t>. Neste</w:t>
      </w:r>
      <w:r w:rsidRPr="002F50BD">
        <w:rPr>
          <w:rFonts w:ascii="Verdana" w:hAnsi="Verdana"/>
          <w:sz w:val="20"/>
          <w:lang w:val="pt-BR"/>
        </w:rPr>
        <w:t xml:space="preserve"> mesm</w:t>
      </w:r>
      <w:r w:rsidR="004756C1" w:rsidRPr="002F50BD">
        <w:rPr>
          <w:rFonts w:ascii="Verdana" w:hAnsi="Verdana"/>
          <w:sz w:val="20"/>
          <w:lang w:val="pt-BR"/>
        </w:rPr>
        <w:t>o sentido,</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tem a obrigação</w:t>
      </w:r>
      <w:r w:rsidR="004756C1" w:rsidRPr="002F50BD">
        <w:rPr>
          <w:rFonts w:ascii="Verdana" w:hAnsi="Verdana"/>
          <w:sz w:val="20"/>
          <w:lang w:val="pt-BR"/>
        </w:rPr>
        <w:t xml:space="preserve"> de restituir</w:t>
      </w:r>
      <w:r w:rsidRPr="002F50BD">
        <w:rPr>
          <w:rFonts w:ascii="Verdana" w:hAnsi="Verdana"/>
          <w:sz w:val="20"/>
          <w:lang w:val="pt-BR"/>
        </w:rPr>
        <w:t xml:space="preserve"> aos 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comunidades indígenas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e o </w:t>
      </w:r>
      <w:r w:rsidR="001A0CDE" w:rsidRPr="002F50BD">
        <w:rPr>
          <w:rFonts w:ascii="Verdana" w:hAnsi="Verdana"/>
          <w:i/>
          <w:sz w:val="20"/>
          <w:lang w:val="pt-BR"/>
        </w:rPr>
        <w:t>habitat</w:t>
      </w:r>
      <w:r w:rsidR="004756C1" w:rsidRPr="002F50BD">
        <w:rPr>
          <w:rFonts w:ascii="Verdana" w:hAnsi="Verdana"/>
          <w:sz w:val="20"/>
          <w:lang w:val="pt-BR"/>
        </w:rPr>
        <w:t xml:space="preserve"> que</w:t>
      </w:r>
      <w:r w:rsidRPr="002F50BD">
        <w:rPr>
          <w:rFonts w:ascii="Verdana" w:hAnsi="Verdana"/>
          <w:sz w:val="20"/>
          <w:lang w:val="pt-BR"/>
        </w:rPr>
        <w:t xml:space="preserve"> lhes é próprio</w:t>
      </w:r>
      <w:r w:rsidR="004756C1" w:rsidRPr="002F50BD">
        <w:rPr>
          <w:rFonts w:ascii="Verdana" w:hAnsi="Verdana"/>
          <w:sz w:val="20"/>
          <w:lang w:val="pt-BR"/>
        </w:rPr>
        <w:t xml:space="preserve">, </w:t>
      </w:r>
      <w:r w:rsidR="00FD2C38" w:rsidRPr="002F50BD">
        <w:rPr>
          <w:rFonts w:ascii="Verdana" w:hAnsi="Verdana"/>
          <w:sz w:val="20"/>
          <w:lang w:val="pt-BR"/>
        </w:rPr>
        <w:t xml:space="preserve">bem </w:t>
      </w:r>
      <w:r w:rsidR="004756C1" w:rsidRPr="002F50BD">
        <w:rPr>
          <w:rFonts w:ascii="Verdana" w:hAnsi="Verdana"/>
          <w:sz w:val="20"/>
          <w:lang w:val="pt-BR"/>
        </w:rPr>
        <w:t xml:space="preserve">como </w:t>
      </w:r>
      <w:r w:rsidR="00AB454A" w:rsidRPr="002F50BD">
        <w:rPr>
          <w:rFonts w:ascii="Verdana" w:hAnsi="Verdana"/>
          <w:sz w:val="20"/>
          <w:lang w:val="pt-BR"/>
        </w:rPr>
        <w:t>protegê-</w:t>
      </w:r>
      <w:r w:rsidR="00FD2C38" w:rsidRPr="002F50BD">
        <w:rPr>
          <w:rFonts w:ascii="Verdana" w:hAnsi="Verdana"/>
          <w:sz w:val="20"/>
          <w:lang w:val="pt-BR"/>
        </w:rPr>
        <w:t>lo</w:t>
      </w:r>
      <w:r w:rsidR="00AB6727" w:rsidRPr="002F50BD">
        <w:rPr>
          <w:rFonts w:ascii="Verdana" w:hAnsi="Verdana"/>
          <w:sz w:val="20"/>
          <w:lang w:val="pt-BR"/>
        </w:rPr>
        <w:t xml:space="preserve">s </w:t>
      </w:r>
      <w:r w:rsidR="004756C1" w:rsidRPr="002F50BD">
        <w:rPr>
          <w:rFonts w:ascii="Verdana" w:hAnsi="Verdana"/>
          <w:sz w:val="20"/>
          <w:lang w:val="pt-BR"/>
        </w:rPr>
        <w:t xml:space="preserve">de </w:t>
      </w:r>
      <w:r w:rsidRPr="002F50BD">
        <w:rPr>
          <w:rFonts w:ascii="Verdana" w:hAnsi="Verdana"/>
          <w:sz w:val="20"/>
          <w:lang w:val="pt-BR"/>
        </w:rPr>
        <w:t>terceiro</w:t>
      </w:r>
      <w:r w:rsidR="004756C1" w:rsidRPr="002F50BD">
        <w:rPr>
          <w:rFonts w:ascii="Verdana" w:hAnsi="Verdana"/>
          <w:sz w:val="20"/>
          <w:lang w:val="pt-BR"/>
        </w:rPr>
        <w:t>s que pretend</w:t>
      </w:r>
      <w:r w:rsidR="00FD2C38" w:rsidRPr="002F50BD">
        <w:rPr>
          <w:rFonts w:ascii="Verdana" w:hAnsi="Verdana"/>
          <w:sz w:val="20"/>
          <w:lang w:val="pt-BR"/>
        </w:rPr>
        <w:t>am</w:t>
      </w:r>
      <w:r w:rsidR="004756C1" w:rsidRPr="002F50BD">
        <w:rPr>
          <w:rFonts w:ascii="Verdana" w:hAnsi="Verdana"/>
          <w:sz w:val="20"/>
          <w:lang w:val="pt-BR"/>
        </w:rPr>
        <w:t xml:space="preserve"> turbar</w:t>
      </w:r>
      <w:r w:rsidRPr="002F50BD">
        <w:rPr>
          <w:rFonts w:ascii="Verdana" w:hAnsi="Verdana"/>
          <w:sz w:val="20"/>
          <w:lang w:val="pt-BR"/>
        </w:rPr>
        <w:t xml:space="preserve"> a </w:t>
      </w:r>
      <w:r w:rsidR="00A50140" w:rsidRPr="002F50BD">
        <w:rPr>
          <w:rFonts w:ascii="Verdana" w:hAnsi="Verdana"/>
          <w:sz w:val="20"/>
          <w:lang w:val="pt-BR"/>
        </w:rPr>
        <w:t>posse</w:t>
      </w:r>
      <w:r w:rsidR="004756C1" w:rsidRPr="002F50BD">
        <w:rPr>
          <w:rFonts w:ascii="Verdana" w:hAnsi="Verdana"/>
          <w:sz w:val="20"/>
          <w:lang w:val="pt-BR"/>
        </w:rPr>
        <w:t xml:space="preserve"> o</w:t>
      </w:r>
      <w:r w:rsidR="00FD2C38" w:rsidRPr="002F50BD">
        <w:rPr>
          <w:rFonts w:ascii="Verdana" w:hAnsi="Verdana"/>
          <w:sz w:val="20"/>
          <w:lang w:val="pt-BR"/>
        </w:rPr>
        <w:t>u</w:t>
      </w:r>
      <w:r w:rsidR="004756C1" w:rsidRPr="002F50BD">
        <w:rPr>
          <w:rFonts w:ascii="Verdana" w:hAnsi="Verdana"/>
          <w:sz w:val="20"/>
          <w:lang w:val="pt-BR"/>
        </w:rPr>
        <w:t xml:space="preserve"> realizar</w:t>
      </w:r>
      <w:r w:rsidRPr="002F50BD">
        <w:rPr>
          <w:rFonts w:ascii="Verdana" w:hAnsi="Verdana"/>
          <w:sz w:val="20"/>
          <w:lang w:val="pt-BR"/>
        </w:rPr>
        <w:t xml:space="preserve"> atos</w:t>
      </w:r>
      <w:r w:rsidR="004756C1" w:rsidRPr="002F50BD">
        <w:rPr>
          <w:rFonts w:ascii="Verdana" w:hAnsi="Verdana"/>
          <w:sz w:val="20"/>
          <w:lang w:val="pt-BR"/>
        </w:rPr>
        <w:t xml:space="preserve"> contra </w:t>
      </w:r>
      <w:r w:rsidR="00FD2C38" w:rsidRPr="002F50BD">
        <w:rPr>
          <w:rFonts w:ascii="Verdana" w:hAnsi="Verdana"/>
          <w:sz w:val="20"/>
          <w:lang w:val="pt-BR"/>
        </w:rPr>
        <w:t>sua integridade</w:t>
      </w:r>
      <w:r w:rsidR="004756C1" w:rsidRPr="002F50BD">
        <w:rPr>
          <w:rFonts w:ascii="Verdana" w:hAnsi="Verdana"/>
          <w:sz w:val="20"/>
          <w:lang w:val="pt-BR"/>
        </w:rPr>
        <w:t>, sobre</w:t>
      </w:r>
      <w:r w:rsidRPr="002F50BD">
        <w:rPr>
          <w:rFonts w:ascii="Verdana" w:hAnsi="Verdana"/>
          <w:sz w:val="20"/>
          <w:lang w:val="pt-BR"/>
        </w:rPr>
        <w:t xml:space="preserve"> a existência</w:t>
      </w:r>
      <w:r w:rsidR="004756C1" w:rsidRPr="002F50BD">
        <w:rPr>
          <w:rFonts w:ascii="Verdana" w:hAnsi="Verdana"/>
          <w:sz w:val="20"/>
          <w:lang w:val="pt-BR"/>
        </w:rPr>
        <w:t>, valor, uso o</w:t>
      </w:r>
      <w:r w:rsidR="00FD2C38" w:rsidRPr="002F50BD">
        <w:rPr>
          <w:rFonts w:ascii="Verdana" w:hAnsi="Verdana"/>
          <w:sz w:val="20"/>
          <w:lang w:val="pt-BR"/>
        </w:rPr>
        <w:t>u</w:t>
      </w:r>
      <w:r w:rsidRPr="002F50BD">
        <w:rPr>
          <w:rFonts w:ascii="Verdana" w:hAnsi="Verdana"/>
          <w:sz w:val="20"/>
          <w:lang w:val="pt-BR"/>
        </w:rPr>
        <w:t xml:space="preserve"> o</w:t>
      </w:r>
      <w:r w:rsidR="00385366" w:rsidRPr="002F50BD">
        <w:rPr>
          <w:rFonts w:ascii="Verdana" w:hAnsi="Verdana"/>
          <w:sz w:val="20"/>
          <w:lang w:val="pt-BR"/>
        </w:rPr>
        <w:t xml:space="preserve"> gozo </w:t>
      </w:r>
      <w:r w:rsidRPr="002F50BD">
        <w:rPr>
          <w:rFonts w:ascii="Verdana" w:hAnsi="Verdana"/>
          <w:sz w:val="20"/>
          <w:lang w:val="pt-BR"/>
        </w:rPr>
        <w:t>dos bens</w:t>
      </w:r>
      <w:r w:rsidR="004756C1" w:rsidRPr="002F50BD">
        <w:rPr>
          <w:rFonts w:ascii="Verdana" w:hAnsi="Verdana"/>
          <w:sz w:val="20"/>
          <w:lang w:val="pt-BR"/>
        </w:rPr>
        <w:t xml:space="preserve"> </w:t>
      </w:r>
      <w:r w:rsidRPr="002F50BD">
        <w:rPr>
          <w:rFonts w:ascii="Verdana" w:hAnsi="Verdana"/>
          <w:sz w:val="20"/>
          <w:lang w:val="pt-BR"/>
        </w:rPr>
        <w:t>localizad</w:t>
      </w:r>
      <w:r w:rsidR="004756C1" w:rsidRPr="002F50BD">
        <w:rPr>
          <w:rFonts w:ascii="Verdana" w:hAnsi="Verdana"/>
          <w:sz w:val="20"/>
          <w:lang w:val="pt-BR"/>
        </w:rPr>
        <w:t>os</w:t>
      </w:r>
      <w:r w:rsidRPr="002F50BD">
        <w:rPr>
          <w:rFonts w:ascii="Verdana" w:hAnsi="Verdana"/>
          <w:sz w:val="20"/>
          <w:lang w:val="pt-BR"/>
        </w:rPr>
        <w:t xml:space="preserve"> nas </w:t>
      </w:r>
      <w:r w:rsidR="004756C1" w:rsidRPr="002F50BD">
        <w:rPr>
          <w:rFonts w:ascii="Verdana" w:hAnsi="Verdana"/>
          <w:sz w:val="20"/>
          <w:lang w:val="pt-BR"/>
        </w:rPr>
        <w:t>zonas geográficas</w:t>
      </w:r>
      <w:r w:rsidRPr="002F50BD">
        <w:rPr>
          <w:rFonts w:ascii="Verdana" w:hAnsi="Verdana"/>
          <w:sz w:val="20"/>
          <w:lang w:val="pt-BR"/>
        </w:rPr>
        <w:t xml:space="preserve"> onde</w:t>
      </w:r>
      <w:r w:rsidR="004756C1" w:rsidRPr="002F50BD">
        <w:rPr>
          <w:rFonts w:ascii="Verdana" w:hAnsi="Verdana"/>
          <w:sz w:val="20"/>
          <w:lang w:val="pt-BR"/>
        </w:rPr>
        <w:t xml:space="preserve"> </w:t>
      </w:r>
      <w:r w:rsidR="00FD2C38" w:rsidRPr="002F50BD">
        <w:rPr>
          <w:rFonts w:ascii="Verdana" w:hAnsi="Verdana"/>
          <w:sz w:val="20"/>
          <w:lang w:val="pt-BR"/>
        </w:rPr>
        <w:t>os membros da Comunidade vivem</w:t>
      </w:r>
      <w:r w:rsidRPr="002F50BD">
        <w:rPr>
          <w:rFonts w:ascii="Verdana" w:hAnsi="Verdana"/>
          <w:sz w:val="20"/>
          <w:lang w:val="pt-BR"/>
        </w:rPr>
        <w:t xml:space="preserve"> e realizam</w:t>
      </w:r>
      <w:r w:rsidR="004756C1" w:rsidRPr="002F50BD">
        <w:rPr>
          <w:rFonts w:ascii="Verdana" w:hAnsi="Verdana"/>
          <w:sz w:val="20"/>
          <w:lang w:val="pt-BR"/>
        </w:rPr>
        <w:t xml:space="preserve"> </w:t>
      </w:r>
      <w:r w:rsidR="004076AD" w:rsidRPr="002F50BD">
        <w:rPr>
          <w:rFonts w:ascii="Verdana" w:hAnsi="Verdana"/>
          <w:sz w:val="20"/>
          <w:lang w:val="pt-BR"/>
        </w:rPr>
        <w:t>suas atividades</w:t>
      </w:r>
      <w:r w:rsidR="004756C1" w:rsidRPr="002F50BD">
        <w:rPr>
          <w:rFonts w:ascii="Verdana" w:hAnsi="Verdana"/>
          <w:sz w:val="20"/>
          <w:lang w:val="pt-BR"/>
        </w:rPr>
        <w:t xml:space="preserve">; </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A obrigação dos </w:t>
      </w:r>
      <w:r w:rsidR="004756C1" w:rsidRPr="002F50BD">
        <w:rPr>
          <w:rFonts w:ascii="Verdana" w:hAnsi="Verdana"/>
          <w:sz w:val="20"/>
          <w:lang w:val="pt-BR"/>
        </w:rPr>
        <w:t xml:space="preserve">Estados de restituir </w:t>
      </w:r>
      <w:r w:rsidR="00A50140" w:rsidRPr="002F50BD">
        <w:rPr>
          <w:rFonts w:ascii="Verdana" w:hAnsi="Verdana"/>
          <w:sz w:val="20"/>
          <w:lang w:val="pt-BR"/>
        </w:rPr>
        <w:t>suas terras</w:t>
      </w:r>
      <w:r w:rsidR="004756C1" w:rsidRPr="002F50BD">
        <w:rPr>
          <w:rFonts w:ascii="Verdana" w:hAnsi="Verdana"/>
          <w:sz w:val="20"/>
          <w:lang w:val="pt-BR"/>
        </w:rPr>
        <w:t xml:space="preserve"> a comunidades indígenas</w:t>
      </w:r>
      <w:r w:rsidRPr="002F50BD">
        <w:rPr>
          <w:rFonts w:ascii="Verdana" w:hAnsi="Verdana"/>
          <w:sz w:val="20"/>
          <w:lang w:val="pt-BR"/>
        </w:rPr>
        <w:t xml:space="preserve"> deve </w:t>
      </w:r>
      <w:r w:rsidR="004756C1" w:rsidRPr="002F50BD">
        <w:rPr>
          <w:rFonts w:ascii="Verdana" w:hAnsi="Verdana"/>
          <w:sz w:val="20"/>
          <w:lang w:val="pt-BR"/>
        </w:rPr>
        <w:t>realizar</w:t>
      </w:r>
      <w:r w:rsidR="00FD2C38" w:rsidRPr="002F50BD">
        <w:rPr>
          <w:rFonts w:ascii="Verdana" w:hAnsi="Verdana"/>
          <w:sz w:val="20"/>
          <w:lang w:val="pt-BR"/>
        </w:rPr>
        <w:t>-</w:t>
      </w:r>
      <w:r w:rsidR="004756C1" w:rsidRPr="002F50BD">
        <w:rPr>
          <w:rFonts w:ascii="Verdana" w:hAnsi="Verdana"/>
          <w:sz w:val="20"/>
          <w:lang w:val="pt-BR"/>
        </w:rPr>
        <w:t xml:space="preserve">se </w:t>
      </w:r>
      <w:r w:rsidR="00FD2C38" w:rsidRPr="002F50BD">
        <w:rPr>
          <w:rFonts w:ascii="Verdana" w:hAnsi="Verdana"/>
          <w:sz w:val="20"/>
          <w:lang w:val="pt-BR"/>
        </w:rPr>
        <w:t xml:space="preserve">de </w:t>
      </w:r>
      <w:r w:rsidR="004756C1" w:rsidRPr="002F50BD">
        <w:rPr>
          <w:rFonts w:ascii="Verdana" w:hAnsi="Verdana"/>
          <w:sz w:val="20"/>
          <w:lang w:val="pt-BR"/>
        </w:rPr>
        <w:t>acord</w:t>
      </w:r>
      <w:r w:rsidR="00FD2C38" w:rsidRPr="002F50BD">
        <w:rPr>
          <w:rFonts w:ascii="Verdana" w:hAnsi="Verdana"/>
          <w:sz w:val="20"/>
          <w:lang w:val="pt-BR"/>
        </w:rPr>
        <w:t>o</w:t>
      </w:r>
      <w:r w:rsidRPr="002F50BD">
        <w:rPr>
          <w:rFonts w:ascii="Verdana" w:hAnsi="Verdana"/>
          <w:sz w:val="20"/>
          <w:lang w:val="pt-BR"/>
        </w:rPr>
        <w:t xml:space="preserve"> com o direito</w:t>
      </w:r>
      <w:r w:rsidR="004756C1" w:rsidRPr="002F50BD">
        <w:rPr>
          <w:rFonts w:ascii="Verdana" w:hAnsi="Verdana"/>
          <w:sz w:val="20"/>
          <w:lang w:val="pt-BR"/>
        </w:rPr>
        <w:t xml:space="preserve"> </w:t>
      </w:r>
      <w:r w:rsidRPr="002F50BD">
        <w:rPr>
          <w:rFonts w:ascii="Verdana" w:hAnsi="Verdana"/>
          <w:sz w:val="20"/>
          <w:lang w:val="pt-BR"/>
        </w:rPr>
        <w:t>consuetudinário</w:t>
      </w:r>
      <w:r w:rsidR="004756C1"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valores, usos</w:t>
      </w:r>
      <w:r w:rsidRPr="002F50BD">
        <w:rPr>
          <w:rFonts w:ascii="Verdana" w:hAnsi="Verdana"/>
          <w:sz w:val="20"/>
          <w:lang w:val="pt-BR"/>
        </w:rPr>
        <w:t xml:space="preserve"> e costume</w:t>
      </w:r>
      <w:r w:rsidR="004756C1" w:rsidRPr="002F50BD">
        <w:rPr>
          <w:rFonts w:ascii="Verdana" w:hAnsi="Verdana"/>
          <w:sz w:val="20"/>
          <w:lang w:val="pt-BR"/>
        </w:rPr>
        <w:t xml:space="preserve">s </w:t>
      </w:r>
      <w:r w:rsidRPr="002F50BD">
        <w:rPr>
          <w:rFonts w:ascii="Verdana" w:hAnsi="Verdana"/>
          <w:sz w:val="20"/>
          <w:lang w:val="pt-BR"/>
        </w:rPr>
        <w:t>desta</w:t>
      </w:r>
      <w:r w:rsidR="004756C1" w:rsidRPr="002F50BD">
        <w:rPr>
          <w:rFonts w:ascii="Verdana" w:hAnsi="Verdana"/>
          <w:sz w:val="20"/>
          <w:lang w:val="pt-BR"/>
        </w:rPr>
        <w:t>s</w:t>
      </w:r>
      <w:r w:rsidR="00FD2C38" w:rsidRPr="002F50BD">
        <w:rPr>
          <w:rFonts w:ascii="Verdana" w:hAnsi="Verdana"/>
          <w:sz w:val="20"/>
          <w:lang w:val="pt-BR"/>
        </w:rPr>
        <w:t xml:space="preserve"> comunidades</w:t>
      </w:r>
      <w:r w:rsidR="004756C1"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FD2C38">
      <w:pPr>
        <w:numPr>
          <w:ilvl w:val="0"/>
          <w:numId w:val="10"/>
        </w:numPr>
        <w:tabs>
          <w:tab w:val="left" w:pos="1080"/>
        </w:tabs>
        <w:ind w:left="720"/>
        <w:jc w:val="both"/>
        <w:rPr>
          <w:rFonts w:ascii="Verdana" w:hAnsi="Verdana"/>
          <w:sz w:val="20"/>
          <w:lang w:val="pt-BR"/>
        </w:rPr>
      </w:pPr>
      <w:r w:rsidRPr="002F50BD">
        <w:rPr>
          <w:rFonts w:ascii="Verdana" w:hAnsi="Verdana"/>
          <w:sz w:val="20"/>
          <w:lang w:val="pt-BR"/>
        </w:rPr>
        <w:t>N</w:t>
      </w:r>
      <w:r w:rsidR="0089298C" w:rsidRPr="002F50BD">
        <w:rPr>
          <w:rFonts w:ascii="Verdana" w:hAnsi="Verdana"/>
          <w:sz w:val="20"/>
          <w:lang w:val="pt-BR"/>
        </w:rPr>
        <w:t>os trâmite</w:t>
      </w:r>
      <w:r w:rsidR="004756C1" w:rsidRPr="002F50BD">
        <w:rPr>
          <w:rFonts w:ascii="Verdana" w:hAnsi="Verdana"/>
          <w:sz w:val="20"/>
          <w:lang w:val="pt-BR"/>
        </w:rPr>
        <w:t>s de reivindica</w:t>
      </w:r>
      <w:r w:rsidR="0089298C" w:rsidRPr="002F50BD">
        <w:rPr>
          <w:rFonts w:ascii="Verdana" w:hAnsi="Verdana"/>
          <w:sz w:val="20"/>
          <w:lang w:val="pt-BR"/>
        </w:rPr>
        <w:t>ção das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89298C" w:rsidRPr="002F50BD">
        <w:rPr>
          <w:rFonts w:ascii="Verdana" w:hAnsi="Verdana"/>
          <w:sz w:val="20"/>
          <w:lang w:val="pt-BR"/>
        </w:rPr>
        <w:t xml:space="preserve"> da Comunidade </w:t>
      </w:r>
      <w:r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IBR</w:t>
      </w:r>
      <w:r w:rsidR="0089298C" w:rsidRPr="002F50BD">
        <w:rPr>
          <w:rFonts w:ascii="Verdana" w:hAnsi="Verdana"/>
          <w:sz w:val="20"/>
          <w:lang w:val="pt-BR"/>
        </w:rPr>
        <w:t xml:space="preserve"> e o </w:t>
      </w:r>
      <w:r w:rsidR="004756C1" w:rsidRPr="002F50BD">
        <w:rPr>
          <w:rFonts w:ascii="Verdana" w:hAnsi="Verdana"/>
          <w:sz w:val="20"/>
          <w:lang w:val="pt-BR"/>
        </w:rPr>
        <w:t>INDI,</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4076AD" w:rsidRPr="002F50BD">
        <w:rPr>
          <w:rFonts w:ascii="Verdana" w:hAnsi="Verdana"/>
          <w:sz w:val="20"/>
          <w:lang w:val="pt-BR"/>
        </w:rPr>
        <w:t>reconheceu</w:t>
      </w:r>
      <w:r w:rsidR="0089298C" w:rsidRPr="002F50BD">
        <w:rPr>
          <w:rFonts w:ascii="Verdana" w:hAnsi="Verdana"/>
          <w:sz w:val="20"/>
          <w:lang w:val="pt-BR"/>
        </w:rPr>
        <w:t xml:space="preserve"> e indic</w:t>
      </w:r>
      <w:r w:rsidRPr="002F50BD">
        <w:rPr>
          <w:rFonts w:ascii="Verdana" w:hAnsi="Verdana"/>
          <w:sz w:val="20"/>
          <w:lang w:val="pt-BR"/>
        </w:rPr>
        <w:t>ou</w:t>
      </w:r>
      <w:r w:rsidR="0089298C" w:rsidRPr="002F50BD">
        <w:rPr>
          <w:rFonts w:ascii="Verdana" w:hAnsi="Verdana"/>
          <w:sz w:val="20"/>
          <w:lang w:val="pt-BR"/>
        </w:rPr>
        <w:t xml:space="preserve"> o território</w:t>
      </w:r>
      <w:r w:rsidR="004756C1" w:rsidRPr="002F50BD">
        <w:rPr>
          <w:rFonts w:ascii="Verdana" w:hAnsi="Verdana"/>
          <w:sz w:val="20"/>
          <w:lang w:val="pt-BR"/>
        </w:rPr>
        <w:t xml:space="preserve"> que </w:t>
      </w:r>
      <w:r w:rsidR="004076AD" w:rsidRPr="002F50BD">
        <w:rPr>
          <w:rFonts w:ascii="Verdana" w:hAnsi="Verdana"/>
          <w:sz w:val="20"/>
          <w:lang w:val="pt-BR"/>
        </w:rPr>
        <w:t>deveria</w:t>
      </w:r>
      <w:r w:rsidR="004756C1" w:rsidRPr="002F50BD">
        <w:rPr>
          <w:rFonts w:ascii="Verdana" w:hAnsi="Verdana"/>
          <w:sz w:val="20"/>
          <w:lang w:val="pt-BR"/>
        </w:rPr>
        <w:t xml:space="preserve"> ser demarcado, delimitado</w:t>
      </w:r>
      <w:r w:rsidR="0089298C" w:rsidRPr="002F50BD">
        <w:rPr>
          <w:rFonts w:ascii="Verdana" w:hAnsi="Verdana"/>
          <w:sz w:val="20"/>
          <w:lang w:val="pt-BR"/>
        </w:rPr>
        <w:t xml:space="preserve"> e </w:t>
      </w:r>
      <w:r w:rsidR="004756C1" w:rsidRPr="002F50BD">
        <w:rPr>
          <w:rFonts w:ascii="Verdana" w:hAnsi="Verdana"/>
          <w:sz w:val="20"/>
          <w:lang w:val="pt-BR"/>
        </w:rPr>
        <w:t>titulado a favor</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FB33DD" w:rsidRPr="002F50BD">
        <w:rPr>
          <w:rFonts w:ascii="Verdana" w:hAnsi="Verdana"/>
          <w:sz w:val="20"/>
          <w:lang w:val="pt-BR"/>
        </w:rPr>
        <w:t xml:space="preserve">. Esse </w:t>
      </w:r>
      <w:r w:rsidR="0089298C" w:rsidRPr="002F50BD">
        <w:rPr>
          <w:rFonts w:ascii="Verdana" w:hAnsi="Verdana"/>
          <w:sz w:val="20"/>
          <w:lang w:val="pt-BR"/>
        </w:rPr>
        <w:t>território</w:t>
      </w:r>
      <w:r w:rsidR="004756C1" w:rsidRPr="002F50BD">
        <w:rPr>
          <w:rFonts w:ascii="Verdana" w:hAnsi="Verdana"/>
          <w:sz w:val="20"/>
          <w:lang w:val="pt-BR"/>
        </w:rPr>
        <w:t xml:space="preserve"> corresponde</w:t>
      </w:r>
      <w:r w:rsidR="0089298C" w:rsidRPr="002F50BD">
        <w:rPr>
          <w:rFonts w:ascii="Verdana" w:hAnsi="Verdana"/>
          <w:sz w:val="20"/>
          <w:lang w:val="pt-BR"/>
        </w:rPr>
        <w:t xml:space="preserve"> à terra</w:t>
      </w:r>
      <w:r w:rsidR="004756C1" w:rsidRPr="002F50BD">
        <w:rPr>
          <w:rFonts w:ascii="Verdana" w:hAnsi="Verdana"/>
          <w:sz w:val="20"/>
          <w:lang w:val="pt-BR"/>
        </w:rPr>
        <w:t xml:space="preserve"> ancestral</w:t>
      </w:r>
      <w:r w:rsidR="0089298C" w:rsidRPr="002F50BD">
        <w:rPr>
          <w:rFonts w:ascii="Verdana" w:hAnsi="Verdana"/>
          <w:sz w:val="20"/>
          <w:lang w:val="pt-BR"/>
        </w:rPr>
        <w:t xml:space="preserve"> da </w:t>
      </w:r>
      <w:r w:rsidR="00A50140" w:rsidRPr="002F50BD">
        <w:rPr>
          <w:rFonts w:ascii="Verdana" w:hAnsi="Verdana"/>
          <w:sz w:val="20"/>
          <w:lang w:val="pt-BR"/>
        </w:rPr>
        <w:t>Comunidade.</w:t>
      </w:r>
      <w:r w:rsidR="004756C1" w:rsidRPr="002F50BD">
        <w:rPr>
          <w:rFonts w:ascii="Verdana" w:hAnsi="Verdana"/>
          <w:sz w:val="20"/>
          <w:lang w:val="pt-BR"/>
        </w:rPr>
        <w:t xml:space="preserve"> </w:t>
      </w:r>
      <w:r w:rsidRPr="002F50BD">
        <w:rPr>
          <w:rFonts w:ascii="Verdana" w:hAnsi="Verdana"/>
          <w:sz w:val="20"/>
          <w:lang w:val="pt-BR"/>
        </w:rPr>
        <w:t>No entanto</w:t>
      </w:r>
      <w:r w:rsidR="004756C1" w:rsidRPr="002F50BD">
        <w:rPr>
          <w:rFonts w:ascii="Verdana" w:hAnsi="Verdana"/>
          <w:sz w:val="20"/>
          <w:lang w:val="pt-BR"/>
        </w:rPr>
        <w:t>,</w:t>
      </w:r>
      <w:r w:rsidR="004076AD" w:rsidRPr="002F50BD">
        <w:rPr>
          <w:rFonts w:ascii="Verdana" w:hAnsi="Verdana"/>
          <w:sz w:val="20"/>
          <w:lang w:val="pt-BR"/>
        </w:rPr>
        <w:t xml:space="preserve"> apesar </w:t>
      </w:r>
      <w:r w:rsidR="0089298C" w:rsidRPr="002F50BD">
        <w:rPr>
          <w:rFonts w:ascii="Verdana" w:hAnsi="Verdana"/>
          <w:sz w:val="20"/>
          <w:lang w:val="pt-BR"/>
        </w:rPr>
        <w:t xml:space="preserve">deste </w:t>
      </w:r>
      <w:r w:rsidR="004756C1" w:rsidRPr="002F50BD">
        <w:rPr>
          <w:rFonts w:ascii="Verdana" w:hAnsi="Verdana"/>
          <w:sz w:val="20"/>
          <w:lang w:val="pt-BR"/>
        </w:rPr>
        <w:t>re</w:t>
      </w:r>
      <w:r w:rsidR="0089298C" w:rsidRPr="002F50BD">
        <w:rPr>
          <w:rFonts w:ascii="Verdana" w:hAnsi="Verdana"/>
          <w:sz w:val="20"/>
          <w:lang w:val="pt-BR"/>
        </w:rPr>
        <w:t>conhecimento</w:t>
      </w:r>
      <w:r w:rsidR="006603BE" w:rsidRPr="002F50BD">
        <w:rPr>
          <w:rFonts w:ascii="Verdana" w:hAnsi="Verdana"/>
          <w:sz w:val="20"/>
          <w:lang w:val="pt-BR"/>
        </w:rPr>
        <w:t xml:space="preserve"> explícito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385366" w:rsidRPr="002F50BD">
        <w:rPr>
          <w:rFonts w:ascii="Verdana" w:hAnsi="Verdana"/>
          <w:sz w:val="20"/>
          <w:lang w:val="pt-BR"/>
        </w:rPr>
        <w:t>não garantiu</w:t>
      </w:r>
      <w:r w:rsidR="0089298C" w:rsidRPr="002F50BD">
        <w:rPr>
          <w:rFonts w:ascii="Verdana" w:hAnsi="Verdana"/>
          <w:sz w:val="20"/>
          <w:lang w:val="pt-BR"/>
        </w:rPr>
        <w:t xml:space="preserve"> o direito da Comunidade </w:t>
      </w:r>
      <w:r w:rsidR="004756C1" w:rsidRPr="002F50BD">
        <w:rPr>
          <w:rFonts w:ascii="Verdana" w:hAnsi="Verdana"/>
          <w:sz w:val="20"/>
          <w:lang w:val="pt-BR"/>
        </w:rPr>
        <w:t>Yakye Axa</w:t>
      </w:r>
      <w:r w:rsidR="0089298C" w:rsidRPr="002F50BD">
        <w:rPr>
          <w:rFonts w:ascii="Verdana" w:hAnsi="Verdana"/>
          <w:sz w:val="20"/>
          <w:lang w:val="pt-BR"/>
        </w:rPr>
        <w:t xml:space="preserve"> à propriedade e </w:t>
      </w:r>
      <w:r w:rsidRPr="002F50BD">
        <w:rPr>
          <w:rFonts w:ascii="Verdana" w:hAnsi="Verdana"/>
          <w:sz w:val="20"/>
          <w:lang w:val="pt-BR"/>
        </w:rPr>
        <w:t xml:space="preserve">à </w:t>
      </w:r>
      <w:r w:rsidR="00A50140" w:rsidRPr="002F50BD">
        <w:rPr>
          <w:rFonts w:ascii="Verdana" w:hAnsi="Verdana"/>
          <w:sz w:val="20"/>
          <w:lang w:val="pt-BR"/>
        </w:rPr>
        <w:t>posse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a de </w:t>
      </w:r>
      <w:r w:rsidR="00475EBB" w:rsidRPr="002F50BD">
        <w:rPr>
          <w:rFonts w:ascii="Verdana" w:hAnsi="Verdana"/>
          <w:sz w:val="20"/>
          <w:lang w:val="pt-BR"/>
        </w:rPr>
        <w:t>sua terra</w:t>
      </w:r>
      <w:r w:rsidR="004756C1" w:rsidRPr="002F50BD">
        <w:rPr>
          <w:rFonts w:ascii="Verdana" w:hAnsi="Verdana"/>
          <w:sz w:val="20"/>
          <w:lang w:val="pt-BR"/>
        </w:rPr>
        <w:t xml:space="preserve"> ancestral;</w:t>
      </w:r>
    </w:p>
    <w:p w:rsidR="004756C1" w:rsidRPr="002F50BD" w:rsidRDefault="004756C1">
      <w:pPr>
        <w:tabs>
          <w:tab w:val="left" w:pos="1080"/>
        </w:tabs>
        <w:ind w:left="720"/>
        <w:jc w:val="both"/>
        <w:rPr>
          <w:rFonts w:ascii="Verdana" w:hAnsi="Verdana"/>
          <w:sz w:val="20"/>
          <w:lang w:val="pt-BR"/>
        </w:rPr>
      </w:pPr>
    </w:p>
    <w:p w:rsidR="004756C1" w:rsidRPr="002F50BD" w:rsidRDefault="00FD2C38">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que</w:t>
      </w:r>
      <w:r w:rsidR="0089298C" w:rsidRPr="002F50BD">
        <w:rPr>
          <w:rFonts w:ascii="Verdana" w:hAnsi="Verdana"/>
          <w:sz w:val="20"/>
          <w:lang w:val="pt-BR"/>
        </w:rPr>
        <w:t xml:space="preserve"> a Comunidade </w:t>
      </w:r>
      <w:r w:rsidR="004756C1" w:rsidRPr="002F50BD">
        <w:rPr>
          <w:rFonts w:ascii="Verdana" w:hAnsi="Verdana"/>
          <w:sz w:val="20"/>
          <w:lang w:val="pt-BR"/>
        </w:rPr>
        <w:t>Yakye Axa reclama</w:t>
      </w:r>
      <w:r w:rsidR="0089298C" w:rsidRPr="002F50BD">
        <w:rPr>
          <w:rFonts w:ascii="Verdana" w:hAnsi="Verdana"/>
          <w:sz w:val="20"/>
          <w:lang w:val="pt-BR"/>
        </w:rPr>
        <w:t xml:space="preserve"> é a terra</w:t>
      </w:r>
      <w:r w:rsidR="004756C1" w:rsidRPr="002F50BD">
        <w:rPr>
          <w:rFonts w:ascii="Verdana" w:hAnsi="Verdana"/>
          <w:sz w:val="20"/>
          <w:lang w:val="pt-BR"/>
        </w:rPr>
        <w:t xml:space="preserve"> ancestral</w:t>
      </w:r>
      <w:r w:rsidR="0089298C" w:rsidRPr="002F50BD">
        <w:rPr>
          <w:rFonts w:ascii="Verdana" w:hAnsi="Verdana"/>
          <w:sz w:val="20"/>
          <w:lang w:val="pt-BR"/>
        </w:rPr>
        <w:t xml:space="preserve"> à </w:t>
      </w:r>
      <w:r w:rsidRPr="002F50BD">
        <w:rPr>
          <w:rFonts w:ascii="Verdana" w:hAnsi="Verdana"/>
          <w:sz w:val="20"/>
          <w:lang w:val="pt-BR"/>
        </w:rPr>
        <w:t>qual</w:t>
      </w:r>
      <w:r w:rsidR="004756C1" w:rsidRPr="002F50BD">
        <w:rPr>
          <w:rFonts w:ascii="Verdana" w:hAnsi="Verdana"/>
          <w:sz w:val="20"/>
          <w:lang w:val="pt-BR"/>
        </w:rPr>
        <w:t xml:space="preserve"> </w:t>
      </w:r>
      <w:r w:rsidR="00AB454A" w:rsidRPr="002F50BD">
        <w:rPr>
          <w:rFonts w:ascii="Verdana" w:hAnsi="Verdana"/>
          <w:sz w:val="20"/>
          <w:lang w:val="pt-BR"/>
        </w:rPr>
        <w:t>pertence</w:t>
      </w:r>
      <w:r w:rsidR="004756C1" w:rsidRPr="002F50BD">
        <w:rPr>
          <w:rFonts w:ascii="Verdana" w:hAnsi="Verdana"/>
          <w:sz w:val="20"/>
          <w:lang w:val="pt-BR"/>
        </w:rPr>
        <w:t xml:space="preserve"> </w:t>
      </w:r>
      <w:r w:rsidR="009B11AD" w:rsidRPr="002F50BD">
        <w:rPr>
          <w:rFonts w:ascii="Verdana" w:hAnsi="Verdana"/>
          <w:sz w:val="20"/>
          <w:lang w:val="pt-BR"/>
        </w:rPr>
        <w:t>historicamente</w:t>
      </w:r>
      <w:r w:rsidR="0089298C" w:rsidRPr="002F50BD">
        <w:rPr>
          <w:rFonts w:ascii="Verdana" w:hAnsi="Verdana"/>
          <w:sz w:val="20"/>
          <w:lang w:val="pt-BR"/>
        </w:rPr>
        <w:t xml:space="preserve"> e da </w:t>
      </w:r>
      <w:r w:rsidR="004756C1" w:rsidRPr="002F50BD">
        <w:rPr>
          <w:rFonts w:ascii="Verdana" w:hAnsi="Verdana"/>
          <w:sz w:val="20"/>
          <w:lang w:val="pt-BR"/>
        </w:rPr>
        <w:t>qu</w:t>
      </w:r>
      <w:r w:rsidRPr="002F50BD">
        <w:rPr>
          <w:rFonts w:ascii="Verdana" w:hAnsi="Verdana"/>
          <w:sz w:val="20"/>
          <w:lang w:val="pt-BR"/>
        </w:rPr>
        <w:t>al</w:t>
      </w:r>
      <w:r w:rsidR="004756C1" w:rsidRPr="002F50BD">
        <w:rPr>
          <w:rFonts w:ascii="Verdana" w:hAnsi="Verdana"/>
          <w:sz w:val="20"/>
          <w:lang w:val="pt-BR"/>
        </w:rPr>
        <w:t xml:space="preserve"> depen</w:t>
      </w:r>
      <w:r w:rsidR="0089298C" w:rsidRPr="002F50BD">
        <w:rPr>
          <w:rFonts w:ascii="Verdana" w:hAnsi="Verdana"/>
          <w:sz w:val="20"/>
          <w:lang w:val="pt-BR"/>
        </w:rPr>
        <w:t>d</w:t>
      </w:r>
      <w:r w:rsidRPr="002F50BD">
        <w:rPr>
          <w:rFonts w:ascii="Verdana" w:hAnsi="Verdana"/>
          <w:sz w:val="20"/>
          <w:lang w:val="pt-BR"/>
        </w:rPr>
        <w:t xml:space="preserve">e </w:t>
      </w:r>
      <w:r w:rsidR="0089298C" w:rsidRPr="002F50BD">
        <w:rPr>
          <w:rFonts w:ascii="Verdana" w:hAnsi="Verdana"/>
          <w:sz w:val="20"/>
          <w:lang w:val="pt-BR"/>
        </w:rPr>
        <w:t xml:space="preserve">a </w:t>
      </w:r>
      <w:r w:rsidR="004756C1" w:rsidRPr="002F50BD">
        <w:rPr>
          <w:rFonts w:ascii="Verdana" w:hAnsi="Verdana"/>
          <w:sz w:val="20"/>
          <w:lang w:val="pt-BR"/>
        </w:rPr>
        <w:t>perman</w:t>
      </w:r>
      <w:r w:rsidRPr="002F50BD">
        <w:rPr>
          <w:rFonts w:ascii="Verdana" w:hAnsi="Verdana"/>
          <w:sz w:val="20"/>
          <w:lang w:val="pt-BR"/>
        </w:rPr>
        <w:t>ê</w:t>
      </w:r>
      <w:r w:rsidR="004756C1" w:rsidRPr="002F50BD">
        <w:rPr>
          <w:rFonts w:ascii="Verdana" w:hAnsi="Verdana"/>
          <w:sz w:val="20"/>
          <w:lang w:val="pt-BR"/>
        </w:rPr>
        <w:t xml:space="preserve">ncia e </w:t>
      </w:r>
      <w:r w:rsidRPr="002F50BD">
        <w:rPr>
          <w:rFonts w:ascii="Verdana" w:hAnsi="Verdana"/>
          <w:sz w:val="20"/>
          <w:lang w:val="pt-BR"/>
        </w:rPr>
        <w:t xml:space="preserve">a </w:t>
      </w:r>
      <w:r w:rsidR="0089298C" w:rsidRPr="002F50BD">
        <w:rPr>
          <w:rFonts w:ascii="Verdana" w:hAnsi="Verdana"/>
          <w:sz w:val="20"/>
          <w:lang w:val="pt-BR"/>
        </w:rPr>
        <w:t xml:space="preserve">identidade da Comunidade </w:t>
      </w:r>
      <w:r w:rsidR="004756C1" w:rsidRPr="002F50BD">
        <w:rPr>
          <w:rFonts w:ascii="Verdana" w:hAnsi="Verdana"/>
          <w:sz w:val="20"/>
          <w:lang w:val="pt-BR"/>
        </w:rPr>
        <w:t>como tal</w:t>
      </w:r>
      <w:r w:rsidR="001A0CDE" w:rsidRPr="002F50BD">
        <w:rPr>
          <w:rFonts w:ascii="Verdana" w:hAnsi="Verdana"/>
          <w:sz w:val="20"/>
          <w:lang w:val="pt-BR"/>
        </w:rPr>
        <w:t xml:space="preserve">. </w:t>
      </w:r>
      <w:r w:rsidR="00CF451D">
        <w:rPr>
          <w:rFonts w:ascii="Verdana" w:hAnsi="Verdana"/>
          <w:sz w:val="20"/>
          <w:lang w:val="pt-BR"/>
        </w:rPr>
        <w:t>Nesse sentido,</w:t>
      </w:r>
      <w:r w:rsidR="0089298C" w:rsidRPr="002F50BD">
        <w:rPr>
          <w:rFonts w:ascii="Verdana" w:hAnsi="Verdana"/>
          <w:sz w:val="20"/>
          <w:lang w:val="pt-BR"/>
        </w:rPr>
        <w:t xml:space="preserve"> a Comunidade </w:t>
      </w:r>
      <w:r w:rsidRPr="002F50BD">
        <w:rPr>
          <w:rFonts w:ascii="Verdana" w:hAnsi="Verdana"/>
          <w:sz w:val="20"/>
          <w:lang w:val="pt-BR"/>
        </w:rPr>
        <w:t>provou</w:t>
      </w:r>
      <w:r w:rsidR="0089298C" w:rsidRPr="002F50BD">
        <w:rPr>
          <w:rFonts w:ascii="Verdana" w:hAnsi="Verdana"/>
          <w:sz w:val="20"/>
          <w:lang w:val="pt-BR"/>
        </w:rPr>
        <w:t xml:space="preserve"> com </w:t>
      </w:r>
      <w:r w:rsidR="004756C1" w:rsidRPr="002F50BD">
        <w:rPr>
          <w:rFonts w:ascii="Verdana" w:hAnsi="Verdana"/>
          <w:sz w:val="20"/>
          <w:lang w:val="pt-BR"/>
        </w:rPr>
        <w:t>su</w:t>
      </w:r>
      <w:r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 xml:space="preserve">história </w:t>
      </w:r>
      <w:r w:rsidR="00CF451D" w:rsidRPr="00CF451D">
        <w:rPr>
          <w:rFonts w:ascii="Verdana" w:hAnsi="Verdana"/>
          <w:sz w:val="20"/>
          <w:lang w:val="pt-BR"/>
        </w:rPr>
        <w:t>(</w:t>
      </w:r>
      <w:r w:rsidR="003F15BE" w:rsidRPr="002F50BD">
        <w:rPr>
          <w:rFonts w:ascii="Verdana" w:hAnsi="Verdana"/>
          <w:sz w:val="20"/>
          <w:lang w:val="pt-BR"/>
        </w:rPr>
        <w:t>recolhid</w:t>
      </w:r>
      <w:r w:rsidR="004756C1" w:rsidRPr="002F50BD">
        <w:rPr>
          <w:rFonts w:ascii="Verdana" w:hAnsi="Verdana"/>
          <w:sz w:val="20"/>
          <w:lang w:val="pt-BR"/>
        </w:rPr>
        <w:t>a</w:t>
      </w:r>
      <w:r w:rsidR="0089298C" w:rsidRPr="002F50BD">
        <w:rPr>
          <w:rFonts w:ascii="Verdana" w:hAnsi="Verdana"/>
          <w:sz w:val="20"/>
          <w:lang w:val="pt-BR"/>
        </w:rPr>
        <w:t xml:space="preserve"> nos testemunho</w:t>
      </w:r>
      <w:r w:rsidR="004756C1" w:rsidRPr="002F50BD">
        <w:rPr>
          <w:rFonts w:ascii="Verdana" w:hAnsi="Verdana"/>
          <w:sz w:val="20"/>
          <w:lang w:val="pt-BR"/>
        </w:rPr>
        <w:t xml:space="preserve">s de </w:t>
      </w:r>
      <w:r w:rsidR="00AB454A" w:rsidRPr="002F50BD">
        <w:rPr>
          <w:rFonts w:ascii="Verdana" w:hAnsi="Verdana"/>
          <w:sz w:val="20"/>
          <w:lang w:val="pt-BR"/>
        </w:rPr>
        <w:t>seus membros</w:t>
      </w:r>
      <w:r w:rsidR="0089298C" w:rsidRPr="002F50BD">
        <w:rPr>
          <w:rFonts w:ascii="Verdana" w:hAnsi="Verdana"/>
          <w:sz w:val="20"/>
          <w:lang w:val="pt-BR"/>
        </w:rPr>
        <w:t xml:space="preserve"> e n</w:t>
      </w:r>
      <w:r w:rsidRPr="002F50BD">
        <w:rPr>
          <w:rFonts w:ascii="Verdana" w:hAnsi="Verdana"/>
          <w:sz w:val="20"/>
          <w:lang w:val="pt-BR"/>
        </w:rPr>
        <w:t>a</w:t>
      </w:r>
      <w:r w:rsidR="0089298C" w:rsidRPr="002F50BD">
        <w:rPr>
          <w:rFonts w:ascii="Verdana" w:hAnsi="Verdana"/>
          <w:sz w:val="20"/>
          <w:lang w:val="pt-BR"/>
        </w:rPr>
        <w:t>s perícia</w:t>
      </w:r>
      <w:r w:rsidR="004756C1" w:rsidRPr="002F50BD">
        <w:rPr>
          <w:rFonts w:ascii="Verdana" w:hAnsi="Verdana"/>
          <w:sz w:val="20"/>
          <w:lang w:val="pt-BR"/>
        </w:rPr>
        <w:t>s antropológic</w:t>
      </w:r>
      <w:r w:rsidRPr="002F50BD">
        <w:rPr>
          <w:rFonts w:ascii="Verdana" w:hAnsi="Verdana"/>
          <w:sz w:val="20"/>
          <w:lang w:val="pt-BR"/>
        </w:rPr>
        <w:t>a</w:t>
      </w:r>
      <w:r w:rsidR="004756C1" w:rsidRPr="002F50BD">
        <w:rPr>
          <w:rFonts w:ascii="Verdana" w:hAnsi="Verdana"/>
          <w:sz w:val="20"/>
          <w:lang w:val="pt-BR"/>
        </w:rPr>
        <w:t>s</w:t>
      </w:r>
      <w:r w:rsidR="00CF451D" w:rsidRPr="00CF451D">
        <w:rPr>
          <w:rFonts w:ascii="Verdana" w:hAnsi="Verdana"/>
          <w:sz w:val="20"/>
          <w:lang w:val="pt-BR"/>
        </w:rPr>
        <w:t>)</w:t>
      </w:r>
      <w:r w:rsidR="0089298C" w:rsidRPr="002F50BD">
        <w:rPr>
          <w:rFonts w:ascii="Verdana" w:hAnsi="Verdana"/>
          <w:sz w:val="20"/>
          <w:lang w:val="pt-BR"/>
        </w:rPr>
        <w:t xml:space="preserve"> e com as </w:t>
      </w:r>
      <w:r w:rsidR="004756C1" w:rsidRPr="002F50BD">
        <w:rPr>
          <w:rFonts w:ascii="Verdana" w:hAnsi="Verdana"/>
          <w:sz w:val="20"/>
          <w:lang w:val="pt-BR"/>
        </w:rPr>
        <w:t>normas</w:t>
      </w:r>
      <w:r w:rsidR="0089298C" w:rsidRPr="002F50BD">
        <w:rPr>
          <w:rFonts w:ascii="Verdana" w:hAnsi="Verdana"/>
          <w:sz w:val="20"/>
          <w:lang w:val="pt-BR"/>
        </w:rPr>
        <w:t xml:space="preserve"> e </w:t>
      </w:r>
      <w:r w:rsidR="004756C1" w:rsidRPr="002F50BD">
        <w:rPr>
          <w:rFonts w:ascii="Verdana" w:hAnsi="Verdana"/>
          <w:sz w:val="20"/>
          <w:lang w:val="pt-BR"/>
        </w:rPr>
        <w:t>usos que gu</w:t>
      </w:r>
      <w:r w:rsidRPr="002F50BD">
        <w:rPr>
          <w:rFonts w:ascii="Verdana" w:hAnsi="Verdana"/>
          <w:sz w:val="20"/>
          <w:lang w:val="pt-BR"/>
        </w:rPr>
        <w:t xml:space="preserve">iam sua </w:t>
      </w:r>
      <w:r w:rsidR="0089298C" w:rsidRPr="002F50BD">
        <w:rPr>
          <w:rFonts w:ascii="Verdana" w:hAnsi="Verdana"/>
          <w:sz w:val="20"/>
          <w:lang w:val="pt-BR"/>
        </w:rPr>
        <w:t>maneira</w:t>
      </w:r>
      <w:r w:rsidR="004756C1" w:rsidRPr="002F50BD">
        <w:rPr>
          <w:rFonts w:ascii="Verdana" w:hAnsi="Verdana"/>
          <w:sz w:val="20"/>
          <w:lang w:val="pt-BR"/>
        </w:rPr>
        <w:t xml:space="preserve"> de identificar </w:t>
      </w:r>
      <w:r w:rsidR="00475EBB" w:rsidRPr="002F50BD">
        <w:rPr>
          <w:rFonts w:ascii="Verdana" w:hAnsi="Verdana"/>
          <w:sz w:val="20"/>
          <w:lang w:val="pt-BR"/>
        </w:rPr>
        <w:t>sua terra</w:t>
      </w:r>
      <w:r w:rsidR="004756C1" w:rsidRPr="002F50BD">
        <w:rPr>
          <w:rFonts w:ascii="Verdana" w:hAnsi="Verdana"/>
          <w:sz w:val="20"/>
          <w:lang w:val="pt-BR"/>
        </w:rPr>
        <w:t xml:space="preserve"> que</w:t>
      </w:r>
      <w:r w:rsidR="0089298C" w:rsidRPr="002F50BD">
        <w:rPr>
          <w:rFonts w:ascii="Verdana" w:hAnsi="Verdana"/>
          <w:sz w:val="20"/>
          <w:lang w:val="pt-BR"/>
        </w:rPr>
        <w:t xml:space="preserve"> 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a </w:t>
      </w:r>
      <w:r w:rsidR="0089298C" w:rsidRPr="002F50BD">
        <w:rPr>
          <w:rFonts w:ascii="Verdana" w:hAnsi="Verdana"/>
          <w:sz w:val="20"/>
          <w:lang w:val="pt-BR"/>
        </w:rPr>
        <w:t>existia</w:t>
      </w:r>
      <w:r w:rsidR="004756C1" w:rsidRPr="002F50BD">
        <w:rPr>
          <w:rFonts w:ascii="Verdana" w:hAnsi="Verdana"/>
          <w:sz w:val="20"/>
          <w:lang w:val="pt-BR"/>
        </w:rPr>
        <w:t xml:space="preserve"> antes de ser </w:t>
      </w:r>
      <w:r w:rsidRPr="002F50BD">
        <w:rPr>
          <w:rFonts w:ascii="Verdana" w:hAnsi="Verdana"/>
          <w:sz w:val="20"/>
          <w:lang w:val="pt-BR"/>
        </w:rPr>
        <w:t xml:space="preserve">despejada </w:t>
      </w:r>
      <w:r w:rsidR="0089298C" w:rsidRPr="002F50BD">
        <w:rPr>
          <w:rFonts w:ascii="Verdana" w:hAnsi="Verdana"/>
          <w:sz w:val="20"/>
          <w:lang w:val="pt-BR"/>
        </w:rPr>
        <w:t>da mesm</w:t>
      </w:r>
      <w:r w:rsidR="004756C1" w:rsidRPr="002F50BD">
        <w:rPr>
          <w:rFonts w:ascii="Verdana" w:hAnsi="Verdana"/>
          <w:sz w:val="20"/>
          <w:lang w:val="pt-BR"/>
        </w:rPr>
        <w:t>a</w:t>
      </w:r>
      <w:r w:rsidR="0089298C" w:rsidRPr="002F50BD">
        <w:rPr>
          <w:rFonts w:ascii="Verdana" w:hAnsi="Verdana"/>
          <w:sz w:val="20"/>
          <w:lang w:val="pt-BR"/>
        </w:rPr>
        <w:t>, e</w:t>
      </w:r>
      <w:r w:rsidR="004756C1" w:rsidRPr="002F50BD">
        <w:rPr>
          <w:rFonts w:ascii="Verdana" w:hAnsi="Verdana"/>
          <w:sz w:val="20"/>
          <w:lang w:val="pt-BR"/>
        </w:rPr>
        <w:t xml:space="preserve"> que </w:t>
      </w:r>
      <w:r w:rsidR="0089298C" w:rsidRPr="002F50BD">
        <w:rPr>
          <w:rFonts w:ascii="Verdana" w:hAnsi="Verdana"/>
          <w:sz w:val="20"/>
          <w:lang w:val="pt-BR"/>
        </w:rPr>
        <w:t xml:space="preserve">várias das </w:t>
      </w:r>
      <w:r w:rsidR="005A6BC7" w:rsidRPr="002F50BD">
        <w:rPr>
          <w:rFonts w:ascii="Verdana" w:hAnsi="Verdana"/>
          <w:sz w:val="20"/>
          <w:lang w:val="pt-BR"/>
        </w:rPr>
        <w:t>família</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se </w:t>
      </w:r>
      <w:r w:rsidRPr="002F50BD">
        <w:rPr>
          <w:rFonts w:ascii="Verdana" w:hAnsi="Verdana"/>
          <w:sz w:val="20"/>
          <w:lang w:val="pt-BR"/>
        </w:rPr>
        <w:t xml:space="preserve">viram </w:t>
      </w:r>
      <w:r w:rsidR="0089298C" w:rsidRPr="002F50BD">
        <w:rPr>
          <w:rFonts w:ascii="Verdana" w:hAnsi="Verdana"/>
          <w:sz w:val="20"/>
          <w:lang w:val="pt-BR"/>
        </w:rPr>
        <w:t>forçada</w:t>
      </w:r>
      <w:r w:rsidR="004756C1" w:rsidRPr="002F50BD">
        <w:rPr>
          <w:rFonts w:ascii="Verdana" w:hAnsi="Verdana"/>
          <w:sz w:val="20"/>
          <w:lang w:val="pt-BR"/>
        </w:rPr>
        <w:t>s a des</w:t>
      </w:r>
      <w:r w:rsidRPr="002F50BD">
        <w:rPr>
          <w:rFonts w:ascii="Verdana" w:hAnsi="Verdana"/>
          <w:sz w:val="20"/>
          <w:lang w:val="pt-BR"/>
        </w:rPr>
        <w:t xml:space="preserve">locar-se </w:t>
      </w:r>
      <w:r w:rsidR="0089298C" w:rsidRPr="002F50BD">
        <w:rPr>
          <w:rFonts w:ascii="Verdana" w:hAnsi="Verdana"/>
          <w:sz w:val="20"/>
          <w:lang w:val="pt-BR"/>
        </w:rPr>
        <w:t xml:space="preserve">à </w:t>
      </w:r>
      <w:r w:rsidR="004756C1" w:rsidRPr="002F50BD">
        <w:rPr>
          <w:rFonts w:ascii="Verdana" w:hAnsi="Verdana"/>
          <w:sz w:val="20"/>
          <w:lang w:val="pt-BR"/>
        </w:rPr>
        <w:t>Col</w:t>
      </w:r>
      <w:r w:rsidR="006603BE" w:rsidRPr="002F50BD">
        <w:rPr>
          <w:rFonts w:ascii="Verdana" w:hAnsi="Verdana"/>
          <w:sz w:val="20"/>
          <w:lang w:val="pt-BR"/>
        </w:rPr>
        <w:t>ô</w:t>
      </w:r>
      <w:r w:rsidR="004756C1" w:rsidRPr="002F50BD">
        <w:rPr>
          <w:rFonts w:ascii="Verdana" w:hAnsi="Verdana"/>
          <w:sz w:val="20"/>
          <w:lang w:val="pt-BR"/>
        </w:rPr>
        <w:t xml:space="preserve">nia de </w:t>
      </w:r>
      <w:r w:rsidR="0089298C" w:rsidRPr="002F50BD">
        <w:rPr>
          <w:rFonts w:ascii="Verdana" w:hAnsi="Verdana"/>
          <w:sz w:val="20"/>
          <w:lang w:val="pt-BR"/>
        </w:rPr>
        <w:t>“</w:t>
      </w:r>
      <w:r w:rsidRPr="002F50BD">
        <w:rPr>
          <w:rFonts w:ascii="Verdana" w:hAnsi="Verdana"/>
          <w:sz w:val="20"/>
          <w:lang w:val="pt-BR"/>
        </w:rPr>
        <w:t>El</w:t>
      </w:r>
      <w:r w:rsidR="0089298C" w:rsidRPr="002F50BD">
        <w:rPr>
          <w:rFonts w:ascii="Verdana" w:hAnsi="Verdana"/>
          <w:sz w:val="20"/>
          <w:lang w:val="pt-BR"/>
        </w:rPr>
        <w:t xml:space="preserve"> </w:t>
      </w:r>
      <w:r w:rsidR="004756C1" w:rsidRPr="002F50BD">
        <w:rPr>
          <w:rFonts w:ascii="Verdana" w:hAnsi="Verdana"/>
          <w:sz w:val="20"/>
          <w:lang w:val="pt-BR"/>
        </w:rPr>
        <w:t>Estribo”</w:t>
      </w:r>
      <w:r w:rsidR="00D95E71" w:rsidRPr="002F50BD">
        <w:rPr>
          <w:rFonts w:ascii="Verdana" w:hAnsi="Verdana"/>
          <w:sz w:val="20"/>
          <w:lang w:val="pt-BR"/>
        </w:rPr>
        <w:t xml:space="preserve">. O </w:t>
      </w:r>
      <w:r w:rsidR="0089298C" w:rsidRPr="002F50BD">
        <w:rPr>
          <w:rFonts w:ascii="Verdana" w:hAnsi="Verdana"/>
          <w:sz w:val="20"/>
          <w:lang w:val="pt-BR"/>
        </w:rPr>
        <w:t>deslocamento da Comunidad</w:t>
      </w:r>
      <w:r w:rsidRPr="002F50BD">
        <w:rPr>
          <w:rFonts w:ascii="Verdana" w:hAnsi="Verdana"/>
          <w:sz w:val="20"/>
          <w:lang w:val="pt-BR"/>
        </w:rPr>
        <w:t xml:space="preserve">e </w:t>
      </w:r>
      <w:r w:rsidR="0089298C" w:rsidRPr="002F50BD">
        <w:rPr>
          <w:rFonts w:ascii="Verdana" w:hAnsi="Verdana"/>
          <w:sz w:val="20"/>
          <w:lang w:val="pt-BR"/>
        </w:rPr>
        <w:t xml:space="preserve">a </w:t>
      </w:r>
      <w:r w:rsidRPr="002F50BD">
        <w:rPr>
          <w:rFonts w:ascii="Verdana" w:hAnsi="Verdana"/>
          <w:sz w:val="20"/>
          <w:lang w:val="pt-BR"/>
        </w:rPr>
        <w:t>esta Colô</w:t>
      </w:r>
      <w:r w:rsidR="004756C1" w:rsidRPr="002F50BD">
        <w:rPr>
          <w:rFonts w:ascii="Verdana" w:hAnsi="Verdana"/>
          <w:sz w:val="20"/>
          <w:lang w:val="pt-BR"/>
        </w:rPr>
        <w:t xml:space="preserve">nia, </w:t>
      </w:r>
      <w:r w:rsidR="0089298C" w:rsidRPr="002F50BD">
        <w:rPr>
          <w:rFonts w:ascii="Verdana" w:hAnsi="Verdana"/>
          <w:sz w:val="20"/>
          <w:lang w:val="pt-BR"/>
        </w:rPr>
        <w:t>forçado</w:t>
      </w:r>
      <w:r w:rsidR="004756C1" w:rsidRPr="002F50BD">
        <w:rPr>
          <w:rFonts w:ascii="Verdana" w:hAnsi="Verdana"/>
          <w:sz w:val="20"/>
          <w:lang w:val="pt-BR"/>
        </w:rPr>
        <w:t xml:space="preserve"> por condi</w:t>
      </w:r>
      <w:r w:rsidR="0089298C" w:rsidRPr="002F50BD">
        <w:rPr>
          <w:rFonts w:ascii="Verdana" w:hAnsi="Verdana"/>
          <w:sz w:val="20"/>
          <w:lang w:val="pt-BR"/>
        </w:rPr>
        <w:t>ções</w:t>
      </w:r>
      <w:r w:rsidR="004756C1" w:rsidRPr="002F50BD">
        <w:rPr>
          <w:rFonts w:ascii="Verdana" w:hAnsi="Verdana"/>
          <w:sz w:val="20"/>
          <w:lang w:val="pt-BR"/>
        </w:rPr>
        <w:t xml:space="preserve"> de extrema precariedad</w:t>
      </w:r>
      <w:r w:rsidRPr="002F50BD">
        <w:rPr>
          <w:rFonts w:ascii="Verdana" w:hAnsi="Verdana"/>
          <w:sz w:val="20"/>
          <w:lang w:val="pt-BR"/>
        </w:rPr>
        <w:t>e</w:t>
      </w:r>
      <w:r w:rsidR="0089298C" w:rsidRPr="002F50BD">
        <w:rPr>
          <w:rFonts w:ascii="Verdana" w:hAnsi="Verdana"/>
          <w:sz w:val="20"/>
          <w:lang w:val="pt-BR"/>
        </w:rPr>
        <w:t xml:space="preserve"> e </w:t>
      </w:r>
      <w:r w:rsidR="004756C1" w:rsidRPr="002F50BD">
        <w:rPr>
          <w:rFonts w:ascii="Verdana" w:hAnsi="Verdana"/>
          <w:sz w:val="20"/>
          <w:lang w:val="pt-BR"/>
        </w:rPr>
        <w:t>pobreza, n</w:t>
      </w:r>
      <w:r w:rsidRPr="002F50BD">
        <w:rPr>
          <w:rFonts w:ascii="Verdana" w:hAnsi="Verdana"/>
          <w:sz w:val="20"/>
          <w:lang w:val="pt-BR"/>
        </w:rPr>
        <w:t>ã</w:t>
      </w:r>
      <w:r w:rsidR="004756C1" w:rsidRPr="002F50BD">
        <w:rPr>
          <w:rFonts w:ascii="Verdana" w:hAnsi="Verdana"/>
          <w:sz w:val="20"/>
          <w:lang w:val="pt-BR"/>
        </w:rPr>
        <w:t>o anul</w:t>
      </w:r>
      <w:r w:rsidRPr="002F50BD">
        <w:rPr>
          <w:rFonts w:ascii="Verdana" w:hAnsi="Verdana"/>
          <w:sz w:val="20"/>
          <w:lang w:val="pt-BR"/>
        </w:rPr>
        <w:t>ou</w:t>
      </w:r>
      <w:r w:rsidR="0089298C" w:rsidRPr="002F50BD">
        <w:rPr>
          <w:rFonts w:ascii="Verdana" w:hAnsi="Verdana"/>
          <w:sz w:val="20"/>
          <w:lang w:val="pt-BR"/>
        </w:rPr>
        <w:t xml:space="preserve"> esse direito</w:t>
      </w:r>
      <w:r w:rsidR="001A0CDE" w:rsidRPr="002F50BD">
        <w:rPr>
          <w:rFonts w:ascii="Verdana" w:hAnsi="Verdana"/>
          <w:sz w:val="20"/>
          <w:lang w:val="pt-BR"/>
        </w:rPr>
        <w:t>. Est</w:t>
      </w:r>
      <w:r w:rsidR="004756C1" w:rsidRPr="002F50BD">
        <w:rPr>
          <w:rFonts w:ascii="Verdana" w:hAnsi="Verdana"/>
          <w:sz w:val="20"/>
          <w:lang w:val="pt-BR"/>
        </w:rPr>
        <w:t>e</w:t>
      </w:r>
      <w:r w:rsidR="0089298C" w:rsidRPr="002F50BD">
        <w:rPr>
          <w:rFonts w:ascii="Verdana" w:hAnsi="Verdana"/>
          <w:sz w:val="20"/>
          <w:lang w:val="pt-BR"/>
        </w:rPr>
        <w:t xml:space="preserve"> é o </w:t>
      </w:r>
      <w:r w:rsidR="004756C1" w:rsidRPr="002F50BD">
        <w:rPr>
          <w:rFonts w:ascii="Verdana" w:hAnsi="Verdana"/>
          <w:sz w:val="20"/>
          <w:lang w:val="pt-BR"/>
        </w:rPr>
        <w:t xml:space="preserve">aspecto </w:t>
      </w:r>
      <w:r w:rsidR="0089298C" w:rsidRPr="002F50BD">
        <w:rPr>
          <w:rFonts w:ascii="Verdana" w:hAnsi="Verdana"/>
          <w:sz w:val="20"/>
          <w:lang w:val="pt-BR"/>
        </w:rPr>
        <w:t>do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a </w:t>
      </w:r>
      <w:r w:rsidR="0089298C" w:rsidRPr="002F50BD">
        <w:rPr>
          <w:rFonts w:ascii="Verdana" w:hAnsi="Verdana"/>
          <w:sz w:val="20"/>
          <w:lang w:val="pt-BR"/>
        </w:rPr>
        <w:t>cuja</w:t>
      </w:r>
      <w:r w:rsidR="004756C1" w:rsidRPr="002F50BD">
        <w:rPr>
          <w:rFonts w:ascii="Verdana" w:hAnsi="Verdana"/>
          <w:sz w:val="20"/>
          <w:lang w:val="pt-BR"/>
        </w:rPr>
        <w:t xml:space="preserve"> </w:t>
      </w:r>
      <w:r w:rsidR="0089298C" w:rsidRPr="002F50BD">
        <w:rPr>
          <w:rFonts w:ascii="Verdana" w:hAnsi="Verdana"/>
          <w:sz w:val="20"/>
          <w:lang w:val="pt-BR"/>
        </w:rPr>
        <w:t>proteção</w:t>
      </w:r>
      <w:r w:rsidR="004756C1" w:rsidRPr="002F50BD">
        <w:rPr>
          <w:rFonts w:ascii="Verdana" w:hAnsi="Verdana"/>
          <w:sz w:val="20"/>
          <w:lang w:val="pt-BR"/>
        </w:rPr>
        <w:t xml:space="preserve"> se reclama</w:t>
      </w:r>
      <w:r w:rsidR="0089298C" w:rsidRPr="002F50BD">
        <w:rPr>
          <w:rFonts w:ascii="Verdana" w:hAnsi="Verdana"/>
          <w:sz w:val="20"/>
          <w:lang w:val="pt-BR"/>
        </w:rPr>
        <w:t xml:space="preserve"> no </w:t>
      </w:r>
      <w:r w:rsidRPr="002F50BD">
        <w:rPr>
          <w:rFonts w:ascii="Verdana" w:hAnsi="Verdana"/>
          <w:sz w:val="20"/>
          <w:lang w:val="pt-BR"/>
        </w:rPr>
        <w:t xml:space="preserve">âmbito </w:t>
      </w:r>
      <w:r w:rsidR="0089298C" w:rsidRPr="002F50BD">
        <w:rPr>
          <w:rFonts w:ascii="Verdana" w:hAnsi="Verdana"/>
          <w:sz w:val="20"/>
          <w:lang w:val="pt-BR"/>
        </w:rPr>
        <w:t xml:space="preserve">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interpretada</w:t>
      </w:r>
      <w:r w:rsidR="0089298C" w:rsidRPr="002F50BD">
        <w:rPr>
          <w:rFonts w:ascii="Verdana" w:hAnsi="Verdana"/>
          <w:sz w:val="20"/>
          <w:lang w:val="pt-BR"/>
        </w:rPr>
        <w:t xml:space="preserve"> à </w:t>
      </w:r>
      <w:r w:rsidR="004756C1" w:rsidRPr="002F50BD">
        <w:rPr>
          <w:rFonts w:ascii="Verdana" w:hAnsi="Verdana"/>
          <w:sz w:val="20"/>
          <w:lang w:val="pt-BR"/>
        </w:rPr>
        <w:t xml:space="preserve">luz </w:t>
      </w:r>
      <w:r w:rsidR="0089298C"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w:t>
      </w:r>
      <w:r w:rsidR="0089298C" w:rsidRPr="002F50BD">
        <w:rPr>
          <w:rFonts w:ascii="Verdana" w:hAnsi="Verdana"/>
          <w:sz w:val="20"/>
          <w:lang w:val="pt-BR"/>
        </w:rPr>
        <w:t xml:space="preserve"> e das obrigações</w:t>
      </w:r>
      <w:r w:rsidR="004756C1" w:rsidRPr="002F50BD">
        <w:rPr>
          <w:rFonts w:ascii="Verdana" w:hAnsi="Verdana"/>
          <w:sz w:val="20"/>
          <w:lang w:val="pt-BR"/>
        </w:rPr>
        <w:t xml:space="preserve"> re</w:t>
      </w:r>
      <w:r w:rsidR="00AB454A" w:rsidRPr="002F50BD">
        <w:rPr>
          <w:rFonts w:ascii="Verdana" w:hAnsi="Verdana"/>
          <w:sz w:val="20"/>
          <w:lang w:val="pt-BR"/>
        </w:rPr>
        <w:t>conheci</w:t>
      </w:r>
      <w:r w:rsidR="004756C1" w:rsidRPr="002F50BD">
        <w:rPr>
          <w:rFonts w:ascii="Verdana" w:hAnsi="Verdana"/>
          <w:sz w:val="20"/>
          <w:lang w:val="pt-BR"/>
        </w:rPr>
        <w:t>das</w:t>
      </w:r>
      <w:r w:rsidR="0089298C" w:rsidRPr="002F50BD">
        <w:rPr>
          <w:rFonts w:ascii="Verdana" w:hAnsi="Verdana"/>
          <w:sz w:val="20"/>
          <w:lang w:val="pt-BR"/>
        </w:rPr>
        <w:t xml:space="preserve"> na própria Constituição</w:t>
      </w:r>
      <w:r w:rsidR="004756C1" w:rsidRPr="002F50BD">
        <w:rPr>
          <w:rFonts w:ascii="Verdana" w:hAnsi="Verdana"/>
          <w:sz w:val="20"/>
          <w:lang w:val="pt-BR"/>
        </w:rPr>
        <w:t xml:space="preserve"> </w:t>
      </w:r>
      <w:r w:rsidR="0089298C" w:rsidRPr="002F50BD">
        <w:rPr>
          <w:rFonts w:ascii="Verdana" w:hAnsi="Verdana"/>
          <w:sz w:val="20"/>
          <w:lang w:val="pt-BR"/>
        </w:rPr>
        <w:t>Paraguai</w:t>
      </w:r>
      <w:r w:rsidR="004756C1" w:rsidRPr="002F50BD">
        <w:rPr>
          <w:rFonts w:ascii="Verdana" w:hAnsi="Verdana"/>
          <w:sz w:val="20"/>
          <w:lang w:val="pt-BR"/>
        </w:rPr>
        <w:t>a</w:t>
      </w:r>
      <w:r w:rsidR="0089298C" w:rsidRPr="002F50BD">
        <w:rPr>
          <w:rFonts w:ascii="Verdana" w:hAnsi="Verdana"/>
          <w:sz w:val="20"/>
          <w:lang w:val="pt-BR"/>
        </w:rPr>
        <w:t xml:space="preserve">, e é o </w:t>
      </w:r>
      <w:r w:rsidR="004756C1" w:rsidRPr="002F50BD">
        <w:rPr>
          <w:rFonts w:ascii="Verdana" w:hAnsi="Verdana"/>
          <w:sz w:val="20"/>
          <w:lang w:val="pt-BR"/>
        </w:rPr>
        <w:t xml:space="preserve">aspecto </w:t>
      </w:r>
      <w:r w:rsidR="0089298C" w:rsidRPr="002F50BD">
        <w:rPr>
          <w:rFonts w:ascii="Verdana" w:hAnsi="Verdana"/>
          <w:sz w:val="20"/>
          <w:lang w:val="pt-BR"/>
        </w:rPr>
        <w:t>do direito</w:t>
      </w:r>
      <w:r w:rsidR="004756C1" w:rsidRPr="002F50BD">
        <w:rPr>
          <w:rFonts w:ascii="Verdana" w:hAnsi="Verdana"/>
          <w:sz w:val="20"/>
          <w:lang w:val="pt-BR"/>
        </w:rPr>
        <w:t xml:space="preserve"> que </w:t>
      </w:r>
      <w:r w:rsidR="00AB454A" w:rsidRPr="002F50BD">
        <w:rPr>
          <w:rFonts w:ascii="Verdana" w:hAnsi="Verdana"/>
          <w:sz w:val="20"/>
          <w:lang w:val="pt-BR"/>
        </w:rPr>
        <w:t>não foi</w:t>
      </w:r>
      <w:r w:rsidR="0089298C" w:rsidRPr="002F50BD">
        <w:rPr>
          <w:rFonts w:ascii="Verdana" w:hAnsi="Verdana"/>
          <w:sz w:val="20"/>
          <w:lang w:val="pt-BR"/>
        </w:rPr>
        <w:t xml:space="preserve"> garantid</w:t>
      </w:r>
      <w:r w:rsidR="004756C1" w:rsidRPr="002F50BD">
        <w:rPr>
          <w:rFonts w:ascii="Verdana" w:hAnsi="Verdana"/>
          <w:sz w:val="20"/>
          <w:lang w:val="pt-BR"/>
        </w:rPr>
        <w:t>o</w:t>
      </w:r>
      <w:r w:rsidR="0089298C" w:rsidRPr="002F50BD">
        <w:rPr>
          <w:rFonts w:ascii="Verdana" w:hAnsi="Verdana"/>
          <w:sz w:val="20"/>
          <w:lang w:val="pt-BR"/>
        </w:rPr>
        <w:t xml:space="preserve"> pelo </w:t>
      </w:r>
      <w:r w:rsidR="004756C1" w:rsidRPr="002F50BD">
        <w:rPr>
          <w:rFonts w:ascii="Verdana" w:hAnsi="Verdana"/>
          <w:sz w:val="20"/>
          <w:lang w:val="pt-BR"/>
        </w:rPr>
        <w:t>Estado;</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O direito à terra</w:t>
      </w:r>
      <w:r w:rsidR="004756C1" w:rsidRPr="002F50BD">
        <w:rPr>
          <w:rFonts w:ascii="Verdana" w:hAnsi="Verdana"/>
          <w:sz w:val="20"/>
          <w:lang w:val="pt-BR"/>
        </w:rPr>
        <w:t xml:space="preserve"> ancestral prevalece,</w:t>
      </w:r>
      <w:r w:rsidR="00F04F59">
        <w:rPr>
          <w:rFonts w:ascii="Verdana" w:hAnsi="Verdana"/>
          <w:sz w:val="20"/>
          <w:lang w:val="pt-BR"/>
        </w:rPr>
        <w:t xml:space="preserve"> ness</w:t>
      </w:r>
      <w:r w:rsidRPr="002F50BD">
        <w:rPr>
          <w:rFonts w:ascii="Verdana" w:hAnsi="Verdana"/>
          <w:sz w:val="20"/>
          <w:lang w:val="pt-BR"/>
        </w:rPr>
        <w:t xml:space="preserve">e </w:t>
      </w:r>
      <w:r w:rsidR="004756C1" w:rsidRPr="002F50BD">
        <w:rPr>
          <w:rFonts w:ascii="Verdana" w:hAnsi="Verdana"/>
          <w:sz w:val="20"/>
          <w:lang w:val="pt-BR"/>
        </w:rPr>
        <w:t>sentido,</w:t>
      </w:r>
      <w:r w:rsidRPr="002F50BD">
        <w:rPr>
          <w:rFonts w:ascii="Verdana" w:hAnsi="Verdana"/>
          <w:sz w:val="20"/>
          <w:lang w:val="pt-BR"/>
        </w:rPr>
        <w:t xml:space="preserve"> no </w:t>
      </w:r>
      <w:r w:rsidR="00FD2C38" w:rsidRPr="002F50BD">
        <w:rPr>
          <w:rFonts w:ascii="Verdana" w:hAnsi="Verdana"/>
          <w:sz w:val="20"/>
          <w:lang w:val="pt-BR"/>
        </w:rPr>
        <w:t xml:space="preserve">âmbito </w:t>
      </w:r>
      <w:r w:rsidRPr="002F50BD">
        <w:rPr>
          <w:rFonts w:ascii="Verdana" w:hAnsi="Verdana"/>
          <w:sz w:val="20"/>
          <w:lang w:val="pt-BR"/>
        </w:rPr>
        <w:t xml:space="preserve">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Pr="002F50BD">
        <w:rPr>
          <w:rFonts w:ascii="Verdana" w:hAnsi="Verdana"/>
          <w:sz w:val="20"/>
          <w:lang w:val="pt-BR"/>
        </w:rPr>
        <w:t xml:space="preserve"> e n</w:t>
      </w:r>
      <w:r w:rsidR="00FD2C38" w:rsidRPr="002F50BD">
        <w:rPr>
          <w:rFonts w:ascii="Verdana" w:hAnsi="Verdana"/>
          <w:sz w:val="20"/>
          <w:lang w:val="pt-BR"/>
        </w:rPr>
        <w:t>a</w:t>
      </w:r>
      <w:r w:rsidRPr="002F50BD">
        <w:rPr>
          <w:rFonts w:ascii="Verdana" w:hAnsi="Verdana"/>
          <w:sz w:val="20"/>
          <w:lang w:val="pt-BR"/>
        </w:rPr>
        <w:t xml:space="preserve"> ordem </w:t>
      </w:r>
      <w:r w:rsidR="004756C1" w:rsidRPr="002F50BD">
        <w:rPr>
          <w:rFonts w:ascii="Verdana" w:hAnsi="Verdana"/>
          <w:sz w:val="20"/>
          <w:lang w:val="pt-BR"/>
        </w:rPr>
        <w:t xml:space="preserve">constitucional </w:t>
      </w:r>
      <w:r w:rsidR="00FD2C38" w:rsidRPr="002F50BD">
        <w:rPr>
          <w:rFonts w:ascii="Verdana" w:hAnsi="Verdana"/>
          <w:sz w:val="20"/>
          <w:lang w:val="pt-BR"/>
        </w:rPr>
        <w:t>p</w:t>
      </w:r>
      <w:r w:rsidRPr="002F50BD">
        <w:rPr>
          <w:rFonts w:ascii="Verdana" w:hAnsi="Verdana"/>
          <w:sz w:val="20"/>
          <w:lang w:val="pt-BR"/>
        </w:rPr>
        <w:t>araguai</w:t>
      </w:r>
      <w:r w:rsidR="00FD2C38" w:rsidRPr="002F50BD">
        <w:rPr>
          <w:rFonts w:ascii="Verdana" w:hAnsi="Verdana"/>
          <w:sz w:val="20"/>
          <w:lang w:val="pt-BR"/>
        </w:rPr>
        <w:t>a</w:t>
      </w:r>
      <w:r w:rsidR="004756C1" w:rsidRPr="002F50BD">
        <w:rPr>
          <w:rFonts w:ascii="Verdana" w:hAnsi="Verdana"/>
          <w:sz w:val="20"/>
          <w:lang w:val="pt-BR"/>
        </w:rPr>
        <w:t xml:space="preserve"> sobre</w:t>
      </w:r>
      <w:r w:rsidRPr="002F50BD">
        <w:rPr>
          <w:rFonts w:ascii="Verdana" w:hAnsi="Verdana"/>
          <w:sz w:val="20"/>
          <w:lang w:val="pt-BR"/>
        </w:rPr>
        <w:t xml:space="preserve"> o direito</w:t>
      </w:r>
      <w:r w:rsidR="004756C1" w:rsidRPr="002F50BD">
        <w:rPr>
          <w:rFonts w:ascii="Verdana" w:hAnsi="Verdana"/>
          <w:sz w:val="20"/>
          <w:lang w:val="pt-BR"/>
        </w:rPr>
        <w:t xml:space="preserve"> de </w:t>
      </w:r>
      <w:r w:rsidRPr="002F50BD">
        <w:rPr>
          <w:rFonts w:ascii="Verdana" w:hAnsi="Verdana"/>
          <w:sz w:val="20"/>
          <w:lang w:val="pt-BR"/>
        </w:rPr>
        <w:t>propriedade</w:t>
      </w:r>
      <w:r w:rsidR="004756C1" w:rsidRPr="002F50BD">
        <w:rPr>
          <w:rFonts w:ascii="Verdana" w:hAnsi="Verdana"/>
          <w:sz w:val="20"/>
          <w:lang w:val="pt-BR"/>
        </w:rPr>
        <w:t xml:space="preserve"> privada</w:t>
      </w:r>
      <w:r w:rsidR="001A0CDE" w:rsidRPr="002F50BD">
        <w:rPr>
          <w:rFonts w:ascii="Verdana" w:hAnsi="Verdana"/>
          <w:sz w:val="20"/>
          <w:lang w:val="pt-BR"/>
        </w:rPr>
        <w:t>. Est</w:t>
      </w:r>
      <w:r w:rsidR="004756C1" w:rsidRPr="002F50BD">
        <w:rPr>
          <w:rFonts w:ascii="Verdana" w:hAnsi="Verdana"/>
          <w:sz w:val="20"/>
          <w:lang w:val="pt-BR"/>
        </w:rPr>
        <w:t xml:space="preserve">e </w:t>
      </w:r>
      <w:r w:rsidRPr="002F50BD">
        <w:rPr>
          <w:rFonts w:ascii="Verdana" w:hAnsi="Verdana"/>
          <w:sz w:val="20"/>
          <w:lang w:val="pt-BR"/>
        </w:rPr>
        <w:t>direito</w:t>
      </w:r>
      <w:r w:rsidR="004756C1" w:rsidRPr="002F50BD">
        <w:rPr>
          <w:rFonts w:ascii="Verdana" w:hAnsi="Verdana"/>
          <w:sz w:val="20"/>
          <w:lang w:val="pt-BR"/>
        </w:rPr>
        <w:t xml:space="preserve"> goza de</w:t>
      </w:r>
      <w:r w:rsidRPr="002F50BD">
        <w:rPr>
          <w:rFonts w:ascii="Verdana" w:hAnsi="Verdana"/>
          <w:sz w:val="20"/>
          <w:lang w:val="pt-BR"/>
        </w:rPr>
        <w:t xml:space="preserve"> uma </w:t>
      </w:r>
      <w:r w:rsidR="004756C1" w:rsidRPr="002F50BD">
        <w:rPr>
          <w:rFonts w:ascii="Verdana" w:hAnsi="Verdana"/>
          <w:sz w:val="20"/>
          <w:lang w:val="pt-BR"/>
        </w:rPr>
        <w:t>posi</w:t>
      </w:r>
      <w:r w:rsidRPr="002F50BD">
        <w:rPr>
          <w:rFonts w:ascii="Verdana" w:hAnsi="Verdana"/>
          <w:sz w:val="20"/>
          <w:lang w:val="pt-BR"/>
        </w:rPr>
        <w:t>ção</w:t>
      </w:r>
      <w:r w:rsidR="004756C1" w:rsidRPr="002F50BD">
        <w:rPr>
          <w:rFonts w:ascii="Verdana" w:hAnsi="Verdana"/>
          <w:sz w:val="20"/>
          <w:lang w:val="pt-BR"/>
        </w:rPr>
        <w:t xml:space="preserve"> preferen</w:t>
      </w:r>
      <w:r w:rsidR="00FD2C38" w:rsidRPr="002F50BD">
        <w:rPr>
          <w:rFonts w:ascii="Verdana" w:hAnsi="Verdana"/>
          <w:sz w:val="20"/>
          <w:lang w:val="pt-BR"/>
        </w:rPr>
        <w:t>cial</w:t>
      </w:r>
      <w:r w:rsidR="004756C1" w:rsidRPr="002F50BD">
        <w:rPr>
          <w:rFonts w:ascii="Verdana" w:hAnsi="Verdana"/>
          <w:sz w:val="20"/>
          <w:lang w:val="pt-BR"/>
        </w:rPr>
        <w:t xml:space="preserve"> </w:t>
      </w:r>
      <w:r w:rsidR="006603BE" w:rsidRPr="002F50BD">
        <w:rPr>
          <w:rFonts w:ascii="Verdana" w:hAnsi="Verdana"/>
          <w:sz w:val="20"/>
          <w:lang w:val="pt-BR"/>
        </w:rPr>
        <w:t>face</w:t>
      </w:r>
      <w:r w:rsidRPr="002F50BD">
        <w:rPr>
          <w:rFonts w:ascii="Verdana" w:hAnsi="Verdana"/>
          <w:sz w:val="20"/>
          <w:lang w:val="pt-BR"/>
        </w:rPr>
        <w:t xml:space="preserve"> ao direito</w:t>
      </w:r>
      <w:r w:rsidR="004756C1" w:rsidRPr="002F50BD">
        <w:rPr>
          <w:rFonts w:ascii="Verdana" w:hAnsi="Verdana"/>
          <w:sz w:val="20"/>
          <w:lang w:val="pt-BR"/>
        </w:rPr>
        <w:t xml:space="preserve"> de </w:t>
      </w:r>
      <w:r w:rsidRPr="002F50BD">
        <w:rPr>
          <w:rFonts w:ascii="Verdana" w:hAnsi="Verdana"/>
          <w:sz w:val="20"/>
          <w:lang w:val="pt-BR"/>
        </w:rPr>
        <w:t xml:space="preserve">propriedade em geral, e </w:t>
      </w:r>
      <w:r w:rsidR="00FD2C38" w:rsidRPr="002F50BD">
        <w:rPr>
          <w:rFonts w:ascii="Verdana" w:hAnsi="Verdana"/>
          <w:sz w:val="20"/>
          <w:lang w:val="pt-BR"/>
        </w:rPr>
        <w:t xml:space="preserve">isso </w:t>
      </w:r>
      <w:r w:rsidRPr="002F50BD">
        <w:rPr>
          <w:rFonts w:ascii="Verdana" w:hAnsi="Verdana"/>
          <w:sz w:val="20"/>
          <w:lang w:val="pt-BR"/>
        </w:rPr>
        <w:t>em razão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conjunto de </w:t>
      </w:r>
      <w:r w:rsidRPr="002F50BD">
        <w:rPr>
          <w:rFonts w:ascii="Verdana" w:hAnsi="Verdana"/>
          <w:sz w:val="20"/>
          <w:lang w:val="pt-BR"/>
        </w:rPr>
        <w:t>direito</w:t>
      </w:r>
      <w:r w:rsidR="004756C1" w:rsidRPr="002F50BD">
        <w:rPr>
          <w:rFonts w:ascii="Verdana" w:hAnsi="Verdana"/>
          <w:sz w:val="20"/>
          <w:lang w:val="pt-BR"/>
        </w:rPr>
        <w:t>s que,</w:t>
      </w:r>
      <w:r w:rsidRPr="002F50BD">
        <w:rPr>
          <w:rFonts w:ascii="Verdana" w:hAnsi="Verdana"/>
          <w:sz w:val="20"/>
          <w:lang w:val="pt-BR"/>
        </w:rPr>
        <w:t xml:space="preserve"> na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específica</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estão </w:t>
      </w:r>
      <w:r w:rsidR="00FD2C38" w:rsidRPr="002F50BD">
        <w:rPr>
          <w:rFonts w:ascii="Verdana" w:hAnsi="Verdana"/>
          <w:sz w:val="20"/>
          <w:lang w:val="pt-BR"/>
        </w:rPr>
        <w:t xml:space="preserve">estreitamente </w:t>
      </w:r>
      <w:r w:rsidR="004756C1" w:rsidRPr="002F50BD">
        <w:rPr>
          <w:rFonts w:ascii="Verdana" w:hAnsi="Verdana"/>
          <w:sz w:val="20"/>
          <w:lang w:val="pt-BR"/>
        </w:rPr>
        <w:t xml:space="preserve">vinculados </w:t>
      </w:r>
      <w:r w:rsidRPr="002F50BD">
        <w:rPr>
          <w:rFonts w:ascii="Verdana" w:hAnsi="Verdana"/>
          <w:sz w:val="20"/>
          <w:lang w:val="pt-BR"/>
        </w:rPr>
        <w:t>à garantia deste direito</w:t>
      </w:r>
      <w:r w:rsidR="004756C1" w:rsidRPr="002F50BD">
        <w:rPr>
          <w:rFonts w:ascii="Verdana" w:hAnsi="Verdana"/>
          <w:sz w:val="20"/>
          <w:lang w:val="pt-BR"/>
        </w:rPr>
        <w:t>:</w:t>
      </w:r>
      <w:r w:rsidRPr="002F50BD">
        <w:rPr>
          <w:rFonts w:ascii="Verdana" w:hAnsi="Verdana"/>
          <w:sz w:val="20"/>
          <w:lang w:val="pt-BR"/>
        </w:rPr>
        <w:t xml:space="preserve"> o direito à </w:t>
      </w:r>
      <w:r w:rsidR="004756C1" w:rsidRPr="002F50BD">
        <w:rPr>
          <w:rFonts w:ascii="Verdana" w:hAnsi="Verdana"/>
          <w:sz w:val="20"/>
          <w:lang w:val="pt-BR"/>
        </w:rPr>
        <w:t>vida,</w:t>
      </w:r>
      <w:r w:rsidRPr="002F50BD">
        <w:rPr>
          <w:rFonts w:ascii="Verdana" w:hAnsi="Verdana"/>
          <w:sz w:val="20"/>
          <w:lang w:val="pt-BR"/>
        </w:rPr>
        <w:t xml:space="preserve"> o direito à identidade </w:t>
      </w:r>
      <w:r w:rsidR="004756C1" w:rsidRPr="002F50BD">
        <w:rPr>
          <w:rFonts w:ascii="Verdana" w:hAnsi="Verdana"/>
          <w:sz w:val="20"/>
          <w:lang w:val="pt-BR"/>
        </w:rPr>
        <w:lastRenderedPageBreak/>
        <w:t>étnica,</w:t>
      </w:r>
      <w:r w:rsidRPr="002F50BD">
        <w:rPr>
          <w:rFonts w:ascii="Verdana" w:hAnsi="Verdana"/>
          <w:sz w:val="20"/>
          <w:lang w:val="pt-BR"/>
        </w:rPr>
        <w:t xml:space="preserve"> o direito à </w:t>
      </w:r>
      <w:r w:rsidR="004756C1" w:rsidRPr="002F50BD">
        <w:rPr>
          <w:rFonts w:ascii="Verdana" w:hAnsi="Verdana"/>
          <w:sz w:val="20"/>
          <w:lang w:val="pt-BR"/>
        </w:rPr>
        <w:t>cultura</w:t>
      </w:r>
      <w:r w:rsidRPr="002F50BD">
        <w:rPr>
          <w:rFonts w:ascii="Verdana" w:hAnsi="Verdana"/>
          <w:sz w:val="20"/>
          <w:lang w:val="pt-BR"/>
        </w:rPr>
        <w:t xml:space="preserve"> e à </w:t>
      </w:r>
      <w:r w:rsidR="004756C1" w:rsidRPr="002F50BD">
        <w:rPr>
          <w:rFonts w:ascii="Verdana" w:hAnsi="Verdana"/>
          <w:sz w:val="20"/>
          <w:lang w:val="pt-BR"/>
        </w:rPr>
        <w:t>re</w:t>
      </w:r>
      <w:r w:rsidRPr="002F50BD">
        <w:rPr>
          <w:rFonts w:ascii="Verdana" w:hAnsi="Verdana"/>
          <w:sz w:val="20"/>
          <w:lang w:val="pt-BR"/>
        </w:rPr>
        <w:t>criação da mesm</w:t>
      </w:r>
      <w:r w:rsidR="004756C1" w:rsidRPr="002F50BD">
        <w:rPr>
          <w:rFonts w:ascii="Verdana" w:hAnsi="Verdana"/>
          <w:sz w:val="20"/>
          <w:lang w:val="pt-BR"/>
        </w:rPr>
        <w:t>a,</w:t>
      </w:r>
      <w:r w:rsidRPr="002F50BD">
        <w:rPr>
          <w:rFonts w:ascii="Verdana" w:hAnsi="Verdana"/>
          <w:sz w:val="20"/>
          <w:lang w:val="pt-BR"/>
        </w:rPr>
        <w:t xml:space="preserve"> o direito à integridade e </w:t>
      </w:r>
      <w:r w:rsidR="004076AD" w:rsidRPr="002F50BD">
        <w:rPr>
          <w:rFonts w:ascii="Verdana" w:hAnsi="Verdana"/>
          <w:sz w:val="20"/>
          <w:lang w:val="pt-BR"/>
        </w:rPr>
        <w:t>sobrevivência</w:t>
      </w:r>
      <w:r w:rsidR="004756C1" w:rsidRPr="002F50BD">
        <w:rPr>
          <w:rFonts w:ascii="Verdana" w:hAnsi="Verdana"/>
          <w:sz w:val="20"/>
          <w:lang w:val="pt-BR"/>
        </w:rPr>
        <w:t xml:space="preserve"> como </w:t>
      </w:r>
      <w:r w:rsidRPr="002F50BD">
        <w:rPr>
          <w:rFonts w:ascii="Verdana" w:hAnsi="Verdana"/>
          <w:sz w:val="20"/>
          <w:lang w:val="pt-BR"/>
        </w:rPr>
        <w:t xml:space="preserve">comunidade </w:t>
      </w:r>
      <w:r w:rsidR="004756C1" w:rsidRPr="002F50BD">
        <w:rPr>
          <w:rFonts w:ascii="Verdana" w:hAnsi="Verdana"/>
          <w:sz w:val="20"/>
          <w:lang w:val="pt-BR"/>
        </w:rPr>
        <w:t xml:space="preserve">indígena; </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im</w:t>
      </w:r>
      <w:r w:rsidRPr="002F50BD">
        <w:rPr>
          <w:rFonts w:ascii="Verdana" w:hAnsi="Verdana"/>
          <w:sz w:val="20"/>
          <w:lang w:val="pt-BR"/>
        </w:rPr>
        <w:t xml:space="preserve">possibilidade </w:t>
      </w:r>
      <w:r w:rsidR="004756C1" w:rsidRPr="002F50BD">
        <w:rPr>
          <w:rFonts w:ascii="Verdana" w:hAnsi="Verdana"/>
          <w:sz w:val="20"/>
          <w:lang w:val="pt-BR"/>
        </w:rPr>
        <w:t>de restituir</w:t>
      </w:r>
      <w:r w:rsidRPr="002F50BD">
        <w:rPr>
          <w:rFonts w:ascii="Verdana" w:hAnsi="Verdana"/>
          <w:sz w:val="20"/>
          <w:lang w:val="pt-BR"/>
        </w:rPr>
        <w:t xml:space="preserve"> a terra</w:t>
      </w:r>
      <w:r w:rsidR="004756C1" w:rsidRPr="002F50BD">
        <w:rPr>
          <w:rFonts w:ascii="Verdana" w:hAnsi="Verdana"/>
          <w:sz w:val="20"/>
          <w:lang w:val="pt-BR"/>
        </w:rPr>
        <w:t xml:space="preserve"> ancestral</w:t>
      </w:r>
      <w:r w:rsidRPr="002F50BD">
        <w:rPr>
          <w:rFonts w:ascii="Verdana" w:hAnsi="Verdana"/>
          <w:sz w:val="20"/>
          <w:lang w:val="pt-BR"/>
        </w:rPr>
        <w:t xml:space="preserve"> à Comunidade </w:t>
      </w:r>
      <w:r w:rsidR="004756C1" w:rsidRPr="002F50BD">
        <w:rPr>
          <w:rFonts w:ascii="Verdana" w:hAnsi="Verdana"/>
          <w:sz w:val="20"/>
          <w:lang w:val="pt-BR"/>
        </w:rPr>
        <w:t>Yakye Axa</w:t>
      </w:r>
      <w:r w:rsidR="00BE46ED" w:rsidRPr="002F50BD">
        <w:rPr>
          <w:rFonts w:ascii="Verdana" w:hAnsi="Verdana"/>
          <w:sz w:val="20"/>
          <w:lang w:val="pt-BR"/>
        </w:rPr>
        <w:t>,</w:t>
      </w:r>
      <w:r w:rsidRPr="002F50BD">
        <w:rPr>
          <w:rFonts w:ascii="Verdana" w:hAnsi="Verdana"/>
          <w:sz w:val="20"/>
          <w:lang w:val="pt-BR"/>
        </w:rPr>
        <w:t xml:space="preserve"> em razão da existência</w:t>
      </w:r>
      <w:r w:rsidR="004756C1" w:rsidRPr="002F50BD">
        <w:rPr>
          <w:rFonts w:ascii="Verdana" w:hAnsi="Verdana"/>
          <w:sz w:val="20"/>
          <w:lang w:val="pt-BR"/>
        </w:rPr>
        <w:t xml:space="preserve"> de</w:t>
      </w:r>
      <w:r w:rsidRPr="002F50BD">
        <w:rPr>
          <w:rFonts w:ascii="Verdana" w:hAnsi="Verdana"/>
          <w:sz w:val="20"/>
          <w:lang w:val="pt-BR"/>
        </w:rPr>
        <w:t xml:space="preserve"> uma </w:t>
      </w:r>
      <w:r w:rsidR="004756C1" w:rsidRPr="002F50BD">
        <w:rPr>
          <w:rFonts w:ascii="Verdana" w:hAnsi="Verdana"/>
          <w:sz w:val="20"/>
          <w:lang w:val="pt-BR"/>
        </w:rPr>
        <w:t>“</w:t>
      </w:r>
      <w:r w:rsidR="00AB454A" w:rsidRPr="002F50BD">
        <w:rPr>
          <w:rFonts w:ascii="Verdana" w:hAnsi="Verdana"/>
          <w:sz w:val="20"/>
          <w:lang w:val="pt-BR"/>
        </w:rPr>
        <w:t>exploração</w:t>
      </w:r>
      <w:r w:rsidR="004756C1" w:rsidRPr="002F50BD">
        <w:rPr>
          <w:rFonts w:ascii="Verdana" w:hAnsi="Verdana"/>
          <w:sz w:val="20"/>
          <w:lang w:val="pt-BR"/>
        </w:rPr>
        <w:t xml:space="preserve"> racional” </w:t>
      </w:r>
      <w:r w:rsidR="00367FD1" w:rsidRPr="002F50BD">
        <w:rPr>
          <w:rFonts w:ascii="Verdana" w:hAnsi="Verdana"/>
          <w:sz w:val="20"/>
          <w:lang w:val="pt-BR"/>
        </w:rPr>
        <w:t>p</w:t>
      </w:r>
      <w:r w:rsidR="006603BE" w:rsidRPr="002F50BD">
        <w:rPr>
          <w:rFonts w:ascii="Verdana" w:hAnsi="Verdana"/>
          <w:sz w:val="20"/>
          <w:lang w:val="pt-BR"/>
        </w:rPr>
        <w:t>or p</w:t>
      </w:r>
      <w:r w:rsidR="00553DF2" w:rsidRPr="002F50BD">
        <w:rPr>
          <w:rFonts w:ascii="Verdana" w:hAnsi="Verdana"/>
          <w:sz w:val="20"/>
          <w:lang w:val="pt-BR"/>
        </w:rPr>
        <w:t xml:space="preserve">arte dos </w:t>
      </w:r>
      <w:r w:rsidRPr="002F50BD">
        <w:rPr>
          <w:rFonts w:ascii="Verdana" w:hAnsi="Verdana"/>
          <w:sz w:val="20"/>
          <w:lang w:val="pt-BR"/>
        </w:rPr>
        <w:t>atuais</w:t>
      </w:r>
      <w:r w:rsidR="004756C1" w:rsidRPr="002F50BD">
        <w:rPr>
          <w:rFonts w:ascii="Verdana" w:hAnsi="Verdana"/>
          <w:sz w:val="20"/>
          <w:lang w:val="pt-BR"/>
        </w:rPr>
        <w:t xml:space="preserve"> </w:t>
      </w:r>
      <w:r w:rsidR="007801FA" w:rsidRPr="002F50BD">
        <w:rPr>
          <w:rFonts w:ascii="Verdana" w:hAnsi="Verdana"/>
          <w:sz w:val="20"/>
          <w:lang w:val="pt-BR"/>
        </w:rPr>
        <w:t>proprietário</w:t>
      </w:r>
      <w:r w:rsidR="004756C1" w:rsidRPr="002F50BD">
        <w:rPr>
          <w:rFonts w:ascii="Verdana" w:hAnsi="Verdana"/>
          <w:sz w:val="20"/>
          <w:lang w:val="pt-BR"/>
        </w:rPr>
        <w:t>s</w:t>
      </w:r>
      <w:r w:rsidRPr="002F50BD">
        <w:rPr>
          <w:rFonts w:ascii="Verdana" w:hAnsi="Verdana"/>
          <w:sz w:val="20"/>
          <w:lang w:val="pt-BR"/>
        </w:rPr>
        <w:t xml:space="preserve"> da terra</w:t>
      </w:r>
      <w:r w:rsidR="004756C1" w:rsidRPr="002F50BD">
        <w:rPr>
          <w:rFonts w:ascii="Verdana" w:hAnsi="Verdana"/>
          <w:sz w:val="20"/>
          <w:lang w:val="pt-BR"/>
        </w:rPr>
        <w:t xml:space="preserve"> reclamada,</w:t>
      </w:r>
      <w:r w:rsidRPr="002F50BD">
        <w:rPr>
          <w:rFonts w:ascii="Verdana" w:hAnsi="Verdana"/>
          <w:sz w:val="20"/>
          <w:lang w:val="pt-BR"/>
        </w:rPr>
        <w:t xml:space="preserve"> é um </w:t>
      </w:r>
      <w:r w:rsidR="004756C1" w:rsidRPr="002F50BD">
        <w:rPr>
          <w:rFonts w:ascii="Verdana" w:hAnsi="Verdana"/>
          <w:sz w:val="20"/>
          <w:lang w:val="pt-BR"/>
        </w:rPr>
        <w:t xml:space="preserve">argumento </w:t>
      </w:r>
      <w:r w:rsidR="00553DF2" w:rsidRPr="002F50BD">
        <w:rPr>
          <w:rFonts w:ascii="Verdana" w:hAnsi="Verdana"/>
          <w:sz w:val="20"/>
          <w:lang w:val="pt-BR"/>
        </w:rPr>
        <w:t>equivocado</w:t>
      </w:r>
      <w:r w:rsidR="00AB454A"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o </w:t>
      </w:r>
      <w:r w:rsidR="004756C1" w:rsidRPr="002F50BD">
        <w:rPr>
          <w:rFonts w:ascii="Verdana" w:hAnsi="Verdana"/>
          <w:sz w:val="20"/>
          <w:lang w:val="pt-BR"/>
        </w:rPr>
        <w:t>Estado aplic</w:t>
      </w:r>
      <w:r w:rsidR="00553DF2" w:rsidRPr="002F50BD">
        <w:rPr>
          <w:rFonts w:ascii="Verdana" w:hAnsi="Verdana"/>
          <w:sz w:val="20"/>
          <w:lang w:val="pt-BR"/>
        </w:rPr>
        <w:t>ou</w:t>
      </w:r>
      <w:r w:rsidRPr="002F50BD">
        <w:rPr>
          <w:rFonts w:ascii="Verdana" w:hAnsi="Verdana"/>
          <w:sz w:val="20"/>
          <w:lang w:val="pt-BR"/>
        </w:rPr>
        <w:t xml:space="preserve"> à terra</w:t>
      </w:r>
      <w:r w:rsidR="004756C1" w:rsidRPr="002F50BD">
        <w:rPr>
          <w:rFonts w:ascii="Verdana" w:hAnsi="Verdana"/>
          <w:sz w:val="20"/>
          <w:lang w:val="pt-BR"/>
        </w:rPr>
        <w:t xml:space="preserve"> ancestral </w:t>
      </w:r>
      <w:r w:rsidRPr="002F50BD">
        <w:rPr>
          <w:rFonts w:ascii="Verdana" w:hAnsi="Verdana"/>
          <w:sz w:val="20"/>
          <w:lang w:val="pt-BR"/>
        </w:rPr>
        <w:t>critério</w:t>
      </w:r>
      <w:r w:rsidR="004756C1" w:rsidRPr="002F50BD">
        <w:rPr>
          <w:rFonts w:ascii="Verdana" w:hAnsi="Verdana"/>
          <w:sz w:val="20"/>
          <w:lang w:val="pt-BR"/>
        </w:rPr>
        <w:t xml:space="preserve">s de </w:t>
      </w:r>
      <w:r w:rsidR="006C4368" w:rsidRPr="002F50BD">
        <w:rPr>
          <w:rFonts w:ascii="Verdana" w:hAnsi="Verdana"/>
          <w:sz w:val="20"/>
          <w:lang w:val="pt-BR"/>
        </w:rPr>
        <w:t>a</w:t>
      </w:r>
      <w:r w:rsidR="004756C1" w:rsidRPr="002F50BD">
        <w:rPr>
          <w:rFonts w:ascii="Verdana" w:hAnsi="Verdana"/>
          <w:sz w:val="20"/>
          <w:lang w:val="pt-BR"/>
        </w:rPr>
        <w:t>val</w:t>
      </w:r>
      <w:r w:rsidR="006C4368" w:rsidRPr="002F50BD">
        <w:rPr>
          <w:rFonts w:ascii="Verdana" w:hAnsi="Verdana"/>
          <w:sz w:val="20"/>
          <w:lang w:val="pt-BR"/>
        </w:rPr>
        <w:t>i</w:t>
      </w:r>
      <w:r w:rsidR="004756C1" w:rsidRPr="002F50BD">
        <w:rPr>
          <w:rFonts w:ascii="Verdana" w:hAnsi="Verdana"/>
          <w:sz w:val="20"/>
          <w:lang w:val="pt-BR"/>
        </w:rPr>
        <w:t>a</w:t>
      </w:r>
      <w:r w:rsidRPr="002F50BD">
        <w:rPr>
          <w:rFonts w:ascii="Verdana" w:hAnsi="Verdana"/>
          <w:sz w:val="20"/>
          <w:lang w:val="pt-BR"/>
        </w:rPr>
        <w:t xml:space="preserve">ção da </w:t>
      </w:r>
      <w:r w:rsidR="00AB454A" w:rsidRPr="002F50BD">
        <w:rPr>
          <w:rFonts w:ascii="Verdana" w:hAnsi="Verdana"/>
          <w:sz w:val="20"/>
          <w:lang w:val="pt-BR"/>
        </w:rPr>
        <w:t>exploração</w:t>
      </w:r>
      <w:r w:rsidRPr="002F50BD">
        <w:rPr>
          <w:rFonts w:ascii="Verdana" w:hAnsi="Verdana"/>
          <w:sz w:val="20"/>
          <w:lang w:val="pt-BR"/>
        </w:rPr>
        <w:t xml:space="preserve"> da terra</w:t>
      </w:r>
      <w:r w:rsidR="004756C1" w:rsidRPr="002F50BD">
        <w:rPr>
          <w:rFonts w:ascii="Verdana" w:hAnsi="Verdana"/>
          <w:sz w:val="20"/>
          <w:lang w:val="pt-BR"/>
        </w:rPr>
        <w:t xml:space="preserve"> </w:t>
      </w:r>
      <w:r w:rsidRPr="002F50BD">
        <w:rPr>
          <w:rFonts w:ascii="Verdana" w:hAnsi="Verdana"/>
          <w:sz w:val="20"/>
          <w:lang w:val="pt-BR"/>
        </w:rPr>
        <w:t>próprio</w:t>
      </w:r>
      <w:r w:rsidR="004756C1" w:rsidRPr="002F50BD">
        <w:rPr>
          <w:rFonts w:ascii="Verdana" w:hAnsi="Verdana"/>
          <w:sz w:val="20"/>
          <w:lang w:val="pt-BR"/>
        </w:rPr>
        <w:t xml:space="preserve">s </w:t>
      </w:r>
      <w:r w:rsidRPr="002F50BD">
        <w:rPr>
          <w:rFonts w:ascii="Verdana" w:hAnsi="Verdana"/>
          <w:sz w:val="20"/>
          <w:lang w:val="pt-BR"/>
        </w:rPr>
        <w:t>do direito</w:t>
      </w:r>
      <w:r w:rsidR="004756C1" w:rsidRPr="002F50BD">
        <w:rPr>
          <w:rFonts w:ascii="Verdana" w:hAnsi="Verdana"/>
          <w:sz w:val="20"/>
          <w:lang w:val="pt-BR"/>
        </w:rPr>
        <w:t xml:space="preserve"> </w:t>
      </w:r>
      <w:r w:rsidR="00D95E71" w:rsidRPr="002F50BD">
        <w:rPr>
          <w:rFonts w:ascii="Verdana" w:hAnsi="Verdana"/>
          <w:sz w:val="20"/>
          <w:lang w:val="pt-BR"/>
        </w:rPr>
        <w:t>agrário</w:t>
      </w:r>
      <w:r w:rsidR="004756C1" w:rsidRPr="002F50BD">
        <w:rPr>
          <w:rFonts w:ascii="Verdana" w:hAnsi="Verdana"/>
          <w:sz w:val="20"/>
          <w:lang w:val="pt-BR"/>
        </w:rPr>
        <w:t xml:space="preserve"> rural n</w:t>
      </w:r>
      <w:r w:rsidR="00B0045F" w:rsidRPr="002F50BD">
        <w:rPr>
          <w:rFonts w:ascii="Verdana" w:hAnsi="Verdana"/>
          <w:sz w:val="20"/>
          <w:lang w:val="pt-BR"/>
        </w:rPr>
        <w:t>ã</w:t>
      </w:r>
      <w:r w:rsidR="004756C1" w:rsidRPr="002F50BD">
        <w:rPr>
          <w:rFonts w:ascii="Verdana" w:hAnsi="Verdana"/>
          <w:sz w:val="20"/>
          <w:lang w:val="pt-BR"/>
        </w:rPr>
        <w:t>o indígena,</w:t>
      </w:r>
      <w:r w:rsidR="004076AD" w:rsidRPr="002F50BD">
        <w:rPr>
          <w:rFonts w:ascii="Verdana" w:hAnsi="Verdana"/>
          <w:sz w:val="20"/>
          <w:lang w:val="pt-BR"/>
        </w:rPr>
        <w:t xml:space="preserve"> apesar </w:t>
      </w:r>
      <w:r w:rsidRPr="002F50BD">
        <w:rPr>
          <w:rFonts w:ascii="Verdana" w:hAnsi="Verdana"/>
          <w:sz w:val="20"/>
          <w:lang w:val="pt-BR"/>
        </w:rPr>
        <w:t xml:space="preserve">da </w:t>
      </w:r>
      <w:r w:rsidR="004756C1" w:rsidRPr="002F50BD">
        <w:rPr>
          <w:rFonts w:ascii="Verdana" w:hAnsi="Verdana"/>
          <w:sz w:val="20"/>
          <w:lang w:val="pt-BR"/>
        </w:rPr>
        <w:t>incorpora</w:t>
      </w:r>
      <w:r w:rsidRPr="002F50BD">
        <w:rPr>
          <w:rFonts w:ascii="Verdana" w:hAnsi="Verdana"/>
          <w:sz w:val="20"/>
          <w:lang w:val="pt-BR"/>
        </w:rPr>
        <w:t xml:space="preserve">ção em </w:t>
      </w:r>
      <w:r w:rsidR="004076AD" w:rsidRPr="002F50BD">
        <w:rPr>
          <w:rFonts w:ascii="Verdana" w:hAnsi="Verdana"/>
          <w:sz w:val="20"/>
          <w:lang w:val="pt-BR"/>
        </w:rPr>
        <w:t>sua legislação</w:t>
      </w:r>
      <w:r w:rsidR="004756C1" w:rsidRPr="002F50BD">
        <w:rPr>
          <w:rFonts w:ascii="Verdana" w:hAnsi="Verdana"/>
          <w:sz w:val="20"/>
          <w:lang w:val="pt-BR"/>
        </w:rPr>
        <w:t xml:space="preserve"> interna </w:t>
      </w:r>
      <w:r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w:t>
      </w:r>
      <w:r w:rsidRPr="002F50BD">
        <w:rPr>
          <w:rFonts w:ascii="Verdana" w:hAnsi="Verdana"/>
          <w:sz w:val="20"/>
          <w:lang w:val="pt-BR"/>
        </w:rPr>
        <w:t xml:space="preserve"> e da </w:t>
      </w:r>
      <w:r w:rsidR="004756C1" w:rsidRPr="002F50BD">
        <w:rPr>
          <w:rFonts w:ascii="Verdana" w:hAnsi="Verdana"/>
          <w:sz w:val="20"/>
          <w:lang w:val="pt-BR"/>
        </w:rPr>
        <w:t>re</w:t>
      </w:r>
      <w:r w:rsidRPr="002F50BD">
        <w:rPr>
          <w:rFonts w:ascii="Verdana" w:hAnsi="Verdana"/>
          <w:sz w:val="20"/>
          <w:lang w:val="pt-BR"/>
        </w:rPr>
        <w:t>missão</w:t>
      </w:r>
      <w:r w:rsidR="004756C1" w:rsidRPr="002F50BD">
        <w:rPr>
          <w:rFonts w:ascii="Verdana" w:hAnsi="Verdana"/>
          <w:sz w:val="20"/>
          <w:lang w:val="pt-BR"/>
        </w:rPr>
        <w:t xml:space="preserve"> </w:t>
      </w:r>
      <w:r w:rsidRPr="002F50BD">
        <w:rPr>
          <w:rFonts w:ascii="Verdana" w:hAnsi="Verdana"/>
          <w:sz w:val="20"/>
          <w:lang w:val="pt-BR"/>
        </w:rPr>
        <w:t>expressa</w:t>
      </w:r>
      <w:r w:rsidR="004756C1" w:rsidRPr="002F50BD">
        <w:rPr>
          <w:rFonts w:ascii="Verdana" w:hAnsi="Verdana"/>
          <w:sz w:val="20"/>
          <w:lang w:val="pt-BR"/>
        </w:rPr>
        <w:t xml:space="preserve"> que</w:t>
      </w:r>
      <w:r w:rsidRPr="002F50BD">
        <w:rPr>
          <w:rFonts w:ascii="Verdana" w:hAnsi="Verdana"/>
          <w:sz w:val="20"/>
          <w:lang w:val="pt-BR"/>
        </w:rPr>
        <w:t xml:space="preserve"> faz a Lei</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B0045F" w:rsidRPr="002F50BD">
        <w:rPr>
          <w:rFonts w:ascii="Verdana" w:hAnsi="Verdana"/>
          <w:sz w:val="20"/>
          <w:lang w:val="pt-BR"/>
        </w:rPr>
        <w:t xml:space="preserve"> àquela Convenção</w:t>
      </w:r>
      <w:r w:rsidRPr="002F50BD">
        <w:rPr>
          <w:rFonts w:ascii="Verdana" w:hAnsi="Verdana"/>
          <w:sz w:val="20"/>
          <w:lang w:val="pt-BR"/>
        </w:rPr>
        <w:t>, e</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0"/>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w:t>
      </w:r>
      <w:r w:rsidR="00B0045F" w:rsidRPr="002F50BD">
        <w:rPr>
          <w:rFonts w:ascii="Verdana" w:hAnsi="Verdana"/>
          <w:sz w:val="20"/>
          <w:lang w:val="pt-BR"/>
        </w:rPr>
        <w:t xml:space="preserve">cana </w:t>
      </w:r>
      <w:r w:rsidR="003F646C" w:rsidRPr="002F50BD">
        <w:rPr>
          <w:rFonts w:ascii="Verdana" w:hAnsi="Verdana"/>
          <w:sz w:val="20"/>
          <w:lang w:val="pt-BR"/>
        </w:rPr>
        <w:t>oferece diretrizes</w:t>
      </w:r>
      <w:r w:rsidR="004756C1" w:rsidRPr="002F50BD">
        <w:rPr>
          <w:rFonts w:ascii="Verdana" w:hAnsi="Verdana"/>
          <w:sz w:val="20"/>
          <w:lang w:val="pt-BR"/>
        </w:rPr>
        <w:t xml:space="preserve"> para definir</w:t>
      </w:r>
      <w:r w:rsidRPr="002F50BD">
        <w:rPr>
          <w:rFonts w:ascii="Verdana" w:hAnsi="Verdana"/>
          <w:sz w:val="20"/>
          <w:lang w:val="pt-BR"/>
        </w:rPr>
        <w:t xml:space="preserve"> as </w:t>
      </w:r>
      <w:r w:rsidR="004076AD" w:rsidRPr="002F50BD">
        <w:rPr>
          <w:rFonts w:ascii="Verdana" w:hAnsi="Verdana"/>
          <w:sz w:val="20"/>
          <w:lang w:val="pt-BR"/>
        </w:rPr>
        <w:t>restrições</w:t>
      </w:r>
      <w:r w:rsidR="004756C1" w:rsidRPr="002F50BD">
        <w:rPr>
          <w:rFonts w:ascii="Verdana" w:hAnsi="Verdana"/>
          <w:sz w:val="20"/>
          <w:lang w:val="pt-BR"/>
        </w:rPr>
        <w:t xml:space="preserve"> permi</w:t>
      </w:r>
      <w:r w:rsidR="00B0045F" w:rsidRPr="002F50BD">
        <w:rPr>
          <w:rFonts w:ascii="Verdana" w:hAnsi="Verdana"/>
          <w:sz w:val="20"/>
          <w:lang w:val="pt-BR"/>
        </w:rPr>
        <w:t>s</w:t>
      </w:r>
      <w:r w:rsidR="004756C1" w:rsidRPr="002F50BD">
        <w:rPr>
          <w:rFonts w:ascii="Verdana" w:hAnsi="Verdana"/>
          <w:sz w:val="20"/>
          <w:lang w:val="pt-BR"/>
        </w:rPr>
        <w:t>s</w:t>
      </w:r>
      <w:r w:rsidRPr="002F50BD">
        <w:rPr>
          <w:rFonts w:ascii="Verdana" w:hAnsi="Verdana"/>
          <w:sz w:val="20"/>
          <w:lang w:val="pt-BR"/>
        </w:rPr>
        <w:t>íveis aos direito</w:t>
      </w:r>
      <w:r w:rsidR="004756C1" w:rsidRPr="002F50BD">
        <w:rPr>
          <w:rFonts w:ascii="Verdana" w:hAnsi="Verdana"/>
          <w:sz w:val="20"/>
          <w:lang w:val="pt-BR"/>
        </w:rPr>
        <w:t>s; a saber: a</w:t>
      </w:r>
      <w:r w:rsidR="00CF451D" w:rsidRPr="00CF451D">
        <w:rPr>
          <w:rFonts w:ascii="Verdana" w:hAnsi="Verdana"/>
          <w:sz w:val="20"/>
          <w:lang w:val="pt-BR"/>
        </w:rPr>
        <w:t>)</w:t>
      </w:r>
      <w:r w:rsidR="004756C1" w:rsidRPr="002F50BD">
        <w:rPr>
          <w:rFonts w:ascii="Verdana" w:hAnsi="Verdana"/>
          <w:sz w:val="20"/>
          <w:lang w:val="pt-BR"/>
        </w:rPr>
        <w:t xml:space="preserve"> </w:t>
      </w:r>
      <w:r w:rsidR="00B0045F" w:rsidRPr="002F50BD">
        <w:rPr>
          <w:rFonts w:ascii="Verdana" w:hAnsi="Verdana"/>
          <w:sz w:val="20"/>
          <w:lang w:val="pt-BR"/>
        </w:rPr>
        <w:t xml:space="preserve">deve </w:t>
      </w:r>
      <w:r w:rsidR="004756C1" w:rsidRPr="002F50BD">
        <w:rPr>
          <w:rFonts w:ascii="Verdana" w:hAnsi="Verdana"/>
          <w:sz w:val="20"/>
          <w:lang w:val="pt-BR"/>
        </w:rPr>
        <w:t>ser</w:t>
      </w:r>
      <w:r w:rsidRPr="002F50BD">
        <w:rPr>
          <w:rFonts w:ascii="Verdana" w:hAnsi="Verdana"/>
          <w:sz w:val="20"/>
          <w:lang w:val="pt-BR"/>
        </w:rPr>
        <w:t xml:space="preserve"> uma </w:t>
      </w:r>
      <w:r w:rsidR="004756C1" w:rsidRPr="002F50BD">
        <w:rPr>
          <w:rFonts w:ascii="Verdana" w:hAnsi="Verdana"/>
          <w:sz w:val="20"/>
          <w:lang w:val="pt-BR"/>
        </w:rPr>
        <w:t xml:space="preserve">medida </w:t>
      </w:r>
      <w:r w:rsidRPr="002F50BD">
        <w:rPr>
          <w:rFonts w:ascii="Verdana" w:hAnsi="Verdana"/>
          <w:sz w:val="20"/>
          <w:lang w:val="pt-BR"/>
        </w:rPr>
        <w:t>adot</w:t>
      </w:r>
      <w:r w:rsidR="004756C1" w:rsidRPr="002F50BD">
        <w:rPr>
          <w:rFonts w:ascii="Verdana" w:hAnsi="Verdana"/>
          <w:sz w:val="20"/>
          <w:lang w:val="pt-BR"/>
        </w:rPr>
        <w:t>ada legalmente, b</w:t>
      </w:r>
      <w:r w:rsidR="00CF451D" w:rsidRPr="00CF451D">
        <w:rPr>
          <w:rFonts w:ascii="Verdana" w:hAnsi="Verdana"/>
          <w:sz w:val="20"/>
          <w:lang w:val="pt-BR"/>
        </w:rPr>
        <w:t>)</w:t>
      </w:r>
      <w:r w:rsidR="004756C1" w:rsidRPr="002F50BD">
        <w:rPr>
          <w:rFonts w:ascii="Verdana" w:hAnsi="Verdana"/>
          <w:sz w:val="20"/>
          <w:lang w:val="pt-BR"/>
        </w:rPr>
        <w:t xml:space="preserve"> </w:t>
      </w:r>
      <w:r w:rsidR="006603BE" w:rsidRPr="002F50BD">
        <w:rPr>
          <w:rFonts w:ascii="Verdana" w:hAnsi="Verdana"/>
          <w:sz w:val="20"/>
          <w:lang w:val="pt-BR"/>
        </w:rPr>
        <w:t xml:space="preserve">deve </w:t>
      </w:r>
      <w:r w:rsidR="004756C1" w:rsidRPr="002F50BD">
        <w:rPr>
          <w:rFonts w:ascii="Verdana" w:hAnsi="Verdana"/>
          <w:sz w:val="20"/>
          <w:lang w:val="pt-BR"/>
        </w:rPr>
        <w:t xml:space="preserve">ser </w:t>
      </w:r>
      <w:r w:rsidRPr="002F50BD">
        <w:rPr>
          <w:rFonts w:ascii="Verdana" w:hAnsi="Verdana"/>
          <w:sz w:val="20"/>
          <w:lang w:val="pt-BR"/>
        </w:rPr>
        <w:t>necessári</w:t>
      </w:r>
      <w:r w:rsidR="004756C1" w:rsidRPr="002F50BD">
        <w:rPr>
          <w:rFonts w:ascii="Verdana" w:hAnsi="Verdana"/>
          <w:sz w:val="20"/>
          <w:lang w:val="pt-BR"/>
        </w:rPr>
        <w:t xml:space="preserve">a </w:t>
      </w:r>
      <w:r w:rsidR="00CF451D" w:rsidRPr="00CF451D">
        <w:rPr>
          <w:rFonts w:ascii="Verdana" w:hAnsi="Verdana"/>
          <w:sz w:val="20"/>
          <w:lang w:val="pt-BR"/>
        </w:rPr>
        <w:t>(</w:t>
      </w:r>
      <w:r w:rsidR="00B0045F" w:rsidRPr="002F50BD">
        <w:rPr>
          <w:rFonts w:ascii="Verdana" w:hAnsi="Verdana"/>
          <w:sz w:val="20"/>
          <w:lang w:val="pt-BR"/>
        </w:rPr>
        <w:t xml:space="preserve">e não apenas </w:t>
      </w:r>
      <w:r w:rsidR="004756C1" w:rsidRPr="002F50BD">
        <w:rPr>
          <w:rFonts w:ascii="Verdana" w:hAnsi="Verdana"/>
          <w:sz w:val="20"/>
          <w:lang w:val="pt-BR"/>
        </w:rPr>
        <w:t>útil o</w:t>
      </w:r>
      <w:r w:rsidR="00B0045F" w:rsidRPr="002F50BD">
        <w:rPr>
          <w:rFonts w:ascii="Verdana" w:hAnsi="Verdana"/>
          <w:sz w:val="20"/>
          <w:lang w:val="pt-BR"/>
        </w:rPr>
        <w:t>u</w:t>
      </w:r>
      <w:r w:rsidR="004756C1" w:rsidRPr="002F50BD">
        <w:rPr>
          <w:rFonts w:ascii="Verdana" w:hAnsi="Verdana"/>
          <w:sz w:val="20"/>
          <w:lang w:val="pt-BR"/>
        </w:rPr>
        <w:t xml:space="preserve"> </w:t>
      </w:r>
      <w:r w:rsidR="00B0045F" w:rsidRPr="002F50BD">
        <w:rPr>
          <w:rFonts w:ascii="Verdana" w:hAnsi="Verdana"/>
          <w:sz w:val="20"/>
          <w:lang w:val="pt-BR"/>
        </w:rPr>
        <w:t>razoável</w:t>
      </w:r>
      <w:r w:rsidR="00CF451D" w:rsidRPr="00CF451D">
        <w:rPr>
          <w:rFonts w:ascii="Verdana" w:hAnsi="Verdana"/>
          <w:sz w:val="20"/>
          <w:lang w:val="pt-BR"/>
        </w:rPr>
        <w:t>)</w:t>
      </w:r>
      <w:r w:rsidRPr="002F50BD">
        <w:rPr>
          <w:rFonts w:ascii="Verdana" w:hAnsi="Verdana"/>
          <w:sz w:val="20"/>
          <w:lang w:val="pt-BR"/>
        </w:rPr>
        <w:t xml:space="preserve"> e </w:t>
      </w:r>
      <w:r w:rsidR="004756C1" w:rsidRPr="002F50BD">
        <w:rPr>
          <w:rFonts w:ascii="Verdana" w:hAnsi="Verdana"/>
          <w:sz w:val="20"/>
          <w:lang w:val="pt-BR"/>
        </w:rPr>
        <w:t>c</w:t>
      </w:r>
      <w:r w:rsidR="00CF451D" w:rsidRPr="00CF451D">
        <w:rPr>
          <w:rFonts w:ascii="Verdana" w:hAnsi="Verdana"/>
          <w:sz w:val="20"/>
          <w:lang w:val="pt-BR"/>
        </w:rPr>
        <w:t>)</w:t>
      </w:r>
      <w:r w:rsidR="004756C1" w:rsidRPr="002F50BD">
        <w:rPr>
          <w:rFonts w:ascii="Verdana" w:hAnsi="Verdana"/>
          <w:sz w:val="20"/>
          <w:lang w:val="pt-BR"/>
        </w:rPr>
        <w:t xml:space="preserve"> </w:t>
      </w:r>
      <w:r w:rsidR="00B0045F" w:rsidRPr="002F50BD">
        <w:rPr>
          <w:rFonts w:ascii="Verdana" w:hAnsi="Verdana"/>
          <w:sz w:val="20"/>
          <w:lang w:val="pt-BR"/>
        </w:rPr>
        <w:t xml:space="preserve">deve ser feita </w:t>
      </w:r>
      <w:r w:rsidRPr="002F50BD">
        <w:rPr>
          <w:rFonts w:ascii="Verdana" w:hAnsi="Verdana"/>
          <w:sz w:val="20"/>
          <w:lang w:val="pt-BR"/>
        </w:rPr>
        <w:t xml:space="preserve">com o fim </w:t>
      </w:r>
      <w:r w:rsidR="004756C1" w:rsidRPr="002F50BD">
        <w:rPr>
          <w:rFonts w:ascii="Verdana" w:hAnsi="Verdana"/>
          <w:sz w:val="20"/>
          <w:lang w:val="pt-BR"/>
        </w:rPr>
        <w:t xml:space="preserve">de </w:t>
      </w:r>
      <w:r w:rsidR="00B0045F" w:rsidRPr="002F50BD">
        <w:rPr>
          <w:rFonts w:ascii="Verdana" w:hAnsi="Verdana"/>
          <w:sz w:val="20"/>
          <w:lang w:val="pt-BR"/>
        </w:rPr>
        <w:t xml:space="preserve">alcançar </w:t>
      </w:r>
      <w:r w:rsidRPr="002F50BD">
        <w:rPr>
          <w:rFonts w:ascii="Verdana" w:hAnsi="Verdana"/>
          <w:sz w:val="20"/>
          <w:lang w:val="pt-BR"/>
        </w:rPr>
        <w:t xml:space="preserve">um </w:t>
      </w:r>
      <w:r w:rsidR="004756C1" w:rsidRPr="002F50BD">
        <w:rPr>
          <w:rFonts w:ascii="Verdana" w:hAnsi="Verdana"/>
          <w:sz w:val="20"/>
          <w:lang w:val="pt-BR"/>
        </w:rPr>
        <w:t>objetivo legítimo</w:t>
      </w:r>
      <w:r w:rsidRPr="002F50BD">
        <w:rPr>
          <w:rFonts w:ascii="Verdana" w:hAnsi="Verdana"/>
          <w:sz w:val="20"/>
          <w:lang w:val="pt-BR"/>
        </w:rPr>
        <w:t xml:space="preserve"> em uma sociedade </w:t>
      </w:r>
      <w:r w:rsidR="004756C1" w:rsidRPr="002F50BD">
        <w:rPr>
          <w:rFonts w:ascii="Verdana" w:hAnsi="Verdana"/>
          <w:sz w:val="20"/>
          <w:lang w:val="pt-BR"/>
        </w:rPr>
        <w:t xml:space="preserve">democrática de </w:t>
      </w:r>
      <w:r w:rsidRPr="002F50BD">
        <w:rPr>
          <w:rFonts w:ascii="Verdana" w:hAnsi="Verdana"/>
          <w:sz w:val="20"/>
          <w:lang w:val="pt-BR"/>
        </w:rPr>
        <w:t xml:space="preserve">acordo </w:t>
      </w:r>
      <w:r w:rsidR="004076AD" w:rsidRPr="002F50BD">
        <w:rPr>
          <w:rFonts w:ascii="Verdana" w:hAnsi="Verdana"/>
          <w:sz w:val="20"/>
          <w:lang w:val="pt-BR"/>
        </w:rPr>
        <w:t>com o estabelecido</w:t>
      </w:r>
      <w:r w:rsidRPr="002F50BD">
        <w:rPr>
          <w:rFonts w:ascii="Verdana" w:hAnsi="Verdana"/>
          <w:sz w:val="20"/>
          <w:lang w:val="pt-BR"/>
        </w:rPr>
        <w:t xml:space="preserve"> pela </w:t>
      </w:r>
      <w:r w:rsidR="004756C1" w:rsidRPr="002F50BD">
        <w:rPr>
          <w:rFonts w:ascii="Verdana" w:hAnsi="Verdana"/>
          <w:sz w:val="20"/>
          <w:lang w:val="pt-BR"/>
        </w:rPr>
        <w:t>Conven</w:t>
      </w:r>
      <w:r w:rsidRPr="002F50BD">
        <w:rPr>
          <w:rFonts w:ascii="Verdana" w:hAnsi="Verdana"/>
          <w:sz w:val="20"/>
          <w:lang w:val="pt-BR"/>
        </w:rPr>
        <w:t>ção</w:t>
      </w:r>
      <w:r w:rsidR="00AB454A"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a decisão</w:t>
      </w:r>
      <w:r w:rsidR="004756C1" w:rsidRPr="002F50BD">
        <w:rPr>
          <w:rFonts w:ascii="Verdana" w:hAnsi="Verdana"/>
          <w:sz w:val="20"/>
          <w:lang w:val="pt-BR"/>
        </w:rPr>
        <w:t xml:space="preserve"> tomada </w:t>
      </w:r>
      <w:r w:rsidR="00AB454A" w:rsidRPr="002F50BD">
        <w:rPr>
          <w:rFonts w:ascii="Verdana" w:hAnsi="Verdana"/>
          <w:sz w:val="20"/>
          <w:lang w:val="pt-BR"/>
        </w:rPr>
        <w:t>não é</w:t>
      </w:r>
      <w:r w:rsidRPr="002F50BD">
        <w:rPr>
          <w:rFonts w:ascii="Verdana" w:hAnsi="Verdana"/>
          <w:sz w:val="20"/>
          <w:lang w:val="pt-BR"/>
        </w:rPr>
        <w:t xml:space="preserve"> uma </w:t>
      </w:r>
      <w:r w:rsidR="004756C1" w:rsidRPr="002F50BD">
        <w:rPr>
          <w:rFonts w:ascii="Verdana" w:hAnsi="Verdana"/>
          <w:sz w:val="20"/>
          <w:lang w:val="pt-BR"/>
        </w:rPr>
        <w:t xml:space="preserve">medida </w:t>
      </w:r>
      <w:r w:rsidRPr="002F50BD">
        <w:rPr>
          <w:rFonts w:ascii="Verdana" w:hAnsi="Verdana"/>
          <w:sz w:val="20"/>
          <w:lang w:val="pt-BR"/>
        </w:rPr>
        <w:t>necessári</w:t>
      </w:r>
      <w:r w:rsidR="004756C1" w:rsidRPr="002F50BD">
        <w:rPr>
          <w:rFonts w:ascii="Verdana" w:hAnsi="Verdana"/>
          <w:sz w:val="20"/>
          <w:lang w:val="pt-BR"/>
        </w:rPr>
        <w:t>a porque</w:t>
      </w:r>
      <w:r w:rsidRPr="002F50BD">
        <w:rPr>
          <w:rFonts w:ascii="Verdana" w:hAnsi="Verdana"/>
          <w:sz w:val="20"/>
          <w:lang w:val="pt-BR"/>
        </w:rPr>
        <w:t xml:space="preserve"> é possível </w:t>
      </w:r>
      <w:r w:rsidR="004756C1" w:rsidRPr="002F50BD">
        <w:rPr>
          <w:rFonts w:ascii="Verdana" w:hAnsi="Verdana"/>
          <w:sz w:val="20"/>
          <w:lang w:val="pt-BR"/>
        </w:rPr>
        <w:t xml:space="preserve">compensar </w:t>
      </w:r>
      <w:r w:rsidR="00626F06" w:rsidRPr="002F50BD">
        <w:rPr>
          <w:rFonts w:ascii="Verdana" w:hAnsi="Verdana"/>
          <w:sz w:val="20"/>
          <w:lang w:val="pt-BR"/>
        </w:rPr>
        <w:t>economicamente</w:t>
      </w:r>
      <w:r w:rsidRPr="002F50BD">
        <w:rPr>
          <w:rFonts w:ascii="Verdana" w:hAnsi="Verdana"/>
          <w:sz w:val="20"/>
          <w:lang w:val="pt-BR"/>
        </w:rPr>
        <w:t xml:space="preserve"> os atuais</w:t>
      </w:r>
      <w:r w:rsidR="004756C1" w:rsidRPr="002F50BD">
        <w:rPr>
          <w:rFonts w:ascii="Verdana" w:hAnsi="Verdana"/>
          <w:sz w:val="20"/>
          <w:lang w:val="pt-BR"/>
        </w:rPr>
        <w:t xml:space="preserve"> </w:t>
      </w:r>
      <w:r w:rsidR="007801FA" w:rsidRPr="002F50BD">
        <w:rPr>
          <w:rFonts w:ascii="Verdana" w:hAnsi="Verdana"/>
          <w:sz w:val="20"/>
          <w:lang w:val="pt-BR"/>
        </w:rPr>
        <w:t>proprietário</w:t>
      </w:r>
      <w:r w:rsidR="004756C1" w:rsidRPr="002F50BD">
        <w:rPr>
          <w:rFonts w:ascii="Verdana" w:hAnsi="Verdana"/>
          <w:sz w:val="20"/>
          <w:lang w:val="pt-BR"/>
        </w:rPr>
        <w:t>s, n</w:t>
      </w:r>
      <w:r w:rsidR="00B0045F" w:rsidRPr="002F50BD">
        <w:rPr>
          <w:rFonts w:ascii="Verdana" w:hAnsi="Verdana"/>
          <w:sz w:val="20"/>
          <w:lang w:val="pt-BR"/>
        </w:rPr>
        <w:t>ã</w:t>
      </w:r>
      <w:r w:rsidR="004756C1" w:rsidRPr="002F50BD">
        <w:rPr>
          <w:rFonts w:ascii="Verdana" w:hAnsi="Verdana"/>
          <w:sz w:val="20"/>
          <w:lang w:val="pt-BR"/>
        </w:rPr>
        <w:t>o corresponde</w:t>
      </w:r>
      <w:r w:rsidRPr="002F50BD">
        <w:rPr>
          <w:rFonts w:ascii="Verdana" w:hAnsi="Verdana"/>
          <w:sz w:val="20"/>
          <w:lang w:val="pt-BR"/>
        </w:rPr>
        <w:t xml:space="preserve"> à </w:t>
      </w:r>
      <w:r w:rsidR="004756C1" w:rsidRPr="002F50BD">
        <w:rPr>
          <w:rFonts w:ascii="Verdana" w:hAnsi="Verdana"/>
          <w:sz w:val="20"/>
          <w:lang w:val="pt-BR"/>
        </w:rPr>
        <w:t xml:space="preserve">medida menos </w:t>
      </w:r>
      <w:r w:rsidRPr="002F50BD">
        <w:rPr>
          <w:rFonts w:ascii="Verdana" w:hAnsi="Verdana"/>
          <w:sz w:val="20"/>
          <w:lang w:val="pt-BR"/>
        </w:rPr>
        <w:t>restritiv</w:t>
      </w:r>
      <w:r w:rsidR="004756C1" w:rsidRPr="002F50BD">
        <w:rPr>
          <w:rFonts w:ascii="Verdana" w:hAnsi="Verdana"/>
          <w:sz w:val="20"/>
          <w:lang w:val="pt-BR"/>
        </w:rPr>
        <w:t xml:space="preserve">a </w:t>
      </w:r>
      <w:r w:rsidRPr="002F50BD">
        <w:rPr>
          <w:rFonts w:ascii="Verdana" w:hAnsi="Verdana"/>
          <w:sz w:val="20"/>
          <w:lang w:val="pt-BR"/>
        </w:rPr>
        <w:t>do direito,</w:t>
      </w:r>
      <w:r w:rsidR="004076AD" w:rsidRPr="002F50BD">
        <w:rPr>
          <w:rFonts w:ascii="Verdana" w:hAnsi="Verdana"/>
          <w:sz w:val="20"/>
          <w:lang w:val="pt-BR"/>
        </w:rPr>
        <w:t xml:space="preserve"> já </w:t>
      </w:r>
      <w:r w:rsidR="004756C1" w:rsidRPr="002F50BD">
        <w:rPr>
          <w:rFonts w:ascii="Verdana" w:hAnsi="Verdana"/>
          <w:sz w:val="20"/>
          <w:lang w:val="pt-BR"/>
        </w:rPr>
        <w:t>que sacrificar</w:t>
      </w:r>
      <w:r w:rsidRPr="002F50BD">
        <w:rPr>
          <w:rFonts w:ascii="Verdana" w:hAnsi="Verdana"/>
          <w:sz w:val="20"/>
          <w:lang w:val="pt-BR"/>
        </w:rPr>
        <w:t xml:space="preserve"> o direito</w:t>
      </w:r>
      <w:r w:rsidR="004756C1" w:rsidRPr="002F50BD">
        <w:rPr>
          <w:rFonts w:ascii="Verdana" w:hAnsi="Verdana"/>
          <w:sz w:val="20"/>
          <w:lang w:val="pt-BR"/>
        </w:rPr>
        <w:t xml:space="preserve"> de </w:t>
      </w:r>
      <w:r w:rsidRPr="002F50BD">
        <w:rPr>
          <w:rFonts w:ascii="Verdana" w:hAnsi="Verdana"/>
          <w:sz w:val="20"/>
          <w:lang w:val="pt-BR"/>
        </w:rPr>
        <w:t xml:space="preserve">propriedade da Comunidade </w:t>
      </w:r>
      <w:r w:rsidR="004756C1" w:rsidRPr="002F50BD">
        <w:rPr>
          <w:rFonts w:ascii="Verdana" w:hAnsi="Verdana"/>
          <w:sz w:val="20"/>
          <w:lang w:val="pt-BR"/>
        </w:rPr>
        <w:t xml:space="preserve">Yakye Axa </w:t>
      </w:r>
      <w:r w:rsidR="00B0045F" w:rsidRPr="002F50BD">
        <w:rPr>
          <w:rFonts w:ascii="Verdana" w:hAnsi="Verdana"/>
          <w:sz w:val="20"/>
          <w:lang w:val="pt-BR"/>
        </w:rPr>
        <w:t>à</w:t>
      </w:r>
      <w:r w:rsidR="004756C1" w:rsidRPr="002F50BD">
        <w:rPr>
          <w:rFonts w:ascii="Verdana" w:hAnsi="Verdana"/>
          <w:sz w:val="20"/>
          <w:lang w:val="pt-BR"/>
        </w:rPr>
        <w:t xml:space="preserve">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w:t>
      </w:r>
      <w:r w:rsidR="003F646C" w:rsidRPr="002F50BD">
        <w:rPr>
          <w:rFonts w:ascii="Verdana" w:hAnsi="Verdana"/>
          <w:sz w:val="20"/>
          <w:lang w:val="pt-BR"/>
        </w:rPr>
        <w:t>com o propósito de</w:t>
      </w:r>
      <w:r w:rsidR="004756C1" w:rsidRPr="002F50BD">
        <w:rPr>
          <w:rFonts w:ascii="Verdana" w:hAnsi="Verdana"/>
          <w:sz w:val="20"/>
          <w:lang w:val="pt-BR"/>
        </w:rPr>
        <w:t xml:space="preserve"> tutelar</w:t>
      </w:r>
      <w:r w:rsidRPr="002F50BD">
        <w:rPr>
          <w:rFonts w:ascii="Verdana" w:hAnsi="Verdana"/>
          <w:sz w:val="20"/>
          <w:lang w:val="pt-BR"/>
        </w:rPr>
        <w:t xml:space="preserve"> uma </w:t>
      </w:r>
      <w:r w:rsidR="004756C1" w:rsidRPr="002F50BD">
        <w:rPr>
          <w:rFonts w:ascii="Verdana" w:hAnsi="Verdana"/>
          <w:sz w:val="20"/>
          <w:lang w:val="pt-BR"/>
        </w:rPr>
        <w:t>particular no</w:t>
      </w:r>
      <w:r w:rsidRPr="002F50BD">
        <w:rPr>
          <w:rFonts w:ascii="Verdana" w:hAnsi="Verdana"/>
          <w:sz w:val="20"/>
          <w:lang w:val="pt-BR"/>
        </w:rPr>
        <w:t>ção</w:t>
      </w:r>
      <w:r w:rsidR="004756C1" w:rsidRPr="002F50BD">
        <w:rPr>
          <w:rFonts w:ascii="Verdana" w:hAnsi="Verdana"/>
          <w:sz w:val="20"/>
          <w:lang w:val="pt-BR"/>
        </w:rPr>
        <w:t xml:space="preserve"> de produtividad</w:t>
      </w:r>
      <w:r w:rsidR="00B0045F" w:rsidRPr="002F50BD">
        <w:rPr>
          <w:rFonts w:ascii="Verdana" w:hAnsi="Verdana"/>
          <w:sz w:val="20"/>
          <w:lang w:val="pt-BR"/>
        </w:rPr>
        <w:t>e</w:t>
      </w:r>
      <w:r w:rsidRPr="002F50BD">
        <w:rPr>
          <w:rFonts w:ascii="Verdana" w:hAnsi="Verdana"/>
          <w:sz w:val="20"/>
          <w:lang w:val="pt-BR"/>
        </w:rPr>
        <w:t xml:space="preserve"> da propriedade</w:t>
      </w:r>
      <w:r w:rsidR="004756C1" w:rsidRPr="002F50BD">
        <w:rPr>
          <w:rFonts w:ascii="Verdana" w:hAnsi="Verdana"/>
          <w:sz w:val="20"/>
          <w:lang w:val="pt-BR"/>
        </w:rPr>
        <w:t xml:space="preserve"> privada implica </w:t>
      </w:r>
      <w:r w:rsidR="003F646C" w:rsidRPr="002F50BD">
        <w:rPr>
          <w:rFonts w:ascii="Verdana" w:hAnsi="Verdana"/>
          <w:sz w:val="20"/>
          <w:lang w:val="pt-BR"/>
        </w:rPr>
        <w:t xml:space="preserve">em </w:t>
      </w:r>
      <w:r w:rsidR="004756C1" w:rsidRPr="002F50BD">
        <w:rPr>
          <w:rFonts w:ascii="Verdana" w:hAnsi="Verdana"/>
          <w:sz w:val="20"/>
          <w:lang w:val="pt-BR"/>
        </w:rPr>
        <w:t>sacrificar</w:t>
      </w:r>
      <w:r w:rsidRPr="002F50BD">
        <w:rPr>
          <w:rFonts w:ascii="Verdana" w:hAnsi="Verdana"/>
          <w:sz w:val="20"/>
          <w:lang w:val="pt-BR"/>
        </w:rPr>
        <w:t xml:space="preserve"> a </w:t>
      </w:r>
      <w:r w:rsidR="00B0045F" w:rsidRPr="002F50BD">
        <w:rPr>
          <w:rFonts w:ascii="Verdana" w:hAnsi="Verdana"/>
          <w:sz w:val="20"/>
          <w:lang w:val="pt-BR"/>
        </w:rPr>
        <w:t xml:space="preserve">própria </w:t>
      </w:r>
      <w:r w:rsidRPr="002F50BD">
        <w:rPr>
          <w:rFonts w:ascii="Verdana" w:hAnsi="Verdana"/>
          <w:sz w:val="20"/>
          <w:lang w:val="pt-BR"/>
        </w:rPr>
        <w:t>existência</w:t>
      </w:r>
      <w:r w:rsidR="004756C1"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e</w:t>
      </w:r>
      <w:r w:rsidR="004756C1" w:rsidRPr="002F50BD">
        <w:rPr>
          <w:rFonts w:ascii="Verdana" w:hAnsi="Verdana"/>
          <w:sz w:val="20"/>
          <w:lang w:val="pt-BR"/>
        </w:rPr>
        <w:t xml:space="preserve"> n</w:t>
      </w:r>
      <w:r w:rsidR="00B0045F" w:rsidRPr="002F50BD">
        <w:rPr>
          <w:rFonts w:ascii="Verdana" w:hAnsi="Verdana"/>
          <w:sz w:val="20"/>
          <w:lang w:val="pt-BR"/>
        </w:rPr>
        <w:t>ã</w:t>
      </w:r>
      <w:r w:rsidR="004756C1" w:rsidRPr="002F50BD">
        <w:rPr>
          <w:rFonts w:ascii="Verdana" w:hAnsi="Verdana"/>
          <w:sz w:val="20"/>
          <w:lang w:val="pt-BR"/>
        </w:rPr>
        <w:t xml:space="preserve">o </w:t>
      </w:r>
      <w:r w:rsidR="00AB454A" w:rsidRPr="002F50BD">
        <w:rPr>
          <w:rFonts w:ascii="Verdana" w:hAnsi="Verdana"/>
          <w:sz w:val="20"/>
          <w:lang w:val="pt-BR"/>
        </w:rPr>
        <w:t>garante</w:t>
      </w:r>
      <w:r w:rsidR="004756C1" w:rsidRPr="002F50BD">
        <w:rPr>
          <w:rFonts w:ascii="Verdana" w:hAnsi="Verdana"/>
          <w:sz w:val="20"/>
          <w:lang w:val="pt-BR"/>
        </w:rPr>
        <w:t xml:space="preserve"> tam</w:t>
      </w:r>
      <w:r w:rsidRPr="002F50BD">
        <w:rPr>
          <w:rFonts w:ascii="Verdana" w:hAnsi="Verdana"/>
          <w:sz w:val="20"/>
          <w:lang w:val="pt-BR"/>
        </w:rPr>
        <w:t xml:space="preserve">pouco o interesse </w:t>
      </w:r>
      <w:r w:rsidR="004756C1" w:rsidRPr="002F50BD">
        <w:rPr>
          <w:rFonts w:ascii="Verdana" w:hAnsi="Verdana"/>
          <w:sz w:val="20"/>
          <w:lang w:val="pt-BR"/>
        </w:rPr>
        <w:t>social</w:t>
      </w:r>
      <w:r w:rsidRPr="002F50BD">
        <w:rPr>
          <w:rFonts w:ascii="Verdana" w:hAnsi="Verdana"/>
          <w:sz w:val="20"/>
          <w:lang w:val="pt-BR"/>
        </w:rPr>
        <w:t xml:space="preserve"> em uma sociedade </w:t>
      </w:r>
      <w:r w:rsidR="004756C1" w:rsidRPr="002F50BD">
        <w:rPr>
          <w:rFonts w:ascii="Verdana" w:hAnsi="Verdana"/>
          <w:sz w:val="20"/>
          <w:lang w:val="pt-BR"/>
        </w:rPr>
        <w:t>democrática</w:t>
      </w:r>
      <w:r w:rsidRPr="002F50BD">
        <w:rPr>
          <w:rFonts w:ascii="Verdana" w:hAnsi="Verdana"/>
          <w:sz w:val="20"/>
          <w:lang w:val="pt-BR"/>
        </w:rPr>
        <w:t xml:space="preserve"> e </w:t>
      </w:r>
      <w:r w:rsidR="004756C1" w:rsidRPr="002F50BD">
        <w:rPr>
          <w:rFonts w:ascii="Verdana" w:hAnsi="Verdana"/>
          <w:sz w:val="20"/>
          <w:lang w:val="pt-BR"/>
        </w:rPr>
        <w:t>pluralista</w:t>
      </w:r>
      <w:r w:rsidRPr="002F50BD">
        <w:rPr>
          <w:rFonts w:ascii="Verdana" w:hAnsi="Verdana"/>
          <w:sz w:val="20"/>
          <w:lang w:val="pt-BR"/>
        </w:rPr>
        <w:t xml:space="preserve"> no </w:t>
      </w:r>
      <w:r w:rsidR="004756C1" w:rsidRPr="002F50BD">
        <w:rPr>
          <w:rFonts w:ascii="Verdana" w:hAnsi="Verdana"/>
          <w:sz w:val="20"/>
          <w:lang w:val="pt-BR"/>
        </w:rPr>
        <w:t>marco</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Alegações</w:t>
      </w:r>
      <w:r w:rsidR="004756C1" w:rsidRPr="002F50BD">
        <w:rPr>
          <w:rFonts w:ascii="Verdana" w:hAnsi="Verdana"/>
          <w:i/>
          <w:sz w:val="20"/>
        </w:rPr>
        <w:t xml:space="preserve"> </w:t>
      </w:r>
      <w:r w:rsidRPr="002F50BD">
        <w:rPr>
          <w:rFonts w:ascii="Verdana" w:hAnsi="Verdana"/>
          <w:i/>
          <w:sz w:val="20"/>
        </w:rPr>
        <w:t xml:space="preserve">do </w:t>
      </w:r>
      <w:r w:rsidR="004756C1" w:rsidRPr="002F50BD">
        <w:rPr>
          <w:rFonts w:ascii="Verdana" w:hAnsi="Verdana"/>
          <w:i/>
          <w:sz w:val="20"/>
        </w:rPr>
        <w:t>Estado</w:t>
      </w:r>
    </w:p>
    <w:p w:rsidR="004756C1" w:rsidRPr="002F50BD" w:rsidRDefault="004756C1">
      <w:pPr>
        <w:jc w:val="both"/>
        <w:rPr>
          <w:rFonts w:ascii="Verdana" w:hAnsi="Verdana"/>
          <w:i/>
          <w:sz w:val="20"/>
        </w:rPr>
      </w:pPr>
    </w:p>
    <w:p w:rsidR="004756C1" w:rsidRPr="002F50BD" w:rsidRDefault="00F46680">
      <w:pPr>
        <w:numPr>
          <w:ilvl w:val="0"/>
          <w:numId w:val="28"/>
        </w:numPr>
        <w:tabs>
          <w:tab w:val="left" w:pos="360"/>
        </w:tabs>
        <w:jc w:val="both"/>
        <w:rPr>
          <w:rFonts w:ascii="Verdana" w:hAnsi="Verdana"/>
          <w:sz w:val="20"/>
          <w:lang w:val="pt-BR"/>
        </w:rPr>
      </w:pPr>
      <w:r w:rsidRPr="002F50BD">
        <w:rPr>
          <w:rFonts w:ascii="Verdana" w:hAnsi="Verdana"/>
          <w:sz w:val="20"/>
          <w:lang w:val="pt-BR"/>
        </w:rPr>
        <w:t xml:space="preserve">Quanto </w:t>
      </w:r>
      <w:r w:rsidR="0089298C" w:rsidRPr="002F50BD">
        <w:rPr>
          <w:rFonts w:ascii="Verdana" w:hAnsi="Verdana"/>
          <w:sz w:val="20"/>
          <w:lang w:val="pt-BR"/>
        </w:rPr>
        <w:t>ao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argumentou</w:t>
      </w:r>
      <w:r w:rsidR="004756C1" w:rsidRPr="002F50BD">
        <w:rPr>
          <w:rFonts w:ascii="Verdana" w:hAnsi="Verdana"/>
          <w:sz w:val="20"/>
          <w:lang w:val="pt-BR"/>
        </w:rPr>
        <w:t xml:space="preserve"> que:</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instrumento de re</w:t>
      </w:r>
      <w:r w:rsidRPr="002F50BD">
        <w:rPr>
          <w:rFonts w:ascii="Verdana" w:hAnsi="Verdana"/>
          <w:sz w:val="20"/>
          <w:lang w:val="pt-BR"/>
        </w:rPr>
        <w:t>conhecimento da competência</w:t>
      </w:r>
      <w:r w:rsidR="004756C1" w:rsidRPr="002F50BD">
        <w:rPr>
          <w:rFonts w:ascii="Verdana" w:hAnsi="Verdana"/>
          <w:sz w:val="20"/>
          <w:lang w:val="pt-BR"/>
        </w:rPr>
        <w:t xml:space="preserve"> contenciosa</w:t>
      </w:r>
      <w:r w:rsidRPr="002F50BD">
        <w:rPr>
          <w:rFonts w:ascii="Verdana" w:hAnsi="Verdana"/>
          <w:sz w:val="20"/>
          <w:lang w:val="pt-BR"/>
        </w:rPr>
        <w:t xml:space="preserve"> da </w:t>
      </w:r>
      <w:r w:rsidR="004756C1" w:rsidRPr="002F50BD">
        <w:rPr>
          <w:rFonts w:ascii="Verdana" w:hAnsi="Verdana"/>
          <w:sz w:val="20"/>
          <w:lang w:val="pt-BR"/>
        </w:rPr>
        <w:t>Corte Interamericana</w:t>
      </w:r>
      <w:r w:rsidRPr="002F50BD">
        <w:rPr>
          <w:rFonts w:ascii="Verdana" w:hAnsi="Verdana"/>
          <w:sz w:val="20"/>
          <w:lang w:val="pt-BR"/>
        </w:rPr>
        <w:t xml:space="preserve"> é </w:t>
      </w:r>
      <w:r w:rsidR="004756C1" w:rsidRPr="002F50BD">
        <w:rPr>
          <w:rFonts w:ascii="Verdana" w:hAnsi="Verdana"/>
          <w:sz w:val="20"/>
          <w:lang w:val="pt-BR"/>
        </w:rPr>
        <w:t xml:space="preserve">suficientemente claro </w:t>
      </w:r>
      <w:r w:rsidRPr="002F50BD">
        <w:rPr>
          <w:rFonts w:ascii="Verdana" w:hAnsi="Verdana"/>
          <w:sz w:val="20"/>
          <w:lang w:val="pt-BR"/>
        </w:rPr>
        <w:t>quando</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r w:rsidRPr="002F50BD">
        <w:rPr>
          <w:rFonts w:ascii="Verdana" w:hAnsi="Verdana"/>
          <w:sz w:val="20"/>
          <w:lang w:val="pt-BR"/>
        </w:rPr>
        <w:t xml:space="preserve"> os fatos</w:t>
      </w:r>
      <w:r w:rsidR="004756C1" w:rsidRPr="002F50BD">
        <w:rPr>
          <w:rFonts w:ascii="Verdana" w:hAnsi="Verdana"/>
          <w:sz w:val="20"/>
          <w:lang w:val="pt-BR"/>
        </w:rPr>
        <w:t xml:space="preserve"> a ser</w:t>
      </w:r>
      <w:r w:rsidR="00B0045F" w:rsidRPr="002F50BD">
        <w:rPr>
          <w:rFonts w:ascii="Verdana" w:hAnsi="Verdana"/>
          <w:sz w:val="20"/>
          <w:lang w:val="pt-BR"/>
        </w:rPr>
        <w:t>em</w:t>
      </w:r>
      <w:r w:rsidR="004756C1" w:rsidRPr="002F50BD">
        <w:rPr>
          <w:rFonts w:ascii="Verdana" w:hAnsi="Verdana"/>
          <w:sz w:val="20"/>
          <w:lang w:val="pt-BR"/>
        </w:rPr>
        <w:t xml:space="preserve"> </w:t>
      </w:r>
      <w:r w:rsidRPr="002F50BD">
        <w:rPr>
          <w:rFonts w:ascii="Verdana" w:hAnsi="Verdana"/>
          <w:sz w:val="20"/>
          <w:lang w:val="pt-BR"/>
        </w:rPr>
        <w:t>julgados</w:t>
      </w:r>
      <w:r w:rsidR="004756C1" w:rsidRPr="002F50BD">
        <w:rPr>
          <w:rFonts w:ascii="Verdana" w:hAnsi="Verdana"/>
          <w:sz w:val="20"/>
          <w:lang w:val="pt-BR"/>
        </w:rPr>
        <w:t xml:space="preserve"> por este Tribunal,</w:t>
      </w:r>
      <w:r w:rsidRPr="002F50BD">
        <w:rPr>
          <w:rFonts w:ascii="Verdana" w:hAnsi="Verdana"/>
          <w:sz w:val="20"/>
          <w:lang w:val="pt-BR"/>
        </w:rPr>
        <w:t xml:space="preserve"> à </w:t>
      </w:r>
      <w:r w:rsidR="004756C1" w:rsidRPr="002F50BD">
        <w:rPr>
          <w:rFonts w:ascii="Verdana" w:hAnsi="Verdana"/>
          <w:sz w:val="20"/>
          <w:lang w:val="pt-BR"/>
        </w:rPr>
        <w:t>luz</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devem</w:t>
      </w:r>
      <w:r w:rsidR="004756C1" w:rsidRPr="002F50BD">
        <w:rPr>
          <w:rFonts w:ascii="Verdana" w:hAnsi="Verdana"/>
          <w:sz w:val="20"/>
          <w:lang w:val="pt-BR"/>
        </w:rPr>
        <w:t xml:space="preserve"> ser posteriores</w:t>
      </w:r>
      <w:r w:rsidRPr="002F50BD">
        <w:rPr>
          <w:rFonts w:ascii="Verdana" w:hAnsi="Verdana"/>
          <w:sz w:val="20"/>
          <w:lang w:val="pt-BR"/>
        </w:rPr>
        <w:t xml:space="preserve"> à </w:t>
      </w:r>
      <w:r w:rsidR="004756C1" w:rsidRPr="002F50BD">
        <w:rPr>
          <w:rFonts w:ascii="Verdana" w:hAnsi="Verdana"/>
          <w:sz w:val="20"/>
          <w:lang w:val="pt-BR"/>
        </w:rPr>
        <w:t>ratifica</w:t>
      </w:r>
      <w:r w:rsidRPr="002F50BD">
        <w:rPr>
          <w:rFonts w:ascii="Verdana" w:hAnsi="Verdana"/>
          <w:sz w:val="20"/>
          <w:lang w:val="pt-BR"/>
        </w:rPr>
        <w:t>ção</w:t>
      </w:r>
      <w:r w:rsidR="004756C1" w:rsidRPr="002F50BD">
        <w:rPr>
          <w:rFonts w:ascii="Verdana" w:hAnsi="Verdana"/>
          <w:sz w:val="20"/>
          <w:lang w:val="pt-BR"/>
        </w:rPr>
        <w:t xml:space="preserve"> </w:t>
      </w:r>
      <w:r w:rsidR="00B0045F" w:rsidRPr="002F50BD">
        <w:rPr>
          <w:rFonts w:ascii="Verdana" w:hAnsi="Verdana"/>
          <w:sz w:val="20"/>
          <w:lang w:val="pt-BR"/>
        </w:rPr>
        <w:t>realizada em</w:t>
      </w:r>
      <w:r w:rsidRPr="002F50BD">
        <w:rPr>
          <w:rFonts w:ascii="Verdana" w:hAnsi="Verdana"/>
          <w:sz w:val="20"/>
          <w:lang w:val="pt-BR"/>
        </w:rPr>
        <w:t xml:space="preserve"> </w:t>
      </w:r>
      <w:r w:rsidR="00063B47" w:rsidRPr="002F50BD">
        <w:rPr>
          <w:rFonts w:ascii="Verdana" w:hAnsi="Verdana"/>
          <w:sz w:val="20"/>
          <w:lang w:val="pt-BR"/>
        </w:rPr>
        <w:t>11</w:t>
      </w:r>
      <w:r w:rsidR="004756C1" w:rsidRPr="002F50BD">
        <w:rPr>
          <w:rFonts w:ascii="Verdana" w:hAnsi="Verdana"/>
          <w:sz w:val="20"/>
          <w:lang w:val="pt-BR"/>
        </w:rPr>
        <w:t xml:space="preserve"> de </w:t>
      </w:r>
      <w:r w:rsidRPr="002F50BD">
        <w:rPr>
          <w:rFonts w:ascii="Verdana" w:hAnsi="Verdana"/>
          <w:sz w:val="20"/>
          <w:lang w:val="pt-BR"/>
        </w:rPr>
        <w:t>março</w:t>
      </w:r>
      <w:r w:rsidR="004756C1" w:rsidRPr="002F50BD">
        <w:rPr>
          <w:rFonts w:ascii="Verdana" w:hAnsi="Verdana"/>
          <w:sz w:val="20"/>
          <w:lang w:val="pt-BR"/>
        </w:rPr>
        <w:t xml:space="preserve"> de </w:t>
      </w:r>
      <w:r w:rsidR="00063B47" w:rsidRPr="002F50BD">
        <w:rPr>
          <w:rFonts w:ascii="Verdana" w:hAnsi="Verdana"/>
          <w:sz w:val="20"/>
          <w:lang w:val="pt-BR"/>
        </w:rPr>
        <w:t>1993</w:t>
      </w:r>
      <w:r w:rsidR="00CD7100" w:rsidRPr="002F50BD">
        <w:rPr>
          <w:rFonts w:ascii="Verdana" w:hAnsi="Verdana"/>
          <w:sz w:val="20"/>
          <w:lang w:val="pt-BR"/>
        </w:rPr>
        <w:t>. Em</w:t>
      </w:r>
      <w:r w:rsidRPr="002F50BD">
        <w:rPr>
          <w:rFonts w:ascii="Verdana" w:hAnsi="Verdana"/>
          <w:sz w:val="20"/>
          <w:lang w:val="pt-BR"/>
        </w:rPr>
        <w:t xml:space="preserve"> consequência</w:t>
      </w:r>
      <w:r w:rsidR="004756C1" w:rsidRPr="002F50BD">
        <w:rPr>
          <w:rFonts w:ascii="Verdana" w:hAnsi="Verdana"/>
          <w:sz w:val="20"/>
          <w:lang w:val="pt-BR"/>
        </w:rPr>
        <w:t xml:space="preserve">, </w:t>
      </w:r>
      <w:r w:rsidR="00B92052" w:rsidRPr="002F50BD">
        <w:rPr>
          <w:rFonts w:ascii="Verdana" w:hAnsi="Verdana"/>
          <w:sz w:val="20"/>
          <w:lang w:val="pt-BR"/>
        </w:rPr>
        <w:t>são</w:t>
      </w:r>
      <w:r w:rsidR="004756C1" w:rsidRPr="002F50BD">
        <w:rPr>
          <w:rFonts w:ascii="Verdana" w:hAnsi="Verdana"/>
          <w:sz w:val="20"/>
          <w:lang w:val="pt-BR"/>
        </w:rPr>
        <w:t xml:space="preserve"> improcedentes</w:t>
      </w:r>
      <w:r w:rsidRPr="002F50BD">
        <w:rPr>
          <w:rFonts w:ascii="Verdana" w:hAnsi="Verdana"/>
          <w:sz w:val="20"/>
          <w:lang w:val="pt-BR"/>
        </w:rPr>
        <w:t xml:space="preserve"> os </w:t>
      </w:r>
      <w:r w:rsidR="004756C1" w:rsidRPr="002F50BD">
        <w:rPr>
          <w:rFonts w:ascii="Verdana" w:hAnsi="Verdana"/>
          <w:sz w:val="20"/>
          <w:lang w:val="pt-BR"/>
        </w:rPr>
        <w:t xml:space="preserve">argumentos históricos </w:t>
      </w:r>
      <w:r w:rsidR="00CF451D" w:rsidRPr="00CF451D">
        <w:rPr>
          <w:rFonts w:ascii="Verdana" w:hAnsi="Verdana"/>
          <w:sz w:val="20"/>
          <w:lang w:val="pt-BR"/>
        </w:rPr>
        <w:t>(</w:t>
      </w:r>
      <w:r w:rsidR="004756C1" w:rsidRPr="002F50BD">
        <w:rPr>
          <w:rFonts w:ascii="Verdana" w:hAnsi="Verdana"/>
          <w:sz w:val="20"/>
          <w:lang w:val="pt-BR"/>
        </w:rPr>
        <w:t>colonia</w:t>
      </w:r>
      <w:r w:rsidR="00B0045F" w:rsidRPr="002F50BD">
        <w:rPr>
          <w:rFonts w:ascii="Verdana" w:hAnsi="Verdana"/>
          <w:sz w:val="20"/>
          <w:lang w:val="pt-BR"/>
        </w:rPr>
        <w:t>i</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p</w:t>
      </w:r>
      <w:r w:rsidR="00B0045F" w:rsidRPr="002F50BD">
        <w:rPr>
          <w:rFonts w:ascii="Verdana" w:hAnsi="Verdana"/>
          <w:sz w:val="20"/>
          <w:lang w:val="pt-BR"/>
        </w:rPr>
        <w:t>ó</w:t>
      </w:r>
      <w:r w:rsidR="004756C1" w:rsidRPr="002F50BD">
        <w:rPr>
          <w:rFonts w:ascii="Verdana" w:hAnsi="Verdana"/>
          <w:sz w:val="20"/>
          <w:lang w:val="pt-BR"/>
        </w:rPr>
        <w:t>s-colonia</w:t>
      </w:r>
      <w:r w:rsidR="00B0045F" w:rsidRPr="002F50BD">
        <w:rPr>
          <w:rFonts w:ascii="Verdana" w:hAnsi="Verdana"/>
          <w:sz w:val="20"/>
          <w:lang w:val="pt-BR"/>
        </w:rPr>
        <w:t>i</w:t>
      </w:r>
      <w:r w:rsidR="004756C1" w:rsidRPr="002F50BD">
        <w:rPr>
          <w:rFonts w:ascii="Verdana" w:hAnsi="Verdana"/>
          <w:sz w:val="20"/>
          <w:lang w:val="pt-BR"/>
        </w:rPr>
        <w:t>s</w:t>
      </w:r>
      <w:r w:rsidR="00CF451D" w:rsidRPr="00CF451D">
        <w:rPr>
          <w:rFonts w:ascii="Verdana" w:hAnsi="Verdana"/>
          <w:sz w:val="20"/>
          <w:lang w:val="pt-BR"/>
        </w:rPr>
        <w:t>)</w:t>
      </w:r>
      <w:r w:rsidR="004756C1" w:rsidRPr="002F50BD">
        <w:rPr>
          <w:rFonts w:ascii="Verdana" w:hAnsi="Verdana"/>
          <w:sz w:val="20"/>
          <w:lang w:val="pt-BR"/>
        </w:rPr>
        <w:t xml:space="preserve"> </w:t>
      </w:r>
      <w:r w:rsidR="004076AD" w:rsidRPr="002F50BD">
        <w:rPr>
          <w:rFonts w:ascii="Verdana" w:hAnsi="Verdana"/>
          <w:sz w:val="20"/>
          <w:lang w:val="pt-BR"/>
        </w:rPr>
        <w:t>introduzid</w:t>
      </w:r>
      <w:r w:rsidR="004756C1" w:rsidRPr="002F50BD">
        <w:rPr>
          <w:rFonts w:ascii="Verdana" w:hAnsi="Verdana"/>
          <w:sz w:val="20"/>
          <w:lang w:val="pt-BR"/>
        </w:rPr>
        <w:t>os</w:t>
      </w:r>
      <w:r w:rsidRPr="002F50BD">
        <w:rPr>
          <w:rFonts w:ascii="Verdana" w:hAnsi="Verdana"/>
          <w:sz w:val="20"/>
          <w:lang w:val="pt-BR"/>
        </w:rPr>
        <w:t xml:space="preserve"> pela </w:t>
      </w:r>
      <w:r w:rsidR="004756C1" w:rsidRPr="002F50BD">
        <w:rPr>
          <w:rFonts w:ascii="Verdana" w:hAnsi="Verdana"/>
          <w:sz w:val="20"/>
          <w:lang w:val="pt-BR"/>
        </w:rPr>
        <w:t>parte demandante</w:t>
      </w:r>
      <w:r w:rsidRPr="002F50BD">
        <w:rPr>
          <w:rFonts w:ascii="Verdana" w:hAnsi="Verdana"/>
          <w:sz w:val="20"/>
          <w:lang w:val="pt-BR"/>
        </w:rPr>
        <w:t xml:space="preserve"> no </w:t>
      </w:r>
      <w:r w:rsidR="004756C1" w:rsidRPr="002F50BD">
        <w:rPr>
          <w:rFonts w:ascii="Verdana" w:hAnsi="Verdana"/>
          <w:sz w:val="20"/>
          <w:lang w:val="pt-BR"/>
        </w:rPr>
        <w:t>presente caso;</w:t>
      </w:r>
    </w:p>
    <w:p w:rsidR="004756C1" w:rsidRPr="002F50BD" w:rsidRDefault="004756C1">
      <w:pPr>
        <w:tabs>
          <w:tab w:val="left" w:pos="1080"/>
          <w:tab w:val="left" w:pos="6480"/>
        </w:tabs>
        <w:ind w:left="720"/>
        <w:jc w:val="both"/>
        <w:rPr>
          <w:rFonts w:ascii="Verdana" w:hAnsi="Verdana"/>
          <w:sz w:val="20"/>
          <w:lang w:val="pt-BR"/>
        </w:rPr>
      </w:pPr>
    </w:p>
    <w:p w:rsidR="004756C1" w:rsidRPr="002F50BD" w:rsidRDefault="00B0045F">
      <w:pPr>
        <w:numPr>
          <w:ilvl w:val="0"/>
          <w:numId w:val="11"/>
        </w:numPr>
        <w:tabs>
          <w:tab w:val="left" w:pos="1080"/>
          <w:tab w:val="left" w:pos="3420"/>
        </w:tabs>
        <w:ind w:left="720"/>
        <w:jc w:val="both"/>
        <w:rPr>
          <w:rFonts w:ascii="Verdana" w:hAnsi="Verdana"/>
          <w:sz w:val="20"/>
          <w:lang w:val="pt-BR"/>
        </w:rPr>
      </w:pPr>
      <w:r w:rsidRPr="002F50BD">
        <w:rPr>
          <w:rFonts w:ascii="Verdana" w:hAnsi="Verdana"/>
          <w:sz w:val="20"/>
          <w:lang w:val="pt-BR"/>
        </w:rPr>
        <w:t xml:space="preserve">Não </w:t>
      </w:r>
      <w:r w:rsidR="0089298C" w:rsidRPr="002F50BD">
        <w:rPr>
          <w:rFonts w:ascii="Verdana" w:hAnsi="Verdana"/>
          <w:sz w:val="20"/>
          <w:lang w:val="pt-BR"/>
        </w:rPr>
        <w:t>violou o direito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FE08B7">
        <w:rPr>
          <w:rFonts w:ascii="Verdana" w:hAnsi="Verdana"/>
          <w:sz w:val="20"/>
          <w:lang w:val="pt-BR"/>
        </w:rPr>
        <w:t xml:space="preserve"> </w:t>
      </w:r>
      <w:r w:rsidR="004756C1" w:rsidRPr="002F50BD">
        <w:rPr>
          <w:rFonts w:ascii="Verdana" w:hAnsi="Verdana"/>
          <w:sz w:val="20"/>
          <w:lang w:val="pt-BR"/>
        </w:rPr>
        <w:t>Re</w:t>
      </w:r>
      <w:r w:rsidR="0089298C" w:rsidRPr="002F50BD">
        <w:rPr>
          <w:rFonts w:ascii="Verdana" w:hAnsi="Verdana"/>
          <w:sz w:val="20"/>
          <w:lang w:val="pt-BR"/>
        </w:rPr>
        <w:t>conhece seu direito às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4756C1" w:rsidRPr="002F50BD">
        <w:rPr>
          <w:rFonts w:ascii="Verdana" w:hAnsi="Verdana"/>
          <w:sz w:val="20"/>
          <w:lang w:val="pt-BR"/>
        </w:rPr>
        <w:t xml:space="preserve">, que </w:t>
      </w:r>
      <w:r w:rsidRPr="002F50BD">
        <w:rPr>
          <w:rFonts w:ascii="Verdana" w:hAnsi="Verdana"/>
          <w:sz w:val="20"/>
          <w:lang w:val="pt-BR"/>
        </w:rPr>
        <w:t xml:space="preserve">incluem </w:t>
      </w:r>
      <w:r w:rsidR="0089298C" w:rsidRPr="002F50BD">
        <w:rPr>
          <w:rFonts w:ascii="Verdana" w:hAnsi="Verdana"/>
          <w:sz w:val="20"/>
          <w:lang w:val="pt-BR"/>
        </w:rPr>
        <w:t xml:space="preserve">uma </w:t>
      </w:r>
      <w:r w:rsidR="004756C1" w:rsidRPr="002F50BD">
        <w:rPr>
          <w:rFonts w:ascii="Verdana" w:hAnsi="Verdana"/>
          <w:sz w:val="20"/>
          <w:lang w:val="pt-BR"/>
        </w:rPr>
        <w:t xml:space="preserve">parte importante </w:t>
      </w:r>
      <w:r w:rsidR="0089298C" w:rsidRPr="002F50BD">
        <w:rPr>
          <w:rFonts w:ascii="Verdana" w:hAnsi="Verdana"/>
          <w:sz w:val="20"/>
          <w:lang w:val="pt-BR"/>
        </w:rPr>
        <w:t xml:space="preserve">do </w:t>
      </w:r>
      <w:r w:rsidR="004756C1" w:rsidRPr="002F50BD">
        <w:rPr>
          <w:rFonts w:ascii="Verdana" w:hAnsi="Verdana"/>
          <w:sz w:val="20"/>
          <w:lang w:val="pt-BR"/>
        </w:rPr>
        <w:t xml:space="preserve">vasto </w:t>
      </w:r>
      <w:r w:rsidR="0089298C" w:rsidRPr="002F50BD">
        <w:rPr>
          <w:rFonts w:ascii="Verdana" w:hAnsi="Verdana"/>
          <w:sz w:val="20"/>
          <w:lang w:val="pt-BR"/>
        </w:rPr>
        <w:t>território</w:t>
      </w:r>
      <w:r w:rsidR="004756C1" w:rsidRPr="002F50BD">
        <w:rPr>
          <w:rFonts w:ascii="Verdana" w:hAnsi="Verdana"/>
          <w:sz w:val="20"/>
          <w:lang w:val="pt-BR"/>
        </w:rPr>
        <w:t xml:space="preserve"> </w:t>
      </w:r>
      <w:r w:rsidR="004756C1" w:rsidRPr="002F50BD">
        <w:rPr>
          <w:rFonts w:ascii="Verdana" w:hAnsi="Verdana"/>
          <w:i/>
          <w:sz w:val="20"/>
          <w:lang w:val="pt-BR"/>
        </w:rPr>
        <w:t>chaqueño</w:t>
      </w:r>
      <w:r w:rsidR="0089298C" w:rsidRPr="002F50BD">
        <w:rPr>
          <w:rFonts w:ascii="Verdana" w:hAnsi="Verdana"/>
          <w:sz w:val="20"/>
          <w:lang w:val="pt-BR"/>
        </w:rPr>
        <w:t xml:space="preserve"> e </w:t>
      </w:r>
      <w:r w:rsidR="004756C1" w:rsidRPr="002F50BD">
        <w:rPr>
          <w:rFonts w:ascii="Verdana" w:hAnsi="Verdana"/>
          <w:sz w:val="20"/>
          <w:lang w:val="pt-BR"/>
        </w:rPr>
        <w:t xml:space="preserve">que </w:t>
      </w:r>
      <w:r w:rsidR="0089298C" w:rsidRPr="002F50BD">
        <w:rPr>
          <w:rFonts w:ascii="Verdana" w:hAnsi="Verdana"/>
          <w:sz w:val="20"/>
          <w:lang w:val="pt-BR"/>
        </w:rPr>
        <w:t xml:space="preserve">correspondem </w:t>
      </w:r>
      <w:r w:rsidR="004756C1" w:rsidRPr="002F50BD">
        <w:rPr>
          <w:rFonts w:ascii="Verdana" w:hAnsi="Verdana"/>
          <w:sz w:val="20"/>
          <w:lang w:val="pt-BR"/>
        </w:rPr>
        <w:t>a</w:t>
      </w:r>
      <w:r w:rsidR="0089298C" w:rsidRPr="002F50BD">
        <w:rPr>
          <w:rFonts w:ascii="Verdana" w:hAnsi="Verdana"/>
          <w:sz w:val="20"/>
          <w:lang w:val="pt-BR"/>
        </w:rPr>
        <w:t xml:space="preserve"> um espaço</w:t>
      </w:r>
      <w:r w:rsidR="004756C1" w:rsidRPr="002F50BD">
        <w:rPr>
          <w:rFonts w:ascii="Verdana" w:hAnsi="Verdana"/>
          <w:sz w:val="20"/>
          <w:lang w:val="pt-BR"/>
        </w:rPr>
        <w:t xml:space="preserve"> geográfico </w:t>
      </w:r>
      <w:r w:rsidR="0089298C" w:rsidRPr="002F50BD">
        <w:rPr>
          <w:rFonts w:ascii="Verdana" w:hAnsi="Verdana"/>
          <w:sz w:val="20"/>
          <w:lang w:val="pt-BR"/>
        </w:rPr>
        <w:t>muito</w:t>
      </w:r>
      <w:r w:rsidR="004756C1" w:rsidRPr="002F50BD">
        <w:rPr>
          <w:rFonts w:ascii="Verdana" w:hAnsi="Verdana"/>
          <w:sz w:val="20"/>
          <w:lang w:val="pt-BR"/>
        </w:rPr>
        <w:t xml:space="preserve"> </w:t>
      </w:r>
      <w:r w:rsidR="0089298C" w:rsidRPr="002F50BD">
        <w:rPr>
          <w:rFonts w:ascii="Verdana" w:hAnsi="Verdana"/>
          <w:sz w:val="20"/>
          <w:lang w:val="pt-BR"/>
        </w:rPr>
        <w:t xml:space="preserve">mais amplo </w:t>
      </w:r>
      <w:r w:rsidR="004756C1" w:rsidRPr="002F50BD">
        <w:rPr>
          <w:rFonts w:ascii="Verdana" w:hAnsi="Verdana"/>
          <w:sz w:val="20"/>
          <w:lang w:val="pt-BR"/>
        </w:rPr>
        <w:t>que</w:t>
      </w:r>
      <w:r w:rsidR="0089298C" w:rsidRPr="002F50BD">
        <w:rPr>
          <w:rFonts w:ascii="Verdana" w:hAnsi="Verdana"/>
          <w:sz w:val="20"/>
          <w:lang w:val="pt-BR"/>
        </w:rPr>
        <w:t xml:space="preserve"> o espaço</w:t>
      </w:r>
      <w:r w:rsidR="004756C1" w:rsidRPr="002F50BD">
        <w:rPr>
          <w:rFonts w:ascii="Verdana" w:hAnsi="Verdana"/>
          <w:sz w:val="20"/>
          <w:lang w:val="pt-BR"/>
        </w:rPr>
        <w:t xml:space="preserve"> reivindicado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89298C" w:rsidRPr="002F50BD">
        <w:rPr>
          <w:rFonts w:ascii="Verdana" w:hAnsi="Verdana"/>
          <w:sz w:val="20"/>
          <w:lang w:val="pt-BR"/>
        </w:rPr>
        <w:t>, e</w:t>
      </w:r>
      <w:r w:rsidR="00B92052"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tal sentido</w:t>
      </w:r>
      <w:r w:rsidR="00B92052"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veio </w:t>
      </w:r>
      <w:r w:rsidR="00AB454A" w:rsidRPr="002F50BD">
        <w:rPr>
          <w:rFonts w:ascii="Verdana" w:hAnsi="Verdana"/>
          <w:sz w:val="20"/>
          <w:lang w:val="pt-BR"/>
        </w:rPr>
        <w:t>atua</w:t>
      </w:r>
      <w:r w:rsidR="004756C1" w:rsidRPr="002F50BD">
        <w:rPr>
          <w:rFonts w:ascii="Verdana" w:hAnsi="Verdana"/>
          <w:sz w:val="20"/>
          <w:lang w:val="pt-BR"/>
        </w:rPr>
        <w:t xml:space="preserve">ndo diligentemente para </w:t>
      </w:r>
      <w:r w:rsidRPr="002F50BD">
        <w:rPr>
          <w:rFonts w:ascii="Verdana" w:hAnsi="Verdana"/>
          <w:sz w:val="20"/>
          <w:lang w:val="pt-BR"/>
        </w:rPr>
        <w:t xml:space="preserve">encontrar </w:t>
      </w:r>
      <w:r w:rsidR="0089298C" w:rsidRPr="002F50BD">
        <w:rPr>
          <w:rFonts w:ascii="Verdana" w:hAnsi="Verdana"/>
          <w:sz w:val="20"/>
          <w:lang w:val="pt-BR"/>
        </w:rPr>
        <w:t xml:space="preserve">o caminho </w:t>
      </w:r>
      <w:r w:rsidR="004756C1" w:rsidRPr="002F50BD">
        <w:rPr>
          <w:rFonts w:ascii="Verdana" w:hAnsi="Verdana"/>
          <w:sz w:val="20"/>
          <w:lang w:val="pt-BR"/>
        </w:rPr>
        <w:t>para</w:t>
      </w:r>
      <w:r w:rsidR="0089298C" w:rsidRPr="002F50BD">
        <w:rPr>
          <w:rFonts w:ascii="Verdana" w:hAnsi="Verdana"/>
          <w:sz w:val="20"/>
          <w:lang w:val="pt-BR"/>
        </w:rPr>
        <w:t xml:space="preserve"> esse </w:t>
      </w:r>
      <w:r w:rsidR="004756C1" w:rsidRPr="002F50BD">
        <w:rPr>
          <w:rFonts w:ascii="Verdana" w:hAnsi="Verdana"/>
          <w:sz w:val="20"/>
          <w:lang w:val="pt-BR"/>
        </w:rPr>
        <w:t>fi</w:t>
      </w:r>
      <w:r w:rsidRPr="002F50BD">
        <w:rPr>
          <w:rFonts w:ascii="Verdana" w:hAnsi="Verdana"/>
          <w:sz w:val="20"/>
          <w:lang w:val="pt-BR"/>
        </w:rPr>
        <w:t>m</w:t>
      </w:r>
      <w:r w:rsidR="004756C1" w:rsidRPr="002F50BD">
        <w:rPr>
          <w:rFonts w:ascii="Verdana" w:hAnsi="Verdana"/>
          <w:sz w:val="20"/>
          <w:lang w:val="pt-BR"/>
        </w:rPr>
        <w:t>;</w:t>
      </w:r>
    </w:p>
    <w:p w:rsidR="004756C1" w:rsidRPr="002F50BD" w:rsidRDefault="004756C1">
      <w:pPr>
        <w:tabs>
          <w:tab w:val="left" w:pos="1080"/>
          <w:tab w:val="left" w:pos="3420"/>
        </w:tabs>
        <w:ind w:left="720"/>
        <w:jc w:val="both"/>
        <w:rPr>
          <w:rFonts w:ascii="Verdana" w:hAnsi="Verdana"/>
          <w:sz w:val="20"/>
          <w:lang w:val="pt-BR"/>
        </w:rPr>
      </w:pPr>
    </w:p>
    <w:p w:rsidR="004756C1" w:rsidRPr="002F50BD" w:rsidRDefault="00B0045F">
      <w:pPr>
        <w:numPr>
          <w:ilvl w:val="0"/>
          <w:numId w:val="11"/>
        </w:numPr>
        <w:tabs>
          <w:tab w:val="left" w:pos="1080"/>
        </w:tabs>
        <w:ind w:left="720"/>
        <w:jc w:val="both"/>
        <w:rPr>
          <w:rFonts w:ascii="Verdana" w:hAnsi="Verdana"/>
          <w:sz w:val="20"/>
          <w:lang w:val="pt-BR"/>
        </w:rPr>
      </w:pPr>
      <w:r w:rsidRPr="002F50BD">
        <w:rPr>
          <w:rFonts w:ascii="Verdana" w:hAnsi="Verdana"/>
          <w:sz w:val="20"/>
          <w:lang w:val="pt-BR"/>
        </w:rPr>
        <w:t>S</w:t>
      </w:r>
      <w:r w:rsidR="0089298C" w:rsidRPr="002F50BD">
        <w:rPr>
          <w:rFonts w:ascii="Verdana" w:hAnsi="Verdana"/>
          <w:sz w:val="20"/>
          <w:lang w:val="pt-BR"/>
        </w:rPr>
        <w:t xml:space="preserve">egundo o relatório </w:t>
      </w:r>
      <w:r w:rsidR="004756C1" w:rsidRPr="002F50BD">
        <w:rPr>
          <w:rFonts w:ascii="Verdana" w:hAnsi="Verdana"/>
          <w:sz w:val="20"/>
          <w:lang w:val="pt-BR"/>
        </w:rPr>
        <w:t xml:space="preserve">final </w:t>
      </w:r>
      <w:r w:rsidR="0089298C" w:rsidRPr="002F50BD">
        <w:rPr>
          <w:rFonts w:ascii="Verdana" w:hAnsi="Verdana"/>
          <w:sz w:val="20"/>
          <w:lang w:val="pt-BR"/>
        </w:rPr>
        <w:t xml:space="preserve">do </w:t>
      </w:r>
      <w:r w:rsidR="004756C1" w:rsidRPr="002F50BD">
        <w:rPr>
          <w:rFonts w:ascii="Verdana" w:hAnsi="Verdana"/>
          <w:sz w:val="20"/>
          <w:lang w:val="pt-BR"/>
        </w:rPr>
        <w:t xml:space="preserve">II Censo Nacional Indígena de </w:t>
      </w:r>
      <w:r w:rsidR="0089298C" w:rsidRPr="002F50BD">
        <w:rPr>
          <w:rFonts w:ascii="Verdana" w:hAnsi="Verdana"/>
          <w:sz w:val="20"/>
          <w:lang w:val="pt-BR"/>
        </w:rPr>
        <w:t xml:space="preserve">População e </w:t>
      </w:r>
      <w:r w:rsidRPr="002F50BD">
        <w:rPr>
          <w:rFonts w:ascii="Verdana" w:hAnsi="Verdana"/>
          <w:sz w:val="20"/>
          <w:lang w:val="pt-BR"/>
        </w:rPr>
        <w:t xml:space="preserve">Residências </w:t>
      </w:r>
      <w:r w:rsidR="00063B47" w:rsidRPr="002F50BD">
        <w:rPr>
          <w:rFonts w:ascii="Verdana" w:hAnsi="Verdana"/>
          <w:sz w:val="20"/>
          <w:lang w:val="pt-BR"/>
        </w:rPr>
        <w:t>2002</w:t>
      </w:r>
      <w:r w:rsidR="004756C1" w:rsidRPr="002F50BD">
        <w:rPr>
          <w:rFonts w:ascii="Verdana" w:hAnsi="Verdana"/>
          <w:sz w:val="20"/>
          <w:lang w:val="pt-BR"/>
        </w:rPr>
        <w:t>,</w:t>
      </w:r>
      <w:r w:rsidR="0089298C" w:rsidRPr="002F50BD">
        <w:rPr>
          <w:rFonts w:ascii="Verdana" w:hAnsi="Verdana"/>
          <w:sz w:val="20"/>
          <w:lang w:val="pt-BR"/>
        </w:rPr>
        <w:t xml:space="preserve"> a Comunidade </w:t>
      </w:r>
      <w:r w:rsidR="004756C1" w:rsidRPr="002F50BD">
        <w:rPr>
          <w:rFonts w:ascii="Verdana" w:hAnsi="Verdana"/>
          <w:sz w:val="20"/>
          <w:lang w:val="pt-BR"/>
        </w:rPr>
        <w:t>Yakye Axa forma parte</w:t>
      </w:r>
      <w:r w:rsidR="0089298C" w:rsidRPr="002F50BD">
        <w:rPr>
          <w:rFonts w:ascii="Verdana" w:hAnsi="Verdana"/>
          <w:sz w:val="20"/>
          <w:lang w:val="pt-BR"/>
        </w:rPr>
        <w:t xml:space="preserve"> da família </w:t>
      </w:r>
      <w:r w:rsidR="004756C1" w:rsidRPr="002F50BD">
        <w:rPr>
          <w:rFonts w:ascii="Verdana" w:hAnsi="Verdana"/>
          <w:sz w:val="20"/>
          <w:lang w:val="pt-BR"/>
        </w:rPr>
        <w:t>ling</w:t>
      </w:r>
      <w:r w:rsidR="003F3630">
        <w:rPr>
          <w:rFonts w:ascii="Verdana" w:hAnsi="Verdana"/>
          <w:sz w:val="20"/>
          <w:lang w:val="pt-BR"/>
        </w:rPr>
        <w:t>u</w:t>
      </w:r>
      <w:r w:rsidR="004756C1" w:rsidRPr="002F50BD">
        <w:rPr>
          <w:rFonts w:ascii="Verdana" w:hAnsi="Verdana"/>
          <w:sz w:val="20"/>
          <w:lang w:val="pt-BR"/>
        </w:rPr>
        <w:t xml:space="preserve">ística </w:t>
      </w:r>
      <w:r w:rsidR="00CD3DEB" w:rsidRPr="002F50BD">
        <w:rPr>
          <w:rFonts w:ascii="Verdana" w:hAnsi="Verdana"/>
          <w:sz w:val="20"/>
          <w:lang w:val="pt-BR"/>
        </w:rPr>
        <w:t>L</w:t>
      </w:r>
      <w:r w:rsidRPr="002F50BD">
        <w:rPr>
          <w:rFonts w:ascii="Verdana" w:hAnsi="Verdana"/>
          <w:sz w:val="20"/>
          <w:lang w:val="pt-BR"/>
        </w:rPr>
        <w:t>e</w:t>
      </w:r>
      <w:r w:rsidR="00CD3DEB" w:rsidRPr="002F50BD">
        <w:rPr>
          <w:rFonts w:ascii="Verdana" w:hAnsi="Verdana"/>
          <w:sz w:val="20"/>
          <w:lang w:val="pt-BR"/>
        </w:rPr>
        <w:t>ngua</w:t>
      </w:r>
      <w:r w:rsidR="004756C1" w:rsidRPr="002F50BD">
        <w:rPr>
          <w:rFonts w:ascii="Verdana" w:hAnsi="Verdana"/>
          <w:sz w:val="20"/>
          <w:lang w:val="pt-BR"/>
        </w:rPr>
        <w:t>-Maskoy, autodenominad</w:t>
      </w:r>
      <w:r w:rsidRPr="002F50BD">
        <w:rPr>
          <w:rFonts w:ascii="Verdana" w:hAnsi="Verdana"/>
          <w:sz w:val="20"/>
          <w:lang w:val="pt-BR"/>
        </w:rPr>
        <w:t>a</w:t>
      </w:r>
      <w:r w:rsidR="004756C1" w:rsidRPr="002F50BD">
        <w:rPr>
          <w:rFonts w:ascii="Verdana" w:hAnsi="Verdana"/>
          <w:sz w:val="20"/>
          <w:lang w:val="pt-BR"/>
        </w:rPr>
        <w:t xml:space="preserve"> Enxet-Sur. </w:t>
      </w:r>
      <w:r w:rsidRPr="002F50BD">
        <w:rPr>
          <w:rFonts w:ascii="Verdana" w:hAnsi="Verdana"/>
          <w:sz w:val="20"/>
          <w:lang w:val="pt-BR"/>
        </w:rPr>
        <w:t>S</w:t>
      </w:r>
      <w:r w:rsidR="0089298C" w:rsidRPr="002F50BD">
        <w:rPr>
          <w:rFonts w:ascii="Verdana" w:hAnsi="Verdana"/>
          <w:sz w:val="20"/>
          <w:lang w:val="pt-BR"/>
        </w:rPr>
        <w:t>e alguma</w:t>
      </w:r>
      <w:r w:rsidR="004756C1" w:rsidRPr="002F50BD">
        <w:rPr>
          <w:rFonts w:ascii="Verdana" w:hAnsi="Verdana"/>
          <w:sz w:val="20"/>
          <w:lang w:val="pt-BR"/>
        </w:rPr>
        <w:t xml:space="preserve"> vez</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desta Comunidade </w:t>
      </w:r>
      <w:r w:rsidR="004756C1" w:rsidRPr="002F50BD">
        <w:rPr>
          <w:rFonts w:ascii="Verdana" w:hAnsi="Verdana"/>
          <w:sz w:val="20"/>
          <w:lang w:val="pt-BR"/>
        </w:rPr>
        <w:t>indígena es</w:t>
      </w:r>
      <w:r w:rsidR="0089298C" w:rsidRPr="002F50BD">
        <w:rPr>
          <w:rFonts w:ascii="Verdana" w:hAnsi="Verdana"/>
          <w:sz w:val="20"/>
          <w:lang w:val="pt-BR"/>
        </w:rPr>
        <w:t xml:space="preserve">tiveram </w:t>
      </w:r>
      <w:r w:rsidRPr="002F50BD">
        <w:rPr>
          <w:rFonts w:ascii="Verdana" w:hAnsi="Verdana"/>
          <w:sz w:val="20"/>
          <w:lang w:val="pt-BR"/>
        </w:rPr>
        <w:t xml:space="preserve">no lote </w:t>
      </w:r>
      <w:r w:rsidR="004756C1" w:rsidRPr="002F50BD">
        <w:rPr>
          <w:rFonts w:ascii="Verdana" w:hAnsi="Verdana"/>
          <w:sz w:val="20"/>
          <w:lang w:val="pt-BR"/>
        </w:rPr>
        <w:t>que</w:t>
      </w:r>
      <w:r w:rsidR="0089298C" w:rsidRPr="002F50BD">
        <w:rPr>
          <w:rFonts w:ascii="Verdana" w:hAnsi="Verdana"/>
          <w:sz w:val="20"/>
          <w:lang w:val="pt-BR"/>
        </w:rPr>
        <w:t xml:space="preserve"> hoje </w:t>
      </w:r>
      <w:r w:rsidR="004756C1" w:rsidRPr="002F50BD">
        <w:rPr>
          <w:rFonts w:ascii="Verdana" w:hAnsi="Verdana"/>
          <w:sz w:val="20"/>
          <w:lang w:val="pt-BR"/>
        </w:rPr>
        <w:t>reiv</w:t>
      </w:r>
      <w:r w:rsidR="0089298C" w:rsidRPr="002F50BD">
        <w:rPr>
          <w:rFonts w:ascii="Verdana" w:hAnsi="Verdana"/>
          <w:sz w:val="20"/>
          <w:lang w:val="pt-BR"/>
        </w:rPr>
        <w:t>indicam</w:t>
      </w:r>
      <w:r w:rsidR="00B92052" w:rsidRPr="002F50BD">
        <w:rPr>
          <w:rFonts w:ascii="Verdana" w:hAnsi="Verdana"/>
          <w:sz w:val="20"/>
          <w:lang w:val="pt-BR"/>
        </w:rPr>
        <w:t xml:space="preserve"> -</w:t>
      </w:r>
      <w:r w:rsidR="004756C1" w:rsidRPr="002F50BD">
        <w:rPr>
          <w:rFonts w:ascii="Verdana" w:hAnsi="Verdana"/>
          <w:sz w:val="20"/>
          <w:lang w:val="pt-BR"/>
        </w:rPr>
        <w:t xml:space="preserve"> </w:t>
      </w:r>
      <w:r w:rsidR="00060B3A" w:rsidRPr="002F50BD">
        <w:rPr>
          <w:rFonts w:ascii="Verdana" w:hAnsi="Verdana"/>
          <w:i/>
          <w:sz w:val="20"/>
          <w:lang w:val="pt-BR"/>
        </w:rPr>
        <w:t>Estancia Loma Verde</w:t>
      </w:r>
      <w:r w:rsidR="004756C1" w:rsidRPr="002F50BD">
        <w:rPr>
          <w:rFonts w:ascii="Verdana" w:hAnsi="Verdana"/>
          <w:sz w:val="20"/>
          <w:lang w:val="pt-BR"/>
        </w:rPr>
        <w:t xml:space="preserve">, o </w:t>
      </w:r>
      <w:r w:rsidR="0089298C" w:rsidRPr="002F50BD">
        <w:rPr>
          <w:rFonts w:ascii="Verdana" w:hAnsi="Verdana"/>
          <w:sz w:val="20"/>
          <w:lang w:val="pt-BR"/>
        </w:rPr>
        <w:t>fizeram</w:t>
      </w:r>
      <w:r w:rsidR="004756C1" w:rsidRPr="002F50BD">
        <w:rPr>
          <w:rFonts w:ascii="Verdana" w:hAnsi="Verdana"/>
          <w:sz w:val="20"/>
          <w:lang w:val="pt-BR"/>
        </w:rPr>
        <w:t xml:space="preserve"> individualmente como “</w:t>
      </w:r>
      <w:r w:rsidRPr="002F50BD">
        <w:rPr>
          <w:rFonts w:ascii="Verdana" w:hAnsi="Verdana"/>
          <w:sz w:val="20"/>
          <w:lang w:val="pt-BR"/>
        </w:rPr>
        <w:t>peões</w:t>
      </w:r>
      <w:r w:rsidR="004756C1" w:rsidRPr="002F50BD">
        <w:rPr>
          <w:rFonts w:ascii="Verdana" w:hAnsi="Verdana"/>
          <w:sz w:val="20"/>
          <w:lang w:val="pt-BR"/>
        </w:rPr>
        <w:t>”</w:t>
      </w:r>
      <w:r w:rsidR="00CD7100" w:rsidRPr="002F50BD">
        <w:rPr>
          <w:rFonts w:ascii="Verdana" w:hAnsi="Verdana"/>
          <w:sz w:val="20"/>
          <w:lang w:val="pt-BR"/>
        </w:rPr>
        <w:t xml:space="preserve">. </w:t>
      </w:r>
      <w:r w:rsidRPr="002F50BD">
        <w:rPr>
          <w:rFonts w:ascii="Verdana" w:hAnsi="Verdana"/>
          <w:sz w:val="20"/>
          <w:lang w:val="pt-BR"/>
        </w:rPr>
        <w:t xml:space="preserve">Com </w:t>
      </w:r>
      <w:r w:rsidR="0089298C" w:rsidRPr="002F50BD">
        <w:rPr>
          <w:rFonts w:ascii="Verdana" w:hAnsi="Verdana"/>
          <w:sz w:val="20"/>
          <w:lang w:val="pt-BR"/>
        </w:rPr>
        <w:t>efeito</w:t>
      </w:r>
      <w:r w:rsidR="004756C1" w:rsidRPr="002F50BD">
        <w:rPr>
          <w:rFonts w:ascii="Verdana" w:hAnsi="Verdana"/>
          <w:sz w:val="20"/>
          <w:lang w:val="pt-BR"/>
        </w:rPr>
        <w:t xml:space="preserve">, </w:t>
      </w:r>
      <w:r w:rsidR="00FD2C38" w:rsidRPr="002F50BD">
        <w:rPr>
          <w:rFonts w:ascii="Verdana" w:hAnsi="Verdana"/>
          <w:sz w:val="20"/>
          <w:lang w:val="pt-BR"/>
        </w:rPr>
        <w:t>provou</w:t>
      </w:r>
      <w:r w:rsidRPr="002F50BD">
        <w:rPr>
          <w:rFonts w:ascii="Verdana" w:hAnsi="Verdana"/>
          <w:sz w:val="20"/>
          <w:lang w:val="pt-BR"/>
        </w:rPr>
        <w:t>-se</w:t>
      </w:r>
      <w:r w:rsidR="004756C1" w:rsidRPr="002F50BD">
        <w:rPr>
          <w:rFonts w:ascii="Verdana" w:hAnsi="Verdana"/>
          <w:sz w:val="20"/>
          <w:lang w:val="pt-BR"/>
        </w:rPr>
        <w:t xml:space="preserve"> que </w:t>
      </w:r>
      <w:r w:rsidR="0089298C" w:rsidRPr="002F50BD">
        <w:rPr>
          <w:rFonts w:ascii="Verdana" w:hAnsi="Verdana"/>
          <w:sz w:val="20"/>
          <w:lang w:val="pt-BR"/>
        </w:rPr>
        <w:t>muito</w:t>
      </w:r>
      <w:r w:rsidR="004756C1" w:rsidRPr="002F50BD">
        <w:rPr>
          <w:rFonts w:ascii="Verdana" w:hAnsi="Verdana"/>
          <w:sz w:val="20"/>
          <w:lang w:val="pt-BR"/>
        </w:rPr>
        <w:t>s</w:t>
      </w:r>
      <w:r w:rsidR="0089298C" w:rsidRPr="002F50BD">
        <w:rPr>
          <w:rFonts w:ascii="Verdana" w:hAnsi="Verdana"/>
          <w:sz w:val="20"/>
          <w:lang w:val="pt-BR"/>
        </w:rPr>
        <w:t xml:space="preserve"> dos </w:t>
      </w:r>
      <w:r w:rsidR="004756C1" w:rsidRPr="002F50BD">
        <w:rPr>
          <w:rFonts w:ascii="Verdana" w:hAnsi="Verdana"/>
          <w:sz w:val="20"/>
          <w:lang w:val="pt-BR"/>
        </w:rPr>
        <w:t>indígenas identificados como “</w:t>
      </w:r>
      <w:r w:rsidRPr="002F50BD">
        <w:rPr>
          <w:rFonts w:ascii="Verdana" w:hAnsi="Verdana"/>
          <w:sz w:val="20"/>
          <w:lang w:val="pt-BR"/>
        </w:rPr>
        <w:t>peões</w:t>
      </w:r>
      <w:r w:rsidR="004756C1" w:rsidRPr="002F50B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 xml:space="preserve">mencionada </w:t>
      </w:r>
      <w:r w:rsidR="004756C1" w:rsidRPr="002F50BD">
        <w:rPr>
          <w:rFonts w:ascii="Verdana" w:hAnsi="Verdana"/>
          <w:i/>
          <w:sz w:val="20"/>
          <w:lang w:val="pt-BR"/>
        </w:rPr>
        <w:t>Estancia</w:t>
      </w:r>
      <w:r w:rsidR="004756C1" w:rsidRPr="002F50BD">
        <w:rPr>
          <w:rFonts w:ascii="Verdana" w:hAnsi="Verdana"/>
          <w:sz w:val="20"/>
          <w:lang w:val="pt-BR"/>
        </w:rPr>
        <w:t xml:space="preserve"> </w:t>
      </w:r>
      <w:r w:rsidRPr="002F50BD">
        <w:rPr>
          <w:rFonts w:ascii="Verdana" w:hAnsi="Verdana"/>
          <w:sz w:val="20"/>
          <w:lang w:val="pt-BR"/>
        </w:rPr>
        <w:t xml:space="preserve">nasceram </w:t>
      </w:r>
      <w:r w:rsidR="0089298C" w:rsidRPr="002F50BD">
        <w:rPr>
          <w:rFonts w:ascii="Verdana" w:hAnsi="Verdana"/>
          <w:sz w:val="20"/>
          <w:lang w:val="pt-BR"/>
        </w:rPr>
        <w:t xml:space="preserve">em </w:t>
      </w:r>
      <w:r w:rsidR="004756C1" w:rsidRPr="002F50BD">
        <w:rPr>
          <w:rFonts w:ascii="Verdana" w:hAnsi="Verdana"/>
          <w:sz w:val="20"/>
          <w:lang w:val="pt-BR"/>
        </w:rPr>
        <w:t>lugares diversos. S</w:t>
      </w:r>
      <w:r w:rsidRPr="002F50BD">
        <w:rPr>
          <w:rFonts w:ascii="Verdana" w:hAnsi="Verdana"/>
          <w:sz w:val="20"/>
          <w:lang w:val="pt-BR"/>
        </w:rPr>
        <w:t>e</w:t>
      </w:r>
      <w:r w:rsidR="006603BE" w:rsidRPr="002F50BD">
        <w:rPr>
          <w:rFonts w:ascii="Verdana" w:hAnsi="Verdana"/>
          <w:sz w:val="20"/>
          <w:lang w:val="pt-BR"/>
        </w:rPr>
        <w:t>us ascend</w:t>
      </w:r>
      <w:r w:rsidR="004756C1" w:rsidRPr="002F50BD">
        <w:rPr>
          <w:rFonts w:ascii="Verdana" w:hAnsi="Verdana"/>
          <w:sz w:val="20"/>
          <w:lang w:val="pt-BR"/>
        </w:rPr>
        <w:t xml:space="preserve">entes </w:t>
      </w:r>
      <w:r w:rsidR="004076AD" w:rsidRPr="002F50BD">
        <w:rPr>
          <w:rFonts w:ascii="Verdana" w:hAnsi="Verdana"/>
          <w:sz w:val="20"/>
          <w:lang w:val="pt-BR"/>
        </w:rPr>
        <w:t>provavelmente</w:t>
      </w:r>
      <w:r w:rsidR="0089298C" w:rsidRPr="002F50BD">
        <w:rPr>
          <w:rFonts w:ascii="Verdana" w:hAnsi="Verdana"/>
          <w:sz w:val="20"/>
          <w:lang w:val="pt-BR"/>
        </w:rPr>
        <w:t xml:space="preserve"> viveram e </w:t>
      </w:r>
      <w:r w:rsidR="004756C1" w:rsidRPr="002F50BD">
        <w:rPr>
          <w:rFonts w:ascii="Verdana" w:hAnsi="Verdana"/>
          <w:sz w:val="20"/>
          <w:lang w:val="pt-BR"/>
        </w:rPr>
        <w:t>migrar</w:t>
      </w:r>
      <w:r w:rsidRPr="002F50BD">
        <w:rPr>
          <w:rFonts w:ascii="Verdana" w:hAnsi="Verdana"/>
          <w:sz w:val="20"/>
          <w:lang w:val="pt-BR"/>
        </w:rPr>
        <w:t>am</w:t>
      </w:r>
      <w:r w:rsidR="004756C1" w:rsidRPr="002F50BD">
        <w:rPr>
          <w:rFonts w:ascii="Verdana" w:hAnsi="Verdana"/>
          <w:sz w:val="20"/>
          <w:lang w:val="pt-BR"/>
        </w:rPr>
        <w:t xml:space="preserve"> internamente</w:t>
      </w:r>
      <w:r w:rsidR="0089298C" w:rsidRPr="002F50BD">
        <w:rPr>
          <w:rFonts w:ascii="Verdana" w:hAnsi="Verdana"/>
          <w:sz w:val="20"/>
          <w:lang w:val="pt-BR"/>
        </w:rPr>
        <w:t xml:space="preserve"> em um amplo território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Chaco Central, dentro </w:t>
      </w:r>
      <w:r w:rsidR="0089298C" w:rsidRPr="002F50BD">
        <w:rPr>
          <w:rFonts w:ascii="Verdana" w:hAnsi="Verdana"/>
          <w:sz w:val="20"/>
          <w:lang w:val="pt-BR"/>
        </w:rPr>
        <w:t xml:space="preserve">do qual </w:t>
      </w:r>
      <w:r w:rsidR="004756C1" w:rsidRPr="002F50BD">
        <w:rPr>
          <w:rFonts w:ascii="Verdana" w:hAnsi="Verdana"/>
          <w:sz w:val="20"/>
          <w:lang w:val="pt-BR"/>
        </w:rPr>
        <w:t xml:space="preserve">se </w:t>
      </w:r>
      <w:r w:rsidR="0089298C" w:rsidRPr="002F50BD">
        <w:rPr>
          <w:rFonts w:ascii="Verdana" w:hAnsi="Verdana"/>
          <w:sz w:val="20"/>
          <w:lang w:val="pt-BR"/>
        </w:rPr>
        <w:t xml:space="preserve">encontra a </w:t>
      </w:r>
      <w:r w:rsidR="00060B3A" w:rsidRPr="002F50BD">
        <w:rPr>
          <w:rFonts w:ascii="Verdana" w:hAnsi="Verdana"/>
          <w:sz w:val="20"/>
          <w:lang w:val="pt-BR"/>
        </w:rPr>
        <w:t xml:space="preserve">Fazenda </w:t>
      </w:r>
      <w:r w:rsidR="0089298C" w:rsidRPr="002F50BD">
        <w:rPr>
          <w:rFonts w:ascii="Verdana" w:hAnsi="Verdana"/>
          <w:sz w:val="20"/>
          <w:lang w:val="pt-BR"/>
        </w:rPr>
        <w:t>em questão</w:t>
      </w:r>
      <w:r w:rsidR="004756C1" w:rsidRPr="002F50BD">
        <w:rPr>
          <w:rFonts w:ascii="Verdana" w:hAnsi="Verdana"/>
          <w:sz w:val="20"/>
          <w:lang w:val="pt-BR"/>
        </w:rPr>
        <w:t xml:space="preserve">, </w:t>
      </w:r>
      <w:r w:rsidR="006603BE" w:rsidRPr="002F50BD">
        <w:rPr>
          <w:rFonts w:ascii="Verdana" w:hAnsi="Verdana"/>
          <w:sz w:val="20"/>
          <w:lang w:val="pt-BR"/>
        </w:rPr>
        <w:t>bem</w:t>
      </w:r>
      <w:r w:rsidR="004756C1" w:rsidRPr="002F50BD">
        <w:rPr>
          <w:rFonts w:ascii="Verdana" w:hAnsi="Verdana"/>
          <w:sz w:val="20"/>
          <w:lang w:val="pt-BR"/>
        </w:rPr>
        <w:t xml:space="preserve"> como </w:t>
      </w:r>
      <w:r w:rsidR="0089298C" w:rsidRPr="002F50BD">
        <w:rPr>
          <w:rFonts w:ascii="Verdana" w:hAnsi="Verdana"/>
          <w:sz w:val="20"/>
          <w:lang w:val="pt-BR"/>
        </w:rPr>
        <w:t>outra</w:t>
      </w:r>
      <w:r w:rsidR="004756C1" w:rsidRPr="002F50BD">
        <w:rPr>
          <w:rFonts w:ascii="Verdana" w:hAnsi="Verdana"/>
          <w:sz w:val="20"/>
          <w:lang w:val="pt-BR"/>
        </w:rPr>
        <w:t xml:space="preserve">s </w:t>
      </w:r>
      <w:r w:rsidR="00060B3A" w:rsidRPr="002F50BD">
        <w:rPr>
          <w:rFonts w:ascii="Verdana" w:hAnsi="Verdana"/>
          <w:sz w:val="20"/>
          <w:lang w:val="pt-BR"/>
        </w:rPr>
        <w:t xml:space="preserve">fazendas </w:t>
      </w:r>
      <w:r w:rsidR="0089298C" w:rsidRPr="002F50BD">
        <w:rPr>
          <w:rFonts w:ascii="Verdana" w:hAnsi="Verdana"/>
          <w:sz w:val="20"/>
          <w:lang w:val="pt-BR"/>
        </w:rPr>
        <w:t xml:space="preserve">com </w:t>
      </w:r>
      <w:r w:rsidR="004756C1" w:rsidRPr="002F50BD">
        <w:rPr>
          <w:rFonts w:ascii="Verdana" w:hAnsi="Verdana"/>
          <w:sz w:val="20"/>
          <w:lang w:val="pt-BR"/>
        </w:rPr>
        <w:t>diferentes</w:t>
      </w:r>
      <w:r w:rsidR="006603BE" w:rsidRPr="002F50BD">
        <w:rPr>
          <w:rFonts w:ascii="Verdana" w:hAnsi="Verdana"/>
          <w:sz w:val="20"/>
          <w:lang w:val="pt-BR"/>
        </w:rPr>
        <w:t xml:space="preserve"> “</w:t>
      </w:r>
      <w:r w:rsidR="00B92052" w:rsidRPr="002F50BD">
        <w:rPr>
          <w:rFonts w:ascii="Verdana" w:hAnsi="Verdana"/>
          <w:sz w:val="20"/>
          <w:lang w:val="pt-BR"/>
        </w:rPr>
        <w:t>propriedades</w:t>
      </w:r>
      <w:r w:rsidR="006603BE" w:rsidRPr="002F50BD">
        <w:rPr>
          <w:rFonts w:ascii="Verdana" w:hAnsi="Verdana"/>
          <w:sz w:val="20"/>
          <w:lang w:val="pt-BR"/>
        </w:rPr>
        <w:t>”</w:t>
      </w:r>
      <w:r w:rsidR="004756C1" w:rsidRPr="002F50BD">
        <w:rPr>
          <w:rFonts w:ascii="Verdana" w:hAnsi="Verdana"/>
          <w:sz w:val="20"/>
          <w:lang w:val="pt-BR"/>
        </w:rPr>
        <w:t xml:space="preserve">, o </w:t>
      </w:r>
      <w:r w:rsidR="0089298C" w:rsidRPr="002F50BD">
        <w:rPr>
          <w:rFonts w:ascii="Verdana" w:hAnsi="Verdana"/>
          <w:sz w:val="20"/>
          <w:lang w:val="pt-BR"/>
        </w:rPr>
        <w:t>qu</w:t>
      </w:r>
      <w:r w:rsidR="00C247F1" w:rsidRPr="002F50BD">
        <w:rPr>
          <w:rFonts w:ascii="Verdana" w:hAnsi="Verdana"/>
          <w:sz w:val="20"/>
          <w:lang w:val="pt-BR"/>
        </w:rPr>
        <w:t>e</w:t>
      </w:r>
      <w:r w:rsidR="0089298C" w:rsidRPr="002F50BD">
        <w:rPr>
          <w:rFonts w:ascii="Verdana" w:hAnsi="Verdana"/>
          <w:sz w:val="20"/>
          <w:lang w:val="pt-BR"/>
        </w:rPr>
        <w:t xml:space="preserve"> faz </w:t>
      </w:r>
      <w:r w:rsidR="00C247F1" w:rsidRPr="002F50BD">
        <w:rPr>
          <w:rFonts w:ascii="Verdana" w:hAnsi="Verdana"/>
          <w:sz w:val="20"/>
          <w:lang w:val="pt-BR"/>
        </w:rPr>
        <w:t xml:space="preserve">com </w:t>
      </w:r>
      <w:r w:rsidR="004756C1" w:rsidRPr="002F50BD">
        <w:rPr>
          <w:rFonts w:ascii="Verdana" w:hAnsi="Verdana"/>
          <w:sz w:val="20"/>
          <w:lang w:val="pt-BR"/>
        </w:rPr>
        <w:t>que</w:t>
      </w:r>
      <w:r w:rsidR="0089298C" w:rsidRPr="002F50BD">
        <w:rPr>
          <w:rFonts w:ascii="Verdana" w:hAnsi="Verdana"/>
          <w:sz w:val="20"/>
          <w:lang w:val="pt-BR"/>
        </w:rPr>
        <w:t xml:space="preserve"> seja </w:t>
      </w:r>
      <w:r w:rsidR="004756C1" w:rsidRPr="002F50BD">
        <w:rPr>
          <w:rFonts w:ascii="Verdana" w:hAnsi="Verdana"/>
          <w:sz w:val="20"/>
          <w:lang w:val="pt-BR"/>
        </w:rPr>
        <w:t>inexplic</w:t>
      </w:r>
      <w:r w:rsidRPr="002F50BD">
        <w:rPr>
          <w:rFonts w:ascii="Verdana" w:hAnsi="Verdana"/>
          <w:sz w:val="20"/>
          <w:lang w:val="pt-BR"/>
        </w:rPr>
        <w:t xml:space="preserve">ável </w:t>
      </w:r>
      <w:r w:rsidR="004756C1" w:rsidRPr="002F50BD">
        <w:rPr>
          <w:rFonts w:ascii="Verdana" w:hAnsi="Verdana"/>
          <w:sz w:val="20"/>
          <w:lang w:val="pt-BR"/>
        </w:rPr>
        <w:t>jurídica</w:t>
      </w:r>
      <w:r w:rsidR="0089298C" w:rsidRPr="002F50BD">
        <w:rPr>
          <w:rFonts w:ascii="Verdana" w:hAnsi="Verdana"/>
          <w:sz w:val="20"/>
          <w:lang w:val="pt-BR"/>
        </w:rPr>
        <w:t xml:space="preserve"> e </w:t>
      </w:r>
      <w:r w:rsidR="004756C1" w:rsidRPr="002F50BD">
        <w:rPr>
          <w:rFonts w:ascii="Verdana" w:hAnsi="Verdana"/>
          <w:sz w:val="20"/>
          <w:lang w:val="pt-BR"/>
        </w:rPr>
        <w:lastRenderedPageBreak/>
        <w:t>racionalmente</w:t>
      </w:r>
      <w:r w:rsidR="0089298C" w:rsidRPr="002F50BD">
        <w:rPr>
          <w:rFonts w:ascii="Verdana" w:hAnsi="Verdana"/>
          <w:sz w:val="20"/>
          <w:lang w:val="pt-BR"/>
        </w:rPr>
        <w:t xml:space="preserve"> a </w:t>
      </w:r>
      <w:r w:rsidR="004756C1" w:rsidRPr="002F50BD">
        <w:rPr>
          <w:rFonts w:ascii="Verdana" w:hAnsi="Verdana"/>
          <w:sz w:val="20"/>
          <w:lang w:val="pt-BR"/>
        </w:rPr>
        <w:t>radicaliza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w:t>
      </w:r>
      <w:r w:rsidR="00C247F1" w:rsidRPr="002F50BD">
        <w:rPr>
          <w:rFonts w:ascii="Verdana" w:hAnsi="Verdana"/>
          <w:sz w:val="20"/>
          <w:lang w:val="pt-BR"/>
        </w:rPr>
        <w:t xml:space="preserve"> pedido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t xml:space="preserve">A Comunidade </w:t>
      </w:r>
      <w:r w:rsidR="004756C1" w:rsidRPr="002F50BD">
        <w:rPr>
          <w:rFonts w:ascii="Verdana" w:hAnsi="Verdana"/>
          <w:sz w:val="20"/>
          <w:lang w:val="pt-BR"/>
        </w:rPr>
        <w:t xml:space="preserve">Yakye Axa </w:t>
      </w:r>
      <w:r w:rsidRPr="002F50BD">
        <w:rPr>
          <w:rFonts w:ascii="Verdana" w:hAnsi="Verdana"/>
          <w:sz w:val="20"/>
          <w:lang w:val="pt-BR"/>
        </w:rPr>
        <w:t xml:space="preserve">não possui nem a propriedade nem a </w:t>
      </w:r>
      <w:r w:rsidR="00A50140" w:rsidRPr="002F50BD">
        <w:rPr>
          <w:rFonts w:ascii="Verdana" w:hAnsi="Verdana"/>
          <w:sz w:val="20"/>
          <w:lang w:val="pt-BR"/>
        </w:rPr>
        <w:t>posse</w:t>
      </w:r>
      <w:r w:rsidRPr="002F50BD">
        <w:rPr>
          <w:rFonts w:ascii="Verdana" w:hAnsi="Verdana"/>
          <w:sz w:val="20"/>
          <w:lang w:val="pt-BR"/>
        </w:rPr>
        <w:t xml:space="preserve"> da terra</w:t>
      </w:r>
      <w:r w:rsidR="004756C1" w:rsidRPr="002F50BD">
        <w:rPr>
          <w:rFonts w:ascii="Verdana" w:hAnsi="Verdana"/>
          <w:sz w:val="20"/>
          <w:lang w:val="pt-BR"/>
        </w:rPr>
        <w:t xml:space="preserve"> reclamada. Su</w:t>
      </w:r>
      <w:r w:rsidR="00C247F1" w:rsidRPr="002F50BD">
        <w:rPr>
          <w:rFonts w:ascii="Verdana" w:hAnsi="Verdana"/>
          <w:sz w:val="20"/>
          <w:lang w:val="pt-BR"/>
        </w:rPr>
        <w:t>a</w:t>
      </w:r>
      <w:r w:rsidR="004756C1" w:rsidRPr="002F50BD">
        <w:rPr>
          <w:rFonts w:ascii="Verdana" w:hAnsi="Verdana"/>
          <w:sz w:val="20"/>
          <w:lang w:val="pt-BR"/>
        </w:rPr>
        <w:t>s reivindica</w:t>
      </w:r>
      <w:r w:rsidRPr="002F50BD">
        <w:rPr>
          <w:rFonts w:ascii="Verdana" w:hAnsi="Verdana"/>
          <w:sz w:val="20"/>
          <w:lang w:val="pt-BR"/>
        </w:rPr>
        <w:t>ções</w:t>
      </w:r>
      <w:r w:rsidR="004756C1" w:rsidRPr="002F50BD">
        <w:rPr>
          <w:rFonts w:ascii="Verdana" w:hAnsi="Verdana"/>
          <w:sz w:val="20"/>
          <w:lang w:val="pt-BR"/>
        </w:rPr>
        <w:t xml:space="preserve"> se bas</w:t>
      </w:r>
      <w:r w:rsidR="00C247F1" w:rsidRPr="002F50BD">
        <w:rPr>
          <w:rFonts w:ascii="Verdana" w:hAnsi="Verdana"/>
          <w:sz w:val="20"/>
          <w:lang w:val="pt-BR"/>
        </w:rPr>
        <w:t xml:space="preserve">eiam </w:t>
      </w:r>
      <w:r w:rsidRPr="002F50BD">
        <w:rPr>
          <w:rFonts w:ascii="Verdana" w:hAnsi="Verdana"/>
          <w:sz w:val="20"/>
          <w:lang w:val="pt-BR"/>
        </w:rPr>
        <w:t>em um direito</w:t>
      </w:r>
      <w:r w:rsidR="004756C1" w:rsidRPr="002F50BD">
        <w:rPr>
          <w:rFonts w:ascii="Verdana" w:hAnsi="Verdana"/>
          <w:sz w:val="20"/>
          <w:lang w:val="pt-BR"/>
        </w:rPr>
        <w:t xml:space="preserve"> ancestral de </w:t>
      </w:r>
      <w:r w:rsidR="005A6BC7" w:rsidRPr="002F50BD">
        <w:rPr>
          <w:rFonts w:ascii="Verdana" w:hAnsi="Verdana"/>
          <w:sz w:val="20"/>
          <w:lang w:val="pt-BR"/>
        </w:rPr>
        <w:t>seus antepassados</w:t>
      </w:r>
      <w:r w:rsidR="004756C1" w:rsidRPr="002F50BD">
        <w:rPr>
          <w:rFonts w:ascii="Verdana" w:hAnsi="Verdana"/>
          <w:sz w:val="20"/>
          <w:lang w:val="pt-BR"/>
        </w:rPr>
        <w:t xml:space="preserve">, documentado </w:t>
      </w:r>
      <w:r w:rsidRPr="002F50BD">
        <w:rPr>
          <w:rFonts w:ascii="Verdana" w:hAnsi="Verdana"/>
          <w:sz w:val="20"/>
          <w:lang w:val="pt-BR"/>
        </w:rPr>
        <w:t xml:space="preserve">unicamente em um parecer </w:t>
      </w:r>
      <w:r w:rsidR="004756C1" w:rsidRPr="002F50BD">
        <w:rPr>
          <w:rFonts w:ascii="Verdana" w:hAnsi="Verdana"/>
          <w:sz w:val="20"/>
          <w:lang w:val="pt-BR"/>
        </w:rPr>
        <w:t xml:space="preserve">antropológico </w:t>
      </w:r>
      <w:r w:rsidR="00C247F1" w:rsidRPr="002F50BD">
        <w:rPr>
          <w:rFonts w:ascii="Verdana" w:hAnsi="Verdana"/>
          <w:sz w:val="20"/>
          <w:lang w:val="pt-BR"/>
        </w:rPr>
        <w:t xml:space="preserve">elaborado </w:t>
      </w:r>
      <w:r w:rsidRPr="002F50BD">
        <w:rPr>
          <w:rFonts w:ascii="Verdana" w:hAnsi="Verdana"/>
          <w:sz w:val="20"/>
          <w:lang w:val="pt-BR"/>
        </w:rPr>
        <w:t xml:space="preserve">pelo </w:t>
      </w:r>
      <w:r w:rsidR="004756C1" w:rsidRPr="002F50BD">
        <w:rPr>
          <w:rFonts w:ascii="Verdana" w:hAnsi="Verdana"/>
          <w:sz w:val="20"/>
          <w:lang w:val="pt-BR"/>
        </w:rPr>
        <w:t xml:space="preserve">antropólogo Miguel Chase Sardi, </w:t>
      </w:r>
      <w:r w:rsidRPr="002F50BD">
        <w:rPr>
          <w:rFonts w:ascii="Verdana" w:hAnsi="Verdana"/>
          <w:sz w:val="20"/>
          <w:lang w:val="pt-BR"/>
        </w:rPr>
        <w:t>que</w:t>
      </w:r>
      <w:r w:rsidR="00C247F1" w:rsidRPr="002F50BD">
        <w:rPr>
          <w:rFonts w:ascii="Verdana" w:hAnsi="Verdana"/>
          <w:sz w:val="20"/>
          <w:lang w:val="pt-BR"/>
        </w:rPr>
        <w:t>,</w:t>
      </w:r>
      <w:r w:rsidRPr="002F50BD">
        <w:rPr>
          <w:rFonts w:ascii="Verdana" w:hAnsi="Verdana"/>
          <w:sz w:val="20"/>
          <w:lang w:val="pt-BR"/>
        </w:rPr>
        <w:t xml:space="preserve"> em uma </w:t>
      </w:r>
      <w:r w:rsidR="004756C1" w:rsidRPr="002F50BD">
        <w:rPr>
          <w:rFonts w:ascii="Verdana" w:hAnsi="Verdana"/>
          <w:sz w:val="20"/>
          <w:lang w:val="pt-BR"/>
        </w:rPr>
        <w:t xml:space="preserve">obra anterior sobre comunidades indígenas </w:t>
      </w:r>
      <w:r w:rsidRPr="002F50BD">
        <w:rPr>
          <w:rFonts w:ascii="Verdana" w:hAnsi="Verdana"/>
          <w:sz w:val="20"/>
          <w:lang w:val="pt-BR"/>
        </w:rPr>
        <w:t>do Paraguai</w:t>
      </w:r>
      <w:r w:rsidR="004756C1" w:rsidRPr="002F50BD">
        <w:rPr>
          <w:rFonts w:ascii="Verdana" w:hAnsi="Verdana"/>
          <w:sz w:val="20"/>
          <w:lang w:val="pt-BR"/>
        </w:rPr>
        <w:t xml:space="preserve"> n</w:t>
      </w:r>
      <w:r w:rsidR="00C247F1"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f</w:t>
      </w:r>
      <w:r w:rsidR="00C247F1" w:rsidRPr="002F50BD">
        <w:rPr>
          <w:rFonts w:ascii="Verdana" w:hAnsi="Verdana"/>
          <w:sz w:val="20"/>
          <w:lang w:val="pt-BR"/>
        </w:rPr>
        <w:t>e</w:t>
      </w:r>
      <w:r w:rsidRPr="002F50BD">
        <w:rPr>
          <w:rFonts w:ascii="Verdana" w:hAnsi="Verdana"/>
          <w:sz w:val="20"/>
          <w:lang w:val="pt-BR"/>
        </w:rPr>
        <w:t xml:space="preserve">z referência à propriedade nem à </w:t>
      </w:r>
      <w:r w:rsidR="00A50140" w:rsidRPr="002F50BD">
        <w:rPr>
          <w:rFonts w:ascii="Verdana" w:hAnsi="Verdana"/>
          <w:sz w:val="20"/>
          <w:lang w:val="pt-BR"/>
        </w:rPr>
        <w:t>posse</w:t>
      </w:r>
      <w:r w:rsidRPr="002F50BD">
        <w:rPr>
          <w:rFonts w:ascii="Verdana" w:hAnsi="Verdana"/>
          <w:sz w:val="20"/>
          <w:lang w:val="pt-BR"/>
        </w:rPr>
        <w:t xml:space="preserve"> das terra</w:t>
      </w:r>
      <w:r w:rsidR="004756C1" w:rsidRPr="002F50BD">
        <w:rPr>
          <w:rFonts w:ascii="Verdana" w:hAnsi="Verdana"/>
          <w:sz w:val="20"/>
          <w:lang w:val="pt-BR"/>
        </w:rPr>
        <w:t xml:space="preserve">s </w:t>
      </w:r>
      <w:r w:rsidR="00C247F1" w:rsidRPr="002F50BD">
        <w:rPr>
          <w:rFonts w:ascii="Verdana" w:hAnsi="Verdana"/>
          <w:sz w:val="20"/>
          <w:lang w:val="pt-BR"/>
        </w:rPr>
        <w:t>reivindicadas pel</w:t>
      </w:r>
      <w:r w:rsidRPr="002F50BD">
        <w:rPr>
          <w:rFonts w:ascii="Verdana" w:hAnsi="Verdana"/>
          <w:sz w:val="20"/>
          <w:lang w:val="pt-BR"/>
        </w:rPr>
        <w:t xml:space="preserve">a Comunidade </w:t>
      </w:r>
      <w:r w:rsidR="004756C1" w:rsidRPr="002F50BD">
        <w:rPr>
          <w:rFonts w:ascii="Verdana" w:hAnsi="Verdana"/>
          <w:sz w:val="20"/>
          <w:lang w:val="pt-BR"/>
        </w:rPr>
        <w:t>Yakye Axa;</w:t>
      </w:r>
    </w:p>
    <w:p w:rsidR="004756C1" w:rsidRPr="002F50BD" w:rsidRDefault="004756C1">
      <w:pPr>
        <w:tabs>
          <w:tab w:val="left" w:pos="1080"/>
        </w:tabs>
        <w:ind w:left="72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t>No direito</w:t>
      </w:r>
      <w:r w:rsidR="004756C1" w:rsidRPr="002F50BD">
        <w:rPr>
          <w:rFonts w:ascii="Verdana" w:hAnsi="Verdana"/>
          <w:sz w:val="20"/>
          <w:lang w:val="pt-BR"/>
        </w:rPr>
        <w:t xml:space="preserve"> </w:t>
      </w:r>
      <w:r w:rsidR="006603BE"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 n</w:t>
      </w:r>
      <w:r w:rsidR="00C247F1"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há </w:t>
      </w:r>
      <w:r w:rsidR="004756C1" w:rsidRPr="002F50BD">
        <w:rPr>
          <w:rFonts w:ascii="Verdana" w:hAnsi="Verdana"/>
          <w:sz w:val="20"/>
          <w:lang w:val="pt-BR"/>
        </w:rPr>
        <w:t xml:space="preserve">forma de adquirir </w:t>
      </w:r>
      <w:r w:rsidRPr="002F50BD">
        <w:rPr>
          <w:rFonts w:ascii="Verdana" w:hAnsi="Verdana"/>
          <w:sz w:val="20"/>
          <w:lang w:val="pt-BR"/>
        </w:rPr>
        <w:t>direito</w:t>
      </w:r>
      <w:r w:rsidR="004756C1" w:rsidRPr="002F50BD">
        <w:rPr>
          <w:rFonts w:ascii="Verdana" w:hAnsi="Verdana"/>
          <w:sz w:val="20"/>
          <w:lang w:val="pt-BR"/>
        </w:rPr>
        <w:t xml:space="preserve"> de </w:t>
      </w:r>
      <w:r w:rsidRPr="002F50BD">
        <w:rPr>
          <w:rFonts w:ascii="Verdana" w:hAnsi="Verdana"/>
          <w:sz w:val="20"/>
          <w:lang w:val="pt-BR"/>
        </w:rPr>
        <w:t xml:space="preserve">propriedade </w:t>
      </w:r>
      <w:r w:rsidR="00C247F1" w:rsidRPr="002F50BD">
        <w:rPr>
          <w:rFonts w:ascii="Verdana" w:hAnsi="Verdana"/>
          <w:sz w:val="20"/>
          <w:lang w:val="pt-BR"/>
        </w:rPr>
        <w:t xml:space="preserve">apenas </w:t>
      </w:r>
      <w:r w:rsidRPr="002F50BD">
        <w:rPr>
          <w:rFonts w:ascii="Verdana" w:hAnsi="Verdana"/>
          <w:sz w:val="20"/>
          <w:lang w:val="pt-BR"/>
        </w:rPr>
        <w:t xml:space="preserve">com </w:t>
      </w:r>
      <w:r w:rsidR="00C247F1" w:rsidRPr="002F50BD">
        <w:rPr>
          <w:rFonts w:ascii="Verdana" w:hAnsi="Verdana"/>
          <w:sz w:val="20"/>
          <w:lang w:val="pt-BR"/>
        </w:rPr>
        <w:t>a justificação de</w:t>
      </w:r>
      <w:r w:rsidR="004756C1" w:rsidRPr="002F50BD">
        <w:rPr>
          <w:rFonts w:ascii="Verdana" w:hAnsi="Verdana"/>
          <w:sz w:val="20"/>
          <w:lang w:val="pt-BR"/>
        </w:rPr>
        <w:t xml:space="preserve"> que </w:t>
      </w:r>
      <w:r w:rsidRPr="002F50BD">
        <w:rPr>
          <w:rFonts w:ascii="Verdana" w:hAnsi="Verdana"/>
          <w:sz w:val="20"/>
          <w:lang w:val="pt-BR"/>
        </w:rPr>
        <w:t>alguma</w:t>
      </w:r>
      <w:r w:rsidR="004756C1" w:rsidRPr="002F50BD">
        <w:rPr>
          <w:rFonts w:ascii="Verdana" w:hAnsi="Verdana"/>
          <w:sz w:val="20"/>
          <w:lang w:val="pt-BR"/>
        </w:rPr>
        <w:t xml:space="preserve"> vez</w:t>
      </w:r>
      <w:r w:rsidRPr="002F50BD">
        <w:rPr>
          <w:rFonts w:ascii="Verdana" w:hAnsi="Verdana"/>
          <w:sz w:val="20"/>
          <w:lang w:val="pt-BR"/>
        </w:rPr>
        <w:t xml:space="preserve"> os </w:t>
      </w:r>
      <w:r w:rsidR="004756C1" w:rsidRPr="002F50BD">
        <w:rPr>
          <w:rFonts w:ascii="Verdana" w:hAnsi="Verdana"/>
          <w:sz w:val="20"/>
          <w:lang w:val="pt-BR"/>
        </w:rPr>
        <w:t>ante</w:t>
      </w:r>
      <w:r w:rsidRPr="002F50BD">
        <w:rPr>
          <w:rFonts w:ascii="Verdana" w:hAnsi="Verdana"/>
          <w:sz w:val="20"/>
          <w:lang w:val="pt-BR"/>
        </w:rPr>
        <w:t>passado</w:t>
      </w:r>
      <w:r w:rsidR="00C247F1" w:rsidRPr="002F50BD">
        <w:rPr>
          <w:rFonts w:ascii="Verdana" w:hAnsi="Verdana"/>
          <w:sz w:val="20"/>
          <w:lang w:val="pt-BR"/>
        </w:rPr>
        <w:t>s ocuparam</w:t>
      </w:r>
      <w:r w:rsidR="004756C1" w:rsidRPr="002F50BD">
        <w:rPr>
          <w:rFonts w:ascii="Verdana" w:hAnsi="Verdana"/>
          <w:sz w:val="20"/>
          <w:lang w:val="pt-BR"/>
        </w:rPr>
        <w:t xml:space="preserve"> tal </w:t>
      </w:r>
      <w:r w:rsidRPr="002F50BD">
        <w:rPr>
          <w:rFonts w:ascii="Verdana" w:hAnsi="Verdana"/>
          <w:sz w:val="20"/>
          <w:lang w:val="pt-BR"/>
        </w:rPr>
        <w:t>espaço</w:t>
      </w:r>
      <w:r w:rsidR="004756C1" w:rsidRPr="002F50BD">
        <w:rPr>
          <w:rFonts w:ascii="Verdana" w:hAnsi="Verdana"/>
          <w:sz w:val="20"/>
          <w:lang w:val="pt-BR"/>
        </w:rPr>
        <w:t xml:space="preserve"> geográfico;</w:t>
      </w:r>
      <w:r w:rsidR="00FE08B7">
        <w:rPr>
          <w:rFonts w:ascii="Verdana" w:hAnsi="Verdana"/>
          <w:sz w:val="20"/>
          <w:lang w:val="pt-BR"/>
        </w:rPr>
        <w:t xml:space="preserve"> </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t>O direito à terra</w:t>
      </w:r>
      <w:r w:rsidR="004756C1" w:rsidRPr="002F50BD">
        <w:rPr>
          <w:rFonts w:ascii="Verdana" w:hAnsi="Verdana"/>
          <w:sz w:val="20"/>
          <w:lang w:val="pt-BR"/>
        </w:rPr>
        <w:t xml:space="preserve"> ancestral</w:t>
      </w:r>
      <w:r w:rsidRPr="002F50BD">
        <w:rPr>
          <w:rFonts w:ascii="Verdana" w:hAnsi="Verdana"/>
          <w:sz w:val="20"/>
          <w:lang w:val="pt-BR"/>
        </w:rPr>
        <w:t xml:space="preserve"> deve </w:t>
      </w:r>
      <w:r w:rsidR="00C247F1" w:rsidRPr="002F50BD">
        <w:rPr>
          <w:rFonts w:ascii="Verdana" w:hAnsi="Verdana"/>
          <w:sz w:val="20"/>
          <w:lang w:val="pt-BR"/>
        </w:rPr>
        <w:t>esta</w:t>
      </w:r>
      <w:r w:rsidR="004756C1" w:rsidRPr="002F50BD">
        <w:rPr>
          <w:rFonts w:ascii="Verdana" w:hAnsi="Verdana"/>
          <w:sz w:val="20"/>
          <w:lang w:val="pt-BR"/>
        </w:rPr>
        <w:t xml:space="preserve">r </w:t>
      </w:r>
      <w:r w:rsidRPr="002F50BD">
        <w:rPr>
          <w:rFonts w:ascii="Verdana" w:hAnsi="Verdana"/>
          <w:sz w:val="20"/>
          <w:lang w:val="pt-BR"/>
        </w:rPr>
        <w:t>acompanh</w:t>
      </w:r>
      <w:r w:rsidR="004756C1" w:rsidRPr="002F50BD">
        <w:rPr>
          <w:rFonts w:ascii="Verdana" w:hAnsi="Verdana"/>
          <w:sz w:val="20"/>
          <w:lang w:val="pt-BR"/>
        </w:rPr>
        <w:t>ado</w:t>
      </w:r>
      <w:r w:rsidRPr="002F50BD">
        <w:rPr>
          <w:rFonts w:ascii="Verdana" w:hAnsi="Verdana"/>
          <w:sz w:val="20"/>
          <w:lang w:val="pt-BR"/>
        </w:rPr>
        <w:t xml:space="preserve"> da </w:t>
      </w:r>
      <w:r w:rsidR="00A50140" w:rsidRPr="002F50BD">
        <w:rPr>
          <w:rFonts w:ascii="Verdana" w:hAnsi="Verdana"/>
          <w:sz w:val="20"/>
          <w:lang w:val="pt-BR"/>
        </w:rPr>
        <w:t>posse</w:t>
      </w:r>
      <w:r w:rsidR="004756C1" w:rsidRPr="002F50BD">
        <w:rPr>
          <w:rFonts w:ascii="Verdana" w:hAnsi="Verdana"/>
          <w:sz w:val="20"/>
          <w:lang w:val="pt-BR"/>
        </w:rPr>
        <w:t xml:space="preserve"> </w:t>
      </w:r>
      <w:r w:rsidRPr="002F50BD">
        <w:rPr>
          <w:rFonts w:ascii="Verdana" w:hAnsi="Verdana"/>
          <w:sz w:val="20"/>
          <w:lang w:val="pt-BR"/>
        </w:rPr>
        <w:t xml:space="preserve">do bem </w:t>
      </w:r>
      <w:r w:rsidR="004756C1" w:rsidRPr="002F50BD">
        <w:rPr>
          <w:rFonts w:ascii="Verdana" w:hAnsi="Verdana"/>
          <w:sz w:val="20"/>
          <w:lang w:val="pt-BR"/>
        </w:rPr>
        <w:t xml:space="preserve">reivindicado. </w:t>
      </w:r>
      <w:r w:rsidR="00C247F1" w:rsidRPr="002F50BD">
        <w:rPr>
          <w:rFonts w:ascii="Verdana" w:hAnsi="Verdana"/>
          <w:sz w:val="20"/>
          <w:lang w:val="pt-BR"/>
        </w:rPr>
        <w:t xml:space="preserve">Apesar de </w:t>
      </w:r>
      <w:r w:rsidRPr="002F50BD">
        <w:rPr>
          <w:rFonts w:ascii="Verdana" w:hAnsi="Verdana"/>
          <w:sz w:val="20"/>
          <w:lang w:val="pt-BR"/>
        </w:rPr>
        <w:t xml:space="preserve">o </w:t>
      </w:r>
      <w:r w:rsidR="004756C1" w:rsidRPr="002F50BD">
        <w:rPr>
          <w:rFonts w:ascii="Verdana" w:hAnsi="Verdana"/>
          <w:sz w:val="20"/>
          <w:lang w:val="pt-BR"/>
        </w:rPr>
        <w:t xml:space="preserve">Poder </w:t>
      </w:r>
      <w:r w:rsidRPr="002F50BD">
        <w:rPr>
          <w:rFonts w:ascii="Verdana" w:hAnsi="Verdana"/>
          <w:sz w:val="20"/>
          <w:lang w:val="pt-BR"/>
        </w:rPr>
        <w:t>Executiv</w:t>
      </w:r>
      <w:r w:rsidR="004756C1" w:rsidRPr="002F50BD">
        <w:rPr>
          <w:rFonts w:ascii="Verdana" w:hAnsi="Verdana"/>
          <w:sz w:val="20"/>
          <w:lang w:val="pt-BR"/>
        </w:rPr>
        <w:t xml:space="preserve">o </w:t>
      </w:r>
      <w:r w:rsidR="00C247F1" w:rsidRPr="002F50BD">
        <w:rPr>
          <w:rFonts w:ascii="Verdana" w:hAnsi="Verdana"/>
          <w:sz w:val="20"/>
          <w:lang w:val="pt-BR"/>
        </w:rPr>
        <w:t xml:space="preserve">ter </w:t>
      </w:r>
      <w:r w:rsidR="004076AD" w:rsidRPr="002F50BD">
        <w:rPr>
          <w:rFonts w:ascii="Verdana" w:hAnsi="Verdana"/>
          <w:sz w:val="20"/>
          <w:lang w:val="pt-BR"/>
        </w:rPr>
        <w:t>reconhec</w:t>
      </w:r>
      <w:r w:rsidR="00C247F1" w:rsidRPr="002F50BD">
        <w:rPr>
          <w:rFonts w:ascii="Verdana" w:hAnsi="Verdana"/>
          <w:sz w:val="20"/>
          <w:lang w:val="pt-BR"/>
        </w:rPr>
        <w:t>ido</w:t>
      </w:r>
      <w:r w:rsidR="004756C1" w:rsidRPr="002F50BD">
        <w:rPr>
          <w:rFonts w:ascii="Verdana" w:hAnsi="Verdana"/>
          <w:sz w:val="20"/>
          <w:lang w:val="pt-BR"/>
        </w:rPr>
        <w:t xml:space="preserve"> que</w:t>
      </w:r>
      <w:r w:rsidRPr="002F50BD">
        <w:rPr>
          <w:rFonts w:ascii="Verdana" w:hAnsi="Verdana"/>
          <w:sz w:val="20"/>
          <w:lang w:val="pt-BR"/>
        </w:rPr>
        <w:t xml:space="preserve"> o território</w:t>
      </w:r>
      <w:r w:rsidR="004756C1" w:rsidRPr="002F50BD">
        <w:rPr>
          <w:rFonts w:ascii="Verdana" w:hAnsi="Verdana"/>
          <w:sz w:val="20"/>
          <w:lang w:val="pt-BR"/>
        </w:rPr>
        <w:t xml:space="preserve"> tradicional</w:t>
      </w:r>
      <w:r w:rsidRPr="002F50BD">
        <w:rPr>
          <w:rFonts w:ascii="Verdana" w:hAnsi="Verdana"/>
          <w:sz w:val="20"/>
          <w:lang w:val="pt-BR"/>
        </w:rPr>
        <w:t xml:space="preserve"> da população</w:t>
      </w:r>
      <w:r w:rsidR="004756C1" w:rsidRPr="002F50BD">
        <w:rPr>
          <w:rFonts w:ascii="Verdana" w:hAnsi="Verdana"/>
          <w:sz w:val="20"/>
          <w:lang w:val="pt-BR"/>
        </w:rPr>
        <w:t xml:space="preserve"> indígena identificada como Enxet-</w:t>
      </w:r>
      <w:r w:rsidR="00CD3DEB" w:rsidRPr="002F50BD">
        <w:rPr>
          <w:rFonts w:ascii="Verdana" w:hAnsi="Verdana"/>
          <w:sz w:val="20"/>
          <w:lang w:val="pt-BR"/>
        </w:rPr>
        <w:t>L</w:t>
      </w:r>
      <w:r w:rsidR="00C247F1" w:rsidRPr="002F50BD">
        <w:rPr>
          <w:rFonts w:ascii="Verdana" w:hAnsi="Verdana"/>
          <w:sz w:val="20"/>
          <w:lang w:val="pt-BR"/>
        </w:rPr>
        <w:t>e</w:t>
      </w:r>
      <w:r w:rsidR="00CD3DEB" w:rsidRPr="002F50BD">
        <w:rPr>
          <w:rFonts w:ascii="Verdana" w:hAnsi="Verdana"/>
          <w:sz w:val="20"/>
          <w:lang w:val="pt-BR"/>
        </w:rPr>
        <w:t>ngua</w:t>
      </w:r>
      <w:r w:rsidR="004756C1" w:rsidRPr="002F50BD">
        <w:rPr>
          <w:rFonts w:ascii="Verdana" w:hAnsi="Verdana"/>
          <w:sz w:val="20"/>
          <w:lang w:val="pt-BR"/>
        </w:rPr>
        <w:t xml:space="preserve"> </w:t>
      </w:r>
      <w:r w:rsidRPr="002F50BD">
        <w:rPr>
          <w:rFonts w:ascii="Verdana" w:hAnsi="Verdana"/>
          <w:sz w:val="20"/>
          <w:lang w:val="pt-BR"/>
        </w:rPr>
        <w:t>tinha</w:t>
      </w:r>
      <w:r w:rsidR="004756C1" w:rsidRPr="002F50BD">
        <w:rPr>
          <w:rFonts w:ascii="Verdana" w:hAnsi="Verdana"/>
          <w:sz w:val="20"/>
          <w:lang w:val="pt-BR"/>
        </w:rPr>
        <w:t xml:space="preserve">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tradicional</w:t>
      </w:r>
      <w:r w:rsidRPr="002F50BD">
        <w:rPr>
          <w:rFonts w:ascii="Verdana" w:hAnsi="Verdana"/>
          <w:sz w:val="20"/>
          <w:lang w:val="pt-BR"/>
        </w:rPr>
        <w:t xml:space="preserve"> na </w:t>
      </w:r>
      <w:r w:rsidR="004756C1" w:rsidRPr="002F50BD">
        <w:rPr>
          <w:rFonts w:ascii="Verdana" w:hAnsi="Verdana"/>
          <w:sz w:val="20"/>
          <w:lang w:val="pt-BR"/>
        </w:rPr>
        <w:t xml:space="preserve">zona </w:t>
      </w:r>
      <w:r w:rsidRPr="002F50BD">
        <w:rPr>
          <w:rFonts w:ascii="Verdana" w:hAnsi="Verdana"/>
          <w:sz w:val="20"/>
          <w:lang w:val="pt-BR"/>
        </w:rPr>
        <w:t xml:space="preserve">do </w:t>
      </w:r>
      <w:r w:rsidR="004756C1" w:rsidRPr="002F50BD">
        <w:rPr>
          <w:rFonts w:ascii="Verdana" w:hAnsi="Verdana"/>
          <w:sz w:val="20"/>
          <w:lang w:val="pt-BR"/>
        </w:rPr>
        <w:t xml:space="preserve">Chaco </w:t>
      </w:r>
      <w:r w:rsidRPr="002F50BD">
        <w:rPr>
          <w:rFonts w:ascii="Verdana" w:hAnsi="Verdana"/>
          <w:sz w:val="20"/>
          <w:lang w:val="pt-BR"/>
        </w:rPr>
        <w:t>Paraguai</w:t>
      </w:r>
      <w:r w:rsidR="004756C1" w:rsidRPr="002F50BD">
        <w:rPr>
          <w:rFonts w:ascii="Verdana" w:hAnsi="Verdana"/>
          <w:sz w:val="20"/>
          <w:lang w:val="pt-BR"/>
        </w:rPr>
        <w:t>o, n</w:t>
      </w:r>
      <w:r w:rsidR="00C247F1" w:rsidRPr="002F50BD">
        <w:rPr>
          <w:rFonts w:ascii="Verdana" w:hAnsi="Verdana"/>
          <w:sz w:val="20"/>
          <w:lang w:val="pt-BR"/>
        </w:rPr>
        <w:t>ã</w:t>
      </w:r>
      <w:r w:rsidR="004756C1" w:rsidRPr="002F50BD">
        <w:rPr>
          <w:rFonts w:ascii="Verdana" w:hAnsi="Verdana"/>
          <w:sz w:val="20"/>
          <w:lang w:val="pt-BR"/>
        </w:rPr>
        <w:t>o significa que</w:t>
      </w:r>
      <w:r w:rsidR="00EB07FE" w:rsidRPr="002F50BD">
        <w:rPr>
          <w:rFonts w:ascii="Verdana" w:hAnsi="Verdana"/>
          <w:sz w:val="20"/>
          <w:lang w:val="pt-BR"/>
        </w:rPr>
        <w:t>,</w:t>
      </w:r>
      <w:r w:rsidR="004756C1" w:rsidRPr="002F50BD">
        <w:rPr>
          <w:rFonts w:ascii="Verdana" w:hAnsi="Verdana"/>
          <w:sz w:val="20"/>
          <w:lang w:val="pt-BR"/>
        </w:rPr>
        <w:t xml:space="preserve"> </w:t>
      </w:r>
      <w:r w:rsidR="00C247F1" w:rsidRPr="002F50BD">
        <w:rPr>
          <w:rFonts w:ascii="Verdana" w:hAnsi="Verdana"/>
          <w:sz w:val="20"/>
          <w:lang w:val="pt-BR"/>
        </w:rPr>
        <w:t xml:space="preserve">apenas </w:t>
      </w:r>
      <w:r w:rsidR="004756C1" w:rsidRPr="002F50BD">
        <w:rPr>
          <w:rFonts w:ascii="Verdana" w:hAnsi="Verdana"/>
          <w:sz w:val="20"/>
          <w:lang w:val="pt-BR"/>
        </w:rPr>
        <w:t>por su</w:t>
      </w:r>
      <w:r w:rsidR="00C247F1"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vontade</w:t>
      </w:r>
      <w:r w:rsidR="00EB07FE" w:rsidRPr="002F50BD">
        <w:rPr>
          <w:rFonts w:ascii="Verdana" w:hAnsi="Verdana"/>
          <w:sz w:val="20"/>
          <w:lang w:val="pt-BR"/>
        </w:rPr>
        <w:t>,</w:t>
      </w:r>
      <w:r w:rsidRPr="002F50BD">
        <w:rPr>
          <w:rFonts w:ascii="Verdana" w:hAnsi="Verdana"/>
          <w:sz w:val="20"/>
          <w:lang w:val="pt-BR"/>
        </w:rPr>
        <w:t xml:space="preserve"> </w:t>
      </w:r>
      <w:r w:rsidR="004076AD" w:rsidRPr="002F50BD">
        <w:rPr>
          <w:rFonts w:ascii="Verdana" w:hAnsi="Verdana"/>
          <w:sz w:val="20"/>
          <w:lang w:val="pt-BR"/>
        </w:rPr>
        <w:t xml:space="preserve">estaria </w:t>
      </w:r>
      <w:r w:rsidR="00C247F1" w:rsidRPr="002F50BD">
        <w:rPr>
          <w:rFonts w:ascii="Verdana" w:hAnsi="Verdana"/>
          <w:sz w:val="20"/>
          <w:lang w:val="pt-BR"/>
        </w:rPr>
        <w:t xml:space="preserve">despejando os que têm a </w:t>
      </w:r>
      <w:r w:rsidRPr="002F50BD">
        <w:rPr>
          <w:rFonts w:ascii="Verdana" w:hAnsi="Verdana"/>
          <w:sz w:val="20"/>
          <w:lang w:val="pt-BR"/>
        </w:rPr>
        <w:t xml:space="preserve">propriedade dos </w:t>
      </w:r>
      <w:r w:rsidR="000920B2" w:rsidRPr="002F50BD">
        <w:rPr>
          <w:rFonts w:ascii="Verdana" w:hAnsi="Verdana"/>
          <w:sz w:val="20"/>
          <w:lang w:val="pt-BR"/>
        </w:rPr>
        <w:t>imóveis</w:t>
      </w:r>
      <w:r w:rsidR="004756C1" w:rsidRPr="002F50BD">
        <w:rPr>
          <w:rFonts w:ascii="Verdana" w:hAnsi="Verdana"/>
          <w:sz w:val="20"/>
          <w:lang w:val="pt-BR"/>
        </w:rPr>
        <w:t xml:space="preserve"> conforme</w:t>
      </w:r>
      <w:r w:rsidRPr="002F50BD">
        <w:rPr>
          <w:rFonts w:ascii="Verdana" w:hAnsi="Verdana"/>
          <w:sz w:val="20"/>
          <w:lang w:val="pt-BR"/>
        </w:rPr>
        <w:t xml:space="preserve"> </w:t>
      </w:r>
      <w:r w:rsidR="00C247F1"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interna</w:t>
      </w:r>
      <w:r w:rsidR="00CD7100" w:rsidRPr="002F50BD">
        <w:rPr>
          <w:rFonts w:ascii="Verdana" w:hAnsi="Verdana"/>
          <w:sz w:val="20"/>
          <w:lang w:val="pt-BR"/>
        </w:rPr>
        <w:t>. Em</w:t>
      </w:r>
      <w:r w:rsidRPr="002F50BD">
        <w:rPr>
          <w:rFonts w:ascii="Verdana" w:hAnsi="Verdana"/>
          <w:sz w:val="20"/>
          <w:lang w:val="pt-BR"/>
        </w:rPr>
        <w:t xml:space="preserve"> </w:t>
      </w:r>
      <w:r w:rsidR="004756C1" w:rsidRPr="002F50BD">
        <w:rPr>
          <w:rFonts w:ascii="Verdana" w:hAnsi="Verdana"/>
          <w:sz w:val="20"/>
          <w:lang w:val="pt-BR"/>
        </w:rPr>
        <w:t>tal sentido,</w:t>
      </w:r>
      <w:r w:rsidRPr="002F50BD">
        <w:rPr>
          <w:rFonts w:ascii="Verdana" w:hAnsi="Verdana"/>
          <w:sz w:val="20"/>
          <w:lang w:val="pt-BR"/>
        </w:rPr>
        <w:t xml:space="preserve"> o </w:t>
      </w:r>
      <w:r w:rsidR="006603BE" w:rsidRPr="002F50BD">
        <w:rPr>
          <w:rFonts w:ascii="Verdana" w:hAnsi="Verdana"/>
          <w:sz w:val="20"/>
          <w:lang w:val="pt-BR"/>
        </w:rPr>
        <w:t>Poder Judiciário</w:t>
      </w:r>
      <w:r w:rsidRPr="002F50BD">
        <w:rPr>
          <w:rFonts w:ascii="Verdana" w:hAnsi="Verdana"/>
          <w:sz w:val="20"/>
          <w:lang w:val="pt-BR"/>
        </w:rPr>
        <w:t xml:space="preserve"> é </w:t>
      </w:r>
      <w:r w:rsidR="004756C1" w:rsidRPr="002F50BD">
        <w:rPr>
          <w:rFonts w:ascii="Verdana" w:hAnsi="Verdana"/>
          <w:sz w:val="20"/>
          <w:lang w:val="pt-BR"/>
        </w:rPr>
        <w:t>que</w:t>
      </w:r>
      <w:r w:rsidR="00C247F1"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tem a jurisdição</w:t>
      </w:r>
      <w:r w:rsidR="004756C1" w:rsidRPr="002F50BD">
        <w:rPr>
          <w:rFonts w:ascii="Verdana" w:hAnsi="Verdana"/>
          <w:sz w:val="20"/>
          <w:lang w:val="pt-BR"/>
        </w:rPr>
        <w:t xml:space="preserve"> para </w:t>
      </w:r>
      <w:r w:rsidR="00C247F1" w:rsidRPr="002F50BD">
        <w:rPr>
          <w:rFonts w:ascii="Verdana" w:hAnsi="Verdana"/>
          <w:sz w:val="20"/>
          <w:lang w:val="pt-BR"/>
        </w:rPr>
        <w:t xml:space="preserve">decidir </w:t>
      </w:r>
      <w:r w:rsidRPr="002F50BD">
        <w:rPr>
          <w:rFonts w:ascii="Verdana" w:hAnsi="Verdana"/>
          <w:sz w:val="20"/>
          <w:lang w:val="pt-BR"/>
        </w:rPr>
        <w:t xml:space="preserve">os </w:t>
      </w:r>
      <w:r w:rsidR="004756C1" w:rsidRPr="002F50BD">
        <w:rPr>
          <w:rFonts w:ascii="Verdana" w:hAnsi="Verdana"/>
          <w:sz w:val="20"/>
          <w:lang w:val="pt-BR"/>
        </w:rPr>
        <w:t xml:space="preserve">casos de disputa </w:t>
      </w:r>
      <w:r w:rsidRPr="002F50BD">
        <w:rPr>
          <w:rFonts w:ascii="Verdana" w:hAnsi="Verdana"/>
          <w:sz w:val="20"/>
          <w:lang w:val="pt-BR"/>
        </w:rPr>
        <w:t>do melhor</w:t>
      </w:r>
      <w:r w:rsidR="004756C1" w:rsidRPr="002F50BD">
        <w:rPr>
          <w:rFonts w:ascii="Verdana" w:hAnsi="Verdana"/>
          <w:sz w:val="20"/>
          <w:lang w:val="pt-BR"/>
        </w:rPr>
        <w:t xml:space="preserve"> </w:t>
      </w:r>
      <w:r w:rsidRPr="002F50BD">
        <w:rPr>
          <w:rFonts w:ascii="Verdana" w:hAnsi="Verdana"/>
          <w:sz w:val="20"/>
          <w:lang w:val="pt-BR"/>
        </w:rPr>
        <w:t>direito</w:t>
      </w:r>
      <w:r w:rsidR="001A0CDE" w:rsidRPr="002F50BD">
        <w:rPr>
          <w:rFonts w:ascii="Verdana" w:hAnsi="Verdana"/>
          <w:sz w:val="20"/>
          <w:lang w:val="pt-BR"/>
        </w:rPr>
        <w:t>. Neste</w:t>
      </w:r>
      <w:r w:rsidRPr="002F50BD">
        <w:rPr>
          <w:rFonts w:ascii="Verdana" w:hAnsi="Verdana"/>
          <w:sz w:val="20"/>
          <w:lang w:val="pt-BR"/>
        </w:rPr>
        <w:t xml:space="preserve"> </w:t>
      </w:r>
      <w:r w:rsidR="004756C1" w:rsidRPr="002F50BD">
        <w:rPr>
          <w:rFonts w:ascii="Verdana" w:hAnsi="Verdana"/>
          <w:sz w:val="20"/>
          <w:lang w:val="pt-BR"/>
        </w:rPr>
        <w:t>caso,</w:t>
      </w:r>
      <w:r w:rsidRPr="002F50BD">
        <w:rPr>
          <w:rFonts w:ascii="Verdana" w:hAnsi="Verdana"/>
          <w:sz w:val="20"/>
          <w:lang w:val="pt-BR"/>
        </w:rPr>
        <w:t xml:space="preserve"> o </w:t>
      </w:r>
      <w:r w:rsidR="006603BE" w:rsidRPr="002F50BD">
        <w:rPr>
          <w:rFonts w:ascii="Verdana" w:hAnsi="Verdana"/>
          <w:sz w:val="20"/>
          <w:lang w:val="pt-BR"/>
        </w:rPr>
        <w:t>Poder Judiciário</w:t>
      </w:r>
      <w:r w:rsidR="004756C1" w:rsidRPr="002F50BD">
        <w:rPr>
          <w:rFonts w:ascii="Verdana" w:hAnsi="Verdana"/>
          <w:sz w:val="20"/>
          <w:lang w:val="pt-BR"/>
        </w:rPr>
        <w:t xml:space="preserve"> </w:t>
      </w:r>
      <w:r w:rsidR="00C247F1" w:rsidRPr="002F50BD">
        <w:rPr>
          <w:rFonts w:ascii="Verdana" w:hAnsi="Verdana"/>
          <w:sz w:val="20"/>
          <w:lang w:val="pt-BR"/>
        </w:rPr>
        <w:t>determinou</w:t>
      </w:r>
      <w:r w:rsidR="004756C1" w:rsidRPr="002F50BD">
        <w:rPr>
          <w:rFonts w:ascii="Verdana" w:hAnsi="Verdana"/>
          <w:sz w:val="20"/>
          <w:lang w:val="pt-BR"/>
        </w:rPr>
        <w:t xml:space="preserve"> que </w:t>
      </w:r>
      <w:r w:rsidR="00AB454A" w:rsidRPr="002F50BD">
        <w:rPr>
          <w:rFonts w:ascii="Verdana" w:hAnsi="Verdana"/>
          <w:sz w:val="20"/>
          <w:lang w:val="pt-BR"/>
        </w:rPr>
        <w:t>não é</w:t>
      </w:r>
      <w:r w:rsidRPr="002F50BD">
        <w:rPr>
          <w:rFonts w:ascii="Verdana" w:hAnsi="Verdana"/>
          <w:sz w:val="20"/>
          <w:lang w:val="pt-BR"/>
        </w:rPr>
        <w:t xml:space="preserve"> possível </w:t>
      </w:r>
      <w:r w:rsidR="004756C1" w:rsidRPr="002F50BD">
        <w:rPr>
          <w:rFonts w:ascii="Verdana" w:hAnsi="Verdana"/>
          <w:sz w:val="20"/>
          <w:lang w:val="pt-BR"/>
        </w:rPr>
        <w:t>privar</w:t>
      </w:r>
      <w:r w:rsidRPr="002F50BD">
        <w:rPr>
          <w:rFonts w:ascii="Verdana" w:hAnsi="Verdana"/>
          <w:sz w:val="20"/>
          <w:lang w:val="pt-BR"/>
        </w:rPr>
        <w:t xml:space="preserve"> os </w:t>
      </w:r>
      <w:r w:rsidR="007801FA" w:rsidRPr="002F50BD">
        <w:rPr>
          <w:rFonts w:ascii="Verdana" w:hAnsi="Verdana"/>
          <w:sz w:val="20"/>
          <w:lang w:val="pt-BR"/>
        </w:rPr>
        <w:t>proprietário</w:t>
      </w:r>
      <w:r w:rsidR="004756C1" w:rsidRPr="002F50BD">
        <w:rPr>
          <w:rFonts w:ascii="Verdana" w:hAnsi="Verdana"/>
          <w:sz w:val="20"/>
          <w:lang w:val="pt-BR"/>
        </w:rPr>
        <w:t xml:space="preserve">s </w:t>
      </w:r>
      <w:r w:rsidRPr="002F50BD">
        <w:rPr>
          <w:rFonts w:ascii="Verdana" w:hAnsi="Verdana"/>
          <w:sz w:val="20"/>
          <w:lang w:val="pt-BR"/>
        </w:rPr>
        <w:t>do imóvel</w:t>
      </w:r>
      <w:r w:rsidR="004756C1" w:rsidRPr="002F50BD">
        <w:rPr>
          <w:rFonts w:ascii="Verdana" w:hAnsi="Verdana"/>
          <w:sz w:val="20"/>
          <w:lang w:val="pt-BR"/>
        </w:rPr>
        <w:t xml:space="preserve"> de </w:t>
      </w:r>
      <w:r w:rsidRPr="002F50BD">
        <w:rPr>
          <w:rFonts w:ascii="Verdana" w:hAnsi="Verdana"/>
          <w:sz w:val="20"/>
          <w:lang w:val="pt-BR"/>
        </w:rPr>
        <w:t>exercer</w:t>
      </w:r>
      <w:r w:rsidR="00C247F1" w:rsidRPr="002F50BD">
        <w:rPr>
          <w:rFonts w:ascii="Verdana" w:hAnsi="Verdana"/>
          <w:sz w:val="20"/>
          <w:lang w:val="pt-BR"/>
        </w:rPr>
        <w:t>em</w:t>
      </w:r>
      <w:r w:rsidR="004756C1" w:rsidRPr="002F50BD">
        <w:rPr>
          <w:rFonts w:ascii="Verdana" w:hAnsi="Verdana"/>
          <w:sz w:val="20"/>
          <w:lang w:val="pt-BR"/>
        </w:rPr>
        <w:t xml:space="preserve"> dentro de su</w:t>
      </w:r>
      <w:r w:rsidR="00C247F1"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propriedad</w:t>
      </w:r>
      <w:r w:rsidR="00C247F1" w:rsidRPr="002F50BD">
        <w:rPr>
          <w:rFonts w:ascii="Verdana" w:hAnsi="Verdana"/>
          <w:sz w:val="20"/>
          <w:lang w:val="pt-BR"/>
        </w:rPr>
        <w:t xml:space="preserve">e </w:t>
      </w:r>
      <w:r w:rsidRPr="002F50BD">
        <w:rPr>
          <w:rFonts w:ascii="Verdana" w:hAnsi="Verdana"/>
          <w:sz w:val="20"/>
          <w:lang w:val="pt-BR"/>
        </w:rPr>
        <w:t>os direito</w:t>
      </w:r>
      <w:r w:rsidR="004756C1" w:rsidRPr="002F50BD">
        <w:rPr>
          <w:rFonts w:ascii="Verdana" w:hAnsi="Verdana"/>
          <w:sz w:val="20"/>
          <w:lang w:val="pt-BR"/>
        </w:rPr>
        <w:t>s que</w:t>
      </w:r>
      <w:r w:rsidRPr="002F50BD">
        <w:rPr>
          <w:rFonts w:ascii="Verdana" w:hAnsi="Verdana"/>
          <w:sz w:val="20"/>
          <w:lang w:val="pt-BR"/>
        </w:rPr>
        <w:t xml:space="preserve"> a lei </w:t>
      </w:r>
      <w:r w:rsidR="00C247F1" w:rsidRPr="002F50BD">
        <w:rPr>
          <w:rFonts w:ascii="Verdana" w:hAnsi="Verdana"/>
          <w:sz w:val="20"/>
          <w:lang w:val="pt-BR"/>
        </w:rPr>
        <w:t>lhes</w:t>
      </w:r>
      <w:r w:rsidR="004756C1" w:rsidRPr="002F50BD">
        <w:rPr>
          <w:rFonts w:ascii="Verdana" w:hAnsi="Verdana"/>
          <w:sz w:val="20"/>
          <w:lang w:val="pt-BR"/>
        </w:rPr>
        <w:t xml:space="preserve"> </w:t>
      </w:r>
      <w:r w:rsidR="001051F4" w:rsidRPr="002F50BD">
        <w:rPr>
          <w:rFonts w:ascii="Verdana" w:hAnsi="Verdana"/>
          <w:sz w:val="20"/>
          <w:lang w:val="pt-BR"/>
        </w:rPr>
        <w:t>confere</w:t>
      </w:r>
      <w:r w:rsidR="004756C1" w:rsidRPr="002F50BD">
        <w:rPr>
          <w:rFonts w:ascii="Verdana" w:hAnsi="Verdana"/>
          <w:sz w:val="20"/>
          <w:lang w:val="pt-BR"/>
        </w:rPr>
        <w:t>.</w:t>
      </w:r>
      <w:r w:rsidR="00FE08B7">
        <w:rPr>
          <w:rFonts w:ascii="Verdana" w:hAnsi="Verdana"/>
          <w:sz w:val="20"/>
          <w:lang w:val="pt-BR"/>
        </w:rPr>
        <w:t xml:space="preserve"> </w:t>
      </w:r>
      <w:r w:rsidR="00C247F1"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Poder Legislativo </w:t>
      </w:r>
      <w:r w:rsidR="00C247F1" w:rsidRPr="002F50BD">
        <w:rPr>
          <w:rFonts w:ascii="Verdana" w:hAnsi="Verdana"/>
          <w:sz w:val="20"/>
          <w:lang w:val="pt-BR"/>
        </w:rPr>
        <w:t xml:space="preserve">negou </w:t>
      </w:r>
      <w:r w:rsidRPr="002F50BD">
        <w:rPr>
          <w:rFonts w:ascii="Verdana" w:hAnsi="Verdana"/>
          <w:sz w:val="20"/>
          <w:lang w:val="pt-BR"/>
        </w:rPr>
        <w:t xml:space="preserve">a </w:t>
      </w:r>
      <w:r w:rsidR="00DB51F0" w:rsidRPr="002F50BD">
        <w:rPr>
          <w:rFonts w:ascii="Verdana" w:hAnsi="Verdana"/>
          <w:sz w:val="20"/>
          <w:lang w:val="pt-BR"/>
        </w:rPr>
        <w:t>expropriação</w:t>
      </w:r>
      <w:r w:rsidR="004756C1" w:rsidRPr="002F50BD">
        <w:rPr>
          <w:rFonts w:ascii="Verdana" w:hAnsi="Verdana"/>
          <w:sz w:val="20"/>
          <w:lang w:val="pt-BR"/>
        </w:rPr>
        <w:t xml:space="preserve"> solicitada por </w:t>
      </w:r>
      <w:r w:rsidRPr="002F50BD">
        <w:rPr>
          <w:rFonts w:ascii="Verdana" w:hAnsi="Verdana"/>
          <w:sz w:val="20"/>
          <w:lang w:val="pt-BR"/>
        </w:rPr>
        <w:t>ter</w:t>
      </w:r>
      <w:r w:rsidR="00C247F1" w:rsidRPr="002F50BD">
        <w:rPr>
          <w:rFonts w:ascii="Verdana" w:hAnsi="Verdana"/>
          <w:sz w:val="20"/>
          <w:lang w:val="pt-BR"/>
        </w:rPr>
        <w:t xml:space="preserve"> sido </w:t>
      </w:r>
      <w:r w:rsidR="004756C1" w:rsidRPr="002F50BD">
        <w:rPr>
          <w:rFonts w:ascii="Verdana" w:hAnsi="Verdana"/>
          <w:sz w:val="20"/>
          <w:lang w:val="pt-BR"/>
        </w:rPr>
        <w:t>com</w:t>
      </w:r>
      <w:r w:rsidRPr="002F50BD">
        <w:rPr>
          <w:rFonts w:ascii="Verdana" w:hAnsi="Verdana"/>
          <w:sz w:val="20"/>
          <w:lang w:val="pt-BR"/>
        </w:rPr>
        <w:t>provad</w:t>
      </w:r>
      <w:r w:rsidR="004756C1" w:rsidRPr="002F50BD">
        <w:rPr>
          <w:rFonts w:ascii="Verdana" w:hAnsi="Verdana"/>
          <w:sz w:val="20"/>
          <w:lang w:val="pt-BR"/>
        </w:rPr>
        <w:t>o que</w:t>
      </w:r>
      <w:r w:rsidRPr="002F50BD">
        <w:rPr>
          <w:rFonts w:ascii="Verdana" w:hAnsi="Verdana"/>
          <w:sz w:val="20"/>
          <w:lang w:val="pt-BR"/>
        </w:rPr>
        <w:t xml:space="preserve"> o imóvel</w:t>
      </w:r>
      <w:r w:rsidR="004756C1" w:rsidRPr="002F50BD">
        <w:rPr>
          <w:rFonts w:ascii="Verdana" w:hAnsi="Verdana"/>
          <w:sz w:val="20"/>
          <w:lang w:val="pt-BR"/>
        </w:rPr>
        <w:t xml:space="preserve"> reclamado está racionalmente </w:t>
      </w:r>
      <w:r w:rsidR="00475EBB" w:rsidRPr="002F50BD">
        <w:rPr>
          <w:rFonts w:ascii="Verdana" w:hAnsi="Verdana"/>
          <w:sz w:val="20"/>
          <w:lang w:val="pt-BR"/>
        </w:rPr>
        <w:t>explorad</w:t>
      </w:r>
      <w:r w:rsidR="004756C1" w:rsidRPr="002F50BD">
        <w:rPr>
          <w:rFonts w:ascii="Verdana" w:hAnsi="Verdana"/>
          <w:sz w:val="20"/>
          <w:lang w:val="pt-BR"/>
        </w:rPr>
        <w:t>o;</w:t>
      </w:r>
    </w:p>
    <w:p w:rsidR="004756C1" w:rsidRPr="002F50BD" w:rsidRDefault="004756C1">
      <w:pPr>
        <w:tabs>
          <w:tab w:val="left" w:pos="1080"/>
          <w:tab w:val="left" w:pos="3420"/>
        </w:tabs>
        <w:ind w:left="720"/>
        <w:jc w:val="both"/>
        <w:rPr>
          <w:rFonts w:ascii="Verdana" w:hAnsi="Verdana"/>
          <w:sz w:val="20"/>
          <w:lang w:val="pt-BR"/>
        </w:rPr>
      </w:pPr>
    </w:p>
    <w:p w:rsidR="004756C1" w:rsidRPr="002F50BD" w:rsidRDefault="00C247F1">
      <w:pPr>
        <w:numPr>
          <w:ilvl w:val="0"/>
          <w:numId w:val="11"/>
        </w:numPr>
        <w:tabs>
          <w:tab w:val="left" w:pos="1080"/>
          <w:tab w:val="left" w:pos="3420"/>
        </w:tabs>
        <w:ind w:left="720"/>
        <w:jc w:val="both"/>
        <w:rPr>
          <w:rFonts w:ascii="Verdana" w:hAnsi="Verdana"/>
          <w:sz w:val="20"/>
          <w:lang w:val="pt-BR"/>
        </w:rPr>
      </w:pPr>
      <w:r w:rsidRPr="002F50BD">
        <w:rPr>
          <w:rFonts w:ascii="Verdana" w:hAnsi="Verdana"/>
          <w:sz w:val="20"/>
          <w:lang w:val="pt-BR"/>
        </w:rPr>
        <w:t>G</w:t>
      </w:r>
      <w:r w:rsidR="00F46680" w:rsidRPr="002F50BD">
        <w:rPr>
          <w:rFonts w:ascii="Verdana" w:hAnsi="Verdana"/>
          <w:sz w:val="20"/>
          <w:lang w:val="pt-BR"/>
        </w:rPr>
        <w:t>arantiu</w:t>
      </w:r>
      <w:r w:rsidR="0089298C" w:rsidRPr="002F50BD">
        <w:rPr>
          <w:rFonts w:ascii="Verdana" w:hAnsi="Verdana"/>
          <w:sz w:val="20"/>
          <w:lang w:val="pt-BR"/>
        </w:rPr>
        <w:t xml:space="preserve"> à Comunidade </w:t>
      </w:r>
      <w:r w:rsidR="004756C1" w:rsidRPr="002F50BD">
        <w:rPr>
          <w:rFonts w:ascii="Verdana" w:hAnsi="Verdana"/>
          <w:sz w:val="20"/>
          <w:lang w:val="pt-BR"/>
        </w:rPr>
        <w:t>indígena</w:t>
      </w:r>
      <w:r w:rsidR="0089298C" w:rsidRPr="002F50BD">
        <w:rPr>
          <w:rFonts w:ascii="Verdana" w:hAnsi="Verdana"/>
          <w:sz w:val="20"/>
          <w:lang w:val="pt-BR"/>
        </w:rPr>
        <w:t xml:space="preserve"> o acesso</w:t>
      </w:r>
      <w:r w:rsidR="004756C1" w:rsidRPr="002F50BD">
        <w:rPr>
          <w:rFonts w:ascii="Verdana" w:hAnsi="Verdana"/>
          <w:sz w:val="20"/>
          <w:lang w:val="pt-BR"/>
        </w:rPr>
        <w:t xml:space="preserve"> a todos</w:t>
      </w:r>
      <w:r w:rsidR="0089298C" w:rsidRPr="002F50BD">
        <w:rPr>
          <w:rFonts w:ascii="Verdana" w:hAnsi="Verdana"/>
          <w:sz w:val="20"/>
          <w:lang w:val="pt-BR"/>
        </w:rPr>
        <w:t xml:space="preserve"> os </w:t>
      </w:r>
      <w:r w:rsidR="004756C1" w:rsidRPr="002F50BD">
        <w:rPr>
          <w:rFonts w:ascii="Verdana" w:hAnsi="Verdana"/>
          <w:sz w:val="20"/>
          <w:lang w:val="pt-BR"/>
        </w:rPr>
        <w:t xml:space="preserve">meios </w:t>
      </w:r>
      <w:r w:rsidR="0089298C" w:rsidRPr="002F50BD">
        <w:rPr>
          <w:rFonts w:ascii="Verdana" w:hAnsi="Verdana"/>
          <w:sz w:val="20"/>
          <w:lang w:val="pt-BR"/>
        </w:rPr>
        <w:t>legais</w:t>
      </w:r>
      <w:r w:rsidR="004756C1" w:rsidRPr="002F50BD">
        <w:rPr>
          <w:rFonts w:ascii="Verdana" w:hAnsi="Verdana"/>
          <w:sz w:val="20"/>
          <w:lang w:val="pt-BR"/>
        </w:rPr>
        <w:t xml:space="preserve"> </w:t>
      </w:r>
      <w:r w:rsidR="0089298C" w:rsidRPr="002F50BD">
        <w:rPr>
          <w:rFonts w:ascii="Verdana" w:hAnsi="Verdana"/>
          <w:sz w:val="20"/>
          <w:lang w:val="pt-BR"/>
        </w:rPr>
        <w:t>disponíveis</w:t>
      </w:r>
      <w:r w:rsidR="004756C1" w:rsidRPr="002F50BD">
        <w:rPr>
          <w:rFonts w:ascii="Verdana" w:hAnsi="Verdana"/>
          <w:sz w:val="20"/>
          <w:lang w:val="pt-BR"/>
        </w:rPr>
        <w:t xml:space="preserve"> para </w:t>
      </w:r>
      <w:r w:rsidR="0089298C" w:rsidRPr="002F50BD">
        <w:rPr>
          <w:rFonts w:ascii="Verdana" w:hAnsi="Verdana"/>
          <w:sz w:val="20"/>
          <w:lang w:val="pt-BR"/>
        </w:rPr>
        <w:t>exercer o direito à propriedade e</w:t>
      </w:r>
      <w:r w:rsidR="00EB07FE" w:rsidRPr="002F50BD">
        <w:rPr>
          <w:rFonts w:ascii="Verdana" w:hAnsi="Verdana"/>
          <w:sz w:val="20"/>
          <w:lang w:val="pt-BR"/>
        </w:rPr>
        <w:t>,</w:t>
      </w:r>
      <w:r w:rsidR="0089298C" w:rsidRPr="002F50BD">
        <w:rPr>
          <w:rFonts w:ascii="Verdana" w:hAnsi="Verdana"/>
          <w:sz w:val="20"/>
          <w:lang w:val="pt-BR"/>
        </w:rPr>
        <w:t xml:space="preserve"> se </w:t>
      </w:r>
      <w:r w:rsidR="004756C1" w:rsidRPr="002F50BD">
        <w:rPr>
          <w:rFonts w:ascii="Verdana" w:hAnsi="Verdana"/>
          <w:sz w:val="20"/>
          <w:lang w:val="pt-BR"/>
        </w:rPr>
        <w:t xml:space="preserve">tal </w:t>
      </w:r>
      <w:r w:rsidR="0089298C" w:rsidRPr="002F50BD">
        <w:rPr>
          <w:rFonts w:ascii="Verdana" w:hAnsi="Verdana"/>
          <w:sz w:val="20"/>
          <w:lang w:val="pt-BR"/>
        </w:rPr>
        <w:t>direito</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pôde ser satisfeito até a presente data, isso se </w:t>
      </w:r>
      <w:r w:rsidR="0089298C" w:rsidRPr="002F50BD">
        <w:rPr>
          <w:rFonts w:ascii="Verdana" w:hAnsi="Verdana"/>
          <w:sz w:val="20"/>
          <w:lang w:val="pt-BR"/>
        </w:rPr>
        <w:t xml:space="preserve">deve </w:t>
      </w:r>
      <w:r w:rsidR="004756C1" w:rsidRPr="002F50BD">
        <w:rPr>
          <w:rFonts w:ascii="Verdana" w:hAnsi="Verdana"/>
          <w:sz w:val="20"/>
          <w:lang w:val="pt-BR"/>
        </w:rPr>
        <w:t>a situa</w:t>
      </w:r>
      <w:r w:rsidR="0089298C" w:rsidRPr="002F50BD">
        <w:rPr>
          <w:rFonts w:ascii="Verdana" w:hAnsi="Verdana"/>
          <w:sz w:val="20"/>
          <w:lang w:val="pt-BR"/>
        </w:rPr>
        <w:t>ções</w:t>
      </w:r>
      <w:r w:rsidR="004756C1" w:rsidRPr="002F50BD">
        <w:rPr>
          <w:rFonts w:ascii="Verdana" w:hAnsi="Verdana"/>
          <w:sz w:val="20"/>
          <w:lang w:val="pt-BR"/>
        </w:rPr>
        <w:t xml:space="preserve"> de</w:t>
      </w:r>
      <w:r w:rsidR="0089298C" w:rsidRPr="002F50BD">
        <w:rPr>
          <w:rFonts w:ascii="Verdana" w:hAnsi="Verdana"/>
          <w:sz w:val="20"/>
          <w:lang w:val="pt-BR"/>
        </w:rPr>
        <w:t xml:space="preserve"> fato e </w:t>
      </w:r>
      <w:r w:rsidR="004756C1" w:rsidRPr="002F50BD">
        <w:rPr>
          <w:rFonts w:ascii="Verdana" w:hAnsi="Verdana"/>
          <w:sz w:val="20"/>
          <w:lang w:val="pt-BR"/>
        </w:rPr>
        <w:t xml:space="preserve">de </w:t>
      </w:r>
      <w:r w:rsidR="0089298C" w:rsidRPr="002F50BD">
        <w:rPr>
          <w:rFonts w:ascii="Verdana" w:hAnsi="Verdana"/>
          <w:sz w:val="20"/>
          <w:lang w:val="pt-BR"/>
        </w:rPr>
        <w:t>direito</w:t>
      </w:r>
      <w:r w:rsidR="004756C1" w:rsidRPr="002F50BD">
        <w:rPr>
          <w:rFonts w:ascii="Verdana" w:hAnsi="Verdana"/>
          <w:sz w:val="20"/>
          <w:lang w:val="pt-BR"/>
        </w:rPr>
        <w:t xml:space="preserve"> </w:t>
      </w:r>
      <w:r w:rsidR="00AB454A" w:rsidRPr="002F50BD">
        <w:rPr>
          <w:rFonts w:ascii="Verdana" w:hAnsi="Verdana"/>
          <w:sz w:val="20"/>
          <w:lang w:val="pt-BR"/>
        </w:rPr>
        <w:t>que não foram</w:t>
      </w:r>
      <w:r w:rsidR="004756C1" w:rsidRPr="002F50BD">
        <w:rPr>
          <w:rFonts w:ascii="Verdana" w:hAnsi="Verdana"/>
          <w:sz w:val="20"/>
          <w:lang w:val="pt-BR"/>
        </w:rPr>
        <w:t xml:space="preserve"> </w:t>
      </w:r>
      <w:r w:rsidR="004076AD" w:rsidRPr="002F50BD">
        <w:rPr>
          <w:rFonts w:ascii="Verdana" w:hAnsi="Verdana"/>
          <w:sz w:val="20"/>
          <w:lang w:val="pt-BR"/>
        </w:rPr>
        <w:t>resolvid</w:t>
      </w:r>
      <w:r w:rsidR="004756C1" w:rsidRPr="002F50BD">
        <w:rPr>
          <w:rFonts w:ascii="Verdana" w:hAnsi="Verdana"/>
          <w:sz w:val="20"/>
          <w:lang w:val="pt-BR"/>
        </w:rPr>
        <w:t>as</w:t>
      </w:r>
      <w:r w:rsidR="0089298C" w:rsidRPr="002F50BD">
        <w:rPr>
          <w:rFonts w:ascii="Verdana" w:hAnsi="Verdana"/>
          <w:sz w:val="20"/>
          <w:lang w:val="pt-BR"/>
        </w:rPr>
        <w:t xml:space="preserve"> </w:t>
      </w:r>
      <w:r w:rsidRPr="002F50BD">
        <w:rPr>
          <w:rFonts w:ascii="Verdana" w:hAnsi="Verdana"/>
          <w:sz w:val="20"/>
          <w:lang w:val="pt-BR"/>
        </w:rPr>
        <w:t xml:space="preserve">no foro </w:t>
      </w:r>
      <w:r w:rsidR="004756C1" w:rsidRPr="002F50BD">
        <w:rPr>
          <w:rFonts w:ascii="Verdana" w:hAnsi="Verdana"/>
          <w:sz w:val="20"/>
          <w:lang w:val="pt-BR"/>
        </w:rPr>
        <w:t>intern</w:t>
      </w:r>
      <w:r w:rsidRPr="002F50BD">
        <w:rPr>
          <w:rFonts w:ascii="Verdana" w:hAnsi="Verdana"/>
          <w:sz w:val="20"/>
          <w:lang w:val="pt-BR"/>
        </w:rPr>
        <w:t>o</w:t>
      </w:r>
      <w:r w:rsidR="004756C1" w:rsidRPr="002F50BD">
        <w:rPr>
          <w:rFonts w:ascii="Verdana" w:hAnsi="Verdana"/>
          <w:sz w:val="20"/>
          <w:lang w:val="pt-BR"/>
        </w:rPr>
        <w:t>,</w:t>
      </w:r>
      <w:r w:rsidR="0089298C" w:rsidRPr="002F50BD">
        <w:rPr>
          <w:rFonts w:ascii="Verdana" w:hAnsi="Verdana"/>
          <w:sz w:val="20"/>
          <w:lang w:val="pt-BR"/>
        </w:rPr>
        <w:t xml:space="preserve"> sem </w:t>
      </w:r>
      <w:r w:rsidR="004756C1" w:rsidRPr="002F50BD">
        <w:rPr>
          <w:rFonts w:ascii="Verdana" w:hAnsi="Verdana"/>
          <w:sz w:val="20"/>
          <w:lang w:val="pt-BR"/>
        </w:rPr>
        <w:t>que</w:t>
      </w:r>
      <w:r w:rsidR="0089298C" w:rsidRPr="002F50BD">
        <w:rPr>
          <w:rFonts w:ascii="Verdana" w:hAnsi="Verdana"/>
          <w:sz w:val="20"/>
          <w:lang w:val="pt-BR"/>
        </w:rPr>
        <w:t xml:space="preserve"> </w:t>
      </w:r>
      <w:r w:rsidRPr="002F50BD">
        <w:rPr>
          <w:rFonts w:ascii="Verdana" w:hAnsi="Verdana"/>
          <w:sz w:val="20"/>
          <w:lang w:val="pt-BR"/>
        </w:rPr>
        <w:t xml:space="preserve">isso </w:t>
      </w:r>
      <w:r w:rsidR="004756C1" w:rsidRPr="002F50BD">
        <w:rPr>
          <w:rFonts w:ascii="Verdana" w:hAnsi="Verdana"/>
          <w:sz w:val="20"/>
          <w:lang w:val="pt-BR"/>
        </w:rPr>
        <w:t>represente</w:t>
      </w:r>
      <w:r w:rsidR="0089298C" w:rsidRPr="002F50BD">
        <w:rPr>
          <w:rFonts w:ascii="Verdana" w:hAnsi="Verdana"/>
          <w:sz w:val="20"/>
          <w:lang w:val="pt-BR"/>
        </w:rPr>
        <w:t xml:space="preserve"> uma obstrução</w:t>
      </w:r>
      <w:r w:rsidR="004756C1" w:rsidRPr="002F50BD">
        <w:rPr>
          <w:rFonts w:ascii="Verdana" w:hAnsi="Verdana"/>
          <w:sz w:val="20"/>
          <w:lang w:val="pt-BR"/>
        </w:rPr>
        <w:t xml:space="preserve"> o</w:t>
      </w:r>
      <w:r w:rsidRPr="002F50BD">
        <w:rPr>
          <w:rFonts w:ascii="Verdana" w:hAnsi="Verdana"/>
          <w:sz w:val="20"/>
          <w:lang w:val="pt-BR"/>
        </w:rPr>
        <w:t>u</w:t>
      </w:r>
      <w:r w:rsidR="004756C1" w:rsidRPr="002F50BD">
        <w:rPr>
          <w:rFonts w:ascii="Verdana" w:hAnsi="Verdana"/>
          <w:sz w:val="20"/>
          <w:lang w:val="pt-BR"/>
        </w:rPr>
        <w:t xml:space="preserve"> denega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s;</w:t>
      </w:r>
    </w:p>
    <w:p w:rsidR="004756C1" w:rsidRPr="002F50BD" w:rsidRDefault="004756C1">
      <w:pPr>
        <w:tabs>
          <w:tab w:val="left" w:pos="1080"/>
          <w:tab w:val="left" w:pos="3420"/>
        </w:tabs>
        <w:ind w:left="720"/>
        <w:jc w:val="both"/>
        <w:rPr>
          <w:rFonts w:ascii="Verdana" w:hAnsi="Verdana"/>
          <w:sz w:val="20"/>
          <w:lang w:val="pt-BR"/>
        </w:rPr>
      </w:pPr>
    </w:p>
    <w:p w:rsidR="004756C1" w:rsidRPr="002F50BD" w:rsidRDefault="00C247F1">
      <w:pPr>
        <w:numPr>
          <w:ilvl w:val="0"/>
          <w:numId w:val="11"/>
        </w:numPr>
        <w:tabs>
          <w:tab w:val="left" w:pos="1080"/>
          <w:tab w:val="left" w:pos="3420"/>
        </w:tabs>
        <w:ind w:left="720"/>
        <w:jc w:val="both"/>
        <w:rPr>
          <w:rFonts w:ascii="Verdana" w:hAnsi="Verdana"/>
          <w:sz w:val="20"/>
          <w:lang w:val="pt-BR"/>
        </w:rPr>
      </w:pPr>
      <w:r w:rsidRPr="002F50BD">
        <w:rPr>
          <w:rFonts w:ascii="Verdana" w:hAnsi="Verdana"/>
          <w:sz w:val="20"/>
          <w:lang w:val="pt-BR"/>
        </w:rPr>
        <w:t>Ofereceu</w:t>
      </w:r>
      <w:r w:rsidR="0089298C" w:rsidRPr="002F50BD">
        <w:rPr>
          <w:rFonts w:ascii="Verdana" w:hAnsi="Verdana"/>
          <w:sz w:val="20"/>
          <w:lang w:val="pt-BR"/>
        </w:rPr>
        <w:t xml:space="preserve"> à Comunidade </w:t>
      </w:r>
      <w:r w:rsidR="004756C1" w:rsidRPr="002F50BD">
        <w:rPr>
          <w:rFonts w:ascii="Verdana" w:hAnsi="Verdana"/>
          <w:sz w:val="20"/>
          <w:lang w:val="pt-BR"/>
        </w:rPr>
        <w:t>Yakye Axa solu</w:t>
      </w:r>
      <w:r w:rsidR="0089298C" w:rsidRPr="002F50BD">
        <w:rPr>
          <w:rFonts w:ascii="Verdana" w:hAnsi="Verdana"/>
          <w:sz w:val="20"/>
          <w:lang w:val="pt-BR"/>
        </w:rPr>
        <w:t>ções</w:t>
      </w:r>
      <w:r w:rsidR="004756C1" w:rsidRPr="002F50BD">
        <w:rPr>
          <w:rFonts w:ascii="Verdana" w:hAnsi="Verdana"/>
          <w:sz w:val="20"/>
          <w:lang w:val="pt-BR"/>
        </w:rPr>
        <w:t xml:space="preserve"> de </w:t>
      </w:r>
      <w:r w:rsidR="00EB07FE" w:rsidRPr="002F50BD">
        <w:rPr>
          <w:rFonts w:ascii="Verdana" w:hAnsi="Verdana"/>
          <w:sz w:val="20"/>
          <w:lang w:val="pt-BR"/>
        </w:rPr>
        <w:t xml:space="preserve">assentamento </w:t>
      </w:r>
      <w:r w:rsidR="004756C1" w:rsidRPr="002F50BD">
        <w:rPr>
          <w:rFonts w:ascii="Verdana" w:hAnsi="Verdana"/>
          <w:sz w:val="20"/>
          <w:lang w:val="pt-BR"/>
        </w:rPr>
        <w:t>tempor</w:t>
      </w:r>
      <w:r w:rsidRPr="002F50BD">
        <w:rPr>
          <w:rFonts w:ascii="Verdana" w:hAnsi="Verdana"/>
          <w:sz w:val="20"/>
          <w:lang w:val="pt-BR"/>
        </w:rPr>
        <w:t>ári</w:t>
      </w:r>
      <w:r w:rsidR="00EB07FE"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enquanto</w:t>
      </w:r>
      <w:r w:rsidR="004756C1" w:rsidRPr="002F50BD">
        <w:rPr>
          <w:rFonts w:ascii="Verdana" w:hAnsi="Verdana"/>
          <w:sz w:val="20"/>
          <w:lang w:val="pt-BR"/>
        </w:rPr>
        <w:t xml:space="preserve"> se negoci</w:t>
      </w:r>
      <w:r w:rsidR="00AB6727" w:rsidRPr="002F50BD">
        <w:rPr>
          <w:rFonts w:ascii="Verdana" w:hAnsi="Verdana"/>
          <w:sz w:val="20"/>
          <w:lang w:val="pt-BR"/>
        </w:rPr>
        <w:t xml:space="preserve">ava </w:t>
      </w:r>
      <w:r w:rsidR="0089298C" w:rsidRPr="002F50BD">
        <w:rPr>
          <w:rFonts w:ascii="Verdana" w:hAnsi="Verdana"/>
          <w:sz w:val="20"/>
          <w:lang w:val="pt-BR"/>
        </w:rPr>
        <w:t xml:space="preserve">uma </w:t>
      </w:r>
      <w:r w:rsidR="004756C1" w:rsidRPr="002F50BD">
        <w:rPr>
          <w:rFonts w:ascii="Verdana" w:hAnsi="Verdana"/>
          <w:sz w:val="20"/>
          <w:lang w:val="pt-BR"/>
        </w:rPr>
        <w:t>solu</w:t>
      </w:r>
      <w:r w:rsidR="0089298C" w:rsidRPr="002F50BD">
        <w:rPr>
          <w:rFonts w:ascii="Verdana" w:hAnsi="Verdana"/>
          <w:sz w:val="20"/>
          <w:lang w:val="pt-BR"/>
        </w:rPr>
        <w:t>ção ao mérito</w:t>
      </w:r>
      <w:r w:rsidR="004756C1" w:rsidRPr="002F50BD">
        <w:rPr>
          <w:rFonts w:ascii="Verdana" w:hAnsi="Verdana"/>
          <w:sz w:val="20"/>
          <w:lang w:val="pt-BR"/>
        </w:rPr>
        <w:t xml:space="preserve"> </w:t>
      </w:r>
      <w:r w:rsidR="0089298C" w:rsidRPr="002F50BD">
        <w:rPr>
          <w:rFonts w:ascii="Verdana" w:hAnsi="Verdana"/>
          <w:sz w:val="20"/>
          <w:lang w:val="pt-BR"/>
        </w:rPr>
        <w:t>do assunto</w:t>
      </w:r>
      <w:r w:rsidR="004756C1" w:rsidRPr="002F50BD">
        <w:rPr>
          <w:rFonts w:ascii="Verdana" w:hAnsi="Verdana"/>
          <w:sz w:val="20"/>
          <w:lang w:val="pt-BR"/>
        </w:rPr>
        <w:t>,</w:t>
      </w:r>
      <w:r w:rsidR="0089298C" w:rsidRPr="002F50BD">
        <w:rPr>
          <w:rFonts w:ascii="Verdana" w:hAnsi="Verdana"/>
          <w:sz w:val="20"/>
          <w:lang w:val="pt-BR"/>
        </w:rPr>
        <w:t xml:space="preserve"> sem </w:t>
      </w:r>
      <w:r w:rsidR="004756C1" w:rsidRPr="002F50BD">
        <w:rPr>
          <w:rFonts w:ascii="Verdana" w:hAnsi="Verdana"/>
          <w:sz w:val="20"/>
          <w:lang w:val="pt-BR"/>
        </w:rPr>
        <w:t>que</w:t>
      </w:r>
      <w:r w:rsidR="0089298C" w:rsidRPr="002F50BD">
        <w:rPr>
          <w:rFonts w:ascii="Verdana" w:hAnsi="Verdana"/>
          <w:sz w:val="20"/>
          <w:lang w:val="pt-BR"/>
        </w:rPr>
        <w:t xml:space="preserve"> </w:t>
      </w:r>
      <w:r w:rsidRPr="002F50BD">
        <w:rPr>
          <w:rFonts w:ascii="Verdana" w:hAnsi="Verdana"/>
          <w:sz w:val="20"/>
          <w:lang w:val="pt-BR"/>
        </w:rPr>
        <w:t xml:space="preserve">isso fosse </w:t>
      </w:r>
      <w:r w:rsidR="0089298C" w:rsidRPr="002F50BD">
        <w:rPr>
          <w:rFonts w:ascii="Verdana" w:hAnsi="Verdana"/>
          <w:sz w:val="20"/>
          <w:lang w:val="pt-BR"/>
        </w:rPr>
        <w:t xml:space="preserve">possível </w:t>
      </w:r>
      <w:r w:rsidRPr="002F50BD">
        <w:rPr>
          <w:rFonts w:ascii="Verdana" w:hAnsi="Verdana"/>
          <w:sz w:val="20"/>
          <w:lang w:val="pt-BR"/>
        </w:rPr>
        <w:t>em virtude d</w:t>
      </w:r>
      <w:r w:rsidR="0089298C" w:rsidRPr="002F50BD">
        <w:rPr>
          <w:rFonts w:ascii="Verdana" w:hAnsi="Verdana"/>
          <w:sz w:val="20"/>
          <w:lang w:val="pt-BR"/>
        </w:rPr>
        <w:t xml:space="preserve">a </w:t>
      </w:r>
      <w:r w:rsidRPr="002F50BD">
        <w:rPr>
          <w:rFonts w:ascii="Verdana" w:hAnsi="Verdana"/>
          <w:sz w:val="20"/>
          <w:lang w:val="pt-BR"/>
        </w:rPr>
        <w:t>intransigência</w:t>
      </w:r>
      <w:r w:rsidR="0089298C" w:rsidRPr="002F50BD">
        <w:rPr>
          <w:rFonts w:ascii="Verdana" w:hAnsi="Verdana"/>
          <w:sz w:val="20"/>
          <w:lang w:val="pt-BR"/>
        </w:rPr>
        <w:t xml:space="preserve"> dos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e </w:t>
      </w:r>
      <w:r w:rsidRPr="002F50BD">
        <w:rPr>
          <w:rFonts w:ascii="Verdana" w:hAnsi="Verdana"/>
          <w:sz w:val="20"/>
          <w:lang w:val="pt-BR"/>
        </w:rPr>
        <w:t>d</w:t>
      </w:r>
      <w:r w:rsidR="0089298C" w:rsidRPr="002F50BD">
        <w:rPr>
          <w:rFonts w:ascii="Verdana" w:hAnsi="Verdana"/>
          <w:sz w:val="20"/>
          <w:lang w:val="pt-BR"/>
        </w:rPr>
        <w:t xml:space="preserve">a </w:t>
      </w:r>
      <w:r w:rsidRPr="002F50BD">
        <w:rPr>
          <w:rFonts w:ascii="Verdana" w:hAnsi="Verdana"/>
          <w:sz w:val="20"/>
          <w:lang w:val="pt-BR"/>
        </w:rPr>
        <w:t>insistência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de </w:t>
      </w:r>
      <w:r w:rsidRPr="002F50BD">
        <w:rPr>
          <w:rFonts w:ascii="Verdana" w:hAnsi="Verdana"/>
          <w:sz w:val="20"/>
          <w:lang w:val="pt-BR"/>
        </w:rPr>
        <w:t xml:space="preserve">localizar-se </w:t>
      </w:r>
      <w:r w:rsidR="00EB07FE" w:rsidRPr="002F50BD">
        <w:rPr>
          <w:rFonts w:ascii="Verdana" w:hAnsi="Verdana"/>
          <w:sz w:val="20"/>
          <w:lang w:val="pt-BR"/>
        </w:rPr>
        <w:t>à beira da estrada</w:t>
      </w:r>
      <w:r w:rsidR="004756C1"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INDI </w:t>
      </w:r>
      <w:r w:rsidRPr="002F50BD">
        <w:rPr>
          <w:rFonts w:ascii="Verdana" w:hAnsi="Verdana"/>
          <w:sz w:val="20"/>
          <w:lang w:val="pt-BR"/>
        </w:rPr>
        <w:t>ofereceu</w:t>
      </w:r>
      <w:r w:rsidR="0089298C" w:rsidRPr="002F50BD">
        <w:rPr>
          <w:rFonts w:ascii="Verdana" w:hAnsi="Verdana"/>
          <w:sz w:val="20"/>
          <w:lang w:val="pt-BR"/>
        </w:rPr>
        <w:t xml:space="preserve"> à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como alternativa de solu</w:t>
      </w:r>
      <w:r w:rsidR="0089298C" w:rsidRPr="002F50BD">
        <w:rPr>
          <w:rFonts w:ascii="Verdana" w:hAnsi="Verdana"/>
          <w:sz w:val="20"/>
          <w:lang w:val="pt-BR"/>
        </w:rPr>
        <w:t>ção</w:t>
      </w:r>
      <w:r w:rsidR="004756C1" w:rsidRPr="002F50BD">
        <w:rPr>
          <w:rFonts w:ascii="Verdana" w:hAnsi="Verdana"/>
          <w:sz w:val="20"/>
          <w:lang w:val="pt-BR"/>
        </w:rPr>
        <w:t xml:space="preserve"> </w:t>
      </w:r>
      <w:r w:rsidR="00EB07FE" w:rsidRPr="002F50BD">
        <w:rPr>
          <w:rFonts w:ascii="Verdana" w:hAnsi="Verdana"/>
          <w:sz w:val="20"/>
          <w:lang w:val="pt-BR"/>
        </w:rPr>
        <w:t>para</w:t>
      </w:r>
      <w:r w:rsidR="004756C1" w:rsidRPr="002F50BD">
        <w:rPr>
          <w:rFonts w:ascii="Verdana" w:hAnsi="Verdana"/>
          <w:sz w:val="20"/>
          <w:lang w:val="pt-BR"/>
        </w:rPr>
        <w:t xml:space="preserve"> este caso</w:t>
      </w:r>
      <w:r w:rsidRPr="002F50BD">
        <w:rPr>
          <w:rFonts w:ascii="Verdana" w:hAnsi="Verdana"/>
          <w:sz w:val="20"/>
          <w:lang w:val="pt-BR"/>
        </w:rPr>
        <w:t xml:space="preserve"> conflitivo</w:t>
      </w:r>
      <w:r w:rsidR="004756C1" w:rsidRPr="002F50BD">
        <w:rPr>
          <w:rFonts w:ascii="Verdana" w:hAnsi="Verdana"/>
          <w:sz w:val="20"/>
          <w:lang w:val="pt-BR"/>
        </w:rPr>
        <w:t>,</w:t>
      </w:r>
      <w:r w:rsidR="0089298C" w:rsidRPr="002F50BD">
        <w:rPr>
          <w:rFonts w:ascii="Verdana" w:hAnsi="Verdana"/>
          <w:sz w:val="20"/>
          <w:lang w:val="pt-BR"/>
        </w:rPr>
        <w:t xml:space="preserve"> uma propriedade</w:t>
      </w:r>
      <w:r w:rsidR="004756C1" w:rsidRPr="002F50BD">
        <w:rPr>
          <w:rFonts w:ascii="Verdana" w:hAnsi="Verdana"/>
          <w:sz w:val="20"/>
          <w:lang w:val="pt-BR"/>
        </w:rPr>
        <w:t xml:space="preserve"> de </w:t>
      </w:r>
      <w:r w:rsidR="00063B47" w:rsidRPr="002F50BD">
        <w:rPr>
          <w:rFonts w:ascii="Verdana" w:hAnsi="Verdana"/>
          <w:sz w:val="20"/>
          <w:lang w:val="pt-BR"/>
        </w:rPr>
        <w:t>25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89298C" w:rsidRPr="002F50BD">
        <w:rPr>
          <w:rFonts w:ascii="Verdana" w:hAnsi="Verdana"/>
          <w:sz w:val="20"/>
          <w:lang w:val="pt-BR"/>
        </w:rPr>
        <w:t xml:space="preserve"> em uma </w:t>
      </w:r>
      <w:r w:rsidR="004756C1" w:rsidRPr="002F50BD">
        <w:rPr>
          <w:rFonts w:ascii="Verdana" w:hAnsi="Verdana"/>
          <w:sz w:val="20"/>
          <w:lang w:val="pt-BR"/>
        </w:rPr>
        <w:t xml:space="preserve">zona de </w:t>
      </w:r>
      <w:r w:rsidR="00AB454A" w:rsidRPr="002F50BD">
        <w:rPr>
          <w:rFonts w:ascii="Verdana" w:hAnsi="Verdana"/>
          <w:sz w:val="20"/>
          <w:lang w:val="pt-BR"/>
        </w:rPr>
        <w:t>assentamento</w:t>
      </w:r>
      <w:r w:rsidR="004756C1" w:rsidRPr="002F50BD">
        <w:rPr>
          <w:rFonts w:ascii="Verdana" w:hAnsi="Verdana"/>
          <w:sz w:val="20"/>
          <w:lang w:val="pt-BR"/>
        </w:rPr>
        <w:t xml:space="preserve"> de</w:t>
      </w:r>
      <w:r w:rsidR="0089298C" w:rsidRPr="002F50BD">
        <w:rPr>
          <w:rFonts w:ascii="Verdana" w:hAnsi="Verdana"/>
          <w:sz w:val="20"/>
          <w:lang w:val="pt-BR"/>
        </w:rPr>
        <w:t xml:space="preserve"> um </w:t>
      </w:r>
      <w:r w:rsidR="004756C1" w:rsidRPr="002F50BD">
        <w:rPr>
          <w:rFonts w:ascii="Verdana" w:hAnsi="Verdana"/>
          <w:sz w:val="20"/>
          <w:lang w:val="pt-BR"/>
        </w:rPr>
        <w:t xml:space="preserve">grupo importante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4756C1" w:rsidRPr="002F50BD">
        <w:rPr>
          <w:rFonts w:ascii="Verdana" w:hAnsi="Verdana"/>
          <w:sz w:val="20"/>
          <w:lang w:val="pt-BR"/>
        </w:rPr>
        <w:t xml:space="preserve">. </w:t>
      </w:r>
      <w:r w:rsidRPr="002F50BD">
        <w:rPr>
          <w:rFonts w:ascii="Verdana" w:hAnsi="Verdana"/>
          <w:sz w:val="20"/>
          <w:lang w:val="pt-BR"/>
        </w:rPr>
        <w:t>Contudo</w:t>
      </w:r>
      <w:r w:rsidR="004756C1" w:rsidRPr="002F50BD">
        <w:rPr>
          <w:rFonts w:ascii="Verdana" w:hAnsi="Verdana"/>
          <w:sz w:val="20"/>
          <w:lang w:val="pt-BR"/>
        </w:rPr>
        <w:t>, est</w:t>
      </w:r>
      <w:r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oferta</w:t>
      </w:r>
      <w:r w:rsidR="004756C1" w:rsidRPr="002F50BD">
        <w:rPr>
          <w:rFonts w:ascii="Verdana" w:hAnsi="Verdana"/>
          <w:sz w:val="20"/>
          <w:lang w:val="pt-BR"/>
        </w:rPr>
        <w:t xml:space="preserve">, inicialmente </w:t>
      </w:r>
      <w:r w:rsidR="0089298C" w:rsidRPr="002F50BD">
        <w:rPr>
          <w:rFonts w:ascii="Verdana" w:hAnsi="Verdana"/>
          <w:sz w:val="20"/>
          <w:lang w:val="pt-BR"/>
        </w:rPr>
        <w:t>aceit</w:t>
      </w:r>
      <w:r w:rsidR="004756C1" w:rsidRPr="002F50BD">
        <w:rPr>
          <w:rFonts w:ascii="Verdana" w:hAnsi="Verdana"/>
          <w:sz w:val="20"/>
          <w:lang w:val="pt-BR"/>
        </w:rPr>
        <w:t>a</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líderes indígenas,</w:t>
      </w:r>
      <w:r w:rsidR="0089298C" w:rsidRPr="002F50BD">
        <w:rPr>
          <w:rFonts w:ascii="Verdana" w:hAnsi="Verdana"/>
          <w:sz w:val="20"/>
          <w:lang w:val="pt-BR"/>
        </w:rPr>
        <w:t xml:space="preserve"> foi </w:t>
      </w:r>
      <w:r w:rsidR="006603BE" w:rsidRPr="002F50BD">
        <w:rPr>
          <w:rFonts w:ascii="Verdana" w:hAnsi="Verdana"/>
          <w:sz w:val="20"/>
          <w:lang w:val="pt-BR"/>
        </w:rPr>
        <w:t>rejeitada</w:t>
      </w:r>
      <w:r w:rsidR="0089298C" w:rsidRPr="002F50BD">
        <w:rPr>
          <w:rFonts w:ascii="Verdana" w:hAnsi="Verdana"/>
          <w:sz w:val="20"/>
          <w:lang w:val="pt-BR"/>
        </w:rPr>
        <w:t xml:space="preserve"> </w:t>
      </w:r>
      <w:r w:rsidRPr="002F50BD">
        <w:rPr>
          <w:rFonts w:ascii="Verdana" w:hAnsi="Verdana"/>
          <w:sz w:val="20"/>
          <w:lang w:val="pt-BR"/>
        </w:rPr>
        <w:t>n</w:t>
      </w:r>
      <w:r w:rsidR="0089298C" w:rsidRPr="002F50BD">
        <w:rPr>
          <w:rFonts w:ascii="Verdana" w:hAnsi="Verdana"/>
          <w:sz w:val="20"/>
          <w:lang w:val="pt-BR"/>
        </w:rPr>
        <w:t>o dia</w:t>
      </w:r>
      <w:r w:rsidR="004756C1" w:rsidRPr="002F50BD">
        <w:rPr>
          <w:rFonts w:ascii="Verdana" w:hAnsi="Verdana"/>
          <w:sz w:val="20"/>
          <w:lang w:val="pt-BR"/>
        </w:rPr>
        <w:t xml:space="preserve"> </w:t>
      </w:r>
      <w:r w:rsidR="0089298C" w:rsidRPr="002F50BD">
        <w:rPr>
          <w:rFonts w:ascii="Verdana" w:hAnsi="Verdana"/>
          <w:sz w:val="20"/>
          <w:lang w:val="pt-BR"/>
        </w:rPr>
        <w:t xml:space="preserve">seguinte </w:t>
      </w:r>
      <w:r w:rsidRPr="002F50BD">
        <w:rPr>
          <w:rFonts w:ascii="Verdana" w:hAnsi="Verdana"/>
          <w:sz w:val="20"/>
          <w:lang w:val="pt-BR"/>
        </w:rPr>
        <w:t>à</w:t>
      </w:r>
      <w:r w:rsidR="0089298C" w:rsidRPr="002F50BD">
        <w:rPr>
          <w:rFonts w:ascii="Verdana" w:hAnsi="Verdana"/>
          <w:sz w:val="20"/>
          <w:lang w:val="pt-BR"/>
        </w:rPr>
        <w:t xml:space="preserve"> reunião</w:t>
      </w:r>
      <w:r w:rsidR="004756C1" w:rsidRPr="002F50BD">
        <w:rPr>
          <w:rFonts w:ascii="Verdana" w:hAnsi="Verdana"/>
          <w:sz w:val="20"/>
          <w:lang w:val="pt-BR"/>
        </w:rPr>
        <w:t xml:space="preserve"> </w:t>
      </w:r>
      <w:r w:rsidRPr="002F50BD">
        <w:rPr>
          <w:rFonts w:ascii="Verdana" w:hAnsi="Verdana"/>
          <w:sz w:val="20"/>
          <w:lang w:val="pt-BR"/>
        </w:rPr>
        <w:t xml:space="preserve">realizada </w:t>
      </w:r>
      <w:r w:rsidR="0089298C" w:rsidRPr="002F50BD">
        <w:rPr>
          <w:rFonts w:ascii="Verdana" w:hAnsi="Verdana"/>
          <w:sz w:val="20"/>
          <w:lang w:val="pt-BR"/>
        </w:rPr>
        <w:t xml:space="preserve">com 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da </w:t>
      </w:r>
      <w:r w:rsidRPr="002F50BD">
        <w:rPr>
          <w:rFonts w:ascii="Verdana" w:hAnsi="Verdana"/>
          <w:sz w:val="20"/>
          <w:lang w:val="pt-BR"/>
        </w:rPr>
        <w:t>Comunidade;</w:t>
      </w:r>
      <w:r w:rsidR="004756C1" w:rsidRPr="002F50BD">
        <w:rPr>
          <w:rFonts w:ascii="Verdana" w:hAnsi="Verdana"/>
          <w:sz w:val="20"/>
          <w:lang w:val="pt-BR"/>
        </w:rPr>
        <w:t xml:space="preserve"> </w:t>
      </w:r>
    </w:p>
    <w:p w:rsidR="004756C1" w:rsidRPr="002F50BD" w:rsidRDefault="004756C1">
      <w:pPr>
        <w:tabs>
          <w:tab w:val="left" w:pos="1080"/>
          <w:tab w:val="left" w:pos="3420"/>
        </w:tabs>
        <w:ind w:left="720"/>
        <w:jc w:val="both"/>
        <w:rPr>
          <w:rFonts w:ascii="Verdana" w:hAnsi="Verdana"/>
          <w:sz w:val="20"/>
          <w:lang w:val="pt-BR"/>
        </w:rPr>
      </w:pPr>
    </w:p>
    <w:p w:rsidR="004756C1" w:rsidRPr="002F50BD" w:rsidRDefault="00C247F1">
      <w:pPr>
        <w:numPr>
          <w:ilvl w:val="0"/>
          <w:numId w:val="11"/>
        </w:numPr>
        <w:tabs>
          <w:tab w:val="left" w:pos="1080"/>
        </w:tabs>
        <w:ind w:left="720"/>
        <w:jc w:val="both"/>
        <w:rPr>
          <w:rFonts w:ascii="Verdana" w:hAnsi="Verdana"/>
          <w:sz w:val="20"/>
          <w:lang w:val="pt-BR"/>
        </w:rPr>
      </w:pPr>
      <w:r w:rsidRPr="002F50BD">
        <w:rPr>
          <w:rFonts w:ascii="Verdana" w:hAnsi="Verdana"/>
          <w:sz w:val="20"/>
          <w:lang w:val="pt-BR"/>
        </w:rPr>
        <w:t>C</w:t>
      </w:r>
      <w:r w:rsidR="0089298C" w:rsidRPr="002F50BD">
        <w:rPr>
          <w:rFonts w:ascii="Verdana" w:hAnsi="Verdana"/>
          <w:sz w:val="20"/>
          <w:lang w:val="pt-BR"/>
        </w:rPr>
        <w:t xml:space="preserve">om o </w:t>
      </w:r>
      <w:r w:rsidR="004756C1" w:rsidRPr="002F50BD">
        <w:rPr>
          <w:rFonts w:ascii="Verdana" w:hAnsi="Verdana"/>
          <w:sz w:val="20"/>
          <w:lang w:val="pt-BR"/>
        </w:rPr>
        <w:t xml:space="preserve">propósito de </w:t>
      </w:r>
      <w:r w:rsidRPr="002F50BD">
        <w:rPr>
          <w:rFonts w:ascii="Verdana" w:hAnsi="Verdana"/>
          <w:sz w:val="20"/>
          <w:lang w:val="pt-BR"/>
        </w:rPr>
        <w:t xml:space="preserve">encerrar </w:t>
      </w:r>
      <w:r w:rsidR="0089298C" w:rsidRPr="002F50BD">
        <w:rPr>
          <w:rFonts w:ascii="Verdana" w:hAnsi="Verdana"/>
          <w:sz w:val="20"/>
          <w:lang w:val="pt-BR"/>
        </w:rPr>
        <w:t>o litígio</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líderes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Pr="002F50BD">
        <w:rPr>
          <w:rFonts w:ascii="Verdana" w:hAnsi="Verdana"/>
          <w:sz w:val="20"/>
          <w:lang w:val="pt-BR"/>
        </w:rPr>
        <w:t>manifestaram</w:t>
      </w:r>
      <w:r w:rsidR="004756C1" w:rsidRPr="002F50BD">
        <w:rPr>
          <w:rFonts w:ascii="Verdana" w:hAnsi="Verdana"/>
          <w:sz w:val="20"/>
          <w:lang w:val="pt-BR"/>
        </w:rPr>
        <w:t xml:space="preserve"> </w:t>
      </w:r>
      <w:r w:rsidR="004076AD" w:rsidRPr="002F50BD">
        <w:rPr>
          <w:rFonts w:ascii="Verdana" w:hAnsi="Verdana"/>
          <w:sz w:val="20"/>
          <w:lang w:val="pt-BR"/>
        </w:rPr>
        <w:t>sua vontade</w:t>
      </w:r>
      <w:r w:rsidR="0089298C" w:rsidRPr="002F50BD">
        <w:rPr>
          <w:rFonts w:ascii="Verdana" w:hAnsi="Verdana"/>
          <w:sz w:val="20"/>
          <w:lang w:val="pt-BR"/>
        </w:rPr>
        <w:t xml:space="preserve"> </w:t>
      </w:r>
      <w:r w:rsidR="004756C1" w:rsidRPr="002F50BD">
        <w:rPr>
          <w:rFonts w:ascii="Verdana" w:hAnsi="Verdana"/>
          <w:sz w:val="20"/>
          <w:lang w:val="pt-BR"/>
        </w:rPr>
        <w:t xml:space="preserve">de </w:t>
      </w:r>
      <w:r w:rsidR="004076AD" w:rsidRPr="002F50BD">
        <w:rPr>
          <w:rFonts w:ascii="Verdana" w:hAnsi="Verdana"/>
          <w:sz w:val="20"/>
          <w:lang w:val="pt-BR"/>
        </w:rPr>
        <w:t>chegar</w:t>
      </w:r>
      <w:r w:rsidR="004756C1" w:rsidRPr="002F50BD">
        <w:rPr>
          <w:rFonts w:ascii="Verdana" w:hAnsi="Verdana"/>
          <w:sz w:val="20"/>
          <w:lang w:val="pt-BR"/>
        </w:rPr>
        <w:t xml:space="preserve"> a</w:t>
      </w:r>
      <w:r w:rsidR="0089298C" w:rsidRPr="002F50BD">
        <w:rPr>
          <w:rFonts w:ascii="Verdana" w:hAnsi="Verdana"/>
          <w:sz w:val="20"/>
          <w:lang w:val="pt-BR"/>
        </w:rPr>
        <w:t xml:space="preserve"> um acordo em </w:t>
      </w:r>
      <w:r w:rsidR="004756C1" w:rsidRPr="002F50BD">
        <w:rPr>
          <w:rFonts w:ascii="Verdana" w:hAnsi="Verdana"/>
          <w:sz w:val="20"/>
          <w:lang w:val="pt-BR"/>
        </w:rPr>
        <w:t>rela</w:t>
      </w:r>
      <w:r w:rsidR="0089298C" w:rsidRPr="002F50BD">
        <w:rPr>
          <w:rFonts w:ascii="Verdana" w:hAnsi="Verdana"/>
          <w:sz w:val="20"/>
          <w:lang w:val="pt-BR"/>
        </w:rPr>
        <w:t xml:space="preserve">ção </w:t>
      </w:r>
      <w:r w:rsidR="00EB07FE" w:rsidRPr="002F50BD">
        <w:rPr>
          <w:rFonts w:ascii="Verdana" w:hAnsi="Verdana"/>
          <w:sz w:val="20"/>
          <w:lang w:val="pt-BR"/>
        </w:rPr>
        <w:t xml:space="preserve">a </w:t>
      </w:r>
      <w:r w:rsidR="0089298C" w:rsidRPr="002F50BD">
        <w:rPr>
          <w:rFonts w:ascii="Verdana" w:hAnsi="Verdana"/>
          <w:sz w:val="20"/>
          <w:lang w:val="pt-BR"/>
        </w:rPr>
        <w:t>várias</w:t>
      </w:r>
      <w:r w:rsidR="004756C1" w:rsidRPr="002F50BD">
        <w:rPr>
          <w:rFonts w:ascii="Verdana" w:hAnsi="Verdana"/>
          <w:sz w:val="20"/>
          <w:lang w:val="pt-BR"/>
        </w:rPr>
        <w:t xml:space="preserve"> ofertas realizadas</w:t>
      </w:r>
      <w:r w:rsidR="0089298C" w:rsidRPr="002F50BD">
        <w:rPr>
          <w:rFonts w:ascii="Verdana" w:hAnsi="Verdana"/>
          <w:sz w:val="20"/>
          <w:lang w:val="pt-BR"/>
        </w:rPr>
        <w:t xml:space="preserve"> pelo </w:t>
      </w:r>
      <w:r w:rsidR="004756C1" w:rsidRPr="002F50BD">
        <w:rPr>
          <w:rFonts w:ascii="Verdana" w:hAnsi="Verdana"/>
          <w:sz w:val="20"/>
          <w:lang w:val="pt-BR"/>
        </w:rPr>
        <w:t>Estado para s</w:t>
      </w:r>
      <w:r w:rsidRPr="002F50BD">
        <w:rPr>
          <w:rFonts w:ascii="Verdana" w:hAnsi="Verdana"/>
          <w:sz w:val="20"/>
          <w:lang w:val="pt-BR"/>
        </w:rPr>
        <w:t>e</w:t>
      </w:r>
      <w:r w:rsidR="004756C1" w:rsidRPr="002F50BD">
        <w:rPr>
          <w:rFonts w:ascii="Verdana" w:hAnsi="Verdana"/>
          <w:sz w:val="20"/>
          <w:lang w:val="pt-BR"/>
        </w:rPr>
        <w:t xml:space="preserve">u </w:t>
      </w:r>
      <w:r w:rsidR="00AB454A" w:rsidRPr="002F50BD">
        <w:rPr>
          <w:rFonts w:ascii="Verdana" w:hAnsi="Verdana"/>
          <w:sz w:val="20"/>
          <w:lang w:val="pt-BR"/>
        </w:rPr>
        <w:t>assentamento</w:t>
      </w:r>
      <w:r w:rsidR="004756C1" w:rsidRPr="002F50BD">
        <w:rPr>
          <w:rFonts w:ascii="Verdana" w:hAnsi="Verdana"/>
          <w:sz w:val="20"/>
          <w:lang w:val="pt-BR"/>
        </w:rPr>
        <w:t xml:space="preserve"> definitivo. </w:t>
      </w:r>
      <w:r w:rsidRPr="002F50BD">
        <w:rPr>
          <w:rFonts w:ascii="Verdana" w:hAnsi="Verdana"/>
          <w:sz w:val="20"/>
          <w:lang w:val="pt-BR"/>
        </w:rPr>
        <w:t>No entanto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Pr="002F50BD">
        <w:rPr>
          <w:rFonts w:ascii="Verdana" w:hAnsi="Verdana"/>
          <w:sz w:val="20"/>
          <w:lang w:val="pt-BR"/>
        </w:rPr>
        <w:t xml:space="preserve">mantiveram </w:t>
      </w:r>
      <w:r w:rsidR="0089298C" w:rsidRPr="002F50BD">
        <w:rPr>
          <w:rFonts w:ascii="Verdana" w:hAnsi="Verdana"/>
          <w:sz w:val="20"/>
          <w:lang w:val="pt-BR"/>
        </w:rPr>
        <w:t xml:space="preserve">a </w:t>
      </w:r>
      <w:r w:rsidR="004756C1" w:rsidRPr="002F50BD">
        <w:rPr>
          <w:rFonts w:ascii="Verdana" w:hAnsi="Verdana"/>
          <w:sz w:val="20"/>
          <w:lang w:val="pt-BR"/>
        </w:rPr>
        <w:t>peti</w:t>
      </w:r>
      <w:r w:rsidR="0089298C" w:rsidRPr="002F50BD">
        <w:rPr>
          <w:rFonts w:ascii="Verdana" w:hAnsi="Verdana"/>
          <w:sz w:val="20"/>
          <w:lang w:val="pt-BR"/>
        </w:rPr>
        <w:t>ção d</w:t>
      </w:r>
      <w:r w:rsidRPr="002F50BD">
        <w:rPr>
          <w:rFonts w:ascii="Verdana" w:hAnsi="Verdana"/>
          <w:sz w:val="20"/>
          <w:lang w:val="pt-BR"/>
        </w:rPr>
        <w:t>e</w:t>
      </w:r>
      <w:r w:rsidR="0089298C" w:rsidRPr="002F50BD">
        <w:rPr>
          <w:rFonts w:ascii="Verdana" w:hAnsi="Verdana"/>
          <w:sz w:val="20"/>
          <w:lang w:val="pt-BR"/>
        </w:rPr>
        <w:t xml:space="preserve">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89298C" w:rsidRPr="002F50BD">
        <w:rPr>
          <w:rFonts w:ascii="Verdana" w:hAnsi="Verdana"/>
          <w:sz w:val="20"/>
          <w:lang w:val="pt-BR"/>
        </w:rPr>
        <w:t xml:space="preserve"> na propriedade </w:t>
      </w:r>
      <w:r w:rsidR="00060B3A" w:rsidRPr="002F50BD">
        <w:rPr>
          <w:rFonts w:ascii="Verdana" w:hAnsi="Verdana"/>
          <w:i/>
          <w:sz w:val="20"/>
          <w:lang w:val="pt-BR"/>
        </w:rPr>
        <w:t>Estancia Loma Verde</w:t>
      </w:r>
      <w:r w:rsidR="004756C1" w:rsidRPr="002F50BD">
        <w:rPr>
          <w:rFonts w:ascii="Verdana" w:hAnsi="Verdana"/>
          <w:sz w:val="20"/>
          <w:lang w:val="pt-BR"/>
        </w:rPr>
        <w:t>,</w:t>
      </w:r>
      <w:r w:rsidR="0089298C" w:rsidRPr="002F50BD">
        <w:rPr>
          <w:rFonts w:ascii="Verdana" w:hAnsi="Verdana"/>
          <w:sz w:val="20"/>
          <w:lang w:val="pt-BR"/>
        </w:rPr>
        <w:t xml:space="preserve"> </w:t>
      </w:r>
      <w:r w:rsidRPr="002F50BD">
        <w:rPr>
          <w:rFonts w:ascii="Verdana" w:hAnsi="Verdana"/>
          <w:sz w:val="20"/>
          <w:lang w:val="pt-BR"/>
        </w:rPr>
        <w:t xml:space="preserve">de modo que substituíram </w:t>
      </w:r>
      <w:r w:rsidR="0089298C" w:rsidRPr="002F50BD">
        <w:rPr>
          <w:rFonts w:ascii="Verdana" w:hAnsi="Verdana"/>
          <w:sz w:val="20"/>
          <w:lang w:val="pt-BR"/>
        </w:rPr>
        <w:t xml:space="preserve">a vontade da Comunidade </w:t>
      </w:r>
      <w:r w:rsidR="004756C1" w:rsidRPr="002F50BD">
        <w:rPr>
          <w:rFonts w:ascii="Verdana" w:hAnsi="Verdana"/>
          <w:sz w:val="20"/>
          <w:lang w:val="pt-BR"/>
        </w:rPr>
        <w:t>que</w:t>
      </w:r>
      <w:r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si</w:t>
      </w:r>
      <w:r w:rsidRPr="002F50BD">
        <w:rPr>
          <w:rFonts w:ascii="Verdana" w:hAnsi="Verdana"/>
          <w:sz w:val="20"/>
          <w:lang w:val="pt-BR"/>
        </w:rPr>
        <w:t>m,</w:t>
      </w:r>
      <w:r w:rsidR="0089298C" w:rsidRPr="002F50BD">
        <w:rPr>
          <w:rFonts w:ascii="Verdana" w:hAnsi="Verdana"/>
          <w:sz w:val="20"/>
          <w:lang w:val="pt-BR"/>
        </w:rPr>
        <w:t xml:space="preserve"> </w:t>
      </w:r>
      <w:r w:rsidR="004756C1" w:rsidRPr="002F50BD">
        <w:rPr>
          <w:rFonts w:ascii="Verdana" w:hAnsi="Verdana"/>
          <w:sz w:val="20"/>
          <w:lang w:val="pt-BR"/>
        </w:rPr>
        <w:t xml:space="preserve">está </w:t>
      </w:r>
      <w:r w:rsidR="0089298C" w:rsidRPr="002F50BD">
        <w:rPr>
          <w:rFonts w:ascii="Verdana" w:hAnsi="Verdana"/>
          <w:sz w:val="20"/>
          <w:lang w:val="pt-BR"/>
        </w:rPr>
        <w:t>dispost</w:t>
      </w:r>
      <w:r w:rsidR="004756C1" w:rsidRPr="002F50BD">
        <w:rPr>
          <w:rFonts w:ascii="Verdana" w:hAnsi="Verdana"/>
          <w:sz w:val="20"/>
          <w:lang w:val="pt-BR"/>
        </w:rPr>
        <w:t>a a considerar</w:t>
      </w:r>
      <w:r w:rsidR="0089298C" w:rsidRPr="002F50BD">
        <w:rPr>
          <w:rFonts w:ascii="Verdana" w:hAnsi="Verdana"/>
          <w:sz w:val="20"/>
          <w:lang w:val="pt-BR"/>
        </w:rPr>
        <w:t xml:space="preserve"> uma </w:t>
      </w:r>
      <w:r w:rsidR="004756C1" w:rsidRPr="002F50BD">
        <w:rPr>
          <w:rFonts w:ascii="Verdana" w:hAnsi="Verdana"/>
          <w:sz w:val="20"/>
          <w:lang w:val="pt-BR"/>
        </w:rPr>
        <w:t>solu</w:t>
      </w:r>
      <w:r w:rsidR="0089298C" w:rsidRPr="002F50BD">
        <w:rPr>
          <w:rFonts w:ascii="Verdana" w:hAnsi="Verdana"/>
          <w:sz w:val="20"/>
          <w:lang w:val="pt-BR"/>
        </w:rPr>
        <w:t>ção</w:t>
      </w:r>
      <w:r w:rsidR="004756C1" w:rsidRPr="002F50BD">
        <w:rPr>
          <w:rFonts w:ascii="Verdana" w:hAnsi="Verdana"/>
          <w:sz w:val="20"/>
          <w:lang w:val="pt-BR"/>
        </w:rPr>
        <w:t xml:space="preserve"> alternativa que se </w:t>
      </w:r>
      <w:r w:rsidRPr="002F50BD">
        <w:rPr>
          <w:rFonts w:ascii="Verdana" w:hAnsi="Verdana"/>
          <w:sz w:val="20"/>
          <w:lang w:val="pt-BR"/>
        </w:rPr>
        <w:t>ad</w:t>
      </w:r>
      <w:r w:rsidR="00A77D90" w:rsidRPr="002F50BD">
        <w:rPr>
          <w:rFonts w:ascii="Verdana" w:hAnsi="Verdana"/>
          <w:sz w:val="20"/>
          <w:lang w:val="pt-BR"/>
        </w:rPr>
        <w:t>e</w:t>
      </w:r>
      <w:r w:rsidRPr="002F50BD">
        <w:rPr>
          <w:rFonts w:ascii="Verdana" w:hAnsi="Verdana"/>
          <w:sz w:val="20"/>
          <w:lang w:val="pt-BR"/>
        </w:rPr>
        <w:t>q</w:t>
      </w:r>
      <w:r w:rsidR="00A77D90" w:rsidRPr="002F50BD">
        <w:rPr>
          <w:rFonts w:ascii="Verdana" w:hAnsi="Verdana"/>
          <w:sz w:val="20"/>
          <w:lang w:val="pt-BR"/>
        </w:rPr>
        <w:t>u</w:t>
      </w:r>
      <w:r w:rsidRPr="002F50BD">
        <w:rPr>
          <w:rFonts w:ascii="Verdana" w:hAnsi="Verdana"/>
          <w:sz w:val="20"/>
          <w:lang w:val="pt-BR"/>
        </w:rPr>
        <w:t xml:space="preserve">e </w:t>
      </w:r>
      <w:r w:rsidR="004756C1" w:rsidRPr="002F50BD">
        <w:rPr>
          <w:rFonts w:ascii="Verdana" w:hAnsi="Verdana"/>
          <w:sz w:val="20"/>
          <w:lang w:val="pt-BR"/>
        </w:rPr>
        <w:t>a su</w:t>
      </w:r>
      <w:r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pretensões</w:t>
      </w:r>
      <w:r w:rsidR="004756C1" w:rsidRPr="002F50BD">
        <w:rPr>
          <w:rFonts w:ascii="Verdana" w:hAnsi="Verdana"/>
          <w:sz w:val="20"/>
          <w:lang w:val="pt-BR"/>
        </w:rPr>
        <w:t xml:space="preserve"> conforme</w:t>
      </w:r>
      <w:r w:rsidR="0089298C" w:rsidRPr="002F50BD">
        <w:rPr>
          <w:rFonts w:ascii="Verdana" w:hAnsi="Verdana"/>
          <w:sz w:val="20"/>
          <w:lang w:val="pt-BR"/>
        </w:rPr>
        <w:t xml:space="preserve"> </w:t>
      </w:r>
      <w:r w:rsidRPr="002F50BD">
        <w:rPr>
          <w:rFonts w:ascii="Verdana" w:hAnsi="Verdana"/>
          <w:sz w:val="20"/>
          <w:lang w:val="pt-BR"/>
        </w:rPr>
        <w:t>a</w:t>
      </w:r>
      <w:r w:rsidR="0089298C" w:rsidRPr="002F50BD">
        <w:rPr>
          <w:rFonts w:ascii="Verdana" w:hAnsi="Verdana"/>
          <w:sz w:val="20"/>
          <w:lang w:val="pt-BR"/>
        </w:rPr>
        <w:t xml:space="preserve"> </w:t>
      </w:r>
      <w:r w:rsidRPr="002F50BD">
        <w:rPr>
          <w:rFonts w:ascii="Verdana" w:hAnsi="Verdana"/>
          <w:sz w:val="20"/>
          <w:lang w:val="pt-BR"/>
        </w:rPr>
        <w:t>lei;</w:t>
      </w:r>
    </w:p>
    <w:p w:rsidR="004756C1" w:rsidRPr="002F50BD" w:rsidRDefault="004756C1">
      <w:pPr>
        <w:tabs>
          <w:tab w:val="left" w:pos="1080"/>
        </w:tabs>
        <w:ind w:left="720"/>
        <w:jc w:val="both"/>
        <w:rPr>
          <w:rFonts w:ascii="Verdana" w:hAnsi="Verdana"/>
          <w:sz w:val="20"/>
          <w:lang w:val="pt-BR"/>
        </w:rPr>
      </w:pPr>
    </w:p>
    <w:p w:rsidR="004756C1" w:rsidRPr="002F50BD" w:rsidRDefault="00C247F1">
      <w:pPr>
        <w:numPr>
          <w:ilvl w:val="0"/>
          <w:numId w:val="11"/>
        </w:numPr>
        <w:tabs>
          <w:tab w:val="left" w:pos="1080"/>
        </w:tabs>
        <w:ind w:left="720"/>
        <w:jc w:val="both"/>
        <w:rPr>
          <w:rFonts w:ascii="Verdana" w:hAnsi="Verdana"/>
          <w:sz w:val="20"/>
          <w:lang w:val="pt-BR"/>
        </w:rPr>
      </w:pPr>
      <w:r w:rsidRPr="002F50BD">
        <w:rPr>
          <w:rFonts w:ascii="Verdana" w:hAnsi="Verdana"/>
          <w:sz w:val="20"/>
          <w:lang w:val="pt-BR"/>
        </w:rPr>
        <w:t xml:space="preserve">Não interveio </w:t>
      </w:r>
      <w:r w:rsidR="0089298C" w:rsidRPr="002F50BD">
        <w:rPr>
          <w:rFonts w:ascii="Verdana" w:hAnsi="Verdana"/>
          <w:sz w:val="20"/>
          <w:lang w:val="pt-BR"/>
        </w:rPr>
        <w:t xml:space="preserve">na </w:t>
      </w:r>
      <w:r w:rsidR="004756C1" w:rsidRPr="002F50BD">
        <w:rPr>
          <w:rFonts w:ascii="Verdana" w:hAnsi="Verdana"/>
          <w:sz w:val="20"/>
          <w:lang w:val="pt-BR"/>
        </w:rPr>
        <w:t>migra</w:t>
      </w:r>
      <w:r w:rsidR="0089298C" w:rsidRPr="002F50BD">
        <w:rPr>
          <w:rFonts w:ascii="Verdana" w:hAnsi="Verdana"/>
          <w:sz w:val="20"/>
          <w:lang w:val="pt-BR"/>
        </w:rPr>
        <w:t xml:space="preserve">ção da Comunidade </w:t>
      </w:r>
      <w:r w:rsidR="004756C1" w:rsidRPr="002F50BD">
        <w:rPr>
          <w:rFonts w:ascii="Verdana" w:hAnsi="Verdana"/>
          <w:sz w:val="20"/>
          <w:lang w:val="pt-BR"/>
        </w:rPr>
        <w:t xml:space="preserve">Yakye Axa </w:t>
      </w:r>
      <w:r w:rsidRPr="002F50BD">
        <w:rPr>
          <w:rFonts w:ascii="Verdana" w:hAnsi="Verdana"/>
          <w:sz w:val="20"/>
          <w:lang w:val="pt-BR"/>
        </w:rPr>
        <w:t xml:space="preserve">à </w:t>
      </w:r>
      <w:r w:rsidR="004756C1" w:rsidRPr="002F50BD">
        <w:rPr>
          <w:rFonts w:ascii="Verdana" w:hAnsi="Verdana"/>
          <w:sz w:val="20"/>
          <w:lang w:val="pt-BR"/>
        </w:rPr>
        <w:t>denominada “zona anglicana” o</w:t>
      </w:r>
      <w:r w:rsidRPr="002F50BD">
        <w:rPr>
          <w:rFonts w:ascii="Verdana" w:hAnsi="Verdana"/>
          <w:sz w:val="20"/>
          <w:lang w:val="pt-BR"/>
        </w:rPr>
        <w:t>u</w:t>
      </w:r>
      <w:r w:rsidR="004756C1" w:rsidRPr="002F50BD">
        <w:rPr>
          <w:rFonts w:ascii="Verdana" w:hAnsi="Verdana"/>
          <w:sz w:val="20"/>
          <w:lang w:val="pt-BR"/>
        </w:rPr>
        <w:t xml:space="preserve"> </w:t>
      </w:r>
      <w:r w:rsidR="0089298C" w:rsidRPr="002F50BD">
        <w:rPr>
          <w:rFonts w:ascii="Verdana" w:hAnsi="Verdana"/>
          <w:sz w:val="20"/>
          <w:lang w:val="pt-BR"/>
        </w:rPr>
        <w:t xml:space="preserve">especificamente à </w:t>
      </w:r>
      <w:r w:rsidR="004756C1" w:rsidRPr="002F50BD">
        <w:rPr>
          <w:rFonts w:ascii="Verdana" w:hAnsi="Verdana"/>
          <w:i/>
          <w:sz w:val="20"/>
          <w:lang w:val="pt-BR"/>
        </w:rPr>
        <w:t xml:space="preserve">Estancia </w:t>
      </w:r>
      <w:r w:rsidRPr="002F50BD">
        <w:rPr>
          <w:rFonts w:ascii="Verdana" w:hAnsi="Verdana"/>
          <w:i/>
          <w:sz w:val="20"/>
          <w:lang w:val="pt-BR"/>
        </w:rPr>
        <w:t>“El Estribo</w:t>
      </w:r>
      <w:r w:rsidR="004756C1" w:rsidRPr="002F50BD">
        <w:rPr>
          <w:rFonts w:ascii="Verdana" w:hAnsi="Verdana"/>
          <w:i/>
          <w:sz w:val="20"/>
          <w:lang w:val="pt-BR"/>
        </w:rPr>
        <w:t>”</w:t>
      </w:r>
      <w:r w:rsidR="004756C1" w:rsidRPr="002F50BD">
        <w:rPr>
          <w:rFonts w:ascii="Verdana" w:hAnsi="Verdana"/>
          <w:sz w:val="20"/>
          <w:lang w:val="pt-BR"/>
        </w:rPr>
        <w:t>;</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lastRenderedPageBreak/>
        <w:t>O direito à terra</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 consagrado</w:t>
      </w:r>
      <w:r w:rsidRPr="002F50BD">
        <w:rPr>
          <w:rFonts w:ascii="Verdana" w:hAnsi="Verdana"/>
          <w:sz w:val="20"/>
          <w:lang w:val="pt-BR"/>
        </w:rPr>
        <w:t xml:space="preserve"> pela Constituição</w:t>
      </w:r>
      <w:r w:rsidR="004756C1" w:rsidRPr="002F50BD">
        <w:rPr>
          <w:rFonts w:ascii="Verdana" w:hAnsi="Verdana"/>
          <w:sz w:val="20"/>
          <w:lang w:val="pt-BR"/>
        </w:rPr>
        <w:t xml:space="preserve"> Nacional </w:t>
      </w:r>
      <w:r w:rsidRPr="002F50BD">
        <w:rPr>
          <w:rFonts w:ascii="Verdana" w:hAnsi="Verdana"/>
          <w:sz w:val="20"/>
          <w:lang w:val="pt-BR"/>
        </w:rPr>
        <w:t>do Paraguai</w:t>
      </w:r>
      <w:r w:rsidR="004756C1" w:rsidRPr="002F50BD">
        <w:rPr>
          <w:rFonts w:ascii="Verdana" w:hAnsi="Verdana"/>
          <w:sz w:val="20"/>
          <w:lang w:val="pt-BR"/>
        </w:rPr>
        <w:t xml:space="preserve"> protege</w:t>
      </w:r>
      <w:r w:rsidR="009C5015" w:rsidRPr="002F50BD">
        <w:rPr>
          <w:rFonts w:ascii="Verdana" w:hAnsi="Verdana"/>
          <w:sz w:val="20"/>
          <w:lang w:val="pt-BR"/>
        </w:rPr>
        <w:t xml:space="preserve"> a</w:t>
      </w:r>
      <w:r w:rsidRPr="002F50BD">
        <w:rPr>
          <w:rFonts w:ascii="Verdana" w:hAnsi="Verdana"/>
          <w:sz w:val="20"/>
          <w:lang w:val="pt-BR"/>
        </w:rPr>
        <w:t xml:space="preserve"> coletiv</w:t>
      </w:r>
      <w:r w:rsidR="009C5015" w:rsidRPr="002F50BD">
        <w:rPr>
          <w:rFonts w:ascii="Verdana" w:hAnsi="Verdana"/>
          <w:sz w:val="20"/>
          <w:lang w:val="pt-BR"/>
        </w:rPr>
        <w:t>idade</w:t>
      </w:r>
      <w:r w:rsidR="004756C1" w:rsidRPr="002F50BD">
        <w:rPr>
          <w:rFonts w:ascii="Verdana" w:hAnsi="Verdana"/>
          <w:sz w:val="20"/>
          <w:lang w:val="pt-BR"/>
        </w:rPr>
        <w:t xml:space="preserve"> </w:t>
      </w:r>
      <w:r w:rsidR="009C5015" w:rsidRPr="002F50BD">
        <w:rPr>
          <w:rFonts w:ascii="Verdana" w:hAnsi="Verdana"/>
          <w:sz w:val="20"/>
          <w:lang w:val="pt-BR"/>
        </w:rPr>
        <w:t>composta</w:t>
      </w:r>
      <w:r w:rsidR="00A77D90"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indivíduo</w:t>
      </w:r>
      <w:r w:rsidR="004756C1" w:rsidRPr="002F50BD">
        <w:rPr>
          <w:rFonts w:ascii="Verdana" w:hAnsi="Verdana"/>
          <w:sz w:val="20"/>
          <w:lang w:val="pt-BR"/>
        </w:rPr>
        <w:t>s de</w:t>
      </w:r>
      <w:r w:rsidRPr="002F50BD">
        <w:rPr>
          <w:rFonts w:ascii="Verdana" w:hAnsi="Verdana"/>
          <w:sz w:val="20"/>
          <w:lang w:val="pt-BR"/>
        </w:rPr>
        <w:t xml:space="preserve"> uma mesm</w:t>
      </w:r>
      <w:r w:rsidR="004756C1" w:rsidRPr="002F50BD">
        <w:rPr>
          <w:rFonts w:ascii="Verdana" w:hAnsi="Verdana"/>
          <w:sz w:val="20"/>
          <w:lang w:val="pt-BR"/>
        </w:rPr>
        <w:t>a cultura,</w:t>
      </w:r>
      <w:r w:rsidRPr="002F50BD">
        <w:rPr>
          <w:rFonts w:ascii="Verdana" w:hAnsi="Verdana"/>
          <w:sz w:val="20"/>
          <w:lang w:val="pt-BR"/>
        </w:rPr>
        <w:t xml:space="preserve"> </w:t>
      </w:r>
      <w:r w:rsidR="004612C7" w:rsidRPr="002F50BD">
        <w:rPr>
          <w:rFonts w:ascii="Verdana" w:hAnsi="Verdana"/>
          <w:sz w:val="20"/>
          <w:lang w:val="pt-BR"/>
        </w:rPr>
        <w:t>no entendimento</w:t>
      </w:r>
      <w:r w:rsidR="004756C1" w:rsidRPr="002F50BD">
        <w:rPr>
          <w:rFonts w:ascii="Verdana" w:hAnsi="Verdana"/>
          <w:sz w:val="20"/>
          <w:lang w:val="pt-BR"/>
        </w:rPr>
        <w:t xml:space="preserve"> de que</w:t>
      </w:r>
      <w:r w:rsidRPr="002F50BD">
        <w:rPr>
          <w:rFonts w:ascii="Verdana" w:hAnsi="Verdana"/>
          <w:sz w:val="20"/>
          <w:lang w:val="pt-BR"/>
        </w:rPr>
        <w:t xml:space="preserve"> esta </w:t>
      </w:r>
      <w:r w:rsidR="004756C1" w:rsidRPr="002F50BD">
        <w:rPr>
          <w:rFonts w:ascii="Verdana" w:hAnsi="Verdana"/>
          <w:sz w:val="20"/>
          <w:lang w:val="pt-BR"/>
        </w:rPr>
        <w:t>perdurará sobre</w:t>
      </w:r>
      <w:r w:rsidRPr="002F50BD">
        <w:rPr>
          <w:rFonts w:ascii="Verdana" w:hAnsi="Verdana"/>
          <w:sz w:val="20"/>
          <w:lang w:val="pt-BR"/>
        </w:rPr>
        <w:t xml:space="preserve"> a </w:t>
      </w:r>
      <w:r w:rsidR="004756C1" w:rsidRPr="002F50BD">
        <w:rPr>
          <w:rFonts w:ascii="Verdana" w:hAnsi="Verdana"/>
          <w:sz w:val="20"/>
          <w:lang w:val="pt-BR"/>
        </w:rPr>
        <w:t xml:space="preserve">base </w:t>
      </w:r>
      <w:r w:rsidRPr="002F50BD">
        <w:rPr>
          <w:rFonts w:ascii="Verdana" w:hAnsi="Verdana"/>
          <w:sz w:val="20"/>
          <w:lang w:val="pt-BR"/>
        </w:rPr>
        <w:t xml:space="preserve">do </w:t>
      </w:r>
      <w:r w:rsidR="00C247F1" w:rsidRPr="002F50BD">
        <w:rPr>
          <w:rFonts w:ascii="Verdana" w:hAnsi="Verdana"/>
          <w:sz w:val="20"/>
          <w:lang w:val="pt-BR"/>
        </w:rPr>
        <w:t>intercâmbio</w:t>
      </w:r>
      <w:r w:rsidR="004756C1" w:rsidRPr="002F50BD">
        <w:rPr>
          <w:rFonts w:ascii="Verdana" w:hAnsi="Verdana"/>
          <w:sz w:val="20"/>
          <w:lang w:val="pt-BR"/>
        </w:rPr>
        <w:t xml:space="preserve"> sociocultural de </w:t>
      </w:r>
      <w:r w:rsidR="00AB454A" w:rsidRPr="002F50BD">
        <w:rPr>
          <w:rFonts w:ascii="Verdana" w:hAnsi="Verdana"/>
          <w:sz w:val="20"/>
          <w:lang w:val="pt-BR"/>
        </w:rPr>
        <w:t xml:space="preserve">seus integrantes. A </w:t>
      </w:r>
      <w:r w:rsidR="00385366" w:rsidRPr="002F50BD">
        <w:rPr>
          <w:rFonts w:ascii="Verdana" w:hAnsi="Verdana"/>
          <w:sz w:val="20"/>
          <w:lang w:val="pt-BR"/>
        </w:rPr>
        <w:t>legislação paraguaia</w:t>
      </w:r>
      <w:r w:rsidR="004756C1" w:rsidRPr="002F50BD">
        <w:rPr>
          <w:rFonts w:ascii="Verdana" w:hAnsi="Verdana"/>
          <w:sz w:val="20"/>
          <w:lang w:val="pt-BR"/>
        </w:rPr>
        <w:t xml:space="preserve"> regula</w:t>
      </w:r>
      <w:r w:rsidR="006603BE" w:rsidRPr="002F50BD">
        <w:rPr>
          <w:rFonts w:ascii="Verdana" w:hAnsi="Verdana"/>
          <w:sz w:val="20"/>
          <w:lang w:val="pt-BR"/>
        </w:rPr>
        <w:t>menta</w:t>
      </w:r>
      <w:r w:rsidRPr="002F50BD">
        <w:rPr>
          <w:rFonts w:ascii="Verdana" w:hAnsi="Verdana"/>
          <w:sz w:val="20"/>
          <w:lang w:val="pt-BR"/>
        </w:rPr>
        <w:t xml:space="preserve"> a quantidade </w:t>
      </w:r>
      <w:r w:rsidR="004756C1" w:rsidRPr="002F50BD">
        <w:rPr>
          <w:rFonts w:ascii="Verdana" w:hAnsi="Verdana"/>
          <w:sz w:val="20"/>
          <w:lang w:val="pt-BR"/>
        </w:rPr>
        <w:t xml:space="preserve">de </w:t>
      </w:r>
      <w:r w:rsidRPr="002F50BD">
        <w:rPr>
          <w:rFonts w:ascii="Verdana" w:hAnsi="Verdana"/>
          <w:sz w:val="20"/>
          <w:lang w:val="pt-BR"/>
        </w:rPr>
        <w:t>terra</w:t>
      </w:r>
      <w:r w:rsidR="004756C1" w:rsidRPr="002F50BD">
        <w:rPr>
          <w:rFonts w:ascii="Verdana" w:hAnsi="Verdana"/>
          <w:sz w:val="20"/>
          <w:lang w:val="pt-BR"/>
        </w:rPr>
        <w:t xml:space="preserve"> que correspon</w:t>
      </w:r>
      <w:r w:rsidRPr="002F50BD">
        <w:rPr>
          <w:rFonts w:ascii="Verdana" w:hAnsi="Verdana"/>
          <w:sz w:val="20"/>
          <w:lang w:val="pt-BR"/>
        </w:rPr>
        <w:t>d</w:t>
      </w:r>
      <w:r w:rsidR="00C247F1" w:rsidRPr="002F50BD">
        <w:rPr>
          <w:rFonts w:ascii="Verdana" w:hAnsi="Verdana"/>
          <w:sz w:val="20"/>
          <w:lang w:val="pt-BR"/>
        </w:rPr>
        <w:t xml:space="preserve">e </w:t>
      </w:r>
      <w:r w:rsidRPr="002F50BD">
        <w:rPr>
          <w:rFonts w:ascii="Verdana" w:hAnsi="Verdana"/>
          <w:sz w:val="20"/>
          <w:lang w:val="pt-BR"/>
        </w:rPr>
        <w:t xml:space="preserve">a uma comunidade </w:t>
      </w:r>
      <w:r w:rsidR="004756C1" w:rsidRPr="002F50BD">
        <w:rPr>
          <w:rFonts w:ascii="Verdana" w:hAnsi="Verdana"/>
          <w:sz w:val="20"/>
          <w:lang w:val="pt-BR"/>
        </w:rPr>
        <w:t>organizada</w:t>
      </w:r>
      <w:r w:rsidRPr="002F50BD">
        <w:rPr>
          <w:rFonts w:ascii="Verdana" w:hAnsi="Verdana"/>
          <w:sz w:val="20"/>
          <w:lang w:val="pt-BR"/>
        </w:rPr>
        <w:t xml:space="preserve"> com </w:t>
      </w:r>
      <w:r w:rsidR="007801FA" w:rsidRPr="002F50BD">
        <w:rPr>
          <w:rFonts w:ascii="Verdana" w:hAnsi="Verdana"/>
          <w:sz w:val="20"/>
          <w:lang w:val="pt-BR"/>
        </w:rPr>
        <w:t>personalidade</w:t>
      </w:r>
      <w:r w:rsidR="004756C1" w:rsidRPr="002F50BD">
        <w:rPr>
          <w:rFonts w:ascii="Verdana" w:hAnsi="Verdana"/>
          <w:sz w:val="20"/>
          <w:lang w:val="pt-BR"/>
        </w:rPr>
        <w:t xml:space="preserve"> jurídica, que</w:t>
      </w:r>
      <w:r w:rsidR="004612C7" w:rsidRPr="002F50BD">
        <w:rPr>
          <w:rFonts w:ascii="Verdana" w:hAnsi="Verdana"/>
          <w:sz w:val="20"/>
          <w:lang w:val="pt-BR"/>
        </w:rPr>
        <w:t>,</w:t>
      </w:r>
      <w:r w:rsidRPr="002F50BD">
        <w:rPr>
          <w:rFonts w:ascii="Verdana" w:hAnsi="Verdana"/>
          <w:sz w:val="20"/>
          <w:lang w:val="pt-BR"/>
        </w:rPr>
        <w:t xml:space="preserve"> no </w:t>
      </w:r>
      <w:r w:rsidR="004756C1" w:rsidRPr="002F50BD">
        <w:rPr>
          <w:rFonts w:ascii="Verdana" w:hAnsi="Verdana"/>
          <w:sz w:val="20"/>
          <w:lang w:val="pt-BR"/>
        </w:rPr>
        <w:t>caso</w:t>
      </w:r>
      <w:r w:rsidRPr="002F50BD">
        <w:rPr>
          <w:rFonts w:ascii="Verdana" w:hAnsi="Verdana"/>
          <w:sz w:val="20"/>
          <w:lang w:val="pt-BR"/>
        </w:rPr>
        <w:t xml:space="preserve"> da região</w:t>
      </w:r>
      <w:r w:rsidR="004756C1" w:rsidRPr="002F50BD">
        <w:rPr>
          <w:rFonts w:ascii="Verdana" w:hAnsi="Verdana"/>
          <w:sz w:val="20"/>
          <w:lang w:val="pt-BR"/>
        </w:rPr>
        <w:t xml:space="preserve"> ocidental </w:t>
      </w:r>
      <w:r w:rsidRPr="002F50BD">
        <w:rPr>
          <w:rFonts w:ascii="Verdana" w:hAnsi="Verdana"/>
          <w:sz w:val="20"/>
          <w:lang w:val="pt-BR"/>
        </w:rPr>
        <w:t xml:space="preserve">do </w:t>
      </w:r>
      <w:r w:rsidR="004756C1" w:rsidRPr="002F50BD">
        <w:rPr>
          <w:rFonts w:ascii="Verdana" w:hAnsi="Verdana"/>
          <w:sz w:val="20"/>
          <w:lang w:val="pt-BR"/>
        </w:rPr>
        <w:t>Chaco</w:t>
      </w:r>
      <w:r w:rsidR="004612C7" w:rsidRPr="002F50BD">
        <w:rPr>
          <w:rFonts w:ascii="Verdana" w:hAnsi="Verdana"/>
          <w:sz w:val="20"/>
          <w:lang w:val="pt-BR"/>
        </w:rPr>
        <w:t>,</w:t>
      </w:r>
      <w:r w:rsidRPr="002F50BD">
        <w:rPr>
          <w:rFonts w:ascii="Verdana" w:hAnsi="Verdana"/>
          <w:sz w:val="20"/>
          <w:lang w:val="pt-BR"/>
        </w:rPr>
        <w:t xml:space="preserve"> é </w:t>
      </w:r>
      <w:r w:rsidR="004756C1" w:rsidRPr="002F50BD">
        <w:rPr>
          <w:rFonts w:ascii="Verdana" w:hAnsi="Verdana"/>
          <w:sz w:val="20"/>
          <w:lang w:val="pt-BR"/>
        </w:rPr>
        <w:t>de</w:t>
      </w:r>
      <w:r w:rsidRPr="002F50BD">
        <w:rPr>
          <w:rFonts w:ascii="Verdana" w:hAnsi="Verdana"/>
          <w:sz w:val="20"/>
          <w:lang w:val="pt-BR"/>
        </w:rPr>
        <w:t xml:space="preserve"> um </w:t>
      </w:r>
      <w:r w:rsidR="004756C1" w:rsidRPr="002F50BD">
        <w:rPr>
          <w:rFonts w:ascii="Verdana" w:hAnsi="Verdana"/>
          <w:sz w:val="20"/>
          <w:lang w:val="pt-BR"/>
        </w:rPr>
        <w:t xml:space="preserve">mínimo de </w:t>
      </w:r>
      <w:r w:rsidR="00063B47" w:rsidRPr="002F50BD">
        <w:rPr>
          <w:rFonts w:ascii="Verdana" w:hAnsi="Verdana"/>
          <w:sz w:val="20"/>
          <w:lang w:val="pt-BR"/>
        </w:rPr>
        <w:t>100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por </w:t>
      </w:r>
      <w:r w:rsidR="005A6BC7" w:rsidRPr="002F50BD">
        <w:rPr>
          <w:rFonts w:ascii="Verdana" w:hAnsi="Verdana"/>
          <w:sz w:val="20"/>
          <w:lang w:val="pt-BR"/>
        </w:rPr>
        <w:t>família</w:t>
      </w:r>
      <w:r w:rsidR="004756C1" w:rsidRPr="002F50BD">
        <w:rPr>
          <w:rFonts w:ascii="Verdana" w:hAnsi="Verdana"/>
          <w:sz w:val="20"/>
          <w:lang w:val="pt-BR"/>
        </w:rPr>
        <w:t>;</w:t>
      </w:r>
    </w:p>
    <w:p w:rsidR="00F46680" w:rsidRPr="002F50BD" w:rsidRDefault="00F46680" w:rsidP="00F46680">
      <w:pPr>
        <w:tabs>
          <w:tab w:val="left" w:pos="1080"/>
        </w:tabs>
        <w:ind w:left="360"/>
        <w:jc w:val="both"/>
        <w:rPr>
          <w:rFonts w:ascii="Verdana" w:hAnsi="Verdana"/>
          <w:sz w:val="20"/>
          <w:lang w:val="pt-BR"/>
        </w:rPr>
      </w:pPr>
    </w:p>
    <w:p w:rsidR="004756C1" w:rsidRPr="002F50BD" w:rsidRDefault="0089298C">
      <w:pPr>
        <w:numPr>
          <w:ilvl w:val="0"/>
          <w:numId w:val="11"/>
        </w:numPr>
        <w:tabs>
          <w:tab w:val="left" w:pos="1080"/>
        </w:tabs>
        <w:ind w:left="720"/>
        <w:jc w:val="both"/>
        <w:rPr>
          <w:rFonts w:ascii="Verdana" w:hAnsi="Verdana"/>
          <w:sz w:val="20"/>
          <w:lang w:val="pt-BR"/>
        </w:rPr>
      </w:pPr>
      <w:r w:rsidRPr="002F50BD">
        <w:rPr>
          <w:rFonts w:ascii="Verdana" w:hAnsi="Verdana"/>
          <w:sz w:val="20"/>
          <w:lang w:val="pt-BR"/>
        </w:rPr>
        <w:t>As instituições</w:t>
      </w:r>
      <w:r w:rsidR="004756C1" w:rsidRPr="002F50BD">
        <w:rPr>
          <w:rFonts w:ascii="Verdana" w:hAnsi="Verdana"/>
          <w:sz w:val="20"/>
          <w:lang w:val="pt-BR"/>
        </w:rPr>
        <w:t xml:space="preserve"> administrativas internas </w:t>
      </w:r>
      <w:r w:rsidR="00C247F1" w:rsidRPr="002F50BD">
        <w:rPr>
          <w:rFonts w:ascii="Verdana" w:hAnsi="Verdana"/>
          <w:sz w:val="20"/>
          <w:lang w:val="pt-BR"/>
        </w:rPr>
        <w:t>encontraram</w:t>
      </w:r>
      <w:r w:rsidR="004756C1" w:rsidRPr="002F50BD">
        <w:rPr>
          <w:rFonts w:ascii="Verdana" w:hAnsi="Verdana"/>
          <w:sz w:val="20"/>
          <w:lang w:val="pt-BR"/>
        </w:rPr>
        <w:t xml:space="preserve"> </w:t>
      </w:r>
      <w:r w:rsidRPr="002F50BD">
        <w:rPr>
          <w:rFonts w:ascii="Verdana" w:hAnsi="Verdana"/>
          <w:sz w:val="20"/>
          <w:lang w:val="pt-BR"/>
        </w:rPr>
        <w:t>dificuldades</w:t>
      </w:r>
      <w:r w:rsidR="004756C1" w:rsidRPr="002F50BD">
        <w:rPr>
          <w:rFonts w:ascii="Verdana" w:hAnsi="Verdana"/>
          <w:sz w:val="20"/>
          <w:lang w:val="pt-BR"/>
        </w:rPr>
        <w:t xml:space="preserve"> para responder </w:t>
      </w:r>
      <w:r w:rsidRPr="002F50BD">
        <w:rPr>
          <w:rFonts w:ascii="Verdana" w:hAnsi="Verdana"/>
          <w:sz w:val="20"/>
          <w:lang w:val="pt-BR"/>
        </w:rPr>
        <w:t>efetiv</w:t>
      </w:r>
      <w:r w:rsidR="004756C1" w:rsidRPr="002F50BD">
        <w:rPr>
          <w:rFonts w:ascii="Verdana" w:hAnsi="Verdana"/>
          <w:sz w:val="20"/>
          <w:lang w:val="pt-BR"/>
        </w:rPr>
        <w:t>amente</w:t>
      </w:r>
      <w:r w:rsidRPr="002F50BD">
        <w:rPr>
          <w:rFonts w:ascii="Verdana" w:hAnsi="Verdana"/>
          <w:sz w:val="20"/>
          <w:lang w:val="pt-BR"/>
        </w:rPr>
        <w:t xml:space="preserve"> </w:t>
      </w:r>
      <w:r w:rsidR="006603BE" w:rsidRPr="002F50BD">
        <w:rPr>
          <w:rFonts w:ascii="Verdana" w:hAnsi="Verdana"/>
          <w:sz w:val="20"/>
          <w:lang w:val="pt-BR"/>
        </w:rPr>
        <w:t>a</w:t>
      </w:r>
      <w:r w:rsidRPr="002F50BD">
        <w:rPr>
          <w:rFonts w:ascii="Verdana" w:hAnsi="Verdana"/>
          <w:sz w:val="20"/>
          <w:lang w:val="pt-BR"/>
        </w:rPr>
        <w:t xml:space="preserve">o </w:t>
      </w:r>
      <w:r w:rsidR="004756C1" w:rsidRPr="002F50BD">
        <w:rPr>
          <w:rFonts w:ascii="Verdana" w:hAnsi="Verdana"/>
          <w:sz w:val="20"/>
          <w:lang w:val="pt-BR"/>
        </w:rPr>
        <w:t>reclamo</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devido à complex</w:t>
      </w:r>
      <w:r w:rsidR="004756C1" w:rsidRPr="002F50BD">
        <w:rPr>
          <w:rFonts w:ascii="Verdana" w:hAnsi="Verdana"/>
          <w:sz w:val="20"/>
          <w:lang w:val="pt-BR"/>
        </w:rPr>
        <w:t>a situa</w:t>
      </w:r>
      <w:r w:rsidRPr="002F50BD">
        <w:rPr>
          <w:rFonts w:ascii="Verdana" w:hAnsi="Verdana"/>
          <w:sz w:val="20"/>
          <w:lang w:val="pt-BR"/>
        </w:rPr>
        <w:t>ção</w:t>
      </w:r>
      <w:r w:rsidR="004756C1" w:rsidRPr="002F50BD">
        <w:rPr>
          <w:rFonts w:ascii="Verdana" w:hAnsi="Verdana"/>
          <w:sz w:val="20"/>
          <w:lang w:val="pt-BR"/>
        </w:rPr>
        <w:t xml:space="preserve"> de </w:t>
      </w:r>
      <w:r w:rsidR="004612C7" w:rsidRPr="002F50BD">
        <w:rPr>
          <w:rFonts w:ascii="Verdana" w:hAnsi="Verdana"/>
          <w:sz w:val="20"/>
          <w:lang w:val="pt-BR"/>
        </w:rPr>
        <w:t xml:space="preserve">conflito </w:t>
      </w:r>
      <w:r w:rsidR="004756C1" w:rsidRPr="002F50BD">
        <w:rPr>
          <w:rFonts w:ascii="Verdana" w:hAnsi="Verdana"/>
          <w:sz w:val="20"/>
          <w:lang w:val="pt-BR"/>
        </w:rPr>
        <w:t xml:space="preserve">de </w:t>
      </w:r>
      <w:r w:rsidRPr="002F50BD">
        <w:rPr>
          <w:rFonts w:ascii="Verdana" w:hAnsi="Verdana"/>
          <w:sz w:val="20"/>
          <w:lang w:val="pt-BR"/>
        </w:rPr>
        <w:t>direito</w:t>
      </w:r>
      <w:r w:rsidR="004756C1" w:rsidRPr="002F50BD">
        <w:rPr>
          <w:rFonts w:ascii="Verdana" w:hAnsi="Verdana"/>
          <w:sz w:val="20"/>
          <w:lang w:val="pt-BR"/>
        </w:rPr>
        <w:t>s entre</w:t>
      </w:r>
      <w:r w:rsidRPr="002F50BD">
        <w:rPr>
          <w:rFonts w:ascii="Verdana" w:hAnsi="Verdana"/>
          <w:sz w:val="20"/>
          <w:lang w:val="pt-BR"/>
        </w:rPr>
        <w:t xml:space="preserve"> os </w:t>
      </w:r>
      <w:r w:rsidR="004756C1" w:rsidRPr="002F50BD">
        <w:rPr>
          <w:rFonts w:ascii="Verdana" w:hAnsi="Verdana"/>
          <w:sz w:val="20"/>
          <w:lang w:val="pt-BR"/>
        </w:rPr>
        <w:t xml:space="preserve">institutos </w:t>
      </w:r>
      <w:r w:rsidRPr="002F50BD">
        <w:rPr>
          <w:rFonts w:ascii="Verdana" w:hAnsi="Verdana"/>
          <w:sz w:val="20"/>
          <w:lang w:val="pt-BR"/>
        </w:rPr>
        <w:t>do direito à propriedade</w:t>
      </w:r>
      <w:r w:rsidR="004756C1" w:rsidRPr="002F50BD">
        <w:rPr>
          <w:rFonts w:ascii="Verdana" w:hAnsi="Verdana"/>
          <w:sz w:val="20"/>
          <w:lang w:val="pt-BR"/>
        </w:rPr>
        <w:t xml:space="preserve"> privada</w:t>
      </w:r>
      <w:r w:rsidRPr="002F50BD">
        <w:rPr>
          <w:rFonts w:ascii="Verdana" w:hAnsi="Verdana"/>
          <w:sz w:val="20"/>
          <w:lang w:val="pt-BR"/>
        </w:rPr>
        <w:t xml:space="preserve"> e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a de </w:t>
      </w:r>
      <w:r w:rsidRPr="002F50BD">
        <w:rPr>
          <w:rFonts w:ascii="Verdana" w:hAnsi="Verdana"/>
          <w:sz w:val="20"/>
          <w:lang w:val="pt-BR"/>
        </w:rPr>
        <w:t>terra</w:t>
      </w:r>
      <w:r w:rsidR="004756C1" w:rsidRPr="002F50BD">
        <w:rPr>
          <w:rFonts w:ascii="Verdana" w:hAnsi="Verdana"/>
          <w:sz w:val="20"/>
          <w:lang w:val="pt-BR"/>
        </w:rPr>
        <w:t>s indígenas, ambos amparados constitucionalmente</w:t>
      </w:r>
      <w:r w:rsidRPr="002F50BD">
        <w:rPr>
          <w:rFonts w:ascii="Verdana" w:hAnsi="Verdana"/>
          <w:sz w:val="20"/>
          <w:lang w:val="pt-BR"/>
        </w:rPr>
        <w:t xml:space="preserve"> e pelas </w:t>
      </w:r>
      <w:r w:rsidR="004756C1" w:rsidRPr="002F50BD">
        <w:rPr>
          <w:rFonts w:ascii="Verdana" w:hAnsi="Verdana"/>
          <w:sz w:val="20"/>
          <w:lang w:val="pt-BR"/>
        </w:rPr>
        <w:t xml:space="preserve">normas </w:t>
      </w:r>
      <w:r w:rsidRPr="002F50BD">
        <w:rPr>
          <w:rFonts w:ascii="Verdana" w:hAnsi="Verdana"/>
          <w:sz w:val="20"/>
          <w:lang w:val="pt-BR"/>
        </w:rPr>
        <w:t xml:space="preserve">do </w:t>
      </w:r>
      <w:r w:rsidR="00CF451D">
        <w:rPr>
          <w:rFonts w:ascii="Verdana" w:hAnsi="Verdana"/>
          <w:sz w:val="20"/>
          <w:lang w:val="pt-BR"/>
        </w:rPr>
        <w:t>Direito Internacional dos Direitos Humanos</w:t>
      </w:r>
      <w:r w:rsidRPr="002F50BD">
        <w:rPr>
          <w:rFonts w:ascii="Verdana" w:hAnsi="Verdana"/>
          <w:sz w:val="20"/>
          <w:lang w:val="pt-BR"/>
        </w:rPr>
        <w:t>, e</w:t>
      </w:r>
    </w:p>
    <w:p w:rsidR="004756C1" w:rsidRPr="002F50BD" w:rsidRDefault="004756C1">
      <w:pPr>
        <w:tabs>
          <w:tab w:val="left" w:pos="1080"/>
        </w:tabs>
        <w:ind w:left="720"/>
        <w:jc w:val="both"/>
        <w:rPr>
          <w:rFonts w:ascii="Verdana" w:hAnsi="Verdana"/>
          <w:sz w:val="20"/>
          <w:lang w:val="pt-BR"/>
        </w:rPr>
      </w:pPr>
    </w:p>
    <w:p w:rsidR="004756C1" w:rsidRPr="002F50BD" w:rsidRDefault="00C247F1">
      <w:pPr>
        <w:numPr>
          <w:ilvl w:val="0"/>
          <w:numId w:val="11"/>
        </w:numPr>
        <w:tabs>
          <w:tab w:val="left" w:pos="1080"/>
        </w:tabs>
        <w:ind w:left="720"/>
        <w:jc w:val="both"/>
        <w:rPr>
          <w:rFonts w:ascii="Verdana" w:hAnsi="Verdana"/>
          <w:sz w:val="20"/>
          <w:lang w:val="pt-BR"/>
        </w:rPr>
      </w:pPr>
      <w:r w:rsidRPr="002F50BD">
        <w:rPr>
          <w:rFonts w:ascii="Verdana" w:hAnsi="Verdana"/>
          <w:sz w:val="20"/>
          <w:lang w:val="pt-BR"/>
        </w:rPr>
        <w:t>E</w:t>
      </w:r>
      <w:r w:rsidR="004756C1" w:rsidRPr="002F50BD">
        <w:rPr>
          <w:rFonts w:ascii="Verdana" w:hAnsi="Verdana"/>
          <w:sz w:val="20"/>
          <w:lang w:val="pt-BR"/>
        </w:rPr>
        <w:t xml:space="preserve">stá </w:t>
      </w:r>
      <w:r w:rsidR="0089298C" w:rsidRPr="002F50BD">
        <w:rPr>
          <w:rFonts w:ascii="Verdana" w:hAnsi="Verdana"/>
          <w:sz w:val="20"/>
          <w:lang w:val="pt-BR"/>
        </w:rPr>
        <w:t>dispost</w:t>
      </w:r>
      <w:r w:rsidR="004756C1" w:rsidRPr="002F50BD">
        <w:rPr>
          <w:rFonts w:ascii="Verdana" w:hAnsi="Verdana"/>
          <w:sz w:val="20"/>
          <w:lang w:val="pt-BR"/>
        </w:rPr>
        <w:t>o a encontrar</w:t>
      </w:r>
      <w:r w:rsidR="0089298C" w:rsidRPr="002F50BD">
        <w:rPr>
          <w:rFonts w:ascii="Verdana" w:hAnsi="Verdana"/>
          <w:sz w:val="20"/>
          <w:lang w:val="pt-BR"/>
        </w:rPr>
        <w:t xml:space="preserve"> uma </w:t>
      </w:r>
      <w:r w:rsidR="004756C1" w:rsidRPr="002F50BD">
        <w:rPr>
          <w:rFonts w:ascii="Verdana" w:hAnsi="Verdana"/>
          <w:sz w:val="20"/>
          <w:lang w:val="pt-BR"/>
        </w:rPr>
        <w:t>solu</w:t>
      </w:r>
      <w:r w:rsidR="0089298C" w:rsidRPr="002F50BD">
        <w:rPr>
          <w:rFonts w:ascii="Verdana" w:hAnsi="Verdana"/>
          <w:sz w:val="20"/>
          <w:lang w:val="pt-BR"/>
        </w:rPr>
        <w:t xml:space="preserve">ção </w:t>
      </w:r>
      <w:r w:rsidR="004612C7" w:rsidRPr="002F50BD">
        <w:rPr>
          <w:rFonts w:ascii="Verdana" w:hAnsi="Verdana"/>
          <w:sz w:val="20"/>
          <w:lang w:val="pt-BR"/>
        </w:rPr>
        <w:t xml:space="preserve">para </w:t>
      </w:r>
      <w:r w:rsidR="0089298C" w:rsidRPr="002F50BD">
        <w:rPr>
          <w:rFonts w:ascii="Verdana" w:hAnsi="Verdana"/>
          <w:sz w:val="20"/>
          <w:lang w:val="pt-BR"/>
        </w:rPr>
        <w:t xml:space="preserve">o </w:t>
      </w:r>
      <w:r w:rsidR="004756C1" w:rsidRPr="002F50BD">
        <w:rPr>
          <w:rFonts w:ascii="Verdana" w:hAnsi="Verdana"/>
          <w:sz w:val="20"/>
          <w:lang w:val="pt-BR"/>
        </w:rPr>
        <w:t>problema d</w:t>
      </w:r>
      <w:r w:rsidR="004612C7"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acesso à terra</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da Comunidade no </w:t>
      </w:r>
      <w:r w:rsidR="004756C1" w:rsidRPr="002F50BD">
        <w:rPr>
          <w:rFonts w:ascii="Verdana" w:hAnsi="Verdana"/>
          <w:sz w:val="20"/>
          <w:lang w:val="pt-BR"/>
        </w:rPr>
        <w:t>marco</w:t>
      </w:r>
      <w:r w:rsidR="0089298C" w:rsidRPr="002F50BD">
        <w:rPr>
          <w:rFonts w:ascii="Verdana" w:hAnsi="Verdana"/>
          <w:sz w:val="20"/>
          <w:lang w:val="pt-BR"/>
        </w:rPr>
        <w:t xml:space="preserve"> da Constituição</w:t>
      </w:r>
      <w:r w:rsidR="004756C1" w:rsidRPr="002F50B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89298C"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 xml:space="preserve">OIT, </w:t>
      </w:r>
      <w:r w:rsidRPr="002F50BD">
        <w:rPr>
          <w:rFonts w:ascii="Verdana" w:hAnsi="Verdana"/>
          <w:sz w:val="20"/>
          <w:lang w:val="pt-BR"/>
        </w:rPr>
        <w:t>es</w:t>
      </w:r>
      <w:r w:rsidR="004756C1" w:rsidRPr="002F50BD">
        <w:rPr>
          <w:rFonts w:ascii="Verdana" w:hAnsi="Verdana"/>
          <w:sz w:val="20"/>
          <w:lang w:val="pt-BR"/>
        </w:rPr>
        <w:t>gotando todos</w:t>
      </w:r>
      <w:r w:rsidR="0089298C" w:rsidRPr="002F50BD">
        <w:rPr>
          <w:rFonts w:ascii="Verdana" w:hAnsi="Verdana"/>
          <w:sz w:val="20"/>
          <w:lang w:val="pt-BR"/>
        </w:rPr>
        <w:t xml:space="preserve"> os </w:t>
      </w:r>
      <w:r w:rsidR="004756C1" w:rsidRPr="002F50BD">
        <w:rPr>
          <w:rFonts w:ascii="Verdana" w:hAnsi="Verdana"/>
          <w:sz w:val="20"/>
          <w:lang w:val="pt-BR"/>
        </w:rPr>
        <w:t xml:space="preserve">meios internos a </w:t>
      </w:r>
      <w:r w:rsidR="004076AD" w:rsidRPr="002F50BD">
        <w:rPr>
          <w:rFonts w:ascii="Verdana" w:hAnsi="Verdana"/>
          <w:sz w:val="20"/>
          <w:lang w:val="pt-BR"/>
        </w:rPr>
        <w:t>seu alcance</w:t>
      </w:r>
      <w:r w:rsidR="004756C1" w:rsidRPr="002F50BD">
        <w:rPr>
          <w:rFonts w:ascii="Verdana" w:hAnsi="Verdana"/>
          <w:sz w:val="20"/>
          <w:lang w:val="pt-BR"/>
        </w:rPr>
        <w:t>, como</w:t>
      </w:r>
      <w:r w:rsidR="0089298C" w:rsidRPr="002F50BD">
        <w:rPr>
          <w:rFonts w:ascii="Verdana" w:hAnsi="Verdana"/>
          <w:sz w:val="20"/>
          <w:lang w:val="pt-BR"/>
        </w:rPr>
        <w:t xml:space="preserve"> a </w:t>
      </w:r>
      <w:r w:rsidR="004756C1" w:rsidRPr="002F50BD">
        <w:rPr>
          <w:rFonts w:ascii="Verdana" w:hAnsi="Verdana"/>
          <w:sz w:val="20"/>
          <w:lang w:val="pt-BR"/>
        </w:rPr>
        <w:t>negocia</w:t>
      </w:r>
      <w:r w:rsidR="0089298C" w:rsidRPr="002F50BD">
        <w:rPr>
          <w:rFonts w:ascii="Verdana" w:hAnsi="Verdana"/>
          <w:sz w:val="20"/>
          <w:lang w:val="pt-BR"/>
        </w:rPr>
        <w:t xml:space="preserve">ção com os </w:t>
      </w:r>
      <w:r w:rsidR="007801FA" w:rsidRPr="002F50BD">
        <w:rPr>
          <w:rFonts w:ascii="Verdana" w:hAnsi="Verdana"/>
          <w:sz w:val="20"/>
          <w:lang w:val="pt-BR"/>
        </w:rPr>
        <w:t>proprietário</w:t>
      </w:r>
      <w:r w:rsidR="004756C1" w:rsidRPr="002F50BD">
        <w:rPr>
          <w:rFonts w:ascii="Verdana" w:hAnsi="Verdana"/>
          <w:sz w:val="20"/>
          <w:lang w:val="pt-BR"/>
        </w:rPr>
        <w:t>s,</w:t>
      </w:r>
      <w:r w:rsidR="0089298C" w:rsidRPr="002F50BD">
        <w:rPr>
          <w:rFonts w:ascii="Verdana" w:hAnsi="Verdana"/>
          <w:sz w:val="20"/>
          <w:lang w:val="pt-BR"/>
        </w:rPr>
        <w:t xml:space="preserve"> a </w:t>
      </w:r>
      <w:r w:rsidR="004756C1" w:rsidRPr="002F50BD">
        <w:rPr>
          <w:rFonts w:ascii="Verdana" w:hAnsi="Verdana"/>
          <w:sz w:val="20"/>
          <w:lang w:val="pt-BR"/>
        </w:rPr>
        <w:t xml:space="preserve">eventual </w:t>
      </w:r>
      <w:r w:rsidR="0089298C" w:rsidRPr="002F50BD">
        <w:rPr>
          <w:rFonts w:ascii="Verdana" w:hAnsi="Verdana"/>
          <w:sz w:val="20"/>
          <w:lang w:val="pt-BR"/>
        </w:rPr>
        <w:t xml:space="preserve">solicitação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4756C1" w:rsidRPr="002F50BD">
        <w:rPr>
          <w:rFonts w:ascii="Verdana" w:hAnsi="Verdana"/>
          <w:sz w:val="20"/>
          <w:lang w:val="pt-BR"/>
        </w:rPr>
        <w:t xml:space="preserve"> o</w:t>
      </w:r>
      <w:r w:rsidRPr="002F50BD">
        <w:rPr>
          <w:rFonts w:ascii="Verdana" w:hAnsi="Verdana"/>
          <w:sz w:val="20"/>
          <w:lang w:val="pt-BR"/>
        </w:rPr>
        <w:t>u</w:t>
      </w:r>
      <w:r w:rsidR="0089298C" w:rsidRPr="002F50BD">
        <w:rPr>
          <w:rFonts w:ascii="Verdana" w:hAnsi="Verdana"/>
          <w:sz w:val="20"/>
          <w:lang w:val="pt-BR"/>
        </w:rPr>
        <w:t xml:space="preserve"> a localização em uma terra </w:t>
      </w:r>
      <w:r w:rsidR="00941AED" w:rsidRPr="002F50BD">
        <w:rPr>
          <w:rFonts w:ascii="Verdana" w:hAnsi="Verdana"/>
          <w:sz w:val="20"/>
          <w:lang w:val="pt-BR"/>
        </w:rPr>
        <w:t xml:space="preserve">com </w:t>
      </w:r>
      <w:r w:rsidR="0089298C" w:rsidRPr="002F50BD">
        <w:rPr>
          <w:rFonts w:ascii="Verdana" w:hAnsi="Verdana"/>
          <w:sz w:val="20"/>
          <w:lang w:val="pt-BR"/>
        </w:rPr>
        <w:t>a extensão e qualidade necessári</w:t>
      </w:r>
      <w:r w:rsidR="004756C1" w:rsidRPr="002F50BD">
        <w:rPr>
          <w:rFonts w:ascii="Verdana" w:hAnsi="Verdana"/>
          <w:sz w:val="20"/>
          <w:lang w:val="pt-BR"/>
        </w:rPr>
        <w:t>as para</w:t>
      </w:r>
      <w:r w:rsidR="0089298C" w:rsidRPr="002F50BD">
        <w:rPr>
          <w:rFonts w:ascii="Verdana" w:hAnsi="Verdana"/>
          <w:sz w:val="20"/>
          <w:lang w:val="pt-BR"/>
        </w:rPr>
        <w:t xml:space="preserve"> o desenvolvimento</w:t>
      </w:r>
      <w:r w:rsidR="004756C1" w:rsidRPr="002F50BD">
        <w:rPr>
          <w:rFonts w:ascii="Verdana" w:hAnsi="Verdana"/>
          <w:sz w:val="20"/>
          <w:lang w:val="pt-BR"/>
        </w:rPr>
        <w:t xml:space="preserve"> de </w:t>
      </w:r>
      <w:r w:rsidR="004076AD" w:rsidRPr="002F50BD">
        <w:rPr>
          <w:rFonts w:ascii="Verdana" w:hAnsi="Verdana"/>
          <w:sz w:val="20"/>
          <w:lang w:val="pt-BR"/>
        </w:rPr>
        <w:t>suas atividades</w:t>
      </w:r>
      <w:r w:rsidR="004756C1" w:rsidRPr="002F50BD">
        <w:rPr>
          <w:rFonts w:ascii="Verdana" w:hAnsi="Verdana"/>
          <w:sz w:val="20"/>
          <w:lang w:val="pt-BR"/>
        </w:rPr>
        <w:t xml:space="preserve"> tr</w:t>
      </w:r>
      <w:r w:rsidR="0089298C" w:rsidRPr="002F50BD">
        <w:rPr>
          <w:rFonts w:ascii="Verdana" w:hAnsi="Verdana"/>
          <w:sz w:val="20"/>
          <w:lang w:val="pt-BR"/>
        </w:rPr>
        <w:t>adicionais</w:t>
      </w:r>
      <w:r w:rsidR="004756C1" w:rsidRPr="002F50BD">
        <w:rPr>
          <w:rFonts w:ascii="Verdana" w:hAnsi="Verdana"/>
          <w:sz w:val="20"/>
          <w:lang w:val="pt-BR"/>
        </w:rPr>
        <w:t xml:space="preserve">, </w:t>
      </w:r>
      <w:r w:rsidR="00BC5C21" w:rsidRPr="002F50BD">
        <w:rPr>
          <w:rFonts w:ascii="Verdana" w:hAnsi="Verdana"/>
          <w:sz w:val="20"/>
          <w:lang w:val="pt-BR"/>
        </w:rPr>
        <w:t>sobretudo</w:t>
      </w:r>
      <w:r w:rsidR="0089298C" w:rsidRPr="002F50BD">
        <w:rPr>
          <w:rFonts w:ascii="Verdana" w:hAnsi="Verdana"/>
          <w:sz w:val="20"/>
          <w:lang w:val="pt-BR"/>
        </w:rPr>
        <w:t xml:space="preserve"> tendo em </w:t>
      </w:r>
      <w:r w:rsidR="006603BE" w:rsidRPr="002F50BD">
        <w:rPr>
          <w:rFonts w:ascii="Verdana" w:hAnsi="Verdana"/>
          <w:sz w:val="20"/>
          <w:lang w:val="pt-BR"/>
        </w:rPr>
        <w:t>consideração</w:t>
      </w:r>
      <w:r w:rsidR="0089298C" w:rsidRPr="002F50BD">
        <w:rPr>
          <w:rFonts w:ascii="Verdana" w:hAnsi="Verdana"/>
          <w:sz w:val="20"/>
          <w:lang w:val="pt-BR"/>
        </w:rPr>
        <w:t xml:space="preserve"> </w:t>
      </w:r>
      <w:r w:rsidR="004756C1" w:rsidRPr="002F50BD">
        <w:rPr>
          <w:rFonts w:ascii="Verdana" w:hAnsi="Verdana"/>
          <w:sz w:val="20"/>
          <w:lang w:val="pt-BR"/>
        </w:rPr>
        <w:t xml:space="preserve">que </w:t>
      </w:r>
      <w:r w:rsidR="0089298C" w:rsidRPr="002F50BD">
        <w:rPr>
          <w:rFonts w:ascii="Verdana" w:hAnsi="Verdana"/>
          <w:sz w:val="20"/>
          <w:lang w:val="pt-BR"/>
        </w:rPr>
        <w:t>esta</w:t>
      </w:r>
      <w:r w:rsidR="004756C1" w:rsidRPr="002F50BD">
        <w:rPr>
          <w:rFonts w:ascii="Verdana" w:hAnsi="Verdana"/>
          <w:sz w:val="20"/>
          <w:lang w:val="pt-BR"/>
        </w:rPr>
        <w:t xml:space="preserve"> </w:t>
      </w:r>
      <w:r w:rsidR="0089298C" w:rsidRPr="002F50BD">
        <w:rPr>
          <w:rFonts w:ascii="Verdana" w:hAnsi="Verdana"/>
          <w:sz w:val="20"/>
          <w:lang w:val="pt-BR"/>
        </w:rPr>
        <w:t xml:space="preserve">Comunidade não possui </w:t>
      </w:r>
      <w:r w:rsidR="00941AED" w:rsidRPr="002F50BD">
        <w:rPr>
          <w:rFonts w:ascii="Verdana" w:hAnsi="Verdana"/>
          <w:sz w:val="20"/>
          <w:lang w:val="pt-BR"/>
        </w:rPr>
        <w:t xml:space="preserve">raízes </w:t>
      </w:r>
      <w:r w:rsidR="0089298C" w:rsidRPr="002F50BD">
        <w:rPr>
          <w:rFonts w:ascii="Verdana" w:hAnsi="Verdana"/>
          <w:sz w:val="20"/>
          <w:lang w:val="pt-BR"/>
        </w:rPr>
        <w:t xml:space="preserve">em um </w:t>
      </w:r>
      <w:r w:rsidR="004756C1" w:rsidRPr="002F50BD">
        <w:rPr>
          <w:rFonts w:ascii="Verdana" w:hAnsi="Verdana"/>
          <w:sz w:val="20"/>
          <w:lang w:val="pt-BR"/>
        </w:rPr>
        <w:t>lugar determinado,</w:t>
      </w:r>
      <w:r w:rsidR="0089298C" w:rsidRPr="002F50BD">
        <w:rPr>
          <w:rFonts w:ascii="Verdana" w:hAnsi="Verdana"/>
          <w:sz w:val="20"/>
          <w:lang w:val="pt-BR"/>
        </w:rPr>
        <w:t xml:space="preserve"> mas </w:t>
      </w:r>
      <w:r w:rsidR="004756C1" w:rsidRPr="002F50BD">
        <w:rPr>
          <w:rFonts w:ascii="Verdana" w:hAnsi="Verdana"/>
          <w:sz w:val="20"/>
          <w:lang w:val="pt-BR"/>
        </w:rPr>
        <w:t xml:space="preserve">que considera como </w:t>
      </w:r>
      <w:r w:rsidR="00AB454A" w:rsidRPr="002F50BD">
        <w:rPr>
          <w:rFonts w:ascii="Verdana" w:hAnsi="Verdana"/>
          <w:sz w:val="20"/>
          <w:lang w:val="pt-BR"/>
        </w:rPr>
        <w:t>seu território</w:t>
      </w:r>
      <w:r w:rsidR="0089298C" w:rsidRPr="002F50BD">
        <w:rPr>
          <w:rFonts w:ascii="Verdana" w:hAnsi="Verdana"/>
          <w:sz w:val="20"/>
          <w:lang w:val="pt-BR"/>
        </w:rPr>
        <w:t xml:space="preserve"> uma </w:t>
      </w:r>
      <w:r w:rsidR="004756C1" w:rsidRPr="002F50BD">
        <w:rPr>
          <w:rFonts w:ascii="Verdana" w:hAnsi="Verdana"/>
          <w:sz w:val="20"/>
          <w:lang w:val="pt-BR"/>
        </w:rPr>
        <w:t xml:space="preserve">vasta </w:t>
      </w:r>
      <w:r w:rsidR="0089298C" w:rsidRPr="002F50BD">
        <w:rPr>
          <w:rFonts w:ascii="Verdana" w:hAnsi="Verdana"/>
          <w:sz w:val="20"/>
          <w:lang w:val="pt-BR"/>
        </w:rPr>
        <w:t>extensão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Chaco </w:t>
      </w:r>
      <w:r w:rsidR="0089298C" w:rsidRPr="002F50BD">
        <w:rPr>
          <w:rFonts w:ascii="Verdana" w:hAnsi="Verdana"/>
          <w:sz w:val="20"/>
          <w:lang w:val="pt-BR"/>
        </w:rPr>
        <w:t>Paraguai</w:t>
      </w:r>
      <w:r w:rsidR="004756C1" w:rsidRPr="002F50BD">
        <w:rPr>
          <w:rFonts w:ascii="Verdana" w:hAnsi="Verdana"/>
          <w:sz w:val="20"/>
          <w:lang w:val="pt-BR"/>
        </w:rPr>
        <w:t>o.</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F46680" w:rsidRPr="002F50BD" w:rsidRDefault="00F46680" w:rsidP="00F4668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32"/>
          <w:lang w:val="pt-BR"/>
        </w:rPr>
      </w:pPr>
    </w:p>
    <w:p w:rsidR="004756C1" w:rsidRPr="002F50BD" w:rsidRDefault="0089298C">
      <w:pPr>
        <w:widowControl w:val="0"/>
        <w:numPr>
          <w:ilvl w:val="0"/>
          <w:numId w:val="2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32"/>
          <w:lang w:val="pt-BR"/>
        </w:rPr>
      </w:pPr>
      <w:r w:rsidRPr="002F50BD">
        <w:rPr>
          <w:rFonts w:ascii="Verdana" w:hAnsi="Verdana"/>
          <w:sz w:val="20"/>
          <w:lang w:val="pt-BR"/>
        </w:rPr>
        <w:t xml:space="preserve">O </w:t>
      </w:r>
      <w:r w:rsidRPr="002F50BD">
        <w:rPr>
          <w:rFonts w:ascii="Verdana" w:hAnsi="Verdana"/>
          <w:sz w:val="20"/>
          <w:szCs w:val="32"/>
          <w:lang w:val="pt-BR"/>
        </w:rPr>
        <w:t>artigo</w:t>
      </w:r>
      <w:r w:rsidR="004756C1" w:rsidRPr="002F50BD">
        <w:rPr>
          <w:rFonts w:ascii="Verdana" w:hAnsi="Verdana"/>
          <w:sz w:val="20"/>
          <w:szCs w:val="32"/>
          <w:lang w:val="pt-BR"/>
        </w:rPr>
        <w:t xml:space="preserve"> </w:t>
      </w:r>
      <w:r w:rsidR="00063B47" w:rsidRPr="002F50BD">
        <w:rPr>
          <w:rFonts w:ascii="Verdana" w:hAnsi="Verdana"/>
          <w:sz w:val="20"/>
          <w:szCs w:val="32"/>
          <w:lang w:val="pt-BR"/>
        </w:rPr>
        <w:t>21</w:t>
      </w:r>
      <w:r w:rsidRPr="002F50BD">
        <w:rPr>
          <w:rFonts w:ascii="Verdana" w:hAnsi="Verdana"/>
          <w:sz w:val="20"/>
          <w:szCs w:val="32"/>
          <w:lang w:val="pt-BR"/>
        </w:rPr>
        <w:t xml:space="preserve"> da </w:t>
      </w:r>
      <w:r w:rsidR="004756C1" w:rsidRPr="002F50BD">
        <w:rPr>
          <w:rFonts w:ascii="Verdana" w:hAnsi="Verdana"/>
          <w:sz w:val="20"/>
          <w:szCs w:val="32"/>
          <w:lang w:val="pt-BR"/>
        </w:rPr>
        <w:t>Conven</w:t>
      </w:r>
      <w:r w:rsidRPr="002F50BD">
        <w:rPr>
          <w:rFonts w:ascii="Verdana" w:hAnsi="Verdana"/>
          <w:sz w:val="20"/>
          <w:szCs w:val="32"/>
          <w:lang w:val="pt-BR"/>
        </w:rPr>
        <w:t>ção</w:t>
      </w:r>
      <w:r w:rsidR="004756C1" w:rsidRPr="002F50BD">
        <w:rPr>
          <w:rFonts w:ascii="Verdana" w:hAnsi="Verdana"/>
          <w:sz w:val="20"/>
          <w:szCs w:val="32"/>
          <w:lang w:val="pt-BR"/>
        </w:rPr>
        <w:t xml:space="preserve"> Americana </w:t>
      </w:r>
      <w:r w:rsidRPr="002F50BD">
        <w:rPr>
          <w:rFonts w:ascii="Verdana" w:hAnsi="Verdana"/>
          <w:sz w:val="20"/>
          <w:szCs w:val="32"/>
          <w:lang w:val="pt-BR"/>
        </w:rPr>
        <w:t>dispõe</w:t>
      </w:r>
      <w:r w:rsidR="004756C1" w:rsidRPr="002F50BD">
        <w:rPr>
          <w:rFonts w:ascii="Verdana" w:hAnsi="Verdana"/>
          <w:sz w:val="20"/>
          <w:szCs w:val="32"/>
          <w:lang w:val="pt-BR"/>
        </w:rPr>
        <w:t xml:space="preserve"> 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szCs w:val="32"/>
          <w:lang w:val="pt-BR"/>
        </w:rPr>
      </w:pPr>
    </w:p>
    <w:p w:rsidR="0099023E" w:rsidRPr="002F50BD" w:rsidRDefault="00063B47" w:rsidP="00990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r w:rsidRPr="002F50BD">
        <w:rPr>
          <w:rFonts w:ascii="Verdana" w:hAnsi="Verdana"/>
          <w:sz w:val="16"/>
          <w:lang w:val="pt-BR"/>
        </w:rPr>
        <w:t>1</w:t>
      </w:r>
      <w:r w:rsidR="0099023E" w:rsidRPr="002F50BD">
        <w:rPr>
          <w:rFonts w:ascii="Verdana" w:hAnsi="Verdana"/>
          <w:sz w:val="16"/>
          <w:lang w:val="pt-BR"/>
        </w:rPr>
        <w:t>.</w:t>
      </w:r>
      <w:r w:rsidR="0099023E" w:rsidRPr="002F50BD">
        <w:rPr>
          <w:rFonts w:ascii="Verdana" w:hAnsi="Verdana"/>
          <w:sz w:val="16"/>
          <w:lang w:val="pt-BR"/>
        </w:rPr>
        <w:tab/>
        <w:t>Toda pessoa tem direito ao uso e gozo dos seus bens. A lei pode subordinar esse uso e gozo ao interesse social.</w:t>
      </w:r>
    </w:p>
    <w:p w:rsidR="0099023E" w:rsidRPr="002F50BD" w:rsidRDefault="0099023E" w:rsidP="00990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p>
    <w:p w:rsidR="0099023E" w:rsidRPr="002F50BD" w:rsidRDefault="00063B47" w:rsidP="00990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r w:rsidRPr="002F50BD">
        <w:rPr>
          <w:rFonts w:ascii="Verdana" w:hAnsi="Verdana"/>
          <w:sz w:val="16"/>
          <w:lang w:val="pt-BR"/>
        </w:rPr>
        <w:t>2</w:t>
      </w:r>
      <w:r w:rsidR="0099023E" w:rsidRPr="002F50BD">
        <w:rPr>
          <w:rFonts w:ascii="Verdana" w:hAnsi="Verdana"/>
          <w:sz w:val="16"/>
          <w:lang w:val="pt-BR"/>
        </w:rPr>
        <w:t>. Nenhuma pessoa pode ser privada de seus bens, salvo mediante o pagamento de indenização justa, por motivo de utilidade pública ou de interesse social e nos casos e na forma estabelecidos pela lei.</w:t>
      </w:r>
    </w:p>
    <w:p w:rsidR="0099023E" w:rsidRPr="002F50BD" w:rsidRDefault="0099023E" w:rsidP="00990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p>
    <w:p w:rsidR="004756C1" w:rsidRPr="002F50BD" w:rsidRDefault="00063B47" w:rsidP="00990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r w:rsidRPr="002F50BD">
        <w:rPr>
          <w:rFonts w:ascii="Verdana" w:hAnsi="Verdana"/>
          <w:sz w:val="16"/>
          <w:lang w:val="pt-BR"/>
        </w:rPr>
        <w:t>3</w:t>
      </w:r>
      <w:r w:rsidR="0099023E" w:rsidRPr="002F50BD">
        <w:rPr>
          <w:rFonts w:ascii="Verdana" w:hAnsi="Verdana"/>
          <w:sz w:val="16"/>
          <w:lang w:val="pt-BR"/>
        </w:rPr>
        <w:t>. Tanto a usura como qualquer outra forma de exploração do homem pelo homem devem ser reprimidas pela lei</w:t>
      </w:r>
      <w:r w:rsidR="0089298C" w:rsidRPr="002F50BD">
        <w:rPr>
          <w:rFonts w:ascii="Verdana" w:hAnsi="Verdana"/>
          <w:sz w:val="16"/>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32"/>
          <w:lang w:val="pt-BR"/>
        </w:rPr>
      </w:pPr>
    </w:p>
    <w:p w:rsidR="004756C1" w:rsidRPr="002F50BD" w:rsidRDefault="0099023E">
      <w:pPr>
        <w:numPr>
          <w:ilvl w:val="0"/>
          <w:numId w:val="28"/>
        </w:numPr>
        <w:tabs>
          <w:tab w:val="clear" w:pos="0"/>
        </w:tabs>
        <w:jc w:val="both"/>
        <w:rPr>
          <w:rFonts w:ascii="Verdana" w:hAnsi="Verdana"/>
          <w:sz w:val="20"/>
          <w:lang w:val="pt-BR"/>
        </w:rPr>
      </w:pPr>
      <w:r w:rsidRPr="002F50BD">
        <w:rPr>
          <w:rFonts w:ascii="Verdana" w:hAnsi="Verdana"/>
          <w:sz w:val="20"/>
          <w:lang w:val="pt-BR"/>
        </w:rPr>
        <w:t>Ao</w:t>
      </w:r>
      <w:r w:rsidR="004756C1" w:rsidRPr="002F50BD">
        <w:rPr>
          <w:rFonts w:ascii="Verdana" w:hAnsi="Verdana"/>
          <w:sz w:val="20"/>
          <w:lang w:val="pt-BR"/>
        </w:rPr>
        <w:t xml:space="preserve"> </w:t>
      </w:r>
      <w:r w:rsidR="0089298C" w:rsidRPr="002F50BD">
        <w:rPr>
          <w:rFonts w:ascii="Verdana" w:hAnsi="Verdana"/>
          <w:sz w:val="20"/>
          <w:lang w:val="pt-BR"/>
        </w:rPr>
        <w:t xml:space="preserve">analisar o conteúdo e </w:t>
      </w:r>
      <w:r w:rsidRPr="002F50BD">
        <w:rPr>
          <w:rFonts w:ascii="Verdana" w:hAnsi="Verdana"/>
          <w:sz w:val="20"/>
          <w:lang w:val="pt-BR"/>
        </w:rPr>
        <w:t xml:space="preserve">o </w:t>
      </w:r>
      <w:r w:rsidR="004756C1" w:rsidRPr="002F50BD">
        <w:rPr>
          <w:rFonts w:ascii="Verdana" w:hAnsi="Verdana"/>
          <w:sz w:val="20"/>
          <w:lang w:val="pt-BR"/>
        </w:rPr>
        <w:t xml:space="preserve">alcance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 xml:space="preserve">ção no </w:t>
      </w:r>
      <w:r w:rsidR="004756C1" w:rsidRPr="002F50BD">
        <w:rPr>
          <w:rFonts w:ascii="Verdana" w:hAnsi="Verdana"/>
          <w:sz w:val="20"/>
          <w:lang w:val="pt-BR"/>
        </w:rPr>
        <w:t>presente caso,</w:t>
      </w:r>
      <w:r w:rsidR="0089298C" w:rsidRPr="002F50BD">
        <w:rPr>
          <w:rFonts w:ascii="Verdana" w:hAnsi="Verdana"/>
          <w:sz w:val="20"/>
          <w:lang w:val="pt-BR"/>
        </w:rPr>
        <w:t xml:space="preserve"> a </w:t>
      </w:r>
      <w:r w:rsidR="004756C1" w:rsidRPr="002F50BD">
        <w:rPr>
          <w:rFonts w:ascii="Verdana" w:hAnsi="Verdana"/>
          <w:sz w:val="20"/>
          <w:lang w:val="pt-BR"/>
        </w:rPr>
        <w:t>Corte tomará</w:t>
      </w:r>
      <w:r w:rsidR="0089298C" w:rsidRPr="002F50BD">
        <w:rPr>
          <w:rFonts w:ascii="Verdana" w:hAnsi="Verdana"/>
          <w:sz w:val="20"/>
          <w:lang w:val="pt-BR"/>
        </w:rPr>
        <w:t xml:space="preserve"> em </w:t>
      </w:r>
      <w:r w:rsidRPr="002F50BD">
        <w:rPr>
          <w:rFonts w:ascii="Verdana" w:hAnsi="Verdana"/>
          <w:sz w:val="20"/>
          <w:lang w:val="pt-BR"/>
        </w:rPr>
        <w:t>conta</w:t>
      </w:r>
      <w:r w:rsidR="004756C1" w:rsidRPr="002F50BD">
        <w:rPr>
          <w:rFonts w:ascii="Verdana" w:hAnsi="Verdana"/>
          <w:sz w:val="20"/>
          <w:lang w:val="pt-BR"/>
        </w:rPr>
        <w:t>,</w:t>
      </w:r>
      <w:r w:rsidR="0089298C" w:rsidRPr="002F50BD">
        <w:rPr>
          <w:rFonts w:ascii="Verdana" w:hAnsi="Verdana"/>
          <w:sz w:val="20"/>
          <w:lang w:val="pt-BR"/>
        </w:rPr>
        <w:t xml:space="preserve"> à </w:t>
      </w:r>
      <w:r w:rsidR="004756C1" w:rsidRPr="002F50BD">
        <w:rPr>
          <w:rFonts w:ascii="Verdana" w:hAnsi="Verdana"/>
          <w:sz w:val="20"/>
          <w:lang w:val="pt-BR"/>
        </w:rPr>
        <w:t>luz</w:t>
      </w:r>
      <w:r w:rsidR="0089298C" w:rsidRPr="002F50BD">
        <w:rPr>
          <w:rFonts w:ascii="Verdana" w:hAnsi="Verdana"/>
          <w:sz w:val="20"/>
          <w:lang w:val="pt-BR"/>
        </w:rPr>
        <w:t xml:space="preserve"> das regras</w:t>
      </w:r>
      <w:r w:rsidR="004756C1" w:rsidRPr="002F50BD">
        <w:rPr>
          <w:rFonts w:ascii="Verdana" w:hAnsi="Verdana"/>
          <w:sz w:val="20"/>
          <w:lang w:val="pt-BR"/>
        </w:rPr>
        <w:t xml:space="preserve"> </w:t>
      </w:r>
      <w:r w:rsidR="0089298C" w:rsidRPr="002F50BD">
        <w:rPr>
          <w:rFonts w:ascii="Verdana" w:hAnsi="Verdana"/>
          <w:sz w:val="20"/>
          <w:lang w:val="pt-BR"/>
        </w:rPr>
        <w:t xml:space="preserve">gerais </w:t>
      </w:r>
      <w:r w:rsidR="004756C1" w:rsidRPr="002F50BD">
        <w:rPr>
          <w:rFonts w:ascii="Verdana" w:hAnsi="Verdana"/>
          <w:sz w:val="20"/>
          <w:lang w:val="pt-BR"/>
        </w:rPr>
        <w:t>de interpreta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as</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29</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 </w:t>
      </w:r>
      <w:r w:rsidR="004076AD" w:rsidRPr="002F50BD">
        <w:rPr>
          <w:rFonts w:ascii="Verdana" w:hAnsi="Verdana"/>
          <w:sz w:val="20"/>
          <w:lang w:val="pt-BR"/>
        </w:rPr>
        <w:t>como fez</w:t>
      </w:r>
      <w:r w:rsidR="0089298C" w:rsidRPr="002F50BD">
        <w:rPr>
          <w:rFonts w:ascii="Verdana" w:hAnsi="Verdana"/>
          <w:sz w:val="20"/>
          <w:lang w:val="pt-BR"/>
        </w:rPr>
        <w:t xml:space="preserve"> </w:t>
      </w:r>
      <w:r w:rsidR="004756C1" w:rsidRPr="002F50BD">
        <w:rPr>
          <w:rFonts w:ascii="Verdana" w:hAnsi="Verdana"/>
          <w:sz w:val="20"/>
          <w:lang w:val="pt-BR"/>
        </w:rPr>
        <w:t>anteriormente</w:t>
      </w:r>
      <w:r w:rsidRPr="002F50BD">
        <w:rPr>
          <w:rFonts w:ascii="Verdana" w:hAnsi="Verdana"/>
          <w:sz w:val="20"/>
          <w:lang w:val="pt-BR"/>
        </w:rPr>
        <w:t>,</w:t>
      </w:r>
      <w:r w:rsidR="004756C1" w:rsidRPr="002F50BD">
        <w:rPr>
          <w:rStyle w:val="FootnoteReference"/>
          <w:rFonts w:ascii="Verdana" w:hAnsi="Verdana"/>
        </w:rPr>
        <w:footnoteReference w:id="191"/>
      </w:r>
      <w:r w:rsidR="0089298C" w:rsidRPr="002F50BD">
        <w:rPr>
          <w:rFonts w:ascii="Verdana" w:hAnsi="Verdana"/>
          <w:sz w:val="20"/>
          <w:lang w:val="pt-BR"/>
        </w:rPr>
        <w:t xml:space="preserve"> </w:t>
      </w:r>
      <w:r w:rsidRPr="002F50BD">
        <w:rPr>
          <w:rFonts w:ascii="Verdana" w:hAnsi="Verdana"/>
          <w:sz w:val="20"/>
          <w:lang w:val="pt-BR"/>
        </w:rPr>
        <w:t xml:space="preserve">o significado </w:t>
      </w:r>
      <w:r w:rsidR="004756C1" w:rsidRPr="002F50BD">
        <w:rPr>
          <w:rFonts w:ascii="Verdana" w:hAnsi="Verdana"/>
          <w:sz w:val="20"/>
          <w:lang w:val="pt-BR"/>
        </w:rPr>
        <w:t>especial</w:t>
      </w:r>
      <w:r w:rsidR="0089298C" w:rsidRPr="002F50BD">
        <w:rPr>
          <w:rFonts w:ascii="Verdana" w:hAnsi="Verdana"/>
          <w:sz w:val="20"/>
          <w:lang w:val="pt-BR"/>
        </w:rPr>
        <w:t xml:space="preserve"> da propriedade</w:t>
      </w:r>
      <w:r w:rsidR="004756C1" w:rsidRPr="002F50BD">
        <w:rPr>
          <w:rFonts w:ascii="Verdana" w:hAnsi="Verdana"/>
          <w:sz w:val="20"/>
          <w:lang w:val="pt-BR"/>
        </w:rPr>
        <w:t xml:space="preserve"> comunal</w:t>
      </w:r>
      <w:r w:rsidR="0089298C" w:rsidRPr="002F50BD">
        <w:rPr>
          <w:rFonts w:ascii="Verdana" w:hAnsi="Verdana"/>
          <w:sz w:val="20"/>
          <w:lang w:val="pt-BR"/>
        </w:rPr>
        <w:t xml:space="preserve"> das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4756C1" w:rsidRPr="002F50BD">
        <w:rPr>
          <w:rFonts w:ascii="Verdana" w:hAnsi="Verdana"/>
          <w:sz w:val="20"/>
          <w:lang w:val="pt-BR"/>
        </w:rPr>
        <w:t xml:space="preserve"> para</w:t>
      </w:r>
      <w:r w:rsidR="0089298C" w:rsidRPr="002F50BD">
        <w:rPr>
          <w:rFonts w:ascii="Verdana" w:hAnsi="Verdana"/>
          <w:sz w:val="20"/>
          <w:lang w:val="pt-BR"/>
        </w:rPr>
        <w:t xml:space="preserve"> os povo</w:t>
      </w:r>
      <w:r w:rsidR="004756C1" w:rsidRPr="002F50BD">
        <w:rPr>
          <w:rFonts w:ascii="Verdana" w:hAnsi="Verdana"/>
          <w:sz w:val="20"/>
          <w:lang w:val="pt-BR"/>
        </w:rPr>
        <w:t xml:space="preserve">s indígenas, inclusive para preservar </w:t>
      </w:r>
      <w:r w:rsidR="0089298C" w:rsidRPr="002F50BD">
        <w:rPr>
          <w:rFonts w:ascii="Verdana" w:hAnsi="Verdana"/>
          <w:sz w:val="20"/>
          <w:lang w:val="pt-BR"/>
        </w:rPr>
        <w:t xml:space="preserve">sua identidade </w:t>
      </w:r>
      <w:r w:rsidR="004756C1" w:rsidRPr="002F50BD">
        <w:rPr>
          <w:rFonts w:ascii="Verdana" w:hAnsi="Verdana"/>
          <w:sz w:val="20"/>
          <w:lang w:val="pt-BR"/>
        </w:rPr>
        <w:t>cultural</w:t>
      </w:r>
      <w:r w:rsidR="0089298C" w:rsidRPr="002F50BD">
        <w:rPr>
          <w:rFonts w:ascii="Verdana" w:hAnsi="Verdana"/>
          <w:sz w:val="20"/>
          <w:lang w:val="pt-BR"/>
        </w:rPr>
        <w:t xml:space="preserve"> e </w:t>
      </w:r>
      <w:r w:rsidRPr="002F50BD">
        <w:rPr>
          <w:rFonts w:ascii="Verdana" w:hAnsi="Verdana"/>
          <w:sz w:val="20"/>
          <w:lang w:val="pt-BR"/>
        </w:rPr>
        <w:t>trasmiti-</w:t>
      </w:r>
      <w:r w:rsidR="004756C1" w:rsidRPr="002F50BD">
        <w:rPr>
          <w:rFonts w:ascii="Verdana" w:hAnsi="Verdana"/>
          <w:sz w:val="20"/>
          <w:lang w:val="pt-BR"/>
        </w:rPr>
        <w:t>la</w:t>
      </w:r>
      <w:r w:rsidR="0089298C" w:rsidRPr="002F50BD">
        <w:rPr>
          <w:rFonts w:ascii="Verdana" w:hAnsi="Verdana"/>
          <w:sz w:val="20"/>
          <w:lang w:val="pt-BR"/>
        </w:rPr>
        <w:t xml:space="preserve"> às </w:t>
      </w:r>
      <w:r w:rsidRPr="002F50BD">
        <w:rPr>
          <w:rFonts w:ascii="Verdana" w:hAnsi="Verdana"/>
          <w:sz w:val="20"/>
          <w:lang w:val="pt-BR"/>
        </w:rPr>
        <w:t>gerações</w:t>
      </w:r>
      <w:r w:rsidR="004756C1" w:rsidRPr="002F50BD">
        <w:rPr>
          <w:rFonts w:ascii="Verdana" w:hAnsi="Verdana"/>
          <w:sz w:val="20"/>
          <w:lang w:val="pt-BR"/>
        </w:rPr>
        <w:t xml:space="preserve"> futuras, </w:t>
      </w:r>
      <w:r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as gestões</w:t>
      </w:r>
      <w:r w:rsidR="004756C1" w:rsidRPr="002F50BD">
        <w:rPr>
          <w:rFonts w:ascii="Verdana" w:hAnsi="Verdana"/>
          <w:sz w:val="20"/>
          <w:lang w:val="pt-BR"/>
        </w:rPr>
        <w:t xml:space="preserve"> </w:t>
      </w:r>
      <w:r w:rsidRPr="002F50BD">
        <w:rPr>
          <w:rFonts w:ascii="Verdana" w:hAnsi="Verdana"/>
          <w:sz w:val="20"/>
          <w:lang w:val="pt-BR"/>
        </w:rPr>
        <w:t>realizadas pel</w:t>
      </w:r>
      <w:r w:rsidR="0089298C" w:rsidRPr="002F50BD">
        <w:rPr>
          <w:rFonts w:ascii="Verdana" w:hAnsi="Verdana"/>
          <w:sz w:val="20"/>
          <w:lang w:val="pt-BR"/>
        </w:rPr>
        <w:t xml:space="preserve">o </w:t>
      </w:r>
      <w:r w:rsidR="004756C1" w:rsidRPr="002F50BD">
        <w:rPr>
          <w:rFonts w:ascii="Verdana" w:hAnsi="Verdana"/>
          <w:sz w:val="20"/>
          <w:lang w:val="pt-BR"/>
        </w:rPr>
        <w:t>Estado para</w:t>
      </w:r>
      <w:r w:rsidR="0089298C" w:rsidRPr="002F50BD">
        <w:rPr>
          <w:rFonts w:ascii="Verdana" w:hAnsi="Verdana"/>
          <w:sz w:val="20"/>
          <w:lang w:val="pt-BR"/>
        </w:rPr>
        <w:t xml:space="preserve"> </w:t>
      </w:r>
      <w:r w:rsidR="00BC5C21" w:rsidRPr="002F50BD">
        <w:rPr>
          <w:rFonts w:ascii="Verdana" w:hAnsi="Verdana"/>
          <w:sz w:val="20"/>
          <w:lang w:val="pt-BR"/>
        </w:rPr>
        <w:t xml:space="preserve">tornar </w:t>
      </w:r>
      <w:r w:rsidR="004756C1" w:rsidRPr="002F50BD">
        <w:rPr>
          <w:rFonts w:ascii="Verdana" w:hAnsi="Verdana"/>
          <w:sz w:val="20"/>
          <w:lang w:val="pt-BR"/>
        </w:rPr>
        <w:t xml:space="preserve">plenamente </w:t>
      </w:r>
      <w:r w:rsidR="0089298C" w:rsidRPr="002F50BD">
        <w:rPr>
          <w:rFonts w:ascii="Verdana" w:hAnsi="Verdana"/>
          <w:sz w:val="20"/>
          <w:lang w:val="pt-BR"/>
        </w:rPr>
        <w:t>efetiv</w:t>
      </w:r>
      <w:r w:rsidR="004756C1" w:rsidRPr="002F50BD">
        <w:rPr>
          <w:rFonts w:ascii="Verdana" w:hAnsi="Verdana"/>
          <w:sz w:val="20"/>
          <w:lang w:val="pt-BR"/>
        </w:rPr>
        <w:t xml:space="preserve">o este </w:t>
      </w:r>
      <w:r w:rsidR="0089298C" w:rsidRPr="002F50BD">
        <w:rPr>
          <w:rFonts w:ascii="Verdana" w:hAnsi="Verdana"/>
          <w:sz w:val="20"/>
          <w:lang w:val="pt-BR"/>
        </w:rPr>
        <w:t>direito</w:t>
      </w:r>
      <w:r w:rsidR="004756C1" w:rsidRPr="002F50BD">
        <w:rPr>
          <w:rFonts w:ascii="Verdana" w:hAnsi="Verdana"/>
          <w:sz w:val="20"/>
          <w:lang w:val="pt-BR"/>
        </w:rPr>
        <w:t xml:space="preserve"> </w:t>
      </w:r>
      <w:r w:rsidR="00CF451D" w:rsidRPr="00CF451D">
        <w:rPr>
          <w:rFonts w:ascii="Verdana" w:hAnsi="Verdana"/>
          <w:sz w:val="20"/>
          <w:lang w:val="pt-BR"/>
        </w:rPr>
        <w:t>(</w:t>
      </w:r>
      <w:r w:rsidR="00E0019F" w:rsidRPr="002F50BD">
        <w:rPr>
          <w:rFonts w:ascii="Verdana" w:hAnsi="Verdana"/>
          <w:sz w:val="20"/>
          <w:lang w:val="pt-BR"/>
        </w:rPr>
        <w:t xml:space="preserve">par. </w:t>
      </w:r>
      <w:r w:rsidR="00063B47" w:rsidRPr="002F50BD">
        <w:rPr>
          <w:rFonts w:ascii="Verdana" w:hAnsi="Verdana"/>
          <w:sz w:val="20"/>
          <w:lang w:val="pt-BR"/>
        </w:rPr>
        <w:t>51</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E</w:t>
      </w:r>
      <w:r w:rsidR="0099023E"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outra</w:t>
      </w:r>
      <w:r w:rsidRPr="002F50BD">
        <w:rPr>
          <w:rFonts w:ascii="Verdana" w:hAnsi="Verdana"/>
          <w:sz w:val="20"/>
          <w:lang w:val="pt-BR"/>
        </w:rPr>
        <w:t>s oportunidades, tanto este Tribunal</w:t>
      </w:r>
      <w:r w:rsidRPr="002F50BD">
        <w:rPr>
          <w:rStyle w:val="FootnoteReference"/>
          <w:rFonts w:ascii="Verdana" w:hAnsi="Verdana"/>
        </w:rPr>
        <w:footnoteReference w:id="192"/>
      </w:r>
      <w:r w:rsidRPr="002F50BD">
        <w:rPr>
          <w:rFonts w:ascii="Verdana" w:hAnsi="Verdana"/>
          <w:sz w:val="20"/>
          <w:lang w:val="pt-BR"/>
        </w:rPr>
        <w:t xml:space="preserve"> como</w:t>
      </w:r>
      <w:r w:rsidR="0089298C" w:rsidRPr="002F50BD">
        <w:rPr>
          <w:rFonts w:ascii="Verdana" w:hAnsi="Verdana"/>
          <w:sz w:val="20"/>
          <w:lang w:val="pt-BR"/>
        </w:rPr>
        <w:t xml:space="preserve"> </w:t>
      </w:r>
      <w:r w:rsidR="00F04F59">
        <w:rPr>
          <w:rFonts w:ascii="Verdana" w:hAnsi="Verdana"/>
          <w:sz w:val="20"/>
          <w:lang w:val="pt-BR"/>
        </w:rPr>
        <w:t xml:space="preserve">o Tribunal Europeu </w:t>
      </w:r>
      <w:r w:rsidRPr="002F50BD">
        <w:rPr>
          <w:rFonts w:ascii="Verdana" w:hAnsi="Verdana"/>
          <w:sz w:val="20"/>
          <w:lang w:val="pt-BR"/>
        </w:rPr>
        <w:t xml:space="preserve">de </w:t>
      </w:r>
      <w:r w:rsidR="0089298C" w:rsidRPr="002F50BD">
        <w:rPr>
          <w:rFonts w:ascii="Verdana" w:hAnsi="Verdana"/>
          <w:sz w:val="20"/>
          <w:lang w:val="pt-BR"/>
        </w:rPr>
        <w:t>Direito</w:t>
      </w:r>
      <w:r w:rsidRPr="002F50BD">
        <w:rPr>
          <w:rFonts w:ascii="Verdana" w:hAnsi="Verdana"/>
          <w:sz w:val="20"/>
          <w:lang w:val="pt-BR"/>
        </w:rPr>
        <w:t>s Humanos</w:t>
      </w:r>
      <w:r w:rsidRPr="002F50BD">
        <w:rPr>
          <w:rStyle w:val="FootnoteReference"/>
          <w:rFonts w:ascii="Verdana" w:hAnsi="Verdana"/>
        </w:rPr>
        <w:footnoteReference w:id="193"/>
      </w:r>
      <w:r w:rsidRPr="002F50BD">
        <w:rPr>
          <w:rFonts w:ascii="Verdana" w:hAnsi="Verdana"/>
          <w:sz w:val="20"/>
          <w:lang w:val="pt-BR"/>
        </w:rPr>
        <w:t xml:space="preserve"> </w:t>
      </w:r>
      <w:r w:rsidR="0089298C" w:rsidRPr="002F50BD">
        <w:rPr>
          <w:rFonts w:ascii="Verdana" w:hAnsi="Verdana"/>
          <w:sz w:val="20"/>
          <w:lang w:val="pt-BR"/>
        </w:rPr>
        <w:t xml:space="preserve">afirmaram </w:t>
      </w:r>
      <w:r w:rsidRPr="002F50BD">
        <w:rPr>
          <w:rFonts w:ascii="Verdana" w:hAnsi="Verdana"/>
          <w:sz w:val="20"/>
          <w:lang w:val="pt-BR"/>
        </w:rPr>
        <w:t>que</w:t>
      </w:r>
      <w:r w:rsidR="0089298C" w:rsidRPr="002F50BD">
        <w:rPr>
          <w:rFonts w:ascii="Verdana" w:hAnsi="Verdana"/>
          <w:sz w:val="20"/>
          <w:lang w:val="pt-BR"/>
        </w:rPr>
        <w:t xml:space="preserve"> os </w:t>
      </w:r>
      <w:r w:rsidRPr="002F50BD">
        <w:rPr>
          <w:rFonts w:ascii="Verdana" w:hAnsi="Verdana"/>
          <w:sz w:val="20"/>
          <w:lang w:val="pt-BR"/>
        </w:rPr>
        <w:t xml:space="preserve">tratados de </w:t>
      </w:r>
      <w:r w:rsidR="0089298C" w:rsidRPr="002F50BD">
        <w:rPr>
          <w:rFonts w:ascii="Verdana" w:hAnsi="Verdana"/>
          <w:sz w:val="20"/>
          <w:lang w:val="pt-BR"/>
        </w:rPr>
        <w:t>direito</w:t>
      </w:r>
      <w:r w:rsidRPr="002F50BD">
        <w:rPr>
          <w:rFonts w:ascii="Verdana" w:hAnsi="Verdana"/>
          <w:sz w:val="20"/>
          <w:lang w:val="pt-BR"/>
        </w:rPr>
        <w:t>s humanos</w:t>
      </w:r>
      <w:r w:rsidR="0089298C" w:rsidRPr="002F50BD">
        <w:rPr>
          <w:rFonts w:ascii="Verdana" w:hAnsi="Verdana"/>
          <w:sz w:val="20"/>
          <w:lang w:val="pt-BR"/>
        </w:rPr>
        <w:t xml:space="preserve"> são </w:t>
      </w:r>
      <w:r w:rsidRPr="002F50BD">
        <w:rPr>
          <w:rFonts w:ascii="Verdana" w:hAnsi="Verdana"/>
          <w:sz w:val="20"/>
          <w:lang w:val="pt-BR"/>
        </w:rPr>
        <w:lastRenderedPageBreak/>
        <w:t xml:space="preserve">instrumentos vivos, </w:t>
      </w:r>
      <w:r w:rsidR="0089298C" w:rsidRPr="002F50BD">
        <w:rPr>
          <w:rFonts w:ascii="Verdana" w:hAnsi="Verdana"/>
          <w:sz w:val="20"/>
          <w:lang w:val="pt-BR"/>
        </w:rPr>
        <w:t>cuja</w:t>
      </w:r>
      <w:r w:rsidRPr="002F50BD">
        <w:rPr>
          <w:rFonts w:ascii="Verdana" w:hAnsi="Verdana"/>
          <w:sz w:val="20"/>
          <w:lang w:val="pt-BR"/>
        </w:rPr>
        <w:t xml:space="preserve"> interpreta</w:t>
      </w:r>
      <w:r w:rsidR="0089298C" w:rsidRPr="002F50BD">
        <w:rPr>
          <w:rFonts w:ascii="Verdana" w:hAnsi="Verdana"/>
          <w:sz w:val="20"/>
          <w:lang w:val="pt-BR"/>
        </w:rPr>
        <w:t>ção</w:t>
      </w:r>
      <w:r w:rsidRPr="002F50BD">
        <w:rPr>
          <w:rFonts w:ascii="Verdana" w:hAnsi="Verdana"/>
          <w:sz w:val="20"/>
          <w:lang w:val="pt-BR"/>
        </w:rPr>
        <w:t xml:space="preserve"> </w:t>
      </w:r>
      <w:r w:rsidR="0099023E" w:rsidRPr="002F50BD">
        <w:rPr>
          <w:rFonts w:ascii="Verdana" w:hAnsi="Verdana"/>
          <w:sz w:val="20"/>
          <w:lang w:val="pt-BR"/>
        </w:rPr>
        <w:t xml:space="preserve">deve </w:t>
      </w:r>
      <w:r w:rsidR="0089298C" w:rsidRPr="002F50BD">
        <w:rPr>
          <w:rFonts w:ascii="Verdana" w:hAnsi="Verdana"/>
          <w:sz w:val="20"/>
          <w:lang w:val="pt-BR"/>
        </w:rPr>
        <w:t>acompanh</w:t>
      </w:r>
      <w:r w:rsidRPr="002F50BD">
        <w:rPr>
          <w:rFonts w:ascii="Verdana" w:hAnsi="Verdana"/>
          <w:sz w:val="20"/>
          <w:lang w:val="pt-BR"/>
        </w:rPr>
        <w:t>ar</w:t>
      </w:r>
      <w:r w:rsidR="0089298C" w:rsidRPr="002F50BD">
        <w:rPr>
          <w:rFonts w:ascii="Verdana" w:hAnsi="Verdana"/>
          <w:sz w:val="20"/>
          <w:lang w:val="pt-BR"/>
        </w:rPr>
        <w:t xml:space="preserve"> a </w:t>
      </w:r>
      <w:r w:rsidRPr="002F50BD">
        <w:rPr>
          <w:rFonts w:ascii="Verdana" w:hAnsi="Verdana"/>
          <w:sz w:val="20"/>
          <w:lang w:val="pt-BR"/>
        </w:rPr>
        <w:t>evolu</w:t>
      </w:r>
      <w:r w:rsidR="0089298C" w:rsidRPr="002F50BD">
        <w:rPr>
          <w:rFonts w:ascii="Verdana" w:hAnsi="Verdana"/>
          <w:sz w:val="20"/>
          <w:lang w:val="pt-BR"/>
        </w:rPr>
        <w:t>ção dos tempo</w:t>
      </w:r>
      <w:r w:rsidRPr="002F50BD">
        <w:rPr>
          <w:rFonts w:ascii="Verdana" w:hAnsi="Verdana"/>
          <w:sz w:val="20"/>
          <w:lang w:val="pt-BR"/>
        </w:rPr>
        <w:t>s</w:t>
      </w:r>
      <w:r w:rsidR="0089298C" w:rsidRPr="002F50BD">
        <w:rPr>
          <w:rFonts w:ascii="Verdana" w:hAnsi="Verdana"/>
          <w:sz w:val="20"/>
          <w:lang w:val="pt-BR"/>
        </w:rPr>
        <w:t xml:space="preserve"> e 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de vida </w:t>
      </w:r>
      <w:r w:rsidR="0089298C" w:rsidRPr="002F50BD">
        <w:rPr>
          <w:rFonts w:ascii="Verdana" w:hAnsi="Verdana"/>
          <w:sz w:val="20"/>
          <w:lang w:val="pt-BR"/>
        </w:rPr>
        <w:t>atuais</w:t>
      </w:r>
      <w:r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Tal interpreta</w:t>
      </w:r>
      <w:r w:rsidR="0089298C" w:rsidRPr="002F50BD">
        <w:rPr>
          <w:rFonts w:ascii="Verdana" w:hAnsi="Verdana"/>
          <w:sz w:val="20"/>
          <w:lang w:val="pt-BR"/>
        </w:rPr>
        <w:t>ção</w:t>
      </w:r>
      <w:r w:rsidRPr="002F50BD">
        <w:rPr>
          <w:rFonts w:ascii="Verdana" w:hAnsi="Verdana"/>
          <w:sz w:val="20"/>
          <w:lang w:val="pt-BR"/>
        </w:rPr>
        <w:t xml:space="preserve"> evolutiva</w:t>
      </w:r>
      <w:r w:rsidR="0089298C" w:rsidRPr="002F50BD">
        <w:rPr>
          <w:rFonts w:ascii="Verdana" w:hAnsi="Verdana"/>
          <w:sz w:val="20"/>
          <w:lang w:val="pt-BR"/>
        </w:rPr>
        <w:t xml:space="preserve"> é consequente com as regras</w:t>
      </w:r>
      <w:r w:rsidRPr="002F50BD">
        <w:rPr>
          <w:rFonts w:ascii="Verdana" w:hAnsi="Verdana"/>
          <w:sz w:val="20"/>
          <w:lang w:val="pt-BR"/>
        </w:rPr>
        <w:t xml:space="preserve"> </w:t>
      </w:r>
      <w:r w:rsidR="0089298C" w:rsidRPr="002F50BD">
        <w:rPr>
          <w:rFonts w:ascii="Verdana" w:hAnsi="Verdana"/>
          <w:sz w:val="20"/>
          <w:lang w:val="pt-BR"/>
        </w:rPr>
        <w:t xml:space="preserve">gerais </w:t>
      </w:r>
      <w:r w:rsidRPr="002F50BD">
        <w:rPr>
          <w:rFonts w:ascii="Verdana" w:hAnsi="Verdana"/>
          <w:sz w:val="20"/>
          <w:lang w:val="pt-BR"/>
        </w:rPr>
        <w:t>de interpreta</w:t>
      </w:r>
      <w:r w:rsidR="0089298C" w:rsidRPr="002F50BD">
        <w:rPr>
          <w:rFonts w:ascii="Verdana" w:hAnsi="Verdana"/>
          <w:sz w:val="20"/>
          <w:lang w:val="pt-BR"/>
        </w:rPr>
        <w:t>ção</w:t>
      </w:r>
      <w:r w:rsidRPr="002F50BD">
        <w:rPr>
          <w:rFonts w:ascii="Verdana" w:hAnsi="Verdana"/>
          <w:sz w:val="20"/>
          <w:szCs w:val="22"/>
          <w:lang w:val="pt-BR"/>
        </w:rPr>
        <w:t xml:space="preserve"> consagradas</w:t>
      </w:r>
      <w:r w:rsidR="0089298C" w:rsidRPr="002F50BD">
        <w:rPr>
          <w:rFonts w:ascii="Verdana" w:hAnsi="Verdana"/>
          <w:sz w:val="20"/>
          <w:szCs w:val="22"/>
          <w:lang w:val="pt-BR"/>
        </w:rPr>
        <w:t xml:space="preserve"> no artigo</w:t>
      </w:r>
      <w:r w:rsidRPr="002F50BD">
        <w:rPr>
          <w:rFonts w:ascii="Verdana" w:hAnsi="Verdana"/>
          <w:sz w:val="20"/>
          <w:szCs w:val="22"/>
          <w:lang w:val="pt-BR"/>
        </w:rPr>
        <w:t xml:space="preserve"> </w:t>
      </w:r>
      <w:r w:rsidR="00063B47" w:rsidRPr="002F50BD">
        <w:rPr>
          <w:rFonts w:ascii="Verdana" w:hAnsi="Verdana"/>
          <w:sz w:val="20"/>
          <w:szCs w:val="22"/>
          <w:lang w:val="pt-BR"/>
        </w:rPr>
        <w:t>29</w:t>
      </w:r>
      <w:r w:rsidR="0089298C" w:rsidRPr="002F50BD">
        <w:rPr>
          <w:rFonts w:ascii="Verdana" w:hAnsi="Verdana"/>
          <w:sz w:val="20"/>
          <w:szCs w:val="22"/>
          <w:lang w:val="pt-BR"/>
        </w:rPr>
        <w:t xml:space="preserve"> da </w:t>
      </w:r>
      <w:r w:rsidRPr="002F50BD">
        <w:rPr>
          <w:rFonts w:ascii="Verdana" w:hAnsi="Verdana"/>
          <w:sz w:val="20"/>
          <w:szCs w:val="22"/>
          <w:lang w:val="pt-BR"/>
        </w:rPr>
        <w:t>Conven</w:t>
      </w:r>
      <w:r w:rsidR="0089298C" w:rsidRPr="002F50BD">
        <w:rPr>
          <w:rFonts w:ascii="Verdana" w:hAnsi="Verdana"/>
          <w:sz w:val="20"/>
          <w:szCs w:val="22"/>
          <w:lang w:val="pt-BR"/>
        </w:rPr>
        <w:t>ção</w:t>
      </w:r>
      <w:r w:rsidRPr="002F50BD">
        <w:rPr>
          <w:rFonts w:ascii="Verdana" w:hAnsi="Verdana"/>
          <w:sz w:val="20"/>
          <w:szCs w:val="22"/>
          <w:lang w:val="pt-BR"/>
        </w:rPr>
        <w:t xml:space="preserve"> Americana, </w:t>
      </w:r>
      <w:r w:rsidR="0099023E" w:rsidRPr="002F50BD">
        <w:rPr>
          <w:rFonts w:ascii="Verdana" w:hAnsi="Verdana"/>
          <w:sz w:val="20"/>
          <w:szCs w:val="22"/>
          <w:lang w:val="pt-BR"/>
        </w:rPr>
        <w:t>bem</w:t>
      </w:r>
      <w:r w:rsidR="00FE08B7">
        <w:rPr>
          <w:rFonts w:ascii="Verdana" w:hAnsi="Verdana"/>
          <w:sz w:val="20"/>
          <w:szCs w:val="22"/>
          <w:lang w:val="pt-BR"/>
        </w:rPr>
        <w:t xml:space="preserve"> </w:t>
      </w:r>
      <w:r w:rsidRPr="002F50BD">
        <w:rPr>
          <w:rFonts w:ascii="Verdana" w:hAnsi="Verdana"/>
          <w:sz w:val="20"/>
          <w:szCs w:val="22"/>
          <w:lang w:val="pt-BR"/>
        </w:rPr>
        <w:t>como</w:t>
      </w:r>
      <w:r w:rsidR="0089298C" w:rsidRPr="002F50BD">
        <w:rPr>
          <w:rFonts w:ascii="Verdana" w:hAnsi="Verdana"/>
          <w:sz w:val="20"/>
          <w:szCs w:val="22"/>
          <w:lang w:val="pt-BR"/>
        </w:rPr>
        <w:t xml:space="preserve"> a</w:t>
      </w:r>
      <w:r w:rsidR="0099023E" w:rsidRPr="002F50BD">
        <w:rPr>
          <w:rFonts w:ascii="Verdana" w:hAnsi="Verdana"/>
          <w:sz w:val="20"/>
          <w:szCs w:val="22"/>
          <w:lang w:val="pt-BR"/>
        </w:rPr>
        <w:t>quela</w:t>
      </w:r>
      <w:r w:rsidR="0089298C" w:rsidRPr="002F50BD">
        <w:rPr>
          <w:rFonts w:ascii="Verdana" w:hAnsi="Verdana"/>
          <w:sz w:val="20"/>
          <w:szCs w:val="22"/>
          <w:lang w:val="pt-BR"/>
        </w:rPr>
        <w:t>s estabelecid</w:t>
      </w:r>
      <w:r w:rsidRPr="002F50BD">
        <w:rPr>
          <w:rFonts w:ascii="Verdana" w:hAnsi="Verdana"/>
          <w:sz w:val="20"/>
          <w:szCs w:val="22"/>
          <w:lang w:val="pt-BR"/>
        </w:rPr>
        <w:t>as</w:t>
      </w:r>
      <w:r w:rsidR="0089298C" w:rsidRPr="002F50BD">
        <w:rPr>
          <w:rFonts w:ascii="Verdana" w:hAnsi="Verdana"/>
          <w:sz w:val="20"/>
          <w:szCs w:val="22"/>
          <w:lang w:val="pt-BR"/>
        </w:rPr>
        <w:t xml:space="preserve"> pela </w:t>
      </w:r>
      <w:r w:rsidRPr="002F50BD">
        <w:rPr>
          <w:rFonts w:ascii="Verdana" w:hAnsi="Verdana"/>
          <w:sz w:val="20"/>
          <w:szCs w:val="22"/>
          <w:lang w:val="pt-BR"/>
        </w:rPr>
        <w:t>Conven</w:t>
      </w:r>
      <w:r w:rsidR="0089298C" w:rsidRPr="002F50BD">
        <w:rPr>
          <w:rFonts w:ascii="Verdana" w:hAnsi="Verdana"/>
          <w:sz w:val="20"/>
          <w:szCs w:val="22"/>
          <w:lang w:val="pt-BR"/>
        </w:rPr>
        <w:t>ção</w:t>
      </w:r>
      <w:r w:rsidRPr="002F50BD">
        <w:rPr>
          <w:rFonts w:ascii="Verdana" w:hAnsi="Verdana"/>
          <w:sz w:val="20"/>
          <w:szCs w:val="22"/>
          <w:lang w:val="pt-BR"/>
        </w:rPr>
        <w:t xml:space="preserve"> de Viena sobre</w:t>
      </w:r>
      <w:r w:rsidR="0089298C" w:rsidRPr="002F50BD">
        <w:rPr>
          <w:rFonts w:ascii="Verdana" w:hAnsi="Verdana"/>
          <w:sz w:val="20"/>
          <w:szCs w:val="22"/>
          <w:lang w:val="pt-BR"/>
        </w:rPr>
        <w:t xml:space="preserve"> o Direito dos </w:t>
      </w:r>
      <w:r w:rsidRPr="002F50BD">
        <w:rPr>
          <w:rFonts w:ascii="Verdana" w:hAnsi="Verdana"/>
          <w:sz w:val="20"/>
          <w:szCs w:val="22"/>
          <w:lang w:val="pt-BR"/>
        </w:rPr>
        <w:t>Tratados.</w:t>
      </w:r>
      <w:r w:rsidR="00FE08B7">
        <w:rPr>
          <w:rFonts w:ascii="Verdana" w:hAnsi="Verdana"/>
          <w:sz w:val="20"/>
          <w:szCs w:val="22"/>
          <w:lang w:val="pt-BR"/>
        </w:rPr>
        <w:t xml:space="preserve"> </w:t>
      </w:r>
    </w:p>
    <w:p w:rsidR="004756C1" w:rsidRPr="002F50BD" w:rsidRDefault="004756C1">
      <w:pPr>
        <w:jc w:val="both"/>
        <w:rPr>
          <w:rFonts w:ascii="Verdana" w:hAnsi="Verdana"/>
          <w:sz w:val="20"/>
          <w:lang w:val="pt-BR"/>
        </w:rPr>
      </w:pPr>
    </w:p>
    <w:p w:rsidR="004756C1" w:rsidRPr="002F50BD" w:rsidRDefault="00CF451D">
      <w:pPr>
        <w:numPr>
          <w:ilvl w:val="0"/>
          <w:numId w:val="28"/>
        </w:numPr>
        <w:jc w:val="both"/>
        <w:rPr>
          <w:rFonts w:ascii="Verdana" w:hAnsi="Verdana"/>
          <w:sz w:val="20"/>
          <w:lang w:val="pt-BR"/>
        </w:rPr>
      </w:pPr>
      <w:r>
        <w:rPr>
          <w:rFonts w:ascii="Verdana" w:hAnsi="Verdana"/>
          <w:sz w:val="20"/>
          <w:lang w:val="pt-BR"/>
        </w:rPr>
        <w:t>Nesse sentido,</w:t>
      </w:r>
      <w:r w:rsidR="004756C1" w:rsidRPr="002F50BD">
        <w:rPr>
          <w:rFonts w:ascii="Verdana" w:hAnsi="Verdana"/>
          <w:sz w:val="20"/>
          <w:lang w:val="pt-BR"/>
        </w:rPr>
        <w:t xml:space="preserve"> esta Corte </w:t>
      </w:r>
      <w:r w:rsidR="0089298C" w:rsidRPr="002F50BD">
        <w:rPr>
          <w:rFonts w:ascii="Verdana" w:hAnsi="Verdana"/>
          <w:sz w:val="20"/>
          <w:lang w:val="pt-BR"/>
        </w:rPr>
        <w:t>afirmou</w:t>
      </w:r>
      <w:r w:rsidR="004756C1" w:rsidRPr="002F50BD">
        <w:rPr>
          <w:rFonts w:ascii="Verdana" w:hAnsi="Verdana"/>
          <w:sz w:val="20"/>
          <w:lang w:val="pt-BR"/>
        </w:rPr>
        <w:t xml:space="preserve"> que</w:t>
      </w:r>
      <w:r w:rsidR="0089298C" w:rsidRPr="002F50BD">
        <w:rPr>
          <w:rFonts w:ascii="Verdana" w:hAnsi="Verdana"/>
          <w:sz w:val="20"/>
          <w:lang w:val="pt-BR"/>
        </w:rPr>
        <w:t xml:space="preserve"> ao </w:t>
      </w:r>
      <w:r w:rsidR="004756C1" w:rsidRPr="002F50BD">
        <w:rPr>
          <w:rFonts w:ascii="Verdana" w:hAnsi="Verdana"/>
          <w:sz w:val="20"/>
          <w:lang w:val="pt-BR"/>
        </w:rPr>
        <w:t>interpreta</w:t>
      </w:r>
      <w:r w:rsidR="0099023E" w:rsidRPr="002F50BD">
        <w:rPr>
          <w:rFonts w:ascii="Verdana" w:hAnsi="Verdana"/>
          <w:sz w:val="20"/>
          <w:lang w:val="pt-BR"/>
        </w:rPr>
        <w:t>r</w:t>
      </w:r>
      <w:r w:rsidR="004756C1" w:rsidRPr="002F50BD">
        <w:rPr>
          <w:rFonts w:ascii="Verdana" w:hAnsi="Verdana"/>
          <w:sz w:val="20"/>
          <w:lang w:val="pt-BR"/>
        </w:rPr>
        <w:t xml:space="preserve"> </w:t>
      </w:r>
      <w:r w:rsidR="0089298C" w:rsidRPr="002F50BD">
        <w:rPr>
          <w:rFonts w:ascii="Verdana" w:hAnsi="Verdana"/>
          <w:sz w:val="20"/>
          <w:lang w:val="pt-BR"/>
        </w:rPr>
        <w:t xml:space="preserve">um </w:t>
      </w:r>
      <w:r w:rsidR="004756C1" w:rsidRPr="002F50BD">
        <w:rPr>
          <w:rFonts w:ascii="Verdana" w:hAnsi="Verdana"/>
          <w:sz w:val="20"/>
          <w:lang w:val="pt-BR"/>
        </w:rPr>
        <w:t>tratado</w:t>
      </w:r>
      <w:r w:rsidR="00AB454A" w:rsidRPr="002F50BD">
        <w:rPr>
          <w:rFonts w:ascii="Verdana" w:hAnsi="Verdana"/>
          <w:sz w:val="20"/>
          <w:lang w:val="pt-BR"/>
        </w:rPr>
        <w:t xml:space="preserve"> não apenas</w:t>
      </w:r>
      <w:r w:rsidR="004756C1" w:rsidRPr="002F50BD">
        <w:rPr>
          <w:rFonts w:ascii="Verdana" w:hAnsi="Verdana"/>
          <w:sz w:val="20"/>
          <w:lang w:val="pt-BR"/>
        </w:rPr>
        <w:t xml:space="preserve"> se toma</w:t>
      </w:r>
      <w:r w:rsidR="0099023E" w:rsidRPr="002F50BD">
        <w:rPr>
          <w:rFonts w:ascii="Verdana" w:hAnsi="Verdana"/>
          <w:sz w:val="20"/>
          <w:lang w:val="pt-BR"/>
        </w:rPr>
        <w:t>m</w:t>
      </w:r>
      <w:r w:rsidR="0089298C" w:rsidRPr="002F50BD">
        <w:rPr>
          <w:rFonts w:ascii="Verdana" w:hAnsi="Verdana"/>
          <w:sz w:val="20"/>
          <w:lang w:val="pt-BR"/>
        </w:rPr>
        <w:t xml:space="preserve"> em conta os acordo</w:t>
      </w:r>
      <w:r w:rsidR="004756C1" w:rsidRPr="002F50BD">
        <w:rPr>
          <w:rFonts w:ascii="Verdana" w:hAnsi="Verdana"/>
          <w:sz w:val="20"/>
          <w:lang w:val="pt-BR"/>
        </w:rPr>
        <w:t>s e instrumentos formalmente relacionados</w:t>
      </w:r>
      <w:r w:rsidR="0089298C" w:rsidRPr="002F50BD">
        <w:rPr>
          <w:rFonts w:ascii="Verdana" w:hAnsi="Verdana"/>
          <w:sz w:val="20"/>
          <w:lang w:val="pt-BR"/>
        </w:rPr>
        <w:t xml:space="preserve"> com </w:t>
      </w:r>
      <w:r w:rsidR="0099023E" w:rsidRPr="002F50BD">
        <w:rPr>
          <w:rFonts w:ascii="Verdana" w:hAnsi="Verdana"/>
          <w:sz w:val="20"/>
          <w:lang w:val="pt-BR"/>
        </w:rPr>
        <w:t>este</w:t>
      </w:r>
      <w:r w:rsidR="004756C1" w:rsidRPr="002F50BD">
        <w:rPr>
          <w:rFonts w:ascii="Verdana" w:hAnsi="Verdana"/>
          <w:sz w:val="20"/>
          <w:lang w:val="pt-BR"/>
        </w:rPr>
        <w:t xml:space="preserve"> </w:t>
      </w:r>
      <w:r w:rsidRPr="00CF451D">
        <w:rPr>
          <w:rFonts w:ascii="Verdana" w:hAnsi="Verdana"/>
          <w:sz w:val="20"/>
          <w:lang w:val="pt-BR"/>
        </w:rPr>
        <w:t>(</w:t>
      </w:r>
      <w:r w:rsidR="004756C1" w:rsidRPr="002F50BD">
        <w:rPr>
          <w:rFonts w:ascii="Verdana" w:hAnsi="Verdana"/>
          <w:sz w:val="20"/>
          <w:lang w:val="pt-BR"/>
        </w:rPr>
        <w:t xml:space="preserve">inciso segundo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31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de Viena</w:t>
      </w:r>
      <w:r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mas também o </w:t>
      </w:r>
      <w:r w:rsidR="004756C1" w:rsidRPr="002F50BD">
        <w:rPr>
          <w:rFonts w:ascii="Verdana" w:hAnsi="Verdana"/>
          <w:sz w:val="20"/>
          <w:lang w:val="pt-BR"/>
        </w:rPr>
        <w:t xml:space="preserve">sistema dentro </w:t>
      </w:r>
      <w:r w:rsidR="0089298C" w:rsidRPr="002F50BD">
        <w:rPr>
          <w:rFonts w:ascii="Verdana" w:hAnsi="Verdana"/>
          <w:sz w:val="20"/>
          <w:lang w:val="pt-BR"/>
        </w:rPr>
        <w:t xml:space="preserve">do qual </w:t>
      </w:r>
      <w:r w:rsidR="004756C1" w:rsidRPr="002F50BD">
        <w:rPr>
          <w:rFonts w:ascii="Verdana" w:hAnsi="Verdana"/>
          <w:sz w:val="20"/>
          <w:lang w:val="pt-BR"/>
        </w:rPr>
        <w:t xml:space="preserve">se </w:t>
      </w:r>
      <w:r w:rsidR="0099023E" w:rsidRPr="002F50BD">
        <w:rPr>
          <w:rFonts w:ascii="Verdana" w:hAnsi="Verdana"/>
          <w:sz w:val="20"/>
          <w:lang w:val="pt-BR"/>
        </w:rPr>
        <w:t>inscreve</w:t>
      </w:r>
      <w:r w:rsidR="004756C1" w:rsidRPr="002F50BD">
        <w:rPr>
          <w:rFonts w:ascii="Verdana" w:hAnsi="Verdana"/>
          <w:sz w:val="20"/>
          <w:lang w:val="pt-BR"/>
        </w:rPr>
        <w:t xml:space="preserve"> </w:t>
      </w:r>
      <w:r w:rsidRPr="00CF451D">
        <w:rPr>
          <w:rFonts w:ascii="Verdana" w:hAnsi="Verdana"/>
          <w:sz w:val="20"/>
          <w:lang w:val="pt-BR"/>
        </w:rPr>
        <w:t>(</w:t>
      </w:r>
      <w:r w:rsidR="004756C1" w:rsidRPr="002F50BD">
        <w:rPr>
          <w:rFonts w:ascii="Verdana" w:hAnsi="Verdana"/>
          <w:sz w:val="20"/>
          <w:lang w:val="pt-BR"/>
        </w:rPr>
        <w:t xml:space="preserve">inciso </w:t>
      </w:r>
      <w:r w:rsidR="0089298C" w:rsidRPr="002F50BD">
        <w:rPr>
          <w:rFonts w:ascii="Verdana" w:hAnsi="Verdana"/>
          <w:sz w:val="20"/>
          <w:lang w:val="pt-BR"/>
        </w:rPr>
        <w:t>terceiro</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31</w:t>
      </w:r>
      <w:r w:rsidR="004756C1" w:rsidRPr="002F50BD">
        <w:rPr>
          <w:rFonts w:ascii="Verdana" w:hAnsi="Verdana"/>
          <w:sz w:val="20"/>
          <w:lang w:val="pt-BR"/>
        </w:rPr>
        <w:t xml:space="preserve"> </w:t>
      </w:r>
      <w:r w:rsidR="0089298C" w:rsidRPr="002F50BD">
        <w:rPr>
          <w:rFonts w:ascii="Verdana" w:hAnsi="Verdana"/>
          <w:sz w:val="20"/>
          <w:lang w:val="pt-BR"/>
        </w:rPr>
        <w:t>desta</w:t>
      </w:r>
      <w:r w:rsidR="004756C1" w:rsidRPr="002F50BD">
        <w:rPr>
          <w:rFonts w:ascii="Verdana" w:hAnsi="Verdana"/>
          <w:sz w:val="20"/>
          <w:lang w:val="pt-BR"/>
        </w:rPr>
        <w:t xml:space="preserve"> Conven</w:t>
      </w:r>
      <w:r w:rsidR="0089298C" w:rsidRPr="002F50BD">
        <w:rPr>
          <w:rFonts w:ascii="Verdana" w:hAnsi="Verdana"/>
          <w:sz w:val="20"/>
          <w:lang w:val="pt-BR"/>
        </w:rPr>
        <w:t>ção</w:t>
      </w:r>
      <w:r w:rsidRPr="00CF451D">
        <w:rPr>
          <w:rFonts w:ascii="Verdana" w:hAnsi="Verdana"/>
          <w:sz w:val="20"/>
          <w:lang w:val="pt-BR"/>
        </w:rPr>
        <w:t>)</w:t>
      </w:r>
      <w:r w:rsidR="0099023E" w:rsidRPr="002F50BD">
        <w:rPr>
          <w:rFonts w:ascii="Verdana" w:hAnsi="Verdana"/>
          <w:sz w:val="20"/>
          <w:lang w:val="pt-BR"/>
        </w:rPr>
        <w:t>.</w:t>
      </w:r>
      <w:r w:rsidR="004756C1" w:rsidRPr="002F50BD">
        <w:rPr>
          <w:rStyle w:val="FootnoteReference"/>
          <w:rFonts w:ascii="Verdana" w:hAnsi="Verdana"/>
        </w:rPr>
        <w:footnoteReference w:id="194"/>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Pr="002F50BD">
        <w:rPr>
          <w:rFonts w:ascii="Verdana" w:hAnsi="Verdana"/>
          <w:sz w:val="20"/>
          <w:lang w:val="pt-BR"/>
        </w:rPr>
        <w:t xml:space="preserve"> ao analisar os </w:t>
      </w:r>
      <w:r w:rsidR="004756C1" w:rsidRPr="002F50BD">
        <w:rPr>
          <w:rFonts w:ascii="Verdana" w:hAnsi="Verdana"/>
          <w:sz w:val="20"/>
          <w:lang w:val="pt-BR"/>
        </w:rPr>
        <w:t xml:space="preserve">alcances </w:t>
      </w:r>
      <w:r w:rsidRPr="002F50BD">
        <w:rPr>
          <w:rFonts w:ascii="Verdana" w:hAnsi="Verdana"/>
          <w:sz w:val="20"/>
          <w:lang w:val="pt-BR"/>
        </w:rPr>
        <w:t xml:space="preserve">do </w:t>
      </w:r>
      <w:r w:rsidR="004756C1" w:rsidRPr="002F50BD">
        <w:rPr>
          <w:rFonts w:ascii="Verdana" w:hAnsi="Verdana"/>
          <w:sz w:val="20"/>
          <w:lang w:val="pt-BR"/>
        </w:rPr>
        <w:t xml:space="preserve">citado </w:t>
      </w:r>
      <w:r w:rsidRPr="002F50BD">
        <w:rPr>
          <w:rFonts w:ascii="Verdana" w:hAnsi="Verdana"/>
          <w:sz w:val="20"/>
          <w:lang w:val="pt-BR"/>
        </w:rPr>
        <w:t>artigo</w:t>
      </w:r>
      <w:r w:rsidR="004756C1" w:rsidRPr="002F50BD">
        <w:rPr>
          <w:rFonts w:ascii="Verdana" w:hAnsi="Verdana"/>
          <w:sz w:val="20"/>
          <w:lang w:val="pt-BR"/>
        </w:rPr>
        <w:t xml:space="preserve"> </w:t>
      </w:r>
      <w:r w:rsidR="00063B47" w:rsidRPr="002F50BD">
        <w:rPr>
          <w:rFonts w:ascii="Verdana" w:hAnsi="Verdana"/>
          <w:sz w:val="20"/>
          <w:lang w:val="pt-BR"/>
        </w:rPr>
        <w:t>21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Tribunal considera útil</w:t>
      </w:r>
      <w:r w:rsidRPr="002F50BD">
        <w:rPr>
          <w:rFonts w:ascii="Verdana" w:hAnsi="Verdana"/>
          <w:sz w:val="20"/>
          <w:lang w:val="pt-BR"/>
        </w:rPr>
        <w:t xml:space="preserve"> e apropriad</w:t>
      </w:r>
      <w:r w:rsidR="004756C1" w:rsidRPr="002F50BD">
        <w:rPr>
          <w:rFonts w:ascii="Verdana" w:hAnsi="Verdana"/>
          <w:sz w:val="20"/>
          <w:lang w:val="pt-BR"/>
        </w:rPr>
        <w:t xml:space="preserve">o utilizar </w:t>
      </w:r>
      <w:r w:rsidRPr="002F50BD">
        <w:rPr>
          <w:rFonts w:ascii="Verdana" w:hAnsi="Verdana"/>
          <w:sz w:val="20"/>
          <w:lang w:val="pt-BR"/>
        </w:rPr>
        <w:t>outros</w:t>
      </w:r>
      <w:r w:rsidR="004756C1" w:rsidRPr="002F50BD">
        <w:rPr>
          <w:rFonts w:ascii="Verdana" w:hAnsi="Verdana"/>
          <w:sz w:val="20"/>
          <w:lang w:val="pt-BR"/>
        </w:rPr>
        <w:t xml:space="preserve"> tratados </w:t>
      </w:r>
      <w:r w:rsidRPr="002F50BD">
        <w:rPr>
          <w:rFonts w:ascii="Verdana" w:hAnsi="Verdana"/>
          <w:sz w:val="20"/>
          <w:lang w:val="pt-BR"/>
        </w:rPr>
        <w:t>internacionais</w:t>
      </w:r>
      <w:r w:rsidR="004756C1" w:rsidRPr="002F50BD">
        <w:rPr>
          <w:rFonts w:ascii="Verdana" w:hAnsi="Verdana"/>
          <w:sz w:val="20"/>
          <w:lang w:val="pt-BR"/>
        </w:rPr>
        <w:t xml:space="preserve"> distintos</w:t>
      </w:r>
      <w:r w:rsidRPr="002F50BD">
        <w:rPr>
          <w:rFonts w:ascii="Verdana" w:hAnsi="Verdana"/>
          <w:sz w:val="20"/>
          <w:lang w:val="pt-BR"/>
        </w:rPr>
        <w:t xml:space="preserve"> </w:t>
      </w:r>
      <w:r w:rsidR="008F0F71" w:rsidRPr="002F50BD">
        <w:rPr>
          <w:rFonts w:ascii="Verdana" w:hAnsi="Verdana"/>
          <w:sz w:val="20"/>
          <w:lang w:val="pt-BR"/>
        </w:rPr>
        <w:t xml:space="preserve">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Pr="002F50BD">
        <w:rPr>
          <w:rFonts w:ascii="Verdana" w:hAnsi="Verdana"/>
          <w:sz w:val="20"/>
          <w:lang w:val="pt-BR"/>
        </w:rPr>
        <w:t xml:space="preserve"> tais </w:t>
      </w:r>
      <w:r w:rsidR="004756C1" w:rsidRPr="002F50BD">
        <w:rPr>
          <w:rFonts w:ascii="Verdana" w:hAnsi="Verdana"/>
          <w:sz w:val="20"/>
          <w:lang w:val="pt-BR"/>
        </w:rPr>
        <w:t>como</w:t>
      </w:r>
      <w:r w:rsidRPr="002F50BD">
        <w:rPr>
          <w:rFonts w:ascii="Verdana" w:hAnsi="Verdana"/>
          <w:sz w:val="20"/>
          <w:lang w:val="pt-BR"/>
        </w:rPr>
        <w:t xml:space="preserve"> </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 para interpretar su</w:t>
      </w:r>
      <w:r w:rsidR="0099023E" w:rsidRPr="002F50BD">
        <w:rPr>
          <w:rFonts w:ascii="Verdana" w:hAnsi="Verdana"/>
          <w:sz w:val="20"/>
          <w:lang w:val="pt-BR"/>
        </w:rPr>
        <w:t>a</w:t>
      </w:r>
      <w:r w:rsidR="004756C1" w:rsidRPr="002F50BD">
        <w:rPr>
          <w:rFonts w:ascii="Verdana" w:hAnsi="Verdana"/>
          <w:sz w:val="20"/>
          <w:lang w:val="pt-BR"/>
        </w:rPr>
        <w:t>s disposi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 xml:space="preserve">acordo </w:t>
      </w:r>
      <w:r w:rsidR="0099023E" w:rsidRPr="002F50BD">
        <w:rPr>
          <w:rFonts w:ascii="Verdana" w:hAnsi="Verdana"/>
          <w:sz w:val="20"/>
          <w:lang w:val="pt-BR"/>
        </w:rPr>
        <w:t xml:space="preserve">com a </w:t>
      </w:r>
      <w:r w:rsidR="004756C1" w:rsidRPr="002F50BD">
        <w:rPr>
          <w:rFonts w:ascii="Verdana" w:hAnsi="Verdana"/>
          <w:sz w:val="20"/>
          <w:lang w:val="pt-BR"/>
        </w:rPr>
        <w:t>evolu</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sistema interamericano, </w:t>
      </w:r>
      <w:r w:rsidR="0099023E" w:rsidRPr="002F50BD">
        <w:rPr>
          <w:rFonts w:ascii="Verdana" w:hAnsi="Verdana"/>
          <w:sz w:val="20"/>
          <w:lang w:val="pt-BR"/>
        </w:rPr>
        <w:t>levando em</w:t>
      </w:r>
      <w:r w:rsidR="00FE08B7">
        <w:rPr>
          <w:rFonts w:ascii="Verdana" w:hAnsi="Verdana"/>
          <w:sz w:val="20"/>
          <w:lang w:val="pt-BR"/>
        </w:rPr>
        <w:t xml:space="preserve"> </w:t>
      </w:r>
      <w:r w:rsidR="004756C1" w:rsidRPr="002F50BD">
        <w:rPr>
          <w:rFonts w:ascii="Verdana" w:hAnsi="Verdana"/>
          <w:sz w:val="20"/>
          <w:lang w:val="pt-BR"/>
        </w:rPr>
        <w:t>considera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o desenvolvimento</w:t>
      </w:r>
      <w:r w:rsidR="004756C1" w:rsidRPr="002F50BD">
        <w:rPr>
          <w:rFonts w:ascii="Verdana" w:hAnsi="Verdana"/>
          <w:sz w:val="20"/>
          <w:lang w:val="pt-BR"/>
        </w:rPr>
        <w:t xml:space="preserve"> experimentado</w:t>
      </w:r>
      <w:r w:rsidRPr="002F50BD">
        <w:rPr>
          <w:rFonts w:ascii="Verdana" w:hAnsi="Verdana"/>
          <w:sz w:val="20"/>
          <w:lang w:val="pt-BR"/>
        </w:rPr>
        <w:t xml:space="preserve"> nesta matéria no </w:t>
      </w:r>
      <w:r w:rsidR="00CF451D">
        <w:rPr>
          <w:rFonts w:ascii="Verdana" w:hAnsi="Verdana"/>
          <w:sz w:val="20"/>
          <w:lang w:val="pt-BR"/>
        </w:rPr>
        <w:t>Direito Internacional dos Direitos Humanos</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Pr="002F50BD">
        <w:rPr>
          <w:rFonts w:ascii="Verdana" w:hAnsi="Verdana"/>
          <w:sz w:val="20"/>
          <w:lang w:val="pt-BR"/>
        </w:rPr>
        <w:t>indicou</w:t>
      </w:r>
      <w:r w:rsidR="004756C1" w:rsidRPr="002F50BD">
        <w:rPr>
          <w:rFonts w:ascii="Verdana" w:hAnsi="Verdana"/>
          <w:sz w:val="20"/>
          <w:lang w:val="pt-BR"/>
        </w:rPr>
        <w:t xml:space="preserve"> que: </w:t>
      </w:r>
    </w:p>
    <w:p w:rsidR="004756C1" w:rsidRPr="002F50BD" w:rsidRDefault="008929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lang w:val="pt-BR"/>
        </w:rPr>
      </w:pPr>
      <w:r w:rsidRPr="002F50BD">
        <w:rPr>
          <w:rFonts w:ascii="Verdana" w:hAnsi="Verdana"/>
          <w:lang w:val="pt-BR"/>
        </w:rPr>
        <w:cr/>
      </w:r>
      <w:r w:rsidRPr="002F50BD">
        <w:rPr>
          <w:rFonts w:ascii="Verdana" w:hAnsi="Verdana"/>
          <w:sz w:val="16"/>
          <w:szCs w:val="16"/>
          <w:lang w:val="pt-BR"/>
        </w:rPr>
        <w:t xml:space="preserve">O </w:t>
      </w:r>
      <w:r w:rsidR="004756C1" w:rsidRPr="002F50BD">
        <w:rPr>
          <w:rFonts w:ascii="Verdana" w:hAnsi="Verdana"/>
          <w:i/>
          <w:sz w:val="16"/>
          <w:szCs w:val="16"/>
          <w:lang w:val="pt-BR"/>
        </w:rPr>
        <w:t xml:space="preserve">corpus juris </w:t>
      </w:r>
      <w:r w:rsidRPr="002F50BD">
        <w:rPr>
          <w:rFonts w:ascii="Verdana" w:hAnsi="Verdana"/>
          <w:sz w:val="16"/>
          <w:szCs w:val="16"/>
          <w:lang w:val="pt-BR"/>
        </w:rPr>
        <w:t xml:space="preserve">do </w:t>
      </w:r>
      <w:r w:rsidR="00CF451D">
        <w:rPr>
          <w:rFonts w:ascii="Verdana" w:hAnsi="Verdana"/>
          <w:sz w:val="16"/>
          <w:szCs w:val="16"/>
          <w:lang w:val="pt-BR"/>
        </w:rPr>
        <w:t>Direito Internacional dos Direitos Humanos</w:t>
      </w:r>
      <w:r w:rsidR="004756C1" w:rsidRPr="002F50BD">
        <w:rPr>
          <w:rFonts w:ascii="Verdana" w:hAnsi="Verdana"/>
          <w:sz w:val="16"/>
          <w:szCs w:val="16"/>
          <w:lang w:val="pt-BR"/>
        </w:rPr>
        <w:t xml:space="preserve"> está formado por</w:t>
      </w:r>
      <w:r w:rsidRPr="002F50BD">
        <w:rPr>
          <w:rFonts w:ascii="Verdana" w:hAnsi="Verdana"/>
          <w:sz w:val="16"/>
          <w:szCs w:val="16"/>
          <w:lang w:val="pt-BR"/>
        </w:rPr>
        <w:t xml:space="preserve"> um</w:t>
      </w:r>
      <w:r w:rsidRPr="002F50BD">
        <w:rPr>
          <w:rFonts w:ascii="Verdana" w:hAnsi="Verdana"/>
          <w:sz w:val="16"/>
          <w:lang w:val="pt-BR"/>
        </w:rPr>
        <w:t xml:space="preserve"> </w:t>
      </w:r>
      <w:r w:rsidR="004756C1" w:rsidRPr="002F50BD">
        <w:rPr>
          <w:rFonts w:ascii="Verdana" w:hAnsi="Verdana"/>
          <w:sz w:val="16"/>
          <w:lang w:val="pt-BR"/>
        </w:rPr>
        <w:t xml:space="preserve">conjunto de instrumentos </w:t>
      </w:r>
      <w:r w:rsidRPr="002F50BD">
        <w:rPr>
          <w:rFonts w:ascii="Verdana" w:hAnsi="Verdana"/>
          <w:sz w:val="16"/>
          <w:lang w:val="pt-BR"/>
        </w:rPr>
        <w:t>internacionais</w:t>
      </w:r>
      <w:r w:rsidR="004756C1" w:rsidRPr="002F50BD">
        <w:rPr>
          <w:rFonts w:ascii="Verdana" w:hAnsi="Verdana"/>
          <w:sz w:val="16"/>
          <w:lang w:val="pt-BR"/>
        </w:rPr>
        <w:t xml:space="preserve"> de </w:t>
      </w:r>
      <w:r w:rsidRPr="002F50BD">
        <w:rPr>
          <w:rFonts w:ascii="Verdana" w:hAnsi="Verdana"/>
          <w:sz w:val="16"/>
          <w:lang w:val="pt-BR"/>
        </w:rPr>
        <w:t>conteúdo e efeito</w:t>
      </w:r>
      <w:r w:rsidR="004756C1" w:rsidRPr="002F50BD">
        <w:rPr>
          <w:rFonts w:ascii="Verdana" w:hAnsi="Verdana"/>
          <w:sz w:val="16"/>
          <w:lang w:val="pt-BR"/>
        </w:rPr>
        <w:t xml:space="preserve">s jurídicos variados </w:t>
      </w:r>
      <w:r w:rsidR="00CF451D" w:rsidRPr="00CF451D">
        <w:rPr>
          <w:rFonts w:ascii="Verdana" w:hAnsi="Verdana"/>
          <w:sz w:val="16"/>
          <w:lang w:val="pt-BR"/>
        </w:rPr>
        <w:t>(</w:t>
      </w:r>
      <w:r w:rsidR="004756C1" w:rsidRPr="002F50BD">
        <w:rPr>
          <w:rFonts w:ascii="Verdana" w:hAnsi="Verdana"/>
          <w:sz w:val="16"/>
          <w:lang w:val="pt-BR"/>
        </w:rPr>
        <w:t xml:space="preserve">tratados, </w:t>
      </w:r>
      <w:r w:rsidRPr="002F50BD">
        <w:rPr>
          <w:rFonts w:ascii="Verdana" w:hAnsi="Verdana"/>
          <w:sz w:val="16"/>
          <w:lang w:val="pt-BR"/>
        </w:rPr>
        <w:t>convênios</w:t>
      </w:r>
      <w:r w:rsidR="004756C1" w:rsidRPr="002F50BD">
        <w:rPr>
          <w:rFonts w:ascii="Verdana" w:hAnsi="Verdana"/>
          <w:sz w:val="16"/>
          <w:lang w:val="pt-BR"/>
        </w:rPr>
        <w:t>, resolu</w:t>
      </w:r>
      <w:r w:rsidRPr="002F50BD">
        <w:rPr>
          <w:rFonts w:ascii="Verdana" w:hAnsi="Verdana"/>
          <w:sz w:val="16"/>
          <w:lang w:val="pt-BR"/>
        </w:rPr>
        <w:t xml:space="preserve">ções e </w:t>
      </w:r>
      <w:r w:rsidR="004756C1" w:rsidRPr="002F50BD">
        <w:rPr>
          <w:rFonts w:ascii="Verdana" w:hAnsi="Verdana"/>
          <w:sz w:val="16"/>
          <w:lang w:val="pt-BR"/>
        </w:rPr>
        <w:t>declara</w:t>
      </w:r>
      <w:r w:rsidRPr="002F50BD">
        <w:rPr>
          <w:rFonts w:ascii="Verdana" w:hAnsi="Verdana"/>
          <w:sz w:val="16"/>
          <w:lang w:val="pt-BR"/>
        </w:rPr>
        <w:t>ções</w:t>
      </w:r>
      <w:r w:rsidR="00CF451D" w:rsidRPr="00CF451D">
        <w:rPr>
          <w:rFonts w:ascii="Verdana" w:hAnsi="Verdana"/>
          <w:sz w:val="16"/>
          <w:lang w:val="pt-BR"/>
        </w:rPr>
        <w:t>)</w:t>
      </w:r>
      <w:r w:rsidR="004756C1" w:rsidRPr="002F50BD">
        <w:rPr>
          <w:rFonts w:ascii="Verdana" w:hAnsi="Verdana"/>
          <w:sz w:val="16"/>
          <w:lang w:val="pt-BR"/>
        </w:rPr>
        <w:t xml:space="preserve">. </w:t>
      </w:r>
      <w:r w:rsidR="0099023E" w:rsidRPr="002F50BD">
        <w:rPr>
          <w:rFonts w:ascii="Verdana" w:hAnsi="Verdana"/>
          <w:sz w:val="16"/>
          <w:lang w:val="pt-BR"/>
        </w:rPr>
        <w:t>Sua evolução</w:t>
      </w:r>
      <w:r w:rsidR="004756C1" w:rsidRPr="002F50BD">
        <w:rPr>
          <w:rFonts w:ascii="Verdana" w:hAnsi="Verdana"/>
          <w:sz w:val="16"/>
          <w:lang w:val="pt-BR"/>
        </w:rPr>
        <w:t xml:space="preserve"> </w:t>
      </w:r>
      <w:r w:rsidR="004076AD" w:rsidRPr="002F50BD">
        <w:rPr>
          <w:rFonts w:ascii="Verdana" w:hAnsi="Verdana"/>
          <w:sz w:val="16"/>
          <w:lang w:val="pt-BR"/>
        </w:rPr>
        <w:t>dinâmic</w:t>
      </w:r>
      <w:r w:rsidR="004756C1" w:rsidRPr="002F50BD">
        <w:rPr>
          <w:rFonts w:ascii="Verdana" w:hAnsi="Verdana"/>
          <w:sz w:val="16"/>
          <w:lang w:val="pt-BR"/>
        </w:rPr>
        <w:t xml:space="preserve">a </w:t>
      </w:r>
      <w:r w:rsidR="0099023E" w:rsidRPr="002F50BD">
        <w:rPr>
          <w:rFonts w:ascii="Verdana" w:hAnsi="Verdana"/>
          <w:sz w:val="16"/>
          <w:lang w:val="pt-BR"/>
        </w:rPr>
        <w:t>exerceu</w:t>
      </w:r>
      <w:r w:rsidRPr="002F50BD">
        <w:rPr>
          <w:rFonts w:ascii="Verdana" w:hAnsi="Verdana"/>
          <w:sz w:val="16"/>
          <w:lang w:val="pt-BR"/>
        </w:rPr>
        <w:t xml:space="preserve"> um </w:t>
      </w:r>
      <w:r w:rsidR="004756C1" w:rsidRPr="002F50BD">
        <w:rPr>
          <w:rFonts w:ascii="Verdana" w:hAnsi="Verdana"/>
          <w:sz w:val="16"/>
          <w:lang w:val="pt-BR"/>
        </w:rPr>
        <w:t>impacto positivo</w:t>
      </w:r>
      <w:r w:rsidRPr="002F50BD">
        <w:rPr>
          <w:rFonts w:ascii="Verdana" w:hAnsi="Verdana"/>
          <w:sz w:val="16"/>
          <w:lang w:val="pt-BR"/>
        </w:rPr>
        <w:t xml:space="preserve"> no </w:t>
      </w:r>
      <w:r w:rsidR="00CF451D">
        <w:rPr>
          <w:rFonts w:ascii="Verdana" w:hAnsi="Verdana"/>
          <w:sz w:val="16"/>
          <w:lang w:val="pt-BR"/>
        </w:rPr>
        <w:t>Direito Internacional</w:t>
      </w:r>
      <w:r w:rsidR="004756C1" w:rsidRPr="002F50BD">
        <w:rPr>
          <w:rFonts w:ascii="Verdana" w:hAnsi="Verdana"/>
          <w:sz w:val="16"/>
          <w:lang w:val="pt-BR"/>
        </w:rPr>
        <w:t>,</w:t>
      </w:r>
      <w:r w:rsidRPr="002F50BD">
        <w:rPr>
          <w:rFonts w:ascii="Verdana" w:hAnsi="Verdana"/>
          <w:sz w:val="16"/>
          <w:lang w:val="pt-BR"/>
        </w:rPr>
        <w:t xml:space="preserve"> no </w:t>
      </w:r>
      <w:r w:rsidR="004756C1" w:rsidRPr="002F50BD">
        <w:rPr>
          <w:rFonts w:ascii="Verdana" w:hAnsi="Verdana"/>
          <w:sz w:val="16"/>
          <w:lang w:val="pt-BR"/>
        </w:rPr>
        <w:t>sentido de afirmar</w:t>
      </w:r>
      <w:r w:rsidRPr="002F50BD">
        <w:rPr>
          <w:rFonts w:ascii="Verdana" w:hAnsi="Verdana"/>
          <w:sz w:val="16"/>
          <w:lang w:val="pt-BR"/>
        </w:rPr>
        <w:t xml:space="preserve"> e desenvolver a </w:t>
      </w:r>
      <w:r w:rsidR="0099023E" w:rsidRPr="002F50BD">
        <w:rPr>
          <w:rFonts w:ascii="Verdana" w:hAnsi="Verdana"/>
          <w:sz w:val="16"/>
          <w:lang w:val="pt-BR"/>
        </w:rPr>
        <w:t>aptidão</w:t>
      </w:r>
      <w:r w:rsidRPr="002F50BD">
        <w:rPr>
          <w:rFonts w:ascii="Verdana" w:hAnsi="Verdana"/>
          <w:sz w:val="16"/>
          <w:lang w:val="pt-BR"/>
        </w:rPr>
        <w:t xml:space="preserve"> deste </w:t>
      </w:r>
      <w:r w:rsidR="004756C1" w:rsidRPr="002F50BD">
        <w:rPr>
          <w:rFonts w:ascii="Verdana" w:hAnsi="Verdana"/>
          <w:sz w:val="16"/>
          <w:lang w:val="pt-BR"/>
        </w:rPr>
        <w:t>último para regula</w:t>
      </w:r>
      <w:r w:rsidR="008B1D76" w:rsidRPr="002F50BD">
        <w:rPr>
          <w:rFonts w:ascii="Verdana" w:hAnsi="Verdana"/>
          <w:sz w:val="16"/>
          <w:lang w:val="pt-BR"/>
        </w:rPr>
        <w:t>menta</w:t>
      </w:r>
      <w:r w:rsidR="004756C1" w:rsidRPr="002F50BD">
        <w:rPr>
          <w:rFonts w:ascii="Verdana" w:hAnsi="Verdana"/>
          <w:sz w:val="16"/>
          <w:lang w:val="pt-BR"/>
        </w:rPr>
        <w:t>r</w:t>
      </w:r>
      <w:r w:rsidRPr="002F50BD">
        <w:rPr>
          <w:rFonts w:ascii="Verdana" w:hAnsi="Verdana"/>
          <w:sz w:val="16"/>
          <w:lang w:val="pt-BR"/>
        </w:rPr>
        <w:t xml:space="preserve"> as </w:t>
      </w:r>
      <w:r w:rsidR="004756C1" w:rsidRPr="002F50BD">
        <w:rPr>
          <w:rFonts w:ascii="Verdana" w:hAnsi="Verdana"/>
          <w:sz w:val="16"/>
          <w:lang w:val="pt-BR"/>
        </w:rPr>
        <w:t>rela</w:t>
      </w:r>
      <w:r w:rsidRPr="002F50BD">
        <w:rPr>
          <w:rFonts w:ascii="Verdana" w:hAnsi="Verdana"/>
          <w:sz w:val="16"/>
          <w:lang w:val="pt-BR"/>
        </w:rPr>
        <w:t>ções</w:t>
      </w:r>
      <w:r w:rsidR="004756C1" w:rsidRPr="002F50BD">
        <w:rPr>
          <w:rFonts w:ascii="Verdana" w:hAnsi="Verdana"/>
          <w:sz w:val="16"/>
          <w:lang w:val="pt-BR"/>
        </w:rPr>
        <w:t xml:space="preserve"> entre</w:t>
      </w:r>
      <w:r w:rsidRPr="002F50BD">
        <w:rPr>
          <w:rFonts w:ascii="Verdana" w:hAnsi="Verdana"/>
          <w:sz w:val="16"/>
          <w:lang w:val="pt-BR"/>
        </w:rPr>
        <w:t xml:space="preserve"> os </w:t>
      </w:r>
      <w:r w:rsidR="004756C1" w:rsidRPr="002F50BD">
        <w:rPr>
          <w:rFonts w:ascii="Verdana" w:hAnsi="Verdana"/>
          <w:sz w:val="16"/>
          <w:lang w:val="pt-BR"/>
        </w:rPr>
        <w:t>Estados</w:t>
      </w:r>
      <w:r w:rsidRPr="002F50BD">
        <w:rPr>
          <w:rFonts w:ascii="Verdana" w:hAnsi="Verdana"/>
          <w:sz w:val="16"/>
          <w:lang w:val="pt-BR"/>
        </w:rPr>
        <w:t xml:space="preserve"> e os </w:t>
      </w:r>
      <w:r w:rsidR="004756C1" w:rsidRPr="002F50BD">
        <w:rPr>
          <w:rFonts w:ascii="Verdana" w:hAnsi="Verdana"/>
          <w:sz w:val="16"/>
          <w:lang w:val="pt-BR"/>
        </w:rPr>
        <w:t>seres humanos</w:t>
      </w:r>
      <w:r w:rsidRPr="002F50BD">
        <w:rPr>
          <w:rFonts w:ascii="Verdana" w:hAnsi="Verdana"/>
          <w:sz w:val="16"/>
          <w:lang w:val="pt-BR"/>
        </w:rPr>
        <w:t xml:space="preserve"> sob </w:t>
      </w:r>
      <w:r w:rsidR="00AB454A" w:rsidRPr="002F50BD">
        <w:rPr>
          <w:rFonts w:ascii="Verdana" w:hAnsi="Verdana"/>
          <w:sz w:val="16"/>
          <w:lang w:val="pt-BR"/>
        </w:rPr>
        <w:t>suas respectivas</w:t>
      </w:r>
      <w:r w:rsidR="004756C1" w:rsidRPr="002F50BD">
        <w:rPr>
          <w:rFonts w:ascii="Verdana" w:hAnsi="Verdana"/>
          <w:sz w:val="16"/>
          <w:lang w:val="pt-BR"/>
        </w:rPr>
        <w:t xml:space="preserve"> </w:t>
      </w:r>
      <w:r w:rsidR="0099023E" w:rsidRPr="002F50BD">
        <w:rPr>
          <w:rFonts w:ascii="Verdana" w:hAnsi="Verdana"/>
          <w:sz w:val="16"/>
          <w:lang w:val="pt-BR"/>
        </w:rPr>
        <w:t>jurisdições</w:t>
      </w:r>
      <w:r w:rsidR="004756C1" w:rsidRPr="002F50BD">
        <w:rPr>
          <w:rFonts w:ascii="Verdana" w:hAnsi="Verdana"/>
          <w:sz w:val="16"/>
          <w:lang w:val="pt-BR"/>
        </w:rPr>
        <w:t xml:space="preserve">. </w:t>
      </w:r>
      <w:r w:rsidRPr="002F50BD">
        <w:rPr>
          <w:rFonts w:ascii="Verdana" w:hAnsi="Verdana"/>
          <w:sz w:val="16"/>
          <w:lang w:val="pt-BR"/>
        </w:rPr>
        <w:t>Portanto</w:t>
      </w:r>
      <w:r w:rsidR="004756C1" w:rsidRPr="002F50BD">
        <w:rPr>
          <w:rFonts w:ascii="Verdana" w:hAnsi="Verdana"/>
          <w:sz w:val="16"/>
          <w:lang w:val="pt-BR"/>
        </w:rPr>
        <w:t>, esta Corte</w:t>
      </w:r>
      <w:r w:rsidRPr="002F50BD">
        <w:rPr>
          <w:rFonts w:ascii="Verdana" w:hAnsi="Verdana"/>
          <w:sz w:val="16"/>
          <w:lang w:val="pt-BR"/>
        </w:rPr>
        <w:t xml:space="preserve"> deve adot</w:t>
      </w:r>
      <w:r w:rsidR="004756C1" w:rsidRPr="002F50BD">
        <w:rPr>
          <w:rFonts w:ascii="Verdana" w:hAnsi="Verdana"/>
          <w:sz w:val="16"/>
          <w:lang w:val="pt-BR"/>
        </w:rPr>
        <w:t>ar</w:t>
      </w:r>
      <w:r w:rsidRPr="002F50BD">
        <w:rPr>
          <w:rFonts w:ascii="Verdana" w:hAnsi="Verdana"/>
          <w:sz w:val="16"/>
          <w:lang w:val="pt-BR"/>
        </w:rPr>
        <w:t xml:space="preserve"> um critério</w:t>
      </w:r>
      <w:r w:rsidR="004756C1" w:rsidRPr="002F50BD">
        <w:rPr>
          <w:rFonts w:ascii="Verdana" w:hAnsi="Verdana"/>
          <w:sz w:val="16"/>
          <w:lang w:val="pt-BR"/>
        </w:rPr>
        <w:t xml:space="preserve"> </w:t>
      </w:r>
      <w:r w:rsidRPr="002F50BD">
        <w:rPr>
          <w:rFonts w:ascii="Verdana" w:hAnsi="Verdana"/>
          <w:sz w:val="16"/>
          <w:lang w:val="pt-BR"/>
        </w:rPr>
        <w:t>adequad</w:t>
      </w:r>
      <w:r w:rsidR="004756C1" w:rsidRPr="002F50BD">
        <w:rPr>
          <w:rFonts w:ascii="Verdana" w:hAnsi="Verdana"/>
          <w:sz w:val="16"/>
          <w:lang w:val="pt-BR"/>
        </w:rPr>
        <w:t>o para considerar</w:t>
      </w:r>
      <w:r w:rsidRPr="002F50BD">
        <w:rPr>
          <w:rFonts w:ascii="Verdana" w:hAnsi="Verdana"/>
          <w:sz w:val="16"/>
          <w:lang w:val="pt-BR"/>
        </w:rPr>
        <w:t xml:space="preserve"> a questão</w:t>
      </w:r>
      <w:r w:rsidR="004756C1" w:rsidRPr="002F50BD">
        <w:rPr>
          <w:rFonts w:ascii="Verdana" w:hAnsi="Verdana"/>
          <w:sz w:val="16"/>
          <w:lang w:val="pt-BR"/>
        </w:rPr>
        <w:t xml:space="preserve"> </w:t>
      </w:r>
      <w:r w:rsidRPr="002F50BD">
        <w:rPr>
          <w:rFonts w:ascii="Verdana" w:hAnsi="Verdana"/>
          <w:sz w:val="16"/>
          <w:lang w:val="pt-BR"/>
        </w:rPr>
        <w:t>sujeita</w:t>
      </w:r>
      <w:r w:rsidR="004756C1" w:rsidRPr="002F50BD">
        <w:rPr>
          <w:rFonts w:ascii="Verdana" w:hAnsi="Verdana"/>
          <w:sz w:val="16"/>
          <w:lang w:val="pt-BR"/>
        </w:rPr>
        <w:t xml:space="preserve"> a </w:t>
      </w:r>
      <w:r w:rsidRPr="002F50BD">
        <w:rPr>
          <w:rFonts w:ascii="Verdana" w:hAnsi="Verdana"/>
          <w:sz w:val="16"/>
          <w:lang w:val="pt-BR"/>
        </w:rPr>
        <w:t xml:space="preserve">exame no </w:t>
      </w:r>
      <w:r w:rsidR="008B1D76" w:rsidRPr="002F50BD">
        <w:rPr>
          <w:rFonts w:ascii="Verdana" w:hAnsi="Verdana"/>
          <w:sz w:val="16"/>
          <w:lang w:val="pt-BR"/>
        </w:rPr>
        <w:t>âmb</w:t>
      </w:r>
      <w:r w:rsidR="00CD2DC3" w:rsidRPr="002F50BD">
        <w:rPr>
          <w:rFonts w:ascii="Verdana" w:hAnsi="Verdana"/>
          <w:sz w:val="16"/>
          <w:lang w:val="pt-BR"/>
        </w:rPr>
        <w:t>i</w:t>
      </w:r>
      <w:r w:rsidR="008B1D76" w:rsidRPr="002F50BD">
        <w:rPr>
          <w:rFonts w:ascii="Verdana" w:hAnsi="Verdana"/>
          <w:sz w:val="16"/>
          <w:lang w:val="pt-BR"/>
        </w:rPr>
        <w:t xml:space="preserve">to </w:t>
      </w:r>
      <w:r w:rsidRPr="002F50BD">
        <w:rPr>
          <w:rFonts w:ascii="Verdana" w:hAnsi="Verdana"/>
          <w:sz w:val="16"/>
          <w:lang w:val="pt-BR"/>
        </w:rPr>
        <w:t xml:space="preserve">da </w:t>
      </w:r>
      <w:r w:rsidR="004756C1" w:rsidRPr="002F50BD">
        <w:rPr>
          <w:rFonts w:ascii="Verdana" w:hAnsi="Verdana"/>
          <w:sz w:val="16"/>
          <w:lang w:val="pt-BR"/>
        </w:rPr>
        <w:t>evolu</w:t>
      </w:r>
      <w:r w:rsidRPr="002F50BD">
        <w:rPr>
          <w:rFonts w:ascii="Verdana" w:hAnsi="Verdana"/>
          <w:sz w:val="16"/>
          <w:lang w:val="pt-BR"/>
        </w:rPr>
        <w:t>ção dos direito</w:t>
      </w:r>
      <w:r w:rsidR="004756C1" w:rsidRPr="002F50BD">
        <w:rPr>
          <w:rFonts w:ascii="Verdana" w:hAnsi="Verdana"/>
          <w:sz w:val="16"/>
          <w:lang w:val="pt-BR"/>
        </w:rPr>
        <w:t xml:space="preserve">s </w:t>
      </w:r>
      <w:r w:rsidRPr="002F50BD">
        <w:rPr>
          <w:rFonts w:ascii="Verdana" w:hAnsi="Verdana"/>
          <w:sz w:val="16"/>
          <w:lang w:val="pt-BR"/>
        </w:rPr>
        <w:t>fundamentais da pessoa</w:t>
      </w:r>
      <w:r w:rsidR="004756C1" w:rsidRPr="002F50BD">
        <w:rPr>
          <w:rFonts w:ascii="Verdana" w:hAnsi="Verdana"/>
          <w:sz w:val="16"/>
          <w:lang w:val="pt-BR"/>
        </w:rPr>
        <w:t xml:space="preserve"> humana</w:t>
      </w:r>
      <w:r w:rsidRPr="002F50BD">
        <w:rPr>
          <w:rFonts w:ascii="Verdana" w:hAnsi="Verdana"/>
          <w:sz w:val="16"/>
          <w:lang w:val="pt-BR"/>
        </w:rPr>
        <w:t xml:space="preserve"> no </w:t>
      </w:r>
      <w:r w:rsidR="00CF451D">
        <w:rPr>
          <w:rFonts w:ascii="Verdana" w:hAnsi="Verdana"/>
          <w:sz w:val="16"/>
          <w:lang w:val="pt-BR"/>
        </w:rPr>
        <w:t>Direito Internacional</w:t>
      </w:r>
      <w:r w:rsidR="004756C1" w:rsidRPr="002F50BD">
        <w:rPr>
          <w:rFonts w:ascii="Verdana" w:hAnsi="Verdana"/>
          <w:sz w:val="16"/>
          <w:lang w:val="pt-BR"/>
        </w:rPr>
        <w:t xml:space="preserve"> </w:t>
      </w:r>
      <w:r w:rsidRPr="002F50BD">
        <w:rPr>
          <w:rFonts w:ascii="Verdana" w:hAnsi="Verdana"/>
          <w:sz w:val="16"/>
          <w:lang w:val="pt-BR"/>
        </w:rPr>
        <w:t>contemporâneo</w:t>
      </w:r>
      <w:r w:rsidR="0099023E" w:rsidRPr="002F50BD">
        <w:rPr>
          <w:rFonts w:ascii="Verdana" w:hAnsi="Verdana"/>
          <w:sz w:val="16"/>
          <w:lang w:val="pt-BR"/>
        </w:rPr>
        <w:t>.</w:t>
      </w:r>
      <w:r w:rsidR="004756C1" w:rsidRPr="002F50BD">
        <w:rPr>
          <w:rStyle w:val="FootnoteReference"/>
          <w:rFonts w:ascii="Verdana" w:hAnsi="Verdana"/>
          <w:sz w:val="16"/>
        </w:rPr>
        <w:footnoteReference w:id="195"/>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De</w:t>
      </w:r>
      <w:r w:rsidR="008B1D76" w:rsidRPr="002F50BD">
        <w:rPr>
          <w:rFonts w:ascii="Verdana" w:hAnsi="Verdana"/>
          <w:sz w:val="20"/>
          <w:lang w:val="pt-BR"/>
        </w:rPr>
        <w:t xml:space="preserve">ve-se </w:t>
      </w:r>
      <w:r w:rsidRPr="002F50BD">
        <w:rPr>
          <w:rFonts w:ascii="Verdana" w:hAnsi="Verdana"/>
          <w:sz w:val="20"/>
          <w:lang w:val="pt-BR"/>
        </w:rPr>
        <w:t>ter</w:t>
      </w:r>
      <w:r w:rsidR="0089298C" w:rsidRPr="002F50BD">
        <w:rPr>
          <w:rFonts w:ascii="Verdana" w:hAnsi="Verdana"/>
          <w:sz w:val="20"/>
          <w:lang w:val="pt-BR"/>
        </w:rPr>
        <w:t xml:space="preserve"> em </w:t>
      </w:r>
      <w:r w:rsidR="0099023E" w:rsidRPr="002F50BD">
        <w:rPr>
          <w:rFonts w:ascii="Verdana" w:hAnsi="Verdana"/>
          <w:sz w:val="20"/>
          <w:lang w:val="pt-BR"/>
        </w:rPr>
        <w:t>conta</w:t>
      </w:r>
      <w:r w:rsidRPr="002F50BD">
        <w:rPr>
          <w:rFonts w:ascii="Verdana" w:hAnsi="Verdana"/>
          <w:sz w:val="20"/>
          <w:lang w:val="pt-BR"/>
        </w:rPr>
        <w:t xml:space="preserve">, </w:t>
      </w:r>
      <w:r w:rsidR="0089298C" w:rsidRPr="002F50BD">
        <w:rPr>
          <w:rFonts w:ascii="Verdana" w:hAnsi="Verdana"/>
          <w:sz w:val="20"/>
          <w:lang w:val="pt-BR"/>
        </w:rPr>
        <w:t>ademais</w:t>
      </w:r>
      <w:r w:rsidRPr="002F50BD">
        <w:rPr>
          <w:rFonts w:ascii="Verdana" w:hAnsi="Verdana"/>
          <w:sz w:val="20"/>
          <w:lang w:val="pt-BR"/>
        </w:rPr>
        <w:t>, que</w:t>
      </w:r>
      <w:r w:rsidR="0089298C" w:rsidRPr="002F50BD">
        <w:rPr>
          <w:rFonts w:ascii="Verdana" w:hAnsi="Verdana"/>
          <w:sz w:val="20"/>
          <w:lang w:val="pt-BR"/>
        </w:rPr>
        <w:t xml:space="preserve"> em virtude do artigo</w:t>
      </w:r>
      <w:r w:rsidRPr="002F50BD">
        <w:rPr>
          <w:rFonts w:ascii="Verdana" w:hAnsi="Verdana"/>
          <w:sz w:val="20"/>
          <w:lang w:val="pt-BR"/>
        </w:rPr>
        <w:t xml:space="preserve"> </w:t>
      </w:r>
      <w:r w:rsidR="00063B47" w:rsidRPr="002F50BD">
        <w:rPr>
          <w:rFonts w:ascii="Verdana" w:hAnsi="Verdana"/>
          <w:sz w:val="20"/>
          <w:lang w:val="pt-BR"/>
        </w:rPr>
        <w:t>29</w:t>
      </w:r>
      <w:r w:rsidRPr="002F50BD">
        <w:rPr>
          <w:rFonts w:ascii="Verdana" w:hAnsi="Verdana"/>
          <w:sz w:val="20"/>
          <w:lang w:val="pt-BR"/>
        </w:rPr>
        <w:t>.b</w:t>
      </w:r>
      <w:r w:rsidR="00CF451D" w:rsidRPr="00CF451D">
        <w:rPr>
          <w:rFonts w:ascii="Verdana" w:hAnsi="Verdana"/>
          <w:sz w:val="20"/>
          <w:lang w:val="pt-BR"/>
        </w:rPr>
        <w:t>)</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nenhuma</w:t>
      </w:r>
      <w:r w:rsidRPr="002F50BD">
        <w:rPr>
          <w:rFonts w:ascii="Verdana" w:hAnsi="Verdana"/>
          <w:sz w:val="20"/>
          <w:lang w:val="pt-BR"/>
        </w:rPr>
        <w:t xml:space="preserve"> disposi</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desta pode</w:t>
      </w:r>
      <w:r w:rsidRPr="002F50BD">
        <w:rPr>
          <w:rFonts w:ascii="Verdana" w:hAnsi="Verdana"/>
          <w:sz w:val="20"/>
          <w:lang w:val="pt-BR"/>
        </w:rPr>
        <w:t xml:space="preserve"> ser interpretada</w:t>
      </w:r>
      <w:r w:rsidR="0089298C" w:rsidRPr="002F50BD">
        <w:rPr>
          <w:rFonts w:ascii="Verdana" w:hAnsi="Verdana"/>
          <w:sz w:val="20"/>
          <w:lang w:val="pt-BR"/>
        </w:rPr>
        <w:t xml:space="preserve"> no </w:t>
      </w:r>
      <w:r w:rsidRPr="002F50BD">
        <w:rPr>
          <w:rFonts w:ascii="Verdana" w:hAnsi="Verdana"/>
          <w:sz w:val="20"/>
          <w:lang w:val="pt-BR"/>
        </w:rPr>
        <w:t>sentido de “limitar</w:t>
      </w:r>
      <w:r w:rsidR="0089298C" w:rsidRPr="002F50BD">
        <w:rPr>
          <w:rFonts w:ascii="Verdana" w:hAnsi="Verdana"/>
          <w:sz w:val="20"/>
          <w:lang w:val="pt-BR"/>
        </w:rPr>
        <w:t xml:space="preserve"> o</w:t>
      </w:r>
      <w:r w:rsidR="00385366" w:rsidRPr="002F50BD">
        <w:rPr>
          <w:rFonts w:ascii="Verdana" w:hAnsi="Verdana"/>
          <w:sz w:val="20"/>
          <w:lang w:val="pt-BR"/>
        </w:rPr>
        <w:t xml:space="preserve"> gozo </w:t>
      </w:r>
      <w:r w:rsidR="0089298C" w:rsidRPr="002F50BD">
        <w:rPr>
          <w:rFonts w:ascii="Verdana" w:hAnsi="Verdana"/>
          <w:sz w:val="20"/>
          <w:lang w:val="pt-BR"/>
        </w:rPr>
        <w:t>e exercício</w:t>
      </w:r>
      <w:r w:rsidRPr="002F50BD">
        <w:rPr>
          <w:rFonts w:ascii="Verdana" w:hAnsi="Verdana"/>
          <w:sz w:val="20"/>
          <w:lang w:val="pt-BR"/>
        </w:rPr>
        <w:t xml:space="preserve"> de </w:t>
      </w:r>
      <w:r w:rsidR="0089298C" w:rsidRPr="002F50BD">
        <w:rPr>
          <w:rFonts w:ascii="Verdana" w:hAnsi="Verdana"/>
          <w:sz w:val="20"/>
          <w:lang w:val="pt-BR"/>
        </w:rPr>
        <w:t>qualquer</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 xml:space="preserve"> o</w:t>
      </w:r>
      <w:r w:rsidR="008B1D76" w:rsidRPr="002F50BD">
        <w:rPr>
          <w:rFonts w:ascii="Verdana" w:hAnsi="Verdana"/>
          <w:sz w:val="20"/>
          <w:lang w:val="pt-BR"/>
        </w:rPr>
        <w:t>u</w:t>
      </w:r>
      <w:r w:rsidRPr="002F50BD">
        <w:rPr>
          <w:rFonts w:ascii="Verdana" w:hAnsi="Verdana"/>
          <w:sz w:val="20"/>
          <w:lang w:val="pt-BR"/>
        </w:rPr>
        <w:t xml:space="preserve"> </w:t>
      </w:r>
      <w:r w:rsidR="0089298C" w:rsidRPr="002F50BD">
        <w:rPr>
          <w:rFonts w:ascii="Verdana" w:hAnsi="Verdana"/>
          <w:sz w:val="20"/>
          <w:lang w:val="pt-BR"/>
        </w:rPr>
        <w:t xml:space="preserve">liberdade </w:t>
      </w:r>
      <w:r w:rsidRPr="002F50BD">
        <w:rPr>
          <w:rFonts w:ascii="Verdana" w:hAnsi="Verdana"/>
          <w:sz w:val="20"/>
          <w:lang w:val="pt-BR"/>
        </w:rPr>
        <w:t xml:space="preserve">que </w:t>
      </w:r>
      <w:r w:rsidR="0089298C" w:rsidRPr="002F50BD">
        <w:rPr>
          <w:rFonts w:ascii="Verdana" w:hAnsi="Verdana"/>
          <w:sz w:val="20"/>
          <w:lang w:val="pt-BR"/>
        </w:rPr>
        <w:t>possa</w:t>
      </w:r>
      <w:r w:rsidRPr="002F50BD">
        <w:rPr>
          <w:rFonts w:ascii="Verdana" w:hAnsi="Verdana"/>
          <w:sz w:val="20"/>
          <w:lang w:val="pt-BR"/>
        </w:rPr>
        <w:t xml:space="preserve"> </w:t>
      </w:r>
      <w:r w:rsidR="008B1D76" w:rsidRPr="002F50BD">
        <w:rPr>
          <w:rFonts w:ascii="Verdana" w:hAnsi="Verdana"/>
          <w:sz w:val="20"/>
          <w:lang w:val="pt-BR"/>
        </w:rPr>
        <w:t>ser</w:t>
      </w:r>
      <w:r w:rsidRPr="002F50BD">
        <w:rPr>
          <w:rFonts w:ascii="Verdana" w:hAnsi="Verdana"/>
          <w:sz w:val="20"/>
          <w:lang w:val="pt-BR"/>
        </w:rPr>
        <w:t xml:space="preserve"> </w:t>
      </w:r>
      <w:r w:rsidR="008B1D76" w:rsidRPr="002F50BD">
        <w:rPr>
          <w:rFonts w:ascii="Verdana" w:hAnsi="Verdana"/>
          <w:sz w:val="20"/>
          <w:lang w:val="pt-BR"/>
        </w:rPr>
        <w:t>reconhecidos de acordo com as leis de qualquer Estado Parte ou de acordo com outra convenção em que seja parte um dos referidos Estados</w:t>
      </w:r>
      <w:r w:rsidRPr="002F50BD">
        <w:rPr>
          <w:rFonts w:ascii="Verdana" w:hAnsi="Verdana"/>
          <w:sz w:val="20"/>
          <w:lang w:val="pt-BR"/>
        </w:rPr>
        <w:t>”.</w:t>
      </w:r>
    </w:p>
    <w:p w:rsidR="00F46680" w:rsidRPr="002F50BD" w:rsidRDefault="00F46680" w:rsidP="00F46680">
      <w:pPr>
        <w:jc w:val="both"/>
        <w:rPr>
          <w:rFonts w:ascii="Verdana" w:hAnsi="Verdana"/>
          <w:sz w:val="20"/>
          <w:lang w:val="pt-BR"/>
        </w:rPr>
      </w:pPr>
    </w:p>
    <w:p w:rsidR="004756C1" w:rsidRPr="002F50BD" w:rsidRDefault="007043AA">
      <w:pPr>
        <w:numPr>
          <w:ilvl w:val="0"/>
          <w:numId w:val="28"/>
        </w:numPr>
        <w:jc w:val="both"/>
        <w:rPr>
          <w:rFonts w:ascii="Verdana" w:hAnsi="Verdana"/>
          <w:sz w:val="20"/>
          <w:lang w:val="pt-BR"/>
        </w:rPr>
      </w:pPr>
      <w:r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 con</w:t>
      </w:r>
      <w:r w:rsidR="0089298C" w:rsidRPr="002F50BD">
        <w:rPr>
          <w:rFonts w:ascii="Verdana" w:hAnsi="Verdana"/>
          <w:sz w:val="20"/>
          <w:lang w:val="pt-BR"/>
        </w:rPr>
        <w:t>t</w:t>
      </w:r>
      <w:r w:rsidR="008B1D76" w:rsidRPr="002F50BD">
        <w:rPr>
          <w:rFonts w:ascii="Verdana" w:hAnsi="Verdana"/>
          <w:sz w:val="20"/>
          <w:lang w:val="pt-BR"/>
        </w:rPr>
        <w:t>é</w:t>
      </w:r>
      <w:r w:rsidR="0089298C" w:rsidRPr="002F50BD">
        <w:rPr>
          <w:rFonts w:ascii="Verdana" w:hAnsi="Verdana"/>
          <w:sz w:val="20"/>
          <w:lang w:val="pt-BR"/>
        </w:rPr>
        <w:t xml:space="preserve">m </w:t>
      </w:r>
      <w:r w:rsidR="004756C1" w:rsidRPr="002F50BD">
        <w:rPr>
          <w:rFonts w:ascii="Verdana" w:hAnsi="Verdana"/>
          <w:sz w:val="20"/>
          <w:lang w:val="pt-BR"/>
        </w:rPr>
        <w:t>diversas disposi</w:t>
      </w:r>
      <w:r w:rsidR="0089298C" w:rsidRPr="002F50BD">
        <w:rPr>
          <w:rFonts w:ascii="Verdana" w:hAnsi="Verdana"/>
          <w:sz w:val="20"/>
          <w:lang w:val="pt-BR"/>
        </w:rPr>
        <w:t>ções</w:t>
      </w:r>
      <w:r w:rsidR="004756C1" w:rsidRPr="002F50BD">
        <w:rPr>
          <w:rFonts w:ascii="Verdana" w:hAnsi="Verdana"/>
          <w:sz w:val="20"/>
          <w:lang w:val="pt-BR"/>
        </w:rPr>
        <w:t xml:space="preserve"> que </w:t>
      </w:r>
      <w:r w:rsidR="008B1D76" w:rsidRPr="002F50BD">
        <w:rPr>
          <w:rFonts w:ascii="Verdana" w:hAnsi="Verdana"/>
          <w:sz w:val="20"/>
          <w:lang w:val="pt-BR"/>
        </w:rPr>
        <w:t xml:space="preserve">têm </w:t>
      </w:r>
      <w:r w:rsidR="004756C1" w:rsidRPr="002F50BD">
        <w:rPr>
          <w:rFonts w:ascii="Verdana" w:hAnsi="Verdana"/>
          <w:sz w:val="20"/>
          <w:lang w:val="pt-BR"/>
        </w:rPr>
        <w:t>rela</w:t>
      </w:r>
      <w:r w:rsidR="0089298C" w:rsidRPr="002F50BD">
        <w:rPr>
          <w:rFonts w:ascii="Verdana" w:hAnsi="Verdana"/>
          <w:sz w:val="20"/>
          <w:lang w:val="pt-BR"/>
        </w:rPr>
        <w:t>ção com o direito à propriedade</w:t>
      </w:r>
      <w:r w:rsidR="004756C1" w:rsidRPr="002F50BD">
        <w:rPr>
          <w:rFonts w:ascii="Verdana" w:hAnsi="Verdana"/>
          <w:sz w:val="20"/>
          <w:lang w:val="pt-BR"/>
        </w:rPr>
        <w:t xml:space="preserve"> comunal</w:t>
      </w:r>
      <w:r w:rsidR="0089298C" w:rsidRPr="002F50BD">
        <w:rPr>
          <w:rFonts w:ascii="Verdana" w:hAnsi="Verdana"/>
          <w:sz w:val="20"/>
          <w:lang w:val="pt-BR"/>
        </w:rPr>
        <w:t xml:space="preserve"> das </w:t>
      </w:r>
      <w:r w:rsidR="004756C1" w:rsidRPr="002F50BD">
        <w:rPr>
          <w:rFonts w:ascii="Verdana" w:hAnsi="Verdana"/>
          <w:sz w:val="20"/>
          <w:lang w:val="pt-BR"/>
        </w:rPr>
        <w:t>comunidades indígenas que se examina</w:t>
      </w:r>
      <w:r w:rsidR="0089298C" w:rsidRPr="002F50BD">
        <w:rPr>
          <w:rFonts w:ascii="Verdana" w:hAnsi="Verdana"/>
          <w:sz w:val="20"/>
          <w:lang w:val="pt-BR"/>
        </w:rPr>
        <w:t xml:space="preserve"> neste </w:t>
      </w:r>
      <w:r w:rsidR="004756C1" w:rsidRPr="002F50BD">
        <w:rPr>
          <w:rFonts w:ascii="Verdana" w:hAnsi="Verdana"/>
          <w:sz w:val="20"/>
          <w:lang w:val="pt-BR"/>
        </w:rPr>
        <w:t>caso, disposi</w:t>
      </w:r>
      <w:r w:rsidR="0089298C" w:rsidRPr="002F50BD">
        <w:rPr>
          <w:rFonts w:ascii="Verdana" w:hAnsi="Verdana"/>
          <w:sz w:val="20"/>
          <w:lang w:val="pt-BR"/>
        </w:rPr>
        <w:t>ções</w:t>
      </w:r>
      <w:r w:rsidR="004756C1" w:rsidRPr="002F50BD">
        <w:rPr>
          <w:rFonts w:ascii="Verdana" w:hAnsi="Verdana"/>
          <w:sz w:val="20"/>
          <w:lang w:val="pt-BR"/>
        </w:rPr>
        <w:t xml:space="preserve"> que </w:t>
      </w:r>
      <w:r w:rsidR="00475EBB" w:rsidRPr="002F50BD">
        <w:rPr>
          <w:rFonts w:ascii="Verdana" w:hAnsi="Verdana"/>
          <w:sz w:val="20"/>
          <w:lang w:val="pt-BR"/>
        </w:rPr>
        <w:t xml:space="preserve">podem </w:t>
      </w:r>
      <w:r w:rsidR="004756C1" w:rsidRPr="002F50BD">
        <w:rPr>
          <w:rFonts w:ascii="Verdana" w:hAnsi="Verdana"/>
          <w:sz w:val="20"/>
          <w:lang w:val="pt-BR"/>
        </w:rPr>
        <w:t xml:space="preserve">ilustrar </w:t>
      </w:r>
      <w:r w:rsidR="0089298C" w:rsidRPr="002F50BD">
        <w:rPr>
          <w:rFonts w:ascii="Verdana" w:hAnsi="Verdana"/>
          <w:sz w:val="20"/>
          <w:lang w:val="pt-BR"/>
        </w:rPr>
        <w:t xml:space="preserve">o conteúdo e </w:t>
      </w:r>
      <w:r w:rsidR="008B1D76" w:rsidRPr="002F50BD">
        <w:rPr>
          <w:rFonts w:ascii="Verdana" w:hAnsi="Verdana"/>
          <w:sz w:val="20"/>
          <w:lang w:val="pt-BR"/>
        </w:rPr>
        <w:t xml:space="preserve">o </w:t>
      </w:r>
      <w:r w:rsidR="004756C1" w:rsidRPr="002F50BD">
        <w:rPr>
          <w:rFonts w:ascii="Verdana" w:hAnsi="Verdana"/>
          <w:sz w:val="20"/>
          <w:lang w:val="pt-BR"/>
        </w:rPr>
        <w:t xml:space="preserve">alcance </w:t>
      </w:r>
      <w:r w:rsidR="0089298C" w:rsidRPr="002F50BD">
        <w:rPr>
          <w:rFonts w:ascii="Verdana" w:hAnsi="Verdana"/>
          <w:sz w:val="20"/>
          <w:lang w:val="pt-BR"/>
        </w:rPr>
        <w:t>do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D95E71"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szCs w:val="32"/>
          <w:lang w:val="pt-BR"/>
        </w:rPr>
        <w:t>ratificou</w:t>
      </w:r>
      <w:r w:rsidR="004756C1" w:rsidRPr="002F50BD">
        <w:rPr>
          <w:rFonts w:ascii="Verdana" w:hAnsi="Verdana"/>
          <w:sz w:val="20"/>
          <w:szCs w:val="32"/>
          <w:lang w:val="pt-BR"/>
        </w:rPr>
        <w:t xml:space="preserve"> e incorpor</w:t>
      </w:r>
      <w:r w:rsidR="008B1D76" w:rsidRPr="002F50BD">
        <w:rPr>
          <w:rFonts w:ascii="Verdana" w:hAnsi="Verdana"/>
          <w:sz w:val="20"/>
          <w:szCs w:val="32"/>
          <w:lang w:val="pt-BR"/>
        </w:rPr>
        <w:t xml:space="preserve">ou a </w:t>
      </w:r>
      <w:r w:rsidR="004756C1" w:rsidRPr="002F50BD">
        <w:rPr>
          <w:rFonts w:ascii="Verdana" w:hAnsi="Verdana"/>
          <w:sz w:val="20"/>
          <w:szCs w:val="32"/>
          <w:lang w:val="pt-BR"/>
        </w:rPr>
        <w:t>referid</w:t>
      </w:r>
      <w:r w:rsidRPr="002F50BD">
        <w:rPr>
          <w:rFonts w:ascii="Verdana" w:hAnsi="Verdana"/>
          <w:sz w:val="20"/>
          <w:szCs w:val="32"/>
          <w:lang w:val="pt-BR"/>
        </w:rPr>
        <w:t>a Convenção</w:t>
      </w:r>
      <w:r w:rsidR="00FC6B22" w:rsidRPr="002F50BD">
        <w:rPr>
          <w:rFonts w:ascii="Verdana" w:hAnsi="Verdana"/>
          <w:sz w:val="20"/>
          <w:szCs w:val="32"/>
          <w:lang w:val="pt-BR"/>
        </w:rPr>
        <w:t xml:space="preserve"> </w:t>
      </w:r>
      <w:r w:rsidR="00063B47" w:rsidRPr="002F50BD">
        <w:rPr>
          <w:rFonts w:ascii="Verdana" w:hAnsi="Verdana"/>
          <w:sz w:val="20"/>
          <w:szCs w:val="32"/>
          <w:lang w:val="pt-BR"/>
        </w:rPr>
        <w:t>nº</w:t>
      </w:r>
      <w:r w:rsidR="00FC6B22" w:rsidRPr="002F50BD">
        <w:rPr>
          <w:rFonts w:ascii="Verdana" w:hAnsi="Verdana"/>
          <w:sz w:val="20"/>
          <w:szCs w:val="32"/>
          <w:lang w:val="pt-BR"/>
        </w:rPr>
        <w:t xml:space="preserve"> </w:t>
      </w:r>
      <w:r w:rsidR="00063B47" w:rsidRPr="002F50BD">
        <w:rPr>
          <w:rFonts w:ascii="Verdana" w:hAnsi="Verdana"/>
          <w:sz w:val="20"/>
          <w:szCs w:val="32"/>
          <w:lang w:val="pt-BR"/>
        </w:rPr>
        <w:t>169</w:t>
      </w:r>
      <w:r w:rsidRPr="002F50BD">
        <w:rPr>
          <w:rFonts w:ascii="Verdana" w:hAnsi="Verdana"/>
          <w:sz w:val="20"/>
          <w:szCs w:val="32"/>
          <w:lang w:val="pt-BR"/>
        </w:rPr>
        <w:t xml:space="preserve"> </w:t>
      </w:r>
      <w:r w:rsidR="004756C1" w:rsidRPr="002F50BD">
        <w:rPr>
          <w:rFonts w:ascii="Verdana" w:hAnsi="Verdana"/>
          <w:sz w:val="20"/>
          <w:szCs w:val="32"/>
          <w:lang w:val="pt-BR"/>
        </w:rPr>
        <w:t xml:space="preserve">a </w:t>
      </w:r>
      <w:r w:rsidR="0089298C" w:rsidRPr="002F50BD">
        <w:rPr>
          <w:rFonts w:ascii="Verdana" w:hAnsi="Verdana"/>
          <w:sz w:val="20"/>
          <w:szCs w:val="32"/>
          <w:lang w:val="pt-BR"/>
        </w:rPr>
        <w:t>seu direito</w:t>
      </w:r>
      <w:r w:rsidR="004756C1" w:rsidRPr="002F50BD">
        <w:rPr>
          <w:rFonts w:ascii="Verdana" w:hAnsi="Verdana"/>
          <w:sz w:val="20"/>
          <w:szCs w:val="32"/>
          <w:lang w:val="pt-BR"/>
        </w:rPr>
        <w:t xml:space="preserve"> interno </w:t>
      </w:r>
      <w:r w:rsidR="008B1D76" w:rsidRPr="002F50BD">
        <w:rPr>
          <w:rFonts w:ascii="Verdana" w:hAnsi="Verdana"/>
          <w:sz w:val="20"/>
          <w:szCs w:val="32"/>
          <w:lang w:val="pt-BR"/>
        </w:rPr>
        <w:t xml:space="preserve">por meio da </w:t>
      </w:r>
      <w:r w:rsidR="0089298C" w:rsidRPr="002F50BD">
        <w:rPr>
          <w:rFonts w:ascii="Verdana" w:hAnsi="Verdana"/>
          <w:sz w:val="20"/>
          <w:szCs w:val="32"/>
          <w:lang w:val="pt-BR"/>
        </w:rPr>
        <w:t>Lei</w:t>
      </w:r>
      <w:r w:rsidR="00FC6B22" w:rsidRPr="002F50BD">
        <w:rPr>
          <w:rFonts w:ascii="Verdana" w:hAnsi="Verdana"/>
          <w:sz w:val="20"/>
          <w:szCs w:val="32"/>
          <w:lang w:val="pt-BR"/>
        </w:rPr>
        <w:t xml:space="preserve"> </w:t>
      </w:r>
      <w:r w:rsidR="00063B47" w:rsidRPr="002F50BD">
        <w:rPr>
          <w:rFonts w:ascii="Verdana" w:hAnsi="Verdana"/>
          <w:sz w:val="20"/>
          <w:szCs w:val="32"/>
          <w:lang w:val="pt-BR"/>
        </w:rPr>
        <w:t>nº</w:t>
      </w:r>
      <w:r w:rsidR="00FC6B22" w:rsidRPr="002F50BD">
        <w:rPr>
          <w:rFonts w:ascii="Verdana" w:hAnsi="Verdana"/>
          <w:sz w:val="20"/>
          <w:szCs w:val="32"/>
          <w:lang w:val="pt-BR"/>
        </w:rPr>
        <w:t xml:space="preserve"> </w:t>
      </w:r>
      <w:r w:rsidR="00063B47" w:rsidRPr="002F50BD">
        <w:rPr>
          <w:rFonts w:ascii="Verdana" w:hAnsi="Verdana"/>
          <w:sz w:val="20"/>
          <w:szCs w:val="32"/>
          <w:lang w:val="pt-BR"/>
        </w:rPr>
        <w:t>234</w:t>
      </w:r>
      <w:r w:rsidR="004756C1" w:rsidRPr="002F50BD">
        <w:rPr>
          <w:rFonts w:ascii="Verdana" w:hAnsi="Verdana"/>
          <w:sz w:val="20"/>
          <w:szCs w:val="32"/>
          <w:lang w:val="pt-BR"/>
        </w:rPr>
        <w:t>/</w:t>
      </w:r>
      <w:r w:rsidR="00063B47" w:rsidRPr="002F50BD">
        <w:rPr>
          <w:rFonts w:ascii="Verdana" w:hAnsi="Verdana"/>
          <w:sz w:val="20"/>
          <w:szCs w:val="32"/>
          <w:lang w:val="pt-BR"/>
        </w:rPr>
        <w:t>93</w:t>
      </w:r>
      <w:r w:rsidR="004756C1" w:rsidRPr="002F50BD">
        <w:rPr>
          <w:rFonts w:ascii="Verdana" w:hAnsi="Verdana"/>
          <w:sz w:val="20"/>
          <w:szCs w:val="32"/>
          <w:lang w:val="pt-BR"/>
        </w:rPr>
        <w:t>.</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lang w:val="pt-BR"/>
        </w:rPr>
      </w:pPr>
      <w:r w:rsidRPr="002F50BD">
        <w:rPr>
          <w:rFonts w:ascii="Verdana" w:hAnsi="Verdana"/>
          <w:sz w:val="20"/>
          <w:lang w:val="pt-BR"/>
        </w:rPr>
        <w:t>Fazendo</w:t>
      </w:r>
      <w:r w:rsidR="004756C1" w:rsidRPr="002F50BD">
        <w:rPr>
          <w:rFonts w:ascii="Verdana" w:hAnsi="Verdana"/>
          <w:sz w:val="20"/>
          <w:lang w:val="pt-BR"/>
        </w:rPr>
        <w:t xml:space="preserve"> uso</w:t>
      </w:r>
      <w:r w:rsidRPr="002F50BD">
        <w:rPr>
          <w:rFonts w:ascii="Verdana" w:hAnsi="Verdana"/>
          <w:sz w:val="20"/>
          <w:lang w:val="pt-BR"/>
        </w:rPr>
        <w:t xml:space="preserve"> dos critério</w:t>
      </w:r>
      <w:r w:rsidR="004756C1" w:rsidRPr="002F50BD">
        <w:rPr>
          <w:rFonts w:ascii="Verdana" w:hAnsi="Verdana"/>
          <w:sz w:val="20"/>
          <w:lang w:val="pt-BR"/>
        </w:rPr>
        <w:t xml:space="preserve">s </w:t>
      </w:r>
      <w:r w:rsidRPr="002F50BD">
        <w:rPr>
          <w:rFonts w:ascii="Verdana" w:hAnsi="Verdana"/>
          <w:sz w:val="20"/>
          <w:lang w:val="pt-BR"/>
        </w:rPr>
        <w:t>indicado</w:t>
      </w:r>
      <w:r w:rsidR="004756C1" w:rsidRPr="002F50BD">
        <w:rPr>
          <w:rFonts w:ascii="Verdana" w:hAnsi="Verdana"/>
          <w:sz w:val="20"/>
          <w:lang w:val="pt-BR"/>
        </w:rPr>
        <w:t xml:space="preserve">s, este Tribunal </w:t>
      </w:r>
      <w:r w:rsidR="008B1D76" w:rsidRPr="002F50BD">
        <w:rPr>
          <w:rFonts w:ascii="Verdana" w:hAnsi="Verdana"/>
          <w:sz w:val="20"/>
          <w:lang w:val="pt-BR"/>
        </w:rPr>
        <w:t xml:space="preserve">ressaltou </w:t>
      </w:r>
      <w:r w:rsidR="004756C1" w:rsidRPr="002F50BD">
        <w:rPr>
          <w:rFonts w:ascii="Verdana" w:hAnsi="Verdana"/>
          <w:sz w:val="20"/>
          <w:lang w:val="pt-BR"/>
        </w:rPr>
        <w:t>que</w:t>
      </w:r>
      <w:r w:rsidRPr="002F50BD">
        <w:rPr>
          <w:rFonts w:ascii="Verdana" w:hAnsi="Verdana"/>
          <w:sz w:val="20"/>
          <w:lang w:val="pt-BR"/>
        </w:rPr>
        <w:t xml:space="preserve"> a estreit</w:t>
      </w:r>
      <w:r w:rsidR="004756C1" w:rsidRPr="002F50BD">
        <w:rPr>
          <w:rFonts w:ascii="Verdana" w:hAnsi="Verdana"/>
          <w:sz w:val="20"/>
          <w:lang w:val="pt-BR"/>
        </w:rPr>
        <w:t>a rela</w:t>
      </w:r>
      <w:r w:rsidRPr="002F50BD">
        <w:rPr>
          <w:rFonts w:ascii="Verdana" w:hAnsi="Verdana"/>
          <w:sz w:val="20"/>
          <w:lang w:val="pt-BR"/>
        </w:rPr>
        <w:t>ção</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indígenas man</w:t>
      </w:r>
      <w:r w:rsidRPr="002F50BD">
        <w:rPr>
          <w:rFonts w:ascii="Verdana" w:hAnsi="Verdana"/>
          <w:sz w:val="20"/>
          <w:lang w:val="pt-BR"/>
        </w:rPr>
        <w:t xml:space="preserve">têm com a terra deve </w:t>
      </w:r>
      <w:r w:rsidR="004756C1" w:rsidRPr="002F50BD">
        <w:rPr>
          <w:rFonts w:ascii="Verdana" w:hAnsi="Verdana"/>
          <w:sz w:val="20"/>
          <w:lang w:val="pt-BR"/>
        </w:rPr>
        <w:t xml:space="preserve">de ser </w:t>
      </w:r>
      <w:r w:rsidRPr="002F50BD">
        <w:rPr>
          <w:rFonts w:ascii="Verdana" w:hAnsi="Verdana"/>
          <w:sz w:val="20"/>
          <w:lang w:val="pt-BR"/>
        </w:rPr>
        <w:t xml:space="preserve">reconhecida e </w:t>
      </w:r>
      <w:r w:rsidRPr="002F50BD">
        <w:rPr>
          <w:rFonts w:ascii="Verdana" w:hAnsi="Verdana"/>
          <w:sz w:val="20"/>
          <w:lang w:val="pt-BR"/>
        </w:rPr>
        <w:lastRenderedPageBreak/>
        <w:t>compreendida</w:t>
      </w:r>
      <w:r w:rsidR="004756C1" w:rsidRPr="002F50BD">
        <w:rPr>
          <w:rFonts w:ascii="Verdana" w:hAnsi="Verdana"/>
          <w:sz w:val="20"/>
          <w:lang w:val="pt-BR"/>
        </w:rPr>
        <w:t xml:space="preserve"> como</w:t>
      </w:r>
      <w:r w:rsidRPr="002F50BD">
        <w:rPr>
          <w:rFonts w:ascii="Verdana" w:hAnsi="Verdana"/>
          <w:sz w:val="20"/>
          <w:lang w:val="pt-BR"/>
        </w:rPr>
        <w:t xml:space="preserve"> a </w:t>
      </w:r>
      <w:r w:rsidR="004756C1" w:rsidRPr="002F50BD">
        <w:rPr>
          <w:rFonts w:ascii="Verdana" w:hAnsi="Verdana"/>
          <w:sz w:val="20"/>
          <w:lang w:val="pt-BR"/>
        </w:rPr>
        <w:t xml:space="preserve">base fundamental de </w:t>
      </w:r>
      <w:r w:rsidR="005A6BC7" w:rsidRPr="002F50BD">
        <w:rPr>
          <w:rFonts w:ascii="Verdana" w:hAnsi="Verdana"/>
          <w:sz w:val="20"/>
          <w:lang w:val="pt-BR"/>
        </w:rPr>
        <w:t>sua cultura</w:t>
      </w:r>
      <w:r w:rsidR="004756C1" w:rsidRPr="002F50BD">
        <w:rPr>
          <w:rFonts w:ascii="Verdana" w:hAnsi="Verdana"/>
          <w:sz w:val="20"/>
          <w:lang w:val="pt-BR"/>
        </w:rPr>
        <w:t>, vida espiritual, integridad</w:t>
      </w:r>
      <w:r w:rsidR="008B1D76" w:rsidRPr="002F50BD">
        <w:rPr>
          <w:rFonts w:ascii="Verdana" w:hAnsi="Verdana"/>
          <w:sz w:val="20"/>
          <w:lang w:val="pt-BR"/>
        </w:rPr>
        <w:t>e</w:t>
      </w:r>
      <w:r w:rsidR="004756C1" w:rsidRPr="002F50BD">
        <w:rPr>
          <w:rFonts w:ascii="Verdana" w:hAnsi="Verdana"/>
          <w:sz w:val="20"/>
          <w:lang w:val="pt-BR"/>
        </w:rPr>
        <w:t xml:space="preserve">, </w:t>
      </w:r>
      <w:r w:rsidR="004076AD" w:rsidRPr="002F50BD">
        <w:rPr>
          <w:rFonts w:ascii="Verdana" w:hAnsi="Verdana"/>
          <w:sz w:val="20"/>
          <w:lang w:val="pt-BR"/>
        </w:rPr>
        <w:t>sobrevivência</w:t>
      </w:r>
      <w:r w:rsidR="004756C1" w:rsidRPr="002F50BD">
        <w:rPr>
          <w:rFonts w:ascii="Verdana" w:hAnsi="Verdana"/>
          <w:sz w:val="20"/>
          <w:lang w:val="pt-BR"/>
        </w:rPr>
        <w:t xml:space="preserve"> </w:t>
      </w:r>
      <w:r w:rsidRPr="002F50BD">
        <w:rPr>
          <w:rFonts w:ascii="Verdana" w:hAnsi="Verdana"/>
          <w:sz w:val="20"/>
          <w:lang w:val="pt-BR"/>
        </w:rPr>
        <w:t>econômic</w:t>
      </w:r>
      <w:r w:rsidR="004756C1" w:rsidRPr="002F50BD">
        <w:rPr>
          <w:rFonts w:ascii="Verdana" w:hAnsi="Verdana"/>
          <w:sz w:val="20"/>
          <w:lang w:val="pt-BR"/>
        </w:rPr>
        <w:t>a</w:t>
      </w:r>
      <w:r w:rsidRPr="002F50BD">
        <w:rPr>
          <w:rFonts w:ascii="Verdana" w:hAnsi="Verdana"/>
          <w:sz w:val="20"/>
          <w:lang w:val="pt-BR"/>
        </w:rPr>
        <w:t xml:space="preserve"> e </w:t>
      </w:r>
      <w:r w:rsidR="004756C1" w:rsidRPr="002F50BD">
        <w:rPr>
          <w:rFonts w:ascii="Verdana" w:hAnsi="Verdana"/>
          <w:sz w:val="20"/>
          <w:lang w:val="pt-BR"/>
        </w:rPr>
        <w:t>su</w:t>
      </w:r>
      <w:r w:rsidR="008B1D76" w:rsidRPr="002F50BD">
        <w:rPr>
          <w:rFonts w:ascii="Verdana" w:hAnsi="Verdana"/>
          <w:sz w:val="20"/>
          <w:lang w:val="pt-BR"/>
        </w:rPr>
        <w:t>a</w:t>
      </w:r>
      <w:r w:rsidR="004756C1" w:rsidRPr="002F50BD">
        <w:rPr>
          <w:rFonts w:ascii="Verdana" w:hAnsi="Verdana"/>
          <w:sz w:val="20"/>
          <w:lang w:val="pt-BR"/>
        </w:rPr>
        <w:t xml:space="preserve"> preserva</w:t>
      </w:r>
      <w:r w:rsidRPr="002F50BD">
        <w:rPr>
          <w:rFonts w:ascii="Verdana" w:hAnsi="Verdana"/>
          <w:sz w:val="20"/>
          <w:lang w:val="pt-BR"/>
        </w:rPr>
        <w:t xml:space="preserve">ção e </w:t>
      </w:r>
      <w:r w:rsidR="004756C1" w:rsidRPr="002F50BD">
        <w:rPr>
          <w:rFonts w:ascii="Verdana" w:hAnsi="Verdana"/>
          <w:sz w:val="20"/>
          <w:lang w:val="pt-BR"/>
        </w:rPr>
        <w:t>trans</w:t>
      </w:r>
      <w:r w:rsidRPr="002F50BD">
        <w:rPr>
          <w:rFonts w:ascii="Verdana" w:hAnsi="Verdana"/>
          <w:sz w:val="20"/>
          <w:lang w:val="pt-BR"/>
        </w:rPr>
        <w:t xml:space="preserve">missão às </w:t>
      </w:r>
      <w:r w:rsidR="004756C1" w:rsidRPr="002F50BD">
        <w:rPr>
          <w:rFonts w:ascii="Verdana" w:hAnsi="Verdana"/>
          <w:sz w:val="20"/>
          <w:lang w:val="pt-BR"/>
        </w:rPr>
        <w:t>futuras</w:t>
      </w:r>
      <w:r w:rsidR="008B1D76" w:rsidRPr="002F50BD">
        <w:rPr>
          <w:rFonts w:ascii="Verdana" w:hAnsi="Verdana"/>
          <w:sz w:val="20"/>
          <w:lang w:val="pt-BR"/>
        </w:rPr>
        <w:t xml:space="preserve"> gerações.</w:t>
      </w:r>
      <w:r w:rsidR="004756C1" w:rsidRPr="002F50BD">
        <w:rPr>
          <w:rStyle w:val="FootnoteReference"/>
          <w:rFonts w:ascii="Verdana" w:hAnsi="Verdana"/>
        </w:rPr>
        <w:footnoteReference w:id="196"/>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w:t>
      </w:r>
      <w:r w:rsidR="00475EBB" w:rsidRPr="002F50BD">
        <w:rPr>
          <w:rFonts w:ascii="Verdana" w:hAnsi="Verdana"/>
          <w:sz w:val="20"/>
          <w:lang w:val="pt-BR"/>
        </w:rPr>
        <w:t>a testemunha</w:t>
      </w:r>
      <w:r w:rsidR="004756C1" w:rsidRPr="002F50BD">
        <w:rPr>
          <w:rFonts w:ascii="Verdana" w:hAnsi="Verdana"/>
          <w:sz w:val="20"/>
          <w:lang w:val="pt-BR"/>
        </w:rPr>
        <w:t xml:space="preserve"> Albino Fernández, </w:t>
      </w:r>
      <w:r w:rsidR="00AB454A" w:rsidRPr="002F50BD">
        <w:rPr>
          <w:rFonts w:ascii="Verdana" w:hAnsi="Verdana"/>
          <w:sz w:val="20"/>
          <w:lang w:val="pt-BR"/>
        </w:rPr>
        <w:t>professor</w:t>
      </w:r>
      <w:r w:rsidR="0089298C" w:rsidRPr="002F50BD">
        <w:rPr>
          <w:rFonts w:ascii="Verdana" w:hAnsi="Verdana"/>
          <w:sz w:val="20"/>
          <w:lang w:val="pt-BR"/>
        </w:rPr>
        <w:t xml:space="preserve"> e membro da Comunidade </w:t>
      </w:r>
      <w:r w:rsidR="004756C1" w:rsidRPr="002F50BD">
        <w:rPr>
          <w:rFonts w:ascii="Verdana" w:hAnsi="Verdana"/>
          <w:sz w:val="20"/>
          <w:lang w:val="pt-BR"/>
        </w:rPr>
        <w:t>Yakye Axa,</w:t>
      </w:r>
      <w:r w:rsidR="0089298C" w:rsidRPr="002F50BD">
        <w:rPr>
          <w:rFonts w:ascii="Verdana" w:hAnsi="Verdana"/>
          <w:sz w:val="20"/>
          <w:lang w:val="pt-BR"/>
        </w:rPr>
        <w:t xml:space="preserve"> em </w:t>
      </w:r>
      <w:r w:rsidR="00AB454A" w:rsidRPr="002F50BD">
        <w:rPr>
          <w:rFonts w:ascii="Verdana" w:hAnsi="Verdana"/>
          <w:sz w:val="20"/>
          <w:lang w:val="pt-BR"/>
        </w:rPr>
        <w:t>sua declaração</w:t>
      </w:r>
      <w:r w:rsidR="004756C1" w:rsidRPr="002F50BD">
        <w:rPr>
          <w:rFonts w:ascii="Verdana" w:hAnsi="Verdana"/>
          <w:sz w:val="20"/>
          <w:lang w:val="pt-BR"/>
        </w:rPr>
        <w:t xml:space="preserve"> por </w:t>
      </w:r>
      <w:r w:rsidR="008C29C9" w:rsidRPr="002F50BD">
        <w:rPr>
          <w:rFonts w:ascii="Verdana" w:hAnsi="Verdana"/>
          <w:i/>
          <w:sz w:val="20"/>
          <w:lang w:val="pt-BR"/>
        </w:rPr>
        <w:t>affidavit</w:t>
      </w:r>
      <w:r w:rsidR="004756C1" w:rsidRPr="002F50BD">
        <w:rPr>
          <w:rFonts w:ascii="Verdana" w:hAnsi="Verdana"/>
          <w:sz w:val="20"/>
          <w:lang w:val="pt-BR"/>
        </w:rPr>
        <w:t xml:space="preserve"> </w:t>
      </w:r>
      <w:r w:rsidR="0089298C" w:rsidRPr="002F50BD">
        <w:rPr>
          <w:rFonts w:ascii="Verdana" w:hAnsi="Verdana"/>
          <w:sz w:val="20"/>
          <w:lang w:val="pt-BR"/>
        </w:rPr>
        <w:t>afirmou</w:t>
      </w:r>
      <w:r w:rsidR="004756C1" w:rsidRPr="002F50BD">
        <w:rPr>
          <w:rFonts w:ascii="Verdana" w:hAnsi="Verdana"/>
          <w:sz w:val="20"/>
          <w:lang w:val="pt-BR"/>
        </w:rPr>
        <w:t xml:space="preserve"> que</w:t>
      </w:r>
      <w:r w:rsidR="006603BE"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B1D76">
      <w:pPr>
        <w:ind w:left="720" w:right="720"/>
        <w:jc w:val="both"/>
        <w:rPr>
          <w:rFonts w:ascii="Verdana" w:hAnsi="Verdana"/>
          <w:sz w:val="16"/>
          <w:lang w:val="pt-BR"/>
        </w:rPr>
      </w:pPr>
      <w:r w:rsidRPr="002F50BD">
        <w:rPr>
          <w:rFonts w:ascii="Verdana" w:hAnsi="Verdana"/>
          <w:sz w:val="16"/>
          <w:lang w:val="pt-BR"/>
        </w:rPr>
        <w:t>[a</w:t>
      </w:r>
      <w:r w:rsidR="004756C1" w:rsidRPr="002F50BD">
        <w:rPr>
          <w:rFonts w:ascii="Verdana" w:hAnsi="Verdana"/>
          <w:sz w:val="16"/>
          <w:lang w:val="pt-BR"/>
        </w:rPr>
        <w:t>]s celebra</w:t>
      </w:r>
      <w:r w:rsidR="0089298C" w:rsidRPr="002F50BD">
        <w:rPr>
          <w:rFonts w:ascii="Verdana" w:hAnsi="Verdana"/>
          <w:sz w:val="16"/>
          <w:lang w:val="pt-BR"/>
        </w:rPr>
        <w:t>ções</w:t>
      </w:r>
      <w:r w:rsidR="004756C1" w:rsidRPr="002F50BD">
        <w:rPr>
          <w:rFonts w:ascii="Verdana" w:hAnsi="Verdana"/>
          <w:sz w:val="16"/>
          <w:lang w:val="pt-BR"/>
        </w:rPr>
        <w:t xml:space="preserve"> que </w:t>
      </w:r>
      <w:r w:rsidRPr="002F50BD">
        <w:rPr>
          <w:rFonts w:ascii="Verdana" w:hAnsi="Verdana"/>
          <w:sz w:val="16"/>
          <w:lang w:val="pt-BR"/>
        </w:rPr>
        <w:t>fazemos</w:t>
      </w:r>
      <w:r w:rsidR="0089298C" w:rsidRPr="002F50BD">
        <w:rPr>
          <w:rFonts w:ascii="Verdana" w:hAnsi="Verdana"/>
          <w:sz w:val="16"/>
          <w:lang w:val="pt-BR"/>
        </w:rPr>
        <w:t xml:space="preserve"> na </w:t>
      </w:r>
      <w:r w:rsidR="004756C1" w:rsidRPr="002F50BD">
        <w:rPr>
          <w:rFonts w:ascii="Verdana" w:hAnsi="Verdana"/>
          <w:sz w:val="16"/>
          <w:lang w:val="pt-BR"/>
        </w:rPr>
        <w:t>Comu</w:t>
      </w:r>
      <w:r w:rsidR="00AB454A" w:rsidRPr="002F50BD">
        <w:rPr>
          <w:rFonts w:ascii="Verdana" w:hAnsi="Verdana"/>
          <w:sz w:val="16"/>
          <w:lang w:val="pt-BR"/>
        </w:rPr>
        <w:t xml:space="preserve">nidade, </w:t>
      </w:r>
      <w:r w:rsidR="0089298C" w:rsidRPr="002F50BD">
        <w:rPr>
          <w:rFonts w:ascii="Verdana" w:hAnsi="Verdana"/>
          <w:sz w:val="16"/>
          <w:lang w:val="pt-BR"/>
        </w:rPr>
        <w:t>mas</w:t>
      </w:r>
      <w:r w:rsidR="004756C1" w:rsidRPr="002F50BD">
        <w:rPr>
          <w:rFonts w:ascii="Verdana" w:hAnsi="Verdana"/>
          <w:sz w:val="16"/>
          <w:lang w:val="pt-BR"/>
        </w:rPr>
        <w:t xml:space="preserve"> n</w:t>
      </w:r>
      <w:r w:rsidRPr="002F50BD">
        <w:rPr>
          <w:rFonts w:ascii="Verdana" w:hAnsi="Verdana"/>
          <w:sz w:val="16"/>
          <w:lang w:val="pt-BR"/>
        </w:rPr>
        <w:t>ã</w:t>
      </w:r>
      <w:r w:rsidR="004756C1" w:rsidRPr="002F50BD">
        <w:rPr>
          <w:rFonts w:ascii="Verdana" w:hAnsi="Verdana"/>
          <w:sz w:val="16"/>
          <w:lang w:val="pt-BR"/>
        </w:rPr>
        <w:t>o</w:t>
      </w:r>
      <w:r w:rsidR="0089298C" w:rsidRPr="002F50BD">
        <w:rPr>
          <w:rFonts w:ascii="Verdana" w:hAnsi="Verdana"/>
          <w:sz w:val="16"/>
          <w:lang w:val="pt-BR"/>
        </w:rPr>
        <w:t xml:space="preserve"> em nossa</w:t>
      </w:r>
      <w:r w:rsidR="004756C1" w:rsidRPr="002F50BD">
        <w:rPr>
          <w:rFonts w:ascii="Verdana" w:hAnsi="Verdana"/>
          <w:sz w:val="16"/>
          <w:lang w:val="pt-BR"/>
        </w:rPr>
        <w:t xml:space="preserve">s </w:t>
      </w:r>
      <w:r w:rsidR="0089298C" w:rsidRPr="002F50BD">
        <w:rPr>
          <w:rFonts w:ascii="Verdana" w:hAnsi="Verdana"/>
          <w:sz w:val="16"/>
          <w:lang w:val="pt-BR"/>
        </w:rPr>
        <w:t>terra</w:t>
      </w:r>
      <w:r w:rsidR="004756C1" w:rsidRPr="002F50BD">
        <w:rPr>
          <w:rFonts w:ascii="Verdana" w:hAnsi="Verdana"/>
          <w:sz w:val="16"/>
          <w:lang w:val="pt-BR"/>
        </w:rPr>
        <w:t>s, n</w:t>
      </w:r>
      <w:r w:rsidRPr="002F50BD">
        <w:rPr>
          <w:rFonts w:ascii="Verdana" w:hAnsi="Verdana"/>
          <w:sz w:val="16"/>
          <w:lang w:val="pt-BR"/>
        </w:rPr>
        <w:t>ã</w:t>
      </w:r>
      <w:r w:rsidR="004756C1" w:rsidRPr="002F50BD">
        <w:rPr>
          <w:rFonts w:ascii="Verdana" w:hAnsi="Verdana"/>
          <w:sz w:val="16"/>
          <w:lang w:val="pt-BR"/>
        </w:rPr>
        <w:t>o</w:t>
      </w:r>
      <w:r w:rsidR="0089298C" w:rsidRPr="002F50BD">
        <w:rPr>
          <w:rFonts w:ascii="Verdana" w:hAnsi="Verdana"/>
          <w:sz w:val="16"/>
          <w:lang w:val="pt-BR"/>
        </w:rPr>
        <w:t xml:space="preserve"> </w:t>
      </w:r>
      <w:r w:rsidR="004756C1" w:rsidRPr="002F50BD">
        <w:rPr>
          <w:rFonts w:ascii="Verdana" w:hAnsi="Verdana"/>
          <w:sz w:val="16"/>
          <w:lang w:val="pt-BR"/>
        </w:rPr>
        <w:t>podemos</w:t>
      </w:r>
      <w:r w:rsidR="006603BE" w:rsidRPr="002F50BD">
        <w:rPr>
          <w:rFonts w:ascii="Verdana" w:hAnsi="Verdana"/>
          <w:sz w:val="16"/>
          <w:lang w:val="pt-BR"/>
        </w:rPr>
        <w:t xml:space="preserve"> fazê-las </w:t>
      </w:r>
      <w:r w:rsidR="0089298C" w:rsidRPr="002F50BD">
        <w:rPr>
          <w:rFonts w:ascii="Verdana" w:hAnsi="Verdana"/>
          <w:sz w:val="16"/>
          <w:lang w:val="pt-BR"/>
        </w:rPr>
        <w:t>seguindo</w:t>
      </w:r>
      <w:r w:rsidR="004756C1" w:rsidRPr="002F50BD">
        <w:rPr>
          <w:rFonts w:ascii="Verdana" w:hAnsi="Verdana"/>
          <w:sz w:val="16"/>
          <w:lang w:val="pt-BR"/>
        </w:rPr>
        <w:t xml:space="preserve"> </w:t>
      </w:r>
      <w:r w:rsidRPr="002F50BD">
        <w:rPr>
          <w:rFonts w:ascii="Verdana" w:hAnsi="Verdana"/>
          <w:sz w:val="16"/>
          <w:lang w:val="pt-BR"/>
        </w:rPr>
        <w:t xml:space="preserve">completamente </w:t>
      </w:r>
      <w:r w:rsidR="0089298C" w:rsidRPr="002F50BD">
        <w:rPr>
          <w:rFonts w:ascii="Verdana" w:hAnsi="Verdana"/>
          <w:sz w:val="16"/>
          <w:lang w:val="pt-BR"/>
        </w:rPr>
        <w:t xml:space="preserve">a </w:t>
      </w:r>
      <w:r w:rsidR="004756C1" w:rsidRPr="002F50BD">
        <w:rPr>
          <w:rFonts w:ascii="Verdana" w:hAnsi="Verdana"/>
          <w:sz w:val="16"/>
          <w:lang w:val="pt-BR"/>
        </w:rPr>
        <w:t>tradi</w:t>
      </w:r>
      <w:r w:rsidR="0089298C" w:rsidRPr="002F50BD">
        <w:rPr>
          <w:rFonts w:ascii="Verdana" w:hAnsi="Verdana"/>
          <w:sz w:val="16"/>
          <w:lang w:val="pt-BR"/>
        </w:rPr>
        <w:t>ção</w:t>
      </w:r>
      <w:r w:rsidR="004756C1" w:rsidRPr="002F50BD">
        <w:rPr>
          <w:rFonts w:ascii="Verdana" w:hAnsi="Verdana"/>
          <w:sz w:val="16"/>
          <w:lang w:val="pt-BR"/>
        </w:rPr>
        <w:t>, n</w:t>
      </w:r>
      <w:r w:rsidRPr="002F50BD">
        <w:rPr>
          <w:rFonts w:ascii="Verdana" w:hAnsi="Verdana"/>
          <w:sz w:val="16"/>
          <w:lang w:val="pt-BR"/>
        </w:rPr>
        <w:t>ã</w:t>
      </w:r>
      <w:r w:rsidR="004756C1" w:rsidRPr="002F50BD">
        <w:rPr>
          <w:rFonts w:ascii="Verdana" w:hAnsi="Verdana"/>
          <w:sz w:val="16"/>
          <w:lang w:val="pt-BR"/>
        </w:rPr>
        <w:t>o</w:t>
      </w:r>
      <w:r w:rsidR="0089298C" w:rsidRPr="002F50BD">
        <w:rPr>
          <w:rFonts w:ascii="Verdana" w:hAnsi="Verdana"/>
          <w:sz w:val="16"/>
          <w:lang w:val="pt-BR"/>
        </w:rPr>
        <w:t xml:space="preserve"> </w:t>
      </w:r>
      <w:r w:rsidR="004756C1" w:rsidRPr="002F50BD">
        <w:rPr>
          <w:rFonts w:ascii="Verdana" w:hAnsi="Verdana"/>
          <w:sz w:val="16"/>
          <w:lang w:val="pt-BR"/>
        </w:rPr>
        <w:t>podemos</w:t>
      </w:r>
      <w:r w:rsidR="0089298C" w:rsidRPr="002F50BD">
        <w:rPr>
          <w:rFonts w:ascii="Verdana" w:hAnsi="Verdana"/>
          <w:sz w:val="16"/>
          <w:lang w:val="pt-BR"/>
        </w:rPr>
        <w:t xml:space="preserve"> </w:t>
      </w:r>
      <w:r w:rsidR="006603BE" w:rsidRPr="002F50BD">
        <w:rPr>
          <w:rFonts w:ascii="Verdana" w:hAnsi="Verdana"/>
          <w:sz w:val="16"/>
          <w:lang w:val="pt-BR"/>
        </w:rPr>
        <w:t>realizá-las</w:t>
      </w:r>
      <w:r w:rsidRPr="002F50BD">
        <w:rPr>
          <w:rFonts w:ascii="Verdana" w:hAnsi="Verdana"/>
          <w:sz w:val="16"/>
          <w:lang w:val="pt-BR"/>
        </w:rPr>
        <w:t xml:space="preserve"> </w:t>
      </w:r>
      <w:r w:rsidR="00CD2DC3" w:rsidRPr="002F50BD">
        <w:rPr>
          <w:rFonts w:ascii="Verdana" w:hAnsi="Verdana"/>
          <w:sz w:val="16"/>
          <w:lang w:val="pt-BR"/>
        </w:rPr>
        <w:t xml:space="preserve">[de maneira] </w:t>
      </w:r>
      <w:r w:rsidR="004756C1" w:rsidRPr="002F50BD">
        <w:rPr>
          <w:rFonts w:ascii="Verdana" w:hAnsi="Verdana"/>
          <w:sz w:val="16"/>
          <w:lang w:val="pt-BR"/>
        </w:rPr>
        <w:t>completa.</w:t>
      </w:r>
    </w:p>
    <w:p w:rsidR="004756C1" w:rsidRPr="002F50BD" w:rsidRDefault="004756C1">
      <w:pPr>
        <w:ind w:left="720" w:right="720"/>
        <w:jc w:val="both"/>
        <w:rPr>
          <w:rFonts w:ascii="Verdana" w:hAnsi="Verdana"/>
          <w:sz w:val="16"/>
          <w:lang w:val="pt-BR"/>
        </w:rPr>
      </w:pPr>
      <w:r w:rsidRPr="002F50BD">
        <w:rPr>
          <w:rFonts w:ascii="Verdana" w:hAnsi="Verdana"/>
          <w:sz w:val="16"/>
          <w:lang w:val="pt-BR"/>
        </w:rPr>
        <w:t>[…]</w:t>
      </w:r>
    </w:p>
    <w:p w:rsidR="004756C1" w:rsidRPr="002F50BD" w:rsidRDefault="004756C1">
      <w:pPr>
        <w:ind w:left="720" w:right="720"/>
        <w:jc w:val="both"/>
        <w:rPr>
          <w:rFonts w:ascii="Verdana" w:hAnsi="Verdana"/>
          <w:sz w:val="16"/>
          <w:lang w:val="pt-BR"/>
        </w:rPr>
      </w:pPr>
      <w:r w:rsidRPr="002F50BD">
        <w:rPr>
          <w:rFonts w:ascii="Verdana" w:hAnsi="Verdana"/>
          <w:sz w:val="16"/>
          <w:lang w:val="pt-BR"/>
        </w:rPr>
        <w:t>E</w:t>
      </w:r>
      <w:r w:rsidR="008B1D76" w:rsidRPr="002F50BD">
        <w:rPr>
          <w:rFonts w:ascii="Verdana" w:hAnsi="Verdana"/>
          <w:sz w:val="16"/>
          <w:lang w:val="pt-BR"/>
        </w:rPr>
        <w:t>m</w:t>
      </w:r>
      <w:r w:rsidRPr="002F50BD">
        <w:rPr>
          <w:rFonts w:ascii="Verdana" w:hAnsi="Verdana"/>
          <w:sz w:val="16"/>
          <w:lang w:val="pt-BR"/>
        </w:rPr>
        <w:t xml:space="preserve"> </w:t>
      </w:r>
      <w:r w:rsidR="0089298C" w:rsidRPr="002F50BD">
        <w:rPr>
          <w:rFonts w:ascii="Verdana" w:hAnsi="Verdana"/>
          <w:sz w:val="16"/>
          <w:lang w:val="pt-BR"/>
        </w:rPr>
        <w:t>nossa</w:t>
      </w:r>
      <w:r w:rsidRPr="002F50BD">
        <w:rPr>
          <w:rFonts w:ascii="Verdana" w:hAnsi="Verdana"/>
          <w:sz w:val="16"/>
          <w:lang w:val="pt-BR"/>
        </w:rPr>
        <w:t xml:space="preserve">s </w:t>
      </w:r>
      <w:r w:rsidR="0089298C" w:rsidRPr="002F50BD">
        <w:rPr>
          <w:rFonts w:ascii="Verdana" w:hAnsi="Verdana"/>
          <w:sz w:val="16"/>
          <w:lang w:val="pt-BR"/>
        </w:rPr>
        <w:t>terra</w:t>
      </w:r>
      <w:r w:rsidRPr="002F50BD">
        <w:rPr>
          <w:rFonts w:ascii="Verdana" w:hAnsi="Verdana"/>
          <w:sz w:val="16"/>
          <w:lang w:val="pt-BR"/>
        </w:rPr>
        <w:t>s,</w:t>
      </w:r>
      <w:r w:rsidR="0089298C" w:rsidRPr="002F50BD">
        <w:rPr>
          <w:rFonts w:ascii="Verdana" w:hAnsi="Verdana"/>
          <w:sz w:val="16"/>
          <w:lang w:val="pt-BR"/>
        </w:rPr>
        <w:t xml:space="preserve"> nas terra</w:t>
      </w:r>
      <w:r w:rsidRPr="002F50BD">
        <w:rPr>
          <w:rFonts w:ascii="Verdana" w:hAnsi="Verdana"/>
          <w:sz w:val="16"/>
          <w:lang w:val="pt-BR"/>
        </w:rPr>
        <w:t>s Yakye Axa,</w:t>
      </w:r>
      <w:r w:rsidR="0089298C" w:rsidRPr="002F50BD">
        <w:rPr>
          <w:rFonts w:ascii="Verdana" w:hAnsi="Verdana"/>
          <w:sz w:val="16"/>
          <w:lang w:val="pt-BR"/>
        </w:rPr>
        <w:t xml:space="preserve"> a </w:t>
      </w:r>
      <w:r w:rsidR="008B1D76" w:rsidRPr="002F50BD">
        <w:rPr>
          <w:rFonts w:ascii="Verdana" w:hAnsi="Verdana"/>
          <w:sz w:val="16"/>
          <w:lang w:val="pt-BR"/>
        </w:rPr>
        <w:t>L</w:t>
      </w:r>
      <w:r w:rsidRPr="002F50BD">
        <w:rPr>
          <w:rFonts w:ascii="Verdana" w:hAnsi="Verdana"/>
          <w:sz w:val="16"/>
          <w:lang w:val="pt-BR"/>
        </w:rPr>
        <w:t xml:space="preserve">este </w:t>
      </w:r>
      <w:r w:rsidR="0089298C" w:rsidRPr="002F50BD">
        <w:rPr>
          <w:rFonts w:ascii="Verdana" w:hAnsi="Verdana"/>
          <w:sz w:val="16"/>
          <w:lang w:val="pt-BR"/>
        </w:rPr>
        <w:t xml:space="preserve">da </w:t>
      </w:r>
      <w:r w:rsidR="00060B3A" w:rsidRPr="002F50BD">
        <w:rPr>
          <w:rFonts w:ascii="Verdana" w:hAnsi="Verdana"/>
          <w:i/>
          <w:sz w:val="16"/>
          <w:lang w:val="pt-BR"/>
        </w:rPr>
        <w:t>Estancia Loma Verde</w:t>
      </w:r>
      <w:r w:rsidRPr="002F50BD">
        <w:rPr>
          <w:rFonts w:ascii="Verdana" w:hAnsi="Verdana"/>
          <w:sz w:val="16"/>
          <w:lang w:val="pt-BR"/>
        </w:rPr>
        <w:t xml:space="preserve">, se </w:t>
      </w:r>
      <w:r w:rsidR="0089298C" w:rsidRPr="002F50BD">
        <w:rPr>
          <w:rFonts w:ascii="Verdana" w:hAnsi="Verdana"/>
          <w:sz w:val="16"/>
          <w:lang w:val="pt-BR"/>
        </w:rPr>
        <w:t>encontra o cemitério</w:t>
      </w:r>
      <w:r w:rsidRPr="002F50BD">
        <w:rPr>
          <w:rFonts w:ascii="Verdana" w:hAnsi="Verdana"/>
          <w:sz w:val="16"/>
          <w:lang w:val="pt-BR"/>
        </w:rPr>
        <w:t xml:space="preserve"> de </w:t>
      </w:r>
      <w:r w:rsidR="0089298C" w:rsidRPr="002F50BD">
        <w:rPr>
          <w:rFonts w:ascii="Verdana" w:hAnsi="Verdana"/>
          <w:sz w:val="16"/>
          <w:lang w:val="pt-BR"/>
        </w:rPr>
        <w:t>nosso</w:t>
      </w:r>
      <w:r w:rsidRPr="002F50BD">
        <w:rPr>
          <w:rFonts w:ascii="Verdana" w:hAnsi="Verdana"/>
          <w:sz w:val="16"/>
          <w:lang w:val="pt-BR"/>
        </w:rPr>
        <w:t>s ante</w:t>
      </w:r>
      <w:r w:rsidR="0089298C" w:rsidRPr="002F50BD">
        <w:rPr>
          <w:rFonts w:ascii="Verdana" w:hAnsi="Verdana"/>
          <w:sz w:val="16"/>
          <w:lang w:val="pt-BR"/>
        </w:rPr>
        <w:t>passado</w:t>
      </w:r>
      <w:r w:rsidRPr="002F50BD">
        <w:rPr>
          <w:rFonts w:ascii="Verdana" w:hAnsi="Verdana"/>
          <w:sz w:val="16"/>
          <w:lang w:val="pt-BR"/>
        </w:rPr>
        <w:t>s,</w:t>
      </w:r>
      <w:r w:rsidR="0089298C" w:rsidRPr="002F50BD">
        <w:rPr>
          <w:rFonts w:ascii="Verdana" w:hAnsi="Verdana"/>
          <w:sz w:val="16"/>
          <w:lang w:val="pt-BR"/>
        </w:rPr>
        <w:t xml:space="preserve"> ond</w:t>
      </w:r>
      <w:r w:rsidR="008B1D76" w:rsidRPr="002F50BD">
        <w:rPr>
          <w:rFonts w:ascii="Verdana" w:hAnsi="Verdana"/>
          <w:sz w:val="16"/>
          <w:lang w:val="pt-BR"/>
        </w:rPr>
        <w:t xml:space="preserve">e </w:t>
      </w:r>
      <w:r w:rsidR="0089298C" w:rsidRPr="002F50BD">
        <w:rPr>
          <w:rFonts w:ascii="Verdana" w:hAnsi="Verdana"/>
          <w:sz w:val="16"/>
          <w:lang w:val="pt-BR"/>
        </w:rPr>
        <w:t xml:space="preserve">a Comunidade </w:t>
      </w:r>
      <w:r w:rsidRPr="002F50BD">
        <w:rPr>
          <w:rFonts w:ascii="Verdana" w:hAnsi="Verdana"/>
          <w:sz w:val="16"/>
          <w:lang w:val="pt-BR"/>
        </w:rPr>
        <w:t>enterr</w:t>
      </w:r>
      <w:r w:rsidR="00AB6727" w:rsidRPr="002F50BD">
        <w:rPr>
          <w:rFonts w:ascii="Verdana" w:hAnsi="Verdana"/>
          <w:sz w:val="16"/>
          <w:lang w:val="pt-BR"/>
        </w:rPr>
        <w:t xml:space="preserve">ava </w:t>
      </w:r>
      <w:r w:rsidR="0089298C" w:rsidRPr="002F50BD">
        <w:rPr>
          <w:rFonts w:ascii="Verdana" w:hAnsi="Verdana"/>
          <w:sz w:val="16"/>
          <w:lang w:val="pt-BR"/>
        </w:rPr>
        <w:t xml:space="preserve">os </w:t>
      </w:r>
      <w:r w:rsidR="008B1D76" w:rsidRPr="002F50BD">
        <w:rPr>
          <w:rFonts w:ascii="Verdana" w:hAnsi="Verdana"/>
          <w:sz w:val="16"/>
          <w:lang w:val="pt-BR"/>
        </w:rPr>
        <w:t xml:space="preserve">idosos </w:t>
      </w:r>
      <w:r w:rsidRPr="002F50BD">
        <w:rPr>
          <w:rFonts w:ascii="Verdana" w:hAnsi="Verdana"/>
          <w:sz w:val="16"/>
          <w:lang w:val="pt-BR"/>
        </w:rPr>
        <w:t xml:space="preserve">que </w:t>
      </w:r>
      <w:r w:rsidR="0089298C" w:rsidRPr="002F50BD">
        <w:rPr>
          <w:rFonts w:ascii="Verdana" w:hAnsi="Verdana"/>
          <w:sz w:val="16"/>
          <w:lang w:val="pt-BR"/>
        </w:rPr>
        <w:t xml:space="preserve">viveram e </w:t>
      </w:r>
      <w:r w:rsidR="004076AD" w:rsidRPr="002F50BD">
        <w:rPr>
          <w:rFonts w:ascii="Verdana" w:hAnsi="Verdana"/>
          <w:sz w:val="16"/>
          <w:lang w:val="pt-BR"/>
        </w:rPr>
        <w:t>morreram</w:t>
      </w:r>
      <w:r w:rsidRPr="002F50BD">
        <w:rPr>
          <w:rFonts w:ascii="Verdana" w:hAnsi="Verdana"/>
          <w:sz w:val="16"/>
          <w:lang w:val="pt-BR"/>
        </w:rPr>
        <w:t xml:space="preserve"> </w:t>
      </w:r>
      <w:r w:rsidR="008B1D76" w:rsidRPr="002F50BD">
        <w:rPr>
          <w:rFonts w:ascii="Verdana" w:hAnsi="Verdana"/>
          <w:sz w:val="16"/>
          <w:lang w:val="pt-BR"/>
        </w:rPr>
        <w:t>ali</w:t>
      </w:r>
      <w:r w:rsidRPr="002F50BD">
        <w:rPr>
          <w:rFonts w:ascii="Verdana" w:hAnsi="Verdana"/>
          <w:sz w:val="16"/>
          <w:lang w:val="pt-BR"/>
        </w:rPr>
        <w:t xml:space="preserve">. </w:t>
      </w:r>
      <w:r w:rsidR="008B1D76" w:rsidRPr="002F50BD">
        <w:rPr>
          <w:rFonts w:ascii="Verdana" w:hAnsi="Verdana"/>
          <w:sz w:val="16"/>
          <w:lang w:val="pt-BR"/>
        </w:rPr>
        <w:t xml:space="preserve">No caso de </w:t>
      </w:r>
      <w:r w:rsidRPr="002F50BD">
        <w:rPr>
          <w:rFonts w:ascii="Verdana" w:hAnsi="Verdana"/>
          <w:sz w:val="16"/>
          <w:lang w:val="pt-BR"/>
        </w:rPr>
        <w:t>recuperar</w:t>
      </w:r>
      <w:r w:rsidR="008B1D76" w:rsidRPr="002F50BD">
        <w:rPr>
          <w:rFonts w:ascii="Verdana" w:hAnsi="Verdana"/>
          <w:sz w:val="16"/>
          <w:lang w:val="pt-BR"/>
        </w:rPr>
        <w:t>mos</w:t>
      </w:r>
      <w:r w:rsidRPr="002F50BD">
        <w:rPr>
          <w:rFonts w:ascii="Verdana" w:hAnsi="Verdana"/>
          <w:sz w:val="16"/>
          <w:lang w:val="pt-BR"/>
        </w:rPr>
        <w:t xml:space="preserve"> </w:t>
      </w:r>
      <w:r w:rsidR="0089298C" w:rsidRPr="002F50BD">
        <w:rPr>
          <w:rFonts w:ascii="Verdana" w:hAnsi="Verdana"/>
          <w:sz w:val="16"/>
          <w:lang w:val="pt-BR"/>
        </w:rPr>
        <w:t>nossa</w:t>
      </w:r>
      <w:r w:rsidRPr="002F50BD">
        <w:rPr>
          <w:rFonts w:ascii="Verdana" w:hAnsi="Verdana"/>
          <w:sz w:val="16"/>
          <w:lang w:val="pt-BR"/>
        </w:rPr>
        <w:t xml:space="preserve">s </w:t>
      </w:r>
      <w:r w:rsidR="0089298C" w:rsidRPr="002F50BD">
        <w:rPr>
          <w:rFonts w:ascii="Verdana" w:hAnsi="Verdana"/>
          <w:sz w:val="16"/>
          <w:lang w:val="pt-BR"/>
        </w:rPr>
        <w:t>terra</w:t>
      </w:r>
      <w:r w:rsidRPr="002F50BD">
        <w:rPr>
          <w:rFonts w:ascii="Verdana" w:hAnsi="Verdana"/>
          <w:sz w:val="16"/>
          <w:lang w:val="pt-BR"/>
        </w:rPr>
        <w:t xml:space="preserve">s, </w:t>
      </w:r>
      <w:r w:rsidR="004076AD" w:rsidRPr="002F50BD">
        <w:rPr>
          <w:rFonts w:ascii="Verdana" w:hAnsi="Verdana"/>
          <w:sz w:val="16"/>
          <w:lang w:val="pt-BR"/>
        </w:rPr>
        <w:t>ali</w:t>
      </w:r>
      <w:r w:rsidRPr="002F50BD">
        <w:rPr>
          <w:rFonts w:ascii="Verdana" w:hAnsi="Verdana"/>
          <w:sz w:val="16"/>
          <w:lang w:val="pt-BR"/>
        </w:rPr>
        <w:t xml:space="preserve"> seguiríamos enterrando </w:t>
      </w:r>
      <w:r w:rsidR="0089298C" w:rsidRPr="002F50BD">
        <w:rPr>
          <w:rFonts w:ascii="Verdana" w:hAnsi="Verdana"/>
          <w:sz w:val="16"/>
          <w:lang w:val="pt-BR"/>
        </w:rPr>
        <w:t>nosso</w:t>
      </w:r>
      <w:r w:rsidRPr="002F50BD">
        <w:rPr>
          <w:rFonts w:ascii="Verdana" w:hAnsi="Verdana"/>
          <w:sz w:val="16"/>
          <w:lang w:val="pt-BR"/>
        </w:rPr>
        <w:t xml:space="preserve">s </w:t>
      </w:r>
      <w:r w:rsidR="0089298C" w:rsidRPr="002F50BD">
        <w:rPr>
          <w:rFonts w:ascii="Verdana" w:hAnsi="Verdana"/>
          <w:sz w:val="16"/>
          <w:lang w:val="pt-BR"/>
        </w:rPr>
        <w:t>morto</w:t>
      </w:r>
      <w:r w:rsidRPr="002F50BD">
        <w:rPr>
          <w:rFonts w:ascii="Verdana" w:hAnsi="Verdana"/>
          <w:sz w:val="16"/>
          <w:lang w:val="pt-BR"/>
        </w:rPr>
        <w:t xml:space="preserve">s. Para </w:t>
      </w:r>
      <w:r w:rsidR="008B1D76" w:rsidRPr="002F50BD">
        <w:rPr>
          <w:rFonts w:ascii="Verdana" w:hAnsi="Verdana"/>
          <w:sz w:val="16"/>
          <w:lang w:val="pt-BR"/>
        </w:rPr>
        <w:t xml:space="preserve">mudar </w:t>
      </w:r>
      <w:r w:rsidR="0089298C" w:rsidRPr="002F50BD">
        <w:rPr>
          <w:rFonts w:ascii="Verdana" w:hAnsi="Verdana"/>
          <w:sz w:val="16"/>
          <w:lang w:val="pt-BR"/>
        </w:rPr>
        <w:t>e melhor</w:t>
      </w:r>
      <w:r w:rsidRPr="002F50BD">
        <w:rPr>
          <w:rFonts w:ascii="Verdana" w:hAnsi="Verdana"/>
          <w:sz w:val="16"/>
          <w:lang w:val="pt-BR"/>
        </w:rPr>
        <w:t>ar toda esta situa</w:t>
      </w:r>
      <w:r w:rsidR="0089298C" w:rsidRPr="002F50BD">
        <w:rPr>
          <w:rFonts w:ascii="Verdana" w:hAnsi="Verdana"/>
          <w:sz w:val="16"/>
          <w:lang w:val="pt-BR"/>
        </w:rPr>
        <w:t>ção</w:t>
      </w:r>
      <w:r w:rsidRPr="002F50BD">
        <w:rPr>
          <w:rFonts w:ascii="Verdana" w:hAnsi="Verdana"/>
          <w:sz w:val="16"/>
          <w:lang w:val="pt-BR"/>
        </w:rPr>
        <w:t xml:space="preserve"> nece</w:t>
      </w:r>
      <w:r w:rsidR="008B1D76" w:rsidRPr="002F50BD">
        <w:rPr>
          <w:rFonts w:ascii="Verdana" w:hAnsi="Verdana"/>
          <w:sz w:val="16"/>
          <w:lang w:val="pt-BR"/>
        </w:rPr>
        <w:t>s</w:t>
      </w:r>
      <w:r w:rsidRPr="002F50BD">
        <w:rPr>
          <w:rFonts w:ascii="Verdana" w:hAnsi="Verdana"/>
          <w:sz w:val="16"/>
          <w:lang w:val="pt-BR"/>
        </w:rPr>
        <w:t xml:space="preserve">sitamos </w:t>
      </w:r>
      <w:r w:rsidR="000B407F" w:rsidRPr="002F50BD">
        <w:rPr>
          <w:rFonts w:ascii="Verdana" w:hAnsi="Verdana"/>
          <w:sz w:val="16"/>
          <w:lang w:val="pt-BR"/>
        </w:rPr>
        <w:t xml:space="preserve">de </w:t>
      </w:r>
      <w:r w:rsidR="0089298C" w:rsidRPr="002F50BD">
        <w:rPr>
          <w:rFonts w:ascii="Verdana" w:hAnsi="Verdana"/>
          <w:sz w:val="16"/>
          <w:lang w:val="pt-BR"/>
        </w:rPr>
        <w:t>nossa</w:t>
      </w:r>
      <w:r w:rsidRPr="002F50BD">
        <w:rPr>
          <w:rFonts w:ascii="Verdana" w:hAnsi="Verdana"/>
          <w:sz w:val="16"/>
          <w:lang w:val="pt-BR"/>
        </w:rPr>
        <w:t xml:space="preserve">s </w:t>
      </w:r>
      <w:r w:rsidR="0089298C" w:rsidRPr="002F50BD">
        <w:rPr>
          <w:rFonts w:ascii="Verdana" w:hAnsi="Verdana"/>
          <w:sz w:val="16"/>
          <w:lang w:val="pt-BR"/>
        </w:rPr>
        <w:t>terra</w:t>
      </w:r>
      <w:r w:rsidRPr="002F50BD">
        <w:rPr>
          <w:rFonts w:ascii="Verdana" w:hAnsi="Verdana"/>
          <w:sz w:val="16"/>
          <w:lang w:val="pt-BR"/>
        </w:rPr>
        <w:t>s.</w:t>
      </w:r>
      <w:r w:rsidR="0089298C" w:rsidRPr="002F50BD">
        <w:rPr>
          <w:rFonts w:ascii="Verdana" w:hAnsi="Verdana"/>
          <w:sz w:val="16"/>
          <w:lang w:val="pt-BR"/>
        </w:rPr>
        <w:t xml:space="preserve"> </w:t>
      </w:r>
      <w:r w:rsidR="008B1D76" w:rsidRPr="002F50BD">
        <w:rPr>
          <w:rFonts w:ascii="Verdana" w:hAnsi="Verdana"/>
          <w:sz w:val="16"/>
          <w:lang w:val="pt-BR"/>
        </w:rPr>
        <w:t>S</w:t>
      </w:r>
      <w:r w:rsidR="0089298C" w:rsidRPr="002F50BD">
        <w:rPr>
          <w:rFonts w:ascii="Verdana" w:hAnsi="Verdana"/>
          <w:sz w:val="16"/>
          <w:lang w:val="pt-BR"/>
        </w:rPr>
        <w:t>em nossa</w:t>
      </w:r>
      <w:r w:rsidRPr="002F50BD">
        <w:rPr>
          <w:rFonts w:ascii="Verdana" w:hAnsi="Verdana"/>
          <w:sz w:val="16"/>
          <w:lang w:val="pt-BR"/>
        </w:rPr>
        <w:t xml:space="preserve">s </w:t>
      </w:r>
      <w:r w:rsidR="0089298C" w:rsidRPr="002F50BD">
        <w:rPr>
          <w:rFonts w:ascii="Verdana" w:hAnsi="Verdana"/>
          <w:sz w:val="16"/>
          <w:lang w:val="pt-BR"/>
        </w:rPr>
        <w:t>terra</w:t>
      </w:r>
      <w:r w:rsidRPr="002F50BD">
        <w:rPr>
          <w:rFonts w:ascii="Verdana" w:hAnsi="Verdana"/>
          <w:sz w:val="16"/>
          <w:lang w:val="pt-BR"/>
        </w:rPr>
        <w:t xml:space="preserve">s </w:t>
      </w:r>
      <w:r w:rsidR="00AB454A" w:rsidRPr="002F50BD">
        <w:rPr>
          <w:rFonts w:ascii="Verdana" w:hAnsi="Verdana"/>
          <w:sz w:val="16"/>
          <w:lang w:val="pt-BR"/>
        </w:rPr>
        <w:t>sofr</w:t>
      </w:r>
      <w:r w:rsidRPr="002F50BD">
        <w:rPr>
          <w:rFonts w:ascii="Verdana" w:hAnsi="Verdana"/>
          <w:sz w:val="16"/>
          <w:lang w:val="pt-BR"/>
        </w:rPr>
        <w:t>e</w:t>
      </w:r>
      <w:r w:rsidR="0089298C" w:rsidRPr="002F50BD">
        <w:rPr>
          <w:rFonts w:ascii="Verdana" w:hAnsi="Verdana"/>
          <w:sz w:val="16"/>
          <w:lang w:val="pt-BR"/>
        </w:rPr>
        <w:t xml:space="preserve"> o </w:t>
      </w:r>
      <w:r w:rsidR="00AB454A" w:rsidRPr="002F50BD">
        <w:rPr>
          <w:rFonts w:ascii="Verdana" w:hAnsi="Verdana"/>
          <w:sz w:val="16"/>
          <w:lang w:val="pt-BR"/>
        </w:rPr>
        <w:t>professor</w:t>
      </w:r>
      <w:r w:rsidRPr="002F50BD">
        <w:rPr>
          <w:rFonts w:ascii="Verdana" w:hAnsi="Verdana"/>
          <w:sz w:val="16"/>
          <w:lang w:val="pt-BR"/>
        </w:rPr>
        <w:t xml:space="preserve">, </w:t>
      </w:r>
      <w:r w:rsidR="005A6BC7" w:rsidRPr="002F50BD">
        <w:rPr>
          <w:rFonts w:ascii="Verdana" w:hAnsi="Verdana"/>
          <w:sz w:val="16"/>
          <w:lang w:val="pt-BR"/>
        </w:rPr>
        <w:t>sofrem</w:t>
      </w:r>
      <w:r w:rsidR="0089298C" w:rsidRPr="002F50BD">
        <w:rPr>
          <w:rFonts w:ascii="Verdana" w:hAnsi="Verdana"/>
          <w:sz w:val="16"/>
          <w:lang w:val="pt-BR"/>
        </w:rPr>
        <w:t xml:space="preserve"> </w:t>
      </w:r>
      <w:r w:rsidR="005A6BC7" w:rsidRPr="002F50BD">
        <w:rPr>
          <w:rFonts w:ascii="Verdana" w:hAnsi="Verdana"/>
          <w:sz w:val="16"/>
          <w:lang w:val="pt-BR"/>
        </w:rPr>
        <w:t>as crianças</w:t>
      </w:r>
      <w:r w:rsidR="0089298C" w:rsidRPr="002F50BD">
        <w:rPr>
          <w:rFonts w:ascii="Verdana" w:hAnsi="Verdana"/>
          <w:sz w:val="16"/>
          <w:lang w:val="pt-BR"/>
        </w:rPr>
        <w:t xml:space="preserve"> e </w:t>
      </w:r>
      <w:r w:rsidR="005A6BC7" w:rsidRPr="002F50BD">
        <w:rPr>
          <w:rFonts w:ascii="Verdana" w:hAnsi="Verdana"/>
          <w:sz w:val="16"/>
          <w:lang w:val="pt-BR"/>
        </w:rPr>
        <w:t>sofrem</w:t>
      </w:r>
      <w:r w:rsidRPr="002F50BD">
        <w:rPr>
          <w:rFonts w:ascii="Verdana" w:hAnsi="Verdana"/>
          <w:sz w:val="16"/>
          <w:lang w:val="pt-BR"/>
        </w:rPr>
        <w:t xml:space="preserve"> </w:t>
      </w:r>
      <w:r w:rsidR="0089298C" w:rsidRPr="002F50BD">
        <w:rPr>
          <w:rFonts w:ascii="Verdana" w:hAnsi="Verdana"/>
          <w:sz w:val="16"/>
          <w:lang w:val="pt-BR"/>
        </w:rPr>
        <w:t>seus pais</w:t>
      </w:r>
      <w:r w:rsidRPr="002F50BD">
        <w:rPr>
          <w:rFonts w:ascii="Verdana" w:hAnsi="Verdana"/>
          <w:sz w:val="16"/>
          <w:lang w:val="pt-BR"/>
        </w:rPr>
        <w:t>.</w:t>
      </w:r>
    </w:p>
    <w:p w:rsidR="004756C1" w:rsidRPr="002F50BD" w:rsidRDefault="004756C1">
      <w:pPr>
        <w:ind w:left="720" w:right="720"/>
        <w:jc w:val="both"/>
        <w:rPr>
          <w:rFonts w:ascii="Verdana" w:hAnsi="Verdana"/>
          <w:sz w:val="16"/>
          <w:lang w:val="pt-BR"/>
        </w:rPr>
      </w:pPr>
      <w:r w:rsidRPr="002F50BD">
        <w:rPr>
          <w:rFonts w:ascii="Verdana" w:hAnsi="Verdana"/>
          <w:sz w:val="16"/>
          <w:lang w:val="pt-BR"/>
        </w:rPr>
        <w:t>[…]</w:t>
      </w:r>
    </w:p>
    <w:p w:rsidR="004756C1" w:rsidRPr="002F50BD" w:rsidRDefault="004756C1">
      <w:pPr>
        <w:ind w:left="720" w:right="720"/>
        <w:jc w:val="both"/>
        <w:rPr>
          <w:rFonts w:ascii="Verdana" w:hAnsi="Verdana"/>
          <w:sz w:val="16"/>
          <w:lang w:val="pt-BR"/>
        </w:rPr>
      </w:pPr>
    </w:p>
    <w:p w:rsidR="004756C1" w:rsidRPr="002F50BD" w:rsidRDefault="004756C1">
      <w:pPr>
        <w:ind w:left="720" w:right="720"/>
        <w:jc w:val="both"/>
        <w:rPr>
          <w:rFonts w:ascii="Verdana" w:hAnsi="Verdana"/>
          <w:sz w:val="20"/>
          <w:lang w:val="pt-BR"/>
        </w:rPr>
      </w:pPr>
      <w:r w:rsidRPr="002F50BD">
        <w:rPr>
          <w:rFonts w:ascii="Verdana" w:hAnsi="Verdana"/>
          <w:sz w:val="16"/>
          <w:lang w:val="pt-BR"/>
        </w:rPr>
        <w:t xml:space="preserve">En </w:t>
      </w:r>
      <w:r w:rsidR="0089298C" w:rsidRPr="002F50BD">
        <w:rPr>
          <w:rFonts w:ascii="Verdana" w:hAnsi="Verdana"/>
          <w:sz w:val="16"/>
          <w:lang w:val="pt-BR"/>
        </w:rPr>
        <w:t>nossa</w:t>
      </w:r>
      <w:r w:rsidRPr="002F50BD">
        <w:rPr>
          <w:rFonts w:ascii="Verdana" w:hAnsi="Verdana"/>
          <w:sz w:val="16"/>
          <w:lang w:val="pt-BR"/>
        </w:rPr>
        <w:t xml:space="preserve">s </w:t>
      </w:r>
      <w:r w:rsidR="0089298C" w:rsidRPr="002F50BD">
        <w:rPr>
          <w:rFonts w:ascii="Verdana" w:hAnsi="Verdana"/>
          <w:sz w:val="16"/>
          <w:lang w:val="pt-BR"/>
        </w:rPr>
        <w:t>terra</w:t>
      </w:r>
      <w:r w:rsidRPr="002F50BD">
        <w:rPr>
          <w:rFonts w:ascii="Verdana" w:hAnsi="Verdana"/>
          <w:sz w:val="16"/>
          <w:lang w:val="pt-BR"/>
        </w:rPr>
        <w:t>s</w:t>
      </w:r>
      <w:r w:rsidR="00392598" w:rsidRPr="002F50BD">
        <w:rPr>
          <w:rFonts w:ascii="Verdana" w:hAnsi="Verdana"/>
          <w:sz w:val="16"/>
          <w:lang w:val="pt-BR"/>
        </w:rPr>
        <w:t>,</w:t>
      </w:r>
      <w:r w:rsidRPr="002F50BD">
        <w:rPr>
          <w:rFonts w:ascii="Verdana" w:hAnsi="Verdana"/>
          <w:sz w:val="16"/>
          <w:lang w:val="pt-BR"/>
        </w:rPr>
        <w:t xml:space="preserve"> </w:t>
      </w:r>
      <w:r w:rsidR="006603BE" w:rsidRPr="002F50BD">
        <w:rPr>
          <w:rFonts w:ascii="Verdana" w:hAnsi="Verdana"/>
          <w:sz w:val="16"/>
          <w:lang w:val="pt-BR"/>
        </w:rPr>
        <w:t xml:space="preserve">poderíamos </w:t>
      </w:r>
      <w:r w:rsidR="0089298C" w:rsidRPr="002F50BD">
        <w:rPr>
          <w:rFonts w:ascii="Verdana" w:hAnsi="Verdana"/>
          <w:sz w:val="16"/>
          <w:lang w:val="pt-BR"/>
        </w:rPr>
        <w:t>também</w:t>
      </w:r>
      <w:r w:rsidRPr="002F50BD">
        <w:rPr>
          <w:rFonts w:ascii="Verdana" w:hAnsi="Verdana"/>
          <w:sz w:val="16"/>
          <w:lang w:val="pt-BR"/>
        </w:rPr>
        <w:t xml:space="preserve"> </w:t>
      </w:r>
      <w:r w:rsidR="0089298C" w:rsidRPr="002F50BD">
        <w:rPr>
          <w:rFonts w:ascii="Verdana" w:hAnsi="Verdana"/>
          <w:sz w:val="16"/>
          <w:lang w:val="pt-BR"/>
        </w:rPr>
        <w:t>manter nosso</w:t>
      </w:r>
      <w:r w:rsidRPr="002F50BD">
        <w:rPr>
          <w:rFonts w:ascii="Verdana" w:hAnsi="Verdana"/>
          <w:sz w:val="16"/>
          <w:lang w:val="pt-BR"/>
        </w:rPr>
        <w:t xml:space="preserve"> idioma</w:t>
      </w:r>
      <w:r w:rsidR="0089298C" w:rsidRPr="002F50BD">
        <w:rPr>
          <w:rFonts w:ascii="Verdana" w:hAnsi="Verdana"/>
          <w:sz w:val="16"/>
          <w:lang w:val="pt-BR"/>
        </w:rPr>
        <w:t xml:space="preserve"> e nossa</w:t>
      </w:r>
      <w:r w:rsidRPr="002F50BD">
        <w:rPr>
          <w:rFonts w:ascii="Verdana" w:hAnsi="Verdana"/>
          <w:sz w:val="16"/>
          <w:lang w:val="pt-BR"/>
        </w:rPr>
        <w:t xml:space="preserve"> cultura tradicional</w:t>
      </w:r>
      <w:r w:rsidR="0089298C" w:rsidRPr="002F50BD">
        <w:rPr>
          <w:rFonts w:ascii="Verdana" w:hAnsi="Verdana"/>
          <w:sz w:val="16"/>
          <w:lang w:val="pt-BR"/>
        </w:rPr>
        <w:t xml:space="preserve"> e </w:t>
      </w:r>
      <w:r w:rsidRPr="002F50BD">
        <w:rPr>
          <w:rFonts w:ascii="Verdana" w:hAnsi="Verdana"/>
          <w:sz w:val="16"/>
          <w:lang w:val="pt-BR"/>
        </w:rPr>
        <w:t>ens</w:t>
      </w:r>
      <w:r w:rsidR="008B1D76" w:rsidRPr="002F50BD">
        <w:rPr>
          <w:rFonts w:ascii="Verdana" w:hAnsi="Verdana"/>
          <w:sz w:val="16"/>
          <w:lang w:val="pt-BR"/>
        </w:rPr>
        <w:t>iná-los</w:t>
      </w:r>
      <w:r w:rsidR="00AB6727" w:rsidRPr="002F50BD">
        <w:rPr>
          <w:rFonts w:ascii="Verdana" w:hAnsi="Verdana"/>
          <w:sz w:val="16"/>
          <w:lang w:val="pt-BR"/>
        </w:rPr>
        <w:t xml:space="preserve"> </w:t>
      </w:r>
      <w:r w:rsidR="0089298C" w:rsidRPr="002F50BD">
        <w:rPr>
          <w:rFonts w:ascii="Verdana" w:hAnsi="Verdana"/>
          <w:sz w:val="16"/>
          <w:lang w:val="pt-BR"/>
        </w:rPr>
        <w:t xml:space="preserve">na </w:t>
      </w:r>
      <w:r w:rsidR="004076AD" w:rsidRPr="002F50BD">
        <w:rPr>
          <w:rFonts w:ascii="Verdana" w:hAnsi="Verdana"/>
          <w:sz w:val="16"/>
          <w:lang w:val="pt-BR"/>
        </w:rPr>
        <w:t>Escola</w:t>
      </w:r>
      <w:r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o senhor </w:t>
      </w:r>
      <w:r w:rsidR="00CD7100" w:rsidRPr="002F50BD">
        <w:rPr>
          <w:rFonts w:ascii="Verdana" w:hAnsi="Verdana"/>
          <w:sz w:val="20"/>
          <w:lang w:val="pt-BR"/>
        </w:rPr>
        <w:t>Tomás Galeano</w:t>
      </w:r>
      <w:r w:rsidR="004756C1" w:rsidRPr="002F50BD">
        <w:rPr>
          <w:rFonts w:ascii="Verdana" w:hAnsi="Verdana"/>
          <w:sz w:val="20"/>
          <w:lang w:val="pt-BR"/>
        </w:rPr>
        <w:t>, líder</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manifestou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 xml:space="preserve">pensamos </w:t>
      </w:r>
      <w:r w:rsidR="008B1D76" w:rsidRPr="002F50BD">
        <w:rPr>
          <w:rFonts w:ascii="Verdana" w:hAnsi="Verdana"/>
          <w:sz w:val="16"/>
          <w:lang w:val="pt-BR"/>
        </w:rPr>
        <w:t xml:space="preserve">em </w:t>
      </w:r>
      <w:r w:rsidRPr="002F50BD">
        <w:rPr>
          <w:rFonts w:ascii="Verdana" w:hAnsi="Verdana"/>
          <w:sz w:val="16"/>
          <w:lang w:val="pt-BR"/>
        </w:rPr>
        <w:t xml:space="preserve">ir a Yakye Axa porque </w:t>
      </w:r>
      <w:r w:rsidR="008B1D76" w:rsidRPr="002F50BD">
        <w:rPr>
          <w:rFonts w:ascii="Verdana" w:hAnsi="Verdana"/>
          <w:sz w:val="16"/>
          <w:lang w:val="pt-BR"/>
        </w:rPr>
        <w:t>ali temos tudo</w:t>
      </w:r>
      <w:r w:rsidRPr="002F50BD">
        <w:rPr>
          <w:rFonts w:ascii="Verdana" w:hAnsi="Verdana"/>
          <w:sz w:val="16"/>
          <w:lang w:val="pt-BR"/>
        </w:rPr>
        <w:t xml:space="preserve">, […] </w:t>
      </w:r>
      <w:r w:rsidR="0089298C" w:rsidRPr="002F50BD">
        <w:rPr>
          <w:rFonts w:ascii="Verdana" w:hAnsi="Verdana"/>
          <w:sz w:val="16"/>
          <w:lang w:val="pt-BR"/>
        </w:rPr>
        <w:t>segundo</w:t>
      </w:r>
      <w:r w:rsidRPr="002F50BD">
        <w:rPr>
          <w:rFonts w:ascii="Verdana" w:hAnsi="Verdana"/>
          <w:sz w:val="16"/>
          <w:lang w:val="pt-BR"/>
        </w:rPr>
        <w:t xml:space="preserve"> </w:t>
      </w:r>
      <w:r w:rsidR="0089298C" w:rsidRPr="002F50BD">
        <w:rPr>
          <w:rFonts w:ascii="Verdana" w:hAnsi="Verdana"/>
          <w:sz w:val="16"/>
          <w:lang w:val="pt-BR"/>
        </w:rPr>
        <w:t>nossa</w:t>
      </w:r>
      <w:r w:rsidRPr="002F50BD">
        <w:rPr>
          <w:rFonts w:ascii="Verdana" w:hAnsi="Verdana"/>
          <w:sz w:val="16"/>
          <w:lang w:val="pt-BR"/>
        </w:rPr>
        <w:t xml:space="preserve"> cultura, </w:t>
      </w:r>
      <w:r w:rsidR="008B1D76" w:rsidRPr="002F50BD">
        <w:rPr>
          <w:rFonts w:ascii="Verdana" w:hAnsi="Verdana"/>
          <w:sz w:val="16"/>
          <w:lang w:val="pt-BR"/>
        </w:rPr>
        <w:t>a floresta</w:t>
      </w:r>
      <w:r w:rsidRPr="002F50BD">
        <w:rPr>
          <w:rFonts w:ascii="Verdana" w:hAnsi="Verdana"/>
          <w:sz w:val="16"/>
          <w:lang w:val="pt-BR"/>
        </w:rPr>
        <w:t>,</w:t>
      </w:r>
      <w:r w:rsidR="0089298C" w:rsidRPr="002F50BD">
        <w:rPr>
          <w:rFonts w:ascii="Verdana" w:hAnsi="Verdana"/>
          <w:sz w:val="16"/>
          <w:lang w:val="pt-BR"/>
        </w:rPr>
        <w:t xml:space="preserve"> os animais</w:t>
      </w:r>
      <w:r w:rsidRPr="002F50BD">
        <w:rPr>
          <w:rFonts w:ascii="Verdana" w:hAnsi="Verdana"/>
          <w:sz w:val="16"/>
          <w:lang w:val="pt-BR"/>
        </w:rPr>
        <w:t xml:space="preserve">, </w:t>
      </w:r>
      <w:r w:rsidR="008B1D76" w:rsidRPr="002F50BD">
        <w:rPr>
          <w:rFonts w:ascii="Verdana" w:hAnsi="Verdana"/>
          <w:sz w:val="16"/>
          <w:lang w:val="pt-BR"/>
        </w:rPr>
        <w:t xml:space="preserve">ali </w:t>
      </w:r>
      <w:r w:rsidR="0089298C" w:rsidRPr="002F50BD">
        <w:rPr>
          <w:rFonts w:ascii="Verdana" w:hAnsi="Verdana"/>
          <w:sz w:val="16"/>
          <w:lang w:val="pt-BR"/>
        </w:rPr>
        <w:t xml:space="preserve">já </w:t>
      </w:r>
      <w:r w:rsidRPr="002F50BD">
        <w:rPr>
          <w:rFonts w:ascii="Verdana" w:hAnsi="Verdana"/>
          <w:sz w:val="16"/>
          <w:lang w:val="pt-BR"/>
        </w:rPr>
        <w:t>entra</w:t>
      </w:r>
      <w:r w:rsidR="0089298C" w:rsidRPr="002F50BD">
        <w:rPr>
          <w:rFonts w:ascii="Verdana" w:hAnsi="Verdana"/>
          <w:sz w:val="16"/>
          <w:lang w:val="pt-BR"/>
        </w:rPr>
        <w:t xml:space="preserve"> a </w:t>
      </w:r>
      <w:r w:rsidR="005A6BC7" w:rsidRPr="002F50BD">
        <w:rPr>
          <w:rFonts w:ascii="Verdana" w:hAnsi="Verdana"/>
          <w:sz w:val="16"/>
          <w:lang w:val="pt-BR"/>
        </w:rPr>
        <w:t>festa</w:t>
      </w:r>
      <w:r w:rsidRPr="002F50BD">
        <w:rPr>
          <w:rFonts w:ascii="Verdana" w:hAnsi="Verdana"/>
          <w:sz w:val="16"/>
          <w:lang w:val="pt-BR"/>
        </w:rPr>
        <w:t xml:space="preserve"> cultural que </w:t>
      </w:r>
      <w:r w:rsidR="008B1D76" w:rsidRPr="002F50BD">
        <w:rPr>
          <w:rFonts w:ascii="Verdana" w:hAnsi="Verdana"/>
          <w:sz w:val="16"/>
          <w:lang w:val="pt-BR"/>
        </w:rPr>
        <w:t xml:space="preserve">nós podemos </w:t>
      </w:r>
      <w:r w:rsidRPr="002F50BD">
        <w:rPr>
          <w:rFonts w:ascii="Verdana" w:hAnsi="Verdana"/>
          <w:sz w:val="16"/>
          <w:lang w:val="pt-BR"/>
        </w:rPr>
        <w:t xml:space="preserve">realizar dentro </w:t>
      </w:r>
      <w:r w:rsidR="0089298C" w:rsidRPr="002F50BD">
        <w:rPr>
          <w:rFonts w:ascii="Verdana" w:hAnsi="Verdana"/>
          <w:sz w:val="16"/>
          <w:lang w:val="pt-BR"/>
        </w:rPr>
        <w:t>do território</w:t>
      </w:r>
      <w:r w:rsidRPr="002F50BD">
        <w:rPr>
          <w:rFonts w:ascii="Verdana" w:hAnsi="Verdana"/>
          <w:sz w:val="16"/>
          <w:lang w:val="pt-BR"/>
        </w:rPr>
        <w:t xml:space="preserve"> de Yakye Axa para</w:t>
      </w:r>
      <w:r w:rsidR="0089298C" w:rsidRPr="002F50BD">
        <w:rPr>
          <w:rFonts w:ascii="Verdana" w:hAnsi="Verdana"/>
          <w:sz w:val="16"/>
          <w:lang w:val="pt-BR"/>
        </w:rPr>
        <w:t xml:space="preserve"> essa prática da </w:t>
      </w:r>
      <w:r w:rsidRPr="002F50BD">
        <w:rPr>
          <w:rFonts w:ascii="Verdana" w:hAnsi="Verdana"/>
          <w:sz w:val="16"/>
          <w:lang w:val="pt-BR"/>
        </w:rPr>
        <w:t>cultura.</w:t>
      </w:r>
    </w:p>
    <w:p w:rsidR="004756C1" w:rsidRPr="002F50BD" w:rsidRDefault="004756C1">
      <w:pPr>
        <w:jc w:val="both"/>
        <w:rPr>
          <w:rFonts w:ascii="Verdana" w:hAnsi="Verdana"/>
          <w:sz w:val="20"/>
          <w:lang w:val="pt-BR"/>
        </w:rPr>
      </w:pPr>
    </w:p>
    <w:p w:rsidR="004756C1" w:rsidRPr="002F50BD" w:rsidRDefault="00CF451D">
      <w:pPr>
        <w:numPr>
          <w:ilvl w:val="0"/>
          <w:numId w:val="28"/>
        </w:numPr>
        <w:jc w:val="both"/>
        <w:rPr>
          <w:rFonts w:ascii="Verdana" w:hAnsi="Verdana"/>
          <w:sz w:val="20"/>
          <w:szCs w:val="32"/>
          <w:lang w:val="pt-BR"/>
        </w:rPr>
      </w:pPr>
      <w:r>
        <w:rPr>
          <w:rFonts w:ascii="Verdana" w:hAnsi="Verdana"/>
          <w:sz w:val="20"/>
          <w:lang w:val="pt-BR"/>
        </w:rPr>
        <w:t>Nesse sentido,</w:t>
      </w:r>
      <w:r w:rsidR="0089298C" w:rsidRPr="002F50BD">
        <w:rPr>
          <w:rFonts w:ascii="Verdana" w:hAnsi="Verdana"/>
          <w:sz w:val="20"/>
          <w:lang w:val="pt-BR"/>
        </w:rPr>
        <w:t xml:space="preserve"> o senhor </w:t>
      </w:r>
      <w:r w:rsidR="00CD7100" w:rsidRPr="002F50BD">
        <w:rPr>
          <w:rFonts w:ascii="Verdana" w:hAnsi="Verdana"/>
          <w:sz w:val="20"/>
          <w:lang w:val="pt-BR"/>
        </w:rPr>
        <w:t>Tomás Galeano</w:t>
      </w:r>
      <w:r w:rsidR="004756C1" w:rsidRPr="002F50BD">
        <w:rPr>
          <w:rFonts w:ascii="Verdana" w:hAnsi="Verdana"/>
          <w:sz w:val="20"/>
          <w:lang w:val="pt-BR"/>
        </w:rPr>
        <w:t xml:space="preserve"> </w:t>
      </w:r>
      <w:r w:rsidR="0089298C" w:rsidRPr="002F50BD">
        <w:rPr>
          <w:rFonts w:ascii="Verdana" w:hAnsi="Verdana"/>
          <w:sz w:val="20"/>
          <w:lang w:val="pt-BR"/>
        </w:rPr>
        <w:t>assinalou</w:t>
      </w:r>
      <w:r w:rsidR="006603BE" w:rsidRPr="002F50BD">
        <w:rPr>
          <w:rFonts w:ascii="Verdana" w:hAnsi="Verdana"/>
          <w:sz w:val="20"/>
          <w:lang w:val="pt-BR"/>
        </w:rPr>
        <w:t xml:space="preserve"> que:</w:t>
      </w:r>
    </w:p>
    <w:p w:rsidR="004756C1" w:rsidRPr="002F50BD" w:rsidRDefault="0089298C">
      <w:pPr>
        <w:ind w:left="720" w:right="720"/>
        <w:jc w:val="both"/>
        <w:rPr>
          <w:rFonts w:ascii="Verdana" w:hAnsi="Verdana"/>
          <w:sz w:val="16"/>
          <w:lang w:val="pt-BR"/>
        </w:rPr>
      </w:pPr>
      <w:r w:rsidRPr="002F50BD">
        <w:rPr>
          <w:rFonts w:ascii="Verdana" w:hAnsi="Verdana"/>
          <w:sz w:val="20"/>
          <w:szCs w:val="32"/>
          <w:lang w:val="pt-BR"/>
        </w:rPr>
        <w:cr/>
      </w:r>
      <w:r w:rsidR="008B1D76" w:rsidRPr="002F50BD">
        <w:rPr>
          <w:rFonts w:ascii="Verdana" w:hAnsi="Verdana"/>
          <w:sz w:val="16"/>
          <w:szCs w:val="16"/>
          <w:lang w:val="pt-BR"/>
        </w:rPr>
        <w:t>a f</w:t>
      </w:r>
      <w:r w:rsidR="005A6BC7" w:rsidRPr="002F50BD">
        <w:rPr>
          <w:rFonts w:ascii="Verdana" w:hAnsi="Verdana"/>
          <w:sz w:val="16"/>
          <w:lang w:val="pt-BR"/>
        </w:rPr>
        <w:t>esta</w:t>
      </w:r>
      <w:r w:rsidR="004756C1" w:rsidRPr="002F50BD">
        <w:rPr>
          <w:rFonts w:ascii="Verdana" w:hAnsi="Verdana"/>
          <w:sz w:val="16"/>
          <w:lang w:val="pt-BR"/>
        </w:rPr>
        <w:t xml:space="preserve"> consiste,</w:t>
      </w:r>
      <w:r w:rsidRPr="002F50BD">
        <w:rPr>
          <w:rFonts w:ascii="Verdana" w:hAnsi="Verdana"/>
          <w:sz w:val="16"/>
          <w:lang w:val="pt-BR"/>
        </w:rPr>
        <w:t xml:space="preserve"> a </w:t>
      </w:r>
      <w:r w:rsidR="006603BE" w:rsidRPr="002F50BD">
        <w:rPr>
          <w:rFonts w:ascii="Verdana" w:hAnsi="Verdana"/>
          <w:sz w:val="16"/>
          <w:lang w:val="pt-BR"/>
        </w:rPr>
        <w:t xml:space="preserve">nossa </w:t>
      </w:r>
      <w:r w:rsidR="004756C1" w:rsidRPr="002F50BD">
        <w:rPr>
          <w:rFonts w:ascii="Verdana" w:hAnsi="Verdana"/>
          <w:sz w:val="16"/>
          <w:lang w:val="pt-BR"/>
        </w:rPr>
        <w:t>cultura consiste [</w:t>
      </w:r>
      <w:r w:rsidR="008B1D76" w:rsidRPr="002F50BD">
        <w:rPr>
          <w:rFonts w:ascii="Verdana" w:hAnsi="Verdana"/>
          <w:sz w:val="16"/>
          <w:lang w:val="pt-BR"/>
        </w:rPr>
        <w:t>na</w:t>
      </w:r>
      <w:r w:rsidR="004756C1" w:rsidRPr="002F50BD">
        <w:rPr>
          <w:rFonts w:ascii="Verdana" w:hAnsi="Verdana"/>
          <w:sz w:val="16"/>
          <w:lang w:val="pt-BR"/>
        </w:rPr>
        <w:t>]</w:t>
      </w:r>
      <w:r w:rsidRPr="002F50BD">
        <w:rPr>
          <w:rFonts w:ascii="Verdana" w:hAnsi="Verdana"/>
          <w:sz w:val="16"/>
          <w:lang w:val="pt-BR"/>
        </w:rPr>
        <w:t xml:space="preserve"> harmonia</w:t>
      </w:r>
      <w:r w:rsidR="004756C1" w:rsidRPr="002F50BD">
        <w:rPr>
          <w:rFonts w:ascii="Verdana" w:hAnsi="Verdana"/>
          <w:sz w:val="16"/>
          <w:lang w:val="pt-BR"/>
        </w:rPr>
        <w:t>, tranquilidad</w:t>
      </w:r>
      <w:r w:rsidR="008B1D76" w:rsidRPr="002F50BD">
        <w:rPr>
          <w:rFonts w:ascii="Verdana" w:hAnsi="Verdana"/>
          <w:sz w:val="16"/>
          <w:lang w:val="pt-BR"/>
        </w:rPr>
        <w:t>e</w:t>
      </w:r>
      <w:r w:rsidR="004756C1" w:rsidRPr="002F50BD">
        <w:rPr>
          <w:rFonts w:ascii="Verdana" w:hAnsi="Verdana"/>
          <w:sz w:val="16"/>
          <w:lang w:val="pt-BR"/>
        </w:rPr>
        <w:t xml:space="preserve">. </w:t>
      </w:r>
      <w:r w:rsidRPr="002F50BD">
        <w:rPr>
          <w:rFonts w:ascii="Verdana" w:hAnsi="Verdana"/>
          <w:sz w:val="16"/>
          <w:lang w:val="pt-BR"/>
        </w:rPr>
        <w:t>Também</w:t>
      </w:r>
      <w:r w:rsidR="004756C1" w:rsidRPr="002F50BD">
        <w:rPr>
          <w:rFonts w:ascii="Verdana" w:hAnsi="Verdana"/>
          <w:sz w:val="16"/>
          <w:lang w:val="pt-BR"/>
        </w:rPr>
        <w:t xml:space="preserve"> […] </w:t>
      </w:r>
      <w:r w:rsidRPr="002F50BD">
        <w:rPr>
          <w:rFonts w:ascii="Verdana" w:hAnsi="Verdana"/>
          <w:sz w:val="16"/>
          <w:lang w:val="pt-BR"/>
        </w:rPr>
        <w:t>pode</w:t>
      </w:r>
      <w:r w:rsidR="004756C1" w:rsidRPr="002F50BD">
        <w:rPr>
          <w:rFonts w:ascii="Verdana" w:hAnsi="Verdana"/>
          <w:sz w:val="16"/>
          <w:lang w:val="pt-BR"/>
        </w:rPr>
        <w:t xml:space="preserve"> </w:t>
      </w:r>
      <w:r w:rsidR="008B1D76" w:rsidRPr="002F50BD">
        <w:rPr>
          <w:rFonts w:ascii="Verdana" w:hAnsi="Verdana"/>
          <w:sz w:val="16"/>
          <w:lang w:val="pt-BR"/>
        </w:rPr>
        <w:t xml:space="preserve">ocorrer </w:t>
      </w:r>
      <w:r w:rsidR="004756C1" w:rsidRPr="002F50BD">
        <w:rPr>
          <w:rFonts w:ascii="Verdana" w:hAnsi="Verdana"/>
          <w:sz w:val="16"/>
          <w:lang w:val="pt-BR"/>
        </w:rPr>
        <w:t>gente que cura</w:t>
      </w:r>
      <w:r w:rsidRPr="002F50BD">
        <w:rPr>
          <w:rFonts w:ascii="Verdana" w:hAnsi="Verdana"/>
          <w:sz w:val="16"/>
          <w:lang w:val="pt-BR"/>
        </w:rPr>
        <w:t xml:space="preserve"> os </w:t>
      </w:r>
      <w:r w:rsidR="004756C1" w:rsidRPr="002F50BD">
        <w:rPr>
          <w:rFonts w:ascii="Verdana" w:hAnsi="Verdana"/>
          <w:sz w:val="16"/>
          <w:lang w:val="pt-BR"/>
        </w:rPr>
        <w:t xml:space="preserve">enfermos, que cura a </w:t>
      </w:r>
      <w:r w:rsidR="00AB454A" w:rsidRPr="002F50BD">
        <w:rPr>
          <w:rFonts w:ascii="Verdana" w:hAnsi="Verdana"/>
          <w:sz w:val="16"/>
          <w:lang w:val="pt-BR"/>
        </w:rPr>
        <w:t xml:space="preserve">sua comunidade, </w:t>
      </w:r>
      <w:r w:rsidR="004756C1" w:rsidRPr="002F50BD">
        <w:rPr>
          <w:rFonts w:ascii="Verdana" w:hAnsi="Verdana"/>
          <w:sz w:val="16"/>
          <w:lang w:val="pt-BR"/>
        </w:rPr>
        <w:t>que protege su</w:t>
      </w:r>
      <w:r w:rsidR="008B1D76" w:rsidRPr="002F50BD">
        <w:rPr>
          <w:rFonts w:ascii="Verdana" w:hAnsi="Verdana"/>
          <w:sz w:val="16"/>
          <w:lang w:val="pt-BR"/>
        </w:rPr>
        <w:t>a</w:t>
      </w:r>
      <w:r w:rsidR="004756C1" w:rsidRPr="002F50BD">
        <w:rPr>
          <w:rFonts w:ascii="Verdana" w:hAnsi="Verdana"/>
          <w:sz w:val="16"/>
          <w:lang w:val="pt-BR"/>
        </w:rPr>
        <w:t xml:space="preserve"> gente, por</w:t>
      </w:r>
      <w:r w:rsidR="00313394" w:rsidRPr="002F50BD">
        <w:rPr>
          <w:rFonts w:ascii="Verdana" w:hAnsi="Verdana"/>
          <w:sz w:val="16"/>
          <w:lang w:val="pt-BR"/>
        </w:rPr>
        <w:t xml:space="preserve"> isso </w:t>
      </w:r>
      <w:r w:rsidRPr="002F50BD">
        <w:rPr>
          <w:rFonts w:ascii="Verdana" w:hAnsi="Verdana"/>
          <w:sz w:val="16"/>
          <w:lang w:val="pt-BR"/>
        </w:rPr>
        <w:t>nosso</w:t>
      </w:r>
      <w:r w:rsidR="004756C1" w:rsidRPr="002F50BD">
        <w:rPr>
          <w:rFonts w:ascii="Verdana" w:hAnsi="Verdana"/>
          <w:sz w:val="16"/>
          <w:lang w:val="pt-BR"/>
        </w:rPr>
        <w:t xml:space="preserve">s </w:t>
      </w:r>
      <w:r w:rsidRPr="002F50BD">
        <w:rPr>
          <w:rFonts w:ascii="Verdana" w:hAnsi="Verdana"/>
          <w:sz w:val="16"/>
          <w:lang w:val="pt-BR"/>
        </w:rPr>
        <w:t>filho</w:t>
      </w:r>
      <w:r w:rsidR="004756C1" w:rsidRPr="002F50BD">
        <w:rPr>
          <w:rFonts w:ascii="Verdana" w:hAnsi="Verdana"/>
          <w:sz w:val="16"/>
          <w:lang w:val="pt-BR"/>
        </w:rPr>
        <w:t xml:space="preserve">s </w:t>
      </w:r>
      <w:r w:rsidRPr="002F50BD">
        <w:rPr>
          <w:rFonts w:ascii="Verdana" w:hAnsi="Verdana"/>
          <w:sz w:val="16"/>
          <w:lang w:val="pt-BR"/>
        </w:rPr>
        <w:t>estavam</w:t>
      </w:r>
      <w:r w:rsidR="004756C1" w:rsidRPr="002F50BD">
        <w:rPr>
          <w:rFonts w:ascii="Verdana" w:hAnsi="Verdana"/>
          <w:sz w:val="16"/>
          <w:lang w:val="pt-BR"/>
        </w:rPr>
        <w:t xml:space="preserve"> </w:t>
      </w:r>
      <w:r w:rsidRPr="002F50BD">
        <w:rPr>
          <w:rFonts w:ascii="Verdana" w:hAnsi="Verdana"/>
          <w:sz w:val="16"/>
          <w:lang w:val="pt-BR"/>
        </w:rPr>
        <w:t xml:space="preserve">muito bem </w:t>
      </w:r>
      <w:r w:rsidR="004756C1" w:rsidRPr="002F50BD">
        <w:rPr>
          <w:rFonts w:ascii="Verdana" w:hAnsi="Verdana"/>
          <w:sz w:val="16"/>
          <w:lang w:val="pt-BR"/>
        </w:rPr>
        <w:t>anteriormente</w:t>
      </w:r>
      <w:r w:rsidRPr="002F50BD">
        <w:rPr>
          <w:rFonts w:ascii="Verdana" w:hAnsi="Verdana"/>
          <w:sz w:val="16"/>
          <w:lang w:val="pt-BR"/>
        </w:rPr>
        <w:t>, e</w:t>
      </w:r>
      <w:r w:rsidR="004756C1" w:rsidRPr="002F50BD">
        <w:rPr>
          <w:rFonts w:ascii="Verdana" w:hAnsi="Verdana"/>
          <w:sz w:val="16"/>
          <w:lang w:val="pt-BR"/>
        </w:rPr>
        <w:t xml:space="preserve"> </w:t>
      </w:r>
      <w:r w:rsidRPr="002F50BD">
        <w:rPr>
          <w:rFonts w:ascii="Verdana" w:hAnsi="Verdana"/>
          <w:sz w:val="16"/>
          <w:lang w:val="pt-BR"/>
        </w:rPr>
        <w:t>nosso</w:t>
      </w:r>
      <w:r w:rsidR="004756C1" w:rsidRPr="002F50BD">
        <w:rPr>
          <w:rFonts w:ascii="Verdana" w:hAnsi="Verdana"/>
          <w:sz w:val="16"/>
          <w:lang w:val="pt-BR"/>
        </w:rPr>
        <w:t xml:space="preserve">s </w:t>
      </w:r>
      <w:r w:rsidR="00E7595C" w:rsidRPr="002F50BD">
        <w:rPr>
          <w:rFonts w:ascii="Verdana" w:hAnsi="Verdana"/>
          <w:sz w:val="16"/>
          <w:lang w:val="pt-BR"/>
        </w:rPr>
        <w:t>neto</w:t>
      </w:r>
      <w:r w:rsidR="004756C1" w:rsidRPr="002F50BD">
        <w:rPr>
          <w:rFonts w:ascii="Verdana" w:hAnsi="Verdana"/>
          <w:sz w:val="16"/>
          <w:lang w:val="pt-BR"/>
        </w:rPr>
        <w:t>s</w:t>
      </w:r>
      <w:r w:rsidR="006603BE" w:rsidRPr="002F50BD">
        <w:rPr>
          <w:rFonts w:ascii="Verdana" w:hAnsi="Verdana"/>
          <w:sz w:val="16"/>
          <w:lang w:val="pt-BR"/>
        </w:rPr>
        <w:t>,</w:t>
      </w:r>
      <w:r w:rsidR="004756C1" w:rsidRPr="002F50BD">
        <w:rPr>
          <w:rFonts w:ascii="Verdana" w:hAnsi="Verdana"/>
          <w:sz w:val="16"/>
          <w:lang w:val="pt-BR"/>
        </w:rPr>
        <w:t xml:space="preserve"> porque</w:t>
      </w:r>
      <w:r w:rsidR="004076AD" w:rsidRPr="002F50BD">
        <w:rPr>
          <w:rFonts w:ascii="Verdana" w:hAnsi="Verdana"/>
          <w:sz w:val="16"/>
          <w:lang w:val="pt-BR"/>
        </w:rPr>
        <w:t xml:space="preserve"> havia </w:t>
      </w:r>
      <w:r w:rsidRPr="002F50BD">
        <w:rPr>
          <w:rFonts w:ascii="Verdana" w:hAnsi="Verdana"/>
          <w:sz w:val="16"/>
          <w:lang w:val="pt-BR"/>
        </w:rPr>
        <w:t>muito</w:t>
      </w:r>
      <w:r w:rsidR="004756C1" w:rsidRPr="002F50BD">
        <w:rPr>
          <w:rFonts w:ascii="Verdana" w:hAnsi="Verdana"/>
          <w:sz w:val="16"/>
          <w:lang w:val="pt-BR"/>
        </w:rPr>
        <w:t xml:space="preserve">s </w:t>
      </w:r>
      <w:r w:rsidR="00AB6727" w:rsidRPr="002F50BD">
        <w:rPr>
          <w:rFonts w:ascii="Verdana" w:hAnsi="Verdana"/>
          <w:sz w:val="16"/>
          <w:lang w:val="pt-BR"/>
        </w:rPr>
        <w:t>xamãs</w:t>
      </w:r>
      <w:r w:rsidR="004756C1" w:rsidRPr="002F50BD">
        <w:rPr>
          <w:rFonts w:ascii="Verdana" w:hAnsi="Verdana"/>
          <w:sz w:val="16"/>
          <w:lang w:val="pt-BR"/>
        </w:rPr>
        <w:t xml:space="preserve"> entre </w:t>
      </w:r>
      <w:r w:rsidR="008B1D76" w:rsidRPr="002F50BD">
        <w:rPr>
          <w:rFonts w:ascii="Verdana" w:hAnsi="Verdana"/>
          <w:sz w:val="16"/>
          <w:lang w:val="pt-BR"/>
        </w:rPr>
        <w:t>nós</w:t>
      </w:r>
      <w:r w:rsidR="004756C1" w:rsidRPr="002F50BD">
        <w:rPr>
          <w:rFonts w:ascii="Verdana" w:hAnsi="Verdana"/>
          <w:sz w:val="16"/>
          <w:lang w:val="pt-BR"/>
        </w:rPr>
        <w:t>, por</w:t>
      </w:r>
      <w:r w:rsidR="00313394" w:rsidRPr="002F50BD">
        <w:rPr>
          <w:rFonts w:ascii="Verdana" w:hAnsi="Verdana"/>
          <w:sz w:val="16"/>
          <w:lang w:val="pt-BR"/>
        </w:rPr>
        <w:t xml:space="preserve"> isso </w:t>
      </w:r>
      <w:r w:rsidR="004756C1" w:rsidRPr="002F50BD">
        <w:rPr>
          <w:rFonts w:ascii="Verdana" w:hAnsi="Verdana"/>
          <w:sz w:val="16"/>
          <w:lang w:val="pt-BR"/>
        </w:rPr>
        <w:t>nece</w:t>
      </w:r>
      <w:r w:rsidR="008B1D76" w:rsidRPr="002F50BD">
        <w:rPr>
          <w:rFonts w:ascii="Verdana" w:hAnsi="Verdana"/>
          <w:sz w:val="16"/>
          <w:lang w:val="pt-BR"/>
        </w:rPr>
        <w:t>s</w:t>
      </w:r>
      <w:r w:rsidR="004756C1" w:rsidRPr="002F50BD">
        <w:rPr>
          <w:rFonts w:ascii="Verdana" w:hAnsi="Verdana"/>
          <w:sz w:val="16"/>
          <w:lang w:val="pt-BR"/>
        </w:rPr>
        <w:t>sitamos, requer</w:t>
      </w:r>
      <w:r w:rsidR="008B1D76" w:rsidRPr="002F50BD">
        <w:rPr>
          <w:rFonts w:ascii="Verdana" w:hAnsi="Verdana"/>
          <w:sz w:val="16"/>
          <w:lang w:val="pt-BR"/>
        </w:rPr>
        <w:t>e</w:t>
      </w:r>
      <w:r w:rsidR="004756C1" w:rsidRPr="002F50BD">
        <w:rPr>
          <w:rFonts w:ascii="Verdana" w:hAnsi="Verdana"/>
          <w:sz w:val="16"/>
          <w:lang w:val="pt-BR"/>
        </w:rPr>
        <w:t>mos</w:t>
      </w:r>
      <w:r w:rsidRPr="002F50BD">
        <w:rPr>
          <w:rFonts w:ascii="Verdana" w:hAnsi="Verdana"/>
          <w:sz w:val="16"/>
          <w:lang w:val="pt-BR"/>
        </w:rPr>
        <w:t xml:space="preserve"> ter o </w:t>
      </w:r>
      <w:r w:rsidR="008B1D76" w:rsidRPr="002F50BD">
        <w:rPr>
          <w:rFonts w:ascii="Verdana" w:hAnsi="Verdana"/>
          <w:sz w:val="16"/>
          <w:lang w:val="pt-BR"/>
        </w:rPr>
        <w:t xml:space="preserve">nosso </w:t>
      </w:r>
      <w:r w:rsidRPr="002F50BD">
        <w:rPr>
          <w:rFonts w:ascii="Verdana" w:hAnsi="Verdana"/>
          <w:sz w:val="16"/>
          <w:lang w:val="pt-BR"/>
        </w:rPr>
        <w:t>território</w:t>
      </w:r>
      <w:r w:rsidR="004756C1" w:rsidRPr="002F50BD">
        <w:rPr>
          <w:rFonts w:ascii="Verdana" w:hAnsi="Verdana"/>
          <w:sz w:val="16"/>
          <w:lang w:val="pt-BR"/>
        </w:rPr>
        <w:t xml:space="preserve"> […] para seguir praticando</w:t>
      </w:r>
      <w:r w:rsidRPr="002F50BD">
        <w:rPr>
          <w:rFonts w:ascii="Verdana" w:hAnsi="Verdana"/>
          <w:sz w:val="16"/>
          <w:lang w:val="pt-BR"/>
        </w:rPr>
        <w:t xml:space="preserve"> a </w:t>
      </w:r>
      <w:r w:rsidR="008B1D76" w:rsidRPr="002F50BD">
        <w:rPr>
          <w:rFonts w:ascii="Verdana" w:hAnsi="Verdana"/>
          <w:sz w:val="16"/>
          <w:lang w:val="pt-BR"/>
        </w:rPr>
        <w:t xml:space="preserve">nossa </w:t>
      </w:r>
      <w:r w:rsidR="004756C1" w:rsidRPr="002F50BD">
        <w:rPr>
          <w:rFonts w:ascii="Verdana" w:hAnsi="Verdana"/>
          <w:sz w:val="16"/>
          <w:lang w:val="pt-BR"/>
        </w:rPr>
        <w:t>cultura.</w:t>
      </w:r>
    </w:p>
    <w:p w:rsidR="00F46680" w:rsidRPr="002F50BD" w:rsidRDefault="00F46680" w:rsidP="00F46680">
      <w:pPr>
        <w:jc w:val="both"/>
        <w:rPr>
          <w:rFonts w:ascii="Verdana" w:hAnsi="Verdana"/>
          <w:sz w:val="20"/>
          <w:szCs w:val="32"/>
          <w:lang w:val="pt-BR"/>
        </w:rPr>
      </w:pPr>
    </w:p>
    <w:p w:rsidR="004756C1" w:rsidRPr="002F50BD" w:rsidRDefault="0089298C">
      <w:pPr>
        <w:numPr>
          <w:ilvl w:val="0"/>
          <w:numId w:val="28"/>
        </w:numPr>
        <w:jc w:val="both"/>
        <w:rPr>
          <w:rFonts w:ascii="Verdana" w:hAnsi="Verdana"/>
          <w:sz w:val="20"/>
          <w:szCs w:val="32"/>
          <w:lang w:val="pt-BR"/>
        </w:rPr>
      </w:pPr>
      <w:r w:rsidRPr="002F50BD">
        <w:rPr>
          <w:rFonts w:ascii="Verdana" w:hAnsi="Verdana"/>
          <w:sz w:val="20"/>
          <w:szCs w:val="32"/>
          <w:lang w:val="pt-BR"/>
        </w:rPr>
        <w:t xml:space="preserve">A </w:t>
      </w:r>
      <w:r w:rsidR="004756C1" w:rsidRPr="002F50BD">
        <w:rPr>
          <w:rFonts w:ascii="Verdana" w:hAnsi="Verdana"/>
          <w:sz w:val="20"/>
          <w:szCs w:val="32"/>
          <w:lang w:val="pt-BR"/>
        </w:rPr>
        <w:t>cultura</w:t>
      </w:r>
      <w:r w:rsidRPr="002F50BD">
        <w:rPr>
          <w:rFonts w:ascii="Verdana" w:hAnsi="Verdana"/>
          <w:sz w:val="20"/>
          <w:szCs w:val="32"/>
          <w:lang w:val="pt-BR"/>
        </w:rPr>
        <w:t xml:space="preserve"> dos membro</w:t>
      </w:r>
      <w:r w:rsidR="004756C1" w:rsidRPr="002F50BD">
        <w:rPr>
          <w:rFonts w:ascii="Verdana" w:hAnsi="Verdana"/>
          <w:sz w:val="20"/>
          <w:szCs w:val="32"/>
          <w:lang w:val="pt-BR"/>
        </w:rPr>
        <w:t>s</w:t>
      </w:r>
      <w:r w:rsidRPr="002F50BD">
        <w:rPr>
          <w:rFonts w:ascii="Verdana" w:hAnsi="Verdana"/>
          <w:sz w:val="20"/>
          <w:szCs w:val="32"/>
          <w:lang w:val="pt-BR"/>
        </w:rPr>
        <w:t xml:space="preserve"> das </w:t>
      </w:r>
      <w:r w:rsidR="004756C1" w:rsidRPr="002F50BD">
        <w:rPr>
          <w:rFonts w:ascii="Verdana" w:hAnsi="Verdana"/>
          <w:sz w:val="20"/>
          <w:szCs w:val="32"/>
          <w:lang w:val="pt-BR"/>
        </w:rPr>
        <w:t>comunidades indígenas correspon</w:t>
      </w:r>
      <w:r w:rsidRPr="002F50BD">
        <w:rPr>
          <w:rFonts w:ascii="Verdana" w:hAnsi="Verdana"/>
          <w:sz w:val="20"/>
          <w:szCs w:val="32"/>
          <w:lang w:val="pt-BR"/>
        </w:rPr>
        <w:t>d</w:t>
      </w:r>
      <w:r w:rsidR="008B1D76" w:rsidRPr="002F50BD">
        <w:rPr>
          <w:rFonts w:ascii="Verdana" w:hAnsi="Verdana"/>
          <w:sz w:val="20"/>
          <w:szCs w:val="32"/>
          <w:lang w:val="pt-BR"/>
        </w:rPr>
        <w:t xml:space="preserve">e </w:t>
      </w:r>
      <w:r w:rsidRPr="002F50BD">
        <w:rPr>
          <w:rFonts w:ascii="Verdana" w:hAnsi="Verdana"/>
          <w:sz w:val="20"/>
          <w:szCs w:val="32"/>
          <w:lang w:val="pt-BR"/>
        </w:rPr>
        <w:t xml:space="preserve">a uma </w:t>
      </w:r>
      <w:r w:rsidR="004756C1" w:rsidRPr="002F50BD">
        <w:rPr>
          <w:rFonts w:ascii="Verdana" w:hAnsi="Verdana"/>
          <w:sz w:val="20"/>
          <w:szCs w:val="32"/>
          <w:lang w:val="pt-BR"/>
        </w:rPr>
        <w:t xml:space="preserve">forma de vida particular de ser, </w:t>
      </w:r>
      <w:r w:rsidR="008B1D76" w:rsidRPr="002F50BD">
        <w:rPr>
          <w:rFonts w:ascii="Verdana" w:hAnsi="Verdana"/>
          <w:sz w:val="20"/>
          <w:szCs w:val="32"/>
          <w:lang w:val="pt-BR"/>
        </w:rPr>
        <w:t xml:space="preserve">de </w:t>
      </w:r>
      <w:r w:rsidR="004756C1" w:rsidRPr="002F50BD">
        <w:rPr>
          <w:rFonts w:ascii="Verdana" w:hAnsi="Verdana"/>
          <w:sz w:val="20"/>
          <w:szCs w:val="32"/>
          <w:lang w:val="pt-BR"/>
        </w:rPr>
        <w:t>ver</w:t>
      </w:r>
      <w:r w:rsidRPr="002F50BD">
        <w:rPr>
          <w:rFonts w:ascii="Verdana" w:hAnsi="Verdana"/>
          <w:sz w:val="20"/>
          <w:szCs w:val="32"/>
          <w:lang w:val="pt-BR"/>
        </w:rPr>
        <w:t xml:space="preserve"> e </w:t>
      </w:r>
      <w:r w:rsidR="008B1D76" w:rsidRPr="002F50BD">
        <w:rPr>
          <w:rFonts w:ascii="Verdana" w:hAnsi="Verdana"/>
          <w:sz w:val="20"/>
          <w:szCs w:val="32"/>
          <w:lang w:val="pt-BR"/>
        </w:rPr>
        <w:t xml:space="preserve">de </w:t>
      </w:r>
      <w:r w:rsidRPr="002F50BD">
        <w:rPr>
          <w:rFonts w:ascii="Verdana" w:hAnsi="Verdana"/>
          <w:sz w:val="20"/>
          <w:szCs w:val="32"/>
          <w:lang w:val="pt-BR"/>
        </w:rPr>
        <w:t xml:space="preserve">atuar no </w:t>
      </w:r>
      <w:r w:rsidR="004756C1" w:rsidRPr="002F50BD">
        <w:rPr>
          <w:rFonts w:ascii="Verdana" w:hAnsi="Verdana"/>
          <w:sz w:val="20"/>
          <w:szCs w:val="32"/>
          <w:lang w:val="pt-BR"/>
        </w:rPr>
        <w:t xml:space="preserve">mundo, </w:t>
      </w:r>
      <w:r w:rsidR="008B1D76" w:rsidRPr="002F50BD">
        <w:rPr>
          <w:rFonts w:ascii="Verdana" w:hAnsi="Verdana"/>
          <w:sz w:val="20"/>
          <w:szCs w:val="32"/>
          <w:lang w:val="pt-BR"/>
        </w:rPr>
        <w:t xml:space="preserve">constituído </w:t>
      </w:r>
      <w:r w:rsidR="004756C1" w:rsidRPr="002F50BD">
        <w:rPr>
          <w:rFonts w:ascii="Verdana" w:hAnsi="Verdana"/>
          <w:sz w:val="20"/>
          <w:szCs w:val="32"/>
          <w:lang w:val="pt-BR"/>
        </w:rPr>
        <w:t>a partir de su</w:t>
      </w:r>
      <w:r w:rsidR="008B1D76" w:rsidRPr="002F50BD">
        <w:rPr>
          <w:rFonts w:ascii="Verdana" w:hAnsi="Verdana"/>
          <w:sz w:val="20"/>
          <w:szCs w:val="32"/>
          <w:lang w:val="pt-BR"/>
        </w:rPr>
        <w:t>a</w:t>
      </w:r>
      <w:r w:rsidR="004756C1" w:rsidRPr="002F50BD">
        <w:rPr>
          <w:rFonts w:ascii="Verdana" w:hAnsi="Verdana"/>
          <w:sz w:val="20"/>
          <w:szCs w:val="32"/>
          <w:lang w:val="pt-BR"/>
        </w:rPr>
        <w:t xml:space="preserve"> </w:t>
      </w:r>
      <w:r w:rsidRPr="002F50BD">
        <w:rPr>
          <w:rFonts w:ascii="Verdana" w:hAnsi="Verdana"/>
          <w:sz w:val="20"/>
          <w:szCs w:val="32"/>
          <w:lang w:val="pt-BR"/>
        </w:rPr>
        <w:t>estreit</w:t>
      </w:r>
      <w:r w:rsidR="004756C1" w:rsidRPr="002F50BD">
        <w:rPr>
          <w:rFonts w:ascii="Verdana" w:hAnsi="Verdana"/>
          <w:sz w:val="20"/>
          <w:szCs w:val="32"/>
          <w:lang w:val="pt-BR"/>
        </w:rPr>
        <w:t>a rela</w:t>
      </w:r>
      <w:r w:rsidRPr="002F50BD">
        <w:rPr>
          <w:rFonts w:ascii="Verdana" w:hAnsi="Verdana"/>
          <w:sz w:val="20"/>
          <w:szCs w:val="32"/>
          <w:lang w:val="pt-BR"/>
        </w:rPr>
        <w:t xml:space="preserve">ção com </w:t>
      </w:r>
      <w:r w:rsidR="00385366" w:rsidRPr="002F50BD">
        <w:rPr>
          <w:rFonts w:ascii="Verdana" w:hAnsi="Verdana"/>
          <w:sz w:val="20"/>
          <w:szCs w:val="32"/>
          <w:lang w:val="pt-BR"/>
        </w:rPr>
        <w:t>seus territórios</w:t>
      </w:r>
      <w:r w:rsidR="004756C1" w:rsidRPr="002F50BD">
        <w:rPr>
          <w:rFonts w:ascii="Verdana" w:hAnsi="Verdana"/>
          <w:sz w:val="20"/>
          <w:szCs w:val="32"/>
          <w:lang w:val="pt-BR"/>
        </w:rPr>
        <w:t xml:space="preserve"> tr</w:t>
      </w:r>
      <w:r w:rsidRPr="002F50BD">
        <w:rPr>
          <w:rFonts w:ascii="Verdana" w:hAnsi="Verdana"/>
          <w:sz w:val="20"/>
          <w:szCs w:val="32"/>
          <w:lang w:val="pt-BR"/>
        </w:rPr>
        <w:t xml:space="preserve">adicionais e os </w:t>
      </w:r>
      <w:r w:rsidR="004756C1" w:rsidRPr="002F50BD">
        <w:rPr>
          <w:rFonts w:ascii="Verdana" w:hAnsi="Verdana"/>
          <w:sz w:val="20"/>
          <w:szCs w:val="32"/>
          <w:lang w:val="pt-BR"/>
        </w:rPr>
        <w:t xml:space="preserve">recursos que </w:t>
      </w:r>
      <w:r w:rsidR="004076AD" w:rsidRPr="002F50BD">
        <w:rPr>
          <w:rFonts w:ascii="Verdana" w:hAnsi="Verdana"/>
          <w:sz w:val="20"/>
          <w:szCs w:val="32"/>
          <w:lang w:val="pt-BR"/>
        </w:rPr>
        <w:t>ali</w:t>
      </w:r>
      <w:r w:rsidR="004756C1" w:rsidRPr="002F50BD">
        <w:rPr>
          <w:rFonts w:ascii="Verdana" w:hAnsi="Verdana"/>
          <w:sz w:val="20"/>
          <w:szCs w:val="32"/>
          <w:lang w:val="pt-BR"/>
        </w:rPr>
        <w:t xml:space="preserve"> se </w:t>
      </w:r>
      <w:r w:rsidRPr="002F50BD">
        <w:rPr>
          <w:rFonts w:ascii="Verdana" w:hAnsi="Verdana"/>
          <w:sz w:val="20"/>
          <w:szCs w:val="32"/>
          <w:lang w:val="pt-BR"/>
        </w:rPr>
        <w:t>encontram</w:t>
      </w:r>
      <w:r w:rsidR="004756C1" w:rsidRPr="002F50BD">
        <w:rPr>
          <w:rFonts w:ascii="Verdana" w:hAnsi="Verdana"/>
          <w:sz w:val="20"/>
          <w:szCs w:val="32"/>
          <w:lang w:val="pt-BR"/>
        </w:rPr>
        <w:t>,</w:t>
      </w:r>
      <w:r w:rsidR="00AB454A" w:rsidRPr="002F50BD">
        <w:rPr>
          <w:rFonts w:ascii="Verdana" w:hAnsi="Verdana"/>
          <w:sz w:val="20"/>
          <w:szCs w:val="32"/>
          <w:lang w:val="pt-BR"/>
        </w:rPr>
        <w:t xml:space="preserve"> não apenas</w:t>
      </w:r>
      <w:r w:rsidR="004756C1" w:rsidRPr="002F50BD">
        <w:rPr>
          <w:rFonts w:ascii="Verdana" w:hAnsi="Verdana"/>
          <w:sz w:val="20"/>
          <w:szCs w:val="32"/>
          <w:lang w:val="pt-BR"/>
        </w:rPr>
        <w:t xml:space="preserve"> por ser</w:t>
      </w:r>
      <w:r w:rsidR="008B1D76" w:rsidRPr="002F50BD">
        <w:rPr>
          <w:rFonts w:ascii="Verdana" w:hAnsi="Verdana"/>
          <w:sz w:val="20"/>
          <w:szCs w:val="32"/>
          <w:lang w:val="pt-BR"/>
        </w:rPr>
        <w:t>em</w:t>
      </w:r>
      <w:r w:rsidRPr="002F50BD">
        <w:rPr>
          <w:rFonts w:ascii="Verdana" w:hAnsi="Verdana"/>
          <w:sz w:val="20"/>
          <w:szCs w:val="32"/>
          <w:lang w:val="pt-BR"/>
        </w:rPr>
        <w:t xml:space="preserve"> estes </w:t>
      </w:r>
      <w:r w:rsidR="004756C1" w:rsidRPr="002F50BD">
        <w:rPr>
          <w:rFonts w:ascii="Verdana" w:hAnsi="Verdana"/>
          <w:sz w:val="20"/>
          <w:szCs w:val="32"/>
          <w:lang w:val="pt-BR"/>
        </w:rPr>
        <w:t>s</w:t>
      </w:r>
      <w:r w:rsidR="008B1D76" w:rsidRPr="002F50BD">
        <w:rPr>
          <w:rFonts w:ascii="Verdana" w:hAnsi="Verdana"/>
          <w:sz w:val="20"/>
          <w:szCs w:val="32"/>
          <w:lang w:val="pt-BR"/>
        </w:rPr>
        <w:t>e</w:t>
      </w:r>
      <w:r w:rsidR="004756C1" w:rsidRPr="002F50BD">
        <w:rPr>
          <w:rFonts w:ascii="Verdana" w:hAnsi="Verdana"/>
          <w:sz w:val="20"/>
          <w:szCs w:val="32"/>
          <w:lang w:val="pt-BR"/>
        </w:rPr>
        <w:t xml:space="preserve">u principal </w:t>
      </w:r>
      <w:r w:rsidRPr="002F50BD">
        <w:rPr>
          <w:rFonts w:ascii="Verdana" w:hAnsi="Verdana"/>
          <w:sz w:val="20"/>
          <w:szCs w:val="32"/>
          <w:lang w:val="pt-BR"/>
        </w:rPr>
        <w:t xml:space="preserve">meio </w:t>
      </w:r>
      <w:r w:rsidR="004756C1" w:rsidRPr="002F50BD">
        <w:rPr>
          <w:rFonts w:ascii="Verdana" w:hAnsi="Verdana"/>
          <w:sz w:val="20"/>
          <w:szCs w:val="32"/>
          <w:lang w:val="pt-BR"/>
        </w:rPr>
        <w:t xml:space="preserve">de </w:t>
      </w:r>
      <w:r w:rsidRPr="002F50BD">
        <w:rPr>
          <w:rFonts w:ascii="Verdana" w:hAnsi="Verdana"/>
          <w:sz w:val="20"/>
          <w:szCs w:val="32"/>
          <w:lang w:val="pt-BR"/>
        </w:rPr>
        <w:t>subsistência</w:t>
      </w:r>
      <w:r w:rsidR="004756C1" w:rsidRPr="002F50BD">
        <w:rPr>
          <w:rFonts w:ascii="Verdana" w:hAnsi="Verdana"/>
          <w:sz w:val="20"/>
          <w:szCs w:val="32"/>
          <w:lang w:val="pt-BR"/>
        </w:rPr>
        <w:t>,</w:t>
      </w:r>
      <w:r w:rsidRPr="002F50BD">
        <w:rPr>
          <w:rFonts w:ascii="Verdana" w:hAnsi="Verdana"/>
          <w:sz w:val="20"/>
          <w:szCs w:val="32"/>
          <w:lang w:val="pt-BR"/>
        </w:rPr>
        <w:t xml:space="preserve"> mas </w:t>
      </w:r>
      <w:r w:rsidR="008B1D76" w:rsidRPr="002F50BD">
        <w:rPr>
          <w:rFonts w:ascii="Verdana" w:hAnsi="Verdana"/>
          <w:sz w:val="20"/>
          <w:szCs w:val="32"/>
          <w:lang w:val="pt-BR"/>
        </w:rPr>
        <w:t xml:space="preserve">também </w:t>
      </w:r>
      <w:r w:rsidR="004756C1" w:rsidRPr="002F50BD">
        <w:rPr>
          <w:rFonts w:ascii="Verdana" w:hAnsi="Verdana"/>
          <w:sz w:val="20"/>
          <w:szCs w:val="32"/>
          <w:lang w:val="pt-BR"/>
        </w:rPr>
        <w:t xml:space="preserve">porque </w:t>
      </w:r>
      <w:r w:rsidRPr="002F50BD">
        <w:rPr>
          <w:rFonts w:ascii="Verdana" w:hAnsi="Verdana"/>
          <w:sz w:val="20"/>
          <w:szCs w:val="32"/>
          <w:lang w:val="pt-BR"/>
        </w:rPr>
        <w:t>constitu</w:t>
      </w:r>
      <w:r w:rsidR="008B1D76" w:rsidRPr="002F50BD">
        <w:rPr>
          <w:rFonts w:ascii="Verdana" w:hAnsi="Verdana"/>
          <w:sz w:val="20"/>
          <w:szCs w:val="32"/>
          <w:lang w:val="pt-BR"/>
        </w:rPr>
        <w:t>em</w:t>
      </w:r>
      <w:r w:rsidRPr="002F50BD">
        <w:rPr>
          <w:rFonts w:ascii="Verdana" w:hAnsi="Verdana"/>
          <w:sz w:val="20"/>
          <w:szCs w:val="32"/>
          <w:lang w:val="pt-BR"/>
        </w:rPr>
        <w:t xml:space="preserve"> um </w:t>
      </w:r>
      <w:r w:rsidR="004756C1" w:rsidRPr="002F50BD">
        <w:rPr>
          <w:rFonts w:ascii="Verdana" w:hAnsi="Verdana"/>
          <w:sz w:val="20"/>
          <w:szCs w:val="32"/>
          <w:lang w:val="pt-BR"/>
        </w:rPr>
        <w:t>elemento integrante de su</w:t>
      </w:r>
      <w:r w:rsidR="008B1D76" w:rsidRPr="002F50BD">
        <w:rPr>
          <w:rFonts w:ascii="Verdana" w:hAnsi="Verdana"/>
          <w:sz w:val="20"/>
          <w:szCs w:val="32"/>
          <w:lang w:val="pt-BR"/>
        </w:rPr>
        <w:t>a</w:t>
      </w:r>
      <w:r w:rsidR="004756C1" w:rsidRPr="002F50BD">
        <w:rPr>
          <w:rFonts w:ascii="Verdana" w:hAnsi="Verdana"/>
          <w:sz w:val="20"/>
          <w:szCs w:val="32"/>
          <w:lang w:val="pt-BR"/>
        </w:rPr>
        <w:t xml:space="preserve"> cosmo</w:t>
      </w:r>
      <w:r w:rsidR="008B1D76" w:rsidRPr="002F50BD">
        <w:rPr>
          <w:rFonts w:ascii="Verdana" w:hAnsi="Verdana"/>
          <w:sz w:val="20"/>
          <w:szCs w:val="32"/>
          <w:lang w:val="pt-BR"/>
        </w:rPr>
        <w:t>visão</w:t>
      </w:r>
      <w:r w:rsidR="004756C1" w:rsidRPr="002F50BD">
        <w:rPr>
          <w:rFonts w:ascii="Verdana" w:hAnsi="Verdana"/>
          <w:sz w:val="20"/>
          <w:szCs w:val="32"/>
          <w:lang w:val="pt-BR"/>
        </w:rPr>
        <w:t>, religiosidad</w:t>
      </w:r>
      <w:r w:rsidR="008B1D76" w:rsidRPr="002F50BD">
        <w:rPr>
          <w:rFonts w:ascii="Verdana" w:hAnsi="Verdana"/>
          <w:sz w:val="20"/>
          <w:szCs w:val="32"/>
          <w:lang w:val="pt-BR"/>
        </w:rPr>
        <w:t>e</w:t>
      </w:r>
      <w:r w:rsidRPr="002F50BD">
        <w:rPr>
          <w:rFonts w:ascii="Verdana" w:hAnsi="Verdana"/>
          <w:sz w:val="20"/>
          <w:szCs w:val="32"/>
          <w:lang w:val="pt-BR"/>
        </w:rPr>
        <w:t xml:space="preserve"> e, deste modo</w:t>
      </w:r>
      <w:r w:rsidR="004756C1" w:rsidRPr="002F50BD">
        <w:rPr>
          <w:rFonts w:ascii="Verdana" w:hAnsi="Verdana"/>
          <w:sz w:val="20"/>
          <w:szCs w:val="32"/>
          <w:lang w:val="pt-BR"/>
        </w:rPr>
        <w:t xml:space="preserve">, de </w:t>
      </w:r>
      <w:r w:rsidRPr="002F50BD">
        <w:rPr>
          <w:rFonts w:ascii="Verdana" w:hAnsi="Verdana"/>
          <w:sz w:val="20"/>
          <w:szCs w:val="32"/>
          <w:lang w:val="pt-BR"/>
        </w:rPr>
        <w:t xml:space="preserve">sua identidade </w:t>
      </w:r>
      <w:r w:rsidR="004756C1" w:rsidRPr="002F50BD">
        <w:rPr>
          <w:rFonts w:ascii="Verdana" w:hAnsi="Verdana"/>
          <w:sz w:val="20"/>
          <w:szCs w:val="32"/>
          <w:lang w:val="pt-BR"/>
        </w:rPr>
        <w:t>cultural.</w:t>
      </w:r>
    </w:p>
    <w:p w:rsidR="004756C1" w:rsidRPr="002F50BD" w:rsidRDefault="004756C1">
      <w:pPr>
        <w:jc w:val="both"/>
        <w:rPr>
          <w:rFonts w:ascii="Verdana" w:hAnsi="Verdana"/>
          <w:sz w:val="20"/>
          <w:szCs w:val="32"/>
          <w:lang w:val="pt-BR"/>
        </w:rPr>
      </w:pPr>
    </w:p>
    <w:p w:rsidR="004756C1" w:rsidRPr="002F50BD" w:rsidRDefault="008B1D76" w:rsidP="008B1D76">
      <w:pPr>
        <w:numPr>
          <w:ilvl w:val="0"/>
          <w:numId w:val="28"/>
        </w:numPr>
        <w:jc w:val="both"/>
        <w:rPr>
          <w:rFonts w:ascii="Verdana" w:hAnsi="Verdana"/>
          <w:sz w:val="20"/>
          <w:szCs w:val="26"/>
          <w:lang w:val="pt-BR"/>
        </w:rPr>
      </w:pPr>
      <w:r w:rsidRPr="002F50BD">
        <w:rPr>
          <w:rFonts w:ascii="Verdana" w:hAnsi="Verdana"/>
          <w:sz w:val="20"/>
          <w:szCs w:val="32"/>
          <w:lang w:val="pt-BR"/>
        </w:rPr>
        <w:t>O</w:t>
      </w:r>
      <w:r w:rsidR="004756C1" w:rsidRPr="002F50BD">
        <w:rPr>
          <w:rFonts w:ascii="Verdana" w:hAnsi="Verdana"/>
          <w:sz w:val="20"/>
          <w:szCs w:val="32"/>
          <w:lang w:val="pt-BR"/>
        </w:rPr>
        <w:t xml:space="preserve"> </w:t>
      </w:r>
      <w:r w:rsidR="00392598" w:rsidRPr="002F50BD">
        <w:rPr>
          <w:rFonts w:ascii="Verdana" w:hAnsi="Verdana"/>
          <w:sz w:val="20"/>
          <w:szCs w:val="32"/>
          <w:lang w:val="pt-BR"/>
        </w:rPr>
        <w:t xml:space="preserve">exposto </w:t>
      </w:r>
      <w:r w:rsidR="004756C1" w:rsidRPr="002F50BD">
        <w:rPr>
          <w:rFonts w:ascii="Verdana" w:hAnsi="Verdana"/>
          <w:sz w:val="20"/>
          <w:szCs w:val="32"/>
          <w:lang w:val="pt-BR"/>
        </w:rPr>
        <w:t>anterior</w:t>
      </w:r>
      <w:r w:rsidR="00392598" w:rsidRPr="002F50BD">
        <w:rPr>
          <w:rFonts w:ascii="Verdana" w:hAnsi="Verdana"/>
          <w:sz w:val="20"/>
          <w:szCs w:val="32"/>
          <w:lang w:val="pt-BR"/>
        </w:rPr>
        <w:t>mente</w:t>
      </w:r>
      <w:r w:rsidR="004756C1" w:rsidRPr="002F50BD">
        <w:rPr>
          <w:rFonts w:ascii="Verdana" w:hAnsi="Verdana"/>
          <w:sz w:val="20"/>
          <w:szCs w:val="32"/>
          <w:lang w:val="pt-BR"/>
        </w:rPr>
        <w:t xml:space="preserve"> </w:t>
      </w:r>
      <w:r w:rsidRPr="002F50BD">
        <w:rPr>
          <w:rFonts w:ascii="Verdana" w:hAnsi="Verdana"/>
          <w:sz w:val="20"/>
          <w:szCs w:val="32"/>
          <w:lang w:val="pt-BR"/>
        </w:rPr>
        <w:t xml:space="preserve">tem </w:t>
      </w:r>
      <w:r w:rsidR="004756C1" w:rsidRPr="002F50BD">
        <w:rPr>
          <w:rFonts w:ascii="Verdana" w:hAnsi="Verdana"/>
          <w:sz w:val="20"/>
          <w:szCs w:val="32"/>
          <w:lang w:val="pt-BR"/>
        </w:rPr>
        <w:t>rela</w:t>
      </w:r>
      <w:r w:rsidR="0089298C" w:rsidRPr="002F50BD">
        <w:rPr>
          <w:rFonts w:ascii="Verdana" w:hAnsi="Verdana"/>
          <w:sz w:val="20"/>
          <w:szCs w:val="32"/>
          <w:lang w:val="pt-BR"/>
        </w:rPr>
        <w:t xml:space="preserve">ção com </w:t>
      </w:r>
      <w:r w:rsidR="004756C1" w:rsidRPr="002F50BD">
        <w:rPr>
          <w:rFonts w:ascii="Verdana" w:hAnsi="Verdana"/>
          <w:sz w:val="20"/>
          <w:szCs w:val="32"/>
          <w:lang w:val="pt-BR"/>
        </w:rPr>
        <w:t xml:space="preserve">o </w:t>
      </w:r>
      <w:r w:rsidR="0089298C" w:rsidRPr="002F50BD">
        <w:rPr>
          <w:rFonts w:ascii="Verdana" w:hAnsi="Verdana"/>
          <w:sz w:val="20"/>
          <w:szCs w:val="32"/>
          <w:lang w:val="pt-BR"/>
        </w:rPr>
        <w:t>express</w:t>
      </w:r>
      <w:r w:rsidR="007565F2" w:rsidRPr="002F50BD">
        <w:rPr>
          <w:rFonts w:ascii="Verdana" w:hAnsi="Verdana"/>
          <w:sz w:val="20"/>
          <w:szCs w:val="32"/>
          <w:lang w:val="pt-BR"/>
        </w:rPr>
        <w:t>o</w:t>
      </w:r>
      <w:r w:rsidR="0089298C" w:rsidRPr="002F50BD">
        <w:rPr>
          <w:rFonts w:ascii="Verdana" w:hAnsi="Verdana"/>
          <w:sz w:val="20"/>
          <w:szCs w:val="32"/>
          <w:lang w:val="pt-BR"/>
        </w:rPr>
        <w:t xml:space="preserve"> no artigo</w:t>
      </w:r>
      <w:r w:rsidR="004756C1" w:rsidRPr="002F50BD">
        <w:rPr>
          <w:rFonts w:ascii="Verdana" w:hAnsi="Verdana"/>
          <w:sz w:val="20"/>
          <w:szCs w:val="32"/>
          <w:lang w:val="pt-BR"/>
        </w:rPr>
        <w:t xml:space="preserve"> </w:t>
      </w:r>
      <w:r w:rsidR="00063B47" w:rsidRPr="002F50BD">
        <w:rPr>
          <w:rFonts w:ascii="Verdana" w:hAnsi="Verdana"/>
          <w:sz w:val="20"/>
          <w:szCs w:val="32"/>
          <w:lang w:val="pt-BR"/>
        </w:rPr>
        <w:t>13</w:t>
      </w:r>
      <w:r w:rsidR="004756C1" w:rsidRPr="002F50BD">
        <w:rPr>
          <w:rFonts w:ascii="Verdana" w:hAnsi="Verdana"/>
          <w:sz w:val="20"/>
          <w:szCs w:val="32"/>
          <w:lang w:val="pt-BR"/>
        </w:rPr>
        <w:t xml:space="preserve"> </w:t>
      </w:r>
      <w:r w:rsidR="0089298C" w:rsidRPr="002F50BD">
        <w:rPr>
          <w:rFonts w:ascii="Verdana" w:hAnsi="Verdana"/>
          <w:sz w:val="20"/>
          <w:szCs w:val="32"/>
          <w:lang w:val="pt-BR"/>
        </w:rPr>
        <w:t>d</w:t>
      </w:r>
      <w:r w:rsidR="007043AA" w:rsidRPr="002F50BD">
        <w:rPr>
          <w:rFonts w:ascii="Verdana" w:hAnsi="Verdana"/>
          <w:sz w:val="20"/>
          <w:szCs w:val="32"/>
          <w:lang w:val="pt-BR"/>
        </w:rPr>
        <w:t>a Convenção</w:t>
      </w:r>
      <w:r w:rsidR="00FC6B22" w:rsidRPr="002F50BD">
        <w:rPr>
          <w:rFonts w:ascii="Verdana" w:hAnsi="Verdana"/>
          <w:sz w:val="20"/>
          <w:szCs w:val="32"/>
          <w:lang w:val="pt-BR"/>
        </w:rPr>
        <w:t xml:space="preserve"> </w:t>
      </w:r>
      <w:r w:rsidR="00063B47" w:rsidRPr="002F50BD">
        <w:rPr>
          <w:rFonts w:ascii="Verdana" w:hAnsi="Verdana"/>
          <w:sz w:val="20"/>
          <w:szCs w:val="32"/>
          <w:lang w:val="pt-BR"/>
        </w:rPr>
        <w:t>nº</w:t>
      </w:r>
      <w:r w:rsidR="00FC6B22" w:rsidRPr="002F50BD">
        <w:rPr>
          <w:rFonts w:ascii="Verdana" w:hAnsi="Verdana"/>
          <w:sz w:val="20"/>
          <w:szCs w:val="32"/>
          <w:lang w:val="pt-BR"/>
        </w:rPr>
        <w:t xml:space="preserve"> </w:t>
      </w:r>
      <w:r w:rsidR="00063B47" w:rsidRPr="002F50BD">
        <w:rPr>
          <w:rFonts w:ascii="Verdana" w:hAnsi="Verdana"/>
          <w:sz w:val="20"/>
          <w:szCs w:val="32"/>
          <w:lang w:val="pt-BR"/>
        </w:rPr>
        <w:t>169</w:t>
      </w:r>
      <w:r w:rsidR="007043AA" w:rsidRPr="002F50BD">
        <w:rPr>
          <w:rFonts w:ascii="Verdana" w:hAnsi="Verdana"/>
          <w:sz w:val="20"/>
          <w:szCs w:val="32"/>
          <w:lang w:val="pt-BR"/>
        </w:rPr>
        <w:t xml:space="preserve"> </w:t>
      </w:r>
      <w:r w:rsidR="0089298C" w:rsidRPr="002F50BD">
        <w:rPr>
          <w:rFonts w:ascii="Verdana" w:hAnsi="Verdana"/>
          <w:sz w:val="20"/>
          <w:szCs w:val="32"/>
          <w:lang w:val="pt-BR"/>
        </w:rPr>
        <w:t xml:space="preserve">da </w:t>
      </w:r>
      <w:r w:rsidR="004756C1" w:rsidRPr="002F50BD">
        <w:rPr>
          <w:rFonts w:ascii="Verdana" w:hAnsi="Verdana"/>
          <w:sz w:val="20"/>
          <w:szCs w:val="32"/>
          <w:lang w:val="pt-BR"/>
        </w:rPr>
        <w:t>OIT,</w:t>
      </w:r>
      <w:r w:rsidR="0089298C" w:rsidRPr="002F50BD">
        <w:rPr>
          <w:rFonts w:ascii="Verdana" w:hAnsi="Verdana"/>
          <w:sz w:val="20"/>
          <w:szCs w:val="32"/>
          <w:lang w:val="pt-BR"/>
        </w:rPr>
        <w:t xml:space="preserve"> no </w:t>
      </w:r>
      <w:r w:rsidR="004756C1" w:rsidRPr="002F50BD">
        <w:rPr>
          <w:rFonts w:ascii="Verdana" w:hAnsi="Verdana"/>
          <w:sz w:val="20"/>
          <w:szCs w:val="32"/>
          <w:lang w:val="pt-BR"/>
        </w:rPr>
        <w:t>sentido de que</w:t>
      </w:r>
      <w:r w:rsidR="0089298C" w:rsidRPr="002F50BD">
        <w:rPr>
          <w:rFonts w:ascii="Verdana" w:hAnsi="Verdana"/>
          <w:sz w:val="20"/>
          <w:szCs w:val="32"/>
          <w:lang w:val="pt-BR"/>
        </w:rPr>
        <w:t xml:space="preserve"> os </w:t>
      </w:r>
      <w:r w:rsidR="004756C1" w:rsidRPr="002F50BD">
        <w:rPr>
          <w:rFonts w:ascii="Verdana" w:hAnsi="Verdana"/>
          <w:sz w:val="20"/>
          <w:szCs w:val="32"/>
          <w:lang w:val="pt-BR"/>
        </w:rPr>
        <w:t xml:space="preserve">Estados </w:t>
      </w:r>
      <w:r w:rsidR="0089298C" w:rsidRPr="002F50BD">
        <w:rPr>
          <w:rFonts w:ascii="Verdana" w:hAnsi="Verdana"/>
          <w:sz w:val="20"/>
          <w:szCs w:val="32"/>
          <w:lang w:val="pt-BR"/>
        </w:rPr>
        <w:t>deverão</w:t>
      </w:r>
      <w:r w:rsidR="004756C1" w:rsidRPr="002F50BD">
        <w:rPr>
          <w:rFonts w:ascii="Verdana" w:hAnsi="Verdana"/>
          <w:sz w:val="20"/>
          <w:szCs w:val="32"/>
          <w:lang w:val="pt-BR"/>
        </w:rPr>
        <w:t xml:space="preserve"> </w:t>
      </w:r>
      <w:r w:rsidR="0089298C" w:rsidRPr="002F50BD">
        <w:rPr>
          <w:rFonts w:ascii="Verdana" w:hAnsi="Verdana"/>
          <w:sz w:val="20"/>
          <w:szCs w:val="32"/>
          <w:lang w:val="pt-BR"/>
        </w:rPr>
        <w:t>respeitar</w:t>
      </w:r>
      <w:r w:rsidR="004756C1" w:rsidRPr="002F50BD">
        <w:rPr>
          <w:rFonts w:ascii="Verdana" w:hAnsi="Verdana"/>
          <w:sz w:val="20"/>
          <w:szCs w:val="32"/>
          <w:lang w:val="pt-BR"/>
        </w:rPr>
        <w:t xml:space="preserve"> </w:t>
      </w:r>
      <w:r w:rsidR="0089298C" w:rsidRPr="002F50BD">
        <w:rPr>
          <w:rFonts w:ascii="Verdana" w:hAnsi="Verdana"/>
          <w:sz w:val="20"/>
          <w:szCs w:val="32"/>
          <w:lang w:val="pt-BR"/>
        </w:rPr>
        <w:t>“</w:t>
      </w:r>
      <w:r w:rsidRPr="002F50BD">
        <w:rPr>
          <w:rFonts w:ascii="Verdana" w:hAnsi="Verdana"/>
          <w:sz w:val="20"/>
          <w:szCs w:val="32"/>
          <w:lang w:val="pt-BR"/>
        </w:rPr>
        <w:t>a importância especial que</w:t>
      </w:r>
      <w:r w:rsidR="006603BE" w:rsidRPr="002F50BD">
        <w:rPr>
          <w:rFonts w:ascii="Verdana" w:hAnsi="Verdana"/>
          <w:sz w:val="20"/>
          <w:szCs w:val="32"/>
          <w:lang w:val="pt-BR"/>
        </w:rPr>
        <w:t>,</w:t>
      </w:r>
      <w:r w:rsidRPr="002F50BD">
        <w:rPr>
          <w:rFonts w:ascii="Verdana" w:hAnsi="Verdana"/>
          <w:sz w:val="20"/>
          <w:szCs w:val="32"/>
          <w:lang w:val="pt-BR"/>
        </w:rPr>
        <w:t xml:space="preserve"> para as culturas e valores espirituais dos povos interessados</w:t>
      </w:r>
      <w:r w:rsidR="006603BE" w:rsidRPr="002F50BD">
        <w:rPr>
          <w:rFonts w:ascii="Verdana" w:hAnsi="Verdana"/>
          <w:sz w:val="20"/>
          <w:szCs w:val="32"/>
          <w:lang w:val="pt-BR"/>
        </w:rPr>
        <w:t>,</w:t>
      </w:r>
      <w:r w:rsidRPr="002F50BD">
        <w:rPr>
          <w:rFonts w:ascii="Verdana" w:hAnsi="Verdana"/>
          <w:sz w:val="20"/>
          <w:szCs w:val="32"/>
          <w:lang w:val="pt-BR"/>
        </w:rPr>
        <w:t xml:space="preserve"> possui a sua relação com as terras ou territórios, ou com ambos, segundo os casos, que eles ocupam ou utilizam de alguma maneira e, particularmente, os aspectos coletivos dessa relação</w:t>
      </w:r>
      <w:r w:rsidR="004756C1" w:rsidRPr="002F50BD">
        <w:rPr>
          <w:rFonts w:ascii="Verdana" w:hAnsi="Verdana"/>
          <w:sz w:val="20"/>
          <w:szCs w:val="32"/>
          <w:lang w:val="pt-BR"/>
        </w:rPr>
        <w:t>.”</w:t>
      </w:r>
    </w:p>
    <w:p w:rsidR="004756C1" w:rsidRPr="002F50BD" w:rsidRDefault="004756C1">
      <w:pPr>
        <w:jc w:val="both"/>
        <w:rPr>
          <w:rFonts w:ascii="Verdana" w:hAnsi="Verdana"/>
          <w:sz w:val="20"/>
          <w:lang w:val="pt-BR"/>
        </w:rPr>
      </w:pPr>
    </w:p>
    <w:p w:rsidR="004756C1" w:rsidRPr="002F50BD" w:rsidRDefault="008B1D76">
      <w:pPr>
        <w:numPr>
          <w:ilvl w:val="0"/>
          <w:numId w:val="28"/>
        </w:numPr>
        <w:jc w:val="both"/>
        <w:rPr>
          <w:rFonts w:ascii="Verdana" w:hAnsi="Verdana"/>
          <w:sz w:val="20"/>
          <w:szCs w:val="32"/>
          <w:lang w:val="pt-BR"/>
        </w:rPr>
      </w:pPr>
      <w:r w:rsidRPr="002F50BD">
        <w:rPr>
          <w:rFonts w:ascii="Verdana" w:hAnsi="Verdana"/>
          <w:sz w:val="20"/>
          <w:lang w:val="pt-BR"/>
        </w:rPr>
        <w:t>Consequentemente</w:t>
      </w:r>
      <w:r w:rsidR="004756C1" w:rsidRPr="002F50BD">
        <w:rPr>
          <w:rFonts w:ascii="Verdana" w:hAnsi="Verdana"/>
          <w:sz w:val="20"/>
          <w:lang w:val="pt-BR"/>
        </w:rPr>
        <w:t>,</w:t>
      </w:r>
      <w:r w:rsidR="0089298C" w:rsidRPr="002F50BD">
        <w:rPr>
          <w:rFonts w:ascii="Verdana" w:hAnsi="Verdana"/>
          <w:sz w:val="20"/>
          <w:lang w:val="pt-BR"/>
        </w:rPr>
        <w:t xml:space="preserve"> a estreit</w:t>
      </w:r>
      <w:r w:rsidR="004756C1" w:rsidRPr="002F50BD">
        <w:rPr>
          <w:rFonts w:ascii="Verdana" w:hAnsi="Verdana"/>
          <w:sz w:val="20"/>
          <w:lang w:val="pt-BR"/>
        </w:rPr>
        <w:t>a vincula</w:t>
      </w:r>
      <w:r w:rsidR="0089298C" w:rsidRPr="002F50BD">
        <w:rPr>
          <w:rFonts w:ascii="Verdana" w:hAnsi="Verdana"/>
          <w:sz w:val="20"/>
          <w:lang w:val="pt-BR"/>
        </w:rPr>
        <w:t>ção dos povo</w:t>
      </w:r>
      <w:r w:rsidR="004756C1" w:rsidRPr="002F50BD">
        <w:rPr>
          <w:rFonts w:ascii="Verdana" w:hAnsi="Verdana"/>
          <w:sz w:val="20"/>
          <w:lang w:val="pt-BR"/>
        </w:rPr>
        <w:t xml:space="preserve">s indígenas </w:t>
      </w:r>
      <w:r w:rsidRPr="002F50BD">
        <w:rPr>
          <w:rFonts w:ascii="Verdana" w:hAnsi="Verdana"/>
          <w:sz w:val="20"/>
          <w:lang w:val="pt-BR"/>
        </w:rPr>
        <w:t xml:space="preserve">com </w:t>
      </w:r>
      <w:r w:rsidR="00385366" w:rsidRPr="002F50BD">
        <w:rPr>
          <w:rFonts w:ascii="Verdana" w:hAnsi="Verdana"/>
          <w:sz w:val="20"/>
          <w:lang w:val="pt-BR"/>
        </w:rPr>
        <w:t>seus territórios</w:t>
      </w:r>
      <w:r w:rsidR="004756C1" w:rsidRPr="002F50BD">
        <w:rPr>
          <w:rFonts w:ascii="Verdana" w:hAnsi="Verdana"/>
          <w:sz w:val="20"/>
          <w:lang w:val="pt-BR"/>
        </w:rPr>
        <w:t xml:space="preserve"> tr</w:t>
      </w:r>
      <w:r w:rsidR="0089298C" w:rsidRPr="002F50BD">
        <w:rPr>
          <w:rFonts w:ascii="Verdana" w:hAnsi="Verdana"/>
          <w:sz w:val="20"/>
          <w:lang w:val="pt-BR"/>
        </w:rPr>
        <w:t xml:space="preserve">adicionais e os </w:t>
      </w:r>
      <w:r w:rsidR="004756C1" w:rsidRPr="002F50BD">
        <w:rPr>
          <w:rFonts w:ascii="Verdana" w:hAnsi="Verdana"/>
          <w:sz w:val="20"/>
          <w:lang w:val="pt-BR"/>
        </w:rPr>
        <w:t xml:space="preserve">recursos </w:t>
      </w:r>
      <w:r w:rsidR="005D1589" w:rsidRPr="002F50BD">
        <w:rPr>
          <w:rFonts w:ascii="Verdana" w:hAnsi="Verdana"/>
          <w:sz w:val="20"/>
          <w:lang w:val="pt-BR"/>
        </w:rPr>
        <w:t>naturais</w:t>
      </w:r>
      <w:r w:rsidR="004756C1" w:rsidRPr="002F50BD">
        <w:rPr>
          <w:rFonts w:ascii="Verdana" w:hAnsi="Verdana"/>
          <w:sz w:val="20"/>
          <w:lang w:val="pt-BR"/>
        </w:rPr>
        <w:t xml:space="preserve"> ligados </w:t>
      </w:r>
      <w:r w:rsidR="006603BE" w:rsidRPr="002F50BD">
        <w:rPr>
          <w:rFonts w:ascii="Verdana" w:hAnsi="Verdana"/>
          <w:sz w:val="20"/>
          <w:lang w:val="pt-BR"/>
        </w:rPr>
        <w:t>à</w:t>
      </w:r>
      <w:r w:rsidR="004756C1" w:rsidRPr="002F50BD">
        <w:rPr>
          <w:rFonts w:ascii="Verdana" w:hAnsi="Verdana"/>
          <w:sz w:val="20"/>
          <w:lang w:val="pt-BR"/>
        </w:rPr>
        <w:t xml:space="preserve"> </w:t>
      </w:r>
      <w:r w:rsidR="005A6BC7" w:rsidRPr="002F50BD">
        <w:rPr>
          <w:rFonts w:ascii="Verdana" w:hAnsi="Verdana"/>
          <w:sz w:val="20"/>
          <w:lang w:val="pt-BR"/>
        </w:rPr>
        <w:t>sua cultura</w:t>
      </w:r>
      <w:r w:rsidR="004756C1" w:rsidRPr="002F50BD">
        <w:rPr>
          <w:rFonts w:ascii="Verdana" w:hAnsi="Verdana"/>
          <w:sz w:val="20"/>
          <w:lang w:val="pt-BR"/>
        </w:rPr>
        <w:t xml:space="preserve"> que </w:t>
      </w:r>
      <w:r w:rsidRPr="002F50BD">
        <w:rPr>
          <w:rFonts w:ascii="Verdana" w:hAnsi="Verdana"/>
          <w:sz w:val="20"/>
          <w:lang w:val="pt-BR"/>
        </w:rPr>
        <w:t xml:space="preserve">ali </w:t>
      </w:r>
      <w:r w:rsidR="004756C1" w:rsidRPr="002F50BD">
        <w:rPr>
          <w:rFonts w:ascii="Verdana" w:hAnsi="Verdana"/>
          <w:sz w:val="20"/>
          <w:lang w:val="pt-BR"/>
        </w:rPr>
        <w:t xml:space="preserve">se </w:t>
      </w:r>
      <w:r w:rsidR="0089298C" w:rsidRPr="002F50BD">
        <w:rPr>
          <w:rFonts w:ascii="Verdana" w:hAnsi="Verdana"/>
          <w:sz w:val="20"/>
          <w:lang w:val="pt-BR"/>
        </w:rPr>
        <w:t>encontrem</w:t>
      </w:r>
      <w:r w:rsidR="004756C1" w:rsidRPr="002F50BD">
        <w:rPr>
          <w:rFonts w:ascii="Verdana" w:hAnsi="Verdana"/>
          <w:sz w:val="20"/>
          <w:lang w:val="pt-BR"/>
        </w:rPr>
        <w:t xml:space="preserve"> </w:t>
      </w:r>
      <w:r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os </w:t>
      </w:r>
      <w:r w:rsidR="004756C1" w:rsidRPr="002F50BD">
        <w:rPr>
          <w:rFonts w:ascii="Verdana" w:hAnsi="Verdana"/>
          <w:sz w:val="20"/>
          <w:lang w:val="pt-BR"/>
        </w:rPr>
        <w:t>elementos in</w:t>
      </w:r>
      <w:r w:rsidR="0089298C" w:rsidRPr="002F50BD">
        <w:rPr>
          <w:rFonts w:ascii="Verdana" w:hAnsi="Verdana"/>
          <w:sz w:val="20"/>
          <w:lang w:val="pt-BR"/>
        </w:rPr>
        <w:t>corp</w:t>
      </w:r>
      <w:r w:rsidRPr="002F50BD">
        <w:rPr>
          <w:rFonts w:ascii="Verdana" w:hAnsi="Verdana"/>
          <w:sz w:val="20"/>
          <w:lang w:val="pt-BR"/>
        </w:rPr>
        <w:t xml:space="preserve">óreos </w:t>
      </w:r>
      <w:r w:rsidR="004756C1" w:rsidRPr="002F50BD">
        <w:rPr>
          <w:rFonts w:ascii="Verdana" w:hAnsi="Verdana"/>
          <w:sz w:val="20"/>
          <w:lang w:val="pt-BR"/>
        </w:rPr>
        <w:t>que se desprenda</w:t>
      </w:r>
      <w:r w:rsidRPr="002F50BD">
        <w:rPr>
          <w:rFonts w:ascii="Verdana" w:hAnsi="Verdana"/>
          <w:sz w:val="20"/>
          <w:lang w:val="pt-BR"/>
        </w:rPr>
        <w:t>m</w:t>
      </w:r>
      <w:r w:rsidR="004756C1" w:rsidRPr="002F50BD">
        <w:rPr>
          <w:rFonts w:ascii="Verdana" w:hAnsi="Verdana"/>
          <w:sz w:val="20"/>
          <w:lang w:val="pt-BR"/>
        </w:rPr>
        <w:t xml:space="preserve"> d</w:t>
      </w:r>
      <w:r w:rsidR="0089298C" w:rsidRPr="002F50BD">
        <w:rPr>
          <w:rFonts w:ascii="Verdana" w:hAnsi="Verdana"/>
          <w:sz w:val="20"/>
          <w:lang w:val="pt-BR"/>
        </w:rPr>
        <w:t>ele</w:t>
      </w:r>
      <w:r w:rsidR="004756C1" w:rsidRPr="002F50BD">
        <w:rPr>
          <w:rFonts w:ascii="Verdana" w:hAnsi="Verdana"/>
          <w:sz w:val="20"/>
          <w:lang w:val="pt-BR"/>
        </w:rPr>
        <w:t xml:space="preserve">s </w:t>
      </w:r>
      <w:r w:rsidR="0089298C" w:rsidRPr="002F50BD">
        <w:rPr>
          <w:rFonts w:ascii="Verdana" w:hAnsi="Verdana"/>
          <w:sz w:val="20"/>
          <w:lang w:val="pt-BR"/>
        </w:rPr>
        <w:t>devem</w:t>
      </w:r>
      <w:r w:rsidR="004756C1" w:rsidRPr="002F50BD">
        <w:rPr>
          <w:rFonts w:ascii="Verdana" w:hAnsi="Verdana"/>
          <w:sz w:val="20"/>
          <w:lang w:val="pt-BR"/>
        </w:rPr>
        <w:t xml:space="preserve"> ser </w:t>
      </w:r>
      <w:r w:rsidRPr="002F50BD">
        <w:rPr>
          <w:rFonts w:ascii="Verdana" w:hAnsi="Verdana"/>
          <w:sz w:val="20"/>
          <w:lang w:val="pt-BR"/>
        </w:rPr>
        <w:t xml:space="preserve">protegidos </w:t>
      </w:r>
      <w:r w:rsidR="0089298C" w:rsidRPr="002F50BD">
        <w:rPr>
          <w:rFonts w:ascii="Verdana" w:hAnsi="Verdana"/>
          <w:sz w:val="20"/>
          <w:lang w:val="pt-BR"/>
        </w:rPr>
        <w:t>pelo artigo</w:t>
      </w:r>
      <w:r w:rsidR="004756C1"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Pr="002F50BD">
        <w:rPr>
          <w:rFonts w:ascii="Verdana" w:hAnsi="Verdana"/>
          <w:sz w:val="20"/>
          <w:lang w:val="pt-BR"/>
        </w:rPr>
        <w:t>A esse</w:t>
      </w:r>
      <w:r w:rsidR="0089298C" w:rsidRPr="002F50BD">
        <w:rPr>
          <w:rFonts w:ascii="Verdana" w:hAnsi="Verdana"/>
          <w:sz w:val="20"/>
          <w:lang w:val="pt-BR"/>
        </w:rPr>
        <w:t xml:space="preserve"> respeito</w:t>
      </w:r>
      <w:r w:rsidR="004756C1" w:rsidRPr="002F50BD">
        <w:rPr>
          <w:rFonts w:ascii="Verdana" w:hAnsi="Verdana"/>
          <w:sz w:val="20"/>
          <w:lang w:val="pt-BR"/>
        </w:rPr>
        <w:t>,</w:t>
      </w:r>
      <w:r w:rsidR="0089298C" w:rsidRPr="002F50BD">
        <w:rPr>
          <w:rFonts w:ascii="Verdana" w:hAnsi="Verdana"/>
          <w:sz w:val="20"/>
          <w:lang w:val="pt-BR"/>
        </w:rPr>
        <w:t xml:space="preserve"> em outra</w:t>
      </w:r>
      <w:r w:rsidR="004756C1" w:rsidRPr="002F50BD">
        <w:rPr>
          <w:rFonts w:ascii="Verdana" w:hAnsi="Verdana"/>
          <w:sz w:val="20"/>
          <w:lang w:val="pt-BR"/>
        </w:rPr>
        <w:t xml:space="preserve">s </w:t>
      </w:r>
      <w:r w:rsidR="004756C1" w:rsidRPr="002F50BD">
        <w:rPr>
          <w:rFonts w:ascii="Verdana" w:hAnsi="Verdana"/>
          <w:sz w:val="20"/>
          <w:lang w:val="pt-BR"/>
        </w:rPr>
        <w:lastRenderedPageBreak/>
        <w:t xml:space="preserve">oportunidades, este Tribunal </w:t>
      </w:r>
      <w:r w:rsidR="004076AD" w:rsidRPr="002F50BD">
        <w:rPr>
          <w:rFonts w:ascii="Verdana" w:hAnsi="Verdana"/>
          <w:sz w:val="20"/>
          <w:lang w:val="pt-BR"/>
        </w:rPr>
        <w:t>considerou</w:t>
      </w:r>
      <w:r w:rsidR="004756C1" w:rsidRPr="002F50BD">
        <w:rPr>
          <w:rFonts w:ascii="Verdana" w:hAnsi="Verdana"/>
          <w:sz w:val="20"/>
          <w:lang w:val="pt-BR"/>
        </w:rPr>
        <w:t xml:space="preserve"> que</w:t>
      </w:r>
      <w:r w:rsidR="0089298C" w:rsidRPr="002F50BD">
        <w:rPr>
          <w:rFonts w:ascii="Verdana" w:hAnsi="Verdana"/>
          <w:sz w:val="20"/>
          <w:lang w:val="pt-BR"/>
        </w:rPr>
        <w:t xml:space="preserve"> o termo</w:t>
      </w:r>
      <w:r w:rsidR="004756C1" w:rsidRPr="002F50BD">
        <w:rPr>
          <w:rFonts w:ascii="Verdana" w:hAnsi="Verdana"/>
          <w:sz w:val="20"/>
          <w:lang w:val="pt-BR"/>
        </w:rPr>
        <w:t xml:space="preserve"> “</w:t>
      </w:r>
      <w:r w:rsidR="0089298C" w:rsidRPr="002F50BD">
        <w:rPr>
          <w:rFonts w:ascii="Verdana" w:hAnsi="Verdana"/>
          <w:sz w:val="20"/>
          <w:lang w:val="pt-BR"/>
        </w:rPr>
        <w:t>bens</w:t>
      </w:r>
      <w:r w:rsidR="004756C1" w:rsidRPr="002F50BD">
        <w:rPr>
          <w:rFonts w:ascii="Verdana" w:hAnsi="Verdana"/>
          <w:sz w:val="20"/>
          <w:lang w:val="pt-BR"/>
        </w:rPr>
        <w:t>” utilizado</w:t>
      </w:r>
      <w:r w:rsidR="0089298C" w:rsidRPr="002F50BD">
        <w:rPr>
          <w:rFonts w:ascii="Verdana" w:hAnsi="Verdana"/>
          <w:sz w:val="20"/>
          <w:lang w:val="pt-BR"/>
        </w:rPr>
        <w:t xml:space="preserve"> neste artigo</w:t>
      </w:r>
      <w:r w:rsidR="004756C1" w:rsidRPr="002F50BD">
        <w:rPr>
          <w:rFonts w:ascii="Verdana" w:hAnsi="Verdana"/>
          <w:sz w:val="20"/>
          <w:lang w:val="pt-BR"/>
        </w:rPr>
        <w:t xml:space="preserve"> </w:t>
      </w:r>
      <w:r w:rsidR="00063B47" w:rsidRPr="002F50BD">
        <w:rPr>
          <w:rFonts w:ascii="Verdana" w:hAnsi="Verdana"/>
          <w:sz w:val="20"/>
          <w:lang w:val="pt-BR"/>
        </w:rPr>
        <w:t>21</w:t>
      </w:r>
      <w:r w:rsidR="004756C1" w:rsidRPr="002F50BD">
        <w:rPr>
          <w:rFonts w:ascii="Verdana" w:hAnsi="Verdana"/>
          <w:sz w:val="20"/>
          <w:lang w:val="pt-BR"/>
        </w:rPr>
        <w:t>, contempla “</w:t>
      </w:r>
      <w:r w:rsidR="0089298C" w:rsidRPr="002F50BD">
        <w:rPr>
          <w:rFonts w:ascii="Verdana" w:hAnsi="Verdana"/>
          <w:sz w:val="20"/>
          <w:lang w:val="pt-BR"/>
        </w:rPr>
        <w:t>aquelas</w:t>
      </w:r>
      <w:r w:rsidR="004756C1" w:rsidRPr="002F50BD">
        <w:rPr>
          <w:rFonts w:ascii="Verdana" w:hAnsi="Verdana"/>
          <w:sz w:val="20"/>
          <w:lang w:val="pt-BR"/>
        </w:rPr>
        <w:t xml:space="preserve"> co</w:t>
      </w:r>
      <w:r w:rsidRPr="002F50BD">
        <w:rPr>
          <w:rFonts w:ascii="Verdana" w:hAnsi="Verdana"/>
          <w:sz w:val="20"/>
          <w:lang w:val="pt-BR"/>
        </w:rPr>
        <w:t>i</w:t>
      </w:r>
      <w:r w:rsidR="004756C1" w:rsidRPr="002F50BD">
        <w:rPr>
          <w:rFonts w:ascii="Verdana" w:hAnsi="Verdana"/>
          <w:sz w:val="20"/>
          <w:lang w:val="pt-BR"/>
        </w:rPr>
        <w:t xml:space="preserve">sas </w:t>
      </w:r>
      <w:r w:rsidR="004076AD" w:rsidRPr="002F50BD">
        <w:rPr>
          <w:rFonts w:ascii="Verdana" w:hAnsi="Verdana"/>
          <w:sz w:val="20"/>
          <w:lang w:val="pt-BR"/>
        </w:rPr>
        <w:t>materiais</w:t>
      </w:r>
      <w:r w:rsidR="004756C1" w:rsidRPr="002F50BD">
        <w:rPr>
          <w:rFonts w:ascii="Verdana" w:hAnsi="Verdana"/>
          <w:sz w:val="20"/>
          <w:lang w:val="pt-BR"/>
        </w:rPr>
        <w:t xml:space="preserve"> aprop</w:t>
      </w:r>
      <w:r w:rsidRPr="002F50BD">
        <w:rPr>
          <w:rFonts w:ascii="Verdana" w:hAnsi="Verdana"/>
          <w:sz w:val="20"/>
          <w:lang w:val="pt-BR"/>
        </w:rPr>
        <w:t>r</w:t>
      </w:r>
      <w:r w:rsidR="004756C1" w:rsidRPr="002F50BD">
        <w:rPr>
          <w:rFonts w:ascii="Verdana" w:hAnsi="Verdana"/>
          <w:sz w:val="20"/>
          <w:lang w:val="pt-BR"/>
        </w:rPr>
        <w:t>i</w:t>
      </w:r>
      <w:r w:rsidR="00B0045F" w:rsidRPr="002F50BD">
        <w:rPr>
          <w:rFonts w:ascii="Verdana" w:hAnsi="Verdana"/>
          <w:sz w:val="20"/>
          <w:lang w:val="pt-BR"/>
        </w:rPr>
        <w:t>áveis</w:t>
      </w:r>
      <w:r w:rsidR="004756C1" w:rsidRPr="002F50BD">
        <w:rPr>
          <w:rFonts w:ascii="Verdana" w:hAnsi="Verdana"/>
          <w:sz w:val="20"/>
          <w:lang w:val="pt-BR"/>
        </w:rPr>
        <w:t xml:space="preserve">, </w:t>
      </w:r>
      <w:r w:rsidRPr="002F50BD">
        <w:rPr>
          <w:rFonts w:ascii="Verdana" w:hAnsi="Verdana"/>
          <w:sz w:val="20"/>
          <w:lang w:val="pt-BR"/>
        </w:rPr>
        <w:t xml:space="preserve">bem </w:t>
      </w:r>
      <w:r w:rsidR="004756C1" w:rsidRPr="002F50BD">
        <w:rPr>
          <w:rFonts w:ascii="Verdana" w:hAnsi="Verdana"/>
          <w:sz w:val="20"/>
          <w:lang w:val="pt-BR"/>
        </w:rPr>
        <w:t xml:space="preserve">como todo </w:t>
      </w:r>
      <w:r w:rsidR="0089298C" w:rsidRPr="002F50BD">
        <w:rPr>
          <w:rFonts w:ascii="Verdana" w:hAnsi="Verdana"/>
          <w:sz w:val="20"/>
          <w:lang w:val="pt-BR"/>
        </w:rPr>
        <w:t>direito</w:t>
      </w:r>
      <w:r w:rsidR="004756C1" w:rsidRPr="002F50BD">
        <w:rPr>
          <w:rFonts w:ascii="Verdana" w:hAnsi="Verdana"/>
          <w:sz w:val="20"/>
          <w:lang w:val="pt-BR"/>
        </w:rPr>
        <w:t xml:space="preserve"> que </w:t>
      </w:r>
      <w:r w:rsidR="0089298C" w:rsidRPr="002F50BD">
        <w:rPr>
          <w:rFonts w:ascii="Verdana" w:hAnsi="Verdana"/>
          <w:sz w:val="20"/>
          <w:lang w:val="pt-BR"/>
        </w:rPr>
        <w:t>possa</w:t>
      </w:r>
      <w:r w:rsidR="004756C1" w:rsidRPr="002F50BD">
        <w:rPr>
          <w:rFonts w:ascii="Verdana" w:hAnsi="Verdana"/>
          <w:sz w:val="20"/>
          <w:lang w:val="pt-BR"/>
        </w:rPr>
        <w:t xml:space="preserve"> formar parte </w:t>
      </w:r>
      <w:r w:rsidR="0089298C" w:rsidRPr="002F50BD">
        <w:rPr>
          <w:rFonts w:ascii="Verdana" w:hAnsi="Verdana"/>
          <w:sz w:val="20"/>
          <w:lang w:val="pt-BR"/>
        </w:rPr>
        <w:t xml:space="preserve">do </w:t>
      </w:r>
      <w:r w:rsidR="004076AD" w:rsidRPr="002F50BD">
        <w:rPr>
          <w:rFonts w:ascii="Verdana" w:hAnsi="Verdana"/>
          <w:sz w:val="20"/>
          <w:lang w:val="pt-BR"/>
        </w:rPr>
        <w:t>patrimônio</w:t>
      </w:r>
      <w:r w:rsidR="004756C1" w:rsidRPr="002F50BD">
        <w:rPr>
          <w:rFonts w:ascii="Verdana" w:hAnsi="Verdana"/>
          <w:sz w:val="20"/>
          <w:lang w:val="pt-BR"/>
        </w:rPr>
        <w:t xml:space="preserve"> de</w:t>
      </w:r>
      <w:r w:rsidR="0089298C" w:rsidRPr="002F50BD">
        <w:rPr>
          <w:rFonts w:ascii="Verdana" w:hAnsi="Verdana"/>
          <w:sz w:val="20"/>
          <w:lang w:val="pt-BR"/>
        </w:rPr>
        <w:t xml:space="preserve"> uma pessoa</w:t>
      </w:r>
      <w:r w:rsidR="004756C1" w:rsidRPr="002F50BD">
        <w:rPr>
          <w:rFonts w:ascii="Verdana" w:hAnsi="Verdana"/>
          <w:sz w:val="20"/>
          <w:lang w:val="pt-BR"/>
        </w:rPr>
        <w:t xml:space="preserve">; </w:t>
      </w:r>
      <w:r w:rsidR="0089298C" w:rsidRPr="002F50BD">
        <w:rPr>
          <w:rFonts w:ascii="Verdana" w:hAnsi="Verdana"/>
          <w:sz w:val="20"/>
          <w:lang w:val="pt-BR"/>
        </w:rPr>
        <w:t>este</w:t>
      </w:r>
      <w:r w:rsidR="004756C1" w:rsidRPr="002F50BD">
        <w:rPr>
          <w:rFonts w:ascii="Verdana" w:hAnsi="Verdana"/>
          <w:sz w:val="20"/>
          <w:lang w:val="pt-BR"/>
        </w:rPr>
        <w:t xml:space="preserve"> </w:t>
      </w:r>
      <w:r w:rsidR="0089298C" w:rsidRPr="002F50BD">
        <w:rPr>
          <w:rFonts w:ascii="Verdana" w:hAnsi="Verdana"/>
          <w:sz w:val="20"/>
          <w:lang w:val="pt-BR"/>
        </w:rPr>
        <w:t>conceito</w:t>
      </w:r>
      <w:r w:rsidR="004756C1" w:rsidRPr="002F50BD">
        <w:rPr>
          <w:rFonts w:ascii="Verdana" w:hAnsi="Verdana"/>
          <w:sz w:val="20"/>
          <w:lang w:val="pt-BR"/>
        </w:rPr>
        <w:t xml:space="preserve"> compre</w:t>
      </w:r>
      <w:r w:rsidRPr="002F50BD">
        <w:rPr>
          <w:rFonts w:ascii="Verdana" w:hAnsi="Verdana"/>
          <w:sz w:val="20"/>
          <w:lang w:val="pt-BR"/>
        </w:rPr>
        <w:t>e</w:t>
      </w:r>
      <w:r w:rsidR="004756C1" w:rsidRPr="002F50BD">
        <w:rPr>
          <w:rFonts w:ascii="Verdana" w:hAnsi="Verdana"/>
          <w:sz w:val="20"/>
          <w:lang w:val="pt-BR"/>
        </w:rPr>
        <w:t>nde todos</w:t>
      </w:r>
      <w:r w:rsidR="0089298C" w:rsidRPr="002F50BD">
        <w:rPr>
          <w:rFonts w:ascii="Verdana" w:hAnsi="Verdana"/>
          <w:sz w:val="20"/>
          <w:lang w:val="pt-BR"/>
        </w:rPr>
        <w:t xml:space="preserve"> os </w:t>
      </w:r>
      <w:r w:rsidR="004076AD" w:rsidRPr="002F50BD">
        <w:rPr>
          <w:rFonts w:ascii="Verdana" w:hAnsi="Verdana"/>
          <w:sz w:val="20"/>
          <w:lang w:val="pt-BR"/>
        </w:rPr>
        <w:t>móveis</w:t>
      </w:r>
      <w:r w:rsidR="004756C1" w:rsidRPr="002F50BD">
        <w:rPr>
          <w:rFonts w:ascii="Verdana" w:hAnsi="Verdana"/>
          <w:sz w:val="20"/>
          <w:lang w:val="pt-BR"/>
        </w:rPr>
        <w:t xml:space="preserve"> e </w:t>
      </w:r>
      <w:r w:rsidR="000920B2" w:rsidRPr="002F50BD">
        <w:rPr>
          <w:rFonts w:ascii="Verdana" w:hAnsi="Verdana"/>
          <w:sz w:val="20"/>
          <w:lang w:val="pt-BR"/>
        </w:rPr>
        <w:t>imóveis</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 xml:space="preserve">elementos </w:t>
      </w:r>
      <w:r w:rsidR="0089298C" w:rsidRPr="002F50BD">
        <w:rPr>
          <w:rFonts w:ascii="Verdana" w:hAnsi="Verdana"/>
          <w:sz w:val="20"/>
          <w:lang w:val="pt-BR"/>
        </w:rPr>
        <w:t>corp</w:t>
      </w:r>
      <w:r w:rsidRPr="002F50BD">
        <w:rPr>
          <w:rFonts w:ascii="Verdana" w:hAnsi="Verdana"/>
          <w:sz w:val="20"/>
          <w:lang w:val="pt-BR"/>
        </w:rPr>
        <w:t xml:space="preserve">óreos e incorpóreos </w:t>
      </w:r>
      <w:r w:rsidR="0089298C" w:rsidRPr="002F50BD">
        <w:rPr>
          <w:rFonts w:ascii="Verdana" w:hAnsi="Verdana"/>
          <w:sz w:val="20"/>
          <w:lang w:val="pt-BR"/>
        </w:rPr>
        <w:t xml:space="preserve">e qualquer outro </w:t>
      </w:r>
      <w:r w:rsidR="004756C1" w:rsidRPr="002F50BD">
        <w:rPr>
          <w:rFonts w:ascii="Verdana" w:hAnsi="Verdana"/>
          <w:sz w:val="20"/>
          <w:lang w:val="pt-BR"/>
        </w:rPr>
        <w:t xml:space="preserve">objeto </w:t>
      </w:r>
      <w:r w:rsidR="0089298C" w:rsidRPr="002F50BD">
        <w:rPr>
          <w:rFonts w:ascii="Verdana" w:hAnsi="Verdana"/>
          <w:sz w:val="20"/>
          <w:lang w:val="pt-BR"/>
        </w:rPr>
        <w:t>imaterial</w:t>
      </w:r>
      <w:r w:rsidR="004756C1" w:rsidRPr="002F50BD">
        <w:rPr>
          <w:rFonts w:ascii="Verdana" w:hAnsi="Verdana"/>
          <w:sz w:val="20"/>
          <w:lang w:val="pt-BR"/>
        </w:rPr>
        <w:t xml:space="preserve"> </w:t>
      </w:r>
      <w:r w:rsidR="0089298C" w:rsidRPr="002F50BD">
        <w:rPr>
          <w:rFonts w:ascii="Verdana" w:hAnsi="Verdana"/>
          <w:sz w:val="20"/>
          <w:lang w:val="pt-BR"/>
        </w:rPr>
        <w:t>suscetível</w:t>
      </w:r>
      <w:r w:rsidR="004756C1" w:rsidRPr="002F50BD">
        <w:rPr>
          <w:rFonts w:ascii="Verdana" w:hAnsi="Verdana"/>
          <w:sz w:val="20"/>
          <w:lang w:val="pt-BR"/>
        </w:rPr>
        <w:t xml:space="preserve"> de</w:t>
      </w:r>
      <w:r w:rsidR="0089298C" w:rsidRPr="002F50BD">
        <w:rPr>
          <w:rFonts w:ascii="Verdana" w:hAnsi="Verdana"/>
          <w:sz w:val="20"/>
          <w:lang w:val="pt-BR"/>
        </w:rPr>
        <w:t xml:space="preserve"> ter um </w:t>
      </w:r>
      <w:r w:rsidR="004756C1" w:rsidRPr="002F50BD">
        <w:rPr>
          <w:rFonts w:ascii="Verdana" w:hAnsi="Verdana"/>
          <w:sz w:val="20"/>
          <w:lang w:val="pt-BR"/>
        </w:rPr>
        <w:t>valor</w:t>
      </w:r>
      <w:r w:rsidRPr="002F50BD">
        <w:rPr>
          <w:rFonts w:ascii="Verdana" w:hAnsi="Verdana"/>
          <w:sz w:val="20"/>
          <w:lang w:val="pt-BR"/>
        </w:rPr>
        <w:t>.</w:t>
      </w:r>
      <w:r w:rsidR="004756C1" w:rsidRPr="002F50BD">
        <w:rPr>
          <w:rFonts w:ascii="Verdana" w:hAnsi="Verdana"/>
          <w:sz w:val="20"/>
          <w:lang w:val="pt-BR"/>
        </w:rPr>
        <w:t>”</w:t>
      </w:r>
      <w:r w:rsidR="004756C1" w:rsidRPr="002F50BD">
        <w:rPr>
          <w:rStyle w:val="FootnoteReference"/>
          <w:rFonts w:ascii="Verdana" w:hAnsi="Verdana"/>
        </w:rPr>
        <w:footnoteReference w:id="197"/>
      </w:r>
    </w:p>
    <w:p w:rsidR="00F46680" w:rsidRPr="002F50BD" w:rsidRDefault="00F46680" w:rsidP="00F46680">
      <w:pPr>
        <w:jc w:val="both"/>
        <w:rPr>
          <w:rFonts w:ascii="Verdana" w:hAnsi="Verdana"/>
          <w:sz w:val="20"/>
          <w:szCs w:val="32"/>
          <w:lang w:val="pt-BR"/>
        </w:rPr>
      </w:pPr>
    </w:p>
    <w:p w:rsidR="004756C1" w:rsidRPr="002F50BD" w:rsidRDefault="0089298C">
      <w:pPr>
        <w:numPr>
          <w:ilvl w:val="0"/>
          <w:numId w:val="28"/>
        </w:numPr>
        <w:jc w:val="both"/>
        <w:rPr>
          <w:rFonts w:ascii="Verdana" w:hAnsi="Verdana"/>
          <w:sz w:val="20"/>
          <w:szCs w:val="32"/>
          <w:lang w:val="pt-BR"/>
        </w:rPr>
      </w:pPr>
      <w:r w:rsidRPr="002F50BD">
        <w:rPr>
          <w:rFonts w:ascii="Verdana" w:hAnsi="Verdana"/>
          <w:sz w:val="20"/>
          <w:szCs w:val="32"/>
          <w:lang w:val="pt-BR"/>
        </w:rPr>
        <w:t>A Constituição</w:t>
      </w:r>
      <w:r w:rsidR="004756C1" w:rsidRPr="002F50BD">
        <w:rPr>
          <w:rFonts w:ascii="Verdana" w:hAnsi="Verdana"/>
          <w:sz w:val="20"/>
          <w:szCs w:val="32"/>
          <w:lang w:val="pt-BR"/>
        </w:rPr>
        <w:t xml:space="preserve"> </w:t>
      </w:r>
      <w:r w:rsidRPr="002F50BD">
        <w:rPr>
          <w:rFonts w:ascii="Verdana" w:hAnsi="Verdana"/>
          <w:sz w:val="20"/>
          <w:szCs w:val="32"/>
          <w:lang w:val="pt-BR"/>
        </w:rPr>
        <w:t>Paraguai</w:t>
      </w:r>
      <w:r w:rsidR="004756C1" w:rsidRPr="002F50BD">
        <w:rPr>
          <w:rFonts w:ascii="Verdana" w:hAnsi="Verdana"/>
          <w:sz w:val="20"/>
          <w:szCs w:val="32"/>
          <w:lang w:val="pt-BR"/>
        </w:rPr>
        <w:t>a re</w:t>
      </w:r>
      <w:r w:rsidRPr="002F50BD">
        <w:rPr>
          <w:rFonts w:ascii="Verdana" w:hAnsi="Verdana"/>
          <w:sz w:val="20"/>
          <w:szCs w:val="32"/>
          <w:lang w:val="pt-BR"/>
        </w:rPr>
        <w:t xml:space="preserve">conhece a identidade </w:t>
      </w:r>
      <w:r w:rsidR="004756C1" w:rsidRPr="002F50BD">
        <w:rPr>
          <w:rFonts w:ascii="Verdana" w:hAnsi="Verdana"/>
          <w:sz w:val="20"/>
          <w:szCs w:val="32"/>
          <w:lang w:val="pt-BR"/>
        </w:rPr>
        <w:t>cultural</w:t>
      </w:r>
      <w:r w:rsidRPr="002F50BD">
        <w:rPr>
          <w:rFonts w:ascii="Verdana" w:hAnsi="Verdana"/>
          <w:sz w:val="20"/>
          <w:szCs w:val="32"/>
          <w:lang w:val="pt-BR"/>
        </w:rPr>
        <w:t xml:space="preserve"> dos povo</w:t>
      </w:r>
      <w:r w:rsidR="004756C1" w:rsidRPr="002F50BD">
        <w:rPr>
          <w:rFonts w:ascii="Verdana" w:hAnsi="Verdana"/>
          <w:sz w:val="20"/>
          <w:szCs w:val="32"/>
          <w:lang w:val="pt-BR"/>
        </w:rPr>
        <w:t>s indígenas</w:t>
      </w:r>
      <w:r w:rsidRPr="002F50BD">
        <w:rPr>
          <w:rFonts w:ascii="Verdana" w:hAnsi="Verdana"/>
          <w:sz w:val="20"/>
          <w:szCs w:val="32"/>
          <w:lang w:val="pt-BR"/>
        </w:rPr>
        <w:t xml:space="preserve"> e a </w:t>
      </w:r>
      <w:r w:rsidR="00957343" w:rsidRPr="002F50BD">
        <w:rPr>
          <w:rFonts w:ascii="Verdana" w:hAnsi="Verdana"/>
          <w:sz w:val="20"/>
          <w:szCs w:val="32"/>
          <w:lang w:val="pt-BR"/>
        </w:rPr>
        <w:t xml:space="preserve">relaciona com </w:t>
      </w:r>
      <w:r w:rsidRPr="002F50BD">
        <w:rPr>
          <w:rFonts w:ascii="Verdana" w:hAnsi="Verdana"/>
          <w:sz w:val="20"/>
          <w:szCs w:val="32"/>
          <w:lang w:val="pt-BR"/>
        </w:rPr>
        <w:t xml:space="preserve">o </w:t>
      </w:r>
      <w:r w:rsidR="004756C1" w:rsidRPr="002F50BD">
        <w:rPr>
          <w:rFonts w:ascii="Verdana" w:hAnsi="Verdana"/>
          <w:sz w:val="20"/>
          <w:szCs w:val="32"/>
          <w:lang w:val="pt-BR"/>
        </w:rPr>
        <w:t xml:space="preserve">respectivo </w:t>
      </w:r>
      <w:r w:rsidR="001A0CDE" w:rsidRPr="002F50BD">
        <w:rPr>
          <w:rFonts w:ascii="Verdana" w:hAnsi="Verdana"/>
          <w:i/>
          <w:sz w:val="20"/>
          <w:szCs w:val="32"/>
          <w:lang w:val="pt-BR"/>
        </w:rPr>
        <w:t>habitat</w:t>
      </w:r>
      <w:r w:rsidR="004756C1" w:rsidRPr="002F50BD">
        <w:rPr>
          <w:rFonts w:ascii="Verdana" w:hAnsi="Verdana"/>
          <w:sz w:val="20"/>
          <w:szCs w:val="32"/>
          <w:lang w:val="pt-BR"/>
        </w:rPr>
        <w:t xml:space="preserve"> de </w:t>
      </w:r>
      <w:r w:rsidR="004076AD" w:rsidRPr="002F50BD">
        <w:rPr>
          <w:rFonts w:ascii="Verdana" w:hAnsi="Verdana"/>
          <w:sz w:val="20"/>
          <w:szCs w:val="32"/>
          <w:lang w:val="pt-BR"/>
        </w:rPr>
        <w:t>cada um</w:t>
      </w:r>
      <w:r w:rsidR="00957343" w:rsidRPr="002F50BD">
        <w:rPr>
          <w:rFonts w:ascii="Verdana" w:hAnsi="Verdana"/>
          <w:sz w:val="20"/>
          <w:szCs w:val="32"/>
          <w:lang w:val="pt-BR"/>
        </w:rPr>
        <w:t xml:space="preserve"> </w:t>
      </w:r>
      <w:r w:rsidR="004756C1" w:rsidRPr="002F50BD">
        <w:rPr>
          <w:rFonts w:ascii="Verdana" w:hAnsi="Verdana"/>
          <w:sz w:val="20"/>
          <w:szCs w:val="32"/>
          <w:lang w:val="pt-BR"/>
        </w:rPr>
        <w:t>d</w:t>
      </w:r>
      <w:r w:rsidRPr="002F50BD">
        <w:rPr>
          <w:rFonts w:ascii="Verdana" w:hAnsi="Verdana"/>
          <w:sz w:val="20"/>
          <w:szCs w:val="32"/>
          <w:lang w:val="pt-BR"/>
        </w:rPr>
        <w:t>ele</w:t>
      </w:r>
      <w:r w:rsidR="004756C1" w:rsidRPr="002F50BD">
        <w:rPr>
          <w:rFonts w:ascii="Verdana" w:hAnsi="Verdana"/>
          <w:sz w:val="20"/>
          <w:szCs w:val="32"/>
          <w:lang w:val="pt-BR"/>
        </w:rPr>
        <w:t xml:space="preserve">s, </w:t>
      </w:r>
      <w:r w:rsidR="00957343" w:rsidRPr="002F50BD">
        <w:rPr>
          <w:rFonts w:ascii="Verdana" w:hAnsi="Verdana"/>
          <w:sz w:val="20"/>
          <w:szCs w:val="32"/>
          <w:lang w:val="pt-BR"/>
        </w:rPr>
        <w:t>concedendo-lhes</w:t>
      </w:r>
      <w:r w:rsidR="004756C1" w:rsidRPr="002F50BD">
        <w:rPr>
          <w:rFonts w:ascii="Verdana" w:hAnsi="Verdana"/>
          <w:sz w:val="20"/>
          <w:szCs w:val="32"/>
          <w:lang w:val="pt-BR"/>
        </w:rPr>
        <w:t xml:space="preserve">, </w:t>
      </w:r>
      <w:r w:rsidR="00957343" w:rsidRPr="002F50BD">
        <w:rPr>
          <w:rFonts w:ascii="Verdana" w:hAnsi="Verdana"/>
          <w:sz w:val="20"/>
          <w:szCs w:val="32"/>
          <w:lang w:val="pt-BR"/>
        </w:rPr>
        <w:t>além disso</w:t>
      </w:r>
      <w:r w:rsidR="004756C1" w:rsidRPr="002F50BD">
        <w:rPr>
          <w:rFonts w:ascii="Verdana" w:hAnsi="Verdana"/>
          <w:sz w:val="20"/>
          <w:szCs w:val="32"/>
          <w:lang w:val="pt-BR"/>
        </w:rPr>
        <w:t>,</w:t>
      </w:r>
      <w:r w:rsidRPr="002F50BD">
        <w:rPr>
          <w:rFonts w:ascii="Verdana" w:hAnsi="Verdana"/>
          <w:sz w:val="20"/>
          <w:szCs w:val="32"/>
          <w:lang w:val="pt-BR"/>
        </w:rPr>
        <w:t xml:space="preserve"> uma série</w:t>
      </w:r>
      <w:r w:rsidR="004756C1" w:rsidRPr="002F50BD">
        <w:rPr>
          <w:rFonts w:ascii="Verdana" w:hAnsi="Verdana"/>
          <w:sz w:val="20"/>
          <w:szCs w:val="32"/>
          <w:lang w:val="pt-BR"/>
        </w:rPr>
        <w:t xml:space="preserve"> de </w:t>
      </w:r>
      <w:r w:rsidRPr="002F50BD">
        <w:rPr>
          <w:rFonts w:ascii="Verdana" w:hAnsi="Verdana"/>
          <w:sz w:val="20"/>
          <w:szCs w:val="32"/>
          <w:lang w:val="pt-BR"/>
        </w:rPr>
        <w:t>direito</w:t>
      </w:r>
      <w:r w:rsidR="004756C1" w:rsidRPr="002F50BD">
        <w:rPr>
          <w:rFonts w:ascii="Verdana" w:hAnsi="Verdana"/>
          <w:sz w:val="20"/>
          <w:szCs w:val="32"/>
          <w:lang w:val="pt-BR"/>
        </w:rPr>
        <w:t xml:space="preserve">s específicos, que </w:t>
      </w:r>
      <w:r w:rsidR="00957343" w:rsidRPr="002F50BD">
        <w:rPr>
          <w:rFonts w:ascii="Verdana" w:hAnsi="Verdana"/>
          <w:sz w:val="20"/>
          <w:szCs w:val="32"/>
          <w:lang w:val="pt-BR"/>
        </w:rPr>
        <w:t xml:space="preserve">servem </w:t>
      </w:r>
      <w:r w:rsidR="004756C1" w:rsidRPr="002F50BD">
        <w:rPr>
          <w:rFonts w:ascii="Verdana" w:hAnsi="Verdana"/>
          <w:sz w:val="20"/>
          <w:szCs w:val="32"/>
          <w:lang w:val="pt-BR"/>
        </w:rPr>
        <w:t>de base para que este Tribunal defina</w:t>
      </w:r>
      <w:r w:rsidRPr="002F50BD">
        <w:rPr>
          <w:rFonts w:ascii="Verdana" w:hAnsi="Verdana"/>
          <w:sz w:val="20"/>
          <w:szCs w:val="32"/>
          <w:lang w:val="pt-BR"/>
        </w:rPr>
        <w:t xml:space="preserve"> o </w:t>
      </w:r>
      <w:r w:rsidR="004756C1" w:rsidRPr="002F50BD">
        <w:rPr>
          <w:rFonts w:ascii="Verdana" w:hAnsi="Verdana"/>
          <w:sz w:val="20"/>
          <w:szCs w:val="32"/>
          <w:lang w:val="pt-BR"/>
        </w:rPr>
        <w:t xml:space="preserve">alcance </w:t>
      </w:r>
      <w:r w:rsidRPr="002F50BD">
        <w:rPr>
          <w:rFonts w:ascii="Verdana" w:hAnsi="Verdana"/>
          <w:sz w:val="20"/>
          <w:szCs w:val="32"/>
          <w:lang w:val="pt-BR"/>
        </w:rPr>
        <w:t>do artigo</w:t>
      </w:r>
      <w:r w:rsidR="004756C1" w:rsidRPr="002F50BD">
        <w:rPr>
          <w:rFonts w:ascii="Verdana" w:hAnsi="Verdana"/>
          <w:sz w:val="20"/>
          <w:szCs w:val="32"/>
          <w:lang w:val="pt-BR"/>
        </w:rPr>
        <w:t xml:space="preserve"> </w:t>
      </w:r>
      <w:r w:rsidR="00063B47" w:rsidRPr="002F50BD">
        <w:rPr>
          <w:rFonts w:ascii="Verdana" w:hAnsi="Verdana"/>
          <w:sz w:val="20"/>
          <w:szCs w:val="32"/>
          <w:lang w:val="pt-BR"/>
        </w:rPr>
        <w:t>21</w:t>
      </w:r>
      <w:r w:rsidRPr="002F50BD">
        <w:rPr>
          <w:rFonts w:ascii="Verdana" w:hAnsi="Verdana"/>
          <w:sz w:val="20"/>
          <w:szCs w:val="32"/>
          <w:lang w:val="pt-BR"/>
        </w:rPr>
        <w:t xml:space="preserve"> da </w:t>
      </w:r>
      <w:r w:rsidR="004756C1" w:rsidRPr="002F50BD">
        <w:rPr>
          <w:rFonts w:ascii="Verdana" w:hAnsi="Verdana"/>
          <w:sz w:val="20"/>
          <w:szCs w:val="32"/>
          <w:lang w:val="pt-BR"/>
        </w:rPr>
        <w:t>Conven</w:t>
      </w:r>
      <w:r w:rsidRPr="002F50BD">
        <w:rPr>
          <w:rFonts w:ascii="Verdana" w:hAnsi="Verdana"/>
          <w:sz w:val="20"/>
          <w:szCs w:val="32"/>
          <w:lang w:val="pt-BR"/>
        </w:rPr>
        <w:t>ção</w:t>
      </w:r>
      <w:r w:rsidR="004756C1" w:rsidRPr="002F50BD">
        <w:rPr>
          <w:rFonts w:ascii="Verdana" w:hAnsi="Verdana"/>
          <w:sz w:val="20"/>
          <w:szCs w:val="32"/>
          <w:lang w:val="pt-BR"/>
        </w:rPr>
        <w:t xml:space="preserve">, </w:t>
      </w:r>
      <w:r w:rsidR="004076AD" w:rsidRPr="002F50BD">
        <w:rPr>
          <w:rFonts w:ascii="Verdana" w:hAnsi="Verdana"/>
          <w:sz w:val="20"/>
          <w:szCs w:val="32"/>
          <w:lang w:val="pt-BR"/>
        </w:rPr>
        <w:t>como fez</w:t>
      </w:r>
      <w:r w:rsidRPr="002F50BD">
        <w:rPr>
          <w:rFonts w:ascii="Verdana" w:hAnsi="Verdana"/>
          <w:sz w:val="20"/>
          <w:szCs w:val="32"/>
          <w:lang w:val="pt-BR"/>
        </w:rPr>
        <w:t xml:space="preserve"> nos parágrafo</w:t>
      </w:r>
      <w:r w:rsidR="004756C1" w:rsidRPr="002F50BD">
        <w:rPr>
          <w:rFonts w:ascii="Verdana" w:hAnsi="Verdana"/>
          <w:sz w:val="20"/>
          <w:szCs w:val="32"/>
          <w:lang w:val="pt-BR"/>
        </w:rPr>
        <w:t>s anteriores</w:t>
      </w:r>
      <w:r w:rsidR="00AB454A" w:rsidRPr="002F50BD">
        <w:rPr>
          <w:rFonts w:ascii="Verdana" w:hAnsi="Verdana"/>
          <w:sz w:val="20"/>
          <w:szCs w:val="32"/>
          <w:lang w:val="pt-BR"/>
        </w:rPr>
        <w:t xml:space="preserve">. A </w:t>
      </w:r>
      <w:r w:rsidRPr="002F50BD">
        <w:rPr>
          <w:rFonts w:ascii="Verdana" w:hAnsi="Verdana"/>
          <w:sz w:val="20"/>
          <w:szCs w:val="32"/>
          <w:lang w:val="pt-BR"/>
        </w:rPr>
        <w:t>Constituição</w:t>
      </w:r>
      <w:r w:rsidR="004756C1" w:rsidRPr="002F50BD">
        <w:rPr>
          <w:rFonts w:ascii="Verdana" w:hAnsi="Verdana"/>
          <w:sz w:val="20"/>
          <w:szCs w:val="32"/>
          <w:lang w:val="pt-BR"/>
        </w:rPr>
        <w:t xml:space="preserve"> </w:t>
      </w:r>
      <w:r w:rsidR="004076AD" w:rsidRPr="002F50BD">
        <w:rPr>
          <w:rFonts w:ascii="Verdana" w:hAnsi="Verdana"/>
          <w:sz w:val="20"/>
          <w:szCs w:val="32"/>
          <w:lang w:val="pt-BR"/>
        </w:rPr>
        <w:t>indica</w:t>
      </w:r>
      <w:r w:rsidR="004756C1" w:rsidRPr="002F50BD">
        <w:rPr>
          <w:rFonts w:ascii="Verdana" w:hAnsi="Verdana"/>
          <w:sz w:val="20"/>
          <w:szCs w:val="32"/>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Artigo</w:t>
      </w:r>
      <w:r w:rsidR="004756C1" w:rsidRPr="002F50BD">
        <w:rPr>
          <w:rFonts w:ascii="Verdana" w:hAnsi="Verdana"/>
          <w:sz w:val="16"/>
          <w:szCs w:val="32"/>
          <w:lang w:val="pt-BR"/>
        </w:rPr>
        <w:t xml:space="preserve"> </w:t>
      </w:r>
      <w:r w:rsidR="00063B47" w:rsidRPr="002F50BD">
        <w:rPr>
          <w:rFonts w:ascii="Verdana" w:hAnsi="Verdana"/>
          <w:sz w:val="16"/>
          <w:szCs w:val="32"/>
          <w:lang w:val="pt-BR"/>
        </w:rPr>
        <w:t>62</w:t>
      </w:r>
      <w:r w:rsidR="004756C1" w:rsidRPr="002F50BD">
        <w:rPr>
          <w:rFonts w:ascii="Verdana" w:hAnsi="Verdana"/>
          <w:sz w:val="16"/>
          <w:szCs w:val="32"/>
          <w:lang w:val="pt-BR"/>
        </w:rPr>
        <w:t xml:space="preserve"> -</w:t>
      </w:r>
      <w:r w:rsidRPr="002F50BD">
        <w:rPr>
          <w:rFonts w:ascii="Verdana" w:hAnsi="Verdana"/>
          <w:sz w:val="16"/>
          <w:szCs w:val="32"/>
          <w:lang w:val="pt-BR"/>
        </w:rPr>
        <w:t xml:space="preserve"> </w:t>
      </w:r>
      <w:r w:rsidR="00957343" w:rsidRPr="002F50BD">
        <w:rPr>
          <w:rFonts w:ascii="Verdana" w:hAnsi="Verdana"/>
          <w:sz w:val="16"/>
          <w:szCs w:val="32"/>
          <w:lang w:val="pt-BR"/>
        </w:rPr>
        <w:t>DOS</w:t>
      </w:r>
      <w:r w:rsidRPr="002F50BD">
        <w:rPr>
          <w:rFonts w:ascii="Verdana" w:hAnsi="Verdana"/>
          <w:sz w:val="16"/>
          <w:szCs w:val="32"/>
          <w:lang w:val="pt-BR"/>
        </w:rPr>
        <w:t xml:space="preserve"> POVO</w:t>
      </w:r>
      <w:r w:rsidR="004756C1" w:rsidRPr="002F50BD">
        <w:rPr>
          <w:rFonts w:ascii="Verdana" w:hAnsi="Verdana"/>
          <w:sz w:val="16"/>
          <w:szCs w:val="32"/>
          <w:lang w:val="pt-BR"/>
        </w:rPr>
        <w:t>S INDÍGENAS</w:t>
      </w:r>
      <w:r w:rsidRPr="002F50BD">
        <w:rPr>
          <w:rFonts w:ascii="Verdana" w:hAnsi="Verdana"/>
          <w:sz w:val="16"/>
          <w:szCs w:val="32"/>
          <w:lang w:val="pt-BR"/>
        </w:rPr>
        <w:t xml:space="preserve"> </w:t>
      </w:r>
      <w:r w:rsidR="00957343" w:rsidRPr="002F50BD">
        <w:rPr>
          <w:rFonts w:ascii="Verdana" w:hAnsi="Verdana"/>
          <w:sz w:val="16"/>
          <w:szCs w:val="32"/>
          <w:lang w:val="pt-BR"/>
        </w:rPr>
        <w:t>E</w:t>
      </w:r>
      <w:r w:rsidRPr="002F50BD">
        <w:rPr>
          <w:rFonts w:ascii="Verdana" w:hAnsi="Verdana"/>
          <w:sz w:val="16"/>
          <w:szCs w:val="32"/>
          <w:lang w:val="pt-BR"/>
        </w:rPr>
        <w:t xml:space="preserve"> </w:t>
      </w:r>
      <w:r w:rsidR="004756C1" w:rsidRPr="002F50BD">
        <w:rPr>
          <w:rFonts w:ascii="Verdana" w:hAnsi="Verdana"/>
          <w:sz w:val="16"/>
          <w:szCs w:val="32"/>
          <w:lang w:val="pt-BR"/>
        </w:rPr>
        <w:t xml:space="preserve">GRUPOS ÉTNICOS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 xml:space="preserve">Esta </w:t>
      </w:r>
      <w:r w:rsidR="0089298C" w:rsidRPr="002F50BD">
        <w:rPr>
          <w:rFonts w:ascii="Verdana" w:hAnsi="Verdana"/>
          <w:sz w:val="16"/>
          <w:szCs w:val="32"/>
          <w:lang w:val="pt-BR"/>
        </w:rPr>
        <w:t>Constituição</w:t>
      </w:r>
      <w:r w:rsidRPr="002F50BD">
        <w:rPr>
          <w:rFonts w:ascii="Verdana" w:hAnsi="Verdana"/>
          <w:sz w:val="16"/>
          <w:szCs w:val="32"/>
          <w:lang w:val="pt-BR"/>
        </w:rPr>
        <w:t xml:space="preserve"> re</w:t>
      </w:r>
      <w:r w:rsidR="0089298C" w:rsidRPr="002F50BD">
        <w:rPr>
          <w:rFonts w:ascii="Verdana" w:hAnsi="Verdana"/>
          <w:sz w:val="16"/>
          <w:szCs w:val="32"/>
          <w:lang w:val="pt-BR"/>
        </w:rPr>
        <w:t>conhece a existência dos povo</w:t>
      </w:r>
      <w:r w:rsidRPr="002F50BD">
        <w:rPr>
          <w:rFonts w:ascii="Verdana" w:hAnsi="Verdana"/>
          <w:sz w:val="16"/>
          <w:szCs w:val="32"/>
          <w:lang w:val="pt-BR"/>
        </w:rPr>
        <w:t>s indígenas, definidos como grupos de cultura anteriores</w:t>
      </w:r>
      <w:r w:rsidR="0089298C" w:rsidRPr="002F50BD">
        <w:rPr>
          <w:rFonts w:ascii="Verdana" w:hAnsi="Verdana"/>
          <w:sz w:val="16"/>
          <w:szCs w:val="32"/>
          <w:lang w:val="pt-BR"/>
        </w:rPr>
        <w:t xml:space="preserve"> à </w:t>
      </w:r>
      <w:r w:rsidRPr="002F50BD">
        <w:rPr>
          <w:rFonts w:ascii="Verdana" w:hAnsi="Verdana"/>
          <w:sz w:val="16"/>
          <w:szCs w:val="32"/>
          <w:lang w:val="pt-BR"/>
        </w:rPr>
        <w:t>forma</w:t>
      </w:r>
      <w:r w:rsidR="0089298C" w:rsidRPr="002F50BD">
        <w:rPr>
          <w:rFonts w:ascii="Verdana" w:hAnsi="Verdana"/>
          <w:sz w:val="16"/>
          <w:szCs w:val="32"/>
          <w:lang w:val="pt-BR"/>
        </w:rPr>
        <w:t xml:space="preserve">ção e </w:t>
      </w:r>
      <w:r w:rsidRPr="002F50BD">
        <w:rPr>
          <w:rFonts w:ascii="Verdana" w:hAnsi="Verdana"/>
          <w:sz w:val="16"/>
          <w:szCs w:val="32"/>
          <w:lang w:val="pt-BR"/>
        </w:rPr>
        <w:t>organiza</w:t>
      </w:r>
      <w:r w:rsidR="0089298C" w:rsidRPr="002F50BD">
        <w:rPr>
          <w:rFonts w:ascii="Verdana" w:hAnsi="Verdana"/>
          <w:sz w:val="16"/>
          <w:szCs w:val="32"/>
          <w:lang w:val="pt-BR"/>
        </w:rPr>
        <w:t>ção</w:t>
      </w:r>
      <w:r w:rsidRPr="002F50BD">
        <w:rPr>
          <w:rFonts w:ascii="Verdana" w:hAnsi="Verdana"/>
          <w:sz w:val="16"/>
          <w:szCs w:val="32"/>
          <w:lang w:val="pt-BR"/>
        </w:rPr>
        <w:t xml:space="preserve"> </w:t>
      </w:r>
      <w:r w:rsidR="0089298C" w:rsidRPr="002F50BD">
        <w:rPr>
          <w:rFonts w:ascii="Verdana" w:hAnsi="Verdana"/>
          <w:sz w:val="16"/>
          <w:szCs w:val="32"/>
          <w:lang w:val="pt-BR"/>
        </w:rPr>
        <w:t xml:space="preserve">do </w:t>
      </w:r>
      <w:r w:rsidRPr="002F50BD">
        <w:rPr>
          <w:rFonts w:ascii="Verdana" w:hAnsi="Verdana"/>
          <w:sz w:val="16"/>
          <w:szCs w:val="32"/>
          <w:lang w:val="pt-BR"/>
        </w:rPr>
        <w:t xml:space="preserve">Estado </w:t>
      </w:r>
      <w:r w:rsidR="0089298C" w:rsidRPr="002F50BD">
        <w:rPr>
          <w:rFonts w:ascii="Verdana" w:hAnsi="Verdana"/>
          <w:sz w:val="16"/>
          <w:szCs w:val="32"/>
          <w:lang w:val="pt-BR"/>
        </w:rPr>
        <w:t>Paraguai</w:t>
      </w:r>
      <w:r w:rsidRPr="002F50BD">
        <w:rPr>
          <w:rFonts w:ascii="Verdana" w:hAnsi="Verdana"/>
          <w:sz w:val="16"/>
          <w:szCs w:val="32"/>
          <w:lang w:val="pt-BR"/>
        </w:rPr>
        <w:t>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Artigo</w:t>
      </w:r>
      <w:r w:rsidR="004756C1" w:rsidRPr="002F50BD">
        <w:rPr>
          <w:rFonts w:ascii="Verdana" w:hAnsi="Verdana"/>
          <w:sz w:val="16"/>
          <w:szCs w:val="32"/>
          <w:lang w:val="pt-BR"/>
        </w:rPr>
        <w:t xml:space="preserve"> </w:t>
      </w:r>
      <w:r w:rsidR="00063B47" w:rsidRPr="002F50BD">
        <w:rPr>
          <w:rFonts w:ascii="Verdana" w:hAnsi="Verdana"/>
          <w:sz w:val="16"/>
          <w:szCs w:val="32"/>
          <w:lang w:val="pt-BR"/>
        </w:rPr>
        <w:t>63</w:t>
      </w:r>
      <w:r w:rsidR="004756C1" w:rsidRPr="002F50BD">
        <w:rPr>
          <w:rFonts w:ascii="Verdana" w:hAnsi="Verdana"/>
          <w:sz w:val="16"/>
          <w:szCs w:val="32"/>
          <w:lang w:val="pt-BR"/>
        </w:rPr>
        <w:t xml:space="preserve"> -</w:t>
      </w:r>
      <w:r w:rsidRPr="002F50BD">
        <w:rPr>
          <w:rFonts w:ascii="Verdana" w:hAnsi="Verdana"/>
          <w:sz w:val="16"/>
          <w:szCs w:val="32"/>
          <w:lang w:val="pt-BR"/>
        </w:rPr>
        <w:t xml:space="preserve"> </w:t>
      </w:r>
      <w:r w:rsidR="00957343" w:rsidRPr="002F50BD">
        <w:rPr>
          <w:rFonts w:ascii="Verdana" w:hAnsi="Verdana"/>
          <w:sz w:val="16"/>
          <w:szCs w:val="32"/>
          <w:lang w:val="pt-BR"/>
        </w:rPr>
        <w:t>DA</w:t>
      </w:r>
      <w:r w:rsidRPr="002F50BD">
        <w:rPr>
          <w:rFonts w:ascii="Verdana" w:hAnsi="Verdana"/>
          <w:sz w:val="16"/>
          <w:szCs w:val="32"/>
          <w:lang w:val="pt-BR"/>
        </w:rPr>
        <w:t xml:space="preserve"> IDENTIDADE </w:t>
      </w:r>
      <w:r w:rsidR="004756C1" w:rsidRPr="002F50BD">
        <w:rPr>
          <w:rFonts w:ascii="Verdana" w:hAnsi="Verdana"/>
          <w:sz w:val="16"/>
          <w:szCs w:val="32"/>
          <w:lang w:val="pt-BR"/>
        </w:rPr>
        <w:t xml:space="preserve">ÉTNICA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95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 xml:space="preserve">Fica </w:t>
      </w:r>
      <w:r w:rsidR="004756C1" w:rsidRPr="002F50BD">
        <w:rPr>
          <w:rFonts w:ascii="Verdana" w:hAnsi="Verdana"/>
          <w:sz w:val="16"/>
          <w:szCs w:val="32"/>
          <w:lang w:val="pt-BR"/>
        </w:rPr>
        <w:t>re</w:t>
      </w:r>
      <w:r w:rsidR="0089298C" w:rsidRPr="002F50BD">
        <w:rPr>
          <w:rFonts w:ascii="Verdana" w:hAnsi="Verdana"/>
          <w:sz w:val="16"/>
          <w:szCs w:val="32"/>
          <w:lang w:val="pt-BR"/>
        </w:rPr>
        <w:t>conhecido e garantid</w:t>
      </w:r>
      <w:r w:rsidR="004756C1" w:rsidRPr="002F50BD">
        <w:rPr>
          <w:rFonts w:ascii="Verdana" w:hAnsi="Verdana"/>
          <w:sz w:val="16"/>
          <w:szCs w:val="32"/>
          <w:lang w:val="pt-BR"/>
        </w:rPr>
        <w:t>o</w:t>
      </w:r>
      <w:r w:rsidR="0089298C" w:rsidRPr="002F50BD">
        <w:rPr>
          <w:rFonts w:ascii="Verdana" w:hAnsi="Verdana"/>
          <w:sz w:val="16"/>
          <w:szCs w:val="32"/>
          <w:lang w:val="pt-BR"/>
        </w:rPr>
        <w:t xml:space="preserve"> o direito dos povo</w:t>
      </w:r>
      <w:r w:rsidR="004756C1" w:rsidRPr="002F50BD">
        <w:rPr>
          <w:rFonts w:ascii="Verdana" w:hAnsi="Verdana"/>
          <w:sz w:val="16"/>
          <w:szCs w:val="32"/>
          <w:lang w:val="pt-BR"/>
        </w:rPr>
        <w:t>s indígenas a preservar</w:t>
      </w:r>
      <w:r w:rsidR="0089298C" w:rsidRPr="002F50BD">
        <w:rPr>
          <w:rFonts w:ascii="Verdana" w:hAnsi="Verdana"/>
          <w:sz w:val="16"/>
          <w:szCs w:val="32"/>
          <w:lang w:val="pt-BR"/>
        </w:rPr>
        <w:t xml:space="preserve"> e </w:t>
      </w:r>
      <w:r w:rsidR="004756C1" w:rsidRPr="002F50BD">
        <w:rPr>
          <w:rFonts w:ascii="Verdana" w:hAnsi="Verdana"/>
          <w:sz w:val="16"/>
          <w:szCs w:val="32"/>
          <w:lang w:val="pt-BR"/>
        </w:rPr>
        <w:t xml:space="preserve">a </w:t>
      </w:r>
      <w:r w:rsidR="0089298C" w:rsidRPr="002F50BD">
        <w:rPr>
          <w:rFonts w:ascii="Verdana" w:hAnsi="Verdana"/>
          <w:sz w:val="16"/>
          <w:szCs w:val="32"/>
          <w:lang w:val="pt-BR"/>
        </w:rPr>
        <w:t>desenvolver</w:t>
      </w:r>
      <w:r w:rsidR="004756C1" w:rsidRPr="002F50BD">
        <w:rPr>
          <w:rFonts w:ascii="Verdana" w:hAnsi="Verdana"/>
          <w:sz w:val="16"/>
          <w:szCs w:val="32"/>
          <w:lang w:val="pt-BR"/>
        </w:rPr>
        <w:t xml:space="preserve"> </w:t>
      </w:r>
      <w:r w:rsidR="0089298C" w:rsidRPr="002F50BD">
        <w:rPr>
          <w:rFonts w:ascii="Verdana" w:hAnsi="Verdana"/>
          <w:sz w:val="16"/>
          <w:szCs w:val="32"/>
          <w:lang w:val="pt-BR"/>
        </w:rPr>
        <w:t xml:space="preserve">sua identidade </w:t>
      </w:r>
      <w:r w:rsidR="004756C1" w:rsidRPr="002F50BD">
        <w:rPr>
          <w:rFonts w:ascii="Verdana" w:hAnsi="Verdana"/>
          <w:sz w:val="16"/>
          <w:szCs w:val="32"/>
          <w:lang w:val="pt-BR"/>
        </w:rPr>
        <w:t>étnica</w:t>
      </w:r>
      <w:r w:rsidR="0089298C" w:rsidRPr="002F50BD">
        <w:rPr>
          <w:rFonts w:ascii="Verdana" w:hAnsi="Verdana"/>
          <w:sz w:val="16"/>
          <w:szCs w:val="32"/>
          <w:lang w:val="pt-BR"/>
        </w:rPr>
        <w:t xml:space="preserve"> no </w:t>
      </w:r>
      <w:r w:rsidR="004756C1" w:rsidRPr="002F50BD">
        <w:rPr>
          <w:rFonts w:ascii="Verdana" w:hAnsi="Verdana"/>
          <w:sz w:val="16"/>
          <w:szCs w:val="32"/>
          <w:lang w:val="pt-BR"/>
        </w:rPr>
        <w:t xml:space="preserve">respectivo </w:t>
      </w:r>
      <w:r w:rsidR="001A0CDE" w:rsidRPr="002F50BD">
        <w:rPr>
          <w:rFonts w:ascii="Verdana" w:hAnsi="Verdana"/>
          <w:i/>
          <w:sz w:val="16"/>
          <w:szCs w:val="32"/>
          <w:lang w:val="pt-BR"/>
        </w:rPr>
        <w:t>habitat</w:t>
      </w:r>
      <w:r w:rsidR="004756C1" w:rsidRPr="002F50BD">
        <w:rPr>
          <w:rFonts w:ascii="Verdana" w:hAnsi="Verdana"/>
          <w:sz w:val="16"/>
          <w:szCs w:val="32"/>
          <w:lang w:val="pt-BR"/>
        </w:rPr>
        <w:t xml:space="preserve">. </w:t>
      </w:r>
      <w:r w:rsidR="0089298C" w:rsidRPr="002F50BD">
        <w:rPr>
          <w:rFonts w:ascii="Verdana" w:hAnsi="Verdana"/>
          <w:sz w:val="16"/>
          <w:szCs w:val="32"/>
          <w:lang w:val="pt-BR"/>
        </w:rPr>
        <w:t>Têm</w:t>
      </w:r>
      <w:r w:rsidR="004756C1" w:rsidRPr="002F50BD">
        <w:rPr>
          <w:rFonts w:ascii="Verdana" w:hAnsi="Verdana"/>
          <w:sz w:val="16"/>
          <w:szCs w:val="32"/>
          <w:lang w:val="pt-BR"/>
        </w:rPr>
        <w:t xml:space="preserve"> </w:t>
      </w:r>
      <w:r w:rsidR="0089298C" w:rsidRPr="002F50BD">
        <w:rPr>
          <w:rFonts w:ascii="Verdana" w:hAnsi="Verdana"/>
          <w:sz w:val="16"/>
          <w:szCs w:val="32"/>
          <w:lang w:val="pt-BR"/>
        </w:rPr>
        <w:t>direito</w:t>
      </w:r>
      <w:r w:rsidR="004756C1" w:rsidRPr="002F50BD">
        <w:rPr>
          <w:rFonts w:ascii="Verdana" w:hAnsi="Verdana"/>
          <w:sz w:val="16"/>
          <w:szCs w:val="32"/>
          <w:lang w:val="pt-BR"/>
        </w:rPr>
        <w:t xml:space="preserve">, </w:t>
      </w:r>
      <w:r w:rsidRPr="002F50BD">
        <w:rPr>
          <w:rFonts w:ascii="Verdana" w:hAnsi="Verdana"/>
          <w:sz w:val="16"/>
          <w:szCs w:val="32"/>
          <w:lang w:val="pt-BR"/>
        </w:rPr>
        <w:t>ademais</w:t>
      </w:r>
      <w:r w:rsidR="004756C1" w:rsidRPr="002F50BD">
        <w:rPr>
          <w:rFonts w:ascii="Verdana" w:hAnsi="Verdana"/>
          <w:sz w:val="16"/>
          <w:szCs w:val="32"/>
          <w:lang w:val="pt-BR"/>
        </w:rPr>
        <w:t xml:space="preserve">, a aplicar </w:t>
      </w:r>
      <w:r w:rsidR="0089298C" w:rsidRPr="002F50BD">
        <w:rPr>
          <w:rFonts w:ascii="Verdana" w:hAnsi="Verdana"/>
          <w:sz w:val="16"/>
          <w:szCs w:val="32"/>
          <w:lang w:val="pt-BR"/>
        </w:rPr>
        <w:t>livremente</w:t>
      </w:r>
      <w:r w:rsidR="004756C1" w:rsidRPr="002F50BD">
        <w:rPr>
          <w:rFonts w:ascii="Verdana" w:hAnsi="Verdana"/>
          <w:sz w:val="16"/>
          <w:szCs w:val="32"/>
          <w:lang w:val="pt-BR"/>
        </w:rPr>
        <w:t xml:space="preserve"> s</w:t>
      </w:r>
      <w:r w:rsidRPr="002F50BD">
        <w:rPr>
          <w:rFonts w:ascii="Verdana" w:hAnsi="Verdana"/>
          <w:sz w:val="16"/>
          <w:szCs w:val="32"/>
          <w:lang w:val="pt-BR"/>
        </w:rPr>
        <w:t>e</w:t>
      </w:r>
      <w:r w:rsidR="004756C1" w:rsidRPr="002F50BD">
        <w:rPr>
          <w:rFonts w:ascii="Verdana" w:hAnsi="Verdana"/>
          <w:sz w:val="16"/>
          <w:szCs w:val="32"/>
          <w:lang w:val="pt-BR"/>
        </w:rPr>
        <w:t>us sistemas de organiza</w:t>
      </w:r>
      <w:r w:rsidR="0089298C" w:rsidRPr="002F50BD">
        <w:rPr>
          <w:rFonts w:ascii="Verdana" w:hAnsi="Verdana"/>
          <w:sz w:val="16"/>
          <w:szCs w:val="32"/>
          <w:lang w:val="pt-BR"/>
        </w:rPr>
        <w:t>ção</w:t>
      </w:r>
      <w:r w:rsidR="004756C1" w:rsidRPr="002F50BD">
        <w:rPr>
          <w:rFonts w:ascii="Verdana" w:hAnsi="Verdana"/>
          <w:sz w:val="16"/>
          <w:szCs w:val="32"/>
          <w:lang w:val="pt-BR"/>
        </w:rPr>
        <w:t xml:space="preserve"> política, social, </w:t>
      </w:r>
      <w:r w:rsidR="0089298C" w:rsidRPr="002F50BD">
        <w:rPr>
          <w:rFonts w:ascii="Verdana" w:hAnsi="Verdana"/>
          <w:sz w:val="16"/>
          <w:szCs w:val="32"/>
          <w:lang w:val="pt-BR"/>
        </w:rPr>
        <w:t>econômic</w:t>
      </w:r>
      <w:r w:rsidR="004756C1" w:rsidRPr="002F50BD">
        <w:rPr>
          <w:rFonts w:ascii="Verdana" w:hAnsi="Verdana"/>
          <w:sz w:val="16"/>
          <w:szCs w:val="32"/>
          <w:lang w:val="pt-BR"/>
        </w:rPr>
        <w:t>a, cultural</w:t>
      </w:r>
      <w:r w:rsidR="0089298C" w:rsidRPr="002F50BD">
        <w:rPr>
          <w:rFonts w:ascii="Verdana" w:hAnsi="Verdana"/>
          <w:sz w:val="16"/>
          <w:szCs w:val="32"/>
          <w:lang w:val="pt-BR"/>
        </w:rPr>
        <w:t xml:space="preserve"> e </w:t>
      </w:r>
      <w:r w:rsidR="004756C1" w:rsidRPr="002F50BD">
        <w:rPr>
          <w:rFonts w:ascii="Verdana" w:hAnsi="Verdana"/>
          <w:sz w:val="16"/>
          <w:szCs w:val="32"/>
          <w:lang w:val="pt-BR"/>
        </w:rPr>
        <w:t>religiosa,</w:t>
      </w:r>
      <w:r w:rsidR="0089298C" w:rsidRPr="002F50BD">
        <w:rPr>
          <w:rFonts w:ascii="Verdana" w:hAnsi="Verdana"/>
          <w:sz w:val="16"/>
          <w:szCs w:val="32"/>
          <w:lang w:val="pt-BR"/>
        </w:rPr>
        <w:t xml:space="preserve"> </w:t>
      </w:r>
      <w:r w:rsidRPr="002F50BD">
        <w:rPr>
          <w:rFonts w:ascii="Verdana" w:hAnsi="Verdana"/>
          <w:sz w:val="16"/>
          <w:szCs w:val="32"/>
          <w:lang w:val="pt-BR"/>
        </w:rPr>
        <w:t xml:space="preserve">igualmente como </w:t>
      </w:r>
      <w:r w:rsidR="0089298C" w:rsidRPr="002F50BD">
        <w:rPr>
          <w:rFonts w:ascii="Verdana" w:hAnsi="Verdana"/>
          <w:sz w:val="16"/>
          <w:szCs w:val="32"/>
          <w:lang w:val="pt-BR"/>
        </w:rPr>
        <w:t xml:space="preserve">a </w:t>
      </w:r>
      <w:r w:rsidR="004076AD" w:rsidRPr="002F50BD">
        <w:rPr>
          <w:rFonts w:ascii="Verdana" w:hAnsi="Verdana"/>
          <w:sz w:val="16"/>
          <w:szCs w:val="32"/>
          <w:lang w:val="pt-BR"/>
        </w:rPr>
        <w:t>voluntári</w:t>
      </w:r>
      <w:r w:rsidR="004756C1" w:rsidRPr="002F50BD">
        <w:rPr>
          <w:rFonts w:ascii="Verdana" w:hAnsi="Verdana"/>
          <w:sz w:val="16"/>
          <w:szCs w:val="32"/>
          <w:lang w:val="pt-BR"/>
        </w:rPr>
        <w:t>a suje</w:t>
      </w:r>
      <w:r w:rsidRPr="002F50BD">
        <w:rPr>
          <w:rFonts w:ascii="Verdana" w:hAnsi="Verdana"/>
          <w:sz w:val="16"/>
          <w:szCs w:val="32"/>
          <w:lang w:val="pt-BR"/>
        </w:rPr>
        <w:t>i</w:t>
      </w:r>
      <w:r w:rsidR="0089298C" w:rsidRPr="002F50BD">
        <w:rPr>
          <w:rFonts w:ascii="Verdana" w:hAnsi="Verdana"/>
          <w:sz w:val="16"/>
          <w:szCs w:val="32"/>
          <w:lang w:val="pt-BR"/>
        </w:rPr>
        <w:t>ção</w:t>
      </w:r>
      <w:r w:rsidR="004756C1" w:rsidRPr="002F50BD">
        <w:rPr>
          <w:rFonts w:ascii="Verdana" w:hAnsi="Verdana"/>
          <w:sz w:val="16"/>
          <w:szCs w:val="32"/>
          <w:lang w:val="pt-BR"/>
        </w:rPr>
        <w:t xml:space="preserve"> a su</w:t>
      </w:r>
      <w:r w:rsidRPr="002F50BD">
        <w:rPr>
          <w:rFonts w:ascii="Verdana" w:hAnsi="Verdana"/>
          <w:sz w:val="16"/>
          <w:szCs w:val="32"/>
          <w:lang w:val="pt-BR"/>
        </w:rPr>
        <w:t>a</w:t>
      </w:r>
      <w:r w:rsidR="004756C1" w:rsidRPr="002F50BD">
        <w:rPr>
          <w:rFonts w:ascii="Verdana" w:hAnsi="Verdana"/>
          <w:sz w:val="16"/>
          <w:szCs w:val="32"/>
          <w:lang w:val="pt-BR"/>
        </w:rPr>
        <w:t xml:space="preserve">s normas </w:t>
      </w:r>
      <w:r w:rsidR="0089298C" w:rsidRPr="002F50BD">
        <w:rPr>
          <w:rFonts w:ascii="Verdana" w:hAnsi="Verdana"/>
          <w:sz w:val="16"/>
          <w:szCs w:val="32"/>
          <w:lang w:val="pt-BR"/>
        </w:rPr>
        <w:t>consuetudinária</w:t>
      </w:r>
      <w:r w:rsidR="004756C1" w:rsidRPr="002F50BD">
        <w:rPr>
          <w:rFonts w:ascii="Verdana" w:hAnsi="Verdana"/>
          <w:sz w:val="16"/>
          <w:szCs w:val="32"/>
          <w:lang w:val="pt-BR"/>
        </w:rPr>
        <w:t>s para</w:t>
      </w:r>
      <w:r w:rsidR="0089298C" w:rsidRPr="002F50BD">
        <w:rPr>
          <w:rFonts w:ascii="Verdana" w:hAnsi="Verdana"/>
          <w:sz w:val="16"/>
          <w:szCs w:val="32"/>
          <w:lang w:val="pt-BR"/>
        </w:rPr>
        <w:t xml:space="preserve"> a </w:t>
      </w:r>
      <w:r w:rsidR="004756C1" w:rsidRPr="002F50BD">
        <w:rPr>
          <w:rFonts w:ascii="Verdana" w:hAnsi="Verdana"/>
          <w:sz w:val="16"/>
          <w:szCs w:val="32"/>
          <w:lang w:val="pt-BR"/>
        </w:rPr>
        <w:t>regula</w:t>
      </w:r>
      <w:r w:rsidR="0089298C" w:rsidRPr="002F50BD">
        <w:rPr>
          <w:rFonts w:ascii="Verdana" w:hAnsi="Verdana"/>
          <w:sz w:val="16"/>
          <w:szCs w:val="32"/>
          <w:lang w:val="pt-BR"/>
        </w:rPr>
        <w:t>ção da convivência</w:t>
      </w:r>
      <w:r w:rsidR="004756C1" w:rsidRPr="002F50BD">
        <w:rPr>
          <w:rFonts w:ascii="Verdana" w:hAnsi="Verdana"/>
          <w:sz w:val="16"/>
          <w:szCs w:val="32"/>
          <w:lang w:val="pt-BR"/>
        </w:rPr>
        <w:t xml:space="preserve"> interior </w:t>
      </w:r>
      <w:r w:rsidR="0089298C" w:rsidRPr="002F50BD">
        <w:rPr>
          <w:rFonts w:ascii="Verdana" w:hAnsi="Verdana"/>
          <w:sz w:val="16"/>
          <w:szCs w:val="32"/>
          <w:lang w:val="pt-BR"/>
        </w:rPr>
        <w:t>sempre</w:t>
      </w:r>
      <w:r w:rsidR="004756C1" w:rsidRPr="002F50BD">
        <w:rPr>
          <w:rFonts w:ascii="Verdana" w:hAnsi="Verdana"/>
          <w:sz w:val="16"/>
          <w:szCs w:val="32"/>
          <w:lang w:val="pt-BR"/>
        </w:rPr>
        <w:t xml:space="preserve"> que</w:t>
      </w:r>
      <w:r w:rsidR="0089298C" w:rsidRPr="002F50BD">
        <w:rPr>
          <w:rFonts w:ascii="Verdana" w:hAnsi="Verdana"/>
          <w:sz w:val="16"/>
          <w:szCs w:val="32"/>
          <w:lang w:val="pt-BR"/>
        </w:rPr>
        <w:t xml:space="preserve"> ela</w:t>
      </w:r>
      <w:r w:rsidR="004756C1" w:rsidRPr="002F50BD">
        <w:rPr>
          <w:rFonts w:ascii="Verdana" w:hAnsi="Verdana"/>
          <w:sz w:val="16"/>
          <w:szCs w:val="32"/>
          <w:lang w:val="pt-BR"/>
        </w:rPr>
        <w:t>s n</w:t>
      </w:r>
      <w:r w:rsidRPr="002F50BD">
        <w:rPr>
          <w:rFonts w:ascii="Verdana" w:hAnsi="Verdana"/>
          <w:sz w:val="16"/>
          <w:szCs w:val="32"/>
          <w:lang w:val="pt-BR"/>
        </w:rPr>
        <w:t>ã</w:t>
      </w:r>
      <w:r w:rsidR="004756C1" w:rsidRPr="002F50BD">
        <w:rPr>
          <w:rFonts w:ascii="Verdana" w:hAnsi="Verdana"/>
          <w:sz w:val="16"/>
          <w:szCs w:val="32"/>
          <w:lang w:val="pt-BR"/>
        </w:rPr>
        <w:t>o atente</w:t>
      </w:r>
      <w:r w:rsidRPr="002F50BD">
        <w:rPr>
          <w:rFonts w:ascii="Verdana" w:hAnsi="Verdana"/>
          <w:sz w:val="16"/>
          <w:szCs w:val="32"/>
          <w:lang w:val="pt-BR"/>
        </w:rPr>
        <w:t>m</w:t>
      </w:r>
      <w:r w:rsidR="004756C1" w:rsidRPr="002F50BD">
        <w:rPr>
          <w:rFonts w:ascii="Verdana" w:hAnsi="Verdana"/>
          <w:sz w:val="16"/>
          <w:szCs w:val="32"/>
          <w:lang w:val="pt-BR"/>
        </w:rPr>
        <w:t xml:space="preserve"> contra</w:t>
      </w:r>
      <w:r w:rsidR="0089298C" w:rsidRPr="002F50BD">
        <w:rPr>
          <w:rFonts w:ascii="Verdana" w:hAnsi="Verdana"/>
          <w:sz w:val="16"/>
          <w:szCs w:val="32"/>
          <w:lang w:val="pt-BR"/>
        </w:rPr>
        <w:t xml:space="preserve"> os direito</w:t>
      </w:r>
      <w:r w:rsidR="004756C1" w:rsidRPr="002F50BD">
        <w:rPr>
          <w:rFonts w:ascii="Verdana" w:hAnsi="Verdana"/>
          <w:sz w:val="16"/>
          <w:szCs w:val="32"/>
          <w:lang w:val="pt-BR"/>
        </w:rPr>
        <w:t xml:space="preserve">s </w:t>
      </w:r>
      <w:r w:rsidR="0089298C" w:rsidRPr="002F50BD">
        <w:rPr>
          <w:rFonts w:ascii="Verdana" w:hAnsi="Verdana"/>
          <w:sz w:val="16"/>
          <w:szCs w:val="32"/>
          <w:lang w:val="pt-BR"/>
        </w:rPr>
        <w:t>fundamentais</w:t>
      </w:r>
      <w:r w:rsidR="004756C1" w:rsidRPr="002F50BD">
        <w:rPr>
          <w:rFonts w:ascii="Verdana" w:hAnsi="Verdana"/>
          <w:sz w:val="16"/>
          <w:szCs w:val="32"/>
          <w:lang w:val="pt-BR"/>
        </w:rPr>
        <w:t xml:space="preserve"> </w:t>
      </w:r>
      <w:r w:rsidR="0089298C" w:rsidRPr="002F50BD">
        <w:rPr>
          <w:rFonts w:ascii="Verdana" w:hAnsi="Verdana"/>
          <w:sz w:val="16"/>
          <w:szCs w:val="32"/>
          <w:lang w:val="pt-BR"/>
        </w:rPr>
        <w:t>estabelecid</w:t>
      </w:r>
      <w:r w:rsidR="004756C1" w:rsidRPr="002F50BD">
        <w:rPr>
          <w:rFonts w:ascii="Verdana" w:hAnsi="Verdana"/>
          <w:sz w:val="16"/>
          <w:szCs w:val="32"/>
          <w:lang w:val="pt-BR"/>
        </w:rPr>
        <w:t>os</w:t>
      </w:r>
      <w:r w:rsidR="0089298C" w:rsidRPr="002F50BD">
        <w:rPr>
          <w:rFonts w:ascii="Verdana" w:hAnsi="Verdana"/>
          <w:sz w:val="16"/>
          <w:szCs w:val="32"/>
          <w:lang w:val="pt-BR"/>
        </w:rPr>
        <w:t xml:space="preserve"> nesta Constituição</w:t>
      </w:r>
      <w:r w:rsidR="004756C1" w:rsidRPr="002F50BD">
        <w:rPr>
          <w:rFonts w:ascii="Verdana" w:hAnsi="Verdana"/>
          <w:sz w:val="16"/>
          <w:szCs w:val="32"/>
          <w:lang w:val="pt-BR"/>
        </w:rPr>
        <w:t>.</w:t>
      </w:r>
      <w:r w:rsidR="0089298C" w:rsidRPr="002F50BD">
        <w:rPr>
          <w:rFonts w:ascii="Verdana" w:hAnsi="Verdana"/>
          <w:sz w:val="16"/>
          <w:szCs w:val="32"/>
          <w:lang w:val="pt-BR"/>
        </w:rPr>
        <w:t xml:space="preserve"> </w:t>
      </w:r>
      <w:r w:rsidRPr="002F50BD">
        <w:rPr>
          <w:rFonts w:ascii="Verdana" w:hAnsi="Verdana"/>
          <w:sz w:val="16"/>
          <w:szCs w:val="32"/>
          <w:lang w:val="pt-BR"/>
        </w:rPr>
        <w:t>N</w:t>
      </w:r>
      <w:r w:rsidR="0089298C" w:rsidRPr="002F50BD">
        <w:rPr>
          <w:rFonts w:ascii="Verdana" w:hAnsi="Verdana"/>
          <w:sz w:val="16"/>
          <w:szCs w:val="32"/>
          <w:lang w:val="pt-BR"/>
        </w:rPr>
        <w:t>os conflito</w:t>
      </w:r>
      <w:r w:rsidR="004756C1" w:rsidRPr="002F50BD">
        <w:rPr>
          <w:rFonts w:ascii="Verdana" w:hAnsi="Verdana"/>
          <w:sz w:val="16"/>
          <w:szCs w:val="32"/>
          <w:lang w:val="pt-BR"/>
        </w:rPr>
        <w:t xml:space="preserve">s </w:t>
      </w:r>
      <w:r w:rsidR="0089298C" w:rsidRPr="002F50BD">
        <w:rPr>
          <w:rFonts w:ascii="Verdana" w:hAnsi="Verdana"/>
          <w:sz w:val="16"/>
          <w:szCs w:val="32"/>
          <w:lang w:val="pt-BR"/>
        </w:rPr>
        <w:t>jurisdicionais</w:t>
      </w:r>
      <w:r w:rsidR="00996FA1" w:rsidRPr="002F50BD">
        <w:rPr>
          <w:rFonts w:ascii="Verdana" w:hAnsi="Verdana"/>
          <w:sz w:val="16"/>
          <w:szCs w:val="32"/>
          <w:lang w:val="pt-BR"/>
        </w:rPr>
        <w:t>,</w:t>
      </w:r>
      <w:r w:rsidR="004756C1" w:rsidRPr="002F50BD">
        <w:rPr>
          <w:rFonts w:ascii="Verdana" w:hAnsi="Verdana"/>
          <w:sz w:val="16"/>
          <w:szCs w:val="32"/>
          <w:lang w:val="pt-BR"/>
        </w:rPr>
        <w:t xml:space="preserve"> </w:t>
      </w:r>
      <w:r w:rsidR="0089298C" w:rsidRPr="002F50BD">
        <w:rPr>
          <w:rFonts w:ascii="Verdana" w:hAnsi="Verdana"/>
          <w:sz w:val="16"/>
          <w:szCs w:val="32"/>
          <w:lang w:val="pt-BR"/>
        </w:rPr>
        <w:t>ter</w:t>
      </w:r>
      <w:r w:rsidRPr="002F50BD">
        <w:rPr>
          <w:rFonts w:ascii="Verdana" w:hAnsi="Verdana"/>
          <w:sz w:val="16"/>
          <w:szCs w:val="32"/>
          <w:lang w:val="pt-BR"/>
        </w:rPr>
        <w:t>-se-</w:t>
      </w:r>
      <w:r w:rsidR="0089298C" w:rsidRPr="002F50BD">
        <w:rPr>
          <w:rFonts w:ascii="Verdana" w:hAnsi="Verdana"/>
          <w:sz w:val="16"/>
          <w:szCs w:val="32"/>
          <w:lang w:val="pt-BR"/>
        </w:rPr>
        <w:t>á em conta o direito</w:t>
      </w:r>
      <w:r w:rsidR="004756C1" w:rsidRPr="002F50BD">
        <w:rPr>
          <w:rFonts w:ascii="Verdana" w:hAnsi="Verdana"/>
          <w:sz w:val="16"/>
          <w:szCs w:val="32"/>
          <w:lang w:val="pt-BR"/>
        </w:rPr>
        <w:t xml:space="preserve"> </w:t>
      </w:r>
      <w:r w:rsidR="0089298C" w:rsidRPr="002F50BD">
        <w:rPr>
          <w:rFonts w:ascii="Verdana" w:hAnsi="Verdana"/>
          <w:sz w:val="16"/>
          <w:szCs w:val="32"/>
          <w:lang w:val="pt-BR"/>
        </w:rPr>
        <w:t>consuetudinário</w:t>
      </w:r>
      <w:r w:rsidR="004756C1" w:rsidRPr="002F50BD">
        <w:rPr>
          <w:rFonts w:ascii="Verdana" w:hAnsi="Verdana"/>
          <w:sz w:val="16"/>
          <w:szCs w:val="32"/>
          <w:lang w:val="pt-BR"/>
        </w:rPr>
        <w:t xml:space="preserve"> indígena.</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Artigo</w:t>
      </w:r>
      <w:r w:rsidR="004756C1" w:rsidRPr="002F50BD">
        <w:rPr>
          <w:rFonts w:ascii="Verdana" w:hAnsi="Verdana"/>
          <w:sz w:val="16"/>
          <w:szCs w:val="32"/>
          <w:lang w:val="pt-BR"/>
        </w:rPr>
        <w:t xml:space="preserve"> </w:t>
      </w:r>
      <w:r w:rsidR="00063B47" w:rsidRPr="002F50BD">
        <w:rPr>
          <w:rFonts w:ascii="Verdana" w:hAnsi="Verdana"/>
          <w:sz w:val="16"/>
          <w:szCs w:val="32"/>
          <w:lang w:val="pt-BR"/>
        </w:rPr>
        <w:t>64</w:t>
      </w:r>
      <w:r w:rsidR="004756C1" w:rsidRPr="002F50BD">
        <w:rPr>
          <w:rFonts w:ascii="Verdana" w:hAnsi="Verdana"/>
          <w:sz w:val="16"/>
          <w:szCs w:val="32"/>
          <w:lang w:val="pt-BR"/>
        </w:rPr>
        <w:t xml:space="preserve"> -</w:t>
      </w:r>
      <w:r w:rsidRPr="002F50BD">
        <w:rPr>
          <w:rFonts w:ascii="Verdana" w:hAnsi="Verdana"/>
          <w:sz w:val="16"/>
          <w:szCs w:val="32"/>
          <w:lang w:val="pt-BR"/>
        </w:rPr>
        <w:t xml:space="preserve"> </w:t>
      </w:r>
      <w:r w:rsidR="00957343" w:rsidRPr="002F50BD">
        <w:rPr>
          <w:rFonts w:ascii="Verdana" w:hAnsi="Verdana"/>
          <w:sz w:val="16"/>
          <w:szCs w:val="32"/>
          <w:lang w:val="pt-BR"/>
        </w:rPr>
        <w:t>DA</w:t>
      </w:r>
      <w:r w:rsidRPr="002F50BD">
        <w:rPr>
          <w:rFonts w:ascii="Verdana" w:hAnsi="Verdana"/>
          <w:sz w:val="16"/>
          <w:szCs w:val="32"/>
          <w:lang w:val="pt-BR"/>
        </w:rPr>
        <w:t xml:space="preserve"> PROPRIEDADE</w:t>
      </w:r>
      <w:r w:rsidR="004756C1" w:rsidRPr="002F50BD">
        <w:rPr>
          <w:rFonts w:ascii="Verdana" w:hAnsi="Verdana"/>
          <w:sz w:val="16"/>
          <w:szCs w:val="32"/>
          <w:lang w:val="pt-BR"/>
        </w:rPr>
        <w:t xml:space="preserve"> </w:t>
      </w:r>
      <w:r w:rsidR="004076AD" w:rsidRPr="002F50BD">
        <w:rPr>
          <w:rFonts w:ascii="Verdana" w:hAnsi="Verdana"/>
          <w:sz w:val="16"/>
          <w:szCs w:val="32"/>
          <w:lang w:val="pt-BR"/>
        </w:rPr>
        <w:t>COMUNITÁRI</w:t>
      </w:r>
      <w:r w:rsidR="004756C1" w:rsidRPr="002F50BD">
        <w:rPr>
          <w:rFonts w:ascii="Verdana" w:hAnsi="Verdana"/>
          <w:sz w:val="16"/>
          <w:szCs w:val="32"/>
          <w:lang w:val="pt-BR"/>
        </w:rPr>
        <w:t xml:space="preserve">A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AB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 xml:space="preserve">Os </w:t>
      </w:r>
      <w:r w:rsidR="0089298C" w:rsidRPr="002F50BD">
        <w:rPr>
          <w:rFonts w:ascii="Verdana" w:hAnsi="Verdana"/>
          <w:sz w:val="16"/>
          <w:szCs w:val="32"/>
          <w:lang w:val="pt-BR"/>
        </w:rPr>
        <w:t>povo</w:t>
      </w:r>
      <w:r w:rsidR="004756C1" w:rsidRPr="002F50BD">
        <w:rPr>
          <w:rFonts w:ascii="Verdana" w:hAnsi="Verdana"/>
          <w:sz w:val="16"/>
          <w:szCs w:val="32"/>
          <w:lang w:val="pt-BR"/>
        </w:rPr>
        <w:t xml:space="preserve">s indígenas </w:t>
      </w:r>
      <w:r w:rsidR="0089298C" w:rsidRPr="002F50BD">
        <w:rPr>
          <w:rFonts w:ascii="Verdana" w:hAnsi="Verdana"/>
          <w:sz w:val="16"/>
          <w:szCs w:val="32"/>
          <w:lang w:val="pt-BR"/>
        </w:rPr>
        <w:t>têm</w:t>
      </w:r>
      <w:r w:rsidR="004756C1" w:rsidRPr="002F50BD">
        <w:rPr>
          <w:rFonts w:ascii="Verdana" w:hAnsi="Verdana"/>
          <w:sz w:val="16"/>
          <w:szCs w:val="32"/>
          <w:lang w:val="pt-BR"/>
        </w:rPr>
        <w:t xml:space="preserve"> </w:t>
      </w:r>
      <w:r w:rsidR="0089298C" w:rsidRPr="002F50BD">
        <w:rPr>
          <w:rFonts w:ascii="Verdana" w:hAnsi="Verdana"/>
          <w:sz w:val="16"/>
          <w:szCs w:val="32"/>
          <w:lang w:val="pt-BR"/>
        </w:rPr>
        <w:t>direito à propriedade</w:t>
      </w:r>
      <w:r w:rsidR="004756C1" w:rsidRPr="002F50BD">
        <w:rPr>
          <w:rFonts w:ascii="Verdana" w:hAnsi="Verdana"/>
          <w:sz w:val="16"/>
          <w:szCs w:val="32"/>
          <w:lang w:val="pt-BR"/>
        </w:rPr>
        <w:t xml:space="preserve"> </w:t>
      </w:r>
      <w:r w:rsidR="004076AD" w:rsidRPr="002F50BD">
        <w:rPr>
          <w:rFonts w:ascii="Verdana" w:hAnsi="Verdana"/>
          <w:sz w:val="16"/>
          <w:szCs w:val="32"/>
          <w:lang w:val="pt-BR"/>
        </w:rPr>
        <w:t>comunitári</w:t>
      </w:r>
      <w:r w:rsidR="004756C1" w:rsidRPr="002F50BD">
        <w:rPr>
          <w:rFonts w:ascii="Verdana" w:hAnsi="Verdana"/>
          <w:sz w:val="16"/>
          <w:szCs w:val="32"/>
          <w:lang w:val="pt-BR"/>
        </w:rPr>
        <w:t>a</w:t>
      </w:r>
      <w:r w:rsidR="0089298C" w:rsidRPr="002F50BD">
        <w:rPr>
          <w:rFonts w:ascii="Verdana" w:hAnsi="Verdana"/>
          <w:sz w:val="16"/>
          <w:szCs w:val="32"/>
          <w:lang w:val="pt-BR"/>
        </w:rPr>
        <w:t xml:space="preserve"> da terra</w:t>
      </w:r>
      <w:r w:rsidR="004756C1" w:rsidRPr="002F50BD">
        <w:rPr>
          <w:rFonts w:ascii="Verdana" w:hAnsi="Verdana"/>
          <w:sz w:val="16"/>
          <w:szCs w:val="32"/>
          <w:lang w:val="pt-BR"/>
        </w:rPr>
        <w:t>,</w:t>
      </w:r>
      <w:r w:rsidR="0089298C" w:rsidRPr="002F50BD">
        <w:rPr>
          <w:rFonts w:ascii="Verdana" w:hAnsi="Verdana"/>
          <w:sz w:val="16"/>
          <w:szCs w:val="32"/>
          <w:lang w:val="pt-BR"/>
        </w:rPr>
        <w:t xml:space="preserve"> em extensão e qualidade </w:t>
      </w:r>
      <w:r w:rsidR="004756C1" w:rsidRPr="002F50BD">
        <w:rPr>
          <w:rFonts w:ascii="Verdana" w:hAnsi="Verdana"/>
          <w:sz w:val="16"/>
          <w:szCs w:val="32"/>
          <w:lang w:val="pt-BR"/>
        </w:rPr>
        <w:t>suficientes para</w:t>
      </w:r>
      <w:r w:rsidR="0089298C" w:rsidRPr="002F50BD">
        <w:rPr>
          <w:rFonts w:ascii="Verdana" w:hAnsi="Verdana"/>
          <w:sz w:val="16"/>
          <w:szCs w:val="32"/>
          <w:lang w:val="pt-BR"/>
        </w:rPr>
        <w:t xml:space="preserve"> a </w:t>
      </w:r>
      <w:r w:rsidR="004756C1" w:rsidRPr="002F50BD">
        <w:rPr>
          <w:rFonts w:ascii="Verdana" w:hAnsi="Verdana"/>
          <w:sz w:val="16"/>
          <w:szCs w:val="32"/>
          <w:lang w:val="pt-BR"/>
        </w:rPr>
        <w:t>conserva</w:t>
      </w:r>
      <w:r w:rsidR="0089298C" w:rsidRPr="002F50BD">
        <w:rPr>
          <w:rFonts w:ascii="Verdana" w:hAnsi="Verdana"/>
          <w:sz w:val="16"/>
          <w:szCs w:val="32"/>
          <w:lang w:val="pt-BR"/>
        </w:rPr>
        <w:t>ção e o desenvolvimento</w:t>
      </w:r>
      <w:r w:rsidR="004756C1" w:rsidRPr="002F50BD">
        <w:rPr>
          <w:rFonts w:ascii="Verdana" w:hAnsi="Verdana"/>
          <w:sz w:val="16"/>
          <w:szCs w:val="32"/>
          <w:lang w:val="pt-BR"/>
        </w:rPr>
        <w:t xml:space="preserve"> de </w:t>
      </w:r>
      <w:r w:rsidR="00D95E71" w:rsidRPr="002F50BD">
        <w:rPr>
          <w:rFonts w:ascii="Verdana" w:hAnsi="Verdana"/>
          <w:sz w:val="16"/>
          <w:szCs w:val="32"/>
          <w:lang w:val="pt-BR"/>
        </w:rPr>
        <w:t>suas formas</w:t>
      </w:r>
      <w:r w:rsidR="004756C1" w:rsidRPr="002F50BD">
        <w:rPr>
          <w:rFonts w:ascii="Verdana" w:hAnsi="Verdana"/>
          <w:sz w:val="16"/>
          <w:szCs w:val="32"/>
          <w:lang w:val="pt-BR"/>
        </w:rPr>
        <w:t xml:space="preserve"> peculiares de vida</w:t>
      </w:r>
      <w:r w:rsidR="00D95E71" w:rsidRPr="002F50BD">
        <w:rPr>
          <w:rFonts w:ascii="Verdana" w:hAnsi="Verdana"/>
          <w:sz w:val="16"/>
          <w:szCs w:val="32"/>
          <w:lang w:val="pt-BR"/>
        </w:rPr>
        <w:t xml:space="preserve">. </w:t>
      </w:r>
      <w:r w:rsidR="00A157C9">
        <w:rPr>
          <w:rFonts w:ascii="Verdana" w:hAnsi="Verdana"/>
          <w:sz w:val="16"/>
          <w:szCs w:val="32"/>
          <w:lang w:val="pt-BR"/>
        </w:rPr>
        <w:t xml:space="preserve">O Estado lhes fornecerá gratuitamente </w:t>
      </w:r>
      <w:r w:rsidR="0089298C" w:rsidRPr="002F50BD">
        <w:rPr>
          <w:rFonts w:ascii="Verdana" w:hAnsi="Verdana"/>
          <w:sz w:val="16"/>
          <w:szCs w:val="32"/>
          <w:lang w:val="pt-BR"/>
        </w:rPr>
        <w:t>esta</w:t>
      </w:r>
      <w:r w:rsidR="004756C1" w:rsidRPr="002F50BD">
        <w:rPr>
          <w:rFonts w:ascii="Verdana" w:hAnsi="Verdana"/>
          <w:sz w:val="16"/>
          <w:szCs w:val="32"/>
          <w:lang w:val="pt-BR"/>
        </w:rPr>
        <w:t xml:space="preserve">s </w:t>
      </w:r>
      <w:r w:rsidR="0089298C" w:rsidRPr="002F50BD">
        <w:rPr>
          <w:rFonts w:ascii="Verdana" w:hAnsi="Verdana"/>
          <w:sz w:val="16"/>
          <w:szCs w:val="32"/>
          <w:lang w:val="pt-BR"/>
        </w:rPr>
        <w:t>terra</w:t>
      </w:r>
      <w:r w:rsidR="004756C1" w:rsidRPr="002F50BD">
        <w:rPr>
          <w:rFonts w:ascii="Verdana" w:hAnsi="Verdana"/>
          <w:sz w:val="16"/>
          <w:szCs w:val="32"/>
          <w:lang w:val="pt-BR"/>
        </w:rPr>
        <w:t>s,</w:t>
      </w:r>
      <w:r w:rsidR="0089298C" w:rsidRPr="002F50BD">
        <w:rPr>
          <w:rFonts w:ascii="Verdana" w:hAnsi="Verdana"/>
          <w:sz w:val="16"/>
          <w:szCs w:val="32"/>
          <w:lang w:val="pt-BR"/>
        </w:rPr>
        <w:t xml:space="preserve"> as quais</w:t>
      </w:r>
      <w:r w:rsidR="004756C1" w:rsidRPr="002F50BD">
        <w:rPr>
          <w:rFonts w:ascii="Verdana" w:hAnsi="Verdana"/>
          <w:sz w:val="16"/>
          <w:szCs w:val="32"/>
          <w:lang w:val="pt-BR"/>
        </w:rPr>
        <w:t xml:space="preserve"> </w:t>
      </w:r>
      <w:r w:rsidR="0089298C" w:rsidRPr="002F50BD">
        <w:rPr>
          <w:rFonts w:ascii="Verdana" w:hAnsi="Verdana"/>
          <w:sz w:val="16"/>
          <w:szCs w:val="32"/>
          <w:lang w:val="pt-BR"/>
        </w:rPr>
        <w:t>serão</w:t>
      </w:r>
      <w:r w:rsidR="004756C1" w:rsidRPr="002F50BD">
        <w:rPr>
          <w:rFonts w:ascii="Verdana" w:hAnsi="Verdana"/>
          <w:sz w:val="16"/>
          <w:szCs w:val="32"/>
          <w:lang w:val="pt-BR"/>
        </w:rPr>
        <w:t xml:space="preserve"> </w:t>
      </w:r>
      <w:r w:rsidR="00957343" w:rsidRPr="002F50BD">
        <w:rPr>
          <w:rFonts w:ascii="Verdana" w:hAnsi="Verdana"/>
          <w:sz w:val="16"/>
          <w:szCs w:val="32"/>
          <w:lang w:val="pt-BR"/>
        </w:rPr>
        <w:t xml:space="preserve">não embargáveis, indivisíveis, </w:t>
      </w:r>
      <w:r w:rsidR="004756C1" w:rsidRPr="002F50BD">
        <w:rPr>
          <w:rFonts w:ascii="Verdana" w:hAnsi="Verdana"/>
          <w:sz w:val="16"/>
          <w:szCs w:val="32"/>
          <w:lang w:val="pt-BR"/>
        </w:rPr>
        <w:t>intransfer</w:t>
      </w:r>
      <w:r w:rsidR="00957343" w:rsidRPr="002F50BD">
        <w:rPr>
          <w:rFonts w:ascii="Verdana" w:hAnsi="Verdana"/>
          <w:sz w:val="16"/>
          <w:szCs w:val="32"/>
          <w:lang w:val="pt-BR"/>
        </w:rPr>
        <w:t>íveis</w:t>
      </w:r>
      <w:r w:rsidR="004756C1" w:rsidRPr="002F50BD">
        <w:rPr>
          <w:rFonts w:ascii="Verdana" w:hAnsi="Verdana"/>
          <w:sz w:val="16"/>
          <w:szCs w:val="32"/>
          <w:lang w:val="pt-BR"/>
        </w:rPr>
        <w:t xml:space="preserve">, </w:t>
      </w:r>
      <w:r w:rsidR="0089298C" w:rsidRPr="002F50BD">
        <w:rPr>
          <w:rFonts w:ascii="Verdana" w:hAnsi="Verdana"/>
          <w:sz w:val="16"/>
          <w:szCs w:val="32"/>
          <w:lang w:val="pt-BR"/>
        </w:rPr>
        <w:t>imprescritíveis</w:t>
      </w:r>
      <w:r w:rsidR="004756C1" w:rsidRPr="002F50BD">
        <w:rPr>
          <w:rFonts w:ascii="Verdana" w:hAnsi="Verdana"/>
          <w:sz w:val="16"/>
          <w:szCs w:val="32"/>
          <w:lang w:val="pt-BR"/>
        </w:rPr>
        <w:t>, n</w:t>
      </w:r>
      <w:r w:rsidR="00957343" w:rsidRPr="002F50BD">
        <w:rPr>
          <w:rFonts w:ascii="Verdana" w:hAnsi="Verdana"/>
          <w:sz w:val="16"/>
          <w:szCs w:val="32"/>
          <w:lang w:val="pt-BR"/>
        </w:rPr>
        <w:t>ã</w:t>
      </w:r>
      <w:r w:rsidR="004756C1" w:rsidRPr="002F50BD">
        <w:rPr>
          <w:rFonts w:ascii="Verdana" w:hAnsi="Verdana"/>
          <w:sz w:val="16"/>
          <w:szCs w:val="32"/>
          <w:lang w:val="pt-BR"/>
        </w:rPr>
        <w:t>o suscet</w:t>
      </w:r>
      <w:r w:rsidR="0089298C" w:rsidRPr="002F50BD">
        <w:rPr>
          <w:rFonts w:ascii="Verdana" w:hAnsi="Verdana"/>
          <w:sz w:val="16"/>
          <w:szCs w:val="32"/>
          <w:lang w:val="pt-BR"/>
        </w:rPr>
        <w:t xml:space="preserve">íveis </w:t>
      </w:r>
      <w:r w:rsidR="004756C1" w:rsidRPr="002F50BD">
        <w:rPr>
          <w:rFonts w:ascii="Verdana" w:hAnsi="Verdana"/>
          <w:sz w:val="16"/>
          <w:szCs w:val="32"/>
          <w:lang w:val="pt-BR"/>
        </w:rPr>
        <w:t xml:space="preserve">de </w:t>
      </w:r>
      <w:r w:rsidR="00E12922" w:rsidRPr="002F50BD">
        <w:rPr>
          <w:rFonts w:ascii="Verdana" w:hAnsi="Verdana"/>
          <w:sz w:val="16"/>
          <w:szCs w:val="32"/>
          <w:lang w:val="pt-BR"/>
        </w:rPr>
        <w:t xml:space="preserve">servir como </w:t>
      </w:r>
      <w:r w:rsidR="00957343" w:rsidRPr="002F50BD">
        <w:rPr>
          <w:rFonts w:ascii="Verdana" w:hAnsi="Verdana"/>
          <w:sz w:val="16"/>
          <w:szCs w:val="32"/>
          <w:lang w:val="pt-BR"/>
        </w:rPr>
        <w:t>garantia de</w:t>
      </w:r>
      <w:r w:rsidR="004756C1" w:rsidRPr="002F50BD">
        <w:rPr>
          <w:rFonts w:ascii="Verdana" w:hAnsi="Verdana"/>
          <w:sz w:val="16"/>
          <w:szCs w:val="32"/>
          <w:lang w:val="pt-BR"/>
        </w:rPr>
        <w:t xml:space="preserve"> </w:t>
      </w:r>
      <w:r w:rsidR="0089298C" w:rsidRPr="002F50BD">
        <w:rPr>
          <w:rFonts w:ascii="Verdana" w:hAnsi="Verdana"/>
          <w:sz w:val="16"/>
          <w:szCs w:val="32"/>
          <w:lang w:val="pt-BR"/>
        </w:rPr>
        <w:t>obrigações</w:t>
      </w:r>
      <w:r w:rsidR="004756C1" w:rsidRPr="002F50BD">
        <w:rPr>
          <w:rFonts w:ascii="Verdana" w:hAnsi="Verdana"/>
          <w:sz w:val="16"/>
          <w:szCs w:val="32"/>
          <w:lang w:val="pt-BR"/>
        </w:rPr>
        <w:t xml:space="preserve"> contr</w:t>
      </w:r>
      <w:r w:rsidR="0089298C" w:rsidRPr="002F50BD">
        <w:rPr>
          <w:rFonts w:ascii="Verdana" w:hAnsi="Verdana"/>
          <w:sz w:val="16"/>
          <w:szCs w:val="32"/>
          <w:lang w:val="pt-BR"/>
        </w:rPr>
        <w:t xml:space="preserve">atuais nem </w:t>
      </w:r>
      <w:r w:rsidR="004756C1" w:rsidRPr="002F50BD">
        <w:rPr>
          <w:rFonts w:ascii="Verdana" w:hAnsi="Verdana"/>
          <w:sz w:val="16"/>
          <w:szCs w:val="32"/>
          <w:lang w:val="pt-BR"/>
        </w:rPr>
        <w:t xml:space="preserve">de ser arrendadas; </w:t>
      </w:r>
      <w:r w:rsidR="00957343" w:rsidRPr="002F50BD">
        <w:rPr>
          <w:rFonts w:ascii="Verdana" w:hAnsi="Verdana"/>
          <w:sz w:val="16"/>
          <w:szCs w:val="32"/>
          <w:lang w:val="pt-BR"/>
        </w:rPr>
        <w:t>além de que</w:t>
      </w:r>
      <w:r w:rsidR="004756C1" w:rsidRPr="002F50BD">
        <w:rPr>
          <w:rFonts w:ascii="Verdana" w:hAnsi="Verdana"/>
          <w:sz w:val="16"/>
          <w:szCs w:val="32"/>
          <w:lang w:val="pt-BR"/>
        </w:rPr>
        <w:t xml:space="preserve"> </w:t>
      </w:r>
      <w:r w:rsidR="0089298C" w:rsidRPr="002F50BD">
        <w:rPr>
          <w:rFonts w:ascii="Verdana" w:hAnsi="Verdana"/>
          <w:sz w:val="16"/>
          <w:szCs w:val="32"/>
          <w:lang w:val="pt-BR"/>
        </w:rPr>
        <w:t>estarão</w:t>
      </w:r>
      <w:r w:rsidR="004756C1" w:rsidRPr="002F50BD">
        <w:rPr>
          <w:rFonts w:ascii="Verdana" w:hAnsi="Verdana"/>
          <w:sz w:val="16"/>
          <w:szCs w:val="32"/>
          <w:lang w:val="pt-BR"/>
        </w:rPr>
        <w:t xml:space="preserve"> </w:t>
      </w:r>
      <w:r w:rsidR="00957343" w:rsidRPr="002F50BD">
        <w:rPr>
          <w:rFonts w:ascii="Verdana" w:hAnsi="Verdana"/>
          <w:sz w:val="16"/>
          <w:szCs w:val="32"/>
          <w:lang w:val="pt-BR"/>
        </w:rPr>
        <w:t>is</w:t>
      </w:r>
      <w:r w:rsidR="004756C1" w:rsidRPr="002F50BD">
        <w:rPr>
          <w:rFonts w:ascii="Verdana" w:hAnsi="Verdana"/>
          <w:sz w:val="16"/>
          <w:szCs w:val="32"/>
          <w:lang w:val="pt-BR"/>
        </w:rPr>
        <w:t>entas de tributo.</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95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 xml:space="preserve">Proíbe-se </w:t>
      </w:r>
      <w:r w:rsidR="0089298C" w:rsidRPr="002F50BD">
        <w:rPr>
          <w:rFonts w:ascii="Verdana" w:hAnsi="Verdana"/>
          <w:sz w:val="16"/>
          <w:szCs w:val="32"/>
          <w:lang w:val="pt-BR"/>
        </w:rPr>
        <w:t xml:space="preserve">a </w:t>
      </w:r>
      <w:r w:rsidR="004756C1" w:rsidRPr="002F50BD">
        <w:rPr>
          <w:rFonts w:ascii="Verdana" w:hAnsi="Verdana"/>
          <w:sz w:val="16"/>
          <w:szCs w:val="32"/>
          <w:lang w:val="pt-BR"/>
        </w:rPr>
        <w:t>remo</w:t>
      </w:r>
      <w:r w:rsidR="0089298C" w:rsidRPr="002F50BD">
        <w:rPr>
          <w:rFonts w:ascii="Verdana" w:hAnsi="Verdana"/>
          <w:sz w:val="16"/>
          <w:szCs w:val="32"/>
          <w:lang w:val="pt-BR"/>
        </w:rPr>
        <w:t>ção</w:t>
      </w:r>
      <w:r w:rsidR="004756C1" w:rsidRPr="002F50BD">
        <w:rPr>
          <w:rFonts w:ascii="Verdana" w:hAnsi="Verdana"/>
          <w:sz w:val="16"/>
          <w:szCs w:val="32"/>
          <w:lang w:val="pt-BR"/>
        </w:rPr>
        <w:t xml:space="preserve"> o</w:t>
      </w:r>
      <w:r w:rsidRPr="002F50BD">
        <w:rPr>
          <w:rFonts w:ascii="Verdana" w:hAnsi="Verdana"/>
          <w:sz w:val="16"/>
          <w:szCs w:val="32"/>
          <w:lang w:val="pt-BR"/>
        </w:rPr>
        <w:t>u</w:t>
      </w:r>
      <w:r w:rsidR="004756C1" w:rsidRPr="002F50BD">
        <w:rPr>
          <w:rFonts w:ascii="Verdana" w:hAnsi="Verdana"/>
          <w:sz w:val="16"/>
          <w:szCs w:val="32"/>
          <w:lang w:val="pt-BR"/>
        </w:rPr>
        <w:t xml:space="preserve"> traslado de </w:t>
      </w:r>
      <w:r w:rsidR="00DB51F0" w:rsidRPr="002F50BD">
        <w:rPr>
          <w:rFonts w:ascii="Verdana" w:hAnsi="Verdana"/>
          <w:sz w:val="16"/>
          <w:szCs w:val="32"/>
          <w:lang w:val="pt-BR"/>
        </w:rPr>
        <w:t xml:space="preserve">seu </w:t>
      </w:r>
      <w:r w:rsidR="00DB51F0" w:rsidRPr="002F50BD">
        <w:rPr>
          <w:rFonts w:ascii="Verdana" w:hAnsi="Verdana"/>
          <w:i/>
          <w:sz w:val="16"/>
          <w:szCs w:val="32"/>
          <w:lang w:val="pt-BR"/>
        </w:rPr>
        <w:t>habitat</w:t>
      </w:r>
      <w:r w:rsidR="0089298C" w:rsidRPr="002F50BD">
        <w:rPr>
          <w:rFonts w:ascii="Verdana" w:hAnsi="Verdana"/>
          <w:sz w:val="16"/>
          <w:szCs w:val="32"/>
          <w:lang w:val="pt-BR"/>
        </w:rPr>
        <w:t xml:space="preserve"> sem o expresso</w:t>
      </w:r>
      <w:r w:rsidR="004756C1" w:rsidRPr="002F50BD">
        <w:rPr>
          <w:rFonts w:ascii="Verdana" w:hAnsi="Verdana"/>
          <w:sz w:val="16"/>
          <w:szCs w:val="32"/>
          <w:lang w:val="pt-BR"/>
        </w:rPr>
        <w:t xml:space="preserve"> </w:t>
      </w:r>
      <w:r w:rsidR="0089298C" w:rsidRPr="002F50BD">
        <w:rPr>
          <w:rFonts w:ascii="Verdana" w:hAnsi="Verdana"/>
          <w:sz w:val="16"/>
          <w:szCs w:val="32"/>
          <w:lang w:val="pt-BR"/>
        </w:rPr>
        <w:t>consentimento dos mesm</w:t>
      </w:r>
      <w:r w:rsidR="004756C1" w:rsidRPr="002F50BD">
        <w:rPr>
          <w:rFonts w:ascii="Verdana" w:hAnsi="Verdana"/>
          <w:sz w:val="16"/>
          <w:szCs w:val="32"/>
          <w:lang w:val="pt-BR"/>
        </w:rPr>
        <w:t>os.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Artigo</w:t>
      </w:r>
      <w:r w:rsidR="004756C1" w:rsidRPr="002F50BD">
        <w:rPr>
          <w:rFonts w:ascii="Verdana" w:hAnsi="Verdana"/>
          <w:sz w:val="16"/>
          <w:szCs w:val="32"/>
          <w:lang w:val="pt-BR"/>
        </w:rPr>
        <w:t xml:space="preserve"> </w:t>
      </w:r>
      <w:r w:rsidR="00063B47" w:rsidRPr="002F50BD">
        <w:rPr>
          <w:rFonts w:ascii="Verdana" w:hAnsi="Verdana"/>
          <w:sz w:val="16"/>
          <w:szCs w:val="32"/>
          <w:lang w:val="pt-BR"/>
        </w:rPr>
        <w:t>65</w:t>
      </w:r>
      <w:r w:rsidR="004756C1" w:rsidRPr="002F50BD">
        <w:rPr>
          <w:rFonts w:ascii="Verdana" w:hAnsi="Verdana"/>
          <w:sz w:val="16"/>
          <w:szCs w:val="32"/>
          <w:lang w:val="pt-BR"/>
        </w:rPr>
        <w:t xml:space="preserve"> - </w:t>
      </w:r>
      <w:r w:rsidRPr="002F50BD">
        <w:rPr>
          <w:rFonts w:ascii="Verdana" w:hAnsi="Verdana"/>
          <w:sz w:val="16"/>
          <w:szCs w:val="32"/>
          <w:lang w:val="pt-BR"/>
        </w:rPr>
        <w:t xml:space="preserve">DO DIREITO </w:t>
      </w:r>
      <w:r w:rsidR="00957343" w:rsidRPr="002F50BD">
        <w:rPr>
          <w:rFonts w:ascii="Verdana" w:hAnsi="Verdana"/>
          <w:sz w:val="16"/>
          <w:szCs w:val="32"/>
          <w:lang w:val="pt-BR"/>
        </w:rPr>
        <w:t xml:space="preserve">À </w:t>
      </w:r>
      <w:r w:rsidR="004756C1" w:rsidRPr="002F50BD">
        <w:rPr>
          <w:rFonts w:ascii="Verdana" w:hAnsi="Verdana"/>
          <w:sz w:val="16"/>
          <w:szCs w:val="32"/>
          <w:lang w:val="pt-BR"/>
        </w:rPr>
        <w:t>PARTICIPA</w:t>
      </w:r>
      <w:r w:rsidRPr="002F50BD">
        <w:rPr>
          <w:rFonts w:ascii="Verdana" w:hAnsi="Verdana"/>
          <w:sz w:val="16"/>
          <w:szCs w:val="32"/>
          <w:lang w:val="pt-BR"/>
        </w:rPr>
        <w:t>ÇÃO</w:t>
      </w:r>
      <w:r w:rsidR="004756C1" w:rsidRPr="002F50BD">
        <w:rPr>
          <w:rFonts w:ascii="Verdana" w:hAnsi="Verdana"/>
          <w:sz w:val="16"/>
          <w:szCs w:val="32"/>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FC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É garantido</w:t>
      </w:r>
      <w:r w:rsidR="00957343" w:rsidRPr="002F50BD">
        <w:rPr>
          <w:rFonts w:ascii="Verdana" w:hAnsi="Verdana"/>
          <w:sz w:val="16"/>
          <w:szCs w:val="32"/>
          <w:lang w:val="pt-BR"/>
        </w:rPr>
        <w:t xml:space="preserve"> </w:t>
      </w:r>
      <w:r w:rsidR="0089298C" w:rsidRPr="002F50BD">
        <w:rPr>
          <w:rFonts w:ascii="Verdana" w:hAnsi="Verdana"/>
          <w:sz w:val="16"/>
          <w:szCs w:val="32"/>
          <w:lang w:val="pt-BR"/>
        </w:rPr>
        <w:t>aos povo</w:t>
      </w:r>
      <w:r w:rsidR="004756C1" w:rsidRPr="002F50BD">
        <w:rPr>
          <w:rFonts w:ascii="Verdana" w:hAnsi="Verdana"/>
          <w:sz w:val="16"/>
          <w:szCs w:val="32"/>
          <w:lang w:val="pt-BR"/>
        </w:rPr>
        <w:t>s indígenas</w:t>
      </w:r>
      <w:r w:rsidR="0089298C" w:rsidRPr="002F50BD">
        <w:rPr>
          <w:rFonts w:ascii="Verdana" w:hAnsi="Verdana"/>
          <w:sz w:val="16"/>
          <w:szCs w:val="32"/>
          <w:lang w:val="pt-BR"/>
        </w:rPr>
        <w:t xml:space="preserve"> o direito</w:t>
      </w:r>
      <w:r w:rsidR="004756C1" w:rsidRPr="002F50BD">
        <w:rPr>
          <w:rFonts w:ascii="Verdana" w:hAnsi="Verdana"/>
          <w:sz w:val="16"/>
          <w:szCs w:val="32"/>
          <w:lang w:val="pt-BR"/>
        </w:rPr>
        <w:t xml:space="preserve"> a participar</w:t>
      </w:r>
      <w:r w:rsidR="0089298C" w:rsidRPr="002F50BD">
        <w:rPr>
          <w:rFonts w:ascii="Verdana" w:hAnsi="Verdana"/>
          <w:sz w:val="16"/>
          <w:szCs w:val="32"/>
          <w:lang w:val="pt-BR"/>
        </w:rPr>
        <w:t xml:space="preserve"> </w:t>
      </w:r>
      <w:r w:rsidR="00565B3F" w:rsidRPr="002F50BD">
        <w:rPr>
          <w:rFonts w:ascii="Verdana" w:hAnsi="Verdana"/>
          <w:sz w:val="16"/>
          <w:szCs w:val="32"/>
          <w:lang w:val="pt-BR"/>
        </w:rPr>
        <w:t>d</w:t>
      </w:r>
      <w:r w:rsidR="0089298C" w:rsidRPr="002F50BD">
        <w:rPr>
          <w:rFonts w:ascii="Verdana" w:hAnsi="Verdana"/>
          <w:sz w:val="16"/>
          <w:szCs w:val="32"/>
          <w:lang w:val="pt-BR"/>
        </w:rPr>
        <w:t xml:space="preserve">a </w:t>
      </w:r>
      <w:r w:rsidR="004756C1" w:rsidRPr="002F50BD">
        <w:rPr>
          <w:rFonts w:ascii="Verdana" w:hAnsi="Verdana"/>
          <w:sz w:val="16"/>
          <w:szCs w:val="32"/>
          <w:lang w:val="pt-BR"/>
        </w:rPr>
        <w:t xml:space="preserve">vida </w:t>
      </w:r>
      <w:r w:rsidR="0089298C" w:rsidRPr="002F50BD">
        <w:rPr>
          <w:rFonts w:ascii="Verdana" w:hAnsi="Verdana"/>
          <w:sz w:val="16"/>
          <w:szCs w:val="32"/>
          <w:lang w:val="pt-BR"/>
        </w:rPr>
        <w:t>econômic</w:t>
      </w:r>
      <w:r w:rsidR="004756C1" w:rsidRPr="002F50BD">
        <w:rPr>
          <w:rFonts w:ascii="Verdana" w:hAnsi="Verdana"/>
          <w:sz w:val="16"/>
          <w:szCs w:val="32"/>
          <w:lang w:val="pt-BR"/>
        </w:rPr>
        <w:t>a, social, política</w:t>
      </w:r>
      <w:r w:rsidR="0089298C" w:rsidRPr="002F50BD">
        <w:rPr>
          <w:rFonts w:ascii="Verdana" w:hAnsi="Verdana"/>
          <w:sz w:val="16"/>
          <w:szCs w:val="32"/>
          <w:lang w:val="pt-BR"/>
        </w:rPr>
        <w:t xml:space="preserve"> e </w:t>
      </w:r>
      <w:r w:rsidR="004756C1" w:rsidRPr="002F50BD">
        <w:rPr>
          <w:rFonts w:ascii="Verdana" w:hAnsi="Verdana"/>
          <w:sz w:val="16"/>
          <w:szCs w:val="32"/>
          <w:lang w:val="pt-BR"/>
        </w:rPr>
        <w:t xml:space="preserve">cultural </w:t>
      </w:r>
      <w:r w:rsidR="0089298C" w:rsidRPr="002F50BD">
        <w:rPr>
          <w:rFonts w:ascii="Verdana" w:hAnsi="Verdana"/>
          <w:sz w:val="16"/>
          <w:szCs w:val="32"/>
          <w:lang w:val="pt-BR"/>
        </w:rPr>
        <w:t xml:space="preserve">do </w:t>
      </w:r>
      <w:r w:rsidR="004756C1" w:rsidRPr="002F50BD">
        <w:rPr>
          <w:rFonts w:ascii="Verdana" w:hAnsi="Verdana"/>
          <w:sz w:val="16"/>
          <w:szCs w:val="32"/>
          <w:lang w:val="pt-BR"/>
        </w:rPr>
        <w:t xml:space="preserve">país, de </w:t>
      </w:r>
      <w:r w:rsidR="0089298C" w:rsidRPr="002F50BD">
        <w:rPr>
          <w:rFonts w:ascii="Verdana" w:hAnsi="Verdana"/>
          <w:sz w:val="16"/>
          <w:szCs w:val="32"/>
          <w:lang w:val="pt-BR"/>
        </w:rPr>
        <w:t xml:space="preserve">acordo com </w:t>
      </w:r>
      <w:r w:rsidR="004756C1" w:rsidRPr="002F50BD">
        <w:rPr>
          <w:rFonts w:ascii="Verdana" w:hAnsi="Verdana"/>
          <w:sz w:val="16"/>
          <w:szCs w:val="32"/>
          <w:lang w:val="pt-BR"/>
        </w:rPr>
        <w:t>s</w:t>
      </w:r>
      <w:r w:rsidR="00957343" w:rsidRPr="002F50BD">
        <w:rPr>
          <w:rFonts w:ascii="Verdana" w:hAnsi="Verdana"/>
          <w:sz w:val="16"/>
          <w:szCs w:val="32"/>
          <w:lang w:val="pt-BR"/>
        </w:rPr>
        <w:t>e</w:t>
      </w:r>
      <w:r w:rsidR="004756C1" w:rsidRPr="002F50BD">
        <w:rPr>
          <w:rFonts w:ascii="Verdana" w:hAnsi="Verdana"/>
          <w:sz w:val="16"/>
          <w:szCs w:val="32"/>
          <w:lang w:val="pt-BR"/>
        </w:rPr>
        <w:t xml:space="preserve">us usos </w:t>
      </w:r>
      <w:r w:rsidR="0089298C" w:rsidRPr="002F50BD">
        <w:rPr>
          <w:rFonts w:ascii="Verdana" w:hAnsi="Verdana"/>
          <w:sz w:val="16"/>
          <w:szCs w:val="32"/>
          <w:lang w:val="pt-BR"/>
        </w:rPr>
        <w:t>consuetudinário</w:t>
      </w:r>
      <w:r w:rsidR="004756C1" w:rsidRPr="002F50BD">
        <w:rPr>
          <w:rFonts w:ascii="Verdana" w:hAnsi="Verdana"/>
          <w:sz w:val="16"/>
          <w:szCs w:val="32"/>
          <w:lang w:val="pt-BR"/>
        </w:rPr>
        <w:t>s,</w:t>
      </w:r>
      <w:r w:rsidR="0089298C" w:rsidRPr="002F50BD">
        <w:rPr>
          <w:rFonts w:ascii="Verdana" w:hAnsi="Verdana"/>
          <w:sz w:val="16"/>
          <w:szCs w:val="32"/>
          <w:lang w:val="pt-BR"/>
        </w:rPr>
        <w:t xml:space="preserve"> esta Constituição e as leis</w:t>
      </w:r>
      <w:r w:rsidR="004756C1" w:rsidRPr="002F50BD">
        <w:rPr>
          <w:rFonts w:ascii="Verdana" w:hAnsi="Verdana"/>
          <w:sz w:val="16"/>
          <w:szCs w:val="32"/>
          <w:lang w:val="pt-BR"/>
        </w:rPr>
        <w:t xml:space="preserve"> </w:t>
      </w:r>
      <w:r w:rsidR="0089298C" w:rsidRPr="002F50BD">
        <w:rPr>
          <w:rFonts w:ascii="Verdana" w:hAnsi="Verdana"/>
          <w:sz w:val="16"/>
          <w:szCs w:val="32"/>
          <w:lang w:val="pt-BR"/>
        </w:rPr>
        <w:t>nacionais</w:t>
      </w:r>
      <w:r w:rsidR="004756C1" w:rsidRPr="002F50BD">
        <w:rPr>
          <w:rFonts w:ascii="Verdana" w:hAnsi="Verdana"/>
          <w:sz w:val="16"/>
          <w:szCs w:val="32"/>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Artigo</w:t>
      </w:r>
      <w:r w:rsidR="004756C1" w:rsidRPr="002F50BD">
        <w:rPr>
          <w:rFonts w:ascii="Verdana" w:hAnsi="Verdana"/>
          <w:sz w:val="16"/>
          <w:szCs w:val="32"/>
          <w:lang w:val="pt-BR"/>
        </w:rPr>
        <w:t xml:space="preserve"> </w:t>
      </w:r>
      <w:r w:rsidR="00063B47" w:rsidRPr="002F50BD">
        <w:rPr>
          <w:rFonts w:ascii="Verdana" w:hAnsi="Verdana"/>
          <w:sz w:val="16"/>
          <w:szCs w:val="32"/>
          <w:lang w:val="pt-BR"/>
        </w:rPr>
        <w:t>66</w:t>
      </w:r>
      <w:r w:rsidR="004756C1" w:rsidRPr="002F50BD">
        <w:rPr>
          <w:rFonts w:ascii="Verdana" w:hAnsi="Verdana"/>
          <w:sz w:val="16"/>
          <w:szCs w:val="32"/>
          <w:lang w:val="pt-BR"/>
        </w:rPr>
        <w:t xml:space="preserve"> -</w:t>
      </w:r>
      <w:r w:rsidRPr="002F50BD">
        <w:rPr>
          <w:rFonts w:ascii="Verdana" w:hAnsi="Verdana"/>
          <w:sz w:val="16"/>
          <w:szCs w:val="32"/>
          <w:lang w:val="pt-BR"/>
        </w:rPr>
        <w:t xml:space="preserve"> </w:t>
      </w:r>
      <w:r w:rsidR="00957343" w:rsidRPr="002F50BD">
        <w:rPr>
          <w:rFonts w:ascii="Verdana" w:hAnsi="Verdana"/>
          <w:sz w:val="16"/>
          <w:szCs w:val="32"/>
          <w:lang w:val="pt-BR"/>
        </w:rPr>
        <w:t xml:space="preserve">DA EDUCAÇÃO E DA </w:t>
      </w:r>
      <w:r w:rsidRPr="002F50BD">
        <w:rPr>
          <w:rFonts w:ascii="Verdana" w:hAnsi="Verdana"/>
          <w:sz w:val="16"/>
          <w:szCs w:val="32"/>
          <w:lang w:val="pt-BR"/>
        </w:rPr>
        <w:t xml:space="preserve">ASSISTÊNCIA </w:t>
      </w:r>
    </w:p>
    <w:p w:rsidR="004756C1" w:rsidRPr="002F50BD" w:rsidRDefault="0089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cr/>
        <w:t xml:space="preserve">O </w:t>
      </w:r>
      <w:r w:rsidR="004756C1" w:rsidRPr="002F50BD">
        <w:rPr>
          <w:rFonts w:ascii="Verdana" w:hAnsi="Verdana"/>
          <w:sz w:val="16"/>
          <w:szCs w:val="32"/>
          <w:lang w:val="pt-BR"/>
        </w:rPr>
        <w:t xml:space="preserve">Estado </w:t>
      </w:r>
      <w:r w:rsidRPr="002F50BD">
        <w:rPr>
          <w:rFonts w:ascii="Verdana" w:hAnsi="Verdana"/>
          <w:sz w:val="16"/>
          <w:szCs w:val="32"/>
          <w:lang w:val="pt-BR"/>
        </w:rPr>
        <w:t>respeitar</w:t>
      </w:r>
      <w:r w:rsidR="004756C1" w:rsidRPr="002F50BD">
        <w:rPr>
          <w:rFonts w:ascii="Verdana" w:hAnsi="Verdana"/>
          <w:sz w:val="16"/>
          <w:szCs w:val="32"/>
          <w:lang w:val="pt-BR"/>
        </w:rPr>
        <w:t>á</w:t>
      </w:r>
      <w:r w:rsidRPr="002F50BD">
        <w:rPr>
          <w:rFonts w:ascii="Verdana" w:hAnsi="Verdana"/>
          <w:sz w:val="16"/>
          <w:szCs w:val="32"/>
          <w:lang w:val="pt-BR"/>
        </w:rPr>
        <w:t xml:space="preserve"> as </w:t>
      </w:r>
      <w:r w:rsidR="004756C1" w:rsidRPr="002F50BD">
        <w:rPr>
          <w:rFonts w:ascii="Verdana" w:hAnsi="Verdana"/>
          <w:sz w:val="16"/>
          <w:szCs w:val="32"/>
          <w:lang w:val="pt-BR"/>
        </w:rPr>
        <w:t xml:space="preserve">peculiaridades </w:t>
      </w:r>
      <w:r w:rsidRPr="002F50BD">
        <w:rPr>
          <w:rFonts w:ascii="Verdana" w:hAnsi="Verdana"/>
          <w:sz w:val="16"/>
          <w:szCs w:val="32"/>
          <w:lang w:val="pt-BR"/>
        </w:rPr>
        <w:t>culturais dos povo</w:t>
      </w:r>
      <w:r w:rsidR="004756C1" w:rsidRPr="002F50BD">
        <w:rPr>
          <w:rFonts w:ascii="Verdana" w:hAnsi="Verdana"/>
          <w:sz w:val="16"/>
          <w:szCs w:val="32"/>
          <w:lang w:val="pt-BR"/>
        </w:rPr>
        <w:t>s indígenas</w:t>
      </w:r>
      <w:r w:rsidR="00F04F59">
        <w:rPr>
          <w:rFonts w:ascii="Verdana" w:hAnsi="Verdana"/>
          <w:sz w:val="16"/>
          <w:szCs w:val="32"/>
          <w:lang w:val="pt-BR"/>
        </w:rPr>
        <w:t>,</w:t>
      </w:r>
      <w:r w:rsidR="004756C1" w:rsidRPr="002F50BD">
        <w:rPr>
          <w:rFonts w:ascii="Verdana" w:hAnsi="Verdana"/>
          <w:sz w:val="16"/>
          <w:szCs w:val="32"/>
          <w:lang w:val="pt-BR"/>
        </w:rPr>
        <w:t xml:space="preserve"> especialmente</w:t>
      </w:r>
      <w:r w:rsidRPr="002F50BD">
        <w:rPr>
          <w:rFonts w:ascii="Verdana" w:hAnsi="Verdana"/>
          <w:sz w:val="16"/>
          <w:szCs w:val="32"/>
          <w:lang w:val="pt-BR"/>
        </w:rPr>
        <w:t xml:space="preserve"> </w:t>
      </w:r>
      <w:r w:rsidR="00957343" w:rsidRPr="002F50BD">
        <w:rPr>
          <w:rFonts w:ascii="Verdana" w:hAnsi="Verdana"/>
          <w:sz w:val="16"/>
          <w:szCs w:val="32"/>
          <w:lang w:val="pt-BR"/>
        </w:rPr>
        <w:t xml:space="preserve">no que seja </w:t>
      </w:r>
      <w:r w:rsidR="004756C1" w:rsidRPr="002F50BD">
        <w:rPr>
          <w:rFonts w:ascii="Verdana" w:hAnsi="Verdana"/>
          <w:sz w:val="16"/>
          <w:szCs w:val="32"/>
          <w:lang w:val="pt-BR"/>
        </w:rPr>
        <w:t>relativo</w:t>
      </w:r>
      <w:r w:rsidRPr="002F50BD">
        <w:rPr>
          <w:rFonts w:ascii="Verdana" w:hAnsi="Verdana"/>
          <w:sz w:val="16"/>
          <w:szCs w:val="32"/>
          <w:lang w:val="pt-BR"/>
        </w:rPr>
        <w:t xml:space="preserve"> à </w:t>
      </w:r>
      <w:r w:rsidR="004756C1" w:rsidRPr="002F50BD">
        <w:rPr>
          <w:rFonts w:ascii="Verdana" w:hAnsi="Verdana"/>
          <w:sz w:val="16"/>
          <w:szCs w:val="32"/>
          <w:lang w:val="pt-BR"/>
        </w:rPr>
        <w:t>educa</w:t>
      </w:r>
      <w:r w:rsidRPr="002F50BD">
        <w:rPr>
          <w:rFonts w:ascii="Verdana" w:hAnsi="Verdana"/>
          <w:sz w:val="16"/>
          <w:szCs w:val="32"/>
          <w:lang w:val="pt-BR"/>
        </w:rPr>
        <w:t>ção</w:t>
      </w:r>
      <w:r w:rsidR="004756C1" w:rsidRPr="002F50BD">
        <w:rPr>
          <w:rFonts w:ascii="Verdana" w:hAnsi="Verdana"/>
          <w:sz w:val="16"/>
          <w:szCs w:val="32"/>
          <w:lang w:val="pt-BR"/>
        </w:rPr>
        <w:t xml:space="preserve"> formal. </w:t>
      </w:r>
      <w:r w:rsidR="00957343" w:rsidRPr="002F50BD">
        <w:rPr>
          <w:rFonts w:ascii="Verdana" w:hAnsi="Verdana"/>
          <w:sz w:val="16"/>
          <w:szCs w:val="32"/>
          <w:lang w:val="pt-BR"/>
        </w:rPr>
        <w:t>Ademais, atender-se-á</w:t>
      </w:r>
      <w:r w:rsidR="004756C1" w:rsidRPr="002F50BD">
        <w:rPr>
          <w:rFonts w:ascii="Verdana" w:hAnsi="Verdana"/>
          <w:sz w:val="16"/>
          <w:szCs w:val="32"/>
          <w:lang w:val="pt-BR"/>
        </w:rPr>
        <w:t xml:space="preserve"> su</w:t>
      </w:r>
      <w:r w:rsidR="00957343" w:rsidRPr="002F50BD">
        <w:rPr>
          <w:rFonts w:ascii="Verdana" w:hAnsi="Verdana"/>
          <w:sz w:val="16"/>
          <w:szCs w:val="32"/>
          <w:lang w:val="pt-BR"/>
        </w:rPr>
        <w:t>a</w:t>
      </w:r>
      <w:r w:rsidR="004756C1" w:rsidRPr="002F50BD">
        <w:rPr>
          <w:rFonts w:ascii="Verdana" w:hAnsi="Verdana"/>
          <w:sz w:val="16"/>
          <w:szCs w:val="32"/>
          <w:lang w:val="pt-BR"/>
        </w:rPr>
        <w:t xml:space="preserve"> </w:t>
      </w:r>
      <w:r w:rsidRPr="002F50BD">
        <w:rPr>
          <w:rFonts w:ascii="Verdana" w:hAnsi="Verdana"/>
          <w:sz w:val="16"/>
          <w:szCs w:val="32"/>
          <w:lang w:val="pt-BR"/>
        </w:rPr>
        <w:t>defesa</w:t>
      </w:r>
      <w:r w:rsidR="004756C1" w:rsidRPr="002F50BD">
        <w:rPr>
          <w:rFonts w:ascii="Verdana" w:hAnsi="Verdana"/>
          <w:sz w:val="16"/>
          <w:szCs w:val="32"/>
          <w:lang w:val="pt-BR"/>
        </w:rPr>
        <w:t xml:space="preserve"> contra</w:t>
      </w:r>
      <w:r w:rsidRPr="002F50BD">
        <w:rPr>
          <w:rFonts w:ascii="Verdana" w:hAnsi="Verdana"/>
          <w:sz w:val="16"/>
          <w:szCs w:val="32"/>
          <w:lang w:val="pt-BR"/>
        </w:rPr>
        <w:t xml:space="preserve"> a </w:t>
      </w:r>
      <w:r w:rsidR="004756C1" w:rsidRPr="002F50BD">
        <w:rPr>
          <w:rFonts w:ascii="Verdana" w:hAnsi="Verdana"/>
          <w:sz w:val="16"/>
          <w:szCs w:val="32"/>
          <w:lang w:val="pt-BR"/>
        </w:rPr>
        <w:t>regres</w:t>
      </w:r>
      <w:r w:rsidR="00957343" w:rsidRPr="002F50BD">
        <w:rPr>
          <w:rFonts w:ascii="Verdana" w:hAnsi="Verdana"/>
          <w:sz w:val="16"/>
          <w:szCs w:val="32"/>
          <w:lang w:val="pt-BR"/>
        </w:rPr>
        <w:t xml:space="preserve">são </w:t>
      </w:r>
      <w:r w:rsidR="004756C1" w:rsidRPr="002F50BD">
        <w:rPr>
          <w:rFonts w:ascii="Verdana" w:hAnsi="Verdana"/>
          <w:sz w:val="16"/>
          <w:szCs w:val="32"/>
          <w:lang w:val="pt-BR"/>
        </w:rPr>
        <w:t>demográfica,</w:t>
      </w:r>
      <w:r w:rsidRPr="002F50BD">
        <w:rPr>
          <w:rFonts w:ascii="Verdana" w:hAnsi="Verdana"/>
          <w:sz w:val="16"/>
          <w:szCs w:val="32"/>
          <w:lang w:val="pt-BR"/>
        </w:rPr>
        <w:t xml:space="preserve"> a </w:t>
      </w:r>
      <w:r w:rsidR="004756C1" w:rsidRPr="002F50BD">
        <w:rPr>
          <w:rFonts w:ascii="Verdana" w:hAnsi="Verdana"/>
          <w:sz w:val="16"/>
          <w:szCs w:val="32"/>
          <w:lang w:val="pt-BR"/>
        </w:rPr>
        <w:t>depreda</w:t>
      </w:r>
      <w:r w:rsidRPr="002F50BD">
        <w:rPr>
          <w:rFonts w:ascii="Verdana" w:hAnsi="Verdana"/>
          <w:sz w:val="16"/>
          <w:szCs w:val="32"/>
          <w:lang w:val="pt-BR"/>
        </w:rPr>
        <w:t>ção</w:t>
      </w:r>
      <w:r w:rsidR="004756C1" w:rsidRPr="002F50BD">
        <w:rPr>
          <w:rFonts w:ascii="Verdana" w:hAnsi="Verdana"/>
          <w:sz w:val="16"/>
          <w:szCs w:val="32"/>
          <w:lang w:val="pt-BR"/>
        </w:rPr>
        <w:t xml:space="preserve"> de </w:t>
      </w:r>
      <w:r w:rsidR="00DB51F0" w:rsidRPr="002F50BD">
        <w:rPr>
          <w:rFonts w:ascii="Verdana" w:hAnsi="Verdana"/>
          <w:sz w:val="16"/>
          <w:szCs w:val="32"/>
          <w:lang w:val="pt-BR"/>
        </w:rPr>
        <w:t xml:space="preserve">seu </w:t>
      </w:r>
      <w:r w:rsidR="00DB51F0" w:rsidRPr="002F50BD">
        <w:rPr>
          <w:rFonts w:ascii="Verdana" w:hAnsi="Verdana"/>
          <w:i/>
          <w:sz w:val="16"/>
          <w:szCs w:val="32"/>
          <w:lang w:val="pt-BR"/>
        </w:rPr>
        <w:t>habitat</w:t>
      </w:r>
      <w:r w:rsidR="004756C1" w:rsidRPr="002F50BD">
        <w:rPr>
          <w:rFonts w:ascii="Verdana" w:hAnsi="Verdana"/>
          <w:sz w:val="16"/>
          <w:szCs w:val="32"/>
          <w:lang w:val="pt-BR"/>
        </w:rPr>
        <w:t>,</w:t>
      </w:r>
      <w:r w:rsidRPr="002F50BD">
        <w:rPr>
          <w:rFonts w:ascii="Verdana" w:hAnsi="Verdana"/>
          <w:sz w:val="16"/>
          <w:szCs w:val="32"/>
          <w:lang w:val="pt-BR"/>
        </w:rPr>
        <w:t xml:space="preserve"> a </w:t>
      </w:r>
      <w:r w:rsidR="004756C1" w:rsidRPr="002F50BD">
        <w:rPr>
          <w:rFonts w:ascii="Verdana" w:hAnsi="Verdana"/>
          <w:sz w:val="16"/>
          <w:szCs w:val="32"/>
          <w:lang w:val="pt-BR"/>
        </w:rPr>
        <w:t>contamina</w:t>
      </w:r>
      <w:r w:rsidRPr="002F50BD">
        <w:rPr>
          <w:rFonts w:ascii="Verdana" w:hAnsi="Verdana"/>
          <w:sz w:val="16"/>
          <w:szCs w:val="32"/>
          <w:lang w:val="pt-BR"/>
        </w:rPr>
        <w:t>ção</w:t>
      </w:r>
      <w:r w:rsidR="004756C1" w:rsidRPr="002F50BD">
        <w:rPr>
          <w:rFonts w:ascii="Verdana" w:hAnsi="Verdana"/>
          <w:sz w:val="16"/>
          <w:szCs w:val="32"/>
          <w:lang w:val="pt-BR"/>
        </w:rPr>
        <w:t xml:space="preserve"> ambiental,</w:t>
      </w:r>
      <w:r w:rsidRPr="002F50BD">
        <w:rPr>
          <w:rFonts w:ascii="Verdana" w:hAnsi="Verdana"/>
          <w:sz w:val="16"/>
          <w:szCs w:val="32"/>
          <w:lang w:val="pt-BR"/>
        </w:rPr>
        <w:t xml:space="preserve"> a </w:t>
      </w:r>
      <w:r w:rsidR="00AB454A" w:rsidRPr="002F50BD">
        <w:rPr>
          <w:rFonts w:ascii="Verdana" w:hAnsi="Verdana"/>
          <w:sz w:val="16"/>
          <w:szCs w:val="32"/>
          <w:lang w:val="pt-BR"/>
        </w:rPr>
        <w:t>exploração</w:t>
      </w:r>
      <w:r w:rsidR="004756C1" w:rsidRPr="002F50BD">
        <w:rPr>
          <w:rFonts w:ascii="Verdana" w:hAnsi="Verdana"/>
          <w:sz w:val="16"/>
          <w:szCs w:val="32"/>
          <w:lang w:val="pt-BR"/>
        </w:rPr>
        <w:t xml:space="preserve"> </w:t>
      </w:r>
      <w:r w:rsidRPr="002F50BD">
        <w:rPr>
          <w:rFonts w:ascii="Verdana" w:hAnsi="Verdana"/>
          <w:sz w:val="16"/>
          <w:szCs w:val="32"/>
          <w:lang w:val="pt-BR"/>
        </w:rPr>
        <w:t>econômic</w:t>
      </w:r>
      <w:r w:rsidR="004756C1" w:rsidRPr="002F50BD">
        <w:rPr>
          <w:rFonts w:ascii="Verdana" w:hAnsi="Verdana"/>
          <w:sz w:val="16"/>
          <w:szCs w:val="32"/>
          <w:lang w:val="pt-BR"/>
        </w:rPr>
        <w:t>a</w:t>
      </w:r>
      <w:r w:rsidRPr="002F50BD">
        <w:rPr>
          <w:rFonts w:ascii="Verdana" w:hAnsi="Verdana"/>
          <w:sz w:val="16"/>
          <w:szCs w:val="32"/>
          <w:lang w:val="pt-BR"/>
        </w:rPr>
        <w:t xml:space="preserve"> e a </w:t>
      </w:r>
      <w:r w:rsidR="004756C1" w:rsidRPr="002F50BD">
        <w:rPr>
          <w:rFonts w:ascii="Verdana" w:hAnsi="Verdana"/>
          <w:sz w:val="16"/>
          <w:szCs w:val="32"/>
          <w:lang w:val="pt-BR"/>
        </w:rPr>
        <w:t>aliena</w:t>
      </w:r>
      <w:r w:rsidRPr="002F50BD">
        <w:rPr>
          <w:rFonts w:ascii="Verdana" w:hAnsi="Verdana"/>
          <w:sz w:val="16"/>
          <w:szCs w:val="32"/>
          <w:lang w:val="pt-BR"/>
        </w:rPr>
        <w:t>ção</w:t>
      </w:r>
      <w:r w:rsidR="004756C1" w:rsidRPr="002F50BD">
        <w:rPr>
          <w:rFonts w:ascii="Verdana" w:hAnsi="Verdana"/>
          <w:sz w:val="16"/>
          <w:szCs w:val="32"/>
          <w:lang w:val="pt-BR"/>
        </w:rPr>
        <w:t xml:space="preserve"> cultural.</w:t>
      </w:r>
    </w:p>
    <w:p w:rsidR="004756C1" w:rsidRPr="002F50BD" w:rsidRDefault="004756C1">
      <w:pPr>
        <w:jc w:val="both"/>
        <w:rPr>
          <w:rFonts w:ascii="Verdana" w:hAnsi="Verdana"/>
          <w:sz w:val="20"/>
          <w:szCs w:val="32"/>
          <w:lang w:val="pt-BR"/>
        </w:rPr>
      </w:pPr>
    </w:p>
    <w:p w:rsidR="004756C1" w:rsidRPr="002F50BD" w:rsidRDefault="004076AD">
      <w:pPr>
        <w:numPr>
          <w:ilvl w:val="0"/>
          <w:numId w:val="28"/>
        </w:numPr>
        <w:jc w:val="both"/>
        <w:rPr>
          <w:rFonts w:ascii="Verdana" w:hAnsi="Verdana"/>
          <w:sz w:val="20"/>
          <w:szCs w:val="32"/>
          <w:lang w:val="pt-BR"/>
        </w:rPr>
      </w:pPr>
      <w:r w:rsidRPr="002F50BD">
        <w:rPr>
          <w:rFonts w:ascii="Verdana" w:hAnsi="Verdana"/>
          <w:sz w:val="20"/>
          <w:szCs w:val="32"/>
          <w:lang w:val="pt-BR"/>
        </w:rPr>
        <w:t>Por sua vez</w:t>
      </w:r>
      <w:r w:rsidR="004756C1" w:rsidRPr="002F50BD">
        <w:rPr>
          <w:rFonts w:ascii="Verdana" w:hAnsi="Verdana"/>
          <w:sz w:val="20"/>
          <w:szCs w:val="32"/>
          <w:lang w:val="pt-BR"/>
        </w:rPr>
        <w:t>,</w:t>
      </w:r>
      <w:r w:rsidR="0089298C" w:rsidRPr="002F50BD">
        <w:rPr>
          <w:rFonts w:ascii="Verdana" w:hAnsi="Verdana"/>
          <w:sz w:val="20"/>
          <w:szCs w:val="32"/>
          <w:lang w:val="pt-BR"/>
        </w:rPr>
        <w:t xml:space="preserve"> o artigo</w:t>
      </w:r>
      <w:r w:rsidR="004756C1" w:rsidRPr="002F50BD">
        <w:rPr>
          <w:rFonts w:ascii="Verdana" w:hAnsi="Verdana"/>
          <w:sz w:val="20"/>
          <w:szCs w:val="32"/>
          <w:lang w:val="pt-BR"/>
        </w:rPr>
        <w:t xml:space="preserve"> </w:t>
      </w:r>
      <w:r w:rsidR="00063B47" w:rsidRPr="002F50BD">
        <w:rPr>
          <w:rFonts w:ascii="Verdana" w:hAnsi="Verdana"/>
          <w:sz w:val="20"/>
          <w:szCs w:val="32"/>
          <w:lang w:val="pt-BR"/>
        </w:rPr>
        <w:t>3</w:t>
      </w:r>
      <w:r w:rsidR="0089298C" w:rsidRPr="002F50BD">
        <w:rPr>
          <w:rFonts w:ascii="Verdana" w:hAnsi="Verdana"/>
          <w:sz w:val="20"/>
          <w:szCs w:val="32"/>
          <w:lang w:val="pt-BR"/>
        </w:rPr>
        <w:t xml:space="preserve"> da Lei</w:t>
      </w:r>
      <w:r w:rsidR="00FC6B22" w:rsidRPr="002F50BD">
        <w:rPr>
          <w:rFonts w:ascii="Verdana" w:hAnsi="Verdana"/>
          <w:sz w:val="20"/>
          <w:szCs w:val="32"/>
          <w:lang w:val="pt-BR"/>
        </w:rPr>
        <w:t xml:space="preserve"> </w:t>
      </w:r>
      <w:r w:rsidR="00063B47" w:rsidRPr="002F50BD">
        <w:rPr>
          <w:rFonts w:ascii="Verdana" w:hAnsi="Verdana"/>
          <w:sz w:val="20"/>
          <w:szCs w:val="32"/>
          <w:lang w:val="pt-BR"/>
        </w:rPr>
        <w:t>nº</w:t>
      </w:r>
      <w:r w:rsidR="00FC6B22" w:rsidRPr="002F50BD">
        <w:rPr>
          <w:rFonts w:ascii="Verdana" w:hAnsi="Verdana"/>
          <w:sz w:val="20"/>
          <w:szCs w:val="32"/>
          <w:lang w:val="pt-BR"/>
        </w:rPr>
        <w:t xml:space="preserve"> </w:t>
      </w:r>
      <w:r w:rsidR="00063B47" w:rsidRPr="002F50BD">
        <w:rPr>
          <w:rFonts w:ascii="Verdana" w:hAnsi="Verdana"/>
          <w:sz w:val="20"/>
          <w:szCs w:val="32"/>
          <w:lang w:val="pt-BR"/>
        </w:rPr>
        <w:t>43</w:t>
      </w:r>
      <w:r w:rsidR="004756C1" w:rsidRPr="002F50BD">
        <w:rPr>
          <w:rFonts w:ascii="Verdana" w:hAnsi="Verdana"/>
          <w:sz w:val="20"/>
          <w:szCs w:val="32"/>
          <w:lang w:val="pt-BR"/>
        </w:rPr>
        <w:t>/</w:t>
      </w:r>
      <w:r w:rsidR="00063B47" w:rsidRPr="002F50BD">
        <w:rPr>
          <w:rFonts w:ascii="Verdana" w:hAnsi="Verdana"/>
          <w:sz w:val="20"/>
          <w:szCs w:val="32"/>
          <w:lang w:val="pt-BR"/>
        </w:rPr>
        <w:t>89</w:t>
      </w:r>
      <w:r w:rsidR="004756C1" w:rsidRPr="002F50BD">
        <w:rPr>
          <w:rFonts w:ascii="Verdana" w:hAnsi="Verdana"/>
          <w:sz w:val="20"/>
          <w:szCs w:val="32"/>
          <w:lang w:val="pt-BR"/>
        </w:rPr>
        <w:t xml:space="preserve"> </w:t>
      </w:r>
      <w:r w:rsidR="0089298C" w:rsidRPr="002F50BD">
        <w:rPr>
          <w:rFonts w:ascii="Verdana" w:hAnsi="Verdana"/>
          <w:sz w:val="20"/>
          <w:szCs w:val="32"/>
          <w:lang w:val="pt-BR"/>
        </w:rPr>
        <w:t xml:space="preserve">afirma </w:t>
      </w:r>
      <w:r w:rsidR="004756C1" w:rsidRPr="002F50BD">
        <w:rPr>
          <w:rFonts w:ascii="Verdana" w:hAnsi="Verdana"/>
          <w:sz w:val="20"/>
          <w:szCs w:val="32"/>
          <w:lang w:val="pt-BR"/>
        </w:rPr>
        <w:t>que</w:t>
      </w:r>
      <w:r w:rsidR="0089298C" w:rsidRPr="002F50BD">
        <w:rPr>
          <w:rFonts w:ascii="Verdana" w:hAnsi="Verdana"/>
          <w:sz w:val="20"/>
          <w:szCs w:val="32"/>
          <w:lang w:val="pt-BR"/>
        </w:rPr>
        <w:t xml:space="preserve"> o </w:t>
      </w:r>
      <w:r w:rsidR="00AB454A" w:rsidRPr="002F50BD">
        <w:rPr>
          <w:rFonts w:ascii="Verdana" w:hAnsi="Verdana"/>
          <w:sz w:val="20"/>
          <w:szCs w:val="32"/>
          <w:lang w:val="pt-BR"/>
        </w:rPr>
        <w:t>assentamento</w:t>
      </w:r>
      <w:r w:rsidR="0089298C" w:rsidRPr="002F50BD">
        <w:rPr>
          <w:rFonts w:ascii="Verdana" w:hAnsi="Verdana"/>
          <w:sz w:val="20"/>
          <w:szCs w:val="32"/>
          <w:lang w:val="pt-BR"/>
        </w:rPr>
        <w:t xml:space="preserve"> das </w:t>
      </w:r>
      <w:r w:rsidR="004756C1" w:rsidRPr="002F50BD">
        <w:rPr>
          <w:rFonts w:ascii="Verdana" w:hAnsi="Verdana"/>
          <w:sz w:val="20"/>
          <w:szCs w:val="32"/>
          <w:lang w:val="pt-BR"/>
        </w:rPr>
        <w:t>comunidades indígenas compre</w:t>
      </w:r>
      <w:r w:rsidR="00957343" w:rsidRPr="002F50BD">
        <w:rPr>
          <w:rFonts w:ascii="Verdana" w:hAnsi="Verdana"/>
          <w:sz w:val="20"/>
          <w:szCs w:val="32"/>
          <w:lang w:val="pt-BR"/>
        </w:rPr>
        <w:t>e</w:t>
      </w:r>
      <w:r w:rsidR="004756C1" w:rsidRPr="002F50BD">
        <w:rPr>
          <w:rFonts w:ascii="Verdana" w:hAnsi="Verdana"/>
          <w:sz w:val="20"/>
          <w:szCs w:val="32"/>
          <w:lang w:val="pt-BR"/>
        </w:rPr>
        <w:t>nde</w:t>
      </w:r>
      <w:r w:rsidR="0089298C" w:rsidRPr="002F50BD">
        <w:rPr>
          <w:rFonts w:ascii="Verdana" w:hAnsi="Verdana"/>
          <w:sz w:val="20"/>
          <w:szCs w:val="32"/>
          <w:lang w:val="pt-BR"/>
        </w:rPr>
        <w:t xml:space="preserve"> um</w:t>
      </w:r>
      <w:r w:rsidR="00957343" w:rsidRPr="002F50BD">
        <w:rPr>
          <w:rFonts w:ascii="Verdana" w:hAnsi="Verdana"/>
          <w:sz w:val="20"/>
          <w:szCs w:val="32"/>
          <w:lang w:val="pt-BR"/>
        </w:rPr>
        <w:t>a</w:t>
      </w:r>
      <w:r w:rsidR="0089298C" w:rsidRPr="002F50BD">
        <w:rPr>
          <w:rFonts w:ascii="Verdana" w:hAnsi="Verdana"/>
          <w:sz w:val="20"/>
          <w:szCs w:val="32"/>
          <w:lang w:val="pt-BR"/>
        </w:rPr>
        <w:t xml:space="preserve"> </w:t>
      </w:r>
      <w:r w:rsidR="004756C1" w:rsidRPr="002F50BD">
        <w:rPr>
          <w:rFonts w:ascii="Verdana" w:hAnsi="Verdana"/>
          <w:sz w:val="20"/>
          <w:szCs w:val="32"/>
          <w:lang w:val="pt-BR"/>
        </w:rPr>
        <w:t>“área física conformada</w:t>
      </w:r>
      <w:r w:rsidR="0089298C" w:rsidRPr="002F50BD">
        <w:rPr>
          <w:rFonts w:ascii="Verdana" w:hAnsi="Verdana"/>
          <w:sz w:val="20"/>
          <w:szCs w:val="32"/>
          <w:lang w:val="pt-BR"/>
        </w:rPr>
        <w:t xml:space="preserve"> pelo </w:t>
      </w:r>
      <w:r w:rsidR="004756C1" w:rsidRPr="002F50BD">
        <w:rPr>
          <w:rFonts w:ascii="Verdana" w:hAnsi="Verdana"/>
          <w:sz w:val="20"/>
          <w:szCs w:val="32"/>
          <w:lang w:val="pt-BR"/>
        </w:rPr>
        <w:t xml:space="preserve">núcleo de casas, recursos </w:t>
      </w:r>
      <w:r w:rsidR="005D1589" w:rsidRPr="002F50BD">
        <w:rPr>
          <w:rFonts w:ascii="Verdana" w:hAnsi="Verdana"/>
          <w:sz w:val="20"/>
          <w:szCs w:val="32"/>
          <w:lang w:val="pt-BR"/>
        </w:rPr>
        <w:t>naturais</w:t>
      </w:r>
      <w:r w:rsidR="004756C1" w:rsidRPr="002F50BD">
        <w:rPr>
          <w:rFonts w:ascii="Verdana" w:hAnsi="Verdana"/>
          <w:sz w:val="20"/>
          <w:szCs w:val="32"/>
          <w:lang w:val="pt-BR"/>
        </w:rPr>
        <w:t>, cultivos, planta</w:t>
      </w:r>
      <w:r w:rsidR="0089298C" w:rsidRPr="002F50BD">
        <w:rPr>
          <w:rFonts w:ascii="Verdana" w:hAnsi="Verdana"/>
          <w:sz w:val="20"/>
          <w:szCs w:val="32"/>
          <w:lang w:val="pt-BR"/>
        </w:rPr>
        <w:t xml:space="preserve">ções e </w:t>
      </w:r>
      <w:r w:rsidR="004756C1" w:rsidRPr="002F50BD">
        <w:rPr>
          <w:rFonts w:ascii="Verdana" w:hAnsi="Verdana"/>
          <w:sz w:val="20"/>
          <w:szCs w:val="32"/>
          <w:lang w:val="pt-BR"/>
        </w:rPr>
        <w:t>s</w:t>
      </w:r>
      <w:r w:rsidR="00957343" w:rsidRPr="002F50BD">
        <w:rPr>
          <w:rFonts w:ascii="Verdana" w:hAnsi="Verdana"/>
          <w:sz w:val="20"/>
          <w:szCs w:val="32"/>
          <w:lang w:val="pt-BR"/>
        </w:rPr>
        <w:t>e</w:t>
      </w:r>
      <w:r w:rsidR="004756C1" w:rsidRPr="002F50BD">
        <w:rPr>
          <w:rFonts w:ascii="Verdana" w:hAnsi="Verdana"/>
          <w:sz w:val="20"/>
          <w:szCs w:val="32"/>
          <w:lang w:val="pt-BR"/>
        </w:rPr>
        <w:t>u entorno, ligados</w:t>
      </w:r>
      <w:r w:rsidR="0089298C" w:rsidRPr="002F50BD">
        <w:rPr>
          <w:rFonts w:ascii="Verdana" w:hAnsi="Verdana"/>
          <w:sz w:val="20"/>
          <w:szCs w:val="32"/>
          <w:lang w:val="pt-BR"/>
        </w:rPr>
        <w:t xml:space="preserve"> </w:t>
      </w:r>
      <w:r w:rsidR="00957343" w:rsidRPr="002F50BD">
        <w:rPr>
          <w:rFonts w:ascii="Verdana" w:hAnsi="Verdana"/>
          <w:sz w:val="20"/>
          <w:szCs w:val="32"/>
          <w:lang w:val="pt-BR"/>
        </w:rPr>
        <w:t xml:space="preserve">na medida </w:t>
      </w:r>
      <w:r w:rsidR="00565B3F" w:rsidRPr="002F50BD">
        <w:rPr>
          <w:rFonts w:ascii="Verdana" w:hAnsi="Verdana"/>
          <w:sz w:val="20"/>
          <w:szCs w:val="32"/>
          <w:lang w:val="pt-BR"/>
        </w:rPr>
        <w:t xml:space="preserve">do </w:t>
      </w:r>
      <w:r w:rsidR="0089298C" w:rsidRPr="002F50BD">
        <w:rPr>
          <w:rFonts w:ascii="Verdana" w:hAnsi="Verdana"/>
          <w:sz w:val="20"/>
          <w:szCs w:val="32"/>
          <w:lang w:val="pt-BR"/>
        </w:rPr>
        <w:t xml:space="preserve">possível </w:t>
      </w:r>
      <w:r w:rsidR="00957343" w:rsidRPr="002F50BD">
        <w:rPr>
          <w:rFonts w:ascii="Verdana" w:hAnsi="Verdana"/>
          <w:sz w:val="20"/>
          <w:szCs w:val="32"/>
          <w:lang w:val="pt-BR"/>
        </w:rPr>
        <w:t>à</w:t>
      </w:r>
      <w:r w:rsidR="004756C1" w:rsidRPr="002F50BD">
        <w:rPr>
          <w:rFonts w:ascii="Verdana" w:hAnsi="Verdana"/>
          <w:sz w:val="20"/>
          <w:szCs w:val="32"/>
          <w:lang w:val="pt-BR"/>
        </w:rPr>
        <w:t xml:space="preserve"> </w:t>
      </w:r>
      <w:r w:rsidR="00957343" w:rsidRPr="002F50BD">
        <w:rPr>
          <w:rFonts w:ascii="Verdana" w:hAnsi="Verdana"/>
          <w:sz w:val="20"/>
          <w:szCs w:val="32"/>
          <w:lang w:val="pt-BR"/>
        </w:rPr>
        <w:t>sua tradição</w:t>
      </w:r>
      <w:r w:rsidR="004756C1" w:rsidRPr="002F50BD">
        <w:rPr>
          <w:rFonts w:ascii="Verdana" w:hAnsi="Verdana"/>
          <w:sz w:val="20"/>
          <w:szCs w:val="32"/>
          <w:lang w:val="pt-BR"/>
        </w:rPr>
        <w:t xml:space="preserve"> cultural […]”.</w:t>
      </w:r>
    </w:p>
    <w:p w:rsidR="004756C1" w:rsidRPr="002F50BD" w:rsidRDefault="004756C1">
      <w:pPr>
        <w:jc w:val="both"/>
        <w:rPr>
          <w:rFonts w:ascii="Verdana" w:hAnsi="Verdana"/>
          <w:sz w:val="20"/>
          <w:szCs w:val="32"/>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szCs w:val="32"/>
          <w:lang w:val="pt-BR"/>
        </w:rPr>
        <w:lastRenderedPageBreak/>
        <w:t>Agora</w:t>
      </w:r>
      <w:r w:rsidR="004756C1" w:rsidRPr="002F50BD">
        <w:rPr>
          <w:rFonts w:ascii="Verdana" w:hAnsi="Verdana"/>
          <w:sz w:val="20"/>
          <w:szCs w:val="32"/>
          <w:lang w:val="pt-BR"/>
        </w:rPr>
        <w:t>,</w:t>
      </w:r>
      <w:r w:rsidRPr="002F50BD">
        <w:rPr>
          <w:rFonts w:ascii="Verdana" w:hAnsi="Verdana"/>
          <w:sz w:val="20"/>
          <w:szCs w:val="32"/>
          <w:lang w:val="pt-BR"/>
        </w:rPr>
        <w:t xml:space="preserve"> no </w:t>
      </w:r>
      <w:r w:rsidR="004756C1" w:rsidRPr="002F50BD">
        <w:rPr>
          <w:rFonts w:ascii="Verdana" w:hAnsi="Verdana"/>
          <w:sz w:val="20"/>
          <w:szCs w:val="32"/>
          <w:lang w:val="pt-BR"/>
        </w:rPr>
        <w:t>presente caso</w:t>
      </w:r>
      <w:r w:rsidR="00565B3F" w:rsidRPr="002F50BD">
        <w:rPr>
          <w:rFonts w:ascii="Verdana" w:hAnsi="Verdana"/>
          <w:sz w:val="20"/>
          <w:szCs w:val="32"/>
          <w:lang w:val="pt-BR"/>
        </w:rPr>
        <w:t>,</w:t>
      </w:r>
      <w:r w:rsidR="004756C1" w:rsidRPr="002F50BD">
        <w:rPr>
          <w:rFonts w:ascii="Verdana" w:hAnsi="Verdana"/>
          <w:sz w:val="20"/>
          <w:szCs w:val="32"/>
          <w:lang w:val="pt-BR"/>
        </w:rPr>
        <w:t xml:space="preserve"> n</w:t>
      </w:r>
      <w:r w:rsidR="00957343" w:rsidRPr="002F50BD">
        <w:rPr>
          <w:rFonts w:ascii="Verdana" w:hAnsi="Verdana"/>
          <w:sz w:val="20"/>
          <w:szCs w:val="32"/>
          <w:lang w:val="pt-BR"/>
        </w:rPr>
        <w:t>ã</w:t>
      </w:r>
      <w:r w:rsidR="004756C1" w:rsidRPr="002F50BD">
        <w:rPr>
          <w:rFonts w:ascii="Verdana" w:hAnsi="Verdana"/>
          <w:sz w:val="20"/>
          <w:szCs w:val="32"/>
          <w:lang w:val="pt-BR"/>
        </w:rPr>
        <w:t>o se discute</w:t>
      </w:r>
      <w:r w:rsidRPr="002F50BD">
        <w:rPr>
          <w:rFonts w:ascii="Verdana" w:hAnsi="Verdana"/>
          <w:sz w:val="20"/>
          <w:szCs w:val="32"/>
          <w:lang w:val="pt-BR"/>
        </w:rPr>
        <w:t xml:space="preserve"> a existência</w:t>
      </w:r>
      <w:r w:rsidR="004756C1" w:rsidRPr="002F50BD">
        <w:rPr>
          <w:rFonts w:ascii="Verdana" w:hAnsi="Verdana"/>
          <w:sz w:val="20"/>
          <w:szCs w:val="32"/>
          <w:lang w:val="pt-BR"/>
        </w:rPr>
        <w:t xml:space="preserve"> </w:t>
      </w:r>
      <w:r w:rsidRPr="002F50BD">
        <w:rPr>
          <w:rFonts w:ascii="Verdana" w:hAnsi="Verdana"/>
          <w:sz w:val="20"/>
          <w:szCs w:val="32"/>
          <w:lang w:val="pt-BR"/>
        </w:rPr>
        <w:t>do direito dos membro</w:t>
      </w:r>
      <w:r w:rsidR="004756C1" w:rsidRPr="002F50BD">
        <w:rPr>
          <w:rFonts w:ascii="Verdana" w:hAnsi="Verdana"/>
          <w:sz w:val="20"/>
          <w:szCs w:val="32"/>
          <w:lang w:val="pt-BR"/>
        </w:rPr>
        <w:t>s</w:t>
      </w:r>
      <w:r w:rsidRPr="002F50BD">
        <w:rPr>
          <w:rFonts w:ascii="Verdana" w:hAnsi="Verdana"/>
          <w:sz w:val="20"/>
          <w:szCs w:val="32"/>
          <w:lang w:val="pt-BR"/>
        </w:rPr>
        <w:t xml:space="preserve"> das </w:t>
      </w:r>
      <w:r w:rsidR="004756C1" w:rsidRPr="002F50BD">
        <w:rPr>
          <w:rFonts w:ascii="Verdana" w:hAnsi="Verdana"/>
          <w:sz w:val="20"/>
          <w:szCs w:val="32"/>
          <w:lang w:val="pt-BR"/>
        </w:rPr>
        <w:t xml:space="preserve">comunidades indígenas, </w:t>
      </w:r>
      <w:r w:rsidRPr="002F50BD">
        <w:rPr>
          <w:rFonts w:ascii="Verdana" w:hAnsi="Verdana"/>
          <w:sz w:val="20"/>
          <w:szCs w:val="32"/>
          <w:lang w:val="pt-BR"/>
        </w:rPr>
        <w:t xml:space="preserve">especificamente da Comunidade </w:t>
      </w:r>
      <w:r w:rsidR="004756C1" w:rsidRPr="002F50BD">
        <w:rPr>
          <w:rFonts w:ascii="Verdana" w:hAnsi="Verdana"/>
          <w:sz w:val="20"/>
          <w:szCs w:val="32"/>
          <w:lang w:val="pt-BR"/>
        </w:rPr>
        <w:t xml:space="preserve">Yakye Axa, a </w:t>
      </w:r>
      <w:r w:rsidR="00385366" w:rsidRPr="002F50BD">
        <w:rPr>
          <w:rFonts w:ascii="Verdana" w:hAnsi="Verdana"/>
          <w:sz w:val="20"/>
          <w:szCs w:val="32"/>
          <w:lang w:val="pt-BR"/>
        </w:rPr>
        <w:t>seus territórios</w:t>
      </w:r>
      <w:r w:rsidR="004756C1" w:rsidRPr="002F50BD">
        <w:rPr>
          <w:rFonts w:ascii="Verdana" w:hAnsi="Verdana"/>
          <w:sz w:val="20"/>
          <w:szCs w:val="32"/>
          <w:lang w:val="pt-BR"/>
        </w:rPr>
        <w:t>,</w:t>
      </w:r>
      <w:r w:rsidRPr="002F50BD">
        <w:rPr>
          <w:rFonts w:ascii="Verdana" w:hAnsi="Verdana"/>
          <w:sz w:val="20"/>
          <w:szCs w:val="32"/>
          <w:lang w:val="pt-BR"/>
        </w:rPr>
        <w:t xml:space="preserve"> no </w:t>
      </w:r>
      <w:r w:rsidR="004756C1" w:rsidRPr="002F50BD">
        <w:rPr>
          <w:rFonts w:ascii="Verdana" w:hAnsi="Verdana"/>
          <w:sz w:val="20"/>
          <w:szCs w:val="32"/>
          <w:lang w:val="pt-BR"/>
        </w:rPr>
        <w:t>entendi</w:t>
      </w:r>
      <w:r w:rsidR="00957343" w:rsidRPr="002F50BD">
        <w:rPr>
          <w:rFonts w:ascii="Verdana" w:hAnsi="Verdana"/>
          <w:sz w:val="20"/>
          <w:szCs w:val="32"/>
          <w:lang w:val="pt-BR"/>
        </w:rPr>
        <w:t xml:space="preserve">mento </w:t>
      </w:r>
      <w:r w:rsidRPr="002F50BD">
        <w:rPr>
          <w:rFonts w:ascii="Verdana" w:hAnsi="Verdana"/>
          <w:sz w:val="20"/>
          <w:szCs w:val="32"/>
          <w:lang w:val="pt-BR"/>
        </w:rPr>
        <w:t xml:space="preserve">do </w:t>
      </w:r>
      <w:r w:rsidR="004756C1" w:rsidRPr="002F50BD">
        <w:rPr>
          <w:rFonts w:ascii="Verdana" w:hAnsi="Verdana"/>
          <w:sz w:val="20"/>
          <w:szCs w:val="32"/>
          <w:lang w:val="pt-BR"/>
        </w:rPr>
        <w:t>que</w:t>
      </w:r>
      <w:r w:rsidRPr="002F50BD">
        <w:rPr>
          <w:rFonts w:ascii="Verdana" w:hAnsi="Verdana"/>
          <w:sz w:val="20"/>
          <w:szCs w:val="32"/>
          <w:lang w:val="pt-BR"/>
        </w:rPr>
        <w:t xml:space="preserve"> a terra</w:t>
      </w:r>
      <w:r w:rsidR="004756C1" w:rsidRPr="002F50BD">
        <w:rPr>
          <w:rFonts w:ascii="Verdana" w:hAnsi="Verdana"/>
          <w:sz w:val="20"/>
          <w:szCs w:val="32"/>
          <w:lang w:val="pt-BR"/>
        </w:rPr>
        <w:t xml:space="preserve"> significa para </w:t>
      </w:r>
      <w:r w:rsidR="00AB454A" w:rsidRPr="002F50BD">
        <w:rPr>
          <w:rFonts w:ascii="Verdana" w:hAnsi="Verdana"/>
          <w:sz w:val="20"/>
          <w:szCs w:val="32"/>
          <w:lang w:val="pt-BR"/>
        </w:rPr>
        <w:t>seus membros</w:t>
      </w:r>
      <w:r w:rsidR="004756C1" w:rsidRPr="002F50BD">
        <w:rPr>
          <w:rFonts w:ascii="Verdana" w:hAnsi="Verdana"/>
          <w:sz w:val="20"/>
          <w:szCs w:val="32"/>
          <w:lang w:val="pt-BR"/>
        </w:rPr>
        <w:t>,</w:t>
      </w:r>
      <w:r w:rsidRPr="002F50BD">
        <w:rPr>
          <w:rFonts w:ascii="Verdana" w:hAnsi="Verdana"/>
          <w:sz w:val="20"/>
          <w:szCs w:val="32"/>
          <w:lang w:val="pt-BR"/>
        </w:rPr>
        <w:t xml:space="preserve"> nem </w:t>
      </w:r>
      <w:r w:rsidR="004756C1" w:rsidRPr="002F50BD">
        <w:rPr>
          <w:rFonts w:ascii="Verdana" w:hAnsi="Verdana"/>
          <w:sz w:val="20"/>
          <w:szCs w:val="32"/>
          <w:lang w:val="pt-BR"/>
        </w:rPr>
        <w:t>se discute</w:t>
      </w:r>
      <w:r w:rsidRPr="002F50BD">
        <w:rPr>
          <w:rFonts w:ascii="Verdana" w:hAnsi="Verdana"/>
          <w:sz w:val="20"/>
          <w:szCs w:val="32"/>
          <w:lang w:val="pt-BR"/>
        </w:rPr>
        <w:t xml:space="preserve"> o fato </w:t>
      </w:r>
      <w:r w:rsidR="00957343" w:rsidRPr="002F50BD">
        <w:rPr>
          <w:rFonts w:ascii="Verdana" w:hAnsi="Verdana"/>
          <w:sz w:val="20"/>
          <w:szCs w:val="32"/>
          <w:lang w:val="pt-BR"/>
        </w:rPr>
        <w:t xml:space="preserve">de </w:t>
      </w:r>
      <w:r w:rsidR="004756C1" w:rsidRPr="002F50BD">
        <w:rPr>
          <w:rFonts w:ascii="Verdana" w:hAnsi="Verdana"/>
          <w:sz w:val="20"/>
          <w:szCs w:val="32"/>
          <w:lang w:val="pt-BR"/>
        </w:rPr>
        <w:t>que</w:t>
      </w:r>
      <w:r w:rsidRPr="002F50BD">
        <w:rPr>
          <w:rFonts w:ascii="Verdana" w:hAnsi="Verdana"/>
          <w:sz w:val="20"/>
          <w:szCs w:val="32"/>
          <w:lang w:val="pt-BR"/>
        </w:rPr>
        <w:t xml:space="preserve"> a </w:t>
      </w:r>
      <w:r w:rsidR="00AB454A" w:rsidRPr="002F50BD">
        <w:rPr>
          <w:rFonts w:ascii="Verdana" w:hAnsi="Verdana"/>
          <w:sz w:val="20"/>
          <w:szCs w:val="32"/>
          <w:lang w:val="pt-BR"/>
        </w:rPr>
        <w:t>caça</w:t>
      </w:r>
      <w:r w:rsidR="004756C1" w:rsidRPr="002F50BD">
        <w:rPr>
          <w:rFonts w:ascii="Verdana" w:hAnsi="Verdana"/>
          <w:sz w:val="20"/>
          <w:szCs w:val="32"/>
          <w:lang w:val="pt-BR"/>
        </w:rPr>
        <w:t>, pesca</w:t>
      </w:r>
      <w:r w:rsidRPr="002F50BD">
        <w:rPr>
          <w:rFonts w:ascii="Verdana" w:hAnsi="Verdana"/>
          <w:sz w:val="20"/>
          <w:szCs w:val="32"/>
          <w:lang w:val="pt-BR"/>
        </w:rPr>
        <w:t xml:space="preserve"> e </w:t>
      </w:r>
      <w:r w:rsidR="00957343" w:rsidRPr="002F50BD">
        <w:rPr>
          <w:rFonts w:ascii="Verdana" w:hAnsi="Verdana"/>
          <w:sz w:val="20"/>
          <w:szCs w:val="32"/>
          <w:lang w:val="pt-BR"/>
        </w:rPr>
        <w:t xml:space="preserve">coleta </w:t>
      </w:r>
      <w:r w:rsidRPr="002F50BD">
        <w:rPr>
          <w:rFonts w:ascii="Verdana" w:hAnsi="Verdana"/>
          <w:sz w:val="20"/>
          <w:szCs w:val="32"/>
          <w:lang w:val="pt-BR"/>
        </w:rPr>
        <w:t>seja</w:t>
      </w:r>
      <w:r w:rsidR="00565B3F" w:rsidRPr="002F50BD">
        <w:rPr>
          <w:rFonts w:ascii="Verdana" w:hAnsi="Verdana"/>
          <w:sz w:val="20"/>
          <w:szCs w:val="32"/>
          <w:lang w:val="pt-BR"/>
        </w:rPr>
        <w:t>m</w:t>
      </w:r>
      <w:r w:rsidRPr="002F50BD">
        <w:rPr>
          <w:rFonts w:ascii="Verdana" w:hAnsi="Verdana"/>
          <w:sz w:val="20"/>
          <w:szCs w:val="32"/>
          <w:lang w:val="pt-BR"/>
        </w:rPr>
        <w:t xml:space="preserve"> um </w:t>
      </w:r>
      <w:r w:rsidR="004756C1" w:rsidRPr="002F50BD">
        <w:rPr>
          <w:rFonts w:ascii="Verdana" w:hAnsi="Verdana"/>
          <w:sz w:val="20"/>
          <w:szCs w:val="32"/>
          <w:lang w:val="pt-BR"/>
        </w:rPr>
        <w:t xml:space="preserve">elemento </w:t>
      </w:r>
      <w:r w:rsidRPr="002F50BD">
        <w:rPr>
          <w:rFonts w:ascii="Verdana" w:hAnsi="Verdana"/>
          <w:sz w:val="20"/>
          <w:szCs w:val="32"/>
          <w:lang w:val="pt-BR"/>
        </w:rPr>
        <w:t>essencial</w:t>
      </w:r>
      <w:r w:rsidR="004756C1" w:rsidRPr="002F50BD">
        <w:rPr>
          <w:rFonts w:ascii="Verdana" w:hAnsi="Verdana"/>
          <w:sz w:val="20"/>
          <w:szCs w:val="32"/>
          <w:lang w:val="pt-BR"/>
        </w:rPr>
        <w:t xml:space="preserve"> de </w:t>
      </w:r>
      <w:r w:rsidR="005A6BC7" w:rsidRPr="002F50BD">
        <w:rPr>
          <w:rFonts w:ascii="Verdana" w:hAnsi="Verdana"/>
          <w:sz w:val="20"/>
          <w:szCs w:val="32"/>
          <w:lang w:val="pt-BR"/>
        </w:rPr>
        <w:t>sua cultura</w:t>
      </w:r>
      <w:r w:rsidR="004756C1" w:rsidRPr="002F50BD">
        <w:rPr>
          <w:rFonts w:ascii="Verdana" w:hAnsi="Verdana"/>
          <w:sz w:val="20"/>
          <w:szCs w:val="32"/>
          <w:lang w:val="pt-BR"/>
        </w:rPr>
        <w:t xml:space="preserve">. </w:t>
      </w:r>
      <w:r w:rsidRPr="002F50BD">
        <w:rPr>
          <w:rFonts w:ascii="Verdana" w:hAnsi="Verdana"/>
          <w:sz w:val="20"/>
          <w:szCs w:val="32"/>
          <w:lang w:val="pt-BR"/>
        </w:rPr>
        <w:t xml:space="preserve">Há um </w:t>
      </w:r>
      <w:r w:rsidR="004756C1" w:rsidRPr="002F50BD">
        <w:rPr>
          <w:rFonts w:ascii="Verdana" w:hAnsi="Verdana"/>
          <w:sz w:val="20"/>
          <w:szCs w:val="32"/>
          <w:lang w:val="pt-BR"/>
        </w:rPr>
        <w:t>consenso entre</w:t>
      </w:r>
      <w:r w:rsidRPr="002F50BD">
        <w:rPr>
          <w:rFonts w:ascii="Verdana" w:hAnsi="Verdana"/>
          <w:sz w:val="20"/>
          <w:szCs w:val="32"/>
          <w:lang w:val="pt-BR"/>
        </w:rPr>
        <w:t xml:space="preserve"> as </w:t>
      </w:r>
      <w:r w:rsidR="004756C1" w:rsidRPr="002F50BD">
        <w:rPr>
          <w:rFonts w:ascii="Verdana" w:hAnsi="Verdana"/>
          <w:sz w:val="20"/>
          <w:szCs w:val="32"/>
          <w:lang w:val="pt-BR"/>
        </w:rPr>
        <w:t xml:space="preserve">partes </w:t>
      </w:r>
      <w:r w:rsidRPr="002F50BD">
        <w:rPr>
          <w:rFonts w:ascii="Verdana" w:hAnsi="Verdana"/>
          <w:sz w:val="20"/>
          <w:szCs w:val="32"/>
          <w:lang w:val="pt-BR"/>
        </w:rPr>
        <w:t xml:space="preserve">a respeito da </w:t>
      </w:r>
      <w:r w:rsidR="004756C1" w:rsidRPr="002F50BD">
        <w:rPr>
          <w:rFonts w:ascii="Verdana" w:hAnsi="Verdana"/>
          <w:sz w:val="20"/>
          <w:szCs w:val="32"/>
          <w:lang w:val="pt-BR"/>
        </w:rPr>
        <w:t>normativa interna que consagra</w:t>
      </w:r>
      <w:r w:rsidRPr="002F50BD">
        <w:rPr>
          <w:rFonts w:ascii="Verdana" w:hAnsi="Verdana"/>
          <w:sz w:val="20"/>
          <w:szCs w:val="32"/>
          <w:lang w:val="pt-BR"/>
        </w:rPr>
        <w:t xml:space="preserve"> os direito</w:t>
      </w:r>
      <w:r w:rsidR="004756C1" w:rsidRPr="002F50BD">
        <w:rPr>
          <w:rFonts w:ascii="Verdana" w:hAnsi="Verdana"/>
          <w:sz w:val="20"/>
          <w:szCs w:val="32"/>
          <w:lang w:val="pt-BR"/>
        </w:rPr>
        <w:t xml:space="preserve">s </w:t>
      </w:r>
      <w:r w:rsidR="00AB454A" w:rsidRPr="002F50BD">
        <w:rPr>
          <w:rFonts w:ascii="Verdana" w:hAnsi="Verdana"/>
          <w:sz w:val="20"/>
          <w:szCs w:val="32"/>
          <w:lang w:val="pt-BR"/>
        </w:rPr>
        <w:t>territoriais</w:t>
      </w:r>
      <w:r w:rsidRPr="002F50BD">
        <w:rPr>
          <w:rFonts w:ascii="Verdana" w:hAnsi="Verdana"/>
          <w:sz w:val="20"/>
          <w:szCs w:val="32"/>
          <w:lang w:val="pt-BR"/>
        </w:rPr>
        <w:t xml:space="preserve"> dos membro</w:t>
      </w:r>
      <w:r w:rsidR="004756C1" w:rsidRPr="002F50BD">
        <w:rPr>
          <w:rFonts w:ascii="Verdana" w:hAnsi="Verdana"/>
          <w:sz w:val="20"/>
          <w:szCs w:val="32"/>
          <w:lang w:val="pt-BR"/>
        </w:rPr>
        <w:t>s</w:t>
      </w:r>
      <w:r w:rsidRPr="002F50BD">
        <w:rPr>
          <w:rFonts w:ascii="Verdana" w:hAnsi="Verdana"/>
          <w:sz w:val="20"/>
          <w:szCs w:val="32"/>
          <w:lang w:val="pt-BR"/>
        </w:rPr>
        <w:t xml:space="preserve"> das </w:t>
      </w:r>
      <w:r w:rsidR="004756C1" w:rsidRPr="002F50BD">
        <w:rPr>
          <w:rFonts w:ascii="Verdana" w:hAnsi="Verdana"/>
          <w:sz w:val="20"/>
          <w:szCs w:val="32"/>
          <w:lang w:val="pt-BR"/>
        </w:rPr>
        <w:t>comunidades indígenas</w:t>
      </w:r>
      <w:r w:rsidR="00D95E71" w:rsidRPr="002F50BD">
        <w:rPr>
          <w:rFonts w:ascii="Verdana" w:hAnsi="Verdana"/>
          <w:sz w:val="20"/>
          <w:szCs w:val="32"/>
          <w:lang w:val="pt-BR"/>
        </w:rPr>
        <w:t xml:space="preserve">. O </w:t>
      </w:r>
      <w:r w:rsidRPr="002F50BD">
        <w:rPr>
          <w:rFonts w:ascii="Verdana" w:hAnsi="Verdana"/>
          <w:sz w:val="20"/>
          <w:szCs w:val="32"/>
          <w:lang w:val="pt-BR"/>
        </w:rPr>
        <w:t xml:space="preserve">que </w:t>
      </w:r>
      <w:r w:rsidR="004756C1" w:rsidRPr="002F50BD">
        <w:rPr>
          <w:rFonts w:ascii="Verdana" w:hAnsi="Verdana"/>
          <w:sz w:val="20"/>
          <w:szCs w:val="32"/>
          <w:lang w:val="pt-BR"/>
        </w:rPr>
        <w:t>está</w:t>
      </w:r>
      <w:r w:rsidRPr="002F50BD">
        <w:rPr>
          <w:rFonts w:ascii="Verdana" w:hAnsi="Verdana"/>
          <w:sz w:val="20"/>
          <w:szCs w:val="32"/>
          <w:lang w:val="pt-BR"/>
        </w:rPr>
        <w:t xml:space="preserve"> em discussão é a </w:t>
      </w:r>
      <w:r w:rsidR="004756C1" w:rsidRPr="002F50BD">
        <w:rPr>
          <w:rFonts w:ascii="Verdana" w:hAnsi="Verdana"/>
          <w:sz w:val="20"/>
          <w:szCs w:val="32"/>
          <w:lang w:val="pt-BR"/>
        </w:rPr>
        <w:t>realiza</w:t>
      </w:r>
      <w:r w:rsidRPr="002F50BD">
        <w:rPr>
          <w:rFonts w:ascii="Verdana" w:hAnsi="Verdana"/>
          <w:sz w:val="20"/>
          <w:szCs w:val="32"/>
          <w:lang w:val="pt-BR"/>
        </w:rPr>
        <w:t>ção</w:t>
      </w:r>
      <w:r w:rsidR="004756C1" w:rsidRPr="002F50BD">
        <w:rPr>
          <w:rFonts w:ascii="Verdana" w:hAnsi="Verdana"/>
          <w:sz w:val="20"/>
          <w:szCs w:val="32"/>
          <w:lang w:val="pt-BR"/>
        </w:rPr>
        <w:t xml:space="preserve"> </w:t>
      </w:r>
      <w:r w:rsidRPr="002F50BD">
        <w:rPr>
          <w:rFonts w:ascii="Verdana" w:hAnsi="Verdana"/>
          <w:sz w:val="20"/>
          <w:szCs w:val="32"/>
          <w:lang w:val="pt-BR"/>
        </w:rPr>
        <w:t>efetiv</w:t>
      </w:r>
      <w:r w:rsidR="004756C1" w:rsidRPr="002F50BD">
        <w:rPr>
          <w:rFonts w:ascii="Verdana" w:hAnsi="Verdana"/>
          <w:sz w:val="20"/>
          <w:szCs w:val="32"/>
          <w:lang w:val="pt-BR"/>
        </w:rPr>
        <w:t xml:space="preserve">a </w:t>
      </w:r>
      <w:r w:rsidRPr="002F50BD">
        <w:rPr>
          <w:rFonts w:ascii="Verdana" w:hAnsi="Verdana"/>
          <w:sz w:val="20"/>
          <w:szCs w:val="32"/>
          <w:lang w:val="pt-BR"/>
        </w:rPr>
        <w:t>destes direito</w:t>
      </w:r>
      <w:r w:rsidR="004756C1" w:rsidRPr="002F50BD">
        <w:rPr>
          <w:rFonts w:ascii="Verdana" w:hAnsi="Verdana"/>
          <w:sz w:val="20"/>
          <w:szCs w:val="32"/>
          <w:lang w:val="pt-BR"/>
        </w:rPr>
        <w:t xml:space="preserve">s. </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Como</w:t>
      </w:r>
      <w:r w:rsidR="0089298C" w:rsidRPr="002F50BD">
        <w:rPr>
          <w:rFonts w:ascii="Verdana" w:hAnsi="Verdana"/>
          <w:sz w:val="20"/>
          <w:lang w:val="pt-BR"/>
        </w:rPr>
        <w:t xml:space="preserve"> já foi indicado</w:t>
      </w:r>
      <w:r w:rsidRPr="002F50BD">
        <w:rPr>
          <w:rFonts w:ascii="Verdana" w:hAnsi="Verdana"/>
          <w:sz w:val="20"/>
          <w:lang w:val="pt-BR"/>
        </w:rPr>
        <w:t xml:space="preserve">, </w:t>
      </w:r>
      <w:r w:rsidR="00957343" w:rsidRPr="002F50BD">
        <w:rPr>
          <w:rFonts w:ascii="Verdana" w:hAnsi="Verdana"/>
          <w:sz w:val="20"/>
          <w:lang w:val="pt-BR"/>
        </w:rPr>
        <w:t xml:space="preserve">o </w:t>
      </w:r>
      <w:r w:rsidR="0089298C" w:rsidRPr="002F50BD">
        <w:rPr>
          <w:rFonts w:ascii="Verdana" w:hAnsi="Verdana"/>
          <w:sz w:val="20"/>
          <w:lang w:val="pt-BR"/>
        </w:rPr>
        <w:t>Paraguai</w:t>
      </w:r>
      <w:r w:rsidRPr="002F50BD">
        <w:rPr>
          <w:rFonts w:ascii="Verdana" w:hAnsi="Verdana"/>
          <w:sz w:val="20"/>
          <w:lang w:val="pt-BR"/>
        </w:rPr>
        <w:t xml:space="preserve"> re</w:t>
      </w:r>
      <w:r w:rsidR="0089298C" w:rsidRPr="002F50BD">
        <w:rPr>
          <w:rFonts w:ascii="Verdana" w:hAnsi="Verdana"/>
          <w:sz w:val="20"/>
          <w:lang w:val="pt-BR"/>
        </w:rPr>
        <w:t>conhece o direito à propriedade</w:t>
      </w:r>
      <w:r w:rsidRPr="002F50BD">
        <w:rPr>
          <w:rFonts w:ascii="Verdana" w:hAnsi="Verdana"/>
          <w:sz w:val="20"/>
          <w:lang w:val="pt-BR"/>
        </w:rPr>
        <w:t xml:space="preserve"> </w:t>
      </w:r>
      <w:r w:rsidR="004076AD" w:rsidRPr="002F50BD">
        <w:rPr>
          <w:rFonts w:ascii="Verdana" w:hAnsi="Verdana"/>
          <w:sz w:val="20"/>
          <w:lang w:val="pt-BR"/>
        </w:rPr>
        <w:t>comunitári</w:t>
      </w:r>
      <w:r w:rsidRPr="002F50BD">
        <w:rPr>
          <w:rFonts w:ascii="Verdana" w:hAnsi="Verdana"/>
          <w:sz w:val="20"/>
          <w:lang w:val="pt-BR"/>
        </w:rPr>
        <w:t>a</w:t>
      </w:r>
      <w:r w:rsidR="0089298C" w:rsidRPr="002F50BD">
        <w:rPr>
          <w:rFonts w:ascii="Verdana" w:hAnsi="Verdana"/>
          <w:sz w:val="20"/>
          <w:lang w:val="pt-BR"/>
        </w:rPr>
        <w:t xml:space="preserve"> dos povo</w:t>
      </w:r>
      <w:r w:rsidRPr="002F50BD">
        <w:rPr>
          <w:rFonts w:ascii="Verdana" w:hAnsi="Verdana"/>
          <w:sz w:val="20"/>
          <w:lang w:val="pt-BR"/>
        </w:rPr>
        <w:t xml:space="preserve">s indígenas, </w:t>
      </w:r>
      <w:r w:rsidR="0089298C" w:rsidRPr="002F50BD">
        <w:rPr>
          <w:rFonts w:ascii="Verdana" w:hAnsi="Verdana"/>
          <w:sz w:val="20"/>
          <w:lang w:val="pt-BR"/>
        </w:rPr>
        <w:t>mas</w:t>
      </w:r>
      <w:r w:rsidRPr="002F50BD">
        <w:rPr>
          <w:rFonts w:ascii="Verdana" w:hAnsi="Verdana"/>
          <w:sz w:val="20"/>
          <w:lang w:val="pt-BR"/>
        </w:rPr>
        <w:t>,</w:t>
      </w:r>
      <w:r w:rsidR="0089298C" w:rsidRPr="002F50BD">
        <w:rPr>
          <w:rFonts w:ascii="Verdana" w:hAnsi="Verdana"/>
          <w:sz w:val="20"/>
          <w:lang w:val="pt-BR"/>
        </w:rPr>
        <w:t xml:space="preserve"> no </w:t>
      </w:r>
      <w:r w:rsidRPr="002F50BD">
        <w:rPr>
          <w:rFonts w:ascii="Verdana" w:hAnsi="Verdana"/>
          <w:sz w:val="20"/>
          <w:lang w:val="pt-BR"/>
        </w:rPr>
        <w:t>presente caso,</w:t>
      </w:r>
      <w:r w:rsidR="0089298C" w:rsidRPr="002F50BD">
        <w:rPr>
          <w:rFonts w:ascii="Verdana" w:hAnsi="Verdana"/>
          <w:sz w:val="20"/>
          <w:lang w:val="pt-BR"/>
        </w:rPr>
        <w:t xml:space="preserve"> a </w:t>
      </w:r>
      <w:r w:rsidRPr="002F50BD">
        <w:rPr>
          <w:rFonts w:ascii="Verdana" w:hAnsi="Verdana"/>
          <w:sz w:val="20"/>
          <w:lang w:val="pt-BR"/>
        </w:rPr>
        <w:t>Corte</w:t>
      </w:r>
      <w:r w:rsidR="0089298C" w:rsidRPr="002F50BD">
        <w:rPr>
          <w:rFonts w:ascii="Verdana" w:hAnsi="Verdana"/>
          <w:sz w:val="20"/>
          <w:lang w:val="pt-BR"/>
        </w:rPr>
        <w:t xml:space="preserve"> deve </w:t>
      </w:r>
      <w:r w:rsidRPr="002F50BD">
        <w:rPr>
          <w:rFonts w:ascii="Verdana" w:hAnsi="Verdana"/>
          <w:sz w:val="20"/>
          <w:lang w:val="pt-BR"/>
        </w:rPr>
        <w:t>determinar</w:t>
      </w:r>
      <w:r w:rsidR="0089298C" w:rsidRPr="002F50BD">
        <w:rPr>
          <w:rFonts w:ascii="Verdana" w:hAnsi="Verdana"/>
          <w:sz w:val="20"/>
          <w:lang w:val="pt-BR"/>
        </w:rPr>
        <w:t xml:space="preserve"> se </w:t>
      </w:r>
      <w:r w:rsidR="00957343" w:rsidRPr="002F50BD">
        <w:rPr>
          <w:rFonts w:ascii="Verdana" w:hAnsi="Verdana"/>
          <w:sz w:val="20"/>
          <w:lang w:val="pt-BR"/>
        </w:rPr>
        <w:t xml:space="preserve">o fez </w:t>
      </w:r>
      <w:r w:rsidR="0089298C" w:rsidRPr="002F50BD">
        <w:rPr>
          <w:rFonts w:ascii="Verdana" w:hAnsi="Verdana"/>
          <w:sz w:val="20"/>
          <w:lang w:val="pt-BR"/>
        </w:rPr>
        <w:t>efetiv</w:t>
      </w:r>
      <w:r w:rsidRPr="002F50BD">
        <w:rPr>
          <w:rFonts w:ascii="Verdana" w:hAnsi="Verdana"/>
          <w:sz w:val="20"/>
          <w:lang w:val="pt-BR"/>
        </w:rPr>
        <w:t>o</w:t>
      </w:r>
      <w:r w:rsidR="0089298C" w:rsidRPr="002F50BD">
        <w:rPr>
          <w:rFonts w:ascii="Verdana" w:hAnsi="Verdana"/>
          <w:sz w:val="20"/>
          <w:lang w:val="pt-BR"/>
        </w:rPr>
        <w:t xml:space="preserve"> na realidade e </w:t>
      </w:r>
      <w:r w:rsidR="00957343" w:rsidRPr="002F50BD">
        <w:rPr>
          <w:rFonts w:ascii="Verdana" w:hAnsi="Verdana"/>
          <w:sz w:val="20"/>
          <w:lang w:val="pt-BR"/>
        </w:rPr>
        <w:t>n</w:t>
      </w:r>
      <w:r w:rsidR="0089298C" w:rsidRPr="002F50BD">
        <w:rPr>
          <w:rFonts w:ascii="Verdana" w:hAnsi="Verdana"/>
          <w:sz w:val="20"/>
          <w:lang w:val="pt-BR"/>
        </w:rPr>
        <w:t>a prática</w:t>
      </w:r>
      <w:r w:rsidRPr="002F50BD">
        <w:rPr>
          <w:rFonts w:ascii="Verdana" w:hAnsi="Verdana"/>
          <w:sz w:val="20"/>
          <w:lang w:val="pt-BR"/>
        </w:rPr>
        <w:t xml:space="preserve">. Está </w:t>
      </w:r>
      <w:r w:rsidR="0089298C" w:rsidRPr="002F50BD">
        <w:rPr>
          <w:rFonts w:ascii="Verdana" w:hAnsi="Verdana"/>
          <w:sz w:val="20"/>
          <w:lang w:val="pt-BR"/>
        </w:rPr>
        <w:t>provad</w:t>
      </w:r>
      <w:r w:rsidRPr="002F50BD">
        <w:rPr>
          <w:rFonts w:ascii="Verdana" w:hAnsi="Verdana"/>
          <w:sz w:val="20"/>
          <w:lang w:val="pt-BR"/>
        </w:rPr>
        <w:t xml:space="preserve">o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24</w:t>
      </w:r>
      <w:r w:rsidR="00957343"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que</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iniciaram</w:t>
      </w:r>
      <w:r w:rsidRPr="002F50BD">
        <w:rPr>
          <w:rFonts w:ascii="Verdana" w:hAnsi="Verdana"/>
          <w:sz w:val="20"/>
          <w:lang w:val="pt-BR"/>
        </w:rPr>
        <w:t xml:space="preserve"> </w:t>
      </w:r>
      <w:r w:rsidR="00957343" w:rsidRPr="002F50BD">
        <w:rPr>
          <w:rFonts w:ascii="Verdana" w:hAnsi="Verdana"/>
          <w:sz w:val="20"/>
          <w:lang w:val="pt-BR"/>
        </w:rPr>
        <w:t xml:space="preserve">em </w:t>
      </w:r>
      <w:r w:rsidR="00063B47" w:rsidRPr="002F50BD">
        <w:rPr>
          <w:rFonts w:ascii="Verdana" w:hAnsi="Verdana"/>
          <w:sz w:val="20"/>
          <w:lang w:val="pt-BR"/>
        </w:rPr>
        <w:t>1993</w:t>
      </w:r>
      <w:r w:rsidR="0089298C" w:rsidRPr="002F50BD">
        <w:rPr>
          <w:rFonts w:ascii="Verdana" w:hAnsi="Verdana"/>
          <w:sz w:val="20"/>
          <w:lang w:val="pt-BR"/>
        </w:rPr>
        <w:t xml:space="preserve"> os trâmite</w:t>
      </w:r>
      <w:r w:rsidRPr="002F50BD">
        <w:rPr>
          <w:rFonts w:ascii="Verdana" w:hAnsi="Verdana"/>
          <w:sz w:val="20"/>
          <w:lang w:val="pt-BR"/>
        </w:rPr>
        <w:t xml:space="preserve">s </w:t>
      </w:r>
      <w:r w:rsidR="0089298C" w:rsidRPr="002F50BD">
        <w:rPr>
          <w:rFonts w:ascii="Verdana" w:hAnsi="Verdana"/>
          <w:sz w:val="20"/>
          <w:lang w:val="pt-BR"/>
        </w:rPr>
        <w:t>estabelecid</w:t>
      </w:r>
      <w:r w:rsidRPr="002F50BD">
        <w:rPr>
          <w:rFonts w:ascii="Verdana" w:hAnsi="Verdana"/>
          <w:sz w:val="20"/>
          <w:lang w:val="pt-BR"/>
        </w:rPr>
        <w:t>os</w:t>
      </w:r>
      <w:r w:rsidR="0089298C" w:rsidRPr="002F50BD">
        <w:rPr>
          <w:rFonts w:ascii="Verdana" w:hAnsi="Verdana"/>
          <w:sz w:val="20"/>
          <w:lang w:val="pt-BR"/>
        </w:rPr>
        <w:t xml:space="preserve"> na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interna para</w:t>
      </w:r>
      <w:r w:rsidR="0089298C" w:rsidRPr="002F50BD">
        <w:rPr>
          <w:rFonts w:ascii="Verdana" w:hAnsi="Verdana"/>
          <w:sz w:val="20"/>
          <w:lang w:val="pt-BR"/>
        </w:rPr>
        <w:t xml:space="preserve"> a </w:t>
      </w:r>
      <w:r w:rsidRPr="002F50BD">
        <w:rPr>
          <w:rFonts w:ascii="Verdana" w:hAnsi="Verdana"/>
          <w:sz w:val="20"/>
          <w:lang w:val="pt-BR"/>
        </w:rPr>
        <w:t>reivindica</w:t>
      </w:r>
      <w:r w:rsidR="0089298C" w:rsidRPr="002F50BD">
        <w:rPr>
          <w:rFonts w:ascii="Verdana" w:hAnsi="Verdana"/>
          <w:sz w:val="20"/>
          <w:lang w:val="pt-BR"/>
        </w:rPr>
        <w:t>ção dos território</w:t>
      </w:r>
      <w:r w:rsidR="00957343" w:rsidRPr="002F50BD">
        <w:rPr>
          <w:rFonts w:ascii="Verdana" w:hAnsi="Verdana"/>
          <w:sz w:val="20"/>
          <w:lang w:val="pt-BR"/>
        </w:rPr>
        <w:t>s que reclamam</w:t>
      </w:r>
      <w:r w:rsidRPr="002F50BD">
        <w:rPr>
          <w:rFonts w:ascii="Verdana" w:hAnsi="Verdana"/>
          <w:sz w:val="20"/>
          <w:lang w:val="pt-BR"/>
        </w:rPr>
        <w:t xml:space="preserve"> como </w:t>
      </w:r>
      <w:r w:rsidR="0089298C" w:rsidRPr="002F50BD">
        <w:rPr>
          <w:rFonts w:ascii="Verdana" w:hAnsi="Verdana"/>
          <w:sz w:val="20"/>
          <w:lang w:val="pt-BR"/>
        </w:rPr>
        <w:t>próprio</w:t>
      </w:r>
      <w:r w:rsidRPr="002F50BD">
        <w:rPr>
          <w:rFonts w:ascii="Verdana" w:hAnsi="Verdana"/>
          <w:sz w:val="20"/>
          <w:lang w:val="pt-BR"/>
        </w:rPr>
        <w:t>s,</w:t>
      </w:r>
      <w:r w:rsidR="0089298C" w:rsidRPr="002F50BD">
        <w:rPr>
          <w:rFonts w:ascii="Verdana" w:hAnsi="Verdana"/>
          <w:sz w:val="20"/>
          <w:lang w:val="pt-BR"/>
        </w:rPr>
        <w:t xml:space="preserve"> sem </w:t>
      </w:r>
      <w:r w:rsidRPr="002F50BD">
        <w:rPr>
          <w:rFonts w:ascii="Verdana" w:hAnsi="Verdana"/>
          <w:sz w:val="20"/>
          <w:lang w:val="pt-BR"/>
        </w:rPr>
        <w:t xml:space="preserve">que </w:t>
      </w:r>
      <w:r w:rsidR="0089298C" w:rsidRPr="002F50BD">
        <w:rPr>
          <w:rFonts w:ascii="Verdana" w:hAnsi="Verdana"/>
          <w:sz w:val="20"/>
          <w:lang w:val="pt-BR"/>
        </w:rPr>
        <w:t xml:space="preserve">até a </w:t>
      </w:r>
      <w:r w:rsidR="00957343" w:rsidRPr="002F50BD">
        <w:rPr>
          <w:rFonts w:ascii="Verdana" w:hAnsi="Verdana"/>
          <w:sz w:val="20"/>
          <w:lang w:val="pt-BR"/>
        </w:rPr>
        <w:t xml:space="preserve">presente </w:t>
      </w:r>
      <w:r w:rsidR="0089298C" w:rsidRPr="002F50BD">
        <w:rPr>
          <w:rFonts w:ascii="Verdana" w:hAnsi="Verdana"/>
          <w:sz w:val="20"/>
          <w:lang w:val="pt-BR"/>
        </w:rPr>
        <w:t>data</w:t>
      </w:r>
      <w:r w:rsidRPr="002F50BD">
        <w:rPr>
          <w:rFonts w:ascii="Verdana" w:hAnsi="Verdana"/>
          <w:sz w:val="20"/>
          <w:lang w:val="pt-BR"/>
        </w:rPr>
        <w:t xml:space="preserve"> </w:t>
      </w:r>
      <w:r w:rsidR="0089298C" w:rsidRPr="002F50BD">
        <w:rPr>
          <w:rFonts w:ascii="Verdana" w:hAnsi="Verdana"/>
          <w:sz w:val="20"/>
          <w:lang w:val="pt-BR"/>
        </w:rPr>
        <w:t>seus direitos</w:t>
      </w:r>
      <w:r w:rsidRPr="002F50BD">
        <w:rPr>
          <w:rFonts w:ascii="Verdana" w:hAnsi="Verdana"/>
          <w:sz w:val="20"/>
          <w:lang w:val="pt-BR"/>
        </w:rPr>
        <w:t xml:space="preserve"> </w:t>
      </w:r>
      <w:r w:rsidR="00AB454A" w:rsidRPr="002F50BD">
        <w:rPr>
          <w:rFonts w:ascii="Verdana" w:hAnsi="Verdana"/>
          <w:sz w:val="20"/>
          <w:lang w:val="pt-BR"/>
        </w:rPr>
        <w:t>territoriais</w:t>
      </w:r>
      <w:r w:rsidRPr="002F50BD">
        <w:rPr>
          <w:rFonts w:ascii="Verdana" w:hAnsi="Verdana"/>
          <w:sz w:val="20"/>
          <w:lang w:val="pt-BR"/>
        </w:rPr>
        <w:t xml:space="preserve"> </w:t>
      </w:r>
      <w:r w:rsidR="0089298C" w:rsidRPr="002F50BD">
        <w:rPr>
          <w:rFonts w:ascii="Verdana" w:hAnsi="Verdana"/>
          <w:sz w:val="20"/>
          <w:lang w:val="pt-BR"/>
        </w:rPr>
        <w:t>tenham</w:t>
      </w:r>
      <w:r w:rsidRPr="002F50BD">
        <w:rPr>
          <w:rFonts w:ascii="Verdana" w:hAnsi="Verdana"/>
          <w:sz w:val="20"/>
          <w:lang w:val="pt-BR"/>
        </w:rPr>
        <w:t xml:space="preserve"> sido materializados.</w:t>
      </w:r>
      <w:r w:rsidR="0089298C" w:rsidRPr="002F50BD">
        <w:rPr>
          <w:rFonts w:ascii="Verdana" w:hAnsi="Verdana"/>
          <w:sz w:val="20"/>
          <w:lang w:val="pt-BR"/>
        </w:rPr>
        <w:t xml:space="preserve"> </w:t>
      </w:r>
      <w:r w:rsidR="00957343" w:rsidRPr="002F50BD">
        <w:rPr>
          <w:rFonts w:ascii="Verdana" w:hAnsi="Verdana"/>
          <w:sz w:val="20"/>
          <w:lang w:val="pt-BR"/>
        </w:rPr>
        <w:t>Co</w:t>
      </w:r>
      <w:r w:rsidR="0089298C" w:rsidRPr="002F50BD">
        <w:rPr>
          <w:rFonts w:ascii="Verdana" w:hAnsi="Verdana"/>
          <w:sz w:val="20"/>
          <w:lang w:val="pt-BR"/>
        </w:rPr>
        <w:t>m efeito</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em </w:t>
      </w:r>
      <w:r w:rsidR="004A38DE" w:rsidRPr="002F50BD">
        <w:rPr>
          <w:rFonts w:ascii="Verdana" w:hAnsi="Verdana"/>
          <w:sz w:val="20"/>
          <w:lang w:val="pt-BR"/>
        </w:rPr>
        <w:t>sua contestação</w:t>
      </w:r>
      <w:r w:rsidR="0089298C" w:rsidRPr="002F50BD">
        <w:rPr>
          <w:rFonts w:ascii="Verdana" w:hAnsi="Verdana"/>
          <w:sz w:val="20"/>
          <w:lang w:val="pt-BR"/>
        </w:rPr>
        <w:t xml:space="preserve"> à </w:t>
      </w:r>
      <w:r w:rsidRPr="002F50BD">
        <w:rPr>
          <w:rFonts w:ascii="Verdana" w:hAnsi="Verdana"/>
          <w:sz w:val="20"/>
          <w:lang w:val="pt-BR"/>
        </w:rPr>
        <w:t>demanda “recon</w:t>
      </w:r>
      <w:r w:rsidR="004A38DE" w:rsidRPr="002F50BD">
        <w:rPr>
          <w:rFonts w:ascii="Verdana" w:hAnsi="Verdana"/>
          <w:sz w:val="20"/>
          <w:lang w:val="pt-BR"/>
        </w:rPr>
        <w:t>he</w:t>
      </w:r>
      <w:r w:rsidRPr="002F50BD">
        <w:rPr>
          <w:rFonts w:ascii="Verdana" w:hAnsi="Verdana"/>
          <w:sz w:val="20"/>
          <w:lang w:val="pt-BR"/>
        </w:rPr>
        <w:t>c[</w:t>
      </w:r>
      <w:r w:rsidR="004A38DE" w:rsidRPr="002F50BD">
        <w:rPr>
          <w:rFonts w:ascii="Verdana" w:hAnsi="Verdana"/>
          <w:sz w:val="20"/>
          <w:lang w:val="pt-BR"/>
        </w:rPr>
        <w:t>eu</w:t>
      </w:r>
      <w:r w:rsidRPr="002F50BD">
        <w:rPr>
          <w:rFonts w:ascii="Verdana" w:hAnsi="Verdana"/>
          <w:sz w:val="20"/>
          <w:lang w:val="pt-BR"/>
        </w:rPr>
        <w:t>] que</w:t>
      </w:r>
      <w:r w:rsidR="00565B3F" w:rsidRPr="002F50BD">
        <w:rPr>
          <w:rFonts w:ascii="Verdana" w:hAnsi="Verdana"/>
          <w:sz w:val="20"/>
          <w:lang w:val="pt-BR"/>
        </w:rPr>
        <w:t>,</w:t>
      </w:r>
      <w:r w:rsidRPr="002F50BD">
        <w:rPr>
          <w:rFonts w:ascii="Verdana" w:hAnsi="Verdana"/>
          <w:sz w:val="20"/>
          <w:lang w:val="pt-BR"/>
        </w:rPr>
        <w:t xml:space="preserve"> por </w:t>
      </w:r>
      <w:r w:rsidR="0089298C" w:rsidRPr="002F50BD">
        <w:rPr>
          <w:rFonts w:ascii="Verdana" w:hAnsi="Verdana"/>
          <w:sz w:val="20"/>
          <w:lang w:val="pt-BR"/>
        </w:rPr>
        <w:t>circunstâncias</w:t>
      </w:r>
      <w:r w:rsidRPr="002F50BD">
        <w:rPr>
          <w:rFonts w:ascii="Verdana" w:hAnsi="Verdana"/>
          <w:sz w:val="20"/>
          <w:lang w:val="pt-BR"/>
        </w:rPr>
        <w:t xml:space="preserve"> de</w:t>
      </w:r>
      <w:r w:rsidR="0089298C" w:rsidRPr="002F50BD">
        <w:rPr>
          <w:rFonts w:ascii="Verdana" w:hAnsi="Verdana"/>
          <w:sz w:val="20"/>
          <w:lang w:val="pt-BR"/>
        </w:rPr>
        <w:t xml:space="preserve"> fato e </w:t>
      </w:r>
      <w:r w:rsidRPr="002F50BD">
        <w:rPr>
          <w:rFonts w:ascii="Verdana" w:hAnsi="Verdana"/>
          <w:sz w:val="20"/>
          <w:lang w:val="pt-BR"/>
        </w:rPr>
        <w:t xml:space="preserve">de </w:t>
      </w:r>
      <w:r w:rsidR="0089298C" w:rsidRPr="002F50BD">
        <w:rPr>
          <w:rFonts w:ascii="Verdana" w:hAnsi="Verdana"/>
          <w:sz w:val="20"/>
          <w:lang w:val="pt-BR"/>
        </w:rPr>
        <w:t>direito</w:t>
      </w:r>
      <w:r w:rsidR="00565B3F" w:rsidRPr="002F50BD">
        <w:rPr>
          <w:rFonts w:ascii="Verdana" w:hAnsi="Verdana"/>
          <w:sz w:val="20"/>
          <w:lang w:val="pt-BR"/>
        </w:rPr>
        <w:t>,</w:t>
      </w:r>
      <w:r w:rsidRPr="002F50BD">
        <w:rPr>
          <w:rFonts w:ascii="Verdana" w:hAnsi="Verdana"/>
          <w:sz w:val="20"/>
          <w:lang w:val="pt-BR"/>
        </w:rPr>
        <w:t xml:space="preserve"> n</w:t>
      </w:r>
      <w:r w:rsidR="004A38DE" w:rsidRPr="002F50BD">
        <w:rPr>
          <w:rFonts w:ascii="Verdana" w:hAnsi="Verdana"/>
          <w:sz w:val="20"/>
          <w:lang w:val="pt-BR"/>
        </w:rPr>
        <w:t>ã</w:t>
      </w:r>
      <w:r w:rsidRPr="002F50BD">
        <w:rPr>
          <w:rFonts w:ascii="Verdana" w:hAnsi="Verdana"/>
          <w:sz w:val="20"/>
          <w:lang w:val="pt-BR"/>
        </w:rPr>
        <w:t xml:space="preserve">o </w:t>
      </w:r>
      <w:r w:rsidR="004A38DE" w:rsidRPr="002F50BD">
        <w:rPr>
          <w:rFonts w:ascii="Verdana" w:hAnsi="Verdana"/>
          <w:sz w:val="20"/>
          <w:lang w:val="pt-BR"/>
        </w:rPr>
        <w:t xml:space="preserve">pôde </w:t>
      </w:r>
      <w:r w:rsidR="0089298C" w:rsidRPr="002F50BD">
        <w:rPr>
          <w:rFonts w:ascii="Verdana" w:hAnsi="Verdana"/>
          <w:sz w:val="20"/>
          <w:lang w:val="pt-BR"/>
        </w:rPr>
        <w:t>satisfazer</w:t>
      </w:r>
      <w:r w:rsidRPr="002F50BD">
        <w:rPr>
          <w:rFonts w:ascii="Verdana" w:hAnsi="Verdana"/>
          <w:sz w:val="20"/>
          <w:lang w:val="pt-BR"/>
        </w:rPr>
        <w:t xml:space="preserve"> este </w:t>
      </w:r>
      <w:r w:rsidR="0089298C" w:rsidRPr="002F50BD">
        <w:rPr>
          <w:rFonts w:ascii="Verdana" w:hAnsi="Verdana"/>
          <w:sz w:val="20"/>
          <w:lang w:val="pt-BR"/>
        </w:rPr>
        <w:t>direito</w:t>
      </w:r>
      <w:r w:rsidRPr="002F50BD">
        <w:rPr>
          <w:rFonts w:ascii="Verdana" w:hAnsi="Verdana"/>
          <w:sz w:val="20"/>
          <w:lang w:val="pt-BR"/>
        </w:rPr>
        <w:t xml:space="preserve"> </w:t>
      </w:r>
      <w:r w:rsidR="0089298C" w:rsidRPr="002F50BD">
        <w:rPr>
          <w:rFonts w:ascii="Verdana" w:hAnsi="Verdana"/>
          <w:sz w:val="20"/>
          <w:lang w:val="pt-BR"/>
        </w:rPr>
        <w:t xml:space="preserve">até a </w:t>
      </w:r>
      <w:r w:rsidR="004A38DE" w:rsidRPr="002F50BD">
        <w:rPr>
          <w:rFonts w:ascii="Verdana" w:hAnsi="Verdana"/>
          <w:sz w:val="20"/>
          <w:lang w:val="pt-BR"/>
        </w:rPr>
        <w:t xml:space="preserve">presente </w:t>
      </w:r>
      <w:r w:rsidR="0089298C" w:rsidRPr="002F50BD">
        <w:rPr>
          <w:rFonts w:ascii="Verdana" w:hAnsi="Verdana"/>
          <w:sz w:val="20"/>
          <w:lang w:val="pt-BR"/>
        </w:rPr>
        <w:t>data</w:t>
      </w:r>
      <w:r w:rsidRPr="002F50BD">
        <w:rPr>
          <w:rFonts w:ascii="Verdana" w:hAnsi="Verdana"/>
          <w:sz w:val="20"/>
          <w:lang w:val="pt-BR"/>
        </w:rPr>
        <w:t xml:space="preserve">”. </w:t>
      </w:r>
    </w:p>
    <w:p w:rsidR="00F46680" w:rsidRPr="002F50BD" w:rsidRDefault="00F46680" w:rsidP="00F46680">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argumentou</w:t>
      </w:r>
      <w:r w:rsidR="004756C1" w:rsidRPr="002F50BD">
        <w:rPr>
          <w:rFonts w:ascii="Verdana" w:hAnsi="Verdana"/>
          <w:sz w:val="20"/>
          <w:lang w:val="pt-BR"/>
        </w:rPr>
        <w:t xml:space="preserve"> que</w:t>
      </w:r>
      <w:r w:rsidRPr="002F50BD">
        <w:rPr>
          <w:rFonts w:ascii="Verdana" w:hAnsi="Verdana"/>
          <w:sz w:val="20"/>
          <w:lang w:val="pt-BR"/>
        </w:rPr>
        <w:t xml:space="preserve"> o direito à propriedade 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n</w:t>
      </w:r>
      <w:r w:rsidR="004A38DE" w:rsidRPr="002F50BD">
        <w:rPr>
          <w:rFonts w:ascii="Verdana" w:hAnsi="Verdana"/>
          <w:sz w:val="20"/>
          <w:lang w:val="pt-BR"/>
        </w:rPr>
        <w:t>ã</w:t>
      </w:r>
      <w:r w:rsidR="004756C1" w:rsidRPr="002F50BD">
        <w:rPr>
          <w:rFonts w:ascii="Verdana" w:hAnsi="Verdana"/>
          <w:sz w:val="20"/>
          <w:lang w:val="pt-BR"/>
        </w:rPr>
        <w:t xml:space="preserve">o </w:t>
      </w:r>
      <w:r w:rsidR="004A38DE" w:rsidRPr="002F50BD">
        <w:rPr>
          <w:rFonts w:ascii="Verdana" w:hAnsi="Verdana"/>
          <w:sz w:val="20"/>
          <w:lang w:val="pt-BR"/>
        </w:rPr>
        <w:t xml:space="preserve">pôde ser cumprido </w:t>
      </w:r>
      <w:r w:rsidR="004756C1" w:rsidRPr="002F50BD">
        <w:rPr>
          <w:rFonts w:ascii="Verdana" w:hAnsi="Verdana"/>
          <w:sz w:val="20"/>
          <w:lang w:val="pt-BR"/>
        </w:rPr>
        <w:t>porque</w:t>
      </w:r>
      <w:r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s</w:t>
      </w:r>
      <w:r w:rsidRPr="002F50BD">
        <w:rPr>
          <w:rFonts w:ascii="Verdana" w:hAnsi="Verdana"/>
          <w:sz w:val="20"/>
          <w:lang w:val="pt-BR"/>
        </w:rPr>
        <w:t xml:space="preserve"> da mesm</w:t>
      </w:r>
      <w:r w:rsidR="004756C1" w:rsidRPr="002F50BD">
        <w:rPr>
          <w:rFonts w:ascii="Verdana" w:hAnsi="Verdana"/>
          <w:sz w:val="20"/>
          <w:lang w:val="pt-BR"/>
        </w:rPr>
        <w:t xml:space="preserve">a </w:t>
      </w:r>
      <w:r w:rsidR="004A38DE" w:rsidRPr="002F50BD">
        <w:rPr>
          <w:rFonts w:ascii="Verdana" w:hAnsi="Verdana"/>
          <w:sz w:val="20"/>
          <w:lang w:val="pt-BR"/>
        </w:rPr>
        <w:t xml:space="preserve">mantiveram </w:t>
      </w:r>
      <w:r w:rsidRPr="002F50BD">
        <w:rPr>
          <w:rFonts w:ascii="Verdana" w:hAnsi="Verdana"/>
          <w:sz w:val="20"/>
          <w:lang w:val="pt-BR"/>
        </w:rPr>
        <w:t xml:space="preserve">uma atitude </w:t>
      </w:r>
      <w:r w:rsidR="004756C1" w:rsidRPr="002F50BD">
        <w:rPr>
          <w:rFonts w:ascii="Verdana" w:hAnsi="Verdana"/>
          <w:sz w:val="20"/>
          <w:lang w:val="pt-BR"/>
        </w:rPr>
        <w:t>“intransigente</w:t>
      </w:r>
      <w:r w:rsidRPr="002F50BD">
        <w:rPr>
          <w:rFonts w:ascii="Verdana" w:hAnsi="Verdana"/>
          <w:sz w:val="20"/>
          <w:lang w:val="pt-BR"/>
        </w:rPr>
        <w:t xml:space="preserve"> na </w:t>
      </w:r>
      <w:r w:rsidR="004756C1" w:rsidRPr="002F50BD">
        <w:rPr>
          <w:rFonts w:ascii="Verdana" w:hAnsi="Verdana"/>
          <w:sz w:val="20"/>
          <w:lang w:val="pt-BR"/>
        </w:rPr>
        <w:t>obten</w:t>
      </w:r>
      <w:r w:rsidRPr="002F50BD">
        <w:rPr>
          <w:rFonts w:ascii="Verdana" w:hAnsi="Verdana"/>
          <w:sz w:val="20"/>
          <w:lang w:val="pt-BR"/>
        </w:rPr>
        <w:t>ção</w:t>
      </w:r>
      <w:r w:rsidR="004756C1" w:rsidRPr="002F50BD">
        <w:rPr>
          <w:rFonts w:ascii="Verdana" w:hAnsi="Verdana"/>
          <w:sz w:val="20"/>
          <w:lang w:val="pt-BR"/>
        </w:rPr>
        <w:t xml:space="preserve"> de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w:t>
      </w:r>
      <w:r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w:t>
      </w:r>
      <w:r w:rsidRPr="002F50BD">
        <w:rPr>
          <w:rFonts w:ascii="Verdana" w:hAnsi="Verdana"/>
          <w:sz w:val="20"/>
          <w:lang w:val="pt-BR"/>
        </w:rPr>
        <w:t xml:space="preserve"> e </w:t>
      </w:r>
      <w:r w:rsidR="004756C1" w:rsidRPr="002F50BD">
        <w:rPr>
          <w:rFonts w:ascii="Verdana" w:hAnsi="Verdana"/>
          <w:sz w:val="20"/>
          <w:lang w:val="pt-BR"/>
        </w:rPr>
        <w:t>porque</w:t>
      </w:r>
      <w:r w:rsidRPr="002F50BD">
        <w:rPr>
          <w:rFonts w:ascii="Verdana" w:hAnsi="Verdana"/>
          <w:sz w:val="20"/>
          <w:lang w:val="pt-BR"/>
        </w:rPr>
        <w:t xml:space="preserve"> o Congresso</w:t>
      </w:r>
      <w:r w:rsidR="004756C1" w:rsidRPr="002F50BD">
        <w:rPr>
          <w:rFonts w:ascii="Verdana" w:hAnsi="Verdana"/>
          <w:sz w:val="20"/>
          <w:lang w:val="pt-BR"/>
        </w:rPr>
        <w:t xml:space="preserve"> “</w:t>
      </w:r>
      <w:r w:rsidR="004076AD" w:rsidRPr="002F50BD">
        <w:rPr>
          <w:rFonts w:ascii="Verdana" w:hAnsi="Verdana"/>
          <w:sz w:val="20"/>
          <w:lang w:val="pt-BR"/>
        </w:rPr>
        <w:t>considerou</w:t>
      </w:r>
      <w:r w:rsidRPr="002F50BD">
        <w:rPr>
          <w:rFonts w:ascii="Verdana" w:hAnsi="Verdana"/>
          <w:sz w:val="20"/>
          <w:lang w:val="pt-BR"/>
        </w:rPr>
        <w:t xml:space="preserve"> a </w:t>
      </w:r>
      <w:r w:rsidR="004756C1" w:rsidRPr="002F50BD">
        <w:rPr>
          <w:rFonts w:ascii="Verdana" w:hAnsi="Verdana"/>
          <w:sz w:val="20"/>
          <w:lang w:val="pt-BR"/>
        </w:rPr>
        <w:t>produtividad</w:t>
      </w:r>
      <w:r w:rsidR="004A38DE" w:rsidRPr="002F50BD">
        <w:rPr>
          <w:rFonts w:ascii="Verdana" w:hAnsi="Verdana"/>
          <w:sz w:val="20"/>
          <w:lang w:val="pt-BR"/>
        </w:rPr>
        <w:t>e</w:t>
      </w:r>
      <w:r w:rsidR="004756C1" w:rsidRPr="002F50BD">
        <w:rPr>
          <w:rFonts w:ascii="Verdana" w:hAnsi="Verdana"/>
          <w:sz w:val="20"/>
          <w:lang w:val="pt-BR"/>
        </w:rPr>
        <w:t xml:space="preserve"> o</w:t>
      </w:r>
      <w:r w:rsidR="004A38DE" w:rsidRPr="002F50BD">
        <w:rPr>
          <w:rFonts w:ascii="Verdana" w:hAnsi="Verdana"/>
          <w:sz w:val="20"/>
          <w:lang w:val="pt-BR"/>
        </w:rPr>
        <w:t>u</w:t>
      </w:r>
      <w:r w:rsidRPr="002F50BD">
        <w:rPr>
          <w:rFonts w:ascii="Verdana" w:hAnsi="Verdana"/>
          <w:sz w:val="20"/>
          <w:lang w:val="pt-BR"/>
        </w:rPr>
        <w:t xml:space="preserve"> a </w:t>
      </w:r>
      <w:r w:rsidR="004756C1" w:rsidRPr="002F50BD">
        <w:rPr>
          <w:rFonts w:ascii="Verdana" w:hAnsi="Verdana"/>
          <w:sz w:val="20"/>
          <w:lang w:val="pt-BR"/>
        </w:rPr>
        <w:t>utiliza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econômic</w:t>
      </w:r>
      <w:r w:rsidR="004756C1" w:rsidRPr="002F50BD">
        <w:rPr>
          <w:rFonts w:ascii="Verdana" w:hAnsi="Verdana"/>
          <w:sz w:val="20"/>
          <w:lang w:val="pt-BR"/>
        </w:rPr>
        <w:t>a</w:t>
      </w:r>
      <w:r w:rsidRPr="002F50BD">
        <w:rPr>
          <w:rFonts w:ascii="Verdana" w:hAnsi="Verdana"/>
          <w:sz w:val="20"/>
          <w:lang w:val="pt-BR"/>
        </w:rPr>
        <w:t xml:space="preserve"> da terra</w:t>
      </w:r>
      <w:r w:rsidR="004756C1" w:rsidRPr="002F50BD">
        <w:rPr>
          <w:rFonts w:ascii="Verdana" w:hAnsi="Verdana"/>
          <w:sz w:val="20"/>
          <w:lang w:val="pt-BR"/>
        </w:rPr>
        <w:t xml:space="preserve">” como </w:t>
      </w:r>
      <w:r w:rsidRPr="002F50BD">
        <w:rPr>
          <w:rFonts w:ascii="Verdana" w:hAnsi="Verdana"/>
          <w:sz w:val="20"/>
          <w:lang w:val="pt-BR"/>
        </w:rPr>
        <w:t>critério</w:t>
      </w:r>
      <w:r w:rsidR="004756C1" w:rsidRPr="002F50BD">
        <w:rPr>
          <w:rFonts w:ascii="Verdana" w:hAnsi="Verdana"/>
          <w:sz w:val="20"/>
          <w:lang w:val="pt-BR"/>
        </w:rPr>
        <w:t xml:space="preserve"> para negar</w:t>
      </w:r>
      <w:r w:rsidRPr="002F50BD">
        <w:rPr>
          <w:rFonts w:ascii="Verdana" w:hAnsi="Verdana"/>
          <w:sz w:val="20"/>
          <w:lang w:val="pt-BR"/>
        </w:rPr>
        <w:t xml:space="preserve"> a </w:t>
      </w:r>
      <w:r w:rsidR="00DB51F0" w:rsidRPr="002F50BD">
        <w:rPr>
          <w:rFonts w:ascii="Verdana" w:hAnsi="Verdana"/>
          <w:sz w:val="20"/>
          <w:lang w:val="pt-BR"/>
        </w:rPr>
        <w:t>expropriação</w:t>
      </w:r>
      <w:r w:rsidRPr="002F50BD">
        <w:rPr>
          <w:rFonts w:ascii="Verdana" w:hAnsi="Verdana"/>
          <w:sz w:val="20"/>
          <w:lang w:val="pt-BR"/>
        </w:rPr>
        <w:t xml:space="preserve"> dos território</w:t>
      </w:r>
      <w:r w:rsidR="004756C1" w:rsidRPr="002F50BD">
        <w:rPr>
          <w:rFonts w:ascii="Verdana" w:hAnsi="Verdana"/>
          <w:sz w:val="20"/>
          <w:lang w:val="pt-BR"/>
        </w:rPr>
        <w:t xml:space="preserve">s reivindicados, </w:t>
      </w:r>
      <w:r w:rsidR="004A38DE" w:rsidRPr="002F50BD">
        <w:rPr>
          <w:rFonts w:ascii="Verdana" w:hAnsi="Verdana"/>
          <w:sz w:val="20"/>
          <w:lang w:val="pt-BR"/>
        </w:rPr>
        <w:t xml:space="preserve">tornando-se </w:t>
      </w:r>
      <w:r w:rsidRPr="002F50BD">
        <w:rPr>
          <w:rFonts w:ascii="Verdana" w:hAnsi="Verdana"/>
          <w:sz w:val="20"/>
          <w:lang w:val="pt-BR"/>
        </w:rPr>
        <w:t>impossível</w:t>
      </w:r>
      <w:r w:rsidR="004756C1" w:rsidRPr="002F50BD">
        <w:rPr>
          <w:rFonts w:ascii="Verdana" w:hAnsi="Verdana"/>
          <w:sz w:val="20"/>
          <w:lang w:val="pt-BR"/>
        </w:rPr>
        <w:t xml:space="preserve"> que</w:t>
      </w:r>
      <w:r w:rsidRPr="002F50BD">
        <w:rPr>
          <w:rFonts w:ascii="Verdana" w:hAnsi="Verdana"/>
          <w:sz w:val="20"/>
          <w:lang w:val="pt-BR"/>
        </w:rPr>
        <w:t xml:space="preserve"> o </w:t>
      </w:r>
      <w:r w:rsidR="004756C1" w:rsidRPr="002F50BD">
        <w:rPr>
          <w:rFonts w:ascii="Verdana" w:hAnsi="Verdana"/>
          <w:sz w:val="20"/>
          <w:lang w:val="pt-BR"/>
        </w:rPr>
        <w:t xml:space="preserve">Estado confisque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w:t>
      </w:r>
      <w:r w:rsidR="00565B3F" w:rsidRPr="002F50BD">
        <w:rPr>
          <w:rFonts w:ascii="Verdana" w:hAnsi="Verdana"/>
          <w:sz w:val="20"/>
          <w:lang w:val="pt-BR"/>
        </w:rPr>
        <w:t xml:space="preserve">desconsiderando </w:t>
      </w:r>
      <w:r w:rsidRPr="002F50BD">
        <w:rPr>
          <w:rFonts w:ascii="Verdana" w:hAnsi="Verdana"/>
          <w:sz w:val="20"/>
          <w:lang w:val="pt-BR"/>
        </w:rPr>
        <w:t>o direito à propriedade</w:t>
      </w:r>
      <w:r w:rsidR="004756C1" w:rsidRPr="002F50BD">
        <w:rPr>
          <w:rFonts w:ascii="Verdana" w:hAnsi="Verdana"/>
          <w:sz w:val="20"/>
          <w:lang w:val="pt-BR"/>
        </w:rPr>
        <w:t xml:space="preserve"> privada de s</w:t>
      </w:r>
      <w:r w:rsidR="004A38DE"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atuais</w:t>
      </w:r>
      <w:r w:rsidR="004756C1" w:rsidRPr="002F50BD">
        <w:rPr>
          <w:rFonts w:ascii="Verdana" w:hAnsi="Verdana"/>
          <w:sz w:val="20"/>
          <w:lang w:val="pt-BR"/>
        </w:rPr>
        <w:t xml:space="preserve"> </w:t>
      </w:r>
      <w:r w:rsidR="00AB454A" w:rsidRPr="002F50BD">
        <w:rPr>
          <w:rFonts w:ascii="Verdana" w:hAnsi="Verdana"/>
          <w:sz w:val="20"/>
          <w:lang w:val="pt-BR"/>
        </w:rPr>
        <w:t>don</w:t>
      </w:r>
      <w:r w:rsidR="004756C1" w:rsidRPr="002F50BD">
        <w:rPr>
          <w:rFonts w:ascii="Verdana" w:hAnsi="Verdana"/>
          <w:sz w:val="20"/>
          <w:lang w:val="pt-BR"/>
        </w:rPr>
        <w:t>os.</w:t>
      </w:r>
    </w:p>
    <w:p w:rsidR="00F46680" w:rsidRPr="002F50BD" w:rsidRDefault="00F46680" w:rsidP="00F46680">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4A38DE" w:rsidRPr="002F50BD">
        <w:rPr>
          <w:rFonts w:ascii="Verdana" w:hAnsi="Verdana"/>
          <w:sz w:val="20"/>
          <w:lang w:val="pt-BR"/>
        </w:rPr>
        <w:t>concorda</w:t>
      </w:r>
      <w:r w:rsidRPr="002F50BD">
        <w:rPr>
          <w:rFonts w:ascii="Verdana" w:hAnsi="Verdana"/>
          <w:sz w:val="20"/>
          <w:lang w:val="pt-BR"/>
        </w:rPr>
        <w:t xml:space="preserve"> com o </w:t>
      </w:r>
      <w:r w:rsidR="004756C1" w:rsidRPr="002F50BD">
        <w:rPr>
          <w:rFonts w:ascii="Verdana" w:hAnsi="Verdana"/>
          <w:sz w:val="20"/>
          <w:lang w:val="pt-BR"/>
        </w:rPr>
        <w:t>Estado</w:t>
      </w:r>
      <w:r w:rsidRPr="002F50BD">
        <w:rPr>
          <w:rFonts w:ascii="Verdana" w:hAnsi="Verdana"/>
          <w:sz w:val="20"/>
          <w:lang w:val="pt-BR"/>
        </w:rPr>
        <w:t xml:space="preserve"> no </w:t>
      </w:r>
      <w:r w:rsidR="004756C1" w:rsidRPr="002F50BD">
        <w:rPr>
          <w:rFonts w:ascii="Verdana" w:hAnsi="Verdana"/>
          <w:sz w:val="20"/>
          <w:lang w:val="pt-BR"/>
        </w:rPr>
        <w:t>sentido de que tanto</w:t>
      </w:r>
      <w:r w:rsidRPr="002F50BD">
        <w:rPr>
          <w:rFonts w:ascii="Verdana" w:hAnsi="Verdana"/>
          <w:sz w:val="20"/>
          <w:lang w:val="pt-BR"/>
        </w:rPr>
        <w:t xml:space="preserve"> a propriedade</w:t>
      </w:r>
      <w:r w:rsidR="004756C1" w:rsidRPr="002F50BD">
        <w:rPr>
          <w:rFonts w:ascii="Verdana" w:hAnsi="Verdana"/>
          <w:sz w:val="20"/>
          <w:lang w:val="pt-BR"/>
        </w:rPr>
        <w:t xml:space="preserve"> privada</w:t>
      </w:r>
      <w:r w:rsidRPr="002F50BD">
        <w:rPr>
          <w:rFonts w:ascii="Verdana" w:hAnsi="Verdana"/>
          <w:sz w:val="20"/>
          <w:lang w:val="pt-BR"/>
        </w:rPr>
        <w:t xml:space="preserve"> dos </w:t>
      </w:r>
      <w:r w:rsidR="004756C1" w:rsidRPr="002F50BD">
        <w:rPr>
          <w:rFonts w:ascii="Verdana" w:hAnsi="Verdana"/>
          <w:sz w:val="20"/>
          <w:lang w:val="pt-BR"/>
        </w:rPr>
        <w:t>particulares como</w:t>
      </w:r>
      <w:r w:rsidRPr="002F50BD">
        <w:rPr>
          <w:rFonts w:ascii="Verdana" w:hAnsi="Verdana"/>
          <w:sz w:val="20"/>
          <w:lang w:val="pt-BR"/>
        </w:rPr>
        <w:t xml:space="preserve"> a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 xml:space="preserve">comunidades indígenas </w:t>
      </w:r>
      <w:r w:rsidR="004A38DE" w:rsidRPr="002F50BD">
        <w:rPr>
          <w:rFonts w:ascii="Verdana" w:hAnsi="Verdana"/>
          <w:sz w:val="20"/>
          <w:lang w:val="pt-BR"/>
        </w:rPr>
        <w:t xml:space="preserve">têm a </w:t>
      </w:r>
      <w:r w:rsidRPr="002F50BD">
        <w:rPr>
          <w:rFonts w:ascii="Verdana" w:hAnsi="Verdana"/>
          <w:sz w:val="20"/>
          <w:lang w:val="pt-BR"/>
        </w:rPr>
        <w:t>proteção</w:t>
      </w:r>
      <w:r w:rsidR="004756C1" w:rsidRPr="002F50BD">
        <w:rPr>
          <w:rFonts w:ascii="Verdana" w:hAnsi="Verdana"/>
          <w:sz w:val="20"/>
          <w:lang w:val="pt-BR"/>
        </w:rPr>
        <w:t xml:space="preserve"> convencional </w:t>
      </w:r>
      <w:r w:rsidR="004A38DE" w:rsidRPr="002F50BD">
        <w:rPr>
          <w:rFonts w:ascii="Verdana" w:hAnsi="Verdana"/>
          <w:sz w:val="20"/>
          <w:lang w:val="pt-BR"/>
        </w:rPr>
        <w:t>conced</w:t>
      </w:r>
      <w:r w:rsidR="004453F6" w:rsidRPr="002F50BD">
        <w:rPr>
          <w:rFonts w:ascii="Verdana" w:hAnsi="Verdana"/>
          <w:sz w:val="20"/>
          <w:lang w:val="pt-BR"/>
        </w:rPr>
        <w:t>ida</w:t>
      </w:r>
      <w:r w:rsidR="004A38DE" w:rsidRPr="002F50BD">
        <w:rPr>
          <w:rFonts w:ascii="Verdana" w:hAnsi="Verdana"/>
          <w:sz w:val="20"/>
          <w:lang w:val="pt-BR"/>
        </w:rPr>
        <w:t xml:space="preserve"> </w:t>
      </w:r>
      <w:r w:rsidR="00C44CE3" w:rsidRPr="002F50BD">
        <w:rPr>
          <w:rFonts w:ascii="Verdana" w:hAnsi="Verdana"/>
          <w:sz w:val="20"/>
          <w:lang w:val="pt-BR"/>
        </w:rPr>
        <w:t>pel</w:t>
      </w: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N</w:t>
      </w:r>
      <w:r w:rsidR="004A38DE" w:rsidRPr="002F50BD">
        <w:rPr>
          <w:rFonts w:ascii="Verdana" w:hAnsi="Verdana"/>
          <w:sz w:val="20"/>
          <w:lang w:val="pt-BR"/>
        </w:rPr>
        <w:t>ã</w:t>
      </w:r>
      <w:r w:rsidR="004756C1" w:rsidRPr="002F50BD">
        <w:rPr>
          <w:rFonts w:ascii="Verdana" w:hAnsi="Verdana"/>
          <w:sz w:val="20"/>
          <w:lang w:val="pt-BR"/>
        </w:rPr>
        <w:t>o obstante</w:t>
      </w:r>
      <w:r w:rsidR="004A38DE" w:rsidRPr="002F50BD">
        <w:rPr>
          <w:rFonts w:ascii="Verdana" w:hAnsi="Verdana"/>
          <w:sz w:val="20"/>
          <w:lang w:val="pt-BR"/>
        </w:rPr>
        <w:t xml:space="preserve"> isso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meramente abstrato o</w:t>
      </w:r>
      <w:r w:rsidR="004A38DE" w:rsidRPr="002F50BD">
        <w:rPr>
          <w:rFonts w:ascii="Verdana" w:hAnsi="Verdana"/>
          <w:sz w:val="20"/>
          <w:lang w:val="pt-BR"/>
        </w:rPr>
        <w:t>u</w:t>
      </w:r>
      <w:r w:rsidR="004756C1" w:rsidRPr="002F50BD">
        <w:rPr>
          <w:rFonts w:ascii="Verdana" w:hAnsi="Verdana"/>
          <w:sz w:val="20"/>
          <w:lang w:val="pt-BR"/>
        </w:rPr>
        <w:t xml:space="preserve"> jurídico</w:t>
      </w:r>
      <w:r w:rsidRPr="002F50BD">
        <w:rPr>
          <w:rFonts w:ascii="Verdana" w:hAnsi="Verdana"/>
          <w:sz w:val="20"/>
          <w:lang w:val="pt-BR"/>
        </w:rPr>
        <w:t xml:space="preserve"> das terra</w:t>
      </w:r>
      <w:r w:rsidR="004756C1" w:rsidRPr="002F50BD">
        <w:rPr>
          <w:rFonts w:ascii="Verdana" w:hAnsi="Verdana"/>
          <w:sz w:val="20"/>
          <w:lang w:val="pt-BR"/>
        </w:rPr>
        <w:t xml:space="preserve">s, </w:t>
      </w:r>
      <w:r w:rsidRPr="002F50BD">
        <w:rPr>
          <w:rFonts w:ascii="Verdana" w:hAnsi="Verdana"/>
          <w:sz w:val="20"/>
          <w:lang w:val="pt-BR"/>
        </w:rPr>
        <w:t>território</w:t>
      </w:r>
      <w:r w:rsidR="004756C1" w:rsidRPr="002F50BD">
        <w:rPr>
          <w:rFonts w:ascii="Verdana" w:hAnsi="Verdana"/>
          <w:sz w:val="20"/>
          <w:lang w:val="pt-BR"/>
        </w:rPr>
        <w:t>s o</w:t>
      </w:r>
      <w:r w:rsidR="004A38DE" w:rsidRPr="002F50BD">
        <w:rPr>
          <w:rFonts w:ascii="Verdana" w:hAnsi="Verdana"/>
          <w:sz w:val="20"/>
          <w:lang w:val="pt-BR"/>
        </w:rPr>
        <w:t>u</w:t>
      </w:r>
      <w:r w:rsidR="004756C1" w:rsidRPr="002F50BD">
        <w:rPr>
          <w:rFonts w:ascii="Verdana" w:hAnsi="Verdana"/>
          <w:sz w:val="20"/>
          <w:lang w:val="pt-BR"/>
        </w:rPr>
        <w:t xml:space="preserve"> recursos indígenas </w:t>
      </w:r>
      <w:r w:rsidR="004A38DE" w:rsidRPr="002F50BD">
        <w:rPr>
          <w:rFonts w:ascii="Verdana" w:hAnsi="Verdana"/>
          <w:sz w:val="20"/>
          <w:lang w:val="pt-BR"/>
        </w:rPr>
        <w:t xml:space="preserve">praticamente </w:t>
      </w:r>
      <w:r w:rsidR="004756C1" w:rsidRPr="002F50BD">
        <w:rPr>
          <w:rFonts w:ascii="Verdana" w:hAnsi="Verdana"/>
          <w:sz w:val="20"/>
          <w:lang w:val="pt-BR"/>
        </w:rPr>
        <w:t>carece de sentido</w:t>
      </w:r>
      <w:r w:rsidRPr="002F50BD">
        <w:rPr>
          <w:rFonts w:ascii="Verdana" w:hAnsi="Verdana"/>
          <w:sz w:val="20"/>
          <w:lang w:val="pt-BR"/>
        </w:rPr>
        <w:t xml:space="preserve"> se </w:t>
      </w:r>
      <w:r w:rsidR="004756C1" w:rsidRPr="002F50BD">
        <w:rPr>
          <w:rFonts w:ascii="Verdana" w:hAnsi="Verdana"/>
          <w:sz w:val="20"/>
          <w:lang w:val="pt-BR"/>
        </w:rPr>
        <w:t>n</w:t>
      </w:r>
      <w:r w:rsidR="004A38DE" w:rsidRPr="002F50BD">
        <w:rPr>
          <w:rFonts w:ascii="Verdana" w:hAnsi="Verdana"/>
          <w:sz w:val="20"/>
          <w:lang w:val="pt-BR"/>
        </w:rPr>
        <w:t>ã</w:t>
      </w:r>
      <w:r w:rsidR="004756C1" w:rsidRPr="002F50BD">
        <w:rPr>
          <w:rFonts w:ascii="Verdana" w:hAnsi="Verdana"/>
          <w:sz w:val="20"/>
          <w:lang w:val="pt-BR"/>
        </w:rPr>
        <w:t xml:space="preserve">o </w:t>
      </w:r>
      <w:r w:rsidR="004A38DE" w:rsidRPr="002F50BD">
        <w:rPr>
          <w:rFonts w:ascii="Verdana" w:hAnsi="Verdana"/>
          <w:sz w:val="20"/>
          <w:lang w:val="pt-BR"/>
        </w:rPr>
        <w:t xml:space="preserve">for </w:t>
      </w:r>
      <w:r w:rsidRPr="002F50BD">
        <w:rPr>
          <w:rFonts w:ascii="Verdana" w:hAnsi="Verdana"/>
          <w:sz w:val="20"/>
          <w:lang w:val="pt-BR"/>
        </w:rPr>
        <w:t>estabelec</w:t>
      </w:r>
      <w:r w:rsidR="004A38DE" w:rsidRPr="002F50BD">
        <w:rPr>
          <w:rFonts w:ascii="Verdana" w:hAnsi="Verdana"/>
          <w:sz w:val="20"/>
          <w:lang w:val="pt-BR"/>
        </w:rPr>
        <w:t>ida</w:t>
      </w:r>
      <w:r w:rsidRPr="002F50BD">
        <w:rPr>
          <w:rFonts w:ascii="Verdana" w:hAnsi="Verdana"/>
          <w:sz w:val="20"/>
          <w:lang w:val="pt-BR"/>
        </w:rPr>
        <w:t xml:space="preserve"> e </w:t>
      </w:r>
      <w:r w:rsidR="004A38DE" w:rsidRPr="002F50BD">
        <w:rPr>
          <w:rFonts w:ascii="Verdana" w:hAnsi="Verdana"/>
          <w:sz w:val="20"/>
          <w:lang w:val="pt-BR"/>
        </w:rPr>
        <w:t>delimitada</w:t>
      </w:r>
      <w:r w:rsidR="004756C1" w:rsidRPr="002F50BD">
        <w:rPr>
          <w:rFonts w:ascii="Verdana" w:hAnsi="Verdana"/>
          <w:sz w:val="20"/>
          <w:lang w:val="pt-BR"/>
        </w:rPr>
        <w:t xml:space="preserve"> </w:t>
      </w:r>
      <w:r w:rsidR="00AB454A" w:rsidRPr="002F50BD">
        <w:rPr>
          <w:rFonts w:ascii="Verdana" w:hAnsi="Verdana"/>
          <w:sz w:val="20"/>
          <w:lang w:val="pt-BR"/>
        </w:rPr>
        <w:t>fisicamente</w:t>
      </w:r>
      <w:r w:rsidRPr="002F50BD">
        <w:rPr>
          <w:rFonts w:ascii="Verdana" w:hAnsi="Verdana"/>
          <w:sz w:val="20"/>
          <w:lang w:val="pt-BR"/>
        </w:rPr>
        <w:t xml:space="preserve"> a propriedade</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FC6B22">
      <w:pPr>
        <w:numPr>
          <w:ilvl w:val="0"/>
          <w:numId w:val="28"/>
        </w:numPr>
        <w:jc w:val="both"/>
        <w:rPr>
          <w:rFonts w:ascii="Verdana" w:hAnsi="Verdana"/>
          <w:sz w:val="20"/>
          <w:lang w:val="pt-BR"/>
        </w:rPr>
      </w:pPr>
      <w:r w:rsidRPr="002F50BD">
        <w:rPr>
          <w:rFonts w:ascii="Verdana" w:hAnsi="Verdana"/>
          <w:sz w:val="20"/>
          <w:lang w:val="pt-BR"/>
        </w:rPr>
        <w:t>Q</w:t>
      </w:r>
      <w:r w:rsidR="0089298C" w:rsidRPr="002F50BD">
        <w:rPr>
          <w:rFonts w:ascii="Verdana" w:hAnsi="Verdana"/>
          <w:sz w:val="20"/>
          <w:lang w:val="pt-BR"/>
        </w:rPr>
        <w:t>uando a propriedade</w:t>
      </w:r>
      <w:r w:rsidR="004756C1" w:rsidRPr="002F50BD">
        <w:rPr>
          <w:rFonts w:ascii="Verdana" w:hAnsi="Verdana"/>
          <w:sz w:val="20"/>
          <w:lang w:val="pt-BR"/>
        </w:rPr>
        <w:t xml:space="preserve"> comunal indígena</w:t>
      </w:r>
      <w:r w:rsidR="0089298C" w:rsidRPr="002F50BD">
        <w:rPr>
          <w:rFonts w:ascii="Verdana" w:hAnsi="Verdana"/>
          <w:sz w:val="20"/>
          <w:lang w:val="pt-BR"/>
        </w:rPr>
        <w:t xml:space="preserve"> e a propriedade</w:t>
      </w:r>
      <w:r w:rsidR="004A38DE" w:rsidRPr="002F50BD">
        <w:rPr>
          <w:rFonts w:ascii="Verdana" w:hAnsi="Verdana"/>
          <w:sz w:val="20"/>
          <w:lang w:val="pt-BR"/>
        </w:rPr>
        <w:t xml:space="preserve"> privada particular entram</w:t>
      </w:r>
      <w:r w:rsidR="0089298C" w:rsidRPr="002F50BD">
        <w:rPr>
          <w:rFonts w:ascii="Verdana" w:hAnsi="Verdana"/>
          <w:sz w:val="20"/>
          <w:lang w:val="pt-BR"/>
        </w:rPr>
        <w:t xml:space="preserve"> em </w:t>
      </w:r>
      <w:r w:rsidR="004756C1" w:rsidRPr="002F50BD">
        <w:rPr>
          <w:rFonts w:ascii="Verdana" w:hAnsi="Verdana"/>
          <w:sz w:val="20"/>
          <w:lang w:val="pt-BR"/>
        </w:rPr>
        <w:t>contradi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reais</w:t>
      </w:r>
      <w:r w:rsidR="004756C1" w:rsidRPr="002F50BD">
        <w:rPr>
          <w:rFonts w:ascii="Verdana" w:hAnsi="Verdana"/>
          <w:sz w:val="20"/>
          <w:lang w:val="pt-BR"/>
        </w:rPr>
        <w:t xml:space="preserve"> o</w:t>
      </w:r>
      <w:r w:rsidR="004A38DE" w:rsidRPr="002F50BD">
        <w:rPr>
          <w:rFonts w:ascii="Verdana" w:hAnsi="Verdana"/>
          <w:sz w:val="20"/>
          <w:lang w:val="pt-BR"/>
        </w:rPr>
        <w:t>u</w:t>
      </w:r>
      <w:r w:rsidR="004756C1" w:rsidRPr="002F50BD">
        <w:rPr>
          <w:rFonts w:ascii="Verdana" w:hAnsi="Verdana"/>
          <w:sz w:val="20"/>
          <w:lang w:val="pt-BR"/>
        </w:rPr>
        <w:t xml:space="preserve"> aparentes,</w:t>
      </w:r>
      <w:r w:rsidR="0089298C" w:rsidRPr="002F50BD">
        <w:rPr>
          <w:rFonts w:ascii="Verdana" w:hAnsi="Verdana"/>
          <w:sz w:val="20"/>
          <w:lang w:val="pt-BR"/>
        </w:rPr>
        <w:t xml:space="preserve"> a própria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 a jurisprudência do </w:t>
      </w:r>
      <w:r w:rsidR="004756C1" w:rsidRPr="002F50BD">
        <w:rPr>
          <w:rFonts w:ascii="Verdana" w:hAnsi="Verdana"/>
          <w:sz w:val="20"/>
          <w:lang w:val="pt-BR"/>
        </w:rPr>
        <w:t xml:space="preserve">Tribunal </w:t>
      </w:r>
      <w:r w:rsidR="00787481" w:rsidRPr="002F50BD">
        <w:rPr>
          <w:rFonts w:ascii="Verdana" w:hAnsi="Verdana"/>
          <w:sz w:val="20"/>
          <w:lang w:val="pt-BR"/>
        </w:rPr>
        <w:t>oferecem as diretrizes</w:t>
      </w:r>
      <w:r w:rsidR="004756C1" w:rsidRPr="002F50BD">
        <w:rPr>
          <w:rFonts w:ascii="Verdana" w:hAnsi="Verdana"/>
          <w:sz w:val="20"/>
          <w:lang w:val="pt-BR"/>
        </w:rPr>
        <w:t xml:space="preserve"> para definir</w:t>
      </w:r>
      <w:r w:rsidR="0089298C" w:rsidRPr="002F50BD">
        <w:rPr>
          <w:rFonts w:ascii="Verdana" w:hAnsi="Verdana"/>
          <w:sz w:val="20"/>
          <w:lang w:val="pt-BR"/>
        </w:rPr>
        <w:t xml:space="preserve"> as </w:t>
      </w:r>
      <w:r w:rsidR="004076AD" w:rsidRPr="002F50BD">
        <w:rPr>
          <w:rFonts w:ascii="Verdana" w:hAnsi="Verdana"/>
          <w:sz w:val="20"/>
          <w:lang w:val="pt-BR"/>
        </w:rPr>
        <w:t>restrições</w:t>
      </w:r>
      <w:r w:rsidR="004756C1" w:rsidRPr="002F50BD">
        <w:rPr>
          <w:rFonts w:ascii="Verdana" w:hAnsi="Verdana"/>
          <w:sz w:val="20"/>
          <w:lang w:val="pt-BR"/>
        </w:rPr>
        <w:t xml:space="preserve"> </w:t>
      </w:r>
      <w:r w:rsidRPr="002F50BD">
        <w:rPr>
          <w:rFonts w:ascii="Verdana" w:hAnsi="Verdana"/>
          <w:sz w:val="20"/>
          <w:lang w:val="pt-BR"/>
        </w:rPr>
        <w:t>admissíveis</w:t>
      </w:r>
      <w:r w:rsidR="0089298C" w:rsidRPr="002F50BD">
        <w:rPr>
          <w:rFonts w:ascii="Verdana" w:hAnsi="Verdana"/>
          <w:sz w:val="20"/>
          <w:lang w:val="pt-BR"/>
        </w:rPr>
        <w:t xml:space="preserve"> ao</w:t>
      </w:r>
      <w:r w:rsidR="00385366" w:rsidRPr="002F50BD">
        <w:rPr>
          <w:rFonts w:ascii="Verdana" w:hAnsi="Verdana"/>
          <w:sz w:val="20"/>
          <w:lang w:val="pt-BR"/>
        </w:rPr>
        <w:t xml:space="preserve"> gozo </w:t>
      </w:r>
      <w:r w:rsidR="0089298C" w:rsidRPr="002F50BD">
        <w:rPr>
          <w:rFonts w:ascii="Verdana" w:hAnsi="Verdana"/>
          <w:sz w:val="20"/>
          <w:lang w:val="pt-BR"/>
        </w:rPr>
        <w:t xml:space="preserve">e </w:t>
      </w:r>
      <w:r w:rsidR="004A38DE" w:rsidRPr="002F50BD">
        <w:rPr>
          <w:rFonts w:ascii="Verdana" w:hAnsi="Verdana"/>
          <w:sz w:val="20"/>
          <w:lang w:val="pt-BR"/>
        </w:rPr>
        <w:t xml:space="preserve">ao </w:t>
      </w:r>
      <w:r w:rsidR="0089298C" w:rsidRPr="002F50BD">
        <w:rPr>
          <w:rFonts w:ascii="Verdana" w:hAnsi="Verdana"/>
          <w:sz w:val="20"/>
          <w:lang w:val="pt-BR"/>
        </w:rPr>
        <w:t>exercício</w:t>
      </w:r>
      <w:r w:rsidR="004756C1" w:rsidRPr="002F50BD">
        <w:rPr>
          <w:rFonts w:ascii="Verdana" w:hAnsi="Verdana"/>
          <w:sz w:val="20"/>
          <w:lang w:val="pt-BR"/>
        </w:rPr>
        <w:t xml:space="preserve"> </w:t>
      </w:r>
      <w:r w:rsidR="0089298C" w:rsidRPr="002F50BD">
        <w:rPr>
          <w:rFonts w:ascii="Verdana" w:hAnsi="Verdana"/>
          <w:sz w:val="20"/>
          <w:lang w:val="pt-BR"/>
        </w:rPr>
        <w:t>destes direito</w:t>
      </w:r>
      <w:r w:rsidR="004756C1" w:rsidRPr="002F50BD">
        <w:rPr>
          <w:rFonts w:ascii="Verdana" w:hAnsi="Verdana"/>
          <w:sz w:val="20"/>
          <w:lang w:val="pt-BR"/>
        </w:rPr>
        <w:t>s, a saber: a</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devem</w:t>
      </w:r>
      <w:r w:rsidR="004756C1" w:rsidRPr="002F50BD">
        <w:rPr>
          <w:rFonts w:ascii="Verdana" w:hAnsi="Verdana"/>
          <w:sz w:val="20"/>
          <w:lang w:val="pt-BR"/>
        </w:rPr>
        <w:t xml:space="preserve"> estar </w:t>
      </w:r>
      <w:r w:rsidR="0089298C" w:rsidRPr="002F50BD">
        <w:rPr>
          <w:rFonts w:ascii="Verdana" w:hAnsi="Verdana"/>
          <w:sz w:val="20"/>
          <w:lang w:val="pt-BR"/>
        </w:rPr>
        <w:t>estabelecid</w:t>
      </w:r>
      <w:r w:rsidR="004756C1" w:rsidRPr="002F50BD">
        <w:rPr>
          <w:rFonts w:ascii="Verdana" w:hAnsi="Verdana"/>
          <w:sz w:val="20"/>
          <w:lang w:val="pt-BR"/>
        </w:rPr>
        <w:t xml:space="preserve">as por </w:t>
      </w:r>
      <w:r w:rsidR="00C247F1" w:rsidRPr="002F50BD">
        <w:rPr>
          <w:rFonts w:ascii="Verdana" w:hAnsi="Verdana"/>
          <w:sz w:val="20"/>
          <w:lang w:val="pt-BR"/>
        </w:rPr>
        <w:t>lei;</w:t>
      </w:r>
      <w:r w:rsidR="004756C1" w:rsidRPr="002F50BD">
        <w:rPr>
          <w:rFonts w:ascii="Verdana" w:hAnsi="Verdana"/>
          <w:sz w:val="20"/>
          <w:lang w:val="pt-BR"/>
        </w:rPr>
        <w:t xml:space="preserve"> b</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devem</w:t>
      </w:r>
      <w:r w:rsidR="004756C1" w:rsidRPr="002F50BD">
        <w:rPr>
          <w:rFonts w:ascii="Verdana" w:hAnsi="Verdana"/>
          <w:sz w:val="20"/>
          <w:lang w:val="pt-BR"/>
        </w:rPr>
        <w:t xml:space="preserve"> ser </w:t>
      </w:r>
      <w:r w:rsidR="0089298C" w:rsidRPr="002F50BD">
        <w:rPr>
          <w:rFonts w:ascii="Verdana" w:hAnsi="Verdana"/>
          <w:sz w:val="20"/>
          <w:lang w:val="pt-BR"/>
        </w:rPr>
        <w:t>necessári</w:t>
      </w:r>
      <w:r w:rsidR="004756C1" w:rsidRPr="002F50BD">
        <w:rPr>
          <w:rFonts w:ascii="Verdana" w:hAnsi="Verdana"/>
          <w:sz w:val="20"/>
          <w:lang w:val="pt-BR"/>
        </w:rPr>
        <w:t>as; c</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devem</w:t>
      </w:r>
      <w:r w:rsidR="004756C1" w:rsidRPr="002F50BD">
        <w:rPr>
          <w:rFonts w:ascii="Verdana" w:hAnsi="Verdana"/>
          <w:sz w:val="20"/>
          <w:lang w:val="pt-BR"/>
        </w:rPr>
        <w:t xml:space="preserve"> ser </w:t>
      </w:r>
      <w:r w:rsidR="00AB454A" w:rsidRPr="002F50BD">
        <w:rPr>
          <w:rFonts w:ascii="Verdana" w:hAnsi="Verdana"/>
          <w:sz w:val="20"/>
          <w:lang w:val="pt-BR"/>
        </w:rPr>
        <w:t>proporcionais</w:t>
      </w:r>
      <w:r w:rsidR="0089298C" w:rsidRPr="002F50BD">
        <w:rPr>
          <w:rFonts w:ascii="Verdana" w:hAnsi="Verdana"/>
          <w:sz w:val="20"/>
          <w:lang w:val="pt-BR"/>
        </w:rPr>
        <w:t>, e</w:t>
      </w:r>
      <w:r w:rsidR="004756C1" w:rsidRPr="002F50BD">
        <w:rPr>
          <w:rFonts w:ascii="Verdana" w:hAnsi="Verdana"/>
          <w:sz w:val="20"/>
          <w:lang w:val="pt-BR"/>
        </w:rPr>
        <w:t xml:space="preserve"> d</w:t>
      </w:r>
      <w:r w:rsidR="00CF451D" w:rsidRPr="00CF451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devem</w:t>
      </w:r>
      <w:r w:rsidR="004756C1" w:rsidRPr="002F50BD">
        <w:rPr>
          <w:rFonts w:ascii="Verdana" w:hAnsi="Verdana"/>
          <w:sz w:val="20"/>
          <w:lang w:val="pt-BR"/>
        </w:rPr>
        <w:t xml:space="preserve"> </w:t>
      </w:r>
      <w:r w:rsidR="004A38DE" w:rsidRPr="002F50BD">
        <w:rPr>
          <w:rFonts w:ascii="Verdana" w:hAnsi="Verdana"/>
          <w:sz w:val="20"/>
          <w:lang w:val="pt-BR"/>
        </w:rPr>
        <w:t xml:space="preserve">ser feitas </w:t>
      </w:r>
      <w:r w:rsidR="0089298C" w:rsidRPr="002F50BD">
        <w:rPr>
          <w:rFonts w:ascii="Verdana" w:hAnsi="Verdana"/>
          <w:sz w:val="20"/>
          <w:lang w:val="pt-BR"/>
        </w:rPr>
        <w:t xml:space="preserve">com o fim </w:t>
      </w:r>
      <w:r w:rsidR="004756C1" w:rsidRPr="002F50BD">
        <w:rPr>
          <w:rFonts w:ascii="Verdana" w:hAnsi="Verdana"/>
          <w:sz w:val="20"/>
          <w:lang w:val="pt-BR"/>
        </w:rPr>
        <w:t xml:space="preserve">de </w:t>
      </w:r>
      <w:r w:rsidR="004A38DE" w:rsidRPr="002F50BD">
        <w:rPr>
          <w:rFonts w:ascii="Verdana" w:hAnsi="Verdana"/>
          <w:sz w:val="20"/>
          <w:lang w:val="pt-BR"/>
        </w:rPr>
        <w:t xml:space="preserve">alcançar </w:t>
      </w:r>
      <w:r w:rsidR="0089298C" w:rsidRPr="002F50BD">
        <w:rPr>
          <w:rFonts w:ascii="Verdana" w:hAnsi="Verdana"/>
          <w:sz w:val="20"/>
          <w:lang w:val="pt-BR"/>
        </w:rPr>
        <w:t xml:space="preserve">um </w:t>
      </w:r>
      <w:r w:rsidR="004756C1" w:rsidRPr="002F50BD">
        <w:rPr>
          <w:rFonts w:ascii="Verdana" w:hAnsi="Verdana"/>
          <w:sz w:val="20"/>
          <w:lang w:val="pt-BR"/>
        </w:rPr>
        <w:t>objetivo legítimo</w:t>
      </w:r>
      <w:r w:rsidR="0089298C" w:rsidRPr="002F50BD">
        <w:rPr>
          <w:rFonts w:ascii="Verdana" w:hAnsi="Verdana"/>
          <w:sz w:val="20"/>
          <w:lang w:val="pt-BR"/>
        </w:rPr>
        <w:t xml:space="preserve"> em uma sociedade </w:t>
      </w:r>
      <w:r w:rsidR="004756C1" w:rsidRPr="002F50BD">
        <w:rPr>
          <w:rFonts w:ascii="Verdana" w:hAnsi="Verdana"/>
          <w:sz w:val="20"/>
          <w:lang w:val="pt-BR"/>
        </w:rPr>
        <w:t>democrática.</w:t>
      </w:r>
    </w:p>
    <w:p w:rsidR="00F46680" w:rsidRPr="002F50BD" w:rsidRDefault="00F46680" w:rsidP="00F46680">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21</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dispõe</w:t>
      </w:r>
      <w:r w:rsidR="004756C1" w:rsidRPr="002F50BD">
        <w:rPr>
          <w:rFonts w:ascii="Verdana" w:hAnsi="Verdana"/>
          <w:sz w:val="20"/>
          <w:lang w:val="pt-BR"/>
        </w:rPr>
        <w:t xml:space="preserve"> que “[</w:t>
      </w:r>
      <w:r w:rsidR="00610017"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lei pode</w:t>
      </w:r>
      <w:r w:rsidR="004756C1" w:rsidRPr="002F50BD">
        <w:rPr>
          <w:rFonts w:ascii="Verdana" w:hAnsi="Verdana"/>
          <w:sz w:val="20"/>
          <w:lang w:val="pt-BR"/>
        </w:rPr>
        <w:t xml:space="preserve"> subordinar [e</w:t>
      </w:r>
      <w:r w:rsidR="00610017" w:rsidRPr="002F50BD">
        <w:rPr>
          <w:rFonts w:ascii="Verdana" w:hAnsi="Verdana"/>
          <w:sz w:val="20"/>
          <w:lang w:val="pt-BR"/>
        </w:rPr>
        <w:t>sse</w:t>
      </w:r>
      <w:r w:rsidR="004756C1" w:rsidRPr="002F50BD">
        <w:rPr>
          <w:rFonts w:ascii="Verdana" w:hAnsi="Verdana"/>
          <w:sz w:val="20"/>
          <w:lang w:val="pt-BR"/>
        </w:rPr>
        <w:t>] uso</w:t>
      </w:r>
      <w:r w:rsidRPr="002F50BD">
        <w:rPr>
          <w:rFonts w:ascii="Verdana" w:hAnsi="Verdana"/>
          <w:sz w:val="20"/>
          <w:lang w:val="pt-BR"/>
        </w:rPr>
        <w:t xml:space="preserve"> e</w:t>
      </w:r>
      <w:r w:rsidR="00385366" w:rsidRPr="002F50BD">
        <w:rPr>
          <w:rFonts w:ascii="Verdana" w:hAnsi="Verdana"/>
          <w:sz w:val="20"/>
          <w:lang w:val="pt-BR"/>
        </w:rPr>
        <w:t xml:space="preserve"> gozo </w:t>
      </w:r>
      <w:r w:rsidR="004756C1" w:rsidRPr="002F50BD">
        <w:rPr>
          <w:rFonts w:ascii="Verdana" w:hAnsi="Verdana"/>
          <w:sz w:val="20"/>
          <w:lang w:val="pt-BR"/>
        </w:rPr>
        <w:t>[</w:t>
      </w:r>
      <w:r w:rsidRPr="002F50BD">
        <w:rPr>
          <w:rFonts w:ascii="Verdana" w:hAnsi="Verdana"/>
          <w:sz w:val="20"/>
          <w:lang w:val="pt-BR"/>
        </w:rPr>
        <w:t>dos bens</w:t>
      </w:r>
      <w:r w:rsidR="004756C1" w:rsidRPr="002F50BD">
        <w:rPr>
          <w:rFonts w:ascii="Verdana" w:hAnsi="Verdana"/>
          <w:sz w:val="20"/>
          <w:lang w:val="pt-BR"/>
        </w:rPr>
        <w:t>]</w:t>
      </w:r>
      <w:r w:rsidRPr="002F50BD">
        <w:rPr>
          <w:rFonts w:ascii="Verdana" w:hAnsi="Verdana"/>
          <w:sz w:val="20"/>
          <w:lang w:val="pt-BR"/>
        </w:rPr>
        <w:t xml:space="preserve"> ao interesse </w:t>
      </w:r>
      <w:r w:rsidR="004756C1" w:rsidRPr="002F50BD">
        <w:rPr>
          <w:rFonts w:ascii="Verdana" w:hAnsi="Verdana"/>
          <w:sz w:val="20"/>
          <w:lang w:val="pt-BR"/>
        </w:rPr>
        <w:t>social.”</w:t>
      </w:r>
      <w:r w:rsidRPr="002F50BD">
        <w:rPr>
          <w:rFonts w:ascii="Verdana" w:hAnsi="Verdana"/>
          <w:sz w:val="20"/>
          <w:lang w:val="pt-BR"/>
        </w:rPr>
        <w:t xml:space="preserve"> </w:t>
      </w:r>
      <w:r w:rsidR="00610017" w:rsidRPr="002F50BD">
        <w:rPr>
          <w:rFonts w:ascii="Verdana" w:hAnsi="Verdana"/>
          <w:sz w:val="20"/>
          <w:lang w:val="pt-BR"/>
        </w:rPr>
        <w:t>A</w:t>
      </w:r>
      <w:r w:rsidRPr="002F50BD">
        <w:rPr>
          <w:rFonts w:ascii="Verdana" w:hAnsi="Verdana"/>
          <w:sz w:val="20"/>
          <w:lang w:val="pt-BR"/>
        </w:rPr>
        <w:t xml:space="preserve"> necessidade das </w:t>
      </w:r>
      <w:r w:rsidR="004076AD" w:rsidRPr="002F50BD">
        <w:rPr>
          <w:rFonts w:ascii="Verdana" w:hAnsi="Verdana"/>
          <w:sz w:val="20"/>
          <w:lang w:val="pt-BR"/>
        </w:rPr>
        <w:t>restrições</w:t>
      </w:r>
      <w:r w:rsidR="004756C1" w:rsidRPr="002F50BD">
        <w:rPr>
          <w:rFonts w:ascii="Verdana" w:hAnsi="Verdana"/>
          <w:sz w:val="20"/>
          <w:lang w:val="pt-BR"/>
        </w:rPr>
        <w:t xml:space="preserve"> legalmente contempladas dependerá de que est</w:t>
      </w:r>
      <w:r w:rsidR="0023200A" w:rsidRPr="002F50BD">
        <w:rPr>
          <w:rFonts w:ascii="Verdana" w:hAnsi="Verdana"/>
          <w:sz w:val="20"/>
          <w:lang w:val="pt-BR"/>
        </w:rPr>
        <w:t>ejam</w:t>
      </w:r>
      <w:r w:rsidR="004756C1" w:rsidRPr="002F50BD">
        <w:rPr>
          <w:rFonts w:ascii="Verdana" w:hAnsi="Verdana"/>
          <w:sz w:val="20"/>
          <w:lang w:val="pt-BR"/>
        </w:rPr>
        <w:t xml:space="preserve"> orientadas a </w:t>
      </w:r>
      <w:r w:rsidRPr="002F50BD">
        <w:rPr>
          <w:rFonts w:ascii="Verdana" w:hAnsi="Verdana"/>
          <w:sz w:val="20"/>
          <w:lang w:val="pt-BR"/>
        </w:rPr>
        <w:t xml:space="preserve">satisfazer um interesse </w:t>
      </w:r>
      <w:r w:rsidR="004756C1" w:rsidRPr="002F50BD">
        <w:rPr>
          <w:rFonts w:ascii="Verdana" w:hAnsi="Verdana"/>
          <w:sz w:val="20"/>
          <w:lang w:val="pt-BR"/>
        </w:rPr>
        <w:t xml:space="preserve">público imperativo, </w:t>
      </w:r>
      <w:r w:rsidRPr="002F50BD">
        <w:rPr>
          <w:rFonts w:ascii="Verdana" w:hAnsi="Verdana"/>
          <w:sz w:val="20"/>
          <w:lang w:val="pt-BR"/>
        </w:rPr>
        <w:t>sendo</w:t>
      </w:r>
      <w:r w:rsidR="004756C1" w:rsidRPr="002F50BD">
        <w:rPr>
          <w:rFonts w:ascii="Verdana" w:hAnsi="Verdana"/>
          <w:sz w:val="20"/>
          <w:lang w:val="pt-BR"/>
        </w:rPr>
        <w:t xml:space="preserve"> insuficiente que se </w:t>
      </w:r>
      <w:r w:rsidR="00AB454A" w:rsidRPr="002F50BD">
        <w:rPr>
          <w:rFonts w:ascii="Verdana" w:hAnsi="Verdana"/>
          <w:sz w:val="20"/>
          <w:lang w:val="pt-BR"/>
        </w:rPr>
        <w:t>demonstre</w:t>
      </w:r>
      <w:r w:rsidR="004756C1" w:rsidRPr="002F50BD">
        <w:rPr>
          <w:rFonts w:ascii="Verdana" w:hAnsi="Verdana"/>
          <w:sz w:val="20"/>
          <w:lang w:val="pt-BR"/>
        </w:rPr>
        <w:t xml:space="preserve">, por </w:t>
      </w:r>
      <w:r w:rsidRPr="002F50BD">
        <w:rPr>
          <w:rFonts w:ascii="Verdana" w:hAnsi="Verdana"/>
          <w:sz w:val="20"/>
          <w:lang w:val="pt-BR"/>
        </w:rPr>
        <w:t>exemplo</w:t>
      </w:r>
      <w:r w:rsidR="004756C1" w:rsidRPr="002F50BD">
        <w:rPr>
          <w:rFonts w:ascii="Verdana" w:hAnsi="Verdana"/>
          <w:sz w:val="20"/>
          <w:lang w:val="pt-BR"/>
        </w:rPr>
        <w:t>, que</w:t>
      </w:r>
      <w:r w:rsidRPr="002F50BD">
        <w:rPr>
          <w:rFonts w:ascii="Verdana" w:hAnsi="Verdana"/>
          <w:sz w:val="20"/>
          <w:lang w:val="pt-BR"/>
        </w:rPr>
        <w:t xml:space="preserve"> a lei </w:t>
      </w:r>
      <w:r w:rsidR="004756C1" w:rsidRPr="002F50BD">
        <w:rPr>
          <w:rFonts w:ascii="Verdana" w:hAnsi="Verdana"/>
          <w:sz w:val="20"/>
          <w:lang w:val="pt-BR"/>
        </w:rPr>
        <w:t>cump</w:t>
      </w:r>
      <w:r w:rsidR="0023200A" w:rsidRPr="002F50BD">
        <w:rPr>
          <w:rFonts w:ascii="Verdana" w:hAnsi="Verdana"/>
          <w:sz w:val="20"/>
          <w:lang w:val="pt-BR"/>
        </w:rPr>
        <w:t>r</w:t>
      </w:r>
      <w:r w:rsidR="004756C1" w:rsidRPr="002F50BD">
        <w:rPr>
          <w:rFonts w:ascii="Verdana" w:hAnsi="Verdana"/>
          <w:sz w:val="20"/>
          <w:lang w:val="pt-BR"/>
        </w:rPr>
        <w:t>e</w:t>
      </w:r>
      <w:r w:rsidRPr="002F50BD">
        <w:rPr>
          <w:rFonts w:ascii="Verdana" w:hAnsi="Verdana"/>
          <w:sz w:val="20"/>
          <w:lang w:val="pt-BR"/>
        </w:rPr>
        <w:t xml:space="preserve"> um </w:t>
      </w:r>
      <w:r w:rsidR="004756C1" w:rsidRPr="002F50BD">
        <w:rPr>
          <w:rFonts w:ascii="Verdana" w:hAnsi="Verdana"/>
          <w:sz w:val="20"/>
          <w:lang w:val="pt-BR"/>
        </w:rPr>
        <w:t>propósito útil</w:t>
      </w:r>
      <w:r w:rsidRPr="002F50BD">
        <w:rPr>
          <w:rFonts w:ascii="Verdana" w:hAnsi="Verdana"/>
          <w:sz w:val="20"/>
          <w:lang w:val="pt-BR"/>
        </w:rPr>
        <w:t xml:space="preserve"> ou </w:t>
      </w:r>
      <w:r w:rsidR="004756C1" w:rsidRPr="002F50BD">
        <w:rPr>
          <w:rFonts w:ascii="Verdana" w:hAnsi="Verdana"/>
          <w:sz w:val="20"/>
          <w:lang w:val="pt-BR"/>
        </w:rPr>
        <w:t>oportuno</w:t>
      </w:r>
      <w:r w:rsidR="00BE346D" w:rsidRPr="002F50BD">
        <w:rPr>
          <w:rFonts w:ascii="Verdana" w:hAnsi="Verdana"/>
          <w:sz w:val="20"/>
          <w:lang w:val="pt-BR"/>
        </w:rPr>
        <w:t xml:space="preserve">. A </w:t>
      </w:r>
      <w:r w:rsidR="004756C1" w:rsidRPr="002F50BD">
        <w:rPr>
          <w:rFonts w:ascii="Verdana" w:hAnsi="Verdana"/>
          <w:sz w:val="20"/>
          <w:lang w:val="pt-BR"/>
        </w:rPr>
        <w:t>proporcionalidad</w:t>
      </w:r>
      <w:r w:rsidR="0023200A" w:rsidRPr="002F50BD">
        <w:rPr>
          <w:rFonts w:ascii="Verdana" w:hAnsi="Verdana"/>
          <w:sz w:val="20"/>
          <w:lang w:val="pt-BR"/>
        </w:rPr>
        <w:t>e</w:t>
      </w:r>
      <w:r w:rsidR="004756C1" w:rsidRPr="002F50BD">
        <w:rPr>
          <w:rFonts w:ascii="Verdana" w:hAnsi="Verdana"/>
          <w:sz w:val="20"/>
          <w:lang w:val="pt-BR"/>
        </w:rPr>
        <w:t xml:space="preserve"> </w:t>
      </w:r>
      <w:r w:rsidR="0023200A" w:rsidRPr="002F50BD">
        <w:rPr>
          <w:rFonts w:ascii="Verdana" w:hAnsi="Verdana"/>
          <w:sz w:val="20"/>
          <w:lang w:val="pt-BR"/>
        </w:rPr>
        <w:t xml:space="preserve">é que </w:t>
      </w:r>
      <w:r w:rsidRPr="002F50BD">
        <w:rPr>
          <w:rFonts w:ascii="Verdana" w:hAnsi="Verdana"/>
          <w:sz w:val="20"/>
          <w:lang w:val="pt-BR"/>
        </w:rPr>
        <w:t xml:space="preserve">a restrição deve </w:t>
      </w:r>
      <w:r w:rsidR="004756C1" w:rsidRPr="002F50BD">
        <w:rPr>
          <w:rFonts w:ascii="Verdana" w:hAnsi="Verdana"/>
          <w:sz w:val="20"/>
          <w:lang w:val="pt-BR"/>
        </w:rPr>
        <w:t>ajustar</w:t>
      </w:r>
      <w:r w:rsidR="0023200A" w:rsidRPr="002F50BD">
        <w:rPr>
          <w:rFonts w:ascii="Verdana" w:hAnsi="Verdana"/>
          <w:sz w:val="20"/>
          <w:lang w:val="pt-BR"/>
        </w:rPr>
        <w:t>-</w:t>
      </w:r>
      <w:r w:rsidR="004756C1" w:rsidRPr="002F50BD">
        <w:rPr>
          <w:rFonts w:ascii="Verdana" w:hAnsi="Verdana"/>
          <w:sz w:val="20"/>
          <w:lang w:val="pt-BR"/>
        </w:rPr>
        <w:t xml:space="preserve">se </w:t>
      </w:r>
      <w:r w:rsidRPr="002F50BD">
        <w:rPr>
          <w:rFonts w:ascii="Verdana" w:hAnsi="Verdana"/>
          <w:sz w:val="20"/>
          <w:lang w:val="pt-BR"/>
        </w:rPr>
        <w:t>estrit</w:t>
      </w:r>
      <w:r w:rsidR="004756C1" w:rsidRPr="002F50BD">
        <w:rPr>
          <w:rFonts w:ascii="Verdana" w:hAnsi="Verdana"/>
          <w:sz w:val="20"/>
          <w:lang w:val="pt-BR"/>
        </w:rPr>
        <w:t>amente</w:t>
      </w:r>
      <w:r w:rsidRPr="002F50BD">
        <w:rPr>
          <w:rFonts w:ascii="Verdana" w:hAnsi="Verdana"/>
          <w:sz w:val="20"/>
          <w:lang w:val="pt-BR"/>
        </w:rPr>
        <w:t xml:space="preserve"> </w:t>
      </w:r>
      <w:r w:rsidR="0023200A" w:rsidRPr="002F50BD">
        <w:rPr>
          <w:rFonts w:ascii="Verdana" w:hAnsi="Verdana"/>
          <w:sz w:val="20"/>
          <w:lang w:val="pt-BR"/>
        </w:rPr>
        <w:t xml:space="preserve">à realização </w:t>
      </w:r>
      <w:r w:rsidR="004756C1" w:rsidRPr="002F50BD">
        <w:rPr>
          <w:rFonts w:ascii="Verdana" w:hAnsi="Verdana"/>
          <w:sz w:val="20"/>
          <w:lang w:val="pt-BR"/>
        </w:rPr>
        <w:t>de</w:t>
      </w:r>
      <w:r w:rsidRPr="002F50BD">
        <w:rPr>
          <w:rFonts w:ascii="Verdana" w:hAnsi="Verdana"/>
          <w:sz w:val="20"/>
          <w:lang w:val="pt-BR"/>
        </w:rPr>
        <w:t xml:space="preserve"> um </w:t>
      </w:r>
      <w:r w:rsidR="004756C1" w:rsidRPr="002F50BD">
        <w:rPr>
          <w:rFonts w:ascii="Verdana" w:hAnsi="Verdana"/>
          <w:sz w:val="20"/>
          <w:lang w:val="pt-BR"/>
        </w:rPr>
        <w:t>objetivo</w:t>
      </w:r>
      <w:r w:rsidR="00F04F59" w:rsidRPr="00F04F59">
        <w:rPr>
          <w:rFonts w:ascii="Verdana" w:hAnsi="Verdana"/>
          <w:sz w:val="20"/>
          <w:lang w:val="pt-BR"/>
        </w:rPr>
        <w:t xml:space="preserve"> </w:t>
      </w:r>
      <w:r w:rsidR="00F04F59" w:rsidRPr="002F50BD">
        <w:rPr>
          <w:rFonts w:ascii="Verdana" w:hAnsi="Verdana"/>
          <w:sz w:val="20"/>
          <w:lang w:val="pt-BR"/>
        </w:rPr>
        <w:t>legítimo</w:t>
      </w:r>
      <w:r w:rsidR="004756C1" w:rsidRPr="002F50BD">
        <w:rPr>
          <w:rFonts w:ascii="Verdana" w:hAnsi="Verdana"/>
          <w:sz w:val="20"/>
          <w:lang w:val="pt-BR"/>
        </w:rPr>
        <w:t>, interf</w:t>
      </w:r>
      <w:r w:rsidR="0023200A" w:rsidRPr="002F50BD">
        <w:rPr>
          <w:rFonts w:ascii="Verdana" w:hAnsi="Verdana"/>
          <w:sz w:val="20"/>
          <w:lang w:val="pt-BR"/>
        </w:rPr>
        <w:t>e</w:t>
      </w:r>
      <w:r w:rsidR="004756C1" w:rsidRPr="002F50BD">
        <w:rPr>
          <w:rFonts w:ascii="Verdana" w:hAnsi="Verdana"/>
          <w:sz w:val="20"/>
          <w:lang w:val="pt-BR"/>
        </w:rPr>
        <w:t>rindo</w:t>
      </w:r>
      <w:r w:rsidRPr="002F50BD">
        <w:rPr>
          <w:rFonts w:ascii="Verdana" w:hAnsi="Verdana"/>
          <w:sz w:val="20"/>
          <w:lang w:val="pt-BR"/>
        </w:rPr>
        <w:t xml:space="preserve"> na </w:t>
      </w:r>
      <w:r w:rsidR="004756C1" w:rsidRPr="002F50BD">
        <w:rPr>
          <w:rFonts w:ascii="Verdana" w:hAnsi="Verdana"/>
          <w:sz w:val="20"/>
          <w:lang w:val="pt-BR"/>
        </w:rPr>
        <w:t xml:space="preserve">menor medida </w:t>
      </w:r>
      <w:r w:rsidRPr="002F50BD">
        <w:rPr>
          <w:rFonts w:ascii="Verdana" w:hAnsi="Verdana"/>
          <w:sz w:val="20"/>
          <w:lang w:val="pt-BR"/>
        </w:rPr>
        <w:t>possível no efetiv</w:t>
      </w:r>
      <w:r w:rsidR="004756C1" w:rsidRPr="002F50BD">
        <w:rPr>
          <w:rFonts w:ascii="Verdana" w:hAnsi="Verdana"/>
          <w:sz w:val="20"/>
          <w:lang w:val="pt-BR"/>
        </w:rPr>
        <w:t xml:space="preserve">o </w:t>
      </w:r>
      <w:r w:rsidRPr="002F50BD">
        <w:rPr>
          <w:rFonts w:ascii="Verdana" w:hAnsi="Verdana"/>
          <w:sz w:val="20"/>
          <w:lang w:val="pt-BR"/>
        </w:rPr>
        <w:t>exercício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restringido. Finalmente, para que</w:t>
      </w:r>
      <w:r w:rsidRPr="002F50BD">
        <w:rPr>
          <w:rFonts w:ascii="Verdana" w:hAnsi="Verdana"/>
          <w:sz w:val="20"/>
          <w:lang w:val="pt-BR"/>
        </w:rPr>
        <w:t xml:space="preserve"> </w:t>
      </w:r>
      <w:r w:rsidR="0023200A" w:rsidRPr="002F50BD">
        <w:rPr>
          <w:rFonts w:ascii="Verdana" w:hAnsi="Verdana"/>
          <w:sz w:val="20"/>
          <w:lang w:val="pt-BR"/>
        </w:rPr>
        <w:t xml:space="preserve">as restrições </w:t>
      </w:r>
      <w:r w:rsidRPr="002F50BD">
        <w:rPr>
          <w:rFonts w:ascii="Verdana" w:hAnsi="Verdana"/>
          <w:sz w:val="20"/>
          <w:lang w:val="pt-BR"/>
        </w:rPr>
        <w:t xml:space="preserve">sejam compatíveis com a </w:t>
      </w:r>
      <w:r w:rsidR="004756C1" w:rsidRPr="002F50BD">
        <w:rPr>
          <w:rFonts w:ascii="Verdana" w:hAnsi="Verdana"/>
          <w:sz w:val="20"/>
          <w:lang w:val="pt-BR"/>
        </w:rPr>
        <w:t>Conven</w:t>
      </w:r>
      <w:r w:rsidRPr="002F50BD">
        <w:rPr>
          <w:rFonts w:ascii="Verdana" w:hAnsi="Verdana"/>
          <w:sz w:val="20"/>
          <w:lang w:val="pt-BR"/>
        </w:rPr>
        <w:t>ção</w:t>
      </w:r>
      <w:r w:rsidR="0023200A" w:rsidRPr="002F50BD">
        <w:rPr>
          <w:rFonts w:ascii="Verdana" w:hAnsi="Verdana"/>
          <w:sz w:val="20"/>
          <w:lang w:val="pt-BR"/>
        </w:rPr>
        <w:t>,</w:t>
      </w:r>
      <w:r w:rsidRPr="002F50BD">
        <w:rPr>
          <w:rFonts w:ascii="Verdana" w:hAnsi="Verdana"/>
          <w:sz w:val="20"/>
          <w:lang w:val="pt-BR"/>
        </w:rPr>
        <w:t xml:space="preserve"> devem</w:t>
      </w:r>
      <w:r w:rsidR="004756C1" w:rsidRPr="002F50BD">
        <w:rPr>
          <w:rFonts w:ascii="Verdana" w:hAnsi="Verdana"/>
          <w:sz w:val="20"/>
          <w:lang w:val="pt-BR"/>
        </w:rPr>
        <w:t xml:space="preserve"> </w:t>
      </w:r>
      <w:r w:rsidR="0023200A" w:rsidRPr="002F50BD">
        <w:rPr>
          <w:rFonts w:ascii="Verdana" w:hAnsi="Verdana"/>
          <w:sz w:val="20"/>
          <w:lang w:val="pt-BR"/>
        </w:rPr>
        <w:t xml:space="preserve">ser justificadas </w:t>
      </w:r>
      <w:r w:rsidRPr="002F50BD">
        <w:rPr>
          <w:rFonts w:ascii="Verdana" w:hAnsi="Verdana"/>
          <w:sz w:val="20"/>
          <w:lang w:val="pt-BR"/>
        </w:rPr>
        <w:t>segundo</w:t>
      </w:r>
      <w:r w:rsidR="004756C1" w:rsidRPr="002F50BD">
        <w:rPr>
          <w:rFonts w:ascii="Verdana" w:hAnsi="Verdana"/>
          <w:sz w:val="20"/>
          <w:lang w:val="pt-BR"/>
        </w:rPr>
        <w:t xml:space="preserve"> objetivos </w:t>
      </w:r>
      <w:r w:rsidRPr="002F50BD">
        <w:rPr>
          <w:rFonts w:ascii="Verdana" w:hAnsi="Verdana"/>
          <w:sz w:val="20"/>
          <w:lang w:val="pt-BR"/>
        </w:rPr>
        <w:t>coletiv</w:t>
      </w:r>
      <w:r w:rsidR="004756C1" w:rsidRPr="002F50BD">
        <w:rPr>
          <w:rFonts w:ascii="Verdana" w:hAnsi="Verdana"/>
          <w:sz w:val="20"/>
          <w:lang w:val="pt-BR"/>
        </w:rPr>
        <w:t xml:space="preserve">os </w:t>
      </w:r>
      <w:r w:rsidR="0023200A" w:rsidRPr="002F50BD">
        <w:rPr>
          <w:rFonts w:ascii="Verdana" w:hAnsi="Verdana"/>
          <w:sz w:val="20"/>
          <w:lang w:val="pt-BR"/>
        </w:rPr>
        <w:t>os quais</w:t>
      </w:r>
      <w:r w:rsidR="004756C1" w:rsidRPr="002F50BD">
        <w:rPr>
          <w:rFonts w:ascii="Verdana" w:hAnsi="Verdana"/>
          <w:sz w:val="20"/>
          <w:lang w:val="pt-BR"/>
        </w:rPr>
        <w:t xml:space="preserve">, por </w:t>
      </w:r>
      <w:r w:rsidR="004076AD" w:rsidRPr="002F50BD">
        <w:rPr>
          <w:rFonts w:ascii="Verdana" w:hAnsi="Verdana"/>
          <w:sz w:val="20"/>
          <w:lang w:val="pt-BR"/>
        </w:rPr>
        <w:t>sua importância</w:t>
      </w:r>
      <w:r w:rsidR="004756C1" w:rsidRPr="002F50BD">
        <w:rPr>
          <w:rFonts w:ascii="Verdana" w:hAnsi="Verdana"/>
          <w:sz w:val="20"/>
          <w:lang w:val="pt-BR"/>
        </w:rPr>
        <w:t xml:space="preserve">, </w:t>
      </w:r>
      <w:r w:rsidR="0023200A" w:rsidRPr="002F50BD">
        <w:rPr>
          <w:rFonts w:ascii="Verdana" w:hAnsi="Verdana"/>
          <w:sz w:val="20"/>
          <w:lang w:val="pt-BR"/>
        </w:rPr>
        <w:t xml:space="preserve">prevaleçam </w:t>
      </w:r>
      <w:r w:rsidR="004756C1" w:rsidRPr="002F50BD">
        <w:rPr>
          <w:rFonts w:ascii="Verdana" w:hAnsi="Verdana"/>
          <w:sz w:val="20"/>
          <w:lang w:val="pt-BR"/>
        </w:rPr>
        <w:t>claramente sobre</w:t>
      </w:r>
      <w:r w:rsidRPr="002F50BD">
        <w:rPr>
          <w:rFonts w:ascii="Verdana" w:hAnsi="Verdana"/>
          <w:sz w:val="20"/>
          <w:lang w:val="pt-BR"/>
        </w:rPr>
        <w:t xml:space="preserve"> a necessidade do </w:t>
      </w:r>
      <w:r w:rsidR="004756C1" w:rsidRPr="002F50BD">
        <w:rPr>
          <w:rFonts w:ascii="Verdana" w:hAnsi="Verdana"/>
          <w:sz w:val="20"/>
          <w:lang w:val="pt-BR"/>
        </w:rPr>
        <w:t>pleno</w:t>
      </w:r>
      <w:r w:rsidR="00385366" w:rsidRPr="002F50BD">
        <w:rPr>
          <w:rFonts w:ascii="Verdana" w:hAnsi="Verdana"/>
          <w:sz w:val="20"/>
          <w:lang w:val="pt-BR"/>
        </w:rPr>
        <w:t xml:space="preserve"> gozo </w:t>
      </w:r>
      <w:r w:rsidRPr="002F50BD">
        <w:rPr>
          <w:rFonts w:ascii="Verdana" w:hAnsi="Verdana"/>
          <w:sz w:val="20"/>
          <w:lang w:val="pt-BR"/>
        </w:rPr>
        <w:t>do direito</w:t>
      </w:r>
      <w:r w:rsidR="004756C1" w:rsidRPr="002F50BD">
        <w:rPr>
          <w:rFonts w:ascii="Verdana" w:hAnsi="Verdana"/>
          <w:sz w:val="20"/>
          <w:lang w:val="pt-BR"/>
        </w:rPr>
        <w:t xml:space="preserve"> restringido</w:t>
      </w:r>
      <w:r w:rsidR="0023200A" w:rsidRPr="002F50BD">
        <w:rPr>
          <w:rFonts w:ascii="Verdana" w:hAnsi="Verdana"/>
          <w:sz w:val="20"/>
          <w:lang w:val="pt-BR"/>
        </w:rPr>
        <w:t>.</w:t>
      </w:r>
      <w:r w:rsidR="004756C1" w:rsidRPr="002F50BD">
        <w:rPr>
          <w:rStyle w:val="FootnoteReference"/>
          <w:rFonts w:ascii="Verdana" w:hAnsi="Verdana"/>
        </w:rPr>
        <w:footnoteReference w:id="198"/>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A</w:t>
      </w:r>
      <w:r w:rsidR="0023200A" w:rsidRPr="002F50BD">
        <w:rPr>
          <w:rFonts w:ascii="Verdana" w:hAnsi="Verdana"/>
          <w:sz w:val="20"/>
          <w:lang w:val="pt-BR"/>
        </w:rPr>
        <w:t>o</w:t>
      </w:r>
      <w:r w:rsidRPr="002F50BD">
        <w:rPr>
          <w:rFonts w:ascii="Verdana" w:hAnsi="Verdana"/>
          <w:sz w:val="20"/>
          <w:lang w:val="pt-BR"/>
        </w:rPr>
        <w:t xml:space="preserve"> aplicar</w:t>
      </w:r>
      <w:r w:rsidR="0089298C" w:rsidRPr="002F50BD">
        <w:rPr>
          <w:rFonts w:ascii="Verdana" w:hAnsi="Verdana"/>
          <w:sz w:val="20"/>
          <w:lang w:val="pt-BR"/>
        </w:rPr>
        <w:t xml:space="preserve"> estes padrões aos conflito</w:t>
      </w:r>
      <w:r w:rsidRPr="002F50BD">
        <w:rPr>
          <w:rFonts w:ascii="Verdana" w:hAnsi="Verdana"/>
          <w:sz w:val="20"/>
          <w:lang w:val="pt-BR"/>
        </w:rPr>
        <w:t xml:space="preserve">s que se </w:t>
      </w:r>
      <w:r w:rsidR="0023200A" w:rsidRPr="002F50BD">
        <w:rPr>
          <w:rFonts w:ascii="Verdana" w:hAnsi="Verdana"/>
          <w:sz w:val="20"/>
          <w:lang w:val="pt-BR"/>
        </w:rPr>
        <w:t>a</w:t>
      </w:r>
      <w:r w:rsidRPr="002F50BD">
        <w:rPr>
          <w:rFonts w:ascii="Verdana" w:hAnsi="Verdana"/>
          <w:sz w:val="20"/>
          <w:lang w:val="pt-BR"/>
        </w:rPr>
        <w:t>presenta</w:t>
      </w:r>
      <w:r w:rsidR="0023200A" w:rsidRPr="002F50BD">
        <w:rPr>
          <w:rFonts w:ascii="Verdana" w:hAnsi="Verdana"/>
          <w:sz w:val="20"/>
          <w:lang w:val="pt-BR"/>
        </w:rPr>
        <w:t>m</w:t>
      </w:r>
      <w:r w:rsidRPr="002F50BD">
        <w:rPr>
          <w:rFonts w:ascii="Verdana" w:hAnsi="Verdana"/>
          <w:sz w:val="20"/>
          <w:lang w:val="pt-BR"/>
        </w:rPr>
        <w:t xml:space="preserve"> entre</w:t>
      </w:r>
      <w:r w:rsidR="0089298C" w:rsidRPr="002F50BD">
        <w:rPr>
          <w:rFonts w:ascii="Verdana" w:hAnsi="Verdana"/>
          <w:sz w:val="20"/>
          <w:lang w:val="pt-BR"/>
        </w:rPr>
        <w:t xml:space="preserve"> a propriedade</w:t>
      </w:r>
      <w:r w:rsidRPr="002F50BD">
        <w:rPr>
          <w:rFonts w:ascii="Verdana" w:hAnsi="Verdana"/>
          <w:sz w:val="20"/>
          <w:lang w:val="pt-BR"/>
        </w:rPr>
        <w:t xml:space="preserve"> privada</w:t>
      </w:r>
      <w:r w:rsidR="0089298C" w:rsidRPr="002F50BD">
        <w:rPr>
          <w:rFonts w:ascii="Verdana" w:hAnsi="Verdana"/>
          <w:sz w:val="20"/>
          <w:lang w:val="pt-BR"/>
        </w:rPr>
        <w:t xml:space="preserve"> e os </w:t>
      </w:r>
      <w:r w:rsidRPr="002F50BD">
        <w:rPr>
          <w:rFonts w:ascii="Verdana" w:hAnsi="Verdana"/>
          <w:sz w:val="20"/>
          <w:lang w:val="pt-BR"/>
        </w:rPr>
        <w:t>reclamos 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propriedade</w:t>
      </w:r>
      <w:r w:rsidRPr="002F50BD">
        <w:rPr>
          <w:rFonts w:ascii="Verdana" w:hAnsi="Verdana"/>
          <w:sz w:val="20"/>
          <w:lang w:val="pt-BR"/>
        </w:rPr>
        <w:t xml:space="preserve"> ancestral</w:t>
      </w:r>
      <w:r w:rsidR="0089298C" w:rsidRPr="002F50BD">
        <w:rPr>
          <w:rFonts w:ascii="Verdana" w:hAnsi="Verdana"/>
          <w:sz w:val="20"/>
          <w:lang w:val="pt-BR"/>
        </w:rPr>
        <w:t xml:space="preserve"> dos membro</w:t>
      </w:r>
      <w:r w:rsidRPr="002F50BD">
        <w:rPr>
          <w:rFonts w:ascii="Verdana" w:hAnsi="Verdana"/>
          <w:sz w:val="20"/>
          <w:lang w:val="pt-BR"/>
        </w:rPr>
        <w:t>s de comunidades indígenas,</w:t>
      </w:r>
      <w:r w:rsidR="0089298C" w:rsidRPr="002F50BD">
        <w:rPr>
          <w:rFonts w:ascii="Verdana" w:hAnsi="Verdana"/>
          <w:sz w:val="20"/>
          <w:lang w:val="pt-BR"/>
        </w:rPr>
        <w:t xml:space="preserve"> os </w:t>
      </w:r>
      <w:r w:rsidRPr="002F50BD">
        <w:rPr>
          <w:rFonts w:ascii="Verdana" w:hAnsi="Verdana"/>
          <w:sz w:val="20"/>
          <w:lang w:val="pt-BR"/>
        </w:rPr>
        <w:t xml:space="preserve">Estados </w:t>
      </w:r>
      <w:r w:rsidR="0089298C" w:rsidRPr="002F50BD">
        <w:rPr>
          <w:rFonts w:ascii="Verdana" w:hAnsi="Verdana"/>
          <w:sz w:val="20"/>
          <w:lang w:val="pt-BR"/>
        </w:rPr>
        <w:t>devem</w:t>
      </w:r>
      <w:r w:rsidRPr="002F50BD">
        <w:rPr>
          <w:rFonts w:ascii="Verdana" w:hAnsi="Verdana"/>
          <w:sz w:val="20"/>
          <w:lang w:val="pt-BR"/>
        </w:rPr>
        <w:t xml:space="preserve"> </w:t>
      </w:r>
      <w:r w:rsidR="004C7A2A" w:rsidRPr="002F50BD">
        <w:rPr>
          <w:rFonts w:ascii="Verdana" w:hAnsi="Verdana"/>
          <w:sz w:val="20"/>
          <w:lang w:val="pt-BR"/>
        </w:rPr>
        <w:t>avalia</w:t>
      </w:r>
      <w:r w:rsidRPr="002F50BD">
        <w:rPr>
          <w:rFonts w:ascii="Verdana" w:hAnsi="Verdana"/>
          <w:sz w:val="20"/>
          <w:lang w:val="pt-BR"/>
        </w:rPr>
        <w:t>r</w:t>
      </w:r>
      <w:r w:rsidR="0023200A" w:rsidRPr="002F50BD">
        <w:rPr>
          <w:rFonts w:ascii="Verdana" w:hAnsi="Verdana"/>
          <w:sz w:val="20"/>
          <w:lang w:val="pt-BR"/>
        </w:rPr>
        <w:t>,</w:t>
      </w:r>
      <w:r w:rsidRPr="002F50BD">
        <w:rPr>
          <w:rFonts w:ascii="Verdana" w:hAnsi="Verdana"/>
          <w:sz w:val="20"/>
          <w:lang w:val="pt-BR"/>
        </w:rPr>
        <w:t xml:space="preserve"> caso </w:t>
      </w:r>
      <w:r w:rsidR="0023200A" w:rsidRPr="002F50BD">
        <w:rPr>
          <w:rFonts w:ascii="Verdana" w:hAnsi="Verdana"/>
          <w:sz w:val="20"/>
          <w:lang w:val="pt-BR"/>
        </w:rPr>
        <w:t xml:space="preserve">a </w:t>
      </w:r>
      <w:r w:rsidRPr="002F50BD">
        <w:rPr>
          <w:rFonts w:ascii="Verdana" w:hAnsi="Verdana"/>
          <w:sz w:val="20"/>
          <w:lang w:val="pt-BR"/>
        </w:rPr>
        <w:t>caso</w:t>
      </w:r>
      <w:r w:rsidR="0023200A" w:rsidRPr="002F50BD">
        <w:rPr>
          <w:rFonts w:ascii="Verdana" w:hAnsi="Verdana"/>
          <w:sz w:val="20"/>
          <w:lang w:val="pt-BR"/>
        </w:rPr>
        <w:t>,</w:t>
      </w:r>
      <w:r w:rsidR="0089298C" w:rsidRPr="002F50BD">
        <w:rPr>
          <w:rFonts w:ascii="Verdana" w:hAnsi="Verdana"/>
          <w:sz w:val="20"/>
          <w:lang w:val="pt-BR"/>
        </w:rPr>
        <w:t xml:space="preserve"> as </w:t>
      </w:r>
      <w:r w:rsidR="004076AD" w:rsidRPr="002F50BD">
        <w:rPr>
          <w:rFonts w:ascii="Verdana" w:hAnsi="Verdana"/>
          <w:sz w:val="20"/>
          <w:lang w:val="pt-BR"/>
        </w:rPr>
        <w:t>restrições</w:t>
      </w:r>
      <w:r w:rsidRPr="002F50BD">
        <w:rPr>
          <w:rFonts w:ascii="Verdana" w:hAnsi="Verdana"/>
          <w:sz w:val="20"/>
          <w:lang w:val="pt-BR"/>
        </w:rPr>
        <w:t xml:space="preserve"> resulta</w:t>
      </w:r>
      <w:r w:rsidR="00FC6B22" w:rsidRPr="002F50BD">
        <w:rPr>
          <w:rFonts w:ascii="Verdana" w:hAnsi="Verdana"/>
          <w:sz w:val="20"/>
          <w:lang w:val="pt-BR"/>
        </w:rPr>
        <w:t>ntes</w:t>
      </w:r>
      <w:r w:rsidRPr="002F50BD">
        <w:rPr>
          <w:rFonts w:ascii="Verdana" w:hAnsi="Verdana"/>
          <w:sz w:val="20"/>
          <w:lang w:val="pt-BR"/>
        </w:rPr>
        <w:t xml:space="preserve"> </w:t>
      </w:r>
      <w:r w:rsidR="0089298C" w:rsidRPr="002F50BD">
        <w:rPr>
          <w:rFonts w:ascii="Verdana" w:hAnsi="Verdana"/>
          <w:sz w:val="20"/>
          <w:lang w:val="pt-BR"/>
        </w:rPr>
        <w:t xml:space="preserve">do </w:t>
      </w:r>
      <w:r w:rsidRPr="002F50BD">
        <w:rPr>
          <w:rFonts w:ascii="Verdana" w:hAnsi="Verdana"/>
          <w:sz w:val="20"/>
          <w:lang w:val="pt-BR"/>
        </w:rPr>
        <w:t>re</w:t>
      </w:r>
      <w:r w:rsidR="0089298C" w:rsidRPr="002F50BD">
        <w:rPr>
          <w:rFonts w:ascii="Verdana" w:hAnsi="Verdana"/>
          <w:sz w:val="20"/>
          <w:lang w:val="pt-BR"/>
        </w:rPr>
        <w:t>conhecimento</w:t>
      </w:r>
      <w:r w:rsidRPr="002F50BD">
        <w:rPr>
          <w:rFonts w:ascii="Verdana" w:hAnsi="Verdana"/>
          <w:sz w:val="20"/>
          <w:lang w:val="pt-BR"/>
        </w:rPr>
        <w:t xml:space="preserve"> de</w:t>
      </w:r>
      <w:r w:rsidR="0089298C" w:rsidRPr="002F50BD">
        <w:rPr>
          <w:rFonts w:ascii="Verdana" w:hAnsi="Verdana"/>
          <w:sz w:val="20"/>
          <w:lang w:val="pt-BR"/>
        </w:rPr>
        <w:t xml:space="preserve"> um direito</w:t>
      </w:r>
      <w:r w:rsidRPr="002F50BD">
        <w:rPr>
          <w:rFonts w:ascii="Verdana" w:hAnsi="Verdana"/>
          <w:sz w:val="20"/>
          <w:lang w:val="pt-BR"/>
        </w:rPr>
        <w:t xml:space="preserve"> sobre</w:t>
      </w:r>
      <w:r w:rsidR="0089298C" w:rsidRPr="002F50BD">
        <w:rPr>
          <w:rFonts w:ascii="Verdana" w:hAnsi="Verdana"/>
          <w:sz w:val="20"/>
          <w:lang w:val="pt-BR"/>
        </w:rPr>
        <w:t xml:space="preserve"> o </w:t>
      </w:r>
      <w:r w:rsidRPr="002F50BD">
        <w:rPr>
          <w:rFonts w:ascii="Verdana" w:hAnsi="Verdana"/>
          <w:sz w:val="20"/>
          <w:lang w:val="pt-BR"/>
        </w:rPr>
        <w:t>o</w:t>
      </w:r>
      <w:r w:rsidR="0023200A" w:rsidRPr="002F50BD">
        <w:rPr>
          <w:rFonts w:ascii="Verdana" w:hAnsi="Verdana"/>
          <w:sz w:val="20"/>
          <w:lang w:val="pt-BR"/>
        </w:rPr>
        <w:t>u</w:t>
      </w:r>
      <w:r w:rsidRPr="002F50BD">
        <w:rPr>
          <w:rFonts w:ascii="Verdana" w:hAnsi="Verdana"/>
          <w:sz w:val="20"/>
          <w:lang w:val="pt-BR"/>
        </w:rPr>
        <w:t xml:space="preserve">tro. </w:t>
      </w:r>
      <w:r w:rsidR="0089298C" w:rsidRPr="002F50BD">
        <w:rPr>
          <w:rFonts w:ascii="Verdana" w:hAnsi="Verdana"/>
          <w:sz w:val="20"/>
          <w:lang w:val="pt-BR"/>
        </w:rPr>
        <w:t>Assim</w:t>
      </w:r>
      <w:r w:rsidRPr="002F50BD">
        <w:rPr>
          <w:rFonts w:ascii="Verdana" w:hAnsi="Verdana"/>
          <w:sz w:val="20"/>
          <w:lang w:val="pt-BR"/>
        </w:rPr>
        <w:t xml:space="preserve">, por </w:t>
      </w:r>
      <w:r w:rsidR="0089298C" w:rsidRPr="002F50BD">
        <w:rPr>
          <w:rFonts w:ascii="Verdana" w:hAnsi="Verdana"/>
          <w:sz w:val="20"/>
          <w:lang w:val="pt-BR"/>
        </w:rPr>
        <w:t>exemplo</w:t>
      </w:r>
      <w:r w:rsidRPr="002F50BD">
        <w:rPr>
          <w:rFonts w:ascii="Verdana" w:hAnsi="Verdana"/>
          <w:sz w:val="20"/>
          <w:lang w:val="pt-BR"/>
        </w:rPr>
        <w:t>,</w:t>
      </w:r>
      <w:r w:rsidR="0089298C" w:rsidRPr="002F50BD">
        <w:rPr>
          <w:rFonts w:ascii="Verdana" w:hAnsi="Verdana"/>
          <w:sz w:val="20"/>
          <w:lang w:val="pt-BR"/>
        </w:rPr>
        <w:t xml:space="preserve"> os </w:t>
      </w:r>
      <w:r w:rsidRPr="002F50BD">
        <w:rPr>
          <w:rFonts w:ascii="Verdana" w:hAnsi="Verdana"/>
          <w:sz w:val="20"/>
          <w:lang w:val="pt-BR"/>
        </w:rPr>
        <w:t xml:space="preserve">Estados </w:t>
      </w:r>
      <w:r w:rsidR="0089298C" w:rsidRPr="002F50BD">
        <w:rPr>
          <w:rFonts w:ascii="Verdana" w:hAnsi="Verdana"/>
          <w:sz w:val="20"/>
          <w:lang w:val="pt-BR"/>
        </w:rPr>
        <w:t xml:space="preserve">devem ter em conta </w:t>
      </w:r>
      <w:r w:rsidRPr="002F50BD">
        <w:rPr>
          <w:rFonts w:ascii="Verdana" w:hAnsi="Verdana"/>
          <w:sz w:val="20"/>
          <w:lang w:val="pt-BR"/>
        </w:rPr>
        <w:t>que</w:t>
      </w:r>
      <w:r w:rsidR="0089298C" w:rsidRPr="002F50BD">
        <w:rPr>
          <w:rFonts w:ascii="Verdana" w:hAnsi="Verdana"/>
          <w:sz w:val="20"/>
          <w:lang w:val="pt-BR"/>
        </w:rPr>
        <w:t xml:space="preserve"> os direito</w:t>
      </w:r>
      <w:r w:rsidRPr="002F50BD">
        <w:rPr>
          <w:rFonts w:ascii="Verdana" w:hAnsi="Verdana"/>
          <w:sz w:val="20"/>
          <w:lang w:val="pt-BR"/>
        </w:rPr>
        <w:t xml:space="preserve">s </w:t>
      </w:r>
      <w:r w:rsidR="00AB454A" w:rsidRPr="002F50BD">
        <w:rPr>
          <w:rFonts w:ascii="Verdana" w:hAnsi="Verdana"/>
          <w:sz w:val="20"/>
          <w:lang w:val="pt-BR"/>
        </w:rPr>
        <w:t>territoriais</w:t>
      </w:r>
      <w:r w:rsidRPr="002F50BD">
        <w:rPr>
          <w:rFonts w:ascii="Verdana" w:hAnsi="Verdana"/>
          <w:sz w:val="20"/>
          <w:lang w:val="pt-BR"/>
        </w:rPr>
        <w:t xml:space="preserve"> indígenas </w:t>
      </w:r>
      <w:r w:rsidR="0023200A" w:rsidRPr="002F50BD">
        <w:rPr>
          <w:rFonts w:ascii="Verdana" w:hAnsi="Verdana"/>
          <w:sz w:val="20"/>
          <w:lang w:val="pt-BR"/>
        </w:rPr>
        <w:t>incluem</w:t>
      </w:r>
      <w:r w:rsidR="0089298C" w:rsidRPr="002F50BD">
        <w:rPr>
          <w:rFonts w:ascii="Verdana" w:hAnsi="Verdana"/>
          <w:sz w:val="20"/>
          <w:lang w:val="pt-BR"/>
        </w:rPr>
        <w:t xml:space="preserve"> um conceito</w:t>
      </w:r>
      <w:r w:rsidRPr="002F50BD">
        <w:rPr>
          <w:rFonts w:ascii="Verdana" w:hAnsi="Verdana"/>
          <w:sz w:val="20"/>
          <w:lang w:val="pt-BR"/>
        </w:rPr>
        <w:t xml:space="preserve"> </w:t>
      </w:r>
      <w:r w:rsidR="0089298C" w:rsidRPr="002F50BD">
        <w:rPr>
          <w:rFonts w:ascii="Verdana" w:hAnsi="Verdana"/>
          <w:sz w:val="20"/>
          <w:lang w:val="pt-BR"/>
        </w:rPr>
        <w:t xml:space="preserve">mais amplo e </w:t>
      </w:r>
      <w:r w:rsidRPr="002F50BD">
        <w:rPr>
          <w:rFonts w:ascii="Verdana" w:hAnsi="Verdana"/>
          <w:sz w:val="20"/>
          <w:lang w:val="pt-BR"/>
        </w:rPr>
        <w:t>diferente que está relacionado</w:t>
      </w:r>
      <w:r w:rsidR="0089298C" w:rsidRPr="002F50BD">
        <w:rPr>
          <w:rFonts w:ascii="Verdana" w:hAnsi="Verdana"/>
          <w:sz w:val="20"/>
          <w:lang w:val="pt-BR"/>
        </w:rPr>
        <w:t xml:space="preserve"> com o direito</w:t>
      </w:r>
      <w:r w:rsidRPr="002F50BD">
        <w:rPr>
          <w:rFonts w:ascii="Verdana" w:hAnsi="Verdana"/>
          <w:sz w:val="20"/>
          <w:lang w:val="pt-BR"/>
        </w:rPr>
        <w:t xml:space="preserve"> </w:t>
      </w:r>
      <w:r w:rsidR="0089298C" w:rsidRPr="002F50BD">
        <w:rPr>
          <w:rFonts w:ascii="Verdana" w:hAnsi="Verdana"/>
          <w:sz w:val="20"/>
          <w:lang w:val="pt-BR"/>
        </w:rPr>
        <w:t>coletiv</w:t>
      </w:r>
      <w:r w:rsidRPr="002F50BD">
        <w:rPr>
          <w:rFonts w:ascii="Verdana" w:hAnsi="Verdana"/>
          <w:sz w:val="20"/>
          <w:lang w:val="pt-BR"/>
        </w:rPr>
        <w:t>o</w:t>
      </w:r>
      <w:r w:rsidR="0089298C" w:rsidRPr="002F50BD">
        <w:rPr>
          <w:rFonts w:ascii="Verdana" w:hAnsi="Verdana"/>
          <w:sz w:val="20"/>
          <w:lang w:val="pt-BR"/>
        </w:rPr>
        <w:t xml:space="preserve"> à </w:t>
      </w:r>
      <w:r w:rsidR="004076AD" w:rsidRPr="002F50BD">
        <w:rPr>
          <w:rFonts w:ascii="Verdana" w:hAnsi="Verdana"/>
          <w:sz w:val="20"/>
          <w:lang w:val="pt-BR"/>
        </w:rPr>
        <w:t>sobrevivência</w:t>
      </w:r>
      <w:r w:rsidRPr="002F50BD">
        <w:rPr>
          <w:rFonts w:ascii="Verdana" w:hAnsi="Verdana"/>
          <w:sz w:val="20"/>
          <w:lang w:val="pt-BR"/>
        </w:rPr>
        <w:t xml:space="preserve"> como </w:t>
      </w:r>
      <w:r w:rsidR="0089298C" w:rsidRPr="002F50BD">
        <w:rPr>
          <w:rFonts w:ascii="Verdana" w:hAnsi="Verdana"/>
          <w:sz w:val="20"/>
          <w:lang w:val="pt-BR"/>
        </w:rPr>
        <w:t>povo</w:t>
      </w:r>
      <w:r w:rsidRPr="002F50BD">
        <w:rPr>
          <w:rFonts w:ascii="Verdana" w:hAnsi="Verdana"/>
          <w:sz w:val="20"/>
          <w:lang w:val="pt-BR"/>
        </w:rPr>
        <w:t xml:space="preserve"> organizado,</w:t>
      </w:r>
      <w:r w:rsidR="0089298C" w:rsidRPr="002F50BD">
        <w:rPr>
          <w:rFonts w:ascii="Verdana" w:hAnsi="Verdana"/>
          <w:sz w:val="20"/>
          <w:lang w:val="pt-BR"/>
        </w:rPr>
        <w:t xml:space="preserve"> com o controle </w:t>
      </w:r>
      <w:r w:rsidRPr="002F50BD">
        <w:rPr>
          <w:rFonts w:ascii="Verdana" w:hAnsi="Verdana"/>
          <w:sz w:val="20"/>
          <w:lang w:val="pt-BR"/>
        </w:rPr>
        <w:t xml:space="preserve">de </w:t>
      </w:r>
      <w:r w:rsidR="00DB51F0" w:rsidRPr="002F50BD">
        <w:rPr>
          <w:rFonts w:ascii="Verdana" w:hAnsi="Verdana"/>
          <w:sz w:val="20"/>
          <w:lang w:val="pt-BR"/>
        </w:rPr>
        <w:t xml:space="preserve">seu </w:t>
      </w:r>
      <w:r w:rsidR="00DB51F0" w:rsidRPr="002F50BD">
        <w:rPr>
          <w:rFonts w:ascii="Verdana" w:hAnsi="Verdana"/>
          <w:i/>
          <w:sz w:val="20"/>
          <w:lang w:val="pt-BR"/>
        </w:rPr>
        <w:t>habitat</w:t>
      </w:r>
      <w:r w:rsidRPr="002F50BD">
        <w:rPr>
          <w:rFonts w:ascii="Verdana" w:hAnsi="Verdana"/>
          <w:sz w:val="20"/>
          <w:lang w:val="pt-BR"/>
        </w:rPr>
        <w:t xml:space="preserve"> como</w:t>
      </w:r>
      <w:r w:rsidR="0089298C" w:rsidRPr="002F50BD">
        <w:rPr>
          <w:rFonts w:ascii="Verdana" w:hAnsi="Verdana"/>
          <w:sz w:val="20"/>
          <w:lang w:val="pt-BR"/>
        </w:rPr>
        <w:t xml:space="preserve"> uma </w:t>
      </w:r>
      <w:r w:rsidRPr="002F50BD">
        <w:rPr>
          <w:rFonts w:ascii="Verdana" w:hAnsi="Verdana"/>
          <w:sz w:val="20"/>
          <w:lang w:val="pt-BR"/>
        </w:rPr>
        <w:t>condi</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necessári</w:t>
      </w:r>
      <w:r w:rsidRPr="002F50BD">
        <w:rPr>
          <w:rFonts w:ascii="Verdana" w:hAnsi="Verdana"/>
          <w:sz w:val="20"/>
          <w:lang w:val="pt-BR"/>
        </w:rPr>
        <w:t>a para</w:t>
      </w:r>
      <w:r w:rsidR="0089298C" w:rsidRPr="002F50BD">
        <w:rPr>
          <w:rFonts w:ascii="Verdana" w:hAnsi="Verdana"/>
          <w:sz w:val="20"/>
          <w:lang w:val="pt-BR"/>
        </w:rPr>
        <w:t xml:space="preserve"> a </w:t>
      </w:r>
      <w:r w:rsidRPr="002F50BD">
        <w:rPr>
          <w:rFonts w:ascii="Verdana" w:hAnsi="Verdana"/>
          <w:sz w:val="20"/>
          <w:lang w:val="pt-BR"/>
        </w:rPr>
        <w:t>re</w:t>
      </w:r>
      <w:r w:rsidR="0089298C" w:rsidRPr="002F50BD">
        <w:rPr>
          <w:rFonts w:ascii="Verdana" w:hAnsi="Verdana"/>
          <w:sz w:val="20"/>
          <w:lang w:val="pt-BR"/>
        </w:rPr>
        <w:t>produção</w:t>
      </w:r>
      <w:r w:rsidRPr="002F50BD">
        <w:rPr>
          <w:rFonts w:ascii="Verdana" w:hAnsi="Verdana"/>
          <w:sz w:val="20"/>
          <w:lang w:val="pt-BR"/>
        </w:rPr>
        <w:t xml:space="preserve"> de </w:t>
      </w:r>
      <w:r w:rsidR="005A6BC7" w:rsidRPr="002F50BD">
        <w:rPr>
          <w:rFonts w:ascii="Verdana" w:hAnsi="Verdana"/>
          <w:sz w:val="20"/>
          <w:lang w:val="pt-BR"/>
        </w:rPr>
        <w:t>sua cultura</w:t>
      </w:r>
      <w:r w:rsidRPr="002F50BD">
        <w:rPr>
          <w:rFonts w:ascii="Verdana" w:hAnsi="Verdana"/>
          <w:sz w:val="20"/>
          <w:lang w:val="pt-BR"/>
        </w:rPr>
        <w:t>, para s</w:t>
      </w:r>
      <w:r w:rsidR="0023200A" w:rsidRPr="002F50BD">
        <w:rPr>
          <w:rFonts w:ascii="Verdana" w:hAnsi="Verdana"/>
          <w:sz w:val="20"/>
          <w:lang w:val="pt-BR"/>
        </w:rPr>
        <w:t>e</w:t>
      </w:r>
      <w:r w:rsidRPr="002F50BD">
        <w:rPr>
          <w:rFonts w:ascii="Verdana" w:hAnsi="Verdana"/>
          <w:sz w:val="20"/>
          <w:lang w:val="pt-BR"/>
        </w:rPr>
        <w:t xml:space="preserve">u </w:t>
      </w:r>
      <w:r w:rsidR="0089298C" w:rsidRPr="002F50BD">
        <w:rPr>
          <w:rFonts w:ascii="Verdana" w:hAnsi="Verdana"/>
          <w:sz w:val="20"/>
          <w:lang w:val="pt-BR"/>
        </w:rPr>
        <w:t>próprio</w:t>
      </w:r>
      <w:r w:rsidRPr="002F50BD">
        <w:rPr>
          <w:rFonts w:ascii="Verdana" w:hAnsi="Verdana"/>
          <w:sz w:val="20"/>
          <w:lang w:val="pt-BR"/>
        </w:rPr>
        <w:t xml:space="preserve"> </w:t>
      </w:r>
      <w:r w:rsidR="0089298C" w:rsidRPr="002F50BD">
        <w:rPr>
          <w:rFonts w:ascii="Verdana" w:hAnsi="Verdana"/>
          <w:sz w:val="20"/>
          <w:lang w:val="pt-BR"/>
        </w:rPr>
        <w:t xml:space="preserve">desenvolvimento e </w:t>
      </w:r>
      <w:r w:rsidRPr="002F50BD">
        <w:rPr>
          <w:rFonts w:ascii="Verdana" w:hAnsi="Verdana"/>
          <w:sz w:val="20"/>
          <w:lang w:val="pt-BR"/>
        </w:rPr>
        <w:t>para</w:t>
      </w:r>
      <w:r w:rsidR="0089298C" w:rsidRPr="002F50BD">
        <w:rPr>
          <w:rFonts w:ascii="Verdana" w:hAnsi="Verdana"/>
          <w:sz w:val="20"/>
          <w:lang w:val="pt-BR"/>
        </w:rPr>
        <w:t xml:space="preserve"> lev</w:t>
      </w:r>
      <w:r w:rsidRPr="002F50BD">
        <w:rPr>
          <w:rFonts w:ascii="Verdana" w:hAnsi="Verdana"/>
          <w:sz w:val="20"/>
          <w:lang w:val="pt-BR"/>
        </w:rPr>
        <w:t>ar a cabo s</w:t>
      </w:r>
      <w:r w:rsidR="0023200A" w:rsidRPr="002F50BD">
        <w:rPr>
          <w:rFonts w:ascii="Verdana" w:hAnsi="Verdana"/>
          <w:sz w:val="20"/>
          <w:lang w:val="pt-BR"/>
        </w:rPr>
        <w:t>e</w:t>
      </w:r>
      <w:r w:rsidRPr="002F50BD">
        <w:rPr>
          <w:rFonts w:ascii="Verdana" w:hAnsi="Verdana"/>
          <w:sz w:val="20"/>
          <w:lang w:val="pt-BR"/>
        </w:rPr>
        <w:t xml:space="preserve">us </w:t>
      </w:r>
      <w:r w:rsidR="00AB454A" w:rsidRPr="002F50BD">
        <w:rPr>
          <w:rFonts w:ascii="Verdana" w:hAnsi="Verdana"/>
          <w:sz w:val="20"/>
          <w:lang w:val="pt-BR"/>
        </w:rPr>
        <w:t>planos</w:t>
      </w:r>
      <w:r w:rsidRPr="002F50BD">
        <w:rPr>
          <w:rFonts w:ascii="Verdana" w:hAnsi="Verdana"/>
          <w:sz w:val="20"/>
          <w:lang w:val="pt-BR"/>
        </w:rPr>
        <w:t xml:space="preserve"> de vida</w:t>
      </w:r>
      <w:r w:rsidR="00BE346D" w:rsidRPr="002F50BD">
        <w:rPr>
          <w:rFonts w:ascii="Verdana" w:hAnsi="Verdana"/>
          <w:sz w:val="20"/>
          <w:lang w:val="pt-BR"/>
        </w:rPr>
        <w:t xml:space="preserve">. A </w:t>
      </w:r>
      <w:r w:rsidR="0089298C" w:rsidRPr="002F50BD">
        <w:rPr>
          <w:rFonts w:ascii="Verdana" w:hAnsi="Verdana"/>
          <w:sz w:val="20"/>
          <w:lang w:val="pt-BR"/>
        </w:rPr>
        <w:t>propriedade</w:t>
      </w:r>
      <w:r w:rsidRPr="002F50BD">
        <w:rPr>
          <w:rFonts w:ascii="Verdana" w:hAnsi="Verdana"/>
          <w:sz w:val="20"/>
          <w:lang w:val="pt-BR"/>
        </w:rPr>
        <w:t xml:space="preserve"> sobre</w:t>
      </w:r>
      <w:r w:rsidR="0089298C" w:rsidRPr="002F50BD">
        <w:rPr>
          <w:rFonts w:ascii="Verdana" w:hAnsi="Verdana"/>
          <w:sz w:val="20"/>
          <w:lang w:val="pt-BR"/>
        </w:rPr>
        <w:t xml:space="preserve"> a terra</w:t>
      </w:r>
      <w:r w:rsidRPr="002F50BD">
        <w:rPr>
          <w:rFonts w:ascii="Verdana" w:hAnsi="Verdana"/>
          <w:sz w:val="20"/>
          <w:lang w:val="pt-BR"/>
        </w:rPr>
        <w:t xml:space="preserve"> </w:t>
      </w:r>
      <w:r w:rsidR="00AB454A" w:rsidRPr="002F50BD">
        <w:rPr>
          <w:rFonts w:ascii="Verdana" w:hAnsi="Verdana"/>
          <w:sz w:val="20"/>
          <w:lang w:val="pt-BR"/>
        </w:rPr>
        <w:t>garante</w:t>
      </w:r>
      <w:r w:rsidRPr="002F50BD">
        <w:rPr>
          <w:rFonts w:ascii="Verdana" w:hAnsi="Verdana"/>
          <w:sz w:val="20"/>
          <w:lang w:val="pt-BR"/>
        </w:rPr>
        <w:t xml:space="preserve"> que</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das </w:t>
      </w:r>
      <w:r w:rsidR="0023200A" w:rsidRPr="002F50BD">
        <w:rPr>
          <w:rFonts w:ascii="Verdana" w:hAnsi="Verdana"/>
          <w:sz w:val="20"/>
          <w:lang w:val="pt-BR"/>
        </w:rPr>
        <w:t xml:space="preserve">comunidades indígenas conservem seu </w:t>
      </w:r>
      <w:r w:rsidR="004076AD" w:rsidRPr="002F50BD">
        <w:rPr>
          <w:rFonts w:ascii="Verdana" w:hAnsi="Verdana"/>
          <w:sz w:val="20"/>
          <w:lang w:val="pt-BR"/>
        </w:rPr>
        <w:t>patrimônio</w:t>
      </w:r>
      <w:r w:rsidRPr="002F50BD">
        <w:rPr>
          <w:rFonts w:ascii="Verdana" w:hAnsi="Verdana"/>
          <w:sz w:val="20"/>
          <w:lang w:val="pt-BR"/>
        </w:rPr>
        <w:t xml:space="preserve"> cultural.</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A</w:t>
      </w:r>
      <w:r w:rsidR="0023200A" w:rsidRPr="002F50BD">
        <w:rPr>
          <w:rFonts w:ascii="Verdana" w:hAnsi="Verdana"/>
          <w:sz w:val="20"/>
          <w:lang w:val="pt-BR"/>
        </w:rPr>
        <w:t xml:space="preserve">o </w:t>
      </w:r>
      <w:r w:rsidRPr="002F50BD">
        <w:rPr>
          <w:rFonts w:ascii="Verdana" w:hAnsi="Verdana"/>
          <w:sz w:val="20"/>
          <w:lang w:val="pt-BR"/>
        </w:rPr>
        <w:t>des</w:t>
      </w:r>
      <w:r w:rsidR="0089298C" w:rsidRPr="002F50BD">
        <w:rPr>
          <w:rFonts w:ascii="Verdana" w:hAnsi="Verdana"/>
          <w:sz w:val="20"/>
          <w:lang w:val="pt-BR"/>
        </w:rPr>
        <w:t>conhecer o direito</w:t>
      </w:r>
      <w:r w:rsidRPr="002F50BD">
        <w:rPr>
          <w:rFonts w:ascii="Verdana" w:hAnsi="Verdana"/>
          <w:sz w:val="20"/>
          <w:lang w:val="pt-BR"/>
        </w:rPr>
        <w:t xml:space="preserve"> ancestral</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das </w:t>
      </w:r>
      <w:r w:rsidRPr="002F50BD">
        <w:rPr>
          <w:rFonts w:ascii="Verdana" w:hAnsi="Verdana"/>
          <w:sz w:val="20"/>
          <w:lang w:val="pt-BR"/>
        </w:rPr>
        <w:t xml:space="preserve">comunidades indígenas sobre </w:t>
      </w:r>
      <w:r w:rsidR="00385366" w:rsidRPr="002F50BD">
        <w:rPr>
          <w:rFonts w:ascii="Verdana" w:hAnsi="Verdana"/>
          <w:sz w:val="20"/>
          <w:lang w:val="pt-BR"/>
        </w:rPr>
        <w:t>seus territórios</w:t>
      </w:r>
      <w:r w:rsidRPr="002F50BD">
        <w:rPr>
          <w:rFonts w:ascii="Verdana" w:hAnsi="Verdana"/>
          <w:sz w:val="20"/>
          <w:lang w:val="pt-BR"/>
        </w:rPr>
        <w:t xml:space="preserve">, </w:t>
      </w:r>
      <w:r w:rsidR="0089298C" w:rsidRPr="002F50BD">
        <w:rPr>
          <w:rFonts w:ascii="Verdana" w:hAnsi="Verdana"/>
          <w:sz w:val="20"/>
          <w:lang w:val="pt-BR"/>
        </w:rPr>
        <w:t>poder</w:t>
      </w:r>
      <w:r w:rsidR="00C44CE3" w:rsidRPr="002F50BD">
        <w:rPr>
          <w:rFonts w:ascii="Verdana" w:hAnsi="Verdana"/>
          <w:sz w:val="20"/>
          <w:lang w:val="pt-BR"/>
        </w:rPr>
        <w:t>-se-</w:t>
      </w:r>
      <w:r w:rsidR="0089298C" w:rsidRPr="002F50BD">
        <w:rPr>
          <w:rFonts w:ascii="Verdana" w:hAnsi="Verdana"/>
          <w:sz w:val="20"/>
          <w:lang w:val="pt-BR"/>
        </w:rPr>
        <w:t>ia</w:t>
      </w:r>
      <w:r w:rsidRPr="002F50BD">
        <w:rPr>
          <w:rFonts w:ascii="Verdana" w:hAnsi="Verdana"/>
          <w:sz w:val="20"/>
          <w:lang w:val="pt-BR"/>
        </w:rPr>
        <w:t xml:space="preserve"> estar </w:t>
      </w:r>
      <w:r w:rsidR="0089298C" w:rsidRPr="002F50BD">
        <w:rPr>
          <w:rFonts w:ascii="Verdana" w:hAnsi="Verdana"/>
          <w:sz w:val="20"/>
          <w:lang w:val="pt-BR"/>
        </w:rPr>
        <w:t>afeta</w:t>
      </w:r>
      <w:r w:rsidRPr="002F50BD">
        <w:rPr>
          <w:rFonts w:ascii="Verdana" w:hAnsi="Verdana"/>
          <w:sz w:val="20"/>
          <w:lang w:val="pt-BR"/>
        </w:rPr>
        <w:t xml:space="preserve">ndo </w:t>
      </w:r>
      <w:r w:rsidR="0089298C" w:rsidRPr="002F50BD">
        <w:rPr>
          <w:rFonts w:ascii="Verdana" w:hAnsi="Verdana"/>
          <w:sz w:val="20"/>
          <w:lang w:val="pt-BR"/>
        </w:rPr>
        <w:t>outros</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s básicos, como</w:t>
      </w:r>
      <w:r w:rsidR="0089298C" w:rsidRPr="002F50BD">
        <w:rPr>
          <w:rFonts w:ascii="Verdana" w:hAnsi="Verdana"/>
          <w:sz w:val="20"/>
          <w:lang w:val="pt-BR"/>
        </w:rPr>
        <w:t xml:space="preserve"> o direito à identidade </w:t>
      </w:r>
      <w:r w:rsidRPr="002F50BD">
        <w:rPr>
          <w:rFonts w:ascii="Verdana" w:hAnsi="Verdana"/>
          <w:sz w:val="20"/>
          <w:lang w:val="pt-BR"/>
        </w:rPr>
        <w:t>cultural</w:t>
      </w:r>
      <w:r w:rsidR="0089298C" w:rsidRPr="002F50BD">
        <w:rPr>
          <w:rFonts w:ascii="Verdana" w:hAnsi="Verdana"/>
          <w:sz w:val="20"/>
          <w:lang w:val="pt-BR"/>
        </w:rPr>
        <w:t xml:space="preserve"> e a </w:t>
      </w:r>
      <w:r w:rsidR="0023200A" w:rsidRPr="002F50BD">
        <w:rPr>
          <w:rFonts w:ascii="Verdana" w:hAnsi="Verdana"/>
          <w:sz w:val="20"/>
          <w:lang w:val="pt-BR"/>
        </w:rPr>
        <w:t xml:space="preserve">própria </w:t>
      </w:r>
      <w:r w:rsidR="004076AD" w:rsidRPr="002F50BD">
        <w:rPr>
          <w:rFonts w:ascii="Verdana" w:hAnsi="Verdana"/>
          <w:sz w:val="20"/>
          <w:lang w:val="pt-BR"/>
        </w:rPr>
        <w:t>sobrevivência</w:t>
      </w:r>
      <w:r w:rsidRPr="002F50BD">
        <w:rPr>
          <w:rFonts w:ascii="Verdana" w:hAnsi="Verdana"/>
          <w:sz w:val="20"/>
          <w:lang w:val="pt-BR"/>
        </w:rPr>
        <w:t xml:space="preserve"> </w:t>
      </w:r>
      <w:r w:rsidR="0089298C" w:rsidRPr="002F50BD">
        <w:rPr>
          <w:rFonts w:ascii="Verdana" w:hAnsi="Verdana"/>
          <w:sz w:val="20"/>
          <w:lang w:val="pt-BR"/>
        </w:rPr>
        <w:t xml:space="preserve">das </w:t>
      </w:r>
      <w:r w:rsidRPr="002F50BD">
        <w:rPr>
          <w:rFonts w:ascii="Verdana" w:hAnsi="Verdana"/>
          <w:sz w:val="20"/>
          <w:lang w:val="pt-BR"/>
        </w:rPr>
        <w:t>comunidades indígenas</w:t>
      </w:r>
      <w:r w:rsidR="0089298C" w:rsidRPr="002F50BD">
        <w:rPr>
          <w:rFonts w:ascii="Verdana" w:hAnsi="Verdana"/>
          <w:sz w:val="20"/>
          <w:lang w:val="pt-BR"/>
        </w:rPr>
        <w:t xml:space="preserve"> e </w:t>
      </w:r>
      <w:r w:rsidR="0023200A"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23200A">
      <w:pPr>
        <w:numPr>
          <w:ilvl w:val="0"/>
          <w:numId w:val="28"/>
        </w:numPr>
        <w:jc w:val="both"/>
        <w:rPr>
          <w:rFonts w:ascii="Verdana" w:hAnsi="Verdana"/>
          <w:sz w:val="20"/>
          <w:lang w:val="pt-BR"/>
        </w:rPr>
      </w:pPr>
      <w:r w:rsidRPr="002F50BD">
        <w:rPr>
          <w:rFonts w:ascii="Verdana" w:hAnsi="Verdana"/>
          <w:sz w:val="20"/>
          <w:lang w:val="pt-BR"/>
        </w:rPr>
        <w:t>A</w:t>
      </w:r>
      <w:r w:rsidR="0089298C" w:rsidRPr="002F50BD">
        <w:rPr>
          <w:rFonts w:ascii="Verdana" w:hAnsi="Verdana"/>
          <w:sz w:val="20"/>
          <w:lang w:val="pt-BR"/>
        </w:rPr>
        <w:t xml:space="preserve">o </w:t>
      </w:r>
      <w:r w:rsidR="004076AD" w:rsidRPr="002F50BD">
        <w:rPr>
          <w:rFonts w:ascii="Verdana" w:hAnsi="Verdana"/>
          <w:sz w:val="20"/>
          <w:lang w:val="pt-BR"/>
        </w:rPr>
        <w:t>contrário,</w:t>
      </w:r>
      <w:r w:rsidR="0089298C" w:rsidRPr="002F50BD">
        <w:rPr>
          <w:rFonts w:ascii="Verdana" w:hAnsi="Verdana"/>
          <w:sz w:val="20"/>
          <w:lang w:val="pt-BR"/>
        </w:rPr>
        <w:t xml:space="preserve"> a restrição</w:t>
      </w:r>
      <w:r w:rsidR="004756C1" w:rsidRPr="002F50BD">
        <w:rPr>
          <w:rFonts w:ascii="Verdana" w:hAnsi="Verdana"/>
          <w:sz w:val="20"/>
          <w:lang w:val="pt-BR"/>
        </w:rPr>
        <w:t xml:space="preserve"> que se </w:t>
      </w:r>
      <w:r w:rsidR="0089298C" w:rsidRPr="002F50BD">
        <w:rPr>
          <w:rFonts w:ascii="Verdana" w:hAnsi="Verdana"/>
          <w:sz w:val="20"/>
          <w:lang w:val="pt-BR"/>
        </w:rPr>
        <w:t>faça ao direito à propriedade</w:t>
      </w:r>
      <w:r w:rsidR="004756C1" w:rsidRPr="002F50BD">
        <w:rPr>
          <w:rFonts w:ascii="Verdana" w:hAnsi="Verdana"/>
          <w:sz w:val="20"/>
          <w:lang w:val="pt-BR"/>
        </w:rPr>
        <w:t xml:space="preserve"> privada de particulares </w:t>
      </w:r>
      <w:r w:rsidRPr="002F50BD">
        <w:rPr>
          <w:rFonts w:ascii="Verdana" w:hAnsi="Verdana"/>
          <w:sz w:val="20"/>
          <w:lang w:val="pt-BR"/>
        </w:rPr>
        <w:t xml:space="preserve">pode </w:t>
      </w:r>
      <w:r w:rsidR="004756C1" w:rsidRPr="002F50BD">
        <w:rPr>
          <w:rFonts w:ascii="Verdana" w:hAnsi="Verdana"/>
          <w:sz w:val="20"/>
          <w:lang w:val="pt-BR"/>
        </w:rPr>
        <w:t xml:space="preserve">ser </w:t>
      </w:r>
      <w:r w:rsidR="0089298C" w:rsidRPr="002F50BD">
        <w:rPr>
          <w:rFonts w:ascii="Verdana" w:hAnsi="Verdana"/>
          <w:sz w:val="20"/>
          <w:lang w:val="pt-BR"/>
        </w:rPr>
        <w:t>necessári</w:t>
      </w:r>
      <w:r w:rsidR="004756C1" w:rsidRPr="002F50BD">
        <w:rPr>
          <w:rFonts w:ascii="Verdana" w:hAnsi="Verdana"/>
          <w:sz w:val="20"/>
          <w:lang w:val="pt-BR"/>
        </w:rPr>
        <w:t xml:space="preserve">a para </w:t>
      </w:r>
      <w:r w:rsidRPr="002F50BD">
        <w:rPr>
          <w:rFonts w:ascii="Verdana" w:hAnsi="Verdana"/>
          <w:sz w:val="20"/>
          <w:lang w:val="pt-BR"/>
        </w:rPr>
        <w:t xml:space="preserve">alcançar </w:t>
      </w:r>
      <w:r w:rsidR="0089298C" w:rsidRPr="002F50BD">
        <w:rPr>
          <w:rFonts w:ascii="Verdana" w:hAnsi="Verdana"/>
          <w:sz w:val="20"/>
          <w:lang w:val="pt-BR"/>
        </w:rPr>
        <w:t xml:space="preserve">o </w:t>
      </w:r>
      <w:r w:rsidR="004756C1" w:rsidRPr="002F50BD">
        <w:rPr>
          <w:rFonts w:ascii="Verdana" w:hAnsi="Verdana"/>
          <w:sz w:val="20"/>
          <w:lang w:val="pt-BR"/>
        </w:rPr>
        <w:t xml:space="preserve">objetivo </w:t>
      </w:r>
      <w:r w:rsidR="0089298C" w:rsidRPr="002F50BD">
        <w:rPr>
          <w:rFonts w:ascii="Verdana" w:hAnsi="Verdana"/>
          <w:sz w:val="20"/>
          <w:lang w:val="pt-BR"/>
        </w:rPr>
        <w:t>coletiv</w:t>
      </w:r>
      <w:r w:rsidR="004756C1" w:rsidRPr="002F50BD">
        <w:rPr>
          <w:rFonts w:ascii="Verdana" w:hAnsi="Verdana"/>
          <w:sz w:val="20"/>
          <w:lang w:val="pt-BR"/>
        </w:rPr>
        <w:t>o de preservar</w:t>
      </w:r>
      <w:r w:rsidR="0089298C" w:rsidRPr="002F50BD">
        <w:rPr>
          <w:rFonts w:ascii="Verdana" w:hAnsi="Verdana"/>
          <w:sz w:val="20"/>
          <w:lang w:val="pt-BR"/>
        </w:rPr>
        <w:t xml:space="preserve"> as </w:t>
      </w:r>
      <w:r w:rsidR="004756C1" w:rsidRPr="002F50BD">
        <w:rPr>
          <w:rFonts w:ascii="Verdana" w:hAnsi="Verdana"/>
          <w:sz w:val="20"/>
          <w:lang w:val="pt-BR"/>
        </w:rPr>
        <w:t xml:space="preserve">identidades </w:t>
      </w:r>
      <w:r w:rsidR="0089298C" w:rsidRPr="002F50BD">
        <w:rPr>
          <w:rFonts w:ascii="Verdana" w:hAnsi="Verdana"/>
          <w:sz w:val="20"/>
          <w:lang w:val="pt-BR"/>
        </w:rPr>
        <w:t xml:space="preserve">culturais em uma sociedade </w:t>
      </w:r>
      <w:r w:rsidR="004756C1" w:rsidRPr="002F50BD">
        <w:rPr>
          <w:rFonts w:ascii="Verdana" w:hAnsi="Verdana"/>
          <w:sz w:val="20"/>
          <w:lang w:val="pt-BR"/>
        </w:rPr>
        <w:t>democrática</w:t>
      </w:r>
      <w:r w:rsidR="0089298C" w:rsidRPr="002F50BD">
        <w:rPr>
          <w:rFonts w:ascii="Verdana" w:hAnsi="Verdana"/>
          <w:sz w:val="20"/>
          <w:lang w:val="pt-BR"/>
        </w:rPr>
        <w:t xml:space="preserve"> e </w:t>
      </w:r>
      <w:r w:rsidR="004756C1" w:rsidRPr="002F50BD">
        <w:rPr>
          <w:rFonts w:ascii="Verdana" w:hAnsi="Verdana"/>
          <w:sz w:val="20"/>
          <w:lang w:val="pt-BR"/>
        </w:rPr>
        <w:t>pluralista</w:t>
      </w:r>
      <w:r w:rsidR="0089298C" w:rsidRPr="002F50BD">
        <w:rPr>
          <w:rFonts w:ascii="Verdana" w:hAnsi="Verdana"/>
          <w:sz w:val="20"/>
          <w:lang w:val="pt-BR"/>
        </w:rPr>
        <w:t xml:space="preserve"> no </w:t>
      </w:r>
      <w:r w:rsidR="004756C1" w:rsidRPr="002F50BD">
        <w:rPr>
          <w:rFonts w:ascii="Verdana" w:hAnsi="Verdana"/>
          <w:sz w:val="20"/>
          <w:lang w:val="pt-BR"/>
        </w:rPr>
        <w:t>sentido</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e</w:t>
      </w:r>
      <w:r w:rsidR="004756C1" w:rsidRPr="002F50BD">
        <w:rPr>
          <w:rFonts w:ascii="Verdana" w:hAnsi="Verdana"/>
          <w:sz w:val="20"/>
          <w:lang w:val="pt-BR"/>
        </w:rPr>
        <w:t xml:space="preserve"> proporcional,</w:t>
      </w:r>
      <w:r w:rsidR="0089298C" w:rsidRPr="002F50BD">
        <w:rPr>
          <w:rFonts w:ascii="Verdana" w:hAnsi="Verdana"/>
          <w:sz w:val="20"/>
          <w:lang w:val="pt-BR"/>
        </w:rPr>
        <w:t xml:space="preserve"> </w:t>
      </w:r>
      <w:r w:rsidRPr="002F50BD">
        <w:rPr>
          <w:rFonts w:ascii="Verdana" w:hAnsi="Verdana"/>
          <w:sz w:val="20"/>
          <w:lang w:val="pt-BR"/>
        </w:rPr>
        <w:t xml:space="preserve">caso seja feito </w:t>
      </w:r>
      <w:r w:rsidR="0089298C" w:rsidRPr="002F50BD">
        <w:rPr>
          <w:rFonts w:ascii="Verdana" w:hAnsi="Verdana"/>
          <w:sz w:val="20"/>
          <w:lang w:val="pt-BR"/>
        </w:rPr>
        <w:t>o pagamento</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 xml:space="preserve">justa </w:t>
      </w:r>
      <w:r w:rsidR="0089298C" w:rsidRPr="002F50BD">
        <w:rPr>
          <w:rFonts w:ascii="Verdana" w:hAnsi="Verdana"/>
          <w:sz w:val="20"/>
          <w:lang w:val="pt-BR"/>
        </w:rPr>
        <w:t xml:space="preserve">indenização aos </w:t>
      </w:r>
      <w:r w:rsidR="004756C1" w:rsidRPr="002F50BD">
        <w:rPr>
          <w:rFonts w:ascii="Verdana" w:hAnsi="Verdana"/>
          <w:sz w:val="20"/>
          <w:lang w:val="pt-BR"/>
        </w:rPr>
        <w:t>p</w:t>
      </w:r>
      <w:r w:rsidRPr="002F50BD">
        <w:rPr>
          <w:rFonts w:ascii="Verdana" w:hAnsi="Verdana"/>
          <w:sz w:val="20"/>
          <w:lang w:val="pt-BR"/>
        </w:rPr>
        <w:t>r</w:t>
      </w:r>
      <w:r w:rsidR="004756C1" w:rsidRPr="002F50BD">
        <w:rPr>
          <w:rFonts w:ascii="Verdana" w:hAnsi="Verdana"/>
          <w:sz w:val="20"/>
          <w:lang w:val="pt-BR"/>
        </w:rPr>
        <w:t xml:space="preserve">ejudicados, </w:t>
      </w:r>
      <w:r w:rsidR="0089298C" w:rsidRPr="002F50BD">
        <w:rPr>
          <w:rFonts w:ascii="Verdana" w:hAnsi="Verdana"/>
          <w:sz w:val="20"/>
          <w:lang w:val="pt-BR"/>
        </w:rPr>
        <w:t>de acordo com o artigo</w:t>
      </w:r>
      <w:r w:rsidR="004756C1" w:rsidRPr="002F50BD">
        <w:rPr>
          <w:rFonts w:ascii="Verdana" w:hAnsi="Verdana"/>
          <w:sz w:val="20"/>
          <w:lang w:val="pt-BR"/>
        </w:rPr>
        <w:t xml:space="preserve"> </w:t>
      </w:r>
      <w:r w:rsidR="00063B47" w:rsidRPr="002F50BD">
        <w:rPr>
          <w:rFonts w:ascii="Verdana" w:hAnsi="Verdana"/>
          <w:sz w:val="20"/>
          <w:lang w:val="pt-BR"/>
        </w:rPr>
        <w:t>21</w:t>
      </w:r>
      <w:r w:rsidR="004756C1" w:rsidRPr="002F50BD">
        <w:rPr>
          <w:rFonts w:ascii="Verdana" w:hAnsi="Verdana"/>
          <w:sz w:val="20"/>
          <w:lang w:val="pt-BR"/>
        </w:rPr>
        <w:t>.</w:t>
      </w:r>
      <w:r w:rsidR="00063B47" w:rsidRPr="002F50BD">
        <w:rPr>
          <w:rFonts w:ascii="Verdana" w:hAnsi="Verdana"/>
          <w:sz w:val="20"/>
          <w:lang w:val="pt-BR"/>
        </w:rPr>
        <w:t>2</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23200A">
      <w:pPr>
        <w:numPr>
          <w:ilvl w:val="0"/>
          <w:numId w:val="28"/>
        </w:numPr>
        <w:jc w:val="both"/>
        <w:rPr>
          <w:rFonts w:ascii="Verdana" w:hAnsi="Verdana"/>
          <w:sz w:val="20"/>
          <w:lang w:val="pt-BR"/>
        </w:rPr>
      </w:pPr>
      <w:r w:rsidRPr="002F50BD">
        <w:rPr>
          <w:rFonts w:ascii="Verdana" w:hAnsi="Verdana"/>
          <w:sz w:val="20"/>
          <w:lang w:val="pt-BR"/>
        </w:rPr>
        <w:t xml:space="preserve">Isto não </w:t>
      </w:r>
      <w:r w:rsidR="004756C1" w:rsidRPr="002F50BD">
        <w:rPr>
          <w:rFonts w:ascii="Verdana" w:hAnsi="Verdana"/>
          <w:sz w:val="20"/>
          <w:lang w:val="pt-BR"/>
        </w:rPr>
        <w:t>significa que</w:t>
      </w:r>
      <w:r w:rsidR="00C44CE3"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sempre</w:t>
      </w:r>
      <w:r w:rsidR="004756C1" w:rsidRPr="002F50BD">
        <w:rPr>
          <w:rFonts w:ascii="Verdana" w:hAnsi="Verdana"/>
          <w:sz w:val="20"/>
          <w:lang w:val="pt-BR"/>
        </w:rPr>
        <w:t xml:space="preserve"> que est</w:t>
      </w:r>
      <w:r w:rsidRPr="002F50BD">
        <w:rPr>
          <w:rFonts w:ascii="Verdana" w:hAnsi="Verdana"/>
          <w:sz w:val="20"/>
          <w:lang w:val="pt-BR"/>
        </w:rPr>
        <w:t>ejam</w:t>
      </w:r>
      <w:r w:rsidR="0089298C" w:rsidRPr="002F50BD">
        <w:rPr>
          <w:rFonts w:ascii="Verdana" w:hAnsi="Verdana"/>
          <w:sz w:val="20"/>
          <w:lang w:val="pt-BR"/>
        </w:rPr>
        <w:t xml:space="preserve"> em conflito os interesses</w:t>
      </w:r>
      <w:r w:rsidR="004756C1" w:rsidRPr="002F50BD">
        <w:rPr>
          <w:rFonts w:ascii="Verdana" w:hAnsi="Verdana"/>
          <w:sz w:val="20"/>
          <w:lang w:val="pt-BR"/>
        </w:rPr>
        <w:t xml:space="preserve"> </w:t>
      </w:r>
      <w:r w:rsidR="00AB454A" w:rsidRPr="002F50BD">
        <w:rPr>
          <w:rFonts w:ascii="Verdana" w:hAnsi="Verdana"/>
          <w:sz w:val="20"/>
          <w:lang w:val="pt-BR"/>
        </w:rPr>
        <w:t>territoriais</w:t>
      </w:r>
      <w:r w:rsidR="004756C1" w:rsidRPr="002F50BD">
        <w:rPr>
          <w:rFonts w:ascii="Verdana" w:hAnsi="Verdana"/>
          <w:sz w:val="20"/>
          <w:lang w:val="pt-BR"/>
        </w:rPr>
        <w:t xml:space="preserve"> particulares o</w:t>
      </w:r>
      <w:r w:rsidRPr="002F50BD">
        <w:rPr>
          <w:rFonts w:ascii="Verdana" w:hAnsi="Verdana"/>
          <w:sz w:val="20"/>
          <w:lang w:val="pt-BR"/>
        </w:rPr>
        <w:t>u</w:t>
      </w:r>
      <w:r w:rsidR="004756C1" w:rsidRPr="002F50BD">
        <w:rPr>
          <w:rFonts w:ascii="Verdana" w:hAnsi="Verdana"/>
          <w:sz w:val="20"/>
          <w:lang w:val="pt-BR"/>
        </w:rPr>
        <w:t xml:space="preserve"> esta</w:t>
      </w:r>
      <w:r w:rsidR="0089298C" w:rsidRPr="002F50BD">
        <w:rPr>
          <w:rFonts w:ascii="Verdana" w:hAnsi="Verdana"/>
          <w:sz w:val="20"/>
          <w:lang w:val="pt-BR"/>
        </w:rPr>
        <w:t>tais e os interesses</w:t>
      </w:r>
      <w:r w:rsidR="004756C1" w:rsidRPr="002F50BD">
        <w:rPr>
          <w:rFonts w:ascii="Verdana" w:hAnsi="Verdana"/>
          <w:sz w:val="20"/>
          <w:lang w:val="pt-BR"/>
        </w:rPr>
        <w:t xml:space="preserve"> </w:t>
      </w:r>
      <w:r w:rsidR="00AB454A" w:rsidRPr="002F50BD">
        <w:rPr>
          <w:rFonts w:ascii="Verdana" w:hAnsi="Verdana"/>
          <w:sz w:val="20"/>
          <w:lang w:val="pt-BR"/>
        </w:rPr>
        <w:t>territoriais</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das </w:t>
      </w:r>
      <w:r w:rsidR="004756C1" w:rsidRPr="002F50BD">
        <w:rPr>
          <w:rFonts w:ascii="Verdana" w:hAnsi="Verdana"/>
          <w:sz w:val="20"/>
          <w:lang w:val="pt-BR"/>
        </w:rPr>
        <w:t>comunidades indígenas, prevale</w:t>
      </w:r>
      <w:r w:rsidRPr="002F50BD">
        <w:rPr>
          <w:rFonts w:ascii="Verdana" w:hAnsi="Verdana"/>
          <w:sz w:val="20"/>
          <w:lang w:val="pt-BR"/>
        </w:rPr>
        <w:t>çam</w:t>
      </w:r>
      <w:r w:rsidR="0089298C" w:rsidRPr="002F50BD">
        <w:rPr>
          <w:rFonts w:ascii="Verdana" w:hAnsi="Verdana"/>
          <w:sz w:val="20"/>
          <w:lang w:val="pt-BR"/>
        </w:rPr>
        <w:t xml:space="preserve"> os </w:t>
      </w:r>
      <w:r w:rsidR="004756C1" w:rsidRPr="002F50BD">
        <w:rPr>
          <w:rFonts w:ascii="Verdana" w:hAnsi="Verdana"/>
          <w:sz w:val="20"/>
          <w:lang w:val="pt-BR"/>
        </w:rPr>
        <w:t>últimos sobre</w:t>
      </w:r>
      <w:r w:rsidR="0089298C" w:rsidRPr="002F50BD">
        <w:rPr>
          <w:rFonts w:ascii="Verdana" w:hAnsi="Verdana"/>
          <w:sz w:val="20"/>
          <w:lang w:val="pt-BR"/>
        </w:rPr>
        <w:t xml:space="preserve"> os primeiro</w:t>
      </w:r>
      <w:r w:rsidR="004756C1" w:rsidRPr="002F50BD">
        <w:rPr>
          <w:rFonts w:ascii="Verdana" w:hAnsi="Verdana"/>
          <w:sz w:val="20"/>
          <w:lang w:val="pt-BR"/>
        </w:rPr>
        <w:t xml:space="preserve">s. </w:t>
      </w:r>
      <w:r w:rsidR="0089298C" w:rsidRPr="002F50BD">
        <w:rPr>
          <w:rFonts w:ascii="Verdana" w:hAnsi="Verdana"/>
          <w:sz w:val="20"/>
          <w:lang w:val="pt-BR"/>
        </w:rPr>
        <w:t xml:space="preserve">Quando os </w:t>
      </w:r>
      <w:r w:rsidR="004756C1" w:rsidRPr="002F50BD">
        <w:rPr>
          <w:rFonts w:ascii="Verdana" w:hAnsi="Verdana"/>
          <w:sz w:val="20"/>
          <w:lang w:val="pt-BR"/>
        </w:rPr>
        <w:t xml:space="preserve">Estados </w:t>
      </w:r>
      <w:r w:rsidRPr="002F50BD">
        <w:rPr>
          <w:rFonts w:ascii="Verdana" w:hAnsi="Verdana"/>
          <w:sz w:val="20"/>
          <w:lang w:val="pt-BR"/>
        </w:rPr>
        <w:t xml:space="preserve">estiverem </w:t>
      </w:r>
      <w:r w:rsidR="0089298C" w:rsidRPr="002F50BD">
        <w:rPr>
          <w:rFonts w:ascii="Verdana" w:hAnsi="Verdana"/>
          <w:sz w:val="20"/>
          <w:lang w:val="pt-BR"/>
        </w:rPr>
        <w:t>impossibilitad</w:t>
      </w:r>
      <w:r w:rsidR="004756C1" w:rsidRPr="002F50BD">
        <w:rPr>
          <w:rFonts w:ascii="Verdana" w:hAnsi="Verdana"/>
          <w:sz w:val="20"/>
          <w:lang w:val="pt-BR"/>
        </w:rPr>
        <w:t xml:space="preserve">os, por </w:t>
      </w:r>
      <w:r w:rsidR="0089298C" w:rsidRPr="002F50BD">
        <w:rPr>
          <w:rFonts w:ascii="Verdana" w:hAnsi="Verdana"/>
          <w:sz w:val="20"/>
          <w:lang w:val="pt-BR"/>
        </w:rPr>
        <w:t>razões</w:t>
      </w:r>
      <w:r w:rsidR="004756C1" w:rsidRPr="002F50BD">
        <w:rPr>
          <w:rFonts w:ascii="Verdana" w:hAnsi="Verdana"/>
          <w:sz w:val="20"/>
          <w:lang w:val="pt-BR"/>
        </w:rPr>
        <w:t xml:space="preserve"> concretas</w:t>
      </w:r>
      <w:r w:rsidR="0089298C" w:rsidRPr="002F50BD">
        <w:rPr>
          <w:rFonts w:ascii="Verdana" w:hAnsi="Verdana"/>
          <w:sz w:val="20"/>
          <w:lang w:val="pt-BR"/>
        </w:rPr>
        <w:t xml:space="preserve"> e </w:t>
      </w:r>
      <w:r w:rsidR="004756C1" w:rsidRPr="002F50BD">
        <w:rPr>
          <w:rFonts w:ascii="Verdana" w:hAnsi="Verdana"/>
          <w:sz w:val="20"/>
          <w:lang w:val="pt-BR"/>
        </w:rPr>
        <w:t xml:space="preserve">justificadas, de </w:t>
      </w:r>
      <w:r w:rsidR="0089298C" w:rsidRPr="002F50BD">
        <w:rPr>
          <w:rFonts w:ascii="Verdana" w:hAnsi="Verdana"/>
          <w:sz w:val="20"/>
          <w:lang w:val="pt-BR"/>
        </w:rPr>
        <w:t>adot</w:t>
      </w:r>
      <w:r w:rsidR="004756C1" w:rsidRPr="002F50BD">
        <w:rPr>
          <w:rFonts w:ascii="Verdana" w:hAnsi="Verdana"/>
          <w:sz w:val="20"/>
          <w:lang w:val="pt-BR"/>
        </w:rPr>
        <w:t>ar medidas para devolver</w:t>
      </w:r>
      <w:r w:rsidR="0089298C" w:rsidRPr="002F50BD">
        <w:rPr>
          <w:rFonts w:ascii="Verdana" w:hAnsi="Verdana"/>
          <w:sz w:val="20"/>
          <w:lang w:val="pt-BR"/>
        </w:rPr>
        <w:t xml:space="preserve"> o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e os </w:t>
      </w:r>
      <w:r w:rsidR="004756C1" w:rsidRPr="002F50BD">
        <w:rPr>
          <w:rFonts w:ascii="Verdana" w:hAnsi="Verdana"/>
          <w:sz w:val="20"/>
          <w:lang w:val="pt-BR"/>
        </w:rPr>
        <w:t>recursos comuna</w:t>
      </w:r>
      <w:r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d</w:t>
      </w:r>
      <w:r w:rsidRPr="002F50BD">
        <w:rPr>
          <w:rFonts w:ascii="Verdana" w:hAnsi="Verdana"/>
          <w:sz w:val="20"/>
          <w:lang w:val="pt-BR"/>
        </w:rPr>
        <w:t xml:space="preserve">os povos </w:t>
      </w:r>
      <w:r w:rsidR="004756C1" w:rsidRPr="002F50BD">
        <w:rPr>
          <w:rFonts w:ascii="Verdana" w:hAnsi="Verdana"/>
          <w:sz w:val="20"/>
          <w:lang w:val="pt-BR"/>
        </w:rPr>
        <w:t>indígenas,</w:t>
      </w:r>
      <w:r w:rsidR="0089298C" w:rsidRPr="002F50BD">
        <w:rPr>
          <w:rFonts w:ascii="Verdana" w:hAnsi="Verdana"/>
          <w:sz w:val="20"/>
          <w:lang w:val="pt-BR"/>
        </w:rPr>
        <w:t xml:space="preserve"> a </w:t>
      </w:r>
      <w:r w:rsidR="004756C1" w:rsidRPr="002F50BD">
        <w:rPr>
          <w:rFonts w:ascii="Verdana" w:hAnsi="Verdana"/>
          <w:sz w:val="20"/>
          <w:lang w:val="pt-BR"/>
        </w:rPr>
        <w:t>compensa</w:t>
      </w:r>
      <w:r w:rsidR="0089298C" w:rsidRPr="002F50BD">
        <w:rPr>
          <w:rFonts w:ascii="Verdana" w:hAnsi="Verdana"/>
          <w:sz w:val="20"/>
          <w:lang w:val="pt-BR"/>
        </w:rPr>
        <w:t>ção</w:t>
      </w:r>
      <w:r w:rsidR="004756C1" w:rsidRPr="002F50BD">
        <w:rPr>
          <w:rFonts w:ascii="Verdana" w:hAnsi="Verdana"/>
          <w:sz w:val="20"/>
          <w:lang w:val="pt-BR"/>
        </w:rPr>
        <w:t xml:space="preserve"> que se </w:t>
      </w:r>
      <w:r w:rsidRPr="002F50BD">
        <w:rPr>
          <w:rFonts w:ascii="Verdana" w:hAnsi="Verdana"/>
          <w:sz w:val="20"/>
          <w:lang w:val="pt-BR"/>
        </w:rPr>
        <w:t xml:space="preserve">conceda </w:t>
      </w:r>
      <w:r w:rsidR="0089298C" w:rsidRPr="002F50BD">
        <w:rPr>
          <w:rFonts w:ascii="Verdana" w:hAnsi="Verdana"/>
          <w:sz w:val="20"/>
          <w:lang w:val="pt-BR"/>
        </w:rPr>
        <w:t xml:space="preserve">deve ter </w:t>
      </w:r>
      <w:r w:rsidR="004756C1" w:rsidRPr="002F50BD">
        <w:rPr>
          <w:rFonts w:ascii="Verdana" w:hAnsi="Verdana"/>
          <w:sz w:val="20"/>
          <w:lang w:val="pt-BR"/>
        </w:rPr>
        <w:t>como orienta</w:t>
      </w:r>
      <w:r w:rsidR="0089298C" w:rsidRPr="002F50BD">
        <w:rPr>
          <w:rFonts w:ascii="Verdana" w:hAnsi="Verdana"/>
          <w:sz w:val="20"/>
          <w:lang w:val="pt-BR"/>
        </w:rPr>
        <w:t>ção</w:t>
      </w:r>
      <w:r w:rsidR="004756C1" w:rsidRPr="002F50BD">
        <w:rPr>
          <w:rFonts w:ascii="Verdana" w:hAnsi="Verdana"/>
          <w:sz w:val="20"/>
          <w:lang w:val="pt-BR"/>
        </w:rPr>
        <w:t xml:space="preserve"> principal</w:t>
      </w:r>
      <w:r w:rsidR="0089298C" w:rsidRPr="002F50BD">
        <w:rPr>
          <w:rFonts w:ascii="Verdana" w:hAnsi="Verdana"/>
          <w:sz w:val="20"/>
          <w:lang w:val="pt-BR"/>
        </w:rPr>
        <w:t xml:space="preserve"> o </w:t>
      </w:r>
      <w:r w:rsidR="004756C1" w:rsidRPr="002F50BD">
        <w:rPr>
          <w:rFonts w:ascii="Verdana" w:hAnsi="Verdana"/>
          <w:sz w:val="20"/>
          <w:lang w:val="pt-BR"/>
        </w:rPr>
        <w:t xml:space="preserve">significado que </w:t>
      </w:r>
      <w:r w:rsidR="00FC6B22" w:rsidRPr="002F50BD">
        <w:rPr>
          <w:rFonts w:ascii="Verdana" w:hAnsi="Verdana"/>
          <w:sz w:val="20"/>
          <w:lang w:val="pt-BR"/>
        </w:rPr>
        <w:t>possui</w:t>
      </w:r>
      <w:r w:rsidR="0089298C" w:rsidRPr="002F50BD">
        <w:rPr>
          <w:rFonts w:ascii="Verdana" w:hAnsi="Verdana"/>
          <w:sz w:val="20"/>
          <w:lang w:val="pt-BR"/>
        </w:rPr>
        <w:t xml:space="preserve"> a terra</w:t>
      </w:r>
      <w:r w:rsidR="004756C1" w:rsidRPr="002F50BD">
        <w:rPr>
          <w:rFonts w:ascii="Verdana" w:hAnsi="Verdana"/>
          <w:sz w:val="20"/>
          <w:lang w:val="pt-BR"/>
        </w:rPr>
        <w:t xml:space="preserve"> para </w:t>
      </w:r>
      <w:r w:rsidRPr="002F50BD">
        <w:rPr>
          <w:rFonts w:ascii="Verdana" w:hAnsi="Verdana"/>
          <w:sz w:val="20"/>
          <w:lang w:val="pt-BR"/>
        </w:rPr>
        <w:t>elas</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00063B47" w:rsidRPr="002F50BD">
        <w:rPr>
          <w:rFonts w:ascii="Verdana" w:hAnsi="Verdana"/>
          <w:sz w:val="20"/>
          <w:lang w:val="pt-BR"/>
        </w:rPr>
        <w:t>131</w:t>
      </w:r>
      <w:r w:rsidR="004756C1" w:rsidRPr="002F50BD">
        <w:rPr>
          <w:rFonts w:ascii="Verdana" w:hAnsi="Verdana"/>
          <w:sz w:val="20"/>
          <w:lang w:val="pt-BR"/>
        </w:rPr>
        <w:t xml:space="preserve">, </w:t>
      </w:r>
      <w:r w:rsidR="00063B47" w:rsidRPr="002F50BD">
        <w:rPr>
          <w:rFonts w:ascii="Verdana" w:hAnsi="Verdana"/>
          <w:sz w:val="20"/>
          <w:lang w:val="pt-BR"/>
        </w:rPr>
        <w:t>135</w:t>
      </w:r>
      <w:r w:rsidR="0089298C" w:rsidRPr="002F50BD">
        <w:rPr>
          <w:rFonts w:ascii="Verdana" w:hAnsi="Verdana"/>
          <w:sz w:val="20"/>
          <w:lang w:val="pt-BR"/>
        </w:rPr>
        <w:t xml:space="preserve"> e </w:t>
      </w:r>
      <w:r w:rsidR="00063B47" w:rsidRPr="002F50BD">
        <w:rPr>
          <w:rFonts w:ascii="Verdana" w:hAnsi="Verdana"/>
          <w:sz w:val="20"/>
          <w:lang w:val="pt-BR"/>
        </w:rPr>
        <w:t>139</w:t>
      </w:r>
      <w:r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076AD">
      <w:pPr>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00063B47" w:rsidRPr="002F50BD">
        <w:rPr>
          <w:rFonts w:ascii="Verdana" w:hAnsi="Verdana"/>
          <w:sz w:val="20"/>
          <w:lang w:val="pt-BR"/>
        </w:rPr>
        <w:t>16</w:t>
      </w:r>
      <w:r w:rsidR="004756C1" w:rsidRPr="002F50BD">
        <w:rPr>
          <w:rFonts w:ascii="Verdana" w:hAnsi="Verdana"/>
          <w:sz w:val="20"/>
          <w:lang w:val="pt-BR"/>
        </w:rPr>
        <w:t>.</w:t>
      </w:r>
      <w:r w:rsidR="00063B47" w:rsidRPr="002F50BD">
        <w:rPr>
          <w:rFonts w:ascii="Verdana" w:hAnsi="Verdana"/>
          <w:sz w:val="20"/>
          <w:lang w:val="pt-BR"/>
        </w:rPr>
        <w:t>4</w:t>
      </w:r>
      <w:r w:rsidR="004756C1" w:rsidRPr="002F50BD">
        <w:rPr>
          <w:rFonts w:ascii="Verdana" w:hAnsi="Verdana"/>
          <w:sz w:val="20"/>
          <w:lang w:val="pt-BR"/>
        </w:rPr>
        <w:t xml:space="preserve"> </w:t>
      </w:r>
      <w:r w:rsidR="0089298C"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w:t>
      </w:r>
      <w:r w:rsidR="0089298C" w:rsidRPr="002F50BD">
        <w:rPr>
          <w:rFonts w:ascii="Verdana" w:hAnsi="Verdana"/>
          <w:sz w:val="20"/>
          <w:lang w:val="pt-BR"/>
        </w:rPr>
        <w:t xml:space="preserve"> ao referir-se ao </w:t>
      </w:r>
      <w:r w:rsidR="004756C1" w:rsidRPr="002F50BD">
        <w:rPr>
          <w:rFonts w:ascii="Verdana" w:hAnsi="Verdana"/>
          <w:sz w:val="20"/>
          <w:lang w:val="pt-BR"/>
        </w:rPr>
        <w:t>retorno</w:t>
      </w:r>
      <w:r w:rsidR="0089298C" w:rsidRPr="002F50BD">
        <w:rPr>
          <w:rFonts w:ascii="Verdana" w:hAnsi="Verdana"/>
          <w:sz w:val="20"/>
          <w:lang w:val="pt-BR"/>
        </w:rPr>
        <w:t xml:space="preserve"> dos povo</w:t>
      </w:r>
      <w:r w:rsidR="004756C1" w:rsidRPr="002F50BD">
        <w:rPr>
          <w:rFonts w:ascii="Verdana" w:hAnsi="Verdana"/>
          <w:sz w:val="20"/>
          <w:lang w:val="pt-BR"/>
        </w:rPr>
        <w:t>s indígenas</w:t>
      </w:r>
      <w:r w:rsidR="0089298C" w:rsidRPr="002F50BD">
        <w:rPr>
          <w:rFonts w:ascii="Verdana" w:hAnsi="Verdana"/>
          <w:sz w:val="20"/>
          <w:lang w:val="pt-BR"/>
        </w:rPr>
        <w:t xml:space="preserve"> aos território</w:t>
      </w:r>
      <w:r w:rsidR="004756C1" w:rsidRPr="002F50BD">
        <w:rPr>
          <w:rFonts w:ascii="Verdana" w:hAnsi="Verdana"/>
          <w:sz w:val="20"/>
          <w:lang w:val="pt-BR"/>
        </w:rPr>
        <w:t>s</w:t>
      </w:r>
      <w:r w:rsidR="0089298C" w:rsidRPr="002F50BD">
        <w:rPr>
          <w:rFonts w:ascii="Verdana" w:hAnsi="Verdana"/>
          <w:sz w:val="20"/>
          <w:lang w:val="pt-BR"/>
        </w:rPr>
        <w:t xml:space="preserve"> dos </w:t>
      </w:r>
      <w:r w:rsidR="0023200A" w:rsidRPr="002F50BD">
        <w:rPr>
          <w:rFonts w:ascii="Verdana" w:hAnsi="Verdana"/>
          <w:sz w:val="20"/>
          <w:lang w:val="pt-BR"/>
        </w:rPr>
        <w:t>quais</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AB454A" w:rsidRPr="002F50BD">
        <w:rPr>
          <w:rFonts w:ascii="Verdana" w:hAnsi="Verdana"/>
          <w:sz w:val="20"/>
          <w:lang w:val="pt-BR"/>
        </w:rPr>
        <w:t>deslocado</w:t>
      </w:r>
      <w:r w:rsidR="004756C1" w:rsidRPr="002F50BD">
        <w:rPr>
          <w:rFonts w:ascii="Verdana" w:hAnsi="Verdana"/>
          <w:sz w:val="20"/>
          <w:lang w:val="pt-BR"/>
        </w:rPr>
        <w:t>s</w:t>
      </w:r>
      <w:r w:rsidR="00FC6B22"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afirma </w:t>
      </w:r>
      <w:r w:rsidR="004756C1" w:rsidRPr="002F50BD">
        <w:rPr>
          <w:rFonts w:ascii="Verdana" w:hAnsi="Verdana"/>
          <w:sz w:val="20"/>
          <w:lang w:val="pt-BR"/>
        </w:rPr>
        <w:t>que</w:t>
      </w:r>
      <w:r w:rsidR="00FC6B22" w:rsidRPr="002F50BD">
        <w:rPr>
          <w:rFonts w:ascii="Verdana" w:hAnsi="Verdana"/>
          <w:sz w:val="20"/>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16"/>
          <w:szCs w:val="32"/>
          <w:lang w:val="pt-BR"/>
        </w:rPr>
      </w:pPr>
    </w:p>
    <w:p w:rsidR="004756C1" w:rsidRPr="002F50BD" w:rsidRDefault="0023200A" w:rsidP="0023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16"/>
          <w:lang w:val="pt-BR"/>
        </w:rPr>
      </w:pPr>
      <w:r w:rsidRPr="002F50BD">
        <w:rPr>
          <w:rFonts w:ascii="Verdana" w:hAnsi="Verdana"/>
          <w:sz w:val="16"/>
          <w:szCs w:val="32"/>
          <w:lang w:val="pt-BR"/>
        </w:rPr>
        <w:t>Q</w:t>
      </w:r>
      <w:r w:rsidR="0089298C" w:rsidRPr="002F50BD">
        <w:rPr>
          <w:rFonts w:ascii="Verdana" w:hAnsi="Verdana"/>
          <w:sz w:val="16"/>
          <w:szCs w:val="32"/>
          <w:lang w:val="pt-BR"/>
        </w:rPr>
        <w:t xml:space="preserve">uando o </w:t>
      </w:r>
      <w:r w:rsidR="004756C1" w:rsidRPr="002F50BD">
        <w:rPr>
          <w:rFonts w:ascii="Verdana" w:hAnsi="Verdana"/>
          <w:sz w:val="16"/>
          <w:szCs w:val="32"/>
          <w:lang w:val="pt-BR"/>
        </w:rPr>
        <w:t>retorno n</w:t>
      </w:r>
      <w:r w:rsidRPr="002F50BD">
        <w:rPr>
          <w:rFonts w:ascii="Verdana" w:hAnsi="Verdana"/>
          <w:sz w:val="16"/>
          <w:szCs w:val="32"/>
          <w:lang w:val="pt-BR"/>
        </w:rPr>
        <w:t xml:space="preserve">ão for </w:t>
      </w:r>
      <w:r w:rsidR="0089298C" w:rsidRPr="002F50BD">
        <w:rPr>
          <w:rFonts w:ascii="Verdana" w:hAnsi="Verdana"/>
          <w:sz w:val="16"/>
          <w:szCs w:val="32"/>
          <w:lang w:val="pt-BR"/>
        </w:rPr>
        <w:t>possível,</w:t>
      </w:r>
      <w:r w:rsidR="004756C1" w:rsidRPr="002F50BD">
        <w:rPr>
          <w:rFonts w:ascii="Verdana" w:hAnsi="Verdana"/>
          <w:sz w:val="16"/>
          <w:szCs w:val="32"/>
          <w:lang w:val="pt-BR"/>
        </w:rPr>
        <w:t xml:space="preserve"> […]</w:t>
      </w:r>
      <w:r w:rsidRPr="002F50BD">
        <w:rPr>
          <w:rFonts w:ascii="Verdana" w:hAnsi="Verdana"/>
          <w:sz w:val="16"/>
          <w:szCs w:val="32"/>
          <w:lang w:val="pt-BR"/>
        </w:rPr>
        <w:t>, esses povos deverão receber, em todos os casos em que for possível, terras cuja qualidade e cujo estatuto jurídico sejam</w:t>
      </w:r>
      <w:r w:rsidR="00C44CE3" w:rsidRPr="002F50BD">
        <w:rPr>
          <w:rFonts w:ascii="Verdana" w:hAnsi="Verdana"/>
          <w:sz w:val="16"/>
          <w:szCs w:val="32"/>
          <w:lang w:val="pt-BR"/>
        </w:rPr>
        <w:t>,</w:t>
      </w:r>
      <w:r w:rsidRPr="002F50BD">
        <w:rPr>
          <w:rFonts w:ascii="Verdana" w:hAnsi="Verdana"/>
          <w:sz w:val="16"/>
          <w:szCs w:val="32"/>
          <w:lang w:val="pt-BR"/>
        </w:rPr>
        <w:t xml:space="preserve"> pelo menos</w:t>
      </w:r>
      <w:r w:rsidR="00C44CE3" w:rsidRPr="002F50BD">
        <w:rPr>
          <w:rFonts w:ascii="Verdana" w:hAnsi="Verdana"/>
          <w:sz w:val="16"/>
          <w:szCs w:val="32"/>
          <w:lang w:val="pt-BR"/>
        </w:rPr>
        <w:t>,</w:t>
      </w:r>
      <w:r w:rsidRPr="002F50BD">
        <w:rPr>
          <w:rFonts w:ascii="Verdana" w:hAnsi="Verdana"/>
          <w:sz w:val="16"/>
          <w:szCs w:val="32"/>
          <w:lang w:val="pt-BR"/>
        </w:rPr>
        <w:t xml:space="preserve"> iguais </w:t>
      </w:r>
      <w:r w:rsidR="00C44CE3" w:rsidRPr="002F50BD">
        <w:rPr>
          <w:rFonts w:ascii="Verdana" w:hAnsi="Verdana"/>
          <w:sz w:val="16"/>
          <w:szCs w:val="32"/>
          <w:lang w:val="pt-BR"/>
        </w:rPr>
        <w:t>à</w:t>
      </w:r>
      <w:r w:rsidRPr="002F50BD">
        <w:rPr>
          <w:rFonts w:ascii="Verdana" w:hAnsi="Verdana"/>
          <w:sz w:val="16"/>
          <w:szCs w:val="32"/>
          <w:lang w:val="pt-BR"/>
        </w:rPr>
        <w:t>queles das terras que ocupavam anteriormente, e que lhes permitam cobrir suas necessidades e garantir seu desenvolvimento futuro. Quando os povos interessados prefiram receber indenização em dinheiro ou em bens, essa indenização deverá ser concedida com as garantias apropriadas</w:t>
      </w:r>
      <w:r w:rsidR="004756C1" w:rsidRPr="002F50BD">
        <w:rPr>
          <w:rFonts w:ascii="Verdana" w:hAnsi="Verdana"/>
          <w:sz w:val="16"/>
          <w:szCs w:val="32"/>
          <w:lang w:val="pt-BR"/>
        </w:rPr>
        <w:t>.</w:t>
      </w:r>
    </w:p>
    <w:p w:rsidR="00F46680" w:rsidRPr="002F50BD" w:rsidRDefault="00F46680" w:rsidP="00F46680">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A </w:t>
      </w:r>
      <w:r w:rsidR="0023200A" w:rsidRPr="002F50BD">
        <w:rPr>
          <w:rFonts w:ascii="Verdana" w:hAnsi="Verdana"/>
          <w:sz w:val="20"/>
          <w:lang w:val="pt-BR"/>
        </w:rPr>
        <w:t xml:space="preserve">escolha </w:t>
      </w:r>
      <w:r w:rsidRPr="002F50BD">
        <w:rPr>
          <w:rFonts w:ascii="Verdana" w:hAnsi="Verdana"/>
          <w:sz w:val="20"/>
          <w:lang w:val="pt-BR"/>
        </w:rPr>
        <w:t xml:space="preserve">e </w:t>
      </w:r>
      <w:r w:rsidR="0023200A" w:rsidRPr="002F50BD">
        <w:rPr>
          <w:rFonts w:ascii="Verdana" w:hAnsi="Verdana"/>
          <w:sz w:val="20"/>
          <w:lang w:val="pt-BR"/>
        </w:rPr>
        <w:t xml:space="preserve">a </w:t>
      </w:r>
      <w:r w:rsidR="004756C1" w:rsidRPr="002F50BD">
        <w:rPr>
          <w:rFonts w:ascii="Verdana" w:hAnsi="Verdana"/>
          <w:sz w:val="20"/>
          <w:lang w:val="pt-BR"/>
        </w:rPr>
        <w:t xml:space="preserve">entrega de </w:t>
      </w:r>
      <w:r w:rsidRPr="002F50BD">
        <w:rPr>
          <w:rFonts w:ascii="Verdana" w:hAnsi="Verdana"/>
          <w:sz w:val="20"/>
          <w:lang w:val="pt-BR"/>
        </w:rPr>
        <w:t>terra</w:t>
      </w:r>
      <w:r w:rsidR="004756C1" w:rsidRPr="002F50BD">
        <w:rPr>
          <w:rFonts w:ascii="Verdana" w:hAnsi="Verdana"/>
          <w:sz w:val="20"/>
          <w:lang w:val="pt-BR"/>
        </w:rPr>
        <w:t>s alternativas,</w:t>
      </w:r>
      <w:r w:rsidRPr="002F50BD">
        <w:rPr>
          <w:rFonts w:ascii="Verdana" w:hAnsi="Verdana"/>
          <w:sz w:val="20"/>
          <w:lang w:val="pt-BR"/>
        </w:rPr>
        <w:t xml:space="preserve"> o pagamento</w:t>
      </w:r>
      <w:r w:rsidR="004756C1" w:rsidRPr="002F50BD">
        <w:rPr>
          <w:rFonts w:ascii="Verdana" w:hAnsi="Verdana"/>
          <w:sz w:val="20"/>
          <w:lang w:val="pt-BR"/>
        </w:rPr>
        <w:t xml:space="preserve"> de</w:t>
      </w:r>
      <w:r w:rsidRPr="002F50BD">
        <w:rPr>
          <w:rFonts w:ascii="Verdana" w:hAnsi="Verdana"/>
          <w:sz w:val="20"/>
          <w:lang w:val="pt-BR"/>
        </w:rPr>
        <w:t xml:space="preserve"> uma </w:t>
      </w:r>
      <w:r w:rsidR="004756C1" w:rsidRPr="002F50BD">
        <w:rPr>
          <w:rFonts w:ascii="Verdana" w:hAnsi="Verdana"/>
          <w:sz w:val="20"/>
          <w:lang w:val="pt-BR"/>
        </w:rPr>
        <w:t xml:space="preserve">justa </w:t>
      </w:r>
      <w:r w:rsidRPr="002F50BD">
        <w:rPr>
          <w:rFonts w:ascii="Verdana" w:hAnsi="Verdana"/>
          <w:sz w:val="20"/>
          <w:lang w:val="pt-BR"/>
        </w:rPr>
        <w:t>indenização</w:t>
      </w:r>
      <w:r w:rsidR="004756C1" w:rsidRPr="002F50BD">
        <w:rPr>
          <w:rFonts w:ascii="Verdana" w:hAnsi="Verdana"/>
          <w:sz w:val="20"/>
          <w:lang w:val="pt-BR"/>
        </w:rPr>
        <w:t xml:space="preserve"> o</w:t>
      </w:r>
      <w:r w:rsidR="0023200A" w:rsidRPr="002F50BD">
        <w:rPr>
          <w:rFonts w:ascii="Verdana" w:hAnsi="Verdana"/>
          <w:sz w:val="20"/>
          <w:lang w:val="pt-BR"/>
        </w:rPr>
        <w:t>u</w:t>
      </w:r>
      <w:r w:rsidR="004756C1" w:rsidRPr="002F50BD">
        <w:rPr>
          <w:rFonts w:ascii="Verdana" w:hAnsi="Verdana"/>
          <w:sz w:val="20"/>
          <w:lang w:val="pt-BR"/>
        </w:rPr>
        <w:t xml:space="preserve"> ambos n</w:t>
      </w:r>
      <w:r w:rsidR="0023200A" w:rsidRPr="002F50BD">
        <w:rPr>
          <w:rFonts w:ascii="Verdana" w:hAnsi="Verdana"/>
          <w:sz w:val="20"/>
          <w:lang w:val="pt-BR"/>
        </w:rPr>
        <w:t>ã</w:t>
      </w:r>
      <w:r w:rsidR="004756C1" w:rsidRPr="002F50BD">
        <w:rPr>
          <w:rFonts w:ascii="Verdana" w:hAnsi="Verdana"/>
          <w:sz w:val="20"/>
          <w:lang w:val="pt-BR"/>
        </w:rPr>
        <w:t xml:space="preserve">o </w:t>
      </w:r>
      <w:r w:rsidR="0023200A" w:rsidRPr="002F50BD">
        <w:rPr>
          <w:rFonts w:ascii="Verdana" w:hAnsi="Verdana"/>
          <w:sz w:val="20"/>
          <w:lang w:val="pt-BR"/>
        </w:rPr>
        <w:t xml:space="preserve">ficam </w:t>
      </w:r>
      <w:r w:rsidRPr="002F50BD">
        <w:rPr>
          <w:rFonts w:ascii="Verdana" w:hAnsi="Verdana"/>
          <w:sz w:val="20"/>
          <w:lang w:val="pt-BR"/>
        </w:rPr>
        <w:t>sujeit</w:t>
      </w:r>
      <w:r w:rsidR="0023200A" w:rsidRPr="002F50BD">
        <w:rPr>
          <w:rFonts w:ascii="Verdana" w:hAnsi="Verdana"/>
          <w:sz w:val="20"/>
          <w:lang w:val="pt-BR"/>
        </w:rPr>
        <w:t>o</w:t>
      </w:r>
      <w:r w:rsidR="004756C1" w:rsidRPr="002F50BD">
        <w:rPr>
          <w:rFonts w:ascii="Verdana" w:hAnsi="Verdana"/>
          <w:sz w:val="20"/>
          <w:lang w:val="pt-BR"/>
        </w:rPr>
        <w:t xml:space="preserve">s a </w:t>
      </w:r>
      <w:r w:rsidRPr="002F50BD">
        <w:rPr>
          <w:rFonts w:ascii="Verdana" w:hAnsi="Verdana"/>
          <w:sz w:val="20"/>
          <w:lang w:val="pt-BR"/>
        </w:rPr>
        <w:t>critério</w:t>
      </w:r>
      <w:r w:rsidR="004756C1" w:rsidRPr="002F50BD">
        <w:rPr>
          <w:rFonts w:ascii="Verdana" w:hAnsi="Verdana"/>
          <w:sz w:val="20"/>
          <w:lang w:val="pt-BR"/>
        </w:rPr>
        <w:t xml:space="preserve">s meramente </w:t>
      </w:r>
      <w:r w:rsidRPr="002F50BD">
        <w:rPr>
          <w:rFonts w:ascii="Verdana" w:hAnsi="Verdana"/>
          <w:sz w:val="20"/>
          <w:lang w:val="pt-BR"/>
        </w:rPr>
        <w:t>discr</w:t>
      </w:r>
      <w:r w:rsidR="00787481" w:rsidRPr="002F50BD">
        <w:rPr>
          <w:rFonts w:ascii="Verdana" w:hAnsi="Verdana"/>
          <w:sz w:val="20"/>
          <w:lang w:val="pt-BR"/>
        </w:rPr>
        <w:t>i</w:t>
      </w:r>
      <w:r w:rsidRPr="002F50BD">
        <w:rPr>
          <w:rFonts w:ascii="Verdana" w:hAnsi="Verdana"/>
          <w:sz w:val="20"/>
          <w:lang w:val="pt-BR"/>
        </w:rPr>
        <w:t>cion</w:t>
      </w:r>
      <w:r w:rsidR="00FC6B22" w:rsidRPr="002F50BD">
        <w:rPr>
          <w:rFonts w:ascii="Verdana" w:hAnsi="Verdana"/>
          <w:sz w:val="20"/>
          <w:lang w:val="pt-BR"/>
        </w:rPr>
        <w:t>ários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Estado, </w:t>
      </w:r>
      <w:r w:rsidRPr="002F50BD">
        <w:rPr>
          <w:rFonts w:ascii="Verdana" w:hAnsi="Verdana"/>
          <w:sz w:val="20"/>
          <w:lang w:val="pt-BR"/>
        </w:rPr>
        <w:t>devem</w:t>
      </w:r>
      <w:r w:rsidR="004756C1" w:rsidRPr="002F50BD">
        <w:rPr>
          <w:rFonts w:ascii="Verdana" w:hAnsi="Verdana"/>
          <w:sz w:val="20"/>
          <w:lang w:val="pt-BR"/>
        </w:rPr>
        <w:t xml:space="preserve"> ser, </w:t>
      </w:r>
      <w:r w:rsidR="0023200A" w:rsidRPr="002F50BD">
        <w:rPr>
          <w:rFonts w:ascii="Verdana" w:hAnsi="Verdana"/>
          <w:sz w:val="20"/>
          <w:lang w:val="pt-BR"/>
        </w:rPr>
        <w:t xml:space="preserve">de acordo </w:t>
      </w:r>
      <w:r w:rsidR="00D90AD9" w:rsidRPr="002F50BD">
        <w:rPr>
          <w:rFonts w:ascii="Verdana" w:hAnsi="Verdana"/>
          <w:sz w:val="20"/>
          <w:lang w:val="pt-BR"/>
        </w:rPr>
        <w:t>com</w:t>
      </w:r>
      <w:r w:rsidR="0023200A" w:rsidRPr="002F50BD">
        <w:rPr>
          <w:rFonts w:ascii="Verdana" w:hAnsi="Verdana"/>
          <w:sz w:val="20"/>
          <w:lang w:val="pt-BR"/>
        </w:rPr>
        <w:t xml:space="preserve"> </w:t>
      </w:r>
      <w:r w:rsidRPr="002F50BD">
        <w:rPr>
          <w:rFonts w:ascii="Verdana" w:hAnsi="Verdana"/>
          <w:sz w:val="20"/>
          <w:lang w:val="pt-BR"/>
        </w:rPr>
        <w:t xml:space="preserve">uma </w:t>
      </w:r>
      <w:r w:rsidR="004756C1" w:rsidRPr="002F50BD">
        <w:rPr>
          <w:rFonts w:ascii="Verdana" w:hAnsi="Verdana"/>
          <w:sz w:val="20"/>
          <w:lang w:val="pt-BR"/>
        </w:rPr>
        <w:t>interpreta</w:t>
      </w:r>
      <w:r w:rsidRPr="002F50BD">
        <w:rPr>
          <w:rFonts w:ascii="Verdana" w:hAnsi="Verdana"/>
          <w:sz w:val="20"/>
          <w:lang w:val="pt-BR"/>
        </w:rPr>
        <w:t>ção</w:t>
      </w:r>
      <w:r w:rsidR="004756C1" w:rsidRPr="002F50BD">
        <w:rPr>
          <w:rFonts w:ascii="Verdana" w:hAnsi="Verdana"/>
          <w:sz w:val="20"/>
          <w:lang w:val="pt-BR"/>
        </w:rPr>
        <w:t xml:space="preserve"> integral </w:t>
      </w:r>
      <w:r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w:t>
      </w:r>
      <w:r w:rsidRPr="002F50BD">
        <w:rPr>
          <w:rFonts w:ascii="Verdana" w:hAnsi="Verdana"/>
          <w:sz w:val="20"/>
          <w:lang w:val="pt-BR"/>
        </w:rPr>
        <w:t xml:space="preserve"> e da </w:t>
      </w:r>
      <w:r w:rsidR="004756C1" w:rsidRPr="002F50BD">
        <w:rPr>
          <w:rFonts w:ascii="Verdana" w:hAnsi="Verdana"/>
          <w:sz w:val="20"/>
          <w:lang w:val="pt-BR"/>
        </w:rPr>
        <w:t>Conven</w:t>
      </w:r>
      <w:r w:rsidRPr="002F50BD">
        <w:rPr>
          <w:rFonts w:ascii="Verdana" w:hAnsi="Verdana"/>
          <w:sz w:val="20"/>
          <w:lang w:val="pt-BR"/>
        </w:rPr>
        <w:t>ção</w:t>
      </w:r>
      <w:r w:rsidR="0023200A" w:rsidRPr="002F50BD">
        <w:rPr>
          <w:rFonts w:ascii="Verdana" w:hAnsi="Verdana"/>
          <w:sz w:val="20"/>
          <w:lang w:val="pt-BR"/>
        </w:rPr>
        <w:t xml:space="preserve"> Americana, </w:t>
      </w:r>
      <w:r w:rsidR="00571527" w:rsidRPr="002F50BD">
        <w:rPr>
          <w:rFonts w:ascii="Verdana" w:hAnsi="Verdana"/>
          <w:sz w:val="20"/>
          <w:lang w:val="pt-BR"/>
        </w:rPr>
        <w:t>a partir de um consenso</w:t>
      </w:r>
      <w:r w:rsidRPr="002F50BD">
        <w:rPr>
          <w:rFonts w:ascii="Verdana" w:hAnsi="Verdana"/>
          <w:sz w:val="20"/>
          <w:lang w:val="pt-BR"/>
        </w:rPr>
        <w:t xml:space="preserve"> com os povo</w:t>
      </w:r>
      <w:r w:rsidR="004756C1" w:rsidRPr="002F50BD">
        <w:rPr>
          <w:rFonts w:ascii="Verdana" w:hAnsi="Verdana"/>
          <w:sz w:val="20"/>
          <w:lang w:val="pt-BR"/>
        </w:rPr>
        <w:t xml:space="preserve">s </w:t>
      </w:r>
      <w:r w:rsidRPr="002F50BD">
        <w:rPr>
          <w:rFonts w:ascii="Verdana" w:hAnsi="Verdana"/>
          <w:sz w:val="20"/>
          <w:lang w:val="pt-BR"/>
        </w:rPr>
        <w:t>interessad</w:t>
      </w:r>
      <w:r w:rsidR="004756C1" w:rsidRPr="002F50BD">
        <w:rPr>
          <w:rFonts w:ascii="Verdana" w:hAnsi="Verdana"/>
          <w:sz w:val="20"/>
          <w:lang w:val="pt-BR"/>
        </w:rPr>
        <w:t xml:space="preserve">os, conforme </w:t>
      </w:r>
      <w:r w:rsidR="0023200A" w:rsidRPr="002F50BD">
        <w:rPr>
          <w:rFonts w:ascii="Verdana" w:hAnsi="Verdana"/>
          <w:sz w:val="20"/>
          <w:lang w:val="pt-BR"/>
        </w:rPr>
        <w:t>seus próprios</w:t>
      </w:r>
      <w:r w:rsidR="004756C1" w:rsidRPr="002F50BD">
        <w:rPr>
          <w:rFonts w:ascii="Verdana" w:hAnsi="Verdana"/>
          <w:sz w:val="20"/>
          <w:lang w:val="pt-BR"/>
        </w:rPr>
        <w:t xml:space="preserve"> </w:t>
      </w:r>
      <w:r w:rsidRPr="002F50BD">
        <w:rPr>
          <w:rFonts w:ascii="Verdana" w:hAnsi="Verdana"/>
          <w:sz w:val="20"/>
          <w:lang w:val="pt-BR"/>
        </w:rPr>
        <w:t>procedimento</w:t>
      </w:r>
      <w:r w:rsidR="004756C1" w:rsidRPr="002F50BD">
        <w:rPr>
          <w:rFonts w:ascii="Verdana" w:hAnsi="Verdana"/>
          <w:sz w:val="20"/>
          <w:lang w:val="pt-BR"/>
        </w:rPr>
        <w:t>s de consulta, valores, usos</w:t>
      </w:r>
      <w:r w:rsidRPr="002F50BD">
        <w:rPr>
          <w:rFonts w:ascii="Verdana" w:hAnsi="Verdana"/>
          <w:sz w:val="20"/>
          <w:lang w:val="pt-BR"/>
        </w:rPr>
        <w:t xml:space="preserve"> e direito</w:t>
      </w:r>
      <w:r w:rsidR="004756C1" w:rsidRPr="002F50BD">
        <w:rPr>
          <w:rFonts w:ascii="Verdana" w:hAnsi="Verdana"/>
          <w:sz w:val="20"/>
          <w:lang w:val="pt-BR"/>
        </w:rPr>
        <w:t xml:space="preserve"> </w:t>
      </w:r>
      <w:r w:rsidRPr="002F50BD">
        <w:rPr>
          <w:rFonts w:ascii="Verdana" w:hAnsi="Verdana"/>
          <w:sz w:val="20"/>
          <w:lang w:val="pt-BR"/>
        </w:rPr>
        <w:t>consuetudinário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 n</w:t>
      </w:r>
      <w:r w:rsidR="0023200A" w:rsidRPr="002F50BD">
        <w:rPr>
          <w:rFonts w:ascii="Verdana" w:hAnsi="Verdana"/>
          <w:sz w:val="20"/>
          <w:lang w:val="pt-BR"/>
        </w:rPr>
        <w:t>ã</w:t>
      </w:r>
      <w:r w:rsidR="004756C1" w:rsidRPr="002F50BD">
        <w:rPr>
          <w:rFonts w:ascii="Verdana" w:hAnsi="Verdana"/>
          <w:sz w:val="20"/>
          <w:lang w:val="pt-BR"/>
        </w:rPr>
        <w:t xml:space="preserve">o se </w:t>
      </w:r>
      <w:r w:rsidR="004076AD" w:rsidRPr="002F50BD">
        <w:rPr>
          <w:rFonts w:ascii="Verdana" w:hAnsi="Verdana"/>
          <w:sz w:val="20"/>
          <w:lang w:val="pt-BR"/>
        </w:rPr>
        <w:t>cheg</w:t>
      </w:r>
      <w:r w:rsidR="0023200A" w:rsidRPr="002F50BD">
        <w:rPr>
          <w:rFonts w:ascii="Verdana" w:hAnsi="Verdana"/>
          <w:sz w:val="20"/>
          <w:lang w:val="pt-BR"/>
        </w:rPr>
        <w:t>ou</w:t>
      </w:r>
      <w:r w:rsidR="004756C1" w:rsidRPr="002F50BD">
        <w:rPr>
          <w:rFonts w:ascii="Verdana" w:hAnsi="Verdana"/>
          <w:sz w:val="20"/>
          <w:lang w:val="pt-BR"/>
        </w:rPr>
        <w:t xml:space="preserve"> a</w:t>
      </w:r>
      <w:r w:rsidRPr="002F50BD">
        <w:rPr>
          <w:rFonts w:ascii="Verdana" w:hAnsi="Verdana"/>
          <w:sz w:val="20"/>
          <w:lang w:val="pt-BR"/>
        </w:rPr>
        <w:t xml:space="preserve"> um acordo</w:t>
      </w:r>
      <w:r w:rsidR="004756C1" w:rsidRPr="002F50BD">
        <w:rPr>
          <w:rFonts w:ascii="Verdana" w:hAnsi="Verdana"/>
          <w:sz w:val="20"/>
          <w:lang w:val="pt-BR"/>
        </w:rPr>
        <w:t xml:space="preserve"> entre</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e o </w:t>
      </w:r>
      <w:r w:rsidR="004756C1" w:rsidRPr="002F50BD">
        <w:rPr>
          <w:rFonts w:ascii="Verdana" w:hAnsi="Verdana"/>
          <w:sz w:val="20"/>
          <w:lang w:val="pt-BR"/>
        </w:rPr>
        <w:t xml:space="preserve">Estado </w:t>
      </w:r>
      <w:r w:rsidR="0023200A" w:rsidRPr="002F50BD">
        <w:rPr>
          <w:rFonts w:ascii="Verdana" w:hAnsi="Verdana"/>
          <w:sz w:val="20"/>
          <w:lang w:val="pt-BR"/>
        </w:rPr>
        <w:t>a respeito da</w:t>
      </w:r>
      <w:r w:rsidRPr="002F50BD">
        <w:rPr>
          <w:rFonts w:ascii="Verdana" w:hAnsi="Verdana"/>
          <w:sz w:val="20"/>
          <w:lang w:val="pt-BR"/>
        </w:rPr>
        <w:t xml:space="preserve">s </w:t>
      </w:r>
      <w:r w:rsidR="0023200A" w:rsidRPr="002F50BD">
        <w:rPr>
          <w:rFonts w:ascii="Verdana" w:hAnsi="Verdana"/>
          <w:sz w:val="20"/>
          <w:lang w:val="pt-BR"/>
        </w:rPr>
        <w:t xml:space="preserve">ofertas </w:t>
      </w:r>
      <w:r w:rsidR="004756C1" w:rsidRPr="002F50BD">
        <w:rPr>
          <w:rFonts w:ascii="Verdana" w:hAnsi="Verdana"/>
          <w:sz w:val="20"/>
          <w:lang w:val="pt-BR"/>
        </w:rPr>
        <w:t xml:space="preserve">de </w:t>
      </w:r>
      <w:r w:rsidRPr="002F50BD">
        <w:rPr>
          <w:rFonts w:ascii="Verdana" w:hAnsi="Verdana"/>
          <w:sz w:val="20"/>
          <w:lang w:val="pt-BR"/>
        </w:rPr>
        <w:t>terra</w:t>
      </w:r>
      <w:r w:rsidR="004756C1" w:rsidRPr="002F50BD">
        <w:rPr>
          <w:rFonts w:ascii="Verdana" w:hAnsi="Verdana"/>
          <w:sz w:val="20"/>
          <w:lang w:val="pt-BR"/>
        </w:rPr>
        <w:t xml:space="preserve">s alternativas </w:t>
      </w:r>
      <w:r w:rsidR="0023200A" w:rsidRPr="002F50BD">
        <w:rPr>
          <w:rFonts w:ascii="Verdana" w:hAnsi="Verdana"/>
          <w:sz w:val="20"/>
          <w:lang w:val="pt-BR"/>
        </w:rPr>
        <w:t xml:space="preserve">realizadas por </w:t>
      </w:r>
      <w:r w:rsidR="004756C1" w:rsidRPr="002F50BD">
        <w:rPr>
          <w:rFonts w:ascii="Verdana" w:hAnsi="Verdana"/>
          <w:sz w:val="20"/>
          <w:lang w:val="pt-BR"/>
        </w:rPr>
        <w:t>este último</w:t>
      </w:r>
      <w:r w:rsidR="00AB454A" w:rsidRPr="002F50BD">
        <w:rPr>
          <w:rFonts w:ascii="Verdana" w:hAnsi="Verdana"/>
          <w:sz w:val="20"/>
          <w:lang w:val="pt-BR"/>
        </w:rPr>
        <w:t xml:space="preserve">. </w:t>
      </w:r>
      <w:r w:rsidR="00475EBB" w:rsidRPr="002F50BD">
        <w:rPr>
          <w:rFonts w:ascii="Verdana" w:hAnsi="Verdana"/>
          <w:sz w:val="20"/>
          <w:lang w:val="pt-BR"/>
        </w:rPr>
        <w:t>A testemunha</w:t>
      </w:r>
      <w:r w:rsidR="004756C1" w:rsidRPr="002F50BD">
        <w:rPr>
          <w:rFonts w:ascii="Verdana" w:hAnsi="Verdana"/>
          <w:sz w:val="20"/>
          <w:lang w:val="pt-BR"/>
        </w:rPr>
        <w:t xml:space="preserve"> Esteban López,</w:t>
      </w:r>
      <w:r w:rsidRPr="002F50BD">
        <w:rPr>
          <w:rFonts w:ascii="Verdana" w:hAnsi="Verdana"/>
          <w:sz w:val="20"/>
          <w:lang w:val="pt-BR"/>
        </w:rPr>
        <w:t xml:space="preserve"> na audiência</w:t>
      </w:r>
      <w:r w:rsidR="004756C1" w:rsidRPr="002F50BD">
        <w:rPr>
          <w:rFonts w:ascii="Verdana" w:hAnsi="Verdana"/>
          <w:sz w:val="20"/>
          <w:lang w:val="pt-BR"/>
        </w:rPr>
        <w:t xml:space="preserve"> pública</w:t>
      </w:r>
      <w:r w:rsidRPr="002F50BD">
        <w:rPr>
          <w:rFonts w:ascii="Verdana" w:hAnsi="Verdana"/>
          <w:sz w:val="20"/>
          <w:lang w:val="pt-BR"/>
        </w:rPr>
        <w:t xml:space="preserve"> </w:t>
      </w:r>
      <w:r w:rsidR="0023200A" w:rsidRPr="002F50BD">
        <w:rPr>
          <w:rFonts w:ascii="Verdana" w:hAnsi="Verdana"/>
          <w:sz w:val="20"/>
          <w:lang w:val="pt-BR"/>
        </w:rPr>
        <w:t>realizada per</w:t>
      </w:r>
      <w:r w:rsidR="004756C1" w:rsidRPr="002F50BD">
        <w:rPr>
          <w:rFonts w:ascii="Verdana" w:hAnsi="Verdana"/>
          <w:sz w:val="20"/>
          <w:lang w:val="pt-BR"/>
        </w:rPr>
        <w:t xml:space="preserve">ante este Tribunal, </w:t>
      </w:r>
      <w:r w:rsidR="004076AD" w:rsidRPr="002F50BD">
        <w:rPr>
          <w:rFonts w:ascii="Verdana" w:hAnsi="Verdana"/>
          <w:sz w:val="20"/>
          <w:lang w:val="pt-BR"/>
        </w:rPr>
        <w:t>sustentou</w:t>
      </w:r>
      <w:r w:rsidR="004756C1" w:rsidRPr="002F50BD">
        <w:rPr>
          <w:rFonts w:ascii="Verdana" w:hAnsi="Verdana"/>
          <w:sz w:val="20"/>
          <w:lang w:val="pt-BR"/>
        </w:rPr>
        <w:t xml:space="preserve"> qu</w:t>
      </w:r>
      <w:r w:rsidR="0023200A" w:rsidRPr="002F50BD">
        <w:rPr>
          <w:rFonts w:ascii="Verdana" w:hAnsi="Verdana"/>
          <w:sz w:val="20"/>
          <w:lang w:val="pt-BR"/>
        </w:rPr>
        <w:t>e</w:t>
      </w:r>
      <w:r w:rsidR="00FC6B22" w:rsidRPr="002F50BD">
        <w:rPr>
          <w:rFonts w:ascii="Verdana" w:hAnsi="Verdana"/>
          <w:sz w:val="20"/>
          <w:lang w:val="pt-BR"/>
        </w:rPr>
        <w:t>:</w:t>
      </w:r>
    </w:p>
    <w:p w:rsidR="004756C1" w:rsidRPr="002F50BD" w:rsidRDefault="004756C1">
      <w:pPr>
        <w:ind w:left="360" w:right="360"/>
        <w:jc w:val="both"/>
        <w:rPr>
          <w:rFonts w:ascii="Verdana" w:hAnsi="Verdana"/>
          <w:sz w:val="16"/>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w:t>
      </w:r>
      <w:r w:rsidR="0023200A" w:rsidRPr="002F50BD">
        <w:rPr>
          <w:rFonts w:ascii="Verdana" w:hAnsi="Verdana"/>
          <w:sz w:val="16"/>
          <w:lang w:val="pt-BR"/>
        </w:rPr>
        <w:t>i</w:t>
      </w:r>
      <w:r w:rsidRPr="002F50BD">
        <w:rPr>
          <w:rFonts w:ascii="Verdana" w:hAnsi="Verdana"/>
          <w:sz w:val="16"/>
          <w:lang w:val="pt-BR"/>
        </w:rPr>
        <w:t>]</w:t>
      </w:r>
      <w:r w:rsidR="0023200A" w:rsidRPr="002F50BD">
        <w:rPr>
          <w:rFonts w:ascii="Verdana" w:hAnsi="Verdana"/>
          <w:sz w:val="16"/>
          <w:lang w:val="pt-BR"/>
        </w:rPr>
        <w:t xml:space="preserve">nfelizmente </w:t>
      </w:r>
      <w:r w:rsidRPr="002F50BD">
        <w:rPr>
          <w:rFonts w:ascii="Verdana" w:hAnsi="Verdana"/>
          <w:sz w:val="16"/>
          <w:lang w:val="pt-BR"/>
        </w:rPr>
        <w:t>para</w:t>
      </w:r>
      <w:r w:rsidR="0089298C" w:rsidRPr="002F50BD">
        <w:rPr>
          <w:rFonts w:ascii="Verdana" w:hAnsi="Verdana"/>
          <w:sz w:val="16"/>
          <w:lang w:val="pt-BR"/>
        </w:rPr>
        <w:t xml:space="preserve"> o Governo</w:t>
      </w:r>
      <w:r w:rsidR="00F04F59">
        <w:rPr>
          <w:rFonts w:ascii="Verdana" w:hAnsi="Verdana"/>
          <w:sz w:val="16"/>
          <w:lang w:val="pt-BR"/>
        </w:rPr>
        <w:t>,</w:t>
      </w:r>
      <w:r w:rsidRPr="002F50BD">
        <w:rPr>
          <w:rFonts w:ascii="Verdana" w:hAnsi="Verdana"/>
          <w:sz w:val="16"/>
          <w:lang w:val="pt-BR"/>
        </w:rPr>
        <w:t xml:space="preserve"> </w:t>
      </w:r>
      <w:r w:rsidR="0023200A" w:rsidRPr="002F50BD">
        <w:rPr>
          <w:rFonts w:ascii="Verdana" w:hAnsi="Verdana"/>
          <w:sz w:val="16"/>
          <w:lang w:val="pt-BR"/>
        </w:rPr>
        <w:t xml:space="preserve">eu acho </w:t>
      </w:r>
      <w:r w:rsidRPr="002F50BD">
        <w:rPr>
          <w:rFonts w:ascii="Verdana" w:hAnsi="Verdana"/>
          <w:sz w:val="16"/>
          <w:lang w:val="pt-BR"/>
        </w:rPr>
        <w:t>que n</w:t>
      </w:r>
      <w:r w:rsidR="0023200A" w:rsidRPr="002F50BD">
        <w:rPr>
          <w:rFonts w:ascii="Verdana" w:hAnsi="Verdana"/>
          <w:sz w:val="16"/>
          <w:lang w:val="pt-BR"/>
        </w:rPr>
        <w:t>ã</w:t>
      </w:r>
      <w:r w:rsidRPr="002F50BD">
        <w:rPr>
          <w:rFonts w:ascii="Verdana" w:hAnsi="Verdana"/>
          <w:sz w:val="16"/>
          <w:lang w:val="pt-BR"/>
        </w:rPr>
        <w:t xml:space="preserve">o </w:t>
      </w:r>
      <w:r w:rsidR="0089298C" w:rsidRPr="002F50BD">
        <w:rPr>
          <w:rFonts w:ascii="Verdana" w:hAnsi="Verdana"/>
          <w:sz w:val="16"/>
          <w:lang w:val="pt-BR"/>
        </w:rPr>
        <w:t>trabalh</w:t>
      </w:r>
      <w:r w:rsidRPr="002F50BD">
        <w:rPr>
          <w:rFonts w:ascii="Verdana" w:hAnsi="Verdana"/>
          <w:sz w:val="16"/>
          <w:lang w:val="pt-BR"/>
        </w:rPr>
        <w:t>a</w:t>
      </w:r>
      <w:r w:rsidR="0023200A" w:rsidRPr="002F50BD">
        <w:rPr>
          <w:rFonts w:ascii="Verdana" w:hAnsi="Verdana"/>
          <w:sz w:val="16"/>
          <w:lang w:val="pt-BR"/>
        </w:rPr>
        <w:t>ram</w:t>
      </w:r>
      <w:r w:rsidR="0089298C" w:rsidRPr="002F50BD">
        <w:rPr>
          <w:rFonts w:ascii="Verdana" w:hAnsi="Verdana"/>
          <w:sz w:val="16"/>
          <w:lang w:val="pt-BR"/>
        </w:rPr>
        <w:t xml:space="preserve"> </w:t>
      </w:r>
      <w:r w:rsidR="0023200A" w:rsidRPr="002F50BD">
        <w:rPr>
          <w:rFonts w:ascii="Verdana" w:hAnsi="Verdana"/>
          <w:sz w:val="16"/>
          <w:lang w:val="pt-BR"/>
        </w:rPr>
        <w:t>da</w:t>
      </w:r>
      <w:r w:rsidR="0089298C" w:rsidRPr="002F50BD">
        <w:rPr>
          <w:rFonts w:ascii="Verdana" w:hAnsi="Verdana"/>
          <w:sz w:val="16"/>
          <w:lang w:val="pt-BR"/>
        </w:rPr>
        <w:t xml:space="preserve"> </w:t>
      </w:r>
      <w:r w:rsidRPr="002F50BD">
        <w:rPr>
          <w:rFonts w:ascii="Verdana" w:hAnsi="Verdana"/>
          <w:sz w:val="16"/>
          <w:lang w:val="pt-BR"/>
        </w:rPr>
        <w:t>forma</w:t>
      </w:r>
      <w:r w:rsidR="0089298C" w:rsidRPr="002F50BD">
        <w:rPr>
          <w:rFonts w:ascii="Verdana" w:hAnsi="Verdana"/>
          <w:sz w:val="16"/>
          <w:lang w:val="pt-BR"/>
        </w:rPr>
        <w:t xml:space="preserve"> </w:t>
      </w:r>
      <w:r w:rsidR="0023200A" w:rsidRPr="002F50BD">
        <w:rPr>
          <w:rFonts w:ascii="Verdana" w:hAnsi="Verdana"/>
          <w:sz w:val="16"/>
          <w:lang w:val="pt-BR"/>
        </w:rPr>
        <w:t xml:space="preserve">que </w:t>
      </w:r>
      <w:r w:rsidRPr="002F50BD">
        <w:rPr>
          <w:rFonts w:ascii="Verdana" w:hAnsi="Verdana"/>
          <w:sz w:val="16"/>
          <w:lang w:val="pt-BR"/>
        </w:rPr>
        <w:t>corresponde,</w:t>
      </w:r>
      <w:r w:rsidR="0089298C" w:rsidRPr="002F50BD">
        <w:rPr>
          <w:rFonts w:ascii="Verdana" w:hAnsi="Verdana"/>
          <w:sz w:val="16"/>
          <w:lang w:val="pt-BR"/>
        </w:rPr>
        <w:t xml:space="preserve"> </w:t>
      </w:r>
      <w:r w:rsidR="0023200A" w:rsidRPr="002F50BD">
        <w:rPr>
          <w:rFonts w:ascii="Verdana" w:hAnsi="Verdana"/>
          <w:sz w:val="16"/>
          <w:lang w:val="pt-BR"/>
        </w:rPr>
        <w:t>de</w:t>
      </w:r>
      <w:r w:rsidR="0089298C" w:rsidRPr="002F50BD">
        <w:rPr>
          <w:rFonts w:ascii="Verdana" w:hAnsi="Verdana"/>
          <w:sz w:val="16"/>
          <w:lang w:val="pt-BR"/>
        </w:rPr>
        <w:t xml:space="preserve"> </w:t>
      </w:r>
      <w:r w:rsidRPr="002F50BD">
        <w:rPr>
          <w:rFonts w:ascii="Verdana" w:hAnsi="Verdana"/>
          <w:sz w:val="16"/>
          <w:lang w:val="pt-BR"/>
        </w:rPr>
        <w:t xml:space="preserve">forma legal, digamos </w:t>
      </w:r>
      <w:r w:rsidR="0089298C" w:rsidRPr="002F50BD">
        <w:rPr>
          <w:rFonts w:ascii="Verdana" w:hAnsi="Verdana"/>
          <w:sz w:val="16"/>
          <w:lang w:val="pt-BR"/>
        </w:rPr>
        <w:t>assim</w:t>
      </w:r>
      <w:r w:rsidRPr="002F50BD">
        <w:rPr>
          <w:rFonts w:ascii="Verdana" w:hAnsi="Verdana"/>
          <w:sz w:val="16"/>
          <w:lang w:val="pt-BR"/>
        </w:rPr>
        <w:t>,</w:t>
      </w:r>
      <w:r w:rsidR="0089298C" w:rsidRPr="002F50BD">
        <w:rPr>
          <w:rFonts w:ascii="Verdana" w:hAnsi="Verdana"/>
          <w:sz w:val="16"/>
          <w:lang w:val="pt-BR"/>
        </w:rPr>
        <w:t xml:space="preserve"> o Governo</w:t>
      </w:r>
      <w:r w:rsidR="0023200A" w:rsidRPr="002F50BD">
        <w:rPr>
          <w:rFonts w:ascii="Verdana" w:hAnsi="Verdana"/>
          <w:sz w:val="16"/>
          <w:lang w:val="pt-BR"/>
        </w:rPr>
        <w:t xml:space="preserve"> do</w:t>
      </w:r>
      <w:r w:rsidRPr="002F50BD">
        <w:rPr>
          <w:rFonts w:ascii="Verdana" w:hAnsi="Verdana"/>
          <w:sz w:val="16"/>
          <w:lang w:val="pt-BR"/>
        </w:rPr>
        <w:t xml:space="preserve"> </w:t>
      </w:r>
      <w:r w:rsidR="0089298C" w:rsidRPr="002F50BD">
        <w:rPr>
          <w:rFonts w:ascii="Verdana" w:hAnsi="Verdana"/>
          <w:sz w:val="16"/>
          <w:lang w:val="pt-BR"/>
        </w:rPr>
        <w:t>Paraguai</w:t>
      </w:r>
      <w:r w:rsidRPr="002F50BD">
        <w:rPr>
          <w:rFonts w:ascii="Verdana" w:hAnsi="Verdana"/>
          <w:sz w:val="16"/>
          <w:lang w:val="pt-BR"/>
        </w:rPr>
        <w:t xml:space="preserve"> </w:t>
      </w:r>
      <w:r w:rsidR="0089298C" w:rsidRPr="002F50BD">
        <w:rPr>
          <w:rFonts w:ascii="Verdana" w:hAnsi="Verdana"/>
          <w:sz w:val="16"/>
          <w:lang w:val="pt-BR"/>
        </w:rPr>
        <w:t xml:space="preserve">pode fazer o que </w:t>
      </w:r>
      <w:r w:rsidR="0023200A" w:rsidRPr="002F50BD">
        <w:rPr>
          <w:rFonts w:ascii="Verdana" w:hAnsi="Verdana"/>
          <w:sz w:val="16"/>
          <w:lang w:val="pt-BR"/>
        </w:rPr>
        <w:t>quiser</w:t>
      </w:r>
      <w:r w:rsidRPr="002F50BD">
        <w:rPr>
          <w:rFonts w:ascii="Verdana" w:hAnsi="Verdana"/>
          <w:sz w:val="16"/>
          <w:lang w:val="pt-BR"/>
        </w:rPr>
        <w:t>, n</w:t>
      </w:r>
      <w:r w:rsidR="0023200A" w:rsidRPr="002F50BD">
        <w:rPr>
          <w:rFonts w:ascii="Verdana" w:hAnsi="Verdana"/>
          <w:sz w:val="16"/>
          <w:lang w:val="pt-BR"/>
        </w:rPr>
        <w:t>ã</w:t>
      </w:r>
      <w:r w:rsidRPr="002F50BD">
        <w:rPr>
          <w:rFonts w:ascii="Verdana" w:hAnsi="Verdana"/>
          <w:sz w:val="16"/>
          <w:lang w:val="pt-BR"/>
        </w:rPr>
        <w:t xml:space="preserve">o </w:t>
      </w:r>
      <w:r w:rsidRPr="002F50BD">
        <w:rPr>
          <w:rFonts w:ascii="Verdana" w:hAnsi="Verdana"/>
          <w:sz w:val="16"/>
          <w:lang w:val="pt-BR"/>
        </w:rPr>
        <w:lastRenderedPageBreak/>
        <w:t>consultar</w:t>
      </w:r>
      <w:r w:rsidR="0089298C" w:rsidRPr="002F50BD">
        <w:rPr>
          <w:rFonts w:ascii="Verdana" w:hAnsi="Verdana"/>
          <w:sz w:val="16"/>
          <w:lang w:val="pt-BR"/>
        </w:rPr>
        <w:t xml:space="preserve"> os povo</w:t>
      </w:r>
      <w:r w:rsidRPr="002F50BD">
        <w:rPr>
          <w:rFonts w:ascii="Verdana" w:hAnsi="Verdana"/>
          <w:sz w:val="16"/>
          <w:lang w:val="pt-BR"/>
        </w:rPr>
        <w:t>s indígenas, podemos</w:t>
      </w:r>
      <w:r w:rsidR="0089298C" w:rsidRPr="002F50BD">
        <w:rPr>
          <w:rFonts w:ascii="Verdana" w:hAnsi="Verdana"/>
          <w:sz w:val="16"/>
          <w:lang w:val="pt-BR"/>
        </w:rPr>
        <w:t xml:space="preserve"> fazer </w:t>
      </w:r>
      <w:r w:rsidR="0023200A" w:rsidRPr="002F50BD">
        <w:rPr>
          <w:rFonts w:ascii="Verdana" w:hAnsi="Verdana"/>
          <w:sz w:val="16"/>
          <w:lang w:val="pt-BR"/>
        </w:rPr>
        <w:t>o esclarecimento</w:t>
      </w:r>
      <w:r w:rsidRPr="002F50BD">
        <w:rPr>
          <w:rFonts w:ascii="Verdana" w:hAnsi="Verdana"/>
          <w:sz w:val="16"/>
          <w:lang w:val="pt-BR"/>
        </w:rPr>
        <w:t>, porque</w:t>
      </w:r>
      <w:r w:rsidR="0089298C" w:rsidRPr="002F50BD">
        <w:rPr>
          <w:rFonts w:ascii="Verdana" w:hAnsi="Verdana"/>
          <w:sz w:val="16"/>
          <w:lang w:val="pt-BR"/>
        </w:rPr>
        <w:t xml:space="preserve"> se a </w:t>
      </w:r>
      <w:r w:rsidR="00DB51F0" w:rsidRPr="002F50BD">
        <w:rPr>
          <w:rFonts w:ascii="Verdana" w:hAnsi="Verdana"/>
          <w:sz w:val="16"/>
          <w:lang w:val="pt-BR"/>
        </w:rPr>
        <w:t>Câmara</w:t>
      </w:r>
      <w:r w:rsidRPr="002F50BD">
        <w:rPr>
          <w:rFonts w:ascii="Verdana" w:hAnsi="Verdana"/>
          <w:sz w:val="16"/>
          <w:lang w:val="pt-BR"/>
        </w:rPr>
        <w:t xml:space="preserve"> de </w:t>
      </w:r>
      <w:r w:rsidR="00F76AC5" w:rsidRPr="002F50BD">
        <w:rPr>
          <w:rFonts w:ascii="Verdana" w:hAnsi="Verdana"/>
          <w:sz w:val="16"/>
          <w:lang w:val="pt-BR"/>
        </w:rPr>
        <w:t>Deputad</w:t>
      </w:r>
      <w:r w:rsidRPr="002F50BD">
        <w:rPr>
          <w:rFonts w:ascii="Verdana" w:hAnsi="Verdana"/>
          <w:sz w:val="16"/>
          <w:lang w:val="pt-BR"/>
        </w:rPr>
        <w:t xml:space="preserve">os </w:t>
      </w:r>
      <w:r w:rsidR="0089298C" w:rsidRPr="002F50BD">
        <w:rPr>
          <w:rFonts w:ascii="Verdana" w:hAnsi="Verdana"/>
          <w:sz w:val="16"/>
          <w:lang w:val="pt-BR"/>
        </w:rPr>
        <w:t>tinha</w:t>
      </w:r>
      <w:r w:rsidRPr="002F50BD">
        <w:rPr>
          <w:rFonts w:ascii="Verdana" w:hAnsi="Verdana"/>
          <w:sz w:val="16"/>
          <w:lang w:val="pt-BR"/>
        </w:rPr>
        <w:t xml:space="preserve"> </w:t>
      </w:r>
      <w:r w:rsidR="0089298C" w:rsidRPr="002F50BD">
        <w:rPr>
          <w:rFonts w:ascii="Verdana" w:hAnsi="Verdana"/>
          <w:sz w:val="16"/>
          <w:lang w:val="pt-BR"/>
        </w:rPr>
        <w:t xml:space="preserve">interesse </w:t>
      </w:r>
      <w:r w:rsidR="0023200A" w:rsidRPr="002F50BD">
        <w:rPr>
          <w:rFonts w:ascii="Verdana" w:hAnsi="Verdana"/>
          <w:sz w:val="16"/>
          <w:lang w:val="pt-BR"/>
        </w:rPr>
        <w:t>em</w:t>
      </w:r>
      <w:r w:rsidRPr="002F50BD">
        <w:rPr>
          <w:rFonts w:ascii="Verdana" w:hAnsi="Verdana"/>
          <w:sz w:val="16"/>
          <w:lang w:val="pt-BR"/>
        </w:rPr>
        <w:t xml:space="preserve"> solucionar</w:t>
      </w:r>
      <w:r w:rsidR="0089298C" w:rsidRPr="002F50BD">
        <w:rPr>
          <w:rFonts w:ascii="Verdana" w:hAnsi="Verdana"/>
          <w:sz w:val="16"/>
          <w:lang w:val="pt-BR"/>
        </w:rPr>
        <w:t xml:space="preserve"> o </w:t>
      </w:r>
      <w:r w:rsidRPr="002F50BD">
        <w:rPr>
          <w:rFonts w:ascii="Verdana" w:hAnsi="Verdana"/>
          <w:sz w:val="16"/>
          <w:lang w:val="pt-BR"/>
        </w:rPr>
        <w:t>problema, por</w:t>
      </w:r>
      <w:r w:rsidR="00571527" w:rsidRPr="002F50BD">
        <w:rPr>
          <w:rFonts w:ascii="Verdana" w:hAnsi="Verdana"/>
          <w:sz w:val="16"/>
          <w:lang w:val="pt-BR"/>
        </w:rPr>
        <w:t xml:space="preserve"> que</w:t>
      </w:r>
      <w:r w:rsidRPr="002F50BD">
        <w:rPr>
          <w:rFonts w:ascii="Verdana" w:hAnsi="Verdana"/>
          <w:sz w:val="16"/>
          <w:lang w:val="pt-BR"/>
        </w:rPr>
        <w:t xml:space="preserve"> n</w:t>
      </w:r>
      <w:r w:rsidR="0023200A" w:rsidRPr="002F50BD">
        <w:rPr>
          <w:rFonts w:ascii="Verdana" w:hAnsi="Verdana"/>
          <w:sz w:val="16"/>
          <w:lang w:val="pt-BR"/>
        </w:rPr>
        <w:t>ã</w:t>
      </w:r>
      <w:r w:rsidRPr="002F50BD">
        <w:rPr>
          <w:rFonts w:ascii="Verdana" w:hAnsi="Verdana"/>
          <w:sz w:val="16"/>
          <w:lang w:val="pt-BR"/>
        </w:rPr>
        <w:t xml:space="preserve">o </w:t>
      </w:r>
      <w:r w:rsidR="00CC31B6" w:rsidRPr="002F50BD">
        <w:rPr>
          <w:rFonts w:ascii="Verdana" w:hAnsi="Verdana"/>
          <w:sz w:val="16"/>
          <w:lang w:val="pt-BR"/>
        </w:rPr>
        <w:t>chega</w:t>
      </w:r>
      <w:r w:rsidR="0089298C" w:rsidRPr="002F50BD">
        <w:rPr>
          <w:rFonts w:ascii="Verdana" w:hAnsi="Verdana"/>
          <w:sz w:val="16"/>
          <w:lang w:val="pt-BR"/>
        </w:rPr>
        <w:t xml:space="preserve"> à </w:t>
      </w:r>
      <w:r w:rsidRPr="002F50BD">
        <w:rPr>
          <w:rFonts w:ascii="Verdana" w:hAnsi="Verdana"/>
          <w:sz w:val="16"/>
          <w:lang w:val="pt-BR"/>
        </w:rPr>
        <w:t>Comu</w:t>
      </w:r>
      <w:r w:rsidR="00AB454A" w:rsidRPr="002F50BD">
        <w:rPr>
          <w:rFonts w:ascii="Verdana" w:hAnsi="Verdana"/>
          <w:sz w:val="16"/>
          <w:lang w:val="pt-BR"/>
        </w:rPr>
        <w:t xml:space="preserve">nidade, </w:t>
      </w:r>
      <w:r w:rsidRPr="002F50BD">
        <w:rPr>
          <w:rFonts w:ascii="Verdana" w:hAnsi="Verdana"/>
          <w:sz w:val="16"/>
          <w:lang w:val="pt-BR"/>
        </w:rPr>
        <w:t xml:space="preserve">se </w:t>
      </w:r>
      <w:r w:rsidR="0023200A" w:rsidRPr="002F50BD">
        <w:rPr>
          <w:rFonts w:ascii="Verdana" w:hAnsi="Verdana"/>
          <w:sz w:val="16"/>
          <w:lang w:val="pt-BR"/>
        </w:rPr>
        <w:t xml:space="preserve">reúne </w:t>
      </w:r>
      <w:r w:rsidR="0089298C" w:rsidRPr="002F50BD">
        <w:rPr>
          <w:rFonts w:ascii="Verdana" w:hAnsi="Verdana"/>
          <w:sz w:val="16"/>
          <w:lang w:val="pt-BR"/>
        </w:rPr>
        <w:t xml:space="preserve">com a </w:t>
      </w:r>
      <w:r w:rsidRPr="002F50BD">
        <w:rPr>
          <w:rFonts w:ascii="Verdana" w:hAnsi="Verdana"/>
          <w:sz w:val="16"/>
          <w:lang w:val="pt-BR"/>
        </w:rPr>
        <w:t xml:space="preserve">gente, queremos </w:t>
      </w:r>
      <w:r w:rsidR="0089298C" w:rsidRPr="002F50BD">
        <w:rPr>
          <w:rFonts w:ascii="Verdana" w:hAnsi="Verdana"/>
          <w:sz w:val="16"/>
          <w:lang w:val="pt-BR"/>
        </w:rPr>
        <w:t>pergunta</w:t>
      </w:r>
      <w:r w:rsidRPr="002F50BD">
        <w:rPr>
          <w:rFonts w:ascii="Verdana" w:hAnsi="Verdana"/>
          <w:sz w:val="16"/>
          <w:lang w:val="pt-BR"/>
        </w:rPr>
        <w:t xml:space="preserve">r </w:t>
      </w:r>
      <w:r w:rsidR="0023200A" w:rsidRPr="002F50BD">
        <w:rPr>
          <w:rFonts w:ascii="Verdana" w:hAnsi="Verdana"/>
          <w:sz w:val="16"/>
          <w:lang w:val="pt-BR"/>
        </w:rPr>
        <w:t xml:space="preserve">sobre </w:t>
      </w:r>
      <w:r w:rsidRPr="002F50BD">
        <w:rPr>
          <w:rFonts w:ascii="Verdana" w:hAnsi="Verdana"/>
          <w:sz w:val="16"/>
          <w:lang w:val="pt-BR"/>
        </w:rPr>
        <w:t>esta oferta, temos</w:t>
      </w:r>
      <w:r w:rsidR="0089298C" w:rsidRPr="002F50BD">
        <w:rPr>
          <w:rFonts w:ascii="Verdana" w:hAnsi="Verdana"/>
          <w:sz w:val="16"/>
          <w:lang w:val="pt-BR"/>
        </w:rPr>
        <w:t xml:space="preserve"> um </w:t>
      </w:r>
      <w:r w:rsidRPr="002F50BD">
        <w:rPr>
          <w:rFonts w:ascii="Verdana" w:hAnsi="Verdana"/>
          <w:sz w:val="16"/>
          <w:lang w:val="pt-BR"/>
        </w:rPr>
        <w:t>lugar, […] buscamos</w:t>
      </w:r>
      <w:r w:rsidR="0089298C" w:rsidRPr="002F50BD">
        <w:rPr>
          <w:rFonts w:ascii="Verdana" w:hAnsi="Verdana"/>
          <w:sz w:val="16"/>
          <w:lang w:val="pt-BR"/>
        </w:rPr>
        <w:t xml:space="preserve"> uma </w:t>
      </w:r>
      <w:r w:rsidRPr="002F50BD">
        <w:rPr>
          <w:rFonts w:ascii="Verdana" w:hAnsi="Verdana"/>
          <w:sz w:val="16"/>
          <w:lang w:val="pt-BR"/>
        </w:rPr>
        <w:t>solu</w:t>
      </w:r>
      <w:r w:rsidR="0089298C" w:rsidRPr="002F50BD">
        <w:rPr>
          <w:rFonts w:ascii="Verdana" w:hAnsi="Verdana"/>
          <w:sz w:val="16"/>
          <w:lang w:val="pt-BR"/>
        </w:rPr>
        <w:t>ção</w:t>
      </w:r>
      <w:r w:rsidRPr="002F50BD">
        <w:rPr>
          <w:rFonts w:ascii="Verdana" w:hAnsi="Verdana"/>
          <w:sz w:val="16"/>
          <w:lang w:val="pt-BR"/>
        </w:rPr>
        <w:t xml:space="preserve">, </w:t>
      </w:r>
      <w:r w:rsidR="0023200A" w:rsidRPr="002F50BD">
        <w:rPr>
          <w:rFonts w:ascii="Verdana" w:hAnsi="Verdana"/>
          <w:sz w:val="16"/>
          <w:lang w:val="pt-BR"/>
        </w:rPr>
        <w:t xml:space="preserve">você </w:t>
      </w:r>
      <w:r w:rsidR="0089298C" w:rsidRPr="002F50BD">
        <w:rPr>
          <w:rFonts w:ascii="Verdana" w:hAnsi="Verdana"/>
          <w:sz w:val="16"/>
          <w:lang w:val="pt-BR"/>
        </w:rPr>
        <w:t xml:space="preserve">poderá </w:t>
      </w:r>
      <w:r w:rsidRPr="002F50BD">
        <w:rPr>
          <w:rFonts w:ascii="Verdana" w:hAnsi="Verdana"/>
          <w:sz w:val="16"/>
          <w:lang w:val="pt-BR"/>
        </w:rPr>
        <w:t xml:space="preserve">estar de </w:t>
      </w:r>
      <w:r w:rsidR="0089298C" w:rsidRPr="002F50BD">
        <w:rPr>
          <w:rFonts w:ascii="Verdana" w:hAnsi="Verdana"/>
          <w:sz w:val="16"/>
          <w:lang w:val="pt-BR"/>
        </w:rPr>
        <w:t>acordo</w:t>
      </w:r>
      <w:r w:rsidRPr="002F50BD">
        <w:rPr>
          <w:rFonts w:ascii="Verdana" w:hAnsi="Verdana"/>
          <w:sz w:val="16"/>
          <w:lang w:val="pt-BR"/>
        </w:rPr>
        <w:t xml:space="preserve"> o</w:t>
      </w:r>
      <w:r w:rsidR="0023200A" w:rsidRPr="002F50BD">
        <w:rPr>
          <w:rFonts w:ascii="Verdana" w:hAnsi="Verdana"/>
          <w:sz w:val="16"/>
          <w:lang w:val="pt-BR"/>
        </w:rPr>
        <w:t>u</w:t>
      </w:r>
      <w:r w:rsidRPr="002F50BD">
        <w:rPr>
          <w:rFonts w:ascii="Verdana" w:hAnsi="Verdana"/>
          <w:sz w:val="16"/>
          <w:lang w:val="pt-BR"/>
        </w:rPr>
        <w:t xml:space="preserve"> n</w:t>
      </w:r>
      <w:r w:rsidR="0023200A" w:rsidRPr="002F50BD">
        <w:rPr>
          <w:rFonts w:ascii="Verdana" w:hAnsi="Verdana"/>
          <w:sz w:val="16"/>
          <w:lang w:val="pt-BR"/>
        </w:rPr>
        <w:t>ã</w:t>
      </w:r>
      <w:r w:rsidRPr="002F50BD">
        <w:rPr>
          <w:rFonts w:ascii="Verdana" w:hAnsi="Verdana"/>
          <w:sz w:val="16"/>
          <w:lang w:val="pt-BR"/>
        </w:rPr>
        <w:t xml:space="preserve">o estar de </w:t>
      </w:r>
      <w:r w:rsidR="0089298C" w:rsidRPr="002F50BD">
        <w:rPr>
          <w:rFonts w:ascii="Verdana" w:hAnsi="Verdana"/>
          <w:sz w:val="16"/>
          <w:lang w:val="pt-BR"/>
        </w:rPr>
        <w:t>acordo</w:t>
      </w:r>
      <w:r w:rsidRPr="002F50BD">
        <w:rPr>
          <w:rFonts w:ascii="Verdana" w:hAnsi="Verdana"/>
          <w:sz w:val="16"/>
          <w:lang w:val="pt-BR"/>
        </w:rPr>
        <w:t xml:space="preserve">, </w:t>
      </w:r>
      <w:r w:rsidR="0089298C" w:rsidRPr="002F50BD">
        <w:rPr>
          <w:rFonts w:ascii="Verdana" w:hAnsi="Verdana"/>
          <w:sz w:val="16"/>
          <w:lang w:val="pt-BR"/>
        </w:rPr>
        <w:t>mas</w:t>
      </w:r>
      <w:r w:rsidRPr="002F50BD">
        <w:rPr>
          <w:rFonts w:ascii="Verdana" w:hAnsi="Verdana"/>
          <w:sz w:val="16"/>
          <w:lang w:val="pt-BR"/>
        </w:rPr>
        <w:t xml:space="preserve"> </w:t>
      </w:r>
      <w:r w:rsidR="0023200A" w:rsidRPr="002F50BD">
        <w:rPr>
          <w:rFonts w:ascii="Verdana" w:hAnsi="Verdana"/>
          <w:sz w:val="16"/>
          <w:lang w:val="pt-BR"/>
        </w:rPr>
        <w:t>nós rece</w:t>
      </w:r>
      <w:r w:rsidR="00FC6B22" w:rsidRPr="002F50BD">
        <w:rPr>
          <w:rFonts w:ascii="Verdana" w:hAnsi="Verdana"/>
          <w:sz w:val="16"/>
          <w:lang w:val="pt-BR"/>
        </w:rPr>
        <w:t>be</w:t>
      </w:r>
      <w:r w:rsidRPr="002F50BD">
        <w:rPr>
          <w:rFonts w:ascii="Verdana" w:hAnsi="Verdana"/>
          <w:sz w:val="16"/>
          <w:lang w:val="pt-BR"/>
        </w:rPr>
        <w:t>mos</w:t>
      </w:r>
      <w:r w:rsidR="0089298C" w:rsidRPr="002F50BD">
        <w:rPr>
          <w:rFonts w:ascii="Verdana" w:hAnsi="Verdana"/>
          <w:sz w:val="16"/>
          <w:lang w:val="pt-BR"/>
        </w:rPr>
        <w:t xml:space="preserve"> a </w:t>
      </w:r>
      <w:r w:rsidRPr="002F50BD">
        <w:rPr>
          <w:rFonts w:ascii="Verdana" w:hAnsi="Verdana"/>
          <w:sz w:val="16"/>
          <w:lang w:val="pt-BR"/>
        </w:rPr>
        <w:t>notifica</w:t>
      </w:r>
      <w:r w:rsidR="0089298C" w:rsidRPr="002F50BD">
        <w:rPr>
          <w:rFonts w:ascii="Verdana" w:hAnsi="Verdana"/>
          <w:sz w:val="16"/>
          <w:lang w:val="pt-BR"/>
        </w:rPr>
        <w:t xml:space="preserve">ção sem </w:t>
      </w:r>
      <w:r w:rsidRPr="002F50BD">
        <w:rPr>
          <w:rFonts w:ascii="Verdana" w:hAnsi="Verdana"/>
          <w:sz w:val="16"/>
          <w:lang w:val="pt-BR"/>
        </w:rPr>
        <w:t xml:space="preserve">consulta, </w:t>
      </w:r>
      <w:r w:rsidR="0089298C" w:rsidRPr="002F50BD">
        <w:rPr>
          <w:rFonts w:ascii="Verdana" w:hAnsi="Verdana"/>
          <w:sz w:val="16"/>
          <w:lang w:val="pt-BR"/>
        </w:rPr>
        <w:t>assim</w:t>
      </w:r>
      <w:r w:rsidR="00F04F59">
        <w:rPr>
          <w:rFonts w:ascii="Verdana" w:hAnsi="Verdana"/>
          <w:sz w:val="16"/>
          <w:lang w:val="pt-BR"/>
        </w:rPr>
        <w:t>,</w:t>
      </w:r>
      <w:r w:rsidRPr="002F50BD">
        <w:rPr>
          <w:rFonts w:ascii="Verdana" w:hAnsi="Verdana"/>
          <w:sz w:val="16"/>
          <w:lang w:val="pt-BR"/>
        </w:rPr>
        <w:t xml:space="preserve"> r</w:t>
      </w:r>
      <w:r w:rsidR="0023200A" w:rsidRPr="002F50BD">
        <w:rPr>
          <w:rFonts w:ascii="Verdana" w:hAnsi="Verdana"/>
          <w:sz w:val="16"/>
          <w:lang w:val="pt-BR"/>
        </w:rPr>
        <w:t>a</w:t>
      </w:r>
      <w:r w:rsidRPr="002F50BD">
        <w:rPr>
          <w:rFonts w:ascii="Verdana" w:hAnsi="Verdana"/>
          <w:sz w:val="16"/>
          <w:lang w:val="pt-BR"/>
        </w:rPr>
        <w:t>pidamente</w:t>
      </w:r>
      <w:r w:rsidR="00F04F59">
        <w:rPr>
          <w:rFonts w:ascii="Verdana" w:hAnsi="Verdana"/>
          <w:sz w:val="16"/>
          <w:lang w:val="pt-BR"/>
        </w:rPr>
        <w:t>,</w:t>
      </w:r>
      <w:r w:rsidRPr="002F50BD">
        <w:rPr>
          <w:rFonts w:ascii="Verdana" w:hAnsi="Verdana"/>
          <w:sz w:val="16"/>
          <w:lang w:val="pt-BR"/>
        </w:rPr>
        <w:t xml:space="preserve"> </w:t>
      </w:r>
      <w:r w:rsidR="0023200A" w:rsidRPr="002F50BD">
        <w:rPr>
          <w:rFonts w:ascii="Verdana" w:hAnsi="Verdana"/>
          <w:sz w:val="16"/>
          <w:lang w:val="pt-BR"/>
        </w:rPr>
        <w:t xml:space="preserve">quisemos </w:t>
      </w:r>
      <w:r w:rsidR="0089298C" w:rsidRPr="002F50BD">
        <w:rPr>
          <w:rFonts w:ascii="Verdana" w:hAnsi="Verdana"/>
          <w:sz w:val="16"/>
          <w:lang w:val="pt-BR"/>
        </w:rPr>
        <w:t>fazer e depois</w:t>
      </w:r>
      <w:r w:rsidRPr="002F50BD">
        <w:rPr>
          <w:rFonts w:ascii="Verdana" w:hAnsi="Verdana"/>
          <w:sz w:val="16"/>
          <w:lang w:val="pt-BR"/>
        </w:rPr>
        <w:t xml:space="preserve"> vendo</w:t>
      </w:r>
      <w:r w:rsidR="0089298C" w:rsidRPr="002F50BD">
        <w:rPr>
          <w:rFonts w:ascii="Verdana" w:hAnsi="Verdana"/>
          <w:sz w:val="16"/>
          <w:lang w:val="pt-BR"/>
        </w:rPr>
        <w:t xml:space="preserve"> os </w:t>
      </w:r>
      <w:r w:rsidR="007801FA" w:rsidRPr="002F50BD">
        <w:rPr>
          <w:rFonts w:ascii="Verdana" w:hAnsi="Verdana"/>
          <w:sz w:val="16"/>
          <w:lang w:val="pt-BR"/>
        </w:rPr>
        <w:t>proprietário</w:t>
      </w:r>
      <w:r w:rsidRPr="002F50BD">
        <w:rPr>
          <w:rFonts w:ascii="Verdana" w:hAnsi="Verdana"/>
          <w:sz w:val="16"/>
          <w:lang w:val="pt-BR"/>
        </w:rPr>
        <w:t>s</w:t>
      </w:r>
      <w:r w:rsidR="0089298C" w:rsidRPr="002F50BD">
        <w:rPr>
          <w:rFonts w:ascii="Verdana" w:hAnsi="Verdana"/>
          <w:sz w:val="16"/>
          <w:lang w:val="pt-BR"/>
        </w:rPr>
        <w:t xml:space="preserve"> com </w:t>
      </w:r>
      <w:r w:rsidRPr="002F50BD">
        <w:rPr>
          <w:rFonts w:ascii="Verdana" w:hAnsi="Verdana"/>
          <w:sz w:val="16"/>
          <w:lang w:val="pt-BR"/>
        </w:rPr>
        <w:t>papel</w:t>
      </w:r>
      <w:r w:rsidR="0089298C" w:rsidRPr="002F50BD">
        <w:rPr>
          <w:rFonts w:ascii="Verdana" w:hAnsi="Verdana"/>
          <w:sz w:val="16"/>
          <w:lang w:val="pt-BR"/>
        </w:rPr>
        <w:t xml:space="preserve"> </w:t>
      </w:r>
      <w:r w:rsidR="0023200A" w:rsidRPr="002F50BD">
        <w:rPr>
          <w:rFonts w:ascii="Verdana" w:hAnsi="Verdana"/>
          <w:sz w:val="16"/>
          <w:lang w:val="pt-BR"/>
        </w:rPr>
        <w:t>na mão</w:t>
      </w:r>
      <w:r w:rsidRPr="002F50BD">
        <w:rPr>
          <w:rFonts w:ascii="Verdana" w:hAnsi="Verdana"/>
          <w:sz w:val="16"/>
          <w:lang w:val="pt-BR"/>
        </w:rPr>
        <w:t>, toda</w:t>
      </w:r>
      <w:r w:rsidR="0089298C" w:rsidRPr="002F50BD">
        <w:rPr>
          <w:rFonts w:ascii="Verdana" w:hAnsi="Verdana"/>
          <w:sz w:val="16"/>
          <w:lang w:val="pt-BR"/>
        </w:rPr>
        <w:t xml:space="preserve"> a noite</w:t>
      </w:r>
      <w:r w:rsidRPr="002F50BD">
        <w:rPr>
          <w:rFonts w:ascii="Verdana" w:hAnsi="Verdana"/>
          <w:sz w:val="16"/>
          <w:lang w:val="pt-BR"/>
        </w:rPr>
        <w:t xml:space="preserve"> anda</w:t>
      </w:r>
      <w:r w:rsidR="0023200A" w:rsidRPr="002F50BD">
        <w:rPr>
          <w:rFonts w:ascii="Verdana" w:hAnsi="Verdana"/>
          <w:sz w:val="16"/>
          <w:lang w:val="pt-BR"/>
        </w:rPr>
        <w:t>ndo</w:t>
      </w:r>
      <w:r w:rsidRPr="002F50BD">
        <w:rPr>
          <w:rFonts w:ascii="Verdana" w:hAnsi="Verdana"/>
          <w:sz w:val="16"/>
          <w:lang w:val="pt-BR"/>
        </w:rPr>
        <w:t xml:space="preserve"> por mi</w:t>
      </w:r>
      <w:r w:rsidR="0023200A" w:rsidRPr="002F50BD">
        <w:rPr>
          <w:rFonts w:ascii="Verdana" w:hAnsi="Verdana"/>
          <w:sz w:val="16"/>
          <w:lang w:val="pt-BR"/>
        </w:rPr>
        <w:t>nha</w:t>
      </w:r>
      <w:r w:rsidRPr="002F50BD">
        <w:rPr>
          <w:rFonts w:ascii="Verdana" w:hAnsi="Verdana"/>
          <w:sz w:val="16"/>
          <w:lang w:val="pt-BR"/>
        </w:rPr>
        <w:t xml:space="preserve"> casa, […] </w:t>
      </w:r>
      <w:r w:rsidR="00FC6B22" w:rsidRPr="002F50BD">
        <w:rPr>
          <w:rFonts w:ascii="Verdana" w:hAnsi="Verdana"/>
          <w:sz w:val="16"/>
          <w:lang w:val="pt-BR"/>
        </w:rPr>
        <w:t>é preciso</w:t>
      </w:r>
      <w:r w:rsidR="0089298C" w:rsidRPr="002F50BD">
        <w:rPr>
          <w:rFonts w:ascii="Verdana" w:hAnsi="Verdana"/>
          <w:sz w:val="16"/>
          <w:lang w:val="pt-BR"/>
        </w:rPr>
        <w:t xml:space="preserve"> </w:t>
      </w:r>
      <w:r w:rsidRPr="002F50BD">
        <w:rPr>
          <w:rFonts w:ascii="Verdana" w:hAnsi="Verdana"/>
          <w:sz w:val="16"/>
          <w:lang w:val="pt-BR"/>
        </w:rPr>
        <w:t xml:space="preserve">saber, </w:t>
      </w:r>
      <w:r w:rsidR="00FC6B22" w:rsidRPr="002F50BD">
        <w:rPr>
          <w:rFonts w:ascii="Verdana" w:hAnsi="Verdana"/>
          <w:sz w:val="16"/>
          <w:lang w:val="pt-BR"/>
        </w:rPr>
        <w:t>é preciso</w:t>
      </w:r>
      <w:r w:rsidR="0089298C" w:rsidRPr="002F50BD">
        <w:rPr>
          <w:rFonts w:ascii="Verdana" w:hAnsi="Verdana"/>
          <w:sz w:val="16"/>
          <w:lang w:val="pt-BR"/>
        </w:rPr>
        <w:t xml:space="preserve"> </w:t>
      </w:r>
      <w:r w:rsidRPr="002F50BD">
        <w:rPr>
          <w:rFonts w:ascii="Verdana" w:hAnsi="Verdana"/>
          <w:sz w:val="16"/>
          <w:lang w:val="pt-BR"/>
        </w:rPr>
        <w:t xml:space="preserve">entender, </w:t>
      </w:r>
      <w:r w:rsidR="0089298C" w:rsidRPr="002F50BD">
        <w:rPr>
          <w:rFonts w:ascii="Verdana" w:hAnsi="Verdana"/>
          <w:sz w:val="16"/>
          <w:lang w:val="pt-BR"/>
        </w:rPr>
        <w:t>então</w:t>
      </w:r>
      <w:r w:rsidRPr="002F50BD">
        <w:rPr>
          <w:rFonts w:ascii="Verdana" w:hAnsi="Verdana"/>
          <w:sz w:val="16"/>
          <w:lang w:val="pt-BR"/>
        </w:rPr>
        <w:t>,</w:t>
      </w:r>
      <w:r w:rsidR="00313394" w:rsidRPr="002F50BD">
        <w:rPr>
          <w:rFonts w:ascii="Verdana" w:hAnsi="Verdana"/>
          <w:sz w:val="16"/>
          <w:lang w:val="pt-BR"/>
        </w:rPr>
        <w:t xml:space="preserve"> isso </w:t>
      </w:r>
      <w:r w:rsidR="0089298C" w:rsidRPr="002F50BD">
        <w:rPr>
          <w:rFonts w:ascii="Verdana" w:hAnsi="Verdana"/>
          <w:sz w:val="16"/>
          <w:lang w:val="pt-BR"/>
        </w:rPr>
        <w:t xml:space="preserve">é uma </w:t>
      </w:r>
      <w:r w:rsidRPr="002F50BD">
        <w:rPr>
          <w:rFonts w:ascii="Verdana" w:hAnsi="Verdana"/>
          <w:sz w:val="16"/>
          <w:lang w:val="pt-BR"/>
        </w:rPr>
        <w:t>viola</w:t>
      </w:r>
      <w:r w:rsidR="0089298C" w:rsidRPr="002F50BD">
        <w:rPr>
          <w:rFonts w:ascii="Verdana" w:hAnsi="Verdana"/>
          <w:sz w:val="16"/>
          <w:lang w:val="pt-BR"/>
        </w:rPr>
        <w:t>ção</w:t>
      </w:r>
      <w:r w:rsidRPr="002F50BD">
        <w:rPr>
          <w:rFonts w:ascii="Verdana" w:hAnsi="Verdana"/>
          <w:sz w:val="16"/>
          <w:lang w:val="pt-BR"/>
        </w:rPr>
        <w:t>, […]</w:t>
      </w:r>
      <w:r w:rsidR="0089298C" w:rsidRPr="002F50BD">
        <w:rPr>
          <w:rFonts w:ascii="Verdana" w:hAnsi="Verdana"/>
          <w:sz w:val="16"/>
          <w:lang w:val="pt-BR"/>
        </w:rPr>
        <w:t xml:space="preserve"> se tivesse</w:t>
      </w:r>
      <w:r w:rsidRPr="002F50BD">
        <w:rPr>
          <w:rFonts w:ascii="Verdana" w:hAnsi="Verdana"/>
          <w:sz w:val="16"/>
          <w:lang w:val="pt-BR"/>
        </w:rPr>
        <w:t xml:space="preserve"> sido</w:t>
      </w:r>
      <w:r w:rsidR="0089298C" w:rsidRPr="002F50BD">
        <w:rPr>
          <w:rFonts w:ascii="Verdana" w:hAnsi="Verdana"/>
          <w:sz w:val="16"/>
          <w:lang w:val="pt-BR"/>
        </w:rPr>
        <w:t xml:space="preserve"> a vontade do </w:t>
      </w:r>
      <w:r w:rsidRPr="002F50BD">
        <w:rPr>
          <w:rFonts w:ascii="Verdana" w:hAnsi="Verdana"/>
          <w:sz w:val="16"/>
          <w:lang w:val="pt-BR"/>
        </w:rPr>
        <w:t>Estado de buscar</w:t>
      </w:r>
      <w:r w:rsidR="0089298C" w:rsidRPr="002F50BD">
        <w:rPr>
          <w:rFonts w:ascii="Verdana" w:hAnsi="Verdana"/>
          <w:sz w:val="16"/>
          <w:lang w:val="pt-BR"/>
        </w:rPr>
        <w:t xml:space="preserve"> uma </w:t>
      </w:r>
      <w:r w:rsidRPr="002F50BD">
        <w:rPr>
          <w:rFonts w:ascii="Verdana" w:hAnsi="Verdana"/>
          <w:sz w:val="16"/>
          <w:lang w:val="pt-BR"/>
        </w:rPr>
        <w:t>sa</w:t>
      </w:r>
      <w:r w:rsidR="0023200A" w:rsidRPr="002F50BD">
        <w:rPr>
          <w:rFonts w:ascii="Verdana" w:hAnsi="Verdana"/>
          <w:sz w:val="16"/>
          <w:lang w:val="pt-BR"/>
        </w:rPr>
        <w:t>í</w:t>
      </w:r>
      <w:r w:rsidRPr="002F50BD">
        <w:rPr>
          <w:rFonts w:ascii="Verdana" w:hAnsi="Verdana"/>
          <w:sz w:val="16"/>
          <w:lang w:val="pt-BR"/>
        </w:rPr>
        <w:t xml:space="preserve">da, </w:t>
      </w:r>
      <w:r w:rsidR="0023200A" w:rsidRPr="002F50BD">
        <w:rPr>
          <w:rFonts w:ascii="Verdana" w:hAnsi="Verdana"/>
          <w:sz w:val="16"/>
          <w:lang w:val="pt-BR"/>
        </w:rPr>
        <w:t>bem</w:t>
      </w:r>
      <w:r w:rsidRPr="002F50BD">
        <w:rPr>
          <w:rFonts w:ascii="Verdana" w:hAnsi="Verdana"/>
          <w:sz w:val="16"/>
          <w:lang w:val="pt-BR"/>
        </w:rPr>
        <w:t xml:space="preserve">, nos reunimos </w:t>
      </w:r>
      <w:r w:rsidR="0089298C" w:rsidRPr="002F50BD">
        <w:rPr>
          <w:rFonts w:ascii="Verdana" w:hAnsi="Verdana"/>
          <w:sz w:val="16"/>
          <w:lang w:val="pt-BR"/>
        </w:rPr>
        <w:t>outra</w:t>
      </w:r>
      <w:r w:rsidRPr="002F50BD">
        <w:rPr>
          <w:rFonts w:ascii="Verdana" w:hAnsi="Verdana"/>
          <w:sz w:val="16"/>
          <w:lang w:val="pt-BR"/>
        </w:rPr>
        <w:t xml:space="preserve">s </w:t>
      </w:r>
      <w:r w:rsidR="0089298C" w:rsidRPr="002F50BD">
        <w:rPr>
          <w:rFonts w:ascii="Verdana" w:hAnsi="Verdana"/>
          <w:sz w:val="16"/>
          <w:lang w:val="pt-BR"/>
        </w:rPr>
        <w:t>vezes</w:t>
      </w:r>
      <w:r w:rsidRPr="002F50BD">
        <w:rPr>
          <w:rFonts w:ascii="Verdana" w:hAnsi="Verdana"/>
          <w:sz w:val="16"/>
          <w:lang w:val="pt-BR"/>
        </w:rPr>
        <w:t xml:space="preserve">, </w:t>
      </w:r>
      <w:r w:rsidR="00CC31B6" w:rsidRPr="002F50BD">
        <w:rPr>
          <w:rFonts w:ascii="Verdana" w:hAnsi="Verdana"/>
          <w:sz w:val="16"/>
          <w:lang w:val="pt-BR"/>
        </w:rPr>
        <w:t>chega</w:t>
      </w:r>
      <w:r w:rsidRPr="002F50BD">
        <w:rPr>
          <w:rFonts w:ascii="Verdana" w:hAnsi="Verdana"/>
          <w:sz w:val="16"/>
          <w:lang w:val="pt-BR"/>
        </w:rPr>
        <w:t>mos a</w:t>
      </w:r>
      <w:r w:rsidR="0089298C" w:rsidRPr="002F50BD">
        <w:rPr>
          <w:rFonts w:ascii="Verdana" w:hAnsi="Verdana"/>
          <w:sz w:val="16"/>
          <w:lang w:val="pt-BR"/>
        </w:rPr>
        <w:t xml:space="preserve"> um acordo</w:t>
      </w:r>
      <w:r w:rsidRPr="002F50BD">
        <w:rPr>
          <w:rFonts w:ascii="Verdana" w:hAnsi="Verdana"/>
          <w:sz w:val="16"/>
          <w:lang w:val="pt-BR"/>
        </w:rPr>
        <w:t xml:space="preserve">, </w:t>
      </w:r>
      <w:r w:rsidR="0023200A" w:rsidRPr="002F50BD">
        <w:rPr>
          <w:rFonts w:ascii="Verdana" w:hAnsi="Verdana"/>
          <w:sz w:val="16"/>
          <w:lang w:val="pt-BR"/>
        </w:rPr>
        <w:t xml:space="preserve">assinamos </w:t>
      </w:r>
      <w:r w:rsidRPr="002F50BD">
        <w:rPr>
          <w:rFonts w:ascii="Verdana" w:hAnsi="Verdana"/>
          <w:sz w:val="16"/>
          <w:lang w:val="pt-BR"/>
        </w:rPr>
        <w:t>todos, n</w:t>
      </w:r>
      <w:r w:rsidR="0023200A" w:rsidRPr="002F50BD">
        <w:rPr>
          <w:rFonts w:ascii="Verdana" w:hAnsi="Verdana"/>
          <w:sz w:val="16"/>
          <w:lang w:val="pt-BR"/>
        </w:rPr>
        <w:t>ã</w:t>
      </w:r>
      <w:r w:rsidRPr="002F50BD">
        <w:rPr>
          <w:rFonts w:ascii="Verdana" w:hAnsi="Verdana"/>
          <w:sz w:val="16"/>
          <w:lang w:val="pt-BR"/>
        </w:rPr>
        <w:t xml:space="preserve">o </w:t>
      </w:r>
      <w:r w:rsidR="0089298C" w:rsidRPr="002F50BD">
        <w:rPr>
          <w:rFonts w:ascii="Verdana" w:hAnsi="Verdana"/>
          <w:sz w:val="16"/>
          <w:lang w:val="pt-BR"/>
        </w:rPr>
        <w:t xml:space="preserve">há </w:t>
      </w:r>
      <w:r w:rsidRPr="002F50BD">
        <w:rPr>
          <w:rFonts w:ascii="Verdana" w:hAnsi="Verdana"/>
          <w:sz w:val="16"/>
          <w:lang w:val="pt-BR"/>
        </w:rPr>
        <w:t>problema, n</w:t>
      </w:r>
      <w:r w:rsidR="0023200A" w:rsidRPr="002F50BD">
        <w:rPr>
          <w:rFonts w:ascii="Verdana" w:hAnsi="Verdana"/>
          <w:sz w:val="16"/>
          <w:lang w:val="pt-BR"/>
        </w:rPr>
        <w:t>ã</w:t>
      </w:r>
      <w:r w:rsidRPr="002F50BD">
        <w:rPr>
          <w:rFonts w:ascii="Verdana" w:hAnsi="Verdana"/>
          <w:sz w:val="16"/>
          <w:lang w:val="pt-BR"/>
        </w:rPr>
        <w:t xml:space="preserve">o se </w:t>
      </w:r>
      <w:r w:rsidR="00F04F59">
        <w:rPr>
          <w:rFonts w:ascii="Verdana" w:hAnsi="Verdana"/>
          <w:sz w:val="16"/>
          <w:lang w:val="pt-BR"/>
        </w:rPr>
        <w:t xml:space="preserve">pode </w:t>
      </w:r>
      <w:r w:rsidR="00FE0E3C" w:rsidRPr="002F50BD">
        <w:rPr>
          <w:rFonts w:ascii="Verdana" w:hAnsi="Verdana"/>
          <w:sz w:val="16"/>
          <w:lang w:val="pt-BR"/>
        </w:rPr>
        <w:t xml:space="preserve">manipular </w:t>
      </w:r>
      <w:r w:rsidR="0089298C" w:rsidRPr="002F50BD">
        <w:rPr>
          <w:rFonts w:ascii="Verdana" w:hAnsi="Verdana"/>
          <w:sz w:val="16"/>
          <w:lang w:val="pt-BR"/>
        </w:rPr>
        <w:t xml:space="preserve">um </w:t>
      </w:r>
      <w:r w:rsidRPr="002F50BD">
        <w:rPr>
          <w:rFonts w:ascii="Verdana" w:hAnsi="Verdana"/>
          <w:sz w:val="16"/>
          <w:lang w:val="pt-BR"/>
        </w:rPr>
        <w:t>indígena [...].</w:t>
      </w:r>
    </w:p>
    <w:p w:rsidR="004756C1" w:rsidRPr="002F50BD" w:rsidRDefault="004756C1">
      <w:pPr>
        <w:ind w:left="720" w:right="720"/>
        <w:jc w:val="both"/>
        <w:rPr>
          <w:rFonts w:ascii="Verdana" w:hAnsi="Verdana"/>
          <w:sz w:val="16"/>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N</w:t>
      </w:r>
      <w:r w:rsidR="0023200A" w:rsidRPr="002F50BD">
        <w:rPr>
          <w:rFonts w:ascii="Verdana" w:hAnsi="Verdana"/>
          <w:sz w:val="16"/>
          <w:lang w:val="pt-BR"/>
        </w:rPr>
        <w:t>ó</w:t>
      </w:r>
      <w:r w:rsidRPr="002F50BD">
        <w:rPr>
          <w:rFonts w:ascii="Verdana" w:hAnsi="Verdana"/>
          <w:sz w:val="16"/>
          <w:lang w:val="pt-BR"/>
        </w:rPr>
        <w:t>s</w:t>
      </w:r>
      <w:r w:rsidR="0023200A" w:rsidRPr="002F50BD">
        <w:rPr>
          <w:rFonts w:ascii="Verdana" w:hAnsi="Verdana"/>
          <w:sz w:val="16"/>
          <w:lang w:val="pt-BR"/>
        </w:rPr>
        <w:t xml:space="preserve"> </w:t>
      </w:r>
      <w:r w:rsidRPr="002F50BD">
        <w:rPr>
          <w:rFonts w:ascii="Verdana" w:hAnsi="Verdana"/>
          <w:sz w:val="16"/>
          <w:lang w:val="pt-BR"/>
        </w:rPr>
        <w:t>con</w:t>
      </w:r>
      <w:r w:rsidR="0023200A" w:rsidRPr="002F50BD">
        <w:rPr>
          <w:rFonts w:ascii="Verdana" w:hAnsi="Verdana"/>
          <w:sz w:val="16"/>
          <w:lang w:val="pt-BR"/>
        </w:rPr>
        <w:t>he</w:t>
      </w:r>
      <w:r w:rsidRPr="002F50BD">
        <w:rPr>
          <w:rFonts w:ascii="Verdana" w:hAnsi="Verdana"/>
          <w:sz w:val="16"/>
          <w:lang w:val="pt-BR"/>
        </w:rPr>
        <w:t>cemos</w:t>
      </w:r>
      <w:r w:rsidR="0089298C" w:rsidRPr="002F50BD">
        <w:rPr>
          <w:rFonts w:ascii="Verdana" w:hAnsi="Verdana"/>
          <w:sz w:val="16"/>
          <w:lang w:val="pt-BR"/>
        </w:rPr>
        <w:t xml:space="preserve"> as leis</w:t>
      </w:r>
      <w:r w:rsidRPr="002F50BD">
        <w:rPr>
          <w:rFonts w:ascii="Verdana" w:hAnsi="Verdana"/>
          <w:sz w:val="16"/>
          <w:lang w:val="pt-BR"/>
        </w:rPr>
        <w:t>, para</w:t>
      </w:r>
      <w:r w:rsidR="0089298C" w:rsidRPr="002F50BD">
        <w:rPr>
          <w:rFonts w:ascii="Verdana" w:hAnsi="Verdana"/>
          <w:sz w:val="16"/>
          <w:lang w:val="pt-BR"/>
        </w:rPr>
        <w:t xml:space="preserve"> a boa saída </w:t>
      </w:r>
      <w:r w:rsidR="00452B62" w:rsidRPr="002F50BD">
        <w:rPr>
          <w:rFonts w:ascii="Verdana" w:hAnsi="Verdana"/>
          <w:sz w:val="16"/>
          <w:lang w:val="pt-BR"/>
        </w:rPr>
        <w:t xml:space="preserve">deve-se </w:t>
      </w:r>
      <w:r w:rsidRPr="002F50BD">
        <w:rPr>
          <w:rFonts w:ascii="Verdana" w:hAnsi="Verdana"/>
          <w:sz w:val="16"/>
          <w:lang w:val="pt-BR"/>
        </w:rPr>
        <w:t>consultar</w:t>
      </w:r>
      <w:r w:rsidR="0089298C" w:rsidRPr="002F50BD">
        <w:rPr>
          <w:rFonts w:ascii="Verdana" w:hAnsi="Verdana"/>
          <w:sz w:val="16"/>
          <w:lang w:val="pt-BR"/>
        </w:rPr>
        <w:t xml:space="preserve"> os povo</w:t>
      </w:r>
      <w:r w:rsidRPr="002F50BD">
        <w:rPr>
          <w:rFonts w:ascii="Verdana" w:hAnsi="Verdana"/>
          <w:sz w:val="16"/>
          <w:lang w:val="pt-BR"/>
        </w:rPr>
        <w:t>s indígenas,</w:t>
      </w:r>
      <w:r w:rsidR="0089298C" w:rsidRPr="002F50BD">
        <w:rPr>
          <w:rFonts w:ascii="Verdana" w:hAnsi="Verdana"/>
          <w:sz w:val="16"/>
          <w:lang w:val="pt-BR"/>
        </w:rPr>
        <w:t xml:space="preserve"> os </w:t>
      </w:r>
      <w:r w:rsidRPr="002F50BD">
        <w:rPr>
          <w:rFonts w:ascii="Verdana" w:hAnsi="Verdana"/>
          <w:sz w:val="16"/>
          <w:lang w:val="pt-BR"/>
        </w:rPr>
        <w:t>Estados,</w:t>
      </w:r>
      <w:r w:rsidR="0089298C" w:rsidRPr="002F50BD">
        <w:rPr>
          <w:rFonts w:ascii="Verdana" w:hAnsi="Verdana"/>
          <w:sz w:val="16"/>
          <w:lang w:val="pt-BR"/>
        </w:rPr>
        <w:t xml:space="preserve"> se </w:t>
      </w:r>
      <w:r w:rsidRPr="002F50BD">
        <w:rPr>
          <w:rFonts w:ascii="Verdana" w:hAnsi="Verdana"/>
          <w:sz w:val="16"/>
          <w:lang w:val="pt-BR"/>
        </w:rPr>
        <w:t xml:space="preserve">se </w:t>
      </w:r>
      <w:r w:rsidR="00CC31B6" w:rsidRPr="002F50BD">
        <w:rPr>
          <w:rFonts w:ascii="Verdana" w:hAnsi="Verdana"/>
          <w:sz w:val="16"/>
          <w:lang w:val="pt-BR"/>
        </w:rPr>
        <w:t>chega</w:t>
      </w:r>
      <w:r w:rsidRPr="002F50BD">
        <w:rPr>
          <w:rFonts w:ascii="Verdana" w:hAnsi="Verdana"/>
          <w:sz w:val="16"/>
          <w:lang w:val="pt-BR"/>
        </w:rPr>
        <w:t xml:space="preserve"> a</w:t>
      </w:r>
      <w:r w:rsidR="0089298C" w:rsidRPr="002F50BD">
        <w:rPr>
          <w:rFonts w:ascii="Verdana" w:hAnsi="Verdana"/>
          <w:sz w:val="16"/>
          <w:lang w:val="pt-BR"/>
        </w:rPr>
        <w:t xml:space="preserve"> um acordo com a Comunidade </w:t>
      </w:r>
      <w:r w:rsidR="00452B62" w:rsidRPr="002F50BD">
        <w:rPr>
          <w:rFonts w:ascii="Verdana" w:hAnsi="Verdana"/>
          <w:sz w:val="16"/>
          <w:lang w:val="pt-BR"/>
        </w:rPr>
        <w:t xml:space="preserve">eu acho </w:t>
      </w:r>
      <w:r w:rsidRPr="002F50BD">
        <w:rPr>
          <w:rFonts w:ascii="Verdana" w:hAnsi="Verdana"/>
          <w:sz w:val="16"/>
          <w:lang w:val="pt-BR"/>
        </w:rPr>
        <w:t xml:space="preserve">que </w:t>
      </w:r>
      <w:r w:rsidR="0089298C" w:rsidRPr="002F50BD">
        <w:rPr>
          <w:rFonts w:ascii="Verdana" w:hAnsi="Verdana"/>
          <w:sz w:val="16"/>
          <w:lang w:val="pt-BR"/>
        </w:rPr>
        <w:t xml:space="preserve">solucionaria o </w:t>
      </w:r>
      <w:r w:rsidRPr="002F50BD">
        <w:rPr>
          <w:rFonts w:ascii="Verdana" w:hAnsi="Verdana"/>
          <w:sz w:val="16"/>
          <w:lang w:val="pt-BR"/>
        </w:rPr>
        <w:t xml:space="preserve">problema, </w:t>
      </w:r>
      <w:r w:rsidR="0089298C" w:rsidRPr="002F50BD">
        <w:rPr>
          <w:rFonts w:ascii="Verdana" w:hAnsi="Verdana"/>
          <w:sz w:val="16"/>
          <w:lang w:val="pt-BR"/>
        </w:rPr>
        <w:t>mas</w:t>
      </w:r>
      <w:r w:rsidRPr="002F50BD">
        <w:rPr>
          <w:rFonts w:ascii="Verdana" w:hAnsi="Verdana"/>
          <w:sz w:val="16"/>
          <w:lang w:val="pt-BR"/>
        </w:rPr>
        <w:t xml:space="preserve"> depende</w:t>
      </w:r>
      <w:r w:rsidR="0089298C" w:rsidRPr="002F50BD">
        <w:rPr>
          <w:rFonts w:ascii="Verdana" w:hAnsi="Verdana"/>
          <w:sz w:val="16"/>
          <w:lang w:val="pt-BR"/>
        </w:rPr>
        <w:t xml:space="preserve"> já dos </w:t>
      </w:r>
      <w:r w:rsidRPr="002F50BD">
        <w:rPr>
          <w:rFonts w:ascii="Verdana" w:hAnsi="Verdana"/>
          <w:sz w:val="16"/>
          <w:lang w:val="pt-BR"/>
        </w:rPr>
        <w:t>grupos,</w:t>
      </w:r>
      <w:r w:rsidR="0089298C" w:rsidRPr="002F50BD">
        <w:rPr>
          <w:rFonts w:ascii="Verdana" w:hAnsi="Verdana"/>
          <w:sz w:val="16"/>
          <w:lang w:val="pt-BR"/>
        </w:rPr>
        <w:t xml:space="preserve"> dos membro</w:t>
      </w:r>
      <w:r w:rsidRPr="002F50BD">
        <w:rPr>
          <w:rFonts w:ascii="Verdana" w:hAnsi="Verdana"/>
          <w:sz w:val="16"/>
          <w:lang w:val="pt-BR"/>
        </w:rPr>
        <w:t>s</w:t>
      </w:r>
      <w:r w:rsidR="0089298C" w:rsidRPr="002F50BD">
        <w:rPr>
          <w:rFonts w:ascii="Verdana" w:hAnsi="Verdana"/>
          <w:sz w:val="16"/>
          <w:lang w:val="pt-BR"/>
        </w:rPr>
        <w:t xml:space="preserve"> da </w:t>
      </w:r>
      <w:r w:rsidRPr="002F50BD">
        <w:rPr>
          <w:rFonts w:ascii="Verdana" w:hAnsi="Verdana"/>
          <w:sz w:val="16"/>
          <w:lang w:val="pt-BR"/>
        </w:rPr>
        <w:t>Comu</w:t>
      </w:r>
      <w:r w:rsidR="00AB454A" w:rsidRPr="002F50BD">
        <w:rPr>
          <w:rFonts w:ascii="Verdana" w:hAnsi="Verdana"/>
          <w:sz w:val="16"/>
          <w:lang w:val="pt-BR"/>
        </w:rPr>
        <w:t xml:space="preserve">nidade, </w:t>
      </w:r>
      <w:r w:rsidR="0089298C" w:rsidRPr="002F50BD">
        <w:rPr>
          <w:rFonts w:ascii="Verdana" w:hAnsi="Verdana"/>
          <w:sz w:val="16"/>
          <w:lang w:val="pt-BR"/>
        </w:rPr>
        <w:t xml:space="preserve">mas </w:t>
      </w:r>
      <w:r w:rsidR="00452B62" w:rsidRPr="002F50BD">
        <w:rPr>
          <w:rFonts w:ascii="Verdana" w:hAnsi="Verdana"/>
          <w:sz w:val="16"/>
          <w:lang w:val="pt-BR"/>
        </w:rPr>
        <w:t xml:space="preserve">a aproximação do </w:t>
      </w:r>
      <w:r w:rsidRPr="002F50BD">
        <w:rPr>
          <w:rFonts w:ascii="Verdana" w:hAnsi="Verdana"/>
          <w:sz w:val="16"/>
          <w:lang w:val="pt-BR"/>
        </w:rPr>
        <w:t xml:space="preserve">Estado </w:t>
      </w:r>
      <w:r w:rsidR="0089298C" w:rsidRPr="002F50BD">
        <w:rPr>
          <w:rFonts w:ascii="Verdana" w:hAnsi="Verdana"/>
          <w:sz w:val="16"/>
          <w:lang w:val="pt-BR"/>
        </w:rPr>
        <w:t xml:space="preserve">tem </w:t>
      </w:r>
      <w:r w:rsidRPr="002F50BD">
        <w:rPr>
          <w:rFonts w:ascii="Verdana" w:hAnsi="Verdana"/>
          <w:sz w:val="16"/>
          <w:lang w:val="pt-BR"/>
        </w:rPr>
        <w:t>que ser, n</w:t>
      </w:r>
      <w:r w:rsidR="00452B62" w:rsidRPr="002F50BD">
        <w:rPr>
          <w:rFonts w:ascii="Verdana" w:hAnsi="Verdana"/>
          <w:sz w:val="16"/>
          <w:lang w:val="pt-BR"/>
        </w:rPr>
        <w:t>ã</w:t>
      </w:r>
      <w:r w:rsidRPr="002F50BD">
        <w:rPr>
          <w:rFonts w:ascii="Verdana" w:hAnsi="Verdana"/>
          <w:sz w:val="16"/>
          <w:lang w:val="pt-BR"/>
        </w:rPr>
        <w:t>o s</w:t>
      </w:r>
      <w:r w:rsidR="00452B62" w:rsidRPr="002F50BD">
        <w:rPr>
          <w:rFonts w:ascii="Verdana" w:hAnsi="Verdana"/>
          <w:sz w:val="16"/>
          <w:lang w:val="pt-BR"/>
        </w:rPr>
        <w:t>ei</w:t>
      </w:r>
      <w:r w:rsidRPr="002F50BD">
        <w:rPr>
          <w:rFonts w:ascii="Verdana" w:hAnsi="Verdana"/>
          <w:sz w:val="16"/>
          <w:lang w:val="pt-BR"/>
        </w:rPr>
        <w:t xml:space="preserve">, </w:t>
      </w:r>
      <w:r w:rsidR="00452B62" w:rsidRPr="002F50BD">
        <w:rPr>
          <w:rFonts w:ascii="Verdana" w:hAnsi="Verdana"/>
          <w:sz w:val="16"/>
          <w:lang w:val="pt-BR"/>
        </w:rPr>
        <w:t>a cada semana, porque como estou</w:t>
      </w:r>
      <w:r w:rsidRPr="002F50BD">
        <w:rPr>
          <w:rFonts w:ascii="Verdana" w:hAnsi="Verdana"/>
          <w:sz w:val="16"/>
          <w:lang w:val="pt-BR"/>
        </w:rPr>
        <w:t xml:space="preserve"> </w:t>
      </w:r>
      <w:r w:rsidR="00452B62" w:rsidRPr="002F50BD">
        <w:rPr>
          <w:rFonts w:ascii="Verdana" w:hAnsi="Verdana"/>
          <w:sz w:val="16"/>
          <w:lang w:val="pt-BR"/>
        </w:rPr>
        <w:t>dizendo</w:t>
      </w:r>
      <w:r w:rsidRPr="002F50BD">
        <w:rPr>
          <w:rFonts w:ascii="Verdana" w:hAnsi="Verdana"/>
          <w:sz w:val="16"/>
          <w:lang w:val="pt-BR"/>
        </w:rPr>
        <w:t>, esto</w:t>
      </w:r>
      <w:r w:rsidR="00452B62" w:rsidRPr="002F50BD">
        <w:rPr>
          <w:rFonts w:ascii="Verdana" w:hAnsi="Verdana"/>
          <w:sz w:val="16"/>
          <w:lang w:val="pt-BR"/>
        </w:rPr>
        <w:t>u</w:t>
      </w:r>
      <w:r w:rsidRPr="002F50BD">
        <w:rPr>
          <w:rFonts w:ascii="Verdana" w:hAnsi="Verdana"/>
          <w:sz w:val="16"/>
          <w:lang w:val="pt-BR"/>
        </w:rPr>
        <w:t xml:space="preserve"> </w:t>
      </w:r>
      <w:r w:rsidR="0089298C" w:rsidRPr="002F50BD">
        <w:rPr>
          <w:rFonts w:ascii="Verdana" w:hAnsi="Verdana"/>
          <w:sz w:val="16"/>
          <w:lang w:val="pt-BR"/>
        </w:rPr>
        <w:t>expressa</w:t>
      </w:r>
      <w:r w:rsidRPr="002F50BD">
        <w:rPr>
          <w:rFonts w:ascii="Verdana" w:hAnsi="Verdana"/>
          <w:sz w:val="16"/>
          <w:lang w:val="pt-BR"/>
        </w:rPr>
        <w:t xml:space="preserve">ndo </w:t>
      </w:r>
      <w:r w:rsidR="0089298C" w:rsidRPr="002F50BD">
        <w:rPr>
          <w:rFonts w:ascii="Verdana" w:hAnsi="Verdana"/>
          <w:sz w:val="16"/>
          <w:lang w:val="pt-BR"/>
        </w:rPr>
        <w:t>nossa</w:t>
      </w:r>
      <w:r w:rsidRPr="002F50BD">
        <w:rPr>
          <w:rFonts w:ascii="Verdana" w:hAnsi="Verdana"/>
          <w:sz w:val="16"/>
          <w:lang w:val="pt-BR"/>
        </w:rPr>
        <w:t xml:space="preserve"> </w:t>
      </w:r>
      <w:r w:rsidR="0089298C" w:rsidRPr="002F50BD">
        <w:rPr>
          <w:rFonts w:ascii="Verdana" w:hAnsi="Verdana"/>
          <w:sz w:val="16"/>
          <w:lang w:val="pt-BR"/>
        </w:rPr>
        <w:t>luta</w:t>
      </w:r>
      <w:r w:rsidR="00FC6B22" w:rsidRPr="002F50BD">
        <w:rPr>
          <w:rFonts w:ascii="Verdana" w:hAnsi="Verdana"/>
          <w:sz w:val="16"/>
          <w:lang w:val="pt-BR"/>
        </w:rPr>
        <w:t>,</w:t>
      </w:r>
      <w:r w:rsidR="0089298C" w:rsidRPr="002F50BD">
        <w:rPr>
          <w:rFonts w:ascii="Verdana" w:hAnsi="Verdana"/>
          <w:sz w:val="16"/>
          <w:lang w:val="pt-BR"/>
        </w:rPr>
        <w:t xml:space="preserve"> já </w:t>
      </w:r>
      <w:r w:rsidR="00452B62" w:rsidRPr="002F50BD">
        <w:rPr>
          <w:rFonts w:ascii="Verdana" w:hAnsi="Verdana"/>
          <w:sz w:val="16"/>
          <w:lang w:val="pt-BR"/>
        </w:rPr>
        <w:t xml:space="preserve">propusemos </w:t>
      </w:r>
      <w:r w:rsidRPr="002F50BD">
        <w:rPr>
          <w:rFonts w:ascii="Verdana" w:hAnsi="Verdana"/>
          <w:sz w:val="16"/>
          <w:lang w:val="pt-BR"/>
        </w:rPr>
        <w:t>que</w:t>
      </w:r>
      <w:r w:rsidR="0089298C" w:rsidRPr="002F50BD">
        <w:rPr>
          <w:rFonts w:ascii="Verdana" w:hAnsi="Verdana"/>
          <w:sz w:val="16"/>
          <w:lang w:val="pt-BR"/>
        </w:rPr>
        <w:t xml:space="preserve"> é uma luta</w:t>
      </w:r>
      <w:r w:rsidRPr="002F50BD">
        <w:rPr>
          <w:rFonts w:ascii="Verdana" w:hAnsi="Verdana"/>
          <w:sz w:val="16"/>
          <w:lang w:val="pt-BR"/>
        </w:rPr>
        <w:t xml:space="preserve"> sagrada, </w:t>
      </w:r>
      <w:r w:rsidR="00452B62" w:rsidRPr="002F50BD">
        <w:rPr>
          <w:rFonts w:ascii="Verdana" w:hAnsi="Verdana"/>
          <w:sz w:val="16"/>
          <w:lang w:val="pt-BR"/>
        </w:rPr>
        <w:t xml:space="preserve">passamos </w:t>
      </w:r>
      <w:r w:rsidRPr="002F50BD">
        <w:rPr>
          <w:rFonts w:ascii="Verdana" w:hAnsi="Verdana"/>
          <w:sz w:val="16"/>
          <w:lang w:val="pt-BR"/>
        </w:rPr>
        <w:t xml:space="preserve">momentos </w:t>
      </w:r>
      <w:r w:rsidR="00452B62" w:rsidRPr="002F50BD">
        <w:rPr>
          <w:rFonts w:ascii="Verdana" w:hAnsi="Verdana"/>
          <w:sz w:val="16"/>
          <w:lang w:val="pt-BR"/>
        </w:rPr>
        <w:t xml:space="preserve">difíceis </w:t>
      </w:r>
      <w:r w:rsidR="0089298C" w:rsidRPr="002F50BD">
        <w:rPr>
          <w:rFonts w:ascii="Verdana" w:hAnsi="Verdana"/>
          <w:sz w:val="16"/>
          <w:lang w:val="pt-BR"/>
        </w:rPr>
        <w:t>e a luta</w:t>
      </w:r>
      <w:r w:rsidRPr="002F50BD">
        <w:rPr>
          <w:rFonts w:ascii="Verdana" w:hAnsi="Verdana"/>
          <w:sz w:val="16"/>
          <w:lang w:val="pt-BR"/>
        </w:rPr>
        <w:t xml:space="preserve"> n</w:t>
      </w:r>
      <w:r w:rsidR="00452B62" w:rsidRPr="002F50BD">
        <w:rPr>
          <w:rFonts w:ascii="Verdana" w:hAnsi="Verdana"/>
          <w:sz w:val="16"/>
          <w:lang w:val="pt-BR"/>
        </w:rPr>
        <w:t>ã</w:t>
      </w:r>
      <w:r w:rsidRPr="002F50BD">
        <w:rPr>
          <w:rFonts w:ascii="Verdana" w:hAnsi="Verdana"/>
          <w:sz w:val="16"/>
          <w:lang w:val="pt-BR"/>
        </w:rPr>
        <w:t xml:space="preserve">o se </w:t>
      </w:r>
      <w:r w:rsidR="0089298C" w:rsidRPr="002F50BD">
        <w:rPr>
          <w:rFonts w:ascii="Verdana" w:hAnsi="Verdana"/>
          <w:sz w:val="16"/>
          <w:lang w:val="pt-BR"/>
        </w:rPr>
        <w:t>pode</w:t>
      </w:r>
      <w:r w:rsidRPr="002F50BD">
        <w:rPr>
          <w:rFonts w:ascii="Verdana" w:hAnsi="Verdana"/>
          <w:sz w:val="16"/>
          <w:lang w:val="pt-BR"/>
        </w:rPr>
        <w:t xml:space="preserve"> vender</w:t>
      </w:r>
      <w:r w:rsidR="00452B62" w:rsidRPr="002F50BD">
        <w:rPr>
          <w:rFonts w:ascii="Verdana" w:hAnsi="Verdana"/>
          <w:sz w:val="16"/>
          <w:lang w:val="pt-BR"/>
        </w:rPr>
        <w:t>,</w:t>
      </w:r>
      <w:r w:rsidRPr="002F50BD">
        <w:rPr>
          <w:rFonts w:ascii="Verdana" w:hAnsi="Verdana"/>
          <w:sz w:val="16"/>
          <w:lang w:val="pt-BR"/>
        </w:rPr>
        <w:t xml:space="preserve"> </w:t>
      </w:r>
      <w:r w:rsidR="00452B62" w:rsidRPr="002F50BD">
        <w:rPr>
          <w:rFonts w:ascii="Verdana" w:hAnsi="Verdana"/>
          <w:sz w:val="16"/>
          <w:lang w:val="pt-BR"/>
        </w:rPr>
        <w:t xml:space="preserve">sem </w:t>
      </w:r>
      <w:r w:rsidR="0089298C" w:rsidRPr="002F50BD">
        <w:rPr>
          <w:rFonts w:ascii="Verdana" w:hAnsi="Verdana"/>
          <w:sz w:val="16"/>
          <w:lang w:val="pt-BR"/>
        </w:rPr>
        <w:t>mais</w:t>
      </w:r>
      <w:r w:rsidR="00452B62" w:rsidRPr="002F50BD">
        <w:rPr>
          <w:rFonts w:ascii="Verdana" w:hAnsi="Verdana"/>
          <w:sz w:val="16"/>
          <w:lang w:val="pt-BR"/>
        </w:rPr>
        <w:t>,</w:t>
      </w:r>
      <w:r w:rsidR="0089298C" w:rsidRPr="002F50BD">
        <w:rPr>
          <w:rFonts w:ascii="Verdana" w:hAnsi="Verdana"/>
          <w:sz w:val="16"/>
          <w:lang w:val="pt-BR"/>
        </w:rPr>
        <w:t xml:space="preserve"> em um dia nem em oito</w:t>
      </w:r>
      <w:r w:rsidRPr="002F50BD">
        <w:rPr>
          <w:rFonts w:ascii="Verdana" w:hAnsi="Verdana"/>
          <w:sz w:val="16"/>
          <w:lang w:val="pt-BR"/>
        </w:rPr>
        <w:t xml:space="preserve"> </w:t>
      </w:r>
      <w:r w:rsidR="0089298C" w:rsidRPr="002F50BD">
        <w:rPr>
          <w:rFonts w:ascii="Verdana" w:hAnsi="Verdana"/>
          <w:sz w:val="16"/>
          <w:lang w:val="pt-BR"/>
        </w:rPr>
        <w:t>dia</w:t>
      </w:r>
      <w:r w:rsidRPr="002F50BD">
        <w:rPr>
          <w:rFonts w:ascii="Verdana" w:hAnsi="Verdana"/>
          <w:sz w:val="16"/>
          <w:lang w:val="pt-BR"/>
        </w:rPr>
        <w:t>s</w:t>
      </w:r>
      <w:r w:rsidR="0089298C" w:rsidRPr="002F50BD">
        <w:rPr>
          <w:rFonts w:ascii="Verdana" w:hAnsi="Verdana"/>
          <w:sz w:val="16"/>
          <w:lang w:val="pt-BR"/>
        </w:rPr>
        <w:t>, e</w:t>
      </w:r>
      <w:r w:rsidRPr="002F50BD">
        <w:rPr>
          <w:rFonts w:ascii="Verdana" w:hAnsi="Verdana"/>
          <w:sz w:val="16"/>
          <w:lang w:val="pt-BR"/>
        </w:rPr>
        <w:t xml:space="preserve"> </w:t>
      </w:r>
      <w:r w:rsidR="0089298C" w:rsidRPr="002F50BD">
        <w:rPr>
          <w:rFonts w:ascii="Verdana" w:hAnsi="Verdana"/>
          <w:sz w:val="16"/>
          <w:lang w:val="pt-BR"/>
        </w:rPr>
        <w:t xml:space="preserve">há </w:t>
      </w:r>
      <w:r w:rsidR="00571527" w:rsidRPr="002F50BD">
        <w:rPr>
          <w:rFonts w:ascii="Verdana" w:hAnsi="Verdana"/>
          <w:sz w:val="16"/>
          <w:lang w:val="pt-BR"/>
        </w:rPr>
        <w:t xml:space="preserve">que </w:t>
      </w:r>
      <w:r w:rsidR="00452B62" w:rsidRPr="002F50BD">
        <w:rPr>
          <w:rFonts w:ascii="Verdana" w:hAnsi="Verdana"/>
          <w:sz w:val="16"/>
          <w:lang w:val="pt-BR"/>
        </w:rPr>
        <w:t xml:space="preserve">se </w:t>
      </w:r>
      <w:r w:rsidRPr="002F50BD">
        <w:rPr>
          <w:rFonts w:ascii="Verdana" w:hAnsi="Verdana"/>
          <w:sz w:val="16"/>
          <w:lang w:val="pt-BR"/>
        </w:rPr>
        <w:t>dialogar,</w:t>
      </w:r>
      <w:r w:rsidR="0089298C" w:rsidRPr="002F50BD">
        <w:rPr>
          <w:rFonts w:ascii="Verdana" w:hAnsi="Verdana"/>
          <w:sz w:val="16"/>
          <w:lang w:val="pt-BR"/>
        </w:rPr>
        <w:t xml:space="preserve"> lev</w:t>
      </w:r>
      <w:r w:rsidRPr="002F50BD">
        <w:rPr>
          <w:rFonts w:ascii="Verdana" w:hAnsi="Verdana"/>
          <w:sz w:val="16"/>
          <w:lang w:val="pt-BR"/>
        </w:rPr>
        <w:t>ar</w:t>
      </w:r>
      <w:r w:rsidR="00452B62" w:rsidRPr="002F50BD">
        <w:rPr>
          <w:rFonts w:ascii="Verdana" w:hAnsi="Verdana"/>
          <w:sz w:val="16"/>
          <w:lang w:val="pt-BR"/>
        </w:rPr>
        <w:t>i</w:t>
      </w:r>
      <w:r w:rsidRPr="002F50BD">
        <w:rPr>
          <w:rFonts w:ascii="Verdana" w:hAnsi="Verdana"/>
          <w:sz w:val="16"/>
          <w:lang w:val="pt-BR"/>
        </w:rPr>
        <w:t>a</w:t>
      </w:r>
      <w:r w:rsidR="00452B62" w:rsidRPr="002F50BD">
        <w:rPr>
          <w:rFonts w:ascii="Verdana" w:hAnsi="Verdana"/>
          <w:sz w:val="16"/>
          <w:lang w:val="pt-BR"/>
        </w:rPr>
        <w:t xml:space="preserve"> </w:t>
      </w:r>
      <w:r w:rsidR="0089298C" w:rsidRPr="002F50BD">
        <w:rPr>
          <w:rFonts w:ascii="Verdana" w:hAnsi="Verdana"/>
          <w:sz w:val="16"/>
          <w:lang w:val="pt-BR"/>
        </w:rPr>
        <w:t>muito</w:t>
      </w:r>
      <w:r w:rsidRPr="002F50BD">
        <w:rPr>
          <w:rFonts w:ascii="Verdana" w:hAnsi="Verdana"/>
          <w:sz w:val="16"/>
          <w:lang w:val="pt-BR"/>
        </w:rPr>
        <w:t xml:space="preserve"> </w:t>
      </w:r>
      <w:r w:rsidR="0089298C" w:rsidRPr="002F50BD">
        <w:rPr>
          <w:rFonts w:ascii="Verdana" w:hAnsi="Verdana"/>
          <w:sz w:val="16"/>
          <w:lang w:val="pt-BR"/>
        </w:rPr>
        <w:t>tempo</w:t>
      </w:r>
      <w:r w:rsidRPr="002F50BD">
        <w:rPr>
          <w:rFonts w:ascii="Verdana" w:hAnsi="Verdana"/>
          <w:sz w:val="16"/>
          <w:lang w:val="pt-BR"/>
        </w:rPr>
        <w:t>.</w:t>
      </w:r>
    </w:p>
    <w:p w:rsidR="004756C1" w:rsidRPr="002F50BD" w:rsidRDefault="004756C1">
      <w:pPr>
        <w:ind w:left="360" w:right="360"/>
        <w:jc w:val="both"/>
        <w:rPr>
          <w:rFonts w:ascii="Verdana" w:hAnsi="Verdana"/>
          <w:sz w:val="16"/>
          <w:lang w:val="pt-BR"/>
        </w:rPr>
      </w:pPr>
    </w:p>
    <w:p w:rsidR="004756C1" w:rsidRPr="002F50BD" w:rsidRDefault="00452B62">
      <w:pPr>
        <w:numPr>
          <w:ilvl w:val="0"/>
          <w:numId w:val="28"/>
        </w:numPr>
        <w:jc w:val="both"/>
        <w:rPr>
          <w:rFonts w:ascii="Verdana" w:hAnsi="Verdana"/>
          <w:sz w:val="20"/>
          <w:lang w:val="pt-BR"/>
        </w:rPr>
      </w:pPr>
      <w:r w:rsidRPr="002F50BD">
        <w:rPr>
          <w:rFonts w:ascii="Verdana" w:hAnsi="Verdana"/>
          <w:sz w:val="20"/>
          <w:lang w:val="pt-BR"/>
        </w:rPr>
        <w:t>Dev</w:t>
      </w:r>
      <w:r w:rsidR="004756C1" w:rsidRPr="002F50BD">
        <w:rPr>
          <w:rFonts w:ascii="Verdana" w:hAnsi="Verdana"/>
          <w:sz w:val="20"/>
          <w:lang w:val="pt-BR"/>
        </w:rPr>
        <w:t>e</w:t>
      </w:r>
      <w:r w:rsidRPr="002F50BD">
        <w:rPr>
          <w:rFonts w:ascii="Verdana" w:hAnsi="Verdana"/>
          <w:sz w:val="20"/>
          <w:lang w:val="pt-BR"/>
        </w:rPr>
        <w:t>-se</w:t>
      </w:r>
      <w:r w:rsidR="004756C1" w:rsidRPr="002F50BD">
        <w:rPr>
          <w:rFonts w:ascii="Verdana" w:hAnsi="Verdana"/>
          <w:sz w:val="20"/>
          <w:lang w:val="pt-BR"/>
        </w:rPr>
        <w:t xml:space="preserve"> recorda</w:t>
      </w:r>
      <w:r w:rsidR="00FC6B22" w:rsidRPr="002F50BD">
        <w:rPr>
          <w:rFonts w:ascii="Verdana" w:hAnsi="Verdana"/>
          <w:sz w:val="20"/>
          <w:lang w:val="pt-BR"/>
        </w:rPr>
        <w:t>r</w:t>
      </w:r>
      <w:r w:rsidR="004756C1" w:rsidRPr="002F50BD">
        <w:rPr>
          <w:rFonts w:ascii="Verdana" w:hAnsi="Verdana"/>
          <w:sz w:val="20"/>
          <w:lang w:val="pt-BR"/>
        </w:rPr>
        <w:t xml:space="preserve"> que,</w:t>
      </w:r>
      <w:r w:rsidR="0089298C" w:rsidRPr="002F50BD">
        <w:rPr>
          <w:rFonts w:ascii="Verdana" w:hAnsi="Verdana"/>
          <w:sz w:val="20"/>
          <w:lang w:val="pt-BR"/>
        </w:rPr>
        <w:t xml:space="preserve"> com </w:t>
      </w:r>
      <w:r w:rsidR="004756C1" w:rsidRPr="002F50BD">
        <w:rPr>
          <w:rFonts w:ascii="Verdana" w:hAnsi="Verdana"/>
          <w:sz w:val="20"/>
          <w:lang w:val="pt-BR"/>
        </w:rPr>
        <w:t>fundamento</w:t>
      </w:r>
      <w:r w:rsidR="0089298C" w:rsidRPr="002F50BD">
        <w:rPr>
          <w:rFonts w:ascii="Verdana" w:hAnsi="Verdana"/>
          <w:sz w:val="20"/>
          <w:lang w:val="pt-BR"/>
        </w:rPr>
        <w:t xml:space="preserve"> </w:t>
      </w:r>
      <w:r w:rsidRPr="002F50BD">
        <w:rPr>
          <w:rFonts w:ascii="Verdana" w:hAnsi="Verdana"/>
          <w:sz w:val="20"/>
          <w:lang w:val="pt-BR"/>
        </w:rPr>
        <w:t>n</w:t>
      </w:r>
      <w:r w:rsidR="0089298C"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está </w:t>
      </w:r>
      <w:r w:rsidR="0089298C" w:rsidRPr="002F50BD">
        <w:rPr>
          <w:rFonts w:ascii="Verdana" w:hAnsi="Verdana"/>
          <w:sz w:val="20"/>
          <w:lang w:val="pt-BR"/>
        </w:rPr>
        <w:t>obrigad</w:t>
      </w:r>
      <w:r w:rsidR="004756C1" w:rsidRPr="002F50BD">
        <w:rPr>
          <w:rFonts w:ascii="Verdana" w:hAnsi="Verdana"/>
          <w:sz w:val="20"/>
          <w:lang w:val="pt-BR"/>
        </w:rPr>
        <w:t xml:space="preserve">o a </w:t>
      </w:r>
      <w:r w:rsidR="0089298C" w:rsidRPr="002F50BD">
        <w:rPr>
          <w:rFonts w:ascii="Verdana" w:hAnsi="Verdana"/>
          <w:sz w:val="20"/>
          <w:lang w:val="pt-BR"/>
        </w:rPr>
        <w:t>respeitar os direito</w:t>
      </w:r>
      <w:r w:rsidR="004756C1" w:rsidRPr="002F50BD">
        <w:rPr>
          <w:rFonts w:ascii="Verdana" w:hAnsi="Verdana"/>
          <w:sz w:val="20"/>
          <w:lang w:val="pt-BR"/>
        </w:rPr>
        <w:t>s re</w:t>
      </w:r>
      <w:r w:rsidR="0089298C" w:rsidRPr="002F50BD">
        <w:rPr>
          <w:rFonts w:ascii="Verdana" w:hAnsi="Verdana"/>
          <w:sz w:val="20"/>
          <w:lang w:val="pt-BR"/>
        </w:rPr>
        <w:t>conhecido</w:t>
      </w:r>
      <w:r w:rsidR="004756C1" w:rsidRPr="002F50BD">
        <w:rPr>
          <w:rFonts w:ascii="Verdana" w:hAnsi="Verdana"/>
          <w:sz w:val="20"/>
          <w:lang w:val="pt-BR"/>
        </w:rPr>
        <w:t>s</w:t>
      </w:r>
      <w:r w:rsidR="0089298C" w:rsidRPr="002F50BD">
        <w:rPr>
          <w:rFonts w:ascii="Verdana" w:hAnsi="Verdana"/>
          <w:sz w:val="20"/>
          <w:lang w:val="pt-BR"/>
        </w:rPr>
        <w:t xml:space="preserve"> na </w:t>
      </w:r>
      <w:r w:rsidR="004756C1" w:rsidRPr="002F50BD">
        <w:rPr>
          <w:rFonts w:ascii="Verdana" w:hAnsi="Verdana"/>
          <w:sz w:val="20"/>
          <w:lang w:val="pt-BR"/>
        </w:rPr>
        <w:t>Conven</w:t>
      </w:r>
      <w:r w:rsidR="0089298C" w:rsidRPr="002F50BD">
        <w:rPr>
          <w:rFonts w:ascii="Verdana" w:hAnsi="Verdana"/>
          <w:sz w:val="20"/>
          <w:lang w:val="pt-BR"/>
        </w:rPr>
        <w:t xml:space="preserve">ção e </w:t>
      </w:r>
      <w:r w:rsidR="004756C1" w:rsidRPr="002F50BD">
        <w:rPr>
          <w:rFonts w:ascii="Verdana" w:hAnsi="Verdana"/>
          <w:sz w:val="20"/>
          <w:lang w:val="pt-BR"/>
        </w:rPr>
        <w:t>a organizar</w:t>
      </w:r>
      <w:r w:rsidR="0089298C" w:rsidRPr="002F50BD">
        <w:rPr>
          <w:rFonts w:ascii="Verdana" w:hAnsi="Verdana"/>
          <w:sz w:val="20"/>
          <w:lang w:val="pt-BR"/>
        </w:rPr>
        <w:t xml:space="preserve"> o </w:t>
      </w:r>
      <w:r w:rsidR="004756C1" w:rsidRPr="002F50BD">
        <w:rPr>
          <w:rFonts w:ascii="Verdana" w:hAnsi="Verdana"/>
          <w:sz w:val="20"/>
          <w:lang w:val="pt-BR"/>
        </w:rPr>
        <w:t xml:space="preserve">poder público para </w:t>
      </w:r>
      <w:r w:rsidR="0089298C" w:rsidRPr="002F50BD">
        <w:rPr>
          <w:rFonts w:ascii="Verdana" w:hAnsi="Verdana"/>
          <w:sz w:val="20"/>
          <w:lang w:val="pt-BR"/>
        </w:rPr>
        <w:t>garantir às pessoa</w:t>
      </w:r>
      <w:r w:rsidR="004756C1" w:rsidRPr="002F50BD">
        <w:rPr>
          <w:rFonts w:ascii="Verdana" w:hAnsi="Verdana"/>
          <w:sz w:val="20"/>
          <w:lang w:val="pt-BR"/>
        </w:rPr>
        <w:t>s</w:t>
      </w:r>
      <w:r w:rsidR="0089298C" w:rsidRPr="002F50BD">
        <w:rPr>
          <w:rFonts w:ascii="Verdana" w:hAnsi="Verdana"/>
          <w:sz w:val="20"/>
          <w:lang w:val="pt-BR"/>
        </w:rPr>
        <w:t xml:space="preserve"> sob sua jurisdição o livre e </w:t>
      </w:r>
      <w:r w:rsidR="004756C1" w:rsidRPr="002F50BD">
        <w:rPr>
          <w:rFonts w:ascii="Verdana" w:hAnsi="Verdana"/>
          <w:sz w:val="20"/>
          <w:lang w:val="pt-BR"/>
        </w:rPr>
        <w:t xml:space="preserve">pleno </w:t>
      </w:r>
      <w:r w:rsidR="0089298C" w:rsidRPr="002F50BD">
        <w:rPr>
          <w:rFonts w:ascii="Verdana" w:hAnsi="Verdana"/>
          <w:sz w:val="20"/>
          <w:lang w:val="pt-BR"/>
        </w:rPr>
        <w:t>exercício dos direito</w:t>
      </w:r>
      <w:r w:rsidR="004756C1" w:rsidRPr="002F50BD">
        <w:rPr>
          <w:rFonts w:ascii="Verdana" w:hAnsi="Verdana"/>
          <w:sz w:val="20"/>
          <w:lang w:val="pt-BR"/>
        </w:rPr>
        <w:t>s humanos</w:t>
      </w:r>
      <w:r w:rsidRPr="002F50BD">
        <w:rPr>
          <w:rFonts w:ascii="Verdana" w:hAnsi="Verdana"/>
          <w:sz w:val="20"/>
          <w:lang w:val="pt-BR"/>
        </w:rPr>
        <w:t>.</w:t>
      </w:r>
      <w:r w:rsidR="004756C1" w:rsidRPr="002F50BD">
        <w:rPr>
          <w:rStyle w:val="FootnoteReference"/>
          <w:rFonts w:ascii="Verdana" w:hAnsi="Verdana"/>
        </w:rPr>
        <w:footnoteReference w:id="199"/>
      </w:r>
      <w:r w:rsidR="004756C1" w:rsidRPr="002F50BD">
        <w:rPr>
          <w:rFonts w:ascii="Verdana" w:hAnsi="Verdana"/>
          <w:sz w:val="20"/>
          <w:lang w:val="pt-BR"/>
        </w:rPr>
        <w:t xml:space="preserve"> </w:t>
      </w:r>
    </w:p>
    <w:p w:rsidR="00452B62" w:rsidRPr="002F50BD" w:rsidRDefault="00452B62" w:rsidP="00452B62">
      <w:pPr>
        <w:jc w:val="both"/>
        <w:rPr>
          <w:rFonts w:ascii="Verdana" w:hAnsi="Verdana"/>
          <w:sz w:val="20"/>
          <w:lang w:val="pt-BR"/>
        </w:rPr>
      </w:pPr>
    </w:p>
    <w:p w:rsidR="004756C1" w:rsidRPr="002F50BD" w:rsidRDefault="0089298C">
      <w:pPr>
        <w:numPr>
          <w:ilvl w:val="0"/>
          <w:numId w:val="28"/>
        </w:numPr>
        <w:jc w:val="both"/>
        <w:rPr>
          <w:rFonts w:ascii="Verdana" w:hAnsi="Verdana"/>
          <w:sz w:val="20"/>
          <w:lang w:val="pt-BR"/>
        </w:rPr>
      </w:pPr>
      <w:r w:rsidRPr="002F50BD">
        <w:rPr>
          <w:rFonts w:ascii="Verdana" w:hAnsi="Verdana"/>
          <w:sz w:val="20"/>
          <w:lang w:val="pt-BR"/>
        </w:rPr>
        <w:t>A garantia do direito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xml:space="preserve"> deve </w:t>
      </w:r>
      <w:r w:rsidR="00FC6B22" w:rsidRPr="002F50BD">
        <w:rPr>
          <w:rFonts w:ascii="Verdana" w:hAnsi="Verdana"/>
          <w:sz w:val="20"/>
          <w:lang w:val="pt-BR"/>
        </w:rPr>
        <w:t>levar</w:t>
      </w:r>
      <w:r w:rsidRPr="002F50BD">
        <w:rPr>
          <w:rFonts w:ascii="Verdana" w:hAnsi="Verdana"/>
          <w:sz w:val="20"/>
          <w:lang w:val="pt-BR"/>
        </w:rPr>
        <w:t xml:space="preserve"> em conta </w:t>
      </w:r>
      <w:r w:rsidR="004756C1" w:rsidRPr="002F50BD">
        <w:rPr>
          <w:rFonts w:ascii="Verdana" w:hAnsi="Verdana"/>
          <w:sz w:val="20"/>
          <w:lang w:val="pt-BR"/>
        </w:rPr>
        <w:t>que</w:t>
      </w:r>
      <w:r w:rsidRPr="002F50BD">
        <w:rPr>
          <w:rFonts w:ascii="Verdana" w:hAnsi="Verdana"/>
          <w:sz w:val="20"/>
          <w:lang w:val="pt-BR"/>
        </w:rPr>
        <w:t xml:space="preserve"> a terra</w:t>
      </w:r>
      <w:r w:rsidR="004756C1" w:rsidRPr="002F50BD">
        <w:rPr>
          <w:rFonts w:ascii="Verdana" w:hAnsi="Verdana"/>
          <w:sz w:val="20"/>
          <w:lang w:val="pt-BR"/>
        </w:rPr>
        <w:t xml:space="preserve"> está </w:t>
      </w:r>
      <w:r w:rsidRPr="002F50BD">
        <w:rPr>
          <w:rFonts w:ascii="Verdana" w:hAnsi="Verdana"/>
          <w:sz w:val="20"/>
          <w:lang w:val="pt-BR"/>
        </w:rPr>
        <w:t>estreit</w:t>
      </w:r>
      <w:r w:rsidR="004756C1" w:rsidRPr="002F50BD">
        <w:rPr>
          <w:rFonts w:ascii="Verdana" w:hAnsi="Verdana"/>
          <w:sz w:val="20"/>
          <w:lang w:val="pt-BR"/>
        </w:rPr>
        <w:t>amente relacionada</w:t>
      </w:r>
      <w:r w:rsidRPr="002F50BD">
        <w:rPr>
          <w:rFonts w:ascii="Verdana" w:hAnsi="Verdana"/>
          <w:sz w:val="20"/>
          <w:lang w:val="pt-BR"/>
        </w:rPr>
        <w:t xml:space="preserve"> com </w:t>
      </w:r>
      <w:r w:rsidR="004076AD" w:rsidRPr="002F50BD">
        <w:rPr>
          <w:rFonts w:ascii="Verdana" w:hAnsi="Verdana"/>
          <w:sz w:val="20"/>
          <w:szCs w:val="26"/>
          <w:lang w:val="pt-BR"/>
        </w:rPr>
        <w:t>suas tradições</w:t>
      </w:r>
      <w:r w:rsidRPr="002F50BD">
        <w:rPr>
          <w:rFonts w:ascii="Verdana" w:hAnsi="Verdana"/>
          <w:sz w:val="20"/>
          <w:szCs w:val="26"/>
          <w:lang w:val="pt-BR"/>
        </w:rPr>
        <w:t xml:space="preserve"> e </w:t>
      </w:r>
      <w:r w:rsidR="004076AD" w:rsidRPr="002F50BD">
        <w:rPr>
          <w:rFonts w:ascii="Verdana" w:hAnsi="Verdana"/>
          <w:sz w:val="20"/>
          <w:szCs w:val="26"/>
          <w:lang w:val="pt-BR"/>
        </w:rPr>
        <w:t>expressões</w:t>
      </w:r>
      <w:r w:rsidRPr="002F50BD">
        <w:rPr>
          <w:rFonts w:ascii="Verdana" w:hAnsi="Verdana"/>
          <w:sz w:val="20"/>
          <w:szCs w:val="26"/>
          <w:lang w:val="pt-BR"/>
        </w:rPr>
        <w:t xml:space="preserve"> orais</w:t>
      </w:r>
      <w:r w:rsidR="004756C1" w:rsidRPr="002F50BD">
        <w:rPr>
          <w:rFonts w:ascii="Verdana" w:hAnsi="Verdana"/>
          <w:sz w:val="20"/>
          <w:szCs w:val="26"/>
          <w:lang w:val="pt-BR"/>
        </w:rPr>
        <w:t>, s</w:t>
      </w:r>
      <w:r w:rsidR="00452B62" w:rsidRPr="002F50BD">
        <w:rPr>
          <w:rFonts w:ascii="Verdana" w:hAnsi="Verdana"/>
          <w:sz w:val="20"/>
          <w:szCs w:val="26"/>
          <w:lang w:val="pt-BR"/>
        </w:rPr>
        <w:t>e</w:t>
      </w:r>
      <w:r w:rsidR="004756C1" w:rsidRPr="002F50BD">
        <w:rPr>
          <w:rFonts w:ascii="Verdana" w:hAnsi="Verdana"/>
          <w:sz w:val="20"/>
          <w:szCs w:val="26"/>
          <w:lang w:val="pt-BR"/>
        </w:rPr>
        <w:t xml:space="preserve">us </w:t>
      </w:r>
      <w:r w:rsidRPr="002F50BD">
        <w:rPr>
          <w:rFonts w:ascii="Verdana" w:hAnsi="Verdana"/>
          <w:sz w:val="20"/>
          <w:szCs w:val="26"/>
          <w:lang w:val="pt-BR"/>
        </w:rPr>
        <w:t>costume</w:t>
      </w:r>
      <w:r w:rsidR="004756C1" w:rsidRPr="002F50BD">
        <w:rPr>
          <w:rFonts w:ascii="Verdana" w:hAnsi="Verdana"/>
          <w:sz w:val="20"/>
          <w:szCs w:val="26"/>
          <w:lang w:val="pt-BR"/>
        </w:rPr>
        <w:t>s</w:t>
      </w:r>
      <w:r w:rsidRPr="002F50BD">
        <w:rPr>
          <w:rFonts w:ascii="Verdana" w:hAnsi="Verdana"/>
          <w:sz w:val="20"/>
          <w:szCs w:val="26"/>
          <w:lang w:val="pt-BR"/>
        </w:rPr>
        <w:t xml:space="preserve"> e </w:t>
      </w:r>
      <w:r w:rsidR="00CD3DEB" w:rsidRPr="002F50BD">
        <w:rPr>
          <w:rFonts w:ascii="Verdana" w:hAnsi="Verdana"/>
          <w:sz w:val="20"/>
          <w:szCs w:val="26"/>
          <w:lang w:val="pt-BR"/>
        </w:rPr>
        <w:t>língua</w:t>
      </w:r>
      <w:r w:rsidR="004756C1" w:rsidRPr="002F50BD">
        <w:rPr>
          <w:rFonts w:ascii="Verdana" w:hAnsi="Verdana"/>
          <w:sz w:val="20"/>
          <w:szCs w:val="26"/>
          <w:lang w:val="pt-BR"/>
        </w:rPr>
        <w:t>s, su</w:t>
      </w:r>
      <w:r w:rsidR="00452B62" w:rsidRPr="002F50BD">
        <w:rPr>
          <w:rFonts w:ascii="Verdana" w:hAnsi="Verdana"/>
          <w:sz w:val="20"/>
          <w:szCs w:val="26"/>
          <w:lang w:val="pt-BR"/>
        </w:rPr>
        <w:t>a</w:t>
      </w:r>
      <w:r w:rsidR="004756C1" w:rsidRPr="002F50BD">
        <w:rPr>
          <w:rFonts w:ascii="Verdana" w:hAnsi="Verdana"/>
          <w:sz w:val="20"/>
          <w:szCs w:val="26"/>
          <w:lang w:val="pt-BR"/>
        </w:rPr>
        <w:t>s artes</w:t>
      </w:r>
      <w:r w:rsidRPr="002F50BD">
        <w:rPr>
          <w:rFonts w:ascii="Verdana" w:hAnsi="Verdana"/>
          <w:sz w:val="20"/>
          <w:szCs w:val="26"/>
          <w:lang w:val="pt-BR"/>
        </w:rPr>
        <w:t xml:space="preserve"> e </w:t>
      </w:r>
      <w:r w:rsidR="004756C1" w:rsidRPr="002F50BD">
        <w:rPr>
          <w:rFonts w:ascii="Verdana" w:hAnsi="Verdana"/>
          <w:sz w:val="20"/>
          <w:szCs w:val="26"/>
          <w:lang w:val="pt-BR"/>
        </w:rPr>
        <w:t>ritua</w:t>
      </w:r>
      <w:r w:rsidR="00452B62" w:rsidRPr="002F50BD">
        <w:rPr>
          <w:rFonts w:ascii="Verdana" w:hAnsi="Verdana"/>
          <w:sz w:val="20"/>
          <w:szCs w:val="26"/>
          <w:lang w:val="pt-BR"/>
        </w:rPr>
        <w:t>i</w:t>
      </w:r>
      <w:r w:rsidR="004756C1" w:rsidRPr="002F50BD">
        <w:rPr>
          <w:rFonts w:ascii="Verdana" w:hAnsi="Verdana"/>
          <w:sz w:val="20"/>
          <w:szCs w:val="26"/>
          <w:lang w:val="pt-BR"/>
        </w:rPr>
        <w:t>s, s</w:t>
      </w:r>
      <w:r w:rsidR="00452B62" w:rsidRPr="002F50BD">
        <w:rPr>
          <w:rFonts w:ascii="Verdana" w:hAnsi="Verdana"/>
          <w:sz w:val="20"/>
          <w:szCs w:val="26"/>
          <w:lang w:val="pt-BR"/>
        </w:rPr>
        <w:t>e</w:t>
      </w:r>
      <w:r w:rsidR="004756C1" w:rsidRPr="002F50BD">
        <w:rPr>
          <w:rFonts w:ascii="Verdana" w:hAnsi="Verdana"/>
          <w:sz w:val="20"/>
          <w:szCs w:val="26"/>
          <w:lang w:val="pt-BR"/>
        </w:rPr>
        <w:t xml:space="preserve">us </w:t>
      </w:r>
      <w:r w:rsidRPr="002F50BD">
        <w:rPr>
          <w:rFonts w:ascii="Verdana" w:hAnsi="Verdana"/>
          <w:sz w:val="20"/>
          <w:szCs w:val="26"/>
          <w:lang w:val="pt-BR"/>
        </w:rPr>
        <w:t>conhecimento</w:t>
      </w:r>
      <w:r w:rsidR="004756C1" w:rsidRPr="002F50BD">
        <w:rPr>
          <w:rFonts w:ascii="Verdana" w:hAnsi="Verdana"/>
          <w:sz w:val="20"/>
          <w:szCs w:val="26"/>
          <w:lang w:val="pt-BR"/>
        </w:rPr>
        <w:t>s</w:t>
      </w:r>
      <w:r w:rsidRPr="002F50BD">
        <w:rPr>
          <w:rFonts w:ascii="Verdana" w:hAnsi="Verdana"/>
          <w:sz w:val="20"/>
          <w:szCs w:val="26"/>
          <w:lang w:val="pt-BR"/>
        </w:rPr>
        <w:t xml:space="preserve"> e </w:t>
      </w:r>
      <w:r w:rsidR="004756C1" w:rsidRPr="002F50BD">
        <w:rPr>
          <w:rFonts w:ascii="Verdana" w:hAnsi="Verdana"/>
          <w:sz w:val="20"/>
          <w:szCs w:val="26"/>
          <w:lang w:val="pt-BR"/>
        </w:rPr>
        <w:t>usos relacionados</w:t>
      </w:r>
      <w:r w:rsidRPr="002F50BD">
        <w:rPr>
          <w:rFonts w:ascii="Verdana" w:hAnsi="Verdana"/>
          <w:sz w:val="20"/>
          <w:szCs w:val="26"/>
          <w:lang w:val="pt-BR"/>
        </w:rPr>
        <w:t xml:space="preserve"> com a natureza</w:t>
      </w:r>
      <w:r w:rsidR="004756C1" w:rsidRPr="002F50BD">
        <w:rPr>
          <w:rFonts w:ascii="Verdana" w:hAnsi="Verdana"/>
          <w:sz w:val="20"/>
          <w:szCs w:val="26"/>
          <w:lang w:val="pt-BR"/>
        </w:rPr>
        <w:t>, su</w:t>
      </w:r>
      <w:r w:rsidR="00452B62" w:rsidRPr="002F50BD">
        <w:rPr>
          <w:rFonts w:ascii="Verdana" w:hAnsi="Verdana"/>
          <w:sz w:val="20"/>
          <w:szCs w:val="26"/>
          <w:lang w:val="pt-BR"/>
        </w:rPr>
        <w:t>a</w:t>
      </w:r>
      <w:r w:rsidR="004756C1" w:rsidRPr="002F50BD">
        <w:rPr>
          <w:rFonts w:ascii="Verdana" w:hAnsi="Verdana"/>
          <w:sz w:val="20"/>
          <w:szCs w:val="26"/>
          <w:lang w:val="pt-BR"/>
        </w:rPr>
        <w:t>s artes culi</w:t>
      </w:r>
      <w:r w:rsidR="00452B62" w:rsidRPr="002F50BD">
        <w:rPr>
          <w:rFonts w:ascii="Verdana" w:hAnsi="Verdana"/>
          <w:sz w:val="20"/>
          <w:szCs w:val="26"/>
          <w:lang w:val="pt-BR"/>
        </w:rPr>
        <w:t>ná</w:t>
      </w:r>
      <w:r w:rsidR="004756C1" w:rsidRPr="002F50BD">
        <w:rPr>
          <w:rFonts w:ascii="Verdana" w:hAnsi="Verdana"/>
          <w:sz w:val="20"/>
          <w:szCs w:val="26"/>
          <w:lang w:val="pt-BR"/>
        </w:rPr>
        <w:t>rias,</w:t>
      </w:r>
      <w:r w:rsidRPr="002F50BD">
        <w:rPr>
          <w:rFonts w:ascii="Verdana" w:hAnsi="Verdana"/>
          <w:sz w:val="20"/>
          <w:szCs w:val="26"/>
          <w:lang w:val="pt-BR"/>
        </w:rPr>
        <w:t xml:space="preserve"> o direito</w:t>
      </w:r>
      <w:r w:rsidR="004756C1" w:rsidRPr="002F50BD">
        <w:rPr>
          <w:rFonts w:ascii="Verdana" w:hAnsi="Verdana"/>
          <w:sz w:val="20"/>
          <w:szCs w:val="26"/>
          <w:lang w:val="pt-BR"/>
        </w:rPr>
        <w:t xml:space="preserve"> </w:t>
      </w:r>
      <w:r w:rsidRPr="002F50BD">
        <w:rPr>
          <w:rFonts w:ascii="Verdana" w:hAnsi="Verdana"/>
          <w:sz w:val="20"/>
          <w:szCs w:val="26"/>
          <w:lang w:val="pt-BR"/>
        </w:rPr>
        <w:t>consuetudinário</w:t>
      </w:r>
      <w:r w:rsidR="004756C1" w:rsidRPr="002F50BD">
        <w:rPr>
          <w:rFonts w:ascii="Verdana" w:hAnsi="Verdana"/>
          <w:sz w:val="20"/>
          <w:szCs w:val="26"/>
          <w:lang w:val="pt-BR"/>
        </w:rPr>
        <w:t>, su</w:t>
      </w:r>
      <w:r w:rsidR="00452B62" w:rsidRPr="002F50BD">
        <w:rPr>
          <w:rFonts w:ascii="Verdana" w:hAnsi="Verdana"/>
          <w:sz w:val="20"/>
          <w:szCs w:val="26"/>
          <w:lang w:val="pt-BR"/>
        </w:rPr>
        <w:t>a</w:t>
      </w:r>
      <w:r w:rsidR="004756C1" w:rsidRPr="002F50BD">
        <w:rPr>
          <w:rFonts w:ascii="Verdana" w:hAnsi="Verdana"/>
          <w:sz w:val="20"/>
          <w:szCs w:val="26"/>
          <w:lang w:val="pt-BR"/>
        </w:rPr>
        <w:t xml:space="preserve"> vestimenta, </w:t>
      </w:r>
      <w:r w:rsidRPr="002F50BD">
        <w:rPr>
          <w:rFonts w:ascii="Verdana" w:hAnsi="Verdana"/>
          <w:sz w:val="20"/>
          <w:szCs w:val="26"/>
          <w:lang w:val="pt-BR"/>
        </w:rPr>
        <w:t xml:space="preserve">filosofia e </w:t>
      </w:r>
      <w:r w:rsidR="004756C1" w:rsidRPr="002F50BD">
        <w:rPr>
          <w:rFonts w:ascii="Verdana" w:hAnsi="Verdana"/>
          <w:sz w:val="20"/>
          <w:szCs w:val="26"/>
          <w:lang w:val="pt-BR"/>
        </w:rPr>
        <w:t>valores</w:t>
      </w:r>
      <w:r w:rsidR="00CD7100" w:rsidRPr="002F50BD">
        <w:rPr>
          <w:rFonts w:ascii="Verdana" w:hAnsi="Verdana"/>
          <w:sz w:val="20"/>
          <w:szCs w:val="26"/>
          <w:lang w:val="pt-BR"/>
        </w:rPr>
        <w:t>. Em</w:t>
      </w:r>
      <w:r w:rsidRPr="002F50BD">
        <w:rPr>
          <w:rFonts w:ascii="Verdana" w:hAnsi="Verdana"/>
          <w:sz w:val="20"/>
          <w:szCs w:val="26"/>
          <w:lang w:val="pt-BR"/>
        </w:rPr>
        <w:t xml:space="preserve"> </w:t>
      </w:r>
      <w:r w:rsidR="004756C1" w:rsidRPr="002F50BD">
        <w:rPr>
          <w:rFonts w:ascii="Verdana" w:hAnsi="Verdana"/>
          <w:sz w:val="20"/>
          <w:szCs w:val="26"/>
          <w:lang w:val="pt-BR"/>
        </w:rPr>
        <w:t>fun</w:t>
      </w:r>
      <w:r w:rsidRPr="002F50BD">
        <w:rPr>
          <w:rFonts w:ascii="Verdana" w:hAnsi="Verdana"/>
          <w:sz w:val="20"/>
          <w:szCs w:val="26"/>
          <w:lang w:val="pt-BR"/>
        </w:rPr>
        <w:t>ção</w:t>
      </w:r>
      <w:r w:rsidR="004756C1" w:rsidRPr="002F50BD">
        <w:rPr>
          <w:rFonts w:ascii="Verdana" w:hAnsi="Verdana"/>
          <w:sz w:val="20"/>
          <w:szCs w:val="26"/>
          <w:lang w:val="pt-BR"/>
        </w:rPr>
        <w:t xml:space="preserve"> de s</w:t>
      </w:r>
      <w:r w:rsidR="00452B62" w:rsidRPr="002F50BD">
        <w:rPr>
          <w:rFonts w:ascii="Verdana" w:hAnsi="Verdana"/>
          <w:sz w:val="20"/>
          <w:szCs w:val="26"/>
          <w:lang w:val="pt-BR"/>
        </w:rPr>
        <w:t>e</w:t>
      </w:r>
      <w:r w:rsidR="004756C1" w:rsidRPr="002F50BD">
        <w:rPr>
          <w:rFonts w:ascii="Verdana" w:hAnsi="Verdana"/>
          <w:sz w:val="20"/>
          <w:szCs w:val="26"/>
          <w:lang w:val="pt-BR"/>
        </w:rPr>
        <w:t>u entorno, su</w:t>
      </w:r>
      <w:r w:rsidR="00452B62" w:rsidRPr="002F50BD">
        <w:rPr>
          <w:rFonts w:ascii="Verdana" w:hAnsi="Verdana"/>
          <w:sz w:val="20"/>
          <w:szCs w:val="26"/>
          <w:lang w:val="pt-BR"/>
        </w:rPr>
        <w:t>a</w:t>
      </w:r>
      <w:r w:rsidR="004756C1" w:rsidRPr="002F50BD">
        <w:rPr>
          <w:rFonts w:ascii="Verdana" w:hAnsi="Verdana"/>
          <w:sz w:val="20"/>
          <w:szCs w:val="26"/>
          <w:lang w:val="pt-BR"/>
        </w:rPr>
        <w:t xml:space="preserve"> integra</w:t>
      </w:r>
      <w:r w:rsidRPr="002F50BD">
        <w:rPr>
          <w:rFonts w:ascii="Verdana" w:hAnsi="Verdana"/>
          <w:sz w:val="20"/>
          <w:szCs w:val="26"/>
          <w:lang w:val="pt-BR"/>
        </w:rPr>
        <w:t xml:space="preserve">ção com a natureza e </w:t>
      </w:r>
      <w:r w:rsidR="004756C1" w:rsidRPr="002F50BD">
        <w:rPr>
          <w:rFonts w:ascii="Verdana" w:hAnsi="Verdana"/>
          <w:sz w:val="20"/>
          <w:szCs w:val="26"/>
          <w:lang w:val="pt-BR"/>
        </w:rPr>
        <w:t>su</w:t>
      </w:r>
      <w:r w:rsidR="00452B62" w:rsidRPr="002F50BD">
        <w:rPr>
          <w:rFonts w:ascii="Verdana" w:hAnsi="Verdana"/>
          <w:sz w:val="20"/>
          <w:szCs w:val="26"/>
          <w:lang w:val="pt-BR"/>
        </w:rPr>
        <w:t>a</w:t>
      </w:r>
      <w:r w:rsidR="004756C1" w:rsidRPr="002F50BD">
        <w:rPr>
          <w:rFonts w:ascii="Verdana" w:hAnsi="Verdana"/>
          <w:sz w:val="20"/>
          <w:szCs w:val="26"/>
          <w:lang w:val="pt-BR"/>
        </w:rPr>
        <w:t xml:space="preserve"> hist</w:t>
      </w:r>
      <w:r w:rsidR="00452B62" w:rsidRPr="002F50BD">
        <w:rPr>
          <w:rFonts w:ascii="Verdana" w:hAnsi="Verdana"/>
          <w:sz w:val="20"/>
          <w:szCs w:val="26"/>
          <w:lang w:val="pt-BR"/>
        </w:rPr>
        <w:t>ó</w:t>
      </w:r>
      <w:r w:rsidR="004756C1" w:rsidRPr="002F50BD">
        <w:rPr>
          <w:rFonts w:ascii="Verdana" w:hAnsi="Verdana"/>
          <w:sz w:val="20"/>
          <w:szCs w:val="26"/>
          <w:lang w:val="pt-BR"/>
        </w:rPr>
        <w:t>ria,</w:t>
      </w:r>
      <w:r w:rsidRPr="002F50BD">
        <w:rPr>
          <w:rFonts w:ascii="Verdana" w:hAnsi="Verdana"/>
          <w:sz w:val="20"/>
          <w:szCs w:val="26"/>
          <w:lang w:val="pt-BR"/>
        </w:rPr>
        <w:t xml:space="preserve"> os membro</w:t>
      </w:r>
      <w:r w:rsidR="004756C1" w:rsidRPr="002F50BD">
        <w:rPr>
          <w:rFonts w:ascii="Verdana" w:hAnsi="Verdana"/>
          <w:sz w:val="20"/>
          <w:szCs w:val="26"/>
          <w:lang w:val="pt-BR"/>
        </w:rPr>
        <w:t>s</w:t>
      </w:r>
      <w:r w:rsidRPr="002F50BD">
        <w:rPr>
          <w:rFonts w:ascii="Verdana" w:hAnsi="Verdana"/>
          <w:sz w:val="20"/>
          <w:szCs w:val="26"/>
          <w:lang w:val="pt-BR"/>
        </w:rPr>
        <w:t xml:space="preserve"> das </w:t>
      </w:r>
      <w:r w:rsidR="004756C1" w:rsidRPr="002F50BD">
        <w:rPr>
          <w:rFonts w:ascii="Verdana" w:hAnsi="Verdana"/>
          <w:sz w:val="20"/>
          <w:szCs w:val="26"/>
          <w:lang w:val="pt-BR"/>
        </w:rPr>
        <w:t>comunidades indígenas transmite</w:t>
      </w:r>
      <w:r w:rsidR="00452B62" w:rsidRPr="002F50BD">
        <w:rPr>
          <w:rFonts w:ascii="Verdana" w:hAnsi="Verdana"/>
          <w:sz w:val="20"/>
          <w:szCs w:val="26"/>
          <w:lang w:val="pt-BR"/>
        </w:rPr>
        <w:t>m</w:t>
      </w:r>
      <w:r w:rsidR="004756C1" w:rsidRPr="002F50BD">
        <w:rPr>
          <w:rFonts w:ascii="Verdana" w:hAnsi="Verdana"/>
          <w:sz w:val="20"/>
          <w:szCs w:val="26"/>
          <w:lang w:val="pt-BR"/>
        </w:rPr>
        <w:t xml:space="preserve"> de gera</w:t>
      </w:r>
      <w:r w:rsidRPr="002F50BD">
        <w:rPr>
          <w:rFonts w:ascii="Verdana" w:hAnsi="Verdana"/>
          <w:sz w:val="20"/>
          <w:szCs w:val="26"/>
          <w:lang w:val="pt-BR"/>
        </w:rPr>
        <w:t xml:space="preserve">ção em </w:t>
      </w:r>
      <w:r w:rsidR="004756C1" w:rsidRPr="002F50BD">
        <w:rPr>
          <w:rFonts w:ascii="Verdana" w:hAnsi="Verdana"/>
          <w:sz w:val="20"/>
          <w:szCs w:val="26"/>
          <w:lang w:val="pt-BR"/>
        </w:rPr>
        <w:t>gera</w:t>
      </w:r>
      <w:r w:rsidRPr="002F50BD">
        <w:rPr>
          <w:rFonts w:ascii="Verdana" w:hAnsi="Verdana"/>
          <w:sz w:val="20"/>
          <w:szCs w:val="26"/>
          <w:lang w:val="pt-BR"/>
        </w:rPr>
        <w:t>ção</w:t>
      </w:r>
      <w:r w:rsidR="004756C1" w:rsidRPr="002F50BD">
        <w:rPr>
          <w:rFonts w:ascii="Verdana" w:hAnsi="Verdana"/>
          <w:sz w:val="20"/>
          <w:szCs w:val="26"/>
          <w:lang w:val="pt-BR"/>
        </w:rPr>
        <w:t xml:space="preserve"> este </w:t>
      </w:r>
      <w:r w:rsidR="004076AD" w:rsidRPr="002F50BD">
        <w:rPr>
          <w:rFonts w:ascii="Verdana" w:hAnsi="Verdana"/>
          <w:sz w:val="20"/>
          <w:szCs w:val="26"/>
          <w:lang w:val="pt-BR"/>
        </w:rPr>
        <w:t>patrimônio</w:t>
      </w:r>
      <w:r w:rsidR="004756C1" w:rsidRPr="002F50BD">
        <w:rPr>
          <w:rFonts w:ascii="Verdana" w:hAnsi="Verdana"/>
          <w:sz w:val="20"/>
          <w:szCs w:val="26"/>
          <w:lang w:val="pt-BR"/>
        </w:rPr>
        <w:t xml:space="preserve"> cultural </w:t>
      </w:r>
      <w:r w:rsidRPr="002F50BD">
        <w:rPr>
          <w:rFonts w:ascii="Verdana" w:hAnsi="Verdana"/>
          <w:sz w:val="20"/>
          <w:szCs w:val="26"/>
          <w:lang w:val="pt-BR"/>
        </w:rPr>
        <w:t>imaterial</w:t>
      </w:r>
      <w:r w:rsidR="004756C1" w:rsidRPr="002F50BD">
        <w:rPr>
          <w:rFonts w:ascii="Verdana" w:hAnsi="Verdana"/>
          <w:sz w:val="20"/>
          <w:szCs w:val="26"/>
          <w:lang w:val="pt-BR"/>
        </w:rPr>
        <w:t>, que</w:t>
      </w:r>
      <w:r w:rsidRPr="002F50BD">
        <w:rPr>
          <w:rFonts w:ascii="Verdana" w:hAnsi="Verdana"/>
          <w:sz w:val="20"/>
          <w:szCs w:val="26"/>
          <w:lang w:val="pt-BR"/>
        </w:rPr>
        <w:t xml:space="preserve"> é </w:t>
      </w:r>
      <w:r w:rsidR="004756C1" w:rsidRPr="002F50BD">
        <w:rPr>
          <w:rFonts w:ascii="Verdana" w:hAnsi="Verdana"/>
          <w:sz w:val="20"/>
          <w:szCs w:val="26"/>
          <w:lang w:val="pt-BR"/>
        </w:rPr>
        <w:t>re</w:t>
      </w:r>
      <w:r w:rsidRPr="002F50BD">
        <w:rPr>
          <w:rFonts w:ascii="Verdana" w:hAnsi="Verdana"/>
          <w:sz w:val="20"/>
          <w:szCs w:val="26"/>
          <w:lang w:val="pt-BR"/>
        </w:rPr>
        <w:t>criad</w:t>
      </w:r>
      <w:r w:rsidR="004756C1" w:rsidRPr="002F50BD">
        <w:rPr>
          <w:rFonts w:ascii="Verdana" w:hAnsi="Verdana"/>
          <w:sz w:val="20"/>
          <w:szCs w:val="26"/>
          <w:lang w:val="pt-BR"/>
        </w:rPr>
        <w:t>o constantemente</w:t>
      </w:r>
      <w:r w:rsidRPr="002F50BD">
        <w:rPr>
          <w:rFonts w:ascii="Verdana" w:hAnsi="Verdana"/>
          <w:sz w:val="20"/>
          <w:szCs w:val="26"/>
          <w:lang w:val="pt-BR"/>
        </w:rPr>
        <w:t xml:space="preserve"> </w:t>
      </w:r>
      <w:r w:rsidR="00367FD1" w:rsidRPr="002F50BD">
        <w:rPr>
          <w:rFonts w:ascii="Verdana" w:hAnsi="Verdana"/>
          <w:sz w:val="20"/>
          <w:szCs w:val="26"/>
          <w:lang w:val="pt-BR"/>
        </w:rPr>
        <w:t>pelos</w:t>
      </w:r>
      <w:r w:rsidR="00AB6727" w:rsidRPr="002F50BD">
        <w:rPr>
          <w:rFonts w:ascii="Verdana" w:hAnsi="Verdana"/>
          <w:sz w:val="20"/>
          <w:szCs w:val="26"/>
          <w:lang w:val="pt-BR"/>
        </w:rPr>
        <w:t xml:space="preserve"> </w:t>
      </w:r>
      <w:r w:rsidRPr="002F50BD">
        <w:rPr>
          <w:rFonts w:ascii="Verdana" w:hAnsi="Verdana"/>
          <w:sz w:val="20"/>
          <w:szCs w:val="26"/>
          <w:lang w:val="pt-BR"/>
        </w:rPr>
        <w:t>membro</w:t>
      </w:r>
      <w:r w:rsidR="004756C1" w:rsidRPr="002F50BD">
        <w:rPr>
          <w:rFonts w:ascii="Verdana" w:hAnsi="Verdana"/>
          <w:sz w:val="20"/>
          <w:szCs w:val="26"/>
          <w:lang w:val="pt-BR"/>
        </w:rPr>
        <w:t>s</w:t>
      </w:r>
      <w:r w:rsidRPr="002F50BD">
        <w:rPr>
          <w:rFonts w:ascii="Verdana" w:hAnsi="Verdana"/>
          <w:sz w:val="20"/>
          <w:szCs w:val="26"/>
          <w:lang w:val="pt-BR"/>
        </w:rPr>
        <w:t xml:space="preserve"> das </w:t>
      </w:r>
      <w:r w:rsidR="004756C1" w:rsidRPr="002F50BD">
        <w:rPr>
          <w:rFonts w:ascii="Verdana" w:hAnsi="Verdana"/>
          <w:sz w:val="20"/>
          <w:szCs w:val="26"/>
          <w:lang w:val="pt-BR"/>
        </w:rPr>
        <w:t>comunidades</w:t>
      </w:r>
      <w:r w:rsidRPr="002F50BD">
        <w:rPr>
          <w:rFonts w:ascii="Verdana" w:hAnsi="Verdana"/>
          <w:sz w:val="20"/>
          <w:szCs w:val="26"/>
          <w:lang w:val="pt-BR"/>
        </w:rPr>
        <w:t xml:space="preserve"> e </w:t>
      </w:r>
      <w:r w:rsidR="004756C1" w:rsidRPr="002F50BD">
        <w:rPr>
          <w:rFonts w:ascii="Verdana" w:hAnsi="Verdana"/>
          <w:sz w:val="20"/>
          <w:szCs w:val="26"/>
          <w:lang w:val="pt-BR"/>
        </w:rPr>
        <w:t>grupos indígenas.</w:t>
      </w:r>
    </w:p>
    <w:p w:rsidR="004756C1" w:rsidRPr="002F50BD" w:rsidRDefault="004756C1">
      <w:pPr>
        <w:jc w:val="both"/>
        <w:rPr>
          <w:rFonts w:ascii="Verdana" w:hAnsi="Verdana"/>
          <w:sz w:val="20"/>
          <w:lang w:val="pt-BR"/>
        </w:rPr>
      </w:pPr>
    </w:p>
    <w:p w:rsidR="004756C1" w:rsidRPr="002F50BD" w:rsidRDefault="00452B62">
      <w:pPr>
        <w:numPr>
          <w:ilvl w:val="0"/>
          <w:numId w:val="28"/>
        </w:numPr>
        <w:jc w:val="both"/>
        <w:rPr>
          <w:rFonts w:ascii="Verdana" w:hAnsi="Verdana"/>
          <w:color w:val="808080"/>
          <w:sz w:val="20"/>
          <w:lang w:val="pt-BR"/>
        </w:rPr>
      </w:pPr>
      <w:r w:rsidRPr="002F50BD">
        <w:rPr>
          <w:rFonts w:ascii="Verdana" w:hAnsi="Verdana"/>
          <w:sz w:val="20"/>
          <w:lang w:val="pt-BR"/>
        </w:rPr>
        <w:t xml:space="preserve">Apesar de o </w:t>
      </w:r>
      <w:r w:rsidR="0089298C" w:rsidRPr="002F50BD">
        <w:rPr>
          <w:rFonts w:ascii="Verdana" w:hAnsi="Verdana"/>
          <w:sz w:val="20"/>
          <w:lang w:val="pt-BR"/>
        </w:rPr>
        <w:t>Paraguai</w:t>
      </w:r>
      <w:r w:rsidR="004756C1" w:rsidRPr="002F50BD">
        <w:rPr>
          <w:rFonts w:ascii="Verdana" w:hAnsi="Verdana"/>
          <w:sz w:val="20"/>
          <w:lang w:val="pt-BR"/>
        </w:rPr>
        <w:t xml:space="preserve"> re</w:t>
      </w:r>
      <w:r w:rsidR="0089298C" w:rsidRPr="002F50BD">
        <w:rPr>
          <w:rFonts w:ascii="Verdana" w:hAnsi="Verdana"/>
          <w:sz w:val="20"/>
          <w:lang w:val="pt-BR"/>
        </w:rPr>
        <w:t>conhece</w:t>
      </w:r>
      <w:r w:rsidRPr="002F50BD">
        <w:rPr>
          <w:rFonts w:ascii="Verdana" w:hAnsi="Verdana"/>
          <w:sz w:val="20"/>
          <w:lang w:val="pt-BR"/>
        </w:rPr>
        <w:t>r</w:t>
      </w:r>
      <w:r w:rsidR="0089298C" w:rsidRPr="002F50BD">
        <w:rPr>
          <w:rFonts w:ascii="Verdana" w:hAnsi="Verdana"/>
          <w:sz w:val="20"/>
          <w:lang w:val="pt-BR"/>
        </w:rPr>
        <w:t xml:space="preserve"> o direito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em </w:t>
      </w:r>
      <w:r w:rsidR="004756C1" w:rsidRPr="002F50BD">
        <w:rPr>
          <w:rFonts w:ascii="Verdana" w:hAnsi="Verdana"/>
          <w:sz w:val="20"/>
          <w:lang w:val="pt-BR"/>
        </w:rPr>
        <w:t>s</w:t>
      </w:r>
      <w:r w:rsidRPr="002F50BD">
        <w:rPr>
          <w:rFonts w:ascii="Verdana" w:hAnsi="Verdana"/>
          <w:sz w:val="20"/>
          <w:lang w:val="pt-BR"/>
        </w:rPr>
        <w:t>e</w:t>
      </w:r>
      <w:r w:rsidR="004756C1" w:rsidRPr="002F50BD">
        <w:rPr>
          <w:rFonts w:ascii="Verdana" w:hAnsi="Verdana"/>
          <w:sz w:val="20"/>
          <w:lang w:val="pt-BR"/>
        </w:rPr>
        <w:t xml:space="preserve">u </w:t>
      </w:r>
      <w:r w:rsidR="0089298C" w:rsidRPr="002F50BD">
        <w:rPr>
          <w:rFonts w:ascii="Verdana" w:hAnsi="Verdana"/>
          <w:sz w:val="20"/>
          <w:lang w:val="pt-BR"/>
        </w:rPr>
        <w:t>próprio</w:t>
      </w:r>
      <w:r w:rsidR="004756C1" w:rsidRPr="002F50BD">
        <w:rPr>
          <w:rFonts w:ascii="Verdana" w:hAnsi="Verdana"/>
          <w:sz w:val="20"/>
          <w:lang w:val="pt-BR"/>
        </w:rPr>
        <w:t xml:space="preserve"> </w:t>
      </w:r>
      <w:r w:rsidR="0089298C" w:rsidRPr="002F50BD">
        <w:rPr>
          <w:rFonts w:ascii="Verdana" w:hAnsi="Verdana"/>
          <w:sz w:val="20"/>
          <w:lang w:val="pt-BR"/>
        </w:rPr>
        <w:t>ordenamento</w:t>
      </w:r>
      <w:r w:rsidRPr="002F50BD">
        <w:rPr>
          <w:rFonts w:ascii="Verdana" w:hAnsi="Verdana"/>
          <w:sz w:val="20"/>
          <w:lang w:val="pt-BR"/>
        </w:rPr>
        <w:t xml:space="preserve"> jurídico</w:t>
      </w:r>
      <w:r w:rsidR="004756C1" w:rsidRPr="002F50BD">
        <w:rPr>
          <w:rFonts w:ascii="Verdana" w:hAnsi="Verdana"/>
          <w:sz w:val="20"/>
          <w:lang w:val="pt-BR"/>
        </w:rPr>
        <w:t xml:space="preserve">, </w:t>
      </w:r>
      <w:r w:rsidR="00AB454A" w:rsidRPr="002F50BD">
        <w:rPr>
          <w:rFonts w:ascii="Verdana" w:hAnsi="Verdana"/>
          <w:sz w:val="20"/>
          <w:lang w:val="pt-BR"/>
        </w:rPr>
        <w:t>não adotou</w:t>
      </w:r>
      <w:r w:rsidR="0089298C" w:rsidRPr="002F50BD">
        <w:rPr>
          <w:rFonts w:ascii="Verdana" w:hAnsi="Verdana"/>
          <w:sz w:val="20"/>
          <w:lang w:val="pt-BR"/>
        </w:rPr>
        <w:t xml:space="preserve"> as </w:t>
      </w:r>
      <w:r w:rsidR="004756C1" w:rsidRPr="002F50BD">
        <w:rPr>
          <w:rFonts w:ascii="Verdana" w:hAnsi="Verdana"/>
          <w:sz w:val="20"/>
          <w:lang w:val="pt-BR"/>
        </w:rPr>
        <w:t xml:space="preserve">medidas </w:t>
      </w:r>
      <w:r w:rsidR="0089298C" w:rsidRPr="002F50BD">
        <w:rPr>
          <w:rFonts w:ascii="Verdana" w:hAnsi="Verdana"/>
          <w:sz w:val="20"/>
          <w:lang w:val="pt-BR"/>
        </w:rPr>
        <w:t>adequad</w:t>
      </w:r>
      <w:r w:rsidR="004756C1" w:rsidRPr="002F50BD">
        <w:rPr>
          <w:rFonts w:ascii="Verdana" w:hAnsi="Verdana"/>
          <w:sz w:val="20"/>
          <w:lang w:val="pt-BR"/>
        </w:rPr>
        <w:t xml:space="preserve">as de </w:t>
      </w:r>
      <w:r w:rsidR="0089298C" w:rsidRPr="002F50BD">
        <w:rPr>
          <w:rFonts w:ascii="Verdana" w:hAnsi="Verdana"/>
          <w:sz w:val="20"/>
          <w:lang w:val="pt-BR"/>
        </w:rPr>
        <w:t>direito</w:t>
      </w:r>
      <w:r w:rsidR="004756C1" w:rsidRPr="002F50BD">
        <w:rPr>
          <w:rFonts w:ascii="Verdana" w:hAnsi="Verdana"/>
          <w:sz w:val="20"/>
          <w:lang w:val="pt-BR"/>
        </w:rPr>
        <w:t xml:space="preserve"> interno </w:t>
      </w:r>
      <w:r w:rsidR="0089298C" w:rsidRPr="002F50BD">
        <w:rPr>
          <w:rFonts w:ascii="Verdana" w:hAnsi="Verdana"/>
          <w:sz w:val="20"/>
          <w:lang w:val="pt-BR"/>
        </w:rPr>
        <w:t>necessári</w:t>
      </w:r>
      <w:r w:rsidR="004756C1" w:rsidRPr="002F50BD">
        <w:rPr>
          <w:rFonts w:ascii="Verdana" w:hAnsi="Verdana"/>
          <w:sz w:val="20"/>
          <w:lang w:val="pt-BR"/>
        </w:rPr>
        <w:t xml:space="preserve">as para </w:t>
      </w:r>
      <w:r w:rsidR="0089298C" w:rsidRPr="002F50BD">
        <w:rPr>
          <w:rFonts w:ascii="Verdana" w:hAnsi="Verdana"/>
          <w:sz w:val="20"/>
          <w:lang w:val="pt-BR"/>
        </w:rPr>
        <w:t xml:space="preserve">garantir o </w:t>
      </w:r>
      <w:r w:rsidR="004756C1" w:rsidRPr="002F50BD">
        <w:rPr>
          <w:rFonts w:ascii="Verdana" w:hAnsi="Verdana"/>
          <w:sz w:val="20"/>
          <w:lang w:val="pt-BR"/>
        </w:rPr>
        <w:t>uso</w:t>
      </w:r>
      <w:r w:rsidR="0089298C" w:rsidRPr="002F50BD">
        <w:rPr>
          <w:rFonts w:ascii="Verdana" w:hAnsi="Verdana"/>
          <w:sz w:val="20"/>
          <w:lang w:val="pt-BR"/>
        </w:rPr>
        <w:t xml:space="preserve"> e</w:t>
      </w:r>
      <w:r w:rsidR="00385366" w:rsidRPr="002F50BD">
        <w:rPr>
          <w:rFonts w:ascii="Verdana" w:hAnsi="Verdana"/>
          <w:sz w:val="20"/>
          <w:lang w:val="pt-BR"/>
        </w:rPr>
        <w:t xml:space="preserve"> gozo </w:t>
      </w:r>
      <w:r w:rsidR="0089298C" w:rsidRPr="002F50BD">
        <w:rPr>
          <w:rFonts w:ascii="Verdana" w:hAnsi="Verdana"/>
          <w:sz w:val="20"/>
          <w:lang w:val="pt-BR"/>
        </w:rPr>
        <w:t>efetiv</w:t>
      </w:r>
      <w:r w:rsidR="004756C1" w:rsidRPr="002F50BD">
        <w:rPr>
          <w:rFonts w:ascii="Verdana" w:hAnsi="Verdana"/>
          <w:sz w:val="20"/>
          <w:lang w:val="pt-BR"/>
        </w:rPr>
        <w:t>o por parte</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de</w:t>
      </w:r>
      <w:r w:rsidR="004756C1" w:rsidRPr="002F50BD">
        <w:rPr>
          <w:rFonts w:ascii="Verdana" w:hAnsi="Verdana"/>
          <w:sz w:val="20"/>
          <w:lang w:val="pt-BR"/>
        </w:rPr>
        <w:t xml:space="preserve"> </w:t>
      </w:r>
      <w:r w:rsidR="00A50140" w:rsidRPr="002F50BD">
        <w:rPr>
          <w:rFonts w:ascii="Verdana" w:hAnsi="Verdana"/>
          <w:sz w:val="20"/>
          <w:lang w:val="pt-BR"/>
        </w:rPr>
        <w:t>suas terras</w:t>
      </w:r>
      <w:r w:rsidR="004756C1" w:rsidRPr="002F50BD">
        <w:rPr>
          <w:rFonts w:ascii="Verdana" w:hAnsi="Verdana"/>
          <w:sz w:val="20"/>
          <w:lang w:val="pt-BR"/>
        </w:rPr>
        <w:t xml:space="preserve"> tr</w:t>
      </w:r>
      <w:r w:rsidR="0089298C" w:rsidRPr="002F50BD">
        <w:rPr>
          <w:rFonts w:ascii="Verdana" w:hAnsi="Verdana"/>
          <w:sz w:val="20"/>
          <w:lang w:val="pt-BR"/>
        </w:rPr>
        <w:t>adicionais e</w:t>
      </w:r>
      <w:r w:rsidR="003D6409" w:rsidRPr="002F50BD">
        <w:rPr>
          <w:rFonts w:ascii="Verdana" w:hAnsi="Verdana"/>
          <w:sz w:val="20"/>
          <w:lang w:val="pt-BR"/>
        </w:rPr>
        <w:t>,</w:t>
      </w:r>
      <w:r w:rsidR="0089298C" w:rsidRPr="002F50BD">
        <w:rPr>
          <w:rFonts w:ascii="Verdana" w:hAnsi="Verdana"/>
          <w:sz w:val="20"/>
          <w:lang w:val="pt-BR"/>
        </w:rPr>
        <w:t xml:space="preserve"> com </w:t>
      </w:r>
      <w:r w:rsidRPr="002F50BD">
        <w:rPr>
          <w:rFonts w:ascii="Verdana" w:hAnsi="Verdana"/>
          <w:sz w:val="20"/>
          <w:lang w:val="pt-BR"/>
        </w:rPr>
        <w:t>isso</w:t>
      </w:r>
      <w:r w:rsidR="003D6409" w:rsidRPr="002F50BD">
        <w:rPr>
          <w:rFonts w:ascii="Verdana" w:hAnsi="Verdana"/>
          <w:sz w:val="20"/>
          <w:lang w:val="pt-BR"/>
        </w:rPr>
        <w:t>,</w:t>
      </w:r>
      <w:r w:rsidRPr="002F50BD">
        <w:rPr>
          <w:rFonts w:ascii="Verdana" w:hAnsi="Verdana"/>
          <w:sz w:val="20"/>
          <w:lang w:val="pt-BR"/>
        </w:rPr>
        <w:t xml:space="preserve"> ameaçou </w:t>
      </w:r>
      <w:r w:rsidR="0089298C" w:rsidRPr="002F50BD">
        <w:rPr>
          <w:rFonts w:ascii="Verdana" w:hAnsi="Verdana"/>
          <w:sz w:val="20"/>
          <w:lang w:val="pt-BR"/>
        </w:rPr>
        <w:t xml:space="preserve">o livre desenvolvimento e </w:t>
      </w:r>
      <w:r w:rsidRPr="002F50BD">
        <w:rPr>
          <w:rFonts w:ascii="Verdana" w:hAnsi="Verdana"/>
          <w:sz w:val="20"/>
          <w:lang w:val="pt-BR"/>
        </w:rPr>
        <w:t xml:space="preserve">a </w:t>
      </w:r>
      <w:r w:rsidR="004756C1" w:rsidRPr="002F50BD">
        <w:rPr>
          <w:rFonts w:ascii="Verdana" w:hAnsi="Verdana"/>
          <w:sz w:val="20"/>
          <w:lang w:val="pt-BR"/>
        </w:rPr>
        <w:t>trans</w:t>
      </w:r>
      <w:r w:rsidR="0089298C" w:rsidRPr="002F50BD">
        <w:rPr>
          <w:rFonts w:ascii="Verdana" w:hAnsi="Verdana"/>
          <w:sz w:val="20"/>
          <w:lang w:val="pt-BR"/>
        </w:rPr>
        <w:t>missão</w:t>
      </w:r>
      <w:r w:rsidR="004756C1" w:rsidRPr="002F50BD">
        <w:rPr>
          <w:rFonts w:ascii="Verdana" w:hAnsi="Verdana"/>
          <w:sz w:val="20"/>
          <w:lang w:val="pt-BR"/>
        </w:rPr>
        <w:t xml:space="preserve"> de </w:t>
      </w:r>
      <w:r w:rsidR="005A6BC7" w:rsidRPr="002F50BD">
        <w:rPr>
          <w:rFonts w:ascii="Verdana" w:hAnsi="Verdana"/>
          <w:sz w:val="20"/>
          <w:lang w:val="pt-BR"/>
        </w:rPr>
        <w:t>sua cultura</w:t>
      </w:r>
      <w:r w:rsidR="0089298C" w:rsidRPr="002F50BD">
        <w:rPr>
          <w:rFonts w:ascii="Verdana" w:hAnsi="Verdana"/>
          <w:sz w:val="20"/>
          <w:lang w:val="pt-BR"/>
        </w:rPr>
        <w:t xml:space="preserve"> e prática</w:t>
      </w:r>
      <w:r w:rsidR="004756C1" w:rsidRPr="002F50BD">
        <w:rPr>
          <w:rFonts w:ascii="Verdana" w:hAnsi="Verdana"/>
          <w:sz w:val="20"/>
          <w:lang w:val="pt-BR"/>
        </w:rPr>
        <w:t>s tr</w:t>
      </w:r>
      <w:r w:rsidR="0089298C" w:rsidRPr="002F50BD">
        <w:rPr>
          <w:rFonts w:ascii="Verdana" w:hAnsi="Verdana"/>
          <w:sz w:val="20"/>
          <w:lang w:val="pt-BR"/>
        </w:rPr>
        <w:t>adicionais</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indicado</w:t>
      </w:r>
      <w:r w:rsidR="004756C1" w:rsidRPr="002F50BD">
        <w:rPr>
          <w:rFonts w:ascii="Verdana" w:hAnsi="Verdana"/>
          <w:sz w:val="20"/>
          <w:lang w:val="pt-BR"/>
        </w:rPr>
        <w:t>s</w:t>
      </w:r>
      <w:r w:rsidR="0089298C" w:rsidRPr="002F50BD">
        <w:rPr>
          <w:rFonts w:ascii="Verdana" w:hAnsi="Verdana"/>
          <w:sz w:val="20"/>
          <w:lang w:val="pt-BR"/>
        </w:rPr>
        <w:t xml:space="preserve"> no parágrafo</w:t>
      </w:r>
      <w:r w:rsidR="004756C1" w:rsidRPr="002F50BD">
        <w:rPr>
          <w:rFonts w:ascii="Verdana" w:hAnsi="Verdana"/>
          <w:sz w:val="20"/>
          <w:lang w:val="pt-BR"/>
        </w:rPr>
        <w:t xml:space="preserve"> anterior.</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756C1">
      <w:pPr>
        <w:numPr>
          <w:ilvl w:val="0"/>
          <w:numId w:val="28"/>
        </w:numPr>
        <w:jc w:val="both"/>
        <w:rPr>
          <w:rFonts w:ascii="Verdana" w:hAnsi="Verdana"/>
          <w:color w:val="808080"/>
          <w:sz w:val="20"/>
          <w:lang w:val="pt-BR"/>
        </w:rPr>
      </w:pPr>
      <w:r w:rsidRPr="002F50BD">
        <w:rPr>
          <w:rFonts w:ascii="Verdana" w:hAnsi="Verdana"/>
          <w:sz w:val="20"/>
          <w:lang w:val="pt-BR"/>
        </w:rPr>
        <w:t xml:space="preserve">Por todo o </w:t>
      </w:r>
      <w:r w:rsidR="00452B62" w:rsidRPr="002F50BD">
        <w:rPr>
          <w:rFonts w:ascii="Verdana" w:hAnsi="Verdana"/>
          <w:sz w:val="20"/>
          <w:lang w:val="pt-BR"/>
        </w:rPr>
        <w:t xml:space="preserve">anteriormente </w:t>
      </w:r>
      <w:r w:rsidR="0089298C" w:rsidRPr="002F50BD">
        <w:rPr>
          <w:rFonts w:ascii="Verdana" w:hAnsi="Verdana"/>
          <w:sz w:val="20"/>
          <w:lang w:val="pt-BR"/>
        </w:rPr>
        <w:t>expost</w:t>
      </w:r>
      <w:r w:rsidRPr="002F50BD">
        <w:rPr>
          <w:rFonts w:ascii="Verdana" w:hAnsi="Verdana"/>
          <w:sz w:val="20"/>
          <w:lang w:val="pt-BR"/>
        </w:rPr>
        <w:t>o,</w:t>
      </w:r>
      <w:r w:rsidR="0089298C" w:rsidRPr="002F50BD">
        <w:rPr>
          <w:rFonts w:ascii="Verdana" w:hAnsi="Verdana"/>
          <w:sz w:val="20"/>
          <w:lang w:val="pt-BR"/>
        </w:rPr>
        <w:t xml:space="preserve"> a </w:t>
      </w:r>
      <w:r w:rsidRPr="002F50BD">
        <w:rPr>
          <w:rFonts w:ascii="Verdana" w:hAnsi="Verdana"/>
          <w:sz w:val="20"/>
          <w:lang w:val="pt-BR"/>
        </w:rPr>
        <w:t xml:space="preserve">Corte </w:t>
      </w:r>
      <w:r w:rsidR="0089298C" w:rsidRPr="002F50BD">
        <w:rPr>
          <w:rFonts w:ascii="Verdana" w:hAnsi="Verdana"/>
          <w:sz w:val="20"/>
          <w:lang w:val="pt-BR"/>
        </w:rPr>
        <w:t xml:space="preserve">conclui </w:t>
      </w:r>
      <w:r w:rsidRPr="002F50BD">
        <w:rPr>
          <w:rFonts w:ascii="Verdana" w:hAnsi="Verdana"/>
          <w:sz w:val="20"/>
          <w:lang w:val="pt-BR"/>
        </w:rPr>
        <w:t>que</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violou o artigo</w:t>
      </w:r>
      <w:r w:rsidRPr="002F50BD">
        <w:rPr>
          <w:rFonts w:ascii="Verdana" w:hAnsi="Verdana"/>
          <w:sz w:val="20"/>
          <w:lang w:val="pt-BR"/>
        </w:rPr>
        <w:t xml:space="preserve"> </w:t>
      </w:r>
      <w:r w:rsidR="00063B47" w:rsidRPr="002F50BD">
        <w:rPr>
          <w:rFonts w:ascii="Verdana" w:hAnsi="Verdana"/>
          <w:sz w:val="20"/>
          <w:lang w:val="pt-BR"/>
        </w:rPr>
        <w:t>21</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Americana,</w:t>
      </w:r>
      <w:r w:rsidR="0089298C" w:rsidRPr="002F50BD">
        <w:rPr>
          <w:rFonts w:ascii="Verdana" w:hAnsi="Verdana"/>
          <w:sz w:val="20"/>
          <w:lang w:val="pt-BR"/>
        </w:rPr>
        <w:t xml:space="preserve"> em </w:t>
      </w:r>
      <w:r w:rsidR="00452B62" w:rsidRPr="002F50BD">
        <w:rPr>
          <w:rFonts w:ascii="Verdana" w:hAnsi="Verdana"/>
          <w:sz w:val="20"/>
          <w:lang w:val="pt-BR"/>
        </w:rPr>
        <w:t xml:space="preserve">detrimento </w:t>
      </w:r>
      <w:r w:rsidR="0089298C" w:rsidRPr="002F50BD">
        <w:rPr>
          <w:rFonts w:ascii="Verdana" w:hAnsi="Verdana"/>
          <w:sz w:val="20"/>
          <w:lang w:val="pt-BR"/>
        </w:rPr>
        <w:t>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w:t>
      </w:r>
      <w:r w:rsidR="0089298C" w:rsidRPr="002F50BD">
        <w:rPr>
          <w:rFonts w:ascii="Verdana" w:hAnsi="Verdana"/>
          <w:sz w:val="20"/>
          <w:lang w:val="pt-BR"/>
        </w:rPr>
        <w:t xml:space="preserve"> em </w:t>
      </w:r>
      <w:r w:rsidRPr="002F50BD">
        <w:rPr>
          <w:rFonts w:ascii="Verdana" w:hAnsi="Verdana"/>
          <w:sz w:val="20"/>
          <w:lang w:val="pt-BR"/>
        </w:rPr>
        <w:t>rela</w:t>
      </w:r>
      <w:r w:rsidR="0089298C" w:rsidRPr="002F50BD">
        <w:rPr>
          <w:rFonts w:ascii="Verdana" w:hAnsi="Verdana"/>
          <w:sz w:val="20"/>
          <w:lang w:val="pt-BR"/>
        </w:rPr>
        <w:t xml:space="preserve">ção </w:t>
      </w:r>
      <w:r w:rsidR="00452B62" w:rsidRPr="002F50BD">
        <w:rPr>
          <w:rFonts w:ascii="Verdana" w:hAnsi="Verdana"/>
          <w:sz w:val="20"/>
          <w:lang w:val="pt-BR"/>
        </w:rPr>
        <w:t>a</w:t>
      </w:r>
      <w:r w:rsidR="0089298C" w:rsidRPr="002F50BD">
        <w:rPr>
          <w:rFonts w:ascii="Verdana" w:hAnsi="Verdana"/>
          <w:sz w:val="20"/>
          <w:lang w:val="pt-BR"/>
        </w:rPr>
        <w:t>os artigo</w:t>
      </w:r>
      <w:r w:rsidRPr="002F50BD">
        <w:rPr>
          <w:rFonts w:ascii="Verdana" w:hAnsi="Verdana"/>
          <w:sz w:val="20"/>
          <w:lang w:val="pt-BR"/>
        </w:rPr>
        <w:t xml:space="preserve">s </w:t>
      </w:r>
      <w:r w:rsidR="00063B47" w:rsidRPr="002F50BD">
        <w:rPr>
          <w:rFonts w:ascii="Verdana" w:hAnsi="Verdana"/>
          <w:sz w:val="20"/>
          <w:lang w:val="pt-BR"/>
        </w:rPr>
        <w:t>1</w:t>
      </w:r>
      <w:r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e </w:t>
      </w:r>
      <w:r w:rsidR="00063B47" w:rsidRPr="002F50BD">
        <w:rPr>
          <w:rFonts w:ascii="Verdana" w:hAnsi="Verdana"/>
          <w:sz w:val="20"/>
          <w:lang w:val="pt-BR"/>
        </w:rPr>
        <w:t>2</w:t>
      </w:r>
      <w:r w:rsidRPr="002F50BD">
        <w:rPr>
          <w:rFonts w:ascii="Verdana" w:hAnsi="Verdana"/>
          <w:sz w:val="20"/>
          <w:lang w:val="pt-BR"/>
        </w:rPr>
        <w:t xml:space="preserve"> </w:t>
      </w:r>
      <w:r w:rsidR="0089298C" w:rsidRPr="002F50BD">
        <w:rPr>
          <w:rFonts w:ascii="Verdana" w:hAnsi="Verdana"/>
          <w:sz w:val="20"/>
          <w:lang w:val="pt-BR"/>
        </w:rPr>
        <w:t>da mesm</w:t>
      </w:r>
      <w:r w:rsidRPr="002F50BD">
        <w:rPr>
          <w:rFonts w:ascii="Verdana" w:hAnsi="Verdana"/>
          <w:sz w:val="20"/>
          <w:lang w:val="pt-BR"/>
        </w:rPr>
        <w:t>a.</w:t>
      </w:r>
    </w:p>
    <w:p w:rsidR="004756C1" w:rsidRPr="002F50BD" w:rsidRDefault="004756C1">
      <w:pPr>
        <w:jc w:val="both"/>
        <w:rPr>
          <w:rFonts w:ascii="Verdana" w:hAnsi="Verdana"/>
          <w:i/>
          <w:sz w:val="20"/>
          <w:lang w:val="pt-BR"/>
        </w:rPr>
      </w:pPr>
    </w:p>
    <w:p w:rsidR="004756C1" w:rsidRPr="002F50BD" w:rsidRDefault="004756C1">
      <w:pPr>
        <w:ind w:left="360"/>
        <w:jc w:val="center"/>
        <w:rPr>
          <w:rFonts w:ascii="Verdana" w:hAnsi="Verdana"/>
          <w:b/>
          <w:smallCaps/>
          <w:sz w:val="20"/>
          <w:lang w:val="pt-BR"/>
        </w:rPr>
      </w:pPr>
      <w:r w:rsidRPr="002F50BD">
        <w:rPr>
          <w:rFonts w:ascii="Verdana" w:hAnsi="Verdana"/>
          <w:b/>
          <w:smallCaps/>
          <w:sz w:val="20"/>
          <w:lang w:val="pt-BR"/>
        </w:rPr>
        <w:t>X</w:t>
      </w:r>
    </w:p>
    <w:p w:rsidR="004756C1" w:rsidRPr="002F50BD" w:rsidRDefault="004756C1">
      <w:pPr>
        <w:ind w:left="360"/>
        <w:jc w:val="center"/>
        <w:rPr>
          <w:rFonts w:ascii="Verdana" w:hAnsi="Verdana"/>
          <w:b/>
          <w:smallCaps/>
          <w:sz w:val="20"/>
          <w:lang w:val="pt-BR"/>
        </w:rPr>
      </w:pPr>
      <w:r w:rsidRPr="002F50BD">
        <w:rPr>
          <w:rFonts w:ascii="Verdana" w:hAnsi="Verdana"/>
          <w:b/>
          <w:smallCaps/>
          <w:sz w:val="20"/>
          <w:lang w:val="pt-BR"/>
        </w:rPr>
        <w:t>Viola</w:t>
      </w:r>
      <w:r w:rsidR="0089298C" w:rsidRPr="002F50BD">
        <w:rPr>
          <w:rFonts w:ascii="Verdana" w:hAnsi="Verdana"/>
          <w:b/>
          <w:smallCaps/>
          <w:sz w:val="20"/>
          <w:lang w:val="pt-BR"/>
        </w:rPr>
        <w:t>ção</w:t>
      </w:r>
      <w:r w:rsidRPr="002F50BD">
        <w:rPr>
          <w:rFonts w:ascii="Verdana" w:hAnsi="Verdana"/>
          <w:b/>
          <w:smallCaps/>
          <w:sz w:val="20"/>
          <w:lang w:val="pt-BR"/>
        </w:rPr>
        <w:t xml:space="preserve"> </w:t>
      </w:r>
      <w:r w:rsidR="0089298C" w:rsidRPr="002F50BD">
        <w:rPr>
          <w:rFonts w:ascii="Verdana" w:hAnsi="Verdana"/>
          <w:b/>
          <w:smallCaps/>
          <w:sz w:val="20"/>
          <w:lang w:val="pt-BR"/>
        </w:rPr>
        <w:t>do artigo</w:t>
      </w:r>
      <w:r w:rsidRPr="002F50BD">
        <w:rPr>
          <w:rFonts w:ascii="Verdana" w:hAnsi="Verdana"/>
          <w:b/>
          <w:smallCaps/>
          <w:sz w:val="20"/>
          <w:lang w:val="pt-BR"/>
        </w:rPr>
        <w:t xml:space="preserve"> </w:t>
      </w:r>
      <w:r w:rsidR="00063B47" w:rsidRPr="002F50BD">
        <w:rPr>
          <w:rFonts w:ascii="Verdana" w:hAnsi="Verdana"/>
          <w:b/>
          <w:smallCaps/>
          <w:sz w:val="20"/>
          <w:lang w:val="pt-BR"/>
        </w:rPr>
        <w:t>4</w:t>
      </w:r>
      <w:r w:rsidRPr="002F50BD">
        <w:rPr>
          <w:rFonts w:ascii="Verdana" w:hAnsi="Verdana"/>
          <w:b/>
          <w:smallCaps/>
          <w:sz w:val="20"/>
          <w:lang w:val="pt-BR"/>
        </w:rPr>
        <w:t>.</w:t>
      </w:r>
      <w:r w:rsidR="00063B47" w:rsidRPr="002F50BD">
        <w:rPr>
          <w:rFonts w:ascii="Verdana" w:hAnsi="Verdana"/>
          <w:b/>
          <w:smallCaps/>
          <w:sz w:val="20"/>
          <w:lang w:val="pt-BR"/>
        </w:rPr>
        <w:t>1</w:t>
      </w:r>
      <w:r w:rsidR="0089298C" w:rsidRPr="002F50BD">
        <w:rPr>
          <w:rFonts w:ascii="Verdana" w:hAnsi="Verdana"/>
          <w:b/>
          <w:smallCaps/>
          <w:sz w:val="20"/>
          <w:lang w:val="pt-BR"/>
        </w:rPr>
        <w:t xml:space="preserve"> da </w:t>
      </w:r>
      <w:r w:rsidRPr="002F50BD">
        <w:rPr>
          <w:rFonts w:ascii="Verdana" w:hAnsi="Verdana"/>
          <w:b/>
          <w:smallCaps/>
          <w:sz w:val="20"/>
          <w:lang w:val="pt-BR"/>
        </w:rPr>
        <w:t>Conven</w:t>
      </w:r>
      <w:r w:rsidR="0089298C" w:rsidRPr="002F50BD">
        <w:rPr>
          <w:rFonts w:ascii="Verdana" w:hAnsi="Verdana"/>
          <w:b/>
          <w:smallCaps/>
          <w:sz w:val="20"/>
          <w:lang w:val="pt-BR"/>
        </w:rPr>
        <w:t>ção</w:t>
      </w:r>
      <w:r w:rsidRPr="002F50BD">
        <w:rPr>
          <w:rFonts w:ascii="Verdana" w:hAnsi="Verdana"/>
          <w:b/>
          <w:smallCaps/>
          <w:sz w:val="20"/>
          <w:lang w:val="pt-BR"/>
        </w:rPr>
        <w:t xml:space="preserve"> Americana</w:t>
      </w:r>
    </w:p>
    <w:p w:rsidR="004756C1" w:rsidRPr="002F50BD" w:rsidRDefault="00CF451D">
      <w:pPr>
        <w:ind w:left="360"/>
        <w:jc w:val="center"/>
        <w:rPr>
          <w:rFonts w:ascii="Verdana" w:hAnsi="Verdana"/>
          <w:b/>
          <w:smallCaps/>
          <w:sz w:val="20"/>
          <w:lang w:val="pt-BR"/>
        </w:rPr>
      </w:pPr>
      <w:r w:rsidRPr="00CF451D">
        <w:rPr>
          <w:rFonts w:ascii="Verdana" w:hAnsi="Verdana"/>
          <w:b/>
          <w:smallCaps/>
          <w:sz w:val="20"/>
          <w:lang w:val="pt-BR"/>
        </w:rPr>
        <w:t>(</w:t>
      </w:r>
      <w:r w:rsidR="0089298C" w:rsidRPr="002F50BD">
        <w:rPr>
          <w:rFonts w:ascii="Verdana" w:hAnsi="Verdana"/>
          <w:b/>
          <w:smallCaps/>
          <w:sz w:val="20"/>
          <w:lang w:val="pt-BR"/>
        </w:rPr>
        <w:t xml:space="preserve">Direito à </w:t>
      </w:r>
      <w:r w:rsidR="004756C1" w:rsidRPr="002F50BD">
        <w:rPr>
          <w:rFonts w:ascii="Verdana" w:hAnsi="Verdana"/>
          <w:b/>
          <w:smallCaps/>
          <w:sz w:val="20"/>
          <w:lang w:val="pt-BR"/>
        </w:rPr>
        <w:t>Vida</w:t>
      </w:r>
      <w:r w:rsidRPr="00CF451D">
        <w:rPr>
          <w:rFonts w:ascii="Verdana" w:hAnsi="Verdana"/>
          <w:b/>
          <w:smallCaps/>
          <w:sz w:val="20"/>
          <w:lang w:val="pt-BR"/>
        </w:rPr>
        <w:t>)</w:t>
      </w:r>
    </w:p>
    <w:p w:rsidR="004756C1" w:rsidRPr="002F50BD" w:rsidRDefault="004756C1">
      <w:pPr>
        <w:ind w:left="360"/>
        <w:jc w:val="center"/>
        <w:rPr>
          <w:rFonts w:ascii="Verdana" w:hAnsi="Verdana"/>
          <w:b/>
          <w:smallCaps/>
          <w:sz w:val="20"/>
          <w:lang w:val="pt-BR"/>
        </w:rPr>
      </w:pPr>
      <w:r w:rsidRPr="002F50BD">
        <w:rPr>
          <w:rFonts w:ascii="Verdana" w:hAnsi="Verdana"/>
          <w:b/>
          <w:smallCaps/>
          <w:sz w:val="20"/>
          <w:lang w:val="pt-BR"/>
        </w:rPr>
        <w:t>e</w:t>
      </w:r>
      <w:r w:rsidR="00452B62" w:rsidRPr="002F50BD">
        <w:rPr>
          <w:rFonts w:ascii="Verdana" w:hAnsi="Verdana"/>
          <w:b/>
          <w:smallCaps/>
          <w:sz w:val="20"/>
          <w:lang w:val="pt-BR"/>
        </w:rPr>
        <w:t>m</w:t>
      </w:r>
      <w:r w:rsidRPr="002F50BD">
        <w:rPr>
          <w:rFonts w:ascii="Verdana" w:hAnsi="Verdana"/>
          <w:b/>
          <w:smallCaps/>
          <w:sz w:val="20"/>
          <w:lang w:val="pt-BR"/>
        </w:rPr>
        <w:t xml:space="preserve"> rela</w:t>
      </w:r>
      <w:r w:rsidR="0089298C" w:rsidRPr="002F50BD">
        <w:rPr>
          <w:rFonts w:ascii="Verdana" w:hAnsi="Verdana"/>
          <w:b/>
          <w:smallCaps/>
          <w:sz w:val="20"/>
          <w:lang w:val="pt-BR"/>
        </w:rPr>
        <w:t xml:space="preserve">ção </w:t>
      </w:r>
      <w:r w:rsidR="00452B62" w:rsidRPr="002F50BD">
        <w:rPr>
          <w:rFonts w:ascii="Verdana" w:hAnsi="Verdana"/>
          <w:b/>
          <w:smallCaps/>
          <w:sz w:val="20"/>
          <w:lang w:val="pt-BR"/>
        </w:rPr>
        <w:t>a</w:t>
      </w:r>
      <w:r w:rsidR="0089298C" w:rsidRPr="002F50BD">
        <w:rPr>
          <w:rFonts w:ascii="Verdana" w:hAnsi="Verdana"/>
          <w:b/>
          <w:smallCaps/>
          <w:sz w:val="20"/>
          <w:lang w:val="pt-BR"/>
        </w:rPr>
        <w:t>o artigo</w:t>
      </w:r>
      <w:r w:rsidRPr="002F50BD">
        <w:rPr>
          <w:rFonts w:ascii="Verdana" w:hAnsi="Verdana"/>
          <w:b/>
          <w:smallCaps/>
          <w:sz w:val="20"/>
          <w:lang w:val="pt-BR"/>
        </w:rPr>
        <w:t xml:space="preserve"> </w:t>
      </w:r>
      <w:r w:rsidR="00063B47" w:rsidRPr="002F50BD">
        <w:rPr>
          <w:rFonts w:ascii="Verdana" w:hAnsi="Verdana"/>
          <w:b/>
          <w:smallCaps/>
          <w:sz w:val="20"/>
          <w:lang w:val="pt-BR"/>
        </w:rPr>
        <w:t>1</w:t>
      </w:r>
      <w:r w:rsidRPr="002F50BD">
        <w:rPr>
          <w:rFonts w:ascii="Verdana" w:hAnsi="Verdana"/>
          <w:b/>
          <w:smallCaps/>
          <w:sz w:val="20"/>
          <w:lang w:val="pt-BR"/>
        </w:rPr>
        <w:t>.</w:t>
      </w:r>
      <w:r w:rsidR="00063B47" w:rsidRPr="002F50BD">
        <w:rPr>
          <w:rFonts w:ascii="Verdana" w:hAnsi="Verdana"/>
          <w:b/>
          <w:smallCaps/>
          <w:sz w:val="20"/>
          <w:lang w:val="pt-BR"/>
        </w:rPr>
        <w:t>1</w:t>
      </w:r>
      <w:r w:rsidR="0089298C" w:rsidRPr="002F50BD">
        <w:rPr>
          <w:rFonts w:ascii="Verdana" w:hAnsi="Verdana"/>
          <w:b/>
          <w:smallCaps/>
          <w:sz w:val="20"/>
          <w:lang w:val="pt-BR"/>
        </w:rPr>
        <w:t xml:space="preserve"> da mesm</w:t>
      </w:r>
      <w:r w:rsidRPr="002F50BD">
        <w:rPr>
          <w:rFonts w:ascii="Verdana" w:hAnsi="Verdana"/>
          <w:b/>
          <w:smallCaps/>
          <w:sz w:val="20"/>
          <w:lang w:val="pt-BR"/>
        </w:rPr>
        <w:t>a</w:t>
      </w:r>
    </w:p>
    <w:p w:rsidR="004756C1" w:rsidRPr="002F50BD" w:rsidRDefault="004756C1">
      <w:pPr>
        <w:jc w:val="both"/>
        <w:rPr>
          <w:rFonts w:ascii="Verdana" w:hAnsi="Verdana"/>
          <w:i/>
          <w:sz w:val="20"/>
          <w:lang w:val="pt-BR"/>
        </w:rPr>
      </w:pPr>
    </w:p>
    <w:p w:rsidR="004756C1" w:rsidRPr="002F50BD" w:rsidRDefault="0089298C">
      <w:pPr>
        <w:jc w:val="both"/>
        <w:rPr>
          <w:rFonts w:ascii="Verdana" w:hAnsi="Verdana"/>
          <w:i/>
          <w:sz w:val="20"/>
        </w:rPr>
      </w:pPr>
      <w:r w:rsidRPr="002F50BD">
        <w:rPr>
          <w:rFonts w:ascii="Verdana" w:hAnsi="Verdana"/>
          <w:i/>
          <w:sz w:val="20"/>
        </w:rPr>
        <w:t>Alegações da Comissão</w:t>
      </w:r>
    </w:p>
    <w:p w:rsidR="004756C1" w:rsidRPr="002F50BD" w:rsidRDefault="004756C1">
      <w:pPr>
        <w:jc w:val="both"/>
        <w:rPr>
          <w:rFonts w:ascii="Verdana" w:hAnsi="Verdana"/>
          <w:i/>
          <w:sz w:val="20"/>
        </w:rPr>
      </w:pPr>
    </w:p>
    <w:p w:rsidR="004756C1" w:rsidRPr="002F50BD" w:rsidRDefault="00F46680">
      <w:pPr>
        <w:numPr>
          <w:ilvl w:val="0"/>
          <w:numId w:val="28"/>
        </w:numPr>
        <w:jc w:val="both"/>
        <w:rPr>
          <w:rFonts w:ascii="Verdana" w:hAnsi="Verdana"/>
          <w:sz w:val="20"/>
          <w:lang w:val="pt-BR"/>
        </w:rPr>
      </w:pPr>
      <w:r w:rsidRPr="002F50BD">
        <w:rPr>
          <w:rFonts w:ascii="Verdana" w:hAnsi="Verdana"/>
          <w:sz w:val="20"/>
          <w:lang w:val="pt-BR"/>
        </w:rPr>
        <w:lastRenderedPageBreak/>
        <w:t xml:space="preserve">Quanto </w:t>
      </w:r>
      <w:r w:rsidR="0089298C" w:rsidRPr="002F50BD">
        <w:rPr>
          <w:rFonts w:ascii="Verdana" w:hAnsi="Verdana"/>
          <w:sz w:val="20"/>
          <w:lang w:val="pt-BR"/>
        </w:rPr>
        <w:t>ao artigo</w:t>
      </w:r>
      <w:r w:rsidR="004756C1" w:rsidRPr="002F50BD">
        <w:rPr>
          <w:rFonts w:ascii="Verdana" w:hAnsi="Verdana"/>
          <w:sz w:val="20"/>
          <w:lang w:val="pt-BR"/>
        </w:rPr>
        <w:t xml:space="preserve"> </w:t>
      </w:r>
      <w:r w:rsidR="00063B47"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B756DC" w:rsidRPr="002F50BD">
        <w:rPr>
          <w:rFonts w:ascii="Verdana" w:hAnsi="Verdana"/>
          <w:sz w:val="20"/>
          <w:lang w:val="pt-BR"/>
        </w:rPr>
        <w:t>arg</w:t>
      </w:r>
      <w:r w:rsidR="003F3630">
        <w:rPr>
          <w:rFonts w:ascii="Verdana" w:hAnsi="Verdana"/>
          <w:sz w:val="20"/>
          <w:lang w:val="pt-BR"/>
        </w:rPr>
        <w:t>u</w:t>
      </w:r>
      <w:r w:rsidR="00B756DC" w:rsidRPr="002F50BD">
        <w:rPr>
          <w:rFonts w:ascii="Verdana" w:hAnsi="Verdana"/>
          <w:sz w:val="20"/>
          <w:lang w:val="pt-BR"/>
        </w:rPr>
        <w:t xml:space="preserve">iu </w:t>
      </w:r>
      <w:r w:rsidR="004756C1" w:rsidRPr="002F50BD">
        <w:rPr>
          <w:rFonts w:ascii="Verdana" w:hAnsi="Verdana"/>
          <w:sz w:val="20"/>
          <w:lang w:val="pt-BR"/>
        </w:rPr>
        <w:t>que:</w:t>
      </w:r>
    </w:p>
    <w:p w:rsidR="00452B62" w:rsidRPr="002F50BD" w:rsidRDefault="00452B62" w:rsidP="00452B62">
      <w:pPr>
        <w:tabs>
          <w:tab w:val="left" w:pos="1080"/>
          <w:tab w:val="left" w:pos="3469"/>
        </w:tabs>
        <w:ind w:left="36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sz w:val="20"/>
          <w:lang w:val="pt-BR"/>
        </w:rPr>
        <w:t xml:space="preserve">O direito à </w:t>
      </w:r>
      <w:r w:rsidR="004756C1" w:rsidRPr="002F50BD">
        <w:rPr>
          <w:rFonts w:ascii="Verdana" w:hAnsi="Verdana"/>
          <w:sz w:val="20"/>
          <w:lang w:val="pt-BR"/>
        </w:rPr>
        <w:t>vida</w:t>
      </w:r>
      <w:r w:rsidRPr="002F50BD">
        <w:rPr>
          <w:rFonts w:ascii="Verdana" w:hAnsi="Verdana"/>
          <w:sz w:val="20"/>
          <w:lang w:val="pt-BR"/>
        </w:rPr>
        <w:t xml:space="preserve"> é um direito</w:t>
      </w:r>
      <w:r w:rsidR="004756C1" w:rsidRPr="002F50BD">
        <w:rPr>
          <w:rFonts w:ascii="Verdana" w:hAnsi="Verdana"/>
          <w:sz w:val="20"/>
          <w:lang w:val="pt-BR"/>
        </w:rPr>
        <w:t xml:space="preserve"> humano fundamental, </w:t>
      </w:r>
      <w:r w:rsidRPr="002F50BD">
        <w:rPr>
          <w:rFonts w:ascii="Verdana" w:hAnsi="Verdana"/>
          <w:sz w:val="20"/>
          <w:lang w:val="pt-BR"/>
        </w:rPr>
        <w:t>essencial</w:t>
      </w:r>
      <w:r w:rsidR="004756C1" w:rsidRPr="002F50BD">
        <w:rPr>
          <w:rFonts w:ascii="Verdana" w:hAnsi="Verdana"/>
          <w:sz w:val="20"/>
          <w:lang w:val="pt-BR"/>
        </w:rPr>
        <w:t xml:space="preserve"> para</w:t>
      </w:r>
      <w:r w:rsidRPr="002F50BD">
        <w:rPr>
          <w:rFonts w:ascii="Verdana" w:hAnsi="Verdana"/>
          <w:sz w:val="20"/>
          <w:lang w:val="pt-BR"/>
        </w:rPr>
        <w:t xml:space="preserve"> o exercício dos demais</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 xml:space="preserve">s humanos. Este </w:t>
      </w:r>
      <w:r w:rsidRPr="002F50BD">
        <w:rPr>
          <w:rFonts w:ascii="Verdana" w:hAnsi="Verdana"/>
          <w:sz w:val="20"/>
          <w:lang w:val="pt-BR"/>
        </w:rPr>
        <w:t>direito</w:t>
      </w:r>
      <w:r w:rsidR="004756C1" w:rsidRPr="002F50BD">
        <w:rPr>
          <w:rFonts w:ascii="Verdana" w:hAnsi="Verdana"/>
          <w:sz w:val="20"/>
          <w:lang w:val="pt-BR"/>
        </w:rPr>
        <w:t xml:space="preserve"> n</w:t>
      </w:r>
      <w:r w:rsidR="00B756DC" w:rsidRPr="002F50BD">
        <w:rPr>
          <w:rFonts w:ascii="Verdana" w:hAnsi="Verdana"/>
          <w:sz w:val="20"/>
          <w:lang w:val="pt-BR"/>
        </w:rPr>
        <w:t>ã</w:t>
      </w:r>
      <w:r w:rsidR="004756C1" w:rsidRPr="002F50BD">
        <w:rPr>
          <w:rFonts w:ascii="Verdana" w:hAnsi="Verdana"/>
          <w:sz w:val="20"/>
          <w:lang w:val="pt-BR"/>
        </w:rPr>
        <w:t>o compre</w:t>
      </w:r>
      <w:r w:rsidR="00B756DC" w:rsidRPr="002F50BD">
        <w:rPr>
          <w:rFonts w:ascii="Verdana" w:hAnsi="Verdana"/>
          <w:sz w:val="20"/>
          <w:lang w:val="pt-BR"/>
        </w:rPr>
        <w:t>e</w:t>
      </w:r>
      <w:r w:rsidR="004756C1" w:rsidRPr="002F50BD">
        <w:rPr>
          <w:rFonts w:ascii="Verdana" w:hAnsi="Verdana"/>
          <w:sz w:val="20"/>
          <w:lang w:val="pt-BR"/>
        </w:rPr>
        <w:t xml:space="preserve">nde </w:t>
      </w:r>
      <w:r w:rsidRPr="002F50BD">
        <w:rPr>
          <w:rFonts w:ascii="Verdana" w:hAnsi="Verdana"/>
          <w:sz w:val="20"/>
          <w:lang w:val="pt-BR"/>
        </w:rPr>
        <w:t>apenas o direito</w:t>
      </w:r>
      <w:r w:rsidR="004756C1" w:rsidRPr="002F50BD">
        <w:rPr>
          <w:rFonts w:ascii="Verdana" w:hAnsi="Verdana"/>
          <w:sz w:val="20"/>
          <w:lang w:val="pt-BR"/>
        </w:rPr>
        <w:t xml:space="preserve"> de todo ser humano de n</w:t>
      </w:r>
      <w:r w:rsidR="00B756DC" w:rsidRPr="002F50BD">
        <w:rPr>
          <w:rFonts w:ascii="Verdana" w:hAnsi="Verdana"/>
          <w:sz w:val="20"/>
          <w:lang w:val="pt-BR"/>
        </w:rPr>
        <w:t>ã</w:t>
      </w:r>
      <w:r w:rsidR="004756C1" w:rsidRPr="002F50BD">
        <w:rPr>
          <w:rFonts w:ascii="Verdana" w:hAnsi="Verdana"/>
          <w:sz w:val="20"/>
          <w:lang w:val="pt-BR"/>
        </w:rPr>
        <w:t xml:space="preserve">o ser privado </w:t>
      </w:r>
      <w:r w:rsidRPr="002F50BD">
        <w:rPr>
          <w:rFonts w:ascii="Verdana" w:hAnsi="Verdana"/>
          <w:sz w:val="20"/>
          <w:lang w:val="pt-BR"/>
        </w:rPr>
        <w:t>arbitr</w:t>
      </w:r>
      <w:r w:rsidR="00B756DC" w:rsidRPr="002F50BD">
        <w:rPr>
          <w:rFonts w:ascii="Verdana" w:hAnsi="Verdana"/>
          <w:sz w:val="20"/>
          <w:lang w:val="pt-BR"/>
        </w:rPr>
        <w:t>a</w:t>
      </w:r>
      <w:r w:rsidRPr="002F50BD">
        <w:rPr>
          <w:rFonts w:ascii="Verdana" w:hAnsi="Verdana"/>
          <w:sz w:val="20"/>
          <w:lang w:val="pt-BR"/>
        </w:rPr>
        <w:t>ria</w:t>
      </w:r>
      <w:r w:rsidR="004756C1" w:rsidRPr="002F50BD">
        <w:rPr>
          <w:rFonts w:ascii="Verdana" w:hAnsi="Verdana"/>
          <w:sz w:val="20"/>
          <w:lang w:val="pt-BR"/>
        </w:rPr>
        <w:t>mente</w:t>
      </w:r>
      <w:r w:rsidRPr="002F50BD">
        <w:rPr>
          <w:rFonts w:ascii="Verdana" w:hAnsi="Verdana"/>
          <w:sz w:val="20"/>
          <w:lang w:val="pt-BR"/>
        </w:rPr>
        <w:t xml:space="preserve"> da </w:t>
      </w:r>
      <w:r w:rsidR="004756C1" w:rsidRPr="002F50BD">
        <w:rPr>
          <w:rFonts w:ascii="Verdana" w:hAnsi="Verdana"/>
          <w:sz w:val="20"/>
          <w:lang w:val="pt-BR"/>
        </w:rPr>
        <w:t>vida</w:t>
      </w:r>
      <w:r w:rsidR="00B756DC" w:rsidRPr="002F50BD">
        <w:rPr>
          <w:rFonts w:ascii="Verdana" w:hAnsi="Verdana"/>
          <w:sz w:val="20"/>
          <w:lang w:val="pt-BR"/>
        </w:rPr>
        <w:t>,</w:t>
      </w:r>
      <w:r w:rsidRPr="002F50BD">
        <w:rPr>
          <w:rFonts w:ascii="Verdana" w:hAnsi="Verdana"/>
          <w:sz w:val="20"/>
          <w:lang w:val="pt-BR"/>
        </w:rPr>
        <w:t xml:space="preserve"> mas também o direito</w:t>
      </w:r>
      <w:r w:rsidR="004756C1" w:rsidRPr="002F50BD">
        <w:rPr>
          <w:rFonts w:ascii="Verdana" w:hAnsi="Verdana"/>
          <w:sz w:val="20"/>
          <w:lang w:val="pt-BR"/>
        </w:rPr>
        <w:t xml:space="preserve"> a que n</w:t>
      </w:r>
      <w:r w:rsidR="00B756DC" w:rsidRPr="002F50BD">
        <w:rPr>
          <w:rFonts w:ascii="Verdana" w:hAnsi="Verdana"/>
          <w:sz w:val="20"/>
          <w:lang w:val="pt-BR"/>
        </w:rPr>
        <w:t>ã</w:t>
      </w:r>
      <w:r w:rsidR="004756C1" w:rsidRPr="002F50BD">
        <w:rPr>
          <w:rFonts w:ascii="Verdana" w:hAnsi="Verdana"/>
          <w:sz w:val="20"/>
          <w:lang w:val="pt-BR"/>
        </w:rPr>
        <w:t>o se imp</w:t>
      </w:r>
      <w:r w:rsidR="00B756DC" w:rsidRPr="002F50BD">
        <w:rPr>
          <w:rFonts w:ascii="Verdana" w:hAnsi="Verdana"/>
          <w:sz w:val="20"/>
          <w:lang w:val="pt-BR"/>
        </w:rPr>
        <w:t>eça o</w:t>
      </w:r>
      <w:r w:rsidRPr="002F50BD">
        <w:rPr>
          <w:rFonts w:ascii="Verdana" w:hAnsi="Verdana"/>
          <w:sz w:val="20"/>
          <w:lang w:val="pt-BR"/>
        </w:rPr>
        <w:t xml:space="preserve"> acesso às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que </w:t>
      </w:r>
      <w:r w:rsidRPr="002F50BD">
        <w:rPr>
          <w:rFonts w:ascii="Verdana" w:hAnsi="Verdana"/>
          <w:sz w:val="20"/>
          <w:lang w:val="pt-BR"/>
        </w:rPr>
        <w:t>garant</w:t>
      </w:r>
      <w:r w:rsidR="00F04F59">
        <w:rPr>
          <w:rFonts w:ascii="Verdana" w:hAnsi="Verdana"/>
          <w:sz w:val="20"/>
          <w:lang w:val="pt-BR"/>
        </w:rPr>
        <w:t>e</w:t>
      </w:r>
      <w:r w:rsidR="00B756DC" w:rsidRPr="002F50BD">
        <w:rPr>
          <w:rFonts w:ascii="Verdana" w:hAnsi="Verdana"/>
          <w:sz w:val="20"/>
          <w:lang w:val="pt-BR"/>
        </w:rPr>
        <w:t>m</w:t>
      </w:r>
      <w:r w:rsidRPr="002F50BD">
        <w:rPr>
          <w:rFonts w:ascii="Verdana" w:hAnsi="Verdana"/>
          <w:sz w:val="20"/>
          <w:lang w:val="pt-BR"/>
        </w:rPr>
        <w:t xml:space="preserve"> uma existência</w:t>
      </w:r>
      <w:r w:rsidR="004756C1" w:rsidRPr="002F50BD">
        <w:rPr>
          <w:rFonts w:ascii="Verdana" w:hAnsi="Verdana"/>
          <w:sz w:val="20"/>
          <w:lang w:val="pt-BR"/>
        </w:rPr>
        <w:t xml:space="preserve"> digna; </w:t>
      </w:r>
    </w:p>
    <w:p w:rsidR="00452B62" w:rsidRPr="002F50BD" w:rsidRDefault="00452B62" w:rsidP="00452B62">
      <w:pPr>
        <w:tabs>
          <w:tab w:val="left" w:pos="1080"/>
          <w:tab w:val="left" w:pos="3469"/>
        </w:tabs>
        <w:ind w:left="36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cs="Arial"/>
          <w:sz w:val="20"/>
          <w:lang w:val="pt-BR"/>
        </w:rPr>
        <w:t>Estado,</w:t>
      </w:r>
      <w:r w:rsidRPr="002F50BD">
        <w:rPr>
          <w:rFonts w:ascii="Verdana" w:hAnsi="Verdana" w:cs="Arial"/>
          <w:sz w:val="20"/>
          <w:lang w:val="pt-BR"/>
        </w:rPr>
        <w:t xml:space="preserve"> ao </w:t>
      </w:r>
      <w:r w:rsidR="004756C1" w:rsidRPr="002F50BD">
        <w:rPr>
          <w:rFonts w:ascii="Verdana" w:hAnsi="Verdana" w:cs="Arial"/>
          <w:sz w:val="20"/>
          <w:lang w:val="pt-BR"/>
        </w:rPr>
        <w:t>n</w:t>
      </w:r>
      <w:r w:rsidR="00B756DC" w:rsidRPr="002F50BD">
        <w:rPr>
          <w:rFonts w:ascii="Verdana" w:hAnsi="Verdana" w:cs="Arial"/>
          <w:sz w:val="20"/>
          <w:lang w:val="pt-BR"/>
        </w:rPr>
        <w:t>ã</w:t>
      </w:r>
      <w:r w:rsidR="004756C1" w:rsidRPr="002F50BD">
        <w:rPr>
          <w:rFonts w:ascii="Verdana" w:hAnsi="Verdana" w:cs="Arial"/>
          <w:sz w:val="20"/>
          <w:lang w:val="pt-BR"/>
        </w:rPr>
        <w:t xml:space="preserve">o </w:t>
      </w:r>
      <w:r w:rsidRPr="002F50BD">
        <w:rPr>
          <w:rFonts w:ascii="Verdana" w:hAnsi="Verdana" w:cs="Arial"/>
          <w:sz w:val="20"/>
          <w:lang w:val="pt-BR"/>
        </w:rPr>
        <w:t>garantir o direito da Comunidad</w:t>
      </w:r>
      <w:r w:rsidR="00B756DC" w:rsidRPr="002F50BD">
        <w:rPr>
          <w:rFonts w:ascii="Verdana" w:hAnsi="Verdana" w:cs="Arial"/>
          <w:sz w:val="20"/>
          <w:lang w:val="pt-BR"/>
        </w:rPr>
        <w:t xml:space="preserve">e </w:t>
      </w:r>
      <w:r w:rsidRPr="002F50BD">
        <w:rPr>
          <w:rFonts w:ascii="Verdana" w:hAnsi="Verdana" w:cs="Arial"/>
          <w:sz w:val="20"/>
          <w:lang w:val="pt-BR"/>
        </w:rPr>
        <w:t xml:space="preserve">a </w:t>
      </w:r>
      <w:r w:rsidR="00AB454A" w:rsidRPr="002F50BD">
        <w:rPr>
          <w:rFonts w:ascii="Verdana" w:hAnsi="Verdana" w:cs="Arial"/>
          <w:sz w:val="20"/>
          <w:lang w:val="pt-BR"/>
        </w:rPr>
        <w:t>seu território</w:t>
      </w:r>
      <w:r w:rsidR="004756C1" w:rsidRPr="002F50BD">
        <w:rPr>
          <w:rFonts w:ascii="Verdana" w:hAnsi="Verdana" w:cs="Arial"/>
          <w:sz w:val="20"/>
          <w:lang w:val="pt-BR"/>
        </w:rPr>
        <w:t xml:space="preserve"> ancestral, </w:t>
      </w:r>
      <w:r w:rsidR="004076AD" w:rsidRPr="002F50BD">
        <w:rPr>
          <w:rFonts w:ascii="Verdana" w:hAnsi="Verdana" w:cs="Arial"/>
          <w:sz w:val="20"/>
          <w:lang w:val="pt-BR"/>
        </w:rPr>
        <w:t>descumpriu</w:t>
      </w:r>
      <w:r w:rsidRPr="002F50BD">
        <w:rPr>
          <w:rFonts w:ascii="Verdana" w:hAnsi="Verdana" w:cs="Arial"/>
          <w:sz w:val="20"/>
          <w:lang w:val="pt-BR"/>
        </w:rPr>
        <w:t xml:space="preserve"> o dever</w:t>
      </w:r>
      <w:r w:rsidR="004756C1" w:rsidRPr="002F50BD">
        <w:rPr>
          <w:rFonts w:ascii="Verdana" w:hAnsi="Verdana" w:cs="Arial"/>
          <w:sz w:val="20"/>
          <w:lang w:val="pt-BR"/>
        </w:rPr>
        <w:t xml:space="preserve"> de </w:t>
      </w:r>
      <w:r w:rsidRPr="002F50BD">
        <w:rPr>
          <w:rFonts w:ascii="Verdana" w:hAnsi="Verdana" w:cs="Arial"/>
          <w:sz w:val="20"/>
          <w:lang w:val="pt-BR"/>
        </w:rPr>
        <w:t xml:space="preserve">garantir a </w:t>
      </w:r>
      <w:r w:rsidR="004756C1" w:rsidRPr="002F50BD">
        <w:rPr>
          <w:rFonts w:ascii="Verdana" w:hAnsi="Verdana" w:cs="Arial"/>
          <w:sz w:val="20"/>
          <w:lang w:val="pt-BR"/>
        </w:rPr>
        <w:t xml:space="preserve">vida de </w:t>
      </w:r>
      <w:r w:rsidR="00AB454A" w:rsidRPr="002F50BD">
        <w:rPr>
          <w:rFonts w:ascii="Verdana" w:hAnsi="Verdana" w:cs="Arial"/>
          <w:sz w:val="20"/>
          <w:lang w:val="pt-BR"/>
        </w:rPr>
        <w:t>seus membros</w:t>
      </w:r>
      <w:r w:rsidRPr="002F50BD">
        <w:rPr>
          <w:rFonts w:ascii="Verdana" w:hAnsi="Verdana" w:cs="Arial"/>
          <w:sz w:val="20"/>
          <w:lang w:val="pt-BR"/>
        </w:rPr>
        <w:t>,</w:t>
      </w:r>
      <w:r w:rsidR="004076AD" w:rsidRPr="002F50BD">
        <w:rPr>
          <w:rFonts w:ascii="Verdana" w:hAnsi="Verdana" w:cs="Arial"/>
          <w:sz w:val="20"/>
          <w:lang w:val="pt-BR"/>
        </w:rPr>
        <w:t xml:space="preserve"> já </w:t>
      </w:r>
      <w:r w:rsidR="004756C1" w:rsidRPr="002F50BD">
        <w:rPr>
          <w:rFonts w:ascii="Verdana" w:hAnsi="Verdana" w:cs="Arial"/>
          <w:sz w:val="20"/>
          <w:lang w:val="pt-BR"/>
        </w:rPr>
        <w:t xml:space="preserve">que </w:t>
      </w:r>
      <w:r w:rsidR="00B756DC" w:rsidRPr="002F50BD">
        <w:rPr>
          <w:rFonts w:ascii="Verdana" w:hAnsi="Verdana" w:cs="Arial"/>
          <w:sz w:val="20"/>
          <w:lang w:val="pt-BR"/>
        </w:rPr>
        <w:t>privou a</w:t>
      </w:r>
      <w:r w:rsidRPr="002F50BD">
        <w:rPr>
          <w:rFonts w:ascii="Verdana" w:hAnsi="Verdana" w:cs="Arial"/>
          <w:sz w:val="20"/>
          <w:lang w:val="pt-BR"/>
        </w:rPr>
        <w:t xml:space="preserve"> Comunidade </w:t>
      </w:r>
      <w:r w:rsidR="004756C1" w:rsidRPr="002F50BD">
        <w:rPr>
          <w:rFonts w:ascii="Verdana" w:hAnsi="Verdana" w:cs="Arial"/>
          <w:sz w:val="20"/>
          <w:lang w:val="pt-BR"/>
        </w:rPr>
        <w:t>de s</w:t>
      </w:r>
      <w:r w:rsidR="00B756DC" w:rsidRPr="002F50BD">
        <w:rPr>
          <w:rFonts w:ascii="Verdana" w:hAnsi="Verdana" w:cs="Arial"/>
          <w:sz w:val="20"/>
          <w:lang w:val="pt-BR"/>
        </w:rPr>
        <w:t>e</w:t>
      </w:r>
      <w:r w:rsidR="004756C1" w:rsidRPr="002F50BD">
        <w:rPr>
          <w:rFonts w:ascii="Verdana" w:hAnsi="Verdana" w:cs="Arial"/>
          <w:sz w:val="20"/>
          <w:lang w:val="pt-BR"/>
        </w:rPr>
        <w:t xml:space="preserve">us meios de </w:t>
      </w:r>
      <w:r w:rsidRPr="002F50BD">
        <w:rPr>
          <w:rFonts w:ascii="Verdana" w:hAnsi="Verdana" w:cs="Arial"/>
          <w:sz w:val="20"/>
          <w:lang w:val="pt-BR"/>
        </w:rPr>
        <w:t>subsistência</w:t>
      </w:r>
      <w:r w:rsidR="004756C1" w:rsidRPr="002F50BD">
        <w:rPr>
          <w:rFonts w:ascii="Verdana" w:hAnsi="Verdana" w:cs="Arial"/>
          <w:sz w:val="20"/>
          <w:lang w:val="pt-BR"/>
        </w:rPr>
        <w:t xml:space="preserve"> tr</w:t>
      </w:r>
      <w:r w:rsidRPr="002F50BD">
        <w:rPr>
          <w:rFonts w:ascii="Verdana" w:hAnsi="Verdana" w:cs="Arial"/>
          <w:sz w:val="20"/>
          <w:lang w:val="pt-BR"/>
        </w:rPr>
        <w:t>adicionais</w:t>
      </w:r>
      <w:r w:rsidR="004756C1" w:rsidRPr="002F50BD">
        <w:rPr>
          <w:rFonts w:ascii="Verdana" w:hAnsi="Verdana" w:cs="Arial"/>
          <w:sz w:val="20"/>
          <w:lang w:val="pt-BR"/>
        </w:rPr>
        <w:t xml:space="preserve">, </w:t>
      </w:r>
      <w:r w:rsidR="00B756DC" w:rsidRPr="002F50BD">
        <w:rPr>
          <w:rFonts w:ascii="Verdana" w:hAnsi="Verdana" w:cs="Arial"/>
          <w:sz w:val="20"/>
          <w:lang w:val="pt-BR"/>
        </w:rPr>
        <w:t xml:space="preserve">obrigando-a </w:t>
      </w:r>
      <w:r w:rsidR="004756C1" w:rsidRPr="002F50BD">
        <w:rPr>
          <w:rFonts w:ascii="Verdana" w:hAnsi="Verdana" w:cs="Arial"/>
          <w:sz w:val="20"/>
          <w:lang w:val="pt-BR"/>
        </w:rPr>
        <w:t xml:space="preserve">durante </w:t>
      </w:r>
      <w:r w:rsidRPr="002F50BD">
        <w:rPr>
          <w:rFonts w:ascii="Verdana" w:hAnsi="Verdana" w:cs="Arial"/>
          <w:sz w:val="20"/>
          <w:lang w:val="pt-BR"/>
        </w:rPr>
        <w:t>anos</w:t>
      </w:r>
      <w:r w:rsidR="004756C1" w:rsidRPr="002F50BD">
        <w:rPr>
          <w:rFonts w:ascii="Verdana" w:hAnsi="Verdana" w:cs="Arial"/>
          <w:sz w:val="20"/>
          <w:lang w:val="pt-BR"/>
        </w:rPr>
        <w:t xml:space="preserve"> a sobre</w:t>
      </w:r>
      <w:r w:rsidRPr="002F50BD">
        <w:rPr>
          <w:rFonts w:ascii="Verdana" w:hAnsi="Verdana" w:cs="Arial"/>
          <w:sz w:val="20"/>
          <w:lang w:val="pt-BR"/>
        </w:rPr>
        <w:t xml:space="preserve">viver em </w:t>
      </w:r>
      <w:r w:rsidR="004756C1" w:rsidRPr="002F50BD">
        <w:rPr>
          <w:rFonts w:ascii="Verdana" w:hAnsi="Verdana" w:cs="Arial"/>
          <w:sz w:val="20"/>
          <w:lang w:val="pt-BR"/>
        </w:rPr>
        <w:t>condi</w:t>
      </w:r>
      <w:r w:rsidRPr="002F50BD">
        <w:rPr>
          <w:rFonts w:ascii="Verdana" w:hAnsi="Verdana" w:cs="Arial"/>
          <w:sz w:val="20"/>
          <w:lang w:val="pt-BR"/>
        </w:rPr>
        <w:t>ções</w:t>
      </w:r>
      <w:r w:rsidR="004756C1" w:rsidRPr="002F50BD">
        <w:rPr>
          <w:rFonts w:ascii="Verdana" w:hAnsi="Verdana" w:cs="Arial"/>
          <w:sz w:val="20"/>
          <w:lang w:val="pt-BR"/>
        </w:rPr>
        <w:t xml:space="preserve"> </w:t>
      </w:r>
      <w:r w:rsidRPr="002F50BD">
        <w:rPr>
          <w:rFonts w:ascii="Verdana" w:hAnsi="Verdana" w:cs="Arial"/>
          <w:sz w:val="20"/>
          <w:lang w:val="pt-BR"/>
        </w:rPr>
        <w:t xml:space="preserve">deploráveis e </w:t>
      </w:r>
      <w:r w:rsidR="00B756DC" w:rsidRPr="002F50BD">
        <w:rPr>
          <w:rFonts w:ascii="Verdana" w:hAnsi="Verdana" w:cs="Arial"/>
          <w:sz w:val="20"/>
          <w:lang w:val="pt-BR"/>
        </w:rPr>
        <w:t xml:space="preserve">deixando-a à mercê </w:t>
      </w:r>
      <w:r w:rsidR="004756C1" w:rsidRPr="002F50BD">
        <w:rPr>
          <w:rFonts w:ascii="Verdana" w:hAnsi="Verdana" w:cs="Arial"/>
          <w:sz w:val="20"/>
          <w:lang w:val="pt-BR"/>
        </w:rPr>
        <w:t xml:space="preserve">de </w:t>
      </w:r>
      <w:r w:rsidRPr="002F50BD">
        <w:rPr>
          <w:rFonts w:ascii="Verdana" w:hAnsi="Verdana" w:cs="Arial"/>
          <w:sz w:val="20"/>
          <w:lang w:val="pt-BR"/>
        </w:rPr>
        <w:t>ações</w:t>
      </w:r>
      <w:r w:rsidR="004756C1" w:rsidRPr="002F50BD">
        <w:rPr>
          <w:rFonts w:ascii="Verdana" w:hAnsi="Verdana" w:cs="Arial"/>
          <w:sz w:val="20"/>
          <w:lang w:val="pt-BR"/>
        </w:rPr>
        <w:t xml:space="preserve"> de </w:t>
      </w:r>
      <w:r w:rsidRPr="002F50BD">
        <w:rPr>
          <w:rFonts w:ascii="Verdana" w:hAnsi="Verdana" w:cs="Arial"/>
          <w:sz w:val="20"/>
          <w:lang w:val="pt-BR"/>
        </w:rPr>
        <w:t xml:space="preserve">assistência </w:t>
      </w:r>
      <w:r w:rsidR="004756C1" w:rsidRPr="002F50BD">
        <w:rPr>
          <w:rFonts w:ascii="Verdana" w:hAnsi="Verdana" w:cs="Arial"/>
          <w:sz w:val="20"/>
          <w:lang w:val="pt-BR"/>
        </w:rPr>
        <w:t>estatal;</w:t>
      </w:r>
    </w:p>
    <w:p w:rsidR="004756C1" w:rsidRPr="002F50BD" w:rsidRDefault="004756C1">
      <w:pPr>
        <w:tabs>
          <w:tab w:val="left" w:pos="1080"/>
          <w:tab w:val="left" w:pos="3469"/>
        </w:tabs>
        <w:ind w:left="72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00FC6B22" w:rsidRPr="002F50BD">
        <w:rPr>
          <w:rFonts w:ascii="Verdana" w:hAnsi="Verdana"/>
          <w:sz w:val="20"/>
          <w:lang w:val="pt-BR"/>
        </w:rPr>
        <w:t>,</w:t>
      </w:r>
      <w:r w:rsidR="004756C1" w:rsidRPr="002F50BD">
        <w:rPr>
          <w:rFonts w:ascii="Verdana" w:hAnsi="Verdana"/>
          <w:sz w:val="20"/>
          <w:lang w:val="pt-BR"/>
        </w:rPr>
        <w:t xml:space="preserve"> </w:t>
      </w:r>
      <w:r w:rsidR="00063B47" w:rsidRPr="002F50BD">
        <w:rPr>
          <w:rFonts w:ascii="Verdana" w:hAnsi="Verdana"/>
          <w:sz w:val="20"/>
          <w:lang w:val="pt-BR"/>
        </w:rPr>
        <w:t>57</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 xml:space="preserve">s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C13D34" w:rsidRPr="002F50BD">
        <w:rPr>
          <w:rFonts w:ascii="Verdana" w:hAnsi="Verdana"/>
          <w:sz w:val="20"/>
          <w:lang w:val="pt-BR"/>
        </w:rPr>
        <w:t>viveram</w:t>
      </w:r>
      <w:r w:rsidR="004756C1" w:rsidRPr="002F50BD">
        <w:rPr>
          <w:rFonts w:ascii="Verdana" w:hAnsi="Verdana"/>
          <w:sz w:val="20"/>
          <w:lang w:val="pt-BR"/>
        </w:rPr>
        <w:t xml:space="preserve"> </w:t>
      </w:r>
      <w:r w:rsidR="00AB454A" w:rsidRPr="002F50BD">
        <w:rPr>
          <w:rFonts w:ascii="Verdana" w:hAnsi="Verdana"/>
          <w:sz w:val="20"/>
          <w:lang w:val="pt-BR"/>
        </w:rPr>
        <w:t xml:space="preserve">desde o </w:t>
      </w:r>
      <w:r w:rsidRPr="002F50BD">
        <w:rPr>
          <w:rFonts w:ascii="Verdana" w:hAnsi="Verdana"/>
          <w:sz w:val="20"/>
          <w:lang w:val="pt-BR"/>
        </w:rPr>
        <w:t xml:space="preserve">ano </w:t>
      </w:r>
      <w:r w:rsidR="00FC6B22" w:rsidRPr="002F50BD">
        <w:rPr>
          <w:rFonts w:ascii="Verdana" w:hAnsi="Verdana"/>
          <w:sz w:val="20"/>
          <w:lang w:val="pt-BR"/>
        </w:rPr>
        <w:t xml:space="preserve">de </w:t>
      </w:r>
      <w:r w:rsidR="00063B47" w:rsidRPr="002F50BD">
        <w:rPr>
          <w:rFonts w:ascii="Verdana" w:hAnsi="Verdana"/>
          <w:sz w:val="20"/>
          <w:lang w:val="pt-BR"/>
        </w:rPr>
        <w:t>1996</w:t>
      </w:r>
      <w:r w:rsidRPr="002F50BD">
        <w:rPr>
          <w:rFonts w:ascii="Verdana" w:hAnsi="Verdana"/>
          <w:sz w:val="20"/>
          <w:lang w:val="pt-BR"/>
        </w:rPr>
        <w:t xml:space="preserve"> em um </w:t>
      </w:r>
      <w:r w:rsidR="00FC6B22" w:rsidRPr="002F50BD">
        <w:rPr>
          <w:rFonts w:ascii="Verdana" w:hAnsi="Verdana"/>
          <w:sz w:val="20"/>
          <w:lang w:val="pt-BR"/>
        </w:rPr>
        <w:t>local</w:t>
      </w:r>
      <w:r w:rsidR="004756C1" w:rsidRPr="002F50BD">
        <w:rPr>
          <w:rFonts w:ascii="Verdana" w:hAnsi="Verdana"/>
          <w:sz w:val="20"/>
          <w:lang w:val="pt-BR"/>
        </w:rPr>
        <w:t xml:space="preserve"> claramente in</w:t>
      </w:r>
      <w:r w:rsidRPr="002F50BD">
        <w:rPr>
          <w:rFonts w:ascii="Verdana" w:hAnsi="Verdana"/>
          <w:sz w:val="20"/>
          <w:lang w:val="pt-BR"/>
        </w:rPr>
        <w:t>adequad</w:t>
      </w:r>
      <w:r w:rsidR="004756C1" w:rsidRPr="002F50BD">
        <w:rPr>
          <w:rFonts w:ascii="Verdana" w:hAnsi="Verdana"/>
          <w:sz w:val="20"/>
          <w:lang w:val="pt-BR"/>
        </w:rPr>
        <w:t xml:space="preserve">o para </w:t>
      </w:r>
      <w:r w:rsidRPr="002F50BD">
        <w:rPr>
          <w:rFonts w:ascii="Verdana" w:hAnsi="Verdana"/>
          <w:sz w:val="20"/>
          <w:lang w:val="pt-BR"/>
        </w:rPr>
        <w:t>desenvolver</w:t>
      </w:r>
      <w:r w:rsidR="00B756DC" w:rsidRPr="002F50BD">
        <w:rPr>
          <w:rFonts w:ascii="Verdana" w:hAnsi="Verdana"/>
          <w:sz w:val="20"/>
          <w:lang w:val="pt-BR"/>
        </w:rPr>
        <w:t>em</w:t>
      </w:r>
      <w:r w:rsidR="004756C1" w:rsidRPr="002F50BD">
        <w:rPr>
          <w:rFonts w:ascii="Verdana" w:hAnsi="Verdana"/>
          <w:sz w:val="20"/>
          <w:lang w:val="pt-BR"/>
        </w:rPr>
        <w:t xml:space="preserve"> </w:t>
      </w:r>
      <w:r w:rsidRPr="002F50BD">
        <w:rPr>
          <w:rFonts w:ascii="Verdana" w:hAnsi="Verdana"/>
          <w:sz w:val="20"/>
          <w:lang w:val="pt-BR"/>
        </w:rPr>
        <w:t xml:space="preserve">suas vidas em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mínimas de dig</w:t>
      </w:r>
      <w:r w:rsidR="00AB454A" w:rsidRPr="002F50BD">
        <w:rPr>
          <w:rFonts w:ascii="Verdana" w:hAnsi="Verdana"/>
          <w:sz w:val="20"/>
          <w:lang w:val="pt-BR"/>
        </w:rPr>
        <w:t xml:space="preserve">nidade, </w:t>
      </w:r>
      <w:r w:rsidRPr="002F50BD">
        <w:rPr>
          <w:rFonts w:ascii="Verdana" w:hAnsi="Verdana"/>
          <w:sz w:val="20"/>
          <w:lang w:val="pt-BR"/>
        </w:rPr>
        <w:t xml:space="preserve">à </w:t>
      </w:r>
      <w:r w:rsidR="004756C1" w:rsidRPr="002F50BD">
        <w:rPr>
          <w:rFonts w:ascii="Verdana" w:hAnsi="Verdana"/>
          <w:sz w:val="20"/>
          <w:lang w:val="pt-BR"/>
        </w:rPr>
        <w:t xml:space="preserve">espera </w:t>
      </w:r>
      <w:r w:rsidR="00B756DC" w:rsidRPr="002F50BD">
        <w:rPr>
          <w:rFonts w:ascii="Verdana" w:hAnsi="Verdana"/>
          <w:sz w:val="20"/>
          <w:lang w:val="pt-BR"/>
        </w:rPr>
        <w:t xml:space="preserve">de </w:t>
      </w:r>
      <w:r w:rsidR="004756C1" w:rsidRPr="002F50BD">
        <w:rPr>
          <w:rFonts w:ascii="Verdana" w:hAnsi="Verdana"/>
          <w:sz w:val="20"/>
          <w:lang w:val="pt-BR"/>
        </w:rPr>
        <w:t>que</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lhes garant</w:t>
      </w:r>
      <w:r w:rsidR="00B756DC" w:rsidRPr="002F50BD">
        <w:rPr>
          <w:rFonts w:ascii="Verdana" w:hAnsi="Verdana"/>
          <w:sz w:val="20"/>
          <w:lang w:val="pt-BR"/>
        </w:rPr>
        <w:t>isse</w:t>
      </w:r>
      <w:r w:rsidR="00305725" w:rsidRPr="002F50BD">
        <w:rPr>
          <w:rFonts w:ascii="Verdana" w:hAnsi="Verdana"/>
          <w:sz w:val="20"/>
          <w:lang w:val="pt-BR"/>
        </w:rPr>
        <w:t>,</w:t>
      </w:r>
      <w:r w:rsidRPr="002F50BD">
        <w:rPr>
          <w:rFonts w:ascii="Verdana" w:hAnsi="Verdana"/>
          <w:sz w:val="20"/>
          <w:lang w:val="pt-BR"/>
        </w:rPr>
        <w:t xml:space="preserve"> </w:t>
      </w:r>
      <w:r w:rsidR="00B756DC" w:rsidRPr="002F50BD">
        <w:rPr>
          <w:rFonts w:ascii="Verdana" w:hAnsi="Verdana"/>
          <w:sz w:val="20"/>
          <w:lang w:val="pt-BR"/>
        </w:rPr>
        <w:t>de</w:t>
      </w:r>
      <w:r w:rsidRPr="002F50BD">
        <w:rPr>
          <w:rFonts w:ascii="Verdana" w:hAnsi="Verdana"/>
          <w:sz w:val="20"/>
          <w:lang w:val="pt-BR"/>
        </w:rPr>
        <w:t xml:space="preserve"> </w:t>
      </w:r>
      <w:r w:rsidR="004756C1" w:rsidRPr="002F50BD">
        <w:rPr>
          <w:rFonts w:ascii="Verdana" w:hAnsi="Verdana"/>
          <w:sz w:val="20"/>
          <w:lang w:val="pt-BR"/>
        </w:rPr>
        <w:t xml:space="preserve">forma </w:t>
      </w:r>
      <w:r w:rsidRPr="002F50BD">
        <w:rPr>
          <w:rFonts w:ascii="Verdana" w:hAnsi="Verdana"/>
          <w:sz w:val="20"/>
          <w:lang w:val="pt-BR"/>
        </w:rPr>
        <w:t>efetiv</w:t>
      </w:r>
      <w:r w:rsidR="004756C1" w:rsidRPr="002F50BD">
        <w:rPr>
          <w:rFonts w:ascii="Verdana" w:hAnsi="Verdana"/>
          <w:sz w:val="20"/>
          <w:lang w:val="pt-BR"/>
        </w:rPr>
        <w:t>a</w:t>
      </w:r>
      <w:r w:rsidR="00305725"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seu direito</w:t>
      </w:r>
      <w:r w:rsidR="004756C1" w:rsidRPr="002F50BD">
        <w:rPr>
          <w:rFonts w:ascii="Verdana" w:hAnsi="Verdana"/>
          <w:sz w:val="20"/>
          <w:lang w:val="pt-BR"/>
        </w:rPr>
        <w:t xml:space="preserve"> a </w:t>
      </w:r>
      <w:r w:rsidRPr="002F50BD">
        <w:rPr>
          <w:rFonts w:ascii="Verdana" w:hAnsi="Verdana"/>
          <w:sz w:val="20"/>
          <w:lang w:val="pt-BR"/>
        </w:rPr>
        <w:t xml:space="preserve">viver em </w:t>
      </w:r>
      <w:r w:rsidR="00AB454A" w:rsidRPr="002F50BD">
        <w:rPr>
          <w:rFonts w:ascii="Verdana" w:hAnsi="Verdana"/>
          <w:sz w:val="20"/>
          <w:lang w:val="pt-BR"/>
        </w:rPr>
        <w:t>seu território</w:t>
      </w:r>
      <w:r w:rsidR="004756C1" w:rsidRPr="002F50BD">
        <w:rPr>
          <w:rFonts w:ascii="Verdana" w:hAnsi="Verdana"/>
          <w:sz w:val="20"/>
          <w:lang w:val="pt-BR"/>
        </w:rPr>
        <w:t xml:space="preserve"> ancestral</w:t>
      </w:r>
      <w:r w:rsidRPr="002F50BD">
        <w:rPr>
          <w:rFonts w:ascii="Verdana" w:hAnsi="Verdana"/>
          <w:sz w:val="20"/>
          <w:lang w:val="pt-BR"/>
        </w:rPr>
        <w:t xml:space="preserve"> e </w:t>
      </w:r>
      <w:r w:rsidR="004756C1" w:rsidRPr="002F50BD">
        <w:rPr>
          <w:rFonts w:ascii="Verdana" w:hAnsi="Verdana"/>
          <w:sz w:val="20"/>
          <w:lang w:val="pt-BR"/>
        </w:rPr>
        <w:t>poder</w:t>
      </w:r>
      <w:r w:rsidR="00305725"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assim</w:t>
      </w:r>
      <w:r w:rsidR="00305725" w:rsidRPr="002F50BD">
        <w:rPr>
          <w:rFonts w:ascii="Verdana" w:hAnsi="Verdana"/>
          <w:sz w:val="20"/>
          <w:lang w:val="pt-BR"/>
        </w:rPr>
        <w:t>,</w:t>
      </w:r>
      <w:r w:rsidR="00AB454A" w:rsidRPr="002F50BD">
        <w:rPr>
          <w:rFonts w:ascii="Verdana" w:hAnsi="Verdana"/>
          <w:sz w:val="20"/>
          <w:lang w:val="pt-BR"/>
        </w:rPr>
        <w:t xml:space="preserve"> não apenas</w:t>
      </w:r>
      <w:r w:rsidR="004756C1" w:rsidRPr="002F50BD">
        <w:rPr>
          <w:rFonts w:ascii="Verdana" w:hAnsi="Verdana"/>
          <w:sz w:val="20"/>
          <w:lang w:val="pt-BR"/>
        </w:rPr>
        <w:t xml:space="preserve"> realizar </w:t>
      </w:r>
      <w:r w:rsidR="004076AD" w:rsidRPr="002F50BD">
        <w:rPr>
          <w:rFonts w:ascii="Verdana" w:hAnsi="Verdana"/>
          <w:sz w:val="20"/>
          <w:lang w:val="pt-BR"/>
        </w:rPr>
        <w:t>suas atividades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de </w:t>
      </w:r>
      <w:r w:rsidRPr="002F50BD">
        <w:rPr>
          <w:rFonts w:ascii="Verdana" w:hAnsi="Verdana"/>
          <w:sz w:val="20"/>
          <w:lang w:val="pt-BR"/>
        </w:rPr>
        <w:t>subsistência</w:t>
      </w:r>
      <w:r w:rsidR="004756C1" w:rsidRPr="002F50BD">
        <w:rPr>
          <w:rFonts w:ascii="Verdana" w:hAnsi="Verdana"/>
          <w:sz w:val="20"/>
          <w:lang w:val="pt-BR"/>
        </w:rPr>
        <w:t>,</w:t>
      </w:r>
      <w:r w:rsidRPr="002F50BD">
        <w:rPr>
          <w:rFonts w:ascii="Verdana" w:hAnsi="Verdana"/>
          <w:sz w:val="20"/>
          <w:lang w:val="pt-BR"/>
        </w:rPr>
        <w:t xml:space="preserve"> mas também</w:t>
      </w:r>
      <w:r w:rsidR="004756C1" w:rsidRPr="002F50BD">
        <w:rPr>
          <w:rFonts w:ascii="Verdana" w:hAnsi="Verdana"/>
          <w:sz w:val="20"/>
          <w:lang w:val="pt-BR"/>
        </w:rPr>
        <w:t xml:space="preserve"> preservar </w:t>
      </w:r>
      <w:r w:rsidRPr="002F50BD">
        <w:rPr>
          <w:rFonts w:ascii="Verdana" w:hAnsi="Verdana"/>
          <w:sz w:val="20"/>
          <w:lang w:val="pt-BR"/>
        </w:rPr>
        <w:t xml:space="preserve">sua identidade </w:t>
      </w:r>
      <w:r w:rsidR="004756C1" w:rsidRPr="002F50BD">
        <w:rPr>
          <w:rFonts w:ascii="Verdana" w:hAnsi="Verdana"/>
          <w:sz w:val="20"/>
          <w:lang w:val="pt-BR"/>
        </w:rPr>
        <w:t xml:space="preserve">cultural; </w:t>
      </w:r>
    </w:p>
    <w:p w:rsidR="00452B62" w:rsidRPr="002F50BD" w:rsidRDefault="00452B62" w:rsidP="00452B62">
      <w:pPr>
        <w:tabs>
          <w:tab w:val="left" w:pos="1080"/>
          <w:tab w:val="left" w:pos="3469"/>
        </w:tabs>
        <w:ind w:left="36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cs="Arial"/>
          <w:sz w:val="20"/>
          <w:lang w:val="pt-BR"/>
        </w:rPr>
        <w:t xml:space="preserve">falta de </w:t>
      </w:r>
      <w:r w:rsidRPr="002F50BD">
        <w:rPr>
          <w:rFonts w:ascii="Verdana" w:hAnsi="Verdana" w:cs="Arial"/>
          <w:sz w:val="20"/>
          <w:lang w:val="pt-BR"/>
        </w:rPr>
        <w:t>garantia efetiv</w:t>
      </w:r>
      <w:r w:rsidR="004756C1" w:rsidRPr="002F50BD">
        <w:rPr>
          <w:rFonts w:ascii="Verdana" w:hAnsi="Verdana" w:cs="Arial"/>
          <w:sz w:val="20"/>
          <w:lang w:val="pt-BR"/>
        </w:rPr>
        <w:t xml:space="preserve">a </w:t>
      </w:r>
      <w:r w:rsidRPr="002F50BD">
        <w:rPr>
          <w:rFonts w:ascii="Verdana" w:hAnsi="Verdana" w:cs="Arial"/>
          <w:sz w:val="20"/>
          <w:lang w:val="pt-BR"/>
        </w:rPr>
        <w:t>do direito</w:t>
      </w:r>
      <w:r w:rsidR="004756C1" w:rsidRPr="002F50BD">
        <w:rPr>
          <w:rFonts w:ascii="Verdana" w:hAnsi="Verdana" w:cs="Arial"/>
          <w:sz w:val="20"/>
          <w:lang w:val="pt-BR"/>
        </w:rPr>
        <w:t xml:space="preserve"> de </w:t>
      </w:r>
      <w:r w:rsidRPr="002F50BD">
        <w:rPr>
          <w:rFonts w:ascii="Verdana" w:hAnsi="Verdana" w:cs="Arial"/>
          <w:sz w:val="20"/>
          <w:lang w:val="pt-BR"/>
        </w:rPr>
        <w:t xml:space="preserve">propriedade da Comunidade </w:t>
      </w:r>
      <w:r w:rsidR="004756C1" w:rsidRPr="002F50BD">
        <w:rPr>
          <w:rFonts w:ascii="Verdana" w:hAnsi="Verdana" w:cs="Arial"/>
          <w:sz w:val="20"/>
          <w:lang w:val="pt-BR"/>
        </w:rPr>
        <w:t>significo</w:t>
      </w:r>
      <w:r w:rsidR="00B756DC" w:rsidRPr="002F50BD">
        <w:rPr>
          <w:rFonts w:ascii="Verdana" w:hAnsi="Verdana" w:cs="Arial"/>
          <w:sz w:val="20"/>
          <w:lang w:val="pt-BR"/>
        </w:rPr>
        <w:t>u</w:t>
      </w:r>
      <w:r w:rsidR="004756C1" w:rsidRPr="002F50BD">
        <w:rPr>
          <w:rFonts w:ascii="Verdana" w:hAnsi="Verdana" w:cs="Arial"/>
          <w:sz w:val="20"/>
          <w:lang w:val="pt-BR"/>
        </w:rPr>
        <w:t xml:space="preserve"> colocar </w:t>
      </w:r>
      <w:r w:rsidR="00AB454A" w:rsidRPr="002F50BD">
        <w:rPr>
          <w:rFonts w:ascii="Verdana" w:hAnsi="Verdana" w:cs="Arial"/>
          <w:sz w:val="20"/>
          <w:lang w:val="pt-BR"/>
        </w:rPr>
        <w:t>seus membros</w:t>
      </w:r>
      <w:r w:rsidRPr="002F50BD">
        <w:rPr>
          <w:rFonts w:ascii="Verdana" w:hAnsi="Verdana" w:cs="Arial"/>
          <w:sz w:val="20"/>
          <w:lang w:val="pt-BR"/>
        </w:rPr>
        <w:t xml:space="preserve"> em uma </w:t>
      </w:r>
      <w:r w:rsidR="004756C1" w:rsidRPr="002F50BD">
        <w:rPr>
          <w:rFonts w:ascii="Verdana" w:hAnsi="Verdana" w:cs="Arial"/>
          <w:sz w:val="20"/>
          <w:lang w:val="pt-BR"/>
        </w:rPr>
        <w:t>situa</w:t>
      </w:r>
      <w:r w:rsidRPr="002F50BD">
        <w:rPr>
          <w:rFonts w:ascii="Verdana" w:hAnsi="Verdana" w:cs="Arial"/>
          <w:sz w:val="20"/>
          <w:lang w:val="pt-BR"/>
        </w:rPr>
        <w:t>ção</w:t>
      </w:r>
      <w:r w:rsidR="004756C1" w:rsidRPr="002F50BD">
        <w:rPr>
          <w:rFonts w:ascii="Verdana" w:hAnsi="Verdana" w:cs="Arial"/>
          <w:sz w:val="20"/>
          <w:lang w:val="pt-BR"/>
        </w:rPr>
        <w:t xml:space="preserve"> de des</w:t>
      </w:r>
      <w:r w:rsidRPr="002F50BD">
        <w:rPr>
          <w:rFonts w:ascii="Verdana" w:hAnsi="Verdana" w:cs="Arial"/>
          <w:sz w:val="20"/>
          <w:lang w:val="pt-BR"/>
        </w:rPr>
        <w:t>proteção</w:t>
      </w:r>
      <w:r w:rsidR="004756C1" w:rsidRPr="002F50BD">
        <w:rPr>
          <w:rFonts w:ascii="Verdana" w:hAnsi="Verdana" w:cs="Arial"/>
          <w:sz w:val="20"/>
          <w:lang w:val="pt-BR"/>
        </w:rPr>
        <w:t xml:space="preserve"> extrema que </w:t>
      </w:r>
      <w:r w:rsidR="00B756DC" w:rsidRPr="002F50BD">
        <w:rPr>
          <w:rFonts w:ascii="Verdana" w:hAnsi="Verdana" w:cs="Arial"/>
          <w:sz w:val="20"/>
          <w:lang w:val="pt-BR"/>
        </w:rPr>
        <w:t>resultou n</w:t>
      </w:r>
      <w:r w:rsidRPr="002F50BD">
        <w:rPr>
          <w:rFonts w:ascii="Verdana" w:hAnsi="Verdana" w:cs="Arial"/>
          <w:sz w:val="20"/>
          <w:lang w:val="pt-BR"/>
        </w:rPr>
        <w:t>a morte</w:t>
      </w:r>
      <w:r w:rsidR="004756C1" w:rsidRPr="002F50BD">
        <w:rPr>
          <w:rFonts w:ascii="Verdana" w:hAnsi="Verdana" w:cs="Arial"/>
          <w:sz w:val="20"/>
          <w:lang w:val="pt-BR"/>
        </w:rPr>
        <w:t xml:space="preserve"> de </w:t>
      </w:r>
      <w:r w:rsidRPr="002F50BD">
        <w:rPr>
          <w:rFonts w:ascii="Verdana" w:hAnsi="Verdana" w:cs="Arial"/>
          <w:sz w:val="20"/>
          <w:lang w:val="pt-BR"/>
        </w:rPr>
        <w:t>vários</w:t>
      </w:r>
      <w:r w:rsidR="004756C1" w:rsidRPr="002F50BD">
        <w:rPr>
          <w:rFonts w:ascii="Verdana" w:hAnsi="Verdana" w:cs="Arial"/>
          <w:sz w:val="20"/>
          <w:lang w:val="pt-BR"/>
        </w:rPr>
        <w:t xml:space="preserve"> de </w:t>
      </w:r>
      <w:r w:rsidR="00AB454A" w:rsidRPr="002F50BD">
        <w:rPr>
          <w:rFonts w:ascii="Verdana" w:hAnsi="Verdana" w:cs="Arial"/>
          <w:sz w:val="20"/>
          <w:lang w:val="pt-BR"/>
        </w:rPr>
        <w:t>seus membros</w:t>
      </w:r>
      <w:r w:rsidR="004756C1" w:rsidRPr="002F50BD">
        <w:rPr>
          <w:rFonts w:ascii="Verdana" w:hAnsi="Verdana" w:cs="Arial"/>
          <w:sz w:val="20"/>
          <w:lang w:val="pt-BR"/>
        </w:rPr>
        <w:t xml:space="preserve"> por causas que</w:t>
      </w:r>
      <w:r w:rsidRPr="002F50BD">
        <w:rPr>
          <w:rFonts w:ascii="Verdana" w:hAnsi="Verdana" w:cs="Arial"/>
          <w:sz w:val="20"/>
          <w:lang w:val="pt-BR"/>
        </w:rPr>
        <w:t xml:space="preserve"> </w:t>
      </w:r>
      <w:r w:rsidR="00B756DC" w:rsidRPr="002F50BD">
        <w:rPr>
          <w:rFonts w:ascii="Verdana" w:hAnsi="Verdana" w:cs="Arial"/>
          <w:sz w:val="20"/>
          <w:lang w:val="pt-BR"/>
        </w:rPr>
        <w:t xml:space="preserve">poderiam ter sido evitadas </w:t>
      </w:r>
      <w:r w:rsidRPr="002F50BD">
        <w:rPr>
          <w:rFonts w:ascii="Verdana" w:hAnsi="Verdana" w:cs="Arial"/>
          <w:sz w:val="20"/>
          <w:lang w:val="pt-BR"/>
        </w:rPr>
        <w:t xml:space="preserve">com </w:t>
      </w:r>
      <w:r w:rsidR="004756C1" w:rsidRPr="002F50BD">
        <w:rPr>
          <w:rFonts w:ascii="Verdana" w:hAnsi="Verdana" w:cs="Arial"/>
          <w:sz w:val="20"/>
          <w:lang w:val="pt-BR"/>
        </w:rPr>
        <w:t>alimenta</w:t>
      </w:r>
      <w:r w:rsidRPr="002F50BD">
        <w:rPr>
          <w:rFonts w:ascii="Verdana" w:hAnsi="Verdana" w:cs="Arial"/>
          <w:sz w:val="20"/>
          <w:lang w:val="pt-BR"/>
        </w:rPr>
        <w:t xml:space="preserve">ção e assistência </w:t>
      </w:r>
      <w:r w:rsidR="004756C1" w:rsidRPr="002F50BD">
        <w:rPr>
          <w:rFonts w:ascii="Verdana" w:hAnsi="Verdana" w:cs="Arial"/>
          <w:sz w:val="20"/>
          <w:lang w:val="pt-BR"/>
        </w:rPr>
        <w:t>médica</w:t>
      </w:r>
      <w:r w:rsidR="00B756DC" w:rsidRPr="002F50BD">
        <w:rPr>
          <w:rFonts w:ascii="Verdana" w:hAnsi="Verdana" w:cs="Arial"/>
          <w:sz w:val="20"/>
          <w:lang w:val="pt-BR"/>
        </w:rPr>
        <w:t xml:space="preserve"> adequadas</w:t>
      </w:r>
      <w:r w:rsidR="004756C1" w:rsidRPr="002F50BD">
        <w:rPr>
          <w:rFonts w:ascii="Verdana" w:hAnsi="Verdana" w:cs="Arial"/>
          <w:sz w:val="20"/>
          <w:lang w:val="pt-BR"/>
        </w:rPr>
        <w:t>;</w:t>
      </w:r>
      <w:r w:rsidR="004756C1" w:rsidRPr="002F50BD">
        <w:rPr>
          <w:rFonts w:ascii="Verdana" w:hAnsi="Verdana"/>
          <w:sz w:val="20"/>
          <w:lang w:val="pt-BR"/>
        </w:rPr>
        <w:t xml:space="preserve"> </w:t>
      </w:r>
    </w:p>
    <w:p w:rsidR="00452B62" w:rsidRPr="002F50BD" w:rsidRDefault="00452B62" w:rsidP="00452B62">
      <w:pPr>
        <w:tabs>
          <w:tab w:val="left" w:pos="1080"/>
          <w:tab w:val="left" w:pos="3469"/>
        </w:tabs>
        <w:ind w:left="36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cs="Arial"/>
          <w:sz w:val="20"/>
          <w:lang w:val="pt-BR"/>
        </w:rPr>
        <w:t>situa</w:t>
      </w:r>
      <w:r w:rsidRPr="002F50BD">
        <w:rPr>
          <w:rFonts w:ascii="Verdana" w:hAnsi="Verdana" w:cs="Arial"/>
          <w:sz w:val="20"/>
          <w:lang w:val="pt-BR"/>
        </w:rPr>
        <w:t>ção</w:t>
      </w:r>
      <w:r w:rsidR="004756C1" w:rsidRPr="002F50BD">
        <w:rPr>
          <w:rFonts w:ascii="Verdana" w:hAnsi="Verdana" w:cs="Arial"/>
          <w:sz w:val="20"/>
          <w:lang w:val="pt-BR"/>
        </w:rPr>
        <w:t xml:space="preserve"> de </w:t>
      </w:r>
      <w:r w:rsidRPr="002F50BD">
        <w:rPr>
          <w:rFonts w:ascii="Verdana" w:hAnsi="Verdana" w:cs="Arial"/>
          <w:sz w:val="20"/>
          <w:lang w:val="pt-BR"/>
        </w:rPr>
        <w:t>risco</w:t>
      </w:r>
      <w:r w:rsidR="004756C1" w:rsidRPr="002F50BD">
        <w:rPr>
          <w:rFonts w:ascii="Verdana" w:hAnsi="Verdana" w:cs="Arial"/>
          <w:sz w:val="20"/>
          <w:lang w:val="pt-BR"/>
        </w:rPr>
        <w:t xml:space="preserve"> o</w:t>
      </w:r>
      <w:r w:rsidR="00B756DC" w:rsidRPr="002F50BD">
        <w:rPr>
          <w:rFonts w:ascii="Verdana" w:hAnsi="Verdana" w:cs="Arial"/>
          <w:sz w:val="20"/>
          <w:lang w:val="pt-BR"/>
        </w:rPr>
        <w:t>u</w:t>
      </w:r>
      <w:r w:rsidR="004756C1" w:rsidRPr="002F50BD">
        <w:rPr>
          <w:rFonts w:ascii="Verdana" w:hAnsi="Verdana" w:cs="Arial"/>
          <w:sz w:val="20"/>
          <w:lang w:val="pt-BR"/>
        </w:rPr>
        <w:t xml:space="preserve"> </w:t>
      </w:r>
      <w:r w:rsidRPr="002F50BD">
        <w:rPr>
          <w:rFonts w:ascii="Verdana" w:hAnsi="Verdana" w:cs="Arial"/>
          <w:sz w:val="20"/>
          <w:lang w:val="pt-BR"/>
        </w:rPr>
        <w:t xml:space="preserve">vulnerabilidade da Comunidade </w:t>
      </w:r>
      <w:r w:rsidR="004756C1" w:rsidRPr="002F50BD">
        <w:rPr>
          <w:rFonts w:ascii="Verdana" w:hAnsi="Verdana" w:cs="Arial"/>
          <w:sz w:val="20"/>
          <w:lang w:val="pt-BR"/>
        </w:rPr>
        <w:t>indígena Yakye Axa</w:t>
      </w:r>
      <w:r w:rsidRPr="002F50BD">
        <w:rPr>
          <w:rFonts w:ascii="Verdana" w:hAnsi="Verdana" w:cs="Arial"/>
          <w:sz w:val="20"/>
          <w:lang w:val="pt-BR"/>
        </w:rPr>
        <w:t xml:space="preserve"> foi </w:t>
      </w:r>
      <w:r w:rsidRPr="002F50BD">
        <w:rPr>
          <w:rFonts w:ascii="Verdana" w:hAnsi="Verdana" w:cs="Arial"/>
          <w:sz w:val="20"/>
          <w:szCs w:val="22"/>
          <w:lang w:val="pt-BR"/>
        </w:rPr>
        <w:t>criad</w:t>
      </w:r>
      <w:r w:rsidR="004756C1" w:rsidRPr="002F50BD">
        <w:rPr>
          <w:rFonts w:ascii="Verdana" w:hAnsi="Verdana" w:cs="Arial"/>
          <w:sz w:val="20"/>
          <w:szCs w:val="22"/>
          <w:lang w:val="pt-BR"/>
        </w:rPr>
        <w:t>a</w:t>
      </w:r>
      <w:r w:rsidRPr="002F50BD">
        <w:rPr>
          <w:rFonts w:ascii="Verdana" w:hAnsi="Verdana" w:cs="Arial"/>
          <w:sz w:val="20"/>
          <w:szCs w:val="22"/>
          <w:lang w:val="pt-BR"/>
        </w:rPr>
        <w:t xml:space="preserve"> pela </w:t>
      </w:r>
      <w:r w:rsidR="00B756DC" w:rsidRPr="002F50BD">
        <w:rPr>
          <w:rFonts w:ascii="Verdana" w:hAnsi="Verdana" w:cs="Arial"/>
          <w:sz w:val="20"/>
          <w:szCs w:val="22"/>
          <w:lang w:val="pt-BR"/>
        </w:rPr>
        <w:t>negligência</w:t>
      </w:r>
      <w:r w:rsidR="004756C1" w:rsidRPr="002F50BD">
        <w:rPr>
          <w:rFonts w:ascii="Verdana" w:hAnsi="Verdana" w:cs="Arial"/>
          <w:sz w:val="20"/>
          <w:szCs w:val="22"/>
          <w:lang w:val="pt-BR"/>
        </w:rPr>
        <w:t xml:space="preserve"> </w:t>
      </w:r>
      <w:r w:rsidRPr="002F50BD">
        <w:rPr>
          <w:rFonts w:ascii="Verdana" w:hAnsi="Verdana" w:cs="Arial"/>
          <w:sz w:val="20"/>
          <w:szCs w:val="22"/>
          <w:lang w:val="pt-BR"/>
        </w:rPr>
        <w:t xml:space="preserve">do </w:t>
      </w:r>
      <w:r w:rsidR="004756C1" w:rsidRPr="002F50BD">
        <w:rPr>
          <w:rFonts w:ascii="Verdana" w:hAnsi="Verdana" w:cs="Arial"/>
          <w:sz w:val="20"/>
          <w:szCs w:val="22"/>
          <w:lang w:val="pt-BR"/>
        </w:rPr>
        <w:t xml:space="preserve">Estado, o </w:t>
      </w:r>
      <w:r w:rsidRPr="002F50BD">
        <w:rPr>
          <w:rFonts w:ascii="Verdana" w:hAnsi="Verdana" w:cs="Arial"/>
          <w:sz w:val="20"/>
          <w:szCs w:val="22"/>
          <w:lang w:val="pt-BR"/>
        </w:rPr>
        <w:t>qu</w:t>
      </w:r>
      <w:r w:rsidR="00B756DC" w:rsidRPr="002F50BD">
        <w:rPr>
          <w:rFonts w:ascii="Verdana" w:hAnsi="Verdana" w:cs="Arial"/>
          <w:sz w:val="20"/>
          <w:szCs w:val="22"/>
          <w:lang w:val="pt-BR"/>
        </w:rPr>
        <w:t>e</w:t>
      </w:r>
      <w:r w:rsidRPr="002F50BD">
        <w:rPr>
          <w:rFonts w:ascii="Verdana" w:hAnsi="Verdana" w:cs="Arial"/>
          <w:sz w:val="20"/>
          <w:szCs w:val="22"/>
          <w:lang w:val="pt-BR"/>
        </w:rPr>
        <w:t xml:space="preserve"> </w:t>
      </w:r>
      <w:r w:rsidR="00AB454A" w:rsidRPr="002F50BD">
        <w:rPr>
          <w:rFonts w:ascii="Verdana" w:hAnsi="Verdana" w:cs="Arial"/>
          <w:sz w:val="20"/>
          <w:lang w:val="pt-BR"/>
        </w:rPr>
        <w:t>não foi</w:t>
      </w:r>
      <w:r w:rsidRPr="002F50BD">
        <w:rPr>
          <w:rFonts w:ascii="Verdana" w:hAnsi="Verdana" w:cs="Arial"/>
          <w:sz w:val="20"/>
          <w:lang w:val="pt-BR"/>
        </w:rPr>
        <w:t xml:space="preserve"> questionad</w:t>
      </w:r>
      <w:r w:rsidR="004756C1" w:rsidRPr="002F50BD">
        <w:rPr>
          <w:rFonts w:ascii="Verdana" w:hAnsi="Verdana" w:cs="Arial"/>
          <w:sz w:val="20"/>
          <w:lang w:val="pt-BR"/>
        </w:rPr>
        <w:t>o;</w:t>
      </w:r>
      <w:r w:rsidRPr="002F50BD">
        <w:rPr>
          <w:rFonts w:ascii="Verdana" w:hAnsi="Verdana" w:cs="Arial"/>
          <w:sz w:val="20"/>
          <w:lang w:val="pt-BR"/>
        </w:rPr>
        <w:t xml:space="preserve"> </w:t>
      </w:r>
      <w:r w:rsidR="00FC6B22" w:rsidRPr="002F50BD">
        <w:rPr>
          <w:rFonts w:ascii="Verdana" w:hAnsi="Verdana" w:cs="Arial"/>
          <w:sz w:val="20"/>
          <w:lang w:val="pt-BR"/>
        </w:rPr>
        <w:t xml:space="preserve">ao </w:t>
      </w:r>
      <w:r w:rsidR="004076AD" w:rsidRPr="002F50BD">
        <w:rPr>
          <w:rFonts w:ascii="Verdana" w:hAnsi="Verdana" w:cs="Arial"/>
          <w:sz w:val="20"/>
          <w:lang w:val="pt-BR"/>
        </w:rPr>
        <w:t>contrário,</w:t>
      </w:r>
      <w:r w:rsidRPr="002F50BD">
        <w:rPr>
          <w:rFonts w:ascii="Verdana" w:hAnsi="Verdana" w:cs="Arial"/>
          <w:sz w:val="20"/>
          <w:lang w:val="pt-BR"/>
        </w:rPr>
        <w:t xml:space="preserve"> o próprio</w:t>
      </w:r>
      <w:r w:rsidR="004756C1" w:rsidRPr="002F50BD">
        <w:rPr>
          <w:rFonts w:ascii="Verdana" w:hAnsi="Verdana" w:cs="Arial"/>
          <w:sz w:val="20"/>
          <w:lang w:val="pt-BR"/>
        </w:rPr>
        <w:t xml:space="preserve"> Estado </w:t>
      </w:r>
      <w:r w:rsidRPr="002F50BD">
        <w:rPr>
          <w:rFonts w:ascii="Verdana" w:hAnsi="Verdana" w:cs="Arial"/>
          <w:sz w:val="20"/>
          <w:lang w:val="pt-BR"/>
        </w:rPr>
        <w:t xml:space="preserve">declarou em </w:t>
      </w:r>
      <w:r w:rsidR="00063B47" w:rsidRPr="002F50BD">
        <w:rPr>
          <w:rFonts w:ascii="Verdana" w:hAnsi="Verdana" w:cs="Arial"/>
          <w:sz w:val="20"/>
          <w:lang w:val="pt-BR"/>
        </w:rPr>
        <w:t>1999</w:t>
      </w:r>
      <w:r w:rsidRPr="002F50BD">
        <w:rPr>
          <w:rFonts w:ascii="Verdana" w:hAnsi="Verdana" w:cs="Arial"/>
          <w:sz w:val="20"/>
          <w:lang w:val="pt-BR"/>
        </w:rPr>
        <w:t xml:space="preserve"> </w:t>
      </w:r>
      <w:r w:rsidR="00B756DC" w:rsidRPr="002F50BD">
        <w:rPr>
          <w:rFonts w:ascii="Verdana" w:hAnsi="Verdana" w:cs="Arial"/>
          <w:sz w:val="20"/>
          <w:lang w:val="pt-BR"/>
        </w:rPr>
        <w:t>o</w:t>
      </w:r>
      <w:r w:rsidRPr="002F50BD">
        <w:rPr>
          <w:rFonts w:ascii="Verdana" w:hAnsi="Verdana" w:cs="Arial"/>
          <w:sz w:val="20"/>
          <w:lang w:val="pt-BR"/>
        </w:rPr>
        <w:t xml:space="preserve"> </w:t>
      </w:r>
      <w:r w:rsidR="004756C1" w:rsidRPr="002F50BD">
        <w:rPr>
          <w:rFonts w:ascii="Verdana" w:hAnsi="Verdana" w:cs="Arial"/>
          <w:sz w:val="20"/>
          <w:lang w:val="pt-BR"/>
        </w:rPr>
        <w:t xml:space="preserve">“estado de </w:t>
      </w:r>
      <w:r w:rsidR="00A50140" w:rsidRPr="002F50BD">
        <w:rPr>
          <w:rFonts w:ascii="Verdana" w:hAnsi="Verdana" w:cs="Arial"/>
          <w:sz w:val="20"/>
          <w:lang w:val="pt-BR"/>
        </w:rPr>
        <w:t xml:space="preserve">emergência </w:t>
      </w:r>
      <w:r w:rsidR="00B756DC" w:rsidRPr="002F50BD">
        <w:rPr>
          <w:rFonts w:ascii="Verdana" w:hAnsi="Verdana" w:cs="Arial"/>
          <w:sz w:val="20"/>
          <w:lang w:val="pt-BR"/>
        </w:rPr>
        <w:t>da</w:t>
      </w:r>
      <w:r w:rsidRPr="002F50BD">
        <w:rPr>
          <w:rFonts w:ascii="Verdana" w:hAnsi="Verdana" w:cs="Arial"/>
          <w:sz w:val="20"/>
          <w:lang w:val="pt-BR"/>
        </w:rPr>
        <w:t xml:space="preserve"> </w:t>
      </w:r>
      <w:r w:rsidR="004756C1" w:rsidRPr="002F50BD">
        <w:rPr>
          <w:rFonts w:ascii="Verdana" w:hAnsi="Verdana" w:cs="Arial"/>
          <w:sz w:val="20"/>
          <w:lang w:val="pt-BR"/>
        </w:rPr>
        <w:t>Comunidad</w:t>
      </w:r>
      <w:r w:rsidR="00B756DC" w:rsidRPr="002F50BD">
        <w:rPr>
          <w:rFonts w:ascii="Verdana" w:hAnsi="Verdana" w:cs="Arial"/>
          <w:sz w:val="20"/>
          <w:lang w:val="pt-BR"/>
        </w:rPr>
        <w:t>e</w:t>
      </w:r>
      <w:r w:rsidR="004756C1" w:rsidRPr="002F50BD">
        <w:rPr>
          <w:rFonts w:ascii="Verdana" w:hAnsi="Verdana" w:cs="Arial"/>
          <w:sz w:val="20"/>
          <w:lang w:val="pt-BR"/>
        </w:rPr>
        <w:t>”</w:t>
      </w:r>
      <w:r w:rsidR="001A0CDE" w:rsidRPr="002F50BD">
        <w:rPr>
          <w:rFonts w:ascii="Verdana" w:hAnsi="Verdana" w:cs="Arial"/>
          <w:sz w:val="20"/>
          <w:lang w:val="pt-BR"/>
        </w:rPr>
        <w:t>. Est</w:t>
      </w:r>
      <w:r w:rsidR="004756C1" w:rsidRPr="002F50BD">
        <w:rPr>
          <w:rFonts w:ascii="Verdana" w:hAnsi="Verdana" w:cs="Arial"/>
          <w:sz w:val="20"/>
          <w:szCs w:val="22"/>
          <w:lang w:val="pt-BR"/>
        </w:rPr>
        <w:t xml:space="preserve">a </w:t>
      </w:r>
      <w:r w:rsidR="00B756DC" w:rsidRPr="002F50BD">
        <w:rPr>
          <w:rFonts w:ascii="Verdana" w:hAnsi="Verdana" w:cs="Arial"/>
          <w:sz w:val="20"/>
          <w:szCs w:val="22"/>
          <w:lang w:val="pt-BR"/>
        </w:rPr>
        <w:t>negligência</w:t>
      </w:r>
      <w:r w:rsidR="004756C1" w:rsidRPr="002F50BD">
        <w:rPr>
          <w:rFonts w:ascii="Verdana" w:hAnsi="Verdana" w:cs="Arial"/>
          <w:sz w:val="20"/>
          <w:szCs w:val="22"/>
          <w:lang w:val="pt-BR"/>
        </w:rPr>
        <w:t xml:space="preserve"> </w:t>
      </w:r>
      <w:r w:rsidR="00DF0BF6" w:rsidRPr="002F50BD">
        <w:rPr>
          <w:rFonts w:ascii="Verdana" w:hAnsi="Verdana" w:cs="Arial"/>
          <w:sz w:val="20"/>
          <w:szCs w:val="22"/>
          <w:lang w:val="pt-BR"/>
        </w:rPr>
        <w:t>ocorreu</w:t>
      </w:r>
      <w:r w:rsidRPr="002F50BD">
        <w:rPr>
          <w:rFonts w:ascii="Verdana" w:hAnsi="Verdana" w:cs="Arial"/>
          <w:sz w:val="20"/>
          <w:szCs w:val="22"/>
          <w:lang w:val="pt-BR"/>
        </w:rPr>
        <w:t xml:space="preserve"> em um </w:t>
      </w:r>
      <w:r w:rsidR="004756C1" w:rsidRPr="002F50BD">
        <w:rPr>
          <w:rFonts w:ascii="Verdana" w:hAnsi="Verdana" w:cs="Arial"/>
          <w:sz w:val="20"/>
          <w:szCs w:val="22"/>
          <w:lang w:val="pt-BR"/>
        </w:rPr>
        <w:t>contexto</w:t>
      </w:r>
      <w:r w:rsidRPr="002F50BD">
        <w:rPr>
          <w:rFonts w:ascii="Verdana" w:hAnsi="Verdana" w:cs="Arial"/>
          <w:sz w:val="20"/>
          <w:szCs w:val="22"/>
          <w:lang w:val="pt-BR"/>
        </w:rPr>
        <w:t xml:space="preserve"> em </w:t>
      </w:r>
      <w:r w:rsidR="004756C1" w:rsidRPr="002F50BD">
        <w:rPr>
          <w:rFonts w:ascii="Verdana" w:hAnsi="Verdana" w:cs="Arial"/>
          <w:sz w:val="20"/>
          <w:szCs w:val="22"/>
          <w:lang w:val="pt-BR"/>
        </w:rPr>
        <w:t>que</w:t>
      </w:r>
      <w:r w:rsidRPr="002F50BD">
        <w:rPr>
          <w:rFonts w:ascii="Verdana" w:hAnsi="Verdana" w:cs="Arial"/>
          <w:sz w:val="20"/>
          <w:szCs w:val="22"/>
          <w:lang w:val="pt-BR"/>
        </w:rPr>
        <w:t xml:space="preserve"> o Paraguai</w:t>
      </w:r>
      <w:r w:rsidR="004756C1" w:rsidRPr="002F50BD">
        <w:rPr>
          <w:rFonts w:ascii="Verdana" w:hAnsi="Verdana" w:cs="Arial"/>
          <w:sz w:val="20"/>
          <w:szCs w:val="22"/>
          <w:lang w:val="pt-BR"/>
        </w:rPr>
        <w:t xml:space="preserve"> </w:t>
      </w:r>
      <w:r w:rsidRPr="002F50BD">
        <w:rPr>
          <w:rFonts w:ascii="Verdana" w:hAnsi="Verdana" w:cs="Arial"/>
          <w:sz w:val="20"/>
          <w:szCs w:val="22"/>
          <w:lang w:val="pt-BR"/>
        </w:rPr>
        <w:t>tem o dever</w:t>
      </w:r>
      <w:r w:rsidR="004756C1" w:rsidRPr="002F50BD">
        <w:rPr>
          <w:rFonts w:ascii="Verdana" w:hAnsi="Verdana" w:cs="Arial"/>
          <w:sz w:val="20"/>
          <w:szCs w:val="22"/>
          <w:lang w:val="pt-BR"/>
        </w:rPr>
        <w:t xml:space="preserve"> de </w:t>
      </w:r>
      <w:r w:rsidRPr="002F50BD">
        <w:rPr>
          <w:rFonts w:ascii="Verdana" w:hAnsi="Verdana" w:cs="Arial"/>
          <w:sz w:val="20"/>
          <w:szCs w:val="22"/>
          <w:lang w:val="pt-BR"/>
        </w:rPr>
        <w:t xml:space="preserve">garantir as </w:t>
      </w:r>
      <w:r w:rsidR="004756C1" w:rsidRPr="002F50BD">
        <w:rPr>
          <w:rFonts w:ascii="Verdana" w:hAnsi="Verdana" w:cs="Arial"/>
          <w:sz w:val="20"/>
          <w:szCs w:val="22"/>
          <w:lang w:val="pt-BR"/>
        </w:rPr>
        <w:t>condi</w:t>
      </w:r>
      <w:r w:rsidRPr="002F50BD">
        <w:rPr>
          <w:rFonts w:ascii="Verdana" w:hAnsi="Verdana" w:cs="Arial"/>
          <w:sz w:val="20"/>
          <w:szCs w:val="22"/>
          <w:lang w:val="pt-BR"/>
        </w:rPr>
        <w:t>ções</w:t>
      </w:r>
      <w:r w:rsidR="004756C1" w:rsidRPr="002F50BD">
        <w:rPr>
          <w:rFonts w:ascii="Verdana" w:hAnsi="Verdana" w:cs="Arial"/>
          <w:sz w:val="20"/>
          <w:szCs w:val="22"/>
          <w:lang w:val="pt-BR"/>
        </w:rPr>
        <w:t xml:space="preserve"> </w:t>
      </w:r>
      <w:r w:rsidRPr="002F50BD">
        <w:rPr>
          <w:rFonts w:ascii="Verdana" w:hAnsi="Verdana" w:cs="Arial"/>
          <w:sz w:val="20"/>
          <w:szCs w:val="22"/>
          <w:lang w:val="pt-BR"/>
        </w:rPr>
        <w:t>necessári</w:t>
      </w:r>
      <w:r w:rsidR="004756C1" w:rsidRPr="002F50BD">
        <w:rPr>
          <w:rFonts w:ascii="Verdana" w:hAnsi="Verdana" w:cs="Arial"/>
          <w:sz w:val="20"/>
          <w:szCs w:val="22"/>
          <w:lang w:val="pt-BR"/>
        </w:rPr>
        <w:t>as para</w:t>
      </w:r>
      <w:r w:rsidRPr="002F50BD">
        <w:rPr>
          <w:rFonts w:ascii="Verdana" w:hAnsi="Verdana" w:cs="Arial"/>
          <w:sz w:val="20"/>
          <w:szCs w:val="22"/>
          <w:lang w:val="pt-BR"/>
        </w:rPr>
        <w:t xml:space="preserve"> a </w:t>
      </w:r>
      <w:r w:rsidR="004756C1" w:rsidRPr="002F50BD" w:rsidDel="00105F14">
        <w:rPr>
          <w:rFonts w:ascii="Verdana" w:hAnsi="Verdana" w:cs="Arial"/>
          <w:sz w:val="20"/>
          <w:szCs w:val="22"/>
          <w:lang w:val="pt-BR"/>
        </w:rPr>
        <w:t>consecu</w:t>
      </w:r>
      <w:r w:rsidRPr="002F50BD">
        <w:rPr>
          <w:rFonts w:ascii="Verdana" w:hAnsi="Verdana" w:cs="Arial"/>
          <w:sz w:val="20"/>
          <w:szCs w:val="22"/>
          <w:lang w:val="pt-BR"/>
        </w:rPr>
        <w:t>ção</w:t>
      </w:r>
      <w:r w:rsidR="004756C1" w:rsidRPr="002F50BD" w:rsidDel="00105F14">
        <w:rPr>
          <w:rFonts w:ascii="Verdana" w:hAnsi="Verdana" w:cs="Arial"/>
          <w:sz w:val="20"/>
          <w:szCs w:val="22"/>
          <w:lang w:val="pt-BR"/>
        </w:rPr>
        <w:t xml:space="preserve"> de</w:t>
      </w:r>
      <w:r w:rsidRPr="002F50BD">
        <w:rPr>
          <w:rFonts w:ascii="Verdana" w:hAnsi="Verdana" w:cs="Arial"/>
          <w:sz w:val="20"/>
          <w:szCs w:val="22"/>
          <w:lang w:val="pt-BR"/>
        </w:rPr>
        <w:t xml:space="preserve"> uma </w:t>
      </w:r>
      <w:r w:rsidR="004756C1" w:rsidRPr="002F50BD">
        <w:rPr>
          <w:rFonts w:ascii="Verdana" w:hAnsi="Verdana" w:cs="Arial"/>
          <w:sz w:val="20"/>
          <w:szCs w:val="22"/>
          <w:lang w:val="pt-BR"/>
        </w:rPr>
        <w:t>vida digna,</w:t>
      </w:r>
      <w:r w:rsidRPr="002F50BD">
        <w:rPr>
          <w:rFonts w:ascii="Verdana" w:hAnsi="Verdana" w:cs="Arial"/>
          <w:sz w:val="20"/>
          <w:szCs w:val="22"/>
          <w:lang w:val="pt-BR"/>
        </w:rPr>
        <w:t xml:space="preserve"> um dever</w:t>
      </w:r>
      <w:r w:rsidR="004756C1" w:rsidRPr="002F50BD">
        <w:rPr>
          <w:rFonts w:ascii="Verdana" w:hAnsi="Verdana" w:cs="Arial"/>
          <w:sz w:val="20"/>
          <w:szCs w:val="22"/>
          <w:lang w:val="pt-BR"/>
        </w:rPr>
        <w:t xml:space="preserve"> que</w:t>
      </w:r>
      <w:r w:rsidRPr="002F50BD">
        <w:rPr>
          <w:rFonts w:ascii="Verdana" w:hAnsi="Verdana" w:cs="Arial"/>
          <w:sz w:val="20"/>
          <w:szCs w:val="22"/>
          <w:lang w:val="pt-BR"/>
        </w:rPr>
        <w:t xml:space="preserve"> é </w:t>
      </w:r>
      <w:r w:rsidR="00911F24" w:rsidRPr="002F50BD">
        <w:rPr>
          <w:rFonts w:ascii="Verdana" w:hAnsi="Verdana" w:cs="Arial"/>
          <w:sz w:val="20"/>
          <w:szCs w:val="22"/>
          <w:lang w:val="pt-BR"/>
        </w:rPr>
        <w:t xml:space="preserve">reforçado </w:t>
      </w:r>
      <w:r w:rsidRPr="002F50BD">
        <w:rPr>
          <w:rFonts w:ascii="Verdana" w:hAnsi="Verdana" w:cs="Arial"/>
          <w:sz w:val="20"/>
          <w:szCs w:val="22"/>
          <w:lang w:val="pt-BR"/>
        </w:rPr>
        <w:t>pelo compromisso</w:t>
      </w:r>
      <w:r w:rsidR="004756C1" w:rsidRPr="002F50BD">
        <w:rPr>
          <w:rFonts w:ascii="Verdana" w:hAnsi="Verdana" w:cs="Arial"/>
          <w:sz w:val="20"/>
          <w:szCs w:val="22"/>
          <w:lang w:val="pt-BR"/>
        </w:rPr>
        <w:t xml:space="preserve"> </w:t>
      </w:r>
      <w:r w:rsidR="00B756DC" w:rsidRPr="002F50BD">
        <w:rPr>
          <w:rFonts w:ascii="Verdana" w:hAnsi="Verdana" w:cs="Arial"/>
          <w:sz w:val="20"/>
          <w:szCs w:val="22"/>
          <w:lang w:val="pt-BR"/>
        </w:rPr>
        <w:t xml:space="preserve">previsto </w:t>
      </w:r>
      <w:r w:rsidRPr="002F50BD">
        <w:rPr>
          <w:rFonts w:ascii="Verdana" w:hAnsi="Verdana" w:cs="Arial"/>
          <w:sz w:val="20"/>
          <w:szCs w:val="22"/>
          <w:lang w:val="pt-BR"/>
        </w:rPr>
        <w:t>no artigo</w:t>
      </w:r>
      <w:r w:rsidR="004756C1" w:rsidRPr="002F50BD">
        <w:rPr>
          <w:rFonts w:ascii="Verdana" w:hAnsi="Verdana" w:cs="Arial"/>
          <w:sz w:val="20"/>
          <w:szCs w:val="22"/>
          <w:lang w:val="pt-BR"/>
        </w:rPr>
        <w:t xml:space="preserve"> </w:t>
      </w:r>
      <w:r w:rsidR="00063B47" w:rsidRPr="002F50BD">
        <w:rPr>
          <w:rFonts w:ascii="Verdana" w:hAnsi="Verdana" w:cs="Arial"/>
          <w:sz w:val="20"/>
          <w:szCs w:val="22"/>
          <w:lang w:val="pt-BR"/>
        </w:rPr>
        <w:t>26</w:t>
      </w:r>
      <w:r w:rsidRPr="002F50BD">
        <w:rPr>
          <w:rFonts w:ascii="Verdana" w:hAnsi="Verdana" w:cs="Arial"/>
          <w:sz w:val="20"/>
          <w:szCs w:val="22"/>
          <w:lang w:val="pt-BR"/>
        </w:rPr>
        <w:t xml:space="preserve"> da </w:t>
      </w:r>
      <w:r w:rsidR="004756C1" w:rsidRPr="002F50BD">
        <w:rPr>
          <w:rFonts w:ascii="Verdana" w:hAnsi="Verdana" w:cs="Arial"/>
          <w:sz w:val="20"/>
          <w:szCs w:val="22"/>
          <w:lang w:val="pt-BR"/>
        </w:rPr>
        <w:t>Conven</w:t>
      </w:r>
      <w:r w:rsidRPr="002F50BD">
        <w:rPr>
          <w:rFonts w:ascii="Verdana" w:hAnsi="Verdana" w:cs="Arial"/>
          <w:sz w:val="20"/>
          <w:szCs w:val="22"/>
          <w:lang w:val="pt-BR"/>
        </w:rPr>
        <w:t>ção</w:t>
      </w:r>
      <w:r w:rsidR="004756C1" w:rsidRPr="002F50BD">
        <w:rPr>
          <w:rFonts w:ascii="Verdana" w:hAnsi="Verdana" w:cs="Arial"/>
          <w:sz w:val="20"/>
          <w:szCs w:val="22"/>
          <w:lang w:val="pt-BR"/>
        </w:rPr>
        <w:t xml:space="preserve"> Americana de </w:t>
      </w:r>
      <w:r w:rsidRPr="002F50BD">
        <w:rPr>
          <w:rFonts w:ascii="Verdana" w:hAnsi="Verdana" w:cs="Arial"/>
          <w:sz w:val="20"/>
          <w:szCs w:val="22"/>
          <w:lang w:val="pt-BR"/>
        </w:rPr>
        <w:t>adot</w:t>
      </w:r>
      <w:r w:rsidR="004756C1" w:rsidRPr="002F50BD">
        <w:rPr>
          <w:rFonts w:ascii="Verdana" w:hAnsi="Verdana" w:cs="Arial"/>
          <w:sz w:val="20"/>
          <w:szCs w:val="22"/>
          <w:lang w:val="pt-BR"/>
        </w:rPr>
        <w:t xml:space="preserve">ar medidas </w:t>
      </w:r>
      <w:r w:rsidRPr="002F50BD">
        <w:rPr>
          <w:rFonts w:ascii="Verdana" w:hAnsi="Verdana" w:cs="Arial"/>
          <w:sz w:val="20"/>
          <w:szCs w:val="22"/>
          <w:lang w:val="pt-BR"/>
        </w:rPr>
        <w:t>apropriad</w:t>
      </w:r>
      <w:r w:rsidR="004756C1" w:rsidRPr="002F50BD">
        <w:rPr>
          <w:rFonts w:ascii="Verdana" w:hAnsi="Verdana" w:cs="Arial"/>
          <w:sz w:val="20"/>
          <w:szCs w:val="22"/>
          <w:lang w:val="pt-BR"/>
        </w:rPr>
        <w:t xml:space="preserve">as para </w:t>
      </w:r>
      <w:r w:rsidRPr="002F50BD">
        <w:rPr>
          <w:rFonts w:ascii="Verdana" w:hAnsi="Verdana" w:cs="Arial"/>
          <w:sz w:val="20"/>
          <w:szCs w:val="22"/>
          <w:lang w:val="pt-BR"/>
        </w:rPr>
        <w:t>alcança</w:t>
      </w:r>
      <w:r w:rsidR="004756C1" w:rsidRPr="002F50BD">
        <w:rPr>
          <w:rFonts w:ascii="Verdana" w:hAnsi="Verdana" w:cs="Arial"/>
          <w:sz w:val="20"/>
          <w:szCs w:val="22"/>
          <w:lang w:val="pt-BR"/>
        </w:rPr>
        <w:t>r</w:t>
      </w:r>
      <w:r w:rsidRPr="002F50BD">
        <w:rPr>
          <w:rFonts w:ascii="Verdana" w:hAnsi="Verdana" w:cs="Arial"/>
          <w:sz w:val="20"/>
          <w:szCs w:val="22"/>
          <w:lang w:val="pt-BR"/>
        </w:rPr>
        <w:t xml:space="preserve"> a </w:t>
      </w:r>
      <w:r w:rsidR="004756C1" w:rsidRPr="002F50BD">
        <w:rPr>
          <w:rFonts w:ascii="Verdana" w:hAnsi="Verdana" w:cs="Arial"/>
          <w:sz w:val="20"/>
          <w:szCs w:val="22"/>
          <w:lang w:val="pt-BR"/>
        </w:rPr>
        <w:t>completa realiza</w:t>
      </w:r>
      <w:r w:rsidRPr="002F50BD">
        <w:rPr>
          <w:rFonts w:ascii="Verdana" w:hAnsi="Verdana" w:cs="Arial"/>
          <w:sz w:val="20"/>
          <w:szCs w:val="22"/>
          <w:lang w:val="pt-BR"/>
        </w:rPr>
        <w:t>ção dos direito</w:t>
      </w:r>
      <w:r w:rsidR="004756C1" w:rsidRPr="002F50BD">
        <w:rPr>
          <w:rFonts w:ascii="Verdana" w:hAnsi="Verdana" w:cs="Arial"/>
          <w:sz w:val="20"/>
          <w:szCs w:val="22"/>
          <w:lang w:val="pt-BR"/>
        </w:rPr>
        <w:t xml:space="preserve">s </w:t>
      </w:r>
      <w:r w:rsidRPr="002F50BD">
        <w:rPr>
          <w:rFonts w:ascii="Verdana" w:hAnsi="Verdana" w:cs="Arial"/>
          <w:sz w:val="20"/>
          <w:szCs w:val="22"/>
          <w:lang w:val="pt-BR"/>
        </w:rPr>
        <w:t>sociais</w:t>
      </w:r>
      <w:r w:rsidR="004756C1" w:rsidRPr="002F50BD">
        <w:rPr>
          <w:rFonts w:ascii="Verdana" w:hAnsi="Verdana" w:cs="Arial"/>
          <w:sz w:val="20"/>
          <w:szCs w:val="22"/>
          <w:lang w:val="pt-BR"/>
        </w:rPr>
        <w:t xml:space="preserve">. </w:t>
      </w:r>
      <w:r w:rsidR="00B756DC" w:rsidRPr="002F50BD">
        <w:rPr>
          <w:rFonts w:ascii="Verdana" w:hAnsi="Verdana" w:cs="Arial"/>
          <w:sz w:val="20"/>
          <w:szCs w:val="22"/>
          <w:lang w:val="pt-BR"/>
        </w:rPr>
        <w:t>Porém</w:t>
      </w:r>
      <w:r w:rsidR="004756C1" w:rsidRPr="002F50BD">
        <w:rPr>
          <w:rFonts w:ascii="Verdana" w:hAnsi="Verdana" w:cs="Arial"/>
          <w:sz w:val="20"/>
          <w:szCs w:val="22"/>
          <w:lang w:val="pt-BR"/>
        </w:rPr>
        <w:t>,</w:t>
      </w:r>
      <w:r w:rsidRPr="002F50BD">
        <w:rPr>
          <w:rFonts w:ascii="Verdana" w:hAnsi="Verdana" w:cs="Arial"/>
          <w:sz w:val="20"/>
          <w:szCs w:val="22"/>
          <w:lang w:val="pt-BR"/>
        </w:rPr>
        <w:t xml:space="preserve"> através da </w:t>
      </w:r>
      <w:r w:rsidR="004756C1" w:rsidRPr="002F50BD">
        <w:rPr>
          <w:rFonts w:ascii="Verdana" w:hAnsi="Verdana" w:cs="Arial"/>
          <w:sz w:val="20"/>
          <w:szCs w:val="22"/>
          <w:lang w:val="pt-BR"/>
        </w:rPr>
        <w:t>o</w:t>
      </w:r>
      <w:r w:rsidRPr="002F50BD">
        <w:rPr>
          <w:rFonts w:ascii="Verdana" w:hAnsi="Verdana" w:cs="Arial"/>
          <w:sz w:val="20"/>
          <w:szCs w:val="22"/>
          <w:lang w:val="pt-BR"/>
        </w:rPr>
        <w:t xml:space="preserve">missão em </w:t>
      </w:r>
      <w:r w:rsidR="004756C1" w:rsidRPr="002F50BD">
        <w:rPr>
          <w:rFonts w:ascii="Verdana" w:hAnsi="Verdana" w:cs="Arial"/>
          <w:sz w:val="20"/>
          <w:szCs w:val="22"/>
          <w:lang w:val="pt-BR"/>
        </w:rPr>
        <w:t>su</w:t>
      </w:r>
      <w:r w:rsidR="00B756DC" w:rsidRPr="002F50BD">
        <w:rPr>
          <w:rFonts w:ascii="Verdana" w:hAnsi="Verdana" w:cs="Arial"/>
          <w:sz w:val="20"/>
          <w:szCs w:val="22"/>
          <w:lang w:val="pt-BR"/>
        </w:rPr>
        <w:t>a</w:t>
      </w:r>
      <w:r w:rsidR="004756C1" w:rsidRPr="002F50BD">
        <w:rPr>
          <w:rFonts w:ascii="Verdana" w:hAnsi="Verdana" w:cs="Arial"/>
          <w:sz w:val="20"/>
          <w:szCs w:val="22"/>
          <w:lang w:val="pt-BR"/>
        </w:rPr>
        <w:t xml:space="preserve">s políticas de </w:t>
      </w:r>
      <w:r w:rsidR="00B756DC" w:rsidRPr="002F50BD">
        <w:rPr>
          <w:rFonts w:ascii="Verdana" w:hAnsi="Verdana" w:cs="Arial"/>
          <w:sz w:val="20"/>
          <w:szCs w:val="22"/>
          <w:lang w:val="pt-BR"/>
        </w:rPr>
        <w:t>saúde</w:t>
      </w:r>
      <w:r w:rsidR="00911F24" w:rsidRPr="002F50BD">
        <w:rPr>
          <w:rFonts w:ascii="Verdana" w:hAnsi="Verdana" w:cs="Arial"/>
          <w:sz w:val="20"/>
          <w:szCs w:val="22"/>
          <w:lang w:val="pt-BR"/>
        </w:rPr>
        <w:t>,</w:t>
      </w:r>
      <w:r w:rsidR="00B756DC" w:rsidRPr="002F50BD">
        <w:rPr>
          <w:rFonts w:ascii="Verdana" w:hAnsi="Verdana" w:cs="Arial"/>
          <w:sz w:val="20"/>
          <w:szCs w:val="22"/>
          <w:lang w:val="pt-BR"/>
        </w:rPr>
        <w:t xml:space="preserve"> o</w:t>
      </w:r>
      <w:r w:rsidRPr="002F50BD">
        <w:rPr>
          <w:rFonts w:ascii="Verdana" w:hAnsi="Verdana" w:cs="Arial"/>
          <w:sz w:val="20"/>
          <w:szCs w:val="22"/>
          <w:lang w:val="pt-BR"/>
        </w:rPr>
        <w:t xml:space="preserve"> </w:t>
      </w:r>
      <w:r w:rsidR="004756C1" w:rsidRPr="002F50BD">
        <w:rPr>
          <w:rFonts w:ascii="Verdana" w:hAnsi="Verdana" w:cs="Arial"/>
          <w:sz w:val="20"/>
          <w:szCs w:val="22"/>
          <w:lang w:val="pt-BR"/>
        </w:rPr>
        <w:t xml:space="preserve">Estado </w:t>
      </w:r>
      <w:r w:rsidR="00B756DC" w:rsidRPr="002F50BD">
        <w:rPr>
          <w:rFonts w:ascii="Verdana" w:hAnsi="Verdana" w:cs="Arial"/>
          <w:sz w:val="20"/>
          <w:szCs w:val="22"/>
          <w:lang w:val="pt-BR"/>
        </w:rPr>
        <w:t xml:space="preserve">diminuiu </w:t>
      </w:r>
      <w:r w:rsidRPr="002F50BD">
        <w:rPr>
          <w:rFonts w:ascii="Verdana" w:hAnsi="Verdana" w:cs="Arial"/>
          <w:sz w:val="20"/>
          <w:szCs w:val="22"/>
          <w:lang w:val="pt-BR"/>
        </w:rPr>
        <w:t>o</w:t>
      </w:r>
      <w:r w:rsidR="00385366" w:rsidRPr="002F50BD">
        <w:rPr>
          <w:rFonts w:ascii="Verdana" w:hAnsi="Verdana" w:cs="Arial"/>
          <w:sz w:val="20"/>
          <w:szCs w:val="22"/>
          <w:lang w:val="pt-BR"/>
        </w:rPr>
        <w:t xml:space="preserve"> gozo </w:t>
      </w:r>
      <w:r w:rsidR="00911F24" w:rsidRPr="002F50BD">
        <w:rPr>
          <w:rFonts w:ascii="Verdana" w:hAnsi="Verdana" w:cs="Arial"/>
          <w:sz w:val="20"/>
          <w:szCs w:val="22"/>
          <w:lang w:val="pt-BR"/>
        </w:rPr>
        <w:t xml:space="preserve">por parte </w:t>
      </w:r>
      <w:r w:rsidRPr="002F50BD">
        <w:rPr>
          <w:rFonts w:ascii="Verdana" w:hAnsi="Verdana" w:cs="Arial"/>
          <w:sz w:val="20"/>
          <w:szCs w:val="22"/>
          <w:lang w:val="pt-BR"/>
        </w:rPr>
        <w:t>dos membro</w:t>
      </w:r>
      <w:r w:rsidR="004756C1" w:rsidRPr="002F50BD">
        <w:rPr>
          <w:rFonts w:ascii="Verdana" w:hAnsi="Verdana" w:cs="Arial"/>
          <w:sz w:val="20"/>
          <w:szCs w:val="22"/>
          <w:lang w:val="pt-BR"/>
        </w:rPr>
        <w:t>s</w:t>
      </w:r>
      <w:r w:rsidRPr="002F50BD">
        <w:rPr>
          <w:rFonts w:ascii="Verdana" w:hAnsi="Verdana" w:cs="Arial"/>
          <w:sz w:val="20"/>
          <w:szCs w:val="22"/>
          <w:lang w:val="pt-BR"/>
        </w:rPr>
        <w:t xml:space="preserve"> da Comunidade </w:t>
      </w:r>
      <w:r w:rsidR="004756C1" w:rsidRPr="002F50BD">
        <w:rPr>
          <w:rFonts w:ascii="Verdana" w:hAnsi="Verdana" w:cs="Arial"/>
          <w:sz w:val="20"/>
          <w:szCs w:val="22"/>
          <w:lang w:val="pt-BR"/>
        </w:rPr>
        <w:t>Yakye Axa</w:t>
      </w:r>
      <w:r w:rsidRPr="002F50BD">
        <w:rPr>
          <w:rFonts w:ascii="Verdana" w:hAnsi="Verdana" w:cs="Arial"/>
          <w:sz w:val="20"/>
          <w:szCs w:val="22"/>
          <w:lang w:val="pt-BR"/>
        </w:rPr>
        <w:t xml:space="preserve"> </w:t>
      </w:r>
      <w:r w:rsidR="00911F24" w:rsidRPr="002F50BD">
        <w:rPr>
          <w:rFonts w:ascii="Verdana" w:hAnsi="Verdana" w:cs="Arial"/>
          <w:sz w:val="20"/>
          <w:szCs w:val="22"/>
          <w:lang w:val="pt-BR"/>
        </w:rPr>
        <w:t>das</w:t>
      </w:r>
      <w:r w:rsidRPr="002F50BD">
        <w:rPr>
          <w:rFonts w:ascii="Verdana" w:hAnsi="Verdana" w:cs="Arial"/>
          <w:sz w:val="20"/>
          <w:szCs w:val="22"/>
          <w:lang w:val="pt-BR"/>
        </w:rPr>
        <w:t xml:space="preserve"> </w:t>
      </w:r>
      <w:r w:rsidR="004756C1" w:rsidRPr="002F50BD">
        <w:rPr>
          <w:rFonts w:ascii="Verdana" w:hAnsi="Verdana" w:cs="Arial"/>
          <w:sz w:val="20"/>
          <w:szCs w:val="22"/>
          <w:lang w:val="pt-BR"/>
        </w:rPr>
        <w:t>condi</w:t>
      </w:r>
      <w:r w:rsidRPr="002F50BD">
        <w:rPr>
          <w:rFonts w:ascii="Verdana" w:hAnsi="Verdana" w:cs="Arial"/>
          <w:sz w:val="20"/>
          <w:szCs w:val="22"/>
          <w:lang w:val="pt-BR"/>
        </w:rPr>
        <w:t>ções</w:t>
      </w:r>
      <w:r w:rsidR="004756C1" w:rsidRPr="002F50BD">
        <w:rPr>
          <w:rFonts w:ascii="Verdana" w:hAnsi="Verdana" w:cs="Arial"/>
          <w:sz w:val="20"/>
          <w:szCs w:val="22"/>
          <w:lang w:val="pt-BR"/>
        </w:rPr>
        <w:t xml:space="preserve"> mínimas</w:t>
      </w:r>
      <w:r w:rsidRPr="002F50BD">
        <w:rPr>
          <w:rFonts w:ascii="Verdana" w:hAnsi="Verdana" w:cs="Arial"/>
          <w:sz w:val="20"/>
          <w:szCs w:val="22"/>
          <w:lang w:val="pt-BR"/>
        </w:rPr>
        <w:t xml:space="preserve"> no</w:t>
      </w:r>
      <w:r w:rsidR="00B756DC" w:rsidRPr="002F50BD">
        <w:rPr>
          <w:rFonts w:ascii="Verdana" w:hAnsi="Verdana" w:cs="Arial"/>
          <w:sz w:val="20"/>
          <w:szCs w:val="22"/>
          <w:lang w:val="pt-BR"/>
        </w:rPr>
        <w:t>s</w:t>
      </w:r>
      <w:r w:rsidRPr="002F50BD">
        <w:rPr>
          <w:rFonts w:ascii="Verdana" w:hAnsi="Verdana" w:cs="Arial"/>
          <w:sz w:val="20"/>
          <w:szCs w:val="22"/>
          <w:lang w:val="pt-BR"/>
        </w:rPr>
        <w:t xml:space="preserve"> </w:t>
      </w:r>
      <w:r w:rsidR="004756C1" w:rsidRPr="002F50BD">
        <w:rPr>
          <w:rFonts w:ascii="Verdana" w:hAnsi="Verdana" w:cs="Arial"/>
          <w:sz w:val="20"/>
          <w:szCs w:val="22"/>
          <w:lang w:val="pt-BR"/>
        </w:rPr>
        <w:t>campo</w:t>
      </w:r>
      <w:r w:rsidR="00B756DC" w:rsidRPr="002F50BD">
        <w:rPr>
          <w:rFonts w:ascii="Verdana" w:hAnsi="Verdana" w:cs="Arial"/>
          <w:sz w:val="20"/>
          <w:szCs w:val="22"/>
          <w:lang w:val="pt-BR"/>
        </w:rPr>
        <w:t>s</w:t>
      </w:r>
      <w:r w:rsidR="004756C1" w:rsidRPr="002F50BD">
        <w:rPr>
          <w:rFonts w:ascii="Verdana" w:hAnsi="Verdana" w:cs="Arial"/>
          <w:sz w:val="20"/>
          <w:szCs w:val="22"/>
          <w:lang w:val="pt-BR"/>
        </w:rPr>
        <w:t xml:space="preserve"> sanit</w:t>
      </w:r>
      <w:r w:rsidR="00B756DC" w:rsidRPr="002F50BD">
        <w:rPr>
          <w:rFonts w:ascii="Verdana" w:hAnsi="Verdana" w:cs="Arial"/>
          <w:sz w:val="20"/>
          <w:szCs w:val="22"/>
          <w:lang w:val="pt-BR"/>
        </w:rPr>
        <w:t>á</w:t>
      </w:r>
      <w:r w:rsidR="004756C1" w:rsidRPr="002F50BD">
        <w:rPr>
          <w:rFonts w:ascii="Verdana" w:hAnsi="Verdana" w:cs="Arial"/>
          <w:sz w:val="20"/>
          <w:szCs w:val="22"/>
          <w:lang w:val="pt-BR"/>
        </w:rPr>
        <w:t>rio, aliment</w:t>
      </w:r>
      <w:r w:rsidR="00B756DC" w:rsidRPr="002F50BD">
        <w:rPr>
          <w:rFonts w:ascii="Verdana" w:hAnsi="Verdana" w:cs="Arial"/>
          <w:sz w:val="20"/>
          <w:szCs w:val="22"/>
          <w:lang w:val="pt-BR"/>
        </w:rPr>
        <w:t>ar</w:t>
      </w:r>
      <w:r w:rsidRPr="002F50BD">
        <w:rPr>
          <w:rFonts w:ascii="Verdana" w:hAnsi="Verdana" w:cs="Arial"/>
          <w:sz w:val="20"/>
          <w:szCs w:val="22"/>
          <w:lang w:val="pt-BR"/>
        </w:rPr>
        <w:t xml:space="preserve"> e </w:t>
      </w:r>
      <w:r w:rsidR="004756C1" w:rsidRPr="002F50BD">
        <w:rPr>
          <w:rFonts w:ascii="Verdana" w:hAnsi="Verdana" w:cs="Arial"/>
          <w:sz w:val="20"/>
          <w:szCs w:val="22"/>
          <w:lang w:val="pt-BR"/>
        </w:rPr>
        <w:t>habitacional</w:t>
      </w:r>
      <w:r w:rsidR="004756C1" w:rsidRPr="002F50BD">
        <w:rPr>
          <w:rFonts w:ascii="Verdana" w:hAnsi="Verdana" w:cs="Arial"/>
          <w:sz w:val="20"/>
          <w:lang w:val="pt-BR"/>
        </w:rPr>
        <w:t xml:space="preserve">; </w:t>
      </w:r>
    </w:p>
    <w:p w:rsidR="00452B62" w:rsidRPr="002F50BD" w:rsidRDefault="00452B62" w:rsidP="00452B62">
      <w:pPr>
        <w:tabs>
          <w:tab w:val="left" w:pos="1080"/>
          <w:tab w:val="left" w:pos="3469"/>
        </w:tabs>
        <w:ind w:left="360"/>
        <w:jc w:val="both"/>
        <w:rPr>
          <w:rFonts w:ascii="Verdana" w:hAnsi="Verdana"/>
          <w:sz w:val="20"/>
          <w:lang w:val="pt-BR"/>
        </w:rPr>
      </w:pPr>
    </w:p>
    <w:p w:rsidR="004756C1" w:rsidRPr="002F50BD" w:rsidRDefault="0089298C">
      <w:pPr>
        <w:numPr>
          <w:ilvl w:val="0"/>
          <w:numId w:val="12"/>
        </w:numPr>
        <w:tabs>
          <w:tab w:val="left" w:pos="1080"/>
          <w:tab w:val="left" w:pos="3469"/>
        </w:tabs>
        <w:ind w:left="720"/>
        <w:jc w:val="both"/>
        <w:rPr>
          <w:rFonts w:ascii="Verdana" w:hAnsi="Verdana"/>
          <w:sz w:val="20"/>
          <w:lang w:val="pt-BR"/>
        </w:rPr>
      </w:pPr>
      <w:r w:rsidRPr="002F50BD">
        <w:rPr>
          <w:rFonts w:ascii="Verdana" w:hAnsi="Verdana" w:cs="Arial"/>
          <w:sz w:val="20"/>
          <w:lang w:val="pt-BR"/>
        </w:rPr>
        <w:t xml:space="preserve">O </w:t>
      </w:r>
      <w:r w:rsidR="004756C1" w:rsidRPr="002F50BD">
        <w:rPr>
          <w:rFonts w:ascii="Verdana" w:hAnsi="Verdana" w:cs="Arial"/>
          <w:sz w:val="20"/>
          <w:lang w:val="pt-BR"/>
        </w:rPr>
        <w:t xml:space="preserve">decreto que </w:t>
      </w:r>
      <w:r w:rsidRPr="002F50BD">
        <w:rPr>
          <w:rFonts w:ascii="Verdana" w:hAnsi="Verdana" w:cs="Arial"/>
          <w:sz w:val="20"/>
          <w:lang w:val="pt-BR"/>
        </w:rPr>
        <w:t xml:space="preserve">declarou </w:t>
      </w:r>
      <w:r w:rsidR="00B756DC" w:rsidRPr="002F50BD">
        <w:rPr>
          <w:rFonts w:ascii="Verdana" w:hAnsi="Verdana" w:cs="Arial"/>
          <w:sz w:val="20"/>
          <w:lang w:val="pt-BR"/>
        </w:rPr>
        <w:t xml:space="preserve">o </w:t>
      </w:r>
      <w:r w:rsidR="004756C1" w:rsidRPr="002F50BD">
        <w:rPr>
          <w:rFonts w:ascii="Verdana" w:hAnsi="Verdana" w:cs="Arial"/>
          <w:sz w:val="20"/>
          <w:lang w:val="pt-BR"/>
        </w:rPr>
        <w:t xml:space="preserve">estado de </w:t>
      </w:r>
      <w:r w:rsidR="00A50140" w:rsidRPr="002F50BD">
        <w:rPr>
          <w:rFonts w:ascii="Verdana" w:hAnsi="Verdana" w:cs="Arial"/>
          <w:sz w:val="20"/>
          <w:lang w:val="pt-BR"/>
        </w:rPr>
        <w:t xml:space="preserve">emergência </w:t>
      </w:r>
      <w:r w:rsidR="00B756DC" w:rsidRPr="002F50BD">
        <w:rPr>
          <w:rFonts w:ascii="Verdana" w:hAnsi="Verdana" w:cs="Arial"/>
          <w:sz w:val="20"/>
          <w:lang w:val="pt-BR"/>
        </w:rPr>
        <w:t>da</w:t>
      </w:r>
      <w:r w:rsidRPr="002F50BD">
        <w:rPr>
          <w:rFonts w:ascii="Verdana" w:hAnsi="Verdana" w:cs="Arial"/>
          <w:sz w:val="20"/>
          <w:lang w:val="pt-BR"/>
        </w:rPr>
        <w:t xml:space="preserve"> Comunidade </w:t>
      </w:r>
      <w:r w:rsidR="00AB454A" w:rsidRPr="002F50BD">
        <w:rPr>
          <w:rFonts w:ascii="Verdana" w:hAnsi="Verdana" w:cs="Arial"/>
          <w:sz w:val="20"/>
          <w:lang w:val="pt-BR"/>
        </w:rPr>
        <w:t>não foi</w:t>
      </w:r>
      <w:r w:rsidRPr="002F50BD">
        <w:rPr>
          <w:rFonts w:ascii="Verdana" w:hAnsi="Verdana" w:cs="Arial"/>
          <w:sz w:val="20"/>
          <w:lang w:val="pt-BR"/>
        </w:rPr>
        <w:t xml:space="preserve"> </w:t>
      </w:r>
      <w:r w:rsidR="000A7E90">
        <w:rPr>
          <w:rFonts w:ascii="Verdana" w:hAnsi="Verdana" w:cs="Arial"/>
          <w:sz w:val="20"/>
          <w:lang w:val="pt-BR"/>
        </w:rPr>
        <w:t xml:space="preserve">implementado </w:t>
      </w:r>
      <w:r w:rsidR="00911F24" w:rsidRPr="002F50BD">
        <w:rPr>
          <w:rFonts w:ascii="Verdana" w:hAnsi="Verdana" w:cs="Arial"/>
          <w:sz w:val="20"/>
          <w:lang w:val="pt-BR"/>
        </w:rPr>
        <w:t>de maneira adequada</w:t>
      </w:r>
      <w:r w:rsidR="00BE346D" w:rsidRPr="002F50BD">
        <w:rPr>
          <w:rFonts w:ascii="Verdana" w:hAnsi="Verdana" w:cs="Arial"/>
          <w:sz w:val="20"/>
          <w:lang w:val="pt-BR"/>
        </w:rPr>
        <w:t xml:space="preserve">. A </w:t>
      </w:r>
      <w:r w:rsidR="004076AD" w:rsidRPr="002F50BD">
        <w:rPr>
          <w:rFonts w:ascii="Verdana" w:hAnsi="Verdana" w:cs="Arial"/>
          <w:sz w:val="20"/>
          <w:lang w:val="pt-BR"/>
        </w:rPr>
        <w:t>provisão</w:t>
      </w:r>
      <w:r w:rsidR="004756C1" w:rsidRPr="002F50BD">
        <w:rPr>
          <w:rFonts w:ascii="Verdana" w:hAnsi="Verdana" w:cs="Arial"/>
          <w:sz w:val="20"/>
          <w:lang w:val="pt-BR"/>
        </w:rPr>
        <w:t xml:space="preserve"> de alimentos</w:t>
      </w:r>
      <w:r w:rsidRPr="002F50BD">
        <w:rPr>
          <w:rFonts w:ascii="Verdana" w:hAnsi="Verdana" w:cs="Arial"/>
          <w:sz w:val="20"/>
          <w:lang w:val="pt-BR"/>
        </w:rPr>
        <w:t xml:space="preserve"> e </w:t>
      </w:r>
      <w:r w:rsidR="00B756DC" w:rsidRPr="002F50BD">
        <w:rPr>
          <w:rFonts w:ascii="Verdana" w:hAnsi="Verdana" w:cs="Arial"/>
          <w:sz w:val="20"/>
          <w:lang w:val="pt-BR"/>
        </w:rPr>
        <w:t xml:space="preserve">a </w:t>
      </w:r>
      <w:r w:rsidR="004756C1" w:rsidRPr="002F50BD">
        <w:rPr>
          <w:rFonts w:ascii="Verdana" w:hAnsi="Verdana" w:cs="Arial"/>
          <w:sz w:val="20"/>
          <w:lang w:val="pt-BR"/>
        </w:rPr>
        <w:t xml:space="preserve">entrega de </w:t>
      </w:r>
      <w:r w:rsidRPr="002F50BD">
        <w:rPr>
          <w:rFonts w:ascii="Verdana" w:hAnsi="Verdana" w:cs="Arial"/>
          <w:sz w:val="20"/>
          <w:lang w:val="pt-BR"/>
        </w:rPr>
        <w:t xml:space="preserve">assistência </w:t>
      </w:r>
      <w:r w:rsidR="004756C1" w:rsidRPr="002F50BD">
        <w:rPr>
          <w:rFonts w:ascii="Verdana" w:hAnsi="Verdana" w:cs="Arial"/>
          <w:sz w:val="20"/>
          <w:lang w:val="pt-BR"/>
        </w:rPr>
        <w:t xml:space="preserve">médica por parte </w:t>
      </w:r>
      <w:r w:rsidRPr="002F50BD">
        <w:rPr>
          <w:rFonts w:ascii="Verdana" w:hAnsi="Verdana" w:cs="Arial"/>
          <w:sz w:val="20"/>
          <w:lang w:val="pt-BR"/>
        </w:rPr>
        <w:t xml:space="preserve">do </w:t>
      </w:r>
      <w:r w:rsidR="004756C1" w:rsidRPr="002F50BD">
        <w:rPr>
          <w:rFonts w:ascii="Verdana" w:hAnsi="Verdana" w:cs="Arial"/>
          <w:sz w:val="20"/>
          <w:lang w:val="pt-BR"/>
        </w:rPr>
        <w:t>Estado</w:t>
      </w:r>
      <w:r w:rsidRPr="002F50BD">
        <w:rPr>
          <w:rFonts w:ascii="Verdana" w:hAnsi="Verdana" w:cs="Arial"/>
          <w:sz w:val="20"/>
          <w:lang w:val="pt-BR"/>
        </w:rPr>
        <w:t xml:space="preserve"> aos membro</w:t>
      </w:r>
      <w:r w:rsidR="004756C1" w:rsidRPr="002F50BD">
        <w:rPr>
          <w:rFonts w:ascii="Verdana" w:hAnsi="Verdana" w:cs="Arial"/>
          <w:sz w:val="20"/>
          <w:lang w:val="pt-BR"/>
        </w:rPr>
        <w:t>s</w:t>
      </w:r>
      <w:r w:rsidRPr="002F50BD">
        <w:rPr>
          <w:rFonts w:ascii="Verdana" w:hAnsi="Verdana" w:cs="Arial"/>
          <w:sz w:val="20"/>
          <w:lang w:val="pt-BR"/>
        </w:rPr>
        <w:t xml:space="preserve"> da Comunidade </w:t>
      </w:r>
      <w:r w:rsidR="004756C1" w:rsidRPr="002F50BD">
        <w:rPr>
          <w:rFonts w:ascii="Verdana" w:hAnsi="Verdana" w:cs="Arial"/>
          <w:sz w:val="20"/>
          <w:lang w:val="pt-BR"/>
        </w:rPr>
        <w:t>Yakye Axa</w:t>
      </w:r>
      <w:r w:rsidRPr="002F50BD">
        <w:rPr>
          <w:rFonts w:ascii="Verdana" w:hAnsi="Verdana" w:cs="Arial"/>
          <w:sz w:val="20"/>
          <w:lang w:val="pt-BR"/>
        </w:rPr>
        <w:t xml:space="preserve"> foi </w:t>
      </w:r>
      <w:r w:rsidR="00B756DC" w:rsidRPr="002F50BD">
        <w:rPr>
          <w:rFonts w:ascii="Verdana" w:hAnsi="Verdana" w:cs="Arial"/>
          <w:sz w:val="20"/>
          <w:lang w:val="pt-BR"/>
        </w:rPr>
        <w:t>claramente deficitá</w:t>
      </w:r>
      <w:r w:rsidR="004756C1" w:rsidRPr="002F50BD">
        <w:rPr>
          <w:rFonts w:ascii="Verdana" w:hAnsi="Verdana" w:cs="Arial"/>
          <w:sz w:val="20"/>
          <w:lang w:val="pt-BR"/>
        </w:rPr>
        <w:t>ria e irregular</w:t>
      </w:r>
      <w:r w:rsidRPr="002F50BD">
        <w:rPr>
          <w:rFonts w:ascii="Verdana" w:hAnsi="Verdana" w:cs="Arial"/>
          <w:sz w:val="20"/>
          <w:lang w:val="pt-BR"/>
        </w:rPr>
        <w:t>, e</w:t>
      </w:r>
    </w:p>
    <w:p w:rsidR="004756C1" w:rsidRPr="002F50BD" w:rsidRDefault="004756C1">
      <w:pPr>
        <w:tabs>
          <w:tab w:val="left" w:pos="1080"/>
          <w:tab w:val="left" w:pos="3469"/>
        </w:tabs>
        <w:ind w:left="720"/>
        <w:jc w:val="both"/>
        <w:rPr>
          <w:rFonts w:ascii="Verdana" w:hAnsi="Verdana"/>
          <w:sz w:val="20"/>
          <w:lang w:val="pt-BR"/>
        </w:rPr>
      </w:pPr>
    </w:p>
    <w:p w:rsidR="004756C1" w:rsidRPr="002F50BD" w:rsidRDefault="00B756DC">
      <w:pPr>
        <w:numPr>
          <w:ilvl w:val="0"/>
          <w:numId w:val="12"/>
        </w:numPr>
        <w:tabs>
          <w:tab w:val="left" w:pos="1080"/>
        </w:tabs>
        <w:ind w:left="720"/>
        <w:jc w:val="both"/>
        <w:rPr>
          <w:rFonts w:ascii="Verdana" w:hAnsi="Verdana" w:cs="Arial"/>
          <w:sz w:val="20"/>
          <w:szCs w:val="22"/>
          <w:lang w:val="pt-BR"/>
        </w:rPr>
      </w:pPr>
      <w:r w:rsidRPr="002F50BD">
        <w:rPr>
          <w:rFonts w:ascii="Verdana" w:hAnsi="Verdana" w:cs="Arial"/>
          <w:sz w:val="20"/>
          <w:szCs w:val="22"/>
          <w:lang w:val="pt-BR"/>
        </w:rPr>
        <w:t>E</w:t>
      </w:r>
      <w:r w:rsidR="004756C1" w:rsidRPr="002F50BD">
        <w:rPr>
          <w:rFonts w:ascii="Verdana" w:hAnsi="Verdana" w:cs="Arial"/>
          <w:sz w:val="20"/>
          <w:szCs w:val="22"/>
          <w:lang w:val="pt-BR"/>
        </w:rPr>
        <w:t>xiste</w:t>
      </w:r>
      <w:r w:rsidR="0089298C" w:rsidRPr="002F50BD">
        <w:rPr>
          <w:rFonts w:ascii="Verdana" w:hAnsi="Verdana" w:cs="Arial"/>
          <w:sz w:val="20"/>
          <w:szCs w:val="22"/>
          <w:lang w:val="pt-BR"/>
        </w:rPr>
        <w:t xml:space="preserve"> uma </w:t>
      </w:r>
      <w:r w:rsidR="004756C1" w:rsidRPr="002F50BD">
        <w:rPr>
          <w:rFonts w:ascii="Verdana" w:hAnsi="Verdana" w:cs="Arial"/>
          <w:sz w:val="20"/>
          <w:szCs w:val="22"/>
          <w:lang w:val="pt-BR"/>
        </w:rPr>
        <w:t>clara rela</w:t>
      </w:r>
      <w:r w:rsidR="0089298C" w:rsidRPr="002F50BD">
        <w:rPr>
          <w:rFonts w:ascii="Verdana" w:hAnsi="Verdana" w:cs="Arial"/>
          <w:sz w:val="20"/>
          <w:szCs w:val="22"/>
          <w:lang w:val="pt-BR"/>
        </w:rPr>
        <w:t>ção</w:t>
      </w:r>
      <w:r w:rsidR="004756C1" w:rsidRPr="002F50BD">
        <w:rPr>
          <w:rFonts w:ascii="Verdana" w:hAnsi="Verdana" w:cs="Arial"/>
          <w:sz w:val="20"/>
          <w:szCs w:val="22"/>
          <w:lang w:val="pt-BR"/>
        </w:rPr>
        <w:t xml:space="preserve"> de </w:t>
      </w:r>
      <w:r w:rsidR="00CD2AE8" w:rsidRPr="002F50BD">
        <w:rPr>
          <w:rFonts w:ascii="Verdana" w:hAnsi="Verdana" w:cs="Arial"/>
          <w:sz w:val="20"/>
          <w:szCs w:val="22"/>
          <w:lang w:val="pt-BR"/>
        </w:rPr>
        <w:t>causalidade</w:t>
      </w:r>
      <w:r w:rsidRPr="002F50BD">
        <w:rPr>
          <w:rFonts w:ascii="Verdana" w:hAnsi="Verdana" w:cs="Arial"/>
          <w:sz w:val="20"/>
          <w:szCs w:val="22"/>
          <w:lang w:val="pt-BR"/>
        </w:rPr>
        <w:t>e</w:t>
      </w:r>
      <w:r w:rsidR="004756C1" w:rsidRPr="002F50BD">
        <w:rPr>
          <w:rFonts w:ascii="Verdana" w:hAnsi="Verdana" w:cs="Arial"/>
          <w:sz w:val="20"/>
          <w:szCs w:val="22"/>
          <w:lang w:val="pt-BR"/>
        </w:rPr>
        <w:t xml:space="preserve"> entre</w:t>
      </w:r>
      <w:r w:rsidR="0089298C" w:rsidRPr="002F50BD">
        <w:rPr>
          <w:rFonts w:ascii="Verdana" w:hAnsi="Verdana" w:cs="Arial"/>
          <w:sz w:val="20"/>
          <w:szCs w:val="22"/>
          <w:lang w:val="pt-BR"/>
        </w:rPr>
        <w:t xml:space="preserve"> as </w:t>
      </w:r>
      <w:r w:rsidR="004756C1" w:rsidRPr="002F50BD">
        <w:rPr>
          <w:rFonts w:ascii="Verdana" w:hAnsi="Verdana" w:cs="Arial"/>
          <w:sz w:val="20"/>
          <w:szCs w:val="22"/>
          <w:lang w:val="pt-BR"/>
        </w:rPr>
        <w:t>o</w:t>
      </w:r>
      <w:r w:rsidR="0089298C" w:rsidRPr="002F50BD">
        <w:rPr>
          <w:rFonts w:ascii="Verdana" w:hAnsi="Verdana" w:cs="Arial"/>
          <w:sz w:val="20"/>
          <w:szCs w:val="22"/>
          <w:lang w:val="pt-BR"/>
        </w:rPr>
        <w:t>missões e atos</w:t>
      </w:r>
      <w:r w:rsidR="004756C1" w:rsidRPr="002F50BD">
        <w:rPr>
          <w:rFonts w:ascii="Verdana" w:hAnsi="Verdana" w:cs="Arial"/>
          <w:sz w:val="20"/>
          <w:szCs w:val="22"/>
          <w:lang w:val="pt-BR"/>
        </w:rPr>
        <w:t xml:space="preserve"> </w:t>
      </w:r>
      <w:r w:rsidR="0089298C" w:rsidRPr="002F50BD">
        <w:rPr>
          <w:rFonts w:ascii="Verdana" w:hAnsi="Verdana" w:cs="Arial"/>
          <w:sz w:val="20"/>
          <w:szCs w:val="22"/>
          <w:lang w:val="pt-BR"/>
        </w:rPr>
        <w:t xml:space="preserve">do </w:t>
      </w:r>
      <w:r w:rsidR="004756C1" w:rsidRPr="002F50BD">
        <w:rPr>
          <w:rFonts w:ascii="Verdana" w:hAnsi="Verdana" w:cs="Arial"/>
          <w:sz w:val="20"/>
          <w:szCs w:val="22"/>
          <w:lang w:val="pt-BR"/>
        </w:rPr>
        <w:t>Estado</w:t>
      </w:r>
      <w:r w:rsidR="0089298C" w:rsidRPr="002F50BD">
        <w:rPr>
          <w:rFonts w:ascii="Verdana" w:hAnsi="Verdana" w:cs="Arial"/>
          <w:sz w:val="20"/>
          <w:szCs w:val="22"/>
          <w:lang w:val="pt-BR"/>
        </w:rPr>
        <w:t xml:space="preserve"> e a localização da Comunidade em uma </w:t>
      </w:r>
      <w:r w:rsidR="004756C1" w:rsidRPr="002F50BD">
        <w:rPr>
          <w:rFonts w:ascii="Verdana" w:hAnsi="Verdana" w:cs="Arial"/>
          <w:sz w:val="20"/>
          <w:szCs w:val="22"/>
          <w:lang w:val="pt-BR"/>
        </w:rPr>
        <w:t>situa</w:t>
      </w:r>
      <w:r w:rsidR="0089298C" w:rsidRPr="002F50BD">
        <w:rPr>
          <w:rFonts w:ascii="Verdana" w:hAnsi="Verdana" w:cs="Arial"/>
          <w:sz w:val="20"/>
          <w:szCs w:val="22"/>
          <w:lang w:val="pt-BR"/>
        </w:rPr>
        <w:t xml:space="preserve">ção em </w:t>
      </w:r>
      <w:r w:rsidR="004756C1" w:rsidRPr="002F50BD">
        <w:rPr>
          <w:rFonts w:ascii="Verdana" w:hAnsi="Verdana" w:cs="Arial"/>
          <w:sz w:val="20"/>
          <w:szCs w:val="22"/>
          <w:lang w:val="pt-BR"/>
        </w:rPr>
        <w:t>que</w:t>
      </w:r>
      <w:r w:rsidR="0089298C" w:rsidRPr="002F50BD">
        <w:rPr>
          <w:rFonts w:ascii="Verdana" w:hAnsi="Verdana" w:cs="Arial"/>
          <w:sz w:val="20"/>
          <w:szCs w:val="22"/>
          <w:lang w:val="pt-BR"/>
        </w:rPr>
        <w:t xml:space="preserve"> a </w:t>
      </w:r>
      <w:r w:rsidR="004756C1" w:rsidRPr="002F50BD">
        <w:rPr>
          <w:rFonts w:ascii="Verdana" w:hAnsi="Verdana" w:cs="Arial"/>
          <w:sz w:val="20"/>
          <w:szCs w:val="22"/>
          <w:lang w:val="pt-BR"/>
        </w:rPr>
        <w:t xml:space="preserve">vida de </w:t>
      </w:r>
      <w:r w:rsidR="00AB454A" w:rsidRPr="002F50BD">
        <w:rPr>
          <w:rFonts w:ascii="Verdana" w:hAnsi="Verdana" w:cs="Arial"/>
          <w:sz w:val="20"/>
          <w:szCs w:val="22"/>
          <w:lang w:val="pt-BR"/>
        </w:rPr>
        <w:t>seus membros</w:t>
      </w:r>
      <w:r w:rsidRPr="002F50BD">
        <w:rPr>
          <w:rFonts w:ascii="Verdana" w:hAnsi="Verdana" w:cs="Arial"/>
          <w:sz w:val="20"/>
          <w:szCs w:val="22"/>
          <w:lang w:val="pt-BR"/>
        </w:rPr>
        <w:t xml:space="preserve"> se vê</w:t>
      </w:r>
      <w:r w:rsidR="004756C1" w:rsidRPr="002F50BD">
        <w:rPr>
          <w:rFonts w:ascii="Verdana" w:hAnsi="Verdana" w:cs="Arial"/>
          <w:sz w:val="20"/>
          <w:szCs w:val="22"/>
          <w:lang w:val="pt-BR"/>
        </w:rPr>
        <w:t xml:space="preserve"> redu</w:t>
      </w:r>
      <w:r w:rsidRPr="002F50BD">
        <w:rPr>
          <w:rFonts w:ascii="Verdana" w:hAnsi="Verdana" w:cs="Arial"/>
          <w:sz w:val="20"/>
          <w:szCs w:val="22"/>
          <w:lang w:val="pt-BR"/>
        </w:rPr>
        <w:t>z</w:t>
      </w:r>
      <w:r w:rsidR="004756C1" w:rsidRPr="002F50BD">
        <w:rPr>
          <w:rFonts w:ascii="Verdana" w:hAnsi="Verdana" w:cs="Arial"/>
          <w:sz w:val="20"/>
          <w:szCs w:val="22"/>
          <w:lang w:val="pt-BR"/>
        </w:rPr>
        <w:t>ida o</w:t>
      </w:r>
      <w:r w:rsidRPr="002F50BD">
        <w:rPr>
          <w:rFonts w:ascii="Verdana" w:hAnsi="Verdana" w:cs="Arial"/>
          <w:sz w:val="20"/>
          <w:szCs w:val="22"/>
          <w:lang w:val="pt-BR"/>
        </w:rPr>
        <w:t>u</w:t>
      </w:r>
      <w:r w:rsidR="004756C1" w:rsidRPr="002F50BD">
        <w:rPr>
          <w:rFonts w:ascii="Verdana" w:hAnsi="Verdana" w:cs="Arial"/>
          <w:sz w:val="20"/>
          <w:szCs w:val="22"/>
          <w:lang w:val="pt-BR"/>
        </w:rPr>
        <w:t xml:space="preserve"> frustrada</w:t>
      </w:r>
      <w:r w:rsidR="0089298C" w:rsidRPr="002F50BD">
        <w:rPr>
          <w:rFonts w:ascii="Verdana" w:hAnsi="Verdana" w:cs="Arial"/>
          <w:sz w:val="20"/>
          <w:szCs w:val="22"/>
          <w:lang w:val="pt-BR"/>
        </w:rPr>
        <w:t xml:space="preserve"> </w:t>
      </w:r>
      <w:r w:rsidRPr="002F50BD">
        <w:rPr>
          <w:rFonts w:ascii="Verdana" w:hAnsi="Verdana" w:cs="Arial"/>
          <w:sz w:val="20"/>
          <w:szCs w:val="22"/>
          <w:lang w:val="pt-BR"/>
        </w:rPr>
        <w:t xml:space="preserve">de </w:t>
      </w:r>
      <w:r w:rsidR="004756C1" w:rsidRPr="002F50BD">
        <w:rPr>
          <w:rFonts w:ascii="Verdana" w:hAnsi="Verdana" w:cs="Arial"/>
          <w:sz w:val="20"/>
          <w:szCs w:val="22"/>
          <w:lang w:val="pt-BR"/>
        </w:rPr>
        <w:t xml:space="preserve">forma </w:t>
      </w:r>
      <w:r w:rsidR="0089298C" w:rsidRPr="002F50BD">
        <w:rPr>
          <w:rFonts w:ascii="Verdana" w:hAnsi="Verdana" w:cs="Arial"/>
          <w:sz w:val="20"/>
          <w:szCs w:val="22"/>
          <w:lang w:val="pt-BR"/>
        </w:rPr>
        <w:t>arbitrária</w:t>
      </w:r>
      <w:r w:rsidR="004756C1" w:rsidRPr="002F50BD">
        <w:rPr>
          <w:rFonts w:ascii="Verdana" w:hAnsi="Verdana" w:cs="Arial"/>
          <w:sz w:val="20"/>
          <w:szCs w:val="22"/>
          <w:lang w:val="pt-BR"/>
        </w:rPr>
        <w:t>.</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 xml:space="preserve">Alegações dos </w:t>
      </w:r>
      <w:r w:rsidR="008C29C9" w:rsidRPr="002F50BD">
        <w:rPr>
          <w:rFonts w:ascii="Verdana" w:hAnsi="Verdana"/>
          <w:i/>
          <w:sz w:val="20"/>
        </w:rPr>
        <w:t>representante</w:t>
      </w:r>
      <w:r w:rsidR="004756C1" w:rsidRPr="002F50BD">
        <w:rPr>
          <w:rFonts w:ascii="Verdana" w:hAnsi="Verdana"/>
          <w:i/>
          <w:sz w:val="20"/>
        </w:rPr>
        <w:t>s</w:t>
      </w:r>
    </w:p>
    <w:p w:rsidR="004756C1" w:rsidRPr="002F50BD" w:rsidRDefault="004756C1">
      <w:pPr>
        <w:ind w:left="360"/>
        <w:jc w:val="both"/>
        <w:rPr>
          <w:rFonts w:ascii="Verdana" w:hAnsi="Verdana"/>
          <w:i/>
          <w:sz w:val="20"/>
        </w:rPr>
      </w:pPr>
    </w:p>
    <w:p w:rsidR="004756C1" w:rsidRPr="002F50BD" w:rsidRDefault="00F46680">
      <w:pPr>
        <w:numPr>
          <w:ilvl w:val="0"/>
          <w:numId w:val="28"/>
        </w:numPr>
        <w:jc w:val="both"/>
        <w:rPr>
          <w:rFonts w:ascii="Verdana" w:hAnsi="Verdana"/>
          <w:sz w:val="20"/>
          <w:lang w:val="pt-BR"/>
        </w:rPr>
      </w:pPr>
      <w:r w:rsidRPr="002F50BD">
        <w:rPr>
          <w:rFonts w:ascii="Verdana" w:hAnsi="Verdana"/>
          <w:sz w:val="20"/>
          <w:lang w:val="pt-BR"/>
        </w:rPr>
        <w:t xml:space="preserve">Quanto </w:t>
      </w:r>
      <w:r w:rsidR="0089298C" w:rsidRPr="002F50BD">
        <w:rPr>
          <w:rFonts w:ascii="Verdana" w:hAnsi="Verdana"/>
          <w:sz w:val="20"/>
          <w:lang w:val="pt-BR"/>
        </w:rPr>
        <w:t>ao artigo</w:t>
      </w:r>
      <w:r w:rsidR="004756C1" w:rsidRPr="002F50BD">
        <w:rPr>
          <w:rFonts w:ascii="Verdana" w:hAnsi="Verdana"/>
          <w:sz w:val="20"/>
          <w:lang w:val="pt-BR"/>
        </w:rPr>
        <w:t xml:space="preserve"> </w:t>
      </w:r>
      <w:r w:rsidR="00063B47"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alegaram</w:t>
      </w:r>
      <w:r w:rsidR="004756C1" w:rsidRPr="002F50BD">
        <w:rPr>
          <w:rFonts w:ascii="Verdana" w:hAnsi="Verdana"/>
          <w:sz w:val="20"/>
          <w:lang w:val="pt-BR"/>
        </w:rPr>
        <w:t xml:space="preserve"> que:</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direito à </w:t>
      </w:r>
      <w:r w:rsidR="004756C1" w:rsidRPr="002F50BD">
        <w:rPr>
          <w:rFonts w:ascii="Verdana" w:hAnsi="Verdana"/>
          <w:sz w:val="20"/>
          <w:lang w:val="pt-BR"/>
        </w:rPr>
        <w:t>vida</w:t>
      </w:r>
      <w:r w:rsidRPr="002F50BD">
        <w:rPr>
          <w:rFonts w:ascii="Verdana" w:hAnsi="Verdana"/>
          <w:sz w:val="20"/>
          <w:lang w:val="pt-BR"/>
        </w:rPr>
        <w:t xml:space="preserve"> é um direito</w:t>
      </w:r>
      <w:r w:rsidR="004756C1" w:rsidRPr="002F50BD">
        <w:rPr>
          <w:rFonts w:ascii="Verdana" w:hAnsi="Verdana"/>
          <w:sz w:val="20"/>
          <w:lang w:val="pt-BR"/>
        </w:rPr>
        <w:t xml:space="preserve"> fundamental, </w:t>
      </w:r>
      <w:r w:rsidRPr="002F50BD">
        <w:rPr>
          <w:rFonts w:ascii="Verdana" w:hAnsi="Verdana"/>
          <w:sz w:val="20"/>
          <w:lang w:val="pt-BR"/>
        </w:rPr>
        <w:t>cuja</w:t>
      </w:r>
      <w:r w:rsidR="004756C1" w:rsidRPr="002F50BD">
        <w:rPr>
          <w:rFonts w:ascii="Verdana" w:hAnsi="Verdana"/>
          <w:sz w:val="20"/>
          <w:lang w:val="pt-BR"/>
        </w:rPr>
        <w:t xml:space="preserve"> salvaguarda depen</w:t>
      </w:r>
      <w:r w:rsidRPr="002F50BD">
        <w:rPr>
          <w:rFonts w:ascii="Verdana" w:hAnsi="Verdana"/>
          <w:sz w:val="20"/>
          <w:lang w:val="pt-BR"/>
        </w:rPr>
        <w:t>d</w:t>
      </w:r>
      <w:r w:rsidR="00B756DC" w:rsidRPr="002F50BD">
        <w:rPr>
          <w:rFonts w:ascii="Verdana" w:hAnsi="Verdana"/>
          <w:sz w:val="20"/>
          <w:lang w:val="pt-BR"/>
        </w:rPr>
        <w:t>e d</w:t>
      </w:r>
      <w:r w:rsidRPr="002F50BD">
        <w:rPr>
          <w:rFonts w:ascii="Verdana" w:hAnsi="Verdana"/>
          <w:sz w:val="20"/>
          <w:lang w:val="pt-BR"/>
        </w:rPr>
        <w:t xml:space="preserve">a </w:t>
      </w:r>
      <w:r w:rsidR="004756C1" w:rsidRPr="002F50BD">
        <w:rPr>
          <w:rFonts w:ascii="Verdana" w:hAnsi="Verdana"/>
          <w:sz w:val="20"/>
          <w:lang w:val="pt-BR"/>
        </w:rPr>
        <w:t>realiza</w:t>
      </w:r>
      <w:r w:rsidRPr="002F50BD">
        <w:rPr>
          <w:rFonts w:ascii="Verdana" w:hAnsi="Verdana"/>
          <w:sz w:val="20"/>
          <w:lang w:val="pt-BR"/>
        </w:rPr>
        <w:t>ção dos demais</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s.</w:t>
      </w:r>
      <w:r w:rsidRPr="002F50BD">
        <w:rPr>
          <w:rFonts w:ascii="Verdana" w:hAnsi="Verdana"/>
          <w:sz w:val="20"/>
          <w:lang w:val="pt-BR"/>
        </w:rPr>
        <w:t xml:space="preserve"> </w:t>
      </w:r>
      <w:r w:rsidR="00B756DC" w:rsidRPr="002F50BD">
        <w:rPr>
          <w:rFonts w:ascii="Verdana" w:hAnsi="Verdana"/>
          <w:sz w:val="20"/>
          <w:lang w:val="pt-BR"/>
        </w:rPr>
        <w:t>E</w:t>
      </w:r>
      <w:r w:rsidRPr="002F50BD">
        <w:rPr>
          <w:rFonts w:ascii="Verdana" w:hAnsi="Verdana"/>
          <w:sz w:val="20"/>
          <w:lang w:val="pt-BR"/>
        </w:rPr>
        <w:t xml:space="preserve">m virtude </w:t>
      </w:r>
      <w:r w:rsidR="00B756DC" w:rsidRPr="002F50BD">
        <w:rPr>
          <w:rFonts w:ascii="Verdana" w:hAnsi="Verdana"/>
          <w:sz w:val="20"/>
          <w:lang w:val="pt-BR"/>
        </w:rPr>
        <w:t>disso</w:t>
      </w:r>
      <w:r w:rsidR="004756C1"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Estados</w:t>
      </w:r>
      <w:r w:rsidRPr="002F50BD">
        <w:rPr>
          <w:rFonts w:ascii="Verdana" w:hAnsi="Verdana"/>
          <w:sz w:val="20"/>
          <w:lang w:val="pt-BR"/>
        </w:rPr>
        <w:t xml:space="preserve"> </w:t>
      </w:r>
      <w:r w:rsidR="00B756DC" w:rsidRPr="002F50BD">
        <w:rPr>
          <w:rFonts w:ascii="Verdana" w:hAnsi="Verdana"/>
          <w:sz w:val="20"/>
          <w:lang w:val="pt-BR"/>
        </w:rPr>
        <w:t xml:space="preserve">têm </w:t>
      </w:r>
      <w:r w:rsidRPr="002F50BD">
        <w:rPr>
          <w:rFonts w:ascii="Verdana" w:hAnsi="Verdana"/>
          <w:sz w:val="20"/>
          <w:lang w:val="pt-BR"/>
        </w:rPr>
        <w:t>a obrigação</w:t>
      </w:r>
      <w:r w:rsidR="004756C1" w:rsidRPr="002F50BD">
        <w:rPr>
          <w:rFonts w:ascii="Verdana" w:hAnsi="Verdana"/>
          <w:sz w:val="20"/>
          <w:lang w:val="pt-BR"/>
        </w:rPr>
        <w:t xml:space="preserve"> </w:t>
      </w:r>
      <w:r w:rsidR="004756C1" w:rsidRPr="002F50BD">
        <w:rPr>
          <w:rFonts w:ascii="Verdana" w:hAnsi="Verdana"/>
          <w:sz w:val="20"/>
          <w:lang w:val="pt-BR"/>
        </w:rPr>
        <w:lastRenderedPageBreak/>
        <w:t xml:space="preserve">de </w:t>
      </w:r>
      <w:r w:rsidRPr="002F50BD">
        <w:rPr>
          <w:rFonts w:ascii="Verdana" w:hAnsi="Verdana"/>
          <w:sz w:val="20"/>
          <w:lang w:val="pt-BR"/>
        </w:rPr>
        <w:t xml:space="preserve">garantir a criação das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que se requ</w:t>
      </w:r>
      <w:r w:rsidR="00B756DC" w:rsidRPr="002F50BD">
        <w:rPr>
          <w:rFonts w:ascii="Verdana" w:hAnsi="Verdana"/>
          <w:sz w:val="20"/>
          <w:lang w:val="pt-BR"/>
        </w:rPr>
        <w:t xml:space="preserve">eiram </w:t>
      </w:r>
      <w:r w:rsidR="004756C1" w:rsidRPr="002F50BD">
        <w:rPr>
          <w:rFonts w:ascii="Verdana" w:hAnsi="Verdana"/>
          <w:sz w:val="20"/>
          <w:lang w:val="pt-BR"/>
        </w:rPr>
        <w:t>para</w:t>
      </w:r>
      <w:r w:rsidRPr="002F50BD">
        <w:rPr>
          <w:rFonts w:ascii="Verdana" w:hAnsi="Verdana"/>
          <w:sz w:val="20"/>
          <w:lang w:val="pt-BR"/>
        </w:rPr>
        <w:t xml:space="preserve"> o </w:t>
      </w:r>
      <w:r w:rsidR="004756C1" w:rsidRPr="002F50BD">
        <w:rPr>
          <w:rFonts w:ascii="Verdana" w:hAnsi="Verdana"/>
          <w:sz w:val="20"/>
          <w:lang w:val="pt-BR"/>
        </w:rPr>
        <w:t>pleno</w:t>
      </w:r>
      <w:r w:rsidR="00385366" w:rsidRPr="002F50BD">
        <w:rPr>
          <w:rFonts w:ascii="Verdana" w:hAnsi="Verdana"/>
          <w:sz w:val="20"/>
          <w:lang w:val="pt-BR"/>
        </w:rPr>
        <w:t xml:space="preserve"> gozo </w:t>
      </w:r>
      <w:r w:rsidRPr="002F50BD">
        <w:rPr>
          <w:rFonts w:ascii="Verdana" w:hAnsi="Verdana"/>
          <w:sz w:val="20"/>
          <w:lang w:val="pt-BR"/>
        </w:rPr>
        <w:t>e exercício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w:t>
      </w:r>
      <w:r w:rsidR="000A7E90">
        <w:rPr>
          <w:rFonts w:ascii="Verdana" w:hAnsi="Verdana"/>
          <w:sz w:val="20"/>
          <w:lang w:val="pt-BR"/>
        </w:rPr>
        <w:t>Iss</w:t>
      </w:r>
      <w:r w:rsidR="00B756DC" w:rsidRPr="002F50BD">
        <w:rPr>
          <w:rFonts w:ascii="Verdana" w:hAnsi="Verdana"/>
          <w:sz w:val="20"/>
          <w:lang w:val="pt-BR"/>
        </w:rPr>
        <w:t xml:space="preserve">o </w:t>
      </w:r>
      <w:r w:rsidRPr="002F50BD">
        <w:rPr>
          <w:rFonts w:ascii="Verdana" w:hAnsi="Verdana"/>
          <w:sz w:val="20"/>
          <w:lang w:val="pt-BR"/>
        </w:rPr>
        <w:t>supõe</w:t>
      </w:r>
      <w:r w:rsidR="00B756DC" w:rsidRPr="002F50BD">
        <w:rPr>
          <w:rFonts w:ascii="Verdana" w:hAnsi="Verdana"/>
          <w:sz w:val="20"/>
          <w:lang w:val="pt-BR"/>
        </w:rPr>
        <w:t xml:space="preserve"> </w:t>
      </w:r>
      <w:r w:rsidRPr="002F50BD">
        <w:rPr>
          <w:rFonts w:ascii="Verdana" w:hAnsi="Verdana"/>
          <w:sz w:val="20"/>
          <w:lang w:val="pt-BR"/>
        </w:rPr>
        <w:t>a adoção</w:t>
      </w:r>
      <w:r w:rsidR="004756C1" w:rsidRPr="002F50BD">
        <w:rPr>
          <w:rFonts w:ascii="Verdana" w:hAnsi="Verdana"/>
          <w:sz w:val="20"/>
          <w:lang w:val="pt-BR"/>
        </w:rPr>
        <w:t xml:space="preserve"> de medidas positivas de </w:t>
      </w:r>
      <w:r w:rsidRPr="002F50BD">
        <w:rPr>
          <w:rFonts w:ascii="Verdana" w:hAnsi="Verdana"/>
          <w:sz w:val="20"/>
          <w:lang w:val="pt-BR"/>
        </w:rPr>
        <w:t>proteção</w:t>
      </w:r>
      <w:r w:rsidR="004756C1" w:rsidRPr="002F50BD">
        <w:rPr>
          <w:rFonts w:ascii="Verdana" w:hAnsi="Verdana"/>
          <w:sz w:val="20"/>
          <w:lang w:val="pt-BR"/>
        </w:rPr>
        <w:t xml:space="preserve"> por parte </w:t>
      </w:r>
      <w:r w:rsidRPr="002F50BD">
        <w:rPr>
          <w:rFonts w:ascii="Verdana" w:hAnsi="Verdana"/>
          <w:sz w:val="20"/>
          <w:lang w:val="pt-BR"/>
        </w:rPr>
        <w:t xml:space="preserve">do </w:t>
      </w:r>
      <w:r w:rsidR="004756C1" w:rsidRPr="002F50BD">
        <w:rPr>
          <w:rFonts w:ascii="Verdana" w:hAnsi="Verdana"/>
          <w:sz w:val="20"/>
          <w:lang w:val="pt-BR"/>
        </w:rPr>
        <w:t>Estado</w:t>
      </w:r>
      <w:r w:rsidR="00AB454A" w:rsidRPr="002F50BD">
        <w:rPr>
          <w:rFonts w:ascii="Verdana" w:hAnsi="Verdana"/>
          <w:sz w:val="20"/>
          <w:lang w:val="pt-BR"/>
        </w:rPr>
        <w:t xml:space="preserve">. A </w:t>
      </w:r>
      <w:r w:rsidR="004756C1" w:rsidRPr="002F50BD">
        <w:rPr>
          <w:rFonts w:ascii="Verdana" w:hAnsi="Verdana"/>
          <w:sz w:val="20"/>
          <w:lang w:val="pt-BR"/>
        </w:rPr>
        <w:t>n</w:t>
      </w:r>
      <w:r w:rsidR="00B756DC"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adoção</w:t>
      </w:r>
      <w:r w:rsidR="004756C1" w:rsidRPr="002F50BD">
        <w:rPr>
          <w:rFonts w:ascii="Verdana" w:hAnsi="Verdana"/>
          <w:sz w:val="20"/>
          <w:lang w:val="pt-BR"/>
        </w:rPr>
        <w:t xml:space="preserve"> </w:t>
      </w:r>
      <w:r w:rsidRPr="002F50BD">
        <w:rPr>
          <w:rFonts w:ascii="Verdana" w:hAnsi="Verdana"/>
          <w:sz w:val="20"/>
          <w:lang w:val="pt-BR"/>
        </w:rPr>
        <w:t xml:space="preserve">dessas </w:t>
      </w:r>
      <w:r w:rsidR="004756C1" w:rsidRPr="002F50BD">
        <w:rPr>
          <w:rFonts w:ascii="Verdana" w:hAnsi="Verdana"/>
          <w:sz w:val="20"/>
          <w:lang w:val="pt-BR"/>
        </w:rPr>
        <w:t xml:space="preserve">medidas </w:t>
      </w:r>
      <w:r w:rsidRPr="002F50BD">
        <w:rPr>
          <w:rFonts w:ascii="Verdana" w:hAnsi="Verdana"/>
          <w:sz w:val="20"/>
          <w:lang w:val="pt-BR"/>
        </w:rPr>
        <w:t>pode</w:t>
      </w:r>
      <w:r w:rsidR="004756C1" w:rsidRPr="002F50BD">
        <w:rPr>
          <w:rFonts w:ascii="Verdana" w:hAnsi="Verdana"/>
          <w:sz w:val="20"/>
          <w:lang w:val="pt-BR"/>
        </w:rPr>
        <w:t xml:space="preserve"> </w:t>
      </w:r>
      <w:r w:rsidR="004076AD" w:rsidRPr="002F50BD">
        <w:rPr>
          <w:rFonts w:ascii="Verdana" w:hAnsi="Verdana"/>
          <w:sz w:val="20"/>
          <w:lang w:val="pt-BR"/>
        </w:rPr>
        <w:t>chegar</w:t>
      </w:r>
      <w:r w:rsidR="004756C1" w:rsidRPr="002F50BD">
        <w:rPr>
          <w:rFonts w:ascii="Verdana" w:hAnsi="Verdana"/>
          <w:sz w:val="20"/>
          <w:lang w:val="pt-BR"/>
        </w:rPr>
        <w:t xml:space="preserve"> a </w:t>
      </w:r>
      <w:r w:rsidRPr="002F50BD">
        <w:rPr>
          <w:rFonts w:ascii="Verdana" w:hAnsi="Verdana"/>
          <w:sz w:val="20"/>
          <w:lang w:val="pt-BR"/>
        </w:rPr>
        <w:t>criar</w:t>
      </w:r>
      <w:r w:rsidR="004756C1" w:rsidRPr="002F50BD">
        <w:rPr>
          <w:rFonts w:ascii="Verdana" w:hAnsi="Verdana"/>
          <w:sz w:val="20"/>
          <w:lang w:val="pt-BR"/>
        </w:rPr>
        <w:t xml:space="preserve"> o</w:t>
      </w:r>
      <w:r w:rsidR="00B756DC" w:rsidRPr="002F50BD">
        <w:rPr>
          <w:rFonts w:ascii="Verdana" w:hAnsi="Verdana"/>
          <w:sz w:val="20"/>
          <w:lang w:val="pt-BR"/>
        </w:rPr>
        <w:t>u</w:t>
      </w:r>
      <w:r w:rsidR="004756C1" w:rsidRPr="002F50BD">
        <w:rPr>
          <w:rFonts w:ascii="Verdana" w:hAnsi="Verdana"/>
          <w:sz w:val="20"/>
          <w:lang w:val="pt-BR"/>
        </w:rPr>
        <w:t xml:space="preserve"> a propiciar condi</w:t>
      </w:r>
      <w:r w:rsidRPr="002F50BD">
        <w:rPr>
          <w:rFonts w:ascii="Verdana" w:hAnsi="Verdana"/>
          <w:sz w:val="20"/>
          <w:lang w:val="pt-BR"/>
        </w:rPr>
        <w:t>ções</w:t>
      </w:r>
      <w:r w:rsidR="004756C1" w:rsidRPr="002F50BD">
        <w:rPr>
          <w:rFonts w:ascii="Verdana" w:hAnsi="Verdana"/>
          <w:sz w:val="20"/>
          <w:lang w:val="pt-BR"/>
        </w:rPr>
        <w:t xml:space="preserve"> </w:t>
      </w:r>
      <w:r w:rsidR="00911F24" w:rsidRPr="002F50BD">
        <w:rPr>
          <w:rFonts w:ascii="Verdana" w:hAnsi="Verdana"/>
          <w:sz w:val="20"/>
          <w:lang w:val="pt-BR"/>
        </w:rPr>
        <w:t>que levam</w:t>
      </w:r>
      <w:r w:rsidRPr="002F50BD">
        <w:rPr>
          <w:rFonts w:ascii="Verdana" w:hAnsi="Verdana"/>
          <w:sz w:val="20"/>
          <w:lang w:val="pt-BR"/>
        </w:rPr>
        <w:t xml:space="preserve"> à morte</w:t>
      </w:r>
      <w:r w:rsidR="004756C1" w:rsidRPr="002F50BD">
        <w:rPr>
          <w:rFonts w:ascii="Verdana" w:hAnsi="Verdana"/>
          <w:sz w:val="20"/>
          <w:lang w:val="pt-BR"/>
        </w:rPr>
        <w:t xml:space="preserve"> de </w:t>
      </w:r>
      <w:r w:rsidRPr="002F50BD">
        <w:rPr>
          <w:rFonts w:ascii="Verdana" w:hAnsi="Verdana"/>
          <w:sz w:val="20"/>
          <w:lang w:val="pt-BR"/>
        </w:rPr>
        <w:t>pessoa</w:t>
      </w:r>
      <w:r w:rsidR="004756C1" w:rsidRPr="002F50BD">
        <w:rPr>
          <w:rFonts w:ascii="Verdana" w:hAnsi="Verdana"/>
          <w:sz w:val="20"/>
          <w:lang w:val="pt-BR"/>
        </w:rPr>
        <w:t>s;</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O dever</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 de tomar medidas positivas se acent</w:t>
      </w:r>
      <w:r w:rsidR="00B756DC" w:rsidRPr="002F50BD">
        <w:rPr>
          <w:rFonts w:ascii="Verdana" w:hAnsi="Verdana"/>
          <w:sz w:val="20"/>
          <w:lang w:val="pt-BR"/>
        </w:rPr>
        <w:t>ú</w:t>
      </w:r>
      <w:r w:rsidR="004756C1" w:rsidRPr="002F50BD">
        <w:rPr>
          <w:rFonts w:ascii="Verdana" w:hAnsi="Verdana"/>
          <w:sz w:val="20"/>
          <w:lang w:val="pt-BR"/>
        </w:rPr>
        <w:t>a</w:t>
      </w:r>
      <w:r w:rsidR="00B756DC" w:rsidRPr="002F50BD">
        <w:rPr>
          <w:rFonts w:ascii="Verdana" w:hAnsi="Verdana"/>
          <w:sz w:val="20"/>
          <w:lang w:val="pt-BR"/>
        </w:rPr>
        <w:t xml:space="preserve"> </w:t>
      </w:r>
      <w:r w:rsidR="004756C1" w:rsidRPr="002F50BD">
        <w:rPr>
          <w:rFonts w:ascii="Verdana" w:hAnsi="Verdana"/>
          <w:sz w:val="20"/>
          <w:lang w:val="pt-BR"/>
        </w:rPr>
        <w:t>precisamente</w:t>
      </w:r>
      <w:r w:rsidRPr="002F50BD">
        <w:rPr>
          <w:rFonts w:ascii="Verdana" w:hAnsi="Verdana"/>
          <w:sz w:val="20"/>
          <w:lang w:val="pt-BR"/>
        </w:rPr>
        <w:t xml:space="preserve"> em </w:t>
      </w:r>
      <w:r w:rsidR="004756C1" w:rsidRPr="002F50BD">
        <w:rPr>
          <w:rFonts w:ascii="Verdana" w:hAnsi="Verdana"/>
          <w:sz w:val="20"/>
          <w:lang w:val="pt-BR"/>
        </w:rPr>
        <w:t>rela</w:t>
      </w:r>
      <w:r w:rsidRPr="002F50BD">
        <w:rPr>
          <w:rFonts w:ascii="Verdana" w:hAnsi="Verdana"/>
          <w:sz w:val="20"/>
          <w:lang w:val="pt-BR"/>
        </w:rPr>
        <w:t xml:space="preserve">ção </w:t>
      </w:r>
      <w:r w:rsidR="00B756DC" w:rsidRPr="002F50BD">
        <w:rPr>
          <w:rFonts w:ascii="Verdana" w:hAnsi="Verdana"/>
          <w:sz w:val="20"/>
          <w:lang w:val="pt-BR"/>
        </w:rPr>
        <w:t>à</w:t>
      </w:r>
      <w:r w:rsidRPr="002F50BD">
        <w:rPr>
          <w:rFonts w:ascii="Verdana" w:hAnsi="Verdana"/>
          <w:sz w:val="20"/>
          <w:lang w:val="pt-BR"/>
        </w:rPr>
        <w:t xml:space="preserve"> proteção da </w:t>
      </w:r>
      <w:r w:rsidR="004756C1" w:rsidRPr="002F50BD">
        <w:rPr>
          <w:rFonts w:ascii="Verdana" w:hAnsi="Verdana"/>
          <w:sz w:val="20"/>
          <w:lang w:val="pt-BR"/>
        </w:rPr>
        <w:t xml:space="preserve">vida de </w:t>
      </w:r>
      <w:r w:rsidRPr="002F50BD">
        <w:rPr>
          <w:rFonts w:ascii="Verdana" w:hAnsi="Verdana"/>
          <w:sz w:val="20"/>
          <w:lang w:val="pt-BR"/>
        </w:rPr>
        <w:t>pessoa</w:t>
      </w:r>
      <w:r w:rsidR="004756C1" w:rsidRPr="002F50BD">
        <w:rPr>
          <w:rFonts w:ascii="Verdana" w:hAnsi="Verdana"/>
          <w:sz w:val="20"/>
          <w:lang w:val="pt-BR"/>
        </w:rPr>
        <w:t xml:space="preserve">s </w:t>
      </w:r>
      <w:r w:rsidRPr="002F50BD">
        <w:rPr>
          <w:rFonts w:ascii="Verdana" w:hAnsi="Verdana"/>
          <w:sz w:val="20"/>
          <w:lang w:val="pt-BR"/>
        </w:rPr>
        <w:t>vulneráveis</w:t>
      </w:r>
      <w:r w:rsidR="004756C1" w:rsidRPr="002F50BD">
        <w:rPr>
          <w:rFonts w:ascii="Verdana" w:hAnsi="Verdana"/>
          <w:sz w:val="20"/>
          <w:lang w:val="pt-BR"/>
        </w:rPr>
        <w:t xml:space="preserve"> e in</w:t>
      </w:r>
      <w:r w:rsidRPr="002F50BD">
        <w:rPr>
          <w:rFonts w:ascii="Verdana" w:hAnsi="Verdana"/>
          <w:sz w:val="20"/>
          <w:lang w:val="pt-BR"/>
        </w:rPr>
        <w:t>defesa</w:t>
      </w:r>
      <w:r w:rsidR="004756C1" w:rsidRPr="002F50BD">
        <w:rPr>
          <w:rFonts w:ascii="Verdana" w:hAnsi="Verdana"/>
          <w:sz w:val="20"/>
          <w:lang w:val="pt-BR"/>
        </w:rPr>
        <w:t>s,</w:t>
      </w:r>
      <w:r w:rsidRPr="002F50BD">
        <w:rPr>
          <w:rFonts w:ascii="Verdana" w:hAnsi="Verdana"/>
          <w:sz w:val="20"/>
          <w:lang w:val="pt-BR"/>
        </w:rPr>
        <w:t xml:space="preserve"> em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risco</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Para identificar</w:t>
      </w:r>
      <w:r w:rsidRPr="002F50BD">
        <w:rPr>
          <w:rFonts w:ascii="Verdana" w:hAnsi="Verdana"/>
          <w:sz w:val="20"/>
          <w:lang w:val="pt-BR"/>
        </w:rPr>
        <w:t xml:space="preserve"> essas </w:t>
      </w:r>
      <w:r w:rsidR="004756C1" w:rsidRPr="002F50BD">
        <w:rPr>
          <w:rFonts w:ascii="Verdana" w:hAnsi="Verdana"/>
          <w:sz w:val="20"/>
          <w:lang w:val="pt-BR"/>
        </w:rPr>
        <w:t>medidas</w:t>
      </w:r>
      <w:r w:rsidR="00911F24" w:rsidRPr="002F50BD">
        <w:rPr>
          <w:rFonts w:ascii="Verdana" w:hAnsi="Verdana"/>
          <w:sz w:val="20"/>
          <w:lang w:val="pt-BR"/>
        </w:rPr>
        <w:t>,</w:t>
      </w:r>
      <w:r w:rsidR="004756C1" w:rsidRPr="002F50BD">
        <w:rPr>
          <w:rFonts w:ascii="Verdana" w:hAnsi="Verdana"/>
          <w:sz w:val="20"/>
          <w:lang w:val="pt-BR"/>
        </w:rPr>
        <w:t xml:space="preserve"> </w:t>
      </w:r>
      <w:r w:rsidR="00B756DC" w:rsidRPr="002F50BD">
        <w:rPr>
          <w:rFonts w:ascii="Verdana" w:hAnsi="Verdana"/>
          <w:sz w:val="20"/>
          <w:lang w:val="pt-BR"/>
        </w:rPr>
        <w:t xml:space="preserve">é preciso </w:t>
      </w:r>
      <w:r w:rsidR="004756C1" w:rsidRPr="002F50BD">
        <w:rPr>
          <w:rFonts w:ascii="Verdana" w:hAnsi="Verdana"/>
          <w:sz w:val="20"/>
          <w:lang w:val="pt-BR"/>
        </w:rPr>
        <w:t>acudir</w:t>
      </w:r>
      <w:r w:rsidRPr="002F50BD">
        <w:rPr>
          <w:rFonts w:ascii="Verdana" w:hAnsi="Verdana"/>
          <w:sz w:val="20"/>
          <w:lang w:val="pt-BR"/>
        </w:rPr>
        <w:t xml:space="preserve"> ao artigo</w:t>
      </w:r>
      <w:r w:rsidR="004756C1" w:rsidRPr="002F50BD">
        <w:rPr>
          <w:rFonts w:ascii="Verdana" w:hAnsi="Verdana"/>
          <w:sz w:val="20"/>
          <w:lang w:val="pt-BR"/>
        </w:rPr>
        <w:t xml:space="preserve"> </w:t>
      </w:r>
      <w:r w:rsidR="00063B47" w:rsidRPr="002F50BD">
        <w:rPr>
          <w:rFonts w:ascii="Verdana" w:hAnsi="Verdana"/>
          <w:sz w:val="20"/>
          <w:lang w:val="pt-BR"/>
        </w:rPr>
        <w:t>10</w:t>
      </w:r>
      <w:r w:rsidR="004756C1" w:rsidRPr="002F50BD">
        <w:rPr>
          <w:rFonts w:ascii="Verdana" w:hAnsi="Verdana"/>
          <w:sz w:val="20"/>
          <w:lang w:val="pt-BR"/>
        </w:rPr>
        <w:t>.</w:t>
      </w:r>
      <w:r w:rsidR="00063B47" w:rsidRPr="002F50BD">
        <w:rPr>
          <w:rFonts w:ascii="Verdana" w:hAnsi="Verdana"/>
          <w:sz w:val="20"/>
          <w:lang w:val="pt-BR"/>
        </w:rPr>
        <w:t>2</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Protocolo de San Salvador, consider</w:t>
      </w:r>
      <w:r w:rsidR="00B756DC" w:rsidRPr="002F50BD">
        <w:rPr>
          <w:rFonts w:ascii="Verdana" w:hAnsi="Verdana"/>
          <w:sz w:val="20"/>
          <w:lang w:val="pt-BR"/>
        </w:rPr>
        <w:t>a</w:t>
      </w:r>
      <w:r w:rsidR="004756C1" w:rsidRPr="002F50BD">
        <w:rPr>
          <w:rFonts w:ascii="Verdana" w:hAnsi="Verdana"/>
          <w:sz w:val="20"/>
          <w:lang w:val="pt-BR"/>
        </w:rPr>
        <w:t>ndo</w:t>
      </w:r>
      <w:r w:rsidR="00B756DC" w:rsidRPr="002F50BD">
        <w:rPr>
          <w:rFonts w:ascii="Verdana" w:hAnsi="Verdana"/>
          <w:sz w:val="20"/>
          <w:lang w:val="pt-BR"/>
        </w:rPr>
        <w:t>-</w:t>
      </w:r>
      <w:r w:rsidR="004756C1" w:rsidRPr="002F50BD">
        <w:rPr>
          <w:rFonts w:ascii="Verdana" w:hAnsi="Verdana"/>
          <w:sz w:val="20"/>
          <w:lang w:val="pt-BR"/>
        </w:rPr>
        <w:t>o como</w:t>
      </w:r>
      <w:r w:rsidRPr="002F50BD">
        <w:rPr>
          <w:rFonts w:ascii="Verdana" w:hAnsi="Verdana"/>
          <w:sz w:val="20"/>
          <w:lang w:val="pt-BR"/>
        </w:rPr>
        <w:t xml:space="preserve"> uma </w:t>
      </w:r>
      <w:r w:rsidR="004756C1" w:rsidRPr="002F50BD">
        <w:rPr>
          <w:rFonts w:ascii="Verdana" w:hAnsi="Verdana"/>
          <w:sz w:val="20"/>
          <w:lang w:val="pt-BR"/>
        </w:rPr>
        <w:t xml:space="preserve">norma </w:t>
      </w:r>
      <w:r w:rsidR="00FC6B22" w:rsidRPr="002F50BD">
        <w:rPr>
          <w:rFonts w:ascii="Verdana" w:hAnsi="Verdana"/>
          <w:sz w:val="20"/>
          <w:lang w:val="pt-BR"/>
        </w:rPr>
        <w:t>com a qual</w:t>
      </w:r>
      <w:r w:rsidR="004756C1" w:rsidRPr="002F50BD">
        <w:rPr>
          <w:rFonts w:ascii="Verdana" w:hAnsi="Verdana"/>
          <w:sz w:val="20"/>
          <w:lang w:val="pt-BR"/>
        </w:rPr>
        <w:t xml:space="preserve"> </w:t>
      </w:r>
      <w:r w:rsidR="00475EBB" w:rsidRPr="002F50BD">
        <w:rPr>
          <w:rFonts w:ascii="Verdana" w:hAnsi="Verdana"/>
          <w:sz w:val="20"/>
          <w:lang w:val="pt-BR"/>
        </w:rPr>
        <w:t xml:space="preserve">podem </w:t>
      </w:r>
      <w:r w:rsidR="004756C1" w:rsidRPr="002F50BD">
        <w:rPr>
          <w:rFonts w:ascii="Verdana" w:hAnsi="Verdana"/>
          <w:sz w:val="20"/>
          <w:lang w:val="pt-BR"/>
        </w:rPr>
        <w:t>ser interpretadas</w:t>
      </w:r>
      <w:r w:rsidRPr="002F50BD">
        <w:rPr>
          <w:rFonts w:ascii="Verdana" w:hAnsi="Verdana"/>
          <w:sz w:val="20"/>
          <w:lang w:val="pt-BR"/>
        </w:rPr>
        <w:t xml:space="preserve"> as </w:t>
      </w:r>
      <w:r w:rsidR="004756C1" w:rsidRPr="002F50BD">
        <w:rPr>
          <w:rFonts w:ascii="Verdana" w:hAnsi="Verdana"/>
          <w:sz w:val="20"/>
          <w:lang w:val="pt-BR"/>
        </w:rPr>
        <w:t>medidas positivas que</w:t>
      </w:r>
      <w:r w:rsidRPr="002F50BD">
        <w:rPr>
          <w:rFonts w:ascii="Verdana" w:hAnsi="Verdana"/>
          <w:sz w:val="20"/>
          <w:lang w:val="pt-BR"/>
        </w:rPr>
        <w:t xml:space="preserve"> o </w:t>
      </w:r>
      <w:r w:rsidR="004756C1" w:rsidRPr="002F50BD">
        <w:rPr>
          <w:rFonts w:ascii="Verdana" w:hAnsi="Verdana"/>
          <w:sz w:val="20"/>
          <w:lang w:val="pt-BR"/>
        </w:rPr>
        <w:t xml:space="preserve">Estado </w:t>
      </w:r>
      <w:r w:rsidR="005F10C4" w:rsidRPr="002F50BD">
        <w:rPr>
          <w:rFonts w:ascii="Verdana" w:hAnsi="Verdana"/>
          <w:sz w:val="20"/>
          <w:lang w:val="pt-BR"/>
        </w:rPr>
        <w:t xml:space="preserve">tinha </w:t>
      </w:r>
      <w:r w:rsidRPr="002F50BD">
        <w:rPr>
          <w:rFonts w:ascii="Verdana" w:hAnsi="Verdana"/>
          <w:sz w:val="20"/>
          <w:lang w:val="pt-BR"/>
        </w:rPr>
        <w:t>a obrigação</w:t>
      </w:r>
      <w:r w:rsidR="004756C1" w:rsidRPr="002F50BD">
        <w:rPr>
          <w:rFonts w:ascii="Verdana" w:hAnsi="Verdana"/>
          <w:sz w:val="20"/>
          <w:lang w:val="pt-BR"/>
        </w:rPr>
        <w:t xml:space="preserve"> de </w:t>
      </w:r>
      <w:r w:rsidR="00911F24" w:rsidRPr="002F50BD">
        <w:rPr>
          <w:rFonts w:ascii="Verdana" w:hAnsi="Verdana"/>
          <w:sz w:val="20"/>
          <w:lang w:val="pt-BR"/>
        </w:rPr>
        <w:t>adotar</w:t>
      </w:r>
      <w:r w:rsidR="004756C1" w:rsidRPr="002F50BD">
        <w:rPr>
          <w:rFonts w:ascii="Verdana" w:hAnsi="Verdana"/>
          <w:sz w:val="20"/>
          <w:lang w:val="pt-BR"/>
        </w:rPr>
        <w:t xml:space="preserve"> para </w:t>
      </w:r>
      <w:r w:rsidRPr="002F50BD">
        <w:rPr>
          <w:rFonts w:ascii="Verdana" w:hAnsi="Verdana"/>
          <w:sz w:val="20"/>
          <w:lang w:val="pt-BR"/>
        </w:rPr>
        <w:t>garantir</w:t>
      </w:r>
      <w:r w:rsidR="004756C1" w:rsidRPr="002F50BD">
        <w:rPr>
          <w:rFonts w:ascii="Verdana" w:hAnsi="Verdana"/>
          <w:sz w:val="20"/>
          <w:lang w:val="pt-BR"/>
        </w:rPr>
        <w:t>,</w:t>
      </w:r>
      <w:r w:rsidRPr="002F50BD">
        <w:rPr>
          <w:rFonts w:ascii="Verdana" w:hAnsi="Verdana"/>
          <w:sz w:val="20"/>
          <w:lang w:val="pt-BR"/>
        </w:rPr>
        <w:t xml:space="preserve"> neste </w:t>
      </w:r>
      <w:r w:rsidR="004756C1" w:rsidRPr="002F50BD">
        <w:rPr>
          <w:rFonts w:ascii="Verdana" w:hAnsi="Verdana"/>
          <w:sz w:val="20"/>
          <w:lang w:val="pt-BR"/>
        </w:rPr>
        <w:t>caso,</w:t>
      </w:r>
      <w:r w:rsidRPr="002F50BD">
        <w:rPr>
          <w:rFonts w:ascii="Verdana" w:hAnsi="Verdana"/>
          <w:sz w:val="20"/>
          <w:lang w:val="pt-BR"/>
        </w:rPr>
        <w:t xml:space="preserve"> o direito à </w:t>
      </w:r>
      <w:r w:rsidR="004756C1" w:rsidRPr="002F50BD">
        <w:rPr>
          <w:rFonts w:ascii="Verdana" w:hAnsi="Verdana"/>
          <w:sz w:val="20"/>
          <w:lang w:val="pt-BR"/>
        </w:rPr>
        <w:t>vida</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Comunidade falecid</w:t>
      </w:r>
      <w:r w:rsidR="004756C1" w:rsidRPr="002F50BD">
        <w:rPr>
          <w:rFonts w:ascii="Verdana" w:hAnsi="Verdana"/>
          <w:sz w:val="20"/>
          <w:lang w:val="pt-BR"/>
        </w:rPr>
        <w:t>os</w:t>
      </w:r>
      <w:r w:rsidRPr="002F50BD">
        <w:rPr>
          <w:rFonts w:ascii="Verdana" w:hAnsi="Verdana"/>
          <w:sz w:val="20"/>
          <w:lang w:val="pt-BR"/>
        </w:rPr>
        <w:t xml:space="preserve"> </w:t>
      </w:r>
      <w:r w:rsidR="005F10C4" w:rsidRPr="002F50BD">
        <w:rPr>
          <w:rFonts w:ascii="Verdana" w:hAnsi="Verdana"/>
          <w:sz w:val="20"/>
          <w:lang w:val="pt-BR"/>
        </w:rPr>
        <w:t>à margem da estrada</w:t>
      </w:r>
      <w:r w:rsidR="004756C1" w:rsidRPr="002F50BD">
        <w:rPr>
          <w:rFonts w:ascii="Verdana" w:hAnsi="Verdana"/>
          <w:sz w:val="20"/>
          <w:lang w:val="pt-BR"/>
        </w:rPr>
        <w:t>;</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 xml:space="preserve">vulnerabilidade </w:t>
      </w:r>
      <w:r w:rsidR="004756C1" w:rsidRPr="002F50BD">
        <w:rPr>
          <w:rFonts w:ascii="Verdana" w:hAnsi="Verdana"/>
          <w:sz w:val="20"/>
          <w:lang w:val="pt-BR"/>
        </w:rPr>
        <w:t>extrema, indefens</w:t>
      </w:r>
      <w:r w:rsidR="005F10C4" w:rsidRPr="002F50BD">
        <w:rPr>
          <w:rFonts w:ascii="Verdana" w:hAnsi="Verdana"/>
          <w:sz w:val="20"/>
          <w:lang w:val="pt-BR"/>
        </w:rPr>
        <w:t xml:space="preserve">ão </w:t>
      </w:r>
      <w:r w:rsidRPr="002F50BD">
        <w:rPr>
          <w:rFonts w:ascii="Verdana" w:hAnsi="Verdana"/>
          <w:sz w:val="20"/>
          <w:lang w:val="pt-BR"/>
        </w:rPr>
        <w:t xml:space="preserve">e risco da Comunidade </w:t>
      </w:r>
      <w:r w:rsidR="004756C1" w:rsidRPr="002F50BD">
        <w:rPr>
          <w:rFonts w:ascii="Verdana" w:hAnsi="Verdana"/>
          <w:sz w:val="20"/>
          <w:lang w:val="pt-BR"/>
        </w:rPr>
        <w:t>Yakye Axa</w:t>
      </w:r>
      <w:r w:rsidRPr="002F50BD">
        <w:rPr>
          <w:rFonts w:ascii="Verdana" w:hAnsi="Verdana"/>
          <w:sz w:val="20"/>
          <w:lang w:val="pt-BR"/>
        </w:rPr>
        <w:t xml:space="preserve"> estão </w:t>
      </w:r>
      <w:r w:rsidR="004756C1" w:rsidRPr="002F50BD">
        <w:rPr>
          <w:rFonts w:ascii="Verdana" w:hAnsi="Verdana"/>
          <w:sz w:val="20"/>
          <w:lang w:val="pt-BR"/>
        </w:rPr>
        <w:t xml:space="preserve">dadas, </w:t>
      </w:r>
      <w:r w:rsidR="00911F24" w:rsidRPr="002F50BD">
        <w:rPr>
          <w:rFonts w:ascii="Verdana" w:hAnsi="Verdana"/>
          <w:sz w:val="20"/>
          <w:lang w:val="pt-BR"/>
        </w:rPr>
        <w:t>naquilo que é pertinente ao caso</w:t>
      </w:r>
      <w:r w:rsidR="004756C1" w:rsidRPr="002F50BD">
        <w:rPr>
          <w:rFonts w:ascii="Verdana" w:hAnsi="Verdana"/>
          <w:sz w:val="20"/>
          <w:lang w:val="pt-BR"/>
        </w:rPr>
        <w:t>,</w:t>
      </w:r>
      <w:r w:rsidRPr="002F50BD">
        <w:rPr>
          <w:rFonts w:ascii="Verdana" w:hAnsi="Verdana"/>
          <w:sz w:val="20"/>
          <w:lang w:val="pt-BR"/>
        </w:rPr>
        <w:t xml:space="preserve"> pelas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w:t>
      </w:r>
      <w:r w:rsidR="004076AD" w:rsidRPr="002F50BD">
        <w:rPr>
          <w:rFonts w:ascii="Verdana" w:hAnsi="Verdana"/>
          <w:sz w:val="20"/>
          <w:lang w:val="pt-BR"/>
        </w:rPr>
        <w:t>materiais</w:t>
      </w:r>
      <w:r w:rsidRPr="002F50BD">
        <w:rPr>
          <w:rFonts w:ascii="Verdana" w:hAnsi="Verdana"/>
          <w:sz w:val="20"/>
          <w:lang w:val="pt-BR"/>
        </w:rPr>
        <w:t xml:space="preserve"> e econômic</w:t>
      </w:r>
      <w:r w:rsidR="004756C1" w:rsidRPr="002F50BD">
        <w:rPr>
          <w:rFonts w:ascii="Verdana" w:hAnsi="Verdana"/>
          <w:sz w:val="20"/>
          <w:lang w:val="pt-BR"/>
        </w:rPr>
        <w:t>as de extrema precariedad</w:t>
      </w:r>
      <w:r w:rsidR="005F10C4" w:rsidRPr="002F50BD">
        <w:rPr>
          <w:rFonts w:ascii="Verdana" w:hAnsi="Verdana"/>
          <w:sz w:val="20"/>
          <w:lang w:val="pt-BR"/>
        </w:rPr>
        <w:t>e</w:t>
      </w:r>
      <w:r w:rsidRPr="002F50BD">
        <w:rPr>
          <w:rFonts w:ascii="Verdana" w:hAnsi="Verdana"/>
          <w:sz w:val="20"/>
          <w:lang w:val="pt-BR"/>
        </w:rPr>
        <w:t xml:space="preserve"> e </w:t>
      </w:r>
      <w:r w:rsidR="004756C1" w:rsidRPr="002F50BD">
        <w:rPr>
          <w:rFonts w:ascii="Verdana" w:hAnsi="Verdana"/>
          <w:sz w:val="20"/>
          <w:lang w:val="pt-BR"/>
        </w:rPr>
        <w:t>pobreza</w:t>
      </w:r>
      <w:r w:rsidRPr="002F50BD">
        <w:rPr>
          <w:rFonts w:ascii="Verdana" w:hAnsi="Verdana"/>
          <w:sz w:val="20"/>
          <w:lang w:val="pt-BR"/>
        </w:rPr>
        <w:t xml:space="preserve"> nas </w:t>
      </w:r>
      <w:r w:rsidR="004756C1" w:rsidRPr="002F50BD">
        <w:rPr>
          <w:rFonts w:ascii="Verdana" w:hAnsi="Verdana"/>
          <w:sz w:val="20"/>
          <w:lang w:val="pt-BR"/>
        </w:rPr>
        <w:t>qu</w:t>
      </w:r>
      <w:r w:rsidR="005F10C4" w:rsidRPr="002F50BD">
        <w:rPr>
          <w:rFonts w:ascii="Verdana" w:hAnsi="Verdana"/>
          <w:sz w:val="20"/>
          <w:lang w:val="pt-BR"/>
        </w:rPr>
        <w:t>ais</w:t>
      </w:r>
      <w:r w:rsidR="004756C1" w:rsidRPr="002F50BD">
        <w:rPr>
          <w:rFonts w:ascii="Verdana" w:hAnsi="Verdana"/>
          <w:sz w:val="20"/>
          <w:lang w:val="pt-BR"/>
        </w:rPr>
        <w:t xml:space="preserve"> vive</w:t>
      </w:r>
      <w:r w:rsidR="005F10C4" w:rsidRPr="002F50BD">
        <w:rPr>
          <w:rFonts w:ascii="Verdana" w:hAnsi="Verdana"/>
          <w:sz w:val="20"/>
          <w:lang w:val="pt-BR"/>
        </w:rPr>
        <w:t>m</w:t>
      </w:r>
      <w:r w:rsidR="004756C1" w:rsidRPr="002F50BD">
        <w:rPr>
          <w:rFonts w:ascii="Verdana" w:hAnsi="Verdana"/>
          <w:sz w:val="20"/>
          <w:lang w:val="pt-BR"/>
        </w:rPr>
        <w:t>, s</w:t>
      </w:r>
      <w:r w:rsidR="005F10C4" w:rsidRPr="002F50BD">
        <w:rPr>
          <w:rFonts w:ascii="Verdana" w:hAnsi="Verdana"/>
          <w:sz w:val="20"/>
          <w:lang w:val="pt-BR"/>
        </w:rPr>
        <w:t>o</w:t>
      </w:r>
      <w:r w:rsidR="004756C1" w:rsidRPr="002F50BD">
        <w:rPr>
          <w:rFonts w:ascii="Verdana" w:hAnsi="Verdana"/>
          <w:sz w:val="20"/>
          <w:lang w:val="pt-BR"/>
        </w:rPr>
        <w:t>mad</w:t>
      </w:r>
      <w:r w:rsidR="005F10C4" w:rsidRPr="002F50BD">
        <w:rPr>
          <w:rFonts w:ascii="Verdana" w:hAnsi="Verdana"/>
          <w:sz w:val="20"/>
          <w:lang w:val="pt-BR"/>
        </w:rPr>
        <w:t>as</w:t>
      </w:r>
      <w:r w:rsidRPr="002F50BD">
        <w:rPr>
          <w:rFonts w:ascii="Verdana" w:hAnsi="Verdana"/>
          <w:sz w:val="20"/>
          <w:lang w:val="pt-BR"/>
        </w:rPr>
        <w:t xml:space="preserve"> às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w:t>
      </w:r>
      <w:r w:rsidR="005F10C4" w:rsidRPr="002F50BD">
        <w:rPr>
          <w:rFonts w:ascii="Verdana" w:hAnsi="Verdana"/>
          <w:sz w:val="20"/>
          <w:lang w:val="pt-BR"/>
        </w:rPr>
        <w:t>falta de acesso geográfico</w:t>
      </w:r>
      <w:r w:rsidRPr="002F50BD">
        <w:rPr>
          <w:rFonts w:ascii="Verdana" w:hAnsi="Verdana"/>
          <w:sz w:val="20"/>
          <w:lang w:val="pt-BR"/>
        </w:rPr>
        <w:t xml:space="preserve"> e econômic</w:t>
      </w:r>
      <w:r w:rsidR="005F10C4" w:rsidRPr="002F50BD">
        <w:rPr>
          <w:rFonts w:ascii="Verdana" w:hAnsi="Verdana"/>
          <w:sz w:val="20"/>
          <w:lang w:val="pt-BR"/>
        </w:rPr>
        <w:t>o</w:t>
      </w:r>
      <w:r w:rsidR="004756C1" w:rsidRPr="002F50BD">
        <w:rPr>
          <w:rFonts w:ascii="Verdana" w:hAnsi="Verdana"/>
          <w:sz w:val="20"/>
          <w:lang w:val="pt-BR"/>
        </w:rPr>
        <w:t xml:space="preserve"> </w:t>
      </w:r>
      <w:r w:rsidR="005F10C4" w:rsidRPr="002F50BD">
        <w:rPr>
          <w:rFonts w:ascii="Verdana" w:hAnsi="Verdana"/>
          <w:sz w:val="20"/>
          <w:lang w:val="pt-BR"/>
        </w:rPr>
        <w:t xml:space="preserve">à </w:t>
      </w:r>
      <w:r w:rsidRPr="002F50BD">
        <w:rPr>
          <w:rFonts w:ascii="Verdana" w:hAnsi="Verdana"/>
          <w:sz w:val="20"/>
          <w:lang w:val="pt-BR"/>
        </w:rPr>
        <w:t>atenção</w:t>
      </w:r>
      <w:r w:rsidR="004756C1" w:rsidRPr="002F50BD">
        <w:rPr>
          <w:rFonts w:ascii="Verdana" w:hAnsi="Verdana"/>
          <w:sz w:val="20"/>
          <w:lang w:val="pt-BR"/>
        </w:rPr>
        <w:t xml:space="preserve"> médica</w:t>
      </w:r>
      <w:r w:rsidRPr="002F50BD">
        <w:rPr>
          <w:rFonts w:ascii="Verdana" w:hAnsi="Verdana"/>
          <w:sz w:val="20"/>
          <w:lang w:val="pt-BR"/>
        </w:rPr>
        <w:t xml:space="preserve"> nas </w:t>
      </w:r>
      <w:r w:rsidR="005F10C4" w:rsidRPr="002F50BD">
        <w:rPr>
          <w:rFonts w:ascii="Verdana" w:hAnsi="Verdana"/>
          <w:sz w:val="20"/>
          <w:lang w:val="pt-BR"/>
        </w:rPr>
        <w:t>quais</w:t>
      </w:r>
      <w:r w:rsidR="004756C1" w:rsidRPr="002F50BD">
        <w:rPr>
          <w:rFonts w:ascii="Verdana" w:hAnsi="Verdana"/>
          <w:sz w:val="20"/>
          <w:lang w:val="pt-BR"/>
        </w:rPr>
        <w:t xml:space="preserve"> permanece</w:t>
      </w:r>
      <w:r w:rsidR="005F10C4" w:rsidRPr="002F50BD">
        <w:rPr>
          <w:rFonts w:ascii="Verdana" w:hAnsi="Verdana"/>
          <w:sz w:val="20"/>
          <w:lang w:val="pt-BR"/>
        </w:rPr>
        <w:t>m</w:t>
      </w:r>
      <w:r w:rsidR="004756C1" w:rsidRPr="002F50BD">
        <w:rPr>
          <w:rFonts w:ascii="Verdana" w:hAnsi="Verdana"/>
          <w:sz w:val="20"/>
          <w:lang w:val="pt-BR"/>
        </w:rPr>
        <w:t>;</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é </w:t>
      </w:r>
      <w:r w:rsidR="004756C1" w:rsidRPr="002F50BD">
        <w:rPr>
          <w:rFonts w:ascii="Verdana" w:hAnsi="Verdana"/>
          <w:sz w:val="20"/>
          <w:lang w:val="pt-BR"/>
        </w:rPr>
        <w:t>respons</w:t>
      </w:r>
      <w:r w:rsidR="00B0045F" w:rsidRPr="002F50BD">
        <w:rPr>
          <w:rFonts w:ascii="Verdana" w:hAnsi="Verdana"/>
          <w:sz w:val="20"/>
          <w:lang w:val="pt-BR"/>
        </w:rPr>
        <w:t>ável</w:t>
      </w:r>
      <w:r w:rsidR="004756C1" w:rsidRPr="002F50BD">
        <w:rPr>
          <w:rFonts w:ascii="Verdana" w:hAnsi="Verdana"/>
          <w:sz w:val="20"/>
          <w:lang w:val="pt-BR"/>
        </w:rPr>
        <w:t>,</w:t>
      </w:r>
      <w:r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w:t>
      </w:r>
      <w:r w:rsidR="005F10C4" w:rsidRPr="002F50BD">
        <w:rPr>
          <w:rFonts w:ascii="Verdana" w:hAnsi="Verdana"/>
          <w:sz w:val="20"/>
          <w:lang w:val="pt-BR"/>
        </w:rPr>
        <w:t>pel</w:t>
      </w:r>
      <w:r w:rsidRPr="002F50BD">
        <w:rPr>
          <w:rFonts w:ascii="Verdana" w:hAnsi="Verdana"/>
          <w:sz w:val="20"/>
          <w:lang w:val="pt-BR"/>
        </w:rPr>
        <w:t xml:space="preserve">a </w:t>
      </w:r>
      <w:r w:rsidR="004756C1" w:rsidRPr="002F50BD">
        <w:rPr>
          <w:rFonts w:ascii="Verdana" w:hAnsi="Verdana"/>
          <w:sz w:val="20"/>
          <w:lang w:val="pt-BR"/>
        </w:rPr>
        <w:t>viola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direito à </w:t>
      </w:r>
      <w:r w:rsidR="004756C1" w:rsidRPr="002F50BD">
        <w:rPr>
          <w:rFonts w:ascii="Verdana" w:hAnsi="Verdana"/>
          <w:sz w:val="20"/>
          <w:lang w:val="pt-BR"/>
        </w:rPr>
        <w:t>vida</w:t>
      </w:r>
      <w:r w:rsidRPr="002F50BD">
        <w:rPr>
          <w:rFonts w:ascii="Verdana" w:hAnsi="Verdana"/>
          <w:sz w:val="20"/>
          <w:lang w:val="pt-BR"/>
        </w:rPr>
        <w:t xml:space="preserve"> dos </w:t>
      </w:r>
      <w:r w:rsidR="00CF451D">
        <w:rPr>
          <w:rFonts w:ascii="Verdana" w:hAnsi="Verdana"/>
          <w:sz w:val="20"/>
          <w:lang w:val="pt-BR"/>
        </w:rPr>
        <w:t>16</w:t>
      </w:r>
      <w:r w:rsidR="004756C1"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que </w:t>
      </w:r>
      <w:r w:rsidR="005F10C4" w:rsidRPr="002F50BD">
        <w:rPr>
          <w:rFonts w:ascii="Verdana" w:hAnsi="Verdana"/>
          <w:sz w:val="20"/>
          <w:lang w:val="pt-BR"/>
        </w:rPr>
        <w:t xml:space="preserve">morreram </w:t>
      </w:r>
      <w:r w:rsidRPr="002F50BD">
        <w:rPr>
          <w:rFonts w:ascii="Verdana" w:hAnsi="Verdana"/>
          <w:sz w:val="20"/>
          <w:lang w:val="pt-BR"/>
        </w:rPr>
        <w:t xml:space="preserve">em </w:t>
      </w:r>
      <w:r w:rsidR="004076AD" w:rsidRPr="002F50BD">
        <w:rPr>
          <w:rFonts w:ascii="Verdana" w:hAnsi="Verdana"/>
          <w:sz w:val="20"/>
          <w:lang w:val="pt-BR"/>
        </w:rPr>
        <w:t xml:space="preserve">seu </w:t>
      </w:r>
      <w:r w:rsidRPr="002F50BD">
        <w:rPr>
          <w:rFonts w:ascii="Verdana" w:hAnsi="Verdana"/>
          <w:sz w:val="20"/>
          <w:lang w:val="pt-BR"/>
        </w:rPr>
        <w:t>atual</w:t>
      </w:r>
      <w:r w:rsidR="004756C1" w:rsidRPr="002F50BD">
        <w:rPr>
          <w:rFonts w:ascii="Verdana" w:hAnsi="Verdana"/>
          <w:sz w:val="20"/>
          <w:lang w:val="pt-BR"/>
        </w:rPr>
        <w:t xml:space="preserve"> </w:t>
      </w:r>
      <w:r w:rsidR="005F10C4" w:rsidRPr="002F50BD">
        <w:rPr>
          <w:rFonts w:ascii="Verdana" w:hAnsi="Verdana"/>
          <w:sz w:val="20"/>
          <w:lang w:val="pt-BR"/>
        </w:rPr>
        <w:t xml:space="preserve">local </w:t>
      </w:r>
      <w:r w:rsidR="004756C1" w:rsidRPr="002F50BD">
        <w:rPr>
          <w:rFonts w:ascii="Verdana" w:hAnsi="Verdana"/>
          <w:sz w:val="20"/>
          <w:lang w:val="pt-BR"/>
        </w:rPr>
        <w:t xml:space="preserve">de </w:t>
      </w:r>
      <w:r w:rsidR="00AB454A" w:rsidRPr="002F50BD">
        <w:rPr>
          <w:rFonts w:ascii="Verdana" w:hAnsi="Verdana"/>
          <w:sz w:val="20"/>
          <w:lang w:val="pt-BR"/>
        </w:rPr>
        <w:t>assentamento</w:t>
      </w:r>
      <w:r w:rsidR="004756C1" w:rsidRPr="002F50BD">
        <w:rPr>
          <w:rFonts w:ascii="Verdana" w:hAnsi="Verdana"/>
          <w:sz w:val="20"/>
          <w:lang w:val="pt-BR"/>
        </w:rPr>
        <w:t xml:space="preserve">, como </w:t>
      </w:r>
      <w:r w:rsidRPr="002F50BD">
        <w:rPr>
          <w:rFonts w:ascii="Verdana" w:hAnsi="Verdana"/>
          <w:sz w:val="20"/>
          <w:lang w:val="pt-BR"/>
        </w:rPr>
        <w:t xml:space="preserve">consequência das </w:t>
      </w:r>
      <w:r w:rsidR="00A93AB9" w:rsidRPr="002F50BD">
        <w:rPr>
          <w:rFonts w:ascii="Verdana" w:hAnsi="Verdana"/>
          <w:sz w:val="20"/>
          <w:lang w:val="pt-BR"/>
        </w:rPr>
        <w:t>precária</w:t>
      </w:r>
      <w:r w:rsidR="004756C1" w:rsidRPr="002F50BD">
        <w:rPr>
          <w:rFonts w:ascii="Verdana" w:hAnsi="Verdana"/>
          <w:sz w:val="20"/>
          <w:lang w:val="pt-BR"/>
        </w:rPr>
        <w:t>s condi</w:t>
      </w:r>
      <w:r w:rsidRPr="002F50BD">
        <w:rPr>
          <w:rFonts w:ascii="Verdana" w:hAnsi="Verdana"/>
          <w:sz w:val="20"/>
          <w:lang w:val="pt-BR"/>
        </w:rPr>
        <w:t>ções</w:t>
      </w:r>
      <w:r w:rsidR="004756C1" w:rsidRPr="002F50BD">
        <w:rPr>
          <w:rFonts w:ascii="Verdana" w:hAnsi="Verdana"/>
          <w:sz w:val="20"/>
          <w:lang w:val="pt-BR"/>
        </w:rPr>
        <w:t xml:space="preserve"> médico-</w:t>
      </w:r>
      <w:r w:rsidR="00A50140" w:rsidRPr="002F50BD">
        <w:rPr>
          <w:rFonts w:ascii="Verdana" w:hAnsi="Verdana"/>
          <w:sz w:val="20"/>
          <w:lang w:val="pt-BR"/>
        </w:rPr>
        <w:t>sanitária</w:t>
      </w:r>
      <w:r w:rsidR="004756C1" w:rsidRPr="002F50BD">
        <w:rPr>
          <w:rFonts w:ascii="Verdana" w:hAnsi="Verdana"/>
          <w:sz w:val="20"/>
          <w:lang w:val="pt-BR"/>
        </w:rPr>
        <w:t>s, de</w:t>
      </w:r>
      <w:r w:rsidR="00AB454A" w:rsidRPr="002F50BD">
        <w:rPr>
          <w:rFonts w:ascii="Verdana" w:hAnsi="Verdana"/>
          <w:sz w:val="20"/>
          <w:lang w:val="pt-BR"/>
        </w:rPr>
        <w:t xml:space="preserve"> água </w:t>
      </w:r>
      <w:r w:rsidRPr="002F50BD">
        <w:rPr>
          <w:rFonts w:ascii="Verdana" w:hAnsi="Verdana"/>
          <w:sz w:val="20"/>
          <w:lang w:val="pt-BR"/>
        </w:rPr>
        <w:t xml:space="preserve">e </w:t>
      </w:r>
      <w:r w:rsidR="004756C1" w:rsidRPr="002F50BD">
        <w:rPr>
          <w:rFonts w:ascii="Verdana" w:hAnsi="Verdana"/>
          <w:sz w:val="20"/>
          <w:lang w:val="pt-BR"/>
        </w:rPr>
        <w:t>de alimenta</w:t>
      </w:r>
      <w:r w:rsidRPr="002F50BD">
        <w:rPr>
          <w:rFonts w:ascii="Verdana" w:hAnsi="Verdana"/>
          <w:sz w:val="20"/>
          <w:lang w:val="pt-BR"/>
        </w:rPr>
        <w:t xml:space="preserve">ção nas </w:t>
      </w:r>
      <w:r w:rsidR="005F10C4" w:rsidRPr="002F50BD">
        <w:rPr>
          <w:rFonts w:ascii="Verdana" w:hAnsi="Verdana"/>
          <w:sz w:val="20"/>
          <w:lang w:val="pt-BR"/>
        </w:rPr>
        <w:t xml:space="preserve">quais a Comunidade Yakye Axa se viu obrigada </w:t>
      </w:r>
      <w:r w:rsidR="004756C1" w:rsidRPr="002F50BD">
        <w:rPr>
          <w:rFonts w:ascii="Verdana" w:hAnsi="Verdana"/>
          <w:sz w:val="20"/>
          <w:lang w:val="pt-BR"/>
        </w:rPr>
        <w:t xml:space="preserve">a </w:t>
      </w:r>
      <w:r w:rsidRPr="002F50BD">
        <w:rPr>
          <w:rFonts w:ascii="Verdana" w:hAnsi="Verdana"/>
          <w:sz w:val="20"/>
          <w:lang w:val="pt-BR"/>
        </w:rPr>
        <w:t xml:space="preserve">viver </w:t>
      </w:r>
      <w:r w:rsidR="005F10C4" w:rsidRPr="002F50BD">
        <w:rPr>
          <w:rFonts w:ascii="Verdana" w:hAnsi="Verdana"/>
          <w:sz w:val="20"/>
          <w:lang w:val="pt-BR"/>
        </w:rPr>
        <w:t>em função da</w:t>
      </w:r>
      <w:r w:rsidRPr="002F50BD">
        <w:rPr>
          <w:rFonts w:ascii="Verdana" w:hAnsi="Verdana"/>
          <w:sz w:val="20"/>
          <w:lang w:val="pt-BR"/>
        </w:rPr>
        <w:t xml:space="preserve"> </w:t>
      </w:r>
      <w:r w:rsidR="004756C1" w:rsidRPr="002F50BD">
        <w:rPr>
          <w:rFonts w:ascii="Verdana" w:hAnsi="Verdana"/>
          <w:sz w:val="20"/>
          <w:lang w:val="pt-BR"/>
        </w:rPr>
        <w:t>falta de res</w:t>
      </w:r>
      <w:r w:rsidRPr="002F50BD">
        <w:rPr>
          <w:rFonts w:ascii="Verdana" w:hAnsi="Verdana"/>
          <w:sz w:val="20"/>
          <w:lang w:val="pt-BR"/>
        </w:rPr>
        <w:t>posta</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a</w:t>
      </w:r>
      <w:r w:rsidRPr="002F50BD">
        <w:rPr>
          <w:rFonts w:ascii="Verdana" w:hAnsi="Verdana"/>
          <w:sz w:val="20"/>
          <w:lang w:val="pt-BR"/>
        </w:rPr>
        <w:t xml:space="preserve"> e </w:t>
      </w:r>
      <w:r w:rsidR="004756C1" w:rsidRPr="002F50BD">
        <w:rPr>
          <w:rFonts w:ascii="Verdana" w:hAnsi="Verdana"/>
          <w:sz w:val="20"/>
          <w:lang w:val="pt-BR"/>
        </w:rPr>
        <w:t xml:space="preserve">oportuna </w:t>
      </w:r>
      <w:r w:rsidRPr="002F50BD">
        <w:rPr>
          <w:rFonts w:ascii="Verdana" w:hAnsi="Verdana"/>
          <w:sz w:val="20"/>
          <w:lang w:val="pt-BR"/>
        </w:rPr>
        <w:t xml:space="preserve">do </w:t>
      </w:r>
      <w:r w:rsidR="004756C1" w:rsidRPr="002F50BD">
        <w:rPr>
          <w:rFonts w:ascii="Verdana" w:hAnsi="Verdana"/>
          <w:sz w:val="20"/>
          <w:lang w:val="pt-BR"/>
        </w:rPr>
        <w:t>Estado a s</w:t>
      </w:r>
      <w:r w:rsidR="005F10C4" w:rsidRPr="002F50BD">
        <w:rPr>
          <w:rFonts w:ascii="Verdana" w:hAnsi="Verdana"/>
          <w:sz w:val="20"/>
          <w:lang w:val="pt-BR"/>
        </w:rPr>
        <w:t>e</w:t>
      </w:r>
      <w:r w:rsidR="004756C1" w:rsidRPr="002F50BD">
        <w:rPr>
          <w:rFonts w:ascii="Verdana" w:hAnsi="Verdana"/>
          <w:sz w:val="20"/>
          <w:lang w:val="pt-BR"/>
        </w:rPr>
        <w:t xml:space="preserve">u reclamo de </w:t>
      </w:r>
      <w:r w:rsidRPr="002F50BD">
        <w:rPr>
          <w:rFonts w:ascii="Verdana" w:hAnsi="Verdana"/>
          <w:sz w:val="20"/>
          <w:lang w:val="pt-BR"/>
        </w:rPr>
        <w:t>terra</w:t>
      </w:r>
      <w:r w:rsidR="004756C1" w:rsidRPr="002F50BD">
        <w:rPr>
          <w:rFonts w:ascii="Verdana" w:hAnsi="Verdana"/>
          <w:sz w:val="20"/>
          <w:lang w:val="pt-BR"/>
        </w:rPr>
        <w:t xml:space="preserve"> ancestral</w:t>
      </w:r>
      <w:r w:rsidRPr="002F50BD">
        <w:rPr>
          <w:rFonts w:ascii="Verdana" w:hAnsi="Verdana"/>
          <w:sz w:val="20"/>
          <w:lang w:val="pt-BR"/>
        </w:rPr>
        <w:t xml:space="preserve"> e</w:t>
      </w:r>
      <w:r w:rsidR="004756C1" w:rsidRPr="002F50BD">
        <w:rPr>
          <w:rFonts w:ascii="Verdana" w:hAnsi="Verdana"/>
          <w:sz w:val="20"/>
          <w:lang w:val="pt-BR"/>
        </w:rPr>
        <w:t xml:space="preserve"> que, </w:t>
      </w:r>
      <w:r w:rsidRPr="002F50BD">
        <w:rPr>
          <w:rFonts w:ascii="Verdana" w:hAnsi="Verdana"/>
          <w:sz w:val="20"/>
          <w:lang w:val="pt-BR"/>
        </w:rPr>
        <w:t>ademais</w:t>
      </w:r>
      <w:r w:rsidR="004756C1" w:rsidRPr="002F50BD">
        <w:rPr>
          <w:rFonts w:ascii="Verdana" w:hAnsi="Verdana"/>
          <w:sz w:val="20"/>
          <w:lang w:val="pt-BR"/>
        </w:rPr>
        <w:t xml:space="preserve">, </w:t>
      </w:r>
      <w:r w:rsidRPr="002F50BD">
        <w:rPr>
          <w:rFonts w:ascii="Verdana" w:hAnsi="Verdana"/>
          <w:sz w:val="20"/>
          <w:lang w:val="pt-BR"/>
        </w:rPr>
        <w:t>poderia</w:t>
      </w:r>
      <w:r w:rsidR="005F10C4" w:rsidRPr="002F50BD">
        <w:rPr>
          <w:rFonts w:ascii="Verdana" w:hAnsi="Verdana"/>
          <w:sz w:val="20"/>
          <w:lang w:val="pt-BR"/>
        </w:rPr>
        <w:t>m</w:t>
      </w:r>
      <w:r w:rsidR="004756C1" w:rsidRPr="002F50BD">
        <w:rPr>
          <w:rFonts w:ascii="Verdana" w:hAnsi="Verdana"/>
          <w:sz w:val="20"/>
          <w:lang w:val="pt-BR"/>
        </w:rPr>
        <w:t xml:space="preserve"> </w:t>
      </w:r>
      <w:r w:rsidRPr="002F50BD">
        <w:rPr>
          <w:rFonts w:ascii="Verdana" w:hAnsi="Verdana"/>
          <w:sz w:val="20"/>
          <w:lang w:val="pt-BR"/>
        </w:rPr>
        <w:t>ter</w:t>
      </w:r>
      <w:r w:rsidR="004756C1" w:rsidRPr="002F50BD">
        <w:rPr>
          <w:rFonts w:ascii="Verdana" w:hAnsi="Verdana"/>
          <w:sz w:val="20"/>
          <w:lang w:val="pt-BR"/>
        </w:rPr>
        <w:t xml:space="preserve"> sido oportuna</w:t>
      </w:r>
      <w:r w:rsidRPr="002F50BD">
        <w:rPr>
          <w:rFonts w:ascii="Verdana" w:hAnsi="Verdana"/>
          <w:sz w:val="20"/>
          <w:lang w:val="pt-BR"/>
        </w:rPr>
        <w:t xml:space="preserve"> e adequad</w:t>
      </w:r>
      <w:r w:rsidR="004756C1" w:rsidRPr="002F50BD">
        <w:rPr>
          <w:rFonts w:ascii="Verdana" w:hAnsi="Verdana"/>
          <w:sz w:val="20"/>
          <w:lang w:val="pt-BR"/>
        </w:rPr>
        <w:t xml:space="preserve">amente </w:t>
      </w:r>
      <w:r w:rsidR="005F10C4" w:rsidRPr="002F50BD">
        <w:rPr>
          <w:rFonts w:ascii="Verdana" w:hAnsi="Verdana"/>
          <w:sz w:val="20"/>
          <w:lang w:val="pt-BR"/>
        </w:rPr>
        <w:t xml:space="preserve">satisfeitas </w:t>
      </w:r>
      <w:r w:rsidRPr="002F50BD">
        <w:rPr>
          <w:rFonts w:ascii="Verdana" w:hAnsi="Verdana"/>
          <w:sz w:val="20"/>
          <w:lang w:val="pt-BR"/>
        </w:rPr>
        <w:t xml:space="preserve">pelo </w:t>
      </w:r>
      <w:r w:rsidR="004756C1" w:rsidRPr="002F50BD">
        <w:rPr>
          <w:rFonts w:ascii="Verdana" w:hAnsi="Verdana"/>
          <w:sz w:val="20"/>
          <w:lang w:val="pt-BR"/>
        </w:rPr>
        <w:t>Estado</w:t>
      </w:r>
      <w:r w:rsidR="001A0CDE" w:rsidRPr="002F50BD">
        <w:rPr>
          <w:rFonts w:ascii="Verdana" w:hAnsi="Verdana"/>
          <w:sz w:val="20"/>
          <w:lang w:val="pt-BR"/>
        </w:rPr>
        <w:t>. Est</w:t>
      </w:r>
      <w:r w:rsidR="004756C1" w:rsidRPr="002F50BD">
        <w:rPr>
          <w:rFonts w:ascii="Verdana" w:hAnsi="Verdana"/>
          <w:sz w:val="20"/>
          <w:lang w:val="pt-BR"/>
        </w:rPr>
        <w:t xml:space="preserve">as </w:t>
      </w:r>
      <w:r w:rsidRPr="002F50BD">
        <w:rPr>
          <w:rFonts w:ascii="Verdana" w:hAnsi="Verdana"/>
          <w:sz w:val="20"/>
          <w:lang w:val="pt-BR"/>
        </w:rPr>
        <w:t>morte</w:t>
      </w:r>
      <w:r w:rsidR="004756C1" w:rsidRPr="002F50BD">
        <w:rPr>
          <w:rFonts w:ascii="Verdana" w:hAnsi="Verdana"/>
          <w:sz w:val="20"/>
          <w:lang w:val="pt-BR"/>
        </w:rPr>
        <w:t xml:space="preserve">s </w:t>
      </w:r>
      <w:r w:rsidR="005F10C4" w:rsidRPr="002F50BD">
        <w:rPr>
          <w:rFonts w:ascii="Verdana" w:hAnsi="Verdana"/>
          <w:sz w:val="20"/>
          <w:lang w:val="pt-BR"/>
        </w:rPr>
        <w:t xml:space="preserve">poderiam ter sido evitadas </w:t>
      </w:r>
      <w:r w:rsidRPr="002F50BD">
        <w:rPr>
          <w:rFonts w:ascii="Verdana" w:hAnsi="Verdana"/>
          <w:sz w:val="20"/>
          <w:lang w:val="pt-BR"/>
        </w:rPr>
        <w:t xml:space="preserve">se o </w:t>
      </w:r>
      <w:r w:rsidR="004756C1" w:rsidRPr="002F50BD">
        <w:rPr>
          <w:rFonts w:ascii="Verdana" w:hAnsi="Verdana"/>
          <w:sz w:val="20"/>
          <w:lang w:val="pt-BR"/>
        </w:rPr>
        <w:t xml:space="preserve">Estado </w:t>
      </w:r>
      <w:r w:rsidRPr="002F50BD">
        <w:rPr>
          <w:rFonts w:ascii="Verdana" w:hAnsi="Verdana"/>
          <w:sz w:val="20"/>
          <w:lang w:val="pt-BR"/>
        </w:rPr>
        <w:t>tivesse</w:t>
      </w:r>
      <w:r w:rsidR="004756C1" w:rsidRPr="002F50BD">
        <w:rPr>
          <w:rFonts w:ascii="Verdana" w:hAnsi="Verdana"/>
          <w:sz w:val="20"/>
          <w:lang w:val="pt-BR"/>
        </w:rPr>
        <w:t xml:space="preserve"> </w:t>
      </w:r>
      <w:r w:rsidRPr="002F50BD">
        <w:rPr>
          <w:rFonts w:ascii="Verdana" w:hAnsi="Verdana"/>
          <w:sz w:val="20"/>
          <w:lang w:val="pt-BR"/>
        </w:rPr>
        <w:t>adot</w:t>
      </w:r>
      <w:r w:rsidR="004756C1" w:rsidRPr="002F50BD">
        <w:rPr>
          <w:rFonts w:ascii="Verdana" w:hAnsi="Verdana"/>
          <w:sz w:val="20"/>
          <w:lang w:val="pt-BR"/>
        </w:rPr>
        <w:t>ado</w:t>
      </w:r>
      <w:r w:rsidRPr="002F50BD">
        <w:rPr>
          <w:rFonts w:ascii="Verdana" w:hAnsi="Verdana"/>
          <w:sz w:val="20"/>
          <w:lang w:val="pt-BR"/>
        </w:rPr>
        <w:t xml:space="preserve"> as </w:t>
      </w:r>
      <w:r w:rsidR="004756C1" w:rsidRPr="002F50BD">
        <w:rPr>
          <w:rFonts w:ascii="Verdana" w:hAnsi="Verdana"/>
          <w:sz w:val="20"/>
          <w:lang w:val="pt-BR"/>
        </w:rPr>
        <w:t xml:space="preserve">medidas positivas de </w:t>
      </w:r>
      <w:r w:rsidRPr="002F50BD">
        <w:rPr>
          <w:rFonts w:ascii="Verdana" w:hAnsi="Verdana"/>
          <w:sz w:val="20"/>
          <w:lang w:val="pt-BR"/>
        </w:rPr>
        <w:t>proteção</w:t>
      </w:r>
      <w:r w:rsidR="004756C1" w:rsidRPr="002F50BD">
        <w:rPr>
          <w:rFonts w:ascii="Verdana" w:hAnsi="Verdana"/>
          <w:sz w:val="20"/>
          <w:lang w:val="pt-BR"/>
        </w:rPr>
        <w:t xml:space="preserve"> requeridas</w:t>
      </w:r>
      <w:r w:rsidRPr="002F50BD">
        <w:rPr>
          <w:rFonts w:ascii="Verdana" w:hAnsi="Verdana"/>
          <w:sz w:val="20"/>
          <w:lang w:val="pt-BR"/>
        </w:rPr>
        <w:t xml:space="preserve"> pela Comunidade e </w:t>
      </w:r>
      <w:r w:rsidR="004756C1" w:rsidRPr="002F50BD">
        <w:rPr>
          <w:rFonts w:ascii="Verdana" w:hAnsi="Verdana"/>
          <w:sz w:val="20"/>
          <w:lang w:val="pt-BR"/>
        </w:rPr>
        <w:t xml:space="preserve">por </w:t>
      </w:r>
      <w:r w:rsidR="00AB454A" w:rsidRPr="002F50BD">
        <w:rPr>
          <w:rFonts w:ascii="Verdana" w:hAnsi="Verdana"/>
          <w:sz w:val="20"/>
          <w:lang w:val="pt-BR"/>
        </w:rPr>
        <w:t>seus membros</w:t>
      </w:r>
      <w:r w:rsidR="004756C1" w:rsidRPr="002F50BD">
        <w:rPr>
          <w:rFonts w:ascii="Verdana" w:hAnsi="Verdana"/>
          <w:sz w:val="20"/>
          <w:lang w:val="pt-BR"/>
        </w:rPr>
        <w:t xml:space="preserve">; </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direito à </w:t>
      </w:r>
      <w:r w:rsidR="004756C1" w:rsidRPr="002F50BD">
        <w:rPr>
          <w:rFonts w:ascii="Verdana" w:hAnsi="Verdana"/>
          <w:sz w:val="20"/>
          <w:lang w:val="pt-BR"/>
        </w:rPr>
        <w:t xml:space="preserve">vida </w:t>
      </w:r>
      <w:r w:rsidR="00FC6B22" w:rsidRPr="002F50BD">
        <w:rPr>
          <w:rFonts w:ascii="Verdana" w:hAnsi="Verdana"/>
          <w:sz w:val="20"/>
          <w:lang w:val="pt-BR"/>
        </w:rPr>
        <w:t xml:space="preserve">foi </w:t>
      </w:r>
      <w:r w:rsidRPr="002F50BD">
        <w:rPr>
          <w:rFonts w:ascii="Verdana" w:hAnsi="Verdana"/>
          <w:sz w:val="20"/>
          <w:lang w:val="pt-BR"/>
        </w:rPr>
        <w:t>viol</w:t>
      </w:r>
      <w:r w:rsidR="00FC6B22" w:rsidRPr="002F50BD">
        <w:rPr>
          <w:rFonts w:ascii="Verdana" w:hAnsi="Verdana"/>
          <w:sz w:val="20"/>
          <w:lang w:val="pt-BR"/>
        </w:rPr>
        <w:t>ado</w:t>
      </w:r>
      <w:r w:rsidRPr="002F50BD">
        <w:rPr>
          <w:rFonts w:ascii="Verdana" w:hAnsi="Verdana"/>
          <w:sz w:val="20"/>
          <w:lang w:val="pt-BR"/>
        </w:rPr>
        <w:t xml:space="preserve"> também em </w:t>
      </w:r>
      <w:r w:rsidR="005F10C4" w:rsidRPr="002F50BD">
        <w:rPr>
          <w:rFonts w:ascii="Verdana" w:hAnsi="Verdana"/>
          <w:sz w:val="20"/>
          <w:lang w:val="pt-BR"/>
        </w:rPr>
        <w:t xml:space="preserve">detrimento </w:t>
      </w:r>
      <w:r w:rsidRPr="002F50BD">
        <w:rPr>
          <w:rFonts w:ascii="Verdana" w:hAnsi="Verdana"/>
          <w:sz w:val="20"/>
          <w:lang w:val="pt-BR"/>
        </w:rPr>
        <w:t xml:space="preserve">da Comunidade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004756C1" w:rsidRPr="002F50BD">
        <w:rPr>
          <w:rFonts w:ascii="Verdana" w:hAnsi="Verdana"/>
          <w:sz w:val="20"/>
          <w:lang w:val="pt-BR"/>
        </w:rPr>
        <w:t xml:space="preserve"> p</w:t>
      </w:r>
      <w:r w:rsidR="005F10C4" w:rsidRPr="002F50BD">
        <w:rPr>
          <w:rFonts w:ascii="Verdana" w:hAnsi="Verdana"/>
          <w:sz w:val="20"/>
          <w:lang w:val="pt-BR"/>
        </w:rPr>
        <w:t xml:space="preserve">elo impedimento </w:t>
      </w:r>
      <w:r w:rsidR="00911F24" w:rsidRPr="002F50BD">
        <w:rPr>
          <w:rFonts w:ascii="Verdana" w:hAnsi="Verdana"/>
          <w:sz w:val="20"/>
          <w:lang w:val="pt-BR"/>
        </w:rPr>
        <w:t>d</w:t>
      </w:r>
      <w:r w:rsidR="005F10C4" w:rsidRPr="002F50BD">
        <w:rPr>
          <w:rFonts w:ascii="Verdana" w:hAnsi="Verdana"/>
          <w:sz w:val="20"/>
          <w:lang w:val="pt-BR"/>
        </w:rPr>
        <w:t xml:space="preserve">o </w:t>
      </w:r>
      <w:r w:rsidR="004756C1" w:rsidRPr="002F50BD">
        <w:rPr>
          <w:rFonts w:ascii="Verdana" w:hAnsi="Verdana"/>
          <w:sz w:val="20"/>
          <w:lang w:val="pt-BR"/>
        </w:rPr>
        <w:t xml:space="preserve">pleno </w:t>
      </w:r>
      <w:r w:rsidRPr="002F50BD">
        <w:rPr>
          <w:rFonts w:ascii="Verdana" w:hAnsi="Verdana"/>
          <w:sz w:val="20"/>
          <w:lang w:val="pt-BR"/>
        </w:rPr>
        <w:t>exercício</w:t>
      </w:r>
      <w:r w:rsidR="004756C1" w:rsidRPr="002F50BD">
        <w:rPr>
          <w:rFonts w:ascii="Verdana" w:hAnsi="Verdana"/>
          <w:sz w:val="20"/>
          <w:lang w:val="pt-BR"/>
        </w:rPr>
        <w:t xml:space="preserve"> </w:t>
      </w:r>
      <w:r w:rsidRPr="002F50BD">
        <w:rPr>
          <w:rFonts w:ascii="Verdana" w:hAnsi="Verdana"/>
          <w:sz w:val="20"/>
          <w:lang w:val="pt-BR"/>
        </w:rPr>
        <w:t>do direito</w:t>
      </w:r>
      <w:r w:rsidR="004756C1" w:rsidRPr="002F50BD">
        <w:rPr>
          <w:rFonts w:ascii="Verdana" w:hAnsi="Verdana"/>
          <w:sz w:val="20"/>
          <w:lang w:val="pt-BR"/>
        </w:rPr>
        <w:t xml:space="preserve"> de </w:t>
      </w:r>
      <w:r w:rsidRPr="002F50BD">
        <w:rPr>
          <w:rFonts w:ascii="Verdana" w:hAnsi="Verdana"/>
          <w:sz w:val="20"/>
          <w:lang w:val="pt-BR"/>
        </w:rPr>
        <w:t xml:space="preserve">acesso às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que permitir</w:t>
      </w:r>
      <w:r w:rsidR="005F10C4" w:rsidRPr="002F50BD">
        <w:rPr>
          <w:rFonts w:ascii="Verdana" w:hAnsi="Verdana"/>
          <w:sz w:val="20"/>
          <w:lang w:val="pt-BR"/>
        </w:rPr>
        <w:t>iam</w:t>
      </w:r>
      <w:r w:rsidR="004756C1" w:rsidRPr="002F50BD">
        <w:rPr>
          <w:rFonts w:ascii="Verdana" w:hAnsi="Verdana"/>
          <w:sz w:val="20"/>
          <w:lang w:val="pt-BR"/>
        </w:rPr>
        <w:t xml:space="preserve"> a </w:t>
      </w:r>
      <w:r w:rsidR="004076AD" w:rsidRPr="002F50BD">
        <w:rPr>
          <w:rFonts w:ascii="Verdana" w:hAnsi="Verdana"/>
          <w:sz w:val="20"/>
          <w:lang w:val="pt-BR"/>
        </w:rPr>
        <w:t>cada um</w:t>
      </w:r>
      <w:r w:rsidR="005F10C4" w:rsidRPr="002F50BD">
        <w:rPr>
          <w:rFonts w:ascii="Verdana" w:hAnsi="Verdana"/>
          <w:sz w:val="20"/>
          <w:lang w:val="pt-BR"/>
        </w:rPr>
        <w:t xml:space="preserve"> </w:t>
      </w:r>
      <w:r w:rsidR="004076AD" w:rsidRPr="002F50BD">
        <w:rPr>
          <w:rFonts w:ascii="Verdana" w:hAnsi="Verdana"/>
          <w:sz w:val="20"/>
          <w:lang w:val="pt-BR"/>
        </w:rPr>
        <w:t xml:space="preserve">deles </w:t>
      </w:r>
      <w:r w:rsidRPr="002F50BD">
        <w:rPr>
          <w:rFonts w:ascii="Verdana" w:hAnsi="Verdana"/>
          <w:sz w:val="20"/>
          <w:lang w:val="pt-BR"/>
        </w:rPr>
        <w:t>viver uma existência</w:t>
      </w:r>
      <w:r w:rsidR="004756C1" w:rsidRPr="002F50BD">
        <w:rPr>
          <w:rFonts w:ascii="Verdana" w:hAnsi="Verdana"/>
          <w:sz w:val="20"/>
          <w:lang w:val="pt-BR"/>
        </w:rPr>
        <w:t xml:space="preserve"> digna. </w:t>
      </w:r>
      <w:r w:rsidR="005F10C4" w:rsidRPr="002F50BD">
        <w:rPr>
          <w:rFonts w:ascii="Verdana" w:hAnsi="Verdana"/>
          <w:sz w:val="20"/>
          <w:lang w:val="pt-BR"/>
        </w:rPr>
        <w:t>A</w:t>
      </w:r>
      <w:r w:rsidRPr="002F50BD">
        <w:rPr>
          <w:rFonts w:ascii="Verdana" w:hAnsi="Verdana"/>
          <w:sz w:val="20"/>
          <w:lang w:val="pt-BR"/>
        </w:rPr>
        <w:t xml:space="preserve">s </w:t>
      </w:r>
      <w:r w:rsidR="00A93AB9" w:rsidRPr="002F50BD">
        <w:rPr>
          <w:rFonts w:ascii="Verdana" w:hAnsi="Verdana"/>
          <w:sz w:val="20"/>
          <w:lang w:val="pt-BR"/>
        </w:rPr>
        <w:t>precária</w:t>
      </w:r>
      <w:r w:rsidR="004756C1" w:rsidRPr="002F50BD">
        <w:rPr>
          <w:rFonts w:ascii="Verdana" w:hAnsi="Verdana"/>
          <w:sz w:val="20"/>
          <w:lang w:val="pt-BR"/>
        </w:rPr>
        <w:t>s condi</w:t>
      </w:r>
      <w:r w:rsidRPr="002F50BD">
        <w:rPr>
          <w:rFonts w:ascii="Verdana" w:hAnsi="Verdana"/>
          <w:sz w:val="20"/>
          <w:lang w:val="pt-BR"/>
        </w:rPr>
        <w:t>ções</w:t>
      </w:r>
      <w:r w:rsidR="004756C1" w:rsidRPr="002F50BD">
        <w:rPr>
          <w:rFonts w:ascii="Verdana" w:hAnsi="Verdana"/>
          <w:sz w:val="20"/>
          <w:lang w:val="pt-BR"/>
        </w:rPr>
        <w:t xml:space="preserve"> </w:t>
      </w:r>
      <w:r w:rsidR="004076AD" w:rsidRPr="002F50BD">
        <w:rPr>
          <w:rFonts w:ascii="Verdana" w:hAnsi="Verdana"/>
          <w:sz w:val="20"/>
          <w:lang w:val="pt-BR"/>
        </w:rPr>
        <w:t>materiais</w:t>
      </w:r>
      <w:r w:rsidRPr="002F50BD">
        <w:rPr>
          <w:rFonts w:ascii="Verdana" w:hAnsi="Verdana"/>
          <w:sz w:val="20"/>
          <w:lang w:val="pt-BR"/>
        </w:rPr>
        <w:t xml:space="preserve"> e </w:t>
      </w:r>
      <w:r w:rsidR="004756C1" w:rsidRPr="002F50BD">
        <w:rPr>
          <w:rFonts w:ascii="Verdana" w:hAnsi="Verdana"/>
          <w:sz w:val="20"/>
          <w:lang w:val="pt-BR"/>
        </w:rPr>
        <w:t>de pobreza</w:t>
      </w:r>
      <w:r w:rsidRPr="002F50BD">
        <w:rPr>
          <w:rFonts w:ascii="Verdana" w:hAnsi="Verdana"/>
          <w:sz w:val="20"/>
          <w:lang w:val="pt-BR"/>
        </w:rPr>
        <w:t xml:space="preserve"> nas </w:t>
      </w:r>
      <w:r w:rsidR="005F10C4" w:rsidRPr="002F50BD">
        <w:rPr>
          <w:rFonts w:ascii="Verdana" w:hAnsi="Verdana"/>
          <w:sz w:val="20"/>
          <w:lang w:val="pt-BR"/>
        </w:rPr>
        <w:t>quais</w:t>
      </w:r>
      <w:r w:rsidRPr="002F50BD">
        <w:rPr>
          <w:rFonts w:ascii="Verdana" w:hAnsi="Verdana"/>
          <w:sz w:val="20"/>
          <w:lang w:val="pt-BR"/>
        </w:rPr>
        <w:t xml:space="preserve"> vivem </w:t>
      </w:r>
      <w:r w:rsidR="005F10C4" w:rsidRPr="002F50BD">
        <w:rPr>
          <w:rFonts w:ascii="Verdana" w:hAnsi="Verdana"/>
          <w:sz w:val="20"/>
          <w:lang w:val="pt-BR"/>
        </w:rPr>
        <w:t>hoje explicitam</w:t>
      </w:r>
      <w:r w:rsidRPr="002F50BD">
        <w:rPr>
          <w:rFonts w:ascii="Verdana" w:hAnsi="Verdana"/>
          <w:sz w:val="20"/>
          <w:lang w:val="pt-BR"/>
        </w:rPr>
        <w:t xml:space="preserve"> a afetação</w:t>
      </w:r>
      <w:r w:rsidR="004756C1" w:rsidRPr="002F50BD">
        <w:rPr>
          <w:rFonts w:ascii="Verdana" w:hAnsi="Verdana"/>
          <w:sz w:val="20"/>
          <w:lang w:val="pt-BR"/>
        </w:rPr>
        <w:t xml:space="preserve"> </w:t>
      </w:r>
      <w:r w:rsidR="00911F24" w:rsidRPr="002F50BD">
        <w:rPr>
          <w:rFonts w:ascii="Verdana" w:hAnsi="Verdana"/>
          <w:sz w:val="20"/>
          <w:lang w:val="pt-BR"/>
        </w:rPr>
        <w:t>n</w:t>
      </w:r>
      <w:r w:rsidRPr="002F50BD">
        <w:rPr>
          <w:rFonts w:ascii="Verdana" w:hAnsi="Verdana"/>
          <w:sz w:val="20"/>
          <w:lang w:val="pt-BR"/>
        </w:rPr>
        <w:t xml:space="preserve">o </w:t>
      </w:r>
      <w:r w:rsidR="004756C1" w:rsidRPr="002F50BD">
        <w:rPr>
          <w:rFonts w:ascii="Verdana" w:hAnsi="Verdana"/>
          <w:sz w:val="20"/>
          <w:lang w:val="pt-BR"/>
        </w:rPr>
        <w:t>d</w:t>
      </w:r>
      <w:r w:rsidR="005F10C4" w:rsidRPr="002F50BD">
        <w:rPr>
          <w:rFonts w:ascii="Verdana" w:hAnsi="Verdana"/>
          <w:sz w:val="20"/>
          <w:lang w:val="pt-BR"/>
        </w:rPr>
        <w:t>e</w:t>
      </w:r>
      <w:r w:rsidR="004756C1" w:rsidRPr="002F50BD">
        <w:rPr>
          <w:rFonts w:ascii="Verdana" w:hAnsi="Verdana"/>
          <w:sz w:val="20"/>
          <w:lang w:val="pt-BR"/>
        </w:rPr>
        <w:t>sfrute pleno</w:t>
      </w:r>
      <w:r w:rsidRPr="002F50BD">
        <w:rPr>
          <w:rFonts w:ascii="Verdana" w:hAnsi="Verdana"/>
          <w:sz w:val="20"/>
          <w:lang w:val="pt-BR"/>
        </w:rPr>
        <w:t xml:space="preserve"> e efetiv</w:t>
      </w:r>
      <w:r w:rsidR="004756C1" w:rsidRPr="002F50BD">
        <w:rPr>
          <w:rFonts w:ascii="Verdana" w:hAnsi="Verdana"/>
          <w:sz w:val="20"/>
          <w:lang w:val="pt-BR"/>
        </w:rPr>
        <w:t xml:space="preserve">o de </w:t>
      </w:r>
      <w:r w:rsidRPr="002F50BD">
        <w:rPr>
          <w:rFonts w:ascii="Verdana" w:hAnsi="Verdana"/>
          <w:sz w:val="20"/>
          <w:lang w:val="pt-BR"/>
        </w:rPr>
        <w:t>direito</w:t>
      </w:r>
      <w:r w:rsidR="004756C1" w:rsidRPr="002F50BD">
        <w:rPr>
          <w:rFonts w:ascii="Verdana" w:hAnsi="Verdana"/>
          <w:sz w:val="20"/>
          <w:lang w:val="pt-BR"/>
        </w:rPr>
        <w:t>s</w:t>
      </w:r>
      <w:r w:rsidRPr="002F50BD">
        <w:rPr>
          <w:rFonts w:ascii="Verdana" w:hAnsi="Verdana"/>
          <w:sz w:val="20"/>
          <w:lang w:val="pt-BR"/>
        </w:rPr>
        <w:t xml:space="preserve"> tão fundamentais</w:t>
      </w:r>
      <w:r w:rsidR="004756C1" w:rsidRPr="002F50BD">
        <w:rPr>
          <w:rFonts w:ascii="Verdana" w:hAnsi="Verdana"/>
          <w:sz w:val="20"/>
          <w:lang w:val="pt-BR"/>
        </w:rPr>
        <w:t xml:space="preserve"> como</w:t>
      </w:r>
      <w:r w:rsidRPr="002F50BD">
        <w:rPr>
          <w:rFonts w:ascii="Verdana" w:hAnsi="Verdana"/>
          <w:sz w:val="20"/>
          <w:lang w:val="pt-BR"/>
        </w:rPr>
        <w:t xml:space="preserve"> o direito à saúde</w:t>
      </w:r>
      <w:r w:rsidR="004756C1" w:rsidRPr="002F50BD">
        <w:rPr>
          <w:rFonts w:ascii="Verdana" w:hAnsi="Verdana"/>
          <w:sz w:val="20"/>
          <w:lang w:val="pt-BR"/>
        </w:rPr>
        <w:t>,</w:t>
      </w:r>
      <w:r w:rsidRPr="002F50BD">
        <w:rPr>
          <w:rFonts w:ascii="Verdana" w:hAnsi="Verdana"/>
          <w:sz w:val="20"/>
          <w:lang w:val="pt-BR"/>
        </w:rPr>
        <w:t xml:space="preserve"> o direito à </w:t>
      </w:r>
      <w:r w:rsidR="004756C1" w:rsidRPr="002F50BD">
        <w:rPr>
          <w:rFonts w:ascii="Verdana" w:hAnsi="Verdana"/>
          <w:sz w:val="20"/>
          <w:lang w:val="pt-BR"/>
        </w:rPr>
        <w:t>alimenta</w:t>
      </w:r>
      <w:r w:rsidRPr="002F50BD">
        <w:rPr>
          <w:rFonts w:ascii="Verdana" w:hAnsi="Verdana"/>
          <w:sz w:val="20"/>
          <w:lang w:val="pt-BR"/>
        </w:rPr>
        <w:t xml:space="preserve">ção e o direito à </w:t>
      </w:r>
      <w:r w:rsidR="004756C1" w:rsidRPr="002F50BD">
        <w:rPr>
          <w:rFonts w:ascii="Verdana" w:hAnsi="Verdana"/>
          <w:sz w:val="20"/>
          <w:lang w:val="pt-BR"/>
        </w:rPr>
        <w:t>educa</w:t>
      </w:r>
      <w:r w:rsidRPr="002F50BD">
        <w:rPr>
          <w:rFonts w:ascii="Verdana" w:hAnsi="Verdana"/>
          <w:sz w:val="20"/>
          <w:lang w:val="pt-BR"/>
        </w:rPr>
        <w:t>ção</w:t>
      </w:r>
      <w:r w:rsidR="001A0CDE" w:rsidRPr="002F50BD">
        <w:rPr>
          <w:rFonts w:ascii="Verdana" w:hAnsi="Verdana"/>
          <w:sz w:val="20"/>
          <w:lang w:val="pt-BR"/>
        </w:rPr>
        <w:t>. Est</w:t>
      </w:r>
      <w:r w:rsidR="004756C1" w:rsidRPr="002F50BD">
        <w:rPr>
          <w:rFonts w:ascii="Verdana" w:hAnsi="Verdana"/>
          <w:sz w:val="20"/>
          <w:lang w:val="pt-BR"/>
        </w:rPr>
        <w:t xml:space="preserve">a </w:t>
      </w:r>
      <w:r w:rsidRPr="002F50BD">
        <w:rPr>
          <w:rFonts w:ascii="Verdana" w:hAnsi="Verdana"/>
          <w:sz w:val="20"/>
          <w:lang w:val="pt-BR"/>
        </w:rPr>
        <w:t>afetação</w:t>
      </w:r>
      <w:r w:rsidR="004756C1" w:rsidRPr="002F50BD">
        <w:rPr>
          <w:rFonts w:ascii="Verdana" w:hAnsi="Verdana"/>
          <w:sz w:val="20"/>
          <w:lang w:val="pt-BR"/>
        </w:rPr>
        <w:t xml:space="preserve"> </w:t>
      </w:r>
      <w:r w:rsidRPr="002F50BD">
        <w:rPr>
          <w:rFonts w:ascii="Verdana" w:hAnsi="Verdana"/>
          <w:sz w:val="20"/>
          <w:lang w:val="pt-BR"/>
        </w:rPr>
        <w:t xml:space="preserve">impede </w:t>
      </w:r>
      <w:r w:rsidR="005F10C4" w:rsidRPr="002F50BD">
        <w:rPr>
          <w:rFonts w:ascii="Verdana" w:hAnsi="Verdana"/>
          <w:sz w:val="20"/>
          <w:lang w:val="pt-BR"/>
        </w:rPr>
        <w:t>a</w:t>
      </w:r>
      <w:r w:rsidRPr="002F50BD">
        <w:rPr>
          <w:rFonts w:ascii="Verdana" w:hAnsi="Verdana"/>
          <w:sz w:val="20"/>
          <w:lang w:val="pt-BR"/>
        </w:rPr>
        <w:t xml:space="preserve"> Comunidade e </w:t>
      </w:r>
      <w:r w:rsidR="00AB454A" w:rsidRPr="002F50BD">
        <w:rPr>
          <w:rFonts w:ascii="Verdana" w:hAnsi="Verdana"/>
          <w:sz w:val="20"/>
          <w:lang w:val="pt-BR"/>
        </w:rPr>
        <w:t>seus membros</w:t>
      </w:r>
      <w:r w:rsidR="004756C1" w:rsidRPr="002F50BD">
        <w:rPr>
          <w:rFonts w:ascii="Verdana" w:hAnsi="Verdana"/>
          <w:sz w:val="20"/>
          <w:lang w:val="pt-BR"/>
        </w:rPr>
        <w:t xml:space="preserve"> </w:t>
      </w:r>
      <w:r w:rsidR="005F10C4" w:rsidRPr="002F50BD">
        <w:rPr>
          <w:rFonts w:ascii="Verdana" w:hAnsi="Verdana"/>
          <w:sz w:val="20"/>
          <w:lang w:val="pt-BR"/>
        </w:rPr>
        <w:t>de ter</w:t>
      </w:r>
      <w:r w:rsidR="00FC6B22" w:rsidRPr="002F50BD">
        <w:rPr>
          <w:rFonts w:ascii="Verdana" w:hAnsi="Verdana"/>
          <w:sz w:val="20"/>
          <w:lang w:val="pt-BR"/>
        </w:rPr>
        <w:t>em</w:t>
      </w:r>
      <w:r w:rsidR="005F10C4" w:rsidRPr="002F50BD">
        <w:rPr>
          <w:rFonts w:ascii="Verdana" w:hAnsi="Verdana"/>
          <w:sz w:val="20"/>
          <w:lang w:val="pt-BR"/>
        </w:rPr>
        <w:t xml:space="preserve"> acesso </w:t>
      </w:r>
      <w:r w:rsidR="004756C1" w:rsidRPr="002F50BD">
        <w:rPr>
          <w:rFonts w:ascii="Verdana" w:hAnsi="Verdana"/>
          <w:sz w:val="20"/>
          <w:lang w:val="pt-BR"/>
        </w:rPr>
        <w:t>a condi</w:t>
      </w:r>
      <w:r w:rsidRPr="002F50BD">
        <w:rPr>
          <w:rFonts w:ascii="Verdana" w:hAnsi="Verdana"/>
          <w:sz w:val="20"/>
          <w:lang w:val="pt-BR"/>
        </w:rPr>
        <w:t>ções</w:t>
      </w:r>
      <w:r w:rsidR="004756C1" w:rsidRPr="002F50BD">
        <w:rPr>
          <w:rFonts w:ascii="Verdana" w:hAnsi="Verdana"/>
          <w:sz w:val="20"/>
          <w:lang w:val="pt-BR"/>
        </w:rPr>
        <w:t xml:space="preserve"> de vida digna;</w:t>
      </w:r>
    </w:p>
    <w:p w:rsidR="004756C1" w:rsidRPr="002F50BD" w:rsidRDefault="004756C1">
      <w:pPr>
        <w:tabs>
          <w:tab w:val="left" w:pos="1080"/>
        </w:tabs>
        <w:ind w:left="720"/>
        <w:jc w:val="both"/>
        <w:rPr>
          <w:rFonts w:ascii="Verdana" w:hAnsi="Verdana"/>
          <w:sz w:val="20"/>
          <w:lang w:val="pt-BR"/>
        </w:rPr>
      </w:pPr>
    </w:p>
    <w:p w:rsidR="004756C1" w:rsidRPr="002F50BD" w:rsidRDefault="005F10C4">
      <w:pPr>
        <w:numPr>
          <w:ilvl w:val="0"/>
          <w:numId w:val="14"/>
        </w:numPr>
        <w:tabs>
          <w:tab w:val="left" w:pos="1080"/>
        </w:tabs>
        <w:ind w:left="720"/>
        <w:jc w:val="both"/>
        <w:rPr>
          <w:rFonts w:ascii="Verdana" w:hAnsi="Verdana"/>
          <w:sz w:val="20"/>
          <w:lang w:val="pt-BR"/>
        </w:rPr>
      </w:pPr>
      <w:r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 xml:space="preserve">luz </w:t>
      </w:r>
      <w:r w:rsidR="0089298C"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w:t>
      </w:r>
      <w:r w:rsidR="0089298C" w:rsidRPr="002F50BD">
        <w:rPr>
          <w:rFonts w:ascii="Verdana" w:hAnsi="Verdana"/>
          <w:sz w:val="20"/>
          <w:lang w:val="pt-BR"/>
        </w:rPr>
        <w:t xml:space="preserve"> deve</w:t>
      </w:r>
      <w:r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considerar que</w:t>
      </w:r>
      <w:r w:rsidR="0089298C" w:rsidRPr="002F50BD">
        <w:rPr>
          <w:rFonts w:ascii="Verdana" w:hAnsi="Verdana"/>
          <w:sz w:val="20"/>
          <w:lang w:val="pt-BR"/>
        </w:rPr>
        <w:t xml:space="preserve"> a proteção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w:t>
      </w:r>
      <w:r w:rsidR="0089298C" w:rsidRPr="002F50BD">
        <w:rPr>
          <w:rFonts w:ascii="Verdana" w:hAnsi="Verdana"/>
          <w:sz w:val="20"/>
          <w:lang w:val="pt-BR"/>
        </w:rPr>
        <w:t xml:space="preserve"> e à integridade dos povo</w:t>
      </w:r>
      <w:r w:rsidR="004756C1" w:rsidRPr="002F50BD">
        <w:rPr>
          <w:rFonts w:ascii="Verdana" w:hAnsi="Verdana"/>
          <w:sz w:val="20"/>
          <w:lang w:val="pt-BR"/>
        </w:rPr>
        <w:t xml:space="preserve">s indígenas </w:t>
      </w:r>
      <w:r w:rsidR="00AB454A" w:rsidRPr="002F50BD">
        <w:rPr>
          <w:rFonts w:ascii="Verdana" w:hAnsi="Verdana"/>
          <w:sz w:val="20"/>
          <w:lang w:val="pt-BR"/>
        </w:rPr>
        <w:t>não pode</w:t>
      </w:r>
      <w:r w:rsidR="004756C1" w:rsidRPr="002F50BD">
        <w:rPr>
          <w:rFonts w:ascii="Verdana" w:hAnsi="Verdana"/>
          <w:sz w:val="20"/>
          <w:lang w:val="pt-BR"/>
        </w:rPr>
        <w:t xml:space="preserve"> </w:t>
      </w:r>
      <w:r w:rsidRPr="002F50BD">
        <w:rPr>
          <w:rFonts w:ascii="Verdana" w:hAnsi="Verdana"/>
          <w:sz w:val="20"/>
          <w:lang w:val="pt-BR"/>
        </w:rPr>
        <w:t>se separar</w:t>
      </w:r>
      <w:r w:rsidR="0089298C" w:rsidRPr="002F50BD">
        <w:rPr>
          <w:rFonts w:ascii="Verdana" w:hAnsi="Verdana"/>
          <w:sz w:val="20"/>
          <w:lang w:val="pt-BR"/>
        </w:rPr>
        <w:t xml:space="preserve"> da proteção dos 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sociais e culturais</w:t>
      </w:r>
      <w:r w:rsidR="00BE346D" w:rsidRPr="002F50BD">
        <w:rPr>
          <w:rFonts w:ascii="Verdana" w:hAnsi="Verdana"/>
          <w:sz w:val="20"/>
          <w:lang w:val="pt-BR"/>
        </w:rPr>
        <w:t xml:space="preserve">. A </w:t>
      </w:r>
      <w:r w:rsidR="0089298C" w:rsidRPr="002F50BD">
        <w:rPr>
          <w:rFonts w:ascii="Verdana" w:hAnsi="Verdana"/>
          <w:sz w:val="20"/>
          <w:lang w:val="pt-BR"/>
        </w:rPr>
        <w:t>garantia destes direito</w:t>
      </w:r>
      <w:r w:rsidR="004756C1" w:rsidRPr="002F50BD">
        <w:rPr>
          <w:rFonts w:ascii="Verdana" w:hAnsi="Verdana"/>
          <w:sz w:val="20"/>
          <w:lang w:val="pt-BR"/>
        </w:rPr>
        <w:t>s</w:t>
      </w:r>
      <w:r w:rsidR="0089298C" w:rsidRPr="002F50BD">
        <w:rPr>
          <w:rFonts w:ascii="Verdana" w:hAnsi="Verdana"/>
          <w:sz w:val="20"/>
          <w:lang w:val="pt-BR"/>
        </w:rPr>
        <w:t xml:space="preserve"> é uma </w:t>
      </w:r>
      <w:r w:rsidR="004756C1" w:rsidRPr="002F50BD">
        <w:rPr>
          <w:rFonts w:ascii="Verdana" w:hAnsi="Verdana"/>
          <w:sz w:val="20"/>
          <w:lang w:val="pt-BR"/>
        </w:rPr>
        <w:t>condi</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necessári</w:t>
      </w:r>
      <w:r w:rsidR="004756C1" w:rsidRPr="002F50BD">
        <w:rPr>
          <w:rFonts w:ascii="Verdana" w:hAnsi="Verdana"/>
          <w:sz w:val="20"/>
          <w:lang w:val="pt-BR"/>
        </w:rPr>
        <w:t xml:space="preserve">a para </w:t>
      </w:r>
      <w:r w:rsidRPr="002F50BD">
        <w:rPr>
          <w:rFonts w:ascii="Verdana" w:hAnsi="Verdana"/>
          <w:sz w:val="20"/>
          <w:lang w:val="pt-BR"/>
        </w:rPr>
        <w:t xml:space="preserve">cumprir </w:t>
      </w:r>
      <w:r w:rsidR="0089298C" w:rsidRPr="002F50BD">
        <w:rPr>
          <w:rFonts w:ascii="Verdana" w:hAnsi="Verdana"/>
          <w:sz w:val="20"/>
          <w:lang w:val="pt-BR"/>
        </w:rPr>
        <w:t>a exigência</w:t>
      </w:r>
      <w:r w:rsidR="004756C1" w:rsidRPr="002F50BD">
        <w:rPr>
          <w:rFonts w:ascii="Verdana" w:hAnsi="Verdana"/>
          <w:sz w:val="20"/>
          <w:lang w:val="pt-BR"/>
        </w:rPr>
        <w:t xml:space="preserve"> de condi</w:t>
      </w:r>
      <w:r w:rsidR="0089298C" w:rsidRPr="002F50BD">
        <w:rPr>
          <w:rFonts w:ascii="Verdana" w:hAnsi="Verdana"/>
          <w:sz w:val="20"/>
          <w:lang w:val="pt-BR"/>
        </w:rPr>
        <w:t>ções</w:t>
      </w:r>
      <w:r w:rsidR="004756C1" w:rsidRPr="002F50BD">
        <w:rPr>
          <w:rFonts w:ascii="Verdana" w:hAnsi="Verdana"/>
          <w:sz w:val="20"/>
          <w:lang w:val="pt-BR"/>
        </w:rPr>
        <w:t xml:space="preserve"> de vida digna,</w:t>
      </w:r>
      <w:r w:rsidR="0089298C" w:rsidRPr="002F50BD">
        <w:rPr>
          <w:rFonts w:ascii="Verdana" w:hAnsi="Verdana"/>
          <w:sz w:val="20"/>
          <w:lang w:val="pt-BR"/>
        </w:rPr>
        <w:t xml:space="preserve"> sem as quais</w:t>
      </w:r>
      <w:r w:rsidR="004756C1" w:rsidRPr="002F50BD">
        <w:rPr>
          <w:rFonts w:ascii="Verdana" w:hAnsi="Verdana"/>
          <w:sz w:val="20"/>
          <w:lang w:val="pt-BR"/>
        </w:rPr>
        <w:t xml:space="preserve"> se torna difícil, </w:t>
      </w:r>
      <w:r w:rsidR="0089298C" w:rsidRPr="002F50BD">
        <w:rPr>
          <w:rFonts w:ascii="Verdana" w:hAnsi="Verdana"/>
          <w:sz w:val="20"/>
          <w:lang w:val="pt-BR"/>
        </w:rPr>
        <w:t>quando</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impossível</w:t>
      </w:r>
      <w:r w:rsidR="004756C1" w:rsidRPr="002F50BD">
        <w:rPr>
          <w:rFonts w:ascii="Verdana" w:hAnsi="Verdana"/>
          <w:sz w:val="20"/>
          <w:lang w:val="pt-BR"/>
        </w:rPr>
        <w:t>,</w:t>
      </w:r>
      <w:r w:rsidR="0089298C" w:rsidRPr="002F50BD">
        <w:rPr>
          <w:rFonts w:ascii="Verdana" w:hAnsi="Verdana"/>
          <w:sz w:val="20"/>
          <w:lang w:val="pt-BR"/>
        </w:rPr>
        <w:t xml:space="preserve"> o desenvolvimento</w:t>
      </w:r>
      <w:r w:rsidR="004756C1" w:rsidRPr="002F50BD">
        <w:rPr>
          <w:rFonts w:ascii="Verdana" w:hAnsi="Verdana"/>
          <w:sz w:val="20"/>
          <w:lang w:val="pt-BR"/>
        </w:rPr>
        <w:t xml:space="preserve"> de </w:t>
      </w:r>
      <w:r w:rsidR="0089298C" w:rsidRPr="002F50BD">
        <w:rPr>
          <w:rFonts w:ascii="Verdana" w:hAnsi="Verdana"/>
          <w:sz w:val="20"/>
          <w:lang w:val="pt-BR"/>
        </w:rPr>
        <w:t>projeto</w:t>
      </w:r>
      <w:r w:rsidR="004756C1" w:rsidRPr="002F50BD">
        <w:rPr>
          <w:rFonts w:ascii="Verdana" w:hAnsi="Verdana"/>
          <w:sz w:val="20"/>
          <w:lang w:val="pt-BR"/>
        </w:rPr>
        <w:t xml:space="preserve">s de vida </w:t>
      </w:r>
      <w:r w:rsidR="00911F24" w:rsidRPr="002F50BD">
        <w:rPr>
          <w:rFonts w:ascii="Verdana" w:hAnsi="Verdana"/>
          <w:sz w:val="20"/>
          <w:lang w:val="pt-BR"/>
        </w:rPr>
        <w:t>prósperos</w:t>
      </w:r>
      <w:r w:rsidR="004756C1" w:rsidRPr="002F50BD">
        <w:rPr>
          <w:rFonts w:ascii="Verdana" w:hAnsi="Verdana"/>
          <w:sz w:val="20"/>
          <w:lang w:val="pt-BR"/>
        </w:rPr>
        <w:t>;</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A maneira</w:t>
      </w:r>
      <w:r w:rsidR="004756C1" w:rsidRPr="002F50BD">
        <w:rPr>
          <w:rFonts w:ascii="Verdana" w:hAnsi="Verdana"/>
          <w:sz w:val="20"/>
          <w:lang w:val="pt-BR"/>
        </w:rPr>
        <w:t xml:space="preserve"> in</w:t>
      </w:r>
      <w:r w:rsidRPr="002F50BD">
        <w:rPr>
          <w:rFonts w:ascii="Verdana" w:hAnsi="Verdana"/>
          <w:sz w:val="20"/>
          <w:lang w:val="pt-BR"/>
        </w:rPr>
        <w:t>adequad</w:t>
      </w:r>
      <w:r w:rsidR="004756C1" w:rsidRPr="002F50BD">
        <w:rPr>
          <w:rFonts w:ascii="Verdana" w:hAnsi="Verdana"/>
          <w:sz w:val="20"/>
          <w:lang w:val="pt-BR"/>
        </w:rPr>
        <w:t>a e insuficiente</w:t>
      </w:r>
      <w:r w:rsidRPr="002F50BD">
        <w:rPr>
          <w:rFonts w:ascii="Verdana" w:hAnsi="Verdana"/>
          <w:sz w:val="20"/>
          <w:lang w:val="pt-BR"/>
        </w:rPr>
        <w:t xml:space="preserve"> em </w:t>
      </w:r>
      <w:r w:rsidR="004756C1" w:rsidRPr="002F50BD">
        <w:rPr>
          <w:rFonts w:ascii="Verdana" w:hAnsi="Verdana"/>
          <w:sz w:val="20"/>
          <w:lang w:val="pt-BR"/>
        </w:rPr>
        <w:t>que</w:t>
      </w:r>
      <w:r w:rsidRPr="002F50BD">
        <w:rPr>
          <w:rFonts w:ascii="Verdana" w:hAnsi="Verdana"/>
          <w:sz w:val="20"/>
          <w:lang w:val="pt-BR"/>
        </w:rPr>
        <w:t xml:space="preserve"> são </w:t>
      </w:r>
      <w:r w:rsidR="004756C1" w:rsidRPr="002F50BD">
        <w:rPr>
          <w:rFonts w:ascii="Verdana" w:hAnsi="Verdana"/>
          <w:sz w:val="20"/>
          <w:lang w:val="pt-BR"/>
        </w:rPr>
        <w:t>satisfe</w:t>
      </w:r>
      <w:r w:rsidR="005F10C4" w:rsidRPr="002F50BD">
        <w:rPr>
          <w:rFonts w:ascii="Verdana" w:hAnsi="Verdana"/>
          <w:sz w:val="20"/>
          <w:lang w:val="pt-BR"/>
        </w:rPr>
        <w:t>itos</w:t>
      </w:r>
      <w:r w:rsidRPr="002F50BD">
        <w:rPr>
          <w:rFonts w:ascii="Verdana" w:hAnsi="Verdana"/>
          <w:sz w:val="20"/>
          <w:lang w:val="pt-BR"/>
        </w:rPr>
        <w:t xml:space="preserve"> estes direito</w:t>
      </w:r>
      <w:r w:rsidR="004756C1" w:rsidRPr="002F50BD">
        <w:rPr>
          <w:rFonts w:ascii="Verdana" w:hAnsi="Verdana"/>
          <w:sz w:val="20"/>
          <w:lang w:val="pt-BR"/>
        </w:rPr>
        <w:t>s</w:t>
      </w:r>
      <w:r w:rsidRPr="002F50BD">
        <w:rPr>
          <w:rFonts w:ascii="Verdana" w:hAnsi="Verdana"/>
          <w:sz w:val="20"/>
          <w:lang w:val="pt-BR"/>
        </w:rPr>
        <w:t xml:space="preserve"> pelo </w:t>
      </w:r>
      <w:r w:rsidR="004756C1" w:rsidRPr="002F50BD">
        <w:rPr>
          <w:rFonts w:ascii="Verdana" w:hAnsi="Verdana"/>
          <w:sz w:val="20"/>
          <w:lang w:val="pt-BR"/>
        </w:rPr>
        <w:t xml:space="preserve">Estado </w:t>
      </w:r>
      <w:r w:rsidR="005F10C4" w:rsidRPr="002F50BD">
        <w:rPr>
          <w:rFonts w:ascii="Verdana" w:hAnsi="Verdana"/>
          <w:sz w:val="20"/>
          <w:lang w:val="pt-BR"/>
        </w:rPr>
        <w:t xml:space="preserve">aumenta </w:t>
      </w:r>
      <w:r w:rsidRPr="002F50BD">
        <w:rPr>
          <w:rFonts w:ascii="Verdana" w:hAnsi="Verdana"/>
          <w:sz w:val="20"/>
          <w:lang w:val="pt-BR"/>
        </w:rPr>
        <w:t xml:space="preserve">a vulnerabilidade da Comunidade </w:t>
      </w:r>
      <w:r w:rsidR="004756C1" w:rsidRPr="002F50BD">
        <w:rPr>
          <w:rFonts w:ascii="Verdana" w:hAnsi="Verdana"/>
          <w:sz w:val="20"/>
          <w:lang w:val="pt-BR"/>
        </w:rPr>
        <w:t xml:space="preserve">e </w:t>
      </w:r>
      <w:r w:rsidRPr="002F50BD">
        <w:rPr>
          <w:rFonts w:ascii="Verdana" w:hAnsi="Verdana"/>
          <w:sz w:val="20"/>
          <w:lang w:val="pt-BR"/>
        </w:rPr>
        <w:t>imped</w:t>
      </w:r>
      <w:r w:rsidR="005F10C4" w:rsidRPr="002F50BD">
        <w:rPr>
          <w:rFonts w:ascii="Verdana" w:hAnsi="Verdana"/>
          <w:sz w:val="20"/>
          <w:lang w:val="pt-BR"/>
        </w:rPr>
        <w:t xml:space="preserve">e </w:t>
      </w:r>
      <w:r w:rsidRPr="002F50BD">
        <w:rPr>
          <w:rFonts w:ascii="Verdana" w:hAnsi="Verdana"/>
          <w:sz w:val="20"/>
          <w:lang w:val="pt-BR"/>
        </w:rPr>
        <w:t>o desenvolvimento</w:t>
      </w:r>
      <w:r w:rsidR="004756C1" w:rsidRPr="002F50BD">
        <w:rPr>
          <w:rFonts w:ascii="Verdana" w:hAnsi="Verdana"/>
          <w:sz w:val="20"/>
          <w:lang w:val="pt-BR"/>
        </w:rPr>
        <w:t xml:space="preserve"> de </w:t>
      </w:r>
      <w:r w:rsidRPr="002F50BD">
        <w:rPr>
          <w:rFonts w:ascii="Verdana" w:hAnsi="Verdana"/>
          <w:sz w:val="20"/>
          <w:lang w:val="pt-BR"/>
        </w:rPr>
        <w:t>projeto</w:t>
      </w:r>
      <w:r w:rsidR="004756C1" w:rsidRPr="002F50BD">
        <w:rPr>
          <w:rFonts w:ascii="Verdana" w:hAnsi="Verdana"/>
          <w:sz w:val="20"/>
          <w:lang w:val="pt-BR"/>
        </w:rPr>
        <w:t xml:space="preserve">s de vida, tanto </w:t>
      </w:r>
      <w:r w:rsidRPr="002F50BD">
        <w:rPr>
          <w:rFonts w:ascii="Verdana" w:hAnsi="Verdana"/>
          <w:sz w:val="20"/>
          <w:lang w:val="pt-BR"/>
        </w:rPr>
        <w:t>coletiv</w:t>
      </w:r>
      <w:r w:rsidR="004756C1" w:rsidRPr="002F50BD">
        <w:rPr>
          <w:rFonts w:ascii="Verdana" w:hAnsi="Verdana"/>
          <w:sz w:val="20"/>
          <w:lang w:val="pt-BR"/>
        </w:rPr>
        <w:t xml:space="preserve">os como </w:t>
      </w:r>
      <w:r w:rsidRPr="002F50BD">
        <w:rPr>
          <w:rFonts w:ascii="Verdana" w:hAnsi="Verdana"/>
          <w:sz w:val="20"/>
          <w:lang w:val="pt-BR"/>
        </w:rPr>
        <w:t>individuais</w:t>
      </w:r>
      <w:r w:rsidR="004756C1" w:rsidRPr="002F50BD">
        <w:rPr>
          <w:rFonts w:ascii="Verdana" w:hAnsi="Verdana"/>
          <w:sz w:val="20"/>
          <w:lang w:val="pt-BR"/>
        </w:rPr>
        <w:t xml:space="preserve">; </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violou o direito à </w:t>
      </w:r>
      <w:r w:rsidR="004756C1" w:rsidRPr="002F50BD">
        <w:rPr>
          <w:rFonts w:ascii="Verdana" w:hAnsi="Verdana"/>
          <w:sz w:val="20"/>
          <w:lang w:val="pt-BR"/>
        </w:rPr>
        <w:t xml:space="preserve">vida, </w:t>
      </w:r>
      <w:r w:rsidR="005F10C4" w:rsidRPr="002F50BD">
        <w:rPr>
          <w:rFonts w:ascii="Verdana" w:hAnsi="Verdana"/>
          <w:sz w:val="20"/>
          <w:lang w:val="pt-BR"/>
        </w:rPr>
        <w:t>também</w:t>
      </w:r>
      <w:r w:rsidR="004756C1" w:rsidRPr="002F50BD">
        <w:rPr>
          <w:rFonts w:ascii="Verdana" w:hAnsi="Verdana"/>
          <w:sz w:val="20"/>
          <w:lang w:val="pt-BR"/>
        </w:rPr>
        <w:t>,</w:t>
      </w:r>
      <w:r w:rsidRPr="002F50BD">
        <w:rPr>
          <w:rFonts w:ascii="Verdana" w:hAnsi="Verdana"/>
          <w:sz w:val="20"/>
          <w:lang w:val="pt-BR"/>
        </w:rPr>
        <w:t xml:space="preserve"> ao </w:t>
      </w:r>
      <w:r w:rsidR="004756C1" w:rsidRPr="002F50BD">
        <w:rPr>
          <w:rFonts w:ascii="Verdana" w:hAnsi="Verdana"/>
          <w:sz w:val="20"/>
          <w:lang w:val="pt-BR"/>
        </w:rPr>
        <w:t>n</w:t>
      </w:r>
      <w:r w:rsidR="005F10C4"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garantir à Comunidade e </w:t>
      </w:r>
      <w:r w:rsidR="004756C1" w:rsidRPr="002F50BD">
        <w:rPr>
          <w:rFonts w:ascii="Verdana" w:hAnsi="Verdana"/>
          <w:sz w:val="20"/>
          <w:lang w:val="pt-BR"/>
        </w:rPr>
        <w:t xml:space="preserve">a </w:t>
      </w:r>
      <w:r w:rsidR="00AB454A" w:rsidRPr="002F50BD">
        <w:rPr>
          <w:rFonts w:ascii="Verdana" w:hAnsi="Verdana"/>
          <w:sz w:val="20"/>
          <w:lang w:val="pt-BR"/>
        </w:rPr>
        <w:t>seus membros</w:t>
      </w:r>
      <w:r w:rsidRPr="002F50BD">
        <w:rPr>
          <w:rFonts w:ascii="Verdana" w:hAnsi="Verdana"/>
          <w:sz w:val="20"/>
          <w:lang w:val="pt-BR"/>
        </w:rPr>
        <w:t xml:space="preserve"> a faculdade </w:t>
      </w:r>
      <w:r w:rsidR="004756C1" w:rsidRPr="002F50BD">
        <w:rPr>
          <w:rFonts w:ascii="Verdana" w:hAnsi="Verdana"/>
          <w:sz w:val="20"/>
          <w:lang w:val="pt-BR"/>
        </w:rPr>
        <w:t xml:space="preserve">de </w:t>
      </w:r>
      <w:r w:rsidRPr="002F50BD">
        <w:rPr>
          <w:rFonts w:ascii="Verdana" w:hAnsi="Verdana"/>
          <w:sz w:val="20"/>
          <w:lang w:val="pt-BR"/>
        </w:rPr>
        <w:t>viver</w:t>
      </w:r>
      <w:r w:rsidR="004756C1" w:rsidRPr="002F50BD">
        <w:rPr>
          <w:rFonts w:ascii="Verdana" w:hAnsi="Verdana"/>
          <w:sz w:val="20"/>
          <w:lang w:val="pt-BR"/>
        </w:rPr>
        <w:t xml:space="preserve"> conforme su</w:t>
      </w:r>
      <w:r w:rsidR="005F10C4" w:rsidRPr="002F50BD">
        <w:rPr>
          <w:rFonts w:ascii="Verdana" w:hAnsi="Verdana"/>
          <w:sz w:val="20"/>
          <w:lang w:val="pt-BR"/>
        </w:rPr>
        <w:t>a</w:t>
      </w:r>
      <w:r w:rsidR="004756C1" w:rsidRPr="002F50BD">
        <w:rPr>
          <w:rFonts w:ascii="Verdana" w:hAnsi="Verdana"/>
          <w:sz w:val="20"/>
          <w:lang w:val="pt-BR"/>
        </w:rPr>
        <w:t xml:space="preserve"> particular forma de vida</w:t>
      </w:r>
      <w:r w:rsidRPr="002F50BD">
        <w:rPr>
          <w:rFonts w:ascii="Verdana" w:hAnsi="Verdana"/>
          <w:sz w:val="20"/>
          <w:lang w:val="pt-BR"/>
        </w:rPr>
        <w:t xml:space="preserve"> e</w:t>
      </w:r>
      <w:r w:rsidR="004756C1" w:rsidRPr="002F50BD">
        <w:rPr>
          <w:rFonts w:ascii="Verdana" w:hAnsi="Verdana"/>
          <w:sz w:val="20"/>
          <w:lang w:val="pt-BR"/>
        </w:rPr>
        <w:t xml:space="preserve"> </w:t>
      </w:r>
      <w:r w:rsidR="005F10C4" w:rsidRPr="002F50BD">
        <w:rPr>
          <w:rFonts w:ascii="Verdana" w:hAnsi="Verdana"/>
          <w:sz w:val="20"/>
          <w:lang w:val="pt-BR"/>
        </w:rPr>
        <w:t xml:space="preserve">de </w:t>
      </w:r>
      <w:r w:rsidRPr="002F50BD">
        <w:rPr>
          <w:rFonts w:ascii="Verdana" w:hAnsi="Verdana"/>
          <w:sz w:val="20"/>
          <w:lang w:val="pt-BR"/>
        </w:rPr>
        <w:t>manter e desenvolver sua vida</w:t>
      </w:r>
      <w:r w:rsidR="004756C1" w:rsidRPr="002F50BD">
        <w:rPr>
          <w:rFonts w:ascii="Verdana" w:hAnsi="Verdana"/>
          <w:sz w:val="20"/>
          <w:lang w:val="pt-BR"/>
        </w:rPr>
        <w:t xml:space="preserve"> espiritual</w:t>
      </w:r>
      <w:r w:rsidRPr="002F50BD">
        <w:rPr>
          <w:rFonts w:ascii="Verdana" w:hAnsi="Verdana"/>
          <w:sz w:val="20"/>
          <w:lang w:val="pt-BR"/>
        </w:rPr>
        <w:t xml:space="preserve"> e </w:t>
      </w:r>
      <w:r w:rsidR="004756C1" w:rsidRPr="002F50BD">
        <w:rPr>
          <w:rFonts w:ascii="Verdana" w:hAnsi="Verdana"/>
          <w:sz w:val="20"/>
          <w:lang w:val="pt-BR"/>
        </w:rPr>
        <w:t>cultural</w:t>
      </w:r>
      <w:r w:rsidR="00D95E71" w:rsidRPr="002F50BD">
        <w:rPr>
          <w:rFonts w:ascii="Verdana" w:hAnsi="Verdana"/>
          <w:sz w:val="20"/>
          <w:lang w:val="pt-BR"/>
        </w:rPr>
        <w:t xml:space="preserve">. O </w:t>
      </w:r>
      <w:r w:rsidRPr="002F50BD">
        <w:rPr>
          <w:rFonts w:ascii="Verdana" w:hAnsi="Verdana"/>
          <w:sz w:val="20"/>
          <w:lang w:val="pt-BR"/>
        </w:rPr>
        <w:t xml:space="preserve">direito à </w:t>
      </w:r>
      <w:r w:rsidR="004756C1" w:rsidRPr="002F50BD">
        <w:rPr>
          <w:rFonts w:ascii="Verdana" w:hAnsi="Verdana"/>
          <w:sz w:val="20"/>
          <w:lang w:val="pt-BR"/>
        </w:rPr>
        <w:t xml:space="preserve">vida </w:t>
      </w:r>
      <w:r w:rsidRPr="002F50BD">
        <w:rPr>
          <w:rFonts w:ascii="Verdana" w:hAnsi="Verdana"/>
          <w:sz w:val="20"/>
          <w:lang w:val="pt-BR"/>
        </w:rPr>
        <w:t>também</w:t>
      </w:r>
      <w:r w:rsidR="004756C1" w:rsidRPr="002F50BD">
        <w:rPr>
          <w:rFonts w:ascii="Verdana" w:hAnsi="Verdana"/>
          <w:sz w:val="20"/>
          <w:lang w:val="pt-BR"/>
        </w:rPr>
        <w:t xml:space="preserve"> </w:t>
      </w:r>
      <w:r w:rsidRPr="002F50BD">
        <w:rPr>
          <w:rFonts w:ascii="Verdana" w:hAnsi="Verdana"/>
          <w:sz w:val="20"/>
          <w:lang w:val="pt-BR"/>
        </w:rPr>
        <w:t xml:space="preserve">tem </w:t>
      </w:r>
      <w:r w:rsidR="004756C1" w:rsidRPr="002F50BD">
        <w:rPr>
          <w:rFonts w:ascii="Verdana" w:hAnsi="Verdana"/>
          <w:sz w:val="20"/>
          <w:lang w:val="pt-BR"/>
        </w:rPr>
        <w:t xml:space="preserve">como </w:t>
      </w:r>
      <w:r w:rsidR="00DC0F25" w:rsidRPr="002F50BD">
        <w:rPr>
          <w:rFonts w:ascii="Verdana" w:hAnsi="Verdana"/>
          <w:sz w:val="20"/>
          <w:lang w:val="pt-BR"/>
        </w:rPr>
        <w:t>componente</w:t>
      </w:r>
      <w:r w:rsidR="004756C1" w:rsidRPr="002F50BD">
        <w:rPr>
          <w:rFonts w:ascii="Verdana" w:hAnsi="Verdana"/>
          <w:sz w:val="20"/>
          <w:lang w:val="pt-BR"/>
        </w:rPr>
        <w:t xml:space="preserve"> </w:t>
      </w:r>
      <w:r w:rsidRPr="002F50BD">
        <w:rPr>
          <w:rFonts w:ascii="Verdana" w:hAnsi="Verdana"/>
          <w:sz w:val="20"/>
          <w:lang w:val="pt-BR"/>
        </w:rPr>
        <w:t>essencial o direito</w:t>
      </w:r>
      <w:r w:rsidR="004756C1" w:rsidRPr="002F50BD">
        <w:rPr>
          <w:rFonts w:ascii="Verdana" w:hAnsi="Verdana"/>
          <w:sz w:val="20"/>
          <w:lang w:val="pt-BR"/>
        </w:rPr>
        <w:t xml:space="preserve"> a dar sentido</w:t>
      </w:r>
      <w:r w:rsidRPr="002F50BD">
        <w:rPr>
          <w:rFonts w:ascii="Verdana" w:hAnsi="Verdana"/>
          <w:sz w:val="20"/>
          <w:lang w:val="pt-BR"/>
        </w:rPr>
        <w:t xml:space="preserve"> à existência</w:t>
      </w:r>
      <w:r w:rsidR="00DB51F0" w:rsidRPr="002F50BD">
        <w:rPr>
          <w:rFonts w:ascii="Verdana" w:hAnsi="Verdana"/>
          <w:sz w:val="20"/>
          <w:lang w:val="pt-BR"/>
        </w:rPr>
        <w:t xml:space="preserve">. </w:t>
      </w:r>
      <w:r w:rsidR="00DB51F0" w:rsidRPr="002F50BD">
        <w:rPr>
          <w:rFonts w:ascii="Verdana" w:hAnsi="Verdana"/>
          <w:sz w:val="20"/>
          <w:lang w:val="pt-BR"/>
        </w:rPr>
        <w:lastRenderedPageBreak/>
        <w:t xml:space="preserve">Os </w:t>
      </w:r>
      <w:r w:rsidR="004756C1" w:rsidRPr="002F50BD">
        <w:rPr>
          <w:rFonts w:ascii="Verdana" w:hAnsi="Verdana"/>
          <w:sz w:val="20"/>
          <w:lang w:val="pt-BR"/>
        </w:rPr>
        <w:t>seres humanos habitamos</w:t>
      </w:r>
      <w:r w:rsidRPr="002F50BD">
        <w:rPr>
          <w:rFonts w:ascii="Verdana" w:hAnsi="Verdana"/>
          <w:sz w:val="20"/>
          <w:lang w:val="pt-BR"/>
        </w:rPr>
        <w:t xml:space="preserve"> o </w:t>
      </w:r>
      <w:r w:rsidR="004756C1" w:rsidRPr="002F50BD">
        <w:rPr>
          <w:rFonts w:ascii="Verdana" w:hAnsi="Verdana"/>
          <w:sz w:val="20"/>
          <w:lang w:val="pt-BR"/>
        </w:rPr>
        <w:t xml:space="preserve">mundo de </w:t>
      </w:r>
      <w:r w:rsidRPr="002F50BD">
        <w:rPr>
          <w:rFonts w:ascii="Verdana" w:hAnsi="Verdana"/>
          <w:sz w:val="20"/>
          <w:lang w:val="pt-BR"/>
        </w:rPr>
        <w:t>maneira</w:t>
      </w:r>
      <w:r w:rsidR="004756C1" w:rsidRPr="002F50BD">
        <w:rPr>
          <w:rFonts w:ascii="Verdana" w:hAnsi="Verdana"/>
          <w:sz w:val="20"/>
          <w:lang w:val="pt-BR"/>
        </w:rPr>
        <w:t>s distintas</w:t>
      </w:r>
      <w:r w:rsidR="001A0CDE" w:rsidRPr="002F50BD">
        <w:rPr>
          <w:rFonts w:ascii="Verdana" w:hAnsi="Verdana"/>
          <w:sz w:val="20"/>
          <w:lang w:val="pt-BR"/>
        </w:rPr>
        <w:t>. Est</w:t>
      </w:r>
      <w:r w:rsidRPr="002F50BD">
        <w:rPr>
          <w:rFonts w:ascii="Verdana" w:hAnsi="Verdana"/>
          <w:sz w:val="20"/>
          <w:lang w:val="pt-BR"/>
        </w:rPr>
        <w:t>abelece</w:t>
      </w:r>
      <w:r w:rsidR="004756C1" w:rsidRPr="002F50BD">
        <w:rPr>
          <w:rFonts w:ascii="Verdana" w:hAnsi="Verdana"/>
          <w:sz w:val="20"/>
          <w:lang w:val="pt-BR"/>
        </w:rPr>
        <w:t>mos, de modos distintos, rela</w:t>
      </w:r>
      <w:r w:rsidRPr="002F50BD">
        <w:rPr>
          <w:rFonts w:ascii="Verdana" w:hAnsi="Verdana"/>
          <w:sz w:val="20"/>
          <w:lang w:val="pt-BR"/>
        </w:rPr>
        <w:t xml:space="preserve">ções com os demais e com as </w:t>
      </w:r>
      <w:r w:rsidR="004756C1" w:rsidRPr="002F50BD">
        <w:rPr>
          <w:rFonts w:ascii="Verdana" w:hAnsi="Verdana"/>
          <w:sz w:val="20"/>
          <w:lang w:val="pt-BR"/>
        </w:rPr>
        <w:t>co</w:t>
      </w:r>
      <w:r w:rsidR="005F10C4" w:rsidRPr="002F50BD">
        <w:rPr>
          <w:rFonts w:ascii="Verdana" w:hAnsi="Verdana"/>
          <w:sz w:val="20"/>
          <w:lang w:val="pt-BR"/>
        </w:rPr>
        <w:t>i</w:t>
      </w:r>
      <w:r w:rsidR="004756C1" w:rsidRPr="002F50BD">
        <w:rPr>
          <w:rFonts w:ascii="Verdana" w:hAnsi="Verdana"/>
          <w:sz w:val="20"/>
          <w:lang w:val="pt-BR"/>
        </w:rPr>
        <w:t xml:space="preserve">sas </w:t>
      </w:r>
      <w:r w:rsidRPr="002F50BD">
        <w:rPr>
          <w:rFonts w:ascii="Verdana" w:hAnsi="Verdana"/>
          <w:sz w:val="20"/>
          <w:lang w:val="pt-BR"/>
        </w:rPr>
        <w:t xml:space="preserve">do </w:t>
      </w:r>
      <w:r w:rsidR="004756C1" w:rsidRPr="002F50BD">
        <w:rPr>
          <w:rFonts w:ascii="Verdana" w:hAnsi="Verdana"/>
          <w:sz w:val="20"/>
          <w:lang w:val="pt-BR"/>
        </w:rPr>
        <w:t>mundo</w:t>
      </w:r>
      <w:r w:rsidR="003D5A53" w:rsidRPr="002F50BD">
        <w:rPr>
          <w:rFonts w:ascii="Verdana" w:hAnsi="Verdana"/>
          <w:sz w:val="20"/>
          <w:lang w:val="pt-BR"/>
        </w:rPr>
        <w:t>. Ess</w:t>
      </w:r>
      <w:r w:rsidRPr="002F50BD">
        <w:rPr>
          <w:rFonts w:ascii="Verdana" w:hAnsi="Verdana"/>
          <w:sz w:val="20"/>
          <w:lang w:val="pt-BR"/>
        </w:rPr>
        <w:t xml:space="preserve">a </w:t>
      </w:r>
      <w:r w:rsidR="004756C1" w:rsidRPr="002F50BD">
        <w:rPr>
          <w:rFonts w:ascii="Verdana" w:hAnsi="Verdana"/>
          <w:sz w:val="20"/>
          <w:lang w:val="pt-BR"/>
        </w:rPr>
        <w:t xml:space="preserve">forma distinta </w:t>
      </w:r>
      <w:r w:rsidRPr="002F50BD">
        <w:rPr>
          <w:rFonts w:ascii="Verdana" w:hAnsi="Verdana"/>
          <w:sz w:val="20"/>
          <w:lang w:val="pt-BR"/>
        </w:rPr>
        <w:t>d</w:t>
      </w:r>
      <w:r w:rsidR="005F10C4" w:rsidRPr="002F50BD">
        <w:rPr>
          <w:rFonts w:ascii="Verdana" w:hAnsi="Verdana"/>
          <w:sz w:val="20"/>
          <w:lang w:val="pt-BR"/>
        </w:rPr>
        <w:t>e e</w:t>
      </w:r>
      <w:r w:rsidRPr="002F50BD">
        <w:rPr>
          <w:rFonts w:ascii="Verdana" w:hAnsi="Verdana"/>
          <w:sz w:val="20"/>
          <w:lang w:val="pt-BR"/>
        </w:rPr>
        <w:t>sta</w:t>
      </w:r>
      <w:r w:rsidR="004756C1" w:rsidRPr="002F50BD">
        <w:rPr>
          <w:rFonts w:ascii="Verdana" w:hAnsi="Verdana"/>
          <w:sz w:val="20"/>
          <w:lang w:val="pt-BR"/>
        </w:rPr>
        <w:t>r</w:t>
      </w:r>
      <w:r w:rsidRPr="002F50BD">
        <w:rPr>
          <w:rFonts w:ascii="Verdana" w:hAnsi="Verdana"/>
          <w:sz w:val="20"/>
          <w:lang w:val="pt-BR"/>
        </w:rPr>
        <w:t xml:space="preserve"> no </w:t>
      </w:r>
      <w:r w:rsidR="004756C1" w:rsidRPr="002F50BD">
        <w:rPr>
          <w:rFonts w:ascii="Verdana" w:hAnsi="Verdana"/>
          <w:sz w:val="20"/>
          <w:lang w:val="pt-BR"/>
        </w:rPr>
        <w:t xml:space="preserve">mundo, de </w:t>
      </w:r>
      <w:r w:rsidRPr="002F50BD">
        <w:rPr>
          <w:rFonts w:ascii="Verdana" w:hAnsi="Verdana"/>
          <w:sz w:val="20"/>
          <w:lang w:val="pt-BR"/>
        </w:rPr>
        <w:t xml:space="preserve">viver no </w:t>
      </w:r>
      <w:r w:rsidR="005F10C4" w:rsidRPr="002F50BD">
        <w:rPr>
          <w:rFonts w:ascii="Verdana" w:hAnsi="Verdana"/>
          <w:sz w:val="20"/>
          <w:lang w:val="pt-BR"/>
        </w:rPr>
        <w:t>mundo, dá</w:t>
      </w:r>
      <w:r w:rsidRPr="002F50BD">
        <w:rPr>
          <w:rFonts w:ascii="Verdana" w:hAnsi="Verdana"/>
          <w:sz w:val="20"/>
          <w:lang w:val="pt-BR"/>
        </w:rPr>
        <w:t xml:space="preserve"> um </w:t>
      </w:r>
      <w:r w:rsidR="004756C1" w:rsidRPr="002F50BD">
        <w:rPr>
          <w:rFonts w:ascii="Verdana" w:hAnsi="Verdana"/>
          <w:sz w:val="20"/>
          <w:lang w:val="pt-BR"/>
        </w:rPr>
        <w:t xml:space="preserve">sentido a </w:t>
      </w:r>
      <w:r w:rsidRPr="002F50BD">
        <w:rPr>
          <w:rFonts w:ascii="Verdana" w:hAnsi="Verdana"/>
          <w:sz w:val="20"/>
          <w:lang w:val="pt-BR"/>
        </w:rPr>
        <w:t>nossa</w:t>
      </w:r>
      <w:r w:rsidR="004756C1" w:rsidRPr="002F50BD">
        <w:rPr>
          <w:rFonts w:ascii="Verdana" w:hAnsi="Verdana"/>
          <w:sz w:val="20"/>
          <w:lang w:val="pt-BR"/>
        </w:rPr>
        <w:t>s vidas, marca</w:t>
      </w:r>
      <w:r w:rsidRPr="002F50BD">
        <w:rPr>
          <w:rFonts w:ascii="Verdana" w:hAnsi="Verdana"/>
          <w:sz w:val="20"/>
          <w:lang w:val="pt-BR"/>
        </w:rPr>
        <w:t xml:space="preserve"> um </w:t>
      </w:r>
      <w:r w:rsidR="004756C1" w:rsidRPr="002F50BD">
        <w:rPr>
          <w:rFonts w:ascii="Verdana" w:hAnsi="Verdana"/>
          <w:sz w:val="20"/>
          <w:lang w:val="pt-BR"/>
        </w:rPr>
        <w:t>horizonte</w:t>
      </w:r>
      <w:r w:rsidRPr="002F50BD">
        <w:rPr>
          <w:rFonts w:ascii="Verdana" w:hAnsi="Verdana"/>
          <w:sz w:val="20"/>
          <w:lang w:val="pt-BR"/>
        </w:rPr>
        <w:t xml:space="preserve"> e um </w:t>
      </w:r>
      <w:r w:rsidR="004756C1" w:rsidRPr="002F50BD">
        <w:rPr>
          <w:rFonts w:ascii="Verdana" w:hAnsi="Verdana"/>
          <w:sz w:val="20"/>
          <w:lang w:val="pt-BR"/>
        </w:rPr>
        <w:t>futuro. Sobre</w:t>
      </w:r>
      <w:r w:rsidRPr="002F50BD">
        <w:rPr>
          <w:rFonts w:ascii="Verdana" w:hAnsi="Verdana"/>
          <w:sz w:val="20"/>
          <w:lang w:val="pt-BR"/>
        </w:rPr>
        <w:t xml:space="preserve"> esse </w:t>
      </w:r>
      <w:r w:rsidR="004756C1" w:rsidRPr="002F50BD">
        <w:rPr>
          <w:rFonts w:ascii="Verdana" w:hAnsi="Verdana"/>
          <w:sz w:val="20"/>
          <w:lang w:val="pt-BR"/>
        </w:rPr>
        <w:t>horizonte</w:t>
      </w:r>
      <w:r w:rsidRPr="002F50BD">
        <w:rPr>
          <w:rFonts w:ascii="Verdana" w:hAnsi="Verdana"/>
          <w:sz w:val="20"/>
          <w:lang w:val="pt-BR"/>
        </w:rPr>
        <w:t xml:space="preserve"> e esse </w:t>
      </w:r>
      <w:r w:rsidR="004756C1" w:rsidRPr="002F50BD">
        <w:rPr>
          <w:rFonts w:ascii="Verdana" w:hAnsi="Verdana"/>
          <w:sz w:val="20"/>
          <w:lang w:val="pt-BR"/>
        </w:rPr>
        <w:t xml:space="preserve">futuro </w:t>
      </w:r>
      <w:r w:rsidR="00475EBB" w:rsidRPr="002F50BD">
        <w:rPr>
          <w:rFonts w:ascii="Verdana" w:hAnsi="Verdana"/>
          <w:sz w:val="20"/>
          <w:lang w:val="pt-BR"/>
        </w:rPr>
        <w:t xml:space="preserve">podem </w:t>
      </w:r>
      <w:r w:rsidR="004756C1" w:rsidRPr="002F50BD">
        <w:rPr>
          <w:rFonts w:ascii="Verdana" w:hAnsi="Verdana"/>
          <w:sz w:val="20"/>
          <w:lang w:val="pt-BR"/>
        </w:rPr>
        <w:t>ser pensados</w:t>
      </w:r>
      <w:r w:rsidRPr="002F50BD">
        <w:rPr>
          <w:rFonts w:ascii="Verdana" w:hAnsi="Verdana"/>
          <w:sz w:val="20"/>
          <w:lang w:val="pt-BR"/>
        </w:rPr>
        <w:t xml:space="preserve"> e </w:t>
      </w:r>
      <w:r w:rsidR="004756C1" w:rsidRPr="002F50BD">
        <w:rPr>
          <w:rFonts w:ascii="Verdana" w:hAnsi="Verdana"/>
          <w:sz w:val="20"/>
          <w:lang w:val="pt-BR"/>
        </w:rPr>
        <w:t>realizados</w:t>
      </w:r>
      <w:r w:rsidRPr="002F50BD">
        <w:rPr>
          <w:rFonts w:ascii="Verdana" w:hAnsi="Verdana"/>
          <w:sz w:val="20"/>
          <w:lang w:val="pt-BR"/>
        </w:rPr>
        <w:t xml:space="preserve"> os projeto</w:t>
      </w:r>
      <w:r w:rsidR="004756C1" w:rsidRPr="002F50BD">
        <w:rPr>
          <w:rFonts w:ascii="Verdana" w:hAnsi="Verdana"/>
          <w:sz w:val="20"/>
          <w:lang w:val="pt-BR"/>
        </w:rPr>
        <w:t>s</w:t>
      </w:r>
      <w:r w:rsidRPr="002F50BD">
        <w:rPr>
          <w:rFonts w:ascii="Verdana" w:hAnsi="Verdana"/>
          <w:sz w:val="20"/>
          <w:lang w:val="pt-BR"/>
        </w:rPr>
        <w:t xml:space="preserve"> e </w:t>
      </w:r>
      <w:r w:rsidR="00AB454A" w:rsidRPr="002F50BD">
        <w:rPr>
          <w:rFonts w:ascii="Verdana" w:hAnsi="Verdana"/>
          <w:sz w:val="20"/>
          <w:lang w:val="pt-BR"/>
        </w:rPr>
        <w:t>planos</w:t>
      </w:r>
      <w:r w:rsidR="004756C1" w:rsidRPr="002F50BD">
        <w:rPr>
          <w:rFonts w:ascii="Verdana" w:hAnsi="Verdana"/>
          <w:sz w:val="20"/>
          <w:lang w:val="pt-BR"/>
        </w:rPr>
        <w:t xml:space="preserve"> de vida.</w:t>
      </w:r>
      <w:r w:rsidRPr="002F50BD">
        <w:rPr>
          <w:rFonts w:ascii="Verdana" w:hAnsi="Verdana"/>
          <w:sz w:val="20"/>
          <w:lang w:val="pt-BR"/>
        </w:rPr>
        <w:t xml:space="preserve"> </w:t>
      </w:r>
      <w:r w:rsidR="005F10C4" w:rsidRPr="002F50BD">
        <w:rPr>
          <w:rFonts w:ascii="Verdana" w:hAnsi="Verdana"/>
          <w:sz w:val="20"/>
          <w:lang w:val="pt-BR"/>
        </w:rPr>
        <w:t>S</w:t>
      </w:r>
      <w:r w:rsidRPr="002F50BD">
        <w:rPr>
          <w:rFonts w:ascii="Verdana" w:hAnsi="Verdana"/>
          <w:sz w:val="20"/>
          <w:lang w:val="pt-BR"/>
        </w:rPr>
        <w:t>em ele</w:t>
      </w:r>
      <w:r w:rsidR="004756C1" w:rsidRPr="002F50BD">
        <w:rPr>
          <w:rFonts w:ascii="Verdana" w:hAnsi="Verdana"/>
          <w:sz w:val="20"/>
          <w:lang w:val="pt-BR"/>
        </w:rPr>
        <w:t>s,</w:t>
      </w:r>
      <w:r w:rsidRPr="002F50BD">
        <w:rPr>
          <w:rFonts w:ascii="Verdana" w:hAnsi="Verdana"/>
          <w:sz w:val="20"/>
          <w:lang w:val="pt-BR"/>
        </w:rPr>
        <w:t xml:space="preserve"> a </w:t>
      </w:r>
      <w:r w:rsidR="004756C1" w:rsidRPr="002F50BD">
        <w:rPr>
          <w:rFonts w:ascii="Verdana" w:hAnsi="Verdana"/>
          <w:sz w:val="20"/>
          <w:lang w:val="pt-BR"/>
        </w:rPr>
        <w:t>vida</w:t>
      </w:r>
      <w:r w:rsidRPr="002F50BD">
        <w:rPr>
          <w:rFonts w:ascii="Verdana" w:hAnsi="Verdana"/>
          <w:sz w:val="20"/>
          <w:lang w:val="pt-BR"/>
        </w:rPr>
        <w:t xml:space="preserve"> dos </w:t>
      </w:r>
      <w:r w:rsidR="004756C1" w:rsidRPr="002F50BD">
        <w:rPr>
          <w:rFonts w:ascii="Verdana" w:hAnsi="Verdana"/>
          <w:sz w:val="20"/>
          <w:lang w:val="pt-BR"/>
        </w:rPr>
        <w:t xml:space="preserve">seres humanos se </w:t>
      </w:r>
      <w:r w:rsidR="005F10C4" w:rsidRPr="002F50BD">
        <w:rPr>
          <w:rFonts w:ascii="Verdana" w:hAnsi="Verdana"/>
          <w:sz w:val="20"/>
          <w:lang w:val="pt-BR"/>
        </w:rPr>
        <w:t>torna vazia</w:t>
      </w:r>
      <w:r w:rsidR="004756C1" w:rsidRPr="002F50BD">
        <w:rPr>
          <w:rFonts w:ascii="Verdana" w:hAnsi="Verdana"/>
          <w:sz w:val="20"/>
          <w:lang w:val="pt-BR"/>
        </w:rPr>
        <w:t>;</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As terra</w:t>
      </w:r>
      <w:r w:rsidR="004756C1" w:rsidRPr="002F50BD">
        <w:rPr>
          <w:rFonts w:ascii="Verdana" w:hAnsi="Verdana"/>
          <w:sz w:val="20"/>
          <w:lang w:val="pt-BR"/>
        </w:rPr>
        <w:t xml:space="preserve">s que </w:t>
      </w:r>
      <w:r w:rsidRPr="002F50BD">
        <w:rPr>
          <w:rFonts w:ascii="Verdana" w:hAnsi="Verdana"/>
          <w:sz w:val="20"/>
          <w:lang w:val="pt-BR"/>
        </w:rPr>
        <w:t>foram</w:t>
      </w:r>
      <w:r w:rsidR="004756C1" w:rsidRPr="002F50BD">
        <w:rPr>
          <w:rFonts w:ascii="Verdana" w:hAnsi="Verdana"/>
          <w:sz w:val="20"/>
          <w:lang w:val="pt-BR"/>
        </w:rPr>
        <w:t xml:space="preserve"> </w:t>
      </w:r>
      <w:r w:rsidR="005F10C4" w:rsidRPr="002F50BD">
        <w:rPr>
          <w:rFonts w:ascii="Verdana" w:hAnsi="Verdana"/>
          <w:sz w:val="20"/>
          <w:lang w:val="pt-BR"/>
        </w:rPr>
        <w:t xml:space="preserve">historicamente </w:t>
      </w:r>
      <w:r w:rsidR="004756C1" w:rsidRPr="002F50BD">
        <w:rPr>
          <w:rFonts w:ascii="Verdana" w:hAnsi="Verdana"/>
          <w:sz w:val="20"/>
          <w:lang w:val="pt-BR"/>
        </w:rPr>
        <w:t>habitadas</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comunidades indígenas</w:t>
      </w:r>
      <w:r w:rsidR="00AB454A" w:rsidRPr="002F50BD">
        <w:rPr>
          <w:rFonts w:ascii="Verdana" w:hAnsi="Verdana"/>
          <w:sz w:val="20"/>
          <w:lang w:val="pt-BR"/>
        </w:rPr>
        <w:t xml:space="preserve"> não apenas</w:t>
      </w:r>
      <w:r w:rsidRPr="002F50BD">
        <w:rPr>
          <w:rFonts w:ascii="Verdana" w:hAnsi="Verdana"/>
          <w:sz w:val="20"/>
          <w:lang w:val="pt-BR"/>
        </w:rPr>
        <w:t xml:space="preserve"> são </w:t>
      </w:r>
      <w:r w:rsidR="004756C1" w:rsidRPr="002F50BD">
        <w:rPr>
          <w:rFonts w:ascii="Verdana" w:hAnsi="Verdana"/>
          <w:sz w:val="20"/>
          <w:lang w:val="pt-BR"/>
        </w:rPr>
        <w:t>s</w:t>
      </w:r>
      <w:r w:rsidR="005F10C4" w:rsidRPr="002F50BD">
        <w:rPr>
          <w:rFonts w:ascii="Verdana" w:hAnsi="Verdana"/>
          <w:sz w:val="20"/>
          <w:lang w:val="pt-BR"/>
        </w:rPr>
        <w:t>e</w:t>
      </w:r>
      <w:r w:rsidR="004756C1" w:rsidRPr="002F50BD">
        <w:rPr>
          <w:rFonts w:ascii="Verdana" w:hAnsi="Verdana"/>
          <w:sz w:val="20"/>
          <w:lang w:val="pt-BR"/>
        </w:rPr>
        <w:t xml:space="preserve">u </w:t>
      </w:r>
      <w:r w:rsidRPr="002F50BD">
        <w:rPr>
          <w:rFonts w:ascii="Verdana" w:hAnsi="Verdana"/>
          <w:sz w:val="20"/>
          <w:lang w:val="pt-BR"/>
        </w:rPr>
        <w:t xml:space="preserve">meio </w:t>
      </w:r>
      <w:r w:rsidR="004756C1" w:rsidRPr="002F50BD">
        <w:rPr>
          <w:rFonts w:ascii="Verdana" w:hAnsi="Verdana"/>
          <w:sz w:val="20"/>
          <w:lang w:val="pt-BR"/>
        </w:rPr>
        <w:t>de vida</w:t>
      </w:r>
      <w:r w:rsidRPr="002F50BD">
        <w:rPr>
          <w:rFonts w:ascii="Verdana" w:hAnsi="Verdana"/>
          <w:sz w:val="20"/>
          <w:lang w:val="pt-BR"/>
        </w:rPr>
        <w:t xml:space="preserve"> e </w:t>
      </w:r>
      <w:r w:rsidR="004756C1" w:rsidRPr="002F50BD">
        <w:rPr>
          <w:rFonts w:ascii="Verdana" w:hAnsi="Verdana"/>
          <w:sz w:val="20"/>
          <w:lang w:val="pt-BR"/>
        </w:rPr>
        <w:t>de sustento,</w:t>
      </w:r>
      <w:r w:rsidRPr="002F50BD">
        <w:rPr>
          <w:rFonts w:ascii="Verdana" w:hAnsi="Verdana"/>
          <w:sz w:val="20"/>
          <w:lang w:val="pt-BR"/>
        </w:rPr>
        <w:t xml:space="preserve"> mas a </w:t>
      </w:r>
      <w:r w:rsidR="004756C1" w:rsidRPr="002F50BD">
        <w:rPr>
          <w:rFonts w:ascii="Verdana" w:hAnsi="Verdana"/>
          <w:sz w:val="20"/>
          <w:lang w:val="pt-BR"/>
        </w:rPr>
        <w:t>base de su</w:t>
      </w:r>
      <w:r w:rsidR="005F10C4" w:rsidRPr="002F50BD">
        <w:rPr>
          <w:rFonts w:ascii="Verdana" w:hAnsi="Verdana"/>
          <w:sz w:val="20"/>
          <w:lang w:val="pt-BR"/>
        </w:rPr>
        <w:t>a</w:t>
      </w:r>
      <w:r w:rsidR="004756C1" w:rsidRPr="002F50BD">
        <w:rPr>
          <w:rFonts w:ascii="Verdana" w:hAnsi="Verdana"/>
          <w:sz w:val="20"/>
          <w:lang w:val="pt-BR"/>
        </w:rPr>
        <w:t xml:space="preserve"> </w:t>
      </w:r>
      <w:r w:rsidR="005F10C4" w:rsidRPr="002F50BD">
        <w:rPr>
          <w:rFonts w:ascii="Verdana" w:hAnsi="Verdana"/>
          <w:sz w:val="20"/>
          <w:lang w:val="pt-BR"/>
        </w:rPr>
        <w:t xml:space="preserve">própria </w:t>
      </w:r>
      <w:r w:rsidRPr="002F50BD">
        <w:rPr>
          <w:rFonts w:ascii="Verdana" w:hAnsi="Verdana"/>
          <w:sz w:val="20"/>
          <w:lang w:val="pt-BR"/>
        </w:rPr>
        <w:t>existência</w:t>
      </w:r>
      <w:r w:rsidR="004756C1" w:rsidRPr="002F50BD">
        <w:rPr>
          <w:rFonts w:ascii="Verdana" w:hAnsi="Verdana"/>
          <w:sz w:val="20"/>
          <w:lang w:val="pt-BR"/>
        </w:rPr>
        <w:t>,</w:t>
      </w:r>
      <w:r w:rsidRPr="002F50BD">
        <w:rPr>
          <w:rFonts w:ascii="Verdana" w:hAnsi="Verdana"/>
          <w:sz w:val="20"/>
          <w:lang w:val="pt-BR"/>
        </w:rPr>
        <w:t xml:space="preserve"> o suporte </w:t>
      </w:r>
      <w:r w:rsidR="00FC6B22" w:rsidRPr="002F50BD">
        <w:rPr>
          <w:rFonts w:ascii="Verdana" w:hAnsi="Verdana"/>
          <w:sz w:val="20"/>
          <w:lang w:val="pt-BR"/>
        </w:rPr>
        <w:t>a partir d</w:t>
      </w:r>
      <w:r w:rsidRPr="002F50BD">
        <w:rPr>
          <w:rFonts w:ascii="Verdana" w:hAnsi="Verdana"/>
          <w:sz w:val="20"/>
          <w:lang w:val="pt-BR"/>
        </w:rPr>
        <w:t>o qual desenvolvem</w:t>
      </w:r>
      <w:r w:rsidR="004756C1" w:rsidRPr="002F50BD">
        <w:rPr>
          <w:rFonts w:ascii="Verdana" w:hAnsi="Verdana"/>
          <w:sz w:val="20"/>
          <w:lang w:val="pt-BR"/>
        </w:rPr>
        <w:t xml:space="preserve"> su</w:t>
      </w:r>
      <w:r w:rsidR="005F10C4" w:rsidRPr="002F50BD">
        <w:rPr>
          <w:rFonts w:ascii="Verdana" w:hAnsi="Verdana"/>
          <w:sz w:val="20"/>
          <w:lang w:val="pt-BR"/>
        </w:rPr>
        <w:t>a</w:t>
      </w:r>
      <w:r w:rsidR="004756C1" w:rsidRPr="002F50BD">
        <w:rPr>
          <w:rFonts w:ascii="Verdana" w:hAnsi="Verdana"/>
          <w:sz w:val="20"/>
          <w:lang w:val="pt-BR"/>
        </w:rPr>
        <w:t>s identidades</w:t>
      </w:r>
      <w:r w:rsidRPr="002F50BD">
        <w:rPr>
          <w:rFonts w:ascii="Verdana" w:hAnsi="Verdana"/>
          <w:sz w:val="20"/>
          <w:lang w:val="pt-BR"/>
        </w:rPr>
        <w:t xml:space="preserve"> e </w:t>
      </w:r>
      <w:r w:rsidR="004756C1" w:rsidRPr="002F50BD">
        <w:rPr>
          <w:rFonts w:ascii="Verdana" w:hAnsi="Verdana"/>
          <w:sz w:val="20"/>
          <w:lang w:val="pt-BR"/>
        </w:rPr>
        <w:t>su</w:t>
      </w:r>
      <w:r w:rsidR="005F10C4" w:rsidRPr="002F50BD">
        <w:rPr>
          <w:rFonts w:ascii="Verdana" w:hAnsi="Verdana"/>
          <w:sz w:val="20"/>
          <w:lang w:val="pt-BR"/>
        </w:rPr>
        <w:t>a</w:t>
      </w:r>
      <w:r w:rsidR="004756C1" w:rsidRPr="002F50BD">
        <w:rPr>
          <w:rFonts w:ascii="Verdana" w:hAnsi="Verdana"/>
          <w:sz w:val="20"/>
          <w:lang w:val="pt-BR"/>
        </w:rPr>
        <w:t>s vis</w:t>
      </w:r>
      <w:r w:rsidR="005F10C4" w:rsidRPr="002F50BD">
        <w:rPr>
          <w:rFonts w:ascii="Verdana" w:hAnsi="Verdana"/>
          <w:sz w:val="20"/>
          <w:lang w:val="pt-BR"/>
        </w:rPr>
        <w:t xml:space="preserve">ões </w:t>
      </w:r>
      <w:r w:rsidRPr="002F50BD">
        <w:rPr>
          <w:rFonts w:ascii="Verdana" w:hAnsi="Verdana"/>
          <w:sz w:val="20"/>
          <w:lang w:val="pt-BR"/>
        </w:rPr>
        <w:t xml:space="preserve">do </w:t>
      </w:r>
      <w:r w:rsidR="004756C1" w:rsidRPr="002F50BD">
        <w:rPr>
          <w:rFonts w:ascii="Verdana" w:hAnsi="Verdana"/>
          <w:sz w:val="20"/>
          <w:lang w:val="pt-BR"/>
        </w:rPr>
        <w:t>mundo.</w:t>
      </w:r>
      <w:r w:rsidR="00FE08B7">
        <w:rPr>
          <w:rFonts w:ascii="Verdana" w:hAnsi="Verdana"/>
          <w:sz w:val="20"/>
          <w:lang w:val="pt-BR"/>
        </w:rPr>
        <w:t xml:space="preserve"> </w:t>
      </w:r>
      <w:r w:rsidRPr="002F50BD">
        <w:rPr>
          <w:rFonts w:ascii="Verdana" w:hAnsi="Verdana"/>
          <w:sz w:val="20"/>
          <w:lang w:val="pt-BR"/>
        </w:rPr>
        <w:t>Constitu</w:t>
      </w:r>
      <w:r w:rsidR="005F10C4" w:rsidRPr="002F50BD">
        <w:rPr>
          <w:rFonts w:ascii="Verdana" w:hAnsi="Verdana"/>
          <w:sz w:val="20"/>
          <w:lang w:val="pt-BR"/>
        </w:rPr>
        <w:t>em</w:t>
      </w:r>
      <w:r w:rsidR="004756C1" w:rsidRPr="002F50BD">
        <w:rPr>
          <w:rFonts w:ascii="Verdana" w:hAnsi="Verdana"/>
          <w:sz w:val="20"/>
          <w:lang w:val="pt-BR"/>
        </w:rPr>
        <w:t>,</w:t>
      </w:r>
      <w:r w:rsidRPr="002F50BD">
        <w:rPr>
          <w:rFonts w:ascii="Verdana" w:hAnsi="Verdana"/>
          <w:sz w:val="20"/>
          <w:lang w:val="pt-BR"/>
        </w:rPr>
        <w:t xml:space="preserve"> </w:t>
      </w:r>
      <w:r w:rsidR="00FB33DD" w:rsidRPr="002F50BD">
        <w:rPr>
          <w:rFonts w:ascii="Verdana" w:hAnsi="Verdana"/>
          <w:sz w:val="20"/>
          <w:lang w:val="pt-BR"/>
        </w:rPr>
        <w:t>nesse</w:t>
      </w:r>
      <w:r w:rsidRPr="002F50BD">
        <w:rPr>
          <w:rFonts w:ascii="Verdana" w:hAnsi="Verdana"/>
          <w:sz w:val="20"/>
          <w:lang w:val="pt-BR"/>
        </w:rPr>
        <w:t xml:space="preserve"> </w:t>
      </w:r>
      <w:r w:rsidR="004756C1" w:rsidRPr="002F50BD">
        <w:rPr>
          <w:rFonts w:ascii="Verdana" w:hAnsi="Verdana"/>
          <w:sz w:val="20"/>
          <w:lang w:val="pt-BR"/>
        </w:rPr>
        <w:t>sentido,</w:t>
      </w:r>
      <w:r w:rsidRPr="002F50BD">
        <w:rPr>
          <w:rFonts w:ascii="Verdana" w:hAnsi="Verdana"/>
          <w:sz w:val="20"/>
          <w:lang w:val="pt-BR"/>
        </w:rPr>
        <w:t xml:space="preserve"> um </w:t>
      </w:r>
      <w:r w:rsidR="004756C1" w:rsidRPr="002F50BD">
        <w:rPr>
          <w:rFonts w:ascii="Verdana" w:hAnsi="Verdana"/>
          <w:sz w:val="20"/>
          <w:lang w:val="pt-BR"/>
        </w:rPr>
        <w:t>elemento integrante de su</w:t>
      </w:r>
      <w:r w:rsidR="005F10C4" w:rsidRPr="002F50BD">
        <w:rPr>
          <w:rFonts w:ascii="Verdana" w:hAnsi="Verdana"/>
          <w:sz w:val="20"/>
          <w:lang w:val="pt-BR"/>
        </w:rPr>
        <w:t>a</w:t>
      </w:r>
      <w:r w:rsidR="004756C1" w:rsidRPr="002F50BD">
        <w:rPr>
          <w:rFonts w:ascii="Verdana" w:hAnsi="Verdana"/>
          <w:sz w:val="20"/>
          <w:lang w:val="pt-BR"/>
        </w:rPr>
        <w:t xml:space="preserve"> cosmo</w:t>
      </w:r>
      <w:r w:rsidR="008B1D76" w:rsidRPr="002F50BD">
        <w:rPr>
          <w:rFonts w:ascii="Verdana" w:hAnsi="Verdana"/>
          <w:sz w:val="20"/>
          <w:lang w:val="pt-BR"/>
        </w:rPr>
        <w:t>visão</w:t>
      </w:r>
      <w:r w:rsidRPr="002F50BD">
        <w:rPr>
          <w:rFonts w:ascii="Verdana" w:hAnsi="Verdana"/>
          <w:sz w:val="20"/>
          <w:lang w:val="pt-BR"/>
        </w:rPr>
        <w:t xml:space="preserve"> e </w:t>
      </w:r>
      <w:r w:rsidR="004756C1" w:rsidRPr="002F50BD">
        <w:rPr>
          <w:rFonts w:ascii="Verdana" w:hAnsi="Verdana"/>
          <w:sz w:val="20"/>
          <w:lang w:val="pt-BR"/>
        </w:rPr>
        <w:t>de su</w:t>
      </w:r>
      <w:r w:rsidR="005F10C4" w:rsidRPr="002F50BD">
        <w:rPr>
          <w:rFonts w:ascii="Verdana" w:hAnsi="Verdana"/>
          <w:sz w:val="20"/>
          <w:lang w:val="pt-BR"/>
        </w:rPr>
        <w:t>a</w:t>
      </w:r>
      <w:r w:rsidR="004756C1" w:rsidRPr="002F50BD">
        <w:rPr>
          <w:rFonts w:ascii="Verdana" w:hAnsi="Verdana"/>
          <w:sz w:val="20"/>
          <w:lang w:val="pt-BR"/>
        </w:rPr>
        <w:t xml:space="preserve"> espiritualidad</w:t>
      </w:r>
      <w:r w:rsidR="005F10C4" w:rsidRPr="002F50BD">
        <w:rPr>
          <w:rFonts w:ascii="Verdana" w:hAnsi="Verdana"/>
          <w:sz w:val="20"/>
          <w:lang w:val="pt-BR"/>
        </w:rPr>
        <w:t>e</w:t>
      </w:r>
      <w:r w:rsidRPr="002F50BD">
        <w:rPr>
          <w:rFonts w:ascii="Verdana" w:hAnsi="Verdana"/>
          <w:sz w:val="20"/>
          <w:lang w:val="pt-BR"/>
        </w:rPr>
        <w:t xml:space="preserve"> e </w:t>
      </w:r>
      <w:r w:rsidR="004756C1" w:rsidRPr="002F50BD">
        <w:rPr>
          <w:rFonts w:ascii="Verdana" w:hAnsi="Verdana"/>
          <w:sz w:val="20"/>
          <w:lang w:val="pt-BR"/>
        </w:rPr>
        <w:t>religiosidad</w:t>
      </w:r>
      <w:r w:rsidR="005F10C4" w:rsidRPr="002F50BD">
        <w:rPr>
          <w:rFonts w:ascii="Verdana" w:hAnsi="Verdana"/>
          <w:sz w:val="20"/>
          <w:lang w:val="pt-BR"/>
        </w:rPr>
        <w:t>e</w:t>
      </w:r>
      <w:r w:rsidR="004076AD" w:rsidRPr="002F50BD">
        <w:rPr>
          <w:rFonts w:ascii="Verdana" w:hAnsi="Verdana"/>
          <w:sz w:val="20"/>
          <w:lang w:val="pt-BR"/>
        </w:rPr>
        <w:t>. Des</w:t>
      </w:r>
      <w:r w:rsidR="000A7E90">
        <w:rPr>
          <w:rFonts w:ascii="Verdana" w:hAnsi="Verdana"/>
          <w:sz w:val="20"/>
          <w:lang w:val="pt-BR"/>
        </w:rPr>
        <w:t>s</w:t>
      </w:r>
      <w:r w:rsidR="004076AD" w:rsidRPr="002F50BD">
        <w:rPr>
          <w:rFonts w:ascii="Verdana" w:hAnsi="Verdana"/>
          <w:sz w:val="20"/>
          <w:lang w:val="pt-BR"/>
        </w:rPr>
        <w:t>e</w:t>
      </w:r>
      <w:r w:rsidRPr="002F50BD">
        <w:rPr>
          <w:rFonts w:ascii="Verdana" w:hAnsi="Verdana"/>
          <w:sz w:val="20"/>
          <w:lang w:val="pt-BR"/>
        </w:rPr>
        <w:t xml:space="preserve"> </w:t>
      </w:r>
      <w:r w:rsidR="004756C1" w:rsidRPr="002F50BD">
        <w:rPr>
          <w:rFonts w:ascii="Verdana" w:hAnsi="Verdana"/>
          <w:sz w:val="20"/>
          <w:lang w:val="pt-BR"/>
        </w:rPr>
        <w:t>modo,</w:t>
      </w:r>
      <w:r w:rsidRPr="002F50BD">
        <w:rPr>
          <w:rFonts w:ascii="Verdana" w:hAnsi="Verdana"/>
          <w:sz w:val="20"/>
          <w:lang w:val="pt-BR"/>
        </w:rPr>
        <w:t xml:space="preserve"> a </w:t>
      </w:r>
      <w:r w:rsidR="004076AD" w:rsidRPr="002F50BD">
        <w:rPr>
          <w:rFonts w:ascii="Verdana" w:hAnsi="Verdana"/>
          <w:sz w:val="20"/>
          <w:lang w:val="pt-BR"/>
        </w:rPr>
        <w:t>sobrevivência</w:t>
      </w:r>
      <w:r w:rsidR="004756C1" w:rsidRPr="002F50BD">
        <w:rPr>
          <w:rFonts w:ascii="Verdana" w:hAnsi="Verdana"/>
          <w:sz w:val="20"/>
          <w:lang w:val="pt-BR"/>
        </w:rPr>
        <w:t xml:space="preserve"> </w:t>
      </w:r>
      <w:r w:rsidRPr="002F50BD">
        <w:rPr>
          <w:rFonts w:ascii="Verdana" w:hAnsi="Verdana"/>
          <w:sz w:val="20"/>
          <w:lang w:val="pt-BR"/>
        </w:rPr>
        <w:t>coletiv</w:t>
      </w:r>
      <w:r w:rsidR="004756C1" w:rsidRPr="002F50BD">
        <w:rPr>
          <w:rFonts w:ascii="Verdana" w:hAnsi="Verdana"/>
          <w:sz w:val="20"/>
          <w:lang w:val="pt-BR"/>
        </w:rPr>
        <w:t>a</w:t>
      </w:r>
      <w:r w:rsidRPr="002F50BD">
        <w:rPr>
          <w:rFonts w:ascii="Verdana" w:hAnsi="Verdana"/>
          <w:sz w:val="20"/>
          <w:lang w:val="pt-BR"/>
        </w:rPr>
        <w:t xml:space="preserve"> dos povo</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 xml:space="preserve">comunidades indígenas, entendida como </w:t>
      </w:r>
      <w:r w:rsidR="004076AD" w:rsidRPr="002F50BD">
        <w:rPr>
          <w:rFonts w:ascii="Verdana" w:hAnsi="Verdana"/>
          <w:sz w:val="20"/>
          <w:lang w:val="pt-BR"/>
        </w:rPr>
        <w:t>sobrevivência</w:t>
      </w:r>
      <w:r w:rsidR="004756C1" w:rsidRPr="002F50BD">
        <w:rPr>
          <w:rFonts w:ascii="Verdana" w:hAnsi="Verdana"/>
          <w:sz w:val="20"/>
          <w:lang w:val="pt-BR"/>
        </w:rPr>
        <w:t xml:space="preserve"> de vida</w:t>
      </w:r>
      <w:r w:rsidRPr="002F50BD">
        <w:rPr>
          <w:rFonts w:ascii="Verdana" w:hAnsi="Verdana"/>
          <w:sz w:val="20"/>
          <w:lang w:val="pt-BR"/>
        </w:rPr>
        <w:t xml:space="preserve"> e </w:t>
      </w:r>
      <w:r w:rsidR="004756C1" w:rsidRPr="002F50BD">
        <w:rPr>
          <w:rFonts w:ascii="Verdana" w:hAnsi="Verdana"/>
          <w:sz w:val="20"/>
          <w:lang w:val="pt-BR"/>
        </w:rPr>
        <w:t xml:space="preserve">de cultura, está vinculada </w:t>
      </w:r>
      <w:r w:rsidR="005F10C4" w:rsidRPr="002F50BD">
        <w:rPr>
          <w:rFonts w:ascii="Verdana" w:hAnsi="Verdana"/>
          <w:sz w:val="20"/>
          <w:lang w:val="pt-BR"/>
        </w:rPr>
        <w:t>i</w:t>
      </w:r>
      <w:r w:rsidR="004756C1" w:rsidRPr="002F50BD">
        <w:rPr>
          <w:rFonts w:ascii="Verdana" w:hAnsi="Verdana"/>
          <w:sz w:val="20"/>
          <w:lang w:val="pt-BR"/>
        </w:rPr>
        <w:t xml:space="preserve">ntimamente </w:t>
      </w:r>
      <w:r w:rsidR="005F10C4" w:rsidRPr="002F50BD">
        <w:rPr>
          <w:rFonts w:ascii="Verdana" w:hAnsi="Verdana"/>
          <w:sz w:val="20"/>
          <w:lang w:val="pt-BR"/>
        </w:rPr>
        <w:t>à</w:t>
      </w:r>
      <w:r w:rsidR="004756C1" w:rsidRPr="002F50BD">
        <w:rPr>
          <w:rFonts w:ascii="Verdana" w:hAnsi="Verdana"/>
          <w:sz w:val="20"/>
          <w:lang w:val="pt-BR"/>
        </w:rPr>
        <w:t xml:space="preserve"> </w:t>
      </w:r>
      <w:r w:rsidR="00475EBB" w:rsidRPr="002F50BD">
        <w:rPr>
          <w:rFonts w:ascii="Verdana" w:hAnsi="Verdana"/>
          <w:sz w:val="20"/>
          <w:lang w:val="pt-BR"/>
        </w:rPr>
        <w:t>sua terra</w:t>
      </w:r>
      <w:r w:rsidRPr="002F50BD">
        <w:rPr>
          <w:rFonts w:ascii="Verdana" w:hAnsi="Verdana"/>
          <w:sz w:val="20"/>
          <w:lang w:val="pt-BR"/>
        </w:rPr>
        <w:t xml:space="preserve"> e território</w:t>
      </w:r>
      <w:r w:rsidR="004756C1" w:rsidRPr="002F50BD">
        <w:rPr>
          <w:rFonts w:ascii="Verdana" w:hAnsi="Verdana"/>
          <w:sz w:val="20"/>
          <w:lang w:val="pt-BR"/>
        </w:rPr>
        <w:t>;</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vínculo humano, espiritual</w:t>
      </w:r>
      <w:r w:rsidRPr="002F50BD">
        <w:rPr>
          <w:rFonts w:ascii="Verdana" w:hAnsi="Verdana"/>
          <w:sz w:val="20"/>
          <w:lang w:val="pt-BR"/>
        </w:rPr>
        <w:t xml:space="preserve"> e </w:t>
      </w:r>
      <w:r w:rsidR="004756C1" w:rsidRPr="002F50BD">
        <w:rPr>
          <w:rFonts w:ascii="Verdana" w:hAnsi="Verdana"/>
          <w:sz w:val="20"/>
          <w:lang w:val="pt-BR"/>
        </w:rPr>
        <w:t>cultural</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 xml:space="preserve"> com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é </w:t>
      </w:r>
      <w:r w:rsidR="004756C1" w:rsidRPr="002F50BD">
        <w:rPr>
          <w:rFonts w:ascii="Verdana" w:hAnsi="Verdana"/>
          <w:sz w:val="20"/>
          <w:lang w:val="pt-BR"/>
        </w:rPr>
        <w:t>profundamente sentido por</w:t>
      </w:r>
      <w:r w:rsidRPr="002F50BD">
        <w:rPr>
          <w:rFonts w:ascii="Verdana" w:hAnsi="Verdana"/>
          <w:sz w:val="20"/>
          <w:lang w:val="pt-BR"/>
        </w:rPr>
        <w:t xml:space="preserve"> ele</w:t>
      </w:r>
      <w:r w:rsidR="004756C1" w:rsidRPr="002F50BD">
        <w:rPr>
          <w:rFonts w:ascii="Verdana" w:hAnsi="Verdana"/>
          <w:sz w:val="20"/>
          <w:lang w:val="pt-BR"/>
        </w:rPr>
        <w:t>s</w:t>
      </w:r>
      <w:r w:rsidR="00BE346D" w:rsidRPr="002F50BD">
        <w:rPr>
          <w:rFonts w:ascii="Verdana" w:hAnsi="Verdana"/>
          <w:sz w:val="20"/>
          <w:lang w:val="pt-BR"/>
        </w:rPr>
        <w:t xml:space="preserve">. A </w:t>
      </w:r>
      <w:r w:rsidRPr="002F50BD">
        <w:rPr>
          <w:rFonts w:ascii="Verdana" w:hAnsi="Verdana"/>
          <w:sz w:val="20"/>
          <w:lang w:val="pt-BR"/>
        </w:rPr>
        <w:t>terra</w:t>
      </w:r>
      <w:r w:rsidR="004756C1" w:rsidRPr="002F50BD">
        <w:rPr>
          <w:rFonts w:ascii="Verdana" w:hAnsi="Verdana"/>
          <w:sz w:val="20"/>
          <w:lang w:val="pt-BR"/>
        </w:rPr>
        <w:t xml:space="preserve"> ancestral</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 o </w:t>
      </w:r>
      <w:r w:rsidR="001A0CDE" w:rsidRPr="002F50BD">
        <w:rPr>
          <w:rFonts w:ascii="Verdana" w:hAnsi="Verdana"/>
          <w:i/>
          <w:sz w:val="20"/>
          <w:lang w:val="pt-BR"/>
        </w:rPr>
        <w:t>habitat</w:t>
      </w:r>
      <w:r w:rsidR="004756C1" w:rsidRPr="002F50BD">
        <w:rPr>
          <w:rFonts w:ascii="Verdana" w:hAnsi="Verdana"/>
          <w:sz w:val="20"/>
          <w:lang w:val="pt-BR"/>
        </w:rPr>
        <w:t xml:space="preserve"> </w:t>
      </w:r>
      <w:r w:rsidR="00C63586" w:rsidRPr="002F50BD">
        <w:rPr>
          <w:rFonts w:ascii="Verdana" w:hAnsi="Verdana"/>
          <w:sz w:val="20"/>
          <w:lang w:val="pt-BR"/>
        </w:rPr>
        <w:t xml:space="preserve">nessa terra </w:t>
      </w:r>
      <w:r w:rsidR="004756C1" w:rsidRPr="002F50BD">
        <w:rPr>
          <w:rFonts w:ascii="Verdana" w:hAnsi="Verdana"/>
          <w:sz w:val="20"/>
          <w:lang w:val="pt-BR"/>
        </w:rPr>
        <w:t>que</w:t>
      </w:r>
      <w:r w:rsidRPr="002F50BD">
        <w:rPr>
          <w:rFonts w:ascii="Verdana" w:hAnsi="Verdana"/>
          <w:sz w:val="20"/>
          <w:lang w:val="pt-BR"/>
        </w:rPr>
        <w:t xml:space="preserve"> </w:t>
      </w:r>
      <w:r w:rsidR="005F10C4" w:rsidRPr="002F50BD">
        <w:rPr>
          <w:rFonts w:ascii="Verdana" w:hAnsi="Verdana"/>
          <w:sz w:val="20"/>
          <w:lang w:val="pt-BR"/>
        </w:rPr>
        <w:t xml:space="preserve">seus membros </w:t>
      </w:r>
      <w:r w:rsidR="00C63586" w:rsidRPr="002F50BD">
        <w:rPr>
          <w:rFonts w:ascii="Verdana" w:hAnsi="Verdana"/>
          <w:sz w:val="20"/>
          <w:lang w:val="pt-BR"/>
        </w:rPr>
        <w:t xml:space="preserve">percorreram </w:t>
      </w:r>
      <w:r w:rsidR="005F10C4" w:rsidRPr="002F50BD">
        <w:rPr>
          <w:rFonts w:ascii="Verdana" w:hAnsi="Verdana"/>
          <w:sz w:val="20"/>
          <w:lang w:val="pt-BR"/>
        </w:rPr>
        <w:t xml:space="preserve">e humanizaram </w:t>
      </w:r>
      <w:r w:rsidR="004756C1" w:rsidRPr="002F50BD">
        <w:rPr>
          <w:rFonts w:ascii="Verdana" w:hAnsi="Verdana"/>
          <w:sz w:val="20"/>
          <w:lang w:val="pt-BR"/>
        </w:rPr>
        <w:t>configura s</w:t>
      </w:r>
      <w:r w:rsidR="005F10C4" w:rsidRPr="002F50BD">
        <w:rPr>
          <w:rFonts w:ascii="Verdana" w:hAnsi="Verdana"/>
          <w:sz w:val="20"/>
          <w:lang w:val="pt-BR"/>
        </w:rPr>
        <w:t>e</w:t>
      </w:r>
      <w:r w:rsidR="004756C1" w:rsidRPr="002F50BD">
        <w:rPr>
          <w:rFonts w:ascii="Verdana" w:hAnsi="Verdana"/>
          <w:sz w:val="20"/>
          <w:lang w:val="pt-BR"/>
        </w:rPr>
        <w:t xml:space="preserve">u </w:t>
      </w:r>
      <w:r w:rsidRPr="002F50BD">
        <w:rPr>
          <w:rFonts w:ascii="Verdana" w:hAnsi="Verdana"/>
          <w:sz w:val="20"/>
          <w:lang w:val="pt-BR"/>
        </w:rPr>
        <w:t>passado</w:t>
      </w:r>
      <w:r w:rsidR="004756C1" w:rsidRPr="002F50BD">
        <w:rPr>
          <w:rFonts w:ascii="Verdana" w:hAnsi="Verdana"/>
          <w:sz w:val="20"/>
          <w:lang w:val="pt-BR"/>
        </w:rPr>
        <w:t>, s</w:t>
      </w:r>
      <w:r w:rsidR="005F10C4" w:rsidRPr="002F50BD">
        <w:rPr>
          <w:rFonts w:ascii="Verdana" w:hAnsi="Verdana"/>
          <w:sz w:val="20"/>
          <w:lang w:val="pt-BR"/>
        </w:rPr>
        <w:t>e</w:t>
      </w:r>
      <w:r w:rsidR="004756C1" w:rsidRPr="002F50BD">
        <w:rPr>
          <w:rFonts w:ascii="Verdana" w:hAnsi="Verdana"/>
          <w:sz w:val="20"/>
          <w:lang w:val="pt-BR"/>
        </w:rPr>
        <w:t>u presente</w:t>
      </w:r>
      <w:r w:rsidRPr="002F50BD">
        <w:rPr>
          <w:rFonts w:ascii="Verdana" w:hAnsi="Verdana"/>
          <w:sz w:val="20"/>
          <w:lang w:val="pt-BR"/>
        </w:rPr>
        <w:t xml:space="preserve"> e </w:t>
      </w:r>
      <w:r w:rsidR="004756C1" w:rsidRPr="002F50BD">
        <w:rPr>
          <w:rFonts w:ascii="Verdana" w:hAnsi="Verdana"/>
          <w:sz w:val="20"/>
          <w:lang w:val="pt-BR"/>
        </w:rPr>
        <w:t>s</w:t>
      </w:r>
      <w:r w:rsidR="005F10C4" w:rsidRPr="002F50BD">
        <w:rPr>
          <w:rFonts w:ascii="Verdana" w:hAnsi="Verdana"/>
          <w:sz w:val="20"/>
          <w:lang w:val="pt-BR"/>
        </w:rPr>
        <w:t>e</w:t>
      </w:r>
      <w:r w:rsidR="004756C1" w:rsidRPr="002F50BD">
        <w:rPr>
          <w:rFonts w:ascii="Verdana" w:hAnsi="Verdana"/>
          <w:sz w:val="20"/>
          <w:lang w:val="pt-BR"/>
        </w:rPr>
        <w:t>u futuro. Define</w:t>
      </w:r>
      <w:r w:rsidRPr="002F50BD">
        <w:rPr>
          <w:rFonts w:ascii="Verdana" w:hAnsi="Verdana"/>
          <w:sz w:val="20"/>
          <w:lang w:val="pt-BR"/>
        </w:rPr>
        <w:t xml:space="preserve"> a identidade da Comunidade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 xml:space="preserve"> e </w:t>
      </w:r>
      <w:r w:rsidR="004756C1" w:rsidRPr="002F50BD">
        <w:rPr>
          <w:rFonts w:ascii="Verdana" w:hAnsi="Verdana"/>
          <w:sz w:val="20"/>
          <w:lang w:val="pt-BR"/>
        </w:rPr>
        <w:t>representa</w:t>
      </w:r>
      <w:r w:rsidRPr="002F50BD">
        <w:rPr>
          <w:rFonts w:ascii="Verdana" w:hAnsi="Verdana"/>
          <w:sz w:val="20"/>
          <w:lang w:val="pt-BR"/>
        </w:rPr>
        <w:t xml:space="preserve"> o </w:t>
      </w:r>
      <w:r w:rsidR="004756C1" w:rsidRPr="002F50BD">
        <w:rPr>
          <w:rFonts w:ascii="Verdana" w:hAnsi="Verdana"/>
          <w:sz w:val="20"/>
          <w:lang w:val="pt-BR"/>
        </w:rPr>
        <w:t>lugar</w:t>
      </w:r>
      <w:r w:rsidRPr="002F50BD">
        <w:rPr>
          <w:rFonts w:ascii="Verdana" w:hAnsi="Verdana"/>
          <w:sz w:val="20"/>
          <w:lang w:val="pt-BR"/>
        </w:rPr>
        <w:t xml:space="preserve"> onde</w:t>
      </w:r>
      <w:r w:rsidR="004756C1" w:rsidRPr="002F50BD">
        <w:rPr>
          <w:rFonts w:ascii="Verdana" w:hAnsi="Verdana"/>
          <w:sz w:val="20"/>
          <w:lang w:val="pt-BR"/>
        </w:rPr>
        <w:t xml:space="preserve"> para</w:t>
      </w:r>
      <w:r w:rsidRPr="002F50BD">
        <w:rPr>
          <w:rFonts w:ascii="Verdana" w:hAnsi="Verdana"/>
          <w:sz w:val="20"/>
          <w:lang w:val="pt-BR"/>
        </w:rPr>
        <w:t xml:space="preserve"> ele</w:t>
      </w:r>
      <w:r w:rsidR="004756C1" w:rsidRPr="002F50BD">
        <w:rPr>
          <w:rFonts w:ascii="Verdana" w:hAnsi="Verdana"/>
          <w:sz w:val="20"/>
          <w:lang w:val="pt-BR"/>
        </w:rPr>
        <w:t xml:space="preserve">s </w:t>
      </w:r>
      <w:r w:rsidR="002F6C64" w:rsidRPr="002F50BD">
        <w:rPr>
          <w:rFonts w:ascii="Verdana" w:hAnsi="Verdana"/>
          <w:sz w:val="20"/>
          <w:lang w:val="pt-BR"/>
        </w:rPr>
        <w:t>é</w:t>
      </w:r>
      <w:r w:rsidR="004756C1" w:rsidRPr="002F50BD">
        <w:rPr>
          <w:rFonts w:ascii="Verdana" w:hAnsi="Verdana"/>
          <w:sz w:val="20"/>
          <w:lang w:val="pt-BR"/>
        </w:rPr>
        <w:t xml:space="preserve"> </w:t>
      </w:r>
      <w:r w:rsidRPr="002F50BD">
        <w:rPr>
          <w:rFonts w:ascii="Verdana" w:hAnsi="Verdana"/>
          <w:sz w:val="20"/>
          <w:lang w:val="pt-BR"/>
        </w:rPr>
        <w:t xml:space="preserve">possível </w:t>
      </w:r>
      <w:r w:rsidR="004756C1" w:rsidRPr="002F50BD">
        <w:rPr>
          <w:rFonts w:ascii="Verdana" w:hAnsi="Verdana"/>
          <w:sz w:val="20"/>
          <w:lang w:val="pt-BR"/>
        </w:rPr>
        <w:t>imaginar</w:t>
      </w:r>
      <w:r w:rsidRPr="002F50BD">
        <w:rPr>
          <w:rFonts w:ascii="Verdana" w:hAnsi="Verdana"/>
          <w:sz w:val="20"/>
          <w:lang w:val="pt-BR"/>
        </w:rPr>
        <w:t xml:space="preserve"> a </w:t>
      </w:r>
      <w:r w:rsidR="004756C1" w:rsidRPr="002F50BD">
        <w:rPr>
          <w:rFonts w:ascii="Verdana" w:hAnsi="Verdana"/>
          <w:sz w:val="20"/>
          <w:lang w:val="pt-BR"/>
        </w:rPr>
        <w:t>materializa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um projeto</w:t>
      </w:r>
      <w:r w:rsidR="004756C1" w:rsidRPr="002F50BD">
        <w:rPr>
          <w:rFonts w:ascii="Verdana" w:hAnsi="Verdana"/>
          <w:sz w:val="20"/>
          <w:lang w:val="pt-BR"/>
        </w:rPr>
        <w:t xml:space="preserve"> de vida </w:t>
      </w:r>
      <w:r w:rsidRPr="002F50BD">
        <w:rPr>
          <w:rFonts w:ascii="Verdana" w:hAnsi="Verdana"/>
          <w:sz w:val="20"/>
          <w:lang w:val="pt-BR"/>
        </w:rPr>
        <w:t>respeitos</w:t>
      </w:r>
      <w:r w:rsidR="004756C1" w:rsidRPr="002F50BD">
        <w:rPr>
          <w:rFonts w:ascii="Verdana" w:hAnsi="Verdana"/>
          <w:sz w:val="20"/>
          <w:lang w:val="pt-BR"/>
        </w:rPr>
        <w:t>o de su</w:t>
      </w:r>
      <w:r w:rsidR="005F10C4" w:rsidRPr="002F50BD">
        <w:rPr>
          <w:rFonts w:ascii="Verdana" w:hAnsi="Verdana"/>
          <w:sz w:val="20"/>
          <w:lang w:val="pt-BR"/>
        </w:rPr>
        <w:t>a cosmogoni</w:t>
      </w:r>
      <w:r w:rsidR="004756C1" w:rsidRPr="002F50BD">
        <w:rPr>
          <w:rFonts w:ascii="Verdana" w:hAnsi="Verdana"/>
          <w:sz w:val="20"/>
          <w:lang w:val="pt-BR"/>
        </w:rPr>
        <w:t>a</w:t>
      </w:r>
      <w:r w:rsidRPr="002F50BD">
        <w:rPr>
          <w:rFonts w:ascii="Verdana" w:hAnsi="Verdana"/>
          <w:sz w:val="20"/>
          <w:lang w:val="pt-BR"/>
        </w:rPr>
        <w:t xml:space="preserve"> e </w:t>
      </w:r>
      <w:r w:rsidR="004756C1" w:rsidRPr="002F50BD">
        <w:rPr>
          <w:rFonts w:ascii="Verdana" w:hAnsi="Verdana"/>
          <w:sz w:val="20"/>
          <w:lang w:val="pt-BR"/>
        </w:rPr>
        <w:t>de su</w:t>
      </w:r>
      <w:r w:rsidR="005F10C4" w:rsidRPr="002F50BD">
        <w:rPr>
          <w:rFonts w:ascii="Verdana" w:hAnsi="Verdana"/>
          <w:sz w:val="20"/>
          <w:lang w:val="pt-BR"/>
        </w:rPr>
        <w:t>a</w:t>
      </w:r>
      <w:r w:rsidR="004756C1" w:rsidRPr="002F50BD">
        <w:rPr>
          <w:rFonts w:ascii="Verdana" w:hAnsi="Verdana"/>
          <w:sz w:val="20"/>
          <w:lang w:val="pt-BR"/>
        </w:rPr>
        <w:t xml:space="preserve">s </w:t>
      </w:r>
      <w:r w:rsidRPr="002F50BD">
        <w:rPr>
          <w:rFonts w:ascii="Verdana" w:hAnsi="Verdana"/>
          <w:sz w:val="20"/>
          <w:lang w:val="pt-BR"/>
        </w:rPr>
        <w:t>prática</w:t>
      </w:r>
      <w:r w:rsidR="004756C1" w:rsidRPr="002F50BD">
        <w:rPr>
          <w:rFonts w:ascii="Verdana" w:hAnsi="Verdana"/>
          <w:sz w:val="20"/>
          <w:lang w:val="pt-BR"/>
        </w:rPr>
        <w:t xml:space="preserve">s </w:t>
      </w:r>
      <w:r w:rsidRPr="002F50BD">
        <w:rPr>
          <w:rFonts w:ascii="Verdana" w:hAnsi="Verdana"/>
          <w:sz w:val="20"/>
          <w:lang w:val="pt-BR"/>
        </w:rPr>
        <w:t>culturais</w:t>
      </w:r>
      <w:r w:rsidR="00BE346D" w:rsidRPr="002F50BD">
        <w:rPr>
          <w:rFonts w:ascii="Verdana" w:hAnsi="Verdana"/>
          <w:sz w:val="20"/>
          <w:lang w:val="pt-BR"/>
        </w:rPr>
        <w:t xml:space="preserve">. A </w:t>
      </w:r>
      <w:r w:rsidRPr="002F50BD">
        <w:rPr>
          <w:rFonts w:ascii="Verdana" w:hAnsi="Verdana"/>
          <w:sz w:val="20"/>
          <w:lang w:val="pt-BR"/>
        </w:rPr>
        <w:t xml:space="preserve">decisão da Comunidade </w:t>
      </w:r>
      <w:r w:rsidR="004756C1" w:rsidRPr="002F50BD">
        <w:rPr>
          <w:rFonts w:ascii="Verdana" w:hAnsi="Verdana"/>
          <w:sz w:val="20"/>
          <w:lang w:val="pt-BR"/>
        </w:rPr>
        <w:t>de as</w:t>
      </w:r>
      <w:r w:rsidR="005F10C4" w:rsidRPr="002F50BD">
        <w:rPr>
          <w:rFonts w:ascii="Verdana" w:hAnsi="Verdana"/>
          <w:sz w:val="20"/>
          <w:lang w:val="pt-BR"/>
        </w:rPr>
        <w:t>s</w:t>
      </w:r>
      <w:r w:rsidR="004756C1" w:rsidRPr="002F50BD">
        <w:rPr>
          <w:rFonts w:ascii="Verdana" w:hAnsi="Verdana"/>
          <w:sz w:val="20"/>
          <w:lang w:val="pt-BR"/>
        </w:rPr>
        <w:t>entar</w:t>
      </w:r>
      <w:r w:rsidR="005F10C4"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w:t>
      </w:r>
      <w:r w:rsidR="005F10C4" w:rsidRPr="002F50BD">
        <w:rPr>
          <w:rFonts w:ascii="Verdana" w:hAnsi="Verdana"/>
          <w:sz w:val="20"/>
          <w:lang w:val="pt-BR"/>
        </w:rPr>
        <w:t xml:space="preserve">à beira </w:t>
      </w:r>
      <w:r w:rsidRPr="002F50BD">
        <w:rPr>
          <w:rFonts w:ascii="Verdana" w:hAnsi="Verdana"/>
          <w:sz w:val="20"/>
          <w:lang w:val="pt-BR"/>
        </w:rPr>
        <w:t xml:space="preserve">do </w:t>
      </w:r>
      <w:r w:rsidR="004756C1" w:rsidRPr="002F50BD">
        <w:rPr>
          <w:rFonts w:ascii="Verdana" w:hAnsi="Verdana"/>
          <w:sz w:val="20"/>
          <w:lang w:val="pt-BR"/>
        </w:rPr>
        <w:t>camin</w:t>
      </w:r>
      <w:r w:rsidR="005F10C4" w:rsidRPr="002F50BD">
        <w:rPr>
          <w:rFonts w:ascii="Verdana" w:hAnsi="Verdana"/>
          <w:sz w:val="20"/>
          <w:lang w:val="pt-BR"/>
        </w:rPr>
        <w:t>h</w:t>
      </w:r>
      <w:r w:rsidR="004756C1" w:rsidRPr="002F50BD">
        <w:rPr>
          <w:rFonts w:ascii="Verdana" w:hAnsi="Verdana"/>
          <w:sz w:val="20"/>
          <w:lang w:val="pt-BR"/>
        </w:rPr>
        <w:t>o,</w:t>
      </w:r>
      <w:r w:rsidRPr="002F50BD">
        <w:rPr>
          <w:rFonts w:ascii="Verdana" w:hAnsi="Verdana"/>
          <w:sz w:val="20"/>
          <w:lang w:val="pt-BR"/>
        </w:rPr>
        <w:t xml:space="preserve"> ao </w:t>
      </w:r>
      <w:r w:rsidR="004756C1" w:rsidRPr="002F50BD">
        <w:rPr>
          <w:rFonts w:ascii="Verdana" w:hAnsi="Verdana"/>
          <w:sz w:val="20"/>
          <w:lang w:val="pt-BR"/>
        </w:rPr>
        <w:t xml:space="preserve">lado de </w:t>
      </w:r>
      <w:r w:rsidR="00475EBB" w:rsidRPr="002F50BD">
        <w:rPr>
          <w:rFonts w:ascii="Verdana" w:hAnsi="Verdana"/>
          <w:sz w:val="20"/>
          <w:lang w:val="pt-BR"/>
        </w:rPr>
        <w:t>sua terra</w:t>
      </w:r>
      <w:r w:rsidR="004756C1" w:rsidRPr="002F50BD">
        <w:rPr>
          <w:rFonts w:ascii="Verdana" w:hAnsi="Verdana"/>
          <w:sz w:val="20"/>
          <w:lang w:val="pt-BR"/>
        </w:rPr>
        <w:t>,</w:t>
      </w:r>
      <w:r w:rsidRPr="002F50BD">
        <w:rPr>
          <w:rFonts w:ascii="Verdana" w:hAnsi="Verdana"/>
          <w:sz w:val="20"/>
          <w:lang w:val="pt-BR"/>
        </w:rPr>
        <w:t xml:space="preserve"> </w:t>
      </w:r>
      <w:r w:rsidR="002F6C64"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espera de su</w:t>
      </w:r>
      <w:r w:rsidR="005F10C4"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restituição</w:t>
      </w:r>
      <w:r w:rsidR="004756C1" w:rsidRPr="002F50BD">
        <w:rPr>
          <w:rFonts w:ascii="Verdana" w:hAnsi="Verdana"/>
          <w:sz w:val="20"/>
          <w:lang w:val="pt-BR"/>
        </w:rPr>
        <w:t xml:space="preserve">, </w:t>
      </w:r>
      <w:r w:rsidRPr="002F50BD">
        <w:rPr>
          <w:rFonts w:ascii="Verdana" w:hAnsi="Verdana"/>
          <w:sz w:val="20"/>
          <w:lang w:val="pt-BR"/>
        </w:rPr>
        <w:t>expressa</w:t>
      </w:r>
      <w:r w:rsidR="004756C1" w:rsidRPr="002F50BD">
        <w:rPr>
          <w:rFonts w:ascii="Verdana" w:hAnsi="Verdana"/>
          <w:sz w:val="20"/>
          <w:lang w:val="pt-BR"/>
        </w:rPr>
        <w:t>,</w:t>
      </w:r>
      <w:r w:rsidRPr="002F50BD">
        <w:rPr>
          <w:rFonts w:ascii="Verdana" w:hAnsi="Verdana"/>
          <w:sz w:val="20"/>
          <w:lang w:val="pt-BR"/>
        </w:rPr>
        <w:t xml:space="preserve"> </w:t>
      </w:r>
      <w:r w:rsidR="005F10C4" w:rsidRPr="002F50BD">
        <w:rPr>
          <w:rFonts w:ascii="Verdana" w:hAnsi="Verdana"/>
          <w:sz w:val="20"/>
          <w:lang w:val="pt-BR"/>
        </w:rPr>
        <w:t xml:space="preserve">no </w:t>
      </w:r>
      <w:r w:rsidRPr="002F50BD">
        <w:rPr>
          <w:rFonts w:ascii="Verdana" w:hAnsi="Verdana"/>
          <w:sz w:val="20"/>
          <w:lang w:val="pt-BR"/>
        </w:rPr>
        <w:t>tempo</w:t>
      </w:r>
      <w:r w:rsidR="004756C1" w:rsidRPr="002F50BD">
        <w:rPr>
          <w:rFonts w:ascii="Verdana" w:hAnsi="Verdana"/>
          <w:sz w:val="20"/>
          <w:lang w:val="pt-BR"/>
        </w:rPr>
        <w:t xml:space="preserve"> presente,</w:t>
      </w:r>
      <w:r w:rsidRPr="002F50BD">
        <w:rPr>
          <w:rFonts w:ascii="Verdana" w:hAnsi="Verdana"/>
          <w:sz w:val="20"/>
          <w:lang w:val="pt-BR"/>
        </w:rPr>
        <w:t xml:space="preserve"> o que essa terra e esse território</w:t>
      </w:r>
      <w:r w:rsidR="005F10C4" w:rsidRPr="002F50BD">
        <w:rPr>
          <w:rFonts w:ascii="Verdana" w:hAnsi="Verdana"/>
          <w:sz w:val="20"/>
          <w:lang w:val="pt-BR"/>
        </w:rPr>
        <w:t xml:space="preserve"> significam</w:t>
      </w:r>
      <w:r w:rsidR="004756C1" w:rsidRPr="002F50BD">
        <w:rPr>
          <w:rFonts w:ascii="Verdana" w:hAnsi="Verdana"/>
          <w:sz w:val="20"/>
          <w:lang w:val="pt-BR"/>
        </w:rPr>
        <w:t xml:space="preserve"> para</w:t>
      </w:r>
      <w:r w:rsidRPr="002F50BD">
        <w:rPr>
          <w:rFonts w:ascii="Verdana" w:hAnsi="Verdana"/>
          <w:sz w:val="20"/>
          <w:lang w:val="pt-BR"/>
        </w:rPr>
        <w:t xml:space="preserve"> a Comunidade </w:t>
      </w:r>
      <w:r w:rsidR="004756C1" w:rsidRPr="002F50BD">
        <w:rPr>
          <w:rFonts w:ascii="Verdana" w:hAnsi="Verdana"/>
          <w:sz w:val="20"/>
          <w:lang w:val="pt-BR"/>
        </w:rPr>
        <w:t>Yakye Axa</w:t>
      </w:r>
      <w:r w:rsidRPr="002F50BD">
        <w:rPr>
          <w:rFonts w:ascii="Verdana" w:hAnsi="Verdana"/>
          <w:sz w:val="20"/>
          <w:lang w:val="pt-BR"/>
        </w:rPr>
        <w:t xml:space="preserve"> e </w:t>
      </w:r>
      <w:r w:rsidR="00AB454A" w:rsidRPr="002F50BD">
        <w:rPr>
          <w:rFonts w:ascii="Verdana" w:hAnsi="Verdana"/>
          <w:sz w:val="20"/>
          <w:lang w:val="pt-BR"/>
        </w:rPr>
        <w:t>seus membros</w:t>
      </w:r>
      <w:r w:rsidRPr="002F50BD">
        <w:rPr>
          <w:rFonts w:ascii="Verdana" w:hAnsi="Verdana"/>
          <w:sz w:val="20"/>
          <w:lang w:val="pt-BR"/>
        </w:rPr>
        <w:t>, e</w:t>
      </w:r>
    </w:p>
    <w:p w:rsidR="00452B62" w:rsidRPr="002F50BD" w:rsidRDefault="00452B62" w:rsidP="00452B62">
      <w:pPr>
        <w:tabs>
          <w:tab w:val="left" w:pos="1080"/>
        </w:tabs>
        <w:ind w:left="360"/>
        <w:jc w:val="both"/>
        <w:rPr>
          <w:rFonts w:ascii="Verdana" w:hAnsi="Verdana"/>
          <w:sz w:val="20"/>
          <w:lang w:val="pt-BR"/>
        </w:rPr>
      </w:pPr>
    </w:p>
    <w:p w:rsidR="004756C1" w:rsidRPr="002F50BD" w:rsidRDefault="0089298C">
      <w:pPr>
        <w:numPr>
          <w:ilvl w:val="0"/>
          <w:numId w:val="14"/>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00385366" w:rsidRPr="002F50BD">
        <w:rPr>
          <w:rFonts w:ascii="Verdana" w:hAnsi="Verdana"/>
          <w:sz w:val="20"/>
          <w:lang w:val="pt-BR"/>
        </w:rPr>
        <w:t>não garantiu</w:t>
      </w:r>
      <w:r w:rsidRPr="002F50BD">
        <w:rPr>
          <w:rFonts w:ascii="Verdana" w:hAnsi="Verdana"/>
          <w:sz w:val="20"/>
          <w:lang w:val="pt-BR"/>
        </w:rPr>
        <w:t xml:space="preserve"> à Comunidade </w:t>
      </w:r>
      <w:r w:rsidR="004756C1" w:rsidRPr="002F50BD">
        <w:rPr>
          <w:rFonts w:ascii="Verdana" w:hAnsi="Verdana"/>
          <w:sz w:val="20"/>
          <w:lang w:val="pt-BR"/>
        </w:rPr>
        <w:t>Yakye Axa</w:t>
      </w:r>
      <w:r w:rsidRPr="002F50BD">
        <w:rPr>
          <w:rFonts w:ascii="Verdana" w:hAnsi="Verdana"/>
          <w:sz w:val="20"/>
          <w:lang w:val="pt-BR"/>
        </w:rPr>
        <w:t xml:space="preserve"> o </w:t>
      </w:r>
      <w:r w:rsidR="004756C1" w:rsidRPr="002F50BD">
        <w:rPr>
          <w:rFonts w:ascii="Verdana" w:hAnsi="Verdana"/>
          <w:sz w:val="20"/>
          <w:lang w:val="pt-BR"/>
        </w:rPr>
        <w:t xml:space="preserve">retorno </w:t>
      </w:r>
      <w:r w:rsidR="005F10C4" w:rsidRPr="002F50BD">
        <w:rPr>
          <w:rFonts w:ascii="Verdana" w:hAnsi="Verdana"/>
          <w:sz w:val="20"/>
          <w:lang w:val="pt-BR"/>
        </w:rPr>
        <w:t xml:space="preserve">à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Pr="002F50BD">
        <w:rPr>
          <w:rFonts w:ascii="Verdana" w:hAnsi="Verdana"/>
          <w:sz w:val="20"/>
          <w:lang w:val="pt-BR"/>
        </w:rPr>
        <w:t xml:space="preserve"> e ao território e </w:t>
      </w:r>
      <w:r w:rsidR="001A0CDE" w:rsidRPr="002F50BD">
        <w:rPr>
          <w:rFonts w:ascii="Verdana" w:hAnsi="Verdana"/>
          <w:i/>
          <w:sz w:val="20"/>
          <w:lang w:val="pt-BR"/>
        </w:rPr>
        <w:t>habitat</w:t>
      </w:r>
      <w:r w:rsidR="004756C1" w:rsidRPr="002F50BD">
        <w:rPr>
          <w:rFonts w:ascii="Verdana" w:hAnsi="Verdana"/>
          <w:sz w:val="20"/>
          <w:lang w:val="pt-BR"/>
        </w:rPr>
        <w:t xml:space="preserve"> que l</w:t>
      </w:r>
      <w:r w:rsidR="005F10C4" w:rsidRPr="002F50BD">
        <w:rPr>
          <w:rFonts w:ascii="Verdana" w:hAnsi="Verdana"/>
          <w:sz w:val="20"/>
          <w:lang w:val="pt-BR"/>
        </w:rPr>
        <w:t>h</w:t>
      </w:r>
      <w:r w:rsidR="004756C1" w:rsidRPr="002F50BD">
        <w:rPr>
          <w:rFonts w:ascii="Verdana" w:hAnsi="Verdana"/>
          <w:sz w:val="20"/>
          <w:lang w:val="pt-BR"/>
        </w:rPr>
        <w:t>e</w:t>
      </w:r>
      <w:r w:rsidRPr="002F50BD">
        <w:rPr>
          <w:rFonts w:ascii="Verdana" w:hAnsi="Verdana"/>
          <w:sz w:val="20"/>
          <w:lang w:val="pt-BR"/>
        </w:rPr>
        <w:t xml:space="preserve"> são próprio</w:t>
      </w:r>
      <w:r w:rsidR="004756C1" w:rsidRPr="002F50BD">
        <w:rPr>
          <w:rFonts w:ascii="Verdana" w:hAnsi="Verdana"/>
          <w:sz w:val="20"/>
          <w:lang w:val="pt-BR"/>
        </w:rPr>
        <w:t>s</w:t>
      </w:r>
      <w:r w:rsidR="004076AD" w:rsidRPr="002F50BD">
        <w:rPr>
          <w:rFonts w:ascii="Verdana" w:hAnsi="Verdana"/>
          <w:sz w:val="20"/>
          <w:lang w:val="pt-BR"/>
        </w:rPr>
        <w:t>.</w:t>
      </w:r>
      <w:r w:rsidR="000A7E90">
        <w:rPr>
          <w:rFonts w:ascii="Verdana" w:hAnsi="Verdana"/>
          <w:sz w:val="20"/>
          <w:lang w:val="pt-BR"/>
        </w:rPr>
        <w:t xml:space="preserve"> Dess</w:t>
      </w:r>
      <w:r w:rsidR="004076AD" w:rsidRPr="002F50BD">
        <w:rPr>
          <w:rFonts w:ascii="Verdana" w:hAnsi="Verdana"/>
          <w:sz w:val="20"/>
          <w:lang w:val="pt-BR"/>
        </w:rPr>
        <w:t>e</w:t>
      </w:r>
      <w:r w:rsidRPr="002F50BD">
        <w:rPr>
          <w:rFonts w:ascii="Verdana" w:hAnsi="Verdana"/>
          <w:sz w:val="20"/>
          <w:lang w:val="pt-BR"/>
        </w:rPr>
        <w:t xml:space="preserve"> </w:t>
      </w:r>
      <w:r w:rsidR="004756C1" w:rsidRPr="002F50BD">
        <w:rPr>
          <w:rFonts w:ascii="Verdana" w:hAnsi="Verdana"/>
          <w:sz w:val="20"/>
          <w:lang w:val="pt-BR"/>
        </w:rPr>
        <w:t xml:space="preserve">modo, </w:t>
      </w:r>
      <w:r w:rsidR="005F10C4" w:rsidRPr="002F50BD">
        <w:rPr>
          <w:rFonts w:ascii="Verdana" w:hAnsi="Verdana"/>
          <w:sz w:val="20"/>
          <w:lang w:val="pt-BR"/>
        </w:rPr>
        <w:t xml:space="preserve">lesou </w:t>
      </w:r>
      <w:r w:rsidRPr="002F50BD">
        <w:rPr>
          <w:rFonts w:ascii="Verdana" w:hAnsi="Verdana"/>
          <w:sz w:val="20"/>
          <w:lang w:val="pt-BR"/>
        </w:rPr>
        <w:t xml:space="preserve">o </w:t>
      </w:r>
      <w:r w:rsidR="004756C1" w:rsidRPr="002F50BD">
        <w:rPr>
          <w:rFonts w:ascii="Verdana" w:hAnsi="Verdana"/>
          <w:sz w:val="20"/>
          <w:lang w:val="pt-BR"/>
        </w:rPr>
        <w:t>profundo vínculo que existe entre</w:t>
      </w:r>
      <w:r w:rsidRPr="002F50BD">
        <w:rPr>
          <w:rFonts w:ascii="Verdana" w:hAnsi="Verdana"/>
          <w:sz w:val="20"/>
          <w:lang w:val="pt-BR"/>
        </w:rPr>
        <w:t xml:space="preserve"> a identidade da Comunidade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 xml:space="preserve"> e </w:t>
      </w:r>
      <w:r w:rsidR="00475EBB" w:rsidRPr="002F50BD">
        <w:rPr>
          <w:rFonts w:ascii="Verdana" w:hAnsi="Verdana"/>
          <w:sz w:val="20"/>
          <w:lang w:val="pt-BR"/>
        </w:rPr>
        <w:t>sua terra</w:t>
      </w:r>
      <w:r w:rsidR="004756C1" w:rsidRPr="002F50BD">
        <w:rPr>
          <w:rFonts w:ascii="Verdana" w:hAnsi="Verdana"/>
          <w:sz w:val="20"/>
          <w:lang w:val="pt-BR"/>
        </w:rPr>
        <w:t xml:space="preserve"> ancestral</w:t>
      </w:r>
      <w:r w:rsidR="00D95E71" w:rsidRPr="002F50BD">
        <w:rPr>
          <w:rFonts w:ascii="Verdana" w:hAnsi="Verdana"/>
          <w:sz w:val="20"/>
          <w:lang w:val="pt-BR"/>
        </w:rPr>
        <w:t xml:space="preserve">. O </w:t>
      </w:r>
      <w:r w:rsidR="004756C1" w:rsidRPr="002F50BD">
        <w:rPr>
          <w:rFonts w:ascii="Verdana" w:hAnsi="Verdana"/>
          <w:sz w:val="20"/>
          <w:lang w:val="pt-BR"/>
        </w:rPr>
        <w:t>Estado insisti</w:t>
      </w:r>
      <w:r w:rsidR="005F10C4" w:rsidRPr="002F50BD">
        <w:rPr>
          <w:rFonts w:ascii="Verdana" w:hAnsi="Verdana"/>
          <w:sz w:val="20"/>
          <w:lang w:val="pt-BR"/>
        </w:rPr>
        <w:t>u</w:t>
      </w:r>
      <w:r w:rsidRPr="002F50BD">
        <w:rPr>
          <w:rFonts w:ascii="Verdana" w:hAnsi="Verdana"/>
          <w:sz w:val="20"/>
          <w:lang w:val="pt-BR"/>
        </w:rPr>
        <w:t xml:space="preserve"> em </w:t>
      </w:r>
      <w:r w:rsidR="004756C1" w:rsidRPr="002F50BD">
        <w:rPr>
          <w:rFonts w:ascii="Verdana" w:hAnsi="Verdana"/>
          <w:sz w:val="20"/>
          <w:lang w:val="pt-BR"/>
        </w:rPr>
        <w:t>negar</w:t>
      </w:r>
      <w:r w:rsidRPr="002F50BD">
        <w:rPr>
          <w:rFonts w:ascii="Verdana" w:hAnsi="Verdana"/>
          <w:sz w:val="20"/>
          <w:lang w:val="pt-BR"/>
        </w:rPr>
        <w:t xml:space="preserve"> a identidade da Comunidade </w:t>
      </w:r>
      <w:r w:rsidR="004756C1" w:rsidRPr="002F50BD">
        <w:rPr>
          <w:rFonts w:ascii="Verdana" w:hAnsi="Verdana"/>
          <w:sz w:val="20"/>
          <w:lang w:val="pt-BR"/>
        </w:rPr>
        <w:t>Yakye Axa</w:t>
      </w:r>
      <w:r w:rsidRPr="002F50BD">
        <w:rPr>
          <w:rFonts w:ascii="Verdana" w:hAnsi="Verdana"/>
          <w:sz w:val="20"/>
          <w:lang w:val="pt-BR"/>
        </w:rPr>
        <w:t xml:space="preserve"> e </w:t>
      </w:r>
      <w:r w:rsidR="005F10C4"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 e</w:t>
      </w:r>
      <w:r w:rsidR="004756C1" w:rsidRPr="002F50BD">
        <w:rPr>
          <w:rFonts w:ascii="Verdana" w:hAnsi="Verdana"/>
          <w:sz w:val="20"/>
          <w:lang w:val="pt-BR"/>
        </w:rPr>
        <w:t xml:space="preserve"> </w:t>
      </w:r>
      <w:r w:rsidR="005F10C4" w:rsidRPr="002F50BD">
        <w:rPr>
          <w:rFonts w:ascii="Verdana" w:hAnsi="Verdana"/>
          <w:sz w:val="20"/>
          <w:lang w:val="pt-BR"/>
        </w:rPr>
        <w:t>o fez tratando de diluí-</w:t>
      </w:r>
      <w:r w:rsidR="004756C1" w:rsidRPr="002F50BD">
        <w:rPr>
          <w:rFonts w:ascii="Verdana" w:hAnsi="Verdana"/>
          <w:sz w:val="20"/>
          <w:lang w:val="pt-BR"/>
        </w:rPr>
        <w:t xml:space="preserve">la, </w:t>
      </w:r>
      <w:r w:rsidRPr="002F50BD">
        <w:rPr>
          <w:rFonts w:ascii="Verdana" w:hAnsi="Verdana"/>
          <w:sz w:val="20"/>
          <w:lang w:val="pt-BR"/>
        </w:rPr>
        <w:t xml:space="preserve">primeiro no </w:t>
      </w:r>
      <w:r w:rsidR="0039684E" w:rsidRPr="002F50BD">
        <w:rPr>
          <w:rFonts w:ascii="Verdana" w:hAnsi="Verdana"/>
          <w:sz w:val="20"/>
          <w:lang w:val="pt-BR"/>
        </w:rPr>
        <w:t>Povo Enxet-Lengua</w:t>
      </w:r>
      <w:r w:rsidRPr="002F50BD">
        <w:rPr>
          <w:rFonts w:ascii="Verdana" w:hAnsi="Verdana"/>
          <w:sz w:val="20"/>
          <w:lang w:val="pt-BR"/>
        </w:rPr>
        <w:t xml:space="preserve"> e depois no </w:t>
      </w:r>
      <w:r w:rsidR="004756C1" w:rsidRPr="002F50BD">
        <w:rPr>
          <w:rFonts w:ascii="Verdana" w:hAnsi="Verdana"/>
          <w:sz w:val="20"/>
          <w:lang w:val="pt-BR"/>
        </w:rPr>
        <w:t>subgrupo Chanawatsan</w:t>
      </w:r>
      <w:r w:rsidR="00D95E71" w:rsidRPr="002F50BD">
        <w:rPr>
          <w:rFonts w:ascii="Verdana" w:hAnsi="Verdana"/>
          <w:sz w:val="20"/>
          <w:lang w:val="pt-BR"/>
        </w:rPr>
        <w:t xml:space="preserve">. O </w:t>
      </w:r>
      <w:r w:rsidR="004756C1" w:rsidRPr="002F50BD">
        <w:rPr>
          <w:rFonts w:ascii="Verdana" w:hAnsi="Verdana"/>
          <w:sz w:val="20"/>
          <w:lang w:val="pt-BR"/>
        </w:rPr>
        <w:t xml:space="preserve">Estado </w:t>
      </w:r>
      <w:r w:rsidR="005F10C4" w:rsidRPr="002F50BD">
        <w:rPr>
          <w:rFonts w:ascii="Verdana" w:hAnsi="Verdana"/>
          <w:sz w:val="20"/>
          <w:lang w:val="pt-BR"/>
        </w:rPr>
        <w:t>negou</w:t>
      </w:r>
      <w:r w:rsidR="004756C1" w:rsidRPr="002F50BD">
        <w:rPr>
          <w:rFonts w:ascii="Verdana" w:hAnsi="Verdana"/>
          <w:sz w:val="20"/>
          <w:lang w:val="pt-BR"/>
        </w:rPr>
        <w:t xml:space="preserve"> </w:t>
      </w:r>
      <w:r w:rsidRPr="002F50BD">
        <w:rPr>
          <w:rFonts w:ascii="Verdana" w:hAnsi="Verdana"/>
          <w:sz w:val="20"/>
          <w:lang w:val="pt-BR"/>
        </w:rPr>
        <w:t xml:space="preserve">também a história e a memória da </w:t>
      </w:r>
      <w:r w:rsidR="004756C1" w:rsidRPr="002F50BD">
        <w:rPr>
          <w:rFonts w:ascii="Verdana" w:hAnsi="Verdana"/>
          <w:sz w:val="20"/>
          <w:lang w:val="pt-BR"/>
        </w:rPr>
        <w:t>Comu</w:t>
      </w:r>
      <w:r w:rsidR="00AB454A" w:rsidRPr="002F50BD">
        <w:rPr>
          <w:rFonts w:ascii="Verdana" w:hAnsi="Verdana"/>
          <w:sz w:val="20"/>
          <w:lang w:val="pt-BR"/>
        </w:rPr>
        <w:t xml:space="preserve">nidade, </w:t>
      </w:r>
      <w:r w:rsidR="005F10C4" w:rsidRPr="002F50BD">
        <w:rPr>
          <w:rFonts w:ascii="Verdana" w:hAnsi="Verdana"/>
          <w:sz w:val="20"/>
          <w:lang w:val="pt-BR"/>
        </w:rPr>
        <w:t xml:space="preserve">bem </w:t>
      </w:r>
      <w:r w:rsidR="004756C1" w:rsidRPr="002F50BD">
        <w:rPr>
          <w:rFonts w:ascii="Verdana" w:hAnsi="Verdana"/>
          <w:sz w:val="20"/>
          <w:lang w:val="pt-BR"/>
        </w:rPr>
        <w:t>como</w:t>
      </w:r>
      <w:r w:rsidRPr="002F50BD">
        <w:rPr>
          <w:rFonts w:ascii="Verdana" w:hAnsi="Verdana"/>
          <w:sz w:val="20"/>
          <w:lang w:val="pt-BR"/>
        </w:rPr>
        <w:t xml:space="preserve"> o </w:t>
      </w:r>
      <w:r w:rsidR="005F10C4" w:rsidRPr="002F50BD">
        <w:rPr>
          <w:rFonts w:ascii="Verdana" w:hAnsi="Verdana"/>
          <w:sz w:val="20"/>
          <w:lang w:val="pt-BR"/>
        </w:rPr>
        <w:t xml:space="preserve">sentido </w:t>
      </w:r>
      <w:r w:rsidRPr="002F50BD">
        <w:rPr>
          <w:rFonts w:ascii="Verdana" w:hAnsi="Verdana"/>
          <w:sz w:val="20"/>
          <w:lang w:val="pt-BR"/>
        </w:rPr>
        <w:t>essencial</w:t>
      </w:r>
      <w:r w:rsidR="004756C1" w:rsidRPr="002F50BD">
        <w:rPr>
          <w:rFonts w:ascii="Verdana" w:hAnsi="Verdana"/>
          <w:sz w:val="20"/>
          <w:lang w:val="pt-BR"/>
        </w:rPr>
        <w:t xml:space="preserve"> que </w:t>
      </w:r>
      <w:r w:rsidR="005F10C4" w:rsidRPr="002F50BD">
        <w:rPr>
          <w:rFonts w:ascii="Verdana" w:hAnsi="Verdana"/>
          <w:sz w:val="20"/>
          <w:lang w:val="pt-BR"/>
        </w:rPr>
        <w:t xml:space="preserve">a relação com sua terra ancestral e seu território tem </w:t>
      </w:r>
      <w:r w:rsidR="004756C1" w:rsidRPr="002F50BD">
        <w:rPr>
          <w:rFonts w:ascii="Verdana" w:hAnsi="Verdana"/>
          <w:sz w:val="20"/>
          <w:lang w:val="pt-BR"/>
        </w:rPr>
        <w:t>para su</w:t>
      </w:r>
      <w:r w:rsidR="005F10C4" w:rsidRPr="002F50BD">
        <w:rPr>
          <w:rFonts w:ascii="Verdana" w:hAnsi="Verdana"/>
          <w:sz w:val="20"/>
          <w:lang w:val="pt-BR"/>
        </w:rPr>
        <w:t>a</w:t>
      </w:r>
      <w:r w:rsidR="004756C1" w:rsidRPr="002F50BD">
        <w:rPr>
          <w:rFonts w:ascii="Verdana" w:hAnsi="Verdana"/>
          <w:sz w:val="20"/>
          <w:lang w:val="pt-BR"/>
        </w:rPr>
        <w:t xml:space="preserve"> </w:t>
      </w:r>
      <w:r w:rsidR="005F10C4" w:rsidRPr="002F50BD">
        <w:rPr>
          <w:rFonts w:ascii="Verdana" w:hAnsi="Verdana"/>
          <w:sz w:val="20"/>
          <w:lang w:val="pt-BR"/>
        </w:rPr>
        <w:t>cosmogonia</w:t>
      </w:r>
      <w:r w:rsidRPr="002F50BD">
        <w:rPr>
          <w:rFonts w:ascii="Verdana" w:hAnsi="Verdana"/>
          <w:sz w:val="20"/>
          <w:lang w:val="pt-BR"/>
        </w:rPr>
        <w:t xml:space="preserve"> e a </w:t>
      </w:r>
      <w:r w:rsidR="004756C1" w:rsidRPr="002F50BD">
        <w:rPr>
          <w:rFonts w:ascii="Verdana" w:hAnsi="Verdana"/>
          <w:sz w:val="20"/>
          <w:lang w:val="pt-BR"/>
        </w:rPr>
        <w:t xml:space="preserve">de </w:t>
      </w:r>
      <w:r w:rsidR="00AB454A" w:rsidRPr="002F50BD">
        <w:rPr>
          <w:rFonts w:ascii="Verdana" w:hAnsi="Verdana"/>
          <w:sz w:val="20"/>
          <w:lang w:val="pt-BR"/>
        </w:rPr>
        <w:t>seus membros</w:t>
      </w:r>
      <w:r w:rsidR="00E6530C" w:rsidRPr="002F50BD">
        <w:rPr>
          <w:rFonts w:ascii="Verdana" w:hAnsi="Verdana"/>
          <w:sz w:val="20"/>
          <w:lang w:val="pt-BR"/>
        </w:rPr>
        <w:t>. Dest</w:t>
      </w:r>
      <w:r w:rsidRPr="002F50BD">
        <w:rPr>
          <w:rFonts w:ascii="Verdana" w:hAnsi="Verdana"/>
          <w:sz w:val="20"/>
          <w:lang w:val="pt-BR"/>
        </w:rPr>
        <w:t xml:space="preserve">a </w:t>
      </w:r>
      <w:r w:rsidR="004756C1" w:rsidRPr="002F50BD">
        <w:rPr>
          <w:rFonts w:ascii="Verdana" w:hAnsi="Verdana"/>
          <w:sz w:val="20"/>
          <w:lang w:val="pt-BR"/>
        </w:rPr>
        <w:t>forma,</w:t>
      </w:r>
      <w:r w:rsidRPr="002F50BD">
        <w:rPr>
          <w:rFonts w:ascii="Verdana" w:hAnsi="Verdana"/>
          <w:sz w:val="20"/>
          <w:lang w:val="pt-BR"/>
        </w:rPr>
        <w:t xml:space="preserve"> o </w:t>
      </w:r>
      <w:r w:rsidR="004756C1" w:rsidRPr="002F50BD">
        <w:rPr>
          <w:rFonts w:ascii="Verdana" w:hAnsi="Verdana"/>
          <w:sz w:val="20"/>
          <w:lang w:val="pt-BR"/>
        </w:rPr>
        <w:t xml:space="preserve">Estado </w:t>
      </w:r>
      <w:r w:rsidR="005F10C4"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o </w:t>
      </w:r>
      <w:r w:rsidR="005F10C4" w:rsidRPr="002F50BD">
        <w:rPr>
          <w:rFonts w:ascii="Verdana" w:hAnsi="Verdana"/>
          <w:sz w:val="20"/>
          <w:lang w:val="pt-BR"/>
        </w:rPr>
        <w:t xml:space="preserve">violou </w:t>
      </w:r>
      <w:r w:rsidRPr="002F50BD">
        <w:rPr>
          <w:rFonts w:ascii="Verdana" w:hAnsi="Verdana"/>
          <w:sz w:val="20"/>
          <w:lang w:val="pt-BR"/>
        </w:rPr>
        <w:t xml:space="preserve">o direito da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de </w:t>
      </w:r>
      <w:r w:rsidR="00AB454A" w:rsidRPr="002F50BD">
        <w:rPr>
          <w:rFonts w:ascii="Verdana" w:hAnsi="Verdana"/>
          <w:sz w:val="20"/>
          <w:lang w:val="pt-BR"/>
        </w:rPr>
        <w:t>seus membros</w:t>
      </w:r>
      <w:r w:rsidR="004756C1" w:rsidRPr="002F50BD">
        <w:rPr>
          <w:rFonts w:ascii="Verdana" w:hAnsi="Verdana"/>
          <w:sz w:val="20"/>
          <w:lang w:val="pt-BR"/>
        </w:rPr>
        <w:t xml:space="preserve"> a</w:t>
      </w:r>
      <w:r w:rsidRPr="002F50BD">
        <w:rPr>
          <w:rFonts w:ascii="Verdana" w:hAnsi="Verdana"/>
          <w:sz w:val="20"/>
          <w:lang w:val="pt-BR"/>
        </w:rPr>
        <w:t xml:space="preserve"> ter uma identidade e uma </w:t>
      </w:r>
      <w:r w:rsidR="005F10C4" w:rsidRPr="002F50BD">
        <w:rPr>
          <w:rFonts w:ascii="Verdana" w:hAnsi="Verdana"/>
          <w:sz w:val="20"/>
          <w:lang w:val="pt-BR"/>
        </w:rPr>
        <w:t>cosmogonia</w:t>
      </w:r>
      <w:r w:rsidR="00AB454A" w:rsidRPr="002F50BD">
        <w:rPr>
          <w:rFonts w:ascii="Verdana" w:hAnsi="Verdana"/>
          <w:sz w:val="20"/>
          <w:lang w:val="pt-BR"/>
        </w:rPr>
        <w:t xml:space="preserve"> própria</w:t>
      </w:r>
      <w:r w:rsidR="004756C1" w:rsidRPr="002F50BD">
        <w:rPr>
          <w:rFonts w:ascii="Verdana" w:hAnsi="Verdana"/>
          <w:sz w:val="20"/>
          <w:lang w:val="pt-BR"/>
        </w:rPr>
        <w:t>s</w:t>
      </w:r>
      <w:r w:rsidRPr="002F50BD">
        <w:rPr>
          <w:rFonts w:ascii="Verdana" w:hAnsi="Verdana"/>
          <w:sz w:val="20"/>
          <w:lang w:val="pt-BR"/>
        </w:rPr>
        <w:t xml:space="preserve"> e, </w:t>
      </w:r>
      <w:r w:rsidR="00FB33DD" w:rsidRPr="002F50BD">
        <w:rPr>
          <w:rFonts w:ascii="Verdana" w:hAnsi="Verdana"/>
          <w:sz w:val="20"/>
          <w:lang w:val="pt-BR"/>
        </w:rPr>
        <w:t>nessa</w:t>
      </w:r>
      <w:r w:rsidRPr="002F50BD">
        <w:rPr>
          <w:rFonts w:ascii="Verdana" w:hAnsi="Verdana"/>
          <w:sz w:val="20"/>
          <w:lang w:val="pt-BR"/>
        </w:rPr>
        <w:t xml:space="preserve"> </w:t>
      </w:r>
      <w:r w:rsidR="004756C1" w:rsidRPr="002F50BD">
        <w:rPr>
          <w:rFonts w:ascii="Verdana" w:hAnsi="Verdana"/>
          <w:sz w:val="20"/>
          <w:lang w:val="pt-BR"/>
        </w:rPr>
        <w:t>medida,</w:t>
      </w:r>
      <w:r w:rsidRPr="002F50BD">
        <w:rPr>
          <w:rFonts w:ascii="Verdana" w:hAnsi="Verdana"/>
          <w:sz w:val="20"/>
          <w:lang w:val="pt-BR"/>
        </w:rPr>
        <w:t xml:space="preserve"> violou </w:t>
      </w:r>
      <w:r w:rsidR="005F10C4" w:rsidRPr="002F50BD">
        <w:rPr>
          <w:rFonts w:ascii="Verdana" w:hAnsi="Verdana"/>
          <w:sz w:val="20"/>
          <w:lang w:val="pt-BR"/>
        </w:rPr>
        <w:t xml:space="preserve">o direito à vida </w:t>
      </w:r>
      <w:r w:rsidRPr="002F50BD">
        <w:rPr>
          <w:rFonts w:ascii="Verdana" w:hAnsi="Verdana"/>
          <w:sz w:val="20"/>
          <w:lang w:val="pt-BR"/>
        </w:rPr>
        <w:t xml:space="preserve">em </w:t>
      </w:r>
      <w:r w:rsidR="005F10C4" w:rsidRPr="002F50BD">
        <w:rPr>
          <w:rFonts w:ascii="Verdana" w:hAnsi="Verdana"/>
          <w:sz w:val="20"/>
          <w:lang w:val="pt-BR"/>
        </w:rPr>
        <w:t xml:space="preserve">detrimento </w:t>
      </w:r>
      <w:r w:rsidRPr="002F50BD">
        <w:rPr>
          <w:rFonts w:ascii="Verdana" w:hAnsi="Verdana"/>
          <w:sz w:val="20"/>
          <w:lang w:val="pt-BR"/>
        </w:rPr>
        <w:t>dos membro</w:t>
      </w:r>
      <w:r w:rsidR="004756C1" w:rsidRPr="002F50BD">
        <w:rPr>
          <w:rFonts w:ascii="Verdana" w:hAnsi="Verdana"/>
          <w:sz w:val="20"/>
          <w:lang w:val="pt-BR"/>
        </w:rPr>
        <w:t>s</w:t>
      </w:r>
      <w:r w:rsidRPr="002F50BD">
        <w:rPr>
          <w:rFonts w:ascii="Verdana" w:hAnsi="Verdana"/>
          <w:sz w:val="20"/>
          <w:lang w:val="pt-BR"/>
        </w:rPr>
        <w:t xml:space="preserve"> da Comunidade</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Alegações</w:t>
      </w:r>
      <w:r w:rsidR="004756C1" w:rsidRPr="002F50BD">
        <w:rPr>
          <w:rFonts w:ascii="Verdana" w:hAnsi="Verdana"/>
          <w:i/>
          <w:sz w:val="20"/>
        </w:rPr>
        <w:t xml:space="preserve"> </w:t>
      </w:r>
      <w:r w:rsidRPr="002F50BD">
        <w:rPr>
          <w:rFonts w:ascii="Verdana" w:hAnsi="Verdana"/>
          <w:i/>
          <w:sz w:val="20"/>
        </w:rPr>
        <w:t xml:space="preserve">do </w:t>
      </w:r>
      <w:r w:rsidR="004756C1" w:rsidRPr="002F50BD">
        <w:rPr>
          <w:rFonts w:ascii="Verdana" w:hAnsi="Verdana"/>
          <w:i/>
          <w:sz w:val="20"/>
        </w:rPr>
        <w:t>Estado</w:t>
      </w:r>
    </w:p>
    <w:p w:rsidR="004756C1" w:rsidRPr="002F50BD" w:rsidRDefault="004756C1">
      <w:pPr>
        <w:jc w:val="both"/>
        <w:rPr>
          <w:rFonts w:ascii="Verdana" w:hAnsi="Verdana"/>
          <w:i/>
          <w:sz w:val="20"/>
        </w:rPr>
      </w:pPr>
    </w:p>
    <w:p w:rsidR="004756C1" w:rsidRPr="002F50BD" w:rsidRDefault="004756C1">
      <w:pPr>
        <w:numPr>
          <w:ilvl w:val="0"/>
          <w:numId w:val="28"/>
        </w:numPr>
        <w:jc w:val="both"/>
        <w:rPr>
          <w:rFonts w:ascii="Verdana" w:hAnsi="Verdana"/>
          <w:sz w:val="20"/>
          <w:lang w:val="pt-BR"/>
        </w:rPr>
      </w:pPr>
      <w:r w:rsidRPr="002F50BD">
        <w:rPr>
          <w:rFonts w:ascii="Verdana" w:hAnsi="Verdana"/>
          <w:sz w:val="20"/>
          <w:lang w:val="pt-BR"/>
        </w:rPr>
        <w:t>E</w:t>
      </w:r>
      <w:r w:rsidR="009F308E" w:rsidRPr="002F50BD">
        <w:rPr>
          <w:rFonts w:ascii="Verdana" w:hAnsi="Verdana"/>
          <w:sz w:val="20"/>
          <w:lang w:val="pt-BR"/>
        </w:rPr>
        <w:t>m</w:t>
      </w:r>
      <w:r w:rsidRPr="002F50BD">
        <w:rPr>
          <w:rFonts w:ascii="Verdana" w:hAnsi="Verdana"/>
          <w:sz w:val="20"/>
          <w:lang w:val="pt-BR"/>
        </w:rPr>
        <w:t xml:space="preserve"> rela</w:t>
      </w:r>
      <w:r w:rsidR="0089298C" w:rsidRPr="002F50BD">
        <w:rPr>
          <w:rFonts w:ascii="Verdana" w:hAnsi="Verdana"/>
          <w:sz w:val="20"/>
          <w:lang w:val="pt-BR"/>
        </w:rPr>
        <w:t xml:space="preserve">ção </w:t>
      </w:r>
      <w:r w:rsidR="009F308E" w:rsidRPr="002F50BD">
        <w:rPr>
          <w:rFonts w:ascii="Verdana" w:hAnsi="Verdana"/>
          <w:sz w:val="20"/>
          <w:lang w:val="pt-BR"/>
        </w:rPr>
        <w:t>a</w:t>
      </w:r>
      <w:r w:rsidR="0089298C" w:rsidRPr="002F50BD">
        <w:rPr>
          <w:rFonts w:ascii="Verdana" w:hAnsi="Verdana"/>
          <w:sz w:val="20"/>
          <w:lang w:val="pt-BR"/>
        </w:rPr>
        <w:t>o artigo</w:t>
      </w:r>
      <w:r w:rsidRPr="002F50BD">
        <w:rPr>
          <w:rFonts w:ascii="Verdana" w:hAnsi="Verdana"/>
          <w:sz w:val="20"/>
          <w:lang w:val="pt-BR"/>
        </w:rPr>
        <w:t xml:space="preserve"> </w:t>
      </w:r>
      <w:r w:rsidR="00063B47" w:rsidRPr="002F50BD">
        <w:rPr>
          <w:rFonts w:ascii="Verdana" w:hAnsi="Verdana"/>
          <w:sz w:val="20"/>
          <w:lang w:val="pt-BR"/>
        </w:rPr>
        <w:t>4</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argumentou</w:t>
      </w:r>
      <w:r w:rsidRPr="002F50BD">
        <w:rPr>
          <w:rFonts w:ascii="Verdana" w:hAnsi="Verdana"/>
          <w:sz w:val="20"/>
          <w:lang w:val="pt-BR"/>
        </w:rPr>
        <w:t xml:space="preserve"> que:</w:t>
      </w:r>
    </w:p>
    <w:p w:rsidR="00452B62" w:rsidRPr="002F50BD" w:rsidRDefault="00452B62" w:rsidP="00452B62">
      <w:pPr>
        <w:tabs>
          <w:tab w:val="left" w:pos="1080"/>
        </w:tabs>
        <w:ind w:left="270"/>
        <w:jc w:val="both"/>
        <w:rPr>
          <w:rFonts w:ascii="Verdana" w:hAnsi="Verdana"/>
          <w:sz w:val="20"/>
          <w:lang w:val="pt-BR"/>
        </w:rPr>
      </w:pPr>
    </w:p>
    <w:p w:rsidR="004756C1" w:rsidRPr="002F50BD" w:rsidRDefault="0089298C">
      <w:pPr>
        <w:numPr>
          <w:ilvl w:val="0"/>
          <w:numId w:val="13"/>
        </w:numPr>
        <w:tabs>
          <w:tab w:val="left" w:pos="1080"/>
        </w:tabs>
        <w:ind w:left="720"/>
        <w:jc w:val="both"/>
        <w:rPr>
          <w:rFonts w:ascii="Verdana" w:hAnsi="Verdana"/>
          <w:sz w:val="20"/>
          <w:lang w:val="pt-BR"/>
        </w:rPr>
      </w:pPr>
      <w:r w:rsidRPr="002F50BD">
        <w:rPr>
          <w:rFonts w:ascii="Verdana" w:hAnsi="Verdana"/>
          <w:sz w:val="20"/>
          <w:lang w:val="pt-BR"/>
        </w:rPr>
        <w:t xml:space="preserve">O respeito à </w:t>
      </w:r>
      <w:r w:rsidR="004756C1" w:rsidRPr="002F50BD">
        <w:rPr>
          <w:rFonts w:ascii="Verdana" w:hAnsi="Verdana"/>
          <w:sz w:val="20"/>
          <w:lang w:val="pt-BR"/>
        </w:rPr>
        <w:t xml:space="preserve">vida humana </w:t>
      </w:r>
      <w:r w:rsidR="009F308E" w:rsidRPr="002F50BD">
        <w:rPr>
          <w:rFonts w:ascii="Verdana" w:hAnsi="Verdana"/>
          <w:sz w:val="20"/>
          <w:lang w:val="pt-BR"/>
        </w:rPr>
        <w:t xml:space="preserve">vige </w:t>
      </w:r>
      <w:r w:rsidRPr="002F50BD">
        <w:rPr>
          <w:rFonts w:ascii="Verdana" w:hAnsi="Verdana"/>
          <w:sz w:val="20"/>
          <w:lang w:val="pt-BR"/>
        </w:rPr>
        <w:t>na lei e na prática</w:t>
      </w:r>
      <w:r w:rsidR="004756C1" w:rsidRPr="002F50BD">
        <w:rPr>
          <w:rFonts w:ascii="Verdana" w:hAnsi="Verdana"/>
          <w:sz w:val="20"/>
          <w:lang w:val="pt-BR"/>
        </w:rPr>
        <w:t xml:space="preserve"> </w:t>
      </w:r>
      <w:r w:rsidRPr="002F50BD">
        <w:rPr>
          <w:rFonts w:ascii="Verdana" w:hAnsi="Verdana"/>
          <w:sz w:val="20"/>
          <w:lang w:val="pt-BR"/>
        </w:rPr>
        <w:t>do Paraguai</w:t>
      </w:r>
      <w:r w:rsidR="004756C1" w:rsidRPr="002F50BD">
        <w:rPr>
          <w:rFonts w:ascii="Verdana" w:hAnsi="Verdana"/>
          <w:sz w:val="20"/>
          <w:lang w:val="pt-BR"/>
        </w:rPr>
        <w:t>. N</w:t>
      </w:r>
      <w:r w:rsidR="009F308E" w:rsidRPr="002F50BD">
        <w:rPr>
          <w:rFonts w:ascii="Verdana" w:hAnsi="Verdana"/>
          <w:sz w:val="20"/>
          <w:lang w:val="pt-BR"/>
        </w:rPr>
        <w:t>ã</w:t>
      </w:r>
      <w:r w:rsidR="004756C1" w:rsidRPr="002F50BD">
        <w:rPr>
          <w:rFonts w:ascii="Verdana" w:hAnsi="Verdana"/>
          <w:sz w:val="20"/>
          <w:lang w:val="pt-BR"/>
        </w:rPr>
        <w:t>o transgredi</w:t>
      </w:r>
      <w:r w:rsidR="009F308E" w:rsidRPr="002F50BD">
        <w:rPr>
          <w:rFonts w:ascii="Verdana" w:hAnsi="Verdana"/>
          <w:sz w:val="20"/>
          <w:lang w:val="pt-BR"/>
        </w:rPr>
        <w:t>u</w:t>
      </w:r>
      <w:r w:rsidRPr="002F50BD">
        <w:rPr>
          <w:rFonts w:ascii="Verdana" w:hAnsi="Verdana"/>
          <w:sz w:val="20"/>
          <w:lang w:val="pt-BR"/>
        </w:rPr>
        <w:t xml:space="preserve"> o direito à </w:t>
      </w:r>
      <w:r w:rsidR="004756C1" w:rsidRPr="002F50BD">
        <w:rPr>
          <w:rFonts w:ascii="Verdana" w:hAnsi="Verdana"/>
          <w:sz w:val="20"/>
          <w:lang w:val="pt-BR"/>
        </w:rPr>
        <w:t xml:space="preserve">vida por </w:t>
      </w:r>
      <w:r w:rsidR="004076AD" w:rsidRPr="002F50BD">
        <w:rPr>
          <w:rFonts w:ascii="Verdana" w:hAnsi="Verdana"/>
          <w:sz w:val="20"/>
          <w:lang w:val="pt-BR"/>
        </w:rPr>
        <w:t>ação</w:t>
      </w:r>
      <w:r w:rsidRPr="002F50BD">
        <w:rPr>
          <w:rFonts w:ascii="Verdana" w:hAnsi="Verdana"/>
          <w:sz w:val="20"/>
          <w:lang w:val="pt-BR"/>
        </w:rPr>
        <w:t xml:space="preserve"> nem </w:t>
      </w:r>
      <w:r w:rsidR="004756C1" w:rsidRPr="002F50BD">
        <w:rPr>
          <w:rFonts w:ascii="Verdana" w:hAnsi="Verdana"/>
          <w:sz w:val="20"/>
          <w:lang w:val="pt-BR"/>
        </w:rPr>
        <w:t>por o</w:t>
      </w:r>
      <w:r w:rsidRPr="002F50BD">
        <w:rPr>
          <w:rFonts w:ascii="Verdana" w:hAnsi="Verdana"/>
          <w:sz w:val="20"/>
          <w:lang w:val="pt-BR"/>
        </w:rPr>
        <w:t xml:space="preserve">missão no </w:t>
      </w:r>
      <w:r w:rsidR="004756C1" w:rsidRPr="002F50BD">
        <w:rPr>
          <w:rFonts w:ascii="Verdana" w:hAnsi="Verdana"/>
          <w:sz w:val="20"/>
          <w:lang w:val="pt-BR"/>
        </w:rPr>
        <w:t>presente caso.</w:t>
      </w:r>
      <w:r w:rsidR="00FE08B7">
        <w:rPr>
          <w:rFonts w:ascii="Verdana" w:hAnsi="Verdana"/>
          <w:sz w:val="20"/>
          <w:lang w:val="pt-BR"/>
        </w:rPr>
        <w:t xml:space="preserve"> </w:t>
      </w:r>
      <w:r w:rsidR="004756C1" w:rsidRPr="002F50BD">
        <w:rPr>
          <w:rFonts w:ascii="Verdana" w:hAnsi="Verdana"/>
          <w:sz w:val="20"/>
          <w:lang w:val="pt-BR"/>
        </w:rPr>
        <w:t>N</w:t>
      </w:r>
      <w:r w:rsidR="009F308E"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pode</w:t>
      </w:r>
      <w:r w:rsidR="004756C1" w:rsidRPr="002F50BD">
        <w:rPr>
          <w:rFonts w:ascii="Verdana" w:hAnsi="Verdana"/>
          <w:sz w:val="20"/>
          <w:lang w:val="pt-BR"/>
        </w:rPr>
        <w:t xml:space="preserve"> ser culpado</w:t>
      </w:r>
      <w:r w:rsidRPr="002F50BD">
        <w:rPr>
          <w:rFonts w:ascii="Verdana" w:hAnsi="Verdana"/>
          <w:sz w:val="20"/>
          <w:lang w:val="pt-BR"/>
        </w:rPr>
        <w:t xml:space="preserve"> pelo </w:t>
      </w:r>
      <w:r w:rsidR="00367FD1" w:rsidRPr="002F50BD">
        <w:rPr>
          <w:rFonts w:ascii="Verdana" w:hAnsi="Verdana"/>
          <w:sz w:val="20"/>
          <w:lang w:val="pt-BR"/>
        </w:rPr>
        <w:t>falecimento</w:t>
      </w:r>
      <w:r w:rsidR="004756C1" w:rsidRPr="002F50BD">
        <w:rPr>
          <w:rFonts w:ascii="Verdana" w:hAnsi="Verdana"/>
          <w:sz w:val="20"/>
          <w:lang w:val="pt-BR"/>
        </w:rPr>
        <w:t xml:space="preserve"> o</w:t>
      </w:r>
      <w:r w:rsidR="009F308E" w:rsidRPr="002F50BD">
        <w:rPr>
          <w:rFonts w:ascii="Verdana" w:hAnsi="Verdana"/>
          <w:sz w:val="20"/>
          <w:lang w:val="pt-BR"/>
        </w:rPr>
        <w:t>u</w:t>
      </w:r>
      <w:r w:rsidR="004756C1" w:rsidRPr="002F50BD">
        <w:rPr>
          <w:rFonts w:ascii="Verdana" w:hAnsi="Verdana"/>
          <w:sz w:val="20"/>
          <w:lang w:val="pt-BR"/>
        </w:rPr>
        <w:t xml:space="preserve"> </w:t>
      </w:r>
      <w:r w:rsidR="00FC6B22" w:rsidRPr="002F50BD">
        <w:rPr>
          <w:rFonts w:ascii="Verdana" w:hAnsi="Verdana"/>
          <w:sz w:val="20"/>
          <w:lang w:val="pt-BR"/>
        </w:rPr>
        <w:t xml:space="preserve">por </w:t>
      </w:r>
      <w:r w:rsidR="009F308E" w:rsidRPr="002F50BD">
        <w:rPr>
          <w:rFonts w:ascii="Verdana" w:hAnsi="Verdana"/>
          <w:sz w:val="20"/>
          <w:lang w:val="pt-BR"/>
        </w:rPr>
        <w:t xml:space="preserve">doenças </w:t>
      </w:r>
      <w:r w:rsidRPr="002F50BD">
        <w:rPr>
          <w:rFonts w:ascii="Verdana" w:hAnsi="Verdana"/>
          <w:sz w:val="20"/>
          <w:lang w:val="pt-BR"/>
        </w:rPr>
        <w:t>das pessoa</w:t>
      </w:r>
      <w:r w:rsidR="004756C1" w:rsidRPr="002F50BD">
        <w:rPr>
          <w:rFonts w:ascii="Verdana" w:hAnsi="Verdana"/>
          <w:sz w:val="20"/>
          <w:lang w:val="pt-BR"/>
        </w:rPr>
        <w:t xml:space="preserve">s por causas </w:t>
      </w:r>
      <w:r w:rsidR="005D1589" w:rsidRPr="002F50BD">
        <w:rPr>
          <w:rFonts w:ascii="Verdana" w:hAnsi="Verdana"/>
          <w:sz w:val="20"/>
          <w:lang w:val="pt-BR"/>
        </w:rPr>
        <w:t>naturais</w:t>
      </w:r>
      <w:r w:rsidR="004756C1" w:rsidRPr="002F50BD">
        <w:rPr>
          <w:rFonts w:ascii="Verdana" w:hAnsi="Verdana"/>
          <w:sz w:val="20"/>
          <w:lang w:val="pt-BR"/>
        </w:rPr>
        <w:t xml:space="preserve"> o</w:t>
      </w:r>
      <w:r w:rsidR="009F308E" w:rsidRPr="002F50BD">
        <w:rPr>
          <w:rFonts w:ascii="Verdana" w:hAnsi="Verdana"/>
          <w:sz w:val="20"/>
          <w:lang w:val="pt-BR"/>
        </w:rPr>
        <w:t>u</w:t>
      </w:r>
      <w:r w:rsidR="004756C1" w:rsidRPr="002F50BD">
        <w:rPr>
          <w:rFonts w:ascii="Verdana" w:hAnsi="Verdana"/>
          <w:sz w:val="20"/>
          <w:lang w:val="pt-BR"/>
        </w:rPr>
        <w:t xml:space="preserve"> fortuitas, </w:t>
      </w:r>
      <w:r w:rsidR="009F308E" w:rsidRPr="002F50BD">
        <w:rPr>
          <w:rFonts w:ascii="Verdana" w:hAnsi="Verdana"/>
          <w:sz w:val="20"/>
          <w:lang w:val="pt-BR"/>
        </w:rPr>
        <w:t xml:space="preserve">exceto caso se prove a </w:t>
      </w:r>
      <w:r w:rsidR="00B756DC" w:rsidRPr="002F50BD">
        <w:rPr>
          <w:rFonts w:ascii="Verdana" w:hAnsi="Verdana"/>
          <w:sz w:val="20"/>
          <w:lang w:val="pt-BR"/>
        </w:rPr>
        <w:t>negligência</w:t>
      </w:r>
      <w:r w:rsidRPr="002F50BD">
        <w:rPr>
          <w:rFonts w:ascii="Verdana" w:hAnsi="Verdana"/>
          <w:sz w:val="20"/>
          <w:lang w:val="pt-BR"/>
        </w:rPr>
        <w:t xml:space="preserve"> na atenção</w:t>
      </w:r>
      <w:r w:rsidR="004756C1" w:rsidRPr="002F50BD">
        <w:rPr>
          <w:rFonts w:ascii="Verdana" w:hAnsi="Verdana"/>
          <w:sz w:val="20"/>
          <w:lang w:val="pt-BR"/>
        </w:rPr>
        <w:t xml:space="preserve"> </w:t>
      </w:r>
      <w:r w:rsidRPr="002F50BD">
        <w:rPr>
          <w:rFonts w:ascii="Verdana" w:hAnsi="Verdana"/>
          <w:sz w:val="20"/>
          <w:lang w:val="pt-BR"/>
        </w:rPr>
        <w:t xml:space="preserve">destes </w:t>
      </w:r>
      <w:r w:rsidR="004756C1" w:rsidRPr="002F50BD">
        <w:rPr>
          <w:rFonts w:ascii="Verdana" w:hAnsi="Verdana"/>
          <w:sz w:val="20"/>
          <w:lang w:val="pt-BR"/>
        </w:rPr>
        <w:t>casos particulares</w:t>
      </w:r>
      <w:r w:rsidRPr="002F50BD">
        <w:rPr>
          <w:rFonts w:ascii="Verdana" w:hAnsi="Verdana"/>
          <w:sz w:val="20"/>
          <w:lang w:val="pt-BR"/>
        </w:rPr>
        <w:t xml:space="preserve"> pelas </w:t>
      </w:r>
      <w:r w:rsidR="004756C1" w:rsidRPr="002F50BD">
        <w:rPr>
          <w:rFonts w:ascii="Verdana" w:hAnsi="Verdana"/>
          <w:sz w:val="20"/>
          <w:lang w:val="pt-BR"/>
        </w:rPr>
        <w:t xml:space="preserve">autoridades </w:t>
      </w:r>
      <w:r w:rsidR="00A50140" w:rsidRPr="002F50BD">
        <w:rPr>
          <w:rFonts w:ascii="Verdana" w:hAnsi="Verdana"/>
          <w:sz w:val="20"/>
          <w:lang w:val="pt-BR"/>
        </w:rPr>
        <w:t>sanitária</w:t>
      </w:r>
      <w:r w:rsidR="004756C1" w:rsidRPr="002F50BD">
        <w:rPr>
          <w:rFonts w:ascii="Verdana" w:hAnsi="Verdana"/>
          <w:sz w:val="20"/>
          <w:lang w:val="pt-BR"/>
        </w:rPr>
        <w:t>s</w:t>
      </w:r>
      <w:r w:rsidRPr="002F50BD">
        <w:rPr>
          <w:rFonts w:ascii="Verdana" w:hAnsi="Verdana"/>
          <w:sz w:val="20"/>
          <w:lang w:val="pt-BR"/>
        </w:rPr>
        <w:t xml:space="preserve"> ou outra</w:t>
      </w:r>
      <w:r w:rsidR="004756C1" w:rsidRPr="002F50BD">
        <w:rPr>
          <w:rFonts w:ascii="Verdana" w:hAnsi="Verdana"/>
          <w:sz w:val="20"/>
          <w:lang w:val="pt-BR"/>
        </w:rPr>
        <w:t xml:space="preserve">s autoridades que </w:t>
      </w:r>
      <w:r w:rsidRPr="002F50BD">
        <w:rPr>
          <w:rFonts w:ascii="Verdana" w:hAnsi="Verdana"/>
          <w:sz w:val="20"/>
          <w:lang w:val="pt-BR"/>
        </w:rPr>
        <w:t>tiveram</w:t>
      </w:r>
      <w:r w:rsidR="004756C1" w:rsidRPr="002F50BD">
        <w:rPr>
          <w:rFonts w:ascii="Verdana" w:hAnsi="Verdana"/>
          <w:sz w:val="20"/>
          <w:lang w:val="pt-BR"/>
        </w:rPr>
        <w:t xml:space="preserve"> </w:t>
      </w:r>
      <w:r w:rsidRPr="002F50BD">
        <w:rPr>
          <w:rFonts w:ascii="Verdana" w:hAnsi="Verdana"/>
          <w:sz w:val="20"/>
          <w:lang w:val="pt-BR"/>
        </w:rPr>
        <w:t>conhecimento dos fatos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9F308E" w:rsidRPr="002F50BD">
        <w:rPr>
          <w:rFonts w:ascii="Verdana" w:hAnsi="Verdana"/>
          <w:sz w:val="20"/>
          <w:lang w:val="pt-BR"/>
        </w:rPr>
        <w:t>ã</w:t>
      </w:r>
      <w:r w:rsidR="004756C1" w:rsidRPr="002F50BD">
        <w:rPr>
          <w:rFonts w:ascii="Verdana" w:hAnsi="Verdana"/>
          <w:sz w:val="20"/>
          <w:lang w:val="pt-BR"/>
        </w:rPr>
        <w:t xml:space="preserve">o </w:t>
      </w:r>
      <w:r w:rsidR="00FC6B22" w:rsidRPr="002F50BD">
        <w:rPr>
          <w:rFonts w:ascii="Verdana" w:hAnsi="Verdana"/>
          <w:sz w:val="20"/>
          <w:lang w:val="pt-BR"/>
        </w:rPr>
        <w:t xml:space="preserve">se </w:t>
      </w:r>
      <w:r w:rsidRPr="002F50BD">
        <w:rPr>
          <w:rFonts w:ascii="Verdana" w:hAnsi="Verdana"/>
          <w:sz w:val="20"/>
          <w:lang w:val="pt-BR"/>
        </w:rPr>
        <w:t>pode</w:t>
      </w:r>
      <w:r w:rsidR="004756C1" w:rsidRPr="002F50BD">
        <w:rPr>
          <w:rFonts w:ascii="Verdana" w:hAnsi="Verdana"/>
          <w:sz w:val="20"/>
          <w:lang w:val="pt-BR"/>
        </w:rPr>
        <w:t xml:space="preserve"> </w:t>
      </w:r>
      <w:r w:rsidR="009F308E" w:rsidRPr="002F50BD">
        <w:rPr>
          <w:rFonts w:ascii="Verdana" w:hAnsi="Verdana"/>
          <w:sz w:val="20"/>
          <w:lang w:val="pt-BR"/>
        </w:rPr>
        <w:t>imputar</w:t>
      </w:r>
      <w:r w:rsidR="004756C1" w:rsidRPr="002F50BD">
        <w:rPr>
          <w:rFonts w:ascii="Verdana" w:hAnsi="Verdana"/>
          <w:sz w:val="20"/>
          <w:lang w:val="pt-BR"/>
        </w:rPr>
        <w:t>, por o</w:t>
      </w:r>
      <w:r w:rsidRPr="002F50BD">
        <w:rPr>
          <w:rFonts w:ascii="Verdana" w:hAnsi="Verdana"/>
          <w:sz w:val="20"/>
          <w:lang w:val="pt-BR"/>
        </w:rPr>
        <w:t xml:space="preserve">missão nem </w:t>
      </w:r>
      <w:r w:rsidR="004756C1" w:rsidRPr="002F50BD">
        <w:rPr>
          <w:rFonts w:ascii="Verdana" w:hAnsi="Verdana"/>
          <w:sz w:val="20"/>
          <w:lang w:val="pt-BR"/>
        </w:rPr>
        <w:t xml:space="preserve">por </w:t>
      </w:r>
      <w:r w:rsidR="004076AD" w:rsidRPr="002F50BD">
        <w:rPr>
          <w:rFonts w:ascii="Verdana" w:hAnsi="Verdana"/>
          <w:sz w:val="20"/>
          <w:lang w:val="pt-BR"/>
        </w:rPr>
        <w:t>ação</w:t>
      </w:r>
      <w:r w:rsidR="004756C1" w:rsidRPr="002F50BD">
        <w:rPr>
          <w:rFonts w:ascii="Verdana" w:hAnsi="Verdana"/>
          <w:sz w:val="20"/>
          <w:lang w:val="pt-BR"/>
        </w:rPr>
        <w:t>,</w:t>
      </w:r>
      <w:r w:rsidRPr="002F50BD">
        <w:rPr>
          <w:rFonts w:ascii="Verdana" w:hAnsi="Verdana"/>
          <w:sz w:val="20"/>
          <w:lang w:val="pt-BR"/>
        </w:rPr>
        <w:t xml:space="preserve"> a morte</w:t>
      </w:r>
      <w:r w:rsidR="004756C1" w:rsidRPr="002F50BD">
        <w:rPr>
          <w:rFonts w:ascii="Verdana" w:hAnsi="Verdana"/>
          <w:sz w:val="20"/>
          <w:lang w:val="pt-BR"/>
        </w:rPr>
        <w:t xml:space="preserve"> por “</w:t>
      </w:r>
      <w:r w:rsidR="00367FD1" w:rsidRPr="002F50BD">
        <w:rPr>
          <w:rFonts w:ascii="Verdana" w:hAnsi="Verdana"/>
          <w:sz w:val="20"/>
          <w:lang w:val="pt-BR"/>
        </w:rPr>
        <w:t>afogamento</w:t>
      </w:r>
      <w:r w:rsidR="004756C1" w:rsidRPr="002F50BD">
        <w:rPr>
          <w:rFonts w:ascii="Verdana" w:hAnsi="Verdana"/>
          <w:sz w:val="20"/>
          <w:lang w:val="pt-BR"/>
        </w:rPr>
        <w:t>” de</w:t>
      </w:r>
      <w:r w:rsidRPr="002F50BD">
        <w:rPr>
          <w:rFonts w:ascii="Verdana" w:hAnsi="Verdana"/>
          <w:sz w:val="20"/>
          <w:lang w:val="pt-BR"/>
        </w:rPr>
        <w:t xml:space="preserve"> uma pessoa</w:t>
      </w:r>
      <w:r w:rsidR="004756C1" w:rsidRPr="002F50BD">
        <w:rPr>
          <w:rFonts w:ascii="Verdana" w:hAnsi="Verdana"/>
          <w:sz w:val="20"/>
          <w:lang w:val="pt-BR"/>
        </w:rPr>
        <w:t xml:space="preserve"> de </w:t>
      </w:r>
      <w:r w:rsidR="00063B47" w:rsidRPr="002F50BD">
        <w:rPr>
          <w:rFonts w:ascii="Verdana" w:hAnsi="Verdana"/>
          <w:sz w:val="20"/>
          <w:lang w:val="pt-BR"/>
        </w:rPr>
        <w:t>70</w:t>
      </w:r>
      <w:r w:rsidR="004756C1" w:rsidRPr="002F50BD">
        <w:rPr>
          <w:rFonts w:ascii="Verdana" w:hAnsi="Verdana"/>
          <w:sz w:val="20"/>
          <w:lang w:val="pt-BR"/>
        </w:rPr>
        <w:t xml:space="preserve"> </w:t>
      </w:r>
      <w:r w:rsidRPr="002F50BD">
        <w:rPr>
          <w:rFonts w:ascii="Verdana" w:hAnsi="Verdana"/>
          <w:sz w:val="20"/>
          <w:lang w:val="pt-BR"/>
        </w:rPr>
        <w:t>anos</w:t>
      </w:r>
      <w:r w:rsidR="004756C1" w:rsidRPr="002F50BD">
        <w:rPr>
          <w:rFonts w:ascii="Verdana" w:hAnsi="Verdana"/>
          <w:sz w:val="20"/>
          <w:lang w:val="pt-BR"/>
        </w:rPr>
        <w:t xml:space="preserve"> de</w:t>
      </w:r>
      <w:r w:rsidRPr="002F50BD">
        <w:rPr>
          <w:rFonts w:ascii="Verdana" w:hAnsi="Verdana"/>
          <w:sz w:val="20"/>
          <w:lang w:val="pt-BR"/>
        </w:rPr>
        <w:t xml:space="preserve"> idade nem a morte</w:t>
      </w:r>
      <w:r w:rsidR="004756C1" w:rsidRPr="002F50BD">
        <w:rPr>
          <w:rFonts w:ascii="Verdana" w:hAnsi="Verdana"/>
          <w:sz w:val="20"/>
          <w:lang w:val="pt-BR"/>
        </w:rPr>
        <w:t xml:space="preserve"> por </w:t>
      </w:r>
      <w:r w:rsidR="00367FD1" w:rsidRPr="002F50BD">
        <w:rPr>
          <w:rFonts w:ascii="Verdana" w:hAnsi="Verdana"/>
          <w:sz w:val="20"/>
          <w:lang w:val="pt-BR"/>
        </w:rPr>
        <w:t>insuficiência</w:t>
      </w:r>
      <w:r w:rsidR="004756C1" w:rsidRPr="002F50BD">
        <w:rPr>
          <w:rFonts w:ascii="Verdana" w:hAnsi="Verdana"/>
          <w:sz w:val="20"/>
          <w:lang w:val="pt-BR"/>
        </w:rPr>
        <w:t xml:space="preserve"> </w:t>
      </w:r>
      <w:r w:rsidR="00367FD1" w:rsidRPr="002F50BD">
        <w:rPr>
          <w:rFonts w:ascii="Verdana" w:hAnsi="Verdana"/>
          <w:sz w:val="20"/>
          <w:lang w:val="pt-BR"/>
        </w:rPr>
        <w:t>cardíaca</w:t>
      </w:r>
      <w:r w:rsidR="004756C1" w:rsidRPr="002F50BD">
        <w:rPr>
          <w:rFonts w:ascii="Verdana" w:hAnsi="Verdana"/>
          <w:sz w:val="20"/>
          <w:lang w:val="pt-BR"/>
        </w:rPr>
        <w:t xml:space="preserve"> de d</w:t>
      </w:r>
      <w:r w:rsidR="009F308E" w:rsidRPr="002F50BD">
        <w:rPr>
          <w:rFonts w:ascii="Verdana" w:hAnsi="Verdana"/>
          <w:sz w:val="20"/>
          <w:lang w:val="pt-BR"/>
        </w:rPr>
        <w:t>ua</w:t>
      </w:r>
      <w:r w:rsidR="004756C1" w:rsidRPr="002F50BD">
        <w:rPr>
          <w:rFonts w:ascii="Verdana" w:hAnsi="Verdana"/>
          <w:sz w:val="20"/>
          <w:lang w:val="pt-BR"/>
        </w:rPr>
        <w:t xml:space="preserve">s </w:t>
      </w:r>
      <w:r w:rsidRPr="002F50BD">
        <w:rPr>
          <w:rFonts w:ascii="Verdana" w:hAnsi="Verdana"/>
          <w:sz w:val="20"/>
          <w:lang w:val="pt-BR"/>
        </w:rPr>
        <w:t>pessoa</w:t>
      </w:r>
      <w:r w:rsidR="004756C1" w:rsidRPr="002F50BD">
        <w:rPr>
          <w:rFonts w:ascii="Verdana" w:hAnsi="Verdana"/>
          <w:sz w:val="20"/>
          <w:lang w:val="pt-BR"/>
        </w:rPr>
        <w:t xml:space="preserve">s de </w:t>
      </w:r>
      <w:r w:rsidR="00063B47" w:rsidRPr="002F50BD">
        <w:rPr>
          <w:rFonts w:ascii="Verdana" w:hAnsi="Verdana"/>
          <w:sz w:val="20"/>
          <w:lang w:val="pt-BR"/>
        </w:rPr>
        <w:t>58</w:t>
      </w:r>
      <w:r w:rsidRPr="002F50BD">
        <w:rPr>
          <w:rFonts w:ascii="Verdana" w:hAnsi="Verdana"/>
          <w:sz w:val="20"/>
          <w:lang w:val="pt-BR"/>
        </w:rPr>
        <w:t xml:space="preserve"> e </w:t>
      </w:r>
      <w:r w:rsidR="00063B47" w:rsidRPr="002F50BD">
        <w:rPr>
          <w:rFonts w:ascii="Verdana" w:hAnsi="Verdana"/>
          <w:sz w:val="20"/>
          <w:lang w:val="pt-BR"/>
        </w:rPr>
        <w:t>80</w:t>
      </w:r>
      <w:r w:rsidR="004756C1" w:rsidRPr="002F50BD">
        <w:rPr>
          <w:rFonts w:ascii="Verdana" w:hAnsi="Verdana"/>
          <w:sz w:val="20"/>
          <w:lang w:val="pt-BR"/>
        </w:rPr>
        <w:t xml:space="preserve"> </w:t>
      </w:r>
      <w:r w:rsidRPr="002F50BD">
        <w:rPr>
          <w:rFonts w:ascii="Verdana" w:hAnsi="Verdana"/>
          <w:sz w:val="20"/>
          <w:lang w:val="pt-BR"/>
        </w:rPr>
        <w:t>anos</w:t>
      </w:r>
      <w:r w:rsidR="004756C1" w:rsidRPr="002F50BD">
        <w:rPr>
          <w:rFonts w:ascii="Verdana" w:hAnsi="Verdana"/>
          <w:sz w:val="20"/>
          <w:lang w:val="pt-BR"/>
        </w:rPr>
        <w:t xml:space="preserve"> de</w:t>
      </w:r>
      <w:r w:rsidRPr="002F50BD">
        <w:rPr>
          <w:rFonts w:ascii="Verdana" w:hAnsi="Verdana"/>
          <w:sz w:val="20"/>
          <w:lang w:val="pt-BR"/>
        </w:rPr>
        <w:t xml:space="preserve"> idade</w:t>
      </w:r>
      <w:r w:rsidR="004756C1"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9F308E">
      <w:pPr>
        <w:numPr>
          <w:ilvl w:val="0"/>
          <w:numId w:val="13"/>
        </w:numPr>
        <w:tabs>
          <w:tab w:val="left" w:pos="1080"/>
        </w:tabs>
        <w:ind w:left="720"/>
        <w:jc w:val="both"/>
        <w:rPr>
          <w:rFonts w:ascii="Verdana" w:hAnsi="Verdana"/>
          <w:sz w:val="20"/>
          <w:lang w:val="pt-BR"/>
        </w:rPr>
      </w:pPr>
      <w:r w:rsidRPr="002F50BD">
        <w:rPr>
          <w:rFonts w:ascii="Verdana" w:hAnsi="Verdana"/>
          <w:sz w:val="20"/>
          <w:lang w:val="pt-BR"/>
        </w:rPr>
        <w:t>Q</w:t>
      </w:r>
      <w:r w:rsidR="00F46680" w:rsidRPr="002F50BD">
        <w:rPr>
          <w:rFonts w:ascii="Verdana" w:hAnsi="Verdana"/>
          <w:sz w:val="20"/>
          <w:lang w:val="pt-BR"/>
        </w:rPr>
        <w:t xml:space="preserve">uanto </w:t>
      </w:r>
      <w:r w:rsidR="0089298C" w:rsidRPr="002F50BD">
        <w:rPr>
          <w:rFonts w:ascii="Verdana" w:hAnsi="Verdana"/>
          <w:sz w:val="20"/>
          <w:lang w:val="pt-BR"/>
        </w:rPr>
        <w:t xml:space="preserve">à </w:t>
      </w:r>
      <w:r w:rsidR="004756C1" w:rsidRPr="002F50BD">
        <w:rPr>
          <w:rFonts w:ascii="Verdana" w:hAnsi="Verdana"/>
          <w:sz w:val="20"/>
          <w:lang w:val="pt-BR"/>
        </w:rPr>
        <w:t>determina</w:t>
      </w:r>
      <w:r w:rsidR="0089298C" w:rsidRPr="002F50BD">
        <w:rPr>
          <w:rFonts w:ascii="Verdana" w:hAnsi="Verdana"/>
          <w:sz w:val="20"/>
          <w:lang w:val="pt-BR"/>
        </w:rPr>
        <w:t xml:space="preserve">ção das </w:t>
      </w:r>
      <w:r w:rsidR="004756C1" w:rsidRPr="002F50BD">
        <w:rPr>
          <w:rFonts w:ascii="Verdana" w:hAnsi="Verdana"/>
          <w:sz w:val="20"/>
          <w:lang w:val="pt-BR"/>
        </w:rPr>
        <w:t xml:space="preserve">causas de </w:t>
      </w:r>
      <w:r w:rsidR="00367FD1" w:rsidRPr="002F50BD">
        <w:rPr>
          <w:rFonts w:ascii="Verdana" w:hAnsi="Verdana"/>
          <w:sz w:val="20"/>
          <w:lang w:val="pt-BR"/>
        </w:rPr>
        <w:t>falecimento</w:t>
      </w:r>
      <w:r w:rsidR="004756C1" w:rsidRPr="002F50BD">
        <w:rPr>
          <w:rFonts w:ascii="Verdana" w:hAnsi="Verdana"/>
          <w:sz w:val="20"/>
          <w:lang w:val="pt-BR"/>
        </w:rPr>
        <w:t xml:space="preserve"> de </w:t>
      </w:r>
      <w:r w:rsidR="0089298C" w:rsidRPr="002F50BD">
        <w:rPr>
          <w:rFonts w:ascii="Verdana" w:hAnsi="Verdana"/>
          <w:sz w:val="20"/>
          <w:lang w:val="pt-BR"/>
        </w:rPr>
        <w:t>alguns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cabe destacar que </w:t>
      </w:r>
      <w:r w:rsidRPr="002F50BD">
        <w:rPr>
          <w:rFonts w:ascii="Verdana" w:hAnsi="Verdana"/>
          <w:sz w:val="20"/>
          <w:lang w:val="pt-BR"/>
        </w:rPr>
        <w:t xml:space="preserve">estes não </w:t>
      </w:r>
      <w:r w:rsidR="0089298C" w:rsidRPr="002F50BD">
        <w:rPr>
          <w:rFonts w:ascii="Verdana" w:hAnsi="Verdana"/>
          <w:sz w:val="20"/>
          <w:lang w:val="pt-BR"/>
        </w:rPr>
        <w:t>foram</w:t>
      </w:r>
      <w:r w:rsidR="004756C1" w:rsidRPr="002F50BD">
        <w:rPr>
          <w:rFonts w:ascii="Verdana" w:hAnsi="Verdana"/>
          <w:sz w:val="20"/>
          <w:lang w:val="pt-BR"/>
        </w:rPr>
        <w:t xml:space="preserve"> atendidos </w:t>
      </w:r>
      <w:r w:rsidR="0089298C" w:rsidRPr="002F50BD">
        <w:rPr>
          <w:rFonts w:ascii="Verdana" w:hAnsi="Verdana"/>
          <w:sz w:val="20"/>
          <w:lang w:val="pt-BR"/>
        </w:rPr>
        <w:t>pessoa</w:t>
      </w:r>
      <w:r w:rsidR="004756C1" w:rsidRPr="002F50BD">
        <w:rPr>
          <w:rFonts w:ascii="Verdana" w:hAnsi="Verdana"/>
          <w:sz w:val="20"/>
          <w:lang w:val="pt-BR"/>
        </w:rPr>
        <w:t>lmente</w:t>
      </w:r>
      <w:r w:rsidR="0089298C" w:rsidRPr="002F50BD">
        <w:rPr>
          <w:rFonts w:ascii="Verdana" w:hAnsi="Verdana"/>
          <w:sz w:val="20"/>
          <w:lang w:val="pt-BR"/>
        </w:rPr>
        <w:t xml:space="preserve"> pelo </w:t>
      </w:r>
      <w:r w:rsidR="004756C1" w:rsidRPr="002F50BD">
        <w:rPr>
          <w:rFonts w:ascii="Verdana" w:hAnsi="Verdana"/>
          <w:sz w:val="20"/>
          <w:lang w:val="pt-BR"/>
        </w:rPr>
        <w:t>perito Pablo Balmaceda. Todas</w:t>
      </w:r>
      <w:r w:rsidR="0089298C" w:rsidRPr="002F50BD">
        <w:rPr>
          <w:rFonts w:ascii="Verdana" w:hAnsi="Verdana"/>
          <w:sz w:val="20"/>
          <w:lang w:val="pt-BR"/>
        </w:rPr>
        <w:t xml:space="preserve"> as </w:t>
      </w:r>
      <w:r w:rsidR="004756C1" w:rsidRPr="002F50BD">
        <w:rPr>
          <w:rFonts w:ascii="Verdana" w:hAnsi="Verdana"/>
          <w:sz w:val="20"/>
          <w:lang w:val="pt-BR"/>
        </w:rPr>
        <w:t>informa</w:t>
      </w:r>
      <w:r w:rsidR="0089298C" w:rsidRPr="002F50BD">
        <w:rPr>
          <w:rFonts w:ascii="Verdana" w:hAnsi="Verdana"/>
          <w:sz w:val="20"/>
          <w:lang w:val="pt-BR"/>
        </w:rPr>
        <w:t>ções</w:t>
      </w:r>
      <w:r w:rsidR="004756C1" w:rsidRPr="002F50BD">
        <w:rPr>
          <w:rFonts w:ascii="Verdana" w:hAnsi="Verdana"/>
          <w:sz w:val="20"/>
          <w:lang w:val="pt-BR"/>
        </w:rPr>
        <w:t xml:space="preserve"> sobre</w:t>
      </w:r>
      <w:r w:rsidR="0089298C" w:rsidRPr="002F50BD">
        <w:rPr>
          <w:rFonts w:ascii="Verdana" w:hAnsi="Verdana"/>
          <w:sz w:val="20"/>
          <w:lang w:val="pt-BR"/>
        </w:rPr>
        <w:t xml:space="preserve"> a morte</w:t>
      </w:r>
      <w:r w:rsidR="004756C1" w:rsidRPr="002F50BD">
        <w:rPr>
          <w:rFonts w:ascii="Verdana" w:hAnsi="Verdana"/>
          <w:sz w:val="20"/>
          <w:lang w:val="pt-BR"/>
        </w:rPr>
        <w:t xml:space="preserve"> </w:t>
      </w:r>
      <w:r w:rsidR="0089298C" w:rsidRPr="002F50BD">
        <w:rPr>
          <w:rFonts w:ascii="Verdana" w:hAnsi="Verdana"/>
          <w:sz w:val="20"/>
          <w:lang w:val="pt-BR"/>
        </w:rPr>
        <w:t>desta</w:t>
      </w:r>
      <w:r w:rsidR="004756C1" w:rsidRPr="002F50BD">
        <w:rPr>
          <w:rFonts w:ascii="Verdana" w:hAnsi="Verdana"/>
          <w:sz w:val="20"/>
          <w:lang w:val="pt-BR"/>
        </w:rPr>
        <w:t xml:space="preserve">s </w:t>
      </w:r>
      <w:r w:rsidR="0089298C" w:rsidRPr="002F50BD">
        <w:rPr>
          <w:rFonts w:ascii="Verdana" w:hAnsi="Verdana"/>
          <w:sz w:val="20"/>
          <w:lang w:val="pt-BR"/>
        </w:rPr>
        <w:t>pessoa</w:t>
      </w:r>
      <w:r w:rsidR="004756C1" w:rsidRPr="002F50BD">
        <w:rPr>
          <w:rFonts w:ascii="Verdana" w:hAnsi="Verdana"/>
          <w:sz w:val="20"/>
          <w:lang w:val="pt-BR"/>
        </w:rPr>
        <w:t xml:space="preserve">s, de </w:t>
      </w:r>
      <w:r w:rsidR="0089298C" w:rsidRPr="002F50BD">
        <w:rPr>
          <w:rFonts w:ascii="Verdana" w:hAnsi="Verdana"/>
          <w:sz w:val="20"/>
          <w:lang w:val="pt-BR"/>
        </w:rPr>
        <w:t>quem</w:t>
      </w:r>
      <w:r w:rsidR="004756C1" w:rsidRPr="002F50BD">
        <w:rPr>
          <w:rFonts w:ascii="Verdana" w:hAnsi="Verdana"/>
          <w:sz w:val="20"/>
          <w:lang w:val="pt-BR"/>
        </w:rPr>
        <w:t xml:space="preserve"> n</w:t>
      </w:r>
      <w:r w:rsidRPr="002F50BD">
        <w:rPr>
          <w:rFonts w:ascii="Verdana" w:hAnsi="Verdana"/>
          <w:sz w:val="20"/>
          <w:lang w:val="pt-BR"/>
        </w:rPr>
        <w:t>ã</w:t>
      </w:r>
      <w:r w:rsidR="004756C1" w:rsidRPr="002F50BD">
        <w:rPr>
          <w:rFonts w:ascii="Verdana" w:hAnsi="Verdana"/>
          <w:sz w:val="20"/>
          <w:lang w:val="pt-BR"/>
        </w:rPr>
        <w:t xml:space="preserve">o se </w:t>
      </w:r>
      <w:r w:rsidR="00FD2C38" w:rsidRPr="002F50BD">
        <w:rPr>
          <w:rFonts w:ascii="Verdana" w:hAnsi="Verdana"/>
          <w:sz w:val="20"/>
          <w:lang w:val="pt-BR"/>
        </w:rPr>
        <w:t>provou</w:t>
      </w:r>
      <w:r w:rsidR="004756C1" w:rsidRPr="002F50BD">
        <w:rPr>
          <w:rFonts w:ascii="Verdana" w:hAnsi="Verdana"/>
          <w:sz w:val="20"/>
          <w:lang w:val="pt-BR"/>
        </w:rPr>
        <w:t xml:space="preserve"> su</w:t>
      </w:r>
      <w:r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existência</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AB454A" w:rsidRPr="002F50BD">
        <w:rPr>
          <w:rFonts w:ascii="Verdana" w:hAnsi="Verdana"/>
          <w:sz w:val="20"/>
          <w:lang w:val="pt-BR"/>
        </w:rPr>
        <w:t>obtid</w:t>
      </w:r>
      <w:r w:rsidR="004756C1" w:rsidRPr="002F50BD">
        <w:rPr>
          <w:rFonts w:ascii="Verdana" w:hAnsi="Verdana"/>
          <w:sz w:val="20"/>
          <w:lang w:val="pt-BR"/>
        </w:rPr>
        <w:t>as su</w:t>
      </w:r>
      <w:r w:rsidR="0089298C" w:rsidRPr="002F50BD">
        <w:rPr>
          <w:rFonts w:ascii="Verdana" w:hAnsi="Verdana"/>
          <w:sz w:val="20"/>
          <w:lang w:val="pt-BR"/>
        </w:rPr>
        <w:t>posta</w:t>
      </w:r>
      <w:r w:rsidR="004756C1" w:rsidRPr="002F50BD">
        <w:rPr>
          <w:rFonts w:ascii="Verdana" w:hAnsi="Verdana"/>
          <w:sz w:val="20"/>
          <w:lang w:val="pt-BR"/>
        </w:rPr>
        <w:t xml:space="preserve">mente por </w:t>
      </w:r>
      <w:r w:rsidR="005A6BC7" w:rsidRPr="002F50BD">
        <w:rPr>
          <w:rFonts w:ascii="Verdana" w:hAnsi="Verdana"/>
          <w:sz w:val="20"/>
          <w:lang w:val="pt-BR"/>
        </w:rPr>
        <w:t>fam</w:t>
      </w:r>
      <w:r w:rsidRPr="002F50BD">
        <w:rPr>
          <w:rFonts w:ascii="Verdana" w:hAnsi="Verdana"/>
          <w:sz w:val="20"/>
          <w:lang w:val="pt-BR"/>
        </w:rPr>
        <w:t>i</w:t>
      </w:r>
      <w:r w:rsidR="005A6BC7" w:rsidRPr="002F50BD">
        <w:rPr>
          <w:rFonts w:ascii="Verdana" w:hAnsi="Verdana"/>
          <w:sz w:val="20"/>
          <w:lang w:val="pt-BR"/>
        </w:rPr>
        <w:t>lia</w:t>
      </w:r>
      <w:r w:rsidR="004756C1" w:rsidRPr="002F50BD">
        <w:rPr>
          <w:rFonts w:ascii="Verdana" w:hAnsi="Verdana"/>
          <w:sz w:val="20"/>
          <w:lang w:val="pt-BR"/>
        </w:rPr>
        <w:t xml:space="preserve">res, </w:t>
      </w:r>
      <w:r w:rsidRPr="002F50BD">
        <w:rPr>
          <w:rFonts w:ascii="Verdana" w:hAnsi="Verdana"/>
          <w:sz w:val="20"/>
          <w:lang w:val="pt-BR"/>
        </w:rPr>
        <w:t xml:space="preserve">razão pela </w:t>
      </w:r>
      <w:r w:rsidR="0089298C" w:rsidRPr="002F50BD">
        <w:rPr>
          <w:rFonts w:ascii="Verdana" w:hAnsi="Verdana"/>
          <w:sz w:val="20"/>
          <w:lang w:val="pt-BR"/>
        </w:rPr>
        <w:t xml:space="preserve">qual </w:t>
      </w:r>
      <w:r w:rsidR="00AB454A" w:rsidRPr="002F50BD">
        <w:rPr>
          <w:rFonts w:ascii="Verdana" w:hAnsi="Verdana"/>
          <w:sz w:val="20"/>
          <w:lang w:val="pt-BR"/>
        </w:rPr>
        <w:t>sua declaração</w:t>
      </w:r>
      <w:r w:rsidR="004756C1" w:rsidRPr="002F50BD">
        <w:rPr>
          <w:rFonts w:ascii="Verdana" w:hAnsi="Verdana"/>
          <w:sz w:val="20"/>
          <w:lang w:val="pt-BR"/>
        </w:rPr>
        <w:t xml:space="preserve"> está viciada </w:t>
      </w:r>
      <w:r w:rsidR="004B0CA7" w:rsidRPr="002F50BD">
        <w:rPr>
          <w:rFonts w:ascii="Verdana" w:hAnsi="Verdana"/>
          <w:sz w:val="20"/>
          <w:lang w:val="pt-BR"/>
        </w:rPr>
        <w:t>por</w:t>
      </w:r>
      <w:r w:rsidR="0089298C" w:rsidRPr="002F50BD">
        <w:rPr>
          <w:rFonts w:ascii="Verdana" w:hAnsi="Verdana"/>
          <w:sz w:val="20"/>
          <w:lang w:val="pt-BR"/>
        </w:rPr>
        <w:t xml:space="preserve"> uma nulidade </w:t>
      </w:r>
      <w:r w:rsidR="004756C1" w:rsidRPr="002F50BD">
        <w:rPr>
          <w:rFonts w:ascii="Verdana" w:hAnsi="Verdana"/>
          <w:sz w:val="20"/>
          <w:lang w:val="pt-BR"/>
        </w:rPr>
        <w:t>absoluta;</w:t>
      </w:r>
    </w:p>
    <w:p w:rsidR="00452B62" w:rsidRPr="002F50BD" w:rsidRDefault="00452B62" w:rsidP="00452B62">
      <w:pPr>
        <w:tabs>
          <w:tab w:val="left" w:pos="1080"/>
        </w:tabs>
        <w:ind w:left="270"/>
        <w:jc w:val="both"/>
        <w:rPr>
          <w:rFonts w:ascii="Verdana" w:hAnsi="Verdana"/>
          <w:sz w:val="20"/>
          <w:lang w:val="pt-BR"/>
        </w:rPr>
      </w:pPr>
    </w:p>
    <w:p w:rsidR="004756C1" w:rsidRPr="002F50BD" w:rsidRDefault="0089298C">
      <w:pPr>
        <w:numPr>
          <w:ilvl w:val="0"/>
          <w:numId w:val="13"/>
        </w:numPr>
        <w:tabs>
          <w:tab w:val="left" w:pos="1080"/>
        </w:tabs>
        <w:ind w:left="720"/>
        <w:jc w:val="both"/>
        <w:rPr>
          <w:rFonts w:ascii="Verdana" w:hAnsi="Verdana"/>
          <w:sz w:val="20"/>
          <w:lang w:val="pt-BR"/>
        </w:rPr>
      </w:pPr>
      <w:r w:rsidRPr="002F50BD">
        <w:rPr>
          <w:rFonts w:ascii="Verdana" w:hAnsi="Verdana"/>
          <w:sz w:val="20"/>
          <w:lang w:val="pt-BR"/>
        </w:rPr>
        <w:t xml:space="preserve">A Comunidade </w:t>
      </w:r>
      <w:r w:rsidR="004756C1" w:rsidRPr="002F50BD">
        <w:rPr>
          <w:rFonts w:ascii="Verdana" w:hAnsi="Verdana"/>
          <w:sz w:val="20"/>
          <w:lang w:val="pt-BR"/>
        </w:rPr>
        <w:t xml:space="preserve">Yakye Axa, </w:t>
      </w:r>
      <w:r w:rsidR="009F308E" w:rsidRPr="002F50BD">
        <w:rPr>
          <w:rFonts w:ascii="Verdana" w:hAnsi="Verdana"/>
          <w:sz w:val="20"/>
          <w:lang w:val="pt-BR"/>
        </w:rPr>
        <w:t xml:space="preserve">bem </w:t>
      </w:r>
      <w:r w:rsidR="004756C1" w:rsidRPr="002F50BD">
        <w:rPr>
          <w:rFonts w:ascii="Verdana" w:hAnsi="Verdana"/>
          <w:sz w:val="20"/>
          <w:lang w:val="pt-BR"/>
        </w:rPr>
        <w:t>como toda</w:t>
      </w:r>
      <w:r w:rsidRPr="002F50BD">
        <w:rPr>
          <w:rFonts w:ascii="Verdana" w:hAnsi="Verdana"/>
          <w:sz w:val="20"/>
          <w:lang w:val="pt-BR"/>
        </w:rPr>
        <w:t xml:space="preserve"> a </w:t>
      </w:r>
      <w:r w:rsidR="009F308E" w:rsidRPr="002F50BD">
        <w:rPr>
          <w:rFonts w:ascii="Verdana" w:hAnsi="Verdana"/>
          <w:sz w:val="20"/>
          <w:lang w:val="pt-BR"/>
        </w:rPr>
        <w:t>população</w:t>
      </w:r>
      <w:r w:rsidR="004756C1" w:rsidRPr="002F50BD">
        <w:rPr>
          <w:rFonts w:ascii="Verdana" w:hAnsi="Verdana"/>
          <w:sz w:val="20"/>
          <w:lang w:val="pt-BR"/>
        </w:rPr>
        <w:t xml:space="preserve">, </w:t>
      </w:r>
      <w:r w:rsidRPr="002F50BD">
        <w:rPr>
          <w:rFonts w:ascii="Verdana" w:hAnsi="Verdana"/>
          <w:sz w:val="20"/>
          <w:lang w:val="pt-BR"/>
        </w:rPr>
        <w:t xml:space="preserve">tem </w:t>
      </w:r>
      <w:r w:rsidR="009F308E" w:rsidRPr="002F50BD">
        <w:rPr>
          <w:rFonts w:ascii="Verdana" w:hAnsi="Verdana"/>
          <w:sz w:val="20"/>
          <w:lang w:val="pt-BR"/>
        </w:rPr>
        <w:t>à</w:t>
      </w:r>
      <w:r w:rsidR="004756C1" w:rsidRPr="002F50BD">
        <w:rPr>
          <w:rFonts w:ascii="Verdana" w:hAnsi="Verdana"/>
          <w:sz w:val="20"/>
          <w:lang w:val="pt-BR"/>
        </w:rPr>
        <w:t xml:space="preserve"> </w:t>
      </w:r>
      <w:r w:rsidRPr="002F50BD">
        <w:rPr>
          <w:rFonts w:ascii="Verdana" w:hAnsi="Verdana"/>
          <w:sz w:val="20"/>
          <w:lang w:val="pt-BR"/>
        </w:rPr>
        <w:t>sua disposição um serviço</w:t>
      </w:r>
      <w:r w:rsidR="004756C1" w:rsidRPr="002F50BD">
        <w:rPr>
          <w:rFonts w:ascii="Verdana" w:hAnsi="Verdana"/>
          <w:sz w:val="20"/>
          <w:lang w:val="pt-BR"/>
        </w:rPr>
        <w:t xml:space="preserve"> p</w:t>
      </w:r>
      <w:r w:rsidR="004B0CA7" w:rsidRPr="002F50BD">
        <w:rPr>
          <w:rFonts w:ascii="Verdana" w:hAnsi="Verdana"/>
          <w:sz w:val="20"/>
          <w:lang w:val="pt-BR"/>
        </w:rPr>
        <w:t>ú</w:t>
      </w:r>
      <w:r w:rsidR="004756C1" w:rsidRPr="002F50BD">
        <w:rPr>
          <w:rFonts w:ascii="Verdana" w:hAnsi="Verdana"/>
          <w:sz w:val="20"/>
          <w:lang w:val="pt-BR"/>
        </w:rPr>
        <w:t xml:space="preserve">blico de </w:t>
      </w:r>
      <w:r w:rsidRPr="002F50BD">
        <w:rPr>
          <w:rFonts w:ascii="Verdana" w:hAnsi="Verdana"/>
          <w:sz w:val="20"/>
          <w:lang w:val="pt-BR"/>
        </w:rPr>
        <w:t xml:space="preserve">saúde com </w:t>
      </w:r>
      <w:r w:rsidR="004756C1" w:rsidRPr="002F50BD">
        <w:rPr>
          <w:rFonts w:ascii="Verdana" w:hAnsi="Verdana"/>
          <w:sz w:val="20"/>
          <w:lang w:val="pt-BR"/>
        </w:rPr>
        <w:t xml:space="preserve">diversos centros </w:t>
      </w:r>
      <w:r w:rsidR="009F308E" w:rsidRPr="002F50BD">
        <w:rPr>
          <w:rFonts w:ascii="Verdana" w:hAnsi="Verdana"/>
          <w:sz w:val="20"/>
          <w:lang w:val="pt-BR"/>
        </w:rPr>
        <w:t>assistenciais</w:t>
      </w:r>
      <w:r w:rsidR="004756C1" w:rsidRPr="002F50BD">
        <w:rPr>
          <w:rFonts w:ascii="Verdana" w:hAnsi="Verdana"/>
          <w:sz w:val="20"/>
          <w:lang w:val="pt-BR"/>
        </w:rPr>
        <w:t xml:space="preserve">, </w:t>
      </w:r>
      <w:r w:rsidRPr="002F50BD">
        <w:rPr>
          <w:rFonts w:ascii="Verdana" w:hAnsi="Verdana"/>
          <w:sz w:val="20"/>
          <w:lang w:val="pt-BR"/>
        </w:rPr>
        <w:t>posto</w:t>
      </w:r>
      <w:r w:rsidR="004756C1" w:rsidRPr="002F50BD">
        <w:rPr>
          <w:rFonts w:ascii="Verdana" w:hAnsi="Verdana"/>
          <w:sz w:val="20"/>
          <w:lang w:val="pt-BR"/>
        </w:rPr>
        <w:t xml:space="preserve">s de </w:t>
      </w:r>
      <w:r w:rsidRPr="002F50BD">
        <w:rPr>
          <w:rFonts w:ascii="Verdana" w:hAnsi="Verdana"/>
          <w:sz w:val="20"/>
          <w:lang w:val="pt-BR"/>
        </w:rPr>
        <w:t xml:space="preserve">saúde e </w:t>
      </w:r>
      <w:r w:rsidR="004756C1" w:rsidRPr="002F50BD">
        <w:rPr>
          <w:rFonts w:ascii="Verdana" w:hAnsi="Verdana"/>
          <w:sz w:val="20"/>
          <w:lang w:val="pt-BR"/>
        </w:rPr>
        <w:t>hospi</w:t>
      </w:r>
      <w:r w:rsidRPr="002F50BD">
        <w:rPr>
          <w:rFonts w:ascii="Verdana" w:hAnsi="Verdana"/>
          <w:sz w:val="20"/>
          <w:lang w:val="pt-BR"/>
        </w:rPr>
        <w:t>tais</w:t>
      </w:r>
      <w:r w:rsidR="004756C1" w:rsidRPr="002F50BD">
        <w:rPr>
          <w:rFonts w:ascii="Verdana" w:hAnsi="Verdana"/>
          <w:sz w:val="20"/>
          <w:lang w:val="pt-BR"/>
        </w:rPr>
        <w:t xml:space="preserve"> </w:t>
      </w:r>
      <w:r w:rsidRPr="002F50BD">
        <w:rPr>
          <w:rFonts w:ascii="Verdana" w:hAnsi="Verdana"/>
          <w:sz w:val="20"/>
          <w:lang w:val="pt-BR"/>
        </w:rPr>
        <w:t>regionais</w:t>
      </w:r>
      <w:r w:rsidR="004756C1" w:rsidRPr="002F50BD">
        <w:rPr>
          <w:rFonts w:ascii="Verdana" w:hAnsi="Verdana"/>
          <w:sz w:val="20"/>
          <w:lang w:val="pt-BR"/>
        </w:rPr>
        <w:t>,</w:t>
      </w:r>
      <w:r w:rsidRPr="002F50BD">
        <w:rPr>
          <w:rFonts w:ascii="Verdana" w:hAnsi="Verdana"/>
          <w:sz w:val="20"/>
          <w:lang w:val="pt-BR"/>
        </w:rPr>
        <w:t xml:space="preserve"> aos </w:t>
      </w:r>
      <w:r w:rsidR="009F308E" w:rsidRPr="002F50BD">
        <w:rPr>
          <w:rFonts w:ascii="Verdana" w:hAnsi="Verdana"/>
          <w:sz w:val="20"/>
          <w:lang w:val="pt-BR"/>
        </w:rPr>
        <w:t>quais</w:t>
      </w:r>
      <w:r w:rsidR="004756C1" w:rsidRPr="002F50BD">
        <w:rPr>
          <w:rFonts w:ascii="Verdana" w:hAnsi="Verdana"/>
          <w:sz w:val="20"/>
          <w:lang w:val="pt-BR"/>
        </w:rPr>
        <w:t xml:space="preserve"> </w:t>
      </w:r>
      <w:r w:rsidRPr="002F50BD">
        <w:rPr>
          <w:rFonts w:ascii="Verdana" w:hAnsi="Verdana"/>
          <w:sz w:val="20"/>
          <w:lang w:val="pt-BR"/>
        </w:rPr>
        <w:t>pode</w:t>
      </w:r>
      <w:r w:rsidR="004B0CA7" w:rsidRPr="002F50BD">
        <w:rPr>
          <w:rFonts w:ascii="Verdana" w:hAnsi="Verdana"/>
          <w:sz w:val="20"/>
          <w:lang w:val="pt-BR"/>
        </w:rPr>
        <w:t>m</w:t>
      </w:r>
      <w:r w:rsidR="004756C1" w:rsidRPr="002F50BD">
        <w:rPr>
          <w:rFonts w:ascii="Verdana" w:hAnsi="Verdana"/>
          <w:sz w:val="20"/>
          <w:lang w:val="pt-BR"/>
        </w:rPr>
        <w:t xml:space="preserve"> acudir</w:t>
      </w:r>
      <w:r w:rsidRPr="002F50BD">
        <w:rPr>
          <w:rFonts w:ascii="Verdana" w:hAnsi="Verdana"/>
          <w:sz w:val="20"/>
          <w:lang w:val="pt-BR"/>
        </w:rPr>
        <w:t xml:space="preserve"> através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transporte público</w:t>
      </w:r>
      <w:r w:rsidRPr="002F50BD">
        <w:rPr>
          <w:rFonts w:ascii="Verdana" w:hAnsi="Verdana"/>
          <w:sz w:val="20"/>
          <w:lang w:val="pt-BR"/>
        </w:rPr>
        <w:t xml:space="preserve"> e nos quais a atenção é </w:t>
      </w:r>
      <w:r w:rsidR="004756C1" w:rsidRPr="002F50BD">
        <w:rPr>
          <w:rFonts w:ascii="Verdana" w:hAnsi="Verdana"/>
          <w:sz w:val="20"/>
          <w:lang w:val="pt-BR"/>
        </w:rPr>
        <w:t>gratuita</w:t>
      </w:r>
      <w:r w:rsidR="00E10DBB" w:rsidRPr="002F50BD">
        <w:rPr>
          <w:rFonts w:ascii="Verdana" w:hAnsi="Verdana"/>
          <w:sz w:val="20"/>
          <w:lang w:val="pt-BR"/>
        </w:rPr>
        <w:t xml:space="preserve">. É </w:t>
      </w:r>
      <w:r w:rsidRPr="002F50BD">
        <w:rPr>
          <w:rFonts w:ascii="Verdana" w:hAnsi="Verdana"/>
          <w:sz w:val="20"/>
          <w:lang w:val="pt-BR"/>
        </w:rPr>
        <w:t>responsabilidade pessoa</w:t>
      </w:r>
      <w:r w:rsidR="004756C1" w:rsidRPr="002F50BD">
        <w:rPr>
          <w:rFonts w:ascii="Verdana" w:hAnsi="Verdana"/>
          <w:sz w:val="20"/>
          <w:lang w:val="pt-BR"/>
        </w:rPr>
        <w:t>l</w:t>
      </w:r>
      <w:r w:rsidRPr="002F50BD">
        <w:rPr>
          <w:rFonts w:ascii="Verdana" w:hAnsi="Verdana"/>
          <w:sz w:val="20"/>
          <w:lang w:val="pt-BR"/>
        </w:rPr>
        <w:t xml:space="preserve"> dos </w:t>
      </w:r>
      <w:r w:rsidR="00AB454A" w:rsidRPr="002F50BD">
        <w:rPr>
          <w:rFonts w:ascii="Verdana" w:hAnsi="Verdana"/>
          <w:sz w:val="20"/>
          <w:lang w:val="pt-BR"/>
        </w:rPr>
        <w:t>cidadãos</w:t>
      </w:r>
      <w:r w:rsidR="004756C1" w:rsidRPr="002F50BD">
        <w:rPr>
          <w:rFonts w:ascii="Verdana" w:hAnsi="Verdana"/>
          <w:sz w:val="20"/>
          <w:lang w:val="pt-BR"/>
        </w:rPr>
        <w:t xml:space="preserve"> </w:t>
      </w:r>
      <w:r w:rsidR="009F308E" w:rsidRPr="002F50BD">
        <w:rPr>
          <w:rFonts w:ascii="Verdana" w:hAnsi="Verdana"/>
          <w:sz w:val="20"/>
          <w:lang w:val="pt-BR"/>
        </w:rPr>
        <w:t>apresentarem-se a</w:t>
      </w:r>
      <w:r w:rsidRPr="002F50BD">
        <w:rPr>
          <w:rFonts w:ascii="Verdana" w:hAnsi="Verdana"/>
          <w:sz w:val="20"/>
          <w:lang w:val="pt-BR"/>
        </w:rPr>
        <w:t xml:space="preserve">os </w:t>
      </w:r>
      <w:r w:rsidR="004756C1" w:rsidRPr="002F50BD">
        <w:rPr>
          <w:rFonts w:ascii="Verdana" w:hAnsi="Verdana"/>
          <w:sz w:val="20"/>
          <w:lang w:val="pt-BR"/>
        </w:rPr>
        <w:t xml:space="preserve">centros </w:t>
      </w:r>
      <w:r w:rsidR="009F308E" w:rsidRPr="002F50BD">
        <w:rPr>
          <w:rFonts w:ascii="Verdana" w:hAnsi="Verdana"/>
          <w:sz w:val="20"/>
          <w:lang w:val="pt-BR"/>
        </w:rPr>
        <w:t>assistenciais</w:t>
      </w:r>
      <w:r w:rsidRPr="002F50BD">
        <w:rPr>
          <w:rFonts w:ascii="Verdana" w:hAnsi="Verdana"/>
          <w:sz w:val="20"/>
          <w:lang w:val="pt-BR"/>
        </w:rPr>
        <w:t xml:space="preserve"> e, em </w:t>
      </w:r>
      <w:r w:rsidR="004756C1" w:rsidRPr="002F50BD">
        <w:rPr>
          <w:rFonts w:ascii="Verdana" w:hAnsi="Verdana"/>
          <w:sz w:val="20"/>
          <w:lang w:val="pt-BR"/>
        </w:rPr>
        <w:t>caso de comunidades indígenas,</w:t>
      </w:r>
      <w:r w:rsidRPr="002F50BD">
        <w:rPr>
          <w:rFonts w:ascii="Verdana" w:hAnsi="Verdana"/>
          <w:sz w:val="20"/>
          <w:lang w:val="pt-BR"/>
        </w:rPr>
        <w:t xml:space="preserve"> é responsabilidade </w:t>
      </w:r>
      <w:r w:rsidR="004756C1" w:rsidRPr="002F50BD">
        <w:rPr>
          <w:rFonts w:ascii="Verdana" w:hAnsi="Verdana"/>
          <w:sz w:val="20"/>
          <w:lang w:val="pt-BR"/>
        </w:rPr>
        <w:t>comparti</w:t>
      </w:r>
      <w:r w:rsidR="009F308E" w:rsidRPr="002F50BD">
        <w:rPr>
          <w:rFonts w:ascii="Verdana" w:hAnsi="Verdana"/>
          <w:sz w:val="20"/>
          <w:lang w:val="pt-BR"/>
        </w:rPr>
        <w:t>lha</w:t>
      </w:r>
      <w:r w:rsidR="004756C1" w:rsidRPr="002F50BD">
        <w:rPr>
          <w:rFonts w:ascii="Verdana" w:hAnsi="Verdana"/>
          <w:sz w:val="20"/>
          <w:lang w:val="pt-BR"/>
        </w:rPr>
        <w:t xml:space="preserve">da por </w:t>
      </w:r>
      <w:r w:rsidR="005A6BC7" w:rsidRPr="002F50BD">
        <w:rPr>
          <w:rFonts w:ascii="Verdana" w:hAnsi="Verdana"/>
          <w:sz w:val="20"/>
          <w:lang w:val="pt-BR"/>
        </w:rPr>
        <w:t>seus líderes</w:t>
      </w:r>
      <w:r w:rsidR="004756C1" w:rsidRPr="002F50BD">
        <w:rPr>
          <w:rFonts w:ascii="Verdana" w:hAnsi="Verdana"/>
          <w:sz w:val="20"/>
          <w:lang w:val="pt-BR"/>
        </w:rPr>
        <w:t xml:space="preserve"> o</w:t>
      </w:r>
      <w:r w:rsidR="009F308E" w:rsidRPr="002F50BD">
        <w:rPr>
          <w:rFonts w:ascii="Verdana" w:hAnsi="Verdana"/>
          <w:sz w:val="20"/>
          <w:lang w:val="pt-BR"/>
        </w:rPr>
        <w:t>u</w:t>
      </w:r>
      <w:r w:rsidR="004756C1" w:rsidRPr="002F50BD">
        <w:rPr>
          <w:rFonts w:ascii="Verdana" w:hAnsi="Verdana"/>
          <w:sz w:val="20"/>
          <w:lang w:val="pt-BR"/>
        </w:rPr>
        <w:t xml:space="preserve"> caciques </w:t>
      </w:r>
      <w:r w:rsidR="00FC6B22" w:rsidRPr="002F50BD">
        <w:rPr>
          <w:rFonts w:ascii="Verdana" w:hAnsi="Verdana"/>
          <w:sz w:val="20"/>
          <w:lang w:val="pt-BR"/>
        </w:rPr>
        <w:t>transportar</w:t>
      </w:r>
      <w:r w:rsidRPr="002F50BD">
        <w:rPr>
          <w:rFonts w:ascii="Verdana" w:hAnsi="Verdana"/>
          <w:sz w:val="20"/>
          <w:lang w:val="pt-BR"/>
        </w:rPr>
        <w:t xml:space="preserve"> os </w:t>
      </w:r>
      <w:r w:rsidR="004756C1" w:rsidRPr="002F50BD">
        <w:rPr>
          <w:rFonts w:ascii="Verdana" w:hAnsi="Verdana"/>
          <w:sz w:val="20"/>
          <w:lang w:val="pt-BR"/>
        </w:rPr>
        <w:t>enfermos</w:t>
      </w:r>
      <w:r w:rsidRPr="002F50BD">
        <w:rPr>
          <w:rFonts w:ascii="Verdana" w:hAnsi="Verdana"/>
          <w:sz w:val="20"/>
          <w:lang w:val="pt-BR"/>
        </w:rPr>
        <w:t xml:space="preserve"> aos </w:t>
      </w:r>
      <w:r w:rsidR="004756C1" w:rsidRPr="002F50BD">
        <w:rPr>
          <w:rFonts w:ascii="Verdana" w:hAnsi="Verdana"/>
          <w:sz w:val="20"/>
          <w:lang w:val="pt-BR"/>
        </w:rPr>
        <w:t xml:space="preserve">centros </w:t>
      </w:r>
      <w:r w:rsidR="009F308E" w:rsidRPr="002F50BD">
        <w:rPr>
          <w:rFonts w:ascii="Verdana" w:hAnsi="Verdana"/>
          <w:sz w:val="20"/>
          <w:lang w:val="pt-BR"/>
        </w:rPr>
        <w:t>assistenciais</w:t>
      </w:r>
      <w:r w:rsidRPr="002F50BD">
        <w:rPr>
          <w:rFonts w:ascii="Verdana" w:hAnsi="Verdana"/>
          <w:sz w:val="20"/>
          <w:lang w:val="pt-BR"/>
        </w:rPr>
        <w:t xml:space="preserve"> ou </w:t>
      </w:r>
      <w:r w:rsidR="004756C1" w:rsidRPr="002F50BD">
        <w:rPr>
          <w:rFonts w:ascii="Verdana" w:hAnsi="Verdana"/>
          <w:sz w:val="20"/>
          <w:lang w:val="pt-BR"/>
        </w:rPr>
        <w:t>hospi</w:t>
      </w:r>
      <w:r w:rsidRPr="002F50BD">
        <w:rPr>
          <w:rFonts w:ascii="Verdana" w:hAnsi="Verdana"/>
          <w:sz w:val="20"/>
          <w:lang w:val="pt-BR"/>
        </w:rPr>
        <w:t>tais</w:t>
      </w:r>
      <w:r w:rsidR="004756C1" w:rsidRPr="002F50BD">
        <w:rPr>
          <w:rFonts w:ascii="Verdana" w:hAnsi="Verdana"/>
          <w:sz w:val="20"/>
          <w:lang w:val="pt-BR"/>
        </w:rPr>
        <w:t xml:space="preserve"> públicos o</w:t>
      </w:r>
      <w:r w:rsidR="009F308E" w:rsidRPr="002F50BD">
        <w:rPr>
          <w:rFonts w:ascii="Verdana" w:hAnsi="Verdana"/>
          <w:sz w:val="20"/>
          <w:lang w:val="pt-BR"/>
        </w:rPr>
        <w:t>u</w:t>
      </w:r>
      <w:r w:rsidR="004756C1" w:rsidRPr="002F50BD">
        <w:rPr>
          <w:rFonts w:ascii="Verdana" w:hAnsi="Verdana"/>
          <w:sz w:val="20"/>
          <w:lang w:val="pt-BR"/>
        </w:rPr>
        <w:t>, p</w:t>
      </w:r>
      <w:r w:rsidR="009F308E" w:rsidRPr="002F50BD">
        <w:rPr>
          <w:rFonts w:ascii="Verdana" w:hAnsi="Verdana"/>
          <w:sz w:val="20"/>
          <w:lang w:val="pt-BR"/>
        </w:rPr>
        <w:t>e</w:t>
      </w:r>
      <w:r w:rsidR="004756C1" w:rsidRPr="002F50BD">
        <w:rPr>
          <w:rFonts w:ascii="Verdana" w:hAnsi="Verdana"/>
          <w:sz w:val="20"/>
          <w:lang w:val="pt-BR"/>
        </w:rPr>
        <w:t xml:space="preserve">lo menos, comunicar </w:t>
      </w:r>
      <w:r w:rsidR="004076AD" w:rsidRPr="002F50BD">
        <w:rPr>
          <w:rFonts w:ascii="Verdana" w:hAnsi="Verdana"/>
          <w:sz w:val="20"/>
          <w:lang w:val="pt-BR"/>
        </w:rPr>
        <w:t xml:space="preserve">sua situação </w:t>
      </w:r>
      <w:r w:rsidRPr="002F50BD">
        <w:rPr>
          <w:rFonts w:ascii="Verdana" w:hAnsi="Verdana"/>
          <w:sz w:val="20"/>
          <w:lang w:val="pt-BR"/>
        </w:rPr>
        <w:t xml:space="preserve">às </w:t>
      </w:r>
      <w:r w:rsidR="004756C1" w:rsidRPr="002F50BD">
        <w:rPr>
          <w:rFonts w:ascii="Verdana" w:hAnsi="Verdana"/>
          <w:sz w:val="20"/>
          <w:lang w:val="pt-BR"/>
        </w:rPr>
        <w:t xml:space="preserve">autoridades </w:t>
      </w:r>
      <w:r w:rsidR="00A50140" w:rsidRPr="002F50BD">
        <w:rPr>
          <w:rFonts w:ascii="Verdana" w:hAnsi="Verdana"/>
          <w:sz w:val="20"/>
          <w:lang w:val="pt-BR"/>
        </w:rPr>
        <w:t>sanitária</w:t>
      </w:r>
      <w:r w:rsidR="004756C1" w:rsidRPr="002F50BD">
        <w:rPr>
          <w:rFonts w:ascii="Verdana" w:hAnsi="Verdana"/>
          <w:sz w:val="20"/>
          <w:lang w:val="pt-BR"/>
        </w:rPr>
        <w:t xml:space="preserve">s </w:t>
      </w:r>
      <w:r w:rsidRPr="002F50BD">
        <w:rPr>
          <w:rFonts w:ascii="Verdana" w:hAnsi="Verdana"/>
          <w:sz w:val="20"/>
          <w:lang w:val="pt-BR"/>
        </w:rPr>
        <w:t>regionais</w:t>
      </w:r>
      <w:r w:rsidR="004756C1" w:rsidRPr="002F50BD">
        <w:rPr>
          <w:rFonts w:ascii="Verdana" w:hAnsi="Verdana"/>
          <w:sz w:val="20"/>
          <w:lang w:val="pt-BR"/>
        </w:rPr>
        <w:t xml:space="preserve"> o</w:t>
      </w:r>
      <w:r w:rsidR="009F308E" w:rsidRPr="002F50BD">
        <w:rPr>
          <w:rFonts w:ascii="Verdana" w:hAnsi="Verdana"/>
          <w:sz w:val="20"/>
          <w:lang w:val="pt-BR"/>
        </w:rPr>
        <w:t>u</w:t>
      </w:r>
      <w:r w:rsidRPr="002F50BD">
        <w:rPr>
          <w:rFonts w:ascii="Verdana" w:hAnsi="Verdana"/>
          <w:sz w:val="20"/>
          <w:lang w:val="pt-BR"/>
        </w:rPr>
        <w:t xml:space="preserve"> ao </w:t>
      </w:r>
      <w:r w:rsidR="004756C1" w:rsidRPr="002F50BD">
        <w:rPr>
          <w:rFonts w:ascii="Verdana" w:hAnsi="Verdana"/>
          <w:sz w:val="20"/>
          <w:lang w:val="pt-BR"/>
        </w:rPr>
        <w:t xml:space="preserve">INDI; </w:t>
      </w:r>
    </w:p>
    <w:p w:rsidR="004756C1" w:rsidRPr="002F50BD" w:rsidRDefault="004756C1">
      <w:pPr>
        <w:tabs>
          <w:tab w:val="left" w:pos="1080"/>
        </w:tabs>
        <w:ind w:left="720"/>
        <w:jc w:val="both"/>
        <w:rPr>
          <w:rFonts w:ascii="Verdana" w:hAnsi="Verdana"/>
          <w:sz w:val="20"/>
          <w:lang w:val="pt-BR"/>
        </w:rPr>
      </w:pPr>
    </w:p>
    <w:p w:rsidR="004756C1" w:rsidRPr="002F50BD" w:rsidRDefault="0089298C">
      <w:pPr>
        <w:numPr>
          <w:ilvl w:val="0"/>
          <w:numId w:val="13"/>
        </w:numPr>
        <w:tabs>
          <w:tab w:val="left" w:pos="1080"/>
        </w:tabs>
        <w:ind w:left="720"/>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lugar</w:t>
      </w:r>
      <w:r w:rsidRPr="002F50BD">
        <w:rPr>
          <w:rFonts w:ascii="Verdana" w:hAnsi="Verdana"/>
          <w:sz w:val="20"/>
          <w:lang w:val="pt-BR"/>
        </w:rPr>
        <w:t xml:space="preserve"> onde</w:t>
      </w:r>
      <w:r w:rsidR="004756C1" w:rsidRPr="002F50BD">
        <w:rPr>
          <w:rFonts w:ascii="Verdana" w:hAnsi="Verdana"/>
          <w:sz w:val="20"/>
          <w:lang w:val="pt-BR"/>
        </w:rPr>
        <w:t xml:space="preserve"> </w:t>
      </w:r>
      <w:r w:rsidRPr="002F50BD">
        <w:rPr>
          <w:rFonts w:ascii="Verdana" w:hAnsi="Verdana"/>
          <w:sz w:val="20"/>
          <w:lang w:val="pt-BR"/>
        </w:rPr>
        <w:t>atual</w:t>
      </w:r>
      <w:r w:rsidR="004756C1" w:rsidRPr="002F50BD">
        <w:rPr>
          <w:rFonts w:ascii="Verdana" w:hAnsi="Verdana"/>
          <w:sz w:val="20"/>
          <w:lang w:val="pt-BR"/>
        </w:rPr>
        <w:t>mente</w:t>
      </w:r>
      <w:r w:rsidRPr="002F50BD">
        <w:rPr>
          <w:rFonts w:ascii="Verdana" w:hAnsi="Verdana"/>
          <w:sz w:val="20"/>
          <w:lang w:val="pt-BR"/>
        </w:rPr>
        <w:t xml:space="preserve"> estão localizad</w:t>
      </w:r>
      <w:r w:rsidR="004756C1" w:rsidRPr="002F50BD">
        <w:rPr>
          <w:rFonts w:ascii="Verdana" w:hAnsi="Verdana"/>
          <w:sz w:val="20"/>
          <w:lang w:val="pt-BR"/>
        </w:rPr>
        <w:t>os</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é impossível</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r </w:t>
      </w:r>
      <w:r w:rsidR="009F308E" w:rsidRPr="002F50BD">
        <w:rPr>
          <w:rFonts w:ascii="Verdana" w:hAnsi="Verdana"/>
          <w:sz w:val="20"/>
          <w:lang w:val="pt-BR"/>
        </w:rPr>
        <w:t xml:space="preserve">qualquer </w:t>
      </w:r>
      <w:r w:rsidR="004756C1" w:rsidRPr="002F50BD">
        <w:rPr>
          <w:rFonts w:ascii="Verdana" w:hAnsi="Verdana"/>
          <w:sz w:val="20"/>
          <w:lang w:val="pt-BR"/>
        </w:rPr>
        <w:t xml:space="preserve">forma de </w:t>
      </w:r>
      <w:r w:rsidRPr="002F50BD">
        <w:rPr>
          <w:rFonts w:ascii="Verdana" w:hAnsi="Verdana"/>
          <w:sz w:val="20"/>
          <w:lang w:val="pt-BR"/>
        </w:rPr>
        <w:t>atenção</w:t>
      </w:r>
      <w:r w:rsidR="004756C1" w:rsidRPr="002F50BD">
        <w:rPr>
          <w:rFonts w:ascii="Verdana" w:hAnsi="Verdana"/>
          <w:sz w:val="20"/>
          <w:lang w:val="pt-BR"/>
        </w:rPr>
        <w:t xml:space="preserve"> médica</w:t>
      </w:r>
      <w:r w:rsidRPr="002F50BD">
        <w:rPr>
          <w:rFonts w:ascii="Verdana" w:hAnsi="Verdana"/>
          <w:sz w:val="20"/>
          <w:lang w:val="pt-BR"/>
        </w:rPr>
        <w:t xml:space="preserve"> e </w:t>
      </w:r>
      <w:r w:rsidR="00A50140" w:rsidRPr="002F50BD">
        <w:rPr>
          <w:rFonts w:ascii="Verdana" w:hAnsi="Verdana"/>
          <w:sz w:val="20"/>
          <w:lang w:val="pt-BR"/>
        </w:rPr>
        <w:t>sanitária</w:t>
      </w:r>
      <w:r w:rsidR="004756C1" w:rsidRPr="002F50BD">
        <w:rPr>
          <w:rFonts w:ascii="Verdana" w:hAnsi="Verdana"/>
          <w:sz w:val="20"/>
          <w:lang w:val="pt-BR"/>
        </w:rPr>
        <w:t>.</w:t>
      </w:r>
      <w:r w:rsidRPr="002F50BD">
        <w:rPr>
          <w:rFonts w:ascii="Verdana" w:hAnsi="Verdana"/>
          <w:sz w:val="20"/>
          <w:lang w:val="pt-BR"/>
        </w:rPr>
        <w:t xml:space="preserve"> </w:t>
      </w:r>
      <w:r w:rsidR="009F308E" w:rsidRPr="002F50BD">
        <w:rPr>
          <w:rFonts w:ascii="Verdana" w:hAnsi="Verdana"/>
          <w:sz w:val="20"/>
          <w:lang w:val="pt-BR"/>
        </w:rPr>
        <w:t>A</w:t>
      </w:r>
      <w:r w:rsidRPr="002F50BD">
        <w:rPr>
          <w:rFonts w:ascii="Verdana" w:hAnsi="Verdana"/>
          <w:sz w:val="20"/>
          <w:lang w:val="pt-BR"/>
        </w:rPr>
        <w:t xml:space="preserve">o </w:t>
      </w:r>
      <w:r w:rsidR="004756C1" w:rsidRPr="002F50BD">
        <w:rPr>
          <w:rFonts w:ascii="Verdana" w:hAnsi="Verdana"/>
          <w:sz w:val="20"/>
          <w:lang w:val="pt-BR"/>
        </w:rPr>
        <w:t>instalar</w:t>
      </w:r>
      <w:r w:rsidR="004B0CA7" w:rsidRPr="002F50BD">
        <w:rPr>
          <w:rFonts w:ascii="Verdana" w:hAnsi="Verdana"/>
          <w:sz w:val="20"/>
          <w:lang w:val="pt-BR"/>
        </w:rPr>
        <w:t>em</w:t>
      </w:r>
      <w:r w:rsidR="009F308E" w:rsidRPr="002F50BD">
        <w:rPr>
          <w:rFonts w:ascii="Verdana" w:hAnsi="Verdana"/>
          <w:sz w:val="20"/>
          <w:lang w:val="pt-BR"/>
        </w:rPr>
        <w:t>-se à beira da estrada</w:t>
      </w:r>
      <w:r w:rsidR="004756C1"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líderes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levaram </w:t>
      </w:r>
      <w:r w:rsidR="009F308E" w:rsidRPr="002F50BD">
        <w:rPr>
          <w:rFonts w:ascii="Verdana" w:hAnsi="Verdana"/>
          <w:sz w:val="20"/>
          <w:lang w:val="pt-BR"/>
        </w:rPr>
        <w:t xml:space="preserve">seus </w:t>
      </w:r>
      <w:r w:rsidRPr="002F50BD">
        <w:rPr>
          <w:rFonts w:ascii="Verdana" w:hAnsi="Verdana"/>
          <w:sz w:val="20"/>
          <w:lang w:val="pt-BR"/>
        </w:rPr>
        <w:t>membro</w:t>
      </w:r>
      <w:r w:rsidR="004756C1" w:rsidRPr="002F50BD">
        <w:rPr>
          <w:rFonts w:ascii="Verdana" w:hAnsi="Verdana"/>
          <w:sz w:val="20"/>
          <w:lang w:val="pt-BR"/>
        </w:rPr>
        <w:t>s a situa</w:t>
      </w:r>
      <w:r w:rsidRPr="002F50BD">
        <w:rPr>
          <w:rFonts w:ascii="Verdana" w:hAnsi="Verdana"/>
          <w:sz w:val="20"/>
          <w:lang w:val="pt-BR"/>
        </w:rPr>
        <w:t>ções</w:t>
      </w:r>
      <w:r w:rsidR="004756C1" w:rsidRPr="002F50BD">
        <w:rPr>
          <w:rFonts w:ascii="Verdana" w:hAnsi="Verdana"/>
          <w:sz w:val="20"/>
          <w:lang w:val="pt-BR"/>
        </w:rPr>
        <w:t xml:space="preserve"> extremas, </w:t>
      </w:r>
      <w:r w:rsidR="009F308E" w:rsidRPr="002F50BD">
        <w:rPr>
          <w:rFonts w:ascii="Verdana" w:hAnsi="Verdana"/>
          <w:sz w:val="20"/>
          <w:lang w:val="pt-BR"/>
        </w:rPr>
        <w:t xml:space="preserve">distanciadas </w:t>
      </w:r>
      <w:r w:rsidR="004756C1" w:rsidRPr="002F50BD">
        <w:rPr>
          <w:rFonts w:ascii="Verdana" w:hAnsi="Verdana"/>
          <w:sz w:val="20"/>
          <w:lang w:val="pt-BR"/>
        </w:rPr>
        <w:t xml:space="preserve">de </w:t>
      </w:r>
      <w:r w:rsidR="00D95E71" w:rsidRPr="002F50BD">
        <w:rPr>
          <w:rFonts w:ascii="Verdana" w:hAnsi="Verdana"/>
          <w:sz w:val="20"/>
          <w:lang w:val="pt-BR"/>
        </w:rPr>
        <w:t>suas formas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de </w:t>
      </w:r>
      <w:r w:rsidRPr="002F50BD">
        <w:rPr>
          <w:rFonts w:ascii="Verdana" w:hAnsi="Verdana"/>
          <w:sz w:val="20"/>
          <w:lang w:val="pt-BR"/>
        </w:rPr>
        <w:t>subsistência</w:t>
      </w:r>
      <w:r w:rsidR="004756C1" w:rsidRPr="002F50BD">
        <w:rPr>
          <w:rFonts w:ascii="Verdana" w:hAnsi="Verdana"/>
          <w:sz w:val="20"/>
          <w:lang w:val="pt-BR"/>
        </w:rPr>
        <w:t xml:space="preserve">. </w:t>
      </w:r>
      <w:r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009F308E"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w:t>
      </w:r>
      <w:r w:rsidRPr="002F50BD">
        <w:rPr>
          <w:rFonts w:ascii="Verdana" w:hAnsi="Verdana"/>
          <w:sz w:val="20"/>
          <w:lang w:val="pt-BR"/>
        </w:rPr>
        <w:t xml:space="preserve"> foi obrigad</w:t>
      </w:r>
      <w:r w:rsidR="004756C1" w:rsidRPr="002F50BD">
        <w:rPr>
          <w:rFonts w:ascii="Verdana" w:hAnsi="Verdana"/>
          <w:sz w:val="20"/>
          <w:lang w:val="pt-BR"/>
        </w:rPr>
        <w:t>o</w:t>
      </w:r>
      <w:r w:rsidRPr="002F50BD">
        <w:rPr>
          <w:rFonts w:ascii="Verdana" w:hAnsi="Verdana"/>
          <w:sz w:val="20"/>
          <w:lang w:val="pt-BR"/>
        </w:rPr>
        <w:t xml:space="preserve"> pela Comissão</w:t>
      </w:r>
      <w:r w:rsidR="004756C1" w:rsidRPr="002F50BD">
        <w:rPr>
          <w:rFonts w:ascii="Verdana" w:hAnsi="Verdana"/>
          <w:sz w:val="20"/>
          <w:lang w:val="pt-BR"/>
        </w:rPr>
        <w:t>, mediante</w:t>
      </w:r>
      <w:r w:rsidRPr="002F50BD">
        <w:rPr>
          <w:rFonts w:ascii="Verdana" w:hAnsi="Verdana"/>
          <w:sz w:val="20"/>
          <w:lang w:val="pt-BR"/>
        </w:rPr>
        <w:t xml:space="preserve"> a adoção</w:t>
      </w:r>
      <w:r w:rsidR="004756C1" w:rsidRPr="002F50BD">
        <w:rPr>
          <w:rFonts w:ascii="Verdana" w:hAnsi="Verdana"/>
          <w:sz w:val="20"/>
          <w:lang w:val="pt-BR"/>
        </w:rPr>
        <w:t xml:space="preserve"> de medidas cautelares</w:t>
      </w:r>
      <w:r w:rsidRPr="002F50BD">
        <w:rPr>
          <w:rFonts w:ascii="Verdana" w:hAnsi="Verdana"/>
          <w:sz w:val="20"/>
          <w:lang w:val="pt-BR"/>
        </w:rPr>
        <w:t xml:space="preserve"> ainda</w:t>
      </w:r>
      <w:r w:rsidR="004756C1" w:rsidRPr="002F50BD">
        <w:rPr>
          <w:rFonts w:ascii="Verdana" w:hAnsi="Verdana"/>
          <w:sz w:val="20"/>
          <w:lang w:val="pt-BR"/>
        </w:rPr>
        <w:t xml:space="preserve"> vigentes, a </w:t>
      </w:r>
      <w:r w:rsidRPr="002F50BD">
        <w:rPr>
          <w:rFonts w:ascii="Verdana" w:hAnsi="Verdana"/>
          <w:sz w:val="20"/>
          <w:lang w:val="pt-BR"/>
        </w:rPr>
        <w:t>deixar</w:t>
      </w:r>
      <w:r w:rsidR="004756C1" w:rsidRPr="002F50BD">
        <w:rPr>
          <w:rFonts w:ascii="Verdana" w:hAnsi="Verdana"/>
          <w:sz w:val="20"/>
          <w:lang w:val="pt-BR"/>
        </w:rPr>
        <w:t xml:space="preserve"> </w:t>
      </w:r>
      <w:r w:rsidRPr="002F50BD">
        <w:rPr>
          <w:rFonts w:ascii="Verdana" w:hAnsi="Verdana"/>
          <w:sz w:val="20"/>
          <w:lang w:val="pt-BR"/>
        </w:rPr>
        <w:t>estabelecid</w:t>
      </w:r>
      <w:r w:rsidR="004756C1" w:rsidRPr="002F50BD">
        <w:rPr>
          <w:rFonts w:ascii="Verdana" w:hAnsi="Verdana"/>
          <w:sz w:val="20"/>
          <w:lang w:val="pt-BR"/>
        </w:rPr>
        <w:t>a</w:t>
      </w:r>
      <w:r w:rsidRPr="002F50BD">
        <w:rPr>
          <w:rFonts w:ascii="Verdana" w:hAnsi="Verdana"/>
          <w:sz w:val="20"/>
          <w:lang w:val="pt-BR"/>
        </w:rPr>
        <w:t xml:space="preserve"> </w:t>
      </w:r>
      <w:r w:rsidR="009F308E" w:rsidRPr="002F50BD">
        <w:rPr>
          <w:rFonts w:ascii="Verdana" w:hAnsi="Verdana"/>
          <w:sz w:val="20"/>
          <w:lang w:val="pt-BR"/>
        </w:rPr>
        <w:t>a</w:t>
      </w:r>
      <w:r w:rsidRPr="002F50BD">
        <w:rPr>
          <w:rFonts w:ascii="Verdana" w:hAnsi="Verdana"/>
          <w:sz w:val="20"/>
          <w:lang w:val="pt-BR"/>
        </w:rPr>
        <w:t xml:space="preserve"> Comunidade </w:t>
      </w:r>
      <w:r w:rsidR="004756C1" w:rsidRPr="002F50BD">
        <w:rPr>
          <w:rFonts w:ascii="Verdana" w:hAnsi="Verdana"/>
          <w:sz w:val="20"/>
          <w:lang w:val="pt-BR"/>
        </w:rPr>
        <w:t>Yakye Axa</w:t>
      </w:r>
      <w:r w:rsidRPr="002F50BD">
        <w:rPr>
          <w:rFonts w:ascii="Verdana" w:hAnsi="Verdana"/>
          <w:sz w:val="20"/>
          <w:lang w:val="pt-BR"/>
        </w:rPr>
        <w:t xml:space="preserve"> na via</w:t>
      </w:r>
      <w:r w:rsidR="004756C1" w:rsidRPr="002F50BD">
        <w:rPr>
          <w:rFonts w:ascii="Verdana" w:hAnsi="Verdana"/>
          <w:sz w:val="20"/>
          <w:lang w:val="pt-BR"/>
        </w:rPr>
        <w:t xml:space="preserve"> pública, inclus</w:t>
      </w:r>
      <w:r w:rsidR="009F308E" w:rsidRPr="002F50BD">
        <w:rPr>
          <w:rFonts w:ascii="Verdana" w:hAnsi="Verdana"/>
          <w:sz w:val="20"/>
          <w:lang w:val="pt-BR"/>
        </w:rPr>
        <w:t>ive</w:t>
      </w:r>
      <w:r w:rsidR="004756C1" w:rsidRPr="002F50BD">
        <w:rPr>
          <w:rFonts w:ascii="Verdana" w:hAnsi="Verdana"/>
          <w:sz w:val="20"/>
          <w:lang w:val="pt-BR"/>
        </w:rPr>
        <w:t xml:space="preserve"> contra claras disposi</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legais e constitucionais</w:t>
      </w:r>
      <w:r w:rsidR="004756C1" w:rsidRPr="002F50BD">
        <w:rPr>
          <w:rFonts w:ascii="Verdana" w:hAnsi="Verdana"/>
          <w:sz w:val="20"/>
          <w:lang w:val="pt-BR"/>
        </w:rPr>
        <w:t xml:space="preserve"> que </w:t>
      </w:r>
      <w:r w:rsidR="009F308E" w:rsidRPr="002F50BD">
        <w:rPr>
          <w:rFonts w:ascii="Verdana" w:hAnsi="Verdana"/>
          <w:sz w:val="20"/>
          <w:lang w:val="pt-BR"/>
        </w:rPr>
        <w:t xml:space="preserve">proíbem este </w:t>
      </w:r>
      <w:r w:rsidR="004756C1" w:rsidRPr="002F50BD">
        <w:rPr>
          <w:rFonts w:ascii="Verdana" w:hAnsi="Verdana"/>
          <w:sz w:val="20"/>
          <w:lang w:val="pt-BR"/>
        </w:rPr>
        <w:t>tipo de ocupa</w:t>
      </w:r>
      <w:r w:rsidRPr="002F50BD">
        <w:rPr>
          <w:rFonts w:ascii="Verdana" w:hAnsi="Verdana"/>
          <w:sz w:val="20"/>
          <w:lang w:val="pt-BR"/>
        </w:rPr>
        <w:t>ção</w:t>
      </w:r>
      <w:r w:rsidR="00E6530C" w:rsidRPr="002F50BD">
        <w:rPr>
          <w:rFonts w:ascii="Verdana" w:hAnsi="Verdana"/>
          <w:sz w:val="20"/>
          <w:lang w:val="pt-BR"/>
        </w:rPr>
        <w:t>. Dest</w:t>
      </w:r>
      <w:r w:rsidRPr="002F50BD">
        <w:rPr>
          <w:rFonts w:ascii="Verdana" w:hAnsi="Verdana"/>
          <w:sz w:val="20"/>
          <w:lang w:val="pt-BR"/>
        </w:rPr>
        <w:t>a maneira</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estão </w:t>
      </w:r>
      <w:r w:rsidR="009F308E" w:rsidRPr="002F50BD">
        <w:rPr>
          <w:rFonts w:ascii="Verdana" w:hAnsi="Verdana"/>
          <w:sz w:val="20"/>
          <w:lang w:val="pt-BR"/>
        </w:rPr>
        <w:t xml:space="preserve">à beira do </w:t>
      </w:r>
      <w:r w:rsidRPr="002F50BD">
        <w:rPr>
          <w:rFonts w:ascii="Verdana" w:hAnsi="Verdana"/>
          <w:sz w:val="20"/>
          <w:lang w:val="pt-BR"/>
        </w:rPr>
        <w:t xml:space="preserve">caminho </w:t>
      </w:r>
      <w:r w:rsidR="004756C1" w:rsidRPr="002F50BD">
        <w:rPr>
          <w:rFonts w:ascii="Verdana" w:hAnsi="Verdana"/>
          <w:sz w:val="20"/>
          <w:lang w:val="pt-BR"/>
        </w:rPr>
        <w:t>por</w:t>
      </w:r>
      <w:r w:rsidRPr="002F50BD">
        <w:rPr>
          <w:rFonts w:ascii="Verdana" w:hAnsi="Verdana"/>
          <w:sz w:val="20"/>
          <w:lang w:val="pt-BR"/>
        </w:rPr>
        <w:t xml:space="preserve"> uma decisão</w:t>
      </w:r>
      <w:r w:rsidR="004756C1" w:rsidRPr="002F50BD">
        <w:rPr>
          <w:rFonts w:ascii="Verdana" w:hAnsi="Verdana"/>
          <w:sz w:val="20"/>
          <w:lang w:val="pt-BR"/>
        </w:rPr>
        <w:t xml:space="preserve"> </w:t>
      </w:r>
      <w:r w:rsidRPr="002F50BD">
        <w:rPr>
          <w:rFonts w:ascii="Verdana" w:hAnsi="Verdana"/>
          <w:sz w:val="20"/>
          <w:lang w:val="pt-BR"/>
        </w:rPr>
        <w:t xml:space="preserve">própria </w:t>
      </w:r>
      <w:r w:rsidR="004756C1" w:rsidRPr="002F50BD">
        <w:rPr>
          <w:rFonts w:ascii="Verdana" w:hAnsi="Verdana"/>
          <w:sz w:val="20"/>
          <w:lang w:val="pt-BR"/>
        </w:rPr>
        <w:t>o</w:t>
      </w:r>
      <w:r w:rsidR="009F308E" w:rsidRPr="002F50BD">
        <w:rPr>
          <w:rFonts w:ascii="Verdana" w:hAnsi="Verdana"/>
          <w:sz w:val="20"/>
          <w:lang w:val="pt-BR"/>
        </w:rPr>
        <w:t>u</w:t>
      </w:r>
      <w:r w:rsidR="004756C1" w:rsidRPr="002F50BD">
        <w:rPr>
          <w:rFonts w:ascii="Verdana" w:hAnsi="Verdana"/>
          <w:sz w:val="20"/>
          <w:lang w:val="pt-BR"/>
        </w:rPr>
        <w:t xml:space="preserve"> indu</w:t>
      </w:r>
      <w:r w:rsidR="009F308E" w:rsidRPr="002F50BD">
        <w:rPr>
          <w:rFonts w:ascii="Verdana" w:hAnsi="Verdana"/>
          <w:sz w:val="20"/>
          <w:lang w:val="pt-BR"/>
        </w:rPr>
        <w:t>z</w:t>
      </w:r>
      <w:r w:rsidR="004756C1" w:rsidRPr="002F50BD">
        <w:rPr>
          <w:rFonts w:ascii="Verdana" w:hAnsi="Verdana"/>
          <w:sz w:val="20"/>
          <w:lang w:val="pt-BR"/>
        </w:rPr>
        <w:t>ida</w:t>
      </w:r>
      <w:r w:rsidR="00FC6B22" w:rsidRPr="002F50BD">
        <w:rPr>
          <w:rFonts w:ascii="Verdana" w:hAnsi="Verdana"/>
          <w:sz w:val="20"/>
          <w:lang w:val="pt-BR"/>
        </w:rPr>
        <w:t>,</w:t>
      </w:r>
      <w:r w:rsidR="004756C1" w:rsidRPr="002F50BD">
        <w:rPr>
          <w:rFonts w:ascii="Verdana" w:hAnsi="Verdana"/>
          <w:sz w:val="20"/>
          <w:lang w:val="pt-BR"/>
        </w:rPr>
        <w:t xml:space="preserve"> que </w:t>
      </w:r>
      <w:r w:rsidR="00AB454A" w:rsidRPr="002F50BD">
        <w:rPr>
          <w:rFonts w:ascii="Verdana" w:hAnsi="Verdana"/>
          <w:sz w:val="20"/>
          <w:lang w:val="pt-BR"/>
        </w:rPr>
        <w:t>não pode</w:t>
      </w:r>
      <w:r w:rsidR="004756C1" w:rsidRPr="002F50BD">
        <w:rPr>
          <w:rFonts w:ascii="Verdana" w:hAnsi="Verdana"/>
          <w:sz w:val="20"/>
          <w:lang w:val="pt-BR"/>
        </w:rPr>
        <w:t xml:space="preserve"> ser </w:t>
      </w:r>
      <w:r w:rsidR="009F308E" w:rsidRPr="002F50BD">
        <w:rPr>
          <w:rFonts w:ascii="Verdana" w:hAnsi="Verdana"/>
          <w:sz w:val="20"/>
          <w:lang w:val="pt-BR"/>
        </w:rPr>
        <w:t xml:space="preserve">atribuída </w:t>
      </w:r>
      <w:r w:rsidRPr="002F50BD">
        <w:rPr>
          <w:rFonts w:ascii="Verdana" w:hAnsi="Verdana"/>
          <w:sz w:val="20"/>
          <w:lang w:val="pt-BR"/>
        </w:rPr>
        <w:t xml:space="preserve">ao </w:t>
      </w:r>
      <w:r w:rsidR="004756C1" w:rsidRPr="002F50BD">
        <w:rPr>
          <w:rFonts w:ascii="Verdana" w:hAnsi="Verdana"/>
          <w:sz w:val="20"/>
          <w:lang w:val="pt-BR"/>
        </w:rPr>
        <w:t>Estado, qu</w:t>
      </w:r>
      <w:r w:rsidR="009F308E" w:rsidRPr="002F50BD">
        <w:rPr>
          <w:rFonts w:ascii="Verdana" w:hAnsi="Verdana"/>
          <w:sz w:val="20"/>
          <w:lang w:val="pt-BR"/>
        </w:rPr>
        <w:t>e</w:t>
      </w:r>
      <w:r w:rsidR="004756C1" w:rsidRPr="002F50BD">
        <w:rPr>
          <w:rFonts w:ascii="Verdana" w:hAnsi="Verdana"/>
          <w:sz w:val="20"/>
          <w:lang w:val="pt-BR"/>
        </w:rPr>
        <w:t>,</w:t>
      </w:r>
      <w:r w:rsidRPr="002F50BD">
        <w:rPr>
          <w:rFonts w:ascii="Verdana" w:hAnsi="Verdana"/>
          <w:sz w:val="20"/>
          <w:lang w:val="pt-BR"/>
        </w:rPr>
        <w:t xml:space="preserve"> </w:t>
      </w:r>
      <w:r w:rsidR="009F308E" w:rsidRPr="002F50BD">
        <w:rPr>
          <w:rFonts w:ascii="Verdana" w:hAnsi="Verdana"/>
          <w:sz w:val="20"/>
          <w:lang w:val="pt-BR"/>
        </w:rPr>
        <w:t xml:space="preserve">ao </w:t>
      </w:r>
      <w:r w:rsidR="004076AD" w:rsidRPr="002F50BD">
        <w:rPr>
          <w:rFonts w:ascii="Verdana" w:hAnsi="Verdana"/>
          <w:sz w:val="20"/>
          <w:lang w:val="pt-BR"/>
        </w:rPr>
        <w:t>contrário,</w:t>
      </w:r>
      <w:r w:rsidR="004756C1" w:rsidRPr="002F50BD">
        <w:rPr>
          <w:rFonts w:ascii="Verdana" w:hAnsi="Verdana"/>
          <w:sz w:val="20"/>
          <w:lang w:val="pt-BR"/>
        </w:rPr>
        <w:t xml:space="preserve"> </w:t>
      </w:r>
      <w:r w:rsidR="00C247F1" w:rsidRPr="002F50BD">
        <w:rPr>
          <w:rFonts w:ascii="Verdana" w:hAnsi="Verdana"/>
          <w:sz w:val="20"/>
          <w:lang w:val="pt-BR"/>
        </w:rPr>
        <w:t>ofereceu</w:t>
      </w:r>
      <w:r w:rsidR="004756C1" w:rsidRPr="002F50BD">
        <w:rPr>
          <w:rFonts w:ascii="Verdana" w:hAnsi="Verdana"/>
          <w:sz w:val="20"/>
          <w:lang w:val="pt-BR"/>
        </w:rPr>
        <w:t xml:space="preserve"> solu</w:t>
      </w:r>
      <w:r w:rsidRPr="002F50BD">
        <w:rPr>
          <w:rFonts w:ascii="Verdana" w:hAnsi="Verdana"/>
          <w:sz w:val="20"/>
          <w:lang w:val="pt-BR"/>
        </w:rPr>
        <w:t>ções</w:t>
      </w:r>
      <w:r w:rsidR="004756C1" w:rsidRPr="002F50BD">
        <w:rPr>
          <w:rFonts w:ascii="Verdana" w:hAnsi="Verdana"/>
          <w:sz w:val="20"/>
          <w:lang w:val="pt-BR"/>
        </w:rPr>
        <w:t xml:space="preserve"> alternativas de </w:t>
      </w:r>
      <w:r w:rsidR="004076AD" w:rsidRPr="002F50BD">
        <w:rPr>
          <w:rFonts w:ascii="Verdana" w:hAnsi="Verdana"/>
          <w:sz w:val="20"/>
          <w:lang w:val="pt-BR"/>
        </w:rPr>
        <w:t>reassentamento</w:t>
      </w:r>
      <w:r w:rsidR="004756C1" w:rsidRPr="002F50BD">
        <w:rPr>
          <w:rFonts w:ascii="Verdana" w:hAnsi="Verdana"/>
          <w:sz w:val="20"/>
          <w:lang w:val="pt-BR"/>
        </w:rPr>
        <w:t>;</w:t>
      </w:r>
    </w:p>
    <w:p w:rsidR="004756C1" w:rsidRPr="002F50BD" w:rsidRDefault="004756C1">
      <w:pPr>
        <w:tabs>
          <w:tab w:val="left" w:pos="1080"/>
          <w:tab w:val="left" w:pos="6030"/>
        </w:tabs>
        <w:ind w:left="720"/>
        <w:jc w:val="both"/>
        <w:rPr>
          <w:rFonts w:ascii="Verdana" w:hAnsi="Verdana"/>
          <w:sz w:val="20"/>
          <w:lang w:val="pt-BR"/>
        </w:rPr>
      </w:pPr>
    </w:p>
    <w:p w:rsidR="004756C1" w:rsidRPr="002F50BD" w:rsidRDefault="009F308E">
      <w:pPr>
        <w:numPr>
          <w:ilvl w:val="0"/>
          <w:numId w:val="13"/>
        </w:numPr>
        <w:tabs>
          <w:tab w:val="left" w:pos="1080"/>
        </w:tabs>
        <w:ind w:left="720"/>
        <w:jc w:val="both"/>
        <w:rPr>
          <w:rFonts w:ascii="Verdana" w:hAnsi="Verdana"/>
          <w:sz w:val="20"/>
          <w:lang w:val="pt-BR"/>
        </w:rPr>
      </w:pPr>
      <w:r w:rsidRPr="002F50BD">
        <w:rPr>
          <w:rFonts w:ascii="Verdana" w:hAnsi="Verdana"/>
          <w:sz w:val="20"/>
          <w:lang w:val="pt-BR"/>
        </w:rPr>
        <w:t xml:space="preserve">Ofereceu </w:t>
      </w:r>
      <w:r w:rsidR="0089298C" w:rsidRPr="002F50BD">
        <w:rPr>
          <w:rFonts w:ascii="Verdana" w:hAnsi="Verdana"/>
          <w:sz w:val="20"/>
          <w:lang w:val="pt-BR"/>
        </w:rPr>
        <w:t xml:space="preserve">à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assistência </w:t>
      </w:r>
      <w:r w:rsidR="00A50140" w:rsidRPr="002F50BD">
        <w:rPr>
          <w:rFonts w:ascii="Verdana" w:hAnsi="Verdana"/>
          <w:sz w:val="20"/>
          <w:lang w:val="pt-BR"/>
        </w:rPr>
        <w:t>aliment</w:t>
      </w:r>
      <w:r w:rsidRPr="002F50BD">
        <w:rPr>
          <w:rFonts w:ascii="Verdana" w:hAnsi="Verdana"/>
          <w:sz w:val="20"/>
          <w:lang w:val="pt-BR"/>
        </w:rPr>
        <w:t>ar</w:t>
      </w:r>
      <w:r w:rsidR="0089298C" w:rsidRPr="002F50BD">
        <w:rPr>
          <w:rFonts w:ascii="Verdana" w:hAnsi="Verdana"/>
          <w:sz w:val="20"/>
          <w:lang w:val="pt-BR"/>
        </w:rPr>
        <w:t xml:space="preserve"> e </w:t>
      </w:r>
      <w:r w:rsidR="00A50140" w:rsidRPr="002F50BD">
        <w:rPr>
          <w:rFonts w:ascii="Verdana" w:hAnsi="Verdana"/>
          <w:sz w:val="20"/>
          <w:lang w:val="pt-BR"/>
        </w:rPr>
        <w:t>sanitária</w:t>
      </w:r>
      <w:r w:rsidR="0089298C" w:rsidRPr="002F50BD">
        <w:rPr>
          <w:rFonts w:ascii="Verdana" w:hAnsi="Verdana"/>
          <w:sz w:val="20"/>
          <w:lang w:val="pt-BR"/>
        </w:rPr>
        <w:t xml:space="preserve"> </w:t>
      </w:r>
      <w:r w:rsidR="004756C1" w:rsidRPr="002F50BD">
        <w:rPr>
          <w:rFonts w:ascii="Verdana" w:hAnsi="Verdana"/>
          <w:sz w:val="20"/>
          <w:lang w:val="pt-BR"/>
        </w:rPr>
        <w:t>peri</w:t>
      </w:r>
      <w:r w:rsidRPr="002F50BD">
        <w:rPr>
          <w:rFonts w:ascii="Verdana" w:hAnsi="Verdana"/>
          <w:sz w:val="20"/>
          <w:lang w:val="pt-BR"/>
        </w:rPr>
        <w:t>o</w:t>
      </w:r>
      <w:r w:rsidR="004756C1" w:rsidRPr="002F50BD">
        <w:rPr>
          <w:rFonts w:ascii="Verdana" w:hAnsi="Verdana"/>
          <w:sz w:val="20"/>
          <w:lang w:val="pt-BR"/>
        </w:rPr>
        <w:t>dica</w:t>
      </w:r>
      <w:r w:rsidRPr="002F50BD">
        <w:rPr>
          <w:rFonts w:ascii="Verdana" w:hAnsi="Verdana"/>
          <w:sz w:val="20"/>
          <w:lang w:val="pt-BR"/>
        </w:rPr>
        <w:t>mente</w:t>
      </w:r>
      <w:r w:rsidR="004756C1" w:rsidRPr="002F50BD">
        <w:rPr>
          <w:rFonts w:ascii="Verdana" w:hAnsi="Verdana"/>
          <w:sz w:val="20"/>
          <w:lang w:val="pt-BR"/>
        </w:rPr>
        <w:t xml:space="preserve">, </w:t>
      </w:r>
      <w:r w:rsidR="0089298C" w:rsidRPr="002F50BD">
        <w:rPr>
          <w:rFonts w:ascii="Verdana" w:hAnsi="Verdana"/>
          <w:sz w:val="20"/>
          <w:lang w:val="pt-BR"/>
        </w:rPr>
        <w:t xml:space="preserve">de acordo com o </w:t>
      </w:r>
      <w:r w:rsidR="004756C1" w:rsidRPr="002F50BD">
        <w:rPr>
          <w:rFonts w:ascii="Verdana" w:hAnsi="Verdana"/>
          <w:sz w:val="20"/>
          <w:lang w:val="pt-BR"/>
        </w:rPr>
        <w:t xml:space="preserve">decreto </w:t>
      </w:r>
      <w:r w:rsidR="0089298C" w:rsidRPr="002F50BD">
        <w:rPr>
          <w:rFonts w:ascii="Verdana" w:hAnsi="Verdana"/>
          <w:sz w:val="20"/>
          <w:lang w:val="pt-BR"/>
        </w:rPr>
        <w:t xml:space="preserve">do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 xml:space="preserve">o que </w:t>
      </w:r>
      <w:r w:rsidR="0089298C" w:rsidRPr="002F50BD">
        <w:rPr>
          <w:rFonts w:ascii="Verdana" w:hAnsi="Verdana"/>
          <w:sz w:val="20"/>
          <w:lang w:val="pt-BR"/>
        </w:rPr>
        <w:t xml:space="preserve">declarou </w:t>
      </w:r>
      <w:r w:rsidR="00FC6B22" w:rsidRPr="002F50BD">
        <w:rPr>
          <w:rFonts w:ascii="Verdana" w:hAnsi="Verdana"/>
          <w:sz w:val="20"/>
          <w:lang w:val="pt-BR"/>
        </w:rPr>
        <w:t>que a</w:t>
      </w:r>
      <w:r w:rsidR="0089298C" w:rsidRPr="002F50BD">
        <w:rPr>
          <w:rFonts w:ascii="Verdana" w:hAnsi="Verdana"/>
          <w:sz w:val="20"/>
          <w:lang w:val="pt-BR"/>
        </w:rPr>
        <w:t xml:space="preserve"> Comunidade</w:t>
      </w:r>
      <w:r w:rsidR="00FC6B22" w:rsidRPr="002F50BD">
        <w:rPr>
          <w:rFonts w:ascii="Verdana" w:hAnsi="Verdana"/>
          <w:sz w:val="20"/>
          <w:lang w:val="pt-BR"/>
        </w:rPr>
        <w:t xml:space="preserve"> estava em estado de emergência</w:t>
      </w:r>
      <w:r w:rsidR="0089298C" w:rsidRPr="002F50BD">
        <w:rPr>
          <w:rFonts w:ascii="Verdana" w:hAnsi="Verdana"/>
          <w:sz w:val="20"/>
          <w:lang w:val="pt-BR"/>
        </w:rPr>
        <w:t>, e</w:t>
      </w:r>
      <w:r w:rsidR="004756C1"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9F308E">
      <w:pPr>
        <w:numPr>
          <w:ilvl w:val="0"/>
          <w:numId w:val="13"/>
        </w:numPr>
        <w:tabs>
          <w:tab w:val="left" w:pos="1080"/>
        </w:tabs>
        <w:ind w:left="720"/>
        <w:jc w:val="both"/>
        <w:rPr>
          <w:rFonts w:ascii="Verdana" w:hAnsi="Verdana"/>
          <w:sz w:val="20"/>
          <w:lang w:val="pt-BR"/>
        </w:rPr>
      </w:pPr>
      <w:r w:rsidRPr="002F50BD">
        <w:rPr>
          <w:rFonts w:ascii="Verdana" w:hAnsi="Verdana"/>
          <w:sz w:val="20"/>
          <w:lang w:val="pt-BR"/>
        </w:rPr>
        <w:t>N</w:t>
      </w:r>
      <w:r w:rsidR="0089298C" w:rsidRPr="002F50BD">
        <w:rPr>
          <w:rFonts w:ascii="Verdana" w:hAnsi="Verdana"/>
          <w:sz w:val="20"/>
          <w:lang w:val="pt-BR"/>
        </w:rPr>
        <w:t>este</w:t>
      </w:r>
      <w:r w:rsidR="004756C1" w:rsidRPr="002F50BD">
        <w:rPr>
          <w:rFonts w:ascii="Verdana" w:hAnsi="Verdana"/>
          <w:sz w:val="20"/>
          <w:lang w:val="pt-BR"/>
        </w:rPr>
        <w:t xml:space="preserve"> caso n</w:t>
      </w:r>
      <w:r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há </w:t>
      </w:r>
      <w:r w:rsidR="004756C1" w:rsidRPr="002F50BD">
        <w:rPr>
          <w:rFonts w:ascii="Verdana" w:hAnsi="Verdana"/>
          <w:sz w:val="20"/>
          <w:lang w:val="pt-BR"/>
        </w:rPr>
        <w:t>rela</w:t>
      </w:r>
      <w:r w:rsidR="0089298C" w:rsidRPr="002F50BD">
        <w:rPr>
          <w:rFonts w:ascii="Verdana" w:hAnsi="Verdana"/>
          <w:sz w:val="20"/>
          <w:lang w:val="pt-BR"/>
        </w:rPr>
        <w:t>ção</w:t>
      </w:r>
      <w:r w:rsidR="004756C1" w:rsidRPr="002F50BD">
        <w:rPr>
          <w:rFonts w:ascii="Verdana" w:hAnsi="Verdana"/>
          <w:sz w:val="20"/>
          <w:lang w:val="pt-BR"/>
        </w:rPr>
        <w:t xml:space="preserve"> causal “entre</w:t>
      </w:r>
      <w:r w:rsidR="0089298C" w:rsidRPr="002F50BD">
        <w:rPr>
          <w:rFonts w:ascii="Verdana" w:hAnsi="Verdana"/>
          <w:sz w:val="20"/>
          <w:lang w:val="pt-BR"/>
        </w:rPr>
        <w:t xml:space="preserve"> a terra e a </w:t>
      </w:r>
      <w:r w:rsidR="004076AD" w:rsidRPr="002F50BD">
        <w:rPr>
          <w:rFonts w:ascii="Verdana" w:hAnsi="Verdana"/>
          <w:sz w:val="20"/>
          <w:lang w:val="pt-BR"/>
        </w:rPr>
        <w:t>sobrevivência</w:t>
      </w:r>
      <w:r w:rsidR="004756C1" w:rsidRPr="002F50BD">
        <w:rPr>
          <w:rFonts w:ascii="Verdana" w:hAnsi="Verdana"/>
          <w:sz w:val="20"/>
          <w:lang w:val="pt-BR"/>
        </w:rPr>
        <w:t xml:space="preserve"> física”</w:t>
      </w:r>
      <w:r w:rsidR="0089298C" w:rsidRPr="002F50BD">
        <w:rPr>
          <w:rFonts w:ascii="Verdana" w:hAnsi="Verdana"/>
          <w:sz w:val="20"/>
          <w:lang w:val="pt-BR"/>
        </w:rPr>
        <w:t xml:space="preserve"> e a </w:t>
      </w:r>
      <w:r w:rsidR="004756C1" w:rsidRPr="002F50BD">
        <w:rPr>
          <w:rFonts w:ascii="Verdana" w:hAnsi="Verdana"/>
          <w:sz w:val="20"/>
          <w:lang w:val="pt-BR"/>
        </w:rPr>
        <w:t>su</w:t>
      </w:r>
      <w:r w:rsidR="0089298C" w:rsidRPr="002F50BD">
        <w:rPr>
          <w:rFonts w:ascii="Verdana" w:hAnsi="Verdana"/>
          <w:sz w:val="20"/>
          <w:lang w:val="pt-BR"/>
        </w:rPr>
        <w:t>posta</w:t>
      </w:r>
      <w:r w:rsidR="004756C1" w:rsidRPr="002F50BD">
        <w:rPr>
          <w:rFonts w:ascii="Verdana" w:hAnsi="Verdana"/>
          <w:sz w:val="20"/>
          <w:lang w:val="pt-BR"/>
        </w:rPr>
        <w:t xml:space="preserve"> falta de preserva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w:t>
      </w:r>
      <w:r w:rsidR="00CD7100" w:rsidRPr="002F50BD">
        <w:rPr>
          <w:rFonts w:ascii="Verdana" w:hAnsi="Verdana"/>
          <w:sz w:val="20"/>
          <w:lang w:val="pt-BR"/>
        </w:rPr>
        <w:t>. Em</w:t>
      </w:r>
      <w:r w:rsidR="0089298C" w:rsidRPr="002F50BD">
        <w:rPr>
          <w:rFonts w:ascii="Verdana" w:hAnsi="Verdana"/>
          <w:sz w:val="20"/>
          <w:lang w:val="pt-BR"/>
        </w:rPr>
        <w:t xml:space="preserve"> nenhum </w:t>
      </w:r>
      <w:r w:rsidR="004756C1" w:rsidRPr="002F50BD">
        <w:rPr>
          <w:rFonts w:ascii="Verdana" w:hAnsi="Verdana"/>
          <w:sz w:val="20"/>
          <w:lang w:val="pt-BR"/>
        </w:rPr>
        <w:t>momento</w:t>
      </w:r>
      <w:r w:rsidR="004B0CA7"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agentes esta</w:t>
      </w:r>
      <w:r w:rsidR="0089298C" w:rsidRPr="002F50BD">
        <w:rPr>
          <w:rFonts w:ascii="Verdana" w:hAnsi="Verdana"/>
          <w:sz w:val="20"/>
          <w:lang w:val="pt-BR"/>
        </w:rPr>
        <w:t>tais</w:t>
      </w:r>
      <w:r w:rsidR="004756C1" w:rsidRPr="002F50BD">
        <w:rPr>
          <w:rFonts w:ascii="Verdana" w:hAnsi="Verdana"/>
          <w:sz w:val="20"/>
          <w:lang w:val="pt-BR"/>
        </w:rPr>
        <w:t xml:space="preserve"> </w:t>
      </w:r>
      <w:r w:rsidRPr="002F50BD">
        <w:rPr>
          <w:rFonts w:ascii="Verdana" w:hAnsi="Verdana"/>
          <w:sz w:val="20"/>
          <w:lang w:val="pt-BR"/>
        </w:rPr>
        <w:t>obrigaram</w:t>
      </w:r>
      <w:r w:rsidR="0089298C" w:rsidRPr="002F50BD">
        <w:rPr>
          <w:rFonts w:ascii="Verdana" w:hAnsi="Verdana"/>
          <w:sz w:val="20"/>
          <w:lang w:val="pt-BR"/>
        </w:rPr>
        <w:t xml:space="preserve"> os </w:t>
      </w:r>
      <w:r w:rsidR="004756C1" w:rsidRPr="002F50BD">
        <w:rPr>
          <w:rFonts w:ascii="Verdana" w:hAnsi="Verdana"/>
          <w:sz w:val="20"/>
          <w:lang w:val="pt-BR"/>
        </w:rPr>
        <w:t xml:space="preserve">indígenas a </w:t>
      </w:r>
      <w:r w:rsidR="004B0CA7" w:rsidRPr="002F50BD">
        <w:rPr>
          <w:rFonts w:ascii="Verdana" w:hAnsi="Verdana"/>
          <w:sz w:val="20"/>
          <w:lang w:val="pt-BR"/>
        </w:rPr>
        <w:t>sair</w:t>
      </w:r>
      <w:r w:rsidRPr="002F50BD">
        <w:rPr>
          <w:rFonts w:ascii="Verdana" w:hAnsi="Verdana"/>
          <w:sz w:val="20"/>
          <w:lang w:val="pt-BR"/>
        </w:rPr>
        <w:t xml:space="preserve"> </w:t>
      </w:r>
      <w:r w:rsidR="004756C1" w:rsidRPr="002F50BD">
        <w:rPr>
          <w:rFonts w:ascii="Verdana" w:hAnsi="Verdana"/>
          <w:sz w:val="20"/>
          <w:lang w:val="pt-BR"/>
        </w:rPr>
        <w:t xml:space="preserve">de </w:t>
      </w:r>
      <w:r w:rsidR="00A50140" w:rsidRPr="002F50BD">
        <w:rPr>
          <w:rFonts w:ascii="Verdana" w:hAnsi="Verdana"/>
          <w:sz w:val="20"/>
          <w:lang w:val="pt-BR"/>
        </w:rPr>
        <w:t>suas terras</w:t>
      </w:r>
      <w:r w:rsidR="004756C1" w:rsidRPr="002F50BD">
        <w:rPr>
          <w:rFonts w:ascii="Verdana" w:hAnsi="Verdana"/>
          <w:sz w:val="20"/>
          <w:lang w:val="pt-BR"/>
        </w:rPr>
        <w:t>,</w:t>
      </w:r>
      <w:r w:rsidR="00FC6B22" w:rsidRPr="002F50BD">
        <w:rPr>
          <w:rFonts w:ascii="Verdana" w:hAnsi="Verdana"/>
          <w:sz w:val="20"/>
          <w:lang w:val="pt-BR"/>
        </w:rPr>
        <w:t xml:space="preserve"> a</w:t>
      </w:r>
      <w:r w:rsidR="0089298C" w:rsidRPr="002F50BD">
        <w:rPr>
          <w:rFonts w:ascii="Verdana" w:hAnsi="Verdana"/>
          <w:sz w:val="20"/>
          <w:lang w:val="pt-BR"/>
        </w:rPr>
        <w:t xml:space="preserve">o </w:t>
      </w:r>
      <w:r w:rsidR="004076AD" w:rsidRPr="002F50BD">
        <w:rPr>
          <w:rFonts w:ascii="Verdana" w:hAnsi="Verdana"/>
          <w:sz w:val="20"/>
          <w:lang w:val="pt-BR"/>
        </w:rPr>
        <w:t>contrário,</w:t>
      </w:r>
      <w:r w:rsidR="004756C1" w:rsidRPr="002F50BD">
        <w:rPr>
          <w:rFonts w:ascii="Verdana" w:hAnsi="Verdana"/>
          <w:sz w:val="20"/>
          <w:lang w:val="pt-BR"/>
        </w:rPr>
        <w:t xml:space="preserve"> </w:t>
      </w:r>
      <w:r w:rsidRPr="002F50BD">
        <w:rPr>
          <w:rFonts w:ascii="Verdana" w:hAnsi="Verdana"/>
          <w:sz w:val="20"/>
          <w:lang w:val="pt-BR"/>
        </w:rPr>
        <w:t>fizeram</w:t>
      </w:r>
      <w:r w:rsidR="0089298C" w:rsidRPr="002F50BD">
        <w:rPr>
          <w:rFonts w:ascii="Verdana" w:hAnsi="Verdana"/>
          <w:sz w:val="20"/>
          <w:lang w:val="pt-BR"/>
        </w:rPr>
        <w:t xml:space="preserve"> </w:t>
      </w:r>
      <w:r w:rsidR="004756C1" w:rsidRPr="002F50BD">
        <w:rPr>
          <w:rFonts w:ascii="Verdana" w:hAnsi="Verdana"/>
          <w:sz w:val="20"/>
          <w:lang w:val="pt-BR"/>
        </w:rPr>
        <w:t>consider</w:t>
      </w:r>
      <w:r w:rsidR="0089298C" w:rsidRPr="002F50BD">
        <w:rPr>
          <w:rFonts w:ascii="Verdana" w:hAnsi="Verdana"/>
          <w:sz w:val="20"/>
          <w:lang w:val="pt-BR"/>
        </w:rPr>
        <w:t>áveis esforço</w:t>
      </w:r>
      <w:r w:rsidR="004756C1" w:rsidRPr="002F50BD">
        <w:rPr>
          <w:rFonts w:ascii="Verdana" w:hAnsi="Verdana"/>
          <w:sz w:val="20"/>
          <w:lang w:val="pt-BR"/>
        </w:rPr>
        <w:t xml:space="preserve">s para buscar </w:t>
      </w:r>
      <w:r w:rsidR="0089298C" w:rsidRPr="002F50BD">
        <w:rPr>
          <w:rFonts w:ascii="Verdana" w:hAnsi="Verdana"/>
          <w:sz w:val="20"/>
          <w:lang w:val="pt-BR"/>
        </w:rPr>
        <w:t>outros</w:t>
      </w:r>
      <w:r w:rsidR="004756C1" w:rsidRPr="002F50BD">
        <w:rPr>
          <w:rFonts w:ascii="Verdana" w:hAnsi="Verdana"/>
          <w:sz w:val="20"/>
          <w:lang w:val="pt-BR"/>
        </w:rPr>
        <w:t xml:space="preserve"> lugares dentro de </w:t>
      </w:r>
      <w:r w:rsidR="00AB454A" w:rsidRPr="002F50BD">
        <w:rPr>
          <w:rFonts w:ascii="Verdana" w:hAnsi="Verdana"/>
          <w:sz w:val="20"/>
          <w:lang w:val="pt-BR"/>
        </w:rPr>
        <w:t>seu território</w:t>
      </w:r>
      <w:r w:rsidR="004756C1" w:rsidRPr="002F50BD">
        <w:rPr>
          <w:rFonts w:ascii="Verdana" w:hAnsi="Verdana"/>
          <w:sz w:val="20"/>
          <w:lang w:val="pt-BR"/>
        </w:rPr>
        <w:t xml:space="preserve"> ancestral,</w:t>
      </w:r>
      <w:r w:rsidR="0089298C" w:rsidRPr="002F50BD">
        <w:rPr>
          <w:rFonts w:ascii="Verdana" w:hAnsi="Verdana"/>
          <w:sz w:val="20"/>
          <w:lang w:val="pt-BR"/>
        </w:rPr>
        <w:t xml:space="preserve"> no </w:t>
      </w:r>
      <w:r w:rsidR="004756C1" w:rsidRPr="002F50BD">
        <w:rPr>
          <w:rFonts w:ascii="Verdana" w:hAnsi="Verdana"/>
          <w:sz w:val="20"/>
          <w:lang w:val="pt-BR"/>
        </w:rPr>
        <w:t xml:space="preserve">marco </w:t>
      </w:r>
      <w:r w:rsidR="0089298C"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0089298C" w:rsidRPr="002F50BD">
        <w:rPr>
          <w:rFonts w:ascii="Verdana" w:hAnsi="Verdana"/>
          <w:sz w:val="20"/>
          <w:lang w:val="pt-BR"/>
        </w:rPr>
        <w:t xml:space="preserve">da </w:t>
      </w:r>
      <w:r w:rsidR="004756C1" w:rsidRPr="002F50BD">
        <w:rPr>
          <w:rFonts w:ascii="Verdana" w:hAnsi="Verdana"/>
          <w:sz w:val="20"/>
          <w:lang w:val="pt-BR"/>
        </w:rPr>
        <w:t>OIT.</w:t>
      </w:r>
    </w:p>
    <w:p w:rsidR="004756C1" w:rsidRPr="002F50BD" w:rsidRDefault="004756C1">
      <w:pPr>
        <w:jc w:val="both"/>
        <w:rPr>
          <w:rFonts w:ascii="Verdana" w:hAnsi="Verdana"/>
          <w:sz w:val="20"/>
          <w:lang w:val="pt-BR"/>
        </w:rPr>
      </w:pPr>
    </w:p>
    <w:p w:rsidR="004756C1" w:rsidRPr="002F50BD" w:rsidRDefault="004756C1">
      <w:pPr>
        <w:pStyle w:val="BodyText"/>
        <w:numPr>
          <w:ilvl w:val="12"/>
          <w:numId w:val="0"/>
        </w:numPr>
        <w:rPr>
          <w:rFonts w:ascii="Verdana" w:hAnsi="Verdana"/>
          <w:i/>
          <w:sz w:val="20"/>
          <w:lang w:val="es-ES_tradnl"/>
        </w:rPr>
      </w:pPr>
      <w:r w:rsidRPr="002F50BD">
        <w:rPr>
          <w:rFonts w:ascii="Verdana" w:hAnsi="Verdana"/>
          <w:i/>
          <w:sz w:val="20"/>
          <w:lang w:val="es-ES_tradnl"/>
        </w:rPr>
        <w:t>Considera</w:t>
      </w:r>
      <w:r w:rsidR="0089298C" w:rsidRPr="002F50BD">
        <w:rPr>
          <w:rFonts w:ascii="Verdana" w:hAnsi="Verdana"/>
          <w:i/>
          <w:sz w:val="20"/>
          <w:lang w:val="es-ES_tradnl"/>
        </w:rPr>
        <w:t xml:space="preserve">ções da </w:t>
      </w:r>
      <w:r w:rsidRPr="002F50BD">
        <w:rPr>
          <w:rFonts w:ascii="Verdana" w:hAnsi="Verdana"/>
          <w:i/>
          <w:sz w:val="20"/>
          <w:lang w:val="es-ES_tradnl"/>
        </w:rPr>
        <w:t>Corte</w:t>
      </w:r>
    </w:p>
    <w:p w:rsidR="00452B62" w:rsidRPr="002F50BD" w:rsidRDefault="00452B62" w:rsidP="00452B62">
      <w:pPr>
        <w:pStyle w:val="BodyText"/>
        <w:rPr>
          <w:rFonts w:ascii="Verdana" w:hAnsi="Verdana"/>
          <w:sz w:val="20"/>
          <w:lang w:val="pt-BR"/>
        </w:rPr>
      </w:pPr>
    </w:p>
    <w:p w:rsidR="004756C1" w:rsidRPr="002F50BD" w:rsidRDefault="0089298C">
      <w:pPr>
        <w:pStyle w:val="BodyText"/>
        <w:numPr>
          <w:ilvl w:val="0"/>
          <w:numId w:val="28"/>
        </w:numPr>
        <w:rPr>
          <w:rFonts w:ascii="Verdana" w:hAnsi="Verdana"/>
          <w:sz w:val="20"/>
          <w:lang w:val="pt-BR"/>
        </w:rPr>
      </w:pPr>
      <w:r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4</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estabelece</w:t>
      </w:r>
      <w:r w:rsidR="004756C1" w:rsidRPr="002F50BD">
        <w:rPr>
          <w:rFonts w:ascii="Verdana" w:hAnsi="Verdana"/>
          <w:sz w:val="20"/>
          <w:lang w:val="pt-BR"/>
        </w:rPr>
        <w:t xml:space="preserve"> que:</w:t>
      </w:r>
    </w:p>
    <w:p w:rsidR="004756C1" w:rsidRPr="002F50BD" w:rsidRDefault="004756C1">
      <w:pPr>
        <w:numPr>
          <w:ilvl w:val="12"/>
          <w:numId w:val="0"/>
        </w:numPr>
        <w:jc w:val="both"/>
        <w:rPr>
          <w:rFonts w:ascii="Verdana" w:hAnsi="Verdana"/>
          <w:sz w:val="20"/>
          <w:lang w:val="pt-BR"/>
        </w:rPr>
      </w:pPr>
    </w:p>
    <w:p w:rsidR="004756C1" w:rsidRPr="002F50BD" w:rsidRDefault="004756C1">
      <w:pPr>
        <w:pStyle w:val="BlockText"/>
        <w:numPr>
          <w:ilvl w:val="12"/>
          <w:numId w:val="0"/>
        </w:numPr>
        <w:tabs>
          <w:tab w:val="left" w:pos="1080"/>
        </w:tabs>
        <w:spacing w:line="240" w:lineRule="auto"/>
        <w:ind w:left="720"/>
        <w:rPr>
          <w:lang w:val="pt-BR"/>
        </w:rPr>
      </w:pPr>
      <w:r w:rsidRPr="002F50BD">
        <w:rPr>
          <w:lang w:val="pt-BR"/>
        </w:rPr>
        <w:t xml:space="preserve">[t]oda </w:t>
      </w:r>
      <w:r w:rsidR="0089298C" w:rsidRPr="002F50BD">
        <w:rPr>
          <w:lang w:val="pt-BR"/>
        </w:rPr>
        <w:t>pessoa</w:t>
      </w:r>
      <w:r w:rsidRPr="002F50BD">
        <w:rPr>
          <w:lang w:val="pt-BR"/>
        </w:rPr>
        <w:t xml:space="preserve"> </w:t>
      </w:r>
      <w:r w:rsidR="009F308E" w:rsidRPr="002F50BD">
        <w:rPr>
          <w:lang w:val="pt-BR"/>
        </w:rPr>
        <w:t>tem o direito de que se respeite sua vida. Esse direito deve ser protegido pela lei e, em geral, desde o momento da concepção. Ninguém pode ser privado da vida arbitrariamente</w:t>
      </w:r>
      <w:r w:rsidRPr="002F50BD">
        <w:rPr>
          <w:lang w:val="pt-BR"/>
        </w:rPr>
        <w:t>.</w:t>
      </w:r>
    </w:p>
    <w:p w:rsidR="004756C1" w:rsidRPr="002F50BD" w:rsidRDefault="004756C1">
      <w:pPr>
        <w:numPr>
          <w:ilvl w:val="12"/>
          <w:numId w:val="0"/>
        </w:numPr>
        <w:jc w:val="both"/>
        <w:rPr>
          <w:rFonts w:ascii="Verdana" w:hAnsi="Verdana"/>
          <w:sz w:val="20"/>
          <w:lang w:val="pt-BR"/>
        </w:rPr>
      </w:pPr>
    </w:p>
    <w:p w:rsidR="004756C1" w:rsidRPr="002F50BD" w:rsidRDefault="004756C1">
      <w:pPr>
        <w:widowControl w:val="0"/>
        <w:numPr>
          <w:ilvl w:val="0"/>
          <w:numId w:val="28"/>
        </w:numPr>
        <w:jc w:val="both"/>
        <w:rPr>
          <w:rFonts w:ascii="Verdana" w:hAnsi="Verdana"/>
          <w:sz w:val="20"/>
          <w:szCs w:val="32"/>
          <w:lang w:val="pt-BR"/>
        </w:rPr>
      </w:pPr>
      <w:r w:rsidRPr="002F50BD">
        <w:rPr>
          <w:rFonts w:ascii="Verdana" w:hAnsi="Verdana"/>
          <w:sz w:val="20"/>
          <w:lang w:val="pt-BR"/>
        </w:rPr>
        <w:t>Este Tribunal</w:t>
      </w:r>
      <w:r w:rsidR="0089298C" w:rsidRPr="002F50BD">
        <w:rPr>
          <w:rFonts w:ascii="Verdana" w:hAnsi="Verdana"/>
          <w:sz w:val="20"/>
          <w:lang w:val="pt-BR"/>
        </w:rPr>
        <w:t xml:space="preserve"> tem argumentado </w:t>
      </w:r>
      <w:r w:rsidRPr="002F50BD">
        <w:rPr>
          <w:rFonts w:ascii="Verdana" w:hAnsi="Verdana"/>
          <w:sz w:val="20"/>
          <w:lang w:val="pt-BR"/>
        </w:rPr>
        <w:t>que</w:t>
      </w:r>
      <w:r w:rsidR="0089298C" w:rsidRPr="002F50BD">
        <w:rPr>
          <w:rFonts w:ascii="Verdana" w:hAnsi="Verdana"/>
          <w:sz w:val="20"/>
          <w:lang w:val="pt-BR"/>
        </w:rPr>
        <w:t xml:space="preserve"> o direito à </w:t>
      </w:r>
      <w:r w:rsidRPr="002F50BD">
        <w:rPr>
          <w:rFonts w:ascii="Verdana" w:hAnsi="Verdana"/>
          <w:sz w:val="20"/>
          <w:lang w:val="pt-BR"/>
        </w:rPr>
        <w:t>vida</w:t>
      </w:r>
      <w:r w:rsidR="0089298C" w:rsidRPr="002F50BD">
        <w:rPr>
          <w:rFonts w:ascii="Verdana" w:hAnsi="Verdana"/>
          <w:sz w:val="20"/>
          <w:lang w:val="pt-BR"/>
        </w:rPr>
        <w:t xml:space="preserve"> é </w:t>
      </w:r>
      <w:r w:rsidRPr="002F50BD">
        <w:rPr>
          <w:rFonts w:ascii="Verdana" w:hAnsi="Verdana"/>
          <w:sz w:val="20"/>
          <w:lang w:val="pt-BR"/>
        </w:rPr>
        <w:t>fundamental</w:t>
      </w:r>
      <w:r w:rsidR="0089298C" w:rsidRPr="002F50BD">
        <w:rPr>
          <w:rFonts w:ascii="Verdana" w:hAnsi="Verdana"/>
          <w:sz w:val="20"/>
          <w:lang w:val="pt-BR"/>
        </w:rPr>
        <w:t xml:space="preserve"> na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Americana, </w:t>
      </w:r>
      <w:r w:rsidR="00DD2E3D" w:rsidRPr="002F50BD">
        <w:rPr>
          <w:rFonts w:ascii="Verdana" w:hAnsi="Verdana"/>
          <w:sz w:val="20"/>
          <w:lang w:val="pt-BR"/>
        </w:rPr>
        <w:t xml:space="preserve">pois </w:t>
      </w:r>
      <w:r w:rsidRPr="002F50BD">
        <w:rPr>
          <w:rFonts w:ascii="Verdana" w:hAnsi="Verdana"/>
          <w:sz w:val="20"/>
          <w:lang w:val="pt-BR"/>
        </w:rPr>
        <w:t>de su</w:t>
      </w:r>
      <w:r w:rsidR="00DD2E3D" w:rsidRPr="002F50BD">
        <w:rPr>
          <w:rFonts w:ascii="Verdana" w:hAnsi="Verdana"/>
          <w:sz w:val="20"/>
          <w:lang w:val="pt-BR"/>
        </w:rPr>
        <w:t>a</w:t>
      </w:r>
      <w:r w:rsidRPr="002F50BD">
        <w:rPr>
          <w:rFonts w:ascii="Verdana" w:hAnsi="Verdana"/>
          <w:sz w:val="20"/>
          <w:lang w:val="pt-BR"/>
        </w:rPr>
        <w:t xml:space="preserve"> salvaguarda depen</w:t>
      </w:r>
      <w:r w:rsidR="0089298C" w:rsidRPr="002F50BD">
        <w:rPr>
          <w:rFonts w:ascii="Verdana" w:hAnsi="Verdana"/>
          <w:sz w:val="20"/>
          <w:lang w:val="pt-BR"/>
        </w:rPr>
        <w:t>d</w:t>
      </w:r>
      <w:r w:rsidR="00DD2E3D" w:rsidRPr="002F50BD">
        <w:rPr>
          <w:rFonts w:ascii="Verdana" w:hAnsi="Verdana"/>
          <w:sz w:val="20"/>
          <w:lang w:val="pt-BR"/>
        </w:rPr>
        <w:t xml:space="preserve">e </w:t>
      </w:r>
      <w:r w:rsidR="0089298C" w:rsidRPr="002F50BD">
        <w:rPr>
          <w:rFonts w:ascii="Verdana" w:hAnsi="Verdana"/>
          <w:sz w:val="20"/>
          <w:lang w:val="pt-BR"/>
        </w:rPr>
        <w:t xml:space="preserve">a </w:t>
      </w:r>
      <w:r w:rsidRPr="002F50BD">
        <w:rPr>
          <w:rFonts w:ascii="Verdana" w:hAnsi="Verdana"/>
          <w:sz w:val="20"/>
          <w:lang w:val="pt-BR"/>
        </w:rPr>
        <w:t>realiza</w:t>
      </w:r>
      <w:r w:rsidR="0089298C" w:rsidRPr="002F50BD">
        <w:rPr>
          <w:rFonts w:ascii="Verdana" w:hAnsi="Verdana"/>
          <w:sz w:val="20"/>
          <w:lang w:val="pt-BR"/>
        </w:rPr>
        <w:t>ção dos demais</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s</w:t>
      </w:r>
      <w:r w:rsidR="00DD2E3D" w:rsidRPr="002F50BD">
        <w:rPr>
          <w:rFonts w:ascii="Verdana" w:hAnsi="Verdana"/>
          <w:sz w:val="20"/>
          <w:lang w:val="pt-BR"/>
        </w:rPr>
        <w:t>.</w:t>
      </w:r>
      <w:r w:rsidRPr="002F50BD">
        <w:rPr>
          <w:rStyle w:val="FootnoteReference"/>
          <w:rFonts w:ascii="Verdana" w:hAnsi="Verdana"/>
        </w:rPr>
        <w:footnoteReference w:id="200"/>
      </w:r>
      <w:r w:rsidRPr="002F50BD">
        <w:rPr>
          <w:rFonts w:ascii="Verdana" w:hAnsi="Verdana"/>
          <w:sz w:val="20"/>
          <w:lang w:val="pt-BR"/>
        </w:rPr>
        <w:t xml:space="preserve"> </w:t>
      </w:r>
      <w:r w:rsidR="00DD2E3D" w:rsidRPr="002F50BD">
        <w:rPr>
          <w:rFonts w:ascii="Verdana" w:hAnsi="Verdana"/>
          <w:sz w:val="20"/>
          <w:lang w:val="pt-BR"/>
        </w:rPr>
        <w:t>A</w:t>
      </w:r>
      <w:r w:rsidR="0089298C" w:rsidRPr="002F50BD">
        <w:rPr>
          <w:rFonts w:ascii="Verdana" w:hAnsi="Verdana"/>
          <w:sz w:val="20"/>
          <w:lang w:val="pt-BR"/>
        </w:rPr>
        <w:t xml:space="preserve">o </w:t>
      </w:r>
      <w:r w:rsidRPr="002F50BD">
        <w:rPr>
          <w:rFonts w:ascii="Verdana" w:hAnsi="Verdana"/>
          <w:sz w:val="20"/>
          <w:lang w:val="pt-BR"/>
        </w:rPr>
        <w:t>n</w:t>
      </w:r>
      <w:r w:rsidR="00DD2E3D" w:rsidRPr="002F50BD">
        <w:rPr>
          <w:rFonts w:ascii="Verdana" w:hAnsi="Verdana"/>
          <w:sz w:val="20"/>
          <w:lang w:val="pt-BR"/>
        </w:rPr>
        <w:t>ã</w:t>
      </w:r>
      <w:r w:rsidRPr="002F50BD">
        <w:rPr>
          <w:rFonts w:ascii="Verdana" w:hAnsi="Verdana"/>
          <w:sz w:val="20"/>
          <w:lang w:val="pt-BR"/>
        </w:rPr>
        <w:t xml:space="preserve">o </w:t>
      </w:r>
      <w:r w:rsidR="00DD2E3D" w:rsidRPr="002F50BD">
        <w:rPr>
          <w:rFonts w:ascii="Verdana" w:hAnsi="Verdana"/>
          <w:sz w:val="20"/>
          <w:lang w:val="pt-BR"/>
        </w:rPr>
        <w:t xml:space="preserve">se </w:t>
      </w:r>
      <w:r w:rsidR="0089298C" w:rsidRPr="002F50BD">
        <w:rPr>
          <w:rFonts w:ascii="Verdana" w:hAnsi="Verdana"/>
          <w:sz w:val="20"/>
          <w:lang w:val="pt-BR"/>
        </w:rPr>
        <w:t xml:space="preserve">respeitar o direito à </w:t>
      </w:r>
      <w:r w:rsidRPr="002F50BD">
        <w:rPr>
          <w:rFonts w:ascii="Verdana" w:hAnsi="Verdana"/>
          <w:sz w:val="20"/>
          <w:lang w:val="pt-BR"/>
        </w:rPr>
        <w:t>vida, todos</w:t>
      </w:r>
      <w:r w:rsidR="0089298C" w:rsidRPr="002F50BD">
        <w:rPr>
          <w:rFonts w:ascii="Verdana" w:hAnsi="Verdana"/>
          <w:sz w:val="20"/>
          <w:lang w:val="pt-BR"/>
        </w:rPr>
        <w:t xml:space="preserve"> os demais</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 xml:space="preserve">s </w:t>
      </w:r>
      <w:r w:rsidRPr="002F50BD">
        <w:rPr>
          <w:rFonts w:ascii="Verdana" w:hAnsi="Verdana"/>
          <w:sz w:val="20"/>
          <w:lang w:val="pt-BR"/>
        </w:rPr>
        <w:lastRenderedPageBreak/>
        <w:t>des</w:t>
      </w:r>
      <w:r w:rsidR="0089298C" w:rsidRPr="002F50BD">
        <w:rPr>
          <w:rFonts w:ascii="Verdana" w:hAnsi="Verdana"/>
          <w:sz w:val="20"/>
          <w:lang w:val="pt-BR"/>
        </w:rPr>
        <w:t>aparecem</w:t>
      </w:r>
      <w:r w:rsidRPr="002F50BD">
        <w:rPr>
          <w:rFonts w:ascii="Verdana" w:hAnsi="Verdana"/>
          <w:sz w:val="20"/>
          <w:lang w:val="pt-BR"/>
        </w:rPr>
        <w:t xml:space="preserve">, </w:t>
      </w:r>
      <w:r w:rsidR="0089298C" w:rsidRPr="002F50BD">
        <w:rPr>
          <w:rFonts w:ascii="Verdana" w:hAnsi="Verdana"/>
          <w:sz w:val="20"/>
          <w:lang w:val="pt-BR"/>
        </w:rPr>
        <w:t xml:space="preserve">posto </w:t>
      </w:r>
      <w:r w:rsidRPr="002F50BD">
        <w:rPr>
          <w:rFonts w:ascii="Verdana" w:hAnsi="Verdana"/>
          <w:sz w:val="20"/>
          <w:lang w:val="pt-BR"/>
        </w:rPr>
        <w:t>que se extingue s</w:t>
      </w:r>
      <w:r w:rsidR="00DD2E3D" w:rsidRPr="002F50BD">
        <w:rPr>
          <w:rFonts w:ascii="Verdana" w:hAnsi="Verdana"/>
          <w:sz w:val="20"/>
          <w:lang w:val="pt-BR"/>
        </w:rPr>
        <w:t>e</w:t>
      </w:r>
      <w:r w:rsidRPr="002F50BD">
        <w:rPr>
          <w:rFonts w:ascii="Verdana" w:hAnsi="Verdana"/>
          <w:sz w:val="20"/>
          <w:lang w:val="pt-BR"/>
        </w:rPr>
        <w:t>u titular</w:t>
      </w:r>
      <w:r w:rsidR="00DD2E3D" w:rsidRPr="002F50BD">
        <w:rPr>
          <w:rFonts w:ascii="Verdana" w:hAnsi="Verdana"/>
          <w:sz w:val="20"/>
          <w:lang w:val="pt-BR"/>
        </w:rPr>
        <w:t>.</w:t>
      </w:r>
      <w:r w:rsidRPr="002F50BD">
        <w:rPr>
          <w:rStyle w:val="FootnoteReference"/>
          <w:rFonts w:ascii="Verdana" w:hAnsi="Verdana"/>
        </w:rPr>
        <w:footnoteReference w:id="201"/>
      </w:r>
      <w:r w:rsidR="00CD7100" w:rsidRPr="002F50BD">
        <w:rPr>
          <w:rFonts w:ascii="Verdana" w:hAnsi="Verdana"/>
          <w:sz w:val="20"/>
          <w:lang w:val="pt-BR"/>
        </w:rPr>
        <w:t xml:space="preserve"> Em</w:t>
      </w:r>
      <w:r w:rsidR="0089298C" w:rsidRPr="002F50BD">
        <w:rPr>
          <w:rFonts w:ascii="Verdana" w:hAnsi="Verdana"/>
          <w:sz w:val="20"/>
          <w:lang w:val="pt-BR"/>
        </w:rPr>
        <w:t xml:space="preserve"> razão deste caráter</w:t>
      </w:r>
      <w:r w:rsidRPr="002F50BD">
        <w:rPr>
          <w:rFonts w:ascii="Verdana" w:hAnsi="Verdana"/>
          <w:sz w:val="20"/>
          <w:lang w:val="pt-BR"/>
        </w:rPr>
        <w:t xml:space="preserve"> fundamental, </w:t>
      </w:r>
      <w:r w:rsidR="00AB454A" w:rsidRPr="002F50BD">
        <w:rPr>
          <w:rFonts w:ascii="Verdana" w:hAnsi="Verdana"/>
          <w:sz w:val="20"/>
          <w:lang w:val="pt-BR"/>
        </w:rPr>
        <w:t>não são</w:t>
      </w:r>
      <w:r w:rsidR="0089298C" w:rsidRPr="002F50BD">
        <w:rPr>
          <w:rFonts w:ascii="Verdana" w:hAnsi="Verdana"/>
          <w:sz w:val="20"/>
          <w:lang w:val="pt-BR"/>
        </w:rPr>
        <w:t xml:space="preserve"> </w:t>
      </w:r>
      <w:r w:rsidR="00FC6B22" w:rsidRPr="002F50BD">
        <w:rPr>
          <w:rFonts w:ascii="Verdana" w:hAnsi="Verdana"/>
          <w:sz w:val="20"/>
          <w:lang w:val="pt-BR"/>
        </w:rPr>
        <w:t>admissíveis</w:t>
      </w:r>
      <w:r w:rsidRPr="002F50BD">
        <w:rPr>
          <w:rFonts w:ascii="Verdana" w:hAnsi="Verdana"/>
          <w:sz w:val="20"/>
          <w:lang w:val="pt-BR"/>
        </w:rPr>
        <w:t xml:space="preserve"> enfoques </w:t>
      </w:r>
      <w:r w:rsidR="0089298C" w:rsidRPr="002F50BD">
        <w:rPr>
          <w:rFonts w:ascii="Verdana" w:hAnsi="Verdana"/>
          <w:sz w:val="20"/>
          <w:lang w:val="pt-BR"/>
        </w:rPr>
        <w:t>restritiv</w:t>
      </w:r>
      <w:r w:rsidRPr="002F50BD">
        <w:rPr>
          <w:rFonts w:ascii="Verdana" w:hAnsi="Verdana"/>
          <w:sz w:val="20"/>
          <w:lang w:val="pt-BR"/>
        </w:rPr>
        <w:t>os</w:t>
      </w:r>
      <w:r w:rsidR="0089298C" w:rsidRPr="002F50BD">
        <w:rPr>
          <w:rFonts w:ascii="Verdana" w:hAnsi="Verdana"/>
          <w:sz w:val="20"/>
          <w:lang w:val="pt-BR"/>
        </w:rPr>
        <w:t xml:space="preserve"> ao direito à </w:t>
      </w:r>
      <w:r w:rsidRPr="002F50BD">
        <w:rPr>
          <w:rFonts w:ascii="Verdana" w:hAnsi="Verdana"/>
          <w:sz w:val="20"/>
          <w:lang w:val="pt-BR"/>
        </w:rPr>
        <w:t>vida</w:t>
      </w:r>
      <w:r w:rsidR="00CD7100" w:rsidRPr="002F50BD">
        <w:rPr>
          <w:rFonts w:ascii="Verdana" w:hAnsi="Verdana"/>
          <w:sz w:val="20"/>
          <w:lang w:val="pt-BR"/>
        </w:rPr>
        <w:t>. Em</w:t>
      </w:r>
      <w:r w:rsidR="0089298C" w:rsidRPr="002F50BD">
        <w:rPr>
          <w:rFonts w:ascii="Verdana" w:hAnsi="Verdana"/>
          <w:sz w:val="20"/>
          <w:lang w:val="pt-BR"/>
        </w:rPr>
        <w:t xml:space="preserve"> </w:t>
      </w:r>
      <w:r w:rsidR="00AB454A" w:rsidRPr="002F50BD">
        <w:rPr>
          <w:rFonts w:ascii="Verdana" w:hAnsi="Verdana"/>
          <w:sz w:val="20"/>
          <w:lang w:val="pt-BR"/>
        </w:rPr>
        <w:t>essência</w:t>
      </w:r>
      <w:r w:rsidRPr="002F50BD">
        <w:rPr>
          <w:rFonts w:ascii="Verdana" w:hAnsi="Verdana"/>
          <w:sz w:val="20"/>
          <w:lang w:val="pt-BR"/>
        </w:rPr>
        <w:t xml:space="preserve">, este </w:t>
      </w:r>
      <w:r w:rsidR="0089298C" w:rsidRPr="002F50BD">
        <w:rPr>
          <w:rFonts w:ascii="Verdana" w:hAnsi="Verdana"/>
          <w:sz w:val="20"/>
          <w:lang w:val="pt-BR"/>
        </w:rPr>
        <w:t>direito</w:t>
      </w:r>
      <w:r w:rsidRPr="002F50BD">
        <w:rPr>
          <w:rFonts w:ascii="Verdana" w:hAnsi="Verdana"/>
          <w:sz w:val="20"/>
          <w:lang w:val="pt-BR"/>
        </w:rPr>
        <w:t xml:space="preserve"> compre</w:t>
      </w:r>
      <w:r w:rsidR="00DD2E3D" w:rsidRPr="002F50BD">
        <w:rPr>
          <w:rFonts w:ascii="Verdana" w:hAnsi="Verdana"/>
          <w:sz w:val="20"/>
          <w:lang w:val="pt-BR"/>
        </w:rPr>
        <w:t>e</w:t>
      </w:r>
      <w:r w:rsidRPr="002F50BD">
        <w:rPr>
          <w:rFonts w:ascii="Verdana" w:hAnsi="Verdana"/>
          <w:sz w:val="20"/>
          <w:lang w:val="pt-BR"/>
        </w:rPr>
        <w:t>nde</w:t>
      </w:r>
      <w:r w:rsidR="00AB454A" w:rsidRPr="002F50BD">
        <w:rPr>
          <w:rFonts w:ascii="Verdana" w:hAnsi="Verdana"/>
          <w:sz w:val="20"/>
          <w:lang w:val="pt-BR"/>
        </w:rPr>
        <w:t xml:space="preserve"> não apenas</w:t>
      </w:r>
      <w:r w:rsidR="0089298C" w:rsidRPr="002F50BD">
        <w:rPr>
          <w:rFonts w:ascii="Verdana" w:hAnsi="Verdana"/>
          <w:sz w:val="20"/>
          <w:lang w:val="pt-BR"/>
        </w:rPr>
        <w:t xml:space="preserve"> o direito</w:t>
      </w:r>
      <w:r w:rsidRPr="002F50BD">
        <w:rPr>
          <w:rFonts w:ascii="Verdana" w:hAnsi="Verdana"/>
          <w:sz w:val="20"/>
          <w:lang w:val="pt-BR"/>
        </w:rPr>
        <w:t xml:space="preserve"> de todo ser humano de n</w:t>
      </w:r>
      <w:r w:rsidR="00DD2E3D" w:rsidRPr="002F50BD">
        <w:rPr>
          <w:rFonts w:ascii="Verdana" w:hAnsi="Verdana"/>
          <w:sz w:val="20"/>
          <w:lang w:val="pt-BR"/>
        </w:rPr>
        <w:t>ã</w:t>
      </w:r>
      <w:r w:rsidRPr="002F50BD">
        <w:rPr>
          <w:rFonts w:ascii="Verdana" w:hAnsi="Verdana"/>
          <w:sz w:val="20"/>
          <w:lang w:val="pt-BR"/>
        </w:rPr>
        <w:t>o ser privado</w:t>
      </w:r>
      <w:r w:rsidR="0089298C" w:rsidRPr="002F50BD">
        <w:rPr>
          <w:rFonts w:ascii="Verdana" w:hAnsi="Verdana"/>
          <w:sz w:val="20"/>
          <w:lang w:val="pt-BR"/>
        </w:rPr>
        <w:t xml:space="preserve"> da </w:t>
      </w:r>
      <w:r w:rsidRPr="002F50BD">
        <w:rPr>
          <w:rFonts w:ascii="Verdana" w:hAnsi="Verdana"/>
          <w:sz w:val="20"/>
          <w:lang w:val="pt-BR"/>
        </w:rPr>
        <w:t xml:space="preserve">vida </w:t>
      </w:r>
      <w:r w:rsidR="0089298C" w:rsidRPr="002F50BD">
        <w:rPr>
          <w:rFonts w:ascii="Verdana" w:hAnsi="Verdana"/>
          <w:sz w:val="20"/>
          <w:lang w:val="pt-BR"/>
        </w:rPr>
        <w:t>arbitr</w:t>
      </w:r>
      <w:r w:rsidR="00DD2E3D" w:rsidRPr="002F50BD">
        <w:rPr>
          <w:rFonts w:ascii="Verdana" w:hAnsi="Verdana"/>
          <w:sz w:val="20"/>
          <w:lang w:val="pt-BR"/>
        </w:rPr>
        <w:t>a</w:t>
      </w:r>
      <w:r w:rsidR="0089298C" w:rsidRPr="002F50BD">
        <w:rPr>
          <w:rFonts w:ascii="Verdana" w:hAnsi="Verdana"/>
          <w:sz w:val="20"/>
          <w:lang w:val="pt-BR"/>
        </w:rPr>
        <w:t>ria</w:t>
      </w:r>
      <w:r w:rsidRPr="002F50BD">
        <w:rPr>
          <w:rFonts w:ascii="Verdana" w:hAnsi="Verdana"/>
          <w:sz w:val="20"/>
          <w:lang w:val="pt-BR"/>
        </w:rPr>
        <w:t>mente,</w:t>
      </w:r>
      <w:r w:rsidR="0089298C" w:rsidRPr="002F50BD">
        <w:rPr>
          <w:rFonts w:ascii="Verdana" w:hAnsi="Verdana"/>
          <w:sz w:val="20"/>
          <w:lang w:val="pt-BR"/>
        </w:rPr>
        <w:t xml:space="preserve"> mas também o direito</w:t>
      </w:r>
      <w:r w:rsidR="00FC6B22" w:rsidRPr="002F50BD">
        <w:rPr>
          <w:rFonts w:ascii="Verdana" w:hAnsi="Verdana"/>
          <w:sz w:val="20"/>
          <w:lang w:val="pt-BR"/>
        </w:rPr>
        <w:t xml:space="preserve"> de</w:t>
      </w:r>
      <w:r w:rsidRPr="002F50BD">
        <w:rPr>
          <w:rFonts w:ascii="Verdana" w:hAnsi="Verdana"/>
          <w:sz w:val="20"/>
          <w:lang w:val="pt-BR"/>
        </w:rPr>
        <w:t xml:space="preserve"> que n</w:t>
      </w:r>
      <w:r w:rsidR="00DD2E3D" w:rsidRPr="002F50BD">
        <w:rPr>
          <w:rFonts w:ascii="Verdana" w:hAnsi="Verdana"/>
          <w:sz w:val="20"/>
          <w:lang w:val="pt-BR"/>
        </w:rPr>
        <w:t>ã</w:t>
      </w:r>
      <w:r w:rsidRPr="002F50BD">
        <w:rPr>
          <w:rFonts w:ascii="Verdana" w:hAnsi="Verdana"/>
          <w:sz w:val="20"/>
          <w:lang w:val="pt-BR"/>
        </w:rPr>
        <w:t>o se</w:t>
      </w:r>
      <w:r w:rsidR="00DD2E3D" w:rsidRPr="002F50BD">
        <w:rPr>
          <w:rFonts w:ascii="Verdana" w:hAnsi="Verdana"/>
          <w:sz w:val="20"/>
          <w:lang w:val="pt-BR"/>
        </w:rPr>
        <w:t xml:space="preserve">jam criadas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que l</w:t>
      </w:r>
      <w:r w:rsidR="00DD2E3D" w:rsidRPr="002F50BD">
        <w:rPr>
          <w:rFonts w:ascii="Verdana" w:hAnsi="Verdana"/>
          <w:sz w:val="20"/>
          <w:lang w:val="pt-BR"/>
        </w:rPr>
        <w:t>h</w:t>
      </w:r>
      <w:r w:rsidRPr="002F50BD">
        <w:rPr>
          <w:rFonts w:ascii="Verdana" w:hAnsi="Verdana"/>
          <w:sz w:val="20"/>
          <w:lang w:val="pt-BR"/>
        </w:rPr>
        <w:t xml:space="preserve">e </w:t>
      </w:r>
      <w:r w:rsidR="004076AD" w:rsidRPr="002F50BD">
        <w:rPr>
          <w:rFonts w:ascii="Verdana" w:hAnsi="Verdana"/>
          <w:sz w:val="20"/>
          <w:lang w:val="pt-BR"/>
        </w:rPr>
        <w:t>impeçam</w:t>
      </w:r>
      <w:r w:rsidRPr="002F50BD">
        <w:rPr>
          <w:rFonts w:ascii="Verdana" w:hAnsi="Verdana"/>
          <w:sz w:val="20"/>
          <w:lang w:val="pt-BR"/>
        </w:rPr>
        <w:t xml:space="preserve"> o</w:t>
      </w:r>
      <w:r w:rsidR="00DD2E3D" w:rsidRPr="002F50BD">
        <w:rPr>
          <w:rFonts w:ascii="Verdana" w:hAnsi="Verdana"/>
          <w:sz w:val="20"/>
          <w:lang w:val="pt-BR"/>
        </w:rPr>
        <w:t>u</w:t>
      </w:r>
      <w:r w:rsidRPr="002F50BD">
        <w:rPr>
          <w:rFonts w:ascii="Verdana" w:hAnsi="Verdana"/>
          <w:sz w:val="20"/>
          <w:lang w:val="pt-BR"/>
        </w:rPr>
        <w:t xml:space="preserve"> </w:t>
      </w:r>
      <w:r w:rsidR="00DD2E3D" w:rsidRPr="002F50BD">
        <w:rPr>
          <w:rFonts w:ascii="Verdana" w:hAnsi="Verdana"/>
          <w:sz w:val="20"/>
          <w:lang w:val="pt-BR"/>
        </w:rPr>
        <w:t xml:space="preserve">dificultem o </w:t>
      </w:r>
      <w:r w:rsidR="0089298C" w:rsidRPr="002F50BD">
        <w:rPr>
          <w:rFonts w:ascii="Verdana" w:hAnsi="Verdana"/>
          <w:sz w:val="20"/>
          <w:lang w:val="pt-BR"/>
        </w:rPr>
        <w:t>acesso</w:t>
      </w:r>
      <w:r w:rsidRPr="002F50BD">
        <w:rPr>
          <w:rFonts w:ascii="Verdana" w:hAnsi="Verdana"/>
          <w:sz w:val="20"/>
          <w:lang w:val="pt-BR"/>
        </w:rPr>
        <w:t xml:space="preserve"> a</w:t>
      </w:r>
      <w:r w:rsidR="0089298C" w:rsidRPr="002F50BD">
        <w:rPr>
          <w:rFonts w:ascii="Verdana" w:hAnsi="Verdana"/>
          <w:sz w:val="20"/>
          <w:lang w:val="pt-BR"/>
        </w:rPr>
        <w:t xml:space="preserve"> uma existência</w:t>
      </w:r>
      <w:r w:rsidRPr="002F50BD">
        <w:rPr>
          <w:rFonts w:ascii="Verdana" w:hAnsi="Verdana"/>
          <w:sz w:val="20"/>
          <w:lang w:val="pt-BR"/>
        </w:rPr>
        <w:t xml:space="preserve"> digna</w:t>
      </w:r>
      <w:r w:rsidR="00DD2E3D" w:rsidRPr="002F50BD">
        <w:rPr>
          <w:rFonts w:ascii="Verdana" w:hAnsi="Verdana"/>
          <w:sz w:val="20"/>
          <w:lang w:val="pt-BR"/>
        </w:rPr>
        <w:t>.</w:t>
      </w:r>
      <w:r w:rsidRPr="002F50BD">
        <w:rPr>
          <w:rStyle w:val="FootnoteReference"/>
          <w:rFonts w:ascii="Verdana" w:hAnsi="Verdana"/>
        </w:rPr>
        <w:footnoteReference w:id="202"/>
      </w:r>
      <w:r w:rsidRPr="002F50BD">
        <w:rPr>
          <w:rFonts w:ascii="Verdana" w:hAnsi="Verdana"/>
          <w:sz w:val="20"/>
          <w:lang w:val="pt-BR"/>
        </w:rPr>
        <w:t xml:space="preserve"> </w:t>
      </w:r>
    </w:p>
    <w:p w:rsidR="004756C1" w:rsidRPr="002F50BD" w:rsidRDefault="004756C1">
      <w:pPr>
        <w:widowControl w:val="0"/>
        <w:jc w:val="both"/>
        <w:rPr>
          <w:rFonts w:ascii="Verdana" w:hAnsi="Verdana"/>
          <w:sz w:val="20"/>
          <w:szCs w:val="32"/>
          <w:lang w:val="pt-BR"/>
        </w:rPr>
      </w:pPr>
    </w:p>
    <w:p w:rsidR="004756C1" w:rsidRPr="002F50BD" w:rsidRDefault="004756C1">
      <w:pPr>
        <w:widowControl w:val="0"/>
        <w:numPr>
          <w:ilvl w:val="0"/>
          <w:numId w:val="28"/>
        </w:numPr>
        <w:jc w:val="both"/>
        <w:rPr>
          <w:rFonts w:ascii="Verdana" w:hAnsi="Verdana"/>
          <w:sz w:val="20"/>
          <w:lang w:val="pt-BR"/>
        </w:rPr>
      </w:pPr>
      <w:r w:rsidRPr="002F50BD">
        <w:rPr>
          <w:rFonts w:ascii="Verdana" w:hAnsi="Verdana"/>
          <w:sz w:val="20"/>
          <w:lang w:val="pt-BR"/>
        </w:rPr>
        <w:t>U</w:t>
      </w:r>
      <w:r w:rsidR="00DD2E3D" w:rsidRPr="002F50BD">
        <w:rPr>
          <w:rFonts w:ascii="Verdana" w:hAnsi="Verdana"/>
          <w:sz w:val="20"/>
          <w:lang w:val="pt-BR"/>
        </w:rPr>
        <w:t>m</w:t>
      </w:r>
      <w:r w:rsidRPr="002F50BD">
        <w:rPr>
          <w:rFonts w:ascii="Verdana" w:hAnsi="Verdana"/>
          <w:sz w:val="20"/>
          <w:lang w:val="pt-BR"/>
        </w:rPr>
        <w:t>a</w:t>
      </w:r>
      <w:r w:rsidR="0089298C" w:rsidRPr="002F50BD">
        <w:rPr>
          <w:rFonts w:ascii="Verdana" w:hAnsi="Verdana"/>
          <w:sz w:val="20"/>
          <w:lang w:val="pt-BR"/>
        </w:rPr>
        <w:t xml:space="preserve"> das obrigações</w:t>
      </w:r>
      <w:r w:rsidRPr="002F50BD">
        <w:rPr>
          <w:rFonts w:ascii="Verdana" w:hAnsi="Verdana"/>
          <w:sz w:val="20"/>
          <w:lang w:val="pt-BR"/>
        </w:rPr>
        <w:t xml:space="preserve"> que </w:t>
      </w:r>
      <w:r w:rsidR="009C5015" w:rsidRPr="002F50BD">
        <w:rPr>
          <w:rFonts w:ascii="Verdana" w:hAnsi="Verdana"/>
          <w:sz w:val="20"/>
          <w:lang w:val="pt-BR"/>
        </w:rPr>
        <w:t>o Estado</w:t>
      </w:r>
      <w:r w:rsidR="00F82B7B">
        <w:rPr>
          <w:rFonts w:ascii="Verdana" w:hAnsi="Verdana"/>
          <w:sz w:val="20"/>
          <w:lang w:val="pt-BR"/>
        </w:rPr>
        <w:t xml:space="preserve"> invevitavelmente </w:t>
      </w:r>
      <w:r w:rsidR="0089298C" w:rsidRPr="002F50BD">
        <w:rPr>
          <w:rFonts w:ascii="Verdana" w:hAnsi="Verdana"/>
          <w:sz w:val="20"/>
          <w:lang w:val="pt-BR"/>
        </w:rPr>
        <w:t xml:space="preserve">deve assumir em </w:t>
      </w:r>
      <w:r w:rsidRPr="002F50BD">
        <w:rPr>
          <w:rFonts w:ascii="Verdana" w:hAnsi="Verdana"/>
          <w:sz w:val="20"/>
          <w:lang w:val="pt-BR"/>
        </w:rPr>
        <w:t>su</w:t>
      </w:r>
      <w:r w:rsidR="00DD2E3D" w:rsidRPr="002F50BD">
        <w:rPr>
          <w:rFonts w:ascii="Verdana" w:hAnsi="Verdana"/>
          <w:sz w:val="20"/>
          <w:lang w:val="pt-BR"/>
        </w:rPr>
        <w:t>a</w:t>
      </w:r>
      <w:r w:rsidRPr="002F50BD">
        <w:rPr>
          <w:rFonts w:ascii="Verdana" w:hAnsi="Verdana"/>
          <w:sz w:val="20"/>
          <w:lang w:val="pt-BR"/>
        </w:rPr>
        <w:t xml:space="preserve"> posi</w:t>
      </w:r>
      <w:r w:rsidR="0089298C" w:rsidRPr="002F50BD">
        <w:rPr>
          <w:rFonts w:ascii="Verdana" w:hAnsi="Verdana"/>
          <w:sz w:val="20"/>
          <w:lang w:val="pt-BR"/>
        </w:rPr>
        <w:t>ção</w:t>
      </w:r>
      <w:r w:rsidRPr="002F50BD">
        <w:rPr>
          <w:rFonts w:ascii="Verdana" w:hAnsi="Verdana"/>
          <w:sz w:val="20"/>
          <w:lang w:val="pt-BR"/>
        </w:rPr>
        <w:t xml:space="preserve"> de garante,</w:t>
      </w:r>
      <w:r w:rsidR="0089298C" w:rsidRPr="002F50BD">
        <w:rPr>
          <w:rFonts w:ascii="Verdana" w:hAnsi="Verdana"/>
          <w:sz w:val="20"/>
          <w:lang w:val="pt-BR"/>
        </w:rPr>
        <w:t xml:space="preserve"> com o </w:t>
      </w:r>
      <w:r w:rsidRPr="002F50BD">
        <w:rPr>
          <w:rFonts w:ascii="Verdana" w:hAnsi="Verdana"/>
          <w:sz w:val="20"/>
          <w:lang w:val="pt-BR"/>
        </w:rPr>
        <w:t>objetivo de proteger</w:t>
      </w:r>
      <w:r w:rsidR="0089298C" w:rsidRPr="002F50BD">
        <w:rPr>
          <w:rFonts w:ascii="Verdana" w:hAnsi="Verdana"/>
          <w:sz w:val="20"/>
          <w:lang w:val="pt-BR"/>
        </w:rPr>
        <w:t xml:space="preserve"> e garantir o direito à </w:t>
      </w:r>
      <w:r w:rsidRPr="002F50BD">
        <w:rPr>
          <w:rFonts w:ascii="Verdana" w:hAnsi="Verdana"/>
          <w:sz w:val="20"/>
          <w:lang w:val="pt-BR"/>
        </w:rPr>
        <w:t>vida,</w:t>
      </w:r>
      <w:r w:rsidR="0089298C" w:rsidRPr="002F50BD">
        <w:rPr>
          <w:rFonts w:ascii="Verdana" w:hAnsi="Verdana"/>
          <w:sz w:val="20"/>
          <w:lang w:val="pt-BR"/>
        </w:rPr>
        <w:t xml:space="preserve"> é a </w:t>
      </w:r>
      <w:r w:rsidRPr="002F50BD">
        <w:rPr>
          <w:rFonts w:ascii="Verdana" w:hAnsi="Verdana"/>
          <w:sz w:val="20"/>
          <w:lang w:val="pt-BR"/>
        </w:rPr>
        <w:t xml:space="preserve">de </w:t>
      </w:r>
      <w:r w:rsidR="00DD2E3D" w:rsidRPr="002F50BD">
        <w:rPr>
          <w:rFonts w:ascii="Verdana" w:hAnsi="Verdana"/>
          <w:sz w:val="20"/>
          <w:lang w:val="pt-BR"/>
        </w:rPr>
        <w:t>criar</w:t>
      </w:r>
      <w:r w:rsidR="0089298C" w:rsidRPr="002F50BD">
        <w:rPr>
          <w:rFonts w:ascii="Verdana" w:hAnsi="Verdana"/>
          <w:sz w:val="20"/>
          <w:lang w:val="pt-BR"/>
        </w:rPr>
        <w:t xml:space="preserve"> 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de vida mínimas </w:t>
      </w:r>
      <w:r w:rsidR="0089298C" w:rsidRPr="002F50BD">
        <w:rPr>
          <w:rFonts w:ascii="Verdana" w:hAnsi="Verdana"/>
          <w:sz w:val="20"/>
          <w:lang w:val="pt-BR"/>
        </w:rPr>
        <w:t>compatíveis com a dignidade da pessoa</w:t>
      </w:r>
      <w:r w:rsidRPr="002F50BD">
        <w:rPr>
          <w:rFonts w:ascii="Verdana" w:hAnsi="Verdana"/>
          <w:sz w:val="20"/>
          <w:lang w:val="pt-BR"/>
        </w:rPr>
        <w:t xml:space="preserve"> humana</w:t>
      </w:r>
      <w:r w:rsidRPr="002F50BD">
        <w:rPr>
          <w:rStyle w:val="FootnoteReference"/>
          <w:rFonts w:ascii="Verdana" w:hAnsi="Verdana"/>
        </w:rPr>
        <w:footnoteReference w:id="203"/>
      </w:r>
      <w:r w:rsidR="0089298C" w:rsidRPr="002F50BD">
        <w:rPr>
          <w:rFonts w:ascii="Verdana" w:hAnsi="Verdana"/>
          <w:sz w:val="20"/>
          <w:lang w:val="pt-BR"/>
        </w:rPr>
        <w:t xml:space="preserve"> e </w:t>
      </w:r>
      <w:r w:rsidRPr="002F50BD">
        <w:rPr>
          <w:rFonts w:ascii="Verdana" w:hAnsi="Verdana"/>
          <w:sz w:val="20"/>
          <w:lang w:val="pt-BR"/>
        </w:rPr>
        <w:t xml:space="preserve">a </w:t>
      </w:r>
      <w:r w:rsidR="004B0CA7" w:rsidRPr="002F50BD">
        <w:rPr>
          <w:rFonts w:ascii="Verdana" w:hAnsi="Verdana"/>
          <w:sz w:val="20"/>
          <w:lang w:val="pt-BR"/>
        </w:rPr>
        <w:t xml:space="preserve">de </w:t>
      </w:r>
      <w:r w:rsidRPr="002F50BD">
        <w:rPr>
          <w:rFonts w:ascii="Verdana" w:hAnsi="Verdana"/>
          <w:sz w:val="20"/>
          <w:lang w:val="pt-BR"/>
        </w:rPr>
        <w:t>n</w:t>
      </w:r>
      <w:r w:rsidR="00DD2E3D" w:rsidRPr="002F50BD">
        <w:rPr>
          <w:rFonts w:ascii="Verdana" w:hAnsi="Verdana"/>
          <w:sz w:val="20"/>
          <w:lang w:val="pt-BR"/>
        </w:rPr>
        <w:t>ã</w:t>
      </w:r>
      <w:r w:rsidRPr="002F50BD">
        <w:rPr>
          <w:rFonts w:ascii="Verdana" w:hAnsi="Verdana"/>
          <w:sz w:val="20"/>
          <w:lang w:val="pt-BR"/>
        </w:rPr>
        <w:t>o produ</w:t>
      </w:r>
      <w:r w:rsidR="00DD2E3D" w:rsidRPr="002F50BD">
        <w:rPr>
          <w:rFonts w:ascii="Verdana" w:hAnsi="Verdana"/>
          <w:sz w:val="20"/>
          <w:lang w:val="pt-BR"/>
        </w:rPr>
        <w:t>z</w:t>
      </w:r>
      <w:r w:rsidRPr="002F50BD">
        <w:rPr>
          <w:rFonts w:ascii="Verdana" w:hAnsi="Verdana"/>
          <w:sz w:val="20"/>
          <w:lang w:val="pt-BR"/>
        </w:rPr>
        <w:t>ir condi</w:t>
      </w:r>
      <w:r w:rsidR="0089298C" w:rsidRPr="002F50BD">
        <w:rPr>
          <w:rFonts w:ascii="Verdana" w:hAnsi="Verdana"/>
          <w:sz w:val="20"/>
          <w:lang w:val="pt-BR"/>
        </w:rPr>
        <w:t>ções</w:t>
      </w:r>
      <w:r w:rsidRPr="002F50BD">
        <w:rPr>
          <w:rFonts w:ascii="Verdana" w:hAnsi="Verdana"/>
          <w:sz w:val="20"/>
          <w:lang w:val="pt-BR"/>
        </w:rPr>
        <w:t xml:space="preserve"> que</w:t>
      </w:r>
      <w:r w:rsidR="0089298C" w:rsidRPr="002F50BD">
        <w:rPr>
          <w:rFonts w:ascii="Verdana" w:hAnsi="Verdana"/>
          <w:sz w:val="20"/>
          <w:lang w:val="pt-BR"/>
        </w:rPr>
        <w:t xml:space="preserve"> a </w:t>
      </w:r>
      <w:r w:rsidR="00DD2E3D" w:rsidRPr="002F50BD">
        <w:rPr>
          <w:rFonts w:ascii="Verdana" w:hAnsi="Verdana"/>
          <w:sz w:val="20"/>
          <w:lang w:val="pt-BR"/>
        </w:rPr>
        <w:t xml:space="preserve">dificultem ou </w:t>
      </w:r>
      <w:r w:rsidR="004076AD" w:rsidRPr="002F50BD">
        <w:rPr>
          <w:rFonts w:ascii="Verdana" w:hAnsi="Verdana"/>
          <w:sz w:val="20"/>
          <w:lang w:val="pt-BR"/>
        </w:rPr>
        <w:t>impeçam</w:t>
      </w:r>
      <w:r w:rsidR="001A0CDE" w:rsidRPr="002F50BD">
        <w:rPr>
          <w:rFonts w:ascii="Verdana" w:hAnsi="Verdana"/>
          <w:sz w:val="20"/>
          <w:lang w:val="pt-BR"/>
        </w:rPr>
        <w:t xml:space="preserve">. </w:t>
      </w:r>
      <w:r w:rsidR="00CF451D">
        <w:rPr>
          <w:rFonts w:ascii="Verdana" w:hAnsi="Verdana"/>
          <w:sz w:val="20"/>
          <w:lang w:val="pt-BR"/>
        </w:rPr>
        <w:t>Nesse sentido,</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tem o dever</w:t>
      </w:r>
      <w:r w:rsidRPr="002F50BD">
        <w:rPr>
          <w:rFonts w:ascii="Verdana" w:hAnsi="Verdana"/>
          <w:sz w:val="20"/>
          <w:lang w:val="pt-BR"/>
        </w:rPr>
        <w:t xml:space="preserve"> de </w:t>
      </w:r>
      <w:r w:rsidR="0089298C" w:rsidRPr="002F50BD">
        <w:rPr>
          <w:rFonts w:ascii="Verdana" w:hAnsi="Verdana"/>
          <w:sz w:val="20"/>
          <w:lang w:val="pt-BR"/>
        </w:rPr>
        <w:t>adot</w:t>
      </w:r>
      <w:r w:rsidRPr="002F50BD">
        <w:rPr>
          <w:rFonts w:ascii="Verdana" w:hAnsi="Verdana"/>
          <w:sz w:val="20"/>
          <w:lang w:val="pt-BR"/>
        </w:rPr>
        <w:t>ar medidas positivas, concretas</w:t>
      </w:r>
      <w:r w:rsidR="0089298C" w:rsidRPr="002F50BD">
        <w:rPr>
          <w:rFonts w:ascii="Verdana" w:hAnsi="Verdana"/>
          <w:sz w:val="20"/>
          <w:lang w:val="pt-BR"/>
        </w:rPr>
        <w:t xml:space="preserve"> e </w:t>
      </w:r>
      <w:r w:rsidRPr="002F50BD">
        <w:rPr>
          <w:rFonts w:ascii="Verdana" w:hAnsi="Verdana"/>
          <w:sz w:val="20"/>
          <w:lang w:val="pt-BR"/>
        </w:rPr>
        <w:t>orientadas</w:t>
      </w:r>
      <w:r w:rsidR="0089298C" w:rsidRPr="002F50BD">
        <w:rPr>
          <w:rFonts w:ascii="Verdana" w:hAnsi="Verdana"/>
          <w:sz w:val="20"/>
          <w:lang w:val="pt-BR"/>
        </w:rPr>
        <w:t xml:space="preserve"> à satisfação</w:t>
      </w:r>
      <w:r w:rsidRPr="002F50BD">
        <w:rPr>
          <w:rFonts w:ascii="Verdana" w:hAnsi="Verdana"/>
          <w:sz w:val="20"/>
          <w:lang w:val="pt-BR"/>
        </w:rPr>
        <w:t xml:space="preserve"> </w:t>
      </w:r>
      <w:r w:rsidR="0089298C" w:rsidRPr="002F50BD">
        <w:rPr>
          <w:rFonts w:ascii="Verdana" w:hAnsi="Verdana"/>
          <w:sz w:val="20"/>
          <w:lang w:val="pt-BR"/>
        </w:rPr>
        <w:t>do direito</w:t>
      </w:r>
      <w:r w:rsidRPr="002F50BD">
        <w:rPr>
          <w:rFonts w:ascii="Verdana" w:hAnsi="Verdana"/>
          <w:sz w:val="20"/>
          <w:lang w:val="pt-BR"/>
        </w:rPr>
        <w:t xml:space="preserve"> a</w:t>
      </w:r>
      <w:r w:rsidR="0089298C" w:rsidRPr="002F50BD">
        <w:rPr>
          <w:rFonts w:ascii="Verdana" w:hAnsi="Verdana"/>
          <w:sz w:val="20"/>
          <w:lang w:val="pt-BR"/>
        </w:rPr>
        <w:t xml:space="preserve"> uma </w:t>
      </w:r>
      <w:r w:rsidRPr="002F50BD">
        <w:rPr>
          <w:rFonts w:ascii="Verdana" w:hAnsi="Verdana"/>
          <w:sz w:val="20"/>
          <w:lang w:val="pt-BR"/>
        </w:rPr>
        <w:t>vida digna,</w:t>
      </w:r>
      <w:r w:rsidR="0089298C" w:rsidRPr="002F50BD">
        <w:rPr>
          <w:rFonts w:ascii="Verdana" w:hAnsi="Verdana"/>
          <w:sz w:val="20"/>
          <w:lang w:val="pt-BR"/>
        </w:rPr>
        <w:t xml:space="preserve"> em </w:t>
      </w:r>
      <w:r w:rsidRPr="002F50BD">
        <w:rPr>
          <w:rFonts w:ascii="Verdana" w:hAnsi="Verdana"/>
          <w:sz w:val="20"/>
          <w:lang w:val="pt-BR"/>
        </w:rPr>
        <w:t xml:space="preserve">especial </w:t>
      </w:r>
      <w:r w:rsidR="0089298C" w:rsidRPr="002F50BD">
        <w:rPr>
          <w:rFonts w:ascii="Verdana" w:hAnsi="Verdana"/>
          <w:sz w:val="20"/>
          <w:lang w:val="pt-BR"/>
        </w:rPr>
        <w:t>quando</w:t>
      </w:r>
      <w:r w:rsidRPr="002F50BD">
        <w:rPr>
          <w:rFonts w:ascii="Verdana" w:hAnsi="Verdana"/>
          <w:sz w:val="20"/>
          <w:lang w:val="pt-BR"/>
        </w:rPr>
        <w:t xml:space="preserve"> se trata de </w:t>
      </w:r>
      <w:r w:rsidR="0089298C" w:rsidRPr="002F50BD">
        <w:rPr>
          <w:rFonts w:ascii="Verdana" w:hAnsi="Verdana"/>
          <w:sz w:val="20"/>
          <w:lang w:val="pt-BR"/>
        </w:rPr>
        <w:t>pessoa</w:t>
      </w:r>
      <w:r w:rsidRPr="002F50BD">
        <w:rPr>
          <w:rFonts w:ascii="Verdana" w:hAnsi="Verdana"/>
          <w:sz w:val="20"/>
          <w:lang w:val="pt-BR"/>
        </w:rPr>
        <w:t>s</w:t>
      </w:r>
      <w:r w:rsidR="0089298C" w:rsidRPr="002F50BD">
        <w:rPr>
          <w:rFonts w:ascii="Verdana" w:hAnsi="Verdana"/>
          <w:sz w:val="20"/>
          <w:lang w:val="pt-BR"/>
        </w:rPr>
        <w:t xml:space="preserve"> em </w:t>
      </w:r>
      <w:r w:rsidRPr="002F50BD">
        <w:rPr>
          <w:rFonts w:ascii="Verdana" w:hAnsi="Verdana"/>
          <w:sz w:val="20"/>
          <w:lang w:val="pt-BR"/>
        </w:rPr>
        <w:t>situa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vulnerabilidade e risco</w:t>
      </w:r>
      <w:r w:rsidRPr="002F50BD">
        <w:rPr>
          <w:rFonts w:ascii="Verdana" w:hAnsi="Verdana"/>
          <w:sz w:val="20"/>
          <w:lang w:val="pt-BR"/>
        </w:rPr>
        <w:t xml:space="preserve">, </w:t>
      </w:r>
      <w:r w:rsidR="0089298C" w:rsidRPr="002F50BD">
        <w:rPr>
          <w:rFonts w:ascii="Verdana" w:hAnsi="Verdana"/>
          <w:sz w:val="20"/>
          <w:lang w:val="pt-BR"/>
        </w:rPr>
        <w:t>cuja</w:t>
      </w:r>
      <w:r w:rsidRPr="002F50BD">
        <w:rPr>
          <w:rFonts w:ascii="Verdana" w:hAnsi="Verdana"/>
          <w:sz w:val="20"/>
          <w:szCs w:val="32"/>
          <w:lang w:val="pt-BR"/>
        </w:rPr>
        <w:t xml:space="preserve"> </w:t>
      </w:r>
      <w:r w:rsidR="0089298C" w:rsidRPr="002F50BD">
        <w:rPr>
          <w:rFonts w:ascii="Verdana" w:hAnsi="Verdana"/>
          <w:sz w:val="20"/>
          <w:szCs w:val="32"/>
          <w:lang w:val="pt-BR"/>
        </w:rPr>
        <w:t>atenção</w:t>
      </w:r>
      <w:r w:rsidRPr="002F50BD">
        <w:rPr>
          <w:rFonts w:ascii="Verdana" w:hAnsi="Verdana"/>
          <w:sz w:val="20"/>
          <w:szCs w:val="32"/>
          <w:lang w:val="pt-BR"/>
        </w:rPr>
        <w:t xml:space="preserve"> se </w:t>
      </w:r>
      <w:r w:rsidR="00DD2E3D" w:rsidRPr="002F50BD">
        <w:rPr>
          <w:rFonts w:ascii="Verdana" w:hAnsi="Verdana"/>
          <w:sz w:val="20"/>
          <w:szCs w:val="32"/>
          <w:lang w:val="pt-BR"/>
        </w:rPr>
        <w:t xml:space="preserve">torna </w:t>
      </w:r>
      <w:r w:rsidRPr="002F50BD">
        <w:rPr>
          <w:rFonts w:ascii="Verdana" w:hAnsi="Verdana"/>
          <w:sz w:val="20"/>
          <w:szCs w:val="32"/>
          <w:lang w:val="pt-BR"/>
        </w:rPr>
        <w:t>priorit</w:t>
      </w:r>
      <w:r w:rsidR="00DD2E3D" w:rsidRPr="002F50BD">
        <w:rPr>
          <w:rFonts w:ascii="Verdana" w:hAnsi="Verdana"/>
          <w:sz w:val="20"/>
          <w:szCs w:val="32"/>
          <w:lang w:val="pt-BR"/>
        </w:rPr>
        <w:t>á</w:t>
      </w:r>
      <w:r w:rsidRPr="002F50BD">
        <w:rPr>
          <w:rFonts w:ascii="Verdana" w:hAnsi="Verdana"/>
          <w:sz w:val="20"/>
          <w:szCs w:val="32"/>
          <w:lang w:val="pt-BR"/>
        </w:rPr>
        <w:t>ria.</w:t>
      </w:r>
    </w:p>
    <w:p w:rsidR="004756C1" w:rsidRPr="002F50BD" w:rsidRDefault="004756C1">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Pr="002F50BD">
        <w:rPr>
          <w:rFonts w:ascii="Verdana" w:hAnsi="Verdana"/>
          <w:sz w:val="20"/>
          <w:lang w:val="pt-BR"/>
        </w:rPr>
        <w:t xml:space="preserve"> a </w:t>
      </w:r>
      <w:r w:rsidR="004756C1" w:rsidRPr="002F50BD">
        <w:rPr>
          <w:rFonts w:ascii="Verdana" w:hAnsi="Verdana"/>
          <w:sz w:val="20"/>
          <w:lang w:val="pt-BR"/>
        </w:rPr>
        <w:t>Corte</w:t>
      </w:r>
      <w:r w:rsidRPr="002F50BD">
        <w:rPr>
          <w:rFonts w:ascii="Verdana" w:hAnsi="Verdana"/>
          <w:sz w:val="20"/>
          <w:lang w:val="pt-BR"/>
        </w:rPr>
        <w:t xml:space="preserve"> deve estabelece</w:t>
      </w:r>
      <w:r w:rsidR="004756C1" w:rsidRPr="002F50BD">
        <w:rPr>
          <w:rFonts w:ascii="Verdana" w:hAnsi="Verdana"/>
          <w:sz w:val="20"/>
          <w:lang w:val="pt-BR"/>
        </w:rPr>
        <w:t>r</w:t>
      </w:r>
      <w:r w:rsidRPr="002F50BD">
        <w:rPr>
          <w:rFonts w:ascii="Verdana" w:hAnsi="Verdana"/>
          <w:sz w:val="20"/>
          <w:lang w:val="pt-BR"/>
        </w:rPr>
        <w:t xml:space="preserve"> se o </w:t>
      </w:r>
      <w:r w:rsidR="004756C1" w:rsidRPr="002F50BD">
        <w:rPr>
          <w:rFonts w:ascii="Verdana" w:hAnsi="Verdana"/>
          <w:sz w:val="20"/>
          <w:lang w:val="pt-BR"/>
        </w:rPr>
        <w:t xml:space="preserve">Estado </w:t>
      </w:r>
      <w:r w:rsidR="00DD2E3D" w:rsidRPr="002F50BD">
        <w:rPr>
          <w:rFonts w:ascii="Verdana" w:hAnsi="Verdana"/>
          <w:sz w:val="20"/>
          <w:szCs w:val="32"/>
          <w:lang w:val="pt-BR"/>
        </w:rPr>
        <w:t xml:space="preserve">criou </w:t>
      </w:r>
      <w:r w:rsidR="004756C1" w:rsidRPr="002F50BD">
        <w:rPr>
          <w:rFonts w:ascii="Verdana" w:hAnsi="Verdana"/>
          <w:sz w:val="20"/>
          <w:szCs w:val="32"/>
          <w:lang w:val="pt-BR"/>
        </w:rPr>
        <w:t>condi</w:t>
      </w:r>
      <w:r w:rsidRPr="002F50BD">
        <w:rPr>
          <w:rFonts w:ascii="Verdana" w:hAnsi="Verdana"/>
          <w:sz w:val="20"/>
          <w:szCs w:val="32"/>
          <w:lang w:val="pt-BR"/>
        </w:rPr>
        <w:t>ções</w:t>
      </w:r>
      <w:r w:rsidR="004756C1" w:rsidRPr="002F50BD">
        <w:rPr>
          <w:rFonts w:ascii="Verdana" w:hAnsi="Verdana"/>
          <w:sz w:val="20"/>
          <w:szCs w:val="32"/>
          <w:lang w:val="pt-BR"/>
        </w:rPr>
        <w:t xml:space="preserve"> que </w:t>
      </w:r>
      <w:r w:rsidR="00DD2E3D" w:rsidRPr="002F50BD">
        <w:rPr>
          <w:rFonts w:ascii="Verdana" w:hAnsi="Verdana"/>
          <w:sz w:val="20"/>
          <w:szCs w:val="32"/>
          <w:lang w:val="pt-BR"/>
        </w:rPr>
        <w:t>aprofundaram</w:t>
      </w:r>
      <w:r w:rsidRPr="002F50BD">
        <w:rPr>
          <w:rFonts w:ascii="Verdana" w:hAnsi="Verdana"/>
          <w:sz w:val="20"/>
          <w:szCs w:val="32"/>
          <w:lang w:val="pt-BR"/>
        </w:rPr>
        <w:t xml:space="preserve"> as dificuldades</w:t>
      </w:r>
      <w:r w:rsidR="004756C1" w:rsidRPr="002F50BD">
        <w:rPr>
          <w:rFonts w:ascii="Verdana" w:hAnsi="Verdana"/>
          <w:sz w:val="20"/>
          <w:szCs w:val="32"/>
          <w:lang w:val="pt-BR"/>
        </w:rPr>
        <w:t xml:space="preserve"> de </w:t>
      </w:r>
      <w:r w:rsidRPr="002F50BD">
        <w:rPr>
          <w:rFonts w:ascii="Verdana" w:hAnsi="Verdana"/>
          <w:sz w:val="20"/>
          <w:szCs w:val="32"/>
          <w:lang w:val="pt-BR"/>
        </w:rPr>
        <w:t>acesso</w:t>
      </w:r>
      <w:r w:rsidR="004756C1" w:rsidRPr="002F50BD">
        <w:rPr>
          <w:rFonts w:ascii="Verdana" w:hAnsi="Verdana"/>
          <w:sz w:val="20"/>
          <w:szCs w:val="32"/>
          <w:lang w:val="pt-BR"/>
        </w:rPr>
        <w:t xml:space="preserve"> a</w:t>
      </w:r>
      <w:r w:rsidRPr="002F50BD">
        <w:rPr>
          <w:rFonts w:ascii="Verdana" w:hAnsi="Verdana"/>
          <w:sz w:val="20"/>
          <w:szCs w:val="32"/>
          <w:lang w:val="pt-BR"/>
        </w:rPr>
        <w:t xml:space="preserve"> uma </w:t>
      </w:r>
      <w:r w:rsidR="004756C1" w:rsidRPr="002F50BD">
        <w:rPr>
          <w:rFonts w:ascii="Verdana" w:hAnsi="Verdana"/>
          <w:sz w:val="20"/>
          <w:szCs w:val="32"/>
          <w:lang w:val="pt-BR"/>
        </w:rPr>
        <w:t>vida digna</w:t>
      </w:r>
      <w:r w:rsidRPr="002F50BD">
        <w:rPr>
          <w:rFonts w:ascii="Verdana" w:hAnsi="Verdana"/>
          <w:sz w:val="20"/>
          <w:szCs w:val="32"/>
          <w:lang w:val="pt-BR"/>
        </w:rPr>
        <w:t xml:space="preserve"> dos membro</w:t>
      </w:r>
      <w:r w:rsidR="004756C1" w:rsidRPr="002F50BD">
        <w:rPr>
          <w:rFonts w:ascii="Verdana" w:hAnsi="Verdana"/>
          <w:sz w:val="20"/>
          <w:szCs w:val="32"/>
          <w:lang w:val="pt-BR"/>
        </w:rPr>
        <w:t>s</w:t>
      </w:r>
      <w:r w:rsidRPr="002F50BD">
        <w:rPr>
          <w:rFonts w:ascii="Verdana" w:hAnsi="Verdana"/>
          <w:sz w:val="20"/>
          <w:szCs w:val="32"/>
          <w:lang w:val="pt-BR"/>
        </w:rPr>
        <w:t xml:space="preserve"> da Comunidade </w:t>
      </w:r>
      <w:r w:rsidR="004756C1" w:rsidRPr="002F50BD">
        <w:rPr>
          <w:rFonts w:ascii="Verdana" w:hAnsi="Verdana"/>
          <w:sz w:val="20"/>
          <w:szCs w:val="32"/>
          <w:lang w:val="pt-BR"/>
        </w:rPr>
        <w:t>Yakye Axa</w:t>
      </w:r>
      <w:r w:rsidRPr="002F50BD">
        <w:rPr>
          <w:rFonts w:ascii="Verdana" w:hAnsi="Verdana"/>
          <w:sz w:val="20"/>
          <w:szCs w:val="32"/>
          <w:lang w:val="pt-BR"/>
        </w:rPr>
        <w:t xml:space="preserve"> e </w:t>
      </w:r>
      <w:r w:rsidR="004756C1" w:rsidRPr="002F50BD">
        <w:rPr>
          <w:rFonts w:ascii="Verdana" w:hAnsi="Verdana"/>
          <w:sz w:val="20"/>
          <w:szCs w:val="32"/>
          <w:lang w:val="pt-BR"/>
        </w:rPr>
        <w:t>s</w:t>
      </w:r>
      <w:r w:rsidR="00DD2E3D" w:rsidRPr="002F50BD">
        <w:rPr>
          <w:rFonts w:ascii="Verdana" w:hAnsi="Verdana"/>
          <w:sz w:val="20"/>
          <w:szCs w:val="32"/>
          <w:lang w:val="pt-BR"/>
        </w:rPr>
        <w:t>e</w:t>
      </w:r>
      <w:r w:rsidR="004756C1" w:rsidRPr="002F50BD">
        <w:rPr>
          <w:rFonts w:ascii="Verdana" w:hAnsi="Verdana"/>
          <w:sz w:val="20"/>
          <w:szCs w:val="32"/>
          <w:lang w:val="pt-BR"/>
        </w:rPr>
        <w:t>,</w:t>
      </w:r>
      <w:r w:rsidRPr="002F50BD">
        <w:rPr>
          <w:rFonts w:ascii="Verdana" w:hAnsi="Verdana"/>
          <w:sz w:val="20"/>
          <w:szCs w:val="32"/>
          <w:lang w:val="pt-BR"/>
        </w:rPr>
        <w:t xml:space="preserve"> </w:t>
      </w:r>
      <w:r w:rsidR="00FB33DD" w:rsidRPr="002F50BD">
        <w:rPr>
          <w:rFonts w:ascii="Verdana" w:hAnsi="Verdana"/>
          <w:sz w:val="20"/>
          <w:szCs w:val="32"/>
          <w:lang w:val="pt-BR"/>
        </w:rPr>
        <w:t>nesse</w:t>
      </w:r>
      <w:r w:rsidRPr="002F50BD">
        <w:rPr>
          <w:rFonts w:ascii="Verdana" w:hAnsi="Verdana"/>
          <w:sz w:val="20"/>
          <w:szCs w:val="32"/>
          <w:lang w:val="pt-BR"/>
        </w:rPr>
        <w:t xml:space="preserve"> </w:t>
      </w:r>
      <w:r w:rsidR="004756C1" w:rsidRPr="002F50BD">
        <w:rPr>
          <w:rFonts w:ascii="Verdana" w:hAnsi="Verdana"/>
          <w:sz w:val="20"/>
          <w:szCs w:val="32"/>
          <w:lang w:val="pt-BR"/>
        </w:rPr>
        <w:t xml:space="preserve">contexto, </w:t>
      </w:r>
      <w:r w:rsidRPr="002F50BD">
        <w:rPr>
          <w:rFonts w:ascii="Verdana" w:hAnsi="Verdana"/>
          <w:sz w:val="20"/>
          <w:szCs w:val="32"/>
          <w:lang w:val="pt-BR"/>
        </w:rPr>
        <w:t xml:space="preserve">adotou as </w:t>
      </w:r>
      <w:r w:rsidR="004756C1" w:rsidRPr="002F50BD">
        <w:rPr>
          <w:rFonts w:ascii="Verdana" w:hAnsi="Verdana"/>
          <w:sz w:val="20"/>
          <w:szCs w:val="32"/>
          <w:lang w:val="pt-BR"/>
        </w:rPr>
        <w:t xml:space="preserve">medidas positivas </w:t>
      </w:r>
      <w:r w:rsidRPr="002F50BD">
        <w:rPr>
          <w:rFonts w:ascii="Verdana" w:hAnsi="Verdana"/>
          <w:sz w:val="20"/>
          <w:szCs w:val="32"/>
          <w:lang w:val="pt-BR"/>
        </w:rPr>
        <w:t>apropriad</w:t>
      </w:r>
      <w:r w:rsidR="004756C1" w:rsidRPr="002F50BD">
        <w:rPr>
          <w:rFonts w:ascii="Verdana" w:hAnsi="Verdana"/>
          <w:sz w:val="20"/>
          <w:szCs w:val="32"/>
          <w:lang w:val="pt-BR"/>
        </w:rPr>
        <w:t xml:space="preserve">as para </w:t>
      </w:r>
      <w:r w:rsidRPr="002F50BD">
        <w:rPr>
          <w:rFonts w:ascii="Verdana" w:hAnsi="Verdana"/>
          <w:sz w:val="20"/>
          <w:szCs w:val="32"/>
          <w:lang w:val="pt-BR"/>
        </w:rPr>
        <w:t>satisfazer essa obrigação</w:t>
      </w:r>
      <w:r w:rsidR="004756C1" w:rsidRPr="002F50BD">
        <w:rPr>
          <w:rFonts w:ascii="Verdana" w:hAnsi="Verdana"/>
          <w:sz w:val="20"/>
          <w:lang w:val="pt-BR"/>
        </w:rPr>
        <w:t>, que tome</w:t>
      </w:r>
      <w:r w:rsidR="00DD2E3D" w:rsidRPr="002F50BD">
        <w:rPr>
          <w:rFonts w:ascii="Verdana" w:hAnsi="Verdana"/>
          <w:sz w:val="20"/>
          <w:lang w:val="pt-BR"/>
        </w:rPr>
        <w:t>m</w:t>
      </w:r>
      <w:r w:rsidRPr="002F50BD">
        <w:rPr>
          <w:rFonts w:ascii="Verdana" w:hAnsi="Verdana"/>
          <w:sz w:val="20"/>
          <w:lang w:val="pt-BR"/>
        </w:rPr>
        <w:t xml:space="preserve"> em </w:t>
      </w:r>
      <w:r w:rsidR="00DD2E3D" w:rsidRPr="002F50BD">
        <w:rPr>
          <w:rFonts w:ascii="Verdana" w:hAnsi="Verdana"/>
          <w:sz w:val="20"/>
          <w:lang w:val="pt-BR"/>
        </w:rPr>
        <w:t xml:space="preserve">consideração </w:t>
      </w:r>
      <w:r w:rsidRPr="002F50BD">
        <w:rPr>
          <w:rFonts w:ascii="Verdana" w:hAnsi="Verdana"/>
          <w:sz w:val="20"/>
          <w:lang w:val="pt-BR"/>
        </w:rPr>
        <w:t xml:space="preserve">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especial </w:t>
      </w:r>
      <w:r w:rsidRPr="002F50BD">
        <w:rPr>
          <w:rFonts w:ascii="Verdana" w:hAnsi="Verdana"/>
          <w:sz w:val="20"/>
          <w:lang w:val="pt-BR"/>
        </w:rPr>
        <w:t xml:space="preserve">vulnerabilidade à </w:t>
      </w:r>
      <w:r w:rsidR="004756C1" w:rsidRPr="002F50BD">
        <w:rPr>
          <w:rFonts w:ascii="Verdana" w:hAnsi="Verdana"/>
          <w:sz w:val="20"/>
          <w:lang w:val="pt-BR"/>
        </w:rPr>
        <w:t xml:space="preserve">que </w:t>
      </w:r>
      <w:r w:rsidRPr="002F50BD">
        <w:rPr>
          <w:rFonts w:ascii="Verdana" w:hAnsi="Verdana"/>
          <w:sz w:val="20"/>
          <w:lang w:val="pt-BR"/>
        </w:rPr>
        <w:t>foram lev</w:t>
      </w:r>
      <w:r w:rsidR="004756C1" w:rsidRPr="002F50BD">
        <w:rPr>
          <w:rFonts w:ascii="Verdana" w:hAnsi="Verdana"/>
          <w:sz w:val="20"/>
          <w:lang w:val="pt-BR"/>
        </w:rPr>
        <w:t xml:space="preserve">ados, </w:t>
      </w:r>
      <w:r w:rsidRPr="002F50BD">
        <w:rPr>
          <w:rFonts w:ascii="Verdana" w:hAnsi="Verdana"/>
          <w:sz w:val="20"/>
          <w:lang w:val="pt-BR"/>
        </w:rPr>
        <w:t>afeta</w:t>
      </w:r>
      <w:r w:rsidR="004756C1" w:rsidRPr="002F50BD">
        <w:rPr>
          <w:rFonts w:ascii="Verdana" w:hAnsi="Verdana"/>
          <w:sz w:val="20"/>
          <w:lang w:val="pt-BR"/>
        </w:rPr>
        <w:t>ndo</w:t>
      </w:r>
      <w:r w:rsidR="004756C1" w:rsidRPr="002F50BD">
        <w:rPr>
          <w:rFonts w:ascii="Verdana" w:hAnsi="Verdana"/>
          <w:sz w:val="20"/>
          <w:szCs w:val="32"/>
          <w:lang w:val="pt-BR"/>
        </w:rPr>
        <w:t xml:space="preserve"> </w:t>
      </w:r>
      <w:r w:rsidRPr="002F50BD">
        <w:rPr>
          <w:rFonts w:ascii="Verdana" w:hAnsi="Verdana"/>
          <w:sz w:val="20"/>
          <w:szCs w:val="32"/>
          <w:lang w:val="pt-BR"/>
        </w:rPr>
        <w:t>sua forma</w:t>
      </w:r>
      <w:r w:rsidR="004756C1" w:rsidRPr="002F50BD">
        <w:rPr>
          <w:rFonts w:ascii="Verdana" w:hAnsi="Verdana"/>
          <w:sz w:val="20"/>
          <w:szCs w:val="32"/>
          <w:lang w:val="pt-BR"/>
        </w:rPr>
        <w:t xml:space="preserve"> de vida diferente </w:t>
      </w:r>
      <w:r w:rsidR="00CF451D" w:rsidRPr="00CF451D">
        <w:rPr>
          <w:rFonts w:ascii="Verdana" w:hAnsi="Verdana"/>
          <w:sz w:val="20"/>
          <w:szCs w:val="32"/>
          <w:lang w:val="pt-BR"/>
        </w:rPr>
        <w:t>(</w:t>
      </w:r>
      <w:r w:rsidR="004756C1" w:rsidRPr="002F50BD">
        <w:rPr>
          <w:rFonts w:ascii="Verdana" w:hAnsi="Verdana"/>
          <w:sz w:val="20"/>
          <w:szCs w:val="32"/>
          <w:lang w:val="pt-BR"/>
        </w:rPr>
        <w:t xml:space="preserve">sistemas de </w:t>
      </w:r>
      <w:r w:rsidRPr="002F50BD">
        <w:rPr>
          <w:rFonts w:ascii="Verdana" w:hAnsi="Verdana"/>
          <w:sz w:val="20"/>
          <w:szCs w:val="32"/>
          <w:lang w:val="pt-BR"/>
        </w:rPr>
        <w:t>compreensão</w:t>
      </w:r>
      <w:r w:rsidR="004756C1" w:rsidRPr="002F50BD">
        <w:rPr>
          <w:rFonts w:ascii="Verdana" w:hAnsi="Verdana"/>
          <w:sz w:val="20"/>
          <w:szCs w:val="32"/>
          <w:lang w:val="pt-BR"/>
        </w:rPr>
        <w:t xml:space="preserve"> </w:t>
      </w:r>
      <w:r w:rsidRPr="002F50BD">
        <w:rPr>
          <w:rFonts w:ascii="Verdana" w:hAnsi="Verdana"/>
          <w:sz w:val="20"/>
          <w:szCs w:val="32"/>
          <w:lang w:val="pt-BR"/>
        </w:rPr>
        <w:t xml:space="preserve">do </w:t>
      </w:r>
      <w:r w:rsidR="004756C1" w:rsidRPr="002F50BD">
        <w:rPr>
          <w:rFonts w:ascii="Verdana" w:hAnsi="Verdana"/>
          <w:sz w:val="20"/>
          <w:szCs w:val="32"/>
          <w:lang w:val="pt-BR"/>
        </w:rPr>
        <w:t>mundo diferentes</w:t>
      </w:r>
      <w:r w:rsidRPr="002F50BD">
        <w:rPr>
          <w:rFonts w:ascii="Verdana" w:hAnsi="Verdana"/>
          <w:sz w:val="20"/>
          <w:szCs w:val="32"/>
          <w:lang w:val="pt-BR"/>
        </w:rPr>
        <w:t xml:space="preserve"> dos da </w:t>
      </w:r>
      <w:r w:rsidR="004756C1" w:rsidRPr="002F50BD">
        <w:rPr>
          <w:rFonts w:ascii="Verdana" w:hAnsi="Verdana"/>
          <w:sz w:val="20"/>
          <w:szCs w:val="32"/>
          <w:lang w:val="pt-BR"/>
        </w:rPr>
        <w:t>cultura ocidental, que compr</w:t>
      </w:r>
      <w:r w:rsidR="00DD2E3D" w:rsidRPr="002F50BD">
        <w:rPr>
          <w:rFonts w:ascii="Verdana" w:hAnsi="Verdana"/>
          <w:sz w:val="20"/>
          <w:szCs w:val="32"/>
          <w:lang w:val="pt-BR"/>
        </w:rPr>
        <w:t>e</w:t>
      </w:r>
      <w:r w:rsidR="004756C1" w:rsidRPr="002F50BD">
        <w:rPr>
          <w:rFonts w:ascii="Verdana" w:hAnsi="Verdana"/>
          <w:sz w:val="20"/>
          <w:szCs w:val="32"/>
          <w:lang w:val="pt-BR"/>
        </w:rPr>
        <w:t>en</w:t>
      </w:r>
      <w:r w:rsidRPr="002F50BD">
        <w:rPr>
          <w:rFonts w:ascii="Verdana" w:hAnsi="Verdana"/>
          <w:sz w:val="20"/>
          <w:szCs w:val="32"/>
          <w:lang w:val="pt-BR"/>
        </w:rPr>
        <w:t>d</w:t>
      </w:r>
      <w:r w:rsidR="00DD2E3D" w:rsidRPr="002F50BD">
        <w:rPr>
          <w:rFonts w:ascii="Verdana" w:hAnsi="Verdana"/>
          <w:sz w:val="20"/>
          <w:szCs w:val="32"/>
          <w:lang w:val="pt-BR"/>
        </w:rPr>
        <w:t xml:space="preserve">e </w:t>
      </w:r>
      <w:r w:rsidRPr="002F50BD">
        <w:rPr>
          <w:rFonts w:ascii="Verdana" w:hAnsi="Verdana"/>
          <w:sz w:val="20"/>
          <w:szCs w:val="32"/>
          <w:lang w:val="pt-BR"/>
        </w:rPr>
        <w:t>a estreit</w:t>
      </w:r>
      <w:r w:rsidR="004756C1" w:rsidRPr="002F50BD">
        <w:rPr>
          <w:rFonts w:ascii="Verdana" w:hAnsi="Verdana"/>
          <w:sz w:val="20"/>
          <w:szCs w:val="32"/>
          <w:lang w:val="pt-BR"/>
        </w:rPr>
        <w:t>a rela</w:t>
      </w:r>
      <w:r w:rsidRPr="002F50BD">
        <w:rPr>
          <w:rFonts w:ascii="Verdana" w:hAnsi="Verdana"/>
          <w:sz w:val="20"/>
          <w:szCs w:val="32"/>
          <w:lang w:val="pt-BR"/>
        </w:rPr>
        <w:t>ção</w:t>
      </w:r>
      <w:r w:rsidR="004756C1" w:rsidRPr="002F50BD">
        <w:rPr>
          <w:rFonts w:ascii="Verdana" w:hAnsi="Verdana"/>
          <w:sz w:val="20"/>
          <w:szCs w:val="32"/>
          <w:lang w:val="pt-BR"/>
        </w:rPr>
        <w:t xml:space="preserve"> que man</w:t>
      </w:r>
      <w:r w:rsidRPr="002F50BD">
        <w:rPr>
          <w:rFonts w:ascii="Verdana" w:hAnsi="Verdana"/>
          <w:sz w:val="20"/>
          <w:szCs w:val="32"/>
          <w:lang w:val="pt-BR"/>
        </w:rPr>
        <w:t>têm com a terra</w:t>
      </w:r>
      <w:r w:rsidR="00CF451D" w:rsidRPr="00CF451D">
        <w:rPr>
          <w:rFonts w:ascii="Verdana" w:hAnsi="Verdana"/>
          <w:sz w:val="20"/>
          <w:szCs w:val="32"/>
          <w:lang w:val="pt-BR"/>
        </w:rPr>
        <w:t>)</w:t>
      </w:r>
      <w:r w:rsidRPr="002F50BD">
        <w:rPr>
          <w:rFonts w:ascii="Verdana" w:hAnsi="Verdana"/>
          <w:sz w:val="20"/>
          <w:szCs w:val="32"/>
          <w:lang w:val="pt-BR"/>
        </w:rPr>
        <w:t xml:space="preserve"> e seu projeto</w:t>
      </w:r>
      <w:r w:rsidR="004756C1" w:rsidRPr="002F50BD">
        <w:rPr>
          <w:rFonts w:ascii="Verdana" w:hAnsi="Verdana"/>
          <w:sz w:val="20"/>
          <w:szCs w:val="32"/>
          <w:lang w:val="pt-BR"/>
        </w:rPr>
        <w:t xml:space="preserve"> de vida,</w:t>
      </w:r>
      <w:r w:rsidRPr="002F50BD">
        <w:rPr>
          <w:rFonts w:ascii="Verdana" w:hAnsi="Verdana"/>
          <w:sz w:val="20"/>
          <w:lang w:val="pt-BR"/>
        </w:rPr>
        <w:t xml:space="preserve"> em </w:t>
      </w:r>
      <w:r w:rsidR="004756C1" w:rsidRPr="002F50BD">
        <w:rPr>
          <w:rFonts w:ascii="Verdana" w:hAnsi="Verdana"/>
          <w:sz w:val="20"/>
          <w:lang w:val="pt-BR"/>
        </w:rPr>
        <w:t>su</w:t>
      </w:r>
      <w:r w:rsidR="00DD2E3D"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 xml:space="preserve">dimensão </w:t>
      </w:r>
      <w:r w:rsidR="004756C1" w:rsidRPr="002F50BD">
        <w:rPr>
          <w:rFonts w:ascii="Verdana" w:hAnsi="Verdana"/>
          <w:sz w:val="20"/>
          <w:lang w:val="pt-BR"/>
        </w:rPr>
        <w:t>individual</w:t>
      </w:r>
      <w:r w:rsidRPr="002F50BD">
        <w:rPr>
          <w:rFonts w:ascii="Verdana" w:hAnsi="Verdana"/>
          <w:sz w:val="20"/>
          <w:lang w:val="pt-BR"/>
        </w:rPr>
        <w:t xml:space="preserve"> e coletiv</w:t>
      </w:r>
      <w:r w:rsidR="004756C1" w:rsidRPr="002F50BD">
        <w:rPr>
          <w:rFonts w:ascii="Verdana" w:hAnsi="Verdana"/>
          <w:sz w:val="20"/>
          <w:lang w:val="pt-BR"/>
        </w:rPr>
        <w:t>a,</w:t>
      </w:r>
      <w:r w:rsidRPr="002F50BD">
        <w:rPr>
          <w:rFonts w:ascii="Verdana" w:hAnsi="Verdana"/>
          <w:sz w:val="20"/>
          <w:lang w:val="pt-BR"/>
        </w:rPr>
        <w:t xml:space="preserve"> à </w:t>
      </w:r>
      <w:r w:rsidR="004756C1" w:rsidRPr="002F50BD">
        <w:rPr>
          <w:rFonts w:ascii="Verdana" w:hAnsi="Verdana"/>
          <w:sz w:val="20"/>
          <w:szCs w:val="32"/>
          <w:lang w:val="pt-BR"/>
        </w:rPr>
        <w:t xml:space="preserve">luz </w:t>
      </w:r>
      <w:r w:rsidRPr="002F50BD">
        <w:rPr>
          <w:rFonts w:ascii="Verdana" w:hAnsi="Verdana"/>
          <w:sz w:val="20"/>
          <w:szCs w:val="32"/>
          <w:lang w:val="pt-BR"/>
        </w:rPr>
        <w:t xml:space="preserve">do </w:t>
      </w:r>
      <w:r w:rsidR="004756C1" w:rsidRPr="002F50BD">
        <w:rPr>
          <w:rFonts w:ascii="Verdana" w:hAnsi="Verdana"/>
          <w:i/>
          <w:sz w:val="20"/>
          <w:lang w:val="pt-BR"/>
        </w:rPr>
        <w:t>corpus juris</w:t>
      </w:r>
      <w:r w:rsidR="004756C1" w:rsidRPr="002F50BD">
        <w:rPr>
          <w:rFonts w:ascii="Verdana" w:hAnsi="Verdana"/>
          <w:sz w:val="20"/>
          <w:lang w:val="pt-BR"/>
        </w:rPr>
        <w:t xml:space="preserve"> internacional </w:t>
      </w:r>
      <w:r w:rsidR="00AB454A" w:rsidRPr="002F50BD">
        <w:rPr>
          <w:rFonts w:ascii="Verdana" w:hAnsi="Verdana"/>
          <w:sz w:val="20"/>
          <w:lang w:val="pt-BR"/>
        </w:rPr>
        <w:t>existente</w:t>
      </w:r>
      <w:r w:rsidR="004756C1" w:rsidRPr="002F50BD">
        <w:rPr>
          <w:rFonts w:ascii="Verdana" w:hAnsi="Verdana"/>
          <w:sz w:val="20"/>
          <w:lang w:val="pt-BR"/>
        </w:rPr>
        <w:t xml:space="preserve"> sobre</w:t>
      </w:r>
      <w:r w:rsidRPr="002F50BD">
        <w:rPr>
          <w:rFonts w:ascii="Verdana" w:hAnsi="Verdana"/>
          <w:sz w:val="20"/>
          <w:lang w:val="pt-BR"/>
        </w:rPr>
        <w:t xml:space="preserve"> a proteção</w:t>
      </w:r>
      <w:r w:rsidR="004756C1" w:rsidRPr="002F50BD">
        <w:rPr>
          <w:rFonts w:ascii="Verdana" w:hAnsi="Verdana"/>
          <w:sz w:val="20"/>
          <w:lang w:val="pt-BR"/>
        </w:rPr>
        <w:t xml:space="preserve"> especial que </w:t>
      </w:r>
      <w:r w:rsidR="00AB454A" w:rsidRPr="002F50BD">
        <w:rPr>
          <w:rFonts w:ascii="Verdana" w:hAnsi="Verdana"/>
          <w:sz w:val="20"/>
          <w:lang w:val="pt-BR"/>
        </w:rPr>
        <w:t>requer</w:t>
      </w:r>
      <w:r w:rsidR="00DD2E3D" w:rsidRPr="002F50BD">
        <w:rPr>
          <w:rFonts w:ascii="Verdana" w:hAnsi="Verdana"/>
          <w:sz w:val="20"/>
          <w:lang w:val="pt-BR"/>
        </w:rPr>
        <w:t>em</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comunidades indígenas,</w:t>
      </w:r>
      <w:r w:rsidRPr="002F50BD">
        <w:rPr>
          <w:rFonts w:ascii="Verdana" w:hAnsi="Verdana"/>
          <w:sz w:val="20"/>
          <w:lang w:val="pt-BR"/>
        </w:rPr>
        <w:t xml:space="preserve"> à </w:t>
      </w:r>
      <w:r w:rsidR="004756C1" w:rsidRPr="002F50BD">
        <w:rPr>
          <w:rFonts w:ascii="Verdana" w:hAnsi="Verdana"/>
          <w:sz w:val="20"/>
          <w:lang w:val="pt-BR"/>
        </w:rPr>
        <w:t>luz</w:t>
      </w:r>
      <w:r w:rsidRPr="002F50BD">
        <w:rPr>
          <w:rFonts w:ascii="Verdana" w:hAnsi="Verdana"/>
          <w:sz w:val="20"/>
          <w:lang w:val="pt-BR"/>
        </w:rPr>
        <w:t xml:space="preserve"> do expost</w:t>
      </w:r>
      <w:r w:rsidR="004756C1" w:rsidRPr="002F50BD">
        <w:rPr>
          <w:rFonts w:ascii="Verdana" w:hAnsi="Verdana"/>
          <w:sz w:val="20"/>
          <w:lang w:val="pt-BR"/>
        </w:rPr>
        <w:t>o</w:t>
      </w:r>
      <w:r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4</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rela</w:t>
      </w:r>
      <w:r w:rsidRPr="002F50BD">
        <w:rPr>
          <w:rFonts w:ascii="Verdana" w:hAnsi="Verdana"/>
          <w:sz w:val="20"/>
          <w:lang w:val="pt-BR"/>
        </w:rPr>
        <w:t xml:space="preserve">ção </w:t>
      </w:r>
      <w:r w:rsidR="00DD2E3D" w:rsidRPr="002F50BD">
        <w:rPr>
          <w:rFonts w:ascii="Verdana" w:hAnsi="Verdana"/>
          <w:sz w:val="20"/>
          <w:lang w:val="pt-BR"/>
        </w:rPr>
        <w:t>a</w:t>
      </w:r>
      <w:r w:rsidRPr="002F50BD">
        <w:rPr>
          <w:rFonts w:ascii="Verdana" w:hAnsi="Verdana"/>
          <w:sz w:val="20"/>
          <w:lang w:val="pt-BR"/>
        </w:rPr>
        <w:t>o dever</w:t>
      </w:r>
      <w:r w:rsidR="004756C1" w:rsidRPr="002F50BD">
        <w:rPr>
          <w:rFonts w:ascii="Verdana" w:hAnsi="Verdana"/>
          <w:sz w:val="20"/>
          <w:lang w:val="pt-BR"/>
        </w:rPr>
        <w:t xml:space="preserve"> </w:t>
      </w:r>
      <w:r w:rsidRPr="002F50BD">
        <w:rPr>
          <w:rFonts w:ascii="Verdana" w:hAnsi="Verdana"/>
          <w:sz w:val="20"/>
          <w:lang w:val="pt-BR"/>
        </w:rPr>
        <w:t>geral</w:t>
      </w:r>
      <w:r w:rsidR="004756C1" w:rsidRPr="002F50BD">
        <w:rPr>
          <w:rFonts w:ascii="Verdana" w:hAnsi="Verdana"/>
          <w:sz w:val="20"/>
          <w:lang w:val="pt-BR"/>
        </w:rPr>
        <w:t xml:space="preserve"> de </w:t>
      </w:r>
      <w:r w:rsidRPr="002F50BD">
        <w:rPr>
          <w:rFonts w:ascii="Verdana" w:hAnsi="Verdana"/>
          <w:sz w:val="20"/>
          <w:lang w:val="pt-BR"/>
        </w:rPr>
        <w:t>garantia cont</w:t>
      </w:r>
      <w:r w:rsidR="00DD2E3D" w:rsidRPr="002F50BD">
        <w:rPr>
          <w:rFonts w:ascii="Verdana" w:hAnsi="Verdana"/>
          <w:sz w:val="20"/>
          <w:lang w:val="pt-BR"/>
        </w:rPr>
        <w:t>i</w:t>
      </w:r>
      <w:r w:rsidRPr="002F50BD">
        <w:rPr>
          <w:rFonts w:ascii="Verdana" w:hAnsi="Verdana"/>
          <w:sz w:val="20"/>
          <w:lang w:val="pt-BR"/>
        </w:rPr>
        <w:t>do no artigo</w:t>
      </w:r>
      <w:r w:rsidR="004756C1" w:rsidRPr="002F50BD">
        <w:rPr>
          <w:rFonts w:ascii="Verdana" w:hAnsi="Verdana"/>
          <w:sz w:val="20"/>
          <w:lang w:val="pt-BR"/>
        </w:rPr>
        <w:t xml:space="preserve">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e </w:t>
      </w:r>
      <w:r w:rsidR="00FC6B22" w:rsidRPr="002F50BD">
        <w:rPr>
          <w:rFonts w:ascii="Verdana" w:hAnsi="Verdana"/>
          <w:sz w:val="20"/>
          <w:lang w:val="pt-BR"/>
        </w:rPr>
        <w:t>a</w:t>
      </w:r>
      <w:r w:rsidRPr="002F50BD">
        <w:rPr>
          <w:rFonts w:ascii="Verdana" w:hAnsi="Verdana"/>
          <w:sz w:val="20"/>
          <w:lang w:val="pt-BR"/>
        </w:rPr>
        <w:t>o dever</w:t>
      </w:r>
      <w:r w:rsidR="004756C1" w:rsidRPr="002F50BD">
        <w:rPr>
          <w:rFonts w:ascii="Verdana" w:hAnsi="Verdana"/>
          <w:sz w:val="20"/>
          <w:lang w:val="pt-BR"/>
        </w:rPr>
        <w:t xml:space="preserve"> de </w:t>
      </w:r>
      <w:r w:rsidRPr="002F50BD">
        <w:rPr>
          <w:rFonts w:ascii="Verdana" w:hAnsi="Verdana"/>
          <w:sz w:val="20"/>
          <w:lang w:val="pt-BR"/>
        </w:rPr>
        <w:t>desenvolvimento</w:t>
      </w:r>
      <w:r w:rsidR="004756C1" w:rsidRPr="002F50BD">
        <w:rPr>
          <w:rFonts w:ascii="Verdana" w:hAnsi="Verdana"/>
          <w:sz w:val="20"/>
          <w:lang w:val="pt-BR"/>
        </w:rPr>
        <w:t xml:space="preserve"> </w:t>
      </w:r>
      <w:r w:rsidRPr="002F50BD">
        <w:rPr>
          <w:rFonts w:ascii="Verdana" w:hAnsi="Verdana"/>
          <w:sz w:val="20"/>
          <w:lang w:val="pt-BR"/>
        </w:rPr>
        <w:t>progressiv</w:t>
      </w:r>
      <w:r w:rsidR="004756C1" w:rsidRPr="002F50BD">
        <w:rPr>
          <w:rFonts w:ascii="Verdana" w:hAnsi="Verdana"/>
          <w:sz w:val="20"/>
          <w:lang w:val="pt-BR"/>
        </w:rPr>
        <w:t xml:space="preserve">o </w:t>
      </w:r>
      <w:r w:rsidRPr="002F50BD">
        <w:rPr>
          <w:rFonts w:ascii="Verdana" w:hAnsi="Verdana"/>
          <w:sz w:val="20"/>
          <w:lang w:val="pt-BR"/>
        </w:rPr>
        <w:t>cont</w:t>
      </w:r>
      <w:r w:rsidR="00DD2E3D" w:rsidRPr="002F50BD">
        <w:rPr>
          <w:rFonts w:ascii="Verdana" w:hAnsi="Verdana"/>
          <w:sz w:val="20"/>
          <w:lang w:val="pt-BR"/>
        </w:rPr>
        <w:t>i</w:t>
      </w:r>
      <w:r w:rsidRPr="002F50BD">
        <w:rPr>
          <w:rFonts w:ascii="Verdana" w:hAnsi="Verdana"/>
          <w:sz w:val="20"/>
          <w:lang w:val="pt-BR"/>
        </w:rPr>
        <w:t>do no artigo</w:t>
      </w:r>
      <w:r w:rsidR="004756C1" w:rsidRPr="002F50BD">
        <w:rPr>
          <w:rFonts w:ascii="Verdana" w:hAnsi="Verdana"/>
          <w:sz w:val="20"/>
          <w:lang w:val="pt-BR"/>
        </w:rPr>
        <w:t xml:space="preserve"> </w:t>
      </w:r>
      <w:r w:rsidR="00063B47" w:rsidRPr="002F50BD">
        <w:rPr>
          <w:rFonts w:ascii="Verdana" w:hAnsi="Verdana"/>
          <w:sz w:val="20"/>
          <w:lang w:val="pt-BR"/>
        </w:rPr>
        <w:t>26</w:t>
      </w:r>
      <w:r w:rsidRPr="002F50BD">
        <w:rPr>
          <w:rFonts w:ascii="Verdana" w:hAnsi="Verdana"/>
          <w:sz w:val="20"/>
          <w:lang w:val="pt-BR"/>
        </w:rPr>
        <w:t xml:space="preserve"> da mesm</w:t>
      </w:r>
      <w:r w:rsidR="004756C1" w:rsidRPr="002F50BD">
        <w:rPr>
          <w:rFonts w:ascii="Verdana" w:hAnsi="Verdana"/>
          <w:sz w:val="20"/>
          <w:lang w:val="pt-BR"/>
        </w:rPr>
        <w:t>a</w:t>
      </w:r>
      <w:r w:rsidR="00FC6B22" w:rsidRPr="002F50BD">
        <w:rPr>
          <w:rFonts w:ascii="Verdana" w:hAnsi="Verdana"/>
          <w:sz w:val="20"/>
          <w:lang w:val="pt-BR"/>
        </w:rPr>
        <w:t>, e a</w:t>
      </w:r>
      <w:r w:rsidRPr="002F50BD">
        <w:rPr>
          <w:rFonts w:ascii="Verdana" w:hAnsi="Verdana"/>
          <w:sz w:val="20"/>
          <w:lang w:val="pt-BR"/>
        </w:rPr>
        <w:t xml:space="preserve">os </w:t>
      </w:r>
      <w:r w:rsidRPr="002F50BD">
        <w:rPr>
          <w:rFonts w:ascii="Verdana" w:hAnsi="Verdana"/>
          <w:sz w:val="20"/>
          <w:szCs w:val="32"/>
          <w:lang w:val="pt-BR"/>
        </w:rPr>
        <w:t>artigo</w:t>
      </w:r>
      <w:r w:rsidR="004756C1" w:rsidRPr="002F50BD">
        <w:rPr>
          <w:rFonts w:ascii="Verdana" w:hAnsi="Verdana"/>
          <w:sz w:val="20"/>
          <w:szCs w:val="32"/>
          <w:lang w:val="pt-BR"/>
        </w:rPr>
        <w:t xml:space="preserve">s </w:t>
      </w:r>
      <w:r w:rsidR="00063B47" w:rsidRPr="002F50BD">
        <w:rPr>
          <w:rFonts w:ascii="Verdana" w:hAnsi="Verdana"/>
          <w:sz w:val="20"/>
          <w:szCs w:val="32"/>
          <w:lang w:val="pt-BR"/>
        </w:rPr>
        <w:t>10</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Pr="002F50BD">
        <w:rPr>
          <w:rFonts w:ascii="Verdana" w:hAnsi="Verdana"/>
          <w:sz w:val="20"/>
          <w:szCs w:val="32"/>
          <w:lang w:val="pt-BR"/>
        </w:rPr>
        <w:t>Direito à Saúde</w:t>
      </w:r>
      <w:r w:rsidR="00CF451D" w:rsidRPr="00CF451D">
        <w:rPr>
          <w:rFonts w:ascii="Verdana" w:hAnsi="Verdana"/>
          <w:sz w:val="20"/>
          <w:szCs w:val="32"/>
          <w:lang w:val="pt-BR"/>
        </w:rPr>
        <w:t>)</w:t>
      </w:r>
      <w:r w:rsidR="004756C1" w:rsidRPr="002F50BD">
        <w:rPr>
          <w:rFonts w:ascii="Verdana" w:hAnsi="Verdana"/>
          <w:sz w:val="20"/>
          <w:szCs w:val="32"/>
          <w:lang w:val="pt-BR"/>
        </w:rPr>
        <w:t xml:space="preserve">; </w:t>
      </w:r>
      <w:r w:rsidR="00063B47" w:rsidRPr="002F50BD">
        <w:rPr>
          <w:rFonts w:ascii="Verdana" w:hAnsi="Verdana"/>
          <w:sz w:val="20"/>
          <w:szCs w:val="32"/>
          <w:lang w:val="pt-BR"/>
        </w:rPr>
        <w:t>11</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Pr="002F50BD">
        <w:rPr>
          <w:rFonts w:ascii="Verdana" w:hAnsi="Verdana"/>
          <w:sz w:val="20"/>
          <w:szCs w:val="32"/>
          <w:lang w:val="pt-BR"/>
        </w:rPr>
        <w:t>Direito</w:t>
      </w:r>
      <w:r w:rsidR="004756C1" w:rsidRPr="002F50BD">
        <w:rPr>
          <w:rFonts w:ascii="Verdana" w:hAnsi="Verdana"/>
          <w:sz w:val="20"/>
          <w:szCs w:val="32"/>
          <w:lang w:val="pt-BR"/>
        </w:rPr>
        <w:t xml:space="preserve"> a</w:t>
      </w:r>
      <w:r w:rsidRPr="002F50BD">
        <w:rPr>
          <w:rFonts w:ascii="Verdana" w:hAnsi="Verdana"/>
          <w:sz w:val="20"/>
          <w:szCs w:val="32"/>
          <w:lang w:val="pt-BR"/>
        </w:rPr>
        <w:t xml:space="preserve"> um Meio </w:t>
      </w:r>
      <w:r w:rsidR="004756C1" w:rsidRPr="002F50BD">
        <w:rPr>
          <w:rFonts w:ascii="Verdana" w:hAnsi="Verdana"/>
          <w:sz w:val="20"/>
          <w:szCs w:val="32"/>
          <w:lang w:val="pt-BR"/>
        </w:rPr>
        <w:t>Ambiente Sa</w:t>
      </w:r>
      <w:r w:rsidR="00DD2E3D" w:rsidRPr="002F50BD">
        <w:rPr>
          <w:rFonts w:ascii="Verdana" w:hAnsi="Verdana"/>
          <w:sz w:val="20"/>
          <w:szCs w:val="32"/>
          <w:lang w:val="pt-BR"/>
        </w:rPr>
        <w:t>di</w:t>
      </w:r>
      <w:r w:rsidR="004756C1" w:rsidRPr="002F50BD">
        <w:rPr>
          <w:rFonts w:ascii="Verdana" w:hAnsi="Verdana"/>
          <w:sz w:val="20"/>
          <w:szCs w:val="32"/>
          <w:lang w:val="pt-BR"/>
        </w:rPr>
        <w:t>o</w:t>
      </w:r>
      <w:r w:rsidR="00CF451D" w:rsidRPr="00CF451D">
        <w:rPr>
          <w:rFonts w:ascii="Verdana" w:hAnsi="Verdana"/>
          <w:sz w:val="20"/>
          <w:szCs w:val="32"/>
          <w:lang w:val="pt-BR"/>
        </w:rPr>
        <w:t>)</w:t>
      </w:r>
      <w:r w:rsidR="004756C1" w:rsidRPr="002F50BD">
        <w:rPr>
          <w:rFonts w:ascii="Verdana" w:hAnsi="Verdana"/>
          <w:sz w:val="20"/>
          <w:szCs w:val="32"/>
          <w:lang w:val="pt-BR"/>
        </w:rPr>
        <w:t xml:space="preserve">; </w:t>
      </w:r>
      <w:r w:rsidR="00063B47" w:rsidRPr="002F50BD">
        <w:rPr>
          <w:rFonts w:ascii="Verdana" w:hAnsi="Verdana"/>
          <w:sz w:val="20"/>
          <w:szCs w:val="32"/>
          <w:lang w:val="pt-BR"/>
        </w:rPr>
        <w:t>12</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Pr="002F50BD">
        <w:rPr>
          <w:rFonts w:ascii="Verdana" w:hAnsi="Verdana"/>
          <w:sz w:val="20"/>
          <w:szCs w:val="32"/>
          <w:lang w:val="pt-BR"/>
        </w:rPr>
        <w:t xml:space="preserve">Direito à </w:t>
      </w:r>
      <w:r w:rsidR="004756C1" w:rsidRPr="002F50BD">
        <w:rPr>
          <w:rFonts w:ascii="Verdana" w:hAnsi="Verdana"/>
          <w:sz w:val="20"/>
          <w:szCs w:val="32"/>
          <w:lang w:val="pt-BR"/>
        </w:rPr>
        <w:t>Alimenta</w:t>
      </w:r>
      <w:r w:rsidRPr="002F50BD">
        <w:rPr>
          <w:rFonts w:ascii="Verdana" w:hAnsi="Verdana"/>
          <w:sz w:val="20"/>
          <w:szCs w:val="32"/>
          <w:lang w:val="pt-BR"/>
        </w:rPr>
        <w:t>ção</w:t>
      </w:r>
      <w:r w:rsidR="00CF451D" w:rsidRPr="00CF451D">
        <w:rPr>
          <w:rFonts w:ascii="Verdana" w:hAnsi="Verdana"/>
          <w:sz w:val="20"/>
          <w:szCs w:val="32"/>
          <w:lang w:val="pt-BR"/>
        </w:rPr>
        <w:t>)</w:t>
      </w:r>
      <w:r w:rsidR="004756C1" w:rsidRPr="002F50BD">
        <w:rPr>
          <w:rFonts w:ascii="Verdana" w:hAnsi="Verdana"/>
          <w:sz w:val="20"/>
          <w:szCs w:val="32"/>
          <w:lang w:val="pt-BR"/>
        </w:rPr>
        <w:t xml:space="preserve">; </w:t>
      </w:r>
      <w:r w:rsidR="00063B47" w:rsidRPr="002F50BD">
        <w:rPr>
          <w:rFonts w:ascii="Verdana" w:hAnsi="Verdana"/>
          <w:sz w:val="20"/>
          <w:szCs w:val="32"/>
          <w:lang w:val="pt-BR"/>
        </w:rPr>
        <w:t>13</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Pr="002F50BD">
        <w:rPr>
          <w:rFonts w:ascii="Verdana" w:hAnsi="Verdana"/>
          <w:sz w:val="20"/>
          <w:szCs w:val="32"/>
          <w:lang w:val="pt-BR"/>
        </w:rPr>
        <w:t xml:space="preserve">Direito à </w:t>
      </w:r>
      <w:r w:rsidR="004756C1" w:rsidRPr="002F50BD">
        <w:rPr>
          <w:rFonts w:ascii="Verdana" w:hAnsi="Verdana"/>
          <w:sz w:val="20"/>
          <w:szCs w:val="32"/>
          <w:lang w:val="pt-BR"/>
        </w:rPr>
        <w:t>Educa</w:t>
      </w:r>
      <w:r w:rsidRPr="002F50BD">
        <w:rPr>
          <w:rFonts w:ascii="Verdana" w:hAnsi="Verdana"/>
          <w:sz w:val="20"/>
          <w:szCs w:val="32"/>
          <w:lang w:val="pt-BR"/>
        </w:rPr>
        <w:t>ção</w:t>
      </w:r>
      <w:r w:rsidR="00CF451D" w:rsidRPr="00CF451D">
        <w:rPr>
          <w:rFonts w:ascii="Verdana" w:hAnsi="Verdana"/>
          <w:sz w:val="20"/>
          <w:szCs w:val="32"/>
          <w:lang w:val="pt-BR"/>
        </w:rPr>
        <w:t>)</w:t>
      </w:r>
      <w:r w:rsidRPr="002F50BD">
        <w:rPr>
          <w:rFonts w:ascii="Verdana" w:hAnsi="Verdana"/>
          <w:sz w:val="20"/>
          <w:szCs w:val="32"/>
          <w:lang w:val="pt-BR"/>
        </w:rPr>
        <w:t xml:space="preserve"> e </w:t>
      </w:r>
      <w:r w:rsidR="00063B47" w:rsidRPr="002F50BD">
        <w:rPr>
          <w:rFonts w:ascii="Verdana" w:hAnsi="Verdana"/>
          <w:sz w:val="20"/>
          <w:szCs w:val="32"/>
          <w:lang w:val="pt-BR"/>
        </w:rPr>
        <w:t>14</w:t>
      </w:r>
      <w:r w:rsidR="004756C1" w:rsidRPr="002F50BD">
        <w:rPr>
          <w:rFonts w:ascii="Verdana" w:hAnsi="Verdana"/>
          <w:sz w:val="20"/>
          <w:szCs w:val="32"/>
          <w:lang w:val="pt-BR"/>
        </w:rPr>
        <w:t xml:space="preserve"> </w:t>
      </w:r>
      <w:r w:rsidR="00CF451D" w:rsidRPr="00CF451D">
        <w:rPr>
          <w:rFonts w:ascii="Verdana" w:hAnsi="Verdana"/>
          <w:sz w:val="20"/>
          <w:szCs w:val="32"/>
          <w:lang w:val="pt-BR"/>
        </w:rPr>
        <w:t>(</w:t>
      </w:r>
      <w:r w:rsidRPr="002F50BD">
        <w:rPr>
          <w:rFonts w:ascii="Verdana" w:hAnsi="Verdana"/>
          <w:sz w:val="20"/>
          <w:szCs w:val="32"/>
          <w:lang w:val="pt-BR"/>
        </w:rPr>
        <w:t>Direito aos Benefício</w:t>
      </w:r>
      <w:r w:rsidR="004756C1" w:rsidRPr="002F50BD">
        <w:rPr>
          <w:rFonts w:ascii="Verdana" w:hAnsi="Verdana"/>
          <w:sz w:val="20"/>
          <w:szCs w:val="32"/>
          <w:lang w:val="pt-BR"/>
        </w:rPr>
        <w:t>s</w:t>
      </w:r>
      <w:r w:rsidRPr="002F50BD">
        <w:rPr>
          <w:rFonts w:ascii="Verdana" w:hAnsi="Verdana"/>
          <w:sz w:val="20"/>
          <w:szCs w:val="32"/>
          <w:lang w:val="pt-BR"/>
        </w:rPr>
        <w:t xml:space="preserve"> da </w:t>
      </w:r>
      <w:r w:rsidR="004756C1" w:rsidRPr="002F50BD">
        <w:rPr>
          <w:rFonts w:ascii="Verdana" w:hAnsi="Verdana"/>
          <w:sz w:val="20"/>
          <w:szCs w:val="32"/>
          <w:lang w:val="pt-BR"/>
        </w:rPr>
        <w:t>Cultura</w:t>
      </w:r>
      <w:r w:rsidR="00CF451D" w:rsidRPr="00CF451D">
        <w:rPr>
          <w:rFonts w:ascii="Verdana" w:hAnsi="Verdana"/>
          <w:sz w:val="20"/>
          <w:szCs w:val="32"/>
          <w:lang w:val="pt-BR"/>
        </w:rPr>
        <w:t>)</w:t>
      </w:r>
      <w:r w:rsidR="004756C1" w:rsidRPr="002F50BD">
        <w:rPr>
          <w:rFonts w:ascii="Verdana" w:hAnsi="Verdana"/>
          <w:sz w:val="20"/>
          <w:szCs w:val="32"/>
          <w:lang w:val="pt-BR"/>
        </w:rPr>
        <w:t xml:space="preserve"> </w:t>
      </w:r>
      <w:r w:rsidRPr="002F50BD">
        <w:rPr>
          <w:rFonts w:ascii="Verdana" w:hAnsi="Verdana"/>
          <w:sz w:val="20"/>
          <w:szCs w:val="32"/>
          <w:lang w:val="pt-BR"/>
        </w:rPr>
        <w:t xml:space="preserve">do </w:t>
      </w:r>
      <w:r w:rsidR="004756C1" w:rsidRPr="002F50BD">
        <w:rPr>
          <w:rFonts w:ascii="Verdana" w:hAnsi="Verdana"/>
          <w:sz w:val="20"/>
          <w:szCs w:val="32"/>
          <w:lang w:val="pt-BR"/>
        </w:rPr>
        <w:t>Protocolo Adicional</w:t>
      </w:r>
      <w:r w:rsidRPr="002F50BD">
        <w:rPr>
          <w:rFonts w:ascii="Verdana" w:hAnsi="Verdana"/>
          <w:sz w:val="20"/>
          <w:szCs w:val="32"/>
          <w:lang w:val="pt-BR"/>
        </w:rPr>
        <w:t xml:space="preserve"> à </w:t>
      </w:r>
      <w:r w:rsidR="004756C1" w:rsidRPr="002F50BD">
        <w:rPr>
          <w:rFonts w:ascii="Verdana" w:hAnsi="Verdana"/>
          <w:sz w:val="20"/>
          <w:szCs w:val="32"/>
          <w:lang w:val="pt-BR"/>
        </w:rPr>
        <w:t>Conven</w:t>
      </w:r>
      <w:r w:rsidRPr="002F50BD">
        <w:rPr>
          <w:rFonts w:ascii="Verdana" w:hAnsi="Verdana"/>
          <w:sz w:val="20"/>
          <w:szCs w:val="32"/>
          <w:lang w:val="pt-BR"/>
        </w:rPr>
        <w:t>ção</w:t>
      </w:r>
      <w:r w:rsidR="004756C1" w:rsidRPr="002F50BD">
        <w:rPr>
          <w:rFonts w:ascii="Verdana" w:hAnsi="Verdana"/>
          <w:sz w:val="20"/>
          <w:szCs w:val="32"/>
          <w:lang w:val="pt-BR"/>
        </w:rPr>
        <w:t xml:space="preserve"> Americana</w:t>
      </w:r>
      <w:r w:rsidRPr="002F50BD">
        <w:rPr>
          <w:rFonts w:ascii="Verdana" w:hAnsi="Verdana"/>
          <w:sz w:val="20"/>
          <w:szCs w:val="32"/>
          <w:lang w:val="pt-BR"/>
        </w:rPr>
        <w:t xml:space="preserve"> em matéria </w:t>
      </w:r>
      <w:r w:rsidR="004756C1" w:rsidRPr="002F50BD">
        <w:rPr>
          <w:rFonts w:ascii="Verdana" w:hAnsi="Verdana"/>
          <w:sz w:val="20"/>
          <w:szCs w:val="32"/>
          <w:lang w:val="pt-BR"/>
        </w:rPr>
        <w:t xml:space="preserve">de </w:t>
      </w:r>
      <w:r w:rsidRPr="002F50BD">
        <w:rPr>
          <w:rFonts w:ascii="Verdana" w:hAnsi="Verdana"/>
          <w:sz w:val="20"/>
          <w:szCs w:val="32"/>
          <w:lang w:val="pt-BR"/>
        </w:rPr>
        <w:t>Direito</w:t>
      </w:r>
      <w:r w:rsidR="004756C1" w:rsidRPr="002F50BD">
        <w:rPr>
          <w:rFonts w:ascii="Verdana" w:hAnsi="Verdana"/>
          <w:sz w:val="20"/>
          <w:szCs w:val="32"/>
          <w:lang w:val="pt-BR"/>
        </w:rPr>
        <w:t xml:space="preserve">s </w:t>
      </w:r>
      <w:r w:rsidRPr="002F50BD">
        <w:rPr>
          <w:rFonts w:ascii="Verdana" w:hAnsi="Verdana"/>
          <w:sz w:val="20"/>
          <w:szCs w:val="32"/>
          <w:lang w:val="pt-BR"/>
        </w:rPr>
        <w:t>Econômic</w:t>
      </w:r>
      <w:r w:rsidR="004756C1" w:rsidRPr="002F50BD">
        <w:rPr>
          <w:rFonts w:ascii="Verdana" w:hAnsi="Verdana"/>
          <w:sz w:val="20"/>
          <w:szCs w:val="32"/>
          <w:lang w:val="pt-BR"/>
        </w:rPr>
        <w:t xml:space="preserve">os, </w:t>
      </w:r>
      <w:r w:rsidRPr="002F50BD">
        <w:rPr>
          <w:rFonts w:ascii="Verdana" w:hAnsi="Verdana"/>
          <w:sz w:val="20"/>
          <w:szCs w:val="32"/>
          <w:lang w:val="pt-BR"/>
        </w:rPr>
        <w:t>Sociais e Culturais</w:t>
      </w:r>
      <w:r w:rsidR="00DD2E3D" w:rsidRPr="002F50BD">
        <w:rPr>
          <w:rFonts w:ascii="Verdana" w:hAnsi="Verdana"/>
          <w:sz w:val="20"/>
          <w:szCs w:val="32"/>
          <w:lang w:val="pt-BR"/>
        </w:rPr>
        <w:t>,</w:t>
      </w:r>
      <w:r w:rsidR="004756C1" w:rsidRPr="002F50BD">
        <w:rPr>
          <w:rStyle w:val="FootnoteReference"/>
          <w:rFonts w:ascii="Verdana" w:hAnsi="Verdana"/>
          <w:szCs w:val="32"/>
        </w:rPr>
        <w:footnoteReference w:id="204"/>
      </w:r>
      <w:r w:rsidRPr="002F50BD">
        <w:rPr>
          <w:rFonts w:ascii="Verdana" w:hAnsi="Verdana"/>
          <w:sz w:val="20"/>
          <w:szCs w:val="32"/>
          <w:lang w:val="pt-BR"/>
        </w:rPr>
        <w:t xml:space="preserve"> e </w:t>
      </w:r>
      <w:r w:rsidR="00FC6B22" w:rsidRPr="002F50BD">
        <w:rPr>
          <w:rFonts w:ascii="Verdana" w:hAnsi="Verdana"/>
          <w:sz w:val="20"/>
          <w:szCs w:val="32"/>
          <w:lang w:val="pt-BR"/>
        </w:rPr>
        <w:t>à</w:t>
      </w:r>
      <w:r w:rsidRPr="002F50BD">
        <w:rPr>
          <w:rFonts w:ascii="Verdana" w:hAnsi="Verdana"/>
          <w:sz w:val="20"/>
          <w:szCs w:val="32"/>
          <w:lang w:val="pt-BR"/>
        </w:rPr>
        <w:t xml:space="preserve">s </w:t>
      </w:r>
      <w:r w:rsidR="004756C1" w:rsidRPr="002F50BD">
        <w:rPr>
          <w:rFonts w:ascii="Verdana" w:hAnsi="Verdana"/>
          <w:sz w:val="20"/>
          <w:lang w:val="pt-BR"/>
        </w:rPr>
        <w:t>disposi</w:t>
      </w:r>
      <w:r w:rsidRPr="002F50BD">
        <w:rPr>
          <w:rFonts w:ascii="Verdana" w:hAnsi="Verdana"/>
          <w:sz w:val="20"/>
          <w:lang w:val="pt-BR"/>
        </w:rPr>
        <w:t>ções</w:t>
      </w:r>
      <w:r w:rsidR="004756C1" w:rsidRPr="002F50BD">
        <w:rPr>
          <w:rFonts w:ascii="Verdana" w:hAnsi="Verdana"/>
          <w:sz w:val="20"/>
          <w:lang w:val="pt-BR"/>
        </w:rPr>
        <w:t xml:space="preserve"> pertinentes </w:t>
      </w:r>
      <w:r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w:t>
      </w:r>
    </w:p>
    <w:p w:rsidR="004756C1" w:rsidRPr="002F50BD" w:rsidRDefault="004756C1">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 xml:space="preserve">capítulo sobre </w:t>
      </w:r>
      <w:r w:rsidRPr="002F50BD">
        <w:rPr>
          <w:rFonts w:ascii="Verdana" w:hAnsi="Verdana"/>
          <w:sz w:val="20"/>
          <w:lang w:val="pt-BR"/>
        </w:rPr>
        <w:t>fatos</w:t>
      </w:r>
      <w:r w:rsidR="004756C1" w:rsidRPr="002F50BD">
        <w:rPr>
          <w:rFonts w:ascii="Verdana" w:hAnsi="Verdana"/>
          <w:sz w:val="20"/>
          <w:lang w:val="pt-BR"/>
        </w:rPr>
        <w:t xml:space="preserve"> </w:t>
      </w:r>
      <w:r w:rsidRPr="002F50BD">
        <w:rPr>
          <w:rFonts w:ascii="Verdana" w:hAnsi="Verdana"/>
          <w:sz w:val="20"/>
          <w:lang w:val="pt-BR"/>
        </w:rPr>
        <w:t>provad</w:t>
      </w:r>
      <w:r w:rsidR="004756C1" w:rsidRPr="002F50BD">
        <w:rPr>
          <w:rFonts w:ascii="Verdana" w:hAnsi="Verdana"/>
          <w:sz w:val="20"/>
          <w:lang w:val="pt-BR"/>
        </w:rPr>
        <w:t xml:space="preserve">os </w:t>
      </w:r>
      <w:r w:rsidR="00CF451D" w:rsidRPr="00CF451D">
        <w:rPr>
          <w:rFonts w:ascii="Verdana" w:hAnsi="Verdana"/>
          <w:sz w:val="20"/>
          <w:lang w:val="pt-BR"/>
        </w:rPr>
        <w:t>(</w:t>
      </w:r>
      <w:r w:rsidRPr="002F50BD">
        <w:rPr>
          <w:rFonts w:ascii="Verdana" w:hAnsi="Verdana"/>
          <w:sz w:val="20"/>
          <w:lang w:val="pt-BR"/>
        </w:rPr>
        <w:t>pars.</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92</w:t>
      </w:r>
      <w:r w:rsidR="004756C1" w:rsidRPr="002F50BD">
        <w:rPr>
          <w:rFonts w:ascii="Verdana" w:hAnsi="Verdana"/>
          <w:sz w:val="20"/>
          <w:lang w:val="pt-BR"/>
        </w:rPr>
        <w:t xml:space="preserve"> a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105</w:t>
      </w:r>
      <w:r w:rsidR="00DD2E3D" w:rsidRPr="002F50BD">
        <w:rPr>
          <w:rFonts w:ascii="Verdana" w:hAnsi="Verdana"/>
          <w:i/>
          <w:sz w:val="20"/>
          <w:lang w:val="pt-BR"/>
        </w:rPr>
        <w:t xml:space="preserve"> supra</w:t>
      </w:r>
      <w:r w:rsidR="00CF451D" w:rsidRPr="00CF451D">
        <w:rPr>
          <w:rFonts w:ascii="Verdana" w:hAnsi="Verdana"/>
          <w:sz w:val="20"/>
          <w:lang w:val="pt-BR"/>
        </w:rPr>
        <w:t>)</w:t>
      </w:r>
      <w:r w:rsidR="0067662E"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concluiu</w:t>
      </w:r>
      <w:r w:rsidR="00DD2E3D" w:rsidRPr="002F50BD">
        <w:rPr>
          <w:rFonts w:ascii="Verdana" w:hAnsi="Verdana"/>
          <w:sz w:val="20"/>
          <w:lang w:val="pt-BR"/>
        </w:rPr>
        <w:t>-se</w:t>
      </w:r>
      <w:r w:rsidR="004756C1" w:rsidRPr="002F50BD">
        <w:rPr>
          <w:rFonts w:ascii="Verdana" w:hAnsi="Verdana"/>
          <w:sz w:val="20"/>
          <w:lang w:val="pt-BR"/>
        </w:rPr>
        <w:t xml:space="preserve"> que</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 xml:space="preserve">vivem em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w:t>
      </w:r>
      <w:r w:rsidR="00977CDD" w:rsidRPr="002F50BD">
        <w:rPr>
          <w:rFonts w:ascii="Verdana" w:hAnsi="Verdana"/>
          <w:sz w:val="20"/>
          <w:lang w:val="pt-BR"/>
        </w:rPr>
        <w:t>miséria</w:t>
      </w:r>
      <w:r w:rsidR="004756C1" w:rsidRPr="002F50BD">
        <w:rPr>
          <w:rFonts w:ascii="Verdana" w:hAnsi="Verdana"/>
          <w:sz w:val="20"/>
          <w:lang w:val="pt-BR"/>
        </w:rPr>
        <w:t xml:space="preserve"> extrema como </w:t>
      </w:r>
      <w:r w:rsidRPr="002F50BD">
        <w:rPr>
          <w:rFonts w:ascii="Verdana" w:hAnsi="Verdana"/>
          <w:sz w:val="20"/>
          <w:lang w:val="pt-BR"/>
        </w:rPr>
        <w:t xml:space="preserve">consequência da </w:t>
      </w:r>
      <w:r w:rsidR="004756C1" w:rsidRPr="002F50BD">
        <w:rPr>
          <w:rFonts w:ascii="Verdana" w:hAnsi="Verdana"/>
          <w:sz w:val="20"/>
          <w:lang w:val="pt-BR"/>
        </w:rPr>
        <w:t xml:space="preserve">falta de </w:t>
      </w:r>
      <w:r w:rsidRPr="002F50BD">
        <w:rPr>
          <w:rFonts w:ascii="Verdana" w:hAnsi="Verdana"/>
          <w:sz w:val="20"/>
          <w:lang w:val="pt-BR"/>
        </w:rPr>
        <w:t xml:space="preserve">terra e </w:t>
      </w:r>
      <w:r w:rsidR="00DD2E3D" w:rsidRPr="002F50BD">
        <w:rPr>
          <w:rFonts w:ascii="Verdana" w:hAnsi="Verdana"/>
          <w:sz w:val="20"/>
          <w:lang w:val="pt-BR"/>
        </w:rPr>
        <w:t xml:space="preserve">de </w:t>
      </w:r>
      <w:r w:rsidRPr="002F50BD">
        <w:rPr>
          <w:rFonts w:ascii="Verdana" w:hAnsi="Verdana"/>
          <w:sz w:val="20"/>
          <w:lang w:val="pt-BR"/>
        </w:rPr>
        <w:t>acesso</w:t>
      </w:r>
      <w:r w:rsidR="004756C1" w:rsidRPr="002F50BD">
        <w:rPr>
          <w:rFonts w:ascii="Verdana" w:hAnsi="Verdana"/>
          <w:sz w:val="20"/>
          <w:lang w:val="pt-BR"/>
        </w:rPr>
        <w:t xml:space="preserve"> a recursos </w:t>
      </w:r>
      <w:r w:rsidR="005D1589" w:rsidRPr="002F50BD">
        <w:rPr>
          <w:rFonts w:ascii="Verdana" w:hAnsi="Verdana"/>
          <w:sz w:val="20"/>
          <w:lang w:val="pt-BR"/>
        </w:rPr>
        <w:t>naturais</w:t>
      </w:r>
      <w:r w:rsidR="004756C1" w:rsidRPr="002F50BD">
        <w:rPr>
          <w:rFonts w:ascii="Verdana" w:hAnsi="Verdana"/>
          <w:sz w:val="20"/>
          <w:lang w:val="pt-BR"/>
        </w:rPr>
        <w:t xml:space="preserve">, </w:t>
      </w:r>
      <w:r w:rsidRPr="002F50BD">
        <w:rPr>
          <w:rFonts w:ascii="Verdana" w:hAnsi="Verdana"/>
          <w:sz w:val="20"/>
          <w:lang w:val="pt-BR"/>
        </w:rPr>
        <w:t>produzid</w:t>
      </w:r>
      <w:r w:rsidR="004756C1" w:rsidRPr="002F50BD">
        <w:rPr>
          <w:rFonts w:ascii="Verdana" w:hAnsi="Verdana"/>
          <w:sz w:val="20"/>
          <w:lang w:val="pt-BR"/>
        </w:rPr>
        <w:t>a</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fatos</w:t>
      </w:r>
      <w:r w:rsidR="004756C1" w:rsidRPr="002F50BD">
        <w:rPr>
          <w:rFonts w:ascii="Verdana" w:hAnsi="Verdana"/>
          <w:sz w:val="20"/>
          <w:lang w:val="pt-BR"/>
        </w:rPr>
        <w:t xml:space="preserve"> </w:t>
      </w:r>
      <w:r w:rsidR="00DD2E3D" w:rsidRPr="002F50BD">
        <w:rPr>
          <w:rFonts w:ascii="Verdana" w:hAnsi="Verdana"/>
          <w:sz w:val="20"/>
          <w:lang w:val="pt-BR"/>
        </w:rPr>
        <w:t xml:space="preserve">que são </w:t>
      </w:r>
      <w:r w:rsidRPr="002F50BD">
        <w:rPr>
          <w:rFonts w:ascii="Verdana" w:hAnsi="Verdana"/>
          <w:sz w:val="20"/>
          <w:lang w:val="pt-BR"/>
        </w:rPr>
        <w:t>matéria deste processo</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 xml:space="preserve"> como</w:t>
      </w:r>
      <w:r w:rsidRPr="002F50BD">
        <w:rPr>
          <w:rFonts w:ascii="Verdana" w:hAnsi="Verdana"/>
          <w:sz w:val="20"/>
          <w:lang w:val="pt-BR"/>
        </w:rPr>
        <w:t xml:space="preserve"> </w:t>
      </w:r>
      <w:r w:rsidR="00FC6B22" w:rsidRPr="002F50BD">
        <w:rPr>
          <w:rFonts w:ascii="Verdana" w:hAnsi="Verdana"/>
          <w:sz w:val="20"/>
          <w:lang w:val="pt-BR"/>
        </w:rPr>
        <w:t>da</w:t>
      </w:r>
      <w:r w:rsidRPr="002F50BD">
        <w:rPr>
          <w:rFonts w:ascii="Verdana" w:hAnsi="Verdana"/>
          <w:sz w:val="20"/>
          <w:lang w:val="pt-BR"/>
        </w:rPr>
        <w:t xml:space="preserve"> </w:t>
      </w:r>
      <w:r w:rsidR="004756C1" w:rsidRPr="002F50BD">
        <w:rPr>
          <w:rFonts w:ascii="Verdana" w:hAnsi="Verdana"/>
          <w:sz w:val="20"/>
          <w:lang w:val="pt-BR"/>
        </w:rPr>
        <w:t>precariedad</w:t>
      </w:r>
      <w:r w:rsidR="00DD2E3D" w:rsidRPr="002F50BD">
        <w:rPr>
          <w:rFonts w:ascii="Verdana" w:hAnsi="Verdana"/>
          <w:sz w:val="20"/>
          <w:lang w:val="pt-BR"/>
        </w:rPr>
        <w:t>e</w:t>
      </w:r>
      <w:r w:rsidR="004756C1" w:rsidRPr="002F50BD">
        <w:rPr>
          <w:rFonts w:ascii="Verdana" w:hAnsi="Verdana"/>
          <w:sz w:val="20"/>
          <w:lang w:val="pt-BR"/>
        </w:rPr>
        <w:t xml:space="preserve"> </w:t>
      </w:r>
      <w:r w:rsidRPr="002F50BD">
        <w:rPr>
          <w:rFonts w:ascii="Verdana" w:hAnsi="Verdana"/>
          <w:sz w:val="20"/>
          <w:lang w:val="pt-BR"/>
        </w:rPr>
        <w:t xml:space="preserve">do </w:t>
      </w:r>
      <w:r w:rsidR="00AB454A" w:rsidRPr="002F50BD">
        <w:rPr>
          <w:rFonts w:ascii="Verdana" w:hAnsi="Verdana"/>
          <w:sz w:val="20"/>
          <w:lang w:val="pt-BR"/>
        </w:rPr>
        <w:t>assentamento</w:t>
      </w:r>
      <w:r w:rsidR="004756C1" w:rsidRPr="002F50BD">
        <w:rPr>
          <w:rFonts w:ascii="Verdana" w:hAnsi="Verdana"/>
          <w:sz w:val="20"/>
          <w:lang w:val="pt-BR"/>
        </w:rPr>
        <w:t xml:space="preserve"> tempor</w:t>
      </w:r>
      <w:r w:rsidR="00DD2E3D" w:rsidRPr="002F50BD">
        <w:rPr>
          <w:rFonts w:ascii="Verdana" w:hAnsi="Verdana"/>
          <w:sz w:val="20"/>
          <w:lang w:val="pt-BR"/>
        </w:rPr>
        <w:t>ário</w:t>
      </w:r>
      <w:r w:rsidRPr="002F50BD">
        <w:rPr>
          <w:rFonts w:ascii="Verdana" w:hAnsi="Verdana"/>
          <w:sz w:val="20"/>
          <w:lang w:val="pt-BR"/>
        </w:rPr>
        <w:t xml:space="preserve"> no qual </w:t>
      </w:r>
      <w:r w:rsidR="004756C1" w:rsidRPr="002F50BD">
        <w:rPr>
          <w:rFonts w:ascii="Verdana" w:hAnsi="Verdana"/>
          <w:sz w:val="20"/>
          <w:lang w:val="pt-BR"/>
        </w:rPr>
        <w:t xml:space="preserve">se </w:t>
      </w:r>
      <w:r w:rsidR="00DD2E3D" w:rsidRPr="002F50BD">
        <w:rPr>
          <w:rFonts w:ascii="Verdana" w:hAnsi="Verdana"/>
          <w:sz w:val="20"/>
          <w:lang w:val="pt-BR"/>
        </w:rPr>
        <w:t xml:space="preserve">viram </w:t>
      </w:r>
      <w:r w:rsidRPr="002F50BD">
        <w:rPr>
          <w:rFonts w:ascii="Verdana" w:hAnsi="Verdana"/>
          <w:sz w:val="20"/>
          <w:lang w:val="pt-BR"/>
        </w:rPr>
        <w:t>obrigad</w:t>
      </w:r>
      <w:r w:rsidR="004756C1" w:rsidRPr="002F50BD">
        <w:rPr>
          <w:rFonts w:ascii="Verdana" w:hAnsi="Verdana"/>
          <w:sz w:val="20"/>
          <w:lang w:val="pt-BR"/>
        </w:rPr>
        <w:t>os a permanecer</w:t>
      </w:r>
      <w:r w:rsidRPr="002F50BD">
        <w:rPr>
          <w:rFonts w:ascii="Verdana" w:hAnsi="Verdana"/>
          <w:sz w:val="20"/>
          <w:lang w:val="pt-BR"/>
        </w:rPr>
        <w:t xml:space="preserve"> à </w:t>
      </w:r>
      <w:r w:rsidR="004756C1" w:rsidRPr="002F50BD">
        <w:rPr>
          <w:rFonts w:ascii="Verdana" w:hAnsi="Verdana"/>
          <w:sz w:val="20"/>
          <w:lang w:val="pt-BR"/>
        </w:rPr>
        <w:t>espera</w:t>
      </w:r>
      <w:r w:rsidRPr="002F50BD">
        <w:rPr>
          <w:rFonts w:ascii="Verdana" w:hAnsi="Verdana"/>
          <w:sz w:val="20"/>
          <w:lang w:val="pt-BR"/>
        </w:rPr>
        <w:t xml:space="preserve"> da </w:t>
      </w:r>
      <w:r w:rsidR="004756C1" w:rsidRPr="002F50BD">
        <w:rPr>
          <w:rFonts w:ascii="Verdana" w:hAnsi="Verdana"/>
          <w:sz w:val="20"/>
          <w:lang w:val="pt-BR"/>
        </w:rPr>
        <w:t>resolu</w:t>
      </w:r>
      <w:r w:rsidRPr="002F50BD">
        <w:rPr>
          <w:rFonts w:ascii="Verdana" w:hAnsi="Verdana"/>
          <w:sz w:val="20"/>
          <w:lang w:val="pt-BR"/>
        </w:rPr>
        <w:t>ção</w:t>
      </w:r>
      <w:r w:rsidR="004756C1" w:rsidRPr="002F50BD">
        <w:rPr>
          <w:rFonts w:ascii="Verdana" w:hAnsi="Verdana"/>
          <w:sz w:val="20"/>
          <w:lang w:val="pt-BR"/>
        </w:rPr>
        <w:t xml:space="preserve"> de </w:t>
      </w:r>
      <w:r w:rsidR="003B5E71" w:rsidRPr="002F50BD">
        <w:rPr>
          <w:rFonts w:ascii="Verdana" w:hAnsi="Verdana"/>
          <w:sz w:val="20"/>
          <w:lang w:val="pt-BR"/>
        </w:rPr>
        <w:t>sua solicitação</w:t>
      </w:r>
      <w:r w:rsidRPr="002F50BD">
        <w:rPr>
          <w:rFonts w:ascii="Verdana" w:hAnsi="Verdana"/>
          <w:sz w:val="20"/>
          <w:lang w:val="pt-BR"/>
        </w:rPr>
        <w:t xml:space="preserve"> </w:t>
      </w:r>
      <w:r w:rsidR="004756C1" w:rsidRPr="002F50BD">
        <w:rPr>
          <w:rFonts w:ascii="Verdana" w:hAnsi="Verdana"/>
          <w:sz w:val="20"/>
          <w:lang w:val="pt-BR"/>
        </w:rPr>
        <w:t>de reivindica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w:t>
      </w:r>
      <w:r w:rsidR="001A0CDE" w:rsidRPr="002F50BD">
        <w:rPr>
          <w:rFonts w:ascii="Verdana" w:hAnsi="Verdana"/>
          <w:sz w:val="20"/>
          <w:lang w:val="pt-BR"/>
        </w:rPr>
        <w:t>. Est</w:t>
      </w:r>
      <w:r w:rsidR="004756C1" w:rsidRPr="002F50BD">
        <w:rPr>
          <w:rFonts w:ascii="Verdana" w:hAnsi="Verdana"/>
          <w:sz w:val="20"/>
          <w:lang w:val="pt-BR"/>
        </w:rPr>
        <w:t>e Tribunal observa que, conforme</w:t>
      </w:r>
      <w:r w:rsidRPr="002F50BD">
        <w:rPr>
          <w:rFonts w:ascii="Verdana" w:hAnsi="Verdana"/>
          <w:sz w:val="20"/>
          <w:lang w:val="pt-BR"/>
        </w:rPr>
        <w:t xml:space="preserve"> </w:t>
      </w:r>
      <w:r w:rsidR="00E72F67" w:rsidRPr="002F50BD">
        <w:rPr>
          <w:rFonts w:ascii="Verdana" w:hAnsi="Verdana"/>
          <w:sz w:val="20"/>
          <w:lang w:val="pt-BR"/>
        </w:rPr>
        <w:t xml:space="preserve">a manifestação dos </w:t>
      </w:r>
      <w:r w:rsidRPr="002F50BD">
        <w:rPr>
          <w:rFonts w:ascii="Verdana" w:hAnsi="Verdana"/>
          <w:sz w:val="20"/>
          <w:lang w:val="pt-BR"/>
        </w:rPr>
        <w:t>senhores</w:t>
      </w:r>
      <w:r w:rsidR="004756C1" w:rsidRPr="002F50BD">
        <w:rPr>
          <w:rFonts w:ascii="Verdana" w:hAnsi="Verdana"/>
          <w:sz w:val="20"/>
          <w:lang w:val="pt-BR"/>
        </w:rPr>
        <w:t xml:space="preserve"> Esteban López, </w:t>
      </w:r>
      <w:r w:rsidR="00CD7100" w:rsidRPr="002F50BD">
        <w:rPr>
          <w:rFonts w:ascii="Verdana" w:hAnsi="Verdana"/>
          <w:sz w:val="20"/>
          <w:lang w:val="pt-BR"/>
        </w:rPr>
        <w:t>Tomás Galeano</w:t>
      </w:r>
      <w:r w:rsidR="004756C1" w:rsidRPr="002F50BD">
        <w:rPr>
          <w:rFonts w:ascii="Verdana" w:hAnsi="Verdana"/>
          <w:sz w:val="20"/>
          <w:lang w:val="pt-BR"/>
        </w:rPr>
        <w:t xml:space="preserve"> e Inocencia Gómez </w:t>
      </w:r>
      <w:r w:rsidR="004756C1" w:rsidRPr="002F50BD">
        <w:rPr>
          <w:rFonts w:ascii="Verdana" w:hAnsi="Verdana"/>
          <w:sz w:val="20"/>
          <w:lang w:val="pt-BR"/>
        </w:rPr>
        <w:lastRenderedPageBreak/>
        <w:t>durante</w:t>
      </w:r>
      <w:r w:rsidRPr="002F50BD">
        <w:rPr>
          <w:rFonts w:ascii="Verdana" w:hAnsi="Verdana"/>
          <w:sz w:val="20"/>
          <w:lang w:val="pt-BR"/>
        </w:rPr>
        <w:t xml:space="preserve"> a audiência</w:t>
      </w:r>
      <w:r w:rsidR="004756C1" w:rsidRPr="002F50BD">
        <w:rPr>
          <w:rFonts w:ascii="Verdana" w:hAnsi="Verdana"/>
          <w:sz w:val="20"/>
          <w:lang w:val="pt-BR"/>
        </w:rPr>
        <w:t xml:space="preserve"> pública celebrada</w:t>
      </w:r>
      <w:r w:rsidRPr="002F50BD">
        <w:rPr>
          <w:rFonts w:ascii="Verdana" w:hAnsi="Verdana"/>
          <w:sz w:val="20"/>
          <w:lang w:val="pt-BR"/>
        </w:rPr>
        <w:t xml:space="preserve"> no </w:t>
      </w:r>
      <w:r w:rsidR="004756C1" w:rsidRPr="002F50BD">
        <w:rPr>
          <w:rFonts w:ascii="Verdana" w:hAnsi="Verdana"/>
          <w:sz w:val="20"/>
          <w:lang w:val="pt-BR"/>
        </w:rPr>
        <w:t xml:space="preserve">presente caso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39</w:t>
      </w:r>
      <w:r w:rsidR="004756C1" w:rsidRPr="002F50BD">
        <w:rPr>
          <w:rFonts w:ascii="Verdana" w:hAnsi="Verdana"/>
          <w:sz w:val="20"/>
          <w:lang w:val="pt-BR"/>
        </w:rPr>
        <w:t xml:space="preserve">.a, </w:t>
      </w:r>
      <w:r w:rsidR="00063B47" w:rsidRPr="002F50BD">
        <w:rPr>
          <w:rFonts w:ascii="Verdana" w:hAnsi="Verdana"/>
          <w:sz w:val="20"/>
          <w:lang w:val="pt-BR"/>
        </w:rPr>
        <w:t>39</w:t>
      </w:r>
      <w:r w:rsidR="004756C1" w:rsidRPr="002F50BD">
        <w:rPr>
          <w:rFonts w:ascii="Verdana" w:hAnsi="Verdana"/>
          <w:sz w:val="20"/>
          <w:lang w:val="pt-BR"/>
        </w:rPr>
        <w:t>.b</w:t>
      </w:r>
      <w:r w:rsidRPr="002F50BD">
        <w:rPr>
          <w:rFonts w:ascii="Verdana" w:hAnsi="Verdana"/>
          <w:sz w:val="20"/>
          <w:lang w:val="pt-BR"/>
        </w:rPr>
        <w:t xml:space="preserve"> e </w:t>
      </w:r>
      <w:r w:rsidR="00063B47" w:rsidRPr="002F50BD">
        <w:rPr>
          <w:rFonts w:ascii="Verdana" w:hAnsi="Verdana"/>
          <w:sz w:val="20"/>
          <w:lang w:val="pt-BR"/>
        </w:rPr>
        <w:t>39</w:t>
      </w:r>
      <w:r w:rsidR="004756C1" w:rsidRPr="002F50BD">
        <w:rPr>
          <w:rFonts w:ascii="Verdana" w:hAnsi="Verdana"/>
          <w:sz w:val="20"/>
          <w:lang w:val="pt-BR"/>
        </w:rPr>
        <w:t>.c</w:t>
      </w:r>
      <w:r w:rsidR="00E72F67"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E72F67" w:rsidRPr="002F50BD">
        <w:rPr>
          <w:rFonts w:ascii="Verdana" w:hAnsi="Verdana"/>
          <w:sz w:val="20"/>
          <w:lang w:val="pt-BR"/>
        </w:rPr>
        <w:t xml:space="preserve">poderiam ter se </w:t>
      </w:r>
      <w:r w:rsidR="004756C1" w:rsidRPr="002F50BD">
        <w:rPr>
          <w:rFonts w:ascii="Verdana" w:hAnsi="Verdana"/>
          <w:sz w:val="20"/>
          <w:lang w:val="pt-BR"/>
        </w:rPr>
        <w:t>abastec</w:t>
      </w:r>
      <w:r w:rsidR="00E72F67" w:rsidRPr="002F50BD">
        <w:rPr>
          <w:rFonts w:ascii="Verdana" w:hAnsi="Verdana"/>
          <w:sz w:val="20"/>
          <w:lang w:val="pt-BR"/>
        </w:rPr>
        <w:t xml:space="preserve">ido de </w:t>
      </w:r>
      <w:r w:rsidR="004756C1" w:rsidRPr="002F50BD">
        <w:rPr>
          <w:rFonts w:ascii="Verdana" w:hAnsi="Verdana"/>
          <w:sz w:val="20"/>
          <w:lang w:val="pt-BR"/>
        </w:rPr>
        <w:t>parte</w:t>
      </w:r>
      <w:r w:rsidRPr="002F50BD">
        <w:rPr>
          <w:rFonts w:ascii="Verdana" w:hAnsi="Verdana"/>
          <w:sz w:val="20"/>
          <w:lang w:val="pt-BR"/>
        </w:rPr>
        <w:t xml:space="preserve"> dos bens</w:t>
      </w:r>
      <w:r w:rsidR="004756C1" w:rsidRPr="002F50BD">
        <w:rPr>
          <w:rFonts w:ascii="Verdana" w:hAnsi="Verdana"/>
          <w:sz w:val="20"/>
          <w:lang w:val="pt-BR"/>
        </w:rPr>
        <w:t xml:space="preserve"> </w:t>
      </w:r>
      <w:r w:rsidRPr="002F50BD">
        <w:rPr>
          <w:rFonts w:ascii="Verdana" w:hAnsi="Verdana"/>
          <w:sz w:val="20"/>
          <w:lang w:val="pt-BR"/>
        </w:rPr>
        <w:t>necessári</w:t>
      </w:r>
      <w:r w:rsidR="004756C1" w:rsidRPr="002F50BD">
        <w:rPr>
          <w:rFonts w:ascii="Verdana" w:hAnsi="Verdana"/>
          <w:sz w:val="20"/>
          <w:lang w:val="pt-BR"/>
        </w:rPr>
        <w:t>os para su</w:t>
      </w:r>
      <w:r w:rsidR="00E72F67"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subsistência</w:t>
      </w:r>
      <w:r w:rsidR="004756C1" w:rsidRPr="002F50BD">
        <w:rPr>
          <w:rFonts w:ascii="Verdana" w:hAnsi="Verdana"/>
          <w:sz w:val="20"/>
          <w:lang w:val="pt-BR"/>
        </w:rPr>
        <w:t xml:space="preserve"> </w:t>
      </w:r>
      <w:r w:rsidR="00E72F67" w:rsidRPr="002F50BD">
        <w:rPr>
          <w:rFonts w:ascii="Verdana" w:hAnsi="Verdana"/>
          <w:sz w:val="20"/>
          <w:lang w:val="pt-BR"/>
        </w:rPr>
        <w:t xml:space="preserve">caso tivessem </w:t>
      </w:r>
      <w:r w:rsidR="004756C1" w:rsidRPr="002F50BD">
        <w:rPr>
          <w:rFonts w:ascii="Verdana" w:hAnsi="Verdana"/>
          <w:sz w:val="20"/>
          <w:lang w:val="pt-BR"/>
        </w:rPr>
        <w:t>estado</w:t>
      </w:r>
      <w:r w:rsidRPr="002F50BD">
        <w:rPr>
          <w:rFonts w:ascii="Verdana" w:hAnsi="Verdana"/>
          <w:sz w:val="20"/>
          <w:lang w:val="pt-BR"/>
        </w:rPr>
        <w:t xml:space="preserve"> </w:t>
      </w:r>
      <w:r w:rsidR="00E72F67" w:rsidRPr="002F50BD">
        <w:rPr>
          <w:rFonts w:ascii="Verdana" w:hAnsi="Verdana"/>
          <w:sz w:val="20"/>
          <w:lang w:val="pt-BR"/>
        </w:rPr>
        <w:t xml:space="preserve">na </w:t>
      </w:r>
      <w:r w:rsidR="00A50140" w:rsidRPr="002F50BD">
        <w:rPr>
          <w:rFonts w:ascii="Verdana" w:hAnsi="Verdana"/>
          <w:sz w:val="20"/>
          <w:lang w:val="pt-BR"/>
        </w:rPr>
        <w:t>posse</w:t>
      </w:r>
      <w:r w:rsidR="004756C1" w:rsidRPr="002F50BD">
        <w:rPr>
          <w:rFonts w:ascii="Verdana" w:hAnsi="Verdana"/>
          <w:sz w:val="20"/>
          <w:lang w:val="pt-BR"/>
        </w:rPr>
        <w:t xml:space="preserve"> de </w:t>
      </w:r>
      <w:r w:rsidR="00A50140" w:rsidRPr="002F50BD">
        <w:rPr>
          <w:rFonts w:ascii="Verdana" w:hAnsi="Verdana"/>
          <w:sz w:val="20"/>
          <w:lang w:val="pt-BR"/>
        </w:rPr>
        <w:t>suas terras</w:t>
      </w:r>
      <w:r w:rsidR="004756C1" w:rsidRPr="002F50BD">
        <w:rPr>
          <w:rFonts w:ascii="Verdana" w:hAnsi="Verdana"/>
          <w:sz w:val="20"/>
          <w:lang w:val="pt-BR"/>
        </w:rPr>
        <w:t xml:space="preserve"> tr</w:t>
      </w:r>
      <w:r w:rsidRPr="002F50BD">
        <w:rPr>
          <w:rFonts w:ascii="Verdana" w:hAnsi="Verdana"/>
          <w:sz w:val="20"/>
          <w:lang w:val="pt-BR"/>
        </w:rPr>
        <w:t>adicionais</w:t>
      </w:r>
      <w:r w:rsidR="00D95E71" w:rsidRPr="002F50BD">
        <w:rPr>
          <w:rFonts w:ascii="Verdana" w:hAnsi="Verdana"/>
          <w:sz w:val="20"/>
          <w:lang w:val="pt-BR"/>
        </w:rPr>
        <w:t xml:space="preserve">. O </w:t>
      </w:r>
      <w:r w:rsidRPr="002F50BD">
        <w:rPr>
          <w:rFonts w:ascii="Verdana" w:hAnsi="Verdana"/>
          <w:sz w:val="20"/>
          <w:lang w:val="pt-BR"/>
        </w:rPr>
        <w:t>deslocamento dos membro</w:t>
      </w:r>
      <w:r w:rsidR="004756C1" w:rsidRPr="002F50BD">
        <w:rPr>
          <w:rFonts w:ascii="Verdana" w:hAnsi="Verdana"/>
          <w:sz w:val="20"/>
          <w:lang w:val="pt-BR"/>
        </w:rPr>
        <w:t>s</w:t>
      </w:r>
      <w:r w:rsidRPr="002F50BD">
        <w:rPr>
          <w:rFonts w:ascii="Verdana" w:hAnsi="Verdana"/>
          <w:sz w:val="20"/>
          <w:lang w:val="pt-BR"/>
        </w:rPr>
        <w:t xml:space="preserve"> da Comunidade desta</w:t>
      </w:r>
      <w:r w:rsidR="004756C1" w:rsidRPr="002F50BD">
        <w:rPr>
          <w:rFonts w:ascii="Verdana" w:hAnsi="Verdana"/>
          <w:sz w:val="20"/>
          <w:lang w:val="pt-BR"/>
        </w:rPr>
        <w:t xml:space="preserve">s </w:t>
      </w:r>
      <w:r w:rsidRPr="002F50BD">
        <w:rPr>
          <w:rFonts w:ascii="Verdana" w:hAnsi="Verdana"/>
          <w:sz w:val="20"/>
          <w:lang w:val="pt-BR"/>
        </w:rPr>
        <w:t>terra</w:t>
      </w:r>
      <w:r w:rsidR="004756C1" w:rsidRPr="002F50BD">
        <w:rPr>
          <w:rFonts w:ascii="Verdana" w:hAnsi="Verdana"/>
          <w:sz w:val="20"/>
          <w:lang w:val="pt-BR"/>
        </w:rPr>
        <w:t xml:space="preserve">s </w:t>
      </w:r>
      <w:r w:rsidR="0067662E" w:rsidRPr="002F50BD">
        <w:rPr>
          <w:rFonts w:ascii="Verdana" w:hAnsi="Verdana"/>
          <w:sz w:val="20"/>
          <w:lang w:val="pt-BR"/>
        </w:rPr>
        <w:t xml:space="preserve">fez com </w:t>
      </w:r>
      <w:r w:rsidR="004756C1" w:rsidRPr="002F50BD">
        <w:rPr>
          <w:rFonts w:ascii="Verdana" w:hAnsi="Verdana"/>
          <w:sz w:val="20"/>
          <w:lang w:val="pt-BR"/>
        </w:rPr>
        <w:t xml:space="preserve">que </w:t>
      </w:r>
      <w:r w:rsidRPr="002F50BD">
        <w:rPr>
          <w:rFonts w:ascii="Verdana" w:hAnsi="Verdana"/>
          <w:sz w:val="20"/>
          <w:lang w:val="pt-BR"/>
        </w:rPr>
        <w:t xml:space="preserve">tenham </w:t>
      </w:r>
      <w:r w:rsidR="00E72F67" w:rsidRPr="002F50BD">
        <w:rPr>
          <w:rFonts w:ascii="Verdana" w:hAnsi="Verdana"/>
          <w:sz w:val="20"/>
          <w:lang w:val="pt-BR"/>
        </w:rPr>
        <w:t xml:space="preserve">dificuldades </w:t>
      </w:r>
      <w:r w:rsidRPr="002F50BD">
        <w:rPr>
          <w:rFonts w:ascii="Verdana" w:hAnsi="Verdana"/>
          <w:sz w:val="20"/>
          <w:lang w:val="pt-BR"/>
        </w:rPr>
        <w:t xml:space="preserve">especiais e </w:t>
      </w:r>
      <w:r w:rsidR="004756C1" w:rsidRPr="002F50BD">
        <w:rPr>
          <w:rFonts w:ascii="Verdana" w:hAnsi="Verdana"/>
          <w:sz w:val="20"/>
          <w:lang w:val="pt-BR"/>
        </w:rPr>
        <w:t xml:space="preserve">graves para </w:t>
      </w:r>
      <w:r w:rsidRPr="002F50BD">
        <w:rPr>
          <w:rFonts w:ascii="Verdana" w:hAnsi="Verdana"/>
          <w:sz w:val="20"/>
          <w:lang w:val="pt-BR"/>
        </w:rPr>
        <w:t>obter</w:t>
      </w:r>
      <w:r w:rsidR="004756C1" w:rsidRPr="002F50BD">
        <w:rPr>
          <w:rFonts w:ascii="Verdana" w:hAnsi="Verdana"/>
          <w:sz w:val="20"/>
          <w:lang w:val="pt-BR"/>
        </w:rPr>
        <w:t xml:space="preserve"> alimento, principalmente porque</w:t>
      </w:r>
      <w:r w:rsidRPr="002F50BD">
        <w:rPr>
          <w:rFonts w:ascii="Verdana" w:hAnsi="Verdana"/>
          <w:sz w:val="20"/>
          <w:lang w:val="pt-BR"/>
        </w:rPr>
        <w:t xml:space="preserve"> a </w:t>
      </w:r>
      <w:r w:rsidR="004756C1" w:rsidRPr="002F50BD">
        <w:rPr>
          <w:rFonts w:ascii="Verdana" w:hAnsi="Verdana"/>
          <w:sz w:val="20"/>
          <w:lang w:val="pt-BR"/>
        </w:rPr>
        <w:t>zona que compre</w:t>
      </w:r>
      <w:r w:rsidR="00E72F67" w:rsidRPr="002F50BD">
        <w:rPr>
          <w:rFonts w:ascii="Verdana" w:hAnsi="Verdana"/>
          <w:sz w:val="20"/>
          <w:lang w:val="pt-BR"/>
        </w:rPr>
        <w:t>e</w:t>
      </w:r>
      <w:r w:rsidR="004756C1" w:rsidRPr="002F50BD">
        <w:rPr>
          <w:rFonts w:ascii="Verdana" w:hAnsi="Verdana"/>
          <w:sz w:val="20"/>
          <w:lang w:val="pt-BR"/>
        </w:rPr>
        <w:t>nde s</w:t>
      </w:r>
      <w:r w:rsidR="00E72F67" w:rsidRPr="002F50BD">
        <w:rPr>
          <w:rFonts w:ascii="Verdana" w:hAnsi="Verdana"/>
          <w:sz w:val="20"/>
          <w:lang w:val="pt-BR"/>
        </w:rPr>
        <w:t>e</w:t>
      </w:r>
      <w:r w:rsidR="004756C1" w:rsidRPr="002F50BD">
        <w:rPr>
          <w:rFonts w:ascii="Verdana" w:hAnsi="Verdana"/>
          <w:sz w:val="20"/>
          <w:lang w:val="pt-BR"/>
        </w:rPr>
        <w:t xml:space="preserve">u </w:t>
      </w:r>
      <w:r w:rsidR="00AB454A" w:rsidRPr="002F50BD">
        <w:rPr>
          <w:rFonts w:ascii="Verdana" w:hAnsi="Verdana"/>
          <w:sz w:val="20"/>
          <w:lang w:val="pt-BR"/>
        </w:rPr>
        <w:t>assentamento</w:t>
      </w:r>
      <w:r w:rsidR="004756C1" w:rsidRPr="002F50BD">
        <w:rPr>
          <w:rFonts w:ascii="Verdana" w:hAnsi="Verdana"/>
          <w:sz w:val="20"/>
          <w:lang w:val="pt-BR"/>
        </w:rPr>
        <w:t xml:space="preserve"> tempor</w:t>
      </w:r>
      <w:r w:rsidR="00E72F67" w:rsidRPr="002F50BD">
        <w:rPr>
          <w:rFonts w:ascii="Verdana" w:hAnsi="Verdana"/>
          <w:sz w:val="20"/>
          <w:lang w:val="pt-BR"/>
        </w:rPr>
        <w:t xml:space="preserve">ário não </w:t>
      </w:r>
      <w:r w:rsidRPr="002F50BD">
        <w:rPr>
          <w:rFonts w:ascii="Verdana" w:hAnsi="Verdana"/>
          <w:sz w:val="20"/>
          <w:lang w:val="pt-BR"/>
        </w:rPr>
        <w:t xml:space="preserve">conta com 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as para</w:t>
      </w:r>
      <w:r w:rsidRPr="002F50BD">
        <w:rPr>
          <w:rFonts w:ascii="Verdana" w:hAnsi="Verdana"/>
          <w:sz w:val="20"/>
          <w:lang w:val="pt-BR"/>
        </w:rPr>
        <w:t xml:space="preserve"> o </w:t>
      </w:r>
      <w:r w:rsidR="004756C1" w:rsidRPr="002F50BD">
        <w:rPr>
          <w:rFonts w:ascii="Verdana" w:hAnsi="Verdana"/>
          <w:sz w:val="20"/>
          <w:lang w:val="pt-BR"/>
        </w:rPr>
        <w:t>cultivo</w:t>
      </w:r>
      <w:r w:rsidRPr="002F50BD">
        <w:rPr>
          <w:rFonts w:ascii="Verdana" w:hAnsi="Verdana"/>
          <w:sz w:val="20"/>
          <w:lang w:val="pt-BR"/>
        </w:rPr>
        <w:t xml:space="preserve"> nem </w:t>
      </w:r>
      <w:r w:rsidR="004756C1" w:rsidRPr="002F50BD">
        <w:rPr>
          <w:rFonts w:ascii="Verdana" w:hAnsi="Verdana"/>
          <w:sz w:val="20"/>
          <w:lang w:val="pt-BR"/>
        </w:rPr>
        <w:t>para</w:t>
      </w:r>
      <w:r w:rsidRPr="002F50BD">
        <w:rPr>
          <w:rFonts w:ascii="Verdana" w:hAnsi="Verdana"/>
          <w:sz w:val="20"/>
          <w:lang w:val="pt-BR"/>
        </w:rPr>
        <w:t xml:space="preserve"> a prática</w:t>
      </w:r>
      <w:r w:rsidR="004756C1" w:rsidRPr="002F50BD">
        <w:rPr>
          <w:rFonts w:ascii="Verdana" w:hAnsi="Verdana"/>
          <w:sz w:val="20"/>
          <w:lang w:val="pt-BR"/>
        </w:rPr>
        <w:t xml:space="preserve"> de </w:t>
      </w:r>
      <w:r w:rsidR="004076AD" w:rsidRPr="002F50BD">
        <w:rPr>
          <w:rFonts w:ascii="Verdana" w:hAnsi="Verdana"/>
          <w:sz w:val="20"/>
          <w:lang w:val="pt-BR"/>
        </w:rPr>
        <w:t>suas atividades</w:t>
      </w:r>
      <w:r w:rsidR="004756C1" w:rsidRPr="002F50BD">
        <w:rPr>
          <w:rFonts w:ascii="Verdana" w:hAnsi="Verdana"/>
          <w:sz w:val="20"/>
          <w:lang w:val="pt-BR"/>
        </w:rPr>
        <w:t xml:space="preserve"> tr</w:t>
      </w:r>
      <w:r w:rsidRPr="002F50BD">
        <w:rPr>
          <w:rFonts w:ascii="Verdana" w:hAnsi="Verdana"/>
          <w:sz w:val="20"/>
          <w:lang w:val="pt-BR"/>
        </w:rPr>
        <w:t>adicionais</w:t>
      </w:r>
      <w:r w:rsidR="004756C1" w:rsidRPr="002F50BD">
        <w:rPr>
          <w:rFonts w:ascii="Verdana" w:hAnsi="Verdana"/>
          <w:sz w:val="20"/>
          <w:lang w:val="pt-BR"/>
        </w:rPr>
        <w:t xml:space="preserve"> de </w:t>
      </w:r>
      <w:r w:rsidRPr="002F50BD">
        <w:rPr>
          <w:rFonts w:ascii="Verdana" w:hAnsi="Verdana"/>
          <w:sz w:val="20"/>
          <w:lang w:val="pt-BR"/>
        </w:rPr>
        <w:t>subsistência</w:t>
      </w:r>
      <w:r w:rsidR="004756C1" w:rsidRPr="002F50BD">
        <w:rPr>
          <w:rFonts w:ascii="Verdana" w:hAnsi="Verdana"/>
          <w:sz w:val="20"/>
          <w:lang w:val="pt-BR"/>
        </w:rPr>
        <w:t>,</w:t>
      </w:r>
      <w:r w:rsidRPr="002F50BD">
        <w:rPr>
          <w:rFonts w:ascii="Verdana" w:hAnsi="Verdana"/>
          <w:sz w:val="20"/>
          <w:lang w:val="pt-BR"/>
        </w:rPr>
        <w:t xml:space="preserve"> tais </w:t>
      </w:r>
      <w:r w:rsidR="004756C1" w:rsidRPr="002F50BD">
        <w:rPr>
          <w:rFonts w:ascii="Verdana" w:hAnsi="Verdana"/>
          <w:sz w:val="20"/>
          <w:lang w:val="pt-BR"/>
        </w:rPr>
        <w:t xml:space="preserve">como </w:t>
      </w:r>
      <w:r w:rsidR="00AB454A" w:rsidRPr="002F50BD">
        <w:rPr>
          <w:rFonts w:ascii="Verdana" w:hAnsi="Verdana"/>
          <w:sz w:val="20"/>
          <w:lang w:val="pt-BR"/>
        </w:rPr>
        <w:t>caça</w:t>
      </w:r>
      <w:r w:rsidR="004756C1" w:rsidRPr="002F50BD">
        <w:rPr>
          <w:rFonts w:ascii="Verdana" w:hAnsi="Verdana"/>
          <w:sz w:val="20"/>
          <w:lang w:val="pt-BR"/>
        </w:rPr>
        <w:t>, pesca</w:t>
      </w:r>
      <w:r w:rsidRPr="002F50BD">
        <w:rPr>
          <w:rFonts w:ascii="Verdana" w:hAnsi="Verdana"/>
          <w:sz w:val="20"/>
          <w:lang w:val="pt-BR"/>
        </w:rPr>
        <w:t xml:space="preserve"> e </w:t>
      </w:r>
      <w:r w:rsidR="00E72F67" w:rsidRPr="002F50BD">
        <w:rPr>
          <w:rFonts w:ascii="Verdana" w:hAnsi="Verdana"/>
          <w:sz w:val="20"/>
          <w:lang w:val="pt-BR"/>
        </w:rPr>
        <w:t>coleta</w:t>
      </w:r>
      <w:r w:rsidR="004756C1" w:rsidRPr="002F50BD">
        <w:rPr>
          <w:rFonts w:ascii="Verdana" w:hAnsi="Verdana"/>
          <w:sz w:val="20"/>
          <w:lang w:val="pt-BR"/>
        </w:rPr>
        <w:t xml:space="preserve">. </w:t>
      </w:r>
      <w:r w:rsidR="00E72F67" w:rsidRPr="002F50BD">
        <w:rPr>
          <w:rFonts w:ascii="Verdana" w:hAnsi="Verdana"/>
          <w:sz w:val="20"/>
          <w:lang w:val="pt-BR"/>
        </w:rPr>
        <w:t>Além disso</w:t>
      </w:r>
      <w:r w:rsidR="004756C1" w:rsidRPr="002F50BD">
        <w:rPr>
          <w:rFonts w:ascii="Verdana" w:hAnsi="Verdana"/>
          <w:sz w:val="20"/>
          <w:lang w:val="pt-BR"/>
        </w:rPr>
        <w:t>,</w:t>
      </w:r>
      <w:r w:rsidRPr="002F50BD">
        <w:rPr>
          <w:rFonts w:ascii="Verdana" w:hAnsi="Verdana"/>
          <w:sz w:val="20"/>
          <w:lang w:val="pt-BR"/>
        </w:rPr>
        <w:t xml:space="preserve"> neste </w:t>
      </w:r>
      <w:r w:rsidR="00AB454A" w:rsidRPr="002F50BD">
        <w:rPr>
          <w:rFonts w:ascii="Verdana" w:hAnsi="Verdana"/>
          <w:sz w:val="20"/>
          <w:lang w:val="pt-BR"/>
        </w:rPr>
        <w:t>assentamento</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E72F67" w:rsidRPr="002F50BD">
        <w:rPr>
          <w:rFonts w:ascii="Verdana" w:hAnsi="Verdana"/>
          <w:sz w:val="20"/>
          <w:lang w:val="pt-BR"/>
        </w:rPr>
        <w:t xml:space="preserve">estão </w:t>
      </w:r>
      <w:r w:rsidRPr="002F50BD">
        <w:rPr>
          <w:rFonts w:ascii="Verdana" w:hAnsi="Verdana"/>
          <w:sz w:val="20"/>
          <w:lang w:val="pt-BR"/>
        </w:rPr>
        <w:t>impossibilitad</w:t>
      </w:r>
      <w:r w:rsidR="004756C1" w:rsidRPr="002F50BD">
        <w:rPr>
          <w:rFonts w:ascii="Verdana" w:hAnsi="Verdana"/>
          <w:sz w:val="20"/>
          <w:lang w:val="pt-BR"/>
        </w:rPr>
        <w:t>o</w:t>
      </w:r>
      <w:r w:rsidR="00E72F67" w:rsidRPr="002F50BD">
        <w:rPr>
          <w:rFonts w:ascii="Verdana" w:hAnsi="Verdana"/>
          <w:sz w:val="20"/>
          <w:lang w:val="pt-BR"/>
        </w:rPr>
        <w:t>s</w:t>
      </w:r>
      <w:r w:rsidRPr="002F50BD">
        <w:rPr>
          <w:rFonts w:ascii="Verdana" w:hAnsi="Verdana"/>
          <w:sz w:val="20"/>
          <w:lang w:val="pt-BR"/>
        </w:rPr>
        <w:t xml:space="preserve"> </w:t>
      </w:r>
      <w:r w:rsidR="00E72F67" w:rsidRPr="002F50BD">
        <w:rPr>
          <w:rFonts w:ascii="Verdana" w:hAnsi="Verdana"/>
          <w:sz w:val="20"/>
          <w:lang w:val="pt-BR"/>
        </w:rPr>
        <w:t xml:space="preserve">de ter acesso a uma casa </w:t>
      </w:r>
      <w:r w:rsidRPr="002F50BD">
        <w:rPr>
          <w:rFonts w:ascii="Verdana" w:hAnsi="Verdana"/>
          <w:sz w:val="20"/>
          <w:lang w:val="pt-BR"/>
        </w:rPr>
        <w:t>adequad</w:t>
      </w:r>
      <w:r w:rsidR="004756C1" w:rsidRPr="002F50BD">
        <w:rPr>
          <w:rFonts w:ascii="Verdana" w:hAnsi="Verdana"/>
          <w:sz w:val="20"/>
          <w:lang w:val="pt-BR"/>
        </w:rPr>
        <w:t>a dotada</w:t>
      </w:r>
      <w:r w:rsidRPr="002F50BD">
        <w:rPr>
          <w:rFonts w:ascii="Verdana" w:hAnsi="Verdana"/>
          <w:sz w:val="20"/>
          <w:lang w:val="pt-BR"/>
        </w:rPr>
        <w:t xml:space="preserve"> dos serviço</w:t>
      </w:r>
      <w:r w:rsidR="004756C1" w:rsidRPr="002F50BD">
        <w:rPr>
          <w:rFonts w:ascii="Verdana" w:hAnsi="Verdana"/>
          <w:sz w:val="20"/>
          <w:lang w:val="pt-BR"/>
        </w:rPr>
        <w:t xml:space="preserve">s básicos mínimos, </w:t>
      </w:r>
      <w:r w:rsidR="00E72F67" w:rsidRPr="002F50BD">
        <w:rPr>
          <w:rFonts w:ascii="Verdana" w:hAnsi="Verdana"/>
          <w:sz w:val="20"/>
          <w:lang w:val="pt-BR"/>
        </w:rPr>
        <w:t xml:space="preserve">bem </w:t>
      </w:r>
      <w:r w:rsidR="004756C1" w:rsidRPr="002F50BD">
        <w:rPr>
          <w:rFonts w:ascii="Verdana" w:hAnsi="Verdana"/>
          <w:sz w:val="20"/>
          <w:lang w:val="pt-BR"/>
        </w:rPr>
        <w:t xml:space="preserve">como </w:t>
      </w:r>
      <w:r w:rsidR="00FC6B22" w:rsidRPr="002F50BD">
        <w:rPr>
          <w:rFonts w:ascii="Verdana" w:hAnsi="Verdana"/>
          <w:sz w:val="20"/>
          <w:lang w:val="pt-BR"/>
        </w:rPr>
        <w:t>à</w:t>
      </w:r>
      <w:r w:rsidR="00AB454A" w:rsidRPr="002F50BD">
        <w:rPr>
          <w:rFonts w:ascii="Verdana" w:hAnsi="Verdana"/>
          <w:sz w:val="20"/>
          <w:lang w:val="pt-BR"/>
        </w:rPr>
        <w:t xml:space="preserve"> água </w:t>
      </w:r>
      <w:r w:rsidR="004756C1" w:rsidRPr="002F50BD">
        <w:rPr>
          <w:rFonts w:ascii="Verdana" w:hAnsi="Verdana"/>
          <w:sz w:val="20"/>
          <w:lang w:val="pt-BR"/>
        </w:rPr>
        <w:t>limpa</w:t>
      </w:r>
      <w:r w:rsidRPr="002F50BD">
        <w:rPr>
          <w:rFonts w:ascii="Verdana" w:hAnsi="Verdana"/>
          <w:sz w:val="20"/>
          <w:lang w:val="pt-BR"/>
        </w:rPr>
        <w:t xml:space="preserve"> e </w:t>
      </w:r>
      <w:r w:rsidR="00E72F67" w:rsidRPr="002F50BD">
        <w:rPr>
          <w:rFonts w:ascii="Verdana" w:hAnsi="Verdana"/>
          <w:sz w:val="20"/>
          <w:lang w:val="pt-BR"/>
        </w:rPr>
        <w:t xml:space="preserve">a </w:t>
      </w:r>
      <w:r w:rsidRPr="002F50BD">
        <w:rPr>
          <w:rFonts w:ascii="Verdana" w:hAnsi="Verdana"/>
          <w:sz w:val="20"/>
          <w:lang w:val="pt-BR"/>
        </w:rPr>
        <w:t>serviço</w:t>
      </w:r>
      <w:r w:rsidR="004756C1" w:rsidRPr="002F50BD">
        <w:rPr>
          <w:rFonts w:ascii="Verdana" w:hAnsi="Verdana"/>
          <w:sz w:val="20"/>
          <w:lang w:val="pt-BR"/>
        </w:rPr>
        <w:t>s sanit</w:t>
      </w:r>
      <w:r w:rsidR="00E72F67" w:rsidRPr="002F50BD">
        <w:rPr>
          <w:rFonts w:ascii="Verdana" w:hAnsi="Verdana"/>
          <w:sz w:val="20"/>
          <w:lang w:val="pt-BR"/>
        </w:rPr>
        <w:t>á</w:t>
      </w:r>
      <w:r w:rsidR="004756C1" w:rsidRPr="002F50BD">
        <w:rPr>
          <w:rFonts w:ascii="Verdana" w:hAnsi="Verdana"/>
          <w:sz w:val="20"/>
          <w:lang w:val="pt-BR"/>
        </w:rPr>
        <w:t>rios.</w:t>
      </w:r>
    </w:p>
    <w:p w:rsidR="004756C1" w:rsidRPr="002F50BD" w:rsidRDefault="004756C1">
      <w:pPr>
        <w:widowControl w:val="0"/>
        <w:jc w:val="both"/>
        <w:rPr>
          <w:rFonts w:ascii="Verdana" w:hAnsi="Verdana"/>
          <w:sz w:val="20"/>
          <w:lang w:val="pt-BR"/>
        </w:rPr>
      </w:pPr>
    </w:p>
    <w:p w:rsidR="004756C1" w:rsidRPr="002F50BD" w:rsidRDefault="004756C1">
      <w:pPr>
        <w:widowControl w:val="0"/>
        <w:numPr>
          <w:ilvl w:val="0"/>
          <w:numId w:val="28"/>
        </w:numPr>
        <w:jc w:val="both"/>
        <w:rPr>
          <w:rFonts w:ascii="Verdana" w:hAnsi="Verdana"/>
          <w:sz w:val="20"/>
          <w:lang w:val="pt-BR"/>
        </w:rPr>
      </w:pPr>
      <w:r w:rsidRPr="002F50BD">
        <w:rPr>
          <w:rFonts w:ascii="Verdana" w:hAnsi="Verdana"/>
          <w:sz w:val="20"/>
          <w:lang w:val="pt-BR"/>
        </w:rPr>
        <w:t>Estas condi</w:t>
      </w:r>
      <w:r w:rsidR="0089298C" w:rsidRPr="002F50BD">
        <w:rPr>
          <w:rFonts w:ascii="Verdana" w:hAnsi="Verdana"/>
          <w:sz w:val="20"/>
          <w:lang w:val="pt-BR"/>
        </w:rPr>
        <w:t>ções</w:t>
      </w:r>
      <w:r w:rsidRPr="002F50BD">
        <w:rPr>
          <w:rFonts w:ascii="Verdana" w:hAnsi="Verdana"/>
          <w:sz w:val="20"/>
          <w:lang w:val="pt-BR"/>
        </w:rPr>
        <w:t xml:space="preserve"> </w:t>
      </w:r>
      <w:r w:rsidR="00E72F67" w:rsidRPr="002F50BD">
        <w:rPr>
          <w:rFonts w:ascii="Verdana" w:hAnsi="Verdana"/>
          <w:sz w:val="20"/>
          <w:lang w:val="pt-BR"/>
        </w:rPr>
        <w:t xml:space="preserve">têm um impacto </w:t>
      </w:r>
      <w:r w:rsidRPr="002F50BD">
        <w:rPr>
          <w:rFonts w:ascii="Verdana" w:hAnsi="Verdana"/>
          <w:sz w:val="20"/>
          <w:lang w:val="pt-BR"/>
        </w:rPr>
        <w:t>negativ</w:t>
      </w:r>
      <w:r w:rsidR="00E72F67" w:rsidRPr="002F50BD">
        <w:rPr>
          <w:rFonts w:ascii="Verdana" w:hAnsi="Verdana"/>
          <w:sz w:val="20"/>
          <w:lang w:val="pt-BR"/>
        </w:rPr>
        <w:t>o</w:t>
      </w:r>
      <w:r w:rsidR="0089298C" w:rsidRPr="002F50BD">
        <w:rPr>
          <w:rFonts w:ascii="Verdana" w:hAnsi="Verdana"/>
          <w:sz w:val="20"/>
          <w:lang w:val="pt-BR"/>
        </w:rPr>
        <w:t xml:space="preserve"> na devida </w:t>
      </w:r>
      <w:r w:rsidRPr="002F50BD">
        <w:rPr>
          <w:rFonts w:ascii="Verdana" w:hAnsi="Verdana"/>
          <w:sz w:val="20"/>
          <w:lang w:val="pt-BR"/>
        </w:rPr>
        <w:t>nutri</w:t>
      </w:r>
      <w:r w:rsidR="0089298C" w:rsidRPr="002F50BD">
        <w:rPr>
          <w:rFonts w:ascii="Verdana" w:hAnsi="Verdana"/>
          <w:sz w:val="20"/>
          <w:lang w:val="pt-BR"/>
        </w:rPr>
        <w:t>ção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 xml:space="preserve">que se </w:t>
      </w:r>
      <w:r w:rsidR="0089298C" w:rsidRPr="002F50BD">
        <w:rPr>
          <w:rFonts w:ascii="Verdana" w:hAnsi="Verdana"/>
          <w:sz w:val="20"/>
          <w:lang w:val="pt-BR"/>
        </w:rPr>
        <w:t xml:space="preserve">encontram neste </w:t>
      </w:r>
      <w:r w:rsidR="00AB454A" w:rsidRPr="002F50BD">
        <w:rPr>
          <w:rFonts w:ascii="Verdana" w:hAnsi="Verdana"/>
          <w:sz w:val="20"/>
          <w:lang w:val="pt-BR"/>
        </w:rPr>
        <w:t>assentamento</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97</w:t>
      </w:r>
      <w:r w:rsidR="00E72F67"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w:t>
      </w:r>
      <w:r w:rsidR="00FE08B7">
        <w:rPr>
          <w:rFonts w:ascii="Verdana" w:hAnsi="Verdana"/>
          <w:sz w:val="20"/>
          <w:lang w:val="pt-BR"/>
        </w:rPr>
        <w:t xml:space="preserve"> </w:t>
      </w:r>
      <w:r w:rsidRPr="002F50BD">
        <w:rPr>
          <w:rFonts w:ascii="Verdana" w:hAnsi="Verdana"/>
          <w:sz w:val="20"/>
          <w:lang w:val="pt-BR"/>
        </w:rPr>
        <w:t>A</w:t>
      </w:r>
      <w:r w:rsidR="0089298C" w:rsidRPr="002F50BD">
        <w:rPr>
          <w:rFonts w:ascii="Verdana" w:hAnsi="Verdana"/>
          <w:sz w:val="20"/>
          <w:lang w:val="pt-BR"/>
        </w:rPr>
        <w:t xml:space="preserve"> </w:t>
      </w:r>
      <w:r w:rsidR="00E72F67" w:rsidRPr="002F50BD">
        <w:rPr>
          <w:rFonts w:ascii="Verdana" w:hAnsi="Verdana"/>
          <w:sz w:val="20"/>
          <w:lang w:val="pt-BR"/>
        </w:rPr>
        <w:t xml:space="preserve">isso </w:t>
      </w:r>
      <w:r w:rsidRPr="002F50BD">
        <w:rPr>
          <w:rFonts w:ascii="Verdana" w:hAnsi="Verdana"/>
          <w:sz w:val="20"/>
          <w:lang w:val="pt-BR"/>
        </w:rPr>
        <w:t xml:space="preserve">se </w:t>
      </w:r>
      <w:r w:rsidR="00E72F67" w:rsidRPr="002F50BD">
        <w:rPr>
          <w:rFonts w:ascii="Verdana" w:hAnsi="Verdana"/>
          <w:sz w:val="20"/>
          <w:lang w:val="pt-BR"/>
        </w:rPr>
        <w:t>somam</w:t>
      </w:r>
      <w:r w:rsidRPr="002F50BD">
        <w:rPr>
          <w:rFonts w:ascii="Verdana" w:hAnsi="Verdana"/>
          <w:sz w:val="20"/>
          <w:lang w:val="pt-BR"/>
        </w:rPr>
        <w:t>, tal como</w:t>
      </w:r>
      <w:r w:rsidR="0089298C" w:rsidRPr="002F50BD">
        <w:rPr>
          <w:rFonts w:ascii="Verdana" w:hAnsi="Verdana"/>
          <w:sz w:val="20"/>
          <w:lang w:val="pt-BR"/>
        </w:rPr>
        <w:t xml:space="preserve"> foi provad</w:t>
      </w:r>
      <w:r w:rsidRPr="002F50BD">
        <w:rPr>
          <w:rFonts w:ascii="Verdana" w:hAnsi="Verdana"/>
          <w:sz w:val="20"/>
          <w:lang w:val="pt-BR"/>
        </w:rPr>
        <w:t>o</w:t>
      </w:r>
      <w:r w:rsidR="0089298C" w:rsidRPr="002F50BD">
        <w:rPr>
          <w:rFonts w:ascii="Verdana" w:hAnsi="Verdana"/>
          <w:sz w:val="20"/>
          <w:lang w:val="pt-BR"/>
        </w:rPr>
        <w:t xml:space="preserve"> no </w:t>
      </w:r>
      <w:r w:rsidRPr="002F50BD">
        <w:rPr>
          <w:rFonts w:ascii="Verdana" w:hAnsi="Verdana"/>
          <w:sz w:val="20"/>
          <w:lang w:val="pt-BR"/>
        </w:rPr>
        <w:t xml:space="preserve">presente caso </w:t>
      </w:r>
      <w:r w:rsidR="00CF451D" w:rsidRPr="00CF451D">
        <w:rPr>
          <w:rFonts w:ascii="Verdana" w:hAnsi="Verdana"/>
          <w:sz w:val="20"/>
          <w:lang w:val="pt-BR"/>
        </w:rPr>
        <w:t>(</w:t>
      </w:r>
      <w:r w:rsidR="0089298C" w:rsidRPr="002F50BD">
        <w:rPr>
          <w:rFonts w:ascii="Verdana" w:hAnsi="Verdana"/>
          <w:sz w:val="20"/>
          <w:lang w:val="pt-BR"/>
        </w:rPr>
        <w:t>pars.</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98</w:t>
      </w:r>
      <w:r w:rsidR="0089298C" w:rsidRPr="002F50BD">
        <w:rPr>
          <w:rFonts w:ascii="Verdana" w:hAnsi="Verdana"/>
          <w:sz w:val="20"/>
          <w:lang w:val="pt-BR"/>
        </w:rPr>
        <w:t xml:space="preserve"> 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99</w:t>
      </w:r>
      <w:r w:rsidR="00E72F67"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w:t>
      </w:r>
      <w:r w:rsidR="0089298C" w:rsidRPr="002F50BD">
        <w:rPr>
          <w:rFonts w:ascii="Verdana" w:hAnsi="Verdana"/>
          <w:sz w:val="20"/>
          <w:lang w:val="pt-BR"/>
        </w:rPr>
        <w:t xml:space="preserve"> as especiais</w:t>
      </w:r>
      <w:r w:rsidRPr="002F50BD">
        <w:rPr>
          <w:rFonts w:ascii="Verdana" w:hAnsi="Verdana"/>
          <w:sz w:val="20"/>
          <w:lang w:val="pt-BR"/>
        </w:rPr>
        <w:t xml:space="preserve"> </w:t>
      </w:r>
      <w:r w:rsidR="00E72F67" w:rsidRPr="002F50BD">
        <w:rPr>
          <w:rFonts w:ascii="Verdana" w:hAnsi="Verdana"/>
          <w:sz w:val="20"/>
          <w:lang w:val="pt-BR"/>
        </w:rPr>
        <w:t>deficiência</w:t>
      </w:r>
      <w:r w:rsidRPr="002F50BD">
        <w:rPr>
          <w:rFonts w:ascii="Verdana" w:hAnsi="Verdana"/>
          <w:sz w:val="20"/>
          <w:lang w:val="pt-BR"/>
        </w:rPr>
        <w:t>s</w:t>
      </w:r>
      <w:r w:rsidR="0089298C" w:rsidRPr="002F50BD">
        <w:rPr>
          <w:rFonts w:ascii="Verdana" w:hAnsi="Verdana"/>
          <w:sz w:val="20"/>
          <w:lang w:val="pt-BR"/>
        </w:rPr>
        <w:t xml:space="preserve"> na </w:t>
      </w:r>
      <w:r w:rsidRPr="002F50BD">
        <w:rPr>
          <w:rFonts w:ascii="Verdana" w:hAnsi="Verdana"/>
          <w:sz w:val="20"/>
          <w:lang w:val="pt-BR"/>
        </w:rPr>
        <w:t>educa</w:t>
      </w:r>
      <w:r w:rsidR="0089298C" w:rsidRPr="002F50BD">
        <w:rPr>
          <w:rFonts w:ascii="Verdana" w:hAnsi="Verdana"/>
          <w:sz w:val="20"/>
          <w:lang w:val="pt-BR"/>
        </w:rPr>
        <w:t>ção</w:t>
      </w:r>
      <w:r w:rsidRPr="002F50BD">
        <w:rPr>
          <w:rFonts w:ascii="Verdana" w:hAnsi="Verdana"/>
          <w:sz w:val="20"/>
          <w:lang w:val="pt-BR"/>
        </w:rPr>
        <w:t xml:space="preserve"> que </w:t>
      </w:r>
      <w:r w:rsidR="0089298C" w:rsidRPr="002F50BD">
        <w:rPr>
          <w:rFonts w:ascii="Verdana" w:hAnsi="Verdana"/>
          <w:sz w:val="20"/>
          <w:lang w:val="pt-BR"/>
        </w:rPr>
        <w:t xml:space="preserve">recebem </w:t>
      </w:r>
      <w:r w:rsidR="005A6BC7" w:rsidRPr="002F50BD">
        <w:rPr>
          <w:rFonts w:ascii="Verdana" w:hAnsi="Verdana"/>
          <w:sz w:val="20"/>
          <w:lang w:val="pt-BR"/>
        </w:rPr>
        <w:t>as crianças</w:t>
      </w:r>
      <w:r w:rsidR="0089298C" w:rsidRPr="002F50BD">
        <w:rPr>
          <w:rFonts w:ascii="Verdana" w:hAnsi="Verdana"/>
          <w:sz w:val="20"/>
          <w:lang w:val="pt-BR"/>
        </w:rPr>
        <w:t xml:space="preserve"> e a </w:t>
      </w:r>
      <w:r w:rsidR="00E72F67" w:rsidRPr="002F50BD">
        <w:rPr>
          <w:rFonts w:ascii="Verdana" w:hAnsi="Verdana"/>
          <w:sz w:val="20"/>
          <w:lang w:val="pt-BR"/>
        </w:rPr>
        <w:t xml:space="preserve">falta de acesso </w:t>
      </w:r>
      <w:r w:rsidRPr="002F50BD">
        <w:rPr>
          <w:rFonts w:ascii="Verdana" w:hAnsi="Verdana"/>
          <w:sz w:val="20"/>
          <w:lang w:val="pt-BR"/>
        </w:rPr>
        <w:t>físic</w:t>
      </w:r>
      <w:r w:rsidR="00E72F67" w:rsidRPr="002F50BD">
        <w:rPr>
          <w:rFonts w:ascii="Verdana" w:hAnsi="Verdana"/>
          <w:sz w:val="20"/>
          <w:lang w:val="pt-BR"/>
        </w:rPr>
        <w:t>o</w:t>
      </w:r>
      <w:r w:rsidR="0089298C" w:rsidRPr="002F50BD">
        <w:rPr>
          <w:rFonts w:ascii="Verdana" w:hAnsi="Verdana"/>
          <w:sz w:val="20"/>
          <w:lang w:val="pt-BR"/>
        </w:rPr>
        <w:t xml:space="preserve"> e econômic</w:t>
      </w:r>
      <w:r w:rsidR="00E72F67" w:rsidRPr="002F50BD">
        <w:rPr>
          <w:rFonts w:ascii="Verdana" w:hAnsi="Verdana"/>
          <w:sz w:val="20"/>
          <w:lang w:val="pt-BR"/>
        </w:rPr>
        <w:t>o</w:t>
      </w:r>
      <w:r w:rsidR="0089298C" w:rsidRPr="002F50BD">
        <w:rPr>
          <w:rFonts w:ascii="Verdana" w:hAnsi="Verdana"/>
          <w:sz w:val="20"/>
          <w:lang w:val="pt-BR"/>
        </w:rPr>
        <w:t xml:space="preserve"> à atenção</w:t>
      </w:r>
      <w:r w:rsidRPr="002F50BD">
        <w:rPr>
          <w:rFonts w:ascii="Verdana" w:hAnsi="Verdana"/>
          <w:sz w:val="20"/>
          <w:lang w:val="pt-BR"/>
        </w:rPr>
        <w:t xml:space="preserve"> de </w:t>
      </w:r>
      <w:r w:rsidR="0089298C" w:rsidRPr="002F50BD">
        <w:rPr>
          <w:rFonts w:ascii="Verdana" w:hAnsi="Verdana"/>
          <w:sz w:val="20"/>
          <w:lang w:val="pt-BR"/>
        </w:rPr>
        <w:t xml:space="preserve">saúde </w:t>
      </w:r>
      <w:r w:rsidR="000A7E90">
        <w:rPr>
          <w:rFonts w:ascii="Verdana" w:hAnsi="Verdana"/>
          <w:sz w:val="20"/>
          <w:lang w:val="pt-BR"/>
        </w:rPr>
        <w:t>a</w:t>
      </w:r>
      <w:r w:rsidR="0089298C" w:rsidRPr="002F50BD">
        <w:rPr>
          <w:rFonts w:ascii="Verdana" w:hAnsi="Verdana"/>
          <w:sz w:val="20"/>
          <w:lang w:val="pt-BR"/>
        </w:rPr>
        <w:t>os membro</w:t>
      </w:r>
      <w:r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p>
    <w:p w:rsidR="004756C1" w:rsidRPr="002F50BD" w:rsidRDefault="004756C1">
      <w:pPr>
        <w:widowControl w:val="0"/>
        <w:jc w:val="both"/>
        <w:rPr>
          <w:rFonts w:ascii="Verdana" w:hAnsi="Verdana"/>
          <w:sz w:val="20"/>
          <w:lang w:val="pt-BR"/>
        </w:rPr>
      </w:pPr>
    </w:p>
    <w:p w:rsidR="004756C1" w:rsidRPr="002F50BD" w:rsidRDefault="004076AD">
      <w:pPr>
        <w:widowControl w:val="0"/>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o Comitê</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 xml:space="preserve">Sociais e Culturais das </w:t>
      </w:r>
      <w:r w:rsidR="004756C1" w:rsidRPr="002F50BD">
        <w:rPr>
          <w:rFonts w:ascii="Verdana" w:hAnsi="Verdana"/>
          <w:sz w:val="20"/>
          <w:lang w:val="pt-BR"/>
        </w:rPr>
        <w:t>Na</w:t>
      </w:r>
      <w:r w:rsidR="0089298C" w:rsidRPr="002F50BD">
        <w:rPr>
          <w:rFonts w:ascii="Verdana" w:hAnsi="Verdana"/>
          <w:sz w:val="20"/>
          <w:lang w:val="pt-BR"/>
        </w:rPr>
        <w:t>ções</w:t>
      </w:r>
      <w:r w:rsidR="004756C1" w:rsidRPr="002F50BD">
        <w:rPr>
          <w:rFonts w:ascii="Verdana" w:hAnsi="Verdana"/>
          <w:sz w:val="20"/>
          <w:lang w:val="pt-BR"/>
        </w:rPr>
        <w:t xml:space="preserve"> Unidas</w:t>
      </w:r>
      <w:r w:rsidR="00FC6B22"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su</w:t>
      </w:r>
      <w:r w:rsidR="00E72F67" w:rsidRPr="002F50BD">
        <w:rPr>
          <w:rFonts w:ascii="Verdana" w:hAnsi="Verdana"/>
          <w:sz w:val="20"/>
          <w:lang w:val="pt-BR"/>
        </w:rPr>
        <w:t>a</w:t>
      </w:r>
      <w:r w:rsidR="004756C1" w:rsidRPr="002F50BD">
        <w:rPr>
          <w:rFonts w:ascii="Verdana" w:hAnsi="Verdana"/>
          <w:sz w:val="20"/>
          <w:lang w:val="pt-BR"/>
        </w:rPr>
        <w:t xml:space="preserve"> Observa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Geral</w:t>
      </w:r>
      <w:r w:rsidR="004756C1" w:rsidRPr="002F50BD">
        <w:rPr>
          <w:rFonts w:ascii="Verdana" w:hAnsi="Verdana"/>
          <w:sz w:val="20"/>
          <w:lang w:val="pt-BR"/>
        </w:rPr>
        <w:t xml:space="preserve"> </w:t>
      </w:r>
      <w:r w:rsidR="00063B47" w:rsidRPr="002F50BD">
        <w:rPr>
          <w:rFonts w:ascii="Verdana" w:hAnsi="Verdana"/>
          <w:sz w:val="20"/>
          <w:lang w:val="pt-BR"/>
        </w:rPr>
        <w:t>14</w:t>
      </w:r>
      <w:r w:rsidR="00FC6B22" w:rsidRPr="002F50BD">
        <w:rPr>
          <w:rFonts w:ascii="Verdana" w:hAnsi="Verdana"/>
          <w:sz w:val="20"/>
          <w:lang w:val="pt-BR"/>
        </w:rPr>
        <w:t>,</w:t>
      </w:r>
      <w:r w:rsidR="004756C1" w:rsidRPr="002F50BD">
        <w:rPr>
          <w:rFonts w:ascii="Verdana" w:hAnsi="Verdana"/>
          <w:sz w:val="20"/>
          <w:lang w:val="pt-BR"/>
        </w:rPr>
        <w:t xml:space="preserve"> sobre</w:t>
      </w:r>
      <w:r w:rsidR="0089298C" w:rsidRPr="002F50BD">
        <w:rPr>
          <w:rFonts w:ascii="Verdana" w:hAnsi="Verdana"/>
          <w:sz w:val="20"/>
          <w:lang w:val="pt-BR"/>
        </w:rPr>
        <w:t xml:space="preserve"> o direito </w:t>
      </w:r>
      <w:r w:rsidR="00E72F67" w:rsidRPr="002F50BD">
        <w:rPr>
          <w:rFonts w:ascii="Verdana" w:hAnsi="Verdana"/>
          <w:sz w:val="20"/>
          <w:lang w:val="pt-BR"/>
        </w:rPr>
        <w:t>de desfrutar</w:t>
      </w:r>
      <w:r w:rsidR="004756C1" w:rsidRPr="002F50BD">
        <w:rPr>
          <w:rFonts w:ascii="Verdana" w:hAnsi="Verdana"/>
          <w:sz w:val="20"/>
          <w:lang w:val="pt-BR"/>
        </w:rPr>
        <w:t xml:space="preserve"> </w:t>
      </w:r>
      <w:r w:rsidR="0089298C" w:rsidRPr="002F50BD">
        <w:rPr>
          <w:rFonts w:ascii="Verdana" w:hAnsi="Verdana"/>
          <w:sz w:val="20"/>
          <w:lang w:val="pt-BR"/>
        </w:rPr>
        <w:t xml:space="preserve">do mais </w:t>
      </w:r>
      <w:r w:rsidR="004756C1" w:rsidRPr="002F50BD">
        <w:rPr>
          <w:rFonts w:ascii="Verdana" w:hAnsi="Verdana"/>
          <w:sz w:val="20"/>
          <w:lang w:val="pt-BR"/>
        </w:rPr>
        <w:t>alto</w:t>
      </w:r>
      <w:r w:rsidR="0089298C" w:rsidRPr="002F50BD">
        <w:rPr>
          <w:rFonts w:ascii="Verdana" w:hAnsi="Verdana"/>
          <w:sz w:val="20"/>
          <w:lang w:val="pt-BR"/>
        </w:rPr>
        <w:t xml:space="preserve"> nível possível </w:t>
      </w:r>
      <w:r w:rsidR="004756C1" w:rsidRPr="002F50BD">
        <w:rPr>
          <w:rFonts w:ascii="Verdana" w:hAnsi="Verdana"/>
          <w:sz w:val="20"/>
          <w:lang w:val="pt-BR"/>
        </w:rPr>
        <w:t xml:space="preserve">de </w:t>
      </w:r>
      <w:r w:rsidR="0089298C" w:rsidRPr="002F50BD">
        <w:rPr>
          <w:rFonts w:ascii="Verdana" w:hAnsi="Verdana"/>
          <w:sz w:val="20"/>
          <w:lang w:val="pt-BR"/>
        </w:rPr>
        <w:t>saúde</w:t>
      </w:r>
      <w:r w:rsidR="004756C1" w:rsidRPr="002F50BD">
        <w:rPr>
          <w:rFonts w:ascii="Verdana" w:hAnsi="Verdana"/>
          <w:sz w:val="20"/>
          <w:lang w:val="pt-BR"/>
        </w:rPr>
        <w:t xml:space="preserve"> </w:t>
      </w:r>
      <w:r w:rsidR="0089298C" w:rsidRPr="002F50BD">
        <w:rPr>
          <w:rFonts w:ascii="Verdana" w:hAnsi="Verdana"/>
          <w:sz w:val="20"/>
          <w:lang w:val="pt-BR"/>
        </w:rPr>
        <w:t>afirmou</w:t>
      </w:r>
      <w:r w:rsidR="004756C1" w:rsidRPr="002F50BD">
        <w:rPr>
          <w:rFonts w:ascii="Verdana" w:hAnsi="Verdana"/>
          <w:sz w:val="20"/>
          <w:lang w:val="pt-BR"/>
        </w:rPr>
        <w:t xml:space="preserve"> que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w:t>
      </w:r>
      <w:r w:rsidR="00E72F67" w:rsidRPr="002F50BD">
        <w:rPr>
          <w:rFonts w:ascii="Verdana" w:hAnsi="Verdana"/>
          <w:sz w:val="16"/>
          <w:szCs w:val="32"/>
          <w:lang w:val="pt-BR"/>
        </w:rPr>
        <w:t>o</w:t>
      </w:r>
      <w:r w:rsidRPr="002F50BD">
        <w:rPr>
          <w:rFonts w:ascii="Verdana" w:hAnsi="Verdana"/>
          <w:sz w:val="16"/>
          <w:szCs w:val="32"/>
          <w:lang w:val="pt-BR"/>
        </w:rPr>
        <w:t xml:space="preserve">]s </w:t>
      </w:r>
      <w:r w:rsidR="0089298C" w:rsidRPr="002F50BD">
        <w:rPr>
          <w:rFonts w:ascii="Verdana" w:hAnsi="Verdana"/>
          <w:sz w:val="16"/>
          <w:szCs w:val="32"/>
          <w:lang w:val="pt-BR"/>
        </w:rPr>
        <w:t>povo</w:t>
      </w:r>
      <w:r w:rsidRPr="002F50BD">
        <w:rPr>
          <w:rFonts w:ascii="Verdana" w:hAnsi="Verdana"/>
          <w:sz w:val="16"/>
          <w:szCs w:val="32"/>
          <w:lang w:val="pt-BR"/>
        </w:rPr>
        <w:t xml:space="preserve">s indígenas </w:t>
      </w:r>
      <w:r w:rsidR="0089298C" w:rsidRPr="002F50BD">
        <w:rPr>
          <w:rFonts w:ascii="Verdana" w:hAnsi="Verdana"/>
          <w:sz w:val="16"/>
          <w:szCs w:val="32"/>
          <w:lang w:val="pt-BR"/>
        </w:rPr>
        <w:t>têm</w:t>
      </w:r>
      <w:r w:rsidRPr="002F50BD">
        <w:rPr>
          <w:rFonts w:ascii="Verdana" w:hAnsi="Verdana"/>
          <w:sz w:val="16"/>
          <w:szCs w:val="32"/>
          <w:lang w:val="pt-BR"/>
        </w:rPr>
        <w:t xml:space="preserve"> </w:t>
      </w:r>
      <w:r w:rsidR="0089298C" w:rsidRPr="002F50BD">
        <w:rPr>
          <w:rFonts w:ascii="Verdana" w:hAnsi="Verdana"/>
          <w:sz w:val="16"/>
          <w:szCs w:val="32"/>
          <w:lang w:val="pt-BR"/>
        </w:rPr>
        <w:t>direito</w:t>
      </w:r>
      <w:r w:rsidRPr="002F50BD">
        <w:rPr>
          <w:rFonts w:ascii="Verdana" w:hAnsi="Verdana"/>
          <w:sz w:val="16"/>
          <w:szCs w:val="32"/>
          <w:lang w:val="pt-BR"/>
        </w:rPr>
        <w:t xml:space="preserve"> a medidas específicas que</w:t>
      </w:r>
      <w:r w:rsidR="0089298C" w:rsidRPr="002F50BD">
        <w:rPr>
          <w:rFonts w:ascii="Verdana" w:hAnsi="Verdana"/>
          <w:sz w:val="16"/>
          <w:szCs w:val="32"/>
          <w:lang w:val="pt-BR"/>
        </w:rPr>
        <w:t xml:space="preserve"> lhes permitam</w:t>
      </w:r>
      <w:r w:rsidRPr="002F50BD">
        <w:rPr>
          <w:rFonts w:ascii="Verdana" w:hAnsi="Verdana"/>
          <w:sz w:val="16"/>
          <w:szCs w:val="32"/>
          <w:lang w:val="pt-BR"/>
        </w:rPr>
        <w:t xml:space="preserve"> </w:t>
      </w:r>
      <w:r w:rsidR="0089298C" w:rsidRPr="002F50BD">
        <w:rPr>
          <w:rFonts w:ascii="Verdana" w:hAnsi="Verdana"/>
          <w:sz w:val="16"/>
          <w:szCs w:val="32"/>
          <w:lang w:val="pt-BR"/>
        </w:rPr>
        <w:t>melhor</w:t>
      </w:r>
      <w:r w:rsidRPr="002F50BD">
        <w:rPr>
          <w:rFonts w:ascii="Verdana" w:hAnsi="Verdana"/>
          <w:sz w:val="16"/>
          <w:szCs w:val="32"/>
          <w:lang w:val="pt-BR"/>
        </w:rPr>
        <w:t>ar s</w:t>
      </w:r>
      <w:r w:rsidR="00E72F67" w:rsidRPr="002F50BD">
        <w:rPr>
          <w:rFonts w:ascii="Verdana" w:hAnsi="Verdana"/>
          <w:sz w:val="16"/>
          <w:szCs w:val="32"/>
          <w:lang w:val="pt-BR"/>
        </w:rPr>
        <w:t>e</w:t>
      </w:r>
      <w:r w:rsidRPr="002F50BD">
        <w:rPr>
          <w:rFonts w:ascii="Verdana" w:hAnsi="Verdana"/>
          <w:sz w:val="16"/>
          <w:szCs w:val="32"/>
          <w:lang w:val="pt-BR"/>
        </w:rPr>
        <w:t xml:space="preserve">u </w:t>
      </w:r>
      <w:r w:rsidR="0089298C" w:rsidRPr="002F50BD">
        <w:rPr>
          <w:rFonts w:ascii="Verdana" w:hAnsi="Verdana"/>
          <w:sz w:val="16"/>
          <w:szCs w:val="32"/>
          <w:lang w:val="pt-BR"/>
        </w:rPr>
        <w:t>acesso aos serviço</w:t>
      </w:r>
      <w:r w:rsidRPr="002F50BD">
        <w:rPr>
          <w:rFonts w:ascii="Verdana" w:hAnsi="Verdana"/>
          <w:sz w:val="16"/>
          <w:szCs w:val="32"/>
          <w:lang w:val="pt-BR"/>
        </w:rPr>
        <w:t xml:space="preserve">s de </w:t>
      </w:r>
      <w:r w:rsidR="0089298C" w:rsidRPr="002F50BD">
        <w:rPr>
          <w:rFonts w:ascii="Verdana" w:hAnsi="Verdana"/>
          <w:sz w:val="16"/>
          <w:szCs w:val="32"/>
          <w:lang w:val="pt-BR"/>
        </w:rPr>
        <w:t xml:space="preserve">saúde e </w:t>
      </w:r>
      <w:r w:rsidR="00FC6B22" w:rsidRPr="002F50BD">
        <w:rPr>
          <w:rFonts w:ascii="Verdana" w:hAnsi="Verdana"/>
          <w:sz w:val="16"/>
          <w:szCs w:val="32"/>
          <w:lang w:val="pt-BR"/>
        </w:rPr>
        <w:t>de</w:t>
      </w:r>
      <w:r w:rsidR="0089298C" w:rsidRPr="002F50BD">
        <w:rPr>
          <w:rFonts w:ascii="Verdana" w:hAnsi="Verdana"/>
          <w:sz w:val="16"/>
          <w:szCs w:val="32"/>
          <w:lang w:val="pt-BR"/>
        </w:rPr>
        <w:t xml:space="preserve"> </w:t>
      </w:r>
      <w:r w:rsidRPr="002F50BD">
        <w:rPr>
          <w:rFonts w:ascii="Verdana" w:hAnsi="Verdana"/>
          <w:sz w:val="16"/>
          <w:szCs w:val="32"/>
          <w:lang w:val="pt-BR"/>
        </w:rPr>
        <w:t>aten</w:t>
      </w:r>
      <w:r w:rsidR="00E72F67" w:rsidRPr="002F50BD">
        <w:rPr>
          <w:rFonts w:ascii="Verdana" w:hAnsi="Verdana"/>
          <w:sz w:val="16"/>
          <w:szCs w:val="32"/>
          <w:lang w:val="pt-BR"/>
        </w:rPr>
        <w:t xml:space="preserve">ção </w:t>
      </w:r>
      <w:r w:rsidR="00FC6B22" w:rsidRPr="002F50BD">
        <w:rPr>
          <w:rFonts w:ascii="Verdana" w:hAnsi="Verdana"/>
          <w:sz w:val="16"/>
          <w:szCs w:val="32"/>
          <w:lang w:val="pt-BR"/>
        </w:rPr>
        <w:t xml:space="preserve">à </w:t>
      </w:r>
      <w:r w:rsidR="0089298C" w:rsidRPr="002F50BD">
        <w:rPr>
          <w:rFonts w:ascii="Verdana" w:hAnsi="Verdana"/>
          <w:sz w:val="16"/>
          <w:szCs w:val="32"/>
          <w:lang w:val="pt-BR"/>
        </w:rPr>
        <w:t>saúde</w:t>
      </w:r>
      <w:r w:rsidR="00BE346D" w:rsidRPr="002F50BD">
        <w:rPr>
          <w:rFonts w:ascii="Verdana" w:hAnsi="Verdana"/>
          <w:sz w:val="16"/>
          <w:szCs w:val="32"/>
          <w:lang w:val="pt-BR"/>
        </w:rPr>
        <w:t xml:space="preserve">. Os </w:t>
      </w:r>
      <w:r w:rsidR="0089298C" w:rsidRPr="002F50BD">
        <w:rPr>
          <w:rFonts w:ascii="Verdana" w:hAnsi="Verdana"/>
          <w:sz w:val="16"/>
          <w:szCs w:val="32"/>
          <w:lang w:val="pt-BR"/>
        </w:rPr>
        <w:t>serviço</w:t>
      </w:r>
      <w:r w:rsidRPr="002F50BD">
        <w:rPr>
          <w:rFonts w:ascii="Verdana" w:hAnsi="Verdana"/>
          <w:sz w:val="16"/>
          <w:szCs w:val="32"/>
          <w:lang w:val="pt-BR"/>
        </w:rPr>
        <w:t xml:space="preserve">s de </w:t>
      </w:r>
      <w:r w:rsidR="0089298C" w:rsidRPr="002F50BD">
        <w:rPr>
          <w:rFonts w:ascii="Verdana" w:hAnsi="Verdana"/>
          <w:sz w:val="16"/>
          <w:szCs w:val="32"/>
          <w:lang w:val="pt-BR"/>
        </w:rPr>
        <w:t>saúde</w:t>
      </w:r>
      <w:r w:rsidRPr="002F50BD">
        <w:rPr>
          <w:rFonts w:ascii="Verdana" w:hAnsi="Verdana"/>
          <w:sz w:val="16"/>
          <w:szCs w:val="32"/>
          <w:lang w:val="pt-BR"/>
        </w:rPr>
        <w:t xml:space="preserve"> </w:t>
      </w:r>
      <w:r w:rsidR="0089298C" w:rsidRPr="002F50BD">
        <w:rPr>
          <w:rFonts w:ascii="Verdana" w:hAnsi="Verdana"/>
          <w:sz w:val="16"/>
          <w:szCs w:val="32"/>
          <w:lang w:val="pt-BR"/>
        </w:rPr>
        <w:t>devem</w:t>
      </w:r>
      <w:r w:rsidRPr="002F50BD">
        <w:rPr>
          <w:rFonts w:ascii="Verdana" w:hAnsi="Verdana"/>
          <w:sz w:val="16"/>
          <w:szCs w:val="32"/>
          <w:lang w:val="pt-BR"/>
        </w:rPr>
        <w:t xml:space="preserve"> ser </w:t>
      </w:r>
      <w:r w:rsidR="0089298C" w:rsidRPr="002F50BD">
        <w:rPr>
          <w:rFonts w:ascii="Verdana" w:hAnsi="Verdana"/>
          <w:sz w:val="16"/>
          <w:szCs w:val="32"/>
          <w:lang w:val="pt-BR"/>
        </w:rPr>
        <w:t>apropriad</w:t>
      </w:r>
      <w:r w:rsidRPr="002F50BD">
        <w:rPr>
          <w:rFonts w:ascii="Verdana" w:hAnsi="Verdana"/>
          <w:sz w:val="16"/>
          <w:szCs w:val="32"/>
          <w:lang w:val="pt-BR"/>
        </w:rPr>
        <w:t xml:space="preserve">os </w:t>
      </w:r>
      <w:r w:rsidR="00AB454A" w:rsidRPr="002F50BD">
        <w:rPr>
          <w:rFonts w:ascii="Verdana" w:hAnsi="Verdana"/>
          <w:sz w:val="16"/>
          <w:szCs w:val="32"/>
          <w:lang w:val="pt-BR"/>
        </w:rPr>
        <w:t xml:space="preserve">desde o </w:t>
      </w:r>
      <w:r w:rsidR="0089298C" w:rsidRPr="002F50BD">
        <w:rPr>
          <w:rFonts w:ascii="Verdana" w:hAnsi="Verdana"/>
          <w:sz w:val="16"/>
          <w:szCs w:val="32"/>
          <w:lang w:val="pt-BR"/>
        </w:rPr>
        <w:t xml:space="preserve">ponto </w:t>
      </w:r>
      <w:r w:rsidRPr="002F50BD">
        <w:rPr>
          <w:rFonts w:ascii="Verdana" w:hAnsi="Verdana"/>
          <w:sz w:val="16"/>
          <w:szCs w:val="32"/>
          <w:lang w:val="pt-BR"/>
        </w:rPr>
        <w:t>de vista cultural,</w:t>
      </w:r>
      <w:r w:rsidR="0089298C" w:rsidRPr="002F50BD">
        <w:rPr>
          <w:rFonts w:ascii="Verdana" w:hAnsi="Verdana"/>
          <w:sz w:val="16"/>
          <w:szCs w:val="32"/>
          <w:lang w:val="pt-BR"/>
        </w:rPr>
        <w:t xml:space="preserve"> </w:t>
      </w:r>
      <w:r w:rsidR="00E72F67" w:rsidRPr="002F50BD">
        <w:rPr>
          <w:rFonts w:ascii="Verdana" w:hAnsi="Verdana"/>
          <w:sz w:val="16"/>
          <w:szCs w:val="32"/>
          <w:lang w:val="pt-BR"/>
        </w:rPr>
        <w:t>isto é</w:t>
      </w:r>
      <w:r w:rsidRPr="002F50BD">
        <w:rPr>
          <w:rFonts w:ascii="Verdana" w:hAnsi="Verdana"/>
          <w:sz w:val="16"/>
          <w:szCs w:val="32"/>
          <w:lang w:val="pt-BR"/>
        </w:rPr>
        <w:t>,</w:t>
      </w:r>
      <w:r w:rsidR="0089298C" w:rsidRPr="002F50BD">
        <w:rPr>
          <w:rFonts w:ascii="Verdana" w:hAnsi="Verdana"/>
          <w:sz w:val="16"/>
          <w:szCs w:val="32"/>
          <w:lang w:val="pt-BR"/>
        </w:rPr>
        <w:t xml:space="preserve"> </w:t>
      </w:r>
      <w:r w:rsidR="00FC6B22" w:rsidRPr="002F50BD">
        <w:rPr>
          <w:rFonts w:ascii="Verdana" w:hAnsi="Verdana"/>
          <w:sz w:val="16"/>
          <w:szCs w:val="32"/>
          <w:lang w:val="pt-BR"/>
        </w:rPr>
        <w:t xml:space="preserve">devem </w:t>
      </w:r>
      <w:r w:rsidR="001A7245" w:rsidRPr="002F50BD">
        <w:rPr>
          <w:rFonts w:ascii="Verdana" w:hAnsi="Verdana"/>
          <w:sz w:val="16"/>
          <w:szCs w:val="32"/>
          <w:lang w:val="pt-BR"/>
        </w:rPr>
        <w:t>levar</w:t>
      </w:r>
      <w:r w:rsidR="0089298C" w:rsidRPr="002F50BD">
        <w:rPr>
          <w:rFonts w:ascii="Verdana" w:hAnsi="Verdana"/>
          <w:sz w:val="16"/>
          <w:szCs w:val="32"/>
          <w:lang w:val="pt-BR"/>
        </w:rPr>
        <w:t xml:space="preserve"> em conta os </w:t>
      </w:r>
      <w:r w:rsidRPr="002F50BD">
        <w:rPr>
          <w:rFonts w:ascii="Verdana" w:hAnsi="Verdana"/>
          <w:sz w:val="16"/>
          <w:szCs w:val="32"/>
          <w:lang w:val="pt-BR"/>
        </w:rPr>
        <w:t>cuidados preventivos,</w:t>
      </w:r>
      <w:r w:rsidR="0089298C" w:rsidRPr="002F50BD">
        <w:rPr>
          <w:rFonts w:ascii="Verdana" w:hAnsi="Verdana"/>
          <w:sz w:val="16"/>
          <w:szCs w:val="32"/>
          <w:lang w:val="pt-BR"/>
        </w:rPr>
        <w:t xml:space="preserve"> as prática</w:t>
      </w:r>
      <w:r w:rsidRPr="002F50BD">
        <w:rPr>
          <w:rFonts w:ascii="Verdana" w:hAnsi="Verdana"/>
          <w:sz w:val="16"/>
          <w:szCs w:val="32"/>
          <w:lang w:val="pt-BR"/>
        </w:rPr>
        <w:t>s curativas</w:t>
      </w:r>
      <w:r w:rsidR="0089298C" w:rsidRPr="002F50BD">
        <w:rPr>
          <w:rFonts w:ascii="Verdana" w:hAnsi="Verdana"/>
          <w:sz w:val="16"/>
          <w:szCs w:val="32"/>
          <w:lang w:val="pt-BR"/>
        </w:rPr>
        <w:t xml:space="preserve"> e </w:t>
      </w:r>
      <w:r w:rsidR="00FC6B22" w:rsidRPr="002F50BD">
        <w:rPr>
          <w:rFonts w:ascii="Verdana" w:hAnsi="Verdana"/>
          <w:sz w:val="16"/>
          <w:szCs w:val="32"/>
          <w:lang w:val="pt-BR"/>
        </w:rPr>
        <w:t>o</w:t>
      </w:r>
      <w:r w:rsidR="0089298C" w:rsidRPr="002F50BD">
        <w:rPr>
          <w:rFonts w:ascii="Verdana" w:hAnsi="Verdana"/>
          <w:sz w:val="16"/>
          <w:szCs w:val="32"/>
          <w:lang w:val="pt-BR"/>
        </w:rPr>
        <w:t xml:space="preserve">s </w:t>
      </w:r>
      <w:r w:rsidR="00CD2AE8" w:rsidRPr="002F50BD">
        <w:rPr>
          <w:rFonts w:ascii="Verdana" w:hAnsi="Verdana"/>
          <w:sz w:val="16"/>
          <w:szCs w:val="32"/>
          <w:lang w:val="pt-BR"/>
        </w:rPr>
        <w:t>medicamentos</w:t>
      </w:r>
      <w:r w:rsidRPr="002F50BD">
        <w:rPr>
          <w:rFonts w:ascii="Verdana" w:hAnsi="Verdana"/>
          <w:sz w:val="16"/>
          <w:szCs w:val="32"/>
          <w:lang w:val="pt-BR"/>
        </w:rPr>
        <w:t xml:space="preserve"> tr</w:t>
      </w:r>
      <w:r w:rsidR="0089298C" w:rsidRPr="002F50BD">
        <w:rPr>
          <w:rFonts w:ascii="Verdana" w:hAnsi="Verdana"/>
          <w:sz w:val="16"/>
          <w:szCs w:val="32"/>
          <w:lang w:val="pt-BR"/>
        </w:rPr>
        <w:t>adicionais</w:t>
      </w:r>
      <w:r w:rsidRPr="002F50BD">
        <w:rPr>
          <w:rFonts w:ascii="Verdana" w:hAnsi="Verdana"/>
          <w:sz w:val="16"/>
          <w:szCs w:val="32"/>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Cs w:val="32"/>
          <w:lang w:val="pt-BR"/>
        </w:rPr>
      </w:pPr>
    </w:p>
    <w:p w:rsidR="004756C1" w:rsidRPr="002F50BD" w:rsidRDefault="004756C1">
      <w:pPr>
        <w:pStyle w:val="BodyText2"/>
        <w:ind w:left="720" w:right="720"/>
        <w:rPr>
          <w:rFonts w:ascii="Verdana" w:hAnsi="Verdana"/>
          <w:lang w:val="pt-BR"/>
        </w:rPr>
      </w:pPr>
      <w:r w:rsidRPr="002F50BD">
        <w:rPr>
          <w:rFonts w:ascii="Verdana" w:hAnsi="Verdana"/>
          <w:sz w:val="16"/>
          <w:szCs w:val="32"/>
          <w:lang w:val="pt-BR"/>
        </w:rPr>
        <w:t>Para</w:t>
      </w:r>
      <w:r w:rsidR="0089298C" w:rsidRPr="002F50BD">
        <w:rPr>
          <w:rFonts w:ascii="Verdana" w:hAnsi="Verdana"/>
          <w:sz w:val="16"/>
          <w:szCs w:val="32"/>
          <w:lang w:val="pt-BR"/>
        </w:rPr>
        <w:t xml:space="preserve"> as </w:t>
      </w:r>
      <w:r w:rsidRPr="002F50BD">
        <w:rPr>
          <w:rFonts w:ascii="Verdana" w:hAnsi="Verdana"/>
          <w:sz w:val="16"/>
          <w:szCs w:val="32"/>
          <w:lang w:val="pt-BR"/>
        </w:rPr>
        <w:t>comunidades indígenas,</w:t>
      </w:r>
      <w:r w:rsidR="0089298C" w:rsidRPr="002F50BD">
        <w:rPr>
          <w:rFonts w:ascii="Verdana" w:hAnsi="Verdana"/>
          <w:sz w:val="16"/>
          <w:szCs w:val="32"/>
          <w:lang w:val="pt-BR"/>
        </w:rPr>
        <w:t xml:space="preserve"> a saúde</w:t>
      </w:r>
      <w:r w:rsidRPr="002F50BD">
        <w:rPr>
          <w:rFonts w:ascii="Verdana" w:hAnsi="Verdana"/>
          <w:sz w:val="16"/>
          <w:szCs w:val="32"/>
          <w:lang w:val="pt-BR"/>
        </w:rPr>
        <w:t xml:space="preserve"> </w:t>
      </w:r>
      <w:r w:rsidR="0089298C" w:rsidRPr="002F50BD">
        <w:rPr>
          <w:rFonts w:ascii="Verdana" w:hAnsi="Verdana"/>
          <w:sz w:val="16"/>
          <w:szCs w:val="32"/>
          <w:lang w:val="pt-BR"/>
        </w:rPr>
        <w:t>do indivíduo</w:t>
      </w:r>
      <w:r w:rsidRPr="002F50BD">
        <w:rPr>
          <w:rFonts w:ascii="Verdana" w:hAnsi="Verdana"/>
          <w:sz w:val="16"/>
          <w:szCs w:val="32"/>
          <w:lang w:val="pt-BR"/>
        </w:rPr>
        <w:t xml:space="preserve"> </w:t>
      </w:r>
      <w:r w:rsidR="00CC31B6" w:rsidRPr="002F50BD">
        <w:rPr>
          <w:rFonts w:ascii="Verdana" w:hAnsi="Verdana"/>
          <w:sz w:val="16"/>
          <w:szCs w:val="32"/>
          <w:lang w:val="pt-BR"/>
        </w:rPr>
        <w:t xml:space="preserve">costuma </w:t>
      </w:r>
      <w:r w:rsidRPr="002F50BD">
        <w:rPr>
          <w:rFonts w:ascii="Verdana" w:hAnsi="Verdana"/>
          <w:sz w:val="16"/>
          <w:szCs w:val="32"/>
          <w:lang w:val="pt-BR"/>
        </w:rPr>
        <w:t>vincular</w:t>
      </w:r>
      <w:r w:rsidR="00E72F67" w:rsidRPr="002F50BD">
        <w:rPr>
          <w:rFonts w:ascii="Verdana" w:hAnsi="Verdana"/>
          <w:sz w:val="16"/>
          <w:szCs w:val="32"/>
          <w:lang w:val="pt-BR"/>
        </w:rPr>
        <w:t>-se</w:t>
      </w:r>
      <w:r w:rsidR="0089298C" w:rsidRPr="002F50BD">
        <w:rPr>
          <w:rFonts w:ascii="Verdana" w:hAnsi="Verdana"/>
          <w:sz w:val="16"/>
          <w:szCs w:val="32"/>
          <w:lang w:val="pt-BR"/>
        </w:rPr>
        <w:t xml:space="preserve"> com a saúde da sociedade em </w:t>
      </w:r>
      <w:r w:rsidR="004076AD" w:rsidRPr="002F50BD">
        <w:rPr>
          <w:rFonts w:ascii="Verdana" w:hAnsi="Verdana"/>
          <w:sz w:val="16"/>
          <w:szCs w:val="32"/>
          <w:lang w:val="pt-BR"/>
        </w:rPr>
        <w:t>seu conjunto</w:t>
      </w:r>
      <w:r w:rsidR="0089298C" w:rsidRPr="002F50BD">
        <w:rPr>
          <w:rFonts w:ascii="Verdana" w:hAnsi="Verdana"/>
          <w:sz w:val="16"/>
          <w:szCs w:val="32"/>
          <w:lang w:val="pt-BR"/>
        </w:rPr>
        <w:t xml:space="preserve"> e </w:t>
      </w:r>
      <w:r w:rsidR="00E72F67" w:rsidRPr="002F50BD">
        <w:rPr>
          <w:rFonts w:ascii="Verdana" w:hAnsi="Verdana"/>
          <w:sz w:val="16"/>
          <w:szCs w:val="32"/>
          <w:lang w:val="pt-BR"/>
        </w:rPr>
        <w:t>a</w:t>
      </w:r>
      <w:r w:rsidRPr="002F50BD">
        <w:rPr>
          <w:rFonts w:ascii="Verdana" w:hAnsi="Verdana"/>
          <w:sz w:val="16"/>
          <w:szCs w:val="32"/>
          <w:lang w:val="pt-BR"/>
        </w:rPr>
        <w:t>presenta</w:t>
      </w:r>
      <w:r w:rsidR="0089298C" w:rsidRPr="002F50BD">
        <w:rPr>
          <w:rFonts w:ascii="Verdana" w:hAnsi="Verdana"/>
          <w:sz w:val="16"/>
          <w:szCs w:val="32"/>
          <w:lang w:val="pt-BR"/>
        </w:rPr>
        <w:t xml:space="preserve"> uma dimensão coletiv</w:t>
      </w:r>
      <w:r w:rsidRPr="002F50BD">
        <w:rPr>
          <w:rFonts w:ascii="Verdana" w:hAnsi="Verdana"/>
          <w:sz w:val="16"/>
          <w:szCs w:val="32"/>
          <w:lang w:val="pt-BR"/>
        </w:rPr>
        <w:t>a</w:t>
      </w:r>
      <w:r w:rsidR="0089298C" w:rsidRPr="002F50BD">
        <w:rPr>
          <w:rFonts w:ascii="Verdana" w:hAnsi="Verdana"/>
          <w:sz w:val="16"/>
          <w:szCs w:val="32"/>
          <w:lang w:val="pt-BR"/>
        </w:rPr>
        <w:t xml:space="preserve">. A </w:t>
      </w:r>
      <w:r w:rsidRPr="002F50BD">
        <w:rPr>
          <w:rFonts w:ascii="Verdana" w:hAnsi="Verdana"/>
          <w:sz w:val="16"/>
          <w:szCs w:val="32"/>
          <w:lang w:val="pt-BR"/>
        </w:rPr>
        <w:t xml:space="preserve">este </w:t>
      </w:r>
      <w:r w:rsidR="0089298C" w:rsidRPr="002F50BD">
        <w:rPr>
          <w:rFonts w:ascii="Verdana" w:hAnsi="Verdana"/>
          <w:sz w:val="16"/>
          <w:szCs w:val="32"/>
          <w:lang w:val="pt-BR"/>
        </w:rPr>
        <w:t>respeito</w:t>
      </w:r>
      <w:r w:rsidRPr="002F50BD">
        <w:rPr>
          <w:rFonts w:ascii="Verdana" w:hAnsi="Verdana"/>
          <w:sz w:val="16"/>
          <w:szCs w:val="32"/>
          <w:lang w:val="pt-BR"/>
        </w:rPr>
        <w:t>,</w:t>
      </w:r>
      <w:r w:rsidR="0089298C" w:rsidRPr="002F50BD">
        <w:rPr>
          <w:rFonts w:ascii="Verdana" w:hAnsi="Verdana"/>
          <w:sz w:val="16"/>
          <w:szCs w:val="32"/>
          <w:lang w:val="pt-BR"/>
        </w:rPr>
        <w:t xml:space="preserve"> o Comitê</w:t>
      </w:r>
      <w:r w:rsidRPr="002F50BD">
        <w:rPr>
          <w:rFonts w:ascii="Verdana" w:hAnsi="Verdana"/>
          <w:sz w:val="16"/>
          <w:szCs w:val="32"/>
          <w:lang w:val="pt-BR"/>
        </w:rPr>
        <w:t xml:space="preserve"> considera que […]</w:t>
      </w:r>
      <w:r w:rsidR="0089298C" w:rsidRPr="002F50BD">
        <w:rPr>
          <w:rFonts w:ascii="Verdana" w:hAnsi="Verdana"/>
          <w:sz w:val="16"/>
          <w:szCs w:val="32"/>
          <w:lang w:val="pt-BR"/>
        </w:rPr>
        <w:t xml:space="preserve"> a </w:t>
      </w:r>
      <w:r w:rsidRPr="002F50BD">
        <w:rPr>
          <w:rFonts w:ascii="Verdana" w:hAnsi="Verdana"/>
          <w:sz w:val="16"/>
          <w:szCs w:val="32"/>
          <w:lang w:val="pt-BR"/>
        </w:rPr>
        <w:t xml:space="preserve">[…] </w:t>
      </w:r>
      <w:r w:rsidR="0089298C" w:rsidRPr="002F50BD">
        <w:rPr>
          <w:rFonts w:ascii="Verdana" w:hAnsi="Verdana"/>
          <w:sz w:val="16"/>
          <w:szCs w:val="32"/>
          <w:lang w:val="pt-BR"/>
        </w:rPr>
        <w:t>perda</w:t>
      </w:r>
      <w:r w:rsidRPr="002F50BD">
        <w:rPr>
          <w:rFonts w:ascii="Verdana" w:hAnsi="Verdana"/>
          <w:sz w:val="16"/>
          <w:szCs w:val="32"/>
          <w:lang w:val="pt-BR"/>
        </w:rPr>
        <w:t xml:space="preserve"> por</w:t>
      </w:r>
      <w:r w:rsidR="00E72F67" w:rsidRPr="002F50BD">
        <w:rPr>
          <w:rFonts w:ascii="Verdana" w:hAnsi="Verdana"/>
          <w:sz w:val="16"/>
          <w:szCs w:val="32"/>
          <w:lang w:val="pt-BR"/>
        </w:rPr>
        <w:t xml:space="preserve"> esse</w:t>
      </w:r>
      <w:r w:rsidR="0089298C" w:rsidRPr="002F50BD">
        <w:rPr>
          <w:rFonts w:ascii="Verdana" w:hAnsi="Verdana"/>
          <w:sz w:val="16"/>
          <w:szCs w:val="32"/>
          <w:lang w:val="pt-BR"/>
        </w:rPr>
        <w:t xml:space="preserve">s </w:t>
      </w:r>
      <w:r w:rsidR="00E72F67" w:rsidRPr="002F50BD">
        <w:rPr>
          <w:rFonts w:ascii="Verdana" w:hAnsi="Verdana"/>
          <w:sz w:val="16"/>
          <w:szCs w:val="32"/>
          <w:lang w:val="pt-BR"/>
        </w:rPr>
        <w:t xml:space="preserve">povos </w:t>
      </w:r>
      <w:r w:rsidRPr="002F50BD">
        <w:rPr>
          <w:rFonts w:ascii="Verdana" w:hAnsi="Verdana"/>
          <w:sz w:val="16"/>
          <w:szCs w:val="32"/>
          <w:lang w:val="pt-BR"/>
        </w:rPr>
        <w:t xml:space="preserve">de </w:t>
      </w:r>
      <w:r w:rsidR="00AB454A" w:rsidRPr="002F50BD">
        <w:rPr>
          <w:rFonts w:ascii="Verdana" w:hAnsi="Verdana"/>
          <w:sz w:val="16"/>
          <w:szCs w:val="32"/>
          <w:lang w:val="pt-BR"/>
        </w:rPr>
        <w:t>seus recursos</w:t>
      </w:r>
      <w:r w:rsidRPr="002F50BD">
        <w:rPr>
          <w:rFonts w:ascii="Verdana" w:hAnsi="Verdana"/>
          <w:sz w:val="16"/>
          <w:szCs w:val="32"/>
          <w:lang w:val="pt-BR"/>
        </w:rPr>
        <w:t xml:space="preserve"> aliment</w:t>
      </w:r>
      <w:r w:rsidR="00E72F67" w:rsidRPr="002F50BD">
        <w:rPr>
          <w:rFonts w:ascii="Verdana" w:hAnsi="Verdana"/>
          <w:sz w:val="16"/>
          <w:szCs w:val="32"/>
          <w:lang w:val="pt-BR"/>
        </w:rPr>
        <w:t>ares</w:t>
      </w:r>
      <w:r w:rsidR="0089298C" w:rsidRPr="002F50BD">
        <w:rPr>
          <w:rFonts w:ascii="Verdana" w:hAnsi="Verdana"/>
          <w:sz w:val="16"/>
          <w:szCs w:val="32"/>
          <w:lang w:val="pt-BR"/>
        </w:rPr>
        <w:t xml:space="preserve"> e a </w:t>
      </w:r>
      <w:r w:rsidRPr="002F50BD">
        <w:rPr>
          <w:rFonts w:ascii="Verdana" w:hAnsi="Verdana"/>
          <w:sz w:val="16"/>
          <w:szCs w:val="32"/>
          <w:lang w:val="pt-BR"/>
        </w:rPr>
        <w:t>ruptura de su</w:t>
      </w:r>
      <w:r w:rsidR="00E72F67" w:rsidRPr="002F50BD">
        <w:rPr>
          <w:rFonts w:ascii="Verdana" w:hAnsi="Verdana"/>
          <w:sz w:val="16"/>
          <w:szCs w:val="32"/>
          <w:lang w:val="pt-BR"/>
        </w:rPr>
        <w:t>a</w:t>
      </w:r>
      <w:r w:rsidRPr="002F50BD">
        <w:rPr>
          <w:rFonts w:ascii="Verdana" w:hAnsi="Verdana"/>
          <w:sz w:val="16"/>
          <w:szCs w:val="32"/>
          <w:lang w:val="pt-BR"/>
        </w:rPr>
        <w:t xml:space="preserve"> rela</w:t>
      </w:r>
      <w:r w:rsidR="0089298C" w:rsidRPr="002F50BD">
        <w:rPr>
          <w:rFonts w:ascii="Verdana" w:hAnsi="Verdana"/>
          <w:sz w:val="16"/>
          <w:szCs w:val="32"/>
          <w:lang w:val="pt-BR"/>
        </w:rPr>
        <w:t>ção</w:t>
      </w:r>
      <w:r w:rsidRPr="002F50BD">
        <w:rPr>
          <w:rFonts w:ascii="Verdana" w:hAnsi="Verdana"/>
          <w:sz w:val="16"/>
          <w:szCs w:val="32"/>
          <w:lang w:val="pt-BR"/>
        </w:rPr>
        <w:t xml:space="preserve"> simbiótica</w:t>
      </w:r>
      <w:r w:rsidR="0089298C" w:rsidRPr="002F50BD">
        <w:rPr>
          <w:rFonts w:ascii="Verdana" w:hAnsi="Verdana"/>
          <w:sz w:val="16"/>
          <w:szCs w:val="32"/>
          <w:lang w:val="pt-BR"/>
        </w:rPr>
        <w:t xml:space="preserve"> com a terra</w:t>
      </w:r>
      <w:r w:rsidRPr="002F50BD">
        <w:rPr>
          <w:rFonts w:ascii="Verdana" w:hAnsi="Verdana"/>
          <w:sz w:val="16"/>
          <w:szCs w:val="32"/>
          <w:lang w:val="pt-BR"/>
        </w:rPr>
        <w:t xml:space="preserve"> </w:t>
      </w:r>
      <w:r w:rsidR="00AB454A" w:rsidRPr="002F50BD">
        <w:rPr>
          <w:rFonts w:ascii="Verdana" w:hAnsi="Verdana"/>
          <w:sz w:val="16"/>
          <w:szCs w:val="32"/>
          <w:lang w:val="pt-BR"/>
        </w:rPr>
        <w:t>exerce</w:t>
      </w:r>
      <w:r w:rsidR="00E72F67" w:rsidRPr="002F50BD">
        <w:rPr>
          <w:rFonts w:ascii="Verdana" w:hAnsi="Verdana"/>
          <w:sz w:val="16"/>
          <w:szCs w:val="32"/>
          <w:lang w:val="pt-BR"/>
        </w:rPr>
        <w:t>m</w:t>
      </w:r>
      <w:r w:rsidR="0089298C" w:rsidRPr="002F50BD">
        <w:rPr>
          <w:rFonts w:ascii="Verdana" w:hAnsi="Verdana"/>
          <w:sz w:val="16"/>
          <w:szCs w:val="32"/>
          <w:lang w:val="pt-BR"/>
        </w:rPr>
        <w:t xml:space="preserve"> um efeito</w:t>
      </w:r>
      <w:r w:rsidRPr="002F50BD">
        <w:rPr>
          <w:rFonts w:ascii="Verdana" w:hAnsi="Verdana"/>
          <w:sz w:val="16"/>
          <w:szCs w:val="32"/>
          <w:lang w:val="pt-BR"/>
        </w:rPr>
        <w:t xml:space="preserve"> pr</w:t>
      </w:r>
      <w:r w:rsidR="00E72F67" w:rsidRPr="002F50BD">
        <w:rPr>
          <w:rFonts w:ascii="Verdana" w:hAnsi="Verdana"/>
          <w:sz w:val="16"/>
          <w:szCs w:val="32"/>
          <w:lang w:val="pt-BR"/>
        </w:rPr>
        <w:t>e</w:t>
      </w:r>
      <w:r w:rsidRPr="002F50BD">
        <w:rPr>
          <w:rFonts w:ascii="Verdana" w:hAnsi="Verdana"/>
          <w:sz w:val="16"/>
          <w:szCs w:val="32"/>
          <w:lang w:val="pt-BR"/>
        </w:rPr>
        <w:t>judicial sobre</w:t>
      </w:r>
      <w:r w:rsidR="0089298C" w:rsidRPr="002F50BD">
        <w:rPr>
          <w:rFonts w:ascii="Verdana" w:hAnsi="Verdana"/>
          <w:sz w:val="16"/>
          <w:szCs w:val="32"/>
          <w:lang w:val="pt-BR"/>
        </w:rPr>
        <w:t xml:space="preserve"> a saúde</w:t>
      </w:r>
      <w:r w:rsidRPr="002F50BD">
        <w:rPr>
          <w:rFonts w:ascii="Verdana" w:hAnsi="Verdana"/>
          <w:sz w:val="16"/>
          <w:szCs w:val="32"/>
          <w:lang w:val="pt-BR"/>
        </w:rPr>
        <w:t xml:space="preserve"> </w:t>
      </w:r>
      <w:r w:rsidR="0089298C" w:rsidRPr="002F50BD">
        <w:rPr>
          <w:rFonts w:ascii="Verdana" w:hAnsi="Verdana"/>
          <w:sz w:val="16"/>
          <w:szCs w:val="32"/>
          <w:lang w:val="pt-BR"/>
        </w:rPr>
        <w:t xml:space="preserve">dessas </w:t>
      </w:r>
      <w:r w:rsidR="00E72F67" w:rsidRPr="002F50BD">
        <w:rPr>
          <w:rFonts w:ascii="Verdana" w:hAnsi="Verdana"/>
          <w:sz w:val="16"/>
          <w:szCs w:val="32"/>
          <w:lang w:val="pt-BR"/>
        </w:rPr>
        <w:t>comunidades.</w:t>
      </w:r>
      <w:r w:rsidRPr="002F50BD">
        <w:rPr>
          <w:rStyle w:val="FootnoteReference"/>
          <w:rFonts w:ascii="Verdana" w:hAnsi="Verdana"/>
          <w:sz w:val="16"/>
          <w:szCs w:val="32"/>
        </w:rPr>
        <w:footnoteReference w:id="205"/>
      </w:r>
    </w:p>
    <w:p w:rsidR="00452B62" w:rsidRPr="002F50BD" w:rsidRDefault="00452B62" w:rsidP="00452B62">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As afetações</w:t>
      </w:r>
      <w:r w:rsidR="004756C1" w:rsidRPr="002F50BD">
        <w:rPr>
          <w:rFonts w:ascii="Verdana" w:hAnsi="Verdana"/>
          <w:sz w:val="20"/>
          <w:lang w:val="pt-BR"/>
        </w:rPr>
        <w:t xml:space="preserve"> </w:t>
      </w:r>
      <w:r w:rsidRPr="002F50BD">
        <w:rPr>
          <w:rFonts w:ascii="Verdana" w:hAnsi="Verdana"/>
          <w:sz w:val="20"/>
          <w:lang w:val="pt-BR"/>
        </w:rPr>
        <w:t>especiais</w:t>
      </w:r>
      <w:r w:rsidR="004756C1" w:rsidRPr="002F50BD">
        <w:rPr>
          <w:rFonts w:ascii="Verdana" w:hAnsi="Verdana"/>
          <w:sz w:val="20"/>
          <w:lang w:val="pt-BR"/>
        </w:rPr>
        <w:t xml:space="preserve"> </w:t>
      </w:r>
      <w:r w:rsidR="00596798" w:rsidRPr="002F50BD">
        <w:rPr>
          <w:rFonts w:ascii="Verdana" w:hAnsi="Verdana"/>
          <w:sz w:val="20"/>
          <w:lang w:val="pt-BR"/>
        </w:rPr>
        <w:t>n</w:t>
      </w:r>
      <w:r w:rsidRPr="002F50BD">
        <w:rPr>
          <w:rFonts w:ascii="Verdana" w:hAnsi="Verdana"/>
          <w:sz w:val="20"/>
          <w:lang w:val="pt-BR"/>
        </w:rPr>
        <w:t>o direito à saúde</w:t>
      </w:r>
      <w:r w:rsidR="00310B98" w:rsidRPr="002F50BD">
        <w:rPr>
          <w:rFonts w:ascii="Verdana" w:hAnsi="Verdana"/>
          <w:sz w:val="20"/>
          <w:lang w:val="pt-BR"/>
        </w:rPr>
        <w:t>, e i</w:t>
      </w:r>
      <w:r w:rsidR="004756C1" w:rsidRPr="002F50BD">
        <w:rPr>
          <w:rFonts w:ascii="Verdana" w:hAnsi="Verdana"/>
          <w:sz w:val="20"/>
          <w:lang w:val="pt-BR"/>
        </w:rPr>
        <w:t>ntimamente vinculadas</w:t>
      </w:r>
      <w:r w:rsidRPr="002F50BD">
        <w:rPr>
          <w:rFonts w:ascii="Verdana" w:hAnsi="Verdana"/>
          <w:sz w:val="20"/>
          <w:lang w:val="pt-BR"/>
        </w:rPr>
        <w:t xml:space="preserve"> com</w:t>
      </w:r>
      <w:r w:rsidR="00310B98" w:rsidRPr="002F50BD">
        <w:rPr>
          <w:rFonts w:ascii="Verdana" w:hAnsi="Verdana"/>
          <w:sz w:val="20"/>
          <w:lang w:val="pt-BR"/>
        </w:rPr>
        <w:t xml:space="preserve"> e</w:t>
      </w:r>
      <w:r w:rsidR="00FC6B22" w:rsidRPr="002F50BD">
        <w:rPr>
          <w:rFonts w:ascii="Verdana" w:hAnsi="Verdana"/>
          <w:sz w:val="20"/>
          <w:lang w:val="pt-BR"/>
        </w:rPr>
        <w:t>ste</w:t>
      </w:r>
      <w:r w:rsidR="004756C1" w:rsidRPr="002F50BD">
        <w:rPr>
          <w:rFonts w:ascii="Verdana" w:hAnsi="Verdana"/>
          <w:sz w:val="20"/>
          <w:lang w:val="pt-BR"/>
        </w:rPr>
        <w:t>,</w:t>
      </w:r>
      <w:r w:rsidR="00FE08B7">
        <w:rPr>
          <w:rFonts w:ascii="Verdana" w:hAnsi="Verdana"/>
          <w:sz w:val="20"/>
          <w:lang w:val="pt-BR"/>
        </w:rPr>
        <w:t xml:space="preserve"> </w:t>
      </w:r>
      <w:r w:rsidR="00596798" w:rsidRPr="002F50BD">
        <w:rPr>
          <w:rFonts w:ascii="Verdana" w:hAnsi="Verdana"/>
          <w:sz w:val="20"/>
          <w:lang w:val="pt-BR"/>
        </w:rPr>
        <w:t>n</w:t>
      </w:r>
      <w:r w:rsidRPr="002F50BD">
        <w:rPr>
          <w:rFonts w:ascii="Verdana" w:hAnsi="Verdana"/>
          <w:sz w:val="20"/>
          <w:lang w:val="pt-BR"/>
        </w:rPr>
        <w:t xml:space="preserve">o direito à </w:t>
      </w:r>
      <w:r w:rsidR="004756C1" w:rsidRPr="002F50BD">
        <w:rPr>
          <w:rFonts w:ascii="Verdana" w:hAnsi="Verdana"/>
          <w:sz w:val="20"/>
          <w:lang w:val="pt-BR"/>
        </w:rPr>
        <w:t>alimenta</w:t>
      </w:r>
      <w:r w:rsidRPr="002F50BD">
        <w:rPr>
          <w:rFonts w:ascii="Verdana" w:hAnsi="Verdana"/>
          <w:sz w:val="20"/>
          <w:lang w:val="pt-BR"/>
        </w:rPr>
        <w:t xml:space="preserve">ção e </w:t>
      </w:r>
      <w:r w:rsidR="00596798" w:rsidRPr="002F50BD">
        <w:rPr>
          <w:rFonts w:ascii="Verdana" w:hAnsi="Verdana"/>
          <w:sz w:val="20"/>
          <w:lang w:val="pt-BR"/>
        </w:rPr>
        <w:t>n</w:t>
      </w:r>
      <w:r w:rsidRPr="002F50BD">
        <w:rPr>
          <w:rFonts w:ascii="Verdana" w:hAnsi="Verdana"/>
          <w:sz w:val="20"/>
          <w:lang w:val="pt-BR"/>
        </w:rPr>
        <w:t xml:space="preserve">o acesso </w:t>
      </w:r>
      <w:r w:rsidR="00310B98" w:rsidRPr="002F50BD">
        <w:rPr>
          <w:rFonts w:ascii="Verdana" w:hAnsi="Verdana"/>
          <w:sz w:val="20"/>
          <w:lang w:val="pt-BR"/>
        </w:rPr>
        <w:t>à</w:t>
      </w:r>
      <w:r w:rsidR="00AB454A" w:rsidRPr="002F50BD">
        <w:rPr>
          <w:rFonts w:ascii="Verdana" w:hAnsi="Verdana"/>
          <w:sz w:val="20"/>
          <w:lang w:val="pt-BR"/>
        </w:rPr>
        <w:t xml:space="preserve"> água </w:t>
      </w:r>
      <w:r w:rsidR="00E72F67" w:rsidRPr="002F50BD">
        <w:rPr>
          <w:rFonts w:ascii="Verdana" w:hAnsi="Verdana"/>
          <w:sz w:val="20"/>
          <w:lang w:val="pt-BR"/>
        </w:rPr>
        <w:t>limpa</w:t>
      </w:r>
      <w:r w:rsidR="004756C1" w:rsidRPr="002F50BD">
        <w:rPr>
          <w:rFonts w:ascii="Verdana" w:hAnsi="Verdana"/>
          <w:sz w:val="20"/>
          <w:lang w:val="pt-BR"/>
        </w:rPr>
        <w:t xml:space="preserve"> </w:t>
      </w:r>
      <w:r w:rsidR="00310B98" w:rsidRPr="002F50BD">
        <w:rPr>
          <w:rFonts w:ascii="Verdana" w:hAnsi="Verdana"/>
          <w:sz w:val="20"/>
          <w:lang w:val="pt-BR"/>
        </w:rPr>
        <w:t>impactam</w:t>
      </w:r>
      <w:r w:rsidR="00596798" w:rsidRPr="002F50BD">
        <w:rPr>
          <w:rFonts w:ascii="Verdana" w:hAnsi="Verdana"/>
          <w:sz w:val="20"/>
          <w:lang w:val="pt-BR"/>
        </w:rPr>
        <w:t>,</w:t>
      </w:r>
      <w:r w:rsidR="00310B98" w:rsidRPr="002F50BD">
        <w:rPr>
          <w:rFonts w:ascii="Verdana" w:hAnsi="Verdana"/>
          <w:sz w:val="20"/>
          <w:lang w:val="pt-BR"/>
        </w:rPr>
        <w:t xml:space="preserve"> </w:t>
      </w:r>
      <w:r w:rsidR="004756C1" w:rsidRPr="002F50BD">
        <w:rPr>
          <w:rFonts w:ascii="Verdana" w:hAnsi="Verdana"/>
          <w:sz w:val="20"/>
          <w:lang w:val="pt-BR"/>
        </w:rPr>
        <w:t xml:space="preserve">de </w:t>
      </w:r>
      <w:r w:rsidRPr="002F50BD">
        <w:rPr>
          <w:rFonts w:ascii="Verdana" w:hAnsi="Verdana"/>
          <w:sz w:val="20"/>
          <w:lang w:val="pt-BR"/>
        </w:rPr>
        <w:t>maneira</w:t>
      </w:r>
      <w:r w:rsidR="004756C1" w:rsidRPr="002F50BD">
        <w:rPr>
          <w:rFonts w:ascii="Verdana" w:hAnsi="Verdana"/>
          <w:sz w:val="20"/>
          <w:lang w:val="pt-BR"/>
        </w:rPr>
        <w:t xml:space="preserve"> aguda</w:t>
      </w:r>
      <w:r w:rsidR="00596798" w:rsidRPr="002F50BD">
        <w:rPr>
          <w:rFonts w:ascii="Verdana" w:hAnsi="Verdana"/>
          <w:sz w:val="20"/>
          <w:lang w:val="pt-BR"/>
        </w:rPr>
        <w:t>,</w:t>
      </w:r>
      <w:r w:rsidRPr="002F50BD">
        <w:rPr>
          <w:rFonts w:ascii="Verdana" w:hAnsi="Verdana"/>
          <w:sz w:val="20"/>
          <w:lang w:val="pt-BR"/>
        </w:rPr>
        <w:t xml:space="preserve"> o direito</w:t>
      </w:r>
      <w:r w:rsidR="004756C1" w:rsidRPr="002F50BD">
        <w:rPr>
          <w:rFonts w:ascii="Verdana" w:hAnsi="Verdana"/>
          <w:sz w:val="20"/>
          <w:lang w:val="pt-BR"/>
        </w:rPr>
        <w:t xml:space="preserve"> a</w:t>
      </w:r>
      <w:r w:rsidRPr="002F50BD">
        <w:rPr>
          <w:rFonts w:ascii="Verdana" w:hAnsi="Verdana"/>
          <w:sz w:val="20"/>
          <w:lang w:val="pt-BR"/>
        </w:rPr>
        <w:t xml:space="preserve"> uma existência</w:t>
      </w:r>
      <w:r w:rsidR="004756C1" w:rsidRPr="002F50BD">
        <w:rPr>
          <w:rFonts w:ascii="Verdana" w:hAnsi="Verdana"/>
          <w:sz w:val="20"/>
          <w:lang w:val="pt-BR"/>
        </w:rPr>
        <w:t xml:space="preserve"> digna</w:t>
      </w:r>
      <w:r w:rsidRPr="002F50BD">
        <w:rPr>
          <w:rFonts w:ascii="Verdana" w:hAnsi="Verdana"/>
          <w:sz w:val="20"/>
          <w:lang w:val="pt-BR"/>
        </w:rPr>
        <w:t xml:space="preserve"> e </w:t>
      </w:r>
      <w:r w:rsidR="00310B98" w:rsidRPr="002F50BD">
        <w:rPr>
          <w:rFonts w:ascii="Verdana" w:hAnsi="Verdana"/>
          <w:sz w:val="20"/>
          <w:lang w:val="pt-BR"/>
        </w:rPr>
        <w:t>a</w:t>
      </w:r>
      <w:r w:rsidRPr="002F50BD">
        <w:rPr>
          <w:rFonts w:ascii="Verdana" w:hAnsi="Verdana"/>
          <w:sz w:val="20"/>
          <w:lang w:val="pt-BR"/>
        </w:rPr>
        <w:t xml:space="preserve">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básicas para</w:t>
      </w:r>
      <w:r w:rsidRPr="002F50BD">
        <w:rPr>
          <w:rFonts w:ascii="Verdana" w:hAnsi="Verdana"/>
          <w:sz w:val="20"/>
          <w:lang w:val="pt-BR"/>
        </w:rPr>
        <w:t xml:space="preserve"> o exercício</w:t>
      </w:r>
      <w:r w:rsidR="004756C1" w:rsidRPr="002F50BD">
        <w:rPr>
          <w:rFonts w:ascii="Verdana" w:hAnsi="Verdana"/>
          <w:sz w:val="20"/>
          <w:lang w:val="pt-BR"/>
        </w:rPr>
        <w:t xml:space="preserve"> de </w:t>
      </w:r>
      <w:r w:rsidRPr="002F50BD">
        <w:rPr>
          <w:rFonts w:ascii="Verdana" w:hAnsi="Verdana"/>
          <w:sz w:val="20"/>
          <w:lang w:val="pt-BR"/>
        </w:rPr>
        <w:t>outros</w:t>
      </w:r>
      <w:r w:rsidR="004756C1" w:rsidRPr="002F50BD">
        <w:rPr>
          <w:rFonts w:ascii="Verdana" w:hAnsi="Verdana"/>
          <w:sz w:val="20"/>
          <w:lang w:val="pt-BR"/>
        </w:rPr>
        <w:t xml:space="preserve"> </w:t>
      </w:r>
      <w:r w:rsidRPr="002F50BD">
        <w:rPr>
          <w:rFonts w:ascii="Verdana" w:hAnsi="Verdana"/>
          <w:sz w:val="20"/>
          <w:lang w:val="pt-BR"/>
        </w:rPr>
        <w:t>direito</w:t>
      </w:r>
      <w:r w:rsidR="004756C1" w:rsidRPr="002F50BD">
        <w:rPr>
          <w:rFonts w:ascii="Verdana" w:hAnsi="Verdana"/>
          <w:sz w:val="20"/>
          <w:lang w:val="pt-BR"/>
        </w:rPr>
        <w:t>s humanos, como</w:t>
      </w:r>
      <w:r w:rsidRPr="002F50BD">
        <w:rPr>
          <w:rFonts w:ascii="Verdana" w:hAnsi="Verdana"/>
          <w:sz w:val="20"/>
          <w:lang w:val="pt-BR"/>
        </w:rPr>
        <w:t xml:space="preserve"> o direito à </w:t>
      </w:r>
      <w:r w:rsidR="004756C1" w:rsidRPr="002F50BD">
        <w:rPr>
          <w:rFonts w:ascii="Verdana" w:hAnsi="Verdana"/>
          <w:sz w:val="20"/>
          <w:lang w:val="pt-BR"/>
        </w:rPr>
        <w:t>educa</w:t>
      </w:r>
      <w:r w:rsidRPr="002F50BD">
        <w:rPr>
          <w:rFonts w:ascii="Verdana" w:hAnsi="Verdana"/>
          <w:sz w:val="20"/>
          <w:lang w:val="pt-BR"/>
        </w:rPr>
        <w:t>ção</w:t>
      </w:r>
      <w:r w:rsidR="004756C1" w:rsidRPr="002F50BD">
        <w:rPr>
          <w:rFonts w:ascii="Verdana" w:hAnsi="Verdana"/>
          <w:sz w:val="20"/>
          <w:lang w:val="pt-BR"/>
        </w:rPr>
        <w:t xml:space="preserve"> o</w:t>
      </w:r>
      <w:r w:rsidR="00310B98" w:rsidRPr="002F50BD">
        <w:rPr>
          <w:rFonts w:ascii="Verdana" w:hAnsi="Verdana"/>
          <w:sz w:val="20"/>
          <w:lang w:val="pt-BR"/>
        </w:rPr>
        <w:t>u</w:t>
      </w:r>
      <w:r w:rsidRPr="002F50BD">
        <w:rPr>
          <w:rFonts w:ascii="Verdana" w:hAnsi="Verdana"/>
          <w:sz w:val="20"/>
          <w:lang w:val="pt-BR"/>
        </w:rPr>
        <w:t xml:space="preserve"> o direito à identidade </w:t>
      </w:r>
      <w:r w:rsidR="004756C1" w:rsidRPr="002F50BD">
        <w:rPr>
          <w:rFonts w:ascii="Verdana" w:hAnsi="Verdana"/>
          <w:sz w:val="20"/>
          <w:lang w:val="pt-BR"/>
        </w:rPr>
        <w:t>cultural</w:t>
      </w:r>
      <w:r w:rsidR="00AB454A" w:rsidRPr="002F50BD">
        <w:rPr>
          <w:rFonts w:ascii="Verdana" w:hAnsi="Verdana"/>
          <w:sz w:val="20"/>
          <w:lang w:val="pt-BR"/>
        </w:rPr>
        <w:t xml:space="preserve">. No </w:t>
      </w:r>
      <w:r w:rsidR="004756C1" w:rsidRPr="002F50BD">
        <w:rPr>
          <w:rFonts w:ascii="Verdana" w:hAnsi="Verdana"/>
          <w:sz w:val="20"/>
          <w:lang w:val="pt-BR"/>
        </w:rPr>
        <w:t>caso</w:t>
      </w:r>
      <w:r w:rsidRPr="002F50BD">
        <w:rPr>
          <w:rFonts w:ascii="Verdana" w:hAnsi="Verdana"/>
          <w:sz w:val="20"/>
          <w:lang w:val="pt-BR"/>
        </w:rPr>
        <w:t xml:space="preserve"> dos povo</w:t>
      </w:r>
      <w:r w:rsidR="004756C1" w:rsidRPr="002F50BD">
        <w:rPr>
          <w:rFonts w:ascii="Verdana" w:hAnsi="Verdana"/>
          <w:sz w:val="20"/>
          <w:lang w:val="pt-BR"/>
        </w:rPr>
        <w:t>s indígenas</w:t>
      </w:r>
      <w:r w:rsidR="00596798" w:rsidRPr="002F50BD">
        <w:rPr>
          <w:rFonts w:ascii="Verdana" w:hAnsi="Verdana"/>
          <w:sz w:val="20"/>
          <w:lang w:val="pt-BR"/>
        </w:rPr>
        <w:t>,</w:t>
      </w:r>
      <w:r w:rsidRPr="002F50BD">
        <w:rPr>
          <w:rFonts w:ascii="Verdana" w:hAnsi="Verdana"/>
          <w:sz w:val="20"/>
          <w:lang w:val="pt-BR"/>
        </w:rPr>
        <w:t xml:space="preserve"> o acesso</w:t>
      </w:r>
      <w:r w:rsidR="004756C1" w:rsidRPr="002F50BD">
        <w:rPr>
          <w:rFonts w:ascii="Verdana" w:hAnsi="Verdana"/>
          <w:sz w:val="20"/>
          <w:lang w:val="pt-BR"/>
        </w:rPr>
        <w:t xml:space="preserve"> a </w:t>
      </w:r>
      <w:r w:rsidR="00A50140" w:rsidRPr="002F50BD">
        <w:rPr>
          <w:rFonts w:ascii="Verdana" w:hAnsi="Verdana"/>
          <w:sz w:val="20"/>
          <w:lang w:val="pt-BR"/>
        </w:rPr>
        <w:t>suas terras</w:t>
      </w:r>
      <w:r w:rsidR="004756C1" w:rsidRPr="002F50BD">
        <w:rPr>
          <w:rFonts w:ascii="Verdana" w:hAnsi="Verdana"/>
          <w:sz w:val="20"/>
          <w:lang w:val="pt-BR"/>
        </w:rPr>
        <w:t xml:space="preserve"> </w:t>
      </w:r>
      <w:r w:rsidR="00AB454A" w:rsidRPr="002F50BD">
        <w:rPr>
          <w:rFonts w:ascii="Verdana" w:hAnsi="Verdana"/>
          <w:sz w:val="20"/>
          <w:lang w:val="pt-BR"/>
        </w:rPr>
        <w:t>ancestrais</w:t>
      </w:r>
      <w:r w:rsidRPr="002F50BD">
        <w:rPr>
          <w:rFonts w:ascii="Verdana" w:hAnsi="Verdana"/>
          <w:sz w:val="20"/>
          <w:lang w:val="pt-BR"/>
        </w:rPr>
        <w:t xml:space="preserve"> e ao </w:t>
      </w:r>
      <w:r w:rsidR="004756C1" w:rsidRPr="002F50BD">
        <w:rPr>
          <w:rFonts w:ascii="Verdana" w:hAnsi="Verdana"/>
          <w:sz w:val="20"/>
          <w:lang w:val="pt-BR"/>
        </w:rPr>
        <w:t>uso</w:t>
      </w:r>
      <w:r w:rsidRPr="002F50BD">
        <w:rPr>
          <w:rFonts w:ascii="Verdana" w:hAnsi="Verdana"/>
          <w:sz w:val="20"/>
          <w:lang w:val="pt-BR"/>
        </w:rPr>
        <w:t xml:space="preserve"> e </w:t>
      </w:r>
      <w:r w:rsidR="00E72F67" w:rsidRPr="002F50BD">
        <w:rPr>
          <w:rFonts w:ascii="Verdana" w:hAnsi="Verdana"/>
          <w:sz w:val="20"/>
          <w:lang w:val="pt-BR"/>
        </w:rPr>
        <w:t>desfrute</w:t>
      </w:r>
      <w:r w:rsidRPr="002F50BD">
        <w:rPr>
          <w:rFonts w:ascii="Verdana" w:hAnsi="Verdana"/>
          <w:sz w:val="20"/>
          <w:lang w:val="pt-BR"/>
        </w:rPr>
        <w:t xml:space="preserve"> dos </w:t>
      </w:r>
      <w:r w:rsidR="004756C1" w:rsidRPr="002F50BD">
        <w:rPr>
          <w:rFonts w:ascii="Verdana" w:hAnsi="Verdana"/>
          <w:sz w:val="20"/>
          <w:lang w:val="pt-BR"/>
        </w:rPr>
        <w:t xml:space="preserve">recursos </w:t>
      </w:r>
      <w:r w:rsidR="005D1589" w:rsidRPr="002F50BD">
        <w:rPr>
          <w:rFonts w:ascii="Verdana" w:hAnsi="Verdana"/>
          <w:sz w:val="20"/>
          <w:lang w:val="pt-BR"/>
        </w:rPr>
        <w:t>naturais</w:t>
      </w:r>
      <w:r w:rsidR="004756C1" w:rsidRPr="002F50BD">
        <w:rPr>
          <w:rFonts w:ascii="Verdana" w:hAnsi="Verdana"/>
          <w:sz w:val="20"/>
          <w:lang w:val="pt-BR"/>
        </w:rPr>
        <w:t xml:space="preserve"> que</w:t>
      </w:r>
      <w:r w:rsidRPr="002F50BD">
        <w:rPr>
          <w:rFonts w:ascii="Verdana" w:hAnsi="Verdana"/>
          <w:sz w:val="20"/>
          <w:lang w:val="pt-BR"/>
        </w:rPr>
        <w:t xml:space="preserve"> </w:t>
      </w:r>
      <w:r w:rsidR="00310B98" w:rsidRPr="002F50BD">
        <w:rPr>
          <w:rFonts w:ascii="Verdana" w:hAnsi="Verdana"/>
          <w:sz w:val="20"/>
          <w:lang w:val="pt-BR"/>
        </w:rPr>
        <w:t>n</w:t>
      </w:r>
      <w:r w:rsidRPr="002F50BD">
        <w:rPr>
          <w:rFonts w:ascii="Verdana" w:hAnsi="Verdana"/>
          <w:sz w:val="20"/>
          <w:lang w:val="pt-BR"/>
        </w:rPr>
        <w:t>ela</w:t>
      </w:r>
      <w:r w:rsidR="004756C1" w:rsidRPr="002F50BD">
        <w:rPr>
          <w:rFonts w:ascii="Verdana" w:hAnsi="Verdana"/>
          <w:sz w:val="20"/>
          <w:lang w:val="pt-BR"/>
        </w:rPr>
        <w:t xml:space="preserve">s se </w:t>
      </w:r>
      <w:r w:rsidRPr="002F50BD">
        <w:rPr>
          <w:rFonts w:ascii="Verdana" w:hAnsi="Verdana"/>
          <w:sz w:val="20"/>
          <w:lang w:val="pt-BR"/>
        </w:rPr>
        <w:t>encontram estão diret</w:t>
      </w:r>
      <w:r w:rsidR="004756C1" w:rsidRPr="002F50BD">
        <w:rPr>
          <w:rFonts w:ascii="Verdana" w:hAnsi="Verdana"/>
          <w:sz w:val="20"/>
          <w:lang w:val="pt-BR"/>
        </w:rPr>
        <w:t>amente vinculados</w:t>
      </w:r>
      <w:r w:rsidRPr="002F50BD">
        <w:rPr>
          <w:rFonts w:ascii="Verdana" w:hAnsi="Verdana"/>
          <w:sz w:val="20"/>
          <w:lang w:val="pt-BR"/>
        </w:rPr>
        <w:t xml:space="preserve"> com a </w:t>
      </w:r>
      <w:r w:rsidR="004756C1" w:rsidRPr="002F50BD">
        <w:rPr>
          <w:rFonts w:ascii="Verdana" w:hAnsi="Verdana"/>
          <w:sz w:val="20"/>
          <w:lang w:val="pt-BR"/>
        </w:rPr>
        <w:t>obten</w:t>
      </w:r>
      <w:r w:rsidRPr="002F50BD">
        <w:rPr>
          <w:rFonts w:ascii="Verdana" w:hAnsi="Verdana"/>
          <w:sz w:val="20"/>
          <w:lang w:val="pt-BR"/>
        </w:rPr>
        <w:t>ção</w:t>
      </w:r>
      <w:r w:rsidR="004756C1" w:rsidRPr="002F50BD">
        <w:rPr>
          <w:rFonts w:ascii="Verdana" w:hAnsi="Verdana"/>
          <w:sz w:val="20"/>
          <w:lang w:val="pt-BR"/>
        </w:rPr>
        <w:t xml:space="preserve"> de alimento</w:t>
      </w:r>
      <w:r w:rsidRPr="002F50BD">
        <w:rPr>
          <w:rFonts w:ascii="Verdana" w:hAnsi="Verdana"/>
          <w:sz w:val="20"/>
          <w:lang w:val="pt-BR"/>
        </w:rPr>
        <w:t xml:space="preserve"> e o acesso</w:t>
      </w:r>
      <w:r w:rsidR="004756C1" w:rsidRPr="002F50BD">
        <w:rPr>
          <w:rFonts w:ascii="Verdana" w:hAnsi="Verdana"/>
          <w:sz w:val="20"/>
          <w:lang w:val="pt-BR"/>
        </w:rPr>
        <w:t xml:space="preserve"> </w:t>
      </w:r>
      <w:r w:rsidR="00FC6B22" w:rsidRPr="002F50BD">
        <w:rPr>
          <w:rFonts w:ascii="Verdana" w:hAnsi="Verdana"/>
          <w:sz w:val="20"/>
          <w:lang w:val="pt-BR"/>
        </w:rPr>
        <w:t>à</w:t>
      </w:r>
      <w:r w:rsidR="00AB454A" w:rsidRPr="002F50BD">
        <w:rPr>
          <w:rFonts w:ascii="Verdana" w:hAnsi="Verdana"/>
          <w:sz w:val="20"/>
          <w:lang w:val="pt-BR"/>
        </w:rPr>
        <w:t xml:space="preserve"> água </w:t>
      </w:r>
      <w:r w:rsidR="00E72F67" w:rsidRPr="002F50BD">
        <w:rPr>
          <w:rFonts w:ascii="Verdana" w:hAnsi="Verdana"/>
          <w:sz w:val="20"/>
          <w:lang w:val="pt-BR"/>
        </w:rPr>
        <w:t>limpa</w:t>
      </w:r>
      <w:r w:rsidR="004756C1" w:rsidRPr="002F50BD">
        <w:rPr>
          <w:rFonts w:ascii="Verdana" w:hAnsi="Verdana"/>
          <w:sz w:val="20"/>
          <w:lang w:val="pt-BR"/>
        </w:rPr>
        <w:t>.</w:t>
      </w:r>
      <w:r w:rsidR="00FE08B7">
        <w:rPr>
          <w:rFonts w:ascii="Verdana" w:hAnsi="Verdana"/>
          <w:sz w:val="20"/>
          <w:lang w:val="pt-BR"/>
        </w:rPr>
        <w:t xml:space="preserve"> </w:t>
      </w:r>
      <w:r w:rsidR="00310B98" w:rsidRPr="002F50BD">
        <w:rPr>
          <w:rFonts w:ascii="Verdana" w:hAnsi="Verdana"/>
          <w:sz w:val="20"/>
          <w:lang w:val="pt-BR"/>
        </w:rPr>
        <w:t xml:space="preserve">A esse </w:t>
      </w:r>
      <w:r w:rsidRPr="002F50BD">
        <w:rPr>
          <w:rFonts w:ascii="Verdana" w:hAnsi="Verdana"/>
          <w:sz w:val="20"/>
          <w:lang w:val="pt-BR"/>
        </w:rPr>
        <w:t>respeito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citado </w:t>
      </w:r>
      <w:r w:rsidRPr="002F50BD">
        <w:rPr>
          <w:rFonts w:ascii="Verdana" w:hAnsi="Verdana"/>
          <w:sz w:val="20"/>
          <w:lang w:val="pt-BR"/>
        </w:rPr>
        <w:t>Comitê</w:t>
      </w:r>
      <w:r w:rsidR="004756C1" w:rsidRPr="002F50BD">
        <w:rPr>
          <w:rFonts w:ascii="Verdana" w:hAnsi="Verdana"/>
          <w:sz w:val="20"/>
          <w:lang w:val="pt-BR"/>
        </w:rPr>
        <w:t xml:space="preserve"> de </w:t>
      </w:r>
      <w:r w:rsidRPr="002F50BD">
        <w:rPr>
          <w:rFonts w:ascii="Verdana" w:hAnsi="Verdana"/>
          <w:sz w:val="20"/>
          <w:lang w:val="pt-BR"/>
        </w:rPr>
        <w:t>Direito</w:t>
      </w:r>
      <w:r w:rsidR="004756C1" w:rsidRPr="002F50BD">
        <w:rPr>
          <w:rFonts w:ascii="Verdana" w:hAnsi="Verdana"/>
          <w:sz w:val="20"/>
          <w:lang w:val="pt-BR"/>
        </w:rPr>
        <w:t xml:space="preserve">s </w:t>
      </w:r>
      <w:r w:rsidRPr="002F50BD">
        <w:rPr>
          <w:rFonts w:ascii="Verdana" w:hAnsi="Verdana"/>
          <w:sz w:val="20"/>
          <w:lang w:val="pt-BR"/>
        </w:rPr>
        <w:t>Econômic</w:t>
      </w:r>
      <w:r w:rsidR="004756C1" w:rsidRPr="002F50BD">
        <w:rPr>
          <w:rFonts w:ascii="Verdana" w:hAnsi="Verdana"/>
          <w:sz w:val="20"/>
          <w:lang w:val="pt-BR"/>
        </w:rPr>
        <w:t xml:space="preserve">os, </w:t>
      </w:r>
      <w:r w:rsidRPr="002F50BD">
        <w:rPr>
          <w:rFonts w:ascii="Verdana" w:hAnsi="Verdana"/>
          <w:sz w:val="20"/>
          <w:lang w:val="pt-BR"/>
        </w:rPr>
        <w:t>Sociais e Culturais</w:t>
      </w:r>
      <w:r w:rsidR="004756C1" w:rsidRPr="002F50BD">
        <w:rPr>
          <w:rFonts w:ascii="Verdana" w:hAnsi="Verdana"/>
          <w:sz w:val="20"/>
          <w:lang w:val="pt-BR"/>
        </w:rPr>
        <w:t xml:space="preserve"> </w:t>
      </w:r>
      <w:r w:rsidR="00310B98" w:rsidRPr="002F50BD">
        <w:rPr>
          <w:rFonts w:ascii="Verdana" w:hAnsi="Verdana"/>
          <w:sz w:val="20"/>
          <w:lang w:val="pt-BR"/>
        </w:rPr>
        <w:t>destacou</w:t>
      </w:r>
      <w:r w:rsidRPr="002F50BD">
        <w:rPr>
          <w:rFonts w:ascii="Verdana" w:hAnsi="Verdana"/>
          <w:sz w:val="20"/>
          <w:lang w:val="pt-BR"/>
        </w:rPr>
        <w:t xml:space="preserve"> a </w:t>
      </w:r>
      <w:r w:rsidR="004756C1" w:rsidRPr="002F50BD">
        <w:rPr>
          <w:rFonts w:ascii="Verdana" w:hAnsi="Verdana"/>
          <w:sz w:val="20"/>
          <w:lang w:val="pt-BR"/>
        </w:rPr>
        <w:t xml:space="preserve">especial </w:t>
      </w:r>
      <w:r w:rsidRPr="002F50BD">
        <w:rPr>
          <w:rFonts w:ascii="Verdana" w:hAnsi="Verdana"/>
          <w:sz w:val="20"/>
          <w:lang w:val="pt-BR"/>
        </w:rPr>
        <w:t xml:space="preserve">vulnerabilidade </w:t>
      </w:r>
      <w:r w:rsidR="004756C1" w:rsidRPr="002F50BD">
        <w:rPr>
          <w:rFonts w:ascii="Verdana" w:hAnsi="Verdana"/>
          <w:sz w:val="20"/>
          <w:lang w:val="pt-BR"/>
        </w:rPr>
        <w:t xml:space="preserve">de </w:t>
      </w:r>
      <w:r w:rsidRPr="002F50BD">
        <w:rPr>
          <w:rFonts w:ascii="Verdana" w:hAnsi="Verdana"/>
          <w:sz w:val="20"/>
          <w:szCs w:val="32"/>
          <w:lang w:val="pt-BR"/>
        </w:rPr>
        <w:t>muito</w:t>
      </w:r>
      <w:r w:rsidR="004756C1" w:rsidRPr="002F50BD">
        <w:rPr>
          <w:rFonts w:ascii="Verdana" w:hAnsi="Verdana"/>
          <w:sz w:val="20"/>
          <w:szCs w:val="32"/>
          <w:lang w:val="pt-BR"/>
        </w:rPr>
        <w:t xml:space="preserve">s grupos de </w:t>
      </w:r>
      <w:r w:rsidRPr="002F50BD">
        <w:rPr>
          <w:rFonts w:ascii="Verdana" w:hAnsi="Verdana"/>
          <w:sz w:val="20"/>
          <w:szCs w:val="32"/>
          <w:lang w:val="pt-BR"/>
        </w:rPr>
        <w:t>povo</w:t>
      </w:r>
      <w:r w:rsidR="004756C1" w:rsidRPr="002F50BD">
        <w:rPr>
          <w:rFonts w:ascii="Verdana" w:hAnsi="Verdana"/>
          <w:sz w:val="20"/>
          <w:szCs w:val="32"/>
          <w:lang w:val="pt-BR"/>
        </w:rPr>
        <w:t xml:space="preserve">s indígenas </w:t>
      </w:r>
      <w:r w:rsidRPr="002F50BD">
        <w:rPr>
          <w:rFonts w:ascii="Verdana" w:hAnsi="Verdana"/>
          <w:sz w:val="20"/>
          <w:szCs w:val="32"/>
          <w:lang w:val="pt-BR"/>
        </w:rPr>
        <w:t>cujo</w:t>
      </w:r>
      <w:r w:rsidR="004756C1" w:rsidRPr="002F50BD">
        <w:rPr>
          <w:rFonts w:ascii="Verdana" w:hAnsi="Verdana"/>
          <w:sz w:val="20"/>
          <w:szCs w:val="32"/>
          <w:lang w:val="pt-BR"/>
        </w:rPr>
        <w:t xml:space="preserve"> </w:t>
      </w:r>
      <w:r w:rsidRPr="002F50BD">
        <w:rPr>
          <w:rFonts w:ascii="Verdana" w:hAnsi="Verdana"/>
          <w:sz w:val="20"/>
          <w:szCs w:val="32"/>
          <w:lang w:val="pt-BR"/>
        </w:rPr>
        <w:t>acesso às terra</w:t>
      </w:r>
      <w:r w:rsidR="004756C1" w:rsidRPr="002F50BD">
        <w:rPr>
          <w:rFonts w:ascii="Verdana" w:hAnsi="Verdana"/>
          <w:sz w:val="20"/>
          <w:szCs w:val="32"/>
          <w:lang w:val="pt-BR"/>
        </w:rPr>
        <w:t xml:space="preserve">s </w:t>
      </w:r>
      <w:r w:rsidR="00AB454A" w:rsidRPr="002F50BD">
        <w:rPr>
          <w:rFonts w:ascii="Verdana" w:hAnsi="Verdana"/>
          <w:sz w:val="20"/>
          <w:szCs w:val="32"/>
          <w:lang w:val="pt-BR"/>
        </w:rPr>
        <w:t>ancestrais</w:t>
      </w:r>
      <w:r w:rsidR="004756C1" w:rsidRPr="002F50BD">
        <w:rPr>
          <w:rFonts w:ascii="Verdana" w:hAnsi="Verdana"/>
          <w:sz w:val="20"/>
          <w:szCs w:val="32"/>
          <w:lang w:val="pt-BR"/>
        </w:rPr>
        <w:t xml:space="preserve"> </w:t>
      </w:r>
      <w:r w:rsidRPr="002F50BD">
        <w:rPr>
          <w:rFonts w:ascii="Verdana" w:hAnsi="Verdana"/>
          <w:sz w:val="20"/>
          <w:szCs w:val="32"/>
          <w:lang w:val="pt-BR"/>
        </w:rPr>
        <w:t>pode</w:t>
      </w:r>
      <w:r w:rsidR="004756C1" w:rsidRPr="002F50BD">
        <w:rPr>
          <w:rFonts w:ascii="Verdana" w:hAnsi="Verdana"/>
          <w:sz w:val="20"/>
          <w:szCs w:val="32"/>
          <w:lang w:val="pt-BR"/>
        </w:rPr>
        <w:t xml:space="preserve"> ver</w:t>
      </w:r>
      <w:r w:rsidR="00310B98" w:rsidRPr="002F50BD">
        <w:rPr>
          <w:rFonts w:ascii="Verdana" w:hAnsi="Verdana"/>
          <w:sz w:val="20"/>
          <w:szCs w:val="32"/>
          <w:lang w:val="pt-BR"/>
        </w:rPr>
        <w:t>-</w:t>
      </w:r>
      <w:r w:rsidR="004756C1" w:rsidRPr="002F50BD">
        <w:rPr>
          <w:rFonts w:ascii="Verdana" w:hAnsi="Verdana"/>
          <w:sz w:val="20"/>
          <w:szCs w:val="32"/>
          <w:lang w:val="pt-BR"/>
        </w:rPr>
        <w:t xml:space="preserve">se </w:t>
      </w:r>
      <w:r w:rsidRPr="002F50BD">
        <w:rPr>
          <w:rFonts w:ascii="Verdana" w:hAnsi="Verdana"/>
          <w:sz w:val="20"/>
          <w:szCs w:val="32"/>
          <w:lang w:val="pt-BR"/>
        </w:rPr>
        <w:t>ameaça</w:t>
      </w:r>
      <w:r w:rsidR="004756C1" w:rsidRPr="002F50BD">
        <w:rPr>
          <w:rFonts w:ascii="Verdana" w:hAnsi="Verdana"/>
          <w:sz w:val="20"/>
          <w:szCs w:val="32"/>
          <w:lang w:val="pt-BR"/>
        </w:rPr>
        <w:t>do</w:t>
      </w:r>
      <w:r w:rsidRPr="002F50BD">
        <w:rPr>
          <w:rFonts w:ascii="Verdana" w:hAnsi="Verdana"/>
          <w:sz w:val="20"/>
          <w:szCs w:val="32"/>
          <w:lang w:val="pt-BR"/>
        </w:rPr>
        <w:t xml:space="preserve"> e,</w:t>
      </w:r>
      <w:r w:rsidR="004756C1" w:rsidRPr="002F50BD">
        <w:rPr>
          <w:rFonts w:ascii="Verdana" w:hAnsi="Verdana"/>
          <w:sz w:val="20"/>
          <w:szCs w:val="32"/>
          <w:lang w:val="pt-BR"/>
        </w:rPr>
        <w:t xml:space="preserve"> </w:t>
      </w:r>
      <w:r w:rsidR="00FC6B22" w:rsidRPr="002F50BD">
        <w:rPr>
          <w:rFonts w:ascii="Verdana" w:hAnsi="Verdana"/>
          <w:sz w:val="20"/>
          <w:szCs w:val="32"/>
          <w:lang w:val="pt-BR"/>
        </w:rPr>
        <w:t>nesse sentido</w:t>
      </w:r>
      <w:r w:rsidR="004756C1" w:rsidRPr="002F50BD">
        <w:rPr>
          <w:rFonts w:ascii="Verdana" w:hAnsi="Verdana"/>
          <w:sz w:val="20"/>
          <w:szCs w:val="32"/>
          <w:lang w:val="pt-BR"/>
        </w:rPr>
        <w:t>, su</w:t>
      </w:r>
      <w:r w:rsidR="00310B98" w:rsidRPr="002F50BD">
        <w:rPr>
          <w:rFonts w:ascii="Verdana" w:hAnsi="Verdana"/>
          <w:sz w:val="20"/>
          <w:szCs w:val="32"/>
          <w:lang w:val="pt-BR"/>
        </w:rPr>
        <w:t>a</w:t>
      </w:r>
      <w:r w:rsidR="004756C1" w:rsidRPr="002F50BD">
        <w:rPr>
          <w:rFonts w:ascii="Verdana" w:hAnsi="Verdana"/>
          <w:sz w:val="20"/>
          <w:szCs w:val="32"/>
          <w:lang w:val="pt-BR"/>
        </w:rPr>
        <w:t xml:space="preserve"> </w:t>
      </w:r>
      <w:r w:rsidRPr="002F50BD">
        <w:rPr>
          <w:rFonts w:ascii="Verdana" w:hAnsi="Verdana"/>
          <w:sz w:val="20"/>
          <w:szCs w:val="32"/>
          <w:lang w:val="pt-BR"/>
        </w:rPr>
        <w:t xml:space="preserve">possibilidade </w:t>
      </w:r>
      <w:r w:rsidR="004756C1" w:rsidRPr="002F50BD">
        <w:rPr>
          <w:rFonts w:ascii="Verdana" w:hAnsi="Verdana"/>
          <w:sz w:val="20"/>
          <w:szCs w:val="32"/>
          <w:lang w:val="pt-BR"/>
        </w:rPr>
        <w:t xml:space="preserve">de </w:t>
      </w:r>
      <w:r w:rsidR="00310B98" w:rsidRPr="002F50BD">
        <w:rPr>
          <w:rFonts w:ascii="Verdana" w:hAnsi="Verdana"/>
          <w:sz w:val="20"/>
          <w:szCs w:val="32"/>
          <w:lang w:val="pt-BR"/>
        </w:rPr>
        <w:t xml:space="preserve">ter acesso a meios </w:t>
      </w:r>
      <w:r w:rsidR="004756C1" w:rsidRPr="002F50BD">
        <w:rPr>
          <w:rFonts w:ascii="Verdana" w:hAnsi="Verdana"/>
          <w:sz w:val="20"/>
          <w:szCs w:val="32"/>
          <w:lang w:val="pt-BR"/>
        </w:rPr>
        <w:t xml:space="preserve">para </w:t>
      </w:r>
      <w:r w:rsidRPr="002F50BD">
        <w:rPr>
          <w:rFonts w:ascii="Verdana" w:hAnsi="Verdana"/>
          <w:sz w:val="20"/>
          <w:szCs w:val="32"/>
          <w:lang w:val="pt-BR"/>
        </w:rPr>
        <w:t>obter</w:t>
      </w:r>
      <w:r w:rsidR="004756C1" w:rsidRPr="002F50BD">
        <w:rPr>
          <w:rFonts w:ascii="Verdana" w:hAnsi="Verdana"/>
          <w:sz w:val="20"/>
          <w:szCs w:val="32"/>
          <w:lang w:val="pt-BR"/>
        </w:rPr>
        <w:t xml:space="preserve"> alimento</w:t>
      </w:r>
      <w:r w:rsidRPr="002F50BD">
        <w:rPr>
          <w:rFonts w:ascii="Verdana" w:hAnsi="Verdana"/>
          <w:sz w:val="20"/>
          <w:szCs w:val="32"/>
          <w:lang w:val="pt-BR"/>
        </w:rPr>
        <w:t xml:space="preserve"> e</w:t>
      </w:r>
      <w:r w:rsidR="00AB454A" w:rsidRPr="002F50BD">
        <w:rPr>
          <w:rFonts w:ascii="Verdana" w:hAnsi="Verdana"/>
          <w:sz w:val="20"/>
          <w:szCs w:val="32"/>
          <w:lang w:val="pt-BR"/>
        </w:rPr>
        <w:t xml:space="preserve"> água </w:t>
      </w:r>
      <w:r w:rsidR="00E72F67" w:rsidRPr="002F50BD">
        <w:rPr>
          <w:rFonts w:ascii="Verdana" w:hAnsi="Verdana"/>
          <w:sz w:val="20"/>
          <w:szCs w:val="32"/>
          <w:lang w:val="pt-BR"/>
        </w:rPr>
        <w:t>limpa</w:t>
      </w:r>
      <w:r w:rsidR="00310B98" w:rsidRPr="002F50BD">
        <w:rPr>
          <w:rFonts w:ascii="Verdana" w:hAnsi="Verdana"/>
          <w:sz w:val="20"/>
          <w:szCs w:val="32"/>
          <w:lang w:val="pt-BR"/>
        </w:rPr>
        <w:t>.</w:t>
      </w:r>
      <w:r w:rsidR="004756C1" w:rsidRPr="002F50BD">
        <w:rPr>
          <w:rStyle w:val="FootnoteReference"/>
          <w:rFonts w:ascii="Verdana" w:hAnsi="Verdana"/>
          <w:szCs w:val="32"/>
        </w:rPr>
        <w:footnoteReference w:id="206"/>
      </w:r>
    </w:p>
    <w:p w:rsidR="004756C1" w:rsidRPr="002F50BD" w:rsidRDefault="004756C1">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 xml:space="preserve">capítulo anterior, este Tribunal </w:t>
      </w:r>
      <w:r w:rsidRPr="002F50BD">
        <w:rPr>
          <w:rFonts w:ascii="Verdana" w:hAnsi="Verdana"/>
          <w:sz w:val="20"/>
          <w:lang w:val="pt-BR"/>
        </w:rPr>
        <w:t>estabeleceu</w:t>
      </w:r>
      <w:r w:rsidR="004756C1" w:rsidRPr="002F50BD">
        <w:rPr>
          <w:rFonts w:ascii="Verdana" w:hAnsi="Verdana"/>
          <w:sz w:val="20"/>
          <w:lang w:val="pt-BR"/>
        </w:rPr>
        <w:t xml:space="preserve"> que</w:t>
      </w:r>
      <w:r w:rsidRPr="002F50BD">
        <w:rPr>
          <w:rFonts w:ascii="Verdana" w:hAnsi="Verdana"/>
          <w:sz w:val="20"/>
          <w:lang w:val="pt-BR"/>
        </w:rPr>
        <w:t xml:space="preserve"> o </w:t>
      </w:r>
      <w:r w:rsidR="004756C1" w:rsidRPr="002F50BD">
        <w:rPr>
          <w:rFonts w:ascii="Verdana" w:hAnsi="Verdana"/>
          <w:sz w:val="20"/>
          <w:lang w:val="pt-BR"/>
        </w:rPr>
        <w:t xml:space="preserve">Estado </w:t>
      </w:r>
      <w:r w:rsidR="00AB454A" w:rsidRPr="002F50BD">
        <w:rPr>
          <w:rFonts w:ascii="Verdana" w:hAnsi="Verdana"/>
          <w:sz w:val="20"/>
          <w:lang w:val="pt-BR"/>
        </w:rPr>
        <w:t>não havia</w:t>
      </w:r>
      <w:r w:rsidR="004756C1" w:rsidRPr="002F50BD">
        <w:rPr>
          <w:rFonts w:ascii="Verdana" w:hAnsi="Verdana"/>
          <w:sz w:val="20"/>
          <w:lang w:val="pt-BR"/>
        </w:rPr>
        <w:t xml:space="preserve"> </w:t>
      </w:r>
      <w:r w:rsidRPr="002F50BD">
        <w:rPr>
          <w:rFonts w:ascii="Verdana" w:hAnsi="Verdana"/>
          <w:sz w:val="20"/>
          <w:lang w:val="pt-BR"/>
        </w:rPr>
        <w:t>garantid</w:t>
      </w:r>
      <w:r w:rsidR="004756C1" w:rsidRPr="002F50BD">
        <w:rPr>
          <w:rFonts w:ascii="Verdana" w:hAnsi="Verdana"/>
          <w:sz w:val="20"/>
          <w:lang w:val="pt-BR"/>
        </w:rPr>
        <w:t>o</w:t>
      </w:r>
      <w:r w:rsidRPr="002F50BD">
        <w:rPr>
          <w:rFonts w:ascii="Verdana" w:hAnsi="Verdana"/>
          <w:sz w:val="20"/>
          <w:lang w:val="pt-BR"/>
        </w:rPr>
        <w:t xml:space="preserve"> o direito 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AB454A" w:rsidRPr="002F50BD">
        <w:rPr>
          <w:rFonts w:ascii="Verdana" w:hAnsi="Verdana"/>
          <w:sz w:val="20"/>
          <w:lang w:val="pt-BR"/>
        </w:rPr>
        <w:t xml:space="preserve">. A </w:t>
      </w:r>
      <w:r w:rsidR="004756C1" w:rsidRPr="002F50BD">
        <w:rPr>
          <w:rFonts w:ascii="Verdana" w:hAnsi="Verdana"/>
          <w:sz w:val="20"/>
          <w:lang w:val="pt-BR"/>
        </w:rPr>
        <w:t>Corte considera que este</w:t>
      </w:r>
      <w:r w:rsidRPr="002F50BD">
        <w:rPr>
          <w:rFonts w:ascii="Verdana" w:hAnsi="Verdana"/>
          <w:sz w:val="20"/>
          <w:lang w:val="pt-BR"/>
        </w:rPr>
        <w:t xml:space="preserve"> fato </w:t>
      </w:r>
      <w:r w:rsidR="006C4819" w:rsidRPr="002F50BD">
        <w:rPr>
          <w:rFonts w:ascii="Verdana" w:hAnsi="Verdana"/>
          <w:sz w:val="20"/>
          <w:lang w:val="pt-BR"/>
        </w:rPr>
        <w:t>afetou</w:t>
      </w:r>
      <w:r w:rsidRPr="002F50BD">
        <w:rPr>
          <w:rFonts w:ascii="Verdana" w:hAnsi="Verdana"/>
          <w:sz w:val="20"/>
          <w:lang w:val="pt-BR"/>
        </w:rPr>
        <w:t xml:space="preserve"> o direito</w:t>
      </w:r>
      <w:r w:rsidR="004756C1" w:rsidRPr="002F50BD">
        <w:rPr>
          <w:rFonts w:ascii="Verdana" w:hAnsi="Verdana"/>
          <w:sz w:val="20"/>
          <w:lang w:val="pt-BR"/>
        </w:rPr>
        <w:t xml:space="preserve"> a</w:t>
      </w:r>
      <w:r w:rsidRPr="002F50BD">
        <w:rPr>
          <w:rFonts w:ascii="Verdana" w:hAnsi="Verdana"/>
          <w:sz w:val="20"/>
          <w:lang w:val="pt-BR"/>
        </w:rPr>
        <w:t xml:space="preserve"> uma </w:t>
      </w:r>
      <w:r w:rsidR="004756C1" w:rsidRPr="002F50BD">
        <w:rPr>
          <w:rFonts w:ascii="Verdana" w:hAnsi="Verdana"/>
          <w:sz w:val="20"/>
          <w:lang w:val="pt-BR"/>
        </w:rPr>
        <w:t>vida digna</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076AD" w:rsidRPr="002F50BD">
        <w:rPr>
          <w:rFonts w:ascii="Verdana" w:hAnsi="Verdana"/>
          <w:sz w:val="20"/>
          <w:lang w:val="pt-BR"/>
        </w:rPr>
        <w:t xml:space="preserve">já </w:t>
      </w:r>
      <w:r w:rsidR="004756C1" w:rsidRPr="002F50BD">
        <w:rPr>
          <w:rFonts w:ascii="Verdana" w:hAnsi="Verdana" w:cs="Arial"/>
          <w:sz w:val="20"/>
          <w:lang w:val="pt-BR"/>
        </w:rPr>
        <w:t>que</w:t>
      </w:r>
      <w:r w:rsidRPr="002F50BD">
        <w:rPr>
          <w:rFonts w:ascii="Verdana" w:hAnsi="Verdana" w:cs="Arial"/>
          <w:sz w:val="20"/>
          <w:lang w:val="pt-BR"/>
        </w:rPr>
        <w:t xml:space="preserve"> os </w:t>
      </w:r>
      <w:r w:rsidR="006C4819" w:rsidRPr="002F50BD">
        <w:rPr>
          <w:rFonts w:ascii="Verdana" w:hAnsi="Verdana" w:cs="Arial"/>
          <w:sz w:val="20"/>
          <w:lang w:val="pt-BR"/>
        </w:rPr>
        <w:t xml:space="preserve">privou </w:t>
      </w:r>
      <w:r w:rsidRPr="002F50BD">
        <w:rPr>
          <w:rFonts w:ascii="Verdana" w:hAnsi="Verdana" w:cs="Arial"/>
          <w:sz w:val="20"/>
          <w:lang w:val="pt-BR"/>
        </w:rPr>
        <w:t xml:space="preserve">da possibilidade </w:t>
      </w:r>
      <w:r w:rsidR="004756C1" w:rsidRPr="002F50BD">
        <w:rPr>
          <w:rFonts w:ascii="Verdana" w:hAnsi="Verdana" w:cs="Arial"/>
          <w:sz w:val="20"/>
          <w:lang w:val="pt-BR"/>
        </w:rPr>
        <w:t xml:space="preserve">de </w:t>
      </w:r>
      <w:r w:rsidR="006C4819" w:rsidRPr="002F50BD">
        <w:rPr>
          <w:rFonts w:ascii="Verdana" w:hAnsi="Verdana" w:cs="Arial"/>
          <w:sz w:val="20"/>
          <w:lang w:val="pt-BR"/>
        </w:rPr>
        <w:t xml:space="preserve">ter acesso </w:t>
      </w:r>
      <w:r w:rsidR="004756C1" w:rsidRPr="002F50BD">
        <w:rPr>
          <w:rFonts w:ascii="Verdana" w:hAnsi="Verdana" w:cs="Arial"/>
          <w:sz w:val="20"/>
          <w:lang w:val="pt-BR"/>
        </w:rPr>
        <w:t>a s</w:t>
      </w:r>
      <w:r w:rsidR="006C4819" w:rsidRPr="002F50BD">
        <w:rPr>
          <w:rFonts w:ascii="Verdana" w:hAnsi="Verdana" w:cs="Arial"/>
          <w:sz w:val="20"/>
          <w:lang w:val="pt-BR"/>
        </w:rPr>
        <w:t>e</w:t>
      </w:r>
      <w:r w:rsidR="004756C1" w:rsidRPr="002F50BD">
        <w:rPr>
          <w:rFonts w:ascii="Verdana" w:hAnsi="Verdana" w:cs="Arial"/>
          <w:sz w:val="20"/>
          <w:lang w:val="pt-BR"/>
        </w:rPr>
        <w:t xml:space="preserve">us </w:t>
      </w:r>
      <w:r w:rsidR="004756C1" w:rsidRPr="002F50BD">
        <w:rPr>
          <w:rFonts w:ascii="Verdana" w:hAnsi="Verdana" w:cs="Arial"/>
          <w:sz w:val="20"/>
          <w:lang w:val="pt-BR"/>
        </w:rPr>
        <w:lastRenderedPageBreak/>
        <w:t xml:space="preserve">meios de </w:t>
      </w:r>
      <w:r w:rsidRPr="002F50BD">
        <w:rPr>
          <w:rFonts w:ascii="Verdana" w:hAnsi="Verdana" w:cs="Arial"/>
          <w:sz w:val="20"/>
          <w:lang w:val="pt-BR"/>
        </w:rPr>
        <w:t>subsistência</w:t>
      </w:r>
      <w:r w:rsidR="004756C1" w:rsidRPr="002F50BD">
        <w:rPr>
          <w:rFonts w:ascii="Verdana" w:hAnsi="Verdana" w:cs="Arial"/>
          <w:sz w:val="20"/>
          <w:lang w:val="pt-BR"/>
        </w:rPr>
        <w:t xml:space="preserve"> tr</w:t>
      </w:r>
      <w:r w:rsidRPr="002F50BD">
        <w:rPr>
          <w:rFonts w:ascii="Verdana" w:hAnsi="Verdana" w:cs="Arial"/>
          <w:sz w:val="20"/>
          <w:lang w:val="pt-BR"/>
        </w:rPr>
        <w:t>adicionais</w:t>
      </w:r>
      <w:r w:rsidR="004756C1" w:rsidRPr="002F50BD">
        <w:rPr>
          <w:rFonts w:ascii="Verdana" w:hAnsi="Verdana" w:cs="Arial"/>
          <w:sz w:val="20"/>
          <w:lang w:val="pt-BR"/>
        </w:rPr>
        <w:t xml:space="preserve">, </w:t>
      </w:r>
      <w:r w:rsidR="006C4819" w:rsidRPr="002F50BD">
        <w:rPr>
          <w:rFonts w:ascii="Verdana" w:hAnsi="Verdana" w:cs="Arial"/>
          <w:sz w:val="20"/>
          <w:lang w:val="pt-BR"/>
        </w:rPr>
        <w:t xml:space="preserve">bem </w:t>
      </w:r>
      <w:r w:rsidR="004756C1" w:rsidRPr="002F50BD">
        <w:rPr>
          <w:rFonts w:ascii="Verdana" w:hAnsi="Verdana" w:cs="Arial"/>
          <w:sz w:val="20"/>
          <w:lang w:val="pt-BR"/>
        </w:rPr>
        <w:t xml:space="preserve">como </w:t>
      </w:r>
      <w:r w:rsidR="006C4819" w:rsidRPr="002F50BD">
        <w:rPr>
          <w:rFonts w:ascii="Verdana" w:hAnsi="Verdana" w:cs="Arial"/>
          <w:sz w:val="20"/>
          <w:lang w:val="pt-BR"/>
        </w:rPr>
        <w:t>a</w:t>
      </w:r>
      <w:r w:rsidRPr="002F50BD">
        <w:rPr>
          <w:rFonts w:ascii="Verdana" w:hAnsi="Verdana" w:cs="Arial"/>
          <w:sz w:val="20"/>
          <w:lang w:val="pt-BR"/>
        </w:rPr>
        <w:t xml:space="preserve">o </w:t>
      </w:r>
      <w:r w:rsidR="004756C1" w:rsidRPr="002F50BD">
        <w:rPr>
          <w:rFonts w:ascii="Verdana" w:hAnsi="Verdana" w:cs="Arial"/>
          <w:sz w:val="20"/>
          <w:lang w:val="pt-BR"/>
        </w:rPr>
        <w:t>uso</w:t>
      </w:r>
      <w:r w:rsidRPr="002F50BD">
        <w:rPr>
          <w:rFonts w:ascii="Verdana" w:hAnsi="Verdana" w:cs="Arial"/>
          <w:sz w:val="20"/>
          <w:lang w:val="pt-BR"/>
        </w:rPr>
        <w:t xml:space="preserve"> e </w:t>
      </w:r>
      <w:r w:rsidR="00E72F67" w:rsidRPr="002F50BD">
        <w:rPr>
          <w:rFonts w:ascii="Verdana" w:hAnsi="Verdana" w:cs="Arial"/>
          <w:sz w:val="20"/>
          <w:lang w:val="pt-BR"/>
        </w:rPr>
        <w:t>desfrute</w:t>
      </w:r>
      <w:r w:rsidRPr="002F50BD">
        <w:rPr>
          <w:rFonts w:ascii="Verdana" w:hAnsi="Verdana" w:cs="Arial"/>
          <w:sz w:val="20"/>
          <w:lang w:val="pt-BR"/>
        </w:rPr>
        <w:t xml:space="preserve"> dos </w:t>
      </w:r>
      <w:r w:rsidR="004756C1" w:rsidRPr="002F50BD">
        <w:rPr>
          <w:rFonts w:ascii="Verdana" w:hAnsi="Verdana" w:cs="Arial"/>
          <w:sz w:val="20"/>
          <w:lang w:val="pt-BR"/>
        </w:rPr>
        <w:t xml:space="preserve">recursos </w:t>
      </w:r>
      <w:r w:rsidR="005D1589" w:rsidRPr="002F50BD">
        <w:rPr>
          <w:rFonts w:ascii="Verdana" w:hAnsi="Verdana" w:cs="Arial"/>
          <w:sz w:val="20"/>
          <w:lang w:val="pt-BR"/>
        </w:rPr>
        <w:t>naturais</w:t>
      </w:r>
      <w:r w:rsidR="004756C1" w:rsidRPr="002F50BD">
        <w:rPr>
          <w:rFonts w:ascii="Verdana" w:hAnsi="Verdana" w:cs="Arial"/>
          <w:sz w:val="20"/>
          <w:lang w:val="pt-BR"/>
        </w:rPr>
        <w:t xml:space="preserve"> </w:t>
      </w:r>
      <w:r w:rsidRPr="002F50BD">
        <w:rPr>
          <w:rFonts w:ascii="Verdana" w:hAnsi="Verdana" w:cs="Arial"/>
          <w:sz w:val="20"/>
          <w:lang w:val="pt-BR"/>
        </w:rPr>
        <w:t>necessári</w:t>
      </w:r>
      <w:r w:rsidR="004756C1" w:rsidRPr="002F50BD">
        <w:rPr>
          <w:rFonts w:ascii="Verdana" w:hAnsi="Verdana" w:cs="Arial"/>
          <w:sz w:val="20"/>
          <w:lang w:val="pt-BR"/>
        </w:rPr>
        <w:t>os para</w:t>
      </w:r>
      <w:r w:rsidRPr="002F50BD">
        <w:rPr>
          <w:rFonts w:ascii="Verdana" w:hAnsi="Verdana" w:cs="Arial"/>
          <w:sz w:val="20"/>
          <w:lang w:val="pt-BR"/>
        </w:rPr>
        <w:t xml:space="preserve"> a </w:t>
      </w:r>
      <w:r w:rsidR="004756C1" w:rsidRPr="002F50BD">
        <w:rPr>
          <w:rFonts w:ascii="Verdana" w:hAnsi="Verdana" w:cs="Arial"/>
          <w:sz w:val="20"/>
          <w:lang w:val="pt-BR"/>
        </w:rPr>
        <w:t>obten</w:t>
      </w:r>
      <w:r w:rsidRPr="002F50BD">
        <w:rPr>
          <w:rFonts w:ascii="Verdana" w:hAnsi="Verdana" w:cs="Arial"/>
          <w:sz w:val="20"/>
          <w:lang w:val="pt-BR"/>
        </w:rPr>
        <w:t>ção</w:t>
      </w:r>
      <w:r w:rsidR="004756C1" w:rsidRPr="002F50BD">
        <w:rPr>
          <w:rFonts w:ascii="Verdana" w:hAnsi="Verdana" w:cs="Arial"/>
          <w:sz w:val="20"/>
          <w:lang w:val="pt-BR"/>
        </w:rPr>
        <w:t xml:space="preserve"> de</w:t>
      </w:r>
      <w:r w:rsidR="00AB454A" w:rsidRPr="002F50BD">
        <w:rPr>
          <w:rFonts w:ascii="Verdana" w:hAnsi="Verdana" w:cs="Arial"/>
          <w:sz w:val="20"/>
          <w:lang w:val="pt-BR"/>
        </w:rPr>
        <w:t xml:space="preserve"> água </w:t>
      </w:r>
      <w:r w:rsidR="00E72F67" w:rsidRPr="002F50BD">
        <w:rPr>
          <w:rFonts w:ascii="Verdana" w:hAnsi="Verdana" w:cs="Arial"/>
          <w:sz w:val="20"/>
          <w:lang w:val="pt-BR"/>
        </w:rPr>
        <w:t>limpa</w:t>
      </w:r>
      <w:r w:rsidRPr="002F50BD">
        <w:rPr>
          <w:rFonts w:ascii="Verdana" w:hAnsi="Verdana" w:cs="Arial"/>
          <w:sz w:val="20"/>
          <w:lang w:val="pt-BR"/>
        </w:rPr>
        <w:t xml:space="preserve"> e </w:t>
      </w:r>
      <w:r w:rsidR="004756C1" w:rsidRPr="002F50BD">
        <w:rPr>
          <w:rFonts w:ascii="Verdana" w:hAnsi="Verdana" w:cs="Arial"/>
          <w:sz w:val="20"/>
          <w:lang w:val="pt-BR"/>
        </w:rPr>
        <w:t>para</w:t>
      </w:r>
      <w:r w:rsidRPr="002F50BD">
        <w:rPr>
          <w:rFonts w:ascii="Verdana" w:hAnsi="Verdana" w:cs="Arial"/>
          <w:sz w:val="20"/>
          <w:lang w:val="pt-BR"/>
        </w:rPr>
        <w:t xml:space="preserve"> a prática da </w:t>
      </w:r>
      <w:r w:rsidR="004756C1" w:rsidRPr="002F50BD">
        <w:rPr>
          <w:rFonts w:ascii="Verdana" w:hAnsi="Verdana" w:cs="Arial"/>
          <w:sz w:val="20"/>
          <w:lang w:val="pt-BR"/>
        </w:rPr>
        <w:t>medicina tradicional de preven</w:t>
      </w:r>
      <w:r w:rsidRPr="002F50BD">
        <w:rPr>
          <w:rFonts w:ascii="Verdana" w:hAnsi="Verdana" w:cs="Arial"/>
          <w:sz w:val="20"/>
          <w:lang w:val="pt-BR"/>
        </w:rPr>
        <w:t xml:space="preserve">ção e </w:t>
      </w:r>
      <w:r w:rsidR="004756C1" w:rsidRPr="002F50BD">
        <w:rPr>
          <w:rFonts w:ascii="Verdana" w:hAnsi="Verdana" w:cs="Arial"/>
          <w:sz w:val="20"/>
          <w:lang w:val="pt-BR"/>
        </w:rPr>
        <w:t xml:space="preserve">cura de </w:t>
      </w:r>
      <w:r w:rsidR="00367FD1" w:rsidRPr="002F50BD">
        <w:rPr>
          <w:rFonts w:ascii="Verdana" w:hAnsi="Verdana" w:cs="Arial"/>
          <w:sz w:val="20"/>
          <w:lang w:val="pt-BR"/>
        </w:rPr>
        <w:t>doenças</w:t>
      </w:r>
      <w:r w:rsidR="004756C1" w:rsidRPr="002F50BD">
        <w:rPr>
          <w:rFonts w:ascii="Verdana" w:hAnsi="Verdana" w:cs="Arial"/>
          <w:sz w:val="20"/>
          <w:lang w:val="pt-BR"/>
        </w:rPr>
        <w:t xml:space="preserve">. A </w:t>
      </w:r>
      <w:r w:rsidR="006C4819" w:rsidRPr="002F50BD">
        <w:rPr>
          <w:rFonts w:ascii="Verdana" w:hAnsi="Verdana" w:cs="Arial"/>
          <w:sz w:val="20"/>
          <w:lang w:val="pt-BR"/>
        </w:rPr>
        <w:t>i</w:t>
      </w:r>
      <w:r w:rsidR="004756C1" w:rsidRPr="002F50BD">
        <w:rPr>
          <w:rFonts w:ascii="Verdana" w:hAnsi="Verdana" w:cs="Arial"/>
          <w:sz w:val="20"/>
          <w:lang w:val="pt-BR"/>
        </w:rPr>
        <w:t xml:space="preserve">sto se </w:t>
      </w:r>
      <w:r w:rsidRPr="002F50BD">
        <w:rPr>
          <w:rFonts w:ascii="Verdana" w:hAnsi="Verdana" w:cs="Arial"/>
          <w:sz w:val="20"/>
          <w:lang w:val="pt-BR"/>
        </w:rPr>
        <w:t xml:space="preserve">soma </w:t>
      </w:r>
      <w:r w:rsidR="006C4819" w:rsidRPr="002F50BD">
        <w:rPr>
          <w:rFonts w:ascii="Verdana" w:hAnsi="Verdana" w:cs="Arial"/>
          <w:sz w:val="20"/>
          <w:lang w:val="pt-BR"/>
        </w:rPr>
        <w:t xml:space="preserve">o fato de </w:t>
      </w:r>
      <w:r w:rsidR="004756C1" w:rsidRPr="002F50BD">
        <w:rPr>
          <w:rFonts w:ascii="Verdana" w:hAnsi="Verdana" w:cs="Arial"/>
          <w:sz w:val="20"/>
          <w:lang w:val="pt-BR"/>
        </w:rPr>
        <w:t>que</w:t>
      </w:r>
      <w:r w:rsidRPr="002F50BD">
        <w:rPr>
          <w:rFonts w:ascii="Verdana" w:hAnsi="Verdana" w:cs="Arial"/>
          <w:sz w:val="20"/>
          <w:lang w:val="pt-BR"/>
        </w:rPr>
        <w:t xml:space="preserve"> o </w:t>
      </w:r>
      <w:r w:rsidR="004756C1" w:rsidRPr="002F50BD">
        <w:rPr>
          <w:rFonts w:ascii="Verdana" w:hAnsi="Verdana" w:cs="Arial"/>
          <w:sz w:val="20"/>
          <w:lang w:val="pt-BR"/>
        </w:rPr>
        <w:t xml:space="preserve">Estado </w:t>
      </w:r>
      <w:r w:rsidR="00AB454A" w:rsidRPr="002F50BD">
        <w:rPr>
          <w:rFonts w:ascii="Verdana" w:hAnsi="Verdana" w:cs="Arial"/>
          <w:sz w:val="20"/>
          <w:lang w:val="pt-BR"/>
        </w:rPr>
        <w:t>não adotou</w:t>
      </w:r>
      <w:r w:rsidRPr="002F50BD">
        <w:rPr>
          <w:rFonts w:ascii="Verdana" w:hAnsi="Verdana" w:cs="Arial"/>
          <w:sz w:val="20"/>
          <w:lang w:val="pt-BR"/>
        </w:rPr>
        <w:t xml:space="preserve"> as </w:t>
      </w:r>
      <w:r w:rsidR="004756C1" w:rsidRPr="002F50BD">
        <w:rPr>
          <w:rFonts w:ascii="Verdana" w:hAnsi="Verdana" w:cs="Arial"/>
          <w:sz w:val="20"/>
          <w:lang w:val="pt-BR"/>
        </w:rPr>
        <w:t xml:space="preserve">medidas positivas </w:t>
      </w:r>
      <w:r w:rsidRPr="002F50BD">
        <w:rPr>
          <w:rFonts w:ascii="Verdana" w:hAnsi="Verdana" w:cs="Arial"/>
          <w:sz w:val="20"/>
          <w:lang w:val="pt-BR"/>
        </w:rPr>
        <w:t>necessári</w:t>
      </w:r>
      <w:r w:rsidR="004756C1" w:rsidRPr="002F50BD">
        <w:rPr>
          <w:rFonts w:ascii="Verdana" w:hAnsi="Verdana" w:cs="Arial"/>
          <w:sz w:val="20"/>
          <w:lang w:val="pt-BR"/>
        </w:rPr>
        <w:t xml:space="preserve">as que </w:t>
      </w:r>
      <w:r w:rsidRPr="002F50BD">
        <w:rPr>
          <w:rFonts w:ascii="Verdana" w:hAnsi="Verdana" w:cs="Arial"/>
          <w:sz w:val="20"/>
          <w:lang w:val="pt-BR"/>
        </w:rPr>
        <w:t>permit</w:t>
      </w:r>
      <w:r w:rsidR="007221D9" w:rsidRPr="002F50BD">
        <w:rPr>
          <w:rFonts w:ascii="Verdana" w:hAnsi="Verdana" w:cs="Arial"/>
          <w:sz w:val="20"/>
          <w:lang w:val="pt-BR"/>
        </w:rPr>
        <w:t>issem</w:t>
      </w:r>
      <w:r w:rsidR="004756C1" w:rsidRPr="002F50BD">
        <w:rPr>
          <w:rFonts w:ascii="Verdana" w:hAnsi="Verdana" w:cs="Arial"/>
          <w:sz w:val="20"/>
          <w:lang w:val="pt-BR"/>
        </w:rPr>
        <w:t xml:space="preserve"> </w:t>
      </w:r>
      <w:r w:rsidRPr="002F50BD">
        <w:rPr>
          <w:rFonts w:ascii="Verdana" w:hAnsi="Verdana" w:cs="Arial"/>
          <w:sz w:val="20"/>
          <w:lang w:val="pt-BR"/>
        </w:rPr>
        <w:t>assegurar aos membro</w:t>
      </w:r>
      <w:r w:rsidR="004756C1" w:rsidRPr="002F50BD">
        <w:rPr>
          <w:rFonts w:ascii="Verdana" w:hAnsi="Verdana" w:cs="Arial"/>
          <w:sz w:val="20"/>
          <w:lang w:val="pt-BR"/>
        </w:rPr>
        <w:t>s</w:t>
      </w:r>
      <w:r w:rsidRPr="002F50BD">
        <w:rPr>
          <w:rFonts w:ascii="Verdana" w:hAnsi="Verdana" w:cs="Arial"/>
          <w:sz w:val="20"/>
          <w:lang w:val="pt-BR"/>
        </w:rPr>
        <w:t xml:space="preserve"> da Comunidade </w:t>
      </w:r>
      <w:r w:rsidR="004756C1" w:rsidRPr="002F50BD">
        <w:rPr>
          <w:rFonts w:ascii="Verdana" w:hAnsi="Verdana" w:cs="Arial"/>
          <w:sz w:val="20"/>
          <w:lang w:val="pt-BR"/>
        </w:rPr>
        <w:t>Yakye Axa, durante</w:t>
      </w:r>
      <w:r w:rsidRPr="002F50BD">
        <w:rPr>
          <w:rFonts w:ascii="Verdana" w:hAnsi="Verdana" w:cs="Arial"/>
          <w:sz w:val="20"/>
          <w:lang w:val="pt-BR"/>
        </w:rPr>
        <w:t xml:space="preserve"> o </w:t>
      </w:r>
      <w:r w:rsidR="004756C1" w:rsidRPr="002F50BD">
        <w:rPr>
          <w:rFonts w:ascii="Verdana" w:hAnsi="Verdana" w:cs="Arial"/>
          <w:sz w:val="20"/>
          <w:lang w:val="pt-BR"/>
        </w:rPr>
        <w:t xml:space="preserve">período </w:t>
      </w:r>
      <w:r w:rsidR="006C4819" w:rsidRPr="002F50BD">
        <w:rPr>
          <w:rFonts w:ascii="Verdana" w:hAnsi="Verdana" w:cs="Arial"/>
          <w:sz w:val="20"/>
          <w:lang w:val="pt-BR"/>
        </w:rPr>
        <w:t xml:space="preserve">no qual permaneceram </w:t>
      </w:r>
      <w:r w:rsidRPr="002F50BD">
        <w:rPr>
          <w:rFonts w:ascii="Verdana" w:hAnsi="Verdana" w:cs="Arial"/>
          <w:sz w:val="20"/>
          <w:lang w:val="pt-BR"/>
        </w:rPr>
        <w:t>sem território</w:t>
      </w:r>
      <w:r w:rsidR="004756C1" w:rsidRPr="002F50BD">
        <w:rPr>
          <w:rFonts w:ascii="Verdana" w:hAnsi="Verdana" w:cs="Arial"/>
          <w:sz w:val="20"/>
          <w:lang w:val="pt-BR"/>
        </w:rPr>
        <w:t>,</w:t>
      </w:r>
      <w:r w:rsidRPr="002F50BD">
        <w:rPr>
          <w:rFonts w:ascii="Verdana" w:hAnsi="Verdana" w:cs="Arial"/>
          <w:sz w:val="20"/>
          <w:lang w:val="pt-BR"/>
        </w:rPr>
        <w:t xml:space="preserve"> as </w:t>
      </w:r>
      <w:r w:rsidR="004756C1" w:rsidRPr="002F50BD">
        <w:rPr>
          <w:rFonts w:ascii="Verdana" w:hAnsi="Verdana" w:cs="Arial"/>
          <w:sz w:val="20"/>
          <w:lang w:val="pt-BR"/>
        </w:rPr>
        <w:t>condi</w:t>
      </w:r>
      <w:r w:rsidRPr="002F50BD">
        <w:rPr>
          <w:rFonts w:ascii="Verdana" w:hAnsi="Verdana" w:cs="Arial"/>
          <w:sz w:val="20"/>
          <w:lang w:val="pt-BR"/>
        </w:rPr>
        <w:t>ções</w:t>
      </w:r>
      <w:r w:rsidR="004756C1" w:rsidRPr="002F50BD">
        <w:rPr>
          <w:rFonts w:ascii="Verdana" w:hAnsi="Verdana" w:cs="Arial"/>
          <w:sz w:val="20"/>
          <w:lang w:val="pt-BR"/>
        </w:rPr>
        <w:t xml:space="preserve"> de vida </w:t>
      </w:r>
      <w:r w:rsidRPr="002F50BD">
        <w:rPr>
          <w:rFonts w:ascii="Verdana" w:hAnsi="Verdana" w:cs="Arial"/>
          <w:sz w:val="20"/>
          <w:lang w:val="pt-BR"/>
        </w:rPr>
        <w:t xml:space="preserve">compatíveis com </w:t>
      </w:r>
      <w:r w:rsidR="004756C1" w:rsidRPr="002F50BD">
        <w:rPr>
          <w:rFonts w:ascii="Verdana" w:hAnsi="Verdana" w:cs="Arial"/>
          <w:sz w:val="20"/>
          <w:lang w:val="pt-BR"/>
        </w:rPr>
        <w:t>su</w:t>
      </w:r>
      <w:r w:rsidR="006C4819" w:rsidRPr="002F50BD">
        <w:rPr>
          <w:rFonts w:ascii="Verdana" w:hAnsi="Verdana" w:cs="Arial"/>
          <w:sz w:val="20"/>
          <w:lang w:val="pt-BR"/>
        </w:rPr>
        <w:t>a</w:t>
      </w:r>
      <w:r w:rsidR="004756C1" w:rsidRPr="002F50BD">
        <w:rPr>
          <w:rFonts w:ascii="Verdana" w:hAnsi="Verdana" w:cs="Arial"/>
          <w:sz w:val="20"/>
          <w:lang w:val="pt-BR"/>
        </w:rPr>
        <w:t xml:space="preserve"> dig</w:t>
      </w:r>
      <w:r w:rsidR="00AB454A" w:rsidRPr="002F50BD">
        <w:rPr>
          <w:rFonts w:ascii="Verdana" w:hAnsi="Verdana" w:cs="Arial"/>
          <w:sz w:val="20"/>
          <w:lang w:val="pt-BR"/>
        </w:rPr>
        <w:t xml:space="preserve">nidade, </w:t>
      </w:r>
      <w:r w:rsidR="004076AD" w:rsidRPr="002F50BD">
        <w:rPr>
          <w:rFonts w:ascii="Verdana" w:hAnsi="Verdana" w:cs="Arial"/>
          <w:sz w:val="20"/>
          <w:lang w:val="pt-BR"/>
        </w:rPr>
        <w:t xml:space="preserve">apesar </w:t>
      </w:r>
      <w:r w:rsidR="004756C1" w:rsidRPr="002F50BD">
        <w:rPr>
          <w:rFonts w:ascii="Verdana" w:hAnsi="Verdana" w:cs="Arial"/>
          <w:sz w:val="20"/>
          <w:lang w:val="pt-BR"/>
        </w:rPr>
        <w:t>de que</w:t>
      </w:r>
      <w:r w:rsidR="007221D9" w:rsidRPr="002F50BD">
        <w:rPr>
          <w:rFonts w:ascii="Verdana" w:hAnsi="Verdana" w:cs="Arial"/>
          <w:sz w:val="20"/>
          <w:lang w:val="pt-BR"/>
        </w:rPr>
        <w:t>,</w:t>
      </w:r>
      <w:r w:rsidRPr="002F50BD">
        <w:rPr>
          <w:rFonts w:ascii="Verdana" w:hAnsi="Verdana" w:cs="Arial"/>
          <w:sz w:val="20"/>
          <w:lang w:val="pt-BR"/>
        </w:rPr>
        <w:t xml:space="preserve"> em </w:t>
      </w:r>
      <w:r w:rsidR="00063B47" w:rsidRPr="002F50BD">
        <w:rPr>
          <w:rFonts w:ascii="Verdana" w:hAnsi="Verdana" w:cs="Arial"/>
          <w:sz w:val="20"/>
          <w:lang w:val="pt-BR"/>
        </w:rPr>
        <w:t>2</w:t>
      </w:r>
      <w:r w:rsidR="00063B47" w:rsidRPr="002F50BD">
        <w:rPr>
          <w:rFonts w:ascii="Verdana" w:hAnsi="Verdana"/>
          <w:sz w:val="20"/>
          <w:lang w:val="pt-BR"/>
        </w:rPr>
        <w:t>3</w:t>
      </w:r>
      <w:r w:rsidR="004756C1" w:rsidRPr="002F50BD">
        <w:rPr>
          <w:rFonts w:ascii="Verdana" w:hAnsi="Verdana"/>
          <w:sz w:val="20"/>
          <w:lang w:val="pt-BR"/>
        </w:rPr>
        <w:t xml:space="preserve"> de </w:t>
      </w:r>
      <w:r w:rsidRPr="002F50BD">
        <w:rPr>
          <w:rFonts w:ascii="Verdana" w:hAnsi="Verdana"/>
          <w:sz w:val="20"/>
          <w:lang w:val="pt-BR"/>
        </w:rPr>
        <w:t>junho</w:t>
      </w:r>
      <w:r w:rsidR="004756C1" w:rsidRPr="002F50BD">
        <w:rPr>
          <w:rFonts w:ascii="Verdana" w:hAnsi="Verdana"/>
          <w:sz w:val="20"/>
          <w:lang w:val="pt-BR"/>
        </w:rPr>
        <w:t xml:space="preserve"> de </w:t>
      </w:r>
      <w:r w:rsidR="00063B47" w:rsidRPr="002F50BD">
        <w:rPr>
          <w:rFonts w:ascii="Verdana" w:hAnsi="Verdana"/>
          <w:sz w:val="20"/>
          <w:lang w:val="pt-BR"/>
        </w:rPr>
        <w:t>1999</w:t>
      </w:r>
      <w:r w:rsidR="007221D9"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Presidente </w:t>
      </w:r>
      <w:r w:rsidRPr="002F50BD">
        <w:rPr>
          <w:rFonts w:ascii="Verdana" w:hAnsi="Verdana"/>
          <w:sz w:val="20"/>
          <w:lang w:val="pt-BR"/>
        </w:rPr>
        <w:t>do Paraguai</w:t>
      </w:r>
      <w:r w:rsidR="004756C1" w:rsidRPr="002F50BD">
        <w:rPr>
          <w:rFonts w:ascii="Verdana" w:hAnsi="Verdana"/>
          <w:sz w:val="20"/>
          <w:lang w:val="pt-BR"/>
        </w:rPr>
        <w:t xml:space="preserve"> </w:t>
      </w:r>
      <w:r w:rsidRPr="002F50BD">
        <w:rPr>
          <w:rFonts w:ascii="Verdana" w:hAnsi="Verdana"/>
          <w:sz w:val="20"/>
          <w:lang w:val="pt-BR"/>
        </w:rPr>
        <w:t xml:space="preserve">emitiu o </w:t>
      </w:r>
      <w:r w:rsidR="004756C1" w:rsidRPr="002F50BD">
        <w:rPr>
          <w:rFonts w:ascii="Verdana" w:hAnsi="Verdana"/>
          <w:sz w:val="20"/>
          <w:lang w:val="pt-BR"/>
        </w:rPr>
        <w:t>Decreto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3</w:t>
      </w:r>
      <w:r w:rsidR="004756C1" w:rsidRPr="002F50BD">
        <w:rPr>
          <w:rFonts w:ascii="Verdana" w:hAnsi="Verdana"/>
          <w:sz w:val="20"/>
          <w:lang w:val="pt-BR"/>
        </w:rPr>
        <w:t>.</w:t>
      </w:r>
      <w:r w:rsidR="00063B47" w:rsidRPr="002F50BD">
        <w:rPr>
          <w:rFonts w:ascii="Verdana" w:hAnsi="Verdana"/>
          <w:sz w:val="20"/>
          <w:lang w:val="pt-BR"/>
        </w:rPr>
        <w:t>789</w:t>
      </w:r>
      <w:r w:rsidR="00FC6B22" w:rsidRPr="002F50BD">
        <w:rPr>
          <w:rFonts w:ascii="Verdana" w:hAnsi="Verdana"/>
          <w:sz w:val="20"/>
          <w:lang w:val="pt-BR"/>
        </w:rPr>
        <w:t>,</w:t>
      </w:r>
      <w:r w:rsidR="004756C1" w:rsidRPr="002F50BD">
        <w:rPr>
          <w:rFonts w:ascii="Verdana" w:hAnsi="Verdana"/>
          <w:sz w:val="20"/>
          <w:lang w:val="pt-BR"/>
        </w:rPr>
        <w:t xml:space="preserve"> que </w:t>
      </w:r>
      <w:r w:rsidRPr="002F50BD">
        <w:rPr>
          <w:rFonts w:ascii="Verdana" w:hAnsi="Verdana"/>
          <w:sz w:val="20"/>
          <w:lang w:val="pt-BR"/>
        </w:rPr>
        <w:t xml:space="preserve">declarou </w:t>
      </w:r>
      <w:r w:rsidR="00FC6B22" w:rsidRPr="002F50BD">
        <w:rPr>
          <w:rFonts w:ascii="Verdana" w:hAnsi="Verdana"/>
          <w:sz w:val="20"/>
          <w:lang w:val="pt-BR"/>
        </w:rPr>
        <w:t>a situação de</w:t>
      </w:r>
      <w:r w:rsidRPr="002F50BD">
        <w:rPr>
          <w:rFonts w:ascii="Verdana" w:hAnsi="Verdana"/>
          <w:sz w:val="20"/>
          <w:lang w:val="pt-BR"/>
        </w:rPr>
        <w:t xml:space="preserve"> </w:t>
      </w:r>
      <w:r w:rsidR="004756C1" w:rsidRPr="002F50BD">
        <w:rPr>
          <w:rFonts w:ascii="Verdana" w:hAnsi="Verdana"/>
          <w:sz w:val="20"/>
          <w:lang w:val="pt-BR"/>
        </w:rPr>
        <w:t xml:space="preserve">estado de </w:t>
      </w:r>
      <w:r w:rsidR="00A50140" w:rsidRPr="002F50BD">
        <w:rPr>
          <w:rFonts w:ascii="Verdana" w:hAnsi="Verdana"/>
          <w:sz w:val="20"/>
          <w:lang w:val="pt-BR"/>
        </w:rPr>
        <w:t xml:space="preserve">emergência </w:t>
      </w:r>
      <w:r w:rsidR="00FC6B22" w:rsidRPr="002F50BD">
        <w:rPr>
          <w:rFonts w:ascii="Verdana" w:hAnsi="Verdana"/>
          <w:sz w:val="20"/>
          <w:lang w:val="pt-BR"/>
        </w:rPr>
        <w:t>n</w:t>
      </w:r>
      <w:r w:rsidR="006C4819" w:rsidRPr="002F50BD">
        <w:rPr>
          <w:rFonts w:ascii="Verdana" w:hAnsi="Verdana"/>
          <w:sz w:val="20"/>
          <w:lang w:val="pt-BR"/>
        </w:rPr>
        <w:t>a</w:t>
      </w:r>
      <w:r w:rsidRPr="002F50BD">
        <w:rPr>
          <w:rFonts w:ascii="Verdana" w:hAnsi="Verdana"/>
          <w:sz w:val="20"/>
          <w:lang w:val="pt-BR"/>
        </w:rPr>
        <w:t xml:space="preserve"> Comunidade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100</w:t>
      </w:r>
      <w:r w:rsidR="006C4819"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p>
    <w:p w:rsidR="00452B62" w:rsidRPr="002F50BD" w:rsidRDefault="00452B62" w:rsidP="00452B62">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Corte re</w:t>
      </w:r>
      <w:r w:rsidRPr="002F50BD">
        <w:rPr>
          <w:rFonts w:ascii="Verdana" w:hAnsi="Verdana"/>
          <w:sz w:val="20"/>
          <w:lang w:val="pt-BR"/>
        </w:rPr>
        <w:t xml:space="preserve">conhece e </w:t>
      </w:r>
      <w:r w:rsidR="00FC6B22" w:rsidRPr="002F50BD">
        <w:rPr>
          <w:rFonts w:ascii="Verdana" w:hAnsi="Verdana"/>
          <w:sz w:val="20"/>
          <w:lang w:val="pt-BR"/>
        </w:rPr>
        <w:t>avalia</w:t>
      </w:r>
      <w:r w:rsidR="004756C1" w:rsidRPr="002F50BD">
        <w:rPr>
          <w:rFonts w:ascii="Verdana" w:hAnsi="Verdana"/>
          <w:sz w:val="20"/>
          <w:lang w:val="pt-BR"/>
        </w:rPr>
        <w:t xml:space="preserve"> positivamente</w:t>
      </w:r>
      <w:r w:rsidRPr="002F50BD">
        <w:rPr>
          <w:rFonts w:ascii="Verdana" w:hAnsi="Verdana"/>
          <w:sz w:val="20"/>
          <w:lang w:val="pt-BR"/>
        </w:rPr>
        <w:t xml:space="preserve"> as </w:t>
      </w:r>
      <w:r w:rsidR="004756C1" w:rsidRPr="002F50BD">
        <w:rPr>
          <w:rFonts w:ascii="Verdana" w:hAnsi="Verdana"/>
          <w:sz w:val="20"/>
          <w:lang w:val="pt-BR"/>
        </w:rPr>
        <w:t>iniciativas tomadas</w:t>
      </w:r>
      <w:r w:rsidRPr="002F50BD">
        <w:rPr>
          <w:rFonts w:ascii="Verdana" w:hAnsi="Verdana"/>
          <w:sz w:val="20"/>
          <w:lang w:val="pt-BR"/>
        </w:rPr>
        <w:t xml:space="preserve"> pelo Paraguai</w:t>
      </w:r>
      <w:r w:rsidR="004756C1" w:rsidRPr="002F50BD">
        <w:rPr>
          <w:rFonts w:ascii="Verdana" w:hAnsi="Verdana"/>
          <w:sz w:val="20"/>
          <w:lang w:val="pt-BR"/>
        </w:rPr>
        <w:t xml:space="preserve"> para proporcionar alimento, </w:t>
      </w:r>
      <w:r w:rsidRPr="002F50BD">
        <w:rPr>
          <w:rFonts w:ascii="Verdana" w:hAnsi="Verdana"/>
          <w:sz w:val="20"/>
          <w:lang w:val="pt-BR"/>
        </w:rPr>
        <w:t>atenção</w:t>
      </w:r>
      <w:r w:rsidR="004756C1" w:rsidRPr="002F50BD">
        <w:rPr>
          <w:rFonts w:ascii="Verdana" w:hAnsi="Verdana"/>
          <w:sz w:val="20"/>
          <w:lang w:val="pt-BR"/>
        </w:rPr>
        <w:t xml:space="preserve"> médico-</w:t>
      </w:r>
      <w:r w:rsidR="00A50140" w:rsidRPr="002F50BD">
        <w:rPr>
          <w:rFonts w:ascii="Verdana" w:hAnsi="Verdana"/>
          <w:sz w:val="20"/>
          <w:lang w:val="pt-BR"/>
        </w:rPr>
        <w:t>sanitária</w:t>
      </w:r>
      <w:r w:rsidRPr="002F50BD">
        <w:rPr>
          <w:rFonts w:ascii="Verdana" w:hAnsi="Verdana"/>
          <w:sz w:val="20"/>
          <w:lang w:val="pt-BR"/>
        </w:rPr>
        <w:t xml:space="preserve"> e </w:t>
      </w:r>
      <w:r w:rsidR="004076AD" w:rsidRPr="002F50BD">
        <w:rPr>
          <w:rFonts w:ascii="Verdana" w:hAnsi="Verdana"/>
          <w:sz w:val="20"/>
          <w:lang w:val="pt-BR"/>
        </w:rPr>
        <w:t>materiais</w:t>
      </w:r>
      <w:r w:rsidR="004756C1" w:rsidRPr="002F50BD">
        <w:rPr>
          <w:rFonts w:ascii="Verdana" w:hAnsi="Verdana"/>
          <w:sz w:val="20"/>
          <w:lang w:val="pt-BR"/>
        </w:rPr>
        <w:t xml:space="preserve"> educativos</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Pr="002F50BD">
        <w:rPr>
          <w:rFonts w:ascii="Verdana" w:hAnsi="Verdana"/>
          <w:sz w:val="20"/>
          <w:lang w:val="pt-BR"/>
        </w:rPr>
        <w:t>pars.</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100</w:t>
      </w:r>
      <w:r w:rsidR="004756C1" w:rsidRPr="002F50BD">
        <w:rPr>
          <w:rFonts w:ascii="Verdana" w:hAnsi="Verdana"/>
          <w:sz w:val="20"/>
          <w:lang w:val="pt-BR"/>
        </w:rPr>
        <w:t xml:space="preserve"> a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105</w:t>
      </w:r>
      <w:r w:rsidR="006C4819"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Pr="002F50BD">
        <w:rPr>
          <w:rFonts w:ascii="Verdana" w:hAnsi="Verdana"/>
          <w:sz w:val="20"/>
          <w:lang w:val="pt-BR"/>
        </w:rPr>
        <w:t xml:space="preserve"> </w:t>
      </w:r>
      <w:r w:rsidR="006C4819" w:rsidRPr="002F50BD">
        <w:rPr>
          <w:rFonts w:ascii="Verdana" w:hAnsi="Verdana"/>
          <w:sz w:val="20"/>
          <w:lang w:val="pt-BR"/>
        </w:rPr>
        <w:t>porém</w:t>
      </w:r>
      <w:r w:rsidR="004756C1" w:rsidRPr="002F50BD">
        <w:rPr>
          <w:rFonts w:ascii="Verdana" w:hAnsi="Verdana"/>
          <w:sz w:val="20"/>
          <w:lang w:val="pt-BR"/>
        </w:rPr>
        <w:t>, considera que estas medidas</w:t>
      </w:r>
      <w:r w:rsidR="006C4819" w:rsidRPr="002F50BD">
        <w:rPr>
          <w:rFonts w:ascii="Verdana" w:hAnsi="Verdana"/>
          <w:sz w:val="20"/>
          <w:lang w:val="pt-BR"/>
        </w:rPr>
        <w:t xml:space="preserve"> não foram </w:t>
      </w:r>
      <w:r w:rsidR="004756C1" w:rsidRPr="002F50BD">
        <w:rPr>
          <w:rFonts w:ascii="Verdana" w:hAnsi="Verdana"/>
          <w:sz w:val="20"/>
          <w:lang w:val="pt-BR"/>
        </w:rPr>
        <w:t>suficientes</w:t>
      </w:r>
      <w:r w:rsidRPr="002F50BD">
        <w:rPr>
          <w:rFonts w:ascii="Verdana" w:hAnsi="Verdana"/>
          <w:sz w:val="20"/>
          <w:lang w:val="pt-BR"/>
        </w:rPr>
        <w:t xml:space="preserve"> nem adequad</w:t>
      </w:r>
      <w:r w:rsidR="004756C1" w:rsidRPr="002F50BD">
        <w:rPr>
          <w:rFonts w:ascii="Verdana" w:hAnsi="Verdana"/>
          <w:sz w:val="20"/>
          <w:lang w:val="pt-BR"/>
        </w:rPr>
        <w:t>as para revert</w:t>
      </w:r>
      <w:r w:rsidR="006C4819" w:rsidRPr="002F50BD">
        <w:rPr>
          <w:rFonts w:ascii="Verdana" w:hAnsi="Verdana"/>
          <w:sz w:val="20"/>
          <w:lang w:val="pt-BR"/>
        </w:rPr>
        <w:t>e</w:t>
      </w:r>
      <w:r w:rsidR="004756C1" w:rsidRPr="002F50BD">
        <w:rPr>
          <w:rFonts w:ascii="Verdana" w:hAnsi="Verdana"/>
          <w:sz w:val="20"/>
          <w:lang w:val="pt-BR"/>
        </w:rPr>
        <w:t xml:space="preserve">r </w:t>
      </w:r>
      <w:r w:rsidR="004076AD" w:rsidRPr="002F50BD">
        <w:rPr>
          <w:rFonts w:ascii="Verdana" w:hAnsi="Verdana"/>
          <w:sz w:val="20"/>
          <w:lang w:val="pt-BR"/>
        </w:rPr>
        <w:t xml:space="preserve">sua situação </w:t>
      </w:r>
      <w:r w:rsidR="004756C1" w:rsidRPr="002F50BD">
        <w:rPr>
          <w:rFonts w:ascii="Verdana" w:hAnsi="Verdana"/>
          <w:sz w:val="20"/>
          <w:lang w:val="pt-BR"/>
        </w:rPr>
        <w:t>de vulnerabilidad</w:t>
      </w:r>
      <w:r w:rsidR="006C4819" w:rsidRPr="002F50BD">
        <w:rPr>
          <w:rFonts w:ascii="Verdana" w:hAnsi="Verdana"/>
          <w:sz w:val="20"/>
          <w:lang w:val="pt-BR"/>
        </w:rPr>
        <w:t>e</w:t>
      </w:r>
      <w:r w:rsidR="004756C1" w:rsidRPr="002F50BD">
        <w:rPr>
          <w:rFonts w:ascii="Verdana" w:hAnsi="Verdana"/>
          <w:sz w:val="20"/>
          <w:lang w:val="pt-BR"/>
        </w:rPr>
        <w:t xml:space="preserve">, </w:t>
      </w:r>
      <w:r w:rsidR="00FC6B22" w:rsidRPr="002F50BD">
        <w:rPr>
          <w:rFonts w:ascii="Verdana" w:hAnsi="Verdana"/>
          <w:sz w:val="20"/>
          <w:lang w:val="pt-BR"/>
        </w:rPr>
        <w:t>em vista d</w:t>
      </w:r>
      <w:r w:rsidRPr="002F50BD">
        <w:rPr>
          <w:rFonts w:ascii="Verdana" w:hAnsi="Verdana"/>
          <w:sz w:val="20"/>
          <w:lang w:val="pt-BR"/>
        </w:rPr>
        <w:t xml:space="preserve">a </w:t>
      </w:r>
      <w:r w:rsidR="004756C1" w:rsidRPr="002F50BD">
        <w:rPr>
          <w:rFonts w:ascii="Verdana" w:hAnsi="Verdana"/>
          <w:sz w:val="20"/>
          <w:lang w:val="pt-BR"/>
        </w:rPr>
        <w:t xml:space="preserve">particular </w:t>
      </w:r>
      <w:r w:rsidRPr="002F50BD">
        <w:rPr>
          <w:rFonts w:ascii="Verdana" w:hAnsi="Verdana"/>
          <w:sz w:val="20"/>
          <w:lang w:val="pt-BR"/>
        </w:rPr>
        <w:t xml:space="preserve">gravidade do </w:t>
      </w:r>
      <w:r w:rsidR="004756C1" w:rsidRPr="002F50BD">
        <w:rPr>
          <w:rFonts w:ascii="Verdana" w:hAnsi="Verdana"/>
          <w:sz w:val="20"/>
          <w:lang w:val="pt-BR"/>
        </w:rPr>
        <w:t>presente caso.</w:t>
      </w:r>
    </w:p>
    <w:p w:rsidR="004756C1" w:rsidRPr="002F50BD" w:rsidRDefault="004756C1">
      <w:pPr>
        <w:widowControl w:val="0"/>
        <w:jc w:val="both"/>
        <w:rPr>
          <w:rFonts w:ascii="Verdana" w:hAnsi="Verdana"/>
          <w:sz w:val="20"/>
          <w:lang w:val="pt-BR"/>
        </w:rPr>
      </w:pPr>
    </w:p>
    <w:p w:rsidR="004756C1" w:rsidRPr="002F50BD" w:rsidRDefault="004756C1">
      <w:pPr>
        <w:widowControl w:val="0"/>
        <w:numPr>
          <w:ilvl w:val="0"/>
          <w:numId w:val="28"/>
        </w:numPr>
        <w:jc w:val="both"/>
        <w:rPr>
          <w:rFonts w:ascii="Verdana" w:hAnsi="Verdana"/>
          <w:sz w:val="20"/>
          <w:lang w:val="pt-BR"/>
        </w:rPr>
      </w:pPr>
      <w:r w:rsidRPr="002F50BD">
        <w:rPr>
          <w:rFonts w:ascii="Verdana" w:hAnsi="Verdana"/>
          <w:sz w:val="20"/>
          <w:lang w:val="pt-BR"/>
        </w:rPr>
        <w:t>Por</w:t>
      </w:r>
      <w:r w:rsidR="0089298C" w:rsidRPr="002F50BD">
        <w:rPr>
          <w:rFonts w:ascii="Verdana" w:hAnsi="Verdana"/>
          <w:sz w:val="20"/>
          <w:lang w:val="pt-BR"/>
        </w:rPr>
        <w:t xml:space="preserve"> outro </w:t>
      </w:r>
      <w:r w:rsidRPr="002F50BD">
        <w:rPr>
          <w:rFonts w:ascii="Verdana" w:hAnsi="Verdana"/>
          <w:sz w:val="20"/>
          <w:lang w:val="pt-BR"/>
        </w:rPr>
        <w:t>lado,</w:t>
      </w:r>
      <w:r w:rsidR="0089298C" w:rsidRPr="002F50BD">
        <w:rPr>
          <w:rFonts w:ascii="Verdana" w:hAnsi="Verdana"/>
          <w:sz w:val="20"/>
          <w:lang w:val="pt-BR"/>
        </w:rPr>
        <w:t xml:space="preserve"> o </w:t>
      </w:r>
      <w:r w:rsidRPr="002F50BD">
        <w:rPr>
          <w:rFonts w:ascii="Verdana" w:hAnsi="Verdana"/>
          <w:sz w:val="20"/>
          <w:lang w:val="pt-BR"/>
        </w:rPr>
        <w:t xml:space="preserve">Estado </w:t>
      </w:r>
      <w:r w:rsidR="001051F4" w:rsidRPr="002F50BD">
        <w:rPr>
          <w:rFonts w:ascii="Verdana" w:hAnsi="Verdana"/>
          <w:sz w:val="20"/>
          <w:lang w:val="pt-BR"/>
        </w:rPr>
        <w:t>argumentou</w:t>
      </w:r>
      <w:r w:rsidRPr="002F50BD">
        <w:rPr>
          <w:rFonts w:ascii="Verdana" w:hAnsi="Verdana"/>
          <w:sz w:val="20"/>
          <w:lang w:val="pt-BR"/>
        </w:rPr>
        <w:t xml:space="preserve"> que</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w:t>
      </w:r>
      <w:r w:rsidR="0089298C" w:rsidRPr="002F50BD">
        <w:rPr>
          <w:rFonts w:ascii="Verdana" w:hAnsi="Verdana"/>
          <w:sz w:val="20"/>
          <w:lang w:val="pt-BR"/>
        </w:rPr>
        <w:t xml:space="preserve"> estão à </w:t>
      </w:r>
      <w:r w:rsidR="006C4819" w:rsidRPr="002F50BD">
        <w:rPr>
          <w:rFonts w:ascii="Verdana" w:hAnsi="Verdana"/>
          <w:sz w:val="20"/>
          <w:lang w:val="pt-BR"/>
        </w:rPr>
        <w:t>beira</w:t>
      </w:r>
      <w:r w:rsidRPr="002F50BD">
        <w:rPr>
          <w:rFonts w:ascii="Verdana" w:hAnsi="Verdana"/>
          <w:sz w:val="20"/>
          <w:lang w:val="pt-BR"/>
        </w:rPr>
        <w:t xml:space="preserve"> </w:t>
      </w:r>
      <w:r w:rsidR="000A7E90">
        <w:rPr>
          <w:rFonts w:ascii="Verdana" w:hAnsi="Verdana"/>
          <w:sz w:val="20"/>
          <w:lang w:val="pt-BR"/>
        </w:rPr>
        <w:t xml:space="preserve">da estrada </w:t>
      </w:r>
      <w:r w:rsidRPr="002F50BD">
        <w:rPr>
          <w:rFonts w:ascii="Verdana" w:hAnsi="Verdana"/>
          <w:sz w:val="20"/>
          <w:lang w:val="pt-BR"/>
        </w:rPr>
        <w:t xml:space="preserve">por </w:t>
      </w:r>
      <w:r w:rsidR="0089298C" w:rsidRPr="002F50BD">
        <w:rPr>
          <w:rFonts w:ascii="Verdana" w:hAnsi="Verdana"/>
          <w:sz w:val="20"/>
          <w:lang w:val="pt-BR"/>
        </w:rPr>
        <w:t>“um</w:t>
      </w:r>
      <w:r w:rsidRPr="002F50BD">
        <w:rPr>
          <w:rFonts w:ascii="Verdana" w:hAnsi="Verdana"/>
          <w:sz w:val="20"/>
          <w:lang w:val="pt-BR"/>
        </w:rPr>
        <w:t xml:space="preserve">a </w:t>
      </w:r>
      <w:r w:rsidR="0089298C" w:rsidRPr="002F50BD">
        <w:rPr>
          <w:rFonts w:ascii="Verdana" w:hAnsi="Verdana"/>
          <w:sz w:val="20"/>
          <w:lang w:val="pt-BR"/>
        </w:rPr>
        <w:t>decisão</w:t>
      </w:r>
      <w:r w:rsidRPr="002F50BD">
        <w:rPr>
          <w:rFonts w:ascii="Verdana" w:hAnsi="Verdana"/>
          <w:sz w:val="20"/>
          <w:lang w:val="pt-BR"/>
        </w:rPr>
        <w:t xml:space="preserve"> </w:t>
      </w:r>
      <w:r w:rsidR="0089298C" w:rsidRPr="002F50BD">
        <w:rPr>
          <w:rFonts w:ascii="Verdana" w:hAnsi="Verdana"/>
          <w:sz w:val="20"/>
          <w:lang w:val="pt-BR"/>
        </w:rPr>
        <w:t xml:space="preserve">própria </w:t>
      </w:r>
      <w:r w:rsidRPr="002F50BD">
        <w:rPr>
          <w:rFonts w:ascii="Verdana" w:hAnsi="Verdana"/>
          <w:sz w:val="20"/>
          <w:lang w:val="pt-BR"/>
        </w:rPr>
        <w:t>o</w:t>
      </w:r>
      <w:r w:rsidR="006C4819" w:rsidRPr="002F50BD">
        <w:rPr>
          <w:rFonts w:ascii="Verdana" w:hAnsi="Verdana"/>
          <w:sz w:val="20"/>
          <w:lang w:val="pt-BR"/>
        </w:rPr>
        <w:t>u</w:t>
      </w:r>
      <w:r w:rsidRPr="002F50BD">
        <w:rPr>
          <w:rFonts w:ascii="Verdana" w:hAnsi="Verdana"/>
          <w:sz w:val="20"/>
          <w:lang w:val="pt-BR"/>
        </w:rPr>
        <w:t xml:space="preserve"> </w:t>
      </w:r>
      <w:r w:rsidR="006C4819" w:rsidRPr="002F50BD">
        <w:rPr>
          <w:rFonts w:ascii="Verdana" w:hAnsi="Verdana"/>
          <w:sz w:val="20"/>
          <w:lang w:val="pt-BR"/>
        </w:rPr>
        <w:t>induzida</w:t>
      </w:r>
      <w:r w:rsidRPr="002F50BD">
        <w:rPr>
          <w:rFonts w:ascii="Verdana" w:hAnsi="Verdana"/>
          <w:sz w:val="20"/>
          <w:lang w:val="pt-BR"/>
        </w:rPr>
        <w:t xml:space="preserve">” por </w:t>
      </w:r>
      <w:r w:rsidR="0089298C" w:rsidRPr="002F50BD">
        <w:rPr>
          <w:rFonts w:ascii="Verdana" w:hAnsi="Verdana"/>
          <w:sz w:val="20"/>
          <w:lang w:val="pt-BR"/>
        </w:rPr>
        <w:t xml:space="preserve">seus </w:t>
      </w:r>
      <w:r w:rsidR="008C29C9" w:rsidRPr="002F50BD">
        <w:rPr>
          <w:rFonts w:ascii="Verdana" w:hAnsi="Verdana"/>
          <w:sz w:val="20"/>
          <w:lang w:val="pt-BR"/>
        </w:rPr>
        <w:t>representante</w:t>
      </w:r>
      <w:r w:rsidR="0089298C" w:rsidRPr="002F50BD">
        <w:rPr>
          <w:rFonts w:ascii="Verdana" w:hAnsi="Verdana"/>
          <w:sz w:val="20"/>
          <w:lang w:val="pt-BR"/>
        </w:rPr>
        <w:t>s</w:t>
      </w:r>
      <w:r w:rsidRPr="002F50BD">
        <w:rPr>
          <w:rFonts w:ascii="Verdana" w:hAnsi="Verdana"/>
          <w:sz w:val="20"/>
          <w:lang w:val="pt-BR"/>
        </w:rPr>
        <w:t xml:space="preserve"> que </w:t>
      </w:r>
      <w:r w:rsidR="00AB454A" w:rsidRPr="002F50BD">
        <w:rPr>
          <w:rFonts w:ascii="Verdana" w:hAnsi="Verdana"/>
          <w:sz w:val="20"/>
          <w:lang w:val="pt-BR"/>
        </w:rPr>
        <w:t xml:space="preserve">não </w:t>
      </w:r>
      <w:r w:rsidR="006C4819" w:rsidRPr="002F50BD">
        <w:rPr>
          <w:rFonts w:ascii="Verdana" w:hAnsi="Verdana"/>
          <w:sz w:val="20"/>
          <w:lang w:val="pt-BR"/>
        </w:rPr>
        <w:t>lhe pode ser atribuída</w:t>
      </w:r>
      <w:r w:rsidR="0089298C" w:rsidRPr="002F50BD">
        <w:rPr>
          <w:rFonts w:ascii="Verdana" w:hAnsi="Verdana"/>
          <w:sz w:val="20"/>
          <w:lang w:val="pt-BR"/>
        </w:rPr>
        <w:t>,</w:t>
      </w:r>
      <w:r w:rsidR="004076AD" w:rsidRPr="002F50BD">
        <w:rPr>
          <w:rFonts w:ascii="Verdana" w:hAnsi="Verdana"/>
          <w:sz w:val="20"/>
          <w:lang w:val="pt-BR"/>
        </w:rPr>
        <w:t xml:space="preserve"> já </w:t>
      </w:r>
      <w:r w:rsidRPr="002F50BD">
        <w:rPr>
          <w:rFonts w:ascii="Verdana" w:hAnsi="Verdana"/>
          <w:sz w:val="20"/>
          <w:lang w:val="pt-BR"/>
        </w:rPr>
        <w:t>que</w:t>
      </w:r>
      <w:r w:rsidR="006C4819" w:rsidRPr="002F50BD">
        <w:rPr>
          <w:rFonts w:ascii="Verdana" w:hAnsi="Verdana"/>
          <w:sz w:val="20"/>
          <w:lang w:val="pt-BR"/>
        </w:rPr>
        <w:t>, ao contrá</w:t>
      </w:r>
      <w:r w:rsidRPr="002F50BD">
        <w:rPr>
          <w:rFonts w:ascii="Verdana" w:hAnsi="Verdana"/>
          <w:sz w:val="20"/>
          <w:lang w:val="pt-BR"/>
        </w:rPr>
        <w:t>rio</w:t>
      </w:r>
      <w:r w:rsidR="006C4819" w:rsidRPr="002F50BD">
        <w:rPr>
          <w:rFonts w:ascii="Verdana" w:hAnsi="Verdana"/>
          <w:sz w:val="20"/>
          <w:lang w:val="pt-BR"/>
        </w:rPr>
        <w:t>,</w:t>
      </w:r>
      <w:r w:rsidRPr="002F50BD">
        <w:rPr>
          <w:rFonts w:ascii="Verdana" w:hAnsi="Verdana"/>
          <w:sz w:val="20"/>
          <w:lang w:val="pt-BR"/>
        </w:rPr>
        <w:t xml:space="preserve"> </w:t>
      </w:r>
      <w:r w:rsidR="00C247F1" w:rsidRPr="002F50BD">
        <w:rPr>
          <w:rFonts w:ascii="Verdana" w:hAnsi="Verdana"/>
          <w:sz w:val="20"/>
          <w:lang w:val="pt-BR"/>
        </w:rPr>
        <w:t>ofereceu</w:t>
      </w:r>
      <w:r w:rsidRPr="002F50BD">
        <w:rPr>
          <w:rFonts w:ascii="Verdana" w:hAnsi="Verdana"/>
          <w:sz w:val="20"/>
          <w:lang w:val="pt-BR"/>
        </w:rPr>
        <w:t xml:space="preserve"> solu</w:t>
      </w:r>
      <w:r w:rsidR="0089298C" w:rsidRPr="002F50BD">
        <w:rPr>
          <w:rFonts w:ascii="Verdana" w:hAnsi="Verdana"/>
          <w:sz w:val="20"/>
          <w:lang w:val="pt-BR"/>
        </w:rPr>
        <w:t>ções</w:t>
      </w:r>
      <w:r w:rsidRPr="002F50BD">
        <w:rPr>
          <w:rFonts w:ascii="Verdana" w:hAnsi="Verdana"/>
          <w:sz w:val="20"/>
          <w:lang w:val="pt-BR"/>
        </w:rPr>
        <w:t xml:space="preserve"> alternativas de </w:t>
      </w:r>
      <w:r w:rsidR="004076AD" w:rsidRPr="002F50BD">
        <w:rPr>
          <w:rFonts w:ascii="Verdana" w:hAnsi="Verdana"/>
          <w:sz w:val="20"/>
          <w:lang w:val="pt-BR"/>
        </w:rPr>
        <w:t>reassentamento</w:t>
      </w:r>
      <w:r w:rsidRPr="002F50BD">
        <w:rPr>
          <w:rFonts w:ascii="Verdana" w:hAnsi="Verdana"/>
          <w:sz w:val="20"/>
          <w:lang w:val="pt-BR"/>
        </w:rPr>
        <w:t>,</w:t>
      </w:r>
      <w:r w:rsidR="0089298C" w:rsidRPr="002F50BD">
        <w:rPr>
          <w:rFonts w:ascii="Verdana" w:hAnsi="Verdana"/>
          <w:sz w:val="20"/>
          <w:lang w:val="pt-BR"/>
        </w:rPr>
        <w:t xml:space="preserve"> onde </w:t>
      </w:r>
      <w:r w:rsidR="006C4819" w:rsidRPr="002F50BD">
        <w:rPr>
          <w:rFonts w:ascii="Verdana" w:hAnsi="Verdana"/>
          <w:sz w:val="20"/>
          <w:lang w:val="pt-BR"/>
        </w:rPr>
        <w:t xml:space="preserve">fosse </w:t>
      </w:r>
      <w:r w:rsidR="0089298C" w:rsidRPr="002F50BD">
        <w:rPr>
          <w:rFonts w:ascii="Verdana" w:hAnsi="Verdana"/>
          <w:sz w:val="20"/>
          <w:lang w:val="pt-BR"/>
        </w:rPr>
        <w:t>possível estabelece</w:t>
      </w:r>
      <w:r w:rsidRPr="002F50BD">
        <w:rPr>
          <w:rFonts w:ascii="Verdana" w:hAnsi="Verdana"/>
          <w:sz w:val="20"/>
          <w:lang w:val="pt-BR"/>
        </w:rPr>
        <w:t xml:space="preserve">r </w:t>
      </w:r>
      <w:r w:rsidR="0089298C" w:rsidRPr="002F50BD">
        <w:rPr>
          <w:rFonts w:ascii="Verdana" w:hAnsi="Verdana"/>
          <w:sz w:val="20"/>
          <w:lang w:val="pt-BR"/>
        </w:rPr>
        <w:t>alguma</w:t>
      </w:r>
      <w:r w:rsidRPr="002F50BD">
        <w:rPr>
          <w:rFonts w:ascii="Verdana" w:hAnsi="Verdana"/>
          <w:sz w:val="20"/>
          <w:lang w:val="pt-BR"/>
        </w:rPr>
        <w:t xml:space="preserve"> forma de </w:t>
      </w:r>
      <w:r w:rsidR="0089298C" w:rsidRPr="002F50BD">
        <w:rPr>
          <w:rFonts w:ascii="Verdana" w:hAnsi="Verdana"/>
          <w:sz w:val="20"/>
          <w:lang w:val="pt-BR"/>
        </w:rPr>
        <w:t>atenção</w:t>
      </w:r>
      <w:r w:rsidRPr="002F50BD">
        <w:rPr>
          <w:rFonts w:ascii="Verdana" w:hAnsi="Verdana"/>
          <w:sz w:val="20"/>
          <w:lang w:val="pt-BR"/>
        </w:rPr>
        <w:t xml:space="preserve"> médica</w:t>
      </w:r>
      <w:r w:rsidR="0089298C" w:rsidRPr="002F50BD">
        <w:rPr>
          <w:rFonts w:ascii="Verdana" w:hAnsi="Verdana"/>
          <w:sz w:val="20"/>
          <w:lang w:val="pt-BR"/>
        </w:rPr>
        <w:t xml:space="preserve"> e </w:t>
      </w:r>
      <w:r w:rsidR="00A50140" w:rsidRPr="002F50BD">
        <w:rPr>
          <w:rFonts w:ascii="Verdana" w:hAnsi="Verdana"/>
          <w:sz w:val="20"/>
          <w:lang w:val="pt-BR"/>
        </w:rPr>
        <w:t>sanitária</w:t>
      </w:r>
      <w:r w:rsidR="0089298C" w:rsidRPr="002F50BD">
        <w:rPr>
          <w:rFonts w:ascii="Verdana" w:hAnsi="Verdana"/>
          <w:sz w:val="20"/>
          <w:lang w:val="pt-BR"/>
        </w:rPr>
        <w:t xml:space="preserve"> em benefício dos membro</w:t>
      </w:r>
      <w:r w:rsidRPr="002F50BD">
        <w:rPr>
          <w:rFonts w:ascii="Verdana" w:hAnsi="Verdana"/>
          <w:sz w:val="20"/>
          <w:lang w:val="pt-BR"/>
        </w:rPr>
        <w:t>s</w:t>
      </w:r>
      <w:r w:rsidR="0089298C" w:rsidRPr="002F50BD">
        <w:rPr>
          <w:rFonts w:ascii="Verdana" w:hAnsi="Verdana"/>
          <w:sz w:val="20"/>
          <w:lang w:val="pt-BR"/>
        </w:rPr>
        <w:t xml:space="preserve"> da </w:t>
      </w:r>
      <w:r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enquanto</w:t>
      </w:r>
      <w:r w:rsidRPr="002F50BD">
        <w:rPr>
          <w:rFonts w:ascii="Verdana" w:hAnsi="Verdana"/>
          <w:sz w:val="20"/>
          <w:lang w:val="pt-BR"/>
        </w:rPr>
        <w:t xml:space="preserve"> se </w:t>
      </w:r>
      <w:r w:rsidR="006C4819" w:rsidRPr="002F50BD">
        <w:rPr>
          <w:rFonts w:ascii="Verdana" w:hAnsi="Verdana"/>
          <w:sz w:val="20"/>
          <w:lang w:val="pt-BR"/>
        </w:rPr>
        <w:t>resolvia</w:t>
      </w:r>
      <w:r w:rsidRPr="002F50BD">
        <w:rPr>
          <w:rFonts w:ascii="Verdana" w:hAnsi="Verdana"/>
          <w:sz w:val="20"/>
          <w:lang w:val="pt-BR"/>
        </w:rPr>
        <w:t xml:space="preserve"> </w:t>
      </w:r>
      <w:r w:rsidR="00FC6B22" w:rsidRPr="002F50BD">
        <w:rPr>
          <w:rFonts w:ascii="Verdana" w:hAnsi="Verdana"/>
          <w:sz w:val="20"/>
          <w:lang w:val="pt-BR"/>
        </w:rPr>
        <w:t>seu pedido</w:t>
      </w:r>
      <w:r w:rsidR="0089298C" w:rsidRPr="002F50BD">
        <w:rPr>
          <w:rFonts w:ascii="Verdana" w:hAnsi="Verdana"/>
          <w:sz w:val="20"/>
          <w:lang w:val="pt-BR"/>
        </w:rPr>
        <w:t xml:space="preserve"> </w:t>
      </w:r>
      <w:r w:rsidRPr="002F50BD">
        <w:rPr>
          <w:rFonts w:ascii="Verdana" w:hAnsi="Verdana"/>
          <w:sz w:val="20"/>
          <w:lang w:val="pt-BR"/>
        </w:rPr>
        <w:t>de reivindica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terra</w:t>
      </w:r>
      <w:r w:rsidRPr="002F50BD">
        <w:rPr>
          <w:rFonts w:ascii="Verdana" w:hAnsi="Verdana"/>
          <w:sz w:val="20"/>
          <w:lang w:val="pt-BR"/>
        </w:rPr>
        <w:t>s.</w:t>
      </w:r>
      <w:r w:rsidR="00FE08B7">
        <w:rPr>
          <w:rFonts w:ascii="Verdana" w:hAnsi="Verdana"/>
          <w:sz w:val="20"/>
          <w:lang w:val="pt-BR"/>
        </w:rPr>
        <w:t xml:space="preserve"> </w:t>
      </w:r>
    </w:p>
    <w:p w:rsidR="004756C1" w:rsidRPr="002F50BD" w:rsidRDefault="004756C1">
      <w:pPr>
        <w:widowControl w:val="0"/>
        <w:jc w:val="both"/>
        <w:rPr>
          <w:rFonts w:ascii="Verdana" w:hAnsi="Verdana"/>
          <w:sz w:val="20"/>
          <w:lang w:val="pt-BR"/>
        </w:rPr>
      </w:pPr>
    </w:p>
    <w:p w:rsidR="004756C1" w:rsidRPr="002F50BD" w:rsidRDefault="004756C1">
      <w:pPr>
        <w:widowControl w:val="0"/>
        <w:numPr>
          <w:ilvl w:val="0"/>
          <w:numId w:val="28"/>
        </w:numPr>
        <w:jc w:val="both"/>
        <w:rPr>
          <w:rFonts w:ascii="Verdana" w:hAnsi="Verdana"/>
          <w:sz w:val="20"/>
          <w:lang w:val="pt-BR"/>
        </w:rPr>
      </w:pPr>
      <w:r w:rsidRPr="002F50BD">
        <w:rPr>
          <w:rFonts w:ascii="Verdana" w:hAnsi="Verdana"/>
          <w:sz w:val="20"/>
          <w:lang w:val="pt-BR"/>
        </w:rPr>
        <w:t xml:space="preserve">Esta Corte </w:t>
      </w:r>
      <w:r w:rsidR="007221D9" w:rsidRPr="002F50BD">
        <w:rPr>
          <w:rFonts w:ascii="Verdana" w:hAnsi="Verdana"/>
          <w:sz w:val="20"/>
          <w:lang w:val="pt-BR"/>
        </w:rPr>
        <w:t>considerou</w:t>
      </w:r>
      <w:r w:rsidRPr="002F50BD">
        <w:rPr>
          <w:rFonts w:ascii="Verdana" w:hAnsi="Verdana"/>
          <w:sz w:val="20"/>
          <w:lang w:val="pt-BR"/>
        </w:rPr>
        <w:t xml:space="preserve"> </w:t>
      </w:r>
      <w:r w:rsidR="0089298C" w:rsidRPr="002F50BD">
        <w:rPr>
          <w:rFonts w:ascii="Verdana" w:hAnsi="Verdana"/>
          <w:sz w:val="20"/>
          <w:lang w:val="pt-BR"/>
        </w:rPr>
        <w:t>provad</w:t>
      </w:r>
      <w:r w:rsidRPr="002F50BD">
        <w:rPr>
          <w:rFonts w:ascii="Verdana" w:hAnsi="Verdana"/>
          <w:sz w:val="20"/>
          <w:lang w:val="pt-BR"/>
        </w:rPr>
        <w:t>o que</w:t>
      </w:r>
      <w:r w:rsidR="0089298C" w:rsidRPr="002F50BD">
        <w:rPr>
          <w:rFonts w:ascii="Verdana" w:hAnsi="Verdana"/>
          <w:sz w:val="20"/>
          <w:lang w:val="pt-BR"/>
        </w:rPr>
        <w:t xml:space="preserve"> uma </w:t>
      </w:r>
      <w:r w:rsidRPr="002F50BD">
        <w:rPr>
          <w:rFonts w:ascii="Verdana" w:hAnsi="Verdana"/>
          <w:sz w:val="20"/>
          <w:lang w:val="pt-BR"/>
        </w:rPr>
        <w:t>parte importante</w:t>
      </w:r>
      <w:r w:rsidR="0089298C" w:rsidRPr="002F50BD">
        <w:rPr>
          <w:rFonts w:ascii="Verdana" w:hAnsi="Verdana"/>
          <w:sz w:val="20"/>
          <w:lang w:val="pt-BR"/>
        </w:rPr>
        <w:t xml:space="preserve"> da Comunidade </w:t>
      </w:r>
      <w:r w:rsidRPr="002F50BD">
        <w:rPr>
          <w:rFonts w:ascii="Verdana" w:hAnsi="Verdana"/>
          <w:sz w:val="20"/>
          <w:lang w:val="pt-BR"/>
        </w:rPr>
        <w:t xml:space="preserve">Yakye Axa </w:t>
      </w:r>
      <w:r w:rsidR="00AB454A" w:rsidRPr="002F50BD">
        <w:rPr>
          <w:rFonts w:ascii="Verdana" w:hAnsi="Verdana"/>
          <w:sz w:val="20"/>
          <w:lang w:val="pt-BR"/>
        </w:rPr>
        <w:t>saiu</w:t>
      </w:r>
      <w:r w:rsidRPr="002F50BD">
        <w:rPr>
          <w:rFonts w:ascii="Verdana" w:hAnsi="Verdana"/>
          <w:sz w:val="20"/>
          <w:lang w:val="pt-BR"/>
        </w:rPr>
        <w:t xml:space="preserve"> </w:t>
      </w:r>
      <w:r w:rsidR="00AB454A" w:rsidRPr="002F50BD">
        <w:rPr>
          <w:rFonts w:ascii="Verdana" w:hAnsi="Verdana"/>
          <w:sz w:val="20"/>
          <w:lang w:val="pt-BR"/>
        </w:rPr>
        <w:t>voluntariamente</w:t>
      </w:r>
      <w:r w:rsidRPr="002F50BD">
        <w:rPr>
          <w:rFonts w:ascii="Verdana" w:hAnsi="Verdana"/>
          <w:sz w:val="20"/>
          <w:lang w:val="pt-BR"/>
        </w:rPr>
        <w:t xml:space="preserve"> de s</w:t>
      </w:r>
      <w:r w:rsidR="006C4819" w:rsidRPr="002F50BD">
        <w:rPr>
          <w:rFonts w:ascii="Verdana" w:hAnsi="Verdana"/>
          <w:sz w:val="20"/>
          <w:lang w:val="pt-BR"/>
        </w:rPr>
        <w:t>e</w:t>
      </w:r>
      <w:r w:rsidRPr="002F50BD">
        <w:rPr>
          <w:rFonts w:ascii="Verdana" w:hAnsi="Verdana"/>
          <w:sz w:val="20"/>
          <w:lang w:val="pt-BR"/>
        </w:rPr>
        <w:t xml:space="preserve">u </w:t>
      </w:r>
      <w:r w:rsidR="006C4819" w:rsidRPr="002F50BD">
        <w:rPr>
          <w:rFonts w:ascii="Verdana" w:hAnsi="Verdana"/>
          <w:sz w:val="20"/>
          <w:lang w:val="pt-BR"/>
        </w:rPr>
        <w:t>antigo</w:t>
      </w:r>
      <w:r w:rsidRPr="002F50BD">
        <w:rPr>
          <w:rFonts w:ascii="Verdana" w:hAnsi="Verdana"/>
          <w:sz w:val="20"/>
          <w:lang w:val="pt-BR"/>
        </w:rPr>
        <w:t xml:space="preserve"> </w:t>
      </w:r>
      <w:r w:rsidR="00AB454A" w:rsidRPr="002F50BD">
        <w:rPr>
          <w:rFonts w:ascii="Verdana" w:hAnsi="Verdana"/>
          <w:sz w:val="20"/>
          <w:lang w:val="pt-BR"/>
        </w:rPr>
        <w:t>assentamento</w:t>
      </w:r>
      <w:r w:rsidR="0089298C" w:rsidRPr="002F50BD">
        <w:rPr>
          <w:rFonts w:ascii="Verdana" w:hAnsi="Verdana"/>
          <w:sz w:val="20"/>
          <w:lang w:val="pt-BR"/>
        </w:rPr>
        <w:t xml:space="preserve"> na </w:t>
      </w:r>
      <w:r w:rsidRPr="002F50BD">
        <w:rPr>
          <w:rFonts w:ascii="Verdana" w:hAnsi="Verdana"/>
          <w:sz w:val="20"/>
          <w:lang w:val="pt-BR"/>
        </w:rPr>
        <w:t xml:space="preserve">Estancia </w:t>
      </w:r>
      <w:r w:rsidR="00C247F1" w:rsidRPr="002F50BD">
        <w:rPr>
          <w:rFonts w:ascii="Verdana" w:hAnsi="Verdana"/>
          <w:sz w:val="20"/>
          <w:lang w:val="pt-BR"/>
        </w:rPr>
        <w:t>“El Estribo</w:t>
      </w:r>
      <w:r w:rsidRPr="002F50BD">
        <w:rPr>
          <w:rFonts w:ascii="Verdana" w:hAnsi="Verdana"/>
          <w:sz w:val="20"/>
          <w:lang w:val="pt-BR"/>
        </w:rPr>
        <w:t>”</w:t>
      </w:r>
      <w:r w:rsidR="0089298C" w:rsidRPr="002F50BD">
        <w:rPr>
          <w:rFonts w:ascii="Verdana" w:hAnsi="Verdana"/>
          <w:sz w:val="20"/>
          <w:lang w:val="pt-BR"/>
        </w:rPr>
        <w:t xml:space="preserve"> no ano </w:t>
      </w:r>
      <w:r w:rsidR="006C4819" w:rsidRPr="002F50BD">
        <w:rPr>
          <w:rFonts w:ascii="Verdana" w:hAnsi="Verdana"/>
          <w:sz w:val="20"/>
          <w:lang w:val="pt-BR"/>
        </w:rPr>
        <w:t xml:space="preserve">de </w:t>
      </w:r>
      <w:r w:rsidR="00063B47" w:rsidRPr="002F50BD">
        <w:rPr>
          <w:rFonts w:ascii="Verdana" w:hAnsi="Verdana"/>
          <w:sz w:val="20"/>
          <w:lang w:val="pt-BR"/>
        </w:rPr>
        <w:t>1996</w:t>
      </w:r>
      <w:r w:rsidRPr="002F50BD">
        <w:rPr>
          <w:rFonts w:ascii="Verdana" w:hAnsi="Verdana"/>
          <w:sz w:val="20"/>
          <w:lang w:val="pt-BR"/>
        </w:rPr>
        <w:t>,</w:t>
      </w:r>
      <w:r w:rsidR="0089298C" w:rsidRPr="002F50BD">
        <w:rPr>
          <w:rFonts w:ascii="Verdana" w:hAnsi="Verdana"/>
          <w:sz w:val="20"/>
          <w:lang w:val="pt-BR"/>
        </w:rPr>
        <w:t xml:space="preserve"> com o </w:t>
      </w:r>
      <w:r w:rsidRPr="002F50BD">
        <w:rPr>
          <w:rFonts w:ascii="Verdana" w:hAnsi="Verdana"/>
          <w:sz w:val="20"/>
          <w:lang w:val="pt-BR"/>
        </w:rPr>
        <w:t>objetivo de recuperar</w:t>
      </w:r>
      <w:r w:rsidR="0089298C" w:rsidRPr="002F50BD">
        <w:rPr>
          <w:rFonts w:ascii="Verdana" w:hAnsi="Verdana"/>
          <w:sz w:val="20"/>
          <w:lang w:val="pt-BR"/>
        </w:rPr>
        <w:t xml:space="preserve"> as terra</w:t>
      </w:r>
      <w:r w:rsidRPr="002F50BD">
        <w:rPr>
          <w:rFonts w:ascii="Verdana" w:hAnsi="Verdana"/>
          <w:sz w:val="20"/>
          <w:lang w:val="pt-BR"/>
        </w:rPr>
        <w:t xml:space="preserve">s que </w:t>
      </w:r>
      <w:r w:rsidR="0089298C" w:rsidRPr="002F50BD">
        <w:rPr>
          <w:rFonts w:ascii="Verdana" w:hAnsi="Verdana"/>
          <w:sz w:val="20"/>
          <w:lang w:val="pt-BR"/>
        </w:rPr>
        <w:t>consideram</w:t>
      </w:r>
      <w:r w:rsidR="00AB454A" w:rsidRPr="002F50BD">
        <w:rPr>
          <w:rFonts w:ascii="Verdana" w:hAnsi="Verdana"/>
          <w:sz w:val="20"/>
          <w:lang w:val="pt-BR"/>
        </w:rPr>
        <w:t xml:space="preserve"> própria</w:t>
      </w:r>
      <w:r w:rsidRPr="002F50BD">
        <w:rPr>
          <w:rFonts w:ascii="Verdana" w:hAnsi="Verdana"/>
          <w:sz w:val="20"/>
          <w:lang w:val="pt-BR"/>
        </w:rPr>
        <w:t>s,</w:t>
      </w:r>
      <w:r w:rsidR="0089298C" w:rsidRPr="002F50BD">
        <w:rPr>
          <w:rFonts w:ascii="Verdana" w:hAnsi="Verdana"/>
          <w:sz w:val="20"/>
          <w:lang w:val="pt-BR"/>
        </w:rPr>
        <w:t xml:space="preserve"> das quais</w:t>
      </w:r>
      <w:r w:rsidRPr="002F50BD">
        <w:rPr>
          <w:rFonts w:ascii="Verdana" w:hAnsi="Verdana"/>
          <w:sz w:val="20"/>
          <w:lang w:val="pt-BR"/>
        </w:rPr>
        <w:t xml:space="preserve"> </w:t>
      </w:r>
      <w:r w:rsidR="00FC6B22" w:rsidRPr="002F50BD">
        <w:rPr>
          <w:rFonts w:ascii="Verdana" w:hAnsi="Verdana"/>
          <w:sz w:val="20"/>
          <w:lang w:val="pt-BR"/>
        </w:rPr>
        <w:t>haviam partido</w:t>
      </w:r>
      <w:r w:rsidR="006C4819" w:rsidRPr="002F50BD">
        <w:rPr>
          <w:rFonts w:ascii="Verdana" w:hAnsi="Verdana"/>
          <w:sz w:val="20"/>
          <w:lang w:val="pt-BR"/>
        </w:rPr>
        <w:t xml:space="preserve"> </w:t>
      </w:r>
      <w:r w:rsidR="0089298C" w:rsidRPr="002F50BD">
        <w:rPr>
          <w:rFonts w:ascii="Verdana" w:hAnsi="Verdana"/>
          <w:sz w:val="20"/>
          <w:lang w:val="pt-BR"/>
        </w:rPr>
        <w:t xml:space="preserve">no ano </w:t>
      </w:r>
      <w:r w:rsidR="006C4819" w:rsidRPr="002F50BD">
        <w:rPr>
          <w:rFonts w:ascii="Verdana" w:hAnsi="Verdana"/>
          <w:sz w:val="20"/>
          <w:lang w:val="pt-BR"/>
        </w:rPr>
        <w:t xml:space="preserve">de </w:t>
      </w:r>
      <w:r w:rsidR="00063B47" w:rsidRPr="002F50BD">
        <w:rPr>
          <w:rFonts w:ascii="Verdana" w:hAnsi="Verdana"/>
          <w:sz w:val="20"/>
          <w:lang w:val="pt-BR"/>
        </w:rPr>
        <w:t>1986</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13</w:t>
      </w:r>
      <w:r w:rsidR="0089298C" w:rsidRPr="002F50BD">
        <w:rPr>
          <w:rFonts w:ascii="Verdana" w:hAnsi="Verdana"/>
          <w:sz w:val="20"/>
          <w:lang w:val="pt-BR"/>
        </w:rPr>
        <w:t xml:space="preserve"> 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92</w:t>
      </w:r>
      <w:r w:rsidRPr="002F50BD">
        <w:rPr>
          <w:rFonts w:ascii="Verdana" w:hAnsi="Verdana"/>
          <w:sz w:val="20"/>
          <w:lang w:val="pt-BR"/>
        </w:rPr>
        <w:t xml:space="preserve"> </w:t>
      </w:r>
      <w:r w:rsidR="006C4819" w:rsidRPr="002F50BD">
        <w:rPr>
          <w:rFonts w:ascii="Verdana" w:hAnsi="Verdana"/>
          <w:i/>
          <w:sz w:val="20"/>
          <w:lang w:val="pt-BR"/>
        </w:rPr>
        <w:t>supra</w:t>
      </w:r>
      <w:r w:rsidR="00CF451D" w:rsidRPr="00CF451D">
        <w:rPr>
          <w:rFonts w:ascii="Verdana" w:hAnsi="Verdana"/>
          <w:sz w:val="20"/>
          <w:lang w:val="pt-BR"/>
        </w:rPr>
        <w:t>)</w:t>
      </w:r>
      <w:r w:rsidRPr="002F50BD">
        <w:rPr>
          <w:rFonts w:ascii="Verdana" w:hAnsi="Verdana"/>
          <w:sz w:val="20"/>
          <w:lang w:val="pt-BR"/>
        </w:rPr>
        <w:t>.</w:t>
      </w:r>
      <w:r w:rsidR="00FE08B7">
        <w:rPr>
          <w:rFonts w:ascii="Verdana" w:hAnsi="Verdana"/>
          <w:sz w:val="20"/>
          <w:lang w:val="pt-BR"/>
        </w:rPr>
        <w:t xml:space="preserve"> </w:t>
      </w:r>
      <w:r w:rsidR="006C4819" w:rsidRPr="002F50BD">
        <w:rPr>
          <w:rFonts w:ascii="Verdana" w:hAnsi="Verdana"/>
          <w:sz w:val="20"/>
          <w:lang w:val="pt-BR"/>
        </w:rPr>
        <w:t xml:space="preserve">Ante </w:t>
      </w:r>
      <w:r w:rsidR="0089298C" w:rsidRPr="002F50BD">
        <w:rPr>
          <w:rFonts w:ascii="Verdana" w:hAnsi="Verdana"/>
          <w:sz w:val="20"/>
          <w:lang w:val="pt-BR"/>
        </w:rPr>
        <w:t>a proibição</w:t>
      </w:r>
      <w:r w:rsidRPr="002F50BD">
        <w:rPr>
          <w:rFonts w:ascii="Verdana" w:hAnsi="Verdana"/>
          <w:sz w:val="20"/>
          <w:lang w:val="pt-BR"/>
        </w:rPr>
        <w:t xml:space="preserve"> de </w:t>
      </w:r>
      <w:r w:rsidR="0089298C" w:rsidRPr="002F50BD">
        <w:rPr>
          <w:rFonts w:ascii="Verdana" w:hAnsi="Verdana"/>
          <w:sz w:val="20"/>
          <w:lang w:val="pt-BR"/>
        </w:rPr>
        <w:t xml:space="preserve">ingressar </w:t>
      </w:r>
      <w:r w:rsidR="007221D9" w:rsidRPr="002F50BD">
        <w:rPr>
          <w:rFonts w:ascii="Verdana" w:hAnsi="Verdana"/>
          <w:sz w:val="20"/>
          <w:lang w:val="pt-BR"/>
        </w:rPr>
        <w:t>n</w:t>
      </w:r>
      <w:r w:rsidR="0089298C" w:rsidRPr="002F50BD">
        <w:rPr>
          <w:rFonts w:ascii="Verdana" w:hAnsi="Verdana"/>
          <w:sz w:val="20"/>
          <w:lang w:val="pt-BR"/>
        </w:rPr>
        <w:t>o território</w:t>
      </w:r>
      <w:r w:rsidRPr="002F50BD">
        <w:rPr>
          <w:rFonts w:ascii="Verdana" w:hAnsi="Verdana"/>
          <w:sz w:val="20"/>
          <w:lang w:val="pt-BR"/>
        </w:rPr>
        <w:t xml:space="preserve"> reclamado,</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decidiram</w:t>
      </w:r>
      <w:r w:rsidRPr="002F50BD">
        <w:rPr>
          <w:rFonts w:ascii="Verdana" w:hAnsi="Verdana"/>
          <w:sz w:val="20"/>
          <w:lang w:val="pt-BR"/>
        </w:rPr>
        <w:t xml:space="preserve"> </w:t>
      </w:r>
      <w:r w:rsidR="006C4819" w:rsidRPr="002F50BD">
        <w:rPr>
          <w:rFonts w:ascii="Verdana" w:hAnsi="Verdana"/>
          <w:sz w:val="20"/>
          <w:lang w:val="pt-BR"/>
        </w:rPr>
        <w:t xml:space="preserve">se </w:t>
      </w:r>
      <w:r w:rsidRPr="002F50BD">
        <w:rPr>
          <w:rFonts w:ascii="Verdana" w:hAnsi="Verdana"/>
          <w:sz w:val="20"/>
          <w:lang w:val="pt-BR"/>
        </w:rPr>
        <w:t xml:space="preserve">instalar </w:t>
      </w:r>
      <w:r w:rsidR="006C4819" w:rsidRPr="002F50BD">
        <w:rPr>
          <w:rFonts w:ascii="Verdana" w:hAnsi="Verdana"/>
          <w:sz w:val="20"/>
          <w:lang w:val="pt-BR"/>
        </w:rPr>
        <w:t xml:space="preserve">em </w:t>
      </w:r>
      <w:r w:rsidRPr="002F50BD">
        <w:rPr>
          <w:rFonts w:ascii="Verdana" w:hAnsi="Verdana"/>
          <w:sz w:val="20"/>
          <w:lang w:val="pt-BR"/>
        </w:rPr>
        <w:t xml:space="preserve">frente a </w:t>
      </w:r>
      <w:r w:rsidR="006C4819" w:rsidRPr="002F50BD">
        <w:rPr>
          <w:rFonts w:ascii="Verdana" w:hAnsi="Verdana"/>
          <w:sz w:val="20"/>
          <w:lang w:val="pt-BR"/>
        </w:rPr>
        <w:t>e</w:t>
      </w:r>
      <w:r w:rsidRPr="002F50BD">
        <w:rPr>
          <w:rFonts w:ascii="Verdana" w:hAnsi="Verdana"/>
          <w:sz w:val="20"/>
          <w:lang w:val="pt-BR"/>
        </w:rPr>
        <w:t>ste,</w:t>
      </w:r>
      <w:r w:rsidR="0089298C" w:rsidRPr="002F50BD">
        <w:rPr>
          <w:rFonts w:ascii="Verdana" w:hAnsi="Verdana"/>
          <w:sz w:val="20"/>
          <w:lang w:val="pt-BR"/>
        </w:rPr>
        <w:t xml:space="preserve"> </w:t>
      </w:r>
      <w:r w:rsidR="006C4819" w:rsidRPr="002F50BD">
        <w:rPr>
          <w:rFonts w:ascii="Verdana" w:hAnsi="Verdana"/>
          <w:sz w:val="20"/>
          <w:lang w:val="pt-BR"/>
        </w:rPr>
        <w:t xml:space="preserve">ao lado </w:t>
      </w:r>
      <w:r w:rsidRPr="002F50BD">
        <w:rPr>
          <w:rFonts w:ascii="Verdana" w:hAnsi="Verdana"/>
          <w:sz w:val="20"/>
          <w:lang w:val="pt-BR"/>
        </w:rPr>
        <w:t>de</w:t>
      </w:r>
      <w:r w:rsidR="0089298C" w:rsidRPr="002F50BD">
        <w:rPr>
          <w:rFonts w:ascii="Verdana" w:hAnsi="Verdana"/>
          <w:sz w:val="20"/>
          <w:lang w:val="pt-BR"/>
        </w:rPr>
        <w:t xml:space="preserve"> uma </w:t>
      </w:r>
      <w:r w:rsidR="00475EBB" w:rsidRPr="002F50BD">
        <w:rPr>
          <w:rFonts w:ascii="Verdana" w:hAnsi="Verdana"/>
          <w:sz w:val="20"/>
          <w:lang w:val="pt-BR"/>
        </w:rPr>
        <w:t>rodovia</w:t>
      </w:r>
      <w:r w:rsidRPr="002F50BD">
        <w:rPr>
          <w:rFonts w:ascii="Verdana" w:hAnsi="Verdana"/>
          <w:sz w:val="20"/>
          <w:lang w:val="pt-BR"/>
        </w:rPr>
        <w:t xml:space="preserve"> nacional, como parte de su</w:t>
      </w:r>
      <w:r w:rsidR="006C4819"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 xml:space="preserve">luta pela </w:t>
      </w:r>
      <w:r w:rsidRPr="002F50BD">
        <w:rPr>
          <w:rFonts w:ascii="Verdana" w:hAnsi="Verdana"/>
          <w:sz w:val="20"/>
          <w:lang w:val="pt-BR"/>
        </w:rPr>
        <w:t>reivindica</w:t>
      </w:r>
      <w:r w:rsidR="0089298C" w:rsidRPr="002F50BD">
        <w:rPr>
          <w:rFonts w:ascii="Verdana" w:hAnsi="Verdana"/>
          <w:sz w:val="20"/>
          <w:lang w:val="pt-BR"/>
        </w:rPr>
        <w:t>ção</w:t>
      </w:r>
      <w:r w:rsidRPr="002F50BD">
        <w:rPr>
          <w:rFonts w:ascii="Verdana" w:hAnsi="Verdana"/>
          <w:sz w:val="20"/>
          <w:lang w:val="pt-BR"/>
        </w:rPr>
        <w:t xml:space="preserve"> de </w:t>
      </w:r>
      <w:r w:rsidR="00AB454A" w:rsidRPr="002F50BD">
        <w:rPr>
          <w:rFonts w:ascii="Verdana" w:hAnsi="Verdana"/>
          <w:sz w:val="20"/>
          <w:lang w:val="pt-BR"/>
        </w:rPr>
        <w:t>seu território</w:t>
      </w:r>
      <w:r w:rsidRPr="002F50BD">
        <w:rPr>
          <w:rFonts w:ascii="Verdana" w:hAnsi="Verdana"/>
          <w:sz w:val="20"/>
          <w:lang w:val="pt-BR"/>
        </w:rPr>
        <w:t>.</w:t>
      </w:r>
      <w:r w:rsidR="0089298C" w:rsidRPr="002F50BD">
        <w:rPr>
          <w:rFonts w:ascii="Verdana" w:hAnsi="Verdana"/>
          <w:sz w:val="20"/>
          <w:lang w:val="pt-BR"/>
        </w:rPr>
        <w:t xml:space="preserve"> </w:t>
      </w:r>
      <w:r w:rsidR="006C4819" w:rsidRPr="002F50BD">
        <w:rPr>
          <w:rFonts w:ascii="Verdana" w:hAnsi="Verdana"/>
          <w:sz w:val="20"/>
          <w:lang w:val="pt-BR"/>
        </w:rPr>
        <w:t xml:space="preserve">Apesar de o </w:t>
      </w:r>
      <w:r w:rsidRPr="002F50BD">
        <w:rPr>
          <w:rFonts w:ascii="Verdana" w:hAnsi="Verdana"/>
          <w:sz w:val="20"/>
          <w:lang w:val="pt-BR"/>
        </w:rPr>
        <w:t xml:space="preserve">Estado </w:t>
      </w:r>
      <w:r w:rsidR="006C4819" w:rsidRPr="002F50BD">
        <w:rPr>
          <w:rFonts w:ascii="Verdana" w:hAnsi="Verdana"/>
          <w:sz w:val="20"/>
          <w:lang w:val="pt-BR"/>
        </w:rPr>
        <w:t xml:space="preserve">ter oferecido </w:t>
      </w:r>
      <w:r w:rsidRPr="002F50BD">
        <w:rPr>
          <w:rFonts w:ascii="Verdana" w:hAnsi="Verdana"/>
          <w:sz w:val="20"/>
          <w:lang w:val="pt-BR"/>
        </w:rPr>
        <w:t>traslad</w:t>
      </w:r>
      <w:r w:rsidR="006C4819" w:rsidRPr="002F50BD">
        <w:rPr>
          <w:rFonts w:ascii="Verdana" w:hAnsi="Verdana"/>
          <w:sz w:val="20"/>
          <w:lang w:val="pt-BR"/>
        </w:rPr>
        <w:t xml:space="preserve">á-los </w:t>
      </w:r>
      <w:r w:rsidRPr="002F50BD">
        <w:rPr>
          <w:rFonts w:ascii="Verdana" w:hAnsi="Verdana"/>
          <w:sz w:val="20"/>
          <w:lang w:val="pt-BR"/>
        </w:rPr>
        <w:t>tempora</w:t>
      </w:r>
      <w:r w:rsidR="006C4819" w:rsidRPr="002F50BD">
        <w:rPr>
          <w:rFonts w:ascii="Verdana" w:hAnsi="Verdana"/>
          <w:sz w:val="20"/>
          <w:lang w:val="pt-BR"/>
        </w:rPr>
        <w:t xml:space="preserve">riamente </w:t>
      </w:r>
      <w:r w:rsidRPr="002F50BD">
        <w:rPr>
          <w:rFonts w:ascii="Verdana" w:hAnsi="Verdana"/>
          <w:sz w:val="20"/>
          <w:lang w:val="pt-BR"/>
        </w:rPr>
        <w:t xml:space="preserve">a </w:t>
      </w:r>
      <w:r w:rsidR="0089298C" w:rsidRPr="002F50BD">
        <w:rPr>
          <w:rFonts w:ascii="Verdana" w:hAnsi="Verdana"/>
          <w:sz w:val="20"/>
          <w:lang w:val="pt-BR"/>
        </w:rPr>
        <w:t>outra</w:t>
      </w:r>
      <w:r w:rsidRPr="002F50BD">
        <w:rPr>
          <w:rFonts w:ascii="Verdana" w:hAnsi="Verdana"/>
          <w:sz w:val="20"/>
          <w:lang w:val="pt-BR"/>
        </w:rPr>
        <w:t xml:space="preserve">s </w:t>
      </w:r>
      <w:r w:rsidR="0089298C" w:rsidRPr="002F50BD">
        <w:rPr>
          <w:rFonts w:ascii="Verdana" w:hAnsi="Verdana"/>
          <w:sz w:val="20"/>
          <w:lang w:val="pt-BR"/>
        </w:rPr>
        <w:t>terra</w:t>
      </w:r>
      <w:r w:rsidRPr="002F50BD">
        <w:rPr>
          <w:rFonts w:ascii="Verdana" w:hAnsi="Verdana"/>
          <w:sz w:val="20"/>
          <w:lang w:val="pt-BR"/>
        </w:rPr>
        <w:t xml:space="preserve">s, estas ofertas </w:t>
      </w:r>
      <w:r w:rsidR="0089298C" w:rsidRPr="002F50BD">
        <w:rPr>
          <w:rFonts w:ascii="Verdana" w:hAnsi="Verdana"/>
          <w:sz w:val="20"/>
          <w:lang w:val="pt-BR"/>
        </w:rPr>
        <w:t>foram</w:t>
      </w:r>
      <w:r w:rsidRPr="002F50BD">
        <w:rPr>
          <w:rFonts w:ascii="Verdana" w:hAnsi="Verdana"/>
          <w:sz w:val="20"/>
          <w:lang w:val="pt-BR"/>
        </w:rPr>
        <w:t xml:space="preserve"> </w:t>
      </w:r>
      <w:r w:rsidR="00FC6B22" w:rsidRPr="002F50BD">
        <w:rPr>
          <w:rFonts w:ascii="Verdana" w:hAnsi="Verdana"/>
          <w:sz w:val="20"/>
          <w:lang w:val="pt-BR"/>
        </w:rPr>
        <w:t>rejeitadas</w:t>
      </w:r>
      <w:r w:rsidR="0089298C" w:rsidRPr="002F50BD">
        <w:rPr>
          <w:rFonts w:ascii="Verdana" w:hAnsi="Verdana"/>
          <w:sz w:val="20"/>
          <w:lang w:val="pt-BR"/>
        </w:rPr>
        <w:t>,</w:t>
      </w:r>
      <w:r w:rsidR="004076AD" w:rsidRPr="002F50BD">
        <w:rPr>
          <w:rFonts w:ascii="Verdana" w:hAnsi="Verdana"/>
          <w:sz w:val="20"/>
          <w:lang w:val="pt-BR"/>
        </w:rPr>
        <w:t xml:space="preserve"> já </w:t>
      </w:r>
      <w:r w:rsidRPr="002F50BD">
        <w:rPr>
          <w:rFonts w:ascii="Verdana" w:hAnsi="Verdana"/>
          <w:sz w:val="20"/>
          <w:lang w:val="pt-BR"/>
        </w:rPr>
        <w:t xml:space="preserve">que, </w:t>
      </w:r>
      <w:r w:rsidR="0089298C" w:rsidRPr="002F50BD">
        <w:rPr>
          <w:rFonts w:ascii="Verdana" w:hAnsi="Verdana"/>
          <w:sz w:val="20"/>
          <w:lang w:val="pt-BR"/>
        </w:rPr>
        <w:t>segundo os membro</w:t>
      </w:r>
      <w:r w:rsidRPr="002F50BD">
        <w:rPr>
          <w:rFonts w:ascii="Verdana" w:hAnsi="Verdana"/>
          <w:sz w:val="20"/>
          <w:lang w:val="pt-BR"/>
        </w:rPr>
        <w:t>s</w:t>
      </w:r>
      <w:r w:rsidR="0089298C" w:rsidRPr="002F50BD">
        <w:rPr>
          <w:rFonts w:ascii="Verdana" w:hAnsi="Verdana"/>
          <w:sz w:val="20"/>
          <w:lang w:val="pt-BR"/>
        </w:rPr>
        <w:t xml:space="preserve"> da </w:t>
      </w:r>
      <w:r w:rsidRPr="002F50BD">
        <w:rPr>
          <w:rFonts w:ascii="Verdana" w:hAnsi="Verdana"/>
          <w:sz w:val="20"/>
          <w:lang w:val="pt-BR"/>
        </w:rPr>
        <w:t>Comu</w:t>
      </w:r>
      <w:r w:rsidR="00AB454A" w:rsidRPr="002F50BD">
        <w:rPr>
          <w:rFonts w:ascii="Verdana" w:hAnsi="Verdana"/>
          <w:sz w:val="20"/>
          <w:lang w:val="pt-BR"/>
        </w:rPr>
        <w:t>nidade,</w:t>
      </w:r>
      <w:r w:rsidR="006C4819" w:rsidRPr="002F50BD">
        <w:rPr>
          <w:rFonts w:ascii="Verdana" w:hAnsi="Verdana"/>
          <w:sz w:val="20"/>
          <w:lang w:val="pt-BR"/>
        </w:rPr>
        <w:t xml:space="preserve"> não foram </w:t>
      </w:r>
      <w:r w:rsidRPr="002F50BD">
        <w:rPr>
          <w:rFonts w:ascii="Verdana" w:hAnsi="Verdana"/>
          <w:sz w:val="20"/>
          <w:lang w:val="pt-BR"/>
        </w:rPr>
        <w:t xml:space="preserve">consultados </w:t>
      </w:r>
      <w:r w:rsidR="0089298C" w:rsidRPr="002F50BD">
        <w:rPr>
          <w:rFonts w:ascii="Verdana" w:hAnsi="Verdana"/>
          <w:sz w:val="20"/>
          <w:lang w:val="pt-BR"/>
        </w:rPr>
        <w:t>devidamente</w:t>
      </w:r>
      <w:r w:rsidRPr="002F50BD">
        <w:rPr>
          <w:rFonts w:ascii="Verdana" w:hAnsi="Verdana"/>
          <w:sz w:val="20"/>
          <w:lang w:val="pt-BR"/>
        </w:rPr>
        <w:t xml:space="preserve">, </w:t>
      </w:r>
      <w:r w:rsidR="00FC6B22" w:rsidRPr="002F50BD">
        <w:rPr>
          <w:rFonts w:ascii="Verdana" w:hAnsi="Verdana"/>
          <w:sz w:val="20"/>
          <w:szCs w:val="24"/>
          <w:lang w:val="pt-BR"/>
        </w:rPr>
        <w:t>levan</w:t>
      </w:r>
      <w:r w:rsidRPr="002F50BD">
        <w:rPr>
          <w:rFonts w:ascii="Verdana" w:hAnsi="Verdana"/>
          <w:sz w:val="20"/>
          <w:szCs w:val="24"/>
          <w:lang w:val="pt-BR"/>
        </w:rPr>
        <w:t>do</w:t>
      </w:r>
      <w:r w:rsidR="0089298C" w:rsidRPr="002F50BD">
        <w:rPr>
          <w:rFonts w:ascii="Verdana" w:hAnsi="Verdana"/>
          <w:sz w:val="20"/>
          <w:szCs w:val="24"/>
          <w:lang w:val="pt-BR"/>
        </w:rPr>
        <w:t xml:space="preserve"> em </w:t>
      </w:r>
      <w:r w:rsidRPr="002F50BD">
        <w:rPr>
          <w:rFonts w:ascii="Verdana" w:hAnsi="Verdana"/>
          <w:sz w:val="20"/>
          <w:szCs w:val="24"/>
          <w:lang w:val="pt-BR"/>
        </w:rPr>
        <w:t>considera</w:t>
      </w:r>
      <w:r w:rsidR="0089298C" w:rsidRPr="002F50BD">
        <w:rPr>
          <w:rFonts w:ascii="Verdana" w:hAnsi="Verdana"/>
          <w:sz w:val="20"/>
          <w:szCs w:val="24"/>
          <w:lang w:val="pt-BR"/>
        </w:rPr>
        <w:t xml:space="preserve">ção o </w:t>
      </w:r>
      <w:r w:rsidRPr="002F50BD">
        <w:rPr>
          <w:rFonts w:ascii="Verdana" w:hAnsi="Verdana"/>
          <w:sz w:val="20"/>
          <w:szCs w:val="24"/>
          <w:lang w:val="pt-BR"/>
        </w:rPr>
        <w:t>significado que para</w:t>
      </w:r>
      <w:r w:rsidR="0089298C" w:rsidRPr="002F50BD">
        <w:rPr>
          <w:rFonts w:ascii="Verdana" w:hAnsi="Verdana"/>
          <w:sz w:val="20"/>
          <w:szCs w:val="24"/>
          <w:lang w:val="pt-BR"/>
        </w:rPr>
        <w:t xml:space="preserve"> ele</w:t>
      </w:r>
      <w:r w:rsidRPr="002F50BD">
        <w:rPr>
          <w:rFonts w:ascii="Verdana" w:hAnsi="Verdana"/>
          <w:sz w:val="20"/>
          <w:szCs w:val="24"/>
          <w:lang w:val="pt-BR"/>
        </w:rPr>
        <w:t xml:space="preserve">s </w:t>
      </w:r>
      <w:r w:rsidR="0089298C" w:rsidRPr="002F50BD">
        <w:rPr>
          <w:rFonts w:ascii="Verdana" w:hAnsi="Verdana"/>
          <w:sz w:val="20"/>
          <w:szCs w:val="24"/>
          <w:lang w:val="pt-BR"/>
        </w:rPr>
        <w:t>t</w:t>
      </w:r>
      <w:r w:rsidR="006C4819" w:rsidRPr="002F50BD">
        <w:rPr>
          <w:rFonts w:ascii="Verdana" w:hAnsi="Verdana"/>
          <w:sz w:val="20"/>
          <w:szCs w:val="24"/>
          <w:lang w:val="pt-BR"/>
        </w:rPr>
        <w:t>ê</w:t>
      </w:r>
      <w:r w:rsidR="0089298C" w:rsidRPr="002F50BD">
        <w:rPr>
          <w:rFonts w:ascii="Verdana" w:hAnsi="Verdana"/>
          <w:sz w:val="20"/>
          <w:szCs w:val="24"/>
          <w:lang w:val="pt-BR"/>
        </w:rPr>
        <w:t xml:space="preserve">m </w:t>
      </w:r>
      <w:r w:rsidRPr="002F50BD">
        <w:rPr>
          <w:rFonts w:ascii="Verdana" w:hAnsi="Verdana"/>
          <w:sz w:val="20"/>
          <w:szCs w:val="24"/>
          <w:lang w:val="pt-BR"/>
        </w:rPr>
        <w:t>permanecer</w:t>
      </w:r>
      <w:r w:rsidR="0089298C" w:rsidRPr="002F50BD">
        <w:rPr>
          <w:rFonts w:ascii="Verdana" w:hAnsi="Verdana"/>
          <w:sz w:val="20"/>
          <w:szCs w:val="24"/>
          <w:lang w:val="pt-BR"/>
        </w:rPr>
        <w:t xml:space="preserve"> </w:t>
      </w:r>
      <w:r w:rsidR="00FB33DD" w:rsidRPr="002F50BD">
        <w:rPr>
          <w:rFonts w:ascii="Verdana" w:hAnsi="Verdana"/>
          <w:sz w:val="20"/>
          <w:szCs w:val="24"/>
          <w:lang w:val="pt-BR"/>
        </w:rPr>
        <w:t>nessa</w:t>
      </w:r>
      <w:r w:rsidR="0089298C" w:rsidRPr="002F50BD">
        <w:rPr>
          <w:rFonts w:ascii="Verdana" w:hAnsi="Verdana"/>
          <w:sz w:val="20"/>
          <w:szCs w:val="24"/>
          <w:lang w:val="pt-BR"/>
        </w:rPr>
        <w:t>s terra</w:t>
      </w:r>
      <w:r w:rsidRPr="002F50BD">
        <w:rPr>
          <w:rFonts w:ascii="Verdana" w:hAnsi="Verdana"/>
          <w:sz w:val="20"/>
          <w:szCs w:val="24"/>
          <w:lang w:val="pt-BR"/>
        </w:rPr>
        <w:t>s,</w:t>
      </w:r>
      <w:r w:rsidRPr="002F50BD">
        <w:rPr>
          <w:rFonts w:ascii="Verdana" w:hAnsi="Verdana"/>
          <w:sz w:val="20"/>
          <w:lang w:val="pt-BR"/>
        </w:rPr>
        <w:t xml:space="preserve"> o</w:t>
      </w:r>
      <w:r w:rsidR="006C4819" w:rsidRPr="002F50BD">
        <w:rPr>
          <w:rFonts w:ascii="Verdana" w:hAnsi="Verdana"/>
          <w:sz w:val="20"/>
          <w:lang w:val="pt-BR"/>
        </w:rPr>
        <w:t>u</w:t>
      </w:r>
      <w:r w:rsidR="00E7595C" w:rsidRPr="002F50BD">
        <w:rPr>
          <w:rFonts w:ascii="Verdana" w:hAnsi="Verdana"/>
          <w:sz w:val="20"/>
          <w:lang w:val="pt-BR"/>
        </w:rPr>
        <w:t xml:space="preserve"> </w:t>
      </w:r>
      <w:r w:rsidR="006C4819" w:rsidRPr="002F50BD">
        <w:rPr>
          <w:rFonts w:ascii="Verdana" w:hAnsi="Verdana"/>
          <w:sz w:val="20"/>
          <w:lang w:val="pt-BR"/>
        </w:rPr>
        <w:t>também</w:t>
      </w:r>
      <w:r w:rsidRPr="002F50BD">
        <w:rPr>
          <w:rFonts w:ascii="Verdana" w:hAnsi="Verdana"/>
          <w:sz w:val="20"/>
          <w:lang w:val="pt-BR"/>
        </w:rPr>
        <w:t>,</w:t>
      </w:r>
      <w:r w:rsidR="006C4819" w:rsidRPr="002F50BD">
        <w:rPr>
          <w:rFonts w:ascii="Verdana" w:hAnsi="Verdana"/>
          <w:sz w:val="20"/>
          <w:lang w:val="pt-BR"/>
        </w:rPr>
        <w:t xml:space="preserve"> </w:t>
      </w:r>
      <w:r w:rsidR="00FC6B22" w:rsidRPr="002F50BD">
        <w:rPr>
          <w:rFonts w:ascii="Verdana" w:hAnsi="Verdana"/>
          <w:sz w:val="20"/>
          <w:lang w:val="pt-BR"/>
        </w:rPr>
        <w:t>por</w:t>
      </w:r>
      <w:r w:rsidR="006C4819" w:rsidRPr="002F50BD">
        <w:rPr>
          <w:rFonts w:ascii="Verdana" w:hAnsi="Verdana"/>
          <w:sz w:val="20"/>
          <w:lang w:val="pt-BR"/>
        </w:rPr>
        <w:t xml:space="preserve">que confitos </w:t>
      </w:r>
      <w:r w:rsidR="00FC6B22" w:rsidRPr="002F50BD">
        <w:rPr>
          <w:rFonts w:ascii="Verdana" w:hAnsi="Verdana"/>
          <w:sz w:val="20"/>
          <w:szCs w:val="24"/>
          <w:lang w:val="pt-BR"/>
        </w:rPr>
        <w:t xml:space="preserve">teriam sido produzidos </w:t>
      </w:r>
      <w:r w:rsidR="0089298C" w:rsidRPr="002F50BD">
        <w:rPr>
          <w:rFonts w:ascii="Verdana" w:hAnsi="Verdana"/>
          <w:sz w:val="20"/>
          <w:lang w:val="pt-BR"/>
        </w:rPr>
        <w:t>com outra</w:t>
      </w:r>
      <w:r w:rsidRPr="002F50BD">
        <w:rPr>
          <w:rFonts w:ascii="Verdana" w:hAnsi="Verdana"/>
          <w:sz w:val="20"/>
          <w:lang w:val="pt-BR"/>
        </w:rPr>
        <w:t>s comunidades indígenas</w:t>
      </w:r>
      <w:r w:rsidRPr="002F50BD">
        <w:rPr>
          <w:rFonts w:ascii="Verdana" w:hAnsi="Verdana"/>
          <w:sz w:val="20"/>
          <w:szCs w:val="24"/>
          <w:lang w:val="pt-BR"/>
        </w:rPr>
        <w:t xml:space="preserve"> </w:t>
      </w:r>
      <w:r w:rsidR="00CF451D" w:rsidRPr="00CF451D">
        <w:rPr>
          <w:rFonts w:ascii="Verdana" w:hAnsi="Verdana"/>
          <w:sz w:val="20"/>
          <w:szCs w:val="24"/>
          <w:lang w:val="pt-BR"/>
        </w:rPr>
        <w:t>(</w:t>
      </w:r>
      <w:r w:rsidR="0089298C" w:rsidRPr="002F50BD">
        <w:rPr>
          <w:rFonts w:ascii="Verdana" w:hAnsi="Verdana"/>
          <w:sz w:val="20"/>
          <w:szCs w:val="24"/>
          <w:lang w:val="pt-BR"/>
        </w:rPr>
        <w:t>pars.</w:t>
      </w:r>
      <w:r w:rsidRPr="002F50BD">
        <w:rPr>
          <w:rFonts w:ascii="Verdana" w:hAnsi="Verdana"/>
          <w:sz w:val="20"/>
          <w:szCs w:val="24"/>
          <w:lang w:val="pt-BR"/>
        </w:rPr>
        <w:t xml:space="preserve"> </w:t>
      </w:r>
      <w:r w:rsidR="00063B47" w:rsidRPr="002F50BD">
        <w:rPr>
          <w:rFonts w:ascii="Verdana" w:hAnsi="Verdana"/>
          <w:sz w:val="20"/>
          <w:szCs w:val="24"/>
          <w:lang w:val="pt-BR"/>
        </w:rPr>
        <w:t>39</w:t>
      </w:r>
      <w:r w:rsidRPr="002F50BD">
        <w:rPr>
          <w:rFonts w:ascii="Verdana" w:hAnsi="Verdana"/>
          <w:sz w:val="20"/>
          <w:szCs w:val="24"/>
          <w:lang w:val="pt-BR"/>
        </w:rPr>
        <w:t>.a</w:t>
      </w:r>
      <w:r w:rsidR="0089298C" w:rsidRPr="002F50BD">
        <w:rPr>
          <w:rFonts w:ascii="Verdana" w:hAnsi="Verdana"/>
          <w:sz w:val="20"/>
          <w:szCs w:val="24"/>
          <w:lang w:val="pt-BR"/>
        </w:rPr>
        <w:t xml:space="preserve"> e </w:t>
      </w:r>
      <w:r w:rsidR="00063B47" w:rsidRPr="002F50BD">
        <w:rPr>
          <w:rFonts w:ascii="Verdana" w:hAnsi="Verdana"/>
          <w:sz w:val="20"/>
          <w:szCs w:val="24"/>
          <w:lang w:val="pt-BR"/>
        </w:rPr>
        <w:t>50</w:t>
      </w:r>
      <w:r w:rsidRPr="002F50BD">
        <w:rPr>
          <w:rFonts w:ascii="Verdana" w:hAnsi="Verdana"/>
          <w:sz w:val="20"/>
          <w:szCs w:val="24"/>
          <w:lang w:val="pt-BR"/>
        </w:rPr>
        <w:t>.</w:t>
      </w:r>
      <w:r w:rsidR="00063B47" w:rsidRPr="002F50BD">
        <w:rPr>
          <w:rFonts w:ascii="Verdana" w:hAnsi="Verdana"/>
          <w:sz w:val="20"/>
          <w:szCs w:val="24"/>
          <w:lang w:val="pt-BR"/>
        </w:rPr>
        <w:t>61</w:t>
      </w:r>
      <w:r w:rsidR="006C4819" w:rsidRPr="002F50BD">
        <w:rPr>
          <w:rFonts w:ascii="Verdana" w:hAnsi="Verdana"/>
          <w:i/>
          <w:sz w:val="20"/>
          <w:szCs w:val="24"/>
          <w:lang w:val="pt-BR"/>
        </w:rPr>
        <w:t xml:space="preserve"> supra</w:t>
      </w:r>
      <w:r w:rsidR="00CF451D" w:rsidRPr="00CF451D">
        <w:rPr>
          <w:rFonts w:ascii="Verdana" w:hAnsi="Verdana"/>
          <w:sz w:val="20"/>
          <w:szCs w:val="24"/>
          <w:lang w:val="pt-BR"/>
        </w:rPr>
        <w:t>)</w:t>
      </w:r>
      <w:r w:rsidRPr="002F50BD">
        <w:rPr>
          <w:rFonts w:ascii="Verdana" w:hAnsi="Verdana"/>
          <w:sz w:val="20"/>
          <w:szCs w:val="24"/>
          <w:lang w:val="pt-BR"/>
        </w:rPr>
        <w:t xml:space="preserve">. </w:t>
      </w:r>
    </w:p>
    <w:p w:rsidR="00452B62" w:rsidRPr="002F50BD" w:rsidRDefault="00452B62" w:rsidP="00452B62">
      <w:pPr>
        <w:widowControl w:val="0"/>
        <w:jc w:val="both"/>
        <w:rPr>
          <w:rFonts w:ascii="Verdana" w:hAnsi="Verdana"/>
          <w:sz w:val="20"/>
          <w:lang w:val="pt-BR"/>
        </w:rPr>
      </w:pPr>
    </w:p>
    <w:p w:rsidR="004756C1" w:rsidRPr="002F50BD" w:rsidRDefault="0089298C">
      <w:pPr>
        <w:widowControl w:val="0"/>
        <w:numPr>
          <w:ilvl w:val="0"/>
          <w:numId w:val="28"/>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AB454A" w:rsidRPr="002F50BD">
        <w:rPr>
          <w:rFonts w:ascii="Verdana" w:hAnsi="Verdana"/>
          <w:sz w:val="20"/>
          <w:lang w:val="pt-BR"/>
        </w:rPr>
        <w:t>não pode</w:t>
      </w:r>
      <w:r w:rsidR="004756C1" w:rsidRPr="002F50BD">
        <w:rPr>
          <w:rFonts w:ascii="Verdana" w:hAnsi="Verdana"/>
          <w:sz w:val="20"/>
          <w:lang w:val="pt-BR"/>
        </w:rPr>
        <w:t xml:space="preserve"> </w:t>
      </w:r>
      <w:r w:rsidRPr="002F50BD">
        <w:rPr>
          <w:rFonts w:ascii="Verdana" w:hAnsi="Verdana"/>
          <w:sz w:val="20"/>
          <w:lang w:val="pt-BR"/>
        </w:rPr>
        <w:t>deixar</w:t>
      </w:r>
      <w:r w:rsidR="004756C1" w:rsidRPr="002F50BD">
        <w:rPr>
          <w:rFonts w:ascii="Verdana" w:hAnsi="Verdana"/>
          <w:sz w:val="20"/>
          <w:lang w:val="pt-BR"/>
        </w:rPr>
        <w:t xml:space="preserve"> de </w:t>
      </w:r>
      <w:r w:rsidR="004076AD" w:rsidRPr="002F50BD">
        <w:rPr>
          <w:rFonts w:ascii="Verdana" w:hAnsi="Verdana"/>
          <w:sz w:val="20"/>
          <w:lang w:val="pt-BR"/>
        </w:rPr>
        <w:t>indica</w:t>
      </w:r>
      <w:r w:rsidR="004756C1" w:rsidRPr="002F50BD">
        <w:rPr>
          <w:rFonts w:ascii="Verdana" w:hAnsi="Verdana"/>
          <w:sz w:val="20"/>
          <w:lang w:val="pt-BR"/>
        </w:rPr>
        <w:t>r</w:t>
      </w:r>
      <w:r w:rsidRPr="002F50BD">
        <w:rPr>
          <w:rFonts w:ascii="Verdana" w:hAnsi="Verdana"/>
          <w:sz w:val="20"/>
          <w:lang w:val="pt-BR"/>
        </w:rPr>
        <w:t xml:space="preserve"> a </w:t>
      </w:r>
      <w:r w:rsidR="004756C1" w:rsidRPr="002F50BD">
        <w:rPr>
          <w:rFonts w:ascii="Verdana" w:hAnsi="Verdana"/>
          <w:sz w:val="20"/>
          <w:lang w:val="pt-BR"/>
        </w:rPr>
        <w:t xml:space="preserve">especial </w:t>
      </w:r>
      <w:r w:rsidRPr="002F50BD">
        <w:rPr>
          <w:rFonts w:ascii="Verdana" w:hAnsi="Verdana"/>
          <w:sz w:val="20"/>
          <w:lang w:val="pt-BR"/>
        </w:rPr>
        <w:t xml:space="preserve">gravidade </w:t>
      </w:r>
      <w:r w:rsidR="006C4819" w:rsidRPr="002F50BD">
        <w:rPr>
          <w:rFonts w:ascii="Verdana" w:hAnsi="Verdana"/>
          <w:sz w:val="20"/>
          <w:lang w:val="pt-BR"/>
        </w:rPr>
        <w:t>d</w:t>
      </w:r>
      <w:r w:rsidRPr="002F50BD">
        <w:rPr>
          <w:rFonts w:ascii="Verdana" w:hAnsi="Verdana"/>
          <w:sz w:val="20"/>
          <w:lang w:val="pt-BR"/>
        </w:rPr>
        <w:t xml:space="preserve">a </w:t>
      </w:r>
      <w:r w:rsidR="004756C1" w:rsidRPr="002F50BD">
        <w:rPr>
          <w:rFonts w:ascii="Verdana" w:hAnsi="Verdana"/>
          <w:sz w:val="20"/>
          <w:lang w:val="pt-BR"/>
        </w:rPr>
        <w:t>situa</w:t>
      </w:r>
      <w:r w:rsidRPr="002F50BD">
        <w:rPr>
          <w:rFonts w:ascii="Verdana" w:hAnsi="Verdana"/>
          <w:sz w:val="20"/>
          <w:lang w:val="pt-BR"/>
        </w:rPr>
        <w:t xml:space="preserve">ção das crianças e </w:t>
      </w:r>
      <w:r w:rsidR="006C4819" w:rsidRPr="002F50BD">
        <w:rPr>
          <w:rFonts w:ascii="Verdana" w:hAnsi="Verdana"/>
          <w:sz w:val="20"/>
          <w:lang w:val="pt-BR"/>
        </w:rPr>
        <w:t>d</w:t>
      </w:r>
      <w:r w:rsidRPr="002F50BD">
        <w:rPr>
          <w:rFonts w:ascii="Verdana" w:hAnsi="Verdana"/>
          <w:sz w:val="20"/>
          <w:lang w:val="pt-BR"/>
        </w:rPr>
        <w:t xml:space="preserve">os </w:t>
      </w:r>
      <w:r w:rsidR="006C4819" w:rsidRPr="002F50BD">
        <w:rPr>
          <w:rFonts w:ascii="Verdana" w:hAnsi="Verdana"/>
          <w:sz w:val="20"/>
          <w:lang w:val="pt-BR"/>
        </w:rPr>
        <w:t xml:space="preserve">idosos </w:t>
      </w:r>
      <w:r w:rsidRPr="002F50BD">
        <w:rPr>
          <w:rFonts w:ascii="Verdana" w:hAnsi="Verdana"/>
          <w:sz w:val="20"/>
          <w:lang w:val="pt-BR"/>
        </w:rPr>
        <w:t xml:space="preserve">da Comunidade </w:t>
      </w:r>
      <w:r w:rsidR="004756C1" w:rsidRPr="002F50BD">
        <w:rPr>
          <w:rFonts w:ascii="Verdana" w:hAnsi="Verdana"/>
          <w:sz w:val="20"/>
          <w:lang w:val="pt-BR"/>
        </w:rPr>
        <w:t>Yakye Axa</w:t>
      </w:r>
      <w:r w:rsidR="00CD7100" w:rsidRPr="002F50BD">
        <w:rPr>
          <w:rFonts w:ascii="Verdana" w:hAnsi="Verdana"/>
          <w:sz w:val="20"/>
          <w:lang w:val="pt-BR"/>
        </w:rPr>
        <w:t>. Em</w:t>
      </w:r>
      <w:r w:rsidRPr="002F50BD">
        <w:rPr>
          <w:rFonts w:ascii="Verdana" w:hAnsi="Verdana"/>
          <w:sz w:val="20"/>
          <w:lang w:val="pt-BR"/>
        </w:rPr>
        <w:t xml:space="preserve"> outra</w:t>
      </w:r>
      <w:r w:rsidR="004756C1" w:rsidRPr="002F50BD">
        <w:rPr>
          <w:rFonts w:ascii="Verdana" w:hAnsi="Verdana"/>
          <w:sz w:val="20"/>
          <w:lang w:val="pt-BR"/>
        </w:rPr>
        <w:t xml:space="preserve">s oportunidades, este Tribunal </w:t>
      </w:r>
      <w:r w:rsidRPr="002F50BD">
        <w:rPr>
          <w:rFonts w:ascii="Verdana" w:hAnsi="Verdana"/>
          <w:sz w:val="20"/>
          <w:lang w:val="pt-BR"/>
        </w:rPr>
        <w:t>estabeleceu</w:t>
      </w:r>
      <w:r w:rsidR="004756C1" w:rsidRPr="002F50BD">
        <w:rPr>
          <w:rFonts w:ascii="Verdana" w:hAnsi="Verdana"/>
          <w:sz w:val="20"/>
          <w:lang w:val="pt-BR"/>
        </w:rPr>
        <w:t xml:space="preserve"> que</w:t>
      </w:r>
      <w:r w:rsidR="007221D9" w:rsidRPr="002F50BD">
        <w:rPr>
          <w:rFonts w:ascii="Verdana" w:hAnsi="Verdana"/>
          <w:sz w:val="20"/>
          <w:lang w:val="pt-BR"/>
        </w:rPr>
        <w:t>,</w:t>
      </w:r>
      <w:r w:rsidRPr="002F50BD">
        <w:rPr>
          <w:rFonts w:ascii="Verdana" w:hAnsi="Verdana"/>
          <w:sz w:val="20"/>
          <w:lang w:val="pt-BR"/>
        </w:rPr>
        <w:t xml:space="preserve"> em matéria </w:t>
      </w:r>
      <w:r w:rsidR="004756C1" w:rsidRPr="002F50BD">
        <w:rPr>
          <w:rFonts w:ascii="Verdana" w:hAnsi="Verdana"/>
          <w:sz w:val="20"/>
          <w:lang w:val="pt-BR"/>
        </w:rPr>
        <w:t xml:space="preserve">de </w:t>
      </w:r>
      <w:r w:rsidRPr="002F50BD">
        <w:rPr>
          <w:rFonts w:ascii="Verdana" w:hAnsi="Verdana"/>
          <w:sz w:val="20"/>
          <w:lang w:val="pt-BR"/>
        </w:rPr>
        <w:t xml:space="preserve">direito à </w:t>
      </w:r>
      <w:r w:rsidR="004756C1" w:rsidRPr="002F50BD">
        <w:rPr>
          <w:rFonts w:ascii="Verdana" w:hAnsi="Verdana"/>
          <w:sz w:val="20"/>
          <w:lang w:val="pt-BR"/>
        </w:rPr>
        <w:t>vida</w:t>
      </w:r>
      <w:r w:rsidRPr="002F50BD">
        <w:rPr>
          <w:rFonts w:ascii="Verdana" w:hAnsi="Verdana"/>
          <w:sz w:val="20"/>
          <w:lang w:val="pt-BR"/>
        </w:rPr>
        <w:t xml:space="preserve"> das crianças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006C4819" w:rsidRPr="002F50BD">
        <w:rPr>
          <w:rFonts w:ascii="Verdana" w:hAnsi="Verdana"/>
          <w:sz w:val="20"/>
          <w:lang w:val="pt-BR"/>
        </w:rPr>
        <w:t>tem</w:t>
      </w:r>
      <w:r w:rsidR="004756C1" w:rsidRPr="002F50BD">
        <w:rPr>
          <w:rFonts w:ascii="Verdana" w:hAnsi="Verdana"/>
          <w:sz w:val="20"/>
          <w:lang w:val="pt-BR"/>
        </w:rPr>
        <w:t xml:space="preserve">, </w:t>
      </w:r>
      <w:r w:rsidR="006C4819" w:rsidRPr="002F50BD">
        <w:rPr>
          <w:rFonts w:ascii="Verdana" w:hAnsi="Verdana"/>
          <w:sz w:val="20"/>
          <w:lang w:val="pt-BR"/>
        </w:rPr>
        <w:t xml:space="preserve">além </w:t>
      </w:r>
      <w:r w:rsidRPr="002F50BD">
        <w:rPr>
          <w:rFonts w:ascii="Verdana" w:hAnsi="Verdana"/>
          <w:sz w:val="20"/>
          <w:lang w:val="pt-BR"/>
        </w:rPr>
        <w:t>das obrigações</w:t>
      </w:r>
      <w:r w:rsidR="004756C1" w:rsidRPr="002F50BD">
        <w:rPr>
          <w:rFonts w:ascii="Verdana" w:hAnsi="Verdana"/>
          <w:sz w:val="20"/>
          <w:lang w:val="pt-BR"/>
        </w:rPr>
        <w:t xml:space="preserve"> </w:t>
      </w:r>
      <w:r w:rsidR="004076AD" w:rsidRPr="002F50BD">
        <w:rPr>
          <w:rFonts w:ascii="Verdana" w:hAnsi="Verdana"/>
          <w:sz w:val="20"/>
          <w:lang w:val="pt-BR"/>
        </w:rPr>
        <w:t>indica</w:t>
      </w:r>
      <w:r w:rsidR="004756C1" w:rsidRPr="002F50BD">
        <w:rPr>
          <w:rFonts w:ascii="Verdana" w:hAnsi="Verdana"/>
          <w:sz w:val="20"/>
          <w:lang w:val="pt-BR"/>
        </w:rPr>
        <w:t xml:space="preserve">das para toda </w:t>
      </w:r>
      <w:r w:rsidRPr="002F50BD">
        <w:rPr>
          <w:rFonts w:ascii="Verdana" w:hAnsi="Verdana"/>
          <w:sz w:val="20"/>
          <w:lang w:val="pt-BR"/>
        </w:rPr>
        <w:t>pessoa</w:t>
      </w:r>
      <w:r w:rsidR="004756C1" w:rsidRPr="002F50BD">
        <w:rPr>
          <w:rFonts w:ascii="Verdana" w:hAnsi="Verdana"/>
          <w:sz w:val="20"/>
          <w:lang w:val="pt-BR"/>
        </w:rPr>
        <w:t>,</w:t>
      </w:r>
      <w:r w:rsidRPr="002F50BD">
        <w:rPr>
          <w:rFonts w:ascii="Verdana" w:hAnsi="Verdana"/>
          <w:sz w:val="20"/>
          <w:lang w:val="pt-BR"/>
        </w:rPr>
        <w:t xml:space="preserve"> a obrigação</w:t>
      </w:r>
      <w:r w:rsidR="004756C1" w:rsidRPr="002F50BD">
        <w:rPr>
          <w:rFonts w:ascii="Verdana" w:hAnsi="Verdana"/>
          <w:sz w:val="20"/>
          <w:lang w:val="pt-BR"/>
        </w:rPr>
        <w:t xml:space="preserve"> adicional de promover</w:t>
      </w:r>
      <w:r w:rsidRPr="002F50BD">
        <w:rPr>
          <w:rFonts w:ascii="Verdana" w:hAnsi="Verdana"/>
          <w:sz w:val="20"/>
          <w:lang w:val="pt-BR"/>
        </w:rPr>
        <w:t xml:space="preserve"> as </w:t>
      </w:r>
      <w:r w:rsidR="004756C1" w:rsidRPr="002F50BD">
        <w:rPr>
          <w:rFonts w:ascii="Verdana" w:hAnsi="Verdana"/>
          <w:sz w:val="20"/>
          <w:lang w:val="pt-BR"/>
        </w:rPr>
        <w:t xml:space="preserve">medidas de </w:t>
      </w:r>
      <w:r w:rsidRPr="002F50BD">
        <w:rPr>
          <w:rFonts w:ascii="Verdana" w:hAnsi="Verdana"/>
          <w:sz w:val="20"/>
          <w:lang w:val="pt-BR"/>
        </w:rPr>
        <w:t xml:space="preserve">proteção </w:t>
      </w:r>
      <w:r w:rsidR="006C4819"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 xml:space="preserve">que se </w:t>
      </w:r>
      <w:r w:rsidRPr="002F50BD">
        <w:rPr>
          <w:rFonts w:ascii="Verdana" w:hAnsi="Verdana"/>
          <w:sz w:val="20"/>
          <w:lang w:val="pt-BR"/>
        </w:rPr>
        <w:t>refere o artigo</w:t>
      </w:r>
      <w:r w:rsidR="004756C1" w:rsidRPr="002F50BD">
        <w:rPr>
          <w:rFonts w:ascii="Verdana" w:hAnsi="Verdana"/>
          <w:sz w:val="20"/>
          <w:lang w:val="pt-BR"/>
        </w:rPr>
        <w:t xml:space="preserve"> </w:t>
      </w:r>
      <w:r w:rsidR="00063B47" w:rsidRPr="002F50BD">
        <w:rPr>
          <w:rFonts w:ascii="Verdana" w:hAnsi="Verdana"/>
          <w:sz w:val="20"/>
          <w:lang w:val="pt-BR"/>
        </w:rPr>
        <w:t>19</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Por</w:t>
      </w:r>
      <w:r w:rsidRPr="002F50BD">
        <w:rPr>
          <w:rFonts w:ascii="Verdana" w:hAnsi="Verdana"/>
          <w:sz w:val="20"/>
          <w:lang w:val="pt-BR"/>
        </w:rPr>
        <w:t xml:space="preserve"> um</w:t>
      </w:r>
      <w:r w:rsidR="006C4819" w:rsidRPr="002F50BD">
        <w:rPr>
          <w:rFonts w:ascii="Verdana" w:hAnsi="Verdana"/>
          <w:sz w:val="20"/>
          <w:lang w:val="pt-BR"/>
        </w:rPr>
        <w:t xml:space="preserve"> lado</w:t>
      </w:r>
      <w:r w:rsidR="004756C1" w:rsidRPr="002F50BD">
        <w:rPr>
          <w:rFonts w:ascii="Verdana" w:hAnsi="Verdana"/>
          <w:sz w:val="20"/>
          <w:lang w:val="pt-BR"/>
        </w:rPr>
        <w:t>,</w:t>
      </w:r>
      <w:r w:rsidRPr="002F50BD">
        <w:rPr>
          <w:rFonts w:ascii="Verdana" w:hAnsi="Verdana"/>
          <w:sz w:val="20"/>
          <w:lang w:val="pt-BR"/>
        </w:rPr>
        <w:t xml:space="preserve"> deve assumir</w:t>
      </w:r>
      <w:r w:rsidR="004756C1" w:rsidRPr="002F50BD">
        <w:rPr>
          <w:rFonts w:ascii="Verdana" w:hAnsi="Verdana"/>
          <w:sz w:val="20"/>
          <w:lang w:val="pt-BR"/>
        </w:rPr>
        <w:t xml:space="preserve"> </w:t>
      </w:r>
      <w:r w:rsidR="006C4819" w:rsidRPr="002F50BD">
        <w:rPr>
          <w:rFonts w:ascii="Verdana" w:hAnsi="Verdana"/>
          <w:sz w:val="20"/>
          <w:lang w:val="pt-BR"/>
        </w:rPr>
        <w:t>sua posição</w:t>
      </w:r>
      <w:r w:rsidR="004756C1" w:rsidRPr="002F50BD">
        <w:rPr>
          <w:rFonts w:ascii="Verdana" w:hAnsi="Verdana"/>
          <w:sz w:val="20"/>
          <w:lang w:val="pt-BR"/>
        </w:rPr>
        <w:t xml:space="preserve"> especial de garante</w:t>
      </w:r>
      <w:r w:rsidRPr="002F50BD">
        <w:rPr>
          <w:rFonts w:ascii="Verdana" w:hAnsi="Verdana"/>
          <w:sz w:val="20"/>
          <w:lang w:val="pt-BR"/>
        </w:rPr>
        <w:t xml:space="preserve"> com maior </w:t>
      </w:r>
      <w:r w:rsidR="004756C1" w:rsidRPr="002F50BD">
        <w:rPr>
          <w:rFonts w:ascii="Verdana" w:hAnsi="Verdana"/>
          <w:sz w:val="20"/>
          <w:lang w:val="pt-BR"/>
        </w:rPr>
        <w:t>cuidado</w:t>
      </w:r>
      <w:r w:rsidRPr="002F50BD">
        <w:rPr>
          <w:rFonts w:ascii="Verdana" w:hAnsi="Verdana"/>
          <w:sz w:val="20"/>
          <w:lang w:val="pt-BR"/>
        </w:rPr>
        <w:t xml:space="preserve"> e </w:t>
      </w:r>
      <w:r w:rsidR="004756C1" w:rsidRPr="002F50BD">
        <w:rPr>
          <w:rFonts w:ascii="Verdana" w:hAnsi="Verdana"/>
          <w:sz w:val="20"/>
          <w:lang w:val="pt-BR"/>
        </w:rPr>
        <w:t>responsabilidad</w:t>
      </w:r>
      <w:r w:rsidR="006C4819" w:rsidRPr="002F50BD">
        <w:rPr>
          <w:rFonts w:ascii="Verdana" w:hAnsi="Verdana"/>
          <w:sz w:val="20"/>
          <w:lang w:val="pt-BR"/>
        </w:rPr>
        <w:t>e</w:t>
      </w:r>
      <w:r w:rsidRPr="002F50BD">
        <w:rPr>
          <w:rFonts w:ascii="Verdana" w:hAnsi="Verdana"/>
          <w:sz w:val="20"/>
          <w:lang w:val="pt-BR"/>
        </w:rPr>
        <w:t xml:space="preserve"> e deve </w:t>
      </w:r>
      <w:r w:rsidR="004756C1" w:rsidRPr="002F50BD">
        <w:rPr>
          <w:rFonts w:ascii="Verdana" w:hAnsi="Verdana"/>
          <w:sz w:val="20"/>
          <w:lang w:val="pt-BR"/>
        </w:rPr>
        <w:t xml:space="preserve">tomar medidas </w:t>
      </w:r>
      <w:r w:rsidRPr="002F50BD">
        <w:rPr>
          <w:rFonts w:ascii="Verdana" w:hAnsi="Verdana"/>
          <w:sz w:val="20"/>
          <w:lang w:val="pt-BR"/>
        </w:rPr>
        <w:t>especiais</w:t>
      </w:r>
      <w:r w:rsidR="004756C1" w:rsidRPr="002F50BD">
        <w:rPr>
          <w:rFonts w:ascii="Verdana" w:hAnsi="Verdana"/>
          <w:sz w:val="20"/>
          <w:lang w:val="pt-BR"/>
        </w:rPr>
        <w:t xml:space="preserve"> orientadas</w:t>
      </w:r>
      <w:r w:rsidRPr="002F50BD">
        <w:rPr>
          <w:rFonts w:ascii="Verdana" w:hAnsi="Verdana"/>
          <w:sz w:val="20"/>
          <w:lang w:val="pt-BR"/>
        </w:rPr>
        <w:t xml:space="preserve"> </w:t>
      </w:r>
      <w:r w:rsidR="00FC6B22" w:rsidRPr="002F50BD">
        <w:rPr>
          <w:rFonts w:ascii="Verdana" w:hAnsi="Verdana"/>
          <w:sz w:val="20"/>
          <w:lang w:val="pt-BR"/>
        </w:rPr>
        <w:t xml:space="preserve">de acordo com </w:t>
      </w:r>
      <w:r w:rsidRPr="002F50BD">
        <w:rPr>
          <w:rFonts w:ascii="Verdana" w:hAnsi="Verdana"/>
          <w:sz w:val="20"/>
          <w:lang w:val="pt-BR"/>
        </w:rPr>
        <w:t>o princípio</w:t>
      </w:r>
      <w:r w:rsidR="004756C1" w:rsidRPr="002F50BD">
        <w:rPr>
          <w:rFonts w:ascii="Verdana" w:hAnsi="Verdana"/>
          <w:sz w:val="20"/>
          <w:lang w:val="pt-BR"/>
        </w:rPr>
        <w:t xml:space="preserve"> </w:t>
      </w:r>
      <w:r w:rsidRPr="002F50BD">
        <w:rPr>
          <w:rFonts w:ascii="Verdana" w:hAnsi="Verdana"/>
          <w:sz w:val="20"/>
          <w:lang w:val="pt-BR"/>
        </w:rPr>
        <w:t xml:space="preserve">do interesse </w:t>
      </w:r>
      <w:r w:rsidR="004756C1" w:rsidRPr="002F50BD">
        <w:rPr>
          <w:rFonts w:ascii="Verdana" w:hAnsi="Verdana"/>
          <w:sz w:val="20"/>
          <w:lang w:val="pt-BR"/>
        </w:rPr>
        <w:t xml:space="preserve">superior </w:t>
      </w:r>
      <w:r w:rsidRPr="002F50BD">
        <w:rPr>
          <w:rFonts w:ascii="Verdana" w:hAnsi="Verdana"/>
          <w:sz w:val="20"/>
          <w:lang w:val="pt-BR"/>
        </w:rPr>
        <w:t>d</w:t>
      </w:r>
      <w:r w:rsidR="006C4819" w:rsidRPr="002F50BD">
        <w:rPr>
          <w:rFonts w:ascii="Verdana" w:hAnsi="Verdana"/>
          <w:sz w:val="20"/>
          <w:lang w:val="pt-BR"/>
        </w:rPr>
        <w:t>a criança.</w:t>
      </w:r>
      <w:r w:rsidR="004756C1" w:rsidRPr="002F50BD">
        <w:rPr>
          <w:rStyle w:val="FootnoteReference"/>
          <w:rFonts w:ascii="Verdana" w:hAnsi="Verdana"/>
        </w:rPr>
        <w:footnoteReference w:id="207"/>
      </w:r>
      <w:r w:rsidR="00AB454A"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tem a obrigação</w:t>
      </w:r>
      <w:r w:rsidR="004756C1" w:rsidRPr="002F50BD">
        <w:rPr>
          <w:rFonts w:ascii="Verdana" w:hAnsi="Verdana"/>
          <w:sz w:val="20"/>
          <w:lang w:val="pt-BR"/>
        </w:rPr>
        <w:t xml:space="preserve">, </w:t>
      </w:r>
      <w:r w:rsidR="004756C1" w:rsidRPr="002F50BD">
        <w:rPr>
          <w:rFonts w:ascii="Verdana" w:hAnsi="Verdana"/>
          <w:i/>
          <w:sz w:val="20"/>
          <w:lang w:val="pt-BR"/>
        </w:rPr>
        <w:t>inter alia,</w:t>
      </w:r>
      <w:r w:rsidR="004756C1" w:rsidRPr="002F50BD">
        <w:rPr>
          <w:rFonts w:ascii="Verdana" w:hAnsi="Verdana"/>
          <w:sz w:val="20"/>
          <w:lang w:val="pt-BR"/>
        </w:rPr>
        <w:t xml:space="preserve"> de prover</w:t>
      </w:r>
      <w:r w:rsidRPr="002F50BD">
        <w:rPr>
          <w:rFonts w:ascii="Verdana" w:hAnsi="Verdana"/>
          <w:sz w:val="20"/>
          <w:lang w:val="pt-BR"/>
        </w:rPr>
        <w:t xml:space="preserve"> </w:t>
      </w:r>
      <w:r w:rsidR="007221D9" w:rsidRPr="002F50BD">
        <w:rPr>
          <w:rFonts w:ascii="Verdana" w:hAnsi="Verdana"/>
          <w:sz w:val="20"/>
          <w:lang w:val="pt-BR"/>
        </w:rPr>
        <w:t>a</w:t>
      </w:r>
      <w:r w:rsidR="005A6BC7" w:rsidRPr="002F50BD">
        <w:rPr>
          <w:rFonts w:ascii="Verdana" w:hAnsi="Verdana"/>
          <w:sz w:val="20"/>
          <w:lang w:val="pt-BR"/>
        </w:rPr>
        <w:t>s crianças</w:t>
      </w:r>
      <w:r w:rsidRPr="002F50BD">
        <w:rPr>
          <w:rFonts w:ascii="Verdana" w:hAnsi="Verdana"/>
          <w:sz w:val="20"/>
          <w:lang w:val="pt-BR"/>
        </w:rPr>
        <w:t xml:space="preserve"> da Comunidade </w:t>
      </w:r>
      <w:r w:rsidR="007221D9" w:rsidRPr="002F50BD">
        <w:rPr>
          <w:rFonts w:ascii="Verdana" w:hAnsi="Verdana"/>
          <w:sz w:val="20"/>
          <w:lang w:val="pt-BR"/>
        </w:rPr>
        <w:t>d</w:t>
      </w:r>
      <w:r w:rsidR="006C4819" w:rsidRPr="002F50BD">
        <w:rPr>
          <w:rFonts w:ascii="Verdana" w:hAnsi="Verdana"/>
          <w:sz w:val="20"/>
          <w:lang w:val="pt-BR"/>
        </w:rPr>
        <w:t>as</w:t>
      </w:r>
      <w:r w:rsidRPr="002F50BD">
        <w:rPr>
          <w:rFonts w:ascii="Verdana" w:hAnsi="Verdana"/>
          <w:sz w:val="20"/>
          <w:lang w:val="pt-BR"/>
        </w:rPr>
        <w:t xml:space="preserve">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básicas </w:t>
      </w:r>
      <w:r w:rsidR="00480B4C" w:rsidRPr="002F50BD">
        <w:rPr>
          <w:rFonts w:ascii="Verdana" w:hAnsi="Verdana"/>
          <w:sz w:val="20"/>
          <w:lang w:val="pt-BR"/>
        </w:rPr>
        <w:t>voltadas</w:t>
      </w:r>
      <w:r w:rsidR="004756C1" w:rsidRPr="002F50BD">
        <w:rPr>
          <w:rFonts w:ascii="Verdana" w:hAnsi="Verdana"/>
          <w:sz w:val="20"/>
          <w:lang w:val="pt-BR"/>
        </w:rPr>
        <w:t xml:space="preserve"> a </w:t>
      </w:r>
      <w:r w:rsidRPr="002F50BD">
        <w:rPr>
          <w:rFonts w:ascii="Verdana" w:hAnsi="Verdana"/>
          <w:sz w:val="20"/>
          <w:lang w:val="pt-BR"/>
        </w:rPr>
        <w:t>assegurar</w:t>
      </w:r>
      <w:r w:rsidR="004756C1" w:rsidRPr="002F50BD">
        <w:rPr>
          <w:rFonts w:ascii="Verdana" w:hAnsi="Verdana"/>
          <w:sz w:val="20"/>
          <w:lang w:val="pt-BR"/>
        </w:rPr>
        <w:t xml:space="preserve"> que</w:t>
      </w:r>
      <w:r w:rsidRPr="002F50BD">
        <w:rPr>
          <w:rFonts w:ascii="Verdana" w:hAnsi="Verdana"/>
          <w:sz w:val="20"/>
          <w:lang w:val="pt-BR"/>
        </w:rPr>
        <w:t xml:space="preserve"> a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 xml:space="preserve">vulnerabilidade em </w:t>
      </w:r>
      <w:r w:rsidR="004756C1" w:rsidRPr="002F50BD">
        <w:rPr>
          <w:rFonts w:ascii="Verdana" w:hAnsi="Verdana"/>
          <w:sz w:val="20"/>
          <w:lang w:val="pt-BR"/>
        </w:rPr>
        <w:t xml:space="preserve">que se </w:t>
      </w:r>
      <w:r w:rsidRPr="002F50BD">
        <w:rPr>
          <w:rFonts w:ascii="Verdana" w:hAnsi="Verdana"/>
          <w:sz w:val="20"/>
          <w:lang w:val="pt-BR"/>
        </w:rPr>
        <w:t xml:space="preserve">encontra </w:t>
      </w:r>
      <w:r w:rsidR="004756C1" w:rsidRPr="002F50BD">
        <w:rPr>
          <w:rFonts w:ascii="Verdana" w:hAnsi="Verdana"/>
          <w:sz w:val="20"/>
          <w:lang w:val="pt-BR"/>
        </w:rPr>
        <w:t>su</w:t>
      </w:r>
      <w:r w:rsidR="006C4819"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 xml:space="preserve">Comunidade pela </w:t>
      </w:r>
      <w:r w:rsidR="004756C1" w:rsidRPr="002F50BD">
        <w:rPr>
          <w:rFonts w:ascii="Verdana" w:hAnsi="Verdana"/>
          <w:sz w:val="20"/>
          <w:lang w:val="pt-BR"/>
        </w:rPr>
        <w:t xml:space="preserve">falta de </w:t>
      </w:r>
      <w:r w:rsidRPr="002F50BD">
        <w:rPr>
          <w:rFonts w:ascii="Verdana" w:hAnsi="Verdana"/>
          <w:sz w:val="20"/>
          <w:lang w:val="pt-BR"/>
        </w:rPr>
        <w:t>território</w:t>
      </w:r>
      <w:r w:rsidR="004756C1" w:rsidRPr="002F50BD">
        <w:rPr>
          <w:rFonts w:ascii="Verdana" w:hAnsi="Verdana"/>
          <w:sz w:val="20"/>
          <w:lang w:val="pt-BR"/>
        </w:rPr>
        <w:t xml:space="preserve"> n</w:t>
      </w:r>
      <w:r w:rsidR="006C4819" w:rsidRPr="002F50BD">
        <w:rPr>
          <w:rFonts w:ascii="Verdana" w:hAnsi="Verdana"/>
          <w:sz w:val="20"/>
          <w:lang w:val="pt-BR"/>
        </w:rPr>
        <w:t>ã</w:t>
      </w:r>
      <w:r w:rsidR="004756C1" w:rsidRPr="002F50BD">
        <w:rPr>
          <w:rFonts w:ascii="Verdana" w:hAnsi="Verdana"/>
          <w:sz w:val="20"/>
          <w:lang w:val="pt-BR"/>
        </w:rPr>
        <w:t xml:space="preserve">o limitará </w:t>
      </w:r>
      <w:r w:rsidR="00385366" w:rsidRPr="002F50BD">
        <w:rPr>
          <w:rFonts w:ascii="Verdana" w:hAnsi="Verdana"/>
          <w:sz w:val="20"/>
          <w:lang w:val="pt-BR"/>
        </w:rPr>
        <w:t>seu desenvolvimento</w:t>
      </w:r>
      <w:r w:rsidR="004756C1" w:rsidRPr="002F50BD">
        <w:rPr>
          <w:rFonts w:ascii="Verdana" w:hAnsi="Verdana"/>
          <w:sz w:val="20"/>
          <w:lang w:val="pt-BR"/>
        </w:rPr>
        <w:t xml:space="preserve"> o</w:t>
      </w:r>
      <w:r w:rsidR="006C4819" w:rsidRPr="002F50BD">
        <w:rPr>
          <w:rFonts w:ascii="Verdana" w:hAnsi="Verdana"/>
          <w:sz w:val="20"/>
          <w:lang w:val="pt-BR"/>
        </w:rPr>
        <w:t>u</w:t>
      </w:r>
      <w:r w:rsidR="004756C1" w:rsidRPr="002F50BD">
        <w:rPr>
          <w:rFonts w:ascii="Verdana" w:hAnsi="Verdana"/>
          <w:sz w:val="20"/>
          <w:lang w:val="pt-BR"/>
        </w:rPr>
        <w:t xml:space="preserve"> destruirá </w:t>
      </w:r>
      <w:r w:rsidR="004756C1" w:rsidRPr="002F50BD">
        <w:rPr>
          <w:rFonts w:ascii="Verdana" w:hAnsi="Verdana"/>
          <w:sz w:val="20"/>
          <w:lang w:val="pt-BR"/>
        </w:rPr>
        <w:lastRenderedPageBreak/>
        <w:t>s</w:t>
      </w:r>
      <w:r w:rsidR="006C4819" w:rsidRPr="002F50BD">
        <w:rPr>
          <w:rFonts w:ascii="Verdana" w:hAnsi="Verdana"/>
          <w:sz w:val="20"/>
          <w:lang w:val="pt-BR"/>
        </w:rPr>
        <w:t>e</w:t>
      </w:r>
      <w:r w:rsidR="004756C1" w:rsidRPr="002F50BD">
        <w:rPr>
          <w:rFonts w:ascii="Verdana" w:hAnsi="Verdana"/>
          <w:sz w:val="20"/>
          <w:lang w:val="pt-BR"/>
        </w:rPr>
        <w:t xml:space="preserve">us </w:t>
      </w:r>
      <w:r w:rsidRPr="002F50BD">
        <w:rPr>
          <w:rFonts w:ascii="Verdana" w:hAnsi="Verdana"/>
          <w:sz w:val="20"/>
          <w:lang w:val="pt-BR"/>
        </w:rPr>
        <w:t>projeto</w:t>
      </w:r>
      <w:r w:rsidR="004756C1" w:rsidRPr="002F50BD">
        <w:rPr>
          <w:rFonts w:ascii="Verdana" w:hAnsi="Verdana"/>
          <w:sz w:val="20"/>
          <w:lang w:val="pt-BR"/>
        </w:rPr>
        <w:t>s de vida</w:t>
      </w:r>
      <w:r w:rsidR="006C4819" w:rsidRPr="002F50BD">
        <w:rPr>
          <w:rFonts w:ascii="Verdana" w:hAnsi="Verdana"/>
          <w:sz w:val="20"/>
          <w:lang w:val="pt-BR"/>
        </w:rPr>
        <w:t>.</w:t>
      </w:r>
      <w:r w:rsidR="004756C1" w:rsidRPr="002F50BD">
        <w:rPr>
          <w:rStyle w:val="FootnoteReference"/>
          <w:rFonts w:ascii="Verdana" w:hAnsi="Verdana"/>
        </w:rPr>
        <w:footnoteReference w:id="208"/>
      </w:r>
      <w:r w:rsidR="004756C1" w:rsidRPr="002F50BD">
        <w:rPr>
          <w:rFonts w:ascii="Verdana" w:hAnsi="Verdana"/>
          <w:sz w:val="20"/>
          <w:lang w:val="pt-BR"/>
        </w:rPr>
        <w:t xml:space="preserve"> </w:t>
      </w:r>
    </w:p>
    <w:p w:rsidR="004756C1" w:rsidRPr="002F50BD" w:rsidRDefault="004756C1">
      <w:pPr>
        <w:widowControl w:val="0"/>
        <w:jc w:val="both"/>
        <w:rPr>
          <w:rFonts w:ascii="Verdana" w:hAnsi="Verdana"/>
          <w:sz w:val="20"/>
          <w:lang w:val="pt-BR"/>
        </w:rPr>
      </w:pPr>
    </w:p>
    <w:p w:rsidR="004756C1" w:rsidRPr="002F50BD" w:rsidRDefault="004076AD">
      <w:pPr>
        <w:widowControl w:val="0"/>
        <w:numPr>
          <w:ilvl w:val="0"/>
          <w:numId w:val="28"/>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w:t>
      </w:r>
      <w:r w:rsidR="00475EBB" w:rsidRPr="002F50BD">
        <w:rPr>
          <w:rFonts w:ascii="Verdana" w:hAnsi="Verdana"/>
          <w:sz w:val="20"/>
          <w:lang w:val="pt-BR"/>
        </w:rPr>
        <w:t>a testemunha</w:t>
      </w:r>
      <w:r w:rsidR="004756C1" w:rsidRPr="002F50BD">
        <w:rPr>
          <w:rFonts w:ascii="Verdana" w:hAnsi="Verdana"/>
          <w:sz w:val="20"/>
          <w:lang w:val="pt-BR"/>
        </w:rPr>
        <w:t xml:space="preserve"> Albino Fernández, </w:t>
      </w:r>
      <w:r w:rsidR="00AB454A" w:rsidRPr="002F50BD">
        <w:rPr>
          <w:rFonts w:ascii="Verdana" w:hAnsi="Verdana"/>
          <w:sz w:val="20"/>
          <w:lang w:val="pt-BR"/>
        </w:rPr>
        <w:t>professor</w:t>
      </w:r>
      <w:r w:rsidR="0089298C" w:rsidRPr="002F50BD">
        <w:rPr>
          <w:rFonts w:ascii="Verdana" w:hAnsi="Verdana"/>
          <w:sz w:val="20"/>
          <w:lang w:val="pt-BR"/>
        </w:rPr>
        <w:t xml:space="preserve"> da Comunidade</w:t>
      </w:r>
      <w:r w:rsidR="000A7E90">
        <w:rPr>
          <w:rFonts w:ascii="Verdana" w:hAnsi="Verdana"/>
          <w:sz w:val="20"/>
          <w:lang w:val="pt-BR"/>
        </w:rPr>
        <w:t>,</w:t>
      </w:r>
      <w:r w:rsidR="0089298C" w:rsidRPr="002F50BD">
        <w:rPr>
          <w:rFonts w:ascii="Verdana" w:hAnsi="Verdana"/>
          <w:sz w:val="20"/>
          <w:lang w:val="pt-BR"/>
        </w:rPr>
        <w:t xml:space="preserve"> manifestou</w:t>
      </w:r>
      <w:r w:rsidR="004756C1" w:rsidRPr="002F50BD">
        <w:rPr>
          <w:rFonts w:ascii="Verdana" w:hAnsi="Verdana"/>
          <w:sz w:val="20"/>
          <w:lang w:val="pt-BR"/>
        </w:rPr>
        <w:t xml:space="preserve"> 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Verdana" w:hAnsi="Verdana"/>
          <w:sz w:val="16"/>
          <w:szCs w:val="32"/>
          <w:lang w:val="pt-BR"/>
        </w:rPr>
      </w:pPr>
      <w:r w:rsidRPr="002F50BD">
        <w:rPr>
          <w:rFonts w:ascii="Verdana" w:hAnsi="Verdana"/>
          <w:sz w:val="16"/>
          <w:szCs w:val="32"/>
          <w:lang w:val="pt-BR"/>
        </w:rPr>
        <w:t>[</w:t>
      </w:r>
      <w:r w:rsidR="006C4819" w:rsidRPr="002F50BD">
        <w:rPr>
          <w:rFonts w:ascii="Verdana" w:hAnsi="Verdana"/>
          <w:sz w:val="16"/>
          <w:szCs w:val="32"/>
          <w:lang w:val="pt-BR"/>
        </w:rPr>
        <w:t>o</w:t>
      </w:r>
      <w:r w:rsidRPr="002F50BD">
        <w:rPr>
          <w:rFonts w:ascii="Verdana" w:hAnsi="Verdana"/>
          <w:sz w:val="16"/>
          <w:szCs w:val="32"/>
          <w:lang w:val="pt-BR"/>
        </w:rPr>
        <w:t>]nde</w:t>
      </w:r>
      <w:r w:rsidR="0089298C" w:rsidRPr="002F50BD">
        <w:rPr>
          <w:rFonts w:ascii="Verdana" w:hAnsi="Verdana"/>
          <w:sz w:val="16"/>
          <w:szCs w:val="32"/>
          <w:lang w:val="pt-BR"/>
        </w:rPr>
        <w:t xml:space="preserve"> hoje </w:t>
      </w:r>
      <w:r w:rsidRPr="002F50BD">
        <w:rPr>
          <w:rFonts w:ascii="Verdana" w:hAnsi="Verdana"/>
          <w:sz w:val="16"/>
          <w:szCs w:val="32"/>
          <w:lang w:val="pt-BR"/>
        </w:rPr>
        <w:t xml:space="preserve">está </w:t>
      </w:r>
      <w:r w:rsidR="00E7595C" w:rsidRPr="002F50BD">
        <w:rPr>
          <w:rFonts w:ascii="Verdana" w:hAnsi="Verdana"/>
          <w:sz w:val="16"/>
          <w:szCs w:val="32"/>
          <w:lang w:val="pt-BR"/>
        </w:rPr>
        <w:t>assentad</w:t>
      </w:r>
      <w:r w:rsidRPr="002F50BD">
        <w:rPr>
          <w:rFonts w:ascii="Verdana" w:hAnsi="Verdana"/>
          <w:sz w:val="16"/>
          <w:szCs w:val="32"/>
          <w:lang w:val="pt-BR"/>
        </w:rPr>
        <w:t>a</w:t>
      </w:r>
      <w:r w:rsidR="0089298C" w:rsidRPr="002F50BD">
        <w:rPr>
          <w:rFonts w:ascii="Verdana" w:hAnsi="Verdana"/>
          <w:sz w:val="16"/>
          <w:szCs w:val="32"/>
          <w:lang w:val="pt-BR"/>
        </w:rPr>
        <w:t xml:space="preserve"> a Comunidade é uma </w:t>
      </w:r>
      <w:r w:rsidR="006C4819" w:rsidRPr="002F50BD">
        <w:rPr>
          <w:rFonts w:ascii="Verdana" w:hAnsi="Verdana"/>
          <w:sz w:val="16"/>
          <w:szCs w:val="32"/>
          <w:lang w:val="pt-BR"/>
        </w:rPr>
        <w:t xml:space="preserve">faixa </w:t>
      </w:r>
      <w:r w:rsidRPr="002F50BD">
        <w:rPr>
          <w:rFonts w:ascii="Verdana" w:hAnsi="Verdana"/>
          <w:sz w:val="16"/>
          <w:szCs w:val="32"/>
          <w:lang w:val="pt-BR"/>
        </w:rPr>
        <w:t>que</w:t>
      </w:r>
      <w:r w:rsidR="0089298C" w:rsidRPr="002F50BD">
        <w:rPr>
          <w:rFonts w:ascii="Verdana" w:hAnsi="Verdana"/>
          <w:sz w:val="16"/>
          <w:szCs w:val="32"/>
          <w:lang w:val="pt-BR"/>
        </w:rPr>
        <w:t xml:space="preserve"> as </w:t>
      </w:r>
      <w:r w:rsidRPr="002F50BD">
        <w:rPr>
          <w:rFonts w:ascii="Verdana" w:hAnsi="Verdana"/>
          <w:sz w:val="16"/>
          <w:szCs w:val="32"/>
          <w:lang w:val="pt-BR"/>
        </w:rPr>
        <w:t xml:space="preserve">autoridades </w:t>
      </w:r>
      <w:r w:rsidR="006C4819" w:rsidRPr="002F50BD">
        <w:rPr>
          <w:rFonts w:ascii="Verdana" w:hAnsi="Verdana"/>
          <w:sz w:val="16"/>
          <w:szCs w:val="32"/>
          <w:lang w:val="pt-BR"/>
        </w:rPr>
        <w:t xml:space="preserve">dizem ser </w:t>
      </w:r>
      <w:r w:rsidR="0089298C" w:rsidRPr="002F50BD">
        <w:rPr>
          <w:rFonts w:ascii="Verdana" w:hAnsi="Verdana"/>
          <w:sz w:val="16"/>
          <w:szCs w:val="32"/>
          <w:lang w:val="pt-BR"/>
        </w:rPr>
        <w:t xml:space="preserve">um caminho </w:t>
      </w:r>
      <w:r w:rsidRPr="002F50BD">
        <w:rPr>
          <w:rFonts w:ascii="Verdana" w:hAnsi="Verdana"/>
          <w:sz w:val="16"/>
          <w:szCs w:val="32"/>
          <w:lang w:val="pt-BR"/>
        </w:rPr>
        <w:t>público</w:t>
      </w:r>
      <w:r w:rsidR="0089298C" w:rsidRPr="002F50BD">
        <w:rPr>
          <w:rFonts w:ascii="Verdana" w:hAnsi="Verdana"/>
          <w:sz w:val="16"/>
          <w:szCs w:val="32"/>
          <w:lang w:val="pt-BR"/>
        </w:rPr>
        <w:t xml:space="preserve"> e </w:t>
      </w:r>
      <w:r w:rsidR="006C4819" w:rsidRPr="002F50BD">
        <w:rPr>
          <w:rFonts w:ascii="Verdana" w:hAnsi="Verdana"/>
          <w:sz w:val="16"/>
          <w:szCs w:val="32"/>
          <w:lang w:val="pt-BR"/>
        </w:rPr>
        <w:t xml:space="preserve">ali não </w:t>
      </w:r>
      <w:r w:rsidRPr="002F50BD">
        <w:rPr>
          <w:rFonts w:ascii="Verdana" w:hAnsi="Verdana"/>
          <w:sz w:val="16"/>
          <w:szCs w:val="32"/>
          <w:lang w:val="pt-BR"/>
        </w:rPr>
        <w:t xml:space="preserve">se </w:t>
      </w:r>
      <w:r w:rsidR="0089298C" w:rsidRPr="002F50BD">
        <w:rPr>
          <w:rFonts w:ascii="Verdana" w:hAnsi="Verdana"/>
          <w:sz w:val="16"/>
          <w:szCs w:val="32"/>
          <w:lang w:val="pt-BR"/>
        </w:rPr>
        <w:t>pode</w:t>
      </w:r>
      <w:r w:rsidRPr="002F50BD">
        <w:rPr>
          <w:rFonts w:ascii="Verdana" w:hAnsi="Verdana"/>
          <w:sz w:val="16"/>
          <w:szCs w:val="32"/>
          <w:lang w:val="pt-BR"/>
        </w:rPr>
        <w:t xml:space="preserve"> cultivar,</w:t>
      </w:r>
      <w:r w:rsidR="0089298C" w:rsidRPr="002F50BD">
        <w:rPr>
          <w:rFonts w:ascii="Verdana" w:hAnsi="Verdana"/>
          <w:sz w:val="16"/>
          <w:szCs w:val="32"/>
          <w:lang w:val="pt-BR"/>
        </w:rPr>
        <w:t xml:space="preserve"> nem ter animais</w:t>
      </w:r>
      <w:r w:rsidRPr="002F50BD">
        <w:rPr>
          <w:rFonts w:ascii="Verdana" w:hAnsi="Verdana"/>
          <w:sz w:val="16"/>
          <w:szCs w:val="32"/>
          <w:lang w:val="pt-BR"/>
        </w:rPr>
        <w:t xml:space="preserve"> para</w:t>
      </w:r>
      <w:r w:rsidR="0089298C" w:rsidRPr="002F50BD">
        <w:rPr>
          <w:rFonts w:ascii="Verdana" w:hAnsi="Verdana"/>
          <w:sz w:val="16"/>
          <w:szCs w:val="32"/>
          <w:lang w:val="pt-BR"/>
        </w:rPr>
        <w:t xml:space="preserve"> a </w:t>
      </w:r>
      <w:r w:rsidR="00AB454A" w:rsidRPr="002F50BD">
        <w:rPr>
          <w:rFonts w:ascii="Verdana" w:hAnsi="Verdana"/>
          <w:sz w:val="16"/>
          <w:szCs w:val="32"/>
          <w:lang w:val="pt-BR"/>
        </w:rPr>
        <w:t>caça</w:t>
      </w:r>
      <w:r w:rsidRPr="002F50BD">
        <w:rPr>
          <w:rFonts w:ascii="Verdana" w:hAnsi="Verdana"/>
          <w:sz w:val="16"/>
          <w:szCs w:val="32"/>
          <w:lang w:val="pt-BR"/>
        </w:rPr>
        <w:t xml:space="preserve">. </w:t>
      </w:r>
      <w:r w:rsidR="006C4819" w:rsidRPr="002F50BD">
        <w:rPr>
          <w:rFonts w:ascii="Verdana" w:hAnsi="Verdana"/>
          <w:sz w:val="16"/>
          <w:szCs w:val="32"/>
          <w:lang w:val="pt-BR"/>
        </w:rPr>
        <w:t>A</w:t>
      </w:r>
      <w:r w:rsidR="0089298C" w:rsidRPr="002F50BD">
        <w:rPr>
          <w:rFonts w:ascii="Verdana" w:hAnsi="Verdana"/>
          <w:sz w:val="16"/>
          <w:szCs w:val="32"/>
          <w:lang w:val="pt-BR"/>
        </w:rPr>
        <w:t xml:space="preserve"> Comunidade </w:t>
      </w:r>
      <w:r w:rsidR="006C4819" w:rsidRPr="002F50BD">
        <w:rPr>
          <w:rFonts w:ascii="Verdana" w:hAnsi="Verdana"/>
          <w:sz w:val="16"/>
          <w:szCs w:val="32"/>
          <w:lang w:val="pt-BR"/>
        </w:rPr>
        <w:t xml:space="preserve">foi proibida de </w:t>
      </w:r>
      <w:r w:rsidR="00AB454A" w:rsidRPr="002F50BD">
        <w:rPr>
          <w:rFonts w:ascii="Verdana" w:hAnsi="Verdana"/>
          <w:sz w:val="16"/>
          <w:szCs w:val="32"/>
          <w:lang w:val="pt-BR"/>
        </w:rPr>
        <w:t>caça</w:t>
      </w:r>
      <w:r w:rsidRPr="002F50BD">
        <w:rPr>
          <w:rFonts w:ascii="Verdana" w:hAnsi="Verdana"/>
          <w:sz w:val="16"/>
          <w:szCs w:val="32"/>
          <w:lang w:val="pt-BR"/>
        </w:rPr>
        <w:t xml:space="preserve">r, </w:t>
      </w:r>
      <w:r w:rsidR="006C4819" w:rsidRPr="002F50BD">
        <w:rPr>
          <w:rFonts w:ascii="Verdana" w:hAnsi="Verdana"/>
          <w:sz w:val="16"/>
          <w:szCs w:val="32"/>
          <w:lang w:val="pt-BR"/>
        </w:rPr>
        <w:t xml:space="preserve">retirar </w:t>
      </w:r>
      <w:r w:rsidR="00313394" w:rsidRPr="002F50BD">
        <w:rPr>
          <w:rFonts w:ascii="Verdana" w:hAnsi="Verdana"/>
          <w:sz w:val="16"/>
          <w:szCs w:val="32"/>
          <w:lang w:val="pt-BR"/>
        </w:rPr>
        <w:t>lenha</w:t>
      </w:r>
      <w:r w:rsidR="0089298C" w:rsidRPr="002F50BD">
        <w:rPr>
          <w:rFonts w:ascii="Verdana" w:hAnsi="Verdana"/>
          <w:sz w:val="16"/>
          <w:szCs w:val="32"/>
          <w:lang w:val="pt-BR"/>
        </w:rPr>
        <w:t xml:space="preserve"> e</w:t>
      </w:r>
      <w:r w:rsidR="00AB454A" w:rsidRPr="002F50BD">
        <w:rPr>
          <w:rFonts w:ascii="Verdana" w:hAnsi="Verdana"/>
          <w:sz w:val="16"/>
          <w:szCs w:val="32"/>
          <w:lang w:val="pt-BR"/>
        </w:rPr>
        <w:t xml:space="preserve"> água </w:t>
      </w:r>
      <w:r w:rsidRPr="002F50BD">
        <w:rPr>
          <w:rFonts w:ascii="Verdana" w:hAnsi="Verdana"/>
          <w:sz w:val="16"/>
          <w:szCs w:val="32"/>
          <w:lang w:val="pt-BR"/>
        </w:rPr>
        <w:t xml:space="preserve">de </w:t>
      </w:r>
      <w:r w:rsidR="00A50140" w:rsidRPr="002F50BD">
        <w:rPr>
          <w:rFonts w:ascii="Verdana" w:hAnsi="Verdana"/>
          <w:sz w:val="16"/>
          <w:szCs w:val="32"/>
          <w:lang w:val="pt-BR"/>
        </w:rPr>
        <w:t>suas terras</w:t>
      </w:r>
      <w:r w:rsidR="00E10DBB" w:rsidRPr="002F50BD">
        <w:rPr>
          <w:rFonts w:ascii="Verdana" w:hAnsi="Verdana"/>
          <w:sz w:val="16"/>
          <w:szCs w:val="32"/>
          <w:lang w:val="pt-BR"/>
        </w:rPr>
        <w:t xml:space="preserve">. É </w:t>
      </w:r>
      <w:r w:rsidRPr="002F50BD">
        <w:rPr>
          <w:rFonts w:ascii="Verdana" w:hAnsi="Verdana"/>
          <w:sz w:val="16"/>
          <w:szCs w:val="32"/>
          <w:lang w:val="pt-BR"/>
        </w:rPr>
        <w:t>por</w:t>
      </w:r>
      <w:r w:rsidR="00313394" w:rsidRPr="002F50BD">
        <w:rPr>
          <w:rFonts w:ascii="Verdana" w:hAnsi="Verdana"/>
          <w:sz w:val="16"/>
          <w:szCs w:val="32"/>
          <w:lang w:val="pt-BR"/>
        </w:rPr>
        <w:t xml:space="preserve"> isso </w:t>
      </w:r>
      <w:r w:rsidRPr="002F50BD">
        <w:rPr>
          <w:rFonts w:ascii="Verdana" w:hAnsi="Verdana"/>
          <w:sz w:val="16"/>
          <w:szCs w:val="32"/>
          <w:lang w:val="pt-BR"/>
        </w:rPr>
        <w:t xml:space="preserve">que </w:t>
      </w:r>
      <w:r w:rsidR="0089298C" w:rsidRPr="002F50BD">
        <w:rPr>
          <w:rFonts w:ascii="Verdana" w:hAnsi="Verdana"/>
          <w:sz w:val="16"/>
          <w:szCs w:val="32"/>
          <w:lang w:val="pt-BR"/>
        </w:rPr>
        <w:t>muit</w:t>
      </w:r>
      <w:r w:rsidR="006C4819" w:rsidRPr="002F50BD">
        <w:rPr>
          <w:rFonts w:ascii="Verdana" w:hAnsi="Verdana"/>
          <w:sz w:val="16"/>
          <w:szCs w:val="32"/>
          <w:lang w:val="pt-BR"/>
        </w:rPr>
        <w:t>a</w:t>
      </w:r>
      <w:r w:rsidRPr="002F50BD">
        <w:rPr>
          <w:rFonts w:ascii="Verdana" w:hAnsi="Verdana"/>
          <w:sz w:val="16"/>
          <w:szCs w:val="32"/>
          <w:lang w:val="pt-BR"/>
        </w:rPr>
        <w:t>s</w:t>
      </w:r>
      <w:r w:rsidR="0089298C" w:rsidRPr="002F50BD">
        <w:rPr>
          <w:rFonts w:ascii="Verdana" w:hAnsi="Verdana"/>
          <w:sz w:val="16"/>
          <w:szCs w:val="32"/>
          <w:lang w:val="pt-BR"/>
        </w:rPr>
        <w:t xml:space="preserve"> das crianças </w:t>
      </w:r>
      <w:r w:rsidR="00AB454A" w:rsidRPr="002F50BD">
        <w:rPr>
          <w:rFonts w:ascii="Verdana" w:hAnsi="Verdana"/>
          <w:sz w:val="16"/>
          <w:szCs w:val="32"/>
          <w:lang w:val="pt-BR"/>
        </w:rPr>
        <w:t xml:space="preserve">não </w:t>
      </w:r>
      <w:r w:rsidR="00475EBB" w:rsidRPr="002F50BD">
        <w:rPr>
          <w:rFonts w:ascii="Verdana" w:hAnsi="Verdana"/>
          <w:sz w:val="16"/>
          <w:szCs w:val="32"/>
          <w:lang w:val="pt-BR"/>
        </w:rPr>
        <w:t xml:space="preserve">podem </w:t>
      </w:r>
      <w:r w:rsidR="006C4819" w:rsidRPr="002F50BD">
        <w:rPr>
          <w:rFonts w:ascii="Verdana" w:hAnsi="Verdana"/>
          <w:sz w:val="16"/>
          <w:szCs w:val="32"/>
          <w:lang w:val="pt-BR"/>
        </w:rPr>
        <w:t xml:space="preserve">continuar </w:t>
      </w:r>
      <w:r w:rsidRPr="002F50BD">
        <w:rPr>
          <w:rFonts w:ascii="Verdana" w:hAnsi="Verdana"/>
          <w:sz w:val="16"/>
          <w:szCs w:val="32"/>
          <w:lang w:val="pt-BR"/>
        </w:rPr>
        <w:t xml:space="preserve">estudando. </w:t>
      </w:r>
      <w:r w:rsidR="0089298C" w:rsidRPr="002F50BD">
        <w:rPr>
          <w:rFonts w:ascii="Verdana" w:hAnsi="Verdana"/>
          <w:sz w:val="16"/>
          <w:szCs w:val="32"/>
          <w:lang w:val="pt-BR"/>
        </w:rPr>
        <w:t>Muit</w:t>
      </w:r>
      <w:r w:rsidR="005A6BC7" w:rsidRPr="002F50BD">
        <w:rPr>
          <w:rFonts w:ascii="Verdana" w:hAnsi="Verdana"/>
          <w:sz w:val="16"/>
          <w:szCs w:val="32"/>
          <w:lang w:val="pt-BR"/>
        </w:rPr>
        <w:t>as crianças</w:t>
      </w:r>
      <w:r w:rsidRPr="002F50BD">
        <w:rPr>
          <w:rFonts w:ascii="Verdana" w:hAnsi="Verdana"/>
          <w:sz w:val="16"/>
          <w:szCs w:val="32"/>
          <w:lang w:val="pt-BR"/>
        </w:rPr>
        <w:t xml:space="preserve"> </w:t>
      </w:r>
      <w:r w:rsidR="006C4819" w:rsidRPr="002F50BD">
        <w:rPr>
          <w:rFonts w:ascii="Verdana" w:hAnsi="Verdana"/>
          <w:sz w:val="16"/>
          <w:szCs w:val="32"/>
          <w:lang w:val="pt-BR"/>
        </w:rPr>
        <w:t xml:space="preserve">perdem o </w:t>
      </w:r>
      <w:r w:rsidR="0089298C" w:rsidRPr="002F50BD">
        <w:rPr>
          <w:rFonts w:ascii="Verdana" w:hAnsi="Verdana"/>
          <w:sz w:val="16"/>
          <w:szCs w:val="32"/>
          <w:lang w:val="pt-BR"/>
        </w:rPr>
        <w:t xml:space="preserve">ano </w:t>
      </w:r>
      <w:r w:rsidRPr="002F50BD">
        <w:rPr>
          <w:rFonts w:ascii="Verdana" w:hAnsi="Verdana"/>
          <w:sz w:val="16"/>
          <w:szCs w:val="32"/>
          <w:lang w:val="pt-BR"/>
        </w:rPr>
        <w:t>por</w:t>
      </w:r>
      <w:r w:rsidR="0089298C" w:rsidRPr="002F50BD">
        <w:rPr>
          <w:rFonts w:ascii="Verdana" w:hAnsi="Verdana"/>
          <w:sz w:val="16"/>
          <w:szCs w:val="32"/>
          <w:lang w:val="pt-BR"/>
        </w:rPr>
        <w:t xml:space="preserve"> essas </w:t>
      </w:r>
      <w:r w:rsidRPr="002F50BD">
        <w:rPr>
          <w:rFonts w:ascii="Verdana" w:hAnsi="Verdana"/>
          <w:sz w:val="16"/>
          <w:szCs w:val="32"/>
          <w:lang w:val="pt-BR"/>
        </w:rPr>
        <w:t>condi</w:t>
      </w:r>
      <w:r w:rsidR="0089298C" w:rsidRPr="002F50BD">
        <w:rPr>
          <w:rFonts w:ascii="Verdana" w:hAnsi="Verdana"/>
          <w:sz w:val="16"/>
          <w:szCs w:val="32"/>
          <w:lang w:val="pt-BR"/>
        </w:rPr>
        <w:t>ções</w:t>
      </w:r>
      <w:r w:rsidRPr="002F50BD">
        <w:rPr>
          <w:rFonts w:ascii="Verdana" w:hAnsi="Verdana"/>
          <w:sz w:val="16"/>
          <w:szCs w:val="32"/>
          <w:lang w:val="pt-BR"/>
        </w:rPr>
        <w:t xml:space="preserve">, porque </w:t>
      </w:r>
      <w:r w:rsidR="0089298C" w:rsidRPr="002F50BD">
        <w:rPr>
          <w:rFonts w:ascii="Verdana" w:hAnsi="Verdana"/>
          <w:sz w:val="16"/>
          <w:szCs w:val="32"/>
          <w:lang w:val="pt-BR"/>
        </w:rPr>
        <w:t xml:space="preserve">não possuem </w:t>
      </w:r>
      <w:r w:rsidRPr="002F50BD">
        <w:rPr>
          <w:rFonts w:ascii="Verdana" w:hAnsi="Verdana"/>
          <w:sz w:val="16"/>
          <w:szCs w:val="32"/>
          <w:lang w:val="pt-BR"/>
        </w:rPr>
        <w:t xml:space="preserve">alimentos, </w:t>
      </w:r>
      <w:r w:rsidR="0089298C" w:rsidRPr="002F50BD">
        <w:rPr>
          <w:rFonts w:ascii="Verdana" w:hAnsi="Verdana"/>
          <w:sz w:val="16"/>
          <w:szCs w:val="32"/>
          <w:lang w:val="pt-BR"/>
        </w:rPr>
        <w:t>não possuem</w:t>
      </w:r>
      <w:r w:rsidR="00475EBB" w:rsidRPr="002F50BD">
        <w:rPr>
          <w:rFonts w:ascii="Verdana" w:hAnsi="Verdana"/>
          <w:sz w:val="16"/>
          <w:szCs w:val="32"/>
          <w:lang w:val="pt-BR"/>
        </w:rPr>
        <w:t xml:space="preserve"> água</w:t>
      </w:r>
      <w:r w:rsidRPr="002F50BD">
        <w:rPr>
          <w:rFonts w:ascii="Verdana" w:hAnsi="Verdana"/>
          <w:sz w:val="16"/>
          <w:szCs w:val="32"/>
          <w:lang w:val="pt-BR"/>
        </w:rPr>
        <w:t>, sobret</w:t>
      </w:r>
      <w:r w:rsidR="006C4819" w:rsidRPr="002F50BD">
        <w:rPr>
          <w:rFonts w:ascii="Verdana" w:hAnsi="Verdana"/>
          <w:sz w:val="16"/>
          <w:szCs w:val="32"/>
          <w:lang w:val="pt-BR"/>
        </w:rPr>
        <w:t>u</w:t>
      </w:r>
      <w:r w:rsidRPr="002F50BD">
        <w:rPr>
          <w:rFonts w:ascii="Verdana" w:hAnsi="Verdana"/>
          <w:sz w:val="16"/>
          <w:szCs w:val="32"/>
          <w:lang w:val="pt-BR"/>
        </w:rPr>
        <w:t>do</w:t>
      </w:r>
      <w:r w:rsidR="0089298C" w:rsidRPr="002F50BD">
        <w:rPr>
          <w:rFonts w:ascii="Verdana" w:hAnsi="Verdana"/>
          <w:sz w:val="16"/>
          <w:szCs w:val="32"/>
          <w:lang w:val="pt-BR"/>
        </w:rPr>
        <w:t xml:space="preserve"> em épocas </w:t>
      </w:r>
      <w:r w:rsidRPr="002F50BD">
        <w:rPr>
          <w:rFonts w:ascii="Verdana" w:hAnsi="Verdana"/>
          <w:sz w:val="16"/>
          <w:szCs w:val="32"/>
          <w:lang w:val="pt-BR"/>
        </w:rPr>
        <w:t>de se</w:t>
      </w:r>
      <w:r w:rsidR="006C4819" w:rsidRPr="002F50BD">
        <w:rPr>
          <w:rFonts w:ascii="Verdana" w:hAnsi="Verdana"/>
          <w:sz w:val="16"/>
          <w:szCs w:val="32"/>
          <w:lang w:val="pt-BR"/>
        </w:rPr>
        <w:t>ca</w:t>
      </w:r>
      <w:r w:rsidR="0089298C" w:rsidRPr="002F50BD">
        <w:rPr>
          <w:rFonts w:ascii="Verdana" w:hAnsi="Verdana"/>
          <w:sz w:val="16"/>
          <w:szCs w:val="32"/>
          <w:lang w:val="pt-BR"/>
        </w:rPr>
        <w:t>, e</w:t>
      </w:r>
      <w:r w:rsidRPr="002F50BD">
        <w:rPr>
          <w:rFonts w:ascii="Verdana" w:hAnsi="Verdana"/>
          <w:sz w:val="16"/>
          <w:szCs w:val="32"/>
          <w:lang w:val="pt-BR"/>
        </w:rPr>
        <w:t xml:space="preserve"> porque</w:t>
      </w:r>
      <w:r w:rsidR="0089298C" w:rsidRPr="002F50BD">
        <w:rPr>
          <w:rFonts w:ascii="Verdana" w:hAnsi="Verdana"/>
          <w:sz w:val="16"/>
          <w:szCs w:val="32"/>
          <w:lang w:val="pt-BR"/>
        </w:rPr>
        <w:t xml:space="preserve"> estão </w:t>
      </w:r>
      <w:r w:rsidR="006C4819" w:rsidRPr="002F50BD">
        <w:rPr>
          <w:rFonts w:ascii="Verdana" w:hAnsi="Verdana"/>
          <w:sz w:val="16"/>
          <w:szCs w:val="32"/>
          <w:lang w:val="pt-BR"/>
        </w:rPr>
        <w:t>doentes</w:t>
      </w:r>
      <w:r w:rsidRPr="002F50BD">
        <w:rPr>
          <w:rFonts w:ascii="Verdana" w:hAnsi="Verdana"/>
          <w:sz w:val="16"/>
          <w:szCs w:val="32"/>
          <w:lang w:val="pt-BR"/>
        </w:rPr>
        <w:t>.</w:t>
      </w:r>
    </w:p>
    <w:p w:rsidR="004756C1" w:rsidRPr="002F50BD" w:rsidRDefault="004756C1">
      <w:pPr>
        <w:widowControl w:val="0"/>
        <w:jc w:val="both"/>
        <w:rPr>
          <w:rFonts w:ascii="Verdana" w:hAnsi="Verdana"/>
          <w:sz w:val="20"/>
          <w:lang w:val="pt-BR"/>
        </w:rPr>
      </w:pPr>
    </w:p>
    <w:p w:rsidR="004756C1" w:rsidRPr="002F50BD" w:rsidRDefault="000A7E90">
      <w:pPr>
        <w:widowControl w:val="0"/>
        <w:numPr>
          <w:ilvl w:val="0"/>
          <w:numId w:val="28"/>
        </w:numPr>
        <w:jc w:val="both"/>
        <w:rPr>
          <w:rFonts w:ascii="Verdana" w:hAnsi="Verdana"/>
          <w:sz w:val="20"/>
          <w:szCs w:val="32"/>
          <w:lang w:val="pt-BR"/>
        </w:rPr>
      </w:pPr>
      <w:r>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o senhor </w:t>
      </w:r>
      <w:r w:rsidR="004756C1" w:rsidRPr="002F50BD">
        <w:rPr>
          <w:rFonts w:ascii="Verdana" w:hAnsi="Verdana"/>
          <w:sz w:val="20"/>
          <w:lang w:val="pt-BR"/>
        </w:rPr>
        <w:t>Pablo Balmaceda Rodríguez, perito</w:t>
      </w:r>
      <w:r w:rsidR="0089298C" w:rsidRPr="002F50BD">
        <w:rPr>
          <w:rFonts w:ascii="Verdana" w:hAnsi="Verdana"/>
          <w:sz w:val="20"/>
          <w:lang w:val="pt-BR"/>
        </w:rPr>
        <w:t xml:space="preserve"> neste </w:t>
      </w:r>
      <w:r w:rsidR="004756C1" w:rsidRPr="002F50BD">
        <w:rPr>
          <w:rFonts w:ascii="Verdana" w:hAnsi="Verdana"/>
          <w:sz w:val="20"/>
          <w:lang w:val="pt-BR"/>
        </w:rPr>
        <w:t xml:space="preserve">caso, </w:t>
      </w:r>
      <w:r w:rsidR="0089298C" w:rsidRPr="002F50BD">
        <w:rPr>
          <w:rFonts w:ascii="Verdana" w:hAnsi="Verdana"/>
          <w:sz w:val="20"/>
          <w:lang w:val="pt-BR"/>
        </w:rPr>
        <w:t>afirmou</w:t>
      </w:r>
      <w:r w:rsidR="004756C1" w:rsidRPr="002F50BD">
        <w:rPr>
          <w:rFonts w:ascii="Verdana" w:hAnsi="Verdana"/>
          <w:sz w:val="20"/>
          <w:lang w:val="pt-BR"/>
        </w:rPr>
        <w:t xml:space="preserve"> que</w:t>
      </w:r>
    </w:p>
    <w:p w:rsidR="004756C1" w:rsidRPr="002F50BD" w:rsidRDefault="004756C1">
      <w:pPr>
        <w:widowControl w:val="0"/>
        <w:jc w:val="both"/>
        <w:rPr>
          <w:rFonts w:ascii="Verdana" w:hAnsi="Verdana"/>
          <w:sz w:val="20"/>
          <w:szCs w:val="32"/>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w:t>
      </w:r>
      <w:r w:rsidR="006C4819" w:rsidRPr="002F50BD">
        <w:rPr>
          <w:rFonts w:ascii="Verdana" w:hAnsi="Verdana"/>
          <w:sz w:val="16"/>
          <w:lang w:val="pt-BR"/>
        </w:rPr>
        <w:t>o</w:t>
      </w:r>
      <w:r w:rsidRPr="002F50BD">
        <w:rPr>
          <w:rFonts w:ascii="Verdana" w:hAnsi="Verdana"/>
          <w:sz w:val="16"/>
          <w:lang w:val="pt-BR"/>
        </w:rPr>
        <w:t>] que determina</w:t>
      </w:r>
      <w:r w:rsidR="006C4819" w:rsidRPr="002F50BD">
        <w:rPr>
          <w:rFonts w:ascii="Verdana" w:hAnsi="Verdana"/>
          <w:sz w:val="16"/>
          <w:lang w:val="pt-BR"/>
        </w:rPr>
        <w:t>mos</w:t>
      </w:r>
      <w:r w:rsidR="0089298C" w:rsidRPr="002F50BD">
        <w:rPr>
          <w:rFonts w:ascii="Verdana" w:hAnsi="Verdana"/>
          <w:sz w:val="16"/>
          <w:lang w:val="pt-BR"/>
        </w:rPr>
        <w:t xml:space="preserve"> é </w:t>
      </w:r>
      <w:r w:rsidRPr="002F50BD">
        <w:rPr>
          <w:rFonts w:ascii="Verdana" w:hAnsi="Verdana"/>
          <w:sz w:val="16"/>
          <w:lang w:val="pt-BR"/>
        </w:rPr>
        <w:t>que</w:t>
      </w:r>
      <w:r w:rsidR="0089298C" w:rsidRPr="002F50BD">
        <w:rPr>
          <w:rFonts w:ascii="Verdana" w:hAnsi="Verdana"/>
          <w:sz w:val="16"/>
          <w:lang w:val="pt-BR"/>
        </w:rPr>
        <w:t xml:space="preserve"> a Comunidade </w:t>
      </w:r>
      <w:r w:rsidRPr="002F50BD">
        <w:rPr>
          <w:rFonts w:ascii="Verdana" w:hAnsi="Verdana"/>
          <w:sz w:val="16"/>
          <w:lang w:val="pt-BR"/>
        </w:rPr>
        <w:t xml:space="preserve">está </w:t>
      </w:r>
      <w:r w:rsidR="00FC6B22" w:rsidRPr="002F50BD">
        <w:rPr>
          <w:rFonts w:ascii="Verdana" w:hAnsi="Verdana"/>
          <w:sz w:val="16"/>
          <w:lang w:val="pt-BR"/>
        </w:rPr>
        <w:t>com verminose</w:t>
      </w:r>
      <w:r w:rsidR="0089298C" w:rsidRPr="002F50BD">
        <w:rPr>
          <w:rFonts w:ascii="Verdana" w:hAnsi="Verdana"/>
          <w:sz w:val="16"/>
          <w:lang w:val="pt-BR"/>
        </w:rPr>
        <w:t xml:space="preserve"> e </w:t>
      </w:r>
      <w:r w:rsidRPr="002F50BD">
        <w:rPr>
          <w:rFonts w:ascii="Verdana" w:hAnsi="Verdana"/>
          <w:sz w:val="16"/>
          <w:lang w:val="pt-BR"/>
        </w:rPr>
        <w:t>an</w:t>
      </w:r>
      <w:r w:rsidR="006C4819" w:rsidRPr="002F50BD">
        <w:rPr>
          <w:rFonts w:ascii="Verdana" w:hAnsi="Verdana"/>
          <w:sz w:val="16"/>
          <w:lang w:val="pt-BR"/>
        </w:rPr>
        <w:t>ê</w:t>
      </w:r>
      <w:r w:rsidRPr="002F50BD">
        <w:rPr>
          <w:rFonts w:ascii="Verdana" w:hAnsi="Verdana"/>
          <w:sz w:val="16"/>
          <w:lang w:val="pt-BR"/>
        </w:rPr>
        <w:t>mica</w:t>
      </w:r>
      <w:r w:rsidR="0089298C" w:rsidRPr="002F50BD">
        <w:rPr>
          <w:rFonts w:ascii="Verdana" w:hAnsi="Verdana"/>
          <w:sz w:val="16"/>
          <w:lang w:val="pt-BR"/>
        </w:rPr>
        <w:t>, e</w:t>
      </w:r>
      <w:r w:rsidR="00313394" w:rsidRPr="002F50BD">
        <w:rPr>
          <w:rFonts w:ascii="Verdana" w:hAnsi="Verdana"/>
          <w:sz w:val="16"/>
          <w:lang w:val="pt-BR"/>
        </w:rPr>
        <w:t xml:space="preserve"> isso </w:t>
      </w:r>
      <w:r w:rsidRPr="002F50BD">
        <w:rPr>
          <w:rFonts w:ascii="Verdana" w:hAnsi="Verdana"/>
          <w:sz w:val="16"/>
          <w:lang w:val="pt-BR"/>
        </w:rPr>
        <w:t xml:space="preserve">se </w:t>
      </w:r>
      <w:r w:rsidR="00063B47" w:rsidRPr="002F50BD">
        <w:rPr>
          <w:rFonts w:ascii="Verdana" w:hAnsi="Verdana"/>
          <w:sz w:val="16"/>
          <w:lang w:val="pt-BR"/>
        </w:rPr>
        <w:t xml:space="preserve">nota </w:t>
      </w:r>
      <w:r w:rsidRPr="002F50BD">
        <w:rPr>
          <w:rFonts w:ascii="Verdana" w:hAnsi="Verdana"/>
          <w:sz w:val="16"/>
          <w:lang w:val="pt-BR"/>
        </w:rPr>
        <w:t xml:space="preserve">a </w:t>
      </w:r>
      <w:r w:rsidR="006C4819" w:rsidRPr="002F50BD">
        <w:rPr>
          <w:rFonts w:ascii="Verdana" w:hAnsi="Verdana"/>
          <w:sz w:val="16"/>
          <w:lang w:val="pt-BR"/>
        </w:rPr>
        <w:t xml:space="preserve">olho nu </w:t>
      </w:r>
      <w:r w:rsidRPr="002F50BD">
        <w:rPr>
          <w:rFonts w:ascii="Verdana" w:hAnsi="Verdana"/>
          <w:sz w:val="16"/>
          <w:lang w:val="pt-BR"/>
        </w:rPr>
        <w:t xml:space="preserve">como </w:t>
      </w:r>
      <w:r w:rsidR="006C4819" w:rsidRPr="002F50BD">
        <w:rPr>
          <w:rFonts w:ascii="Verdana" w:hAnsi="Verdana"/>
          <w:sz w:val="16"/>
          <w:lang w:val="pt-BR"/>
        </w:rPr>
        <w:t>dizia n</w:t>
      </w:r>
      <w:r w:rsidR="0089298C" w:rsidRPr="002F50BD">
        <w:rPr>
          <w:rFonts w:ascii="Verdana" w:hAnsi="Verdana"/>
          <w:sz w:val="16"/>
          <w:lang w:val="pt-BR"/>
        </w:rPr>
        <w:t>o princípio</w:t>
      </w:r>
      <w:r w:rsidRPr="002F50BD">
        <w:rPr>
          <w:rFonts w:ascii="Verdana" w:hAnsi="Verdana"/>
          <w:sz w:val="16"/>
          <w:lang w:val="pt-BR"/>
        </w:rPr>
        <w:t xml:space="preserve">. </w:t>
      </w:r>
      <w:r w:rsidRPr="002F50BD" w:rsidDel="002C2039">
        <w:rPr>
          <w:rFonts w:ascii="Verdana" w:hAnsi="Verdana"/>
          <w:sz w:val="16"/>
          <w:lang w:val="pt-BR"/>
        </w:rPr>
        <w:t>U</w:t>
      </w:r>
      <w:r w:rsidR="006C4819" w:rsidRPr="002F50BD">
        <w:rPr>
          <w:rFonts w:ascii="Verdana" w:hAnsi="Verdana"/>
          <w:sz w:val="16"/>
          <w:lang w:val="pt-BR"/>
        </w:rPr>
        <w:t xml:space="preserve">ma pessoa </w:t>
      </w:r>
      <w:r w:rsidR="0089298C" w:rsidRPr="002F50BD">
        <w:rPr>
          <w:rFonts w:ascii="Verdana" w:hAnsi="Verdana"/>
          <w:sz w:val="16"/>
          <w:lang w:val="pt-BR"/>
        </w:rPr>
        <w:t xml:space="preserve">ao </w:t>
      </w:r>
      <w:r w:rsidR="004076AD" w:rsidRPr="002F50BD">
        <w:rPr>
          <w:rFonts w:ascii="Verdana" w:hAnsi="Verdana"/>
          <w:sz w:val="16"/>
          <w:lang w:val="pt-BR"/>
        </w:rPr>
        <w:t>chegar</w:t>
      </w:r>
      <w:r w:rsidR="0089298C" w:rsidRPr="002F50BD">
        <w:rPr>
          <w:rFonts w:ascii="Verdana" w:hAnsi="Verdana"/>
          <w:sz w:val="16"/>
          <w:lang w:val="pt-BR"/>
        </w:rPr>
        <w:t xml:space="preserve"> à Comunidad</w:t>
      </w:r>
      <w:r w:rsidR="006C4819" w:rsidRPr="002F50BD">
        <w:rPr>
          <w:rFonts w:ascii="Verdana" w:hAnsi="Verdana"/>
          <w:sz w:val="16"/>
          <w:lang w:val="pt-BR"/>
        </w:rPr>
        <w:t>e</w:t>
      </w:r>
      <w:r w:rsidR="00FC6B22" w:rsidRPr="002F50BD">
        <w:rPr>
          <w:rFonts w:ascii="Verdana" w:hAnsi="Verdana"/>
          <w:sz w:val="16"/>
          <w:lang w:val="pt-BR"/>
        </w:rPr>
        <w:t>,</w:t>
      </w:r>
      <w:r w:rsidR="006C4819" w:rsidRPr="002F50BD">
        <w:rPr>
          <w:rFonts w:ascii="Verdana" w:hAnsi="Verdana"/>
          <w:sz w:val="16"/>
          <w:lang w:val="pt-BR"/>
        </w:rPr>
        <w:t xml:space="preserve"> </w:t>
      </w:r>
      <w:r w:rsidR="0089298C" w:rsidRPr="002F50BD">
        <w:rPr>
          <w:rFonts w:ascii="Verdana" w:hAnsi="Verdana"/>
          <w:sz w:val="16"/>
          <w:lang w:val="pt-BR"/>
        </w:rPr>
        <w:t xml:space="preserve">o que </w:t>
      </w:r>
      <w:r w:rsidR="00063B47" w:rsidRPr="002F50BD">
        <w:rPr>
          <w:rFonts w:ascii="Verdana" w:hAnsi="Verdana"/>
          <w:sz w:val="16"/>
          <w:lang w:val="pt-BR"/>
        </w:rPr>
        <w:t xml:space="preserve">nota </w:t>
      </w:r>
      <w:r w:rsidR="0089298C" w:rsidRPr="002F50BD">
        <w:rPr>
          <w:rFonts w:ascii="Verdana" w:hAnsi="Verdana"/>
          <w:sz w:val="16"/>
          <w:lang w:val="pt-BR"/>
        </w:rPr>
        <w:t xml:space="preserve">é </w:t>
      </w:r>
      <w:r w:rsidR="006C4819" w:rsidRPr="002F50BD">
        <w:rPr>
          <w:rFonts w:ascii="Verdana" w:hAnsi="Verdana"/>
          <w:sz w:val="16"/>
          <w:lang w:val="pt-BR"/>
        </w:rPr>
        <w:t xml:space="preserve">o </w:t>
      </w:r>
      <w:r w:rsidRPr="002F50BD">
        <w:rPr>
          <w:rFonts w:ascii="Verdana" w:hAnsi="Verdana"/>
          <w:sz w:val="16"/>
          <w:lang w:val="pt-BR"/>
        </w:rPr>
        <w:t>cabelo descolorido</w:t>
      </w:r>
      <w:r w:rsidR="0089298C" w:rsidRPr="002F50BD">
        <w:rPr>
          <w:rFonts w:ascii="Verdana" w:hAnsi="Verdana"/>
          <w:sz w:val="16"/>
          <w:lang w:val="pt-BR"/>
        </w:rPr>
        <w:t xml:space="preserve"> d</w:t>
      </w:r>
      <w:r w:rsidR="006C4819" w:rsidRPr="002F50BD">
        <w:rPr>
          <w:rFonts w:ascii="Verdana" w:hAnsi="Verdana"/>
          <w:sz w:val="16"/>
          <w:lang w:val="pt-BR"/>
        </w:rPr>
        <w:t>a</w:t>
      </w:r>
      <w:r w:rsidR="0089298C" w:rsidRPr="002F50BD">
        <w:rPr>
          <w:rFonts w:ascii="Verdana" w:hAnsi="Verdana"/>
          <w:sz w:val="16"/>
          <w:lang w:val="pt-BR"/>
        </w:rPr>
        <w:t xml:space="preserve">s </w:t>
      </w:r>
      <w:r w:rsidR="006C4819" w:rsidRPr="002F50BD">
        <w:rPr>
          <w:rFonts w:ascii="Verdana" w:hAnsi="Verdana"/>
          <w:sz w:val="16"/>
          <w:lang w:val="pt-BR"/>
        </w:rPr>
        <w:t xml:space="preserve">crianças e a barriga </w:t>
      </w:r>
      <w:r w:rsidRPr="002F50BD">
        <w:rPr>
          <w:rFonts w:ascii="Verdana" w:hAnsi="Verdana"/>
          <w:sz w:val="16"/>
          <w:lang w:val="pt-BR"/>
        </w:rPr>
        <w:t>grande,</w:t>
      </w:r>
      <w:r w:rsidR="00313394" w:rsidRPr="002F50BD">
        <w:rPr>
          <w:rFonts w:ascii="Verdana" w:hAnsi="Verdana"/>
          <w:sz w:val="16"/>
          <w:lang w:val="pt-BR"/>
        </w:rPr>
        <w:t xml:space="preserve"> isso </w:t>
      </w:r>
      <w:r w:rsidR="0089298C" w:rsidRPr="002F50BD">
        <w:rPr>
          <w:rFonts w:ascii="Verdana" w:hAnsi="Verdana"/>
          <w:sz w:val="16"/>
          <w:lang w:val="pt-BR"/>
        </w:rPr>
        <w:t xml:space="preserve">é o que mais </w:t>
      </w:r>
      <w:r w:rsidR="004076AD" w:rsidRPr="002F50BD">
        <w:rPr>
          <w:rFonts w:ascii="Verdana" w:hAnsi="Verdana"/>
          <w:sz w:val="16"/>
          <w:lang w:val="pt-BR"/>
        </w:rPr>
        <w:t>chama</w:t>
      </w:r>
      <w:r w:rsidR="0089298C" w:rsidRPr="002F50BD">
        <w:rPr>
          <w:rFonts w:ascii="Verdana" w:hAnsi="Verdana"/>
          <w:sz w:val="16"/>
          <w:lang w:val="pt-BR"/>
        </w:rPr>
        <w:t xml:space="preserve"> a atenção</w:t>
      </w:r>
      <w:r w:rsidRPr="002F50BD">
        <w:rPr>
          <w:rFonts w:ascii="Verdana" w:hAnsi="Verdana"/>
          <w:sz w:val="16"/>
          <w:lang w:val="pt-BR"/>
        </w:rPr>
        <w:t>.</w:t>
      </w:r>
      <w:r w:rsidR="0089298C" w:rsidRPr="002F50BD">
        <w:rPr>
          <w:rFonts w:ascii="Verdana" w:hAnsi="Verdana"/>
          <w:sz w:val="16"/>
          <w:lang w:val="pt-BR"/>
        </w:rPr>
        <w:t xml:space="preserve"> </w:t>
      </w:r>
      <w:r w:rsidR="006C4819" w:rsidRPr="002F50BD">
        <w:rPr>
          <w:rFonts w:ascii="Verdana" w:hAnsi="Verdana"/>
          <w:sz w:val="16"/>
          <w:lang w:val="pt-BR"/>
        </w:rPr>
        <w:t>S</w:t>
      </w:r>
      <w:r w:rsidR="0089298C" w:rsidRPr="002F50BD">
        <w:rPr>
          <w:rFonts w:ascii="Verdana" w:hAnsi="Verdana"/>
          <w:sz w:val="16"/>
          <w:lang w:val="pt-BR"/>
        </w:rPr>
        <w:t xml:space="preserve">e </w:t>
      </w:r>
      <w:r w:rsidR="006C4819" w:rsidRPr="002F50BD">
        <w:rPr>
          <w:rFonts w:ascii="Verdana" w:hAnsi="Verdana"/>
          <w:sz w:val="16"/>
          <w:lang w:val="pt-BR"/>
        </w:rPr>
        <w:t xml:space="preserve">alguém </w:t>
      </w:r>
      <w:r w:rsidR="0089298C" w:rsidRPr="002F50BD">
        <w:rPr>
          <w:rFonts w:ascii="Verdana" w:hAnsi="Verdana"/>
          <w:sz w:val="16"/>
          <w:lang w:val="pt-BR"/>
        </w:rPr>
        <w:t>lhes pergunta</w:t>
      </w:r>
      <w:r w:rsidRPr="002F50BD">
        <w:rPr>
          <w:rFonts w:ascii="Verdana" w:hAnsi="Verdana"/>
          <w:sz w:val="16"/>
          <w:lang w:val="pt-BR"/>
        </w:rPr>
        <w:t xml:space="preserve"> […]</w:t>
      </w:r>
      <w:r w:rsidR="0089298C" w:rsidRPr="002F50BD">
        <w:rPr>
          <w:rFonts w:ascii="Verdana" w:hAnsi="Verdana"/>
          <w:sz w:val="16"/>
          <w:lang w:val="pt-BR"/>
        </w:rPr>
        <w:t xml:space="preserve"> a idade</w:t>
      </w:r>
      <w:r w:rsidRPr="002F50BD">
        <w:rPr>
          <w:rFonts w:ascii="Verdana" w:hAnsi="Verdana"/>
          <w:sz w:val="16"/>
          <w:lang w:val="pt-BR"/>
        </w:rPr>
        <w:t xml:space="preserve"> […] se </w:t>
      </w:r>
      <w:r w:rsidR="0089298C" w:rsidRPr="002F50BD">
        <w:rPr>
          <w:rFonts w:ascii="Verdana" w:hAnsi="Verdana"/>
          <w:sz w:val="16"/>
          <w:lang w:val="pt-BR"/>
        </w:rPr>
        <w:t>pode</w:t>
      </w:r>
      <w:r w:rsidRPr="002F50BD">
        <w:rPr>
          <w:rFonts w:ascii="Verdana" w:hAnsi="Verdana"/>
          <w:sz w:val="16"/>
          <w:lang w:val="pt-BR"/>
        </w:rPr>
        <w:t xml:space="preserve"> dar</w:t>
      </w:r>
      <w:r w:rsidR="0089298C" w:rsidRPr="002F50BD">
        <w:rPr>
          <w:rFonts w:ascii="Verdana" w:hAnsi="Verdana"/>
          <w:sz w:val="16"/>
          <w:lang w:val="pt-BR"/>
        </w:rPr>
        <w:t xml:space="preserve"> conta </w:t>
      </w:r>
      <w:r w:rsidRPr="002F50BD">
        <w:rPr>
          <w:rFonts w:ascii="Verdana" w:hAnsi="Verdana"/>
          <w:sz w:val="16"/>
          <w:lang w:val="pt-BR"/>
        </w:rPr>
        <w:t>de que n</w:t>
      </w:r>
      <w:r w:rsidR="006C4819" w:rsidRPr="002F50BD">
        <w:rPr>
          <w:rFonts w:ascii="Verdana" w:hAnsi="Verdana"/>
          <w:sz w:val="16"/>
          <w:lang w:val="pt-BR"/>
        </w:rPr>
        <w:t>ã</w:t>
      </w:r>
      <w:r w:rsidRPr="002F50BD">
        <w:rPr>
          <w:rFonts w:ascii="Verdana" w:hAnsi="Verdana"/>
          <w:sz w:val="16"/>
          <w:lang w:val="pt-BR"/>
        </w:rPr>
        <w:t xml:space="preserve">o </w:t>
      </w:r>
      <w:r w:rsidR="006C4819" w:rsidRPr="002F50BD">
        <w:rPr>
          <w:rFonts w:ascii="Verdana" w:hAnsi="Verdana"/>
          <w:sz w:val="16"/>
          <w:lang w:val="pt-BR"/>
        </w:rPr>
        <w:t xml:space="preserve">têm a </w:t>
      </w:r>
      <w:r w:rsidRPr="002F50BD">
        <w:rPr>
          <w:rFonts w:ascii="Verdana" w:hAnsi="Verdana"/>
          <w:sz w:val="16"/>
          <w:lang w:val="pt-BR"/>
        </w:rPr>
        <w:t xml:space="preserve">estatura que </w:t>
      </w:r>
      <w:r w:rsidR="006C4819" w:rsidRPr="002F50BD">
        <w:rPr>
          <w:rFonts w:ascii="Verdana" w:hAnsi="Verdana"/>
          <w:sz w:val="16"/>
          <w:lang w:val="pt-BR"/>
        </w:rPr>
        <w:t xml:space="preserve">alguém imaginaria </w:t>
      </w:r>
      <w:r w:rsidRPr="002F50BD">
        <w:rPr>
          <w:rFonts w:ascii="Verdana" w:hAnsi="Verdana"/>
          <w:sz w:val="16"/>
          <w:lang w:val="pt-BR"/>
        </w:rPr>
        <w:t xml:space="preserve">que </w:t>
      </w:r>
      <w:r w:rsidR="004076AD" w:rsidRPr="002F50BD">
        <w:rPr>
          <w:rFonts w:ascii="Verdana" w:hAnsi="Verdana"/>
          <w:sz w:val="16"/>
          <w:lang w:val="pt-BR"/>
        </w:rPr>
        <w:t>deveria</w:t>
      </w:r>
      <w:r w:rsidR="0089298C" w:rsidRPr="002F50BD">
        <w:rPr>
          <w:rFonts w:ascii="Verdana" w:hAnsi="Verdana"/>
          <w:sz w:val="16"/>
          <w:lang w:val="pt-BR"/>
        </w:rPr>
        <w:t xml:space="preserve"> ter um</w:t>
      </w:r>
      <w:r w:rsidR="006C4819" w:rsidRPr="002F50BD">
        <w:rPr>
          <w:rFonts w:ascii="Verdana" w:hAnsi="Verdana"/>
          <w:sz w:val="16"/>
          <w:lang w:val="pt-BR"/>
        </w:rPr>
        <w:t>a</w:t>
      </w:r>
      <w:r w:rsidR="0089298C" w:rsidRPr="002F50BD">
        <w:rPr>
          <w:rFonts w:ascii="Verdana" w:hAnsi="Verdana"/>
          <w:sz w:val="16"/>
          <w:lang w:val="pt-BR"/>
        </w:rPr>
        <w:t xml:space="preserve"> criança </w:t>
      </w:r>
      <w:r w:rsidRPr="002F50BD">
        <w:rPr>
          <w:rFonts w:ascii="Verdana" w:hAnsi="Verdana"/>
          <w:sz w:val="16"/>
          <w:lang w:val="pt-BR"/>
        </w:rPr>
        <w:t xml:space="preserve">de </w:t>
      </w:r>
      <w:r w:rsidR="0089298C" w:rsidRPr="002F50BD">
        <w:rPr>
          <w:rFonts w:ascii="Verdana" w:hAnsi="Verdana"/>
          <w:sz w:val="16"/>
          <w:lang w:val="pt-BR"/>
        </w:rPr>
        <w:t>oito</w:t>
      </w:r>
      <w:r w:rsidRPr="002F50BD">
        <w:rPr>
          <w:rFonts w:ascii="Verdana" w:hAnsi="Verdana"/>
          <w:sz w:val="16"/>
          <w:lang w:val="pt-BR"/>
        </w:rPr>
        <w:t xml:space="preserve"> </w:t>
      </w:r>
      <w:r w:rsidR="0089298C" w:rsidRPr="002F50BD">
        <w:rPr>
          <w:rFonts w:ascii="Verdana" w:hAnsi="Verdana"/>
          <w:sz w:val="16"/>
          <w:lang w:val="pt-BR"/>
        </w:rPr>
        <w:t>anos</w:t>
      </w:r>
      <w:r w:rsidRPr="002F50BD">
        <w:rPr>
          <w:rFonts w:ascii="Verdana" w:hAnsi="Verdana"/>
          <w:sz w:val="16"/>
          <w:lang w:val="pt-BR"/>
        </w:rPr>
        <w:t xml:space="preserve">, de </w:t>
      </w:r>
      <w:r w:rsidR="00063B47" w:rsidRPr="002F50BD">
        <w:rPr>
          <w:rFonts w:ascii="Verdana" w:hAnsi="Verdana"/>
          <w:sz w:val="16"/>
          <w:lang w:val="pt-BR"/>
        </w:rPr>
        <w:t>10</w:t>
      </w:r>
      <w:r w:rsidRPr="002F50BD">
        <w:rPr>
          <w:rFonts w:ascii="Verdana" w:hAnsi="Verdana"/>
          <w:sz w:val="16"/>
          <w:lang w:val="pt-BR"/>
        </w:rPr>
        <w:t xml:space="preserve"> </w:t>
      </w:r>
      <w:r w:rsidR="0089298C" w:rsidRPr="002F50BD">
        <w:rPr>
          <w:rFonts w:ascii="Verdana" w:hAnsi="Verdana"/>
          <w:sz w:val="16"/>
          <w:lang w:val="pt-BR"/>
        </w:rPr>
        <w:t>anos, e</w:t>
      </w:r>
      <w:r w:rsidRPr="002F50BD">
        <w:rPr>
          <w:rFonts w:ascii="Verdana" w:hAnsi="Verdana"/>
          <w:sz w:val="16"/>
          <w:lang w:val="pt-BR"/>
        </w:rPr>
        <w:t xml:space="preserve"> esta</w:t>
      </w:r>
      <w:r w:rsidR="0089298C" w:rsidRPr="002F50BD">
        <w:rPr>
          <w:rFonts w:ascii="Verdana" w:hAnsi="Verdana"/>
          <w:sz w:val="16"/>
          <w:lang w:val="pt-BR"/>
        </w:rPr>
        <w:t xml:space="preserve"> é uma </w:t>
      </w:r>
      <w:r w:rsidR="006C4819" w:rsidRPr="002F50BD">
        <w:rPr>
          <w:rFonts w:ascii="Verdana" w:hAnsi="Verdana"/>
          <w:sz w:val="16"/>
          <w:lang w:val="pt-BR"/>
        </w:rPr>
        <w:t xml:space="preserve">doença </w:t>
      </w:r>
      <w:r w:rsidRPr="002F50BD">
        <w:rPr>
          <w:rFonts w:ascii="Verdana" w:hAnsi="Verdana"/>
          <w:sz w:val="16"/>
          <w:lang w:val="pt-BR"/>
        </w:rPr>
        <w:t>[que]</w:t>
      </w:r>
      <w:r w:rsidR="0089298C" w:rsidRPr="002F50BD">
        <w:rPr>
          <w:rFonts w:ascii="Verdana" w:hAnsi="Verdana"/>
          <w:sz w:val="16"/>
          <w:lang w:val="pt-BR"/>
        </w:rPr>
        <w:t xml:space="preserve"> em </w:t>
      </w:r>
      <w:r w:rsidR="005A6BC7" w:rsidRPr="002F50BD">
        <w:rPr>
          <w:rFonts w:ascii="Verdana" w:hAnsi="Verdana"/>
          <w:sz w:val="16"/>
          <w:lang w:val="pt-BR"/>
        </w:rPr>
        <w:t>castelhano</w:t>
      </w:r>
      <w:r w:rsidRPr="002F50BD">
        <w:rPr>
          <w:rFonts w:ascii="Verdana" w:hAnsi="Verdana"/>
          <w:sz w:val="16"/>
          <w:lang w:val="pt-BR"/>
        </w:rPr>
        <w:t xml:space="preserve"> se </w:t>
      </w:r>
      <w:r w:rsidR="0089298C" w:rsidRPr="002F50BD">
        <w:rPr>
          <w:rFonts w:ascii="Verdana" w:hAnsi="Verdana"/>
          <w:sz w:val="16"/>
          <w:lang w:val="pt-BR"/>
        </w:rPr>
        <w:t xml:space="preserve">conhece </w:t>
      </w:r>
      <w:r w:rsidRPr="002F50BD">
        <w:rPr>
          <w:rFonts w:ascii="Verdana" w:hAnsi="Verdana"/>
          <w:sz w:val="16"/>
          <w:lang w:val="pt-BR"/>
        </w:rPr>
        <w:t xml:space="preserve">[…] como </w:t>
      </w:r>
      <w:bookmarkStart w:id="39" w:name="OLE_LINK2"/>
      <w:r w:rsidRPr="002F50BD">
        <w:rPr>
          <w:rFonts w:ascii="Verdana" w:hAnsi="Verdana"/>
          <w:sz w:val="16"/>
          <w:lang w:val="pt-BR"/>
        </w:rPr>
        <w:t>anemia maligna tropical, que</w:t>
      </w:r>
      <w:r w:rsidR="0089298C" w:rsidRPr="002F50BD">
        <w:rPr>
          <w:rFonts w:ascii="Verdana" w:hAnsi="Verdana"/>
          <w:sz w:val="16"/>
          <w:lang w:val="pt-BR"/>
        </w:rPr>
        <w:t xml:space="preserve"> é a </w:t>
      </w:r>
      <w:r w:rsidRPr="002F50BD">
        <w:rPr>
          <w:rFonts w:ascii="Verdana" w:hAnsi="Verdana"/>
          <w:sz w:val="16"/>
          <w:lang w:val="pt-BR"/>
        </w:rPr>
        <w:t>falta de proteínas,</w:t>
      </w:r>
      <w:r w:rsidR="0089298C" w:rsidRPr="002F50BD">
        <w:rPr>
          <w:rFonts w:ascii="Verdana" w:hAnsi="Verdana"/>
          <w:sz w:val="16"/>
          <w:lang w:val="pt-BR"/>
        </w:rPr>
        <w:t xml:space="preserve"> a </w:t>
      </w:r>
      <w:r w:rsidRPr="002F50BD">
        <w:rPr>
          <w:rFonts w:ascii="Verdana" w:hAnsi="Verdana"/>
          <w:sz w:val="16"/>
          <w:lang w:val="pt-BR"/>
        </w:rPr>
        <w:t>falta de proteínas que provoca</w:t>
      </w:r>
      <w:r w:rsidR="0089298C" w:rsidRPr="002F50BD">
        <w:rPr>
          <w:rFonts w:ascii="Verdana" w:hAnsi="Verdana"/>
          <w:sz w:val="16"/>
          <w:lang w:val="pt-BR"/>
        </w:rPr>
        <w:t xml:space="preserve"> </w:t>
      </w:r>
      <w:r w:rsidR="006C4819" w:rsidRPr="002F50BD">
        <w:rPr>
          <w:rFonts w:ascii="Verdana" w:hAnsi="Verdana"/>
          <w:sz w:val="16"/>
          <w:lang w:val="pt-BR"/>
        </w:rPr>
        <w:t>a</w:t>
      </w:r>
      <w:r w:rsidR="0089298C" w:rsidRPr="002F50BD">
        <w:rPr>
          <w:rFonts w:ascii="Verdana" w:hAnsi="Verdana"/>
          <w:sz w:val="16"/>
          <w:lang w:val="pt-BR"/>
        </w:rPr>
        <w:t xml:space="preserve"> </w:t>
      </w:r>
      <w:r w:rsidRPr="002F50BD">
        <w:rPr>
          <w:rFonts w:ascii="Verdana" w:hAnsi="Verdana"/>
          <w:sz w:val="16"/>
          <w:lang w:val="pt-BR"/>
        </w:rPr>
        <w:t>descolora</w:t>
      </w:r>
      <w:r w:rsidR="006C4819" w:rsidRPr="002F50BD">
        <w:rPr>
          <w:rFonts w:ascii="Verdana" w:hAnsi="Verdana"/>
          <w:sz w:val="16"/>
          <w:lang w:val="pt-BR"/>
        </w:rPr>
        <w:t xml:space="preserve">ção </w:t>
      </w:r>
      <w:r w:rsidR="0089298C" w:rsidRPr="002F50BD">
        <w:rPr>
          <w:rFonts w:ascii="Verdana" w:hAnsi="Verdana"/>
          <w:sz w:val="16"/>
          <w:lang w:val="pt-BR"/>
        </w:rPr>
        <w:t xml:space="preserve">do </w:t>
      </w:r>
      <w:r w:rsidRPr="002F50BD">
        <w:rPr>
          <w:rFonts w:ascii="Verdana" w:hAnsi="Verdana"/>
          <w:sz w:val="16"/>
          <w:lang w:val="pt-BR"/>
        </w:rPr>
        <w:t>cabelo,</w:t>
      </w:r>
      <w:r w:rsidR="0089298C" w:rsidRPr="002F50BD">
        <w:rPr>
          <w:rFonts w:ascii="Verdana" w:hAnsi="Verdana"/>
          <w:sz w:val="16"/>
          <w:lang w:val="pt-BR"/>
        </w:rPr>
        <w:t xml:space="preserve"> o </w:t>
      </w:r>
      <w:r w:rsidR="00F55DCA" w:rsidRPr="002F50BD">
        <w:rPr>
          <w:rFonts w:ascii="Verdana" w:hAnsi="Verdana"/>
          <w:sz w:val="16"/>
          <w:lang w:val="pt-BR"/>
        </w:rPr>
        <w:t>aumento da barriga</w:t>
      </w:r>
      <w:r w:rsidR="0089298C" w:rsidRPr="002F50BD">
        <w:rPr>
          <w:rFonts w:ascii="Verdana" w:hAnsi="Verdana"/>
          <w:sz w:val="16"/>
          <w:lang w:val="pt-BR"/>
        </w:rPr>
        <w:t xml:space="preserve"> e</w:t>
      </w:r>
      <w:r w:rsidRPr="002F50BD">
        <w:rPr>
          <w:rFonts w:ascii="Verdana" w:hAnsi="Verdana"/>
          <w:sz w:val="16"/>
          <w:lang w:val="pt-BR"/>
        </w:rPr>
        <w:t xml:space="preserve"> </w:t>
      </w:r>
      <w:r w:rsidR="0089298C" w:rsidRPr="002F50BD">
        <w:rPr>
          <w:rFonts w:ascii="Verdana" w:hAnsi="Verdana"/>
          <w:sz w:val="16"/>
          <w:lang w:val="pt-BR"/>
        </w:rPr>
        <w:t>outros</w:t>
      </w:r>
      <w:r w:rsidRPr="002F50BD">
        <w:rPr>
          <w:rFonts w:ascii="Verdana" w:hAnsi="Verdana"/>
          <w:sz w:val="16"/>
          <w:lang w:val="pt-BR"/>
        </w:rPr>
        <w:t xml:space="preserve"> tipos de </w:t>
      </w:r>
      <w:r w:rsidR="00F55DCA" w:rsidRPr="002F50BD">
        <w:rPr>
          <w:rFonts w:ascii="Verdana" w:hAnsi="Verdana"/>
          <w:sz w:val="16"/>
          <w:lang w:val="pt-BR"/>
        </w:rPr>
        <w:t>sequela</w:t>
      </w:r>
      <w:r w:rsidRPr="002F50BD">
        <w:rPr>
          <w:rFonts w:ascii="Verdana" w:hAnsi="Verdana"/>
          <w:sz w:val="16"/>
          <w:lang w:val="pt-BR"/>
        </w:rPr>
        <w:t xml:space="preserve">s que </w:t>
      </w:r>
      <w:r w:rsidR="00AB454A" w:rsidRPr="002F50BD">
        <w:rPr>
          <w:rFonts w:ascii="Verdana" w:hAnsi="Verdana"/>
          <w:sz w:val="16"/>
          <w:lang w:val="pt-BR"/>
        </w:rPr>
        <w:t>não são</w:t>
      </w:r>
      <w:r w:rsidR="0089298C" w:rsidRPr="002F50BD">
        <w:rPr>
          <w:rFonts w:ascii="Verdana" w:hAnsi="Verdana"/>
          <w:sz w:val="16"/>
          <w:lang w:val="pt-BR"/>
        </w:rPr>
        <w:t xml:space="preserve"> tão </w:t>
      </w:r>
      <w:r w:rsidRPr="002F50BD">
        <w:rPr>
          <w:rFonts w:ascii="Verdana" w:hAnsi="Verdana"/>
          <w:sz w:val="16"/>
          <w:lang w:val="pt-BR"/>
        </w:rPr>
        <w:t>vis</w:t>
      </w:r>
      <w:r w:rsidR="0089298C" w:rsidRPr="002F50BD">
        <w:rPr>
          <w:rFonts w:ascii="Verdana" w:hAnsi="Verdana"/>
          <w:sz w:val="16"/>
          <w:lang w:val="pt-BR"/>
        </w:rPr>
        <w:t xml:space="preserve">íveis </w:t>
      </w:r>
      <w:r w:rsidRPr="002F50BD">
        <w:rPr>
          <w:rFonts w:ascii="Verdana" w:hAnsi="Verdana"/>
          <w:sz w:val="16"/>
          <w:lang w:val="pt-BR"/>
        </w:rPr>
        <w:t>como</w:t>
      </w:r>
      <w:r w:rsidR="00F55DCA" w:rsidRPr="002F50BD">
        <w:rPr>
          <w:rFonts w:ascii="Verdana" w:hAnsi="Verdana"/>
          <w:sz w:val="16"/>
          <w:lang w:val="pt-BR"/>
        </w:rPr>
        <w:t>,</w:t>
      </w:r>
      <w:r w:rsidRPr="002F50BD">
        <w:rPr>
          <w:rFonts w:ascii="Verdana" w:hAnsi="Verdana"/>
          <w:sz w:val="16"/>
          <w:lang w:val="pt-BR"/>
        </w:rPr>
        <w:t xml:space="preserve"> por </w:t>
      </w:r>
      <w:r w:rsidR="0089298C" w:rsidRPr="002F50BD">
        <w:rPr>
          <w:rFonts w:ascii="Verdana" w:hAnsi="Verdana"/>
          <w:sz w:val="16"/>
          <w:lang w:val="pt-BR"/>
        </w:rPr>
        <w:t>exemplo</w:t>
      </w:r>
      <w:r w:rsidR="00F55DCA" w:rsidRPr="002F50BD">
        <w:rPr>
          <w:rFonts w:ascii="Verdana" w:hAnsi="Verdana"/>
          <w:sz w:val="16"/>
          <w:lang w:val="pt-BR"/>
        </w:rPr>
        <w:t>,</w:t>
      </w:r>
      <w:r w:rsidR="0089298C" w:rsidRPr="002F50BD">
        <w:rPr>
          <w:rFonts w:ascii="Verdana" w:hAnsi="Verdana"/>
          <w:sz w:val="16"/>
          <w:lang w:val="pt-BR"/>
        </w:rPr>
        <w:t xml:space="preserve"> o </w:t>
      </w:r>
      <w:r w:rsidR="00F55DCA" w:rsidRPr="002F50BD">
        <w:rPr>
          <w:rFonts w:ascii="Verdana" w:hAnsi="Verdana"/>
          <w:sz w:val="16"/>
          <w:lang w:val="pt-BR"/>
        </w:rPr>
        <w:t>a</w:t>
      </w:r>
      <w:r w:rsidRPr="002F50BD">
        <w:rPr>
          <w:rFonts w:ascii="Verdana" w:hAnsi="Verdana"/>
          <w:sz w:val="16"/>
          <w:lang w:val="pt-BR"/>
        </w:rPr>
        <w:t xml:space="preserve">traso </w:t>
      </w:r>
      <w:r w:rsidR="004076AD" w:rsidRPr="002F50BD">
        <w:rPr>
          <w:rFonts w:ascii="Verdana" w:hAnsi="Verdana"/>
          <w:sz w:val="16"/>
          <w:lang w:val="pt-BR"/>
        </w:rPr>
        <w:t>intelectual</w:t>
      </w:r>
      <w:r w:rsidRPr="002F50BD">
        <w:rPr>
          <w:rFonts w:ascii="Verdana" w:hAnsi="Verdana"/>
          <w:sz w:val="16"/>
          <w:lang w:val="pt-BR"/>
        </w:rPr>
        <w:t xml:space="preserve"> </w:t>
      </w:r>
      <w:bookmarkEnd w:id="39"/>
      <w:r w:rsidRPr="002F50BD" w:rsidDel="002C2039">
        <w:rPr>
          <w:rFonts w:ascii="Verdana" w:hAnsi="Verdana"/>
          <w:sz w:val="16"/>
          <w:lang w:val="pt-BR"/>
        </w:rPr>
        <w:t>[…]</w:t>
      </w:r>
      <w:r w:rsidR="0089298C" w:rsidRPr="002F50BD">
        <w:rPr>
          <w:rFonts w:ascii="Verdana" w:hAnsi="Verdana"/>
          <w:sz w:val="16"/>
          <w:lang w:val="pt-BR"/>
        </w:rPr>
        <w:t xml:space="preserve"> a consequência</w:t>
      </w:r>
      <w:r w:rsidRPr="002F50BD">
        <w:rPr>
          <w:rFonts w:ascii="Verdana" w:hAnsi="Verdana"/>
          <w:sz w:val="16"/>
          <w:lang w:val="pt-BR"/>
        </w:rPr>
        <w:t xml:space="preserve"> </w:t>
      </w:r>
      <w:r w:rsidRPr="002F50BD" w:rsidDel="002C2039">
        <w:rPr>
          <w:rFonts w:ascii="Verdana" w:hAnsi="Verdana"/>
          <w:sz w:val="16"/>
          <w:lang w:val="pt-BR"/>
        </w:rPr>
        <w:t>[para]</w:t>
      </w:r>
      <w:r w:rsidRPr="002F50BD">
        <w:rPr>
          <w:rFonts w:ascii="Verdana" w:hAnsi="Verdana"/>
          <w:sz w:val="16"/>
          <w:lang w:val="pt-BR"/>
        </w:rPr>
        <w:t xml:space="preserve"> estas </w:t>
      </w:r>
      <w:r w:rsidR="000A7E90">
        <w:rPr>
          <w:rFonts w:ascii="Verdana" w:hAnsi="Verdana"/>
          <w:sz w:val="16"/>
          <w:lang w:val="pt-BR"/>
        </w:rPr>
        <w:t>crianças</w:t>
      </w:r>
      <w:r w:rsidRPr="002F50BD">
        <w:rPr>
          <w:rFonts w:ascii="Verdana" w:hAnsi="Verdana"/>
          <w:sz w:val="16"/>
          <w:lang w:val="pt-BR"/>
        </w:rPr>
        <w:t xml:space="preserve"> [</w:t>
      </w:r>
      <w:r w:rsidR="00F55DCA" w:rsidRPr="002F50BD">
        <w:rPr>
          <w:rFonts w:ascii="Verdana" w:hAnsi="Verdana"/>
          <w:sz w:val="16"/>
          <w:lang w:val="pt-BR"/>
        </w:rPr>
        <w:t>é</w:t>
      </w:r>
      <w:r w:rsidRPr="002F50BD">
        <w:rPr>
          <w:rFonts w:ascii="Verdana" w:hAnsi="Verdana"/>
          <w:sz w:val="16"/>
          <w:lang w:val="pt-BR"/>
        </w:rPr>
        <w:t xml:space="preserve"> que]</w:t>
      </w:r>
      <w:r w:rsidR="0089298C" w:rsidRPr="002F50BD">
        <w:rPr>
          <w:rFonts w:ascii="Verdana" w:hAnsi="Verdana"/>
          <w:sz w:val="16"/>
          <w:lang w:val="pt-BR"/>
        </w:rPr>
        <w:t xml:space="preserve"> já </w:t>
      </w:r>
      <w:r w:rsidRPr="002F50BD">
        <w:rPr>
          <w:rFonts w:ascii="Verdana" w:hAnsi="Verdana"/>
          <w:sz w:val="16"/>
          <w:lang w:val="pt-BR"/>
        </w:rPr>
        <w:t>n</w:t>
      </w:r>
      <w:r w:rsidR="00F55DCA" w:rsidRPr="002F50BD">
        <w:rPr>
          <w:rFonts w:ascii="Verdana" w:hAnsi="Verdana"/>
          <w:sz w:val="16"/>
          <w:lang w:val="pt-BR"/>
        </w:rPr>
        <w:t>ã</w:t>
      </w:r>
      <w:r w:rsidRPr="002F50BD">
        <w:rPr>
          <w:rFonts w:ascii="Verdana" w:hAnsi="Verdana"/>
          <w:sz w:val="16"/>
          <w:lang w:val="pt-BR"/>
        </w:rPr>
        <w:t>o v</w:t>
      </w:r>
      <w:r w:rsidR="00F55DCA" w:rsidRPr="002F50BD">
        <w:rPr>
          <w:rFonts w:ascii="Verdana" w:hAnsi="Verdana"/>
          <w:sz w:val="16"/>
          <w:lang w:val="pt-BR"/>
        </w:rPr>
        <w:t xml:space="preserve">ão </w:t>
      </w:r>
      <w:r w:rsidR="0089298C" w:rsidRPr="002F50BD">
        <w:rPr>
          <w:rFonts w:ascii="Verdana" w:hAnsi="Verdana"/>
          <w:sz w:val="16"/>
          <w:lang w:val="pt-BR"/>
        </w:rPr>
        <w:t>ter um desenvolvimento</w:t>
      </w:r>
      <w:r w:rsidRPr="002F50BD">
        <w:rPr>
          <w:rFonts w:ascii="Verdana" w:hAnsi="Verdana"/>
          <w:sz w:val="16"/>
          <w:lang w:val="pt-BR"/>
        </w:rPr>
        <w:t xml:space="preserve"> </w:t>
      </w:r>
      <w:r w:rsidR="004076AD" w:rsidRPr="002F50BD">
        <w:rPr>
          <w:rFonts w:ascii="Verdana" w:hAnsi="Verdana"/>
          <w:sz w:val="16"/>
          <w:lang w:val="pt-BR"/>
        </w:rPr>
        <w:t>intelectual</w:t>
      </w:r>
      <w:r w:rsidRPr="002F50BD">
        <w:rPr>
          <w:rFonts w:ascii="Verdana" w:hAnsi="Verdana"/>
          <w:sz w:val="16"/>
          <w:lang w:val="pt-BR"/>
        </w:rPr>
        <w:t xml:space="preserve"> que </w:t>
      </w:r>
      <w:r w:rsidR="00F55DCA" w:rsidRPr="002F50BD">
        <w:rPr>
          <w:rFonts w:ascii="Verdana" w:hAnsi="Verdana"/>
          <w:sz w:val="16"/>
          <w:lang w:val="pt-BR"/>
        </w:rPr>
        <w:t xml:space="preserve">lhes poderia ter dado </w:t>
      </w:r>
      <w:r w:rsidR="0089298C" w:rsidRPr="002F50BD">
        <w:rPr>
          <w:rFonts w:ascii="Verdana" w:hAnsi="Verdana"/>
          <w:sz w:val="16"/>
          <w:lang w:val="pt-BR"/>
        </w:rPr>
        <w:t xml:space="preserve">uma boa </w:t>
      </w:r>
      <w:r w:rsidRPr="002F50BD">
        <w:rPr>
          <w:rFonts w:ascii="Verdana" w:hAnsi="Verdana"/>
          <w:sz w:val="16"/>
          <w:lang w:val="pt-BR"/>
        </w:rPr>
        <w:t>alimenta</w:t>
      </w:r>
      <w:r w:rsidR="0089298C" w:rsidRPr="002F50BD">
        <w:rPr>
          <w:rFonts w:ascii="Verdana" w:hAnsi="Verdana"/>
          <w:sz w:val="16"/>
          <w:lang w:val="pt-BR"/>
        </w:rPr>
        <w:t>ção</w:t>
      </w:r>
      <w:r w:rsidRPr="002F50BD">
        <w:rPr>
          <w:rFonts w:ascii="Verdana" w:hAnsi="Verdana"/>
          <w:sz w:val="16"/>
          <w:lang w:val="pt-BR"/>
        </w:rPr>
        <w:t xml:space="preserve"> desde su</w:t>
      </w:r>
      <w:r w:rsidR="00F55DCA" w:rsidRPr="002F50BD">
        <w:rPr>
          <w:rFonts w:ascii="Verdana" w:hAnsi="Verdana"/>
          <w:sz w:val="16"/>
          <w:lang w:val="pt-BR"/>
        </w:rPr>
        <w:t>a</w:t>
      </w:r>
      <w:r w:rsidRPr="002F50BD">
        <w:rPr>
          <w:rFonts w:ascii="Verdana" w:hAnsi="Verdana"/>
          <w:sz w:val="16"/>
          <w:lang w:val="pt-BR"/>
        </w:rPr>
        <w:t xml:space="preserve"> </w:t>
      </w:r>
      <w:r w:rsidR="00F55DCA" w:rsidRPr="002F50BD">
        <w:rPr>
          <w:rFonts w:ascii="Verdana" w:hAnsi="Verdana"/>
          <w:sz w:val="16"/>
          <w:lang w:val="pt-BR"/>
        </w:rPr>
        <w:t xml:space="preserve">primeira </w:t>
      </w:r>
      <w:r w:rsidR="0089298C" w:rsidRPr="002F50BD">
        <w:rPr>
          <w:rFonts w:ascii="Verdana" w:hAnsi="Verdana"/>
          <w:sz w:val="16"/>
          <w:lang w:val="pt-BR"/>
        </w:rPr>
        <w:t>infância</w:t>
      </w:r>
      <w:r w:rsidRPr="002F50BD">
        <w:rPr>
          <w:rFonts w:ascii="Verdana" w:hAnsi="Verdana"/>
          <w:sz w:val="16"/>
          <w:lang w:val="pt-BR"/>
        </w:rPr>
        <w:t>.</w:t>
      </w:r>
    </w:p>
    <w:p w:rsidR="004756C1" w:rsidRPr="002F50BD" w:rsidRDefault="004756C1">
      <w:pPr>
        <w:widowControl w:val="0"/>
        <w:jc w:val="both"/>
        <w:rPr>
          <w:rFonts w:ascii="Verdana" w:hAnsi="Verdana"/>
          <w:sz w:val="20"/>
          <w:szCs w:val="32"/>
          <w:lang w:val="pt-BR"/>
        </w:rPr>
      </w:pPr>
    </w:p>
    <w:p w:rsidR="004756C1" w:rsidRPr="002F50BD" w:rsidRDefault="00F55DCA">
      <w:pPr>
        <w:widowControl w:val="0"/>
        <w:numPr>
          <w:ilvl w:val="0"/>
          <w:numId w:val="28"/>
        </w:numPr>
        <w:jc w:val="both"/>
        <w:rPr>
          <w:rFonts w:ascii="Verdana" w:hAnsi="Verdana"/>
          <w:sz w:val="20"/>
          <w:szCs w:val="32"/>
          <w:lang w:val="pt-BR"/>
        </w:rPr>
      </w:pPr>
      <w:r w:rsidRPr="002F50BD">
        <w:rPr>
          <w:rFonts w:ascii="Verdana" w:hAnsi="Verdana"/>
          <w:sz w:val="20"/>
          <w:szCs w:val="32"/>
          <w:lang w:val="pt-BR"/>
        </w:rPr>
        <w:t xml:space="preserve">No </w:t>
      </w:r>
      <w:r w:rsidR="0089298C" w:rsidRPr="002F50BD">
        <w:rPr>
          <w:rFonts w:ascii="Verdana" w:hAnsi="Verdana"/>
          <w:sz w:val="20"/>
          <w:szCs w:val="32"/>
          <w:lang w:val="pt-BR"/>
        </w:rPr>
        <w:t xml:space="preserve">que </w:t>
      </w:r>
      <w:r w:rsidR="004756C1" w:rsidRPr="002F50BD">
        <w:rPr>
          <w:rFonts w:ascii="Verdana" w:hAnsi="Verdana"/>
          <w:sz w:val="20"/>
          <w:szCs w:val="32"/>
          <w:lang w:val="pt-BR"/>
        </w:rPr>
        <w:t xml:space="preserve">se </w:t>
      </w:r>
      <w:r w:rsidR="0089298C" w:rsidRPr="002F50BD">
        <w:rPr>
          <w:rFonts w:ascii="Verdana" w:hAnsi="Verdana"/>
          <w:sz w:val="20"/>
          <w:szCs w:val="32"/>
          <w:lang w:val="pt-BR"/>
        </w:rPr>
        <w:t xml:space="preserve">refere à </w:t>
      </w:r>
      <w:r w:rsidR="004756C1" w:rsidRPr="002F50BD">
        <w:rPr>
          <w:rFonts w:ascii="Verdana" w:hAnsi="Verdana"/>
          <w:sz w:val="20"/>
          <w:szCs w:val="32"/>
          <w:lang w:val="pt-BR"/>
        </w:rPr>
        <w:t>especial considera</w:t>
      </w:r>
      <w:r w:rsidR="0089298C" w:rsidRPr="002F50BD">
        <w:rPr>
          <w:rFonts w:ascii="Verdana" w:hAnsi="Verdana"/>
          <w:sz w:val="20"/>
          <w:szCs w:val="32"/>
          <w:lang w:val="pt-BR"/>
        </w:rPr>
        <w:t>ção</w:t>
      </w:r>
      <w:r w:rsidRPr="002F50BD">
        <w:rPr>
          <w:rFonts w:ascii="Verdana" w:hAnsi="Verdana"/>
          <w:sz w:val="20"/>
          <w:szCs w:val="32"/>
          <w:lang w:val="pt-BR"/>
        </w:rPr>
        <w:t xml:space="preserve"> que merecem</w:t>
      </w:r>
      <w:r w:rsidR="0089298C" w:rsidRPr="002F50BD">
        <w:rPr>
          <w:rFonts w:ascii="Verdana" w:hAnsi="Verdana"/>
          <w:sz w:val="20"/>
          <w:szCs w:val="32"/>
          <w:lang w:val="pt-BR"/>
        </w:rPr>
        <w:t xml:space="preserve"> as pessoa</w:t>
      </w:r>
      <w:r w:rsidR="004756C1" w:rsidRPr="002F50BD">
        <w:rPr>
          <w:rFonts w:ascii="Verdana" w:hAnsi="Verdana"/>
          <w:sz w:val="20"/>
          <w:szCs w:val="32"/>
          <w:lang w:val="pt-BR"/>
        </w:rPr>
        <w:t>s de</w:t>
      </w:r>
      <w:r w:rsidR="0089298C" w:rsidRPr="002F50BD">
        <w:rPr>
          <w:rFonts w:ascii="Verdana" w:hAnsi="Verdana"/>
          <w:sz w:val="20"/>
          <w:szCs w:val="32"/>
          <w:lang w:val="pt-BR"/>
        </w:rPr>
        <w:t xml:space="preserve"> idade</w:t>
      </w:r>
      <w:r w:rsidR="004756C1" w:rsidRPr="002F50BD">
        <w:rPr>
          <w:rFonts w:ascii="Verdana" w:hAnsi="Verdana"/>
          <w:sz w:val="20"/>
          <w:szCs w:val="32"/>
          <w:lang w:val="pt-BR"/>
        </w:rPr>
        <w:t xml:space="preserve"> </w:t>
      </w:r>
      <w:r w:rsidR="0089298C" w:rsidRPr="002F50BD">
        <w:rPr>
          <w:rFonts w:ascii="Verdana" w:hAnsi="Verdana"/>
          <w:sz w:val="20"/>
          <w:szCs w:val="32"/>
          <w:lang w:val="pt-BR"/>
        </w:rPr>
        <w:t>avançad</w:t>
      </w:r>
      <w:r w:rsidR="004756C1" w:rsidRPr="002F50BD">
        <w:rPr>
          <w:rFonts w:ascii="Verdana" w:hAnsi="Verdana"/>
          <w:sz w:val="20"/>
          <w:szCs w:val="32"/>
          <w:lang w:val="pt-BR"/>
        </w:rPr>
        <w:t>a,</w:t>
      </w:r>
      <w:r w:rsidR="0089298C" w:rsidRPr="002F50BD">
        <w:rPr>
          <w:rFonts w:ascii="Verdana" w:hAnsi="Verdana"/>
          <w:sz w:val="20"/>
          <w:szCs w:val="32"/>
          <w:lang w:val="pt-BR"/>
        </w:rPr>
        <w:t xml:space="preserve"> é </w:t>
      </w:r>
      <w:r w:rsidR="004756C1" w:rsidRPr="002F50BD">
        <w:rPr>
          <w:rFonts w:ascii="Verdana" w:hAnsi="Verdana"/>
          <w:sz w:val="20"/>
          <w:szCs w:val="32"/>
          <w:lang w:val="pt-BR"/>
        </w:rPr>
        <w:t>importante que</w:t>
      </w:r>
      <w:r w:rsidR="0089298C" w:rsidRPr="002F50BD">
        <w:rPr>
          <w:rFonts w:ascii="Verdana" w:hAnsi="Verdana"/>
          <w:sz w:val="20"/>
          <w:szCs w:val="32"/>
          <w:lang w:val="pt-BR"/>
        </w:rPr>
        <w:t xml:space="preserve"> o </w:t>
      </w:r>
      <w:r w:rsidR="004756C1" w:rsidRPr="002F50BD">
        <w:rPr>
          <w:rFonts w:ascii="Verdana" w:hAnsi="Verdana"/>
          <w:sz w:val="20"/>
          <w:szCs w:val="32"/>
          <w:lang w:val="pt-BR"/>
        </w:rPr>
        <w:t xml:space="preserve">Estado </w:t>
      </w:r>
      <w:r w:rsidR="0089298C" w:rsidRPr="002F50BD">
        <w:rPr>
          <w:rFonts w:ascii="Verdana" w:hAnsi="Verdana"/>
          <w:sz w:val="20"/>
          <w:szCs w:val="32"/>
          <w:lang w:val="pt-BR"/>
        </w:rPr>
        <w:t>adot</w:t>
      </w:r>
      <w:r w:rsidR="004756C1" w:rsidRPr="002F50BD">
        <w:rPr>
          <w:rFonts w:ascii="Verdana" w:hAnsi="Verdana"/>
          <w:sz w:val="20"/>
          <w:szCs w:val="32"/>
          <w:lang w:val="pt-BR"/>
        </w:rPr>
        <w:t xml:space="preserve">e medidas destinadas a </w:t>
      </w:r>
      <w:r w:rsidR="0089298C" w:rsidRPr="002F50BD">
        <w:rPr>
          <w:rFonts w:ascii="Verdana" w:hAnsi="Verdana"/>
          <w:sz w:val="20"/>
          <w:szCs w:val="32"/>
          <w:lang w:val="pt-BR"/>
        </w:rPr>
        <w:t xml:space="preserve">manter </w:t>
      </w:r>
      <w:r w:rsidR="004756C1" w:rsidRPr="002F50BD">
        <w:rPr>
          <w:rFonts w:ascii="Verdana" w:hAnsi="Verdana"/>
          <w:sz w:val="20"/>
          <w:szCs w:val="32"/>
          <w:lang w:val="pt-BR"/>
        </w:rPr>
        <w:t>su</w:t>
      </w:r>
      <w:r w:rsidRPr="002F50BD">
        <w:rPr>
          <w:rFonts w:ascii="Verdana" w:hAnsi="Verdana"/>
          <w:sz w:val="20"/>
          <w:szCs w:val="32"/>
          <w:lang w:val="pt-BR"/>
        </w:rPr>
        <w:t>a</w:t>
      </w:r>
      <w:r w:rsidR="004756C1" w:rsidRPr="002F50BD">
        <w:rPr>
          <w:rFonts w:ascii="Verdana" w:hAnsi="Verdana"/>
          <w:sz w:val="20"/>
          <w:szCs w:val="32"/>
          <w:lang w:val="pt-BR"/>
        </w:rPr>
        <w:t xml:space="preserve"> funcionalidad</w:t>
      </w:r>
      <w:r w:rsidRPr="002F50BD">
        <w:rPr>
          <w:rFonts w:ascii="Verdana" w:hAnsi="Verdana"/>
          <w:sz w:val="20"/>
          <w:szCs w:val="32"/>
          <w:lang w:val="pt-BR"/>
        </w:rPr>
        <w:t>e</w:t>
      </w:r>
      <w:r w:rsidR="0089298C" w:rsidRPr="002F50BD">
        <w:rPr>
          <w:rFonts w:ascii="Verdana" w:hAnsi="Verdana"/>
          <w:sz w:val="20"/>
          <w:szCs w:val="32"/>
          <w:lang w:val="pt-BR"/>
        </w:rPr>
        <w:t xml:space="preserve"> e autonomia</w:t>
      </w:r>
      <w:r w:rsidR="004756C1" w:rsidRPr="002F50BD">
        <w:rPr>
          <w:rFonts w:ascii="Verdana" w:hAnsi="Verdana"/>
          <w:sz w:val="20"/>
          <w:szCs w:val="32"/>
          <w:lang w:val="pt-BR"/>
        </w:rPr>
        <w:t xml:space="preserve">, </w:t>
      </w:r>
      <w:r w:rsidR="00AB454A" w:rsidRPr="002F50BD">
        <w:rPr>
          <w:rFonts w:ascii="Verdana" w:hAnsi="Verdana"/>
          <w:sz w:val="20"/>
          <w:szCs w:val="32"/>
          <w:lang w:val="pt-BR"/>
        </w:rPr>
        <w:t>garant</w:t>
      </w:r>
      <w:r w:rsidRPr="002F50BD">
        <w:rPr>
          <w:rFonts w:ascii="Verdana" w:hAnsi="Verdana"/>
          <w:sz w:val="20"/>
          <w:szCs w:val="32"/>
          <w:lang w:val="pt-BR"/>
        </w:rPr>
        <w:t>i</w:t>
      </w:r>
      <w:r w:rsidR="004756C1" w:rsidRPr="002F50BD">
        <w:rPr>
          <w:rFonts w:ascii="Verdana" w:hAnsi="Verdana"/>
          <w:sz w:val="20"/>
          <w:szCs w:val="32"/>
          <w:lang w:val="pt-BR"/>
        </w:rPr>
        <w:t>ndo</w:t>
      </w:r>
      <w:r w:rsidR="0089298C" w:rsidRPr="002F50BD">
        <w:rPr>
          <w:rFonts w:ascii="Verdana" w:hAnsi="Verdana"/>
          <w:sz w:val="20"/>
          <w:szCs w:val="32"/>
          <w:lang w:val="pt-BR"/>
        </w:rPr>
        <w:t xml:space="preserve"> o direito</w:t>
      </w:r>
      <w:r w:rsidR="004756C1" w:rsidRPr="002F50BD">
        <w:rPr>
          <w:rFonts w:ascii="Verdana" w:hAnsi="Verdana"/>
          <w:sz w:val="20"/>
          <w:szCs w:val="32"/>
          <w:lang w:val="pt-BR"/>
        </w:rPr>
        <w:t xml:space="preserve"> a</w:t>
      </w:r>
      <w:r w:rsidR="0089298C" w:rsidRPr="002F50BD">
        <w:rPr>
          <w:rFonts w:ascii="Verdana" w:hAnsi="Verdana"/>
          <w:sz w:val="20"/>
          <w:szCs w:val="32"/>
          <w:lang w:val="pt-BR"/>
        </w:rPr>
        <w:t xml:space="preserve"> uma </w:t>
      </w:r>
      <w:r w:rsidR="004756C1" w:rsidRPr="002F50BD">
        <w:rPr>
          <w:rFonts w:ascii="Verdana" w:hAnsi="Verdana"/>
          <w:sz w:val="20"/>
          <w:szCs w:val="32"/>
          <w:lang w:val="pt-BR"/>
        </w:rPr>
        <w:t>alimenta</w:t>
      </w:r>
      <w:r w:rsidR="0089298C" w:rsidRPr="002F50BD">
        <w:rPr>
          <w:rFonts w:ascii="Verdana" w:hAnsi="Verdana"/>
          <w:sz w:val="20"/>
          <w:szCs w:val="32"/>
          <w:lang w:val="pt-BR"/>
        </w:rPr>
        <w:t>ção</w:t>
      </w:r>
      <w:r w:rsidR="004756C1" w:rsidRPr="002F50BD">
        <w:rPr>
          <w:rFonts w:ascii="Verdana" w:hAnsi="Verdana"/>
          <w:sz w:val="20"/>
          <w:szCs w:val="32"/>
          <w:lang w:val="pt-BR"/>
        </w:rPr>
        <w:t xml:space="preserve"> </w:t>
      </w:r>
      <w:r w:rsidR="0089298C" w:rsidRPr="002F50BD">
        <w:rPr>
          <w:rFonts w:ascii="Verdana" w:hAnsi="Verdana"/>
          <w:sz w:val="20"/>
          <w:szCs w:val="32"/>
          <w:lang w:val="pt-BR"/>
        </w:rPr>
        <w:t>adequad</w:t>
      </w:r>
      <w:r w:rsidR="004756C1" w:rsidRPr="002F50BD">
        <w:rPr>
          <w:rFonts w:ascii="Verdana" w:hAnsi="Verdana"/>
          <w:sz w:val="20"/>
          <w:szCs w:val="32"/>
          <w:lang w:val="pt-BR"/>
        </w:rPr>
        <w:t>a</w:t>
      </w:r>
      <w:r w:rsidRPr="002F50BD">
        <w:rPr>
          <w:rFonts w:ascii="Verdana" w:hAnsi="Verdana"/>
          <w:sz w:val="20"/>
          <w:szCs w:val="32"/>
          <w:lang w:val="pt-BR"/>
        </w:rPr>
        <w:t>,</w:t>
      </w:r>
      <w:r w:rsidR="004756C1" w:rsidRPr="002F50BD">
        <w:rPr>
          <w:rFonts w:ascii="Verdana" w:hAnsi="Verdana"/>
          <w:sz w:val="20"/>
          <w:szCs w:val="32"/>
          <w:lang w:val="pt-BR"/>
        </w:rPr>
        <w:t xml:space="preserve"> </w:t>
      </w:r>
      <w:r w:rsidR="0089298C" w:rsidRPr="002F50BD">
        <w:rPr>
          <w:rFonts w:ascii="Verdana" w:hAnsi="Verdana"/>
          <w:sz w:val="20"/>
          <w:szCs w:val="32"/>
          <w:lang w:val="pt-BR"/>
        </w:rPr>
        <w:t>acesso</w:t>
      </w:r>
      <w:r w:rsidR="004756C1" w:rsidRPr="002F50BD">
        <w:rPr>
          <w:rFonts w:ascii="Verdana" w:hAnsi="Verdana"/>
          <w:sz w:val="20"/>
          <w:szCs w:val="32"/>
          <w:lang w:val="pt-BR"/>
        </w:rPr>
        <w:t xml:space="preserve"> </w:t>
      </w:r>
      <w:r w:rsidRPr="002F50BD">
        <w:rPr>
          <w:rFonts w:ascii="Verdana" w:hAnsi="Verdana"/>
          <w:sz w:val="20"/>
          <w:szCs w:val="32"/>
          <w:lang w:val="pt-BR"/>
        </w:rPr>
        <w:t>à</w:t>
      </w:r>
      <w:r w:rsidR="00AB454A" w:rsidRPr="002F50BD">
        <w:rPr>
          <w:rFonts w:ascii="Verdana" w:hAnsi="Verdana"/>
          <w:sz w:val="20"/>
          <w:szCs w:val="32"/>
          <w:lang w:val="pt-BR"/>
        </w:rPr>
        <w:t xml:space="preserve"> água </w:t>
      </w:r>
      <w:r w:rsidR="00E72F67" w:rsidRPr="002F50BD">
        <w:rPr>
          <w:rFonts w:ascii="Verdana" w:hAnsi="Verdana"/>
          <w:sz w:val="20"/>
          <w:szCs w:val="32"/>
          <w:lang w:val="pt-BR"/>
        </w:rPr>
        <w:t>limpa</w:t>
      </w:r>
      <w:r w:rsidR="0089298C" w:rsidRPr="002F50BD">
        <w:rPr>
          <w:rFonts w:ascii="Verdana" w:hAnsi="Verdana"/>
          <w:sz w:val="20"/>
          <w:szCs w:val="32"/>
          <w:lang w:val="pt-BR"/>
        </w:rPr>
        <w:t xml:space="preserve"> e </w:t>
      </w:r>
      <w:r w:rsidRPr="002F50BD">
        <w:rPr>
          <w:rFonts w:ascii="Verdana" w:hAnsi="Verdana"/>
          <w:sz w:val="20"/>
          <w:szCs w:val="32"/>
          <w:lang w:val="pt-BR"/>
        </w:rPr>
        <w:t>à</w:t>
      </w:r>
      <w:r w:rsidR="004756C1" w:rsidRPr="002F50BD">
        <w:rPr>
          <w:rFonts w:ascii="Verdana" w:hAnsi="Verdana"/>
          <w:sz w:val="20"/>
          <w:szCs w:val="32"/>
          <w:lang w:val="pt-BR"/>
        </w:rPr>
        <w:t xml:space="preserve"> </w:t>
      </w:r>
      <w:r w:rsidR="0089298C" w:rsidRPr="002F50BD">
        <w:rPr>
          <w:rFonts w:ascii="Verdana" w:hAnsi="Verdana"/>
          <w:sz w:val="20"/>
          <w:szCs w:val="32"/>
          <w:lang w:val="pt-BR"/>
        </w:rPr>
        <w:t>atenção</w:t>
      </w:r>
      <w:r w:rsidR="004756C1" w:rsidRPr="002F50BD">
        <w:rPr>
          <w:rFonts w:ascii="Verdana" w:hAnsi="Verdana"/>
          <w:sz w:val="20"/>
          <w:szCs w:val="32"/>
          <w:lang w:val="pt-BR"/>
        </w:rPr>
        <w:t xml:space="preserve"> de </w:t>
      </w:r>
      <w:r w:rsidR="0089298C" w:rsidRPr="002F50BD">
        <w:rPr>
          <w:rFonts w:ascii="Verdana" w:hAnsi="Verdana"/>
          <w:sz w:val="20"/>
          <w:szCs w:val="32"/>
          <w:lang w:val="pt-BR"/>
        </w:rPr>
        <w:t>saúde</w:t>
      </w:r>
      <w:r w:rsidR="004756C1" w:rsidRPr="002F50BD">
        <w:rPr>
          <w:rFonts w:ascii="Verdana" w:hAnsi="Verdana"/>
          <w:sz w:val="20"/>
          <w:szCs w:val="32"/>
          <w:lang w:val="pt-BR"/>
        </w:rPr>
        <w:t>.</w:t>
      </w:r>
      <w:r w:rsidR="0089298C" w:rsidRPr="002F50BD">
        <w:rPr>
          <w:rFonts w:ascii="Verdana" w:hAnsi="Verdana"/>
          <w:sz w:val="20"/>
          <w:szCs w:val="32"/>
          <w:lang w:val="pt-BR"/>
        </w:rPr>
        <w:t xml:space="preserve"> </w:t>
      </w:r>
      <w:r w:rsidRPr="002F50BD">
        <w:rPr>
          <w:rFonts w:ascii="Verdana" w:hAnsi="Verdana"/>
          <w:sz w:val="20"/>
          <w:szCs w:val="32"/>
          <w:lang w:val="pt-BR"/>
        </w:rPr>
        <w:t>E</w:t>
      </w:r>
      <w:r w:rsidR="0089298C" w:rsidRPr="002F50BD">
        <w:rPr>
          <w:rFonts w:ascii="Verdana" w:hAnsi="Verdana"/>
          <w:sz w:val="20"/>
          <w:szCs w:val="32"/>
          <w:lang w:val="pt-BR"/>
        </w:rPr>
        <w:t xml:space="preserve">m </w:t>
      </w:r>
      <w:r w:rsidR="004756C1" w:rsidRPr="002F50BD">
        <w:rPr>
          <w:rFonts w:ascii="Verdana" w:hAnsi="Verdana"/>
          <w:sz w:val="20"/>
          <w:szCs w:val="32"/>
          <w:lang w:val="pt-BR"/>
        </w:rPr>
        <w:t>particular,</w:t>
      </w:r>
      <w:r w:rsidR="0089298C" w:rsidRPr="002F50BD">
        <w:rPr>
          <w:rFonts w:ascii="Verdana" w:hAnsi="Verdana"/>
          <w:sz w:val="20"/>
          <w:szCs w:val="32"/>
          <w:lang w:val="pt-BR"/>
        </w:rPr>
        <w:t xml:space="preserve"> o </w:t>
      </w:r>
      <w:r w:rsidR="004756C1" w:rsidRPr="002F50BD">
        <w:rPr>
          <w:rFonts w:ascii="Verdana" w:hAnsi="Verdana"/>
          <w:sz w:val="20"/>
          <w:szCs w:val="32"/>
          <w:lang w:val="pt-BR"/>
        </w:rPr>
        <w:t>Estado</w:t>
      </w:r>
      <w:r w:rsidR="0089298C" w:rsidRPr="002F50BD">
        <w:rPr>
          <w:rFonts w:ascii="Verdana" w:hAnsi="Verdana"/>
          <w:sz w:val="20"/>
          <w:szCs w:val="32"/>
          <w:lang w:val="pt-BR"/>
        </w:rPr>
        <w:t xml:space="preserve"> deve </w:t>
      </w:r>
      <w:r w:rsidR="004756C1" w:rsidRPr="002F50BD">
        <w:rPr>
          <w:rFonts w:ascii="Verdana" w:hAnsi="Verdana"/>
          <w:sz w:val="20"/>
          <w:szCs w:val="32"/>
          <w:lang w:val="pt-BR"/>
        </w:rPr>
        <w:t>atender</w:t>
      </w:r>
      <w:r w:rsidR="0089298C" w:rsidRPr="002F50BD">
        <w:rPr>
          <w:rFonts w:ascii="Verdana" w:hAnsi="Verdana"/>
          <w:sz w:val="20"/>
          <w:szCs w:val="32"/>
          <w:lang w:val="pt-BR"/>
        </w:rPr>
        <w:t xml:space="preserve"> os </w:t>
      </w:r>
      <w:r w:rsidRPr="002F50BD">
        <w:rPr>
          <w:rFonts w:ascii="Verdana" w:hAnsi="Verdana"/>
          <w:sz w:val="20"/>
          <w:szCs w:val="32"/>
          <w:lang w:val="pt-BR"/>
        </w:rPr>
        <w:t xml:space="preserve">idosos </w:t>
      </w:r>
      <w:r w:rsidR="0089298C" w:rsidRPr="002F50BD">
        <w:rPr>
          <w:rFonts w:ascii="Verdana" w:hAnsi="Verdana"/>
          <w:sz w:val="20"/>
          <w:szCs w:val="32"/>
          <w:lang w:val="pt-BR"/>
        </w:rPr>
        <w:t xml:space="preserve">com </w:t>
      </w:r>
      <w:r w:rsidR="00367FD1" w:rsidRPr="002F50BD">
        <w:rPr>
          <w:rFonts w:ascii="Verdana" w:hAnsi="Verdana"/>
          <w:sz w:val="20"/>
          <w:szCs w:val="32"/>
          <w:lang w:val="pt-BR"/>
        </w:rPr>
        <w:t>doenças</w:t>
      </w:r>
      <w:r w:rsidR="004756C1" w:rsidRPr="002F50BD">
        <w:rPr>
          <w:rFonts w:ascii="Verdana" w:hAnsi="Verdana"/>
          <w:sz w:val="20"/>
          <w:szCs w:val="32"/>
          <w:lang w:val="pt-BR"/>
        </w:rPr>
        <w:t xml:space="preserve"> </w:t>
      </w:r>
      <w:r w:rsidRPr="002F50BD">
        <w:rPr>
          <w:rFonts w:ascii="Verdana" w:hAnsi="Verdana"/>
          <w:sz w:val="20"/>
          <w:szCs w:val="32"/>
          <w:lang w:val="pt-BR"/>
        </w:rPr>
        <w:t>crô</w:t>
      </w:r>
      <w:r w:rsidR="004756C1" w:rsidRPr="002F50BD">
        <w:rPr>
          <w:rFonts w:ascii="Verdana" w:hAnsi="Verdana"/>
          <w:sz w:val="20"/>
          <w:szCs w:val="32"/>
          <w:lang w:val="pt-BR"/>
        </w:rPr>
        <w:t>nicas</w:t>
      </w:r>
      <w:r w:rsidR="0089298C" w:rsidRPr="002F50BD">
        <w:rPr>
          <w:rFonts w:ascii="Verdana" w:hAnsi="Verdana"/>
          <w:sz w:val="20"/>
          <w:szCs w:val="32"/>
          <w:lang w:val="pt-BR"/>
        </w:rPr>
        <w:t xml:space="preserve"> e em </w:t>
      </w:r>
      <w:r w:rsidR="004756C1" w:rsidRPr="002F50BD">
        <w:rPr>
          <w:rFonts w:ascii="Verdana" w:hAnsi="Verdana"/>
          <w:sz w:val="20"/>
          <w:szCs w:val="32"/>
          <w:lang w:val="pt-BR"/>
        </w:rPr>
        <w:t xml:space="preserve">fase terminal, </w:t>
      </w:r>
      <w:r w:rsidR="0024245D" w:rsidRPr="002F50BD">
        <w:rPr>
          <w:rFonts w:ascii="Verdana" w:hAnsi="Verdana"/>
          <w:sz w:val="20"/>
          <w:szCs w:val="32"/>
          <w:lang w:val="pt-BR"/>
        </w:rPr>
        <w:t>po</w:t>
      </w:r>
      <w:r w:rsidRPr="002F50BD">
        <w:rPr>
          <w:rFonts w:ascii="Verdana" w:hAnsi="Verdana"/>
          <w:sz w:val="20"/>
          <w:szCs w:val="32"/>
          <w:lang w:val="pt-BR"/>
        </w:rPr>
        <w:t xml:space="preserve">upando-lhes </w:t>
      </w:r>
      <w:r w:rsidR="0089298C" w:rsidRPr="002F50BD">
        <w:rPr>
          <w:rFonts w:ascii="Verdana" w:hAnsi="Verdana"/>
          <w:sz w:val="20"/>
          <w:szCs w:val="32"/>
          <w:lang w:val="pt-BR"/>
        </w:rPr>
        <w:t>sofrimento</w:t>
      </w:r>
      <w:r w:rsidR="004756C1" w:rsidRPr="002F50BD">
        <w:rPr>
          <w:rFonts w:ascii="Verdana" w:hAnsi="Verdana"/>
          <w:sz w:val="20"/>
          <w:szCs w:val="32"/>
          <w:lang w:val="pt-BR"/>
        </w:rPr>
        <w:t>s evit</w:t>
      </w:r>
      <w:r w:rsidR="00B0045F" w:rsidRPr="002F50BD">
        <w:rPr>
          <w:rFonts w:ascii="Verdana" w:hAnsi="Verdana"/>
          <w:sz w:val="20"/>
          <w:szCs w:val="32"/>
          <w:lang w:val="pt-BR"/>
        </w:rPr>
        <w:t>áveis</w:t>
      </w:r>
      <w:r w:rsidR="001A0CDE" w:rsidRPr="002F50BD">
        <w:rPr>
          <w:rFonts w:ascii="Verdana" w:hAnsi="Verdana"/>
          <w:sz w:val="20"/>
          <w:szCs w:val="32"/>
          <w:lang w:val="pt-BR"/>
        </w:rPr>
        <w:t>. Neste</w:t>
      </w:r>
      <w:r w:rsidR="0089298C" w:rsidRPr="002F50BD">
        <w:rPr>
          <w:rFonts w:ascii="Verdana" w:hAnsi="Verdana"/>
          <w:szCs w:val="32"/>
          <w:lang w:val="pt-BR"/>
        </w:rPr>
        <w:t xml:space="preserve"> </w:t>
      </w:r>
      <w:r w:rsidR="004756C1" w:rsidRPr="002F50BD">
        <w:rPr>
          <w:rFonts w:ascii="Verdana" w:hAnsi="Verdana"/>
          <w:sz w:val="20"/>
          <w:szCs w:val="32"/>
          <w:lang w:val="pt-BR"/>
        </w:rPr>
        <w:t xml:space="preserve">caso, </w:t>
      </w:r>
      <w:r w:rsidR="0089298C" w:rsidRPr="002F50BD">
        <w:rPr>
          <w:rFonts w:ascii="Verdana" w:hAnsi="Verdana"/>
          <w:sz w:val="20"/>
          <w:szCs w:val="32"/>
          <w:lang w:val="pt-BR"/>
        </w:rPr>
        <w:t>deve</w:t>
      </w:r>
      <w:r w:rsidRPr="002F50BD">
        <w:rPr>
          <w:rFonts w:ascii="Verdana" w:hAnsi="Verdana"/>
          <w:sz w:val="20"/>
          <w:szCs w:val="32"/>
          <w:lang w:val="pt-BR"/>
        </w:rPr>
        <w:t>-se</w:t>
      </w:r>
      <w:r w:rsidR="0089298C" w:rsidRPr="002F50BD">
        <w:rPr>
          <w:rFonts w:ascii="Verdana" w:hAnsi="Verdana"/>
          <w:sz w:val="20"/>
          <w:szCs w:val="32"/>
          <w:lang w:val="pt-BR"/>
        </w:rPr>
        <w:t xml:space="preserve"> </w:t>
      </w:r>
      <w:r w:rsidR="00480B4C" w:rsidRPr="002F50BD">
        <w:rPr>
          <w:rFonts w:ascii="Verdana" w:hAnsi="Verdana"/>
          <w:sz w:val="20"/>
          <w:szCs w:val="32"/>
          <w:lang w:val="pt-BR"/>
        </w:rPr>
        <w:t xml:space="preserve">levar </w:t>
      </w:r>
      <w:r w:rsidR="0089298C" w:rsidRPr="002F50BD">
        <w:rPr>
          <w:rFonts w:ascii="Verdana" w:hAnsi="Verdana"/>
          <w:sz w:val="20"/>
          <w:szCs w:val="32"/>
          <w:lang w:val="pt-BR"/>
        </w:rPr>
        <w:t xml:space="preserve">em </w:t>
      </w:r>
      <w:r w:rsidR="004756C1" w:rsidRPr="002F50BD">
        <w:rPr>
          <w:rFonts w:ascii="Verdana" w:hAnsi="Verdana"/>
          <w:sz w:val="20"/>
          <w:szCs w:val="32"/>
          <w:lang w:val="pt-BR"/>
        </w:rPr>
        <w:t>considera</w:t>
      </w:r>
      <w:r w:rsidR="0089298C" w:rsidRPr="002F50BD">
        <w:rPr>
          <w:rFonts w:ascii="Verdana" w:hAnsi="Verdana"/>
          <w:sz w:val="20"/>
          <w:szCs w:val="32"/>
          <w:lang w:val="pt-BR"/>
        </w:rPr>
        <w:t>ção</w:t>
      </w:r>
      <w:r w:rsidR="004756C1" w:rsidRPr="002F50BD">
        <w:rPr>
          <w:rFonts w:ascii="Verdana" w:hAnsi="Verdana"/>
          <w:sz w:val="20"/>
          <w:szCs w:val="32"/>
          <w:lang w:val="pt-BR"/>
        </w:rPr>
        <w:t xml:space="preserve"> que</w:t>
      </w:r>
      <w:r w:rsidRPr="002F50BD">
        <w:rPr>
          <w:rFonts w:ascii="Verdana" w:hAnsi="Verdana"/>
          <w:sz w:val="20"/>
          <w:szCs w:val="32"/>
          <w:lang w:val="pt-BR"/>
        </w:rPr>
        <w:t xml:space="preserve"> na </w:t>
      </w:r>
      <w:r w:rsidR="0089298C" w:rsidRPr="002F50BD">
        <w:rPr>
          <w:rFonts w:ascii="Verdana" w:hAnsi="Verdana"/>
          <w:sz w:val="20"/>
          <w:szCs w:val="32"/>
          <w:lang w:val="pt-BR"/>
        </w:rPr>
        <w:t xml:space="preserve">Comunidade </w:t>
      </w:r>
      <w:r w:rsidR="004756C1" w:rsidRPr="002F50BD">
        <w:rPr>
          <w:rFonts w:ascii="Verdana" w:hAnsi="Verdana"/>
          <w:sz w:val="20"/>
          <w:szCs w:val="32"/>
          <w:lang w:val="pt-BR"/>
        </w:rPr>
        <w:t>indígena Yakye Axa</w:t>
      </w:r>
      <w:r w:rsidR="0089298C" w:rsidRPr="002F50BD">
        <w:rPr>
          <w:rFonts w:ascii="Verdana" w:hAnsi="Verdana"/>
          <w:sz w:val="20"/>
          <w:szCs w:val="32"/>
          <w:lang w:val="pt-BR"/>
        </w:rPr>
        <w:t xml:space="preserve"> a </w:t>
      </w:r>
      <w:r w:rsidR="004756C1" w:rsidRPr="002F50BD">
        <w:rPr>
          <w:rFonts w:ascii="Verdana" w:hAnsi="Verdana"/>
          <w:sz w:val="20"/>
          <w:szCs w:val="32"/>
          <w:lang w:val="pt-BR"/>
        </w:rPr>
        <w:t>trans</w:t>
      </w:r>
      <w:r w:rsidR="0089298C" w:rsidRPr="002F50BD">
        <w:rPr>
          <w:rFonts w:ascii="Verdana" w:hAnsi="Verdana"/>
          <w:sz w:val="20"/>
          <w:szCs w:val="32"/>
          <w:lang w:val="pt-BR"/>
        </w:rPr>
        <w:t>missão</w:t>
      </w:r>
      <w:r w:rsidR="004756C1" w:rsidRPr="002F50BD">
        <w:rPr>
          <w:rFonts w:ascii="Verdana" w:hAnsi="Verdana"/>
          <w:sz w:val="20"/>
          <w:szCs w:val="32"/>
          <w:lang w:val="pt-BR"/>
        </w:rPr>
        <w:t xml:space="preserve"> oral</w:t>
      </w:r>
      <w:r w:rsidR="0089298C" w:rsidRPr="002F50BD">
        <w:rPr>
          <w:rFonts w:ascii="Verdana" w:hAnsi="Verdana"/>
          <w:sz w:val="20"/>
          <w:szCs w:val="32"/>
          <w:lang w:val="pt-BR"/>
        </w:rPr>
        <w:t xml:space="preserve"> da </w:t>
      </w:r>
      <w:r w:rsidR="004756C1" w:rsidRPr="002F50BD">
        <w:rPr>
          <w:rFonts w:ascii="Verdana" w:hAnsi="Verdana"/>
          <w:sz w:val="20"/>
          <w:szCs w:val="32"/>
          <w:lang w:val="pt-BR"/>
        </w:rPr>
        <w:t>cultura</w:t>
      </w:r>
      <w:r w:rsidR="0089298C" w:rsidRPr="002F50BD">
        <w:rPr>
          <w:rFonts w:ascii="Verdana" w:hAnsi="Verdana"/>
          <w:sz w:val="20"/>
          <w:szCs w:val="32"/>
          <w:lang w:val="pt-BR"/>
        </w:rPr>
        <w:t xml:space="preserve"> às nova</w:t>
      </w:r>
      <w:r w:rsidR="004756C1" w:rsidRPr="002F50BD">
        <w:rPr>
          <w:rFonts w:ascii="Verdana" w:hAnsi="Verdana"/>
          <w:sz w:val="20"/>
          <w:szCs w:val="32"/>
          <w:lang w:val="pt-BR"/>
        </w:rPr>
        <w:t xml:space="preserve">s </w:t>
      </w:r>
      <w:r w:rsidR="0099023E" w:rsidRPr="002F50BD">
        <w:rPr>
          <w:rFonts w:ascii="Verdana" w:hAnsi="Verdana"/>
          <w:sz w:val="20"/>
          <w:szCs w:val="32"/>
          <w:lang w:val="pt-BR"/>
        </w:rPr>
        <w:t>gerações</w:t>
      </w:r>
      <w:r w:rsidR="004756C1" w:rsidRPr="002F50BD">
        <w:rPr>
          <w:rFonts w:ascii="Verdana" w:hAnsi="Verdana"/>
          <w:sz w:val="20"/>
          <w:szCs w:val="32"/>
          <w:lang w:val="pt-BR"/>
        </w:rPr>
        <w:t xml:space="preserve"> está a cargo principalmente</w:t>
      </w:r>
      <w:r w:rsidR="0089298C" w:rsidRPr="002F50BD">
        <w:rPr>
          <w:rFonts w:ascii="Verdana" w:hAnsi="Verdana"/>
          <w:sz w:val="20"/>
          <w:szCs w:val="32"/>
          <w:lang w:val="pt-BR"/>
        </w:rPr>
        <w:t xml:space="preserve"> dos </w:t>
      </w:r>
      <w:r w:rsidRPr="002F50BD">
        <w:rPr>
          <w:rFonts w:ascii="Verdana" w:hAnsi="Verdana"/>
          <w:sz w:val="20"/>
          <w:szCs w:val="32"/>
          <w:lang w:val="pt-BR"/>
        </w:rPr>
        <w:t xml:space="preserve">idosos </w:t>
      </w:r>
      <w:r w:rsidR="00CF451D" w:rsidRPr="00CF451D">
        <w:rPr>
          <w:rFonts w:ascii="Verdana" w:hAnsi="Verdana"/>
          <w:sz w:val="20"/>
          <w:szCs w:val="32"/>
          <w:lang w:val="pt-BR"/>
        </w:rPr>
        <w:t>(</w:t>
      </w:r>
      <w:r w:rsidR="0089298C" w:rsidRPr="002F50BD">
        <w:rPr>
          <w:rFonts w:ascii="Verdana" w:hAnsi="Verdana"/>
          <w:sz w:val="20"/>
          <w:szCs w:val="32"/>
          <w:lang w:val="pt-BR"/>
        </w:rPr>
        <w:t>par.</w:t>
      </w:r>
      <w:r w:rsidR="004756C1" w:rsidRPr="002F50BD">
        <w:rPr>
          <w:rFonts w:ascii="Verdana" w:hAnsi="Verdana"/>
          <w:sz w:val="20"/>
          <w:szCs w:val="32"/>
          <w:lang w:val="pt-BR"/>
        </w:rPr>
        <w:t xml:space="preserve"> </w:t>
      </w:r>
      <w:r w:rsidR="00063B47" w:rsidRPr="002F50BD">
        <w:rPr>
          <w:rFonts w:ascii="Verdana" w:hAnsi="Verdana"/>
          <w:sz w:val="20"/>
          <w:szCs w:val="32"/>
          <w:lang w:val="pt-BR"/>
        </w:rPr>
        <w:t>50</w:t>
      </w:r>
      <w:r w:rsidR="004756C1" w:rsidRPr="002F50BD">
        <w:rPr>
          <w:rFonts w:ascii="Verdana" w:hAnsi="Verdana"/>
          <w:sz w:val="20"/>
          <w:szCs w:val="32"/>
          <w:lang w:val="pt-BR"/>
        </w:rPr>
        <w:t>.</w:t>
      </w:r>
      <w:r w:rsidR="00063B47" w:rsidRPr="002F50BD">
        <w:rPr>
          <w:rFonts w:ascii="Verdana" w:hAnsi="Verdana"/>
          <w:sz w:val="20"/>
          <w:szCs w:val="32"/>
          <w:lang w:val="pt-BR"/>
        </w:rPr>
        <w:t>111</w:t>
      </w:r>
      <w:r w:rsidRPr="002F50BD">
        <w:rPr>
          <w:rFonts w:ascii="Verdana" w:hAnsi="Verdana"/>
          <w:i/>
          <w:sz w:val="20"/>
          <w:szCs w:val="32"/>
          <w:lang w:val="pt-BR"/>
        </w:rPr>
        <w:t xml:space="preserve"> supra</w:t>
      </w:r>
      <w:r w:rsidR="00CF451D" w:rsidRPr="00CF451D">
        <w:rPr>
          <w:rFonts w:ascii="Verdana" w:hAnsi="Verdana"/>
          <w:sz w:val="20"/>
          <w:szCs w:val="32"/>
          <w:lang w:val="pt-BR"/>
        </w:rPr>
        <w:t>)</w:t>
      </w:r>
      <w:r w:rsidR="004756C1" w:rsidRPr="002F50BD">
        <w:rPr>
          <w:rFonts w:ascii="Verdana" w:hAnsi="Verdana"/>
          <w:sz w:val="20"/>
          <w:szCs w:val="32"/>
          <w:lang w:val="pt-BR"/>
        </w:rPr>
        <w:t>.</w:t>
      </w:r>
    </w:p>
    <w:p w:rsidR="004756C1" w:rsidRPr="002F50BD" w:rsidRDefault="004756C1">
      <w:pPr>
        <w:widowControl w:val="0"/>
        <w:jc w:val="both"/>
        <w:rPr>
          <w:rFonts w:ascii="Verdana" w:hAnsi="Verdana"/>
          <w:sz w:val="20"/>
          <w:szCs w:val="32"/>
          <w:lang w:val="pt-BR"/>
        </w:rPr>
      </w:pPr>
    </w:p>
    <w:p w:rsidR="004756C1" w:rsidRPr="002F50BD" w:rsidRDefault="00F55DCA">
      <w:pPr>
        <w:widowControl w:val="0"/>
        <w:numPr>
          <w:ilvl w:val="0"/>
          <w:numId w:val="28"/>
        </w:numPr>
        <w:jc w:val="both"/>
        <w:rPr>
          <w:rFonts w:ascii="Verdana" w:hAnsi="Verdana"/>
          <w:sz w:val="20"/>
          <w:lang w:val="pt-BR"/>
        </w:rPr>
      </w:pPr>
      <w:r w:rsidRPr="002F50BD">
        <w:rPr>
          <w:rFonts w:ascii="Verdana" w:hAnsi="Verdana"/>
          <w:sz w:val="20"/>
          <w:szCs w:val="32"/>
          <w:lang w:val="pt-BR"/>
        </w:rPr>
        <w:t>Em</w:t>
      </w:r>
      <w:r w:rsidR="004756C1" w:rsidRPr="002F50BD">
        <w:rPr>
          <w:rFonts w:ascii="Verdana" w:hAnsi="Verdana"/>
          <w:sz w:val="20"/>
          <w:szCs w:val="32"/>
          <w:lang w:val="pt-BR"/>
        </w:rPr>
        <w:t xml:space="preserve"> </w:t>
      </w:r>
      <w:r w:rsidR="0089298C" w:rsidRPr="002F50BD">
        <w:rPr>
          <w:rFonts w:ascii="Verdana" w:hAnsi="Verdana"/>
          <w:sz w:val="20"/>
          <w:szCs w:val="32"/>
          <w:lang w:val="pt-BR"/>
        </w:rPr>
        <w:t xml:space="preserve">consequência </w:t>
      </w:r>
      <w:r w:rsidR="00FC6B22" w:rsidRPr="002F50BD">
        <w:rPr>
          <w:rFonts w:ascii="Verdana" w:hAnsi="Verdana"/>
          <w:sz w:val="20"/>
          <w:szCs w:val="32"/>
          <w:lang w:val="pt-BR"/>
        </w:rPr>
        <w:t>d</w:t>
      </w:r>
      <w:r w:rsidR="004756C1" w:rsidRPr="002F50BD">
        <w:rPr>
          <w:rFonts w:ascii="Verdana" w:hAnsi="Verdana"/>
          <w:sz w:val="20"/>
          <w:szCs w:val="32"/>
          <w:lang w:val="pt-BR"/>
        </w:rPr>
        <w:t xml:space="preserve">o </w:t>
      </w:r>
      <w:r w:rsidRPr="002F50BD">
        <w:rPr>
          <w:rFonts w:ascii="Verdana" w:hAnsi="Verdana"/>
          <w:sz w:val="20"/>
          <w:szCs w:val="32"/>
          <w:lang w:val="pt-BR"/>
        </w:rPr>
        <w:t xml:space="preserve">afirmado </w:t>
      </w:r>
      <w:r w:rsidR="004756C1" w:rsidRPr="002F50BD">
        <w:rPr>
          <w:rFonts w:ascii="Verdana" w:hAnsi="Verdana"/>
          <w:sz w:val="20"/>
          <w:szCs w:val="32"/>
          <w:lang w:val="pt-BR"/>
        </w:rPr>
        <w:t>anteriormente,</w:t>
      </w:r>
      <w:r w:rsidR="0089298C" w:rsidRPr="002F50BD">
        <w:rPr>
          <w:rFonts w:ascii="Verdana" w:hAnsi="Verdana"/>
          <w:sz w:val="20"/>
          <w:szCs w:val="32"/>
          <w:lang w:val="pt-BR"/>
        </w:rPr>
        <w:t xml:space="preserve"> a </w:t>
      </w:r>
      <w:r w:rsidR="004756C1" w:rsidRPr="002F50BD">
        <w:rPr>
          <w:rFonts w:ascii="Verdana" w:hAnsi="Verdana"/>
          <w:sz w:val="20"/>
          <w:szCs w:val="32"/>
          <w:lang w:val="pt-BR"/>
        </w:rPr>
        <w:t>Corte declara que</w:t>
      </w:r>
      <w:r w:rsidR="0089298C" w:rsidRPr="002F50BD">
        <w:rPr>
          <w:rFonts w:ascii="Verdana" w:hAnsi="Verdana"/>
          <w:sz w:val="20"/>
          <w:szCs w:val="32"/>
          <w:lang w:val="pt-BR"/>
        </w:rPr>
        <w:t xml:space="preserve"> o </w:t>
      </w:r>
      <w:r w:rsidR="004756C1" w:rsidRPr="002F50BD">
        <w:rPr>
          <w:rFonts w:ascii="Verdana" w:hAnsi="Verdana"/>
          <w:sz w:val="20"/>
          <w:szCs w:val="32"/>
          <w:lang w:val="pt-BR"/>
        </w:rPr>
        <w:t xml:space="preserve">Estado </w:t>
      </w:r>
      <w:r w:rsidR="0089298C" w:rsidRPr="002F50BD">
        <w:rPr>
          <w:rFonts w:ascii="Verdana" w:hAnsi="Verdana"/>
          <w:sz w:val="20"/>
          <w:szCs w:val="32"/>
          <w:lang w:val="pt-BR"/>
        </w:rPr>
        <w:t>violou o artigo</w:t>
      </w:r>
      <w:r w:rsidR="004756C1" w:rsidRPr="002F50BD">
        <w:rPr>
          <w:rFonts w:ascii="Verdana" w:hAnsi="Verdana"/>
          <w:sz w:val="20"/>
          <w:szCs w:val="32"/>
          <w:lang w:val="pt-BR"/>
        </w:rPr>
        <w:t xml:space="preserve"> </w:t>
      </w:r>
      <w:r w:rsidR="00063B47" w:rsidRPr="002F50BD">
        <w:rPr>
          <w:rFonts w:ascii="Verdana" w:hAnsi="Verdana"/>
          <w:sz w:val="20"/>
          <w:szCs w:val="32"/>
          <w:lang w:val="pt-BR"/>
        </w:rPr>
        <w:t>4</w:t>
      </w:r>
      <w:r w:rsidR="004756C1" w:rsidRPr="002F50BD">
        <w:rPr>
          <w:rFonts w:ascii="Verdana" w:hAnsi="Verdana"/>
          <w:sz w:val="20"/>
          <w:szCs w:val="32"/>
          <w:lang w:val="pt-BR"/>
        </w:rPr>
        <w:t>.</w:t>
      </w:r>
      <w:r w:rsidR="00063B47" w:rsidRPr="002F50BD">
        <w:rPr>
          <w:rFonts w:ascii="Verdana" w:hAnsi="Verdana"/>
          <w:sz w:val="20"/>
          <w:szCs w:val="32"/>
          <w:lang w:val="pt-BR"/>
        </w:rPr>
        <w:t>1</w:t>
      </w:r>
      <w:r w:rsidR="0089298C" w:rsidRPr="002F50BD">
        <w:rPr>
          <w:rFonts w:ascii="Verdana" w:hAnsi="Verdana"/>
          <w:sz w:val="20"/>
          <w:szCs w:val="32"/>
          <w:lang w:val="pt-BR"/>
        </w:rPr>
        <w:t xml:space="preserve"> da </w:t>
      </w:r>
      <w:r w:rsidR="004756C1" w:rsidRPr="002F50BD">
        <w:rPr>
          <w:rFonts w:ascii="Verdana" w:hAnsi="Verdana"/>
          <w:sz w:val="20"/>
          <w:szCs w:val="32"/>
          <w:lang w:val="pt-BR"/>
        </w:rPr>
        <w:t>Conven</w:t>
      </w:r>
      <w:r w:rsidR="0089298C" w:rsidRPr="002F50BD">
        <w:rPr>
          <w:rFonts w:ascii="Verdana" w:hAnsi="Verdana"/>
          <w:sz w:val="20"/>
          <w:szCs w:val="32"/>
          <w:lang w:val="pt-BR"/>
        </w:rPr>
        <w:t>ção</w:t>
      </w:r>
      <w:r w:rsidR="004756C1" w:rsidRPr="002F50BD">
        <w:rPr>
          <w:rFonts w:ascii="Verdana" w:hAnsi="Verdana"/>
          <w:sz w:val="20"/>
          <w:szCs w:val="32"/>
          <w:lang w:val="pt-BR"/>
        </w:rPr>
        <w:t xml:space="preserve"> Americana,</w:t>
      </w:r>
      <w:r w:rsidR="0089298C" w:rsidRPr="002F50BD">
        <w:rPr>
          <w:rFonts w:ascii="Verdana" w:hAnsi="Verdana"/>
          <w:sz w:val="20"/>
          <w:szCs w:val="32"/>
          <w:lang w:val="pt-BR"/>
        </w:rPr>
        <w:t xml:space="preserve"> </w:t>
      </w:r>
      <w:r w:rsidR="00452B62" w:rsidRPr="002F50BD">
        <w:rPr>
          <w:rFonts w:ascii="Verdana" w:hAnsi="Verdana"/>
          <w:sz w:val="20"/>
          <w:szCs w:val="32"/>
          <w:lang w:val="pt-BR"/>
        </w:rPr>
        <w:t xml:space="preserve">em relação ao artigo </w:t>
      </w:r>
      <w:r w:rsidR="00063B47" w:rsidRPr="002F50BD">
        <w:rPr>
          <w:rFonts w:ascii="Verdana" w:hAnsi="Verdana"/>
          <w:sz w:val="20"/>
          <w:szCs w:val="32"/>
          <w:lang w:val="pt-BR"/>
        </w:rPr>
        <w:t>1</w:t>
      </w:r>
      <w:r w:rsidR="004756C1" w:rsidRPr="002F50BD">
        <w:rPr>
          <w:rFonts w:ascii="Verdana" w:hAnsi="Verdana"/>
          <w:sz w:val="20"/>
          <w:szCs w:val="32"/>
          <w:lang w:val="pt-BR"/>
        </w:rPr>
        <w:t>.</w:t>
      </w:r>
      <w:r w:rsidR="00063B47" w:rsidRPr="002F50BD">
        <w:rPr>
          <w:rFonts w:ascii="Verdana" w:hAnsi="Verdana"/>
          <w:sz w:val="20"/>
          <w:szCs w:val="32"/>
          <w:lang w:val="pt-BR"/>
        </w:rPr>
        <w:t>1</w:t>
      </w:r>
      <w:r w:rsidR="0089298C" w:rsidRPr="002F50BD">
        <w:rPr>
          <w:rFonts w:ascii="Verdana" w:hAnsi="Verdana"/>
          <w:sz w:val="20"/>
          <w:szCs w:val="32"/>
          <w:lang w:val="pt-BR"/>
        </w:rPr>
        <w:t xml:space="preserve"> da mesm</w:t>
      </w:r>
      <w:r w:rsidR="004756C1" w:rsidRPr="002F50BD">
        <w:rPr>
          <w:rFonts w:ascii="Verdana" w:hAnsi="Verdana"/>
          <w:sz w:val="20"/>
          <w:szCs w:val="32"/>
          <w:lang w:val="pt-BR"/>
        </w:rPr>
        <w:t>a,</w:t>
      </w:r>
      <w:r w:rsidR="0089298C" w:rsidRPr="002F50BD">
        <w:rPr>
          <w:rFonts w:ascii="Verdana" w:hAnsi="Verdana"/>
          <w:sz w:val="20"/>
          <w:szCs w:val="32"/>
          <w:lang w:val="pt-BR"/>
        </w:rPr>
        <w:t xml:space="preserve"> em </w:t>
      </w:r>
      <w:r w:rsidRPr="002F50BD">
        <w:rPr>
          <w:rFonts w:ascii="Verdana" w:hAnsi="Verdana"/>
          <w:sz w:val="20"/>
          <w:szCs w:val="32"/>
          <w:lang w:val="pt-BR"/>
        </w:rPr>
        <w:t xml:space="preserve">detrimento </w:t>
      </w:r>
      <w:r w:rsidR="0089298C" w:rsidRPr="002F50BD">
        <w:rPr>
          <w:rFonts w:ascii="Verdana" w:hAnsi="Verdana"/>
          <w:sz w:val="20"/>
          <w:szCs w:val="32"/>
          <w:lang w:val="pt-BR"/>
        </w:rPr>
        <w:t>dos membro</w:t>
      </w:r>
      <w:r w:rsidR="004756C1" w:rsidRPr="002F50BD">
        <w:rPr>
          <w:rFonts w:ascii="Verdana" w:hAnsi="Verdana"/>
          <w:sz w:val="20"/>
          <w:szCs w:val="32"/>
          <w:lang w:val="pt-BR"/>
        </w:rPr>
        <w:t>s</w:t>
      </w:r>
      <w:r w:rsidR="0089298C" w:rsidRPr="002F50BD">
        <w:rPr>
          <w:rFonts w:ascii="Verdana" w:hAnsi="Verdana"/>
          <w:sz w:val="20"/>
          <w:szCs w:val="32"/>
          <w:lang w:val="pt-BR"/>
        </w:rPr>
        <w:t xml:space="preserve"> da Comunidade </w:t>
      </w:r>
      <w:r w:rsidR="004756C1" w:rsidRPr="002F50BD">
        <w:rPr>
          <w:rFonts w:ascii="Verdana" w:hAnsi="Verdana"/>
          <w:sz w:val="20"/>
          <w:szCs w:val="32"/>
          <w:lang w:val="pt-BR"/>
        </w:rPr>
        <w:t>Yakye Axa, por</w:t>
      </w:r>
      <w:r w:rsidRPr="002F50BD">
        <w:rPr>
          <w:rFonts w:ascii="Verdana" w:hAnsi="Verdana"/>
          <w:sz w:val="20"/>
          <w:szCs w:val="32"/>
          <w:lang w:val="pt-BR"/>
        </w:rPr>
        <w:t xml:space="preserve"> não adotar </w:t>
      </w:r>
      <w:r w:rsidR="004756C1" w:rsidRPr="002F50BD">
        <w:rPr>
          <w:rFonts w:ascii="Verdana" w:hAnsi="Verdana"/>
          <w:sz w:val="20"/>
          <w:szCs w:val="32"/>
          <w:lang w:val="pt-BR"/>
        </w:rPr>
        <w:t xml:space="preserve">medidas </w:t>
      </w:r>
      <w:r w:rsidR="009C5015" w:rsidRPr="002F50BD">
        <w:rPr>
          <w:rFonts w:ascii="Verdana" w:hAnsi="Verdana"/>
          <w:sz w:val="20"/>
          <w:szCs w:val="32"/>
          <w:lang w:val="pt-BR"/>
        </w:rPr>
        <w:t xml:space="preserve">positivas </w:t>
      </w:r>
      <w:r w:rsidR="00FC6B22" w:rsidRPr="002F50BD">
        <w:rPr>
          <w:rFonts w:ascii="Verdana" w:hAnsi="Verdana"/>
          <w:sz w:val="20"/>
          <w:szCs w:val="32"/>
          <w:lang w:val="pt-BR"/>
        </w:rPr>
        <w:t>diante da</w:t>
      </w:r>
      <w:r w:rsidR="0089298C" w:rsidRPr="002F50BD">
        <w:rPr>
          <w:rFonts w:ascii="Verdana" w:hAnsi="Verdana"/>
          <w:sz w:val="20"/>
          <w:szCs w:val="32"/>
          <w:lang w:val="pt-BR"/>
        </w:rPr>
        <w:t xml:space="preserve">s </w:t>
      </w:r>
      <w:r w:rsidR="004756C1" w:rsidRPr="002F50BD">
        <w:rPr>
          <w:rFonts w:ascii="Verdana" w:hAnsi="Verdana"/>
          <w:sz w:val="20"/>
          <w:szCs w:val="32"/>
          <w:lang w:val="pt-BR"/>
        </w:rPr>
        <w:t>condi</w:t>
      </w:r>
      <w:r w:rsidR="0089298C" w:rsidRPr="002F50BD">
        <w:rPr>
          <w:rFonts w:ascii="Verdana" w:hAnsi="Verdana"/>
          <w:sz w:val="20"/>
          <w:szCs w:val="32"/>
          <w:lang w:val="pt-BR"/>
        </w:rPr>
        <w:t>ções</w:t>
      </w:r>
      <w:r w:rsidR="004756C1" w:rsidRPr="002F50BD">
        <w:rPr>
          <w:rFonts w:ascii="Verdana" w:hAnsi="Verdana"/>
          <w:sz w:val="20"/>
          <w:szCs w:val="32"/>
          <w:lang w:val="pt-BR"/>
        </w:rPr>
        <w:t xml:space="preserve"> que </w:t>
      </w:r>
      <w:r w:rsidR="0089298C" w:rsidRPr="002F50BD">
        <w:rPr>
          <w:rFonts w:ascii="Verdana" w:hAnsi="Verdana"/>
          <w:sz w:val="20"/>
          <w:szCs w:val="32"/>
          <w:lang w:val="pt-BR"/>
        </w:rPr>
        <w:t>afetaram</w:t>
      </w:r>
      <w:r w:rsidR="004756C1" w:rsidRPr="002F50BD">
        <w:rPr>
          <w:rFonts w:ascii="Verdana" w:hAnsi="Verdana"/>
          <w:sz w:val="20"/>
          <w:szCs w:val="32"/>
          <w:lang w:val="pt-BR"/>
        </w:rPr>
        <w:t xml:space="preserve"> su</w:t>
      </w:r>
      <w:r w:rsidRPr="002F50BD">
        <w:rPr>
          <w:rFonts w:ascii="Verdana" w:hAnsi="Verdana"/>
          <w:sz w:val="20"/>
          <w:szCs w:val="32"/>
          <w:lang w:val="pt-BR"/>
        </w:rPr>
        <w:t>a</w:t>
      </w:r>
      <w:r w:rsidR="004756C1" w:rsidRPr="002F50BD">
        <w:rPr>
          <w:rFonts w:ascii="Verdana" w:hAnsi="Verdana"/>
          <w:sz w:val="20"/>
          <w:szCs w:val="32"/>
          <w:lang w:val="pt-BR"/>
        </w:rPr>
        <w:t xml:space="preserve">s </w:t>
      </w:r>
      <w:r w:rsidR="004076AD" w:rsidRPr="002F50BD">
        <w:rPr>
          <w:rFonts w:ascii="Verdana" w:hAnsi="Verdana"/>
          <w:sz w:val="20"/>
          <w:szCs w:val="32"/>
          <w:lang w:val="pt-BR"/>
        </w:rPr>
        <w:t>possibilidade</w:t>
      </w:r>
      <w:r w:rsidR="004756C1" w:rsidRPr="002F50BD">
        <w:rPr>
          <w:rFonts w:ascii="Verdana" w:hAnsi="Verdana"/>
          <w:sz w:val="20"/>
          <w:szCs w:val="32"/>
          <w:lang w:val="pt-BR"/>
        </w:rPr>
        <w:t>s de</w:t>
      </w:r>
      <w:r w:rsidR="0089298C" w:rsidRPr="002F50BD">
        <w:rPr>
          <w:rFonts w:ascii="Verdana" w:hAnsi="Verdana"/>
          <w:sz w:val="20"/>
          <w:szCs w:val="32"/>
          <w:lang w:val="pt-BR"/>
        </w:rPr>
        <w:t xml:space="preserve"> ter</w:t>
      </w:r>
      <w:r w:rsidRPr="002F50BD">
        <w:rPr>
          <w:rFonts w:ascii="Verdana" w:hAnsi="Verdana"/>
          <w:sz w:val="20"/>
          <w:szCs w:val="32"/>
          <w:lang w:val="pt-BR"/>
        </w:rPr>
        <w:t>em</w:t>
      </w:r>
      <w:r w:rsidR="0089298C" w:rsidRPr="002F50BD">
        <w:rPr>
          <w:rFonts w:ascii="Verdana" w:hAnsi="Verdana"/>
          <w:sz w:val="20"/>
          <w:szCs w:val="32"/>
          <w:lang w:val="pt-BR"/>
        </w:rPr>
        <w:t xml:space="preserve"> uma </w:t>
      </w:r>
      <w:r w:rsidR="004756C1" w:rsidRPr="002F50BD">
        <w:rPr>
          <w:rFonts w:ascii="Verdana" w:hAnsi="Verdana"/>
          <w:sz w:val="20"/>
          <w:szCs w:val="32"/>
          <w:lang w:val="pt-BR"/>
        </w:rPr>
        <w:t>vida digna.</w:t>
      </w:r>
    </w:p>
    <w:p w:rsidR="004756C1" w:rsidRPr="002F50BD" w:rsidRDefault="004756C1">
      <w:pPr>
        <w:widowControl w:val="0"/>
        <w:jc w:val="both"/>
        <w:rPr>
          <w:rFonts w:ascii="Verdana" w:hAnsi="Verdana"/>
          <w:sz w:val="20"/>
          <w:szCs w:val="32"/>
          <w:lang w:val="pt-BR"/>
        </w:rPr>
      </w:pPr>
    </w:p>
    <w:p w:rsidR="004756C1" w:rsidRPr="002F50BD" w:rsidRDefault="004756C1">
      <w:pPr>
        <w:widowControl w:val="0"/>
        <w:numPr>
          <w:ilvl w:val="0"/>
          <w:numId w:val="28"/>
        </w:numPr>
        <w:jc w:val="both"/>
        <w:rPr>
          <w:rFonts w:ascii="Verdana" w:hAnsi="Verdana"/>
          <w:sz w:val="20"/>
          <w:lang w:val="pt-BR"/>
        </w:rPr>
      </w:pPr>
      <w:r w:rsidRPr="002F50BD">
        <w:rPr>
          <w:rFonts w:ascii="Verdana" w:hAnsi="Verdana"/>
          <w:sz w:val="20"/>
          <w:szCs w:val="32"/>
          <w:lang w:val="pt-BR"/>
        </w:rPr>
        <w:t>Finalmente,</w:t>
      </w:r>
      <w:r w:rsidR="0089298C" w:rsidRPr="002F50BD">
        <w:rPr>
          <w:rFonts w:ascii="Verdana" w:hAnsi="Verdana"/>
          <w:sz w:val="20"/>
          <w:szCs w:val="32"/>
          <w:lang w:val="pt-BR"/>
        </w:rPr>
        <w:t xml:space="preserve"> a Comissão e os </w:t>
      </w:r>
      <w:r w:rsidR="008C29C9" w:rsidRPr="002F50BD">
        <w:rPr>
          <w:rFonts w:ascii="Verdana" w:hAnsi="Verdana"/>
          <w:sz w:val="20"/>
          <w:szCs w:val="32"/>
          <w:lang w:val="pt-BR"/>
        </w:rPr>
        <w:t>representante</w:t>
      </w:r>
      <w:r w:rsidRPr="002F50BD">
        <w:rPr>
          <w:rFonts w:ascii="Verdana" w:hAnsi="Verdana"/>
          <w:sz w:val="20"/>
          <w:szCs w:val="32"/>
          <w:lang w:val="pt-BR"/>
        </w:rPr>
        <w:t xml:space="preserve">s </w:t>
      </w:r>
      <w:r w:rsidR="0089298C" w:rsidRPr="002F50BD">
        <w:rPr>
          <w:rFonts w:ascii="Verdana" w:hAnsi="Verdana"/>
          <w:sz w:val="20"/>
          <w:szCs w:val="32"/>
          <w:lang w:val="pt-BR"/>
        </w:rPr>
        <w:t>alegaram</w:t>
      </w:r>
      <w:r w:rsidRPr="002F50BD">
        <w:rPr>
          <w:rFonts w:ascii="Verdana" w:hAnsi="Verdana"/>
          <w:sz w:val="20"/>
          <w:szCs w:val="32"/>
          <w:lang w:val="pt-BR"/>
        </w:rPr>
        <w:t xml:space="preserve"> que</w:t>
      </w:r>
      <w:r w:rsidR="0089298C" w:rsidRPr="002F50BD">
        <w:rPr>
          <w:rFonts w:ascii="Verdana" w:hAnsi="Verdana"/>
          <w:sz w:val="20"/>
          <w:szCs w:val="32"/>
          <w:lang w:val="pt-BR"/>
        </w:rPr>
        <w:t xml:space="preserve"> o </w:t>
      </w:r>
      <w:r w:rsidRPr="002F50BD">
        <w:rPr>
          <w:rFonts w:ascii="Verdana" w:hAnsi="Verdana"/>
          <w:sz w:val="20"/>
          <w:szCs w:val="32"/>
          <w:lang w:val="pt-BR"/>
        </w:rPr>
        <w:t>Estado</w:t>
      </w:r>
      <w:r w:rsidR="0089298C" w:rsidRPr="002F50BD">
        <w:rPr>
          <w:rFonts w:ascii="Verdana" w:hAnsi="Verdana"/>
          <w:sz w:val="20"/>
          <w:szCs w:val="32"/>
          <w:lang w:val="pt-BR"/>
        </w:rPr>
        <w:t xml:space="preserve"> é responsável pela morte</w:t>
      </w:r>
      <w:r w:rsidRPr="002F50BD">
        <w:rPr>
          <w:rFonts w:ascii="Verdana" w:hAnsi="Verdana"/>
          <w:sz w:val="20"/>
          <w:szCs w:val="32"/>
          <w:lang w:val="pt-BR"/>
        </w:rPr>
        <w:t xml:space="preserve"> de </w:t>
      </w:r>
      <w:r w:rsidR="00CF451D">
        <w:rPr>
          <w:rFonts w:ascii="Verdana" w:hAnsi="Verdana"/>
          <w:sz w:val="20"/>
          <w:szCs w:val="32"/>
          <w:lang w:val="pt-BR"/>
        </w:rPr>
        <w:t>16</w:t>
      </w:r>
      <w:r w:rsidRPr="002F50BD">
        <w:rPr>
          <w:rFonts w:ascii="Verdana" w:hAnsi="Verdana"/>
          <w:sz w:val="20"/>
          <w:szCs w:val="32"/>
          <w:lang w:val="pt-BR"/>
        </w:rPr>
        <w:t xml:space="preserve"> </w:t>
      </w:r>
      <w:r w:rsidR="0089298C" w:rsidRPr="002F50BD">
        <w:rPr>
          <w:rFonts w:ascii="Verdana" w:hAnsi="Verdana"/>
          <w:sz w:val="20"/>
          <w:szCs w:val="32"/>
          <w:lang w:val="pt-BR"/>
        </w:rPr>
        <w:t>membro</w:t>
      </w:r>
      <w:r w:rsidRPr="002F50BD">
        <w:rPr>
          <w:rFonts w:ascii="Verdana" w:hAnsi="Verdana"/>
          <w:sz w:val="20"/>
          <w:szCs w:val="32"/>
          <w:lang w:val="pt-BR"/>
        </w:rPr>
        <w:t>s</w:t>
      </w:r>
      <w:r w:rsidR="0089298C" w:rsidRPr="002F50BD">
        <w:rPr>
          <w:rFonts w:ascii="Verdana" w:hAnsi="Verdana"/>
          <w:sz w:val="20"/>
          <w:szCs w:val="32"/>
          <w:lang w:val="pt-BR"/>
        </w:rPr>
        <w:t xml:space="preserve"> da Comunidade </w:t>
      </w:r>
      <w:r w:rsidRPr="002F50BD">
        <w:rPr>
          <w:rFonts w:ascii="Verdana" w:hAnsi="Verdana"/>
          <w:sz w:val="20"/>
          <w:szCs w:val="32"/>
          <w:lang w:val="pt-BR"/>
        </w:rPr>
        <w:t>Yakye Axa por causas que</w:t>
      </w:r>
      <w:r w:rsidR="0089298C" w:rsidRPr="002F50BD">
        <w:rPr>
          <w:rFonts w:ascii="Verdana" w:hAnsi="Verdana"/>
          <w:sz w:val="20"/>
          <w:szCs w:val="32"/>
          <w:lang w:val="pt-BR"/>
        </w:rPr>
        <w:t xml:space="preserve"> </w:t>
      </w:r>
      <w:r w:rsidR="00FC6B22" w:rsidRPr="002F50BD">
        <w:rPr>
          <w:rFonts w:ascii="Verdana" w:hAnsi="Verdana"/>
          <w:sz w:val="20"/>
          <w:szCs w:val="32"/>
          <w:lang w:val="pt-BR"/>
        </w:rPr>
        <w:t xml:space="preserve">poderiam ter sido evitadas </w:t>
      </w:r>
      <w:r w:rsidR="0089298C" w:rsidRPr="002F50BD">
        <w:rPr>
          <w:rFonts w:ascii="Verdana" w:hAnsi="Verdana"/>
          <w:sz w:val="20"/>
          <w:szCs w:val="32"/>
          <w:lang w:val="pt-BR"/>
        </w:rPr>
        <w:t>com uma adequad</w:t>
      </w:r>
      <w:r w:rsidRPr="002F50BD">
        <w:rPr>
          <w:rFonts w:ascii="Verdana" w:hAnsi="Verdana"/>
          <w:sz w:val="20"/>
          <w:szCs w:val="32"/>
          <w:lang w:val="pt-BR"/>
        </w:rPr>
        <w:t>a alimenta</w:t>
      </w:r>
      <w:r w:rsidR="0089298C" w:rsidRPr="002F50BD">
        <w:rPr>
          <w:rFonts w:ascii="Verdana" w:hAnsi="Verdana"/>
          <w:sz w:val="20"/>
          <w:szCs w:val="32"/>
          <w:lang w:val="pt-BR"/>
        </w:rPr>
        <w:t xml:space="preserve">ção e assistência </w:t>
      </w:r>
      <w:r w:rsidRPr="002F50BD">
        <w:rPr>
          <w:rFonts w:ascii="Verdana" w:hAnsi="Verdana"/>
          <w:sz w:val="20"/>
          <w:szCs w:val="32"/>
          <w:lang w:val="pt-BR"/>
        </w:rPr>
        <w:t>médica</w:t>
      </w:r>
      <w:r w:rsidR="0089298C" w:rsidRPr="002F50BD">
        <w:rPr>
          <w:rFonts w:ascii="Verdana" w:hAnsi="Verdana"/>
          <w:sz w:val="20"/>
          <w:szCs w:val="32"/>
          <w:lang w:val="pt-BR"/>
        </w:rPr>
        <w:t xml:space="preserve"> e</w:t>
      </w:r>
      <w:r w:rsidRPr="002F50BD">
        <w:rPr>
          <w:rFonts w:ascii="Verdana" w:hAnsi="Verdana"/>
          <w:sz w:val="20"/>
          <w:szCs w:val="32"/>
          <w:lang w:val="pt-BR"/>
        </w:rPr>
        <w:t xml:space="preserve"> como </w:t>
      </w:r>
      <w:r w:rsidR="0089298C" w:rsidRPr="002F50BD">
        <w:rPr>
          <w:rFonts w:ascii="Verdana" w:hAnsi="Verdana"/>
          <w:sz w:val="20"/>
          <w:szCs w:val="32"/>
          <w:lang w:val="pt-BR"/>
        </w:rPr>
        <w:t xml:space="preserve">consequência da </w:t>
      </w:r>
      <w:r w:rsidRPr="002F50BD">
        <w:rPr>
          <w:rFonts w:ascii="Verdana" w:hAnsi="Verdana"/>
          <w:sz w:val="20"/>
          <w:szCs w:val="32"/>
          <w:lang w:val="pt-BR"/>
        </w:rPr>
        <w:t>falta de res</w:t>
      </w:r>
      <w:r w:rsidR="0089298C" w:rsidRPr="002F50BD">
        <w:rPr>
          <w:rFonts w:ascii="Verdana" w:hAnsi="Verdana"/>
          <w:sz w:val="20"/>
          <w:szCs w:val="32"/>
          <w:lang w:val="pt-BR"/>
        </w:rPr>
        <w:t>posta</w:t>
      </w:r>
      <w:r w:rsidRPr="002F50BD">
        <w:rPr>
          <w:rFonts w:ascii="Verdana" w:hAnsi="Verdana"/>
          <w:sz w:val="20"/>
          <w:szCs w:val="32"/>
          <w:lang w:val="pt-BR"/>
        </w:rPr>
        <w:t xml:space="preserve"> </w:t>
      </w:r>
      <w:r w:rsidR="0089298C" w:rsidRPr="002F50BD">
        <w:rPr>
          <w:rFonts w:ascii="Verdana" w:hAnsi="Verdana"/>
          <w:sz w:val="20"/>
          <w:szCs w:val="32"/>
          <w:lang w:val="pt-BR"/>
        </w:rPr>
        <w:t>adequad</w:t>
      </w:r>
      <w:r w:rsidRPr="002F50BD">
        <w:rPr>
          <w:rFonts w:ascii="Verdana" w:hAnsi="Verdana"/>
          <w:sz w:val="20"/>
          <w:szCs w:val="32"/>
          <w:lang w:val="pt-BR"/>
        </w:rPr>
        <w:t>a</w:t>
      </w:r>
      <w:r w:rsidR="0089298C" w:rsidRPr="002F50BD">
        <w:rPr>
          <w:rFonts w:ascii="Verdana" w:hAnsi="Verdana"/>
          <w:sz w:val="20"/>
          <w:szCs w:val="32"/>
          <w:lang w:val="pt-BR"/>
        </w:rPr>
        <w:t xml:space="preserve"> e </w:t>
      </w:r>
      <w:r w:rsidRPr="002F50BD">
        <w:rPr>
          <w:rFonts w:ascii="Verdana" w:hAnsi="Verdana"/>
          <w:sz w:val="20"/>
          <w:szCs w:val="32"/>
          <w:lang w:val="pt-BR"/>
        </w:rPr>
        <w:t xml:space="preserve">oportuna </w:t>
      </w:r>
      <w:r w:rsidR="0089298C" w:rsidRPr="002F50BD">
        <w:rPr>
          <w:rFonts w:ascii="Verdana" w:hAnsi="Verdana"/>
          <w:sz w:val="20"/>
          <w:szCs w:val="32"/>
          <w:lang w:val="pt-BR"/>
        </w:rPr>
        <w:t xml:space="preserve">do </w:t>
      </w:r>
      <w:r w:rsidRPr="002F50BD">
        <w:rPr>
          <w:rFonts w:ascii="Verdana" w:hAnsi="Verdana"/>
          <w:sz w:val="20"/>
          <w:szCs w:val="32"/>
          <w:lang w:val="pt-BR"/>
        </w:rPr>
        <w:t>Estado</w:t>
      </w:r>
      <w:r w:rsidR="0089298C" w:rsidRPr="002F50BD">
        <w:rPr>
          <w:rFonts w:ascii="Verdana" w:hAnsi="Verdana"/>
          <w:sz w:val="20"/>
          <w:szCs w:val="32"/>
          <w:lang w:val="pt-BR"/>
        </w:rPr>
        <w:t xml:space="preserve"> ao </w:t>
      </w:r>
      <w:r w:rsidRPr="002F50BD">
        <w:rPr>
          <w:rFonts w:ascii="Verdana" w:hAnsi="Verdana"/>
          <w:sz w:val="20"/>
          <w:szCs w:val="32"/>
          <w:lang w:val="pt-BR"/>
        </w:rPr>
        <w:t>reclamo</w:t>
      </w:r>
      <w:r w:rsidR="0089298C" w:rsidRPr="002F50BD">
        <w:rPr>
          <w:rFonts w:ascii="Verdana" w:hAnsi="Verdana"/>
          <w:sz w:val="20"/>
          <w:szCs w:val="32"/>
          <w:lang w:val="pt-BR"/>
        </w:rPr>
        <w:t xml:space="preserve"> da Comunidade </w:t>
      </w:r>
      <w:r w:rsidR="00F55DCA" w:rsidRPr="002F50BD">
        <w:rPr>
          <w:rFonts w:ascii="Verdana" w:hAnsi="Verdana"/>
          <w:sz w:val="20"/>
          <w:szCs w:val="32"/>
          <w:lang w:val="pt-BR"/>
        </w:rPr>
        <w:t>por</w:t>
      </w:r>
      <w:r w:rsidRPr="002F50BD">
        <w:rPr>
          <w:rFonts w:ascii="Verdana" w:hAnsi="Verdana"/>
          <w:sz w:val="20"/>
          <w:szCs w:val="32"/>
          <w:lang w:val="pt-BR"/>
        </w:rPr>
        <w:t xml:space="preserve"> </w:t>
      </w:r>
      <w:r w:rsidR="00475EBB" w:rsidRPr="002F50BD">
        <w:rPr>
          <w:rFonts w:ascii="Verdana" w:hAnsi="Verdana"/>
          <w:sz w:val="20"/>
          <w:szCs w:val="32"/>
          <w:lang w:val="pt-BR"/>
        </w:rPr>
        <w:t>sua terra</w:t>
      </w:r>
      <w:r w:rsidRPr="002F50BD">
        <w:rPr>
          <w:rFonts w:ascii="Verdana" w:hAnsi="Verdana"/>
          <w:sz w:val="20"/>
          <w:szCs w:val="32"/>
          <w:lang w:val="pt-BR"/>
        </w:rPr>
        <w:t xml:space="preserve"> ancestral. </w:t>
      </w:r>
      <w:r w:rsidR="0089298C" w:rsidRPr="002F50BD">
        <w:rPr>
          <w:rFonts w:ascii="Verdana" w:hAnsi="Verdana"/>
          <w:sz w:val="20"/>
          <w:szCs w:val="32"/>
          <w:lang w:val="pt-BR"/>
        </w:rPr>
        <w:t>De acordo com o artigo</w:t>
      </w:r>
      <w:r w:rsidRPr="002F50BD">
        <w:rPr>
          <w:rFonts w:ascii="Verdana" w:hAnsi="Verdana"/>
          <w:sz w:val="20"/>
          <w:szCs w:val="32"/>
          <w:lang w:val="pt-BR"/>
        </w:rPr>
        <w:t xml:space="preserve"> </w:t>
      </w:r>
      <w:r w:rsidR="00063B47" w:rsidRPr="002F50BD">
        <w:rPr>
          <w:rFonts w:ascii="Verdana" w:hAnsi="Verdana"/>
          <w:sz w:val="20"/>
          <w:szCs w:val="32"/>
          <w:lang w:val="pt-BR"/>
        </w:rPr>
        <w:t>4</w:t>
      </w:r>
      <w:r w:rsidRPr="002F50BD">
        <w:rPr>
          <w:rFonts w:ascii="Verdana" w:hAnsi="Verdana"/>
          <w:sz w:val="20"/>
          <w:szCs w:val="32"/>
          <w:lang w:val="pt-BR"/>
        </w:rPr>
        <w:t>.</w:t>
      </w:r>
      <w:r w:rsidR="00063B47" w:rsidRPr="002F50BD">
        <w:rPr>
          <w:rFonts w:ascii="Verdana" w:hAnsi="Verdana"/>
          <w:sz w:val="20"/>
          <w:szCs w:val="32"/>
          <w:lang w:val="pt-BR"/>
        </w:rPr>
        <w:t>1</w:t>
      </w:r>
      <w:r w:rsidR="0089298C" w:rsidRPr="002F50BD">
        <w:rPr>
          <w:rFonts w:ascii="Verdana" w:hAnsi="Verdana"/>
          <w:sz w:val="20"/>
          <w:szCs w:val="32"/>
          <w:lang w:val="pt-BR"/>
        </w:rPr>
        <w:t xml:space="preserve"> da </w:t>
      </w:r>
      <w:r w:rsidRPr="002F50BD">
        <w:rPr>
          <w:rFonts w:ascii="Verdana" w:hAnsi="Verdana"/>
          <w:sz w:val="20"/>
          <w:szCs w:val="32"/>
          <w:lang w:val="pt-BR"/>
        </w:rPr>
        <w:t>Conven</w:t>
      </w:r>
      <w:r w:rsidR="0089298C" w:rsidRPr="002F50BD">
        <w:rPr>
          <w:rFonts w:ascii="Verdana" w:hAnsi="Verdana"/>
          <w:sz w:val="20"/>
          <w:szCs w:val="32"/>
          <w:lang w:val="pt-BR"/>
        </w:rPr>
        <w:t>ção</w:t>
      </w:r>
      <w:r w:rsidR="00480B4C" w:rsidRPr="002F50BD">
        <w:rPr>
          <w:rFonts w:ascii="Verdana" w:hAnsi="Verdana"/>
          <w:sz w:val="20"/>
          <w:szCs w:val="32"/>
          <w:lang w:val="pt-BR"/>
        </w:rPr>
        <w:t>,</w:t>
      </w:r>
      <w:r w:rsidRPr="002F50BD">
        <w:rPr>
          <w:rFonts w:ascii="Verdana" w:hAnsi="Verdana"/>
          <w:sz w:val="20"/>
          <w:szCs w:val="32"/>
          <w:lang w:val="pt-BR"/>
        </w:rPr>
        <w:t xml:space="preserve"> toda </w:t>
      </w:r>
      <w:r w:rsidR="0089298C" w:rsidRPr="002F50BD">
        <w:rPr>
          <w:rFonts w:ascii="Verdana" w:hAnsi="Verdana"/>
          <w:sz w:val="20"/>
          <w:szCs w:val="32"/>
          <w:lang w:val="pt-BR"/>
        </w:rPr>
        <w:t>pessoa</w:t>
      </w:r>
      <w:r w:rsidRPr="002F50BD">
        <w:rPr>
          <w:rFonts w:ascii="Verdana" w:hAnsi="Verdana"/>
          <w:sz w:val="20"/>
          <w:szCs w:val="32"/>
          <w:lang w:val="pt-BR"/>
        </w:rPr>
        <w:t xml:space="preserve"> </w:t>
      </w:r>
      <w:r w:rsidR="0089298C" w:rsidRPr="002F50BD">
        <w:rPr>
          <w:rFonts w:ascii="Verdana" w:hAnsi="Verdana"/>
          <w:sz w:val="20"/>
          <w:szCs w:val="32"/>
          <w:lang w:val="pt-BR"/>
        </w:rPr>
        <w:t>tem direito</w:t>
      </w:r>
      <w:r w:rsidRPr="002F50BD">
        <w:rPr>
          <w:rFonts w:ascii="Verdana" w:hAnsi="Verdana"/>
          <w:sz w:val="20"/>
          <w:szCs w:val="32"/>
          <w:lang w:val="pt-BR"/>
        </w:rPr>
        <w:t xml:space="preserve"> a que se</w:t>
      </w:r>
      <w:r w:rsidR="0089298C" w:rsidRPr="002F50BD">
        <w:rPr>
          <w:rFonts w:ascii="Verdana" w:hAnsi="Verdana"/>
          <w:sz w:val="20"/>
          <w:szCs w:val="32"/>
          <w:lang w:val="pt-BR"/>
        </w:rPr>
        <w:t xml:space="preserve"> respeite e garanta sua vida e </w:t>
      </w:r>
      <w:r w:rsidR="00F55DCA" w:rsidRPr="002F50BD">
        <w:rPr>
          <w:rFonts w:ascii="Verdana" w:hAnsi="Verdana"/>
          <w:sz w:val="20"/>
          <w:szCs w:val="32"/>
          <w:lang w:val="pt-BR"/>
        </w:rPr>
        <w:t xml:space="preserve">a não ser </w:t>
      </w:r>
      <w:r w:rsidRPr="002F50BD">
        <w:rPr>
          <w:rFonts w:ascii="Verdana" w:hAnsi="Verdana"/>
          <w:sz w:val="20"/>
          <w:szCs w:val="32"/>
          <w:lang w:val="pt-BR"/>
        </w:rPr>
        <w:t>privado de</w:t>
      </w:r>
      <w:r w:rsidR="0089298C" w:rsidRPr="002F50BD">
        <w:rPr>
          <w:rFonts w:ascii="Verdana" w:hAnsi="Verdana"/>
          <w:sz w:val="20"/>
          <w:szCs w:val="32"/>
          <w:lang w:val="pt-BR"/>
        </w:rPr>
        <w:t>la</w:t>
      </w:r>
      <w:r w:rsidRPr="002F50BD">
        <w:rPr>
          <w:rFonts w:ascii="Verdana" w:hAnsi="Verdana"/>
          <w:sz w:val="20"/>
          <w:szCs w:val="32"/>
          <w:lang w:val="pt-BR"/>
        </w:rPr>
        <w:t xml:space="preserve"> </w:t>
      </w:r>
      <w:r w:rsidR="00F55DCA" w:rsidRPr="002F50BD">
        <w:rPr>
          <w:rFonts w:ascii="Verdana" w:hAnsi="Verdana"/>
          <w:sz w:val="20"/>
          <w:szCs w:val="32"/>
          <w:lang w:val="pt-BR"/>
        </w:rPr>
        <w:t>arbitrariam</w:t>
      </w:r>
      <w:r w:rsidRPr="002F50BD">
        <w:rPr>
          <w:rFonts w:ascii="Verdana" w:hAnsi="Verdana"/>
          <w:sz w:val="20"/>
          <w:szCs w:val="32"/>
          <w:lang w:val="pt-BR"/>
        </w:rPr>
        <w:t xml:space="preserve">ente. </w:t>
      </w:r>
      <w:r w:rsidR="00F55DCA" w:rsidRPr="002F50BD">
        <w:rPr>
          <w:rFonts w:ascii="Verdana" w:hAnsi="Verdana"/>
          <w:sz w:val="20"/>
          <w:szCs w:val="32"/>
          <w:lang w:val="pt-BR"/>
        </w:rPr>
        <w:t xml:space="preserve">Mesmo quando </w:t>
      </w:r>
      <w:r w:rsidRPr="002F50BD">
        <w:rPr>
          <w:rFonts w:ascii="Verdana" w:hAnsi="Verdana"/>
          <w:sz w:val="20"/>
          <w:szCs w:val="32"/>
          <w:lang w:val="pt-BR"/>
        </w:rPr>
        <w:t>esta Corte considera que,</w:t>
      </w:r>
      <w:r w:rsidR="0089298C" w:rsidRPr="002F50BD">
        <w:rPr>
          <w:rFonts w:ascii="Verdana" w:hAnsi="Verdana"/>
          <w:sz w:val="20"/>
          <w:szCs w:val="32"/>
          <w:lang w:val="pt-BR"/>
        </w:rPr>
        <w:t xml:space="preserve"> em geral</w:t>
      </w:r>
      <w:r w:rsidRPr="002F50BD">
        <w:rPr>
          <w:rFonts w:ascii="Verdana" w:hAnsi="Verdana"/>
          <w:sz w:val="20"/>
          <w:szCs w:val="32"/>
          <w:lang w:val="pt-BR"/>
        </w:rPr>
        <w:t>,</w:t>
      </w:r>
      <w:r w:rsidR="0089298C" w:rsidRPr="002F50BD">
        <w:rPr>
          <w:rFonts w:ascii="Verdana" w:hAnsi="Verdana"/>
          <w:sz w:val="20"/>
          <w:szCs w:val="32"/>
          <w:lang w:val="pt-BR"/>
        </w:rPr>
        <w:t xml:space="preserve"> a obrigação</w:t>
      </w:r>
      <w:r w:rsidRPr="002F50BD">
        <w:rPr>
          <w:rFonts w:ascii="Verdana" w:hAnsi="Verdana"/>
          <w:sz w:val="20"/>
          <w:szCs w:val="32"/>
          <w:lang w:val="pt-BR"/>
        </w:rPr>
        <w:t xml:space="preserve"> de </w:t>
      </w:r>
      <w:r w:rsidR="0089298C" w:rsidRPr="002F50BD">
        <w:rPr>
          <w:rFonts w:ascii="Verdana" w:hAnsi="Verdana"/>
          <w:sz w:val="20"/>
          <w:szCs w:val="32"/>
          <w:lang w:val="pt-BR"/>
        </w:rPr>
        <w:t xml:space="preserve">respeitar e garantir a </w:t>
      </w:r>
      <w:r w:rsidRPr="002F50BD">
        <w:rPr>
          <w:rFonts w:ascii="Verdana" w:hAnsi="Verdana"/>
          <w:sz w:val="20"/>
          <w:szCs w:val="32"/>
          <w:lang w:val="pt-BR"/>
        </w:rPr>
        <w:t>vida</w:t>
      </w:r>
      <w:r w:rsidR="0089298C" w:rsidRPr="002F50BD">
        <w:rPr>
          <w:rFonts w:ascii="Verdana" w:hAnsi="Verdana"/>
          <w:sz w:val="20"/>
          <w:szCs w:val="32"/>
          <w:lang w:val="pt-BR"/>
        </w:rPr>
        <w:t xml:space="preserve"> das pessoa</w:t>
      </w:r>
      <w:r w:rsidRPr="002F50BD">
        <w:rPr>
          <w:rFonts w:ascii="Verdana" w:hAnsi="Verdana"/>
          <w:sz w:val="20"/>
          <w:szCs w:val="32"/>
          <w:lang w:val="pt-BR"/>
        </w:rPr>
        <w:t xml:space="preserve">s </w:t>
      </w:r>
      <w:r w:rsidR="0089298C" w:rsidRPr="002F50BD">
        <w:rPr>
          <w:rFonts w:ascii="Verdana" w:hAnsi="Verdana"/>
          <w:sz w:val="20"/>
          <w:szCs w:val="32"/>
          <w:lang w:val="pt-BR"/>
        </w:rPr>
        <w:t>sujeita</w:t>
      </w:r>
      <w:r w:rsidRPr="002F50BD">
        <w:rPr>
          <w:rFonts w:ascii="Verdana" w:hAnsi="Verdana"/>
          <w:sz w:val="20"/>
          <w:szCs w:val="32"/>
          <w:lang w:val="pt-BR"/>
        </w:rPr>
        <w:t xml:space="preserve">s </w:t>
      </w:r>
      <w:r w:rsidR="00F55DCA" w:rsidRPr="002F50BD">
        <w:rPr>
          <w:rFonts w:ascii="Verdana" w:hAnsi="Verdana"/>
          <w:sz w:val="20"/>
          <w:szCs w:val="32"/>
          <w:lang w:val="pt-BR"/>
        </w:rPr>
        <w:t>à</w:t>
      </w:r>
      <w:r w:rsidRPr="002F50BD">
        <w:rPr>
          <w:rFonts w:ascii="Verdana" w:hAnsi="Verdana"/>
          <w:sz w:val="20"/>
          <w:szCs w:val="32"/>
          <w:lang w:val="pt-BR"/>
        </w:rPr>
        <w:t xml:space="preserve"> </w:t>
      </w:r>
      <w:r w:rsidR="0089298C" w:rsidRPr="002F50BD">
        <w:rPr>
          <w:rFonts w:ascii="Verdana" w:hAnsi="Verdana"/>
          <w:sz w:val="20"/>
          <w:szCs w:val="32"/>
          <w:lang w:val="pt-BR"/>
        </w:rPr>
        <w:t>sua jurisdição</w:t>
      </w:r>
      <w:r w:rsidRPr="002F50BD">
        <w:rPr>
          <w:rFonts w:ascii="Verdana" w:hAnsi="Verdana"/>
          <w:sz w:val="20"/>
          <w:szCs w:val="32"/>
          <w:lang w:val="pt-BR"/>
        </w:rPr>
        <w:t xml:space="preserve"> </w:t>
      </w:r>
      <w:r w:rsidR="0089298C" w:rsidRPr="002F50BD">
        <w:rPr>
          <w:rFonts w:ascii="Verdana" w:hAnsi="Verdana"/>
          <w:sz w:val="20"/>
          <w:szCs w:val="32"/>
          <w:lang w:val="pt-BR"/>
        </w:rPr>
        <w:t xml:space="preserve">tem </w:t>
      </w:r>
      <w:r w:rsidRPr="002F50BD">
        <w:rPr>
          <w:rFonts w:ascii="Verdana" w:hAnsi="Verdana"/>
          <w:sz w:val="20"/>
          <w:szCs w:val="32"/>
          <w:lang w:val="pt-BR"/>
        </w:rPr>
        <w:t>rela</w:t>
      </w:r>
      <w:r w:rsidR="0089298C" w:rsidRPr="002F50BD">
        <w:rPr>
          <w:rFonts w:ascii="Verdana" w:hAnsi="Verdana"/>
          <w:sz w:val="20"/>
          <w:szCs w:val="32"/>
          <w:lang w:val="pt-BR"/>
        </w:rPr>
        <w:t xml:space="preserve">ção com a responsabilidade do </w:t>
      </w:r>
      <w:r w:rsidRPr="002F50BD">
        <w:rPr>
          <w:rFonts w:ascii="Verdana" w:hAnsi="Verdana"/>
          <w:sz w:val="20"/>
          <w:szCs w:val="32"/>
          <w:lang w:val="pt-BR"/>
        </w:rPr>
        <w:t xml:space="preserve">Estado que </w:t>
      </w:r>
      <w:r w:rsidR="0089298C" w:rsidRPr="002F50BD">
        <w:rPr>
          <w:rFonts w:ascii="Verdana" w:hAnsi="Verdana"/>
          <w:sz w:val="20"/>
          <w:szCs w:val="32"/>
          <w:lang w:val="pt-BR"/>
        </w:rPr>
        <w:t>pode</w:t>
      </w:r>
      <w:r w:rsidRPr="002F50BD">
        <w:rPr>
          <w:rFonts w:ascii="Verdana" w:hAnsi="Verdana"/>
          <w:sz w:val="20"/>
          <w:szCs w:val="32"/>
          <w:lang w:val="pt-BR"/>
        </w:rPr>
        <w:t xml:space="preserve"> derivar de su</w:t>
      </w:r>
      <w:r w:rsidR="00F55DCA" w:rsidRPr="002F50BD">
        <w:rPr>
          <w:rFonts w:ascii="Verdana" w:hAnsi="Verdana"/>
          <w:sz w:val="20"/>
          <w:szCs w:val="32"/>
          <w:lang w:val="pt-BR"/>
        </w:rPr>
        <w:t>a</w:t>
      </w:r>
      <w:r w:rsidRPr="002F50BD">
        <w:rPr>
          <w:rFonts w:ascii="Verdana" w:hAnsi="Verdana"/>
          <w:sz w:val="20"/>
          <w:szCs w:val="32"/>
          <w:lang w:val="pt-BR"/>
        </w:rPr>
        <w:t xml:space="preserve"> </w:t>
      </w:r>
      <w:r w:rsidR="004076AD" w:rsidRPr="002F50BD">
        <w:rPr>
          <w:rFonts w:ascii="Verdana" w:hAnsi="Verdana"/>
          <w:sz w:val="20"/>
          <w:szCs w:val="32"/>
          <w:lang w:val="pt-BR"/>
        </w:rPr>
        <w:t>ação</w:t>
      </w:r>
      <w:r w:rsidR="0089298C" w:rsidRPr="002F50BD">
        <w:rPr>
          <w:rFonts w:ascii="Verdana" w:hAnsi="Verdana"/>
          <w:sz w:val="20"/>
          <w:szCs w:val="32"/>
          <w:lang w:val="pt-BR"/>
        </w:rPr>
        <w:t xml:space="preserve"> ou </w:t>
      </w:r>
      <w:r w:rsidRPr="002F50BD">
        <w:rPr>
          <w:rFonts w:ascii="Verdana" w:hAnsi="Verdana"/>
          <w:sz w:val="20"/>
          <w:szCs w:val="32"/>
          <w:lang w:val="pt-BR"/>
        </w:rPr>
        <w:t>o</w:t>
      </w:r>
      <w:r w:rsidR="0089298C" w:rsidRPr="002F50BD">
        <w:rPr>
          <w:rFonts w:ascii="Verdana" w:hAnsi="Verdana"/>
          <w:sz w:val="20"/>
          <w:szCs w:val="32"/>
          <w:lang w:val="pt-BR"/>
        </w:rPr>
        <w:t>missão</w:t>
      </w:r>
      <w:r w:rsidRPr="002F50BD">
        <w:rPr>
          <w:rFonts w:ascii="Verdana" w:hAnsi="Verdana"/>
          <w:sz w:val="20"/>
          <w:szCs w:val="32"/>
          <w:lang w:val="pt-BR"/>
        </w:rPr>
        <w:t>,</w:t>
      </w:r>
      <w:r w:rsidR="0089298C" w:rsidRPr="002F50BD">
        <w:rPr>
          <w:rFonts w:ascii="Verdana" w:hAnsi="Verdana"/>
          <w:sz w:val="20"/>
          <w:szCs w:val="32"/>
          <w:lang w:val="pt-BR"/>
        </w:rPr>
        <w:t xml:space="preserve"> no </w:t>
      </w:r>
      <w:r w:rsidRPr="002F50BD">
        <w:rPr>
          <w:rFonts w:ascii="Verdana" w:hAnsi="Verdana"/>
          <w:sz w:val="20"/>
          <w:szCs w:val="32"/>
          <w:lang w:val="pt-BR"/>
        </w:rPr>
        <w:t>caso</w:t>
      </w:r>
      <w:r w:rsidR="0089298C" w:rsidRPr="002F50BD">
        <w:rPr>
          <w:rFonts w:ascii="Verdana" w:hAnsi="Verdana"/>
          <w:sz w:val="20"/>
          <w:szCs w:val="32"/>
          <w:lang w:val="pt-BR"/>
        </w:rPr>
        <w:t xml:space="preserve"> da </w:t>
      </w:r>
      <w:r w:rsidRPr="002F50BD">
        <w:rPr>
          <w:rFonts w:ascii="Verdana" w:hAnsi="Verdana"/>
          <w:sz w:val="20"/>
          <w:szCs w:val="32"/>
          <w:lang w:val="pt-BR"/>
        </w:rPr>
        <w:t xml:space="preserve">alegada </w:t>
      </w:r>
      <w:r w:rsidR="0089298C" w:rsidRPr="002F50BD">
        <w:rPr>
          <w:rFonts w:ascii="Verdana" w:hAnsi="Verdana"/>
          <w:sz w:val="20"/>
          <w:szCs w:val="32"/>
          <w:lang w:val="pt-BR"/>
        </w:rPr>
        <w:t xml:space="preserve">responsabilidade pela morte das </w:t>
      </w:r>
      <w:r w:rsidR="00CF451D">
        <w:rPr>
          <w:rFonts w:ascii="Verdana" w:hAnsi="Verdana"/>
          <w:sz w:val="20"/>
          <w:szCs w:val="32"/>
          <w:lang w:val="pt-BR"/>
        </w:rPr>
        <w:t>16</w:t>
      </w:r>
      <w:r w:rsidRPr="002F50BD">
        <w:rPr>
          <w:rFonts w:ascii="Verdana" w:hAnsi="Verdana"/>
          <w:sz w:val="20"/>
          <w:szCs w:val="32"/>
          <w:lang w:val="pt-BR"/>
        </w:rPr>
        <w:t xml:space="preserve"> </w:t>
      </w:r>
      <w:r w:rsidR="0089298C" w:rsidRPr="002F50BD">
        <w:rPr>
          <w:rFonts w:ascii="Verdana" w:hAnsi="Verdana"/>
          <w:sz w:val="20"/>
          <w:szCs w:val="32"/>
          <w:lang w:val="pt-BR"/>
        </w:rPr>
        <w:t>pessoa</w:t>
      </w:r>
      <w:r w:rsidRPr="002F50BD">
        <w:rPr>
          <w:rFonts w:ascii="Verdana" w:hAnsi="Verdana"/>
          <w:sz w:val="20"/>
          <w:szCs w:val="32"/>
          <w:lang w:val="pt-BR"/>
        </w:rPr>
        <w:t>s, esta Corte n</w:t>
      </w:r>
      <w:r w:rsidR="00F55DCA" w:rsidRPr="002F50BD">
        <w:rPr>
          <w:rFonts w:ascii="Verdana" w:hAnsi="Verdana"/>
          <w:sz w:val="20"/>
          <w:szCs w:val="32"/>
          <w:lang w:val="pt-BR"/>
        </w:rPr>
        <w:t>ã</w:t>
      </w:r>
      <w:r w:rsidRPr="002F50BD">
        <w:rPr>
          <w:rFonts w:ascii="Verdana" w:hAnsi="Verdana"/>
          <w:sz w:val="20"/>
          <w:szCs w:val="32"/>
          <w:lang w:val="pt-BR"/>
        </w:rPr>
        <w:t xml:space="preserve">o </w:t>
      </w:r>
      <w:r w:rsidR="0089298C" w:rsidRPr="002F50BD">
        <w:rPr>
          <w:rFonts w:ascii="Verdana" w:hAnsi="Verdana"/>
          <w:sz w:val="20"/>
          <w:szCs w:val="32"/>
          <w:lang w:val="pt-BR"/>
        </w:rPr>
        <w:t xml:space="preserve">dispõe dos </w:t>
      </w:r>
      <w:r w:rsidRPr="002F50BD">
        <w:rPr>
          <w:rFonts w:ascii="Verdana" w:hAnsi="Verdana"/>
          <w:sz w:val="20"/>
          <w:szCs w:val="32"/>
          <w:lang w:val="pt-BR"/>
        </w:rPr>
        <w:lastRenderedPageBreak/>
        <w:t xml:space="preserve">elementos </w:t>
      </w:r>
      <w:r w:rsidR="0089298C" w:rsidRPr="002F50BD">
        <w:rPr>
          <w:rFonts w:ascii="Verdana" w:hAnsi="Verdana"/>
          <w:sz w:val="20"/>
          <w:szCs w:val="32"/>
          <w:lang w:val="pt-BR"/>
        </w:rPr>
        <w:t>probatório</w:t>
      </w:r>
      <w:r w:rsidRPr="002F50BD">
        <w:rPr>
          <w:rFonts w:ascii="Verdana" w:hAnsi="Verdana"/>
          <w:sz w:val="20"/>
          <w:szCs w:val="32"/>
          <w:lang w:val="pt-BR"/>
        </w:rPr>
        <w:t xml:space="preserve">s suficientes para </w:t>
      </w:r>
      <w:r w:rsidR="0089298C" w:rsidRPr="002F50BD">
        <w:rPr>
          <w:rFonts w:ascii="Verdana" w:hAnsi="Verdana"/>
          <w:sz w:val="20"/>
          <w:szCs w:val="32"/>
          <w:lang w:val="pt-BR"/>
        </w:rPr>
        <w:t>estabelece</w:t>
      </w:r>
      <w:r w:rsidRPr="002F50BD">
        <w:rPr>
          <w:rFonts w:ascii="Verdana" w:hAnsi="Verdana"/>
          <w:sz w:val="20"/>
          <w:szCs w:val="32"/>
          <w:lang w:val="pt-BR"/>
        </w:rPr>
        <w:t>r</w:t>
      </w:r>
      <w:r w:rsidR="0089298C" w:rsidRPr="002F50BD">
        <w:rPr>
          <w:rFonts w:ascii="Verdana" w:hAnsi="Verdana"/>
          <w:sz w:val="20"/>
          <w:szCs w:val="32"/>
          <w:lang w:val="pt-BR"/>
        </w:rPr>
        <w:t xml:space="preserve"> as </w:t>
      </w:r>
      <w:r w:rsidRPr="002F50BD">
        <w:rPr>
          <w:rFonts w:ascii="Verdana" w:hAnsi="Verdana"/>
          <w:sz w:val="20"/>
          <w:szCs w:val="32"/>
          <w:lang w:val="pt-BR"/>
        </w:rPr>
        <w:t>causas</w:t>
      </w:r>
      <w:r w:rsidR="0089298C" w:rsidRPr="002F50BD">
        <w:rPr>
          <w:rFonts w:ascii="Verdana" w:hAnsi="Verdana"/>
          <w:sz w:val="20"/>
          <w:szCs w:val="32"/>
          <w:lang w:val="pt-BR"/>
        </w:rPr>
        <w:t xml:space="preserve"> dos </w:t>
      </w:r>
      <w:r w:rsidRPr="002F50BD">
        <w:rPr>
          <w:rFonts w:ascii="Verdana" w:hAnsi="Verdana"/>
          <w:sz w:val="20"/>
          <w:szCs w:val="32"/>
          <w:lang w:val="pt-BR"/>
        </w:rPr>
        <w:t xml:space="preserve">mencionados </w:t>
      </w:r>
      <w:r w:rsidR="00367FD1" w:rsidRPr="002F50BD">
        <w:rPr>
          <w:rFonts w:ascii="Verdana" w:hAnsi="Verdana"/>
          <w:sz w:val="20"/>
          <w:szCs w:val="32"/>
          <w:lang w:val="pt-BR"/>
        </w:rPr>
        <w:t>falecimento</w:t>
      </w:r>
      <w:r w:rsidRPr="002F50BD">
        <w:rPr>
          <w:rFonts w:ascii="Verdana" w:hAnsi="Verdana"/>
          <w:sz w:val="20"/>
          <w:szCs w:val="32"/>
          <w:lang w:val="pt-BR"/>
        </w:rPr>
        <w:t>s.</w:t>
      </w:r>
    </w:p>
    <w:p w:rsidR="004756C1" w:rsidRPr="002F50BD" w:rsidRDefault="004756C1">
      <w:pPr>
        <w:widowControl w:val="0"/>
        <w:jc w:val="both"/>
        <w:rPr>
          <w:rFonts w:ascii="Verdana" w:hAnsi="Verdana"/>
          <w:sz w:val="20"/>
          <w:lang w:val="pt-BR"/>
        </w:rPr>
      </w:pPr>
    </w:p>
    <w:p w:rsidR="004756C1" w:rsidRPr="002F50BD" w:rsidRDefault="00F55DCA">
      <w:pPr>
        <w:widowControl w:val="0"/>
        <w:numPr>
          <w:ilvl w:val="0"/>
          <w:numId w:val="28"/>
        </w:numPr>
        <w:jc w:val="both"/>
        <w:rPr>
          <w:rFonts w:ascii="Verdana" w:hAnsi="Verdana"/>
          <w:sz w:val="20"/>
          <w:lang w:val="pt-BR"/>
        </w:rPr>
      </w:pPr>
      <w:r w:rsidRPr="002F50BD">
        <w:rPr>
          <w:rFonts w:ascii="Verdana" w:hAnsi="Verdana"/>
          <w:sz w:val="20"/>
          <w:lang w:val="pt-BR"/>
        </w:rPr>
        <w:t xml:space="preserve">Em consoância com o afirmado </w:t>
      </w:r>
      <w:r w:rsidR="004756C1" w:rsidRPr="002F50BD">
        <w:rPr>
          <w:rFonts w:ascii="Verdana" w:hAnsi="Verdana"/>
          <w:sz w:val="20"/>
          <w:lang w:val="pt-BR"/>
        </w:rPr>
        <w:t>anteriormente,</w:t>
      </w:r>
      <w:r w:rsidR="0089298C" w:rsidRPr="002F50BD">
        <w:rPr>
          <w:rFonts w:ascii="Verdana" w:hAnsi="Verdana"/>
          <w:sz w:val="20"/>
          <w:lang w:val="pt-BR"/>
        </w:rPr>
        <w:t xml:space="preserve"> a </w:t>
      </w:r>
      <w:r w:rsidR="004756C1" w:rsidRPr="002F50BD">
        <w:rPr>
          <w:rFonts w:ascii="Verdana" w:hAnsi="Verdana"/>
          <w:sz w:val="20"/>
          <w:lang w:val="pt-BR"/>
        </w:rPr>
        <w:t>Corte declara que n</w:t>
      </w:r>
      <w:r w:rsidRPr="002F50BD">
        <w:rPr>
          <w:rFonts w:ascii="Verdana" w:hAnsi="Verdana"/>
          <w:sz w:val="20"/>
          <w:lang w:val="pt-BR"/>
        </w:rPr>
        <w:t>ã</w:t>
      </w:r>
      <w:r w:rsidR="004756C1" w:rsidRPr="002F50BD">
        <w:rPr>
          <w:rFonts w:ascii="Verdana" w:hAnsi="Verdana"/>
          <w:sz w:val="20"/>
          <w:lang w:val="pt-BR"/>
        </w:rPr>
        <w:t>o</w:t>
      </w:r>
      <w:r w:rsidR="0089298C" w:rsidRPr="002F50BD">
        <w:rPr>
          <w:rFonts w:ascii="Verdana" w:hAnsi="Verdana"/>
          <w:sz w:val="20"/>
          <w:lang w:val="pt-BR"/>
        </w:rPr>
        <w:t xml:space="preserve"> conta com </w:t>
      </w:r>
      <w:r w:rsidR="004756C1" w:rsidRPr="002F50BD">
        <w:rPr>
          <w:rFonts w:ascii="Verdana" w:hAnsi="Verdana"/>
          <w:sz w:val="20"/>
          <w:lang w:val="pt-BR"/>
        </w:rPr>
        <w:t xml:space="preserve">elementos </w:t>
      </w:r>
      <w:r w:rsidR="0089298C" w:rsidRPr="002F50BD">
        <w:rPr>
          <w:rFonts w:ascii="Verdana" w:hAnsi="Verdana"/>
          <w:sz w:val="20"/>
          <w:lang w:val="pt-BR"/>
        </w:rPr>
        <w:t>probatório</w:t>
      </w:r>
      <w:r w:rsidR="004756C1" w:rsidRPr="002F50BD">
        <w:rPr>
          <w:rFonts w:ascii="Verdana" w:hAnsi="Verdana"/>
          <w:sz w:val="20"/>
          <w:lang w:val="pt-BR"/>
        </w:rPr>
        <w:t xml:space="preserve">s suficientes para </w:t>
      </w:r>
      <w:r w:rsidR="0089298C" w:rsidRPr="002F50BD">
        <w:rPr>
          <w:rFonts w:ascii="Verdana" w:hAnsi="Verdana"/>
          <w:sz w:val="20"/>
          <w:lang w:val="pt-BR"/>
        </w:rPr>
        <w:t xml:space="preserve">demonstrar 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0A7E90">
        <w:rPr>
          <w:rFonts w:ascii="Verdana" w:hAnsi="Verdana"/>
          <w:sz w:val="20"/>
          <w:lang w:val="pt-BR"/>
        </w:rPr>
        <w:t>d</w:t>
      </w:r>
      <w:r w:rsidR="0089298C" w:rsidRPr="002F50BD">
        <w:rPr>
          <w:rFonts w:ascii="Verdana" w:hAnsi="Verdana"/>
          <w:sz w:val="20"/>
          <w:lang w:val="pt-BR"/>
        </w:rPr>
        <w:t xml:space="preserve">ireito à </w:t>
      </w:r>
      <w:r w:rsidR="000A7E90">
        <w:rPr>
          <w:rFonts w:ascii="Verdana" w:hAnsi="Verdana"/>
          <w:sz w:val="20"/>
          <w:lang w:val="pt-BR"/>
        </w:rPr>
        <w:t>v</w:t>
      </w:r>
      <w:r w:rsidR="004756C1" w:rsidRPr="002F50BD">
        <w:rPr>
          <w:rFonts w:ascii="Verdana" w:hAnsi="Verdana"/>
          <w:sz w:val="20"/>
          <w:lang w:val="pt-BR"/>
        </w:rPr>
        <w:t>ida</w:t>
      </w:r>
      <w:r w:rsidRPr="002F50BD">
        <w:rPr>
          <w:rFonts w:ascii="Verdana" w:hAnsi="Verdana"/>
          <w:sz w:val="20"/>
          <w:lang w:val="pt-BR"/>
        </w:rPr>
        <w:t>,</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4</w:t>
      </w:r>
      <w:r w:rsidR="004756C1"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em </w:t>
      </w:r>
      <w:r w:rsidRPr="002F50BD">
        <w:rPr>
          <w:rFonts w:ascii="Verdana" w:hAnsi="Verdana"/>
          <w:sz w:val="20"/>
          <w:lang w:val="pt-BR"/>
        </w:rPr>
        <w:t xml:space="preserve">detrimento </w:t>
      </w:r>
      <w:r w:rsidR="004756C1" w:rsidRPr="002F50BD">
        <w:rPr>
          <w:rFonts w:ascii="Verdana" w:hAnsi="Verdana"/>
          <w:sz w:val="20"/>
          <w:lang w:val="pt-BR"/>
        </w:rPr>
        <w:t xml:space="preserve">de Griselda Flores, Alcides Morel Chávez, Mauro Fernández, S/N Sosa Chávez, Adolfo Ramírez, Isabel García de Ramírez, Justina Chávez, Ramón Chávez, S/N Morel Chávez, S/N Morel Chávez, Santiago Gómez, María Adela Flores Gómez, Severa Benítez Alvarenga, Ignacio Torales, Silvino Martínez Gómez e Hilario Gómez,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p>
    <w:p w:rsidR="004756C1" w:rsidRPr="002F50BD" w:rsidRDefault="004756C1">
      <w:pPr>
        <w:widowControl w:val="0"/>
        <w:jc w:val="both"/>
        <w:rPr>
          <w:rFonts w:ascii="Verdana" w:hAnsi="Verdana"/>
          <w:b/>
          <w:smallCaps/>
          <w:sz w:val="20"/>
          <w:lang w:val="pt-BR"/>
        </w:rPr>
      </w:pP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XI</w:t>
      </w: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Repara</w:t>
      </w:r>
      <w:r w:rsidR="0089298C" w:rsidRPr="002F50BD">
        <w:rPr>
          <w:rFonts w:ascii="Verdana" w:hAnsi="Verdana"/>
          <w:b/>
          <w:smallCaps/>
          <w:sz w:val="20"/>
          <w:lang w:val="pt-BR"/>
        </w:rPr>
        <w:t>ções</w:t>
      </w:r>
    </w:p>
    <w:p w:rsidR="004756C1" w:rsidRPr="002F50BD" w:rsidRDefault="004756C1">
      <w:pPr>
        <w:jc w:val="center"/>
        <w:rPr>
          <w:rFonts w:ascii="Verdana" w:hAnsi="Verdana"/>
          <w:b/>
          <w:smallCaps/>
          <w:sz w:val="20"/>
          <w:lang w:val="pt-BR"/>
        </w:rPr>
      </w:pPr>
      <w:r w:rsidRPr="002F50BD">
        <w:rPr>
          <w:rFonts w:ascii="Verdana" w:hAnsi="Verdana"/>
          <w:b/>
          <w:smallCaps/>
          <w:sz w:val="20"/>
          <w:lang w:val="pt-BR"/>
        </w:rPr>
        <w:t>Aplica</w:t>
      </w:r>
      <w:r w:rsidR="0089298C" w:rsidRPr="002F50BD">
        <w:rPr>
          <w:rFonts w:ascii="Verdana" w:hAnsi="Verdana"/>
          <w:b/>
          <w:smallCaps/>
          <w:sz w:val="20"/>
          <w:lang w:val="pt-BR"/>
        </w:rPr>
        <w:t>ção</w:t>
      </w:r>
      <w:r w:rsidRPr="002F50BD">
        <w:rPr>
          <w:rFonts w:ascii="Verdana" w:hAnsi="Verdana"/>
          <w:b/>
          <w:smallCaps/>
          <w:sz w:val="20"/>
          <w:lang w:val="pt-BR"/>
        </w:rPr>
        <w:t xml:space="preserve"> </w:t>
      </w:r>
      <w:r w:rsidR="0089298C" w:rsidRPr="002F50BD">
        <w:rPr>
          <w:rFonts w:ascii="Verdana" w:hAnsi="Verdana"/>
          <w:b/>
          <w:smallCaps/>
          <w:sz w:val="20"/>
          <w:lang w:val="pt-BR"/>
        </w:rPr>
        <w:t>do artigo</w:t>
      </w:r>
      <w:r w:rsidRPr="002F50BD">
        <w:rPr>
          <w:rFonts w:ascii="Verdana" w:hAnsi="Verdana"/>
          <w:b/>
          <w:smallCaps/>
          <w:sz w:val="20"/>
          <w:lang w:val="pt-BR"/>
        </w:rPr>
        <w:t xml:space="preserve"> </w:t>
      </w:r>
      <w:r w:rsidR="00063B47" w:rsidRPr="002F50BD">
        <w:rPr>
          <w:rFonts w:ascii="Verdana" w:hAnsi="Verdana"/>
          <w:b/>
          <w:smallCaps/>
          <w:sz w:val="20"/>
          <w:lang w:val="pt-BR"/>
        </w:rPr>
        <w:t>63</w:t>
      </w:r>
      <w:r w:rsidRPr="002F50BD">
        <w:rPr>
          <w:rFonts w:ascii="Verdana" w:hAnsi="Verdana"/>
          <w:b/>
          <w:smallCaps/>
          <w:sz w:val="20"/>
          <w:lang w:val="pt-BR"/>
        </w:rPr>
        <w:t>.</w:t>
      </w:r>
      <w:r w:rsidR="00063B47" w:rsidRPr="002F50BD">
        <w:rPr>
          <w:rFonts w:ascii="Verdana" w:hAnsi="Verdana"/>
          <w:b/>
          <w:smallCaps/>
          <w:sz w:val="20"/>
          <w:lang w:val="pt-BR"/>
        </w:rPr>
        <w:t>1</w:t>
      </w:r>
    </w:p>
    <w:p w:rsidR="004756C1" w:rsidRPr="002F50BD" w:rsidRDefault="004756C1">
      <w:pPr>
        <w:jc w:val="both"/>
        <w:rPr>
          <w:rFonts w:ascii="Verdana" w:hAnsi="Verdana"/>
          <w:b/>
          <w:sz w:val="20"/>
          <w:lang w:val="pt-BR"/>
        </w:rPr>
      </w:pPr>
    </w:p>
    <w:p w:rsidR="004756C1" w:rsidRPr="002F50BD" w:rsidRDefault="0089298C">
      <w:pPr>
        <w:pStyle w:val="BodyText3"/>
        <w:ind w:right="-180"/>
        <w:rPr>
          <w:rFonts w:ascii="Verdana" w:hAnsi="Verdana"/>
          <w:i/>
          <w:sz w:val="20"/>
          <w:u w:val="none"/>
        </w:rPr>
      </w:pPr>
      <w:r w:rsidRPr="002F50BD">
        <w:rPr>
          <w:rFonts w:ascii="Verdana" w:hAnsi="Verdana"/>
          <w:i/>
          <w:sz w:val="20"/>
          <w:u w:val="none"/>
        </w:rPr>
        <w:t>Obrigação</w:t>
      </w:r>
      <w:r w:rsidR="004756C1" w:rsidRPr="002F50BD">
        <w:rPr>
          <w:rFonts w:ascii="Verdana" w:hAnsi="Verdana"/>
          <w:i/>
          <w:sz w:val="20"/>
          <w:u w:val="none"/>
        </w:rPr>
        <w:t xml:space="preserve"> de reparar</w:t>
      </w:r>
    </w:p>
    <w:p w:rsidR="004756C1" w:rsidRPr="002F50BD" w:rsidRDefault="004756C1">
      <w:pPr>
        <w:pStyle w:val="BodyText3"/>
        <w:ind w:right="-180"/>
        <w:rPr>
          <w:rFonts w:ascii="Verdana" w:hAnsi="Verdana"/>
          <w:sz w:val="20"/>
          <w:u w:val="none"/>
        </w:rPr>
      </w:pPr>
    </w:p>
    <w:p w:rsidR="004756C1" w:rsidRPr="002F50BD" w:rsidRDefault="00F55DCA">
      <w:pPr>
        <w:pStyle w:val="BodyText3"/>
        <w:numPr>
          <w:ilvl w:val="0"/>
          <w:numId w:val="29"/>
        </w:numPr>
        <w:rPr>
          <w:rFonts w:ascii="Verdana" w:hAnsi="Verdana"/>
          <w:sz w:val="20"/>
          <w:u w:val="none"/>
          <w:lang w:val="pt-BR"/>
        </w:rPr>
      </w:pPr>
      <w:r w:rsidRPr="002F50BD">
        <w:rPr>
          <w:rFonts w:ascii="Verdana" w:hAnsi="Verdana"/>
          <w:sz w:val="20"/>
          <w:u w:val="none"/>
          <w:lang w:val="pt-BR"/>
        </w:rPr>
        <w:t>De acordo com a</w:t>
      </w:r>
      <w:r w:rsidR="0089298C" w:rsidRPr="002F50BD">
        <w:rPr>
          <w:rFonts w:ascii="Verdana" w:hAnsi="Verdana"/>
          <w:sz w:val="20"/>
          <w:u w:val="none"/>
          <w:lang w:val="pt-BR"/>
        </w:rPr>
        <w:t xml:space="preserve"> análise</w:t>
      </w:r>
      <w:r w:rsidR="004756C1" w:rsidRPr="002F50BD">
        <w:rPr>
          <w:rFonts w:ascii="Verdana" w:hAnsi="Verdana"/>
          <w:sz w:val="20"/>
          <w:u w:val="none"/>
          <w:lang w:val="pt-BR"/>
        </w:rPr>
        <w:t xml:space="preserve"> realizad</w:t>
      </w:r>
      <w:r w:rsidRPr="002F50BD">
        <w:rPr>
          <w:rFonts w:ascii="Verdana" w:hAnsi="Verdana"/>
          <w:sz w:val="20"/>
          <w:u w:val="none"/>
          <w:lang w:val="pt-BR"/>
        </w:rPr>
        <w:t>a</w:t>
      </w:r>
      <w:r w:rsidR="0089298C" w:rsidRPr="002F50BD">
        <w:rPr>
          <w:rFonts w:ascii="Verdana" w:hAnsi="Verdana"/>
          <w:sz w:val="20"/>
          <w:u w:val="none"/>
          <w:lang w:val="pt-BR"/>
        </w:rPr>
        <w:t xml:space="preserve"> nos </w:t>
      </w:r>
      <w:r w:rsidR="004756C1" w:rsidRPr="002F50BD">
        <w:rPr>
          <w:rFonts w:ascii="Verdana" w:hAnsi="Verdana"/>
          <w:sz w:val="20"/>
          <w:u w:val="none"/>
          <w:lang w:val="pt-BR"/>
        </w:rPr>
        <w:t>capítu</w:t>
      </w:r>
      <w:r w:rsidRPr="002F50BD">
        <w:rPr>
          <w:rFonts w:ascii="Verdana" w:hAnsi="Verdana"/>
          <w:sz w:val="20"/>
          <w:u w:val="none"/>
          <w:lang w:val="pt-BR"/>
        </w:rPr>
        <w:t>lo</w:t>
      </w:r>
      <w:r w:rsidR="00AB6727" w:rsidRPr="002F50BD">
        <w:rPr>
          <w:rFonts w:ascii="Verdana" w:hAnsi="Verdana"/>
          <w:sz w:val="20"/>
          <w:u w:val="none"/>
          <w:lang w:val="pt-BR"/>
        </w:rPr>
        <w:t xml:space="preserve">s </w:t>
      </w:r>
      <w:r w:rsidR="004756C1" w:rsidRPr="002F50BD">
        <w:rPr>
          <w:rFonts w:ascii="Verdana" w:hAnsi="Verdana"/>
          <w:sz w:val="20"/>
          <w:u w:val="none"/>
          <w:lang w:val="pt-BR"/>
        </w:rPr>
        <w:t>precedentes,</w:t>
      </w:r>
      <w:r w:rsidR="0089298C" w:rsidRPr="002F50BD">
        <w:rPr>
          <w:rFonts w:ascii="Verdana" w:hAnsi="Verdana"/>
          <w:sz w:val="20"/>
          <w:u w:val="none"/>
          <w:lang w:val="pt-BR"/>
        </w:rPr>
        <w:t xml:space="preserve"> a </w:t>
      </w:r>
      <w:r w:rsidR="004756C1" w:rsidRPr="002F50BD">
        <w:rPr>
          <w:rFonts w:ascii="Verdana" w:hAnsi="Verdana"/>
          <w:sz w:val="20"/>
          <w:u w:val="none"/>
          <w:lang w:val="pt-BR"/>
        </w:rPr>
        <w:t xml:space="preserve">Corte </w:t>
      </w:r>
      <w:r w:rsidR="00AB454A" w:rsidRPr="002F50BD">
        <w:rPr>
          <w:rFonts w:ascii="Verdana" w:hAnsi="Verdana"/>
          <w:sz w:val="20"/>
          <w:u w:val="none"/>
          <w:lang w:val="pt-BR"/>
        </w:rPr>
        <w:t>declarou</w:t>
      </w:r>
      <w:r w:rsidR="004756C1" w:rsidRPr="002F50BD">
        <w:rPr>
          <w:rFonts w:ascii="Verdana" w:hAnsi="Verdana"/>
          <w:sz w:val="20"/>
          <w:u w:val="none"/>
          <w:lang w:val="pt-BR"/>
        </w:rPr>
        <w:t>,</w:t>
      </w:r>
      <w:r w:rsidR="0089298C" w:rsidRPr="002F50BD">
        <w:rPr>
          <w:rFonts w:ascii="Verdana" w:hAnsi="Verdana"/>
          <w:sz w:val="20"/>
          <w:u w:val="none"/>
          <w:lang w:val="pt-BR"/>
        </w:rPr>
        <w:t xml:space="preserve"> com </w:t>
      </w:r>
      <w:r w:rsidR="004756C1" w:rsidRPr="002F50BD">
        <w:rPr>
          <w:rFonts w:ascii="Verdana" w:hAnsi="Verdana"/>
          <w:sz w:val="20"/>
          <w:u w:val="none"/>
          <w:lang w:val="pt-BR"/>
        </w:rPr>
        <w:t>base</w:t>
      </w:r>
      <w:r w:rsidR="0089298C" w:rsidRPr="002F50BD">
        <w:rPr>
          <w:rFonts w:ascii="Verdana" w:hAnsi="Verdana"/>
          <w:sz w:val="20"/>
          <w:u w:val="none"/>
          <w:lang w:val="pt-BR"/>
        </w:rPr>
        <w:t xml:space="preserve"> nos fatos</w:t>
      </w:r>
      <w:r w:rsidR="004756C1" w:rsidRPr="002F50BD">
        <w:rPr>
          <w:rFonts w:ascii="Verdana" w:hAnsi="Verdana"/>
          <w:sz w:val="20"/>
          <w:u w:val="none"/>
          <w:lang w:val="pt-BR"/>
        </w:rPr>
        <w:t xml:space="preserve"> </w:t>
      </w:r>
      <w:r w:rsidR="0089298C" w:rsidRPr="002F50BD">
        <w:rPr>
          <w:rFonts w:ascii="Verdana" w:hAnsi="Verdana"/>
          <w:sz w:val="20"/>
          <w:u w:val="none"/>
          <w:lang w:val="pt-BR"/>
        </w:rPr>
        <w:t xml:space="preserve">do </w:t>
      </w:r>
      <w:r w:rsidR="004756C1" w:rsidRPr="002F50BD">
        <w:rPr>
          <w:rFonts w:ascii="Verdana" w:hAnsi="Verdana"/>
          <w:sz w:val="20"/>
          <w:u w:val="none"/>
          <w:lang w:val="pt-BR"/>
        </w:rPr>
        <w:t>caso,</w:t>
      </w:r>
      <w:r w:rsidR="0089298C" w:rsidRPr="002F50BD">
        <w:rPr>
          <w:rFonts w:ascii="Verdana" w:hAnsi="Verdana"/>
          <w:sz w:val="20"/>
          <w:u w:val="none"/>
          <w:lang w:val="pt-BR"/>
        </w:rPr>
        <w:t xml:space="preserve"> a </w:t>
      </w:r>
      <w:r w:rsidR="004756C1" w:rsidRPr="002F50BD">
        <w:rPr>
          <w:rFonts w:ascii="Verdana" w:hAnsi="Verdana"/>
          <w:sz w:val="20"/>
          <w:u w:val="none"/>
          <w:lang w:val="pt-BR"/>
        </w:rPr>
        <w:t>viola</w:t>
      </w:r>
      <w:r w:rsidR="0089298C" w:rsidRPr="002F50BD">
        <w:rPr>
          <w:rFonts w:ascii="Verdana" w:hAnsi="Verdana"/>
          <w:sz w:val="20"/>
          <w:u w:val="none"/>
          <w:lang w:val="pt-BR"/>
        </w:rPr>
        <w:t>ção</w:t>
      </w:r>
      <w:r w:rsidR="004756C1" w:rsidRPr="002F50BD">
        <w:rPr>
          <w:rFonts w:ascii="Verdana" w:hAnsi="Verdana"/>
          <w:sz w:val="20"/>
          <w:u w:val="none"/>
          <w:lang w:val="pt-BR"/>
        </w:rPr>
        <w:t xml:space="preserve"> </w:t>
      </w:r>
      <w:r w:rsidR="0089298C" w:rsidRPr="002F50BD">
        <w:rPr>
          <w:rFonts w:ascii="Verdana" w:hAnsi="Verdana"/>
          <w:sz w:val="20"/>
          <w:u w:val="none"/>
          <w:lang w:val="pt-BR"/>
        </w:rPr>
        <w:t>do artigo</w:t>
      </w:r>
      <w:r w:rsidR="004756C1" w:rsidRPr="002F50BD">
        <w:rPr>
          <w:rFonts w:ascii="Verdana" w:hAnsi="Verdana"/>
          <w:sz w:val="20"/>
          <w:u w:val="none"/>
          <w:lang w:val="pt-BR"/>
        </w:rPr>
        <w:t xml:space="preserve"> </w:t>
      </w:r>
      <w:r w:rsidR="00063B47" w:rsidRPr="002F50BD">
        <w:rPr>
          <w:rFonts w:ascii="Verdana" w:hAnsi="Verdana"/>
          <w:sz w:val="20"/>
          <w:u w:val="none"/>
          <w:lang w:val="pt-BR"/>
        </w:rPr>
        <w:t>4</w:t>
      </w:r>
      <w:r w:rsidR="004756C1" w:rsidRPr="002F50BD">
        <w:rPr>
          <w:rFonts w:ascii="Verdana" w:hAnsi="Verdana"/>
          <w:sz w:val="20"/>
          <w:u w:val="none"/>
          <w:lang w:val="pt-BR"/>
        </w:rPr>
        <w:t>.</w:t>
      </w:r>
      <w:r w:rsidR="00063B47" w:rsidRPr="002F50BD">
        <w:rPr>
          <w:rFonts w:ascii="Verdana" w:hAnsi="Verdana"/>
          <w:sz w:val="20"/>
          <w:u w:val="none"/>
          <w:lang w:val="pt-BR"/>
        </w:rPr>
        <w:t>1</w:t>
      </w:r>
      <w:r w:rsidR="0089298C" w:rsidRPr="002F50BD">
        <w:rPr>
          <w:rFonts w:ascii="Verdana" w:hAnsi="Verdana"/>
          <w:sz w:val="20"/>
          <w:u w:val="none"/>
          <w:lang w:val="pt-BR"/>
        </w:rPr>
        <w:t xml:space="preserve"> da </w:t>
      </w:r>
      <w:r w:rsidR="004756C1" w:rsidRPr="002F50BD">
        <w:rPr>
          <w:rFonts w:ascii="Verdana" w:hAnsi="Verdana"/>
          <w:sz w:val="20"/>
          <w:u w:val="none"/>
          <w:lang w:val="pt-BR"/>
        </w:rPr>
        <w:t>Conven</w:t>
      </w:r>
      <w:r w:rsidR="0089298C" w:rsidRPr="002F50BD">
        <w:rPr>
          <w:rFonts w:ascii="Verdana" w:hAnsi="Verdana"/>
          <w:sz w:val="20"/>
          <w:u w:val="none"/>
          <w:lang w:val="pt-BR"/>
        </w:rPr>
        <w:t>ção</w:t>
      </w:r>
      <w:r w:rsidR="004756C1" w:rsidRPr="002F50BD">
        <w:rPr>
          <w:rFonts w:ascii="Verdana" w:hAnsi="Verdana"/>
          <w:sz w:val="20"/>
          <w:u w:val="none"/>
          <w:lang w:val="pt-BR"/>
        </w:rPr>
        <w:t xml:space="preserve"> Americana,</w:t>
      </w:r>
      <w:r w:rsidR="0089298C" w:rsidRPr="002F50BD">
        <w:rPr>
          <w:rFonts w:ascii="Verdana" w:hAnsi="Verdana"/>
          <w:sz w:val="20"/>
          <w:u w:val="none"/>
          <w:lang w:val="pt-BR"/>
        </w:rPr>
        <w:t xml:space="preserve"> </w:t>
      </w:r>
      <w:r w:rsidR="00452B62" w:rsidRPr="002F50BD">
        <w:rPr>
          <w:rFonts w:ascii="Verdana" w:hAnsi="Verdana"/>
          <w:sz w:val="20"/>
          <w:u w:val="none"/>
          <w:lang w:val="pt-BR"/>
        </w:rPr>
        <w:t xml:space="preserve">em relação ao artigo </w:t>
      </w:r>
      <w:r w:rsidR="00063B47" w:rsidRPr="002F50BD">
        <w:rPr>
          <w:rFonts w:ascii="Verdana" w:hAnsi="Verdana"/>
          <w:sz w:val="20"/>
          <w:u w:val="none"/>
          <w:lang w:val="pt-BR"/>
        </w:rPr>
        <w:t>1</w:t>
      </w:r>
      <w:r w:rsidR="004756C1" w:rsidRPr="002F50BD">
        <w:rPr>
          <w:rFonts w:ascii="Verdana" w:hAnsi="Verdana"/>
          <w:sz w:val="20"/>
          <w:u w:val="none"/>
          <w:lang w:val="pt-BR"/>
        </w:rPr>
        <w:t>.</w:t>
      </w:r>
      <w:r w:rsidR="00063B47" w:rsidRPr="002F50BD">
        <w:rPr>
          <w:rFonts w:ascii="Verdana" w:hAnsi="Verdana"/>
          <w:sz w:val="20"/>
          <w:u w:val="none"/>
          <w:lang w:val="pt-BR"/>
        </w:rPr>
        <w:t>1</w:t>
      </w:r>
      <w:r w:rsidR="0089298C" w:rsidRPr="002F50BD">
        <w:rPr>
          <w:rFonts w:ascii="Verdana" w:hAnsi="Verdana"/>
          <w:sz w:val="20"/>
          <w:u w:val="none"/>
          <w:lang w:val="pt-BR"/>
        </w:rPr>
        <w:t xml:space="preserve"> da mesm</w:t>
      </w:r>
      <w:r w:rsidR="004756C1" w:rsidRPr="002F50BD">
        <w:rPr>
          <w:rFonts w:ascii="Verdana" w:hAnsi="Verdana"/>
          <w:sz w:val="20"/>
          <w:u w:val="none"/>
          <w:lang w:val="pt-BR"/>
        </w:rPr>
        <w:t>a</w:t>
      </w:r>
      <w:r w:rsidR="0089298C" w:rsidRPr="002F50BD">
        <w:rPr>
          <w:rFonts w:ascii="Verdana" w:hAnsi="Verdana"/>
          <w:sz w:val="20"/>
          <w:u w:val="none"/>
          <w:lang w:val="pt-BR"/>
        </w:rPr>
        <w:t>, e dos artigo</w:t>
      </w:r>
      <w:r w:rsidR="004756C1" w:rsidRPr="002F50BD">
        <w:rPr>
          <w:rFonts w:ascii="Verdana" w:hAnsi="Verdana"/>
          <w:sz w:val="20"/>
          <w:u w:val="none"/>
          <w:lang w:val="pt-BR"/>
        </w:rPr>
        <w:t xml:space="preserve">s </w:t>
      </w:r>
      <w:r w:rsidR="00063B47" w:rsidRPr="002F50BD">
        <w:rPr>
          <w:rFonts w:ascii="Verdana" w:hAnsi="Verdana"/>
          <w:sz w:val="20"/>
          <w:u w:val="none"/>
          <w:lang w:val="pt-BR"/>
        </w:rPr>
        <w:t>21</w:t>
      </w:r>
      <w:r w:rsidR="004756C1" w:rsidRPr="002F50BD">
        <w:rPr>
          <w:rFonts w:ascii="Verdana" w:hAnsi="Verdana"/>
          <w:sz w:val="20"/>
          <w:u w:val="none"/>
          <w:lang w:val="pt-BR"/>
        </w:rPr>
        <w:t xml:space="preserve">, </w:t>
      </w:r>
      <w:r w:rsidR="00063B47" w:rsidRPr="002F50BD">
        <w:rPr>
          <w:rFonts w:ascii="Verdana" w:hAnsi="Verdana"/>
          <w:sz w:val="20"/>
          <w:u w:val="none"/>
          <w:lang w:val="pt-BR"/>
        </w:rPr>
        <w:t>8</w:t>
      </w:r>
      <w:r w:rsidR="0089298C" w:rsidRPr="002F50BD">
        <w:rPr>
          <w:rFonts w:ascii="Verdana" w:hAnsi="Verdana"/>
          <w:sz w:val="20"/>
          <w:u w:val="none"/>
          <w:lang w:val="pt-BR"/>
        </w:rPr>
        <w:t xml:space="preserve"> e </w:t>
      </w:r>
      <w:r w:rsidR="00063B47" w:rsidRPr="002F50BD">
        <w:rPr>
          <w:rFonts w:ascii="Verdana" w:hAnsi="Verdana"/>
          <w:sz w:val="20"/>
          <w:u w:val="none"/>
          <w:lang w:val="pt-BR"/>
        </w:rPr>
        <w:t>25</w:t>
      </w:r>
      <w:r w:rsidR="0089298C" w:rsidRPr="002F50BD">
        <w:rPr>
          <w:rFonts w:ascii="Verdana" w:hAnsi="Verdana"/>
          <w:sz w:val="20"/>
          <w:u w:val="none"/>
          <w:lang w:val="pt-BR"/>
        </w:rPr>
        <w:t xml:space="preserve"> da </w:t>
      </w:r>
      <w:r w:rsidR="004756C1" w:rsidRPr="002F50BD">
        <w:rPr>
          <w:rFonts w:ascii="Verdana" w:hAnsi="Verdana"/>
          <w:sz w:val="20"/>
          <w:u w:val="none"/>
          <w:lang w:val="pt-BR"/>
        </w:rPr>
        <w:t>Conven</w:t>
      </w:r>
      <w:r w:rsidR="0089298C" w:rsidRPr="002F50BD">
        <w:rPr>
          <w:rFonts w:ascii="Verdana" w:hAnsi="Verdana"/>
          <w:sz w:val="20"/>
          <w:u w:val="none"/>
          <w:lang w:val="pt-BR"/>
        </w:rPr>
        <w:t>ção</w:t>
      </w:r>
      <w:r w:rsidR="004756C1" w:rsidRPr="002F50BD">
        <w:rPr>
          <w:rFonts w:ascii="Verdana" w:hAnsi="Verdana"/>
          <w:sz w:val="20"/>
          <w:u w:val="none"/>
          <w:lang w:val="pt-BR"/>
        </w:rPr>
        <w:t xml:space="preserve"> Americana,</w:t>
      </w:r>
      <w:r w:rsidR="0089298C" w:rsidRPr="002F50BD">
        <w:rPr>
          <w:rFonts w:ascii="Verdana" w:hAnsi="Verdana"/>
          <w:sz w:val="20"/>
          <w:u w:val="none"/>
          <w:lang w:val="pt-BR"/>
        </w:rPr>
        <w:t xml:space="preserve"> em </w:t>
      </w:r>
      <w:r w:rsidR="004756C1" w:rsidRPr="002F50BD">
        <w:rPr>
          <w:rFonts w:ascii="Verdana" w:hAnsi="Verdana"/>
          <w:sz w:val="20"/>
          <w:u w:val="none"/>
          <w:lang w:val="pt-BR"/>
        </w:rPr>
        <w:t>rela</w:t>
      </w:r>
      <w:r w:rsidR="0089298C" w:rsidRPr="002F50BD">
        <w:rPr>
          <w:rFonts w:ascii="Verdana" w:hAnsi="Verdana"/>
          <w:sz w:val="20"/>
          <w:u w:val="none"/>
          <w:lang w:val="pt-BR"/>
        </w:rPr>
        <w:t xml:space="preserve">ção </w:t>
      </w:r>
      <w:r w:rsidRPr="002F50BD">
        <w:rPr>
          <w:rFonts w:ascii="Verdana" w:hAnsi="Verdana"/>
          <w:sz w:val="20"/>
          <w:u w:val="none"/>
          <w:lang w:val="pt-BR"/>
        </w:rPr>
        <w:t>a</w:t>
      </w:r>
      <w:r w:rsidR="0089298C" w:rsidRPr="002F50BD">
        <w:rPr>
          <w:rFonts w:ascii="Verdana" w:hAnsi="Verdana"/>
          <w:sz w:val="20"/>
          <w:u w:val="none"/>
          <w:lang w:val="pt-BR"/>
        </w:rPr>
        <w:t>os artigo</w:t>
      </w:r>
      <w:r w:rsidR="004756C1" w:rsidRPr="002F50BD">
        <w:rPr>
          <w:rFonts w:ascii="Verdana" w:hAnsi="Verdana"/>
          <w:sz w:val="20"/>
          <w:u w:val="none"/>
          <w:lang w:val="pt-BR"/>
        </w:rPr>
        <w:t xml:space="preserve">s </w:t>
      </w:r>
      <w:r w:rsidR="00063B47" w:rsidRPr="002F50BD">
        <w:rPr>
          <w:rFonts w:ascii="Verdana" w:hAnsi="Verdana"/>
          <w:sz w:val="20"/>
          <w:u w:val="none"/>
          <w:lang w:val="pt-BR"/>
        </w:rPr>
        <w:t>1</w:t>
      </w:r>
      <w:r w:rsidR="004756C1" w:rsidRPr="002F50BD">
        <w:rPr>
          <w:rFonts w:ascii="Verdana" w:hAnsi="Verdana"/>
          <w:sz w:val="20"/>
          <w:u w:val="none"/>
          <w:lang w:val="pt-BR"/>
        </w:rPr>
        <w:t>.</w:t>
      </w:r>
      <w:r w:rsidR="00063B47" w:rsidRPr="002F50BD">
        <w:rPr>
          <w:rFonts w:ascii="Verdana" w:hAnsi="Verdana"/>
          <w:sz w:val="20"/>
          <w:u w:val="none"/>
          <w:lang w:val="pt-BR"/>
        </w:rPr>
        <w:t>1</w:t>
      </w:r>
      <w:r w:rsidR="0089298C" w:rsidRPr="002F50BD">
        <w:rPr>
          <w:rFonts w:ascii="Verdana" w:hAnsi="Verdana"/>
          <w:sz w:val="20"/>
          <w:u w:val="none"/>
          <w:lang w:val="pt-BR"/>
        </w:rPr>
        <w:t xml:space="preserve"> e </w:t>
      </w:r>
      <w:r w:rsidR="00063B47" w:rsidRPr="002F50BD">
        <w:rPr>
          <w:rFonts w:ascii="Verdana" w:hAnsi="Verdana"/>
          <w:sz w:val="20"/>
          <w:u w:val="none"/>
          <w:lang w:val="pt-BR"/>
        </w:rPr>
        <w:t>2</w:t>
      </w:r>
      <w:r w:rsidR="0089298C" w:rsidRPr="002F50BD">
        <w:rPr>
          <w:rFonts w:ascii="Verdana" w:hAnsi="Verdana"/>
          <w:sz w:val="20"/>
          <w:u w:val="none"/>
          <w:lang w:val="pt-BR"/>
        </w:rPr>
        <w:t xml:space="preserve"> da mesm</w:t>
      </w:r>
      <w:r w:rsidR="004756C1" w:rsidRPr="002F50BD">
        <w:rPr>
          <w:rFonts w:ascii="Verdana" w:hAnsi="Verdana"/>
          <w:sz w:val="20"/>
          <w:u w:val="none"/>
          <w:lang w:val="pt-BR"/>
        </w:rPr>
        <w:t>a,</w:t>
      </w:r>
      <w:r w:rsidR="0089298C" w:rsidRPr="002F50BD">
        <w:rPr>
          <w:rFonts w:ascii="Verdana" w:hAnsi="Verdana"/>
          <w:sz w:val="20"/>
          <w:u w:val="none"/>
          <w:lang w:val="pt-BR"/>
        </w:rPr>
        <w:t xml:space="preserve"> em </w:t>
      </w:r>
      <w:r w:rsidRPr="002F50BD">
        <w:rPr>
          <w:rFonts w:ascii="Verdana" w:hAnsi="Verdana"/>
          <w:sz w:val="20"/>
          <w:u w:val="none"/>
          <w:lang w:val="pt-BR"/>
        </w:rPr>
        <w:t xml:space="preserve">detrimento </w:t>
      </w:r>
      <w:r w:rsidR="0089298C" w:rsidRPr="002F50BD">
        <w:rPr>
          <w:rFonts w:ascii="Verdana" w:hAnsi="Verdana"/>
          <w:sz w:val="20"/>
          <w:u w:val="none"/>
          <w:lang w:val="pt-BR"/>
        </w:rPr>
        <w:t>dos membro</w:t>
      </w:r>
      <w:r w:rsidR="004756C1" w:rsidRPr="002F50BD">
        <w:rPr>
          <w:rFonts w:ascii="Verdana" w:hAnsi="Verdana"/>
          <w:sz w:val="20"/>
          <w:u w:val="none"/>
          <w:lang w:val="pt-BR"/>
        </w:rPr>
        <w:t>s</w:t>
      </w:r>
      <w:r w:rsidR="0089298C" w:rsidRPr="002F50BD">
        <w:rPr>
          <w:rFonts w:ascii="Verdana" w:hAnsi="Verdana"/>
          <w:sz w:val="20"/>
          <w:u w:val="none"/>
          <w:lang w:val="pt-BR"/>
        </w:rPr>
        <w:t xml:space="preserve"> da Comunidade </w:t>
      </w:r>
      <w:r w:rsidR="004756C1" w:rsidRPr="002F50BD">
        <w:rPr>
          <w:rFonts w:ascii="Verdana" w:hAnsi="Verdana"/>
          <w:sz w:val="20"/>
          <w:u w:val="none"/>
          <w:lang w:val="pt-BR"/>
        </w:rPr>
        <w:t>indígena Yakye Axa</w:t>
      </w:r>
      <w:r w:rsidR="00AB454A" w:rsidRPr="002F50BD">
        <w:rPr>
          <w:rFonts w:ascii="Verdana" w:hAnsi="Verdana"/>
          <w:sz w:val="20"/>
          <w:u w:val="none"/>
          <w:lang w:val="pt-BR"/>
        </w:rPr>
        <w:t xml:space="preserve">. A </w:t>
      </w:r>
      <w:r w:rsidR="004756C1" w:rsidRPr="002F50BD">
        <w:rPr>
          <w:rFonts w:ascii="Verdana" w:hAnsi="Verdana"/>
          <w:sz w:val="20"/>
          <w:u w:val="none"/>
          <w:lang w:val="pt-BR"/>
        </w:rPr>
        <w:t xml:space="preserve">Corte </w:t>
      </w:r>
      <w:r w:rsidR="0089298C" w:rsidRPr="002F50BD">
        <w:rPr>
          <w:rFonts w:ascii="Verdana" w:hAnsi="Verdana"/>
          <w:sz w:val="20"/>
          <w:u w:val="none"/>
          <w:lang w:val="pt-BR"/>
        </w:rPr>
        <w:t>estabeleceu</w:t>
      </w:r>
      <w:r w:rsidR="004756C1" w:rsidRPr="002F50BD">
        <w:rPr>
          <w:rFonts w:ascii="Verdana" w:hAnsi="Verdana"/>
          <w:sz w:val="20"/>
          <w:u w:val="none"/>
          <w:lang w:val="pt-BR"/>
        </w:rPr>
        <w:t>,</w:t>
      </w:r>
      <w:r w:rsidR="0089298C" w:rsidRPr="002F50BD">
        <w:rPr>
          <w:rFonts w:ascii="Verdana" w:hAnsi="Verdana"/>
          <w:sz w:val="20"/>
          <w:u w:val="none"/>
          <w:lang w:val="pt-BR"/>
        </w:rPr>
        <w:t xml:space="preserve"> em várias</w:t>
      </w:r>
      <w:r w:rsidR="004756C1" w:rsidRPr="002F50BD">
        <w:rPr>
          <w:rFonts w:ascii="Verdana" w:hAnsi="Verdana"/>
          <w:sz w:val="20"/>
          <w:u w:val="none"/>
          <w:lang w:val="pt-BR"/>
        </w:rPr>
        <w:t xml:space="preserve"> </w:t>
      </w:r>
      <w:r w:rsidR="0089298C" w:rsidRPr="002F50BD">
        <w:rPr>
          <w:rFonts w:ascii="Verdana" w:hAnsi="Verdana"/>
          <w:sz w:val="20"/>
          <w:u w:val="none"/>
          <w:lang w:val="pt-BR"/>
        </w:rPr>
        <w:t>ocasiões</w:t>
      </w:r>
      <w:r w:rsidR="004756C1" w:rsidRPr="002F50BD">
        <w:rPr>
          <w:rFonts w:ascii="Verdana" w:hAnsi="Verdana"/>
          <w:sz w:val="20"/>
          <w:u w:val="none"/>
          <w:lang w:val="pt-BR"/>
        </w:rPr>
        <w:t>, que toda viola</w:t>
      </w:r>
      <w:r w:rsidR="0089298C" w:rsidRPr="002F50BD">
        <w:rPr>
          <w:rFonts w:ascii="Verdana" w:hAnsi="Verdana"/>
          <w:sz w:val="20"/>
          <w:u w:val="none"/>
          <w:lang w:val="pt-BR"/>
        </w:rPr>
        <w:t>ção</w:t>
      </w:r>
      <w:r w:rsidR="004756C1" w:rsidRPr="002F50BD">
        <w:rPr>
          <w:rFonts w:ascii="Verdana" w:hAnsi="Verdana"/>
          <w:sz w:val="20"/>
          <w:u w:val="none"/>
          <w:lang w:val="pt-BR"/>
        </w:rPr>
        <w:t xml:space="preserve"> de</w:t>
      </w:r>
      <w:r w:rsidR="0089298C" w:rsidRPr="002F50BD">
        <w:rPr>
          <w:rFonts w:ascii="Verdana" w:hAnsi="Verdana"/>
          <w:sz w:val="20"/>
          <w:u w:val="none"/>
          <w:lang w:val="pt-BR"/>
        </w:rPr>
        <w:t xml:space="preserve"> uma obrigação</w:t>
      </w:r>
      <w:r w:rsidR="004756C1" w:rsidRPr="002F50BD">
        <w:rPr>
          <w:rFonts w:ascii="Verdana" w:hAnsi="Verdana"/>
          <w:sz w:val="20"/>
          <w:u w:val="none"/>
          <w:lang w:val="pt-BR"/>
        </w:rPr>
        <w:t xml:space="preserve"> internacional que</w:t>
      </w:r>
      <w:r w:rsidR="00FC6B22" w:rsidRPr="002F50BD">
        <w:rPr>
          <w:rFonts w:ascii="Verdana" w:hAnsi="Verdana"/>
          <w:sz w:val="20"/>
          <w:u w:val="none"/>
          <w:lang w:val="pt-BR"/>
        </w:rPr>
        <w:t xml:space="preserve"> </w:t>
      </w:r>
      <w:r w:rsidR="00DC0F25" w:rsidRPr="002F50BD">
        <w:rPr>
          <w:rFonts w:ascii="Verdana" w:hAnsi="Verdana"/>
          <w:sz w:val="20"/>
          <w:u w:val="none"/>
          <w:lang w:val="pt-BR"/>
        </w:rPr>
        <w:t>produziu</w:t>
      </w:r>
      <w:r w:rsidR="0089298C" w:rsidRPr="002F50BD">
        <w:rPr>
          <w:rFonts w:ascii="Verdana" w:hAnsi="Verdana"/>
          <w:sz w:val="20"/>
          <w:u w:val="none"/>
          <w:lang w:val="pt-BR"/>
        </w:rPr>
        <w:t xml:space="preserve"> um dano</w:t>
      </w:r>
      <w:r w:rsidR="004756C1" w:rsidRPr="002F50BD">
        <w:rPr>
          <w:rFonts w:ascii="Verdana" w:hAnsi="Verdana"/>
          <w:sz w:val="20"/>
          <w:u w:val="none"/>
          <w:lang w:val="pt-BR"/>
        </w:rPr>
        <w:t xml:space="preserve"> comporta</w:t>
      </w:r>
      <w:r w:rsidR="0089298C" w:rsidRPr="002F50BD">
        <w:rPr>
          <w:rFonts w:ascii="Verdana" w:hAnsi="Verdana"/>
          <w:sz w:val="20"/>
          <w:u w:val="none"/>
          <w:lang w:val="pt-BR"/>
        </w:rPr>
        <w:t xml:space="preserve"> o dever</w:t>
      </w:r>
      <w:r w:rsidR="004756C1" w:rsidRPr="002F50BD">
        <w:rPr>
          <w:rFonts w:ascii="Verdana" w:hAnsi="Verdana"/>
          <w:sz w:val="20"/>
          <w:u w:val="none"/>
          <w:lang w:val="pt-BR"/>
        </w:rPr>
        <w:t xml:space="preserve"> de </w:t>
      </w:r>
      <w:r w:rsidR="00AB454A" w:rsidRPr="002F50BD">
        <w:rPr>
          <w:rFonts w:ascii="Verdana" w:hAnsi="Verdana"/>
          <w:sz w:val="20"/>
          <w:u w:val="none"/>
          <w:lang w:val="pt-BR"/>
        </w:rPr>
        <w:t>repará-l</w:t>
      </w:r>
      <w:r w:rsidR="004756C1" w:rsidRPr="002F50BD">
        <w:rPr>
          <w:rFonts w:ascii="Verdana" w:hAnsi="Verdana"/>
          <w:sz w:val="20"/>
          <w:u w:val="none"/>
          <w:lang w:val="pt-BR"/>
        </w:rPr>
        <w:t xml:space="preserve">o </w:t>
      </w:r>
      <w:r w:rsidR="0089298C" w:rsidRPr="002F50BD">
        <w:rPr>
          <w:rFonts w:ascii="Verdana" w:hAnsi="Verdana"/>
          <w:sz w:val="20"/>
          <w:u w:val="none"/>
          <w:lang w:val="pt-BR"/>
        </w:rPr>
        <w:t>adequad</w:t>
      </w:r>
      <w:r w:rsidR="004756C1" w:rsidRPr="002F50BD">
        <w:rPr>
          <w:rFonts w:ascii="Verdana" w:hAnsi="Verdana"/>
          <w:sz w:val="20"/>
          <w:u w:val="none"/>
          <w:lang w:val="pt-BR"/>
        </w:rPr>
        <w:t>amente</w:t>
      </w:r>
      <w:r w:rsidRPr="002F50BD">
        <w:rPr>
          <w:rFonts w:ascii="Verdana" w:hAnsi="Verdana"/>
          <w:sz w:val="20"/>
          <w:u w:val="none"/>
          <w:lang w:val="pt-BR"/>
        </w:rPr>
        <w:t>.</w:t>
      </w:r>
      <w:r w:rsidR="004756C1" w:rsidRPr="002F50BD">
        <w:rPr>
          <w:rStyle w:val="FootnoteReference"/>
          <w:rFonts w:ascii="Verdana" w:hAnsi="Verdana"/>
          <w:u w:val="none"/>
        </w:rPr>
        <w:footnoteReference w:id="209"/>
      </w:r>
      <w:r w:rsidR="004756C1" w:rsidRPr="002F50BD">
        <w:rPr>
          <w:rFonts w:ascii="Verdana" w:hAnsi="Verdana"/>
          <w:sz w:val="20"/>
          <w:u w:val="none"/>
          <w:lang w:val="pt-BR"/>
        </w:rPr>
        <w:t xml:space="preserve"> </w:t>
      </w:r>
      <w:r w:rsidRPr="002F50BD">
        <w:rPr>
          <w:rFonts w:ascii="Verdana" w:hAnsi="Verdana"/>
          <w:sz w:val="20"/>
          <w:u w:val="none"/>
          <w:lang w:val="pt-BR"/>
        </w:rPr>
        <w:t>Para</w:t>
      </w:r>
      <w:r w:rsidR="0089298C" w:rsidRPr="002F50BD">
        <w:rPr>
          <w:rFonts w:ascii="Verdana" w:hAnsi="Verdana"/>
          <w:sz w:val="20"/>
          <w:u w:val="none"/>
          <w:lang w:val="pt-BR"/>
        </w:rPr>
        <w:t xml:space="preserve"> tais efeito</w:t>
      </w:r>
      <w:r w:rsidR="004756C1" w:rsidRPr="002F50BD">
        <w:rPr>
          <w:rFonts w:ascii="Verdana" w:hAnsi="Verdana"/>
          <w:sz w:val="20"/>
          <w:u w:val="none"/>
          <w:lang w:val="pt-BR"/>
        </w:rPr>
        <w:t>s,</w:t>
      </w:r>
      <w:r w:rsidR="0089298C" w:rsidRPr="002F50BD">
        <w:rPr>
          <w:rFonts w:ascii="Verdana" w:hAnsi="Verdana"/>
          <w:sz w:val="20"/>
          <w:u w:val="none"/>
          <w:lang w:val="pt-BR"/>
        </w:rPr>
        <w:t xml:space="preserve"> o artigo</w:t>
      </w:r>
      <w:r w:rsidR="004756C1" w:rsidRPr="002F50BD">
        <w:rPr>
          <w:rFonts w:ascii="Verdana" w:hAnsi="Verdana"/>
          <w:sz w:val="20"/>
          <w:u w:val="none"/>
          <w:lang w:val="pt-BR"/>
        </w:rPr>
        <w:t xml:space="preserve"> </w:t>
      </w:r>
      <w:r w:rsidR="00063B47" w:rsidRPr="002F50BD">
        <w:rPr>
          <w:rFonts w:ascii="Verdana" w:hAnsi="Verdana"/>
          <w:sz w:val="20"/>
          <w:u w:val="none"/>
          <w:lang w:val="pt-BR"/>
        </w:rPr>
        <w:t>63</w:t>
      </w:r>
      <w:r w:rsidR="004756C1" w:rsidRPr="002F50BD">
        <w:rPr>
          <w:rFonts w:ascii="Verdana" w:hAnsi="Verdana"/>
          <w:sz w:val="20"/>
          <w:u w:val="none"/>
          <w:lang w:val="pt-BR"/>
        </w:rPr>
        <w:t>.</w:t>
      </w:r>
      <w:r w:rsidR="00063B47" w:rsidRPr="002F50BD">
        <w:rPr>
          <w:rFonts w:ascii="Verdana" w:hAnsi="Verdana"/>
          <w:sz w:val="20"/>
          <w:u w:val="none"/>
          <w:lang w:val="pt-BR"/>
        </w:rPr>
        <w:t>1</w:t>
      </w:r>
      <w:r w:rsidR="0089298C" w:rsidRPr="002F50BD">
        <w:rPr>
          <w:rFonts w:ascii="Verdana" w:hAnsi="Verdana"/>
          <w:sz w:val="20"/>
          <w:u w:val="none"/>
          <w:lang w:val="pt-BR"/>
        </w:rPr>
        <w:t xml:space="preserve"> da </w:t>
      </w:r>
      <w:r w:rsidR="004756C1" w:rsidRPr="002F50BD">
        <w:rPr>
          <w:rFonts w:ascii="Verdana" w:hAnsi="Verdana"/>
          <w:sz w:val="20"/>
          <w:u w:val="none"/>
          <w:lang w:val="pt-BR"/>
        </w:rPr>
        <w:t>Conven</w:t>
      </w:r>
      <w:r w:rsidR="0089298C" w:rsidRPr="002F50BD">
        <w:rPr>
          <w:rFonts w:ascii="Verdana" w:hAnsi="Verdana"/>
          <w:sz w:val="20"/>
          <w:u w:val="none"/>
          <w:lang w:val="pt-BR"/>
        </w:rPr>
        <w:t>ção</w:t>
      </w:r>
      <w:r w:rsidR="004756C1" w:rsidRPr="002F50BD">
        <w:rPr>
          <w:rFonts w:ascii="Verdana" w:hAnsi="Verdana"/>
          <w:sz w:val="20"/>
          <w:u w:val="none"/>
          <w:lang w:val="pt-BR"/>
        </w:rPr>
        <w:t xml:space="preserve"> Americana </w:t>
      </w:r>
      <w:r w:rsidR="0089298C" w:rsidRPr="002F50BD">
        <w:rPr>
          <w:rFonts w:ascii="Verdana" w:hAnsi="Verdana"/>
          <w:sz w:val="20"/>
          <w:u w:val="none"/>
          <w:lang w:val="pt-BR"/>
        </w:rPr>
        <w:t>estabelece</w:t>
      </w:r>
      <w:r w:rsidR="004756C1" w:rsidRPr="002F50BD">
        <w:rPr>
          <w:rFonts w:ascii="Verdana" w:hAnsi="Verdana"/>
          <w:sz w:val="20"/>
          <w:u w:val="none"/>
          <w:lang w:val="pt-BR"/>
        </w:rPr>
        <w:t xml:space="preserve"> que:</w:t>
      </w:r>
    </w:p>
    <w:p w:rsidR="004756C1" w:rsidRPr="002F50BD" w:rsidRDefault="004756C1">
      <w:pPr>
        <w:pStyle w:val="BodyText2"/>
        <w:rPr>
          <w:rFonts w:ascii="Verdana" w:hAnsi="Verdana"/>
          <w:sz w:val="20"/>
          <w:lang w:val="pt-BR"/>
        </w:rPr>
      </w:pPr>
    </w:p>
    <w:p w:rsidR="004756C1" w:rsidRPr="002F50BD" w:rsidRDefault="004756C1">
      <w:pPr>
        <w:pStyle w:val="BodyText2"/>
        <w:ind w:left="720" w:right="720"/>
        <w:rPr>
          <w:rFonts w:ascii="Verdana" w:hAnsi="Verdana"/>
          <w:sz w:val="16"/>
          <w:lang w:val="pt-BR"/>
        </w:rPr>
      </w:pPr>
      <w:r w:rsidRPr="002F50BD">
        <w:rPr>
          <w:rFonts w:ascii="Verdana" w:hAnsi="Verdana"/>
          <w:sz w:val="16"/>
          <w:lang w:val="pt-BR"/>
        </w:rPr>
        <w:t>[</w:t>
      </w:r>
      <w:r w:rsidR="00F55DCA" w:rsidRPr="002F50BD">
        <w:rPr>
          <w:rFonts w:ascii="Verdana" w:hAnsi="Verdana"/>
          <w:sz w:val="16"/>
          <w:lang w:val="pt-BR"/>
        </w:rPr>
        <w:t>q</w:t>
      </w:r>
      <w:r w:rsidRPr="002F50BD">
        <w:rPr>
          <w:rFonts w:ascii="Verdana" w:hAnsi="Verdana"/>
          <w:sz w:val="16"/>
          <w:lang w:val="pt-BR"/>
        </w:rPr>
        <w:t xml:space="preserve">]uando </w:t>
      </w:r>
      <w:r w:rsidR="00F55DCA" w:rsidRPr="002F50BD">
        <w:rPr>
          <w:rFonts w:ascii="Verdana" w:hAnsi="Verdana"/>
          <w:sz w:val="16"/>
          <w:lang w:val="pt-BR"/>
        </w:rPr>
        <w:t>decidir que houve violação de um direito ou liberdade protegidos nesta Convenção, a Corte determinará que se assegure ao prejudicado o gozo do seu direito ou liberdade violados. Determinará também, se isso for procedente, que sejam reparadas as conseq</w:t>
      </w:r>
      <w:r w:rsidR="003F3630">
        <w:rPr>
          <w:rFonts w:ascii="Verdana" w:hAnsi="Verdana"/>
          <w:sz w:val="16"/>
          <w:lang w:val="pt-BR"/>
        </w:rPr>
        <w:t>u</w:t>
      </w:r>
      <w:r w:rsidR="00F55DCA" w:rsidRPr="002F50BD">
        <w:rPr>
          <w:rFonts w:ascii="Verdana" w:hAnsi="Verdana"/>
          <w:sz w:val="16"/>
          <w:lang w:val="pt-BR"/>
        </w:rPr>
        <w:t>ências da medida ou situação que haja configurado a violação desses direitos, bem como o pagamento de indenização justa à parte lesada</w:t>
      </w:r>
      <w:r w:rsidRPr="002F50BD">
        <w:rPr>
          <w:rFonts w:ascii="Verdana" w:hAnsi="Verdana"/>
          <w:sz w:val="16"/>
          <w:lang w:val="pt-BR"/>
        </w:rPr>
        <w:t>.</w:t>
      </w:r>
    </w:p>
    <w:p w:rsidR="004756C1" w:rsidRPr="002F50BD" w:rsidRDefault="004756C1">
      <w:pPr>
        <w:pStyle w:val="BodyText3"/>
        <w:ind w:right="-181"/>
        <w:rPr>
          <w:rFonts w:ascii="Verdana" w:hAnsi="Verdana"/>
          <w:sz w:val="20"/>
          <w:u w:val="none"/>
          <w:lang w:val="pt-BR"/>
        </w:rPr>
      </w:pPr>
    </w:p>
    <w:p w:rsidR="004756C1" w:rsidRPr="002F50BD" w:rsidRDefault="00F55DCA">
      <w:pPr>
        <w:pStyle w:val="BodyText3"/>
        <w:numPr>
          <w:ilvl w:val="0"/>
          <w:numId w:val="29"/>
        </w:numPr>
        <w:rPr>
          <w:rFonts w:ascii="Verdana" w:hAnsi="Verdana"/>
          <w:sz w:val="20"/>
          <w:u w:val="none"/>
          <w:lang w:val="pt-BR"/>
        </w:rPr>
      </w:pPr>
      <w:r w:rsidRPr="002F50BD">
        <w:rPr>
          <w:rFonts w:ascii="Verdana" w:hAnsi="Verdana"/>
          <w:sz w:val="20"/>
          <w:u w:val="none"/>
          <w:lang w:val="pt-BR"/>
        </w:rPr>
        <w:t xml:space="preserve">Tal como </w:t>
      </w:r>
      <w:r w:rsidR="0089298C" w:rsidRPr="002F50BD">
        <w:rPr>
          <w:rFonts w:ascii="Verdana" w:hAnsi="Verdana"/>
          <w:sz w:val="20"/>
          <w:u w:val="none"/>
          <w:lang w:val="pt-BR"/>
        </w:rPr>
        <w:t xml:space="preserve">a </w:t>
      </w:r>
      <w:r w:rsidR="004756C1" w:rsidRPr="002F50BD">
        <w:rPr>
          <w:rFonts w:ascii="Verdana" w:hAnsi="Verdana"/>
          <w:sz w:val="20"/>
          <w:u w:val="none"/>
          <w:lang w:val="pt-BR"/>
        </w:rPr>
        <w:t>Corte</w:t>
      </w:r>
      <w:r w:rsidR="000A7E90" w:rsidRPr="000A7E90">
        <w:rPr>
          <w:rFonts w:ascii="Verdana" w:hAnsi="Verdana"/>
          <w:sz w:val="20"/>
          <w:u w:val="none"/>
          <w:lang w:val="pt-BR"/>
        </w:rPr>
        <w:t xml:space="preserve"> </w:t>
      </w:r>
      <w:r w:rsidR="000A7E90" w:rsidRPr="002F50BD">
        <w:rPr>
          <w:rFonts w:ascii="Verdana" w:hAnsi="Verdana"/>
          <w:sz w:val="20"/>
          <w:u w:val="none"/>
          <w:lang w:val="pt-BR"/>
        </w:rPr>
        <w:t>indicou</w:t>
      </w:r>
      <w:r w:rsidR="004756C1" w:rsidRPr="002F50BD">
        <w:rPr>
          <w:rFonts w:ascii="Verdana" w:hAnsi="Verdana"/>
          <w:sz w:val="20"/>
          <w:u w:val="none"/>
          <w:lang w:val="pt-BR"/>
        </w:rPr>
        <w:t>,</w:t>
      </w:r>
      <w:r w:rsidR="0089298C" w:rsidRPr="002F50BD">
        <w:rPr>
          <w:rFonts w:ascii="Verdana" w:hAnsi="Verdana"/>
          <w:sz w:val="20"/>
          <w:u w:val="none"/>
          <w:lang w:val="pt-BR"/>
        </w:rPr>
        <w:t xml:space="preserve"> o artigo</w:t>
      </w:r>
      <w:r w:rsidR="004756C1" w:rsidRPr="002F50BD">
        <w:rPr>
          <w:rFonts w:ascii="Verdana" w:hAnsi="Verdana"/>
          <w:sz w:val="20"/>
          <w:u w:val="none"/>
          <w:lang w:val="pt-BR"/>
        </w:rPr>
        <w:t xml:space="preserve"> </w:t>
      </w:r>
      <w:r w:rsidR="00063B47" w:rsidRPr="002F50BD">
        <w:rPr>
          <w:rFonts w:ascii="Verdana" w:hAnsi="Verdana"/>
          <w:sz w:val="20"/>
          <w:u w:val="none"/>
          <w:lang w:val="pt-BR"/>
        </w:rPr>
        <w:t>63</w:t>
      </w:r>
      <w:r w:rsidR="004756C1" w:rsidRPr="002F50BD">
        <w:rPr>
          <w:rFonts w:ascii="Verdana" w:hAnsi="Verdana"/>
          <w:sz w:val="20"/>
          <w:u w:val="none"/>
          <w:lang w:val="pt-BR"/>
        </w:rPr>
        <w:t>.</w:t>
      </w:r>
      <w:r w:rsidR="00063B47" w:rsidRPr="002F50BD">
        <w:rPr>
          <w:rFonts w:ascii="Verdana" w:hAnsi="Verdana"/>
          <w:sz w:val="20"/>
          <w:u w:val="none"/>
          <w:lang w:val="pt-BR"/>
        </w:rPr>
        <w:t>1</w:t>
      </w:r>
      <w:r w:rsidR="0089298C" w:rsidRPr="002F50BD">
        <w:rPr>
          <w:rFonts w:ascii="Verdana" w:hAnsi="Verdana"/>
          <w:sz w:val="20"/>
          <w:u w:val="none"/>
          <w:lang w:val="pt-BR"/>
        </w:rPr>
        <w:t xml:space="preserve"> da </w:t>
      </w:r>
      <w:r w:rsidR="004756C1" w:rsidRPr="002F50BD">
        <w:rPr>
          <w:rFonts w:ascii="Verdana" w:hAnsi="Verdana"/>
          <w:sz w:val="20"/>
          <w:u w:val="none"/>
          <w:lang w:val="pt-BR"/>
        </w:rPr>
        <w:t>Conven</w:t>
      </w:r>
      <w:r w:rsidR="0089298C" w:rsidRPr="002F50BD">
        <w:rPr>
          <w:rFonts w:ascii="Verdana" w:hAnsi="Verdana"/>
          <w:sz w:val="20"/>
          <w:u w:val="none"/>
          <w:lang w:val="pt-BR"/>
        </w:rPr>
        <w:t>ção</w:t>
      </w:r>
      <w:r w:rsidRPr="002F50BD">
        <w:rPr>
          <w:rFonts w:ascii="Verdana" w:hAnsi="Verdana"/>
          <w:sz w:val="20"/>
          <w:u w:val="none"/>
          <w:lang w:val="pt-BR"/>
        </w:rPr>
        <w:t xml:space="preserve"> Americana reflete</w:t>
      </w:r>
      <w:r w:rsidR="0089298C" w:rsidRPr="002F50BD">
        <w:rPr>
          <w:rFonts w:ascii="Verdana" w:hAnsi="Verdana"/>
          <w:sz w:val="20"/>
          <w:u w:val="none"/>
          <w:lang w:val="pt-BR"/>
        </w:rPr>
        <w:t xml:space="preserve"> uma </w:t>
      </w:r>
      <w:r w:rsidR="004756C1" w:rsidRPr="002F50BD">
        <w:rPr>
          <w:rFonts w:ascii="Verdana" w:hAnsi="Verdana"/>
          <w:sz w:val="20"/>
          <w:u w:val="none"/>
          <w:lang w:val="pt-BR"/>
        </w:rPr>
        <w:t xml:space="preserve">norma </w:t>
      </w:r>
      <w:r w:rsidR="0089298C" w:rsidRPr="002F50BD">
        <w:rPr>
          <w:rFonts w:ascii="Verdana" w:hAnsi="Verdana"/>
          <w:sz w:val="20"/>
          <w:u w:val="none"/>
          <w:lang w:val="pt-BR"/>
        </w:rPr>
        <w:t>consuetudinária</w:t>
      </w:r>
      <w:r w:rsidR="004756C1" w:rsidRPr="002F50BD">
        <w:rPr>
          <w:rFonts w:ascii="Verdana" w:hAnsi="Verdana"/>
          <w:sz w:val="20"/>
          <w:u w:val="none"/>
          <w:lang w:val="pt-BR"/>
        </w:rPr>
        <w:t xml:space="preserve"> que </w:t>
      </w:r>
      <w:r w:rsidR="0089298C" w:rsidRPr="002F50BD">
        <w:rPr>
          <w:rFonts w:ascii="Verdana" w:hAnsi="Verdana"/>
          <w:sz w:val="20"/>
          <w:u w:val="none"/>
          <w:lang w:val="pt-BR"/>
        </w:rPr>
        <w:t>constitui</w:t>
      </w:r>
      <w:r w:rsidR="004756C1" w:rsidRPr="002F50BD">
        <w:rPr>
          <w:rFonts w:ascii="Verdana" w:hAnsi="Verdana"/>
          <w:sz w:val="20"/>
          <w:u w:val="none"/>
          <w:lang w:val="pt-BR"/>
        </w:rPr>
        <w:t xml:space="preserve"> </w:t>
      </w:r>
      <w:r w:rsidR="00AB454A" w:rsidRPr="002F50BD">
        <w:rPr>
          <w:rFonts w:ascii="Verdana" w:hAnsi="Verdana"/>
          <w:sz w:val="20"/>
          <w:u w:val="none"/>
          <w:lang w:val="pt-BR"/>
        </w:rPr>
        <w:t>um dos</w:t>
      </w:r>
      <w:r w:rsidR="0089298C" w:rsidRPr="002F50BD">
        <w:rPr>
          <w:rFonts w:ascii="Verdana" w:hAnsi="Verdana"/>
          <w:sz w:val="20"/>
          <w:u w:val="none"/>
          <w:lang w:val="pt-BR"/>
        </w:rPr>
        <w:t xml:space="preserve"> princípio</w:t>
      </w:r>
      <w:r w:rsidR="004756C1" w:rsidRPr="002F50BD">
        <w:rPr>
          <w:rFonts w:ascii="Verdana" w:hAnsi="Verdana"/>
          <w:sz w:val="20"/>
          <w:u w:val="none"/>
          <w:lang w:val="pt-BR"/>
        </w:rPr>
        <w:t xml:space="preserve">s </w:t>
      </w:r>
      <w:r w:rsidR="0089298C" w:rsidRPr="002F50BD">
        <w:rPr>
          <w:rFonts w:ascii="Verdana" w:hAnsi="Verdana"/>
          <w:sz w:val="20"/>
          <w:u w:val="none"/>
          <w:lang w:val="pt-BR"/>
        </w:rPr>
        <w:t>fundamentais</w:t>
      </w:r>
      <w:r w:rsidR="004756C1" w:rsidRPr="002F50BD">
        <w:rPr>
          <w:rFonts w:ascii="Verdana" w:hAnsi="Verdana"/>
          <w:sz w:val="20"/>
          <w:u w:val="none"/>
          <w:lang w:val="pt-BR"/>
        </w:rPr>
        <w:t xml:space="preserve"> </w:t>
      </w:r>
      <w:r w:rsidR="0089298C" w:rsidRPr="002F50BD">
        <w:rPr>
          <w:rFonts w:ascii="Verdana" w:hAnsi="Verdana"/>
          <w:sz w:val="20"/>
          <w:u w:val="none"/>
          <w:lang w:val="pt-BR"/>
        </w:rPr>
        <w:t xml:space="preserve">do </w:t>
      </w:r>
      <w:r w:rsidR="00CF451D">
        <w:rPr>
          <w:rFonts w:ascii="Verdana" w:hAnsi="Verdana"/>
          <w:sz w:val="20"/>
          <w:u w:val="none"/>
          <w:lang w:val="pt-BR"/>
        </w:rPr>
        <w:t>Direito Internacional</w:t>
      </w:r>
      <w:r w:rsidR="004756C1" w:rsidRPr="002F50BD">
        <w:rPr>
          <w:rFonts w:ascii="Verdana" w:hAnsi="Verdana"/>
          <w:sz w:val="20"/>
          <w:u w:val="none"/>
          <w:lang w:val="pt-BR"/>
        </w:rPr>
        <w:t xml:space="preserve"> </w:t>
      </w:r>
      <w:r w:rsidR="0089298C" w:rsidRPr="002F50BD">
        <w:rPr>
          <w:rFonts w:ascii="Verdana" w:hAnsi="Verdana"/>
          <w:sz w:val="20"/>
          <w:u w:val="none"/>
          <w:lang w:val="pt-BR"/>
        </w:rPr>
        <w:t>contemporâneo</w:t>
      </w:r>
      <w:r w:rsidR="004756C1" w:rsidRPr="002F50BD">
        <w:rPr>
          <w:rFonts w:ascii="Verdana" w:hAnsi="Verdana"/>
          <w:sz w:val="20"/>
          <w:u w:val="none"/>
          <w:lang w:val="pt-BR"/>
        </w:rPr>
        <w:t xml:space="preserve"> sobre</w:t>
      </w:r>
      <w:r w:rsidR="0089298C" w:rsidRPr="002F50BD">
        <w:rPr>
          <w:rFonts w:ascii="Verdana" w:hAnsi="Verdana"/>
          <w:sz w:val="20"/>
          <w:u w:val="none"/>
          <w:lang w:val="pt-BR"/>
        </w:rPr>
        <w:t xml:space="preserve"> a responsabilidade dos </w:t>
      </w:r>
      <w:r w:rsidR="004756C1" w:rsidRPr="002F50BD">
        <w:rPr>
          <w:rFonts w:ascii="Verdana" w:hAnsi="Verdana"/>
          <w:sz w:val="20"/>
          <w:u w:val="none"/>
          <w:lang w:val="pt-BR"/>
        </w:rPr>
        <w:t>Estados</w:t>
      </w:r>
      <w:r w:rsidR="00E6530C" w:rsidRPr="002F50BD">
        <w:rPr>
          <w:rFonts w:ascii="Verdana" w:hAnsi="Verdana"/>
          <w:sz w:val="20"/>
          <w:u w:val="none"/>
          <w:lang w:val="pt-BR"/>
        </w:rPr>
        <w:t>. Dest</w:t>
      </w:r>
      <w:r w:rsidR="0089298C" w:rsidRPr="002F50BD">
        <w:rPr>
          <w:rFonts w:ascii="Verdana" w:hAnsi="Verdana"/>
          <w:sz w:val="20"/>
          <w:u w:val="none"/>
          <w:lang w:val="pt-BR"/>
        </w:rPr>
        <w:t>a maneira</w:t>
      </w:r>
      <w:r w:rsidR="004756C1" w:rsidRPr="002F50BD">
        <w:rPr>
          <w:rFonts w:ascii="Verdana" w:hAnsi="Verdana"/>
          <w:sz w:val="20"/>
          <w:u w:val="none"/>
          <w:lang w:val="pt-BR"/>
        </w:rPr>
        <w:t>,</w:t>
      </w:r>
      <w:r w:rsidR="0089298C" w:rsidRPr="002F50BD">
        <w:rPr>
          <w:rFonts w:ascii="Verdana" w:hAnsi="Verdana"/>
          <w:sz w:val="20"/>
          <w:u w:val="none"/>
          <w:lang w:val="pt-BR"/>
        </w:rPr>
        <w:t xml:space="preserve"> ao </w:t>
      </w:r>
      <w:r w:rsidR="004756C1" w:rsidRPr="002F50BD">
        <w:rPr>
          <w:rFonts w:ascii="Verdana" w:hAnsi="Verdana"/>
          <w:sz w:val="20"/>
          <w:u w:val="none"/>
          <w:lang w:val="pt-BR"/>
        </w:rPr>
        <w:t>produ</w:t>
      </w:r>
      <w:r w:rsidRPr="002F50BD">
        <w:rPr>
          <w:rFonts w:ascii="Verdana" w:hAnsi="Verdana"/>
          <w:sz w:val="20"/>
          <w:u w:val="none"/>
          <w:lang w:val="pt-BR"/>
        </w:rPr>
        <w:t>z</w:t>
      </w:r>
      <w:r w:rsidR="004756C1" w:rsidRPr="002F50BD">
        <w:rPr>
          <w:rFonts w:ascii="Verdana" w:hAnsi="Verdana"/>
          <w:sz w:val="20"/>
          <w:u w:val="none"/>
          <w:lang w:val="pt-BR"/>
        </w:rPr>
        <w:t>ir</w:t>
      </w:r>
      <w:r w:rsidRPr="002F50BD">
        <w:rPr>
          <w:rFonts w:ascii="Verdana" w:hAnsi="Verdana"/>
          <w:sz w:val="20"/>
          <w:u w:val="none"/>
          <w:lang w:val="pt-BR"/>
        </w:rPr>
        <w:t>-</w:t>
      </w:r>
      <w:r w:rsidR="004756C1" w:rsidRPr="002F50BD">
        <w:rPr>
          <w:rFonts w:ascii="Verdana" w:hAnsi="Verdana"/>
          <w:sz w:val="20"/>
          <w:u w:val="none"/>
          <w:lang w:val="pt-BR"/>
        </w:rPr>
        <w:t>se</w:t>
      </w:r>
      <w:r w:rsidR="0089298C" w:rsidRPr="002F50BD">
        <w:rPr>
          <w:rFonts w:ascii="Verdana" w:hAnsi="Verdana"/>
          <w:sz w:val="20"/>
          <w:u w:val="none"/>
          <w:lang w:val="pt-BR"/>
        </w:rPr>
        <w:t xml:space="preserve"> um fato </w:t>
      </w:r>
      <w:r w:rsidR="004756C1" w:rsidRPr="002F50BD">
        <w:rPr>
          <w:rFonts w:ascii="Verdana" w:hAnsi="Verdana"/>
          <w:sz w:val="20"/>
          <w:u w:val="none"/>
          <w:lang w:val="pt-BR"/>
        </w:rPr>
        <w:t xml:space="preserve">ilícito </w:t>
      </w:r>
      <w:r w:rsidR="0089298C" w:rsidRPr="002F50BD">
        <w:rPr>
          <w:rFonts w:ascii="Verdana" w:hAnsi="Verdana"/>
          <w:sz w:val="20"/>
          <w:u w:val="none"/>
          <w:lang w:val="pt-BR"/>
        </w:rPr>
        <w:t xml:space="preserve">imputável </w:t>
      </w:r>
      <w:r w:rsidR="004756C1" w:rsidRPr="002F50BD">
        <w:rPr>
          <w:rFonts w:ascii="Verdana" w:hAnsi="Verdana"/>
          <w:sz w:val="20"/>
          <w:u w:val="none"/>
          <w:lang w:val="pt-BR"/>
        </w:rPr>
        <w:t>a</w:t>
      </w:r>
      <w:r w:rsidR="0089298C" w:rsidRPr="002F50BD">
        <w:rPr>
          <w:rFonts w:ascii="Verdana" w:hAnsi="Verdana"/>
          <w:sz w:val="20"/>
          <w:u w:val="none"/>
          <w:lang w:val="pt-BR"/>
        </w:rPr>
        <w:t xml:space="preserve"> um </w:t>
      </w:r>
      <w:r w:rsidR="004756C1" w:rsidRPr="002F50BD">
        <w:rPr>
          <w:rFonts w:ascii="Verdana" w:hAnsi="Verdana"/>
          <w:sz w:val="20"/>
          <w:u w:val="none"/>
          <w:lang w:val="pt-BR"/>
        </w:rPr>
        <w:t xml:space="preserve">Estado, surge </w:t>
      </w:r>
      <w:r w:rsidR="0089298C" w:rsidRPr="002F50BD">
        <w:rPr>
          <w:rFonts w:ascii="Verdana" w:hAnsi="Verdana"/>
          <w:sz w:val="20"/>
          <w:u w:val="none"/>
          <w:lang w:val="pt-BR"/>
        </w:rPr>
        <w:t>imediat</w:t>
      </w:r>
      <w:r w:rsidRPr="002F50BD">
        <w:rPr>
          <w:rFonts w:ascii="Verdana" w:hAnsi="Verdana"/>
          <w:sz w:val="20"/>
          <w:u w:val="none"/>
          <w:lang w:val="pt-BR"/>
        </w:rPr>
        <w:t>amente</w:t>
      </w:r>
      <w:r w:rsidR="0089298C" w:rsidRPr="002F50BD">
        <w:rPr>
          <w:rFonts w:ascii="Verdana" w:hAnsi="Verdana"/>
          <w:sz w:val="20"/>
          <w:u w:val="none"/>
          <w:lang w:val="pt-BR"/>
        </w:rPr>
        <w:t xml:space="preserve"> </w:t>
      </w:r>
      <w:r w:rsidRPr="002F50BD">
        <w:rPr>
          <w:rFonts w:ascii="Verdana" w:hAnsi="Verdana"/>
          <w:sz w:val="20"/>
          <w:u w:val="none"/>
          <w:lang w:val="pt-BR"/>
        </w:rPr>
        <w:t>su</w:t>
      </w:r>
      <w:r w:rsidR="0089298C" w:rsidRPr="002F50BD">
        <w:rPr>
          <w:rFonts w:ascii="Verdana" w:hAnsi="Verdana"/>
          <w:sz w:val="20"/>
          <w:u w:val="none"/>
          <w:lang w:val="pt-BR"/>
        </w:rPr>
        <w:t xml:space="preserve">a responsabilidade </w:t>
      </w:r>
      <w:r w:rsidR="004756C1" w:rsidRPr="002F50BD">
        <w:rPr>
          <w:rFonts w:ascii="Verdana" w:hAnsi="Verdana"/>
          <w:sz w:val="20"/>
          <w:u w:val="none"/>
          <w:lang w:val="pt-BR"/>
        </w:rPr>
        <w:t xml:space="preserve">internacional </w:t>
      </w:r>
      <w:r w:rsidR="0089298C" w:rsidRPr="002F50BD">
        <w:rPr>
          <w:rFonts w:ascii="Verdana" w:hAnsi="Verdana"/>
          <w:sz w:val="20"/>
          <w:u w:val="none"/>
          <w:lang w:val="pt-BR"/>
        </w:rPr>
        <w:t xml:space="preserve">pela </w:t>
      </w:r>
      <w:r w:rsidR="004756C1" w:rsidRPr="002F50BD">
        <w:rPr>
          <w:rFonts w:ascii="Verdana" w:hAnsi="Verdana"/>
          <w:sz w:val="20"/>
          <w:u w:val="none"/>
          <w:lang w:val="pt-BR"/>
        </w:rPr>
        <w:t>viola</w:t>
      </w:r>
      <w:r w:rsidR="0089298C" w:rsidRPr="002F50BD">
        <w:rPr>
          <w:rFonts w:ascii="Verdana" w:hAnsi="Verdana"/>
          <w:sz w:val="20"/>
          <w:u w:val="none"/>
          <w:lang w:val="pt-BR"/>
        </w:rPr>
        <w:t xml:space="preserve">ção da </w:t>
      </w:r>
      <w:r w:rsidR="004756C1" w:rsidRPr="002F50BD">
        <w:rPr>
          <w:rFonts w:ascii="Verdana" w:hAnsi="Verdana"/>
          <w:sz w:val="20"/>
          <w:u w:val="none"/>
          <w:lang w:val="pt-BR"/>
        </w:rPr>
        <w:t xml:space="preserve">norma internacional </w:t>
      </w:r>
      <w:r w:rsidR="000A7E90">
        <w:rPr>
          <w:rFonts w:ascii="Verdana" w:hAnsi="Verdana"/>
          <w:sz w:val="20"/>
          <w:u w:val="none"/>
          <w:lang w:val="pt-BR"/>
        </w:rPr>
        <w:t>em questão</w:t>
      </w:r>
      <w:r w:rsidR="004756C1" w:rsidRPr="002F50BD">
        <w:rPr>
          <w:rFonts w:ascii="Verdana" w:hAnsi="Verdana"/>
          <w:sz w:val="20"/>
          <w:u w:val="none"/>
          <w:lang w:val="pt-BR"/>
        </w:rPr>
        <w:t>,</w:t>
      </w:r>
      <w:r w:rsidR="0089298C" w:rsidRPr="002F50BD">
        <w:rPr>
          <w:rFonts w:ascii="Verdana" w:hAnsi="Verdana"/>
          <w:sz w:val="20"/>
          <w:u w:val="none"/>
          <w:lang w:val="pt-BR"/>
        </w:rPr>
        <w:t xml:space="preserve"> com o consequente dever</w:t>
      </w:r>
      <w:r w:rsidR="004756C1" w:rsidRPr="002F50BD">
        <w:rPr>
          <w:rFonts w:ascii="Verdana" w:hAnsi="Verdana"/>
          <w:sz w:val="20"/>
          <w:u w:val="none"/>
          <w:lang w:val="pt-BR"/>
        </w:rPr>
        <w:t xml:space="preserve"> de repara</w:t>
      </w:r>
      <w:r w:rsidR="0089298C" w:rsidRPr="002F50BD">
        <w:rPr>
          <w:rFonts w:ascii="Verdana" w:hAnsi="Verdana"/>
          <w:sz w:val="20"/>
          <w:u w:val="none"/>
          <w:lang w:val="pt-BR"/>
        </w:rPr>
        <w:t xml:space="preserve">ção e </w:t>
      </w:r>
      <w:r w:rsidR="004756C1" w:rsidRPr="002F50BD">
        <w:rPr>
          <w:rFonts w:ascii="Verdana" w:hAnsi="Verdana"/>
          <w:sz w:val="20"/>
          <w:u w:val="none"/>
          <w:lang w:val="pt-BR"/>
        </w:rPr>
        <w:t>de</w:t>
      </w:r>
      <w:r w:rsidR="0089298C" w:rsidRPr="002F50BD">
        <w:rPr>
          <w:rFonts w:ascii="Verdana" w:hAnsi="Verdana"/>
          <w:sz w:val="20"/>
          <w:u w:val="none"/>
          <w:lang w:val="pt-BR"/>
        </w:rPr>
        <w:t xml:space="preserve"> fazer cessar as consequência</w:t>
      </w:r>
      <w:r w:rsidR="004756C1" w:rsidRPr="002F50BD">
        <w:rPr>
          <w:rFonts w:ascii="Verdana" w:hAnsi="Verdana"/>
          <w:sz w:val="20"/>
          <w:u w:val="none"/>
          <w:lang w:val="pt-BR"/>
        </w:rPr>
        <w:t>s</w:t>
      </w:r>
      <w:r w:rsidR="0089298C" w:rsidRPr="002F50BD">
        <w:rPr>
          <w:rFonts w:ascii="Verdana" w:hAnsi="Verdana"/>
          <w:sz w:val="20"/>
          <w:u w:val="none"/>
          <w:lang w:val="pt-BR"/>
        </w:rPr>
        <w:t xml:space="preserve"> da </w:t>
      </w:r>
      <w:r w:rsidR="004756C1" w:rsidRPr="002F50BD">
        <w:rPr>
          <w:rFonts w:ascii="Verdana" w:hAnsi="Verdana"/>
          <w:sz w:val="20"/>
          <w:u w:val="none"/>
          <w:lang w:val="pt-BR"/>
        </w:rPr>
        <w:t>viola</w:t>
      </w:r>
      <w:r w:rsidR="0089298C" w:rsidRPr="002F50BD">
        <w:rPr>
          <w:rFonts w:ascii="Verdana" w:hAnsi="Verdana"/>
          <w:sz w:val="20"/>
          <w:u w:val="none"/>
          <w:lang w:val="pt-BR"/>
        </w:rPr>
        <w:t>ção</w:t>
      </w:r>
      <w:r w:rsidRPr="002F50BD">
        <w:rPr>
          <w:rFonts w:ascii="Verdana" w:hAnsi="Verdana"/>
          <w:sz w:val="20"/>
          <w:u w:val="none"/>
          <w:lang w:val="pt-BR"/>
        </w:rPr>
        <w:t>.</w:t>
      </w:r>
      <w:r w:rsidR="004756C1" w:rsidRPr="002F50BD">
        <w:rPr>
          <w:rStyle w:val="FootnoteReference"/>
          <w:rFonts w:ascii="Verdana" w:hAnsi="Verdana"/>
          <w:u w:val="none"/>
        </w:rPr>
        <w:footnoteReference w:id="210"/>
      </w:r>
    </w:p>
    <w:p w:rsidR="00F55DCA" w:rsidRPr="002F50BD" w:rsidRDefault="00F55DCA" w:rsidP="00F55DCA">
      <w:pPr>
        <w:pStyle w:val="BodyText3"/>
        <w:rPr>
          <w:rFonts w:ascii="Verdana" w:hAnsi="Verdana"/>
          <w:sz w:val="20"/>
          <w:u w:val="none"/>
          <w:lang w:val="pt-BR"/>
        </w:rPr>
      </w:pPr>
    </w:p>
    <w:p w:rsidR="004756C1" w:rsidRPr="002F50BD" w:rsidRDefault="0089298C">
      <w:pPr>
        <w:pStyle w:val="BodyText3"/>
        <w:numPr>
          <w:ilvl w:val="0"/>
          <w:numId w:val="29"/>
        </w:numPr>
        <w:rPr>
          <w:rFonts w:ascii="Verdana" w:hAnsi="Verdana"/>
          <w:sz w:val="20"/>
          <w:u w:val="none"/>
          <w:lang w:val="pt-BR"/>
        </w:rPr>
      </w:pPr>
      <w:r w:rsidRPr="002F50BD">
        <w:rPr>
          <w:rFonts w:ascii="Verdana" w:hAnsi="Verdana"/>
          <w:sz w:val="20"/>
          <w:u w:val="none"/>
          <w:lang w:val="pt-BR"/>
        </w:rPr>
        <w:t xml:space="preserve">A </w:t>
      </w:r>
      <w:r w:rsidR="004756C1" w:rsidRPr="002F50BD">
        <w:rPr>
          <w:rFonts w:ascii="Verdana" w:hAnsi="Verdana"/>
          <w:sz w:val="20"/>
          <w:u w:val="none"/>
          <w:lang w:val="pt-BR"/>
        </w:rPr>
        <w:t>repara</w:t>
      </w:r>
      <w:r w:rsidRPr="002F50BD">
        <w:rPr>
          <w:rFonts w:ascii="Verdana" w:hAnsi="Verdana"/>
          <w:sz w:val="20"/>
          <w:u w:val="none"/>
          <w:lang w:val="pt-BR"/>
        </w:rPr>
        <w:t>ção</w:t>
      </w:r>
      <w:r w:rsidR="004756C1" w:rsidRPr="002F50BD">
        <w:rPr>
          <w:rFonts w:ascii="Verdana" w:hAnsi="Verdana"/>
          <w:sz w:val="20"/>
          <w:u w:val="none"/>
          <w:lang w:val="pt-BR"/>
        </w:rPr>
        <w:t xml:space="preserve"> </w:t>
      </w:r>
      <w:r w:rsidRPr="002F50BD">
        <w:rPr>
          <w:rFonts w:ascii="Verdana" w:hAnsi="Verdana"/>
          <w:sz w:val="20"/>
          <w:u w:val="none"/>
          <w:lang w:val="pt-BR"/>
        </w:rPr>
        <w:t>do dano</w:t>
      </w:r>
      <w:r w:rsidR="004756C1" w:rsidRPr="002F50BD">
        <w:rPr>
          <w:rFonts w:ascii="Verdana" w:hAnsi="Verdana"/>
          <w:sz w:val="20"/>
          <w:u w:val="none"/>
          <w:lang w:val="pt-BR"/>
        </w:rPr>
        <w:t xml:space="preserve"> ocasionado</w:t>
      </w:r>
      <w:r w:rsidRPr="002F50BD">
        <w:rPr>
          <w:rFonts w:ascii="Verdana" w:hAnsi="Verdana"/>
          <w:sz w:val="20"/>
          <w:u w:val="none"/>
          <w:lang w:val="pt-BR"/>
        </w:rPr>
        <w:t xml:space="preserve"> pela infração</w:t>
      </w:r>
      <w:r w:rsidR="004756C1" w:rsidRPr="002F50BD">
        <w:rPr>
          <w:rFonts w:ascii="Verdana" w:hAnsi="Verdana"/>
          <w:sz w:val="20"/>
          <w:u w:val="none"/>
          <w:lang w:val="pt-BR"/>
        </w:rPr>
        <w:t xml:space="preserve"> de</w:t>
      </w:r>
      <w:r w:rsidRPr="002F50BD">
        <w:rPr>
          <w:rFonts w:ascii="Verdana" w:hAnsi="Verdana"/>
          <w:sz w:val="20"/>
          <w:u w:val="none"/>
          <w:lang w:val="pt-BR"/>
        </w:rPr>
        <w:t xml:space="preserve"> uma obrigação</w:t>
      </w:r>
      <w:r w:rsidR="004756C1" w:rsidRPr="002F50BD">
        <w:rPr>
          <w:rFonts w:ascii="Verdana" w:hAnsi="Verdana"/>
          <w:sz w:val="20"/>
          <w:u w:val="none"/>
          <w:lang w:val="pt-BR"/>
        </w:rPr>
        <w:t xml:space="preserve"> internacional </w:t>
      </w:r>
      <w:r w:rsidR="00AB454A" w:rsidRPr="002F50BD">
        <w:rPr>
          <w:rFonts w:ascii="Verdana" w:hAnsi="Verdana"/>
          <w:sz w:val="20"/>
          <w:u w:val="none"/>
          <w:lang w:val="pt-BR"/>
        </w:rPr>
        <w:t>requer</w:t>
      </w:r>
      <w:r w:rsidR="004756C1" w:rsidRPr="002F50BD">
        <w:rPr>
          <w:rFonts w:ascii="Verdana" w:hAnsi="Verdana"/>
          <w:sz w:val="20"/>
          <w:u w:val="none"/>
          <w:lang w:val="pt-BR"/>
        </w:rPr>
        <w:t xml:space="preserve">, </w:t>
      </w:r>
      <w:r w:rsidRPr="002F50BD">
        <w:rPr>
          <w:rFonts w:ascii="Verdana" w:hAnsi="Verdana"/>
          <w:sz w:val="20"/>
          <w:u w:val="none"/>
          <w:lang w:val="pt-BR"/>
        </w:rPr>
        <w:t>sempre</w:t>
      </w:r>
      <w:r w:rsidR="004756C1" w:rsidRPr="002F50BD">
        <w:rPr>
          <w:rFonts w:ascii="Verdana" w:hAnsi="Verdana"/>
          <w:sz w:val="20"/>
          <w:u w:val="none"/>
          <w:lang w:val="pt-BR"/>
        </w:rPr>
        <w:t xml:space="preserve"> que</w:t>
      </w:r>
      <w:r w:rsidRPr="002F50BD">
        <w:rPr>
          <w:rFonts w:ascii="Verdana" w:hAnsi="Verdana"/>
          <w:sz w:val="20"/>
          <w:u w:val="none"/>
          <w:lang w:val="pt-BR"/>
        </w:rPr>
        <w:t xml:space="preserve"> seja possível, a </w:t>
      </w:r>
      <w:r w:rsidR="004756C1" w:rsidRPr="002F50BD">
        <w:rPr>
          <w:rFonts w:ascii="Verdana" w:hAnsi="Verdana"/>
          <w:sz w:val="20"/>
          <w:u w:val="none"/>
          <w:lang w:val="pt-BR"/>
        </w:rPr>
        <w:t xml:space="preserve">plena </w:t>
      </w:r>
      <w:r w:rsidRPr="002F50BD">
        <w:rPr>
          <w:rFonts w:ascii="Verdana" w:hAnsi="Verdana"/>
          <w:sz w:val="20"/>
          <w:u w:val="none"/>
          <w:lang w:val="pt-BR"/>
        </w:rPr>
        <w:t>restituição</w:t>
      </w:r>
      <w:r w:rsidR="004756C1" w:rsidRPr="002F50BD">
        <w:rPr>
          <w:rFonts w:ascii="Verdana" w:hAnsi="Verdana"/>
          <w:sz w:val="20"/>
          <w:u w:val="none"/>
          <w:lang w:val="pt-BR"/>
        </w:rPr>
        <w:t xml:space="preserve"> </w:t>
      </w:r>
      <w:r w:rsidR="00CF451D" w:rsidRPr="00CF451D">
        <w:rPr>
          <w:rFonts w:ascii="Verdana" w:hAnsi="Verdana"/>
          <w:sz w:val="20"/>
          <w:u w:val="none"/>
          <w:lang w:val="pt-BR"/>
        </w:rPr>
        <w:t>(</w:t>
      </w:r>
      <w:r w:rsidR="004756C1" w:rsidRPr="002F50BD">
        <w:rPr>
          <w:rFonts w:ascii="Verdana" w:hAnsi="Verdana"/>
          <w:i/>
          <w:sz w:val="20"/>
          <w:u w:val="none"/>
          <w:lang w:val="pt-BR"/>
        </w:rPr>
        <w:t>restitutio in integrum</w:t>
      </w:r>
      <w:r w:rsidR="00CF451D" w:rsidRPr="00CF451D">
        <w:rPr>
          <w:rFonts w:ascii="Verdana" w:hAnsi="Verdana"/>
          <w:sz w:val="20"/>
          <w:u w:val="none"/>
          <w:lang w:val="pt-BR"/>
        </w:rPr>
        <w:t>)</w:t>
      </w:r>
      <w:r w:rsidR="004756C1" w:rsidRPr="002F50BD">
        <w:rPr>
          <w:rFonts w:ascii="Verdana" w:hAnsi="Verdana"/>
          <w:sz w:val="20"/>
          <w:u w:val="none"/>
          <w:lang w:val="pt-BR"/>
        </w:rPr>
        <w:t>,</w:t>
      </w:r>
      <w:r w:rsidRPr="002F50BD">
        <w:rPr>
          <w:rFonts w:ascii="Verdana" w:hAnsi="Verdana"/>
          <w:sz w:val="20"/>
          <w:u w:val="none"/>
          <w:lang w:val="pt-BR"/>
        </w:rPr>
        <w:t xml:space="preserve"> a qual </w:t>
      </w:r>
      <w:r w:rsidR="004756C1" w:rsidRPr="002F50BD">
        <w:rPr>
          <w:rFonts w:ascii="Verdana" w:hAnsi="Verdana"/>
          <w:sz w:val="20"/>
          <w:u w:val="none"/>
          <w:lang w:val="pt-BR"/>
        </w:rPr>
        <w:t>consiste</w:t>
      </w:r>
      <w:r w:rsidRPr="002F50BD">
        <w:rPr>
          <w:rFonts w:ascii="Verdana" w:hAnsi="Verdana"/>
          <w:sz w:val="20"/>
          <w:u w:val="none"/>
          <w:lang w:val="pt-BR"/>
        </w:rPr>
        <w:t xml:space="preserve"> no </w:t>
      </w:r>
      <w:r w:rsidR="004756C1" w:rsidRPr="002F50BD">
        <w:rPr>
          <w:rFonts w:ascii="Verdana" w:hAnsi="Verdana"/>
          <w:sz w:val="20"/>
          <w:u w:val="none"/>
          <w:lang w:val="pt-BR"/>
        </w:rPr>
        <w:t>r</w:t>
      </w:r>
      <w:r w:rsidRPr="002F50BD">
        <w:rPr>
          <w:rFonts w:ascii="Verdana" w:hAnsi="Verdana"/>
          <w:sz w:val="20"/>
          <w:u w:val="none"/>
          <w:lang w:val="pt-BR"/>
        </w:rPr>
        <w:t xml:space="preserve">estabelecimento da </w:t>
      </w:r>
      <w:r w:rsidR="004756C1" w:rsidRPr="002F50BD">
        <w:rPr>
          <w:rFonts w:ascii="Verdana" w:hAnsi="Verdana"/>
          <w:sz w:val="20"/>
          <w:u w:val="none"/>
          <w:lang w:val="pt-BR"/>
        </w:rPr>
        <w:t>situa</w:t>
      </w:r>
      <w:r w:rsidRPr="002F50BD">
        <w:rPr>
          <w:rFonts w:ascii="Verdana" w:hAnsi="Verdana"/>
          <w:sz w:val="20"/>
          <w:u w:val="none"/>
          <w:lang w:val="pt-BR"/>
        </w:rPr>
        <w:t>ção</w:t>
      </w:r>
      <w:r w:rsidR="004756C1" w:rsidRPr="002F50BD">
        <w:rPr>
          <w:rFonts w:ascii="Verdana" w:hAnsi="Verdana"/>
          <w:sz w:val="20"/>
          <w:u w:val="none"/>
          <w:lang w:val="pt-BR"/>
        </w:rPr>
        <w:t xml:space="preserve"> anterior</w:t>
      </w:r>
      <w:r w:rsidRPr="002F50BD">
        <w:rPr>
          <w:rFonts w:ascii="Verdana" w:hAnsi="Verdana"/>
          <w:sz w:val="20"/>
          <w:u w:val="none"/>
          <w:lang w:val="pt-BR"/>
        </w:rPr>
        <w:t xml:space="preserve"> à </w:t>
      </w:r>
      <w:r w:rsidR="004756C1" w:rsidRPr="002F50BD">
        <w:rPr>
          <w:rFonts w:ascii="Verdana" w:hAnsi="Verdana"/>
          <w:sz w:val="20"/>
          <w:u w:val="none"/>
          <w:lang w:val="pt-BR"/>
        </w:rPr>
        <w:t>viola</w:t>
      </w:r>
      <w:r w:rsidRPr="002F50BD">
        <w:rPr>
          <w:rFonts w:ascii="Verdana" w:hAnsi="Verdana"/>
          <w:sz w:val="20"/>
          <w:u w:val="none"/>
          <w:lang w:val="pt-BR"/>
        </w:rPr>
        <w:t>ção</w:t>
      </w:r>
      <w:r w:rsidR="004756C1" w:rsidRPr="002F50BD">
        <w:rPr>
          <w:rFonts w:ascii="Verdana" w:hAnsi="Verdana"/>
          <w:sz w:val="20"/>
          <w:u w:val="none"/>
          <w:lang w:val="pt-BR"/>
        </w:rPr>
        <w:t xml:space="preserve">. </w:t>
      </w:r>
      <w:r w:rsidR="00F55DCA" w:rsidRPr="002F50BD">
        <w:rPr>
          <w:rFonts w:ascii="Verdana" w:hAnsi="Verdana"/>
          <w:sz w:val="20"/>
          <w:u w:val="none"/>
          <w:lang w:val="pt-BR"/>
        </w:rPr>
        <w:t xml:space="preserve">Caso não seja </w:t>
      </w:r>
      <w:r w:rsidRPr="002F50BD">
        <w:rPr>
          <w:rFonts w:ascii="Verdana" w:hAnsi="Verdana"/>
          <w:sz w:val="20"/>
          <w:u w:val="none"/>
          <w:lang w:val="pt-BR"/>
        </w:rPr>
        <w:t>possível,</w:t>
      </w:r>
      <w:r w:rsidR="004756C1" w:rsidRPr="002F50BD">
        <w:rPr>
          <w:rFonts w:ascii="Verdana" w:hAnsi="Verdana"/>
          <w:sz w:val="20"/>
          <w:u w:val="none"/>
          <w:lang w:val="pt-BR"/>
        </w:rPr>
        <w:t xml:space="preserve"> cabe</w:t>
      </w:r>
      <w:r w:rsidRPr="002F50BD">
        <w:rPr>
          <w:rFonts w:ascii="Verdana" w:hAnsi="Verdana"/>
          <w:sz w:val="20"/>
          <w:u w:val="none"/>
          <w:lang w:val="pt-BR"/>
        </w:rPr>
        <w:t xml:space="preserve"> ao </w:t>
      </w:r>
      <w:r w:rsidR="004756C1" w:rsidRPr="002F50BD">
        <w:rPr>
          <w:rFonts w:ascii="Verdana" w:hAnsi="Verdana"/>
          <w:sz w:val="20"/>
          <w:u w:val="none"/>
          <w:lang w:val="pt-BR"/>
        </w:rPr>
        <w:t>tribunal internacional determinar</w:t>
      </w:r>
      <w:r w:rsidRPr="002F50BD">
        <w:rPr>
          <w:rFonts w:ascii="Verdana" w:hAnsi="Verdana"/>
          <w:sz w:val="20"/>
          <w:u w:val="none"/>
          <w:lang w:val="pt-BR"/>
        </w:rPr>
        <w:t xml:space="preserve"> uma série</w:t>
      </w:r>
      <w:r w:rsidR="004756C1" w:rsidRPr="002F50BD">
        <w:rPr>
          <w:rFonts w:ascii="Verdana" w:hAnsi="Verdana"/>
          <w:sz w:val="20"/>
          <w:u w:val="none"/>
          <w:lang w:val="pt-BR"/>
        </w:rPr>
        <w:t xml:space="preserve"> de medidas para que, </w:t>
      </w:r>
      <w:r w:rsidR="00F55DCA" w:rsidRPr="002F50BD">
        <w:rPr>
          <w:rFonts w:ascii="Verdana" w:hAnsi="Verdana"/>
          <w:sz w:val="20"/>
          <w:u w:val="none"/>
          <w:lang w:val="pt-BR"/>
        </w:rPr>
        <w:t>além</w:t>
      </w:r>
      <w:r w:rsidR="004756C1" w:rsidRPr="002F50BD">
        <w:rPr>
          <w:rFonts w:ascii="Verdana" w:hAnsi="Verdana"/>
          <w:sz w:val="20"/>
          <w:u w:val="none"/>
          <w:lang w:val="pt-BR"/>
        </w:rPr>
        <w:t xml:space="preserve"> de </w:t>
      </w:r>
      <w:r w:rsidRPr="002F50BD">
        <w:rPr>
          <w:rFonts w:ascii="Verdana" w:hAnsi="Verdana"/>
          <w:sz w:val="20"/>
          <w:u w:val="none"/>
          <w:lang w:val="pt-BR"/>
        </w:rPr>
        <w:t xml:space="preserve">garantir o respeito </w:t>
      </w:r>
      <w:r w:rsidR="00655901" w:rsidRPr="002F50BD">
        <w:rPr>
          <w:rFonts w:ascii="Verdana" w:hAnsi="Verdana"/>
          <w:sz w:val="20"/>
          <w:u w:val="none"/>
          <w:lang w:val="pt-BR"/>
        </w:rPr>
        <w:t>a</w:t>
      </w:r>
      <w:r w:rsidRPr="002F50BD">
        <w:rPr>
          <w:rFonts w:ascii="Verdana" w:hAnsi="Verdana"/>
          <w:sz w:val="20"/>
          <w:u w:val="none"/>
          <w:lang w:val="pt-BR"/>
        </w:rPr>
        <w:t>os direito</w:t>
      </w:r>
      <w:r w:rsidR="004756C1" w:rsidRPr="002F50BD">
        <w:rPr>
          <w:rFonts w:ascii="Verdana" w:hAnsi="Verdana"/>
          <w:sz w:val="20"/>
          <w:u w:val="none"/>
          <w:lang w:val="pt-BR"/>
        </w:rPr>
        <w:t xml:space="preserve">s </w:t>
      </w:r>
      <w:r w:rsidRPr="002F50BD">
        <w:rPr>
          <w:rFonts w:ascii="Verdana" w:hAnsi="Verdana"/>
          <w:sz w:val="20"/>
          <w:u w:val="none"/>
          <w:lang w:val="pt-BR"/>
        </w:rPr>
        <w:t>violado</w:t>
      </w:r>
      <w:r w:rsidR="004756C1" w:rsidRPr="002F50BD">
        <w:rPr>
          <w:rFonts w:ascii="Verdana" w:hAnsi="Verdana"/>
          <w:sz w:val="20"/>
          <w:u w:val="none"/>
          <w:lang w:val="pt-BR"/>
        </w:rPr>
        <w:t>s, se repare</w:t>
      </w:r>
      <w:r w:rsidR="00F55DCA" w:rsidRPr="002F50BD">
        <w:rPr>
          <w:rFonts w:ascii="Verdana" w:hAnsi="Verdana"/>
          <w:sz w:val="20"/>
          <w:u w:val="none"/>
          <w:lang w:val="pt-BR"/>
        </w:rPr>
        <w:t>m</w:t>
      </w:r>
      <w:r w:rsidRPr="002F50BD">
        <w:rPr>
          <w:rFonts w:ascii="Verdana" w:hAnsi="Verdana"/>
          <w:sz w:val="20"/>
          <w:u w:val="none"/>
          <w:lang w:val="pt-BR"/>
        </w:rPr>
        <w:t xml:space="preserve"> as consequência</w:t>
      </w:r>
      <w:r w:rsidR="004756C1" w:rsidRPr="002F50BD">
        <w:rPr>
          <w:rFonts w:ascii="Verdana" w:hAnsi="Verdana"/>
          <w:sz w:val="20"/>
          <w:u w:val="none"/>
          <w:lang w:val="pt-BR"/>
        </w:rPr>
        <w:t xml:space="preserve">s </w:t>
      </w:r>
      <w:r w:rsidRPr="002F50BD">
        <w:rPr>
          <w:rFonts w:ascii="Verdana" w:hAnsi="Verdana"/>
          <w:sz w:val="20"/>
          <w:u w:val="none"/>
          <w:lang w:val="pt-BR"/>
        </w:rPr>
        <w:t>produzi</w:t>
      </w:r>
      <w:r w:rsidR="00F55DCA" w:rsidRPr="002F50BD">
        <w:rPr>
          <w:rFonts w:ascii="Verdana" w:hAnsi="Verdana"/>
          <w:sz w:val="20"/>
          <w:u w:val="none"/>
          <w:lang w:val="pt-BR"/>
        </w:rPr>
        <w:t>das</w:t>
      </w:r>
      <w:r w:rsidRPr="002F50BD">
        <w:rPr>
          <w:rFonts w:ascii="Verdana" w:hAnsi="Verdana"/>
          <w:sz w:val="20"/>
          <w:u w:val="none"/>
          <w:lang w:val="pt-BR"/>
        </w:rPr>
        <w:t xml:space="preserve"> </w:t>
      </w:r>
      <w:r w:rsidR="00F55DCA" w:rsidRPr="002F50BD">
        <w:rPr>
          <w:rFonts w:ascii="Verdana" w:hAnsi="Verdana"/>
          <w:sz w:val="20"/>
          <w:u w:val="none"/>
          <w:lang w:val="pt-BR"/>
        </w:rPr>
        <w:t>pel</w:t>
      </w:r>
      <w:r w:rsidRPr="002F50BD">
        <w:rPr>
          <w:rFonts w:ascii="Verdana" w:hAnsi="Verdana"/>
          <w:sz w:val="20"/>
          <w:u w:val="none"/>
          <w:lang w:val="pt-BR"/>
        </w:rPr>
        <w:t xml:space="preserve">as </w:t>
      </w:r>
      <w:r w:rsidR="004756C1" w:rsidRPr="002F50BD">
        <w:rPr>
          <w:rFonts w:ascii="Verdana" w:hAnsi="Verdana"/>
          <w:sz w:val="20"/>
          <w:u w:val="none"/>
          <w:lang w:val="pt-BR"/>
        </w:rPr>
        <w:t>infr</w:t>
      </w:r>
      <w:r w:rsidRPr="002F50BD">
        <w:rPr>
          <w:rFonts w:ascii="Verdana" w:hAnsi="Verdana"/>
          <w:sz w:val="20"/>
          <w:u w:val="none"/>
          <w:lang w:val="pt-BR"/>
        </w:rPr>
        <w:t xml:space="preserve">ações e </w:t>
      </w:r>
      <w:r w:rsidR="004756C1" w:rsidRPr="002F50BD">
        <w:rPr>
          <w:rFonts w:ascii="Verdana" w:hAnsi="Verdana"/>
          <w:sz w:val="20"/>
          <w:u w:val="none"/>
          <w:lang w:val="pt-BR"/>
        </w:rPr>
        <w:t xml:space="preserve">se </w:t>
      </w:r>
      <w:r w:rsidRPr="002F50BD">
        <w:rPr>
          <w:rFonts w:ascii="Verdana" w:hAnsi="Verdana"/>
          <w:sz w:val="20"/>
          <w:u w:val="none"/>
          <w:lang w:val="pt-BR"/>
        </w:rPr>
        <w:t>estabeleça o pagamento</w:t>
      </w:r>
      <w:r w:rsidR="004756C1" w:rsidRPr="002F50BD">
        <w:rPr>
          <w:rFonts w:ascii="Verdana" w:hAnsi="Verdana"/>
          <w:sz w:val="20"/>
          <w:u w:val="none"/>
          <w:lang w:val="pt-BR"/>
        </w:rPr>
        <w:t xml:space="preserve"> de</w:t>
      </w:r>
      <w:r w:rsidRPr="002F50BD">
        <w:rPr>
          <w:rFonts w:ascii="Verdana" w:hAnsi="Verdana"/>
          <w:sz w:val="20"/>
          <w:u w:val="none"/>
          <w:lang w:val="pt-BR"/>
        </w:rPr>
        <w:t xml:space="preserve"> uma indenização</w:t>
      </w:r>
      <w:r w:rsidR="004756C1" w:rsidRPr="002F50BD">
        <w:rPr>
          <w:rFonts w:ascii="Verdana" w:hAnsi="Verdana"/>
          <w:sz w:val="20"/>
          <w:u w:val="none"/>
          <w:lang w:val="pt-BR"/>
        </w:rPr>
        <w:t xml:space="preserve"> como compensa</w:t>
      </w:r>
      <w:r w:rsidRPr="002F50BD">
        <w:rPr>
          <w:rFonts w:ascii="Verdana" w:hAnsi="Verdana"/>
          <w:sz w:val="20"/>
          <w:u w:val="none"/>
          <w:lang w:val="pt-BR"/>
        </w:rPr>
        <w:t xml:space="preserve">ção </w:t>
      </w:r>
      <w:r w:rsidR="00367FD1" w:rsidRPr="002F50BD">
        <w:rPr>
          <w:rFonts w:ascii="Verdana" w:hAnsi="Verdana"/>
          <w:sz w:val="20"/>
          <w:u w:val="none"/>
          <w:lang w:val="pt-BR"/>
        </w:rPr>
        <w:lastRenderedPageBreak/>
        <w:t>pelos</w:t>
      </w:r>
      <w:r w:rsidR="00AB6727" w:rsidRPr="002F50BD">
        <w:rPr>
          <w:rFonts w:ascii="Verdana" w:hAnsi="Verdana"/>
          <w:sz w:val="20"/>
          <w:u w:val="none"/>
          <w:lang w:val="pt-BR"/>
        </w:rPr>
        <w:t xml:space="preserve"> </w:t>
      </w:r>
      <w:r w:rsidR="004756C1" w:rsidRPr="002F50BD">
        <w:rPr>
          <w:rFonts w:ascii="Verdana" w:hAnsi="Verdana"/>
          <w:sz w:val="20"/>
          <w:u w:val="none"/>
          <w:lang w:val="pt-BR"/>
        </w:rPr>
        <w:t>d</w:t>
      </w:r>
      <w:r w:rsidRPr="002F50BD">
        <w:rPr>
          <w:rFonts w:ascii="Verdana" w:hAnsi="Verdana"/>
          <w:sz w:val="20"/>
          <w:u w:val="none"/>
          <w:lang w:val="pt-BR"/>
        </w:rPr>
        <w:t>anos</w:t>
      </w:r>
      <w:r w:rsidR="004756C1" w:rsidRPr="002F50BD">
        <w:rPr>
          <w:rFonts w:ascii="Verdana" w:hAnsi="Verdana"/>
          <w:sz w:val="20"/>
          <w:u w:val="none"/>
          <w:lang w:val="pt-BR"/>
        </w:rPr>
        <w:t xml:space="preserve"> ocasionados</w:t>
      </w:r>
      <w:r w:rsidR="00F55DCA" w:rsidRPr="002F50BD">
        <w:rPr>
          <w:rFonts w:ascii="Verdana" w:hAnsi="Verdana"/>
          <w:sz w:val="20"/>
          <w:u w:val="none"/>
          <w:lang w:val="pt-BR"/>
        </w:rPr>
        <w:t>.</w:t>
      </w:r>
      <w:r w:rsidR="004756C1" w:rsidRPr="002F50BD">
        <w:rPr>
          <w:rStyle w:val="FootnoteReference"/>
          <w:rFonts w:ascii="Verdana" w:hAnsi="Verdana"/>
          <w:u w:val="none"/>
        </w:rPr>
        <w:footnoteReference w:id="211"/>
      </w:r>
      <w:r w:rsidR="00AB454A" w:rsidRPr="002F50BD">
        <w:rPr>
          <w:rFonts w:ascii="Verdana" w:hAnsi="Verdana"/>
          <w:sz w:val="20"/>
          <w:u w:val="none"/>
          <w:lang w:val="pt-BR"/>
        </w:rPr>
        <w:t xml:space="preserve"> A </w:t>
      </w:r>
      <w:r w:rsidRPr="002F50BD">
        <w:rPr>
          <w:rFonts w:ascii="Verdana" w:hAnsi="Verdana"/>
          <w:sz w:val="20"/>
          <w:u w:val="none"/>
          <w:lang w:val="pt-BR"/>
        </w:rPr>
        <w:t>obrigação</w:t>
      </w:r>
      <w:r w:rsidR="004756C1" w:rsidRPr="002F50BD">
        <w:rPr>
          <w:rFonts w:ascii="Verdana" w:hAnsi="Verdana"/>
          <w:sz w:val="20"/>
          <w:u w:val="none"/>
          <w:lang w:val="pt-BR"/>
        </w:rPr>
        <w:t xml:space="preserve"> de reparar, que se regula</w:t>
      </w:r>
      <w:r w:rsidRPr="002F50BD">
        <w:rPr>
          <w:rFonts w:ascii="Verdana" w:hAnsi="Verdana"/>
          <w:sz w:val="20"/>
          <w:u w:val="none"/>
          <w:lang w:val="pt-BR"/>
        </w:rPr>
        <w:t xml:space="preserve"> em </w:t>
      </w:r>
      <w:r w:rsidR="004756C1" w:rsidRPr="002F50BD">
        <w:rPr>
          <w:rFonts w:ascii="Verdana" w:hAnsi="Verdana"/>
          <w:sz w:val="20"/>
          <w:u w:val="none"/>
          <w:lang w:val="pt-BR"/>
        </w:rPr>
        <w:t>todos</w:t>
      </w:r>
      <w:r w:rsidRPr="002F50BD">
        <w:rPr>
          <w:rFonts w:ascii="Verdana" w:hAnsi="Verdana"/>
          <w:sz w:val="20"/>
          <w:u w:val="none"/>
          <w:lang w:val="pt-BR"/>
        </w:rPr>
        <w:t xml:space="preserve"> os </w:t>
      </w:r>
      <w:r w:rsidR="004756C1" w:rsidRPr="002F50BD">
        <w:rPr>
          <w:rFonts w:ascii="Verdana" w:hAnsi="Verdana"/>
          <w:sz w:val="20"/>
          <w:u w:val="none"/>
          <w:lang w:val="pt-BR"/>
        </w:rPr>
        <w:t xml:space="preserve">aspectos </w:t>
      </w:r>
      <w:r w:rsidR="00CF451D" w:rsidRPr="00CF451D">
        <w:rPr>
          <w:rFonts w:ascii="Verdana" w:hAnsi="Verdana"/>
          <w:sz w:val="20"/>
          <w:u w:val="none"/>
          <w:lang w:val="pt-BR"/>
        </w:rPr>
        <w:t>(</w:t>
      </w:r>
      <w:r w:rsidR="004756C1" w:rsidRPr="002F50BD">
        <w:rPr>
          <w:rFonts w:ascii="Verdana" w:hAnsi="Verdana"/>
          <w:sz w:val="20"/>
          <w:u w:val="none"/>
          <w:lang w:val="pt-BR"/>
        </w:rPr>
        <w:t xml:space="preserve">alcance, </w:t>
      </w:r>
      <w:r w:rsidRPr="002F50BD">
        <w:rPr>
          <w:rFonts w:ascii="Verdana" w:hAnsi="Verdana"/>
          <w:sz w:val="20"/>
          <w:u w:val="none"/>
          <w:lang w:val="pt-BR"/>
        </w:rPr>
        <w:t>natureza</w:t>
      </w:r>
      <w:r w:rsidR="004756C1" w:rsidRPr="002F50BD">
        <w:rPr>
          <w:rFonts w:ascii="Verdana" w:hAnsi="Verdana"/>
          <w:sz w:val="20"/>
          <w:u w:val="none"/>
          <w:lang w:val="pt-BR"/>
        </w:rPr>
        <w:t>, modalidades</w:t>
      </w:r>
      <w:r w:rsidRPr="002F50BD">
        <w:rPr>
          <w:rFonts w:ascii="Verdana" w:hAnsi="Verdana"/>
          <w:sz w:val="20"/>
          <w:u w:val="none"/>
          <w:lang w:val="pt-BR"/>
        </w:rPr>
        <w:t xml:space="preserve"> e </w:t>
      </w:r>
      <w:r w:rsidR="004756C1" w:rsidRPr="002F50BD">
        <w:rPr>
          <w:rFonts w:ascii="Verdana" w:hAnsi="Verdana"/>
          <w:sz w:val="20"/>
          <w:u w:val="none"/>
          <w:lang w:val="pt-BR"/>
        </w:rPr>
        <w:t>determina</w:t>
      </w:r>
      <w:r w:rsidRPr="002F50BD">
        <w:rPr>
          <w:rFonts w:ascii="Verdana" w:hAnsi="Verdana"/>
          <w:sz w:val="20"/>
          <w:u w:val="none"/>
          <w:lang w:val="pt-BR"/>
        </w:rPr>
        <w:t>ção dos beneficiário</w:t>
      </w:r>
      <w:r w:rsidR="004756C1" w:rsidRPr="002F50BD">
        <w:rPr>
          <w:rFonts w:ascii="Verdana" w:hAnsi="Verdana"/>
          <w:sz w:val="20"/>
          <w:u w:val="none"/>
          <w:lang w:val="pt-BR"/>
        </w:rPr>
        <w:t>s</w:t>
      </w:r>
      <w:r w:rsidR="00CF451D" w:rsidRPr="00CF451D">
        <w:rPr>
          <w:rFonts w:ascii="Verdana" w:hAnsi="Verdana"/>
          <w:sz w:val="20"/>
          <w:u w:val="none"/>
          <w:lang w:val="pt-BR"/>
        </w:rPr>
        <w:t>)</w:t>
      </w:r>
      <w:r w:rsidRPr="002F50BD">
        <w:rPr>
          <w:rFonts w:ascii="Verdana" w:hAnsi="Verdana"/>
          <w:sz w:val="20"/>
          <w:u w:val="none"/>
          <w:lang w:val="pt-BR"/>
        </w:rPr>
        <w:t xml:space="preserve"> pelo </w:t>
      </w:r>
      <w:r w:rsidR="00CF451D">
        <w:rPr>
          <w:rFonts w:ascii="Verdana" w:hAnsi="Verdana"/>
          <w:sz w:val="20"/>
          <w:u w:val="none"/>
          <w:lang w:val="pt-BR"/>
        </w:rPr>
        <w:t>Direito Internacional</w:t>
      </w:r>
      <w:r w:rsidR="004756C1" w:rsidRPr="002F50BD">
        <w:rPr>
          <w:rFonts w:ascii="Verdana" w:hAnsi="Verdana"/>
          <w:sz w:val="20"/>
          <w:u w:val="none"/>
          <w:lang w:val="pt-BR"/>
        </w:rPr>
        <w:t xml:space="preserve">, </w:t>
      </w:r>
      <w:r w:rsidR="00AB454A" w:rsidRPr="002F50BD">
        <w:rPr>
          <w:rFonts w:ascii="Verdana" w:hAnsi="Verdana"/>
          <w:sz w:val="20"/>
          <w:u w:val="none"/>
          <w:lang w:val="pt-BR"/>
        </w:rPr>
        <w:t>não pode</w:t>
      </w:r>
      <w:r w:rsidR="004756C1" w:rsidRPr="002F50BD">
        <w:rPr>
          <w:rFonts w:ascii="Verdana" w:hAnsi="Verdana"/>
          <w:sz w:val="20"/>
          <w:u w:val="none"/>
          <w:lang w:val="pt-BR"/>
        </w:rPr>
        <w:t xml:space="preserve"> ser modificada o</w:t>
      </w:r>
      <w:r w:rsidR="00F55DCA" w:rsidRPr="002F50BD">
        <w:rPr>
          <w:rFonts w:ascii="Verdana" w:hAnsi="Verdana"/>
          <w:sz w:val="20"/>
          <w:u w:val="none"/>
          <w:lang w:val="pt-BR"/>
        </w:rPr>
        <w:t xml:space="preserve">u descumprida </w:t>
      </w:r>
      <w:r w:rsidRPr="002F50BD">
        <w:rPr>
          <w:rFonts w:ascii="Verdana" w:hAnsi="Verdana"/>
          <w:sz w:val="20"/>
          <w:u w:val="none"/>
          <w:lang w:val="pt-BR"/>
        </w:rPr>
        <w:t xml:space="preserve">pelo </w:t>
      </w:r>
      <w:r w:rsidR="004756C1" w:rsidRPr="002F50BD">
        <w:rPr>
          <w:rFonts w:ascii="Verdana" w:hAnsi="Verdana"/>
          <w:sz w:val="20"/>
          <w:u w:val="none"/>
          <w:lang w:val="pt-BR"/>
        </w:rPr>
        <w:t xml:space="preserve">Estado </w:t>
      </w:r>
      <w:r w:rsidRPr="002F50BD">
        <w:rPr>
          <w:rFonts w:ascii="Verdana" w:hAnsi="Verdana"/>
          <w:sz w:val="20"/>
          <w:u w:val="none"/>
          <w:lang w:val="pt-BR"/>
        </w:rPr>
        <w:t>obrigad</w:t>
      </w:r>
      <w:r w:rsidR="004756C1" w:rsidRPr="002F50BD">
        <w:rPr>
          <w:rFonts w:ascii="Verdana" w:hAnsi="Verdana"/>
          <w:sz w:val="20"/>
          <w:u w:val="none"/>
          <w:lang w:val="pt-BR"/>
        </w:rPr>
        <w:t xml:space="preserve">o, </w:t>
      </w:r>
      <w:r w:rsidR="00F55DCA" w:rsidRPr="002F50BD">
        <w:rPr>
          <w:rFonts w:ascii="Verdana" w:hAnsi="Verdana"/>
          <w:sz w:val="20"/>
          <w:u w:val="none"/>
          <w:lang w:val="pt-BR"/>
        </w:rPr>
        <w:t xml:space="preserve">ao invocar </w:t>
      </w:r>
      <w:r w:rsidR="004756C1" w:rsidRPr="002F50BD">
        <w:rPr>
          <w:rFonts w:ascii="Verdana" w:hAnsi="Verdana"/>
          <w:sz w:val="20"/>
          <w:u w:val="none"/>
          <w:lang w:val="pt-BR"/>
        </w:rPr>
        <w:t>disposi</w:t>
      </w:r>
      <w:r w:rsidRPr="002F50BD">
        <w:rPr>
          <w:rFonts w:ascii="Verdana" w:hAnsi="Verdana"/>
          <w:sz w:val="20"/>
          <w:u w:val="none"/>
          <w:lang w:val="pt-BR"/>
        </w:rPr>
        <w:t>ções</w:t>
      </w:r>
      <w:r w:rsidR="004756C1" w:rsidRPr="002F50BD">
        <w:rPr>
          <w:rFonts w:ascii="Verdana" w:hAnsi="Verdana"/>
          <w:sz w:val="20"/>
          <w:u w:val="none"/>
          <w:lang w:val="pt-BR"/>
        </w:rPr>
        <w:t xml:space="preserve"> de </w:t>
      </w:r>
      <w:r w:rsidRPr="002F50BD">
        <w:rPr>
          <w:rFonts w:ascii="Verdana" w:hAnsi="Verdana"/>
          <w:sz w:val="20"/>
          <w:u w:val="none"/>
          <w:lang w:val="pt-BR"/>
        </w:rPr>
        <w:t>seu direito</w:t>
      </w:r>
      <w:r w:rsidR="004756C1" w:rsidRPr="002F50BD">
        <w:rPr>
          <w:rFonts w:ascii="Verdana" w:hAnsi="Verdana"/>
          <w:sz w:val="20"/>
          <w:u w:val="none"/>
          <w:lang w:val="pt-BR"/>
        </w:rPr>
        <w:t xml:space="preserve"> interno</w:t>
      </w:r>
      <w:r w:rsidR="00F55DCA" w:rsidRPr="002F50BD">
        <w:rPr>
          <w:rFonts w:ascii="Verdana" w:hAnsi="Verdana"/>
          <w:sz w:val="20"/>
          <w:u w:val="none"/>
          <w:lang w:val="pt-BR"/>
        </w:rPr>
        <w:t>.</w:t>
      </w:r>
      <w:r w:rsidR="004756C1" w:rsidRPr="002F50BD">
        <w:rPr>
          <w:rStyle w:val="FootnoteReference"/>
          <w:rFonts w:ascii="Verdana" w:hAnsi="Verdana"/>
          <w:u w:val="none"/>
        </w:rPr>
        <w:footnoteReference w:id="212"/>
      </w:r>
    </w:p>
    <w:p w:rsidR="00F55DCA" w:rsidRPr="002F50BD" w:rsidRDefault="00F55DCA" w:rsidP="00F55DCA">
      <w:pPr>
        <w:pStyle w:val="BodyText3"/>
        <w:rPr>
          <w:rFonts w:ascii="Verdana" w:hAnsi="Verdana"/>
          <w:sz w:val="20"/>
          <w:u w:val="none"/>
          <w:lang w:val="pt-BR"/>
        </w:rPr>
      </w:pPr>
    </w:p>
    <w:p w:rsidR="004756C1" w:rsidRPr="002F50BD" w:rsidRDefault="0089298C">
      <w:pPr>
        <w:pStyle w:val="BodyText3"/>
        <w:numPr>
          <w:ilvl w:val="0"/>
          <w:numId w:val="29"/>
        </w:numPr>
        <w:rPr>
          <w:rFonts w:ascii="Verdana" w:hAnsi="Verdana"/>
          <w:sz w:val="20"/>
          <w:u w:val="none"/>
          <w:lang w:val="pt-BR"/>
        </w:rPr>
      </w:pPr>
      <w:r w:rsidRPr="002F50BD">
        <w:rPr>
          <w:rFonts w:ascii="Verdana" w:hAnsi="Verdana"/>
          <w:sz w:val="20"/>
          <w:u w:val="none"/>
          <w:lang w:val="pt-BR"/>
        </w:rPr>
        <w:t xml:space="preserve">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como</w:t>
      </w:r>
      <w:r w:rsidRPr="002F50BD">
        <w:rPr>
          <w:rFonts w:ascii="Verdana" w:hAnsi="Verdana"/>
          <w:sz w:val="20"/>
          <w:u w:val="none"/>
          <w:lang w:val="pt-BR"/>
        </w:rPr>
        <w:t xml:space="preserve"> o termo</w:t>
      </w:r>
      <w:r w:rsidR="004756C1" w:rsidRPr="002F50BD">
        <w:rPr>
          <w:rFonts w:ascii="Verdana" w:hAnsi="Verdana"/>
          <w:sz w:val="20"/>
          <w:u w:val="none"/>
          <w:lang w:val="pt-BR"/>
        </w:rPr>
        <w:t xml:space="preserve"> </w:t>
      </w:r>
      <w:r w:rsidR="00F55DCA" w:rsidRPr="002F50BD">
        <w:rPr>
          <w:rFonts w:ascii="Verdana" w:hAnsi="Verdana"/>
          <w:sz w:val="20"/>
          <w:u w:val="none"/>
          <w:lang w:val="pt-BR"/>
        </w:rPr>
        <w:t>indica, consistem</w:t>
      </w:r>
      <w:r w:rsidRPr="002F50BD">
        <w:rPr>
          <w:rFonts w:ascii="Verdana" w:hAnsi="Verdana"/>
          <w:sz w:val="20"/>
          <w:u w:val="none"/>
          <w:lang w:val="pt-BR"/>
        </w:rPr>
        <w:t xml:space="preserve"> </w:t>
      </w:r>
      <w:r w:rsidR="00F55DCA" w:rsidRPr="002F50BD">
        <w:rPr>
          <w:rFonts w:ascii="Verdana" w:hAnsi="Verdana"/>
          <w:sz w:val="20"/>
          <w:u w:val="none"/>
          <w:lang w:val="pt-BR"/>
        </w:rPr>
        <w:t xml:space="preserve">em </w:t>
      </w:r>
      <w:r w:rsidR="004756C1" w:rsidRPr="002F50BD">
        <w:rPr>
          <w:rFonts w:ascii="Verdana" w:hAnsi="Verdana"/>
          <w:sz w:val="20"/>
          <w:u w:val="none"/>
          <w:lang w:val="pt-BR"/>
        </w:rPr>
        <w:t xml:space="preserve">medidas </w:t>
      </w:r>
      <w:r w:rsidR="00FC6B22" w:rsidRPr="002F50BD">
        <w:rPr>
          <w:rFonts w:ascii="Verdana" w:hAnsi="Verdana"/>
          <w:sz w:val="20"/>
          <w:u w:val="none"/>
          <w:lang w:val="pt-BR"/>
        </w:rPr>
        <w:t>dirigidas</w:t>
      </w:r>
      <w:r w:rsidR="00F55DCA" w:rsidRPr="002F50BD">
        <w:rPr>
          <w:rFonts w:ascii="Verdana" w:hAnsi="Verdana"/>
          <w:sz w:val="20"/>
          <w:u w:val="none"/>
          <w:lang w:val="pt-BR"/>
        </w:rPr>
        <w:t xml:space="preserve"> </w:t>
      </w:r>
      <w:r w:rsidR="004756C1" w:rsidRPr="002F50BD">
        <w:rPr>
          <w:rFonts w:ascii="Verdana" w:hAnsi="Verdana"/>
          <w:sz w:val="20"/>
          <w:u w:val="none"/>
          <w:lang w:val="pt-BR"/>
        </w:rPr>
        <w:t>a</w:t>
      </w:r>
      <w:r w:rsidRPr="002F50BD">
        <w:rPr>
          <w:rFonts w:ascii="Verdana" w:hAnsi="Verdana"/>
          <w:sz w:val="20"/>
          <w:u w:val="none"/>
          <w:lang w:val="pt-BR"/>
        </w:rPr>
        <w:t xml:space="preserve"> fazer </w:t>
      </w:r>
      <w:r w:rsidR="004756C1" w:rsidRPr="002F50BD">
        <w:rPr>
          <w:rFonts w:ascii="Verdana" w:hAnsi="Verdana"/>
          <w:sz w:val="20"/>
          <w:u w:val="none"/>
          <w:lang w:val="pt-BR"/>
        </w:rPr>
        <w:t>desaparecer</w:t>
      </w:r>
      <w:r w:rsidRPr="002F50BD">
        <w:rPr>
          <w:rFonts w:ascii="Verdana" w:hAnsi="Verdana"/>
          <w:sz w:val="20"/>
          <w:u w:val="none"/>
          <w:lang w:val="pt-BR"/>
        </w:rPr>
        <w:t xml:space="preserve"> os efeito</w:t>
      </w:r>
      <w:r w:rsidR="004756C1" w:rsidRPr="002F50BD">
        <w:rPr>
          <w:rFonts w:ascii="Verdana" w:hAnsi="Verdana"/>
          <w:sz w:val="20"/>
          <w:u w:val="none"/>
          <w:lang w:val="pt-BR"/>
        </w:rPr>
        <w:t>s</w:t>
      </w:r>
      <w:r w:rsidRPr="002F50BD">
        <w:rPr>
          <w:rFonts w:ascii="Verdana" w:hAnsi="Verdana"/>
          <w:sz w:val="20"/>
          <w:u w:val="none"/>
          <w:lang w:val="pt-BR"/>
        </w:rPr>
        <w:t xml:space="preserve"> das </w:t>
      </w:r>
      <w:r w:rsidR="004756C1" w:rsidRPr="002F50BD">
        <w:rPr>
          <w:rFonts w:ascii="Verdana" w:hAnsi="Verdana"/>
          <w:sz w:val="20"/>
          <w:u w:val="none"/>
          <w:lang w:val="pt-BR"/>
        </w:rPr>
        <w:t>viola</w:t>
      </w:r>
      <w:r w:rsidRPr="002F50BD">
        <w:rPr>
          <w:rFonts w:ascii="Verdana" w:hAnsi="Verdana"/>
          <w:sz w:val="20"/>
          <w:u w:val="none"/>
          <w:lang w:val="pt-BR"/>
        </w:rPr>
        <w:t>ções</w:t>
      </w:r>
      <w:r w:rsidR="004756C1" w:rsidRPr="002F50BD">
        <w:rPr>
          <w:rFonts w:ascii="Verdana" w:hAnsi="Verdana"/>
          <w:sz w:val="20"/>
          <w:u w:val="none"/>
          <w:lang w:val="pt-BR"/>
        </w:rPr>
        <w:t xml:space="preserve"> cometidas. Su</w:t>
      </w:r>
      <w:r w:rsidR="00F55DCA" w:rsidRPr="002F50BD">
        <w:rPr>
          <w:rFonts w:ascii="Verdana" w:hAnsi="Verdana"/>
          <w:sz w:val="20"/>
          <w:u w:val="none"/>
          <w:lang w:val="pt-BR"/>
        </w:rPr>
        <w:t>a</w:t>
      </w:r>
      <w:r w:rsidR="004756C1" w:rsidRPr="002F50BD">
        <w:rPr>
          <w:rFonts w:ascii="Verdana" w:hAnsi="Verdana"/>
          <w:sz w:val="20"/>
          <w:u w:val="none"/>
          <w:lang w:val="pt-BR"/>
        </w:rPr>
        <w:t xml:space="preserve"> </w:t>
      </w:r>
      <w:r w:rsidRPr="002F50BD">
        <w:rPr>
          <w:rFonts w:ascii="Verdana" w:hAnsi="Verdana"/>
          <w:sz w:val="20"/>
          <w:u w:val="none"/>
          <w:lang w:val="pt-BR"/>
        </w:rPr>
        <w:t xml:space="preserve">natureza e </w:t>
      </w:r>
      <w:r w:rsidR="004756C1" w:rsidRPr="002F50BD">
        <w:rPr>
          <w:rFonts w:ascii="Verdana" w:hAnsi="Verdana"/>
          <w:sz w:val="20"/>
          <w:u w:val="none"/>
          <w:lang w:val="pt-BR"/>
        </w:rPr>
        <w:t>s</w:t>
      </w:r>
      <w:r w:rsidR="00F55DCA" w:rsidRPr="002F50BD">
        <w:rPr>
          <w:rFonts w:ascii="Verdana" w:hAnsi="Verdana"/>
          <w:sz w:val="20"/>
          <w:u w:val="none"/>
          <w:lang w:val="pt-BR"/>
        </w:rPr>
        <w:t>e</w:t>
      </w:r>
      <w:r w:rsidR="004756C1" w:rsidRPr="002F50BD">
        <w:rPr>
          <w:rFonts w:ascii="Verdana" w:hAnsi="Verdana"/>
          <w:sz w:val="20"/>
          <w:u w:val="none"/>
          <w:lang w:val="pt-BR"/>
        </w:rPr>
        <w:t>u</w:t>
      </w:r>
      <w:r w:rsidRPr="002F50BD">
        <w:rPr>
          <w:rFonts w:ascii="Verdana" w:hAnsi="Verdana"/>
          <w:sz w:val="20"/>
          <w:u w:val="none"/>
          <w:lang w:val="pt-BR"/>
        </w:rPr>
        <w:t xml:space="preserve"> montante dependem do dano</w:t>
      </w:r>
      <w:r w:rsidR="004756C1" w:rsidRPr="002F50BD">
        <w:rPr>
          <w:rFonts w:ascii="Verdana" w:hAnsi="Verdana"/>
          <w:sz w:val="20"/>
          <w:u w:val="none"/>
          <w:lang w:val="pt-BR"/>
        </w:rPr>
        <w:t xml:space="preserve"> ocasionado</w:t>
      </w:r>
      <w:r w:rsidRPr="002F50BD">
        <w:rPr>
          <w:rFonts w:ascii="Verdana" w:hAnsi="Verdana"/>
          <w:sz w:val="20"/>
          <w:u w:val="none"/>
          <w:lang w:val="pt-BR"/>
        </w:rPr>
        <w:t xml:space="preserve"> </w:t>
      </w:r>
      <w:r w:rsidR="00230E08" w:rsidRPr="002F50BD">
        <w:rPr>
          <w:rFonts w:ascii="Verdana" w:hAnsi="Verdana"/>
          <w:sz w:val="20"/>
          <w:u w:val="none"/>
          <w:lang w:val="pt-BR"/>
        </w:rPr>
        <w:t xml:space="preserve">tanto </w:t>
      </w:r>
      <w:r w:rsidRPr="002F50BD">
        <w:rPr>
          <w:rFonts w:ascii="Verdana" w:hAnsi="Verdana"/>
          <w:sz w:val="20"/>
          <w:u w:val="none"/>
          <w:lang w:val="pt-BR"/>
        </w:rPr>
        <w:t xml:space="preserve">no </w:t>
      </w:r>
      <w:r w:rsidR="004756C1" w:rsidRPr="002F50BD">
        <w:rPr>
          <w:rFonts w:ascii="Verdana" w:hAnsi="Verdana"/>
          <w:sz w:val="20"/>
          <w:u w:val="none"/>
          <w:lang w:val="pt-BR"/>
        </w:rPr>
        <w:t xml:space="preserve">plano material como </w:t>
      </w:r>
      <w:r w:rsidRPr="002F50BD">
        <w:rPr>
          <w:rFonts w:ascii="Verdana" w:hAnsi="Verdana"/>
          <w:sz w:val="20"/>
          <w:u w:val="none"/>
          <w:lang w:val="pt-BR"/>
        </w:rPr>
        <w:t>imaterial</w:t>
      </w:r>
      <w:r w:rsidR="00BE346D" w:rsidRPr="002F50BD">
        <w:rPr>
          <w:rFonts w:ascii="Verdana" w:hAnsi="Verdana"/>
          <w:sz w:val="20"/>
          <w:u w:val="none"/>
          <w:lang w:val="pt-BR"/>
        </w:rPr>
        <w:t xml:space="preserve">. 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xml:space="preserve"> </w:t>
      </w:r>
      <w:r w:rsidR="00AB454A" w:rsidRPr="002F50BD">
        <w:rPr>
          <w:rFonts w:ascii="Verdana" w:hAnsi="Verdana"/>
          <w:sz w:val="20"/>
          <w:u w:val="none"/>
          <w:lang w:val="pt-BR"/>
        </w:rPr>
        <w:t xml:space="preserve">não </w:t>
      </w:r>
      <w:r w:rsidR="00475EBB" w:rsidRPr="002F50BD">
        <w:rPr>
          <w:rFonts w:ascii="Verdana" w:hAnsi="Verdana"/>
          <w:sz w:val="20"/>
          <w:u w:val="none"/>
          <w:lang w:val="pt-BR"/>
        </w:rPr>
        <w:t xml:space="preserve">podem </w:t>
      </w:r>
      <w:r w:rsidR="004756C1" w:rsidRPr="002F50BD">
        <w:rPr>
          <w:rFonts w:ascii="Verdana" w:hAnsi="Verdana"/>
          <w:sz w:val="20"/>
          <w:u w:val="none"/>
          <w:lang w:val="pt-BR"/>
        </w:rPr>
        <w:t>implicar</w:t>
      </w:r>
      <w:r w:rsidRPr="002F50BD">
        <w:rPr>
          <w:rFonts w:ascii="Verdana" w:hAnsi="Verdana"/>
          <w:sz w:val="20"/>
          <w:u w:val="none"/>
          <w:lang w:val="pt-BR"/>
        </w:rPr>
        <w:t xml:space="preserve"> </w:t>
      </w:r>
      <w:r w:rsidR="00230E08" w:rsidRPr="002F50BD">
        <w:rPr>
          <w:rFonts w:ascii="Verdana" w:hAnsi="Verdana"/>
          <w:sz w:val="20"/>
          <w:u w:val="none"/>
          <w:lang w:val="pt-BR"/>
        </w:rPr>
        <w:t>n</w:t>
      </w:r>
      <w:r w:rsidR="00DC0F25" w:rsidRPr="002F50BD">
        <w:rPr>
          <w:rFonts w:ascii="Verdana" w:hAnsi="Verdana"/>
          <w:sz w:val="20"/>
          <w:u w:val="none"/>
          <w:lang w:val="pt-BR"/>
        </w:rPr>
        <w:t xml:space="preserve">o </w:t>
      </w:r>
      <w:r w:rsidRPr="002F50BD">
        <w:rPr>
          <w:rFonts w:ascii="Verdana" w:hAnsi="Verdana"/>
          <w:sz w:val="20"/>
          <w:u w:val="none"/>
          <w:lang w:val="pt-BR"/>
        </w:rPr>
        <w:t xml:space="preserve">enriquecimento nem </w:t>
      </w:r>
      <w:r w:rsidR="00230E08" w:rsidRPr="002F50BD">
        <w:rPr>
          <w:rFonts w:ascii="Verdana" w:hAnsi="Verdana"/>
          <w:sz w:val="20"/>
          <w:u w:val="none"/>
          <w:lang w:val="pt-BR"/>
        </w:rPr>
        <w:t>n</w:t>
      </w:r>
      <w:r w:rsidR="00DC0F25" w:rsidRPr="002F50BD">
        <w:rPr>
          <w:rFonts w:ascii="Verdana" w:hAnsi="Verdana"/>
          <w:sz w:val="20"/>
          <w:u w:val="none"/>
          <w:lang w:val="pt-BR"/>
        </w:rPr>
        <w:t xml:space="preserve">o </w:t>
      </w:r>
      <w:r w:rsidRPr="002F50BD">
        <w:rPr>
          <w:rFonts w:ascii="Verdana" w:hAnsi="Verdana"/>
          <w:sz w:val="20"/>
          <w:u w:val="none"/>
          <w:lang w:val="pt-BR"/>
        </w:rPr>
        <w:t>empobrecimento</w:t>
      </w:r>
      <w:r w:rsidR="004756C1" w:rsidRPr="002F50BD">
        <w:rPr>
          <w:rFonts w:ascii="Verdana" w:hAnsi="Verdana"/>
          <w:sz w:val="20"/>
          <w:u w:val="none"/>
          <w:lang w:val="pt-BR"/>
        </w:rPr>
        <w:t xml:space="preserve"> </w:t>
      </w:r>
      <w:r w:rsidR="00DC0F25" w:rsidRPr="002F50BD">
        <w:rPr>
          <w:rFonts w:ascii="Verdana" w:hAnsi="Verdana"/>
          <w:sz w:val="20"/>
          <w:u w:val="none"/>
          <w:lang w:val="pt-BR"/>
        </w:rPr>
        <w:t>d</w:t>
      </w:r>
      <w:r w:rsidRPr="002F50BD">
        <w:rPr>
          <w:rFonts w:ascii="Verdana" w:hAnsi="Verdana"/>
          <w:sz w:val="20"/>
          <w:u w:val="none"/>
          <w:lang w:val="pt-BR"/>
        </w:rPr>
        <w:t>a vítima</w:t>
      </w:r>
      <w:r w:rsidR="004756C1" w:rsidRPr="002F50BD">
        <w:rPr>
          <w:rFonts w:ascii="Verdana" w:hAnsi="Verdana"/>
          <w:sz w:val="20"/>
          <w:u w:val="none"/>
          <w:lang w:val="pt-BR"/>
        </w:rPr>
        <w:t xml:space="preserve"> o</w:t>
      </w:r>
      <w:r w:rsidR="00DC0F25" w:rsidRPr="002F50BD">
        <w:rPr>
          <w:rFonts w:ascii="Verdana" w:hAnsi="Verdana"/>
          <w:sz w:val="20"/>
          <w:u w:val="none"/>
          <w:lang w:val="pt-BR"/>
        </w:rPr>
        <w:t>u</w:t>
      </w:r>
      <w:r w:rsidR="004756C1" w:rsidRPr="002F50BD">
        <w:rPr>
          <w:rFonts w:ascii="Verdana" w:hAnsi="Verdana"/>
          <w:sz w:val="20"/>
          <w:u w:val="none"/>
          <w:lang w:val="pt-BR"/>
        </w:rPr>
        <w:t xml:space="preserve"> </w:t>
      </w:r>
      <w:r w:rsidR="00DC0F25" w:rsidRPr="002F50BD">
        <w:rPr>
          <w:rFonts w:ascii="Verdana" w:hAnsi="Verdana"/>
          <w:sz w:val="20"/>
          <w:u w:val="none"/>
          <w:lang w:val="pt-BR"/>
        </w:rPr>
        <w:t xml:space="preserve">de </w:t>
      </w:r>
      <w:r w:rsidR="00F55DCA" w:rsidRPr="002F50BD">
        <w:rPr>
          <w:rFonts w:ascii="Verdana" w:hAnsi="Verdana"/>
          <w:sz w:val="20"/>
          <w:u w:val="none"/>
          <w:lang w:val="pt-BR"/>
        </w:rPr>
        <w:t>seus sucessores</w:t>
      </w:r>
      <w:r w:rsidR="00DC0F25" w:rsidRPr="002F50BD">
        <w:rPr>
          <w:rFonts w:ascii="Verdana" w:hAnsi="Verdana"/>
          <w:sz w:val="20"/>
          <w:u w:val="none"/>
          <w:lang w:val="pt-BR"/>
        </w:rPr>
        <w:t>.</w:t>
      </w:r>
      <w:r w:rsidR="004756C1" w:rsidRPr="002F50BD">
        <w:rPr>
          <w:rStyle w:val="FootnoteReference"/>
          <w:rFonts w:ascii="Verdana" w:hAnsi="Verdana"/>
          <w:u w:val="none"/>
        </w:rPr>
        <w:footnoteReference w:id="213"/>
      </w:r>
      <w:r w:rsidR="00FE08B7">
        <w:rPr>
          <w:rFonts w:ascii="Verdana" w:hAnsi="Verdana"/>
          <w:sz w:val="20"/>
          <w:u w:val="none"/>
          <w:lang w:val="pt-BR"/>
        </w:rPr>
        <w:t xml:space="preserve"> </w:t>
      </w:r>
    </w:p>
    <w:p w:rsidR="004756C1" w:rsidRPr="002F50BD" w:rsidRDefault="004756C1">
      <w:pPr>
        <w:widowControl w:val="0"/>
        <w:ind w:right="6"/>
        <w:jc w:val="both"/>
        <w:rPr>
          <w:rFonts w:ascii="Verdana" w:hAnsi="Verdana"/>
          <w:sz w:val="20"/>
          <w:lang w:val="pt-BR"/>
        </w:rPr>
      </w:pPr>
    </w:p>
    <w:p w:rsidR="004756C1" w:rsidRPr="002F50BD" w:rsidRDefault="0089298C">
      <w:pPr>
        <w:pStyle w:val="BodyText3"/>
        <w:widowControl w:val="0"/>
        <w:numPr>
          <w:ilvl w:val="0"/>
          <w:numId w:val="29"/>
        </w:numPr>
        <w:ind w:right="43"/>
        <w:rPr>
          <w:rFonts w:ascii="Verdana" w:hAnsi="Verdana"/>
          <w:b/>
          <w:sz w:val="20"/>
          <w:u w:val="none"/>
          <w:lang w:val="pt-BR"/>
        </w:rPr>
      </w:pPr>
      <w:r w:rsidRPr="002F50BD">
        <w:rPr>
          <w:rFonts w:ascii="Verdana" w:hAnsi="Verdana"/>
          <w:sz w:val="20"/>
          <w:u w:val="none"/>
          <w:lang w:val="pt-BR"/>
        </w:rPr>
        <w:t xml:space="preserve">De acordo com os </w:t>
      </w:r>
      <w:r w:rsidR="004756C1" w:rsidRPr="002F50BD">
        <w:rPr>
          <w:rFonts w:ascii="Verdana" w:hAnsi="Verdana"/>
          <w:sz w:val="20"/>
          <w:u w:val="none"/>
          <w:lang w:val="pt-BR"/>
        </w:rPr>
        <w:t xml:space="preserve">elementos </w:t>
      </w:r>
      <w:r w:rsidRPr="002F50BD">
        <w:rPr>
          <w:rFonts w:ascii="Verdana" w:hAnsi="Verdana"/>
          <w:sz w:val="20"/>
          <w:u w:val="none"/>
          <w:lang w:val="pt-BR"/>
        </w:rPr>
        <w:t>probatório</w:t>
      </w:r>
      <w:r w:rsidR="004756C1" w:rsidRPr="002F50BD">
        <w:rPr>
          <w:rFonts w:ascii="Verdana" w:hAnsi="Verdana"/>
          <w:sz w:val="20"/>
          <w:u w:val="none"/>
          <w:lang w:val="pt-BR"/>
        </w:rPr>
        <w:t xml:space="preserve">s </w:t>
      </w:r>
      <w:r w:rsidR="003F15BE" w:rsidRPr="002F50BD">
        <w:rPr>
          <w:rFonts w:ascii="Verdana" w:hAnsi="Verdana"/>
          <w:sz w:val="20"/>
          <w:u w:val="none"/>
          <w:lang w:val="pt-BR"/>
        </w:rPr>
        <w:t>recolhid</w:t>
      </w:r>
      <w:r w:rsidR="004756C1" w:rsidRPr="002F50BD">
        <w:rPr>
          <w:rFonts w:ascii="Verdana" w:hAnsi="Verdana"/>
          <w:sz w:val="20"/>
          <w:u w:val="none"/>
          <w:lang w:val="pt-BR"/>
        </w:rPr>
        <w:t>os durante</w:t>
      </w:r>
      <w:r w:rsidRPr="002F50BD">
        <w:rPr>
          <w:rFonts w:ascii="Verdana" w:hAnsi="Verdana"/>
          <w:sz w:val="20"/>
          <w:u w:val="none"/>
          <w:lang w:val="pt-BR"/>
        </w:rPr>
        <w:t xml:space="preserve"> o processo e à </w:t>
      </w:r>
      <w:r w:rsidR="004756C1" w:rsidRPr="002F50BD">
        <w:rPr>
          <w:rFonts w:ascii="Verdana" w:hAnsi="Verdana"/>
          <w:sz w:val="20"/>
          <w:u w:val="none"/>
          <w:lang w:val="pt-BR"/>
        </w:rPr>
        <w:t>luz</w:t>
      </w:r>
      <w:r w:rsidRPr="002F50BD">
        <w:rPr>
          <w:rFonts w:ascii="Verdana" w:hAnsi="Verdana"/>
          <w:sz w:val="20"/>
          <w:u w:val="none"/>
          <w:lang w:val="pt-BR"/>
        </w:rPr>
        <w:t xml:space="preserve"> dos critério</w:t>
      </w:r>
      <w:r w:rsidR="004756C1" w:rsidRPr="002F50BD">
        <w:rPr>
          <w:rFonts w:ascii="Verdana" w:hAnsi="Verdana"/>
          <w:sz w:val="20"/>
          <w:u w:val="none"/>
          <w:lang w:val="pt-BR"/>
        </w:rPr>
        <w:t>s</w:t>
      </w:r>
      <w:r w:rsidR="00FC6B22" w:rsidRPr="002F50BD">
        <w:rPr>
          <w:rFonts w:ascii="Verdana" w:hAnsi="Verdana"/>
          <w:sz w:val="20"/>
          <w:u w:val="none"/>
          <w:lang w:val="pt-BR"/>
        </w:rPr>
        <w:t xml:space="preserve"> anteriores</w:t>
      </w:r>
      <w:r w:rsidR="004756C1" w:rsidRPr="002F50BD">
        <w:rPr>
          <w:rFonts w:ascii="Verdana" w:hAnsi="Verdana"/>
          <w:sz w:val="20"/>
          <w:u w:val="none"/>
          <w:lang w:val="pt-BR"/>
        </w:rPr>
        <w:t>,</w:t>
      </w:r>
      <w:r w:rsidRPr="002F50BD">
        <w:rPr>
          <w:rFonts w:ascii="Verdana" w:hAnsi="Verdana"/>
          <w:sz w:val="20"/>
          <w:u w:val="none"/>
          <w:lang w:val="pt-BR"/>
        </w:rPr>
        <w:t xml:space="preserve"> a </w:t>
      </w:r>
      <w:r w:rsidR="004756C1" w:rsidRPr="002F50BD">
        <w:rPr>
          <w:rFonts w:ascii="Verdana" w:hAnsi="Verdana"/>
          <w:sz w:val="20"/>
          <w:u w:val="none"/>
          <w:lang w:val="pt-BR"/>
        </w:rPr>
        <w:t xml:space="preserve">Corte </w:t>
      </w:r>
      <w:r w:rsidR="00230E08" w:rsidRPr="002F50BD">
        <w:rPr>
          <w:rFonts w:ascii="Verdana" w:hAnsi="Verdana"/>
          <w:sz w:val="20"/>
          <w:u w:val="none"/>
          <w:lang w:val="pt-BR"/>
        </w:rPr>
        <w:t>passa</w:t>
      </w:r>
      <w:r w:rsidRPr="002F50BD">
        <w:rPr>
          <w:rFonts w:ascii="Verdana" w:hAnsi="Verdana"/>
          <w:sz w:val="20"/>
          <w:u w:val="none"/>
          <w:lang w:val="pt-BR"/>
        </w:rPr>
        <w:t xml:space="preserve"> </w:t>
      </w:r>
      <w:r w:rsidR="00DC0F25" w:rsidRPr="002F50BD">
        <w:rPr>
          <w:rFonts w:ascii="Verdana" w:hAnsi="Verdana"/>
          <w:sz w:val="20"/>
          <w:u w:val="none"/>
          <w:lang w:val="pt-BR"/>
        </w:rPr>
        <w:t xml:space="preserve">a </w:t>
      </w:r>
      <w:r w:rsidRPr="002F50BD">
        <w:rPr>
          <w:rFonts w:ascii="Verdana" w:hAnsi="Verdana"/>
          <w:sz w:val="20"/>
          <w:u w:val="none"/>
          <w:lang w:val="pt-BR"/>
        </w:rPr>
        <w:t xml:space="preserve">analisar as pretensões apresentadas pela Comissão e </w:t>
      </w:r>
      <w:r w:rsidR="00367FD1" w:rsidRPr="002F50BD">
        <w:rPr>
          <w:rFonts w:ascii="Verdana" w:hAnsi="Verdana"/>
          <w:sz w:val="20"/>
          <w:u w:val="none"/>
          <w:lang w:val="pt-BR"/>
        </w:rPr>
        <w:t>pelos</w:t>
      </w:r>
      <w:r w:rsidR="00AB6727" w:rsidRPr="002F50BD">
        <w:rPr>
          <w:rFonts w:ascii="Verdana" w:hAnsi="Verdana"/>
          <w:sz w:val="20"/>
          <w:u w:val="none"/>
          <w:lang w:val="pt-BR"/>
        </w:rPr>
        <w:t xml:space="preserve"> </w:t>
      </w:r>
      <w:r w:rsidR="008C29C9" w:rsidRPr="002F50BD">
        <w:rPr>
          <w:rFonts w:ascii="Verdana" w:hAnsi="Verdana"/>
          <w:sz w:val="20"/>
          <w:u w:val="none"/>
          <w:lang w:val="pt-BR"/>
        </w:rPr>
        <w:t>representante</w:t>
      </w:r>
      <w:r w:rsidR="004076AD" w:rsidRPr="002F50BD">
        <w:rPr>
          <w:rFonts w:ascii="Verdana" w:hAnsi="Verdana"/>
          <w:sz w:val="20"/>
          <w:u w:val="none"/>
          <w:lang w:val="pt-BR"/>
        </w:rPr>
        <w:t xml:space="preserve">s </w:t>
      </w:r>
      <w:r w:rsidRPr="002F50BD">
        <w:rPr>
          <w:rFonts w:ascii="Verdana" w:hAnsi="Verdana"/>
          <w:sz w:val="20"/>
          <w:u w:val="none"/>
          <w:lang w:val="pt-BR"/>
        </w:rPr>
        <w:t xml:space="preserve">e as </w:t>
      </w:r>
      <w:r w:rsidR="004756C1" w:rsidRPr="002F50BD">
        <w:rPr>
          <w:rFonts w:ascii="Verdana" w:hAnsi="Verdana"/>
          <w:sz w:val="20"/>
          <w:u w:val="none"/>
          <w:lang w:val="pt-BR"/>
        </w:rPr>
        <w:t>considera</w:t>
      </w:r>
      <w:r w:rsidRPr="002F50BD">
        <w:rPr>
          <w:rFonts w:ascii="Verdana" w:hAnsi="Verdana"/>
          <w:sz w:val="20"/>
          <w:u w:val="none"/>
          <w:lang w:val="pt-BR"/>
        </w:rPr>
        <w:t>ções</w:t>
      </w:r>
      <w:r w:rsidR="004756C1" w:rsidRPr="002F50BD">
        <w:rPr>
          <w:rFonts w:ascii="Verdana" w:hAnsi="Verdana"/>
          <w:sz w:val="20"/>
          <w:u w:val="none"/>
          <w:lang w:val="pt-BR"/>
        </w:rPr>
        <w:t xml:space="preserve"> </w:t>
      </w:r>
      <w:r w:rsidRPr="002F50BD">
        <w:rPr>
          <w:rFonts w:ascii="Verdana" w:hAnsi="Verdana"/>
          <w:sz w:val="20"/>
          <w:u w:val="none"/>
          <w:lang w:val="pt-BR"/>
        </w:rPr>
        <w:t xml:space="preserve">do </w:t>
      </w:r>
      <w:r w:rsidR="004756C1" w:rsidRPr="002F50BD">
        <w:rPr>
          <w:rFonts w:ascii="Verdana" w:hAnsi="Verdana"/>
          <w:sz w:val="20"/>
          <w:u w:val="none"/>
          <w:lang w:val="pt-BR"/>
        </w:rPr>
        <w:t xml:space="preserve">Estado </w:t>
      </w:r>
      <w:r w:rsidRPr="002F50BD">
        <w:rPr>
          <w:rFonts w:ascii="Verdana" w:hAnsi="Verdana"/>
          <w:sz w:val="20"/>
          <w:u w:val="none"/>
          <w:lang w:val="pt-BR"/>
        </w:rPr>
        <w:t xml:space="preserve">a respeito das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w:t>
      </w:r>
      <w:r w:rsidRPr="002F50BD">
        <w:rPr>
          <w:rFonts w:ascii="Verdana" w:hAnsi="Verdana"/>
          <w:sz w:val="20"/>
          <w:u w:val="none"/>
          <w:lang w:val="pt-BR"/>
        </w:rPr>
        <w:t xml:space="preserve"> com o </w:t>
      </w:r>
      <w:r w:rsidR="004756C1" w:rsidRPr="002F50BD">
        <w:rPr>
          <w:rFonts w:ascii="Verdana" w:hAnsi="Verdana"/>
          <w:sz w:val="20"/>
          <w:u w:val="none"/>
          <w:lang w:val="pt-BR"/>
        </w:rPr>
        <w:t>objet</w:t>
      </w:r>
      <w:r w:rsidR="00DC0F25" w:rsidRPr="002F50BD">
        <w:rPr>
          <w:rFonts w:ascii="Verdana" w:hAnsi="Verdana"/>
          <w:sz w:val="20"/>
          <w:u w:val="none"/>
          <w:lang w:val="pt-BR"/>
        </w:rPr>
        <w:t>iv</w:t>
      </w:r>
      <w:r w:rsidR="004756C1" w:rsidRPr="002F50BD">
        <w:rPr>
          <w:rFonts w:ascii="Verdana" w:hAnsi="Verdana"/>
          <w:sz w:val="20"/>
          <w:u w:val="none"/>
          <w:lang w:val="pt-BR"/>
        </w:rPr>
        <w:t>o de determinar,</w:t>
      </w:r>
      <w:r w:rsidRPr="002F50BD">
        <w:rPr>
          <w:rFonts w:ascii="Verdana" w:hAnsi="Verdana"/>
          <w:sz w:val="20"/>
          <w:u w:val="none"/>
          <w:lang w:val="pt-BR"/>
        </w:rPr>
        <w:t xml:space="preserve"> em primeiro </w:t>
      </w:r>
      <w:r w:rsidR="004756C1" w:rsidRPr="002F50BD">
        <w:rPr>
          <w:rFonts w:ascii="Verdana" w:hAnsi="Verdana"/>
          <w:sz w:val="20"/>
          <w:u w:val="none"/>
          <w:lang w:val="pt-BR"/>
        </w:rPr>
        <w:t xml:space="preserve">lugar, </w:t>
      </w:r>
      <w:r w:rsidRPr="002F50BD">
        <w:rPr>
          <w:rFonts w:ascii="Verdana" w:hAnsi="Verdana"/>
          <w:sz w:val="20"/>
          <w:u w:val="none"/>
          <w:lang w:val="pt-BR"/>
        </w:rPr>
        <w:t>quem são os beneficiário</w:t>
      </w:r>
      <w:r w:rsidR="004756C1" w:rsidRPr="002F50BD">
        <w:rPr>
          <w:rFonts w:ascii="Verdana" w:hAnsi="Verdana"/>
          <w:sz w:val="20"/>
          <w:u w:val="none"/>
          <w:lang w:val="pt-BR"/>
        </w:rPr>
        <w:t>s</w:t>
      </w:r>
      <w:r w:rsidRPr="002F50BD">
        <w:rPr>
          <w:rFonts w:ascii="Verdana" w:hAnsi="Verdana"/>
          <w:sz w:val="20"/>
          <w:u w:val="none"/>
          <w:lang w:val="pt-BR"/>
        </w:rPr>
        <w:t xml:space="preserve"> das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xml:space="preserve">, para </w:t>
      </w:r>
      <w:r w:rsidR="00DC0F25" w:rsidRPr="002F50BD">
        <w:rPr>
          <w:rFonts w:ascii="Verdana" w:hAnsi="Verdana"/>
          <w:sz w:val="20"/>
          <w:u w:val="none"/>
          <w:lang w:val="pt-BR"/>
        </w:rPr>
        <w:t xml:space="preserve">depois decidir </w:t>
      </w:r>
      <w:r w:rsidRPr="002F50BD">
        <w:rPr>
          <w:rFonts w:ascii="Verdana" w:hAnsi="Verdana"/>
          <w:sz w:val="20"/>
          <w:u w:val="none"/>
          <w:lang w:val="pt-BR"/>
        </w:rPr>
        <w:t xml:space="preserve">as </w:t>
      </w:r>
      <w:r w:rsidR="004756C1" w:rsidRPr="002F50BD">
        <w:rPr>
          <w:rFonts w:ascii="Verdana" w:hAnsi="Verdana"/>
          <w:sz w:val="20"/>
          <w:u w:val="none"/>
          <w:lang w:val="pt-BR"/>
        </w:rPr>
        <w:t>medidas de repara</w:t>
      </w:r>
      <w:r w:rsidRPr="002F50BD">
        <w:rPr>
          <w:rFonts w:ascii="Verdana" w:hAnsi="Verdana"/>
          <w:sz w:val="20"/>
          <w:u w:val="none"/>
          <w:lang w:val="pt-BR"/>
        </w:rPr>
        <w:t xml:space="preserve">ção dos </w:t>
      </w:r>
      <w:r w:rsidR="004756C1" w:rsidRPr="002F50BD">
        <w:rPr>
          <w:rFonts w:ascii="Verdana" w:hAnsi="Verdana"/>
          <w:sz w:val="20"/>
          <w:u w:val="none"/>
          <w:lang w:val="pt-BR"/>
        </w:rPr>
        <w:t>d</w:t>
      </w:r>
      <w:r w:rsidRPr="002F50BD">
        <w:rPr>
          <w:rFonts w:ascii="Verdana" w:hAnsi="Verdana"/>
          <w:sz w:val="20"/>
          <w:u w:val="none"/>
          <w:lang w:val="pt-BR"/>
        </w:rPr>
        <w:t>anos</w:t>
      </w:r>
      <w:r w:rsidR="004756C1" w:rsidRPr="002F50BD">
        <w:rPr>
          <w:rFonts w:ascii="Verdana" w:hAnsi="Verdana"/>
          <w:sz w:val="20"/>
          <w:u w:val="none"/>
          <w:lang w:val="pt-BR"/>
        </w:rPr>
        <w:t xml:space="preserve"> </w:t>
      </w:r>
      <w:r w:rsidR="004076AD" w:rsidRPr="002F50BD">
        <w:rPr>
          <w:rFonts w:ascii="Verdana" w:hAnsi="Verdana"/>
          <w:sz w:val="20"/>
          <w:u w:val="none"/>
          <w:lang w:val="pt-BR"/>
        </w:rPr>
        <w:t>materiais</w:t>
      </w:r>
      <w:r w:rsidR="004756C1" w:rsidRPr="002F50BD">
        <w:rPr>
          <w:rFonts w:ascii="Verdana" w:hAnsi="Verdana"/>
          <w:sz w:val="20"/>
          <w:u w:val="none"/>
          <w:lang w:val="pt-BR"/>
        </w:rPr>
        <w:t xml:space="preserve"> e </w:t>
      </w:r>
      <w:r w:rsidRPr="002F50BD">
        <w:rPr>
          <w:rFonts w:ascii="Verdana" w:hAnsi="Verdana"/>
          <w:sz w:val="20"/>
          <w:u w:val="none"/>
          <w:lang w:val="pt-BR"/>
        </w:rPr>
        <w:t>i</w:t>
      </w:r>
      <w:r w:rsidR="004076AD" w:rsidRPr="002F50BD">
        <w:rPr>
          <w:rFonts w:ascii="Verdana" w:hAnsi="Verdana"/>
          <w:sz w:val="20"/>
          <w:u w:val="none"/>
          <w:lang w:val="pt-BR"/>
        </w:rPr>
        <w:t>materiais</w:t>
      </w:r>
      <w:r w:rsidRPr="002F50BD">
        <w:rPr>
          <w:rFonts w:ascii="Verdana" w:hAnsi="Verdana"/>
          <w:sz w:val="20"/>
          <w:u w:val="none"/>
          <w:lang w:val="pt-BR"/>
        </w:rPr>
        <w:t xml:space="preserve"> e,</w:t>
      </w:r>
      <w:r w:rsidR="004756C1" w:rsidRPr="002F50BD">
        <w:rPr>
          <w:rFonts w:ascii="Verdana" w:hAnsi="Verdana"/>
          <w:sz w:val="20"/>
          <w:u w:val="none"/>
          <w:lang w:val="pt-BR"/>
        </w:rPr>
        <w:t xml:space="preserve"> por último, </w:t>
      </w:r>
      <w:r w:rsidR="00DC0F25" w:rsidRPr="002F50BD">
        <w:rPr>
          <w:rFonts w:ascii="Verdana" w:hAnsi="Verdana"/>
          <w:sz w:val="20"/>
          <w:u w:val="none"/>
          <w:lang w:val="pt-BR"/>
        </w:rPr>
        <w:t xml:space="preserve">a questão das </w:t>
      </w:r>
      <w:r w:rsidRPr="002F50BD">
        <w:rPr>
          <w:rFonts w:ascii="Verdana" w:hAnsi="Verdana"/>
          <w:sz w:val="20"/>
          <w:u w:val="none"/>
          <w:lang w:val="pt-BR"/>
        </w:rPr>
        <w:t xml:space="preserve">custas e </w:t>
      </w:r>
      <w:r w:rsidR="004756C1" w:rsidRPr="002F50BD">
        <w:rPr>
          <w:rFonts w:ascii="Verdana" w:hAnsi="Verdana"/>
          <w:sz w:val="20"/>
          <w:u w:val="none"/>
          <w:lang w:val="pt-BR"/>
        </w:rPr>
        <w:t>gastos.</w:t>
      </w:r>
    </w:p>
    <w:p w:rsidR="004756C1" w:rsidRPr="002F50BD" w:rsidRDefault="004756C1">
      <w:pPr>
        <w:pStyle w:val="BodyText3"/>
        <w:rPr>
          <w:rFonts w:ascii="Verdana" w:hAnsi="Verdana"/>
          <w:b/>
          <w:sz w:val="20"/>
          <w:u w:val="none"/>
          <w:lang w:val="pt-BR"/>
        </w:rPr>
      </w:pPr>
    </w:p>
    <w:p w:rsidR="004756C1" w:rsidRPr="002F50BD" w:rsidRDefault="0089298C">
      <w:pPr>
        <w:pStyle w:val="Heading6"/>
        <w:numPr>
          <w:ilvl w:val="0"/>
          <w:numId w:val="15"/>
        </w:numPr>
        <w:jc w:val="center"/>
        <w:rPr>
          <w:b w:val="0"/>
          <w:i/>
          <w:smallCaps/>
        </w:rPr>
      </w:pPr>
      <w:r w:rsidRPr="002F50BD">
        <w:rPr>
          <w:b w:val="0"/>
          <w:i/>
          <w:smallCaps/>
        </w:rPr>
        <w:t>Beneficiário</w:t>
      </w:r>
      <w:r w:rsidR="004756C1" w:rsidRPr="002F50BD">
        <w:rPr>
          <w:b w:val="0"/>
          <w:i/>
          <w:smallCaps/>
        </w:rPr>
        <w:t>s</w:t>
      </w:r>
    </w:p>
    <w:p w:rsidR="00DC0F25" w:rsidRPr="002F50BD" w:rsidRDefault="00DC0F25" w:rsidP="00DC0F25">
      <w:pPr>
        <w:rPr>
          <w:rFonts w:ascii="Verdana" w:hAnsi="Verdana"/>
        </w:rPr>
      </w:pPr>
    </w:p>
    <w:p w:rsidR="004756C1" w:rsidRPr="002F50BD" w:rsidRDefault="0089298C">
      <w:pPr>
        <w:pStyle w:val="BodyText3"/>
        <w:widowControl w:val="0"/>
        <w:numPr>
          <w:ilvl w:val="0"/>
          <w:numId w:val="29"/>
        </w:numPr>
        <w:ind w:right="43"/>
        <w:rPr>
          <w:rFonts w:ascii="Verdana" w:hAnsi="Verdana"/>
          <w:sz w:val="20"/>
          <w:u w:val="none"/>
          <w:lang w:val="pt-BR"/>
        </w:rPr>
      </w:pPr>
      <w:r w:rsidRPr="002F50BD">
        <w:rPr>
          <w:rFonts w:ascii="Verdana" w:hAnsi="Verdana"/>
          <w:sz w:val="20"/>
          <w:u w:val="none"/>
          <w:lang w:val="pt-BR"/>
        </w:rPr>
        <w:t>A</w:t>
      </w:r>
      <w:r w:rsidRPr="002F50BD">
        <w:rPr>
          <w:rFonts w:ascii="Verdana" w:hAnsi="Verdana"/>
          <w:b/>
          <w:u w:val="none"/>
          <w:lang w:val="pt-BR"/>
        </w:rPr>
        <w:t xml:space="preserve"> </w:t>
      </w:r>
      <w:r w:rsidR="004756C1" w:rsidRPr="002F50BD">
        <w:rPr>
          <w:rFonts w:ascii="Verdana" w:hAnsi="Verdana"/>
          <w:sz w:val="20"/>
          <w:u w:val="none"/>
          <w:lang w:val="pt-BR"/>
        </w:rPr>
        <w:t xml:space="preserve">Corte resume </w:t>
      </w:r>
      <w:r w:rsidRPr="002F50BD">
        <w:rPr>
          <w:rFonts w:ascii="Verdana" w:hAnsi="Verdana"/>
          <w:sz w:val="20"/>
          <w:u w:val="none"/>
          <w:lang w:val="pt-BR"/>
        </w:rPr>
        <w:t xml:space="preserve">agora os </w:t>
      </w:r>
      <w:r w:rsidR="004756C1" w:rsidRPr="002F50BD">
        <w:rPr>
          <w:rFonts w:ascii="Verdana" w:hAnsi="Verdana"/>
          <w:sz w:val="20"/>
          <w:u w:val="none"/>
          <w:lang w:val="pt-BR"/>
        </w:rPr>
        <w:t>argumentos</w:t>
      </w:r>
      <w:r w:rsidRPr="002F50BD">
        <w:rPr>
          <w:rFonts w:ascii="Verdana" w:hAnsi="Verdana"/>
          <w:sz w:val="20"/>
          <w:u w:val="none"/>
          <w:lang w:val="pt-BR"/>
        </w:rPr>
        <w:t xml:space="preserve"> da Comissão</w:t>
      </w:r>
      <w:r w:rsidR="004756C1" w:rsidRPr="002F50BD">
        <w:rPr>
          <w:rFonts w:ascii="Verdana" w:hAnsi="Verdana"/>
          <w:sz w:val="20"/>
          <w:u w:val="none"/>
          <w:lang w:val="pt-BR"/>
        </w:rPr>
        <w:t xml:space="preserve"> Interamericana,</w:t>
      </w:r>
      <w:r w:rsidRPr="002F50BD">
        <w:rPr>
          <w:rFonts w:ascii="Verdana" w:hAnsi="Verdana"/>
          <w:sz w:val="20"/>
          <w:u w:val="none"/>
          <w:lang w:val="pt-BR"/>
        </w:rPr>
        <w:t xml:space="preserve"> dos </w:t>
      </w:r>
      <w:r w:rsidR="008C29C9" w:rsidRPr="002F50BD">
        <w:rPr>
          <w:rFonts w:ascii="Verdana" w:hAnsi="Verdana"/>
          <w:sz w:val="20"/>
          <w:u w:val="none"/>
          <w:lang w:val="pt-BR"/>
        </w:rPr>
        <w:t>representante</w:t>
      </w:r>
      <w:r w:rsidR="004756C1" w:rsidRPr="002F50BD">
        <w:rPr>
          <w:rFonts w:ascii="Verdana" w:hAnsi="Verdana"/>
          <w:sz w:val="20"/>
          <w:u w:val="none"/>
          <w:lang w:val="pt-BR"/>
        </w:rPr>
        <w:t>s</w:t>
      </w:r>
      <w:r w:rsidRPr="002F50BD">
        <w:rPr>
          <w:rFonts w:ascii="Verdana" w:hAnsi="Verdana"/>
          <w:sz w:val="20"/>
          <w:u w:val="none"/>
          <w:lang w:val="pt-BR"/>
        </w:rPr>
        <w:t xml:space="preserve"> e do </w:t>
      </w:r>
      <w:r w:rsidR="004756C1" w:rsidRPr="002F50BD">
        <w:rPr>
          <w:rFonts w:ascii="Verdana" w:hAnsi="Verdana"/>
          <w:sz w:val="20"/>
          <w:u w:val="none"/>
          <w:lang w:val="pt-BR"/>
        </w:rPr>
        <w:t xml:space="preserve">Estado sobre </w:t>
      </w:r>
      <w:r w:rsidRPr="002F50BD">
        <w:rPr>
          <w:rFonts w:ascii="Verdana" w:hAnsi="Verdana"/>
          <w:sz w:val="20"/>
          <w:u w:val="none"/>
          <w:lang w:val="pt-BR"/>
        </w:rPr>
        <w:t>quem</w:t>
      </w:r>
      <w:r w:rsidR="004756C1" w:rsidRPr="002F50BD">
        <w:rPr>
          <w:rFonts w:ascii="Verdana" w:hAnsi="Verdana"/>
          <w:sz w:val="20"/>
          <w:u w:val="none"/>
          <w:lang w:val="pt-BR"/>
        </w:rPr>
        <w:t xml:space="preserve"> </w:t>
      </w:r>
      <w:r w:rsidRPr="002F50BD">
        <w:rPr>
          <w:rFonts w:ascii="Verdana" w:hAnsi="Verdana"/>
          <w:sz w:val="20"/>
          <w:u w:val="none"/>
          <w:lang w:val="pt-BR"/>
        </w:rPr>
        <w:t>deve</w:t>
      </w:r>
      <w:r w:rsidR="004756C1" w:rsidRPr="002F50BD">
        <w:rPr>
          <w:rFonts w:ascii="Verdana" w:hAnsi="Verdana"/>
          <w:sz w:val="20"/>
          <w:u w:val="none"/>
          <w:lang w:val="pt-BR"/>
        </w:rPr>
        <w:t xml:space="preserve"> ser considerado </w:t>
      </w:r>
      <w:r w:rsidRPr="002F50BD">
        <w:rPr>
          <w:rFonts w:ascii="Verdana" w:hAnsi="Verdana"/>
          <w:sz w:val="20"/>
          <w:u w:val="none"/>
          <w:lang w:val="pt-BR"/>
        </w:rPr>
        <w:t xml:space="preserve">beneficiário das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xml:space="preserve"> que</w:t>
      </w:r>
      <w:r w:rsidRPr="002F50BD">
        <w:rPr>
          <w:rFonts w:ascii="Verdana" w:hAnsi="Verdana"/>
          <w:sz w:val="20"/>
          <w:u w:val="none"/>
          <w:lang w:val="pt-BR"/>
        </w:rPr>
        <w:t xml:space="preserve"> a </w:t>
      </w:r>
      <w:r w:rsidR="004756C1" w:rsidRPr="002F50BD">
        <w:rPr>
          <w:rFonts w:ascii="Verdana" w:hAnsi="Verdana"/>
          <w:sz w:val="20"/>
          <w:u w:val="none"/>
          <w:lang w:val="pt-BR"/>
        </w:rPr>
        <w:t xml:space="preserve">Corte </w:t>
      </w:r>
      <w:r w:rsidR="00DC0F25" w:rsidRPr="002F50BD">
        <w:rPr>
          <w:rFonts w:ascii="Verdana" w:hAnsi="Verdana"/>
          <w:sz w:val="20"/>
          <w:u w:val="none"/>
          <w:lang w:val="pt-BR"/>
        </w:rPr>
        <w:t>indique</w:t>
      </w:r>
      <w:r w:rsidR="004756C1" w:rsidRPr="002F50BD">
        <w:rPr>
          <w:rFonts w:ascii="Verdana" w:hAnsi="Verdana"/>
          <w:sz w:val="20"/>
          <w:u w:val="none"/>
          <w:lang w:val="pt-BR"/>
        </w:rPr>
        <w:t>.</w:t>
      </w:r>
    </w:p>
    <w:p w:rsidR="004756C1" w:rsidRPr="002F50BD" w:rsidRDefault="004756C1">
      <w:pPr>
        <w:rPr>
          <w:rFonts w:ascii="Verdana" w:hAnsi="Verdana"/>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 da Comissão</w:t>
      </w:r>
    </w:p>
    <w:p w:rsidR="004756C1" w:rsidRPr="002F50BD" w:rsidRDefault="004756C1">
      <w:pPr>
        <w:ind w:firstLine="180"/>
        <w:jc w:val="both"/>
        <w:rPr>
          <w:rFonts w:ascii="Verdana" w:hAnsi="Verdana"/>
          <w:sz w:val="20"/>
        </w:rPr>
      </w:pPr>
    </w:p>
    <w:p w:rsidR="004756C1" w:rsidRPr="002F50BD" w:rsidRDefault="004076AD">
      <w:pPr>
        <w:numPr>
          <w:ilvl w:val="0"/>
          <w:numId w:val="30"/>
        </w:numPr>
        <w:tabs>
          <w:tab w:val="left" w:pos="720"/>
        </w:tabs>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argumentou</w:t>
      </w:r>
      <w:r w:rsidR="004756C1" w:rsidRPr="002F50BD">
        <w:rPr>
          <w:rFonts w:ascii="Verdana" w:hAnsi="Verdana"/>
          <w:sz w:val="20"/>
          <w:lang w:val="pt-BR"/>
        </w:rPr>
        <w:t xml:space="preserve"> que:</w:t>
      </w:r>
    </w:p>
    <w:p w:rsidR="004756C1" w:rsidRPr="002F50BD" w:rsidRDefault="004756C1">
      <w:pPr>
        <w:ind w:firstLine="180"/>
        <w:jc w:val="both"/>
        <w:rPr>
          <w:rFonts w:ascii="Verdana" w:hAnsi="Verdana"/>
          <w:sz w:val="20"/>
          <w:lang w:val="pt-BR"/>
        </w:rPr>
      </w:pPr>
    </w:p>
    <w:p w:rsidR="004756C1" w:rsidRPr="002F50BD" w:rsidRDefault="00754117">
      <w:pPr>
        <w:pStyle w:val="BodyTextIndent"/>
        <w:numPr>
          <w:ilvl w:val="0"/>
          <w:numId w:val="21"/>
        </w:numPr>
        <w:tabs>
          <w:tab w:val="left" w:pos="900"/>
        </w:tabs>
        <w:ind w:left="540"/>
        <w:rPr>
          <w:rFonts w:ascii="Verdana" w:hAnsi="Verdana"/>
          <w:sz w:val="20"/>
          <w:lang w:val="pt-BR"/>
        </w:rPr>
      </w:pPr>
      <w:r w:rsidRPr="002F50BD">
        <w:rPr>
          <w:rFonts w:ascii="Verdana" w:hAnsi="Verdana"/>
          <w:sz w:val="20"/>
          <w:lang w:val="pt-BR"/>
        </w:rPr>
        <w:t>T</w:t>
      </w:r>
      <w:r w:rsidR="004756C1" w:rsidRPr="002F50BD">
        <w:rPr>
          <w:rFonts w:ascii="Verdana" w:hAnsi="Verdana"/>
          <w:sz w:val="20"/>
          <w:lang w:val="pt-BR"/>
        </w:rPr>
        <w:t>anto</w:t>
      </w:r>
      <w:r w:rsidR="0089298C" w:rsidRPr="002F50BD">
        <w:rPr>
          <w:rFonts w:ascii="Verdana" w:hAnsi="Verdana"/>
          <w:sz w:val="20"/>
          <w:lang w:val="pt-BR"/>
        </w:rPr>
        <w:t xml:space="preserve"> a Comunidade </w:t>
      </w:r>
      <w:r w:rsidR="004756C1" w:rsidRPr="002F50BD">
        <w:rPr>
          <w:rFonts w:ascii="Verdana" w:hAnsi="Verdana"/>
          <w:sz w:val="20"/>
          <w:lang w:val="pt-BR"/>
        </w:rPr>
        <w:t>Yakye Axa como</w:t>
      </w:r>
      <w:r w:rsidR="0089298C" w:rsidRPr="002F50BD">
        <w:rPr>
          <w:rFonts w:ascii="Verdana" w:hAnsi="Verdana"/>
          <w:sz w:val="20"/>
          <w:lang w:val="pt-BR"/>
        </w:rPr>
        <w:t xml:space="preserve"> os membro</w:t>
      </w:r>
      <w:r w:rsidR="004756C1" w:rsidRPr="002F50BD">
        <w:rPr>
          <w:rFonts w:ascii="Verdana" w:hAnsi="Verdana"/>
          <w:sz w:val="20"/>
          <w:lang w:val="pt-BR"/>
        </w:rPr>
        <w:t>s que</w:t>
      </w:r>
      <w:r w:rsidR="0089298C" w:rsidRPr="002F50BD">
        <w:rPr>
          <w:rFonts w:ascii="Verdana" w:hAnsi="Verdana"/>
          <w:sz w:val="20"/>
          <w:lang w:val="pt-BR"/>
        </w:rPr>
        <w:t xml:space="preserve"> a </w:t>
      </w:r>
      <w:r w:rsidR="00DC0F25" w:rsidRPr="002F50BD">
        <w:rPr>
          <w:rFonts w:ascii="Verdana" w:hAnsi="Verdana"/>
          <w:sz w:val="20"/>
          <w:lang w:val="pt-BR"/>
        </w:rPr>
        <w:t>compõem</w:t>
      </w:r>
      <w:r w:rsidR="0089298C" w:rsidRPr="002F50BD">
        <w:rPr>
          <w:rFonts w:ascii="Verdana" w:hAnsi="Verdana"/>
          <w:sz w:val="20"/>
          <w:lang w:val="pt-BR"/>
        </w:rPr>
        <w:t xml:space="preserve"> são </w:t>
      </w:r>
      <w:r w:rsidR="004756C1" w:rsidRPr="002F50BD">
        <w:rPr>
          <w:rFonts w:ascii="Verdana" w:hAnsi="Verdana"/>
          <w:sz w:val="20"/>
          <w:lang w:val="pt-BR"/>
        </w:rPr>
        <w:t xml:space="preserve">titulares </w:t>
      </w:r>
      <w:r w:rsidR="0089298C" w:rsidRPr="002F50BD">
        <w:rPr>
          <w:rFonts w:ascii="Verdana" w:hAnsi="Verdana"/>
          <w:sz w:val="20"/>
          <w:lang w:val="pt-BR"/>
        </w:rPr>
        <w:t>do direito</w:t>
      </w:r>
      <w:r w:rsidR="004756C1" w:rsidRPr="002F50BD">
        <w:rPr>
          <w:rFonts w:ascii="Verdana" w:hAnsi="Verdana"/>
          <w:sz w:val="20"/>
          <w:lang w:val="pt-BR"/>
        </w:rPr>
        <w:t xml:space="preserve"> a </w:t>
      </w:r>
      <w:r w:rsidR="0089298C" w:rsidRPr="002F50BD">
        <w:rPr>
          <w:rFonts w:ascii="Verdana" w:hAnsi="Verdana"/>
          <w:sz w:val="20"/>
          <w:lang w:val="pt-BR"/>
        </w:rPr>
        <w:t xml:space="preserve">receber uma </w:t>
      </w:r>
      <w:r w:rsidR="004756C1" w:rsidRPr="002F50BD">
        <w:rPr>
          <w:rFonts w:ascii="Verdana" w:hAnsi="Verdana"/>
          <w:sz w:val="20"/>
          <w:lang w:val="pt-BR"/>
        </w:rPr>
        <w:t>repara</w:t>
      </w:r>
      <w:r w:rsidR="0089298C" w:rsidRPr="002F50BD">
        <w:rPr>
          <w:rFonts w:ascii="Verdana" w:hAnsi="Verdana"/>
          <w:sz w:val="20"/>
          <w:lang w:val="pt-BR"/>
        </w:rPr>
        <w:t xml:space="preserve">ção no </w:t>
      </w:r>
      <w:r w:rsidR="004756C1" w:rsidRPr="002F50BD">
        <w:rPr>
          <w:rFonts w:ascii="Verdana" w:hAnsi="Verdana"/>
          <w:sz w:val="20"/>
          <w:lang w:val="pt-BR"/>
        </w:rPr>
        <w:t>presente caso</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00E1782A" w:rsidRPr="002F50BD">
        <w:rPr>
          <w:rFonts w:ascii="Verdana" w:hAnsi="Verdana"/>
          <w:sz w:val="20"/>
          <w:lang w:val="pt-BR"/>
        </w:rPr>
        <w:t>,</w:t>
      </w:r>
      <w:r w:rsidR="004756C1" w:rsidRPr="002F50BD">
        <w:rPr>
          <w:rFonts w:ascii="Verdana" w:hAnsi="Verdana"/>
          <w:sz w:val="20"/>
          <w:lang w:val="pt-BR"/>
        </w:rPr>
        <w:t xml:space="preserve"> por </w:t>
      </w:r>
      <w:r w:rsidR="00385366" w:rsidRPr="002F50BD">
        <w:rPr>
          <w:rFonts w:ascii="Verdana" w:hAnsi="Verdana"/>
          <w:sz w:val="20"/>
          <w:lang w:val="pt-BR"/>
        </w:rPr>
        <w:t>sua própria</w:t>
      </w:r>
      <w:r w:rsidR="0089298C" w:rsidRPr="002F50BD">
        <w:rPr>
          <w:rFonts w:ascii="Verdana" w:hAnsi="Verdana"/>
          <w:sz w:val="20"/>
          <w:lang w:val="pt-BR"/>
        </w:rPr>
        <w:t xml:space="preserve"> identidade </w:t>
      </w:r>
      <w:r w:rsidR="004756C1" w:rsidRPr="002F50BD">
        <w:rPr>
          <w:rFonts w:ascii="Verdana" w:hAnsi="Verdana"/>
          <w:sz w:val="20"/>
          <w:lang w:val="pt-BR"/>
        </w:rPr>
        <w:t>cultural</w:t>
      </w:r>
      <w:r w:rsidR="00E1782A"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devem</w:t>
      </w:r>
      <w:r w:rsidR="004756C1" w:rsidRPr="002F50BD">
        <w:rPr>
          <w:rFonts w:ascii="Verdana" w:hAnsi="Verdana"/>
          <w:sz w:val="20"/>
          <w:lang w:val="pt-BR"/>
        </w:rPr>
        <w:t xml:space="preserve"> ser considerados desde</w:t>
      </w:r>
      <w:r w:rsidR="0089298C" w:rsidRPr="002F50BD">
        <w:rPr>
          <w:rFonts w:ascii="Verdana" w:hAnsi="Verdana"/>
          <w:sz w:val="20"/>
          <w:lang w:val="pt-BR"/>
        </w:rPr>
        <w:t xml:space="preserve"> uma </w:t>
      </w:r>
      <w:r w:rsidR="004756C1" w:rsidRPr="002F50BD">
        <w:rPr>
          <w:rFonts w:ascii="Verdana" w:hAnsi="Verdana"/>
          <w:sz w:val="20"/>
          <w:lang w:val="pt-BR"/>
        </w:rPr>
        <w:t xml:space="preserve">perspectiva </w:t>
      </w:r>
      <w:r w:rsidR="0089298C" w:rsidRPr="002F50BD">
        <w:rPr>
          <w:rFonts w:ascii="Verdana" w:hAnsi="Verdana"/>
          <w:sz w:val="20"/>
          <w:lang w:val="pt-BR"/>
        </w:rPr>
        <w:t>coletiv</w:t>
      </w:r>
      <w:r w:rsidR="004756C1" w:rsidRPr="002F50BD">
        <w:rPr>
          <w:rFonts w:ascii="Verdana" w:hAnsi="Verdana"/>
          <w:sz w:val="20"/>
          <w:lang w:val="pt-BR"/>
        </w:rPr>
        <w:t>a e individual</w:t>
      </w:r>
      <w:r w:rsidR="0089298C" w:rsidRPr="002F50BD">
        <w:rPr>
          <w:rFonts w:ascii="Verdana" w:hAnsi="Verdana"/>
          <w:sz w:val="20"/>
          <w:lang w:val="pt-BR"/>
        </w:rPr>
        <w:t>, e</w:t>
      </w:r>
      <w:r w:rsidR="00FE08B7">
        <w:rPr>
          <w:rFonts w:ascii="Verdana" w:hAnsi="Verdana"/>
          <w:sz w:val="20"/>
          <w:lang w:val="pt-BR"/>
        </w:rPr>
        <w:t xml:space="preserve"> </w:t>
      </w:r>
    </w:p>
    <w:p w:rsidR="004756C1" w:rsidRPr="002F50BD" w:rsidRDefault="004756C1">
      <w:pPr>
        <w:pStyle w:val="BodyTextIndent"/>
        <w:tabs>
          <w:tab w:val="num" w:pos="720"/>
          <w:tab w:val="left" w:pos="900"/>
        </w:tabs>
        <w:ind w:left="540"/>
        <w:rPr>
          <w:rFonts w:ascii="Verdana" w:hAnsi="Verdana"/>
          <w:sz w:val="20"/>
          <w:lang w:val="pt-BR"/>
        </w:rPr>
      </w:pPr>
    </w:p>
    <w:p w:rsidR="004756C1" w:rsidRPr="002F50BD" w:rsidRDefault="00AB6727">
      <w:pPr>
        <w:numPr>
          <w:ilvl w:val="0"/>
          <w:numId w:val="21"/>
        </w:numPr>
        <w:tabs>
          <w:tab w:val="left" w:pos="900"/>
        </w:tabs>
        <w:ind w:left="540"/>
        <w:jc w:val="both"/>
        <w:rPr>
          <w:rFonts w:ascii="Verdana" w:hAnsi="Verdana"/>
          <w:sz w:val="20"/>
          <w:lang w:val="pt-BR"/>
        </w:rPr>
      </w:pPr>
      <w:r w:rsidRPr="002F50BD">
        <w:rPr>
          <w:rFonts w:ascii="Verdana" w:hAnsi="Verdana"/>
          <w:sz w:val="20"/>
          <w:lang w:val="pt-BR"/>
        </w:rPr>
        <w:t xml:space="preserve">Os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estão </w:t>
      </w:r>
      <w:r w:rsidR="004756C1" w:rsidRPr="002F50BD">
        <w:rPr>
          <w:rFonts w:ascii="Verdana" w:hAnsi="Verdana"/>
          <w:sz w:val="20"/>
          <w:lang w:val="pt-BR"/>
        </w:rPr>
        <w:t xml:space="preserve">individualizados. </w:t>
      </w:r>
      <w:r w:rsidR="00DC0F25" w:rsidRPr="002F50BD">
        <w:rPr>
          <w:rFonts w:ascii="Verdana" w:hAnsi="Verdana"/>
          <w:sz w:val="20"/>
          <w:lang w:val="pt-BR"/>
        </w:rPr>
        <w:t>Entretanto</w:t>
      </w:r>
      <w:r w:rsidR="004756C1" w:rsidRPr="002F50BD">
        <w:rPr>
          <w:rFonts w:ascii="Verdana" w:hAnsi="Verdana"/>
          <w:sz w:val="20"/>
          <w:lang w:val="pt-BR"/>
        </w:rPr>
        <w:t xml:space="preserve">, </w:t>
      </w:r>
      <w:r w:rsidR="0089298C" w:rsidRPr="002F50BD">
        <w:rPr>
          <w:rFonts w:ascii="Verdana" w:hAnsi="Verdana"/>
          <w:sz w:val="20"/>
          <w:lang w:val="pt-BR"/>
        </w:rPr>
        <w:t>esta</w:t>
      </w:r>
      <w:r w:rsidR="004756C1" w:rsidRPr="002F50BD">
        <w:rPr>
          <w:rFonts w:ascii="Verdana" w:hAnsi="Verdana"/>
          <w:sz w:val="20"/>
          <w:lang w:val="pt-BR"/>
        </w:rPr>
        <w:t xml:space="preserve"> individualiza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poderia</w:t>
      </w:r>
      <w:r w:rsidR="004756C1" w:rsidRPr="002F50BD">
        <w:rPr>
          <w:rFonts w:ascii="Verdana" w:hAnsi="Verdana"/>
          <w:sz w:val="20"/>
          <w:lang w:val="pt-BR"/>
        </w:rPr>
        <w:t xml:space="preserve"> ser objeto de varia</w:t>
      </w:r>
      <w:r w:rsidR="0089298C" w:rsidRPr="002F50BD">
        <w:rPr>
          <w:rFonts w:ascii="Verdana" w:hAnsi="Verdana"/>
          <w:sz w:val="20"/>
          <w:lang w:val="pt-BR"/>
        </w:rPr>
        <w:t>ções</w:t>
      </w:r>
      <w:r w:rsidR="004756C1" w:rsidRPr="002F50BD">
        <w:rPr>
          <w:rFonts w:ascii="Verdana" w:hAnsi="Verdana"/>
          <w:sz w:val="20"/>
          <w:lang w:val="pt-BR"/>
        </w:rPr>
        <w:t>,</w:t>
      </w:r>
      <w:r w:rsidR="0089298C" w:rsidRPr="002F50BD">
        <w:rPr>
          <w:rFonts w:ascii="Verdana" w:hAnsi="Verdana"/>
          <w:sz w:val="20"/>
          <w:lang w:val="pt-BR"/>
        </w:rPr>
        <w:t xml:space="preserve"> em atenção ao tempo</w:t>
      </w:r>
      <w:r w:rsidR="004756C1" w:rsidRPr="002F50BD">
        <w:rPr>
          <w:rFonts w:ascii="Verdana" w:hAnsi="Verdana"/>
          <w:sz w:val="20"/>
          <w:lang w:val="pt-BR"/>
        </w:rPr>
        <w:t xml:space="preserve"> transc</w:t>
      </w:r>
      <w:r w:rsidR="00DC0F25" w:rsidRPr="002F50BD">
        <w:rPr>
          <w:rFonts w:ascii="Verdana" w:hAnsi="Verdana"/>
          <w:sz w:val="20"/>
          <w:lang w:val="pt-BR"/>
        </w:rPr>
        <w:t>o</w:t>
      </w:r>
      <w:r w:rsidR="004756C1" w:rsidRPr="002F50BD">
        <w:rPr>
          <w:rFonts w:ascii="Verdana" w:hAnsi="Verdana"/>
          <w:sz w:val="20"/>
          <w:lang w:val="pt-BR"/>
        </w:rPr>
        <w:t xml:space="preserve">rrido </w:t>
      </w:r>
      <w:r w:rsidR="00AB454A" w:rsidRPr="002F50BD">
        <w:rPr>
          <w:rFonts w:ascii="Verdana" w:hAnsi="Verdana"/>
          <w:sz w:val="20"/>
          <w:lang w:val="pt-BR"/>
        </w:rPr>
        <w:t xml:space="preserve">desde o </w:t>
      </w:r>
      <w:r w:rsidR="0089298C" w:rsidRPr="002F50BD">
        <w:rPr>
          <w:rFonts w:ascii="Verdana" w:hAnsi="Verdana"/>
          <w:sz w:val="20"/>
          <w:lang w:val="pt-BR"/>
        </w:rPr>
        <w:t>início do trâmite</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presente caso. </w:t>
      </w:r>
    </w:p>
    <w:p w:rsidR="004756C1" w:rsidRPr="002F50BD" w:rsidRDefault="004756C1">
      <w:pPr>
        <w:ind w:firstLine="180"/>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 xml:space="preserve">Alegações dos </w:t>
      </w:r>
      <w:r w:rsidR="008C29C9" w:rsidRPr="002F50BD">
        <w:rPr>
          <w:rFonts w:ascii="Verdana" w:hAnsi="Verdana"/>
          <w:b w:val="0"/>
          <w:i/>
          <w:smallCaps w:val="0"/>
          <w:sz w:val="20"/>
        </w:rPr>
        <w:t>representante</w:t>
      </w:r>
      <w:r w:rsidR="004756C1" w:rsidRPr="002F50BD">
        <w:rPr>
          <w:rFonts w:ascii="Verdana" w:hAnsi="Verdana"/>
          <w:b w:val="0"/>
          <w:i/>
          <w:smallCaps w:val="0"/>
          <w:sz w:val="20"/>
        </w:rPr>
        <w:t>s</w:t>
      </w:r>
    </w:p>
    <w:p w:rsidR="004756C1" w:rsidRPr="002F50BD" w:rsidRDefault="004756C1">
      <w:pPr>
        <w:ind w:firstLine="180"/>
        <w:jc w:val="both"/>
        <w:rPr>
          <w:rFonts w:ascii="Verdana" w:hAnsi="Verdana"/>
          <w:sz w:val="20"/>
        </w:rPr>
      </w:pPr>
    </w:p>
    <w:p w:rsidR="004756C1" w:rsidRPr="002F50BD" w:rsidRDefault="004076AD">
      <w:pPr>
        <w:numPr>
          <w:ilvl w:val="0"/>
          <w:numId w:val="30"/>
        </w:numPr>
        <w:jc w:val="both"/>
        <w:rPr>
          <w:rFonts w:ascii="Verdana" w:hAnsi="Verdana"/>
          <w:sz w:val="20"/>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alegaram</w:t>
      </w:r>
      <w:r w:rsidR="004756C1" w:rsidRPr="002F50BD">
        <w:rPr>
          <w:rFonts w:ascii="Verdana" w:hAnsi="Verdana"/>
          <w:sz w:val="20"/>
          <w:lang w:val="pt-BR"/>
        </w:rPr>
        <w:t xml:space="preserve"> que:</w:t>
      </w:r>
    </w:p>
    <w:p w:rsidR="00DC0F25" w:rsidRPr="002F50BD" w:rsidRDefault="00DC0F25" w:rsidP="00DC0F25">
      <w:pPr>
        <w:pStyle w:val="BodyTextIndent"/>
        <w:tabs>
          <w:tab w:val="left" w:pos="1080"/>
        </w:tabs>
        <w:ind w:left="360" w:firstLine="0"/>
        <w:rPr>
          <w:rFonts w:ascii="Verdana" w:hAnsi="Verdana"/>
          <w:sz w:val="20"/>
          <w:lang w:val="pt-BR"/>
        </w:rPr>
      </w:pPr>
    </w:p>
    <w:p w:rsidR="004756C1" w:rsidRPr="002F50BD" w:rsidRDefault="0089298C">
      <w:pPr>
        <w:pStyle w:val="BodyTextIndent"/>
        <w:numPr>
          <w:ilvl w:val="0"/>
          <w:numId w:val="20"/>
        </w:numPr>
        <w:tabs>
          <w:tab w:val="left" w:pos="1080"/>
        </w:tabs>
        <w:ind w:left="720"/>
        <w:rPr>
          <w:rFonts w:ascii="Verdana" w:hAnsi="Verdana"/>
          <w:sz w:val="20"/>
          <w:lang w:val="pt-BR"/>
        </w:rPr>
      </w:pPr>
      <w:r w:rsidRPr="002F50BD">
        <w:rPr>
          <w:rFonts w:ascii="Verdana" w:hAnsi="Verdana"/>
          <w:sz w:val="20"/>
          <w:lang w:val="pt-BR"/>
        </w:rPr>
        <w:t xml:space="preserve">A Comunidade </w:t>
      </w:r>
      <w:r w:rsidR="004756C1" w:rsidRPr="002F50BD">
        <w:rPr>
          <w:rFonts w:ascii="Verdana" w:hAnsi="Verdana"/>
          <w:sz w:val="20"/>
          <w:lang w:val="pt-BR"/>
        </w:rPr>
        <w:t>indígena Yakye Axa</w:t>
      </w:r>
      <w:r w:rsidRPr="002F50BD">
        <w:rPr>
          <w:rFonts w:ascii="Verdana" w:hAnsi="Verdana"/>
          <w:sz w:val="20"/>
          <w:lang w:val="pt-BR"/>
        </w:rPr>
        <w:t xml:space="preserve"> e </w:t>
      </w:r>
      <w:r w:rsidR="00AB454A" w:rsidRPr="002F50BD">
        <w:rPr>
          <w:rFonts w:ascii="Verdana" w:hAnsi="Verdana"/>
          <w:sz w:val="20"/>
          <w:lang w:val="pt-BR"/>
        </w:rPr>
        <w:t>seus membros</w:t>
      </w:r>
      <w:r w:rsidR="004756C1" w:rsidRPr="002F50BD">
        <w:rPr>
          <w:rFonts w:ascii="Verdana" w:hAnsi="Verdana"/>
          <w:sz w:val="20"/>
          <w:lang w:val="pt-BR"/>
        </w:rPr>
        <w:t xml:space="preserve">, como </w:t>
      </w:r>
      <w:r w:rsidRPr="002F50BD">
        <w:rPr>
          <w:rFonts w:ascii="Verdana" w:hAnsi="Verdana"/>
          <w:sz w:val="20"/>
          <w:lang w:val="pt-BR"/>
        </w:rPr>
        <w:t>vítima</w:t>
      </w:r>
      <w:r w:rsidR="004756C1" w:rsidRPr="002F50BD">
        <w:rPr>
          <w:rFonts w:ascii="Verdana" w:hAnsi="Verdana"/>
          <w:sz w:val="20"/>
          <w:lang w:val="pt-BR"/>
        </w:rPr>
        <w:t>s</w:t>
      </w:r>
      <w:r w:rsidRPr="002F50BD">
        <w:rPr>
          <w:rFonts w:ascii="Verdana" w:hAnsi="Verdana"/>
          <w:sz w:val="20"/>
          <w:lang w:val="pt-BR"/>
        </w:rPr>
        <w:t xml:space="preserve"> no </w:t>
      </w:r>
      <w:r w:rsidR="004756C1" w:rsidRPr="002F50BD">
        <w:rPr>
          <w:rFonts w:ascii="Verdana" w:hAnsi="Verdana"/>
          <w:sz w:val="20"/>
          <w:lang w:val="pt-BR"/>
        </w:rPr>
        <w:t xml:space="preserve">presente caso, </w:t>
      </w:r>
      <w:r w:rsidRPr="002F50BD">
        <w:rPr>
          <w:rFonts w:ascii="Verdana" w:hAnsi="Verdana"/>
          <w:sz w:val="20"/>
          <w:lang w:val="pt-BR"/>
        </w:rPr>
        <w:t>devem</w:t>
      </w:r>
      <w:r w:rsidR="004756C1" w:rsidRPr="002F50BD">
        <w:rPr>
          <w:rFonts w:ascii="Verdana" w:hAnsi="Verdana"/>
          <w:sz w:val="20"/>
          <w:lang w:val="pt-BR"/>
        </w:rPr>
        <w:t xml:space="preserve"> ser considerados </w:t>
      </w:r>
      <w:r w:rsidRPr="002F50BD">
        <w:rPr>
          <w:rFonts w:ascii="Verdana" w:hAnsi="Verdana"/>
          <w:sz w:val="20"/>
          <w:lang w:val="pt-BR"/>
        </w:rPr>
        <w:t>beneficiário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repara</w:t>
      </w:r>
      <w:r w:rsidRPr="002F50BD">
        <w:rPr>
          <w:rFonts w:ascii="Verdana" w:hAnsi="Verdana"/>
          <w:sz w:val="20"/>
          <w:lang w:val="pt-BR"/>
        </w:rPr>
        <w:t>ções</w:t>
      </w:r>
      <w:r w:rsidR="004756C1" w:rsidRPr="002F50BD">
        <w:rPr>
          <w:rFonts w:ascii="Verdana" w:hAnsi="Verdana"/>
          <w:sz w:val="20"/>
          <w:lang w:val="pt-BR"/>
        </w:rPr>
        <w:t xml:space="preserve"> que</w:t>
      </w:r>
      <w:r w:rsidRPr="002F50BD">
        <w:rPr>
          <w:rFonts w:ascii="Verdana" w:hAnsi="Verdana"/>
          <w:sz w:val="20"/>
          <w:lang w:val="pt-BR"/>
        </w:rPr>
        <w:t xml:space="preserve"> sejam </w:t>
      </w:r>
      <w:r w:rsidR="004756C1" w:rsidRPr="002F50BD">
        <w:rPr>
          <w:rFonts w:ascii="Verdana" w:hAnsi="Verdana"/>
          <w:sz w:val="20"/>
          <w:lang w:val="pt-BR"/>
        </w:rPr>
        <w:t>ordenadas</w:t>
      </w:r>
      <w:r w:rsidRPr="002F50BD">
        <w:rPr>
          <w:rFonts w:ascii="Verdana" w:hAnsi="Verdana"/>
          <w:sz w:val="20"/>
          <w:lang w:val="pt-BR"/>
        </w:rPr>
        <w:t xml:space="preserve"> pela </w:t>
      </w:r>
      <w:r w:rsidR="004756C1" w:rsidRPr="002F50BD">
        <w:rPr>
          <w:rFonts w:ascii="Verdana" w:hAnsi="Verdana"/>
          <w:sz w:val="20"/>
          <w:lang w:val="pt-BR"/>
        </w:rPr>
        <w:t>Corte;</w:t>
      </w:r>
    </w:p>
    <w:p w:rsidR="00DC0F25" w:rsidRPr="002F50BD" w:rsidRDefault="00DC0F25" w:rsidP="00DC0F25">
      <w:pPr>
        <w:pStyle w:val="BodyTextIndent"/>
        <w:tabs>
          <w:tab w:val="left" w:pos="1080"/>
        </w:tabs>
        <w:ind w:left="360" w:firstLine="0"/>
        <w:rPr>
          <w:rFonts w:ascii="Verdana" w:hAnsi="Verdana"/>
          <w:sz w:val="20"/>
          <w:lang w:val="pt-BR"/>
        </w:rPr>
      </w:pPr>
    </w:p>
    <w:p w:rsidR="004756C1" w:rsidRPr="002F50BD" w:rsidRDefault="0089298C">
      <w:pPr>
        <w:pStyle w:val="BodyTextIndent"/>
        <w:numPr>
          <w:ilvl w:val="0"/>
          <w:numId w:val="20"/>
        </w:numPr>
        <w:tabs>
          <w:tab w:val="left" w:pos="1080"/>
        </w:tabs>
        <w:ind w:left="720"/>
        <w:rPr>
          <w:rFonts w:ascii="Verdana" w:hAnsi="Verdana"/>
          <w:sz w:val="20"/>
          <w:lang w:val="pt-BR"/>
        </w:rPr>
      </w:pPr>
      <w:r w:rsidRPr="002F50BD">
        <w:rPr>
          <w:rFonts w:ascii="Verdana" w:hAnsi="Verdana"/>
          <w:sz w:val="20"/>
          <w:lang w:val="pt-BR"/>
        </w:rPr>
        <w:t xml:space="preserve">A Comunidade </w:t>
      </w:r>
      <w:r w:rsidR="004756C1" w:rsidRPr="002F50BD">
        <w:rPr>
          <w:rFonts w:ascii="Verdana" w:hAnsi="Verdana"/>
          <w:sz w:val="20"/>
          <w:lang w:val="pt-BR"/>
        </w:rPr>
        <w:t>Yakye Axa</w:t>
      </w:r>
      <w:r w:rsidRPr="002F50BD">
        <w:rPr>
          <w:rFonts w:ascii="Verdana" w:hAnsi="Verdana"/>
          <w:sz w:val="20"/>
          <w:lang w:val="pt-BR"/>
        </w:rPr>
        <w:t xml:space="preserve"> é uma comunidade </w:t>
      </w:r>
      <w:r w:rsidR="004756C1" w:rsidRPr="002F50BD">
        <w:rPr>
          <w:rFonts w:ascii="Verdana" w:hAnsi="Verdana"/>
          <w:sz w:val="20"/>
          <w:lang w:val="pt-BR"/>
        </w:rPr>
        <w:t xml:space="preserve">indígena organizada, </w:t>
      </w:r>
      <w:r w:rsidR="00E7595C" w:rsidRPr="002F50BD">
        <w:rPr>
          <w:rFonts w:ascii="Verdana" w:hAnsi="Verdana"/>
          <w:sz w:val="20"/>
          <w:lang w:val="pt-BR"/>
        </w:rPr>
        <w:t>assentad</w:t>
      </w:r>
      <w:r w:rsidR="004756C1" w:rsidRPr="002F50BD">
        <w:rPr>
          <w:rFonts w:ascii="Verdana" w:hAnsi="Verdana"/>
          <w:sz w:val="20"/>
          <w:lang w:val="pt-BR"/>
        </w:rPr>
        <w:t>a</w:t>
      </w:r>
      <w:r w:rsidRPr="002F50BD">
        <w:rPr>
          <w:rFonts w:ascii="Verdana" w:hAnsi="Verdana"/>
          <w:sz w:val="20"/>
          <w:lang w:val="pt-BR"/>
        </w:rPr>
        <w:t xml:space="preserve"> em um </w:t>
      </w:r>
      <w:r w:rsidR="004756C1" w:rsidRPr="002F50BD">
        <w:rPr>
          <w:rFonts w:ascii="Verdana" w:hAnsi="Verdana"/>
          <w:sz w:val="20"/>
          <w:lang w:val="pt-BR"/>
        </w:rPr>
        <w:t xml:space="preserve">lugar geográfico determinado, </w:t>
      </w:r>
      <w:r w:rsidRPr="002F50BD">
        <w:rPr>
          <w:rFonts w:ascii="Verdana" w:hAnsi="Verdana"/>
          <w:sz w:val="20"/>
          <w:lang w:val="pt-BR"/>
        </w:rPr>
        <w:t>cujo</w:t>
      </w:r>
      <w:r w:rsidR="004756C1" w:rsidRPr="002F50BD">
        <w:rPr>
          <w:rFonts w:ascii="Verdana" w:hAnsi="Verdana"/>
          <w:sz w:val="20"/>
          <w:lang w:val="pt-BR"/>
        </w:rPr>
        <w:t xml:space="preserve">s </w:t>
      </w:r>
      <w:r w:rsidRPr="002F50BD">
        <w:rPr>
          <w:rFonts w:ascii="Verdana" w:hAnsi="Verdana"/>
          <w:sz w:val="20"/>
          <w:lang w:val="pt-BR"/>
        </w:rPr>
        <w:t>membro</w:t>
      </w:r>
      <w:r w:rsidR="004756C1" w:rsidRPr="002F50BD">
        <w:rPr>
          <w:rFonts w:ascii="Verdana" w:hAnsi="Verdana"/>
          <w:sz w:val="20"/>
          <w:lang w:val="pt-BR"/>
        </w:rPr>
        <w:t xml:space="preserve">s </w:t>
      </w:r>
      <w:r w:rsidR="00475EBB" w:rsidRPr="002F50BD">
        <w:rPr>
          <w:rFonts w:ascii="Verdana" w:hAnsi="Verdana"/>
          <w:sz w:val="20"/>
          <w:lang w:val="pt-BR"/>
        </w:rPr>
        <w:t xml:space="preserve">podem </w:t>
      </w:r>
      <w:r w:rsidR="004756C1" w:rsidRPr="002F50BD">
        <w:rPr>
          <w:rFonts w:ascii="Verdana" w:hAnsi="Verdana"/>
          <w:sz w:val="20"/>
          <w:lang w:val="pt-BR"/>
        </w:rPr>
        <w:t xml:space="preserve">ser identificados e individualizados, </w:t>
      </w:r>
      <w:r w:rsidRPr="002F50BD">
        <w:rPr>
          <w:rFonts w:ascii="Verdana" w:hAnsi="Verdana"/>
          <w:sz w:val="20"/>
          <w:lang w:val="pt-BR"/>
        </w:rPr>
        <w:t xml:space="preserve">segundo o </w:t>
      </w:r>
      <w:r w:rsidR="004756C1" w:rsidRPr="002F50BD">
        <w:rPr>
          <w:rFonts w:ascii="Verdana" w:hAnsi="Verdana"/>
          <w:sz w:val="20"/>
          <w:lang w:val="pt-BR"/>
        </w:rPr>
        <w:t xml:space="preserve">último censo de </w:t>
      </w:r>
      <w:r w:rsidR="005A6BC7" w:rsidRPr="002F50BD">
        <w:rPr>
          <w:rFonts w:ascii="Verdana" w:hAnsi="Verdana"/>
          <w:sz w:val="20"/>
          <w:lang w:val="pt-BR"/>
        </w:rPr>
        <w:t>família</w:t>
      </w:r>
      <w:r w:rsidR="004756C1" w:rsidRPr="002F50BD">
        <w:rPr>
          <w:rFonts w:ascii="Verdana" w:hAnsi="Verdana"/>
          <w:sz w:val="20"/>
          <w:lang w:val="pt-BR"/>
        </w:rPr>
        <w:t>s realizado</w:t>
      </w:r>
      <w:r w:rsidRPr="002F50BD">
        <w:rPr>
          <w:rFonts w:ascii="Verdana" w:hAnsi="Verdana"/>
          <w:sz w:val="20"/>
          <w:lang w:val="pt-BR"/>
        </w:rPr>
        <w:t xml:space="preserve"> no ano </w:t>
      </w:r>
      <w:r w:rsidR="00063B47" w:rsidRPr="002F50BD">
        <w:rPr>
          <w:rFonts w:ascii="Verdana" w:hAnsi="Verdana"/>
          <w:sz w:val="20"/>
          <w:lang w:val="pt-BR"/>
        </w:rPr>
        <w:t>2002</w:t>
      </w:r>
      <w:r w:rsidR="004756C1" w:rsidRPr="002F50BD">
        <w:rPr>
          <w:rFonts w:ascii="Verdana" w:hAnsi="Verdana"/>
          <w:sz w:val="20"/>
          <w:lang w:val="pt-BR"/>
        </w:rPr>
        <w:t>.</w:t>
      </w:r>
      <w:r w:rsidR="00FE08B7">
        <w:rPr>
          <w:rFonts w:ascii="Verdana" w:hAnsi="Verdana"/>
          <w:sz w:val="20"/>
          <w:lang w:val="pt-BR"/>
        </w:rPr>
        <w:t xml:space="preserve"> </w:t>
      </w:r>
      <w:r w:rsidR="00DC0F25" w:rsidRPr="002F50BD">
        <w:rPr>
          <w:rFonts w:ascii="Verdana" w:hAnsi="Verdana"/>
          <w:sz w:val="20"/>
          <w:lang w:val="pt-BR"/>
        </w:rPr>
        <w:t>Além disso</w:t>
      </w:r>
      <w:r w:rsidR="004756C1" w:rsidRPr="002F50BD">
        <w:rPr>
          <w:rFonts w:ascii="Verdana" w:hAnsi="Verdana"/>
          <w:sz w:val="20"/>
          <w:lang w:val="pt-BR"/>
        </w:rPr>
        <w:t xml:space="preserve">, </w:t>
      </w:r>
      <w:r w:rsidR="00754117" w:rsidRPr="002F50BD">
        <w:rPr>
          <w:rFonts w:ascii="Verdana" w:hAnsi="Verdana"/>
          <w:sz w:val="20"/>
          <w:lang w:val="pt-BR"/>
        </w:rPr>
        <w:t>deve</w:t>
      </w:r>
      <w:r w:rsidR="004756C1" w:rsidRPr="002F50BD">
        <w:rPr>
          <w:rFonts w:ascii="Verdana" w:hAnsi="Verdana"/>
          <w:sz w:val="20"/>
          <w:lang w:val="pt-BR"/>
        </w:rPr>
        <w:t xml:space="preserve"> considerar</w:t>
      </w:r>
      <w:r w:rsidR="00DC0F25" w:rsidRPr="002F50BD">
        <w:rPr>
          <w:rFonts w:ascii="Verdana" w:hAnsi="Verdana"/>
          <w:sz w:val="20"/>
          <w:lang w:val="pt-BR"/>
        </w:rPr>
        <w:t>-</w:t>
      </w:r>
      <w:r w:rsidR="004756C1" w:rsidRPr="002F50BD">
        <w:rPr>
          <w:rFonts w:ascii="Verdana" w:hAnsi="Verdana"/>
          <w:sz w:val="20"/>
          <w:lang w:val="pt-BR"/>
        </w:rPr>
        <w:t>se que</w:t>
      </w:r>
      <w:r w:rsidRPr="002F50BD">
        <w:rPr>
          <w:rFonts w:ascii="Verdana" w:hAnsi="Verdana"/>
          <w:sz w:val="20"/>
          <w:lang w:val="pt-BR"/>
        </w:rPr>
        <w:t xml:space="preserve"> nestes três anos o </w:t>
      </w:r>
      <w:r w:rsidR="004756C1" w:rsidRPr="002F50BD">
        <w:rPr>
          <w:rFonts w:ascii="Verdana" w:hAnsi="Verdana"/>
          <w:sz w:val="20"/>
          <w:lang w:val="pt-BR"/>
        </w:rPr>
        <w:t xml:space="preserve">número de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977F38" w:rsidRPr="002F50BD">
        <w:rPr>
          <w:rFonts w:ascii="Verdana" w:hAnsi="Verdana"/>
          <w:sz w:val="20"/>
          <w:lang w:val="pt-BR"/>
        </w:rPr>
        <w:t>sofreu</w:t>
      </w:r>
      <w:r w:rsidR="004756C1" w:rsidRPr="002F50BD">
        <w:rPr>
          <w:rFonts w:ascii="Verdana" w:hAnsi="Verdana"/>
          <w:sz w:val="20"/>
          <w:lang w:val="pt-BR"/>
        </w:rPr>
        <w:t xml:space="preserve"> varia</w:t>
      </w:r>
      <w:r w:rsidRPr="002F50BD">
        <w:rPr>
          <w:rFonts w:ascii="Verdana" w:hAnsi="Verdana"/>
          <w:sz w:val="20"/>
          <w:lang w:val="pt-BR"/>
        </w:rPr>
        <w:t>ções</w:t>
      </w:r>
      <w:r w:rsidR="004756C1" w:rsidRPr="002F50BD">
        <w:rPr>
          <w:rFonts w:ascii="Verdana" w:hAnsi="Verdana"/>
          <w:sz w:val="20"/>
          <w:lang w:val="pt-BR"/>
        </w:rPr>
        <w:t>,</w:t>
      </w:r>
      <w:r w:rsidRPr="002F50BD">
        <w:rPr>
          <w:rFonts w:ascii="Verdana" w:hAnsi="Verdana"/>
          <w:sz w:val="20"/>
          <w:lang w:val="pt-BR"/>
        </w:rPr>
        <w:t xml:space="preserve"> </w:t>
      </w:r>
      <w:r w:rsidR="00DC0F25" w:rsidRPr="002F50BD">
        <w:rPr>
          <w:rFonts w:ascii="Verdana" w:hAnsi="Verdana"/>
          <w:sz w:val="20"/>
          <w:lang w:val="pt-BR"/>
        </w:rPr>
        <w:t xml:space="preserve">de modo </w:t>
      </w:r>
      <w:r w:rsidRPr="002F50BD">
        <w:rPr>
          <w:rFonts w:ascii="Verdana" w:hAnsi="Verdana"/>
          <w:sz w:val="20"/>
          <w:lang w:val="pt-BR"/>
        </w:rPr>
        <w:t xml:space="preserve">que a </w:t>
      </w:r>
      <w:r w:rsidR="004756C1" w:rsidRPr="002F50BD">
        <w:rPr>
          <w:rFonts w:ascii="Verdana" w:hAnsi="Verdana"/>
          <w:sz w:val="20"/>
          <w:lang w:val="pt-BR"/>
        </w:rPr>
        <w:t>identifica</w:t>
      </w:r>
      <w:r w:rsidRPr="002F50BD">
        <w:rPr>
          <w:rFonts w:ascii="Verdana" w:hAnsi="Verdana"/>
          <w:sz w:val="20"/>
          <w:lang w:val="pt-BR"/>
        </w:rPr>
        <w:t>ção</w:t>
      </w:r>
      <w:r w:rsidR="004756C1" w:rsidRPr="002F50BD">
        <w:rPr>
          <w:rFonts w:ascii="Verdana" w:hAnsi="Verdana"/>
          <w:sz w:val="20"/>
          <w:lang w:val="pt-BR"/>
        </w:rPr>
        <w:t xml:space="preserve"> d</w:t>
      </w:r>
      <w:r w:rsidRPr="002F50BD">
        <w:rPr>
          <w:rFonts w:ascii="Verdana" w:hAnsi="Verdana"/>
          <w:sz w:val="20"/>
          <w:lang w:val="pt-BR"/>
        </w:rPr>
        <w:t>aquelas</w:t>
      </w:r>
      <w:r w:rsidR="004756C1" w:rsidRPr="002F50BD">
        <w:rPr>
          <w:rFonts w:ascii="Verdana" w:hAnsi="Verdana"/>
          <w:sz w:val="20"/>
          <w:lang w:val="pt-BR"/>
        </w:rPr>
        <w:t xml:space="preserve"> </w:t>
      </w:r>
      <w:r w:rsidRPr="002F50BD">
        <w:rPr>
          <w:rFonts w:ascii="Verdana" w:hAnsi="Verdana"/>
          <w:sz w:val="20"/>
          <w:lang w:val="pt-BR"/>
        </w:rPr>
        <w:t>pessoa</w:t>
      </w:r>
      <w:r w:rsidR="004756C1" w:rsidRPr="002F50BD">
        <w:rPr>
          <w:rFonts w:ascii="Verdana" w:hAnsi="Verdana"/>
          <w:sz w:val="20"/>
          <w:lang w:val="pt-BR"/>
        </w:rPr>
        <w:t xml:space="preserve">s </w:t>
      </w:r>
      <w:r w:rsidR="00AB454A" w:rsidRPr="002F50BD">
        <w:rPr>
          <w:rFonts w:ascii="Verdana" w:hAnsi="Verdana"/>
          <w:sz w:val="20"/>
          <w:lang w:val="pt-BR"/>
        </w:rPr>
        <w:t>que não foram</w:t>
      </w:r>
      <w:r w:rsidR="004756C1" w:rsidRPr="002F50BD">
        <w:rPr>
          <w:rFonts w:ascii="Verdana" w:hAnsi="Verdana"/>
          <w:sz w:val="20"/>
          <w:lang w:val="pt-BR"/>
        </w:rPr>
        <w:t xml:space="preserve"> </w:t>
      </w:r>
      <w:r w:rsidRPr="002F50BD">
        <w:rPr>
          <w:rFonts w:ascii="Verdana" w:hAnsi="Verdana"/>
          <w:sz w:val="20"/>
          <w:lang w:val="pt-BR"/>
        </w:rPr>
        <w:t>incluíd</w:t>
      </w:r>
      <w:r w:rsidR="004756C1" w:rsidRPr="002F50BD">
        <w:rPr>
          <w:rFonts w:ascii="Verdana" w:hAnsi="Verdana"/>
          <w:sz w:val="20"/>
          <w:lang w:val="pt-BR"/>
        </w:rPr>
        <w:t>as</w:t>
      </w:r>
      <w:r w:rsidRPr="002F50BD">
        <w:rPr>
          <w:rFonts w:ascii="Verdana" w:hAnsi="Verdana"/>
          <w:sz w:val="20"/>
          <w:lang w:val="pt-BR"/>
        </w:rPr>
        <w:t xml:space="preserve"> no </w:t>
      </w:r>
      <w:r w:rsidR="004756C1" w:rsidRPr="002F50BD">
        <w:rPr>
          <w:rFonts w:ascii="Verdana" w:hAnsi="Verdana"/>
          <w:sz w:val="20"/>
          <w:lang w:val="pt-BR"/>
        </w:rPr>
        <w:t xml:space="preserve">censo </w:t>
      </w:r>
      <w:r w:rsidRPr="002F50BD">
        <w:rPr>
          <w:rFonts w:ascii="Verdana" w:hAnsi="Verdana"/>
          <w:sz w:val="20"/>
          <w:lang w:val="pt-BR"/>
        </w:rPr>
        <w:t xml:space="preserve">do ano </w:t>
      </w:r>
      <w:r w:rsidR="00063B47" w:rsidRPr="002F50BD">
        <w:rPr>
          <w:rFonts w:ascii="Verdana" w:hAnsi="Verdana"/>
          <w:sz w:val="20"/>
          <w:lang w:val="pt-BR"/>
        </w:rPr>
        <w:t>2002</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xml:space="preserve"> ser certificada</w:t>
      </w:r>
      <w:r w:rsidRPr="002F50BD">
        <w:rPr>
          <w:rFonts w:ascii="Verdana" w:hAnsi="Verdana"/>
          <w:sz w:val="20"/>
          <w:lang w:val="pt-BR"/>
        </w:rPr>
        <w:t xml:space="preserve"> à </w:t>
      </w:r>
      <w:r w:rsidR="004756C1" w:rsidRPr="002F50BD">
        <w:rPr>
          <w:rFonts w:ascii="Verdana" w:hAnsi="Verdana"/>
          <w:sz w:val="20"/>
          <w:lang w:val="pt-BR"/>
        </w:rPr>
        <w:t>Corte</w:t>
      </w:r>
      <w:r w:rsidRPr="002F50BD">
        <w:rPr>
          <w:rFonts w:ascii="Verdana" w:hAnsi="Verdana"/>
          <w:sz w:val="20"/>
          <w:lang w:val="pt-BR"/>
        </w:rPr>
        <w:t xml:space="preserve"> pelas </w:t>
      </w:r>
      <w:r w:rsidR="004756C1" w:rsidRPr="002F50BD">
        <w:rPr>
          <w:rFonts w:ascii="Verdana" w:hAnsi="Verdana"/>
          <w:sz w:val="20"/>
          <w:lang w:val="pt-BR"/>
        </w:rPr>
        <w:t>autoridades</w:t>
      </w:r>
      <w:r w:rsidRPr="002F50BD">
        <w:rPr>
          <w:rFonts w:ascii="Verdana" w:hAnsi="Verdana"/>
          <w:sz w:val="20"/>
          <w:lang w:val="pt-BR"/>
        </w:rPr>
        <w:t xml:space="preserve"> da Comunidade </w:t>
      </w:r>
      <w:r w:rsidR="004756C1" w:rsidRPr="002F50BD">
        <w:rPr>
          <w:rFonts w:ascii="Verdana" w:hAnsi="Verdana"/>
          <w:sz w:val="20"/>
          <w:lang w:val="pt-BR"/>
        </w:rPr>
        <w:t>indígena</w:t>
      </w:r>
      <w:r w:rsidRPr="002F50BD">
        <w:rPr>
          <w:rFonts w:ascii="Verdana" w:hAnsi="Verdana"/>
          <w:sz w:val="20"/>
          <w:lang w:val="pt-BR"/>
        </w:rPr>
        <w:t>, e</w:t>
      </w:r>
    </w:p>
    <w:p w:rsidR="00DC0F25" w:rsidRPr="002F50BD" w:rsidRDefault="00DC0F25" w:rsidP="00DC0F25">
      <w:pPr>
        <w:tabs>
          <w:tab w:val="left" w:pos="1080"/>
        </w:tabs>
        <w:ind w:left="360"/>
        <w:jc w:val="both"/>
        <w:rPr>
          <w:rFonts w:ascii="Verdana" w:hAnsi="Verdana"/>
          <w:sz w:val="20"/>
          <w:lang w:val="pt-BR"/>
        </w:rPr>
      </w:pPr>
    </w:p>
    <w:p w:rsidR="004756C1" w:rsidRPr="002F50BD" w:rsidRDefault="0089298C">
      <w:pPr>
        <w:numPr>
          <w:ilvl w:val="0"/>
          <w:numId w:val="20"/>
        </w:numPr>
        <w:tabs>
          <w:tab w:val="left" w:pos="1080"/>
        </w:tabs>
        <w:ind w:left="720"/>
        <w:jc w:val="both"/>
        <w:rPr>
          <w:rFonts w:ascii="Verdana" w:hAnsi="Verdana"/>
          <w:sz w:val="20"/>
          <w:lang w:val="pt-BR"/>
        </w:rPr>
      </w:pPr>
      <w:r w:rsidRPr="002F50BD">
        <w:rPr>
          <w:rFonts w:ascii="Verdana" w:hAnsi="Verdana"/>
          <w:sz w:val="20"/>
          <w:lang w:val="pt-BR"/>
        </w:rPr>
        <w:t xml:space="preserve">As </w:t>
      </w:r>
      <w:r w:rsidR="00CF451D">
        <w:rPr>
          <w:rFonts w:ascii="Verdana" w:hAnsi="Verdana"/>
          <w:sz w:val="20"/>
          <w:lang w:val="pt-BR"/>
        </w:rPr>
        <w:t>16</w:t>
      </w:r>
      <w:r w:rsidR="004756C1" w:rsidRPr="002F50BD">
        <w:rPr>
          <w:rFonts w:ascii="Verdana" w:hAnsi="Verdana"/>
          <w:sz w:val="20"/>
          <w:lang w:val="pt-BR"/>
        </w:rPr>
        <w:t xml:space="preserve"> </w:t>
      </w:r>
      <w:r w:rsidRPr="002F50BD">
        <w:rPr>
          <w:rFonts w:ascii="Verdana" w:hAnsi="Verdana"/>
          <w:sz w:val="20"/>
          <w:lang w:val="pt-BR"/>
        </w:rPr>
        <w:t>pessoa</w:t>
      </w:r>
      <w:r w:rsidR="004756C1" w:rsidRPr="002F50BD">
        <w:rPr>
          <w:rFonts w:ascii="Verdana" w:hAnsi="Verdana"/>
          <w:sz w:val="20"/>
          <w:lang w:val="pt-BR"/>
        </w:rPr>
        <w:t xml:space="preserve">s que </w:t>
      </w:r>
      <w:r w:rsidRPr="002F50BD">
        <w:rPr>
          <w:rFonts w:ascii="Verdana" w:hAnsi="Verdana"/>
          <w:sz w:val="20"/>
          <w:lang w:val="pt-BR"/>
        </w:rPr>
        <w:t>falec</w:t>
      </w:r>
      <w:r w:rsidR="00DC0F25" w:rsidRPr="002F50BD">
        <w:rPr>
          <w:rFonts w:ascii="Verdana" w:hAnsi="Verdana"/>
          <w:sz w:val="20"/>
          <w:lang w:val="pt-BR"/>
        </w:rPr>
        <w:t>eram</w:t>
      </w:r>
      <w:r w:rsidR="004756C1" w:rsidRPr="002F50BD">
        <w:rPr>
          <w:rFonts w:ascii="Verdana" w:hAnsi="Verdana"/>
          <w:sz w:val="20"/>
          <w:lang w:val="pt-BR"/>
        </w:rPr>
        <w:t xml:space="preserve"> desde que</w:t>
      </w:r>
      <w:r w:rsidRPr="002F50BD">
        <w:rPr>
          <w:rFonts w:ascii="Verdana" w:hAnsi="Verdana"/>
          <w:sz w:val="20"/>
          <w:lang w:val="pt-BR"/>
        </w:rPr>
        <w:t xml:space="preserve"> a Comunidade </w:t>
      </w:r>
      <w:r w:rsidR="004756C1" w:rsidRPr="002F50BD">
        <w:rPr>
          <w:rFonts w:ascii="Verdana" w:hAnsi="Verdana"/>
          <w:sz w:val="20"/>
          <w:lang w:val="pt-BR"/>
        </w:rPr>
        <w:t xml:space="preserve">se </w:t>
      </w:r>
      <w:r w:rsidRPr="002F50BD">
        <w:rPr>
          <w:rFonts w:ascii="Verdana" w:hAnsi="Verdana"/>
          <w:sz w:val="20"/>
          <w:lang w:val="pt-BR"/>
        </w:rPr>
        <w:t xml:space="preserve">estabeleceu </w:t>
      </w:r>
      <w:r w:rsidR="00DC0F25" w:rsidRPr="002F50BD">
        <w:rPr>
          <w:rFonts w:ascii="Verdana" w:hAnsi="Verdana"/>
          <w:sz w:val="20"/>
          <w:lang w:val="pt-BR"/>
        </w:rPr>
        <w:t xml:space="preserve">à margem </w:t>
      </w:r>
      <w:r w:rsidRPr="002F50BD">
        <w:rPr>
          <w:rFonts w:ascii="Verdana" w:hAnsi="Verdana"/>
          <w:sz w:val="20"/>
          <w:lang w:val="pt-BR"/>
        </w:rPr>
        <w:t xml:space="preserve">da </w:t>
      </w:r>
      <w:r w:rsidR="00475EBB" w:rsidRPr="002F50BD">
        <w:rPr>
          <w:rFonts w:ascii="Verdana" w:hAnsi="Verdana"/>
          <w:sz w:val="20"/>
          <w:lang w:val="pt-BR"/>
        </w:rPr>
        <w:t>rodovia</w:t>
      </w:r>
      <w:r w:rsidR="004756C1" w:rsidRPr="002F50BD">
        <w:rPr>
          <w:rFonts w:ascii="Verdana" w:hAnsi="Verdana"/>
          <w:sz w:val="20"/>
          <w:lang w:val="pt-BR"/>
        </w:rPr>
        <w:t xml:space="preserve"> pública </w:t>
      </w:r>
      <w:r w:rsidRPr="002F50BD">
        <w:rPr>
          <w:rFonts w:ascii="Verdana" w:hAnsi="Verdana"/>
          <w:sz w:val="20"/>
          <w:lang w:val="pt-BR"/>
        </w:rPr>
        <w:t>devem</w:t>
      </w:r>
      <w:r w:rsidR="004756C1" w:rsidRPr="002F50BD">
        <w:rPr>
          <w:rFonts w:ascii="Verdana" w:hAnsi="Verdana"/>
          <w:sz w:val="20"/>
          <w:lang w:val="pt-BR"/>
        </w:rPr>
        <w:t xml:space="preserve"> ser, igualmente, consideradas </w:t>
      </w:r>
      <w:r w:rsidRPr="002F50BD">
        <w:rPr>
          <w:rFonts w:ascii="Verdana" w:hAnsi="Verdana"/>
          <w:sz w:val="20"/>
          <w:lang w:val="pt-BR"/>
        </w:rPr>
        <w:t xml:space="preserve">beneficiárias das </w:t>
      </w:r>
      <w:r w:rsidR="004756C1" w:rsidRPr="002F50BD">
        <w:rPr>
          <w:rFonts w:ascii="Verdana" w:hAnsi="Verdana"/>
          <w:sz w:val="20"/>
          <w:lang w:val="pt-BR"/>
        </w:rPr>
        <w:t>repara</w:t>
      </w:r>
      <w:r w:rsidRPr="002F50BD">
        <w:rPr>
          <w:rFonts w:ascii="Verdana" w:hAnsi="Verdana"/>
          <w:sz w:val="20"/>
          <w:lang w:val="pt-BR"/>
        </w:rPr>
        <w:t xml:space="preserve">ções pela </w:t>
      </w:r>
      <w:r w:rsidR="004756C1" w:rsidRPr="002F50BD">
        <w:rPr>
          <w:rFonts w:ascii="Verdana" w:hAnsi="Verdana"/>
          <w:sz w:val="20"/>
          <w:lang w:val="pt-BR"/>
        </w:rPr>
        <w:t>viola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direito à </w:t>
      </w:r>
      <w:r w:rsidR="004756C1" w:rsidRPr="002F50BD">
        <w:rPr>
          <w:rFonts w:ascii="Verdana" w:hAnsi="Verdana"/>
          <w:sz w:val="20"/>
          <w:lang w:val="pt-BR"/>
        </w:rPr>
        <w:t>vida.</w:t>
      </w:r>
      <w:r w:rsidR="00FE08B7">
        <w:rPr>
          <w:rFonts w:ascii="Verdana" w:hAnsi="Verdana"/>
          <w:sz w:val="20"/>
          <w:lang w:val="pt-BR"/>
        </w:rPr>
        <w:t xml:space="preserve"> </w:t>
      </w:r>
      <w:r w:rsidR="00DC0F25" w:rsidRPr="002F50BD">
        <w:rPr>
          <w:rFonts w:ascii="Verdana" w:hAnsi="Verdana"/>
          <w:sz w:val="20"/>
          <w:lang w:val="pt-BR"/>
        </w:rPr>
        <w:t>S</w:t>
      </w:r>
      <w:r w:rsidRPr="002F50BD">
        <w:rPr>
          <w:rFonts w:ascii="Verdana" w:hAnsi="Verdana"/>
          <w:sz w:val="20"/>
          <w:lang w:val="pt-BR"/>
        </w:rPr>
        <w:t>e for o caso, os beneficiário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repara</w:t>
      </w:r>
      <w:r w:rsidRPr="002F50BD">
        <w:rPr>
          <w:rFonts w:ascii="Verdana" w:hAnsi="Verdana"/>
          <w:sz w:val="20"/>
          <w:lang w:val="pt-BR"/>
        </w:rPr>
        <w:t>ções</w:t>
      </w:r>
      <w:r w:rsidR="004756C1" w:rsidRPr="002F50BD">
        <w:rPr>
          <w:rFonts w:ascii="Verdana" w:hAnsi="Verdana"/>
          <w:sz w:val="20"/>
          <w:lang w:val="pt-BR"/>
        </w:rPr>
        <w:t xml:space="preserve"> que</w:t>
      </w:r>
      <w:r w:rsidR="00E1782A" w:rsidRPr="002F50BD">
        <w:rPr>
          <w:rFonts w:ascii="Verdana" w:hAnsi="Verdana"/>
          <w:sz w:val="20"/>
          <w:lang w:val="pt-BR"/>
        </w:rPr>
        <w:t>,</w:t>
      </w:r>
      <w:r w:rsidRPr="002F50BD">
        <w:rPr>
          <w:rFonts w:ascii="Verdana" w:hAnsi="Verdana"/>
          <w:sz w:val="20"/>
          <w:lang w:val="pt-BR"/>
        </w:rPr>
        <w:t xml:space="preserve"> em razão desta </w:t>
      </w:r>
      <w:r w:rsidR="004756C1" w:rsidRPr="002F50BD">
        <w:rPr>
          <w:rFonts w:ascii="Verdana" w:hAnsi="Verdana"/>
          <w:sz w:val="20"/>
          <w:lang w:val="pt-BR"/>
        </w:rPr>
        <w:t>viola</w:t>
      </w:r>
      <w:r w:rsidRPr="002F50BD">
        <w:rPr>
          <w:rFonts w:ascii="Verdana" w:hAnsi="Verdana"/>
          <w:sz w:val="20"/>
          <w:lang w:val="pt-BR"/>
        </w:rPr>
        <w:t>ção</w:t>
      </w:r>
      <w:r w:rsidR="00E1782A" w:rsidRPr="002F50BD">
        <w:rPr>
          <w:rFonts w:ascii="Verdana" w:hAnsi="Verdana"/>
          <w:sz w:val="20"/>
          <w:lang w:val="pt-BR"/>
        </w:rPr>
        <w:t>,</w:t>
      </w:r>
      <w:r w:rsidRPr="002F50BD">
        <w:rPr>
          <w:rFonts w:ascii="Verdana" w:hAnsi="Verdana"/>
          <w:sz w:val="20"/>
          <w:lang w:val="pt-BR"/>
        </w:rPr>
        <w:t xml:space="preserve"> sejam </w:t>
      </w:r>
      <w:r w:rsidR="004756C1" w:rsidRPr="002F50BD">
        <w:rPr>
          <w:rFonts w:ascii="Verdana" w:hAnsi="Verdana"/>
          <w:sz w:val="20"/>
          <w:lang w:val="pt-BR"/>
        </w:rPr>
        <w:t>ordenadas</w:t>
      </w:r>
      <w:r w:rsidRPr="002F50BD">
        <w:rPr>
          <w:rFonts w:ascii="Verdana" w:hAnsi="Verdana"/>
          <w:sz w:val="20"/>
          <w:lang w:val="pt-BR"/>
        </w:rPr>
        <w:t xml:space="preserve"> pela </w:t>
      </w:r>
      <w:r w:rsidR="004756C1" w:rsidRPr="002F50BD">
        <w:rPr>
          <w:rFonts w:ascii="Verdana" w:hAnsi="Verdana"/>
          <w:sz w:val="20"/>
          <w:lang w:val="pt-BR"/>
        </w:rPr>
        <w:t xml:space="preserve">Corte </w:t>
      </w:r>
      <w:r w:rsidRPr="002F50BD">
        <w:rPr>
          <w:rFonts w:ascii="Verdana" w:hAnsi="Verdana"/>
          <w:sz w:val="20"/>
          <w:lang w:val="pt-BR"/>
        </w:rPr>
        <w:t>deverão</w:t>
      </w:r>
      <w:r w:rsidR="004756C1" w:rsidRPr="002F50BD">
        <w:rPr>
          <w:rFonts w:ascii="Verdana" w:hAnsi="Verdana"/>
          <w:sz w:val="20"/>
          <w:lang w:val="pt-BR"/>
        </w:rPr>
        <w:t xml:space="preserve"> ser</w:t>
      </w:r>
      <w:r w:rsidRPr="002F50BD">
        <w:rPr>
          <w:rFonts w:ascii="Verdana" w:hAnsi="Verdana"/>
          <w:sz w:val="20"/>
          <w:lang w:val="pt-BR"/>
        </w:rPr>
        <w:t xml:space="preserve"> os </w:t>
      </w:r>
      <w:r w:rsidR="004756C1" w:rsidRPr="002F50BD">
        <w:rPr>
          <w:rFonts w:ascii="Verdana" w:hAnsi="Verdana"/>
          <w:sz w:val="20"/>
          <w:lang w:val="pt-BR"/>
        </w:rPr>
        <w:t xml:space="preserve">respectivos </w:t>
      </w:r>
      <w:r w:rsidR="009F308E" w:rsidRPr="002F50BD">
        <w:rPr>
          <w:rFonts w:ascii="Verdana" w:hAnsi="Verdana"/>
          <w:sz w:val="20"/>
          <w:lang w:val="pt-BR"/>
        </w:rPr>
        <w:t>familiares</w:t>
      </w:r>
      <w:r w:rsidRPr="002F50BD">
        <w:rPr>
          <w:rFonts w:ascii="Verdana" w:hAnsi="Verdana"/>
          <w:sz w:val="20"/>
          <w:lang w:val="pt-BR"/>
        </w:rPr>
        <w:t xml:space="preserve"> das pessoa</w:t>
      </w:r>
      <w:r w:rsidR="004756C1" w:rsidRPr="002F50BD">
        <w:rPr>
          <w:rFonts w:ascii="Verdana" w:hAnsi="Verdana"/>
          <w:sz w:val="20"/>
          <w:lang w:val="pt-BR"/>
        </w:rPr>
        <w:t xml:space="preserve">s </w:t>
      </w:r>
      <w:r w:rsidRPr="002F50BD">
        <w:rPr>
          <w:rFonts w:ascii="Verdana" w:hAnsi="Verdana"/>
          <w:sz w:val="20"/>
          <w:lang w:val="pt-BR"/>
        </w:rPr>
        <w:t>falecid</w:t>
      </w:r>
      <w:r w:rsidR="004756C1" w:rsidRPr="002F50BD">
        <w:rPr>
          <w:rFonts w:ascii="Verdana" w:hAnsi="Verdana"/>
          <w:sz w:val="20"/>
          <w:lang w:val="pt-BR"/>
        </w:rPr>
        <w:t>as.</w:t>
      </w:r>
    </w:p>
    <w:p w:rsidR="004756C1" w:rsidRPr="002F50BD" w:rsidRDefault="004756C1">
      <w:pPr>
        <w:ind w:left="180"/>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Alegações</w:t>
      </w:r>
      <w:r w:rsidR="004756C1" w:rsidRPr="002F50BD">
        <w:rPr>
          <w:rFonts w:ascii="Verdana" w:hAnsi="Verdana"/>
          <w:i/>
          <w:sz w:val="20"/>
        </w:rPr>
        <w:t xml:space="preserve"> </w:t>
      </w:r>
      <w:r w:rsidRPr="002F50BD">
        <w:rPr>
          <w:rFonts w:ascii="Verdana" w:hAnsi="Verdana"/>
          <w:i/>
          <w:sz w:val="20"/>
        </w:rPr>
        <w:t xml:space="preserve">do </w:t>
      </w:r>
      <w:r w:rsidR="004756C1" w:rsidRPr="002F50BD">
        <w:rPr>
          <w:rFonts w:ascii="Verdana" w:hAnsi="Verdana"/>
          <w:i/>
          <w:sz w:val="20"/>
        </w:rPr>
        <w:t>Estado</w:t>
      </w:r>
    </w:p>
    <w:p w:rsidR="00DC0F25" w:rsidRPr="002F50BD" w:rsidRDefault="00DC0F25" w:rsidP="00DC0F25">
      <w:pPr>
        <w:jc w:val="both"/>
        <w:rPr>
          <w:rFonts w:ascii="Verdana" w:hAnsi="Verdana"/>
          <w:sz w:val="20"/>
          <w:lang w:val="pt-BR"/>
        </w:rPr>
      </w:pPr>
    </w:p>
    <w:p w:rsidR="004756C1" w:rsidRPr="002F50BD" w:rsidRDefault="0089298C">
      <w:pPr>
        <w:numPr>
          <w:ilvl w:val="0"/>
          <w:numId w:val="30"/>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00AB454A" w:rsidRPr="002F50BD">
        <w:rPr>
          <w:rFonts w:ascii="Verdana" w:hAnsi="Verdana"/>
          <w:sz w:val="20"/>
          <w:lang w:val="pt-BR"/>
        </w:rPr>
        <w:t>não realizou</w:t>
      </w:r>
      <w:r w:rsidR="004756C1" w:rsidRPr="002F50BD">
        <w:rPr>
          <w:rFonts w:ascii="Verdana" w:hAnsi="Verdana"/>
          <w:sz w:val="20"/>
          <w:lang w:val="pt-BR"/>
        </w:rPr>
        <w:t xml:space="preserve"> alega</w:t>
      </w:r>
      <w:r w:rsidRPr="002F50BD">
        <w:rPr>
          <w:rFonts w:ascii="Verdana" w:hAnsi="Verdana"/>
          <w:sz w:val="20"/>
          <w:lang w:val="pt-BR"/>
        </w:rPr>
        <w:t>ções</w:t>
      </w:r>
      <w:r w:rsidR="004756C1" w:rsidRPr="002F50BD">
        <w:rPr>
          <w:rFonts w:ascii="Verdana" w:hAnsi="Verdana"/>
          <w:sz w:val="20"/>
          <w:lang w:val="pt-BR"/>
        </w:rPr>
        <w:t xml:space="preserve"> específicas sobre</w:t>
      </w:r>
      <w:r w:rsidRPr="002F50BD">
        <w:rPr>
          <w:rFonts w:ascii="Verdana" w:hAnsi="Verdana"/>
          <w:sz w:val="20"/>
          <w:lang w:val="pt-BR"/>
        </w:rPr>
        <w:t xml:space="preserve"> os beneficiário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repara</w:t>
      </w:r>
      <w:r w:rsidRPr="002F50BD">
        <w:rPr>
          <w:rFonts w:ascii="Verdana" w:hAnsi="Verdana"/>
          <w:sz w:val="20"/>
          <w:lang w:val="pt-BR"/>
        </w:rPr>
        <w:t>ções</w:t>
      </w:r>
      <w:r w:rsidR="004756C1" w:rsidRPr="002F50BD">
        <w:rPr>
          <w:rFonts w:ascii="Verdana" w:hAnsi="Verdana"/>
          <w:sz w:val="20"/>
          <w:lang w:val="pt-BR"/>
        </w:rPr>
        <w:t>.</w:t>
      </w:r>
    </w:p>
    <w:p w:rsidR="004756C1" w:rsidRPr="002F50BD" w:rsidRDefault="004756C1">
      <w:pPr>
        <w:rPr>
          <w:rFonts w:ascii="Verdana" w:hAnsi="Verdana"/>
          <w:i/>
          <w:sz w:val="20"/>
          <w:lang w:val="pt-BR"/>
        </w:rPr>
      </w:pPr>
    </w:p>
    <w:p w:rsidR="004756C1" w:rsidRPr="002F50BD" w:rsidRDefault="004756C1">
      <w:pPr>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4756C1" w:rsidRPr="002F50BD" w:rsidRDefault="004756C1">
      <w:pPr>
        <w:pStyle w:val="BodyText3"/>
        <w:rPr>
          <w:rFonts w:ascii="Verdana" w:hAnsi="Verdana"/>
          <w:b/>
          <w:sz w:val="20"/>
          <w:u w:val="none"/>
        </w:rPr>
      </w:pPr>
    </w:p>
    <w:p w:rsidR="004756C1" w:rsidRPr="002F50BD" w:rsidRDefault="0089298C">
      <w:pPr>
        <w:pStyle w:val="BodyText3"/>
        <w:numPr>
          <w:ilvl w:val="0"/>
          <w:numId w:val="30"/>
        </w:numPr>
        <w:rPr>
          <w:rFonts w:ascii="Verdana" w:hAnsi="Verdana"/>
          <w:sz w:val="20"/>
          <w:u w:val="none"/>
          <w:lang w:val="pt-BR"/>
        </w:rPr>
      </w:pPr>
      <w:r w:rsidRPr="002F50BD">
        <w:rPr>
          <w:rFonts w:ascii="Verdana" w:hAnsi="Verdana"/>
          <w:sz w:val="20"/>
          <w:u w:val="none"/>
          <w:lang w:val="pt-BR"/>
        </w:rPr>
        <w:t xml:space="preserve">No </w:t>
      </w:r>
      <w:r w:rsidR="004756C1" w:rsidRPr="002F50BD">
        <w:rPr>
          <w:rFonts w:ascii="Verdana" w:hAnsi="Verdana"/>
          <w:sz w:val="20"/>
          <w:u w:val="none"/>
          <w:lang w:val="pt-BR"/>
        </w:rPr>
        <w:t>presente caso,</w:t>
      </w:r>
      <w:r w:rsidRPr="002F50BD">
        <w:rPr>
          <w:rFonts w:ascii="Verdana" w:hAnsi="Verdana"/>
          <w:sz w:val="20"/>
          <w:u w:val="none"/>
          <w:lang w:val="pt-BR"/>
        </w:rPr>
        <w:t xml:space="preserve"> a </w:t>
      </w:r>
      <w:r w:rsidR="004756C1" w:rsidRPr="002F50BD">
        <w:rPr>
          <w:rFonts w:ascii="Verdana" w:hAnsi="Verdana"/>
          <w:sz w:val="20"/>
          <w:u w:val="none"/>
          <w:lang w:val="pt-BR"/>
        </w:rPr>
        <w:t xml:space="preserve">Corte </w:t>
      </w:r>
      <w:r w:rsidRPr="002F50BD">
        <w:rPr>
          <w:rFonts w:ascii="Verdana" w:hAnsi="Verdana"/>
          <w:sz w:val="20"/>
          <w:u w:val="none"/>
          <w:lang w:val="pt-BR"/>
        </w:rPr>
        <w:t xml:space="preserve">compartilha o critério da Comissão e </w:t>
      </w:r>
      <w:r w:rsidR="00DC0F25" w:rsidRPr="002F50BD">
        <w:rPr>
          <w:rFonts w:ascii="Verdana" w:hAnsi="Verdana"/>
          <w:sz w:val="20"/>
          <w:u w:val="none"/>
          <w:lang w:val="pt-BR"/>
        </w:rPr>
        <w:t>d</w:t>
      </w:r>
      <w:r w:rsidRPr="002F50BD">
        <w:rPr>
          <w:rFonts w:ascii="Verdana" w:hAnsi="Verdana"/>
          <w:sz w:val="20"/>
          <w:u w:val="none"/>
          <w:lang w:val="pt-BR"/>
        </w:rPr>
        <w:t xml:space="preserve">os </w:t>
      </w:r>
      <w:r w:rsidR="008C29C9" w:rsidRPr="002F50BD">
        <w:rPr>
          <w:rFonts w:ascii="Verdana" w:hAnsi="Verdana"/>
          <w:sz w:val="20"/>
          <w:u w:val="none"/>
          <w:lang w:val="pt-BR"/>
        </w:rPr>
        <w:t>representante</w:t>
      </w:r>
      <w:r w:rsidR="004756C1" w:rsidRPr="002F50BD">
        <w:rPr>
          <w:rFonts w:ascii="Verdana" w:hAnsi="Verdana"/>
          <w:sz w:val="20"/>
          <w:u w:val="none"/>
          <w:lang w:val="pt-BR"/>
        </w:rPr>
        <w:t>s</w:t>
      </w:r>
      <w:r w:rsidRPr="002F50BD">
        <w:rPr>
          <w:rFonts w:ascii="Verdana" w:hAnsi="Verdana"/>
          <w:sz w:val="20"/>
          <w:u w:val="none"/>
          <w:lang w:val="pt-BR"/>
        </w:rPr>
        <w:t xml:space="preserve"> no </w:t>
      </w:r>
      <w:r w:rsidR="004756C1" w:rsidRPr="002F50BD">
        <w:rPr>
          <w:rFonts w:ascii="Verdana" w:hAnsi="Verdana"/>
          <w:sz w:val="20"/>
          <w:u w:val="none"/>
          <w:lang w:val="pt-BR"/>
        </w:rPr>
        <w:t>sentido de que</w:t>
      </w:r>
      <w:r w:rsidRPr="002F50BD">
        <w:rPr>
          <w:rFonts w:ascii="Verdana" w:hAnsi="Verdana"/>
          <w:sz w:val="20"/>
          <w:u w:val="none"/>
          <w:lang w:val="pt-BR"/>
        </w:rPr>
        <w:t xml:space="preserve"> 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xml:space="preserve"> adqui</w:t>
      </w:r>
      <w:r w:rsidR="00DC0F25" w:rsidRPr="002F50BD">
        <w:rPr>
          <w:rFonts w:ascii="Verdana" w:hAnsi="Verdana"/>
          <w:sz w:val="20"/>
          <w:u w:val="none"/>
          <w:lang w:val="pt-BR"/>
        </w:rPr>
        <w:t xml:space="preserve">rem </w:t>
      </w:r>
      <w:r w:rsidRPr="002F50BD">
        <w:rPr>
          <w:rFonts w:ascii="Verdana" w:hAnsi="Verdana"/>
          <w:sz w:val="20"/>
          <w:u w:val="none"/>
          <w:lang w:val="pt-BR"/>
        </w:rPr>
        <w:t xml:space="preserve">um </w:t>
      </w:r>
      <w:r w:rsidR="004756C1" w:rsidRPr="002F50BD">
        <w:rPr>
          <w:rFonts w:ascii="Verdana" w:hAnsi="Verdana"/>
          <w:sz w:val="20"/>
          <w:u w:val="none"/>
          <w:lang w:val="pt-BR"/>
        </w:rPr>
        <w:t>especial significa</w:t>
      </w:r>
      <w:r w:rsidR="00DC0F25" w:rsidRPr="002F50BD">
        <w:rPr>
          <w:rFonts w:ascii="Verdana" w:hAnsi="Verdana"/>
          <w:sz w:val="20"/>
          <w:u w:val="none"/>
          <w:lang w:val="pt-BR"/>
        </w:rPr>
        <w:t xml:space="preserve">do </w:t>
      </w:r>
      <w:r w:rsidRPr="002F50BD">
        <w:rPr>
          <w:rFonts w:ascii="Verdana" w:hAnsi="Verdana"/>
          <w:sz w:val="20"/>
          <w:u w:val="none"/>
          <w:lang w:val="pt-BR"/>
        </w:rPr>
        <w:t>coletiv</w:t>
      </w:r>
      <w:r w:rsidR="00DC0F25" w:rsidRPr="002F50BD">
        <w:rPr>
          <w:rFonts w:ascii="Verdana" w:hAnsi="Verdana"/>
          <w:sz w:val="20"/>
          <w:u w:val="none"/>
          <w:lang w:val="pt-BR"/>
        </w:rPr>
        <w:t>o</w:t>
      </w:r>
      <w:r w:rsidR="004076AD" w:rsidRPr="002F50BD">
        <w:rPr>
          <w:rFonts w:ascii="Verdana" w:hAnsi="Verdana"/>
          <w:sz w:val="20"/>
          <w:u w:val="none"/>
          <w:lang w:val="pt-BR"/>
        </w:rPr>
        <w:t>. A este respeito</w:t>
      </w:r>
      <w:r w:rsidR="004756C1" w:rsidRPr="002F50BD">
        <w:rPr>
          <w:rFonts w:ascii="Verdana" w:hAnsi="Verdana"/>
          <w:sz w:val="20"/>
          <w:u w:val="none"/>
          <w:lang w:val="pt-BR"/>
        </w:rPr>
        <w:t xml:space="preserve">, este Tribunal </w:t>
      </w:r>
      <w:r w:rsidRPr="002F50BD">
        <w:rPr>
          <w:rFonts w:ascii="Verdana" w:hAnsi="Verdana"/>
          <w:sz w:val="20"/>
          <w:u w:val="none"/>
          <w:lang w:val="pt-BR"/>
        </w:rPr>
        <w:t xml:space="preserve">considerou em um </w:t>
      </w:r>
      <w:r w:rsidR="004756C1" w:rsidRPr="002F50BD">
        <w:rPr>
          <w:rFonts w:ascii="Verdana" w:hAnsi="Verdana"/>
          <w:sz w:val="20"/>
          <w:u w:val="none"/>
          <w:lang w:val="pt-BR"/>
        </w:rPr>
        <w:t xml:space="preserve">caso que </w:t>
      </w:r>
      <w:r w:rsidRPr="002F50BD">
        <w:rPr>
          <w:rFonts w:ascii="Verdana" w:hAnsi="Verdana"/>
          <w:sz w:val="20"/>
          <w:u w:val="none"/>
          <w:lang w:val="pt-BR"/>
        </w:rPr>
        <w:t>envolv</w:t>
      </w:r>
      <w:r w:rsidR="00DC0F25" w:rsidRPr="002F50BD">
        <w:rPr>
          <w:rFonts w:ascii="Verdana" w:hAnsi="Verdana"/>
          <w:sz w:val="20"/>
          <w:u w:val="none"/>
          <w:lang w:val="pt-BR"/>
        </w:rPr>
        <w:t>i</w:t>
      </w:r>
      <w:r w:rsidR="004756C1" w:rsidRPr="002F50BD">
        <w:rPr>
          <w:rFonts w:ascii="Verdana" w:hAnsi="Verdana"/>
          <w:sz w:val="20"/>
          <w:u w:val="none"/>
          <w:lang w:val="pt-BR"/>
        </w:rPr>
        <w:t xml:space="preserve">a </w:t>
      </w:r>
      <w:r w:rsidRPr="002F50BD">
        <w:rPr>
          <w:rFonts w:ascii="Verdana" w:hAnsi="Verdana"/>
          <w:sz w:val="20"/>
          <w:u w:val="none"/>
          <w:lang w:val="pt-BR"/>
        </w:rPr>
        <w:t>povo</w:t>
      </w:r>
      <w:r w:rsidR="004756C1" w:rsidRPr="002F50BD">
        <w:rPr>
          <w:rFonts w:ascii="Verdana" w:hAnsi="Verdana"/>
          <w:sz w:val="20"/>
          <w:u w:val="none"/>
          <w:lang w:val="pt-BR"/>
        </w:rPr>
        <w:t xml:space="preserve">s indígenas que </w:t>
      </w:r>
      <w:r w:rsidRPr="002F50BD">
        <w:rPr>
          <w:rFonts w:ascii="Verdana" w:hAnsi="Verdana"/>
          <w:sz w:val="20"/>
          <w:u w:val="none"/>
          <w:lang w:val="pt-BR"/>
        </w:rPr>
        <w:t xml:space="preserve">“a </w:t>
      </w:r>
      <w:r w:rsidR="004756C1" w:rsidRPr="002F50BD">
        <w:rPr>
          <w:rFonts w:ascii="Verdana" w:hAnsi="Verdana"/>
          <w:sz w:val="20"/>
          <w:u w:val="none"/>
          <w:lang w:val="pt-BR"/>
        </w:rPr>
        <w:t>repara</w:t>
      </w:r>
      <w:r w:rsidRPr="002F50BD">
        <w:rPr>
          <w:rFonts w:ascii="Verdana" w:hAnsi="Verdana"/>
          <w:sz w:val="20"/>
          <w:u w:val="none"/>
          <w:lang w:val="pt-BR"/>
        </w:rPr>
        <w:t>ção</w:t>
      </w:r>
      <w:r w:rsidR="004756C1" w:rsidRPr="002F50BD">
        <w:rPr>
          <w:rFonts w:ascii="Verdana" w:hAnsi="Verdana"/>
          <w:sz w:val="20"/>
          <w:u w:val="none"/>
          <w:lang w:val="pt-BR"/>
        </w:rPr>
        <w:t xml:space="preserve"> individual </w:t>
      </w:r>
      <w:r w:rsidRPr="002F50BD">
        <w:rPr>
          <w:rFonts w:ascii="Verdana" w:hAnsi="Verdana"/>
          <w:sz w:val="20"/>
          <w:u w:val="none"/>
          <w:lang w:val="pt-BR"/>
        </w:rPr>
        <w:t xml:space="preserve">tem </w:t>
      </w:r>
      <w:r w:rsidR="004756C1" w:rsidRPr="002F50BD">
        <w:rPr>
          <w:rFonts w:ascii="Verdana" w:hAnsi="Verdana"/>
          <w:sz w:val="20"/>
          <w:u w:val="none"/>
          <w:lang w:val="pt-BR"/>
        </w:rPr>
        <w:t>como</w:t>
      </w:r>
      <w:r w:rsidRPr="002F50BD">
        <w:rPr>
          <w:rFonts w:ascii="Verdana" w:hAnsi="Verdana"/>
          <w:sz w:val="20"/>
          <w:u w:val="none"/>
          <w:lang w:val="pt-BR"/>
        </w:rPr>
        <w:t xml:space="preserve"> </w:t>
      </w:r>
      <w:r w:rsidR="00DC0F25" w:rsidRPr="002F50BD">
        <w:rPr>
          <w:rFonts w:ascii="Verdana" w:hAnsi="Verdana"/>
          <w:sz w:val="20"/>
          <w:u w:val="none"/>
          <w:lang w:val="pt-BR"/>
        </w:rPr>
        <w:t>componente</w:t>
      </w:r>
      <w:r w:rsidR="004756C1" w:rsidRPr="002F50BD">
        <w:rPr>
          <w:rFonts w:ascii="Verdana" w:hAnsi="Verdana"/>
          <w:sz w:val="20"/>
          <w:u w:val="none"/>
          <w:lang w:val="pt-BR"/>
        </w:rPr>
        <w:t xml:space="preserve"> importante</w:t>
      </w:r>
      <w:r w:rsidRPr="002F50BD">
        <w:rPr>
          <w:rFonts w:ascii="Verdana" w:hAnsi="Verdana"/>
          <w:sz w:val="20"/>
          <w:u w:val="none"/>
          <w:lang w:val="pt-BR"/>
        </w:rPr>
        <w:t xml:space="preserve"> as </w:t>
      </w:r>
      <w:r w:rsidR="004756C1" w:rsidRPr="002F50BD">
        <w:rPr>
          <w:rFonts w:ascii="Verdana" w:hAnsi="Verdana"/>
          <w:sz w:val="20"/>
          <w:u w:val="none"/>
          <w:lang w:val="pt-BR"/>
        </w:rPr>
        <w:t>repara</w:t>
      </w:r>
      <w:r w:rsidRPr="002F50BD">
        <w:rPr>
          <w:rFonts w:ascii="Verdana" w:hAnsi="Verdana"/>
          <w:sz w:val="20"/>
          <w:u w:val="none"/>
          <w:lang w:val="pt-BR"/>
        </w:rPr>
        <w:t>ções</w:t>
      </w:r>
      <w:r w:rsidR="004756C1" w:rsidRPr="002F50BD">
        <w:rPr>
          <w:rFonts w:ascii="Verdana" w:hAnsi="Verdana"/>
          <w:sz w:val="20"/>
          <w:u w:val="none"/>
          <w:lang w:val="pt-BR"/>
        </w:rPr>
        <w:t xml:space="preserve"> que esta Corte </w:t>
      </w:r>
      <w:r w:rsidR="00DC0F25" w:rsidRPr="002F50BD">
        <w:rPr>
          <w:rFonts w:ascii="Verdana" w:hAnsi="Verdana"/>
          <w:sz w:val="20"/>
          <w:u w:val="none"/>
          <w:lang w:val="pt-BR"/>
        </w:rPr>
        <w:t xml:space="preserve">concede </w:t>
      </w:r>
      <w:r w:rsidRPr="002F50BD">
        <w:rPr>
          <w:rFonts w:ascii="Verdana" w:hAnsi="Verdana"/>
          <w:sz w:val="20"/>
          <w:u w:val="none"/>
          <w:lang w:val="pt-BR"/>
        </w:rPr>
        <w:t xml:space="preserve">mais </w:t>
      </w:r>
      <w:r w:rsidR="00DC0F25" w:rsidRPr="002F50BD">
        <w:rPr>
          <w:rFonts w:ascii="Verdana" w:hAnsi="Verdana"/>
          <w:sz w:val="20"/>
          <w:u w:val="none"/>
          <w:lang w:val="pt-BR"/>
        </w:rPr>
        <w:t xml:space="preserve">à frente </w:t>
      </w:r>
      <w:r w:rsidRPr="002F50BD">
        <w:rPr>
          <w:rFonts w:ascii="Verdana" w:hAnsi="Verdana"/>
          <w:sz w:val="20"/>
          <w:u w:val="none"/>
          <w:lang w:val="pt-BR"/>
        </w:rPr>
        <w:t>aos membro</w:t>
      </w:r>
      <w:r w:rsidR="004756C1" w:rsidRPr="002F50BD">
        <w:rPr>
          <w:rFonts w:ascii="Verdana" w:hAnsi="Verdana"/>
          <w:sz w:val="20"/>
          <w:u w:val="none"/>
          <w:lang w:val="pt-BR"/>
        </w:rPr>
        <w:t>s</w:t>
      </w:r>
      <w:r w:rsidRPr="002F50BD">
        <w:rPr>
          <w:rFonts w:ascii="Verdana" w:hAnsi="Verdana"/>
          <w:sz w:val="20"/>
          <w:u w:val="none"/>
          <w:lang w:val="pt-BR"/>
        </w:rPr>
        <w:t xml:space="preserve"> das </w:t>
      </w:r>
      <w:r w:rsidR="004756C1" w:rsidRPr="002F50BD">
        <w:rPr>
          <w:rFonts w:ascii="Verdana" w:hAnsi="Verdana"/>
          <w:sz w:val="20"/>
          <w:u w:val="none"/>
          <w:lang w:val="pt-BR"/>
        </w:rPr>
        <w:t>comunidades</w:t>
      </w:r>
      <w:r w:rsidRPr="002F50BD">
        <w:rPr>
          <w:rFonts w:ascii="Verdana" w:hAnsi="Verdana"/>
          <w:sz w:val="20"/>
          <w:u w:val="none"/>
          <w:lang w:val="pt-BR"/>
        </w:rPr>
        <w:t xml:space="preserve"> em </w:t>
      </w:r>
      <w:r w:rsidR="004076AD" w:rsidRPr="002F50BD">
        <w:rPr>
          <w:rFonts w:ascii="Verdana" w:hAnsi="Verdana"/>
          <w:sz w:val="20"/>
          <w:u w:val="none"/>
          <w:lang w:val="pt-BR"/>
        </w:rPr>
        <w:t>seu conjunto</w:t>
      </w:r>
      <w:r w:rsidR="004756C1" w:rsidRPr="002F50BD">
        <w:rPr>
          <w:rFonts w:ascii="Verdana" w:hAnsi="Verdana"/>
          <w:sz w:val="20"/>
          <w:u w:val="none"/>
          <w:lang w:val="pt-BR"/>
        </w:rPr>
        <w:t>”</w:t>
      </w:r>
      <w:r w:rsidR="00DC0F25" w:rsidRPr="002F50BD">
        <w:rPr>
          <w:rFonts w:ascii="Verdana" w:hAnsi="Verdana"/>
          <w:sz w:val="20"/>
          <w:u w:val="none"/>
          <w:lang w:val="pt-BR"/>
        </w:rPr>
        <w:t>.</w:t>
      </w:r>
      <w:r w:rsidR="004756C1" w:rsidRPr="002F50BD">
        <w:rPr>
          <w:rStyle w:val="FootnoteReference"/>
          <w:rFonts w:ascii="Verdana" w:hAnsi="Verdana"/>
          <w:u w:val="none"/>
        </w:rPr>
        <w:footnoteReference w:id="214"/>
      </w:r>
    </w:p>
    <w:p w:rsidR="004756C1" w:rsidRPr="002F50BD" w:rsidRDefault="004756C1">
      <w:pPr>
        <w:jc w:val="both"/>
        <w:rPr>
          <w:rFonts w:ascii="Verdana" w:hAnsi="Verdana"/>
          <w:sz w:val="20"/>
          <w:lang w:val="pt-BR"/>
        </w:rPr>
      </w:pPr>
    </w:p>
    <w:p w:rsidR="004756C1" w:rsidRPr="002F50BD" w:rsidRDefault="0089298C">
      <w:pPr>
        <w:numPr>
          <w:ilvl w:val="0"/>
          <w:numId w:val="30"/>
        </w:numPr>
        <w:jc w:val="both"/>
        <w:rPr>
          <w:rFonts w:ascii="Verdana" w:hAnsi="Verdana"/>
          <w:lang w:val="pt-BR"/>
        </w:rPr>
      </w:pPr>
      <w:r w:rsidRPr="002F50BD">
        <w:rPr>
          <w:rFonts w:ascii="Verdana" w:hAnsi="Verdana"/>
          <w:sz w:val="20"/>
          <w:lang w:val="pt-BR"/>
        </w:rPr>
        <w:t>Sem prejuízo</w:t>
      </w:r>
      <w:r w:rsidR="004756C1" w:rsidRPr="002F50BD">
        <w:rPr>
          <w:rFonts w:ascii="Verdana" w:hAnsi="Verdana"/>
          <w:sz w:val="20"/>
          <w:lang w:val="pt-BR"/>
        </w:rPr>
        <w:t xml:space="preserve"> d</w:t>
      </w:r>
      <w:r w:rsidR="00DC0F25" w:rsidRPr="002F50BD">
        <w:rPr>
          <w:rFonts w:ascii="Verdana" w:hAnsi="Verdana"/>
          <w:sz w:val="20"/>
          <w:lang w:val="pt-BR"/>
        </w:rPr>
        <w:t>isso</w:t>
      </w:r>
      <w:r w:rsidR="004756C1"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Corte considera que</w:t>
      </w:r>
      <w:r w:rsidRPr="002F50BD">
        <w:rPr>
          <w:rFonts w:ascii="Verdana" w:hAnsi="Verdana"/>
          <w:sz w:val="20"/>
          <w:lang w:val="pt-BR"/>
        </w:rPr>
        <w:t xml:space="preserve"> os beneficiário</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repara</w:t>
      </w:r>
      <w:r w:rsidRPr="002F50BD">
        <w:rPr>
          <w:rFonts w:ascii="Verdana" w:hAnsi="Verdana"/>
          <w:sz w:val="20"/>
          <w:lang w:val="pt-BR"/>
        </w:rPr>
        <w:t>ções</w:t>
      </w:r>
      <w:r w:rsidR="004756C1" w:rsidRPr="002F50BD">
        <w:rPr>
          <w:rFonts w:ascii="Verdana" w:hAnsi="Verdana"/>
          <w:sz w:val="20"/>
          <w:lang w:val="pt-BR"/>
        </w:rPr>
        <w:t xml:space="preserve"> que se ordena</w:t>
      </w:r>
      <w:r w:rsidR="00DC0F25" w:rsidRPr="002F50BD">
        <w:rPr>
          <w:rFonts w:ascii="Verdana" w:hAnsi="Verdana"/>
          <w:sz w:val="20"/>
          <w:lang w:val="pt-BR"/>
        </w:rPr>
        <w:t>m</w:t>
      </w:r>
      <w:r w:rsidRPr="002F50BD">
        <w:rPr>
          <w:rFonts w:ascii="Verdana" w:hAnsi="Verdana"/>
          <w:sz w:val="20"/>
          <w:lang w:val="pt-BR"/>
        </w:rPr>
        <w:t xml:space="preserve"> na </w:t>
      </w:r>
      <w:r w:rsidR="004756C1" w:rsidRPr="002F50BD">
        <w:rPr>
          <w:rFonts w:ascii="Verdana" w:hAnsi="Verdana"/>
          <w:sz w:val="20"/>
          <w:lang w:val="pt-BR"/>
        </w:rPr>
        <w:t xml:space="preserve">presente </w:t>
      </w:r>
      <w:r w:rsidRPr="002F50BD">
        <w:rPr>
          <w:rFonts w:ascii="Verdana" w:hAnsi="Verdana"/>
          <w:sz w:val="20"/>
          <w:lang w:val="pt-BR"/>
        </w:rPr>
        <w:t>Sentença são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Pr="002F50BD">
        <w:rPr>
          <w:rFonts w:ascii="Verdana" w:hAnsi="Verdana"/>
          <w:sz w:val="20"/>
          <w:lang w:val="pt-BR"/>
        </w:rPr>
        <w:t>detalhad</w:t>
      </w:r>
      <w:r w:rsidR="004756C1" w:rsidRPr="002F50BD">
        <w:rPr>
          <w:rFonts w:ascii="Verdana" w:hAnsi="Verdana"/>
          <w:sz w:val="20"/>
          <w:lang w:val="pt-BR"/>
        </w:rPr>
        <w:t>os</w:t>
      </w:r>
      <w:r w:rsidRPr="002F50BD">
        <w:rPr>
          <w:rFonts w:ascii="Verdana" w:hAnsi="Verdana"/>
          <w:sz w:val="20"/>
          <w:lang w:val="pt-BR"/>
        </w:rPr>
        <w:t xml:space="preserve"> na </w:t>
      </w:r>
      <w:r w:rsidR="004756C1" w:rsidRPr="002F50BD">
        <w:rPr>
          <w:rFonts w:ascii="Verdana" w:hAnsi="Verdana"/>
          <w:sz w:val="20"/>
          <w:lang w:val="pt-BR"/>
        </w:rPr>
        <w:t xml:space="preserve">lista </w:t>
      </w:r>
      <w:r w:rsidR="00DC0F25" w:rsidRPr="002F50BD">
        <w:rPr>
          <w:rFonts w:ascii="Verdana" w:hAnsi="Verdana"/>
          <w:sz w:val="20"/>
          <w:lang w:val="pt-BR"/>
        </w:rPr>
        <w:t xml:space="preserve">incluída </w:t>
      </w:r>
      <w:r w:rsidRPr="002F50BD">
        <w:rPr>
          <w:rFonts w:ascii="Verdana" w:hAnsi="Verdana"/>
          <w:sz w:val="20"/>
          <w:lang w:val="pt-BR"/>
        </w:rPr>
        <w:t xml:space="preserve">no </w:t>
      </w:r>
      <w:r w:rsidR="004756C1" w:rsidRPr="002F50BD">
        <w:rPr>
          <w:rFonts w:ascii="Verdana" w:hAnsi="Verdana"/>
          <w:sz w:val="20"/>
          <w:lang w:val="pt-BR"/>
        </w:rPr>
        <w:t>anexo A</w:t>
      </w:r>
      <w:r w:rsidRPr="002F50BD">
        <w:rPr>
          <w:rFonts w:ascii="Verdana" w:hAnsi="Verdana"/>
          <w:sz w:val="20"/>
          <w:lang w:val="pt-BR"/>
        </w:rPr>
        <w:t xml:space="preserve"> desta Sentença</w:t>
      </w:r>
      <w:r w:rsidR="004756C1" w:rsidRPr="002F50BD">
        <w:rPr>
          <w:rFonts w:ascii="Verdana" w:hAnsi="Verdana"/>
          <w:sz w:val="20"/>
          <w:lang w:val="pt-BR"/>
        </w:rPr>
        <w:t>.</w:t>
      </w:r>
    </w:p>
    <w:p w:rsidR="004756C1" w:rsidRPr="002F50BD" w:rsidRDefault="004756C1">
      <w:pPr>
        <w:rPr>
          <w:rFonts w:ascii="Verdana" w:hAnsi="Verdana"/>
          <w:lang w:val="pt-BR"/>
        </w:rPr>
      </w:pPr>
    </w:p>
    <w:p w:rsidR="004756C1" w:rsidRPr="002F50BD" w:rsidRDefault="00DC0F25">
      <w:pPr>
        <w:pStyle w:val="Heading6"/>
        <w:numPr>
          <w:ilvl w:val="0"/>
          <w:numId w:val="15"/>
        </w:numPr>
        <w:jc w:val="center"/>
        <w:rPr>
          <w:b w:val="0"/>
          <w:i/>
          <w:smallCaps/>
        </w:rPr>
      </w:pPr>
      <w:r w:rsidRPr="002F50BD">
        <w:rPr>
          <w:b w:val="0"/>
          <w:i/>
          <w:smallCaps/>
        </w:rPr>
        <w:t>Dano</w:t>
      </w:r>
      <w:r w:rsidR="004756C1" w:rsidRPr="002F50BD">
        <w:rPr>
          <w:b w:val="0"/>
          <w:i/>
          <w:smallCaps/>
        </w:rPr>
        <w:t xml:space="preserve"> material</w:t>
      </w:r>
    </w:p>
    <w:p w:rsidR="004756C1" w:rsidRPr="002F50BD" w:rsidRDefault="004756C1">
      <w:pPr>
        <w:rPr>
          <w:rFonts w:ascii="Verdana" w:hAnsi="Verdana"/>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 da Comissão</w:t>
      </w:r>
    </w:p>
    <w:p w:rsidR="004756C1" w:rsidRPr="002F50BD" w:rsidRDefault="004756C1">
      <w:pPr>
        <w:ind w:firstLine="180"/>
        <w:jc w:val="both"/>
        <w:rPr>
          <w:rFonts w:ascii="Verdana" w:hAnsi="Verdana"/>
          <w:sz w:val="20"/>
        </w:rPr>
      </w:pPr>
    </w:p>
    <w:p w:rsidR="004756C1" w:rsidRPr="002F50BD" w:rsidRDefault="00F46680">
      <w:pPr>
        <w:numPr>
          <w:ilvl w:val="0"/>
          <w:numId w:val="31"/>
        </w:numPr>
        <w:jc w:val="both"/>
        <w:rPr>
          <w:rFonts w:ascii="Verdana" w:hAnsi="Verdana"/>
          <w:sz w:val="20"/>
          <w:lang w:val="pt-BR"/>
        </w:rPr>
      </w:pPr>
      <w:r w:rsidRPr="002F50BD">
        <w:rPr>
          <w:rFonts w:ascii="Verdana" w:hAnsi="Verdana"/>
          <w:sz w:val="20"/>
          <w:lang w:val="pt-BR"/>
        </w:rPr>
        <w:t xml:space="preserve">Quanto </w:t>
      </w:r>
      <w:r w:rsidR="0089298C" w:rsidRPr="002F50BD">
        <w:rPr>
          <w:rFonts w:ascii="Verdana" w:hAnsi="Verdana"/>
          <w:sz w:val="20"/>
          <w:lang w:val="pt-BR"/>
        </w:rPr>
        <w:t xml:space="preserve">às </w:t>
      </w:r>
      <w:r w:rsidR="004756C1" w:rsidRPr="002F50BD">
        <w:rPr>
          <w:rFonts w:ascii="Verdana" w:hAnsi="Verdana"/>
          <w:sz w:val="20"/>
          <w:lang w:val="pt-BR"/>
        </w:rPr>
        <w:t>repara</w:t>
      </w:r>
      <w:r w:rsidR="0089298C" w:rsidRPr="002F50BD">
        <w:rPr>
          <w:rFonts w:ascii="Verdana" w:hAnsi="Verdana"/>
          <w:sz w:val="20"/>
          <w:lang w:val="pt-BR"/>
        </w:rPr>
        <w:t>ções</w:t>
      </w:r>
      <w:r w:rsidR="004756C1" w:rsidRPr="002F50BD">
        <w:rPr>
          <w:rFonts w:ascii="Verdana" w:hAnsi="Verdana"/>
          <w:sz w:val="20"/>
          <w:lang w:val="pt-BR"/>
        </w:rPr>
        <w:t xml:space="preserve"> </w:t>
      </w:r>
      <w:r w:rsidR="00DC0F25" w:rsidRPr="002F50BD">
        <w:rPr>
          <w:rFonts w:ascii="Verdana" w:hAnsi="Verdana"/>
          <w:sz w:val="20"/>
          <w:lang w:val="pt-BR"/>
        </w:rPr>
        <w:t xml:space="preserve">a título </w:t>
      </w:r>
      <w:r w:rsidR="004756C1" w:rsidRPr="002F50BD">
        <w:rPr>
          <w:rFonts w:ascii="Verdana" w:hAnsi="Verdana"/>
          <w:sz w:val="20"/>
          <w:lang w:val="pt-BR"/>
        </w:rPr>
        <w:t>de</w:t>
      </w:r>
      <w:r w:rsidR="0089298C" w:rsidRPr="002F50BD">
        <w:rPr>
          <w:rFonts w:ascii="Verdana" w:hAnsi="Verdana"/>
          <w:sz w:val="20"/>
          <w:lang w:val="pt-BR"/>
        </w:rPr>
        <w:t xml:space="preserve"> dano</w:t>
      </w:r>
      <w:r w:rsidR="004756C1" w:rsidRPr="002F50BD">
        <w:rPr>
          <w:rFonts w:ascii="Verdana" w:hAnsi="Verdana"/>
          <w:sz w:val="20"/>
          <w:lang w:val="pt-BR"/>
        </w:rPr>
        <w:t xml:space="preserve"> material,</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afirmou</w:t>
      </w:r>
      <w:r w:rsidR="004756C1" w:rsidRPr="002F50BD">
        <w:rPr>
          <w:rFonts w:ascii="Verdana" w:hAnsi="Verdana"/>
          <w:sz w:val="20"/>
          <w:lang w:val="pt-BR"/>
        </w:rPr>
        <w:t xml:space="preserve"> que para determinar</w:t>
      </w:r>
      <w:r w:rsidR="00E1782A" w:rsidRPr="002F50BD">
        <w:rPr>
          <w:rFonts w:ascii="Verdana" w:hAnsi="Verdana"/>
          <w:sz w:val="20"/>
          <w:lang w:val="pt-BR"/>
        </w:rPr>
        <w:t>,</w:t>
      </w:r>
      <w:r w:rsidR="004756C1" w:rsidRPr="002F50BD">
        <w:rPr>
          <w:rFonts w:ascii="Verdana" w:hAnsi="Verdana"/>
          <w:sz w:val="20"/>
          <w:lang w:val="pt-BR"/>
        </w:rPr>
        <w:t xml:space="preserve"> de</w:t>
      </w:r>
      <w:r w:rsidR="0089298C" w:rsidRPr="002F50BD">
        <w:rPr>
          <w:rFonts w:ascii="Verdana" w:hAnsi="Verdana"/>
          <w:sz w:val="20"/>
          <w:lang w:val="pt-BR"/>
        </w:rPr>
        <w:t xml:space="preserve"> uma maneira</w:t>
      </w:r>
      <w:r w:rsidR="004756C1" w:rsidRPr="002F50BD">
        <w:rPr>
          <w:rFonts w:ascii="Verdana" w:hAnsi="Verdana"/>
          <w:sz w:val="20"/>
          <w:lang w:val="pt-BR"/>
        </w:rPr>
        <w:t xml:space="preserve"> justa</w:t>
      </w:r>
      <w:r w:rsidR="0089298C" w:rsidRPr="002F50BD">
        <w:rPr>
          <w:rFonts w:ascii="Verdana" w:hAnsi="Verdana"/>
          <w:sz w:val="20"/>
          <w:lang w:val="pt-BR"/>
        </w:rPr>
        <w:t xml:space="preserve"> e </w:t>
      </w:r>
      <w:r w:rsidR="004756C1" w:rsidRPr="002F50BD">
        <w:rPr>
          <w:rFonts w:ascii="Verdana" w:hAnsi="Verdana"/>
          <w:sz w:val="20"/>
          <w:lang w:val="pt-BR"/>
        </w:rPr>
        <w:t>equitativa</w:t>
      </w:r>
      <w:r w:rsidR="00E1782A" w:rsidRPr="002F50BD">
        <w:rPr>
          <w:rFonts w:ascii="Verdana" w:hAnsi="Verdana"/>
          <w:sz w:val="20"/>
          <w:lang w:val="pt-BR"/>
        </w:rPr>
        <w:t>,</w:t>
      </w:r>
      <w:r w:rsidR="0089298C" w:rsidRPr="002F50BD">
        <w:rPr>
          <w:rFonts w:ascii="Verdana" w:hAnsi="Verdana"/>
          <w:sz w:val="20"/>
          <w:lang w:val="pt-BR"/>
        </w:rPr>
        <w:t xml:space="preserve"> o dano</w:t>
      </w:r>
      <w:r w:rsidR="004756C1" w:rsidRPr="002F50BD">
        <w:rPr>
          <w:rFonts w:ascii="Verdana" w:hAnsi="Verdana"/>
          <w:sz w:val="20"/>
          <w:lang w:val="pt-BR"/>
        </w:rPr>
        <w:t xml:space="preserve"> emergente</w:t>
      </w:r>
      <w:r w:rsidR="0089298C" w:rsidRPr="002F50BD">
        <w:rPr>
          <w:rFonts w:ascii="Verdana" w:hAnsi="Verdana"/>
          <w:sz w:val="20"/>
          <w:lang w:val="pt-BR"/>
        </w:rPr>
        <w:t xml:space="preserve"> e o </w:t>
      </w:r>
      <w:r w:rsidR="004756C1" w:rsidRPr="002F50BD">
        <w:rPr>
          <w:rFonts w:ascii="Verdana" w:hAnsi="Verdana"/>
          <w:sz w:val="20"/>
          <w:lang w:val="pt-BR"/>
        </w:rPr>
        <w:t>“lucro cesante”</w:t>
      </w:r>
      <w:r w:rsidR="0089298C" w:rsidRPr="002F50BD">
        <w:rPr>
          <w:rFonts w:ascii="Verdana" w:hAnsi="Verdana"/>
          <w:sz w:val="20"/>
          <w:lang w:val="pt-BR"/>
        </w:rPr>
        <w:t xml:space="preserve"> no </w:t>
      </w:r>
      <w:r w:rsidR="004756C1" w:rsidRPr="002F50BD">
        <w:rPr>
          <w:rFonts w:ascii="Verdana" w:hAnsi="Verdana"/>
          <w:sz w:val="20"/>
          <w:lang w:val="pt-BR"/>
        </w:rPr>
        <w:t>presente caso,</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deveria</w:t>
      </w:r>
      <w:r w:rsidR="0089298C" w:rsidRPr="002F50BD">
        <w:rPr>
          <w:rFonts w:ascii="Verdana" w:hAnsi="Verdana"/>
          <w:sz w:val="20"/>
          <w:lang w:val="pt-BR"/>
        </w:rPr>
        <w:t xml:space="preserve"> ter </w:t>
      </w:r>
      <w:r w:rsidR="004756C1" w:rsidRPr="002F50BD">
        <w:rPr>
          <w:rFonts w:ascii="Verdana" w:hAnsi="Verdana"/>
          <w:sz w:val="20"/>
          <w:lang w:val="pt-BR"/>
        </w:rPr>
        <w:t>presente</w:t>
      </w:r>
      <w:r w:rsidR="0089298C" w:rsidRPr="002F50BD">
        <w:rPr>
          <w:rFonts w:ascii="Verdana" w:hAnsi="Verdana"/>
          <w:sz w:val="20"/>
          <w:lang w:val="pt-BR"/>
        </w:rPr>
        <w:t xml:space="preserve"> a </w:t>
      </w:r>
      <w:r w:rsidR="004756C1" w:rsidRPr="002F50BD">
        <w:rPr>
          <w:rFonts w:ascii="Verdana" w:hAnsi="Verdana"/>
          <w:sz w:val="20"/>
          <w:lang w:val="pt-BR"/>
        </w:rPr>
        <w:t>cosmo</w:t>
      </w:r>
      <w:r w:rsidR="008B1D76" w:rsidRPr="002F50BD">
        <w:rPr>
          <w:rFonts w:ascii="Verdana" w:hAnsi="Verdana"/>
          <w:sz w:val="20"/>
          <w:lang w:val="pt-BR"/>
        </w:rPr>
        <w:t>visão</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 o efeito</w:t>
      </w:r>
      <w:r w:rsidR="004756C1" w:rsidRPr="002F50BD">
        <w:rPr>
          <w:rFonts w:ascii="Verdana" w:hAnsi="Verdana"/>
          <w:sz w:val="20"/>
          <w:lang w:val="pt-BR"/>
        </w:rPr>
        <w:t xml:space="preserve"> </w:t>
      </w:r>
      <w:r w:rsidR="00DC0F25" w:rsidRPr="002F50BD">
        <w:rPr>
          <w:rFonts w:ascii="Verdana" w:hAnsi="Verdana"/>
          <w:sz w:val="20"/>
          <w:lang w:val="pt-BR"/>
        </w:rPr>
        <w:t>produzi</w:t>
      </w:r>
      <w:r w:rsidR="00754117" w:rsidRPr="002F50BD">
        <w:rPr>
          <w:rFonts w:ascii="Verdana" w:hAnsi="Verdana"/>
          <w:sz w:val="20"/>
          <w:lang w:val="pt-BR"/>
        </w:rPr>
        <w:t xml:space="preserve">do </w:t>
      </w:r>
      <w:r w:rsidR="00E1782A" w:rsidRPr="002F50BD">
        <w:rPr>
          <w:rFonts w:ascii="Verdana" w:hAnsi="Verdana"/>
          <w:sz w:val="20"/>
          <w:lang w:val="pt-BR"/>
        </w:rPr>
        <w:t>n</w:t>
      </w:r>
      <w:r w:rsidR="00754117" w:rsidRPr="002F50BD">
        <w:rPr>
          <w:rFonts w:ascii="Verdana" w:hAnsi="Verdana"/>
          <w:sz w:val="20"/>
          <w:lang w:val="pt-BR"/>
        </w:rPr>
        <w:t>a</w:t>
      </w:r>
      <w:r w:rsidR="0089298C" w:rsidRPr="002F50BD">
        <w:rPr>
          <w:rFonts w:ascii="Verdana" w:hAnsi="Verdana"/>
          <w:sz w:val="20"/>
          <w:lang w:val="pt-BR"/>
        </w:rPr>
        <w:t xml:space="preserve"> própria Comunidade e em </w:t>
      </w:r>
      <w:r w:rsidR="00AB454A" w:rsidRPr="002F50BD">
        <w:rPr>
          <w:rFonts w:ascii="Verdana" w:hAnsi="Verdana"/>
          <w:sz w:val="20"/>
          <w:lang w:val="pt-BR"/>
        </w:rPr>
        <w:t>seus membros</w:t>
      </w:r>
      <w:r w:rsidR="0089298C" w:rsidRPr="002F50BD">
        <w:rPr>
          <w:rFonts w:ascii="Verdana" w:hAnsi="Verdana"/>
          <w:sz w:val="20"/>
          <w:lang w:val="pt-BR"/>
        </w:rPr>
        <w:t xml:space="preserve"> o </w:t>
      </w:r>
      <w:r w:rsidR="00DC0F25" w:rsidRPr="002F50BD">
        <w:rPr>
          <w:rFonts w:ascii="Verdana" w:hAnsi="Verdana"/>
          <w:sz w:val="20"/>
          <w:lang w:val="pt-BR"/>
        </w:rPr>
        <w:t xml:space="preserve">fato de </w:t>
      </w:r>
      <w:r w:rsidR="004756C1" w:rsidRPr="002F50BD">
        <w:rPr>
          <w:rFonts w:ascii="Verdana" w:hAnsi="Verdana"/>
          <w:sz w:val="20"/>
          <w:lang w:val="pt-BR"/>
        </w:rPr>
        <w:t>estar</w:t>
      </w:r>
      <w:r w:rsidR="00DC0F25" w:rsidRPr="002F50BD">
        <w:rPr>
          <w:rFonts w:ascii="Verdana" w:hAnsi="Verdana"/>
          <w:sz w:val="20"/>
          <w:lang w:val="pt-BR"/>
        </w:rPr>
        <w:t>em</w:t>
      </w:r>
      <w:r w:rsidR="004756C1" w:rsidRPr="002F50BD">
        <w:rPr>
          <w:rFonts w:ascii="Verdana" w:hAnsi="Verdana"/>
          <w:sz w:val="20"/>
          <w:lang w:val="pt-BR"/>
        </w:rPr>
        <w:t xml:space="preserve"> impedidos de </w:t>
      </w:r>
      <w:r w:rsidR="00AB454A" w:rsidRPr="002F50BD">
        <w:rPr>
          <w:rFonts w:ascii="Verdana" w:hAnsi="Verdana"/>
          <w:sz w:val="20"/>
          <w:lang w:val="pt-BR"/>
        </w:rPr>
        <w:t>possui</w:t>
      </w:r>
      <w:r w:rsidR="004756C1" w:rsidRPr="002F50BD">
        <w:rPr>
          <w:rFonts w:ascii="Verdana" w:hAnsi="Verdana"/>
          <w:sz w:val="20"/>
          <w:lang w:val="pt-BR"/>
        </w:rPr>
        <w:t xml:space="preserve">r </w:t>
      </w:r>
      <w:r w:rsidR="00DB51F0" w:rsidRPr="002F50BD">
        <w:rPr>
          <w:rFonts w:ascii="Verdana" w:hAnsi="Verdana"/>
          <w:sz w:val="20"/>
          <w:lang w:val="pt-BR"/>
        </w:rPr>
        <w:t xml:space="preserve">seu </w:t>
      </w:r>
      <w:r w:rsidR="00DB51F0" w:rsidRPr="002F50BD">
        <w:rPr>
          <w:rFonts w:ascii="Verdana" w:hAnsi="Verdana"/>
          <w:i/>
          <w:sz w:val="20"/>
          <w:lang w:val="pt-BR"/>
        </w:rPr>
        <w:t>habitat</w:t>
      </w:r>
      <w:r w:rsidR="004756C1" w:rsidRPr="002F50BD">
        <w:rPr>
          <w:rFonts w:ascii="Verdana" w:hAnsi="Verdana"/>
          <w:sz w:val="20"/>
          <w:lang w:val="pt-BR"/>
        </w:rPr>
        <w:t xml:space="preserve"> tradicional o</w:t>
      </w:r>
      <w:r w:rsidR="00DC0F25" w:rsidRPr="002F50BD">
        <w:rPr>
          <w:rFonts w:ascii="Verdana" w:hAnsi="Verdana"/>
          <w:sz w:val="20"/>
          <w:lang w:val="pt-BR"/>
        </w:rPr>
        <w:t>u</w:t>
      </w:r>
      <w:r w:rsidR="004756C1" w:rsidRPr="002F50BD">
        <w:rPr>
          <w:rFonts w:ascii="Verdana" w:hAnsi="Verdana"/>
          <w:sz w:val="20"/>
          <w:lang w:val="pt-BR"/>
        </w:rPr>
        <w:t xml:space="preserve"> </w:t>
      </w:r>
      <w:r w:rsidR="0089298C" w:rsidRPr="002F50BD">
        <w:rPr>
          <w:rFonts w:ascii="Verdana" w:hAnsi="Verdana"/>
          <w:sz w:val="20"/>
          <w:lang w:val="pt-BR"/>
        </w:rPr>
        <w:t>território</w:t>
      </w:r>
      <w:r w:rsidR="004756C1" w:rsidRPr="002F50BD">
        <w:rPr>
          <w:rFonts w:ascii="Verdana" w:hAnsi="Verdana"/>
          <w:sz w:val="20"/>
          <w:lang w:val="pt-BR"/>
        </w:rPr>
        <w:t xml:space="preserve"> ancestral</w:t>
      </w:r>
      <w:r w:rsidR="0089298C" w:rsidRPr="002F50BD">
        <w:rPr>
          <w:rFonts w:ascii="Verdana" w:hAnsi="Verdana"/>
          <w:sz w:val="20"/>
          <w:lang w:val="pt-BR"/>
        </w:rPr>
        <w:t xml:space="preserve"> e </w:t>
      </w:r>
      <w:r w:rsidR="004756C1" w:rsidRPr="002F50BD">
        <w:rPr>
          <w:rFonts w:ascii="Verdana" w:hAnsi="Verdana"/>
          <w:sz w:val="20"/>
          <w:lang w:val="pt-BR"/>
        </w:rPr>
        <w:t>de realizar</w:t>
      </w:r>
      <w:r w:rsidR="00DC0F25" w:rsidRPr="002F50BD">
        <w:rPr>
          <w:rFonts w:ascii="Verdana" w:hAnsi="Verdana"/>
          <w:sz w:val="20"/>
          <w:lang w:val="pt-BR"/>
        </w:rPr>
        <w:t>em</w:t>
      </w:r>
      <w:r w:rsidR="004756C1" w:rsidRPr="002F50BD">
        <w:rPr>
          <w:rFonts w:ascii="Verdana" w:hAnsi="Verdana"/>
          <w:sz w:val="20"/>
          <w:lang w:val="pt-BR"/>
        </w:rPr>
        <w:t xml:space="preserve"> </w:t>
      </w:r>
      <w:r w:rsidR="004076AD" w:rsidRPr="002F50BD">
        <w:rPr>
          <w:rFonts w:ascii="Verdana" w:hAnsi="Verdana"/>
          <w:sz w:val="20"/>
          <w:lang w:val="pt-BR"/>
        </w:rPr>
        <w:t>suas atividades</w:t>
      </w:r>
      <w:r w:rsidR="004756C1" w:rsidRPr="002F50BD">
        <w:rPr>
          <w:rFonts w:ascii="Verdana" w:hAnsi="Verdana"/>
          <w:sz w:val="20"/>
          <w:lang w:val="pt-BR"/>
        </w:rPr>
        <w:t xml:space="preserve"> de </w:t>
      </w:r>
      <w:r w:rsidR="0089298C" w:rsidRPr="002F50BD">
        <w:rPr>
          <w:rFonts w:ascii="Verdana" w:hAnsi="Verdana"/>
          <w:sz w:val="20"/>
          <w:lang w:val="pt-BR"/>
        </w:rPr>
        <w:t>subsistência</w:t>
      </w:r>
      <w:r w:rsidR="004756C1" w:rsidRPr="002F50BD">
        <w:rPr>
          <w:rFonts w:ascii="Verdana" w:hAnsi="Verdana"/>
          <w:sz w:val="20"/>
          <w:lang w:val="pt-BR"/>
        </w:rPr>
        <w:t xml:space="preserve"> tr</w:t>
      </w:r>
      <w:r w:rsidR="0089298C" w:rsidRPr="002F50BD">
        <w:rPr>
          <w:rFonts w:ascii="Verdana" w:hAnsi="Verdana"/>
          <w:sz w:val="20"/>
          <w:lang w:val="pt-BR"/>
        </w:rPr>
        <w:t>adicionais</w:t>
      </w:r>
      <w:r w:rsidR="001A0CDE" w:rsidRPr="002F50BD">
        <w:rPr>
          <w:rFonts w:ascii="Verdana" w:hAnsi="Verdana"/>
          <w:sz w:val="20"/>
          <w:lang w:val="pt-BR"/>
        </w:rPr>
        <w:t xml:space="preserve">. </w:t>
      </w:r>
      <w:r w:rsidR="00CF451D">
        <w:rPr>
          <w:rFonts w:ascii="Verdana" w:hAnsi="Verdana"/>
          <w:sz w:val="20"/>
          <w:lang w:val="pt-BR"/>
        </w:rPr>
        <w:t>Nesse sentido,</w:t>
      </w:r>
      <w:r w:rsidR="0089298C" w:rsidRPr="002F50BD">
        <w:rPr>
          <w:rFonts w:ascii="Verdana" w:hAnsi="Verdana"/>
          <w:sz w:val="20"/>
          <w:lang w:val="pt-BR"/>
        </w:rPr>
        <w:t xml:space="preserve"> a Comissão</w:t>
      </w:r>
      <w:r w:rsidR="004756C1" w:rsidRPr="002F50BD">
        <w:rPr>
          <w:rFonts w:ascii="Verdana" w:hAnsi="Verdana"/>
          <w:sz w:val="20"/>
          <w:lang w:val="pt-BR"/>
        </w:rPr>
        <w:t xml:space="preserve"> </w:t>
      </w:r>
      <w:r w:rsidR="0089298C" w:rsidRPr="002F50BD">
        <w:rPr>
          <w:rFonts w:ascii="Verdana" w:hAnsi="Verdana"/>
          <w:sz w:val="20"/>
          <w:lang w:val="pt-BR"/>
        </w:rPr>
        <w:t xml:space="preserve">solicitou ao </w:t>
      </w:r>
      <w:r w:rsidR="004756C1" w:rsidRPr="002F50BD">
        <w:rPr>
          <w:rFonts w:ascii="Verdana" w:hAnsi="Verdana"/>
          <w:sz w:val="20"/>
          <w:lang w:val="pt-BR"/>
        </w:rPr>
        <w:t>Tribunal que fi</w:t>
      </w:r>
      <w:r w:rsidR="00DC0F25" w:rsidRPr="002F50BD">
        <w:rPr>
          <w:rFonts w:ascii="Verdana" w:hAnsi="Verdana"/>
          <w:sz w:val="20"/>
          <w:lang w:val="pt-BR"/>
        </w:rPr>
        <w:t>x</w:t>
      </w:r>
      <w:r w:rsidR="004756C1" w:rsidRPr="002F50BD">
        <w:rPr>
          <w:rFonts w:ascii="Verdana" w:hAnsi="Verdana"/>
          <w:sz w:val="20"/>
          <w:lang w:val="pt-BR"/>
        </w:rPr>
        <w:t>e</w:t>
      </w:r>
      <w:r w:rsidR="0089298C" w:rsidRPr="002F50BD">
        <w:rPr>
          <w:rFonts w:ascii="Verdana" w:hAnsi="Verdana"/>
          <w:sz w:val="20"/>
          <w:lang w:val="pt-BR"/>
        </w:rPr>
        <w:t xml:space="preserve"> um montante </w:t>
      </w:r>
      <w:r w:rsidR="00DC0F25" w:rsidRPr="002F50BD">
        <w:rPr>
          <w:rFonts w:ascii="Verdana" w:hAnsi="Verdana"/>
          <w:sz w:val="20"/>
          <w:lang w:val="pt-BR"/>
        </w:rPr>
        <w:t>indenizatóri</w:t>
      </w:r>
      <w:r w:rsidR="004756C1" w:rsidRPr="002F50BD">
        <w:rPr>
          <w:rFonts w:ascii="Verdana" w:hAnsi="Verdana"/>
          <w:sz w:val="20"/>
          <w:lang w:val="pt-BR"/>
        </w:rPr>
        <w:t>o</w:t>
      </w:r>
      <w:r w:rsidR="0089298C" w:rsidRPr="002F50BD">
        <w:rPr>
          <w:rFonts w:ascii="Verdana" w:hAnsi="Verdana"/>
          <w:sz w:val="20"/>
          <w:lang w:val="pt-BR"/>
        </w:rPr>
        <w:t xml:space="preserve"> em equidade </w:t>
      </w:r>
      <w:r w:rsidR="00754117" w:rsidRPr="002F50BD">
        <w:rPr>
          <w:rFonts w:ascii="Verdana" w:hAnsi="Verdana"/>
          <w:sz w:val="20"/>
          <w:lang w:val="pt-BR"/>
        </w:rPr>
        <w:t xml:space="preserve">por </w:t>
      </w:r>
      <w:r w:rsidR="004756C1" w:rsidRPr="002F50BD">
        <w:rPr>
          <w:rFonts w:ascii="Verdana" w:hAnsi="Verdana"/>
          <w:sz w:val="20"/>
          <w:lang w:val="pt-BR"/>
        </w:rPr>
        <w:t xml:space="preserve">este </w:t>
      </w:r>
      <w:r w:rsidR="00754117" w:rsidRPr="002F50BD">
        <w:rPr>
          <w:rFonts w:ascii="Verdana" w:hAnsi="Verdana"/>
          <w:sz w:val="20"/>
          <w:lang w:val="pt-BR"/>
        </w:rPr>
        <w:t>quesito</w:t>
      </w:r>
      <w:r w:rsidR="004756C1" w:rsidRPr="002F50BD">
        <w:rPr>
          <w:rFonts w:ascii="Verdana" w:hAnsi="Verdana"/>
          <w:sz w:val="20"/>
          <w:lang w:val="pt-BR"/>
        </w:rPr>
        <w:t xml:space="preserve">. </w:t>
      </w:r>
    </w:p>
    <w:p w:rsidR="004756C1" w:rsidRPr="002F50BD" w:rsidRDefault="004756C1">
      <w:pPr>
        <w:ind w:firstLine="180"/>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 xml:space="preserve">Alegações dos </w:t>
      </w:r>
      <w:r w:rsidR="008C29C9" w:rsidRPr="002F50BD">
        <w:rPr>
          <w:rFonts w:ascii="Verdana" w:hAnsi="Verdana"/>
          <w:b w:val="0"/>
          <w:i/>
          <w:smallCaps w:val="0"/>
          <w:sz w:val="20"/>
        </w:rPr>
        <w:t>representante</w:t>
      </w:r>
      <w:r w:rsidR="004756C1" w:rsidRPr="002F50BD">
        <w:rPr>
          <w:rFonts w:ascii="Verdana" w:hAnsi="Verdana"/>
          <w:b w:val="0"/>
          <w:i/>
          <w:smallCaps w:val="0"/>
          <w:sz w:val="20"/>
        </w:rPr>
        <w:t>s</w:t>
      </w:r>
    </w:p>
    <w:p w:rsidR="004756C1" w:rsidRPr="002F50BD" w:rsidRDefault="004756C1">
      <w:pPr>
        <w:ind w:firstLine="180"/>
        <w:jc w:val="both"/>
        <w:rPr>
          <w:rFonts w:ascii="Verdana" w:hAnsi="Verdana"/>
          <w:sz w:val="20"/>
        </w:rPr>
      </w:pPr>
    </w:p>
    <w:p w:rsidR="004756C1" w:rsidRPr="002F50BD" w:rsidRDefault="004076AD">
      <w:pPr>
        <w:numPr>
          <w:ilvl w:val="0"/>
          <w:numId w:val="31"/>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afirmaram</w:t>
      </w:r>
      <w:r w:rsidR="004756C1" w:rsidRPr="002F50BD">
        <w:rPr>
          <w:rFonts w:ascii="Verdana" w:hAnsi="Verdana"/>
          <w:sz w:val="20"/>
          <w:lang w:val="pt-BR"/>
        </w:rPr>
        <w:t xml:space="preserve"> que:</w:t>
      </w:r>
    </w:p>
    <w:p w:rsidR="004756C1" w:rsidRPr="002F50BD" w:rsidRDefault="004756C1">
      <w:pPr>
        <w:ind w:firstLine="180"/>
        <w:jc w:val="both"/>
        <w:rPr>
          <w:rFonts w:ascii="Verdana" w:hAnsi="Verdana"/>
          <w:sz w:val="20"/>
          <w:lang w:val="pt-BR"/>
        </w:rPr>
      </w:pPr>
    </w:p>
    <w:p w:rsidR="004756C1" w:rsidRPr="002F50BD" w:rsidRDefault="004756C1">
      <w:pPr>
        <w:tabs>
          <w:tab w:val="left" w:pos="1080"/>
        </w:tabs>
        <w:ind w:left="720"/>
        <w:jc w:val="both"/>
        <w:rPr>
          <w:rFonts w:ascii="Verdana" w:hAnsi="Verdana"/>
          <w:sz w:val="20"/>
          <w:lang w:val="pt-BR"/>
        </w:rPr>
      </w:pPr>
      <w:r w:rsidRPr="002F50BD">
        <w:rPr>
          <w:rFonts w:ascii="Verdana" w:hAnsi="Verdana"/>
          <w:sz w:val="20"/>
          <w:lang w:val="pt-BR"/>
        </w:rPr>
        <w:lastRenderedPageBreak/>
        <w:t>a</w:t>
      </w:r>
      <w:r w:rsidR="00CF451D" w:rsidRPr="00CF451D">
        <w:rPr>
          <w:rFonts w:ascii="Verdana" w:hAnsi="Verdana"/>
          <w:sz w:val="20"/>
          <w:lang w:val="pt-BR"/>
        </w:rPr>
        <w:t>)</w:t>
      </w:r>
      <w:r w:rsidRPr="002F50BD">
        <w:rPr>
          <w:rFonts w:ascii="Verdana" w:hAnsi="Verdana"/>
          <w:sz w:val="20"/>
          <w:lang w:val="pt-BR"/>
        </w:rPr>
        <w:tab/>
        <w:t xml:space="preserve">se </w:t>
      </w:r>
      <w:r w:rsidR="00DC0F25" w:rsidRPr="002F50BD">
        <w:rPr>
          <w:rFonts w:ascii="Verdana" w:hAnsi="Verdana"/>
          <w:sz w:val="20"/>
          <w:lang w:val="pt-BR"/>
        </w:rPr>
        <w:t>aderem</w:t>
      </w:r>
      <w:r w:rsidR="0089298C" w:rsidRPr="002F50BD">
        <w:rPr>
          <w:rFonts w:ascii="Verdana" w:hAnsi="Verdana"/>
          <w:sz w:val="20"/>
          <w:lang w:val="pt-BR"/>
        </w:rPr>
        <w:t xml:space="preserve"> às pretensões</w:t>
      </w:r>
      <w:r w:rsidRPr="002F50BD">
        <w:rPr>
          <w:rFonts w:ascii="Verdana" w:hAnsi="Verdana"/>
          <w:sz w:val="20"/>
          <w:lang w:val="pt-BR"/>
        </w:rPr>
        <w:t xml:space="preserve"> </w:t>
      </w:r>
      <w:r w:rsidR="004076AD" w:rsidRPr="002F50BD">
        <w:rPr>
          <w:rFonts w:ascii="Verdana" w:hAnsi="Verdana"/>
          <w:sz w:val="20"/>
          <w:lang w:val="pt-BR"/>
        </w:rPr>
        <w:t>indica</w:t>
      </w:r>
      <w:r w:rsidRPr="002F50BD">
        <w:rPr>
          <w:rFonts w:ascii="Verdana" w:hAnsi="Verdana"/>
          <w:sz w:val="20"/>
          <w:lang w:val="pt-BR"/>
        </w:rPr>
        <w:t>das</w:t>
      </w:r>
      <w:r w:rsidR="0089298C" w:rsidRPr="002F50BD">
        <w:rPr>
          <w:rFonts w:ascii="Verdana" w:hAnsi="Verdana"/>
          <w:sz w:val="20"/>
          <w:lang w:val="pt-BR"/>
        </w:rPr>
        <w:t xml:space="preserve"> pela Comissão em sua demanda quanto ao dano</w:t>
      </w:r>
      <w:r w:rsidRPr="002F50BD">
        <w:rPr>
          <w:rFonts w:ascii="Verdana" w:hAnsi="Verdana"/>
          <w:sz w:val="20"/>
          <w:lang w:val="pt-BR"/>
        </w:rPr>
        <w:t xml:space="preserve"> material </w:t>
      </w:r>
      <w:r w:rsidR="00CF451D" w:rsidRPr="00CF451D">
        <w:rPr>
          <w:rFonts w:ascii="Verdana" w:hAnsi="Verdana"/>
          <w:sz w:val="20"/>
          <w:lang w:val="pt-BR"/>
        </w:rPr>
        <w:t>(</w:t>
      </w:r>
      <w:r w:rsidR="00DC0F25" w:rsidRPr="002F50BD">
        <w:rPr>
          <w:rFonts w:ascii="Verdana" w:hAnsi="Verdana"/>
          <w:sz w:val="20"/>
          <w:lang w:val="pt-BR"/>
        </w:rPr>
        <w:t>dano</w:t>
      </w:r>
      <w:r w:rsidRPr="002F50BD">
        <w:rPr>
          <w:rFonts w:ascii="Verdana" w:hAnsi="Verdana"/>
          <w:sz w:val="20"/>
          <w:lang w:val="pt-BR"/>
        </w:rPr>
        <w:t xml:space="preserve"> emergente</w:t>
      </w:r>
      <w:r w:rsidR="0089298C" w:rsidRPr="002F50BD">
        <w:rPr>
          <w:rFonts w:ascii="Verdana" w:hAnsi="Verdana"/>
          <w:sz w:val="20"/>
          <w:lang w:val="pt-BR"/>
        </w:rPr>
        <w:t xml:space="preserve"> e </w:t>
      </w:r>
      <w:r w:rsidRPr="002F50BD">
        <w:rPr>
          <w:rFonts w:ascii="Verdana" w:hAnsi="Verdana"/>
          <w:sz w:val="20"/>
          <w:lang w:val="pt-BR"/>
        </w:rPr>
        <w:t>“lucro cesante”</w:t>
      </w:r>
      <w:r w:rsidR="00CF451D" w:rsidRPr="00CF451D">
        <w:rPr>
          <w:rFonts w:ascii="Verdana" w:hAnsi="Verdana"/>
          <w:sz w:val="20"/>
          <w:lang w:val="pt-BR"/>
        </w:rPr>
        <w:t>)</w:t>
      </w:r>
      <w:r w:rsidRPr="002F50BD">
        <w:rPr>
          <w:rFonts w:ascii="Verdana" w:hAnsi="Verdana"/>
          <w:sz w:val="20"/>
          <w:lang w:val="pt-BR"/>
        </w:rPr>
        <w:t>,</w:t>
      </w:r>
      <w:r w:rsidR="0089298C" w:rsidRPr="002F50BD">
        <w:rPr>
          <w:rFonts w:ascii="Verdana" w:hAnsi="Verdana"/>
          <w:sz w:val="20"/>
          <w:lang w:val="pt-BR"/>
        </w:rPr>
        <w:t xml:space="preserve"> </w:t>
      </w:r>
      <w:r w:rsidR="00785C83" w:rsidRPr="002F50BD">
        <w:rPr>
          <w:rFonts w:ascii="Verdana" w:hAnsi="Verdana"/>
          <w:sz w:val="20"/>
          <w:lang w:val="pt-BR"/>
        </w:rPr>
        <w:t xml:space="preserve">de maneira </w:t>
      </w:r>
      <w:r w:rsidR="0089298C" w:rsidRPr="002F50BD">
        <w:rPr>
          <w:rFonts w:ascii="Verdana" w:hAnsi="Verdana"/>
          <w:sz w:val="20"/>
          <w:lang w:val="pt-BR"/>
        </w:rPr>
        <w:t>que solicitaram</w:t>
      </w:r>
      <w:r w:rsidRPr="002F50BD">
        <w:rPr>
          <w:rFonts w:ascii="Verdana" w:hAnsi="Verdana"/>
          <w:sz w:val="20"/>
          <w:lang w:val="pt-BR"/>
        </w:rPr>
        <w:t xml:space="preserve"> que se fi</w:t>
      </w:r>
      <w:r w:rsidR="00785C83" w:rsidRPr="002F50BD">
        <w:rPr>
          <w:rFonts w:ascii="Verdana" w:hAnsi="Verdana"/>
          <w:sz w:val="20"/>
          <w:lang w:val="pt-BR"/>
        </w:rPr>
        <w:t>x</w:t>
      </w:r>
      <w:r w:rsidRPr="002F50BD">
        <w:rPr>
          <w:rFonts w:ascii="Verdana" w:hAnsi="Verdana"/>
          <w:sz w:val="20"/>
          <w:lang w:val="pt-BR"/>
        </w:rPr>
        <w:t>e</w:t>
      </w:r>
      <w:r w:rsidR="0089298C" w:rsidRPr="002F50BD">
        <w:rPr>
          <w:rFonts w:ascii="Verdana" w:hAnsi="Verdana"/>
          <w:sz w:val="20"/>
          <w:lang w:val="pt-BR"/>
        </w:rPr>
        <w:t xml:space="preserve"> uma soma em equidade </w:t>
      </w:r>
      <w:r w:rsidRPr="002F50BD">
        <w:rPr>
          <w:rFonts w:ascii="Verdana" w:hAnsi="Verdana"/>
          <w:sz w:val="20"/>
          <w:lang w:val="pt-BR"/>
        </w:rPr>
        <w:t>para determinar</w:t>
      </w:r>
      <w:r w:rsidR="0089298C" w:rsidRPr="002F50BD">
        <w:rPr>
          <w:rFonts w:ascii="Verdana" w:hAnsi="Verdana"/>
          <w:sz w:val="20"/>
          <w:lang w:val="pt-BR"/>
        </w:rPr>
        <w:t xml:space="preserve"> o montante </w:t>
      </w:r>
      <w:r w:rsidR="00DC0F25" w:rsidRPr="002F50BD">
        <w:rPr>
          <w:rFonts w:ascii="Verdana" w:hAnsi="Verdana"/>
          <w:sz w:val="20"/>
          <w:lang w:val="pt-BR"/>
        </w:rPr>
        <w:t>indenizatóri</w:t>
      </w:r>
      <w:r w:rsidRPr="002F50BD">
        <w:rPr>
          <w:rFonts w:ascii="Verdana" w:hAnsi="Verdana"/>
          <w:sz w:val="20"/>
          <w:lang w:val="pt-BR"/>
        </w:rPr>
        <w:t xml:space="preserve">o </w:t>
      </w:r>
      <w:r w:rsidR="00CE4FA3" w:rsidRPr="002F50BD">
        <w:rPr>
          <w:rFonts w:ascii="Verdana" w:hAnsi="Verdana"/>
          <w:sz w:val="20"/>
          <w:lang w:val="pt-BR"/>
        </w:rPr>
        <w:t>a este título</w:t>
      </w:r>
      <w:r w:rsidR="0089298C" w:rsidRPr="002F50BD">
        <w:rPr>
          <w:rFonts w:ascii="Verdana" w:hAnsi="Verdana"/>
          <w:sz w:val="20"/>
          <w:lang w:val="pt-BR"/>
        </w:rPr>
        <w:t>, e</w:t>
      </w:r>
      <w:r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4756C1">
      <w:pPr>
        <w:tabs>
          <w:tab w:val="left" w:pos="1080"/>
        </w:tabs>
        <w:ind w:left="720"/>
        <w:jc w:val="both"/>
        <w:rPr>
          <w:rFonts w:ascii="Verdana" w:hAnsi="Verdana"/>
          <w:sz w:val="20"/>
          <w:lang w:val="pt-BR"/>
        </w:rPr>
      </w:pPr>
      <w:r w:rsidRPr="002F50BD">
        <w:rPr>
          <w:rFonts w:ascii="Verdana" w:hAnsi="Verdana"/>
          <w:sz w:val="20"/>
          <w:lang w:val="pt-BR"/>
        </w:rPr>
        <w:t>b</w:t>
      </w:r>
      <w:r w:rsidR="00CF451D" w:rsidRPr="00CF451D">
        <w:rPr>
          <w:rFonts w:ascii="Verdana" w:hAnsi="Verdana"/>
          <w:sz w:val="20"/>
          <w:lang w:val="pt-BR"/>
        </w:rPr>
        <w:t>)</w:t>
      </w:r>
      <w:r w:rsidRPr="002F50BD">
        <w:rPr>
          <w:rFonts w:ascii="Verdana" w:hAnsi="Verdana"/>
          <w:sz w:val="20"/>
          <w:lang w:val="pt-BR"/>
        </w:rPr>
        <w:tab/>
      </w:r>
      <w:r w:rsidR="00785C83" w:rsidRPr="002F50BD">
        <w:rPr>
          <w:rFonts w:ascii="Verdana" w:hAnsi="Verdana"/>
          <w:sz w:val="20"/>
          <w:lang w:val="pt-BR"/>
        </w:rPr>
        <w:t>deve-se</w:t>
      </w:r>
      <w:r w:rsidR="0089298C" w:rsidRPr="002F50BD">
        <w:rPr>
          <w:rFonts w:ascii="Verdana" w:hAnsi="Verdana"/>
          <w:sz w:val="20"/>
          <w:lang w:val="pt-BR"/>
        </w:rPr>
        <w:t xml:space="preserve"> ter em </w:t>
      </w:r>
      <w:r w:rsidRPr="002F50BD">
        <w:rPr>
          <w:rFonts w:ascii="Verdana" w:hAnsi="Verdana"/>
          <w:sz w:val="20"/>
          <w:lang w:val="pt-BR"/>
        </w:rPr>
        <w:t>considera</w:t>
      </w:r>
      <w:r w:rsidR="0089298C" w:rsidRPr="002F50BD">
        <w:rPr>
          <w:rFonts w:ascii="Verdana" w:hAnsi="Verdana"/>
          <w:sz w:val="20"/>
          <w:lang w:val="pt-BR"/>
        </w:rPr>
        <w:t xml:space="preserve">ção os </w:t>
      </w:r>
      <w:r w:rsidRPr="002F50BD">
        <w:rPr>
          <w:rFonts w:ascii="Verdana" w:hAnsi="Verdana"/>
          <w:sz w:val="20"/>
          <w:lang w:val="pt-BR"/>
        </w:rPr>
        <w:t xml:space="preserve">gastos </w:t>
      </w:r>
      <w:r w:rsidR="0089298C" w:rsidRPr="002F50BD">
        <w:rPr>
          <w:rFonts w:ascii="Verdana" w:hAnsi="Verdana"/>
          <w:sz w:val="20"/>
          <w:lang w:val="pt-BR"/>
        </w:rPr>
        <w:t>adicionais</w:t>
      </w:r>
      <w:r w:rsidRPr="002F50BD">
        <w:rPr>
          <w:rFonts w:ascii="Verdana" w:hAnsi="Verdana"/>
          <w:sz w:val="20"/>
          <w:lang w:val="pt-BR"/>
        </w:rPr>
        <w:t xml:space="preserve"> </w:t>
      </w:r>
      <w:r w:rsidR="0089298C" w:rsidRPr="002F50BD">
        <w:rPr>
          <w:rFonts w:ascii="Verdana" w:hAnsi="Verdana"/>
          <w:sz w:val="20"/>
          <w:lang w:val="pt-BR"/>
        </w:rPr>
        <w:t>efetuad</w:t>
      </w:r>
      <w:r w:rsidRPr="002F50BD">
        <w:rPr>
          <w:rFonts w:ascii="Verdana" w:hAnsi="Verdana"/>
          <w:sz w:val="20"/>
          <w:lang w:val="pt-BR"/>
        </w:rPr>
        <w:t>os</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membro</w:t>
      </w:r>
      <w:r w:rsidRPr="002F50BD">
        <w:rPr>
          <w:rFonts w:ascii="Verdana" w:hAnsi="Verdana"/>
          <w:sz w:val="20"/>
          <w:lang w:val="pt-BR"/>
        </w:rPr>
        <w:t>s</w:t>
      </w:r>
      <w:r w:rsidR="0089298C" w:rsidRPr="002F50BD">
        <w:rPr>
          <w:rFonts w:ascii="Verdana" w:hAnsi="Verdana"/>
          <w:sz w:val="20"/>
          <w:lang w:val="pt-BR"/>
        </w:rPr>
        <w:t xml:space="preserve"> da Comunidade e </w:t>
      </w:r>
      <w:r w:rsidR="005A6BC7" w:rsidRPr="002F50BD">
        <w:rPr>
          <w:rFonts w:ascii="Verdana" w:hAnsi="Verdana"/>
          <w:sz w:val="20"/>
          <w:lang w:val="pt-BR"/>
        </w:rPr>
        <w:t>seus líderes</w:t>
      </w:r>
      <w:r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rela</w:t>
      </w:r>
      <w:r w:rsidR="0089298C" w:rsidRPr="002F50BD">
        <w:rPr>
          <w:rFonts w:ascii="Verdana" w:hAnsi="Verdana"/>
          <w:sz w:val="20"/>
          <w:lang w:val="pt-BR"/>
        </w:rPr>
        <w:t xml:space="preserve">ção </w:t>
      </w:r>
      <w:r w:rsidR="00785C83" w:rsidRPr="002F50BD">
        <w:rPr>
          <w:rFonts w:ascii="Verdana" w:hAnsi="Verdana"/>
          <w:sz w:val="20"/>
          <w:lang w:val="pt-BR"/>
        </w:rPr>
        <w:t>à</w:t>
      </w:r>
      <w:r w:rsidR="0089298C" w:rsidRPr="002F50BD">
        <w:rPr>
          <w:rFonts w:ascii="Verdana" w:hAnsi="Verdana"/>
          <w:sz w:val="20"/>
          <w:lang w:val="pt-BR"/>
        </w:rPr>
        <w:t>s gestões e deslocamento</w:t>
      </w:r>
      <w:r w:rsidRPr="002F50BD">
        <w:rPr>
          <w:rFonts w:ascii="Verdana" w:hAnsi="Verdana"/>
          <w:sz w:val="20"/>
          <w:lang w:val="pt-BR"/>
        </w:rPr>
        <w:t xml:space="preserve">s que </w:t>
      </w:r>
      <w:r w:rsidR="00785C83" w:rsidRPr="002F50BD">
        <w:rPr>
          <w:rFonts w:ascii="Verdana" w:hAnsi="Verdana"/>
          <w:sz w:val="20"/>
          <w:lang w:val="pt-BR"/>
        </w:rPr>
        <w:t>tiveram de realizar</w:t>
      </w:r>
      <w:r w:rsidRPr="002F50BD">
        <w:rPr>
          <w:rFonts w:ascii="Verdana" w:hAnsi="Verdana"/>
          <w:sz w:val="20"/>
          <w:lang w:val="pt-BR"/>
        </w:rPr>
        <w:t>, que n</w:t>
      </w:r>
      <w:r w:rsidR="00785C83" w:rsidRPr="002F50BD">
        <w:rPr>
          <w:rFonts w:ascii="Verdana" w:hAnsi="Verdana"/>
          <w:sz w:val="20"/>
          <w:lang w:val="pt-BR"/>
        </w:rPr>
        <w:t>ã</w:t>
      </w:r>
      <w:r w:rsidRPr="002F50BD">
        <w:rPr>
          <w:rFonts w:ascii="Verdana" w:hAnsi="Verdana"/>
          <w:sz w:val="20"/>
          <w:lang w:val="pt-BR"/>
        </w:rPr>
        <w:t xml:space="preserve">o </w:t>
      </w:r>
      <w:r w:rsidR="0089298C" w:rsidRPr="002F50BD">
        <w:rPr>
          <w:rFonts w:ascii="Verdana" w:hAnsi="Verdana"/>
          <w:sz w:val="20"/>
          <w:lang w:val="pt-BR"/>
        </w:rPr>
        <w:t xml:space="preserve">correspondem </w:t>
      </w:r>
      <w:r w:rsidRPr="002F50BD">
        <w:rPr>
          <w:rFonts w:ascii="Verdana" w:hAnsi="Verdana"/>
          <w:sz w:val="20"/>
          <w:lang w:val="pt-BR"/>
        </w:rPr>
        <w:t xml:space="preserve">a </w:t>
      </w:r>
      <w:r w:rsidR="0089298C" w:rsidRPr="002F50BD">
        <w:rPr>
          <w:rFonts w:ascii="Verdana" w:hAnsi="Verdana"/>
          <w:sz w:val="20"/>
          <w:lang w:val="pt-BR"/>
        </w:rPr>
        <w:t>gestões</w:t>
      </w:r>
      <w:r w:rsidRPr="002F50BD">
        <w:rPr>
          <w:rFonts w:ascii="Verdana" w:hAnsi="Verdana"/>
          <w:sz w:val="20"/>
          <w:lang w:val="pt-BR"/>
        </w:rPr>
        <w:t xml:space="preserve"> </w:t>
      </w:r>
      <w:r w:rsidR="0089298C" w:rsidRPr="002F50BD">
        <w:rPr>
          <w:rFonts w:ascii="Verdana" w:hAnsi="Verdana"/>
          <w:sz w:val="20"/>
          <w:lang w:val="pt-BR"/>
        </w:rPr>
        <w:t>judiciais</w:t>
      </w:r>
      <w:r w:rsidR="00AB454A" w:rsidRPr="002F50BD">
        <w:rPr>
          <w:rFonts w:ascii="Verdana" w:hAnsi="Verdana"/>
          <w:sz w:val="20"/>
          <w:lang w:val="pt-BR"/>
        </w:rPr>
        <w:t xml:space="preserve"> pr</w:t>
      </w:r>
      <w:r w:rsidR="00785C83" w:rsidRPr="002F50BD">
        <w:rPr>
          <w:rFonts w:ascii="Verdana" w:hAnsi="Verdana"/>
          <w:sz w:val="20"/>
          <w:lang w:val="pt-BR"/>
        </w:rPr>
        <w:t>o</w:t>
      </w:r>
      <w:r w:rsidR="00AB454A" w:rsidRPr="002F50BD">
        <w:rPr>
          <w:rFonts w:ascii="Verdana" w:hAnsi="Verdana"/>
          <w:sz w:val="20"/>
          <w:lang w:val="pt-BR"/>
        </w:rPr>
        <w:t>pria</w:t>
      </w:r>
      <w:r w:rsidRPr="002F50BD">
        <w:rPr>
          <w:rFonts w:ascii="Verdana" w:hAnsi="Verdana"/>
          <w:sz w:val="20"/>
          <w:lang w:val="pt-BR"/>
        </w:rPr>
        <w:t xml:space="preserve">mente </w:t>
      </w:r>
      <w:r w:rsidR="00785C83" w:rsidRPr="002F50BD">
        <w:rPr>
          <w:rFonts w:ascii="Verdana" w:hAnsi="Verdana"/>
          <w:sz w:val="20"/>
          <w:lang w:val="pt-BR"/>
        </w:rPr>
        <w:t>ditas</w:t>
      </w:r>
      <w:r w:rsidRPr="002F50BD">
        <w:rPr>
          <w:rFonts w:ascii="Verdana" w:hAnsi="Verdana"/>
          <w:sz w:val="20"/>
          <w:lang w:val="pt-BR"/>
        </w:rPr>
        <w:t xml:space="preserve">, </w:t>
      </w:r>
      <w:r w:rsidR="0089298C" w:rsidRPr="002F50BD">
        <w:rPr>
          <w:rFonts w:ascii="Verdana" w:hAnsi="Verdana"/>
          <w:sz w:val="20"/>
          <w:lang w:val="pt-BR"/>
        </w:rPr>
        <w:t>mas</w:t>
      </w:r>
      <w:r w:rsidRPr="002F50BD">
        <w:rPr>
          <w:rFonts w:ascii="Verdana" w:hAnsi="Verdana"/>
          <w:sz w:val="20"/>
          <w:lang w:val="pt-BR"/>
        </w:rPr>
        <w:t xml:space="preserve"> que </w:t>
      </w:r>
      <w:r w:rsidR="0089298C" w:rsidRPr="002F50BD">
        <w:rPr>
          <w:rFonts w:ascii="Verdana" w:hAnsi="Verdana"/>
          <w:sz w:val="20"/>
          <w:lang w:val="pt-BR"/>
        </w:rPr>
        <w:t>foram</w:t>
      </w:r>
      <w:r w:rsidRPr="002F50BD">
        <w:rPr>
          <w:rFonts w:ascii="Verdana" w:hAnsi="Verdana"/>
          <w:sz w:val="20"/>
          <w:lang w:val="pt-BR"/>
        </w:rPr>
        <w:t xml:space="preserve"> </w:t>
      </w:r>
      <w:r w:rsidR="0089298C" w:rsidRPr="002F50BD">
        <w:rPr>
          <w:rFonts w:ascii="Verdana" w:hAnsi="Verdana"/>
          <w:sz w:val="20"/>
          <w:lang w:val="pt-BR"/>
        </w:rPr>
        <w:t>necessári</w:t>
      </w:r>
      <w:r w:rsidRPr="002F50BD">
        <w:rPr>
          <w:rFonts w:ascii="Verdana" w:hAnsi="Verdana"/>
          <w:sz w:val="20"/>
          <w:lang w:val="pt-BR"/>
        </w:rPr>
        <w:t>as para exigir</w:t>
      </w:r>
      <w:r w:rsidR="0089298C" w:rsidRPr="002F50BD">
        <w:rPr>
          <w:rFonts w:ascii="Verdana" w:hAnsi="Verdana"/>
          <w:sz w:val="20"/>
          <w:lang w:val="pt-BR"/>
        </w:rPr>
        <w:t xml:space="preserve"> a satisfação</w:t>
      </w:r>
      <w:r w:rsidRPr="002F50BD">
        <w:rPr>
          <w:rFonts w:ascii="Verdana" w:hAnsi="Verdana"/>
          <w:sz w:val="20"/>
          <w:lang w:val="pt-BR"/>
        </w:rPr>
        <w:t xml:space="preserve"> de </w:t>
      </w:r>
      <w:r w:rsidR="0089298C" w:rsidRPr="002F50BD">
        <w:rPr>
          <w:rFonts w:ascii="Verdana" w:hAnsi="Verdana"/>
          <w:sz w:val="20"/>
          <w:lang w:val="pt-BR"/>
        </w:rPr>
        <w:t>justiça</w:t>
      </w:r>
      <w:r w:rsidRPr="002F50BD">
        <w:rPr>
          <w:rFonts w:ascii="Verdana" w:hAnsi="Verdana"/>
          <w:sz w:val="20"/>
          <w:lang w:val="pt-BR"/>
        </w:rPr>
        <w:t xml:space="preserve">. </w:t>
      </w:r>
    </w:p>
    <w:p w:rsidR="004756C1" w:rsidRPr="002F50BD" w:rsidRDefault="004756C1">
      <w:pPr>
        <w:ind w:firstLine="180"/>
        <w:jc w:val="both"/>
        <w:rPr>
          <w:rFonts w:ascii="Verdana" w:hAnsi="Verdana"/>
          <w:sz w:val="20"/>
          <w:lang w:val="pt-BR"/>
        </w:rPr>
      </w:pPr>
    </w:p>
    <w:p w:rsidR="004756C1" w:rsidRPr="002F50BD" w:rsidRDefault="0089298C">
      <w:pPr>
        <w:jc w:val="both"/>
        <w:rPr>
          <w:rFonts w:ascii="Verdana" w:hAnsi="Verdana"/>
          <w:i/>
          <w:sz w:val="20"/>
        </w:rPr>
      </w:pPr>
      <w:r w:rsidRPr="002F50BD">
        <w:rPr>
          <w:rFonts w:ascii="Verdana" w:hAnsi="Verdana"/>
          <w:i/>
          <w:sz w:val="20"/>
        </w:rPr>
        <w:t>Alegações</w:t>
      </w:r>
      <w:r w:rsidR="004756C1" w:rsidRPr="002F50BD">
        <w:rPr>
          <w:rFonts w:ascii="Verdana" w:hAnsi="Verdana"/>
          <w:i/>
          <w:sz w:val="20"/>
        </w:rPr>
        <w:t xml:space="preserve"> </w:t>
      </w:r>
      <w:r w:rsidRPr="002F50BD">
        <w:rPr>
          <w:rFonts w:ascii="Verdana" w:hAnsi="Verdana"/>
          <w:i/>
          <w:sz w:val="20"/>
        </w:rPr>
        <w:t xml:space="preserve">do </w:t>
      </w:r>
      <w:r w:rsidR="004756C1" w:rsidRPr="002F50BD">
        <w:rPr>
          <w:rFonts w:ascii="Verdana" w:hAnsi="Verdana"/>
          <w:i/>
          <w:sz w:val="20"/>
        </w:rPr>
        <w:t>Estado</w:t>
      </w:r>
    </w:p>
    <w:p w:rsidR="00DC0F25" w:rsidRPr="002F50BD" w:rsidRDefault="00DC0F25" w:rsidP="00DC0F25">
      <w:pPr>
        <w:jc w:val="both"/>
        <w:rPr>
          <w:rFonts w:ascii="Verdana" w:hAnsi="Verdana"/>
          <w:sz w:val="20"/>
          <w:u w:val="single"/>
          <w:lang w:val="pt-BR"/>
        </w:rPr>
      </w:pPr>
    </w:p>
    <w:p w:rsidR="004756C1" w:rsidRPr="002F50BD" w:rsidRDefault="0089298C">
      <w:pPr>
        <w:numPr>
          <w:ilvl w:val="0"/>
          <w:numId w:val="31"/>
        </w:numPr>
        <w:jc w:val="both"/>
        <w:rPr>
          <w:rFonts w:ascii="Verdana" w:hAnsi="Verdana"/>
          <w:sz w:val="20"/>
          <w:u w:val="single"/>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argumentou</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d</w:t>
      </w:r>
      <w:r w:rsidRPr="002F50BD">
        <w:rPr>
          <w:rFonts w:ascii="Verdana" w:hAnsi="Verdana"/>
          <w:sz w:val="20"/>
          <w:lang w:val="pt-BR"/>
        </w:rPr>
        <w:t>anos e prejuízo</w:t>
      </w:r>
      <w:r w:rsidR="004756C1" w:rsidRPr="002F50BD">
        <w:rPr>
          <w:rFonts w:ascii="Verdana" w:hAnsi="Verdana"/>
          <w:sz w:val="20"/>
          <w:lang w:val="pt-BR"/>
        </w:rPr>
        <w:t xml:space="preserve">s que </w:t>
      </w:r>
      <w:r w:rsidR="00785C83" w:rsidRPr="002F50BD">
        <w:rPr>
          <w:rFonts w:ascii="Verdana" w:hAnsi="Verdana"/>
          <w:sz w:val="20"/>
          <w:lang w:val="pt-BR"/>
        </w:rPr>
        <w:t xml:space="preserve">poderiam </w:t>
      </w:r>
      <w:r w:rsidRPr="002F50BD">
        <w:rPr>
          <w:rFonts w:ascii="Verdana" w:hAnsi="Verdana"/>
          <w:sz w:val="20"/>
          <w:lang w:val="pt-BR"/>
        </w:rPr>
        <w:t>ter</w:t>
      </w:r>
      <w:r w:rsidR="004756C1" w:rsidRPr="002F50BD">
        <w:rPr>
          <w:rFonts w:ascii="Verdana" w:hAnsi="Verdana"/>
          <w:sz w:val="20"/>
          <w:lang w:val="pt-BR"/>
        </w:rPr>
        <w:t xml:space="preserve"> sido ocasionados</w:t>
      </w:r>
      <w:r w:rsidRPr="002F50BD">
        <w:rPr>
          <w:rFonts w:ascii="Verdana" w:hAnsi="Verdana"/>
          <w:sz w:val="20"/>
          <w:lang w:val="pt-BR"/>
        </w:rPr>
        <w:t xml:space="preserve"> no </w:t>
      </w:r>
      <w:r w:rsidR="004756C1" w:rsidRPr="002F50BD">
        <w:rPr>
          <w:rFonts w:ascii="Verdana" w:hAnsi="Verdana"/>
          <w:sz w:val="20"/>
          <w:lang w:val="pt-BR"/>
        </w:rPr>
        <w:t>presente caso</w:t>
      </w:r>
      <w:r w:rsidR="006C4819" w:rsidRPr="002F50BD">
        <w:rPr>
          <w:rFonts w:ascii="Verdana" w:hAnsi="Verdana"/>
          <w:sz w:val="20"/>
          <w:lang w:val="pt-BR"/>
        </w:rPr>
        <w:t xml:space="preserve"> não foram </w:t>
      </w:r>
      <w:r w:rsidR="004756C1" w:rsidRPr="002F50BD">
        <w:rPr>
          <w:rFonts w:ascii="Verdana" w:hAnsi="Verdana"/>
          <w:sz w:val="20"/>
          <w:lang w:val="pt-BR"/>
        </w:rPr>
        <w:t>reclamados</w:t>
      </w:r>
      <w:r w:rsidRPr="002F50BD">
        <w:rPr>
          <w:rFonts w:ascii="Verdana" w:hAnsi="Verdana"/>
          <w:sz w:val="20"/>
          <w:lang w:val="pt-BR"/>
        </w:rPr>
        <w:t xml:space="preserve"> perante a justiça</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w:t>
      </w:r>
      <w:r w:rsidRPr="002F50BD">
        <w:rPr>
          <w:rFonts w:ascii="Verdana" w:hAnsi="Verdana"/>
          <w:sz w:val="20"/>
          <w:lang w:val="pt-BR"/>
        </w:rPr>
        <w:t xml:space="preserve"> e se opôs à admissão </w:t>
      </w:r>
      <w:r w:rsidR="004756C1" w:rsidRPr="002F50BD">
        <w:rPr>
          <w:rFonts w:ascii="Verdana" w:hAnsi="Verdana"/>
          <w:sz w:val="20"/>
          <w:lang w:val="pt-BR"/>
        </w:rPr>
        <w:t>de gastos su</w:t>
      </w:r>
      <w:r w:rsidRPr="002F50BD">
        <w:rPr>
          <w:rFonts w:ascii="Verdana" w:hAnsi="Verdana"/>
          <w:sz w:val="20"/>
          <w:lang w:val="pt-BR"/>
        </w:rPr>
        <w:t>posta</w:t>
      </w:r>
      <w:r w:rsidR="004756C1" w:rsidRPr="002F50BD">
        <w:rPr>
          <w:rFonts w:ascii="Verdana" w:hAnsi="Verdana"/>
          <w:sz w:val="20"/>
          <w:lang w:val="pt-BR"/>
        </w:rPr>
        <w:t xml:space="preserve">mente </w:t>
      </w:r>
      <w:r w:rsidRPr="002F50BD">
        <w:rPr>
          <w:rFonts w:ascii="Verdana" w:hAnsi="Verdana"/>
          <w:sz w:val="20"/>
          <w:lang w:val="pt-BR"/>
        </w:rPr>
        <w:t>efetuad</w:t>
      </w:r>
      <w:r w:rsidR="004756C1" w:rsidRPr="002F50BD">
        <w:rPr>
          <w:rFonts w:ascii="Verdana" w:hAnsi="Verdana"/>
          <w:sz w:val="20"/>
          <w:lang w:val="pt-BR"/>
        </w:rPr>
        <w:t>os</w:t>
      </w:r>
      <w:r w:rsidRPr="002F50BD">
        <w:rPr>
          <w:rFonts w:ascii="Verdana" w:hAnsi="Verdana"/>
          <w:sz w:val="20"/>
          <w:lang w:val="pt-BR"/>
        </w:rPr>
        <w:t xml:space="preserve"> em benefício da Comunidade </w:t>
      </w:r>
      <w:r w:rsidR="004756C1" w:rsidRPr="002F50BD">
        <w:rPr>
          <w:rFonts w:ascii="Verdana" w:hAnsi="Verdana"/>
          <w:sz w:val="20"/>
          <w:lang w:val="pt-BR"/>
        </w:rPr>
        <w:t>Yakye Axa</w:t>
      </w:r>
      <w:r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Pr="002F50BD">
        <w:rPr>
          <w:rFonts w:ascii="Verdana" w:hAnsi="Verdana"/>
          <w:sz w:val="20"/>
          <w:lang w:val="pt-BR"/>
        </w:rPr>
        <w:t xml:space="preserve"> as </w:t>
      </w:r>
      <w:r w:rsidR="004756C1" w:rsidRPr="002F50BD">
        <w:rPr>
          <w:rFonts w:ascii="Verdana" w:hAnsi="Verdana"/>
          <w:sz w:val="20"/>
          <w:lang w:val="pt-BR"/>
        </w:rPr>
        <w:t>faturas</w:t>
      </w:r>
      <w:r w:rsidRPr="002F50BD">
        <w:rPr>
          <w:rFonts w:ascii="Verdana" w:hAnsi="Verdana"/>
          <w:sz w:val="20"/>
          <w:lang w:val="pt-BR"/>
        </w:rPr>
        <w:t xml:space="preserve"> ou outros</w:t>
      </w:r>
      <w:r w:rsidR="004756C1" w:rsidRPr="002F50BD">
        <w:rPr>
          <w:rFonts w:ascii="Verdana" w:hAnsi="Verdana"/>
          <w:sz w:val="20"/>
          <w:lang w:val="pt-BR"/>
        </w:rPr>
        <w:t xml:space="preserve"> instrumentos de </w:t>
      </w:r>
      <w:r w:rsidRPr="002F50BD">
        <w:rPr>
          <w:rFonts w:ascii="Verdana" w:hAnsi="Verdana"/>
          <w:sz w:val="20"/>
          <w:lang w:val="pt-BR"/>
        </w:rPr>
        <w:t>comprovação dos mesm</w:t>
      </w:r>
      <w:r w:rsidR="004756C1" w:rsidRPr="002F50BD">
        <w:rPr>
          <w:rFonts w:ascii="Verdana" w:hAnsi="Verdana"/>
          <w:sz w:val="20"/>
          <w:lang w:val="pt-BR"/>
        </w:rPr>
        <w:t>os n</w:t>
      </w:r>
      <w:r w:rsidR="00785C83" w:rsidRPr="002F50BD">
        <w:rPr>
          <w:rFonts w:ascii="Verdana" w:hAnsi="Verdana"/>
          <w:sz w:val="20"/>
          <w:lang w:val="pt-BR"/>
        </w:rPr>
        <w:t>ão</w:t>
      </w:r>
      <w:r w:rsidR="004756C1" w:rsidRPr="002F50BD">
        <w:rPr>
          <w:rFonts w:ascii="Verdana" w:hAnsi="Verdana"/>
          <w:sz w:val="20"/>
          <w:lang w:val="pt-BR"/>
        </w:rPr>
        <w:t xml:space="preserve"> </w:t>
      </w:r>
      <w:r w:rsidRPr="002F50BD">
        <w:rPr>
          <w:rFonts w:ascii="Verdana" w:hAnsi="Verdana"/>
          <w:sz w:val="20"/>
          <w:lang w:val="pt-BR"/>
        </w:rPr>
        <w:t>foram</w:t>
      </w:r>
      <w:r w:rsidR="00754117" w:rsidRPr="002F50BD">
        <w:rPr>
          <w:rFonts w:ascii="Verdana" w:hAnsi="Verdana"/>
          <w:sz w:val="20"/>
          <w:lang w:val="pt-BR"/>
        </w:rPr>
        <w:t xml:space="preserve"> reme</w:t>
      </w:r>
      <w:r w:rsidR="004756C1" w:rsidRPr="002F50BD">
        <w:rPr>
          <w:rFonts w:ascii="Verdana" w:hAnsi="Verdana"/>
          <w:sz w:val="20"/>
          <w:lang w:val="pt-BR"/>
        </w:rPr>
        <w:t>tidos</w:t>
      </w:r>
      <w:r w:rsidRPr="002F50BD">
        <w:rPr>
          <w:rFonts w:ascii="Verdana" w:hAnsi="Verdana"/>
          <w:sz w:val="20"/>
          <w:lang w:val="pt-BR"/>
        </w:rPr>
        <w:t xml:space="preserve"> </w:t>
      </w:r>
      <w:r w:rsidR="00CE4FA3" w:rsidRPr="002F50BD">
        <w:rPr>
          <w:rFonts w:ascii="Verdana" w:hAnsi="Verdana"/>
          <w:sz w:val="20"/>
          <w:lang w:val="pt-BR"/>
        </w:rPr>
        <w:t>anteriormente</w:t>
      </w:r>
      <w:r w:rsidR="00785C83" w:rsidRPr="002F50BD">
        <w:rPr>
          <w:rFonts w:ascii="Verdana" w:hAnsi="Verdana"/>
          <w:sz w:val="20"/>
          <w:lang w:val="pt-BR"/>
        </w:rPr>
        <w:t xml:space="preserve"> </w:t>
      </w:r>
      <w:r w:rsidRPr="002F50BD">
        <w:rPr>
          <w:rFonts w:ascii="Verdana" w:hAnsi="Verdana"/>
          <w:sz w:val="20"/>
          <w:lang w:val="pt-BR"/>
        </w:rPr>
        <w:t xml:space="preserve">ao </w:t>
      </w:r>
      <w:r w:rsidR="004756C1" w:rsidRPr="002F50BD">
        <w:rPr>
          <w:rFonts w:ascii="Verdana" w:hAnsi="Verdana"/>
          <w:sz w:val="20"/>
          <w:lang w:val="pt-BR"/>
        </w:rPr>
        <w:t>Estado,</w:t>
      </w:r>
      <w:r w:rsidRPr="002F50BD">
        <w:rPr>
          <w:rFonts w:ascii="Verdana" w:hAnsi="Verdana"/>
          <w:sz w:val="20"/>
          <w:lang w:val="pt-BR"/>
        </w:rPr>
        <w:t xml:space="preserve"> </w:t>
      </w:r>
      <w:r w:rsidR="00785C83" w:rsidRPr="002F50BD">
        <w:rPr>
          <w:rFonts w:ascii="Verdana" w:hAnsi="Verdana"/>
          <w:sz w:val="20"/>
          <w:lang w:val="pt-BR"/>
        </w:rPr>
        <w:t xml:space="preserve">de modo que não </w:t>
      </w:r>
      <w:r w:rsidR="006C4819" w:rsidRPr="002F50BD">
        <w:rPr>
          <w:rFonts w:ascii="Verdana" w:hAnsi="Verdana"/>
          <w:sz w:val="20"/>
          <w:lang w:val="pt-BR"/>
        </w:rPr>
        <w:t>teve</w:t>
      </w:r>
      <w:r w:rsidR="004756C1" w:rsidRPr="002F50BD">
        <w:rPr>
          <w:rFonts w:ascii="Verdana" w:hAnsi="Verdana"/>
          <w:sz w:val="20"/>
          <w:lang w:val="pt-BR"/>
        </w:rPr>
        <w:t xml:space="preserve"> </w:t>
      </w:r>
      <w:r w:rsidRPr="002F50BD">
        <w:rPr>
          <w:rFonts w:ascii="Verdana" w:hAnsi="Verdana"/>
          <w:sz w:val="20"/>
          <w:lang w:val="pt-BR"/>
        </w:rPr>
        <w:t>conhecimento nem controle dos mesm</w:t>
      </w:r>
      <w:r w:rsidR="004756C1" w:rsidRPr="002F50BD">
        <w:rPr>
          <w:rFonts w:ascii="Verdana" w:hAnsi="Verdana"/>
          <w:sz w:val="20"/>
          <w:lang w:val="pt-BR"/>
        </w:rPr>
        <w:t>os</w:t>
      </w:r>
      <w:r w:rsidRPr="002F50BD">
        <w:rPr>
          <w:rFonts w:ascii="Verdana" w:hAnsi="Verdana"/>
          <w:sz w:val="20"/>
          <w:lang w:val="pt-BR"/>
        </w:rPr>
        <w:t xml:space="preserve"> e muito</w:t>
      </w:r>
      <w:r w:rsidR="004756C1" w:rsidRPr="002F50BD">
        <w:rPr>
          <w:rFonts w:ascii="Verdana" w:hAnsi="Verdana"/>
          <w:sz w:val="20"/>
          <w:lang w:val="pt-BR"/>
        </w:rPr>
        <w:t xml:space="preserve"> menos</w:t>
      </w:r>
      <w:r w:rsidRPr="002F50BD">
        <w:rPr>
          <w:rFonts w:ascii="Verdana" w:hAnsi="Verdana"/>
          <w:sz w:val="20"/>
          <w:lang w:val="pt-BR"/>
        </w:rPr>
        <w:t xml:space="preserve"> os </w:t>
      </w:r>
      <w:r w:rsidR="004756C1" w:rsidRPr="002F50BD">
        <w:rPr>
          <w:rFonts w:ascii="Verdana" w:hAnsi="Verdana"/>
          <w:sz w:val="20"/>
          <w:lang w:val="pt-BR"/>
        </w:rPr>
        <w:t>autoriz</w:t>
      </w:r>
      <w:r w:rsidR="00785C83" w:rsidRPr="002F50BD">
        <w:rPr>
          <w:rFonts w:ascii="Verdana" w:hAnsi="Verdana"/>
          <w:sz w:val="20"/>
          <w:lang w:val="pt-BR"/>
        </w:rPr>
        <w:t>ou</w:t>
      </w:r>
      <w:r w:rsidR="004756C1" w:rsidRPr="002F50BD">
        <w:rPr>
          <w:rFonts w:ascii="Verdana" w:hAnsi="Verdana"/>
          <w:sz w:val="20"/>
          <w:lang w:val="pt-BR"/>
        </w:rPr>
        <w:t>.</w:t>
      </w:r>
    </w:p>
    <w:p w:rsidR="004756C1" w:rsidRPr="002F50BD" w:rsidRDefault="004756C1">
      <w:pPr>
        <w:jc w:val="both"/>
        <w:rPr>
          <w:rFonts w:ascii="Verdana" w:hAnsi="Verdana"/>
          <w:lang w:val="pt-BR"/>
        </w:rPr>
      </w:pPr>
    </w:p>
    <w:p w:rsidR="004756C1" w:rsidRPr="002F50BD" w:rsidRDefault="004756C1">
      <w:pPr>
        <w:jc w:val="both"/>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DC0F25" w:rsidRPr="002F50BD" w:rsidRDefault="00DC0F25" w:rsidP="00DC0F25">
      <w:pPr>
        <w:pStyle w:val="BodyTextIndent3"/>
        <w:ind w:left="0"/>
        <w:rPr>
          <w:rFonts w:ascii="Verdana" w:hAnsi="Verdana"/>
          <w:sz w:val="20"/>
          <w:lang w:val="pt-BR"/>
        </w:rPr>
      </w:pPr>
    </w:p>
    <w:p w:rsidR="004756C1" w:rsidRPr="002F50BD" w:rsidRDefault="0089298C">
      <w:pPr>
        <w:pStyle w:val="BodyTextIndent3"/>
        <w:numPr>
          <w:ilvl w:val="0"/>
          <w:numId w:val="31"/>
        </w:numPr>
        <w:rPr>
          <w:rFonts w:ascii="Verdana" w:hAnsi="Verdana"/>
          <w:sz w:val="20"/>
          <w:lang w:val="pt-BR"/>
        </w:rPr>
      </w:pPr>
      <w:r w:rsidRPr="002F50BD">
        <w:rPr>
          <w:rFonts w:ascii="Verdana" w:hAnsi="Verdana"/>
          <w:sz w:val="20"/>
          <w:lang w:val="pt-BR"/>
        </w:rPr>
        <w:t>O dano</w:t>
      </w:r>
      <w:r w:rsidR="004756C1" w:rsidRPr="002F50BD">
        <w:rPr>
          <w:rFonts w:ascii="Verdana" w:hAnsi="Verdana"/>
          <w:sz w:val="20"/>
          <w:lang w:val="pt-BR"/>
        </w:rPr>
        <w:t xml:space="preserve"> material </w:t>
      </w:r>
      <w:r w:rsidRPr="002F50BD">
        <w:rPr>
          <w:rFonts w:ascii="Verdana" w:hAnsi="Verdana"/>
          <w:sz w:val="20"/>
          <w:lang w:val="pt-BR"/>
        </w:rPr>
        <w:t>supõe</w:t>
      </w:r>
      <w:r w:rsidR="00785C83" w:rsidRPr="002F50BD">
        <w:rPr>
          <w:rFonts w:ascii="Verdana" w:hAnsi="Verdana"/>
          <w:sz w:val="20"/>
          <w:lang w:val="pt-BR"/>
        </w:rPr>
        <w:t xml:space="preserve"> </w:t>
      </w:r>
      <w:r w:rsidRPr="002F50BD">
        <w:rPr>
          <w:rFonts w:ascii="Verdana" w:hAnsi="Verdana"/>
          <w:sz w:val="20"/>
          <w:lang w:val="pt-BR"/>
        </w:rPr>
        <w:t>a perda</w:t>
      </w:r>
      <w:r w:rsidR="004756C1" w:rsidRPr="002F50BD">
        <w:rPr>
          <w:rFonts w:ascii="Verdana" w:hAnsi="Verdana"/>
          <w:sz w:val="20"/>
          <w:lang w:val="pt-BR"/>
        </w:rPr>
        <w:t xml:space="preserve"> o</w:t>
      </w:r>
      <w:r w:rsidR="00785C83" w:rsidRPr="002F50BD">
        <w:rPr>
          <w:rFonts w:ascii="Verdana" w:hAnsi="Verdana"/>
          <w:sz w:val="20"/>
          <w:lang w:val="pt-BR"/>
        </w:rPr>
        <w:t>u</w:t>
      </w:r>
      <w:r w:rsidR="004756C1" w:rsidRPr="002F50BD">
        <w:rPr>
          <w:rFonts w:ascii="Verdana" w:hAnsi="Verdana"/>
          <w:sz w:val="20"/>
          <w:lang w:val="pt-BR"/>
        </w:rPr>
        <w:t xml:space="preserve"> </w:t>
      </w:r>
      <w:r w:rsidR="00F82B7B">
        <w:rPr>
          <w:rFonts w:ascii="Verdana" w:hAnsi="Verdana"/>
          <w:sz w:val="20"/>
          <w:lang w:val="pt-BR"/>
        </w:rPr>
        <w:t>redução da renda</w:t>
      </w:r>
      <w:r w:rsidRPr="002F50BD">
        <w:rPr>
          <w:rFonts w:ascii="Verdana" w:hAnsi="Verdana"/>
          <w:sz w:val="20"/>
          <w:lang w:val="pt-BR"/>
        </w:rPr>
        <w:t xml:space="preserve"> das vítima</w:t>
      </w:r>
      <w:r w:rsidR="004756C1" w:rsidRPr="002F50BD">
        <w:rPr>
          <w:rFonts w:ascii="Verdana" w:hAnsi="Verdana"/>
          <w:sz w:val="20"/>
          <w:lang w:val="pt-BR"/>
        </w:rPr>
        <w:t>s,</w:t>
      </w:r>
      <w:r w:rsidRPr="002F50BD">
        <w:rPr>
          <w:rFonts w:ascii="Verdana" w:hAnsi="Verdana"/>
          <w:sz w:val="20"/>
          <w:lang w:val="pt-BR"/>
        </w:rPr>
        <w:t xml:space="preserve"> os </w:t>
      </w:r>
      <w:r w:rsidR="004756C1" w:rsidRPr="002F50BD">
        <w:rPr>
          <w:rFonts w:ascii="Verdana" w:hAnsi="Verdana"/>
          <w:sz w:val="20"/>
          <w:lang w:val="pt-BR"/>
        </w:rPr>
        <w:t xml:space="preserve">gastos </w:t>
      </w:r>
      <w:r w:rsidRPr="002F50BD">
        <w:rPr>
          <w:rFonts w:ascii="Verdana" w:hAnsi="Verdana"/>
          <w:sz w:val="20"/>
          <w:lang w:val="pt-BR"/>
        </w:rPr>
        <w:t>efetuad</w:t>
      </w:r>
      <w:r w:rsidR="004756C1" w:rsidRPr="002F50BD">
        <w:rPr>
          <w:rFonts w:ascii="Verdana" w:hAnsi="Verdana"/>
          <w:sz w:val="20"/>
          <w:lang w:val="pt-BR"/>
        </w:rPr>
        <w:t>os</w:t>
      </w:r>
      <w:r w:rsidRPr="002F50BD">
        <w:rPr>
          <w:rFonts w:ascii="Verdana" w:hAnsi="Verdana"/>
          <w:sz w:val="20"/>
          <w:lang w:val="pt-BR"/>
        </w:rPr>
        <w:t xml:space="preserve"> </w:t>
      </w:r>
      <w:r w:rsidR="00F82B7B">
        <w:rPr>
          <w:rFonts w:ascii="Verdana" w:hAnsi="Verdana"/>
          <w:sz w:val="20"/>
          <w:lang w:val="pt-BR"/>
        </w:rPr>
        <w:t xml:space="preserve">decorrentes </w:t>
      </w:r>
      <w:r w:rsidRPr="002F50BD">
        <w:rPr>
          <w:rFonts w:ascii="Verdana" w:hAnsi="Verdana"/>
          <w:sz w:val="20"/>
          <w:lang w:val="pt-BR"/>
        </w:rPr>
        <w:t>dos fatos e as consequência</w:t>
      </w:r>
      <w:r w:rsidR="004756C1" w:rsidRPr="002F50BD">
        <w:rPr>
          <w:rFonts w:ascii="Verdana" w:hAnsi="Verdana"/>
          <w:sz w:val="20"/>
          <w:lang w:val="pt-BR"/>
        </w:rPr>
        <w:t xml:space="preserve">s de </w:t>
      </w:r>
      <w:r w:rsidRPr="002F50BD">
        <w:rPr>
          <w:rFonts w:ascii="Verdana" w:hAnsi="Verdana"/>
          <w:sz w:val="20"/>
          <w:lang w:val="pt-BR"/>
        </w:rPr>
        <w:t>caráter</w:t>
      </w:r>
      <w:r w:rsidR="004756C1" w:rsidRPr="002F50BD">
        <w:rPr>
          <w:rFonts w:ascii="Verdana" w:hAnsi="Verdana"/>
          <w:sz w:val="20"/>
          <w:lang w:val="pt-BR"/>
        </w:rPr>
        <w:t xml:space="preserve"> </w:t>
      </w:r>
      <w:r w:rsidRPr="002F50BD">
        <w:rPr>
          <w:rFonts w:ascii="Verdana" w:hAnsi="Verdana"/>
          <w:sz w:val="20"/>
          <w:lang w:val="pt-BR"/>
        </w:rPr>
        <w:t>pecuniário</w:t>
      </w:r>
      <w:r w:rsidR="004756C1" w:rsidRPr="002F50BD">
        <w:rPr>
          <w:rFonts w:ascii="Verdana" w:hAnsi="Verdana"/>
          <w:sz w:val="20"/>
          <w:lang w:val="pt-BR"/>
        </w:rPr>
        <w:t xml:space="preserve"> que </w:t>
      </w:r>
      <w:r w:rsidRPr="002F50BD">
        <w:rPr>
          <w:rFonts w:ascii="Verdana" w:hAnsi="Verdana"/>
          <w:sz w:val="20"/>
          <w:lang w:val="pt-BR"/>
        </w:rPr>
        <w:t xml:space="preserve">tenham um </w:t>
      </w:r>
      <w:r w:rsidR="004756C1" w:rsidRPr="002F50BD">
        <w:rPr>
          <w:rFonts w:ascii="Verdana" w:hAnsi="Verdana"/>
          <w:sz w:val="20"/>
          <w:lang w:val="pt-BR"/>
        </w:rPr>
        <w:t>nexo causal</w:t>
      </w:r>
      <w:r w:rsidRPr="002F50BD">
        <w:rPr>
          <w:rFonts w:ascii="Verdana" w:hAnsi="Verdana"/>
          <w:sz w:val="20"/>
          <w:lang w:val="pt-BR"/>
        </w:rPr>
        <w:t xml:space="preserve"> com os fatos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caso </w:t>
      </w:r>
      <w:r w:rsidR="004756C1" w:rsidRPr="002F50BD">
        <w:rPr>
          <w:rFonts w:ascii="Verdana" w:hAnsi="Verdana"/>
          <w:i/>
          <w:sz w:val="20"/>
          <w:lang w:val="pt-BR"/>
        </w:rPr>
        <w:t>sub judice</w:t>
      </w:r>
      <w:r w:rsidR="00785C83" w:rsidRPr="002F50BD">
        <w:rPr>
          <w:rFonts w:ascii="Verdana" w:hAnsi="Verdana"/>
          <w:i/>
          <w:sz w:val="20"/>
          <w:lang w:val="pt-BR"/>
        </w:rPr>
        <w:t>,</w:t>
      </w:r>
      <w:r w:rsidR="004756C1" w:rsidRPr="002F50BD">
        <w:rPr>
          <w:rStyle w:val="FootnoteReference"/>
          <w:rFonts w:ascii="Verdana" w:hAnsi="Verdana"/>
          <w:lang w:val="es-ES_tradnl"/>
        </w:rPr>
        <w:footnoteReference w:id="215"/>
      </w:r>
      <w:r w:rsidR="004756C1" w:rsidRPr="002F50BD">
        <w:rPr>
          <w:rFonts w:ascii="Verdana" w:hAnsi="Verdana"/>
          <w:sz w:val="20"/>
          <w:lang w:val="pt-BR"/>
        </w:rPr>
        <w:t xml:space="preserve"> para o </w:t>
      </w:r>
      <w:r w:rsidRPr="002F50BD">
        <w:rPr>
          <w:rFonts w:ascii="Verdana" w:hAnsi="Verdana"/>
          <w:sz w:val="20"/>
          <w:lang w:val="pt-BR"/>
        </w:rPr>
        <w:t>qu</w:t>
      </w:r>
      <w:r w:rsidR="00785C83" w:rsidRPr="002F50BD">
        <w:rPr>
          <w:rFonts w:ascii="Verdana" w:hAnsi="Verdana"/>
          <w:sz w:val="20"/>
          <w:lang w:val="pt-BR"/>
        </w:rPr>
        <w:t>al</w:t>
      </w:r>
      <w:r w:rsidRPr="002F50BD">
        <w:rPr>
          <w:rFonts w:ascii="Verdana" w:hAnsi="Verdana"/>
          <w:sz w:val="20"/>
          <w:lang w:val="pt-BR"/>
        </w:rPr>
        <w:t xml:space="preserve">, a </w:t>
      </w:r>
      <w:r w:rsidR="004756C1" w:rsidRPr="002F50BD">
        <w:rPr>
          <w:rFonts w:ascii="Verdana" w:hAnsi="Verdana"/>
          <w:sz w:val="20"/>
          <w:lang w:val="pt-BR"/>
        </w:rPr>
        <w:t xml:space="preserve">Corte, </w:t>
      </w:r>
      <w:r w:rsidRPr="002F50BD">
        <w:rPr>
          <w:rFonts w:ascii="Verdana" w:hAnsi="Verdana"/>
          <w:sz w:val="20"/>
          <w:lang w:val="pt-BR"/>
        </w:rPr>
        <w:t>quando</w:t>
      </w:r>
      <w:r w:rsidR="00785C83" w:rsidRPr="002F50BD">
        <w:rPr>
          <w:rFonts w:ascii="Verdana" w:hAnsi="Verdana"/>
          <w:sz w:val="20"/>
          <w:lang w:val="pt-BR"/>
        </w:rPr>
        <w:t xml:space="preserve"> correspond</w:t>
      </w:r>
      <w:r w:rsidR="003B5645" w:rsidRPr="002F50BD">
        <w:rPr>
          <w:rFonts w:ascii="Verdana" w:hAnsi="Verdana"/>
          <w:sz w:val="20"/>
          <w:lang w:val="pt-BR"/>
        </w:rPr>
        <w:t>er</w:t>
      </w:r>
      <w:r w:rsidR="004756C1" w:rsidRPr="002F50BD">
        <w:rPr>
          <w:rFonts w:ascii="Verdana" w:hAnsi="Verdana"/>
          <w:sz w:val="20"/>
          <w:lang w:val="pt-BR"/>
        </w:rPr>
        <w:t>, fi</w:t>
      </w:r>
      <w:r w:rsidR="00785C83" w:rsidRPr="002F50BD">
        <w:rPr>
          <w:rFonts w:ascii="Verdana" w:hAnsi="Verdana"/>
          <w:sz w:val="20"/>
          <w:lang w:val="pt-BR"/>
        </w:rPr>
        <w:t>x</w:t>
      </w:r>
      <w:r w:rsidR="004756C1" w:rsidRPr="002F50BD">
        <w:rPr>
          <w:rFonts w:ascii="Verdana" w:hAnsi="Verdana"/>
          <w:sz w:val="20"/>
          <w:lang w:val="pt-BR"/>
        </w:rPr>
        <w:t>a</w:t>
      </w:r>
      <w:r w:rsidR="003B5645" w:rsidRPr="002F50BD">
        <w:rPr>
          <w:rFonts w:ascii="Verdana" w:hAnsi="Verdana"/>
          <w:sz w:val="20"/>
          <w:lang w:val="pt-BR"/>
        </w:rPr>
        <w:t>rá</w:t>
      </w:r>
      <w:r w:rsidRPr="002F50BD">
        <w:rPr>
          <w:rFonts w:ascii="Verdana" w:hAnsi="Verdana"/>
          <w:sz w:val="20"/>
          <w:lang w:val="pt-BR"/>
        </w:rPr>
        <w:t xml:space="preserve"> um montante </w:t>
      </w:r>
      <w:r w:rsidR="00DC0F25" w:rsidRPr="002F50BD">
        <w:rPr>
          <w:rFonts w:ascii="Verdana" w:hAnsi="Verdana"/>
          <w:sz w:val="20"/>
          <w:lang w:val="pt-BR"/>
        </w:rPr>
        <w:t>indenizatóri</w:t>
      </w:r>
      <w:r w:rsidR="004756C1" w:rsidRPr="002F50BD">
        <w:rPr>
          <w:rFonts w:ascii="Verdana" w:hAnsi="Verdana"/>
          <w:sz w:val="20"/>
          <w:lang w:val="pt-BR"/>
        </w:rPr>
        <w:t>o que bus</w:t>
      </w:r>
      <w:r w:rsidR="003B5645" w:rsidRPr="002F50BD">
        <w:rPr>
          <w:rFonts w:ascii="Verdana" w:hAnsi="Verdana"/>
          <w:sz w:val="20"/>
          <w:lang w:val="pt-BR"/>
        </w:rPr>
        <w:t>que</w:t>
      </w:r>
      <w:r w:rsidR="004756C1" w:rsidRPr="002F50BD">
        <w:rPr>
          <w:rFonts w:ascii="Verdana" w:hAnsi="Verdana"/>
          <w:sz w:val="20"/>
          <w:lang w:val="pt-BR"/>
        </w:rPr>
        <w:t xml:space="preserve"> compensar</w:t>
      </w:r>
      <w:r w:rsidRPr="002F50BD">
        <w:rPr>
          <w:rFonts w:ascii="Verdana" w:hAnsi="Verdana"/>
          <w:sz w:val="20"/>
          <w:lang w:val="pt-BR"/>
        </w:rPr>
        <w:t xml:space="preserve"> as consequência</w:t>
      </w:r>
      <w:r w:rsidR="004756C1" w:rsidRPr="002F50BD">
        <w:rPr>
          <w:rFonts w:ascii="Verdana" w:hAnsi="Verdana"/>
          <w:sz w:val="20"/>
          <w:lang w:val="pt-BR"/>
        </w:rPr>
        <w:t>s patrimonia</w:t>
      </w:r>
      <w:r w:rsidR="00785C83" w:rsidRPr="002F50BD">
        <w:rPr>
          <w:rFonts w:ascii="Verdana" w:hAnsi="Verdana"/>
          <w:sz w:val="20"/>
          <w:lang w:val="pt-BR"/>
        </w:rPr>
        <w:t>i</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viola</w:t>
      </w:r>
      <w:r w:rsidRPr="002F50BD">
        <w:rPr>
          <w:rFonts w:ascii="Verdana" w:hAnsi="Verdana"/>
          <w:sz w:val="20"/>
          <w:lang w:val="pt-BR"/>
        </w:rPr>
        <w:t>ções</w:t>
      </w:r>
      <w:r w:rsidR="004756C1" w:rsidRPr="002F50BD">
        <w:rPr>
          <w:rFonts w:ascii="Verdana" w:hAnsi="Verdana"/>
          <w:sz w:val="20"/>
          <w:lang w:val="pt-BR"/>
        </w:rPr>
        <w:t xml:space="preserve"> que </w:t>
      </w:r>
      <w:r w:rsidRPr="002F50BD">
        <w:rPr>
          <w:rFonts w:ascii="Verdana" w:hAnsi="Verdana"/>
          <w:sz w:val="20"/>
          <w:lang w:val="pt-BR"/>
        </w:rPr>
        <w:t>foram</w:t>
      </w:r>
      <w:r w:rsidR="004756C1" w:rsidRPr="002F50BD">
        <w:rPr>
          <w:rFonts w:ascii="Verdana" w:hAnsi="Verdana"/>
          <w:sz w:val="20"/>
          <w:lang w:val="pt-BR"/>
        </w:rPr>
        <w:t xml:space="preserve"> declaradas</w:t>
      </w:r>
      <w:r w:rsidR="00AB454A" w:rsidRPr="002F50BD">
        <w:rPr>
          <w:rFonts w:ascii="Verdana" w:hAnsi="Verdana"/>
          <w:sz w:val="20"/>
          <w:lang w:val="pt-BR"/>
        </w:rPr>
        <w:t xml:space="preserve">. Na </w:t>
      </w:r>
      <w:r w:rsidR="004756C1" w:rsidRPr="002F50BD">
        <w:rPr>
          <w:rFonts w:ascii="Verdana" w:hAnsi="Verdana"/>
          <w:sz w:val="20"/>
          <w:lang w:val="pt-BR"/>
        </w:rPr>
        <w:t xml:space="preserve">presente </w:t>
      </w:r>
      <w:r w:rsidRPr="002F50BD">
        <w:rPr>
          <w:rFonts w:ascii="Verdana" w:hAnsi="Verdana"/>
          <w:sz w:val="20"/>
          <w:lang w:val="pt-BR"/>
        </w:rPr>
        <w:t>Sentença</w:t>
      </w:r>
      <w:r w:rsidR="004756C1" w:rsidRPr="002F50BD">
        <w:rPr>
          <w:rFonts w:ascii="Verdana" w:hAnsi="Verdana"/>
          <w:sz w:val="20"/>
          <w:lang w:val="pt-BR"/>
        </w:rPr>
        <w:t>, para resolver</w:t>
      </w:r>
      <w:r w:rsidRPr="002F50BD">
        <w:rPr>
          <w:rFonts w:ascii="Verdana" w:hAnsi="Verdana"/>
          <w:sz w:val="20"/>
          <w:lang w:val="pt-BR"/>
        </w:rPr>
        <w:t xml:space="preserve"> as pretensões</w:t>
      </w:r>
      <w:r w:rsidR="004756C1" w:rsidRPr="002F50BD">
        <w:rPr>
          <w:rFonts w:ascii="Verdana" w:hAnsi="Verdana"/>
          <w:sz w:val="20"/>
          <w:lang w:val="pt-BR"/>
        </w:rPr>
        <w:t xml:space="preserve"> sobre</w:t>
      </w:r>
      <w:r w:rsidRPr="002F50BD">
        <w:rPr>
          <w:rFonts w:ascii="Verdana" w:hAnsi="Verdana"/>
          <w:sz w:val="20"/>
          <w:lang w:val="pt-BR"/>
        </w:rPr>
        <w:t xml:space="preserve"> o dano</w:t>
      </w:r>
      <w:r w:rsidR="004756C1" w:rsidRPr="002F50BD">
        <w:rPr>
          <w:rFonts w:ascii="Verdana" w:hAnsi="Verdana"/>
          <w:sz w:val="20"/>
          <w:lang w:val="pt-BR"/>
        </w:rPr>
        <w:t xml:space="preserve"> material,</w:t>
      </w:r>
      <w:r w:rsidRPr="002F50BD">
        <w:rPr>
          <w:rFonts w:ascii="Verdana" w:hAnsi="Verdana"/>
          <w:sz w:val="20"/>
          <w:lang w:val="pt-BR"/>
        </w:rPr>
        <w:t xml:space="preserve"> a </w:t>
      </w:r>
      <w:r w:rsidR="004756C1" w:rsidRPr="002F50BD">
        <w:rPr>
          <w:rFonts w:ascii="Verdana" w:hAnsi="Verdana"/>
          <w:sz w:val="20"/>
          <w:lang w:val="pt-BR"/>
        </w:rPr>
        <w:t xml:space="preserve">Corte </w:t>
      </w:r>
      <w:r w:rsidR="003B5645" w:rsidRPr="002F50BD">
        <w:rPr>
          <w:rFonts w:ascii="Verdana" w:hAnsi="Verdana"/>
          <w:sz w:val="20"/>
          <w:lang w:val="pt-BR"/>
        </w:rPr>
        <w:t xml:space="preserve">levará </w:t>
      </w:r>
      <w:r w:rsidRPr="002F50BD">
        <w:rPr>
          <w:rFonts w:ascii="Verdana" w:hAnsi="Verdana"/>
          <w:sz w:val="20"/>
          <w:lang w:val="pt-BR"/>
        </w:rPr>
        <w:t xml:space="preserve">em conta o </w:t>
      </w:r>
      <w:r w:rsidR="004756C1" w:rsidRPr="002F50BD">
        <w:rPr>
          <w:rFonts w:ascii="Verdana" w:hAnsi="Verdana"/>
          <w:sz w:val="20"/>
          <w:lang w:val="pt-BR"/>
        </w:rPr>
        <w:t xml:space="preserve">acervo </w:t>
      </w:r>
      <w:r w:rsidRPr="002F50BD">
        <w:rPr>
          <w:rFonts w:ascii="Verdana" w:hAnsi="Verdana"/>
          <w:sz w:val="20"/>
          <w:lang w:val="pt-BR"/>
        </w:rPr>
        <w:t xml:space="preserve">probatório deste </w:t>
      </w:r>
      <w:r w:rsidR="004756C1" w:rsidRPr="002F50BD">
        <w:rPr>
          <w:rFonts w:ascii="Verdana" w:hAnsi="Verdana"/>
          <w:sz w:val="20"/>
          <w:lang w:val="pt-BR"/>
        </w:rPr>
        <w:t>caso,</w:t>
      </w:r>
      <w:r w:rsidRPr="002F50BD">
        <w:rPr>
          <w:rFonts w:ascii="Verdana" w:hAnsi="Verdana"/>
          <w:sz w:val="20"/>
          <w:lang w:val="pt-BR"/>
        </w:rPr>
        <w:t xml:space="preserve"> a jurisprudência do próprio</w:t>
      </w:r>
      <w:r w:rsidR="004756C1" w:rsidRPr="002F50BD">
        <w:rPr>
          <w:rFonts w:ascii="Verdana" w:hAnsi="Verdana"/>
          <w:sz w:val="20"/>
          <w:lang w:val="pt-BR"/>
        </w:rPr>
        <w:t xml:space="preserve"> Tribunal</w:t>
      </w:r>
      <w:r w:rsidRPr="002F50BD">
        <w:rPr>
          <w:rFonts w:ascii="Verdana" w:hAnsi="Verdana"/>
          <w:sz w:val="20"/>
          <w:lang w:val="pt-BR"/>
        </w:rPr>
        <w:t xml:space="preserve"> e os </w:t>
      </w:r>
      <w:r w:rsidR="004756C1" w:rsidRPr="002F50BD">
        <w:rPr>
          <w:rFonts w:ascii="Verdana" w:hAnsi="Verdana"/>
          <w:sz w:val="20"/>
          <w:lang w:val="pt-BR"/>
        </w:rPr>
        <w:t>argumentos</w:t>
      </w:r>
      <w:r w:rsidRPr="002F50BD">
        <w:rPr>
          <w:rFonts w:ascii="Verdana" w:hAnsi="Verdana"/>
          <w:sz w:val="20"/>
          <w:lang w:val="pt-BR"/>
        </w:rPr>
        <w:t xml:space="preserve"> das </w:t>
      </w:r>
      <w:r w:rsidR="004756C1" w:rsidRPr="002F50BD">
        <w:rPr>
          <w:rFonts w:ascii="Verdana" w:hAnsi="Verdana"/>
          <w:sz w:val="20"/>
          <w:lang w:val="pt-BR"/>
        </w:rPr>
        <w:t>partes.</w:t>
      </w:r>
    </w:p>
    <w:p w:rsidR="00DC0F25" w:rsidRPr="002F50BD" w:rsidRDefault="00DC0F25" w:rsidP="00DC0F25">
      <w:pPr>
        <w:jc w:val="both"/>
        <w:rPr>
          <w:rFonts w:ascii="Verdana" w:hAnsi="Verdana"/>
          <w:sz w:val="20"/>
          <w:lang w:val="pt-BR"/>
        </w:rPr>
      </w:pPr>
    </w:p>
    <w:p w:rsidR="004756C1" w:rsidRPr="002F50BD" w:rsidRDefault="0089298C">
      <w:pPr>
        <w:numPr>
          <w:ilvl w:val="0"/>
          <w:numId w:val="31"/>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Tribunal considera que</w:t>
      </w:r>
      <w:r w:rsidRPr="002F50BD">
        <w:rPr>
          <w:rFonts w:ascii="Verdana" w:hAnsi="Verdana"/>
          <w:sz w:val="20"/>
          <w:lang w:val="pt-BR"/>
        </w:rPr>
        <w:t xml:space="preserve"> no </w:t>
      </w:r>
      <w:r w:rsidR="004756C1" w:rsidRPr="002F50BD">
        <w:rPr>
          <w:rFonts w:ascii="Verdana" w:hAnsi="Verdana"/>
          <w:sz w:val="20"/>
          <w:lang w:val="pt-BR"/>
        </w:rPr>
        <w:t>presente caso</w:t>
      </w:r>
      <w:r w:rsidRPr="002F50BD">
        <w:rPr>
          <w:rFonts w:ascii="Verdana" w:hAnsi="Verdana"/>
          <w:sz w:val="20"/>
          <w:lang w:val="pt-BR"/>
        </w:rPr>
        <w:t xml:space="preserve"> a indenização pelo dano</w:t>
      </w:r>
      <w:r w:rsidR="004756C1" w:rsidRPr="002F50BD">
        <w:rPr>
          <w:rFonts w:ascii="Verdana" w:hAnsi="Verdana"/>
          <w:sz w:val="20"/>
          <w:lang w:val="pt-BR"/>
        </w:rPr>
        <w:t xml:space="preserve"> material</w:t>
      </w:r>
      <w:r w:rsidRPr="002F50BD">
        <w:rPr>
          <w:rFonts w:ascii="Verdana" w:hAnsi="Verdana"/>
          <w:sz w:val="20"/>
          <w:lang w:val="pt-BR"/>
        </w:rPr>
        <w:t xml:space="preserve"> deve </w:t>
      </w:r>
      <w:r w:rsidR="004756C1" w:rsidRPr="002F50BD">
        <w:rPr>
          <w:rFonts w:ascii="Verdana" w:hAnsi="Verdana"/>
          <w:sz w:val="20"/>
          <w:lang w:val="pt-BR"/>
        </w:rPr>
        <w:t>compre</w:t>
      </w:r>
      <w:r w:rsidR="00E350FB" w:rsidRPr="002F50BD">
        <w:rPr>
          <w:rFonts w:ascii="Verdana" w:hAnsi="Verdana"/>
          <w:sz w:val="20"/>
          <w:lang w:val="pt-BR"/>
        </w:rPr>
        <w:t>e</w:t>
      </w:r>
      <w:r w:rsidR="004756C1" w:rsidRPr="002F50BD">
        <w:rPr>
          <w:rFonts w:ascii="Verdana" w:hAnsi="Verdana"/>
          <w:sz w:val="20"/>
          <w:lang w:val="pt-BR"/>
        </w:rPr>
        <w:t>nder</w:t>
      </w:r>
      <w:r w:rsidRPr="002F50BD">
        <w:rPr>
          <w:rFonts w:ascii="Verdana" w:hAnsi="Verdana"/>
          <w:sz w:val="20"/>
          <w:lang w:val="pt-BR"/>
        </w:rPr>
        <w:t xml:space="preserve"> os </w:t>
      </w:r>
      <w:r w:rsidR="004756C1" w:rsidRPr="002F50BD">
        <w:rPr>
          <w:rFonts w:ascii="Verdana" w:hAnsi="Verdana"/>
          <w:sz w:val="20"/>
          <w:lang w:val="pt-BR"/>
        </w:rPr>
        <w:t>gastos</w:t>
      </w:r>
      <w:r w:rsidRPr="002F50BD">
        <w:rPr>
          <w:rFonts w:ascii="Verdana" w:hAnsi="Verdana"/>
          <w:sz w:val="20"/>
          <w:lang w:val="pt-BR"/>
        </w:rPr>
        <w:t xml:space="preserve"> </w:t>
      </w:r>
      <w:r w:rsidR="00E350FB" w:rsidRPr="002F50BD">
        <w:rPr>
          <w:rFonts w:ascii="Verdana" w:hAnsi="Verdana"/>
          <w:sz w:val="20"/>
          <w:lang w:val="pt-BR"/>
        </w:rPr>
        <w:t>incorridos pel</w:t>
      </w:r>
      <w:r w:rsidRPr="002F50BD">
        <w:rPr>
          <w:rFonts w:ascii="Verdana" w:hAnsi="Verdana"/>
          <w:sz w:val="20"/>
          <w:lang w:val="pt-BR"/>
        </w:rPr>
        <w:t>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w:t>
      </w:r>
      <w:r w:rsidRPr="002F50BD">
        <w:rPr>
          <w:rFonts w:ascii="Verdana" w:hAnsi="Verdana"/>
          <w:sz w:val="20"/>
          <w:lang w:val="pt-BR"/>
        </w:rPr>
        <w:t xml:space="preserve"> nas </w:t>
      </w:r>
      <w:r w:rsidR="004756C1" w:rsidRPr="002F50BD">
        <w:rPr>
          <w:rFonts w:ascii="Verdana" w:hAnsi="Verdana"/>
          <w:sz w:val="20"/>
          <w:lang w:val="pt-BR"/>
        </w:rPr>
        <w:t xml:space="preserve">diversas </w:t>
      </w:r>
      <w:r w:rsidRPr="002F50BD">
        <w:rPr>
          <w:rFonts w:ascii="Verdana" w:hAnsi="Verdana"/>
          <w:sz w:val="20"/>
          <w:lang w:val="pt-BR"/>
        </w:rPr>
        <w:t>gestões</w:t>
      </w:r>
      <w:r w:rsidR="004756C1" w:rsidRPr="002F50BD">
        <w:rPr>
          <w:rFonts w:ascii="Verdana" w:hAnsi="Verdana"/>
          <w:sz w:val="20"/>
          <w:lang w:val="pt-BR"/>
        </w:rPr>
        <w:t xml:space="preserve"> que </w:t>
      </w:r>
      <w:r w:rsidRPr="002F50BD">
        <w:rPr>
          <w:rFonts w:ascii="Verdana" w:hAnsi="Verdana"/>
          <w:sz w:val="20"/>
          <w:lang w:val="pt-BR"/>
        </w:rPr>
        <w:t xml:space="preserve">realizaram com o fim </w:t>
      </w:r>
      <w:r w:rsidR="004756C1" w:rsidRPr="002F50BD">
        <w:rPr>
          <w:rFonts w:ascii="Verdana" w:hAnsi="Verdana"/>
          <w:sz w:val="20"/>
          <w:lang w:val="pt-BR"/>
        </w:rPr>
        <w:t xml:space="preserve">de </w:t>
      </w:r>
      <w:r w:rsidR="00E350FB" w:rsidRPr="002F50BD">
        <w:rPr>
          <w:rFonts w:ascii="Verdana" w:hAnsi="Verdana"/>
          <w:sz w:val="20"/>
          <w:lang w:val="pt-BR"/>
        </w:rPr>
        <w:t xml:space="preserve">recuperar </w:t>
      </w:r>
      <w:r w:rsidRPr="002F50BD">
        <w:rPr>
          <w:rFonts w:ascii="Verdana" w:hAnsi="Verdana"/>
          <w:sz w:val="20"/>
          <w:lang w:val="pt-BR"/>
        </w:rPr>
        <w:t>as terra</w:t>
      </w:r>
      <w:r w:rsidR="004756C1" w:rsidRPr="002F50BD">
        <w:rPr>
          <w:rFonts w:ascii="Verdana" w:hAnsi="Verdana"/>
          <w:sz w:val="20"/>
          <w:lang w:val="pt-BR"/>
        </w:rPr>
        <w:t xml:space="preserve">s que </w:t>
      </w:r>
      <w:r w:rsidRPr="002F50BD">
        <w:rPr>
          <w:rFonts w:ascii="Verdana" w:hAnsi="Verdana"/>
          <w:sz w:val="20"/>
          <w:lang w:val="pt-BR"/>
        </w:rPr>
        <w:t>considerava</w:t>
      </w:r>
      <w:r w:rsidR="00406481" w:rsidRPr="002F50BD">
        <w:rPr>
          <w:rFonts w:ascii="Verdana" w:hAnsi="Verdana"/>
          <w:sz w:val="20"/>
          <w:lang w:val="pt-BR"/>
        </w:rPr>
        <w:t>m</w:t>
      </w:r>
      <w:r w:rsidR="004756C1" w:rsidRPr="002F50BD">
        <w:rPr>
          <w:rFonts w:ascii="Verdana" w:hAnsi="Verdana"/>
          <w:sz w:val="20"/>
          <w:lang w:val="pt-BR"/>
        </w:rPr>
        <w:t xml:space="preserve"> como</w:t>
      </w:r>
      <w:r w:rsidR="00AB454A" w:rsidRPr="002F50BD">
        <w:rPr>
          <w:rFonts w:ascii="Verdana" w:hAnsi="Verdana"/>
          <w:sz w:val="20"/>
          <w:lang w:val="pt-BR"/>
        </w:rPr>
        <w:t xml:space="preserve"> própria</w:t>
      </w:r>
      <w:r w:rsidR="004756C1" w:rsidRPr="002F50BD">
        <w:rPr>
          <w:rFonts w:ascii="Verdana" w:hAnsi="Verdana"/>
          <w:sz w:val="20"/>
          <w:lang w:val="pt-BR"/>
        </w:rPr>
        <w:t>s,</w:t>
      </w:r>
      <w:r w:rsidRPr="002F50BD">
        <w:rPr>
          <w:rFonts w:ascii="Verdana" w:hAnsi="Verdana"/>
          <w:sz w:val="20"/>
          <w:lang w:val="pt-BR"/>
        </w:rPr>
        <w:t xml:space="preserve"> tais </w:t>
      </w:r>
      <w:r w:rsidR="004756C1" w:rsidRPr="002F50BD">
        <w:rPr>
          <w:rFonts w:ascii="Verdana" w:hAnsi="Verdana"/>
          <w:sz w:val="20"/>
          <w:lang w:val="pt-BR"/>
        </w:rPr>
        <w:t>como mo</w:t>
      </w:r>
      <w:r w:rsidR="00E350FB" w:rsidRPr="002F50BD">
        <w:rPr>
          <w:rFonts w:ascii="Verdana" w:hAnsi="Verdana"/>
          <w:sz w:val="20"/>
          <w:lang w:val="pt-BR"/>
        </w:rPr>
        <w:t>b</w:t>
      </w:r>
      <w:r w:rsidR="004756C1" w:rsidRPr="002F50BD">
        <w:rPr>
          <w:rFonts w:ascii="Verdana" w:hAnsi="Verdana"/>
          <w:sz w:val="20"/>
          <w:lang w:val="pt-BR"/>
        </w:rPr>
        <w:t>iliza</w:t>
      </w:r>
      <w:r w:rsidRPr="002F50BD">
        <w:rPr>
          <w:rFonts w:ascii="Verdana" w:hAnsi="Verdana"/>
          <w:sz w:val="20"/>
          <w:lang w:val="pt-BR"/>
        </w:rPr>
        <w:t xml:space="preserve">ções e </w:t>
      </w:r>
      <w:r w:rsidR="004756C1" w:rsidRPr="002F50BD">
        <w:rPr>
          <w:rFonts w:ascii="Verdana" w:hAnsi="Verdana"/>
          <w:sz w:val="20"/>
          <w:lang w:val="pt-BR"/>
        </w:rPr>
        <w:t xml:space="preserve">traslados a distintas </w:t>
      </w:r>
      <w:r w:rsidRPr="002F50BD">
        <w:rPr>
          <w:rFonts w:ascii="Verdana" w:hAnsi="Verdana"/>
          <w:sz w:val="20"/>
          <w:lang w:val="pt-BR"/>
        </w:rPr>
        <w:t>dependência</w:t>
      </w:r>
      <w:r w:rsidR="004756C1" w:rsidRPr="002F50BD">
        <w:rPr>
          <w:rFonts w:ascii="Verdana" w:hAnsi="Verdana"/>
          <w:sz w:val="20"/>
          <w:lang w:val="pt-BR"/>
        </w:rPr>
        <w:t>s esta</w:t>
      </w:r>
      <w:r w:rsidRPr="002F50BD">
        <w:rPr>
          <w:rFonts w:ascii="Verdana" w:hAnsi="Verdana"/>
          <w:sz w:val="20"/>
          <w:lang w:val="pt-BR"/>
        </w:rPr>
        <w:t>tais</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par.</w:t>
      </w:r>
      <w:r w:rsidR="004756C1" w:rsidRPr="002F50BD">
        <w:rPr>
          <w:rFonts w:ascii="Verdana" w:hAnsi="Verdana"/>
          <w:sz w:val="20"/>
          <w:lang w:val="pt-BR"/>
        </w:rPr>
        <w:t xml:space="preserve"> </w:t>
      </w:r>
      <w:r w:rsidR="00063B47" w:rsidRPr="002F50BD">
        <w:rPr>
          <w:rFonts w:ascii="Verdana" w:hAnsi="Verdana"/>
          <w:sz w:val="20"/>
          <w:lang w:val="pt-BR"/>
        </w:rPr>
        <w:t>50</w:t>
      </w:r>
      <w:r w:rsidR="004756C1" w:rsidRPr="002F50BD">
        <w:rPr>
          <w:rFonts w:ascii="Verdana" w:hAnsi="Verdana"/>
          <w:sz w:val="20"/>
          <w:lang w:val="pt-BR"/>
        </w:rPr>
        <w:t>.</w:t>
      </w:r>
      <w:r w:rsidR="00063B47" w:rsidRPr="002F50BD">
        <w:rPr>
          <w:rFonts w:ascii="Verdana" w:hAnsi="Verdana"/>
          <w:sz w:val="20"/>
          <w:lang w:val="pt-BR"/>
        </w:rPr>
        <w:t>106</w:t>
      </w:r>
      <w:r w:rsidR="00E350FB" w:rsidRPr="002F50BD">
        <w:rPr>
          <w:rFonts w:ascii="Verdana" w:hAnsi="Verdana"/>
          <w:i/>
          <w:sz w:val="20"/>
          <w:lang w:val="pt-BR"/>
        </w:rPr>
        <w:t xml:space="preserve"> supra</w:t>
      </w:r>
      <w:r w:rsidR="00CF451D" w:rsidRPr="00CF451D">
        <w:rPr>
          <w:rFonts w:ascii="Verdana" w:hAnsi="Verdana"/>
          <w:sz w:val="20"/>
          <w:lang w:val="pt-BR"/>
        </w:rPr>
        <w:t>)</w:t>
      </w:r>
      <w:r w:rsidR="00BE346D" w:rsidRPr="002F50BD">
        <w:rPr>
          <w:rFonts w:ascii="Verdana" w:hAnsi="Verdana"/>
          <w:sz w:val="20"/>
          <w:lang w:val="pt-BR"/>
        </w:rPr>
        <w:t xml:space="preserve">. A </w:t>
      </w:r>
      <w:r w:rsidR="004756C1" w:rsidRPr="002F50BD">
        <w:rPr>
          <w:rFonts w:ascii="Verdana" w:hAnsi="Verdana"/>
          <w:sz w:val="20"/>
          <w:lang w:val="pt-BR"/>
        </w:rPr>
        <w:t xml:space="preserve">Corte </w:t>
      </w:r>
      <w:r w:rsidR="00E350FB" w:rsidRPr="002F50BD">
        <w:rPr>
          <w:rFonts w:ascii="Verdana" w:hAnsi="Verdana"/>
          <w:sz w:val="20"/>
          <w:lang w:val="pt-BR"/>
        </w:rPr>
        <w:t xml:space="preserve">considera </w:t>
      </w:r>
      <w:r w:rsidR="004756C1" w:rsidRPr="002F50BD">
        <w:rPr>
          <w:rFonts w:ascii="Verdana" w:hAnsi="Verdana"/>
          <w:sz w:val="20"/>
          <w:lang w:val="pt-BR"/>
        </w:rPr>
        <w:t>que</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deve </w:t>
      </w:r>
      <w:r w:rsidR="00E350FB" w:rsidRPr="002F50BD">
        <w:rPr>
          <w:rFonts w:ascii="Verdana" w:hAnsi="Verdana"/>
          <w:sz w:val="20"/>
          <w:lang w:val="pt-BR"/>
        </w:rPr>
        <w:t xml:space="preserve">conceder </w:t>
      </w:r>
      <w:r w:rsidRPr="002F50BD">
        <w:rPr>
          <w:rFonts w:ascii="Verdana" w:hAnsi="Verdana"/>
          <w:sz w:val="20"/>
          <w:lang w:val="pt-BR"/>
        </w:rPr>
        <w:t>uma indenização</w:t>
      </w:r>
      <w:r w:rsidR="004756C1" w:rsidRPr="002F50BD">
        <w:rPr>
          <w:rFonts w:ascii="Verdana" w:hAnsi="Verdana"/>
          <w:sz w:val="20"/>
          <w:lang w:val="pt-BR"/>
        </w:rPr>
        <w:t xml:space="preserve"> por </w:t>
      </w:r>
      <w:r w:rsidRPr="002F50BD">
        <w:rPr>
          <w:rFonts w:ascii="Verdana" w:hAnsi="Verdana"/>
          <w:sz w:val="20"/>
          <w:lang w:val="pt-BR"/>
        </w:rPr>
        <w:t>este</w:t>
      </w:r>
      <w:r w:rsidR="004756C1" w:rsidRPr="002F50BD">
        <w:rPr>
          <w:rFonts w:ascii="Verdana" w:hAnsi="Verdana"/>
          <w:sz w:val="20"/>
          <w:lang w:val="pt-BR"/>
        </w:rPr>
        <w:t>s gastos,</w:t>
      </w:r>
      <w:r w:rsidRPr="002F50BD">
        <w:rPr>
          <w:rFonts w:ascii="Verdana" w:hAnsi="Verdana"/>
          <w:sz w:val="20"/>
          <w:lang w:val="pt-BR"/>
        </w:rPr>
        <w:t xml:space="preserve"> pois têm um </w:t>
      </w:r>
      <w:r w:rsidR="004756C1" w:rsidRPr="002F50BD">
        <w:rPr>
          <w:rFonts w:ascii="Verdana" w:hAnsi="Verdana"/>
          <w:sz w:val="20"/>
          <w:lang w:val="pt-BR"/>
        </w:rPr>
        <w:t xml:space="preserve">nexo causal </w:t>
      </w:r>
      <w:r w:rsidRPr="002F50BD">
        <w:rPr>
          <w:rFonts w:ascii="Verdana" w:hAnsi="Verdana"/>
          <w:sz w:val="20"/>
          <w:lang w:val="pt-BR"/>
        </w:rPr>
        <w:t>diret</w:t>
      </w:r>
      <w:r w:rsidR="004756C1" w:rsidRPr="002F50BD">
        <w:rPr>
          <w:rFonts w:ascii="Verdana" w:hAnsi="Verdana"/>
          <w:sz w:val="20"/>
          <w:lang w:val="pt-BR"/>
        </w:rPr>
        <w:t>o</w:t>
      </w:r>
      <w:r w:rsidRPr="002F50BD">
        <w:rPr>
          <w:rFonts w:ascii="Verdana" w:hAnsi="Verdana"/>
          <w:sz w:val="20"/>
          <w:lang w:val="pt-BR"/>
        </w:rPr>
        <w:t xml:space="preserve"> com os fatos</w:t>
      </w:r>
      <w:r w:rsidR="004756C1" w:rsidRPr="002F50BD">
        <w:rPr>
          <w:rFonts w:ascii="Verdana" w:hAnsi="Verdana"/>
          <w:sz w:val="20"/>
          <w:lang w:val="pt-BR"/>
        </w:rPr>
        <w:t xml:space="preserve"> </w:t>
      </w:r>
      <w:r w:rsidRPr="002F50BD">
        <w:rPr>
          <w:rFonts w:ascii="Verdana" w:hAnsi="Verdana"/>
          <w:sz w:val="20"/>
          <w:lang w:val="pt-BR"/>
        </w:rPr>
        <w:t>violatório</w:t>
      </w:r>
      <w:r w:rsidR="004756C1" w:rsidRPr="002F50BD">
        <w:rPr>
          <w:rFonts w:ascii="Verdana" w:hAnsi="Verdana"/>
          <w:sz w:val="20"/>
          <w:lang w:val="pt-BR"/>
        </w:rPr>
        <w:t>s</w:t>
      </w:r>
      <w:r w:rsidRPr="002F50BD">
        <w:rPr>
          <w:rFonts w:ascii="Verdana" w:hAnsi="Verdana"/>
          <w:sz w:val="20"/>
          <w:lang w:val="pt-BR"/>
        </w:rPr>
        <w:t xml:space="preserve"> deste </w:t>
      </w:r>
      <w:r w:rsidR="004756C1" w:rsidRPr="002F50BD">
        <w:rPr>
          <w:rFonts w:ascii="Verdana" w:hAnsi="Verdana"/>
          <w:sz w:val="20"/>
          <w:lang w:val="pt-BR"/>
        </w:rPr>
        <w:t>caso</w:t>
      </w:r>
      <w:r w:rsidRPr="002F50BD">
        <w:rPr>
          <w:rFonts w:ascii="Verdana" w:hAnsi="Verdana"/>
          <w:sz w:val="20"/>
          <w:lang w:val="pt-BR"/>
        </w:rPr>
        <w:t xml:space="preserve"> e </w:t>
      </w:r>
      <w:r w:rsidR="004756C1" w:rsidRPr="002F50BD">
        <w:rPr>
          <w:rFonts w:ascii="Verdana" w:hAnsi="Verdana"/>
          <w:sz w:val="20"/>
          <w:lang w:val="pt-BR"/>
        </w:rPr>
        <w:t>n</w:t>
      </w:r>
      <w:r w:rsidR="00E350FB" w:rsidRPr="002F50BD">
        <w:rPr>
          <w:rFonts w:ascii="Verdana" w:hAnsi="Verdana"/>
          <w:sz w:val="20"/>
          <w:lang w:val="pt-BR"/>
        </w:rPr>
        <w:t>ã</w:t>
      </w:r>
      <w:r w:rsidR="004756C1" w:rsidRPr="002F50BD">
        <w:rPr>
          <w:rFonts w:ascii="Verdana" w:hAnsi="Verdana"/>
          <w:sz w:val="20"/>
          <w:lang w:val="pt-BR"/>
        </w:rPr>
        <w:t>o se trata</w:t>
      </w:r>
      <w:r w:rsidR="009C5015" w:rsidRPr="002F50BD">
        <w:rPr>
          <w:rFonts w:ascii="Verdana" w:hAnsi="Verdana"/>
          <w:sz w:val="20"/>
          <w:lang w:val="pt-BR"/>
        </w:rPr>
        <w:t>m</w:t>
      </w:r>
      <w:r w:rsidR="004756C1" w:rsidRPr="002F50BD">
        <w:rPr>
          <w:rFonts w:ascii="Verdana" w:hAnsi="Verdana"/>
          <w:sz w:val="20"/>
          <w:lang w:val="pt-BR"/>
        </w:rPr>
        <w:t xml:space="preserve"> de </w:t>
      </w:r>
      <w:r w:rsidR="00E350FB" w:rsidRPr="002F50BD">
        <w:rPr>
          <w:rFonts w:ascii="Verdana" w:hAnsi="Verdana"/>
          <w:sz w:val="20"/>
          <w:lang w:val="pt-BR"/>
        </w:rPr>
        <w:t xml:space="preserve">gastos </w:t>
      </w:r>
      <w:r w:rsidR="009C5015" w:rsidRPr="002F50BD">
        <w:rPr>
          <w:rFonts w:ascii="Verdana" w:hAnsi="Verdana"/>
          <w:sz w:val="20"/>
          <w:lang w:val="pt-BR"/>
        </w:rPr>
        <w:t>realizado</w:t>
      </w:r>
      <w:r w:rsidR="004756C1" w:rsidRPr="002F50BD">
        <w:rPr>
          <w:rFonts w:ascii="Verdana" w:hAnsi="Verdana"/>
          <w:sz w:val="20"/>
          <w:lang w:val="pt-BR"/>
        </w:rPr>
        <w:t xml:space="preserve">s por </w:t>
      </w:r>
      <w:r w:rsidR="00754117" w:rsidRPr="002F50BD">
        <w:rPr>
          <w:rFonts w:ascii="Verdana" w:hAnsi="Verdana"/>
          <w:sz w:val="20"/>
          <w:lang w:val="pt-BR"/>
        </w:rPr>
        <w:t>causa</w:t>
      </w:r>
      <w:r w:rsidR="004756C1" w:rsidRPr="002F50BD">
        <w:rPr>
          <w:rFonts w:ascii="Verdana" w:hAnsi="Verdana"/>
          <w:sz w:val="20"/>
          <w:lang w:val="pt-BR"/>
        </w:rPr>
        <w:t xml:space="preserve"> </w:t>
      </w:r>
      <w:r w:rsidRPr="002F50BD">
        <w:rPr>
          <w:rFonts w:ascii="Verdana" w:hAnsi="Verdana"/>
          <w:sz w:val="20"/>
          <w:lang w:val="pt-BR"/>
        </w:rPr>
        <w:t>do acesso à justiça</w:t>
      </w:r>
      <w:r w:rsidR="004756C1" w:rsidRPr="002F50BD">
        <w:rPr>
          <w:rStyle w:val="FootnoteReference"/>
          <w:rFonts w:ascii="Verdana" w:hAnsi="Verdana"/>
        </w:rPr>
        <w:footnoteReference w:id="216"/>
      </w:r>
      <w:r w:rsidR="004756C1" w:rsidRPr="002F50BD">
        <w:rPr>
          <w:rFonts w:ascii="Verdana" w:hAnsi="Verdana"/>
          <w:sz w:val="20"/>
          <w:lang w:val="pt-BR"/>
        </w:rPr>
        <w:t xml:space="preserve"> </w:t>
      </w:r>
      <w:r w:rsidR="00CF451D" w:rsidRPr="00CF451D">
        <w:rPr>
          <w:rFonts w:ascii="Verdana" w:hAnsi="Verdana"/>
          <w:sz w:val="20"/>
          <w:lang w:val="pt-BR"/>
        </w:rPr>
        <w:t>(</w:t>
      </w:r>
      <w:r w:rsidR="00BE346D" w:rsidRPr="002F50BD">
        <w:rPr>
          <w:rFonts w:ascii="Verdana" w:hAnsi="Verdana"/>
          <w:sz w:val="20"/>
          <w:lang w:val="pt-BR"/>
        </w:rPr>
        <w:t xml:space="preserve">par. </w:t>
      </w:r>
      <w:r w:rsidR="00063B47" w:rsidRPr="002F50BD">
        <w:rPr>
          <w:rFonts w:ascii="Verdana" w:hAnsi="Verdana"/>
          <w:sz w:val="20"/>
          <w:lang w:val="pt-BR"/>
        </w:rPr>
        <w:t>232</w:t>
      </w:r>
      <w:r w:rsidR="00BE346D" w:rsidRPr="002F50BD">
        <w:rPr>
          <w:rFonts w:ascii="Verdana" w:hAnsi="Verdana"/>
          <w:i/>
          <w:sz w:val="20"/>
          <w:lang w:val="pt-BR"/>
        </w:rPr>
        <w:t xml:space="preserve"> infra</w:t>
      </w:r>
      <w:r w:rsidR="00CF451D" w:rsidRPr="00CF451D">
        <w:rPr>
          <w:rFonts w:ascii="Verdana" w:hAnsi="Verdana"/>
          <w:sz w:val="20"/>
          <w:lang w:val="pt-BR"/>
        </w:rPr>
        <w:t>)</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4076AD">
      <w:pPr>
        <w:numPr>
          <w:ilvl w:val="0"/>
          <w:numId w:val="31"/>
        </w:numPr>
        <w:jc w:val="both"/>
        <w:rPr>
          <w:rFonts w:ascii="Verdana" w:hAnsi="Verdana"/>
          <w:sz w:val="20"/>
          <w:lang w:val="pt-BR"/>
        </w:rPr>
      </w:pPr>
      <w:r w:rsidRPr="002F50BD">
        <w:rPr>
          <w:rFonts w:ascii="Verdana" w:hAnsi="Verdana"/>
          <w:sz w:val="20"/>
          <w:lang w:val="pt-BR"/>
        </w:rPr>
        <w:t>A este respeito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toma </w:t>
      </w:r>
      <w:r w:rsidR="00063B47" w:rsidRPr="002F50BD">
        <w:rPr>
          <w:rFonts w:ascii="Verdana" w:hAnsi="Verdana"/>
          <w:sz w:val="20"/>
          <w:lang w:val="pt-BR"/>
        </w:rPr>
        <w:t xml:space="preserve">nota </w:t>
      </w:r>
      <w:r w:rsidR="004756C1" w:rsidRPr="002F50BD">
        <w:rPr>
          <w:rFonts w:ascii="Verdana" w:hAnsi="Verdana"/>
          <w:sz w:val="20"/>
          <w:lang w:val="pt-BR"/>
        </w:rPr>
        <w:t xml:space="preserve">que </w:t>
      </w:r>
      <w:r w:rsidR="0089298C" w:rsidRPr="002F50BD">
        <w:rPr>
          <w:rFonts w:ascii="Verdana" w:hAnsi="Verdana"/>
          <w:sz w:val="20"/>
          <w:lang w:val="pt-BR"/>
        </w:rPr>
        <w:t>alguns deste</w:t>
      </w:r>
      <w:r w:rsidR="004756C1" w:rsidRPr="002F50BD">
        <w:rPr>
          <w:rFonts w:ascii="Verdana" w:hAnsi="Verdana"/>
          <w:sz w:val="20"/>
          <w:lang w:val="pt-BR"/>
        </w:rPr>
        <w:t xml:space="preserve">s gastos </w:t>
      </w:r>
      <w:r w:rsidR="0089298C" w:rsidRPr="002F50BD">
        <w:rPr>
          <w:rFonts w:ascii="Verdana" w:hAnsi="Verdana"/>
          <w:sz w:val="20"/>
          <w:lang w:val="pt-BR"/>
        </w:rPr>
        <w:t>foram</w:t>
      </w:r>
      <w:r w:rsidR="004756C1" w:rsidRPr="002F50BD">
        <w:rPr>
          <w:rFonts w:ascii="Verdana" w:hAnsi="Verdana"/>
          <w:sz w:val="20"/>
          <w:lang w:val="pt-BR"/>
        </w:rPr>
        <w:t xml:space="preserve"> </w:t>
      </w:r>
      <w:r w:rsidR="0089298C" w:rsidRPr="002F50BD">
        <w:rPr>
          <w:rFonts w:ascii="Verdana" w:hAnsi="Verdana"/>
          <w:sz w:val="20"/>
          <w:lang w:val="pt-BR"/>
        </w:rPr>
        <w:t>assumid</w:t>
      </w:r>
      <w:r w:rsidR="004756C1" w:rsidRPr="002F50BD">
        <w:rPr>
          <w:rFonts w:ascii="Verdana" w:hAnsi="Verdana"/>
          <w:sz w:val="20"/>
          <w:lang w:val="pt-BR"/>
        </w:rPr>
        <w:t>os</w:t>
      </w:r>
      <w:r w:rsidR="0089298C" w:rsidRPr="002F50BD">
        <w:rPr>
          <w:rFonts w:ascii="Verdana" w:hAnsi="Verdana"/>
          <w:sz w:val="20"/>
          <w:lang w:val="pt-BR"/>
        </w:rPr>
        <w:t xml:space="preserve"> pela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w:t>
      </w:r>
      <w:r w:rsidR="002D5D95" w:rsidRPr="002F50BD">
        <w:rPr>
          <w:rFonts w:ascii="Verdana" w:hAnsi="Verdana"/>
          <w:sz w:val="20"/>
          <w:lang w:val="pt-BR"/>
        </w:rPr>
        <w:t>Tierraviva</w:t>
      </w:r>
      <w:r w:rsidR="004756C1" w:rsidRPr="002F50BD">
        <w:rPr>
          <w:rFonts w:ascii="Verdana" w:hAnsi="Verdana"/>
          <w:sz w:val="20"/>
          <w:lang w:val="pt-BR"/>
        </w:rPr>
        <w:t xml:space="preserve">, </w:t>
      </w:r>
      <w:r w:rsidR="008C29C9" w:rsidRPr="002F50BD">
        <w:rPr>
          <w:rFonts w:ascii="Verdana" w:hAnsi="Verdana"/>
          <w:sz w:val="20"/>
          <w:lang w:val="pt-BR"/>
        </w:rPr>
        <w:t>representante</w:t>
      </w:r>
      <w:r w:rsidR="0089298C" w:rsidRPr="002F50BD">
        <w:rPr>
          <w:rFonts w:ascii="Verdana" w:hAnsi="Verdana"/>
          <w:sz w:val="20"/>
          <w:lang w:val="pt-BR"/>
        </w:rPr>
        <w:t xml:space="preserve"> das vítima</w:t>
      </w:r>
      <w:r w:rsidR="004756C1" w:rsidRPr="002F50BD">
        <w:rPr>
          <w:rFonts w:ascii="Verdana" w:hAnsi="Verdana"/>
          <w:sz w:val="20"/>
          <w:lang w:val="pt-BR"/>
        </w:rPr>
        <w:t>s</w:t>
      </w:r>
      <w:r w:rsidR="0089298C" w:rsidRPr="002F50BD">
        <w:rPr>
          <w:rFonts w:ascii="Verdana" w:hAnsi="Verdana"/>
          <w:sz w:val="20"/>
          <w:lang w:val="pt-BR"/>
        </w:rPr>
        <w:t>, e</w:t>
      </w:r>
      <w:r w:rsidR="004756C1" w:rsidRPr="002F50BD">
        <w:rPr>
          <w:rFonts w:ascii="Verdana" w:hAnsi="Verdana"/>
          <w:sz w:val="20"/>
          <w:lang w:val="pt-BR"/>
        </w:rPr>
        <w:t xml:space="preserve"> que se trata de gastos </w:t>
      </w:r>
      <w:r w:rsidR="0089298C" w:rsidRPr="002F50BD">
        <w:rPr>
          <w:rFonts w:ascii="Verdana" w:hAnsi="Verdana"/>
          <w:sz w:val="20"/>
          <w:lang w:val="pt-BR"/>
        </w:rPr>
        <w:t>gerados</w:t>
      </w:r>
      <w:r w:rsidR="004756C1" w:rsidRPr="002F50BD">
        <w:rPr>
          <w:rFonts w:ascii="Verdana" w:hAnsi="Verdana"/>
          <w:sz w:val="20"/>
          <w:lang w:val="pt-BR"/>
        </w:rPr>
        <w:t xml:space="preserve"> como </w:t>
      </w:r>
      <w:r w:rsidR="0089298C" w:rsidRPr="002F50BD">
        <w:rPr>
          <w:rFonts w:ascii="Verdana" w:hAnsi="Verdana"/>
          <w:sz w:val="20"/>
          <w:lang w:val="pt-BR"/>
        </w:rPr>
        <w:t xml:space="preserve">consequência das </w:t>
      </w:r>
      <w:r w:rsidR="004756C1" w:rsidRPr="002F50BD">
        <w:rPr>
          <w:rFonts w:ascii="Verdana" w:hAnsi="Verdana"/>
          <w:sz w:val="20"/>
          <w:lang w:val="pt-BR"/>
        </w:rPr>
        <w:t>viola</w:t>
      </w:r>
      <w:r w:rsidR="0089298C" w:rsidRPr="002F50BD">
        <w:rPr>
          <w:rFonts w:ascii="Verdana" w:hAnsi="Verdana"/>
          <w:sz w:val="20"/>
          <w:lang w:val="pt-BR"/>
        </w:rPr>
        <w:t>ções</w:t>
      </w:r>
      <w:r w:rsidR="004756C1" w:rsidRPr="002F50BD">
        <w:rPr>
          <w:rFonts w:ascii="Verdana" w:hAnsi="Verdana"/>
          <w:sz w:val="20"/>
          <w:lang w:val="pt-BR"/>
        </w:rPr>
        <w:t xml:space="preserve"> declaradas</w:t>
      </w:r>
      <w:r w:rsidR="0089298C" w:rsidRPr="002F50BD">
        <w:rPr>
          <w:rFonts w:ascii="Verdana" w:hAnsi="Verdana"/>
          <w:sz w:val="20"/>
          <w:lang w:val="pt-BR"/>
        </w:rPr>
        <w:t xml:space="preserve"> nesta Sentença</w:t>
      </w:r>
      <w:r w:rsidR="00AB454A" w:rsidRPr="002F50BD">
        <w:rPr>
          <w:rFonts w:ascii="Verdana" w:hAnsi="Verdana"/>
          <w:sz w:val="20"/>
          <w:lang w:val="pt-BR"/>
        </w:rPr>
        <w:t>. Em consequência</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E350FB" w:rsidRPr="002F50BD">
        <w:rPr>
          <w:rFonts w:ascii="Verdana" w:hAnsi="Verdana"/>
          <w:sz w:val="20"/>
          <w:lang w:val="pt-BR"/>
        </w:rPr>
        <w:t>fixa</w:t>
      </w:r>
      <w:r w:rsidR="004756C1"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equidade,</w:t>
      </w:r>
      <w:r w:rsidR="0089298C" w:rsidRPr="002F50BD">
        <w:rPr>
          <w:rFonts w:ascii="Verdana" w:hAnsi="Verdana"/>
          <w:sz w:val="20"/>
          <w:lang w:val="pt-BR"/>
        </w:rPr>
        <w:t xml:space="preserve"> a quantia </w:t>
      </w:r>
      <w:r w:rsidR="004756C1" w:rsidRPr="002F50BD">
        <w:rPr>
          <w:rFonts w:ascii="Verdana" w:hAnsi="Verdana"/>
          <w:sz w:val="20"/>
          <w:lang w:val="pt-BR"/>
        </w:rPr>
        <w:t xml:space="preserve">de US$ </w:t>
      </w:r>
      <w:r w:rsidR="00063B47" w:rsidRPr="002F50BD">
        <w:rPr>
          <w:rFonts w:ascii="Verdana" w:hAnsi="Verdana"/>
          <w:sz w:val="20"/>
          <w:lang w:val="pt-BR"/>
        </w:rPr>
        <w:t>45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w:t>
      </w:r>
      <w:r w:rsidR="00063B47" w:rsidRPr="002F50BD">
        <w:rPr>
          <w:rFonts w:ascii="Verdana" w:hAnsi="Verdana"/>
          <w:sz w:val="20"/>
          <w:lang w:val="pt-BR"/>
        </w:rPr>
        <w:t>00</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 xml:space="preserve">quarenta e </w:t>
      </w:r>
      <w:r w:rsidR="004756C1" w:rsidRPr="002F50BD">
        <w:rPr>
          <w:rFonts w:ascii="Verdana" w:hAnsi="Verdana"/>
          <w:sz w:val="20"/>
          <w:lang w:val="pt-BR"/>
        </w:rPr>
        <w:t>cinco mil dólares</w:t>
      </w:r>
      <w:r w:rsidR="0089298C" w:rsidRPr="002F50BD">
        <w:rPr>
          <w:rFonts w:ascii="Verdana" w:hAnsi="Verdana"/>
          <w:sz w:val="20"/>
          <w:lang w:val="pt-BR"/>
        </w:rPr>
        <w:t xml:space="preserve"> dos Estados Unidos da América</w:t>
      </w:r>
      <w:r w:rsidR="00CF451D" w:rsidRPr="00CF451D">
        <w:rPr>
          <w:rFonts w:ascii="Verdana" w:hAnsi="Verdana"/>
          <w:sz w:val="20"/>
          <w:lang w:val="pt-BR"/>
        </w:rPr>
        <w:t>)</w:t>
      </w:r>
      <w:r w:rsidR="004756C1" w:rsidRPr="002F50BD">
        <w:rPr>
          <w:rFonts w:ascii="Verdana" w:hAnsi="Verdana"/>
          <w:sz w:val="20"/>
          <w:lang w:val="pt-BR"/>
        </w:rPr>
        <w:t xml:space="preserve"> o</w:t>
      </w:r>
      <w:r w:rsidR="00E350FB" w:rsidRPr="002F50BD">
        <w:rPr>
          <w:rFonts w:ascii="Verdana" w:hAnsi="Verdana"/>
          <w:sz w:val="20"/>
          <w:lang w:val="pt-BR"/>
        </w:rPr>
        <w:t>u</w:t>
      </w:r>
      <w:r w:rsidR="004756C1" w:rsidRPr="002F50BD">
        <w:rPr>
          <w:rFonts w:ascii="Verdana" w:hAnsi="Verdana"/>
          <w:sz w:val="20"/>
          <w:lang w:val="pt-BR"/>
        </w:rPr>
        <w:t xml:space="preserve"> </w:t>
      </w:r>
      <w:r w:rsidR="009C5015" w:rsidRPr="002F50BD">
        <w:rPr>
          <w:rFonts w:ascii="Verdana" w:hAnsi="Verdana"/>
          <w:sz w:val="20"/>
          <w:lang w:val="pt-BR"/>
        </w:rPr>
        <w:t>seu equiv</w:t>
      </w:r>
      <w:r w:rsidR="0089298C" w:rsidRPr="002F50BD">
        <w:rPr>
          <w:rFonts w:ascii="Verdana" w:hAnsi="Verdana"/>
          <w:sz w:val="20"/>
          <w:lang w:val="pt-BR"/>
        </w:rPr>
        <w:t>alente em moeda</w:t>
      </w:r>
      <w:r w:rsidR="004756C1" w:rsidRPr="002F50BD">
        <w:rPr>
          <w:rFonts w:ascii="Verdana" w:hAnsi="Verdana"/>
          <w:sz w:val="20"/>
          <w:lang w:val="pt-BR"/>
        </w:rPr>
        <w:t xml:space="preserve"> </w:t>
      </w:r>
      <w:r w:rsidR="00E350FB"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 xml:space="preserve">a, </w:t>
      </w:r>
      <w:r w:rsidR="00E350FB" w:rsidRPr="002F50BD">
        <w:rPr>
          <w:rFonts w:ascii="Verdana" w:hAnsi="Verdana"/>
          <w:sz w:val="20"/>
          <w:lang w:val="pt-BR"/>
        </w:rPr>
        <w:t xml:space="preserve">a título </w:t>
      </w:r>
      <w:r w:rsidR="0089298C" w:rsidRPr="002F50BD">
        <w:rPr>
          <w:rFonts w:ascii="Verdana" w:hAnsi="Verdana"/>
          <w:sz w:val="20"/>
          <w:lang w:val="pt-BR"/>
        </w:rPr>
        <w:t xml:space="preserve">dos </w:t>
      </w:r>
      <w:r w:rsidR="004756C1" w:rsidRPr="002F50BD">
        <w:rPr>
          <w:rFonts w:ascii="Verdana" w:hAnsi="Verdana"/>
          <w:sz w:val="20"/>
          <w:lang w:val="pt-BR"/>
        </w:rPr>
        <w:t>referidos gastos</w:t>
      </w:r>
      <w:r w:rsidR="0089298C" w:rsidRPr="002F50BD">
        <w:rPr>
          <w:rFonts w:ascii="Verdana" w:hAnsi="Verdana"/>
          <w:sz w:val="20"/>
          <w:lang w:val="pt-BR"/>
        </w:rPr>
        <w:t xml:space="preserve"> </w:t>
      </w:r>
      <w:r w:rsidR="004756C1" w:rsidRPr="002F50BD">
        <w:rPr>
          <w:rFonts w:ascii="Verdana" w:hAnsi="Verdana"/>
          <w:sz w:val="20"/>
          <w:lang w:val="pt-BR"/>
        </w:rPr>
        <w:t>inc</w:t>
      </w:r>
      <w:r w:rsidR="00E350FB" w:rsidRPr="002F50BD">
        <w:rPr>
          <w:rFonts w:ascii="Verdana" w:hAnsi="Verdana"/>
          <w:sz w:val="20"/>
          <w:lang w:val="pt-BR"/>
        </w:rPr>
        <w:t>orridos pel</w:t>
      </w:r>
      <w:r w:rsidR="0089298C" w:rsidRPr="002F50BD">
        <w:rPr>
          <w:rFonts w:ascii="Verdana" w:hAnsi="Verdana"/>
          <w:sz w:val="20"/>
          <w:lang w:val="pt-BR"/>
        </w:rPr>
        <w:t>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alguns dos quais</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E350FB" w:rsidRPr="002F50BD">
        <w:rPr>
          <w:rFonts w:ascii="Verdana" w:hAnsi="Verdana"/>
          <w:sz w:val="20"/>
          <w:lang w:val="pt-BR"/>
        </w:rPr>
        <w:t xml:space="preserve">assumidos </w:t>
      </w:r>
      <w:r w:rsidR="004756C1" w:rsidRPr="002F50BD">
        <w:rPr>
          <w:rFonts w:ascii="Verdana" w:hAnsi="Verdana"/>
          <w:sz w:val="20"/>
          <w:lang w:val="pt-BR"/>
        </w:rPr>
        <w:t xml:space="preserve">por </w:t>
      </w:r>
      <w:r w:rsidR="002D5D95" w:rsidRPr="002F50BD">
        <w:rPr>
          <w:rFonts w:ascii="Verdana" w:hAnsi="Verdana"/>
          <w:sz w:val="20"/>
          <w:lang w:val="pt-BR"/>
        </w:rPr>
        <w:t>Tierraviva</w:t>
      </w:r>
      <w:r w:rsidR="001A0CDE" w:rsidRPr="002F50BD">
        <w:rPr>
          <w:rFonts w:ascii="Verdana" w:hAnsi="Verdana"/>
          <w:sz w:val="20"/>
          <w:lang w:val="pt-BR"/>
        </w:rPr>
        <w:t>. Est</w:t>
      </w:r>
      <w:r w:rsidR="0089298C"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 xml:space="preserve">quantia </w:t>
      </w:r>
      <w:r w:rsidR="004756C1" w:rsidRPr="002F50BD">
        <w:rPr>
          <w:rFonts w:ascii="Verdana" w:hAnsi="Verdana"/>
          <w:sz w:val="20"/>
          <w:lang w:val="pt-BR"/>
        </w:rPr>
        <w:t xml:space="preserve">será </w:t>
      </w:r>
      <w:r w:rsidR="00E350FB" w:rsidRPr="002F50BD">
        <w:rPr>
          <w:rFonts w:ascii="Verdana" w:hAnsi="Verdana"/>
          <w:sz w:val="20"/>
          <w:lang w:val="pt-BR"/>
        </w:rPr>
        <w:lastRenderedPageBreak/>
        <w:t>colocada à</w:t>
      </w:r>
      <w:r w:rsidR="004756C1" w:rsidRPr="002F50BD">
        <w:rPr>
          <w:rFonts w:ascii="Verdana" w:hAnsi="Verdana"/>
          <w:sz w:val="20"/>
          <w:lang w:val="pt-BR"/>
        </w:rPr>
        <w:t xml:space="preserve"> disposi</w:t>
      </w:r>
      <w:r w:rsidR="0089298C" w:rsidRPr="002F50BD">
        <w:rPr>
          <w:rFonts w:ascii="Verdana" w:hAnsi="Verdana"/>
          <w:sz w:val="20"/>
          <w:lang w:val="pt-BR"/>
        </w:rPr>
        <w:t xml:space="preserve">ção dos </w:t>
      </w:r>
      <w:r w:rsidR="004756C1" w:rsidRPr="002F50BD">
        <w:rPr>
          <w:rFonts w:ascii="Verdana" w:hAnsi="Verdana"/>
          <w:sz w:val="20"/>
          <w:lang w:val="pt-BR"/>
        </w:rPr>
        <w:t>líderes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que</w:t>
      </w:r>
      <w:r w:rsidR="004756C1" w:rsidRPr="002F50BD">
        <w:rPr>
          <w:rFonts w:ascii="Verdana" w:hAnsi="Verdana"/>
          <w:sz w:val="20"/>
          <w:lang w:val="pt-BR"/>
        </w:rPr>
        <w:t xml:space="preserve"> </w:t>
      </w:r>
      <w:r w:rsidR="0089298C" w:rsidRPr="002F50BD">
        <w:rPr>
          <w:rFonts w:ascii="Verdana" w:hAnsi="Verdana"/>
          <w:sz w:val="20"/>
          <w:lang w:val="pt-BR"/>
        </w:rPr>
        <w:t>deverão</w:t>
      </w:r>
      <w:r w:rsidR="004756C1" w:rsidRPr="002F50BD">
        <w:rPr>
          <w:rFonts w:ascii="Verdana" w:hAnsi="Verdana"/>
          <w:sz w:val="20"/>
          <w:lang w:val="pt-BR"/>
        </w:rPr>
        <w:t xml:space="preserve"> reintegrar</w:t>
      </w:r>
      <w:r w:rsidR="0089298C" w:rsidRPr="002F50BD">
        <w:rPr>
          <w:rFonts w:ascii="Verdana" w:hAnsi="Verdana"/>
          <w:sz w:val="20"/>
          <w:lang w:val="pt-BR"/>
        </w:rPr>
        <w:t xml:space="preserve"> à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w:t>
      </w:r>
      <w:r w:rsidR="002D5D95" w:rsidRPr="002F50BD">
        <w:rPr>
          <w:rFonts w:ascii="Verdana" w:hAnsi="Verdana"/>
          <w:sz w:val="20"/>
          <w:lang w:val="pt-BR"/>
        </w:rPr>
        <w:t>Tierraviva</w:t>
      </w:r>
      <w:r w:rsidR="0089298C" w:rsidRPr="002F50BD">
        <w:rPr>
          <w:rFonts w:ascii="Verdana" w:hAnsi="Verdana"/>
          <w:sz w:val="20"/>
          <w:lang w:val="pt-BR"/>
        </w:rPr>
        <w:t xml:space="preserve"> o montante </w:t>
      </w:r>
      <w:r w:rsidR="004756C1" w:rsidRPr="002F50BD">
        <w:rPr>
          <w:rFonts w:ascii="Verdana" w:hAnsi="Verdana"/>
          <w:sz w:val="20"/>
          <w:lang w:val="pt-BR"/>
        </w:rPr>
        <w:t>que corresponda</w:t>
      </w:r>
      <w:r w:rsidR="0089298C" w:rsidRPr="002F50BD">
        <w:rPr>
          <w:rFonts w:ascii="Verdana" w:hAnsi="Verdana"/>
          <w:sz w:val="20"/>
          <w:lang w:val="pt-BR"/>
        </w:rPr>
        <w:t xml:space="preserve"> e o </w:t>
      </w:r>
      <w:r w:rsidR="004756C1" w:rsidRPr="002F50BD">
        <w:rPr>
          <w:rFonts w:ascii="Verdana" w:hAnsi="Verdana"/>
          <w:sz w:val="20"/>
          <w:lang w:val="pt-BR"/>
        </w:rPr>
        <w:t>saldo restante será utilizado</w:t>
      </w:r>
      <w:r w:rsidR="0089298C" w:rsidRPr="002F50BD">
        <w:rPr>
          <w:rFonts w:ascii="Verdana" w:hAnsi="Verdana"/>
          <w:sz w:val="20"/>
          <w:lang w:val="pt-BR"/>
        </w:rPr>
        <w:t xml:space="preserve"> no que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w:t>
      </w:r>
      <w:r w:rsidR="00E350FB" w:rsidRPr="002F50BD">
        <w:rPr>
          <w:rFonts w:ascii="Verdana" w:hAnsi="Verdana"/>
          <w:sz w:val="20"/>
          <w:lang w:val="pt-BR"/>
        </w:rPr>
        <w:t>decidam,</w:t>
      </w:r>
      <w:r w:rsidR="004756C1" w:rsidRPr="002F50BD">
        <w:rPr>
          <w:rFonts w:ascii="Verdana" w:hAnsi="Verdana"/>
          <w:sz w:val="20"/>
          <w:lang w:val="pt-BR"/>
        </w:rPr>
        <w:t xml:space="preserve"> conforme </w:t>
      </w:r>
      <w:r w:rsidR="00E350FB" w:rsidRPr="002F50BD">
        <w:rPr>
          <w:rFonts w:ascii="Verdana" w:hAnsi="Verdana"/>
          <w:sz w:val="20"/>
          <w:lang w:val="pt-BR"/>
        </w:rPr>
        <w:t>suas próprias</w:t>
      </w:r>
      <w:r w:rsidR="004756C1" w:rsidRPr="002F50BD">
        <w:rPr>
          <w:rFonts w:ascii="Verdana" w:hAnsi="Verdana"/>
          <w:sz w:val="20"/>
          <w:lang w:val="pt-BR"/>
        </w:rPr>
        <w:t xml:space="preserve"> </w:t>
      </w:r>
      <w:r w:rsidR="0089298C" w:rsidRPr="002F50BD">
        <w:rPr>
          <w:rFonts w:ascii="Verdana" w:hAnsi="Verdana"/>
          <w:sz w:val="20"/>
          <w:lang w:val="pt-BR"/>
        </w:rPr>
        <w:t>necessidad</w:t>
      </w:r>
      <w:r w:rsidR="004756C1" w:rsidRPr="002F50BD">
        <w:rPr>
          <w:rFonts w:ascii="Verdana" w:hAnsi="Verdana"/>
          <w:sz w:val="20"/>
          <w:lang w:val="pt-BR"/>
        </w:rPr>
        <w:t>es</w:t>
      </w:r>
      <w:r w:rsidR="0089298C" w:rsidRPr="002F50BD">
        <w:rPr>
          <w:rFonts w:ascii="Verdana" w:hAnsi="Verdana"/>
          <w:sz w:val="20"/>
          <w:lang w:val="pt-BR"/>
        </w:rPr>
        <w:t xml:space="preserve"> e </w:t>
      </w:r>
      <w:r w:rsidR="004756C1" w:rsidRPr="002F50BD">
        <w:rPr>
          <w:rFonts w:ascii="Verdana" w:hAnsi="Verdana"/>
          <w:sz w:val="20"/>
          <w:lang w:val="pt-BR"/>
        </w:rPr>
        <w:t xml:space="preserve">formas de </w:t>
      </w:r>
      <w:r w:rsidR="0089298C" w:rsidRPr="002F50BD">
        <w:rPr>
          <w:rFonts w:ascii="Verdana" w:hAnsi="Verdana"/>
          <w:sz w:val="20"/>
          <w:lang w:val="pt-BR"/>
        </w:rPr>
        <w:t>decisão</w:t>
      </w:r>
      <w:r w:rsidR="004756C1" w:rsidRPr="002F50BD">
        <w:rPr>
          <w:rFonts w:ascii="Verdana" w:hAnsi="Verdana"/>
          <w:sz w:val="20"/>
          <w:lang w:val="pt-BR"/>
        </w:rPr>
        <w:t>, usos, valores</w:t>
      </w:r>
      <w:r w:rsidR="0089298C" w:rsidRPr="002F50BD">
        <w:rPr>
          <w:rFonts w:ascii="Verdana" w:hAnsi="Verdana"/>
          <w:sz w:val="20"/>
          <w:lang w:val="pt-BR"/>
        </w:rPr>
        <w:t xml:space="preserve"> e costume</w:t>
      </w:r>
      <w:r w:rsidR="004756C1" w:rsidRPr="002F50BD">
        <w:rPr>
          <w:rFonts w:ascii="Verdana" w:hAnsi="Verdana"/>
          <w:sz w:val="20"/>
          <w:lang w:val="pt-BR"/>
        </w:rPr>
        <w:t>s.</w:t>
      </w:r>
    </w:p>
    <w:p w:rsidR="004756C1" w:rsidRPr="002F50BD" w:rsidRDefault="004756C1">
      <w:pPr>
        <w:jc w:val="both"/>
        <w:rPr>
          <w:rFonts w:ascii="Verdana" w:hAnsi="Verdana"/>
          <w:lang w:val="pt-BR"/>
        </w:rPr>
      </w:pPr>
    </w:p>
    <w:p w:rsidR="004756C1" w:rsidRPr="002F50BD" w:rsidRDefault="00DC0F25">
      <w:pPr>
        <w:pStyle w:val="Heading6"/>
        <w:numPr>
          <w:ilvl w:val="0"/>
          <w:numId w:val="15"/>
        </w:numPr>
        <w:jc w:val="center"/>
        <w:rPr>
          <w:b w:val="0"/>
          <w:i/>
        </w:rPr>
      </w:pPr>
      <w:r w:rsidRPr="002F50BD">
        <w:rPr>
          <w:b w:val="0"/>
          <w:i/>
          <w:smallCaps/>
        </w:rPr>
        <w:t>Dano</w:t>
      </w:r>
      <w:r w:rsidR="004756C1" w:rsidRPr="002F50BD">
        <w:rPr>
          <w:b w:val="0"/>
          <w:i/>
          <w:smallCaps/>
        </w:rPr>
        <w:t xml:space="preserve"> </w:t>
      </w:r>
      <w:r w:rsidR="0089298C" w:rsidRPr="002F50BD">
        <w:rPr>
          <w:b w:val="0"/>
          <w:i/>
          <w:smallCaps/>
        </w:rPr>
        <w:t>imaterial</w:t>
      </w:r>
    </w:p>
    <w:p w:rsidR="004756C1" w:rsidRPr="002F50BD" w:rsidRDefault="004756C1">
      <w:pPr>
        <w:pStyle w:val="BodyText2"/>
        <w:rPr>
          <w:rFonts w:ascii="Verdana" w:hAnsi="Verdana"/>
          <w:b/>
          <w:sz w:val="20"/>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 da Comissão</w:t>
      </w:r>
    </w:p>
    <w:p w:rsidR="00E350FB" w:rsidRPr="002F50BD" w:rsidRDefault="00E350FB" w:rsidP="00E350FB">
      <w:pPr>
        <w:jc w:val="both"/>
        <w:rPr>
          <w:rFonts w:ascii="Verdana" w:hAnsi="Verdana"/>
          <w:sz w:val="20"/>
          <w:lang w:val="pt-BR"/>
        </w:rPr>
      </w:pPr>
    </w:p>
    <w:p w:rsidR="004756C1" w:rsidRPr="002F50BD" w:rsidRDefault="0089298C">
      <w:pPr>
        <w:numPr>
          <w:ilvl w:val="0"/>
          <w:numId w:val="31"/>
        </w:numPr>
        <w:jc w:val="both"/>
        <w:rPr>
          <w:rFonts w:ascii="Verdana" w:hAnsi="Verdana"/>
          <w:sz w:val="20"/>
          <w:lang w:val="pt-BR"/>
        </w:rPr>
      </w:pPr>
      <w:r w:rsidRPr="002F50BD">
        <w:rPr>
          <w:rFonts w:ascii="Verdana" w:hAnsi="Verdana"/>
          <w:sz w:val="20"/>
          <w:lang w:val="pt-BR"/>
        </w:rPr>
        <w:t>A Comissão</w:t>
      </w:r>
      <w:r w:rsidR="004756C1" w:rsidRPr="002F50BD">
        <w:rPr>
          <w:rFonts w:ascii="Verdana" w:hAnsi="Verdana"/>
          <w:sz w:val="20"/>
          <w:lang w:val="pt-BR"/>
        </w:rPr>
        <w:t xml:space="preserve"> </w:t>
      </w:r>
      <w:r w:rsidRPr="002F50BD">
        <w:rPr>
          <w:rFonts w:ascii="Verdana" w:hAnsi="Verdana"/>
          <w:sz w:val="20"/>
          <w:lang w:val="pt-BR"/>
        </w:rPr>
        <w:t xml:space="preserve">solicitou à </w:t>
      </w:r>
      <w:r w:rsidR="004756C1" w:rsidRPr="002F50BD">
        <w:rPr>
          <w:rFonts w:ascii="Verdana" w:hAnsi="Verdana"/>
          <w:sz w:val="20"/>
          <w:lang w:val="pt-BR"/>
        </w:rPr>
        <w:t>Corte que ordene</w:t>
      </w:r>
      <w:r w:rsidRPr="002F50BD">
        <w:rPr>
          <w:rFonts w:ascii="Verdana" w:hAnsi="Verdana"/>
          <w:sz w:val="20"/>
          <w:lang w:val="pt-BR"/>
        </w:rPr>
        <w:t xml:space="preserve"> ao </w:t>
      </w:r>
      <w:r w:rsidR="004756C1" w:rsidRPr="002F50BD">
        <w:rPr>
          <w:rFonts w:ascii="Verdana" w:hAnsi="Verdana"/>
          <w:sz w:val="20"/>
          <w:lang w:val="pt-BR"/>
        </w:rPr>
        <w:t>Estado pagar</w:t>
      </w:r>
      <w:r w:rsidRPr="002F50BD">
        <w:rPr>
          <w:rFonts w:ascii="Verdana" w:hAnsi="Verdana"/>
          <w:sz w:val="20"/>
          <w:lang w:val="pt-BR"/>
        </w:rPr>
        <w:t xml:space="preserve"> uma soma </w:t>
      </w:r>
      <w:r w:rsidR="00406481" w:rsidRPr="002F50BD">
        <w:rPr>
          <w:rFonts w:ascii="Verdana" w:hAnsi="Verdana"/>
          <w:sz w:val="20"/>
          <w:lang w:val="pt-BR"/>
        </w:rPr>
        <w:t>com</w:t>
      </w:r>
      <w:r w:rsidRPr="002F50BD">
        <w:rPr>
          <w:rFonts w:ascii="Verdana" w:hAnsi="Verdana"/>
          <w:sz w:val="20"/>
          <w:lang w:val="pt-BR"/>
        </w:rPr>
        <w:t xml:space="preserve"> equidade </w:t>
      </w:r>
      <w:r w:rsidR="004756C1" w:rsidRPr="002F50BD">
        <w:rPr>
          <w:rFonts w:ascii="Verdana" w:hAnsi="Verdana"/>
          <w:sz w:val="20"/>
          <w:lang w:val="pt-BR"/>
        </w:rPr>
        <w:t xml:space="preserve">como </w:t>
      </w:r>
      <w:r w:rsidRPr="002F50BD">
        <w:rPr>
          <w:rFonts w:ascii="Verdana" w:hAnsi="Verdana"/>
          <w:sz w:val="20"/>
          <w:lang w:val="pt-BR"/>
        </w:rPr>
        <w:t>indenização</w:t>
      </w:r>
      <w:r w:rsidR="004756C1" w:rsidRPr="002F50BD">
        <w:rPr>
          <w:rFonts w:ascii="Verdana" w:hAnsi="Verdana"/>
          <w:sz w:val="20"/>
          <w:lang w:val="pt-BR"/>
        </w:rPr>
        <w:t xml:space="preserve"> </w:t>
      </w:r>
      <w:r w:rsidR="00A57EC8" w:rsidRPr="002F50BD">
        <w:rPr>
          <w:rFonts w:ascii="Verdana" w:hAnsi="Verdana"/>
          <w:sz w:val="20"/>
          <w:lang w:val="pt-BR"/>
        </w:rPr>
        <w:t>a título de</w:t>
      </w:r>
      <w:r w:rsidRPr="002F50BD">
        <w:rPr>
          <w:rFonts w:ascii="Verdana" w:hAnsi="Verdana"/>
          <w:sz w:val="20"/>
          <w:lang w:val="pt-BR"/>
        </w:rPr>
        <w:t xml:space="preserve"> dano</w:t>
      </w:r>
      <w:r w:rsidR="004756C1" w:rsidRPr="002F50BD">
        <w:rPr>
          <w:rFonts w:ascii="Verdana" w:hAnsi="Verdana"/>
          <w:sz w:val="20"/>
          <w:lang w:val="pt-BR"/>
        </w:rPr>
        <w:t xml:space="preserve"> </w:t>
      </w:r>
      <w:r w:rsidRPr="002F50BD">
        <w:rPr>
          <w:rFonts w:ascii="Verdana" w:hAnsi="Verdana"/>
          <w:sz w:val="20"/>
          <w:lang w:val="pt-BR"/>
        </w:rPr>
        <w:t>imaterial</w:t>
      </w:r>
      <w:r w:rsidR="004756C1" w:rsidRPr="002F50BD">
        <w:rPr>
          <w:rFonts w:ascii="Verdana" w:hAnsi="Verdana"/>
          <w:sz w:val="20"/>
          <w:lang w:val="pt-BR"/>
        </w:rPr>
        <w:t xml:space="preserve"> causado</w:t>
      </w:r>
      <w:r w:rsidRPr="002F50BD">
        <w:rPr>
          <w:rFonts w:ascii="Verdana" w:hAnsi="Verdana"/>
          <w:sz w:val="20"/>
          <w:lang w:val="pt-BR"/>
        </w:rPr>
        <w:t xml:space="preserve"> às vítima</w:t>
      </w:r>
      <w:r w:rsidR="004756C1" w:rsidRPr="002F50BD">
        <w:rPr>
          <w:rFonts w:ascii="Verdana" w:hAnsi="Verdana"/>
          <w:sz w:val="20"/>
          <w:lang w:val="pt-BR"/>
        </w:rPr>
        <w:t>s</w:t>
      </w:r>
      <w:r w:rsidRPr="002F50BD">
        <w:rPr>
          <w:rFonts w:ascii="Verdana" w:hAnsi="Verdana"/>
          <w:sz w:val="20"/>
          <w:lang w:val="pt-BR"/>
        </w:rPr>
        <w:t xml:space="preserve"> no </w:t>
      </w:r>
      <w:r w:rsidR="004756C1" w:rsidRPr="002F50BD">
        <w:rPr>
          <w:rFonts w:ascii="Verdana" w:hAnsi="Verdana"/>
          <w:sz w:val="20"/>
          <w:lang w:val="pt-BR"/>
        </w:rPr>
        <w:t>presente caso.</w:t>
      </w:r>
      <w:r w:rsidR="00FE08B7">
        <w:rPr>
          <w:rFonts w:ascii="Verdana" w:hAnsi="Verdana"/>
          <w:sz w:val="20"/>
          <w:lang w:val="pt-BR"/>
        </w:rPr>
        <w:t xml:space="preserve"> </w:t>
      </w:r>
      <w:r w:rsidR="00A57EC8" w:rsidRPr="002F50BD">
        <w:rPr>
          <w:rFonts w:ascii="Verdana" w:hAnsi="Verdana"/>
          <w:sz w:val="20"/>
          <w:lang w:val="pt-BR"/>
        </w:rPr>
        <w:t xml:space="preserve">A este </w:t>
      </w:r>
      <w:r w:rsidRPr="002F50BD">
        <w:rPr>
          <w:rFonts w:ascii="Verdana" w:hAnsi="Verdana"/>
          <w:sz w:val="20"/>
          <w:lang w:val="pt-BR"/>
        </w:rPr>
        <w:t>respeito</w:t>
      </w:r>
      <w:r w:rsidR="004756C1" w:rsidRPr="002F50BD">
        <w:rPr>
          <w:rFonts w:ascii="Verdana" w:hAnsi="Verdana"/>
          <w:sz w:val="20"/>
          <w:lang w:val="pt-BR"/>
        </w:rPr>
        <w:t xml:space="preserve">, </w:t>
      </w:r>
      <w:r w:rsidRPr="002F50BD">
        <w:rPr>
          <w:rFonts w:ascii="Verdana" w:hAnsi="Verdana"/>
          <w:sz w:val="20"/>
          <w:lang w:val="pt-BR"/>
        </w:rPr>
        <w:t>argumentou</w:t>
      </w:r>
      <w:r w:rsidR="004756C1" w:rsidRPr="002F50BD">
        <w:rPr>
          <w:rFonts w:ascii="Verdana" w:hAnsi="Verdana"/>
          <w:sz w:val="20"/>
          <w:lang w:val="pt-BR"/>
        </w:rPr>
        <w:t xml:space="preserve"> que:</w:t>
      </w:r>
    </w:p>
    <w:p w:rsidR="00E350FB" w:rsidRPr="002F50BD" w:rsidRDefault="00E350FB" w:rsidP="00E350FB">
      <w:pPr>
        <w:tabs>
          <w:tab w:val="left" w:pos="1080"/>
        </w:tabs>
        <w:ind w:left="360"/>
        <w:jc w:val="both"/>
        <w:rPr>
          <w:rFonts w:ascii="Verdana" w:hAnsi="Verdana"/>
          <w:sz w:val="20"/>
          <w:lang w:val="pt-BR"/>
        </w:rPr>
      </w:pPr>
    </w:p>
    <w:p w:rsidR="004756C1" w:rsidRPr="002F50BD" w:rsidRDefault="0089298C">
      <w:pPr>
        <w:numPr>
          <w:ilvl w:val="0"/>
          <w:numId w:val="16"/>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deve </w:t>
      </w:r>
      <w:r w:rsidR="004756C1" w:rsidRPr="002F50BD">
        <w:rPr>
          <w:rFonts w:ascii="Verdana" w:hAnsi="Verdana"/>
          <w:sz w:val="20"/>
          <w:lang w:val="pt-BR"/>
        </w:rPr>
        <w:t>pagar</w:t>
      </w:r>
      <w:r w:rsidRPr="002F50BD">
        <w:rPr>
          <w:rFonts w:ascii="Verdana" w:hAnsi="Verdana"/>
          <w:sz w:val="20"/>
          <w:lang w:val="pt-BR"/>
        </w:rPr>
        <w:t xml:space="preserve"> à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a </w:t>
      </w:r>
      <w:r w:rsidR="00AB454A" w:rsidRPr="002F50BD">
        <w:rPr>
          <w:rFonts w:ascii="Verdana" w:hAnsi="Verdana"/>
          <w:sz w:val="20"/>
          <w:lang w:val="pt-BR"/>
        </w:rPr>
        <w:t>seus membros</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sofrimento</w:t>
      </w:r>
      <w:r w:rsidR="004756C1" w:rsidRPr="002F50BD">
        <w:rPr>
          <w:rFonts w:ascii="Verdana" w:hAnsi="Verdana"/>
          <w:sz w:val="20"/>
          <w:lang w:val="pt-BR"/>
        </w:rPr>
        <w:t xml:space="preserve">s, </w:t>
      </w:r>
      <w:r w:rsidRPr="002F50BD">
        <w:rPr>
          <w:rFonts w:ascii="Verdana" w:hAnsi="Verdana"/>
          <w:sz w:val="20"/>
          <w:lang w:val="pt-BR"/>
        </w:rPr>
        <w:t>angústia</w:t>
      </w:r>
      <w:r w:rsidR="00754117" w:rsidRPr="002F50BD">
        <w:rPr>
          <w:rFonts w:ascii="Verdana" w:hAnsi="Verdana"/>
          <w:sz w:val="20"/>
          <w:lang w:val="pt-BR"/>
        </w:rPr>
        <w:t>s e indignidade</w:t>
      </w:r>
      <w:r w:rsidRPr="002F50BD">
        <w:rPr>
          <w:rFonts w:ascii="Verdana" w:hAnsi="Verdana"/>
          <w:sz w:val="20"/>
          <w:lang w:val="pt-BR"/>
        </w:rPr>
        <w:t xml:space="preserve"> às </w:t>
      </w:r>
      <w:r w:rsidR="00A57EC8" w:rsidRPr="002F50BD">
        <w:rPr>
          <w:rFonts w:ascii="Verdana" w:hAnsi="Verdana"/>
          <w:sz w:val="20"/>
          <w:lang w:val="pt-BR"/>
        </w:rPr>
        <w:t xml:space="preserve">quais foram </w:t>
      </w:r>
      <w:r w:rsidRPr="002F50BD">
        <w:rPr>
          <w:rFonts w:ascii="Verdana" w:hAnsi="Verdana"/>
          <w:sz w:val="20"/>
          <w:lang w:val="pt-BR"/>
        </w:rPr>
        <w:t>submetido</w:t>
      </w:r>
      <w:r w:rsidR="00A57EC8" w:rsidRPr="002F50BD">
        <w:rPr>
          <w:rFonts w:ascii="Verdana" w:hAnsi="Verdana"/>
          <w:sz w:val="20"/>
          <w:lang w:val="pt-BR"/>
        </w:rPr>
        <w:t>s</w:t>
      </w:r>
      <w:r w:rsidR="004756C1" w:rsidRPr="002F50BD">
        <w:rPr>
          <w:rFonts w:ascii="Verdana" w:hAnsi="Verdana"/>
          <w:sz w:val="20"/>
          <w:lang w:val="pt-BR"/>
        </w:rPr>
        <w:t xml:space="preserve"> durante</w:t>
      </w:r>
      <w:r w:rsidRPr="002F50BD">
        <w:rPr>
          <w:rFonts w:ascii="Verdana" w:hAnsi="Verdana"/>
          <w:sz w:val="20"/>
          <w:lang w:val="pt-BR"/>
        </w:rPr>
        <w:t xml:space="preserve"> os anos em </w:t>
      </w:r>
      <w:r w:rsidR="004756C1" w:rsidRPr="002F50BD">
        <w:rPr>
          <w:rFonts w:ascii="Verdana" w:hAnsi="Verdana"/>
          <w:sz w:val="20"/>
          <w:lang w:val="pt-BR"/>
        </w:rPr>
        <w:t>que espera</w:t>
      </w:r>
      <w:r w:rsidR="00A57EC8" w:rsidRPr="002F50BD">
        <w:rPr>
          <w:rFonts w:ascii="Verdana" w:hAnsi="Verdana"/>
          <w:sz w:val="20"/>
          <w:lang w:val="pt-BR"/>
        </w:rPr>
        <w:t>ram</w:t>
      </w:r>
      <w:r w:rsidRPr="002F50BD">
        <w:rPr>
          <w:rFonts w:ascii="Verdana" w:hAnsi="Verdana"/>
          <w:sz w:val="20"/>
          <w:lang w:val="pt-BR"/>
        </w:rPr>
        <w:t xml:space="preserve"> </w:t>
      </w:r>
      <w:r w:rsidR="00A57EC8" w:rsidRPr="002F50BD">
        <w:rPr>
          <w:rFonts w:ascii="Verdana" w:hAnsi="Verdana"/>
          <w:sz w:val="20"/>
          <w:lang w:val="pt-BR"/>
        </w:rPr>
        <w:t xml:space="preserve">por </w:t>
      </w:r>
      <w:r w:rsidRPr="002F50BD">
        <w:rPr>
          <w:rFonts w:ascii="Verdana" w:hAnsi="Verdana"/>
          <w:sz w:val="20"/>
          <w:lang w:val="pt-BR"/>
        </w:rPr>
        <w:t xml:space="preserve">uma </w:t>
      </w:r>
      <w:r w:rsidR="004756C1" w:rsidRPr="002F50BD">
        <w:rPr>
          <w:rFonts w:ascii="Verdana" w:hAnsi="Verdana"/>
          <w:sz w:val="20"/>
          <w:lang w:val="pt-BR"/>
        </w:rPr>
        <w:t>res</w:t>
      </w:r>
      <w:r w:rsidRPr="002F50BD">
        <w:rPr>
          <w:rFonts w:ascii="Verdana" w:hAnsi="Verdana"/>
          <w:sz w:val="20"/>
          <w:lang w:val="pt-BR"/>
        </w:rPr>
        <w:t>posta</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a a s</w:t>
      </w:r>
      <w:r w:rsidR="00A57EC8" w:rsidRPr="002F50BD">
        <w:rPr>
          <w:rFonts w:ascii="Verdana" w:hAnsi="Verdana"/>
          <w:sz w:val="20"/>
          <w:lang w:val="pt-BR"/>
        </w:rPr>
        <w:t>e</w:t>
      </w:r>
      <w:r w:rsidR="004756C1" w:rsidRPr="002F50BD">
        <w:rPr>
          <w:rFonts w:ascii="Verdana" w:hAnsi="Verdana"/>
          <w:sz w:val="20"/>
          <w:lang w:val="pt-BR"/>
        </w:rPr>
        <w:t>u reclamo territorial</w:t>
      </w:r>
      <w:r w:rsidR="00DB51F0" w:rsidRPr="002F50BD">
        <w:rPr>
          <w:rFonts w:ascii="Verdana" w:hAnsi="Verdana"/>
          <w:sz w:val="20"/>
          <w:lang w:val="pt-BR"/>
        </w:rPr>
        <w:t xml:space="preserve">. Os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A57EC8" w:rsidRPr="002F50BD">
        <w:rPr>
          <w:rFonts w:ascii="Verdana" w:hAnsi="Verdana"/>
          <w:sz w:val="20"/>
          <w:lang w:val="pt-BR"/>
        </w:rPr>
        <w:t>suportaram</w:t>
      </w:r>
      <w:r w:rsidR="00951B61">
        <w:rPr>
          <w:rFonts w:ascii="Verdana" w:hAnsi="Verdana"/>
          <w:sz w:val="20"/>
          <w:lang w:val="pt-BR"/>
        </w:rPr>
        <w:t xml:space="preserve"> a rejeição </w:t>
      </w:r>
      <w:r w:rsidR="000A7E90">
        <w:rPr>
          <w:rFonts w:ascii="Verdana" w:hAnsi="Verdana"/>
          <w:sz w:val="20"/>
          <w:lang w:val="pt-BR"/>
        </w:rPr>
        <w:t xml:space="preserve">à sua legítima reclamação </w:t>
      </w:r>
      <w:r w:rsidRPr="002F50BD">
        <w:rPr>
          <w:rFonts w:ascii="Verdana" w:hAnsi="Verdana"/>
          <w:sz w:val="20"/>
          <w:lang w:val="pt-BR"/>
        </w:rPr>
        <w:t>e estiveram expost</w:t>
      </w:r>
      <w:r w:rsidR="004756C1" w:rsidRPr="002F50BD">
        <w:rPr>
          <w:rFonts w:ascii="Verdana" w:hAnsi="Verdana"/>
          <w:sz w:val="20"/>
          <w:lang w:val="pt-BR"/>
        </w:rPr>
        <w:t xml:space="preserve">os a constantes </w:t>
      </w:r>
      <w:r w:rsidR="00AB454A" w:rsidRPr="002F50BD">
        <w:rPr>
          <w:rFonts w:ascii="Verdana" w:hAnsi="Verdana"/>
          <w:sz w:val="20"/>
          <w:lang w:val="pt-BR"/>
        </w:rPr>
        <w:t>pressões</w:t>
      </w:r>
      <w:r w:rsidR="004756C1" w:rsidRPr="002F50BD">
        <w:rPr>
          <w:rFonts w:ascii="Verdana" w:hAnsi="Verdana"/>
          <w:sz w:val="20"/>
          <w:lang w:val="pt-BR"/>
        </w:rPr>
        <w:t xml:space="preserve"> tanto de particulares como de agentes esta</w:t>
      </w:r>
      <w:r w:rsidRPr="002F50BD">
        <w:rPr>
          <w:rFonts w:ascii="Verdana" w:hAnsi="Verdana"/>
          <w:sz w:val="20"/>
          <w:lang w:val="pt-BR"/>
        </w:rPr>
        <w:t>tais</w:t>
      </w:r>
      <w:r w:rsidR="004756C1" w:rsidRPr="002F50BD">
        <w:rPr>
          <w:rFonts w:ascii="Verdana" w:hAnsi="Verdana"/>
          <w:sz w:val="20"/>
          <w:lang w:val="pt-BR"/>
        </w:rPr>
        <w:t xml:space="preserve"> </w:t>
      </w:r>
      <w:r w:rsidR="00406481" w:rsidRPr="002F50BD">
        <w:rPr>
          <w:rFonts w:ascii="Verdana" w:hAnsi="Verdana"/>
          <w:sz w:val="20"/>
          <w:lang w:val="pt-BR"/>
        </w:rPr>
        <w:t xml:space="preserve">destinadas </w:t>
      </w:r>
      <w:r w:rsidR="004756C1" w:rsidRPr="002F50BD">
        <w:rPr>
          <w:rFonts w:ascii="Verdana" w:hAnsi="Verdana"/>
          <w:sz w:val="20"/>
          <w:lang w:val="pt-BR"/>
        </w:rPr>
        <w:t xml:space="preserve">a </w:t>
      </w:r>
      <w:r w:rsidR="00A57EC8" w:rsidRPr="002F50BD">
        <w:rPr>
          <w:rFonts w:ascii="Verdana" w:hAnsi="Verdana"/>
          <w:sz w:val="20"/>
          <w:lang w:val="pt-BR"/>
        </w:rPr>
        <w:t xml:space="preserve">fazê-los desistir </w:t>
      </w:r>
      <w:r w:rsidR="004756C1" w:rsidRPr="002F50BD">
        <w:rPr>
          <w:rFonts w:ascii="Verdana" w:hAnsi="Verdana"/>
          <w:sz w:val="20"/>
          <w:lang w:val="pt-BR"/>
        </w:rPr>
        <w:t xml:space="preserve">de </w:t>
      </w:r>
      <w:r w:rsidR="000A7E90">
        <w:rPr>
          <w:rFonts w:ascii="Verdana" w:hAnsi="Verdana"/>
          <w:sz w:val="20"/>
          <w:lang w:val="pt-BR"/>
        </w:rPr>
        <w:t>sua reivindicação</w:t>
      </w:r>
      <w:r w:rsidR="004756C1" w:rsidRPr="002F50BD">
        <w:rPr>
          <w:rFonts w:ascii="Verdana" w:hAnsi="Verdana"/>
          <w:sz w:val="20"/>
          <w:lang w:val="pt-BR"/>
        </w:rPr>
        <w:t>;</w:t>
      </w:r>
    </w:p>
    <w:p w:rsidR="004756C1" w:rsidRPr="002F50BD" w:rsidRDefault="004756C1">
      <w:pPr>
        <w:tabs>
          <w:tab w:val="left" w:pos="1080"/>
        </w:tabs>
        <w:ind w:left="720" w:firstLine="180"/>
        <w:jc w:val="both"/>
        <w:rPr>
          <w:rFonts w:ascii="Verdana" w:hAnsi="Verdana"/>
          <w:sz w:val="20"/>
          <w:lang w:val="pt-BR"/>
        </w:rPr>
      </w:pPr>
    </w:p>
    <w:p w:rsidR="004756C1" w:rsidRPr="002F50BD" w:rsidRDefault="00A57EC8">
      <w:pPr>
        <w:numPr>
          <w:ilvl w:val="0"/>
          <w:numId w:val="16"/>
        </w:numPr>
        <w:tabs>
          <w:tab w:val="left" w:pos="1080"/>
        </w:tabs>
        <w:ind w:left="720"/>
        <w:jc w:val="both"/>
        <w:rPr>
          <w:rFonts w:ascii="Verdana" w:hAnsi="Verdana"/>
          <w:sz w:val="20"/>
          <w:lang w:val="pt-BR"/>
        </w:rPr>
      </w:pPr>
      <w:r w:rsidRPr="002F50BD">
        <w:rPr>
          <w:rFonts w:ascii="Verdana" w:hAnsi="Verdana"/>
          <w:sz w:val="20"/>
          <w:lang w:val="pt-BR"/>
        </w:rPr>
        <w:t>Deve-se</w:t>
      </w:r>
      <w:r w:rsidR="004756C1" w:rsidRPr="002F50BD">
        <w:rPr>
          <w:rFonts w:ascii="Verdana" w:hAnsi="Verdana"/>
          <w:sz w:val="20"/>
          <w:lang w:val="pt-BR"/>
        </w:rPr>
        <w:t xml:space="preserve"> </w:t>
      </w:r>
      <w:r w:rsidR="004C7A2A" w:rsidRPr="002F50BD">
        <w:rPr>
          <w:rFonts w:ascii="Verdana" w:hAnsi="Verdana"/>
          <w:sz w:val="20"/>
          <w:lang w:val="pt-BR"/>
        </w:rPr>
        <w:t>avalia</w:t>
      </w:r>
      <w:r w:rsidR="004756C1" w:rsidRPr="002F50BD">
        <w:rPr>
          <w:rFonts w:ascii="Verdana" w:hAnsi="Verdana"/>
          <w:sz w:val="20"/>
          <w:lang w:val="pt-BR"/>
        </w:rPr>
        <w:t>r</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 </w:t>
      </w:r>
      <w:r w:rsidRPr="002F50BD">
        <w:rPr>
          <w:rFonts w:ascii="Verdana" w:hAnsi="Verdana"/>
          <w:sz w:val="20"/>
          <w:lang w:val="pt-BR"/>
        </w:rPr>
        <w:t>des</w:t>
      </w:r>
      <w:r w:rsidR="004756C1" w:rsidRPr="002F50BD">
        <w:rPr>
          <w:rFonts w:ascii="Verdana" w:hAnsi="Verdana"/>
          <w:sz w:val="20"/>
          <w:lang w:val="pt-BR"/>
        </w:rPr>
        <w:t>umanas</w:t>
      </w:r>
      <w:r w:rsidR="0089298C" w:rsidRPr="002F50BD">
        <w:rPr>
          <w:rFonts w:ascii="Verdana" w:hAnsi="Verdana"/>
          <w:sz w:val="20"/>
          <w:lang w:val="pt-BR"/>
        </w:rPr>
        <w:t xml:space="preserve"> às </w:t>
      </w:r>
      <w:r w:rsidR="004756C1" w:rsidRPr="002F50BD">
        <w:rPr>
          <w:rFonts w:ascii="Verdana" w:hAnsi="Verdana"/>
          <w:sz w:val="20"/>
          <w:lang w:val="pt-BR"/>
        </w:rPr>
        <w:t>qu</w:t>
      </w:r>
      <w:r w:rsidRPr="002F50BD">
        <w:rPr>
          <w:rFonts w:ascii="Verdana" w:hAnsi="Verdana"/>
          <w:sz w:val="20"/>
          <w:lang w:val="pt-BR"/>
        </w:rPr>
        <w:t>ais</w:t>
      </w:r>
      <w:r w:rsidR="004756C1" w:rsidRPr="002F50BD">
        <w:rPr>
          <w:rFonts w:ascii="Verdana" w:hAnsi="Verdana"/>
          <w:sz w:val="20"/>
          <w:lang w:val="pt-BR"/>
        </w:rPr>
        <w:t xml:space="preserve"> </w:t>
      </w:r>
      <w:r w:rsidR="0089298C" w:rsidRPr="002F50BD">
        <w:rPr>
          <w:rFonts w:ascii="Verdana" w:hAnsi="Verdana"/>
          <w:sz w:val="20"/>
          <w:lang w:val="pt-BR"/>
        </w:rPr>
        <w:t>estiveram submetido</w:t>
      </w:r>
      <w:r w:rsidR="004756C1" w:rsidRPr="002F50BD">
        <w:rPr>
          <w:rFonts w:ascii="Verdana" w:hAnsi="Verdana"/>
          <w:sz w:val="20"/>
          <w:lang w:val="pt-BR"/>
        </w:rPr>
        <w:t>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incluídas </w:t>
      </w:r>
      <w:r w:rsidRPr="002F50BD">
        <w:rPr>
          <w:rFonts w:ascii="Verdana" w:hAnsi="Verdana"/>
          <w:sz w:val="20"/>
          <w:lang w:val="pt-BR"/>
        </w:rPr>
        <w:t xml:space="preserve">as </w:t>
      </w:r>
      <w:r w:rsidR="0089298C" w:rsidRPr="002F50BD">
        <w:rPr>
          <w:rFonts w:ascii="Verdana" w:hAnsi="Verdana"/>
          <w:sz w:val="20"/>
          <w:lang w:val="pt-BR"/>
        </w:rPr>
        <w:t>crianças</w:t>
      </w:r>
      <w:r w:rsidR="004756C1" w:rsidRPr="002F50BD">
        <w:rPr>
          <w:rFonts w:ascii="Verdana" w:hAnsi="Verdana"/>
          <w:sz w:val="20"/>
          <w:lang w:val="pt-BR"/>
        </w:rPr>
        <w:t xml:space="preserve">, </w:t>
      </w:r>
      <w:r w:rsidRPr="002F50BD">
        <w:rPr>
          <w:rFonts w:ascii="Verdana" w:hAnsi="Verdana"/>
          <w:sz w:val="20"/>
          <w:lang w:val="pt-BR"/>
        </w:rPr>
        <w:t xml:space="preserve">idosos </w:t>
      </w:r>
      <w:r w:rsidR="0089298C" w:rsidRPr="002F50BD">
        <w:rPr>
          <w:rFonts w:ascii="Verdana" w:hAnsi="Verdana"/>
          <w:sz w:val="20"/>
          <w:lang w:val="pt-BR"/>
        </w:rPr>
        <w:t>e mulher</w:t>
      </w:r>
      <w:r w:rsidR="004756C1" w:rsidRPr="002F50BD">
        <w:rPr>
          <w:rFonts w:ascii="Verdana" w:hAnsi="Verdana"/>
          <w:sz w:val="20"/>
          <w:lang w:val="pt-BR"/>
        </w:rPr>
        <w:t>es,</w:t>
      </w:r>
      <w:r w:rsidR="0089298C" w:rsidRPr="002F50BD">
        <w:rPr>
          <w:rFonts w:ascii="Verdana" w:hAnsi="Verdana"/>
          <w:sz w:val="20"/>
          <w:lang w:val="pt-BR"/>
        </w:rPr>
        <w:t xml:space="preserve"> </w:t>
      </w:r>
      <w:r w:rsidRPr="002F50BD">
        <w:rPr>
          <w:rFonts w:ascii="Verdana" w:hAnsi="Verdana"/>
          <w:sz w:val="20"/>
          <w:lang w:val="pt-BR"/>
        </w:rPr>
        <w:t xml:space="preserve">por causa </w:t>
      </w:r>
      <w:r w:rsidR="0089298C" w:rsidRPr="002F50BD">
        <w:rPr>
          <w:rFonts w:ascii="Verdana" w:hAnsi="Verdana"/>
          <w:sz w:val="20"/>
          <w:lang w:val="pt-BR"/>
        </w:rPr>
        <w:t xml:space="preserve">da </w:t>
      </w:r>
      <w:r w:rsidR="004756C1" w:rsidRPr="002F50BD">
        <w:rPr>
          <w:rFonts w:ascii="Verdana" w:hAnsi="Verdana"/>
          <w:sz w:val="20"/>
          <w:lang w:val="pt-BR"/>
        </w:rPr>
        <w:t xml:space="preserve">falta de </w:t>
      </w:r>
      <w:r w:rsidR="0089298C" w:rsidRPr="002F50BD">
        <w:rPr>
          <w:rFonts w:ascii="Verdana" w:hAnsi="Verdana"/>
          <w:sz w:val="20"/>
          <w:lang w:val="pt-BR"/>
        </w:rPr>
        <w:t xml:space="preserve">garantia </w:t>
      </w:r>
      <w:r w:rsidR="004756C1" w:rsidRPr="002F50BD">
        <w:rPr>
          <w:rFonts w:ascii="Verdana" w:hAnsi="Verdana"/>
          <w:sz w:val="20"/>
          <w:lang w:val="pt-BR"/>
        </w:rPr>
        <w:t xml:space="preserve">por parte </w:t>
      </w:r>
      <w:r w:rsidR="0089298C" w:rsidRPr="002F50BD">
        <w:rPr>
          <w:rFonts w:ascii="Verdana" w:hAnsi="Verdana"/>
          <w:sz w:val="20"/>
          <w:lang w:val="pt-BR"/>
        </w:rPr>
        <w:t xml:space="preserve">do </w:t>
      </w:r>
      <w:r w:rsidR="004756C1" w:rsidRPr="002F50BD">
        <w:rPr>
          <w:rFonts w:ascii="Verdana" w:hAnsi="Verdana"/>
          <w:sz w:val="20"/>
          <w:lang w:val="pt-BR"/>
        </w:rPr>
        <w:t xml:space="preserve">Estado </w:t>
      </w:r>
      <w:r w:rsidR="0089298C" w:rsidRPr="002F50BD">
        <w:rPr>
          <w:rFonts w:ascii="Verdana" w:hAnsi="Verdana"/>
          <w:sz w:val="20"/>
          <w:lang w:val="pt-BR"/>
        </w:rPr>
        <w:t>do direito</w:t>
      </w:r>
      <w:r w:rsidR="004756C1" w:rsidRPr="002F50BD">
        <w:rPr>
          <w:rFonts w:ascii="Verdana" w:hAnsi="Verdana"/>
          <w:sz w:val="20"/>
          <w:lang w:val="pt-BR"/>
        </w:rPr>
        <w:t xml:space="preserve"> de </w:t>
      </w:r>
      <w:r w:rsidR="0089298C" w:rsidRPr="002F50BD">
        <w:rPr>
          <w:rFonts w:ascii="Verdana" w:hAnsi="Verdana"/>
          <w:sz w:val="20"/>
          <w:lang w:val="pt-BR"/>
        </w:rPr>
        <w:t>propriedade da Comunidad</w:t>
      </w:r>
      <w:r w:rsidRPr="002F50BD">
        <w:rPr>
          <w:rFonts w:ascii="Verdana" w:hAnsi="Verdana"/>
          <w:sz w:val="20"/>
          <w:lang w:val="pt-BR"/>
        </w:rPr>
        <w:t xml:space="preserve">e </w:t>
      </w:r>
      <w:r w:rsidR="0089298C" w:rsidRPr="002F50BD">
        <w:rPr>
          <w:rFonts w:ascii="Verdana" w:hAnsi="Verdana"/>
          <w:sz w:val="20"/>
          <w:lang w:val="pt-BR"/>
        </w:rPr>
        <w:t xml:space="preserve">a </w:t>
      </w:r>
      <w:r w:rsidR="00AB454A" w:rsidRPr="002F50BD">
        <w:rPr>
          <w:rFonts w:ascii="Verdana" w:hAnsi="Verdana"/>
          <w:sz w:val="20"/>
          <w:lang w:val="pt-BR"/>
        </w:rPr>
        <w:t>seu território</w:t>
      </w:r>
      <w:r w:rsidR="004756C1" w:rsidRPr="002F50BD">
        <w:rPr>
          <w:rFonts w:ascii="Verdana" w:hAnsi="Verdana"/>
          <w:sz w:val="20"/>
          <w:lang w:val="pt-BR"/>
        </w:rPr>
        <w:t xml:space="preserve"> ancestral. </w:t>
      </w:r>
      <w:r w:rsidRPr="002F50BD">
        <w:rPr>
          <w:rFonts w:ascii="Verdana" w:hAnsi="Verdana"/>
          <w:sz w:val="20"/>
          <w:lang w:val="pt-BR"/>
        </w:rPr>
        <w:t>Do mesmo modo</w:t>
      </w:r>
      <w:r w:rsidR="004756C1" w:rsidRPr="002F50BD">
        <w:rPr>
          <w:rFonts w:ascii="Verdana" w:hAnsi="Verdana"/>
          <w:sz w:val="20"/>
          <w:lang w:val="pt-BR"/>
        </w:rPr>
        <w:t>,</w:t>
      </w:r>
      <w:r w:rsidR="0089298C" w:rsidRPr="002F50BD">
        <w:rPr>
          <w:rFonts w:ascii="Verdana" w:hAnsi="Verdana"/>
          <w:sz w:val="20"/>
          <w:lang w:val="pt-BR"/>
        </w:rPr>
        <w:t xml:space="preserve"> deve</w:t>
      </w:r>
      <w:r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tomar</w:t>
      </w:r>
      <w:r w:rsidR="0089298C" w:rsidRPr="002F50BD">
        <w:rPr>
          <w:rFonts w:ascii="Verdana" w:hAnsi="Verdana"/>
          <w:sz w:val="20"/>
          <w:lang w:val="pt-BR"/>
        </w:rPr>
        <w:t xml:space="preserve"> em conta </w:t>
      </w:r>
      <w:r w:rsidR="004756C1" w:rsidRPr="002F50BD">
        <w:rPr>
          <w:rFonts w:ascii="Verdana" w:hAnsi="Verdana"/>
          <w:sz w:val="20"/>
          <w:lang w:val="pt-BR"/>
        </w:rPr>
        <w:t>que</w:t>
      </w:r>
      <w:r w:rsidR="0089298C" w:rsidRPr="002F50BD">
        <w:rPr>
          <w:rFonts w:ascii="Verdana" w:hAnsi="Verdana"/>
          <w:sz w:val="20"/>
          <w:lang w:val="pt-BR"/>
        </w:rPr>
        <w:t xml:space="preserve"> a morte</w:t>
      </w:r>
      <w:r w:rsidR="004756C1" w:rsidRPr="002F50BD">
        <w:rPr>
          <w:rFonts w:ascii="Verdana" w:hAnsi="Verdana"/>
          <w:sz w:val="20"/>
          <w:lang w:val="pt-BR"/>
        </w:rPr>
        <w:t xml:space="preserve"> de </w:t>
      </w:r>
      <w:r w:rsidR="0089298C" w:rsidRPr="002F50BD">
        <w:rPr>
          <w:rFonts w:ascii="Verdana" w:hAnsi="Verdana"/>
          <w:sz w:val="20"/>
          <w:lang w:val="pt-BR"/>
        </w:rPr>
        <w:t>vários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6C4819" w:rsidRPr="002F50BD">
        <w:rPr>
          <w:rFonts w:ascii="Verdana" w:hAnsi="Verdana"/>
          <w:sz w:val="20"/>
          <w:lang w:val="pt-BR"/>
        </w:rPr>
        <w:t>afetou</w:t>
      </w:r>
      <w:r w:rsidR="004756C1" w:rsidRPr="002F50BD">
        <w:rPr>
          <w:rFonts w:ascii="Verdana" w:hAnsi="Verdana"/>
          <w:sz w:val="20"/>
          <w:lang w:val="pt-BR"/>
        </w:rPr>
        <w:t xml:space="preserve"> tanto </w:t>
      </w:r>
      <w:r w:rsidR="0089298C" w:rsidRPr="002F50BD">
        <w:rPr>
          <w:rFonts w:ascii="Verdana" w:hAnsi="Verdana"/>
          <w:sz w:val="20"/>
          <w:lang w:val="pt-BR"/>
        </w:rPr>
        <w:t xml:space="preserve">seus </w:t>
      </w:r>
      <w:r w:rsidR="009F308E" w:rsidRPr="002F50BD">
        <w:rPr>
          <w:rFonts w:ascii="Verdana" w:hAnsi="Verdana"/>
          <w:sz w:val="20"/>
          <w:lang w:val="pt-BR"/>
        </w:rPr>
        <w:t>familiares</w:t>
      </w:r>
      <w:r w:rsidR="004756C1" w:rsidRPr="002F50BD">
        <w:rPr>
          <w:rFonts w:ascii="Verdana" w:hAnsi="Verdana"/>
          <w:sz w:val="20"/>
          <w:lang w:val="pt-BR"/>
        </w:rPr>
        <w:t xml:space="preserve"> como</w:t>
      </w:r>
      <w:r w:rsidR="0089298C" w:rsidRPr="002F50BD">
        <w:rPr>
          <w:rFonts w:ascii="Verdana" w:hAnsi="Verdana"/>
          <w:sz w:val="20"/>
          <w:lang w:val="pt-BR"/>
        </w:rPr>
        <w:t xml:space="preserve"> </w:t>
      </w:r>
      <w:r w:rsidRPr="002F50BD">
        <w:rPr>
          <w:rFonts w:ascii="Verdana" w:hAnsi="Verdana"/>
          <w:sz w:val="20"/>
          <w:lang w:val="pt-BR"/>
        </w:rPr>
        <w:t>a</w:t>
      </w:r>
      <w:r w:rsidR="0089298C" w:rsidRPr="002F50BD">
        <w:rPr>
          <w:rFonts w:ascii="Verdana" w:hAnsi="Verdana"/>
          <w:sz w:val="20"/>
          <w:lang w:val="pt-BR"/>
        </w:rPr>
        <w:t xml:space="preserve"> própria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e</w:t>
      </w:r>
      <w:r w:rsidR="004756C1" w:rsidRPr="002F50BD">
        <w:rPr>
          <w:rFonts w:ascii="Verdana" w:hAnsi="Verdana"/>
          <w:sz w:val="20"/>
          <w:lang w:val="pt-BR"/>
        </w:rPr>
        <w:t xml:space="preserve"> </w:t>
      </w:r>
    </w:p>
    <w:p w:rsidR="00E350FB" w:rsidRPr="002F50BD" w:rsidRDefault="00E350FB" w:rsidP="00E350FB">
      <w:pPr>
        <w:tabs>
          <w:tab w:val="left" w:pos="1080"/>
        </w:tabs>
        <w:ind w:left="360"/>
        <w:jc w:val="both"/>
        <w:rPr>
          <w:rFonts w:ascii="Verdana" w:hAnsi="Verdana"/>
          <w:sz w:val="20"/>
          <w:lang w:val="pt-BR"/>
        </w:rPr>
      </w:pPr>
    </w:p>
    <w:p w:rsidR="004756C1" w:rsidRPr="002F50BD" w:rsidRDefault="0089298C">
      <w:pPr>
        <w:numPr>
          <w:ilvl w:val="0"/>
          <w:numId w:val="16"/>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deve criar</w:t>
      </w:r>
      <w:r w:rsidR="004756C1" w:rsidRPr="002F50BD">
        <w:rPr>
          <w:rFonts w:ascii="Verdana" w:hAnsi="Verdana"/>
          <w:sz w:val="20"/>
          <w:lang w:val="pt-BR"/>
        </w:rPr>
        <w:t xml:space="preserve">, </w:t>
      </w:r>
      <w:r w:rsidR="00754117" w:rsidRPr="002F50BD">
        <w:rPr>
          <w:rFonts w:ascii="Verdana" w:hAnsi="Verdana"/>
          <w:sz w:val="20"/>
          <w:lang w:val="pt-BR"/>
        </w:rPr>
        <w:t xml:space="preserve">tendo presente </w:t>
      </w:r>
      <w:r w:rsidRPr="002F50BD">
        <w:rPr>
          <w:rFonts w:ascii="Verdana" w:hAnsi="Verdana"/>
          <w:sz w:val="20"/>
          <w:lang w:val="pt-BR"/>
        </w:rPr>
        <w:t>a afetação</w:t>
      </w:r>
      <w:r w:rsidR="004756C1" w:rsidRPr="002F50BD">
        <w:rPr>
          <w:rFonts w:ascii="Verdana" w:hAnsi="Verdana"/>
          <w:sz w:val="20"/>
          <w:lang w:val="pt-BR"/>
        </w:rPr>
        <w:t xml:space="preserve"> global de </w:t>
      </w:r>
      <w:r w:rsidRPr="002F50BD">
        <w:rPr>
          <w:rFonts w:ascii="Verdana" w:hAnsi="Verdana"/>
          <w:sz w:val="20"/>
          <w:lang w:val="pt-BR"/>
        </w:rPr>
        <w:t>direito</w:t>
      </w:r>
      <w:r w:rsidR="004756C1" w:rsidRPr="002F50BD">
        <w:rPr>
          <w:rFonts w:ascii="Verdana" w:hAnsi="Verdana"/>
          <w:sz w:val="20"/>
          <w:lang w:val="pt-BR"/>
        </w:rPr>
        <w:t xml:space="preserve">s que </w:t>
      </w:r>
      <w:r w:rsidR="00DC0F25" w:rsidRPr="002F50BD">
        <w:rPr>
          <w:rFonts w:ascii="Verdana" w:hAnsi="Verdana"/>
          <w:sz w:val="20"/>
          <w:lang w:val="pt-BR"/>
        </w:rPr>
        <w:t>produziu</w:t>
      </w:r>
      <w:r w:rsidR="004756C1" w:rsidRPr="002F50BD">
        <w:rPr>
          <w:rFonts w:ascii="Verdana" w:hAnsi="Verdana"/>
          <w:sz w:val="20"/>
          <w:lang w:val="pt-BR"/>
        </w:rPr>
        <w:t>,</w:t>
      </w:r>
      <w:r w:rsidRPr="002F50BD">
        <w:rPr>
          <w:rFonts w:ascii="Verdana" w:hAnsi="Verdana"/>
          <w:sz w:val="20"/>
          <w:lang w:val="pt-BR"/>
        </w:rPr>
        <w:t xml:space="preserve"> um </w:t>
      </w:r>
      <w:r w:rsidR="00A57EC8" w:rsidRPr="002F50BD">
        <w:rPr>
          <w:rFonts w:ascii="Verdana" w:hAnsi="Verdana"/>
          <w:sz w:val="20"/>
          <w:lang w:val="pt-BR"/>
        </w:rPr>
        <w:t xml:space="preserve">fundo </w:t>
      </w:r>
      <w:r w:rsidR="004756C1" w:rsidRPr="002F50BD">
        <w:rPr>
          <w:rFonts w:ascii="Verdana" w:hAnsi="Verdana"/>
          <w:sz w:val="20"/>
          <w:lang w:val="pt-BR"/>
        </w:rPr>
        <w:t>especial de repara</w:t>
      </w:r>
      <w:r w:rsidRPr="002F50BD">
        <w:rPr>
          <w:rFonts w:ascii="Verdana" w:hAnsi="Verdana"/>
          <w:sz w:val="20"/>
          <w:lang w:val="pt-BR"/>
        </w:rPr>
        <w:t>ções</w:t>
      </w:r>
      <w:r w:rsidR="004756C1" w:rsidRPr="002F50BD">
        <w:rPr>
          <w:rFonts w:ascii="Verdana" w:hAnsi="Verdana"/>
          <w:sz w:val="20"/>
          <w:lang w:val="pt-BR"/>
        </w:rPr>
        <w:t xml:space="preserve"> que </w:t>
      </w:r>
      <w:r w:rsidRPr="002F50BD">
        <w:rPr>
          <w:rFonts w:ascii="Verdana" w:hAnsi="Verdana"/>
          <w:sz w:val="20"/>
          <w:lang w:val="pt-BR"/>
        </w:rPr>
        <w:t>tenha</w:t>
      </w:r>
      <w:r w:rsidR="004756C1" w:rsidRPr="002F50BD">
        <w:rPr>
          <w:rFonts w:ascii="Verdana" w:hAnsi="Verdana"/>
          <w:sz w:val="20"/>
          <w:lang w:val="pt-BR"/>
        </w:rPr>
        <w:t xml:space="preserve"> </w:t>
      </w:r>
      <w:r w:rsidR="00A57EC8" w:rsidRPr="002F50BD">
        <w:rPr>
          <w:rFonts w:ascii="Verdana" w:hAnsi="Verdana"/>
          <w:sz w:val="20"/>
          <w:lang w:val="pt-BR"/>
        </w:rPr>
        <w:t xml:space="preserve">como </w:t>
      </w:r>
      <w:r w:rsidR="004756C1" w:rsidRPr="002F50BD">
        <w:rPr>
          <w:rFonts w:ascii="Verdana" w:hAnsi="Verdana"/>
          <w:sz w:val="20"/>
          <w:lang w:val="pt-BR"/>
        </w:rPr>
        <w:t>objet</w:t>
      </w:r>
      <w:r w:rsidR="00A57EC8" w:rsidRPr="002F50BD">
        <w:rPr>
          <w:rFonts w:ascii="Verdana" w:hAnsi="Verdana"/>
          <w:sz w:val="20"/>
          <w:lang w:val="pt-BR"/>
        </w:rPr>
        <w:t>iv</w:t>
      </w:r>
      <w:r w:rsidR="004756C1" w:rsidRPr="002F50BD">
        <w:rPr>
          <w:rFonts w:ascii="Verdana" w:hAnsi="Verdana"/>
          <w:sz w:val="20"/>
          <w:lang w:val="pt-BR"/>
        </w:rPr>
        <w:t>o financiar programas educativos, de capacita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atenção</w:t>
      </w:r>
      <w:r w:rsidR="004756C1" w:rsidRPr="002F50BD">
        <w:rPr>
          <w:rFonts w:ascii="Verdana" w:hAnsi="Verdana"/>
          <w:sz w:val="20"/>
          <w:lang w:val="pt-BR"/>
        </w:rPr>
        <w:t xml:space="preserve"> psicológica</w:t>
      </w:r>
      <w:r w:rsidRPr="002F50BD">
        <w:rPr>
          <w:rFonts w:ascii="Verdana" w:hAnsi="Verdana"/>
          <w:sz w:val="20"/>
          <w:lang w:val="pt-BR"/>
        </w:rPr>
        <w:t xml:space="preserve"> e </w:t>
      </w:r>
      <w:r w:rsidR="004756C1" w:rsidRPr="002F50BD">
        <w:rPr>
          <w:rFonts w:ascii="Verdana" w:hAnsi="Verdana"/>
          <w:sz w:val="20"/>
          <w:lang w:val="pt-BR"/>
        </w:rPr>
        <w:t>médica para</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cuja</w:t>
      </w:r>
      <w:r w:rsidR="004756C1" w:rsidRPr="002F50BD">
        <w:rPr>
          <w:rFonts w:ascii="Verdana" w:hAnsi="Verdana"/>
          <w:sz w:val="20"/>
          <w:lang w:val="pt-BR"/>
        </w:rPr>
        <w:t xml:space="preserve"> implementa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requerer</w:t>
      </w:r>
      <w:r w:rsidR="004756C1" w:rsidRPr="002F50BD">
        <w:rPr>
          <w:rFonts w:ascii="Verdana" w:hAnsi="Verdana"/>
          <w:sz w:val="20"/>
          <w:lang w:val="pt-BR"/>
        </w:rPr>
        <w:t>á</w:t>
      </w:r>
      <w:r w:rsidRPr="002F50BD">
        <w:rPr>
          <w:rFonts w:ascii="Verdana" w:hAnsi="Verdana"/>
          <w:sz w:val="20"/>
          <w:lang w:val="pt-BR"/>
        </w:rPr>
        <w:t xml:space="preserve"> o prévio</w:t>
      </w:r>
      <w:r w:rsidR="004756C1" w:rsidRPr="002F50BD">
        <w:rPr>
          <w:rFonts w:ascii="Verdana" w:hAnsi="Verdana"/>
          <w:sz w:val="20"/>
          <w:lang w:val="pt-BR"/>
        </w:rPr>
        <w:t xml:space="preserve"> </w:t>
      </w:r>
      <w:r w:rsidRPr="002F50BD">
        <w:rPr>
          <w:rFonts w:ascii="Verdana" w:hAnsi="Verdana"/>
          <w:sz w:val="20"/>
          <w:lang w:val="pt-BR"/>
        </w:rPr>
        <w:t>consentimento dos interessad</w:t>
      </w:r>
      <w:r w:rsidR="004756C1" w:rsidRPr="002F50BD">
        <w:rPr>
          <w:rFonts w:ascii="Verdana" w:hAnsi="Verdana"/>
          <w:sz w:val="20"/>
          <w:lang w:val="pt-BR"/>
        </w:rPr>
        <w:t>os, conforme s</w:t>
      </w:r>
      <w:r w:rsidR="00A57EC8" w:rsidRPr="002F50BD">
        <w:rPr>
          <w:rFonts w:ascii="Verdana" w:hAnsi="Verdana"/>
          <w:sz w:val="20"/>
          <w:lang w:val="pt-BR"/>
        </w:rPr>
        <w:t>e</w:t>
      </w:r>
      <w:r w:rsidR="004756C1" w:rsidRPr="002F50BD">
        <w:rPr>
          <w:rFonts w:ascii="Verdana" w:hAnsi="Verdana"/>
          <w:sz w:val="20"/>
          <w:lang w:val="pt-BR"/>
        </w:rPr>
        <w:t>us usos</w:t>
      </w:r>
      <w:r w:rsidRPr="002F50BD">
        <w:rPr>
          <w:rFonts w:ascii="Verdana" w:hAnsi="Verdana"/>
          <w:sz w:val="20"/>
          <w:lang w:val="pt-BR"/>
        </w:rPr>
        <w:t xml:space="preserve"> e costume</w:t>
      </w:r>
      <w:r w:rsidR="004756C1" w:rsidRPr="002F50BD">
        <w:rPr>
          <w:rFonts w:ascii="Verdana" w:hAnsi="Verdana"/>
          <w:sz w:val="20"/>
          <w:lang w:val="pt-BR"/>
        </w:rPr>
        <w:t>s.</w:t>
      </w:r>
    </w:p>
    <w:p w:rsidR="004756C1" w:rsidRPr="002F50BD" w:rsidRDefault="004756C1">
      <w:pPr>
        <w:tabs>
          <w:tab w:val="left" w:pos="1080"/>
        </w:tabs>
        <w:ind w:left="720"/>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 xml:space="preserve">Alegações dos </w:t>
      </w:r>
      <w:r w:rsidR="008C29C9" w:rsidRPr="002F50BD">
        <w:rPr>
          <w:rFonts w:ascii="Verdana" w:hAnsi="Verdana"/>
          <w:b w:val="0"/>
          <w:i/>
          <w:smallCaps w:val="0"/>
          <w:sz w:val="20"/>
        </w:rPr>
        <w:t>representante</w:t>
      </w:r>
      <w:r w:rsidR="004756C1" w:rsidRPr="002F50BD">
        <w:rPr>
          <w:rFonts w:ascii="Verdana" w:hAnsi="Verdana"/>
          <w:b w:val="0"/>
          <w:i/>
          <w:smallCaps w:val="0"/>
          <w:sz w:val="20"/>
        </w:rPr>
        <w:t>s</w:t>
      </w:r>
    </w:p>
    <w:p w:rsidR="004756C1" w:rsidRPr="002F50BD" w:rsidRDefault="004756C1">
      <w:pPr>
        <w:ind w:firstLine="180"/>
        <w:jc w:val="both"/>
        <w:rPr>
          <w:rFonts w:ascii="Verdana" w:hAnsi="Verdana"/>
          <w:sz w:val="20"/>
        </w:rPr>
      </w:pPr>
    </w:p>
    <w:p w:rsidR="004756C1" w:rsidRPr="002F50BD" w:rsidRDefault="004076AD">
      <w:pPr>
        <w:numPr>
          <w:ilvl w:val="0"/>
          <w:numId w:val="31"/>
        </w:numPr>
        <w:jc w:val="both"/>
        <w:rPr>
          <w:rFonts w:ascii="Verdana" w:hAnsi="Verdana"/>
          <w:sz w:val="20"/>
          <w:lang w:val="pt-BR"/>
        </w:rPr>
      </w:pPr>
      <w:r w:rsidRPr="002F50BD">
        <w:rPr>
          <w:rFonts w:ascii="Verdana" w:hAnsi="Verdana"/>
          <w:sz w:val="20"/>
          <w:lang w:val="pt-BR"/>
        </w:rPr>
        <w:t>Por sua vez</w:t>
      </w:r>
      <w:r w:rsidR="004756C1" w:rsidRPr="002F50BD">
        <w:rPr>
          <w:rFonts w:ascii="Verdana" w:hAnsi="Verdana"/>
          <w:sz w:val="20"/>
          <w:lang w:val="pt-BR"/>
        </w:rPr>
        <w:t>,</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alegaram</w:t>
      </w:r>
      <w:r w:rsidR="004756C1" w:rsidRPr="002F50BD">
        <w:rPr>
          <w:rFonts w:ascii="Verdana" w:hAnsi="Verdana"/>
          <w:sz w:val="20"/>
          <w:lang w:val="pt-BR"/>
        </w:rPr>
        <w:t xml:space="preserve"> que:</w:t>
      </w:r>
    </w:p>
    <w:p w:rsidR="00A57EC8" w:rsidRPr="002F50BD" w:rsidRDefault="00A57EC8" w:rsidP="00A57EC8">
      <w:pPr>
        <w:tabs>
          <w:tab w:val="left" w:pos="1080"/>
        </w:tabs>
        <w:ind w:left="360"/>
        <w:jc w:val="both"/>
        <w:rPr>
          <w:rFonts w:ascii="Verdana" w:hAnsi="Verdana"/>
          <w:sz w:val="20"/>
          <w:lang w:val="pt-BR"/>
        </w:rPr>
      </w:pPr>
    </w:p>
    <w:p w:rsidR="004756C1" w:rsidRPr="002F50BD" w:rsidRDefault="0089298C">
      <w:pPr>
        <w:numPr>
          <w:ilvl w:val="0"/>
          <w:numId w:val="17"/>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deve </w:t>
      </w:r>
      <w:r w:rsidR="004756C1" w:rsidRPr="002F50BD">
        <w:rPr>
          <w:rFonts w:ascii="Verdana" w:hAnsi="Verdana"/>
          <w:sz w:val="20"/>
          <w:lang w:val="pt-BR"/>
        </w:rPr>
        <w:t>pagar</w:t>
      </w:r>
      <w:r w:rsidRPr="002F50BD">
        <w:rPr>
          <w:rFonts w:ascii="Verdana" w:hAnsi="Verdana"/>
          <w:sz w:val="20"/>
          <w:lang w:val="pt-BR"/>
        </w:rPr>
        <w:t xml:space="preserve"> à Comunidade </w:t>
      </w:r>
      <w:r w:rsidR="004756C1" w:rsidRPr="002F50BD">
        <w:rPr>
          <w:rFonts w:ascii="Verdana" w:hAnsi="Verdana"/>
          <w:sz w:val="20"/>
          <w:lang w:val="pt-BR"/>
        </w:rPr>
        <w:t>Yakye Axa</w:t>
      </w:r>
      <w:r w:rsidRPr="002F50BD">
        <w:rPr>
          <w:rFonts w:ascii="Verdana" w:hAnsi="Verdana"/>
          <w:sz w:val="20"/>
          <w:lang w:val="pt-BR"/>
        </w:rPr>
        <w:t xml:space="preserve"> e </w:t>
      </w:r>
      <w:r w:rsidR="004756C1" w:rsidRPr="002F50BD">
        <w:rPr>
          <w:rFonts w:ascii="Verdana" w:hAnsi="Verdana"/>
          <w:sz w:val="20"/>
          <w:lang w:val="pt-BR"/>
        </w:rPr>
        <w:t xml:space="preserve">a </w:t>
      </w:r>
      <w:r w:rsidR="00AB454A" w:rsidRPr="002F50BD">
        <w:rPr>
          <w:rFonts w:ascii="Verdana" w:hAnsi="Verdana"/>
          <w:sz w:val="20"/>
          <w:lang w:val="pt-BR"/>
        </w:rPr>
        <w:t>seus membros</w:t>
      </w:r>
      <w:r w:rsidRPr="002F50BD">
        <w:rPr>
          <w:rFonts w:ascii="Verdana" w:hAnsi="Verdana"/>
          <w:sz w:val="20"/>
          <w:lang w:val="pt-BR"/>
        </w:rPr>
        <w:t xml:space="preserve"> uma soma em equidade </w:t>
      </w:r>
      <w:r w:rsidR="004756C1" w:rsidRPr="002F50BD">
        <w:rPr>
          <w:rFonts w:ascii="Verdana" w:hAnsi="Verdana"/>
          <w:sz w:val="20"/>
          <w:lang w:val="pt-BR"/>
        </w:rPr>
        <w:t xml:space="preserve">como </w:t>
      </w:r>
      <w:r w:rsidRPr="002F50BD">
        <w:rPr>
          <w:rFonts w:ascii="Verdana" w:hAnsi="Verdana"/>
          <w:sz w:val="20"/>
          <w:lang w:val="pt-BR"/>
        </w:rPr>
        <w:t xml:space="preserve">indenização pela </w:t>
      </w:r>
      <w:r w:rsidR="004756C1" w:rsidRPr="002F50BD">
        <w:rPr>
          <w:rFonts w:ascii="Verdana" w:hAnsi="Verdana"/>
          <w:sz w:val="20"/>
          <w:lang w:val="pt-BR"/>
        </w:rPr>
        <w:t>tristeza</w:t>
      </w:r>
      <w:r w:rsidRPr="002F50BD">
        <w:rPr>
          <w:rFonts w:ascii="Verdana" w:hAnsi="Verdana"/>
          <w:sz w:val="20"/>
          <w:lang w:val="pt-BR"/>
        </w:rPr>
        <w:t xml:space="preserve"> e o sofrimento</w:t>
      </w:r>
      <w:r w:rsidR="004756C1" w:rsidRPr="002F50BD">
        <w:rPr>
          <w:rFonts w:ascii="Verdana" w:hAnsi="Verdana"/>
          <w:sz w:val="20"/>
          <w:lang w:val="pt-BR"/>
        </w:rPr>
        <w:t xml:space="preserve"> </w:t>
      </w:r>
      <w:r w:rsidR="00754117" w:rsidRPr="002F50BD">
        <w:rPr>
          <w:rFonts w:ascii="Verdana" w:hAnsi="Verdana"/>
          <w:sz w:val="20"/>
          <w:lang w:val="pt-BR"/>
        </w:rPr>
        <w:t xml:space="preserve">de </w:t>
      </w:r>
      <w:r w:rsidR="004756C1" w:rsidRPr="002F50BD">
        <w:rPr>
          <w:rFonts w:ascii="Verdana" w:hAnsi="Verdana"/>
          <w:sz w:val="20"/>
          <w:lang w:val="pt-BR"/>
        </w:rPr>
        <w:t xml:space="preserve">que </w:t>
      </w:r>
      <w:r w:rsidR="004076AD" w:rsidRPr="002F50BD">
        <w:rPr>
          <w:rFonts w:ascii="Verdana" w:hAnsi="Verdana"/>
          <w:sz w:val="20"/>
          <w:lang w:val="pt-BR"/>
        </w:rPr>
        <w:t>padeceram</w:t>
      </w:r>
      <w:r w:rsidRPr="002F50BD">
        <w:rPr>
          <w:rFonts w:ascii="Verdana" w:hAnsi="Verdana"/>
          <w:sz w:val="20"/>
          <w:lang w:val="pt-BR"/>
        </w:rPr>
        <w:t xml:space="preserve"> ao </w:t>
      </w:r>
      <w:r w:rsidR="004756C1" w:rsidRPr="002F50BD">
        <w:rPr>
          <w:rFonts w:ascii="Verdana" w:hAnsi="Verdana"/>
          <w:sz w:val="20"/>
          <w:lang w:val="pt-BR"/>
        </w:rPr>
        <w:t>ver</w:t>
      </w:r>
      <w:r w:rsidR="001A249E" w:rsidRPr="002F50BD">
        <w:rPr>
          <w:rFonts w:ascii="Verdana" w:hAnsi="Verdana"/>
          <w:sz w:val="20"/>
          <w:lang w:val="pt-BR"/>
        </w:rPr>
        <w:t>em</w:t>
      </w:r>
      <w:r w:rsidR="004756C1" w:rsidRPr="002F50BD">
        <w:rPr>
          <w:rFonts w:ascii="Verdana" w:hAnsi="Verdana"/>
          <w:sz w:val="20"/>
          <w:lang w:val="pt-BR"/>
        </w:rPr>
        <w:t xml:space="preserve"> </w:t>
      </w:r>
      <w:r w:rsidR="001A249E" w:rsidRPr="002F50BD">
        <w:rPr>
          <w:rFonts w:ascii="Verdana" w:hAnsi="Verdana"/>
          <w:sz w:val="20"/>
          <w:lang w:val="pt-BR"/>
        </w:rPr>
        <w:t xml:space="preserve">rejeitado seu </w:t>
      </w:r>
      <w:r w:rsidR="004756C1" w:rsidRPr="002F50BD">
        <w:rPr>
          <w:rFonts w:ascii="Verdana" w:hAnsi="Verdana"/>
          <w:sz w:val="20"/>
          <w:lang w:val="pt-BR"/>
        </w:rPr>
        <w:t xml:space="preserve">legítimo reclamo territorial, </w:t>
      </w:r>
      <w:r w:rsidR="00754117" w:rsidRPr="002F50BD">
        <w:rPr>
          <w:rFonts w:ascii="Verdana" w:hAnsi="Verdana"/>
          <w:sz w:val="20"/>
          <w:lang w:val="pt-BR"/>
        </w:rPr>
        <w:t>bem</w:t>
      </w:r>
      <w:r w:rsidR="004756C1" w:rsidRPr="002F50BD">
        <w:rPr>
          <w:rFonts w:ascii="Verdana" w:hAnsi="Verdana"/>
          <w:sz w:val="20"/>
          <w:lang w:val="pt-BR"/>
        </w:rPr>
        <w:t xml:space="preserve"> como</w:t>
      </w:r>
      <w:r w:rsidRPr="002F50BD">
        <w:rPr>
          <w:rFonts w:ascii="Verdana" w:hAnsi="Verdana"/>
          <w:sz w:val="20"/>
          <w:lang w:val="pt-BR"/>
        </w:rPr>
        <w:t xml:space="preserve"> pela angústia</w:t>
      </w:r>
      <w:r w:rsidR="004756C1" w:rsidRPr="002F50BD">
        <w:rPr>
          <w:rFonts w:ascii="Verdana" w:hAnsi="Verdana"/>
          <w:sz w:val="20"/>
          <w:lang w:val="pt-BR"/>
        </w:rPr>
        <w:t xml:space="preserve"> e im</w:t>
      </w:r>
      <w:r w:rsidRPr="002F50BD">
        <w:rPr>
          <w:rFonts w:ascii="Verdana" w:hAnsi="Verdana"/>
          <w:sz w:val="20"/>
          <w:lang w:val="pt-BR"/>
        </w:rPr>
        <w:t>potência</w:t>
      </w:r>
      <w:r w:rsidR="004756C1" w:rsidRPr="002F50BD">
        <w:rPr>
          <w:rFonts w:ascii="Verdana" w:hAnsi="Verdana"/>
          <w:sz w:val="20"/>
          <w:lang w:val="pt-BR"/>
        </w:rPr>
        <w:t xml:space="preserve"> que </w:t>
      </w:r>
      <w:r w:rsidR="004076AD" w:rsidRPr="002F50BD">
        <w:rPr>
          <w:rFonts w:ascii="Verdana" w:hAnsi="Verdana"/>
          <w:sz w:val="20"/>
          <w:lang w:val="pt-BR"/>
        </w:rPr>
        <w:t>padeceram</w:t>
      </w:r>
      <w:r w:rsidR="004756C1" w:rsidRPr="002F50BD">
        <w:rPr>
          <w:rFonts w:ascii="Verdana" w:hAnsi="Verdana"/>
          <w:sz w:val="20"/>
          <w:lang w:val="pt-BR"/>
        </w:rPr>
        <w:t xml:space="preserve"> como </w:t>
      </w:r>
      <w:r w:rsidRPr="002F50BD">
        <w:rPr>
          <w:rFonts w:ascii="Verdana" w:hAnsi="Verdana"/>
          <w:sz w:val="20"/>
          <w:lang w:val="pt-BR"/>
        </w:rPr>
        <w:t>vítima</w:t>
      </w:r>
      <w:r w:rsidR="004756C1" w:rsidRPr="002F50BD">
        <w:rPr>
          <w:rFonts w:ascii="Verdana" w:hAnsi="Verdana"/>
          <w:sz w:val="20"/>
          <w:lang w:val="pt-BR"/>
        </w:rPr>
        <w:t xml:space="preserve">s de </w:t>
      </w:r>
      <w:r w:rsidRPr="002F50BD">
        <w:rPr>
          <w:rFonts w:ascii="Verdana" w:hAnsi="Verdana"/>
          <w:sz w:val="20"/>
          <w:lang w:val="pt-BR"/>
        </w:rPr>
        <w:t>ameaça</w:t>
      </w:r>
      <w:r w:rsidR="004756C1" w:rsidRPr="002F50BD">
        <w:rPr>
          <w:rFonts w:ascii="Verdana" w:hAnsi="Verdana"/>
          <w:sz w:val="20"/>
          <w:lang w:val="pt-BR"/>
        </w:rPr>
        <w:t>s</w:t>
      </w:r>
      <w:r w:rsidRPr="002F50BD">
        <w:rPr>
          <w:rFonts w:ascii="Verdana" w:hAnsi="Verdana"/>
          <w:sz w:val="20"/>
          <w:lang w:val="pt-BR"/>
        </w:rPr>
        <w:t xml:space="preserve"> e </w:t>
      </w:r>
      <w:r w:rsidR="001A249E" w:rsidRPr="002F50BD">
        <w:rPr>
          <w:rFonts w:ascii="Verdana" w:hAnsi="Verdana"/>
          <w:sz w:val="20"/>
          <w:lang w:val="pt-BR"/>
        </w:rPr>
        <w:t xml:space="preserve">perseguições por </w:t>
      </w:r>
      <w:r w:rsidR="004756C1" w:rsidRPr="002F50BD">
        <w:rPr>
          <w:rFonts w:ascii="Verdana" w:hAnsi="Verdana"/>
          <w:sz w:val="20"/>
          <w:lang w:val="pt-BR"/>
        </w:rPr>
        <w:t>parte de autoridades esta</w:t>
      </w:r>
      <w:r w:rsidRPr="002F50BD">
        <w:rPr>
          <w:rFonts w:ascii="Verdana" w:hAnsi="Verdana"/>
          <w:sz w:val="20"/>
          <w:lang w:val="pt-BR"/>
        </w:rPr>
        <w:t xml:space="preserve">tais e </w:t>
      </w:r>
      <w:r w:rsidR="004756C1" w:rsidRPr="002F50BD">
        <w:rPr>
          <w:rFonts w:ascii="Verdana" w:hAnsi="Verdana"/>
          <w:sz w:val="20"/>
          <w:lang w:val="pt-BR"/>
        </w:rPr>
        <w:t xml:space="preserve">de </w:t>
      </w:r>
      <w:r w:rsidRPr="002F50BD">
        <w:rPr>
          <w:rFonts w:ascii="Verdana" w:hAnsi="Verdana"/>
          <w:sz w:val="20"/>
          <w:lang w:val="pt-BR"/>
        </w:rPr>
        <w:t>pessoa</w:t>
      </w:r>
      <w:r w:rsidR="004756C1" w:rsidRPr="002F50BD">
        <w:rPr>
          <w:rFonts w:ascii="Verdana" w:hAnsi="Verdana"/>
          <w:sz w:val="20"/>
          <w:lang w:val="pt-BR"/>
        </w:rPr>
        <w:t>s particulares durante</w:t>
      </w:r>
      <w:r w:rsidRPr="002F50BD">
        <w:rPr>
          <w:rFonts w:ascii="Verdana" w:hAnsi="Verdana"/>
          <w:sz w:val="20"/>
          <w:lang w:val="pt-BR"/>
        </w:rPr>
        <w:t xml:space="preserve"> os anos</w:t>
      </w:r>
      <w:r w:rsidR="004756C1" w:rsidRPr="002F50BD">
        <w:rPr>
          <w:rFonts w:ascii="Verdana" w:hAnsi="Verdana"/>
          <w:sz w:val="20"/>
          <w:lang w:val="pt-BR"/>
        </w:rPr>
        <w:t xml:space="preserve"> que</w:t>
      </w:r>
      <w:r w:rsidRPr="002F50BD">
        <w:rPr>
          <w:rFonts w:ascii="Verdana" w:hAnsi="Verdana"/>
          <w:sz w:val="20"/>
          <w:lang w:val="pt-BR"/>
        </w:rPr>
        <w:t xml:space="preserve"> lev</w:t>
      </w:r>
      <w:r w:rsidR="004756C1" w:rsidRPr="002F50BD">
        <w:rPr>
          <w:rFonts w:ascii="Verdana" w:hAnsi="Verdana"/>
          <w:sz w:val="20"/>
          <w:lang w:val="pt-BR"/>
        </w:rPr>
        <w:t>a</w:t>
      </w:r>
      <w:r w:rsidR="001A249E" w:rsidRPr="002F50BD">
        <w:rPr>
          <w:rFonts w:ascii="Verdana" w:hAnsi="Verdana"/>
          <w:sz w:val="20"/>
          <w:lang w:val="pt-BR"/>
        </w:rPr>
        <w:t>m</w:t>
      </w:r>
      <w:r w:rsidR="004756C1" w:rsidRPr="002F50BD">
        <w:rPr>
          <w:rFonts w:ascii="Verdana" w:hAnsi="Verdana"/>
          <w:sz w:val="20"/>
          <w:lang w:val="pt-BR"/>
        </w:rPr>
        <w:t xml:space="preserve"> esperando</w:t>
      </w:r>
      <w:r w:rsidRPr="002F50BD">
        <w:rPr>
          <w:rFonts w:ascii="Verdana" w:hAnsi="Verdana"/>
          <w:sz w:val="20"/>
          <w:lang w:val="pt-BR"/>
        </w:rPr>
        <w:t xml:space="preserve"> </w:t>
      </w:r>
      <w:r w:rsidR="001A249E" w:rsidRPr="002F50BD">
        <w:rPr>
          <w:rFonts w:ascii="Verdana" w:hAnsi="Verdana"/>
          <w:sz w:val="20"/>
          <w:lang w:val="pt-BR"/>
        </w:rPr>
        <w:t>pel</w:t>
      </w:r>
      <w:r w:rsidRPr="002F50BD">
        <w:rPr>
          <w:rFonts w:ascii="Verdana" w:hAnsi="Verdana"/>
          <w:sz w:val="20"/>
          <w:lang w:val="pt-BR"/>
        </w:rPr>
        <w:t>a restituição</w:t>
      </w:r>
      <w:r w:rsidR="004756C1" w:rsidRPr="002F50BD">
        <w:rPr>
          <w:rFonts w:ascii="Verdana" w:hAnsi="Verdana"/>
          <w:sz w:val="20"/>
          <w:lang w:val="pt-BR"/>
        </w:rPr>
        <w:t xml:space="preserve"> de </w:t>
      </w:r>
      <w:r w:rsidR="00475EBB" w:rsidRPr="002F50BD">
        <w:rPr>
          <w:rFonts w:ascii="Verdana" w:hAnsi="Verdana"/>
          <w:sz w:val="20"/>
          <w:lang w:val="pt-BR"/>
        </w:rPr>
        <w:t>sua terra</w:t>
      </w:r>
      <w:r w:rsidR="004756C1" w:rsidRPr="002F50BD">
        <w:rPr>
          <w:rFonts w:ascii="Verdana" w:hAnsi="Verdana"/>
          <w:sz w:val="20"/>
          <w:lang w:val="pt-BR"/>
        </w:rPr>
        <w:t xml:space="preserve"> ancestral;</w:t>
      </w:r>
    </w:p>
    <w:p w:rsidR="00A57EC8" w:rsidRPr="002F50BD" w:rsidRDefault="00A57EC8" w:rsidP="00A57EC8">
      <w:pPr>
        <w:tabs>
          <w:tab w:val="left" w:pos="1080"/>
        </w:tabs>
        <w:ind w:left="360"/>
        <w:jc w:val="both"/>
        <w:rPr>
          <w:rFonts w:ascii="Verdana" w:hAnsi="Verdana"/>
          <w:sz w:val="20"/>
          <w:lang w:val="pt-BR"/>
        </w:rPr>
      </w:pPr>
    </w:p>
    <w:p w:rsidR="004756C1" w:rsidRPr="002F50BD" w:rsidRDefault="0089298C">
      <w:pPr>
        <w:numPr>
          <w:ilvl w:val="0"/>
          <w:numId w:val="17"/>
        </w:numPr>
        <w:tabs>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Estado</w:t>
      </w:r>
      <w:r w:rsidRPr="002F50BD">
        <w:rPr>
          <w:rFonts w:ascii="Verdana" w:hAnsi="Verdana"/>
          <w:sz w:val="20"/>
          <w:lang w:val="pt-BR"/>
        </w:rPr>
        <w:t xml:space="preserve"> deve </w:t>
      </w:r>
      <w:r w:rsidR="004756C1" w:rsidRPr="002F50BD">
        <w:rPr>
          <w:rFonts w:ascii="Verdana" w:hAnsi="Verdana"/>
          <w:sz w:val="20"/>
          <w:lang w:val="pt-BR"/>
        </w:rPr>
        <w:t>pagar</w:t>
      </w:r>
      <w:r w:rsidR="00811967" w:rsidRPr="002F50BD">
        <w:rPr>
          <w:rFonts w:ascii="Verdana" w:hAnsi="Verdana"/>
          <w:sz w:val="20"/>
          <w:lang w:val="pt-BR"/>
        </w:rPr>
        <w:t>, com equidade,</w:t>
      </w:r>
      <w:r w:rsidRPr="002F50BD">
        <w:rPr>
          <w:rFonts w:ascii="Verdana" w:hAnsi="Verdana"/>
          <w:sz w:val="20"/>
          <w:lang w:val="pt-BR"/>
        </w:rPr>
        <w:t xml:space="preserve"> uma soma </w:t>
      </w:r>
      <w:r w:rsidR="004756C1" w:rsidRPr="002F50BD">
        <w:rPr>
          <w:rFonts w:ascii="Verdana" w:hAnsi="Verdana"/>
          <w:sz w:val="20"/>
          <w:lang w:val="pt-BR"/>
        </w:rPr>
        <w:t xml:space="preserve">como </w:t>
      </w:r>
      <w:r w:rsidRPr="002F50BD">
        <w:rPr>
          <w:rFonts w:ascii="Verdana" w:hAnsi="Verdana"/>
          <w:sz w:val="20"/>
          <w:lang w:val="pt-BR"/>
        </w:rPr>
        <w:t>indenização pel</w:t>
      </w:r>
      <w:r w:rsidR="001A249E" w:rsidRPr="002F50BD">
        <w:rPr>
          <w:rFonts w:ascii="Verdana" w:hAnsi="Verdana"/>
          <w:sz w:val="20"/>
          <w:lang w:val="pt-BR"/>
        </w:rPr>
        <w:t>a</w:t>
      </w:r>
      <w:r w:rsidRPr="002F50BD">
        <w:rPr>
          <w:rFonts w:ascii="Verdana" w:hAnsi="Verdana"/>
          <w:sz w:val="20"/>
          <w:lang w:val="pt-BR"/>
        </w:rPr>
        <w:t xml:space="preserve"> dor e </w:t>
      </w:r>
      <w:r w:rsidR="004756C1" w:rsidRPr="002F50BD">
        <w:rPr>
          <w:rFonts w:ascii="Verdana" w:hAnsi="Verdana"/>
          <w:sz w:val="20"/>
          <w:lang w:val="pt-BR"/>
        </w:rPr>
        <w:t xml:space="preserve">tristeza </w:t>
      </w:r>
      <w:r w:rsidR="004076AD" w:rsidRPr="002F50BD">
        <w:rPr>
          <w:rFonts w:ascii="Verdana" w:hAnsi="Verdana"/>
          <w:sz w:val="20"/>
          <w:lang w:val="pt-BR"/>
        </w:rPr>
        <w:t>padec</w:t>
      </w:r>
      <w:r w:rsidR="00754117" w:rsidRPr="002F50BD">
        <w:rPr>
          <w:rFonts w:ascii="Verdana" w:hAnsi="Verdana"/>
          <w:sz w:val="20"/>
          <w:lang w:val="pt-BR"/>
        </w:rPr>
        <w:t>ida pel</w:t>
      </w:r>
      <w:r w:rsidRPr="002F50BD">
        <w:rPr>
          <w:rFonts w:ascii="Verdana" w:hAnsi="Verdana"/>
          <w:sz w:val="20"/>
          <w:lang w:val="pt-BR"/>
        </w:rPr>
        <w:t xml:space="preserve">os </w:t>
      </w:r>
      <w:r w:rsidR="009F308E" w:rsidRPr="002F50BD">
        <w:rPr>
          <w:rFonts w:ascii="Verdana" w:hAnsi="Verdana"/>
          <w:sz w:val="20"/>
          <w:lang w:val="pt-BR"/>
        </w:rPr>
        <w:t>familiares</w:t>
      </w:r>
      <w:r w:rsidRPr="002F50BD">
        <w:rPr>
          <w:rFonts w:ascii="Verdana" w:hAnsi="Verdana"/>
          <w:sz w:val="20"/>
          <w:lang w:val="pt-BR"/>
        </w:rPr>
        <w:t xml:space="preserve"> dos </w:t>
      </w:r>
      <w:r w:rsidR="00CF451D">
        <w:rPr>
          <w:rFonts w:ascii="Verdana" w:hAnsi="Verdana"/>
          <w:sz w:val="20"/>
          <w:lang w:val="pt-BR"/>
        </w:rPr>
        <w:t>16</w:t>
      </w:r>
      <w:r w:rsidR="004756C1"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falecid</w:t>
      </w:r>
      <w:r w:rsidR="004756C1" w:rsidRPr="002F50BD">
        <w:rPr>
          <w:rFonts w:ascii="Verdana" w:hAnsi="Verdana"/>
          <w:sz w:val="20"/>
          <w:lang w:val="pt-BR"/>
        </w:rPr>
        <w:t>os</w:t>
      </w:r>
      <w:r w:rsidRPr="002F50BD">
        <w:rPr>
          <w:rFonts w:ascii="Verdana" w:hAnsi="Verdana"/>
          <w:sz w:val="20"/>
          <w:lang w:val="pt-BR"/>
        </w:rPr>
        <w:t xml:space="preserve"> </w:t>
      </w:r>
      <w:r w:rsidR="001A249E" w:rsidRPr="002F50BD">
        <w:rPr>
          <w:rFonts w:ascii="Verdana" w:hAnsi="Verdana"/>
          <w:sz w:val="20"/>
          <w:lang w:val="pt-BR"/>
        </w:rPr>
        <w:t xml:space="preserve">em seu </w:t>
      </w:r>
      <w:r w:rsidRPr="002F50BD">
        <w:rPr>
          <w:rFonts w:ascii="Verdana" w:hAnsi="Verdana"/>
          <w:sz w:val="20"/>
          <w:lang w:val="pt-BR"/>
        </w:rPr>
        <w:t>atual</w:t>
      </w:r>
      <w:r w:rsidR="004756C1" w:rsidRPr="002F50BD">
        <w:rPr>
          <w:rFonts w:ascii="Verdana" w:hAnsi="Verdana"/>
          <w:sz w:val="20"/>
          <w:lang w:val="pt-BR"/>
        </w:rPr>
        <w:t xml:space="preserve"> </w:t>
      </w:r>
      <w:r w:rsidR="00AB454A" w:rsidRPr="002F50BD">
        <w:rPr>
          <w:rFonts w:ascii="Verdana" w:hAnsi="Verdana"/>
          <w:sz w:val="20"/>
          <w:lang w:val="pt-BR"/>
        </w:rPr>
        <w:t>assentamento</w:t>
      </w:r>
      <w:r w:rsidR="004756C1" w:rsidRPr="002F50BD">
        <w:rPr>
          <w:rFonts w:ascii="Verdana" w:hAnsi="Verdana"/>
          <w:sz w:val="20"/>
          <w:lang w:val="pt-BR"/>
        </w:rPr>
        <w:t xml:space="preserve">. </w:t>
      </w:r>
      <w:r w:rsidR="001A249E"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deve </w:t>
      </w:r>
      <w:r w:rsidR="004756C1" w:rsidRPr="002F50BD">
        <w:rPr>
          <w:rFonts w:ascii="Verdana" w:hAnsi="Verdana"/>
          <w:sz w:val="20"/>
          <w:lang w:val="pt-BR"/>
        </w:rPr>
        <w:t>pagar</w:t>
      </w:r>
      <w:r w:rsidRPr="002F50BD">
        <w:rPr>
          <w:rFonts w:ascii="Verdana" w:hAnsi="Verdana"/>
          <w:sz w:val="20"/>
          <w:lang w:val="pt-BR"/>
        </w:rPr>
        <w:t xml:space="preserve"> à Comunidade uma soma pelo sofrimento</w:t>
      </w:r>
      <w:r w:rsidR="004756C1" w:rsidRPr="002F50BD">
        <w:rPr>
          <w:rFonts w:ascii="Verdana" w:hAnsi="Verdana"/>
          <w:sz w:val="20"/>
          <w:lang w:val="pt-BR"/>
        </w:rPr>
        <w:t xml:space="preserve">, </w:t>
      </w:r>
      <w:r w:rsidRPr="002F50BD">
        <w:rPr>
          <w:rFonts w:ascii="Verdana" w:hAnsi="Verdana"/>
          <w:sz w:val="20"/>
          <w:lang w:val="pt-BR"/>
        </w:rPr>
        <w:t>angústia</w:t>
      </w:r>
      <w:r w:rsidR="004756C1" w:rsidRPr="002F50BD">
        <w:rPr>
          <w:rFonts w:ascii="Verdana" w:hAnsi="Verdana"/>
          <w:sz w:val="20"/>
          <w:lang w:val="pt-BR"/>
        </w:rPr>
        <w:t>, im</w:t>
      </w:r>
      <w:r w:rsidRPr="002F50BD">
        <w:rPr>
          <w:rFonts w:ascii="Verdana" w:hAnsi="Verdana"/>
          <w:sz w:val="20"/>
          <w:lang w:val="pt-BR"/>
        </w:rPr>
        <w:t>potência</w:t>
      </w:r>
      <w:r w:rsidR="004756C1" w:rsidRPr="002F50BD">
        <w:rPr>
          <w:rFonts w:ascii="Verdana" w:hAnsi="Verdana"/>
          <w:sz w:val="20"/>
          <w:lang w:val="pt-BR"/>
        </w:rPr>
        <w:t xml:space="preserve"> e in</w:t>
      </w:r>
      <w:r w:rsidRPr="002F50BD">
        <w:rPr>
          <w:rFonts w:ascii="Verdana" w:hAnsi="Verdana"/>
          <w:sz w:val="20"/>
          <w:lang w:val="pt-BR"/>
        </w:rPr>
        <w:t xml:space="preserve">dignidade </w:t>
      </w:r>
      <w:r w:rsidR="004756C1" w:rsidRPr="002F50BD">
        <w:rPr>
          <w:rFonts w:ascii="Verdana" w:hAnsi="Verdana"/>
          <w:sz w:val="20"/>
          <w:lang w:val="pt-BR"/>
        </w:rPr>
        <w:t xml:space="preserve">que </w:t>
      </w:r>
      <w:r w:rsidR="001A249E" w:rsidRPr="002F50BD">
        <w:rPr>
          <w:rFonts w:ascii="Verdana" w:hAnsi="Verdana"/>
          <w:sz w:val="20"/>
          <w:lang w:val="pt-BR"/>
        </w:rPr>
        <w:t xml:space="preserve">seus membros tiveram de suportar </w:t>
      </w:r>
      <w:r w:rsidR="00811967" w:rsidRPr="002F50BD">
        <w:rPr>
          <w:rFonts w:ascii="Verdana" w:hAnsi="Verdana"/>
          <w:sz w:val="20"/>
          <w:lang w:val="pt-BR"/>
        </w:rPr>
        <w:t>em razão</w:t>
      </w:r>
      <w:r w:rsidR="00754117" w:rsidRPr="002F50BD">
        <w:rPr>
          <w:rFonts w:ascii="Verdana" w:hAnsi="Verdana"/>
          <w:sz w:val="20"/>
          <w:lang w:val="pt-BR"/>
        </w:rPr>
        <w:t xml:space="preserve"> da</w:t>
      </w:r>
      <w:r w:rsidR="001A249E" w:rsidRPr="002F50BD">
        <w:rPr>
          <w:rFonts w:ascii="Verdana" w:hAnsi="Verdana"/>
          <w:sz w:val="20"/>
          <w:lang w:val="pt-BR"/>
        </w:rPr>
        <w:t xml:space="preserve"> </w:t>
      </w:r>
      <w:r w:rsidRPr="002F50BD">
        <w:rPr>
          <w:rFonts w:ascii="Verdana" w:hAnsi="Verdana"/>
          <w:sz w:val="20"/>
          <w:lang w:val="pt-BR"/>
        </w:rPr>
        <w:t>morte das crianças e das pessoa</w:t>
      </w:r>
      <w:r w:rsidR="004756C1" w:rsidRPr="002F50BD">
        <w:rPr>
          <w:rFonts w:ascii="Verdana" w:hAnsi="Verdana"/>
          <w:sz w:val="20"/>
          <w:lang w:val="pt-BR"/>
        </w:rPr>
        <w:t xml:space="preserve">s </w:t>
      </w:r>
      <w:r w:rsidRPr="002F50BD">
        <w:rPr>
          <w:rFonts w:ascii="Verdana" w:hAnsi="Verdana"/>
          <w:sz w:val="20"/>
          <w:lang w:val="pt-BR"/>
        </w:rPr>
        <w:t xml:space="preserve">maiores </w:t>
      </w:r>
      <w:r w:rsidR="001A249E" w:rsidRPr="002F50BD">
        <w:rPr>
          <w:rFonts w:ascii="Verdana" w:hAnsi="Verdana"/>
          <w:sz w:val="20"/>
          <w:lang w:val="pt-BR"/>
        </w:rPr>
        <w:t xml:space="preserve">de idade </w:t>
      </w:r>
      <w:r w:rsidRPr="002F50BD">
        <w:rPr>
          <w:rFonts w:ascii="Verdana" w:hAnsi="Verdana"/>
          <w:sz w:val="20"/>
          <w:lang w:val="pt-BR"/>
        </w:rPr>
        <w:t xml:space="preserve">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e</w:t>
      </w:r>
      <w:r w:rsidR="004756C1" w:rsidRPr="002F50BD">
        <w:rPr>
          <w:rFonts w:ascii="Verdana" w:hAnsi="Verdana"/>
          <w:sz w:val="20"/>
          <w:lang w:val="pt-BR"/>
        </w:rPr>
        <w:t xml:space="preserve"> </w:t>
      </w:r>
    </w:p>
    <w:p w:rsidR="00A57EC8" w:rsidRPr="002F50BD" w:rsidRDefault="00A57EC8" w:rsidP="00A57EC8">
      <w:pPr>
        <w:tabs>
          <w:tab w:val="left" w:pos="1080"/>
        </w:tabs>
        <w:ind w:left="360"/>
        <w:jc w:val="both"/>
        <w:rPr>
          <w:rFonts w:ascii="Verdana" w:hAnsi="Verdana"/>
          <w:sz w:val="20"/>
          <w:lang w:val="pt-BR"/>
        </w:rPr>
      </w:pPr>
    </w:p>
    <w:p w:rsidR="004756C1" w:rsidRPr="002F50BD" w:rsidRDefault="0089298C">
      <w:pPr>
        <w:numPr>
          <w:ilvl w:val="0"/>
          <w:numId w:val="17"/>
        </w:numPr>
        <w:tabs>
          <w:tab w:val="left" w:pos="1080"/>
        </w:tabs>
        <w:ind w:left="720"/>
        <w:jc w:val="both"/>
        <w:rPr>
          <w:rFonts w:ascii="Verdana" w:hAnsi="Verdana"/>
          <w:sz w:val="20"/>
          <w:lang w:val="pt-BR"/>
        </w:rPr>
      </w:pPr>
      <w:r w:rsidRPr="002F50BD">
        <w:rPr>
          <w:rFonts w:ascii="Verdana" w:hAnsi="Verdana"/>
          <w:sz w:val="20"/>
          <w:lang w:val="pt-BR"/>
        </w:rPr>
        <w:t xml:space="preserve">As </w:t>
      </w:r>
      <w:r w:rsidR="004756C1" w:rsidRPr="002F50BD">
        <w:rPr>
          <w:rFonts w:ascii="Verdana" w:hAnsi="Verdana"/>
          <w:sz w:val="20"/>
          <w:lang w:val="pt-BR"/>
        </w:rPr>
        <w:t>repara</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 xml:space="preserve">a respeito dos </w:t>
      </w:r>
      <w:r w:rsidR="004756C1" w:rsidRPr="002F50BD">
        <w:rPr>
          <w:rFonts w:ascii="Verdana" w:hAnsi="Verdana"/>
          <w:sz w:val="20"/>
          <w:lang w:val="pt-BR"/>
        </w:rPr>
        <w:t xml:space="preserve">padecimentos </w:t>
      </w:r>
      <w:r w:rsidR="004076AD" w:rsidRPr="002F50BD">
        <w:rPr>
          <w:rFonts w:ascii="Verdana" w:hAnsi="Verdana"/>
          <w:sz w:val="20"/>
          <w:lang w:val="pt-BR"/>
        </w:rPr>
        <w:t>sofridos</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deverão</w:t>
      </w:r>
      <w:r w:rsidR="004756C1" w:rsidRPr="002F50BD">
        <w:rPr>
          <w:rFonts w:ascii="Verdana" w:hAnsi="Verdana"/>
          <w:sz w:val="20"/>
          <w:lang w:val="pt-BR"/>
        </w:rPr>
        <w:t xml:space="preserve"> contemplar</w:t>
      </w:r>
      <w:r w:rsidRPr="002F50BD">
        <w:rPr>
          <w:rFonts w:ascii="Verdana" w:hAnsi="Verdana"/>
          <w:sz w:val="20"/>
          <w:lang w:val="pt-BR"/>
        </w:rPr>
        <w:t xml:space="preserve"> a constituição</w:t>
      </w:r>
      <w:r w:rsidR="004756C1" w:rsidRPr="002F50BD">
        <w:rPr>
          <w:rFonts w:ascii="Verdana" w:hAnsi="Verdana"/>
          <w:sz w:val="20"/>
          <w:lang w:val="pt-BR"/>
        </w:rPr>
        <w:t xml:space="preserve"> de</w:t>
      </w:r>
      <w:r w:rsidRPr="002F50BD">
        <w:rPr>
          <w:rFonts w:ascii="Verdana" w:hAnsi="Verdana"/>
          <w:sz w:val="20"/>
          <w:lang w:val="pt-BR"/>
        </w:rPr>
        <w:t xml:space="preserve"> um </w:t>
      </w:r>
      <w:r w:rsidR="001A249E" w:rsidRPr="002F50BD">
        <w:rPr>
          <w:rFonts w:ascii="Verdana" w:hAnsi="Verdana"/>
          <w:sz w:val="20"/>
          <w:lang w:val="pt-BR"/>
        </w:rPr>
        <w:t xml:space="preserve">fundo </w:t>
      </w:r>
      <w:r w:rsidRPr="002F50BD">
        <w:rPr>
          <w:rFonts w:ascii="Verdana" w:hAnsi="Verdana"/>
          <w:sz w:val="20"/>
          <w:lang w:val="pt-BR"/>
        </w:rPr>
        <w:lastRenderedPageBreak/>
        <w:t>pecuniário</w:t>
      </w:r>
      <w:r w:rsidR="004756C1" w:rsidRPr="002F50BD">
        <w:rPr>
          <w:rFonts w:ascii="Verdana" w:hAnsi="Verdana"/>
          <w:sz w:val="20"/>
          <w:lang w:val="pt-BR"/>
        </w:rPr>
        <w:t xml:space="preserve"> especial que </w:t>
      </w:r>
      <w:r w:rsidRPr="002F50BD">
        <w:rPr>
          <w:rFonts w:ascii="Verdana" w:hAnsi="Verdana"/>
          <w:sz w:val="20"/>
          <w:lang w:val="pt-BR"/>
        </w:rPr>
        <w:t>tenha</w:t>
      </w:r>
      <w:r w:rsidR="004756C1" w:rsidRPr="002F50BD">
        <w:rPr>
          <w:rFonts w:ascii="Verdana" w:hAnsi="Verdana"/>
          <w:sz w:val="20"/>
          <w:lang w:val="pt-BR"/>
        </w:rPr>
        <w:t xml:space="preserve"> </w:t>
      </w:r>
      <w:r w:rsidR="001A249E" w:rsidRPr="002F50BD">
        <w:rPr>
          <w:rFonts w:ascii="Verdana" w:hAnsi="Verdana"/>
          <w:sz w:val="20"/>
          <w:lang w:val="pt-BR"/>
        </w:rPr>
        <w:t xml:space="preserve">como </w:t>
      </w:r>
      <w:r w:rsidR="004756C1" w:rsidRPr="002F50BD">
        <w:rPr>
          <w:rFonts w:ascii="Verdana" w:hAnsi="Verdana"/>
          <w:sz w:val="20"/>
          <w:lang w:val="pt-BR"/>
        </w:rPr>
        <w:t>objet</w:t>
      </w:r>
      <w:r w:rsidR="001A249E" w:rsidRPr="002F50BD">
        <w:rPr>
          <w:rFonts w:ascii="Verdana" w:hAnsi="Verdana"/>
          <w:sz w:val="20"/>
          <w:lang w:val="pt-BR"/>
        </w:rPr>
        <w:t>iv</w:t>
      </w:r>
      <w:r w:rsidR="004756C1" w:rsidRPr="002F50BD">
        <w:rPr>
          <w:rFonts w:ascii="Verdana" w:hAnsi="Verdana"/>
          <w:sz w:val="20"/>
          <w:lang w:val="pt-BR"/>
        </w:rPr>
        <w:t>o financiar programas educativos, de capacita</w:t>
      </w:r>
      <w:r w:rsidRPr="002F50BD">
        <w:rPr>
          <w:rFonts w:ascii="Verdana" w:hAnsi="Verdana"/>
          <w:sz w:val="20"/>
          <w:lang w:val="pt-BR"/>
        </w:rPr>
        <w:t>ção, e</w:t>
      </w:r>
      <w:r w:rsidR="004756C1" w:rsidRPr="002F50BD">
        <w:rPr>
          <w:rFonts w:ascii="Verdana" w:hAnsi="Verdana"/>
          <w:sz w:val="20"/>
          <w:lang w:val="pt-BR"/>
        </w:rPr>
        <w:t xml:space="preserve"> de </w:t>
      </w:r>
      <w:r w:rsidRPr="002F50BD">
        <w:rPr>
          <w:rFonts w:ascii="Verdana" w:hAnsi="Verdana"/>
          <w:sz w:val="20"/>
          <w:lang w:val="pt-BR"/>
        </w:rPr>
        <w:t>atenção</w:t>
      </w:r>
      <w:r w:rsidR="004756C1" w:rsidRPr="002F50BD">
        <w:rPr>
          <w:rFonts w:ascii="Verdana" w:hAnsi="Verdana"/>
          <w:sz w:val="20"/>
          <w:lang w:val="pt-BR"/>
        </w:rPr>
        <w:t xml:space="preserve"> psicológica</w:t>
      </w:r>
      <w:r w:rsidRPr="002F50BD">
        <w:rPr>
          <w:rFonts w:ascii="Verdana" w:hAnsi="Verdana"/>
          <w:sz w:val="20"/>
          <w:lang w:val="pt-BR"/>
        </w:rPr>
        <w:t xml:space="preserve"> e </w:t>
      </w:r>
      <w:r w:rsidR="004756C1" w:rsidRPr="002F50BD">
        <w:rPr>
          <w:rFonts w:ascii="Verdana" w:hAnsi="Verdana"/>
          <w:sz w:val="20"/>
          <w:lang w:val="pt-BR"/>
        </w:rPr>
        <w:t>médica para</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cuja</w:t>
      </w:r>
      <w:r w:rsidR="004756C1" w:rsidRPr="002F50BD">
        <w:rPr>
          <w:rFonts w:ascii="Verdana" w:hAnsi="Verdana"/>
          <w:sz w:val="20"/>
          <w:lang w:val="pt-BR"/>
        </w:rPr>
        <w:t xml:space="preserve"> implementa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requerer</w:t>
      </w:r>
      <w:r w:rsidR="004756C1" w:rsidRPr="002F50BD">
        <w:rPr>
          <w:rFonts w:ascii="Verdana" w:hAnsi="Verdana"/>
          <w:sz w:val="20"/>
          <w:lang w:val="pt-BR"/>
        </w:rPr>
        <w:t>á</w:t>
      </w:r>
      <w:r w:rsidRPr="002F50BD">
        <w:rPr>
          <w:rFonts w:ascii="Verdana" w:hAnsi="Verdana"/>
          <w:sz w:val="20"/>
          <w:lang w:val="pt-BR"/>
        </w:rPr>
        <w:t xml:space="preserve"> o prévio</w:t>
      </w:r>
      <w:r w:rsidR="004756C1" w:rsidRPr="002F50BD">
        <w:rPr>
          <w:rFonts w:ascii="Verdana" w:hAnsi="Verdana"/>
          <w:sz w:val="20"/>
          <w:lang w:val="pt-BR"/>
        </w:rPr>
        <w:t xml:space="preserve"> </w:t>
      </w:r>
      <w:r w:rsidRPr="002F50BD">
        <w:rPr>
          <w:rFonts w:ascii="Verdana" w:hAnsi="Verdana"/>
          <w:sz w:val="20"/>
          <w:lang w:val="pt-BR"/>
        </w:rPr>
        <w:t>consentimento dos interessad</w:t>
      </w:r>
      <w:r w:rsidR="004756C1" w:rsidRPr="002F50BD">
        <w:rPr>
          <w:rFonts w:ascii="Verdana" w:hAnsi="Verdana"/>
          <w:sz w:val="20"/>
          <w:lang w:val="pt-BR"/>
        </w:rPr>
        <w:t>os, conforme s</w:t>
      </w:r>
      <w:r w:rsidR="001A249E" w:rsidRPr="002F50BD">
        <w:rPr>
          <w:rFonts w:ascii="Verdana" w:hAnsi="Verdana"/>
          <w:sz w:val="20"/>
          <w:lang w:val="pt-BR"/>
        </w:rPr>
        <w:t>e</w:t>
      </w:r>
      <w:r w:rsidR="004756C1" w:rsidRPr="002F50BD">
        <w:rPr>
          <w:rFonts w:ascii="Verdana" w:hAnsi="Verdana"/>
          <w:sz w:val="20"/>
          <w:lang w:val="pt-BR"/>
        </w:rPr>
        <w:t>us usos</w:t>
      </w:r>
      <w:r w:rsidRPr="002F50BD">
        <w:rPr>
          <w:rFonts w:ascii="Verdana" w:hAnsi="Verdana"/>
          <w:sz w:val="20"/>
          <w:lang w:val="pt-BR"/>
        </w:rPr>
        <w:t xml:space="preserve"> e costume</w:t>
      </w:r>
      <w:r w:rsidR="004756C1" w:rsidRPr="002F50BD">
        <w:rPr>
          <w:rFonts w:ascii="Verdana" w:hAnsi="Verdana"/>
          <w:sz w:val="20"/>
          <w:lang w:val="pt-BR"/>
        </w:rPr>
        <w:t>s.</w:t>
      </w:r>
    </w:p>
    <w:p w:rsidR="004756C1" w:rsidRPr="002F50BD" w:rsidRDefault="004756C1">
      <w:pPr>
        <w:ind w:firstLine="180"/>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w:t>
      </w:r>
      <w:r w:rsidR="004756C1" w:rsidRPr="002F50BD">
        <w:rPr>
          <w:rFonts w:ascii="Verdana" w:hAnsi="Verdana"/>
          <w:b w:val="0"/>
          <w:i/>
          <w:smallCaps w:val="0"/>
          <w:sz w:val="20"/>
        </w:rPr>
        <w:t xml:space="preserve"> </w:t>
      </w:r>
      <w:r w:rsidRPr="002F50BD">
        <w:rPr>
          <w:rFonts w:ascii="Verdana" w:hAnsi="Verdana"/>
          <w:b w:val="0"/>
          <w:i/>
          <w:smallCaps w:val="0"/>
          <w:sz w:val="20"/>
        </w:rPr>
        <w:t xml:space="preserve">do </w:t>
      </w:r>
      <w:r w:rsidR="004756C1" w:rsidRPr="002F50BD">
        <w:rPr>
          <w:rFonts w:ascii="Verdana" w:hAnsi="Verdana"/>
          <w:b w:val="0"/>
          <w:i/>
          <w:smallCaps w:val="0"/>
          <w:sz w:val="20"/>
        </w:rPr>
        <w:t>Estado</w:t>
      </w:r>
    </w:p>
    <w:p w:rsidR="00A57EC8" w:rsidRPr="002F50BD" w:rsidRDefault="00A57EC8" w:rsidP="00A57EC8">
      <w:pPr>
        <w:pStyle w:val="BodyText2"/>
        <w:rPr>
          <w:rFonts w:ascii="Verdana" w:hAnsi="Verdana"/>
          <w:sz w:val="20"/>
          <w:lang w:val="pt-BR"/>
        </w:rPr>
      </w:pPr>
    </w:p>
    <w:p w:rsidR="004756C1" w:rsidRPr="002F50BD" w:rsidRDefault="0089298C">
      <w:pPr>
        <w:pStyle w:val="BodyText2"/>
        <w:numPr>
          <w:ilvl w:val="0"/>
          <w:numId w:val="31"/>
        </w:numPr>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argumentou</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d</w:t>
      </w:r>
      <w:r w:rsidRPr="002F50BD">
        <w:rPr>
          <w:rFonts w:ascii="Verdana" w:hAnsi="Verdana"/>
          <w:sz w:val="20"/>
          <w:lang w:val="pt-BR"/>
        </w:rPr>
        <w:t>anos e prejuízo</w:t>
      </w:r>
      <w:r w:rsidR="004756C1" w:rsidRPr="002F50BD">
        <w:rPr>
          <w:rFonts w:ascii="Verdana" w:hAnsi="Verdana"/>
          <w:sz w:val="20"/>
          <w:lang w:val="pt-BR"/>
        </w:rPr>
        <w:t xml:space="preserve">s que </w:t>
      </w:r>
      <w:r w:rsidR="001A249E" w:rsidRPr="002F50BD">
        <w:rPr>
          <w:rFonts w:ascii="Verdana" w:hAnsi="Verdana"/>
          <w:sz w:val="20"/>
          <w:lang w:val="pt-BR"/>
        </w:rPr>
        <w:t xml:space="preserve">poderiam </w:t>
      </w:r>
      <w:r w:rsidRPr="002F50BD">
        <w:rPr>
          <w:rFonts w:ascii="Verdana" w:hAnsi="Verdana"/>
          <w:sz w:val="20"/>
          <w:lang w:val="pt-BR"/>
        </w:rPr>
        <w:t>ter</w:t>
      </w:r>
      <w:r w:rsidR="004756C1" w:rsidRPr="002F50BD">
        <w:rPr>
          <w:rFonts w:ascii="Verdana" w:hAnsi="Verdana"/>
          <w:sz w:val="20"/>
          <w:lang w:val="pt-BR"/>
        </w:rPr>
        <w:t xml:space="preserve"> sido ocasionados</w:t>
      </w:r>
      <w:r w:rsidRPr="002F50BD">
        <w:rPr>
          <w:rFonts w:ascii="Verdana" w:hAnsi="Verdana"/>
          <w:sz w:val="20"/>
          <w:lang w:val="pt-BR"/>
        </w:rPr>
        <w:t xml:space="preserve"> no </w:t>
      </w:r>
      <w:r w:rsidR="004756C1" w:rsidRPr="002F50BD">
        <w:rPr>
          <w:rFonts w:ascii="Verdana" w:hAnsi="Verdana"/>
          <w:sz w:val="20"/>
          <w:lang w:val="pt-BR"/>
        </w:rPr>
        <w:t>presente caso</w:t>
      </w:r>
      <w:r w:rsidR="006C4819" w:rsidRPr="002F50BD">
        <w:rPr>
          <w:rFonts w:ascii="Verdana" w:hAnsi="Verdana"/>
          <w:sz w:val="20"/>
          <w:lang w:val="pt-BR"/>
        </w:rPr>
        <w:t xml:space="preserve"> não foram </w:t>
      </w:r>
      <w:r w:rsidR="004756C1" w:rsidRPr="002F50BD">
        <w:rPr>
          <w:rFonts w:ascii="Verdana" w:hAnsi="Verdana"/>
          <w:sz w:val="20"/>
          <w:lang w:val="pt-BR"/>
        </w:rPr>
        <w:t>reclamados</w:t>
      </w:r>
      <w:r w:rsidRPr="002F50BD">
        <w:rPr>
          <w:rFonts w:ascii="Verdana" w:hAnsi="Verdana"/>
          <w:sz w:val="20"/>
          <w:lang w:val="pt-BR"/>
        </w:rPr>
        <w:t xml:space="preserve"> perante a justiça</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w:t>
      </w:r>
      <w:r w:rsidRPr="002F50BD">
        <w:rPr>
          <w:rFonts w:ascii="Verdana" w:hAnsi="Verdana"/>
          <w:sz w:val="20"/>
          <w:lang w:val="pt-BR"/>
        </w:rPr>
        <w:t xml:space="preserve"> e</w:t>
      </w:r>
      <w:r w:rsidR="004756C1" w:rsidRPr="002F50BD">
        <w:rPr>
          <w:rFonts w:ascii="Verdana" w:hAnsi="Verdana"/>
          <w:sz w:val="20"/>
          <w:lang w:val="pt-BR"/>
        </w:rPr>
        <w:t xml:space="preserve"> que n</w:t>
      </w:r>
      <w:r w:rsidR="001A249E"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há </w:t>
      </w:r>
      <w:r w:rsidR="004756C1" w:rsidRPr="002F50BD">
        <w:rPr>
          <w:rFonts w:ascii="Verdana" w:hAnsi="Verdana"/>
          <w:sz w:val="20"/>
          <w:lang w:val="pt-BR"/>
        </w:rPr>
        <w:t>rela</w:t>
      </w:r>
      <w:r w:rsidRPr="002F50BD">
        <w:rPr>
          <w:rFonts w:ascii="Verdana" w:hAnsi="Verdana"/>
          <w:sz w:val="20"/>
          <w:lang w:val="pt-BR"/>
        </w:rPr>
        <w:t>ção</w:t>
      </w:r>
      <w:r w:rsidR="004756C1" w:rsidRPr="002F50BD">
        <w:rPr>
          <w:rFonts w:ascii="Verdana" w:hAnsi="Verdana"/>
          <w:sz w:val="20"/>
          <w:lang w:val="pt-BR"/>
        </w:rPr>
        <w:t xml:space="preserve"> entre</w:t>
      </w:r>
      <w:r w:rsidRPr="002F50BD">
        <w:rPr>
          <w:rFonts w:ascii="Verdana" w:hAnsi="Verdana"/>
          <w:sz w:val="20"/>
          <w:lang w:val="pt-BR"/>
        </w:rPr>
        <w:t xml:space="preserve"> as morte</w:t>
      </w:r>
      <w:r w:rsidR="004756C1" w:rsidRPr="002F50BD">
        <w:rPr>
          <w:rFonts w:ascii="Verdana" w:hAnsi="Verdana"/>
          <w:sz w:val="20"/>
          <w:lang w:val="pt-BR"/>
        </w:rPr>
        <w:t xml:space="preserve">s de </w:t>
      </w:r>
      <w:r w:rsidRPr="002F50BD">
        <w:rPr>
          <w:rFonts w:ascii="Verdana" w:hAnsi="Verdana"/>
          <w:sz w:val="20"/>
          <w:lang w:val="pt-BR"/>
        </w:rPr>
        <w:t>alguns membro</w:t>
      </w:r>
      <w:r w:rsidR="004756C1" w:rsidRPr="002F50BD">
        <w:rPr>
          <w:rFonts w:ascii="Verdana" w:hAnsi="Verdana"/>
          <w:sz w:val="20"/>
          <w:lang w:val="pt-BR"/>
        </w:rPr>
        <w:t>s</w:t>
      </w:r>
      <w:r w:rsidRPr="002F50BD">
        <w:rPr>
          <w:rFonts w:ascii="Verdana" w:hAnsi="Verdana"/>
          <w:sz w:val="20"/>
          <w:lang w:val="pt-BR"/>
        </w:rPr>
        <w:t xml:space="preserve"> da Comunidade e a questão das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Por</w:t>
      </w:r>
      <w:r w:rsidRPr="002F50BD">
        <w:rPr>
          <w:rFonts w:ascii="Verdana" w:hAnsi="Verdana"/>
          <w:sz w:val="20"/>
          <w:lang w:val="pt-BR"/>
        </w:rPr>
        <w:t xml:space="preserve"> outro </w:t>
      </w:r>
      <w:r w:rsidR="004756C1" w:rsidRPr="002F50BD">
        <w:rPr>
          <w:rFonts w:ascii="Verdana" w:hAnsi="Verdana"/>
          <w:sz w:val="20"/>
          <w:lang w:val="pt-BR"/>
        </w:rPr>
        <w:t>lado,</w:t>
      </w:r>
      <w:r w:rsidRPr="002F50BD">
        <w:rPr>
          <w:rFonts w:ascii="Verdana" w:hAnsi="Verdana"/>
          <w:sz w:val="20"/>
          <w:lang w:val="pt-BR"/>
        </w:rPr>
        <w:t xml:space="preserve"> o </w:t>
      </w:r>
      <w:r w:rsidR="004756C1" w:rsidRPr="002F50BD">
        <w:rPr>
          <w:rFonts w:ascii="Verdana" w:hAnsi="Verdana"/>
          <w:sz w:val="20"/>
          <w:lang w:val="pt-BR"/>
        </w:rPr>
        <w:t>Estado re</w:t>
      </w:r>
      <w:r w:rsidRPr="002F50BD">
        <w:rPr>
          <w:rFonts w:ascii="Verdana" w:hAnsi="Verdana"/>
          <w:sz w:val="20"/>
          <w:lang w:val="pt-BR"/>
        </w:rPr>
        <w:t>conheceu</w:t>
      </w:r>
      <w:r w:rsidR="004756C1" w:rsidRPr="002F50BD">
        <w:rPr>
          <w:rFonts w:ascii="Verdana" w:hAnsi="Verdana"/>
          <w:sz w:val="20"/>
          <w:lang w:val="pt-BR"/>
        </w:rPr>
        <w:t xml:space="preserve"> que existe</w:t>
      </w:r>
      <w:r w:rsidRPr="002F50BD">
        <w:rPr>
          <w:rFonts w:ascii="Verdana" w:hAnsi="Verdana"/>
          <w:sz w:val="20"/>
          <w:lang w:val="pt-BR"/>
        </w:rPr>
        <w:t xml:space="preserve"> a necessidade </w:t>
      </w:r>
      <w:r w:rsidR="001A249E" w:rsidRPr="002F50BD">
        <w:rPr>
          <w:rFonts w:ascii="Verdana" w:hAnsi="Verdana"/>
          <w:sz w:val="20"/>
          <w:lang w:val="pt-BR"/>
        </w:rPr>
        <w:t xml:space="preserve">por parte </w:t>
      </w:r>
      <w:r w:rsidRPr="002F50BD">
        <w:rPr>
          <w:rFonts w:ascii="Verdana" w:hAnsi="Verdana"/>
          <w:sz w:val="20"/>
          <w:lang w:val="pt-BR"/>
        </w:rPr>
        <w:t>dos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de dar</w:t>
      </w:r>
      <w:r w:rsidRPr="002F50BD">
        <w:rPr>
          <w:rFonts w:ascii="Verdana" w:hAnsi="Verdana"/>
          <w:sz w:val="20"/>
          <w:lang w:val="pt-BR"/>
        </w:rPr>
        <w:t xml:space="preserve"> às terra</w:t>
      </w:r>
      <w:r w:rsidR="004756C1" w:rsidRPr="002F50BD">
        <w:rPr>
          <w:rFonts w:ascii="Verdana" w:hAnsi="Verdana"/>
          <w:sz w:val="20"/>
          <w:lang w:val="pt-BR"/>
        </w:rPr>
        <w:t xml:space="preserve">s que </w:t>
      </w:r>
      <w:r w:rsidR="001A249E" w:rsidRPr="002F50BD">
        <w:rPr>
          <w:rFonts w:ascii="Verdana" w:hAnsi="Verdana"/>
          <w:sz w:val="20"/>
          <w:lang w:val="pt-BR"/>
        </w:rPr>
        <w:t xml:space="preserve">lhes sejam entregues </w:t>
      </w:r>
      <w:r w:rsidRPr="002F50BD">
        <w:rPr>
          <w:rFonts w:ascii="Verdana" w:hAnsi="Verdana"/>
          <w:sz w:val="20"/>
          <w:lang w:val="pt-BR"/>
        </w:rPr>
        <w:t xml:space="preserve">um </w:t>
      </w:r>
      <w:r w:rsidR="004756C1" w:rsidRPr="002F50BD">
        <w:rPr>
          <w:rFonts w:ascii="Verdana" w:hAnsi="Verdana"/>
          <w:sz w:val="20"/>
          <w:lang w:val="pt-BR"/>
        </w:rPr>
        <w:t xml:space="preserve">rendimento produtivo que </w:t>
      </w:r>
      <w:r w:rsidRPr="002F50BD">
        <w:rPr>
          <w:rFonts w:ascii="Verdana" w:hAnsi="Verdana"/>
          <w:sz w:val="20"/>
          <w:lang w:val="pt-BR"/>
        </w:rPr>
        <w:t>possa</w:t>
      </w:r>
      <w:r w:rsidR="004756C1" w:rsidRPr="002F50BD">
        <w:rPr>
          <w:rFonts w:ascii="Verdana" w:hAnsi="Verdana"/>
          <w:sz w:val="20"/>
          <w:lang w:val="pt-BR"/>
        </w:rPr>
        <w:t xml:space="preserve"> sustentar</w:t>
      </w:r>
      <w:r w:rsidRPr="002F50BD">
        <w:rPr>
          <w:rFonts w:ascii="Verdana" w:hAnsi="Verdana"/>
          <w:sz w:val="20"/>
          <w:lang w:val="pt-BR"/>
        </w:rPr>
        <w:t xml:space="preserve"> as necessidad</w:t>
      </w:r>
      <w:r w:rsidR="004756C1" w:rsidRPr="002F50BD">
        <w:rPr>
          <w:rFonts w:ascii="Verdana" w:hAnsi="Verdana"/>
          <w:sz w:val="20"/>
          <w:lang w:val="pt-BR"/>
        </w:rPr>
        <w:t>es</w:t>
      </w:r>
      <w:r w:rsidRPr="002F50BD">
        <w:rPr>
          <w:rFonts w:ascii="Verdana" w:hAnsi="Verdana"/>
          <w:sz w:val="20"/>
          <w:lang w:val="pt-BR"/>
        </w:rPr>
        <w:t xml:space="preserve"> da Comunidade e </w:t>
      </w:r>
      <w:r w:rsidR="004756C1" w:rsidRPr="002F50BD">
        <w:rPr>
          <w:rFonts w:ascii="Verdana" w:hAnsi="Verdana"/>
          <w:sz w:val="20"/>
          <w:lang w:val="pt-BR"/>
        </w:rPr>
        <w:t>permitir</w:t>
      </w:r>
      <w:r w:rsidRPr="002F50BD">
        <w:rPr>
          <w:rFonts w:ascii="Verdana" w:hAnsi="Verdana"/>
          <w:sz w:val="20"/>
          <w:lang w:val="pt-BR"/>
        </w:rPr>
        <w:t xml:space="preserve"> o desenvolvimento</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o</w:t>
      </w:r>
      <w:r w:rsidRPr="002F50BD">
        <w:rPr>
          <w:rFonts w:ascii="Verdana" w:hAnsi="Verdana"/>
          <w:sz w:val="20"/>
          <w:lang w:val="pt-BR"/>
        </w:rPr>
        <w:t xml:space="preserve"> das mesm</w:t>
      </w:r>
      <w:r w:rsidR="004756C1" w:rsidRPr="002F50BD">
        <w:rPr>
          <w:rFonts w:ascii="Verdana" w:hAnsi="Verdana"/>
          <w:sz w:val="20"/>
          <w:lang w:val="pt-BR"/>
        </w:rPr>
        <w:t xml:space="preserve">as. Para tal </w:t>
      </w:r>
      <w:r w:rsidRPr="002F50BD">
        <w:rPr>
          <w:rFonts w:ascii="Verdana" w:hAnsi="Verdana"/>
          <w:sz w:val="20"/>
          <w:lang w:val="pt-BR"/>
        </w:rPr>
        <w:t>efeito</w:t>
      </w:r>
      <w:r w:rsidR="004756C1" w:rsidRPr="002F50BD">
        <w:rPr>
          <w:rFonts w:ascii="Verdana" w:hAnsi="Verdana"/>
          <w:sz w:val="20"/>
          <w:lang w:val="pt-BR"/>
        </w:rPr>
        <w:t xml:space="preserve">, </w:t>
      </w:r>
      <w:r w:rsidR="001A249E" w:rsidRPr="002F50BD">
        <w:rPr>
          <w:rFonts w:ascii="Verdana" w:hAnsi="Verdana"/>
          <w:sz w:val="20"/>
          <w:lang w:val="pt-BR"/>
        </w:rPr>
        <w:t xml:space="preserve">colocará </w:t>
      </w:r>
      <w:r w:rsidRPr="002F50BD">
        <w:rPr>
          <w:rFonts w:ascii="Verdana" w:hAnsi="Verdana"/>
          <w:sz w:val="20"/>
          <w:lang w:val="pt-BR"/>
        </w:rPr>
        <w:t>em execução um projeto</w:t>
      </w:r>
      <w:r w:rsidR="004756C1" w:rsidRPr="002F50BD">
        <w:rPr>
          <w:rFonts w:ascii="Verdana" w:hAnsi="Verdana"/>
          <w:sz w:val="20"/>
          <w:lang w:val="pt-BR"/>
        </w:rPr>
        <w:t xml:space="preserve"> de </w:t>
      </w:r>
      <w:r w:rsidRPr="002F50BD">
        <w:rPr>
          <w:rFonts w:ascii="Verdana" w:hAnsi="Verdana"/>
          <w:sz w:val="20"/>
          <w:lang w:val="pt-BR"/>
        </w:rPr>
        <w:t>desenvolvimento</w:t>
      </w:r>
      <w:r w:rsidR="004756C1" w:rsidRPr="002F50BD">
        <w:rPr>
          <w:rFonts w:ascii="Verdana" w:hAnsi="Verdana"/>
          <w:sz w:val="20"/>
          <w:lang w:val="pt-BR"/>
        </w:rPr>
        <w:t xml:space="preserve"> </w:t>
      </w:r>
      <w:r w:rsidRPr="002F50BD">
        <w:rPr>
          <w:rFonts w:ascii="Verdana" w:hAnsi="Verdana"/>
          <w:sz w:val="20"/>
          <w:lang w:val="pt-BR"/>
        </w:rPr>
        <w:t>adequad</w:t>
      </w:r>
      <w:r w:rsidR="004756C1" w:rsidRPr="002F50BD">
        <w:rPr>
          <w:rFonts w:ascii="Verdana" w:hAnsi="Verdana"/>
          <w:sz w:val="20"/>
          <w:lang w:val="pt-BR"/>
        </w:rPr>
        <w:t>o</w:t>
      </w:r>
      <w:r w:rsidRPr="002F50BD">
        <w:rPr>
          <w:rFonts w:ascii="Verdana" w:hAnsi="Verdana"/>
          <w:sz w:val="20"/>
          <w:lang w:val="pt-BR"/>
        </w:rPr>
        <w:t xml:space="preserve"> das terra</w:t>
      </w:r>
      <w:r w:rsidR="004756C1" w:rsidRPr="002F50BD">
        <w:rPr>
          <w:rFonts w:ascii="Verdana" w:hAnsi="Verdana"/>
          <w:sz w:val="20"/>
          <w:lang w:val="pt-BR"/>
        </w:rPr>
        <w:t xml:space="preserve">s, </w:t>
      </w:r>
      <w:r w:rsidRPr="002F50BD">
        <w:rPr>
          <w:rFonts w:ascii="Verdana" w:hAnsi="Verdana"/>
          <w:sz w:val="20"/>
          <w:lang w:val="pt-BR"/>
        </w:rPr>
        <w:t>imediat</w:t>
      </w:r>
      <w:r w:rsidR="004756C1" w:rsidRPr="002F50BD">
        <w:rPr>
          <w:rFonts w:ascii="Verdana" w:hAnsi="Verdana"/>
          <w:sz w:val="20"/>
          <w:lang w:val="pt-BR"/>
        </w:rPr>
        <w:t xml:space="preserve">amente </w:t>
      </w:r>
      <w:r w:rsidRPr="002F50BD">
        <w:rPr>
          <w:rFonts w:ascii="Verdana" w:hAnsi="Verdana"/>
          <w:sz w:val="20"/>
          <w:lang w:val="pt-BR"/>
        </w:rPr>
        <w:t>depois</w:t>
      </w:r>
      <w:r w:rsidR="004756C1" w:rsidRPr="002F50BD">
        <w:rPr>
          <w:rFonts w:ascii="Verdana" w:hAnsi="Verdana"/>
          <w:sz w:val="20"/>
          <w:lang w:val="pt-BR"/>
        </w:rPr>
        <w:t xml:space="preserve"> de que</w:t>
      </w:r>
      <w:r w:rsidRPr="002F50BD">
        <w:rPr>
          <w:rFonts w:ascii="Verdana" w:hAnsi="Verdana"/>
          <w:sz w:val="20"/>
          <w:lang w:val="pt-BR"/>
        </w:rPr>
        <w:t xml:space="preserve"> tenha </w:t>
      </w:r>
      <w:r w:rsidR="004756C1" w:rsidRPr="002F50BD">
        <w:rPr>
          <w:rFonts w:ascii="Verdana" w:hAnsi="Verdana"/>
          <w:sz w:val="20"/>
          <w:lang w:val="pt-BR"/>
        </w:rPr>
        <w:t>sido consultado</w:t>
      </w:r>
      <w:r w:rsidRPr="002F50BD">
        <w:rPr>
          <w:rFonts w:ascii="Verdana" w:hAnsi="Verdana"/>
          <w:sz w:val="20"/>
          <w:lang w:val="pt-BR"/>
        </w:rPr>
        <w:t xml:space="preserve"> e aceit</w:t>
      </w:r>
      <w:r w:rsidR="004756C1" w:rsidRPr="002F50BD">
        <w:rPr>
          <w:rFonts w:ascii="Verdana" w:hAnsi="Verdana"/>
          <w:sz w:val="20"/>
          <w:lang w:val="pt-BR"/>
        </w:rPr>
        <w:t>o</w:t>
      </w:r>
      <w:r w:rsidRPr="002F50BD">
        <w:rPr>
          <w:rFonts w:ascii="Verdana" w:hAnsi="Verdana"/>
          <w:sz w:val="20"/>
          <w:lang w:val="pt-BR"/>
        </w:rPr>
        <w:t xml:space="preserve"> pela Comunidade </w:t>
      </w:r>
      <w:r w:rsidR="001A249E" w:rsidRPr="002F50BD">
        <w:rPr>
          <w:rFonts w:ascii="Verdana" w:hAnsi="Verdana"/>
          <w:sz w:val="20"/>
          <w:lang w:val="pt-BR"/>
        </w:rPr>
        <w:t>de</w:t>
      </w:r>
      <w:r w:rsidRPr="002F50BD">
        <w:rPr>
          <w:rFonts w:ascii="Verdana" w:hAnsi="Verdana"/>
          <w:sz w:val="20"/>
          <w:lang w:val="pt-BR"/>
        </w:rPr>
        <w:t xml:space="preserve"> </w:t>
      </w:r>
      <w:r w:rsidR="004756C1" w:rsidRPr="002F50BD">
        <w:rPr>
          <w:rFonts w:ascii="Verdana" w:hAnsi="Verdana"/>
          <w:sz w:val="20"/>
          <w:lang w:val="pt-BR"/>
        </w:rPr>
        <w:t xml:space="preserve">forma </w:t>
      </w:r>
      <w:r w:rsidRPr="002F50BD">
        <w:rPr>
          <w:rFonts w:ascii="Verdana" w:hAnsi="Verdana"/>
          <w:sz w:val="20"/>
          <w:lang w:val="pt-BR"/>
        </w:rPr>
        <w:t>diret</w:t>
      </w:r>
      <w:r w:rsidR="004756C1" w:rsidRPr="002F50BD">
        <w:rPr>
          <w:rFonts w:ascii="Verdana" w:hAnsi="Verdana"/>
          <w:sz w:val="20"/>
          <w:lang w:val="pt-BR"/>
        </w:rPr>
        <w:t>a,</w:t>
      </w:r>
      <w:r w:rsidRPr="002F50BD">
        <w:rPr>
          <w:rFonts w:ascii="Verdana" w:hAnsi="Verdana"/>
          <w:sz w:val="20"/>
          <w:lang w:val="pt-BR"/>
        </w:rPr>
        <w:t xml:space="preserve"> sem interferência</w:t>
      </w:r>
      <w:r w:rsidR="004756C1" w:rsidRPr="002F50BD">
        <w:rPr>
          <w:rFonts w:ascii="Verdana" w:hAnsi="Verdana"/>
          <w:sz w:val="20"/>
          <w:lang w:val="pt-BR"/>
        </w:rPr>
        <w:t xml:space="preserve"> de </w:t>
      </w:r>
      <w:r w:rsidRPr="002F50BD">
        <w:rPr>
          <w:rFonts w:ascii="Verdana" w:hAnsi="Verdana"/>
          <w:sz w:val="20"/>
          <w:lang w:val="pt-BR"/>
        </w:rPr>
        <w:t>terceiro</w:t>
      </w:r>
      <w:r w:rsidR="004756C1" w:rsidRPr="002F50BD">
        <w:rPr>
          <w:rFonts w:ascii="Verdana" w:hAnsi="Verdana"/>
          <w:sz w:val="20"/>
          <w:lang w:val="pt-BR"/>
        </w:rPr>
        <w:t>s que obstaculi</w:t>
      </w:r>
      <w:r w:rsidR="001A249E" w:rsidRPr="002F50BD">
        <w:rPr>
          <w:rFonts w:ascii="Verdana" w:hAnsi="Verdana"/>
          <w:sz w:val="20"/>
          <w:lang w:val="pt-BR"/>
        </w:rPr>
        <w:t>zem o</w:t>
      </w:r>
      <w:r w:rsidRPr="002F50BD">
        <w:rPr>
          <w:rFonts w:ascii="Verdana" w:hAnsi="Verdana"/>
          <w:sz w:val="20"/>
          <w:lang w:val="pt-BR"/>
        </w:rPr>
        <w:t xml:space="preserve"> desenvolvimento da </w:t>
      </w:r>
      <w:r w:rsidR="004756C1" w:rsidRPr="002F50BD">
        <w:rPr>
          <w:rFonts w:ascii="Verdana" w:hAnsi="Verdana"/>
          <w:sz w:val="20"/>
          <w:lang w:val="pt-BR"/>
        </w:rPr>
        <w:t>negocia</w:t>
      </w:r>
      <w:r w:rsidRPr="002F50BD">
        <w:rPr>
          <w:rFonts w:ascii="Verdana" w:hAnsi="Verdana"/>
          <w:sz w:val="20"/>
          <w:lang w:val="pt-BR"/>
        </w:rPr>
        <w:t>ção</w:t>
      </w:r>
      <w:r w:rsidR="004756C1" w:rsidRPr="002F50BD">
        <w:rPr>
          <w:rFonts w:ascii="Verdana" w:hAnsi="Verdana"/>
          <w:sz w:val="20"/>
          <w:lang w:val="pt-BR"/>
        </w:rPr>
        <w:t>.</w:t>
      </w:r>
    </w:p>
    <w:p w:rsidR="004756C1" w:rsidRPr="002F50BD" w:rsidRDefault="004756C1">
      <w:pPr>
        <w:pStyle w:val="BodyText2"/>
        <w:rPr>
          <w:rFonts w:ascii="Verdana" w:hAnsi="Verdana"/>
          <w:b/>
          <w:sz w:val="20"/>
          <w:lang w:val="pt-BR"/>
        </w:rPr>
      </w:pPr>
    </w:p>
    <w:p w:rsidR="004756C1" w:rsidRPr="002F50BD" w:rsidRDefault="004756C1">
      <w:pPr>
        <w:pStyle w:val="BodyText2"/>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1A249E" w:rsidRPr="002F50BD" w:rsidRDefault="001A249E" w:rsidP="001A249E">
      <w:pPr>
        <w:pStyle w:val="BodyText2"/>
        <w:rPr>
          <w:rFonts w:ascii="Verdana" w:hAnsi="Verdana"/>
          <w:sz w:val="20"/>
          <w:lang w:val="pt-BR"/>
        </w:rPr>
      </w:pPr>
    </w:p>
    <w:p w:rsidR="004756C1" w:rsidRPr="002F50BD" w:rsidRDefault="0089298C">
      <w:pPr>
        <w:pStyle w:val="BodyText2"/>
        <w:numPr>
          <w:ilvl w:val="0"/>
          <w:numId w:val="31"/>
        </w:numPr>
        <w:rPr>
          <w:rFonts w:ascii="Verdana" w:hAnsi="Verdana"/>
          <w:sz w:val="20"/>
          <w:lang w:val="pt-BR"/>
        </w:rPr>
      </w:pPr>
      <w:r w:rsidRPr="002F50BD">
        <w:rPr>
          <w:rFonts w:ascii="Verdana" w:hAnsi="Verdana"/>
          <w:sz w:val="20"/>
          <w:lang w:val="pt-BR"/>
        </w:rPr>
        <w:t>O dano</w:t>
      </w:r>
      <w:r w:rsidR="004756C1" w:rsidRPr="002F50BD">
        <w:rPr>
          <w:rFonts w:ascii="Verdana" w:hAnsi="Verdana"/>
          <w:sz w:val="20"/>
          <w:lang w:val="pt-BR"/>
        </w:rPr>
        <w:t xml:space="preserve"> </w:t>
      </w:r>
      <w:r w:rsidRPr="002F50BD">
        <w:rPr>
          <w:rFonts w:ascii="Verdana" w:hAnsi="Verdana"/>
          <w:sz w:val="20"/>
          <w:lang w:val="pt-BR"/>
        </w:rPr>
        <w:t>imaterial</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xml:space="preserve"> compre</w:t>
      </w:r>
      <w:r w:rsidR="001A249E" w:rsidRPr="002F50BD">
        <w:rPr>
          <w:rFonts w:ascii="Verdana" w:hAnsi="Verdana"/>
          <w:sz w:val="20"/>
          <w:lang w:val="pt-BR"/>
        </w:rPr>
        <w:t>e</w:t>
      </w:r>
      <w:r w:rsidR="004756C1" w:rsidRPr="002F50BD">
        <w:rPr>
          <w:rFonts w:ascii="Verdana" w:hAnsi="Verdana"/>
          <w:sz w:val="20"/>
          <w:lang w:val="pt-BR"/>
        </w:rPr>
        <w:t>nder tanto</w:t>
      </w:r>
      <w:r w:rsidRPr="002F50BD">
        <w:rPr>
          <w:rFonts w:ascii="Verdana" w:hAnsi="Verdana"/>
          <w:sz w:val="20"/>
          <w:lang w:val="pt-BR"/>
        </w:rPr>
        <w:t xml:space="preserve"> os sofrimento</w:t>
      </w:r>
      <w:r w:rsidR="004756C1" w:rsidRPr="002F50BD">
        <w:rPr>
          <w:rFonts w:ascii="Verdana" w:hAnsi="Verdana"/>
          <w:sz w:val="20"/>
          <w:lang w:val="pt-BR"/>
        </w:rPr>
        <w:t>s</w:t>
      </w:r>
      <w:r w:rsidRPr="002F50BD">
        <w:rPr>
          <w:rFonts w:ascii="Verdana" w:hAnsi="Verdana"/>
          <w:sz w:val="20"/>
          <w:lang w:val="pt-BR"/>
        </w:rPr>
        <w:t xml:space="preserve"> e as </w:t>
      </w:r>
      <w:r w:rsidR="004756C1" w:rsidRPr="002F50BD">
        <w:rPr>
          <w:rFonts w:ascii="Verdana" w:hAnsi="Verdana"/>
          <w:sz w:val="20"/>
          <w:lang w:val="pt-BR"/>
        </w:rPr>
        <w:t>afli</w:t>
      </w:r>
      <w:r w:rsidRPr="002F50BD">
        <w:rPr>
          <w:rFonts w:ascii="Verdana" w:hAnsi="Verdana"/>
          <w:sz w:val="20"/>
          <w:lang w:val="pt-BR"/>
        </w:rPr>
        <w:t>ções</w:t>
      </w:r>
      <w:r w:rsidR="004756C1" w:rsidRPr="002F50BD">
        <w:rPr>
          <w:rFonts w:ascii="Verdana" w:hAnsi="Verdana"/>
          <w:sz w:val="20"/>
          <w:lang w:val="pt-BR"/>
        </w:rPr>
        <w:t xml:space="preserve"> causados</w:t>
      </w:r>
      <w:r w:rsidRPr="002F50BD">
        <w:rPr>
          <w:rFonts w:ascii="Verdana" w:hAnsi="Verdana"/>
          <w:sz w:val="20"/>
          <w:lang w:val="pt-BR"/>
        </w:rPr>
        <w:t xml:space="preserve"> às vítima</w:t>
      </w:r>
      <w:r w:rsidR="004756C1" w:rsidRPr="002F50BD">
        <w:rPr>
          <w:rFonts w:ascii="Verdana" w:hAnsi="Verdana"/>
          <w:sz w:val="20"/>
          <w:lang w:val="pt-BR"/>
        </w:rPr>
        <w:t xml:space="preserve">s </w:t>
      </w:r>
      <w:r w:rsidRPr="002F50BD">
        <w:rPr>
          <w:rFonts w:ascii="Verdana" w:hAnsi="Verdana"/>
          <w:sz w:val="20"/>
          <w:lang w:val="pt-BR"/>
        </w:rPr>
        <w:t>diret</w:t>
      </w:r>
      <w:r w:rsidR="004756C1" w:rsidRPr="002F50BD">
        <w:rPr>
          <w:rFonts w:ascii="Verdana" w:hAnsi="Verdana"/>
          <w:sz w:val="20"/>
          <w:lang w:val="pt-BR"/>
        </w:rPr>
        <w:t>as</w:t>
      </w:r>
      <w:r w:rsidRPr="002F50BD">
        <w:rPr>
          <w:rFonts w:ascii="Verdana" w:hAnsi="Verdana"/>
          <w:sz w:val="20"/>
          <w:lang w:val="pt-BR"/>
        </w:rPr>
        <w:t xml:space="preserve"> e </w:t>
      </w:r>
      <w:r w:rsidR="004756C1" w:rsidRPr="002F50BD">
        <w:rPr>
          <w:rFonts w:ascii="Verdana" w:hAnsi="Verdana"/>
          <w:sz w:val="20"/>
          <w:lang w:val="pt-BR"/>
        </w:rPr>
        <w:t>a s</w:t>
      </w:r>
      <w:r w:rsidR="001A249E" w:rsidRPr="002F50BD">
        <w:rPr>
          <w:rFonts w:ascii="Verdana" w:hAnsi="Verdana"/>
          <w:sz w:val="20"/>
          <w:lang w:val="pt-BR"/>
        </w:rPr>
        <w:t>e</w:t>
      </w:r>
      <w:r w:rsidR="004756C1" w:rsidRPr="002F50BD">
        <w:rPr>
          <w:rFonts w:ascii="Verdana" w:hAnsi="Verdana"/>
          <w:sz w:val="20"/>
          <w:lang w:val="pt-BR"/>
        </w:rPr>
        <w:t xml:space="preserve">us </w:t>
      </w:r>
      <w:r w:rsidR="003B734C">
        <w:rPr>
          <w:rFonts w:ascii="Verdana" w:hAnsi="Verdana"/>
          <w:sz w:val="20"/>
          <w:lang w:val="pt-BR"/>
        </w:rPr>
        <w:t>familiares</w:t>
      </w:r>
      <w:r w:rsidR="004756C1" w:rsidRPr="002F50BD">
        <w:rPr>
          <w:rFonts w:ascii="Verdana" w:hAnsi="Verdana"/>
          <w:sz w:val="20"/>
          <w:lang w:val="pt-BR"/>
        </w:rPr>
        <w:t>,</w:t>
      </w:r>
      <w:r w:rsidR="00C6723D">
        <w:rPr>
          <w:rFonts w:ascii="Verdana" w:hAnsi="Verdana"/>
          <w:sz w:val="20"/>
          <w:lang w:val="pt-BR"/>
        </w:rPr>
        <w:t xml:space="preserve"> a deterioração </w:t>
      </w:r>
      <w:r w:rsidR="004756C1" w:rsidRPr="002F50BD">
        <w:rPr>
          <w:rFonts w:ascii="Verdana" w:hAnsi="Verdana"/>
          <w:sz w:val="20"/>
          <w:lang w:val="pt-BR"/>
        </w:rPr>
        <w:t xml:space="preserve">de valores </w:t>
      </w:r>
      <w:r w:rsidRPr="002F50BD">
        <w:rPr>
          <w:rFonts w:ascii="Verdana" w:hAnsi="Verdana"/>
          <w:sz w:val="20"/>
          <w:lang w:val="pt-BR"/>
        </w:rPr>
        <w:t>muito</w:t>
      </w:r>
      <w:r w:rsidR="004756C1" w:rsidRPr="002F50BD">
        <w:rPr>
          <w:rFonts w:ascii="Verdana" w:hAnsi="Verdana"/>
          <w:sz w:val="20"/>
          <w:lang w:val="pt-BR"/>
        </w:rPr>
        <w:t xml:space="preserve"> significativos para</w:t>
      </w:r>
      <w:r w:rsidRPr="002F50BD">
        <w:rPr>
          <w:rFonts w:ascii="Verdana" w:hAnsi="Verdana"/>
          <w:sz w:val="20"/>
          <w:lang w:val="pt-BR"/>
        </w:rPr>
        <w:t xml:space="preserve"> as pessoa</w:t>
      </w:r>
      <w:r w:rsidR="004756C1" w:rsidRPr="002F50BD">
        <w:rPr>
          <w:rFonts w:ascii="Verdana" w:hAnsi="Verdana"/>
          <w:sz w:val="20"/>
          <w:lang w:val="pt-BR"/>
        </w:rPr>
        <w:t xml:space="preserve">s, </w:t>
      </w:r>
      <w:r w:rsidR="00754117" w:rsidRPr="002F50BD">
        <w:rPr>
          <w:rFonts w:ascii="Verdana" w:hAnsi="Verdana"/>
          <w:sz w:val="20"/>
          <w:lang w:val="pt-BR"/>
        </w:rPr>
        <w:t>bem</w:t>
      </w:r>
      <w:r w:rsidR="004756C1" w:rsidRPr="002F50BD">
        <w:rPr>
          <w:rFonts w:ascii="Verdana" w:hAnsi="Verdana"/>
          <w:sz w:val="20"/>
          <w:lang w:val="pt-BR"/>
        </w:rPr>
        <w:t xml:space="preserve"> como</w:t>
      </w:r>
      <w:r w:rsidRPr="002F50BD">
        <w:rPr>
          <w:rFonts w:ascii="Verdana" w:hAnsi="Verdana"/>
          <w:sz w:val="20"/>
          <w:lang w:val="pt-BR"/>
        </w:rPr>
        <w:t xml:space="preserve"> as </w:t>
      </w:r>
      <w:r w:rsidR="004756C1" w:rsidRPr="002F50BD">
        <w:rPr>
          <w:rFonts w:ascii="Verdana" w:hAnsi="Verdana"/>
          <w:sz w:val="20"/>
          <w:lang w:val="pt-BR"/>
        </w:rPr>
        <w:t>altera</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caráter</w:t>
      </w:r>
      <w:r w:rsidR="004756C1" w:rsidRPr="002F50BD">
        <w:rPr>
          <w:rFonts w:ascii="Verdana" w:hAnsi="Verdana"/>
          <w:sz w:val="20"/>
          <w:lang w:val="pt-BR"/>
        </w:rPr>
        <w:t xml:space="preserve"> n</w:t>
      </w:r>
      <w:r w:rsidR="001A249E"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pecuniário</w:t>
      </w:r>
      <w:r w:rsidR="004756C1" w:rsidRPr="002F50BD">
        <w:rPr>
          <w:rFonts w:ascii="Verdana" w:hAnsi="Verdana"/>
          <w:sz w:val="20"/>
          <w:lang w:val="pt-BR"/>
        </w:rPr>
        <w:t>,</w:t>
      </w:r>
      <w:r w:rsidRPr="002F50BD">
        <w:rPr>
          <w:rFonts w:ascii="Verdana" w:hAnsi="Verdana"/>
          <w:sz w:val="20"/>
          <w:lang w:val="pt-BR"/>
        </w:rPr>
        <w:t xml:space="preserve"> nas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existência da vítima</w:t>
      </w:r>
      <w:r w:rsidR="004756C1" w:rsidRPr="002F50BD">
        <w:rPr>
          <w:rFonts w:ascii="Verdana" w:hAnsi="Verdana"/>
          <w:sz w:val="20"/>
          <w:lang w:val="pt-BR"/>
        </w:rPr>
        <w:t xml:space="preserve"> o</w:t>
      </w:r>
      <w:r w:rsidR="001A249E" w:rsidRPr="002F50BD">
        <w:rPr>
          <w:rFonts w:ascii="Verdana" w:hAnsi="Verdana"/>
          <w:sz w:val="20"/>
          <w:lang w:val="pt-BR"/>
        </w:rPr>
        <w:t xml:space="preserve">u de sua </w:t>
      </w:r>
      <w:r w:rsidR="005A6BC7" w:rsidRPr="002F50BD">
        <w:rPr>
          <w:rFonts w:ascii="Verdana" w:hAnsi="Verdana"/>
          <w:sz w:val="20"/>
          <w:lang w:val="pt-BR"/>
        </w:rPr>
        <w:t>família</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1A249E"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sendo</w:t>
      </w:r>
      <w:r w:rsidR="004756C1" w:rsidRPr="002F50BD">
        <w:rPr>
          <w:rFonts w:ascii="Verdana" w:hAnsi="Verdana"/>
          <w:sz w:val="20"/>
          <w:lang w:val="pt-BR"/>
        </w:rPr>
        <w:t xml:space="preserve"> </w:t>
      </w:r>
      <w:r w:rsidRPr="002F50BD">
        <w:rPr>
          <w:rFonts w:ascii="Verdana" w:hAnsi="Verdana"/>
          <w:sz w:val="20"/>
          <w:lang w:val="pt-BR"/>
        </w:rPr>
        <w:t xml:space="preserve">possível </w:t>
      </w:r>
      <w:r w:rsidR="001A249E" w:rsidRPr="002F50BD">
        <w:rPr>
          <w:rFonts w:ascii="Verdana" w:hAnsi="Verdana"/>
          <w:sz w:val="20"/>
          <w:lang w:val="pt-BR"/>
        </w:rPr>
        <w:t>de</w:t>
      </w:r>
      <w:r w:rsidR="004756C1" w:rsidRPr="002F50BD">
        <w:rPr>
          <w:rFonts w:ascii="Verdana" w:hAnsi="Verdana"/>
          <w:sz w:val="20"/>
          <w:lang w:val="pt-BR"/>
        </w:rPr>
        <w:t>signar</w:t>
      </w:r>
      <w:r w:rsidRPr="002F50BD">
        <w:rPr>
          <w:rFonts w:ascii="Verdana" w:hAnsi="Verdana"/>
          <w:sz w:val="20"/>
          <w:lang w:val="pt-BR"/>
        </w:rPr>
        <w:t xml:space="preserve"> </w:t>
      </w:r>
      <w:r w:rsidR="00B20FE3" w:rsidRPr="002F50BD">
        <w:rPr>
          <w:rFonts w:ascii="Verdana" w:hAnsi="Verdana"/>
          <w:sz w:val="20"/>
          <w:lang w:val="pt-BR"/>
        </w:rPr>
        <w:t>a título de</w:t>
      </w:r>
      <w:r w:rsidRPr="002F50BD">
        <w:rPr>
          <w:rFonts w:ascii="Verdana" w:hAnsi="Verdana"/>
          <w:sz w:val="20"/>
          <w:lang w:val="pt-BR"/>
        </w:rPr>
        <w:t xml:space="preserve"> dano</w:t>
      </w:r>
      <w:r w:rsidR="004756C1" w:rsidRPr="002F50BD">
        <w:rPr>
          <w:rFonts w:ascii="Verdana" w:hAnsi="Verdana"/>
          <w:sz w:val="20"/>
          <w:lang w:val="pt-BR"/>
        </w:rPr>
        <w:t xml:space="preserve"> </w:t>
      </w:r>
      <w:r w:rsidRPr="002F50BD">
        <w:rPr>
          <w:rFonts w:ascii="Verdana" w:hAnsi="Verdana"/>
          <w:sz w:val="20"/>
          <w:lang w:val="pt-BR"/>
        </w:rPr>
        <w:t xml:space="preserve">imaterial um </w:t>
      </w:r>
      <w:r w:rsidR="004756C1" w:rsidRPr="002F50BD">
        <w:rPr>
          <w:rFonts w:ascii="Verdana" w:hAnsi="Verdana"/>
          <w:sz w:val="20"/>
          <w:lang w:val="pt-BR"/>
        </w:rPr>
        <w:t>equivalente monet</w:t>
      </w:r>
      <w:r w:rsidR="001A249E" w:rsidRPr="002F50BD">
        <w:rPr>
          <w:rFonts w:ascii="Verdana" w:hAnsi="Verdana"/>
          <w:sz w:val="20"/>
          <w:lang w:val="pt-BR"/>
        </w:rPr>
        <w:t>á</w:t>
      </w:r>
      <w:r w:rsidR="004756C1" w:rsidRPr="002F50BD">
        <w:rPr>
          <w:rFonts w:ascii="Verdana" w:hAnsi="Verdana"/>
          <w:sz w:val="20"/>
          <w:lang w:val="pt-BR"/>
        </w:rPr>
        <w:t>rio</w:t>
      </w:r>
      <w:r w:rsidR="001A249E" w:rsidRPr="002F50BD">
        <w:rPr>
          <w:rFonts w:ascii="Verdana" w:hAnsi="Verdana"/>
          <w:sz w:val="20"/>
          <w:lang w:val="pt-BR"/>
        </w:rPr>
        <w:t xml:space="preserve"> preciso</w:t>
      </w:r>
      <w:r w:rsidR="004756C1" w:rsidRPr="002F50BD">
        <w:rPr>
          <w:rFonts w:ascii="Verdana" w:hAnsi="Verdana"/>
          <w:sz w:val="20"/>
          <w:lang w:val="pt-BR"/>
        </w:rPr>
        <w:t xml:space="preserve">, </w:t>
      </w:r>
      <w:r w:rsidRPr="002F50BD">
        <w:rPr>
          <w:rFonts w:ascii="Verdana" w:hAnsi="Verdana"/>
          <w:sz w:val="20"/>
          <w:lang w:val="pt-BR"/>
        </w:rPr>
        <w:t>apenas</w:t>
      </w:r>
      <w:r w:rsidR="004756C1" w:rsidRPr="002F50BD">
        <w:rPr>
          <w:rFonts w:ascii="Verdana" w:hAnsi="Verdana"/>
          <w:sz w:val="20"/>
          <w:lang w:val="pt-BR"/>
        </w:rPr>
        <w:t xml:space="preserve"> </w:t>
      </w:r>
      <w:r w:rsidRPr="002F50BD">
        <w:rPr>
          <w:rFonts w:ascii="Verdana" w:hAnsi="Verdana"/>
          <w:sz w:val="20"/>
          <w:lang w:val="pt-BR"/>
        </w:rPr>
        <w:t>pode</w:t>
      </w:r>
      <w:r w:rsidR="004756C1" w:rsidRPr="002F50BD">
        <w:rPr>
          <w:rFonts w:ascii="Verdana" w:hAnsi="Verdana"/>
          <w:sz w:val="20"/>
          <w:lang w:val="pt-BR"/>
        </w:rPr>
        <w:t>, para</w:t>
      </w:r>
      <w:r w:rsidRPr="002F50BD">
        <w:rPr>
          <w:rFonts w:ascii="Verdana" w:hAnsi="Verdana"/>
          <w:sz w:val="20"/>
          <w:lang w:val="pt-BR"/>
        </w:rPr>
        <w:t xml:space="preserve"> os fins da </w:t>
      </w:r>
      <w:r w:rsidR="004756C1" w:rsidRPr="002F50BD">
        <w:rPr>
          <w:rFonts w:ascii="Verdana" w:hAnsi="Verdana"/>
          <w:sz w:val="20"/>
          <w:lang w:val="pt-BR"/>
        </w:rPr>
        <w:t>repara</w:t>
      </w:r>
      <w:r w:rsidRPr="002F50BD">
        <w:rPr>
          <w:rFonts w:ascii="Verdana" w:hAnsi="Verdana"/>
          <w:sz w:val="20"/>
          <w:lang w:val="pt-BR"/>
        </w:rPr>
        <w:t>ção</w:t>
      </w:r>
      <w:r w:rsidR="004756C1" w:rsidRPr="002F50BD">
        <w:rPr>
          <w:rFonts w:ascii="Verdana" w:hAnsi="Verdana"/>
          <w:sz w:val="20"/>
          <w:lang w:val="pt-BR"/>
        </w:rPr>
        <w:t xml:space="preserve"> integral</w:t>
      </w:r>
      <w:r w:rsidRPr="002F50BD">
        <w:rPr>
          <w:rFonts w:ascii="Verdana" w:hAnsi="Verdana"/>
          <w:sz w:val="20"/>
          <w:lang w:val="pt-BR"/>
        </w:rPr>
        <w:t xml:space="preserve"> às vítima</w:t>
      </w:r>
      <w:r w:rsidR="004756C1" w:rsidRPr="002F50BD">
        <w:rPr>
          <w:rFonts w:ascii="Verdana" w:hAnsi="Verdana"/>
          <w:sz w:val="20"/>
          <w:lang w:val="pt-BR"/>
        </w:rPr>
        <w:t>s, ser objeto de compensa</w:t>
      </w:r>
      <w:r w:rsidRPr="002F50BD">
        <w:rPr>
          <w:rFonts w:ascii="Verdana" w:hAnsi="Verdana"/>
          <w:sz w:val="20"/>
          <w:lang w:val="pt-BR"/>
        </w:rPr>
        <w:t xml:space="preserve">ção, e </w:t>
      </w:r>
      <w:r w:rsidR="001A249E" w:rsidRPr="002F50BD">
        <w:rPr>
          <w:rFonts w:ascii="Verdana" w:hAnsi="Verdana"/>
          <w:sz w:val="20"/>
          <w:lang w:val="pt-BR"/>
        </w:rPr>
        <w:t xml:space="preserve">isso </w:t>
      </w:r>
      <w:r w:rsidR="004756C1" w:rsidRPr="002F50BD">
        <w:rPr>
          <w:rFonts w:ascii="Verdana" w:hAnsi="Verdana"/>
          <w:sz w:val="20"/>
          <w:lang w:val="pt-BR"/>
        </w:rPr>
        <w:t>de d</w:t>
      </w:r>
      <w:r w:rsidR="001A249E" w:rsidRPr="002F50BD">
        <w:rPr>
          <w:rFonts w:ascii="Verdana" w:hAnsi="Verdana"/>
          <w:sz w:val="20"/>
          <w:lang w:val="pt-BR"/>
        </w:rPr>
        <w:t>ua</w:t>
      </w:r>
      <w:r w:rsidR="004756C1" w:rsidRPr="002F50BD">
        <w:rPr>
          <w:rFonts w:ascii="Verdana" w:hAnsi="Verdana"/>
          <w:sz w:val="20"/>
          <w:lang w:val="pt-BR"/>
        </w:rPr>
        <w:t xml:space="preserve">s </w:t>
      </w:r>
      <w:r w:rsidRPr="002F50BD">
        <w:rPr>
          <w:rFonts w:ascii="Verdana" w:hAnsi="Verdana"/>
          <w:sz w:val="20"/>
          <w:lang w:val="pt-BR"/>
        </w:rPr>
        <w:t>maneira</w:t>
      </w:r>
      <w:r w:rsidR="004756C1" w:rsidRPr="002F50BD">
        <w:rPr>
          <w:rFonts w:ascii="Verdana" w:hAnsi="Verdana"/>
          <w:sz w:val="20"/>
          <w:lang w:val="pt-BR"/>
        </w:rPr>
        <w:t>s</w:t>
      </w:r>
      <w:r w:rsidR="00CD7100" w:rsidRPr="002F50BD">
        <w:rPr>
          <w:rFonts w:ascii="Verdana" w:hAnsi="Verdana"/>
          <w:sz w:val="20"/>
          <w:lang w:val="pt-BR"/>
        </w:rPr>
        <w:t>. Em</w:t>
      </w:r>
      <w:r w:rsidRPr="002F50BD">
        <w:rPr>
          <w:rFonts w:ascii="Verdana" w:hAnsi="Verdana"/>
          <w:sz w:val="20"/>
          <w:lang w:val="pt-BR"/>
        </w:rPr>
        <w:t xml:space="preserve"> primeiro </w:t>
      </w:r>
      <w:r w:rsidR="004756C1" w:rsidRPr="002F50BD">
        <w:rPr>
          <w:rFonts w:ascii="Verdana" w:hAnsi="Verdana"/>
          <w:sz w:val="20"/>
          <w:lang w:val="pt-BR"/>
        </w:rPr>
        <w:t>lugar, mediante</w:t>
      </w:r>
      <w:r w:rsidRPr="002F50BD">
        <w:rPr>
          <w:rFonts w:ascii="Verdana" w:hAnsi="Verdana"/>
          <w:sz w:val="20"/>
          <w:lang w:val="pt-BR"/>
        </w:rPr>
        <w:t xml:space="preserve"> o pagamento</w:t>
      </w:r>
      <w:r w:rsidR="004756C1" w:rsidRPr="002F50BD">
        <w:rPr>
          <w:rFonts w:ascii="Verdana" w:hAnsi="Verdana"/>
          <w:sz w:val="20"/>
          <w:lang w:val="pt-BR"/>
        </w:rPr>
        <w:t xml:space="preserve"> de</w:t>
      </w:r>
      <w:r w:rsidRPr="002F50BD">
        <w:rPr>
          <w:rFonts w:ascii="Verdana" w:hAnsi="Verdana"/>
          <w:sz w:val="20"/>
          <w:lang w:val="pt-BR"/>
        </w:rPr>
        <w:t xml:space="preserve"> uma quantia </w:t>
      </w:r>
      <w:r w:rsidR="001A249E" w:rsidRPr="002F50BD">
        <w:rPr>
          <w:rFonts w:ascii="Verdana" w:hAnsi="Verdana"/>
          <w:sz w:val="20"/>
          <w:lang w:val="pt-BR"/>
        </w:rPr>
        <w:t>em</w:t>
      </w:r>
      <w:r w:rsidR="004756C1" w:rsidRPr="002F50BD">
        <w:rPr>
          <w:rFonts w:ascii="Verdana" w:hAnsi="Verdana"/>
          <w:sz w:val="20"/>
          <w:lang w:val="pt-BR"/>
        </w:rPr>
        <w:t xml:space="preserve"> </w:t>
      </w:r>
      <w:r w:rsidR="00AB454A" w:rsidRPr="002F50BD">
        <w:rPr>
          <w:rFonts w:ascii="Verdana" w:hAnsi="Verdana"/>
          <w:sz w:val="20"/>
          <w:lang w:val="pt-BR"/>
        </w:rPr>
        <w:t>dinheiro</w:t>
      </w:r>
      <w:r w:rsidR="004756C1" w:rsidRPr="002F50BD">
        <w:rPr>
          <w:rFonts w:ascii="Verdana" w:hAnsi="Verdana"/>
          <w:sz w:val="20"/>
          <w:lang w:val="pt-BR"/>
        </w:rPr>
        <w:t xml:space="preserve"> o</w:t>
      </w:r>
      <w:r w:rsidR="001A249E" w:rsidRPr="002F50BD">
        <w:rPr>
          <w:rFonts w:ascii="Verdana" w:hAnsi="Verdana"/>
          <w:sz w:val="20"/>
          <w:lang w:val="pt-BR"/>
        </w:rPr>
        <w:t>u</w:t>
      </w:r>
      <w:r w:rsidRPr="002F50BD">
        <w:rPr>
          <w:rFonts w:ascii="Verdana" w:hAnsi="Verdana"/>
          <w:sz w:val="20"/>
          <w:lang w:val="pt-BR"/>
        </w:rPr>
        <w:t xml:space="preserve"> a </w:t>
      </w:r>
      <w:r w:rsidR="004756C1" w:rsidRPr="002F50BD">
        <w:rPr>
          <w:rFonts w:ascii="Verdana" w:hAnsi="Verdana"/>
          <w:sz w:val="20"/>
          <w:lang w:val="pt-BR"/>
        </w:rPr>
        <w:t xml:space="preserve">entrega de </w:t>
      </w:r>
      <w:r w:rsidRPr="002F50BD">
        <w:rPr>
          <w:rFonts w:ascii="Verdana" w:hAnsi="Verdana"/>
          <w:sz w:val="20"/>
          <w:lang w:val="pt-BR"/>
        </w:rPr>
        <w:t>bens</w:t>
      </w:r>
      <w:r w:rsidR="004756C1" w:rsidRPr="002F50BD">
        <w:rPr>
          <w:rFonts w:ascii="Verdana" w:hAnsi="Verdana"/>
          <w:sz w:val="20"/>
          <w:lang w:val="pt-BR"/>
        </w:rPr>
        <w:t xml:space="preserve"> o</w:t>
      </w:r>
      <w:r w:rsidR="001A249E"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serviço</w:t>
      </w:r>
      <w:r w:rsidR="004756C1" w:rsidRPr="002F50BD">
        <w:rPr>
          <w:rFonts w:ascii="Verdana" w:hAnsi="Verdana"/>
          <w:sz w:val="20"/>
          <w:lang w:val="pt-BR"/>
        </w:rPr>
        <w:t xml:space="preserve">s </w:t>
      </w:r>
      <w:r w:rsidR="00754117" w:rsidRPr="002F50BD">
        <w:rPr>
          <w:rFonts w:ascii="Verdana" w:hAnsi="Verdana"/>
          <w:sz w:val="20"/>
          <w:lang w:val="pt-BR"/>
        </w:rPr>
        <w:t xml:space="preserve">mensuráveis </w:t>
      </w:r>
      <w:r w:rsidRPr="002F50BD">
        <w:rPr>
          <w:rFonts w:ascii="Verdana" w:hAnsi="Verdana"/>
          <w:sz w:val="20"/>
          <w:lang w:val="pt-BR"/>
        </w:rPr>
        <w:t xml:space="preserve">em </w:t>
      </w:r>
      <w:r w:rsidR="00AB454A" w:rsidRPr="002F50BD">
        <w:rPr>
          <w:rFonts w:ascii="Verdana" w:hAnsi="Verdana"/>
          <w:sz w:val="20"/>
          <w:lang w:val="pt-BR"/>
        </w:rPr>
        <w:t>dinheiro</w:t>
      </w:r>
      <w:r w:rsidR="004756C1" w:rsidRPr="002F50BD">
        <w:rPr>
          <w:rFonts w:ascii="Verdana" w:hAnsi="Verdana"/>
          <w:sz w:val="20"/>
          <w:lang w:val="pt-BR"/>
        </w:rPr>
        <w:t>, que</w:t>
      </w:r>
      <w:r w:rsidRPr="002F50BD">
        <w:rPr>
          <w:rFonts w:ascii="Verdana" w:hAnsi="Verdana"/>
          <w:sz w:val="20"/>
          <w:lang w:val="pt-BR"/>
        </w:rPr>
        <w:t xml:space="preserve"> o </w:t>
      </w:r>
      <w:r w:rsidR="004756C1" w:rsidRPr="002F50BD">
        <w:rPr>
          <w:rFonts w:ascii="Verdana" w:hAnsi="Verdana"/>
          <w:sz w:val="20"/>
          <w:lang w:val="pt-BR"/>
        </w:rPr>
        <w:t>Tribunal determine</w:t>
      </w:r>
      <w:r w:rsidRPr="002F50BD">
        <w:rPr>
          <w:rFonts w:ascii="Verdana" w:hAnsi="Verdana"/>
          <w:sz w:val="20"/>
          <w:lang w:val="pt-BR"/>
        </w:rPr>
        <w:t xml:space="preserve"> em </w:t>
      </w:r>
      <w:r w:rsidR="004756C1" w:rsidRPr="002F50BD">
        <w:rPr>
          <w:rFonts w:ascii="Verdana" w:hAnsi="Verdana"/>
          <w:sz w:val="20"/>
          <w:lang w:val="pt-BR"/>
        </w:rPr>
        <w:t>aplica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razoável do </w:t>
      </w:r>
      <w:r w:rsidR="004756C1" w:rsidRPr="002F50BD">
        <w:rPr>
          <w:rFonts w:ascii="Verdana" w:hAnsi="Verdana"/>
          <w:sz w:val="20"/>
          <w:lang w:val="pt-BR"/>
        </w:rPr>
        <w:t>arb</w:t>
      </w:r>
      <w:r w:rsidR="001A249E" w:rsidRPr="002F50BD">
        <w:rPr>
          <w:rFonts w:ascii="Verdana" w:hAnsi="Verdana"/>
          <w:sz w:val="20"/>
          <w:lang w:val="pt-BR"/>
        </w:rPr>
        <w:t>í</w:t>
      </w:r>
      <w:r w:rsidR="004756C1" w:rsidRPr="002F50BD">
        <w:rPr>
          <w:rFonts w:ascii="Verdana" w:hAnsi="Verdana"/>
          <w:sz w:val="20"/>
          <w:lang w:val="pt-BR"/>
        </w:rPr>
        <w:t>trio judicial</w:t>
      </w:r>
      <w:r w:rsidRPr="002F50BD">
        <w:rPr>
          <w:rFonts w:ascii="Verdana" w:hAnsi="Verdana"/>
          <w:sz w:val="20"/>
          <w:lang w:val="pt-BR"/>
        </w:rPr>
        <w:t xml:space="preserve"> e </w:t>
      </w:r>
      <w:r w:rsidR="00EF6986" w:rsidRPr="002F50BD">
        <w:rPr>
          <w:rFonts w:ascii="Verdana" w:hAnsi="Verdana"/>
          <w:sz w:val="20"/>
          <w:lang w:val="pt-BR"/>
        </w:rPr>
        <w:t>com</w:t>
      </w:r>
      <w:r w:rsidR="004756C1" w:rsidRPr="002F50BD">
        <w:rPr>
          <w:rFonts w:ascii="Verdana" w:hAnsi="Verdana"/>
          <w:sz w:val="20"/>
          <w:lang w:val="pt-BR"/>
        </w:rPr>
        <w:t xml:space="preserve"> equidad</w:t>
      </w:r>
      <w:r w:rsidR="001A249E" w:rsidRPr="002F50BD">
        <w:rPr>
          <w:rFonts w:ascii="Verdana" w:hAnsi="Verdana"/>
          <w:sz w:val="20"/>
          <w:lang w:val="pt-BR"/>
        </w:rPr>
        <w:t>e</w:t>
      </w:r>
      <w:r w:rsidR="004756C1" w:rsidRPr="002F50BD">
        <w:rPr>
          <w:rFonts w:ascii="Verdana" w:hAnsi="Verdana"/>
          <w:sz w:val="20"/>
          <w:lang w:val="pt-BR"/>
        </w:rPr>
        <w:t xml:space="preserve">. </w:t>
      </w:r>
      <w:r w:rsidR="001A249E" w:rsidRPr="002F50BD">
        <w:rPr>
          <w:rFonts w:ascii="Verdana" w:hAnsi="Verdana"/>
          <w:sz w:val="20"/>
          <w:lang w:val="pt-BR"/>
        </w:rPr>
        <w:t>E</w:t>
      </w:r>
      <w:r w:rsidRPr="002F50BD">
        <w:rPr>
          <w:rFonts w:ascii="Verdana" w:hAnsi="Verdana"/>
          <w:sz w:val="20"/>
          <w:lang w:val="pt-BR"/>
        </w:rPr>
        <w:t xml:space="preserve">, em </w:t>
      </w:r>
      <w:r w:rsidR="004756C1" w:rsidRPr="002F50BD">
        <w:rPr>
          <w:rFonts w:ascii="Verdana" w:hAnsi="Verdana"/>
          <w:sz w:val="20"/>
          <w:lang w:val="pt-BR"/>
        </w:rPr>
        <w:t>segundo lugar, mediante</w:t>
      </w:r>
      <w:r w:rsidRPr="002F50BD">
        <w:rPr>
          <w:rFonts w:ascii="Verdana" w:hAnsi="Verdana"/>
          <w:sz w:val="20"/>
          <w:lang w:val="pt-BR"/>
        </w:rPr>
        <w:t xml:space="preserve"> a </w:t>
      </w:r>
      <w:r w:rsidR="004756C1" w:rsidRPr="002F50BD">
        <w:rPr>
          <w:rFonts w:ascii="Verdana" w:hAnsi="Verdana"/>
          <w:sz w:val="20"/>
          <w:lang w:val="pt-BR"/>
        </w:rPr>
        <w:t>realiza</w:t>
      </w:r>
      <w:r w:rsidRPr="002F50BD">
        <w:rPr>
          <w:rFonts w:ascii="Verdana" w:hAnsi="Verdana"/>
          <w:sz w:val="20"/>
          <w:lang w:val="pt-BR"/>
        </w:rPr>
        <w:t>ção</w:t>
      </w:r>
      <w:r w:rsidR="004756C1" w:rsidRPr="002F50BD">
        <w:rPr>
          <w:rFonts w:ascii="Verdana" w:hAnsi="Verdana"/>
          <w:sz w:val="20"/>
          <w:lang w:val="pt-BR"/>
        </w:rPr>
        <w:t xml:space="preserve"> de</w:t>
      </w:r>
      <w:r w:rsidRPr="002F50BD">
        <w:rPr>
          <w:rFonts w:ascii="Verdana" w:hAnsi="Verdana"/>
          <w:sz w:val="20"/>
          <w:lang w:val="pt-BR"/>
        </w:rPr>
        <w:t xml:space="preserve"> atos ou </w:t>
      </w:r>
      <w:r w:rsidR="004756C1" w:rsidRPr="002F50BD">
        <w:rPr>
          <w:rFonts w:ascii="Verdana" w:hAnsi="Verdana"/>
          <w:sz w:val="20"/>
          <w:lang w:val="pt-BR"/>
        </w:rPr>
        <w:t>obras de alcance o</w:t>
      </w:r>
      <w:r w:rsidR="001A249E"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repercussão</w:t>
      </w:r>
      <w:r w:rsidR="004756C1" w:rsidRPr="002F50BD">
        <w:rPr>
          <w:rFonts w:ascii="Verdana" w:hAnsi="Verdana"/>
          <w:sz w:val="20"/>
          <w:lang w:val="pt-BR"/>
        </w:rPr>
        <w:t xml:space="preserve"> públic</w:t>
      </w:r>
      <w:r w:rsidR="00EF6986" w:rsidRPr="002F50BD">
        <w:rPr>
          <w:rFonts w:ascii="Verdana" w:hAnsi="Verdana"/>
          <w:sz w:val="20"/>
          <w:lang w:val="pt-BR"/>
        </w:rPr>
        <w:t>a</w:t>
      </w:r>
      <w:r w:rsidR="004756C1" w:rsidRPr="002F50BD">
        <w:rPr>
          <w:rFonts w:ascii="Verdana" w:hAnsi="Verdana"/>
          <w:sz w:val="20"/>
          <w:lang w:val="pt-BR"/>
        </w:rPr>
        <w:t>,</w:t>
      </w:r>
      <w:r w:rsidRPr="002F50BD">
        <w:rPr>
          <w:rFonts w:ascii="Verdana" w:hAnsi="Verdana"/>
          <w:sz w:val="20"/>
          <w:lang w:val="pt-BR"/>
        </w:rPr>
        <w:t xml:space="preserve"> tais </w:t>
      </w:r>
      <w:r w:rsidR="004756C1" w:rsidRPr="002F50BD">
        <w:rPr>
          <w:rFonts w:ascii="Verdana" w:hAnsi="Verdana"/>
          <w:sz w:val="20"/>
          <w:lang w:val="pt-BR"/>
        </w:rPr>
        <w:t>como</w:t>
      </w:r>
      <w:r w:rsidRPr="002F50BD">
        <w:rPr>
          <w:rFonts w:ascii="Verdana" w:hAnsi="Verdana"/>
          <w:sz w:val="20"/>
          <w:lang w:val="pt-BR"/>
        </w:rPr>
        <w:t xml:space="preserve"> a </w:t>
      </w:r>
      <w:r w:rsidR="004756C1" w:rsidRPr="002F50BD">
        <w:rPr>
          <w:rFonts w:ascii="Verdana" w:hAnsi="Verdana"/>
          <w:sz w:val="20"/>
          <w:lang w:val="pt-BR"/>
        </w:rPr>
        <w:t>trans</w:t>
      </w:r>
      <w:r w:rsidRPr="002F50BD">
        <w:rPr>
          <w:rFonts w:ascii="Verdana" w:hAnsi="Verdana"/>
          <w:sz w:val="20"/>
          <w:lang w:val="pt-BR"/>
        </w:rPr>
        <w:t>missão</w:t>
      </w:r>
      <w:r w:rsidR="004756C1" w:rsidRPr="002F50BD">
        <w:rPr>
          <w:rFonts w:ascii="Verdana" w:hAnsi="Verdana"/>
          <w:sz w:val="20"/>
          <w:lang w:val="pt-BR"/>
        </w:rPr>
        <w:t xml:space="preserve"> de</w:t>
      </w:r>
      <w:r w:rsidRPr="002F50BD">
        <w:rPr>
          <w:rFonts w:ascii="Verdana" w:hAnsi="Verdana"/>
          <w:sz w:val="20"/>
          <w:lang w:val="pt-BR"/>
        </w:rPr>
        <w:t xml:space="preserve"> um</w:t>
      </w:r>
      <w:r w:rsidR="001A249E" w:rsidRPr="002F50BD">
        <w:rPr>
          <w:rFonts w:ascii="Verdana" w:hAnsi="Verdana"/>
          <w:sz w:val="20"/>
          <w:lang w:val="pt-BR"/>
        </w:rPr>
        <w:t>a</w:t>
      </w:r>
      <w:r w:rsidRPr="002F50BD">
        <w:rPr>
          <w:rFonts w:ascii="Verdana" w:hAnsi="Verdana"/>
          <w:sz w:val="20"/>
          <w:lang w:val="pt-BR"/>
        </w:rPr>
        <w:t xml:space="preserve"> mensagem </w:t>
      </w:r>
      <w:r w:rsidR="004756C1" w:rsidRPr="002F50BD">
        <w:rPr>
          <w:rFonts w:ascii="Verdana" w:hAnsi="Verdana"/>
          <w:sz w:val="20"/>
          <w:lang w:val="pt-BR"/>
        </w:rPr>
        <w:t xml:space="preserve">de </w:t>
      </w:r>
      <w:r w:rsidR="001A249E" w:rsidRPr="002F50BD">
        <w:rPr>
          <w:rFonts w:ascii="Verdana" w:hAnsi="Verdana"/>
          <w:sz w:val="20"/>
          <w:lang w:val="pt-BR"/>
        </w:rPr>
        <w:t>desa</w:t>
      </w:r>
      <w:r w:rsidR="004756C1" w:rsidRPr="002F50BD">
        <w:rPr>
          <w:rFonts w:ascii="Verdana" w:hAnsi="Verdana"/>
          <w:sz w:val="20"/>
          <w:lang w:val="pt-BR"/>
        </w:rPr>
        <w:t>pro</w:t>
      </w:r>
      <w:r w:rsidR="001A249E" w:rsidRPr="002F50BD">
        <w:rPr>
          <w:rFonts w:ascii="Verdana" w:hAnsi="Verdana"/>
          <w:sz w:val="20"/>
          <w:lang w:val="pt-BR"/>
        </w:rPr>
        <w:t>v</w:t>
      </w:r>
      <w:r w:rsidR="004756C1" w:rsidRPr="002F50BD">
        <w:rPr>
          <w:rFonts w:ascii="Verdana" w:hAnsi="Verdana"/>
          <w:sz w:val="20"/>
          <w:lang w:val="pt-BR"/>
        </w:rPr>
        <w:t>a</w:t>
      </w:r>
      <w:r w:rsidRPr="002F50BD">
        <w:rPr>
          <w:rFonts w:ascii="Verdana" w:hAnsi="Verdana"/>
          <w:sz w:val="20"/>
          <w:lang w:val="pt-BR"/>
        </w:rPr>
        <w:t>ção</w:t>
      </w:r>
      <w:r w:rsidR="004756C1" w:rsidRPr="002F50BD">
        <w:rPr>
          <w:rFonts w:ascii="Verdana" w:hAnsi="Verdana"/>
          <w:sz w:val="20"/>
          <w:lang w:val="pt-BR"/>
        </w:rPr>
        <w:t xml:space="preserve"> oficial</w:t>
      </w:r>
      <w:r w:rsidRPr="002F50BD">
        <w:rPr>
          <w:rFonts w:ascii="Verdana" w:hAnsi="Verdana"/>
          <w:sz w:val="20"/>
          <w:lang w:val="pt-BR"/>
        </w:rPr>
        <w:t xml:space="preserve"> às </w:t>
      </w:r>
      <w:r w:rsidR="004756C1" w:rsidRPr="002F50BD">
        <w:rPr>
          <w:rFonts w:ascii="Verdana" w:hAnsi="Verdana"/>
          <w:sz w:val="20"/>
          <w:lang w:val="pt-BR"/>
        </w:rPr>
        <w:t>viola</w:t>
      </w:r>
      <w:r w:rsidRPr="002F50BD">
        <w:rPr>
          <w:rFonts w:ascii="Verdana" w:hAnsi="Verdana"/>
          <w:sz w:val="20"/>
          <w:lang w:val="pt-BR"/>
        </w:rPr>
        <w:t>ções dos direito</w:t>
      </w:r>
      <w:r w:rsidR="004756C1" w:rsidRPr="002F50BD">
        <w:rPr>
          <w:rFonts w:ascii="Verdana" w:hAnsi="Verdana"/>
          <w:sz w:val="20"/>
          <w:lang w:val="pt-BR"/>
        </w:rPr>
        <w:t>s humanos de que se trata</w:t>
      </w:r>
      <w:r w:rsidRPr="002F50BD">
        <w:rPr>
          <w:rFonts w:ascii="Verdana" w:hAnsi="Verdana"/>
          <w:sz w:val="20"/>
          <w:lang w:val="pt-BR"/>
        </w:rPr>
        <w:t xml:space="preserve"> e </w:t>
      </w:r>
      <w:r w:rsidR="004756C1" w:rsidRPr="002F50BD">
        <w:rPr>
          <w:rFonts w:ascii="Verdana" w:hAnsi="Verdana"/>
          <w:sz w:val="20"/>
          <w:lang w:val="pt-BR"/>
        </w:rPr>
        <w:t xml:space="preserve">de </w:t>
      </w:r>
      <w:r w:rsidRPr="002F50BD">
        <w:rPr>
          <w:rFonts w:ascii="Verdana" w:hAnsi="Verdana"/>
          <w:sz w:val="20"/>
          <w:lang w:val="pt-BR"/>
        </w:rPr>
        <w:t>compromisso com os esforço</w:t>
      </w:r>
      <w:r w:rsidR="004756C1" w:rsidRPr="002F50BD">
        <w:rPr>
          <w:rFonts w:ascii="Verdana" w:hAnsi="Verdana"/>
          <w:sz w:val="20"/>
          <w:lang w:val="pt-BR"/>
        </w:rPr>
        <w:t xml:space="preserve">s </w:t>
      </w:r>
      <w:r w:rsidR="001A249E" w:rsidRPr="002F50BD">
        <w:rPr>
          <w:rFonts w:ascii="Verdana" w:hAnsi="Verdana"/>
          <w:sz w:val="20"/>
          <w:lang w:val="pt-BR"/>
        </w:rPr>
        <w:t xml:space="preserve">dirigidos </w:t>
      </w:r>
      <w:r w:rsidR="00754117" w:rsidRPr="002F50BD">
        <w:rPr>
          <w:rFonts w:ascii="Verdana" w:hAnsi="Verdana"/>
          <w:sz w:val="20"/>
          <w:lang w:val="pt-BR"/>
        </w:rPr>
        <w:t>par</w:t>
      </w:r>
      <w:r w:rsidR="004756C1" w:rsidRPr="002F50BD">
        <w:rPr>
          <w:rFonts w:ascii="Verdana" w:hAnsi="Verdana"/>
          <w:sz w:val="20"/>
          <w:lang w:val="pt-BR"/>
        </w:rPr>
        <w:t>a que n</w:t>
      </w:r>
      <w:r w:rsidR="001A249E"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voltem</w:t>
      </w:r>
      <w:r w:rsidR="004756C1" w:rsidRPr="002F50BD">
        <w:rPr>
          <w:rFonts w:ascii="Verdana" w:hAnsi="Verdana"/>
          <w:sz w:val="20"/>
          <w:lang w:val="pt-BR"/>
        </w:rPr>
        <w:t xml:space="preserve"> a </w:t>
      </w:r>
      <w:r w:rsidRPr="002F50BD">
        <w:rPr>
          <w:rFonts w:ascii="Verdana" w:hAnsi="Verdana"/>
          <w:sz w:val="20"/>
          <w:lang w:val="pt-BR"/>
        </w:rPr>
        <w:t xml:space="preserve">ocorrer e </w:t>
      </w:r>
      <w:r w:rsidR="004756C1" w:rsidRPr="002F50BD">
        <w:rPr>
          <w:rFonts w:ascii="Verdana" w:hAnsi="Verdana"/>
          <w:sz w:val="20"/>
          <w:lang w:val="pt-BR"/>
        </w:rPr>
        <w:t xml:space="preserve">que </w:t>
      </w:r>
      <w:r w:rsidRPr="002F50BD">
        <w:rPr>
          <w:rFonts w:ascii="Verdana" w:hAnsi="Verdana"/>
          <w:sz w:val="20"/>
          <w:lang w:val="pt-BR"/>
        </w:rPr>
        <w:t xml:space="preserve">tenham </w:t>
      </w:r>
      <w:r w:rsidR="004756C1" w:rsidRPr="002F50BD">
        <w:rPr>
          <w:rFonts w:ascii="Verdana" w:hAnsi="Verdana"/>
          <w:sz w:val="20"/>
          <w:lang w:val="pt-BR"/>
        </w:rPr>
        <w:t xml:space="preserve">como </w:t>
      </w:r>
      <w:r w:rsidRPr="002F50BD">
        <w:rPr>
          <w:rFonts w:ascii="Verdana" w:hAnsi="Verdana"/>
          <w:sz w:val="20"/>
          <w:lang w:val="pt-BR"/>
        </w:rPr>
        <w:t>efeito</w:t>
      </w:r>
      <w:r w:rsidR="004756C1" w:rsidRPr="002F50BD">
        <w:rPr>
          <w:rFonts w:ascii="Verdana" w:hAnsi="Verdana"/>
          <w:sz w:val="20"/>
          <w:lang w:val="pt-BR"/>
        </w:rPr>
        <w:t xml:space="preserve">, entre </w:t>
      </w:r>
      <w:r w:rsidRPr="002F50BD">
        <w:rPr>
          <w:rFonts w:ascii="Verdana" w:hAnsi="Verdana"/>
          <w:sz w:val="20"/>
          <w:lang w:val="pt-BR"/>
        </w:rPr>
        <w:t>outros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re</w:t>
      </w:r>
      <w:r w:rsidRPr="002F50BD">
        <w:rPr>
          <w:rFonts w:ascii="Verdana" w:hAnsi="Verdana"/>
          <w:sz w:val="20"/>
          <w:lang w:val="pt-BR"/>
        </w:rPr>
        <w:t>conhecimento da dignidade das vítima</w:t>
      </w:r>
      <w:r w:rsidR="004756C1" w:rsidRPr="002F50BD">
        <w:rPr>
          <w:rFonts w:ascii="Verdana" w:hAnsi="Verdana"/>
          <w:sz w:val="20"/>
          <w:lang w:val="pt-BR"/>
        </w:rPr>
        <w:t>s</w:t>
      </w:r>
      <w:r w:rsidR="001A249E" w:rsidRPr="002F50BD">
        <w:rPr>
          <w:rFonts w:ascii="Verdana" w:hAnsi="Verdana"/>
          <w:sz w:val="20"/>
          <w:lang w:val="pt-BR"/>
        </w:rPr>
        <w:t>.</w:t>
      </w:r>
      <w:r w:rsidR="004756C1" w:rsidRPr="002F50BD">
        <w:rPr>
          <w:rStyle w:val="FootnoteReference"/>
          <w:rFonts w:ascii="Verdana" w:hAnsi="Verdana"/>
        </w:rPr>
        <w:footnoteReference w:id="217"/>
      </w:r>
      <w:r w:rsidR="00D95E71" w:rsidRPr="002F50BD">
        <w:rPr>
          <w:rFonts w:ascii="Verdana" w:hAnsi="Verdana"/>
          <w:sz w:val="20"/>
          <w:lang w:val="pt-BR"/>
        </w:rPr>
        <w:t xml:space="preserve"> O </w:t>
      </w:r>
      <w:r w:rsidRPr="002F50BD">
        <w:rPr>
          <w:rFonts w:ascii="Verdana" w:hAnsi="Verdana"/>
          <w:sz w:val="20"/>
          <w:lang w:val="pt-BR"/>
        </w:rPr>
        <w:t xml:space="preserve">primeiro </w:t>
      </w:r>
      <w:r w:rsidR="004756C1" w:rsidRPr="002F50BD">
        <w:rPr>
          <w:rFonts w:ascii="Verdana" w:hAnsi="Verdana"/>
          <w:sz w:val="20"/>
          <w:lang w:val="pt-BR"/>
        </w:rPr>
        <w:t>aspecto</w:t>
      </w:r>
      <w:r w:rsidRPr="002F50BD">
        <w:rPr>
          <w:rFonts w:ascii="Verdana" w:hAnsi="Verdana"/>
          <w:sz w:val="20"/>
          <w:lang w:val="pt-BR"/>
        </w:rPr>
        <w:t xml:space="preserve"> da </w:t>
      </w:r>
      <w:r w:rsidR="004756C1" w:rsidRPr="002F50BD">
        <w:rPr>
          <w:rFonts w:ascii="Verdana" w:hAnsi="Verdana"/>
          <w:sz w:val="20"/>
          <w:lang w:val="pt-BR"/>
        </w:rPr>
        <w:t>repara</w:t>
      </w:r>
      <w:r w:rsidRPr="002F50BD">
        <w:rPr>
          <w:rFonts w:ascii="Verdana" w:hAnsi="Verdana"/>
          <w:sz w:val="20"/>
          <w:lang w:val="pt-BR"/>
        </w:rPr>
        <w:t xml:space="preserve">ção dos </w:t>
      </w:r>
      <w:r w:rsidR="004756C1" w:rsidRPr="002F50BD">
        <w:rPr>
          <w:rFonts w:ascii="Verdana" w:hAnsi="Verdana"/>
          <w:sz w:val="20"/>
          <w:lang w:val="pt-BR"/>
        </w:rPr>
        <w:t>d</w:t>
      </w:r>
      <w:r w:rsidRPr="002F50BD">
        <w:rPr>
          <w:rFonts w:ascii="Verdana" w:hAnsi="Verdana"/>
          <w:sz w:val="20"/>
          <w:lang w:val="pt-BR"/>
        </w:rPr>
        <w:t>anos</w:t>
      </w:r>
      <w:r w:rsidR="004756C1" w:rsidRPr="002F50BD">
        <w:rPr>
          <w:rFonts w:ascii="Verdana" w:hAnsi="Verdana"/>
          <w:sz w:val="20"/>
          <w:lang w:val="pt-BR"/>
        </w:rPr>
        <w:t xml:space="preserve"> </w:t>
      </w:r>
      <w:r w:rsidRPr="002F50BD">
        <w:rPr>
          <w:rFonts w:ascii="Verdana" w:hAnsi="Verdana"/>
          <w:sz w:val="20"/>
          <w:lang w:val="pt-BR"/>
        </w:rPr>
        <w:t>i</w:t>
      </w:r>
      <w:r w:rsidR="004076AD" w:rsidRPr="002F50BD">
        <w:rPr>
          <w:rFonts w:ascii="Verdana" w:hAnsi="Verdana"/>
          <w:sz w:val="20"/>
          <w:lang w:val="pt-BR"/>
        </w:rPr>
        <w:t>materiais</w:t>
      </w:r>
      <w:r w:rsidR="004756C1" w:rsidRPr="002F50BD">
        <w:rPr>
          <w:rFonts w:ascii="Verdana" w:hAnsi="Verdana"/>
          <w:sz w:val="20"/>
          <w:lang w:val="pt-BR"/>
        </w:rPr>
        <w:t xml:space="preserve"> se </w:t>
      </w:r>
      <w:r w:rsidRPr="002F50BD">
        <w:rPr>
          <w:rFonts w:ascii="Verdana" w:hAnsi="Verdana"/>
          <w:sz w:val="20"/>
          <w:lang w:val="pt-BR"/>
        </w:rPr>
        <w:t>analisará nesta seção e</w:t>
      </w:r>
      <w:r w:rsidR="00754117"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segundo</w:t>
      </w:r>
      <w:r w:rsidR="00754117" w:rsidRPr="002F50BD">
        <w:rPr>
          <w:rFonts w:ascii="Verdana" w:hAnsi="Verdana"/>
          <w:sz w:val="20"/>
          <w:lang w:val="pt-BR"/>
        </w:rPr>
        <w:t>,</w:t>
      </w:r>
      <w:r w:rsidRPr="002F50BD">
        <w:rPr>
          <w:rFonts w:ascii="Verdana" w:hAnsi="Verdana"/>
          <w:sz w:val="20"/>
          <w:lang w:val="pt-BR"/>
        </w:rPr>
        <w:t xml:space="preserve"> na seguinte</w:t>
      </w:r>
      <w:r w:rsidR="004756C1" w:rsidRPr="002F50BD">
        <w:rPr>
          <w:rFonts w:ascii="Verdana" w:hAnsi="Verdana"/>
          <w:sz w:val="20"/>
          <w:lang w:val="pt-BR"/>
        </w:rPr>
        <w:t>.</w:t>
      </w:r>
    </w:p>
    <w:p w:rsidR="001A249E" w:rsidRPr="002F50BD" w:rsidRDefault="001A249E" w:rsidP="001A249E">
      <w:pPr>
        <w:pStyle w:val="BodyText2"/>
        <w:rPr>
          <w:rFonts w:ascii="Verdana" w:hAnsi="Verdana"/>
          <w:sz w:val="20"/>
          <w:lang w:val="pt-BR"/>
        </w:rPr>
      </w:pPr>
    </w:p>
    <w:p w:rsidR="004756C1" w:rsidRPr="002F50BD" w:rsidRDefault="0089298C">
      <w:pPr>
        <w:pStyle w:val="BodyText2"/>
        <w:numPr>
          <w:ilvl w:val="0"/>
          <w:numId w:val="31"/>
        </w:numPr>
        <w:rPr>
          <w:rFonts w:ascii="Verdana" w:hAnsi="Verdana"/>
          <w:sz w:val="20"/>
          <w:lang w:val="pt-BR"/>
        </w:rPr>
      </w:pPr>
      <w:r w:rsidRPr="002F50BD">
        <w:rPr>
          <w:rFonts w:ascii="Verdana" w:hAnsi="Verdana"/>
          <w:sz w:val="20"/>
          <w:lang w:val="pt-BR"/>
        </w:rPr>
        <w:t xml:space="preserve">A jurisprudência </w:t>
      </w:r>
      <w:r w:rsidR="004756C1" w:rsidRPr="002F50BD">
        <w:rPr>
          <w:rFonts w:ascii="Verdana" w:hAnsi="Verdana"/>
          <w:sz w:val="20"/>
          <w:lang w:val="pt-BR"/>
        </w:rPr>
        <w:t xml:space="preserve">internacional </w:t>
      </w:r>
      <w:r w:rsidRPr="002F50BD">
        <w:rPr>
          <w:rFonts w:ascii="Verdana" w:hAnsi="Verdana"/>
          <w:sz w:val="20"/>
          <w:lang w:val="pt-BR"/>
        </w:rPr>
        <w:t>estabeleceu</w:t>
      </w:r>
      <w:r w:rsidR="004756C1" w:rsidRPr="002F50BD">
        <w:rPr>
          <w:rFonts w:ascii="Verdana" w:hAnsi="Verdana"/>
          <w:sz w:val="20"/>
          <w:lang w:val="pt-BR"/>
        </w:rPr>
        <w:t xml:space="preserve"> reiteradamente que</w:t>
      </w:r>
      <w:r w:rsidRPr="002F50BD">
        <w:rPr>
          <w:rFonts w:ascii="Verdana" w:hAnsi="Verdana"/>
          <w:sz w:val="20"/>
          <w:lang w:val="pt-BR"/>
        </w:rPr>
        <w:t xml:space="preserve"> a sentença</w:t>
      </w:r>
      <w:r w:rsidR="004756C1" w:rsidRPr="002F50BD">
        <w:rPr>
          <w:rFonts w:ascii="Verdana" w:hAnsi="Verdana"/>
          <w:sz w:val="20"/>
          <w:lang w:val="pt-BR"/>
        </w:rPr>
        <w:t xml:space="preserve"> </w:t>
      </w:r>
      <w:r w:rsidRPr="002F50BD">
        <w:rPr>
          <w:rFonts w:ascii="Verdana" w:hAnsi="Verdana"/>
          <w:sz w:val="20"/>
          <w:lang w:val="pt-BR"/>
        </w:rPr>
        <w:t>constitui</w:t>
      </w:r>
      <w:r w:rsidR="004756C1" w:rsidRPr="002F50BD">
        <w:rPr>
          <w:rFonts w:ascii="Verdana" w:hAnsi="Verdana"/>
          <w:sz w:val="20"/>
          <w:lang w:val="pt-BR"/>
        </w:rPr>
        <w:t>,</w:t>
      </w:r>
      <w:r w:rsidR="004756C1" w:rsidRPr="002F50BD">
        <w:rPr>
          <w:rFonts w:ascii="Verdana" w:hAnsi="Verdana"/>
          <w:i/>
          <w:sz w:val="20"/>
          <w:lang w:val="pt-BR"/>
        </w:rPr>
        <w:t xml:space="preserve"> per se</w:t>
      </w:r>
      <w:r w:rsidR="004756C1" w:rsidRPr="002F50BD">
        <w:rPr>
          <w:rFonts w:ascii="Verdana" w:hAnsi="Verdana"/>
          <w:sz w:val="20"/>
          <w:lang w:val="pt-BR"/>
        </w:rPr>
        <w:t>,</w:t>
      </w:r>
      <w:r w:rsidRPr="002F50BD">
        <w:rPr>
          <w:rFonts w:ascii="Verdana" w:hAnsi="Verdana"/>
          <w:sz w:val="20"/>
          <w:lang w:val="pt-BR"/>
        </w:rPr>
        <w:t xml:space="preserve"> uma </w:t>
      </w:r>
      <w:r w:rsidR="004756C1" w:rsidRPr="002F50BD">
        <w:rPr>
          <w:rFonts w:ascii="Verdana" w:hAnsi="Verdana"/>
          <w:sz w:val="20"/>
          <w:lang w:val="pt-BR"/>
        </w:rPr>
        <w:t>forma de repara</w:t>
      </w:r>
      <w:r w:rsidRPr="002F50BD">
        <w:rPr>
          <w:rFonts w:ascii="Verdana" w:hAnsi="Verdana"/>
          <w:sz w:val="20"/>
          <w:lang w:val="pt-BR"/>
        </w:rPr>
        <w:t>ção</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N</w:t>
      </w:r>
      <w:r w:rsidR="00646293" w:rsidRPr="002F50BD">
        <w:rPr>
          <w:rFonts w:ascii="Verdana" w:hAnsi="Verdana"/>
          <w:sz w:val="20"/>
          <w:lang w:val="pt-BR"/>
        </w:rPr>
        <w:t>ã</w:t>
      </w:r>
      <w:r w:rsidR="004756C1" w:rsidRPr="002F50BD">
        <w:rPr>
          <w:rFonts w:ascii="Verdana" w:hAnsi="Verdana"/>
          <w:sz w:val="20"/>
          <w:lang w:val="pt-BR"/>
        </w:rPr>
        <w:t>o obstante, tomando</w:t>
      </w:r>
      <w:r w:rsidRPr="002F50BD">
        <w:rPr>
          <w:rFonts w:ascii="Verdana" w:hAnsi="Verdana"/>
          <w:sz w:val="20"/>
          <w:lang w:val="pt-BR"/>
        </w:rPr>
        <w:t xml:space="preserve"> em conta as circunstâncias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presente caso,</w:t>
      </w:r>
      <w:r w:rsidRPr="002F50BD">
        <w:rPr>
          <w:rFonts w:ascii="Verdana" w:hAnsi="Verdana"/>
          <w:sz w:val="20"/>
          <w:lang w:val="pt-BR"/>
        </w:rPr>
        <w:t xml:space="preserve"> as </w:t>
      </w:r>
      <w:r w:rsidR="004756C1" w:rsidRPr="002F50BD">
        <w:rPr>
          <w:rFonts w:ascii="Verdana" w:hAnsi="Verdana"/>
          <w:sz w:val="20"/>
          <w:lang w:val="pt-BR"/>
        </w:rPr>
        <w:t>altera</w:t>
      </w:r>
      <w:r w:rsidRPr="002F50BD">
        <w:rPr>
          <w:rFonts w:ascii="Verdana" w:hAnsi="Verdana"/>
          <w:sz w:val="20"/>
          <w:lang w:val="pt-BR"/>
        </w:rPr>
        <w:t xml:space="preserve">ções das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existência das vítima</w:t>
      </w:r>
      <w:r w:rsidR="004756C1" w:rsidRPr="002F50BD">
        <w:rPr>
          <w:rFonts w:ascii="Verdana" w:hAnsi="Verdana"/>
          <w:sz w:val="20"/>
          <w:lang w:val="pt-BR"/>
        </w:rPr>
        <w:t>s</w:t>
      </w:r>
      <w:r w:rsidRPr="002F50BD">
        <w:rPr>
          <w:rFonts w:ascii="Verdana" w:hAnsi="Verdana"/>
          <w:sz w:val="20"/>
          <w:lang w:val="pt-BR"/>
        </w:rPr>
        <w:t xml:space="preserve"> e suas consequências</w:t>
      </w:r>
      <w:r w:rsidR="004756C1" w:rsidRPr="002F50BD">
        <w:rPr>
          <w:rFonts w:ascii="Verdana" w:hAnsi="Verdana"/>
          <w:sz w:val="20"/>
          <w:lang w:val="pt-BR"/>
        </w:rPr>
        <w:t xml:space="preserve"> de</w:t>
      </w:r>
      <w:r w:rsidRPr="002F50BD">
        <w:rPr>
          <w:rFonts w:ascii="Verdana" w:hAnsi="Verdana"/>
          <w:sz w:val="20"/>
          <w:lang w:val="pt-BR"/>
        </w:rPr>
        <w:t xml:space="preserve"> ordem </w:t>
      </w:r>
      <w:r w:rsidR="004756C1" w:rsidRPr="002F50BD">
        <w:rPr>
          <w:rFonts w:ascii="Verdana" w:hAnsi="Verdana"/>
          <w:sz w:val="20"/>
          <w:lang w:val="pt-BR"/>
        </w:rPr>
        <w:t>n</w:t>
      </w:r>
      <w:r w:rsidR="00646293" w:rsidRPr="002F50BD">
        <w:rPr>
          <w:rFonts w:ascii="Verdana" w:hAnsi="Verdana"/>
          <w:sz w:val="20"/>
          <w:lang w:val="pt-BR"/>
        </w:rPr>
        <w:t>ã</w:t>
      </w:r>
      <w:r w:rsidR="004756C1" w:rsidRPr="002F50BD">
        <w:rPr>
          <w:rFonts w:ascii="Verdana" w:hAnsi="Verdana"/>
          <w:sz w:val="20"/>
          <w:lang w:val="pt-BR"/>
        </w:rPr>
        <w:t>o material o</w:t>
      </w:r>
      <w:r w:rsidR="00646293" w:rsidRPr="002F50BD">
        <w:rPr>
          <w:rFonts w:ascii="Verdana" w:hAnsi="Verdana"/>
          <w:sz w:val="20"/>
          <w:lang w:val="pt-BR"/>
        </w:rPr>
        <w:t>u</w:t>
      </w:r>
      <w:r w:rsidR="004756C1" w:rsidRPr="002F50BD">
        <w:rPr>
          <w:rFonts w:ascii="Verdana" w:hAnsi="Verdana"/>
          <w:sz w:val="20"/>
          <w:lang w:val="pt-BR"/>
        </w:rPr>
        <w:t xml:space="preserve"> n</w:t>
      </w:r>
      <w:r w:rsidR="00646293"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pecuniári</w:t>
      </w:r>
      <w:r w:rsidR="00646293" w:rsidRPr="002F50BD">
        <w:rPr>
          <w:rFonts w:ascii="Verdana" w:hAnsi="Verdana"/>
          <w:sz w:val="20"/>
          <w:lang w:val="pt-BR"/>
        </w:rPr>
        <w:t>a</w:t>
      </w:r>
      <w:r w:rsidR="004756C1"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 xml:space="preserve">Corte </w:t>
      </w:r>
      <w:r w:rsidR="00646293" w:rsidRPr="002F50BD">
        <w:rPr>
          <w:rFonts w:ascii="Verdana" w:hAnsi="Verdana"/>
          <w:sz w:val="20"/>
          <w:lang w:val="pt-BR"/>
        </w:rPr>
        <w:t xml:space="preserve">considera </w:t>
      </w:r>
      <w:r w:rsidR="004756C1" w:rsidRPr="002F50BD">
        <w:rPr>
          <w:rFonts w:ascii="Verdana" w:hAnsi="Verdana"/>
          <w:sz w:val="20"/>
          <w:lang w:val="pt-BR"/>
        </w:rPr>
        <w:t>pertinente que</w:t>
      </w:r>
      <w:r w:rsidRPr="002F50BD">
        <w:rPr>
          <w:rFonts w:ascii="Verdana" w:hAnsi="Verdana"/>
          <w:sz w:val="20"/>
          <w:lang w:val="pt-BR"/>
        </w:rPr>
        <w:t xml:space="preserve"> os </w:t>
      </w:r>
      <w:r w:rsidR="004756C1" w:rsidRPr="002F50BD">
        <w:rPr>
          <w:rFonts w:ascii="Verdana" w:hAnsi="Verdana"/>
          <w:sz w:val="20"/>
          <w:lang w:val="pt-BR"/>
        </w:rPr>
        <w:t>d</w:t>
      </w:r>
      <w:r w:rsidRPr="002F50BD">
        <w:rPr>
          <w:rFonts w:ascii="Verdana" w:hAnsi="Verdana"/>
          <w:sz w:val="20"/>
          <w:lang w:val="pt-BR"/>
        </w:rPr>
        <w:t>anos</w:t>
      </w:r>
      <w:r w:rsidR="004756C1" w:rsidRPr="002F50BD">
        <w:rPr>
          <w:rFonts w:ascii="Verdana" w:hAnsi="Verdana"/>
          <w:sz w:val="20"/>
          <w:lang w:val="pt-BR"/>
        </w:rPr>
        <w:t xml:space="preserve"> </w:t>
      </w:r>
      <w:r w:rsidRPr="002F50BD">
        <w:rPr>
          <w:rFonts w:ascii="Verdana" w:hAnsi="Verdana"/>
          <w:sz w:val="20"/>
          <w:lang w:val="pt-BR"/>
        </w:rPr>
        <w:t>i</w:t>
      </w:r>
      <w:r w:rsidR="004076AD" w:rsidRPr="002F50BD">
        <w:rPr>
          <w:rFonts w:ascii="Verdana" w:hAnsi="Verdana"/>
          <w:sz w:val="20"/>
          <w:lang w:val="pt-BR"/>
        </w:rPr>
        <w:t>materiais</w:t>
      </w:r>
      <w:r w:rsidR="004756C1" w:rsidRPr="002F50BD">
        <w:rPr>
          <w:rFonts w:ascii="Verdana" w:hAnsi="Verdana"/>
          <w:sz w:val="20"/>
          <w:lang w:val="pt-BR"/>
        </w:rPr>
        <w:t xml:space="preserve"> </w:t>
      </w:r>
      <w:r w:rsidRPr="002F50BD">
        <w:rPr>
          <w:rFonts w:ascii="Verdana" w:hAnsi="Verdana"/>
          <w:sz w:val="20"/>
          <w:lang w:val="pt-BR"/>
        </w:rPr>
        <w:t>devem</w:t>
      </w:r>
      <w:r w:rsidR="004756C1" w:rsidRPr="002F50BD">
        <w:rPr>
          <w:rFonts w:ascii="Verdana" w:hAnsi="Verdana"/>
          <w:sz w:val="20"/>
          <w:lang w:val="pt-BR"/>
        </w:rPr>
        <w:t xml:space="preserve"> ser reparados</w:t>
      </w:r>
      <w:r w:rsidR="00646293" w:rsidRPr="002F50BD">
        <w:rPr>
          <w:rFonts w:ascii="Verdana" w:hAnsi="Verdana"/>
          <w:sz w:val="20"/>
          <w:lang w:val="pt-BR"/>
        </w:rPr>
        <w:t>.</w:t>
      </w:r>
      <w:r w:rsidR="004756C1" w:rsidRPr="002F50BD">
        <w:rPr>
          <w:rStyle w:val="FootnoteReference"/>
          <w:rFonts w:ascii="Verdana" w:hAnsi="Verdana"/>
        </w:rPr>
        <w:footnoteReference w:id="218"/>
      </w:r>
    </w:p>
    <w:p w:rsidR="004756C1" w:rsidRPr="002F50BD" w:rsidRDefault="004756C1">
      <w:pPr>
        <w:pStyle w:val="BodyText2"/>
        <w:rPr>
          <w:rFonts w:ascii="Verdana" w:hAnsi="Verdana"/>
          <w:sz w:val="20"/>
          <w:lang w:val="pt-BR"/>
        </w:rPr>
      </w:pPr>
    </w:p>
    <w:p w:rsidR="004756C1" w:rsidRPr="002F50BD" w:rsidRDefault="004756C1">
      <w:pPr>
        <w:pStyle w:val="BodyText2"/>
        <w:numPr>
          <w:ilvl w:val="0"/>
          <w:numId w:val="31"/>
        </w:numPr>
        <w:rPr>
          <w:rFonts w:ascii="Verdana" w:hAnsi="Verdana"/>
          <w:sz w:val="20"/>
          <w:lang w:val="pt-BR"/>
        </w:rPr>
      </w:pPr>
      <w:r w:rsidRPr="002F50BD">
        <w:rPr>
          <w:rFonts w:ascii="Verdana" w:hAnsi="Verdana"/>
          <w:sz w:val="20"/>
          <w:lang w:val="pt-BR"/>
        </w:rPr>
        <w:t>A</w:t>
      </w:r>
      <w:r w:rsidR="00646293" w:rsidRPr="002F50BD">
        <w:rPr>
          <w:rFonts w:ascii="Verdana" w:hAnsi="Verdana"/>
          <w:sz w:val="20"/>
          <w:lang w:val="pt-BR"/>
        </w:rPr>
        <w:t>o</w:t>
      </w:r>
      <w:r w:rsidRPr="002F50BD">
        <w:rPr>
          <w:rFonts w:ascii="Verdana" w:hAnsi="Verdana"/>
          <w:sz w:val="20"/>
          <w:lang w:val="pt-BR"/>
        </w:rPr>
        <w:t xml:space="preserve"> </w:t>
      </w:r>
      <w:r w:rsidR="004C7A2A" w:rsidRPr="002F50BD">
        <w:rPr>
          <w:rFonts w:ascii="Verdana" w:hAnsi="Verdana"/>
          <w:sz w:val="20"/>
          <w:lang w:val="pt-BR"/>
        </w:rPr>
        <w:t>avalia</w:t>
      </w:r>
      <w:r w:rsidRPr="002F50BD">
        <w:rPr>
          <w:rFonts w:ascii="Verdana" w:hAnsi="Verdana"/>
          <w:sz w:val="20"/>
          <w:lang w:val="pt-BR"/>
        </w:rPr>
        <w:t>r</w:t>
      </w:r>
      <w:r w:rsidR="0089298C" w:rsidRPr="002F50BD">
        <w:rPr>
          <w:rFonts w:ascii="Verdana" w:hAnsi="Verdana"/>
          <w:sz w:val="20"/>
          <w:lang w:val="pt-BR"/>
        </w:rPr>
        <w:t xml:space="preserve"> os </w:t>
      </w:r>
      <w:r w:rsidRPr="002F50BD">
        <w:rPr>
          <w:rFonts w:ascii="Verdana" w:hAnsi="Verdana"/>
          <w:sz w:val="20"/>
          <w:lang w:val="pt-BR"/>
        </w:rPr>
        <w:t>d</w:t>
      </w:r>
      <w:r w:rsidR="0089298C" w:rsidRPr="002F50BD">
        <w:rPr>
          <w:rFonts w:ascii="Verdana" w:hAnsi="Verdana"/>
          <w:sz w:val="20"/>
          <w:lang w:val="pt-BR"/>
        </w:rPr>
        <w:t>anos</w:t>
      </w:r>
      <w:r w:rsidRPr="002F50BD">
        <w:rPr>
          <w:rFonts w:ascii="Verdana" w:hAnsi="Verdana"/>
          <w:sz w:val="20"/>
          <w:lang w:val="pt-BR"/>
        </w:rPr>
        <w:t xml:space="preserve"> </w:t>
      </w:r>
      <w:r w:rsidR="0089298C" w:rsidRPr="002F50BD">
        <w:rPr>
          <w:rFonts w:ascii="Verdana" w:hAnsi="Verdana"/>
          <w:sz w:val="20"/>
          <w:lang w:val="pt-BR"/>
        </w:rPr>
        <w:t>i</w:t>
      </w:r>
      <w:r w:rsidR="004076AD" w:rsidRPr="002F50BD">
        <w:rPr>
          <w:rFonts w:ascii="Verdana" w:hAnsi="Verdana"/>
          <w:sz w:val="20"/>
          <w:lang w:val="pt-BR"/>
        </w:rPr>
        <w:t>materiais</w:t>
      </w:r>
      <w:r w:rsidRPr="002F50BD">
        <w:rPr>
          <w:rFonts w:ascii="Verdana" w:hAnsi="Verdana"/>
          <w:sz w:val="20"/>
          <w:lang w:val="pt-BR"/>
        </w:rPr>
        <w:t xml:space="preserve"> causados</w:t>
      </w:r>
      <w:r w:rsidR="0089298C" w:rsidRPr="002F50BD">
        <w:rPr>
          <w:rFonts w:ascii="Verdana" w:hAnsi="Verdana"/>
          <w:sz w:val="20"/>
          <w:lang w:val="pt-BR"/>
        </w:rPr>
        <w:t xml:space="preserve"> no </w:t>
      </w:r>
      <w:r w:rsidRPr="002F50BD">
        <w:rPr>
          <w:rFonts w:ascii="Verdana" w:hAnsi="Verdana"/>
          <w:sz w:val="20"/>
          <w:lang w:val="pt-BR"/>
        </w:rPr>
        <w:t xml:space="preserve">caso </w:t>
      </w:r>
      <w:r w:rsidRPr="002F50BD">
        <w:rPr>
          <w:rFonts w:ascii="Verdana" w:hAnsi="Verdana"/>
          <w:i/>
          <w:sz w:val="20"/>
          <w:lang w:val="pt-BR"/>
        </w:rPr>
        <w:t>sub judice</w:t>
      </w:r>
      <w:r w:rsidRPr="002F50BD">
        <w:rPr>
          <w:rFonts w:ascii="Verdana" w:hAnsi="Verdana"/>
          <w:sz w:val="20"/>
          <w:lang w:val="pt-BR"/>
        </w:rPr>
        <w:t>,</w:t>
      </w:r>
      <w:r w:rsidR="0089298C" w:rsidRPr="002F50BD">
        <w:rPr>
          <w:rFonts w:ascii="Verdana" w:hAnsi="Verdana"/>
          <w:sz w:val="20"/>
          <w:lang w:val="pt-BR"/>
        </w:rPr>
        <w:t xml:space="preserve"> a </w:t>
      </w:r>
      <w:r w:rsidRPr="002F50BD">
        <w:rPr>
          <w:rFonts w:ascii="Verdana" w:hAnsi="Verdana"/>
          <w:sz w:val="20"/>
          <w:lang w:val="pt-BR"/>
        </w:rPr>
        <w:t xml:space="preserve">Corte </w:t>
      </w:r>
      <w:r w:rsidR="00C82E6A" w:rsidRPr="002F50BD">
        <w:rPr>
          <w:rFonts w:ascii="Verdana" w:hAnsi="Verdana"/>
          <w:sz w:val="20"/>
          <w:lang w:val="pt-BR"/>
        </w:rPr>
        <w:t xml:space="preserve">levou </w:t>
      </w:r>
      <w:r w:rsidR="0089298C" w:rsidRPr="002F50BD">
        <w:rPr>
          <w:rFonts w:ascii="Verdana" w:hAnsi="Verdana"/>
          <w:sz w:val="20"/>
          <w:lang w:val="pt-BR"/>
        </w:rPr>
        <w:t xml:space="preserve">em </w:t>
      </w:r>
      <w:r w:rsidRPr="002F50BD">
        <w:rPr>
          <w:rFonts w:ascii="Verdana" w:hAnsi="Verdana"/>
          <w:sz w:val="20"/>
          <w:lang w:val="pt-BR"/>
        </w:rPr>
        <w:t>considera</w:t>
      </w:r>
      <w:r w:rsidR="0089298C" w:rsidRPr="002F50BD">
        <w:rPr>
          <w:rFonts w:ascii="Verdana" w:hAnsi="Verdana"/>
          <w:sz w:val="20"/>
          <w:lang w:val="pt-BR"/>
        </w:rPr>
        <w:t>ção</w:t>
      </w:r>
      <w:r w:rsidRPr="002F50BD">
        <w:rPr>
          <w:rFonts w:ascii="Verdana" w:hAnsi="Verdana"/>
          <w:sz w:val="20"/>
          <w:lang w:val="pt-BR"/>
        </w:rPr>
        <w:t xml:space="preserve"> </w:t>
      </w:r>
      <w:r w:rsidR="00646293" w:rsidRPr="002F50BD">
        <w:rPr>
          <w:rFonts w:ascii="Verdana" w:hAnsi="Verdana"/>
          <w:sz w:val="20"/>
          <w:lang w:val="pt-BR"/>
        </w:rPr>
        <w:t xml:space="preserve">a manifestação do </w:t>
      </w:r>
      <w:r w:rsidR="0089298C" w:rsidRPr="002F50BD">
        <w:rPr>
          <w:rFonts w:ascii="Verdana" w:hAnsi="Verdana"/>
          <w:sz w:val="20"/>
          <w:lang w:val="pt-BR"/>
        </w:rPr>
        <w:t xml:space="preserve">senhor </w:t>
      </w:r>
      <w:r w:rsidRPr="002F50BD">
        <w:rPr>
          <w:rFonts w:ascii="Verdana" w:hAnsi="Verdana"/>
          <w:sz w:val="20"/>
          <w:lang w:val="pt-BR"/>
        </w:rPr>
        <w:t>Albino Fernández</w:t>
      </w:r>
      <w:r w:rsidR="00A94B1E" w:rsidRPr="002F50BD">
        <w:rPr>
          <w:rFonts w:ascii="Verdana" w:hAnsi="Verdana"/>
          <w:sz w:val="20"/>
          <w:lang w:val="pt-BR"/>
        </w:rPr>
        <w:t>,</w:t>
      </w:r>
      <w:r w:rsidR="0089298C" w:rsidRPr="002F50BD">
        <w:rPr>
          <w:rFonts w:ascii="Verdana" w:hAnsi="Verdana"/>
          <w:sz w:val="20"/>
          <w:lang w:val="pt-BR"/>
        </w:rPr>
        <w:t xml:space="preserve"> em </w:t>
      </w:r>
      <w:r w:rsidR="00AB454A" w:rsidRPr="002F50BD">
        <w:rPr>
          <w:rFonts w:ascii="Verdana" w:hAnsi="Verdana"/>
          <w:sz w:val="20"/>
          <w:lang w:val="pt-BR"/>
        </w:rPr>
        <w:t>sua declaração</w:t>
      </w:r>
      <w:r w:rsidR="0089298C" w:rsidRPr="002F50BD">
        <w:rPr>
          <w:rFonts w:ascii="Verdana" w:hAnsi="Verdana"/>
          <w:sz w:val="20"/>
          <w:lang w:val="pt-BR"/>
        </w:rPr>
        <w:t xml:space="preserve"> oferecida</w:t>
      </w:r>
      <w:r w:rsidR="00AB454A" w:rsidRPr="002F50BD">
        <w:rPr>
          <w:rFonts w:ascii="Verdana" w:hAnsi="Verdana"/>
          <w:sz w:val="20"/>
          <w:lang w:val="pt-BR"/>
        </w:rPr>
        <w:t xml:space="preserve"> perante agente dotado</w:t>
      </w:r>
      <w:r w:rsidR="0089298C" w:rsidRPr="002F50BD">
        <w:rPr>
          <w:rFonts w:ascii="Verdana" w:hAnsi="Verdana"/>
          <w:sz w:val="20"/>
          <w:lang w:val="pt-BR"/>
        </w:rPr>
        <w:t xml:space="preserve"> de fé pública</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38</w:t>
      </w:r>
      <w:r w:rsidRPr="002F50BD">
        <w:rPr>
          <w:rFonts w:ascii="Verdana" w:hAnsi="Verdana"/>
          <w:sz w:val="20"/>
          <w:lang w:val="pt-BR"/>
        </w:rPr>
        <w:t>.a</w:t>
      </w:r>
      <w:r w:rsidR="00646293" w:rsidRPr="002F50BD">
        <w:rPr>
          <w:rFonts w:ascii="Verdana" w:hAnsi="Verdana"/>
          <w:i/>
          <w:sz w:val="20"/>
          <w:lang w:val="pt-BR"/>
        </w:rPr>
        <w:t xml:space="preserve"> supra</w:t>
      </w:r>
      <w:r w:rsidR="00CF451D" w:rsidRPr="00CF451D">
        <w:rPr>
          <w:rFonts w:ascii="Verdana" w:hAnsi="Verdana"/>
          <w:sz w:val="20"/>
          <w:lang w:val="pt-BR"/>
        </w:rPr>
        <w:t>)</w:t>
      </w:r>
      <w:r w:rsidR="00A94B1E" w:rsidRPr="002F50BD">
        <w:rPr>
          <w:rFonts w:ascii="Verdana" w:hAnsi="Verdana"/>
          <w:sz w:val="20"/>
          <w:lang w:val="pt-BR"/>
        </w:rPr>
        <w:t>,</w:t>
      </w:r>
      <w:r w:rsidR="0089298C" w:rsidRPr="002F50BD">
        <w:rPr>
          <w:rFonts w:ascii="Verdana" w:hAnsi="Verdana"/>
          <w:sz w:val="20"/>
          <w:lang w:val="pt-BR"/>
        </w:rPr>
        <w:t xml:space="preserve"> e </w:t>
      </w:r>
      <w:r w:rsidR="00646293" w:rsidRPr="002F50BD">
        <w:rPr>
          <w:rFonts w:ascii="Verdana" w:hAnsi="Verdana"/>
          <w:sz w:val="20"/>
          <w:lang w:val="pt-BR"/>
        </w:rPr>
        <w:t xml:space="preserve">dos </w:t>
      </w:r>
      <w:r w:rsidR="0089298C" w:rsidRPr="002F50BD">
        <w:rPr>
          <w:rFonts w:ascii="Verdana" w:hAnsi="Verdana"/>
          <w:sz w:val="20"/>
          <w:lang w:val="pt-BR"/>
        </w:rPr>
        <w:t>senhores</w:t>
      </w:r>
      <w:r w:rsidRPr="002F50BD">
        <w:rPr>
          <w:rFonts w:ascii="Verdana" w:hAnsi="Verdana"/>
          <w:sz w:val="20"/>
          <w:lang w:val="pt-BR"/>
        </w:rPr>
        <w:t xml:space="preserve"> Esteban López, </w:t>
      </w:r>
      <w:r w:rsidR="00CD7100" w:rsidRPr="002F50BD">
        <w:rPr>
          <w:rFonts w:ascii="Verdana" w:hAnsi="Verdana"/>
          <w:sz w:val="20"/>
          <w:lang w:val="pt-BR"/>
        </w:rPr>
        <w:t>Tomás Galeano</w:t>
      </w:r>
      <w:r w:rsidRPr="002F50BD">
        <w:rPr>
          <w:rFonts w:ascii="Verdana" w:hAnsi="Verdana"/>
          <w:sz w:val="20"/>
          <w:lang w:val="pt-BR"/>
        </w:rPr>
        <w:t xml:space="preserve"> e Inocencia Gómez</w:t>
      </w:r>
      <w:r w:rsidR="00A94B1E"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s</w:t>
      </w:r>
      <w:r w:rsidR="00646293" w:rsidRPr="002F50BD">
        <w:rPr>
          <w:rFonts w:ascii="Verdana" w:hAnsi="Verdana"/>
          <w:sz w:val="20"/>
          <w:lang w:val="pt-BR"/>
        </w:rPr>
        <w:t>e</w:t>
      </w:r>
      <w:r w:rsidRPr="002F50BD">
        <w:rPr>
          <w:rFonts w:ascii="Verdana" w:hAnsi="Verdana"/>
          <w:sz w:val="20"/>
          <w:lang w:val="pt-BR"/>
        </w:rPr>
        <w:t xml:space="preserve">us </w:t>
      </w:r>
      <w:r w:rsidR="0089298C" w:rsidRPr="002F50BD">
        <w:rPr>
          <w:rFonts w:ascii="Verdana" w:hAnsi="Verdana"/>
          <w:sz w:val="20"/>
          <w:lang w:val="pt-BR"/>
        </w:rPr>
        <w:t>testemunho</w:t>
      </w:r>
      <w:r w:rsidRPr="002F50BD">
        <w:rPr>
          <w:rFonts w:ascii="Verdana" w:hAnsi="Verdana"/>
          <w:sz w:val="20"/>
          <w:lang w:val="pt-BR"/>
        </w:rPr>
        <w:t xml:space="preserve">s </w:t>
      </w:r>
      <w:r w:rsidR="00646293" w:rsidRPr="002F50BD">
        <w:rPr>
          <w:rFonts w:ascii="Verdana" w:hAnsi="Verdana"/>
          <w:sz w:val="20"/>
          <w:lang w:val="pt-BR"/>
        </w:rPr>
        <w:t>prestados per</w:t>
      </w:r>
      <w:r w:rsidRPr="002F50BD">
        <w:rPr>
          <w:rFonts w:ascii="Verdana" w:hAnsi="Verdana"/>
          <w:sz w:val="20"/>
          <w:lang w:val="pt-BR"/>
        </w:rPr>
        <w:t>ante este Tribunal durante</w:t>
      </w:r>
      <w:r w:rsidR="0089298C" w:rsidRPr="002F50BD">
        <w:rPr>
          <w:rFonts w:ascii="Verdana" w:hAnsi="Verdana"/>
          <w:sz w:val="20"/>
          <w:lang w:val="pt-BR"/>
        </w:rPr>
        <w:t xml:space="preserve"> a audiência</w:t>
      </w:r>
      <w:r w:rsidRPr="002F50BD">
        <w:rPr>
          <w:rFonts w:ascii="Verdana" w:hAnsi="Verdana"/>
          <w:sz w:val="20"/>
          <w:lang w:val="pt-BR"/>
        </w:rPr>
        <w:t xml:space="preserve"> pública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39</w:t>
      </w:r>
      <w:r w:rsidRPr="002F50BD">
        <w:rPr>
          <w:rFonts w:ascii="Verdana" w:hAnsi="Verdana"/>
          <w:sz w:val="20"/>
          <w:lang w:val="pt-BR"/>
        </w:rPr>
        <w:t xml:space="preserve">.a, </w:t>
      </w:r>
      <w:r w:rsidR="00063B47" w:rsidRPr="002F50BD">
        <w:rPr>
          <w:rFonts w:ascii="Verdana" w:hAnsi="Verdana"/>
          <w:sz w:val="20"/>
          <w:lang w:val="pt-BR"/>
        </w:rPr>
        <w:t>39</w:t>
      </w:r>
      <w:r w:rsidRPr="002F50BD">
        <w:rPr>
          <w:rFonts w:ascii="Verdana" w:hAnsi="Verdana"/>
          <w:sz w:val="20"/>
          <w:lang w:val="pt-BR"/>
        </w:rPr>
        <w:t>.b</w:t>
      </w:r>
      <w:r w:rsidR="0089298C" w:rsidRPr="002F50BD">
        <w:rPr>
          <w:rFonts w:ascii="Verdana" w:hAnsi="Verdana"/>
          <w:sz w:val="20"/>
          <w:lang w:val="pt-BR"/>
        </w:rPr>
        <w:t xml:space="preserve"> e </w:t>
      </w:r>
      <w:r w:rsidR="00063B47" w:rsidRPr="002F50BD">
        <w:rPr>
          <w:rFonts w:ascii="Verdana" w:hAnsi="Verdana"/>
          <w:sz w:val="20"/>
          <w:lang w:val="pt-BR"/>
        </w:rPr>
        <w:t>39</w:t>
      </w:r>
      <w:r w:rsidRPr="002F50BD">
        <w:rPr>
          <w:rFonts w:ascii="Verdana" w:hAnsi="Verdana"/>
          <w:sz w:val="20"/>
          <w:lang w:val="pt-BR"/>
        </w:rPr>
        <w:t>.c</w:t>
      </w:r>
      <w:r w:rsidR="00646293"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w:t>
      </w:r>
      <w:r w:rsidR="0089298C" w:rsidRPr="002F50BD">
        <w:rPr>
          <w:rFonts w:ascii="Verdana" w:hAnsi="Verdana"/>
          <w:sz w:val="20"/>
          <w:lang w:val="pt-BR"/>
        </w:rPr>
        <w:t xml:space="preserve"> </w:t>
      </w:r>
      <w:r w:rsidR="00A94B1E" w:rsidRPr="002F50BD">
        <w:rPr>
          <w:rFonts w:ascii="Verdana" w:hAnsi="Verdana"/>
          <w:sz w:val="20"/>
          <w:lang w:val="pt-BR"/>
        </w:rPr>
        <w:lastRenderedPageBreak/>
        <w:t>sobre como</w:t>
      </w:r>
      <w:r w:rsidR="0089298C" w:rsidRPr="002F50BD">
        <w:rPr>
          <w:rFonts w:ascii="Verdana" w:hAnsi="Verdana"/>
          <w:sz w:val="20"/>
          <w:lang w:val="pt-BR"/>
        </w:rPr>
        <w:t xml:space="preserve"> os </w:t>
      </w:r>
      <w:r w:rsidRPr="002F50BD">
        <w:rPr>
          <w:rFonts w:ascii="Verdana" w:hAnsi="Verdana"/>
          <w:sz w:val="20"/>
          <w:lang w:val="pt-BR"/>
        </w:rPr>
        <w:t>d</w:t>
      </w:r>
      <w:r w:rsidR="0089298C" w:rsidRPr="002F50BD">
        <w:rPr>
          <w:rFonts w:ascii="Verdana" w:hAnsi="Verdana"/>
          <w:sz w:val="20"/>
          <w:lang w:val="pt-BR"/>
        </w:rPr>
        <w:t>anos</w:t>
      </w:r>
      <w:r w:rsidRPr="002F50BD">
        <w:rPr>
          <w:rFonts w:ascii="Verdana" w:hAnsi="Verdana"/>
          <w:sz w:val="20"/>
          <w:lang w:val="pt-BR"/>
        </w:rPr>
        <w:t xml:space="preserve"> ocasionados a </w:t>
      </w:r>
      <w:r w:rsidR="00754117" w:rsidRPr="002F50BD">
        <w:rPr>
          <w:rFonts w:ascii="Verdana" w:hAnsi="Verdana"/>
          <w:sz w:val="20"/>
          <w:lang w:val="pt-BR"/>
        </w:rPr>
        <w:t>el</w:t>
      </w:r>
      <w:r w:rsidR="00646293" w:rsidRPr="002F50BD">
        <w:rPr>
          <w:rFonts w:ascii="Verdana" w:hAnsi="Verdana"/>
          <w:sz w:val="20"/>
          <w:lang w:val="pt-BR"/>
        </w:rPr>
        <w:t xml:space="preserve">es </w:t>
      </w:r>
      <w:r w:rsidR="0089298C" w:rsidRPr="002F50BD">
        <w:rPr>
          <w:rFonts w:ascii="Verdana" w:hAnsi="Verdana"/>
          <w:sz w:val="20"/>
          <w:lang w:val="pt-BR"/>
        </w:rPr>
        <w:t xml:space="preserve">são </w:t>
      </w:r>
      <w:r w:rsidRPr="002F50BD">
        <w:rPr>
          <w:rFonts w:ascii="Verdana" w:hAnsi="Verdana"/>
          <w:sz w:val="20"/>
          <w:lang w:val="pt-BR"/>
        </w:rPr>
        <w:t>representativos d</w:t>
      </w:r>
      <w:r w:rsidR="0089298C" w:rsidRPr="002F50BD">
        <w:rPr>
          <w:rFonts w:ascii="Verdana" w:hAnsi="Verdana"/>
          <w:sz w:val="20"/>
          <w:lang w:val="pt-BR"/>
        </w:rPr>
        <w:t>aqueles</w:t>
      </w:r>
      <w:r w:rsidRPr="002F50BD">
        <w:rPr>
          <w:rFonts w:ascii="Verdana" w:hAnsi="Verdana"/>
          <w:sz w:val="20"/>
          <w:lang w:val="pt-BR"/>
        </w:rPr>
        <w:t xml:space="preserve"> </w:t>
      </w:r>
      <w:r w:rsidR="0089298C" w:rsidRPr="002F50BD">
        <w:rPr>
          <w:rFonts w:ascii="Verdana" w:hAnsi="Verdana"/>
          <w:sz w:val="20"/>
          <w:lang w:val="pt-BR"/>
        </w:rPr>
        <w:t>produzid</w:t>
      </w:r>
      <w:r w:rsidRPr="002F50BD">
        <w:rPr>
          <w:rFonts w:ascii="Verdana" w:hAnsi="Verdana"/>
          <w:sz w:val="20"/>
          <w:lang w:val="pt-BR"/>
        </w:rPr>
        <w:t>os</w:t>
      </w:r>
      <w:r w:rsidR="0089298C" w:rsidRPr="002F50BD">
        <w:rPr>
          <w:rFonts w:ascii="Verdana" w:hAnsi="Verdana"/>
          <w:sz w:val="20"/>
          <w:lang w:val="pt-BR"/>
        </w:rPr>
        <w:t xml:space="preserve"> ao </w:t>
      </w:r>
      <w:r w:rsidRPr="002F50BD">
        <w:rPr>
          <w:rFonts w:ascii="Verdana" w:hAnsi="Verdana"/>
          <w:sz w:val="20"/>
          <w:lang w:val="pt-BR"/>
        </w:rPr>
        <w:t>resto</w:t>
      </w:r>
      <w:r w:rsidR="0089298C" w:rsidRPr="002F50BD">
        <w:rPr>
          <w:rFonts w:ascii="Verdana" w:hAnsi="Verdana"/>
          <w:sz w:val="20"/>
          <w:lang w:val="pt-BR"/>
        </w:rPr>
        <w:t xml:space="preserve"> das vítima</w:t>
      </w:r>
      <w:r w:rsidRPr="002F50BD">
        <w:rPr>
          <w:rFonts w:ascii="Verdana" w:hAnsi="Verdana"/>
          <w:sz w:val="20"/>
          <w:lang w:val="pt-BR"/>
        </w:rPr>
        <w:t xml:space="preserve">s, </w:t>
      </w:r>
      <w:r w:rsidR="00754117" w:rsidRPr="002F50BD">
        <w:rPr>
          <w:rFonts w:ascii="Verdana" w:hAnsi="Verdana"/>
          <w:sz w:val="20"/>
          <w:lang w:val="pt-BR"/>
        </w:rPr>
        <w:t>que</w:t>
      </w:r>
      <w:r w:rsidR="0089298C" w:rsidRPr="002F50BD">
        <w:rPr>
          <w:rFonts w:ascii="Verdana" w:hAnsi="Verdana"/>
          <w:sz w:val="20"/>
          <w:lang w:val="pt-BR"/>
        </w:rPr>
        <w:t xml:space="preserve"> em </w:t>
      </w:r>
      <w:r w:rsidRPr="002F50BD">
        <w:rPr>
          <w:rFonts w:ascii="Verdana" w:hAnsi="Verdana"/>
          <w:sz w:val="20"/>
          <w:lang w:val="pt-BR"/>
        </w:rPr>
        <w:t>su</w:t>
      </w:r>
      <w:r w:rsidR="00646293" w:rsidRPr="002F50BD">
        <w:rPr>
          <w:rFonts w:ascii="Verdana" w:hAnsi="Verdana"/>
          <w:sz w:val="20"/>
          <w:lang w:val="pt-BR"/>
        </w:rPr>
        <w:t>a</w:t>
      </w:r>
      <w:r w:rsidRPr="002F50BD">
        <w:rPr>
          <w:rFonts w:ascii="Verdana" w:hAnsi="Verdana"/>
          <w:sz w:val="20"/>
          <w:lang w:val="pt-BR"/>
        </w:rPr>
        <w:t xml:space="preserve"> </w:t>
      </w:r>
      <w:r w:rsidR="0089298C" w:rsidRPr="002F50BD">
        <w:rPr>
          <w:rFonts w:ascii="Verdana" w:hAnsi="Verdana"/>
          <w:sz w:val="20"/>
          <w:lang w:val="pt-BR"/>
        </w:rPr>
        <w:t xml:space="preserve">totalidade pertencem à Comunidade </w:t>
      </w:r>
      <w:r w:rsidRPr="002F50BD">
        <w:rPr>
          <w:rFonts w:ascii="Verdana" w:hAnsi="Verdana"/>
          <w:sz w:val="20"/>
          <w:lang w:val="pt-BR"/>
        </w:rPr>
        <w:t>indígena Yakye Axa.</w:t>
      </w:r>
      <w:r w:rsidR="00FE08B7">
        <w:rPr>
          <w:rFonts w:ascii="Verdana" w:hAnsi="Verdana"/>
          <w:sz w:val="20"/>
          <w:lang w:val="pt-BR"/>
        </w:rPr>
        <w:t xml:space="preserve"> </w:t>
      </w:r>
      <w:r w:rsidRPr="002F50BD">
        <w:rPr>
          <w:rFonts w:ascii="Verdana" w:hAnsi="Verdana"/>
          <w:sz w:val="20"/>
          <w:lang w:val="pt-BR"/>
        </w:rPr>
        <w:t xml:space="preserve">Igualmente, esta Corte </w:t>
      </w:r>
      <w:r w:rsidR="00754117" w:rsidRPr="002F50BD">
        <w:rPr>
          <w:rFonts w:ascii="Verdana" w:hAnsi="Verdana"/>
          <w:sz w:val="20"/>
          <w:lang w:val="pt-BR"/>
        </w:rPr>
        <w:t>considerou</w:t>
      </w:r>
      <w:r w:rsidR="0089298C" w:rsidRPr="002F50BD">
        <w:rPr>
          <w:rFonts w:ascii="Verdana" w:hAnsi="Verdana"/>
          <w:sz w:val="20"/>
          <w:lang w:val="pt-BR"/>
        </w:rPr>
        <w:t xml:space="preserve"> </w:t>
      </w:r>
      <w:r w:rsidR="00646293" w:rsidRPr="002F50BD">
        <w:rPr>
          <w:rFonts w:ascii="Verdana" w:hAnsi="Verdana"/>
          <w:sz w:val="20"/>
          <w:lang w:val="pt-BR"/>
        </w:rPr>
        <w:t xml:space="preserve">a manifestação dos </w:t>
      </w:r>
      <w:r w:rsidR="0089298C" w:rsidRPr="002F50BD">
        <w:rPr>
          <w:rFonts w:ascii="Verdana" w:hAnsi="Verdana"/>
          <w:sz w:val="20"/>
          <w:lang w:val="pt-BR"/>
        </w:rPr>
        <w:t>senhores</w:t>
      </w:r>
      <w:r w:rsidRPr="002F50BD">
        <w:rPr>
          <w:rFonts w:ascii="Verdana" w:hAnsi="Verdana"/>
          <w:sz w:val="20"/>
          <w:lang w:val="pt-BR"/>
        </w:rPr>
        <w:t xml:space="preserve"> José Alberto Braunstein</w:t>
      </w:r>
      <w:r w:rsidR="0089298C" w:rsidRPr="002F50BD">
        <w:rPr>
          <w:rFonts w:ascii="Verdana" w:hAnsi="Verdana"/>
          <w:sz w:val="20"/>
          <w:lang w:val="pt-BR"/>
        </w:rPr>
        <w:t xml:space="preserve"> e </w:t>
      </w:r>
      <w:r w:rsidRPr="002F50BD">
        <w:rPr>
          <w:rFonts w:ascii="Verdana" w:hAnsi="Verdana"/>
          <w:sz w:val="20"/>
          <w:lang w:val="pt-BR"/>
        </w:rPr>
        <w:t>Teresa de Jesús Vargas</w:t>
      </w:r>
      <w:r w:rsidR="00A94B1E" w:rsidRPr="002F50BD">
        <w:rPr>
          <w:rFonts w:ascii="Verdana" w:hAnsi="Verdana"/>
          <w:sz w:val="20"/>
          <w:lang w:val="pt-BR"/>
        </w:rPr>
        <w:t>,</w:t>
      </w:r>
      <w:r w:rsidR="0089298C" w:rsidRPr="002F50BD">
        <w:rPr>
          <w:rFonts w:ascii="Verdana" w:hAnsi="Verdana"/>
          <w:sz w:val="20"/>
          <w:lang w:val="pt-BR"/>
        </w:rPr>
        <w:t xml:space="preserve"> em </w:t>
      </w:r>
      <w:r w:rsidR="00AB454A" w:rsidRPr="002F50BD">
        <w:rPr>
          <w:rFonts w:ascii="Verdana" w:hAnsi="Verdana"/>
          <w:sz w:val="20"/>
          <w:lang w:val="pt-BR"/>
        </w:rPr>
        <w:t>suas declarações</w:t>
      </w:r>
      <w:r w:rsidR="0089298C" w:rsidRPr="002F50BD">
        <w:rPr>
          <w:rFonts w:ascii="Verdana" w:hAnsi="Verdana"/>
          <w:sz w:val="20"/>
          <w:lang w:val="pt-BR"/>
        </w:rPr>
        <w:t xml:space="preserve"> </w:t>
      </w:r>
      <w:r w:rsidR="00646293" w:rsidRPr="002F50BD">
        <w:rPr>
          <w:rFonts w:ascii="Verdana" w:hAnsi="Verdana"/>
          <w:sz w:val="20"/>
          <w:lang w:val="pt-BR"/>
        </w:rPr>
        <w:t xml:space="preserve">prestadas </w:t>
      </w:r>
      <w:r w:rsidR="00AB454A" w:rsidRPr="002F50BD">
        <w:rPr>
          <w:rFonts w:ascii="Verdana" w:hAnsi="Verdana"/>
          <w:sz w:val="20"/>
          <w:lang w:val="pt-BR"/>
        </w:rPr>
        <w:t>perante agente dotado</w:t>
      </w:r>
      <w:r w:rsidR="0089298C" w:rsidRPr="002F50BD">
        <w:rPr>
          <w:rFonts w:ascii="Verdana" w:hAnsi="Verdana"/>
          <w:sz w:val="20"/>
          <w:lang w:val="pt-BR"/>
        </w:rPr>
        <w:t xml:space="preserve"> de fé pública</w:t>
      </w:r>
      <w:r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38</w:t>
      </w:r>
      <w:r w:rsidRPr="002F50BD">
        <w:rPr>
          <w:rFonts w:ascii="Verdana" w:hAnsi="Verdana"/>
          <w:sz w:val="20"/>
          <w:lang w:val="pt-BR"/>
        </w:rPr>
        <w:t>.d</w:t>
      </w:r>
      <w:r w:rsidR="0089298C" w:rsidRPr="002F50BD">
        <w:rPr>
          <w:rFonts w:ascii="Verdana" w:hAnsi="Verdana"/>
          <w:sz w:val="20"/>
          <w:lang w:val="pt-BR"/>
        </w:rPr>
        <w:t xml:space="preserve"> e </w:t>
      </w:r>
      <w:r w:rsidR="00063B47" w:rsidRPr="002F50BD">
        <w:rPr>
          <w:rFonts w:ascii="Verdana" w:hAnsi="Verdana"/>
          <w:sz w:val="20"/>
          <w:lang w:val="pt-BR"/>
        </w:rPr>
        <w:t>38</w:t>
      </w:r>
      <w:r w:rsidRPr="002F50BD">
        <w:rPr>
          <w:rFonts w:ascii="Verdana" w:hAnsi="Verdana"/>
          <w:sz w:val="20"/>
          <w:lang w:val="pt-BR"/>
        </w:rPr>
        <w:t>.e</w:t>
      </w:r>
      <w:r w:rsidR="00646293" w:rsidRPr="002F50BD">
        <w:rPr>
          <w:rFonts w:ascii="Verdana" w:hAnsi="Verdana"/>
          <w:i/>
          <w:sz w:val="20"/>
          <w:lang w:val="pt-BR"/>
        </w:rPr>
        <w:t xml:space="preserve"> supra</w:t>
      </w:r>
      <w:r w:rsidR="00CF451D" w:rsidRPr="00CF451D">
        <w:rPr>
          <w:rFonts w:ascii="Verdana" w:hAnsi="Verdana"/>
          <w:sz w:val="20"/>
          <w:lang w:val="pt-BR"/>
        </w:rPr>
        <w:t>)</w:t>
      </w:r>
      <w:r w:rsidR="0089298C" w:rsidRPr="002F50BD">
        <w:rPr>
          <w:rFonts w:ascii="Verdana" w:hAnsi="Verdana"/>
          <w:sz w:val="20"/>
          <w:lang w:val="pt-BR"/>
        </w:rPr>
        <w:t xml:space="preserve">, e </w:t>
      </w:r>
      <w:r w:rsidR="00646293" w:rsidRPr="002F50BD">
        <w:rPr>
          <w:rFonts w:ascii="Verdana" w:hAnsi="Verdana"/>
          <w:sz w:val="20"/>
          <w:lang w:val="pt-BR"/>
        </w:rPr>
        <w:t xml:space="preserve">dos </w:t>
      </w:r>
      <w:r w:rsidR="0089298C" w:rsidRPr="002F50BD">
        <w:rPr>
          <w:rFonts w:ascii="Verdana" w:hAnsi="Verdana"/>
          <w:sz w:val="20"/>
          <w:lang w:val="pt-BR"/>
        </w:rPr>
        <w:t>senhores</w:t>
      </w:r>
      <w:r w:rsidRPr="002F50BD">
        <w:rPr>
          <w:rFonts w:ascii="Verdana" w:hAnsi="Verdana"/>
          <w:sz w:val="20"/>
          <w:lang w:val="pt-BR"/>
        </w:rPr>
        <w:t xml:space="preserve"> Rodrigo </w:t>
      </w:r>
      <w:r w:rsidR="0089298C" w:rsidRPr="002F50BD">
        <w:rPr>
          <w:rFonts w:ascii="Verdana" w:hAnsi="Verdana"/>
          <w:sz w:val="20"/>
          <w:lang w:val="pt-BR"/>
        </w:rPr>
        <w:t>Vila</w:t>
      </w:r>
      <w:r w:rsidRPr="002F50BD">
        <w:rPr>
          <w:rFonts w:ascii="Verdana" w:hAnsi="Verdana"/>
          <w:sz w:val="20"/>
          <w:lang w:val="pt-BR"/>
        </w:rPr>
        <w:t>gra</w:t>
      </w:r>
      <w:r w:rsidR="0089298C" w:rsidRPr="002F50BD">
        <w:rPr>
          <w:rFonts w:ascii="Verdana" w:hAnsi="Verdana"/>
          <w:sz w:val="20"/>
          <w:lang w:val="pt-BR"/>
        </w:rPr>
        <w:t xml:space="preserve"> e </w:t>
      </w:r>
      <w:r w:rsidRPr="002F50BD">
        <w:rPr>
          <w:rFonts w:ascii="Verdana" w:hAnsi="Verdana"/>
          <w:sz w:val="20"/>
          <w:lang w:val="pt-BR"/>
        </w:rPr>
        <w:t>Bartomeu Melia i Lliteres</w:t>
      </w:r>
      <w:r w:rsidR="00A94B1E" w:rsidRPr="002F50BD">
        <w:rPr>
          <w:rFonts w:ascii="Verdana" w:hAnsi="Verdana"/>
          <w:sz w:val="20"/>
          <w:lang w:val="pt-BR"/>
        </w:rPr>
        <w:t>,</w:t>
      </w:r>
      <w:r w:rsidR="0089298C" w:rsidRPr="002F50BD">
        <w:rPr>
          <w:rFonts w:ascii="Verdana" w:hAnsi="Verdana"/>
          <w:sz w:val="20"/>
          <w:lang w:val="pt-BR"/>
        </w:rPr>
        <w:t xml:space="preserve"> em </w:t>
      </w:r>
      <w:r w:rsidR="00AB454A" w:rsidRPr="002F50BD">
        <w:rPr>
          <w:rFonts w:ascii="Verdana" w:hAnsi="Verdana"/>
          <w:sz w:val="20"/>
          <w:lang w:val="pt-BR"/>
        </w:rPr>
        <w:t>suas declarações</w:t>
      </w:r>
      <w:r w:rsidR="0089298C" w:rsidRPr="002F50BD">
        <w:rPr>
          <w:rFonts w:ascii="Verdana" w:hAnsi="Verdana"/>
          <w:sz w:val="20"/>
          <w:lang w:val="pt-BR"/>
        </w:rPr>
        <w:t xml:space="preserve"> </w:t>
      </w:r>
      <w:r w:rsidR="00646293" w:rsidRPr="002F50BD">
        <w:rPr>
          <w:rFonts w:ascii="Verdana" w:hAnsi="Verdana"/>
          <w:sz w:val="20"/>
          <w:lang w:val="pt-BR"/>
        </w:rPr>
        <w:t>prestadas per</w:t>
      </w:r>
      <w:r w:rsidRPr="002F50BD">
        <w:rPr>
          <w:rFonts w:ascii="Verdana" w:hAnsi="Verdana"/>
          <w:sz w:val="20"/>
          <w:lang w:val="pt-BR"/>
        </w:rPr>
        <w:t>ante esta Corte durante</w:t>
      </w:r>
      <w:r w:rsidR="0089298C" w:rsidRPr="002F50BD">
        <w:rPr>
          <w:rFonts w:ascii="Verdana" w:hAnsi="Verdana"/>
          <w:sz w:val="20"/>
          <w:lang w:val="pt-BR"/>
        </w:rPr>
        <w:t xml:space="preserve"> a audiência</w:t>
      </w:r>
      <w:r w:rsidRPr="002F50BD">
        <w:rPr>
          <w:rFonts w:ascii="Verdana" w:hAnsi="Verdana"/>
          <w:sz w:val="20"/>
          <w:lang w:val="pt-BR"/>
        </w:rPr>
        <w:t xml:space="preserve"> pública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39</w:t>
      </w:r>
      <w:r w:rsidRPr="002F50BD">
        <w:rPr>
          <w:rFonts w:ascii="Verdana" w:hAnsi="Verdana"/>
          <w:sz w:val="20"/>
          <w:lang w:val="pt-BR"/>
        </w:rPr>
        <w:t>.e</w:t>
      </w:r>
      <w:r w:rsidR="0089298C" w:rsidRPr="002F50BD">
        <w:rPr>
          <w:rFonts w:ascii="Verdana" w:hAnsi="Verdana"/>
          <w:sz w:val="20"/>
          <w:lang w:val="pt-BR"/>
        </w:rPr>
        <w:t xml:space="preserve"> e </w:t>
      </w:r>
      <w:r w:rsidR="00063B47" w:rsidRPr="002F50BD">
        <w:rPr>
          <w:rFonts w:ascii="Verdana" w:hAnsi="Verdana"/>
          <w:sz w:val="20"/>
          <w:lang w:val="pt-BR"/>
        </w:rPr>
        <w:t>39</w:t>
      </w:r>
      <w:r w:rsidRPr="002F50BD">
        <w:rPr>
          <w:rFonts w:ascii="Verdana" w:hAnsi="Verdana"/>
          <w:sz w:val="20"/>
          <w:lang w:val="pt-BR"/>
        </w:rPr>
        <w:t>.f</w:t>
      </w:r>
      <w:r w:rsidR="00646293"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xml:space="preserve">. </w:t>
      </w:r>
    </w:p>
    <w:p w:rsidR="004756C1" w:rsidRPr="002F50BD" w:rsidRDefault="004756C1">
      <w:pPr>
        <w:pStyle w:val="BodyText2"/>
        <w:rPr>
          <w:rFonts w:ascii="Verdana" w:hAnsi="Verdana"/>
          <w:sz w:val="20"/>
          <w:lang w:val="pt-BR"/>
        </w:rPr>
      </w:pPr>
    </w:p>
    <w:p w:rsidR="004756C1" w:rsidRPr="002F50BD" w:rsidRDefault="004756C1">
      <w:pPr>
        <w:pStyle w:val="BodyText2"/>
        <w:numPr>
          <w:ilvl w:val="0"/>
          <w:numId w:val="31"/>
        </w:numPr>
        <w:rPr>
          <w:rFonts w:ascii="Verdana" w:hAnsi="Verdana"/>
          <w:sz w:val="20"/>
          <w:lang w:val="pt-BR"/>
        </w:rPr>
      </w:pPr>
      <w:r w:rsidRPr="002F50BD">
        <w:rPr>
          <w:rFonts w:ascii="Verdana" w:hAnsi="Verdana"/>
          <w:sz w:val="20"/>
          <w:lang w:val="pt-BR"/>
        </w:rPr>
        <w:t>Este Tribunal observa que</w:t>
      </w:r>
      <w:r w:rsidR="0089298C" w:rsidRPr="002F50BD">
        <w:rPr>
          <w:rFonts w:ascii="Verdana" w:hAnsi="Verdana"/>
          <w:sz w:val="20"/>
          <w:lang w:val="pt-BR"/>
        </w:rPr>
        <w:t xml:space="preserve"> a </w:t>
      </w:r>
      <w:r w:rsidRPr="002F50BD">
        <w:rPr>
          <w:rFonts w:ascii="Verdana" w:hAnsi="Verdana"/>
          <w:sz w:val="20"/>
          <w:lang w:val="pt-BR"/>
        </w:rPr>
        <w:t>falta de concre</w:t>
      </w:r>
      <w:r w:rsidR="00646293" w:rsidRPr="002F50BD">
        <w:rPr>
          <w:rFonts w:ascii="Verdana" w:hAnsi="Verdana"/>
          <w:sz w:val="20"/>
          <w:lang w:val="pt-BR"/>
        </w:rPr>
        <w:t xml:space="preserve">tude </w:t>
      </w:r>
      <w:r w:rsidR="0089298C" w:rsidRPr="002F50BD">
        <w:rPr>
          <w:rFonts w:ascii="Verdana" w:hAnsi="Verdana"/>
          <w:sz w:val="20"/>
          <w:lang w:val="pt-BR"/>
        </w:rPr>
        <w:t>do direito à propriedade</w:t>
      </w:r>
      <w:r w:rsidRPr="002F50BD">
        <w:rPr>
          <w:rFonts w:ascii="Verdana" w:hAnsi="Verdana"/>
          <w:sz w:val="20"/>
          <w:lang w:val="pt-BR"/>
        </w:rPr>
        <w:t xml:space="preserve"> comunal</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Yakye Axa</w:t>
      </w:r>
      <w:r w:rsidR="003B734C">
        <w:rPr>
          <w:rFonts w:ascii="Verdana" w:hAnsi="Verdana"/>
          <w:sz w:val="20"/>
          <w:lang w:val="pt-BR"/>
        </w:rPr>
        <w:t>,</w:t>
      </w:r>
      <w:r w:rsidRPr="002F50BD">
        <w:rPr>
          <w:rFonts w:ascii="Verdana" w:hAnsi="Verdana"/>
          <w:sz w:val="20"/>
          <w:lang w:val="pt-BR"/>
        </w:rPr>
        <w:t xml:space="preserve"> </w:t>
      </w:r>
      <w:r w:rsidR="00646293" w:rsidRPr="002F50BD">
        <w:rPr>
          <w:rFonts w:ascii="Verdana" w:hAnsi="Verdana"/>
          <w:sz w:val="20"/>
          <w:lang w:val="pt-BR"/>
        </w:rPr>
        <w:t xml:space="preserve">bem </w:t>
      </w:r>
      <w:r w:rsidRPr="002F50BD">
        <w:rPr>
          <w:rFonts w:ascii="Verdana" w:hAnsi="Verdana"/>
          <w:sz w:val="20"/>
          <w:lang w:val="pt-BR"/>
        </w:rPr>
        <w:t>como</w:t>
      </w:r>
      <w:r w:rsidR="0089298C" w:rsidRPr="002F50BD">
        <w:rPr>
          <w:rFonts w:ascii="Verdana" w:hAnsi="Verdana"/>
          <w:sz w:val="20"/>
          <w:lang w:val="pt-BR"/>
        </w:rPr>
        <w:t xml:space="preserve"> as </w:t>
      </w:r>
      <w:r w:rsidRPr="002F50BD">
        <w:rPr>
          <w:rFonts w:ascii="Verdana" w:hAnsi="Verdana"/>
          <w:sz w:val="20"/>
          <w:lang w:val="pt-BR"/>
        </w:rPr>
        <w:t>graves condi</w:t>
      </w:r>
      <w:r w:rsidR="0089298C" w:rsidRPr="002F50BD">
        <w:rPr>
          <w:rFonts w:ascii="Verdana" w:hAnsi="Verdana"/>
          <w:sz w:val="20"/>
          <w:lang w:val="pt-BR"/>
        </w:rPr>
        <w:t>ções</w:t>
      </w:r>
      <w:r w:rsidRPr="002F50BD">
        <w:rPr>
          <w:rFonts w:ascii="Verdana" w:hAnsi="Verdana"/>
          <w:sz w:val="20"/>
          <w:lang w:val="pt-BR"/>
        </w:rPr>
        <w:t xml:space="preserve"> de vida</w:t>
      </w:r>
      <w:r w:rsidR="0089298C" w:rsidRPr="002F50BD">
        <w:rPr>
          <w:rFonts w:ascii="Verdana" w:hAnsi="Verdana"/>
          <w:sz w:val="20"/>
          <w:lang w:val="pt-BR"/>
        </w:rPr>
        <w:t xml:space="preserve"> às </w:t>
      </w:r>
      <w:r w:rsidR="00646293" w:rsidRPr="002F50BD">
        <w:rPr>
          <w:rFonts w:ascii="Verdana" w:hAnsi="Verdana"/>
          <w:sz w:val="20"/>
          <w:lang w:val="pt-BR"/>
        </w:rPr>
        <w:t xml:space="preserve">quais foram </w:t>
      </w:r>
      <w:r w:rsidR="0089298C" w:rsidRPr="002F50BD">
        <w:rPr>
          <w:rFonts w:ascii="Verdana" w:hAnsi="Verdana"/>
          <w:sz w:val="20"/>
          <w:lang w:val="pt-BR"/>
        </w:rPr>
        <w:t>submetido</w:t>
      </w:r>
      <w:r w:rsidRPr="002F50BD">
        <w:rPr>
          <w:rFonts w:ascii="Verdana" w:hAnsi="Verdana"/>
          <w:sz w:val="20"/>
          <w:lang w:val="pt-BR"/>
        </w:rPr>
        <w:t>s</w:t>
      </w:r>
      <w:r w:rsidR="00A94B1E" w:rsidRPr="002F50BD">
        <w:rPr>
          <w:rFonts w:ascii="Verdana" w:hAnsi="Verdana"/>
          <w:sz w:val="20"/>
          <w:lang w:val="pt-BR"/>
        </w:rPr>
        <w:t>,</w:t>
      </w:r>
      <w:r w:rsidRPr="002F50BD">
        <w:rPr>
          <w:rFonts w:ascii="Verdana" w:hAnsi="Verdana"/>
          <w:sz w:val="20"/>
          <w:lang w:val="pt-BR"/>
        </w:rPr>
        <w:t xml:space="preserve"> como </w:t>
      </w:r>
      <w:r w:rsidR="0089298C" w:rsidRPr="002F50BD">
        <w:rPr>
          <w:rFonts w:ascii="Verdana" w:hAnsi="Verdana"/>
          <w:sz w:val="20"/>
          <w:lang w:val="pt-BR"/>
        </w:rPr>
        <w:t xml:space="preserve">consequência da </w:t>
      </w:r>
      <w:r w:rsidRPr="002F50BD">
        <w:rPr>
          <w:rFonts w:ascii="Verdana" w:hAnsi="Verdana"/>
          <w:sz w:val="20"/>
          <w:lang w:val="pt-BR"/>
        </w:rPr>
        <w:t>demora estatal</w:t>
      </w:r>
      <w:r w:rsidR="0089298C" w:rsidRPr="002F50BD">
        <w:rPr>
          <w:rFonts w:ascii="Verdana" w:hAnsi="Verdana"/>
          <w:sz w:val="20"/>
          <w:lang w:val="pt-BR"/>
        </w:rPr>
        <w:t xml:space="preserve"> na efeti</w:t>
      </w:r>
      <w:r w:rsidR="0031730D" w:rsidRPr="002F50BD">
        <w:rPr>
          <w:rFonts w:ascii="Verdana" w:hAnsi="Verdana"/>
          <w:sz w:val="20"/>
          <w:lang w:val="pt-BR"/>
        </w:rPr>
        <w:t>v</w:t>
      </w:r>
      <w:r w:rsidRPr="002F50BD">
        <w:rPr>
          <w:rFonts w:ascii="Verdana" w:hAnsi="Verdana"/>
          <w:sz w:val="20"/>
          <w:lang w:val="pt-BR"/>
        </w:rPr>
        <w:t>a</w:t>
      </w:r>
      <w:r w:rsidR="0089298C" w:rsidRPr="002F50BD">
        <w:rPr>
          <w:rFonts w:ascii="Verdana" w:hAnsi="Verdana"/>
          <w:sz w:val="20"/>
          <w:lang w:val="pt-BR"/>
        </w:rPr>
        <w:t>ção</w:t>
      </w:r>
      <w:r w:rsidRPr="002F50BD">
        <w:rPr>
          <w:rFonts w:ascii="Verdana" w:hAnsi="Verdana"/>
          <w:sz w:val="20"/>
          <w:lang w:val="pt-BR"/>
        </w:rPr>
        <w:t xml:space="preserve"> de </w:t>
      </w:r>
      <w:r w:rsidR="0089298C" w:rsidRPr="002F50BD">
        <w:rPr>
          <w:rFonts w:ascii="Verdana" w:hAnsi="Verdana"/>
          <w:sz w:val="20"/>
          <w:lang w:val="pt-BR"/>
        </w:rPr>
        <w:t>seus direitos</w:t>
      </w:r>
      <w:r w:rsidRPr="002F50BD">
        <w:rPr>
          <w:rFonts w:ascii="Verdana" w:hAnsi="Verdana"/>
          <w:sz w:val="20"/>
          <w:lang w:val="pt-BR"/>
        </w:rPr>
        <w:t xml:space="preserve"> </w:t>
      </w:r>
      <w:r w:rsidR="00AB454A" w:rsidRPr="002F50BD">
        <w:rPr>
          <w:rFonts w:ascii="Verdana" w:hAnsi="Verdana"/>
          <w:sz w:val="20"/>
          <w:lang w:val="pt-BR"/>
        </w:rPr>
        <w:t>territoriais</w:t>
      </w:r>
      <w:r w:rsidR="00A94B1E" w:rsidRPr="002F50BD">
        <w:rPr>
          <w:rFonts w:ascii="Verdana" w:hAnsi="Verdana"/>
          <w:sz w:val="20"/>
          <w:lang w:val="pt-BR"/>
        </w:rPr>
        <w:t>,</w:t>
      </w:r>
      <w:r w:rsidRPr="002F50BD">
        <w:rPr>
          <w:rFonts w:ascii="Verdana" w:hAnsi="Verdana"/>
          <w:sz w:val="20"/>
          <w:lang w:val="pt-BR"/>
        </w:rPr>
        <w:t xml:space="preserve"> </w:t>
      </w:r>
      <w:r w:rsidR="0089298C" w:rsidRPr="002F50BD">
        <w:rPr>
          <w:rFonts w:ascii="Verdana" w:hAnsi="Verdana"/>
          <w:sz w:val="20"/>
          <w:lang w:val="pt-BR"/>
        </w:rPr>
        <w:t>devem</w:t>
      </w:r>
      <w:r w:rsidRPr="002F50BD">
        <w:rPr>
          <w:rFonts w:ascii="Verdana" w:hAnsi="Verdana"/>
          <w:sz w:val="20"/>
          <w:lang w:val="pt-BR"/>
        </w:rPr>
        <w:t xml:space="preserve"> ser </w:t>
      </w:r>
      <w:r w:rsidR="004C7A2A" w:rsidRPr="002F50BD">
        <w:rPr>
          <w:rFonts w:ascii="Verdana" w:hAnsi="Verdana"/>
          <w:sz w:val="20"/>
          <w:lang w:val="pt-BR"/>
        </w:rPr>
        <w:t>avalia</w:t>
      </w:r>
      <w:r w:rsidRPr="002F50BD">
        <w:rPr>
          <w:rFonts w:ascii="Verdana" w:hAnsi="Verdana"/>
          <w:sz w:val="20"/>
          <w:lang w:val="pt-BR"/>
        </w:rPr>
        <w:t>das</w:t>
      </w:r>
      <w:r w:rsidR="0089298C" w:rsidRPr="002F50BD">
        <w:rPr>
          <w:rFonts w:ascii="Verdana" w:hAnsi="Verdana"/>
          <w:sz w:val="20"/>
          <w:lang w:val="pt-BR"/>
        </w:rPr>
        <w:t xml:space="preserve"> pela </w:t>
      </w:r>
      <w:r w:rsidRPr="002F50BD">
        <w:rPr>
          <w:rFonts w:ascii="Verdana" w:hAnsi="Verdana"/>
          <w:sz w:val="20"/>
          <w:lang w:val="pt-BR"/>
        </w:rPr>
        <w:t>Corte</w:t>
      </w:r>
      <w:r w:rsidR="0089298C" w:rsidRPr="002F50BD">
        <w:rPr>
          <w:rFonts w:ascii="Verdana" w:hAnsi="Verdana"/>
          <w:sz w:val="20"/>
          <w:lang w:val="pt-BR"/>
        </w:rPr>
        <w:t xml:space="preserve"> </w:t>
      </w:r>
      <w:r w:rsidR="0031730D" w:rsidRPr="002F50BD">
        <w:rPr>
          <w:rFonts w:ascii="Verdana" w:hAnsi="Verdana"/>
          <w:sz w:val="20"/>
          <w:lang w:val="pt-BR"/>
        </w:rPr>
        <w:t>n</w:t>
      </w:r>
      <w:r w:rsidR="0089298C" w:rsidRPr="002F50BD">
        <w:rPr>
          <w:rFonts w:ascii="Verdana" w:hAnsi="Verdana"/>
          <w:sz w:val="20"/>
          <w:lang w:val="pt-BR"/>
        </w:rPr>
        <w:t xml:space="preserve">o </w:t>
      </w:r>
      <w:r w:rsidRPr="002F50BD">
        <w:rPr>
          <w:rFonts w:ascii="Verdana" w:hAnsi="Verdana"/>
          <w:sz w:val="20"/>
          <w:lang w:val="pt-BR"/>
        </w:rPr>
        <w:t xml:space="preserve">momento de </w:t>
      </w:r>
      <w:r w:rsidR="00E350FB" w:rsidRPr="002F50BD">
        <w:rPr>
          <w:rFonts w:ascii="Verdana" w:hAnsi="Verdana"/>
          <w:sz w:val="20"/>
          <w:lang w:val="pt-BR"/>
        </w:rPr>
        <w:t>fixa</w:t>
      </w:r>
      <w:r w:rsidRPr="002F50BD">
        <w:rPr>
          <w:rFonts w:ascii="Verdana" w:hAnsi="Verdana"/>
          <w:sz w:val="20"/>
          <w:lang w:val="pt-BR"/>
        </w:rPr>
        <w:t>r</w:t>
      </w:r>
      <w:r w:rsidR="0089298C" w:rsidRPr="002F50BD">
        <w:rPr>
          <w:rFonts w:ascii="Verdana" w:hAnsi="Verdana"/>
          <w:sz w:val="20"/>
          <w:lang w:val="pt-BR"/>
        </w:rPr>
        <w:t xml:space="preserve"> o dano</w:t>
      </w:r>
      <w:r w:rsidRPr="002F50BD">
        <w:rPr>
          <w:rFonts w:ascii="Verdana" w:hAnsi="Verdana"/>
          <w:sz w:val="20"/>
          <w:lang w:val="pt-BR"/>
        </w:rPr>
        <w:t xml:space="preserve"> </w:t>
      </w:r>
      <w:r w:rsidR="0089298C" w:rsidRPr="002F50BD">
        <w:rPr>
          <w:rFonts w:ascii="Verdana" w:hAnsi="Verdana"/>
          <w:sz w:val="20"/>
          <w:lang w:val="pt-BR"/>
        </w:rPr>
        <w:t>imaterial</w:t>
      </w:r>
      <w:r w:rsidRPr="002F50BD">
        <w:rPr>
          <w:rFonts w:ascii="Verdana" w:hAnsi="Verdana"/>
          <w:sz w:val="20"/>
          <w:lang w:val="pt-BR"/>
        </w:rPr>
        <w:t>.</w:t>
      </w:r>
    </w:p>
    <w:p w:rsidR="004756C1" w:rsidRPr="002F50BD" w:rsidRDefault="004756C1">
      <w:pPr>
        <w:pStyle w:val="BodyText2"/>
        <w:rPr>
          <w:rFonts w:ascii="Verdana" w:hAnsi="Verdana"/>
          <w:sz w:val="20"/>
          <w:lang w:val="pt-BR"/>
        </w:rPr>
      </w:pPr>
    </w:p>
    <w:p w:rsidR="004756C1" w:rsidRPr="002F50BD" w:rsidRDefault="004756C1">
      <w:pPr>
        <w:pStyle w:val="BodyText2"/>
        <w:numPr>
          <w:ilvl w:val="0"/>
          <w:numId w:val="31"/>
        </w:numPr>
        <w:rPr>
          <w:rFonts w:ascii="Verdana" w:hAnsi="Verdana"/>
          <w:sz w:val="20"/>
          <w:lang w:val="pt-BR"/>
        </w:rPr>
      </w:pPr>
      <w:r w:rsidRPr="002F50BD">
        <w:rPr>
          <w:rFonts w:ascii="Verdana" w:hAnsi="Verdana"/>
          <w:sz w:val="20"/>
          <w:lang w:val="pt-BR"/>
        </w:rPr>
        <w:t>De igual forma,</w:t>
      </w:r>
      <w:r w:rsidR="0089298C" w:rsidRPr="002F50BD">
        <w:rPr>
          <w:rFonts w:ascii="Verdana" w:hAnsi="Verdana"/>
          <w:sz w:val="20"/>
          <w:lang w:val="pt-BR"/>
        </w:rPr>
        <w:t xml:space="preserve"> a </w:t>
      </w:r>
      <w:r w:rsidRPr="002F50BD">
        <w:rPr>
          <w:rFonts w:ascii="Verdana" w:hAnsi="Verdana"/>
          <w:sz w:val="20"/>
          <w:lang w:val="pt-BR"/>
        </w:rPr>
        <w:t>Corte observa que</w:t>
      </w:r>
      <w:r w:rsidR="0089298C" w:rsidRPr="002F50BD">
        <w:rPr>
          <w:rFonts w:ascii="Verdana" w:hAnsi="Verdana"/>
          <w:sz w:val="20"/>
          <w:lang w:val="pt-BR"/>
        </w:rPr>
        <w:t xml:space="preserve"> </w:t>
      </w:r>
      <w:r w:rsidR="0031730D" w:rsidRPr="002F50BD">
        <w:rPr>
          <w:rFonts w:ascii="Verdana" w:hAnsi="Verdana"/>
          <w:sz w:val="20"/>
          <w:lang w:val="pt-BR"/>
        </w:rPr>
        <w:t xml:space="preserve">o significado </w:t>
      </w:r>
      <w:r w:rsidRPr="002F50BD">
        <w:rPr>
          <w:rFonts w:ascii="Verdana" w:hAnsi="Verdana"/>
          <w:sz w:val="20"/>
          <w:lang w:val="pt-BR"/>
        </w:rPr>
        <w:t>especial que</w:t>
      </w:r>
      <w:r w:rsidR="0089298C" w:rsidRPr="002F50BD">
        <w:rPr>
          <w:rFonts w:ascii="Verdana" w:hAnsi="Verdana"/>
          <w:sz w:val="20"/>
          <w:lang w:val="pt-BR"/>
        </w:rPr>
        <w:t xml:space="preserve"> a terra</w:t>
      </w:r>
      <w:r w:rsidRPr="002F50BD">
        <w:rPr>
          <w:rFonts w:ascii="Verdana" w:hAnsi="Verdana"/>
          <w:sz w:val="20"/>
          <w:lang w:val="pt-BR"/>
        </w:rPr>
        <w:t xml:space="preserve"> </w:t>
      </w:r>
      <w:r w:rsidR="0089298C" w:rsidRPr="002F50BD">
        <w:rPr>
          <w:rFonts w:ascii="Verdana" w:hAnsi="Verdana"/>
          <w:sz w:val="20"/>
          <w:lang w:val="pt-BR"/>
        </w:rPr>
        <w:t xml:space="preserve">tem </w:t>
      </w:r>
      <w:r w:rsidRPr="002F50BD">
        <w:rPr>
          <w:rFonts w:ascii="Verdana" w:hAnsi="Verdana"/>
          <w:sz w:val="20"/>
          <w:lang w:val="pt-BR"/>
        </w:rPr>
        <w:t>para</w:t>
      </w:r>
      <w:r w:rsidR="0089298C" w:rsidRPr="002F50BD">
        <w:rPr>
          <w:rFonts w:ascii="Verdana" w:hAnsi="Verdana"/>
          <w:sz w:val="20"/>
          <w:lang w:val="pt-BR"/>
        </w:rPr>
        <w:t xml:space="preserve"> os povo</w:t>
      </w:r>
      <w:r w:rsidRPr="002F50BD">
        <w:rPr>
          <w:rFonts w:ascii="Verdana" w:hAnsi="Verdana"/>
          <w:sz w:val="20"/>
          <w:lang w:val="pt-BR"/>
        </w:rPr>
        <w:t>s indígenas</w:t>
      </w:r>
      <w:r w:rsidR="00F57DCA" w:rsidRPr="002F50BD">
        <w:rPr>
          <w:rFonts w:ascii="Verdana" w:hAnsi="Verdana"/>
          <w:sz w:val="20"/>
          <w:lang w:val="pt-BR"/>
        </w:rPr>
        <w:t>,</w:t>
      </w:r>
      <w:r w:rsidR="0089298C" w:rsidRPr="002F50BD">
        <w:rPr>
          <w:rFonts w:ascii="Verdana" w:hAnsi="Verdana"/>
          <w:sz w:val="20"/>
          <w:lang w:val="pt-BR"/>
        </w:rPr>
        <w:t xml:space="preserve"> em geral, e</w:t>
      </w:r>
      <w:r w:rsidRPr="002F50BD">
        <w:rPr>
          <w:rFonts w:ascii="Verdana" w:hAnsi="Verdana"/>
          <w:sz w:val="20"/>
          <w:lang w:val="pt-BR"/>
        </w:rPr>
        <w:t xml:space="preserve"> para</w:t>
      </w:r>
      <w:r w:rsidR="0089298C" w:rsidRPr="002F50BD">
        <w:rPr>
          <w:rFonts w:ascii="Verdana" w:hAnsi="Verdana"/>
          <w:sz w:val="20"/>
          <w:lang w:val="pt-BR"/>
        </w:rPr>
        <w:t xml:space="preserve"> a Comunidade </w:t>
      </w:r>
      <w:r w:rsidRPr="002F50BD">
        <w:rPr>
          <w:rFonts w:ascii="Verdana" w:hAnsi="Verdana"/>
          <w:sz w:val="20"/>
          <w:lang w:val="pt-BR"/>
        </w:rPr>
        <w:t>Yakye Axa</w:t>
      </w:r>
      <w:r w:rsidR="00F57DCA"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 xml:space="preserve">particular </w:t>
      </w:r>
      <w:r w:rsidR="00CF451D" w:rsidRPr="00CF451D">
        <w:rPr>
          <w:rFonts w:ascii="Verdana" w:hAnsi="Verdana"/>
          <w:sz w:val="20"/>
          <w:lang w:val="pt-BR"/>
        </w:rPr>
        <w:t>(</w:t>
      </w:r>
      <w:r w:rsidR="0089298C" w:rsidRPr="002F50BD">
        <w:rPr>
          <w:rFonts w:ascii="Verdana" w:hAnsi="Verdana"/>
          <w:sz w:val="20"/>
          <w:lang w:val="pt-BR"/>
        </w:rPr>
        <w:t>par.</w:t>
      </w:r>
      <w:r w:rsidRPr="002F50BD">
        <w:rPr>
          <w:rFonts w:ascii="Verdana" w:hAnsi="Verdana"/>
          <w:sz w:val="20"/>
          <w:lang w:val="pt-BR"/>
        </w:rPr>
        <w:t xml:space="preserve"> </w:t>
      </w:r>
      <w:r w:rsidR="00063B47" w:rsidRPr="002F50BD">
        <w:rPr>
          <w:rFonts w:ascii="Verdana" w:hAnsi="Verdana"/>
          <w:sz w:val="20"/>
          <w:lang w:val="pt-BR"/>
        </w:rPr>
        <w:t>137</w:t>
      </w:r>
      <w:r w:rsidR="0089298C" w:rsidRPr="002F50BD">
        <w:rPr>
          <w:rFonts w:ascii="Verdana" w:hAnsi="Verdana"/>
          <w:sz w:val="20"/>
          <w:lang w:val="pt-BR"/>
        </w:rPr>
        <w:t xml:space="preserve"> e </w:t>
      </w:r>
      <w:r w:rsidR="00063B47" w:rsidRPr="002F50BD">
        <w:rPr>
          <w:rFonts w:ascii="Verdana" w:hAnsi="Verdana"/>
          <w:sz w:val="20"/>
          <w:lang w:val="pt-BR"/>
        </w:rPr>
        <w:t>154</w:t>
      </w:r>
      <w:r w:rsidR="0031730D" w:rsidRPr="002F50BD">
        <w:rPr>
          <w:rFonts w:ascii="Verdana" w:hAnsi="Verdana"/>
          <w:i/>
          <w:sz w:val="20"/>
          <w:lang w:val="pt-BR"/>
        </w:rPr>
        <w:t xml:space="preserve"> supra</w:t>
      </w:r>
      <w:r w:rsidR="00CF451D" w:rsidRPr="00CF451D">
        <w:rPr>
          <w:rFonts w:ascii="Verdana" w:hAnsi="Verdana"/>
          <w:sz w:val="20"/>
          <w:lang w:val="pt-BR"/>
        </w:rPr>
        <w:t>)</w:t>
      </w:r>
      <w:r w:rsidRPr="002F50BD">
        <w:rPr>
          <w:rFonts w:ascii="Verdana" w:hAnsi="Verdana"/>
          <w:sz w:val="20"/>
          <w:lang w:val="pt-BR"/>
        </w:rPr>
        <w:t>, implica que toda nega</w:t>
      </w:r>
      <w:r w:rsidR="0089298C" w:rsidRPr="002F50BD">
        <w:rPr>
          <w:rFonts w:ascii="Verdana" w:hAnsi="Verdana"/>
          <w:sz w:val="20"/>
          <w:lang w:val="pt-BR"/>
        </w:rPr>
        <w:t>ção ao</w:t>
      </w:r>
      <w:r w:rsidR="00385366" w:rsidRPr="002F50BD">
        <w:rPr>
          <w:rFonts w:ascii="Verdana" w:hAnsi="Verdana"/>
          <w:sz w:val="20"/>
          <w:lang w:val="pt-BR"/>
        </w:rPr>
        <w:t xml:space="preserve"> gozo </w:t>
      </w:r>
      <w:r w:rsidRPr="002F50BD">
        <w:rPr>
          <w:rFonts w:ascii="Verdana" w:hAnsi="Verdana"/>
          <w:sz w:val="20"/>
          <w:lang w:val="pt-BR"/>
        </w:rPr>
        <w:t>o</w:t>
      </w:r>
      <w:r w:rsidR="0031730D" w:rsidRPr="002F50BD">
        <w:rPr>
          <w:rFonts w:ascii="Verdana" w:hAnsi="Verdana"/>
          <w:sz w:val="20"/>
          <w:lang w:val="pt-BR"/>
        </w:rPr>
        <w:t>u</w:t>
      </w:r>
      <w:r w:rsidRPr="002F50BD">
        <w:rPr>
          <w:rFonts w:ascii="Verdana" w:hAnsi="Verdana"/>
          <w:sz w:val="20"/>
          <w:lang w:val="pt-BR"/>
        </w:rPr>
        <w:t xml:space="preserve"> </w:t>
      </w:r>
      <w:r w:rsidR="0089298C" w:rsidRPr="002F50BD">
        <w:rPr>
          <w:rFonts w:ascii="Verdana" w:hAnsi="Verdana"/>
          <w:sz w:val="20"/>
          <w:lang w:val="pt-BR"/>
        </w:rPr>
        <w:t>exercício dos direito</w:t>
      </w:r>
      <w:r w:rsidRPr="002F50BD">
        <w:rPr>
          <w:rFonts w:ascii="Verdana" w:hAnsi="Verdana"/>
          <w:sz w:val="20"/>
          <w:lang w:val="pt-BR"/>
        </w:rPr>
        <w:t xml:space="preserve">s </w:t>
      </w:r>
      <w:r w:rsidR="00AB454A" w:rsidRPr="002F50BD">
        <w:rPr>
          <w:rFonts w:ascii="Verdana" w:hAnsi="Verdana"/>
          <w:sz w:val="20"/>
          <w:lang w:val="pt-BR"/>
        </w:rPr>
        <w:t>territoriais</w:t>
      </w:r>
      <w:r w:rsidRPr="002F50BD">
        <w:rPr>
          <w:rFonts w:ascii="Verdana" w:hAnsi="Verdana"/>
          <w:sz w:val="20"/>
          <w:lang w:val="pt-BR"/>
        </w:rPr>
        <w:t xml:space="preserve"> </w:t>
      </w:r>
      <w:r w:rsidR="0031730D" w:rsidRPr="002F50BD">
        <w:rPr>
          <w:rFonts w:ascii="Verdana" w:hAnsi="Verdana"/>
          <w:sz w:val="20"/>
          <w:lang w:val="pt-BR"/>
        </w:rPr>
        <w:t xml:space="preserve">acarreta o enfraquecimento </w:t>
      </w:r>
      <w:r w:rsidRPr="002F50BD">
        <w:rPr>
          <w:rFonts w:ascii="Verdana" w:hAnsi="Verdana"/>
          <w:sz w:val="20"/>
          <w:lang w:val="pt-BR"/>
        </w:rPr>
        <w:t xml:space="preserve">de valores </w:t>
      </w:r>
      <w:r w:rsidR="0089298C" w:rsidRPr="002F50BD">
        <w:rPr>
          <w:rFonts w:ascii="Verdana" w:hAnsi="Verdana"/>
          <w:sz w:val="20"/>
          <w:lang w:val="pt-BR"/>
        </w:rPr>
        <w:t>muito</w:t>
      </w:r>
      <w:r w:rsidRPr="002F50BD">
        <w:rPr>
          <w:rFonts w:ascii="Verdana" w:hAnsi="Verdana"/>
          <w:sz w:val="20"/>
          <w:lang w:val="pt-BR"/>
        </w:rPr>
        <w:t xml:space="preserve"> representativos para</w:t>
      </w:r>
      <w:r w:rsidR="0089298C" w:rsidRPr="002F50BD">
        <w:rPr>
          <w:rFonts w:ascii="Verdana" w:hAnsi="Verdana"/>
          <w:sz w:val="20"/>
          <w:lang w:val="pt-BR"/>
        </w:rPr>
        <w:t xml:space="preserve"> os membro</w:t>
      </w:r>
      <w:r w:rsidRPr="002F50BD">
        <w:rPr>
          <w:rFonts w:ascii="Verdana" w:hAnsi="Verdana"/>
          <w:sz w:val="20"/>
          <w:lang w:val="pt-BR"/>
        </w:rPr>
        <w:t xml:space="preserve">s </w:t>
      </w:r>
      <w:r w:rsidR="0089298C" w:rsidRPr="002F50BD">
        <w:rPr>
          <w:rFonts w:ascii="Verdana" w:hAnsi="Verdana"/>
          <w:sz w:val="20"/>
          <w:lang w:val="pt-BR"/>
        </w:rPr>
        <w:t>deste</w:t>
      </w:r>
      <w:r w:rsidRPr="002F50BD">
        <w:rPr>
          <w:rFonts w:ascii="Verdana" w:hAnsi="Verdana"/>
          <w:sz w:val="20"/>
          <w:lang w:val="pt-BR"/>
        </w:rPr>
        <w:t xml:space="preserve">s </w:t>
      </w:r>
      <w:r w:rsidR="0089298C" w:rsidRPr="002F50BD">
        <w:rPr>
          <w:rFonts w:ascii="Verdana" w:hAnsi="Verdana"/>
          <w:sz w:val="20"/>
          <w:lang w:val="pt-BR"/>
        </w:rPr>
        <w:t>povo</w:t>
      </w:r>
      <w:r w:rsidRPr="002F50BD">
        <w:rPr>
          <w:rFonts w:ascii="Verdana" w:hAnsi="Verdana"/>
          <w:sz w:val="20"/>
          <w:lang w:val="pt-BR"/>
        </w:rPr>
        <w:t xml:space="preserve">s, </w:t>
      </w:r>
      <w:r w:rsidR="00754117" w:rsidRPr="002F50BD">
        <w:rPr>
          <w:rFonts w:ascii="Verdana" w:hAnsi="Verdana"/>
          <w:sz w:val="20"/>
          <w:lang w:val="pt-BR"/>
        </w:rPr>
        <w:t>que</w:t>
      </w:r>
      <w:r w:rsidRPr="002F50BD">
        <w:rPr>
          <w:rFonts w:ascii="Verdana" w:hAnsi="Verdana"/>
          <w:sz w:val="20"/>
          <w:lang w:val="pt-BR"/>
        </w:rPr>
        <w:t xml:space="preserve"> corr</w:t>
      </w:r>
      <w:r w:rsidR="0031730D" w:rsidRPr="002F50BD">
        <w:rPr>
          <w:rFonts w:ascii="Verdana" w:hAnsi="Verdana"/>
          <w:sz w:val="20"/>
          <w:lang w:val="pt-BR"/>
        </w:rPr>
        <w:t xml:space="preserve">em o </w:t>
      </w:r>
      <w:r w:rsidR="0089298C" w:rsidRPr="002F50BD">
        <w:rPr>
          <w:rFonts w:ascii="Verdana" w:hAnsi="Verdana"/>
          <w:sz w:val="20"/>
          <w:lang w:val="pt-BR"/>
        </w:rPr>
        <w:t>perigo</w:t>
      </w:r>
      <w:r w:rsidRPr="002F50BD">
        <w:rPr>
          <w:rFonts w:ascii="Verdana" w:hAnsi="Verdana"/>
          <w:sz w:val="20"/>
          <w:lang w:val="pt-BR"/>
        </w:rPr>
        <w:t xml:space="preserve"> de perder o</w:t>
      </w:r>
      <w:r w:rsidR="0031730D" w:rsidRPr="002F50BD">
        <w:rPr>
          <w:rFonts w:ascii="Verdana" w:hAnsi="Verdana"/>
          <w:sz w:val="20"/>
          <w:lang w:val="pt-BR"/>
        </w:rPr>
        <w:t>u</w:t>
      </w:r>
      <w:r w:rsidRPr="002F50BD">
        <w:rPr>
          <w:rFonts w:ascii="Verdana" w:hAnsi="Verdana"/>
          <w:sz w:val="20"/>
          <w:lang w:val="pt-BR"/>
        </w:rPr>
        <w:t xml:space="preserve"> </w:t>
      </w:r>
      <w:r w:rsidR="0089298C" w:rsidRPr="002F50BD">
        <w:rPr>
          <w:rFonts w:ascii="Verdana" w:hAnsi="Verdana"/>
          <w:sz w:val="20"/>
          <w:lang w:val="pt-BR"/>
        </w:rPr>
        <w:t>sofrer</w:t>
      </w:r>
      <w:r w:rsidRPr="002F50BD">
        <w:rPr>
          <w:rFonts w:ascii="Verdana" w:hAnsi="Verdana"/>
          <w:sz w:val="20"/>
          <w:lang w:val="pt-BR"/>
        </w:rPr>
        <w:t xml:space="preserve"> d</w:t>
      </w:r>
      <w:r w:rsidR="0089298C" w:rsidRPr="002F50BD">
        <w:rPr>
          <w:rFonts w:ascii="Verdana" w:hAnsi="Verdana"/>
          <w:sz w:val="20"/>
          <w:lang w:val="pt-BR"/>
        </w:rPr>
        <w:t>anos</w:t>
      </w:r>
      <w:r w:rsidRPr="002F50BD">
        <w:rPr>
          <w:rFonts w:ascii="Verdana" w:hAnsi="Verdana"/>
          <w:sz w:val="20"/>
          <w:lang w:val="pt-BR"/>
        </w:rPr>
        <w:t xml:space="preserve"> irrepar</w:t>
      </w:r>
      <w:r w:rsidR="0089298C" w:rsidRPr="002F50BD">
        <w:rPr>
          <w:rFonts w:ascii="Verdana" w:hAnsi="Verdana"/>
          <w:sz w:val="20"/>
          <w:lang w:val="pt-BR"/>
        </w:rPr>
        <w:t>áveis em sua vida</w:t>
      </w:r>
      <w:r w:rsidRPr="002F50BD">
        <w:rPr>
          <w:rFonts w:ascii="Verdana" w:hAnsi="Verdana"/>
          <w:sz w:val="20"/>
          <w:lang w:val="pt-BR"/>
        </w:rPr>
        <w:t xml:space="preserve"> e </w:t>
      </w:r>
      <w:r w:rsidR="0089298C" w:rsidRPr="002F50BD">
        <w:rPr>
          <w:rFonts w:ascii="Verdana" w:hAnsi="Verdana"/>
          <w:sz w:val="20"/>
          <w:lang w:val="pt-BR"/>
        </w:rPr>
        <w:t xml:space="preserve">identidade </w:t>
      </w:r>
      <w:r w:rsidRPr="002F50BD">
        <w:rPr>
          <w:rFonts w:ascii="Verdana" w:hAnsi="Verdana"/>
          <w:sz w:val="20"/>
          <w:lang w:val="pt-BR"/>
        </w:rPr>
        <w:t>cultural</w:t>
      </w:r>
      <w:r w:rsidR="0089298C" w:rsidRPr="002F50BD">
        <w:rPr>
          <w:rFonts w:ascii="Verdana" w:hAnsi="Verdana"/>
          <w:sz w:val="20"/>
          <w:lang w:val="pt-BR"/>
        </w:rPr>
        <w:t xml:space="preserve"> e no </w:t>
      </w:r>
      <w:r w:rsidR="004076AD" w:rsidRPr="002F50BD">
        <w:rPr>
          <w:rFonts w:ascii="Verdana" w:hAnsi="Verdana"/>
          <w:sz w:val="20"/>
          <w:lang w:val="pt-BR"/>
        </w:rPr>
        <w:t>patrimônio</w:t>
      </w:r>
      <w:r w:rsidRPr="002F50BD">
        <w:rPr>
          <w:rFonts w:ascii="Verdana" w:hAnsi="Verdana"/>
          <w:sz w:val="20"/>
          <w:lang w:val="pt-BR"/>
        </w:rPr>
        <w:t xml:space="preserve"> cultural a </w:t>
      </w:r>
      <w:r w:rsidR="00754117" w:rsidRPr="002F50BD">
        <w:rPr>
          <w:rFonts w:ascii="Verdana" w:hAnsi="Verdana"/>
          <w:sz w:val="20"/>
          <w:lang w:val="pt-BR"/>
        </w:rPr>
        <w:t xml:space="preserve">ser </w:t>
      </w:r>
      <w:r w:rsidRPr="002F50BD">
        <w:rPr>
          <w:rFonts w:ascii="Verdana" w:hAnsi="Verdana"/>
          <w:sz w:val="20"/>
          <w:lang w:val="pt-BR"/>
        </w:rPr>
        <w:t>transmiti</w:t>
      </w:r>
      <w:r w:rsidR="00754117" w:rsidRPr="002F50BD">
        <w:rPr>
          <w:rFonts w:ascii="Verdana" w:hAnsi="Verdana"/>
          <w:sz w:val="20"/>
          <w:lang w:val="pt-BR"/>
        </w:rPr>
        <w:t>do</w:t>
      </w:r>
      <w:r w:rsidR="0089298C" w:rsidRPr="002F50BD">
        <w:rPr>
          <w:rFonts w:ascii="Verdana" w:hAnsi="Verdana"/>
          <w:sz w:val="20"/>
          <w:lang w:val="pt-BR"/>
        </w:rPr>
        <w:t xml:space="preserve"> às </w:t>
      </w:r>
      <w:r w:rsidRPr="002F50BD">
        <w:rPr>
          <w:rFonts w:ascii="Verdana" w:hAnsi="Verdana"/>
          <w:sz w:val="20"/>
          <w:lang w:val="pt-BR"/>
        </w:rPr>
        <w:t xml:space="preserve">futuras </w:t>
      </w:r>
      <w:r w:rsidR="0099023E" w:rsidRPr="002F50BD">
        <w:rPr>
          <w:rFonts w:ascii="Verdana" w:hAnsi="Verdana"/>
          <w:sz w:val="20"/>
          <w:lang w:val="pt-BR"/>
        </w:rPr>
        <w:t>gerações</w:t>
      </w:r>
      <w:r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pStyle w:val="BodyText2"/>
        <w:rPr>
          <w:rFonts w:ascii="Verdana" w:hAnsi="Verdana"/>
          <w:sz w:val="20"/>
          <w:lang w:val="pt-BR"/>
        </w:rPr>
      </w:pPr>
    </w:p>
    <w:p w:rsidR="004756C1" w:rsidRPr="002F50BD" w:rsidRDefault="0031730D">
      <w:pPr>
        <w:pStyle w:val="BodyText2"/>
        <w:numPr>
          <w:ilvl w:val="0"/>
          <w:numId w:val="31"/>
        </w:numPr>
        <w:rPr>
          <w:rFonts w:ascii="Verdana" w:hAnsi="Verdana"/>
          <w:lang w:val="pt-BR"/>
        </w:rPr>
      </w:pPr>
      <w:r w:rsidRPr="002F50BD">
        <w:rPr>
          <w:rFonts w:ascii="Verdana" w:hAnsi="Verdana"/>
          <w:sz w:val="20"/>
          <w:lang w:val="pt-BR"/>
        </w:rPr>
        <w:t>Além disso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toma </w:t>
      </w:r>
      <w:r w:rsidR="00063B47" w:rsidRPr="002F50BD">
        <w:rPr>
          <w:rFonts w:ascii="Verdana" w:hAnsi="Verdana"/>
          <w:sz w:val="20"/>
          <w:lang w:val="pt-BR"/>
        </w:rPr>
        <w:t xml:space="preserve">nota </w:t>
      </w:r>
      <w:r w:rsidRPr="002F50BD">
        <w:rPr>
          <w:rFonts w:ascii="Verdana" w:hAnsi="Verdana"/>
          <w:sz w:val="20"/>
          <w:lang w:val="pt-BR"/>
        </w:rPr>
        <w:t xml:space="preserve">de </w:t>
      </w:r>
      <w:r w:rsidR="004756C1" w:rsidRPr="002F50BD">
        <w:rPr>
          <w:rFonts w:ascii="Verdana" w:hAnsi="Verdana"/>
          <w:sz w:val="20"/>
          <w:lang w:val="pt-BR"/>
        </w:rPr>
        <w:t>que</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 xml:space="preserve">acatou </w:t>
      </w:r>
      <w:r w:rsidR="004756C1" w:rsidRPr="002F50BD">
        <w:rPr>
          <w:rFonts w:ascii="Verdana" w:hAnsi="Verdana"/>
          <w:sz w:val="20"/>
          <w:lang w:val="pt-BR"/>
        </w:rPr>
        <w:t>parcialmente</w:t>
      </w:r>
      <w:r w:rsidR="0089298C" w:rsidRPr="002F50BD">
        <w:rPr>
          <w:rFonts w:ascii="Verdana" w:hAnsi="Verdana"/>
          <w:sz w:val="20"/>
          <w:lang w:val="pt-BR"/>
        </w:rPr>
        <w:t xml:space="preserve"> </w:t>
      </w:r>
      <w:r w:rsidRPr="002F50BD">
        <w:rPr>
          <w:rFonts w:ascii="Verdana" w:hAnsi="Verdana"/>
          <w:sz w:val="20"/>
          <w:lang w:val="pt-BR"/>
        </w:rPr>
        <w:t>a</w:t>
      </w:r>
      <w:r w:rsidR="0089298C" w:rsidRPr="002F50BD">
        <w:rPr>
          <w:rFonts w:ascii="Verdana" w:hAnsi="Verdana"/>
          <w:sz w:val="20"/>
          <w:lang w:val="pt-BR"/>
        </w:rPr>
        <w:t xml:space="preserve"> pretensão dos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das vítima</w:t>
      </w:r>
      <w:r w:rsidR="004756C1" w:rsidRPr="002F50BD">
        <w:rPr>
          <w:rFonts w:ascii="Verdana" w:hAnsi="Verdana"/>
          <w:sz w:val="20"/>
          <w:lang w:val="pt-BR"/>
        </w:rPr>
        <w:t xml:space="preserve">s </w:t>
      </w:r>
      <w:r w:rsidR="0089298C" w:rsidRPr="002F50BD">
        <w:rPr>
          <w:rFonts w:ascii="Verdana" w:hAnsi="Verdana"/>
          <w:sz w:val="20"/>
          <w:lang w:val="pt-BR"/>
        </w:rPr>
        <w:t xml:space="preserve">a respeito da garantia </w:t>
      </w:r>
      <w:r w:rsidR="004756C1" w:rsidRPr="002F50BD">
        <w:rPr>
          <w:rFonts w:ascii="Verdana" w:hAnsi="Verdana"/>
          <w:sz w:val="20"/>
          <w:lang w:val="pt-BR"/>
        </w:rPr>
        <w:t xml:space="preserve">de </w:t>
      </w:r>
      <w:r w:rsidR="0089298C" w:rsidRPr="002F50BD">
        <w:rPr>
          <w:rFonts w:ascii="Verdana" w:hAnsi="Verdana"/>
          <w:sz w:val="20"/>
          <w:lang w:val="pt-BR"/>
        </w:rPr>
        <w:t>desenvolvimento</w:t>
      </w:r>
      <w:r w:rsidR="004756C1" w:rsidRPr="002F50BD">
        <w:rPr>
          <w:rFonts w:ascii="Verdana" w:hAnsi="Verdana"/>
          <w:sz w:val="20"/>
          <w:lang w:val="pt-BR"/>
        </w:rPr>
        <w:t xml:space="preserve"> </w:t>
      </w:r>
      <w:r w:rsidR="0089298C" w:rsidRPr="002F50BD">
        <w:rPr>
          <w:rFonts w:ascii="Verdana" w:hAnsi="Verdana"/>
          <w:sz w:val="20"/>
          <w:lang w:val="pt-BR"/>
        </w:rPr>
        <w:t>progressiv</w:t>
      </w:r>
      <w:r w:rsidR="004756C1" w:rsidRPr="002F50BD">
        <w:rPr>
          <w:rFonts w:ascii="Verdana" w:hAnsi="Verdana"/>
          <w:sz w:val="20"/>
          <w:lang w:val="pt-BR"/>
        </w:rPr>
        <w:t>o</w:t>
      </w:r>
      <w:r w:rsidR="0089298C" w:rsidRPr="002F50BD">
        <w:rPr>
          <w:rFonts w:ascii="Verdana" w:hAnsi="Verdana"/>
          <w:sz w:val="20"/>
          <w:lang w:val="pt-BR"/>
        </w:rPr>
        <w:t xml:space="preserve"> dos 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sociais e culturais</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a</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26</w:t>
      </w:r>
      <w:r w:rsidR="0089298C" w:rsidRPr="002F50BD">
        <w:rPr>
          <w:rFonts w:ascii="Verdana" w:hAnsi="Verdana"/>
          <w:sz w:val="20"/>
          <w:lang w:val="pt-BR"/>
        </w:rPr>
        <w:t xml:space="preserve"> da </w:t>
      </w:r>
      <w:r w:rsidR="004756C1" w:rsidRPr="003B734C">
        <w:rPr>
          <w:rFonts w:ascii="Verdana" w:hAnsi="Verdana"/>
          <w:sz w:val="20"/>
          <w:lang w:val="pt-BR"/>
        </w:rPr>
        <w:t>Conven</w:t>
      </w:r>
      <w:r w:rsidR="0089298C" w:rsidRPr="003B734C">
        <w:rPr>
          <w:rFonts w:ascii="Verdana" w:hAnsi="Verdana"/>
          <w:sz w:val="20"/>
          <w:lang w:val="pt-BR"/>
        </w:rPr>
        <w:t>ção</w:t>
      </w:r>
      <w:r w:rsidR="004756C1" w:rsidRPr="003B734C">
        <w:rPr>
          <w:rFonts w:ascii="Verdana" w:hAnsi="Verdana"/>
          <w:sz w:val="20"/>
          <w:lang w:val="pt-BR"/>
        </w:rPr>
        <w:t xml:space="preserve"> Americana, </w:t>
      </w:r>
      <w:r w:rsidR="0089298C" w:rsidRPr="003B734C">
        <w:rPr>
          <w:rFonts w:ascii="Verdana" w:hAnsi="Verdana"/>
          <w:sz w:val="20"/>
          <w:lang w:val="pt-BR"/>
        </w:rPr>
        <w:t xml:space="preserve">mas com a </w:t>
      </w:r>
      <w:r w:rsidRPr="003B734C">
        <w:rPr>
          <w:rFonts w:ascii="Verdana" w:hAnsi="Verdana"/>
          <w:sz w:val="20"/>
          <w:lang w:val="pt-BR"/>
        </w:rPr>
        <w:t xml:space="preserve">exceção </w:t>
      </w:r>
      <w:r w:rsidR="004756C1" w:rsidRPr="003B734C">
        <w:rPr>
          <w:rFonts w:ascii="Verdana" w:hAnsi="Verdana"/>
          <w:sz w:val="20"/>
          <w:lang w:val="pt-BR"/>
        </w:rPr>
        <w:t>de que</w:t>
      </w:r>
      <w:r w:rsidR="0089298C" w:rsidRPr="003B734C">
        <w:rPr>
          <w:rFonts w:ascii="Verdana" w:hAnsi="Verdana"/>
          <w:sz w:val="20"/>
          <w:lang w:val="pt-BR"/>
        </w:rPr>
        <w:t xml:space="preserve"> ele</w:t>
      </w:r>
      <w:r w:rsidR="004756C1" w:rsidRPr="003B734C">
        <w:rPr>
          <w:rFonts w:ascii="Verdana" w:hAnsi="Verdana"/>
          <w:sz w:val="20"/>
          <w:lang w:val="pt-BR"/>
        </w:rPr>
        <w:t xml:space="preserve"> se v</w:t>
      </w:r>
      <w:r w:rsidRPr="003B734C">
        <w:rPr>
          <w:rFonts w:ascii="Verdana" w:hAnsi="Verdana"/>
          <w:sz w:val="20"/>
          <w:lang w:val="pt-BR"/>
        </w:rPr>
        <w:t>ê</w:t>
      </w:r>
      <w:r w:rsidR="004756C1" w:rsidRPr="003B734C">
        <w:rPr>
          <w:rFonts w:ascii="Verdana" w:hAnsi="Verdana"/>
          <w:sz w:val="20"/>
          <w:lang w:val="pt-BR"/>
        </w:rPr>
        <w:t xml:space="preserve"> sensi</w:t>
      </w:r>
      <w:r w:rsidR="0089298C" w:rsidRPr="003B734C">
        <w:rPr>
          <w:rFonts w:ascii="Verdana" w:hAnsi="Verdana"/>
          <w:sz w:val="20"/>
          <w:lang w:val="pt-BR"/>
        </w:rPr>
        <w:t>velmente afeta</w:t>
      </w:r>
      <w:r w:rsidR="004756C1" w:rsidRPr="003B734C">
        <w:rPr>
          <w:rFonts w:ascii="Verdana" w:hAnsi="Verdana"/>
          <w:sz w:val="20"/>
          <w:lang w:val="pt-BR"/>
        </w:rPr>
        <w:t>do</w:t>
      </w:r>
      <w:r w:rsidR="0089298C" w:rsidRPr="003B734C">
        <w:rPr>
          <w:rFonts w:ascii="Verdana" w:hAnsi="Verdana"/>
          <w:sz w:val="20"/>
          <w:lang w:val="pt-BR"/>
        </w:rPr>
        <w:t xml:space="preserve"> pelas </w:t>
      </w:r>
      <w:r w:rsidR="004756C1" w:rsidRPr="003B734C">
        <w:rPr>
          <w:rFonts w:ascii="Verdana" w:hAnsi="Verdana"/>
          <w:sz w:val="20"/>
          <w:lang w:val="pt-BR"/>
        </w:rPr>
        <w:t>limita</w:t>
      </w:r>
      <w:r w:rsidR="0089298C" w:rsidRPr="003B734C">
        <w:rPr>
          <w:rFonts w:ascii="Verdana" w:hAnsi="Verdana"/>
          <w:sz w:val="20"/>
          <w:lang w:val="pt-BR"/>
        </w:rPr>
        <w:t>ções</w:t>
      </w:r>
      <w:r w:rsidR="00AB454A" w:rsidRPr="003B734C">
        <w:rPr>
          <w:rFonts w:ascii="Verdana" w:hAnsi="Verdana"/>
          <w:sz w:val="20"/>
          <w:lang w:val="pt-BR"/>
        </w:rPr>
        <w:t xml:space="preserve"> própria</w:t>
      </w:r>
      <w:r w:rsidR="004756C1" w:rsidRPr="003B734C">
        <w:rPr>
          <w:rFonts w:ascii="Verdana" w:hAnsi="Verdana"/>
          <w:sz w:val="20"/>
          <w:lang w:val="pt-BR"/>
        </w:rPr>
        <w:t xml:space="preserve">s </w:t>
      </w:r>
      <w:r w:rsidR="0089298C" w:rsidRPr="003B734C">
        <w:rPr>
          <w:rFonts w:ascii="Verdana" w:hAnsi="Verdana"/>
          <w:sz w:val="20"/>
          <w:lang w:val="pt-BR"/>
        </w:rPr>
        <w:t xml:space="preserve">do Paraguai em </w:t>
      </w:r>
      <w:r w:rsidR="004756C1" w:rsidRPr="003B734C">
        <w:rPr>
          <w:rFonts w:ascii="Verdana" w:hAnsi="Verdana"/>
          <w:sz w:val="20"/>
          <w:lang w:val="pt-BR"/>
        </w:rPr>
        <w:t>su</w:t>
      </w:r>
      <w:r w:rsidRPr="003B734C">
        <w:rPr>
          <w:rFonts w:ascii="Verdana" w:hAnsi="Verdana"/>
          <w:sz w:val="20"/>
          <w:lang w:val="pt-BR"/>
        </w:rPr>
        <w:t>a</w:t>
      </w:r>
      <w:r w:rsidR="004756C1" w:rsidRPr="003B734C">
        <w:rPr>
          <w:rFonts w:ascii="Verdana" w:hAnsi="Verdana"/>
          <w:sz w:val="20"/>
          <w:lang w:val="pt-BR"/>
        </w:rPr>
        <w:t xml:space="preserve"> condi</w:t>
      </w:r>
      <w:r w:rsidR="0089298C" w:rsidRPr="003B734C">
        <w:rPr>
          <w:rFonts w:ascii="Verdana" w:hAnsi="Verdana"/>
          <w:sz w:val="20"/>
          <w:lang w:val="pt-BR"/>
        </w:rPr>
        <w:t>ção</w:t>
      </w:r>
      <w:r w:rsidR="004756C1" w:rsidRPr="003B734C">
        <w:rPr>
          <w:rFonts w:ascii="Verdana" w:hAnsi="Verdana"/>
          <w:sz w:val="20"/>
          <w:lang w:val="pt-BR"/>
        </w:rPr>
        <w:t xml:space="preserve"> de país de menor </w:t>
      </w:r>
      <w:r w:rsidR="0089298C" w:rsidRPr="003B734C">
        <w:rPr>
          <w:rFonts w:ascii="Verdana" w:hAnsi="Verdana"/>
          <w:sz w:val="20"/>
          <w:lang w:val="pt-BR"/>
        </w:rPr>
        <w:t>desenvolvimento</w:t>
      </w:r>
      <w:r w:rsidR="004756C1" w:rsidRPr="003B734C">
        <w:rPr>
          <w:rFonts w:ascii="Verdana" w:hAnsi="Verdana"/>
          <w:sz w:val="20"/>
          <w:lang w:val="pt-BR"/>
        </w:rPr>
        <w:t xml:space="preserve"> relativo</w:t>
      </w:r>
      <w:r w:rsidR="0089298C" w:rsidRPr="003B734C">
        <w:rPr>
          <w:rFonts w:ascii="Verdana" w:hAnsi="Verdana"/>
          <w:sz w:val="20"/>
          <w:lang w:val="pt-BR"/>
        </w:rPr>
        <w:t xml:space="preserve"> e pelas </w:t>
      </w:r>
      <w:r w:rsidR="004756C1" w:rsidRPr="003B734C">
        <w:rPr>
          <w:rFonts w:ascii="Verdana" w:hAnsi="Verdana"/>
          <w:sz w:val="20"/>
          <w:lang w:val="pt-BR"/>
        </w:rPr>
        <w:t xml:space="preserve">inequidades </w:t>
      </w:r>
      <w:r w:rsidR="0089298C" w:rsidRPr="003B734C">
        <w:rPr>
          <w:rFonts w:ascii="Verdana" w:hAnsi="Verdana"/>
          <w:sz w:val="20"/>
          <w:lang w:val="pt-BR"/>
        </w:rPr>
        <w:t xml:space="preserve">do </w:t>
      </w:r>
      <w:r w:rsidRPr="003B734C">
        <w:rPr>
          <w:rFonts w:ascii="Verdana" w:hAnsi="Verdana"/>
          <w:sz w:val="20"/>
          <w:lang w:val="pt-BR"/>
        </w:rPr>
        <w:t>comé</w:t>
      </w:r>
      <w:r w:rsidR="004756C1" w:rsidRPr="003B734C">
        <w:rPr>
          <w:rFonts w:ascii="Verdana" w:hAnsi="Verdana"/>
          <w:sz w:val="20"/>
          <w:lang w:val="pt-BR"/>
        </w:rPr>
        <w:t>rcio internacional.</w:t>
      </w:r>
    </w:p>
    <w:p w:rsidR="004756C1" w:rsidRPr="002F50BD" w:rsidRDefault="004756C1">
      <w:pPr>
        <w:jc w:val="both"/>
        <w:rPr>
          <w:rFonts w:ascii="Verdana" w:hAnsi="Verdana"/>
          <w:sz w:val="20"/>
          <w:u w:val="single"/>
          <w:lang w:val="pt-BR"/>
        </w:rPr>
      </w:pPr>
    </w:p>
    <w:p w:rsidR="004756C1" w:rsidRPr="002F50BD" w:rsidRDefault="00754117">
      <w:pPr>
        <w:numPr>
          <w:ilvl w:val="0"/>
          <w:numId w:val="32"/>
        </w:numPr>
        <w:jc w:val="both"/>
        <w:rPr>
          <w:rFonts w:ascii="Verdana" w:hAnsi="Verdana"/>
          <w:sz w:val="20"/>
          <w:lang w:val="pt-BR"/>
        </w:rPr>
      </w:pPr>
      <w:r w:rsidRPr="002F50BD">
        <w:rPr>
          <w:rFonts w:ascii="Verdana" w:hAnsi="Verdana"/>
          <w:sz w:val="20"/>
          <w:lang w:val="pt-BR"/>
        </w:rPr>
        <w:t xml:space="preserve">Em consideração </w:t>
      </w:r>
      <w:r w:rsidR="00F57DCA" w:rsidRPr="002F50BD">
        <w:rPr>
          <w:rFonts w:ascii="Verdana" w:hAnsi="Verdana"/>
          <w:sz w:val="20"/>
          <w:lang w:val="pt-BR"/>
        </w:rPr>
        <w:t>a</w:t>
      </w:r>
      <w:r w:rsidRPr="002F50BD">
        <w:rPr>
          <w:rFonts w:ascii="Verdana" w:hAnsi="Verdana"/>
          <w:sz w:val="20"/>
          <w:lang w:val="pt-BR"/>
        </w:rPr>
        <w:t xml:space="preserve">o </w:t>
      </w:r>
      <w:r w:rsidR="004756C1" w:rsidRPr="002F50BD">
        <w:rPr>
          <w:rFonts w:ascii="Verdana" w:hAnsi="Verdana"/>
          <w:sz w:val="20"/>
          <w:lang w:val="pt-BR"/>
        </w:rPr>
        <w:t>anterior</w:t>
      </w:r>
      <w:r w:rsidRPr="002F50BD">
        <w:rPr>
          <w:rFonts w:ascii="Verdana" w:hAnsi="Verdana"/>
          <w:sz w:val="20"/>
          <w:lang w:val="pt-BR"/>
        </w:rPr>
        <w:t>mente exposto</w:t>
      </w:r>
      <w:r w:rsidR="004756C1" w:rsidRPr="002F50BD">
        <w:rPr>
          <w:rFonts w:ascii="Verdana" w:hAnsi="Verdana"/>
          <w:sz w:val="20"/>
          <w:lang w:val="pt-BR"/>
        </w:rPr>
        <w:t xml:space="preserve">, </w:t>
      </w:r>
      <w:r w:rsidRPr="002F50BD">
        <w:rPr>
          <w:rFonts w:ascii="Verdana" w:hAnsi="Verdana"/>
          <w:sz w:val="20"/>
          <w:lang w:val="pt-BR"/>
        </w:rPr>
        <w:t xml:space="preserve">bem </w:t>
      </w:r>
      <w:r w:rsidR="004756C1" w:rsidRPr="002F50BD">
        <w:rPr>
          <w:rFonts w:ascii="Verdana" w:hAnsi="Verdana"/>
          <w:sz w:val="20"/>
          <w:lang w:val="pt-BR"/>
        </w:rPr>
        <w:t>como</w:t>
      </w:r>
      <w:r w:rsidR="0089298C" w:rsidRPr="002F50BD">
        <w:rPr>
          <w:rFonts w:ascii="Verdana" w:hAnsi="Verdana"/>
          <w:sz w:val="20"/>
          <w:lang w:val="pt-BR"/>
        </w:rPr>
        <w:t xml:space="preserve"> </w:t>
      </w:r>
      <w:r w:rsidR="00F57DCA" w:rsidRPr="002F50BD">
        <w:rPr>
          <w:rFonts w:ascii="Verdana" w:hAnsi="Verdana"/>
          <w:sz w:val="20"/>
          <w:lang w:val="pt-BR"/>
        </w:rPr>
        <w:t>à</w:t>
      </w:r>
      <w:r w:rsidR="0089298C" w:rsidRPr="002F50BD">
        <w:rPr>
          <w:rFonts w:ascii="Verdana" w:hAnsi="Verdana"/>
          <w:sz w:val="20"/>
          <w:lang w:val="pt-BR"/>
        </w:rPr>
        <w:t xml:space="preserve">s </w:t>
      </w:r>
      <w:r w:rsidR="004756C1" w:rsidRPr="002F50BD">
        <w:rPr>
          <w:rFonts w:ascii="Verdana" w:hAnsi="Verdana"/>
          <w:sz w:val="20"/>
          <w:lang w:val="pt-BR"/>
        </w:rPr>
        <w:t xml:space="preserve">distintas facetas </w:t>
      </w:r>
      <w:r w:rsidR="0089298C" w:rsidRPr="002F50BD">
        <w:rPr>
          <w:rFonts w:ascii="Verdana" w:hAnsi="Verdana"/>
          <w:sz w:val="20"/>
          <w:lang w:val="pt-BR"/>
        </w:rPr>
        <w:t>do dano</w:t>
      </w:r>
      <w:r w:rsidR="004756C1" w:rsidRPr="002F50BD">
        <w:rPr>
          <w:rFonts w:ascii="Verdana" w:hAnsi="Verdana"/>
          <w:sz w:val="20"/>
          <w:lang w:val="pt-BR"/>
        </w:rPr>
        <w:t xml:space="preserve"> </w:t>
      </w:r>
      <w:r w:rsidR="0031730D" w:rsidRPr="002F50BD">
        <w:rPr>
          <w:rFonts w:ascii="Verdana" w:hAnsi="Verdana"/>
          <w:sz w:val="20"/>
          <w:lang w:val="pt-BR"/>
        </w:rPr>
        <w:t xml:space="preserve">alegadas </w:t>
      </w:r>
      <w:r w:rsidR="0089298C" w:rsidRPr="002F50BD">
        <w:rPr>
          <w:rFonts w:ascii="Verdana" w:hAnsi="Verdana"/>
          <w:sz w:val="20"/>
          <w:lang w:val="pt-BR"/>
        </w:rPr>
        <w:t xml:space="preserve">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31730D" w:rsidRPr="002F50BD">
        <w:rPr>
          <w:rFonts w:ascii="Verdana" w:hAnsi="Verdana"/>
          <w:sz w:val="20"/>
          <w:lang w:val="pt-BR"/>
        </w:rPr>
        <w:t xml:space="preserve">de maneira justa e baseando-se </w:t>
      </w:r>
      <w:r w:rsidR="0089298C" w:rsidRPr="002F50BD">
        <w:rPr>
          <w:rFonts w:ascii="Verdana" w:hAnsi="Verdana"/>
          <w:sz w:val="20"/>
          <w:lang w:val="pt-BR"/>
        </w:rPr>
        <w:t xml:space="preserve">em uma </w:t>
      </w:r>
      <w:r w:rsidR="0031730D" w:rsidRPr="002F50BD">
        <w:rPr>
          <w:rFonts w:ascii="Verdana" w:hAnsi="Verdana"/>
          <w:sz w:val="20"/>
          <w:lang w:val="pt-BR"/>
        </w:rPr>
        <w:t xml:space="preserve">avaliação </w:t>
      </w:r>
      <w:r w:rsidR="004756C1" w:rsidRPr="002F50BD">
        <w:rPr>
          <w:rFonts w:ascii="Verdana" w:hAnsi="Verdana"/>
          <w:sz w:val="20"/>
          <w:lang w:val="pt-BR"/>
        </w:rPr>
        <w:t xml:space="preserve">prudente </w:t>
      </w:r>
      <w:r w:rsidR="0089298C" w:rsidRPr="002F50BD">
        <w:rPr>
          <w:rFonts w:ascii="Verdana" w:hAnsi="Verdana"/>
          <w:sz w:val="20"/>
          <w:lang w:val="pt-BR"/>
        </w:rPr>
        <w:t>do dano</w:t>
      </w:r>
      <w:r w:rsidR="004756C1" w:rsidRPr="002F50BD">
        <w:rPr>
          <w:rFonts w:ascii="Verdana" w:hAnsi="Verdana"/>
          <w:sz w:val="20"/>
          <w:lang w:val="pt-BR"/>
        </w:rPr>
        <w:t xml:space="preserve"> </w:t>
      </w:r>
      <w:r w:rsidR="0089298C" w:rsidRPr="002F50BD">
        <w:rPr>
          <w:rFonts w:ascii="Verdana" w:hAnsi="Verdana"/>
          <w:sz w:val="20"/>
          <w:lang w:val="pt-BR"/>
        </w:rPr>
        <w:t>imaterial</w:t>
      </w:r>
      <w:r w:rsidR="004756C1" w:rsidRPr="002F50BD">
        <w:rPr>
          <w:rFonts w:ascii="Verdana" w:hAnsi="Verdana"/>
          <w:sz w:val="20"/>
          <w:lang w:val="pt-BR"/>
        </w:rPr>
        <w:t xml:space="preserve">, </w:t>
      </w:r>
      <w:r w:rsidR="0031730D" w:rsidRPr="002F50BD">
        <w:rPr>
          <w:rFonts w:ascii="Verdana" w:hAnsi="Verdana"/>
          <w:sz w:val="20"/>
          <w:lang w:val="pt-BR"/>
        </w:rPr>
        <w:t xml:space="preserve">considera </w:t>
      </w:r>
      <w:r w:rsidR="004756C1" w:rsidRPr="002F50BD">
        <w:rPr>
          <w:rFonts w:ascii="Verdana" w:hAnsi="Verdana"/>
          <w:sz w:val="20"/>
          <w:lang w:val="pt-BR"/>
        </w:rPr>
        <w:t>pertinente que</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 xml:space="preserve">criar um </w:t>
      </w:r>
      <w:r w:rsidR="004756C1" w:rsidRPr="002F50BD">
        <w:rPr>
          <w:rFonts w:ascii="Verdana" w:hAnsi="Verdana"/>
          <w:sz w:val="20"/>
          <w:lang w:val="pt-BR"/>
        </w:rPr>
        <w:t>programa</w:t>
      </w:r>
      <w:r w:rsidR="0089298C" w:rsidRPr="002F50BD">
        <w:rPr>
          <w:rFonts w:ascii="Verdana" w:hAnsi="Verdana"/>
          <w:sz w:val="20"/>
          <w:lang w:val="pt-BR"/>
        </w:rPr>
        <w:t xml:space="preserve"> e um </w:t>
      </w:r>
      <w:r w:rsidR="0031730D" w:rsidRPr="002F50BD">
        <w:rPr>
          <w:rFonts w:ascii="Verdana" w:hAnsi="Verdana"/>
          <w:sz w:val="20"/>
          <w:lang w:val="pt-BR"/>
        </w:rPr>
        <w:t xml:space="preserve">fundo </w:t>
      </w:r>
      <w:r w:rsidR="004756C1" w:rsidRPr="002F50BD">
        <w:rPr>
          <w:rFonts w:ascii="Verdana" w:hAnsi="Verdana"/>
          <w:sz w:val="20"/>
          <w:lang w:val="pt-BR"/>
        </w:rPr>
        <w:t xml:space="preserve">de </w:t>
      </w:r>
      <w:r w:rsidR="0089298C" w:rsidRPr="002F50BD">
        <w:rPr>
          <w:rFonts w:ascii="Verdana" w:hAnsi="Verdana"/>
          <w:sz w:val="20"/>
          <w:lang w:val="pt-BR"/>
        </w:rPr>
        <w:t>desenvolvimento</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o que </w:t>
      </w:r>
      <w:r w:rsidR="0089298C" w:rsidRPr="002F50BD">
        <w:rPr>
          <w:rFonts w:ascii="Verdana" w:hAnsi="Verdana"/>
          <w:sz w:val="20"/>
          <w:lang w:val="pt-BR"/>
        </w:rPr>
        <w:t>serão</w:t>
      </w:r>
      <w:r w:rsidR="004756C1" w:rsidRPr="002F50BD">
        <w:rPr>
          <w:rFonts w:ascii="Verdana" w:hAnsi="Verdana"/>
          <w:sz w:val="20"/>
          <w:lang w:val="pt-BR"/>
        </w:rPr>
        <w:t xml:space="preserve"> implementados</w:t>
      </w:r>
      <w:r w:rsidR="0089298C" w:rsidRPr="002F50BD">
        <w:rPr>
          <w:rFonts w:ascii="Verdana" w:hAnsi="Verdana"/>
          <w:sz w:val="20"/>
          <w:lang w:val="pt-BR"/>
        </w:rPr>
        <w:t xml:space="preserve"> nas terra</w:t>
      </w:r>
      <w:r w:rsidR="0031730D" w:rsidRPr="002F50BD">
        <w:rPr>
          <w:rFonts w:ascii="Verdana" w:hAnsi="Verdana"/>
          <w:sz w:val="20"/>
          <w:lang w:val="pt-BR"/>
        </w:rPr>
        <w:t xml:space="preserve">s que </w:t>
      </w:r>
      <w:r w:rsidR="00F57DCA" w:rsidRPr="002F50BD">
        <w:rPr>
          <w:rFonts w:ascii="Verdana" w:hAnsi="Verdana"/>
          <w:sz w:val="20"/>
          <w:lang w:val="pt-BR"/>
        </w:rPr>
        <w:t xml:space="preserve">sejam </w:t>
      </w:r>
      <w:r w:rsidR="0031730D" w:rsidRPr="002F50BD">
        <w:rPr>
          <w:rFonts w:ascii="Verdana" w:hAnsi="Verdana"/>
          <w:sz w:val="20"/>
          <w:lang w:val="pt-BR"/>
        </w:rPr>
        <w:t>entregue</w:t>
      </w:r>
      <w:r w:rsidR="00F57DCA" w:rsidRPr="002F50BD">
        <w:rPr>
          <w:rFonts w:ascii="Verdana" w:hAnsi="Verdana"/>
          <w:sz w:val="20"/>
          <w:lang w:val="pt-BR"/>
        </w:rPr>
        <w:t>s</w:t>
      </w:r>
      <w:r w:rsidR="0089298C" w:rsidRPr="002F50BD">
        <w:rPr>
          <w:rFonts w:ascii="Verdana" w:hAnsi="Verdana"/>
          <w:sz w:val="20"/>
          <w:lang w:val="pt-BR"/>
        </w:rPr>
        <w:t xml:space="preserve"> aos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de acordo com os parágrafo</w:t>
      </w:r>
      <w:r w:rsidR="004756C1" w:rsidRPr="002F50BD">
        <w:rPr>
          <w:rFonts w:ascii="Verdana" w:hAnsi="Verdana"/>
          <w:sz w:val="20"/>
          <w:lang w:val="pt-BR"/>
        </w:rPr>
        <w:t xml:space="preserve">s </w:t>
      </w:r>
      <w:r w:rsidR="00063B47" w:rsidRPr="002F50BD">
        <w:rPr>
          <w:rFonts w:ascii="Verdana" w:hAnsi="Verdana"/>
          <w:sz w:val="20"/>
          <w:lang w:val="pt-BR"/>
        </w:rPr>
        <w:t>215</w:t>
      </w:r>
      <w:r w:rsidR="004756C1" w:rsidRPr="002F50BD">
        <w:rPr>
          <w:rFonts w:ascii="Verdana" w:hAnsi="Verdana"/>
          <w:sz w:val="20"/>
          <w:lang w:val="pt-BR"/>
        </w:rPr>
        <w:t xml:space="preserve"> a </w:t>
      </w:r>
      <w:r w:rsidR="00063B47" w:rsidRPr="002F50BD">
        <w:rPr>
          <w:rFonts w:ascii="Verdana" w:hAnsi="Verdana"/>
          <w:sz w:val="20"/>
          <w:lang w:val="pt-BR"/>
        </w:rPr>
        <w:t>217</w:t>
      </w:r>
      <w:r w:rsidR="0089298C" w:rsidRPr="002F50BD">
        <w:rPr>
          <w:rFonts w:ascii="Verdana" w:hAnsi="Verdana"/>
          <w:sz w:val="20"/>
          <w:lang w:val="pt-BR"/>
        </w:rPr>
        <w:t xml:space="preserve"> desta Sentença</w:t>
      </w:r>
      <w:r w:rsidR="00D95E71" w:rsidRPr="002F50BD">
        <w:rPr>
          <w:rFonts w:ascii="Verdana" w:hAnsi="Verdana"/>
          <w:sz w:val="20"/>
          <w:lang w:val="pt-BR"/>
        </w:rPr>
        <w:t xml:space="preserve">. O </w:t>
      </w:r>
      <w:r w:rsidR="004756C1" w:rsidRPr="002F50BD">
        <w:rPr>
          <w:rFonts w:ascii="Verdana" w:hAnsi="Verdana"/>
          <w:sz w:val="20"/>
          <w:lang w:val="pt-BR"/>
        </w:rPr>
        <w:t xml:space="preserve">programa </w:t>
      </w:r>
      <w:r w:rsidR="004076AD" w:rsidRPr="002F50BD">
        <w:rPr>
          <w:rFonts w:ascii="Verdana" w:hAnsi="Verdana"/>
          <w:sz w:val="20"/>
          <w:lang w:val="pt-BR"/>
        </w:rPr>
        <w:t>comunitári</w:t>
      </w:r>
      <w:r w:rsidR="004756C1" w:rsidRPr="002F50BD">
        <w:rPr>
          <w:rFonts w:ascii="Verdana" w:hAnsi="Verdana"/>
          <w:sz w:val="20"/>
          <w:lang w:val="pt-BR"/>
        </w:rPr>
        <w:t>o consistirá</w:t>
      </w:r>
      <w:r w:rsidR="0089298C" w:rsidRPr="002F50BD">
        <w:rPr>
          <w:rFonts w:ascii="Verdana" w:hAnsi="Verdana"/>
          <w:sz w:val="20"/>
          <w:lang w:val="pt-BR"/>
        </w:rPr>
        <w:t xml:space="preserve"> no </w:t>
      </w:r>
      <w:r w:rsidR="0031730D" w:rsidRPr="002F50BD">
        <w:rPr>
          <w:rFonts w:ascii="Verdana" w:hAnsi="Verdana"/>
          <w:sz w:val="20"/>
          <w:lang w:val="pt-BR"/>
        </w:rPr>
        <w:t>fornecimento</w:t>
      </w:r>
      <w:r w:rsidR="004756C1" w:rsidRPr="002F50BD">
        <w:rPr>
          <w:rFonts w:ascii="Verdana" w:hAnsi="Verdana"/>
          <w:sz w:val="20"/>
          <w:lang w:val="pt-BR"/>
        </w:rPr>
        <w:t xml:space="preserve"> de</w:t>
      </w:r>
      <w:r w:rsidR="00AB454A" w:rsidRPr="002F50BD">
        <w:rPr>
          <w:rFonts w:ascii="Verdana" w:hAnsi="Verdana"/>
          <w:sz w:val="20"/>
          <w:lang w:val="pt-BR"/>
        </w:rPr>
        <w:t xml:space="preserve"> água potável </w:t>
      </w:r>
      <w:r w:rsidR="004756C1" w:rsidRPr="002F50BD">
        <w:rPr>
          <w:rFonts w:ascii="Verdana" w:hAnsi="Verdana"/>
          <w:sz w:val="20"/>
          <w:lang w:val="pt-BR"/>
        </w:rPr>
        <w:t xml:space="preserve">e </w:t>
      </w:r>
      <w:r w:rsidRPr="002F50BD">
        <w:rPr>
          <w:rFonts w:ascii="Verdana" w:hAnsi="Verdana"/>
          <w:sz w:val="20"/>
          <w:lang w:val="pt-BR"/>
        </w:rPr>
        <w:t xml:space="preserve">de </w:t>
      </w:r>
      <w:r w:rsidR="004756C1" w:rsidRPr="002F50BD">
        <w:rPr>
          <w:rFonts w:ascii="Verdana" w:hAnsi="Verdana"/>
          <w:sz w:val="20"/>
          <w:lang w:val="pt-BR"/>
        </w:rPr>
        <w:t>infra</w:t>
      </w:r>
      <w:r w:rsidR="0089298C" w:rsidRPr="002F50BD">
        <w:rPr>
          <w:rFonts w:ascii="Verdana" w:hAnsi="Verdana"/>
          <w:sz w:val="20"/>
          <w:lang w:val="pt-BR"/>
        </w:rPr>
        <w:t>estrutura</w:t>
      </w:r>
      <w:r w:rsidR="004756C1" w:rsidRPr="002F50BD">
        <w:rPr>
          <w:rFonts w:ascii="Verdana" w:hAnsi="Verdana"/>
          <w:sz w:val="20"/>
          <w:lang w:val="pt-BR"/>
        </w:rPr>
        <w:t xml:space="preserve"> </w:t>
      </w:r>
      <w:r w:rsidR="00A50140" w:rsidRPr="002F50BD">
        <w:rPr>
          <w:rFonts w:ascii="Verdana" w:hAnsi="Verdana"/>
          <w:sz w:val="20"/>
          <w:lang w:val="pt-BR"/>
        </w:rPr>
        <w:t>sanitária</w:t>
      </w:r>
      <w:r w:rsidR="004756C1" w:rsidRPr="002F50BD">
        <w:rPr>
          <w:rFonts w:ascii="Verdana" w:hAnsi="Verdana"/>
          <w:sz w:val="20"/>
          <w:lang w:val="pt-BR"/>
        </w:rPr>
        <w:t>.</w:t>
      </w:r>
      <w:r w:rsidR="00FE08B7">
        <w:rPr>
          <w:rFonts w:ascii="Verdana" w:hAnsi="Verdana"/>
          <w:sz w:val="20"/>
          <w:lang w:val="pt-BR"/>
        </w:rPr>
        <w:t xml:space="preserve"> </w:t>
      </w:r>
      <w:r w:rsidR="0031730D" w:rsidRPr="002F50BD">
        <w:rPr>
          <w:rFonts w:ascii="Verdana" w:hAnsi="Verdana"/>
          <w:sz w:val="20"/>
          <w:lang w:val="pt-BR"/>
        </w:rPr>
        <w:t xml:space="preserve">Além </w:t>
      </w:r>
      <w:r w:rsidR="0089298C" w:rsidRPr="002F50BD">
        <w:rPr>
          <w:rFonts w:ascii="Verdana" w:hAnsi="Verdana"/>
          <w:sz w:val="20"/>
          <w:lang w:val="pt-BR"/>
        </w:rPr>
        <w:t xml:space="preserve">do </w:t>
      </w:r>
      <w:r w:rsidR="004756C1" w:rsidRPr="002F50BD">
        <w:rPr>
          <w:rFonts w:ascii="Verdana" w:hAnsi="Verdana"/>
          <w:sz w:val="20"/>
          <w:lang w:val="pt-BR"/>
        </w:rPr>
        <w:t>referido programa,</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á destinar</w:t>
      </w:r>
      <w:r w:rsidR="0089298C" w:rsidRPr="002F50BD">
        <w:rPr>
          <w:rFonts w:ascii="Verdana" w:hAnsi="Verdana"/>
          <w:sz w:val="20"/>
          <w:lang w:val="pt-BR"/>
        </w:rPr>
        <w:t xml:space="preserve"> a </w:t>
      </w:r>
      <w:r w:rsidR="0031730D" w:rsidRPr="002F50BD">
        <w:rPr>
          <w:rFonts w:ascii="Verdana" w:hAnsi="Verdana"/>
          <w:sz w:val="20"/>
          <w:lang w:val="pt-BR"/>
        </w:rPr>
        <w:t>quantia</w:t>
      </w:r>
      <w:r w:rsidR="0089298C" w:rsidRPr="002F50BD">
        <w:rPr>
          <w:rFonts w:ascii="Verdana" w:hAnsi="Verdana"/>
          <w:sz w:val="20"/>
          <w:lang w:val="pt-BR"/>
        </w:rPr>
        <w:t xml:space="preserve"> </w:t>
      </w:r>
      <w:r w:rsidR="004756C1" w:rsidRPr="002F50BD">
        <w:rPr>
          <w:rFonts w:ascii="Verdana" w:hAnsi="Verdana"/>
          <w:sz w:val="20"/>
          <w:lang w:val="pt-BR"/>
        </w:rPr>
        <w:t>de US $</w:t>
      </w:r>
      <w:r w:rsidR="00063B47" w:rsidRPr="002F50BD">
        <w:rPr>
          <w:rFonts w:ascii="Verdana" w:hAnsi="Verdana"/>
          <w:sz w:val="20"/>
          <w:lang w:val="pt-BR"/>
        </w:rPr>
        <w:t>950</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w:t>
      </w:r>
      <w:r w:rsidR="00063B47" w:rsidRPr="002F50BD">
        <w:rPr>
          <w:rFonts w:ascii="Verdana" w:hAnsi="Verdana"/>
          <w:sz w:val="20"/>
          <w:lang w:val="pt-BR"/>
        </w:rPr>
        <w:t>00</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nove</w:t>
      </w:r>
      <w:r w:rsidR="00AB454A" w:rsidRPr="002F50BD">
        <w:rPr>
          <w:rFonts w:ascii="Verdana" w:hAnsi="Verdana"/>
          <w:sz w:val="20"/>
          <w:lang w:val="pt-BR"/>
        </w:rPr>
        <w:t>cento</w:t>
      </w:r>
      <w:r w:rsidR="004756C1" w:rsidRPr="002F50BD">
        <w:rPr>
          <w:rFonts w:ascii="Verdana" w:hAnsi="Verdana"/>
          <w:sz w:val="20"/>
          <w:lang w:val="pt-BR"/>
        </w:rPr>
        <w:t xml:space="preserve">s </w:t>
      </w:r>
      <w:r w:rsidR="0031730D" w:rsidRPr="002F50BD">
        <w:rPr>
          <w:rFonts w:ascii="Verdana" w:hAnsi="Verdana"/>
          <w:sz w:val="20"/>
          <w:lang w:val="pt-BR"/>
        </w:rPr>
        <w:t xml:space="preserve">e </w:t>
      </w:r>
      <w:r w:rsidR="0089298C" w:rsidRPr="002F50BD">
        <w:rPr>
          <w:rFonts w:ascii="Verdana" w:hAnsi="Verdana"/>
          <w:sz w:val="20"/>
          <w:lang w:val="pt-BR"/>
        </w:rPr>
        <w:t>cinquenta</w:t>
      </w:r>
      <w:r w:rsidR="004756C1" w:rsidRPr="002F50BD">
        <w:rPr>
          <w:rFonts w:ascii="Verdana" w:hAnsi="Verdana"/>
          <w:sz w:val="20"/>
          <w:lang w:val="pt-BR"/>
        </w:rPr>
        <w:t xml:space="preserve"> mil dólares</w:t>
      </w:r>
      <w:r w:rsidR="0089298C" w:rsidRPr="002F50BD">
        <w:rPr>
          <w:rFonts w:ascii="Verdana" w:hAnsi="Verdana"/>
          <w:sz w:val="20"/>
          <w:lang w:val="pt-BR"/>
        </w:rPr>
        <w:t xml:space="preserve"> dos Estados Unidos da América</w:t>
      </w:r>
      <w:r w:rsidR="00CF451D" w:rsidRPr="00CF451D">
        <w:rPr>
          <w:rFonts w:ascii="Verdana" w:hAnsi="Verdana"/>
          <w:sz w:val="20"/>
          <w:lang w:val="pt-BR"/>
        </w:rPr>
        <w:t>)</w:t>
      </w:r>
      <w:r w:rsidR="004756C1" w:rsidRPr="002F50BD">
        <w:rPr>
          <w:rFonts w:ascii="Verdana" w:hAnsi="Verdana"/>
          <w:sz w:val="20"/>
          <w:lang w:val="pt-BR"/>
        </w:rPr>
        <w:t>, para</w:t>
      </w:r>
      <w:r w:rsidR="0089298C" w:rsidRPr="002F50BD">
        <w:rPr>
          <w:rFonts w:ascii="Verdana" w:hAnsi="Verdana"/>
          <w:sz w:val="20"/>
          <w:lang w:val="pt-BR"/>
        </w:rPr>
        <w:t xml:space="preserve"> um </w:t>
      </w:r>
      <w:r w:rsidR="0031730D" w:rsidRPr="002F50BD">
        <w:rPr>
          <w:rFonts w:ascii="Verdana" w:hAnsi="Verdana"/>
          <w:sz w:val="20"/>
          <w:lang w:val="pt-BR"/>
        </w:rPr>
        <w:t xml:space="preserve">fundo </w:t>
      </w:r>
      <w:r w:rsidR="004756C1" w:rsidRPr="002F50BD">
        <w:rPr>
          <w:rFonts w:ascii="Verdana" w:hAnsi="Verdana"/>
          <w:sz w:val="20"/>
          <w:lang w:val="pt-BR"/>
        </w:rPr>
        <w:t xml:space="preserve">de </w:t>
      </w:r>
      <w:r w:rsidR="0089298C" w:rsidRPr="002F50BD">
        <w:rPr>
          <w:rFonts w:ascii="Verdana" w:hAnsi="Verdana"/>
          <w:sz w:val="20"/>
          <w:lang w:val="pt-BR"/>
        </w:rPr>
        <w:t>desenvolvimento</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o,</w:t>
      </w:r>
      <w:r w:rsidR="0089298C" w:rsidRPr="002F50BD">
        <w:rPr>
          <w:rFonts w:ascii="Verdana" w:hAnsi="Verdana"/>
          <w:sz w:val="20"/>
          <w:lang w:val="pt-BR"/>
        </w:rPr>
        <w:t xml:space="preserve"> o qual </w:t>
      </w:r>
      <w:r w:rsidR="004756C1" w:rsidRPr="002F50BD">
        <w:rPr>
          <w:rFonts w:ascii="Verdana" w:hAnsi="Verdana"/>
          <w:sz w:val="20"/>
          <w:lang w:val="pt-BR"/>
        </w:rPr>
        <w:t>consistirá</w:t>
      </w:r>
      <w:r w:rsidR="0089298C" w:rsidRPr="002F50BD">
        <w:rPr>
          <w:rFonts w:ascii="Verdana" w:hAnsi="Verdana"/>
          <w:sz w:val="20"/>
          <w:lang w:val="pt-BR"/>
        </w:rPr>
        <w:t xml:space="preserve"> na </w:t>
      </w:r>
      <w:r w:rsidR="004756C1" w:rsidRPr="002F50BD">
        <w:rPr>
          <w:rFonts w:ascii="Verdana" w:hAnsi="Verdana"/>
          <w:sz w:val="20"/>
          <w:lang w:val="pt-BR"/>
        </w:rPr>
        <w:t>implementa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projeto</w:t>
      </w:r>
      <w:r w:rsidR="004756C1" w:rsidRPr="002F50BD">
        <w:rPr>
          <w:rFonts w:ascii="Verdana" w:hAnsi="Verdana"/>
          <w:sz w:val="20"/>
          <w:lang w:val="pt-BR"/>
        </w:rPr>
        <w:t xml:space="preserve">s </w:t>
      </w:r>
      <w:r w:rsidR="0089298C" w:rsidRPr="002F50BD">
        <w:rPr>
          <w:rFonts w:ascii="Verdana" w:hAnsi="Verdana"/>
          <w:sz w:val="20"/>
          <w:lang w:val="pt-BR"/>
        </w:rPr>
        <w:t>educacionais</w:t>
      </w:r>
      <w:r w:rsidR="004756C1" w:rsidRPr="002F50BD">
        <w:rPr>
          <w:rFonts w:ascii="Verdana" w:hAnsi="Verdana"/>
          <w:sz w:val="20"/>
          <w:lang w:val="pt-BR"/>
        </w:rPr>
        <w:t>, habita</w:t>
      </w:r>
      <w:r w:rsidR="00AB6727" w:rsidRPr="002F50BD">
        <w:rPr>
          <w:rFonts w:ascii="Verdana" w:hAnsi="Verdana"/>
          <w:sz w:val="20"/>
          <w:lang w:val="pt-BR"/>
        </w:rPr>
        <w:t>cionais</w:t>
      </w:r>
      <w:r w:rsidR="004756C1" w:rsidRPr="002F50BD">
        <w:rPr>
          <w:rFonts w:ascii="Verdana" w:hAnsi="Verdana"/>
          <w:sz w:val="20"/>
          <w:lang w:val="pt-BR"/>
        </w:rPr>
        <w:t>, agrícolas</w:t>
      </w:r>
      <w:r w:rsidR="0089298C" w:rsidRPr="002F50BD">
        <w:rPr>
          <w:rFonts w:ascii="Verdana" w:hAnsi="Verdana"/>
          <w:sz w:val="20"/>
          <w:lang w:val="pt-BR"/>
        </w:rPr>
        <w:t xml:space="preserve"> e </w:t>
      </w:r>
      <w:r w:rsidR="004756C1" w:rsidRPr="002F50BD">
        <w:rPr>
          <w:rFonts w:ascii="Verdana" w:hAnsi="Verdana"/>
          <w:sz w:val="20"/>
          <w:lang w:val="pt-BR"/>
        </w:rPr>
        <w:t xml:space="preserve">de </w:t>
      </w:r>
      <w:r w:rsidR="0089298C" w:rsidRPr="002F50BD">
        <w:rPr>
          <w:rFonts w:ascii="Verdana" w:hAnsi="Verdana"/>
          <w:sz w:val="20"/>
          <w:lang w:val="pt-BR"/>
        </w:rPr>
        <w:t>saúde em benefício dos membro</w:t>
      </w:r>
      <w:r w:rsidR="004756C1"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00DB51F0" w:rsidRPr="002F50BD">
        <w:rPr>
          <w:rFonts w:ascii="Verdana" w:hAnsi="Verdana"/>
          <w:sz w:val="20"/>
          <w:lang w:val="pt-BR"/>
        </w:rPr>
        <w:t xml:space="preserve">. Os </w:t>
      </w:r>
      <w:r w:rsidR="004756C1" w:rsidRPr="002F50BD">
        <w:rPr>
          <w:rFonts w:ascii="Verdana" w:hAnsi="Verdana"/>
          <w:sz w:val="20"/>
          <w:lang w:val="pt-BR"/>
        </w:rPr>
        <w:t xml:space="preserve">elementos específicos </w:t>
      </w:r>
      <w:r w:rsidR="0089298C" w:rsidRPr="002F50BD">
        <w:rPr>
          <w:rFonts w:ascii="Verdana" w:hAnsi="Verdana"/>
          <w:sz w:val="20"/>
          <w:lang w:val="pt-BR"/>
        </w:rPr>
        <w:t>deste</w:t>
      </w:r>
      <w:r w:rsidR="004756C1" w:rsidRPr="002F50BD">
        <w:rPr>
          <w:rFonts w:ascii="Verdana" w:hAnsi="Verdana"/>
          <w:sz w:val="20"/>
          <w:lang w:val="pt-BR"/>
        </w:rPr>
        <w:t xml:space="preserve">s </w:t>
      </w:r>
      <w:r w:rsidR="0089298C" w:rsidRPr="002F50BD">
        <w:rPr>
          <w:rFonts w:ascii="Verdana" w:hAnsi="Verdana"/>
          <w:sz w:val="20"/>
          <w:lang w:val="pt-BR"/>
        </w:rPr>
        <w:t>projeto</w:t>
      </w:r>
      <w:r w:rsidR="004756C1" w:rsidRPr="002F50BD">
        <w:rPr>
          <w:rFonts w:ascii="Verdana" w:hAnsi="Verdana"/>
          <w:sz w:val="20"/>
          <w:lang w:val="pt-BR"/>
        </w:rPr>
        <w:t xml:space="preserve">s </w:t>
      </w:r>
      <w:r w:rsidR="0089298C" w:rsidRPr="002F50BD">
        <w:rPr>
          <w:rFonts w:ascii="Verdana" w:hAnsi="Verdana"/>
          <w:sz w:val="20"/>
          <w:lang w:val="pt-BR"/>
        </w:rPr>
        <w:t>deverão</w:t>
      </w:r>
      <w:r w:rsidR="004756C1" w:rsidRPr="002F50BD">
        <w:rPr>
          <w:rFonts w:ascii="Verdana" w:hAnsi="Verdana"/>
          <w:sz w:val="20"/>
          <w:lang w:val="pt-BR"/>
        </w:rPr>
        <w:t xml:space="preserve"> ser determinados por</w:t>
      </w:r>
      <w:r w:rsidR="0089298C" w:rsidRPr="002F50BD">
        <w:rPr>
          <w:rFonts w:ascii="Verdana" w:hAnsi="Verdana"/>
          <w:sz w:val="20"/>
          <w:lang w:val="pt-BR"/>
        </w:rPr>
        <w:t xml:space="preserve"> um comitê</w:t>
      </w:r>
      <w:r w:rsidR="004756C1" w:rsidRPr="002F50BD">
        <w:rPr>
          <w:rFonts w:ascii="Verdana" w:hAnsi="Verdana"/>
          <w:sz w:val="20"/>
          <w:lang w:val="pt-BR"/>
        </w:rPr>
        <w:t xml:space="preserve"> de implementa</w:t>
      </w:r>
      <w:r w:rsidR="0089298C" w:rsidRPr="002F50BD">
        <w:rPr>
          <w:rFonts w:ascii="Verdana" w:hAnsi="Verdana"/>
          <w:sz w:val="20"/>
          <w:lang w:val="pt-BR"/>
        </w:rPr>
        <w:t>ção</w:t>
      </w:r>
      <w:r w:rsidR="004756C1" w:rsidRPr="002F50BD">
        <w:rPr>
          <w:rFonts w:ascii="Verdana" w:hAnsi="Verdana"/>
          <w:sz w:val="20"/>
          <w:lang w:val="pt-BR"/>
        </w:rPr>
        <w:t xml:space="preserve">, que se </w:t>
      </w:r>
      <w:r w:rsidR="0031730D" w:rsidRPr="002F50BD">
        <w:rPr>
          <w:rFonts w:ascii="Verdana" w:hAnsi="Verdana"/>
          <w:sz w:val="20"/>
          <w:lang w:val="pt-BR"/>
        </w:rPr>
        <w:t>descreve a seguir</w:t>
      </w:r>
      <w:r w:rsidR="0089298C" w:rsidRPr="002F50BD">
        <w:rPr>
          <w:rFonts w:ascii="Verdana" w:hAnsi="Verdana"/>
          <w:sz w:val="20"/>
          <w:lang w:val="pt-BR"/>
        </w:rPr>
        <w:t>, e</w:t>
      </w:r>
      <w:r w:rsidR="004756C1" w:rsidRPr="002F50BD">
        <w:rPr>
          <w:rFonts w:ascii="Verdana" w:hAnsi="Verdana"/>
          <w:sz w:val="20"/>
          <w:lang w:val="pt-BR"/>
        </w:rPr>
        <w:t xml:space="preserve"> </w:t>
      </w:r>
      <w:r w:rsidR="0089298C" w:rsidRPr="002F50BD">
        <w:rPr>
          <w:rFonts w:ascii="Verdana" w:hAnsi="Verdana"/>
          <w:sz w:val="20"/>
          <w:lang w:val="pt-BR"/>
        </w:rPr>
        <w:t>deverão</w:t>
      </w:r>
      <w:r w:rsidR="004756C1" w:rsidRPr="002F50BD">
        <w:rPr>
          <w:rFonts w:ascii="Verdana" w:hAnsi="Verdana"/>
          <w:sz w:val="20"/>
          <w:lang w:val="pt-BR"/>
        </w:rPr>
        <w:t xml:space="preserve"> ser completados</w:t>
      </w:r>
      <w:r w:rsidR="0089298C" w:rsidRPr="002F50BD">
        <w:rPr>
          <w:rFonts w:ascii="Verdana" w:hAnsi="Verdana"/>
          <w:sz w:val="20"/>
          <w:lang w:val="pt-BR"/>
        </w:rPr>
        <w:t xml:space="preserve"> em um prazo</w:t>
      </w:r>
      <w:r w:rsidR="004756C1" w:rsidRPr="002F50BD">
        <w:rPr>
          <w:rFonts w:ascii="Verdana" w:hAnsi="Verdana"/>
          <w:sz w:val="20"/>
          <w:lang w:val="pt-BR"/>
        </w:rPr>
        <w:t xml:space="preserve"> de do</w:t>
      </w:r>
      <w:r w:rsidR="0031730D" w:rsidRPr="002F50BD">
        <w:rPr>
          <w:rFonts w:ascii="Verdana" w:hAnsi="Verdana"/>
          <w:sz w:val="20"/>
          <w:lang w:val="pt-BR"/>
        </w:rPr>
        <w:t>i</w:t>
      </w:r>
      <w:r w:rsidR="004756C1" w:rsidRPr="002F50BD">
        <w:rPr>
          <w:rFonts w:ascii="Verdana" w:hAnsi="Verdana"/>
          <w:sz w:val="20"/>
          <w:lang w:val="pt-BR"/>
        </w:rPr>
        <w:t xml:space="preserve">s </w:t>
      </w:r>
      <w:r w:rsidR="0089298C" w:rsidRPr="002F50BD">
        <w:rPr>
          <w:rFonts w:ascii="Verdana" w:hAnsi="Verdana"/>
          <w:sz w:val="20"/>
          <w:lang w:val="pt-BR"/>
        </w:rPr>
        <w:t>anos</w:t>
      </w:r>
      <w:r w:rsidR="004756C1" w:rsidRPr="002F50BD">
        <w:rPr>
          <w:rFonts w:ascii="Verdana" w:hAnsi="Verdana"/>
          <w:sz w:val="20"/>
          <w:lang w:val="pt-BR"/>
        </w:rPr>
        <w:t>, contados a partir</w:t>
      </w:r>
      <w:r w:rsidR="0089298C" w:rsidRPr="002F50BD">
        <w:rPr>
          <w:rFonts w:ascii="Verdana" w:hAnsi="Verdana"/>
          <w:sz w:val="20"/>
          <w:lang w:val="pt-BR"/>
        </w:rPr>
        <w:t xml:space="preserve"> da </w:t>
      </w:r>
      <w:r w:rsidR="004756C1" w:rsidRPr="002F50BD">
        <w:rPr>
          <w:rFonts w:ascii="Verdana" w:hAnsi="Verdana"/>
          <w:sz w:val="20"/>
          <w:lang w:val="pt-BR"/>
        </w:rPr>
        <w:t>entrega</w:t>
      </w:r>
      <w:r w:rsidR="0089298C" w:rsidRPr="002F50BD">
        <w:rPr>
          <w:rFonts w:ascii="Verdana" w:hAnsi="Verdana"/>
          <w:sz w:val="20"/>
          <w:lang w:val="pt-BR"/>
        </w:rPr>
        <w:t xml:space="preserve"> da</w:t>
      </w:r>
      <w:r w:rsidRPr="002F50BD">
        <w:rPr>
          <w:rFonts w:ascii="Verdana" w:hAnsi="Verdana"/>
          <w:sz w:val="20"/>
          <w:lang w:val="pt-BR"/>
        </w:rPr>
        <w:t>s</w:t>
      </w:r>
      <w:r w:rsidR="0089298C" w:rsidRPr="002F50BD">
        <w:rPr>
          <w:rFonts w:ascii="Verdana" w:hAnsi="Verdana"/>
          <w:sz w:val="20"/>
          <w:lang w:val="pt-BR"/>
        </w:rPr>
        <w:t xml:space="preserve"> terra</w:t>
      </w:r>
      <w:r w:rsidR="004756C1" w:rsidRPr="002F50BD">
        <w:rPr>
          <w:rFonts w:ascii="Verdana" w:hAnsi="Verdana"/>
          <w:sz w:val="20"/>
          <w:lang w:val="pt-BR"/>
        </w:rPr>
        <w:t>s</w:t>
      </w:r>
      <w:r w:rsidR="0089298C" w:rsidRPr="002F50BD">
        <w:rPr>
          <w:rFonts w:ascii="Verdana" w:hAnsi="Verdana"/>
          <w:sz w:val="20"/>
          <w:lang w:val="pt-BR"/>
        </w:rPr>
        <w:t xml:space="preserve"> aos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w:t>
      </w:r>
    </w:p>
    <w:p w:rsidR="0031730D" w:rsidRPr="002F50BD" w:rsidRDefault="0031730D" w:rsidP="0031730D">
      <w:pPr>
        <w:jc w:val="both"/>
        <w:rPr>
          <w:rFonts w:ascii="Verdana" w:hAnsi="Verdana"/>
          <w:sz w:val="20"/>
          <w:lang w:val="pt-BR"/>
        </w:rPr>
      </w:pPr>
    </w:p>
    <w:p w:rsidR="004756C1" w:rsidRPr="002F50BD" w:rsidRDefault="0089298C">
      <w:pPr>
        <w:numPr>
          <w:ilvl w:val="0"/>
          <w:numId w:val="32"/>
        </w:numPr>
        <w:jc w:val="both"/>
        <w:rPr>
          <w:rFonts w:ascii="Verdana" w:hAnsi="Verdana"/>
          <w:sz w:val="20"/>
          <w:lang w:val="pt-BR"/>
        </w:rPr>
      </w:pPr>
      <w:r w:rsidRPr="002F50BD">
        <w:rPr>
          <w:rFonts w:ascii="Verdana" w:hAnsi="Verdana"/>
          <w:sz w:val="20"/>
          <w:lang w:val="pt-BR"/>
        </w:rPr>
        <w:t xml:space="preserve">O comitê </w:t>
      </w:r>
      <w:r w:rsidR="0031730D" w:rsidRPr="002F50BD">
        <w:rPr>
          <w:rFonts w:ascii="Verdana" w:hAnsi="Verdana"/>
          <w:sz w:val="20"/>
          <w:lang w:val="pt-BR"/>
        </w:rPr>
        <w:t xml:space="preserve">a que se refere o </w:t>
      </w:r>
      <w:r w:rsidRPr="002F50BD">
        <w:rPr>
          <w:rFonts w:ascii="Verdana" w:hAnsi="Verdana"/>
          <w:sz w:val="20"/>
          <w:lang w:val="pt-BR"/>
        </w:rPr>
        <w:t>parágrafo</w:t>
      </w:r>
      <w:r w:rsidR="004756C1" w:rsidRPr="002F50BD">
        <w:rPr>
          <w:rFonts w:ascii="Verdana" w:hAnsi="Verdana"/>
          <w:sz w:val="20"/>
          <w:lang w:val="pt-BR"/>
        </w:rPr>
        <w:t xml:space="preserve"> anterior estará </w:t>
      </w:r>
      <w:r w:rsidR="004076AD" w:rsidRPr="002F50BD">
        <w:rPr>
          <w:rFonts w:ascii="Verdana" w:hAnsi="Verdana"/>
          <w:sz w:val="20"/>
          <w:lang w:val="pt-BR"/>
        </w:rPr>
        <w:t>encarregad</w:t>
      </w:r>
      <w:r w:rsidR="004756C1" w:rsidRPr="002F50BD">
        <w:rPr>
          <w:rFonts w:ascii="Verdana" w:hAnsi="Verdana"/>
          <w:sz w:val="20"/>
          <w:lang w:val="pt-BR"/>
        </w:rPr>
        <w:t>o de determinar</w:t>
      </w:r>
      <w:r w:rsidRPr="002F50BD">
        <w:rPr>
          <w:rFonts w:ascii="Verdana" w:hAnsi="Verdana"/>
          <w:sz w:val="20"/>
          <w:lang w:val="pt-BR"/>
        </w:rPr>
        <w:t xml:space="preserve"> as </w:t>
      </w:r>
      <w:r w:rsidR="004756C1" w:rsidRPr="002F50BD">
        <w:rPr>
          <w:rFonts w:ascii="Verdana" w:hAnsi="Verdana"/>
          <w:sz w:val="20"/>
          <w:lang w:val="pt-BR"/>
        </w:rPr>
        <w:t>modalidades de implementa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31730D" w:rsidRPr="002F50BD">
        <w:rPr>
          <w:rFonts w:ascii="Verdana" w:hAnsi="Verdana"/>
          <w:sz w:val="20"/>
          <w:lang w:val="pt-BR"/>
        </w:rPr>
        <w:t xml:space="preserve">fundo </w:t>
      </w:r>
      <w:r w:rsidR="004756C1" w:rsidRPr="002F50BD">
        <w:rPr>
          <w:rFonts w:ascii="Verdana" w:hAnsi="Verdana"/>
          <w:sz w:val="20"/>
          <w:lang w:val="pt-BR"/>
        </w:rPr>
        <w:t xml:space="preserve">de </w:t>
      </w:r>
      <w:r w:rsidRPr="002F50BD">
        <w:rPr>
          <w:rFonts w:ascii="Verdana" w:hAnsi="Verdana"/>
          <w:sz w:val="20"/>
          <w:lang w:val="pt-BR"/>
        </w:rPr>
        <w:t>desenvolvimento e</w:t>
      </w:r>
      <w:r w:rsidR="004756C1" w:rsidRPr="002F50BD">
        <w:rPr>
          <w:rFonts w:ascii="Verdana" w:hAnsi="Verdana"/>
          <w:sz w:val="20"/>
          <w:lang w:val="pt-BR"/>
        </w:rPr>
        <w:t xml:space="preserve"> estará </w:t>
      </w:r>
      <w:r w:rsidR="00DB020A" w:rsidRPr="002F50BD">
        <w:rPr>
          <w:rFonts w:ascii="Verdana" w:hAnsi="Verdana"/>
          <w:sz w:val="20"/>
          <w:lang w:val="pt-BR"/>
        </w:rPr>
        <w:t xml:space="preserve">composto </w:t>
      </w:r>
      <w:r w:rsidR="004756C1" w:rsidRPr="002F50BD">
        <w:rPr>
          <w:rFonts w:ascii="Verdana" w:hAnsi="Verdana"/>
          <w:sz w:val="20"/>
          <w:lang w:val="pt-BR"/>
        </w:rPr>
        <w:t>por</w:t>
      </w:r>
      <w:r w:rsidRPr="002F50BD">
        <w:rPr>
          <w:rFonts w:ascii="Verdana" w:hAnsi="Verdana"/>
          <w:sz w:val="20"/>
          <w:lang w:val="pt-BR"/>
        </w:rPr>
        <w:t xml:space="preserve"> três membro</w:t>
      </w:r>
      <w:r w:rsidR="004756C1" w:rsidRPr="002F50BD">
        <w:rPr>
          <w:rFonts w:ascii="Verdana" w:hAnsi="Verdana"/>
          <w:sz w:val="20"/>
          <w:lang w:val="pt-BR"/>
        </w:rPr>
        <w:t>s</w:t>
      </w:r>
      <w:r w:rsidR="00D95E71" w:rsidRPr="002F50BD">
        <w:rPr>
          <w:rFonts w:ascii="Verdana" w:hAnsi="Verdana"/>
          <w:sz w:val="20"/>
          <w:lang w:val="pt-BR"/>
        </w:rPr>
        <w:t xml:space="preserve">. O </w:t>
      </w:r>
      <w:r w:rsidR="004756C1" w:rsidRPr="002F50BD">
        <w:rPr>
          <w:rFonts w:ascii="Verdana" w:hAnsi="Verdana"/>
          <w:sz w:val="20"/>
          <w:lang w:val="pt-BR"/>
        </w:rPr>
        <w:t xml:space="preserve">referido </w:t>
      </w:r>
      <w:r w:rsidRPr="002F50BD">
        <w:rPr>
          <w:rFonts w:ascii="Verdana" w:hAnsi="Verdana"/>
          <w:sz w:val="20"/>
          <w:lang w:val="pt-BR"/>
        </w:rPr>
        <w:t>comitê</w:t>
      </w:r>
      <w:r w:rsidR="004756C1" w:rsidRPr="002F50BD">
        <w:rPr>
          <w:rFonts w:ascii="Verdana" w:hAnsi="Verdana"/>
          <w:sz w:val="20"/>
          <w:lang w:val="pt-BR"/>
        </w:rPr>
        <w:t xml:space="preserve"> </w:t>
      </w:r>
      <w:r w:rsidRPr="002F50BD">
        <w:rPr>
          <w:rFonts w:ascii="Verdana" w:hAnsi="Verdana"/>
          <w:sz w:val="20"/>
          <w:lang w:val="pt-BR"/>
        </w:rPr>
        <w:t>dever</w:t>
      </w:r>
      <w:r w:rsidR="004756C1" w:rsidRPr="002F50BD">
        <w:rPr>
          <w:rFonts w:ascii="Verdana" w:hAnsi="Verdana"/>
          <w:sz w:val="20"/>
          <w:lang w:val="pt-BR"/>
        </w:rPr>
        <w:t>á contar</w:t>
      </w:r>
      <w:r w:rsidRPr="002F50BD">
        <w:rPr>
          <w:rFonts w:ascii="Verdana" w:hAnsi="Verdana"/>
          <w:sz w:val="20"/>
          <w:lang w:val="pt-BR"/>
        </w:rPr>
        <w:t xml:space="preserve"> com um </w:t>
      </w:r>
      <w:r w:rsidR="008C29C9" w:rsidRPr="002F50BD">
        <w:rPr>
          <w:rFonts w:ascii="Verdana" w:hAnsi="Verdana"/>
          <w:sz w:val="20"/>
          <w:lang w:val="pt-BR"/>
        </w:rPr>
        <w:t>representante</w:t>
      </w:r>
      <w:r w:rsidR="004756C1" w:rsidRPr="002F50BD">
        <w:rPr>
          <w:rFonts w:ascii="Verdana" w:hAnsi="Verdana"/>
          <w:sz w:val="20"/>
          <w:lang w:val="pt-BR"/>
        </w:rPr>
        <w:t xml:space="preserve"> designado</w:t>
      </w:r>
      <w:r w:rsidRPr="002F50BD">
        <w:rPr>
          <w:rFonts w:ascii="Verdana" w:hAnsi="Verdana"/>
          <w:sz w:val="20"/>
          <w:lang w:val="pt-BR"/>
        </w:rPr>
        <w:t xml:space="preserve"> pelas vítima</w:t>
      </w:r>
      <w:r w:rsidR="004756C1" w:rsidRPr="002F50BD">
        <w:rPr>
          <w:rFonts w:ascii="Verdana" w:hAnsi="Verdana"/>
          <w:sz w:val="20"/>
          <w:lang w:val="pt-BR"/>
        </w:rPr>
        <w:t>s</w:t>
      </w:r>
      <w:r w:rsidRPr="002F50BD">
        <w:rPr>
          <w:rFonts w:ascii="Verdana" w:hAnsi="Verdana"/>
          <w:sz w:val="20"/>
          <w:lang w:val="pt-BR"/>
        </w:rPr>
        <w:t xml:space="preserve"> e outro pelo </w:t>
      </w:r>
      <w:r w:rsidR="004756C1" w:rsidRPr="002F50BD">
        <w:rPr>
          <w:rFonts w:ascii="Verdana" w:hAnsi="Verdana"/>
          <w:sz w:val="20"/>
          <w:lang w:val="pt-BR"/>
        </w:rPr>
        <w:t>Estado;</w:t>
      </w:r>
      <w:r w:rsidRPr="002F50BD">
        <w:rPr>
          <w:rFonts w:ascii="Verdana" w:hAnsi="Verdana"/>
          <w:sz w:val="20"/>
          <w:lang w:val="pt-BR"/>
        </w:rPr>
        <w:t xml:space="preserve"> o terceiro membro</w:t>
      </w:r>
      <w:r w:rsidR="004756C1" w:rsidRPr="002F50BD">
        <w:rPr>
          <w:rFonts w:ascii="Verdana" w:hAnsi="Verdana"/>
          <w:sz w:val="20"/>
          <w:lang w:val="pt-BR"/>
        </w:rPr>
        <w:t xml:space="preserve"> </w:t>
      </w:r>
      <w:r w:rsidRPr="002F50BD">
        <w:rPr>
          <w:rFonts w:ascii="Verdana" w:hAnsi="Verdana"/>
          <w:sz w:val="20"/>
          <w:lang w:val="pt-BR"/>
        </w:rPr>
        <w:t>deste</w:t>
      </w:r>
      <w:r w:rsidR="004756C1" w:rsidRPr="002F50BD">
        <w:rPr>
          <w:rFonts w:ascii="Verdana" w:hAnsi="Verdana"/>
          <w:sz w:val="20"/>
          <w:lang w:val="pt-BR"/>
        </w:rPr>
        <w:t xml:space="preserve"> </w:t>
      </w:r>
      <w:r w:rsidRPr="002F50BD">
        <w:rPr>
          <w:rFonts w:ascii="Verdana" w:hAnsi="Verdana"/>
          <w:sz w:val="20"/>
          <w:lang w:val="pt-BR"/>
        </w:rPr>
        <w:t>comitê</w:t>
      </w:r>
      <w:r w:rsidR="004756C1" w:rsidRPr="002F50BD">
        <w:rPr>
          <w:rFonts w:ascii="Verdana" w:hAnsi="Verdana"/>
          <w:sz w:val="20"/>
          <w:lang w:val="pt-BR"/>
        </w:rPr>
        <w:t xml:space="preserve"> será designado </w:t>
      </w:r>
      <w:r w:rsidR="00DB020A" w:rsidRPr="002F50BD">
        <w:rPr>
          <w:rFonts w:ascii="Verdana" w:hAnsi="Verdana"/>
          <w:sz w:val="20"/>
          <w:lang w:val="pt-BR"/>
        </w:rPr>
        <w:t xml:space="preserve">em </w:t>
      </w:r>
      <w:r w:rsidRPr="002F50BD">
        <w:rPr>
          <w:rFonts w:ascii="Verdana" w:hAnsi="Verdana"/>
          <w:sz w:val="20"/>
          <w:lang w:val="pt-BR"/>
        </w:rPr>
        <w:t>comum</w:t>
      </w:r>
      <w:r w:rsidR="004756C1" w:rsidRPr="002F50BD">
        <w:rPr>
          <w:rFonts w:ascii="Verdana" w:hAnsi="Verdana"/>
          <w:sz w:val="20"/>
          <w:lang w:val="pt-BR"/>
        </w:rPr>
        <w:t xml:space="preserve"> </w:t>
      </w:r>
      <w:r w:rsidRPr="002F50BD">
        <w:rPr>
          <w:rFonts w:ascii="Verdana" w:hAnsi="Verdana"/>
          <w:sz w:val="20"/>
          <w:lang w:val="pt-BR"/>
        </w:rPr>
        <w:t>acordo</w:t>
      </w:r>
      <w:r w:rsidR="004756C1" w:rsidRPr="002F50BD">
        <w:rPr>
          <w:rFonts w:ascii="Verdana" w:hAnsi="Verdana"/>
          <w:sz w:val="20"/>
          <w:lang w:val="pt-BR"/>
        </w:rPr>
        <w:t xml:space="preserve"> entre</w:t>
      </w:r>
      <w:r w:rsidRPr="002F50BD">
        <w:rPr>
          <w:rFonts w:ascii="Verdana" w:hAnsi="Verdana"/>
          <w:sz w:val="20"/>
          <w:lang w:val="pt-BR"/>
        </w:rPr>
        <w:t xml:space="preserve"> as vítima</w:t>
      </w:r>
      <w:r w:rsidR="004756C1" w:rsidRPr="002F50BD">
        <w:rPr>
          <w:rFonts w:ascii="Verdana" w:hAnsi="Verdana"/>
          <w:sz w:val="20"/>
          <w:lang w:val="pt-BR"/>
        </w:rPr>
        <w:t>s</w:t>
      </w:r>
      <w:r w:rsidRPr="002F50BD">
        <w:rPr>
          <w:rFonts w:ascii="Verdana" w:hAnsi="Verdana"/>
          <w:sz w:val="20"/>
          <w:lang w:val="pt-BR"/>
        </w:rPr>
        <w:t xml:space="preserve"> e o </w:t>
      </w:r>
      <w:r w:rsidR="004756C1" w:rsidRPr="002F50BD">
        <w:rPr>
          <w:rFonts w:ascii="Verdana" w:hAnsi="Verdana"/>
          <w:sz w:val="20"/>
          <w:lang w:val="pt-BR"/>
        </w:rPr>
        <w:t>Estado.</w:t>
      </w:r>
      <w:r w:rsidR="00FE08B7">
        <w:rPr>
          <w:rFonts w:ascii="Verdana" w:hAnsi="Verdana"/>
          <w:sz w:val="20"/>
          <w:lang w:val="pt-BR"/>
        </w:rPr>
        <w:t xml:space="preserve"> </w:t>
      </w:r>
      <w:r w:rsidR="0031730D" w:rsidRPr="002F50BD">
        <w:rPr>
          <w:rFonts w:ascii="Verdana" w:hAnsi="Verdana"/>
          <w:sz w:val="20"/>
          <w:lang w:val="pt-BR"/>
        </w:rPr>
        <w:t>Caso</w:t>
      </w:r>
      <w:r w:rsidR="00DB020A" w:rsidRPr="002F50BD">
        <w:rPr>
          <w:rFonts w:ascii="Verdana" w:hAnsi="Verdana"/>
          <w:sz w:val="20"/>
          <w:lang w:val="pt-BR"/>
        </w:rPr>
        <w:t>,</w:t>
      </w:r>
      <w:r w:rsidR="0031730D" w:rsidRPr="002F50BD">
        <w:rPr>
          <w:rFonts w:ascii="Verdana" w:hAnsi="Verdana"/>
          <w:sz w:val="20"/>
          <w:lang w:val="pt-BR"/>
        </w:rPr>
        <w:t xml:space="preserve"> </w:t>
      </w:r>
      <w:r w:rsidR="004756C1" w:rsidRPr="002F50BD">
        <w:rPr>
          <w:rFonts w:ascii="Verdana" w:hAnsi="Verdana"/>
          <w:sz w:val="20"/>
          <w:lang w:val="pt-BR"/>
        </w:rPr>
        <w:t>dentro</w:t>
      </w:r>
      <w:r w:rsidRPr="002F50BD">
        <w:rPr>
          <w:rFonts w:ascii="Verdana" w:hAnsi="Verdana"/>
          <w:sz w:val="20"/>
          <w:lang w:val="pt-BR"/>
        </w:rPr>
        <w:t xml:space="preserve"> dos </w:t>
      </w:r>
      <w:r w:rsidR="004756C1" w:rsidRPr="002F50BD">
        <w:rPr>
          <w:rFonts w:ascii="Verdana" w:hAnsi="Verdana"/>
          <w:sz w:val="20"/>
          <w:lang w:val="pt-BR"/>
        </w:rPr>
        <w:t xml:space="preserve">seis meses </w:t>
      </w:r>
      <w:r w:rsidR="0031730D" w:rsidRPr="002F50BD">
        <w:rPr>
          <w:rFonts w:ascii="Verdana" w:hAnsi="Verdana"/>
          <w:sz w:val="20"/>
          <w:lang w:val="pt-BR"/>
        </w:rPr>
        <w:t xml:space="preserve">contados </w:t>
      </w:r>
      <w:r w:rsidR="004756C1" w:rsidRPr="002F50BD">
        <w:rPr>
          <w:rFonts w:ascii="Verdana" w:hAnsi="Verdana"/>
          <w:sz w:val="20"/>
          <w:lang w:val="pt-BR"/>
        </w:rPr>
        <w:t>a partir</w:t>
      </w:r>
      <w:r w:rsidRPr="002F50BD">
        <w:rPr>
          <w:rFonts w:ascii="Verdana" w:hAnsi="Verdana"/>
          <w:sz w:val="20"/>
          <w:lang w:val="pt-BR"/>
        </w:rPr>
        <w:t xml:space="preserve"> da </w:t>
      </w:r>
      <w:r w:rsidR="004756C1" w:rsidRPr="002F50BD">
        <w:rPr>
          <w:rFonts w:ascii="Verdana" w:hAnsi="Verdana"/>
          <w:sz w:val="20"/>
          <w:lang w:val="pt-BR"/>
        </w:rPr>
        <w:t>notifica</w:t>
      </w:r>
      <w:r w:rsidRPr="002F50BD">
        <w:rPr>
          <w:rFonts w:ascii="Verdana" w:hAnsi="Verdana"/>
          <w:sz w:val="20"/>
          <w:lang w:val="pt-BR"/>
        </w:rPr>
        <w:t xml:space="preserve">ção da </w:t>
      </w:r>
      <w:r w:rsidR="004756C1" w:rsidRPr="002F50BD">
        <w:rPr>
          <w:rFonts w:ascii="Verdana" w:hAnsi="Verdana"/>
          <w:sz w:val="20"/>
          <w:lang w:val="pt-BR"/>
        </w:rPr>
        <w:t xml:space="preserve">presente </w:t>
      </w:r>
      <w:r w:rsidRPr="002F50BD">
        <w:rPr>
          <w:rFonts w:ascii="Verdana" w:hAnsi="Verdana"/>
          <w:sz w:val="20"/>
          <w:lang w:val="pt-BR"/>
        </w:rPr>
        <w:t>Sentença</w:t>
      </w:r>
      <w:r w:rsidR="00DB020A"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e os </w:t>
      </w:r>
      <w:r w:rsidR="008C29C9" w:rsidRPr="002F50BD">
        <w:rPr>
          <w:rFonts w:ascii="Verdana" w:hAnsi="Verdana"/>
          <w:sz w:val="20"/>
          <w:lang w:val="pt-BR"/>
        </w:rPr>
        <w:t>representante</w:t>
      </w:r>
      <w:r w:rsidR="004756C1" w:rsidRPr="002F50BD">
        <w:rPr>
          <w:rFonts w:ascii="Verdana" w:hAnsi="Verdana"/>
          <w:sz w:val="20"/>
          <w:lang w:val="pt-BR"/>
        </w:rPr>
        <w:t>s n</w:t>
      </w:r>
      <w:r w:rsidR="0031730D"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tiver</w:t>
      </w:r>
      <w:r w:rsidR="0031730D" w:rsidRPr="002F50BD">
        <w:rPr>
          <w:rFonts w:ascii="Verdana" w:hAnsi="Verdana"/>
          <w:sz w:val="20"/>
          <w:lang w:val="pt-BR"/>
        </w:rPr>
        <w:t>em</w:t>
      </w:r>
      <w:r w:rsidR="004756C1" w:rsidRPr="002F50BD">
        <w:rPr>
          <w:rFonts w:ascii="Verdana" w:hAnsi="Verdana"/>
          <w:sz w:val="20"/>
          <w:lang w:val="pt-BR"/>
        </w:rPr>
        <w:t xml:space="preserve"> </w:t>
      </w:r>
      <w:r w:rsidR="004076AD" w:rsidRPr="002F50BD">
        <w:rPr>
          <w:rFonts w:ascii="Verdana" w:hAnsi="Verdana"/>
          <w:sz w:val="20"/>
          <w:lang w:val="pt-BR"/>
        </w:rPr>
        <w:t>chegad</w:t>
      </w:r>
      <w:r w:rsidR="004756C1" w:rsidRPr="002F50BD">
        <w:rPr>
          <w:rFonts w:ascii="Verdana" w:hAnsi="Verdana"/>
          <w:sz w:val="20"/>
          <w:lang w:val="pt-BR"/>
        </w:rPr>
        <w:t>o a</w:t>
      </w:r>
      <w:r w:rsidRPr="002F50BD">
        <w:rPr>
          <w:rFonts w:ascii="Verdana" w:hAnsi="Verdana"/>
          <w:sz w:val="20"/>
          <w:lang w:val="pt-BR"/>
        </w:rPr>
        <w:t xml:space="preserve"> um acordo</w:t>
      </w:r>
      <w:r w:rsidR="004756C1" w:rsidRPr="002F50BD">
        <w:rPr>
          <w:rFonts w:ascii="Verdana" w:hAnsi="Verdana"/>
          <w:sz w:val="20"/>
          <w:lang w:val="pt-BR"/>
        </w:rPr>
        <w:t xml:space="preserve"> </w:t>
      </w:r>
      <w:r w:rsidRPr="002F50BD">
        <w:rPr>
          <w:rFonts w:ascii="Verdana" w:hAnsi="Verdana"/>
          <w:sz w:val="20"/>
          <w:lang w:val="pt-BR"/>
        </w:rPr>
        <w:t xml:space="preserve">a respeito da </w:t>
      </w:r>
      <w:r w:rsidR="004756C1" w:rsidRPr="002F50BD">
        <w:rPr>
          <w:rFonts w:ascii="Verdana" w:hAnsi="Verdana"/>
          <w:sz w:val="20"/>
          <w:lang w:val="pt-BR"/>
        </w:rPr>
        <w:t>integra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do comitê</w:t>
      </w:r>
      <w:r w:rsidR="004756C1" w:rsidRPr="002F50BD">
        <w:rPr>
          <w:rFonts w:ascii="Verdana" w:hAnsi="Verdana"/>
          <w:sz w:val="20"/>
          <w:lang w:val="pt-BR"/>
        </w:rPr>
        <w:t xml:space="preserve"> </w:t>
      </w:r>
      <w:r w:rsidR="004756C1" w:rsidRPr="002F50BD">
        <w:rPr>
          <w:rFonts w:ascii="Verdana" w:hAnsi="Verdana"/>
          <w:sz w:val="20"/>
          <w:lang w:val="pt-BR"/>
        </w:rPr>
        <w:lastRenderedPageBreak/>
        <w:t>de implementa</w:t>
      </w:r>
      <w:r w:rsidRPr="002F50BD">
        <w:rPr>
          <w:rFonts w:ascii="Verdana" w:hAnsi="Verdana"/>
          <w:sz w:val="20"/>
          <w:lang w:val="pt-BR"/>
        </w:rPr>
        <w:t>ção</w:t>
      </w:r>
      <w:r w:rsidR="004756C1" w:rsidRPr="002F50BD">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Corte</w:t>
      </w:r>
      <w:r w:rsidRPr="002F50BD">
        <w:rPr>
          <w:rFonts w:ascii="Verdana" w:hAnsi="Verdana"/>
          <w:sz w:val="20"/>
          <w:lang w:val="pt-BR"/>
        </w:rPr>
        <w:t xml:space="preserve"> os </w:t>
      </w:r>
      <w:r w:rsidR="004756C1" w:rsidRPr="002F50BD">
        <w:rPr>
          <w:rFonts w:ascii="Verdana" w:hAnsi="Verdana"/>
          <w:sz w:val="20"/>
          <w:lang w:val="pt-BR"/>
        </w:rPr>
        <w:t>convocará a</w:t>
      </w:r>
      <w:r w:rsidRPr="002F50BD">
        <w:rPr>
          <w:rFonts w:ascii="Verdana" w:hAnsi="Verdana"/>
          <w:sz w:val="20"/>
          <w:lang w:val="pt-BR"/>
        </w:rPr>
        <w:t xml:space="preserve"> uma reunião</w:t>
      </w:r>
      <w:r w:rsidR="004756C1" w:rsidRPr="002F50BD">
        <w:rPr>
          <w:rFonts w:ascii="Verdana" w:hAnsi="Verdana"/>
          <w:sz w:val="20"/>
          <w:lang w:val="pt-BR"/>
        </w:rPr>
        <w:t xml:space="preserve"> para decidir sobre este </w:t>
      </w:r>
      <w:r w:rsidRPr="002F50BD">
        <w:rPr>
          <w:rFonts w:ascii="Verdana" w:hAnsi="Verdana"/>
          <w:sz w:val="20"/>
          <w:lang w:val="pt-BR"/>
        </w:rPr>
        <w:t>assunto</w:t>
      </w:r>
      <w:r w:rsidR="004756C1" w:rsidRPr="002F50BD">
        <w:rPr>
          <w:rFonts w:ascii="Verdana" w:hAnsi="Verdana"/>
          <w:sz w:val="20"/>
          <w:lang w:val="pt-BR"/>
        </w:rPr>
        <w:t>.</w:t>
      </w:r>
    </w:p>
    <w:p w:rsidR="004756C1" w:rsidRPr="002F50BD" w:rsidRDefault="004756C1">
      <w:pPr>
        <w:rPr>
          <w:rFonts w:ascii="Verdana" w:hAnsi="Verdana"/>
          <w:lang w:val="pt-BR"/>
        </w:rPr>
      </w:pPr>
    </w:p>
    <w:p w:rsidR="004756C1" w:rsidRPr="002F50BD" w:rsidRDefault="0089298C">
      <w:pPr>
        <w:widowControl w:val="0"/>
        <w:numPr>
          <w:ilvl w:val="0"/>
          <w:numId w:val="15"/>
        </w:numPr>
        <w:jc w:val="center"/>
        <w:rPr>
          <w:rFonts w:ascii="Verdana" w:hAnsi="Verdana"/>
          <w:i/>
          <w:smallCaps/>
          <w:sz w:val="20"/>
        </w:rPr>
      </w:pPr>
      <w:r w:rsidRPr="002F50BD">
        <w:rPr>
          <w:rFonts w:ascii="Verdana" w:hAnsi="Verdana"/>
          <w:i/>
          <w:smallCaps/>
          <w:sz w:val="20"/>
        </w:rPr>
        <w:t>Outra</w:t>
      </w:r>
      <w:r w:rsidR="004756C1" w:rsidRPr="002F50BD">
        <w:rPr>
          <w:rFonts w:ascii="Verdana" w:hAnsi="Verdana"/>
          <w:i/>
          <w:smallCaps/>
          <w:sz w:val="20"/>
        </w:rPr>
        <w:t>s Formas de Repara</w:t>
      </w:r>
      <w:r w:rsidRPr="002F50BD">
        <w:rPr>
          <w:rFonts w:ascii="Verdana" w:hAnsi="Verdana"/>
          <w:i/>
          <w:smallCaps/>
          <w:sz w:val="20"/>
        </w:rPr>
        <w:t>ção</w:t>
      </w:r>
      <w:r w:rsidR="004756C1" w:rsidRPr="002F50BD">
        <w:rPr>
          <w:rFonts w:ascii="Verdana" w:hAnsi="Verdana"/>
          <w:i/>
          <w:smallCaps/>
          <w:sz w:val="20"/>
        </w:rPr>
        <w:t xml:space="preserve"> </w:t>
      </w:r>
    </w:p>
    <w:p w:rsidR="004756C1" w:rsidRPr="002F50BD" w:rsidRDefault="00CF451D">
      <w:pPr>
        <w:widowControl w:val="0"/>
        <w:ind w:left="360"/>
        <w:jc w:val="center"/>
        <w:rPr>
          <w:rFonts w:ascii="Verdana" w:hAnsi="Verdana"/>
          <w:i/>
          <w:smallCaps/>
          <w:sz w:val="20"/>
          <w:lang w:val="pt-BR"/>
        </w:rPr>
      </w:pPr>
      <w:r w:rsidRPr="00CF451D">
        <w:rPr>
          <w:rFonts w:ascii="Verdana" w:hAnsi="Verdana"/>
          <w:smallCaps/>
          <w:sz w:val="20"/>
          <w:lang w:val="pt-BR"/>
        </w:rPr>
        <w:t>(</w:t>
      </w:r>
      <w:r w:rsidR="004756C1" w:rsidRPr="002F50BD">
        <w:rPr>
          <w:rFonts w:ascii="Verdana" w:hAnsi="Verdana"/>
          <w:i/>
          <w:smallCaps/>
          <w:sz w:val="20"/>
          <w:lang w:val="pt-BR"/>
        </w:rPr>
        <w:t xml:space="preserve">Medidas de </w:t>
      </w:r>
      <w:r w:rsidR="0089298C" w:rsidRPr="002F50BD">
        <w:rPr>
          <w:rFonts w:ascii="Verdana" w:hAnsi="Verdana"/>
          <w:i/>
          <w:smallCaps/>
          <w:sz w:val="20"/>
          <w:lang w:val="pt-BR"/>
        </w:rPr>
        <w:t>Satisfação e Garantias</w:t>
      </w:r>
      <w:r w:rsidR="004756C1" w:rsidRPr="002F50BD">
        <w:rPr>
          <w:rFonts w:ascii="Verdana" w:hAnsi="Verdana"/>
          <w:i/>
          <w:smallCaps/>
          <w:sz w:val="20"/>
          <w:lang w:val="pt-BR"/>
        </w:rPr>
        <w:t xml:space="preserve"> </w:t>
      </w:r>
      <w:r w:rsidR="0089298C" w:rsidRPr="002F50BD">
        <w:rPr>
          <w:rFonts w:ascii="Verdana" w:hAnsi="Verdana"/>
          <w:i/>
          <w:smallCaps/>
          <w:sz w:val="20"/>
          <w:lang w:val="pt-BR"/>
        </w:rPr>
        <w:t>de não repetição</w:t>
      </w:r>
      <w:r w:rsidRPr="00CF451D">
        <w:rPr>
          <w:rFonts w:ascii="Verdana" w:hAnsi="Verdana"/>
          <w:smallCaps/>
          <w:sz w:val="20"/>
          <w:lang w:val="pt-BR"/>
        </w:rPr>
        <w:t>)</w:t>
      </w:r>
    </w:p>
    <w:p w:rsidR="004756C1" w:rsidRPr="002F50BD" w:rsidRDefault="004756C1">
      <w:pPr>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 da Comissão</w:t>
      </w:r>
    </w:p>
    <w:p w:rsidR="0031730D" w:rsidRPr="002F50BD" w:rsidRDefault="0031730D" w:rsidP="0031730D">
      <w:pPr>
        <w:jc w:val="both"/>
        <w:rPr>
          <w:rFonts w:ascii="Verdana" w:hAnsi="Verdana"/>
          <w:sz w:val="20"/>
          <w:lang w:val="pt-BR"/>
        </w:rPr>
      </w:pPr>
    </w:p>
    <w:p w:rsidR="004756C1" w:rsidRPr="002F50BD" w:rsidRDefault="0089298C">
      <w:pPr>
        <w:numPr>
          <w:ilvl w:val="0"/>
          <w:numId w:val="32"/>
        </w:numPr>
        <w:jc w:val="both"/>
        <w:rPr>
          <w:rFonts w:ascii="Verdana" w:hAnsi="Verdana"/>
          <w:sz w:val="20"/>
          <w:lang w:val="pt-BR"/>
        </w:rPr>
      </w:pPr>
      <w:r w:rsidRPr="002F50BD">
        <w:rPr>
          <w:rFonts w:ascii="Verdana" w:hAnsi="Verdana"/>
          <w:sz w:val="20"/>
          <w:lang w:val="pt-BR"/>
        </w:rPr>
        <w:t>A Comissão</w:t>
      </w:r>
      <w:r w:rsidR="004756C1" w:rsidRPr="002F50BD">
        <w:rPr>
          <w:rFonts w:ascii="Verdana" w:hAnsi="Verdana"/>
          <w:sz w:val="20"/>
          <w:lang w:val="pt-BR"/>
        </w:rPr>
        <w:t xml:space="preserve"> </w:t>
      </w:r>
      <w:r w:rsidRPr="002F50BD">
        <w:rPr>
          <w:rFonts w:ascii="Verdana" w:hAnsi="Verdana"/>
          <w:sz w:val="20"/>
          <w:lang w:val="pt-BR"/>
        </w:rPr>
        <w:t xml:space="preserve">solicitou à </w:t>
      </w:r>
      <w:r w:rsidR="004756C1" w:rsidRPr="002F50BD">
        <w:rPr>
          <w:rFonts w:ascii="Verdana" w:hAnsi="Verdana"/>
          <w:sz w:val="20"/>
          <w:lang w:val="pt-BR"/>
        </w:rPr>
        <w:t>Corte que ordene</w:t>
      </w:r>
      <w:r w:rsidRPr="002F50BD">
        <w:rPr>
          <w:rFonts w:ascii="Verdana" w:hAnsi="Verdana"/>
          <w:sz w:val="20"/>
          <w:lang w:val="pt-BR"/>
        </w:rPr>
        <w:t xml:space="preserve"> ao </w:t>
      </w:r>
      <w:r w:rsidR="004756C1" w:rsidRPr="002F50BD">
        <w:rPr>
          <w:rFonts w:ascii="Verdana" w:hAnsi="Verdana"/>
          <w:sz w:val="20"/>
          <w:lang w:val="pt-BR"/>
        </w:rPr>
        <w:t xml:space="preserve">Estado </w:t>
      </w:r>
      <w:r w:rsidRPr="002F50BD">
        <w:rPr>
          <w:rFonts w:ascii="Verdana" w:hAnsi="Verdana"/>
          <w:sz w:val="20"/>
          <w:lang w:val="pt-BR"/>
        </w:rPr>
        <w:t>executar as seguinte</w:t>
      </w:r>
      <w:r w:rsidR="004756C1" w:rsidRPr="002F50BD">
        <w:rPr>
          <w:rFonts w:ascii="Verdana" w:hAnsi="Verdana"/>
          <w:sz w:val="20"/>
          <w:lang w:val="pt-BR"/>
        </w:rPr>
        <w:t xml:space="preserve">s medidas, de </w:t>
      </w:r>
      <w:r w:rsidRPr="002F50BD">
        <w:rPr>
          <w:rFonts w:ascii="Verdana" w:hAnsi="Verdana"/>
          <w:sz w:val="20"/>
          <w:lang w:val="pt-BR"/>
        </w:rPr>
        <w:t>comum</w:t>
      </w:r>
      <w:r w:rsidR="004756C1" w:rsidRPr="002F50BD">
        <w:rPr>
          <w:rFonts w:ascii="Verdana" w:hAnsi="Verdana"/>
          <w:sz w:val="20"/>
          <w:lang w:val="pt-BR"/>
        </w:rPr>
        <w:t xml:space="preserve"> </w:t>
      </w:r>
      <w:r w:rsidRPr="002F50BD">
        <w:rPr>
          <w:rFonts w:ascii="Verdana" w:hAnsi="Verdana"/>
          <w:sz w:val="20"/>
          <w:lang w:val="pt-BR"/>
        </w:rPr>
        <w:t xml:space="preserve">acordo com a Comunidade </w:t>
      </w:r>
      <w:r w:rsidR="004756C1" w:rsidRPr="002F50BD">
        <w:rPr>
          <w:rFonts w:ascii="Verdana" w:hAnsi="Verdana"/>
          <w:sz w:val="20"/>
          <w:lang w:val="pt-BR"/>
        </w:rPr>
        <w:t>Yakye Axa:</w:t>
      </w:r>
    </w:p>
    <w:p w:rsidR="004756C1" w:rsidRPr="002F50BD" w:rsidRDefault="004756C1">
      <w:pPr>
        <w:ind w:firstLine="180"/>
        <w:jc w:val="both"/>
        <w:rPr>
          <w:rFonts w:ascii="Verdana" w:hAnsi="Verdana"/>
          <w:sz w:val="20"/>
          <w:lang w:val="pt-BR"/>
        </w:rPr>
      </w:pPr>
    </w:p>
    <w:p w:rsidR="004756C1" w:rsidRPr="002F50BD" w:rsidRDefault="004756C1">
      <w:pPr>
        <w:tabs>
          <w:tab w:val="left" w:pos="1080"/>
        </w:tabs>
        <w:ind w:left="720"/>
        <w:jc w:val="both"/>
        <w:rPr>
          <w:rFonts w:ascii="Verdana" w:hAnsi="Verdana"/>
          <w:sz w:val="20"/>
          <w:lang w:val="pt-BR"/>
        </w:rPr>
      </w:pPr>
      <w:r w:rsidRPr="002F50BD">
        <w:rPr>
          <w:rFonts w:ascii="Verdana" w:hAnsi="Verdana"/>
          <w:sz w:val="20"/>
          <w:lang w:val="pt-BR"/>
        </w:rPr>
        <w:t>a</w:t>
      </w:r>
      <w:r w:rsidR="00CF451D" w:rsidRPr="00CF451D">
        <w:rPr>
          <w:rFonts w:ascii="Verdana" w:hAnsi="Verdana"/>
          <w:sz w:val="20"/>
          <w:lang w:val="pt-BR"/>
        </w:rPr>
        <w:t>)</w:t>
      </w:r>
      <w:r w:rsidRPr="002F50BD">
        <w:rPr>
          <w:rFonts w:ascii="Verdana" w:hAnsi="Verdana"/>
          <w:sz w:val="20"/>
          <w:lang w:val="pt-BR"/>
        </w:rPr>
        <w:tab/>
        <w:t>entregar a título gratuito</w:t>
      </w:r>
      <w:r w:rsidR="0089298C" w:rsidRPr="002F50BD">
        <w:rPr>
          <w:rFonts w:ascii="Verdana" w:hAnsi="Verdana"/>
          <w:sz w:val="20"/>
          <w:lang w:val="pt-BR"/>
        </w:rPr>
        <w:t xml:space="preserve"> à Comunidade </w:t>
      </w:r>
      <w:r w:rsidRPr="002F50BD">
        <w:rPr>
          <w:rFonts w:ascii="Verdana" w:hAnsi="Verdana"/>
          <w:sz w:val="20"/>
          <w:lang w:val="pt-BR"/>
        </w:rPr>
        <w:t>Yakye Axa</w:t>
      </w:r>
      <w:r w:rsidR="0089298C" w:rsidRPr="002F50BD">
        <w:rPr>
          <w:rFonts w:ascii="Verdana" w:hAnsi="Verdana"/>
          <w:sz w:val="20"/>
          <w:lang w:val="pt-BR"/>
        </w:rPr>
        <w:t xml:space="preserve"> as terra</w:t>
      </w:r>
      <w:r w:rsidRPr="002F50BD">
        <w:rPr>
          <w:rFonts w:ascii="Verdana" w:hAnsi="Verdana"/>
          <w:sz w:val="20"/>
          <w:lang w:val="pt-BR"/>
        </w:rPr>
        <w:t xml:space="preserve">s que reclama como </w:t>
      </w:r>
      <w:r w:rsidR="00DB51F0" w:rsidRPr="002F50BD">
        <w:rPr>
          <w:rFonts w:ascii="Verdana" w:hAnsi="Verdana"/>
          <w:sz w:val="20"/>
          <w:lang w:val="pt-BR"/>
        </w:rPr>
        <w:t xml:space="preserve">seu </w:t>
      </w:r>
      <w:r w:rsidR="00DB51F0" w:rsidRPr="002F50BD">
        <w:rPr>
          <w:rFonts w:ascii="Verdana" w:hAnsi="Verdana"/>
          <w:i/>
          <w:sz w:val="20"/>
          <w:lang w:val="pt-BR"/>
        </w:rPr>
        <w:t>habitat</w:t>
      </w:r>
      <w:r w:rsidRPr="002F50BD">
        <w:rPr>
          <w:rFonts w:ascii="Verdana" w:hAnsi="Verdana"/>
          <w:sz w:val="20"/>
          <w:lang w:val="pt-BR"/>
        </w:rPr>
        <w:t xml:space="preserve"> tradicional o</w:t>
      </w:r>
      <w:r w:rsidR="0031730D" w:rsidRPr="002F50BD">
        <w:rPr>
          <w:rFonts w:ascii="Verdana" w:hAnsi="Verdana"/>
          <w:sz w:val="20"/>
          <w:lang w:val="pt-BR"/>
        </w:rPr>
        <w:t>u</w:t>
      </w:r>
      <w:r w:rsidRPr="002F50BD">
        <w:rPr>
          <w:rFonts w:ascii="Verdana" w:hAnsi="Verdana"/>
          <w:sz w:val="20"/>
          <w:lang w:val="pt-BR"/>
        </w:rPr>
        <w:t xml:space="preserve"> </w:t>
      </w:r>
      <w:r w:rsidR="0089298C" w:rsidRPr="002F50BD">
        <w:rPr>
          <w:rFonts w:ascii="Verdana" w:hAnsi="Verdana"/>
          <w:sz w:val="20"/>
          <w:lang w:val="pt-BR"/>
        </w:rPr>
        <w:t>território</w:t>
      </w:r>
      <w:r w:rsidRPr="002F50BD">
        <w:rPr>
          <w:rFonts w:ascii="Verdana" w:hAnsi="Verdana"/>
          <w:sz w:val="20"/>
          <w:lang w:val="pt-BR"/>
        </w:rPr>
        <w:t xml:space="preserve"> ancestral. Estas </w:t>
      </w:r>
      <w:r w:rsidR="0089298C" w:rsidRPr="002F50BD">
        <w:rPr>
          <w:rFonts w:ascii="Verdana" w:hAnsi="Verdana"/>
          <w:sz w:val="20"/>
          <w:lang w:val="pt-BR"/>
        </w:rPr>
        <w:t>terra</w:t>
      </w:r>
      <w:r w:rsidRPr="002F50BD">
        <w:rPr>
          <w:rFonts w:ascii="Verdana" w:hAnsi="Verdana"/>
          <w:sz w:val="20"/>
          <w:lang w:val="pt-BR"/>
        </w:rPr>
        <w:t xml:space="preserve">s </w:t>
      </w:r>
      <w:r w:rsidR="0089298C" w:rsidRPr="002F50BD">
        <w:rPr>
          <w:rFonts w:ascii="Verdana" w:hAnsi="Verdana"/>
          <w:sz w:val="20"/>
          <w:lang w:val="pt-BR"/>
        </w:rPr>
        <w:t>deverão</w:t>
      </w:r>
      <w:r w:rsidRPr="002F50BD">
        <w:rPr>
          <w:rFonts w:ascii="Verdana" w:hAnsi="Verdana"/>
          <w:sz w:val="20"/>
          <w:lang w:val="pt-BR"/>
        </w:rPr>
        <w:t xml:space="preserve"> ser habilitadas</w:t>
      </w:r>
      <w:r w:rsidR="0089298C" w:rsidRPr="002F50BD">
        <w:rPr>
          <w:rFonts w:ascii="Verdana" w:hAnsi="Verdana"/>
          <w:sz w:val="20"/>
          <w:lang w:val="pt-BR"/>
        </w:rPr>
        <w:t xml:space="preserve"> com serviço</w:t>
      </w:r>
      <w:r w:rsidRPr="002F50BD">
        <w:rPr>
          <w:rFonts w:ascii="Verdana" w:hAnsi="Verdana"/>
          <w:sz w:val="20"/>
          <w:lang w:val="pt-BR"/>
        </w:rPr>
        <w:t>s básicos, educa</w:t>
      </w:r>
      <w:r w:rsidR="0089298C" w:rsidRPr="002F50BD">
        <w:rPr>
          <w:rFonts w:ascii="Verdana" w:hAnsi="Verdana"/>
          <w:sz w:val="20"/>
          <w:lang w:val="pt-BR"/>
        </w:rPr>
        <w:t>ção e saúde</w:t>
      </w:r>
      <w:r w:rsidRPr="002F50BD">
        <w:rPr>
          <w:rFonts w:ascii="Verdana" w:hAnsi="Verdana"/>
          <w:sz w:val="20"/>
          <w:lang w:val="pt-BR"/>
        </w:rPr>
        <w:t xml:space="preserve"> que </w:t>
      </w:r>
      <w:r w:rsidR="0089298C" w:rsidRPr="002F50BD">
        <w:rPr>
          <w:rFonts w:ascii="Verdana" w:hAnsi="Verdana"/>
          <w:sz w:val="20"/>
          <w:lang w:val="pt-BR"/>
        </w:rPr>
        <w:t xml:space="preserve">permitam à Comunidade desenvolver uma </w:t>
      </w:r>
      <w:r w:rsidRPr="002F50BD">
        <w:rPr>
          <w:rFonts w:ascii="Verdana" w:hAnsi="Verdana"/>
          <w:sz w:val="20"/>
          <w:lang w:val="pt-BR"/>
        </w:rPr>
        <w:t xml:space="preserve">vida digna de </w:t>
      </w:r>
      <w:r w:rsidR="0089298C" w:rsidRPr="002F50BD">
        <w:rPr>
          <w:rFonts w:ascii="Verdana" w:hAnsi="Verdana"/>
          <w:sz w:val="20"/>
          <w:lang w:val="pt-BR"/>
        </w:rPr>
        <w:t>acordo</w:t>
      </w:r>
      <w:r w:rsidRPr="002F50BD">
        <w:rPr>
          <w:rFonts w:ascii="Verdana" w:hAnsi="Verdana"/>
          <w:sz w:val="20"/>
          <w:lang w:val="pt-BR"/>
        </w:rPr>
        <w:t xml:space="preserve"> </w:t>
      </w:r>
      <w:r w:rsidR="0031730D" w:rsidRPr="002F50BD">
        <w:rPr>
          <w:rFonts w:ascii="Verdana" w:hAnsi="Verdana"/>
          <w:sz w:val="20"/>
          <w:lang w:val="pt-BR"/>
        </w:rPr>
        <w:t>com</w:t>
      </w:r>
      <w:r w:rsidRPr="002F50BD">
        <w:rPr>
          <w:rFonts w:ascii="Verdana" w:hAnsi="Verdana"/>
          <w:sz w:val="20"/>
          <w:lang w:val="pt-BR"/>
        </w:rPr>
        <w:t xml:space="preserve"> </w:t>
      </w:r>
      <w:r w:rsidR="00E350FB" w:rsidRPr="002F50BD">
        <w:rPr>
          <w:rFonts w:ascii="Verdana" w:hAnsi="Verdana"/>
          <w:sz w:val="20"/>
          <w:lang w:val="pt-BR"/>
        </w:rPr>
        <w:t>suas próprias</w:t>
      </w:r>
      <w:r w:rsidRPr="002F50BD">
        <w:rPr>
          <w:rFonts w:ascii="Verdana" w:hAnsi="Verdana"/>
          <w:sz w:val="20"/>
          <w:lang w:val="pt-BR"/>
        </w:rPr>
        <w:t xml:space="preserve"> pautas </w:t>
      </w:r>
      <w:r w:rsidR="0089298C" w:rsidRPr="002F50BD">
        <w:rPr>
          <w:rFonts w:ascii="Verdana" w:hAnsi="Verdana"/>
          <w:sz w:val="20"/>
          <w:lang w:val="pt-BR"/>
        </w:rPr>
        <w:t>culturais</w:t>
      </w:r>
      <w:r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4756C1">
      <w:pPr>
        <w:tabs>
          <w:tab w:val="left" w:pos="1080"/>
        </w:tabs>
        <w:ind w:left="720"/>
        <w:jc w:val="both"/>
        <w:rPr>
          <w:rFonts w:ascii="Verdana" w:hAnsi="Verdana"/>
          <w:sz w:val="20"/>
          <w:lang w:val="pt-BR"/>
        </w:rPr>
      </w:pPr>
      <w:r w:rsidRPr="002F50BD">
        <w:rPr>
          <w:rFonts w:ascii="Verdana" w:hAnsi="Verdana"/>
          <w:sz w:val="20"/>
          <w:lang w:val="pt-BR"/>
        </w:rPr>
        <w:t>b</w:t>
      </w:r>
      <w:r w:rsidR="00CF451D" w:rsidRPr="00CF451D">
        <w:rPr>
          <w:rFonts w:ascii="Verdana" w:hAnsi="Verdana"/>
          <w:sz w:val="20"/>
          <w:lang w:val="pt-BR"/>
        </w:rPr>
        <w:t>)</w:t>
      </w:r>
      <w:r w:rsidRPr="002F50BD">
        <w:rPr>
          <w:rFonts w:ascii="Verdana" w:hAnsi="Verdana"/>
          <w:sz w:val="20"/>
          <w:lang w:val="pt-BR"/>
        </w:rPr>
        <w:tab/>
        <w:t>proteger</w:t>
      </w:r>
      <w:r w:rsidR="0089298C" w:rsidRPr="002F50BD">
        <w:rPr>
          <w:rFonts w:ascii="Verdana" w:hAnsi="Verdana"/>
          <w:sz w:val="20"/>
          <w:lang w:val="pt-BR"/>
        </w:rPr>
        <w:t xml:space="preserve"> as terra</w:t>
      </w:r>
      <w:r w:rsidRPr="002F50BD">
        <w:rPr>
          <w:rFonts w:ascii="Verdana" w:hAnsi="Verdana"/>
          <w:sz w:val="20"/>
          <w:lang w:val="pt-BR"/>
        </w:rPr>
        <w:t>s reclamadas</w:t>
      </w:r>
      <w:r w:rsidR="0089298C" w:rsidRPr="002F50BD">
        <w:rPr>
          <w:rFonts w:ascii="Verdana" w:hAnsi="Verdana"/>
          <w:sz w:val="20"/>
          <w:lang w:val="pt-BR"/>
        </w:rPr>
        <w:t xml:space="preserve"> pela Comunidade com o fim </w:t>
      </w:r>
      <w:r w:rsidRPr="002F50BD">
        <w:rPr>
          <w:rFonts w:ascii="Verdana" w:hAnsi="Verdana"/>
          <w:sz w:val="20"/>
          <w:lang w:val="pt-BR"/>
        </w:rPr>
        <w:t xml:space="preserve">de </w:t>
      </w:r>
      <w:r w:rsidR="0089298C" w:rsidRPr="002F50BD">
        <w:rPr>
          <w:rFonts w:ascii="Verdana" w:hAnsi="Verdana"/>
          <w:sz w:val="20"/>
          <w:lang w:val="pt-BR"/>
        </w:rPr>
        <w:t>assegurar</w:t>
      </w:r>
      <w:r w:rsidRPr="002F50BD">
        <w:rPr>
          <w:rFonts w:ascii="Verdana" w:hAnsi="Verdana"/>
          <w:sz w:val="20"/>
          <w:lang w:val="pt-BR"/>
        </w:rPr>
        <w:t xml:space="preserve"> que n</w:t>
      </w:r>
      <w:r w:rsidR="0031730D" w:rsidRPr="002F50BD">
        <w:rPr>
          <w:rFonts w:ascii="Verdana" w:hAnsi="Verdana"/>
          <w:sz w:val="20"/>
          <w:lang w:val="pt-BR"/>
        </w:rPr>
        <w:t>ã</w:t>
      </w:r>
      <w:r w:rsidRPr="002F50BD">
        <w:rPr>
          <w:rFonts w:ascii="Verdana" w:hAnsi="Verdana"/>
          <w:sz w:val="20"/>
          <w:lang w:val="pt-BR"/>
        </w:rPr>
        <w:t>o se</w:t>
      </w:r>
      <w:r w:rsidR="0031730D" w:rsidRPr="002F50BD">
        <w:rPr>
          <w:rFonts w:ascii="Verdana" w:hAnsi="Verdana"/>
          <w:sz w:val="20"/>
          <w:lang w:val="pt-BR"/>
        </w:rPr>
        <w:t xml:space="preserve">jam extraídos </w:t>
      </w:r>
      <w:r w:rsidR="00AB454A" w:rsidRPr="002F50BD">
        <w:rPr>
          <w:rFonts w:ascii="Verdana" w:hAnsi="Verdana"/>
          <w:sz w:val="20"/>
          <w:lang w:val="pt-BR"/>
        </w:rPr>
        <w:t>recursos</w:t>
      </w:r>
      <w:r w:rsidRPr="002F50BD">
        <w:rPr>
          <w:rFonts w:ascii="Verdana" w:hAnsi="Verdana"/>
          <w:sz w:val="20"/>
          <w:lang w:val="pt-BR"/>
        </w:rPr>
        <w:t xml:space="preserve"> </w:t>
      </w:r>
      <w:r w:rsidR="005D1589" w:rsidRPr="002F50BD">
        <w:rPr>
          <w:rFonts w:ascii="Verdana" w:hAnsi="Verdana"/>
          <w:sz w:val="20"/>
          <w:lang w:val="pt-BR"/>
        </w:rPr>
        <w:t>naturais</w:t>
      </w:r>
      <w:r w:rsidR="00754117" w:rsidRPr="002F50BD">
        <w:rPr>
          <w:rFonts w:ascii="Verdana" w:hAnsi="Verdana"/>
          <w:sz w:val="20"/>
          <w:lang w:val="pt-BR"/>
        </w:rPr>
        <w:t xml:space="preserve"> do território reclamado</w:t>
      </w:r>
      <w:r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especial su</w:t>
      </w:r>
      <w:r w:rsidR="0031730D" w:rsidRPr="002F50BD">
        <w:rPr>
          <w:rFonts w:ascii="Verdana" w:hAnsi="Verdana"/>
          <w:sz w:val="20"/>
          <w:lang w:val="pt-BR"/>
        </w:rPr>
        <w:t>a</w:t>
      </w:r>
      <w:r w:rsidRPr="002F50BD">
        <w:rPr>
          <w:rFonts w:ascii="Verdana" w:hAnsi="Verdana"/>
          <w:sz w:val="20"/>
          <w:lang w:val="pt-BR"/>
        </w:rPr>
        <w:t xml:space="preserve">s </w:t>
      </w:r>
      <w:r w:rsidR="0031730D" w:rsidRPr="002F50BD">
        <w:rPr>
          <w:rFonts w:ascii="Verdana" w:hAnsi="Verdana"/>
          <w:sz w:val="20"/>
          <w:lang w:val="pt-BR"/>
        </w:rPr>
        <w:t>florestas</w:t>
      </w:r>
      <w:r w:rsidRPr="002F50BD">
        <w:rPr>
          <w:rFonts w:ascii="Verdana" w:hAnsi="Verdana"/>
          <w:sz w:val="20"/>
          <w:lang w:val="pt-BR"/>
        </w:rPr>
        <w:t>,</w:t>
      </w:r>
      <w:r w:rsidR="0089298C" w:rsidRPr="002F50BD">
        <w:rPr>
          <w:rFonts w:ascii="Verdana" w:hAnsi="Verdana"/>
          <w:sz w:val="20"/>
          <w:lang w:val="pt-BR"/>
        </w:rPr>
        <w:t xml:space="preserve"> nem </w:t>
      </w:r>
      <w:r w:rsidRPr="002F50BD">
        <w:rPr>
          <w:rFonts w:ascii="Verdana" w:hAnsi="Verdana"/>
          <w:sz w:val="20"/>
          <w:lang w:val="pt-BR"/>
        </w:rPr>
        <w:t xml:space="preserve">se </w:t>
      </w:r>
      <w:r w:rsidR="00AB454A" w:rsidRPr="002F50BD">
        <w:rPr>
          <w:rFonts w:ascii="Verdana" w:hAnsi="Verdana"/>
          <w:sz w:val="20"/>
          <w:lang w:val="pt-BR"/>
        </w:rPr>
        <w:t>afete</w:t>
      </w:r>
      <w:r w:rsidR="0089298C" w:rsidRPr="002F50BD">
        <w:rPr>
          <w:rFonts w:ascii="Verdana" w:hAnsi="Verdana"/>
          <w:sz w:val="20"/>
          <w:lang w:val="pt-BR"/>
        </w:rPr>
        <w:t xml:space="preserve"> a prática</w:t>
      </w:r>
      <w:r w:rsidRPr="002F50BD">
        <w:rPr>
          <w:rFonts w:ascii="Verdana" w:hAnsi="Verdana"/>
          <w:sz w:val="20"/>
          <w:lang w:val="pt-BR"/>
        </w:rPr>
        <w:t xml:space="preserve"> de </w:t>
      </w:r>
      <w:r w:rsidR="004076AD" w:rsidRPr="002F50BD">
        <w:rPr>
          <w:rFonts w:ascii="Verdana" w:hAnsi="Verdana"/>
          <w:sz w:val="20"/>
          <w:lang w:val="pt-BR"/>
        </w:rPr>
        <w:t>suas atividades</w:t>
      </w:r>
      <w:r w:rsidRPr="002F50BD">
        <w:rPr>
          <w:rFonts w:ascii="Verdana" w:hAnsi="Verdana"/>
          <w:sz w:val="20"/>
          <w:lang w:val="pt-BR"/>
        </w:rPr>
        <w:t xml:space="preserve"> tr</w:t>
      </w:r>
      <w:r w:rsidR="0089298C" w:rsidRPr="002F50BD">
        <w:rPr>
          <w:rFonts w:ascii="Verdana" w:hAnsi="Verdana"/>
          <w:sz w:val="20"/>
          <w:lang w:val="pt-BR"/>
        </w:rPr>
        <w:t>adicionais</w:t>
      </w:r>
      <w:r w:rsidRPr="002F50BD">
        <w:rPr>
          <w:rFonts w:ascii="Verdana" w:hAnsi="Verdana"/>
          <w:sz w:val="20"/>
          <w:lang w:val="pt-BR"/>
        </w:rPr>
        <w:t xml:space="preserve"> de </w:t>
      </w:r>
      <w:r w:rsidR="0089298C" w:rsidRPr="002F50BD">
        <w:rPr>
          <w:rFonts w:ascii="Verdana" w:hAnsi="Verdana"/>
          <w:sz w:val="20"/>
          <w:lang w:val="pt-BR"/>
        </w:rPr>
        <w:t>subsistência</w:t>
      </w:r>
      <w:r w:rsidRPr="002F50BD">
        <w:rPr>
          <w:rFonts w:ascii="Verdana" w:hAnsi="Verdana"/>
          <w:sz w:val="20"/>
          <w:lang w:val="pt-BR"/>
        </w:rPr>
        <w:t xml:space="preserve">; </w:t>
      </w:r>
    </w:p>
    <w:p w:rsidR="004756C1" w:rsidRPr="002F50BD" w:rsidRDefault="004756C1">
      <w:pPr>
        <w:tabs>
          <w:tab w:val="left" w:pos="1080"/>
        </w:tabs>
        <w:ind w:left="720"/>
        <w:jc w:val="both"/>
        <w:rPr>
          <w:rFonts w:ascii="Verdana" w:hAnsi="Verdana"/>
          <w:sz w:val="20"/>
          <w:lang w:val="pt-BR"/>
        </w:rPr>
      </w:pPr>
    </w:p>
    <w:p w:rsidR="004756C1" w:rsidRPr="002F50BD" w:rsidRDefault="004756C1">
      <w:pPr>
        <w:pStyle w:val="BodyTextIndent2"/>
        <w:tabs>
          <w:tab w:val="left" w:pos="1080"/>
        </w:tabs>
        <w:spacing w:line="240" w:lineRule="auto"/>
        <w:ind w:left="720" w:firstLine="0"/>
        <w:rPr>
          <w:rFonts w:ascii="Verdana" w:hAnsi="Verdana"/>
          <w:sz w:val="20"/>
          <w:lang w:val="pt-BR"/>
        </w:rPr>
      </w:pPr>
      <w:r w:rsidRPr="002F50BD">
        <w:rPr>
          <w:rFonts w:ascii="Verdana" w:hAnsi="Verdana"/>
          <w:sz w:val="20"/>
          <w:lang w:val="pt-BR"/>
        </w:rPr>
        <w:t>c</w:t>
      </w:r>
      <w:r w:rsidR="00CF451D" w:rsidRPr="00CF451D">
        <w:rPr>
          <w:rFonts w:ascii="Verdana" w:hAnsi="Verdana"/>
          <w:sz w:val="20"/>
          <w:lang w:val="pt-BR"/>
        </w:rPr>
        <w:t>)</w:t>
      </w:r>
      <w:r w:rsidRPr="002F50BD">
        <w:rPr>
          <w:rFonts w:ascii="Verdana" w:hAnsi="Verdana"/>
          <w:sz w:val="20"/>
          <w:lang w:val="pt-BR"/>
        </w:rPr>
        <w:tab/>
      </w:r>
      <w:r w:rsidR="0089298C" w:rsidRPr="002F50BD">
        <w:rPr>
          <w:rFonts w:ascii="Verdana" w:hAnsi="Verdana"/>
          <w:sz w:val="20"/>
          <w:lang w:val="pt-BR"/>
        </w:rPr>
        <w:t>adot</w:t>
      </w:r>
      <w:r w:rsidRPr="002F50BD">
        <w:rPr>
          <w:rFonts w:ascii="Verdana" w:hAnsi="Verdana"/>
          <w:sz w:val="20"/>
          <w:lang w:val="pt-BR"/>
        </w:rPr>
        <w:t xml:space="preserve">ar normas de </w:t>
      </w:r>
      <w:r w:rsidR="0089298C" w:rsidRPr="002F50BD">
        <w:rPr>
          <w:rFonts w:ascii="Verdana" w:hAnsi="Verdana"/>
          <w:sz w:val="20"/>
          <w:lang w:val="pt-BR"/>
        </w:rPr>
        <w:t>direito</w:t>
      </w:r>
      <w:r w:rsidRPr="002F50BD">
        <w:rPr>
          <w:rFonts w:ascii="Verdana" w:hAnsi="Verdana"/>
          <w:sz w:val="20"/>
          <w:lang w:val="pt-BR"/>
        </w:rPr>
        <w:t xml:space="preserve"> interno que </w:t>
      </w:r>
      <w:r w:rsidR="0089298C" w:rsidRPr="002F50BD">
        <w:rPr>
          <w:rFonts w:ascii="Verdana" w:hAnsi="Verdana"/>
          <w:sz w:val="20"/>
          <w:lang w:val="pt-BR"/>
        </w:rPr>
        <w:t>garanta</w:t>
      </w:r>
      <w:r w:rsidR="0031730D" w:rsidRPr="002F50BD">
        <w:rPr>
          <w:rFonts w:ascii="Verdana" w:hAnsi="Verdana"/>
          <w:sz w:val="20"/>
          <w:lang w:val="pt-BR"/>
        </w:rPr>
        <w:t>m</w:t>
      </w:r>
      <w:r w:rsidR="0089298C" w:rsidRPr="002F50BD">
        <w:rPr>
          <w:rFonts w:ascii="Verdana" w:hAnsi="Verdana"/>
          <w:sz w:val="20"/>
          <w:lang w:val="pt-BR"/>
        </w:rPr>
        <w:t xml:space="preserve"> os direito</w:t>
      </w:r>
      <w:r w:rsidRPr="002F50BD">
        <w:rPr>
          <w:rFonts w:ascii="Verdana" w:hAnsi="Verdana"/>
          <w:sz w:val="20"/>
          <w:lang w:val="pt-BR"/>
        </w:rPr>
        <w:t>s re</w:t>
      </w:r>
      <w:r w:rsidR="0089298C" w:rsidRPr="002F50BD">
        <w:rPr>
          <w:rFonts w:ascii="Verdana" w:hAnsi="Verdana"/>
          <w:sz w:val="20"/>
          <w:lang w:val="pt-BR"/>
        </w:rPr>
        <w:t>conhecido</w:t>
      </w:r>
      <w:r w:rsidRPr="002F50BD">
        <w:rPr>
          <w:rFonts w:ascii="Verdana" w:hAnsi="Verdana"/>
          <w:sz w:val="20"/>
          <w:lang w:val="pt-BR"/>
        </w:rPr>
        <w:t>s</w:t>
      </w:r>
      <w:r w:rsidR="0089298C" w:rsidRPr="002F50BD">
        <w:rPr>
          <w:rFonts w:ascii="Verdana" w:hAnsi="Verdana"/>
          <w:sz w:val="20"/>
          <w:lang w:val="pt-BR"/>
        </w:rPr>
        <w:t xml:space="preserve"> na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do Paraguai</w:t>
      </w:r>
      <w:r w:rsidRPr="002F50BD">
        <w:rPr>
          <w:rFonts w:ascii="Verdana" w:hAnsi="Verdana"/>
          <w:sz w:val="20"/>
          <w:lang w:val="pt-BR"/>
        </w:rPr>
        <w:t xml:space="preserve"> a favor</w:t>
      </w:r>
      <w:r w:rsidR="0089298C" w:rsidRPr="002F50BD">
        <w:rPr>
          <w:rFonts w:ascii="Verdana" w:hAnsi="Verdana"/>
          <w:sz w:val="20"/>
          <w:lang w:val="pt-BR"/>
        </w:rPr>
        <w:t xml:space="preserve"> dos povo</w:t>
      </w:r>
      <w:r w:rsidRPr="002F50BD">
        <w:rPr>
          <w:rFonts w:ascii="Verdana" w:hAnsi="Verdana"/>
          <w:sz w:val="20"/>
          <w:lang w:val="pt-BR"/>
        </w:rPr>
        <w:t>s indígenas.</w:t>
      </w:r>
      <w:r w:rsidR="0089298C" w:rsidRPr="002F50BD">
        <w:rPr>
          <w:rFonts w:ascii="Verdana" w:hAnsi="Verdana"/>
          <w:sz w:val="20"/>
          <w:lang w:val="pt-BR"/>
        </w:rPr>
        <w:t xml:space="preserve"> </w:t>
      </w:r>
      <w:r w:rsidR="0031730D" w:rsidRPr="002F50BD">
        <w:rPr>
          <w:rFonts w:ascii="Verdana" w:hAnsi="Verdana"/>
          <w:sz w:val="20"/>
          <w:lang w:val="pt-BR"/>
        </w:rPr>
        <w:t>E</w:t>
      </w:r>
      <w:r w:rsidR="0089298C" w:rsidRPr="002F50BD">
        <w:rPr>
          <w:rFonts w:ascii="Verdana" w:hAnsi="Verdana"/>
          <w:sz w:val="20"/>
          <w:lang w:val="pt-BR"/>
        </w:rPr>
        <w:t xml:space="preserve">m </w:t>
      </w:r>
      <w:r w:rsidRPr="002F50BD">
        <w:rPr>
          <w:rFonts w:ascii="Verdana" w:hAnsi="Verdana"/>
          <w:sz w:val="20"/>
          <w:lang w:val="pt-BR"/>
        </w:rPr>
        <w:t>especial,</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dever</w:t>
      </w:r>
      <w:r w:rsidRPr="002F50BD">
        <w:rPr>
          <w:rFonts w:ascii="Verdana" w:hAnsi="Verdana"/>
          <w:sz w:val="20"/>
          <w:lang w:val="pt-BR"/>
        </w:rPr>
        <w:t xml:space="preserve">á </w:t>
      </w:r>
      <w:r w:rsidR="0089298C" w:rsidRPr="002F50BD">
        <w:rPr>
          <w:rFonts w:ascii="Verdana" w:hAnsi="Verdana"/>
          <w:sz w:val="20"/>
          <w:lang w:val="pt-BR"/>
        </w:rPr>
        <w:t>estabelece</w:t>
      </w:r>
      <w:r w:rsidRPr="002F50BD">
        <w:rPr>
          <w:rFonts w:ascii="Verdana" w:hAnsi="Verdana"/>
          <w:sz w:val="20"/>
          <w:lang w:val="pt-BR"/>
        </w:rPr>
        <w:t>r</w:t>
      </w:r>
      <w:r w:rsidR="0089298C" w:rsidRPr="002F50BD">
        <w:rPr>
          <w:rFonts w:ascii="Verdana" w:hAnsi="Verdana"/>
          <w:sz w:val="20"/>
          <w:lang w:val="pt-BR"/>
        </w:rPr>
        <w:t xml:space="preserve"> um </w:t>
      </w:r>
      <w:r w:rsidRPr="002F50BD">
        <w:rPr>
          <w:rFonts w:ascii="Verdana" w:hAnsi="Verdana"/>
          <w:sz w:val="20"/>
          <w:lang w:val="pt-BR"/>
        </w:rPr>
        <w:t xml:space="preserve">recurso </w:t>
      </w:r>
      <w:r w:rsidR="0089298C" w:rsidRPr="002F50BD">
        <w:rPr>
          <w:rFonts w:ascii="Verdana" w:hAnsi="Verdana"/>
          <w:sz w:val="20"/>
          <w:lang w:val="pt-BR"/>
        </w:rPr>
        <w:t>efetiv</w:t>
      </w:r>
      <w:r w:rsidRPr="002F50BD">
        <w:rPr>
          <w:rFonts w:ascii="Verdana" w:hAnsi="Verdana"/>
          <w:sz w:val="20"/>
          <w:lang w:val="pt-BR"/>
        </w:rPr>
        <w:t>o que permita</w:t>
      </w:r>
      <w:r w:rsidR="0089298C" w:rsidRPr="002F50BD">
        <w:rPr>
          <w:rFonts w:ascii="Verdana" w:hAnsi="Verdana"/>
          <w:sz w:val="20"/>
          <w:lang w:val="pt-BR"/>
        </w:rPr>
        <w:t xml:space="preserve"> aos povo</w:t>
      </w:r>
      <w:r w:rsidRPr="002F50BD">
        <w:rPr>
          <w:rFonts w:ascii="Verdana" w:hAnsi="Verdana"/>
          <w:sz w:val="20"/>
          <w:lang w:val="pt-BR"/>
        </w:rPr>
        <w:t xml:space="preserve">s indígenas </w:t>
      </w:r>
      <w:r w:rsidR="0089298C" w:rsidRPr="002F50BD">
        <w:rPr>
          <w:rFonts w:ascii="Verdana" w:hAnsi="Verdana"/>
          <w:sz w:val="20"/>
          <w:lang w:val="pt-BR"/>
        </w:rPr>
        <w:t>do Paraguai</w:t>
      </w:r>
      <w:r w:rsidRPr="002F50BD">
        <w:rPr>
          <w:rFonts w:ascii="Verdana" w:hAnsi="Verdana"/>
          <w:sz w:val="20"/>
          <w:lang w:val="pt-BR"/>
        </w:rPr>
        <w:t xml:space="preserve"> </w:t>
      </w:r>
      <w:r w:rsidR="0031730D" w:rsidRPr="002F50BD">
        <w:rPr>
          <w:rFonts w:ascii="Verdana" w:hAnsi="Verdana"/>
          <w:sz w:val="20"/>
          <w:lang w:val="pt-BR"/>
        </w:rPr>
        <w:t xml:space="preserve">ter acesso </w:t>
      </w:r>
      <w:r w:rsidRPr="002F50BD">
        <w:rPr>
          <w:rFonts w:ascii="Verdana" w:hAnsi="Verdana"/>
          <w:sz w:val="20"/>
          <w:lang w:val="pt-BR"/>
        </w:rPr>
        <w:t xml:space="preserve">a </w:t>
      </w:r>
      <w:r w:rsidR="00DB51F0" w:rsidRPr="002F50BD">
        <w:rPr>
          <w:rFonts w:ascii="Verdana" w:hAnsi="Verdana"/>
          <w:sz w:val="20"/>
          <w:lang w:val="pt-BR"/>
        </w:rPr>
        <w:t>seu habitat</w:t>
      </w:r>
      <w:r w:rsidRPr="002F50BD">
        <w:rPr>
          <w:rFonts w:ascii="Verdana" w:hAnsi="Verdana"/>
          <w:sz w:val="20"/>
          <w:lang w:val="pt-BR"/>
        </w:rPr>
        <w:t xml:space="preserve"> tradicional, de </w:t>
      </w:r>
      <w:r w:rsidR="0089298C" w:rsidRPr="002F50BD">
        <w:rPr>
          <w:rFonts w:ascii="Verdana" w:hAnsi="Verdana"/>
          <w:sz w:val="20"/>
          <w:lang w:val="pt-BR"/>
        </w:rPr>
        <w:t>acordo com os direito</w:t>
      </w:r>
      <w:r w:rsidRPr="002F50BD">
        <w:rPr>
          <w:rFonts w:ascii="Verdana" w:hAnsi="Verdana"/>
          <w:sz w:val="20"/>
          <w:lang w:val="pt-BR"/>
        </w:rPr>
        <w:t>s re</w:t>
      </w:r>
      <w:r w:rsidR="0089298C" w:rsidRPr="002F50BD">
        <w:rPr>
          <w:rFonts w:ascii="Verdana" w:hAnsi="Verdana"/>
          <w:sz w:val="20"/>
          <w:lang w:val="pt-BR"/>
        </w:rPr>
        <w:t>conhec</w:t>
      </w:r>
      <w:r w:rsidR="0031730D" w:rsidRPr="002F50BD">
        <w:rPr>
          <w:rFonts w:ascii="Verdana" w:hAnsi="Verdana"/>
          <w:sz w:val="20"/>
          <w:lang w:val="pt-BR"/>
        </w:rPr>
        <w:t>idos n</w:t>
      </w:r>
      <w:r w:rsidR="0089298C" w:rsidRPr="002F50BD">
        <w:rPr>
          <w:rFonts w:ascii="Verdana" w:hAnsi="Verdana"/>
          <w:sz w:val="20"/>
          <w:lang w:val="pt-BR"/>
        </w:rPr>
        <w:t xml:space="preserve">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interna</w:t>
      </w:r>
      <w:r w:rsidR="0089298C" w:rsidRPr="002F50BD">
        <w:rPr>
          <w:rFonts w:ascii="Verdana" w:hAnsi="Verdana"/>
          <w:sz w:val="20"/>
          <w:lang w:val="pt-BR"/>
        </w:rPr>
        <w:t>, e</w:t>
      </w:r>
    </w:p>
    <w:p w:rsidR="004756C1" w:rsidRPr="002F50BD" w:rsidRDefault="004756C1">
      <w:pPr>
        <w:tabs>
          <w:tab w:val="left" w:pos="1080"/>
        </w:tabs>
        <w:ind w:left="720"/>
        <w:jc w:val="both"/>
        <w:rPr>
          <w:rFonts w:ascii="Verdana" w:hAnsi="Verdana"/>
          <w:sz w:val="20"/>
          <w:lang w:val="pt-BR"/>
        </w:rPr>
      </w:pPr>
    </w:p>
    <w:p w:rsidR="004756C1" w:rsidRPr="002F50BD" w:rsidRDefault="004756C1">
      <w:pPr>
        <w:tabs>
          <w:tab w:val="left" w:pos="1080"/>
        </w:tabs>
        <w:ind w:left="720"/>
        <w:jc w:val="both"/>
        <w:rPr>
          <w:rFonts w:ascii="Verdana" w:hAnsi="Verdana"/>
          <w:sz w:val="20"/>
          <w:lang w:val="pt-BR"/>
        </w:rPr>
      </w:pPr>
      <w:r w:rsidRPr="002F50BD">
        <w:rPr>
          <w:rFonts w:ascii="Verdana" w:hAnsi="Verdana"/>
          <w:sz w:val="20"/>
          <w:lang w:val="pt-BR"/>
        </w:rPr>
        <w:t>d</w:t>
      </w:r>
      <w:r w:rsidR="00CF451D" w:rsidRPr="00CF451D">
        <w:rPr>
          <w:rFonts w:ascii="Verdana" w:hAnsi="Verdana"/>
          <w:sz w:val="20"/>
          <w:lang w:val="pt-BR"/>
        </w:rPr>
        <w:t>)</w:t>
      </w:r>
      <w:r w:rsidRPr="002F50BD">
        <w:rPr>
          <w:rFonts w:ascii="Verdana" w:hAnsi="Verdana"/>
          <w:sz w:val="20"/>
          <w:lang w:val="pt-BR"/>
        </w:rPr>
        <w:tab/>
        <w:t>realizar,</w:t>
      </w:r>
      <w:r w:rsidR="0089298C" w:rsidRPr="002F50BD">
        <w:rPr>
          <w:rFonts w:ascii="Verdana" w:hAnsi="Verdana"/>
          <w:sz w:val="20"/>
          <w:lang w:val="pt-BR"/>
        </w:rPr>
        <w:t xml:space="preserve"> através</w:t>
      </w:r>
      <w:r w:rsidRPr="002F50BD">
        <w:rPr>
          <w:rFonts w:ascii="Verdana" w:hAnsi="Verdana"/>
          <w:sz w:val="20"/>
          <w:lang w:val="pt-BR"/>
        </w:rPr>
        <w:t xml:space="preserve"> de</w:t>
      </w:r>
      <w:r w:rsidR="0089298C" w:rsidRPr="002F50BD">
        <w:rPr>
          <w:rFonts w:ascii="Verdana" w:hAnsi="Verdana"/>
          <w:sz w:val="20"/>
          <w:lang w:val="pt-BR"/>
        </w:rPr>
        <w:t xml:space="preserve"> um ato </w:t>
      </w:r>
      <w:r w:rsidRPr="002F50BD">
        <w:rPr>
          <w:rFonts w:ascii="Verdana" w:hAnsi="Verdana"/>
          <w:sz w:val="20"/>
          <w:lang w:val="pt-BR"/>
        </w:rPr>
        <w:t>simbólico</w:t>
      </w:r>
      <w:r w:rsidR="00754117" w:rsidRPr="002F50BD">
        <w:rPr>
          <w:rFonts w:ascii="Verdana" w:hAnsi="Verdana"/>
          <w:sz w:val="20"/>
          <w:lang w:val="pt-BR"/>
        </w:rPr>
        <w:t>,</w:t>
      </w:r>
      <w:r w:rsidRPr="002F50BD">
        <w:rPr>
          <w:rFonts w:ascii="Verdana" w:hAnsi="Verdana"/>
          <w:sz w:val="20"/>
          <w:lang w:val="pt-BR"/>
        </w:rPr>
        <w:t xml:space="preserve"> acordado previamente</w:t>
      </w:r>
      <w:r w:rsidR="0089298C" w:rsidRPr="002F50BD">
        <w:rPr>
          <w:rFonts w:ascii="Verdana" w:hAnsi="Verdana"/>
          <w:sz w:val="20"/>
          <w:lang w:val="pt-BR"/>
        </w:rPr>
        <w:t xml:space="preserve"> com as suposta</w:t>
      </w:r>
      <w:r w:rsidRPr="002F50BD">
        <w:rPr>
          <w:rFonts w:ascii="Verdana" w:hAnsi="Verdana"/>
          <w:sz w:val="20"/>
          <w:lang w:val="pt-BR"/>
        </w:rPr>
        <w:t xml:space="preserve">s </w:t>
      </w:r>
      <w:r w:rsidR="0089298C" w:rsidRPr="002F50BD">
        <w:rPr>
          <w:rFonts w:ascii="Verdana" w:hAnsi="Verdana"/>
          <w:sz w:val="20"/>
          <w:lang w:val="pt-BR"/>
        </w:rPr>
        <w:t>vítima</w:t>
      </w:r>
      <w:r w:rsidRPr="002F50BD">
        <w:rPr>
          <w:rFonts w:ascii="Verdana" w:hAnsi="Verdana"/>
          <w:sz w:val="20"/>
          <w:lang w:val="pt-BR"/>
        </w:rPr>
        <w:t>s</w:t>
      </w:r>
      <w:r w:rsidR="0089298C" w:rsidRPr="002F50BD">
        <w:rPr>
          <w:rFonts w:ascii="Verdana" w:hAnsi="Verdana"/>
          <w:sz w:val="20"/>
          <w:lang w:val="pt-BR"/>
        </w:rPr>
        <w:t xml:space="preserve"> e seus </w:t>
      </w:r>
      <w:r w:rsidR="008C29C9" w:rsidRPr="002F50BD">
        <w:rPr>
          <w:rFonts w:ascii="Verdana" w:hAnsi="Verdana"/>
          <w:sz w:val="20"/>
          <w:lang w:val="pt-BR"/>
        </w:rPr>
        <w:t>representante</w:t>
      </w:r>
      <w:r w:rsidR="0089298C" w:rsidRPr="002F50BD">
        <w:rPr>
          <w:rFonts w:ascii="Verdana" w:hAnsi="Verdana"/>
          <w:sz w:val="20"/>
          <w:lang w:val="pt-BR"/>
        </w:rPr>
        <w:t>s</w:t>
      </w:r>
      <w:r w:rsidRPr="002F50BD">
        <w:rPr>
          <w:rFonts w:ascii="Verdana" w:hAnsi="Verdana"/>
          <w:sz w:val="20"/>
          <w:lang w:val="pt-BR"/>
        </w:rPr>
        <w:t>,</w:t>
      </w:r>
      <w:r w:rsidR="0089298C" w:rsidRPr="002F50BD">
        <w:rPr>
          <w:rFonts w:ascii="Verdana" w:hAnsi="Verdana"/>
          <w:sz w:val="20"/>
          <w:lang w:val="pt-BR"/>
        </w:rPr>
        <w:t xml:space="preserve"> um </w:t>
      </w:r>
      <w:r w:rsidRPr="002F50BD">
        <w:rPr>
          <w:rFonts w:ascii="Verdana" w:hAnsi="Verdana"/>
          <w:sz w:val="20"/>
          <w:lang w:val="pt-BR"/>
        </w:rPr>
        <w:t>re</w:t>
      </w:r>
      <w:r w:rsidR="0089298C" w:rsidRPr="002F50BD">
        <w:rPr>
          <w:rFonts w:ascii="Verdana" w:hAnsi="Verdana"/>
          <w:sz w:val="20"/>
          <w:lang w:val="pt-BR"/>
        </w:rPr>
        <w:t>conhecimento</w:t>
      </w:r>
      <w:r w:rsidRPr="002F50BD">
        <w:rPr>
          <w:rFonts w:ascii="Verdana" w:hAnsi="Verdana"/>
          <w:sz w:val="20"/>
          <w:lang w:val="pt-BR"/>
        </w:rPr>
        <w:t xml:space="preserve"> público de </w:t>
      </w:r>
      <w:r w:rsidR="0089298C" w:rsidRPr="002F50BD">
        <w:rPr>
          <w:rFonts w:ascii="Verdana" w:hAnsi="Verdana"/>
          <w:sz w:val="20"/>
          <w:lang w:val="pt-BR"/>
        </w:rPr>
        <w:t xml:space="preserve">sua responsabilidade </w:t>
      </w:r>
      <w:r w:rsidRPr="002F50BD">
        <w:rPr>
          <w:rFonts w:ascii="Verdana" w:hAnsi="Verdana"/>
          <w:sz w:val="20"/>
          <w:lang w:val="pt-BR"/>
        </w:rPr>
        <w:t>internacional</w:t>
      </w:r>
      <w:r w:rsidR="0089298C" w:rsidRPr="002F50BD">
        <w:rPr>
          <w:rFonts w:ascii="Verdana" w:hAnsi="Verdana"/>
          <w:sz w:val="20"/>
          <w:lang w:val="pt-BR"/>
        </w:rPr>
        <w:t xml:space="preserve"> pela </w:t>
      </w:r>
      <w:r w:rsidRPr="002F50BD">
        <w:rPr>
          <w:rFonts w:ascii="Verdana" w:hAnsi="Verdana"/>
          <w:sz w:val="20"/>
          <w:lang w:val="pt-BR"/>
        </w:rPr>
        <w:t>viola</w:t>
      </w:r>
      <w:r w:rsidR="0089298C" w:rsidRPr="002F50BD">
        <w:rPr>
          <w:rFonts w:ascii="Verdana" w:hAnsi="Verdana"/>
          <w:sz w:val="20"/>
          <w:lang w:val="pt-BR"/>
        </w:rPr>
        <w:t>ção dos direito</w:t>
      </w:r>
      <w:r w:rsidRPr="002F50BD">
        <w:rPr>
          <w:rFonts w:ascii="Verdana" w:hAnsi="Verdana"/>
          <w:sz w:val="20"/>
          <w:lang w:val="pt-BR"/>
        </w:rPr>
        <w:t>s humanos cometida</w:t>
      </w:r>
      <w:r w:rsidR="0089298C" w:rsidRPr="002F50BD">
        <w:rPr>
          <w:rFonts w:ascii="Verdana" w:hAnsi="Verdana"/>
          <w:sz w:val="20"/>
          <w:lang w:val="pt-BR"/>
        </w:rPr>
        <w:t xml:space="preserve"> em </w:t>
      </w:r>
      <w:r w:rsidR="0031730D" w:rsidRPr="002F50BD">
        <w:rPr>
          <w:rFonts w:ascii="Verdana" w:hAnsi="Verdana"/>
          <w:sz w:val="20"/>
          <w:lang w:val="pt-BR"/>
        </w:rPr>
        <w:t xml:space="preserve">detrimento </w:t>
      </w:r>
      <w:r w:rsidR="0089298C" w:rsidRPr="002F50BD">
        <w:rPr>
          <w:rFonts w:ascii="Verdana" w:hAnsi="Verdana"/>
          <w:sz w:val="20"/>
          <w:lang w:val="pt-BR"/>
        </w:rPr>
        <w:t xml:space="preserve">da Comunidade </w:t>
      </w:r>
      <w:r w:rsidRPr="002F50BD">
        <w:rPr>
          <w:rFonts w:ascii="Verdana" w:hAnsi="Verdana"/>
          <w:sz w:val="20"/>
          <w:lang w:val="pt-BR"/>
        </w:rPr>
        <w:t>Yakye Axa</w:t>
      </w:r>
      <w:r w:rsidR="0089298C" w:rsidRPr="002F50BD">
        <w:rPr>
          <w:rFonts w:ascii="Verdana" w:hAnsi="Verdana"/>
          <w:sz w:val="20"/>
          <w:lang w:val="pt-BR"/>
        </w:rPr>
        <w:t xml:space="preserve"> e </w:t>
      </w:r>
      <w:r w:rsidR="0031730D" w:rsidRPr="002F50BD">
        <w:rPr>
          <w:rFonts w:ascii="Verdana" w:hAnsi="Verdana"/>
          <w:sz w:val="20"/>
          <w:lang w:val="pt-BR"/>
        </w:rPr>
        <w:t xml:space="preserve">de </w:t>
      </w:r>
      <w:r w:rsidR="00AB454A" w:rsidRPr="002F50BD">
        <w:rPr>
          <w:rFonts w:ascii="Verdana" w:hAnsi="Verdana"/>
          <w:sz w:val="20"/>
          <w:lang w:val="pt-BR"/>
        </w:rPr>
        <w:t>seus membros</w:t>
      </w:r>
      <w:r w:rsidRPr="002F50BD">
        <w:rPr>
          <w:rFonts w:ascii="Verdana" w:hAnsi="Verdana"/>
          <w:sz w:val="20"/>
          <w:lang w:val="pt-BR"/>
        </w:rPr>
        <w:t>.</w:t>
      </w:r>
    </w:p>
    <w:p w:rsidR="004756C1" w:rsidRPr="002F50BD" w:rsidRDefault="004756C1">
      <w:pPr>
        <w:ind w:firstLine="180"/>
        <w:jc w:val="both"/>
        <w:rPr>
          <w:rFonts w:ascii="Verdana" w:hAnsi="Verdana"/>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 xml:space="preserve">Alegações dos </w:t>
      </w:r>
      <w:r w:rsidR="008C29C9" w:rsidRPr="002F50BD">
        <w:rPr>
          <w:rFonts w:ascii="Verdana" w:hAnsi="Verdana"/>
          <w:b w:val="0"/>
          <w:i/>
          <w:smallCaps w:val="0"/>
          <w:sz w:val="20"/>
        </w:rPr>
        <w:t>representante</w:t>
      </w:r>
      <w:r w:rsidR="004756C1" w:rsidRPr="002F50BD">
        <w:rPr>
          <w:rFonts w:ascii="Verdana" w:hAnsi="Verdana"/>
          <w:b w:val="0"/>
          <w:i/>
          <w:smallCaps w:val="0"/>
          <w:sz w:val="20"/>
        </w:rPr>
        <w:t>s</w:t>
      </w:r>
    </w:p>
    <w:p w:rsidR="004756C1" w:rsidRPr="002F50BD" w:rsidRDefault="004756C1">
      <w:pPr>
        <w:ind w:firstLine="180"/>
        <w:jc w:val="both"/>
        <w:rPr>
          <w:rFonts w:ascii="Verdana" w:hAnsi="Verdana"/>
          <w:sz w:val="20"/>
        </w:rPr>
      </w:pPr>
    </w:p>
    <w:p w:rsidR="004756C1" w:rsidRPr="002F50BD" w:rsidRDefault="004076AD">
      <w:pPr>
        <w:numPr>
          <w:ilvl w:val="0"/>
          <w:numId w:val="32"/>
        </w:numPr>
        <w:jc w:val="both"/>
        <w:rPr>
          <w:rFonts w:ascii="Verdana" w:hAnsi="Verdana"/>
          <w:sz w:val="20"/>
          <w:lang w:val="pt-BR"/>
        </w:rPr>
      </w:pPr>
      <w:r w:rsidRPr="002F50BD">
        <w:rPr>
          <w:rFonts w:ascii="Verdana" w:hAnsi="Verdana"/>
          <w:sz w:val="20"/>
          <w:lang w:val="pt-BR"/>
        </w:rPr>
        <w:t xml:space="preserve">Os </w:t>
      </w:r>
      <w:r w:rsidR="008C29C9" w:rsidRPr="002F50BD">
        <w:rPr>
          <w:rFonts w:ascii="Verdana" w:hAnsi="Verdana"/>
          <w:sz w:val="20"/>
          <w:lang w:val="pt-BR"/>
        </w:rPr>
        <w:t>representante</w:t>
      </w:r>
      <w:r w:rsidRPr="002F50BD">
        <w:rPr>
          <w:rFonts w:ascii="Verdana" w:hAnsi="Verdana"/>
          <w:sz w:val="20"/>
          <w:lang w:val="pt-BR"/>
        </w:rPr>
        <w:t xml:space="preserve">s </w:t>
      </w:r>
      <w:r w:rsidR="004756C1" w:rsidRPr="002F50BD">
        <w:rPr>
          <w:rFonts w:ascii="Verdana" w:hAnsi="Verdana"/>
          <w:sz w:val="20"/>
          <w:lang w:val="pt-BR"/>
        </w:rPr>
        <w:t>ad</w:t>
      </w:r>
      <w:r w:rsidR="0031730D" w:rsidRPr="002F50BD">
        <w:rPr>
          <w:rFonts w:ascii="Verdana" w:hAnsi="Verdana"/>
          <w:sz w:val="20"/>
          <w:lang w:val="pt-BR"/>
        </w:rPr>
        <w:t xml:space="preserve">eriram </w:t>
      </w:r>
      <w:r w:rsidR="004756C1" w:rsidRPr="002F50BD">
        <w:rPr>
          <w:rFonts w:ascii="Verdana" w:hAnsi="Verdana"/>
          <w:i/>
          <w:sz w:val="20"/>
          <w:lang w:val="pt-BR"/>
        </w:rPr>
        <w:t>in totum</w:t>
      </w:r>
      <w:r w:rsidR="0089298C" w:rsidRPr="002F50BD">
        <w:rPr>
          <w:rFonts w:ascii="Verdana" w:hAnsi="Verdana"/>
          <w:sz w:val="20"/>
          <w:lang w:val="pt-BR"/>
        </w:rPr>
        <w:t xml:space="preserve"> às pretensões</w:t>
      </w:r>
      <w:r w:rsidR="004756C1" w:rsidRPr="002F50BD">
        <w:rPr>
          <w:rFonts w:ascii="Verdana" w:hAnsi="Verdana"/>
          <w:sz w:val="20"/>
          <w:lang w:val="pt-BR"/>
        </w:rPr>
        <w:t xml:space="preserve"> de repara</w:t>
      </w:r>
      <w:r w:rsidR="0089298C"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indica</w:t>
      </w:r>
      <w:r w:rsidR="004756C1" w:rsidRPr="002F50BD">
        <w:rPr>
          <w:rFonts w:ascii="Verdana" w:hAnsi="Verdana"/>
          <w:sz w:val="20"/>
          <w:lang w:val="pt-BR"/>
        </w:rPr>
        <w:t>das</w:t>
      </w:r>
      <w:r w:rsidR="0089298C" w:rsidRPr="002F50BD">
        <w:rPr>
          <w:rFonts w:ascii="Verdana" w:hAnsi="Verdana"/>
          <w:sz w:val="20"/>
          <w:lang w:val="pt-BR"/>
        </w:rPr>
        <w:t xml:space="preserve"> pela Comissão em sua demanda, e</w:t>
      </w:r>
      <w:r w:rsidR="004756C1" w:rsidRPr="002F50BD">
        <w:rPr>
          <w:rFonts w:ascii="Verdana" w:hAnsi="Verdana"/>
          <w:sz w:val="20"/>
          <w:lang w:val="pt-BR"/>
        </w:rPr>
        <w:t xml:space="preserve"> </w:t>
      </w:r>
      <w:r w:rsidR="0089298C" w:rsidRPr="002F50BD">
        <w:rPr>
          <w:rFonts w:ascii="Verdana" w:hAnsi="Verdana"/>
          <w:sz w:val="20"/>
          <w:lang w:val="pt-BR"/>
        </w:rPr>
        <w:t>afirmaram</w:t>
      </w:r>
      <w:r w:rsidR="004756C1" w:rsidRPr="002F50BD">
        <w:rPr>
          <w:rFonts w:ascii="Verdana" w:hAnsi="Verdana"/>
          <w:sz w:val="20"/>
          <w:lang w:val="pt-BR"/>
        </w:rPr>
        <w:t xml:space="preserve"> que:</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á entregar</w:t>
      </w:r>
      <w:r w:rsidRPr="002F50BD">
        <w:rPr>
          <w:rFonts w:ascii="Verdana" w:hAnsi="Verdana"/>
          <w:sz w:val="20"/>
          <w:lang w:val="pt-BR"/>
        </w:rPr>
        <w:t xml:space="preserve"> à Comunidade </w:t>
      </w:r>
      <w:r w:rsidR="004756C1" w:rsidRPr="002F50BD">
        <w:rPr>
          <w:rFonts w:ascii="Verdana" w:hAnsi="Verdana"/>
          <w:sz w:val="20"/>
          <w:lang w:val="pt-BR"/>
        </w:rPr>
        <w:t>Yakye Axa</w:t>
      </w:r>
      <w:r w:rsidRPr="002F50BD">
        <w:rPr>
          <w:rFonts w:ascii="Verdana" w:hAnsi="Verdana"/>
          <w:sz w:val="20"/>
          <w:lang w:val="pt-BR"/>
        </w:rPr>
        <w:t xml:space="preserve"> a terra</w:t>
      </w:r>
      <w:r w:rsidR="004756C1" w:rsidRPr="002F50BD">
        <w:rPr>
          <w:rFonts w:ascii="Verdana" w:hAnsi="Verdana"/>
          <w:sz w:val="20"/>
          <w:lang w:val="pt-BR"/>
        </w:rPr>
        <w:t xml:space="preserve"> ancestral</w:t>
      </w:r>
      <w:r w:rsidRPr="002F50BD">
        <w:rPr>
          <w:rFonts w:ascii="Verdana" w:hAnsi="Verdana"/>
          <w:sz w:val="20"/>
          <w:lang w:val="pt-BR"/>
        </w:rPr>
        <w:t xml:space="preserve"> e o território e </w:t>
      </w:r>
      <w:r w:rsidR="001A0CDE" w:rsidRPr="002F50BD">
        <w:rPr>
          <w:rFonts w:ascii="Verdana" w:hAnsi="Verdana"/>
          <w:i/>
          <w:sz w:val="20"/>
          <w:lang w:val="pt-BR"/>
        </w:rPr>
        <w:t>habitat</w:t>
      </w:r>
      <w:r w:rsidR="004756C1" w:rsidRPr="002F50BD">
        <w:rPr>
          <w:rFonts w:ascii="Verdana" w:hAnsi="Verdana"/>
          <w:sz w:val="20"/>
          <w:lang w:val="pt-BR"/>
        </w:rPr>
        <w:t xml:space="preserve"> que l</w:t>
      </w:r>
      <w:r w:rsidR="0031730D" w:rsidRPr="002F50BD">
        <w:rPr>
          <w:rFonts w:ascii="Verdana" w:hAnsi="Verdana"/>
          <w:sz w:val="20"/>
          <w:lang w:val="pt-BR"/>
        </w:rPr>
        <w:t>h</w:t>
      </w:r>
      <w:r w:rsidR="004756C1" w:rsidRPr="002F50BD">
        <w:rPr>
          <w:rFonts w:ascii="Verdana" w:hAnsi="Verdana"/>
          <w:sz w:val="20"/>
          <w:lang w:val="pt-BR"/>
        </w:rPr>
        <w:t>e</w:t>
      </w:r>
      <w:r w:rsidR="0031730D" w:rsidRPr="002F50BD">
        <w:rPr>
          <w:rFonts w:ascii="Verdana" w:hAnsi="Verdana"/>
          <w:sz w:val="20"/>
          <w:lang w:val="pt-BR"/>
        </w:rPr>
        <w:t>s</w:t>
      </w:r>
      <w:r w:rsidRPr="002F50BD">
        <w:rPr>
          <w:rFonts w:ascii="Verdana" w:hAnsi="Verdana"/>
          <w:sz w:val="20"/>
          <w:lang w:val="pt-BR"/>
        </w:rPr>
        <w:t xml:space="preserve"> é próprio</w:t>
      </w:r>
      <w:r w:rsidR="004756C1" w:rsidRPr="002F50BD">
        <w:rPr>
          <w:rFonts w:ascii="Verdana" w:hAnsi="Verdana"/>
          <w:sz w:val="20"/>
          <w:lang w:val="pt-BR"/>
        </w:rPr>
        <w:t>,</w:t>
      </w:r>
      <w:r w:rsidRPr="002F50BD">
        <w:rPr>
          <w:rFonts w:ascii="Verdana" w:hAnsi="Verdana"/>
          <w:sz w:val="20"/>
          <w:lang w:val="pt-BR"/>
        </w:rPr>
        <w:t xml:space="preserve"> o que </w:t>
      </w:r>
      <w:r w:rsidR="004756C1" w:rsidRPr="002F50BD">
        <w:rPr>
          <w:rFonts w:ascii="Verdana" w:hAnsi="Verdana"/>
          <w:sz w:val="20"/>
          <w:lang w:val="pt-BR"/>
        </w:rPr>
        <w:t xml:space="preserve">permitirá a </w:t>
      </w:r>
      <w:r w:rsidR="00AB454A" w:rsidRPr="002F50BD">
        <w:rPr>
          <w:rFonts w:ascii="Verdana" w:hAnsi="Verdana"/>
          <w:sz w:val="20"/>
          <w:lang w:val="pt-BR"/>
        </w:rPr>
        <w:t>seus membros</w:t>
      </w:r>
      <w:r w:rsidR="004756C1" w:rsidRPr="002F50BD">
        <w:rPr>
          <w:rFonts w:ascii="Verdana" w:hAnsi="Verdana"/>
          <w:sz w:val="20"/>
          <w:lang w:val="pt-BR"/>
        </w:rPr>
        <w:t xml:space="preserve"> </w:t>
      </w:r>
      <w:r w:rsidR="0031730D" w:rsidRPr="002F50BD">
        <w:rPr>
          <w:rFonts w:ascii="Verdana" w:hAnsi="Verdana"/>
          <w:sz w:val="20"/>
          <w:lang w:val="pt-BR"/>
        </w:rPr>
        <w:t xml:space="preserve">ter acesso </w:t>
      </w:r>
      <w:r w:rsidR="004756C1" w:rsidRPr="002F50BD">
        <w:rPr>
          <w:rFonts w:ascii="Verdana" w:hAnsi="Verdana"/>
          <w:sz w:val="20"/>
          <w:lang w:val="pt-BR"/>
        </w:rPr>
        <w:t>a condi</w:t>
      </w:r>
      <w:r w:rsidRPr="002F50BD">
        <w:rPr>
          <w:rFonts w:ascii="Verdana" w:hAnsi="Verdana"/>
          <w:sz w:val="20"/>
          <w:lang w:val="pt-BR"/>
        </w:rPr>
        <w:t>ções</w:t>
      </w:r>
      <w:r w:rsidR="004756C1" w:rsidRPr="002F50BD">
        <w:rPr>
          <w:rFonts w:ascii="Verdana" w:hAnsi="Verdana"/>
          <w:sz w:val="20"/>
          <w:lang w:val="pt-BR"/>
        </w:rPr>
        <w:t xml:space="preserve"> de vida dignas</w:t>
      </w:r>
      <w:r w:rsidRPr="002F50BD">
        <w:rPr>
          <w:rFonts w:ascii="Verdana" w:hAnsi="Verdana"/>
          <w:sz w:val="20"/>
          <w:lang w:val="pt-BR"/>
        </w:rPr>
        <w:t xml:space="preserve"> e manter e </w:t>
      </w:r>
      <w:r w:rsidR="00754117" w:rsidRPr="002F50BD">
        <w:rPr>
          <w:rFonts w:ascii="Verdana" w:hAnsi="Verdana"/>
          <w:sz w:val="20"/>
          <w:lang w:val="pt-BR"/>
        </w:rPr>
        <w:t xml:space="preserve">projetar no </w:t>
      </w:r>
      <w:r w:rsidR="004756C1" w:rsidRPr="002F50BD">
        <w:rPr>
          <w:rFonts w:ascii="Verdana" w:hAnsi="Verdana"/>
          <w:sz w:val="20"/>
          <w:lang w:val="pt-BR"/>
        </w:rPr>
        <w:t>futuro</w:t>
      </w:r>
      <w:r w:rsidRPr="002F50BD">
        <w:rPr>
          <w:rFonts w:ascii="Verdana" w:hAnsi="Verdana"/>
          <w:sz w:val="20"/>
          <w:lang w:val="pt-BR"/>
        </w:rPr>
        <w:t xml:space="preserve"> uma identidade, uma </w:t>
      </w:r>
      <w:r w:rsidR="004756C1" w:rsidRPr="002F50BD">
        <w:rPr>
          <w:rFonts w:ascii="Verdana" w:hAnsi="Verdana"/>
          <w:sz w:val="20"/>
          <w:lang w:val="pt-BR"/>
        </w:rPr>
        <w:t xml:space="preserve">cultura </w:t>
      </w:r>
      <w:r w:rsidRPr="002F50BD">
        <w:rPr>
          <w:rFonts w:ascii="Verdana" w:hAnsi="Verdana"/>
          <w:sz w:val="20"/>
          <w:lang w:val="pt-BR"/>
        </w:rPr>
        <w:t xml:space="preserve">e uma </w:t>
      </w:r>
      <w:r w:rsidR="004756C1" w:rsidRPr="002F50BD">
        <w:rPr>
          <w:rFonts w:ascii="Verdana" w:hAnsi="Verdana"/>
          <w:sz w:val="20"/>
          <w:lang w:val="pt-BR"/>
        </w:rPr>
        <w:t>forma de vida.</w:t>
      </w:r>
      <w:r w:rsidR="00FE08B7">
        <w:rPr>
          <w:rFonts w:ascii="Verdana" w:hAnsi="Verdana"/>
          <w:sz w:val="20"/>
          <w:lang w:val="pt-BR"/>
        </w:rPr>
        <w:t xml:space="preserve"> </w:t>
      </w:r>
      <w:r w:rsidR="00754117" w:rsidRPr="002F50BD">
        <w:rPr>
          <w:rFonts w:ascii="Verdana" w:hAnsi="Verdana"/>
          <w:sz w:val="20"/>
          <w:lang w:val="pt-BR"/>
        </w:rPr>
        <w:t>Seriam reparado</w:t>
      </w:r>
      <w:r w:rsidR="0031730D" w:rsidRPr="002F50BD">
        <w:rPr>
          <w:rFonts w:ascii="Verdana" w:hAnsi="Verdana"/>
          <w:sz w:val="20"/>
          <w:lang w:val="pt-BR"/>
        </w:rPr>
        <w:t>s</w:t>
      </w:r>
      <w:r w:rsidR="004756C1" w:rsidRPr="002F50BD">
        <w:rPr>
          <w:rFonts w:ascii="Verdana" w:hAnsi="Verdana"/>
          <w:sz w:val="20"/>
          <w:lang w:val="pt-BR"/>
        </w:rPr>
        <w:t>,</w:t>
      </w:r>
      <w:r w:rsidRPr="002F50BD">
        <w:rPr>
          <w:rFonts w:ascii="Verdana" w:hAnsi="Verdana"/>
          <w:sz w:val="20"/>
          <w:lang w:val="pt-BR"/>
        </w:rPr>
        <w:t xml:space="preserve"> desta maneira</w:t>
      </w:r>
      <w:r w:rsidR="004756C1" w:rsidRPr="002F50BD">
        <w:rPr>
          <w:rFonts w:ascii="Verdana" w:hAnsi="Verdana"/>
          <w:sz w:val="20"/>
          <w:lang w:val="pt-BR"/>
        </w:rPr>
        <w:t>,</w:t>
      </w:r>
      <w:r w:rsidRPr="002F50BD">
        <w:rPr>
          <w:rFonts w:ascii="Verdana" w:hAnsi="Verdana"/>
          <w:sz w:val="20"/>
          <w:lang w:val="pt-BR"/>
        </w:rPr>
        <w:t xml:space="preserve"> os </w:t>
      </w:r>
      <w:r w:rsidR="0031730D" w:rsidRPr="002F50BD">
        <w:rPr>
          <w:rFonts w:ascii="Verdana" w:hAnsi="Verdana"/>
          <w:sz w:val="20"/>
          <w:lang w:val="pt-BR"/>
        </w:rPr>
        <w:t xml:space="preserve">longos </w:t>
      </w:r>
      <w:r w:rsidRPr="002F50BD">
        <w:rPr>
          <w:rFonts w:ascii="Verdana" w:hAnsi="Verdana"/>
          <w:sz w:val="20"/>
          <w:lang w:val="pt-BR"/>
        </w:rPr>
        <w:t>anos</w:t>
      </w:r>
      <w:r w:rsidR="004756C1" w:rsidRPr="002F50BD">
        <w:rPr>
          <w:rFonts w:ascii="Verdana" w:hAnsi="Verdana"/>
          <w:sz w:val="20"/>
          <w:lang w:val="pt-BR"/>
        </w:rPr>
        <w:t xml:space="preserve"> de espera, de </w:t>
      </w:r>
      <w:r w:rsidR="0031730D" w:rsidRPr="002F50BD">
        <w:rPr>
          <w:rFonts w:ascii="Verdana" w:hAnsi="Verdana"/>
          <w:sz w:val="20"/>
          <w:lang w:val="pt-BR"/>
        </w:rPr>
        <w:t>padecimento</w:t>
      </w:r>
      <w:r w:rsidR="004756C1" w:rsidRPr="002F50BD">
        <w:rPr>
          <w:rFonts w:ascii="Verdana" w:hAnsi="Verdana"/>
          <w:sz w:val="20"/>
          <w:lang w:val="pt-BR"/>
        </w:rPr>
        <w:t>s</w:t>
      </w:r>
      <w:r w:rsidRPr="002F50BD">
        <w:rPr>
          <w:rFonts w:ascii="Verdana" w:hAnsi="Verdana"/>
          <w:sz w:val="20"/>
          <w:lang w:val="pt-BR"/>
        </w:rPr>
        <w:t xml:space="preserve"> e sofrimento</w:t>
      </w:r>
      <w:r w:rsidR="004756C1" w:rsidRPr="002F50BD">
        <w:rPr>
          <w:rFonts w:ascii="Verdana" w:hAnsi="Verdana"/>
          <w:sz w:val="20"/>
          <w:lang w:val="pt-BR"/>
        </w:rPr>
        <w:t xml:space="preserve">s que </w:t>
      </w:r>
      <w:r w:rsidR="0031730D" w:rsidRPr="002F50BD">
        <w:rPr>
          <w:rFonts w:ascii="Verdana" w:hAnsi="Verdana"/>
          <w:sz w:val="20"/>
          <w:lang w:val="pt-BR"/>
        </w:rPr>
        <w:t>viveram</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AB454A" w:rsidRPr="002F50BD">
        <w:rPr>
          <w:rFonts w:ascii="Verdana" w:hAnsi="Verdana"/>
          <w:sz w:val="20"/>
          <w:lang w:val="pt-BR"/>
        </w:rPr>
        <w:t xml:space="preserve">desde o </w:t>
      </w:r>
      <w:r w:rsidR="004756C1" w:rsidRPr="002F50BD">
        <w:rPr>
          <w:rFonts w:ascii="Verdana" w:hAnsi="Verdana"/>
          <w:sz w:val="20"/>
          <w:lang w:val="pt-BR"/>
        </w:rPr>
        <w:t>momento</w:t>
      </w:r>
      <w:r w:rsidRPr="002F50BD">
        <w:rPr>
          <w:rFonts w:ascii="Verdana" w:hAnsi="Verdana"/>
          <w:sz w:val="20"/>
          <w:lang w:val="pt-BR"/>
        </w:rPr>
        <w:t xml:space="preserve"> em </w:t>
      </w:r>
      <w:r w:rsidR="004756C1" w:rsidRPr="002F50BD">
        <w:rPr>
          <w:rFonts w:ascii="Verdana" w:hAnsi="Verdana"/>
          <w:sz w:val="20"/>
          <w:lang w:val="pt-BR"/>
        </w:rPr>
        <w:t>que</w:t>
      </w:r>
      <w:r w:rsidRPr="002F50BD">
        <w:rPr>
          <w:rFonts w:ascii="Verdana" w:hAnsi="Verdana"/>
          <w:sz w:val="20"/>
          <w:lang w:val="pt-BR"/>
        </w:rPr>
        <w:t xml:space="preserve"> ele</w:t>
      </w:r>
      <w:r w:rsidR="004756C1" w:rsidRPr="002F50BD">
        <w:rPr>
          <w:rFonts w:ascii="Verdana" w:hAnsi="Verdana"/>
          <w:sz w:val="20"/>
          <w:lang w:val="pt-BR"/>
        </w:rPr>
        <w:t>s</w:t>
      </w:r>
      <w:r w:rsidRPr="002F50BD">
        <w:rPr>
          <w:rFonts w:ascii="Verdana" w:hAnsi="Verdana"/>
          <w:sz w:val="20"/>
          <w:lang w:val="pt-BR"/>
        </w:rPr>
        <w:t xml:space="preserve"> e </w:t>
      </w:r>
      <w:r w:rsidR="005A6BC7" w:rsidRPr="002F50BD">
        <w:rPr>
          <w:rFonts w:ascii="Verdana" w:hAnsi="Verdana"/>
          <w:sz w:val="20"/>
          <w:lang w:val="pt-BR"/>
        </w:rPr>
        <w:t>seus líderes</w:t>
      </w:r>
      <w:r w:rsidR="004756C1" w:rsidRPr="002F50BD">
        <w:rPr>
          <w:rFonts w:ascii="Verdana" w:hAnsi="Verdana"/>
          <w:sz w:val="20"/>
          <w:lang w:val="pt-BR"/>
        </w:rPr>
        <w:t xml:space="preserve"> </w:t>
      </w:r>
      <w:r w:rsidRPr="002F50BD">
        <w:rPr>
          <w:rFonts w:ascii="Verdana" w:hAnsi="Verdana"/>
          <w:sz w:val="20"/>
          <w:lang w:val="pt-BR"/>
        </w:rPr>
        <w:t>decidiram</w:t>
      </w:r>
      <w:r w:rsidR="004756C1" w:rsidRPr="002F50BD">
        <w:rPr>
          <w:rFonts w:ascii="Verdana" w:hAnsi="Verdana"/>
          <w:sz w:val="20"/>
          <w:lang w:val="pt-BR"/>
        </w:rPr>
        <w:t xml:space="preserve"> </w:t>
      </w:r>
      <w:r w:rsidR="00E10DBB" w:rsidRPr="002F50BD">
        <w:rPr>
          <w:rFonts w:ascii="Verdana" w:hAnsi="Verdana"/>
          <w:sz w:val="20"/>
          <w:lang w:val="pt-BR"/>
        </w:rPr>
        <w:t>regressar</w:t>
      </w:r>
      <w:r w:rsidR="004756C1" w:rsidRPr="002F50BD">
        <w:rPr>
          <w:rFonts w:ascii="Verdana" w:hAnsi="Verdana"/>
          <w:sz w:val="20"/>
          <w:lang w:val="pt-BR"/>
        </w:rPr>
        <w:t xml:space="preserve"> a </w:t>
      </w:r>
      <w:r w:rsidR="00475EBB" w:rsidRPr="002F50BD">
        <w:rPr>
          <w:rFonts w:ascii="Verdana" w:hAnsi="Verdana"/>
          <w:sz w:val="20"/>
          <w:lang w:val="pt-BR"/>
        </w:rPr>
        <w:t>sua terra</w:t>
      </w:r>
      <w:r w:rsidR="004756C1" w:rsidRPr="002F50BD">
        <w:rPr>
          <w:rFonts w:ascii="Verdana" w:hAnsi="Verdana"/>
          <w:sz w:val="20"/>
          <w:lang w:val="pt-BR"/>
        </w:rPr>
        <w:t>;</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entrega</w:t>
      </w:r>
      <w:r w:rsidRPr="002F50BD">
        <w:rPr>
          <w:rFonts w:ascii="Verdana" w:hAnsi="Verdana"/>
          <w:sz w:val="20"/>
          <w:lang w:val="pt-BR"/>
        </w:rPr>
        <w:t xml:space="preserve"> da terra</w:t>
      </w:r>
      <w:r w:rsidR="004756C1" w:rsidRPr="002F50BD">
        <w:rPr>
          <w:rFonts w:ascii="Verdana" w:hAnsi="Verdana"/>
          <w:sz w:val="20"/>
          <w:lang w:val="pt-BR"/>
        </w:rPr>
        <w:t xml:space="preserve"> ancestral </w:t>
      </w:r>
      <w:r w:rsidRPr="002F50BD">
        <w:rPr>
          <w:rFonts w:ascii="Verdana" w:hAnsi="Verdana"/>
          <w:sz w:val="20"/>
          <w:lang w:val="pt-BR"/>
        </w:rPr>
        <w:t>dever</w:t>
      </w:r>
      <w:r w:rsidR="004756C1" w:rsidRPr="002F50BD">
        <w:rPr>
          <w:rFonts w:ascii="Verdana" w:hAnsi="Verdana"/>
          <w:sz w:val="20"/>
          <w:lang w:val="pt-BR"/>
        </w:rPr>
        <w:t xml:space="preserve">á </w:t>
      </w:r>
      <w:r w:rsidR="0031730D" w:rsidRPr="002F50BD">
        <w:rPr>
          <w:rFonts w:ascii="Verdana" w:hAnsi="Verdana"/>
          <w:sz w:val="20"/>
          <w:lang w:val="pt-BR"/>
        </w:rPr>
        <w:t xml:space="preserve">ser feita concedendo à </w:t>
      </w:r>
      <w:r w:rsidRPr="002F50BD">
        <w:rPr>
          <w:rFonts w:ascii="Verdana" w:hAnsi="Verdana"/>
          <w:sz w:val="20"/>
          <w:lang w:val="pt-BR"/>
        </w:rPr>
        <w:t>Comunidad</w:t>
      </w:r>
      <w:r w:rsidR="0031730D" w:rsidRPr="002F50BD">
        <w:rPr>
          <w:rFonts w:ascii="Verdana" w:hAnsi="Verdana"/>
          <w:sz w:val="20"/>
          <w:lang w:val="pt-BR"/>
        </w:rPr>
        <w:t xml:space="preserve">e </w:t>
      </w:r>
      <w:r w:rsidRPr="002F50BD">
        <w:rPr>
          <w:rFonts w:ascii="Verdana" w:hAnsi="Verdana"/>
          <w:sz w:val="20"/>
          <w:lang w:val="pt-BR"/>
        </w:rPr>
        <w:t xml:space="preserve">a devida </w:t>
      </w:r>
      <w:r w:rsidR="004756C1" w:rsidRPr="002F50BD">
        <w:rPr>
          <w:rFonts w:ascii="Verdana" w:hAnsi="Verdana"/>
          <w:sz w:val="20"/>
          <w:lang w:val="pt-BR"/>
        </w:rPr>
        <w:t>titula</w:t>
      </w:r>
      <w:r w:rsidRPr="002F50BD">
        <w:rPr>
          <w:rFonts w:ascii="Verdana" w:hAnsi="Verdana"/>
          <w:sz w:val="20"/>
          <w:lang w:val="pt-BR"/>
        </w:rPr>
        <w:t>ção</w:t>
      </w:r>
      <w:r w:rsidR="004756C1" w:rsidRPr="002F50BD">
        <w:rPr>
          <w:rFonts w:ascii="Verdana" w:hAnsi="Verdana"/>
          <w:sz w:val="20"/>
          <w:lang w:val="pt-BR"/>
        </w:rPr>
        <w:t xml:space="preserve"> que </w:t>
      </w:r>
      <w:r w:rsidRPr="002F50BD">
        <w:rPr>
          <w:rFonts w:ascii="Verdana" w:hAnsi="Verdana"/>
          <w:sz w:val="20"/>
          <w:lang w:val="pt-BR"/>
        </w:rPr>
        <w:t>garanta</w:t>
      </w:r>
      <w:r w:rsidR="004756C1" w:rsidRPr="002F50BD">
        <w:rPr>
          <w:rFonts w:ascii="Verdana" w:hAnsi="Verdana"/>
          <w:sz w:val="20"/>
          <w:lang w:val="pt-BR"/>
        </w:rPr>
        <w:t xml:space="preserve"> </w:t>
      </w:r>
      <w:r w:rsidRPr="002F50BD">
        <w:rPr>
          <w:rFonts w:ascii="Verdana" w:hAnsi="Verdana"/>
          <w:sz w:val="20"/>
          <w:lang w:val="pt-BR"/>
        </w:rPr>
        <w:t>seu direito</w:t>
      </w:r>
      <w:r w:rsidR="004756C1" w:rsidRPr="002F50BD">
        <w:rPr>
          <w:rFonts w:ascii="Verdana" w:hAnsi="Verdana"/>
          <w:sz w:val="20"/>
          <w:lang w:val="pt-BR"/>
        </w:rPr>
        <w:t xml:space="preserve"> de </w:t>
      </w:r>
      <w:r w:rsidRPr="002F50BD">
        <w:rPr>
          <w:rFonts w:ascii="Verdana" w:hAnsi="Verdana"/>
          <w:sz w:val="20"/>
          <w:lang w:val="pt-BR"/>
        </w:rPr>
        <w:t>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 sobre</w:t>
      </w:r>
      <w:r w:rsidRPr="002F50BD">
        <w:rPr>
          <w:rFonts w:ascii="Verdana" w:hAnsi="Verdana"/>
          <w:sz w:val="20"/>
          <w:lang w:val="pt-BR"/>
        </w:rPr>
        <w:t xml:space="preserve"> a mesm</w:t>
      </w:r>
      <w:r w:rsidR="004756C1" w:rsidRPr="002F50BD">
        <w:rPr>
          <w:rFonts w:ascii="Verdana" w:hAnsi="Verdana"/>
          <w:sz w:val="20"/>
          <w:lang w:val="pt-BR"/>
        </w:rPr>
        <w:t>a,</w:t>
      </w:r>
      <w:r w:rsidRPr="002F50BD">
        <w:rPr>
          <w:rFonts w:ascii="Verdana" w:hAnsi="Verdana"/>
          <w:sz w:val="20"/>
          <w:lang w:val="pt-BR"/>
        </w:rPr>
        <w:t xml:space="preserve"> em uma extensão</w:t>
      </w:r>
      <w:r w:rsidR="004756C1" w:rsidRPr="002F50BD">
        <w:rPr>
          <w:rFonts w:ascii="Verdana" w:hAnsi="Verdana"/>
          <w:sz w:val="20"/>
          <w:lang w:val="pt-BR"/>
        </w:rPr>
        <w:t xml:space="preserve"> mínima </w:t>
      </w:r>
      <w:r w:rsidRPr="002F50BD">
        <w:rPr>
          <w:rFonts w:ascii="Verdana" w:hAnsi="Verdana"/>
          <w:sz w:val="20"/>
          <w:lang w:val="pt-BR"/>
        </w:rPr>
        <w:t>necessári</w:t>
      </w:r>
      <w:r w:rsidR="004756C1" w:rsidRPr="002F50BD">
        <w:rPr>
          <w:rFonts w:ascii="Verdana" w:hAnsi="Verdana"/>
          <w:sz w:val="20"/>
          <w:lang w:val="pt-BR"/>
        </w:rPr>
        <w:t xml:space="preserve">a para </w:t>
      </w:r>
      <w:r w:rsidRPr="002F50BD">
        <w:rPr>
          <w:rFonts w:ascii="Verdana" w:hAnsi="Verdana"/>
          <w:sz w:val="20"/>
          <w:lang w:val="pt-BR"/>
        </w:rPr>
        <w:t xml:space="preserve">garantir </w:t>
      </w:r>
      <w:r w:rsidR="0031730D" w:rsidRPr="002F50BD">
        <w:rPr>
          <w:rFonts w:ascii="Verdana" w:hAnsi="Verdana"/>
          <w:sz w:val="20"/>
          <w:lang w:val="pt-BR"/>
        </w:rPr>
        <w:t xml:space="preserve">a manutenção </w:t>
      </w:r>
      <w:r w:rsidRPr="002F50BD">
        <w:rPr>
          <w:rFonts w:ascii="Verdana" w:hAnsi="Verdana"/>
          <w:sz w:val="20"/>
          <w:lang w:val="pt-BR"/>
        </w:rPr>
        <w:t xml:space="preserve">e </w:t>
      </w:r>
      <w:r w:rsidR="0031730D" w:rsidRPr="002F50BD">
        <w:rPr>
          <w:rFonts w:ascii="Verdana" w:hAnsi="Verdana"/>
          <w:sz w:val="20"/>
          <w:lang w:val="pt-BR"/>
        </w:rPr>
        <w:t xml:space="preserve">o </w:t>
      </w:r>
      <w:r w:rsidRPr="002F50BD">
        <w:rPr>
          <w:rFonts w:ascii="Verdana" w:hAnsi="Verdana"/>
          <w:sz w:val="20"/>
          <w:lang w:val="pt-BR"/>
        </w:rPr>
        <w:t>desenvolvimento</w:t>
      </w:r>
      <w:r w:rsidR="004756C1" w:rsidRPr="002F50BD">
        <w:rPr>
          <w:rFonts w:ascii="Verdana" w:hAnsi="Verdana"/>
          <w:sz w:val="20"/>
          <w:lang w:val="pt-BR"/>
        </w:rPr>
        <w:t xml:space="preserve"> de </w:t>
      </w:r>
      <w:r w:rsidR="00385366" w:rsidRPr="002F50BD">
        <w:rPr>
          <w:rFonts w:ascii="Verdana" w:hAnsi="Verdana"/>
          <w:sz w:val="20"/>
          <w:lang w:val="pt-BR"/>
        </w:rPr>
        <w:t>sua própria</w:t>
      </w:r>
      <w:r w:rsidRPr="002F50BD">
        <w:rPr>
          <w:rFonts w:ascii="Verdana" w:hAnsi="Verdana"/>
          <w:sz w:val="20"/>
          <w:lang w:val="pt-BR"/>
        </w:rPr>
        <w:t xml:space="preserve"> </w:t>
      </w:r>
      <w:r w:rsidR="004756C1" w:rsidRPr="002F50BD">
        <w:rPr>
          <w:rFonts w:ascii="Verdana" w:hAnsi="Verdana"/>
          <w:sz w:val="20"/>
          <w:lang w:val="pt-BR"/>
        </w:rPr>
        <w:t>forma de vida.</w:t>
      </w:r>
      <w:r w:rsidR="00FE08B7">
        <w:rPr>
          <w:rFonts w:ascii="Verdana" w:hAnsi="Verdana"/>
          <w:sz w:val="20"/>
          <w:lang w:val="pt-BR"/>
        </w:rPr>
        <w:t xml:space="preserve"> </w:t>
      </w:r>
      <w:r w:rsidR="004756C1" w:rsidRPr="002F50BD">
        <w:rPr>
          <w:rFonts w:ascii="Verdana" w:hAnsi="Verdana"/>
          <w:sz w:val="20"/>
          <w:lang w:val="pt-BR"/>
        </w:rPr>
        <w:t>Respe</w:t>
      </w:r>
      <w:r w:rsidR="0031730D" w:rsidRPr="002F50BD">
        <w:rPr>
          <w:rFonts w:ascii="Verdana" w:hAnsi="Verdana"/>
          <w:sz w:val="20"/>
          <w:lang w:val="pt-BR"/>
        </w:rPr>
        <w:t>i</w:t>
      </w:r>
      <w:r w:rsidR="004756C1" w:rsidRPr="002F50BD">
        <w:rPr>
          <w:rFonts w:ascii="Verdana" w:hAnsi="Verdana"/>
          <w:sz w:val="20"/>
          <w:lang w:val="pt-BR"/>
        </w:rPr>
        <w:t>tando</w:t>
      </w:r>
      <w:r w:rsidRPr="002F50BD">
        <w:rPr>
          <w:rFonts w:ascii="Verdana" w:hAnsi="Verdana"/>
          <w:sz w:val="20"/>
          <w:lang w:val="pt-BR"/>
        </w:rPr>
        <w:t xml:space="preserve"> a vontade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a extensão</w:t>
      </w:r>
      <w:r w:rsidR="004756C1" w:rsidRPr="002F50BD">
        <w:rPr>
          <w:rFonts w:ascii="Verdana" w:hAnsi="Verdana"/>
          <w:sz w:val="20"/>
          <w:lang w:val="pt-BR"/>
        </w:rPr>
        <w:t xml:space="preserve"> mínima corresponder</w:t>
      </w:r>
      <w:r w:rsidR="0031730D" w:rsidRPr="002F50BD">
        <w:rPr>
          <w:rFonts w:ascii="Verdana" w:hAnsi="Verdana"/>
          <w:sz w:val="20"/>
          <w:lang w:val="pt-BR"/>
        </w:rPr>
        <w:t>i</w:t>
      </w:r>
      <w:r w:rsidR="004756C1" w:rsidRPr="002F50BD">
        <w:rPr>
          <w:rFonts w:ascii="Verdana" w:hAnsi="Verdana"/>
          <w:sz w:val="20"/>
          <w:lang w:val="pt-BR"/>
        </w:rPr>
        <w:t>a</w:t>
      </w:r>
      <w:r w:rsidRPr="002F50BD">
        <w:rPr>
          <w:rFonts w:ascii="Verdana" w:hAnsi="Verdana"/>
          <w:sz w:val="20"/>
          <w:lang w:val="pt-BR"/>
        </w:rPr>
        <w:t xml:space="preserve"> </w:t>
      </w:r>
      <w:r w:rsidR="0031730D" w:rsidRPr="002F50BD">
        <w:rPr>
          <w:rFonts w:ascii="Verdana" w:hAnsi="Verdana"/>
          <w:sz w:val="20"/>
          <w:lang w:val="pt-BR"/>
        </w:rPr>
        <w:t>ao</w:t>
      </w:r>
      <w:r w:rsidRPr="002F50BD">
        <w:rPr>
          <w:rFonts w:ascii="Verdana" w:hAnsi="Verdana"/>
          <w:sz w:val="20"/>
          <w:lang w:val="pt-BR"/>
        </w:rPr>
        <w:t xml:space="preserve">s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189</w:t>
      </w:r>
      <w:r w:rsidR="004756C1" w:rsidRPr="002F50BD">
        <w:rPr>
          <w:rFonts w:ascii="Verdana" w:hAnsi="Verdana"/>
          <w:sz w:val="20"/>
          <w:lang w:val="pt-BR"/>
        </w:rPr>
        <w:t xml:space="preserve"> </w:t>
      </w:r>
      <w:r w:rsidR="00E10DBB" w:rsidRPr="002F50BD">
        <w:rPr>
          <w:rFonts w:ascii="Verdana" w:hAnsi="Verdana"/>
          <w:sz w:val="20"/>
          <w:lang w:val="pt-BR"/>
        </w:rPr>
        <w:t>hectares</w:t>
      </w:r>
      <w:r w:rsidR="004756C1" w:rsidRPr="002F50BD">
        <w:rPr>
          <w:rFonts w:ascii="Verdana" w:hAnsi="Verdana"/>
          <w:sz w:val="20"/>
          <w:lang w:val="pt-BR"/>
        </w:rPr>
        <w:t xml:space="preserve"> que con</w:t>
      </w:r>
      <w:r w:rsidRPr="002F50BD">
        <w:rPr>
          <w:rFonts w:ascii="Verdana" w:hAnsi="Verdana"/>
          <w:sz w:val="20"/>
          <w:lang w:val="pt-BR"/>
        </w:rPr>
        <w:t>formam o território</w:t>
      </w:r>
      <w:r w:rsidR="004756C1" w:rsidRPr="002F50BD">
        <w:rPr>
          <w:rFonts w:ascii="Verdana" w:hAnsi="Verdana"/>
          <w:sz w:val="20"/>
          <w:lang w:val="pt-BR"/>
        </w:rPr>
        <w:t xml:space="preserve"> de Yakye Axa,</w:t>
      </w:r>
      <w:r w:rsidRPr="002F50BD">
        <w:rPr>
          <w:rFonts w:ascii="Verdana" w:hAnsi="Verdana"/>
          <w:sz w:val="20"/>
          <w:lang w:val="pt-BR"/>
        </w:rPr>
        <w:t xml:space="preserve"> hoje conhecido</w:t>
      </w:r>
      <w:r w:rsidR="004756C1" w:rsidRPr="002F50BD">
        <w:rPr>
          <w:rFonts w:ascii="Verdana" w:hAnsi="Verdana"/>
          <w:sz w:val="20"/>
          <w:lang w:val="pt-BR"/>
        </w:rPr>
        <w:t xml:space="preserve"> como “</w:t>
      </w:r>
      <w:r w:rsidR="00060B3A" w:rsidRPr="002F50BD">
        <w:rPr>
          <w:rFonts w:ascii="Verdana" w:hAnsi="Verdana"/>
          <w:i/>
          <w:sz w:val="20"/>
          <w:lang w:val="pt-BR"/>
        </w:rPr>
        <w:t>Estancia Loma Verde</w:t>
      </w:r>
      <w:r w:rsidR="004756C1" w:rsidRPr="002F50BD">
        <w:rPr>
          <w:rFonts w:ascii="Verdana" w:hAnsi="Verdana"/>
          <w:sz w:val="20"/>
          <w:lang w:val="pt-BR"/>
        </w:rPr>
        <w:t>”;</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A terra</w:t>
      </w:r>
      <w:r w:rsidR="004756C1" w:rsidRPr="002F50BD">
        <w:rPr>
          <w:rFonts w:ascii="Verdana" w:hAnsi="Verdana"/>
          <w:sz w:val="20"/>
          <w:lang w:val="pt-BR"/>
        </w:rPr>
        <w:t xml:space="preserve"> reivindicada</w:t>
      </w:r>
      <w:r w:rsidRPr="002F50BD">
        <w:rPr>
          <w:rFonts w:ascii="Verdana" w:hAnsi="Verdana"/>
          <w:sz w:val="20"/>
          <w:lang w:val="pt-BR"/>
        </w:rPr>
        <w:t xml:space="preserve"> e </w:t>
      </w:r>
      <w:r w:rsidR="00AB454A" w:rsidRPr="002F50BD">
        <w:rPr>
          <w:rFonts w:ascii="Verdana" w:hAnsi="Verdana"/>
          <w:sz w:val="20"/>
          <w:lang w:val="pt-BR"/>
        </w:rPr>
        <w:t>seus recursos</w:t>
      </w:r>
      <w:r w:rsidR="004756C1" w:rsidRPr="002F50BD">
        <w:rPr>
          <w:rFonts w:ascii="Verdana" w:hAnsi="Verdana"/>
          <w:sz w:val="20"/>
          <w:lang w:val="pt-BR"/>
        </w:rPr>
        <w:t xml:space="preserve"> </w:t>
      </w:r>
      <w:r w:rsidR="005D1589" w:rsidRPr="002F50BD">
        <w:rPr>
          <w:rFonts w:ascii="Verdana" w:hAnsi="Verdana"/>
          <w:sz w:val="20"/>
          <w:lang w:val="pt-BR"/>
        </w:rPr>
        <w:t>naturais</w:t>
      </w:r>
      <w:r w:rsidR="004756C1" w:rsidRPr="002F50BD">
        <w:rPr>
          <w:rFonts w:ascii="Verdana" w:hAnsi="Verdana"/>
          <w:sz w:val="20"/>
          <w:lang w:val="pt-BR"/>
        </w:rPr>
        <w:t xml:space="preserve"> </w:t>
      </w:r>
      <w:r w:rsidRPr="002F50BD">
        <w:rPr>
          <w:rFonts w:ascii="Verdana" w:hAnsi="Verdana"/>
          <w:sz w:val="20"/>
          <w:lang w:val="pt-BR"/>
        </w:rPr>
        <w:t>deverão</w:t>
      </w:r>
      <w:r w:rsidR="004756C1" w:rsidRPr="002F50BD">
        <w:rPr>
          <w:rFonts w:ascii="Verdana" w:hAnsi="Verdana"/>
          <w:sz w:val="20"/>
          <w:lang w:val="pt-BR"/>
        </w:rPr>
        <w:t xml:space="preserve"> ser </w:t>
      </w:r>
      <w:r w:rsidR="0031730D" w:rsidRPr="002F50BD">
        <w:rPr>
          <w:rFonts w:ascii="Verdana" w:hAnsi="Verdana"/>
          <w:sz w:val="20"/>
          <w:lang w:val="pt-BR"/>
        </w:rPr>
        <w:t>protegidos</w:t>
      </w:r>
      <w:r w:rsidR="004756C1" w:rsidRPr="002F50BD">
        <w:rPr>
          <w:rFonts w:ascii="Verdana" w:hAnsi="Verdana"/>
          <w:sz w:val="20"/>
          <w:lang w:val="pt-BR"/>
        </w:rPr>
        <w:t xml:space="preserve"> </w:t>
      </w:r>
      <w:r w:rsidRPr="002F50BD">
        <w:rPr>
          <w:rFonts w:ascii="Verdana" w:hAnsi="Verdana"/>
          <w:sz w:val="20"/>
          <w:lang w:val="pt-BR"/>
        </w:rPr>
        <w:t>enquanto</w:t>
      </w:r>
      <w:r w:rsidR="004756C1" w:rsidRPr="002F50BD">
        <w:rPr>
          <w:rFonts w:ascii="Verdana" w:hAnsi="Verdana"/>
          <w:sz w:val="20"/>
          <w:lang w:val="pt-BR"/>
        </w:rPr>
        <w:t xml:space="preserve"> se </w:t>
      </w:r>
      <w:r w:rsidR="003B734C">
        <w:rPr>
          <w:rFonts w:ascii="Verdana" w:hAnsi="Verdana"/>
          <w:sz w:val="20"/>
          <w:lang w:val="pt-BR"/>
        </w:rPr>
        <w:t xml:space="preserve">realiza </w:t>
      </w:r>
      <w:r w:rsidRPr="002F50BD">
        <w:rPr>
          <w:rFonts w:ascii="Verdana" w:hAnsi="Verdana"/>
          <w:sz w:val="20"/>
          <w:lang w:val="pt-BR"/>
        </w:rPr>
        <w:t xml:space="preserve">a </w:t>
      </w:r>
      <w:r w:rsidR="004756C1" w:rsidRPr="002F50BD">
        <w:rPr>
          <w:rFonts w:ascii="Verdana" w:hAnsi="Verdana"/>
          <w:sz w:val="20"/>
          <w:lang w:val="pt-BR"/>
        </w:rPr>
        <w:t xml:space="preserve">entrega </w:t>
      </w:r>
      <w:r w:rsidRPr="002F50BD">
        <w:rPr>
          <w:rFonts w:ascii="Verdana" w:hAnsi="Verdana"/>
          <w:sz w:val="20"/>
          <w:lang w:val="pt-BR"/>
        </w:rPr>
        <w:t>efetiv</w:t>
      </w:r>
      <w:r w:rsidR="004756C1" w:rsidRPr="002F50BD">
        <w:rPr>
          <w:rFonts w:ascii="Verdana" w:hAnsi="Verdana"/>
          <w:sz w:val="20"/>
          <w:lang w:val="pt-BR"/>
        </w:rPr>
        <w:t>a</w:t>
      </w:r>
      <w:r w:rsidRPr="002F50BD">
        <w:rPr>
          <w:rFonts w:ascii="Verdana" w:hAnsi="Verdana"/>
          <w:sz w:val="20"/>
          <w:lang w:val="pt-BR"/>
        </w:rPr>
        <w:t xml:space="preserve"> da terra à </w:t>
      </w:r>
      <w:r w:rsidR="00C247F1" w:rsidRPr="002F50BD">
        <w:rPr>
          <w:rFonts w:ascii="Verdana" w:hAnsi="Verdana"/>
          <w:sz w:val="20"/>
          <w:lang w:val="pt-BR"/>
        </w:rPr>
        <w:t>Comunidade;</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á constituir</w:t>
      </w:r>
      <w:r w:rsidRPr="002F50BD">
        <w:rPr>
          <w:rFonts w:ascii="Verdana" w:hAnsi="Verdana"/>
          <w:sz w:val="20"/>
          <w:lang w:val="pt-BR"/>
        </w:rPr>
        <w:t xml:space="preserve"> um </w:t>
      </w:r>
      <w:r w:rsidR="0031730D" w:rsidRPr="002F50BD">
        <w:rPr>
          <w:rFonts w:ascii="Verdana" w:hAnsi="Verdana"/>
          <w:sz w:val="20"/>
          <w:lang w:val="pt-BR"/>
        </w:rPr>
        <w:t xml:space="preserve">fundo </w:t>
      </w:r>
      <w:r w:rsidR="004756C1" w:rsidRPr="002F50BD">
        <w:rPr>
          <w:rFonts w:ascii="Verdana" w:hAnsi="Verdana"/>
          <w:sz w:val="20"/>
          <w:lang w:val="pt-BR"/>
        </w:rPr>
        <w:t>destinado a c</w:t>
      </w:r>
      <w:r w:rsidR="0031730D" w:rsidRPr="002F50BD">
        <w:rPr>
          <w:rFonts w:ascii="Verdana" w:hAnsi="Verdana"/>
          <w:sz w:val="20"/>
          <w:lang w:val="pt-BR"/>
        </w:rPr>
        <w:t>o</w:t>
      </w:r>
      <w:r w:rsidR="004756C1" w:rsidRPr="002F50BD">
        <w:rPr>
          <w:rFonts w:ascii="Verdana" w:hAnsi="Verdana"/>
          <w:sz w:val="20"/>
          <w:lang w:val="pt-BR"/>
        </w:rPr>
        <w:t>brir</w:t>
      </w:r>
      <w:r w:rsidRPr="002F50BD">
        <w:rPr>
          <w:rFonts w:ascii="Verdana" w:hAnsi="Verdana"/>
          <w:sz w:val="20"/>
          <w:lang w:val="pt-BR"/>
        </w:rPr>
        <w:t xml:space="preserve"> o pagamento das terra</w:t>
      </w:r>
      <w:r w:rsidR="004756C1" w:rsidRPr="002F50BD">
        <w:rPr>
          <w:rFonts w:ascii="Verdana" w:hAnsi="Verdana"/>
          <w:sz w:val="20"/>
          <w:lang w:val="pt-BR"/>
        </w:rPr>
        <w:t xml:space="preserve">s </w:t>
      </w:r>
      <w:r w:rsidR="00AB454A" w:rsidRPr="002F50BD">
        <w:rPr>
          <w:rFonts w:ascii="Verdana" w:hAnsi="Verdana"/>
          <w:sz w:val="20"/>
          <w:lang w:val="pt-BR"/>
        </w:rPr>
        <w:t>ancestrais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 xml:space="preserve">com </w:t>
      </w:r>
      <w:r w:rsidR="004756C1" w:rsidRPr="002F50BD">
        <w:rPr>
          <w:rFonts w:ascii="Verdana" w:hAnsi="Verdana"/>
          <w:sz w:val="20"/>
          <w:lang w:val="pt-BR"/>
        </w:rPr>
        <w:t>base</w:t>
      </w:r>
      <w:r w:rsidRPr="002F50BD">
        <w:rPr>
          <w:rFonts w:ascii="Verdana" w:hAnsi="Verdana"/>
          <w:sz w:val="20"/>
          <w:lang w:val="pt-BR"/>
        </w:rPr>
        <w:t xml:space="preserve"> no </w:t>
      </w:r>
      <w:r w:rsidR="004756C1" w:rsidRPr="002F50BD">
        <w:rPr>
          <w:rFonts w:ascii="Verdana" w:hAnsi="Verdana"/>
          <w:sz w:val="20"/>
          <w:lang w:val="pt-BR"/>
        </w:rPr>
        <w:t xml:space="preserve">valor </w:t>
      </w:r>
      <w:r w:rsidR="0031730D" w:rsidRPr="002F50BD">
        <w:rPr>
          <w:rFonts w:ascii="Verdana" w:hAnsi="Verdana"/>
          <w:sz w:val="20"/>
          <w:lang w:val="pt-BR"/>
        </w:rPr>
        <w:t>médio</w:t>
      </w:r>
      <w:r w:rsidRPr="002F50BD">
        <w:rPr>
          <w:rFonts w:ascii="Verdana" w:hAnsi="Verdana"/>
          <w:sz w:val="20"/>
          <w:lang w:val="pt-BR"/>
        </w:rPr>
        <w:t xml:space="preserve"> </w:t>
      </w:r>
      <w:r w:rsidR="004756C1" w:rsidRPr="002F50BD">
        <w:rPr>
          <w:rFonts w:ascii="Verdana" w:hAnsi="Verdana"/>
          <w:sz w:val="20"/>
          <w:lang w:val="pt-BR"/>
        </w:rPr>
        <w:t>de mercado</w:t>
      </w:r>
      <w:r w:rsidRPr="002F50BD">
        <w:rPr>
          <w:rFonts w:ascii="Verdana" w:hAnsi="Verdana"/>
          <w:sz w:val="20"/>
          <w:lang w:val="pt-BR"/>
        </w:rPr>
        <w:t xml:space="preserve"> das terra</w:t>
      </w:r>
      <w:r w:rsidR="004756C1" w:rsidRPr="002F50BD">
        <w:rPr>
          <w:rFonts w:ascii="Verdana" w:hAnsi="Verdana"/>
          <w:sz w:val="20"/>
          <w:lang w:val="pt-BR"/>
        </w:rPr>
        <w:t>s</w:t>
      </w:r>
      <w:r w:rsidRPr="002F50BD">
        <w:rPr>
          <w:rFonts w:ascii="Verdana" w:hAnsi="Verdana"/>
          <w:sz w:val="20"/>
          <w:lang w:val="pt-BR"/>
        </w:rPr>
        <w:t xml:space="preserve"> n</w:t>
      </w:r>
      <w:r w:rsidR="0031730D" w:rsidRPr="002F50BD">
        <w:rPr>
          <w:rFonts w:ascii="Verdana" w:hAnsi="Verdana"/>
          <w:sz w:val="20"/>
          <w:lang w:val="pt-BR"/>
        </w:rPr>
        <w:t>a</w:t>
      </w:r>
      <w:r w:rsidRPr="002F50BD">
        <w:rPr>
          <w:rFonts w:ascii="Verdana" w:hAnsi="Verdana"/>
          <w:sz w:val="20"/>
          <w:lang w:val="pt-BR"/>
        </w:rPr>
        <w:t xml:space="preserve"> </w:t>
      </w:r>
      <w:r w:rsidR="004756C1" w:rsidRPr="002F50BD">
        <w:rPr>
          <w:rFonts w:ascii="Verdana" w:hAnsi="Verdana"/>
          <w:sz w:val="20"/>
          <w:lang w:val="pt-BR"/>
        </w:rPr>
        <w:t>área reivindicada, calculado sobre</w:t>
      </w:r>
      <w:r w:rsidRPr="002F50BD">
        <w:rPr>
          <w:rFonts w:ascii="Verdana" w:hAnsi="Verdana"/>
          <w:sz w:val="20"/>
          <w:lang w:val="pt-BR"/>
        </w:rPr>
        <w:t xml:space="preserve"> a extensão</w:t>
      </w:r>
      <w:r w:rsidR="004756C1" w:rsidRPr="002F50BD">
        <w:rPr>
          <w:rFonts w:ascii="Verdana" w:hAnsi="Verdana"/>
          <w:sz w:val="20"/>
          <w:lang w:val="pt-BR"/>
        </w:rPr>
        <w:t xml:space="preserve"> mínima reclamada;</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A terra</w:t>
      </w:r>
      <w:r w:rsidR="004756C1" w:rsidRPr="002F50BD">
        <w:rPr>
          <w:rFonts w:ascii="Verdana" w:hAnsi="Verdana"/>
          <w:sz w:val="20"/>
          <w:lang w:val="pt-BR"/>
        </w:rPr>
        <w:t xml:space="preserve"> reivindicada </w:t>
      </w:r>
      <w:r w:rsidRPr="002F50BD">
        <w:rPr>
          <w:rFonts w:ascii="Verdana" w:hAnsi="Verdana"/>
          <w:sz w:val="20"/>
          <w:lang w:val="pt-BR"/>
        </w:rPr>
        <w:t>dever</w:t>
      </w:r>
      <w:r w:rsidR="004756C1" w:rsidRPr="002F50BD">
        <w:rPr>
          <w:rFonts w:ascii="Verdana" w:hAnsi="Verdana"/>
          <w:sz w:val="20"/>
          <w:lang w:val="pt-BR"/>
        </w:rPr>
        <w:t>á ser habilitada</w:t>
      </w:r>
      <w:r w:rsidRPr="002F50BD">
        <w:rPr>
          <w:rFonts w:ascii="Verdana" w:hAnsi="Verdana"/>
          <w:sz w:val="20"/>
          <w:lang w:val="pt-BR"/>
        </w:rPr>
        <w:t xml:space="preserve"> com serviço</w:t>
      </w:r>
      <w:r w:rsidR="004756C1" w:rsidRPr="002F50BD">
        <w:rPr>
          <w:rFonts w:ascii="Verdana" w:hAnsi="Verdana"/>
          <w:sz w:val="20"/>
          <w:lang w:val="pt-BR"/>
        </w:rPr>
        <w:t xml:space="preserve">s básicos, </w:t>
      </w:r>
      <w:r w:rsidRPr="002F50BD">
        <w:rPr>
          <w:rFonts w:ascii="Verdana" w:hAnsi="Verdana"/>
          <w:sz w:val="20"/>
          <w:lang w:val="pt-BR"/>
        </w:rPr>
        <w:t>incluindo</w:t>
      </w:r>
      <w:r w:rsidR="00AB454A" w:rsidRPr="002F50BD">
        <w:rPr>
          <w:rFonts w:ascii="Verdana" w:hAnsi="Verdana"/>
          <w:sz w:val="20"/>
          <w:lang w:val="pt-BR"/>
        </w:rPr>
        <w:t xml:space="preserve"> água potável </w:t>
      </w:r>
      <w:r w:rsidR="004756C1" w:rsidRPr="002F50BD">
        <w:rPr>
          <w:rFonts w:ascii="Verdana" w:hAnsi="Verdana"/>
          <w:sz w:val="20"/>
          <w:lang w:val="pt-BR"/>
        </w:rPr>
        <w:t>e infra</w:t>
      </w:r>
      <w:r w:rsidRPr="002F50BD">
        <w:rPr>
          <w:rFonts w:ascii="Verdana" w:hAnsi="Verdana"/>
          <w:sz w:val="20"/>
          <w:lang w:val="pt-BR"/>
        </w:rPr>
        <w:t>estrutura</w:t>
      </w:r>
      <w:r w:rsidR="004756C1" w:rsidRPr="002F50BD">
        <w:rPr>
          <w:rFonts w:ascii="Verdana" w:hAnsi="Verdana"/>
          <w:sz w:val="20"/>
          <w:lang w:val="pt-BR"/>
        </w:rPr>
        <w:t xml:space="preserve"> </w:t>
      </w:r>
      <w:r w:rsidR="00A50140" w:rsidRPr="002F50BD">
        <w:rPr>
          <w:rFonts w:ascii="Verdana" w:hAnsi="Verdana"/>
          <w:sz w:val="20"/>
          <w:lang w:val="pt-BR"/>
        </w:rPr>
        <w:t>sanitária</w:t>
      </w:r>
      <w:r w:rsidR="004756C1" w:rsidRPr="002F50BD">
        <w:rPr>
          <w:rFonts w:ascii="Verdana" w:hAnsi="Verdana"/>
          <w:sz w:val="20"/>
          <w:lang w:val="pt-BR"/>
        </w:rPr>
        <w:t>,</w:t>
      </w:r>
      <w:r w:rsidRPr="002F50BD">
        <w:rPr>
          <w:rFonts w:ascii="Verdana" w:hAnsi="Verdana"/>
          <w:sz w:val="20"/>
          <w:lang w:val="pt-BR"/>
        </w:rPr>
        <w:t xml:space="preserve"> um posto </w:t>
      </w:r>
      <w:r w:rsidR="004756C1" w:rsidRPr="002F50BD">
        <w:rPr>
          <w:rFonts w:ascii="Verdana" w:hAnsi="Verdana"/>
          <w:sz w:val="20"/>
          <w:lang w:val="pt-BR"/>
        </w:rPr>
        <w:t xml:space="preserve">de </w:t>
      </w:r>
      <w:r w:rsidRPr="002F50BD">
        <w:rPr>
          <w:rFonts w:ascii="Verdana" w:hAnsi="Verdana"/>
          <w:sz w:val="20"/>
          <w:lang w:val="pt-BR"/>
        </w:rPr>
        <w:t>saúde e um estabelecimento</w:t>
      </w:r>
      <w:r w:rsidR="004756C1" w:rsidRPr="002F50BD">
        <w:rPr>
          <w:rFonts w:ascii="Verdana" w:hAnsi="Verdana"/>
          <w:sz w:val="20"/>
          <w:lang w:val="pt-BR"/>
        </w:rPr>
        <w:t xml:space="preserve"> escolar. </w:t>
      </w:r>
      <w:r w:rsidR="0031730D" w:rsidRPr="002F50BD">
        <w:rPr>
          <w:rFonts w:ascii="Verdana" w:hAnsi="Verdana"/>
          <w:sz w:val="20"/>
          <w:lang w:val="pt-BR"/>
        </w:rPr>
        <w:t>Do mesmo modo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 xml:space="preserve">á </w:t>
      </w:r>
      <w:r w:rsidR="0031730D" w:rsidRPr="002F50BD">
        <w:rPr>
          <w:rFonts w:ascii="Verdana" w:hAnsi="Verdana"/>
          <w:sz w:val="20"/>
          <w:lang w:val="pt-BR"/>
        </w:rPr>
        <w:t>oferecer</w:t>
      </w:r>
      <w:r w:rsidR="004756C1" w:rsidRPr="002F50BD">
        <w:rPr>
          <w:rFonts w:ascii="Verdana" w:hAnsi="Verdana"/>
          <w:sz w:val="20"/>
          <w:lang w:val="pt-BR"/>
        </w:rPr>
        <w:t>,</w:t>
      </w:r>
      <w:r w:rsidRPr="002F50BD">
        <w:rPr>
          <w:rFonts w:ascii="Verdana" w:hAnsi="Verdana"/>
          <w:sz w:val="20"/>
          <w:lang w:val="pt-BR"/>
        </w:rPr>
        <w:t xml:space="preserve"> </w:t>
      </w:r>
      <w:r w:rsidR="004756C1" w:rsidRPr="002F50BD">
        <w:rPr>
          <w:rFonts w:ascii="Verdana" w:hAnsi="Verdana"/>
          <w:sz w:val="20"/>
          <w:lang w:val="pt-BR"/>
        </w:rPr>
        <w:t>permanente</w:t>
      </w:r>
      <w:r w:rsidR="0031730D" w:rsidRPr="002F50BD">
        <w:rPr>
          <w:rFonts w:ascii="Verdana" w:hAnsi="Verdana"/>
          <w:sz w:val="20"/>
          <w:lang w:val="pt-BR"/>
        </w:rPr>
        <w:t>mente</w:t>
      </w:r>
      <w:r w:rsidR="004756C1" w:rsidRPr="002F50BD">
        <w:rPr>
          <w:rFonts w:ascii="Verdana" w:hAnsi="Verdana"/>
          <w:sz w:val="20"/>
          <w:lang w:val="pt-BR"/>
        </w:rPr>
        <w:t xml:space="preserve">, </w:t>
      </w:r>
      <w:r w:rsidRPr="002F50BD">
        <w:rPr>
          <w:rFonts w:ascii="Verdana" w:hAnsi="Verdana"/>
          <w:sz w:val="20"/>
          <w:lang w:val="pt-BR"/>
        </w:rPr>
        <w:t>atenção</w:t>
      </w:r>
      <w:r w:rsidR="004756C1" w:rsidRPr="002F50BD">
        <w:rPr>
          <w:rFonts w:ascii="Verdana" w:hAnsi="Verdana"/>
          <w:sz w:val="20"/>
          <w:lang w:val="pt-BR"/>
        </w:rPr>
        <w:t xml:space="preserve"> médica</w:t>
      </w:r>
      <w:r w:rsidRPr="002F50BD">
        <w:rPr>
          <w:rFonts w:ascii="Verdana" w:hAnsi="Verdana"/>
          <w:sz w:val="20"/>
          <w:lang w:val="pt-BR"/>
        </w:rPr>
        <w:t xml:space="preserve"> e </w:t>
      </w:r>
      <w:r w:rsidR="004756C1" w:rsidRPr="002F50BD">
        <w:rPr>
          <w:rFonts w:ascii="Verdana" w:hAnsi="Verdana"/>
          <w:sz w:val="20"/>
          <w:lang w:val="pt-BR"/>
        </w:rPr>
        <w:t>educacional</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e</w:t>
      </w:r>
    </w:p>
    <w:p w:rsidR="0031730D" w:rsidRPr="002F50BD" w:rsidRDefault="0031730D" w:rsidP="0031730D">
      <w:pPr>
        <w:tabs>
          <w:tab w:val="left" w:pos="1080"/>
        </w:tabs>
        <w:ind w:left="360"/>
        <w:jc w:val="both"/>
        <w:rPr>
          <w:rFonts w:ascii="Verdana" w:hAnsi="Verdana"/>
          <w:sz w:val="20"/>
          <w:lang w:val="pt-BR"/>
        </w:rPr>
      </w:pPr>
    </w:p>
    <w:p w:rsidR="004756C1" w:rsidRPr="002F50BD" w:rsidRDefault="0089298C">
      <w:pPr>
        <w:numPr>
          <w:ilvl w:val="0"/>
          <w:numId w:val="18"/>
        </w:numPr>
        <w:tabs>
          <w:tab w:val="clear" w:pos="720"/>
          <w:tab w:val="left" w:pos="1080"/>
        </w:tabs>
        <w:ind w:left="720"/>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 xml:space="preserve">á </w:t>
      </w:r>
      <w:r w:rsidRPr="002F50BD">
        <w:rPr>
          <w:rFonts w:ascii="Verdana" w:hAnsi="Verdana"/>
          <w:sz w:val="20"/>
          <w:lang w:val="pt-BR"/>
        </w:rPr>
        <w:t>criar</w:t>
      </w:r>
      <w:r w:rsidR="004756C1" w:rsidRPr="002F50BD">
        <w:rPr>
          <w:rFonts w:ascii="Verdana" w:hAnsi="Verdana"/>
          <w:sz w:val="20"/>
          <w:lang w:val="pt-BR"/>
        </w:rPr>
        <w:t xml:space="preserve"> mecanismos de aplica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efetiv</w:t>
      </w:r>
      <w:r w:rsidR="004756C1" w:rsidRPr="002F50BD">
        <w:rPr>
          <w:rFonts w:ascii="Verdana" w:hAnsi="Verdana"/>
          <w:sz w:val="20"/>
          <w:lang w:val="pt-BR"/>
        </w:rPr>
        <w:t xml:space="preserve">a </w:t>
      </w:r>
      <w:r w:rsidRPr="002F50BD">
        <w:rPr>
          <w:rFonts w:ascii="Verdana" w:hAnsi="Verdana"/>
          <w:sz w:val="20"/>
          <w:lang w:val="pt-BR"/>
        </w:rPr>
        <w:t>d</w:t>
      </w:r>
      <w:r w:rsidR="007043AA" w:rsidRPr="002F50BD">
        <w:rPr>
          <w:rFonts w:ascii="Verdana" w:hAnsi="Verdana"/>
          <w:sz w:val="20"/>
          <w:lang w:val="pt-BR"/>
        </w:rPr>
        <w:t>a Convenção</w:t>
      </w:r>
      <w:r w:rsidR="00FC6B22" w:rsidRPr="002F50BD">
        <w:rPr>
          <w:rFonts w:ascii="Verdana" w:hAnsi="Verdana"/>
          <w:sz w:val="20"/>
          <w:lang w:val="pt-BR"/>
        </w:rPr>
        <w:t xml:space="preserve"> </w:t>
      </w:r>
      <w:r w:rsidR="00063B47" w:rsidRPr="002F50BD">
        <w:rPr>
          <w:rFonts w:ascii="Verdana" w:hAnsi="Verdana"/>
          <w:sz w:val="20"/>
          <w:lang w:val="pt-BR"/>
        </w:rPr>
        <w:t>nº</w:t>
      </w:r>
      <w:r w:rsidR="00FC6B22" w:rsidRPr="002F50BD">
        <w:rPr>
          <w:rFonts w:ascii="Verdana" w:hAnsi="Verdana"/>
          <w:sz w:val="20"/>
          <w:lang w:val="pt-BR"/>
        </w:rPr>
        <w:t xml:space="preserve"> </w:t>
      </w:r>
      <w:r w:rsidR="00063B47" w:rsidRPr="002F50BD">
        <w:rPr>
          <w:rFonts w:ascii="Verdana" w:hAnsi="Verdana"/>
          <w:sz w:val="20"/>
          <w:lang w:val="pt-BR"/>
        </w:rPr>
        <w:t>169</w:t>
      </w:r>
      <w:r w:rsidR="007043AA" w:rsidRPr="002F50BD">
        <w:rPr>
          <w:rFonts w:ascii="Verdana" w:hAnsi="Verdana"/>
          <w:sz w:val="20"/>
          <w:lang w:val="pt-BR"/>
        </w:rPr>
        <w:t xml:space="preserve"> </w:t>
      </w:r>
      <w:r w:rsidRPr="002F50BD">
        <w:rPr>
          <w:rFonts w:ascii="Verdana" w:hAnsi="Verdana"/>
          <w:sz w:val="20"/>
          <w:lang w:val="pt-BR"/>
        </w:rPr>
        <w:t xml:space="preserve">da </w:t>
      </w:r>
      <w:r w:rsidR="004756C1" w:rsidRPr="002F50BD">
        <w:rPr>
          <w:rFonts w:ascii="Verdana" w:hAnsi="Verdana"/>
          <w:sz w:val="20"/>
          <w:lang w:val="pt-BR"/>
        </w:rPr>
        <w:t>OIT</w:t>
      </w:r>
      <w:r w:rsidRPr="002F50BD">
        <w:rPr>
          <w:rFonts w:ascii="Verdana" w:hAnsi="Verdana"/>
          <w:sz w:val="20"/>
          <w:lang w:val="pt-BR"/>
        </w:rPr>
        <w:t xml:space="preserve"> e do </w:t>
      </w:r>
      <w:r w:rsidR="004756C1" w:rsidRPr="002F50BD">
        <w:rPr>
          <w:rFonts w:ascii="Verdana" w:hAnsi="Verdana"/>
          <w:sz w:val="20"/>
          <w:lang w:val="pt-BR"/>
        </w:rPr>
        <w:t>Capitulo V</w:t>
      </w:r>
      <w:r w:rsidRPr="002F50BD">
        <w:rPr>
          <w:rFonts w:ascii="Verdana" w:hAnsi="Verdana"/>
          <w:sz w:val="20"/>
          <w:lang w:val="pt-BR"/>
        </w:rPr>
        <w:t xml:space="preserve"> da Constituição</w:t>
      </w:r>
      <w:r w:rsidR="004756C1" w:rsidRPr="002F50BD">
        <w:rPr>
          <w:rFonts w:ascii="Verdana" w:hAnsi="Verdana"/>
          <w:sz w:val="20"/>
          <w:lang w:val="pt-BR"/>
        </w:rPr>
        <w:t xml:space="preserve"> Nacional </w:t>
      </w:r>
      <w:r w:rsidRPr="002F50BD">
        <w:rPr>
          <w:rFonts w:ascii="Verdana" w:hAnsi="Verdana"/>
          <w:sz w:val="20"/>
          <w:lang w:val="pt-BR"/>
        </w:rPr>
        <w:t>do Paraguai</w:t>
      </w:r>
      <w:r w:rsidR="004756C1" w:rsidRPr="002F50BD">
        <w:rPr>
          <w:rFonts w:ascii="Verdana" w:hAnsi="Verdana"/>
          <w:sz w:val="20"/>
          <w:lang w:val="pt-BR"/>
        </w:rPr>
        <w:t>, que satisfa</w:t>
      </w:r>
      <w:r w:rsidR="0031730D" w:rsidRPr="002F50BD">
        <w:rPr>
          <w:rFonts w:ascii="Verdana" w:hAnsi="Verdana"/>
          <w:sz w:val="20"/>
          <w:lang w:val="pt-BR"/>
        </w:rPr>
        <w:t xml:space="preserve">çam </w:t>
      </w:r>
      <w:r w:rsidRPr="002F50BD">
        <w:rPr>
          <w:rFonts w:ascii="Verdana" w:hAnsi="Verdana"/>
          <w:sz w:val="20"/>
          <w:lang w:val="pt-BR"/>
        </w:rPr>
        <w:t xml:space="preserve">os </w:t>
      </w:r>
      <w:r w:rsidR="004756C1" w:rsidRPr="002F50BD">
        <w:rPr>
          <w:rFonts w:ascii="Verdana" w:hAnsi="Verdana"/>
          <w:sz w:val="20"/>
          <w:lang w:val="pt-BR"/>
        </w:rPr>
        <w:t>reclamos</w:t>
      </w:r>
      <w:r w:rsidRPr="002F50BD">
        <w:rPr>
          <w:rFonts w:ascii="Verdana" w:hAnsi="Verdana"/>
          <w:sz w:val="20"/>
          <w:lang w:val="pt-BR"/>
        </w:rPr>
        <w:t xml:space="preserve"> dos povo</w:t>
      </w:r>
      <w:r w:rsidR="004756C1" w:rsidRPr="002F50BD">
        <w:rPr>
          <w:rFonts w:ascii="Verdana" w:hAnsi="Verdana"/>
          <w:sz w:val="20"/>
          <w:lang w:val="pt-BR"/>
        </w:rPr>
        <w:t>s indígenas</w:t>
      </w:r>
      <w:r w:rsidRPr="002F50BD">
        <w:rPr>
          <w:rFonts w:ascii="Verdana" w:hAnsi="Verdana"/>
          <w:sz w:val="20"/>
          <w:lang w:val="pt-BR"/>
        </w:rPr>
        <w:t xml:space="preserve"> e </w:t>
      </w:r>
      <w:r w:rsidR="0031730D" w:rsidRPr="002F50BD">
        <w:rPr>
          <w:rFonts w:ascii="Verdana" w:hAnsi="Verdana"/>
          <w:sz w:val="20"/>
          <w:lang w:val="pt-BR"/>
        </w:rPr>
        <w:t>garantam</w:t>
      </w:r>
      <w:r w:rsidRPr="002F50BD">
        <w:rPr>
          <w:rFonts w:ascii="Verdana" w:hAnsi="Verdana"/>
          <w:sz w:val="20"/>
          <w:lang w:val="pt-BR"/>
        </w:rPr>
        <w:t xml:space="preserve"> os direito</w:t>
      </w:r>
      <w:r w:rsidR="004756C1" w:rsidRPr="002F50BD">
        <w:rPr>
          <w:rFonts w:ascii="Verdana" w:hAnsi="Verdana"/>
          <w:sz w:val="20"/>
          <w:lang w:val="pt-BR"/>
        </w:rPr>
        <w:t xml:space="preserve">s de </w:t>
      </w:r>
      <w:r w:rsidR="00A50140" w:rsidRPr="002F50BD">
        <w:rPr>
          <w:rFonts w:ascii="Verdana" w:hAnsi="Verdana"/>
          <w:sz w:val="20"/>
          <w:lang w:val="pt-BR"/>
        </w:rPr>
        <w:t>posse</w:t>
      </w:r>
      <w:r w:rsidRPr="002F50BD">
        <w:rPr>
          <w:rFonts w:ascii="Verdana" w:hAnsi="Verdana"/>
          <w:sz w:val="20"/>
          <w:lang w:val="pt-BR"/>
        </w:rPr>
        <w:t xml:space="preserve"> e propriedade dos mesm</w:t>
      </w:r>
      <w:r w:rsidR="004756C1" w:rsidRPr="002F50BD">
        <w:rPr>
          <w:rFonts w:ascii="Verdana" w:hAnsi="Verdana"/>
          <w:sz w:val="20"/>
          <w:lang w:val="pt-BR"/>
        </w:rPr>
        <w:t xml:space="preserve">os sobre </w:t>
      </w:r>
      <w:r w:rsidR="00A50140" w:rsidRPr="002F50BD">
        <w:rPr>
          <w:rFonts w:ascii="Verdana" w:hAnsi="Verdana"/>
          <w:sz w:val="20"/>
          <w:lang w:val="pt-BR"/>
        </w:rPr>
        <w:t>suas terras</w:t>
      </w:r>
      <w:r w:rsidR="004756C1" w:rsidRPr="002F50BD">
        <w:rPr>
          <w:rFonts w:ascii="Verdana" w:hAnsi="Verdana"/>
          <w:sz w:val="20"/>
          <w:lang w:val="pt-BR"/>
        </w:rPr>
        <w:t xml:space="preserve"> </w:t>
      </w:r>
      <w:r w:rsidR="00AB454A" w:rsidRPr="002F50BD">
        <w:rPr>
          <w:rFonts w:ascii="Verdana" w:hAnsi="Verdana"/>
          <w:sz w:val="20"/>
          <w:lang w:val="pt-BR"/>
        </w:rPr>
        <w:t>ancestrais</w:t>
      </w:r>
      <w:r w:rsidR="004756C1" w:rsidRPr="002F50BD">
        <w:rPr>
          <w:rFonts w:ascii="Verdana" w:hAnsi="Verdana"/>
          <w:sz w:val="20"/>
          <w:lang w:val="pt-BR"/>
        </w:rPr>
        <w:t xml:space="preserve">. </w:t>
      </w:r>
    </w:p>
    <w:p w:rsidR="004756C1" w:rsidRPr="002F50BD" w:rsidRDefault="004756C1">
      <w:pPr>
        <w:pStyle w:val="Heading2"/>
        <w:rPr>
          <w:rFonts w:ascii="Verdana" w:hAnsi="Verdana"/>
          <w:b w:val="0"/>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w:t>
      </w:r>
      <w:r w:rsidR="004756C1" w:rsidRPr="002F50BD">
        <w:rPr>
          <w:rFonts w:ascii="Verdana" w:hAnsi="Verdana"/>
          <w:b w:val="0"/>
          <w:i/>
          <w:smallCaps w:val="0"/>
          <w:sz w:val="20"/>
        </w:rPr>
        <w:t xml:space="preserve"> </w:t>
      </w:r>
      <w:r w:rsidRPr="002F50BD">
        <w:rPr>
          <w:rFonts w:ascii="Verdana" w:hAnsi="Verdana"/>
          <w:b w:val="0"/>
          <w:i/>
          <w:smallCaps w:val="0"/>
          <w:sz w:val="20"/>
        </w:rPr>
        <w:t xml:space="preserve">do </w:t>
      </w:r>
      <w:r w:rsidR="004756C1" w:rsidRPr="002F50BD">
        <w:rPr>
          <w:rFonts w:ascii="Verdana" w:hAnsi="Verdana"/>
          <w:b w:val="0"/>
          <w:i/>
          <w:smallCaps w:val="0"/>
          <w:sz w:val="20"/>
        </w:rPr>
        <w:t>Estado</w:t>
      </w:r>
    </w:p>
    <w:p w:rsidR="004756C1" w:rsidRPr="002F50BD" w:rsidRDefault="004756C1">
      <w:pPr>
        <w:jc w:val="both"/>
        <w:rPr>
          <w:rFonts w:ascii="Verdana" w:hAnsi="Verdana"/>
          <w:sz w:val="20"/>
        </w:rPr>
      </w:pPr>
    </w:p>
    <w:p w:rsidR="004756C1" w:rsidRPr="002F50BD" w:rsidRDefault="0089298C">
      <w:pPr>
        <w:numPr>
          <w:ilvl w:val="0"/>
          <w:numId w:val="32"/>
        </w:numPr>
        <w:jc w:val="both"/>
        <w:rPr>
          <w:rFonts w:ascii="Verdana" w:hAnsi="Verdana"/>
          <w:sz w:val="20"/>
          <w:lang w:val="pt-BR"/>
        </w:rPr>
      </w:pPr>
      <w:r w:rsidRPr="002F50BD">
        <w:rPr>
          <w:rFonts w:ascii="Verdana" w:hAnsi="Verdana"/>
          <w:sz w:val="20"/>
          <w:lang w:val="pt-BR"/>
        </w:rPr>
        <w:t>A respeito das outra</w:t>
      </w:r>
      <w:r w:rsidR="004756C1" w:rsidRPr="002F50BD">
        <w:rPr>
          <w:rFonts w:ascii="Verdana" w:hAnsi="Verdana"/>
          <w:sz w:val="20"/>
          <w:lang w:val="pt-BR"/>
        </w:rPr>
        <w:t>s formas de repara</w:t>
      </w:r>
      <w:r w:rsidRPr="002F50BD">
        <w:rPr>
          <w:rFonts w:ascii="Verdana" w:hAnsi="Verdana"/>
          <w:sz w:val="20"/>
          <w:lang w:val="pt-BR"/>
        </w:rPr>
        <w:t>ção</w:t>
      </w:r>
      <w:r w:rsidR="004756C1" w:rsidRPr="002F50BD">
        <w:rPr>
          <w:rFonts w:ascii="Verdana" w:hAnsi="Verdana"/>
          <w:sz w:val="20"/>
          <w:lang w:val="pt-BR"/>
        </w:rPr>
        <w:t xml:space="preserve"> solicitadas</w:t>
      </w:r>
      <w:r w:rsidRPr="002F50BD">
        <w:rPr>
          <w:rFonts w:ascii="Verdana" w:hAnsi="Verdana"/>
          <w:sz w:val="20"/>
          <w:lang w:val="pt-BR"/>
        </w:rPr>
        <w:t xml:space="preserve"> pela Comissão e </w:t>
      </w:r>
      <w:r w:rsidR="0031730D" w:rsidRPr="002F50BD">
        <w:rPr>
          <w:rFonts w:ascii="Verdana" w:hAnsi="Verdana"/>
          <w:sz w:val="20"/>
          <w:lang w:val="pt-BR"/>
        </w:rPr>
        <w:t>pel</w:t>
      </w:r>
      <w:r w:rsidRPr="002F50BD">
        <w:rPr>
          <w:rFonts w:ascii="Verdana" w:hAnsi="Verdana"/>
          <w:sz w:val="20"/>
          <w:lang w:val="pt-BR"/>
        </w:rPr>
        <w:t xml:space="preserve">os </w:t>
      </w:r>
      <w:r w:rsidR="008C29C9" w:rsidRPr="002F50BD">
        <w:rPr>
          <w:rFonts w:ascii="Verdana" w:hAnsi="Verdana"/>
          <w:sz w:val="20"/>
          <w:lang w:val="pt-BR"/>
        </w:rPr>
        <w:t>representante</w:t>
      </w:r>
      <w:r w:rsidR="004756C1" w:rsidRPr="002F50BD">
        <w:rPr>
          <w:rFonts w:ascii="Verdana" w:hAnsi="Verdana"/>
          <w:sz w:val="20"/>
          <w:lang w:val="pt-BR"/>
        </w:rPr>
        <w:t>s,</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afirmou</w:t>
      </w:r>
      <w:r w:rsidR="004756C1" w:rsidRPr="002F50BD">
        <w:rPr>
          <w:rFonts w:ascii="Verdana" w:hAnsi="Verdana"/>
          <w:sz w:val="20"/>
          <w:lang w:val="pt-BR"/>
        </w:rPr>
        <w:t xml:space="preserve"> que:</w:t>
      </w:r>
    </w:p>
    <w:p w:rsidR="004756C1" w:rsidRPr="002F50BD" w:rsidRDefault="004756C1">
      <w:pPr>
        <w:ind w:firstLine="180"/>
        <w:jc w:val="both"/>
        <w:rPr>
          <w:rFonts w:ascii="Verdana" w:hAnsi="Verdana"/>
          <w:sz w:val="20"/>
          <w:lang w:val="pt-BR"/>
        </w:rPr>
      </w:pPr>
    </w:p>
    <w:p w:rsidR="004756C1" w:rsidRPr="002F50BD" w:rsidRDefault="004756C1">
      <w:pPr>
        <w:numPr>
          <w:ilvl w:val="0"/>
          <w:numId w:val="19"/>
        </w:numPr>
        <w:tabs>
          <w:tab w:val="left" w:pos="1080"/>
        </w:tabs>
        <w:ind w:left="720"/>
        <w:jc w:val="both"/>
        <w:rPr>
          <w:rFonts w:ascii="Verdana" w:hAnsi="Verdana"/>
          <w:sz w:val="20"/>
          <w:lang w:val="pt-BR"/>
        </w:rPr>
      </w:pPr>
      <w:r w:rsidRPr="002F50BD">
        <w:rPr>
          <w:rFonts w:ascii="Verdana" w:hAnsi="Verdana"/>
          <w:sz w:val="20"/>
          <w:lang w:val="pt-BR"/>
        </w:rPr>
        <w:t>está</w:t>
      </w:r>
      <w:r w:rsidR="0089298C" w:rsidRPr="002F50BD">
        <w:rPr>
          <w:rFonts w:ascii="Verdana" w:hAnsi="Verdana"/>
          <w:sz w:val="20"/>
          <w:lang w:val="pt-BR"/>
        </w:rPr>
        <w:t xml:space="preserve"> </w:t>
      </w:r>
      <w:r w:rsidRPr="002F50BD">
        <w:rPr>
          <w:rFonts w:ascii="Verdana" w:hAnsi="Verdana"/>
          <w:sz w:val="20"/>
          <w:lang w:val="pt-BR"/>
        </w:rPr>
        <w:t>dispos</w:t>
      </w:r>
      <w:r w:rsidR="0031730D" w:rsidRPr="002F50BD">
        <w:rPr>
          <w:rFonts w:ascii="Verdana" w:hAnsi="Verdana"/>
          <w:sz w:val="20"/>
          <w:lang w:val="pt-BR"/>
        </w:rPr>
        <w:t>to a</w:t>
      </w:r>
      <w:r w:rsidRPr="002F50BD">
        <w:rPr>
          <w:rFonts w:ascii="Verdana" w:hAnsi="Verdana"/>
          <w:sz w:val="20"/>
          <w:lang w:val="pt-BR"/>
        </w:rPr>
        <w:t xml:space="preserve"> entregar </w:t>
      </w:r>
      <w:r w:rsidR="0031730D" w:rsidRPr="002F50BD">
        <w:rPr>
          <w:rFonts w:ascii="Verdana" w:hAnsi="Verdana"/>
          <w:sz w:val="20"/>
          <w:lang w:val="pt-BR"/>
        </w:rPr>
        <w:t xml:space="preserve">gratuitamente </w:t>
      </w:r>
      <w:r w:rsidR="0089298C" w:rsidRPr="002F50BD">
        <w:rPr>
          <w:rFonts w:ascii="Verdana" w:hAnsi="Verdana"/>
          <w:sz w:val="20"/>
          <w:lang w:val="pt-BR"/>
        </w:rPr>
        <w:t xml:space="preserve">à Comunidade </w:t>
      </w:r>
      <w:r w:rsidRPr="002F50BD">
        <w:rPr>
          <w:rFonts w:ascii="Verdana" w:hAnsi="Verdana"/>
          <w:sz w:val="20"/>
          <w:lang w:val="pt-BR"/>
        </w:rPr>
        <w:t xml:space="preserve">Yakye Axa, tal como o </w:t>
      </w:r>
      <w:r w:rsidR="0089298C" w:rsidRPr="002F50BD">
        <w:rPr>
          <w:rFonts w:ascii="Verdana" w:hAnsi="Verdana"/>
          <w:sz w:val="20"/>
          <w:lang w:val="pt-BR"/>
        </w:rPr>
        <w:t xml:space="preserve">dispõe a Constituição e 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vigente,</w:t>
      </w:r>
      <w:r w:rsidR="0089298C" w:rsidRPr="002F50BD">
        <w:rPr>
          <w:rFonts w:ascii="Verdana" w:hAnsi="Verdana"/>
          <w:sz w:val="20"/>
          <w:lang w:val="pt-BR"/>
        </w:rPr>
        <w:t xml:space="preserve"> a quantidade </w:t>
      </w:r>
      <w:r w:rsidRPr="002F50BD">
        <w:rPr>
          <w:rFonts w:ascii="Verdana" w:hAnsi="Verdana"/>
          <w:sz w:val="20"/>
          <w:lang w:val="pt-BR"/>
        </w:rPr>
        <w:t xml:space="preserve">de </w:t>
      </w:r>
      <w:r w:rsidR="00063B47" w:rsidRPr="002F50BD">
        <w:rPr>
          <w:rFonts w:ascii="Verdana" w:hAnsi="Verdana"/>
          <w:sz w:val="20"/>
          <w:lang w:val="pt-BR"/>
        </w:rPr>
        <w:t>7</w:t>
      </w:r>
      <w:r w:rsidRPr="002F50BD">
        <w:rPr>
          <w:rFonts w:ascii="Verdana" w:hAnsi="Verdana"/>
          <w:sz w:val="20"/>
          <w:lang w:val="pt-BR"/>
        </w:rPr>
        <w:t>.</w:t>
      </w:r>
      <w:r w:rsidR="00063B47" w:rsidRPr="002F50BD">
        <w:rPr>
          <w:rFonts w:ascii="Verdana" w:hAnsi="Verdana"/>
          <w:sz w:val="20"/>
          <w:lang w:val="pt-BR"/>
        </w:rPr>
        <w:t>901</w:t>
      </w:r>
      <w:r w:rsidRPr="002F50BD">
        <w:rPr>
          <w:rFonts w:ascii="Verdana" w:hAnsi="Verdana"/>
          <w:sz w:val="20"/>
          <w:lang w:val="pt-BR"/>
        </w:rPr>
        <w:t xml:space="preserve"> </w:t>
      </w:r>
      <w:r w:rsidR="00E10DBB" w:rsidRPr="002F50BD">
        <w:rPr>
          <w:rFonts w:ascii="Verdana" w:hAnsi="Verdana"/>
          <w:sz w:val="20"/>
          <w:lang w:val="pt-BR"/>
        </w:rPr>
        <w:t>hectares</w:t>
      </w:r>
      <w:r w:rsidRPr="002F50BD">
        <w:rPr>
          <w:rFonts w:ascii="Verdana" w:hAnsi="Verdana"/>
          <w:sz w:val="20"/>
          <w:lang w:val="pt-BR"/>
        </w:rPr>
        <w:t xml:space="preserve"> dentro de </w:t>
      </w:r>
      <w:r w:rsidR="00AB454A" w:rsidRPr="002F50BD">
        <w:rPr>
          <w:rFonts w:ascii="Verdana" w:hAnsi="Verdana"/>
          <w:sz w:val="20"/>
          <w:lang w:val="pt-BR"/>
        </w:rPr>
        <w:t>seu território</w:t>
      </w:r>
      <w:r w:rsidRPr="002F50BD">
        <w:rPr>
          <w:rFonts w:ascii="Verdana" w:hAnsi="Verdana"/>
          <w:sz w:val="20"/>
          <w:lang w:val="pt-BR"/>
        </w:rPr>
        <w:t xml:space="preserve"> delimitado</w:t>
      </w:r>
      <w:r w:rsidR="0089298C" w:rsidRPr="002F50BD">
        <w:rPr>
          <w:rFonts w:ascii="Verdana" w:hAnsi="Verdana"/>
          <w:sz w:val="20"/>
          <w:lang w:val="pt-BR"/>
        </w:rPr>
        <w:t xml:space="preserve"> no </w:t>
      </w:r>
      <w:r w:rsidRPr="002F50BD">
        <w:rPr>
          <w:rFonts w:ascii="Verdana" w:hAnsi="Verdana"/>
          <w:sz w:val="20"/>
          <w:lang w:val="pt-BR"/>
        </w:rPr>
        <w:t xml:space="preserve">Chaco </w:t>
      </w:r>
      <w:r w:rsidR="0089298C" w:rsidRPr="002F50BD">
        <w:rPr>
          <w:rFonts w:ascii="Verdana" w:hAnsi="Verdana"/>
          <w:sz w:val="20"/>
          <w:lang w:val="pt-BR"/>
        </w:rPr>
        <w:t>Paraguai</w:t>
      </w:r>
      <w:r w:rsidRPr="002F50BD">
        <w:rPr>
          <w:rFonts w:ascii="Verdana" w:hAnsi="Verdana"/>
          <w:sz w:val="20"/>
          <w:lang w:val="pt-BR"/>
        </w:rPr>
        <w:t xml:space="preserve">o, </w:t>
      </w:r>
      <w:r w:rsidR="005A6BC7" w:rsidRPr="002F50BD">
        <w:rPr>
          <w:rFonts w:ascii="Verdana" w:hAnsi="Verdana"/>
          <w:sz w:val="20"/>
          <w:lang w:val="pt-BR"/>
        </w:rPr>
        <w:t>assento</w:t>
      </w:r>
      <w:r w:rsidRPr="002F50BD">
        <w:rPr>
          <w:rFonts w:ascii="Verdana" w:hAnsi="Verdana"/>
          <w:sz w:val="20"/>
          <w:lang w:val="pt-BR"/>
        </w:rPr>
        <w:t xml:space="preserve"> tradicional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Pr="002F50BD">
        <w:rPr>
          <w:rFonts w:ascii="Verdana" w:hAnsi="Verdana"/>
          <w:sz w:val="20"/>
          <w:lang w:val="pt-BR"/>
        </w:rPr>
        <w:t xml:space="preserve">, </w:t>
      </w:r>
      <w:r w:rsidR="0089298C" w:rsidRPr="002F50BD">
        <w:rPr>
          <w:rFonts w:ascii="Verdana" w:hAnsi="Verdana"/>
          <w:sz w:val="20"/>
          <w:lang w:val="pt-BR"/>
        </w:rPr>
        <w:t>sempre</w:t>
      </w:r>
      <w:r w:rsidRPr="002F50BD">
        <w:rPr>
          <w:rFonts w:ascii="Verdana" w:hAnsi="Verdana"/>
          <w:sz w:val="20"/>
          <w:lang w:val="pt-BR"/>
        </w:rPr>
        <w:t xml:space="preserve"> dentro</w:t>
      </w:r>
      <w:r w:rsidR="0089298C" w:rsidRPr="002F50BD">
        <w:rPr>
          <w:rFonts w:ascii="Verdana" w:hAnsi="Verdana"/>
          <w:sz w:val="20"/>
          <w:lang w:val="pt-BR"/>
        </w:rPr>
        <w:t xml:space="preserve"> do </w:t>
      </w:r>
      <w:r w:rsidRPr="002F50BD">
        <w:rPr>
          <w:rFonts w:ascii="Verdana" w:hAnsi="Verdana"/>
          <w:sz w:val="20"/>
          <w:lang w:val="pt-BR"/>
        </w:rPr>
        <w:t>que</w:t>
      </w:r>
      <w:r w:rsidR="0089298C" w:rsidRPr="002F50BD">
        <w:rPr>
          <w:rFonts w:ascii="Verdana" w:hAnsi="Verdana"/>
          <w:sz w:val="20"/>
          <w:lang w:val="pt-BR"/>
        </w:rPr>
        <w:t xml:space="preserve"> 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nacional permite</w:t>
      </w:r>
      <w:r w:rsidR="0089298C" w:rsidRPr="002F50BD">
        <w:rPr>
          <w:rFonts w:ascii="Verdana" w:hAnsi="Verdana"/>
          <w:sz w:val="20"/>
          <w:lang w:val="pt-BR"/>
        </w:rPr>
        <w:t xml:space="preserve"> e sem afeta</w:t>
      </w:r>
      <w:r w:rsidRPr="002F50BD">
        <w:rPr>
          <w:rFonts w:ascii="Verdana" w:hAnsi="Verdana"/>
          <w:sz w:val="20"/>
          <w:lang w:val="pt-BR"/>
        </w:rPr>
        <w:t xml:space="preserve">r </w:t>
      </w:r>
      <w:r w:rsidR="0089298C" w:rsidRPr="002F50BD">
        <w:rPr>
          <w:rFonts w:ascii="Verdana" w:hAnsi="Verdana"/>
          <w:sz w:val="20"/>
          <w:lang w:val="pt-BR"/>
        </w:rPr>
        <w:t>direito</w:t>
      </w:r>
      <w:r w:rsidRPr="002F50BD">
        <w:rPr>
          <w:rFonts w:ascii="Verdana" w:hAnsi="Verdana"/>
          <w:sz w:val="20"/>
          <w:lang w:val="pt-BR"/>
        </w:rPr>
        <w:t xml:space="preserve">s de </w:t>
      </w:r>
      <w:r w:rsidR="0089298C" w:rsidRPr="002F50BD">
        <w:rPr>
          <w:rFonts w:ascii="Verdana" w:hAnsi="Verdana"/>
          <w:sz w:val="20"/>
          <w:lang w:val="pt-BR"/>
        </w:rPr>
        <w:t>terceiro</w:t>
      </w:r>
      <w:r w:rsidRPr="002F50BD">
        <w:rPr>
          <w:rFonts w:ascii="Verdana" w:hAnsi="Verdana"/>
          <w:sz w:val="20"/>
          <w:lang w:val="pt-BR"/>
        </w:rPr>
        <w:t>s que justifique</w:t>
      </w:r>
      <w:r w:rsidR="0031730D"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 xml:space="preserve">s de </w:t>
      </w:r>
      <w:r w:rsidR="0089298C" w:rsidRPr="002F50BD">
        <w:rPr>
          <w:rFonts w:ascii="Verdana" w:hAnsi="Verdana"/>
          <w:sz w:val="20"/>
          <w:lang w:val="pt-BR"/>
        </w:rPr>
        <w:t xml:space="preserve">propriedade e </w:t>
      </w:r>
      <w:r w:rsidR="00AB454A" w:rsidRPr="002F50BD">
        <w:rPr>
          <w:rFonts w:ascii="Verdana" w:hAnsi="Verdana"/>
          <w:sz w:val="20"/>
          <w:lang w:val="pt-BR"/>
        </w:rPr>
        <w:t>exploração</w:t>
      </w:r>
      <w:r w:rsidR="0031730D" w:rsidRPr="002F50BD">
        <w:rPr>
          <w:rFonts w:ascii="Verdana" w:hAnsi="Verdana"/>
          <w:sz w:val="20"/>
          <w:lang w:val="pt-BR"/>
        </w:rPr>
        <w:t xml:space="preserve"> racional</w:t>
      </w:r>
      <w:r w:rsidR="0089298C" w:rsidRPr="002F50BD">
        <w:rPr>
          <w:rFonts w:ascii="Verdana" w:hAnsi="Verdana"/>
          <w:sz w:val="20"/>
          <w:lang w:val="pt-BR"/>
        </w:rPr>
        <w:t>,</w:t>
      </w:r>
      <w:r w:rsidR="004076AD" w:rsidRPr="002F50BD">
        <w:rPr>
          <w:rFonts w:ascii="Verdana" w:hAnsi="Verdana"/>
          <w:sz w:val="20"/>
          <w:lang w:val="pt-BR"/>
        </w:rPr>
        <w:t xml:space="preserve"> </w:t>
      </w:r>
      <w:r w:rsidR="0089298C" w:rsidRPr="002F50BD">
        <w:rPr>
          <w:rFonts w:ascii="Verdana" w:hAnsi="Verdana"/>
          <w:sz w:val="20"/>
          <w:lang w:val="pt-BR"/>
        </w:rPr>
        <w:t xml:space="preserve">seja </w:t>
      </w:r>
      <w:r w:rsidR="0031730D" w:rsidRPr="002F50BD">
        <w:rPr>
          <w:rFonts w:ascii="Verdana" w:hAnsi="Verdana"/>
          <w:sz w:val="20"/>
          <w:lang w:val="pt-BR"/>
        </w:rPr>
        <w:t xml:space="preserve">através da </w:t>
      </w:r>
      <w:r w:rsidR="00367FD1" w:rsidRPr="002F50BD">
        <w:rPr>
          <w:rFonts w:ascii="Verdana" w:hAnsi="Verdana"/>
          <w:sz w:val="20"/>
          <w:lang w:val="pt-BR"/>
        </w:rPr>
        <w:t>aquisição</w:t>
      </w:r>
      <w:r w:rsidRPr="002F50BD">
        <w:rPr>
          <w:rFonts w:ascii="Verdana" w:hAnsi="Verdana"/>
          <w:sz w:val="20"/>
          <w:lang w:val="pt-BR"/>
        </w:rPr>
        <w:t xml:space="preserve"> </w:t>
      </w:r>
      <w:r w:rsidR="00C80766" w:rsidRPr="002F50BD">
        <w:rPr>
          <w:rFonts w:ascii="Verdana" w:hAnsi="Verdana"/>
          <w:sz w:val="20"/>
          <w:lang w:val="pt-BR"/>
        </w:rPr>
        <w:t>em consenso</w:t>
      </w:r>
      <w:r w:rsidR="0089298C" w:rsidRPr="002F50BD">
        <w:rPr>
          <w:rFonts w:ascii="Verdana" w:hAnsi="Verdana"/>
          <w:sz w:val="20"/>
          <w:lang w:val="pt-BR"/>
        </w:rPr>
        <w:t xml:space="preserve"> com os </w:t>
      </w:r>
      <w:r w:rsidR="007801FA" w:rsidRPr="002F50BD">
        <w:rPr>
          <w:rFonts w:ascii="Verdana" w:hAnsi="Verdana"/>
          <w:sz w:val="20"/>
          <w:lang w:val="pt-BR"/>
        </w:rPr>
        <w:t>proprietário</w:t>
      </w:r>
      <w:r w:rsidRPr="002F50BD">
        <w:rPr>
          <w:rFonts w:ascii="Verdana" w:hAnsi="Verdana"/>
          <w:sz w:val="20"/>
          <w:lang w:val="pt-BR"/>
        </w:rPr>
        <w:t>s de</w:t>
      </w:r>
      <w:r w:rsidR="0089298C" w:rsidRPr="002F50BD">
        <w:rPr>
          <w:rFonts w:ascii="Verdana" w:hAnsi="Verdana"/>
          <w:sz w:val="20"/>
          <w:lang w:val="pt-BR"/>
        </w:rPr>
        <w:t xml:space="preserve"> tais terra</w:t>
      </w:r>
      <w:r w:rsidRPr="002F50BD">
        <w:rPr>
          <w:rFonts w:ascii="Verdana" w:hAnsi="Verdana"/>
          <w:sz w:val="20"/>
          <w:lang w:val="pt-BR"/>
        </w:rPr>
        <w:t>s o</w:t>
      </w:r>
      <w:r w:rsidR="0031730D" w:rsidRPr="002F50BD">
        <w:rPr>
          <w:rFonts w:ascii="Verdana" w:hAnsi="Verdana"/>
          <w:sz w:val="20"/>
          <w:lang w:val="pt-BR"/>
        </w:rPr>
        <w:t>u pela</w:t>
      </w:r>
      <w:r w:rsidRPr="002F50BD">
        <w:rPr>
          <w:rFonts w:ascii="Verdana" w:hAnsi="Verdana"/>
          <w:sz w:val="20"/>
          <w:lang w:val="pt-BR"/>
        </w:rPr>
        <w:t xml:space="preserve"> </w:t>
      </w:r>
      <w:r w:rsidR="00DB51F0" w:rsidRPr="002F50BD">
        <w:rPr>
          <w:rFonts w:ascii="Verdana" w:hAnsi="Verdana"/>
          <w:sz w:val="20"/>
          <w:lang w:val="pt-BR"/>
        </w:rPr>
        <w:t>expropriação</w:t>
      </w:r>
      <w:r w:rsidRPr="002F50BD">
        <w:rPr>
          <w:rFonts w:ascii="Verdana" w:hAnsi="Verdana"/>
          <w:sz w:val="20"/>
          <w:lang w:val="pt-BR"/>
        </w:rPr>
        <w:t xml:space="preserve"> </w:t>
      </w:r>
      <w:r w:rsidR="0089298C" w:rsidRPr="002F50BD">
        <w:rPr>
          <w:rFonts w:ascii="Verdana" w:hAnsi="Verdana"/>
          <w:sz w:val="20"/>
          <w:lang w:val="pt-BR"/>
        </w:rPr>
        <w:t xml:space="preserve">segundo a </w:t>
      </w:r>
      <w:r w:rsidRPr="002F50BD">
        <w:rPr>
          <w:rFonts w:ascii="Verdana" w:hAnsi="Verdana"/>
          <w:sz w:val="20"/>
          <w:lang w:val="pt-BR"/>
        </w:rPr>
        <w:t>legisla</w:t>
      </w:r>
      <w:r w:rsidR="0089298C" w:rsidRPr="002F50BD">
        <w:rPr>
          <w:rFonts w:ascii="Verdana" w:hAnsi="Verdana"/>
          <w:sz w:val="20"/>
          <w:lang w:val="pt-BR"/>
        </w:rPr>
        <w:t>ção</w:t>
      </w:r>
      <w:r w:rsidRPr="002F50BD">
        <w:rPr>
          <w:rFonts w:ascii="Verdana" w:hAnsi="Verdana"/>
          <w:sz w:val="20"/>
          <w:lang w:val="pt-BR"/>
        </w:rPr>
        <w:t xml:space="preserve"> nacional;</w:t>
      </w:r>
    </w:p>
    <w:p w:rsidR="004756C1" w:rsidRPr="002F50BD" w:rsidRDefault="004756C1">
      <w:pPr>
        <w:tabs>
          <w:tab w:val="num" w:pos="720"/>
          <w:tab w:val="left" w:pos="1080"/>
        </w:tabs>
        <w:ind w:left="720"/>
        <w:jc w:val="both"/>
        <w:rPr>
          <w:rFonts w:ascii="Verdana" w:hAnsi="Verdana"/>
          <w:sz w:val="20"/>
          <w:lang w:val="pt-BR"/>
        </w:rPr>
      </w:pPr>
    </w:p>
    <w:p w:rsidR="004756C1" w:rsidRPr="002F50BD" w:rsidRDefault="00C80766">
      <w:pPr>
        <w:numPr>
          <w:ilvl w:val="0"/>
          <w:numId w:val="19"/>
        </w:numPr>
        <w:tabs>
          <w:tab w:val="left" w:pos="1080"/>
        </w:tabs>
        <w:ind w:left="720"/>
        <w:jc w:val="both"/>
        <w:rPr>
          <w:rFonts w:ascii="Verdana" w:hAnsi="Verdana"/>
          <w:sz w:val="20"/>
          <w:lang w:val="pt-BR"/>
        </w:rPr>
      </w:pPr>
      <w:r w:rsidRPr="002F50BD">
        <w:rPr>
          <w:rFonts w:ascii="Verdana" w:hAnsi="Verdana"/>
          <w:sz w:val="20"/>
          <w:lang w:val="pt-BR"/>
        </w:rPr>
        <w:t>concorda</w:t>
      </w:r>
      <w:r w:rsidR="0089298C" w:rsidRPr="002F50BD">
        <w:rPr>
          <w:rFonts w:ascii="Verdana" w:hAnsi="Verdana"/>
          <w:sz w:val="20"/>
          <w:lang w:val="pt-BR"/>
        </w:rPr>
        <w:t xml:space="preserve"> </w:t>
      </w:r>
      <w:r w:rsidR="0031730D" w:rsidRPr="002F50BD">
        <w:rPr>
          <w:rFonts w:ascii="Verdana" w:hAnsi="Verdana"/>
          <w:sz w:val="20"/>
          <w:lang w:val="pt-BR"/>
        </w:rPr>
        <w:t>em</w:t>
      </w:r>
      <w:r w:rsidR="00FE08B7">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r</w:t>
      </w:r>
      <w:r w:rsidR="0089298C" w:rsidRPr="002F50BD">
        <w:rPr>
          <w:rFonts w:ascii="Verdana" w:hAnsi="Verdana"/>
          <w:sz w:val="20"/>
          <w:lang w:val="pt-BR"/>
        </w:rPr>
        <w:t xml:space="preserve"> um </w:t>
      </w:r>
      <w:r w:rsidR="0031730D" w:rsidRPr="002F50BD">
        <w:rPr>
          <w:rFonts w:ascii="Verdana" w:hAnsi="Verdana"/>
          <w:sz w:val="20"/>
          <w:lang w:val="pt-BR"/>
        </w:rPr>
        <w:t xml:space="preserve">fundo </w:t>
      </w:r>
      <w:r w:rsidR="004756C1" w:rsidRPr="002F50BD">
        <w:rPr>
          <w:rFonts w:ascii="Verdana" w:hAnsi="Verdana"/>
          <w:sz w:val="20"/>
          <w:lang w:val="pt-BR"/>
        </w:rPr>
        <w:t>destinado exclusivamente a c</w:t>
      </w:r>
      <w:r w:rsidR="0031730D" w:rsidRPr="002F50BD">
        <w:rPr>
          <w:rFonts w:ascii="Verdana" w:hAnsi="Verdana"/>
          <w:sz w:val="20"/>
          <w:lang w:val="pt-BR"/>
        </w:rPr>
        <w:t>o</w:t>
      </w:r>
      <w:r w:rsidR="004756C1" w:rsidRPr="002F50BD">
        <w:rPr>
          <w:rFonts w:ascii="Verdana" w:hAnsi="Verdana"/>
          <w:sz w:val="20"/>
          <w:lang w:val="pt-BR"/>
        </w:rPr>
        <w:t>brir</w:t>
      </w:r>
      <w:r w:rsidR="0089298C" w:rsidRPr="002F50BD">
        <w:rPr>
          <w:rFonts w:ascii="Verdana" w:hAnsi="Verdana"/>
          <w:sz w:val="20"/>
          <w:lang w:val="pt-BR"/>
        </w:rPr>
        <w:t xml:space="preserve"> o pagamento das terra</w:t>
      </w:r>
      <w:r w:rsidR="004756C1" w:rsidRPr="002F50BD">
        <w:rPr>
          <w:rFonts w:ascii="Verdana" w:hAnsi="Verdana"/>
          <w:sz w:val="20"/>
          <w:lang w:val="pt-BR"/>
        </w:rPr>
        <w:t>s que se adjudicar</w:t>
      </w:r>
      <w:r w:rsidR="0031730D" w:rsidRPr="002F50BD">
        <w:rPr>
          <w:rFonts w:ascii="Verdana" w:hAnsi="Verdana"/>
          <w:sz w:val="20"/>
          <w:lang w:val="pt-BR"/>
        </w:rPr>
        <w:t>iam</w:t>
      </w:r>
      <w:r w:rsidR="0089298C" w:rsidRPr="002F50BD">
        <w:rPr>
          <w:rFonts w:ascii="Verdana" w:hAnsi="Verdana"/>
          <w:sz w:val="20"/>
          <w:lang w:val="pt-BR"/>
        </w:rPr>
        <w:t xml:space="preserve"> à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ao </w:t>
      </w:r>
      <w:r w:rsidR="0031730D" w:rsidRPr="002F50BD">
        <w:rPr>
          <w:rFonts w:ascii="Verdana" w:hAnsi="Verdana"/>
          <w:sz w:val="20"/>
          <w:lang w:val="pt-BR"/>
        </w:rPr>
        <w:t>preç</w:t>
      </w:r>
      <w:r w:rsidR="004756C1" w:rsidRPr="002F50BD">
        <w:rPr>
          <w:rFonts w:ascii="Verdana" w:hAnsi="Verdana"/>
          <w:sz w:val="20"/>
          <w:lang w:val="pt-BR"/>
        </w:rPr>
        <w:t xml:space="preserve">o que </w:t>
      </w:r>
      <w:r w:rsidR="0031730D" w:rsidRPr="002F50BD">
        <w:rPr>
          <w:rFonts w:ascii="Verdana" w:hAnsi="Verdana"/>
          <w:sz w:val="20"/>
          <w:lang w:val="pt-BR"/>
        </w:rPr>
        <w:t>determine</w:t>
      </w:r>
      <w:r w:rsidR="0089298C" w:rsidRPr="002F50BD">
        <w:rPr>
          <w:rFonts w:ascii="Verdana" w:hAnsi="Verdana"/>
          <w:sz w:val="20"/>
          <w:lang w:val="pt-BR"/>
        </w:rPr>
        <w:t xml:space="preserve"> a </w:t>
      </w:r>
      <w:r w:rsidR="004756C1" w:rsidRPr="002F50BD">
        <w:rPr>
          <w:rFonts w:ascii="Verdana" w:hAnsi="Verdana"/>
          <w:sz w:val="20"/>
          <w:lang w:val="pt-BR"/>
        </w:rPr>
        <w:t>negocia</w:t>
      </w:r>
      <w:r w:rsidR="0089298C" w:rsidRPr="002F50BD">
        <w:rPr>
          <w:rFonts w:ascii="Verdana" w:hAnsi="Verdana"/>
          <w:sz w:val="20"/>
          <w:lang w:val="pt-BR"/>
        </w:rPr>
        <w:t xml:space="preserve">ção 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habitua</w:t>
      </w:r>
      <w:r w:rsidR="0031730D"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oferta;</w:t>
      </w:r>
    </w:p>
    <w:p w:rsidR="004756C1" w:rsidRPr="002F50BD" w:rsidRDefault="004756C1">
      <w:pPr>
        <w:tabs>
          <w:tab w:val="num" w:pos="720"/>
          <w:tab w:val="left" w:pos="1080"/>
        </w:tabs>
        <w:ind w:left="720"/>
        <w:jc w:val="both"/>
        <w:rPr>
          <w:rFonts w:ascii="Verdana" w:hAnsi="Verdana"/>
          <w:sz w:val="20"/>
          <w:lang w:val="pt-BR"/>
        </w:rPr>
      </w:pPr>
    </w:p>
    <w:p w:rsidR="004756C1" w:rsidRPr="002F50BD" w:rsidRDefault="0031730D">
      <w:pPr>
        <w:numPr>
          <w:ilvl w:val="0"/>
          <w:numId w:val="19"/>
        </w:numPr>
        <w:tabs>
          <w:tab w:val="left" w:pos="1080"/>
        </w:tabs>
        <w:ind w:left="720"/>
        <w:jc w:val="both"/>
        <w:rPr>
          <w:rFonts w:ascii="Verdana" w:hAnsi="Verdana"/>
          <w:sz w:val="20"/>
          <w:lang w:val="pt-BR"/>
        </w:rPr>
      </w:pPr>
      <w:r w:rsidRPr="002F50BD">
        <w:rPr>
          <w:rFonts w:ascii="Verdana" w:hAnsi="Verdana"/>
          <w:sz w:val="20"/>
          <w:lang w:val="pt-BR"/>
        </w:rPr>
        <w:t>acatou a</w:t>
      </w:r>
      <w:r w:rsidR="0089298C" w:rsidRPr="002F50BD">
        <w:rPr>
          <w:rFonts w:ascii="Verdana" w:hAnsi="Verdana"/>
          <w:sz w:val="20"/>
          <w:lang w:val="pt-BR"/>
        </w:rPr>
        <w:t xml:space="preserve"> solicitação de</w:t>
      </w:r>
      <w:r w:rsidRPr="002F50BD">
        <w:rPr>
          <w:rFonts w:ascii="Verdana" w:hAnsi="Verdana"/>
          <w:sz w:val="20"/>
          <w:lang w:val="pt-BR"/>
        </w:rPr>
        <w:t xml:space="preserve"> e</w:t>
      </w:r>
      <w:r w:rsidR="0089298C" w:rsidRPr="002F50BD">
        <w:rPr>
          <w:rFonts w:ascii="Verdana" w:hAnsi="Verdana"/>
          <w:sz w:val="20"/>
          <w:lang w:val="pt-BR"/>
        </w:rPr>
        <w:t>stabelecimento</w:t>
      </w:r>
      <w:r w:rsidR="004756C1" w:rsidRPr="002F50BD">
        <w:rPr>
          <w:rFonts w:ascii="Verdana" w:hAnsi="Verdana"/>
          <w:sz w:val="20"/>
          <w:lang w:val="pt-BR"/>
        </w:rPr>
        <w:t xml:space="preserve"> de</w:t>
      </w:r>
      <w:r w:rsidR="0089298C" w:rsidRPr="002F50BD">
        <w:rPr>
          <w:rFonts w:ascii="Verdana" w:hAnsi="Verdana"/>
          <w:sz w:val="20"/>
          <w:lang w:val="pt-BR"/>
        </w:rPr>
        <w:t xml:space="preserve"> um posto </w:t>
      </w:r>
      <w:r w:rsidR="004756C1" w:rsidRPr="002F50BD">
        <w:rPr>
          <w:rFonts w:ascii="Verdana" w:hAnsi="Verdana"/>
          <w:sz w:val="20"/>
          <w:lang w:val="pt-BR"/>
        </w:rPr>
        <w:t xml:space="preserve">de </w:t>
      </w:r>
      <w:r w:rsidR="0089298C" w:rsidRPr="002F50BD">
        <w:rPr>
          <w:rFonts w:ascii="Verdana" w:hAnsi="Verdana"/>
          <w:sz w:val="20"/>
          <w:lang w:val="pt-BR"/>
        </w:rPr>
        <w:t>saúde</w:t>
      </w:r>
      <w:r w:rsidR="004756C1" w:rsidRPr="002F50BD">
        <w:rPr>
          <w:rFonts w:ascii="Verdana" w:hAnsi="Verdana"/>
          <w:sz w:val="20"/>
          <w:lang w:val="pt-BR"/>
        </w:rPr>
        <w:t>,</w:t>
      </w:r>
      <w:r w:rsidR="0089298C" w:rsidRPr="002F50BD">
        <w:rPr>
          <w:rFonts w:ascii="Verdana" w:hAnsi="Verdana"/>
          <w:sz w:val="20"/>
          <w:lang w:val="pt-BR"/>
        </w:rPr>
        <w:t xml:space="preserve"> </w:t>
      </w:r>
      <w:r w:rsidRPr="002F50BD">
        <w:rPr>
          <w:rFonts w:ascii="Verdana" w:hAnsi="Verdana"/>
          <w:sz w:val="20"/>
          <w:lang w:val="pt-BR"/>
        </w:rPr>
        <w:t xml:space="preserve">de </w:t>
      </w:r>
      <w:r w:rsidR="0089298C" w:rsidRPr="002F50BD">
        <w:rPr>
          <w:rFonts w:ascii="Verdana" w:hAnsi="Verdana"/>
          <w:sz w:val="20"/>
          <w:lang w:val="pt-BR"/>
        </w:rPr>
        <w:t xml:space="preserve">uma </w:t>
      </w:r>
      <w:r w:rsidR="004076AD" w:rsidRPr="002F50BD">
        <w:rPr>
          <w:rFonts w:ascii="Verdana" w:hAnsi="Verdana"/>
          <w:sz w:val="20"/>
          <w:lang w:val="pt-BR"/>
        </w:rPr>
        <w:t>escola</w:t>
      </w:r>
      <w:r w:rsidR="004756C1" w:rsidRPr="002F50BD">
        <w:rPr>
          <w:rFonts w:ascii="Verdana" w:hAnsi="Verdana"/>
          <w:sz w:val="20"/>
          <w:lang w:val="pt-BR"/>
        </w:rPr>
        <w:t xml:space="preserve">, </w:t>
      </w:r>
      <w:r w:rsidR="00CA5630" w:rsidRPr="002F50BD">
        <w:rPr>
          <w:rFonts w:ascii="Verdana" w:hAnsi="Verdana"/>
          <w:sz w:val="20"/>
          <w:lang w:val="pt-BR"/>
        </w:rPr>
        <w:t>d</w:t>
      </w:r>
      <w:r w:rsidR="003B734C">
        <w:rPr>
          <w:rFonts w:ascii="Verdana" w:hAnsi="Verdana"/>
          <w:sz w:val="20"/>
          <w:lang w:val="pt-BR"/>
        </w:rPr>
        <w:t xml:space="preserve">o fornecimento </w:t>
      </w:r>
      <w:r w:rsidR="004756C1" w:rsidRPr="002F50BD">
        <w:rPr>
          <w:rFonts w:ascii="Verdana" w:hAnsi="Verdana"/>
          <w:sz w:val="20"/>
          <w:lang w:val="pt-BR"/>
        </w:rPr>
        <w:t>de</w:t>
      </w:r>
      <w:r w:rsidR="00AB454A" w:rsidRPr="002F50BD">
        <w:rPr>
          <w:rFonts w:ascii="Verdana" w:hAnsi="Verdana"/>
          <w:sz w:val="20"/>
          <w:lang w:val="pt-BR"/>
        </w:rPr>
        <w:t xml:space="preserve"> água potável </w:t>
      </w:r>
      <w:r w:rsidR="004756C1" w:rsidRPr="002F50BD">
        <w:rPr>
          <w:rFonts w:ascii="Verdana" w:hAnsi="Verdana"/>
          <w:sz w:val="20"/>
          <w:lang w:val="pt-BR"/>
        </w:rPr>
        <w:t xml:space="preserve">e </w:t>
      </w:r>
      <w:r w:rsidR="00CA5630" w:rsidRPr="002F50BD">
        <w:rPr>
          <w:rFonts w:ascii="Verdana" w:hAnsi="Verdana"/>
          <w:sz w:val="20"/>
          <w:lang w:val="pt-BR"/>
        </w:rPr>
        <w:t xml:space="preserve">de </w:t>
      </w:r>
      <w:r w:rsidR="004756C1" w:rsidRPr="002F50BD">
        <w:rPr>
          <w:rFonts w:ascii="Verdana" w:hAnsi="Verdana"/>
          <w:sz w:val="20"/>
          <w:lang w:val="pt-BR"/>
        </w:rPr>
        <w:t>infra</w:t>
      </w:r>
      <w:r w:rsidR="0089298C" w:rsidRPr="002F50BD">
        <w:rPr>
          <w:rFonts w:ascii="Verdana" w:hAnsi="Verdana"/>
          <w:sz w:val="20"/>
          <w:lang w:val="pt-BR"/>
        </w:rPr>
        <w:t>estrutura</w:t>
      </w:r>
      <w:r w:rsidR="004756C1" w:rsidRPr="002F50BD">
        <w:rPr>
          <w:rFonts w:ascii="Verdana" w:hAnsi="Verdana"/>
          <w:sz w:val="20"/>
          <w:lang w:val="pt-BR"/>
        </w:rPr>
        <w:t xml:space="preserve"> </w:t>
      </w:r>
      <w:r w:rsidR="00A50140" w:rsidRPr="002F50BD">
        <w:rPr>
          <w:rFonts w:ascii="Verdana" w:hAnsi="Verdana"/>
          <w:sz w:val="20"/>
          <w:lang w:val="pt-BR"/>
        </w:rPr>
        <w:t>sanitária</w:t>
      </w:r>
      <w:r w:rsidR="004756C1" w:rsidRPr="002F50BD">
        <w:rPr>
          <w:rFonts w:ascii="Verdana" w:hAnsi="Verdana"/>
          <w:sz w:val="20"/>
          <w:lang w:val="pt-BR"/>
        </w:rPr>
        <w:t xml:space="preserve"> para</w:t>
      </w:r>
      <w:r w:rsidR="0089298C" w:rsidRPr="002F50BD">
        <w:rPr>
          <w:rFonts w:ascii="Verdana" w:hAnsi="Verdana"/>
          <w:sz w:val="20"/>
          <w:lang w:val="pt-BR"/>
        </w:rPr>
        <w:t xml:space="preserve"> a Comunidade </w:t>
      </w:r>
      <w:r w:rsidR="004756C1" w:rsidRPr="002F50BD">
        <w:rPr>
          <w:rFonts w:ascii="Verdana" w:hAnsi="Verdana"/>
          <w:sz w:val="20"/>
          <w:lang w:val="pt-BR"/>
        </w:rPr>
        <w:t>indígena,</w:t>
      </w:r>
      <w:r w:rsidR="0089298C" w:rsidRPr="002F50BD">
        <w:rPr>
          <w:rFonts w:ascii="Verdana" w:hAnsi="Verdana"/>
          <w:sz w:val="20"/>
          <w:lang w:val="pt-BR"/>
        </w:rPr>
        <w:t xml:space="preserve"> no </w:t>
      </w:r>
      <w:r w:rsidR="004756C1" w:rsidRPr="002F50BD">
        <w:rPr>
          <w:rFonts w:ascii="Verdana" w:hAnsi="Verdana"/>
          <w:sz w:val="20"/>
          <w:lang w:val="pt-BR"/>
        </w:rPr>
        <w:t xml:space="preserve">lugar </w:t>
      </w:r>
      <w:r w:rsidR="00CA5630" w:rsidRPr="002F50BD">
        <w:rPr>
          <w:rFonts w:ascii="Verdana" w:hAnsi="Verdana"/>
          <w:sz w:val="20"/>
          <w:lang w:val="pt-BR"/>
        </w:rPr>
        <w:t xml:space="preserve">onde </w:t>
      </w:r>
      <w:r w:rsidR="0089298C" w:rsidRPr="002F50BD">
        <w:rPr>
          <w:rFonts w:ascii="Verdana" w:hAnsi="Verdana"/>
          <w:sz w:val="20"/>
          <w:lang w:val="pt-BR"/>
        </w:rPr>
        <w:t xml:space="preserve">o </w:t>
      </w:r>
      <w:r w:rsidR="004756C1" w:rsidRPr="002F50BD">
        <w:rPr>
          <w:rFonts w:ascii="Verdana" w:hAnsi="Verdana"/>
          <w:sz w:val="20"/>
          <w:lang w:val="pt-BR"/>
        </w:rPr>
        <w:t xml:space="preserve">Estado </w:t>
      </w:r>
      <w:r w:rsidR="0089298C" w:rsidRPr="002F50BD">
        <w:rPr>
          <w:rFonts w:ascii="Verdana" w:hAnsi="Verdana"/>
          <w:sz w:val="20"/>
          <w:lang w:val="pt-BR"/>
        </w:rPr>
        <w:t>possa</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 xml:space="preserve">r </w:t>
      </w:r>
      <w:r w:rsidR="0089298C" w:rsidRPr="002F50BD">
        <w:rPr>
          <w:rFonts w:ascii="Verdana" w:hAnsi="Verdana"/>
          <w:sz w:val="20"/>
          <w:lang w:val="pt-BR"/>
        </w:rPr>
        <w:t>este</w:t>
      </w:r>
      <w:r w:rsidR="004756C1" w:rsidRPr="002F50BD">
        <w:rPr>
          <w:rFonts w:ascii="Verdana" w:hAnsi="Verdana"/>
          <w:sz w:val="20"/>
          <w:lang w:val="pt-BR"/>
        </w:rPr>
        <w:t xml:space="preserve">s </w:t>
      </w:r>
      <w:r w:rsidR="0089298C" w:rsidRPr="002F50BD">
        <w:rPr>
          <w:rFonts w:ascii="Verdana" w:hAnsi="Verdana"/>
          <w:sz w:val="20"/>
          <w:lang w:val="pt-BR"/>
        </w:rPr>
        <w:t>serviço</w:t>
      </w:r>
      <w:r w:rsidR="004756C1" w:rsidRPr="002F50BD">
        <w:rPr>
          <w:rFonts w:ascii="Verdana" w:hAnsi="Verdana"/>
          <w:sz w:val="20"/>
          <w:lang w:val="pt-BR"/>
        </w:rPr>
        <w:t xml:space="preserve">s, o </w:t>
      </w:r>
      <w:r w:rsidR="0089298C" w:rsidRPr="002F50BD">
        <w:rPr>
          <w:rFonts w:ascii="Verdana" w:hAnsi="Verdana"/>
          <w:sz w:val="20"/>
          <w:lang w:val="pt-BR"/>
        </w:rPr>
        <w:t xml:space="preserve">mais </w:t>
      </w:r>
      <w:r w:rsidR="00754117" w:rsidRPr="002F50BD">
        <w:rPr>
          <w:rFonts w:ascii="Verdana" w:hAnsi="Verdana"/>
          <w:sz w:val="20"/>
          <w:lang w:val="pt-BR"/>
        </w:rPr>
        <w:t>próximo</w:t>
      </w:r>
      <w:r w:rsidR="004756C1" w:rsidRPr="002F50BD">
        <w:rPr>
          <w:rFonts w:ascii="Verdana" w:hAnsi="Verdana"/>
          <w:sz w:val="20"/>
          <w:lang w:val="pt-BR"/>
        </w:rPr>
        <w:t xml:space="preserve"> </w:t>
      </w:r>
      <w:r w:rsidR="0089298C" w:rsidRPr="002F50BD">
        <w:rPr>
          <w:rFonts w:ascii="Verdana" w:hAnsi="Verdana"/>
          <w:sz w:val="20"/>
          <w:lang w:val="pt-BR"/>
        </w:rPr>
        <w:t xml:space="preserve">possível </w:t>
      </w:r>
      <w:r w:rsidR="004756C1" w:rsidRPr="002F50BD">
        <w:rPr>
          <w:rFonts w:ascii="Verdana" w:hAnsi="Verdana"/>
          <w:sz w:val="20"/>
          <w:lang w:val="pt-BR"/>
        </w:rPr>
        <w:t>de</w:t>
      </w:r>
      <w:r w:rsidR="0089298C" w:rsidRPr="002F50BD">
        <w:rPr>
          <w:rFonts w:ascii="Verdana" w:hAnsi="Verdana"/>
          <w:sz w:val="20"/>
          <w:lang w:val="pt-BR"/>
        </w:rPr>
        <w:t xml:space="preserve"> um </w:t>
      </w:r>
      <w:r w:rsidR="00AB454A" w:rsidRPr="002F50BD">
        <w:rPr>
          <w:rFonts w:ascii="Verdana" w:hAnsi="Verdana"/>
          <w:sz w:val="20"/>
          <w:lang w:val="pt-BR"/>
        </w:rPr>
        <w:t>assentamento</w:t>
      </w:r>
      <w:r w:rsidR="004756C1" w:rsidRPr="002F50BD">
        <w:rPr>
          <w:rFonts w:ascii="Verdana" w:hAnsi="Verdana"/>
          <w:sz w:val="20"/>
          <w:lang w:val="pt-BR"/>
        </w:rPr>
        <w:t xml:space="preserve"> provis</w:t>
      </w:r>
      <w:r w:rsidR="00CA5630" w:rsidRPr="002F50BD">
        <w:rPr>
          <w:rFonts w:ascii="Verdana" w:hAnsi="Verdana"/>
          <w:sz w:val="20"/>
          <w:lang w:val="pt-BR"/>
        </w:rPr>
        <w:t>ó</w:t>
      </w:r>
      <w:r w:rsidR="004756C1" w:rsidRPr="002F50BD">
        <w:rPr>
          <w:rFonts w:ascii="Verdana" w:hAnsi="Verdana"/>
          <w:sz w:val="20"/>
          <w:lang w:val="pt-BR"/>
        </w:rPr>
        <w:t xml:space="preserve">rio, </w:t>
      </w:r>
      <w:r w:rsidR="0089298C" w:rsidRPr="002F50BD">
        <w:rPr>
          <w:rFonts w:ascii="Verdana" w:hAnsi="Verdana"/>
          <w:sz w:val="20"/>
          <w:lang w:val="pt-BR"/>
        </w:rPr>
        <w:t>fora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lugar</w:t>
      </w:r>
      <w:r w:rsidR="0089298C" w:rsidRPr="002F50BD">
        <w:rPr>
          <w:rFonts w:ascii="Verdana" w:hAnsi="Verdana"/>
          <w:sz w:val="20"/>
          <w:lang w:val="pt-BR"/>
        </w:rPr>
        <w:t xml:space="preserve"> da </w:t>
      </w:r>
      <w:r w:rsidR="00754117" w:rsidRPr="002F50BD">
        <w:rPr>
          <w:rFonts w:ascii="Verdana" w:hAnsi="Verdana"/>
          <w:sz w:val="20"/>
          <w:lang w:val="pt-BR"/>
        </w:rPr>
        <w:t>estrada</w:t>
      </w:r>
      <w:r w:rsidR="0089298C" w:rsidRPr="002F50BD">
        <w:rPr>
          <w:rFonts w:ascii="Verdana" w:hAnsi="Verdana"/>
          <w:sz w:val="20"/>
          <w:lang w:val="pt-BR"/>
        </w:rPr>
        <w:t xml:space="preserve"> onde</w:t>
      </w:r>
      <w:r w:rsidR="004756C1" w:rsidRPr="002F50BD">
        <w:rPr>
          <w:rFonts w:ascii="Verdana" w:hAnsi="Verdana"/>
          <w:sz w:val="20"/>
          <w:lang w:val="pt-BR"/>
        </w:rPr>
        <w:t xml:space="preserve"> está </w:t>
      </w:r>
      <w:r w:rsidR="0089298C" w:rsidRPr="002F50BD">
        <w:rPr>
          <w:rFonts w:ascii="Verdana" w:hAnsi="Verdana"/>
          <w:sz w:val="20"/>
          <w:lang w:val="pt-BR"/>
        </w:rPr>
        <w:t>estabelecid</w:t>
      </w:r>
      <w:r w:rsidR="004756C1" w:rsidRPr="002F50BD">
        <w:rPr>
          <w:rFonts w:ascii="Verdana" w:hAnsi="Verdana"/>
          <w:sz w:val="20"/>
          <w:lang w:val="pt-BR"/>
        </w:rPr>
        <w:t xml:space="preserve">a </w:t>
      </w:r>
      <w:r w:rsidR="0089298C" w:rsidRPr="002F50BD">
        <w:rPr>
          <w:rFonts w:ascii="Verdana" w:hAnsi="Verdana"/>
          <w:sz w:val="20"/>
          <w:lang w:val="pt-BR"/>
        </w:rPr>
        <w:t>atual</w:t>
      </w:r>
      <w:r w:rsidR="004756C1" w:rsidRPr="002F50BD">
        <w:rPr>
          <w:rFonts w:ascii="Verdana" w:hAnsi="Verdana"/>
          <w:sz w:val="20"/>
          <w:lang w:val="pt-BR"/>
        </w:rPr>
        <w:t xml:space="preserve">mente. </w:t>
      </w:r>
      <w:r w:rsidR="00CA5630" w:rsidRPr="002F50BD">
        <w:rPr>
          <w:rFonts w:ascii="Verdana" w:hAnsi="Verdana"/>
          <w:sz w:val="20"/>
          <w:lang w:val="pt-BR"/>
        </w:rPr>
        <w:t>Além disso</w:t>
      </w:r>
      <w:r w:rsidR="004756C1" w:rsidRPr="002F50BD">
        <w:rPr>
          <w:rFonts w:ascii="Verdana" w:hAnsi="Verdana"/>
          <w:sz w:val="20"/>
          <w:lang w:val="pt-BR"/>
        </w:rPr>
        <w:t xml:space="preserve">, </w:t>
      </w:r>
      <w:r w:rsidR="00CA5630" w:rsidRPr="002F50BD">
        <w:rPr>
          <w:rFonts w:ascii="Verdana" w:hAnsi="Verdana"/>
          <w:sz w:val="20"/>
          <w:lang w:val="pt-BR"/>
        </w:rPr>
        <w:t xml:space="preserve">acatou </w:t>
      </w:r>
      <w:r w:rsidR="0089298C" w:rsidRPr="002F50BD">
        <w:rPr>
          <w:rFonts w:ascii="Verdana" w:hAnsi="Verdana"/>
          <w:sz w:val="20"/>
          <w:lang w:val="pt-BR"/>
        </w:rPr>
        <w:t xml:space="preserve">o </w:t>
      </w:r>
      <w:r w:rsidR="004756C1" w:rsidRPr="002F50BD">
        <w:rPr>
          <w:rFonts w:ascii="Verdana" w:hAnsi="Verdana"/>
          <w:sz w:val="20"/>
          <w:lang w:val="pt-BR"/>
        </w:rPr>
        <w:t>pedido de entrega</w:t>
      </w:r>
      <w:r w:rsidR="00CA5630" w:rsidRPr="002F50BD">
        <w:rPr>
          <w:rFonts w:ascii="Verdana" w:hAnsi="Verdana"/>
          <w:sz w:val="20"/>
          <w:lang w:val="pt-BR"/>
        </w:rPr>
        <w:t xml:space="preserve"> de</w:t>
      </w:r>
      <w:r w:rsidR="004756C1" w:rsidRPr="002F50BD">
        <w:rPr>
          <w:rFonts w:ascii="Verdana" w:hAnsi="Verdana"/>
          <w:sz w:val="20"/>
          <w:lang w:val="pt-BR"/>
        </w:rPr>
        <w:t xml:space="preserve"> </w:t>
      </w:r>
      <w:r w:rsidR="0089298C" w:rsidRPr="002F50BD">
        <w:rPr>
          <w:rFonts w:ascii="Verdana" w:hAnsi="Verdana"/>
          <w:sz w:val="20"/>
          <w:lang w:val="pt-BR"/>
        </w:rPr>
        <w:t>atenção</w:t>
      </w:r>
      <w:r w:rsidR="004756C1" w:rsidRPr="002F50BD">
        <w:rPr>
          <w:rFonts w:ascii="Verdana" w:hAnsi="Verdana"/>
          <w:sz w:val="20"/>
          <w:lang w:val="pt-BR"/>
        </w:rPr>
        <w:t xml:space="preserve"> médica</w:t>
      </w:r>
      <w:r w:rsidR="0089298C" w:rsidRPr="002F50BD">
        <w:rPr>
          <w:rFonts w:ascii="Verdana" w:hAnsi="Verdana"/>
          <w:sz w:val="20"/>
          <w:lang w:val="pt-BR"/>
        </w:rPr>
        <w:t xml:space="preserve"> e </w:t>
      </w:r>
      <w:r w:rsidR="004756C1" w:rsidRPr="002F50BD">
        <w:rPr>
          <w:rFonts w:ascii="Verdana" w:hAnsi="Verdana"/>
          <w:sz w:val="20"/>
          <w:lang w:val="pt-BR"/>
        </w:rPr>
        <w:t>educativa</w:t>
      </w:r>
      <w:r w:rsidR="0089298C" w:rsidRPr="002F50BD">
        <w:rPr>
          <w:rFonts w:ascii="Verdana" w:hAnsi="Verdana"/>
          <w:sz w:val="20"/>
          <w:lang w:val="pt-BR"/>
        </w:rPr>
        <w:t xml:space="preserve"> aos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conforme</w:t>
      </w:r>
      <w:r w:rsidR="0089298C" w:rsidRPr="002F50BD">
        <w:rPr>
          <w:rFonts w:ascii="Verdana" w:hAnsi="Verdana"/>
          <w:sz w:val="20"/>
          <w:lang w:val="pt-BR"/>
        </w:rPr>
        <w:t xml:space="preserve"> os </w:t>
      </w:r>
      <w:r w:rsidR="00AB454A" w:rsidRPr="002F50BD">
        <w:rPr>
          <w:rFonts w:ascii="Verdana" w:hAnsi="Verdana"/>
          <w:sz w:val="20"/>
          <w:lang w:val="pt-BR"/>
        </w:rPr>
        <w:t>planos</w:t>
      </w:r>
      <w:r w:rsidR="004756C1" w:rsidRPr="002F50BD">
        <w:rPr>
          <w:rFonts w:ascii="Verdana" w:hAnsi="Verdana"/>
          <w:sz w:val="20"/>
          <w:lang w:val="pt-BR"/>
        </w:rPr>
        <w:t xml:space="preserve"> de educa</w:t>
      </w:r>
      <w:r w:rsidR="0089298C" w:rsidRPr="002F50BD">
        <w:rPr>
          <w:rFonts w:ascii="Verdana" w:hAnsi="Verdana"/>
          <w:sz w:val="20"/>
          <w:lang w:val="pt-BR"/>
        </w:rPr>
        <w:t xml:space="preserve">ção e </w:t>
      </w:r>
      <w:r w:rsidR="004756C1" w:rsidRPr="002F50BD">
        <w:rPr>
          <w:rFonts w:ascii="Verdana" w:hAnsi="Verdana"/>
          <w:sz w:val="20"/>
          <w:lang w:val="pt-BR"/>
        </w:rPr>
        <w:t xml:space="preserve">de </w:t>
      </w:r>
      <w:r w:rsidR="0089298C" w:rsidRPr="002F50BD">
        <w:rPr>
          <w:rFonts w:ascii="Verdana" w:hAnsi="Verdana"/>
          <w:sz w:val="20"/>
          <w:lang w:val="pt-BR"/>
        </w:rPr>
        <w:t>saúde</w:t>
      </w:r>
      <w:r w:rsidR="004756C1" w:rsidRPr="002F50BD">
        <w:rPr>
          <w:rFonts w:ascii="Verdana" w:hAnsi="Verdana"/>
          <w:sz w:val="20"/>
          <w:lang w:val="pt-BR"/>
        </w:rPr>
        <w:t xml:space="preserve"> previstos;</w:t>
      </w:r>
    </w:p>
    <w:p w:rsidR="00CA5630" w:rsidRPr="002F50BD" w:rsidRDefault="00CA5630" w:rsidP="00CA5630">
      <w:pPr>
        <w:tabs>
          <w:tab w:val="left" w:pos="1080"/>
        </w:tabs>
        <w:ind w:left="360"/>
        <w:jc w:val="both"/>
        <w:rPr>
          <w:rFonts w:ascii="Verdana" w:hAnsi="Verdana"/>
          <w:sz w:val="20"/>
          <w:lang w:val="pt-BR"/>
        </w:rPr>
      </w:pPr>
    </w:p>
    <w:p w:rsidR="004756C1" w:rsidRPr="002F50BD" w:rsidRDefault="003B734C">
      <w:pPr>
        <w:numPr>
          <w:ilvl w:val="0"/>
          <w:numId w:val="19"/>
        </w:numPr>
        <w:tabs>
          <w:tab w:val="left" w:pos="1080"/>
        </w:tabs>
        <w:ind w:left="720"/>
        <w:jc w:val="both"/>
        <w:rPr>
          <w:rFonts w:ascii="Verdana" w:hAnsi="Verdana"/>
          <w:sz w:val="20"/>
          <w:lang w:val="pt-BR"/>
        </w:rPr>
      </w:pPr>
      <w:r>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legisla</w:t>
      </w:r>
      <w:r w:rsidR="0089298C" w:rsidRPr="002F50BD">
        <w:rPr>
          <w:rFonts w:ascii="Verdana" w:hAnsi="Verdana"/>
          <w:sz w:val="20"/>
          <w:lang w:val="pt-BR"/>
        </w:rPr>
        <w:t>ção</w:t>
      </w:r>
      <w:r w:rsidR="004756C1" w:rsidRPr="002F50BD">
        <w:rPr>
          <w:rFonts w:ascii="Verdana" w:hAnsi="Verdana"/>
          <w:sz w:val="20"/>
          <w:lang w:val="pt-BR"/>
        </w:rPr>
        <w:t xml:space="preserve"> vigente</w:t>
      </w:r>
      <w:r w:rsidR="0089298C" w:rsidRPr="002F50BD">
        <w:rPr>
          <w:rFonts w:ascii="Verdana" w:hAnsi="Verdana"/>
          <w:sz w:val="20"/>
          <w:lang w:val="pt-BR"/>
        </w:rPr>
        <w:t xml:space="preserve"> na matéria é </w:t>
      </w:r>
      <w:r w:rsidR="00CA5630" w:rsidRPr="002F50BD">
        <w:rPr>
          <w:rFonts w:ascii="Verdana" w:hAnsi="Verdana"/>
          <w:sz w:val="20"/>
          <w:lang w:val="pt-BR"/>
        </w:rPr>
        <w:t xml:space="preserve">passível de aperfeiçoamento </w:t>
      </w:r>
      <w:r w:rsidR="0089298C" w:rsidRPr="002F50BD">
        <w:rPr>
          <w:rFonts w:ascii="Verdana" w:hAnsi="Verdana"/>
          <w:sz w:val="20"/>
          <w:lang w:val="pt-BR"/>
        </w:rPr>
        <w:t>e</w:t>
      </w:r>
      <w:r w:rsidR="00CA5630" w:rsidRPr="002F50BD">
        <w:rPr>
          <w:rFonts w:ascii="Verdana" w:hAnsi="Verdana"/>
          <w:sz w:val="20"/>
          <w:lang w:val="pt-BR"/>
        </w:rPr>
        <w:t>,</w:t>
      </w:r>
      <w:r w:rsidR="0089298C" w:rsidRPr="002F50BD">
        <w:rPr>
          <w:rFonts w:ascii="Verdana" w:hAnsi="Verdana"/>
          <w:sz w:val="20"/>
          <w:lang w:val="pt-BR"/>
        </w:rPr>
        <w:t xml:space="preserve"> portanto</w:t>
      </w:r>
      <w:r w:rsidR="00CA5630" w:rsidRPr="002F50BD">
        <w:rPr>
          <w:rFonts w:ascii="Verdana" w:hAnsi="Verdana"/>
          <w:sz w:val="20"/>
          <w:lang w:val="pt-BR"/>
        </w:rPr>
        <w:t>,</w:t>
      </w:r>
      <w:r w:rsidR="004756C1" w:rsidRPr="002F50BD">
        <w:rPr>
          <w:rFonts w:ascii="Verdana" w:hAnsi="Verdana"/>
          <w:sz w:val="20"/>
          <w:lang w:val="pt-BR"/>
        </w:rPr>
        <w:t xml:space="preserve"> justifica</w:t>
      </w:r>
      <w:r w:rsidR="0089298C" w:rsidRPr="002F50BD">
        <w:rPr>
          <w:rFonts w:ascii="Verdana" w:hAnsi="Verdana"/>
          <w:sz w:val="20"/>
          <w:lang w:val="pt-BR"/>
        </w:rPr>
        <w:t xml:space="preserve"> uma </w:t>
      </w:r>
      <w:r w:rsidR="004756C1" w:rsidRPr="002F50BD">
        <w:rPr>
          <w:rFonts w:ascii="Verdana" w:hAnsi="Verdana"/>
          <w:sz w:val="20"/>
          <w:lang w:val="pt-BR"/>
        </w:rPr>
        <w:t>disposi</w:t>
      </w:r>
      <w:r w:rsidR="0089298C" w:rsidRPr="002F50BD">
        <w:rPr>
          <w:rFonts w:ascii="Verdana" w:hAnsi="Verdana"/>
          <w:sz w:val="20"/>
          <w:lang w:val="pt-BR"/>
        </w:rPr>
        <w:t>ção</w:t>
      </w:r>
      <w:r w:rsidR="004756C1" w:rsidRPr="002F50BD">
        <w:rPr>
          <w:rFonts w:ascii="Verdana" w:hAnsi="Verdana"/>
          <w:sz w:val="20"/>
          <w:lang w:val="pt-BR"/>
        </w:rPr>
        <w:t xml:space="preserve"> especial que contemple</w:t>
      </w:r>
      <w:r w:rsidR="0089298C" w:rsidRPr="002F50BD">
        <w:rPr>
          <w:rFonts w:ascii="Verdana" w:hAnsi="Verdana"/>
          <w:sz w:val="20"/>
          <w:lang w:val="pt-BR"/>
        </w:rPr>
        <w:t xml:space="preserve"> um </w:t>
      </w:r>
      <w:r w:rsidR="004756C1" w:rsidRPr="002F50BD">
        <w:rPr>
          <w:rFonts w:ascii="Verdana" w:hAnsi="Verdana"/>
          <w:sz w:val="20"/>
          <w:lang w:val="pt-BR"/>
        </w:rPr>
        <w:t xml:space="preserve">recurso </w:t>
      </w:r>
      <w:r w:rsidR="0089298C" w:rsidRPr="002F50BD">
        <w:rPr>
          <w:rFonts w:ascii="Verdana" w:hAnsi="Verdana"/>
          <w:sz w:val="20"/>
          <w:lang w:val="pt-BR"/>
        </w:rPr>
        <w:t>efetiv</w:t>
      </w:r>
      <w:r w:rsidR="004756C1" w:rsidRPr="002F50BD">
        <w:rPr>
          <w:rFonts w:ascii="Verdana" w:hAnsi="Verdana"/>
          <w:sz w:val="20"/>
          <w:lang w:val="pt-BR"/>
        </w:rPr>
        <w:t>o</w:t>
      </w:r>
      <w:r w:rsidR="0089298C" w:rsidRPr="002F50BD">
        <w:rPr>
          <w:rFonts w:ascii="Verdana" w:hAnsi="Verdana"/>
          <w:sz w:val="20"/>
          <w:lang w:val="pt-BR"/>
        </w:rPr>
        <w:t xml:space="preserve"> e </w:t>
      </w:r>
      <w:r w:rsidR="004756C1" w:rsidRPr="002F50BD">
        <w:rPr>
          <w:rFonts w:ascii="Verdana" w:hAnsi="Verdana"/>
          <w:sz w:val="20"/>
          <w:lang w:val="pt-BR"/>
        </w:rPr>
        <w:t xml:space="preserve">rápido que </w:t>
      </w:r>
      <w:r w:rsidR="00471B52" w:rsidRPr="002F50BD">
        <w:rPr>
          <w:rFonts w:ascii="Verdana" w:hAnsi="Verdana"/>
          <w:sz w:val="20"/>
          <w:lang w:val="pt-BR"/>
        </w:rPr>
        <w:t>e</w:t>
      </w:r>
      <w:r w:rsidR="004756C1" w:rsidRPr="002F50BD">
        <w:rPr>
          <w:rFonts w:ascii="Verdana" w:hAnsi="Verdana"/>
          <w:sz w:val="20"/>
          <w:lang w:val="pt-BR"/>
        </w:rPr>
        <w:t>luci</w:t>
      </w:r>
      <w:r w:rsidR="00CA5630" w:rsidRPr="002F50BD">
        <w:rPr>
          <w:rFonts w:ascii="Verdana" w:hAnsi="Verdana"/>
          <w:sz w:val="20"/>
          <w:lang w:val="pt-BR"/>
        </w:rPr>
        <w:t>de</w:t>
      </w:r>
      <w:r w:rsidR="0089298C" w:rsidRPr="002F50BD">
        <w:rPr>
          <w:rFonts w:ascii="Verdana" w:hAnsi="Verdana"/>
          <w:sz w:val="20"/>
          <w:lang w:val="pt-BR"/>
        </w:rPr>
        <w:t xml:space="preserve"> </w:t>
      </w:r>
      <w:r w:rsidR="00CA5630" w:rsidRPr="002F50BD">
        <w:rPr>
          <w:rFonts w:ascii="Verdana" w:hAnsi="Verdana"/>
          <w:sz w:val="20"/>
          <w:lang w:val="pt-BR"/>
        </w:rPr>
        <w:t xml:space="preserve">a </w:t>
      </w:r>
      <w:r w:rsidR="00937400" w:rsidRPr="002F50BD">
        <w:rPr>
          <w:rFonts w:ascii="Verdana" w:hAnsi="Verdana"/>
          <w:sz w:val="20"/>
          <w:lang w:val="pt-BR"/>
        </w:rPr>
        <w:t>colisão</w:t>
      </w:r>
      <w:r w:rsidR="004756C1" w:rsidRPr="002F50BD">
        <w:rPr>
          <w:rFonts w:ascii="Verdana" w:hAnsi="Verdana"/>
          <w:sz w:val="20"/>
          <w:lang w:val="pt-BR"/>
        </w:rPr>
        <w:t xml:space="preserve"> entre</w:t>
      </w:r>
      <w:r w:rsidR="0089298C" w:rsidRPr="002F50BD">
        <w:rPr>
          <w:rFonts w:ascii="Verdana" w:hAnsi="Verdana"/>
          <w:sz w:val="20"/>
          <w:lang w:val="pt-BR"/>
        </w:rPr>
        <w:t xml:space="preserve"> o direito</w:t>
      </w:r>
      <w:r w:rsidR="004756C1" w:rsidRPr="002F50BD">
        <w:rPr>
          <w:rFonts w:ascii="Verdana" w:hAnsi="Verdana"/>
          <w:sz w:val="20"/>
          <w:lang w:val="pt-BR"/>
        </w:rPr>
        <w:t xml:space="preserve"> de </w:t>
      </w:r>
      <w:r w:rsidR="0089298C" w:rsidRPr="002F50BD">
        <w:rPr>
          <w:rFonts w:ascii="Verdana" w:hAnsi="Verdana"/>
          <w:sz w:val="20"/>
          <w:lang w:val="pt-BR"/>
        </w:rPr>
        <w:t>propriedade</w:t>
      </w:r>
      <w:r w:rsidR="004756C1" w:rsidRPr="002F50BD">
        <w:rPr>
          <w:rFonts w:ascii="Verdana" w:hAnsi="Verdana"/>
          <w:sz w:val="20"/>
          <w:lang w:val="pt-BR"/>
        </w:rPr>
        <w:t xml:space="preserve"> ancestral</w:t>
      </w:r>
      <w:r w:rsidR="0089298C" w:rsidRPr="002F50BD">
        <w:rPr>
          <w:rFonts w:ascii="Verdana" w:hAnsi="Verdana"/>
          <w:sz w:val="20"/>
          <w:lang w:val="pt-BR"/>
        </w:rPr>
        <w:t xml:space="preserve"> e o direito dos </w:t>
      </w:r>
      <w:r w:rsidR="007801FA" w:rsidRPr="002F50BD">
        <w:rPr>
          <w:rFonts w:ascii="Verdana" w:hAnsi="Verdana"/>
          <w:sz w:val="20"/>
          <w:lang w:val="pt-BR"/>
        </w:rPr>
        <w:t>proprietário</w:t>
      </w:r>
      <w:r w:rsidR="004756C1" w:rsidRPr="002F50BD">
        <w:rPr>
          <w:rFonts w:ascii="Verdana" w:hAnsi="Verdana"/>
          <w:sz w:val="20"/>
          <w:lang w:val="pt-BR"/>
        </w:rPr>
        <w:t xml:space="preserve">s </w:t>
      </w:r>
      <w:r w:rsidR="0089298C" w:rsidRPr="002F50BD">
        <w:rPr>
          <w:rFonts w:ascii="Verdana" w:hAnsi="Verdana"/>
          <w:sz w:val="20"/>
          <w:lang w:val="pt-BR"/>
        </w:rPr>
        <w:t>atuais</w:t>
      </w:r>
      <w:r w:rsidR="004756C1" w:rsidRPr="002F50BD">
        <w:rPr>
          <w:rFonts w:ascii="Verdana" w:hAnsi="Verdana"/>
          <w:sz w:val="20"/>
          <w:lang w:val="pt-BR"/>
        </w:rPr>
        <w:t xml:space="preserve"> de </w:t>
      </w:r>
      <w:r w:rsidR="000920B2" w:rsidRPr="002F50BD">
        <w:rPr>
          <w:rFonts w:ascii="Verdana" w:hAnsi="Verdana"/>
          <w:sz w:val="20"/>
          <w:lang w:val="pt-BR"/>
        </w:rPr>
        <w:t>imóveis</w:t>
      </w:r>
      <w:r w:rsidR="004756C1" w:rsidRPr="002F50BD">
        <w:rPr>
          <w:rFonts w:ascii="Verdana" w:hAnsi="Verdana"/>
          <w:sz w:val="20"/>
          <w:lang w:val="pt-BR"/>
        </w:rPr>
        <w:t xml:space="preserve"> de </w:t>
      </w:r>
      <w:r w:rsidR="00D95E71" w:rsidRPr="002F50BD">
        <w:rPr>
          <w:rFonts w:ascii="Verdana" w:hAnsi="Verdana"/>
          <w:sz w:val="20"/>
          <w:lang w:val="pt-BR"/>
        </w:rPr>
        <w:t xml:space="preserve">domínio </w:t>
      </w:r>
      <w:r w:rsidR="004756C1" w:rsidRPr="002F50BD">
        <w:rPr>
          <w:rFonts w:ascii="Verdana" w:hAnsi="Verdana"/>
          <w:sz w:val="20"/>
          <w:lang w:val="pt-BR"/>
        </w:rPr>
        <w:t>privado</w:t>
      </w:r>
      <w:r w:rsidR="0089298C" w:rsidRPr="002F50BD">
        <w:rPr>
          <w:rFonts w:ascii="Verdana" w:hAnsi="Verdana"/>
          <w:sz w:val="20"/>
          <w:lang w:val="pt-BR"/>
        </w:rPr>
        <w:t>, e</w:t>
      </w:r>
    </w:p>
    <w:p w:rsidR="004756C1" w:rsidRPr="002F50BD" w:rsidRDefault="004756C1">
      <w:pPr>
        <w:tabs>
          <w:tab w:val="num" w:pos="720"/>
          <w:tab w:val="left" w:pos="1080"/>
        </w:tabs>
        <w:ind w:left="720"/>
        <w:jc w:val="both"/>
        <w:rPr>
          <w:rFonts w:ascii="Verdana" w:hAnsi="Verdana"/>
          <w:sz w:val="20"/>
          <w:lang w:val="pt-BR"/>
        </w:rPr>
      </w:pPr>
    </w:p>
    <w:p w:rsidR="004756C1" w:rsidRPr="002F50BD" w:rsidRDefault="0089298C">
      <w:pPr>
        <w:numPr>
          <w:ilvl w:val="0"/>
          <w:numId w:val="19"/>
        </w:numPr>
        <w:tabs>
          <w:tab w:val="left" w:pos="1080"/>
        </w:tabs>
        <w:ind w:left="720"/>
        <w:jc w:val="both"/>
        <w:rPr>
          <w:rFonts w:ascii="Verdana" w:hAnsi="Verdana"/>
          <w:sz w:val="20"/>
          <w:lang w:val="pt-BR"/>
        </w:rPr>
      </w:pPr>
      <w:r w:rsidRPr="002F50BD">
        <w:rPr>
          <w:rFonts w:ascii="Verdana" w:hAnsi="Verdana"/>
          <w:sz w:val="20"/>
          <w:lang w:val="pt-BR"/>
        </w:rPr>
        <w:t xml:space="preserve">não possui </w:t>
      </w:r>
      <w:r w:rsidR="004756C1" w:rsidRPr="002F50BD">
        <w:rPr>
          <w:rFonts w:ascii="Verdana" w:hAnsi="Verdana"/>
          <w:sz w:val="20"/>
          <w:lang w:val="pt-BR"/>
        </w:rPr>
        <w:t xml:space="preserve">inconvenientes </w:t>
      </w:r>
      <w:r w:rsidR="00CA5630" w:rsidRPr="002F50BD">
        <w:rPr>
          <w:rFonts w:ascii="Verdana" w:hAnsi="Verdana"/>
          <w:sz w:val="20"/>
          <w:lang w:val="pt-BR"/>
        </w:rPr>
        <w:t xml:space="preserve">em conceder um </w:t>
      </w:r>
      <w:r w:rsidR="004756C1" w:rsidRPr="002F50BD">
        <w:rPr>
          <w:rFonts w:ascii="Verdana" w:hAnsi="Verdana"/>
          <w:sz w:val="20"/>
          <w:lang w:val="pt-BR"/>
        </w:rPr>
        <w:t>re</w:t>
      </w:r>
      <w:r w:rsidRPr="002F50BD">
        <w:rPr>
          <w:rFonts w:ascii="Verdana" w:hAnsi="Verdana"/>
          <w:sz w:val="20"/>
          <w:lang w:val="pt-BR"/>
        </w:rPr>
        <w:t>conhecimento</w:t>
      </w:r>
      <w:r w:rsidR="004756C1" w:rsidRPr="002F50BD">
        <w:rPr>
          <w:rFonts w:ascii="Verdana" w:hAnsi="Verdana"/>
          <w:sz w:val="20"/>
          <w:lang w:val="pt-BR"/>
        </w:rPr>
        <w:t xml:space="preserve"> público, </w:t>
      </w:r>
      <w:r w:rsidRPr="002F50BD">
        <w:rPr>
          <w:rFonts w:ascii="Verdana" w:hAnsi="Verdana"/>
          <w:sz w:val="20"/>
          <w:lang w:val="pt-BR"/>
        </w:rPr>
        <w:t>sempre e quando</w:t>
      </w:r>
      <w:r w:rsidR="004756C1" w:rsidRPr="002F50BD">
        <w:rPr>
          <w:rFonts w:ascii="Verdana" w:hAnsi="Verdana"/>
          <w:sz w:val="20"/>
          <w:lang w:val="pt-BR"/>
        </w:rPr>
        <w:t xml:space="preserve"> se defina</w:t>
      </w:r>
      <w:r w:rsidRPr="002F50BD">
        <w:rPr>
          <w:rFonts w:ascii="Verdana" w:hAnsi="Verdana"/>
          <w:sz w:val="20"/>
          <w:lang w:val="pt-BR"/>
        </w:rPr>
        <w:t xml:space="preserve"> em </w:t>
      </w:r>
      <w:r w:rsidR="00CA5630" w:rsidRPr="002F50BD">
        <w:rPr>
          <w:rFonts w:ascii="Verdana" w:hAnsi="Verdana"/>
          <w:sz w:val="20"/>
          <w:lang w:val="pt-BR"/>
        </w:rPr>
        <w:t>que</w:t>
      </w:r>
      <w:r w:rsidR="004756C1" w:rsidRPr="002F50BD">
        <w:rPr>
          <w:rFonts w:ascii="Verdana" w:hAnsi="Verdana"/>
          <w:sz w:val="20"/>
          <w:lang w:val="pt-BR"/>
        </w:rPr>
        <w:t xml:space="preserve"> consiste</w:t>
      </w:r>
      <w:r w:rsidRPr="002F50BD">
        <w:rPr>
          <w:rFonts w:ascii="Verdana" w:hAnsi="Verdana"/>
          <w:sz w:val="20"/>
          <w:lang w:val="pt-BR"/>
        </w:rPr>
        <w:t xml:space="preserve"> a pretensão</w:t>
      </w:r>
      <w:r w:rsidR="004756C1" w:rsidRPr="002F50BD">
        <w:rPr>
          <w:rFonts w:ascii="Verdana" w:hAnsi="Verdana"/>
          <w:sz w:val="20"/>
          <w:lang w:val="pt-BR"/>
        </w:rPr>
        <w:t xml:space="preserve"> </w:t>
      </w:r>
      <w:r w:rsidRPr="002F50BD">
        <w:rPr>
          <w:rFonts w:ascii="Verdana" w:hAnsi="Verdana"/>
          <w:sz w:val="20"/>
          <w:lang w:val="pt-BR"/>
        </w:rPr>
        <w:t>expost</w:t>
      </w:r>
      <w:r w:rsidR="004756C1" w:rsidRPr="002F50BD">
        <w:rPr>
          <w:rFonts w:ascii="Verdana" w:hAnsi="Verdana"/>
          <w:sz w:val="20"/>
          <w:lang w:val="pt-BR"/>
        </w:rPr>
        <w:t>a</w:t>
      </w:r>
      <w:r w:rsidRPr="002F50BD">
        <w:rPr>
          <w:rFonts w:ascii="Verdana" w:hAnsi="Verdana"/>
          <w:sz w:val="20"/>
          <w:lang w:val="pt-BR"/>
        </w:rPr>
        <w:t xml:space="preserve"> pela Comunidade </w:t>
      </w:r>
      <w:r w:rsidR="004756C1" w:rsidRPr="002F50BD">
        <w:rPr>
          <w:rFonts w:ascii="Verdana" w:hAnsi="Verdana"/>
          <w:sz w:val="20"/>
          <w:lang w:val="pt-BR"/>
        </w:rPr>
        <w:t>Yakye Axa</w:t>
      </w:r>
      <w:r w:rsidR="00D95E71" w:rsidRPr="002F50BD">
        <w:rPr>
          <w:rFonts w:ascii="Verdana" w:hAnsi="Verdana"/>
          <w:sz w:val="20"/>
          <w:lang w:val="pt-BR"/>
        </w:rPr>
        <w:t xml:space="preserve">. O </w:t>
      </w:r>
      <w:r w:rsidRPr="002F50BD">
        <w:rPr>
          <w:rFonts w:ascii="Verdana" w:hAnsi="Verdana"/>
          <w:sz w:val="20"/>
          <w:lang w:val="pt-BR"/>
        </w:rPr>
        <w:t xml:space="preserve">ato </w:t>
      </w:r>
      <w:r w:rsidR="004756C1" w:rsidRPr="002F50BD">
        <w:rPr>
          <w:rFonts w:ascii="Verdana" w:hAnsi="Verdana"/>
          <w:sz w:val="20"/>
          <w:lang w:val="pt-BR"/>
        </w:rPr>
        <w:t>simbólico</w:t>
      </w:r>
      <w:r w:rsidRPr="002F50BD">
        <w:rPr>
          <w:rFonts w:ascii="Verdana" w:hAnsi="Verdana"/>
          <w:sz w:val="20"/>
          <w:lang w:val="pt-BR"/>
        </w:rPr>
        <w:t xml:space="preserve"> deve </w:t>
      </w:r>
      <w:r w:rsidR="00CA5630" w:rsidRPr="002F50BD">
        <w:rPr>
          <w:rFonts w:ascii="Verdana" w:hAnsi="Verdana"/>
          <w:sz w:val="20"/>
          <w:lang w:val="pt-BR"/>
        </w:rPr>
        <w:t>ser definido</w:t>
      </w:r>
      <w:r w:rsidR="004756C1" w:rsidRPr="002F50BD">
        <w:rPr>
          <w:rFonts w:ascii="Verdana" w:hAnsi="Verdana"/>
          <w:sz w:val="20"/>
          <w:lang w:val="pt-BR"/>
        </w:rPr>
        <w:t>,</w:t>
      </w:r>
      <w:r w:rsidRPr="002F50BD">
        <w:rPr>
          <w:rFonts w:ascii="Verdana" w:hAnsi="Verdana"/>
          <w:sz w:val="20"/>
          <w:lang w:val="pt-BR"/>
        </w:rPr>
        <w:t xml:space="preserve"> </w:t>
      </w:r>
      <w:r w:rsidR="009B31FB" w:rsidRPr="002F50BD">
        <w:rPr>
          <w:rFonts w:ascii="Verdana" w:hAnsi="Verdana"/>
          <w:sz w:val="20"/>
          <w:lang w:val="pt-BR"/>
        </w:rPr>
        <w:t xml:space="preserve">a partir de um </w:t>
      </w:r>
      <w:r w:rsidRPr="002F50BD">
        <w:rPr>
          <w:rFonts w:ascii="Verdana" w:hAnsi="Verdana"/>
          <w:sz w:val="20"/>
          <w:lang w:val="pt-BR"/>
        </w:rPr>
        <w:lastRenderedPageBreak/>
        <w:t>acordo</w:t>
      </w:r>
      <w:r w:rsidR="004756C1" w:rsidRPr="002F50BD">
        <w:rPr>
          <w:rFonts w:ascii="Verdana" w:hAnsi="Verdana"/>
          <w:sz w:val="20"/>
          <w:lang w:val="pt-BR"/>
        </w:rPr>
        <w:t xml:space="preserve"> entre</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e a Comunidade </w:t>
      </w:r>
      <w:r w:rsidR="004756C1" w:rsidRPr="002F50BD">
        <w:rPr>
          <w:rFonts w:ascii="Verdana" w:hAnsi="Verdana"/>
          <w:sz w:val="20"/>
          <w:lang w:val="pt-BR"/>
        </w:rPr>
        <w:t xml:space="preserve">Yakye Axa, </w:t>
      </w:r>
      <w:r w:rsidRPr="002F50BD">
        <w:rPr>
          <w:rFonts w:ascii="Verdana" w:hAnsi="Verdana"/>
          <w:sz w:val="20"/>
          <w:lang w:val="pt-BR"/>
        </w:rPr>
        <w:t xml:space="preserve">a respeito dos </w:t>
      </w:r>
      <w:r w:rsidR="00CA5630" w:rsidRPr="002F50BD">
        <w:rPr>
          <w:rFonts w:ascii="Verdana" w:hAnsi="Verdana"/>
          <w:sz w:val="20"/>
          <w:lang w:val="pt-BR"/>
        </w:rPr>
        <w:t xml:space="preserve">reconhecimentos </w:t>
      </w:r>
      <w:r w:rsidRPr="002F50BD">
        <w:rPr>
          <w:rFonts w:ascii="Verdana" w:hAnsi="Verdana"/>
          <w:sz w:val="20"/>
          <w:lang w:val="pt-BR"/>
        </w:rPr>
        <w:t>propost</w:t>
      </w:r>
      <w:r w:rsidR="004756C1" w:rsidRPr="002F50BD">
        <w:rPr>
          <w:rFonts w:ascii="Verdana" w:hAnsi="Verdana"/>
          <w:sz w:val="20"/>
          <w:lang w:val="pt-BR"/>
        </w:rPr>
        <w:t xml:space="preserve">os. </w:t>
      </w:r>
      <w:r w:rsidR="00CA5630" w:rsidRPr="002F50BD">
        <w:rPr>
          <w:rFonts w:ascii="Verdana" w:hAnsi="Verdana"/>
          <w:sz w:val="20"/>
          <w:lang w:val="pt-BR"/>
        </w:rPr>
        <w:t>Além disso</w:t>
      </w:r>
      <w:r w:rsidR="004756C1" w:rsidRPr="002F50BD">
        <w:rPr>
          <w:rFonts w:ascii="Verdana" w:hAnsi="Verdana"/>
          <w:sz w:val="20"/>
          <w:lang w:val="pt-BR"/>
        </w:rPr>
        <w:t xml:space="preserve">, se </w:t>
      </w:r>
      <w:r w:rsidRPr="002F50BD">
        <w:rPr>
          <w:rFonts w:ascii="Verdana" w:hAnsi="Verdana"/>
          <w:sz w:val="20"/>
          <w:lang w:val="pt-BR"/>
        </w:rPr>
        <w:t>poderia</w:t>
      </w:r>
      <w:r w:rsidR="004756C1" w:rsidRPr="002F50BD">
        <w:rPr>
          <w:rFonts w:ascii="Verdana" w:hAnsi="Verdana"/>
          <w:sz w:val="20"/>
          <w:lang w:val="pt-BR"/>
        </w:rPr>
        <w:t xml:space="preserve"> </w:t>
      </w:r>
      <w:r w:rsidR="00CA5630" w:rsidRPr="002F50BD">
        <w:rPr>
          <w:rFonts w:ascii="Verdana" w:hAnsi="Verdana"/>
          <w:sz w:val="20"/>
          <w:lang w:val="pt-BR"/>
        </w:rPr>
        <w:t xml:space="preserve">propor a assinatura </w:t>
      </w:r>
      <w:r w:rsidR="004756C1" w:rsidRPr="002F50BD">
        <w:rPr>
          <w:rFonts w:ascii="Verdana" w:hAnsi="Verdana"/>
          <w:sz w:val="20"/>
          <w:lang w:val="pt-BR"/>
        </w:rPr>
        <w:t>de</w:t>
      </w:r>
      <w:r w:rsidRPr="002F50BD">
        <w:rPr>
          <w:rFonts w:ascii="Verdana" w:hAnsi="Verdana"/>
          <w:sz w:val="20"/>
          <w:lang w:val="pt-BR"/>
        </w:rPr>
        <w:t xml:space="preserve"> um acordo</w:t>
      </w:r>
      <w:r w:rsidR="004756C1" w:rsidRPr="002F50BD">
        <w:rPr>
          <w:rFonts w:ascii="Verdana" w:hAnsi="Verdana"/>
          <w:sz w:val="20"/>
          <w:lang w:val="pt-BR"/>
        </w:rPr>
        <w:t xml:space="preserve"> </w:t>
      </w:r>
      <w:r w:rsidR="009B31FB" w:rsidRPr="002F50BD">
        <w:rPr>
          <w:rFonts w:ascii="Verdana" w:hAnsi="Verdana"/>
          <w:sz w:val="20"/>
          <w:lang w:val="pt-BR"/>
        </w:rPr>
        <w:t>conclusivo</w:t>
      </w:r>
      <w:r w:rsidR="00CA5630"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presente caso </w:t>
      </w:r>
      <w:r w:rsidR="009B31FB" w:rsidRPr="002F50BD">
        <w:rPr>
          <w:rFonts w:ascii="Verdana" w:hAnsi="Verdana"/>
          <w:sz w:val="20"/>
          <w:lang w:val="pt-BR"/>
        </w:rPr>
        <w:t>de maneira amistosa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4756C1" w:rsidRPr="002F50BD" w:rsidRDefault="004756C1">
      <w:pPr>
        <w:jc w:val="both"/>
        <w:rPr>
          <w:rFonts w:ascii="Verdana" w:hAnsi="Verdana"/>
          <w:sz w:val="20"/>
        </w:rPr>
      </w:pPr>
    </w:p>
    <w:p w:rsidR="004756C1" w:rsidRPr="002F50BD" w:rsidRDefault="0089298C">
      <w:pPr>
        <w:pStyle w:val="BodyText"/>
        <w:numPr>
          <w:ilvl w:val="0"/>
          <w:numId w:val="32"/>
        </w:numPr>
        <w:rPr>
          <w:rFonts w:ascii="Verdana" w:hAnsi="Verdana"/>
          <w:sz w:val="20"/>
          <w:lang w:val="pt-BR"/>
        </w:rPr>
      </w:pPr>
      <w:r w:rsidRPr="002F50BD">
        <w:rPr>
          <w:rFonts w:ascii="Verdana" w:hAnsi="Verdana"/>
          <w:sz w:val="20"/>
          <w:lang w:val="pt-BR"/>
        </w:rPr>
        <w:t>Nest</w:t>
      </w:r>
      <w:r w:rsidR="00CA5630" w:rsidRPr="002F50BD">
        <w:rPr>
          <w:rFonts w:ascii="Verdana" w:hAnsi="Verdana"/>
          <w:sz w:val="20"/>
          <w:lang w:val="pt-BR"/>
        </w:rPr>
        <w:t>a seção</w:t>
      </w:r>
      <w:r w:rsidR="009B31FB" w:rsidRPr="002F50BD">
        <w:rPr>
          <w:rFonts w:ascii="Verdana" w:hAnsi="Verdana"/>
          <w:sz w:val="20"/>
          <w:lang w:val="pt-BR"/>
        </w:rPr>
        <w:t>,</w:t>
      </w:r>
      <w:r w:rsidR="00CA5630" w:rsidRPr="002F50BD">
        <w:rPr>
          <w:rFonts w:ascii="Verdana" w:hAnsi="Verdana"/>
          <w:sz w:val="20"/>
          <w:lang w:val="pt-BR"/>
        </w:rPr>
        <w:t xml:space="preserve"> </w:t>
      </w:r>
      <w:r w:rsidRPr="002F50BD">
        <w:rPr>
          <w:rFonts w:ascii="Verdana" w:hAnsi="Verdana"/>
          <w:sz w:val="20"/>
          <w:lang w:val="pt-BR"/>
        </w:rPr>
        <w:t xml:space="preserve">o </w:t>
      </w:r>
      <w:r w:rsidR="004756C1" w:rsidRPr="002F50BD">
        <w:rPr>
          <w:rFonts w:ascii="Verdana" w:hAnsi="Verdana"/>
          <w:sz w:val="20"/>
          <w:lang w:val="pt-BR"/>
        </w:rPr>
        <w:t>Tribunal determinar</w:t>
      </w:r>
      <w:r w:rsidR="00CA5630" w:rsidRPr="002F50BD">
        <w:rPr>
          <w:rFonts w:ascii="Verdana" w:hAnsi="Verdana"/>
          <w:sz w:val="20"/>
          <w:lang w:val="pt-BR"/>
        </w:rPr>
        <w:t>á</w:t>
      </w:r>
      <w:r w:rsidR="004756C1" w:rsidRPr="002F50BD">
        <w:rPr>
          <w:rFonts w:ascii="Verdana" w:hAnsi="Verdana"/>
          <w:sz w:val="20"/>
          <w:lang w:val="pt-BR"/>
        </w:rPr>
        <w:t xml:space="preserve"> </w:t>
      </w:r>
      <w:r w:rsidR="003B734C">
        <w:rPr>
          <w:rFonts w:ascii="Verdana" w:hAnsi="Verdana"/>
          <w:sz w:val="20"/>
          <w:lang w:val="pt-BR"/>
        </w:rPr>
        <w:t>as</w:t>
      </w:r>
      <w:r w:rsidR="004756C1" w:rsidRPr="002F50BD">
        <w:rPr>
          <w:rFonts w:ascii="Verdana" w:hAnsi="Verdana"/>
          <w:sz w:val="20"/>
          <w:lang w:val="pt-BR"/>
        </w:rPr>
        <w:t xml:space="preserve"> medidas de </w:t>
      </w:r>
      <w:r w:rsidRPr="002F50BD">
        <w:rPr>
          <w:rFonts w:ascii="Verdana" w:hAnsi="Verdana"/>
          <w:sz w:val="20"/>
          <w:lang w:val="pt-BR"/>
        </w:rPr>
        <w:t>satisfação</w:t>
      </w:r>
      <w:r w:rsidR="004756C1" w:rsidRPr="002F50BD">
        <w:rPr>
          <w:rFonts w:ascii="Verdana" w:hAnsi="Verdana"/>
          <w:sz w:val="20"/>
          <w:lang w:val="pt-BR"/>
        </w:rPr>
        <w:t xml:space="preserve"> que </w:t>
      </w:r>
      <w:r w:rsidR="00CA5630" w:rsidRPr="002F50BD">
        <w:rPr>
          <w:rFonts w:ascii="Verdana" w:hAnsi="Verdana"/>
          <w:sz w:val="20"/>
          <w:lang w:val="pt-BR"/>
        </w:rPr>
        <w:t>buscam</w:t>
      </w:r>
      <w:r w:rsidR="004756C1" w:rsidRPr="002F50BD">
        <w:rPr>
          <w:rFonts w:ascii="Verdana" w:hAnsi="Verdana"/>
          <w:sz w:val="20"/>
          <w:lang w:val="pt-BR"/>
        </w:rPr>
        <w:t xml:space="preserve"> reparar</w:t>
      </w:r>
      <w:r w:rsidRPr="002F50BD">
        <w:rPr>
          <w:rFonts w:ascii="Verdana" w:hAnsi="Verdana"/>
          <w:sz w:val="20"/>
          <w:lang w:val="pt-BR"/>
        </w:rPr>
        <w:t xml:space="preserve"> o dano</w:t>
      </w:r>
      <w:r w:rsidR="004756C1" w:rsidRPr="002F50BD">
        <w:rPr>
          <w:rFonts w:ascii="Verdana" w:hAnsi="Verdana"/>
          <w:sz w:val="20"/>
          <w:lang w:val="pt-BR"/>
        </w:rPr>
        <w:t xml:space="preserve"> </w:t>
      </w:r>
      <w:r w:rsidRPr="002F50BD">
        <w:rPr>
          <w:rFonts w:ascii="Verdana" w:hAnsi="Verdana"/>
          <w:sz w:val="20"/>
          <w:lang w:val="pt-BR"/>
        </w:rPr>
        <w:t>imaterial</w:t>
      </w:r>
      <w:r w:rsidR="004756C1" w:rsidRPr="002F50BD">
        <w:rPr>
          <w:rFonts w:ascii="Verdana" w:hAnsi="Verdana"/>
          <w:sz w:val="20"/>
          <w:lang w:val="pt-BR"/>
        </w:rPr>
        <w:t xml:space="preserve"> </w:t>
      </w:r>
      <w:r w:rsidR="009B31FB" w:rsidRPr="002F50BD">
        <w:rPr>
          <w:rFonts w:ascii="Verdana" w:hAnsi="Verdana"/>
          <w:sz w:val="20"/>
          <w:lang w:val="pt-BR"/>
        </w:rPr>
        <w:t xml:space="preserve">e </w:t>
      </w:r>
      <w:r w:rsidR="004756C1" w:rsidRPr="002F50BD">
        <w:rPr>
          <w:rFonts w:ascii="Verdana" w:hAnsi="Verdana"/>
          <w:sz w:val="20"/>
          <w:lang w:val="pt-BR"/>
        </w:rPr>
        <w:t xml:space="preserve">que </w:t>
      </w:r>
      <w:r w:rsidRPr="002F50BD">
        <w:rPr>
          <w:rFonts w:ascii="Verdana" w:hAnsi="Verdana"/>
          <w:sz w:val="20"/>
          <w:lang w:val="pt-BR"/>
        </w:rPr>
        <w:t xml:space="preserve">não possuem </w:t>
      </w:r>
      <w:r w:rsidR="004756C1" w:rsidRPr="002F50BD">
        <w:rPr>
          <w:rFonts w:ascii="Verdana" w:hAnsi="Verdana"/>
          <w:sz w:val="20"/>
          <w:lang w:val="pt-BR"/>
        </w:rPr>
        <w:t xml:space="preserve">alcance </w:t>
      </w:r>
      <w:r w:rsidRPr="002F50BD">
        <w:rPr>
          <w:rFonts w:ascii="Verdana" w:hAnsi="Verdana"/>
          <w:sz w:val="20"/>
          <w:lang w:val="pt-BR"/>
        </w:rPr>
        <w:t>pecuniário</w:t>
      </w:r>
      <w:r w:rsidR="004756C1" w:rsidRPr="002F50BD">
        <w:rPr>
          <w:rFonts w:ascii="Verdana" w:hAnsi="Verdana"/>
          <w:sz w:val="20"/>
          <w:lang w:val="pt-BR"/>
        </w:rPr>
        <w:t xml:space="preserve">, </w:t>
      </w:r>
      <w:r w:rsidR="003B734C">
        <w:rPr>
          <w:rFonts w:ascii="Verdana" w:hAnsi="Verdana"/>
          <w:sz w:val="20"/>
          <w:lang w:val="pt-BR"/>
        </w:rPr>
        <w:t>e</w:t>
      </w:r>
      <w:r w:rsidR="004756C1" w:rsidRPr="002F50BD">
        <w:rPr>
          <w:rFonts w:ascii="Verdana" w:hAnsi="Verdana"/>
          <w:sz w:val="20"/>
          <w:lang w:val="pt-BR"/>
        </w:rPr>
        <w:t xml:space="preserve"> </w:t>
      </w:r>
      <w:r w:rsidR="00CA5630" w:rsidRPr="002F50BD">
        <w:rPr>
          <w:rFonts w:ascii="Verdana" w:hAnsi="Verdana"/>
          <w:sz w:val="20"/>
          <w:lang w:val="pt-BR"/>
        </w:rPr>
        <w:t xml:space="preserve">ordenará </w:t>
      </w:r>
      <w:r w:rsidR="004756C1" w:rsidRPr="002F50BD">
        <w:rPr>
          <w:rFonts w:ascii="Verdana" w:hAnsi="Verdana"/>
          <w:sz w:val="20"/>
          <w:lang w:val="pt-BR"/>
        </w:rPr>
        <w:t>medidas de alcance o</w:t>
      </w:r>
      <w:r w:rsidR="00CA5630"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repercussão</w:t>
      </w:r>
      <w:r w:rsidR="004756C1" w:rsidRPr="002F50BD">
        <w:rPr>
          <w:rFonts w:ascii="Verdana" w:hAnsi="Verdana"/>
          <w:sz w:val="20"/>
          <w:lang w:val="pt-BR"/>
        </w:rPr>
        <w:t xml:space="preserve"> públic</w:t>
      </w:r>
      <w:r w:rsidR="009B31FB" w:rsidRPr="002F50BD">
        <w:rPr>
          <w:rFonts w:ascii="Verdana" w:hAnsi="Verdana"/>
          <w:sz w:val="20"/>
          <w:lang w:val="pt-BR"/>
        </w:rPr>
        <w:t>a</w:t>
      </w:r>
      <w:r w:rsidR="001A0CDE" w:rsidRPr="002F50BD">
        <w:rPr>
          <w:rFonts w:ascii="Verdana" w:hAnsi="Verdana"/>
          <w:sz w:val="20"/>
          <w:lang w:val="pt-BR"/>
        </w:rPr>
        <w:t>. Est</w:t>
      </w:r>
      <w:r w:rsidR="004756C1" w:rsidRPr="002F50BD">
        <w:rPr>
          <w:rFonts w:ascii="Verdana" w:hAnsi="Verdana"/>
          <w:sz w:val="20"/>
          <w:lang w:val="pt-BR"/>
        </w:rPr>
        <w:t xml:space="preserve">as medidas </w:t>
      </w:r>
      <w:r w:rsidRPr="002F50BD">
        <w:rPr>
          <w:rFonts w:ascii="Verdana" w:hAnsi="Verdana"/>
          <w:sz w:val="20"/>
          <w:lang w:val="pt-BR"/>
        </w:rPr>
        <w:t>têm</w:t>
      </w:r>
      <w:r w:rsidR="004756C1" w:rsidRPr="002F50BD">
        <w:rPr>
          <w:rFonts w:ascii="Verdana" w:hAnsi="Verdana"/>
          <w:sz w:val="20"/>
          <w:lang w:val="pt-BR"/>
        </w:rPr>
        <w:t xml:space="preserve"> especial </w:t>
      </w:r>
      <w:r w:rsidRPr="002F50BD">
        <w:rPr>
          <w:rFonts w:ascii="Verdana" w:hAnsi="Verdana"/>
          <w:sz w:val="20"/>
          <w:lang w:val="pt-BR"/>
        </w:rPr>
        <w:t xml:space="preserve">relevância no </w:t>
      </w:r>
      <w:r w:rsidR="004756C1" w:rsidRPr="002F50BD">
        <w:rPr>
          <w:rFonts w:ascii="Verdana" w:hAnsi="Verdana"/>
          <w:sz w:val="20"/>
          <w:lang w:val="pt-BR"/>
        </w:rPr>
        <w:t>presente caso</w:t>
      </w:r>
      <w:r w:rsidRPr="002F50BD">
        <w:rPr>
          <w:rFonts w:ascii="Verdana" w:hAnsi="Verdana"/>
          <w:sz w:val="20"/>
          <w:lang w:val="pt-BR"/>
        </w:rPr>
        <w:t xml:space="preserve"> </w:t>
      </w:r>
      <w:r w:rsidR="00754117" w:rsidRPr="002F50BD">
        <w:rPr>
          <w:rFonts w:ascii="Verdana" w:hAnsi="Verdana"/>
          <w:sz w:val="20"/>
          <w:lang w:val="pt-BR"/>
        </w:rPr>
        <w:t xml:space="preserve">em virtude do </w:t>
      </w:r>
      <w:r w:rsidRPr="002F50BD">
        <w:rPr>
          <w:rFonts w:ascii="Verdana" w:hAnsi="Verdana"/>
          <w:sz w:val="20"/>
          <w:lang w:val="pt-BR"/>
        </w:rPr>
        <w:t>caráter</w:t>
      </w:r>
      <w:r w:rsidR="004756C1" w:rsidRPr="002F50BD">
        <w:rPr>
          <w:rFonts w:ascii="Verdana" w:hAnsi="Verdana"/>
          <w:sz w:val="20"/>
          <w:lang w:val="pt-BR"/>
        </w:rPr>
        <w:t xml:space="preserve"> </w:t>
      </w:r>
      <w:r w:rsidRPr="002F50BD">
        <w:rPr>
          <w:rFonts w:ascii="Verdana" w:hAnsi="Verdana"/>
          <w:sz w:val="20"/>
          <w:lang w:val="pt-BR"/>
        </w:rPr>
        <w:t>coletiv</w:t>
      </w:r>
      <w:r w:rsidR="004756C1" w:rsidRPr="002F50BD">
        <w:rPr>
          <w:rFonts w:ascii="Verdana" w:hAnsi="Verdana"/>
          <w:sz w:val="20"/>
          <w:lang w:val="pt-BR"/>
        </w:rPr>
        <w:t>o</w:t>
      </w:r>
      <w:r w:rsidRPr="002F50BD">
        <w:rPr>
          <w:rFonts w:ascii="Verdana" w:hAnsi="Verdana"/>
          <w:sz w:val="20"/>
          <w:lang w:val="pt-BR"/>
        </w:rPr>
        <w:t xml:space="preserve"> dos </w:t>
      </w:r>
      <w:r w:rsidR="004756C1" w:rsidRPr="002F50BD">
        <w:rPr>
          <w:rFonts w:ascii="Verdana" w:hAnsi="Verdana"/>
          <w:sz w:val="20"/>
          <w:lang w:val="pt-BR"/>
        </w:rPr>
        <w:t>d</w:t>
      </w:r>
      <w:r w:rsidRPr="002F50BD">
        <w:rPr>
          <w:rFonts w:ascii="Verdana" w:hAnsi="Verdana"/>
          <w:sz w:val="20"/>
          <w:lang w:val="pt-BR"/>
        </w:rPr>
        <w:t>anos</w:t>
      </w:r>
      <w:r w:rsidR="004756C1" w:rsidRPr="002F50BD">
        <w:rPr>
          <w:rFonts w:ascii="Verdana" w:hAnsi="Verdana"/>
          <w:sz w:val="20"/>
          <w:lang w:val="pt-BR"/>
        </w:rPr>
        <w:t xml:space="preserve"> </w:t>
      </w:r>
      <w:r w:rsidR="00CA5630" w:rsidRPr="002F50BD">
        <w:rPr>
          <w:rFonts w:ascii="Verdana" w:hAnsi="Verdana"/>
          <w:sz w:val="20"/>
          <w:lang w:val="pt-BR"/>
        </w:rPr>
        <w:t>causados.</w:t>
      </w:r>
      <w:r w:rsidR="004756C1" w:rsidRPr="002F50BD">
        <w:rPr>
          <w:rStyle w:val="FootnoteReference"/>
          <w:rFonts w:ascii="Verdana" w:hAnsi="Verdana"/>
          <w:lang w:val="es-ES_tradnl"/>
        </w:rPr>
        <w:footnoteReference w:id="219"/>
      </w:r>
      <w:r w:rsidR="004756C1" w:rsidRPr="002F50BD">
        <w:rPr>
          <w:rFonts w:ascii="Verdana" w:hAnsi="Verdana"/>
          <w:sz w:val="20"/>
          <w:lang w:val="pt-BR"/>
        </w:rPr>
        <w:t xml:space="preserve"> </w:t>
      </w:r>
    </w:p>
    <w:p w:rsidR="004756C1" w:rsidRPr="002F50BD" w:rsidRDefault="004756C1">
      <w:pPr>
        <w:pStyle w:val="BodyText"/>
        <w:rPr>
          <w:rFonts w:ascii="Verdana" w:hAnsi="Verdana"/>
          <w:i/>
          <w:sz w:val="20"/>
          <w:lang w:val="pt-BR"/>
        </w:rPr>
      </w:pPr>
    </w:p>
    <w:p w:rsidR="004756C1" w:rsidRPr="002F50BD" w:rsidRDefault="004756C1">
      <w:pPr>
        <w:pStyle w:val="BodyText"/>
        <w:rPr>
          <w:rFonts w:ascii="Verdana" w:hAnsi="Verdana"/>
          <w:i/>
          <w:sz w:val="20"/>
          <w:lang w:val="pt-BR"/>
        </w:rPr>
      </w:pPr>
      <w:r w:rsidRPr="002F50BD">
        <w:rPr>
          <w:rFonts w:ascii="Verdana" w:hAnsi="Verdana"/>
          <w:i/>
          <w:sz w:val="20"/>
          <w:lang w:val="pt-BR"/>
        </w:rPr>
        <w:t>a</w:t>
      </w:r>
      <w:r w:rsidR="00CF451D" w:rsidRPr="00CF451D">
        <w:rPr>
          <w:rFonts w:ascii="Verdana" w:hAnsi="Verdana"/>
          <w:sz w:val="20"/>
          <w:lang w:val="pt-BR"/>
        </w:rPr>
        <w:t>)</w:t>
      </w:r>
      <w:r w:rsidRPr="002F50BD">
        <w:rPr>
          <w:rFonts w:ascii="Verdana" w:hAnsi="Verdana"/>
          <w:i/>
          <w:sz w:val="20"/>
          <w:lang w:val="pt-BR"/>
        </w:rPr>
        <w:tab/>
        <w:t>Entrega</w:t>
      </w:r>
      <w:r w:rsidR="0089298C" w:rsidRPr="002F50BD">
        <w:rPr>
          <w:rFonts w:ascii="Verdana" w:hAnsi="Verdana"/>
          <w:i/>
          <w:sz w:val="20"/>
          <w:lang w:val="pt-BR"/>
        </w:rPr>
        <w:t xml:space="preserve"> dos território</w:t>
      </w:r>
      <w:r w:rsidRPr="002F50BD">
        <w:rPr>
          <w:rFonts w:ascii="Verdana" w:hAnsi="Verdana"/>
          <w:i/>
          <w:sz w:val="20"/>
          <w:lang w:val="pt-BR"/>
        </w:rPr>
        <w:t>s tr</w:t>
      </w:r>
      <w:r w:rsidR="0089298C" w:rsidRPr="002F50BD">
        <w:rPr>
          <w:rFonts w:ascii="Verdana" w:hAnsi="Verdana"/>
          <w:i/>
          <w:sz w:val="20"/>
          <w:lang w:val="pt-BR"/>
        </w:rPr>
        <w:t xml:space="preserve">adicionais à Comunidade </w:t>
      </w:r>
      <w:r w:rsidRPr="002F50BD">
        <w:rPr>
          <w:rFonts w:ascii="Verdana" w:hAnsi="Verdana"/>
          <w:i/>
          <w:sz w:val="20"/>
          <w:lang w:val="pt-BR"/>
        </w:rPr>
        <w:t xml:space="preserve">indígena Yakye Axa </w:t>
      </w:r>
    </w:p>
    <w:p w:rsidR="00CA5630" w:rsidRPr="002F50BD" w:rsidRDefault="00CA5630" w:rsidP="00CA5630">
      <w:pPr>
        <w:jc w:val="both"/>
        <w:rPr>
          <w:rFonts w:ascii="Verdana" w:hAnsi="Verdana"/>
          <w:sz w:val="20"/>
          <w:lang w:val="pt-BR"/>
        </w:rPr>
      </w:pPr>
    </w:p>
    <w:p w:rsidR="004756C1" w:rsidRPr="002F50BD" w:rsidRDefault="0089298C">
      <w:pPr>
        <w:numPr>
          <w:ilvl w:val="0"/>
          <w:numId w:val="32"/>
        </w:numPr>
        <w:jc w:val="both"/>
        <w:rPr>
          <w:rFonts w:ascii="Verdana" w:hAnsi="Verdana"/>
          <w:sz w:val="20"/>
          <w:lang w:val="pt-BR"/>
        </w:rPr>
      </w:pPr>
      <w:r w:rsidRPr="002F50BD">
        <w:rPr>
          <w:rFonts w:ascii="Verdana" w:hAnsi="Verdana"/>
          <w:sz w:val="20"/>
          <w:lang w:val="pt-BR"/>
        </w:rPr>
        <w:t xml:space="preserve">As </w:t>
      </w:r>
      <w:r w:rsidR="004756C1" w:rsidRPr="002F50BD">
        <w:rPr>
          <w:rFonts w:ascii="Verdana" w:hAnsi="Verdana"/>
          <w:sz w:val="20"/>
          <w:lang w:val="pt-BR"/>
        </w:rPr>
        <w:t>viola</w:t>
      </w:r>
      <w:r w:rsidRPr="002F50BD">
        <w:rPr>
          <w:rFonts w:ascii="Verdana" w:hAnsi="Verdana"/>
          <w:sz w:val="20"/>
          <w:lang w:val="pt-BR"/>
        </w:rPr>
        <w:t>ções aos direito</w:t>
      </w:r>
      <w:r w:rsidR="004756C1" w:rsidRPr="002F50BD">
        <w:rPr>
          <w:rFonts w:ascii="Verdana" w:hAnsi="Verdana"/>
          <w:sz w:val="20"/>
          <w:lang w:val="pt-BR"/>
        </w:rPr>
        <w:t xml:space="preserve">s humanos </w:t>
      </w:r>
      <w:r w:rsidR="00CA5630" w:rsidRPr="002F50BD">
        <w:rPr>
          <w:rFonts w:ascii="Verdana" w:hAnsi="Verdana"/>
          <w:sz w:val="20"/>
          <w:lang w:val="pt-BR"/>
        </w:rPr>
        <w:t xml:space="preserve">causadas </w:t>
      </w:r>
      <w:r w:rsidRPr="002F50BD">
        <w:rPr>
          <w:rFonts w:ascii="Verdana" w:hAnsi="Verdana"/>
          <w:sz w:val="20"/>
          <w:lang w:val="pt-BR"/>
        </w:rPr>
        <w:t>aos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Yakye Axa declaradas</w:t>
      </w:r>
      <w:r w:rsidRPr="002F50BD">
        <w:rPr>
          <w:rFonts w:ascii="Verdana" w:hAnsi="Verdana"/>
          <w:sz w:val="20"/>
          <w:lang w:val="pt-BR"/>
        </w:rPr>
        <w:t xml:space="preserve"> na </w:t>
      </w:r>
      <w:r w:rsidR="004756C1" w:rsidRPr="002F50BD">
        <w:rPr>
          <w:rFonts w:ascii="Verdana" w:hAnsi="Verdana"/>
          <w:sz w:val="20"/>
          <w:lang w:val="pt-BR"/>
        </w:rPr>
        <w:t xml:space="preserve">presente </w:t>
      </w:r>
      <w:r w:rsidRPr="002F50BD">
        <w:rPr>
          <w:rFonts w:ascii="Verdana" w:hAnsi="Verdana"/>
          <w:sz w:val="20"/>
          <w:lang w:val="pt-BR"/>
        </w:rPr>
        <w:t>Sentença</w:t>
      </w:r>
      <w:r w:rsidR="004756C1" w:rsidRPr="002F50BD">
        <w:rPr>
          <w:rFonts w:ascii="Verdana" w:hAnsi="Verdana"/>
          <w:sz w:val="20"/>
          <w:lang w:val="pt-BR"/>
        </w:rPr>
        <w:t xml:space="preserve"> </w:t>
      </w:r>
      <w:r w:rsidRPr="002F50BD">
        <w:rPr>
          <w:rFonts w:ascii="Verdana" w:hAnsi="Verdana"/>
          <w:sz w:val="20"/>
          <w:lang w:val="pt-BR"/>
        </w:rPr>
        <w:t>têm</w:t>
      </w:r>
      <w:r w:rsidR="004756C1" w:rsidRPr="002F50BD">
        <w:rPr>
          <w:rFonts w:ascii="Verdana" w:hAnsi="Verdana"/>
          <w:sz w:val="20"/>
          <w:lang w:val="pt-BR"/>
        </w:rPr>
        <w:t xml:space="preserve"> como base </w:t>
      </w:r>
      <w:r w:rsidRPr="002F50BD">
        <w:rPr>
          <w:rFonts w:ascii="Verdana" w:hAnsi="Verdana"/>
          <w:sz w:val="20"/>
          <w:lang w:val="pt-BR"/>
        </w:rPr>
        <w:t>comum</w:t>
      </w:r>
      <w:r w:rsidR="003B734C">
        <w:rPr>
          <w:rFonts w:ascii="Verdana" w:hAnsi="Verdana"/>
          <w:sz w:val="20"/>
          <w:lang w:val="pt-BR"/>
        </w:rPr>
        <w:t>,</w:t>
      </w:r>
      <w:r w:rsidR="004756C1" w:rsidRPr="002F50BD">
        <w:rPr>
          <w:rFonts w:ascii="Verdana" w:hAnsi="Verdana"/>
          <w:sz w:val="20"/>
          <w:lang w:val="pt-BR"/>
        </w:rPr>
        <w:t xml:space="preserve"> primordialmente</w:t>
      </w:r>
      <w:r w:rsidR="003B734C">
        <w:rPr>
          <w:rFonts w:ascii="Verdana" w:hAnsi="Verdana"/>
          <w:sz w:val="20"/>
          <w:lang w:val="pt-BR"/>
        </w:rPr>
        <w:t>,</w:t>
      </w:r>
      <w:r w:rsidRPr="002F50BD">
        <w:rPr>
          <w:rFonts w:ascii="Verdana" w:hAnsi="Verdana"/>
          <w:sz w:val="20"/>
          <w:lang w:val="pt-BR"/>
        </w:rPr>
        <w:t xml:space="preserve"> a </w:t>
      </w:r>
      <w:r w:rsidR="004756C1" w:rsidRPr="002F50BD">
        <w:rPr>
          <w:rFonts w:ascii="Verdana" w:hAnsi="Verdana"/>
          <w:sz w:val="20"/>
          <w:lang w:val="pt-BR"/>
        </w:rPr>
        <w:t>falta de materializa</w:t>
      </w:r>
      <w:r w:rsidRPr="002F50BD">
        <w:rPr>
          <w:rFonts w:ascii="Verdana" w:hAnsi="Verdana"/>
          <w:sz w:val="20"/>
          <w:lang w:val="pt-BR"/>
        </w:rPr>
        <w:t>ção dos direito</w:t>
      </w:r>
      <w:r w:rsidR="004756C1" w:rsidRPr="002F50BD">
        <w:rPr>
          <w:rFonts w:ascii="Verdana" w:hAnsi="Verdana"/>
          <w:sz w:val="20"/>
          <w:lang w:val="pt-BR"/>
        </w:rPr>
        <w:t xml:space="preserve">s </w:t>
      </w:r>
      <w:r w:rsidR="00AB454A" w:rsidRPr="002F50BD">
        <w:rPr>
          <w:rFonts w:ascii="Verdana" w:hAnsi="Verdana"/>
          <w:sz w:val="20"/>
          <w:lang w:val="pt-BR"/>
        </w:rPr>
        <w:t>territoriais</w:t>
      </w:r>
      <w:r w:rsidR="004756C1" w:rsidRPr="002F50BD">
        <w:rPr>
          <w:rFonts w:ascii="Verdana" w:hAnsi="Verdana"/>
          <w:sz w:val="20"/>
          <w:lang w:val="pt-BR"/>
        </w:rPr>
        <w:t xml:space="preserve"> </w:t>
      </w:r>
      <w:r w:rsidR="00AB454A" w:rsidRPr="002F50BD">
        <w:rPr>
          <w:rFonts w:ascii="Verdana" w:hAnsi="Verdana"/>
          <w:sz w:val="20"/>
          <w:lang w:val="pt-BR"/>
        </w:rPr>
        <w:t>ancestrais</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cuja</w:t>
      </w:r>
      <w:r w:rsidR="004756C1" w:rsidRPr="002F50BD">
        <w:rPr>
          <w:rFonts w:ascii="Verdana" w:hAnsi="Verdana"/>
          <w:sz w:val="20"/>
          <w:lang w:val="pt-BR"/>
        </w:rPr>
        <w:t xml:space="preserve"> </w:t>
      </w:r>
      <w:r w:rsidRPr="002F50BD">
        <w:rPr>
          <w:rFonts w:ascii="Verdana" w:hAnsi="Verdana"/>
          <w:sz w:val="20"/>
          <w:lang w:val="pt-BR"/>
        </w:rPr>
        <w:t>existência</w:t>
      </w:r>
      <w:r w:rsidR="004756C1" w:rsidRPr="002F50BD">
        <w:rPr>
          <w:rFonts w:ascii="Verdana" w:hAnsi="Verdana"/>
          <w:sz w:val="20"/>
          <w:lang w:val="pt-BR"/>
        </w:rPr>
        <w:t xml:space="preserve"> </w:t>
      </w:r>
      <w:r w:rsidR="00AB454A" w:rsidRPr="002F50BD">
        <w:rPr>
          <w:rFonts w:ascii="Verdana" w:hAnsi="Verdana"/>
          <w:sz w:val="20"/>
          <w:lang w:val="pt-BR"/>
        </w:rPr>
        <w:t>não foi</w:t>
      </w:r>
      <w:r w:rsidRPr="002F50BD">
        <w:rPr>
          <w:rFonts w:ascii="Verdana" w:hAnsi="Verdana"/>
          <w:sz w:val="20"/>
          <w:lang w:val="pt-BR"/>
        </w:rPr>
        <w:t xml:space="preserve"> </w:t>
      </w:r>
      <w:r w:rsidR="004756C1" w:rsidRPr="002F50BD">
        <w:rPr>
          <w:rFonts w:ascii="Verdana" w:hAnsi="Verdana"/>
          <w:sz w:val="20"/>
          <w:lang w:val="pt-BR"/>
        </w:rPr>
        <w:t>discutida</w:t>
      </w:r>
      <w:r w:rsidRPr="002F50BD">
        <w:rPr>
          <w:rFonts w:ascii="Verdana" w:hAnsi="Verdana"/>
          <w:sz w:val="20"/>
          <w:lang w:val="pt-BR"/>
        </w:rPr>
        <w:t xml:space="preserve"> pelo </w:t>
      </w:r>
      <w:r w:rsidR="004756C1" w:rsidRPr="002F50BD">
        <w:rPr>
          <w:rFonts w:ascii="Verdana" w:hAnsi="Verdana"/>
          <w:sz w:val="20"/>
          <w:lang w:val="pt-BR"/>
        </w:rPr>
        <w:t>Estado.</w:t>
      </w:r>
      <w:r w:rsidR="00FE08B7">
        <w:rPr>
          <w:rFonts w:ascii="Verdana" w:hAnsi="Verdana"/>
          <w:sz w:val="20"/>
          <w:lang w:val="pt-BR"/>
        </w:rPr>
        <w:t xml:space="preserve"> </w:t>
      </w:r>
      <w:r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manifestou</w:t>
      </w:r>
      <w:r w:rsidR="009B31FB" w:rsidRPr="002F50BD">
        <w:rPr>
          <w:rFonts w:ascii="Verdana" w:hAnsi="Verdana"/>
          <w:sz w:val="20"/>
          <w:lang w:val="pt-BR"/>
        </w:rPr>
        <w:t>,</w:t>
      </w:r>
      <w:r w:rsidRPr="002F50BD">
        <w:rPr>
          <w:rFonts w:ascii="Verdana" w:hAnsi="Verdana"/>
          <w:sz w:val="20"/>
          <w:lang w:val="pt-BR"/>
        </w:rPr>
        <w:t xml:space="preserve"> ao </w:t>
      </w:r>
      <w:r w:rsidR="00CA5630" w:rsidRPr="002F50BD">
        <w:rPr>
          <w:rFonts w:ascii="Verdana" w:hAnsi="Verdana"/>
          <w:sz w:val="20"/>
          <w:lang w:val="pt-BR"/>
        </w:rPr>
        <w:t xml:space="preserve">longo </w:t>
      </w:r>
      <w:r w:rsidRPr="002F50BD">
        <w:rPr>
          <w:rFonts w:ascii="Verdana" w:hAnsi="Verdana"/>
          <w:sz w:val="20"/>
          <w:lang w:val="pt-BR"/>
        </w:rPr>
        <w:t xml:space="preserve">do </w:t>
      </w:r>
      <w:r w:rsidR="004756C1" w:rsidRPr="002F50BD">
        <w:rPr>
          <w:rFonts w:ascii="Verdana" w:hAnsi="Verdana"/>
          <w:sz w:val="20"/>
          <w:lang w:val="pt-BR"/>
        </w:rPr>
        <w:t xml:space="preserve">presente </w:t>
      </w:r>
      <w:r w:rsidRPr="002F50BD">
        <w:rPr>
          <w:rFonts w:ascii="Verdana" w:hAnsi="Verdana"/>
          <w:sz w:val="20"/>
          <w:lang w:val="pt-BR"/>
        </w:rPr>
        <w:t xml:space="preserve">trâmite perante a </w:t>
      </w:r>
      <w:r w:rsidR="004756C1" w:rsidRPr="002F50BD">
        <w:rPr>
          <w:rFonts w:ascii="Verdana" w:hAnsi="Verdana"/>
          <w:sz w:val="20"/>
          <w:lang w:val="pt-BR"/>
        </w:rPr>
        <w:t>Corte</w:t>
      </w:r>
      <w:r w:rsidR="009B31FB"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sua disposição</w:t>
      </w:r>
      <w:r w:rsidR="004756C1" w:rsidRPr="002F50BD">
        <w:rPr>
          <w:rFonts w:ascii="Verdana" w:hAnsi="Verdana"/>
          <w:sz w:val="20"/>
          <w:lang w:val="pt-BR"/>
        </w:rPr>
        <w:t xml:space="preserve"> de entregar </w:t>
      </w:r>
      <w:r w:rsidRPr="002F50BD">
        <w:rPr>
          <w:rFonts w:ascii="Verdana" w:hAnsi="Verdana"/>
          <w:sz w:val="20"/>
          <w:lang w:val="pt-BR"/>
        </w:rPr>
        <w:t>terra</w:t>
      </w:r>
      <w:r w:rsidR="004756C1" w:rsidRPr="002F50BD">
        <w:rPr>
          <w:rFonts w:ascii="Verdana" w:hAnsi="Verdana"/>
          <w:sz w:val="20"/>
          <w:lang w:val="pt-BR"/>
        </w:rPr>
        <w:t>s</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w:t>
      </w:r>
      <w:r w:rsidR="00A50140" w:rsidRPr="002F50BD">
        <w:rPr>
          <w:rFonts w:ascii="Verdana" w:hAnsi="Verdana"/>
          <w:sz w:val="20"/>
          <w:lang w:val="pt-BR"/>
        </w:rPr>
        <w:t>Comunidade.</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w:t>
      </w:r>
      <w:r w:rsidRPr="002F50BD">
        <w:rPr>
          <w:rFonts w:ascii="Verdana" w:hAnsi="Verdana"/>
          <w:sz w:val="20"/>
          <w:lang w:val="pt-BR"/>
        </w:rPr>
        <w:t xml:space="preserve"> em </w:t>
      </w:r>
      <w:r w:rsidR="00FE0E3C" w:rsidRPr="002F50BD">
        <w:rPr>
          <w:rFonts w:ascii="Verdana" w:hAnsi="Verdana"/>
          <w:sz w:val="20"/>
          <w:lang w:val="pt-BR"/>
        </w:rPr>
        <w:t xml:space="preserve">sua </w:t>
      </w:r>
      <w:r w:rsidR="004756C1" w:rsidRPr="002F50BD">
        <w:rPr>
          <w:rFonts w:ascii="Verdana" w:hAnsi="Verdana"/>
          <w:sz w:val="20"/>
          <w:lang w:val="pt-BR"/>
        </w:rPr>
        <w:t>contesta</w:t>
      </w:r>
      <w:r w:rsidRPr="002F50BD">
        <w:rPr>
          <w:rFonts w:ascii="Verdana" w:hAnsi="Verdana"/>
          <w:sz w:val="20"/>
          <w:lang w:val="pt-BR"/>
        </w:rPr>
        <w:t xml:space="preserve">ção à </w:t>
      </w:r>
      <w:r w:rsidR="004756C1" w:rsidRPr="002F50BD">
        <w:rPr>
          <w:rFonts w:ascii="Verdana" w:hAnsi="Verdana"/>
          <w:sz w:val="20"/>
          <w:lang w:val="pt-BR"/>
        </w:rPr>
        <w:t>demanda</w:t>
      </w:r>
      <w:r w:rsidR="00FE0E3C"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afirmou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r w:rsidRPr="002F50BD">
        <w:rPr>
          <w:rFonts w:ascii="Verdana" w:hAnsi="Verdana"/>
          <w:sz w:val="20"/>
          <w:lang w:val="pt-BR"/>
        </w:rPr>
        <w:t xml:space="preserve"> </w:t>
      </w:r>
    </w:p>
    <w:p w:rsidR="004756C1" w:rsidRPr="002F50BD" w:rsidRDefault="004756C1">
      <w:pPr>
        <w:ind w:left="720" w:right="720"/>
        <w:jc w:val="both"/>
        <w:rPr>
          <w:rFonts w:ascii="Verdana" w:hAnsi="Verdana"/>
          <w:sz w:val="16"/>
          <w:lang w:val="pt-BR"/>
        </w:rPr>
      </w:pPr>
      <w:r w:rsidRPr="002F50BD">
        <w:rPr>
          <w:rFonts w:ascii="Verdana" w:hAnsi="Verdana"/>
          <w:sz w:val="16"/>
          <w:lang w:val="pt-BR"/>
        </w:rPr>
        <w:t>[t]endo</w:t>
      </w:r>
      <w:r w:rsidR="0089298C" w:rsidRPr="002F50BD">
        <w:rPr>
          <w:rFonts w:ascii="Verdana" w:hAnsi="Verdana"/>
          <w:sz w:val="16"/>
          <w:lang w:val="pt-BR"/>
        </w:rPr>
        <w:t xml:space="preserve"> em conta o interesse geral</w:t>
      </w:r>
      <w:r w:rsidRPr="002F50BD">
        <w:rPr>
          <w:rFonts w:ascii="Verdana" w:hAnsi="Verdana"/>
          <w:sz w:val="16"/>
          <w:lang w:val="pt-BR"/>
        </w:rPr>
        <w:t xml:space="preserve"> que </w:t>
      </w:r>
      <w:r w:rsidR="00FE0E3C" w:rsidRPr="002F50BD">
        <w:rPr>
          <w:rFonts w:ascii="Verdana" w:hAnsi="Verdana"/>
          <w:sz w:val="16"/>
          <w:lang w:val="pt-BR"/>
        </w:rPr>
        <w:t xml:space="preserve">se busca com </w:t>
      </w:r>
      <w:r w:rsidR="0089298C" w:rsidRPr="002F50BD">
        <w:rPr>
          <w:rFonts w:ascii="Verdana" w:hAnsi="Verdana"/>
          <w:sz w:val="16"/>
          <w:lang w:val="pt-BR"/>
        </w:rPr>
        <w:t>a questão</w:t>
      </w:r>
      <w:r w:rsidRPr="002F50BD">
        <w:rPr>
          <w:rFonts w:ascii="Verdana" w:hAnsi="Verdana"/>
          <w:sz w:val="16"/>
          <w:lang w:val="pt-BR"/>
        </w:rPr>
        <w:t xml:space="preserve"> de </w:t>
      </w:r>
      <w:r w:rsidR="0089298C" w:rsidRPr="002F50BD">
        <w:rPr>
          <w:rFonts w:ascii="Verdana" w:hAnsi="Verdana"/>
          <w:sz w:val="16"/>
          <w:lang w:val="pt-BR"/>
        </w:rPr>
        <w:t>mérito</w:t>
      </w:r>
      <w:r w:rsidRPr="002F50BD">
        <w:rPr>
          <w:rFonts w:ascii="Verdana" w:hAnsi="Verdana"/>
          <w:sz w:val="16"/>
          <w:lang w:val="pt-BR"/>
        </w:rPr>
        <w:t>, a</w:t>
      </w:r>
      <w:r w:rsidR="00CA5630" w:rsidRPr="002F50BD">
        <w:rPr>
          <w:rFonts w:ascii="Verdana" w:hAnsi="Verdana"/>
          <w:sz w:val="16"/>
          <w:lang w:val="pt-BR"/>
        </w:rPr>
        <w:t xml:space="preserve">inda que não compartilhando </w:t>
      </w:r>
      <w:r w:rsidR="0089298C" w:rsidRPr="002F50BD">
        <w:rPr>
          <w:rFonts w:ascii="Verdana" w:hAnsi="Verdana"/>
          <w:sz w:val="16"/>
          <w:lang w:val="pt-BR"/>
        </w:rPr>
        <w:t xml:space="preserve">os </w:t>
      </w:r>
      <w:r w:rsidRPr="002F50BD">
        <w:rPr>
          <w:rFonts w:ascii="Verdana" w:hAnsi="Verdana"/>
          <w:sz w:val="16"/>
          <w:lang w:val="pt-BR"/>
        </w:rPr>
        <w:t>fundamentos</w:t>
      </w:r>
      <w:r w:rsidR="0089298C" w:rsidRPr="002F50BD">
        <w:rPr>
          <w:rFonts w:ascii="Verdana" w:hAnsi="Verdana"/>
          <w:sz w:val="16"/>
          <w:lang w:val="pt-BR"/>
        </w:rPr>
        <w:t xml:space="preserve"> da </w:t>
      </w:r>
      <w:r w:rsidRPr="002F50BD">
        <w:rPr>
          <w:rFonts w:ascii="Verdana" w:hAnsi="Verdana"/>
          <w:sz w:val="16"/>
          <w:lang w:val="pt-BR"/>
        </w:rPr>
        <w:t>demanda,</w:t>
      </w:r>
      <w:r w:rsidR="0089298C" w:rsidRPr="002F50BD">
        <w:rPr>
          <w:rFonts w:ascii="Verdana" w:hAnsi="Verdana"/>
          <w:sz w:val="16"/>
          <w:lang w:val="pt-BR"/>
        </w:rPr>
        <w:t xml:space="preserve"> o </w:t>
      </w:r>
      <w:r w:rsidRPr="002F50BD">
        <w:rPr>
          <w:rFonts w:ascii="Verdana" w:hAnsi="Verdana"/>
          <w:sz w:val="16"/>
          <w:lang w:val="pt-BR"/>
        </w:rPr>
        <w:t>Estado d</w:t>
      </w:r>
      <w:r w:rsidR="00CA5630" w:rsidRPr="002F50BD">
        <w:rPr>
          <w:rFonts w:ascii="Verdana" w:hAnsi="Verdana"/>
          <w:sz w:val="16"/>
          <w:lang w:val="pt-BR"/>
        </w:rPr>
        <w:t>o</w:t>
      </w:r>
      <w:r w:rsidRPr="002F50BD">
        <w:rPr>
          <w:rFonts w:ascii="Verdana" w:hAnsi="Verdana"/>
          <w:sz w:val="16"/>
          <w:lang w:val="pt-BR"/>
        </w:rPr>
        <w:t xml:space="preserve"> </w:t>
      </w:r>
      <w:r w:rsidR="0089298C" w:rsidRPr="002F50BD">
        <w:rPr>
          <w:rFonts w:ascii="Verdana" w:hAnsi="Verdana"/>
          <w:sz w:val="16"/>
          <w:lang w:val="pt-BR"/>
        </w:rPr>
        <w:t>Paraguai</w:t>
      </w:r>
      <w:r w:rsidRPr="002F50BD">
        <w:rPr>
          <w:rFonts w:ascii="Verdana" w:hAnsi="Verdana"/>
          <w:sz w:val="16"/>
          <w:lang w:val="pt-BR"/>
        </w:rPr>
        <w:t xml:space="preserve"> </w:t>
      </w:r>
      <w:r w:rsidR="00CA5630" w:rsidRPr="002F50BD">
        <w:rPr>
          <w:rFonts w:ascii="Verdana" w:hAnsi="Verdana"/>
          <w:sz w:val="16"/>
          <w:lang w:val="pt-BR"/>
        </w:rPr>
        <w:t xml:space="preserve">acata </w:t>
      </w:r>
      <w:r w:rsidR="0089298C" w:rsidRPr="002F50BD">
        <w:rPr>
          <w:rFonts w:ascii="Verdana" w:hAnsi="Verdana"/>
          <w:sz w:val="16"/>
          <w:lang w:val="pt-BR"/>
        </w:rPr>
        <w:t xml:space="preserve">o </w:t>
      </w:r>
      <w:r w:rsidRPr="002F50BD">
        <w:rPr>
          <w:rFonts w:ascii="Verdana" w:hAnsi="Verdana"/>
          <w:sz w:val="16"/>
          <w:lang w:val="pt-BR"/>
        </w:rPr>
        <w:t>pedido de repara</w:t>
      </w:r>
      <w:r w:rsidR="0089298C" w:rsidRPr="002F50BD">
        <w:rPr>
          <w:rFonts w:ascii="Verdana" w:hAnsi="Verdana"/>
          <w:sz w:val="16"/>
          <w:lang w:val="pt-BR"/>
        </w:rPr>
        <w:t>ção e</w:t>
      </w:r>
      <w:r w:rsidR="00CA5630" w:rsidRPr="002F50BD">
        <w:rPr>
          <w:rFonts w:ascii="Verdana" w:hAnsi="Verdana"/>
          <w:sz w:val="16"/>
          <w:lang w:val="pt-BR"/>
        </w:rPr>
        <w:t>,</w:t>
      </w:r>
      <w:r w:rsidR="0089298C" w:rsidRPr="002F50BD">
        <w:rPr>
          <w:rFonts w:ascii="Verdana" w:hAnsi="Verdana"/>
          <w:sz w:val="16"/>
          <w:lang w:val="pt-BR"/>
        </w:rPr>
        <w:t xml:space="preserve"> em consequência</w:t>
      </w:r>
      <w:r w:rsidRPr="002F50BD">
        <w:rPr>
          <w:rFonts w:ascii="Verdana" w:hAnsi="Verdana"/>
          <w:sz w:val="16"/>
          <w:lang w:val="pt-BR"/>
        </w:rPr>
        <w:t xml:space="preserve">, </w:t>
      </w:r>
      <w:r w:rsidR="00CA5630" w:rsidRPr="002F50BD">
        <w:rPr>
          <w:rFonts w:ascii="Verdana" w:hAnsi="Verdana"/>
          <w:sz w:val="16"/>
          <w:lang w:val="pt-BR"/>
        </w:rPr>
        <w:t xml:space="preserve">ordenará, </w:t>
      </w:r>
      <w:r w:rsidRPr="002F50BD">
        <w:rPr>
          <w:rFonts w:ascii="Verdana" w:hAnsi="Verdana"/>
          <w:sz w:val="16"/>
          <w:lang w:val="pt-BR"/>
        </w:rPr>
        <w:t xml:space="preserve">por </w:t>
      </w:r>
      <w:r w:rsidR="0089298C" w:rsidRPr="002F50BD">
        <w:rPr>
          <w:rFonts w:ascii="Verdana" w:hAnsi="Verdana"/>
          <w:sz w:val="16"/>
          <w:lang w:val="pt-BR"/>
        </w:rPr>
        <w:t xml:space="preserve">meio das </w:t>
      </w:r>
      <w:r w:rsidRPr="002F50BD">
        <w:rPr>
          <w:rFonts w:ascii="Verdana" w:hAnsi="Verdana"/>
          <w:sz w:val="16"/>
          <w:lang w:val="pt-BR"/>
        </w:rPr>
        <w:t>autoridades competentes</w:t>
      </w:r>
      <w:r w:rsidR="00CA5630" w:rsidRPr="002F50BD">
        <w:rPr>
          <w:rFonts w:ascii="Verdana" w:hAnsi="Verdana"/>
          <w:sz w:val="16"/>
          <w:lang w:val="pt-BR"/>
        </w:rPr>
        <w:t>,</w:t>
      </w:r>
      <w:r w:rsidR="0089298C" w:rsidRPr="002F50BD">
        <w:rPr>
          <w:rFonts w:ascii="Verdana" w:hAnsi="Verdana"/>
          <w:sz w:val="16"/>
          <w:lang w:val="pt-BR"/>
        </w:rPr>
        <w:t xml:space="preserve"> a restituição das terra</w:t>
      </w:r>
      <w:r w:rsidRPr="002F50BD">
        <w:rPr>
          <w:rFonts w:ascii="Verdana" w:hAnsi="Verdana"/>
          <w:sz w:val="16"/>
          <w:lang w:val="pt-BR"/>
        </w:rPr>
        <w:t>s</w:t>
      </w:r>
      <w:r w:rsidR="0089298C" w:rsidRPr="002F50BD">
        <w:rPr>
          <w:rFonts w:ascii="Verdana" w:hAnsi="Verdana"/>
          <w:sz w:val="16"/>
          <w:lang w:val="pt-BR"/>
        </w:rPr>
        <w:t xml:space="preserve"> da </w:t>
      </w:r>
      <w:r w:rsidRPr="002F50BD">
        <w:rPr>
          <w:rFonts w:ascii="Verdana" w:hAnsi="Verdana"/>
          <w:sz w:val="16"/>
          <w:lang w:val="pt-BR"/>
        </w:rPr>
        <w:t>[C]om</w:t>
      </w:r>
      <w:r w:rsidR="00754117" w:rsidRPr="002F50BD">
        <w:rPr>
          <w:rFonts w:ascii="Verdana" w:hAnsi="Verdana"/>
          <w:sz w:val="16"/>
          <w:lang w:val="pt-BR"/>
        </w:rPr>
        <w:t>u</w:t>
      </w:r>
      <w:r w:rsidR="0089298C" w:rsidRPr="002F50BD">
        <w:rPr>
          <w:rFonts w:ascii="Verdana" w:hAnsi="Verdana"/>
          <w:sz w:val="16"/>
          <w:lang w:val="pt-BR"/>
        </w:rPr>
        <w:t>nidade peticionári</w:t>
      </w:r>
      <w:r w:rsidRPr="002F50BD">
        <w:rPr>
          <w:rFonts w:ascii="Verdana" w:hAnsi="Verdana"/>
          <w:sz w:val="16"/>
          <w:lang w:val="pt-BR"/>
        </w:rPr>
        <w:t xml:space="preserve">a, dentro </w:t>
      </w:r>
      <w:r w:rsidR="0089298C" w:rsidRPr="002F50BD">
        <w:rPr>
          <w:rFonts w:ascii="Verdana" w:hAnsi="Verdana"/>
          <w:sz w:val="16"/>
          <w:lang w:val="pt-BR"/>
        </w:rPr>
        <w:t>do território</w:t>
      </w:r>
      <w:r w:rsidRPr="002F50BD">
        <w:rPr>
          <w:rFonts w:ascii="Verdana" w:hAnsi="Verdana"/>
          <w:sz w:val="16"/>
          <w:lang w:val="pt-BR"/>
        </w:rPr>
        <w:t xml:space="preserve"> ancestral</w:t>
      </w:r>
      <w:r w:rsidR="0089298C" w:rsidRPr="002F50BD">
        <w:rPr>
          <w:rFonts w:ascii="Verdana" w:hAnsi="Verdana"/>
          <w:sz w:val="16"/>
          <w:lang w:val="pt-BR"/>
        </w:rPr>
        <w:t xml:space="preserve"> da </w:t>
      </w:r>
      <w:r w:rsidRPr="002F50BD">
        <w:rPr>
          <w:rFonts w:ascii="Verdana" w:hAnsi="Verdana"/>
          <w:sz w:val="16"/>
          <w:lang w:val="pt-BR"/>
        </w:rPr>
        <w:t>[C]omu</w:t>
      </w:r>
      <w:r w:rsidR="00AB454A" w:rsidRPr="002F50BD">
        <w:rPr>
          <w:rFonts w:ascii="Verdana" w:hAnsi="Verdana"/>
          <w:sz w:val="16"/>
          <w:lang w:val="pt-BR"/>
        </w:rPr>
        <w:t xml:space="preserve">nidade, </w:t>
      </w:r>
      <w:r w:rsidR="0089298C" w:rsidRPr="002F50BD">
        <w:rPr>
          <w:rFonts w:ascii="Verdana" w:hAnsi="Verdana"/>
          <w:sz w:val="16"/>
          <w:lang w:val="pt-BR"/>
        </w:rPr>
        <w:t xml:space="preserve">na quantidade </w:t>
      </w:r>
      <w:r w:rsidRPr="002F50BD">
        <w:rPr>
          <w:rFonts w:ascii="Verdana" w:hAnsi="Verdana"/>
          <w:sz w:val="16"/>
          <w:lang w:val="pt-BR"/>
        </w:rPr>
        <w:t>autorizada</w:t>
      </w:r>
      <w:r w:rsidR="0089298C" w:rsidRPr="002F50BD">
        <w:rPr>
          <w:rFonts w:ascii="Verdana" w:hAnsi="Verdana"/>
          <w:sz w:val="16"/>
          <w:lang w:val="pt-BR"/>
        </w:rPr>
        <w:t xml:space="preserve"> pela </w:t>
      </w:r>
      <w:r w:rsidRPr="002F50BD">
        <w:rPr>
          <w:rFonts w:ascii="Verdana" w:hAnsi="Verdana"/>
          <w:sz w:val="16"/>
          <w:lang w:val="pt-BR"/>
        </w:rPr>
        <w:t>legisla</w:t>
      </w:r>
      <w:r w:rsidR="0089298C" w:rsidRPr="002F50BD">
        <w:rPr>
          <w:rFonts w:ascii="Verdana" w:hAnsi="Verdana"/>
          <w:sz w:val="16"/>
          <w:lang w:val="pt-BR"/>
        </w:rPr>
        <w:t>ção</w:t>
      </w:r>
      <w:r w:rsidRPr="002F50BD">
        <w:rPr>
          <w:rFonts w:ascii="Verdana" w:hAnsi="Verdana"/>
          <w:sz w:val="16"/>
          <w:lang w:val="pt-BR"/>
        </w:rPr>
        <w:t xml:space="preserve"> vigente,</w:t>
      </w:r>
      <w:r w:rsidR="0089298C" w:rsidRPr="002F50BD">
        <w:rPr>
          <w:rFonts w:ascii="Verdana" w:hAnsi="Verdana"/>
          <w:sz w:val="16"/>
          <w:lang w:val="pt-BR"/>
        </w:rPr>
        <w:t xml:space="preserve"> </w:t>
      </w:r>
      <w:r w:rsidR="00CA5630" w:rsidRPr="002F50BD">
        <w:rPr>
          <w:rFonts w:ascii="Verdana" w:hAnsi="Verdana"/>
          <w:sz w:val="16"/>
          <w:lang w:val="pt-BR"/>
        </w:rPr>
        <w:t>isto é</w:t>
      </w:r>
      <w:r w:rsidRPr="002F50BD">
        <w:rPr>
          <w:rFonts w:ascii="Verdana" w:hAnsi="Verdana"/>
          <w:sz w:val="16"/>
          <w:lang w:val="pt-BR"/>
        </w:rPr>
        <w:t xml:space="preserve">, </w:t>
      </w:r>
      <w:r w:rsidR="00063B47" w:rsidRPr="002F50BD">
        <w:rPr>
          <w:rFonts w:ascii="Verdana" w:hAnsi="Verdana"/>
          <w:sz w:val="16"/>
          <w:lang w:val="pt-BR"/>
        </w:rPr>
        <w:t>100</w:t>
      </w:r>
      <w:r w:rsidRPr="002F50BD">
        <w:rPr>
          <w:rFonts w:ascii="Verdana" w:hAnsi="Verdana"/>
          <w:sz w:val="16"/>
          <w:lang w:val="pt-BR"/>
        </w:rPr>
        <w:t xml:space="preserve"> </w:t>
      </w:r>
      <w:r w:rsidR="00E10DBB" w:rsidRPr="002F50BD">
        <w:rPr>
          <w:rFonts w:ascii="Verdana" w:hAnsi="Verdana"/>
          <w:sz w:val="16"/>
          <w:lang w:val="pt-BR"/>
        </w:rPr>
        <w:t>hectares</w:t>
      </w:r>
      <w:r w:rsidRPr="002F50BD">
        <w:rPr>
          <w:rFonts w:ascii="Verdana" w:hAnsi="Verdana"/>
          <w:sz w:val="16"/>
          <w:lang w:val="pt-BR"/>
        </w:rPr>
        <w:t xml:space="preserve"> por</w:t>
      </w:r>
      <w:r w:rsidR="0089298C" w:rsidRPr="002F50BD">
        <w:rPr>
          <w:rFonts w:ascii="Verdana" w:hAnsi="Verdana"/>
          <w:sz w:val="16"/>
          <w:lang w:val="pt-BR"/>
        </w:rPr>
        <w:t xml:space="preserve"> família,</w:t>
      </w:r>
      <w:r w:rsidRPr="002F50BD">
        <w:rPr>
          <w:rFonts w:ascii="Verdana" w:hAnsi="Verdana"/>
          <w:sz w:val="16"/>
          <w:lang w:val="pt-BR"/>
        </w:rPr>
        <w:t xml:space="preserve"> para o </w:t>
      </w:r>
      <w:r w:rsidR="0089298C" w:rsidRPr="002F50BD">
        <w:rPr>
          <w:rFonts w:ascii="Verdana" w:hAnsi="Verdana"/>
          <w:sz w:val="16"/>
          <w:lang w:val="pt-BR"/>
        </w:rPr>
        <w:t>qu</w:t>
      </w:r>
      <w:r w:rsidR="00CA5630" w:rsidRPr="002F50BD">
        <w:rPr>
          <w:rFonts w:ascii="Verdana" w:hAnsi="Verdana"/>
          <w:sz w:val="16"/>
          <w:lang w:val="pt-BR"/>
        </w:rPr>
        <w:t>e</w:t>
      </w:r>
      <w:r w:rsidR="0089298C" w:rsidRPr="002F50BD">
        <w:rPr>
          <w:rFonts w:ascii="Verdana" w:hAnsi="Verdana"/>
          <w:sz w:val="16"/>
          <w:lang w:val="pt-BR"/>
        </w:rPr>
        <w:t xml:space="preserve"> </w:t>
      </w:r>
      <w:r w:rsidRPr="002F50BD">
        <w:rPr>
          <w:rFonts w:ascii="Verdana" w:hAnsi="Verdana"/>
          <w:sz w:val="16"/>
          <w:lang w:val="pt-BR"/>
        </w:rPr>
        <w:t xml:space="preserve">comprometerá recursos </w:t>
      </w:r>
      <w:r w:rsidR="0089298C" w:rsidRPr="002F50BD">
        <w:rPr>
          <w:rFonts w:ascii="Verdana" w:hAnsi="Verdana"/>
          <w:sz w:val="16"/>
          <w:lang w:val="pt-BR"/>
        </w:rPr>
        <w:t>financeiro</w:t>
      </w:r>
      <w:r w:rsidRPr="002F50BD">
        <w:rPr>
          <w:rFonts w:ascii="Verdana" w:hAnsi="Verdana"/>
          <w:sz w:val="16"/>
          <w:lang w:val="pt-BR"/>
        </w:rPr>
        <w:t>s que</w:t>
      </w:r>
      <w:r w:rsidR="0089298C" w:rsidRPr="002F50BD">
        <w:rPr>
          <w:rFonts w:ascii="Verdana" w:hAnsi="Verdana"/>
          <w:sz w:val="16"/>
          <w:lang w:val="pt-BR"/>
        </w:rPr>
        <w:t xml:space="preserve"> já </w:t>
      </w:r>
      <w:r w:rsidR="00CA5630" w:rsidRPr="002F50BD">
        <w:rPr>
          <w:rFonts w:ascii="Verdana" w:hAnsi="Verdana"/>
          <w:sz w:val="16"/>
          <w:lang w:val="pt-BR"/>
        </w:rPr>
        <w:t xml:space="preserve">foram </w:t>
      </w:r>
      <w:r w:rsidRPr="002F50BD">
        <w:rPr>
          <w:rFonts w:ascii="Verdana" w:hAnsi="Verdana"/>
          <w:sz w:val="16"/>
          <w:lang w:val="pt-BR"/>
        </w:rPr>
        <w:t>solicitado</w:t>
      </w:r>
      <w:r w:rsidR="00CA5630" w:rsidRPr="002F50BD">
        <w:rPr>
          <w:rFonts w:ascii="Verdana" w:hAnsi="Verdana"/>
          <w:sz w:val="16"/>
          <w:lang w:val="pt-BR"/>
        </w:rPr>
        <w:t>s</w:t>
      </w:r>
      <w:r w:rsidR="0089298C" w:rsidRPr="002F50BD">
        <w:rPr>
          <w:rFonts w:ascii="Verdana" w:hAnsi="Verdana"/>
          <w:sz w:val="16"/>
          <w:lang w:val="pt-BR"/>
        </w:rPr>
        <w:t xml:space="preserve"> ao Congresso da </w:t>
      </w:r>
      <w:r w:rsidRPr="002F50BD">
        <w:rPr>
          <w:rFonts w:ascii="Verdana" w:hAnsi="Verdana"/>
          <w:sz w:val="16"/>
          <w:lang w:val="pt-BR"/>
        </w:rPr>
        <w:t>Na</w:t>
      </w:r>
      <w:r w:rsidR="0089298C" w:rsidRPr="002F50BD">
        <w:rPr>
          <w:rFonts w:ascii="Verdana" w:hAnsi="Verdana"/>
          <w:sz w:val="16"/>
          <w:lang w:val="pt-BR"/>
        </w:rPr>
        <w:t>ção</w:t>
      </w:r>
      <w:r w:rsidRPr="002F50BD">
        <w:rPr>
          <w:rFonts w:ascii="Verdana" w:hAnsi="Verdana"/>
          <w:sz w:val="16"/>
          <w:lang w:val="pt-BR"/>
        </w:rPr>
        <w:t xml:space="preserve"> […].</w:t>
      </w:r>
    </w:p>
    <w:p w:rsidR="004756C1" w:rsidRPr="002F50BD" w:rsidRDefault="0089298C">
      <w:pPr>
        <w:ind w:left="720" w:right="720"/>
        <w:jc w:val="both"/>
        <w:rPr>
          <w:rFonts w:ascii="Verdana" w:hAnsi="Verdana"/>
          <w:sz w:val="16"/>
          <w:lang w:val="pt-BR"/>
        </w:rPr>
      </w:pPr>
      <w:r w:rsidRPr="002F50BD">
        <w:rPr>
          <w:rFonts w:ascii="Verdana" w:hAnsi="Verdana"/>
          <w:sz w:val="16"/>
          <w:lang w:val="pt-BR"/>
        </w:rPr>
        <w:cr/>
        <w:t>O imóvel</w:t>
      </w:r>
      <w:r w:rsidR="004756C1" w:rsidRPr="002F50BD">
        <w:rPr>
          <w:rFonts w:ascii="Verdana" w:hAnsi="Verdana"/>
          <w:sz w:val="16"/>
          <w:lang w:val="pt-BR"/>
        </w:rPr>
        <w:t xml:space="preserve"> a ser entreg</w:t>
      </w:r>
      <w:r w:rsidR="00CA5630" w:rsidRPr="002F50BD">
        <w:rPr>
          <w:rFonts w:ascii="Verdana" w:hAnsi="Verdana"/>
          <w:sz w:val="16"/>
          <w:lang w:val="pt-BR"/>
        </w:rPr>
        <w:t>ue</w:t>
      </w:r>
      <w:r w:rsidRPr="002F50BD">
        <w:rPr>
          <w:rFonts w:ascii="Verdana" w:hAnsi="Verdana"/>
          <w:sz w:val="16"/>
          <w:lang w:val="pt-BR"/>
        </w:rPr>
        <w:t xml:space="preserve"> à </w:t>
      </w:r>
      <w:r w:rsidR="004756C1" w:rsidRPr="002F50BD">
        <w:rPr>
          <w:rFonts w:ascii="Verdana" w:hAnsi="Verdana"/>
          <w:sz w:val="16"/>
          <w:lang w:val="pt-BR"/>
        </w:rPr>
        <w:t>[C]om</w:t>
      </w:r>
      <w:r w:rsidR="00754117" w:rsidRPr="002F50BD">
        <w:rPr>
          <w:rFonts w:ascii="Verdana" w:hAnsi="Verdana"/>
          <w:sz w:val="16"/>
          <w:lang w:val="pt-BR"/>
        </w:rPr>
        <w:t>u</w:t>
      </w:r>
      <w:r w:rsidRPr="002F50BD">
        <w:rPr>
          <w:rFonts w:ascii="Verdana" w:hAnsi="Verdana"/>
          <w:sz w:val="16"/>
          <w:lang w:val="pt-BR"/>
        </w:rPr>
        <w:t xml:space="preserve">nidade </w:t>
      </w:r>
      <w:r w:rsidR="004756C1" w:rsidRPr="002F50BD">
        <w:rPr>
          <w:rFonts w:ascii="Verdana" w:hAnsi="Verdana"/>
          <w:sz w:val="16"/>
          <w:lang w:val="pt-BR"/>
        </w:rPr>
        <w:t>será adquirido</w:t>
      </w:r>
      <w:r w:rsidRPr="002F50BD">
        <w:rPr>
          <w:rFonts w:ascii="Verdana" w:hAnsi="Verdana"/>
          <w:sz w:val="16"/>
          <w:lang w:val="pt-BR"/>
        </w:rPr>
        <w:t xml:space="preserve"> pelo </w:t>
      </w:r>
      <w:r w:rsidR="004756C1" w:rsidRPr="002F50BD">
        <w:rPr>
          <w:rFonts w:ascii="Verdana" w:hAnsi="Verdana"/>
          <w:sz w:val="16"/>
          <w:lang w:val="pt-BR"/>
        </w:rPr>
        <w:t>Estado</w:t>
      </w:r>
      <w:r w:rsidRPr="002F50BD">
        <w:rPr>
          <w:rFonts w:ascii="Verdana" w:hAnsi="Verdana"/>
          <w:sz w:val="16"/>
          <w:lang w:val="pt-BR"/>
        </w:rPr>
        <w:t xml:space="preserve"> na </w:t>
      </w:r>
      <w:r w:rsidR="004756C1" w:rsidRPr="002F50BD">
        <w:rPr>
          <w:rFonts w:ascii="Verdana" w:hAnsi="Verdana"/>
          <w:sz w:val="16"/>
          <w:lang w:val="pt-BR"/>
        </w:rPr>
        <w:t>forma</w:t>
      </w:r>
      <w:r w:rsidRPr="002F50BD">
        <w:rPr>
          <w:rFonts w:ascii="Verdana" w:hAnsi="Verdana"/>
          <w:sz w:val="16"/>
          <w:lang w:val="pt-BR"/>
        </w:rPr>
        <w:t xml:space="preserve"> e </w:t>
      </w:r>
      <w:r w:rsidR="00CA5630" w:rsidRPr="002F50BD">
        <w:rPr>
          <w:rFonts w:ascii="Verdana" w:hAnsi="Verdana"/>
          <w:sz w:val="16"/>
          <w:lang w:val="pt-BR"/>
        </w:rPr>
        <w:t xml:space="preserve">nas </w:t>
      </w:r>
      <w:r w:rsidR="004756C1" w:rsidRPr="002F50BD">
        <w:rPr>
          <w:rFonts w:ascii="Verdana" w:hAnsi="Verdana"/>
          <w:sz w:val="16"/>
          <w:lang w:val="pt-BR"/>
        </w:rPr>
        <w:t>condi</w:t>
      </w:r>
      <w:r w:rsidRPr="002F50BD">
        <w:rPr>
          <w:rFonts w:ascii="Verdana" w:hAnsi="Verdana"/>
          <w:sz w:val="16"/>
          <w:lang w:val="pt-BR"/>
        </w:rPr>
        <w:t>ções</w:t>
      </w:r>
      <w:r w:rsidR="004756C1" w:rsidRPr="002F50BD">
        <w:rPr>
          <w:rFonts w:ascii="Verdana" w:hAnsi="Verdana"/>
          <w:sz w:val="16"/>
          <w:lang w:val="pt-BR"/>
        </w:rPr>
        <w:t xml:space="preserve"> </w:t>
      </w:r>
      <w:r w:rsidR="00CA5630" w:rsidRPr="002F50BD">
        <w:rPr>
          <w:rFonts w:ascii="Verdana" w:hAnsi="Verdana"/>
          <w:sz w:val="16"/>
          <w:lang w:val="pt-BR"/>
        </w:rPr>
        <w:t>permitidas pel</w:t>
      </w:r>
      <w:r w:rsidRPr="002F50BD">
        <w:rPr>
          <w:rFonts w:ascii="Verdana" w:hAnsi="Verdana"/>
          <w:sz w:val="16"/>
          <w:lang w:val="pt-BR"/>
        </w:rPr>
        <w:t xml:space="preserve">a </w:t>
      </w:r>
      <w:r w:rsidR="004756C1" w:rsidRPr="002F50BD">
        <w:rPr>
          <w:rFonts w:ascii="Verdana" w:hAnsi="Verdana"/>
          <w:sz w:val="16"/>
          <w:lang w:val="pt-BR"/>
        </w:rPr>
        <w:t>legisla</w:t>
      </w:r>
      <w:r w:rsidRPr="002F50BD">
        <w:rPr>
          <w:rFonts w:ascii="Verdana" w:hAnsi="Verdana"/>
          <w:sz w:val="16"/>
          <w:lang w:val="pt-BR"/>
        </w:rPr>
        <w:t>ção</w:t>
      </w:r>
      <w:r w:rsidR="004756C1" w:rsidRPr="002F50BD">
        <w:rPr>
          <w:rFonts w:ascii="Verdana" w:hAnsi="Verdana"/>
          <w:sz w:val="16"/>
          <w:lang w:val="pt-BR"/>
        </w:rPr>
        <w:t xml:space="preserve"> vigente,</w:t>
      </w:r>
      <w:r w:rsidRPr="002F50BD">
        <w:rPr>
          <w:rFonts w:ascii="Verdana" w:hAnsi="Verdana"/>
          <w:sz w:val="16"/>
          <w:lang w:val="pt-BR"/>
        </w:rPr>
        <w:t xml:space="preserve"> sem afeta</w:t>
      </w:r>
      <w:r w:rsidR="004756C1" w:rsidRPr="002F50BD">
        <w:rPr>
          <w:rFonts w:ascii="Verdana" w:hAnsi="Verdana"/>
          <w:sz w:val="16"/>
          <w:lang w:val="pt-BR"/>
        </w:rPr>
        <w:t xml:space="preserve">r </w:t>
      </w:r>
      <w:r w:rsidR="00CA5630" w:rsidRPr="002F50BD">
        <w:rPr>
          <w:rFonts w:ascii="Verdana" w:hAnsi="Verdana"/>
          <w:sz w:val="16"/>
          <w:lang w:val="pt-BR"/>
        </w:rPr>
        <w:t xml:space="preserve">os </w:t>
      </w:r>
      <w:r w:rsidRPr="002F50BD">
        <w:rPr>
          <w:rFonts w:ascii="Verdana" w:hAnsi="Verdana"/>
          <w:sz w:val="16"/>
          <w:lang w:val="pt-BR"/>
        </w:rPr>
        <w:t>direito</w:t>
      </w:r>
      <w:r w:rsidR="004756C1" w:rsidRPr="002F50BD">
        <w:rPr>
          <w:rFonts w:ascii="Verdana" w:hAnsi="Verdana"/>
          <w:sz w:val="16"/>
          <w:lang w:val="pt-BR"/>
        </w:rPr>
        <w:t xml:space="preserve">s de </w:t>
      </w:r>
      <w:r w:rsidRPr="002F50BD">
        <w:rPr>
          <w:rFonts w:ascii="Verdana" w:hAnsi="Verdana"/>
          <w:sz w:val="16"/>
          <w:lang w:val="pt-BR"/>
        </w:rPr>
        <w:t>terceiro</w:t>
      </w:r>
      <w:r w:rsidR="004756C1" w:rsidRPr="002F50BD">
        <w:rPr>
          <w:rFonts w:ascii="Verdana" w:hAnsi="Verdana"/>
          <w:sz w:val="16"/>
          <w:lang w:val="pt-BR"/>
        </w:rPr>
        <w:t>s igualmente protegidos por esta</w:t>
      </w:r>
      <w:r w:rsidRPr="002F50BD">
        <w:rPr>
          <w:rFonts w:ascii="Verdana" w:hAnsi="Verdana"/>
          <w:sz w:val="16"/>
          <w:lang w:val="pt-BR"/>
        </w:rPr>
        <w:t xml:space="preserve">, e </w:t>
      </w:r>
      <w:r w:rsidR="00FB7C9C" w:rsidRPr="002F50BD">
        <w:rPr>
          <w:rFonts w:ascii="Verdana" w:hAnsi="Verdana"/>
          <w:sz w:val="16"/>
          <w:lang w:val="pt-BR"/>
        </w:rPr>
        <w:t>pel</w:t>
      </w:r>
      <w:r w:rsidRPr="002F50BD">
        <w:rPr>
          <w:rFonts w:ascii="Verdana" w:hAnsi="Verdana"/>
          <w:sz w:val="16"/>
          <w:lang w:val="pt-BR"/>
        </w:rPr>
        <w:t xml:space="preserve">a </w:t>
      </w:r>
      <w:r w:rsidR="004756C1" w:rsidRPr="002F50BD">
        <w:rPr>
          <w:rFonts w:ascii="Verdana" w:hAnsi="Verdana"/>
          <w:sz w:val="16"/>
          <w:lang w:val="pt-BR"/>
        </w:rPr>
        <w:t>Conven</w:t>
      </w:r>
      <w:r w:rsidRPr="002F50BD">
        <w:rPr>
          <w:rFonts w:ascii="Verdana" w:hAnsi="Verdana"/>
          <w:sz w:val="16"/>
          <w:lang w:val="pt-BR"/>
        </w:rPr>
        <w:t>ção</w:t>
      </w:r>
      <w:r w:rsidR="004756C1" w:rsidRPr="002F50BD">
        <w:rPr>
          <w:rFonts w:ascii="Verdana" w:hAnsi="Verdana"/>
          <w:sz w:val="16"/>
          <w:lang w:val="pt-BR"/>
        </w:rPr>
        <w:t xml:space="preserve"> Americana,</w:t>
      </w:r>
      <w:r w:rsidRPr="002F50BD">
        <w:rPr>
          <w:rFonts w:ascii="Verdana" w:hAnsi="Verdana"/>
          <w:sz w:val="16"/>
          <w:lang w:val="pt-BR"/>
        </w:rPr>
        <w:t xml:space="preserve"> </w:t>
      </w:r>
      <w:r w:rsidR="00CA5630" w:rsidRPr="002F50BD">
        <w:rPr>
          <w:rFonts w:ascii="Verdana" w:hAnsi="Verdana"/>
          <w:sz w:val="16"/>
          <w:lang w:val="pt-BR"/>
        </w:rPr>
        <w:t xml:space="preserve">de modo </w:t>
      </w:r>
      <w:r w:rsidRPr="002F50BD">
        <w:rPr>
          <w:rFonts w:ascii="Verdana" w:hAnsi="Verdana"/>
          <w:sz w:val="16"/>
          <w:lang w:val="pt-BR"/>
        </w:rPr>
        <w:t xml:space="preserve">que </w:t>
      </w:r>
      <w:r w:rsidR="004756C1" w:rsidRPr="002F50BD">
        <w:rPr>
          <w:rFonts w:ascii="Verdana" w:hAnsi="Verdana"/>
          <w:sz w:val="16"/>
          <w:lang w:val="pt-BR"/>
        </w:rPr>
        <w:t>n</w:t>
      </w:r>
      <w:r w:rsidR="00CA5630" w:rsidRPr="002F50BD">
        <w:rPr>
          <w:rFonts w:ascii="Verdana" w:hAnsi="Verdana"/>
          <w:sz w:val="16"/>
          <w:lang w:val="pt-BR"/>
        </w:rPr>
        <w:t xml:space="preserve">ão </w:t>
      </w:r>
      <w:r w:rsidR="00FB7C9C" w:rsidRPr="002F50BD">
        <w:rPr>
          <w:rFonts w:ascii="Verdana" w:hAnsi="Verdana"/>
          <w:sz w:val="16"/>
          <w:lang w:val="pt-BR"/>
        </w:rPr>
        <w:t xml:space="preserve">implique em </w:t>
      </w:r>
      <w:r w:rsidRPr="002F50BD">
        <w:rPr>
          <w:rFonts w:ascii="Verdana" w:hAnsi="Verdana"/>
          <w:sz w:val="16"/>
          <w:lang w:val="pt-BR"/>
        </w:rPr>
        <w:t xml:space="preserve">nenhum </w:t>
      </w:r>
      <w:r w:rsidR="004756C1" w:rsidRPr="002F50BD">
        <w:rPr>
          <w:rFonts w:ascii="Verdana" w:hAnsi="Verdana"/>
          <w:sz w:val="16"/>
          <w:lang w:val="pt-BR"/>
        </w:rPr>
        <w:t>tipo de confisc</w:t>
      </w:r>
      <w:r w:rsidRPr="002F50BD">
        <w:rPr>
          <w:rFonts w:ascii="Verdana" w:hAnsi="Verdana"/>
          <w:sz w:val="16"/>
          <w:lang w:val="pt-BR"/>
        </w:rPr>
        <w:t xml:space="preserve">o </w:t>
      </w:r>
      <w:r w:rsidR="00CA5630" w:rsidRPr="002F50BD">
        <w:rPr>
          <w:rFonts w:ascii="Verdana" w:hAnsi="Verdana"/>
          <w:sz w:val="16"/>
          <w:lang w:val="pt-BR"/>
        </w:rPr>
        <w:t xml:space="preserve">ou </w:t>
      </w:r>
      <w:r w:rsidR="00DB51F0" w:rsidRPr="002F50BD">
        <w:rPr>
          <w:rFonts w:ascii="Verdana" w:hAnsi="Verdana"/>
          <w:sz w:val="16"/>
          <w:lang w:val="pt-BR"/>
        </w:rPr>
        <w:t>expropriação</w:t>
      </w:r>
      <w:r w:rsidR="004756C1" w:rsidRPr="002F50BD">
        <w:rPr>
          <w:rFonts w:ascii="Verdana" w:hAnsi="Verdana"/>
          <w:sz w:val="16"/>
          <w:lang w:val="pt-BR"/>
        </w:rPr>
        <w:t xml:space="preserve"> ilegítima […].</w:t>
      </w:r>
    </w:p>
    <w:p w:rsidR="00CA5630" w:rsidRPr="002F50BD" w:rsidRDefault="00CA5630" w:rsidP="00CA5630">
      <w:pPr>
        <w:jc w:val="both"/>
        <w:rPr>
          <w:rFonts w:ascii="Verdana" w:hAnsi="Verdana"/>
          <w:sz w:val="20"/>
          <w:lang w:val="pt-BR"/>
        </w:rPr>
      </w:pPr>
    </w:p>
    <w:p w:rsidR="004756C1" w:rsidRPr="002F50BD" w:rsidRDefault="0089298C">
      <w:pPr>
        <w:numPr>
          <w:ilvl w:val="0"/>
          <w:numId w:val="32"/>
        </w:numPr>
        <w:jc w:val="both"/>
        <w:rPr>
          <w:rFonts w:ascii="Verdana" w:hAnsi="Verdana"/>
          <w:sz w:val="20"/>
        </w:rPr>
      </w:pPr>
      <w:r w:rsidRPr="002F50BD">
        <w:rPr>
          <w:rFonts w:ascii="Verdana" w:hAnsi="Verdana"/>
          <w:sz w:val="20"/>
        </w:rPr>
        <w:t xml:space="preserve">O </w:t>
      </w:r>
      <w:r w:rsidR="004756C1" w:rsidRPr="002F50BD">
        <w:rPr>
          <w:rFonts w:ascii="Verdana" w:hAnsi="Verdana"/>
          <w:sz w:val="20"/>
        </w:rPr>
        <w:t xml:space="preserve">Estado </w:t>
      </w:r>
      <w:r w:rsidR="00AB454A" w:rsidRPr="002F50BD">
        <w:rPr>
          <w:rFonts w:ascii="Verdana" w:hAnsi="Verdana"/>
          <w:sz w:val="20"/>
        </w:rPr>
        <w:t>acrescentou</w:t>
      </w:r>
      <w:r w:rsidR="004756C1" w:rsidRPr="002F50BD">
        <w:rPr>
          <w:rFonts w:ascii="Verdana" w:hAnsi="Verdana"/>
          <w:sz w:val="20"/>
        </w:rPr>
        <w:t xml:space="preserve"> que</w:t>
      </w:r>
    </w:p>
    <w:p w:rsidR="004756C1" w:rsidRPr="002F50BD" w:rsidRDefault="004756C1">
      <w:pPr>
        <w:jc w:val="both"/>
        <w:rPr>
          <w:rFonts w:ascii="Verdana" w:hAnsi="Verdana"/>
          <w:sz w:val="20"/>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 xml:space="preserve">ratifica </w:t>
      </w:r>
      <w:r w:rsidR="0089298C" w:rsidRPr="002F50BD">
        <w:rPr>
          <w:rFonts w:ascii="Verdana" w:hAnsi="Verdana"/>
          <w:sz w:val="16"/>
          <w:lang w:val="pt-BR"/>
        </w:rPr>
        <w:t>sua disposição</w:t>
      </w:r>
      <w:r w:rsidRPr="002F50BD">
        <w:rPr>
          <w:rFonts w:ascii="Verdana" w:hAnsi="Verdana"/>
          <w:sz w:val="16"/>
          <w:lang w:val="pt-BR"/>
        </w:rPr>
        <w:t xml:space="preserve"> de entregar </w:t>
      </w:r>
      <w:r w:rsidR="00CA5630" w:rsidRPr="002F50BD">
        <w:rPr>
          <w:rFonts w:ascii="Verdana" w:hAnsi="Verdana"/>
          <w:sz w:val="16"/>
          <w:lang w:val="pt-BR"/>
        </w:rPr>
        <w:t xml:space="preserve">gratuitamente </w:t>
      </w:r>
      <w:r w:rsidR="0089298C" w:rsidRPr="002F50BD">
        <w:rPr>
          <w:rFonts w:ascii="Verdana" w:hAnsi="Verdana"/>
          <w:sz w:val="16"/>
          <w:lang w:val="pt-BR"/>
        </w:rPr>
        <w:t xml:space="preserve">à Comunidade </w:t>
      </w:r>
      <w:r w:rsidRPr="002F50BD">
        <w:rPr>
          <w:rFonts w:ascii="Verdana" w:hAnsi="Verdana"/>
          <w:sz w:val="16"/>
          <w:lang w:val="pt-BR"/>
        </w:rPr>
        <w:t>Yakye Axa, tal</w:t>
      </w:r>
      <w:r w:rsidR="0089298C" w:rsidRPr="002F50BD">
        <w:rPr>
          <w:rFonts w:ascii="Verdana" w:hAnsi="Verdana"/>
          <w:sz w:val="16"/>
          <w:lang w:val="pt-BR"/>
        </w:rPr>
        <w:t xml:space="preserve"> </w:t>
      </w:r>
      <w:r w:rsidRPr="002F50BD">
        <w:rPr>
          <w:rFonts w:ascii="Verdana" w:hAnsi="Verdana"/>
          <w:sz w:val="16"/>
          <w:lang w:val="pt-BR"/>
        </w:rPr>
        <w:t xml:space="preserve">como </w:t>
      </w:r>
      <w:r w:rsidR="0089298C" w:rsidRPr="002F50BD">
        <w:rPr>
          <w:rFonts w:ascii="Verdana" w:hAnsi="Verdana"/>
          <w:sz w:val="16"/>
          <w:lang w:val="pt-BR"/>
        </w:rPr>
        <w:t>dispõe a Constituição</w:t>
      </w:r>
      <w:r w:rsidRPr="002F50BD">
        <w:rPr>
          <w:rFonts w:ascii="Verdana" w:hAnsi="Verdana"/>
          <w:sz w:val="16"/>
          <w:lang w:val="pt-BR"/>
        </w:rPr>
        <w:t xml:space="preserve"> Nacional</w:t>
      </w:r>
      <w:r w:rsidR="0089298C" w:rsidRPr="002F50BD">
        <w:rPr>
          <w:rFonts w:ascii="Verdana" w:hAnsi="Verdana"/>
          <w:sz w:val="16"/>
          <w:lang w:val="pt-BR"/>
        </w:rPr>
        <w:t xml:space="preserve"> e a </w:t>
      </w:r>
      <w:r w:rsidRPr="002F50BD">
        <w:rPr>
          <w:rFonts w:ascii="Verdana" w:hAnsi="Verdana"/>
          <w:sz w:val="16"/>
          <w:lang w:val="pt-BR"/>
        </w:rPr>
        <w:t>legisla</w:t>
      </w:r>
      <w:r w:rsidR="0089298C" w:rsidRPr="002F50BD">
        <w:rPr>
          <w:rFonts w:ascii="Verdana" w:hAnsi="Verdana"/>
          <w:sz w:val="16"/>
          <w:lang w:val="pt-BR"/>
        </w:rPr>
        <w:t>ção</w:t>
      </w:r>
      <w:r w:rsidRPr="002F50BD">
        <w:rPr>
          <w:rFonts w:ascii="Verdana" w:hAnsi="Verdana"/>
          <w:sz w:val="16"/>
          <w:lang w:val="pt-BR"/>
        </w:rPr>
        <w:t xml:space="preserve"> vigente,</w:t>
      </w:r>
      <w:r w:rsidR="0089298C" w:rsidRPr="002F50BD">
        <w:rPr>
          <w:rFonts w:ascii="Verdana" w:hAnsi="Verdana"/>
          <w:sz w:val="16"/>
          <w:lang w:val="pt-BR"/>
        </w:rPr>
        <w:t xml:space="preserve"> a quantidade </w:t>
      </w:r>
      <w:r w:rsidRPr="002F50BD">
        <w:rPr>
          <w:rFonts w:ascii="Verdana" w:hAnsi="Verdana"/>
          <w:sz w:val="16"/>
          <w:lang w:val="pt-BR"/>
        </w:rPr>
        <w:t xml:space="preserve">de </w:t>
      </w:r>
      <w:r w:rsidR="00063B47" w:rsidRPr="002F50BD">
        <w:rPr>
          <w:rFonts w:ascii="Verdana" w:hAnsi="Verdana"/>
          <w:sz w:val="16"/>
          <w:lang w:val="pt-BR"/>
        </w:rPr>
        <w:t>7</w:t>
      </w:r>
      <w:r w:rsidRPr="002F50BD">
        <w:rPr>
          <w:rFonts w:ascii="Verdana" w:hAnsi="Verdana"/>
          <w:sz w:val="16"/>
          <w:lang w:val="pt-BR"/>
        </w:rPr>
        <w:t>.</w:t>
      </w:r>
      <w:r w:rsidR="00063B47" w:rsidRPr="002F50BD">
        <w:rPr>
          <w:rFonts w:ascii="Verdana" w:hAnsi="Verdana"/>
          <w:sz w:val="16"/>
          <w:lang w:val="pt-BR"/>
        </w:rPr>
        <w:t>901</w:t>
      </w:r>
      <w:r w:rsidRPr="002F50BD">
        <w:rPr>
          <w:rFonts w:ascii="Verdana" w:hAnsi="Verdana"/>
          <w:sz w:val="16"/>
          <w:lang w:val="pt-BR"/>
        </w:rPr>
        <w:t xml:space="preserve"> </w:t>
      </w:r>
      <w:r w:rsidR="00E10DBB" w:rsidRPr="002F50BD">
        <w:rPr>
          <w:rFonts w:ascii="Verdana" w:hAnsi="Verdana"/>
          <w:sz w:val="16"/>
          <w:lang w:val="pt-BR"/>
        </w:rPr>
        <w:t>hectares</w:t>
      </w:r>
      <w:r w:rsidRPr="002F50BD">
        <w:rPr>
          <w:rFonts w:ascii="Verdana" w:hAnsi="Verdana"/>
          <w:sz w:val="16"/>
          <w:lang w:val="pt-BR"/>
        </w:rPr>
        <w:t xml:space="preserve"> a favor</w:t>
      </w:r>
      <w:r w:rsidR="0089298C" w:rsidRPr="002F50BD">
        <w:rPr>
          <w:rFonts w:ascii="Verdana" w:hAnsi="Verdana"/>
          <w:sz w:val="16"/>
          <w:lang w:val="pt-BR"/>
        </w:rPr>
        <w:t xml:space="preserve"> da </w:t>
      </w:r>
      <w:r w:rsidRPr="002F50BD">
        <w:rPr>
          <w:rFonts w:ascii="Verdana" w:hAnsi="Verdana"/>
          <w:sz w:val="16"/>
          <w:lang w:val="pt-BR"/>
        </w:rPr>
        <w:t>citada [C]omu</w:t>
      </w:r>
      <w:r w:rsidR="00AB454A" w:rsidRPr="002F50BD">
        <w:rPr>
          <w:rFonts w:ascii="Verdana" w:hAnsi="Verdana"/>
          <w:sz w:val="16"/>
          <w:lang w:val="pt-BR"/>
        </w:rPr>
        <w:t xml:space="preserve">nidade, </w:t>
      </w:r>
      <w:r w:rsidRPr="002F50BD">
        <w:rPr>
          <w:rFonts w:ascii="Verdana" w:hAnsi="Verdana"/>
          <w:sz w:val="16"/>
          <w:lang w:val="pt-BR"/>
        </w:rPr>
        <w:t xml:space="preserve">dentro de </w:t>
      </w:r>
      <w:r w:rsidR="00AB454A" w:rsidRPr="002F50BD">
        <w:rPr>
          <w:rFonts w:ascii="Verdana" w:hAnsi="Verdana"/>
          <w:sz w:val="16"/>
          <w:lang w:val="pt-BR"/>
        </w:rPr>
        <w:t>seu território</w:t>
      </w:r>
      <w:r w:rsidRPr="002F50BD">
        <w:rPr>
          <w:rFonts w:ascii="Verdana" w:hAnsi="Verdana"/>
          <w:sz w:val="16"/>
          <w:lang w:val="pt-BR"/>
        </w:rPr>
        <w:t xml:space="preserve"> delimitado</w:t>
      </w:r>
      <w:r w:rsidR="0089298C" w:rsidRPr="002F50BD">
        <w:rPr>
          <w:rFonts w:ascii="Verdana" w:hAnsi="Verdana"/>
          <w:sz w:val="16"/>
          <w:lang w:val="pt-BR"/>
        </w:rPr>
        <w:t xml:space="preserve"> no </w:t>
      </w:r>
      <w:r w:rsidRPr="002F50BD">
        <w:rPr>
          <w:rFonts w:ascii="Verdana" w:hAnsi="Verdana"/>
          <w:sz w:val="16"/>
          <w:lang w:val="pt-BR"/>
        </w:rPr>
        <w:t xml:space="preserve">Chaco </w:t>
      </w:r>
      <w:r w:rsidR="0089298C" w:rsidRPr="002F50BD">
        <w:rPr>
          <w:rFonts w:ascii="Verdana" w:hAnsi="Verdana"/>
          <w:sz w:val="16"/>
          <w:lang w:val="pt-BR"/>
        </w:rPr>
        <w:t>Paraguai</w:t>
      </w:r>
      <w:r w:rsidRPr="002F50BD">
        <w:rPr>
          <w:rFonts w:ascii="Verdana" w:hAnsi="Verdana"/>
          <w:sz w:val="16"/>
          <w:lang w:val="pt-BR"/>
        </w:rPr>
        <w:t xml:space="preserve">o, </w:t>
      </w:r>
      <w:r w:rsidR="005A6BC7" w:rsidRPr="002F50BD">
        <w:rPr>
          <w:rFonts w:ascii="Verdana" w:hAnsi="Verdana"/>
          <w:sz w:val="16"/>
          <w:lang w:val="pt-BR"/>
        </w:rPr>
        <w:t>assent</w:t>
      </w:r>
      <w:r w:rsidR="00754117" w:rsidRPr="002F50BD">
        <w:rPr>
          <w:rFonts w:ascii="Verdana" w:hAnsi="Verdana"/>
          <w:sz w:val="16"/>
          <w:lang w:val="pt-BR"/>
        </w:rPr>
        <w:t>ament</w:t>
      </w:r>
      <w:r w:rsidR="005A6BC7" w:rsidRPr="002F50BD">
        <w:rPr>
          <w:rFonts w:ascii="Verdana" w:hAnsi="Verdana"/>
          <w:sz w:val="16"/>
          <w:lang w:val="pt-BR"/>
        </w:rPr>
        <w:t>o</w:t>
      </w:r>
      <w:r w:rsidRPr="002F50BD">
        <w:rPr>
          <w:rFonts w:ascii="Verdana" w:hAnsi="Verdana"/>
          <w:sz w:val="16"/>
          <w:lang w:val="pt-BR"/>
        </w:rPr>
        <w:t xml:space="preserve"> tradicional </w:t>
      </w:r>
      <w:r w:rsidR="0089298C" w:rsidRPr="002F50BD">
        <w:rPr>
          <w:rFonts w:ascii="Verdana" w:hAnsi="Verdana"/>
          <w:sz w:val="16"/>
          <w:lang w:val="pt-BR"/>
        </w:rPr>
        <w:t xml:space="preserve">do </w:t>
      </w:r>
      <w:r w:rsidR="0039684E" w:rsidRPr="002F50BD">
        <w:rPr>
          <w:rFonts w:ascii="Verdana" w:hAnsi="Verdana"/>
          <w:sz w:val="16"/>
          <w:lang w:val="pt-BR"/>
        </w:rPr>
        <w:t>Povo Enxet-Lengua</w:t>
      </w:r>
      <w:r w:rsidRPr="002F50BD">
        <w:rPr>
          <w:rFonts w:ascii="Verdana" w:hAnsi="Verdana"/>
          <w:sz w:val="16"/>
          <w:lang w:val="pt-BR"/>
        </w:rPr>
        <w:t xml:space="preserve">, </w:t>
      </w:r>
      <w:r w:rsidR="0089298C" w:rsidRPr="002F50BD">
        <w:rPr>
          <w:rFonts w:ascii="Verdana" w:hAnsi="Verdana"/>
          <w:sz w:val="16"/>
          <w:lang w:val="pt-BR"/>
        </w:rPr>
        <w:t>sempre</w:t>
      </w:r>
      <w:r w:rsidRPr="002F50BD">
        <w:rPr>
          <w:rFonts w:ascii="Verdana" w:hAnsi="Verdana"/>
          <w:sz w:val="16"/>
          <w:lang w:val="pt-BR"/>
        </w:rPr>
        <w:t xml:space="preserve"> dentro</w:t>
      </w:r>
      <w:r w:rsidR="0089298C" w:rsidRPr="002F50BD">
        <w:rPr>
          <w:rFonts w:ascii="Verdana" w:hAnsi="Verdana"/>
          <w:sz w:val="16"/>
          <w:lang w:val="pt-BR"/>
        </w:rPr>
        <w:t xml:space="preserve"> do </w:t>
      </w:r>
      <w:r w:rsidRPr="002F50BD">
        <w:rPr>
          <w:rFonts w:ascii="Verdana" w:hAnsi="Verdana"/>
          <w:sz w:val="16"/>
          <w:lang w:val="pt-BR"/>
        </w:rPr>
        <w:t>que</w:t>
      </w:r>
      <w:r w:rsidR="0089298C" w:rsidRPr="002F50BD">
        <w:rPr>
          <w:rFonts w:ascii="Verdana" w:hAnsi="Verdana"/>
          <w:sz w:val="16"/>
          <w:lang w:val="pt-BR"/>
        </w:rPr>
        <w:t xml:space="preserve"> a </w:t>
      </w:r>
      <w:r w:rsidRPr="002F50BD">
        <w:rPr>
          <w:rFonts w:ascii="Verdana" w:hAnsi="Verdana"/>
          <w:sz w:val="16"/>
          <w:lang w:val="pt-BR"/>
        </w:rPr>
        <w:t>legisla</w:t>
      </w:r>
      <w:r w:rsidR="0089298C" w:rsidRPr="002F50BD">
        <w:rPr>
          <w:rFonts w:ascii="Verdana" w:hAnsi="Verdana"/>
          <w:sz w:val="16"/>
          <w:lang w:val="pt-BR"/>
        </w:rPr>
        <w:t>ção</w:t>
      </w:r>
      <w:r w:rsidRPr="002F50BD">
        <w:rPr>
          <w:rFonts w:ascii="Verdana" w:hAnsi="Verdana"/>
          <w:sz w:val="16"/>
          <w:lang w:val="pt-BR"/>
        </w:rPr>
        <w:t xml:space="preserve"> nacional permite</w:t>
      </w:r>
      <w:r w:rsidR="0089298C" w:rsidRPr="002F50BD">
        <w:rPr>
          <w:rFonts w:ascii="Verdana" w:hAnsi="Verdana"/>
          <w:sz w:val="16"/>
          <w:lang w:val="pt-BR"/>
        </w:rPr>
        <w:t xml:space="preserve"> e sem afeta</w:t>
      </w:r>
      <w:r w:rsidRPr="002F50BD">
        <w:rPr>
          <w:rFonts w:ascii="Verdana" w:hAnsi="Verdana"/>
          <w:sz w:val="16"/>
          <w:lang w:val="pt-BR"/>
        </w:rPr>
        <w:t xml:space="preserve">r </w:t>
      </w:r>
      <w:r w:rsidR="00CA5630" w:rsidRPr="002F50BD">
        <w:rPr>
          <w:rFonts w:ascii="Verdana" w:hAnsi="Verdana"/>
          <w:sz w:val="16"/>
          <w:lang w:val="pt-BR"/>
        </w:rPr>
        <w:t xml:space="preserve">os </w:t>
      </w:r>
      <w:r w:rsidR="0089298C" w:rsidRPr="002F50BD">
        <w:rPr>
          <w:rFonts w:ascii="Verdana" w:hAnsi="Verdana"/>
          <w:sz w:val="16"/>
          <w:lang w:val="pt-BR"/>
        </w:rPr>
        <w:t>direito</w:t>
      </w:r>
      <w:r w:rsidRPr="002F50BD">
        <w:rPr>
          <w:rFonts w:ascii="Verdana" w:hAnsi="Verdana"/>
          <w:sz w:val="16"/>
          <w:lang w:val="pt-BR"/>
        </w:rPr>
        <w:t xml:space="preserve">s de </w:t>
      </w:r>
      <w:r w:rsidR="0089298C" w:rsidRPr="002F50BD">
        <w:rPr>
          <w:rFonts w:ascii="Verdana" w:hAnsi="Verdana"/>
          <w:sz w:val="16"/>
          <w:lang w:val="pt-BR"/>
        </w:rPr>
        <w:t>terceiro</w:t>
      </w:r>
      <w:r w:rsidR="00CA5630" w:rsidRPr="002F50BD">
        <w:rPr>
          <w:rFonts w:ascii="Verdana" w:hAnsi="Verdana"/>
          <w:sz w:val="16"/>
          <w:lang w:val="pt-BR"/>
        </w:rPr>
        <w:t>s que justifiquem</w:t>
      </w:r>
      <w:r w:rsidRPr="002F50BD">
        <w:rPr>
          <w:rFonts w:ascii="Verdana" w:hAnsi="Verdana"/>
          <w:sz w:val="16"/>
          <w:lang w:val="pt-BR"/>
        </w:rPr>
        <w:t xml:space="preserve"> </w:t>
      </w:r>
      <w:r w:rsidR="0089298C" w:rsidRPr="002F50BD">
        <w:rPr>
          <w:rFonts w:ascii="Verdana" w:hAnsi="Verdana"/>
          <w:sz w:val="16"/>
          <w:lang w:val="pt-BR"/>
        </w:rPr>
        <w:t>direito</w:t>
      </w:r>
      <w:r w:rsidRPr="002F50BD">
        <w:rPr>
          <w:rFonts w:ascii="Verdana" w:hAnsi="Verdana"/>
          <w:sz w:val="16"/>
          <w:lang w:val="pt-BR"/>
        </w:rPr>
        <w:t xml:space="preserve">s de </w:t>
      </w:r>
      <w:r w:rsidR="0089298C" w:rsidRPr="002F50BD">
        <w:rPr>
          <w:rFonts w:ascii="Verdana" w:hAnsi="Verdana"/>
          <w:sz w:val="16"/>
          <w:lang w:val="pt-BR"/>
        </w:rPr>
        <w:t xml:space="preserve">propriedade e </w:t>
      </w:r>
      <w:r w:rsidR="00CA5630" w:rsidRPr="002F50BD">
        <w:rPr>
          <w:rFonts w:ascii="Verdana" w:hAnsi="Verdana"/>
          <w:sz w:val="16"/>
          <w:lang w:val="pt-BR"/>
        </w:rPr>
        <w:t xml:space="preserve">de </w:t>
      </w:r>
      <w:r w:rsidR="00AB454A" w:rsidRPr="002F50BD">
        <w:rPr>
          <w:rFonts w:ascii="Verdana" w:hAnsi="Verdana"/>
          <w:sz w:val="16"/>
          <w:lang w:val="pt-BR"/>
        </w:rPr>
        <w:t>exploração</w:t>
      </w:r>
      <w:r w:rsidR="00CA5630" w:rsidRPr="002F50BD">
        <w:rPr>
          <w:rFonts w:ascii="Verdana" w:hAnsi="Verdana"/>
          <w:sz w:val="16"/>
          <w:lang w:val="pt-BR"/>
        </w:rPr>
        <w:t xml:space="preserve"> racional</w:t>
      </w:r>
      <w:r w:rsidR="0089298C" w:rsidRPr="002F50BD">
        <w:rPr>
          <w:rFonts w:ascii="Verdana" w:hAnsi="Verdana"/>
          <w:sz w:val="16"/>
          <w:lang w:val="pt-BR"/>
        </w:rPr>
        <w:t>,</w:t>
      </w:r>
      <w:r w:rsidR="004076AD" w:rsidRPr="002F50BD">
        <w:rPr>
          <w:rFonts w:ascii="Verdana" w:hAnsi="Verdana"/>
          <w:sz w:val="16"/>
          <w:lang w:val="pt-BR"/>
        </w:rPr>
        <w:t xml:space="preserve"> </w:t>
      </w:r>
      <w:r w:rsidR="0089298C" w:rsidRPr="002F50BD">
        <w:rPr>
          <w:rFonts w:ascii="Verdana" w:hAnsi="Verdana"/>
          <w:sz w:val="16"/>
          <w:lang w:val="pt-BR"/>
        </w:rPr>
        <w:t xml:space="preserve">seja </w:t>
      </w:r>
      <w:r w:rsidR="00CA5630" w:rsidRPr="002F50BD">
        <w:rPr>
          <w:rFonts w:ascii="Verdana" w:hAnsi="Verdana"/>
          <w:sz w:val="16"/>
          <w:lang w:val="pt-BR"/>
        </w:rPr>
        <w:t xml:space="preserve">através da </w:t>
      </w:r>
      <w:r w:rsidR="00367FD1" w:rsidRPr="002F50BD">
        <w:rPr>
          <w:rFonts w:ascii="Verdana" w:hAnsi="Verdana"/>
          <w:sz w:val="16"/>
          <w:lang w:val="pt-BR"/>
        </w:rPr>
        <w:t>aquisição</w:t>
      </w:r>
      <w:r w:rsidRPr="002F50BD">
        <w:rPr>
          <w:rFonts w:ascii="Verdana" w:hAnsi="Verdana"/>
          <w:sz w:val="16"/>
          <w:lang w:val="pt-BR"/>
        </w:rPr>
        <w:t xml:space="preserve"> </w:t>
      </w:r>
      <w:r w:rsidR="00FB7C9C" w:rsidRPr="002F50BD">
        <w:rPr>
          <w:rFonts w:ascii="Verdana" w:hAnsi="Verdana"/>
          <w:sz w:val="16"/>
          <w:lang w:val="pt-BR"/>
        </w:rPr>
        <w:t>em consenso</w:t>
      </w:r>
      <w:r w:rsidR="0089298C" w:rsidRPr="002F50BD">
        <w:rPr>
          <w:rFonts w:ascii="Verdana" w:hAnsi="Verdana"/>
          <w:sz w:val="16"/>
          <w:lang w:val="pt-BR"/>
        </w:rPr>
        <w:t xml:space="preserve"> com os </w:t>
      </w:r>
      <w:r w:rsidR="007801FA" w:rsidRPr="002F50BD">
        <w:rPr>
          <w:rFonts w:ascii="Verdana" w:hAnsi="Verdana"/>
          <w:sz w:val="16"/>
          <w:lang w:val="pt-BR"/>
        </w:rPr>
        <w:t>proprietário</w:t>
      </w:r>
      <w:r w:rsidRPr="002F50BD">
        <w:rPr>
          <w:rFonts w:ascii="Verdana" w:hAnsi="Verdana"/>
          <w:sz w:val="16"/>
          <w:lang w:val="pt-BR"/>
        </w:rPr>
        <w:t>s de</w:t>
      </w:r>
      <w:r w:rsidR="0089298C" w:rsidRPr="002F50BD">
        <w:rPr>
          <w:rFonts w:ascii="Verdana" w:hAnsi="Verdana"/>
          <w:sz w:val="16"/>
          <w:lang w:val="pt-BR"/>
        </w:rPr>
        <w:t xml:space="preserve"> tais terra</w:t>
      </w:r>
      <w:r w:rsidRPr="002F50BD">
        <w:rPr>
          <w:rFonts w:ascii="Verdana" w:hAnsi="Verdana"/>
          <w:sz w:val="16"/>
          <w:lang w:val="pt-BR"/>
        </w:rPr>
        <w:t>s o</w:t>
      </w:r>
      <w:r w:rsidR="00CA5630" w:rsidRPr="002F50BD">
        <w:rPr>
          <w:rFonts w:ascii="Verdana" w:hAnsi="Verdana"/>
          <w:sz w:val="16"/>
          <w:lang w:val="pt-BR"/>
        </w:rPr>
        <w:t xml:space="preserve">u pela </w:t>
      </w:r>
      <w:r w:rsidR="00DB51F0" w:rsidRPr="002F50BD">
        <w:rPr>
          <w:rFonts w:ascii="Verdana" w:hAnsi="Verdana"/>
          <w:sz w:val="16"/>
          <w:lang w:val="pt-BR"/>
        </w:rPr>
        <w:t>expropriação</w:t>
      </w:r>
      <w:r w:rsidRPr="002F50BD">
        <w:rPr>
          <w:rFonts w:ascii="Verdana" w:hAnsi="Verdana"/>
          <w:sz w:val="16"/>
          <w:lang w:val="pt-BR"/>
        </w:rPr>
        <w:t xml:space="preserve"> </w:t>
      </w:r>
      <w:r w:rsidR="0089298C" w:rsidRPr="002F50BD">
        <w:rPr>
          <w:rFonts w:ascii="Verdana" w:hAnsi="Verdana"/>
          <w:sz w:val="16"/>
          <w:lang w:val="pt-BR"/>
        </w:rPr>
        <w:t xml:space="preserve">segundo as leis da </w:t>
      </w:r>
      <w:r w:rsidRPr="002F50BD">
        <w:rPr>
          <w:rFonts w:ascii="Verdana" w:hAnsi="Verdana"/>
          <w:sz w:val="16"/>
          <w:lang w:val="pt-BR"/>
        </w:rPr>
        <w:t>República.</w:t>
      </w:r>
    </w:p>
    <w:p w:rsidR="004756C1" w:rsidRPr="002F50BD" w:rsidRDefault="004756C1">
      <w:pPr>
        <w:jc w:val="both"/>
        <w:rPr>
          <w:rFonts w:ascii="Verdana" w:hAnsi="Verdana"/>
          <w:sz w:val="20"/>
          <w:lang w:val="pt-BR"/>
        </w:rPr>
      </w:pPr>
    </w:p>
    <w:p w:rsidR="004756C1" w:rsidRPr="002F50BD" w:rsidRDefault="004756C1">
      <w:pPr>
        <w:numPr>
          <w:ilvl w:val="0"/>
          <w:numId w:val="32"/>
        </w:numPr>
        <w:jc w:val="both"/>
        <w:rPr>
          <w:rFonts w:ascii="Verdana" w:hAnsi="Verdana"/>
          <w:sz w:val="20"/>
          <w:lang w:val="pt-BR"/>
        </w:rPr>
      </w:pPr>
      <w:r w:rsidRPr="002F50BD">
        <w:rPr>
          <w:rFonts w:ascii="Verdana" w:hAnsi="Verdana"/>
          <w:sz w:val="20"/>
          <w:lang w:val="pt-BR"/>
        </w:rPr>
        <w:t>E</w:t>
      </w:r>
      <w:r w:rsidR="00CA5630" w:rsidRPr="002F50BD">
        <w:rPr>
          <w:rFonts w:ascii="Verdana" w:hAnsi="Verdana"/>
          <w:sz w:val="20"/>
          <w:lang w:val="pt-BR"/>
        </w:rPr>
        <w:t xml:space="preserve">m suas </w:t>
      </w:r>
      <w:r w:rsidR="0089298C" w:rsidRPr="002F50BD">
        <w:rPr>
          <w:rFonts w:ascii="Verdana" w:hAnsi="Verdana"/>
          <w:sz w:val="20"/>
          <w:lang w:val="pt-BR"/>
        </w:rPr>
        <w:t>alegações orais</w:t>
      </w:r>
      <w:r w:rsidRPr="002F50BD">
        <w:rPr>
          <w:rFonts w:ascii="Verdana" w:hAnsi="Verdana"/>
          <w:sz w:val="20"/>
          <w:lang w:val="pt-BR"/>
        </w:rPr>
        <w:t xml:space="preserve"> </w:t>
      </w:r>
      <w:r w:rsidR="00CA5630" w:rsidRPr="002F50BD">
        <w:rPr>
          <w:rFonts w:ascii="Verdana" w:hAnsi="Verdana"/>
          <w:sz w:val="20"/>
          <w:lang w:val="pt-BR"/>
        </w:rPr>
        <w:t xml:space="preserve">apresentadas </w:t>
      </w:r>
      <w:r w:rsidR="0089298C" w:rsidRPr="002F50BD">
        <w:rPr>
          <w:rFonts w:ascii="Verdana" w:hAnsi="Verdana"/>
          <w:sz w:val="20"/>
          <w:lang w:val="pt-BR"/>
        </w:rPr>
        <w:t>na audiência</w:t>
      </w:r>
      <w:r w:rsidRPr="002F50BD">
        <w:rPr>
          <w:rFonts w:ascii="Verdana" w:hAnsi="Verdana"/>
          <w:sz w:val="20"/>
          <w:lang w:val="pt-BR"/>
        </w:rPr>
        <w:t xml:space="preserve"> pública </w:t>
      </w:r>
      <w:r w:rsidR="0089298C" w:rsidRPr="002F50BD">
        <w:rPr>
          <w:rFonts w:ascii="Verdana" w:hAnsi="Verdana"/>
          <w:sz w:val="20"/>
          <w:lang w:val="pt-BR"/>
        </w:rPr>
        <w:t xml:space="preserve">do </w:t>
      </w:r>
      <w:r w:rsidRPr="002F50BD">
        <w:rPr>
          <w:rFonts w:ascii="Verdana" w:hAnsi="Verdana"/>
          <w:sz w:val="20"/>
          <w:lang w:val="pt-BR"/>
        </w:rPr>
        <w:t>presente caso,</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afirmou</w:t>
      </w:r>
      <w:r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AB454A">
      <w:pPr>
        <w:ind w:left="720" w:right="720"/>
        <w:jc w:val="both"/>
        <w:rPr>
          <w:rFonts w:ascii="Verdana" w:hAnsi="Verdana"/>
          <w:sz w:val="16"/>
          <w:lang w:val="pt-BR"/>
        </w:rPr>
      </w:pPr>
      <w:r w:rsidRPr="002F50BD">
        <w:rPr>
          <w:rFonts w:ascii="Verdana" w:hAnsi="Verdana"/>
          <w:sz w:val="16"/>
          <w:lang w:val="pt-BR"/>
        </w:rPr>
        <w:t>não é</w:t>
      </w:r>
      <w:r w:rsidR="0089298C" w:rsidRPr="002F50BD">
        <w:rPr>
          <w:rFonts w:ascii="Verdana" w:hAnsi="Verdana"/>
          <w:sz w:val="16"/>
          <w:lang w:val="pt-BR"/>
        </w:rPr>
        <w:t xml:space="preserve"> qualquer</w:t>
      </w:r>
      <w:r w:rsidR="004756C1" w:rsidRPr="002F50BD">
        <w:rPr>
          <w:rFonts w:ascii="Verdana" w:hAnsi="Verdana"/>
          <w:sz w:val="16"/>
          <w:lang w:val="pt-BR"/>
        </w:rPr>
        <w:t xml:space="preserve"> </w:t>
      </w:r>
      <w:r w:rsidR="0089298C" w:rsidRPr="002F50BD">
        <w:rPr>
          <w:rFonts w:ascii="Verdana" w:hAnsi="Verdana"/>
          <w:sz w:val="16"/>
          <w:lang w:val="pt-BR"/>
        </w:rPr>
        <w:t>terra</w:t>
      </w:r>
      <w:r w:rsidR="004756C1" w:rsidRPr="002F50BD">
        <w:rPr>
          <w:rFonts w:ascii="Verdana" w:hAnsi="Verdana"/>
          <w:sz w:val="16"/>
          <w:lang w:val="pt-BR"/>
        </w:rPr>
        <w:t xml:space="preserve"> […]que</w:t>
      </w:r>
      <w:r w:rsidR="0089298C" w:rsidRPr="002F50BD">
        <w:rPr>
          <w:rFonts w:ascii="Verdana" w:hAnsi="Verdana"/>
          <w:sz w:val="16"/>
          <w:lang w:val="pt-BR"/>
        </w:rPr>
        <w:t xml:space="preserve"> o </w:t>
      </w:r>
      <w:r w:rsidR="004756C1" w:rsidRPr="002F50BD">
        <w:rPr>
          <w:rFonts w:ascii="Verdana" w:hAnsi="Verdana"/>
          <w:sz w:val="16"/>
          <w:lang w:val="pt-BR"/>
        </w:rPr>
        <w:t xml:space="preserve">Estado pretende </w:t>
      </w:r>
      <w:r w:rsidR="00CA5630" w:rsidRPr="002F50BD">
        <w:rPr>
          <w:rFonts w:ascii="Verdana" w:hAnsi="Verdana"/>
          <w:sz w:val="16"/>
          <w:lang w:val="pt-BR"/>
        </w:rPr>
        <w:t xml:space="preserve">conceder </w:t>
      </w:r>
      <w:r w:rsidR="0089298C" w:rsidRPr="002F50BD">
        <w:rPr>
          <w:rFonts w:ascii="Verdana" w:hAnsi="Verdana"/>
          <w:sz w:val="16"/>
          <w:lang w:val="pt-BR"/>
        </w:rPr>
        <w:t>aos membro</w:t>
      </w:r>
      <w:r w:rsidR="004756C1" w:rsidRPr="002F50BD">
        <w:rPr>
          <w:rFonts w:ascii="Verdana" w:hAnsi="Verdana"/>
          <w:sz w:val="16"/>
          <w:lang w:val="pt-BR"/>
        </w:rPr>
        <w:t>s</w:t>
      </w:r>
      <w:r w:rsidR="0089298C" w:rsidRPr="002F50BD">
        <w:rPr>
          <w:rFonts w:ascii="Verdana" w:hAnsi="Verdana"/>
          <w:sz w:val="16"/>
          <w:lang w:val="pt-BR"/>
        </w:rPr>
        <w:t xml:space="preserve"> desta </w:t>
      </w:r>
      <w:r w:rsidR="004756C1" w:rsidRPr="002F50BD">
        <w:rPr>
          <w:rFonts w:ascii="Verdana" w:hAnsi="Verdana"/>
          <w:sz w:val="16"/>
          <w:lang w:val="pt-BR"/>
        </w:rPr>
        <w:t>[C]omunidad</w:t>
      </w:r>
      <w:r w:rsidR="00CA5630" w:rsidRPr="002F50BD">
        <w:rPr>
          <w:rFonts w:ascii="Verdana" w:hAnsi="Verdana"/>
          <w:sz w:val="16"/>
          <w:lang w:val="pt-BR"/>
        </w:rPr>
        <w:t>e</w:t>
      </w:r>
      <w:r w:rsidR="004756C1" w:rsidRPr="002F50BD">
        <w:rPr>
          <w:rFonts w:ascii="Verdana" w:hAnsi="Verdana"/>
          <w:sz w:val="16"/>
          <w:lang w:val="pt-BR"/>
        </w:rPr>
        <w:t>.</w:t>
      </w:r>
      <w:r w:rsidR="0089298C" w:rsidRPr="002F50BD">
        <w:rPr>
          <w:rFonts w:ascii="Verdana" w:hAnsi="Verdana"/>
          <w:sz w:val="16"/>
          <w:lang w:val="pt-BR"/>
        </w:rPr>
        <w:t xml:space="preserve"> </w:t>
      </w:r>
      <w:r w:rsidR="00CA5630" w:rsidRPr="002F50BD">
        <w:rPr>
          <w:rFonts w:ascii="Verdana" w:hAnsi="Verdana"/>
          <w:sz w:val="16"/>
          <w:lang w:val="pt-BR"/>
        </w:rPr>
        <w:t>É</w:t>
      </w:r>
      <w:r w:rsidR="0089298C" w:rsidRPr="002F50BD">
        <w:rPr>
          <w:rFonts w:ascii="Verdana" w:hAnsi="Verdana"/>
          <w:sz w:val="16"/>
          <w:lang w:val="pt-BR"/>
        </w:rPr>
        <w:t xml:space="preserve"> a terra</w:t>
      </w:r>
      <w:r w:rsidR="004756C1" w:rsidRPr="002F50BD">
        <w:rPr>
          <w:rFonts w:ascii="Verdana" w:hAnsi="Verdana"/>
          <w:sz w:val="16"/>
          <w:lang w:val="pt-BR"/>
        </w:rPr>
        <w:t xml:space="preserve"> que</w:t>
      </w:r>
      <w:r w:rsidR="0089298C" w:rsidRPr="002F50BD">
        <w:rPr>
          <w:rFonts w:ascii="Verdana" w:hAnsi="Verdana"/>
          <w:sz w:val="16"/>
          <w:lang w:val="pt-BR"/>
        </w:rPr>
        <w:t xml:space="preserve"> ele</w:t>
      </w:r>
      <w:r w:rsidR="004756C1" w:rsidRPr="002F50BD">
        <w:rPr>
          <w:rFonts w:ascii="Verdana" w:hAnsi="Verdana"/>
          <w:sz w:val="16"/>
          <w:lang w:val="pt-BR"/>
        </w:rPr>
        <w:t xml:space="preserve">s </w:t>
      </w:r>
      <w:r w:rsidR="0089298C" w:rsidRPr="002F50BD">
        <w:rPr>
          <w:rFonts w:ascii="Verdana" w:hAnsi="Verdana"/>
          <w:sz w:val="16"/>
          <w:lang w:val="pt-BR"/>
        </w:rPr>
        <w:t xml:space="preserve">determinem em </w:t>
      </w:r>
      <w:r w:rsidR="004756C1" w:rsidRPr="002F50BD">
        <w:rPr>
          <w:rFonts w:ascii="Verdana" w:hAnsi="Verdana"/>
          <w:sz w:val="16"/>
          <w:lang w:val="pt-BR"/>
        </w:rPr>
        <w:t>s</w:t>
      </w:r>
      <w:r w:rsidR="00CA5630" w:rsidRPr="002F50BD">
        <w:rPr>
          <w:rFonts w:ascii="Verdana" w:hAnsi="Verdana"/>
          <w:sz w:val="16"/>
          <w:lang w:val="pt-BR"/>
        </w:rPr>
        <w:t>e</w:t>
      </w:r>
      <w:r w:rsidR="004756C1" w:rsidRPr="002F50BD">
        <w:rPr>
          <w:rFonts w:ascii="Verdana" w:hAnsi="Verdana"/>
          <w:sz w:val="16"/>
          <w:lang w:val="pt-BR"/>
        </w:rPr>
        <w:t xml:space="preserve">u momento dentro </w:t>
      </w:r>
      <w:r w:rsidR="0089298C" w:rsidRPr="002F50BD">
        <w:rPr>
          <w:rFonts w:ascii="Verdana" w:hAnsi="Verdana"/>
          <w:sz w:val="16"/>
          <w:lang w:val="pt-BR"/>
        </w:rPr>
        <w:t>do território</w:t>
      </w:r>
      <w:r w:rsidR="004756C1" w:rsidRPr="002F50BD">
        <w:rPr>
          <w:rFonts w:ascii="Verdana" w:hAnsi="Verdana"/>
          <w:sz w:val="16"/>
          <w:lang w:val="pt-BR"/>
        </w:rPr>
        <w:t xml:space="preserve"> ancestral</w:t>
      </w:r>
      <w:r w:rsidR="0089298C" w:rsidRPr="002F50BD">
        <w:rPr>
          <w:rFonts w:ascii="Verdana" w:hAnsi="Verdana"/>
          <w:sz w:val="16"/>
          <w:lang w:val="pt-BR"/>
        </w:rPr>
        <w:t xml:space="preserve"> e </w:t>
      </w:r>
      <w:r w:rsidR="004756C1" w:rsidRPr="002F50BD">
        <w:rPr>
          <w:rFonts w:ascii="Verdana" w:hAnsi="Verdana"/>
          <w:sz w:val="16"/>
          <w:lang w:val="pt-BR"/>
        </w:rPr>
        <w:t>dentro</w:t>
      </w:r>
      <w:r w:rsidR="0089298C" w:rsidRPr="002F50BD">
        <w:rPr>
          <w:rFonts w:ascii="Verdana" w:hAnsi="Verdana"/>
          <w:sz w:val="16"/>
          <w:lang w:val="pt-BR"/>
        </w:rPr>
        <w:t xml:space="preserve"> do </w:t>
      </w:r>
      <w:r w:rsidR="004756C1" w:rsidRPr="002F50BD">
        <w:rPr>
          <w:rFonts w:ascii="Verdana" w:hAnsi="Verdana"/>
          <w:sz w:val="16"/>
          <w:lang w:val="pt-BR"/>
        </w:rPr>
        <w:t>que</w:t>
      </w:r>
      <w:r w:rsidR="0089298C" w:rsidRPr="002F50BD">
        <w:rPr>
          <w:rFonts w:ascii="Verdana" w:hAnsi="Verdana"/>
          <w:sz w:val="16"/>
          <w:lang w:val="pt-BR"/>
        </w:rPr>
        <w:t xml:space="preserve"> essa comunidade </w:t>
      </w:r>
      <w:r w:rsidR="004756C1" w:rsidRPr="002F50BD">
        <w:rPr>
          <w:rFonts w:ascii="Verdana" w:hAnsi="Verdana"/>
          <w:sz w:val="16"/>
          <w:lang w:val="pt-BR"/>
        </w:rPr>
        <w:t>Chanawatsan</w:t>
      </w:r>
      <w:r w:rsidR="00FB7C9C" w:rsidRPr="002F50BD">
        <w:rPr>
          <w:rFonts w:ascii="Verdana" w:hAnsi="Verdana"/>
          <w:sz w:val="16"/>
          <w:lang w:val="pt-BR"/>
        </w:rPr>
        <w:t>,</w:t>
      </w:r>
      <w:r w:rsidR="0089298C" w:rsidRPr="002F50BD">
        <w:rPr>
          <w:rFonts w:ascii="Verdana" w:hAnsi="Verdana"/>
          <w:sz w:val="16"/>
          <w:lang w:val="pt-BR"/>
        </w:rPr>
        <w:t xml:space="preserve"> em </w:t>
      </w:r>
      <w:r w:rsidR="004756C1" w:rsidRPr="002F50BD">
        <w:rPr>
          <w:rFonts w:ascii="Verdana" w:hAnsi="Verdana"/>
          <w:sz w:val="16"/>
          <w:lang w:val="pt-BR"/>
        </w:rPr>
        <w:t>s</w:t>
      </w:r>
      <w:r w:rsidR="00CA5630" w:rsidRPr="002F50BD">
        <w:rPr>
          <w:rFonts w:ascii="Verdana" w:hAnsi="Verdana"/>
          <w:sz w:val="16"/>
          <w:lang w:val="pt-BR"/>
        </w:rPr>
        <w:t>e</w:t>
      </w:r>
      <w:r w:rsidR="004756C1" w:rsidRPr="002F50BD">
        <w:rPr>
          <w:rFonts w:ascii="Verdana" w:hAnsi="Verdana"/>
          <w:sz w:val="16"/>
          <w:lang w:val="pt-BR"/>
        </w:rPr>
        <w:t>u momento</w:t>
      </w:r>
      <w:r w:rsidR="00FB7C9C" w:rsidRPr="002F50B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manifestou</w:t>
      </w:r>
      <w:r w:rsidR="004756C1" w:rsidRPr="002F50BD">
        <w:rPr>
          <w:rFonts w:ascii="Verdana" w:hAnsi="Verdana"/>
          <w:sz w:val="16"/>
          <w:lang w:val="pt-BR"/>
        </w:rPr>
        <w:t xml:space="preserve"> ser parte</w:t>
      </w:r>
      <w:r w:rsidR="0089298C" w:rsidRPr="002F50BD">
        <w:rPr>
          <w:rFonts w:ascii="Verdana" w:hAnsi="Verdana"/>
          <w:sz w:val="16"/>
          <w:lang w:val="pt-BR"/>
        </w:rPr>
        <w:t xml:space="preserve"> desse território</w:t>
      </w:r>
      <w:r w:rsidR="004756C1" w:rsidRPr="002F50BD">
        <w:rPr>
          <w:rFonts w:ascii="Verdana" w:hAnsi="Verdana"/>
          <w:sz w:val="16"/>
          <w:lang w:val="pt-BR"/>
        </w:rPr>
        <w:t>, que</w:t>
      </w:r>
      <w:r w:rsidR="00FB7C9C" w:rsidRPr="002F50BD">
        <w:rPr>
          <w:rFonts w:ascii="Verdana" w:hAnsi="Verdana"/>
          <w:sz w:val="16"/>
          <w:lang w:val="pt-BR"/>
        </w:rPr>
        <w:t>,</w:t>
      </w:r>
      <w:r w:rsidR="004756C1" w:rsidRPr="002F50BD">
        <w:rPr>
          <w:rFonts w:ascii="Verdana" w:hAnsi="Verdana"/>
          <w:sz w:val="16"/>
          <w:lang w:val="pt-BR"/>
        </w:rPr>
        <w:t xml:space="preserve"> por </w:t>
      </w:r>
      <w:r w:rsidR="0089298C" w:rsidRPr="002F50BD">
        <w:rPr>
          <w:rFonts w:ascii="Verdana" w:hAnsi="Verdana"/>
          <w:sz w:val="16"/>
          <w:lang w:val="pt-BR"/>
        </w:rPr>
        <w:t>certo</w:t>
      </w:r>
      <w:r w:rsidR="00CA5630" w:rsidRPr="002F50BD">
        <w:rPr>
          <w:rFonts w:ascii="Verdana" w:hAnsi="Verdana"/>
          <w:sz w:val="16"/>
          <w:lang w:val="pt-BR"/>
        </w:rPr>
        <w:t>,</w:t>
      </w:r>
      <w:r w:rsidR="0089298C" w:rsidRPr="002F50BD">
        <w:rPr>
          <w:rFonts w:ascii="Verdana" w:hAnsi="Verdana"/>
          <w:sz w:val="16"/>
          <w:lang w:val="pt-BR"/>
        </w:rPr>
        <w:t xml:space="preserve"> </w:t>
      </w:r>
      <w:r w:rsidR="004756C1" w:rsidRPr="002F50BD">
        <w:rPr>
          <w:rFonts w:ascii="Verdana" w:hAnsi="Verdana"/>
          <w:sz w:val="16"/>
          <w:lang w:val="pt-BR"/>
        </w:rPr>
        <w:t>reitero,</w:t>
      </w:r>
      <w:r w:rsidR="0089298C" w:rsidRPr="002F50BD">
        <w:rPr>
          <w:rFonts w:ascii="Verdana" w:hAnsi="Verdana"/>
          <w:sz w:val="16"/>
          <w:lang w:val="pt-BR"/>
        </w:rPr>
        <w:t xml:space="preserve"> é muito</w:t>
      </w:r>
      <w:r w:rsidR="004756C1" w:rsidRPr="002F50BD">
        <w:rPr>
          <w:rFonts w:ascii="Verdana" w:hAnsi="Verdana"/>
          <w:sz w:val="16"/>
          <w:lang w:val="pt-BR"/>
        </w:rPr>
        <w:t xml:space="preserve"> </w:t>
      </w:r>
      <w:r w:rsidR="0089298C" w:rsidRPr="002F50BD">
        <w:rPr>
          <w:rFonts w:ascii="Verdana" w:hAnsi="Verdana"/>
          <w:sz w:val="16"/>
          <w:lang w:val="pt-BR"/>
        </w:rPr>
        <w:t xml:space="preserve">mais amplo </w:t>
      </w:r>
      <w:r w:rsidR="00CA5630" w:rsidRPr="002F50BD">
        <w:rPr>
          <w:rFonts w:ascii="Verdana" w:hAnsi="Verdana"/>
          <w:sz w:val="16"/>
          <w:lang w:val="pt-BR"/>
        </w:rPr>
        <w:t xml:space="preserve">do </w:t>
      </w:r>
      <w:r w:rsidR="004756C1" w:rsidRPr="002F50BD">
        <w:rPr>
          <w:rFonts w:ascii="Verdana" w:hAnsi="Verdana"/>
          <w:sz w:val="16"/>
          <w:lang w:val="pt-BR"/>
        </w:rPr>
        <w:t>que</w:t>
      </w:r>
      <w:r w:rsidR="0089298C" w:rsidRPr="002F50BD">
        <w:rPr>
          <w:rFonts w:ascii="Verdana" w:hAnsi="Verdana"/>
          <w:sz w:val="16"/>
          <w:lang w:val="pt-BR"/>
        </w:rPr>
        <w:t xml:space="preserve"> </w:t>
      </w:r>
      <w:r w:rsidR="00CA5630" w:rsidRPr="002F50BD">
        <w:rPr>
          <w:rFonts w:ascii="Verdana" w:hAnsi="Verdana"/>
          <w:sz w:val="16"/>
          <w:lang w:val="pt-BR"/>
        </w:rPr>
        <w:t>o</w:t>
      </w:r>
      <w:r w:rsidR="0089298C" w:rsidRPr="002F50BD">
        <w:rPr>
          <w:rFonts w:ascii="Verdana" w:hAnsi="Verdana"/>
          <w:sz w:val="16"/>
          <w:lang w:val="pt-BR"/>
        </w:rPr>
        <w:t xml:space="preserve">s </w:t>
      </w:r>
      <w:r w:rsidR="003B734C">
        <w:rPr>
          <w:rFonts w:ascii="Verdana" w:hAnsi="Verdana"/>
          <w:sz w:val="16"/>
          <w:lang w:val="pt-BR"/>
        </w:rPr>
        <w:t>18</w:t>
      </w:r>
      <w:r w:rsidR="004756C1" w:rsidRPr="002F50BD">
        <w:rPr>
          <w:rFonts w:ascii="Verdana" w:hAnsi="Verdana"/>
          <w:sz w:val="16"/>
          <w:lang w:val="pt-BR"/>
        </w:rPr>
        <w:t xml:space="preserve"> mil </w:t>
      </w:r>
      <w:r w:rsidR="00E10DBB" w:rsidRPr="002F50BD">
        <w:rPr>
          <w:rFonts w:ascii="Verdana" w:hAnsi="Verdana"/>
          <w:sz w:val="16"/>
          <w:lang w:val="pt-BR"/>
        </w:rPr>
        <w:t>hectares</w:t>
      </w:r>
      <w:r w:rsidR="004756C1" w:rsidRPr="002F50BD">
        <w:rPr>
          <w:rFonts w:ascii="Verdana" w:hAnsi="Verdana"/>
          <w:sz w:val="16"/>
          <w:lang w:val="pt-BR"/>
        </w:rPr>
        <w:t xml:space="preserve"> que</w:t>
      </w:r>
      <w:r w:rsidR="0089298C" w:rsidRPr="002F50BD">
        <w:rPr>
          <w:rFonts w:ascii="Verdana" w:hAnsi="Verdana"/>
          <w:sz w:val="16"/>
          <w:lang w:val="pt-BR"/>
        </w:rPr>
        <w:t xml:space="preserve"> hoje </w:t>
      </w:r>
      <w:r w:rsidR="004756C1" w:rsidRPr="002F50BD">
        <w:rPr>
          <w:rFonts w:ascii="Verdana" w:hAnsi="Verdana"/>
          <w:sz w:val="16"/>
          <w:lang w:val="pt-BR"/>
        </w:rPr>
        <w:t>se reclama como</w:t>
      </w:r>
      <w:r w:rsidR="0089298C" w:rsidRPr="002F50BD">
        <w:rPr>
          <w:rFonts w:ascii="Verdana" w:hAnsi="Verdana"/>
          <w:sz w:val="16"/>
          <w:lang w:val="pt-BR"/>
        </w:rPr>
        <w:t xml:space="preserve"> um território</w:t>
      </w:r>
      <w:r w:rsidR="004756C1" w:rsidRPr="002F50BD">
        <w:rPr>
          <w:rFonts w:ascii="Verdana" w:hAnsi="Verdana"/>
          <w:sz w:val="16"/>
          <w:lang w:val="pt-BR"/>
        </w:rPr>
        <w:t xml:space="preserve"> </w:t>
      </w:r>
      <w:r w:rsidR="00CA5630" w:rsidRPr="002F50BD">
        <w:rPr>
          <w:rFonts w:ascii="Verdana" w:hAnsi="Verdana"/>
          <w:sz w:val="16"/>
          <w:lang w:val="pt-BR"/>
        </w:rPr>
        <w:t xml:space="preserve">insubstituível </w:t>
      </w:r>
      <w:r w:rsidR="004756C1"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CA5630">
      <w:pPr>
        <w:numPr>
          <w:ilvl w:val="0"/>
          <w:numId w:val="32"/>
        </w:numPr>
        <w:jc w:val="both"/>
        <w:rPr>
          <w:rFonts w:ascii="Verdana" w:hAnsi="Verdana"/>
          <w:sz w:val="20"/>
          <w:lang w:val="pt-BR"/>
        </w:rPr>
      </w:pPr>
      <w:r w:rsidRPr="002F50BD">
        <w:rPr>
          <w:rFonts w:ascii="Verdana" w:hAnsi="Verdana"/>
          <w:sz w:val="20"/>
          <w:lang w:val="pt-BR"/>
        </w:rPr>
        <w:t>Em</w:t>
      </w:r>
      <w:r w:rsidR="004756C1" w:rsidRPr="002F50BD">
        <w:rPr>
          <w:rFonts w:ascii="Verdana" w:hAnsi="Verdana"/>
          <w:sz w:val="20"/>
          <w:lang w:val="pt-BR"/>
        </w:rPr>
        <w:t xml:space="preserve"> </w:t>
      </w:r>
      <w:r w:rsidR="0089298C" w:rsidRPr="002F50BD">
        <w:rPr>
          <w:rFonts w:ascii="Verdana" w:hAnsi="Verdana"/>
          <w:sz w:val="20"/>
          <w:lang w:val="pt-BR"/>
        </w:rPr>
        <w:t xml:space="preserve">suas </w:t>
      </w:r>
      <w:r w:rsidR="008C29C9" w:rsidRPr="002F50BD">
        <w:rPr>
          <w:rFonts w:ascii="Verdana" w:hAnsi="Verdana"/>
          <w:sz w:val="20"/>
          <w:lang w:val="pt-BR"/>
        </w:rPr>
        <w:t>alegações finais escritas</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p>
    <w:p w:rsidR="004756C1" w:rsidRPr="002F50BD" w:rsidRDefault="004756C1">
      <w:pPr>
        <w:jc w:val="both"/>
        <w:rPr>
          <w:rFonts w:ascii="Verdana" w:hAnsi="Verdana"/>
          <w:sz w:val="20"/>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reiter[</w:t>
      </w:r>
      <w:r w:rsidR="00CA5630" w:rsidRPr="002F50BD">
        <w:rPr>
          <w:rFonts w:ascii="Verdana" w:hAnsi="Verdana"/>
          <w:sz w:val="16"/>
          <w:lang w:val="pt-BR"/>
        </w:rPr>
        <w:t>ou</w:t>
      </w:r>
      <w:r w:rsidRPr="002F50BD">
        <w:rPr>
          <w:rFonts w:ascii="Verdana" w:hAnsi="Verdana"/>
          <w:sz w:val="16"/>
          <w:lang w:val="pt-BR"/>
        </w:rPr>
        <w:t xml:space="preserve">] </w:t>
      </w:r>
      <w:r w:rsidR="004076AD" w:rsidRPr="002F50BD">
        <w:rPr>
          <w:rFonts w:ascii="Verdana" w:hAnsi="Verdana"/>
          <w:sz w:val="16"/>
          <w:lang w:val="pt-BR"/>
        </w:rPr>
        <w:t>sua vontade</w:t>
      </w:r>
      <w:r w:rsidR="0089298C" w:rsidRPr="002F50BD">
        <w:rPr>
          <w:rFonts w:ascii="Verdana" w:hAnsi="Verdana"/>
          <w:sz w:val="16"/>
          <w:lang w:val="pt-BR"/>
        </w:rPr>
        <w:t xml:space="preserve"> </w:t>
      </w:r>
      <w:r w:rsidRPr="002F50BD">
        <w:rPr>
          <w:rFonts w:ascii="Verdana" w:hAnsi="Verdana"/>
          <w:sz w:val="16"/>
          <w:lang w:val="pt-BR"/>
        </w:rPr>
        <w:t>indeclin</w:t>
      </w:r>
      <w:r w:rsidR="00B0045F" w:rsidRPr="002F50BD">
        <w:rPr>
          <w:rFonts w:ascii="Verdana" w:hAnsi="Verdana"/>
          <w:sz w:val="16"/>
          <w:lang w:val="pt-BR"/>
        </w:rPr>
        <w:t xml:space="preserve">ável </w:t>
      </w:r>
      <w:r w:rsidRPr="002F50BD">
        <w:rPr>
          <w:rFonts w:ascii="Verdana" w:hAnsi="Verdana"/>
          <w:sz w:val="16"/>
          <w:lang w:val="pt-BR"/>
        </w:rPr>
        <w:t>de dar solu</w:t>
      </w:r>
      <w:r w:rsidR="0089298C" w:rsidRPr="002F50BD">
        <w:rPr>
          <w:rFonts w:ascii="Verdana" w:hAnsi="Verdana"/>
          <w:sz w:val="16"/>
          <w:lang w:val="pt-BR"/>
        </w:rPr>
        <w:t>ção</w:t>
      </w:r>
      <w:r w:rsidRPr="002F50BD">
        <w:rPr>
          <w:rFonts w:ascii="Verdana" w:hAnsi="Verdana"/>
          <w:sz w:val="16"/>
          <w:lang w:val="pt-BR"/>
        </w:rPr>
        <w:t xml:space="preserve"> definitiva</w:t>
      </w:r>
      <w:r w:rsidR="0089298C" w:rsidRPr="002F50BD">
        <w:rPr>
          <w:rFonts w:ascii="Verdana" w:hAnsi="Verdana"/>
          <w:sz w:val="16"/>
          <w:lang w:val="pt-BR"/>
        </w:rPr>
        <w:t xml:space="preserve"> ao </w:t>
      </w:r>
      <w:r w:rsidRPr="002F50BD">
        <w:rPr>
          <w:rFonts w:ascii="Verdana" w:hAnsi="Verdana"/>
          <w:sz w:val="16"/>
          <w:lang w:val="pt-BR"/>
        </w:rPr>
        <w:t>caso</w:t>
      </w:r>
      <w:r w:rsidR="0089298C" w:rsidRPr="002F50BD">
        <w:rPr>
          <w:rFonts w:ascii="Verdana" w:hAnsi="Verdana"/>
          <w:sz w:val="16"/>
          <w:lang w:val="pt-BR"/>
        </w:rPr>
        <w:t xml:space="preserve"> em questão</w:t>
      </w:r>
      <w:r w:rsidRPr="002F50BD">
        <w:rPr>
          <w:rFonts w:ascii="Verdana" w:hAnsi="Verdana"/>
          <w:sz w:val="16"/>
          <w:lang w:val="pt-BR"/>
        </w:rPr>
        <w:t xml:space="preserve"> mediante</w:t>
      </w:r>
      <w:r w:rsidR="0089298C" w:rsidRPr="002F50BD">
        <w:rPr>
          <w:rFonts w:ascii="Verdana" w:hAnsi="Verdana"/>
          <w:sz w:val="16"/>
          <w:lang w:val="pt-BR"/>
        </w:rPr>
        <w:t xml:space="preserve"> a </w:t>
      </w:r>
      <w:r w:rsidRPr="002F50BD">
        <w:rPr>
          <w:rFonts w:ascii="Verdana" w:hAnsi="Verdana"/>
          <w:sz w:val="16"/>
          <w:lang w:val="pt-BR"/>
        </w:rPr>
        <w:t>negocia</w:t>
      </w:r>
      <w:r w:rsidR="0089298C" w:rsidRPr="002F50BD">
        <w:rPr>
          <w:rFonts w:ascii="Verdana" w:hAnsi="Verdana"/>
          <w:sz w:val="16"/>
          <w:lang w:val="pt-BR"/>
        </w:rPr>
        <w:t>ção</w:t>
      </w:r>
      <w:r w:rsidRPr="002F50BD">
        <w:rPr>
          <w:rFonts w:ascii="Verdana" w:hAnsi="Verdana"/>
          <w:sz w:val="16"/>
          <w:lang w:val="pt-BR"/>
        </w:rPr>
        <w:t xml:space="preserve"> </w:t>
      </w:r>
      <w:r w:rsidR="0089298C" w:rsidRPr="002F50BD">
        <w:rPr>
          <w:rFonts w:ascii="Verdana" w:hAnsi="Verdana"/>
          <w:sz w:val="16"/>
          <w:lang w:val="pt-BR"/>
        </w:rPr>
        <w:t>diret</w:t>
      </w:r>
      <w:r w:rsidRPr="002F50BD">
        <w:rPr>
          <w:rFonts w:ascii="Verdana" w:hAnsi="Verdana"/>
          <w:sz w:val="16"/>
          <w:lang w:val="pt-BR"/>
        </w:rPr>
        <w:t>a</w:t>
      </w:r>
      <w:r w:rsidR="0089298C" w:rsidRPr="002F50BD">
        <w:rPr>
          <w:rFonts w:ascii="Verdana" w:hAnsi="Verdana"/>
          <w:sz w:val="16"/>
          <w:lang w:val="pt-BR"/>
        </w:rPr>
        <w:t xml:space="preserve"> com a Comunidade </w:t>
      </w:r>
      <w:r w:rsidRPr="002F50BD">
        <w:rPr>
          <w:rFonts w:ascii="Verdana" w:hAnsi="Verdana"/>
          <w:sz w:val="16"/>
          <w:lang w:val="pt-BR"/>
        </w:rPr>
        <w:t>[…]</w:t>
      </w:r>
      <w:r w:rsidR="0089298C" w:rsidRPr="002F50BD">
        <w:rPr>
          <w:rFonts w:ascii="Verdana" w:hAnsi="Verdana"/>
          <w:sz w:val="16"/>
          <w:lang w:val="pt-BR"/>
        </w:rPr>
        <w:t xml:space="preserve"> no </w:t>
      </w:r>
      <w:r w:rsidRPr="002F50BD">
        <w:rPr>
          <w:rFonts w:ascii="Verdana" w:hAnsi="Verdana"/>
          <w:sz w:val="16"/>
          <w:lang w:val="pt-BR"/>
        </w:rPr>
        <w:t xml:space="preserve">sentido de </w:t>
      </w:r>
      <w:r w:rsidR="00CA5630" w:rsidRPr="002F50BD">
        <w:rPr>
          <w:rFonts w:ascii="Verdana" w:hAnsi="Verdana"/>
          <w:sz w:val="16"/>
          <w:lang w:val="pt-BR"/>
        </w:rPr>
        <w:t xml:space="preserve">conceder </w:t>
      </w:r>
      <w:r w:rsidR="0089298C" w:rsidRPr="002F50BD">
        <w:rPr>
          <w:rFonts w:ascii="Verdana" w:hAnsi="Verdana"/>
          <w:sz w:val="16"/>
          <w:lang w:val="pt-BR"/>
        </w:rPr>
        <w:t xml:space="preserve">à Comunidade </w:t>
      </w:r>
      <w:r w:rsidRPr="002F50BD">
        <w:rPr>
          <w:rFonts w:ascii="Verdana" w:hAnsi="Verdana"/>
          <w:sz w:val="16"/>
          <w:lang w:val="pt-BR"/>
        </w:rPr>
        <w:t>Yakye Axa</w:t>
      </w:r>
      <w:r w:rsidR="0089298C" w:rsidRPr="002F50BD">
        <w:rPr>
          <w:rFonts w:ascii="Verdana" w:hAnsi="Verdana"/>
          <w:sz w:val="16"/>
          <w:lang w:val="pt-BR"/>
        </w:rPr>
        <w:t xml:space="preserve"> uma extensão</w:t>
      </w:r>
      <w:r w:rsidRPr="002F50BD">
        <w:rPr>
          <w:rFonts w:ascii="Verdana" w:hAnsi="Verdana"/>
          <w:sz w:val="16"/>
          <w:lang w:val="pt-BR"/>
        </w:rPr>
        <w:t xml:space="preserve"> de </w:t>
      </w:r>
      <w:r w:rsidR="0089298C" w:rsidRPr="002F50BD">
        <w:rPr>
          <w:rFonts w:ascii="Verdana" w:hAnsi="Verdana"/>
          <w:sz w:val="16"/>
          <w:lang w:val="pt-BR"/>
        </w:rPr>
        <w:t>terra</w:t>
      </w:r>
      <w:r w:rsidRPr="002F50BD">
        <w:rPr>
          <w:rFonts w:ascii="Verdana" w:hAnsi="Verdana"/>
          <w:sz w:val="16"/>
          <w:lang w:val="pt-BR"/>
        </w:rPr>
        <w:t xml:space="preserve"> </w:t>
      </w:r>
      <w:r w:rsidR="00CA5630" w:rsidRPr="002F50BD">
        <w:rPr>
          <w:rFonts w:ascii="Verdana" w:hAnsi="Verdana"/>
          <w:sz w:val="16"/>
          <w:lang w:val="pt-BR"/>
        </w:rPr>
        <w:t xml:space="preserve">de acordo </w:t>
      </w:r>
      <w:r w:rsidR="0089298C" w:rsidRPr="002F50BD">
        <w:rPr>
          <w:rFonts w:ascii="Verdana" w:hAnsi="Verdana"/>
          <w:sz w:val="16"/>
          <w:lang w:val="pt-BR"/>
        </w:rPr>
        <w:t xml:space="preserve">com </w:t>
      </w:r>
      <w:r w:rsidRPr="002F50BD">
        <w:rPr>
          <w:rFonts w:ascii="Verdana" w:hAnsi="Verdana"/>
          <w:sz w:val="16"/>
          <w:lang w:val="pt-BR"/>
        </w:rPr>
        <w:t>su</w:t>
      </w:r>
      <w:r w:rsidR="00CA5630" w:rsidRPr="002F50BD">
        <w:rPr>
          <w:rFonts w:ascii="Verdana" w:hAnsi="Verdana"/>
          <w:sz w:val="16"/>
          <w:lang w:val="pt-BR"/>
        </w:rPr>
        <w:t>a</w:t>
      </w:r>
      <w:r w:rsidRPr="002F50BD">
        <w:rPr>
          <w:rFonts w:ascii="Verdana" w:hAnsi="Verdana"/>
          <w:sz w:val="16"/>
          <w:lang w:val="pt-BR"/>
        </w:rPr>
        <w:t xml:space="preserve">s </w:t>
      </w:r>
      <w:r w:rsidR="0089298C" w:rsidRPr="002F50BD">
        <w:rPr>
          <w:rFonts w:ascii="Verdana" w:hAnsi="Verdana"/>
          <w:sz w:val="16"/>
          <w:lang w:val="pt-BR"/>
        </w:rPr>
        <w:t>necessidad</w:t>
      </w:r>
      <w:r w:rsidRPr="002F50BD">
        <w:rPr>
          <w:rFonts w:ascii="Verdana" w:hAnsi="Verdana"/>
          <w:sz w:val="16"/>
          <w:lang w:val="pt-BR"/>
        </w:rPr>
        <w:t xml:space="preserve">es </w:t>
      </w:r>
      <w:r w:rsidR="004076AD" w:rsidRPr="002F50BD">
        <w:rPr>
          <w:rFonts w:ascii="Verdana" w:hAnsi="Verdana"/>
          <w:sz w:val="16"/>
          <w:lang w:val="pt-BR"/>
        </w:rPr>
        <w:t>comunitári</w:t>
      </w:r>
      <w:r w:rsidRPr="002F50BD">
        <w:rPr>
          <w:rFonts w:ascii="Verdana" w:hAnsi="Verdana"/>
          <w:sz w:val="16"/>
          <w:lang w:val="pt-BR"/>
        </w:rPr>
        <w:t>as, conforme</w:t>
      </w:r>
      <w:r w:rsidR="0089298C" w:rsidRPr="002F50BD">
        <w:rPr>
          <w:rFonts w:ascii="Verdana" w:hAnsi="Verdana"/>
          <w:sz w:val="16"/>
          <w:lang w:val="pt-BR"/>
        </w:rPr>
        <w:t xml:space="preserve"> a Constituição</w:t>
      </w:r>
      <w:r w:rsidRPr="002F50BD">
        <w:rPr>
          <w:rFonts w:ascii="Verdana" w:hAnsi="Verdana"/>
          <w:sz w:val="16"/>
          <w:lang w:val="pt-BR"/>
        </w:rPr>
        <w:t xml:space="preserve"> Nacional,</w:t>
      </w:r>
      <w:r w:rsidR="0089298C" w:rsidRPr="002F50BD">
        <w:rPr>
          <w:rFonts w:ascii="Verdana" w:hAnsi="Verdana"/>
          <w:sz w:val="16"/>
          <w:lang w:val="pt-BR"/>
        </w:rPr>
        <w:t xml:space="preserve"> </w:t>
      </w:r>
      <w:r w:rsidR="00CA5630" w:rsidRPr="002F50BD">
        <w:rPr>
          <w:rFonts w:ascii="Verdana" w:hAnsi="Verdana"/>
          <w:sz w:val="16"/>
          <w:lang w:val="pt-BR"/>
        </w:rPr>
        <w:t xml:space="preserve">a Convenção </w:t>
      </w:r>
      <w:r w:rsidRPr="002F50BD">
        <w:rPr>
          <w:rFonts w:ascii="Verdana" w:hAnsi="Verdana"/>
          <w:sz w:val="16"/>
          <w:lang w:val="pt-BR"/>
        </w:rPr>
        <w:t xml:space="preserve">[No.] </w:t>
      </w:r>
      <w:r w:rsidR="00063B47" w:rsidRPr="002F50BD">
        <w:rPr>
          <w:rFonts w:ascii="Verdana" w:hAnsi="Verdana"/>
          <w:sz w:val="16"/>
          <w:lang w:val="pt-BR"/>
        </w:rPr>
        <w:t>169</w:t>
      </w:r>
      <w:r w:rsidR="0089298C" w:rsidRPr="002F50BD">
        <w:rPr>
          <w:rFonts w:ascii="Verdana" w:hAnsi="Verdana"/>
          <w:sz w:val="16"/>
          <w:lang w:val="pt-BR"/>
        </w:rPr>
        <w:t xml:space="preserve"> da </w:t>
      </w:r>
      <w:r w:rsidRPr="002F50BD">
        <w:rPr>
          <w:rFonts w:ascii="Verdana" w:hAnsi="Verdana"/>
          <w:sz w:val="16"/>
          <w:lang w:val="pt-BR"/>
        </w:rPr>
        <w:t>OIT</w:t>
      </w:r>
      <w:r w:rsidR="0089298C" w:rsidRPr="002F50BD">
        <w:rPr>
          <w:rFonts w:ascii="Verdana" w:hAnsi="Verdana"/>
          <w:sz w:val="16"/>
          <w:lang w:val="pt-BR"/>
        </w:rPr>
        <w:t xml:space="preserve"> e a </w:t>
      </w:r>
      <w:r w:rsidRPr="002F50BD">
        <w:rPr>
          <w:rFonts w:ascii="Verdana" w:hAnsi="Verdana"/>
          <w:sz w:val="16"/>
          <w:lang w:val="pt-BR"/>
        </w:rPr>
        <w:t>legisla</w:t>
      </w:r>
      <w:r w:rsidR="0089298C" w:rsidRPr="002F50BD">
        <w:rPr>
          <w:rFonts w:ascii="Verdana" w:hAnsi="Verdana"/>
          <w:sz w:val="16"/>
          <w:lang w:val="pt-BR"/>
        </w:rPr>
        <w:t>ção</w:t>
      </w:r>
      <w:r w:rsidRPr="002F50BD">
        <w:rPr>
          <w:rFonts w:ascii="Verdana" w:hAnsi="Verdana"/>
          <w:sz w:val="16"/>
          <w:lang w:val="pt-BR"/>
        </w:rPr>
        <w:t xml:space="preserve"> especial respectiva, dentro </w:t>
      </w:r>
      <w:r w:rsidR="0089298C" w:rsidRPr="002F50BD">
        <w:rPr>
          <w:rFonts w:ascii="Verdana" w:hAnsi="Verdana"/>
          <w:sz w:val="16"/>
          <w:lang w:val="pt-BR"/>
        </w:rPr>
        <w:t>do território</w:t>
      </w:r>
      <w:r w:rsidRPr="002F50BD">
        <w:rPr>
          <w:rFonts w:ascii="Verdana" w:hAnsi="Verdana"/>
          <w:sz w:val="16"/>
          <w:lang w:val="pt-BR"/>
        </w:rPr>
        <w:t xml:space="preserve"> CHANAWATSAN.</w:t>
      </w:r>
    </w:p>
    <w:p w:rsidR="004756C1" w:rsidRPr="002F50BD" w:rsidRDefault="004756C1">
      <w:pPr>
        <w:jc w:val="both"/>
        <w:rPr>
          <w:rFonts w:ascii="Verdana" w:hAnsi="Verdana"/>
          <w:sz w:val="20"/>
          <w:lang w:val="pt-BR"/>
        </w:rPr>
      </w:pPr>
    </w:p>
    <w:p w:rsidR="004756C1" w:rsidRPr="002F50BD" w:rsidRDefault="00CA5630">
      <w:pPr>
        <w:numPr>
          <w:ilvl w:val="0"/>
          <w:numId w:val="32"/>
        </w:numPr>
        <w:jc w:val="both"/>
        <w:rPr>
          <w:rFonts w:ascii="Verdana" w:hAnsi="Verdana"/>
          <w:sz w:val="20"/>
          <w:lang w:val="pt-BR"/>
        </w:rPr>
      </w:pPr>
      <w:r w:rsidRPr="002F50BD">
        <w:rPr>
          <w:rFonts w:ascii="Verdana" w:hAnsi="Verdana"/>
          <w:sz w:val="20"/>
          <w:lang w:val="pt-BR"/>
        </w:rPr>
        <w:t>À</w:t>
      </w:r>
      <w:r w:rsidR="0089298C" w:rsidRPr="002F50BD">
        <w:rPr>
          <w:rFonts w:ascii="Verdana" w:hAnsi="Verdana"/>
          <w:sz w:val="20"/>
          <w:lang w:val="pt-BR"/>
        </w:rPr>
        <w:t xml:space="preserve"> </w:t>
      </w:r>
      <w:r w:rsidR="004756C1" w:rsidRPr="002F50BD">
        <w:rPr>
          <w:rFonts w:ascii="Verdana" w:hAnsi="Verdana"/>
          <w:sz w:val="20"/>
          <w:lang w:val="pt-BR"/>
        </w:rPr>
        <w:t>Corte n</w:t>
      </w:r>
      <w:r w:rsidRPr="002F50BD">
        <w:rPr>
          <w:rFonts w:ascii="Verdana" w:hAnsi="Verdana"/>
          <w:sz w:val="20"/>
          <w:lang w:val="pt-BR"/>
        </w:rPr>
        <w:t>ã</w:t>
      </w:r>
      <w:r w:rsidR="004756C1" w:rsidRPr="002F50BD">
        <w:rPr>
          <w:rFonts w:ascii="Verdana" w:hAnsi="Verdana"/>
          <w:sz w:val="20"/>
          <w:lang w:val="pt-BR"/>
        </w:rPr>
        <w:t>o l</w:t>
      </w:r>
      <w:r w:rsidRPr="002F50BD">
        <w:rPr>
          <w:rFonts w:ascii="Verdana" w:hAnsi="Verdana"/>
          <w:sz w:val="20"/>
          <w:lang w:val="pt-BR"/>
        </w:rPr>
        <w:t>h</w:t>
      </w:r>
      <w:r w:rsidR="004756C1" w:rsidRPr="002F50BD">
        <w:rPr>
          <w:rFonts w:ascii="Verdana" w:hAnsi="Verdana"/>
          <w:sz w:val="20"/>
          <w:lang w:val="pt-BR"/>
        </w:rPr>
        <w:t xml:space="preserve">e compete determinar </w:t>
      </w:r>
      <w:r w:rsidR="0089298C" w:rsidRPr="002F50BD">
        <w:rPr>
          <w:rFonts w:ascii="Verdana" w:hAnsi="Verdana"/>
          <w:sz w:val="20"/>
          <w:lang w:val="pt-BR"/>
        </w:rPr>
        <w:t>qual é o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89298C" w:rsidRPr="002F50BD">
        <w:rPr>
          <w:rFonts w:ascii="Verdana" w:hAnsi="Verdana"/>
          <w:sz w:val="20"/>
          <w:lang w:val="pt-BR"/>
        </w:rPr>
        <w:t>mas</w:t>
      </w:r>
      <w:r w:rsidR="004756C1" w:rsidRPr="002F50BD">
        <w:rPr>
          <w:rFonts w:ascii="Verdana" w:hAnsi="Verdana"/>
          <w:sz w:val="20"/>
          <w:lang w:val="pt-BR"/>
        </w:rPr>
        <w:t xml:space="preserve"> </w:t>
      </w:r>
      <w:r w:rsidR="0089298C" w:rsidRPr="002F50BD">
        <w:rPr>
          <w:rFonts w:ascii="Verdana" w:hAnsi="Verdana"/>
          <w:sz w:val="20"/>
          <w:lang w:val="pt-BR"/>
        </w:rPr>
        <w:t>si</w:t>
      </w:r>
      <w:r w:rsidRPr="002F50BD">
        <w:rPr>
          <w:rFonts w:ascii="Verdana" w:hAnsi="Verdana"/>
          <w:sz w:val="20"/>
          <w:lang w:val="pt-BR"/>
        </w:rPr>
        <w:t>m</w:t>
      </w:r>
      <w:r w:rsidR="0089298C" w:rsidRPr="002F50BD">
        <w:rPr>
          <w:rFonts w:ascii="Verdana" w:hAnsi="Verdana"/>
          <w:sz w:val="20"/>
          <w:lang w:val="pt-BR"/>
        </w:rPr>
        <w:t xml:space="preserve"> estabelece</w:t>
      </w:r>
      <w:r w:rsidR="004756C1" w:rsidRPr="002F50BD">
        <w:rPr>
          <w:rFonts w:ascii="Verdana" w:hAnsi="Verdana"/>
          <w:sz w:val="20"/>
          <w:lang w:val="pt-BR"/>
        </w:rPr>
        <w:t>r</w:t>
      </w:r>
      <w:r w:rsidR="0089298C" w:rsidRPr="002F50BD">
        <w:rPr>
          <w:rFonts w:ascii="Verdana" w:hAnsi="Verdana"/>
          <w:sz w:val="20"/>
          <w:lang w:val="pt-BR"/>
        </w:rPr>
        <w:t xml:space="preserve"> se o </w:t>
      </w:r>
      <w:r w:rsidR="004756C1" w:rsidRPr="002F50BD">
        <w:rPr>
          <w:rFonts w:ascii="Verdana" w:hAnsi="Verdana"/>
          <w:sz w:val="20"/>
          <w:lang w:val="pt-BR"/>
        </w:rPr>
        <w:t xml:space="preserve">Estado </w:t>
      </w:r>
      <w:r w:rsidRPr="002F50BD">
        <w:rPr>
          <w:rFonts w:ascii="Verdana" w:hAnsi="Verdana"/>
          <w:sz w:val="20"/>
          <w:lang w:val="pt-BR"/>
        </w:rPr>
        <w:t>respeitou</w:t>
      </w:r>
      <w:r w:rsidR="0089298C" w:rsidRPr="002F50BD">
        <w:rPr>
          <w:rFonts w:ascii="Verdana" w:hAnsi="Verdana"/>
          <w:sz w:val="20"/>
          <w:lang w:val="pt-BR"/>
        </w:rPr>
        <w:t xml:space="preserve"> e garanti</w:t>
      </w:r>
      <w:r w:rsidRPr="002F50BD">
        <w:rPr>
          <w:rFonts w:ascii="Verdana" w:hAnsi="Verdana"/>
          <w:sz w:val="20"/>
          <w:lang w:val="pt-BR"/>
        </w:rPr>
        <w:t>u</w:t>
      </w:r>
      <w:r w:rsidR="0089298C" w:rsidRPr="002F50BD">
        <w:rPr>
          <w:rFonts w:ascii="Verdana" w:hAnsi="Verdana"/>
          <w:sz w:val="20"/>
          <w:lang w:val="pt-BR"/>
        </w:rPr>
        <w:t xml:space="preserve"> o direito à propriedade</w:t>
      </w:r>
      <w:r w:rsidR="004756C1" w:rsidRPr="002F50BD">
        <w:rPr>
          <w:rFonts w:ascii="Verdana" w:hAnsi="Verdana"/>
          <w:sz w:val="20"/>
          <w:lang w:val="pt-BR"/>
        </w:rPr>
        <w:t xml:space="preserve"> comunal de </w:t>
      </w:r>
      <w:r w:rsidR="00AB454A" w:rsidRPr="002F50BD">
        <w:rPr>
          <w:rFonts w:ascii="Verdana" w:hAnsi="Verdana"/>
          <w:sz w:val="20"/>
          <w:lang w:val="pt-BR"/>
        </w:rPr>
        <w:t>seus membros</w:t>
      </w:r>
      <w:r w:rsidR="004756C1" w:rsidRPr="002F50BD">
        <w:rPr>
          <w:rFonts w:ascii="Verdana" w:hAnsi="Verdana"/>
          <w:sz w:val="20"/>
          <w:lang w:val="pt-BR"/>
        </w:rPr>
        <w:t>, como</w:t>
      </w:r>
      <w:r w:rsidR="00A74658" w:rsidRPr="002F50BD">
        <w:rPr>
          <w:rFonts w:ascii="Verdana" w:hAnsi="Verdana"/>
          <w:sz w:val="20"/>
          <w:lang w:val="pt-BR"/>
        </w:rPr>
        <w:t>,</w:t>
      </w:r>
      <w:r w:rsidR="0089298C" w:rsidRPr="002F50BD">
        <w:rPr>
          <w:rFonts w:ascii="Verdana" w:hAnsi="Verdana"/>
          <w:sz w:val="20"/>
          <w:lang w:val="pt-BR"/>
        </w:rPr>
        <w:t xml:space="preserve"> em efeito</w:t>
      </w:r>
      <w:r w:rsidR="00A74658"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fez </w:t>
      </w:r>
      <w:r w:rsidR="0089298C" w:rsidRPr="002F50BD">
        <w:rPr>
          <w:rFonts w:ascii="Verdana" w:hAnsi="Verdana"/>
          <w:sz w:val="20"/>
          <w:lang w:val="pt-BR"/>
        </w:rPr>
        <w:t xml:space="preserve">na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00063B47" w:rsidRPr="002F50BD">
        <w:rPr>
          <w:rFonts w:ascii="Verdana" w:hAnsi="Verdana"/>
          <w:sz w:val="20"/>
          <w:lang w:val="pt-BR"/>
        </w:rPr>
        <w:t>123</w:t>
      </w:r>
      <w:r w:rsidR="004756C1" w:rsidRPr="002F50BD">
        <w:rPr>
          <w:rFonts w:ascii="Verdana" w:hAnsi="Verdana"/>
          <w:sz w:val="20"/>
          <w:lang w:val="pt-BR"/>
        </w:rPr>
        <w:t xml:space="preserve"> a </w:t>
      </w:r>
      <w:r w:rsidR="00063B47" w:rsidRPr="002F50BD">
        <w:rPr>
          <w:rFonts w:ascii="Verdana" w:hAnsi="Verdana"/>
          <w:sz w:val="20"/>
          <w:lang w:val="pt-BR"/>
        </w:rPr>
        <w:t>156</w:t>
      </w:r>
      <w:r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Pela </w:t>
      </w:r>
      <w:r w:rsidR="0089298C" w:rsidRPr="002F50BD">
        <w:rPr>
          <w:rFonts w:ascii="Verdana" w:hAnsi="Verdana"/>
          <w:sz w:val="20"/>
          <w:lang w:val="pt-BR"/>
        </w:rPr>
        <w:t>razão</w:t>
      </w:r>
      <w:r w:rsidR="004756C1" w:rsidRPr="002F50BD">
        <w:rPr>
          <w:rFonts w:ascii="Verdana" w:hAnsi="Verdana"/>
          <w:sz w:val="20"/>
          <w:lang w:val="pt-BR"/>
        </w:rPr>
        <w:t xml:space="preserve"> anterior, corresponde</w:t>
      </w:r>
      <w:r w:rsidR="0089298C" w:rsidRPr="002F50BD">
        <w:rPr>
          <w:rFonts w:ascii="Verdana" w:hAnsi="Verdana"/>
          <w:sz w:val="20"/>
          <w:lang w:val="pt-BR"/>
        </w:rPr>
        <w:t xml:space="preserve"> ao </w:t>
      </w:r>
      <w:r w:rsidR="004756C1" w:rsidRPr="002F50BD">
        <w:rPr>
          <w:rFonts w:ascii="Verdana" w:hAnsi="Verdana"/>
          <w:sz w:val="20"/>
          <w:lang w:val="pt-BR"/>
        </w:rPr>
        <w:t>Estado delimitar, demarcar, titular</w:t>
      </w:r>
      <w:r w:rsidR="0089298C" w:rsidRPr="002F50BD">
        <w:rPr>
          <w:rFonts w:ascii="Verdana" w:hAnsi="Verdana"/>
          <w:sz w:val="20"/>
          <w:lang w:val="pt-BR"/>
        </w:rPr>
        <w:t xml:space="preserve"> e </w:t>
      </w:r>
      <w:r w:rsidR="004756C1" w:rsidRPr="002F50BD">
        <w:rPr>
          <w:rFonts w:ascii="Verdana" w:hAnsi="Verdana"/>
          <w:sz w:val="20"/>
          <w:lang w:val="pt-BR"/>
        </w:rPr>
        <w:t>entregar</w:t>
      </w:r>
      <w:r w:rsidR="0089298C" w:rsidRPr="002F50BD">
        <w:rPr>
          <w:rFonts w:ascii="Verdana" w:hAnsi="Verdana"/>
          <w:sz w:val="20"/>
          <w:lang w:val="pt-BR"/>
        </w:rPr>
        <w:t xml:space="preserve"> as terra</w:t>
      </w:r>
      <w:r w:rsidR="004756C1" w:rsidRPr="002F50BD">
        <w:rPr>
          <w:rFonts w:ascii="Verdana" w:hAnsi="Verdana"/>
          <w:sz w:val="20"/>
          <w:lang w:val="pt-BR"/>
        </w:rPr>
        <w:t xml:space="preserve">s, </w:t>
      </w:r>
      <w:r w:rsidR="0089298C" w:rsidRPr="002F50BD">
        <w:rPr>
          <w:rFonts w:ascii="Verdana" w:hAnsi="Verdana"/>
          <w:sz w:val="20"/>
          <w:lang w:val="pt-BR"/>
        </w:rPr>
        <w:t>de acordo com os parágrafo</w:t>
      </w:r>
      <w:r w:rsidR="004756C1" w:rsidRPr="002F50BD">
        <w:rPr>
          <w:rFonts w:ascii="Verdana" w:hAnsi="Verdana"/>
          <w:sz w:val="20"/>
          <w:lang w:val="pt-BR"/>
        </w:rPr>
        <w:t xml:space="preserve">s </w:t>
      </w:r>
      <w:r w:rsidR="00063B47" w:rsidRPr="002F50BD">
        <w:rPr>
          <w:rFonts w:ascii="Verdana" w:hAnsi="Verdana"/>
          <w:sz w:val="20"/>
          <w:lang w:val="pt-BR"/>
        </w:rPr>
        <w:t>137</w:t>
      </w:r>
      <w:r w:rsidR="004756C1" w:rsidRPr="002F50BD">
        <w:rPr>
          <w:rFonts w:ascii="Verdana" w:hAnsi="Verdana"/>
          <w:sz w:val="20"/>
          <w:lang w:val="pt-BR"/>
        </w:rPr>
        <w:t xml:space="preserve"> a </w:t>
      </w:r>
      <w:r w:rsidR="00063B47" w:rsidRPr="002F50BD">
        <w:rPr>
          <w:rFonts w:ascii="Verdana" w:hAnsi="Verdana"/>
          <w:sz w:val="20"/>
          <w:lang w:val="pt-BR"/>
        </w:rPr>
        <w:t>154</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numPr>
          <w:ilvl w:val="0"/>
          <w:numId w:val="32"/>
        </w:numPr>
        <w:jc w:val="both"/>
        <w:rPr>
          <w:rFonts w:ascii="Verdana" w:hAnsi="Verdana"/>
          <w:sz w:val="20"/>
          <w:lang w:val="pt-BR"/>
        </w:rPr>
      </w:pPr>
      <w:r w:rsidRPr="002F50BD">
        <w:rPr>
          <w:rFonts w:ascii="Verdana" w:hAnsi="Verdana"/>
          <w:sz w:val="20"/>
          <w:lang w:val="pt-BR"/>
        </w:rPr>
        <w:t>Para</w:t>
      </w:r>
      <w:r w:rsidR="0089298C" w:rsidRPr="002F50BD">
        <w:rPr>
          <w:rFonts w:ascii="Verdana" w:hAnsi="Verdana"/>
          <w:sz w:val="20"/>
          <w:lang w:val="pt-BR"/>
        </w:rPr>
        <w:t xml:space="preserve"> </w:t>
      </w:r>
      <w:r w:rsidR="00CA5630" w:rsidRPr="002F50BD">
        <w:rPr>
          <w:rFonts w:ascii="Verdana" w:hAnsi="Verdana"/>
          <w:sz w:val="20"/>
          <w:lang w:val="pt-BR"/>
        </w:rPr>
        <w:t>isso</w:t>
      </w:r>
      <w:r w:rsidRPr="002F50BD">
        <w:rPr>
          <w:rFonts w:ascii="Verdana" w:hAnsi="Verdana"/>
          <w:sz w:val="20"/>
          <w:lang w:val="pt-BR"/>
        </w:rPr>
        <w:t>,</w:t>
      </w:r>
      <w:r w:rsidR="0089298C" w:rsidRPr="002F50BD">
        <w:rPr>
          <w:rFonts w:ascii="Verdana" w:hAnsi="Verdana"/>
          <w:sz w:val="20"/>
          <w:lang w:val="pt-BR"/>
        </w:rPr>
        <w:t xml:space="preserve"> é necessári</w:t>
      </w:r>
      <w:r w:rsidRPr="002F50BD">
        <w:rPr>
          <w:rFonts w:ascii="Verdana" w:hAnsi="Verdana"/>
          <w:sz w:val="20"/>
          <w:lang w:val="pt-BR"/>
        </w:rPr>
        <w:t>o considerar que</w:t>
      </w:r>
      <w:r w:rsidR="0089298C" w:rsidRPr="002F50BD">
        <w:rPr>
          <w:rFonts w:ascii="Verdana" w:hAnsi="Verdana"/>
          <w:sz w:val="20"/>
          <w:lang w:val="pt-BR"/>
        </w:rPr>
        <w:t xml:space="preserve"> as vítima</w:t>
      </w:r>
      <w:r w:rsidRPr="002F50BD">
        <w:rPr>
          <w:rFonts w:ascii="Verdana" w:hAnsi="Verdana"/>
          <w:sz w:val="20"/>
          <w:lang w:val="pt-BR"/>
        </w:rPr>
        <w:t xml:space="preserve">s </w:t>
      </w:r>
      <w:r w:rsidR="0089298C" w:rsidRPr="002F50BD">
        <w:rPr>
          <w:rFonts w:ascii="Verdana" w:hAnsi="Verdana"/>
          <w:sz w:val="20"/>
          <w:lang w:val="pt-BR"/>
        </w:rPr>
        <w:t xml:space="preserve">do </w:t>
      </w:r>
      <w:r w:rsidRPr="002F50BD">
        <w:rPr>
          <w:rFonts w:ascii="Verdana" w:hAnsi="Verdana"/>
          <w:sz w:val="20"/>
          <w:lang w:val="pt-BR"/>
        </w:rPr>
        <w:t xml:space="preserve">presente caso </w:t>
      </w:r>
      <w:r w:rsidR="00673A61" w:rsidRPr="002F50BD">
        <w:rPr>
          <w:rFonts w:ascii="Verdana" w:hAnsi="Verdana"/>
          <w:sz w:val="20"/>
          <w:lang w:val="pt-BR"/>
        </w:rPr>
        <w:t>possuem</w:t>
      </w:r>
      <w:r w:rsidR="00A74658" w:rsidRPr="002F50BD">
        <w:rPr>
          <w:rFonts w:ascii="Verdana" w:hAnsi="Verdana"/>
          <w:sz w:val="20"/>
          <w:lang w:val="pt-BR"/>
        </w:rPr>
        <w:t>,</w:t>
      </w:r>
      <w:r w:rsidRPr="002F50BD">
        <w:rPr>
          <w:rFonts w:ascii="Verdana" w:hAnsi="Verdana"/>
          <w:sz w:val="20"/>
          <w:lang w:val="pt-BR"/>
        </w:rPr>
        <w:t xml:space="preserve"> </w:t>
      </w:r>
      <w:r w:rsidR="0089298C" w:rsidRPr="002F50BD">
        <w:rPr>
          <w:rFonts w:ascii="Verdana" w:hAnsi="Verdana"/>
          <w:sz w:val="20"/>
          <w:lang w:val="pt-BR"/>
        </w:rPr>
        <w:t>até hoje</w:t>
      </w:r>
      <w:r w:rsidR="00A74658" w:rsidRPr="002F50BD">
        <w:rPr>
          <w:rFonts w:ascii="Verdana" w:hAnsi="Verdana"/>
          <w:sz w:val="20"/>
          <w:lang w:val="pt-BR"/>
        </w:rPr>
        <w:t>,</w:t>
      </w:r>
      <w:r w:rsidR="0089298C" w:rsidRPr="002F50BD">
        <w:rPr>
          <w:rFonts w:ascii="Verdana" w:hAnsi="Verdana"/>
          <w:sz w:val="20"/>
          <w:lang w:val="pt-BR"/>
        </w:rPr>
        <w:t xml:space="preserve"> consciência</w:t>
      </w:r>
      <w:r w:rsidRPr="002F50BD">
        <w:rPr>
          <w:rFonts w:ascii="Verdana" w:hAnsi="Verdana"/>
          <w:sz w:val="20"/>
          <w:lang w:val="pt-BR"/>
        </w:rPr>
        <w:t xml:space="preserve"> de</w:t>
      </w:r>
      <w:r w:rsidR="0089298C" w:rsidRPr="002F50BD">
        <w:rPr>
          <w:rFonts w:ascii="Verdana" w:hAnsi="Verdana"/>
          <w:sz w:val="20"/>
          <w:lang w:val="pt-BR"/>
        </w:rPr>
        <w:t xml:space="preserve"> uma história </w:t>
      </w:r>
      <w:r w:rsidRPr="002F50BD">
        <w:rPr>
          <w:rFonts w:ascii="Verdana" w:hAnsi="Verdana"/>
          <w:sz w:val="20"/>
          <w:lang w:val="pt-BR"/>
        </w:rPr>
        <w:t xml:space="preserve">exclusiva </w:t>
      </w:r>
      <w:r w:rsidR="0089298C" w:rsidRPr="002F50BD">
        <w:rPr>
          <w:rFonts w:ascii="Verdana" w:hAnsi="Verdana"/>
          <w:sz w:val="20"/>
          <w:lang w:val="pt-BR"/>
        </w:rPr>
        <w:t>comum</w:t>
      </w:r>
      <w:r w:rsidRPr="002F50BD">
        <w:rPr>
          <w:rFonts w:ascii="Verdana" w:hAnsi="Verdana"/>
          <w:sz w:val="20"/>
          <w:lang w:val="pt-BR"/>
        </w:rPr>
        <w:t>;</w:t>
      </w:r>
      <w:r w:rsidR="0089298C" w:rsidRPr="002F50BD">
        <w:rPr>
          <w:rFonts w:ascii="Verdana" w:hAnsi="Verdana"/>
          <w:sz w:val="20"/>
          <w:lang w:val="pt-BR"/>
        </w:rPr>
        <w:t xml:space="preserve"> são a expressão</w:t>
      </w:r>
      <w:r w:rsidRPr="002F50BD">
        <w:rPr>
          <w:rFonts w:ascii="Verdana" w:hAnsi="Verdana"/>
          <w:sz w:val="20"/>
          <w:lang w:val="pt-BR"/>
        </w:rPr>
        <w:t xml:space="preserve"> sedentarizada de</w:t>
      </w:r>
      <w:r w:rsidR="0089298C" w:rsidRPr="002F50BD">
        <w:rPr>
          <w:rFonts w:ascii="Verdana" w:hAnsi="Verdana"/>
          <w:sz w:val="20"/>
          <w:lang w:val="pt-BR"/>
        </w:rPr>
        <w:t xml:space="preserve"> um</w:t>
      </w:r>
      <w:r w:rsidR="00CA5630" w:rsidRPr="002F50BD">
        <w:rPr>
          <w:rFonts w:ascii="Verdana" w:hAnsi="Verdana"/>
          <w:sz w:val="20"/>
          <w:lang w:val="pt-BR"/>
        </w:rPr>
        <w:t xml:space="preserve"> dos grupos </w:t>
      </w:r>
      <w:r w:rsidR="0089298C" w:rsidRPr="002F50BD">
        <w:rPr>
          <w:rFonts w:ascii="Verdana" w:hAnsi="Verdana"/>
          <w:sz w:val="20"/>
          <w:lang w:val="pt-BR"/>
        </w:rPr>
        <w:t>do povo</w:t>
      </w:r>
      <w:r w:rsidRPr="002F50BD">
        <w:rPr>
          <w:rFonts w:ascii="Verdana" w:hAnsi="Verdana"/>
          <w:sz w:val="20"/>
          <w:lang w:val="pt-BR"/>
        </w:rPr>
        <w:t xml:space="preserve"> indígena</w:t>
      </w:r>
      <w:r w:rsidR="0089298C" w:rsidRPr="002F50BD">
        <w:rPr>
          <w:rFonts w:ascii="Verdana" w:hAnsi="Verdana"/>
          <w:sz w:val="20"/>
          <w:lang w:val="pt-BR"/>
        </w:rPr>
        <w:t xml:space="preserve"> dos </w:t>
      </w:r>
      <w:r w:rsidRPr="002F50BD">
        <w:rPr>
          <w:rFonts w:ascii="Verdana" w:hAnsi="Verdana"/>
          <w:sz w:val="20"/>
          <w:lang w:val="pt-BR"/>
        </w:rPr>
        <w:t>Chanawatsan,</w:t>
      </w:r>
      <w:r w:rsidR="0089298C" w:rsidRPr="002F50BD">
        <w:rPr>
          <w:rFonts w:ascii="Verdana" w:hAnsi="Verdana"/>
          <w:sz w:val="20"/>
          <w:lang w:val="pt-BR"/>
        </w:rPr>
        <w:t xml:space="preserve"> da família </w:t>
      </w:r>
      <w:r w:rsidRPr="002F50BD">
        <w:rPr>
          <w:rFonts w:ascii="Verdana" w:hAnsi="Verdana"/>
          <w:sz w:val="20"/>
          <w:lang w:val="pt-BR"/>
        </w:rPr>
        <w:t>ling</w:t>
      </w:r>
      <w:r w:rsidR="003F3630">
        <w:rPr>
          <w:rFonts w:ascii="Verdana" w:hAnsi="Verdana"/>
          <w:sz w:val="20"/>
          <w:lang w:val="pt-BR"/>
        </w:rPr>
        <w:t>u</w:t>
      </w:r>
      <w:r w:rsidRPr="002F50BD">
        <w:rPr>
          <w:rFonts w:ascii="Verdana" w:hAnsi="Verdana"/>
          <w:sz w:val="20"/>
          <w:lang w:val="pt-BR"/>
        </w:rPr>
        <w:t>ística</w:t>
      </w:r>
      <w:r w:rsidR="0089298C" w:rsidRPr="002F50BD">
        <w:rPr>
          <w:rFonts w:ascii="Verdana" w:hAnsi="Verdana"/>
          <w:sz w:val="20"/>
          <w:lang w:val="pt-BR"/>
        </w:rPr>
        <w:t xml:space="preserve"> dos </w:t>
      </w:r>
      <w:r w:rsidR="00CD3DEB" w:rsidRPr="002F50BD">
        <w:rPr>
          <w:rFonts w:ascii="Verdana" w:hAnsi="Verdana"/>
          <w:sz w:val="20"/>
          <w:lang w:val="pt-BR"/>
        </w:rPr>
        <w:t>L</w:t>
      </w:r>
      <w:r w:rsidR="00CA5630" w:rsidRPr="002F50BD">
        <w:rPr>
          <w:rFonts w:ascii="Verdana" w:hAnsi="Verdana"/>
          <w:sz w:val="20"/>
          <w:lang w:val="pt-BR"/>
        </w:rPr>
        <w:t>e</w:t>
      </w:r>
      <w:r w:rsidR="00CD3DEB" w:rsidRPr="002F50BD">
        <w:rPr>
          <w:rFonts w:ascii="Verdana" w:hAnsi="Verdana"/>
          <w:sz w:val="20"/>
          <w:lang w:val="pt-BR"/>
        </w:rPr>
        <w:t>ngua</w:t>
      </w:r>
      <w:r w:rsidRPr="002F50BD">
        <w:rPr>
          <w:rFonts w:ascii="Verdana" w:hAnsi="Verdana"/>
          <w:sz w:val="20"/>
          <w:lang w:val="pt-BR"/>
        </w:rPr>
        <w:t xml:space="preserve">-Maskoy, que </w:t>
      </w:r>
      <w:r w:rsidR="0089298C" w:rsidRPr="002F50BD">
        <w:rPr>
          <w:rFonts w:ascii="Verdana" w:hAnsi="Verdana"/>
          <w:sz w:val="20"/>
          <w:lang w:val="pt-BR"/>
        </w:rPr>
        <w:t xml:space="preserve">tinham um </w:t>
      </w:r>
      <w:r w:rsidRPr="002F50BD">
        <w:rPr>
          <w:rFonts w:ascii="Verdana" w:hAnsi="Verdana"/>
          <w:sz w:val="20"/>
          <w:lang w:val="pt-BR"/>
        </w:rPr>
        <w:t>modo de ocupa</w:t>
      </w:r>
      <w:r w:rsidR="0089298C" w:rsidRPr="002F50BD">
        <w:rPr>
          <w:rFonts w:ascii="Verdana" w:hAnsi="Verdana"/>
          <w:sz w:val="20"/>
          <w:lang w:val="pt-BR"/>
        </w:rPr>
        <w:t>ção</w:t>
      </w:r>
      <w:r w:rsidRPr="002F50BD">
        <w:rPr>
          <w:rFonts w:ascii="Verdana" w:hAnsi="Verdana"/>
          <w:sz w:val="20"/>
          <w:lang w:val="pt-BR"/>
        </w:rPr>
        <w:t xml:space="preserve"> tradicional de </w:t>
      </w:r>
      <w:r w:rsidR="00AB454A" w:rsidRPr="002F50BD">
        <w:rPr>
          <w:rFonts w:ascii="Verdana" w:hAnsi="Verdana"/>
          <w:sz w:val="20"/>
          <w:lang w:val="pt-BR"/>
        </w:rPr>
        <w:t>caça</w:t>
      </w:r>
      <w:r w:rsidRPr="002F50BD">
        <w:rPr>
          <w:rFonts w:ascii="Verdana" w:hAnsi="Verdana"/>
          <w:sz w:val="20"/>
          <w:lang w:val="pt-BR"/>
        </w:rPr>
        <w:t>dores-</w:t>
      </w:r>
      <w:r w:rsidR="00CA5630" w:rsidRPr="002F50BD">
        <w:rPr>
          <w:rFonts w:ascii="Verdana" w:hAnsi="Verdana"/>
          <w:sz w:val="20"/>
          <w:lang w:val="pt-BR"/>
        </w:rPr>
        <w:t xml:space="preserve">coletores </w:t>
      </w:r>
      <w:r w:rsidR="00CF451D" w:rsidRPr="00CF451D">
        <w:rPr>
          <w:rFonts w:ascii="Verdana" w:hAnsi="Verdana"/>
          <w:sz w:val="20"/>
          <w:lang w:val="pt-BR"/>
        </w:rPr>
        <w:t>(</w:t>
      </w:r>
      <w:r w:rsidR="0089298C" w:rsidRPr="002F50BD">
        <w:rPr>
          <w:rFonts w:ascii="Verdana" w:hAnsi="Verdana"/>
          <w:sz w:val="20"/>
          <w:lang w:val="pt-BR"/>
        </w:rPr>
        <w:t>pars.</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2</w:t>
      </w:r>
      <w:r w:rsidR="0089298C" w:rsidRPr="002F50BD">
        <w:rPr>
          <w:rFonts w:ascii="Verdana" w:hAnsi="Verdana"/>
          <w:sz w:val="20"/>
          <w:lang w:val="pt-BR"/>
        </w:rPr>
        <w:t xml:space="preserve"> e </w:t>
      </w:r>
      <w:r w:rsidR="00063B47" w:rsidRPr="002F50BD">
        <w:rPr>
          <w:rFonts w:ascii="Verdana" w:hAnsi="Verdana"/>
          <w:sz w:val="20"/>
          <w:lang w:val="pt-BR"/>
        </w:rPr>
        <w:t>50</w:t>
      </w:r>
      <w:r w:rsidRPr="002F50BD">
        <w:rPr>
          <w:rFonts w:ascii="Verdana" w:hAnsi="Verdana"/>
          <w:sz w:val="20"/>
          <w:lang w:val="pt-BR"/>
        </w:rPr>
        <w:t>.</w:t>
      </w:r>
      <w:r w:rsidR="00063B47" w:rsidRPr="002F50BD">
        <w:rPr>
          <w:rFonts w:ascii="Verdana" w:hAnsi="Verdana"/>
          <w:sz w:val="20"/>
          <w:lang w:val="pt-BR"/>
        </w:rPr>
        <w:t>3</w:t>
      </w:r>
      <w:r w:rsidR="00CA5630" w:rsidRPr="002F50BD">
        <w:rPr>
          <w:rFonts w:ascii="Verdana" w:hAnsi="Verdana"/>
          <w:i/>
          <w:sz w:val="20"/>
          <w:lang w:val="pt-BR"/>
        </w:rPr>
        <w:t xml:space="preserve"> supra</w:t>
      </w:r>
      <w:r w:rsidR="00CF451D" w:rsidRPr="00CF451D">
        <w:rPr>
          <w:rFonts w:ascii="Verdana" w:hAnsi="Verdana"/>
          <w:sz w:val="20"/>
          <w:lang w:val="pt-BR"/>
        </w:rPr>
        <w:t>)</w:t>
      </w:r>
      <w:r w:rsidR="00AB454A" w:rsidRPr="002F50BD">
        <w:rPr>
          <w:rFonts w:ascii="Verdana" w:hAnsi="Verdana"/>
          <w:sz w:val="20"/>
          <w:lang w:val="pt-BR"/>
        </w:rPr>
        <w:t xml:space="preserve">. A </w:t>
      </w:r>
      <w:r w:rsidR="00A50140" w:rsidRPr="002F50BD">
        <w:rPr>
          <w:rFonts w:ascii="Verdana" w:hAnsi="Verdana"/>
          <w:sz w:val="20"/>
          <w:lang w:val="pt-BR"/>
        </w:rPr>
        <w:t>posse</w:t>
      </w:r>
      <w:r w:rsidRPr="002F50BD">
        <w:rPr>
          <w:rFonts w:ascii="Verdana" w:hAnsi="Verdana"/>
          <w:sz w:val="20"/>
          <w:lang w:val="pt-BR"/>
        </w:rPr>
        <w:t xml:space="preserve"> de </w:t>
      </w:r>
      <w:r w:rsidR="00AB454A" w:rsidRPr="002F50BD">
        <w:rPr>
          <w:rFonts w:ascii="Verdana" w:hAnsi="Verdana"/>
          <w:sz w:val="20"/>
          <w:lang w:val="pt-BR"/>
        </w:rPr>
        <w:t>seu território</w:t>
      </w:r>
      <w:r w:rsidRPr="002F50BD">
        <w:rPr>
          <w:rFonts w:ascii="Verdana" w:hAnsi="Verdana"/>
          <w:sz w:val="20"/>
          <w:lang w:val="pt-BR"/>
        </w:rPr>
        <w:t xml:space="preserve"> tradicional está marcada de forma </w:t>
      </w:r>
      <w:r w:rsidR="00CA5630" w:rsidRPr="002F50BD">
        <w:rPr>
          <w:rFonts w:ascii="Verdana" w:hAnsi="Verdana"/>
          <w:sz w:val="20"/>
          <w:lang w:val="pt-BR"/>
        </w:rPr>
        <w:t>indelével</w:t>
      </w:r>
      <w:r w:rsidR="0089298C" w:rsidRPr="002F50BD">
        <w:rPr>
          <w:rFonts w:ascii="Verdana" w:hAnsi="Verdana"/>
          <w:sz w:val="20"/>
          <w:lang w:val="pt-BR"/>
        </w:rPr>
        <w:t xml:space="preserve"> em </w:t>
      </w:r>
      <w:r w:rsidR="00CA5630" w:rsidRPr="002F50BD">
        <w:rPr>
          <w:rFonts w:ascii="Verdana" w:hAnsi="Verdana"/>
          <w:sz w:val="20"/>
          <w:lang w:val="pt-BR"/>
        </w:rPr>
        <w:t>sua memória</w:t>
      </w:r>
      <w:r w:rsidR="0089298C" w:rsidRPr="002F50BD">
        <w:rPr>
          <w:rFonts w:ascii="Verdana" w:hAnsi="Verdana"/>
          <w:sz w:val="20"/>
          <w:lang w:val="pt-BR"/>
        </w:rPr>
        <w:t xml:space="preserve"> </w:t>
      </w:r>
      <w:r w:rsidRPr="002F50BD">
        <w:rPr>
          <w:rFonts w:ascii="Verdana" w:hAnsi="Verdana"/>
          <w:sz w:val="20"/>
          <w:lang w:val="pt-BR"/>
        </w:rPr>
        <w:t>histórica</w:t>
      </w:r>
      <w:r w:rsidR="0089298C" w:rsidRPr="002F50BD">
        <w:rPr>
          <w:rFonts w:ascii="Verdana" w:hAnsi="Verdana"/>
          <w:sz w:val="20"/>
          <w:lang w:val="pt-BR"/>
        </w:rPr>
        <w:t xml:space="preserve"> e a </w:t>
      </w:r>
      <w:r w:rsidRPr="002F50BD">
        <w:rPr>
          <w:rFonts w:ascii="Verdana" w:hAnsi="Verdana"/>
          <w:sz w:val="20"/>
          <w:lang w:val="pt-BR"/>
        </w:rPr>
        <w:t>rela</w:t>
      </w:r>
      <w:r w:rsidR="0089298C" w:rsidRPr="002F50BD">
        <w:rPr>
          <w:rFonts w:ascii="Verdana" w:hAnsi="Verdana"/>
          <w:sz w:val="20"/>
          <w:lang w:val="pt-BR"/>
        </w:rPr>
        <w:t>ção</w:t>
      </w:r>
      <w:r w:rsidRPr="002F50BD">
        <w:rPr>
          <w:rFonts w:ascii="Verdana" w:hAnsi="Verdana"/>
          <w:sz w:val="20"/>
          <w:lang w:val="pt-BR"/>
        </w:rPr>
        <w:t xml:space="preserve"> que man</w:t>
      </w:r>
      <w:r w:rsidR="0089298C" w:rsidRPr="002F50BD">
        <w:rPr>
          <w:rFonts w:ascii="Verdana" w:hAnsi="Verdana"/>
          <w:sz w:val="20"/>
          <w:lang w:val="pt-BR"/>
        </w:rPr>
        <w:t xml:space="preserve">têm com a terra é </w:t>
      </w:r>
      <w:r w:rsidRPr="002F50BD">
        <w:rPr>
          <w:rFonts w:ascii="Verdana" w:hAnsi="Verdana"/>
          <w:sz w:val="20"/>
          <w:lang w:val="pt-BR"/>
        </w:rPr>
        <w:t>de</w:t>
      </w:r>
      <w:r w:rsidR="0089298C" w:rsidRPr="002F50BD">
        <w:rPr>
          <w:rFonts w:ascii="Verdana" w:hAnsi="Verdana"/>
          <w:sz w:val="20"/>
          <w:lang w:val="pt-BR"/>
        </w:rPr>
        <w:t xml:space="preserve"> uma qualidade </w:t>
      </w:r>
      <w:r w:rsidRPr="002F50BD">
        <w:rPr>
          <w:rFonts w:ascii="Verdana" w:hAnsi="Verdana"/>
          <w:sz w:val="20"/>
          <w:lang w:val="pt-BR"/>
        </w:rPr>
        <w:t>tal que su</w:t>
      </w:r>
      <w:r w:rsidR="00CA5630" w:rsidRPr="002F50BD">
        <w:rPr>
          <w:rFonts w:ascii="Verdana" w:hAnsi="Verdana"/>
          <w:sz w:val="20"/>
          <w:lang w:val="pt-BR"/>
        </w:rPr>
        <w:t>a</w:t>
      </w:r>
      <w:r w:rsidRPr="002F50BD">
        <w:rPr>
          <w:rFonts w:ascii="Verdana" w:hAnsi="Verdana"/>
          <w:sz w:val="20"/>
          <w:lang w:val="pt-BR"/>
        </w:rPr>
        <w:t xml:space="preserve"> desvincula</w:t>
      </w:r>
      <w:r w:rsidR="0089298C" w:rsidRPr="002F50BD">
        <w:rPr>
          <w:rFonts w:ascii="Verdana" w:hAnsi="Verdana"/>
          <w:sz w:val="20"/>
          <w:lang w:val="pt-BR"/>
        </w:rPr>
        <w:t>ção da mesm</w:t>
      </w:r>
      <w:r w:rsidRPr="002F50BD">
        <w:rPr>
          <w:rFonts w:ascii="Verdana" w:hAnsi="Verdana"/>
          <w:sz w:val="20"/>
          <w:lang w:val="pt-BR"/>
        </w:rPr>
        <w:t xml:space="preserve">a implica </w:t>
      </w:r>
      <w:r w:rsidR="0089298C" w:rsidRPr="002F50BD">
        <w:rPr>
          <w:rFonts w:ascii="Verdana" w:hAnsi="Verdana"/>
          <w:sz w:val="20"/>
          <w:lang w:val="pt-BR"/>
        </w:rPr>
        <w:t>risco</w:t>
      </w:r>
      <w:r w:rsidRPr="002F50BD">
        <w:rPr>
          <w:rFonts w:ascii="Verdana" w:hAnsi="Verdana"/>
          <w:sz w:val="20"/>
          <w:lang w:val="pt-BR"/>
        </w:rPr>
        <w:t xml:space="preserve"> </w:t>
      </w:r>
      <w:r w:rsidR="0089298C" w:rsidRPr="002F50BD">
        <w:rPr>
          <w:rFonts w:ascii="Verdana" w:hAnsi="Verdana"/>
          <w:sz w:val="20"/>
          <w:lang w:val="pt-BR"/>
        </w:rPr>
        <w:t xml:space="preserve">certo </w:t>
      </w:r>
      <w:r w:rsidRPr="002F50BD">
        <w:rPr>
          <w:rFonts w:ascii="Verdana" w:hAnsi="Verdana"/>
          <w:sz w:val="20"/>
          <w:lang w:val="pt-BR"/>
        </w:rPr>
        <w:t>de</w:t>
      </w:r>
      <w:r w:rsidR="0089298C" w:rsidRPr="002F50BD">
        <w:rPr>
          <w:rFonts w:ascii="Verdana" w:hAnsi="Verdana"/>
          <w:sz w:val="20"/>
          <w:lang w:val="pt-BR"/>
        </w:rPr>
        <w:t xml:space="preserve"> uma perda</w:t>
      </w:r>
      <w:r w:rsidRPr="002F50BD">
        <w:rPr>
          <w:rFonts w:ascii="Verdana" w:hAnsi="Verdana"/>
          <w:sz w:val="20"/>
          <w:lang w:val="pt-BR"/>
        </w:rPr>
        <w:t xml:space="preserve"> étnica</w:t>
      </w:r>
      <w:r w:rsidR="0089298C" w:rsidRPr="002F50BD">
        <w:rPr>
          <w:rFonts w:ascii="Verdana" w:hAnsi="Verdana"/>
          <w:sz w:val="20"/>
          <w:lang w:val="pt-BR"/>
        </w:rPr>
        <w:t xml:space="preserve"> e </w:t>
      </w:r>
      <w:r w:rsidRPr="002F50BD">
        <w:rPr>
          <w:rFonts w:ascii="Verdana" w:hAnsi="Verdana"/>
          <w:sz w:val="20"/>
          <w:lang w:val="pt-BR"/>
        </w:rPr>
        <w:t xml:space="preserve">cultural </w:t>
      </w:r>
      <w:r w:rsidR="009D3156" w:rsidRPr="002F50BD">
        <w:rPr>
          <w:rFonts w:ascii="Verdana" w:hAnsi="Verdana"/>
          <w:sz w:val="20"/>
          <w:lang w:val="pt-BR"/>
        </w:rPr>
        <w:t>irreparável</w:t>
      </w:r>
      <w:r w:rsidRPr="002F50BD">
        <w:rPr>
          <w:rFonts w:ascii="Verdana" w:hAnsi="Verdana"/>
          <w:sz w:val="20"/>
          <w:lang w:val="pt-BR"/>
        </w:rPr>
        <w:t>,</w:t>
      </w:r>
      <w:r w:rsidR="0089298C" w:rsidRPr="002F50BD">
        <w:rPr>
          <w:rFonts w:ascii="Verdana" w:hAnsi="Verdana"/>
          <w:sz w:val="20"/>
          <w:lang w:val="pt-BR"/>
        </w:rPr>
        <w:t xml:space="preserve"> com </w:t>
      </w:r>
      <w:r w:rsidR="00CA5630" w:rsidRPr="002F50BD">
        <w:rPr>
          <w:rFonts w:ascii="Verdana" w:hAnsi="Verdana"/>
          <w:sz w:val="20"/>
          <w:lang w:val="pt-BR"/>
        </w:rPr>
        <w:t>o</w:t>
      </w:r>
      <w:r w:rsidR="0089298C" w:rsidRPr="002F50BD">
        <w:rPr>
          <w:rFonts w:ascii="Verdana" w:hAnsi="Verdana"/>
          <w:sz w:val="20"/>
          <w:lang w:val="pt-BR"/>
        </w:rPr>
        <w:t xml:space="preserve"> consequente </w:t>
      </w:r>
      <w:r w:rsidR="00CA5630" w:rsidRPr="002F50BD">
        <w:rPr>
          <w:rFonts w:ascii="Verdana" w:hAnsi="Verdana"/>
          <w:sz w:val="20"/>
          <w:lang w:val="pt-BR"/>
        </w:rPr>
        <w:t xml:space="preserve">vazio </w:t>
      </w:r>
      <w:r w:rsidRPr="002F50BD">
        <w:rPr>
          <w:rFonts w:ascii="Verdana" w:hAnsi="Verdana"/>
          <w:sz w:val="20"/>
          <w:lang w:val="pt-BR"/>
        </w:rPr>
        <w:t>para</w:t>
      </w:r>
      <w:r w:rsidR="0089298C" w:rsidRPr="002F50BD">
        <w:rPr>
          <w:rFonts w:ascii="Verdana" w:hAnsi="Verdana"/>
          <w:sz w:val="20"/>
          <w:lang w:val="pt-BR"/>
        </w:rPr>
        <w:t xml:space="preserve"> a </w:t>
      </w:r>
      <w:r w:rsidRPr="002F50BD">
        <w:rPr>
          <w:rFonts w:ascii="Verdana" w:hAnsi="Verdana"/>
          <w:sz w:val="20"/>
          <w:lang w:val="pt-BR"/>
        </w:rPr>
        <w:t>diversidad</w:t>
      </w:r>
      <w:r w:rsidR="00CA5630" w:rsidRPr="002F50BD">
        <w:rPr>
          <w:rFonts w:ascii="Verdana" w:hAnsi="Verdana"/>
          <w:sz w:val="20"/>
          <w:lang w:val="pt-BR"/>
        </w:rPr>
        <w:t>e</w:t>
      </w:r>
      <w:r w:rsidRPr="002F50BD">
        <w:rPr>
          <w:rFonts w:ascii="Verdana" w:hAnsi="Verdana"/>
          <w:sz w:val="20"/>
          <w:lang w:val="pt-BR"/>
        </w:rPr>
        <w:t xml:space="preserve"> que tal</w:t>
      </w:r>
      <w:r w:rsidR="0089298C" w:rsidRPr="002F50BD">
        <w:rPr>
          <w:rFonts w:ascii="Verdana" w:hAnsi="Verdana"/>
          <w:sz w:val="20"/>
          <w:lang w:val="pt-BR"/>
        </w:rPr>
        <w:t xml:space="preserve"> fato </w:t>
      </w:r>
      <w:r w:rsidR="00CA5630" w:rsidRPr="002F50BD">
        <w:rPr>
          <w:rFonts w:ascii="Verdana" w:hAnsi="Verdana"/>
          <w:sz w:val="20"/>
          <w:lang w:val="pt-BR"/>
        </w:rPr>
        <w:t>acarretaria</w:t>
      </w:r>
      <w:r w:rsidRPr="002F50BD">
        <w:rPr>
          <w:rFonts w:ascii="Verdana" w:hAnsi="Verdana"/>
          <w:sz w:val="20"/>
          <w:lang w:val="pt-BR"/>
        </w:rPr>
        <w:t xml:space="preserve">. Dentro </w:t>
      </w:r>
      <w:r w:rsidR="0089298C" w:rsidRPr="002F50BD">
        <w:rPr>
          <w:rFonts w:ascii="Verdana" w:hAnsi="Verdana"/>
          <w:sz w:val="20"/>
          <w:lang w:val="pt-BR"/>
        </w:rPr>
        <w:t>do processo</w:t>
      </w:r>
      <w:r w:rsidRPr="002F50BD">
        <w:rPr>
          <w:rFonts w:ascii="Verdana" w:hAnsi="Verdana"/>
          <w:sz w:val="20"/>
          <w:lang w:val="pt-BR"/>
        </w:rPr>
        <w:t xml:space="preserve"> de sedentariza</w:t>
      </w:r>
      <w:r w:rsidR="0089298C" w:rsidRPr="002F50BD">
        <w:rPr>
          <w:rFonts w:ascii="Verdana" w:hAnsi="Verdana"/>
          <w:sz w:val="20"/>
          <w:lang w:val="pt-BR"/>
        </w:rPr>
        <w:t>ção</w:t>
      </w:r>
      <w:r w:rsidRPr="002F50BD">
        <w:rPr>
          <w:rFonts w:ascii="Verdana" w:hAnsi="Verdana"/>
          <w:sz w:val="20"/>
          <w:lang w:val="pt-BR"/>
        </w:rPr>
        <w:t>,</w:t>
      </w:r>
      <w:r w:rsidR="0089298C" w:rsidRPr="002F50BD">
        <w:rPr>
          <w:rFonts w:ascii="Verdana" w:hAnsi="Verdana"/>
          <w:sz w:val="20"/>
          <w:lang w:val="pt-BR"/>
        </w:rPr>
        <w:t xml:space="preserve"> a Comunidade </w:t>
      </w:r>
      <w:r w:rsidRPr="002F50BD">
        <w:rPr>
          <w:rFonts w:ascii="Verdana" w:hAnsi="Verdana"/>
          <w:sz w:val="20"/>
          <w:lang w:val="pt-BR"/>
        </w:rPr>
        <w:t xml:space="preserve">Yakye Axa </w:t>
      </w:r>
      <w:r w:rsidR="0089298C" w:rsidRPr="002F50BD">
        <w:rPr>
          <w:rFonts w:ascii="Verdana" w:hAnsi="Verdana"/>
          <w:sz w:val="20"/>
          <w:lang w:val="pt-BR"/>
        </w:rPr>
        <w:t xml:space="preserve">adotou uma identidade própria </w:t>
      </w:r>
      <w:r w:rsidRPr="002F50BD">
        <w:rPr>
          <w:rFonts w:ascii="Verdana" w:hAnsi="Verdana"/>
          <w:sz w:val="20"/>
          <w:lang w:val="pt-BR"/>
        </w:rPr>
        <w:t>relacionada</w:t>
      </w:r>
      <w:r w:rsidR="0089298C" w:rsidRPr="002F50BD">
        <w:rPr>
          <w:rFonts w:ascii="Verdana" w:hAnsi="Verdana"/>
          <w:sz w:val="20"/>
          <w:lang w:val="pt-BR"/>
        </w:rPr>
        <w:t xml:space="preserve"> com um espaço</w:t>
      </w:r>
      <w:r w:rsidRPr="002F50BD">
        <w:rPr>
          <w:rFonts w:ascii="Verdana" w:hAnsi="Verdana"/>
          <w:sz w:val="20"/>
          <w:lang w:val="pt-BR"/>
        </w:rPr>
        <w:t xml:space="preserve"> geográfico determinado física</w:t>
      </w:r>
      <w:r w:rsidR="0089298C" w:rsidRPr="002F50BD">
        <w:rPr>
          <w:rFonts w:ascii="Verdana" w:hAnsi="Verdana"/>
          <w:sz w:val="20"/>
          <w:lang w:val="pt-BR"/>
        </w:rPr>
        <w:t xml:space="preserve"> e </w:t>
      </w:r>
      <w:r w:rsidRPr="002F50BD">
        <w:rPr>
          <w:rFonts w:ascii="Verdana" w:hAnsi="Verdana"/>
          <w:sz w:val="20"/>
          <w:lang w:val="pt-BR"/>
        </w:rPr>
        <w:t>culturalmente, que correspon</w:t>
      </w:r>
      <w:r w:rsidR="0089298C" w:rsidRPr="002F50BD">
        <w:rPr>
          <w:rFonts w:ascii="Verdana" w:hAnsi="Verdana"/>
          <w:sz w:val="20"/>
          <w:lang w:val="pt-BR"/>
        </w:rPr>
        <w:t>d</w:t>
      </w:r>
      <w:r w:rsidR="00CA5630" w:rsidRPr="002F50BD">
        <w:rPr>
          <w:rFonts w:ascii="Verdana" w:hAnsi="Verdana"/>
          <w:sz w:val="20"/>
          <w:lang w:val="pt-BR"/>
        </w:rPr>
        <w:t xml:space="preserve">e </w:t>
      </w:r>
      <w:r w:rsidR="0089298C" w:rsidRPr="002F50BD">
        <w:rPr>
          <w:rFonts w:ascii="Verdana" w:hAnsi="Verdana"/>
          <w:sz w:val="20"/>
          <w:lang w:val="pt-BR"/>
        </w:rPr>
        <w:t xml:space="preserve">a uma </w:t>
      </w:r>
      <w:r w:rsidRPr="002F50BD">
        <w:rPr>
          <w:rFonts w:ascii="Verdana" w:hAnsi="Verdana"/>
          <w:sz w:val="20"/>
          <w:lang w:val="pt-BR"/>
        </w:rPr>
        <w:t>parte específica</w:t>
      </w:r>
      <w:r w:rsidR="0089298C" w:rsidRPr="002F50BD">
        <w:rPr>
          <w:rFonts w:ascii="Verdana" w:hAnsi="Verdana"/>
          <w:sz w:val="20"/>
          <w:lang w:val="pt-BR"/>
        </w:rPr>
        <w:t xml:space="preserve"> do </w:t>
      </w:r>
      <w:r w:rsidRPr="002F50BD">
        <w:rPr>
          <w:rFonts w:ascii="Verdana" w:hAnsi="Verdana"/>
          <w:sz w:val="20"/>
          <w:lang w:val="pt-BR"/>
        </w:rPr>
        <w:t>que</w:t>
      </w:r>
      <w:r w:rsidR="0089298C" w:rsidRPr="002F50BD">
        <w:rPr>
          <w:rFonts w:ascii="Verdana" w:hAnsi="Verdana"/>
          <w:sz w:val="20"/>
          <w:lang w:val="pt-BR"/>
        </w:rPr>
        <w:t xml:space="preserve"> foi o </w:t>
      </w:r>
      <w:r w:rsidRPr="002F50BD">
        <w:rPr>
          <w:rFonts w:ascii="Verdana" w:hAnsi="Verdana"/>
          <w:sz w:val="20"/>
          <w:lang w:val="pt-BR"/>
        </w:rPr>
        <w:t xml:space="preserve">vasto </w:t>
      </w:r>
      <w:r w:rsidR="0089298C" w:rsidRPr="002F50BD">
        <w:rPr>
          <w:rFonts w:ascii="Verdana" w:hAnsi="Verdana"/>
          <w:sz w:val="20"/>
          <w:lang w:val="pt-BR"/>
        </w:rPr>
        <w:t>território</w:t>
      </w:r>
      <w:r w:rsidRPr="002F50BD">
        <w:rPr>
          <w:rFonts w:ascii="Verdana" w:hAnsi="Verdana"/>
          <w:sz w:val="20"/>
          <w:lang w:val="pt-BR"/>
        </w:rPr>
        <w:t xml:space="preserve"> Chanawatsan.</w:t>
      </w:r>
    </w:p>
    <w:p w:rsidR="004756C1" w:rsidRPr="002F50BD" w:rsidRDefault="004756C1">
      <w:pPr>
        <w:jc w:val="both"/>
        <w:rPr>
          <w:rFonts w:ascii="Verdana" w:hAnsi="Verdana"/>
          <w:sz w:val="20"/>
          <w:lang w:val="pt-BR"/>
        </w:rPr>
      </w:pPr>
    </w:p>
    <w:p w:rsidR="004756C1" w:rsidRPr="002F50BD" w:rsidRDefault="00CA5630">
      <w:pPr>
        <w:numPr>
          <w:ilvl w:val="0"/>
          <w:numId w:val="32"/>
        </w:numPr>
        <w:jc w:val="both"/>
        <w:rPr>
          <w:rFonts w:ascii="Verdana" w:hAnsi="Verdana"/>
          <w:sz w:val="20"/>
          <w:lang w:val="pt-BR"/>
        </w:rPr>
      </w:pPr>
      <w:r w:rsidRPr="002F50BD">
        <w:rPr>
          <w:rFonts w:ascii="Verdana" w:hAnsi="Verdana"/>
          <w:sz w:val="20"/>
          <w:lang w:val="pt-BR"/>
        </w:rPr>
        <w:t>Em função do exposto acima</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á identificar</w:t>
      </w:r>
      <w:r w:rsidR="0089298C" w:rsidRPr="002F50BD">
        <w:rPr>
          <w:rFonts w:ascii="Verdana" w:hAnsi="Verdana"/>
          <w:sz w:val="20"/>
          <w:lang w:val="pt-BR"/>
        </w:rPr>
        <w:t xml:space="preserve"> esse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e </w:t>
      </w:r>
      <w:r w:rsidR="004756C1" w:rsidRPr="002F50BD">
        <w:rPr>
          <w:rFonts w:ascii="Verdana" w:hAnsi="Verdana"/>
          <w:sz w:val="20"/>
          <w:lang w:val="pt-BR"/>
        </w:rPr>
        <w:t>entreg</w:t>
      </w:r>
      <w:r w:rsidR="00AB454A" w:rsidRPr="002F50BD">
        <w:rPr>
          <w:rFonts w:ascii="Verdana" w:hAnsi="Verdana"/>
          <w:sz w:val="20"/>
          <w:lang w:val="pt-BR"/>
        </w:rPr>
        <w:t xml:space="preserve">á-lo </w:t>
      </w:r>
      <w:r w:rsidR="004756C1" w:rsidRPr="002F50BD">
        <w:rPr>
          <w:rFonts w:ascii="Verdana" w:hAnsi="Verdana"/>
          <w:sz w:val="20"/>
          <w:lang w:val="pt-BR"/>
        </w:rPr>
        <w:t xml:space="preserve">de </w:t>
      </w:r>
      <w:r w:rsidR="0089298C" w:rsidRPr="002F50BD">
        <w:rPr>
          <w:rFonts w:ascii="Verdana" w:hAnsi="Verdana"/>
          <w:sz w:val="20"/>
          <w:lang w:val="pt-BR"/>
        </w:rPr>
        <w:t>maneira</w:t>
      </w:r>
      <w:r w:rsidR="004756C1" w:rsidRPr="002F50BD">
        <w:rPr>
          <w:rFonts w:ascii="Verdana" w:hAnsi="Verdana"/>
          <w:sz w:val="20"/>
          <w:lang w:val="pt-BR"/>
        </w:rPr>
        <w:t xml:space="preserve"> gratuita</w:t>
      </w:r>
      <w:r w:rsidR="0089298C" w:rsidRPr="002F50BD">
        <w:rPr>
          <w:rFonts w:ascii="Verdana" w:hAnsi="Verdana"/>
          <w:sz w:val="20"/>
          <w:lang w:val="pt-BR"/>
        </w:rPr>
        <w:t xml:space="preserve"> à Comunidade </w:t>
      </w:r>
      <w:r w:rsidR="004756C1" w:rsidRPr="002F50BD">
        <w:rPr>
          <w:rFonts w:ascii="Verdana" w:hAnsi="Verdana"/>
          <w:sz w:val="20"/>
          <w:lang w:val="pt-BR"/>
        </w:rPr>
        <w:t>Yakye Axa,</w:t>
      </w:r>
      <w:r w:rsidR="0089298C" w:rsidRPr="002F50BD">
        <w:rPr>
          <w:rFonts w:ascii="Verdana" w:hAnsi="Verdana"/>
          <w:sz w:val="20"/>
          <w:lang w:val="pt-BR"/>
        </w:rPr>
        <w:t xml:space="preserve"> em um prazo</w:t>
      </w:r>
      <w:r w:rsidR="004756C1" w:rsidRPr="002F50BD">
        <w:rPr>
          <w:rFonts w:ascii="Verdana" w:hAnsi="Verdana"/>
          <w:sz w:val="20"/>
          <w:lang w:val="pt-BR"/>
        </w:rPr>
        <w:t xml:space="preserve"> máximo de</w:t>
      </w:r>
      <w:r w:rsidR="0089298C" w:rsidRPr="002F50BD">
        <w:rPr>
          <w:rFonts w:ascii="Verdana" w:hAnsi="Verdana"/>
          <w:sz w:val="20"/>
          <w:lang w:val="pt-BR"/>
        </w:rPr>
        <w:t xml:space="preserve"> três anos</w:t>
      </w:r>
      <w:r w:rsidR="004756C1" w:rsidRPr="002F50BD">
        <w:rPr>
          <w:rFonts w:ascii="Verdana" w:hAnsi="Verdana"/>
          <w:sz w:val="20"/>
          <w:lang w:val="pt-BR"/>
        </w:rPr>
        <w:t xml:space="preserve"> contados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CD7100" w:rsidRPr="002F50BD">
        <w:rPr>
          <w:rFonts w:ascii="Verdana" w:hAnsi="Verdana"/>
          <w:sz w:val="20"/>
          <w:lang w:val="pt-BR"/>
        </w:rPr>
        <w:t xml:space="preserve">. </w:t>
      </w:r>
      <w:r w:rsidR="003B734C">
        <w:rPr>
          <w:rFonts w:ascii="Verdana" w:hAnsi="Verdana"/>
          <w:sz w:val="20"/>
          <w:lang w:val="pt-BR"/>
        </w:rPr>
        <w:t>C</w:t>
      </w:r>
      <w:r w:rsidR="004756C1" w:rsidRPr="002F50BD">
        <w:rPr>
          <w:rFonts w:ascii="Verdana" w:hAnsi="Verdana"/>
          <w:sz w:val="20"/>
          <w:lang w:val="pt-BR"/>
        </w:rPr>
        <w:t xml:space="preserve">aso </w:t>
      </w:r>
      <w:r w:rsidR="0089298C" w:rsidRPr="002F50BD">
        <w:rPr>
          <w:rFonts w:ascii="Verdana" w:hAnsi="Verdana"/>
          <w:sz w:val="20"/>
          <w:lang w:val="pt-BR"/>
        </w:rPr>
        <w:t>o território</w:t>
      </w:r>
      <w:r w:rsidR="004756C1" w:rsidRPr="002F50BD">
        <w:rPr>
          <w:rFonts w:ascii="Verdana" w:hAnsi="Verdana"/>
          <w:sz w:val="20"/>
          <w:lang w:val="pt-BR"/>
        </w:rPr>
        <w:t xml:space="preserve"> tradicional se </w:t>
      </w:r>
      <w:r w:rsidR="0089298C" w:rsidRPr="002F50BD">
        <w:rPr>
          <w:rFonts w:ascii="Verdana" w:hAnsi="Verdana"/>
          <w:sz w:val="20"/>
          <w:lang w:val="pt-BR"/>
        </w:rPr>
        <w:t>encontre em mãos</w:t>
      </w:r>
      <w:r w:rsidR="004756C1" w:rsidRPr="002F50BD">
        <w:rPr>
          <w:rFonts w:ascii="Verdana" w:hAnsi="Verdana"/>
          <w:sz w:val="20"/>
          <w:lang w:val="pt-BR"/>
        </w:rPr>
        <w:t xml:space="preserve"> privadas,</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 xml:space="preserve">á </w:t>
      </w:r>
      <w:r w:rsidR="004C7A2A" w:rsidRPr="002F50BD">
        <w:rPr>
          <w:rFonts w:ascii="Verdana" w:hAnsi="Verdana"/>
          <w:sz w:val="20"/>
          <w:lang w:val="pt-BR"/>
        </w:rPr>
        <w:t>avalia</w:t>
      </w:r>
      <w:r w:rsidR="004756C1" w:rsidRPr="002F50BD">
        <w:rPr>
          <w:rFonts w:ascii="Verdana" w:hAnsi="Verdana"/>
          <w:sz w:val="20"/>
          <w:lang w:val="pt-BR"/>
        </w:rPr>
        <w:t>r</w:t>
      </w:r>
      <w:r w:rsidR="0089298C" w:rsidRPr="002F50BD">
        <w:rPr>
          <w:rFonts w:ascii="Verdana" w:hAnsi="Verdana"/>
          <w:sz w:val="20"/>
          <w:lang w:val="pt-BR"/>
        </w:rPr>
        <w:t xml:space="preserve"> a </w:t>
      </w:r>
      <w:r w:rsidR="004756C1" w:rsidRPr="002F50BD">
        <w:rPr>
          <w:rFonts w:ascii="Verdana" w:hAnsi="Verdana"/>
          <w:sz w:val="20"/>
          <w:lang w:val="pt-BR"/>
        </w:rPr>
        <w:t>legalidad</w:t>
      </w:r>
      <w:r w:rsidR="00E50F4A"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 xml:space="preserve">necessidade e </w:t>
      </w:r>
      <w:r w:rsidR="004756C1" w:rsidRPr="002F50BD">
        <w:rPr>
          <w:rFonts w:ascii="Verdana" w:hAnsi="Verdana"/>
          <w:sz w:val="20"/>
          <w:lang w:val="pt-BR"/>
        </w:rPr>
        <w:t>proporcionalidad</w:t>
      </w:r>
      <w:r w:rsidR="00E50F4A" w:rsidRPr="002F50BD">
        <w:rPr>
          <w:rFonts w:ascii="Verdana" w:hAnsi="Verdana"/>
          <w:sz w:val="20"/>
          <w:lang w:val="pt-BR"/>
        </w:rPr>
        <w:t>e</w:t>
      </w:r>
      <w:r w:rsidR="0089298C" w:rsidRPr="002F50BD">
        <w:rPr>
          <w:rFonts w:ascii="Verdana" w:hAnsi="Verdana"/>
          <w:sz w:val="20"/>
          <w:lang w:val="pt-BR"/>
        </w:rPr>
        <w:t xml:space="preserve"> da </w:t>
      </w:r>
      <w:r w:rsidR="00DB51F0" w:rsidRPr="002F50BD">
        <w:rPr>
          <w:rFonts w:ascii="Verdana" w:hAnsi="Verdana"/>
          <w:sz w:val="20"/>
          <w:lang w:val="pt-BR"/>
        </w:rPr>
        <w:t>expropriação</w:t>
      </w:r>
      <w:r w:rsidR="004756C1" w:rsidRPr="002F50BD">
        <w:rPr>
          <w:rFonts w:ascii="Verdana" w:hAnsi="Verdana"/>
          <w:sz w:val="20"/>
          <w:lang w:val="pt-BR"/>
        </w:rPr>
        <w:t xml:space="preserve"> o</w:t>
      </w:r>
      <w:r w:rsidR="00E50F4A" w:rsidRPr="002F50BD">
        <w:rPr>
          <w:rFonts w:ascii="Verdana" w:hAnsi="Verdana"/>
          <w:sz w:val="20"/>
          <w:lang w:val="pt-BR"/>
        </w:rPr>
        <w:t>u</w:t>
      </w:r>
      <w:r w:rsidR="004756C1" w:rsidRPr="002F50BD">
        <w:rPr>
          <w:rFonts w:ascii="Verdana" w:hAnsi="Verdana"/>
          <w:sz w:val="20"/>
          <w:lang w:val="pt-BR"/>
        </w:rPr>
        <w:t xml:space="preserve"> n</w:t>
      </w:r>
      <w:r w:rsidR="00E50F4A"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dessas terra</w:t>
      </w:r>
      <w:r w:rsidR="004756C1" w:rsidRPr="002F50BD">
        <w:rPr>
          <w:rFonts w:ascii="Verdana" w:hAnsi="Verdana"/>
          <w:sz w:val="20"/>
          <w:lang w:val="pt-BR"/>
        </w:rPr>
        <w:t>s</w:t>
      </w:r>
      <w:r w:rsidR="0089298C" w:rsidRPr="002F50BD">
        <w:rPr>
          <w:rFonts w:ascii="Verdana" w:hAnsi="Verdana"/>
          <w:sz w:val="20"/>
          <w:lang w:val="pt-BR"/>
        </w:rPr>
        <w:t xml:space="preserve"> com o fim </w:t>
      </w:r>
      <w:r w:rsidR="004756C1" w:rsidRPr="002F50BD">
        <w:rPr>
          <w:rFonts w:ascii="Verdana" w:hAnsi="Verdana"/>
          <w:sz w:val="20"/>
          <w:lang w:val="pt-BR"/>
        </w:rPr>
        <w:t xml:space="preserve">de </w:t>
      </w:r>
      <w:r w:rsidR="00E50F4A" w:rsidRPr="002F50BD">
        <w:rPr>
          <w:rFonts w:ascii="Verdana" w:hAnsi="Verdana"/>
          <w:sz w:val="20"/>
          <w:lang w:val="pt-BR"/>
        </w:rPr>
        <w:t xml:space="preserve">alcançar </w:t>
      </w:r>
      <w:r w:rsidR="0089298C" w:rsidRPr="002F50BD">
        <w:rPr>
          <w:rFonts w:ascii="Verdana" w:hAnsi="Verdana"/>
          <w:sz w:val="20"/>
          <w:lang w:val="pt-BR"/>
        </w:rPr>
        <w:t xml:space="preserve">um </w:t>
      </w:r>
      <w:r w:rsidR="004756C1" w:rsidRPr="002F50BD">
        <w:rPr>
          <w:rFonts w:ascii="Verdana" w:hAnsi="Verdana"/>
          <w:sz w:val="20"/>
          <w:lang w:val="pt-BR"/>
        </w:rPr>
        <w:t>objetivo legítimo</w:t>
      </w:r>
      <w:r w:rsidR="0089298C" w:rsidRPr="002F50BD">
        <w:rPr>
          <w:rFonts w:ascii="Verdana" w:hAnsi="Verdana"/>
          <w:sz w:val="20"/>
          <w:lang w:val="pt-BR"/>
        </w:rPr>
        <w:t xml:space="preserve"> em uma sociedade </w:t>
      </w:r>
      <w:r w:rsidR="004756C1" w:rsidRPr="002F50BD">
        <w:rPr>
          <w:rFonts w:ascii="Verdana" w:hAnsi="Verdana"/>
          <w:sz w:val="20"/>
          <w:lang w:val="pt-BR"/>
        </w:rPr>
        <w:t>democrática, conforme</w:t>
      </w:r>
      <w:r w:rsidR="0089298C" w:rsidRPr="002F50BD">
        <w:rPr>
          <w:rFonts w:ascii="Verdana" w:hAnsi="Verdana"/>
          <w:sz w:val="20"/>
          <w:lang w:val="pt-BR"/>
        </w:rPr>
        <w:t xml:space="preserve"> o expost</w:t>
      </w:r>
      <w:r w:rsidR="004756C1" w:rsidRPr="002F50BD">
        <w:rPr>
          <w:rFonts w:ascii="Verdana" w:hAnsi="Verdana"/>
          <w:sz w:val="20"/>
          <w:lang w:val="pt-BR"/>
        </w:rPr>
        <w:t>o</w:t>
      </w:r>
      <w:r w:rsidR="0089298C" w:rsidRPr="002F50BD">
        <w:rPr>
          <w:rFonts w:ascii="Verdana" w:hAnsi="Verdana"/>
          <w:sz w:val="20"/>
          <w:lang w:val="pt-BR"/>
        </w:rPr>
        <w:t xml:space="preserve"> nos parágrafo</w:t>
      </w:r>
      <w:r w:rsidR="004756C1" w:rsidRPr="002F50BD">
        <w:rPr>
          <w:rFonts w:ascii="Verdana" w:hAnsi="Verdana"/>
          <w:sz w:val="20"/>
          <w:lang w:val="pt-BR"/>
        </w:rPr>
        <w:t xml:space="preserve">s </w:t>
      </w:r>
      <w:r w:rsidR="00063B47" w:rsidRPr="002F50BD">
        <w:rPr>
          <w:rFonts w:ascii="Verdana" w:hAnsi="Verdana"/>
          <w:sz w:val="20"/>
          <w:lang w:val="pt-BR"/>
        </w:rPr>
        <w:t>144</w:t>
      </w:r>
      <w:r w:rsidR="004756C1" w:rsidRPr="002F50BD">
        <w:rPr>
          <w:rFonts w:ascii="Verdana" w:hAnsi="Verdana"/>
          <w:sz w:val="20"/>
          <w:lang w:val="pt-BR"/>
        </w:rPr>
        <w:t xml:space="preserve"> a </w:t>
      </w:r>
      <w:r w:rsidR="00063B47" w:rsidRPr="002F50BD">
        <w:rPr>
          <w:rFonts w:ascii="Verdana" w:hAnsi="Verdana"/>
          <w:sz w:val="20"/>
          <w:lang w:val="pt-BR"/>
        </w:rPr>
        <w:t>154</w:t>
      </w:r>
      <w:r w:rsidR="0089298C" w:rsidRPr="002F50BD">
        <w:rPr>
          <w:rFonts w:ascii="Verdana" w:hAnsi="Verdana"/>
          <w:sz w:val="20"/>
          <w:lang w:val="pt-BR"/>
        </w:rPr>
        <w:t xml:space="preserve"> desta Sentença</w:t>
      </w:r>
      <w:r w:rsidR="004756C1" w:rsidRPr="002F50BD">
        <w:rPr>
          <w:rFonts w:ascii="Verdana" w:hAnsi="Verdana"/>
          <w:sz w:val="20"/>
          <w:lang w:val="pt-BR"/>
        </w:rPr>
        <w:t>. Para</w:t>
      </w:r>
      <w:r w:rsidR="0089298C" w:rsidRPr="002F50BD">
        <w:rPr>
          <w:rFonts w:ascii="Verdana" w:hAnsi="Verdana"/>
          <w:sz w:val="20"/>
          <w:lang w:val="pt-BR"/>
        </w:rPr>
        <w:t xml:space="preserve"> </w:t>
      </w:r>
      <w:r w:rsidR="00E50F4A" w:rsidRPr="002F50BD">
        <w:rPr>
          <w:rFonts w:ascii="Verdana" w:hAnsi="Verdana"/>
          <w:sz w:val="20"/>
          <w:lang w:val="pt-BR"/>
        </w:rPr>
        <w:t>tanto</w:t>
      </w:r>
      <w:r w:rsidR="004756C1" w:rsidRPr="002F50BD">
        <w:rPr>
          <w:rFonts w:ascii="Verdana" w:hAnsi="Verdana"/>
          <w:sz w:val="20"/>
          <w:lang w:val="pt-BR"/>
        </w:rPr>
        <w:t xml:space="preserve">, </w:t>
      </w:r>
      <w:r w:rsidR="0089298C" w:rsidRPr="002F50BD">
        <w:rPr>
          <w:rFonts w:ascii="Verdana" w:hAnsi="Verdana"/>
          <w:sz w:val="20"/>
          <w:lang w:val="pt-BR"/>
        </w:rPr>
        <w:t>dever</w:t>
      </w:r>
      <w:r w:rsidR="004756C1" w:rsidRPr="002F50BD">
        <w:rPr>
          <w:rFonts w:ascii="Verdana" w:hAnsi="Verdana"/>
          <w:sz w:val="20"/>
          <w:lang w:val="pt-BR"/>
        </w:rPr>
        <w:t xml:space="preserve">á </w:t>
      </w:r>
      <w:r w:rsidR="003B734C">
        <w:rPr>
          <w:rFonts w:ascii="Verdana" w:hAnsi="Verdana"/>
          <w:sz w:val="20"/>
          <w:lang w:val="pt-BR"/>
        </w:rPr>
        <w:t>levar</w:t>
      </w:r>
      <w:r w:rsidR="0089298C" w:rsidRPr="002F50BD">
        <w:rPr>
          <w:rFonts w:ascii="Verdana" w:hAnsi="Verdana"/>
          <w:sz w:val="20"/>
          <w:lang w:val="pt-BR"/>
        </w:rPr>
        <w:t xml:space="preserve"> em conta as </w:t>
      </w:r>
      <w:r w:rsidR="004756C1" w:rsidRPr="002F50BD">
        <w:rPr>
          <w:rFonts w:ascii="Verdana" w:hAnsi="Verdana"/>
          <w:sz w:val="20"/>
          <w:lang w:val="pt-BR"/>
        </w:rPr>
        <w:t>particularidades</w:t>
      </w:r>
      <w:r w:rsidR="00AB454A" w:rsidRPr="002F50BD">
        <w:rPr>
          <w:rFonts w:ascii="Verdana" w:hAnsi="Verdana"/>
          <w:sz w:val="20"/>
          <w:lang w:val="pt-BR"/>
        </w:rPr>
        <w:t xml:space="preserve"> própria</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w:t>
      </w:r>
      <w:r w:rsidR="00E50F4A" w:rsidRPr="002F50BD">
        <w:rPr>
          <w:rFonts w:ascii="Verdana" w:hAnsi="Verdana"/>
          <w:sz w:val="20"/>
          <w:lang w:val="pt-BR"/>
        </w:rPr>
        <w:t xml:space="preserve">bem </w:t>
      </w:r>
      <w:r w:rsidR="004756C1" w:rsidRPr="002F50BD">
        <w:rPr>
          <w:rFonts w:ascii="Verdana" w:hAnsi="Verdana"/>
          <w:sz w:val="20"/>
          <w:lang w:val="pt-BR"/>
        </w:rPr>
        <w:t xml:space="preserve">como </w:t>
      </w:r>
      <w:r w:rsidR="005A6BC7" w:rsidRPr="002F50BD">
        <w:rPr>
          <w:rFonts w:ascii="Verdana" w:hAnsi="Verdana"/>
          <w:sz w:val="20"/>
          <w:lang w:val="pt-BR"/>
        </w:rPr>
        <w:t>seus valores</w:t>
      </w:r>
      <w:r w:rsidR="004756C1" w:rsidRPr="002F50BD">
        <w:rPr>
          <w:rFonts w:ascii="Verdana" w:hAnsi="Verdana"/>
          <w:sz w:val="20"/>
          <w:lang w:val="pt-BR"/>
        </w:rPr>
        <w:t xml:space="preserve">, usos, </w:t>
      </w:r>
      <w:r w:rsidR="0089298C" w:rsidRPr="002F50BD">
        <w:rPr>
          <w:rFonts w:ascii="Verdana" w:hAnsi="Verdana"/>
          <w:sz w:val="20"/>
          <w:lang w:val="pt-BR"/>
        </w:rPr>
        <w:t>costume</w:t>
      </w:r>
      <w:r w:rsidR="004756C1" w:rsidRPr="002F50BD">
        <w:rPr>
          <w:rFonts w:ascii="Verdana" w:hAnsi="Verdana"/>
          <w:sz w:val="20"/>
          <w:lang w:val="pt-BR"/>
        </w:rPr>
        <w:t>s</w:t>
      </w:r>
      <w:r w:rsidR="0089298C" w:rsidRPr="002F50BD">
        <w:rPr>
          <w:rFonts w:ascii="Verdana" w:hAnsi="Verdana"/>
          <w:sz w:val="20"/>
          <w:lang w:val="pt-BR"/>
        </w:rPr>
        <w:t xml:space="preserve"> e direito</w:t>
      </w:r>
      <w:r w:rsidR="004756C1" w:rsidRPr="002F50BD">
        <w:rPr>
          <w:rFonts w:ascii="Verdana" w:hAnsi="Verdana"/>
          <w:sz w:val="20"/>
          <w:lang w:val="pt-BR"/>
        </w:rPr>
        <w:t xml:space="preserve"> </w:t>
      </w:r>
      <w:r w:rsidR="0089298C" w:rsidRPr="002F50BD">
        <w:rPr>
          <w:rFonts w:ascii="Verdana" w:hAnsi="Verdana"/>
          <w:sz w:val="20"/>
          <w:lang w:val="pt-BR"/>
        </w:rPr>
        <w:t>consuetudinário</w:t>
      </w:r>
      <w:r w:rsidR="004756C1" w:rsidRPr="002F50BD">
        <w:rPr>
          <w:rFonts w:ascii="Verdana" w:hAnsi="Verdana"/>
          <w:sz w:val="20"/>
          <w:lang w:val="pt-BR"/>
        </w:rPr>
        <w:t xml:space="preserve">. </w:t>
      </w:r>
      <w:r w:rsidR="00E50F4A" w:rsidRPr="002F50BD">
        <w:rPr>
          <w:rFonts w:ascii="Verdana" w:hAnsi="Verdana"/>
          <w:sz w:val="20"/>
          <w:lang w:val="pt-BR"/>
        </w:rPr>
        <w:t>Caso,</w:t>
      </w:r>
      <w:r w:rsidR="0089298C" w:rsidRPr="002F50BD">
        <w:rPr>
          <w:rFonts w:ascii="Verdana" w:hAnsi="Verdana"/>
          <w:sz w:val="20"/>
          <w:lang w:val="pt-BR"/>
        </w:rPr>
        <w:t xml:space="preserve"> </w:t>
      </w:r>
      <w:r w:rsidR="004756C1" w:rsidRPr="002F50BD">
        <w:rPr>
          <w:rFonts w:ascii="Verdana" w:hAnsi="Verdana"/>
          <w:sz w:val="20"/>
          <w:lang w:val="pt-BR"/>
        </w:rPr>
        <w:t>por motivos objetivos</w:t>
      </w:r>
      <w:r w:rsidR="0089298C" w:rsidRPr="002F50BD">
        <w:rPr>
          <w:rFonts w:ascii="Verdana" w:hAnsi="Verdana"/>
          <w:sz w:val="20"/>
          <w:lang w:val="pt-BR"/>
        </w:rPr>
        <w:t xml:space="preserve"> e </w:t>
      </w:r>
      <w:r w:rsidR="004756C1" w:rsidRPr="002F50BD">
        <w:rPr>
          <w:rFonts w:ascii="Verdana" w:hAnsi="Verdana"/>
          <w:sz w:val="20"/>
          <w:lang w:val="pt-BR"/>
        </w:rPr>
        <w:t>fundamentados,</w:t>
      </w:r>
      <w:r w:rsidR="0089298C" w:rsidRPr="002F50BD">
        <w:rPr>
          <w:rFonts w:ascii="Verdana" w:hAnsi="Verdana"/>
          <w:sz w:val="20"/>
          <w:lang w:val="pt-BR"/>
        </w:rPr>
        <w:t xml:space="preserve"> a </w:t>
      </w:r>
      <w:r w:rsidR="004756C1" w:rsidRPr="002F50BD">
        <w:rPr>
          <w:rFonts w:ascii="Verdana" w:hAnsi="Verdana"/>
          <w:sz w:val="20"/>
          <w:lang w:val="pt-BR"/>
        </w:rPr>
        <w:t>reivindica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território</w:t>
      </w:r>
      <w:r w:rsidR="004756C1" w:rsidRPr="002F50BD">
        <w:rPr>
          <w:rFonts w:ascii="Verdana" w:hAnsi="Verdana"/>
          <w:sz w:val="20"/>
          <w:lang w:val="pt-BR"/>
        </w:rPr>
        <w:t xml:space="preserve"> ancestral</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n</w:t>
      </w:r>
      <w:r w:rsidR="00E50F4A" w:rsidRPr="002F50BD">
        <w:rPr>
          <w:rFonts w:ascii="Verdana" w:hAnsi="Verdana"/>
          <w:sz w:val="20"/>
          <w:lang w:val="pt-BR"/>
        </w:rPr>
        <w:t>ã</w:t>
      </w:r>
      <w:r w:rsidR="004756C1" w:rsidRPr="002F50BD">
        <w:rPr>
          <w:rFonts w:ascii="Verdana" w:hAnsi="Verdana"/>
          <w:sz w:val="20"/>
          <w:lang w:val="pt-BR"/>
        </w:rPr>
        <w:t xml:space="preserve">o </w:t>
      </w:r>
      <w:r w:rsidR="00754117" w:rsidRPr="002F50BD">
        <w:rPr>
          <w:rFonts w:ascii="Verdana" w:hAnsi="Verdana"/>
          <w:sz w:val="20"/>
          <w:lang w:val="pt-BR"/>
        </w:rPr>
        <w:t>seja</w:t>
      </w:r>
      <w:r w:rsidR="00E50F4A" w:rsidRPr="002F50BD">
        <w:rPr>
          <w:rFonts w:ascii="Verdana" w:hAnsi="Verdana"/>
          <w:sz w:val="20"/>
          <w:lang w:val="pt-BR"/>
        </w:rPr>
        <w:t xml:space="preserve"> </w:t>
      </w:r>
      <w:r w:rsidR="0089298C" w:rsidRPr="002F50BD">
        <w:rPr>
          <w:rFonts w:ascii="Verdana" w:hAnsi="Verdana"/>
          <w:sz w:val="20"/>
          <w:lang w:val="pt-BR"/>
        </w:rPr>
        <w:t xml:space="preserve">possível,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á entregar</w:t>
      </w:r>
      <w:r w:rsidR="00E50F4A" w:rsidRPr="002F50BD">
        <w:rPr>
          <w:rFonts w:ascii="Verdana" w:hAnsi="Verdana"/>
          <w:sz w:val="20"/>
          <w:lang w:val="pt-BR"/>
        </w:rPr>
        <w:t>-</w:t>
      </w:r>
      <w:r w:rsidR="004756C1" w:rsidRPr="002F50BD">
        <w:rPr>
          <w:rFonts w:ascii="Verdana" w:hAnsi="Verdana"/>
          <w:sz w:val="20"/>
          <w:lang w:val="pt-BR"/>
        </w:rPr>
        <w:t>l</w:t>
      </w:r>
      <w:r w:rsidR="00E50F4A" w:rsidRPr="002F50BD">
        <w:rPr>
          <w:rFonts w:ascii="Verdana" w:hAnsi="Verdana"/>
          <w:sz w:val="20"/>
          <w:lang w:val="pt-BR"/>
        </w:rPr>
        <w:t>h</w:t>
      </w:r>
      <w:r w:rsidR="004756C1" w:rsidRPr="002F50BD">
        <w:rPr>
          <w:rFonts w:ascii="Verdana" w:hAnsi="Verdana"/>
          <w:sz w:val="20"/>
          <w:lang w:val="pt-BR"/>
        </w:rPr>
        <w:t xml:space="preserve">e </w:t>
      </w:r>
      <w:r w:rsidR="0089298C" w:rsidRPr="002F50BD">
        <w:rPr>
          <w:rFonts w:ascii="Verdana" w:hAnsi="Verdana"/>
          <w:sz w:val="20"/>
          <w:lang w:val="pt-BR"/>
        </w:rPr>
        <w:t>terra</w:t>
      </w:r>
      <w:r w:rsidR="004756C1" w:rsidRPr="002F50BD">
        <w:rPr>
          <w:rFonts w:ascii="Verdana" w:hAnsi="Verdana"/>
          <w:sz w:val="20"/>
          <w:lang w:val="pt-BR"/>
        </w:rPr>
        <w:t xml:space="preserve">s alternativas, que </w:t>
      </w:r>
      <w:r w:rsidR="0089298C" w:rsidRPr="002F50BD">
        <w:rPr>
          <w:rFonts w:ascii="Verdana" w:hAnsi="Verdana"/>
          <w:sz w:val="20"/>
          <w:lang w:val="pt-BR"/>
        </w:rPr>
        <w:t>serão</w:t>
      </w:r>
      <w:r w:rsidR="004756C1" w:rsidRPr="002F50BD">
        <w:rPr>
          <w:rFonts w:ascii="Verdana" w:hAnsi="Verdana"/>
          <w:sz w:val="20"/>
          <w:lang w:val="pt-BR"/>
        </w:rPr>
        <w:t xml:space="preserve"> </w:t>
      </w:r>
      <w:r w:rsidR="00E50F4A" w:rsidRPr="002F50BD">
        <w:rPr>
          <w:rFonts w:ascii="Verdana" w:hAnsi="Verdana"/>
          <w:sz w:val="20"/>
          <w:lang w:val="pt-BR"/>
        </w:rPr>
        <w:t xml:space="preserve">escolhidas </w:t>
      </w:r>
      <w:r w:rsidR="008F3DAF" w:rsidRPr="002F50BD">
        <w:rPr>
          <w:rFonts w:ascii="Verdana" w:hAnsi="Verdana"/>
          <w:sz w:val="20"/>
          <w:lang w:val="pt-BR"/>
        </w:rPr>
        <w:t xml:space="preserve">em consenso </w:t>
      </w:r>
      <w:r w:rsidR="0089298C" w:rsidRPr="002F50BD">
        <w:rPr>
          <w:rFonts w:ascii="Verdana" w:hAnsi="Verdana"/>
          <w:sz w:val="20"/>
          <w:lang w:val="pt-BR"/>
        </w:rPr>
        <w:t xml:space="preserve">com a </w:t>
      </w:r>
      <w:r w:rsidR="004756C1" w:rsidRPr="002F50BD">
        <w:rPr>
          <w:rFonts w:ascii="Verdana" w:hAnsi="Verdana"/>
          <w:sz w:val="20"/>
          <w:lang w:val="pt-BR"/>
        </w:rPr>
        <w:t>Comu</w:t>
      </w:r>
      <w:r w:rsidR="00AB454A" w:rsidRPr="002F50BD">
        <w:rPr>
          <w:rFonts w:ascii="Verdana" w:hAnsi="Verdana"/>
          <w:sz w:val="20"/>
          <w:lang w:val="pt-BR"/>
        </w:rPr>
        <w:t xml:space="preserve">nidade, </w:t>
      </w:r>
      <w:r w:rsidR="004756C1" w:rsidRPr="002F50BD">
        <w:rPr>
          <w:rFonts w:ascii="Verdana" w:hAnsi="Verdana"/>
          <w:sz w:val="20"/>
          <w:lang w:val="pt-BR"/>
        </w:rPr>
        <w:t xml:space="preserve">conforme </w:t>
      </w:r>
      <w:r w:rsidR="00E350FB" w:rsidRPr="002F50BD">
        <w:rPr>
          <w:rFonts w:ascii="Verdana" w:hAnsi="Verdana"/>
          <w:sz w:val="20"/>
          <w:lang w:val="pt-BR"/>
        </w:rPr>
        <w:t>suas próprias</w:t>
      </w:r>
      <w:r w:rsidR="004756C1" w:rsidRPr="002F50BD">
        <w:rPr>
          <w:rFonts w:ascii="Verdana" w:hAnsi="Verdana"/>
          <w:sz w:val="20"/>
          <w:lang w:val="pt-BR"/>
        </w:rPr>
        <w:t xml:space="preserve"> formas de consulta</w:t>
      </w:r>
      <w:r w:rsidR="0089298C" w:rsidRPr="002F50BD">
        <w:rPr>
          <w:rFonts w:ascii="Verdana" w:hAnsi="Verdana"/>
          <w:sz w:val="20"/>
          <w:lang w:val="pt-BR"/>
        </w:rPr>
        <w:t xml:space="preserve"> e decisão</w:t>
      </w:r>
      <w:r w:rsidR="004756C1" w:rsidRPr="002F50BD">
        <w:rPr>
          <w:rFonts w:ascii="Verdana" w:hAnsi="Verdana"/>
          <w:sz w:val="20"/>
          <w:lang w:val="pt-BR"/>
        </w:rPr>
        <w:t>, valores, usos</w:t>
      </w:r>
      <w:r w:rsidR="0089298C" w:rsidRPr="002F50BD">
        <w:rPr>
          <w:rFonts w:ascii="Verdana" w:hAnsi="Verdana"/>
          <w:sz w:val="20"/>
          <w:lang w:val="pt-BR"/>
        </w:rPr>
        <w:t xml:space="preserve"> e costume</w:t>
      </w:r>
      <w:r w:rsidR="004756C1" w:rsidRPr="002F50BD">
        <w:rPr>
          <w:rFonts w:ascii="Verdana" w:hAnsi="Verdana"/>
          <w:sz w:val="20"/>
          <w:lang w:val="pt-BR"/>
        </w:rPr>
        <w:t>s</w:t>
      </w:r>
      <w:r w:rsidR="00CD7100" w:rsidRPr="002F50BD">
        <w:rPr>
          <w:rFonts w:ascii="Verdana" w:hAnsi="Verdana"/>
          <w:sz w:val="20"/>
          <w:lang w:val="pt-BR"/>
        </w:rPr>
        <w:t>. Em</w:t>
      </w:r>
      <w:r w:rsidR="0089298C" w:rsidRPr="002F50BD">
        <w:rPr>
          <w:rFonts w:ascii="Verdana" w:hAnsi="Verdana"/>
          <w:sz w:val="20"/>
          <w:lang w:val="pt-BR"/>
        </w:rPr>
        <w:t xml:space="preserve"> </w:t>
      </w:r>
      <w:r w:rsidR="004756C1" w:rsidRPr="002F50BD">
        <w:rPr>
          <w:rFonts w:ascii="Verdana" w:hAnsi="Verdana"/>
          <w:sz w:val="20"/>
          <w:lang w:val="pt-BR"/>
        </w:rPr>
        <w:t>u</w:t>
      </w:r>
      <w:r w:rsidR="00E50F4A" w:rsidRPr="002F50BD">
        <w:rPr>
          <w:rFonts w:ascii="Verdana" w:hAnsi="Verdana"/>
          <w:sz w:val="20"/>
          <w:lang w:val="pt-BR"/>
        </w:rPr>
        <w:t xml:space="preserve">m </w:t>
      </w:r>
      <w:r w:rsidR="0089298C" w:rsidRPr="002F50BD">
        <w:rPr>
          <w:rFonts w:ascii="Verdana" w:hAnsi="Verdana"/>
          <w:sz w:val="20"/>
          <w:lang w:val="pt-BR"/>
        </w:rPr>
        <w:t xml:space="preserve">ou outro </w:t>
      </w:r>
      <w:r w:rsidR="004756C1" w:rsidRPr="002F50BD">
        <w:rPr>
          <w:rFonts w:ascii="Verdana" w:hAnsi="Verdana"/>
          <w:sz w:val="20"/>
          <w:lang w:val="pt-BR"/>
        </w:rPr>
        <w:t>caso,</w:t>
      </w:r>
      <w:r w:rsidR="0089298C" w:rsidRPr="002F50BD">
        <w:rPr>
          <w:rFonts w:ascii="Verdana" w:hAnsi="Verdana"/>
          <w:sz w:val="20"/>
          <w:lang w:val="pt-BR"/>
        </w:rPr>
        <w:t xml:space="preserve"> a extensão das terra</w:t>
      </w:r>
      <w:r w:rsidR="004756C1" w:rsidRPr="002F50BD">
        <w:rPr>
          <w:rFonts w:ascii="Verdana" w:hAnsi="Verdana"/>
          <w:sz w:val="20"/>
          <w:lang w:val="pt-BR"/>
        </w:rPr>
        <w:t xml:space="preserve">s </w:t>
      </w:r>
      <w:r w:rsidR="0089298C" w:rsidRPr="002F50BD">
        <w:rPr>
          <w:rFonts w:ascii="Verdana" w:hAnsi="Verdana"/>
          <w:sz w:val="20"/>
          <w:lang w:val="pt-BR"/>
        </w:rPr>
        <w:t>dever</w:t>
      </w:r>
      <w:r w:rsidR="004756C1" w:rsidRPr="002F50BD">
        <w:rPr>
          <w:rFonts w:ascii="Verdana" w:hAnsi="Verdana"/>
          <w:sz w:val="20"/>
          <w:lang w:val="pt-BR"/>
        </w:rPr>
        <w:t>á ser</w:t>
      </w:r>
      <w:r w:rsidR="0089298C" w:rsidRPr="002F50BD">
        <w:rPr>
          <w:rFonts w:ascii="Verdana" w:hAnsi="Verdana"/>
          <w:sz w:val="20"/>
          <w:lang w:val="pt-BR"/>
        </w:rPr>
        <w:t xml:space="preserve"> </w:t>
      </w:r>
      <w:r w:rsidR="004756C1" w:rsidRPr="002F50BD">
        <w:rPr>
          <w:rFonts w:ascii="Verdana" w:hAnsi="Verdana"/>
          <w:sz w:val="20"/>
          <w:lang w:val="pt-BR"/>
        </w:rPr>
        <w:t xml:space="preserve">suficiente para </w:t>
      </w:r>
      <w:r w:rsidR="0089298C" w:rsidRPr="002F50BD">
        <w:rPr>
          <w:rFonts w:ascii="Verdana" w:hAnsi="Verdana"/>
          <w:sz w:val="20"/>
          <w:lang w:val="pt-BR"/>
        </w:rPr>
        <w:t xml:space="preserve">garantir </w:t>
      </w:r>
      <w:r w:rsidR="00E50F4A" w:rsidRPr="002F50BD">
        <w:rPr>
          <w:rFonts w:ascii="Verdana" w:hAnsi="Verdana"/>
          <w:sz w:val="20"/>
          <w:lang w:val="pt-BR"/>
        </w:rPr>
        <w:t xml:space="preserve">a manutenção e o </w:t>
      </w:r>
      <w:r w:rsidR="0089298C" w:rsidRPr="002F50BD">
        <w:rPr>
          <w:rFonts w:ascii="Verdana" w:hAnsi="Verdana"/>
          <w:sz w:val="20"/>
          <w:lang w:val="pt-BR"/>
        </w:rPr>
        <w:t xml:space="preserve">desenvolvimento da </w:t>
      </w:r>
      <w:r w:rsidR="004756C1" w:rsidRPr="002F50BD">
        <w:rPr>
          <w:rFonts w:ascii="Verdana" w:hAnsi="Verdana"/>
          <w:sz w:val="20"/>
          <w:lang w:val="pt-BR"/>
        </w:rPr>
        <w:t>forma de vida</w:t>
      </w:r>
      <w:r w:rsidR="0089298C" w:rsidRPr="002F50BD">
        <w:rPr>
          <w:rFonts w:ascii="Verdana" w:hAnsi="Verdana"/>
          <w:sz w:val="20"/>
          <w:lang w:val="pt-BR"/>
        </w:rPr>
        <w:t xml:space="preserve"> </w:t>
      </w:r>
      <w:r w:rsidR="008F3DAF" w:rsidRPr="002F50BD">
        <w:rPr>
          <w:rFonts w:ascii="Verdana" w:hAnsi="Verdana"/>
          <w:sz w:val="20"/>
          <w:lang w:val="pt-BR"/>
        </w:rPr>
        <w:t xml:space="preserve">própria </w:t>
      </w:r>
      <w:r w:rsidR="0089298C" w:rsidRPr="002F50BD">
        <w:rPr>
          <w:rFonts w:ascii="Verdana" w:hAnsi="Verdana"/>
          <w:sz w:val="20"/>
          <w:lang w:val="pt-BR"/>
        </w:rPr>
        <w:t xml:space="preserve">da </w:t>
      </w:r>
      <w:r w:rsidR="00A50140" w:rsidRPr="002F50BD">
        <w:rPr>
          <w:rFonts w:ascii="Verdana" w:hAnsi="Verdana"/>
          <w:sz w:val="20"/>
          <w:lang w:val="pt-BR"/>
        </w:rPr>
        <w:t>Comunidade.</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E50F4A">
      <w:pPr>
        <w:numPr>
          <w:ilvl w:val="0"/>
          <w:numId w:val="32"/>
        </w:numPr>
        <w:jc w:val="both"/>
        <w:rPr>
          <w:rFonts w:ascii="Verdana" w:hAnsi="Verdana"/>
          <w:sz w:val="20"/>
          <w:lang w:val="pt-BR"/>
        </w:rPr>
      </w:pPr>
      <w:r w:rsidRPr="002F50BD">
        <w:rPr>
          <w:rFonts w:ascii="Verdana" w:hAnsi="Verdana"/>
          <w:sz w:val="20"/>
          <w:lang w:val="pt-BR"/>
        </w:rPr>
        <w:t xml:space="preserve">Para </w:t>
      </w:r>
      <w:r w:rsidR="004756C1" w:rsidRPr="002F50BD">
        <w:rPr>
          <w:rFonts w:ascii="Verdana" w:hAnsi="Verdana"/>
          <w:sz w:val="20"/>
          <w:lang w:val="pt-BR"/>
        </w:rPr>
        <w:t xml:space="preserve">dar </w:t>
      </w:r>
      <w:r w:rsidR="0089298C" w:rsidRPr="002F50BD">
        <w:rPr>
          <w:rFonts w:ascii="Verdana" w:hAnsi="Verdana"/>
          <w:sz w:val="20"/>
          <w:lang w:val="pt-BR"/>
        </w:rPr>
        <w:t>cumprimento ao indicado no parágrafo</w:t>
      </w:r>
      <w:r w:rsidR="004756C1" w:rsidRPr="002F50BD">
        <w:rPr>
          <w:rFonts w:ascii="Verdana" w:hAnsi="Verdana"/>
          <w:sz w:val="20"/>
          <w:lang w:val="pt-BR"/>
        </w:rPr>
        <w:t xml:space="preserve"> anterior,</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 xml:space="preserve">caso seja </w:t>
      </w:r>
      <w:r w:rsidR="0089298C" w:rsidRPr="002F50BD">
        <w:rPr>
          <w:rFonts w:ascii="Verdana" w:hAnsi="Verdana"/>
          <w:sz w:val="20"/>
          <w:lang w:val="pt-BR"/>
        </w:rPr>
        <w:t>necessári</w:t>
      </w:r>
      <w:r w:rsidR="004756C1" w:rsidRPr="002F50BD">
        <w:rPr>
          <w:rFonts w:ascii="Verdana" w:hAnsi="Verdana"/>
          <w:sz w:val="20"/>
          <w:lang w:val="pt-BR"/>
        </w:rPr>
        <w:t xml:space="preserve">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 xml:space="preserve">criar um </w:t>
      </w:r>
      <w:r w:rsidRPr="002F50BD">
        <w:rPr>
          <w:rFonts w:ascii="Verdana" w:hAnsi="Verdana"/>
          <w:sz w:val="20"/>
          <w:lang w:val="pt-BR"/>
        </w:rPr>
        <w:t xml:space="preserve">fundo </w:t>
      </w:r>
      <w:r w:rsidR="004756C1" w:rsidRPr="002F50BD">
        <w:rPr>
          <w:rFonts w:ascii="Verdana" w:hAnsi="Verdana"/>
          <w:sz w:val="20"/>
          <w:lang w:val="pt-BR"/>
        </w:rPr>
        <w:t>destinado exclusivamente</w:t>
      </w:r>
      <w:r w:rsidR="0089298C" w:rsidRPr="002F50BD">
        <w:rPr>
          <w:rFonts w:ascii="Verdana" w:hAnsi="Verdana"/>
          <w:sz w:val="20"/>
          <w:lang w:val="pt-BR"/>
        </w:rPr>
        <w:t xml:space="preserve"> à </w:t>
      </w:r>
      <w:r w:rsidR="00367FD1" w:rsidRPr="002F50BD">
        <w:rPr>
          <w:rFonts w:ascii="Verdana" w:hAnsi="Verdana"/>
          <w:sz w:val="20"/>
          <w:lang w:val="pt-BR"/>
        </w:rPr>
        <w:t>aquisição</w:t>
      </w:r>
      <w:r w:rsidR="0089298C" w:rsidRPr="002F50BD">
        <w:rPr>
          <w:rFonts w:ascii="Verdana" w:hAnsi="Verdana"/>
          <w:sz w:val="20"/>
          <w:lang w:val="pt-BR"/>
        </w:rPr>
        <w:t xml:space="preserve"> das terra</w:t>
      </w:r>
      <w:r w:rsidR="004756C1" w:rsidRPr="002F50BD">
        <w:rPr>
          <w:rFonts w:ascii="Verdana" w:hAnsi="Verdana"/>
          <w:sz w:val="20"/>
          <w:lang w:val="pt-BR"/>
        </w:rPr>
        <w:t xml:space="preserve">s a </w:t>
      </w:r>
      <w:r w:rsidRPr="002F50BD">
        <w:rPr>
          <w:rFonts w:ascii="Verdana" w:hAnsi="Verdana"/>
          <w:sz w:val="20"/>
          <w:lang w:val="pt-BR"/>
        </w:rPr>
        <w:t xml:space="preserve">serem entregues </w:t>
      </w:r>
      <w:r w:rsidR="0089298C" w:rsidRPr="002F50BD">
        <w:rPr>
          <w:rFonts w:ascii="Verdana" w:hAnsi="Verdana"/>
          <w:sz w:val="20"/>
          <w:lang w:val="pt-BR"/>
        </w:rPr>
        <w:t xml:space="preserve">à Comunidade </w:t>
      </w:r>
      <w:r w:rsidR="004756C1" w:rsidRPr="002F50BD">
        <w:rPr>
          <w:rFonts w:ascii="Verdana" w:hAnsi="Verdana"/>
          <w:sz w:val="20"/>
          <w:lang w:val="pt-BR"/>
        </w:rPr>
        <w:t>Yakye Axa,</w:t>
      </w:r>
      <w:r w:rsidR="0089298C" w:rsidRPr="002F50BD">
        <w:rPr>
          <w:rFonts w:ascii="Verdana" w:hAnsi="Verdana"/>
          <w:sz w:val="20"/>
          <w:lang w:val="pt-BR"/>
        </w:rPr>
        <w:t xml:space="preserve"> em um prazo</w:t>
      </w:r>
      <w:r w:rsidR="004756C1" w:rsidRPr="002F50BD">
        <w:rPr>
          <w:rFonts w:ascii="Verdana" w:hAnsi="Verdana"/>
          <w:sz w:val="20"/>
          <w:lang w:val="pt-BR"/>
        </w:rPr>
        <w:t xml:space="preserve"> máximo de</w:t>
      </w:r>
      <w:r w:rsidR="0089298C" w:rsidRPr="002F50BD">
        <w:rPr>
          <w:rFonts w:ascii="Verdana" w:hAnsi="Verdana"/>
          <w:sz w:val="20"/>
          <w:lang w:val="pt-BR"/>
        </w:rPr>
        <w:t xml:space="preserve"> um ano </w:t>
      </w:r>
      <w:r w:rsidR="004756C1" w:rsidRPr="002F50BD">
        <w:rPr>
          <w:rFonts w:ascii="Verdana" w:hAnsi="Verdana"/>
          <w:sz w:val="20"/>
          <w:lang w:val="pt-BR"/>
        </w:rPr>
        <w:t>contado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w:t>
      </w:r>
      <w:r w:rsidRPr="002F50BD">
        <w:rPr>
          <w:rFonts w:ascii="Verdana" w:hAnsi="Verdana"/>
          <w:sz w:val="20"/>
          <w:lang w:val="pt-BR"/>
        </w:rPr>
        <w:t xml:space="preserve">fundo </w:t>
      </w:r>
      <w:r w:rsidR="004756C1" w:rsidRPr="002F50BD">
        <w:rPr>
          <w:rFonts w:ascii="Verdana" w:hAnsi="Verdana"/>
          <w:sz w:val="20"/>
          <w:lang w:val="pt-BR"/>
        </w:rPr>
        <w:t>que será destinado</w:t>
      </w:r>
      <w:r w:rsidR="0089298C" w:rsidRPr="002F50BD">
        <w:rPr>
          <w:rFonts w:ascii="Verdana" w:hAnsi="Verdana"/>
          <w:sz w:val="20"/>
          <w:lang w:val="pt-BR"/>
        </w:rPr>
        <w:t xml:space="preserve"> </w:t>
      </w:r>
      <w:r w:rsidRPr="002F50BD">
        <w:rPr>
          <w:rFonts w:ascii="Verdana" w:hAnsi="Verdana"/>
          <w:sz w:val="20"/>
          <w:lang w:val="pt-BR"/>
        </w:rPr>
        <w:t xml:space="preserve">tanto </w:t>
      </w:r>
      <w:r w:rsidR="004756C1" w:rsidRPr="002F50BD">
        <w:rPr>
          <w:rFonts w:ascii="Verdana" w:hAnsi="Verdana"/>
          <w:sz w:val="20"/>
          <w:lang w:val="pt-BR"/>
        </w:rPr>
        <w:t>para</w:t>
      </w:r>
      <w:r w:rsidR="0089298C" w:rsidRPr="002F50BD">
        <w:rPr>
          <w:rFonts w:ascii="Verdana" w:hAnsi="Verdana"/>
          <w:sz w:val="20"/>
          <w:lang w:val="pt-BR"/>
        </w:rPr>
        <w:t xml:space="preserve"> a </w:t>
      </w:r>
      <w:r w:rsidR="004756C1" w:rsidRPr="002F50BD">
        <w:rPr>
          <w:rFonts w:ascii="Verdana" w:hAnsi="Verdana"/>
          <w:sz w:val="20"/>
          <w:lang w:val="pt-BR"/>
        </w:rPr>
        <w:t>compra</w:t>
      </w:r>
      <w:r w:rsidR="0089298C" w:rsidRPr="002F50BD">
        <w:rPr>
          <w:rFonts w:ascii="Verdana" w:hAnsi="Verdana"/>
          <w:sz w:val="20"/>
          <w:lang w:val="pt-BR"/>
        </w:rPr>
        <w:t xml:space="preserve"> da terra</w:t>
      </w:r>
      <w:r w:rsidRPr="002F50BD">
        <w:rPr>
          <w:rFonts w:ascii="Verdana" w:hAnsi="Verdana"/>
          <w:sz w:val="20"/>
          <w:lang w:val="pt-BR"/>
        </w:rPr>
        <w:t xml:space="preserve"> de</w:t>
      </w:r>
      <w:r w:rsidR="004756C1" w:rsidRPr="002F50BD">
        <w:rPr>
          <w:rFonts w:ascii="Verdana" w:hAnsi="Verdana"/>
          <w:sz w:val="20"/>
          <w:lang w:val="pt-BR"/>
        </w:rPr>
        <w:t xml:space="preserve"> </w:t>
      </w:r>
      <w:r w:rsidR="007801FA" w:rsidRPr="002F50BD">
        <w:rPr>
          <w:rFonts w:ascii="Verdana" w:hAnsi="Verdana"/>
          <w:sz w:val="20"/>
          <w:lang w:val="pt-BR"/>
        </w:rPr>
        <w:t>proprietário</w:t>
      </w:r>
      <w:r w:rsidR="004756C1" w:rsidRPr="002F50BD">
        <w:rPr>
          <w:rFonts w:ascii="Verdana" w:hAnsi="Verdana"/>
          <w:sz w:val="20"/>
          <w:lang w:val="pt-BR"/>
        </w:rPr>
        <w:t>s particulares o</w:t>
      </w:r>
      <w:r w:rsidRPr="002F50BD">
        <w:rPr>
          <w:rFonts w:ascii="Verdana" w:hAnsi="Verdana"/>
          <w:sz w:val="20"/>
          <w:lang w:val="pt-BR"/>
        </w:rPr>
        <w:t>u</w:t>
      </w:r>
      <w:r w:rsidR="004756C1" w:rsidRPr="002F50BD">
        <w:rPr>
          <w:rFonts w:ascii="Verdana" w:hAnsi="Verdana"/>
          <w:sz w:val="20"/>
          <w:lang w:val="pt-BR"/>
        </w:rPr>
        <w:t xml:space="preserve"> para</w:t>
      </w:r>
      <w:r w:rsidR="0089298C" w:rsidRPr="002F50BD">
        <w:rPr>
          <w:rFonts w:ascii="Verdana" w:hAnsi="Verdana"/>
          <w:sz w:val="20"/>
          <w:lang w:val="pt-BR"/>
        </w:rPr>
        <w:t xml:space="preserve"> o pagamento</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 xml:space="preserve">justa </w:t>
      </w:r>
      <w:r w:rsidR="0089298C" w:rsidRPr="002F50BD">
        <w:rPr>
          <w:rFonts w:ascii="Verdana" w:hAnsi="Verdana"/>
          <w:sz w:val="20"/>
          <w:lang w:val="pt-BR"/>
        </w:rPr>
        <w:t xml:space="preserve">indenização aos </w:t>
      </w:r>
      <w:r w:rsidR="004756C1" w:rsidRPr="002F50BD">
        <w:rPr>
          <w:rFonts w:ascii="Verdana" w:hAnsi="Verdana"/>
          <w:sz w:val="20"/>
          <w:lang w:val="pt-BR"/>
        </w:rPr>
        <w:t>p</w:t>
      </w:r>
      <w:r w:rsidRPr="002F50BD">
        <w:rPr>
          <w:rFonts w:ascii="Verdana" w:hAnsi="Verdana"/>
          <w:sz w:val="20"/>
          <w:lang w:val="pt-BR"/>
        </w:rPr>
        <w:t>r</w:t>
      </w:r>
      <w:r w:rsidR="004756C1" w:rsidRPr="002F50BD">
        <w:rPr>
          <w:rFonts w:ascii="Verdana" w:hAnsi="Verdana"/>
          <w:sz w:val="20"/>
          <w:lang w:val="pt-BR"/>
        </w:rPr>
        <w:t>ejudicados</w:t>
      </w:r>
      <w:r w:rsidR="0089298C" w:rsidRPr="002F50BD">
        <w:rPr>
          <w:rFonts w:ascii="Verdana" w:hAnsi="Verdana"/>
          <w:sz w:val="20"/>
          <w:lang w:val="pt-BR"/>
        </w:rPr>
        <w:t xml:space="preserve"> em </w:t>
      </w:r>
      <w:r w:rsidR="004756C1" w:rsidRPr="002F50BD">
        <w:rPr>
          <w:rFonts w:ascii="Verdana" w:hAnsi="Verdana"/>
          <w:sz w:val="20"/>
          <w:lang w:val="pt-BR"/>
        </w:rPr>
        <w:t xml:space="preserve">caso de </w:t>
      </w:r>
      <w:r w:rsidR="00DB51F0" w:rsidRPr="002F50BD">
        <w:rPr>
          <w:rFonts w:ascii="Verdana" w:hAnsi="Verdana"/>
          <w:sz w:val="20"/>
          <w:lang w:val="pt-BR"/>
        </w:rPr>
        <w:t>expropriação</w:t>
      </w:r>
      <w:r w:rsidR="004756C1" w:rsidRPr="002F50BD">
        <w:rPr>
          <w:rFonts w:ascii="Verdana" w:hAnsi="Verdana"/>
          <w:sz w:val="20"/>
          <w:lang w:val="pt-BR"/>
        </w:rPr>
        <w:t xml:space="preserve">, </w:t>
      </w:r>
      <w:r w:rsidR="0089298C" w:rsidRPr="002F50BD">
        <w:rPr>
          <w:rFonts w:ascii="Verdana" w:hAnsi="Verdana"/>
          <w:sz w:val="20"/>
          <w:lang w:val="pt-BR"/>
        </w:rPr>
        <w:t>segundo</w:t>
      </w:r>
      <w:r w:rsidR="004756C1" w:rsidRPr="002F50BD">
        <w:rPr>
          <w:rFonts w:ascii="Verdana" w:hAnsi="Verdana"/>
          <w:sz w:val="20"/>
          <w:lang w:val="pt-BR"/>
        </w:rPr>
        <w:t xml:space="preserve"> corresponda.</w:t>
      </w:r>
    </w:p>
    <w:p w:rsidR="004756C1" w:rsidRPr="002F50BD" w:rsidRDefault="004756C1">
      <w:pPr>
        <w:jc w:val="both"/>
        <w:rPr>
          <w:rFonts w:ascii="Verdana" w:hAnsi="Verdana"/>
          <w:lang w:val="pt-BR"/>
        </w:rPr>
      </w:pPr>
    </w:p>
    <w:p w:rsidR="004756C1" w:rsidRPr="002F50BD" w:rsidRDefault="004756C1">
      <w:pPr>
        <w:jc w:val="both"/>
        <w:rPr>
          <w:rFonts w:ascii="Verdana" w:hAnsi="Verdana"/>
          <w:i/>
          <w:sz w:val="20"/>
          <w:lang w:val="pt-BR"/>
        </w:rPr>
      </w:pPr>
      <w:r w:rsidRPr="002F50BD">
        <w:rPr>
          <w:rFonts w:ascii="Verdana" w:hAnsi="Verdana"/>
          <w:i/>
          <w:sz w:val="20"/>
          <w:lang w:val="pt-BR"/>
        </w:rPr>
        <w:t>b</w:t>
      </w:r>
      <w:r w:rsidR="00CF451D" w:rsidRPr="00CF451D">
        <w:rPr>
          <w:rFonts w:ascii="Verdana" w:hAnsi="Verdana"/>
          <w:sz w:val="20"/>
          <w:lang w:val="pt-BR"/>
        </w:rPr>
        <w:t>)</w:t>
      </w:r>
      <w:r w:rsidRPr="002F50BD">
        <w:rPr>
          <w:rFonts w:ascii="Verdana" w:hAnsi="Verdana"/>
          <w:i/>
          <w:sz w:val="20"/>
          <w:lang w:val="pt-BR"/>
        </w:rPr>
        <w:tab/>
      </w:r>
      <w:r w:rsidR="00E50F4A" w:rsidRPr="002F50BD">
        <w:rPr>
          <w:rFonts w:ascii="Verdana" w:hAnsi="Verdana"/>
          <w:i/>
          <w:sz w:val="20"/>
          <w:lang w:val="pt-BR"/>
        </w:rPr>
        <w:t>Fornecimento</w:t>
      </w:r>
      <w:r w:rsidRPr="002F50BD">
        <w:rPr>
          <w:rFonts w:ascii="Verdana" w:hAnsi="Verdana"/>
          <w:i/>
          <w:sz w:val="20"/>
          <w:lang w:val="pt-BR"/>
        </w:rPr>
        <w:t xml:space="preserve"> de </w:t>
      </w:r>
      <w:r w:rsidR="0089298C" w:rsidRPr="002F50BD">
        <w:rPr>
          <w:rFonts w:ascii="Verdana" w:hAnsi="Verdana"/>
          <w:i/>
          <w:sz w:val="20"/>
          <w:lang w:val="pt-BR"/>
        </w:rPr>
        <w:t>bens e serviço</w:t>
      </w:r>
      <w:r w:rsidRPr="002F50BD">
        <w:rPr>
          <w:rFonts w:ascii="Verdana" w:hAnsi="Verdana"/>
          <w:i/>
          <w:sz w:val="20"/>
          <w:lang w:val="pt-BR"/>
        </w:rPr>
        <w:t>s básicos</w:t>
      </w:r>
    </w:p>
    <w:p w:rsidR="00E50F4A" w:rsidRPr="002F50BD" w:rsidRDefault="00E50F4A" w:rsidP="00E50F4A">
      <w:pPr>
        <w:jc w:val="both"/>
        <w:rPr>
          <w:rFonts w:ascii="Verdana" w:hAnsi="Verdana"/>
          <w:sz w:val="20"/>
          <w:lang w:val="pt-BR"/>
        </w:rPr>
      </w:pPr>
    </w:p>
    <w:p w:rsidR="004756C1" w:rsidRPr="002F50BD" w:rsidRDefault="0089298C">
      <w:pPr>
        <w:numPr>
          <w:ilvl w:val="0"/>
          <w:numId w:val="32"/>
        </w:numPr>
        <w:jc w:val="both"/>
        <w:rPr>
          <w:rFonts w:ascii="Verdana" w:hAnsi="Verdana"/>
          <w:sz w:val="20"/>
          <w:lang w:val="pt-BR"/>
        </w:rPr>
      </w:pPr>
      <w:r w:rsidRPr="002F50BD">
        <w:rPr>
          <w:rFonts w:ascii="Verdana" w:hAnsi="Verdana"/>
          <w:sz w:val="20"/>
          <w:lang w:val="pt-BR"/>
        </w:rPr>
        <w:t xml:space="preserve">A Comissão e os </w:t>
      </w:r>
      <w:r w:rsidR="008C29C9" w:rsidRPr="002F50BD">
        <w:rPr>
          <w:rFonts w:ascii="Verdana" w:hAnsi="Verdana"/>
          <w:sz w:val="20"/>
          <w:lang w:val="pt-BR"/>
        </w:rPr>
        <w:t>representante</w:t>
      </w:r>
      <w:r w:rsidR="004756C1" w:rsidRPr="002F50BD">
        <w:rPr>
          <w:rFonts w:ascii="Verdana" w:hAnsi="Verdana"/>
          <w:sz w:val="20"/>
          <w:lang w:val="pt-BR"/>
        </w:rPr>
        <w:t>s</w:t>
      </w:r>
      <w:r w:rsidR="00E50F4A" w:rsidRPr="002F50BD">
        <w:rPr>
          <w:rFonts w:ascii="Verdana" w:hAnsi="Verdana"/>
          <w:sz w:val="20"/>
          <w:lang w:val="pt-BR"/>
        </w:rPr>
        <w:t>,</w:t>
      </w:r>
      <w:r w:rsidRPr="002F50BD">
        <w:rPr>
          <w:rFonts w:ascii="Verdana" w:hAnsi="Verdana"/>
          <w:sz w:val="20"/>
          <w:lang w:val="pt-BR"/>
        </w:rPr>
        <w:t xml:space="preserve"> em </w:t>
      </w:r>
      <w:r w:rsidR="00E50F4A" w:rsidRPr="002F50BD">
        <w:rPr>
          <w:rFonts w:ascii="Verdana" w:hAnsi="Verdana"/>
          <w:sz w:val="20"/>
          <w:lang w:val="pt-BR"/>
        </w:rPr>
        <w:t>seus escritos</w:t>
      </w:r>
      <w:r w:rsidR="004756C1" w:rsidRPr="002F50BD">
        <w:rPr>
          <w:rFonts w:ascii="Verdana" w:hAnsi="Verdana"/>
          <w:sz w:val="20"/>
          <w:lang w:val="pt-BR"/>
        </w:rPr>
        <w:t xml:space="preserve"> </w:t>
      </w:r>
      <w:r w:rsidRPr="002F50BD">
        <w:rPr>
          <w:rFonts w:ascii="Verdana" w:hAnsi="Verdana"/>
          <w:sz w:val="20"/>
          <w:lang w:val="pt-BR"/>
        </w:rPr>
        <w:t>principais</w:t>
      </w:r>
      <w:r w:rsidR="00754117"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manifestaram a necessidade </w:t>
      </w:r>
      <w:r w:rsidR="004756C1" w:rsidRPr="002F50BD">
        <w:rPr>
          <w:rFonts w:ascii="Verdana" w:hAnsi="Verdana"/>
          <w:sz w:val="20"/>
          <w:lang w:val="pt-BR"/>
        </w:rPr>
        <w:t xml:space="preserve">de </w:t>
      </w:r>
      <w:r w:rsidR="00E50F4A" w:rsidRPr="002F50BD">
        <w:rPr>
          <w:rFonts w:ascii="Verdana" w:hAnsi="Verdana"/>
          <w:sz w:val="20"/>
          <w:lang w:val="pt-BR"/>
        </w:rPr>
        <w:t>oferecer serviços</w:t>
      </w:r>
      <w:r w:rsidR="004756C1" w:rsidRPr="002F50BD">
        <w:rPr>
          <w:rFonts w:ascii="Verdana" w:hAnsi="Verdana"/>
          <w:sz w:val="20"/>
          <w:lang w:val="pt-BR"/>
        </w:rPr>
        <w:t xml:space="preserve"> básicos</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indígena </w:t>
      </w:r>
      <w:r w:rsidR="004756C1" w:rsidRPr="002F50BD">
        <w:rPr>
          <w:rFonts w:ascii="Verdana" w:hAnsi="Verdana"/>
          <w:sz w:val="20"/>
          <w:lang w:val="pt-BR"/>
        </w:rPr>
        <w:lastRenderedPageBreak/>
        <w:t xml:space="preserve">Yakye Axa, </w:t>
      </w:r>
      <w:r w:rsidRPr="002F50BD">
        <w:rPr>
          <w:rFonts w:ascii="Verdana" w:hAnsi="Verdana"/>
          <w:sz w:val="20"/>
          <w:lang w:val="pt-BR"/>
        </w:rPr>
        <w:t>incluindo</w:t>
      </w:r>
      <w:r w:rsidR="00AB454A" w:rsidRPr="002F50BD">
        <w:rPr>
          <w:rFonts w:ascii="Verdana" w:hAnsi="Verdana"/>
          <w:sz w:val="20"/>
          <w:lang w:val="pt-BR"/>
        </w:rPr>
        <w:t xml:space="preserve"> água potável </w:t>
      </w:r>
      <w:r w:rsidR="004756C1" w:rsidRPr="002F50BD">
        <w:rPr>
          <w:rFonts w:ascii="Verdana" w:hAnsi="Verdana"/>
          <w:sz w:val="20"/>
          <w:lang w:val="pt-BR"/>
        </w:rPr>
        <w:t>e infra</w:t>
      </w:r>
      <w:r w:rsidRPr="002F50BD">
        <w:rPr>
          <w:rFonts w:ascii="Verdana" w:hAnsi="Verdana"/>
          <w:sz w:val="20"/>
          <w:lang w:val="pt-BR"/>
        </w:rPr>
        <w:t>estrutura</w:t>
      </w:r>
      <w:r w:rsidR="004756C1" w:rsidRPr="002F50BD">
        <w:rPr>
          <w:rFonts w:ascii="Verdana" w:hAnsi="Verdana"/>
          <w:sz w:val="20"/>
          <w:lang w:val="pt-BR"/>
        </w:rPr>
        <w:t xml:space="preserve"> </w:t>
      </w:r>
      <w:r w:rsidR="00A50140" w:rsidRPr="002F50BD">
        <w:rPr>
          <w:rFonts w:ascii="Verdana" w:hAnsi="Verdana"/>
          <w:sz w:val="20"/>
          <w:lang w:val="pt-BR"/>
        </w:rPr>
        <w:t>sanitária</w:t>
      </w:r>
      <w:r w:rsidR="004756C1" w:rsidRPr="002F50BD">
        <w:rPr>
          <w:rFonts w:ascii="Verdana" w:hAnsi="Verdana"/>
          <w:sz w:val="20"/>
          <w:lang w:val="pt-BR"/>
        </w:rPr>
        <w:t>,</w:t>
      </w:r>
      <w:r w:rsidRPr="002F50BD">
        <w:rPr>
          <w:rFonts w:ascii="Verdana" w:hAnsi="Verdana"/>
          <w:sz w:val="20"/>
          <w:lang w:val="pt-BR"/>
        </w:rPr>
        <w:t xml:space="preserve"> um </w:t>
      </w:r>
      <w:r w:rsidR="004756C1" w:rsidRPr="002F50BD">
        <w:rPr>
          <w:rFonts w:ascii="Verdana" w:hAnsi="Verdana"/>
          <w:sz w:val="20"/>
          <w:lang w:val="pt-BR"/>
        </w:rPr>
        <w:t xml:space="preserve">centro de </w:t>
      </w:r>
      <w:r w:rsidRPr="002F50BD">
        <w:rPr>
          <w:rFonts w:ascii="Verdana" w:hAnsi="Verdana"/>
          <w:sz w:val="20"/>
          <w:lang w:val="pt-BR"/>
        </w:rPr>
        <w:t>saúde e um estabelecimento</w:t>
      </w:r>
      <w:r w:rsidR="004756C1" w:rsidRPr="002F50BD">
        <w:rPr>
          <w:rFonts w:ascii="Verdana" w:hAnsi="Verdana"/>
          <w:sz w:val="20"/>
          <w:lang w:val="pt-BR"/>
        </w:rPr>
        <w:t xml:space="preserve"> escolar. Igualmente</w:t>
      </w:r>
      <w:r w:rsidR="00300AB5" w:rsidRPr="002F50BD">
        <w:rPr>
          <w:rFonts w:ascii="Verdana" w:hAnsi="Verdana"/>
          <w:sz w:val="20"/>
          <w:lang w:val="pt-BR"/>
        </w:rPr>
        <w:t>,</w:t>
      </w:r>
      <w:r w:rsidR="004756C1" w:rsidRPr="002F50BD">
        <w:rPr>
          <w:rFonts w:ascii="Verdana" w:hAnsi="Verdana"/>
          <w:sz w:val="20"/>
          <w:lang w:val="pt-BR"/>
        </w:rPr>
        <w:t xml:space="preserve"> </w:t>
      </w:r>
      <w:r w:rsidR="00E50F4A" w:rsidRPr="002F50BD">
        <w:rPr>
          <w:rFonts w:ascii="Verdana" w:hAnsi="Verdana"/>
          <w:sz w:val="20"/>
          <w:lang w:val="pt-BR"/>
        </w:rPr>
        <w:t>demonstraram</w:t>
      </w:r>
      <w:r w:rsidRPr="002F50BD">
        <w:rPr>
          <w:rFonts w:ascii="Verdana" w:hAnsi="Verdana"/>
          <w:sz w:val="20"/>
          <w:lang w:val="pt-BR"/>
        </w:rPr>
        <w:t xml:space="preserve"> a necessidade </w:t>
      </w:r>
      <w:r w:rsidR="004756C1" w:rsidRPr="002F50BD">
        <w:rPr>
          <w:rFonts w:ascii="Verdana" w:hAnsi="Verdana"/>
          <w:sz w:val="20"/>
          <w:lang w:val="pt-BR"/>
        </w:rPr>
        <w:t xml:space="preserve">de </w:t>
      </w:r>
      <w:r w:rsidR="00E50F4A" w:rsidRPr="002F50BD">
        <w:rPr>
          <w:rFonts w:ascii="Verdana" w:hAnsi="Verdana"/>
          <w:sz w:val="20"/>
          <w:lang w:val="pt-BR"/>
        </w:rPr>
        <w:t xml:space="preserve">fornecer </w:t>
      </w:r>
      <w:r w:rsidRPr="002F50BD">
        <w:rPr>
          <w:rFonts w:ascii="Verdana" w:hAnsi="Verdana"/>
          <w:sz w:val="20"/>
          <w:lang w:val="pt-BR"/>
        </w:rPr>
        <w:t>atenção</w:t>
      </w:r>
      <w:r w:rsidR="004756C1" w:rsidRPr="002F50BD">
        <w:rPr>
          <w:rFonts w:ascii="Verdana" w:hAnsi="Verdana"/>
          <w:sz w:val="20"/>
          <w:lang w:val="pt-BR"/>
        </w:rPr>
        <w:t xml:space="preserve"> médica</w:t>
      </w:r>
      <w:r w:rsidRPr="002F50BD">
        <w:rPr>
          <w:rFonts w:ascii="Verdana" w:hAnsi="Verdana"/>
          <w:sz w:val="20"/>
          <w:lang w:val="pt-BR"/>
        </w:rPr>
        <w:t xml:space="preserve"> e </w:t>
      </w:r>
      <w:r w:rsidR="004756C1" w:rsidRPr="002F50BD">
        <w:rPr>
          <w:rFonts w:ascii="Verdana" w:hAnsi="Verdana"/>
          <w:sz w:val="20"/>
          <w:lang w:val="pt-BR"/>
        </w:rPr>
        <w:t>educacional culturalmente</w:t>
      </w:r>
      <w:r w:rsidRPr="002F50BD">
        <w:rPr>
          <w:rFonts w:ascii="Verdana" w:hAnsi="Verdana"/>
          <w:sz w:val="20"/>
          <w:lang w:val="pt-BR"/>
        </w:rPr>
        <w:t xml:space="preserve"> </w:t>
      </w:r>
      <w:r w:rsidR="00E50F4A" w:rsidRPr="002F50BD">
        <w:rPr>
          <w:rFonts w:ascii="Verdana" w:hAnsi="Verdana"/>
          <w:sz w:val="20"/>
          <w:lang w:val="pt-BR"/>
        </w:rPr>
        <w:t>pertinente, de</w:t>
      </w:r>
      <w:r w:rsidRPr="002F50BD">
        <w:rPr>
          <w:rFonts w:ascii="Verdana" w:hAnsi="Verdana"/>
          <w:sz w:val="20"/>
          <w:lang w:val="pt-BR"/>
        </w:rPr>
        <w:t xml:space="preserve"> </w:t>
      </w:r>
      <w:r w:rsidR="004756C1" w:rsidRPr="002F50BD">
        <w:rPr>
          <w:rFonts w:ascii="Verdana" w:hAnsi="Verdana"/>
          <w:sz w:val="20"/>
          <w:lang w:val="pt-BR"/>
        </w:rPr>
        <w:t>forma permanente</w:t>
      </w:r>
      <w:r w:rsidR="00E50F4A" w:rsidRPr="002F50BD">
        <w:rPr>
          <w:rFonts w:ascii="Verdana" w:hAnsi="Verdana"/>
          <w:sz w:val="20"/>
          <w:lang w:val="pt-BR"/>
        </w:rPr>
        <w:t>,</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tendo</w:t>
      </w:r>
      <w:r w:rsidR="004756C1" w:rsidRPr="002F50BD">
        <w:rPr>
          <w:rFonts w:ascii="Verdana" w:hAnsi="Verdana"/>
          <w:sz w:val="20"/>
          <w:lang w:val="pt-BR"/>
        </w:rPr>
        <w:t xml:space="preserve"> presente</w:t>
      </w:r>
      <w:r w:rsidRPr="002F50BD">
        <w:rPr>
          <w:rFonts w:ascii="Verdana" w:hAnsi="Verdana"/>
          <w:sz w:val="20"/>
          <w:lang w:val="pt-BR"/>
        </w:rPr>
        <w:t xml:space="preserve"> </w:t>
      </w:r>
      <w:r w:rsidR="00E50F4A" w:rsidRPr="002F50BD">
        <w:rPr>
          <w:rFonts w:ascii="Verdana" w:hAnsi="Verdana"/>
          <w:sz w:val="20"/>
          <w:lang w:val="pt-BR"/>
        </w:rPr>
        <w:t xml:space="preserve">seus </w:t>
      </w:r>
      <w:r w:rsidRPr="002F50BD">
        <w:rPr>
          <w:rFonts w:ascii="Verdana" w:hAnsi="Verdana"/>
          <w:sz w:val="20"/>
          <w:lang w:val="pt-BR"/>
        </w:rPr>
        <w:t>costume</w:t>
      </w:r>
      <w:r w:rsidR="004756C1" w:rsidRPr="002F50BD">
        <w:rPr>
          <w:rFonts w:ascii="Verdana" w:hAnsi="Verdana"/>
          <w:sz w:val="20"/>
          <w:lang w:val="pt-BR"/>
        </w:rPr>
        <w:t>s</w:t>
      </w:r>
      <w:r w:rsidRPr="002F50BD">
        <w:rPr>
          <w:rFonts w:ascii="Verdana" w:hAnsi="Verdana"/>
          <w:sz w:val="20"/>
          <w:lang w:val="pt-BR"/>
        </w:rPr>
        <w:t xml:space="preserve"> e </w:t>
      </w:r>
      <w:r w:rsidR="004756C1" w:rsidRPr="002F50BD">
        <w:rPr>
          <w:rFonts w:ascii="Verdana" w:hAnsi="Verdana"/>
          <w:sz w:val="20"/>
          <w:lang w:val="pt-BR"/>
        </w:rPr>
        <w:t>tradi</w:t>
      </w:r>
      <w:r w:rsidRPr="002F50BD">
        <w:rPr>
          <w:rFonts w:ascii="Verdana" w:hAnsi="Verdana"/>
          <w:sz w:val="20"/>
          <w:lang w:val="pt-BR"/>
        </w:rPr>
        <w:t>ções</w:t>
      </w:r>
      <w:r w:rsidR="004756C1" w:rsidRPr="002F50BD">
        <w:rPr>
          <w:rFonts w:ascii="Verdana" w:hAnsi="Verdana"/>
          <w:sz w:val="20"/>
          <w:lang w:val="pt-BR"/>
        </w:rPr>
        <w:t>.</w:t>
      </w:r>
      <w:r w:rsidR="00FE08B7">
        <w:rPr>
          <w:rFonts w:ascii="Verdana" w:hAnsi="Verdana"/>
          <w:sz w:val="20"/>
          <w:lang w:val="pt-BR"/>
        </w:rPr>
        <w:t xml:space="preserve"> </w:t>
      </w:r>
      <w:r w:rsidR="004076AD" w:rsidRPr="002F50BD">
        <w:rPr>
          <w:rFonts w:ascii="Verdana" w:hAnsi="Verdana"/>
          <w:sz w:val="20"/>
          <w:lang w:val="pt-BR"/>
        </w:rPr>
        <w:t>Por sua vez</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afirmou</w:t>
      </w:r>
      <w:r w:rsidR="004756C1" w:rsidRPr="002F50BD">
        <w:rPr>
          <w:rFonts w:ascii="Verdana" w:hAnsi="Verdana"/>
          <w:sz w:val="20"/>
          <w:lang w:val="pt-BR"/>
        </w:rPr>
        <w:t xml:space="preserve"> que</w:t>
      </w:r>
    </w:p>
    <w:p w:rsidR="004756C1" w:rsidRPr="002F50BD" w:rsidRDefault="004756C1">
      <w:pPr>
        <w:pStyle w:val="BodyTextIndent2"/>
        <w:spacing w:line="240" w:lineRule="auto"/>
        <w:rPr>
          <w:rFonts w:ascii="Verdana" w:hAnsi="Verdana"/>
          <w:sz w:val="20"/>
          <w:lang w:val="pt-BR"/>
        </w:rPr>
      </w:pPr>
    </w:p>
    <w:p w:rsidR="004756C1" w:rsidRPr="002F50BD" w:rsidRDefault="00E50F4A">
      <w:pPr>
        <w:pStyle w:val="BodyTextIndent2"/>
        <w:spacing w:line="240" w:lineRule="auto"/>
        <w:ind w:left="720" w:right="720" w:firstLine="0"/>
        <w:rPr>
          <w:rFonts w:ascii="Verdana" w:hAnsi="Verdana"/>
          <w:sz w:val="16"/>
          <w:lang w:val="pt-BR"/>
        </w:rPr>
      </w:pPr>
      <w:r w:rsidRPr="002F50BD">
        <w:rPr>
          <w:rFonts w:ascii="Verdana" w:hAnsi="Verdana"/>
          <w:sz w:val="16"/>
          <w:lang w:val="pt-BR"/>
        </w:rPr>
        <w:t xml:space="preserve">acata </w:t>
      </w:r>
      <w:r w:rsidR="004756C1" w:rsidRPr="002F50BD">
        <w:rPr>
          <w:rFonts w:ascii="Verdana" w:hAnsi="Verdana"/>
          <w:sz w:val="16"/>
          <w:lang w:val="pt-BR"/>
        </w:rPr>
        <w:t>igualmente</w:t>
      </w:r>
      <w:r w:rsidR="0089298C" w:rsidRPr="002F50BD">
        <w:rPr>
          <w:rFonts w:ascii="Verdana" w:hAnsi="Verdana"/>
          <w:sz w:val="16"/>
          <w:lang w:val="pt-BR"/>
        </w:rPr>
        <w:t xml:space="preserve"> </w:t>
      </w:r>
      <w:r w:rsidRPr="002F50BD">
        <w:rPr>
          <w:rFonts w:ascii="Verdana" w:hAnsi="Verdana"/>
          <w:sz w:val="16"/>
          <w:lang w:val="pt-BR"/>
        </w:rPr>
        <w:t>a</w:t>
      </w:r>
      <w:r w:rsidR="0089298C" w:rsidRPr="002F50BD">
        <w:rPr>
          <w:rFonts w:ascii="Verdana" w:hAnsi="Verdana"/>
          <w:sz w:val="16"/>
          <w:lang w:val="pt-BR"/>
        </w:rPr>
        <w:t xml:space="preserve"> solicitação de</w:t>
      </w:r>
      <w:r w:rsidRPr="002F50BD">
        <w:rPr>
          <w:rFonts w:ascii="Verdana" w:hAnsi="Verdana"/>
          <w:sz w:val="16"/>
          <w:lang w:val="pt-BR"/>
        </w:rPr>
        <w:t xml:space="preserve"> e</w:t>
      </w:r>
      <w:r w:rsidR="0089298C" w:rsidRPr="002F50BD">
        <w:rPr>
          <w:rFonts w:ascii="Verdana" w:hAnsi="Verdana"/>
          <w:sz w:val="16"/>
          <w:lang w:val="pt-BR"/>
        </w:rPr>
        <w:t>stabelecimento</w:t>
      </w:r>
      <w:r w:rsidR="004756C1" w:rsidRPr="002F50BD">
        <w:rPr>
          <w:rFonts w:ascii="Verdana" w:hAnsi="Verdana"/>
          <w:sz w:val="16"/>
          <w:lang w:val="pt-BR"/>
        </w:rPr>
        <w:t xml:space="preserve"> de</w:t>
      </w:r>
      <w:r w:rsidR="0089298C" w:rsidRPr="002F50BD">
        <w:rPr>
          <w:rFonts w:ascii="Verdana" w:hAnsi="Verdana"/>
          <w:sz w:val="16"/>
          <w:lang w:val="pt-BR"/>
        </w:rPr>
        <w:t xml:space="preserve"> um posto </w:t>
      </w:r>
      <w:r w:rsidR="004756C1" w:rsidRPr="002F50BD">
        <w:rPr>
          <w:rFonts w:ascii="Verdana" w:hAnsi="Verdana"/>
          <w:sz w:val="16"/>
          <w:lang w:val="pt-BR"/>
        </w:rPr>
        <w:t xml:space="preserve">de </w:t>
      </w:r>
      <w:r w:rsidR="0089298C" w:rsidRPr="002F50BD">
        <w:rPr>
          <w:rFonts w:ascii="Verdana" w:hAnsi="Verdana"/>
          <w:sz w:val="16"/>
          <w:lang w:val="pt-BR"/>
        </w:rPr>
        <w:t>saúde</w:t>
      </w:r>
      <w:r w:rsidR="004756C1" w:rsidRPr="002F50BD">
        <w:rPr>
          <w:rFonts w:ascii="Verdana" w:hAnsi="Verdana"/>
          <w:sz w:val="16"/>
          <w:lang w:val="pt-BR"/>
        </w:rPr>
        <w:t>,</w:t>
      </w:r>
      <w:r w:rsidR="0089298C" w:rsidRPr="002F50BD">
        <w:rPr>
          <w:rFonts w:ascii="Verdana" w:hAnsi="Verdana"/>
          <w:sz w:val="16"/>
          <w:lang w:val="pt-BR"/>
        </w:rPr>
        <w:t xml:space="preserve"> uma </w:t>
      </w:r>
      <w:r w:rsidR="004076AD" w:rsidRPr="002F50BD">
        <w:rPr>
          <w:rFonts w:ascii="Verdana" w:hAnsi="Verdana"/>
          <w:sz w:val="16"/>
          <w:lang w:val="pt-BR"/>
        </w:rPr>
        <w:t>escola</w:t>
      </w:r>
      <w:r w:rsidR="004756C1" w:rsidRPr="002F50BD">
        <w:rPr>
          <w:rFonts w:ascii="Verdana" w:hAnsi="Verdana"/>
          <w:sz w:val="16"/>
          <w:lang w:val="pt-BR"/>
        </w:rPr>
        <w:t xml:space="preserve">, </w:t>
      </w:r>
      <w:r w:rsidR="004076AD" w:rsidRPr="002F50BD">
        <w:rPr>
          <w:rFonts w:ascii="Verdana" w:hAnsi="Verdana"/>
          <w:sz w:val="16"/>
          <w:lang w:val="pt-BR"/>
        </w:rPr>
        <w:t>provisão</w:t>
      </w:r>
      <w:r w:rsidR="004756C1" w:rsidRPr="002F50BD">
        <w:rPr>
          <w:rFonts w:ascii="Verdana" w:hAnsi="Verdana"/>
          <w:sz w:val="16"/>
          <w:lang w:val="pt-BR"/>
        </w:rPr>
        <w:t xml:space="preserve"> de</w:t>
      </w:r>
      <w:r w:rsidR="00AB454A" w:rsidRPr="002F50BD">
        <w:rPr>
          <w:rFonts w:ascii="Verdana" w:hAnsi="Verdana"/>
          <w:sz w:val="16"/>
          <w:lang w:val="pt-BR"/>
        </w:rPr>
        <w:t xml:space="preserve"> água potável </w:t>
      </w:r>
      <w:r w:rsidR="004756C1" w:rsidRPr="002F50BD">
        <w:rPr>
          <w:rFonts w:ascii="Verdana" w:hAnsi="Verdana"/>
          <w:sz w:val="16"/>
          <w:lang w:val="pt-BR"/>
        </w:rPr>
        <w:t>e infra</w:t>
      </w:r>
      <w:r w:rsidR="0089298C" w:rsidRPr="002F50BD">
        <w:rPr>
          <w:rFonts w:ascii="Verdana" w:hAnsi="Verdana"/>
          <w:sz w:val="16"/>
          <w:lang w:val="pt-BR"/>
        </w:rPr>
        <w:t>estrutura</w:t>
      </w:r>
      <w:r w:rsidR="004756C1" w:rsidRPr="002F50BD">
        <w:rPr>
          <w:rFonts w:ascii="Verdana" w:hAnsi="Verdana"/>
          <w:sz w:val="16"/>
          <w:lang w:val="pt-BR"/>
        </w:rPr>
        <w:t xml:space="preserve"> </w:t>
      </w:r>
      <w:r w:rsidR="00A50140" w:rsidRPr="002F50BD">
        <w:rPr>
          <w:rFonts w:ascii="Verdana" w:hAnsi="Verdana"/>
          <w:sz w:val="16"/>
          <w:lang w:val="pt-BR"/>
        </w:rPr>
        <w:t>sanitária</w:t>
      </w:r>
      <w:r w:rsidR="004756C1" w:rsidRPr="002F50BD">
        <w:rPr>
          <w:rFonts w:ascii="Verdana" w:hAnsi="Verdana"/>
          <w:sz w:val="16"/>
          <w:lang w:val="pt-BR"/>
        </w:rPr>
        <w:t xml:space="preserve"> para</w:t>
      </w:r>
      <w:r w:rsidR="0089298C" w:rsidRPr="002F50BD">
        <w:rPr>
          <w:rFonts w:ascii="Verdana" w:hAnsi="Verdana"/>
          <w:sz w:val="16"/>
          <w:lang w:val="pt-BR"/>
        </w:rPr>
        <w:t xml:space="preserve"> a </w:t>
      </w:r>
      <w:r w:rsidR="004756C1" w:rsidRPr="002F50BD">
        <w:rPr>
          <w:rFonts w:ascii="Verdana" w:hAnsi="Verdana"/>
          <w:sz w:val="16"/>
          <w:lang w:val="pt-BR"/>
        </w:rPr>
        <w:t>Comu</w:t>
      </w:r>
      <w:r w:rsidR="00AB454A" w:rsidRPr="002F50BD">
        <w:rPr>
          <w:rFonts w:ascii="Verdana" w:hAnsi="Verdana"/>
          <w:sz w:val="16"/>
          <w:lang w:val="pt-BR"/>
        </w:rPr>
        <w:t xml:space="preserve">nidade, </w:t>
      </w:r>
      <w:r w:rsidR="0089298C" w:rsidRPr="002F50BD">
        <w:rPr>
          <w:rFonts w:ascii="Verdana" w:hAnsi="Verdana"/>
          <w:sz w:val="16"/>
          <w:lang w:val="pt-BR"/>
        </w:rPr>
        <w:t xml:space="preserve">no </w:t>
      </w:r>
      <w:r w:rsidR="004756C1" w:rsidRPr="002F50BD">
        <w:rPr>
          <w:rFonts w:ascii="Verdana" w:hAnsi="Verdana"/>
          <w:sz w:val="16"/>
          <w:lang w:val="pt-BR"/>
        </w:rPr>
        <w:t xml:space="preserve">lugar </w:t>
      </w:r>
      <w:r w:rsidRPr="002F50BD">
        <w:rPr>
          <w:rFonts w:ascii="Verdana" w:hAnsi="Verdana"/>
          <w:sz w:val="16"/>
          <w:lang w:val="pt-BR"/>
        </w:rPr>
        <w:t xml:space="preserve">onde </w:t>
      </w:r>
      <w:r w:rsidR="0089298C" w:rsidRPr="002F50BD">
        <w:rPr>
          <w:rFonts w:ascii="Verdana" w:hAnsi="Verdana"/>
          <w:sz w:val="16"/>
          <w:lang w:val="pt-BR"/>
        </w:rPr>
        <w:t xml:space="preserve">o </w:t>
      </w:r>
      <w:r w:rsidR="004756C1" w:rsidRPr="002F50BD">
        <w:rPr>
          <w:rFonts w:ascii="Verdana" w:hAnsi="Verdana"/>
          <w:sz w:val="16"/>
          <w:lang w:val="pt-BR"/>
        </w:rPr>
        <w:t xml:space="preserve">Estado </w:t>
      </w:r>
      <w:r w:rsidR="0089298C" w:rsidRPr="002F50BD">
        <w:rPr>
          <w:rFonts w:ascii="Verdana" w:hAnsi="Verdana"/>
          <w:sz w:val="16"/>
          <w:lang w:val="pt-BR"/>
        </w:rPr>
        <w:t>possa</w:t>
      </w:r>
      <w:r w:rsidR="004756C1" w:rsidRPr="002F50BD">
        <w:rPr>
          <w:rFonts w:ascii="Verdana" w:hAnsi="Verdana"/>
          <w:sz w:val="16"/>
          <w:lang w:val="pt-BR"/>
        </w:rPr>
        <w:t xml:space="preserve"> </w:t>
      </w:r>
      <w:r w:rsidR="0089298C" w:rsidRPr="002F50BD">
        <w:rPr>
          <w:rFonts w:ascii="Verdana" w:hAnsi="Verdana"/>
          <w:sz w:val="16"/>
          <w:lang w:val="pt-BR"/>
        </w:rPr>
        <w:t>estabelece</w:t>
      </w:r>
      <w:r w:rsidR="004756C1" w:rsidRPr="002F50BD">
        <w:rPr>
          <w:rFonts w:ascii="Verdana" w:hAnsi="Verdana"/>
          <w:sz w:val="16"/>
          <w:lang w:val="pt-BR"/>
        </w:rPr>
        <w:t xml:space="preserve">r </w:t>
      </w:r>
      <w:r w:rsidR="0089298C" w:rsidRPr="002F50BD">
        <w:rPr>
          <w:rFonts w:ascii="Verdana" w:hAnsi="Verdana"/>
          <w:sz w:val="16"/>
          <w:lang w:val="pt-BR"/>
        </w:rPr>
        <w:t>este</w:t>
      </w:r>
      <w:r w:rsidR="004756C1" w:rsidRPr="002F50BD">
        <w:rPr>
          <w:rFonts w:ascii="Verdana" w:hAnsi="Verdana"/>
          <w:sz w:val="16"/>
          <w:lang w:val="pt-BR"/>
        </w:rPr>
        <w:t xml:space="preserve">s </w:t>
      </w:r>
      <w:r w:rsidR="0089298C" w:rsidRPr="002F50BD">
        <w:rPr>
          <w:rFonts w:ascii="Verdana" w:hAnsi="Verdana"/>
          <w:sz w:val="16"/>
          <w:lang w:val="pt-BR"/>
        </w:rPr>
        <w:t>serviço</w:t>
      </w:r>
      <w:r w:rsidR="004756C1" w:rsidRPr="002F50BD">
        <w:rPr>
          <w:rFonts w:ascii="Verdana" w:hAnsi="Verdana"/>
          <w:sz w:val="16"/>
          <w:lang w:val="pt-BR"/>
        </w:rPr>
        <w:t xml:space="preserve">s o </w:t>
      </w:r>
      <w:r w:rsidR="0089298C" w:rsidRPr="002F50BD">
        <w:rPr>
          <w:rFonts w:ascii="Verdana" w:hAnsi="Verdana"/>
          <w:sz w:val="16"/>
          <w:lang w:val="pt-BR"/>
        </w:rPr>
        <w:t xml:space="preserve">mais </w:t>
      </w:r>
      <w:r w:rsidRPr="002F50BD">
        <w:rPr>
          <w:rFonts w:ascii="Verdana" w:hAnsi="Verdana"/>
          <w:sz w:val="16"/>
          <w:lang w:val="pt-BR"/>
        </w:rPr>
        <w:t xml:space="preserve">próximo </w:t>
      </w:r>
      <w:r w:rsidR="0089298C" w:rsidRPr="002F50BD">
        <w:rPr>
          <w:rFonts w:ascii="Verdana" w:hAnsi="Verdana"/>
          <w:sz w:val="16"/>
          <w:lang w:val="pt-BR"/>
        </w:rPr>
        <w:t xml:space="preserve">possível </w:t>
      </w:r>
      <w:r w:rsidR="004756C1" w:rsidRPr="002F50BD">
        <w:rPr>
          <w:rFonts w:ascii="Verdana" w:hAnsi="Verdana"/>
          <w:sz w:val="16"/>
          <w:lang w:val="pt-BR"/>
        </w:rPr>
        <w:t>de</w:t>
      </w:r>
      <w:r w:rsidR="0089298C" w:rsidRPr="002F50BD">
        <w:rPr>
          <w:rFonts w:ascii="Verdana" w:hAnsi="Verdana"/>
          <w:sz w:val="16"/>
          <w:lang w:val="pt-BR"/>
        </w:rPr>
        <w:t xml:space="preserve"> um </w:t>
      </w:r>
      <w:r w:rsidR="00AB454A" w:rsidRPr="002F50BD">
        <w:rPr>
          <w:rFonts w:ascii="Verdana" w:hAnsi="Verdana"/>
          <w:sz w:val="16"/>
          <w:lang w:val="pt-BR"/>
        </w:rPr>
        <w:t>assentamento</w:t>
      </w:r>
      <w:r w:rsidR="004756C1" w:rsidRPr="002F50BD">
        <w:rPr>
          <w:rFonts w:ascii="Verdana" w:hAnsi="Verdana"/>
          <w:sz w:val="16"/>
          <w:lang w:val="pt-BR"/>
        </w:rPr>
        <w:t xml:space="preserve"> provis</w:t>
      </w:r>
      <w:r w:rsidRPr="002F50BD">
        <w:rPr>
          <w:rFonts w:ascii="Verdana" w:hAnsi="Verdana"/>
          <w:sz w:val="16"/>
          <w:lang w:val="pt-BR"/>
        </w:rPr>
        <w:t>ó</w:t>
      </w:r>
      <w:r w:rsidR="004756C1" w:rsidRPr="002F50BD">
        <w:rPr>
          <w:rFonts w:ascii="Verdana" w:hAnsi="Verdana"/>
          <w:sz w:val="16"/>
          <w:lang w:val="pt-BR"/>
        </w:rPr>
        <w:t>rio.</w:t>
      </w:r>
    </w:p>
    <w:p w:rsidR="00E50F4A" w:rsidRPr="002F50BD" w:rsidRDefault="00E50F4A" w:rsidP="00E50F4A">
      <w:pPr>
        <w:pStyle w:val="BodyTextIndent2"/>
        <w:spacing w:line="240" w:lineRule="auto"/>
        <w:ind w:firstLine="0"/>
        <w:rPr>
          <w:rFonts w:ascii="Verdana" w:hAnsi="Verdana"/>
          <w:sz w:val="20"/>
          <w:lang w:val="pt-BR"/>
        </w:rPr>
      </w:pPr>
    </w:p>
    <w:p w:rsidR="004756C1" w:rsidRPr="002F50BD" w:rsidRDefault="0089298C">
      <w:pPr>
        <w:pStyle w:val="BodyTextIndent2"/>
        <w:numPr>
          <w:ilvl w:val="0"/>
          <w:numId w:val="32"/>
        </w:numPr>
        <w:spacing w:line="240" w:lineRule="auto"/>
        <w:rPr>
          <w:rFonts w:ascii="Verdana" w:hAnsi="Verdana"/>
          <w:sz w:val="20"/>
        </w:rPr>
      </w:pPr>
      <w:r w:rsidRPr="002F50BD">
        <w:rPr>
          <w:rFonts w:ascii="Verdana" w:hAnsi="Verdana"/>
          <w:sz w:val="20"/>
        </w:rPr>
        <w:t xml:space="preserve">O </w:t>
      </w:r>
      <w:r w:rsidR="004756C1" w:rsidRPr="002F50BD">
        <w:rPr>
          <w:rFonts w:ascii="Verdana" w:hAnsi="Verdana"/>
          <w:sz w:val="20"/>
        </w:rPr>
        <w:t xml:space="preserve">Estado </w:t>
      </w:r>
      <w:r w:rsidR="00AB454A" w:rsidRPr="002F50BD">
        <w:rPr>
          <w:rFonts w:ascii="Verdana" w:hAnsi="Verdana"/>
          <w:sz w:val="20"/>
        </w:rPr>
        <w:t>acrescentou</w:t>
      </w:r>
      <w:r w:rsidR="004756C1" w:rsidRPr="002F50BD">
        <w:rPr>
          <w:rFonts w:ascii="Verdana" w:hAnsi="Verdana"/>
          <w:sz w:val="20"/>
        </w:rPr>
        <w:t xml:space="preserve"> que</w:t>
      </w:r>
    </w:p>
    <w:p w:rsidR="004756C1" w:rsidRPr="002F50BD" w:rsidRDefault="004756C1">
      <w:pPr>
        <w:pStyle w:val="BodyTextIndent2"/>
        <w:spacing w:line="240" w:lineRule="auto"/>
        <w:rPr>
          <w:rFonts w:ascii="Verdana" w:hAnsi="Verdana"/>
          <w:sz w:val="20"/>
        </w:rPr>
      </w:pPr>
    </w:p>
    <w:p w:rsidR="004756C1" w:rsidRPr="002F50BD" w:rsidRDefault="00E50F4A">
      <w:pPr>
        <w:pStyle w:val="BodyTextIndent2"/>
        <w:tabs>
          <w:tab w:val="left" w:pos="7920"/>
        </w:tabs>
        <w:spacing w:line="240" w:lineRule="auto"/>
        <w:ind w:left="720" w:right="720" w:firstLine="0"/>
        <w:rPr>
          <w:rFonts w:ascii="Verdana" w:hAnsi="Verdana"/>
          <w:sz w:val="16"/>
          <w:lang w:val="pt-BR"/>
        </w:rPr>
      </w:pPr>
      <w:r w:rsidRPr="002F50BD">
        <w:rPr>
          <w:rFonts w:ascii="Verdana" w:hAnsi="Verdana"/>
          <w:sz w:val="16"/>
          <w:lang w:val="pt-BR"/>
        </w:rPr>
        <w:t>Na medida do possível</w:t>
      </w:r>
      <w:r w:rsidR="00300AB5" w:rsidRPr="002F50BD">
        <w:rPr>
          <w:rFonts w:ascii="Verdana" w:hAnsi="Verdana"/>
          <w:sz w:val="16"/>
          <w:lang w:val="pt-BR"/>
        </w:rPr>
        <w:t>,</w:t>
      </w:r>
      <w:r w:rsidRPr="002F50BD">
        <w:rPr>
          <w:rFonts w:ascii="Verdana" w:hAnsi="Verdana"/>
          <w:sz w:val="16"/>
          <w:lang w:val="pt-BR"/>
        </w:rPr>
        <w:t xml:space="preserve"> acata </w:t>
      </w:r>
      <w:r w:rsidR="004756C1" w:rsidRPr="002F50BD">
        <w:rPr>
          <w:rFonts w:ascii="Verdana" w:hAnsi="Verdana"/>
          <w:sz w:val="16"/>
          <w:lang w:val="pt-BR"/>
        </w:rPr>
        <w:t>[</w:t>
      </w:r>
      <w:r w:rsidRPr="002F50BD">
        <w:rPr>
          <w:rFonts w:ascii="Verdana" w:hAnsi="Verdana"/>
          <w:sz w:val="16"/>
          <w:lang w:val="pt-BR"/>
        </w:rPr>
        <w:t>o</w:t>
      </w:r>
      <w:r w:rsidR="004756C1" w:rsidRPr="002F50BD">
        <w:rPr>
          <w:rFonts w:ascii="Verdana" w:hAnsi="Verdana"/>
          <w:sz w:val="16"/>
          <w:lang w:val="pt-BR"/>
        </w:rPr>
        <w:t xml:space="preserve"> pedido de </w:t>
      </w:r>
      <w:r w:rsidRPr="002F50BD">
        <w:rPr>
          <w:rFonts w:ascii="Verdana" w:hAnsi="Verdana"/>
          <w:sz w:val="16"/>
          <w:lang w:val="pt-BR"/>
        </w:rPr>
        <w:t>fornecer</w:t>
      </w:r>
      <w:r w:rsidR="004756C1" w:rsidRPr="002F50BD">
        <w:rPr>
          <w:rFonts w:ascii="Verdana" w:hAnsi="Verdana"/>
          <w:sz w:val="16"/>
          <w:lang w:val="pt-BR"/>
        </w:rPr>
        <w:t xml:space="preserve">] </w:t>
      </w:r>
      <w:r w:rsidR="0089298C" w:rsidRPr="002F50BD">
        <w:rPr>
          <w:rFonts w:ascii="Verdana" w:hAnsi="Verdana"/>
          <w:sz w:val="16"/>
          <w:lang w:val="pt-BR"/>
        </w:rPr>
        <w:t>atenção</w:t>
      </w:r>
      <w:r w:rsidR="004756C1" w:rsidRPr="002F50BD">
        <w:rPr>
          <w:rFonts w:ascii="Verdana" w:hAnsi="Verdana"/>
          <w:sz w:val="16"/>
          <w:lang w:val="pt-BR"/>
        </w:rPr>
        <w:t xml:space="preserve"> médica</w:t>
      </w:r>
      <w:r w:rsidR="0089298C" w:rsidRPr="002F50BD">
        <w:rPr>
          <w:rFonts w:ascii="Verdana" w:hAnsi="Verdana"/>
          <w:sz w:val="16"/>
          <w:lang w:val="pt-BR"/>
        </w:rPr>
        <w:t xml:space="preserve"> e </w:t>
      </w:r>
      <w:r w:rsidR="004756C1" w:rsidRPr="002F50BD">
        <w:rPr>
          <w:rFonts w:ascii="Verdana" w:hAnsi="Verdana"/>
          <w:sz w:val="16"/>
          <w:lang w:val="pt-BR"/>
        </w:rPr>
        <w:t>educacional conforme</w:t>
      </w:r>
      <w:r w:rsidR="0089298C" w:rsidRPr="002F50BD">
        <w:rPr>
          <w:rFonts w:ascii="Verdana" w:hAnsi="Verdana"/>
          <w:sz w:val="16"/>
          <w:lang w:val="pt-BR"/>
        </w:rPr>
        <w:t xml:space="preserve"> os </w:t>
      </w:r>
      <w:r w:rsidR="00AB454A" w:rsidRPr="002F50BD">
        <w:rPr>
          <w:rFonts w:ascii="Verdana" w:hAnsi="Verdana"/>
          <w:sz w:val="16"/>
          <w:lang w:val="pt-BR"/>
        </w:rPr>
        <w:t>planos</w:t>
      </w:r>
      <w:r w:rsidR="004756C1" w:rsidRPr="002F50BD">
        <w:rPr>
          <w:rFonts w:ascii="Verdana" w:hAnsi="Verdana"/>
          <w:sz w:val="16"/>
          <w:lang w:val="pt-BR"/>
        </w:rPr>
        <w:t xml:space="preserve"> de educa</w:t>
      </w:r>
      <w:r w:rsidR="0089298C" w:rsidRPr="002F50BD">
        <w:rPr>
          <w:rFonts w:ascii="Verdana" w:hAnsi="Verdana"/>
          <w:sz w:val="16"/>
          <w:lang w:val="pt-BR"/>
        </w:rPr>
        <w:t xml:space="preserve">ção e </w:t>
      </w:r>
      <w:r w:rsidR="004756C1" w:rsidRPr="002F50BD">
        <w:rPr>
          <w:rFonts w:ascii="Verdana" w:hAnsi="Verdana"/>
          <w:sz w:val="16"/>
          <w:lang w:val="pt-BR"/>
        </w:rPr>
        <w:t xml:space="preserve">de </w:t>
      </w:r>
      <w:r w:rsidR="0089298C" w:rsidRPr="002F50BD">
        <w:rPr>
          <w:rFonts w:ascii="Verdana" w:hAnsi="Verdana"/>
          <w:sz w:val="16"/>
          <w:lang w:val="pt-BR"/>
        </w:rPr>
        <w:t>saúde</w:t>
      </w:r>
      <w:r w:rsidR="004756C1" w:rsidRPr="002F50BD">
        <w:rPr>
          <w:rFonts w:ascii="Verdana" w:hAnsi="Verdana"/>
          <w:sz w:val="16"/>
          <w:lang w:val="pt-BR"/>
        </w:rPr>
        <w:t xml:space="preserve"> previstos</w:t>
      </w:r>
      <w:r w:rsidR="0089298C" w:rsidRPr="002F50BD">
        <w:rPr>
          <w:rFonts w:ascii="Verdana" w:hAnsi="Verdana"/>
          <w:sz w:val="16"/>
          <w:lang w:val="pt-BR"/>
        </w:rPr>
        <w:t xml:space="preserve"> pelo </w:t>
      </w:r>
      <w:r w:rsidR="004756C1" w:rsidRPr="002F50BD">
        <w:rPr>
          <w:rFonts w:ascii="Verdana" w:hAnsi="Verdana"/>
          <w:sz w:val="16"/>
          <w:lang w:val="pt-BR"/>
        </w:rPr>
        <w:t>Estado.</w:t>
      </w:r>
    </w:p>
    <w:p w:rsidR="004756C1" w:rsidRPr="002F50BD" w:rsidRDefault="004756C1">
      <w:pPr>
        <w:jc w:val="both"/>
        <w:rPr>
          <w:rFonts w:ascii="Verdana" w:hAnsi="Verdana"/>
          <w:i/>
          <w:sz w:val="20"/>
          <w:lang w:val="pt-BR"/>
        </w:rPr>
      </w:pPr>
    </w:p>
    <w:p w:rsidR="004756C1" w:rsidRPr="002F50BD" w:rsidRDefault="004756C1">
      <w:pPr>
        <w:numPr>
          <w:ilvl w:val="0"/>
          <w:numId w:val="32"/>
        </w:numPr>
        <w:jc w:val="both"/>
        <w:rPr>
          <w:rFonts w:ascii="Verdana" w:hAnsi="Verdana"/>
          <w:sz w:val="20"/>
          <w:lang w:val="pt-BR"/>
        </w:rPr>
      </w:pPr>
      <w:r w:rsidRPr="002F50BD">
        <w:rPr>
          <w:rFonts w:ascii="Verdana" w:hAnsi="Verdana"/>
          <w:sz w:val="20"/>
          <w:lang w:val="pt-BR"/>
        </w:rPr>
        <w:t>E</w:t>
      </w:r>
      <w:r w:rsidR="00E50F4A" w:rsidRPr="002F50BD">
        <w:rPr>
          <w:rFonts w:ascii="Verdana" w:hAnsi="Verdana"/>
          <w:sz w:val="20"/>
          <w:lang w:val="pt-BR"/>
        </w:rPr>
        <w:t>m</w:t>
      </w:r>
      <w:r w:rsidRPr="002F50BD">
        <w:rPr>
          <w:rFonts w:ascii="Verdana" w:hAnsi="Verdana"/>
          <w:sz w:val="20"/>
          <w:lang w:val="pt-BR"/>
        </w:rPr>
        <w:t xml:space="preserve"> vista</w:t>
      </w:r>
      <w:r w:rsidR="0089298C" w:rsidRPr="002F50BD">
        <w:rPr>
          <w:rFonts w:ascii="Verdana" w:hAnsi="Verdana"/>
          <w:sz w:val="20"/>
          <w:lang w:val="pt-BR"/>
        </w:rPr>
        <w:t xml:space="preserve"> do </w:t>
      </w:r>
      <w:r w:rsidRPr="002F50BD">
        <w:rPr>
          <w:rFonts w:ascii="Verdana" w:hAnsi="Verdana"/>
          <w:sz w:val="20"/>
          <w:lang w:val="pt-BR"/>
        </w:rPr>
        <w:t>anterior,</w:t>
      </w:r>
      <w:r w:rsidR="0089298C" w:rsidRPr="002F50BD">
        <w:rPr>
          <w:rFonts w:ascii="Verdana" w:hAnsi="Verdana"/>
          <w:sz w:val="20"/>
          <w:lang w:val="pt-BR"/>
        </w:rPr>
        <w:t xml:space="preserve"> o </w:t>
      </w:r>
      <w:r w:rsidRPr="002F50BD">
        <w:rPr>
          <w:rFonts w:ascii="Verdana" w:hAnsi="Verdana"/>
          <w:sz w:val="20"/>
          <w:lang w:val="pt-BR"/>
        </w:rPr>
        <w:t xml:space="preserve">Tribunal </w:t>
      </w:r>
      <w:r w:rsidR="0089298C" w:rsidRPr="002F50BD">
        <w:rPr>
          <w:rFonts w:ascii="Verdana" w:hAnsi="Verdana"/>
          <w:sz w:val="20"/>
          <w:lang w:val="pt-BR"/>
        </w:rPr>
        <w:t>dispõe</w:t>
      </w:r>
      <w:r w:rsidRPr="002F50BD">
        <w:rPr>
          <w:rFonts w:ascii="Verdana" w:hAnsi="Verdana"/>
          <w:sz w:val="20"/>
          <w:lang w:val="pt-BR"/>
        </w:rPr>
        <w:t xml:space="preserve"> que, </w:t>
      </w:r>
      <w:r w:rsidR="0089298C" w:rsidRPr="002F50BD">
        <w:rPr>
          <w:rFonts w:ascii="Verdana" w:hAnsi="Verdana"/>
          <w:sz w:val="20"/>
          <w:lang w:val="pt-BR"/>
        </w:rPr>
        <w:t xml:space="preserve">enquanto a Comunidade </w:t>
      </w:r>
      <w:r w:rsidRPr="002F50BD">
        <w:rPr>
          <w:rFonts w:ascii="Verdana" w:hAnsi="Verdana"/>
          <w:sz w:val="20"/>
          <w:lang w:val="pt-BR"/>
        </w:rPr>
        <w:t xml:space="preserve">se </w:t>
      </w:r>
      <w:r w:rsidR="0089298C" w:rsidRPr="002F50BD">
        <w:rPr>
          <w:rFonts w:ascii="Verdana" w:hAnsi="Verdana"/>
          <w:sz w:val="20"/>
          <w:lang w:val="pt-BR"/>
        </w:rPr>
        <w:t>encontr</w:t>
      </w:r>
      <w:r w:rsidR="00300AB5" w:rsidRPr="002F50BD">
        <w:rPr>
          <w:rFonts w:ascii="Verdana" w:hAnsi="Verdana"/>
          <w:sz w:val="20"/>
          <w:lang w:val="pt-BR"/>
        </w:rPr>
        <w:t>ar</w:t>
      </w:r>
      <w:r w:rsidR="0089298C" w:rsidRPr="002F50BD">
        <w:rPr>
          <w:rFonts w:ascii="Verdana" w:hAnsi="Verdana"/>
          <w:sz w:val="20"/>
          <w:lang w:val="pt-BR"/>
        </w:rPr>
        <w:t xml:space="preserve"> sem terra</w:t>
      </w:r>
      <w:r w:rsidRPr="002F50BD">
        <w:rPr>
          <w:rFonts w:ascii="Verdana" w:hAnsi="Verdana"/>
          <w:sz w:val="20"/>
          <w:lang w:val="pt-BR"/>
        </w:rPr>
        <w:t>s, dado s</w:t>
      </w:r>
      <w:r w:rsidR="00E50F4A" w:rsidRPr="002F50BD">
        <w:rPr>
          <w:rFonts w:ascii="Verdana" w:hAnsi="Verdana"/>
          <w:sz w:val="20"/>
          <w:lang w:val="pt-BR"/>
        </w:rPr>
        <w:t>e</w:t>
      </w:r>
      <w:r w:rsidRPr="002F50BD">
        <w:rPr>
          <w:rFonts w:ascii="Verdana" w:hAnsi="Verdana"/>
          <w:sz w:val="20"/>
          <w:lang w:val="pt-BR"/>
        </w:rPr>
        <w:t xml:space="preserve">u especial estado de </w:t>
      </w:r>
      <w:r w:rsidR="0089298C" w:rsidRPr="002F50BD">
        <w:rPr>
          <w:rFonts w:ascii="Verdana" w:hAnsi="Verdana"/>
          <w:sz w:val="20"/>
          <w:lang w:val="pt-BR"/>
        </w:rPr>
        <w:t xml:space="preserve">vulnerabilidade e </w:t>
      </w:r>
      <w:r w:rsidRPr="002F50BD">
        <w:rPr>
          <w:rFonts w:ascii="Verdana" w:hAnsi="Verdana"/>
          <w:sz w:val="20"/>
          <w:lang w:val="pt-BR"/>
        </w:rPr>
        <w:t>su</w:t>
      </w:r>
      <w:r w:rsidR="00E50F4A" w:rsidRPr="002F50BD">
        <w:rPr>
          <w:rFonts w:ascii="Verdana" w:hAnsi="Verdana"/>
          <w:sz w:val="20"/>
          <w:lang w:val="pt-BR"/>
        </w:rPr>
        <w:t>a</w:t>
      </w:r>
      <w:r w:rsidRPr="002F50BD">
        <w:rPr>
          <w:rFonts w:ascii="Verdana" w:hAnsi="Verdana"/>
          <w:sz w:val="20"/>
          <w:lang w:val="pt-BR"/>
        </w:rPr>
        <w:t xml:space="preserve"> im</w:t>
      </w:r>
      <w:r w:rsidR="0089298C" w:rsidRPr="002F50BD">
        <w:rPr>
          <w:rFonts w:ascii="Verdana" w:hAnsi="Verdana"/>
          <w:sz w:val="20"/>
          <w:lang w:val="pt-BR"/>
        </w:rPr>
        <w:t xml:space="preserve">possibilidade </w:t>
      </w:r>
      <w:r w:rsidRPr="002F50BD">
        <w:rPr>
          <w:rFonts w:ascii="Verdana" w:hAnsi="Verdana"/>
          <w:sz w:val="20"/>
          <w:lang w:val="pt-BR"/>
        </w:rPr>
        <w:t xml:space="preserve">de </w:t>
      </w:r>
      <w:r w:rsidR="00E50F4A" w:rsidRPr="002F50BD">
        <w:rPr>
          <w:rFonts w:ascii="Verdana" w:hAnsi="Verdana"/>
          <w:sz w:val="20"/>
          <w:lang w:val="pt-BR"/>
        </w:rPr>
        <w:t xml:space="preserve">ter acesso a seus </w:t>
      </w:r>
      <w:r w:rsidRPr="002F50BD">
        <w:rPr>
          <w:rFonts w:ascii="Verdana" w:hAnsi="Verdana"/>
          <w:sz w:val="20"/>
          <w:lang w:val="pt-BR"/>
        </w:rPr>
        <w:t>mecanismos tr</w:t>
      </w:r>
      <w:r w:rsidR="0089298C" w:rsidRPr="002F50BD">
        <w:rPr>
          <w:rFonts w:ascii="Verdana" w:hAnsi="Verdana"/>
          <w:sz w:val="20"/>
          <w:lang w:val="pt-BR"/>
        </w:rPr>
        <w:t>adicionais</w:t>
      </w:r>
      <w:r w:rsidRPr="002F50BD">
        <w:rPr>
          <w:rFonts w:ascii="Verdana" w:hAnsi="Verdana"/>
          <w:sz w:val="20"/>
          <w:lang w:val="pt-BR"/>
        </w:rPr>
        <w:t xml:space="preserve"> de </w:t>
      </w:r>
      <w:r w:rsidR="0089298C" w:rsidRPr="002F50BD">
        <w:rPr>
          <w:rFonts w:ascii="Verdana" w:hAnsi="Verdana"/>
          <w:sz w:val="20"/>
          <w:lang w:val="pt-BR"/>
        </w:rPr>
        <w:t>subsistência</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dever</w:t>
      </w:r>
      <w:r w:rsidRPr="002F50BD">
        <w:rPr>
          <w:rFonts w:ascii="Verdana" w:hAnsi="Verdana"/>
          <w:sz w:val="20"/>
          <w:lang w:val="pt-BR"/>
        </w:rPr>
        <w:t xml:space="preserve">á </w:t>
      </w:r>
      <w:r w:rsidR="00E50F4A" w:rsidRPr="002F50BD">
        <w:rPr>
          <w:rFonts w:ascii="Verdana" w:hAnsi="Verdana"/>
          <w:sz w:val="20"/>
          <w:lang w:val="pt-BR"/>
        </w:rPr>
        <w:t>fornecer</w:t>
      </w:r>
      <w:r w:rsidRPr="002F50BD">
        <w:rPr>
          <w:rFonts w:ascii="Verdana" w:hAnsi="Verdana"/>
          <w:sz w:val="20"/>
          <w:lang w:val="pt-BR"/>
        </w:rPr>
        <w:t xml:space="preserve">, de </w:t>
      </w:r>
      <w:r w:rsidR="0089298C" w:rsidRPr="002F50BD">
        <w:rPr>
          <w:rFonts w:ascii="Verdana" w:hAnsi="Verdana"/>
          <w:sz w:val="20"/>
          <w:lang w:val="pt-BR"/>
        </w:rPr>
        <w:t>maneira</w:t>
      </w:r>
      <w:r w:rsidRPr="002F50BD">
        <w:rPr>
          <w:rFonts w:ascii="Verdana" w:hAnsi="Verdana"/>
          <w:sz w:val="20"/>
          <w:lang w:val="pt-BR"/>
        </w:rPr>
        <w:t xml:space="preserve"> </w:t>
      </w:r>
      <w:r w:rsidR="0089298C" w:rsidRPr="002F50BD">
        <w:rPr>
          <w:rFonts w:ascii="Verdana" w:hAnsi="Verdana"/>
          <w:sz w:val="20"/>
          <w:lang w:val="pt-BR"/>
        </w:rPr>
        <w:t>imediat</w:t>
      </w:r>
      <w:r w:rsidRPr="002F50BD">
        <w:rPr>
          <w:rFonts w:ascii="Verdana" w:hAnsi="Verdana"/>
          <w:sz w:val="20"/>
          <w:lang w:val="pt-BR"/>
        </w:rPr>
        <w:t>a</w:t>
      </w:r>
      <w:r w:rsidR="0089298C" w:rsidRPr="002F50BD">
        <w:rPr>
          <w:rFonts w:ascii="Verdana" w:hAnsi="Verdana"/>
          <w:sz w:val="20"/>
          <w:lang w:val="pt-BR"/>
        </w:rPr>
        <w:t xml:space="preserve"> e </w:t>
      </w:r>
      <w:r w:rsidRPr="002F50BD">
        <w:rPr>
          <w:rFonts w:ascii="Verdana" w:hAnsi="Verdana"/>
          <w:sz w:val="20"/>
          <w:lang w:val="pt-BR"/>
        </w:rPr>
        <w:t>periódica,</w:t>
      </w:r>
      <w:r w:rsidR="00AB454A" w:rsidRPr="002F50BD">
        <w:rPr>
          <w:rFonts w:ascii="Verdana" w:hAnsi="Verdana"/>
          <w:sz w:val="20"/>
          <w:lang w:val="pt-BR"/>
        </w:rPr>
        <w:t xml:space="preserve"> água potável </w:t>
      </w:r>
      <w:r w:rsidRPr="002F50BD">
        <w:rPr>
          <w:rFonts w:ascii="Verdana" w:hAnsi="Verdana"/>
          <w:sz w:val="20"/>
          <w:lang w:val="pt-BR"/>
        </w:rPr>
        <w:t>suficiente para</w:t>
      </w:r>
      <w:r w:rsidR="0089298C" w:rsidRPr="002F50BD">
        <w:rPr>
          <w:rFonts w:ascii="Verdana" w:hAnsi="Verdana"/>
          <w:sz w:val="20"/>
          <w:lang w:val="pt-BR"/>
        </w:rPr>
        <w:t xml:space="preserve"> o </w:t>
      </w:r>
      <w:r w:rsidRPr="002F50BD">
        <w:rPr>
          <w:rFonts w:ascii="Verdana" w:hAnsi="Verdana"/>
          <w:sz w:val="20"/>
          <w:lang w:val="pt-BR"/>
        </w:rPr>
        <w:t>consumo</w:t>
      </w:r>
      <w:r w:rsidR="0089298C" w:rsidRPr="002F50BD">
        <w:rPr>
          <w:rFonts w:ascii="Verdana" w:hAnsi="Verdana"/>
          <w:sz w:val="20"/>
          <w:lang w:val="pt-BR"/>
        </w:rPr>
        <w:t xml:space="preserve"> e </w:t>
      </w:r>
      <w:r w:rsidRPr="002F50BD">
        <w:rPr>
          <w:rFonts w:ascii="Verdana" w:hAnsi="Verdana"/>
          <w:sz w:val="20"/>
          <w:lang w:val="pt-BR"/>
        </w:rPr>
        <w:t>as</w:t>
      </w:r>
      <w:r w:rsidR="00E50F4A" w:rsidRPr="002F50BD">
        <w:rPr>
          <w:rFonts w:ascii="Verdana" w:hAnsi="Verdana"/>
          <w:sz w:val="20"/>
          <w:lang w:val="pt-BR"/>
        </w:rPr>
        <w:t>s</w:t>
      </w:r>
      <w:r w:rsidRPr="002F50BD">
        <w:rPr>
          <w:rFonts w:ascii="Verdana" w:hAnsi="Verdana"/>
          <w:sz w:val="20"/>
          <w:lang w:val="pt-BR"/>
        </w:rPr>
        <w:t>e</w:t>
      </w:r>
      <w:r w:rsidR="00E50F4A" w:rsidRPr="002F50BD">
        <w:rPr>
          <w:rFonts w:ascii="Verdana" w:hAnsi="Verdana"/>
          <w:sz w:val="20"/>
          <w:lang w:val="pt-BR"/>
        </w:rPr>
        <w:t>i</w:t>
      </w:r>
      <w:r w:rsidRPr="002F50BD">
        <w:rPr>
          <w:rFonts w:ascii="Verdana" w:hAnsi="Verdana"/>
          <w:sz w:val="20"/>
          <w:lang w:val="pt-BR"/>
        </w:rPr>
        <w:t xml:space="preserve">o </w:t>
      </w:r>
      <w:r w:rsidR="0089298C" w:rsidRPr="002F50BD">
        <w:rPr>
          <w:rFonts w:ascii="Verdana" w:hAnsi="Verdana"/>
          <w:sz w:val="20"/>
          <w:lang w:val="pt-BR"/>
        </w:rPr>
        <w:t>pessoa</w:t>
      </w:r>
      <w:r w:rsidRPr="002F50BD">
        <w:rPr>
          <w:rFonts w:ascii="Verdana" w:hAnsi="Verdana"/>
          <w:sz w:val="20"/>
          <w:lang w:val="pt-BR"/>
        </w:rPr>
        <w:t>l</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 </w:t>
      </w:r>
      <w:r w:rsidR="00C247F1" w:rsidRPr="002F50BD">
        <w:rPr>
          <w:rFonts w:ascii="Verdana" w:hAnsi="Verdana"/>
          <w:sz w:val="20"/>
          <w:lang w:val="pt-BR"/>
        </w:rPr>
        <w:t>Comunidade;</w:t>
      </w:r>
      <w:r w:rsidRPr="002F50BD">
        <w:rPr>
          <w:rFonts w:ascii="Verdana" w:hAnsi="Verdana"/>
          <w:sz w:val="20"/>
          <w:lang w:val="pt-BR"/>
        </w:rPr>
        <w:t xml:space="preserve"> </w:t>
      </w:r>
      <w:r w:rsidR="00E50F4A" w:rsidRPr="002F50BD">
        <w:rPr>
          <w:rFonts w:ascii="Verdana" w:hAnsi="Verdana"/>
          <w:sz w:val="20"/>
          <w:lang w:val="pt-BR"/>
        </w:rPr>
        <w:t xml:space="preserve">oferecer </w:t>
      </w:r>
      <w:r w:rsidR="0089298C" w:rsidRPr="002F50BD">
        <w:rPr>
          <w:rFonts w:ascii="Verdana" w:hAnsi="Verdana"/>
          <w:sz w:val="20"/>
          <w:lang w:val="pt-BR"/>
        </w:rPr>
        <w:t>atenção</w:t>
      </w:r>
      <w:r w:rsidRPr="002F50BD">
        <w:rPr>
          <w:rFonts w:ascii="Verdana" w:hAnsi="Verdana"/>
          <w:sz w:val="20"/>
          <w:lang w:val="pt-BR"/>
        </w:rPr>
        <w:t xml:space="preserve"> médica periódica</w:t>
      </w:r>
      <w:r w:rsidR="0089298C" w:rsidRPr="002F50BD">
        <w:rPr>
          <w:rFonts w:ascii="Verdana" w:hAnsi="Verdana"/>
          <w:sz w:val="20"/>
          <w:lang w:val="pt-BR"/>
        </w:rPr>
        <w:t xml:space="preserve"> e </w:t>
      </w:r>
      <w:r w:rsidR="00E50F4A" w:rsidRPr="002F50BD">
        <w:rPr>
          <w:rFonts w:ascii="Verdana" w:hAnsi="Verdana"/>
          <w:sz w:val="20"/>
          <w:lang w:val="pt-BR"/>
        </w:rPr>
        <w:t xml:space="preserve">medicamentos </w:t>
      </w:r>
      <w:r w:rsidR="0089298C" w:rsidRPr="002F50BD">
        <w:rPr>
          <w:rFonts w:ascii="Verdana" w:hAnsi="Verdana"/>
          <w:sz w:val="20"/>
          <w:lang w:val="pt-BR"/>
        </w:rPr>
        <w:t>adequad</w:t>
      </w:r>
      <w:r w:rsidR="00E50F4A" w:rsidRPr="002F50BD">
        <w:rPr>
          <w:rFonts w:ascii="Verdana" w:hAnsi="Verdana"/>
          <w:sz w:val="20"/>
          <w:lang w:val="pt-BR"/>
        </w:rPr>
        <w:t>os</w:t>
      </w:r>
      <w:r w:rsidRPr="002F50BD">
        <w:rPr>
          <w:rFonts w:ascii="Verdana" w:hAnsi="Verdana"/>
          <w:sz w:val="20"/>
          <w:lang w:val="pt-BR"/>
        </w:rPr>
        <w:t xml:space="preserve"> para conservar</w:t>
      </w:r>
      <w:r w:rsidR="0089298C" w:rsidRPr="002F50BD">
        <w:rPr>
          <w:rFonts w:ascii="Verdana" w:hAnsi="Verdana"/>
          <w:sz w:val="20"/>
          <w:lang w:val="pt-BR"/>
        </w:rPr>
        <w:t xml:space="preserve"> a saúde</w:t>
      </w:r>
      <w:r w:rsidRPr="002F50BD">
        <w:rPr>
          <w:rFonts w:ascii="Verdana" w:hAnsi="Verdana"/>
          <w:sz w:val="20"/>
          <w:lang w:val="pt-BR"/>
        </w:rPr>
        <w:t xml:space="preserve"> de todas</w:t>
      </w:r>
      <w:r w:rsidR="0089298C" w:rsidRPr="002F50BD">
        <w:rPr>
          <w:rFonts w:ascii="Verdana" w:hAnsi="Verdana"/>
          <w:sz w:val="20"/>
          <w:lang w:val="pt-BR"/>
        </w:rPr>
        <w:t xml:space="preserve"> as pessoa</w:t>
      </w:r>
      <w:r w:rsidRPr="002F50BD">
        <w:rPr>
          <w:rFonts w:ascii="Verdana" w:hAnsi="Verdana"/>
          <w:sz w:val="20"/>
          <w:lang w:val="pt-BR"/>
        </w:rPr>
        <w:t>s, especialmente</w:t>
      </w:r>
      <w:r w:rsidR="0089298C" w:rsidRPr="002F50BD">
        <w:rPr>
          <w:rFonts w:ascii="Verdana" w:hAnsi="Verdana"/>
          <w:sz w:val="20"/>
          <w:lang w:val="pt-BR"/>
        </w:rPr>
        <w:t xml:space="preserve"> </w:t>
      </w:r>
      <w:r w:rsidR="00E50F4A" w:rsidRPr="002F50BD">
        <w:rPr>
          <w:rFonts w:ascii="Verdana" w:hAnsi="Verdana"/>
          <w:sz w:val="20"/>
          <w:lang w:val="pt-BR"/>
        </w:rPr>
        <w:t>d</w:t>
      </w:r>
      <w:r w:rsidR="005A6BC7" w:rsidRPr="002F50BD">
        <w:rPr>
          <w:rFonts w:ascii="Verdana" w:hAnsi="Verdana"/>
          <w:sz w:val="20"/>
          <w:lang w:val="pt-BR"/>
        </w:rPr>
        <w:t>as crianças</w:t>
      </w:r>
      <w:r w:rsidRPr="002F50BD">
        <w:rPr>
          <w:rFonts w:ascii="Verdana" w:hAnsi="Verdana"/>
          <w:sz w:val="20"/>
          <w:lang w:val="pt-BR"/>
        </w:rPr>
        <w:t xml:space="preserve">, </w:t>
      </w:r>
      <w:r w:rsidR="00E50F4A" w:rsidRPr="002F50BD">
        <w:rPr>
          <w:rFonts w:ascii="Verdana" w:hAnsi="Verdana"/>
          <w:sz w:val="20"/>
          <w:lang w:val="pt-BR"/>
        </w:rPr>
        <w:t xml:space="preserve">idosos </w:t>
      </w:r>
      <w:r w:rsidR="0089298C" w:rsidRPr="002F50BD">
        <w:rPr>
          <w:rFonts w:ascii="Verdana" w:hAnsi="Verdana"/>
          <w:sz w:val="20"/>
          <w:lang w:val="pt-BR"/>
        </w:rPr>
        <w:t>e mulher</w:t>
      </w:r>
      <w:r w:rsidRPr="002F50BD">
        <w:rPr>
          <w:rFonts w:ascii="Verdana" w:hAnsi="Verdana"/>
          <w:sz w:val="20"/>
          <w:lang w:val="pt-BR"/>
        </w:rPr>
        <w:t xml:space="preserve">es </w:t>
      </w:r>
      <w:r w:rsidR="0089298C" w:rsidRPr="002F50BD">
        <w:rPr>
          <w:rFonts w:ascii="Verdana" w:hAnsi="Verdana"/>
          <w:sz w:val="20"/>
          <w:lang w:val="pt-BR"/>
        </w:rPr>
        <w:t>grávida</w:t>
      </w:r>
      <w:r w:rsidRPr="002F50BD">
        <w:rPr>
          <w:rFonts w:ascii="Verdana" w:hAnsi="Verdana"/>
          <w:sz w:val="20"/>
          <w:lang w:val="pt-BR"/>
        </w:rPr>
        <w:t xml:space="preserve">s, </w:t>
      </w:r>
      <w:r w:rsidR="0089298C" w:rsidRPr="002F50BD">
        <w:rPr>
          <w:rFonts w:ascii="Verdana" w:hAnsi="Verdana"/>
          <w:sz w:val="20"/>
          <w:lang w:val="pt-BR"/>
        </w:rPr>
        <w:t>incluindo</w:t>
      </w:r>
      <w:r w:rsidRPr="002F50BD">
        <w:rPr>
          <w:rFonts w:ascii="Verdana" w:hAnsi="Verdana"/>
          <w:sz w:val="20"/>
          <w:lang w:val="pt-BR"/>
        </w:rPr>
        <w:t xml:space="preserve"> </w:t>
      </w:r>
      <w:r w:rsidR="00E50F4A" w:rsidRPr="002F50BD">
        <w:rPr>
          <w:rFonts w:ascii="Verdana" w:hAnsi="Verdana"/>
          <w:sz w:val="20"/>
          <w:lang w:val="pt-BR"/>
        </w:rPr>
        <w:t>medicamentos</w:t>
      </w:r>
      <w:r w:rsidR="0089298C" w:rsidRPr="002F50BD">
        <w:rPr>
          <w:rFonts w:ascii="Verdana" w:hAnsi="Verdana"/>
          <w:sz w:val="20"/>
          <w:lang w:val="pt-BR"/>
        </w:rPr>
        <w:t xml:space="preserve"> e tratamento</w:t>
      </w:r>
      <w:r w:rsidRPr="002F50BD">
        <w:rPr>
          <w:rFonts w:ascii="Verdana" w:hAnsi="Verdana"/>
          <w:sz w:val="20"/>
          <w:lang w:val="pt-BR"/>
        </w:rPr>
        <w:t xml:space="preserve"> </w:t>
      </w:r>
      <w:r w:rsidR="0089298C" w:rsidRPr="002F50BD">
        <w:rPr>
          <w:rFonts w:ascii="Verdana" w:hAnsi="Verdana"/>
          <w:sz w:val="20"/>
          <w:lang w:val="pt-BR"/>
        </w:rPr>
        <w:t>adequad</w:t>
      </w:r>
      <w:r w:rsidRPr="002F50BD">
        <w:rPr>
          <w:rFonts w:ascii="Verdana" w:hAnsi="Verdana"/>
          <w:sz w:val="20"/>
          <w:lang w:val="pt-BR"/>
        </w:rPr>
        <w:t>o para</w:t>
      </w:r>
      <w:r w:rsidR="0089298C" w:rsidRPr="002F50BD">
        <w:rPr>
          <w:rFonts w:ascii="Verdana" w:hAnsi="Verdana"/>
          <w:sz w:val="20"/>
          <w:lang w:val="pt-BR"/>
        </w:rPr>
        <w:t xml:space="preserve"> a </w:t>
      </w:r>
      <w:r w:rsidR="00300AB5" w:rsidRPr="002F50BD">
        <w:rPr>
          <w:rFonts w:ascii="Verdana" w:hAnsi="Verdana"/>
          <w:sz w:val="20"/>
          <w:lang w:val="pt-BR"/>
        </w:rPr>
        <w:t>vermifugação</w:t>
      </w:r>
      <w:r w:rsidRPr="002F50BD">
        <w:rPr>
          <w:rFonts w:ascii="Verdana" w:hAnsi="Verdana"/>
          <w:sz w:val="20"/>
          <w:lang w:val="pt-BR"/>
        </w:rPr>
        <w:t xml:space="preserve"> de todos</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w:t>
      </w:r>
      <w:r w:rsidR="00C247F1" w:rsidRPr="002F50BD">
        <w:rPr>
          <w:rFonts w:ascii="Verdana" w:hAnsi="Verdana"/>
          <w:sz w:val="20"/>
          <w:lang w:val="pt-BR"/>
        </w:rPr>
        <w:t>Comunidade;</w:t>
      </w:r>
      <w:r w:rsidRPr="002F50BD">
        <w:rPr>
          <w:rFonts w:ascii="Verdana" w:hAnsi="Verdana"/>
          <w:sz w:val="20"/>
          <w:lang w:val="pt-BR"/>
        </w:rPr>
        <w:t xml:space="preserve"> entregar alimentos</w:t>
      </w:r>
      <w:r w:rsidR="0089298C" w:rsidRPr="002F50BD">
        <w:rPr>
          <w:rFonts w:ascii="Verdana" w:hAnsi="Verdana"/>
          <w:sz w:val="20"/>
          <w:lang w:val="pt-BR"/>
        </w:rPr>
        <w:t xml:space="preserve"> em </w:t>
      </w:r>
      <w:r w:rsidR="00E50F4A" w:rsidRPr="002F50BD">
        <w:rPr>
          <w:rFonts w:ascii="Verdana" w:hAnsi="Verdana"/>
          <w:sz w:val="20"/>
          <w:lang w:val="pt-BR"/>
        </w:rPr>
        <w:t>quantidade</w:t>
      </w:r>
      <w:r w:rsidRPr="002F50BD">
        <w:rPr>
          <w:rFonts w:ascii="Verdana" w:hAnsi="Verdana"/>
          <w:sz w:val="20"/>
          <w:lang w:val="pt-BR"/>
        </w:rPr>
        <w:t xml:space="preserve">, </w:t>
      </w:r>
      <w:r w:rsidR="00AB454A" w:rsidRPr="002F50BD">
        <w:rPr>
          <w:rFonts w:ascii="Verdana" w:hAnsi="Verdana"/>
          <w:sz w:val="20"/>
          <w:lang w:val="pt-BR"/>
        </w:rPr>
        <w:t xml:space="preserve">variedade </w:t>
      </w:r>
      <w:r w:rsidR="0089298C" w:rsidRPr="002F50BD">
        <w:rPr>
          <w:rFonts w:ascii="Verdana" w:hAnsi="Verdana"/>
          <w:sz w:val="20"/>
          <w:lang w:val="pt-BR"/>
        </w:rPr>
        <w:t xml:space="preserve">e qualidade </w:t>
      </w:r>
      <w:r w:rsidRPr="002F50BD">
        <w:rPr>
          <w:rFonts w:ascii="Verdana" w:hAnsi="Verdana"/>
          <w:sz w:val="20"/>
          <w:lang w:val="pt-BR"/>
        </w:rPr>
        <w:t>suficientes para que</w:t>
      </w:r>
      <w:r w:rsidR="0089298C" w:rsidRPr="002F50BD">
        <w:rPr>
          <w:rFonts w:ascii="Verdana" w:hAnsi="Verdana"/>
          <w:sz w:val="20"/>
          <w:lang w:val="pt-BR"/>
        </w:rPr>
        <w:t xml:space="preserve"> os membro</w:t>
      </w:r>
      <w:r w:rsidRPr="002F50BD">
        <w:rPr>
          <w:rFonts w:ascii="Verdana" w:hAnsi="Verdana"/>
          <w:sz w:val="20"/>
          <w:lang w:val="pt-BR"/>
        </w:rPr>
        <w:t>s</w:t>
      </w:r>
      <w:r w:rsidR="0089298C" w:rsidRPr="002F50BD">
        <w:rPr>
          <w:rFonts w:ascii="Verdana" w:hAnsi="Verdana"/>
          <w:sz w:val="20"/>
          <w:lang w:val="pt-BR"/>
        </w:rPr>
        <w:t xml:space="preserve"> da Comunidade tenham 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mínimas de</w:t>
      </w:r>
      <w:r w:rsidR="0089298C" w:rsidRPr="002F50BD">
        <w:rPr>
          <w:rFonts w:ascii="Verdana" w:hAnsi="Verdana"/>
          <w:sz w:val="20"/>
          <w:lang w:val="pt-BR"/>
        </w:rPr>
        <w:t xml:space="preserve"> uma </w:t>
      </w:r>
      <w:r w:rsidRPr="002F50BD">
        <w:rPr>
          <w:rFonts w:ascii="Verdana" w:hAnsi="Verdana"/>
          <w:sz w:val="20"/>
          <w:lang w:val="pt-BR"/>
        </w:rPr>
        <w:t xml:space="preserve">vida digna; </w:t>
      </w:r>
      <w:r w:rsidR="00E50F4A" w:rsidRPr="002F50BD">
        <w:rPr>
          <w:rFonts w:ascii="Verdana" w:hAnsi="Verdana"/>
          <w:sz w:val="20"/>
          <w:lang w:val="pt-BR"/>
        </w:rPr>
        <w:t xml:space="preserve">fornecer latrinas ou </w:t>
      </w:r>
      <w:r w:rsidR="0089298C" w:rsidRPr="002F50BD">
        <w:rPr>
          <w:rFonts w:ascii="Verdana" w:hAnsi="Verdana"/>
          <w:sz w:val="20"/>
          <w:lang w:val="pt-BR"/>
        </w:rPr>
        <w:t>qualquer</w:t>
      </w:r>
      <w:r w:rsidRPr="002F50BD">
        <w:rPr>
          <w:rFonts w:ascii="Verdana" w:hAnsi="Verdana"/>
          <w:sz w:val="20"/>
          <w:lang w:val="pt-BR"/>
        </w:rPr>
        <w:t xml:space="preserve"> tipo de </w:t>
      </w:r>
      <w:r w:rsidR="0089298C" w:rsidRPr="002F50BD">
        <w:rPr>
          <w:rFonts w:ascii="Verdana" w:hAnsi="Verdana"/>
          <w:sz w:val="20"/>
          <w:lang w:val="pt-BR"/>
        </w:rPr>
        <w:t>serviço</w:t>
      </w:r>
      <w:r w:rsidRPr="002F50BD">
        <w:rPr>
          <w:rFonts w:ascii="Verdana" w:hAnsi="Verdana"/>
          <w:sz w:val="20"/>
          <w:lang w:val="pt-BR"/>
        </w:rPr>
        <w:t xml:space="preserve"> sanit</w:t>
      </w:r>
      <w:r w:rsidR="00E50F4A" w:rsidRPr="002F50BD">
        <w:rPr>
          <w:rFonts w:ascii="Verdana" w:hAnsi="Verdana"/>
          <w:sz w:val="20"/>
          <w:lang w:val="pt-BR"/>
        </w:rPr>
        <w:t>á</w:t>
      </w:r>
      <w:r w:rsidRPr="002F50BD">
        <w:rPr>
          <w:rFonts w:ascii="Verdana" w:hAnsi="Verdana"/>
          <w:sz w:val="20"/>
          <w:lang w:val="pt-BR"/>
        </w:rPr>
        <w:t xml:space="preserve">rio </w:t>
      </w:r>
      <w:r w:rsidR="0089298C" w:rsidRPr="002F50BD">
        <w:rPr>
          <w:rFonts w:ascii="Verdana" w:hAnsi="Verdana"/>
          <w:sz w:val="20"/>
          <w:lang w:val="pt-BR"/>
        </w:rPr>
        <w:t>adequad</w:t>
      </w:r>
      <w:r w:rsidRPr="002F50BD">
        <w:rPr>
          <w:rFonts w:ascii="Verdana" w:hAnsi="Verdana"/>
          <w:sz w:val="20"/>
          <w:lang w:val="pt-BR"/>
        </w:rPr>
        <w:t>o a</w:t>
      </w:r>
      <w:r w:rsidR="0089298C" w:rsidRPr="002F50BD">
        <w:rPr>
          <w:rFonts w:ascii="Verdana" w:hAnsi="Verdana"/>
          <w:sz w:val="20"/>
          <w:lang w:val="pt-BR"/>
        </w:rPr>
        <w:t xml:space="preserve"> fim </w:t>
      </w:r>
      <w:r w:rsidRPr="002F50BD">
        <w:rPr>
          <w:rFonts w:ascii="Verdana" w:hAnsi="Verdana"/>
          <w:sz w:val="20"/>
          <w:lang w:val="pt-BR"/>
        </w:rPr>
        <w:t xml:space="preserve">de que se </w:t>
      </w:r>
      <w:r w:rsidR="00E50F4A" w:rsidRPr="002F50BD">
        <w:rPr>
          <w:rFonts w:ascii="Verdana" w:hAnsi="Verdana"/>
          <w:sz w:val="20"/>
          <w:lang w:val="pt-BR"/>
        </w:rPr>
        <w:t xml:space="preserve">administre de maneira </w:t>
      </w:r>
      <w:r w:rsidR="0089298C" w:rsidRPr="002F50BD">
        <w:rPr>
          <w:rFonts w:ascii="Verdana" w:hAnsi="Verdana"/>
          <w:sz w:val="20"/>
          <w:lang w:val="pt-BR"/>
        </w:rPr>
        <w:t>efetiv</w:t>
      </w:r>
      <w:r w:rsidRPr="002F50BD">
        <w:rPr>
          <w:rFonts w:ascii="Verdana" w:hAnsi="Verdana"/>
          <w:sz w:val="20"/>
          <w:lang w:val="pt-BR"/>
        </w:rPr>
        <w:t>a</w:t>
      </w:r>
      <w:r w:rsidR="0089298C" w:rsidRPr="002F50BD">
        <w:rPr>
          <w:rFonts w:ascii="Verdana" w:hAnsi="Verdana"/>
          <w:sz w:val="20"/>
          <w:lang w:val="pt-BR"/>
        </w:rPr>
        <w:t xml:space="preserve"> e </w:t>
      </w:r>
      <w:r w:rsidRPr="002F50BD">
        <w:rPr>
          <w:rFonts w:ascii="Verdana" w:hAnsi="Verdana"/>
          <w:sz w:val="20"/>
          <w:lang w:val="pt-BR"/>
        </w:rPr>
        <w:t>salubre</w:t>
      </w:r>
      <w:r w:rsidR="00E50F4A" w:rsidRPr="002F50BD">
        <w:rPr>
          <w:rFonts w:ascii="Verdana" w:hAnsi="Verdana"/>
          <w:sz w:val="20"/>
          <w:lang w:val="pt-BR"/>
        </w:rPr>
        <w:t xml:space="preserve"> </w:t>
      </w:r>
      <w:r w:rsidR="0089298C" w:rsidRPr="002F50BD">
        <w:rPr>
          <w:rFonts w:ascii="Verdana" w:hAnsi="Verdana"/>
          <w:sz w:val="20"/>
          <w:lang w:val="pt-BR"/>
        </w:rPr>
        <w:t xml:space="preserve">os </w:t>
      </w:r>
      <w:r w:rsidR="00E50F4A" w:rsidRPr="002F50BD">
        <w:rPr>
          <w:rFonts w:ascii="Verdana" w:hAnsi="Verdana"/>
          <w:sz w:val="20"/>
          <w:lang w:val="pt-BR"/>
        </w:rPr>
        <w:t xml:space="preserve">dejetos </w:t>
      </w:r>
      <w:r w:rsidRPr="002F50BD">
        <w:rPr>
          <w:rFonts w:ascii="Verdana" w:hAnsi="Verdana"/>
          <w:sz w:val="20"/>
          <w:lang w:val="pt-BR"/>
        </w:rPr>
        <w:t>biológicos</w:t>
      </w:r>
      <w:r w:rsidR="0089298C" w:rsidRPr="002F50BD">
        <w:rPr>
          <w:rFonts w:ascii="Verdana" w:hAnsi="Verdana"/>
          <w:sz w:val="20"/>
          <w:lang w:val="pt-BR"/>
        </w:rPr>
        <w:t xml:space="preserve"> da </w:t>
      </w:r>
      <w:r w:rsidR="00C247F1" w:rsidRPr="002F50BD">
        <w:rPr>
          <w:rFonts w:ascii="Verdana" w:hAnsi="Verdana"/>
          <w:sz w:val="20"/>
          <w:lang w:val="pt-BR"/>
        </w:rPr>
        <w:t>Comunidade;</w:t>
      </w:r>
      <w:r w:rsidR="0089298C" w:rsidRPr="002F50BD">
        <w:rPr>
          <w:rFonts w:ascii="Verdana" w:hAnsi="Verdana"/>
          <w:sz w:val="20"/>
          <w:lang w:val="pt-BR"/>
        </w:rPr>
        <w:t xml:space="preserve"> e</w:t>
      </w:r>
      <w:r w:rsidRPr="002F50BD">
        <w:rPr>
          <w:rFonts w:ascii="Verdana" w:hAnsi="Verdana"/>
          <w:sz w:val="20"/>
          <w:lang w:val="pt-BR"/>
        </w:rPr>
        <w:t xml:space="preserve"> dotar</w:t>
      </w:r>
      <w:r w:rsidR="0089298C" w:rsidRPr="002F50BD">
        <w:rPr>
          <w:rFonts w:ascii="Verdana" w:hAnsi="Verdana"/>
          <w:sz w:val="20"/>
          <w:lang w:val="pt-BR"/>
        </w:rPr>
        <w:t xml:space="preserve"> à </w:t>
      </w:r>
      <w:r w:rsidR="004076AD" w:rsidRPr="002F50BD">
        <w:rPr>
          <w:rFonts w:ascii="Verdana" w:hAnsi="Verdana"/>
          <w:sz w:val="20"/>
          <w:lang w:val="pt-BR"/>
        </w:rPr>
        <w:t>escola</w:t>
      </w:r>
      <w:r w:rsidRPr="002F50BD">
        <w:rPr>
          <w:rFonts w:ascii="Verdana" w:hAnsi="Verdana"/>
          <w:sz w:val="20"/>
          <w:lang w:val="pt-BR"/>
        </w:rPr>
        <w:t xml:space="preserve"> </w:t>
      </w:r>
      <w:r w:rsidR="0089298C" w:rsidRPr="002F50BD">
        <w:rPr>
          <w:rFonts w:ascii="Verdana" w:hAnsi="Verdana"/>
          <w:sz w:val="20"/>
          <w:lang w:val="pt-BR"/>
        </w:rPr>
        <w:t>localizad</w:t>
      </w:r>
      <w:r w:rsidRPr="002F50BD">
        <w:rPr>
          <w:rFonts w:ascii="Verdana" w:hAnsi="Verdana"/>
          <w:sz w:val="20"/>
          <w:lang w:val="pt-BR"/>
        </w:rPr>
        <w:t>a</w:t>
      </w:r>
      <w:r w:rsidR="0089298C" w:rsidRPr="002F50BD">
        <w:rPr>
          <w:rFonts w:ascii="Verdana" w:hAnsi="Verdana"/>
          <w:sz w:val="20"/>
          <w:lang w:val="pt-BR"/>
        </w:rPr>
        <w:t xml:space="preserve"> no </w:t>
      </w:r>
      <w:r w:rsidR="00AB454A" w:rsidRPr="002F50BD">
        <w:rPr>
          <w:rFonts w:ascii="Verdana" w:hAnsi="Verdana"/>
          <w:sz w:val="20"/>
          <w:lang w:val="pt-BR"/>
        </w:rPr>
        <w:t>assentamento</w:t>
      </w:r>
      <w:r w:rsidRPr="002F50BD">
        <w:rPr>
          <w:rFonts w:ascii="Verdana" w:hAnsi="Verdana"/>
          <w:sz w:val="20"/>
          <w:lang w:val="pt-BR"/>
        </w:rPr>
        <w:t xml:space="preserve"> </w:t>
      </w:r>
      <w:r w:rsidR="0089298C" w:rsidRPr="002F50BD">
        <w:rPr>
          <w:rFonts w:ascii="Verdana" w:hAnsi="Verdana"/>
          <w:sz w:val="20"/>
          <w:lang w:val="pt-BR"/>
        </w:rPr>
        <w:t xml:space="preserve">atual da </w:t>
      </w:r>
      <w:r w:rsidRPr="002F50BD">
        <w:rPr>
          <w:rFonts w:ascii="Verdana" w:hAnsi="Verdana"/>
          <w:sz w:val="20"/>
          <w:lang w:val="pt-BR"/>
        </w:rPr>
        <w:t>Comu</w:t>
      </w:r>
      <w:r w:rsidR="00AB454A" w:rsidRPr="002F50BD">
        <w:rPr>
          <w:rFonts w:ascii="Verdana" w:hAnsi="Verdana"/>
          <w:sz w:val="20"/>
          <w:lang w:val="pt-BR"/>
        </w:rPr>
        <w:t>nidade</w:t>
      </w:r>
      <w:r w:rsidR="00E50F4A" w:rsidRPr="002F50BD">
        <w:rPr>
          <w:rFonts w:ascii="Verdana" w:hAnsi="Verdana"/>
          <w:sz w:val="20"/>
          <w:lang w:val="pt-BR"/>
        </w:rPr>
        <w:t xml:space="preserve"> de</w:t>
      </w:r>
      <w:r w:rsidR="0089298C" w:rsidRPr="002F50BD">
        <w:rPr>
          <w:rFonts w:ascii="Verdana" w:hAnsi="Verdana"/>
          <w:sz w:val="20"/>
          <w:lang w:val="pt-BR"/>
        </w:rPr>
        <w:t xml:space="preserve"> </w:t>
      </w:r>
      <w:r w:rsidR="004076AD" w:rsidRPr="002F50BD">
        <w:rPr>
          <w:rFonts w:ascii="Verdana" w:hAnsi="Verdana"/>
          <w:sz w:val="20"/>
          <w:lang w:val="pt-BR"/>
        </w:rPr>
        <w:t>materiais</w:t>
      </w:r>
      <w:r w:rsidRPr="002F50BD">
        <w:rPr>
          <w:rFonts w:ascii="Verdana" w:hAnsi="Verdana"/>
          <w:sz w:val="20"/>
          <w:lang w:val="pt-BR"/>
        </w:rPr>
        <w:t xml:space="preserve"> </w:t>
      </w:r>
      <w:r w:rsidR="00E50F4A" w:rsidRPr="002F50BD">
        <w:rPr>
          <w:rFonts w:ascii="Verdana" w:hAnsi="Verdana"/>
          <w:sz w:val="20"/>
          <w:lang w:val="pt-BR"/>
        </w:rPr>
        <w:t>bilíng</w:t>
      </w:r>
      <w:r w:rsidR="003F3630">
        <w:rPr>
          <w:rFonts w:ascii="Verdana" w:hAnsi="Verdana"/>
          <w:sz w:val="20"/>
          <w:lang w:val="pt-BR"/>
        </w:rPr>
        <w:t>u</w:t>
      </w:r>
      <w:r w:rsidR="00E50F4A" w:rsidRPr="002F50BD">
        <w:rPr>
          <w:rFonts w:ascii="Verdana" w:hAnsi="Verdana"/>
          <w:sz w:val="20"/>
          <w:lang w:val="pt-BR"/>
        </w:rPr>
        <w:t xml:space="preserve">es </w:t>
      </w:r>
      <w:r w:rsidRPr="002F50BD">
        <w:rPr>
          <w:rFonts w:ascii="Verdana" w:hAnsi="Verdana"/>
          <w:sz w:val="20"/>
          <w:lang w:val="pt-BR"/>
        </w:rPr>
        <w:t>suficientes para</w:t>
      </w:r>
      <w:r w:rsidR="0089298C" w:rsidRPr="002F50BD">
        <w:rPr>
          <w:rFonts w:ascii="Verdana" w:hAnsi="Verdana"/>
          <w:sz w:val="20"/>
          <w:lang w:val="pt-BR"/>
        </w:rPr>
        <w:t xml:space="preserve"> a devida </w:t>
      </w:r>
      <w:r w:rsidRPr="002F50BD">
        <w:rPr>
          <w:rFonts w:ascii="Verdana" w:hAnsi="Verdana"/>
          <w:sz w:val="20"/>
          <w:lang w:val="pt-BR"/>
        </w:rPr>
        <w:t>educa</w:t>
      </w:r>
      <w:r w:rsidR="0089298C" w:rsidRPr="002F50BD">
        <w:rPr>
          <w:rFonts w:ascii="Verdana" w:hAnsi="Verdana"/>
          <w:sz w:val="20"/>
          <w:lang w:val="pt-BR"/>
        </w:rPr>
        <w:t>ção</w:t>
      </w:r>
      <w:r w:rsidRPr="002F50BD">
        <w:rPr>
          <w:rFonts w:ascii="Verdana" w:hAnsi="Verdana"/>
          <w:sz w:val="20"/>
          <w:lang w:val="pt-BR"/>
        </w:rPr>
        <w:t xml:space="preserve"> de s</w:t>
      </w:r>
      <w:r w:rsidR="00E50F4A" w:rsidRPr="002F50BD">
        <w:rPr>
          <w:rFonts w:ascii="Verdana" w:hAnsi="Verdana"/>
          <w:sz w:val="20"/>
          <w:lang w:val="pt-BR"/>
        </w:rPr>
        <w:t>e</w:t>
      </w:r>
      <w:r w:rsidRPr="002F50BD">
        <w:rPr>
          <w:rFonts w:ascii="Verdana" w:hAnsi="Verdana"/>
          <w:sz w:val="20"/>
          <w:lang w:val="pt-BR"/>
        </w:rPr>
        <w:t>us alunos.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lang w:val="pt-BR"/>
        </w:rPr>
      </w:pPr>
      <w:r w:rsidRPr="002F50BD">
        <w:rPr>
          <w:rFonts w:ascii="Verdana" w:hAnsi="Verdana"/>
          <w:i/>
          <w:sz w:val="20"/>
          <w:lang w:val="pt-BR"/>
        </w:rPr>
        <w:t>c</w:t>
      </w:r>
      <w:r w:rsidR="00CF451D" w:rsidRPr="00CF451D">
        <w:rPr>
          <w:rFonts w:ascii="Verdana" w:hAnsi="Verdana"/>
          <w:sz w:val="20"/>
          <w:lang w:val="pt-BR"/>
        </w:rPr>
        <w:t>)</w:t>
      </w:r>
      <w:r w:rsidRPr="002F50BD">
        <w:rPr>
          <w:rFonts w:ascii="Verdana" w:hAnsi="Verdana"/>
          <w:i/>
          <w:sz w:val="20"/>
          <w:lang w:val="pt-BR"/>
        </w:rPr>
        <w:t xml:space="preserve"> </w:t>
      </w:r>
      <w:r w:rsidRPr="002F50BD">
        <w:rPr>
          <w:rFonts w:ascii="Verdana" w:hAnsi="Verdana"/>
          <w:i/>
          <w:sz w:val="20"/>
          <w:lang w:val="pt-BR"/>
        </w:rPr>
        <w:tab/>
        <w:t>Ade</w:t>
      </w:r>
      <w:r w:rsidR="00E50F4A" w:rsidRPr="002F50BD">
        <w:rPr>
          <w:rFonts w:ascii="Verdana" w:hAnsi="Verdana"/>
          <w:i/>
          <w:sz w:val="20"/>
          <w:lang w:val="pt-BR"/>
        </w:rPr>
        <w:t>q</w:t>
      </w:r>
      <w:r w:rsidRPr="002F50BD">
        <w:rPr>
          <w:rFonts w:ascii="Verdana" w:hAnsi="Verdana"/>
          <w:i/>
          <w:sz w:val="20"/>
          <w:lang w:val="pt-BR"/>
        </w:rPr>
        <w:t>ua</w:t>
      </w:r>
      <w:r w:rsidR="0089298C" w:rsidRPr="002F50BD">
        <w:rPr>
          <w:rFonts w:ascii="Verdana" w:hAnsi="Verdana"/>
          <w:i/>
          <w:sz w:val="20"/>
          <w:lang w:val="pt-BR"/>
        </w:rPr>
        <w:t xml:space="preserve">ção da </w:t>
      </w:r>
      <w:r w:rsidRPr="002F50BD">
        <w:rPr>
          <w:rFonts w:ascii="Verdana" w:hAnsi="Verdana"/>
          <w:i/>
          <w:sz w:val="20"/>
          <w:lang w:val="pt-BR"/>
        </w:rPr>
        <w:t>legisla</w:t>
      </w:r>
      <w:r w:rsidR="0089298C" w:rsidRPr="002F50BD">
        <w:rPr>
          <w:rFonts w:ascii="Verdana" w:hAnsi="Verdana"/>
          <w:i/>
          <w:sz w:val="20"/>
          <w:lang w:val="pt-BR"/>
        </w:rPr>
        <w:t>ção</w:t>
      </w:r>
      <w:r w:rsidRPr="002F50BD">
        <w:rPr>
          <w:rFonts w:ascii="Verdana" w:hAnsi="Verdana"/>
          <w:i/>
          <w:sz w:val="20"/>
          <w:lang w:val="pt-BR"/>
        </w:rPr>
        <w:t xml:space="preserve"> interna</w:t>
      </w:r>
      <w:r w:rsidR="0089298C" w:rsidRPr="002F50BD">
        <w:rPr>
          <w:rFonts w:ascii="Verdana" w:hAnsi="Verdana"/>
          <w:i/>
          <w:sz w:val="20"/>
          <w:lang w:val="pt-BR"/>
        </w:rPr>
        <w:t xml:space="preserve"> à </w:t>
      </w:r>
      <w:r w:rsidRPr="002F50BD">
        <w:rPr>
          <w:rFonts w:ascii="Verdana" w:hAnsi="Verdana"/>
          <w:i/>
          <w:sz w:val="20"/>
          <w:lang w:val="pt-BR"/>
        </w:rPr>
        <w:t>Conven</w:t>
      </w:r>
      <w:r w:rsidR="0089298C" w:rsidRPr="002F50BD">
        <w:rPr>
          <w:rFonts w:ascii="Verdana" w:hAnsi="Verdana"/>
          <w:i/>
          <w:sz w:val="20"/>
          <w:lang w:val="pt-BR"/>
        </w:rPr>
        <w:t>ção</w:t>
      </w:r>
      <w:r w:rsidRPr="002F50BD">
        <w:rPr>
          <w:rFonts w:ascii="Verdana" w:hAnsi="Verdana"/>
          <w:i/>
          <w:sz w:val="20"/>
          <w:lang w:val="pt-BR"/>
        </w:rPr>
        <w:t xml:space="preserve"> Americana</w:t>
      </w:r>
    </w:p>
    <w:p w:rsidR="004756C1" w:rsidRPr="002F50BD" w:rsidRDefault="004756C1">
      <w:pPr>
        <w:jc w:val="both"/>
        <w:rPr>
          <w:rFonts w:ascii="Verdana" w:hAnsi="Verdana"/>
          <w:i/>
          <w:sz w:val="20"/>
          <w:lang w:val="pt-BR"/>
        </w:rPr>
      </w:pPr>
    </w:p>
    <w:p w:rsidR="004756C1" w:rsidRPr="002F50BD" w:rsidRDefault="0089298C">
      <w:pPr>
        <w:numPr>
          <w:ilvl w:val="0"/>
          <w:numId w:val="33"/>
        </w:numPr>
        <w:jc w:val="both"/>
        <w:rPr>
          <w:rFonts w:ascii="Verdana" w:hAnsi="Verdana"/>
          <w:sz w:val="20"/>
          <w:lang w:val="pt-BR"/>
        </w:rPr>
      </w:pPr>
      <w:r w:rsidRPr="002F50BD">
        <w:rPr>
          <w:rFonts w:ascii="Verdana" w:hAnsi="Verdana"/>
          <w:sz w:val="20"/>
          <w:lang w:val="pt-BR"/>
        </w:rPr>
        <w:t xml:space="preserve">No </w:t>
      </w:r>
      <w:r w:rsidR="004756C1" w:rsidRPr="002F50BD">
        <w:rPr>
          <w:rFonts w:ascii="Verdana" w:hAnsi="Verdana"/>
          <w:sz w:val="20"/>
          <w:lang w:val="pt-BR"/>
        </w:rPr>
        <w:t>presente caso,</w:t>
      </w:r>
      <w:r w:rsidRPr="002F50BD">
        <w:rPr>
          <w:rFonts w:ascii="Verdana" w:hAnsi="Verdana"/>
          <w:sz w:val="20"/>
          <w:lang w:val="pt-BR"/>
        </w:rPr>
        <w:t xml:space="preserve"> a </w:t>
      </w:r>
      <w:r w:rsidR="004756C1" w:rsidRPr="002F50BD">
        <w:rPr>
          <w:rFonts w:ascii="Verdana" w:hAnsi="Verdana"/>
          <w:sz w:val="20"/>
          <w:lang w:val="pt-BR"/>
        </w:rPr>
        <w:t xml:space="preserve">Corte </w:t>
      </w:r>
      <w:r w:rsidRPr="002F50BD">
        <w:rPr>
          <w:rFonts w:ascii="Verdana" w:hAnsi="Verdana"/>
          <w:sz w:val="20"/>
          <w:lang w:val="pt-BR"/>
        </w:rPr>
        <w:t>estabeleceu</w:t>
      </w:r>
      <w:r w:rsidR="004756C1" w:rsidRPr="002F50BD">
        <w:rPr>
          <w:rFonts w:ascii="Verdana" w:hAnsi="Verdana"/>
          <w:sz w:val="20"/>
          <w:lang w:val="pt-BR"/>
        </w:rPr>
        <w:t xml:space="preserve"> que</w:t>
      </w:r>
      <w:r w:rsidRPr="002F50BD">
        <w:rPr>
          <w:rFonts w:ascii="Verdana" w:hAnsi="Verdana"/>
          <w:sz w:val="20"/>
          <w:lang w:val="pt-BR"/>
        </w:rPr>
        <w:t xml:space="preserve"> o Paraguai</w:t>
      </w:r>
      <w:r w:rsidR="004756C1" w:rsidRPr="002F50BD">
        <w:rPr>
          <w:rFonts w:ascii="Verdana" w:hAnsi="Verdana"/>
          <w:sz w:val="20"/>
          <w:lang w:val="pt-BR"/>
        </w:rPr>
        <w:t xml:space="preserve"> </w:t>
      </w:r>
      <w:r w:rsidRPr="002F50BD">
        <w:rPr>
          <w:rFonts w:ascii="Verdana" w:hAnsi="Verdana"/>
          <w:sz w:val="20"/>
          <w:lang w:val="pt-BR"/>
        </w:rPr>
        <w:t>violou os artigo</w:t>
      </w:r>
      <w:r w:rsidR="004756C1" w:rsidRPr="002F50BD">
        <w:rPr>
          <w:rFonts w:ascii="Verdana" w:hAnsi="Verdana"/>
          <w:sz w:val="20"/>
          <w:lang w:val="pt-BR"/>
        </w:rPr>
        <w:t xml:space="preserve">s </w:t>
      </w:r>
      <w:r w:rsidR="00063B47" w:rsidRPr="002F50BD">
        <w:rPr>
          <w:rFonts w:ascii="Verdana" w:hAnsi="Verdana"/>
          <w:sz w:val="20"/>
          <w:lang w:val="pt-BR"/>
        </w:rPr>
        <w:t>8</w:t>
      </w:r>
      <w:r w:rsidR="004756C1" w:rsidRPr="002F50BD">
        <w:rPr>
          <w:rFonts w:ascii="Verdana" w:hAnsi="Verdana"/>
          <w:sz w:val="20"/>
          <w:lang w:val="pt-BR"/>
        </w:rPr>
        <w:t xml:space="preserve">, </w:t>
      </w:r>
      <w:r w:rsidR="00063B47" w:rsidRPr="002F50BD">
        <w:rPr>
          <w:rFonts w:ascii="Verdana" w:hAnsi="Verdana"/>
          <w:sz w:val="20"/>
          <w:lang w:val="pt-BR"/>
        </w:rPr>
        <w:t>21</w:t>
      </w:r>
      <w:r w:rsidRPr="002F50BD">
        <w:rPr>
          <w:rFonts w:ascii="Verdana" w:hAnsi="Verdana"/>
          <w:sz w:val="20"/>
          <w:lang w:val="pt-BR"/>
        </w:rPr>
        <w:t xml:space="preserve"> e </w:t>
      </w:r>
      <w:r w:rsidR="00063B47" w:rsidRPr="002F50BD">
        <w:rPr>
          <w:rFonts w:ascii="Verdana" w:hAnsi="Verdana"/>
          <w:sz w:val="20"/>
          <w:lang w:val="pt-BR"/>
        </w:rPr>
        <w:t>25</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754117"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rela</w:t>
      </w:r>
      <w:r w:rsidRPr="002F50BD">
        <w:rPr>
          <w:rFonts w:ascii="Verdana" w:hAnsi="Verdana"/>
          <w:sz w:val="20"/>
          <w:lang w:val="pt-BR"/>
        </w:rPr>
        <w:t xml:space="preserve">ção </w:t>
      </w:r>
      <w:r w:rsidR="00726D81" w:rsidRPr="002F50BD">
        <w:rPr>
          <w:rFonts w:ascii="Verdana" w:hAnsi="Verdana"/>
          <w:sz w:val="20"/>
          <w:lang w:val="pt-BR"/>
        </w:rPr>
        <w:t>a</w:t>
      </w:r>
      <w:r w:rsidRPr="002F50BD">
        <w:rPr>
          <w:rFonts w:ascii="Verdana" w:hAnsi="Verdana"/>
          <w:sz w:val="20"/>
          <w:lang w:val="pt-BR"/>
        </w:rPr>
        <w:t>os artigo</w:t>
      </w:r>
      <w:r w:rsidR="004756C1" w:rsidRPr="002F50BD">
        <w:rPr>
          <w:rFonts w:ascii="Verdana" w:hAnsi="Verdana"/>
          <w:sz w:val="20"/>
          <w:lang w:val="pt-BR"/>
        </w:rPr>
        <w:t xml:space="preserve">s </w:t>
      </w:r>
      <w:r w:rsidR="00063B47" w:rsidRPr="002F50BD">
        <w:rPr>
          <w:rFonts w:ascii="Verdana" w:hAnsi="Verdana"/>
          <w:sz w:val="20"/>
          <w:lang w:val="pt-BR"/>
        </w:rPr>
        <w:t>1</w:t>
      </w:r>
      <w:r w:rsidR="004756C1" w:rsidRPr="002F50BD">
        <w:rPr>
          <w:rFonts w:ascii="Verdana" w:hAnsi="Verdana"/>
          <w:sz w:val="20"/>
          <w:lang w:val="pt-BR"/>
        </w:rPr>
        <w:t>.</w:t>
      </w:r>
      <w:r w:rsidR="00063B47" w:rsidRPr="002F50BD">
        <w:rPr>
          <w:rFonts w:ascii="Verdana" w:hAnsi="Verdana"/>
          <w:sz w:val="20"/>
          <w:lang w:val="pt-BR"/>
        </w:rPr>
        <w:t>1</w:t>
      </w:r>
      <w:r w:rsidRPr="002F50BD">
        <w:rPr>
          <w:rFonts w:ascii="Verdana" w:hAnsi="Verdana"/>
          <w:sz w:val="20"/>
          <w:lang w:val="pt-BR"/>
        </w:rPr>
        <w:t xml:space="preserve"> e </w:t>
      </w:r>
      <w:r w:rsidR="00063B47" w:rsidRPr="002F50BD">
        <w:rPr>
          <w:rFonts w:ascii="Verdana" w:hAnsi="Verdana"/>
          <w:sz w:val="20"/>
          <w:lang w:val="pt-BR"/>
        </w:rPr>
        <w:t>2</w:t>
      </w:r>
      <w:r w:rsidRPr="002F50BD">
        <w:rPr>
          <w:rFonts w:ascii="Verdana" w:hAnsi="Verdana"/>
          <w:sz w:val="20"/>
          <w:lang w:val="pt-BR"/>
        </w:rPr>
        <w:t xml:space="preserve"> da mesm</w:t>
      </w:r>
      <w:r w:rsidR="004756C1" w:rsidRPr="002F50BD">
        <w:rPr>
          <w:rFonts w:ascii="Verdana" w:hAnsi="Verdana"/>
          <w:sz w:val="20"/>
          <w:lang w:val="pt-BR"/>
        </w:rPr>
        <w:t>a,</w:t>
      </w:r>
      <w:r w:rsidRPr="002F50BD">
        <w:rPr>
          <w:rFonts w:ascii="Verdana" w:hAnsi="Verdana"/>
          <w:sz w:val="20"/>
          <w:lang w:val="pt-BR"/>
        </w:rPr>
        <w:t xml:space="preserve"> pela </w:t>
      </w:r>
      <w:r w:rsidR="004756C1" w:rsidRPr="002F50BD">
        <w:rPr>
          <w:rFonts w:ascii="Verdana" w:hAnsi="Verdana"/>
          <w:sz w:val="20"/>
          <w:lang w:val="pt-BR"/>
        </w:rPr>
        <w:t xml:space="preserve">falta de </w:t>
      </w:r>
      <w:r w:rsidRPr="002F50BD">
        <w:rPr>
          <w:rFonts w:ascii="Verdana" w:hAnsi="Verdana"/>
          <w:sz w:val="20"/>
          <w:lang w:val="pt-BR"/>
        </w:rPr>
        <w:t xml:space="preserve">efetividade da </w:t>
      </w:r>
      <w:r w:rsidR="004756C1" w:rsidRPr="002F50BD">
        <w:rPr>
          <w:rFonts w:ascii="Verdana" w:hAnsi="Verdana"/>
          <w:sz w:val="20"/>
          <w:lang w:val="pt-BR"/>
        </w:rPr>
        <w:t>legisla</w:t>
      </w:r>
      <w:r w:rsidRPr="002F50BD">
        <w:rPr>
          <w:rFonts w:ascii="Verdana" w:hAnsi="Verdana"/>
          <w:sz w:val="20"/>
          <w:lang w:val="pt-BR"/>
        </w:rPr>
        <w:t>ção</w:t>
      </w:r>
      <w:r w:rsidR="004756C1" w:rsidRPr="002F50BD">
        <w:rPr>
          <w:rFonts w:ascii="Verdana" w:hAnsi="Verdana"/>
          <w:sz w:val="20"/>
          <w:lang w:val="pt-BR"/>
        </w:rPr>
        <w:t xml:space="preserve"> nacional para </w:t>
      </w:r>
      <w:r w:rsidRPr="002F50BD">
        <w:rPr>
          <w:rFonts w:ascii="Verdana" w:hAnsi="Verdana"/>
          <w:sz w:val="20"/>
          <w:lang w:val="pt-BR"/>
        </w:rPr>
        <w:t>satisfazer os direito</w:t>
      </w:r>
      <w:r w:rsidR="004756C1" w:rsidRPr="002F50BD">
        <w:rPr>
          <w:rFonts w:ascii="Verdana" w:hAnsi="Verdana"/>
          <w:sz w:val="20"/>
          <w:lang w:val="pt-BR"/>
        </w:rPr>
        <w:t xml:space="preserve">s </w:t>
      </w:r>
      <w:r w:rsidR="00AB454A" w:rsidRPr="002F50BD">
        <w:rPr>
          <w:rFonts w:ascii="Verdana" w:hAnsi="Verdana"/>
          <w:sz w:val="20"/>
          <w:lang w:val="pt-BR"/>
        </w:rPr>
        <w:t>territoriais</w:t>
      </w:r>
      <w:r w:rsidRPr="002F50BD">
        <w:rPr>
          <w:rFonts w:ascii="Verdana" w:hAnsi="Verdana"/>
          <w:sz w:val="20"/>
          <w:lang w:val="pt-BR"/>
        </w:rPr>
        <w:t xml:space="preserve"> das vítima</w:t>
      </w:r>
      <w:r w:rsidR="004756C1" w:rsidRPr="002F50BD">
        <w:rPr>
          <w:rFonts w:ascii="Verdana" w:hAnsi="Verdana"/>
          <w:sz w:val="20"/>
          <w:lang w:val="pt-BR"/>
        </w:rPr>
        <w:t>s consagrados</w:t>
      </w:r>
      <w:r w:rsidRPr="002F50BD">
        <w:rPr>
          <w:rFonts w:ascii="Verdana" w:hAnsi="Verdana"/>
          <w:sz w:val="20"/>
          <w:lang w:val="pt-BR"/>
        </w:rPr>
        <w:t xml:space="preserve"> na Constituição</w:t>
      </w:r>
      <w:r w:rsidR="004756C1" w:rsidRPr="002F50BD">
        <w:rPr>
          <w:rFonts w:ascii="Verdana" w:hAnsi="Verdana"/>
          <w:sz w:val="20"/>
          <w:lang w:val="pt-BR"/>
        </w:rPr>
        <w:t xml:space="preserve"> </w:t>
      </w:r>
      <w:r w:rsidRPr="002F50BD">
        <w:rPr>
          <w:rFonts w:ascii="Verdana" w:hAnsi="Verdana"/>
          <w:sz w:val="20"/>
          <w:lang w:val="pt-BR"/>
        </w:rPr>
        <w:t>Paraguai</w:t>
      </w:r>
      <w:r w:rsidR="004756C1" w:rsidRPr="002F50BD">
        <w:rPr>
          <w:rFonts w:ascii="Verdana" w:hAnsi="Verdana"/>
          <w:sz w:val="20"/>
          <w:lang w:val="pt-BR"/>
        </w:rPr>
        <w:t>a.</w:t>
      </w:r>
    </w:p>
    <w:p w:rsidR="00E50F4A" w:rsidRPr="002F50BD" w:rsidRDefault="00E50F4A" w:rsidP="00E50F4A">
      <w:pPr>
        <w:jc w:val="both"/>
        <w:rPr>
          <w:rFonts w:ascii="Verdana" w:hAnsi="Verdana"/>
          <w:sz w:val="20"/>
          <w:lang w:val="pt-BR"/>
        </w:rPr>
      </w:pPr>
    </w:p>
    <w:p w:rsidR="004756C1" w:rsidRPr="002F50BD" w:rsidRDefault="0089298C">
      <w:pPr>
        <w:numPr>
          <w:ilvl w:val="0"/>
          <w:numId w:val="33"/>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afirmou a respeito</w:t>
      </w:r>
      <w:r w:rsidR="004756C1" w:rsidRPr="002F50BD">
        <w:rPr>
          <w:rFonts w:ascii="Verdana" w:hAnsi="Verdana"/>
          <w:sz w:val="20"/>
          <w:lang w:val="pt-BR"/>
        </w:rPr>
        <w:t xml:space="preserve"> que</w:t>
      </w:r>
    </w:p>
    <w:p w:rsidR="004756C1" w:rsidRPr="002F50BD" w:rsidRDefault="004756C1">
      <w:pPr>
        <w:ind w:left="360" w:right="360"/>
        <w:jc w:val="both"/>
        <w:rPr>
          <w:rFonts w:ascii="Verdana" w:hAnsi="Verdana"/>
          <w:sz w:val="16"/>
          <w:lang w:val="pt-BR"/>
        </w:rPr>
      </w:pPr>
    </w:p>
    <w:p w:rsidR="004756C1" w:rsidRPr="002F50BD" w:rsidRDefault="00726D81">
      <w:pPr>
        <w:ind w:left="720" w:right="720"/>
        <w:jc w:val="both"/>
        <w:rPr>
          <w:rFonts w:ascii="Verdana" w:hAnsi="Verdana"/>
          <w:sz w:val="16"/>
          <w:lang w:val="pt-BR"/>
        </w:rPr>
      </w:pPr>
      <w:r w:rsidRPr="002F50BD">
        <w:rPr>
          <w:rFonts w:ascii="Verdana" w:hAnsi="Verdana"/>
          <w:sz w:val="16"/>
          <w:lang w:val="pt-BR"/>
        </w:rPr>
        <w:t>é</w:t>
      </w:r>
      <w:r w:rsidR="004756C1" w:rsidRPr="002F50BD">
        <w:rPr>
          <w:rFonts w:ascii="Verdana" w:hAnsi="Verdana"/>
          <w:sz w:val="16"/>
          <w:lang w:val="pt-BR"/>
        </w:rPr>
        <w:t xml:space="preserve"> </w:t>
      </w:r>
      <w:r w:rsidR="0089298C" w:rsidRPr="002F50BD">
        <w:rPr>
          <w:rFonts w:ascii="Verdana" w:hAnsi="Verdana"/>
          <w:sz w:val="16"/>
          <w:lang w:val="pt-BR"/>
        </w:rPr>
        <w:t>necessári</w:t>
      </w:r>
      <w:r w:rsidR="004756C1" w:rsidRPr="002F50BD">
        <w:rPr>
          <w:rFonts w:ascii="Verdana" w:hAnsi="Verdana"/>
          <w:sz w:val="16"/>
          <w:lang w:val="pt-BR"/>
        </w:rPr>
        <w:t>o que</w:t>
      </w:r>
      <w:r w:rsidR="0089298C" w:rsidRPr="002F50BD">
        <w:rPr>
          <w:rFonts w:ascii="Verdana" w:hAnsi="Verdana"/>
          <w:sz w:val="16"/>
          <w:lang w:val="pt-BR"/>
        </w:rPr>
        <w:t xml:space="preserve"> uma nova</w:t>
      </w:r>
      <w:r w:rsidR="004756C1" w:rsidRPr="002F50BD">
        <w:rPr>
          <w:rFonts w:ascii="Verdana" w:hAnsi="Verdana"/>
          <w:sz w:val="16"/>
          <w:lang w:val="pt-BR"/>
        </w:rPr>
        <w:t xml:space="preserve"> </w:t>
      </w:r>
      <w:r w:rsidR="0089298C" w:rsidRPr="002F50BD">
        <w:rPr>
          <w:rFonts w:ascii="Verdana" w:hAnsi="Verdana"/>
          <w:sz w:val="16"/>
          <w:lang w:val="pt-BR"/>
        </w:rPr>
        <w:t xml:space="preserve">lei </w:t>
      </w:r>
      <w:r w:rsidR="004756C1" w:rsidRPr="002F50BD">
        <w:rPr>
          <w:rFonts w:ascii="Verdana" w:hAnsi="Verdana"/>
          <w:sz w:val="16"/>
          <w:lang w:val="pt-BR"/>
        </w:rPr>
        <w:t>contemple</w:t>
      </w:r>
      <w:r w:rsidR="0089298C" w:rsidRPr="002F50BD">
        <w:rPr>
          <w:rFonts w:ascii="Verdana" w:hAnsi="Verdana"/>
          <w:sz w:val="16"/>
          <w:lang w:val="pt-BR"/>
        </w:rPr>
        <w:t xml:space="preserve"> a </w:t>
      </w:r>
      <w:r w:rsidR="004756C1" w:rsidRPr="002F50BD">
        <w:rPr>
          <w:rFonts w:ascii="Verdana" w:hAnsi="Verdana"/>
          <w:sz w:val="16"/>
          <w:lang w:val="pt-BR"/>
        </w:rPr>
        <w:t>situa</w:t>
      </w:r>
      <w:r w:rsidR="0089298C" w:rsidRPr="002F50BD">
        <w:rPr>
          <w:rFonts w:ascii="Verdana" w:hAnsi="Verdana"/>
          <w:sz w:val="16"/>
          <w:lang w:val="pt-BR"/>
        </w:rPr>
        <w:t>ção dos povo</w:t>
      </w:r>
      <w:r w:rsidR="004756C1" w:rsidRPr="002F50BD">
        <w:rPr>
          <w:rFonts w:ascii="Verdana" w:hAnsi="Verdana"/>
          <w:sz w:val="16"/>
          <w:lang w:val="pt-BR"/>
        </w:rPr>
        <w:t xml:space="preserve">s indígenas </w:t>
      </w:r>
      <w:r w:rsidR="0089298C" w:rsidRPr="002F50BD">
        <w:rPr>
          <w:rFonts w:ascii="Verdana" w:hAnsi="Verdana"/>
          <w:sz w:val="16"/>
          <w:lang w:val="pt-BR"/>
        </w:rPr>
        <w:t>cuja</w:t>
      </w:r>
      <w:r w:rsidR="004756C1" w:rsidRPr="002F50BD">
        <w:rPr>
          <w:rFonts w:ascii="Verdana" w:hAnsi="Verdana"/>
          <w:sz w:val="16"/>
          <w:lang w:val="pt-BR"/>
        </w:rPr>
        <w:t xml:space="preserve"> </w:t>
      </w:r>
      <w:r w:rsidR="0089298C" w:rsidRPr="002F50BD">
        <w:rPr>
          <w:rFonts w:ascii="Verdana" w:hAnsi="Verdana"/>
          <w:sz w:val="16"/>
          <w:lang w:val="pt-BR"/>
        </w:rPr>
        <w:t xml:space="preserve">necessidade </w:t>
      </w:r>
      <w:r w:rsidR="004756C1" w:rsidRPr="002F50BD">
        <w:rPr>
          <w:rFonts w:ascii="Verdana" w:hAnsi="Verdana"/>
          <w:sz w:val="16"/>
          <w:lang w:val="pt-BR"/>
        </w:rPr>
        <w:t xml:space="preserve">de </w:t>
      </w:r>
      <w:r w:rsidR="0089298C" w:rsidRPr="002F50BD">
        <w:rPr>
          <w:rFonts w:ascii="Verdana" w:hAnsi="Verdana"/>
          <w:sz w:val="16"/>
          <w:lang w:val="pt-BR"/>
        </w:rPr>
        <w:t>terra</w:t>
      </w:r>
      <w:r w:rsidR="004756C1" w:rsidRPr="002F50BD">
        <w:rPr>
          <w:rFonts w:ascii="Verdana" w:hAnsi="Verdana"/>
          <w:sz w:val="16"/>
          <w:lang w:val="pt-BR"/>
        </w:rPr>
        <w:t xml:space="preserve"> </w:t>
      </w:r>
      <w:r w:rsidR="0089298C" w:rsidRPr="002F50BD">
        <w:rPr>
          <w:rFonts w:ascii="Verdana" w:hAnsi="Verdana"/>
          <w:sz w:val="16"/>
          <w:lang w:val="pt-BR"/>
        </w:rPr>
        <w:t>própria tem</w:t>
      </w:r>
      <w:r w:rsidRPr="002F50BD">
        <w:rPr>
          <w:rFonts w:ascii="Verdana" w:hAnsi="Verdana"/>
          <w:sz w:val="16"/>
          <w:lang w:val="pt-BR"/>
        </w:rPr>
        <w:t>,</w:t>
      </w:r>
      <w:r w:rsidR="0089298C" w:rsidRPr="002F50BD">
        <w:rPr>
          <w:rFonts w:ascii="Verdana" w:hAnsi="Verdana"/>
          <w:sz w:val="16"/>
          <w:lang w:val="pt-BR"/>
        </w:rPr>
        <w:t xml:space="preserve"> ademais</w:t>
      </w:r>
      <w:r w:rsidRPr="002F50BD">
        <w:rPr>
          <w:rFonts w:ascii="Verdana" w:hAnsi="Verdana"/>
          <w:sz w:val="16"/>
          <w:lang w:val="pt-BR"/>
        </w:rPr>
        <w:t>,</w:t>
      </w:r>
      <w:r w:rsidR="0089298C" w:rsidRPr="002F50BD">
        <w:rPr>
          <w:rFonts w:ascii="Verdana" w:hAnsi="Verdana"/>
          <w:sz w:val="16"/>
          <w:lang w:val="pt-BR"/>
        </w:rPr>
        <w:t xml:space="preserve"> a </w:t>
      </w:r>
      <w:r w:rsidR="004756C1" w:rsidRPr="002F50BD">
        <w:rPr>
          <w:rFonts w:ascii="Verdana" w:hAnsi="Verdana"/>
          <w:sz w:val="16"/>
          <w:lang w:val="pt-BR"/>
        </w:rPr>
        <w:t>conota</w:t>
      </w:r>
      <w:r w:rsidR="0089298C" w:rsidRPr="002F50BD">
        <w:rPr>
          <w:rFonts w:ascii="Verdana" w:hAnsi="Verdana"/>
          <w:sz w:val="16"/>
          <w:lang w:val="pt-BR"/>
        </w:rPr>
        <w:t>ção</w:t>
      </w:r>
      <w:r w:rsidR="004756C1" w:rsidRPr="002F50BD">
        <w:rPr>
          <w:rFonts w:ascii="Verdana" w:hAnsi="Verdana"/>
          <w:sz w:val="16"/>
          <w:lang w:val="pt-BR"/>
        </w:rPr>
        <w:t xml:space="preserve"> de ser </w:t>
      </w:r>
      <w:r w:rsidR="0089298C" w:rsidRPr="002F50BD">
        <w:rPr>
          <w:rFonts w:ascii="Verdana" w:hAnsi="Verdana"/>
          <w:sz w:val="16"/>
          <w:lang w:val="pt-BR"/>
        </w:rPr>
        <w:t>necessári</w:t>
      </w:r>
      <w:r w:rsidR="004756C1" w:rsidRPr="002F50BD">
        <w:rPr>
          <w:rFonts w:ascii="Verdana" w:hAnsi="Verdana"/>
          <w:sz w:val="16"/>
          <w:lang w:val="pt-BR"/>
        </w:rPr>
        <w:t>a para</w:t>
      </w:r>
      <w:r w:rsidR="0089298C" w:rsidRPr="002F50BD">
        <w:rPr>
          <w:rFonts w:ascii="Verdana" w:hAnsi="Verdana"/>
          <w:sz w:val="16"/>
          <w:lang w:val="pt-BR"/>
        </w:rPr>
        <w:t xml:space="preserve"> o desenvolvimento</w:t>
      </w:r>
      <w:r w:rsidR="004756C1" w:rsidRPr="002F50BD">
        <w:rPr>
          <w:rFonts w:ascii="Verdana" w:hAnsi="Verdana"/>
          <w:sz w:val="16"/>
          <w:lang w:val="pt-BR"/>
        </w:rPr>
        <w:t xml:space="preserve"> de s</w:t>
      </w:r>
      <w:r w:rsidRPr="002F50BD">
        <w:rPr>
          <w:rFonts w:ascii="Verdana" w:hAnsi="Verdana"/>
          <w:sz w:val="16"/>
          <w:lang w:val="pt-BR"/>
        </w:rPr>
        <w:t>e</w:t>
      </w:r>
      <w:r w:rsidR="004756C1" w:rsidRPr="002F50BD">
        <w:rPr>
          <w:rFonts w:ascii="Verdana" w:hAnsi="Verdana"/>
          <w:sz w:val="16"/>
          <w:lang w:val="pt-BR"/>
        </w:rPr>
        <w:t>u peculiar estilo de vida.</w:t>
      </w:r>
    </w:p>
    <w:p w:rsidR="004756C1" w:rsidRPr="002F50BD" w:rsidRDefault="004756C1">
      <w:pPr>
        <w:jc w:val="both"/>
        <w:rPr>
          <w:rFonts w:ascii="Verdana" w:hAnsi="Verdana"/>
          <w:sz w:val="20"/>
          <w:lang w:val="pt-BR"/>
        </w:rPr>
      </w:pPr>
    </w:p>
    <w:p w:rsidR="004756C1" w:rsidRPr="002F50BD" w:rsidRDefault="00E50F4A">
      <w:pPr>
        <w:numPr>
          <w:ilvl w:val="0"/>
          <w:numId w:val="33"/>
        </w:numPr>
        <w:jc w:val="both"/>
        <w:rPr>
          <w:rFonts w:ascii="Verdana" w:hAnsi="Verdana"/>
          <w:sz w:val="20"/>
        </w:rPr>
      </w:pPr>
      <w:r w:rsidRPr="002F50BD">
        <w:rPr>
          <w:rFonts w:ascii="Verdana" w:hAnsi="Verdana"/>
          <w:sz w:val="20"/>
        </w:rPr>
        <w:t>E</w:t>
      </w:r>
      <w:r w:rsidR="004756C1" w:rsidRPr="002F50BD">
        <w:rPr>
          <w:rFonts w:ascii="Verdana" w:hAnsi="Verdana"/>
          <w:sz w:val="20"/>
        </w:rPr>
        <w:t xml:space="preserve"> </w:t>
      </w:r>
      <w:r w:rsidR="00AB454A" w:rsidRPr="002F50BD">
        <w:rPr>
          <w:rFonts w:ascii="Verdana" w:hAnsi="Verdana"/>
          <w:sz w:val="20"/>
        </w:rPr>
        <w:t>acrescentou</w:t>
      </w:r>
      <w:r w:rsidR="004756C1" w:rsidRPr="002F50BD">
        <w:rPr>
          <w:rFonts w:ascii="Verdana" w:hAnsi="Verdana"/>
          <w:sz w:val="20"/>
        </w:rPr>
        <w:t xml:space="preserve"> que</w:t>
      </w:r>
    </w:p>
    <w:p w:rsidR="004756C1" w:rsidRPr="002F50BD" w:rsidRDefault="004756C1">
      <w:pPr>
        <w:ind w:left="360" w:right="360"/>
        <w:jc w:val="both"/>
        <w:rPr>
          <w:rFonts w:ascii="Verdana" w:hAnsi="Verdana"/>
          <w:sz w:val="16"/>
        </w:rPr>
      </w:pPr>
    </w:p>
    <w:p w:rsidR="004756C1" w:rsidRPr="002F50BD" w:rsidRDefault="00300AB5">
      <w:pPr>
        <w:ind w:left="720" w:right="720"/>
        <w:jc w:val="both"/>
        <w:rPr>
          <w:rFonts w:ascii="Verdana" w:hAnsi="Verdana"/>
          <w:sz w:val="16"/>
          <w:lang w:val="pt-BR"/>
        </w:rPr>
      </w:pPr>
      <w:r w:rsidRPr="002F50BD">
        <w:rPr>
          <w:rFonts w:ascii="Verdana" w:hAnsi="Verdana"/>
          <w:sz w:val="16"/>
          <w:lang w:val="pt-BR"/>
        </w:rPr>
        <w:t>A</w:t>
      </w:r>
      <w:r w:rsidR="00726D81" w:rsidRPr="002F50BD">
        <w:rPr>
          <w:rFonts w:ascii="Verdana" w:hAnsi="Verdana"/>
          <w:sz w:val="16"/>
          <w:lang w:val="pt-BR"/>
        </w:rPr>
        <w:t>cata</w:t>
      </w:r>
      <w:r w:rsidRPr="002F50BD">
        <w:rPr>
          <w:rFonts w:ascii="Verdana" w:hAnsi="Verdana"/>
          <w:sz w:val="16"/>
          <w:lang w:val="pt-BR"/>
        </w:rPr>
        <w:t>,</w:t>
      </w:r>
      <w:r w:rsidR="004756C1" w:rsidRPr="002F50BD">
        <w:rPr>
          <w:rFonts w:ascii="Verdana" w:hAnsi="Verdana"/>
          <w:sz w:val="16"/>
          <w:lang w:val="pt-BR"/>
        </w:rPr>
        <w:t xml:space="preserve"> igualmente</w:t>
      </w:r>
      <w:r w:rsidRPr="002F50BD">
        <w:rPr>
          <w:rFonts w:ascii="Verdana" w:hAnsi="Verdana"/>
          <w:sz w:val="16"/>
          <w:lang w:val="pt-BR"/>
        </w:rPr>
        <w:t>,</w:t>
      </w:r>
      <w:r w:rsidR="0089298C" w:rsidRPr="002F50BD">
        <w:rPr>
          <w:rFonts w:ascii="Verdana" w:hAnsi="Verdana"/>
          <w:sz w:val="16"/>
          <w:lang w:val="pt-BR"/>
        </w:rPr>
        <w:t xml:space="preserve"> o </w:t>
      </w:r>
      <w:r w:rsidR="004756C1" w:rsidRPr="002F50BD">
        <w:rPr>
          <w:rFonts w:ascii="Verdana" w:hAnsi="Verdana"/>
          <w:sz w:val="16"/>
          <w:lang w:val="pt-BR"/>
        </w:rPr>
        <w:t>pedido de implementar</w:t>
      </w:r>
      <w:r w:rsidR="0089298C" w:rsidRPr="002F50BD">
        <w:rPr>
          <w:rFonts w:ascii="Verdana" w:hAnsi="Verdana"/>
          <w:sz w:val="16"/>
          <w:lang w:val="pt-BR"/>
        </w:rPr>
        <w:t xml:space="preserve"> uma </w:t>
      </w:r>
      <w:r w:rsidR="004756C1" w:rsidRPr="002F50BD">
        <w:rPr>
          <w:rFonts w:ascii="Verdana" w:hAnsi="Verdana"/>
          <w:sz w:val="16"/>
          <w:lang w:val="pt-BR"/>
        </w:rPr>
        <w:t>legisla</w:t>
      </w:r>
      <w:r w:rsidR="0089298C" w:rsidRPr="002F50BD">
        <w:rPr>
          <w:rFonts w:ascii="Verdana" w:hAnsi="Verdana"/>
          <w:sz w:val="16"/>
          <w:lang w:val="pt-BR"/>
        </w:rPr>
        <w:t>ção</w:t>
      </w:r>
      <w:r w:rsidR="004756C1" w:rsidRPr="002F50BD">
        <w:rPr>
          <w:rFonts w:ascii="Verdana" w:hAnsi="Verdana"/>
          <w:sz w:val="16"/>
          <w:lang w:val="pt-BR"/>
        </w:rPr>
        <w:t xml:space="preserve"> que contemple</w:t>
      </w:r>
      <w:r w:rsidR="0089298C" w:rsidRPr="002F50BD">
        <w:rPr>
          <w:rFonts w:ascii="Verdana" w:hAnsi="Verdana"/>
          <w:sz w:val="16"/>
          <w:lang w:val="pt-BR"/>
        </w:rPr>
        <w:t xml:space="preserve"> um </w:t>
      </w:r>
      <w:r w:rsidR="004756C1" w:rsidRPr="002F50BD">
        <w:rPr>
          <w:rFonts w:ascii="Verdana" w:hAnsi="Verdana"/>
          <w:sz w:val="16"/>
          <w:lang w:val="pt-BR"/>
        </w:rPr>
        <w:t xml:space="preserve">recurso </w:t>
      </w:r>
      <w:r w:rsidR="0089298C" w:rsidRPr="002F50BD">
        <w:rPr>
          <w:rFonts w:ascii="Verdana" w:hAnsi="Verdana"/>
          <w:sz w:val="16"/>
          <w:lang w:val="pt-BR"/>
        </w:rPr>
        <w:t>efetiv</w:t>
      </w:r>
      <w:r w:rsidR="004756C1" w:rsidRPr="002F50BD">
        <w:rPr>
          <w:rFonts w:ascii="Verdana" w:hAnsi="Verdana"/>
          <w:sz w:val="16"/>
          <w:lang w:val="pt-BR"/>
        </w:rPr>
        <w:t>o</w:t>
      </w:r>
      <w:r w:rsidR="0089298C" w:rsidRPr="002F50BD">
        <w:rPr>
          <w:rFonts w:ascii="Verdana" w:hAnsi="Verdana"/>
          <w:sz w:val="16"/>
          <w:lang w:val="pt-BR"/>
        </w:rPr>
        <w:t xml:space="preserve"> e </w:t>
      </w:r>
      <w:r w:rsidR="004756C1" w:rsidRPr="002F50BD">
        <w:rPr>
          <w:rFonts w:ascii="Verdana" w:hAnsi="Verdana"/>
          <w:sz w:val="16"/>
          <w:lang w:val="pt-BR"/>
        </w:rPr>
        <w:t xml:space="preserve">rápido que </w:t>
      </w:r>
      <w:r w:rsidR="00726D81" w:rsidRPr="002F50BD">
        <w:rPr>
          <w:rFonts w:ascii="Verdana" w:hAnsi="Verdana"/>
          <w:sz w:val="16"/>
          <w:lang w:val="pt-BR"/>
        </w:rPr>
        <w:t xml:space="preserve">resolva </w:t>
      </w:r>
      <w:r w:rsidR="0089298C" w:rsidRPr="002F50BD">
        <w:rPr>
          <w:rFonts w:ascii="Verdana" w:hAnsi="Verdana"/>
          <w:sz w:val="16"/>
          <w:lang w:val="pt-BR"/>
        </w:rPr>
        <w:t xml:space="preserve">uma </w:t>
      </w:r>
      <w:r w:rsidR="004756C1" w:rsidRPr="002F50BD">
        <w:rPr>
          <w:rFonts w:ascii="Verdana" w:hAnsi="Verdana"/>
          <w:sz w:val="16"/>
          <w:lang w:val="pt-BR"/>
        </w:rPr>
        <w:t>situa</w:t>
      </w:r>
      <w:r w:rsidR="0089298C" w:rsidRPr="002F50BD">
        <w:rPr>
          <w:rFonts w:ascii="Verdana" w:hAnsi="Verdana"/>
          <w:sz w:val="16"/>
          <w:lang w:val="pt-BR"/>
        </w:rPr>
        <w:t>ção</w:t>
      </w:r>
      <w:r w:rsidR="004756C1" w:rsidRPr="002F50BD">
        <w:rPr>
          <w:rFonts w:ascii="Verdana" w:hAnsi="Verdana"/>
          <w:sz w:val="16"/>
          <w:lang w:val="pt-BR"/>
        </w:rPr>
        <w:t xml:space="preserve"> de </w:t>
      </w:r>
      <w:r w:rsidR="00937400" w:rsidRPr="002F50BD">
        <w:rPr>
          <w:rFonts w:ascii="Verdana" w:hAnsi="Verdana"/>
          <w:sz w:val="16"/>
          <w:lang w:val="pt-BR"/>
        </w:rPr>
        <w:t>colisão</w:t>
      </w:r>
      <w:r w:rsidR="004756C1" w:rsidRPr="002F50BD">
        <w:rPr>
          <w:rFonts w:ascii="Verdana" w:hAnsi="Verdana"/>
          <w:sz w:val="16"/>
          <w:lang w:val="pt-BR"/>
        </w:rPr>
        <w:t xml:space="preserve"> de </w:t>
      </w:r>
      <w:r w:rsidR="0089298C" w:rsidRPr="002F50BD">
        <w:rPr>
          <w:rFonts w:ascii="Verdana" w:hAnsi="Verdana"/>
          <w:sz w:val="16"/>
          <w:lang w:val="pt-BR"/>
        </w:rPr>
        <w:t>direito</w:t>
      </w:r>
      <w:r w:rsidR="004756C1" w:rsidRPr="002F50BD">
        <w:rPr>
          <w:rFonts w:ascii="Verdana" w:hAnsi="Verdana"/>
          <w:sz w:val="16"/>
          <w:lang w:val="pt-BR"/>
        </w:rPr>
        <w:t xml:space="preserve">s como se </w:t>
      </w:r>
      <w:r w:rsidR="00726D81" w:rsidRPr="002F50BD">
        <w:rPr>
          <w:rFonts w:ascii="Verdana" w:hAnsi="Verdana"/>
          <w:sz w:val="16"/>
          <w:lang w:val="pt-BR"/>
        </w:rPr>
        <w:t xml:space="preserve">propõe </w:t>
      </w:r>
      <w:r w:rsidR="0089298C" w:rsidRPr="002F50BD">
        <w:rPr>
          <w:rFonts w:ascii="Verdana" w:hAnsi="Verdana"/>
          <w:sz w:val="16"/>
          <w:lang w:val="pt-BR"/>
        </w:rPr>
        <w:t xml:space="preserve">no </w:t>
      </w:r>
      <w:r w:rsidR="004756C1" w:rsidRPr="002F50BD">
        <w:rPr>
          <w:rFonts w:ascii="Verdana" w:hAnsi="Verdana"/>
          <w:sz w:val="16"/>
          <w:lang w:val="pt-BR"/>
        </w:rPr>
        <w:t>caso Yakye Axa</w:t>
      </w:r>
      <w:r w:rsidR="0089298C" w:rsidRPr="002F50BD">
        <w:rPr>
          <w:rFonts w:ascii="Verdana" w:hAnsi="Verdana"/>
          <w:sz w:val="16"/>
          <w:lang w:val="pt-BR"/>
        </w:rPr>
        <w:t xml:space="preserve"> e outra</w:t>
      </w:r>
      <w:r w:rsidR="004756C1" w:rsidRPr="002F50BD">
        <w:rPr>
          <w:rFonts w:ascii="Verdana" w:hAnsi="Verdana"/>
          <w:sz w:val="16"/>
          <w:lang w:val="pt-BR"/>
        </w:rPr>
        <w:t xml:space="preserve">s comunidades </w:t>
      </w:r>
      <w:r w:rsidR="0089298C" w:rsidRPr="002F50BD">
        <w:rPr>
          <w:rFonts w:ascii="Verdana" w:hAnsi="Verdana"/>
          <w:sz w:val="16"/>
          <w:lang w:val="pt-BR"/>
        </w:rPr>
        <w:t>do povo</w:t>
      </w:r>
      <w:r w:rsidR="004756C1" w:rsidRPr="002F50BD">
        <w:rPr>
          <w:rFonts w:ascii="Verdana" w:hAnsi="Verdana"/>
          <w:sz w:val="16"/>
          <w:lang w:val="pt-BR"/>
        </w:rPr>
        <w:t xml:space="preserve"> Enxet </w:t>
      </w:r>
      <w:r w:rsidR="00CD3DEB" w:rsidRPr="002F50BD">
        <w:rPr>
          <w:rFonts w:ascii="Verdana" w:hAnsi="Verdana"/>
          <w:sz w:val="16"/>
          <w:lang w:val="pt-BR"/>
        </w:rPr>
        <w:t>L</w:t>
      </w:r>
      <w:r w:rsidR="00726D81" w:rsidRPr="002F50BD">
        <w:rPr>
          <w:rFonts w:ascii="Verdana" w:hAnsi="Verdana"/>
          <w:sz w:val="16"/>
          <w:lang w:val="pt-BR"/>
        </w:rPr>
        <w:t>e</w:t>
      </w:r>
      <w:r w:rsidR="00CD3DEB" w:rsidRPr="002F50BD">
        <w:rPr>
          <w:rFonts w:ascii="Verdana" w:hAnsi="Verdana"/>
          <w:sz w:val="16"/>
          <w:lang w:val="pt-BR"/>
        </w:rPr>
        <w:t>ngua</w:t>
      </w:r>
      <w:r w:rsidR="004756C1" w:rsidRPr="002F50BD">
        <w:rPr>
          <w:rFonts w:ascii="Verdana" w:hAnsi="Verdana"/>
          <w:sz w:val="16"/>
          <w:lang w:val="pt-BR"/>
        </w:rPr>
        <w:t xml:space="preserve"> para o </w:t>
      </w:r>
      <w:r w:rsidR="0089298C" w:rsidRPr="002F50BD">
        <w:rPr>
          <w:rFonts w:ascii="Verdana" w:hAnsi="Verdana"/>
          <w:sz w:val="16"/>
          <w:lang w:val="pt-BR"/>
        </w:rPr>
        <w:t>qu</w:t>
      </w:r>
      <w:r w:rsidR="00726D81" w:rsidRPr="002F50BD">
        <w:rPr>
          <w:rFonts w:ascii="Verdana" w:hAnsi="Verdana"/>
          <w:sz w:val="16"/>
          <w:lang w:val="pt-BR"/>
        </w:rPr>
        <w:t>e</w:t>
      </w:r>
      <w:r w:rsidR="0089298C" w:rsidRPr="002F50BD">
        <w:rPr>
          <w:rFonts w:ascii="Verdana" w:hAnsi="Verdana"/>
          <w:sz w:val="16"/>
          <w:lang w:val="pt-BR"/>
        </w:rPr>
        <w:t xml:space="preserve"> </w:t>
      </w:r>
      <w:r w:rsidR="004756C1" w:rsidRPr="002F50BD">
        <w:rPr>
          <w:rFonts w:ascii="Verdana" w:hAnsi="Verdana"/>
          <w:sz w:val="16"/>
          <w:lang w:val="pt-BR"/>
        </w:rPr>
        <w:t>promoverá</w:t>
      </w:r>
      <w:r w:rsidR="0089298C" w:rsidRPr="002F50BD">
        <w:rPr>
          <w:rFonts w:ascii="Verdana" w:hAnsi="Verdana"/>
          <w:sz w:val="16"/>
          <w:lang w:val="pt-BR"/>
        </w:rPr>
        <w:t xml:space="preserve"> as </w:t>
      </w:r>
      <w:r w:rsidR="004756C1" w:rsidRPr="002F50BD">
        <w:rPr>
          <w:rFonts w:ascii="Verdana" w:hAnsi="Verdana"/>
          <w:sz w:val="16"/>
          <w:lang w:val="pt-BR"/>
        </w:rPr>
        <w:t>consultas</w:t>
      </w:r>
      <w:r w:rsidR="0089298C" w:rsidRPr="002F50BD">
        <w:rPr>
          <w:rFonts w:ascii="Verdana" w:hAnsi="Verdana"/>
          <w:sz w:val="16"/>
          <w:lang w:val="pt-BR"/>
        </w:rPr>
        <w:t xml:space="preserve"> aos beneficiário</w:t>
      </w:r>
      <w:r w:rsidR="004756C1" w:rsidRPr="002F50BD">
        <w:rPr>
          <w:rFonts w:ascii="Verdana" w:hAnsi="Verdana"/>
          <w:sz w:val="16"/>
          <w:lang w:val="pt-BR"/>
        </w:rPr>
        <w:t xml:space="preserve">s </w:t>
      </w:r>
      <w:r w:rsidR="0089298C" w:rsidRPr="002F50BD">
        <w:rPr>
          <w:rFonts w:ascii="Verdana" w:hAnsi="Verdana"/>
          <w:sz w:val="16"/>
          <w:lang w:val="pt-BR"/>
        </w:rPr>
        <w:t>diret</w:t>
      </w:r>
      <w:r w:rsidR="004756C1" w:rsidRPr="002F50BD">
        <w:rPr>
          <w:rFonts w:ascii="Verdana" w:hAnsi="Verdana"/>
          <w:sz w:val="16"/>
          <w:lang w:val="pt-BR"/>
        </w:rPr>
        <w:t>os,</w:t>
      </w:r>
      <w:r w:rsidR="0089298C" w:rsidRPr="002F50BD">
        <w:rPr>
          <w:rFonts w:ascii="Verdana" w:hAnsi="Verdana"/>
          <w:sz w:val="16"/>
          <w:lang w:val="pt-BR"/>
        </w:rPr>
        <w:t xml:space="preserve"> </w:t>
      </w:r>
      <w:r w:rsidR="00726D81" w:rsidRPr="002F50BD">
        <w:rPr>
          <w:rFonts w:ascii="Verdana" w:hAnsi="Verdana"/>
          <w:sz w:val="16"/>
          <w:lang w:val="pt-BR"/>
        </w:rPr>
        <w:t>a</w:t>
      </w:r>
      <w:r w:rsidR="0089298C" w:rsidRPr="002F50BD">
        <w:rPr>
          <w:rFonts w:ascii="Verdana" w:hAnsi="Verdana"/>
          <w:sz w:val="16"/>
          <w:lang w:val="pt-BR"/>
        </w:rPr>
        <w:t>os povo</w:t>
      </w:r>
      <w:r w:rsidR="004756C1" w:rsidRPr="002F50BD">
        <w:rPr>
          <w:rFonts w:ascii="Verdana" w:hAnsi="Verdana"/>
          <w:sz w:val="16"/>
          <w:lang w:val="pt-BR"/>
        </w:rPr>
        <w:t xml:space="preserve">s indígenas, conforme </w:t>
      </w:r>
      <w:r w:rsidR="0089298C" w:rsidRPr="002F50BD">
        <w:rPr>
          <w:rFonts w:ascii="Verdana" w:hAnsi="Verdana"/>
          <w:sz w:val="16"/>
          <w:lang w:val="pt-BR"/>
        </w:rPr>
        <w:t xml:space="preserve">estabelece </w:t>
      </w:r>
      <w:r w:rsidR="00726D81" w:rsidRPr="002F50BD">
        <w:rPr>
          <w:rFonts w:ascii="Verdana" w:hAnsi="Verdana"/>
          <w:sz w:val="16"/>
          <w:lang w:val="pt-BR"/>
        </w:rPr>
        <w:t>a Convenção</w:t>
      </w:r>
      <w:r w:rsidR="0089298C" w:rsidRPr="002F50BD">
        <w:rPr>
          <w:rFonts w:ascii="Verdana" w:hAnsi="Verdana"/>
          <w:sz w:val="16"/>
          <w:lang w:val="pt-BR"/>
        </w:rPr>
        <w:t xml:space="preserve"> </w:t>
      </w:r>
      <w:r w:rsidR="004756C1" w:rsidRPr="002F50BD">
        <w:rPr>
          <w:rFonts w:ascii="Verdana" w:hAnsi="Verdana"/>
          <w:sz w:val="16"/>
          <w:lang w:val="pt-BR"/>
        </w:rPr>
        <w:t>[</w:t>
      </w:r>
      <w:r w:rsidR="003B734C">
        <w:rPr>
          <w:rFonts w:ascii="Verdana" w:hAnsi="Verdana"/>
          <w:sz w:val="16"/>
          <w:lang w:val="pt-BR"/>
        </w:rPr>
        <w:t>nº</w:t>
      </w:r>
      <w:r w:rsidR="004756C1" w:rsidRPr="002F50BD">
        <w:rPr>
          <w:rFonts w:ascii="Verdana" w:hAnsi="Verdana"/>
          <w:sz w:val="16"/>
          <w:lang w:val="pt-BR"/>
        </w:rPr>
        <w:t xml:space="preserve">] </w:t>
      </w:r>
      <w:r w:rsidR="00063B47" w:rsidRPr="002F50BD">
        <w:rPr>
          <w:rFonts w:ascii="Verdana" w:hAnsi="Verdana"/>
          <w:sz w:val="16"/>
          <w:lang w:val="pt-BR"/>
        </w:rPr>
        <w:t>169</w:t>
      </w:r>
      <w:r w:rsidR="004756C1" w:rsidRPr="002F50BD">
        <w:rPr>
          <w:rFonts w:ascii="Verdana" w:hAnsi="Verdana"/>
          <w:sz w:val="16"/>
          <w:lang w:val="pt-BR"/>
        </w:rPr>
        <w:t xml:space="preserve"> [</w:t>
      </w:r>
      <w:r w:rsidR="0089298C" w:rsidRPr="002F50BD">
        <w:rPr>
          <w:rFonts w:ascii="Verdana" w:hAnsi="Verdana"/>
          <w:sz w:val="16"/>
          <w:lang w:val="pt-BR"/>
        </w:rPr>
        <w:t xml:space="preserve">da </w:t>
      </w:r>
      <w:r w:rsidR="004756C1" w:rsidRPr="002F50BD">
        <w:rPr>
          <w:rFonts w:ascii="Verdana" w:hAnsi="Verdana"/>
          <w:sz w:val="16"/>
          <w:lang w:val="pt-BR"/>
        </w:rPr>
        <w:t>OIT]</w:t>
      </w:r>
      <w:r w:rsidR="0089298C" w:rsidRPr="002F50BD">
        <w:rPr>
          <w:rFonts w:ascii="Verdana" w:hAnsi="Verdana"/>
          <w:sz w:val="16"/>
          <w:lang w:val="pt-BR"/>
        </w:rPr>
        <w:t>, e</w:t>
      </w:r>
      <w:r w:rsidRPr="002F50BD">
        <w:rPr>
          <w:rFonts w:ascii="Verdana" w:hAnsi="Verdana"/>
          <w:sz w:val="16"/>
          <w:lang w:val="pt-BR"/>
        </w:rPr>
        <w:t>,</w:t>
      </w:r>
      <w:r w:rsidR="0089298C" w:rsidRPr="002F50BD">
        <w:rPr>
          <w:rFonts w:ascii="Verdana" w:hAnsi="Verdana"/>
          <w:sz w:val="16"/>
          <w:lang w:val="pt-BR"/>
        </w:rPr>
        <w:t xml:space="preserve"> uma </w:t>
      </w:r>
      <w:r w:rsidR="004756C1" w:rsidRPr="002F50BD">
        <w:rPr>
          <w:rFonts w:ascii="Verdana" w:hAnsi="Verdana"/>
          <w:sz w:val="16"/>
          <w:lang w:val="pt-BR"/>
        </w:rPr>
        <w:t xml:space="preserve">vez </w:t>
      </w:r>
      <w:r w:rsidRPr="002F50BD">
        <w:rPr>
          <w:rFonts w:ascii="Verdana" w:hAnsi="Verdana"/>
          <w:sz w:val="16"/>
          <w:lang w:val="pt-BR"/>
        </w:rPr>
        <w:t xml:space="preserve">alcançado o consenso, </w:t>
      </w:r>
      <w:r w:rsidR="0089298C" w:rsidRPr="002F50BD">
        <w:rPr>
          <w:rFonts w:ascii="Verdana" w:hAnsi="Verdana"/>
          <w:sz w:val="16"/>
          <w:lang w:val="pt-BR"/>
        </w:rPr>
        <w:t>o projeto</w:t>
      </w:r>
      <w:r w:rsidR="004756C1" w:rsidRPr="002F50BD">
        <w:rPr>
          <w:rFonts w:ascii="Verdana" w:hAnsi="Verdana"/>
          <w:sz w:val="16"/>
          <w:lang w:val="pt-BR"/>
        </w:rPr>
        <w:t xml:space="preserve"> de </w:t>
      </w:r>
      <w:r w:rsidR="0089298C" w:rsidRPr="002F50BD">
        <w:rPr>
          <w:rFonts w:ascii="Verdana" w:hAnsi="Verdana"/>
          <w:sz w:val="16"/>
          <w:lang w:val="pt-BR"/>
        </w:rPr>
        <w:t xml:space="preserve">lei </w:t>
      </w:r>
      <w:r w:rsidR="004756C1" w:rsidRPr="002F50BD">
        <w:rPr>
          <w:rFonts w:ascii="Verdana" w:hAnsi="Verdana"/>
          <w:sz w:val="16"/>
          <w:lang w:val="pt-BR"/>
        </w:rPr>
        <w:t>se</w:t>
      </w:r>
      <w:r w:rsidR="00726D81" w:rsidRPr="002F50BD">
        <w:rPr>
          <w:rFonts w:ascii="Verdana" w:hAnsi="Verdana"/>
          <w:sz w:val="16"/>
          <w:lang w:val="pt-BR"/>
        </w:rPr>
        <w:t>rá tramitado per</w:t>
      </w:r>
      <w:r w:rsidR="004756C1" w:rsidRPr="002F50BD">
        <w:rPr>
          <w:rFonts w:ascii="Verdana" w:hAnsi="Verdana"/>
          <w:sz w:val="16"/>
          <w:lang w:val="pt-BR"/>
        </w:rPr>
        <w:t>ante</w:t>
      </w:r>
      <w:r w:rsidR="0089298C" w:rsidRPr="002F50BD">
        <w:rPr>
          <w:rFonts w:ascii="Verdana" w:hAnsi="Verdana"/>
          <w:sz w:val="16"/>
          <w:lang w:val="pt-BR"/>
        </w:rPr>
        <w:t xml:space="preserve"> o Congresso da </w:t>
      </w:r>
      <w:r w:rsidR="004756C1" w:rsidRPr="002F50BD">
        <w:rPr>
          <w:rFonts w:ascii="Verdana" w:hAnsi="Verdana"/>
          <w:sz w:val="16"/>
          <w:lang w:val="pt-BR"/>
        </w:rPr>
        <w:t>Na</w:t>
      </w:r>
      <w:r w:rsidR="0089298C" w:rsidRPr="002F50BD">
        <w:rPr>
          <w:rFonts w:ascii="Verdana" w:hAnsi="Verdana"/>
          <w:sz w:val="16"/>
          <w:lang w:val="pt-BR"/>
        </w:rPr>
        <w:t>ção</w:t>
      </w:r>
      <w:r w:rsidR="004756C1" w:rsidRPr="002F50BD">
        <w:rPr>
          <w:rFonts w:ascii="Verdana" w:hAnsi="Verdana"/>
          <w:sz w:val="16"/>
          <w:lang w:val="pt-BR"/>
        </w:rPr>
        <w:t xml:space="preserve"> […].</w:t>
      </w:r>
    </w:p>
    <w:p w:rsidR="00E50F4A" w:rsidRPr="002F50BD" w:rsidRDefault="00E50F4A" w:rsidP="00E50F4A">
      <w:pPr>
        <w:jc w:val="both"/>
        <w:rPr>
          <w:rFonts w:ascii="Verdana" w:hAnsi="Verdana"/>
          <w:sz w:val="20"/>
          <w:lang w:val="pt-BR"/>
        </w:rPr>
      </w:pPr>
    </w:p>
    <w:p w:rsidR="004756C1" w:rsidRPr="002F50BD" w:rsidRDefault="0089298C">
      <w:pPr>
        <w:numPr>
          <w:ilvl w:val="0"/>
          <w:numId w:val="33"/>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Corte considera que</w:t>
      </w:r>
      <w:r w:rsidRPr="002F50BD">
        <w:rPr>
          <w:rFonts w:ascii="Verdana" w:hAnsi="Verdana"/>
          <w:sz w:val="20"/>
          <w:lang w:val="pt-BR"/>
        </w:rPr>
        <w:t xml:space="preserve"> é necessári</w:t>
      </w:r>
      <w:r w:rsidR="004756C1" w:rsidRPr="002F50BD">
        <w:rPr>
          <w:rFonts w:ascii="Verdana" w:hAnsi="Verdana"/>
          <w:sz w:val="20"/>
          <w:lang w:val="pt-BR"/>
        </w:rPr>
        <w:t>o que</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garanta o</w:t>
      </w:r>
      <w:r w:rsidR="00385366" w:rsidRPr="002F50BD">
        <w:rPr>
          <w:rFonts w:ascii="Verdana" w:hAnsi="Verdana"/>
          <w:sz w:val="20"/>
          <w:lang w:val="pt-BR"/>
        </w:rPr>
        <w:t xml:space="preserve"> gozo </w:t>
      </w:r>
      <w:r w:rsidRPr="002F50BD">
        <w:rPr>
          <w:rFonts w:ascii="Verdana" w:hAnsi="Verdana"/>
          <w:sz w:val="20"/>
          <w:lang w:val="pt-BR"/>
        </w:rPr>
        <w:t>efetiv</w:t>
      </w:r>
      <w:r w:rsidR="004756C1" w:rsidRPr="002F50BD">
        <w:rPr>
          <w:rFonts w:ascii="Verdana" w:hAnsi="Verdana"/>
          <w:sz w:val="20"/>
          <w:lang w:val="pt-BR"/>
        </w:rPr>
        <w:t>o</w:t>
      </w:r>
      <w:r w:rsidRPr="002F50BD">
        <w:rPr>
          <w:rFonts w:ascii="Verdana" w:hAnsi="Verdana"/>
          <w:sz w:val="20"/>
          <w:lang w:val="pt-BR"/>
        </w:rPr>
        <w:t xml:space="preserve"> </w:t>
      </w:r>
      <w:r w:rsidR="00726D81" w:rsidRPr="002F50BD">
        <w:rPr>
          <w:rFonts w:ascii="Verdana" w:hAnsi="Verdana"/>
          <w:sz w:val="20"/>
          <w:lang w:val="pt-BR"/>
        </w:rPr>
        <w:t>d</w:t>
      </w:r>
      <w:r w:rsidRPr="002F50BD">
        <w:rPr>
          <w:rFonts w:ascii="Verdana" w:hAnsi="Verdana"/>
          <w:sz w:val="20"/>
          <w:lang w:val="pt-BR"/>
        </w:rPr>
        <w:t>os direito</w:t>
      </w:r>
      <w:r w:rsidR="004756C1" w:rsidRPr="002F50BD">
        <w:rPr>
          <w:rFonts w:ascii="Verdana" w:hAnsi="Verdana"/>
          <w:sz w:val="20"/>
          <w:lang w:val="pt-BR"/>
        </w:rPr>
        <w:t>s re</w:t>
      </w:r>
      <w:r w:rsidRPr="002F50BD">
        <w:rPr>
          <w:rFonts w:ascii="Verdana" w:hAnsi="Verdana"/>
          <w:sz w:val="20"/>
          <w:lang w:val="pt-BR"/>
        </w:rPr>
        <w:t>conhecido</w:t>
      </w:r>
      <w:r w:rsidR="004756C1" w:rsidRPr="002F50BD">
        <w:rPr>
          <w:rFonts w:ascii="Verdana" w:hAnsi="Verdana"/>
          <w:sz w:val="20"/>
          <w:lang w:val="pt-BR"/>
        </w:rPr>
        <w:t>s</w:t>
      </w:r>
      <w:r w:rsidRPr="002F50BD">
        <w:rPr>
          <w:rFonts w:ascii="Verdana" w:hAnsi="Verdana"/>
          <w:sz w:val="20"/>
          <w:lang w:val="pt-BR"/>
        </w:rPr>
        <w:t xml:space="preserve"> em </w:t>
      </w:r>
      <w:r w:rsidR="004756C1" w:rsidRPr="002F50BD">
        <w:rPr>
          <w:rFonts w:ascii="Verdana" w:hAnsi="Verdana"/>
          <w:sz w:val="20"/>
          <w:lang w:val="pt-BR"/>
        </w:rPr>
        <w:t>su</w:t>
      </w:r>
      <w:r w:rsidR="00726D81" w:rsidRPr="002F50BD">
        <w:rPr>
          <w:rFonts w:ascii="Verdana" w:hAnsi="Verdana"/>
          <w:sz w:val="20"/>
          <w:lang w:val="pt-BR"/>
        </w:rPr>
        <w:t>a</w:t>
      </w:r>
      <w:r w:rsidR="004756C1" w:rsidRPr="002F50BD">
        <w:rPr>
          <w:rFonts w:ascii="Verdana" w:hAnsi="Verdana"/>
          <w:sz w:val="20"/>
          <w:lang w:val="pt-BR"/>
        </w:rPr>
        <w:t xml:space="preserve"> </w:t>
      </w:r>
      <w:r w:rsidRPr="002F50BD">
        <w:rPr>
          <w:rFonts w:ascii="Verdana" w:hAnsi="Verdana"/>
          <w:sz w:val="20"/>
          <w:lang w:val="pt-BR"/>
        </w:rPr>
        <w:t>Constituição</w:t>
      </w:r>
      <w:r w:rsidR="004756C1" w:rsidRPr="002F50BD">
        <w:rPr>
          <w:rFonts w:ascii="Verdana" w:hAnsi="Verdana"/>
          <w:sz w:val="20"/>
          <w:lang w:val="pt-BR"/>
        </w:rPr>
        <w:t xml:space="preserve"> Política</w:t>
      </w:r>
      <w:r w:rsidRPr="002F50BD">
        <w:rPr>
          <w:rFonts w:ascii="Verdana" w:hAnsi="Verdana"/>
          <w:sz w:val="20"/>
          <w:lang w:val="pt-BR"/>
        </w:rPr>
        <w:t xml:space="preserve"> e em </w:t>
      </w:r>
      <w:r w:rsidR="004076AD" w:rsidRPr="002F50BD">
        <w:rPr>
          <w:rFonts w:ascii="Verdana" w:hAnsi="Verdana"/>
          <w:sz w:val="20"/>
          <w:lang w:val="pt-BR"/>
        </w:rPr>
        <w:t>sua legislação</w:t>
      </w:r>
      <w:r w:rsidR="004756C1" w:rsidRPr="002F50BD">
        <w:rPr>
          <w:rFonts w:ascii="Verdana" w:hAnsi="Verdana"/>
          <w:sz w:val="20"/>
          <w:lang w:val="pt-BR"/>
        </w:rPr>
        <w:t xml:space="preserve">, </w:t>
      </w:r>
      <w:r w:rsidRPr="002F50BD">
        <w:rPr>
          <w:rFonts w:ascii="Verdana" w:hAnsi="Verdana"/>
          <w:sz w:val="20"/>
          <w:lang w:val="pt-BR"/>
        </w:rPr>
        <w:t xml:space="preserve">de acordo com 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00CD7100" w:rsidRPr="002F50BD">
        <w:rPr>
          <w:rFonts w:ascii="Verdana" w:hAnsi="Verdana"/>
          <w:sz w:val="20"/>
          <w:lang w:val="pt-BR"/>
        </w:rPr>
        <w:t>. Em</w:t>
      </w:r>
      <w:r w:rsidRPr="002F50BD">
        <w:rPr>
          <w:rFonts w:ascii="Verdana" w:hAnsi="Verdana"/>
          <w:sz w:val="20"/>
          <w:lang w:val="pt-BR"/>
        </w:rPr>
        <w:t xml:space="preserve"> consequência</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em um prazo</w:t>
      </w:r>
      <w:r w:rsidR="004756C1" w:rsidRPr="002F50BD">
        <w:rPr>
          <w:rFonts w:ascii="Verdana" w:hAnsi="Verdana"/>
          <w:sz w:val="20"/>
          <w:lang w:val="pt-BR"/>
        </w:rPr>
        <w:t xml:space="preserve"> </w:t>
      </w:r>
      <w:r w:rsidR="00AB454A" w:rsidRPr="002F50BD">
        <w:rPr>
          <w:rFonts w:ascii="Verdana" w:hAnsi="Verdana"/>
          <w:sz w:val="20"/>
          <w:lang w:val="pt-BR"/>
        </w:rPr>
        <w:t>razoável,</w:t>
      </w:r>
      <w:r w:rsidR="004756C1" w:rsidRPr="002F50BD">
        <w:rPr>
          <w:rFonts w:ascii="Verdana" w:hAnsi="Verdana"/>
          <w:sz w:val="20"/>
          <w:lang w:val="pt-BR"/>
        </w:rPr>
        <w:t xml:space="preserve"> </w:t>
      </w:r>
      <w:r w:rsidRPr="002F50BD">
        <w:rPr>
          <w:rFonts w:ascii="Verdana" w:hAnsi="Verdana"/>
          <w:sz w:val="20"/>
          <w:lang w:val="pt-BR"/>
        </w:rPr>
        <w:lastRenderedPageBreak/>
        <w:t>dever</w:t>
      </w:r>
      <w:r w:rsidR="004756C1" w:rsidRPr="002F50BD">
        <w:rPr>
          <w:rFonts w:ascii="Verdana" w:hAnsi="Verdana"/>
          <w:sz w:val="20"/>
          <w:lang w:val="pt-BR"/>
        </w:rPr>
        <w:t xml:space="preserve">á </w:t>
      </w:r>
      <w:r w:rsidRPr="002F50BD">
        <w:rPr>
          <w:rFonts w:ascii="Verdana" w:hAnsi="Verdana"/>
          <w:sz w:val="20"/>
          <w:lang w:val="pt-BR"/>
        </w:rPr>
        <w:t>adot</w:t>
      </w:r>
      <w:r w:rsidR="004756C1" w:rsidRPr="002F50BD">
        <w:rPr>
          <w:rFonts w:ascii="Verdana" w:hAnsi="Verdana"/>
          <w:sz w:val="20"/>
          <w:lang w:val="pt-BR"/>
        </w:rPr>
        <w:t>ar</w:t>
      </w:r>
      <w:r w:rsidRPr="002F50BD">
        <w:rPr>
          <w:rFonts w:ascii="Verdana" w:hAnsi="Verdana"/>
          <w:sz w:val="20"/>
          <w:lang w:val="pt-BR"/>
        </w:rPr>
        <w:t xml:space="preserve"> em seu direito</w:t>
      </w:r>
      <w:r w:rsidR="004756C1" w:rsidRPr="002F50BD">
        <w:rPr>
          <w:rFonts w:ascii="Verdana" w:hAnsi="Verdana"/>
          <w:sz w:val="20"/>
          <w:lang w:val="pt-BR"/>
        </w:rPr>
        <w:t xml:space="preserve"> interno, </w:t>
      </w:r>
      <w:r w:rsidRPr="002F50BD">
        <w:rPr>
          <w:rFonts w:ascii="Verdana" w:hAnsi="Verdana"/>
          <w:sz w:val="20"/>
          <w:lang w:val="pt-BR"/>
        </w:rPr>
        <w:t>segundo o disposto no artigo</w:t>
      </w:r>
      <w:r w:rsidR="004756C1" w:rsidRPr="002F50BD">
        <w:rPr>
          <w:rFonts w:ascii="Verdana" w:hAnsi="Verdana"/>
          <w:sz w:val="20"/>
          <w:lang w:val="pt-BR"/>
        </w:rPr>
        <w:t xml:space="preserve"> </w:t>
      </w:r>
      <w:r w:rsidR="00063B47" w:rsidRPr="002F50BD">
        <w:rPr>
          <w:rFonts w:ascii="Verdana" w:hAnsi="Verdana"/>
          <w:sz w:val="20"/>
          <w:lang w:val="pt-BR"/>
        </w:rPr>
        <w:t>2</w:t>
      </w:r>
      <w:r w:rsidRPr="002F50BD">
        <w:rPr>
          <w:rFonts w:ascii="Verdana" w:hAnsi="Verdana"/>
          <w:sz w:val="20"/>
          <w:lang w:val="pt-BR"/>
        </w:rPr>
        <w:t xml:space="preserve">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r w:rsidRPr="002F50BD">
        <w:rPr>
          <w:rFonts w:ascii="Verdana" w:hAnsi="Verdana"/>
          <w:sz w:val="20"/>
          <w:lang w:val="pt-BR"/>
        </w:rPr>
        <w:t xml:space="preserve"> as </w:t>
      </w:r>
      <w:r w:rsidR="004756C1" w:rsidRPr="002F50BD">
        <w:rPr>
          <w:rFonts w:ascii="Verdana" w:hAnsi="Verdana"/>
          <w:sz w:val="20"/>
          <w:lang w:val="pt-BR"/>
        </w:rPr>
        <w:t>medidas legislativas, administrativas</w:t>
      </w:r>
      <w:r w:rsidRPr="002F50BD">
        <w:rPr>
          <w:rFonts w:ascii="Verdana" w:hAnsi="Verdana"/>
          <w:sz w:val="20"/>
          <w:lang w:val="pt-BR"/>
        </w:rPr>
        <w:t xml:space="preserve"> e </w:t>
      </w:r>
      <w:r w:rsidR="004756C1" w:rsidRPr="002F50BD">
        <w:rPr>
          <w:rFonts w:ascii="Verdana" w:hAnsi="Verdana"/>
          <w:sz w:val="20"/>
          <w:lang w:val="pt-BR"/>
        </w:rPr>
        <w:t xml:space="preserve">de </w:t>
      </w:r>
      <w:r w:rsidRPr="002F50BD">
        <w:rPr>
          <w:rFonts w:ascii="Verdana" w:hAnsi="Verdana"/>
          <w:sz w:val="20"/>
          <w:lang w:val="pt-BR"/>
        </w:rPr>
        <w:t>qualquer outro caráter</w:t>
      </w:r>
      <w:r w:rsidR="004756C1" w:rsidRPr="002F50BD">
        <w:rPr>
          <w:rFonts w:ascii="Verdana" w:hAnsi="Verdana"/>
          <w:sz w:val="20"/>
          <w:lang w:val="pt-BR"/>
        </w:rPr>
        <w:t xml:space="preserve"> que</w:t>
      </w:r>
      <w:r w:rsidRPr="002F50BD">
        <w:rPr>
          <w:rFonts w:ascii="Verdana" w:hAnsi="Verdana"/>
          <w:sz w:val="20"/>
          <w:lang w:val="pt-BR"/>
        </w:rPr>
        <w:t xml:space="preserve"> sejam necessári</w:t>
      </w:r>
      <w:r w:rsidR="004756C1" w:rsidRPr="002F50BD">
        <w:rPr>
          <w:rFonts w:ascii="Verdana" w:hAnsi="Verdana"/>
          <w:sz w:val="20"/>
          <w:lang w:val="pt-BR"/>
        </w:rPr>
        <w:t xml:space="preserve">as para </w:t>
      </w:r>
      <w:r w:rsidRPr="002F50BD">
        <w:rPr>
          <w:rFonts w:ascii="Verdana" w:hAnsi="Verdana"/>
          <w:sz w:val="20"/>
          <w:lang w:val="pt-BR"/>
        </w:rPr>
        <w:t xml:space="preserve">criar um </w:t>
      </w:r>
      <w:r w:rsidR="004756C1" w:rsidRPr="002F50BD">
        <w:rPr>
          <w:rFonts w:ascii="Verdana" w:hAnsi="Verdana"/>
          <w:sz w:val="20"/>
          <w:lang w:val="pt-BR"/>
        </w:rPr>
        <w:t>mecanismo eficaz de reclama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 xml:space="preserve">s </w:t>
      </w:r>
      <w:r w:rsidR="00AB454A" w:rsidRPr="002F50BD">
        <w:rPr>
          <w:rFonts w:ascii="Verdana" w:hAnsi="Verdana"/>
          <w:sz w:val="20"/>
          <w:lang w:val="pt-BR"/>
        </w:rPr>
        <w:t>ancestrais</w:t>
      </w:r>
      <w:r w:rsidRPr="002F50BD">
        <w:rPr>
          <w:rFonts w:ascii="Verdana" w:hAnsi="Verdana"/>
          <w:sz w:val="20"/>
          <w:lang w:val="pt-BR"/>
        </w:rPr>
        <w:t xml:space="preserve"> dos povo</w:t>
      </w:r>
      <w:r w:rsidR="004756C1" w:rsidRPr="002F50BD">
        <w:rPr>
          <w:rFonts w:ascii="Verdana" w:hAnsi="Verdana"/>
          <w:sz w:val="20"/>
          <w:lang w:val="pt-BR"/>
        </w:rPr>
        <w:t xml:space="preserve">s indígenas que </w:t>
      </w:r>
      <w:r w:rsidR="003B734C">
        <w:rPr>
          <w:rFonts w:ascii="Verdana" w:hAnsi="Verdana"/>
          <w:sz w:val="20"/>
          <w:lang w:val="pt-BR"/>
        </w:rPr>
        <w:t xml:space="preserve">torne definitivo </w:t>
      </w:r>
      <w:r w:rsidRPr="002F50BD">
        <w:rPr>
          <w:rFonts w:ascii="Verdana" w:hAnsi="Verdana"/>
          <w:sz w:val="20"/>
          <w:lang w:val="pt-BR"/>
        </w:rPr>
        <w:t>seu direito</w:t>
      </w:r>
      <w:r w:rsidR="004756C1" w:rsidRPr="002F50BD">
        <w:rPr>
          <w:rFonts w:ascii="Verdana" w:hAnsi="Verdana"/>
          <w:sz w:val="20"/>
          <w:lang w:val="pt-BR"/>
        </w:rPr>
        <w:t xml:space="preserve"> de </w:t>
      </w:r>
      <w:r w:rsidRPr="002F50BD">
        <w:rPr>
          <w:rFonts w:ascii="Verdana" w:hAnsi="Verdana"/>
          <w:sz w:val="20"/>
          <w:lang w:val="pt-BR"/>
        </w:rPr>
        <w:t xml:space="preserve">propriedade e </w:t>
      </w:r>
      <w:r w:rsidR="004756C1" w:rsidRPr="002F50BD">
        <w:rPr>
          <w:rFonts w:ascii="Verdana" w:hAnsi="Verdana"/>
          <w:sz w:val="20"/>
          <w:lang w:val="pt-BR"/>
        </w:rPr>
        <w:t xml:space="preserve">que </w:t>
      </w:r>
      <w:r w:rsidRPr="002F50BD">
        <w:rPr>
          <w:rFonts w:ascii="Verdana" w:hAnsi="Verdana"/>
          <w:sz w:val="20"/>
          <w:lang w:val="pt-BR"/>
        </w:rPr>
        <w:t>tenha em conta seu direito</w:t>
      </w:r>
      <w:r w:rsidR="004756C1" w:rsidRPr="002F50BD">
        <w:rPr>
          <w:rFonts w:ascii="Verdana" w:hAnsi="Verdana"/>
          <w:sz w:val="20"/>
          <w:lang w:val="pt-BR"/>
        </w:rPr>
        <w:t xml:space="preserve"> </w:t>
      </w:r>
      <w:r w:rsidRPr="002F50BD">
        <w:rPr>
          <w:rFonts w:ascii="Verdana" w:hAnsi="Verdana"/>
          <w:sz w:val="20"/>
          <w:lang w:val="pt-BR"/>
        </w:rPr>
        <w:t>consuetudinário</w:t>
      </w:r>
      <w:r w:rsidR="004756C1" w:rsidRPr="002F50BD">
        <w:rPr>
          <w:rFonts w:ascii="Verdana" w:hAnsi="Verdana"/>
          <w:sz w:val="20"/>
          <w:lang w:val="pt-BR"/>
        </w:rPr>
        <w:t>, valores, usos</w:t>
      </w:r>
      <w:r w:rsidRPr="002F50BD">
        <w:rPr>
          <w:rFonts w:ascii="Verdana" w:hAnsi="Verdana"/>
          <w:sz w:val="20"/>
          <w:lang w:val="pt-BR"/>
        </w:rPr>
        <w:t xml:space="preserve"> e costume</w:t>
      </w:r>
      <w:r w:rsidR="004756C1" w:rsidRPr="002F50BD">
        <w:rPr>
          <w:rFonts w:ascii="Verdana" w:hAnsi="Verdana"/>
          <w:sz w:val="20"/>
          <w:lang w:val="pt-BR"/>
        </w:rPr>
        <w:t>s.</w:t>
      </w:r>
    </w:p>
    <w:p w:rsidR="004756C1" w:rsidRPr="002F50BD" w:rsidRDefault="004756C1">
      <w:pPr>
        <w:jc w:val="both"/>
        <w:rPr>
          <w:rFonts w:ascii="Verdana" w:hAnsi="Verdana"/>
          <w:i/>
          <w:sz w:val="20"/>
          <w:lang w:val="pt-BR"/>
        </w:rPr>
      </w:pPr>
    </w:p>
    <w:p w:rsidR="004756C1" w:rsidRPr="002F50BD" w:rsidRDefault="004756C1">
      <w:pPr>
        <w:jc w:val="both"/>
        <w:rPr>
          <w:rFonts w:ascii="Verdana" w:hAnsi="Verdana"/>
          <w:i/>
          <w:smallCaps/>
          <w:sz w:val="20"/>
          <w:lang w:val="pt-BR"/>
        </w:rPr>
      </w:pPr>
      <w:r w:rsidRPr="002F50BD">
        <w:rPr>
          <w:rFonts w:ascii="Verdana" w:hAnsi="Verdana"/>
          <w:i/>
          <w:sz w:val="20"/>
          <w:lang w:val="pt-BR"/>
        </w:rPr>
        <w:t>d</w:t>
      </w:r>
      <w:r w:rsidR="00CF451D" w:rsidRPr="00CF451D">
        <w:rPr>
          <w:rFonts w:ascii="Verdana" w:hAnsi="Verdana"/>
          <w:sz w:val="20"/>
          <w:lang w:val="pt-BR"/>
        </w:rPr>
        <w:t>)</w:t>
      </w:r>
      <w:r w:rsidRPr="002F50BD">
        <w:rPr>
          <w:rFonts w:ascii="Verdana" w:hAnsi="Verdana"/>
          <w:i/>
          <w:sz w:val="20"/>
          <w:lang w:val="pt-BR"/>
        </w:rPr>
        <w:t xml:space="preserve"> </w:t>
      </w:r>
      <w:r w:rsidRPr="002F50BD">
        <w:rPr>
          <w:rFonts w:ascii="Verdana" w:hAnsi="Verdana"/>
          <w:i/>
          <w:sz w:val="20"/>
          <w:lang w:val="pt-BR"/>
        </w:rPr>
        <w:tab/>
        <w:t>Ato público de re</w:t>
      </w:r>
      <w:r w:rsidR="0089298C" w:rsidRPr="002F50BD">
        <w:rPr>
          <w:rFonts w:ascii="Verdana" w:hAnsi="Verdana"/>
          <w:i/>
          <w:sz w:val="20"/>
          <w:lang w:val="pt-BR"/>
        </w:rPr>
        <w:t>conhecimento</w:t>
      </w:r>
      <w:r w:rsidRPr="002F50BD">
        <w:rPr>
          <w:rFonts w:ascii="Verdana" w:hAnsi="Verdana"/>
          <w:i/>
          <w:sz w:val="20"/>
          <w:lang w:val="pt-BR"/>
        </w:rPr>
        <w:t xml:space="preserve"> de </w:t>
      </w:r>
      <w:r w:rsidR="0089298C" w:rsidRPr="002F50BD">
        <w:rPr>
          <w:rFonts w:ascii="Verdana" w:hAnsi="Verdana"/>
          <w:i/>
          <w:sz w:val="20"/>
          <w:lang w:val="pt-BR"/>
        </w:rPr>
        <w:t xml:space="preserve">responsabilidade </w:t>
      </w:r>
      <w:r w:rsidRPr="002F50BD">
        <w:rPr>
          <w:rFonts w:ascii="Verdana" w:hAnsi="Verdana"/>
          <w:i/>
          <w:sz w:val="20"/>
          <w:lang w:val="pt-BR"/>
        </w:rPr>
        <w:t>internacional</w:t>
      </w:r>
    </w:p>
    <w:p w:rsidR="004756C1" w:rsidRPr="002F50BD" w:rsidRDefault="004756C1">
      <w:pPr>
        <w:jc w:val="both"/>
        <w:rPr>
          <w:rFonts w:ascii="Verdana" w:hAnsi="Verdana"/>
          <w:sz w:val="20"/>
          <w:lang w:val="pt-BR"/>
        </w:rPr>
      </w:pPr>
    </w:p>
    <w:p w:rsidR="004756C1" w:rsidRPr="002F50BD" w:rsidRDefault="004756C1">
      <w:pPr>
        <w:numPr>
          <w:ilvl w:val="0"/>
          <w:numId w:val="33"/>
        </w:numPr>
        <w:jc w:val="both"/>
        <w:rPr>
          <w:rFonts w:ascii="Verdana" w:hAnsi="Verdana"/>
          <w:b/>
          <w:smallCaps/>
          <w:sz w:val="20"/>
          <w:lang w:val="pt-BR"/>
        </w:rPr>
      </w:pPr>
      <w:r w:rsidRPr="002F50BD">
        <w:rPr>
          <w:rFonts w:ascii="Verdana" w:hAnsi="Verdana"/>
          <w:sz w:val="20"/>
          <w:lang w:val="pt-BR"/>
        </w:rPr>
        <w:t xml:space="preserve">Como </w:t>
      </w:r>
      <w:r w:rsidR="00726D81" w:rsidRPr="002F50BD">
        <w:rPr>
          <w:rFonts w:ascii="Verdana" w:hAnsi="Verdana"/>
          <w:sz w:val="20"/>
          <w:lang w:val="pt-BR"/>
        </w:rPr>
        <w:t xml:space="preserve">ordenou </w:t>
      </w:r>
      <w:r w:rsidR="0089298C" w:rsidRPr="002F50BD">
        <w:rPr>
          <w:rFonts w:ascii="Verdana" w:hAnsi="Verdana"/>
          <w:sz w:val="20"/>
          <w:lang w:val="pt-BR"/>
        </w:rPr>
        <w:t>em outros</w:t>
      </w:r>
      <w:r w:rsidRPr="002F50BD">
        <w:rPr>
          <w:rFonts w:ascii="Verdana" w:hAnsi="Verdana"/>
          <w:sz w:val="20"/>
          <w:lang w:val="pt-BR"/>
        </w:rPr>
        <w:t xml:space="preserve"> casos</w:t>
      </w:r>
      <w:r w:rsidR="00726D81" w:rsidRPr="002F50BD">
        <w:rPr>
          <w:rFonts w:ascii="Verdana" w:hAnsi="Verdana"/>
          <w:sz w:val="20"/>
          <w:lang w:val="pt-BR"/>
        </w:rPr>
        <w:t>,</w:t>
      </w:r>
      <w:r w:rsidRPr="002F50BD">
        <w:rPr>
          <w:rStyle w:val="FootnoteReference"/>
          <w:rFonts w:ascii="Verdana" w:hAnsi="Verdana"/>
        </w:rPr>
        <w:footnoteReference w:id="220"/>
      </w:r>
      <w:r w:rsidR="0089298C" w:rsidRPr="002F50BD">
        <w:rPr>
          <w:rFonts w:ascii="Verdana" w:hAnsi="Verdana"/>
          <w:sz w:val="20"/>
          <w:lang w:val="pt-BR"/>
        </w:rPr>
        <w:t xml:space="preserve"> a </w:t>
      </w:r>
      <w:r w:rsidRPr="002F50BD">
        <w:rPr>
          <w:rFonts w:ascii="Verdana" w:hAnsi="Verdana"/>
          <w:sz w:val="20"/>
          <w:lang w:val="pt-BR"/>
        </w:rPr>
        <w:t xml:space="preserve">Corte considera </w:t>
      </w:r>
      <w:r w:rsidR="0089298C" w:rsidRPr="002F50BD">
        <w:rPr>
          <w:rFonts w:ascii="Verdana" w:hAnsi="Verdana"/>
          <w:sz w:val="20"/>
          <w:lang w:val="pt-BR"/>
        </w:rPr>
        <w:t>necessári</w:t>
      </w:r>
      <w:r w:rsidRPr="002F50BD">
        <w:rPr>
          <w:rFonts w:ascii="Verdana" w:hAnsi="Verdana"/>
          <w:sz w:val="20"/>
          <w:lang w:val="pt-BR"/>
        </w:rPr>
        <w:t>o,</w:t>
      </w:r>
      <w:r w:rsidR="0089298C" w:rsidRPr="002F50BD">
        <w:rPr>
          <w:rFonts w:ascii="Verdana" w:hAnsi="Verdana"/>
          <w:sz w:val="20"/>
          <w:lang w:val="pt-BR"/>
        </w:rPr>
        <w:t xml:space="preserve"> com o fim </w:t>
      </w:r>
      <w:r w:rsidRPr="002F50BD">
        <w:rPr>
          <w:rFonts w:ascii="Verdana" w:hAnsi="Verdana"/>
          <w:sz w:val="20"/>
          <w:lang w:val="pt-BR"/>
        </w:rPr>
        <w:t>de reparar</w:t>
      </w:r>
      <w:r w:rsidR="0089298C" w:rsidRPr="002F50BD">
        <w:rPr>
          <w:rFonts w:ascii="Verdana" w:hAnsi="Verdana"/>
          <w:sz w:val="20"/>
          <w:lang w:val="pt-BR"/>
        </w:rPr>
        <w:t xml:space="preserve"> o dano</w:t>
      </w:r>
      <w:r w:rsidRPr="002F50BD">
        <w:rPr>
          <w:rFonts w:ascii="Verdana" w:hAnsi="Verdana"/>
          <w:sz w:val="20"/>
          <w:lang w:val="pt-BR"/>
        </w:rPr>
        <w:t xml:space="preserve"> causado</w:t>
      </w:r>
      <w:r w:rsidR="0089298C" w:rsidRPr="002F50BD">
        <w:rPr>
          <w:rFonts w:ascii="Verdana" w:hAnsi="Verdana"/>
          <w:sz w:val="20"/>
          <w:lang w:val="pt-BR"/>
        </w:rPr>
        <w:t xml:space="preserve"> às vítima</w:t>
      </w:r>
      <w:r w:rsidRPr="002F50BD">
        <w:rPr>
          <w:rFonts w:ascii="Verdana" w:hAnsi="Verdana"/>
          <w:sz w:val="20"/>
          <w:lang w:val="pt-BR"/>
        </w:rPr>
        <w:t>s, que</w:t>
      </w:r>
      <w:r w:rsidR="0089298C" w:rsidRPr="002F50BD">
        <w:rPr>
          <w:rFonts w:ascii="Verdana" w:hAnsi="Verdana"/>
          <w:sz w:val="20"/>
          <w:lang w:val="pt-BR"/>
        </w:rPr>
        <w:t xml:space="preserve"> o </w:t>
      </w:r>
      <w:r w:rsidRPr="002F50BD">
        <w:rPr>
          <w:rFonts w:ascii="Verdana" w:hAnsi="Verdana"/>
          <w:sz w:val="20"/>
          <w:lang w:val="pt-BR"/>
        </w:rPr>
        <w:t xml:space="preserve">Estado </w:t>
      </w:r>
      <w:r w:rsidR="0089298C" w:rsidRPr="002F50BD">
        <w:rPr>
          <w:rFonts w:ascii="Verdana" w:hAnsi="Verdana"/>
          <w:sz w:val="20"/>
          <w:lang w:val="pt-BR"/>
        </w:rPr>
        <w:t xml:space="preserve">realize um ato </w:t>
      </w:r>
      <w:r w:rsidRPr="002F50BD">
        <w:rPr>
          <w:rFonts w:ascii="Verdana" w:hAnsi="Verdana"/>
          <w:sz w:val="20"/>
          <w:lang w:val="pt-BR"/>
        </w:rPr>
        <w:t>público de re</w:t>
      </w:r>
      <w:r w:rsidR="0089298C" w:rsidRPr="002F50BD">
        <w:rPr>
          <w:rFonts w:ascii="Verdana" w:hAnsi="Verdana"/>
          <w:sz w:val="20"/>
          <w:lang w:val="pt-BR"/>
        </w:rPr>
        <w:t>conhecimento</w:t>
      </w:r>
      <w:r w:rsidRPr="002F50BD">
        <w:rPr>
          <w:rFonts w:ascii="Verdana" w:hAnsi="Verdana"/>
          <w:sz w:val="20"/>
          <w:lang w:val="pt-BR"/>
        </w:rPr>
        <w:t xml:space="preserve"> de </w:t>
      </w:r>
      <w:r w:rsidR="0089298C" w:rsidRPr="002F50BD">
        <w:rPr>
          <w:rFonts w:ascii="Verdana" w:hAnsi="Verdana"/>
          <w:sz w:val="20"/>
          <w:lang w:val="pt-BR"/>
        </w:rPr>
        <w:t>sua responsabilidade</w:t>
      </w:r>
      <w:r w:rsidRPr="002F50BD">
        <w:rPr>
          <w:rFonts w:ascii="Verdana" w:hAnsi="Verdana"/>
          <w:sz w:val="20"/>
          <w:lang w:val="pt-BR"/>
        </w:rPr>
        <w:t>, acordado previamente</w:t>
      </w:r>
      <w:r w:rsidR="0089298C" w:rsidRPr="002F50BD">
        <w:rPr>
          <w:rFonts w:ascii="Verdana" w:hAnsi="Verdana"/>
          <w:sz w:val="20"/>
          <w:lang w:val="pt-BR"/>
        </w:rPr>
        <w:t xml:space="preserve"> com as vítima</w:t>
      </w:r>
      <w:r w:rsidRPr="002F50BD">
        <w:rPr>
          <w:rFonts w:ascii="Verdana" w:hAnsi="Verdana"/>
          <w:sz w:val="20"/>
          <w:lang w:val="pt-BR"/>
        </w:rPr>
        <w:t>s</w:t>
      </w:r>
      <w:r w:rsidR="0089298C" w:rsidRPr="002F50BD">
        <w:rPr>
          <w:rFonts w:ascii="Verdana" w:hAnsi="Verdana"/>
          <w:sz w:val="20"/>
          <w:lang w:val="pt-BR"/>
        </w:rPr>
        <w:t xml:space="preserve"> e seus </w:t>
      </w:r>
      <w:r w:rsidR="008C29C9" w:rsidRPr="002F50BD">
        <w:rPr>
          <w:rFonts w:ascii="Verdana" w:hAnsi="Verdana"/>
          <w:sz w:val="20"/>
          <w:lang w:val="pt-BR"/>
        </w:rPr>
        <w:t>representante</w:t>
      </w:r>
      <w:r w:rsidR="0089298C" w:rsidRPr="002F50BD">
        <w:rPr>
          <w:rFonts w:ascii="Verdana" w:hAnsi="Verdana"/>
          <w:sz w:val="20"/>
          <w:lang w:val="pt-BR"/>
        </w:rPr>
        <w:t>s</w:t>
      </w:r>
      <w:r w:rsidRPr="002F50BD">
        <w:rPr>
          <w:rFonts w:ascii="Verdana" w:hAnsi="Verdana"/>
          <w:sz w:val="20"/>
          <w:lang w:val="pt-BR"/>
        </w:rPr>
        <w:t>,</w:t>
      </w:r>
      <w:r w:rsidR="0089298C" w:rsidRPr="002F50BD">
        <w:rPr>
          <w:rFonts w:ascii="Verdana" w:hAnsi="Verdana"/>
          <w:sz w:val="20"/>
          <w:lang w:val="pt-BR"/>
        </w:rPr>
        <w:t xml:space="preserve"> em </w:t>
      </w:r>
      <w:r w:rsidRPr="002F50BD">
        <w:rPr>
          <w:rFonts w:ascii="Verdana" w:hAnsi="Verdana"/>
          <w:sz w:val="20"/>
          <w:lang w:val="pt-BR"/>
        </w:rPr>
        <w:t>rela</w:t>
      </w:r>
      <w:r w:rsidR="0089298C" w:rsidRPr="002F50BD">
        <w:rPr>
          <w:rFonts w:ascii="Verdana" w:hAnsi="Verdana"/>
          <w:sz w:val="20"/>
          <w:lang w:val="pt-BR"/>
        </w:rPr>
        <w:t xml:space="preserve">ção </w:t>
      </w:r>
      <w:r w:rsidR="00726D81" w:rsidRPr="002F50BD">
        <w:rPr>
          <w:rFonts w:ascii="Verdana" w:hAnsi="Verdana"/>
          <w:sz w:val="20"/>
          <w:lang w:val="pt-BR"/>
        </w:rPr>
        <w:t>à</w:t>
      </w:r>
      <w:r w:rsidR="0089298C" w:rsidRPr="002F50BD">
        <w:rPr>
          <w:rFonts w:ascii="Verdana" w:hAnsi="Verdana"/>
          <w:sz w:val="20"/>
          <w:lang w:val="pt-BR"/>
        </w:rPr>
        <w:t xml:space="preserve">s </w:t>
      </w:r>
      <w:r w:rsidRPr="002F50BD">
        <w:rPr>
          <w:rFonts w:ascii="Verdana" w:hAnsi="Verdana"/>
          <w:sz w:val="20"/>
          <w:lang w:val="pt-BR"/>
        </w:rPr>
        <w:t>viola</w:t>
      </w:r>
      <w:r w:rsidR="0089298C" w:rsidRPr="002F50BD">
        <w:rPr>
          <w:rFonts w:ascii="Verdana" w:hAnsi="Verdana"/>
          <w:sz w:val="20"/>
          <w:lang w:val="pt-BR"/>
        </w:rPr>
        <w:t>ções</w:t>
      </w:r>
      <w:r w:rsidRPr="002F50BD">
        <w:rPr>
          <w:rFonts w:ascii="Verdana" w:hAnsi="Verdana"/>
          <w:sz w:val="20"/>
          <w:lang w:val="pt-BR"/>
        </w:rPr>
        <w:t xml:space="preserve"> declaradas</w:t>
      </w:r>
      <w:r w:rsidR="0089298C" w:rsidRPr="002F50BD">
        <w:rPr>
          <w:rFonts w:ascii="Verdana" w:hAnsi="Verdana"/>
          <w:sz w:val="20"/>
          <w:lang w:val="pt-BR"/>
        </w:rPr>
        <w:t xml:space="preserve"> nesta Sentença</w:t>
      </w:r>
      <w:r w:rsidR="001A0CDE" w:rsidRPr="002F50BD">
        <w:rPr>
          <w:rFonts w:ascii="Verdana" w:hAnsi="Verdana"/>
          <w:sz w:val="20"/>
          <w:lang w:val="pt-BR"/>
        </w:rPr>
        <w:t>. Est</w:t>
      </w:r>
      <w:r w:rsidRPr="002F50BD">
        <w:rPr>
          <w:rFonts w:ascii="Verdana" w:hAnsi="Verdana"/>
          <w:sz w:val="20"/>
          <w:lang w:val="pt-BR"/>
        </w:rPr>
        <w:t>e</w:t>
      </w:r>
      <w:r w:rsidR="0089298C" w:rsidRPr="002F50BD">
        <w:rPr>
          <w:rFonts w:ascii="Verdana" w:hAnsi="Verdana"/>
          <w:sz w:val="20"/>
          <w:lang w:val="pt-BR"/>
        </w:rPr>
        <w:t xml:space="preserve"> ato dever</w:t>
      </w:r>
      <w:r w:rsidRPr="002F50BD">
        <w:rPr>
          <w:rFonts w:ascii="Verdana" w:hAnsi="Verdana"/>
          <w:sz w:val="20"/>
          <w:lang w:val="pt-BR"/>
        </w:rPr>
        <w:t>á realizar</w:t>
      </w:r>
      <w:r w:rsidR="00726D81" w:rsidRPr="002F50BD">
        <w:rPr>
          <w:rFonts w:ascii="Verdana" w:hAnsi="Verdana"/>
          <w:sz w:val="20"/>
          <w:lang w:val="pt-BR"/>
        </w:rPr>
        <w:t>-</w:t>
      </w:r>
      <w:r w:rsidRPr="002F50BD">
        <w:rPr>
          <w:rFonts w:ascii="Verdana" w:hAnsi="Verdana"/>
          <w:sz w:val="20"/>
          <w:lang w:val="pt-BR"/>
        </w:rPr>
        <w:t>se</w:t>
      </w:r>
      <w:r w:rsidR="0089298C" w:rsidRPr="002F50BD">
        <w:rPr>
          <w:rFonts w:ascii="Verdana" w:hAnsi="Verdana"/>
          <w:sz w:val="20"/>
          <w:lang w:val="pt-BR"/>
        </w:rPr>
        <w:t xml:space="preserve"> no </w:t>
      </w:r>
      <w:r w:rsidR="005A6BC7" w:rsidRPr="002F50BD">
        <w:rPr>
          <w:rFonts w:ascii="Verdana" w:hAnsi="Verdana"/>
          <w:sz w:val="20"/>
          <w:lang w:val="pt-BR"/>
        </w:rPr>
        <w:t>assent</w:t>
      </w:r>
      <w:r w:rsidR="00726D81" w:rsidRPr="002F50BD">
        <w:rPr>
          <w:rFonts w:ascii="Verdana" w:hAnsi="Verdana"/>
          <w:sz w:val="20"/>
          <w:lang w:val="pt-BR"/>
        </w:rPr>
        <w:t>ament</w:t>
      </w:r>
      <w:r w:rsidR="005A6BC7" w:rsidRPr="002F50BD">
        <w:rPr>
          <w:rFonts w:ascii="Verdana" w:hAnsi="Verdana"/>
          <w:sz w:val="20"/>
          <w:lang w:val="pt-BR"/>
        </w:rPr>
        <w:t>o</w:t>
      </w:r>
      <w:r w:rsidRPr="002F50BD">
        <w:rPr>
          <w:rFonts w:ascii="Verdana" w:hAnsi="Verdana"/>
          <w:sz w:val="20"/>
          <w:lang w:val="pt-BR"/>
        </w:rPr>
        <w:t xml:space="preserve"> </w:t>
      </w:r>
      <w:r w:rsidR="0089298C" w:rsidRPr="002F50BD">
        <w:rPr>
          <w:rFonts w:ascii="Verdana" w:hAnsi="Verdana"/>
          <w:sz w:val="20"/>
          <w:lang w:val="pt-BR"/>
        </w:rPr>
        <w:t xml:space="preserve">atual da Comunidade </w:t>
      </w:r>
      <w:r w:rsidRPr="002F50BD">
        <w:rPr>
          <w:rFonts w:ascii="Verdana" w:hAnsi="Verdana"/>
          <w:sz w:val="20"/>
          <w:lang w:val="pt-BR"/>
        </w:rPr>
        <w:t>Yakye Axa,</w:t>
      </w:r>
      <w:r w:rsidR="0089298C" w:rsidRPr="002F50BD">
        <w:rPr>
          <w:rFonts w:ascii="Verdana" w:hAnsi="Verdana"/>
          <w:sz w:val="20"/>
          <w:lang w:val="pt-BR"/>
        </w:rPr>
        <w:t xml:space="preserve"> em uma </w:t>
      </w:r>
      <w:r w:rsidR="004076AD" w:rsidRPr="002F50BD">
        <w:rPr>
          <w:rFonts w:ascii="Verdana" w:hAnsi="Verdana"/>
          <w:sz w:val="20"/>
          <w:lang w:val="pt-BR"/>
        </w:rPr>
        <w:t xml:space="preserve">cerimônia </w:t>
      </w:r>
      <w:r w:rsidRPr="002F50BD">
        <w:rPr>
          <w:rFonts w:ascii="Verdana" w:hAnsi="Verdana"/>
          <w:sz w:val="20"/>
          <w:lang w:val="pt-BR"/>
        </w:rPr>
        <w:t>pública,</w:t>
      </w:r>
      <w:r w:rsidR="0089298C" w:rsidRPr="002F50BD">
        <w:rPr>
          <w:rFonts w:ascii="Verdana" w:hAnsi="Verdana"/>
          <w:sz w:val="20"/>
          <w:lang w:val="pt-BR"/>
        </w:rPr>
        <w:t xml:space="preserve"> com a presença</w:t>
      </w:r>
      <w:r w:rsidR="00726D81" w:rsidRPr="002F50BD">
        <w:rPr>
          <w:rFonts w:ascii="Verdana" w:hAnsi="Verdana"/>
          <w:sz w:val="20"/>
          <w:lang w:val="pt-BR"/>
        </w:rPr>
        <w:t xml:space="preserve"> </w:t>
      </w:r>
      <w:r w:rsidRPr="002F50BD">
        <w:rPr>
          <w:rFonts w:ascii="Verdana" w:hAnsi="Verdana"/>
          <w:sz w:val="20"/>
          <w:lang w:val="pt-BR"/>
        </w:rPr>
        <w:t xml:space="preserve">de altas autoridades </w:t>
      </w:r>
      <w:r w:rsidR="0089298C" w:rsidRPr="002F50BD">
        <w:rPr>
          <w:rFonts w:ascii="Verdana" w:hAnsi="Verdana"/>
          <w:sz w:val="20"/>
          <w:lang w:val="pt-BR"/>
        </w:rPr>
        <w:t xml:space="preserve">do </w:t>
      </w:r>
      <w:r w:rsidRPr="002F50BD">
        <w:rPr>
          <w:rFonts w:ascii="Verdana" w:hAnsi="Verdana"/>
          <w:sz w:val="20"/>
          <w:lang w:val="pt-BR"/>
        </w:rPr>
        <w:t>Estado</w:t>
      </w:r>
      <w:r w:rsidR="0089298C" w:rsidRPr="002F50BD">
        <w:rPr>
          <w:rFonts w:ascii="Verdana" w:hAnsi="Verdana"/>
          <w:sz w:val="20"/>
          <w:lang w:val="pt-BR"/>
        </w:rPr>
        <w:t xml:space="preserve"> e dos membro</w:t>
      </w:r>
      <w:r w:rsidRPr="002F50BD">
        <w:rPr>
          <w:rFonts w:ascii="Verdana" w:hAnsi="Verdana"/>
          <w:sz w:val="20"/>
          <w:lang w:val="pt-BR"/>
        </w:rPr>
        <w:t>s</w:t>
      </w:r>
      <w:r w:rsidR="0089298C" w:rsidRPr="002F50BD">
        <w:rPr>
          <w:rFonts w:ascii="Verdana" w:hAnsi="Verdana"/>
          <w:sz w:val="20"/>
          <w:lang w:val="pt-BR"/>
        </w:rPr>
        <w:t xml:space="preserve"> da Comunidade </w:t>
      </w:r>
      <w:r w:rsidRPr="002F50BD">
        <w:rPr>
          <w:rFonts w:ascii="Verdana" w:hAnsi="Verdana"/>
          <w:sz w:val="20"/>
          <w:lang w:val="pt-BR"/>
        </w:rPr>
        <w:t>que reside</w:t>
      </w:r>
      <w:r w:rsidR="00726D81" w:rsidRPr="002F50BD">
        <w:rPr>
          <w:rFonts w:ascii="Verdana" w:hAnsi="Verdana"/>
          <w:sz w:val="20"/>
          <w:lang w:val="pt-BR"/>
        </w:rPr>
        <w:t>m</w:t>
      </w:r>
      <w:r w:rsidR="0089298C" w:rsidRPr="002F50BD">
        <w:rPr>
          <w:rFonts w:ascii="Verdana" w:hAnsi="Verdana"/>
          <w:sz w:val="20"/>
          <w:lang w:val="pt-BR"/>
        </w:rPr>
        <w:t xml:space="preserve"> em outra</w:t>
      </w:r>
      <w:r w:rsidRPr="002F50BD">
        <w:rPr>
          <w:rFonts w:ascii="Verdana" w:hAnsi="Verdana"/>
          <w:sz w:val="20"/>
          <w:lang w:val="pt-BR"/>
        </w:rPr>
        <w:t>s zonas,</w:t>
      </w:r>
      <w:r w:rsidR="0089298C" w:rsidRPr="002F50BD">
        <w:rPr>
          <w:rFonts w:ascii="Verdana" w:hAnsi="Verdana"/>
          <w:sz w:val="20"/>
          <w:lang w:val="pt-BR"/>
        </w:rPr>
        <w:t xml:space="preserve"> ato no qual </w:t>
      </w:r>
      <w:r w:rsidRPr="002F50BD">
        <w:rPr>
          <w:rFonts w:ascii="Verdana" w:hAnsi="Verdana"/>
          <w:sz w:val="20"/>
          <w:lang w:val="pt-BR"/>
        </w:rPr>
        <w:t>se</w:t>
      </w:r>
      <w:r w:rsidR="0089298C" w:rsidRPr="002F50BD">
        <w:rPr>
          <w:rFonts w:ascii="Verdana" w:hAnsi="Verdana"/>
          <w:sz w:val="20"/>
          <w:lang w:val="pt-BR"/>
        </w:rPr>
        <w:t xml:space="preserve"> deve </w:t>
      </w:r>
      <w:r w:rsidRPr="002F50BD">
        <w:rPr>
          <w:rFonts w:ascii="Verdana" w:hAnsi="Verdana"/>
          <w:sz w:val="20"/>
          <w:lang w:val="pt-BR"/>
        </w:rPr>
        <w:t>dar participa</w:t>
      </w:r>
      <w:r w:rsidR="0089298C" w:rsidRPr="002F50BD">
        <w:rPr>
          <w:rFonts w:ascii="Verdana" w:hAnsi="Verdana"/>
          <w:sz w:val="20"/>
          <w:lang w:val="pt-BR"/>
        </w:rPr>
        <w:t xml:space="preserve">ção aos </w:t>
      </w:r>
      <w:r w:rsidRPr="002F50BD">
        <w:rPr>
          <w:rFonts w:ascii="Verdana" w:hAnsi="Verdana"/>
          <w:sz w:val="20"/>
          <w:lang w:val="pt-BR"/>
        </w:rPr>
        <w:t>líderes</w:t>
      </w:r>
      <w:r w:rsidR="0089298C" w:rsidRPr="002F50BD">
        <w:rPr>
          <w:rFonts w:ascii="Verdana" w:hAnsi="Verdana"/>
          <w:sz w:val="20"/>
          <w:lang w:val="pt-BR"/>
        </w:rPr>
        <w:t xml:space="preserve"> da </w:t>
      </w:r>
      <w:r w:rsidRPr="002F50BD">
        <w:rPr>
          <w:rFonts w:ascii="Verdana" w:hAnsi="Verdana"/>
          <w:sz w:val="20"/>
          <w:lang w:val="pt-BR"/>
        </w:rPr>
        <w:t>Comunidad</w:t>
      </w:r>
      <w:r w:rsidR="00726D81" w:rsidRPr="002F50BD">
        <w:rPr>
          <w:rFonts w:ascii="Verdana" w:hAnsi="Verdana"/>
          <w:sz w:val="20"/>
          <w:lang w:val="pt-BR"/>
        </w:rPr>
        <w:t>e.</w:t>
      </w:r>
      <w:r w:rsidRPr="002F50BD">
        <w:rPr>
          <w:rStyle w:val="FootnoteReference"/>
          <w:rFonts w:ascii="Verdana" w:hAnsi="Verdana"/>
        </w:rPr>
        <w:footnoteReference w:id="221"/>
      </w:r>
      <w:r w:rsidR="00D95E71"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deve </w:t>
      </w:r>
      <w:r w:rsidR="004076AD" w:rsidRPr="002F50BD">
        <w:rPr>
          <w:rFonts w:ascii="Verdana" w:hAnsi="Verdana"/>
          <w:sz w:val="20"/>
          <w:lang w:val="pt-BR"/>
        </w:rPr>
        <w:t>dispor</w:t>
      </w:r>
      <w:r w:rsidR="0089298C" w:rsidRPr="002F50BD">
        <w:rPr>
          <w:rFonts w:ascii="Verdana" w:hAnsi="Verdana"/>
          <w:sz w:val="20"/>
          <w:lang w:val="pt-BR"/>
        </w:rPr>
        <w:t xml:space="preserve"> </w:t>
      </w:r>
      <w:r w:rsidR="00726D81" w:rsidRPr="002F50BD">
        <w:rPr>
          <w:rFonts w:ascii="Verdana" w:hAnsi="Verdana"/>
          <w:sz w:val="20"/>
          <w:lang w:val="pt-BR"/>
        </w:rPr>
        <w:t>d</w:t>
      </w:r>
      <w:r w:rsidR="0089298C" w:rsidRPr="002F50BD">
        <w:rPr>
          <w:rFonts w:ascii="Verdana" w:hAnsi="Verdana"/>
          <w:sz w:val="20"/>
          <w:lang w:val="pt-BR"/>
        </w:rPr>
        <w:t xml:space="preserve">os </w:t>
      </w:r>
      <w:r w:rsidRPr="002F50BD">
        <w:rPr>
          <w:rFonts w:ascii="Verdana" w:hAnsi="Verdana"/>
          <w:sz w:val="20"/>
          <w:lang w:val="pt-BR"/>
        </w:rPr>
        <w:t xml:space="preserve">meios </w:t>
      </w:r>
      <w:r w:rsidR="0089298C" w:rsidRPr="002F50BD">
        <w:rPr>
          <w:rFonts w:ascii="Verdana" w:hAnsi="Verdana"/>
          <w:sz w:val="20"/>
          <w:lang w:val="pt-BR"/>
        </w:rPr>
        <w:t>necessári</w:t>
      </w:r>
      <w:r w:rsidRPr="002F50BD">
        <w:rPr>
          <w:rFonts w:ascii="Verdana" w:hAnsi="Verdana"/>
          <w:sz w:val="20"/>
          <w:lang w:val="pt-BR"/>
        </w:rPr>
        <w:t>os para facilitar</w:t>
      </w:r>
      <w:r w:rsidR="0089298C" w:rsidRPr="002F50BD">
        <w:rPr>
          <w:rFonts w:ascii="Verdana" w:hAnsi="Verdana"/>
          <w:sz w:val="20"/>
          <w:lang w:val="pt-BR"/>
        </w:rPr>
        <w:t xml:space="preserve"> a presença</w:t>
      </w:r>
      <w:r w:rsidR="00726D81" w:rsidRPr="002F50BD">
        <w:rPr>
          <w:rFonts w:ascii="Verdana" w:hAnsi="Verdana"/>
          <w:sz w:val="20"/>
          <w:lang w:val="pt-BR"/>
        </w:rPr>
        <w:t xml:space="preserve"> </w:t>
      </w:r>
      <w:r w:rsidR="0089298C" w:rsidRPr="002F50BD">
        <w:rPr>
          <w:rFonts w:ascii="Verdana" w:hAnsi="Verdana"/>
          <w:sz w:val="20"/>
          <w:lang w:val="pt-BR"/>
        </w:rPr>
        <w:t>desta</w:t>
      </w:r>
      <w:r w:rsidRPr="002F50BD">
        <w:rPr>
          <w:rFonts w:ascii="Verdana" w:hAnsi="Verdana"/>
          <w:sz w:val="20"/>
          <w:lang w:val="pt-BR"/>
        </w:rPr>
        <w:t xml:space="preserve">s </w:t>
      </w:r>
      <w:r w:rsidR="0089298C" w:rsidRPr="002F50BD">
        <w:rPr>
          <w:rFonts w:ascii="Verdana" w:hAnsi="Verdana"/>
          <w:sz w:val="20"/>
          <w:lang w:val="pt-BR"/>
        </w:rPr>
        <w:t>pessoa</w:t>
      </w:r>
      <w:r w:rsidRPr="002F50BD">
        <w:rPr>
          <w:rFonts w:ascii="Verdana" w:hAnsi="Verdana"/>
          <w:sz w:val="20"/>
          <w:lang w:val="pt-BR"/>
        </w:rPr>
        <w:t>s</w:t>
      </w:r>
      <w:r w:rsidR="0089298C" w:rsidRPr="002F50BD">
        <w:rPr>
          <w:rFonts w:ascii="Verdana" w:hAnsi="Verdana"/>
          <w:sz w:val="20"/>
          <w:lang w:val="pt-BR"/>
        </w:rPr>
        <w:t xml:space="preserve"> no ato </w:t>
      </w:r>
      <w:r w:rsidRPr="002F50BD">
        <w:rPr>
          <w:rFonts w:ascii="Verdana" w:hAnsi="Verdana"/>
          <w:sz w:val="20"/>
          <w:lang w:val="pt-BR"/>
        </w:rPr>
        <w:t>mencionado</w:t>
      </w:r>
      <w:r w:rsidR="00726D81" w:rsidRPr="002F50BD">
        <w:rPr>
          <w:rFonts w:ascii="Verdana" w:hAnsi="Verdana"/>
          <w:sz w:val="20"/>
          <w:lang w:val="pt-BR"/>
        </w:rPr>
        <w:t>.</w:t>
      </w:r>
      <w:r w:rsidRPr="002F50BD">
        <w:rPr>
          <w:rStyle w:val="FootnoteReference"/>
          <w:rFonts w:ascii="Verdana" w:hAnsi="Verdana"/>
        </w:rPr>
        <w:footnoteReference w:id="222"/>
      </w:r>
      <w:r w:rsidRPr="002F50BD">
        <w:rPr>
          <w:rFonts w:ascii="Verdana" w:hAnsi="Verdana"/>
          <w:sz w:val="20"/>
          <w:lang w:val="pt-BR"/>
        </w:rPr>
        <w:t xml:space="preserve"> </w:t>
      </w:r>
      <w:r w:rsidR="0089298C" w:rsidRPr="002F50BD">
        <w:rPr>
          <w:rFonts w:ascii="Verdana" w:hAnsi="Verdana"/>
          <w:sz w:val="20"/>
          <w:lang w:val="pt-BR"/>
        </w:rPr>
        <w:t>Ademais</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deve </w:t>
      </w:r>
      <w:r w:rsidRPr="002F50BD">
        <w:rPr>
          <w:rFonts w:ascii="Verdana" w:hAnsi="Verdana"/>
          <w:sz w:val="20"/>
          <w:lang w:val="pt-BR"/>
        </w:rPr>
        <w:t xml:space="preserve">realizar </w:t>
      </w:r>
      <w:r w:rsidR="0089298C" w:rsidRPr="002F50BD">
        <w:rPr>
          <w:rFonts w:ascii="Verdana" w:hAnsi="Verdana"/>
          <w:sz w:val="20"/>
          <w:lang w:val="pt-BR"/>
        </w:rPr>
        <w:t xml:space="preserve">este ato </w:t>
      </w:r>
      <w:r w:rsidRPr="002F50BD">
        <w:rPr>
          <w:rFonts w:ascii="Verdana" w:hAnsi="Verdana"/>
          <w:sz w:val="20"/>
          <w:lang w:val="pt-BR"/>
        </w:rPr>
        <w:t>tanto</w:t>
      </w:r>
      <w:r w:rsidR="0089298C" w:rsidRPr="002F50BD">
        <w:rPr>
          <w:rFonts w:ascii="Verdana" w:hAnsi="Verdana"/>
          <w:sz w:val="20"/>
          <w:lang w:val="pt-BR"/>
        </w:rPr>
        <w:t xml:space="preserve"> no </w:t>
      </w:r>
      <w:r w:rsidRPr="002F50BD">
        <w:rPr>
          <w:rFonts w:ascii="Verdana" w:hAnsi="Verdana"/>
          <w:sz w:val="20"/>
          <w:lang w:val="pt-BR"/>
        </w:rPr>
        <w:t>idioma enxet como</w:t>
      </w:r>
      <w:r w:rsidR="0089298C" w:rsidRPr="002F50BD">
        <w:rPr>
          <w:rFonts w:ascii="Verdana" w:hAnsi="Verdana"/>
          <w:sz w:val="20"/>
          <w:lang w:val="pt-BR"/>
        </w:rPr>
        <w:t xml:space="preserve"> no </w:t>
      </w:r>
      <w:r w:rsidRPr="002F50BD">
        <w:rPr>
          <w:rFonts w:ascii="Verdana" w:hAnsi="Verdana"/>
          <w:sz w:val="20"/>
          <w:lang w:val="pt-BR"/>
        </w:rPr>
        <w:t xml:space="preserve">idioma </w:t>
      </w:r>
      <w:r w:rsidR="0089298C" w:rsidRPr="002F50BD">
        <w:rPr>
          <w:rFonts w:ascii="Verdana" w:hAnsi="Verdana"/>
          <w:sz w:val="20"/>
          <w:lang w:val="pt-BR"/>
        </w:rPr>
        <w:t xml:space="preserve">espanhol </w:t>
      </w:r>
      <w:r w:rsidRPr="002F50BD">
        <w:rPr>
          <w:rFonts w:ascii="Verdana" w:hAnsi="Verdana"/>
          <w:sz w:val="20"/>
          <w:lang w:val="pt-BR"/>
        </w:rPr>
        <w:t>o</w:t>
      </w:r>
      <w:r w:rsidR="00726D81" w:rsidRPr="002F50BD">
        <w:rPr>
          <w:rFonts w:ascii="Verdana" w:hAnsi="Verdana"/>
          <w:sz w:val="20"/>
          <w:lang w:val="pt-BR"/>
        </w:rPr>
        <w:t>u</w:t>
      </w:r>
      <w:r w:rsidRPr="002F50BD">
        <w:rPr>
          <w:rFonts w:ascii="Verdana" w:hAnsi="Verdana"/>
          <w:sz w:val="20"/>
          <w:lang w:val="pt-BR"/>
        </w:rPr>
        <w:t xml:space="preserve"> </w:t>
      </w:r>
      <w:r w:rsidR="005A6BC7" w:rsidRPr="002F50BD">
        <w:rPr>
          <w:rFonts w:ascii="Verdana" w:hAnsi="Verdana"/>
          <w:sz w:val="20"/>
          <w:lang w:val="pt-BR"/>
        </w:rPr>
        <w:t>guarani</w:t>
      </w:r>
      <w:r w:rsidR="0089298C" w:rsidRPr="002F50BD">
        <w:rPr>
          <w:rFonts w:ascii="Verdana" w:hAnsi="Verdana"/>
          <w:sz w:val="20"/>
          <w:lang w:val="pt-BR"/>
        </w:rPr>
        <w:t xml:space="preserve"> e </w:t>
      </w:r>
      <w:r w:rsidR="00726D81" w:rsidRPr="002F50BD">
        <w:rPr>
          <w:rFonts w:ascii="Verdana" w:hAnsi="Verdana"/>
          <w:sz w:val="20"/>
          <w:lang w:val="pt-BR"/>
        </w:rPr>
        <w:t>difundi-</w:t>
      </w:r>
      <w:r w:rsidRPr="002F50BD">
        <w:rPr>
          <w:rFonts w:ascii="Verdana" w:hAnsi="Verdana"/>
          <w:sz w:val="20"/>
          <w:lang w:val="pt-BR"/>
        </w:rPr>
        <w:t>lo</w:t>
      </w:r>
      <w:r w:rsidR="0089298C" w:rsidRPr="002F50BD">
        <w:rPr>
          <w:rFonts w:ascii="Verdana" w:hAnsi="Verdana"/>
          <w:sz w:val="20"/>
          <w:lang w:val="pt-BR"/>
        </w:rPr>
        <w:t xml:space="preserve"> através dos </w:t>
      </w:r>
      <w:r w:rsidRPr="002F50BD">
        <w:rPr>
          <w:rFonts w:ascii="Verdana" w:hAnsi="Verdana"/>
          <w:sz w:val="20"/>
          <w:lang w:val="pt-BR"/>
        </w:rPr>
        <w:t>meios de comunica</w:t>
      </w:r>
      <w:r w:rsidR="0089298C" w:rsidRPr="002F50BD">
        <w:rPr>
          <w:rFonts w:ascii="Verdana" w:hAnsi="Verdana"/>
          <w:sz w:val="20"/>
          <w:lang w:val="pt-BR"/>
        </w:rPr>
        <w:t>ção</w:t>
      </w:r>
      <w:r w:rsidR="00726D81" w:rsidRPr="002F50BD">
        <w:rPr>
          <w:rFonts w:ascii="Verdana" w:hAnsi="Verdana"/>
          <w:sz w:val="20"/>
          <w:lang w:val="pt-BR"/>
        </w:rPr>
        <w:t>.</w:t>
      </w:r>
      <w:r w:rsidRPr="002F50BD">
        <w:rPr>
          <w:rStyle w:val="FootnoteReference"/>
          <w:rFonts w:ascii="Verdana" w:hAnsi="Verdana"/>
        </w:rPr>
        <w:footnoteReference w:id="223"/>
      </w:r>
      <w:r w:rsidR="0089298C" w:rsidRPr="002F50BD">
        <w:rPr>
          <w:rFonts w:ascii="Verdana" w:hAnsi="Verdana"/>
          <w:sz w:val="20"/>
          <w:lang w:val="pt-BR"/>
        </w:rPr>
        <w:t xml:space="preserve"> </w:t>
      </w:r>
      <w:r w:rsidR="00726D81" w:rsidRPr="002F50BD">
        <w:rPr>
          <w:rFonts w:ascii="Verdana" w:hAnsi="Verdana"/>
          <w:sz w:val="20"/>
          <w:lang w:val="pt-BR"/>
        </w:rPr>
        <w:t>N</w:t>
      </w:r>
      <w:r w:rsidR="00FB33DD" w:rsidRPr="002F50BD">
        <w:rPr>
          <w:rFonts w:ascii="Verdana" w:hAnsi="Verdana"/>
          <w:sz w:val="20"/>
          <w:lang w:val="pt-BR"/>
        </w:rPr>
        <w:t>esse</w:t>
      </w:r>
      <w:r w:rsidR="0089298C" w:rsidRPr="002F50BD">
        <w:rPr>
          <w:rFonts w:ascii="Verdana" w:hAnsi="Verdana"/>
          <w:sz w:val="20"/>
          <w:lang w:val="pt-BR"/>
        </w:rPr>
        <w:t xml:space="preserve"> ato</w:t>
      </w:r>
      <w:r w:rsidR="00DF5F1A"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deve </w:t>
      </w:r>
      <w:r w:rsidR="00754117" w:rsidRPr="002F50BD">
        <w:rPr>
          <w:rFonts w:ascii="Verdana" w:hAnsi="Verdana"/>
          <w:sz w:val="20"/>
          <w:lang w:val="pt-BR"/>
        </w:rPr>
        <w:t>levar</w:t>
      </w:r>
      <w:r w:rsidR="0089298C" w:rsidRPr="002F50BD">
        <w:rPr>
          <w:rFonts w:ascii="Verdana" w:hAnsi="Verdana"/>
          <w:sz w:val="20"/>
          <w:lang w:val="pt-BR"/>
        </w:rPr>
        <w:t xml:space="preserve"> em conta as </w:t>
      </w:r>
      <w:r w:rsidRPr="002F50BD">
        <w:rPr>
          <w:rFonts w:ascii="Verdana" w:hAnsi="Verdana"/>
          <w:sz w:val="20"/>
          <w:lang w:val="pt-BR"/>
        </w:rPr>
        <w:t>tradi</w:t>
      </w:r>
      <w:r w:rsidR="0089298C" w:rsidRPr="002F50BD">
        <w:rPr>
          <w:rFonts w:ascii="Verdana" w:hAnsi="Verdana"/>
          <w:sz w:val="20"/>
          <w:lang w:val="pt-BR"/>
        </w:rPr>
        <w:t>ções e costume</w:t>
      </w:r>
      <w:r w:rsidRPr="002F50BD">
        <w:rPr>
          <w:rFonts w:ascii="Verdana" w:hAnsi="Verdana"/>
          <w:sz w:val="20"/>
          <w:lang w:val="pt-BR"/>
        </w:rPr>
        <w:t>s</w:t>
      </w:r>
      <w:r w:rsidR="0089298C" w:rsidRPr="002F50BD">
        <w:rPr>
          <w:rFonts w:ascii="Verdana" w:hAnsi="Verdana"/>
          <w:sz w:val="20"/>
          <w:lang w:val="pt-BR"/>
        </w:rPr>
        <w:t xml:space="preserve"> dos membro</w:t>
      </w:r>
      <w:r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Pr="002F50BD">
        <w:rPr>
          <w:rFonts w:ascii="Verdana" w:hAnsi="Verdana"/>
          <w:sz w:val="20"/>
          <w:lang w:val="pt-BR"/>
        </w:rPr>
        <w:t xml:space="preserve"> Para</w:t>
      </w:r>
      <w:r w:rsidR="0089298C" w:rsidRPr="002F50BD">
        <w:rPr>
          <w:rFonts w:ascii="Verdana" w:hAnsi="Verdana"/>
          <w:sz w:val="20"/>
          <w:lang w:val="pt-BR"/>
        </w:rPr>
        <w:t xml:space="preserve"> </w:t>
      </w:r>
      <w:r w:rsidR="00726D81" w:rsidRPr="002F50BD">
        <w:rPr>
          <w:rFonts w:ascii="Verdana" w:hAnsi="Verdana"/>
          <w:sz w:val="20"/>
          <w:lang w:val="pt-BR"/>
        </w:rPr>
        <w:t>tanto</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conta com um prazo</w:t>
      </w:r>
      <w:r w:rsidRPr="002F50BD">
        <w:rPr>
          <w:rFonts w:ascii="Verdana" w:hAnsi="Verdana"/>
          <w:sz w:val="20"/>
          <w:lang w:val="pt-BR"/>
        </w:rPr>
        <w:t xml:space="preserve"> de</w:t>
      </w:r>
      <w:r w:rsidR="0089298C" w:rsidRPr="002F50BD">
        <w:rPr>
          <w:rFonts w:ascii="Verdana" w:hAnsi="Verdana"/>
          <w:sz w:val="20"/>
          <w:lang w:val="pt-BR"/>
        </w:rPr>
        <w:t xml:space="preserve"> um ano,</w:t>
      </w:r>
      <w:r w:rsidRPr="002F50BD">
        <w:rPr>
          <w:rFonts w:ascii="Verdana" w:hAnsi="Verdana"/>
          <w:sz w:val="20"/>
          <w:lang w:val="pt-BR"/>
        </w:rPr>
        <w:t xml:space="preserve"> contado a partir</w:t>
      </w:r>
      <w:r w:rsidR="0089298C" w:rsidRPr="002F50BD">
        <w:rPr>
          <w:rFonts w:ascii="Verdana" w:hAnsi="Verdana"/>
          <w:sz w:val="20"/>
          <w:lang w:val="pt-BR"/>
        </w:rPr>
        <w:t xml:space="preserve"> da </w:t>
      </w:r>
      <w:r w:rsidRPr="002F50BD">
        <w:rPr>
          <w:rFonts w:ascii="Verdana" w:hAnsi="Verdana"/>
          <w:sz w:val="20"/>
          <w:lang w:val="pt-BR"/>
        </w:rPr>
        <w:t>notifica</w:t>
      </w:r>
      <w:r w:rsidR="0089298C" w:rsidRPr="002F50BD">
        <w:rPr>
          <w:rFonts w:ascii="Verdana" w:hAnsi="Verdana"/>
          <w:sz w:val="20"/>
          <w:lang w:val="pt-BR"/>
        </w:rPr>
        <w:t xml:space="preserve">ção da </w:t>
      </w:r>
      <w:r w:rsidRPr="002F50BD">
        <w:rPr>
          <w:rFonts w:ascii="Verdana" w:hAnsi="Verdana"/>
          <w:sz w:val="20"/>
          <w:lang w:val="pt-BR"/>
        </w:rPr>
        <w:t xml:space="preserve">presente </w:t>
      </w:r>
      <w:r w:rsidR="0089298C" w:rsidRPr="002F50BD">
        <w:rPr>
          <w:rFonts w:ascii="Verdana" w:hAnsi="Verdana"/>
          <w:sz w:val="20"/>
          <w:lang w:val="pt-BR"/>
        </w:rPr>
        <w:t>Sentença</w:t>
      </w:r>
      <w:r w:rsidRPr="002F50BD">
        <w:rPr>
          <w:rFonts w:ascii="Verdana" w:hAnsi="Verdana"/>
          <w:sz w:val="20"/>
          <w:lang w:val="pt-BR"/>
        </w:rPr>
        <w:t>.</w:t>
      </w:r>
    </w:p>
    <w:p w:rsidR="004756C1" w:rsidRPr="002F50BD" w:rsidRDefault="004756C1">
      <w:pPr>
        <w:pStyle w:val="BodyTextIndent"/>
        <w:rPr>
          <w:rFonts w:ascii="Verdana" w:hAnsi="Verdana"/>
          <w:lang w:val="pt-BR"/>
        </w:rPr>
      </w:pPr>
    </w:p>
    <w:p w:rsidR="004756C1" w:rsidRPr="002F50BD" w:rsidRDefault="004756C1">
      <w:pPr>
        <w:jc w:val="both"/>
        <w:rPr>
          <w:rFonts w:ascii="Verdana" w:hAnsi="Verdana"/>
          <w:smallCaps/>
          <w:sz w:val="20"/>
          <w:lang w:val="pt-BR"/>
        </w:rPr>
      </w:pPr>
      <w:r w:rsidRPr="002F50BD">
        <w:rPr>
          <w:rFonts w:ascii="Verdana" w:hAnsi="Verdana"/>
          <w:i/>
          <w:sz w:val="20"/>
          <w:lang w:val="pt-BR"/>
        </w:rPr>
        <w:t>e</w:t>
      </w:r>
      <w:r w:rsidR="00CF451D" w:rsidRPr="00CF451D">
        <w:rPr>
          <w:rFonts w:ascii="Verdana" w:hAnsi="Verdana"/>
          <w:sz w:val="20"/>
          <w:lang w:val="pt-BR"/>
        </w:rPr>
        <w:t>)</w:t>
      </w:r>
      <w:r w:rsidRPr="002F50BD">
        <w:rPr>
          <w:rFonts w:ascii="Verdana" w:hAnsi="Verdana"/>
          <w:i/>
          <w:sz w:val="20"/>
          <w:lang w:val="pt-BR"/>
        </w:rPr>
        <w:tab/>
        <w:t>Publica</w:t>
      </w:r>
      <w:r w:rsidR="0089298C" w:rsidRPr="002F50BD">
        <w:rPr>
          <w:rFonts w:ascii="Verdana" w:hAnsi="Verdana"/>
          <w:i/>
          <w:sz w:val="20"/>
          <w:lang w:val="pt-BR"/>
        </w:rPr>
        <w:t xml:space="preserve">ção e difusão das </w:t>
      </w:r>
      <w:r w:rsidRPr="002F50BD">
        <w:rPr>
          <w:rFonts w:ascii="Verdana" w:hAnsi="Verdana"/>
          <w:i/>
          <w:sz w:val="20"/>
          <w:lang w:val="pt-BR"/>
        </w:rPr>
        <w:t>partes pertinentes</w:t>
      </w:r>
      <w:r w:rsidR="0089298C" w:rsidRPr="002F50BD">
        <w:rPr>
          <w:rFonts w:ascii="Verdana" w:hAnsi="Verdana"/>
          <w:i/>
          <w:sz w:val="20"/>
          <w:lang w:val="pt-BR"/>
        </w:rPr>
        <w:t xml:space="preserve"> da Sentença da </w:t>
      </w:r>
      <w:r w:rsidRPr="002F50BD">
        <w:rPr>
          <w:rFonts w:ascii="Verdana" w:hAnsi="Verdana"/>
          <w:i/>
          <w:sz w:val="20"/>
          <w:lang w:val="pt-BR"/>
        </w:rPr>
        <w:t>Corte</w:t>
      </w:r>
    </w:p>
    <w:p w:rsidR="004756C1" w:rsidRPr="002F50BD" w:rsidRDefault="004756C1">
      <w:pPr>
        <w:jc w:val="both"/>
        <w:rPr>
          <w:rFonts w:ascii="Verdana" w:hAnsi="Verdana"/>
          <w:color w:val="000000"/>
          <w:sz w:val="20"/>
          <w:lang w:val="pt-BR"/>
        </w:rPr>
      </w:pPr>
    </w:p>
    <w:p w:rsidR="004756C1" w:rsidRPr="002F50BD" w:rsidRDefault="00726D81">
      <w:pPr>
        <w:numPr>
          <w:ilvl w:val="0"/>
          <w:numId w:val="33"/>
        </w:numPr>
        <w:jc w:val="both"/>
        <w:rPr>
          <w:rFonts w:ascii="Verdana" w:hAnsi="Verdana"/>
          <w:b/>
          <w:smallCaps/>
          <w:sz w:val="20"/>
          <w:lang w:val="pt-BR"/>
        </w:rPr>
      </w:pPr>
      <w:r w:rsidRPr="002F50BD">
        <w:rPr>
          <w:rFonts w:ascii="Verdana" w:hAnsi="Verdana"/>
          <w:color w:val="000000"/>
          <w:sz w:val="20"/>
          <w:lang w:val="pt-BR"/>
        </w:rPr>
        <w:t>Como ordenou</w:t>
      </w:r>
      <w:r w:rsidR="0089298C" w:rsidRPr="002F50BD">
        <w:rPr>
          <w:rFonts w:ascii="Verdana" w:hAnsi="Verdana"/>
          <w:color w:val="000000"/>
          <w:sz w:val="20"/>
          <w:lang w:val="pt-BR"/>
        </w:rPr>
        <w:t xml:space="preserve"> em outra</w:t>
      </w:r>
      <w:r w:rsidR="004756C1" w:rsidRPr="002F50BD">
        <w:rPr>
          <w:rFonts w:ascii="Verdana" w:hAnsi="Verdana"/>
          <w:color w:val="000000"/>
          <w:sz w:val="20"/>
          <w:lang w:val="pt-BR"/>
        </w:rPr>
        <w:t>s oportunidades</w:t>
      </w:r>
      <w:r w:rsidRPr="002F50BD">
        <w:rPr>
          <w:rFonts w:ascii="Verdana" w:hAnsi="Verdana"/>
          <w:color w:val="000000"/>
          <w:sz w:val="20"/>
          <w:lang w:val="pt-BR"/>
        </w:rPr>
        <w:t>,</w:t>
      </w:r>
      <w:r w:rsidR="004756C1" w:rsidRPr="002F50BD">
        <w:rPr>
          <w:rStyle w:val="FootnoteReference"/>
          <w:rFonts w:ascii="Verdana" w:hAnsi="Verdana"/>
          <w:color w:val="000000"/>
        </w:rPr>
        <w:footnoteReference w:id="224"/>
      </w:r>
      <w:r w:rsidR="0089298C" w:rsidRPr="002F50BD">
        <w:rPr>
          <w:rFonts w:ascii="Verdana" w:hAnsi="Verdana"/>
          <w:color w:val="000000"/>
          <w:sz w:val="20"/>
          <w:lang w:val="pt-BR"/>
        </w:rPr>
        <w:t xml:space="preserve"> a </w:t>
      </w:r>
      <w:r w:rsidR="004756C1" w:rsidRPr="002F50BD">
        <w:rPr>
          <w:rFonts w:ascii="Verdana" w:hAnsi="Verdana"/>
          <w:color w:val="000000"/>
          <w:sz w:val="20"/>
          <w:lang w:val="pt-BR"/>
        </w:rPr>
        <w:t xml:space="preserve">Corte </w:t>
      </w:r>
      <w:r w:rsidRPr="002F50BD">
        <w:rPr>
          <w:rFonts w:ascii="Verdana" w:hAnsi="Verdana"/>
          <w:color w:val="000000"/>
          <w:sz w:val="20"/>
          <w:lang w:val="pt-BR"/>
        </w:rPr>
        <w:t xml:space="preserve">considera </w:t>
      </w:r>
      <w:r w:rsidR="004756C1" w:rsidRPr="002F50BD">
        <w:rPr>
          <w:rFonts w:ascii="Verdana" w:hAnsi="Verdana"/>
          <w:color w:val="000000"/>
          <w:sz w:val="20"/>
          <w:lang w:val="pt-BR"/>
        </w:rPr>
        <w:t xml:space="preserve">que, como medida de </w:t>
      </w:r>
      <w:r w:rsidR="0089298C" w:rsidRPr="002F50BD">
        <w:rPr>
          <w:rFonts w:ascii="Verdana" w:hAnsi="Verdana"/>
          <w:color w:val="000000"/>
          <w:sz w:val="20"/>
          <w:lang w:val="pt-BR"/>
        </w:rPr>
        <w:t>satisfação</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o </w:t>
      </w:r>
      <w:r w:rsidR="004756C1" w:rsidRPr="002F50BD">
        <w:rPr>
          <w:rFonts w:ascii="Verdana" w:hAnsi="Verdana"/>
          <w:color w:val="000000"/>
          <w:sz w:val="20"/>
          <w:lang w:val="pt-BR"/>
        </w:rPr>
        <w:t>Estado</w:t>
      </w:r>
      <w:r w:rsidR="0089298C" w:rsidRPr="002F50BD">
        <w:rPr>
          <w:rFonts w:ascii="Verdana" w:hAnsi="Verdana"/>
          <w:color w:val="000000"/>
          <w:sz w:val="20"/>
          <w:lang w:val="pt-BR"/>
        </w:rPr>
        <w:t xml:space="preserve"> deve </w:t>
      </w:r>
      <w:r w:rsidR="004756C1" w:rsidRPr="002F50BD">
        <w:rPr>
          <w:rFonts w:ascii="Verdana" w:hAnsi="Verdana"/>
          <w:color w:val="000000"/>
          <w:sz w:val="20"/>
          <w:lang w:val="pt-BR"/>
        </w:rPr>
        <w:t xml:space="preserve">publicar dentro </w:t>
      </w:r>
      <w:r w:rsidR="0089298C" w:rsidRPr="002F50BD">
        <w:rPr>
          <w:rFonts w:ascii="Verdana" w:hAnsi="Verdana"/>
          <w:color w:val="000000"/>
          <w:sz w:val="20"/>
          <w:lang w:val="pt-BR"/>
        </w:rPr>
        <w:t>do prazo</w:t>
      </w:r>
      <w:r w:rsidR="004756C1" w:rsidRPr="002F50BD">
        <w:rPr>
          <w:rFonts w:ascii="Verdana" w:hAnsi="Verdana"/>
          <w:color w:val="000000"/>
          <w:sz w:val="20"/>
          <w:lang w:val="pt-BR"/>
        </w:rPr>
        <w:t xml:space="preserve"> de</w:t>
      </w:r>
      <w:r w:rsidR="0089298C" w:rsidRPr="002F50BD">
        <w:rPr>
          <w:rFonts w:ascii="Verdana" w:hAnsi="Verdana"/>
          <w:color w:val="000000"/>
          <w:sz w:val="20"/>
          <w:lang w:val="pt-BR"/>
        </w:rPr>
        <w:t xml:space="preserve"> um ano </w:t>
      </w:r>
      <w:r w:rsidR="004756C1" w:rsidRPr="002F50BD">
        <w:rPr>
          <w:rFonts w:ascii="Verdana" w:hAnsi="Verdana"/>
          <w:color w:val="000000"/>
          <w:sz w:val="20"/>
          <w:lang w:val="pt-BR"/>
        </w:rPr>
        <w:t>contado a partir</w:t>
      </w:r>
      <w:r w:rsidR="0089298C" w:rsidRPr="002F50BD">
        <w:rPr>
          <w:rFonts w:ascii="Verdana" w:hAnsi="Verdana"/>
          <w:color w:val="000000"/>
          <w:sz w:val="20"/>
          <w:lang w:val="pt-BR"/>
        </w:rPr>
        <w:t xml:space="preserve"> da </w:t>
      </w:r>
      <w:r w:rsidR="004756C1" w:rsidRPr="002F50BD">
        <w:rPr>
          <w:rFonts w:ascii="Verdana" w:hAnsi="Verdana"/>
          <w:color w:val="000000"/>
          <w:sz w:val="20"/>
          <w:lang w:val="pt-BR"/>
        </w:rPr>
        <w:t>notifica</w:t>
      </w:r>
      <w:r w:rsidR="0089298C" w:rsidRPr="002F50BD">
        <w:rPr>
          <w:rFonts w:ascii="Verdana" w:hAnsi="Verdana"/>
          <w:color w:val="000000"/>
          <w:sz w:val="20"/>
          <w:lang w:val="pt-BR"/>
        </w:rPr>
        <w:t xml:space="preserve">ção da </w:t>
      </w:r>
      <w:r w:rsidR="004756C1" w:rsidRPr="002F50BD">
        <w:rPr>
          <w:rFonts w:ascii="Verdana" w:hAnsi="Verdana"/>
          <w:color w:val="000000"/>
          <w:sz w:val="20"/>
          <w:lang w:val="pt-BR"/>
        </w:rPr>
        <w:t xml:space="preserve">presente </w:t>
      </w:r>
      <w:r w:rsidR="0089298C" w:rsidRPr="002F50BD">
        <w:rPr>
          <w:rFonts w:ascii="Verdana" w:hAnsi="Verdana"/>
          <w:color w:val="000000"/>
          <w:sz w:val="20"/>
          <w:lang w:val="pt-BR"/>
        </w:rPr>
        <w:t>Sentença</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ao </w:t>
      </w:r>
      <w:r w:rsidR="004756C1" w:rsidRPr="002F50BD">
        <w:rPr>
          <w:rFonts w:ascii="Verdana" w:hAnsi="Verdana"/>
          <w:color w:val="000000"/>
          <w:sz w:val="20"/>
          <w:lang w:val="pt-BR"/>
        </w:rPr>
        <w:t>menos por</w:t>
      </w:r>
      <w:r w:rsidR="0089298C" w:rsidRPr="002F50BD">
        <w:rPr>
          <w:rFonts w:ascii="Verdana" w:hAnsi="Verdana"/>
          <w:color w:val="000000"/>
          <w:sz w:val="20"/>
          <w:lang w:val="pt-BR"/>
        </w:rPr>
        <w:t xml:space="preserve"> uma </w:t>
      </w:r>
      <w:r w:rsidR="004756C1" w:rsidRPr="002F50BD">
        <w:rPr>
          <w:rFonts w:ascii="Verdana" w:hAnsi="Verdana"/>
          <w:color w:val="000000"/>
          <w:sz w:val="20"/>
          <w:lang w:val="pt-BR"/>
        </w:rPr>
        <w:t>vez,</w:t>
      </w:r>
      <w:r w:rsidR="0089298C" w:rsidRPr="002F50BD">
        <w:rPr>
          <w:rFonts w:ascii="Verdana" w:hAnsi="Verdana"/>
          <w:color w:val="000000"/>
          <w:sz w:val="20"/>
          <w:lang w:val="pt-BR"/>
        </w:rPr>
        <w:t xml:space="preserve"> no Diário</w:t>
      </w:r>
      <w:r w:rsidR="004756C1" w:rsidRPr="002F50BD">
        <w:rPr>
          <w:rFonts w:ascii="Verdana" w:hAnsi="Verdana"/>
          <w:color w:val="000000"/>
          <w:sz w:val="20"/>
          <w:lang w:val="pt-BR"/>
        </w:rPr>
        <w:t xml:space="preserve"> Oficial</w:t>
      </w:r>
      <w:r w:rsidR="0089298C" w:rsidRPr="002F50BD">
        <w:rPr>
          <w:rFonts w:ascii="Verdana" w:hAnsi="Verdana"/>
          <w:color w:val="000000"/>
          <w:sz w:val="20"/>
          <w:lang w:val="pt-BR"/>
        </w:rPr>
        <w:t xml:space="preserve"> e em outro </w:t>
      </w:r>
      <w:r w:rsidR="003B734C">
        <w:rPr>
          <w:rFonts w:ascii="Verdana" w:hAnsi="Verdana"/>
          <w:color w:val="000000"/>
          <w:sz w:val="20"/>
          <w:lang w:val="pt-BR"/>
        </w:rPr>
        <w:t>jornal de circulação</w:t>
      </w:r>
      <w:r w:rsidR="004756C1" w:rsidRPr="002F50BD">
        <w:rPr>
          <w:rFonts w:ascii="Verdana" w:hAnsi="Verdana"/>
          <w:color w:val="000000"/>
          <w:sz w:val="20"/>
          <w:lang w:val="pt-BR"/>
        </w:rPr>
        <w:t xml:space="preserve"> nacional, tanto</w:t>
      </w:r>
      <w:r w:rsidR="0089298C" w:rsidRPr="002F50BD">
        <w:rPr>
          <w:rFonts w:ascii="Verdana" w:hAnsi="Verdana"/>
          <w:sz w:val="20"/>
          <w:lang w:val="pt-BR"/>
        </w:rPr>
        <w:t xml:space="preserve"> </w:t>
      </w:r>
      <w:r w:rsidR="00754117" w:rsidRPr="002F50BD">
        <w:rPr>
          <w:rFonts w:ascii="Verdana" w:hAnsi="Verdana"/>
          <w:sz w:val="20"/>
          <w:lang w:val="pt-BR"/>
        </w:rPr>
        <w:t>o capítulo denominado</w:t>
      </w:r>
      <w:r w:rsidR="004756C1" w:rsidRPr="002F50BD">
        <w:rPr>
          <w:rFonts w:ascii="Verdana" w:hAnsi="Verdana"/>
          <w:sz w:val="20"/>
          <w:lang w:val="pt-BR"/>
        </w:rPr>
        <w:t xml:space="preserve"> </w:t>
      </w:r>
      <w:r w:rsidR="0089298C" w:rsidRPr="002F50BD">
        <w:rPr>
          <w:rFonts w:ascii="Verdana" w:hAnsi="Verdana"/>
          <w:sz w:val="20"/>
          <w:lang w:val="pt-BR"/>
        </w:rPr>
        <w:t>Fatos</w:t>
      </w:r>
      <w:r w:rsidR="004756C1" w:rsidRPr="002F50BD">
        <w:rPr>
          <w:rFonts w:ascii="Verdana" w:hAnsi="Verdana"/>
          <w:sz w:val="20"/>
          <w:lang w:val="pt-BR"/>
        </w:rPr>
        <w:t xml:space="preserve"> </w:t>
      </w:r>
      <w:r w:rsidR="0089298C" w:rsidRPr="002F50BD">
        <w:rPr>
          <w:rFonts w:ascii="Verdana" w:hAnsi="Verdana"/>
          <w:sz w:val="20"/>
          <w:lang w:val="pt-BR"/>
        </w:rPr>
        <w:t>Provad</w:t>
      </w:r>
      <w:r w:rsidR="004756C1" w:rsidRPr="002F50BD">
        <w:rPr>
          <w:rFonts w:ascii="Verdana" w:hAnsi="Verdana"/>
          <w:sz w:val="20"/>
          <w:lang w:val="pt-BR"/>
        </w:rPr>
        <w:t>os como</w:t>
      </w:r>
      <w:r w:rsidR="0089298C" w:rsidRPr="002F50BD">
        <w:rPr>
          <w:rFonts w:ascii="Verdana" w:hAnsi="Verdana"/>
          <w:sz w:val="20"/>
          <w:lang w:val="pt-BR"/>
        </w:rPr>
        <w:t xml:space="preserve"> os pontos</w:t>
      </w:r>
      <w:r w:rsidR="004756C1" w:rsidRPr="002F50BD">
        <w:rPr>
          <w:rFonts w:ascii="Verdana" w:hAnsi="Verdana"/>
          <w:sz w:val="20"/>
          <w:lang w:val="pt-BR"/>
        </w:rPr>
        <w:t xml:space="preserve"> resolutivos </w:t>
      </w:r>
      <w:r w:rsidR="0089298C" w:rsidRPr="002F50BD">
        <w:rPr>
          <w:rFonts w:ascii="Verdana" w:hAnsi="Verdana"/>
          <w:sz w:val="20"/>
          <w:lang w:val="pt-BR"/>
        </w:rPr>
        <w:t>Primeiro</w:t>
      </w:r>
      <w:r w:rsidR="004756C1" w:rsidRPr="002F50BD">
        <w:rPr>
          <w:rFonts w:ascii="Verdana" w:hAnsi="Verdana"/>
          <w:sz w:val="20"/>
          <w:lang w:val="pt-BR"/>
        </w:rPr>
        <w:t xml:space="preserve"> a Décimo </w:t>
      </w:r>
      <w:r w:rsidR="0089298C" w:rsidRPr="002F50BD">
        <w:rPr>
          <w:rFonts w:ascii="Verdana" w:hAnsi="Verdana"/>
          <w:sz w:val="20"/>
          <w:lang w:val="pt-BR"/>
        </w:rPr>
        <w:t>Quarto desta Sentença</w:t>
      </w:r>
      <w:r w:rsidR="004756C1" w:rsidRPr="002F50BD">
        <w:rPr>
          <w:rFonts w:ascii="Verdana" w:hAnsi="Verdana"/>
          <w:color w:val="000000"/>
          <w:sz w:val="20"/>
          <w:lang w:val="pt-BR"/>
        </w:rPr>
        <w:t>.</w:t>
      </w:r>
      <w:r w:rsidR="00FE08B7">
        <w:rPr>
          <w:rFonts w:ascii="Verdana" w:hAnsi="Verdana"/>
          <w:color w:val="000000"/>
          <w:sz w:val="20"/>
          <w:lang w:val="pt-BR"/>
        </w:rPr>
        <w:t xml:space="preserve"> </w:t>
      </w:r>
      <w:r w:rsidRPr="002F50BD">
        <w:rPr>
          <w:rFonts w:ascii="Verdana" w:hAnsi="Verdana"/>
          <w:color w:val="000000"/>
          <w:sz w:val="20"/>
          <w:lang w:val="pt-BR"/>
        </w:rPr>
        <w:t>Além disso</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o </w:t>
      </w:r>
      <w:r w:rsidR="004756C1" w:rsidRPr="002F50BD">
        <w:rPr>
          <w:rFonts w:ascii="Verdana" w:hAnsi="Verdana"/>
          <w:color w:val="000000"/>
          <w:sz w:val="20"/>
          <w:lang w:val="pt-BR"/>
        </w:rPr>
        <w:t xml:space="preserve">Estado </w:t>
      </w:r>
      <w:r w:rsidR="0089298C" w:rsidRPr="002F50BD">
        <w:rPr>
          <w:rFonts w:ascii="Verdana" w:hAnsi="Verdana"/>
          <w:color w:val="000000"/>
          <w:sz w:val="20"/>
          <w:lang w:val="pt-BR"/>
        </w:rPr>
        <w:t>dever</w:t>
      </w:r>
      <w:r w:rsidR="004756C1" w:rsidRPr="002F50BD">
        <w:rPr>
          <w:rFonts w:ascii="Verdana" w:hAnsi="Verdana"/>
          <w:color w:val="000000"/>
          <w:sz w:val="20"/>
          <w:lang w:val="pt-BR"/>
        </w:rPr>
        <w:t>á financiar</w:t>
      </w:r>
      <w:r w:rsidR="0089298C" w:rsidRPr="002F50BD">
        <w:rPr>
          <w:rFonts w:ascii="Verdana" w:hAnsi="Verdana"/>
          <w:color w:val="000000"/>
          <w:sz w:val="20"/>
          <w:lang w:val="pt-BR"/>
        </w:rPr>
        <w:t xml:space="preserve"> a </w:t>
      </w:r>
      <w:r w:rsidR="004756C1" w:rsidRPr="002F50BD">
        <w:rPr>
          <w:rFonts w:ascii="Verdana" w:hAnsi="Verdana"/>
          <w:color w:val="000000"/>
          <w:sz w:val="20"/>
          <w:lang w:val="pt-BR"/>
        </w:rPr>
        <w:t>trans</w:t>
      </w:r>
      <w:r w:rsidR="0089298C" w:rsidRPr="002F50BD">
        <w:rPr>
          <w:rFonts w:ascii="Verdana" w:hAnsi="Verdana"/>
          <w:color w:val="000000"/>
          <w:sz w:val="20"/>
          <w:lang w:val="pt-BR"/>
        </w:rPr>
        <w:t>missão</w:t>
      </w:r>
      <w:r w:rsidR="004756C1" w:rsidRPr="002F50BD">
        <w:rPr>
          <w:rFonts w:ascii="Verdana" w:hAnsi="Verdana"/>
          <w:color w:val="000000"/>
          <w:sz w:val="20"/>
          <w:lang w:val="pt-BR"/>
        </w:rPr>
        <w:t xml:space="preserve"> radial </w:t>
      </w:r>
      <w:r w:rsidR="0089298C" w:rsidRPr="002F50BD">
        <w:rPr>
          <w:rFonts w:ascii="Verdana" w:hAnsi="Verdana"/>
          <w:color w:val="000000"/>
          <w:sz w:val="20"/>
          <w:lang w:val="pt-BR"/>
        </w:rPr>
        <w:t>do conteúdo dos parágrafo</w:t>
      </w:r>
      <w:r w:rsidR="004756C1" w:rsidRPr="002F50BD">
        <w:rPr>
          <w:rFonts w:ascii="Verdana" w:hAnsi="Verdana"/>
          <w:color w:val="000000"/>
          <w:sz w:val="20"/>
          <w:lang w:val="pt-BR"/>
        </w:rPr>
        <w:t xml:space="preserve">s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12</w:t>
      </w:r>
      <w:r w:rsidR="004756C1" w:rsidRPr="002F50BD">
        <w:rPr>
          <w:rFonts w:ascii="Verdana" w:hAnsi="Verdana"/>
          <w:color w:val="000000"/>
          <w:sz w:val="20"/>
          <w:lang w:val="pt-BR"/>
        </w:rPr>
        <w:t xml:space="preserve"> a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16</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18</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22</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24</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58</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59</w:t>
      </w:r>
      <w:r w:rsidR="0089298C" w:rsidRPr="002F50BD">
        <w:rPr>
          <w:rFonts w:ascii="Verdana" w:hAnsi="Verdana"/>
          <w:color w:val="000000"/>
          <w:sz w:val="20"/>
          <w:lang w:val="pt-BR"/>
        </w:rPr>
        <w:t xml:space="preserve"> e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92</w:t>
      </w:r>
      <w:r w:rsidR="004756C1" w:rsidRPr="002F50BD">
        <w:rPr>
          <w:rFonts w:ascii="Verdana" w:hAnsi="Verdana"/>
          <w:color w:val="000000"/>
          <w:sz w:val="20"/>
          <w:lang w:val="pt-BR"/>
        </w:rPr>
        <w:t xml:space="preserve"> a </w:t>
      </w:r>
      <w:r w:rsidR="00063B47" w:rsidRPr="002F50BD">
        <w:rPr>
          <w:rFonts w:ascii="Verdana" w:hAnsi="Verdana"/>
          <w:color w:val="000000"/>
          <w:sz w:val="20"/>
          <w:lang w:val="pt-BR"/>
        </w:rPr>
        <w:t>50</w:t>
      </w:r>
      <w:r w:rsidR="004756C1" w:rsidRPr="002F50BD">
        <w:rPr>
          <w:rFonts w:ascii="Verdana" w:hAnsi="Verdana"/>
          <w:color w:val="000000"/>
          <w:sz w:val="20"/>
          <w:lang w:val="pt-BR"/>
        </w:rPr>
        <w:t>.</w:t>
      </w:r>
      <w:r w:rsidR="00063B47" w:rsidRPr="002F50BD">
        <w:rPr>
          <w:rFonts w:ascii="Verdana" w:hAnsi="Verdana"/>
          <w:color w:val="000000"/>
          <w:sz w:val="20"/>
          <w:lang w:val="pt-BR"/>
        </w:rPr>
        <w:t>100</w:t>
      </w:r>
      <w:r w:rsidR="004756C1" w:rsidRPr="002F50BD">
        <w:rPr>
          <w:rFonts w:ascii="Verdana" w:hAnsi="Verdana"/>
          <w:color w:val="000000"/>
          <w:sz w:val="20"/>
          <w:lang w:val="pt-BR"/>
        </w:rPr>
        <w:t xml:space="preserve"> </w:t>
      </w:r>
      <w:r w:rsidR="0089298C" w:rsidRPr="002F50BD">
        <w:rPr>
          <w:rFonts w:ascii="Verdana" w:hAnsi="Verdana"/>
          <w:color w:val="000000"/>
          <w:sz w:val="20"/>
          <w:lang w:val="pt-BR"/>
        </w:rPr>
        <w:t xml:space="preserve">do </w:t>
      </w:r>
      <w:r w:rsidR="004756C1" w:rsidRPr="002F50BD">
        <w:rPr>
          <w:rFonts w:ascii="Verdana" w:hAnsi="Verdana"/>
          <w:color w:val="000000"/>
          <w:sz w:val="20"/>
          <w:lang w:val="pt-BR"/>
        </w:rPr>
        <w:t xml:space="preserve">capítulo VI de </w:t>
      </w:r>
      <w:r w:rsidR="0089298C" w:rsidRPr="002F50BD">
        <w:rPr>
          <w:rFonts w:ascii="Verdana" w:hAnsi="Verdana"/>
          <w:color w:val="000000"/>
          <w:sz w:val="20"/>
          <w:lang w:val="pt-BR"/>
        </w:rPr>
        <w:t>Fatos</w:t>
      </w:r>
      <w:r w:rsidR="004756C1" w:rsidRPr="002F50BD">
        <w:rPr>
          <w:rFonts w:ascii="Verdana" w:hAnsi="Verdana"/>
          <w:color w:val="000000"/>
          <w:sz w:val="20"/>
          <w:lang w:val="pt-BR"/>
        </w:rPr>
        <w:t xml:space="preserve"> </w:t>
      </w:r>
      <w:r w:rsidR="0089298C" w:rsidRPr="002F50BD">
        <w:rPr>
          <w:rFonts w:ascii="Verdana" w:hAnsi="Verdana"/>
          <w:color w:val="000000"/>
          <w:sz w:val="20"/>
          <w:lang w:val="pt-BR"/>
        </w:rPr>
        <w:t>Provad</w:t>
      </w:r>
      <w:r w:rsidR="004756C1" w:rsidRPr="002F50BD">
        <w:rPr>
          <w:rFonts w:ascii="Verdana" w:hAnsi="Verdana"/>
          <w:color w:val="000000"/>
          <w:sz w:val="20"/>
          <w:lang w:val="pt-BR"/>
        </w:rPr>
        <w:t>os,</w:t>
      </w:r>
      <w:r w:rsidR="0089298C" w:rsidRPr="002F50BD">
        <w:rPr>
          <w:rFonts w:ascii="Verdana" w:hAnsi="Verdana"/>
          <w:color w:val="000000"/>
          <w:sz w:val="20"/>
          <w:lang w:val="pt-BR"/>
        </w:rPr>
        <w:t xml:space="preserve"> dos parágrafo</w:t>
      </w:r>
      <w:r w:rsidR="004756C1" w:rsidRPr="002F50BD">
        <w:rPr>
          <w:rFonts w:ascii="Verdana" w:hAnsi="Verdana"/>
          <w:color w:val="000000"/>
          <w:sz w:val="20"/>
          <w:lang w:val="pt-BR"/>
        </w:rPr>
        <w:t xml:space="preserve">s </w:t>
      </w:r>
      <w:r w:rsidR="00063B47" w:rsidRPr="002F50BD">
        <w:rPr>
          <w:rFonts w:ascii="Verdana" w:hAnsi="Verdana"/>
          <w:color w:val="000000"/>
          <w:sz w:val="20"/>
          <w:lang w:val="pt-BR"/>
        </w:rPr>
        <w:t>135</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154</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155</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161</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162</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169</w:t>
      </w:r>
      <w:r w:rsidR="004756C1" w:rsidRPr="002F50BD">
        <w:rPr>
          <w:rFonts w:ascii="Verdana" w:hAnsi="Verdana"/>
          <w:color w:val="000000"/>
          <w:sz w:val="20"/>
          <w:lang w:val="pt-BR"/>
        </w:rPr>
        <w:t xml:space="preserve">, </w:t>
      </w:r>
      <w:r w:rsidR="00063B47" w:rsidRPr="002F50BD">
        <w:rPr>
          <w:rFonts w:ascii="Verdana" w:hAnsi="Verdana"/>
          <w:color w:val="000000"/>
          <w:sz w:val="20"/>
          <w:lang w:val="pt-BR"/>
        </w:rPr>
        <w:t>172</w:t>
      </w:r>
      <w:r w:rsidR="0089298C" w:rsidRPr="002F50BD">
        <w:rPr>
          <w:rFonts w:ascii="Verdana" w:hAnsi="Verdana"/>
          <w:color w:val="000000"/>
          <w:sz w:val="20"/>
          <w:lang w:val="pt-BR"/>
        </w:rPr>
        <w:t xml:space="preserve"> e </w:t>
      </w:r>
      <w:r w:rsidR="00063B47" w:rsidRPr="002F50BD">
        <w:rPr>
          <w:rFonts w:ascii="Verdana" w:hAnsi="Verdana"/>
          <w:color w:val="000000"/>
          <w:sz w:val="20"/>
          <w:lang w:val="pt-BR"/>
        </w:rPr>
        <w:t>175</w:t>
      </w:r>
      <w:r w:rsidR="0089298C" w:rsidRPr="002F50BD">
        <w:rPr>
          <w:rFonts w:ascii="Verdana" w:hAnsi="Verdana"/>
          <w:color w:val="000000"/>
          <w:sz w:val="20"/>
          <w:lang w:val="pt-BR"/>
        </w:rPr>
        <w:t xml:space="preserve"> dos </w:t>
      </w:r>
      <w:r w:rsidR="004756C1" w:rsidRPr="002F50BD">
        <w:rPr>
          <w:rFonts w:ascii="Verdana" w:hAnsi="Verdana"/>
          <w:color w:val="000000"/>
          <w:sz w:val="20"/>
          <w:lang w:val="pt-BR"/>
        </w:rPr>
        <w:t>capítu</w:t>
      </w:r>
      <w:r w:rsidRPr="002F50BD">
        <w:rPr>
          <w:rFonts w:ascii="Verdana" w:hAnsi="Verdana"/>
          <w:color w:val="000000"/>
          <w:sz w:val="20"/>
          <w:lang w:val="pt-BR"/>
        </w:rPr>
        <w:t>lo</w:t>
      </w:r>
      <w:r w:rsidR="00AB6727" w:rsidRPr="002F50BD">
        <w:rPr>
          <w:rFonts w:ascii="Verdana" w:hAnsi="Verdana"/>
          <w:color w:val="000000"/>
          <w:sz w:val="20"/>
          <w:lang w:val="pt-BR"/>
        </w:rPr>
        <w:t xml:space="preserve">s </w:t>
      </w:r>
      <w:r w:rsidR="004756C1" w:rsidRPr="002F50BD">
        <w:rPr>
          <w:rFonts w:ascii="Verdana" w:hAnsi="Verdana"/>
          <w:color w:val="000000"/>
          <w:sz w:val="20"/>
          <w:lang w:val="pt-BR"/>
        </w:rPr>
        <w:t>IX</w:t>
      </w:r>
      <w:r w:rsidR="0089298C" w:rsidRPr="002F50BD">
        <w:rPr>
          <w:rFonts w:ascii="Verdana" w:hAnsi="Verdana"/>
          <w:color w:val="000000"/>
          <w:sz w:val="20"/>
          <w:lang w:val="pt-BR"/>
        </w:rPr>
        <w:t xml:space="preserve"> e </w:t>
      </w:r>
      <w:r w:rsidR="004756C1" w:rsidRPr="002F50BD">
        <w:rPr>
          <w:rFonts w:ascii="Verdana" w:hAnsi="Verdana"/>
          <w:color w:val="000000"/>
          <w:sz w:val="20"/>
          <w:lang w:val="pt-BR"/>
        </w:rPr>
        <w:t>X</w:t>
      </w:r>
      <w:r w:rsidR="0089298C" w:rsidRPr="002F50BD">
        <w:rPr>
          <w:rFonts w:ascii="Verdana" w:hAnsi="Verdana"/>
          <w:color w:val="000000"/>
          <w:sz w:val="20"/>
          <w:lang w:val="pt-BR"/>
        </w:rPr>
        <w:t>, e dos pontos</w:t>
      </w:r>
      <w:r w:rsidR="004756C1" w:rsidRPr="002F50BD">
        <w:rPr>
          <w:rFonts w:ascii="Verdana" w:hAnsi="Verdana"/>
          <w:color w:val="000000"/>
          <w:sz w:val="20"/>
          <w:lang w:val="pt-BR"/>
        </w:rPr>
        <w:t xml:space="preserve"> resolutivos </w:t>
      </w:r>
      <w:r w:rsidR="0089298C" w:rsidRPr="002F50BD">
        <w:rPr>
          <w:rFonts w:ascii="Verdana" w:hAnsi="Verdana"/>
          <w:sz w:val="20"/>
          <w:lang w:val="pt-BR"/>
        </w:rPr>
        <w:t>Primeiro</w:t>
      </w:r>
      <w:r w:rsidR="004756C1" w:rsidRPr="002F50BD">
        <w:rPr>
          <w:rFonts w:ascii="Verdana" w:hAnsi="Verdana"/>
          <w:sz w:val="20"/>
          <w:lang w:val="pt-BR"/>
        </w:rPr>
        <w:t xml:space="preserve"> a Décimo </w:t>
      </w:r>
      <w:r w:rsidR="0089298C" w:rsidRPr="002F50BD">
        <w:rPr>
          <w:rFonts w:ascii="Verdana" w:hAnsi="Verdana"/>
          <w:sz w:val="20"/>
          <w:lang w:val="pt-BR"/>
        </w:rPr>
        <w:t xml:space="preserve">Quarto da </w:t>
      </w:r>
      <w:r w:rsidR="004756C1" w:rsidRPr="002F50BD">
        <w:rPr>
          <w:rFonts w:ascii="Verdana" w:hAnsi="Verdana"/>
          <w:color w:val="000000"/>
          <w:sz w:val="20"/>
          <w:lang w:val="pt-BR"/>
        </w:rPr>
        <w:t xml:space="preserve">presente </w:t>
      </w:r>
      <w:r w:rsidR="0089298C" w:rsidRPr="002F50BD">
        <w:rPr>
          <w:rFonts w:ascii="Verdana" w:hAnsi="Verdana"/>
          <w:color w:val="000000"/>
          <w:sz w:val="20"/>
          <w:lang w:val="pt-BR"/>
        </w:rPr>
        <w:t>Sentença</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em </w:t>
      </w:r>
      <w:r w:rsidR="004756C1" w:rsidRPr="002F50BD">
        <w:rPr>
          <w:rFonts w:ascii="Verdana" w:hAnsi="Verdana"/>
          <w:color w:val="000000"/>
          <w:sz w:val="20"/>
          <w:lang w:val="pt-BR"/>
        </w:rPr>
        <w:t>idioma enxet</w:t>
      </w:r>
      <w:r w:rsidR="0089298C" w:rsidRPr="002F50BD">
        <w:rPr>
          <w:rFonts w:ascii="Verdana" w:hAnsi="Verdana"/>
          <w:color w:val="000000"/>
          <w:sz w:val="20"/>
          <w:lang w:val="pt-BR"/>
        </w:rPr>
        <w:t xml:space="preserve"> e </w:t>
      </w:r>
      <w:r w:rsidR="005A6BC7" w:rsidRPr="002F50BD">
        <w:rPr>
          <w:rFonts w:ascii="Verdana" w:hAnsi="Verdana"/>
          <w:color w:val="000000"/>
          <w:sz w:val="20"/>
          <w:lang w:val="pt-BR"/>
        </w:rPr>
        <w:t>guarani</w:t>
      </w:r>
      <w:r w:rsidR="004756C1" w:rsidRPr="002F50BD">
        <w:rPr>
          <w:rFonts w:ascii="Verdana" w:hAnsi="Verdana"/>
          <w:color w:val="000000"/>
          <w:sz w:val="20"/>
          <w:lang w:val="pt-BR"/>
        </w:rPr>
        <w:t xml:space="preserve"> o</w:t>
      </w:r>
      <w:r w:rsidRPr="002F50BD">
        <w:rPr>
          <w:rFonts w:ascii="Verdana" w:hAnsi="Verdana"/>
          <w:color w:val="000000"/>
          <w:sz w:val="20"/>
          <w:lang w:val="pt-BR"/>
        </w:rPr>
        <w:t>u</w:t>
      </w:r>
      <w:r w:rsidR="004756C1" w:rsidRPr="002F50BD">
        <w:rPr>
          <w:rFonts w:ascii="Verdana" w:hAnsi="Verdana"/>
          <w:color w:val="000000"/>
          <w:sz w:val="20"/>
          <w:lang w:val="pt-BR"/>
        </w:rPr>
        <w:t xml:space="preserve"> </w:t>
      </w:r>
      <w:r w:rsidR="0089298C" w:rsidRPr="002F50BD">
        <w:rPr>
          <w:rFonts w:ascii="Verdana" w:hAnsi="Verdana"/>
          <w:color w:val="000000"/>
          <w:sz w:val="20"/>
          <w:lang w:val="pt-BR"/>
        </w:rPr>
        <w:t>espanhol</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em uma </w:t>
      </w:r>
      <w:r w:rsidR="004076AD" w:rsidRPr="002F50BD">
        <w:rPr>
          <w:rFonts w:ascii="Verdana" w:hAnsi="Verdana"/>
          <w:color w:val="000000"/>
          <w:sz w:val="20"/>
          <w:lang w:val="pt-BR"/>
        </w:rPr>
        <w:t xml:space="preserve">rádio </w:t>
      </w:r>
      <w:r w:rsidR="0089298C" w:rsidRPr="002F50BD">
        <w:rPr>
          <w:rFonts w:ascii="Verdana" w:hAnsi="Verdana"/>
          <w:color w:val="000000"/>
          <w:sz w:val="20"/>
          <w:lang w:val="pt-BR"/>
        </w:rPr>
        <w:t>à qual tenham acesso os membro</w:t>
      </w:r>
      <w:r w:rsidR="004756C1" w:rsidRPr="002F50BD">
        <w:rPr>
          <w:rFonts w:ascii="Verdana" w:hAnsi="Verdana"/>
          <w:color w:val="000000"/>
          <w:sz w:val="20"/>
          <w:lang w:val="pt-BR"/>
        </w:rPr>
        <w:t>s</w:t>
      </w:r>
      <w:r w:rsidR="0089298C" w:rsidRPr="002F50BD">
        <w:rPr>
          <w:rFonts w:ascii="Verdana" w:hAnsi="Verdana"/>
          <w:color w:val="000000"/>
          <w:sz w:val="20"/>
          <w:lang w:val="pt-BR"/>
        </w:rPr>
        <w:t xml:space="preserve"> da Comunidade </w:t>
      </w:r>
      <w:r w:rsidR="004756C1" w:rsidRPr="002F50BD">
        <w:rPr>
          <w:rFonts w:ascii="Verdana" w:hAnsi="Verdana"/>
          <w:color w:val="000000"/>
          <w:sz w:val="20"/>
          <w:lang w:val="pt-BR"/>
        </w:rPr>
        <w:t>Yakye Axa</w:t>
      </w:r>
      <w:r w:rsidR="00BE346D" w:rsidRPr="002F50BD">
        <w:rPr>
          <w:rFonts w:ascii="Verdana" w:hAnsi="Verdana"/>
          <w:color w:val="000000"/>
          <w:sz w:val="20"/>
          <w:lang w:val="pt-BR"/>
        </w:rPr>
        <w:t xml:space="preserve">. A </w:t>
      </w:r>
      <w:r w:rsidR="004756C1" w:rsidRPr="002F50BD">
        <w:rPr>
          <w:rFonts w:ascii="Verdana" w:hAnsi="Verdana"/>
          <w:color w:val="000000"/>
          <w:sz w:val="20"/>
          <w:lang w:val="pt-BR"/>
        </w:rPr>
        <w:t>trans</w:t>
      </w:r>
      <w:r w:rsidR="0089298C" w:rsidRPr="002F50BD">
        <w:rPr>
          <w:rFonts w:ascii="Verdana" w:hAnsi="Verdana"/>
          <w:color w:val="000000"/>
          <w:sz w:val="20"/>
          <w:lang w:val="pt-BR"/>
        </w:rPr>
        <w:t>missão</w:t>
      </w:r>
      <w:r w:rsidR="004756C1" w:rsidRPr="002F50BD">
        <w:rPr>
          <w:rFonts w:ascii="Verdana" w:hAnsi="Verdana"/>
          <w:color w:val="000000"/>
          <w:sz w:val="20"/>
          <w:lang w:val="pt-BR"/>
        </w:rPr>
        <w:t xml:space="preserve"> radial </w:t>
      </w:r>
      <w:r w:rsidR="0089298C" w:rsidRPr="002F50BD">
        <w:rPr>
          <w:rFonts w:ascii="Verdana" w:hAnsi="Verdana"/>
          <w:color w:val="000000"/>
          <w:sz w:val="20"/>
          <w:lang w:val="pt-BR"/>
        </w:rPr>
        <w:t>dever</w:t>
      </w:r>
      <w:r w:rsidR="004756C1" w:rsidRPr="002F50BD">
        <w:rPr>
          <w:rFonts w:ascii="Verdana" w:hAnsi="Verdana"/>
          <w:color w:val="000000"/>
          <w:sz w:val="20"/>
          <w:lang w:val="pt-BR"/>
        </w:rPr>
        <w:t xml:space="preserve">á </w:t>
      </w:r>
      <w:r w:rsidR="0089298C" w:rsidRPr="002F50BD">
        <w:rPr>
          <w:rFonts w:ascii="Verdana" w:hAnsi="Verdana"/>
          <w:color w:val="000000"/>
          <w:sz w:val="20"/>
          <w:lang w:val="pt-BR"/>
        </w:rPr>
        <w:t>realizar</w:t>
      </w:r>
      <w:r w:rsidRPr="002F50BD">
        <w:rPr>
          <w:rFonts w:ascii="Verdana" w:hAnsi="Verdana"/>
          <w:color w:val="000000"/>
          <w:sz w:val="20"/>
          <w:lang w:val="pt-BR"/>
        </w:rPr>
        <w:t>-</w:t>
      </w:r>
      <w:r w:rsidR="004756C1" w:rsidRPr="002F50BD">
        <w:rPr>
          <w:rFonts w:ascii="Verdana" w:hAnsi="Verdana"/>
          <w:color w:val="000000"/>
          <w:sz w:val="20"/>
          <w:lang w:val="pt-BR"/>
        </w:rPr>
        <w:t>se</w:t>
      </w:r>
      <w:r w:rsidR="00DF5F1A" w:rsidRPr="002F50BD">
        <w:rPr>
          <w:rFonts w:ascii="Verdana" w:hAnsi="Verdana"/>
          <w:color w:val="000000"/>
          <w:sz w:val="20"/>
          <w:lang w:val="pt-BR"/>
        </w:rPr>
        <w:t>,</w:t>
      </w:r>
      <w:r w:rsidR="0089298C" w:rsidRPr="002F50BD">
        <w:rPr>
          <w:rFonts w:ascii="Verdana" w:hAnsi="Verdana"/>
          <w:color w:val="000000"/>
          <w:sz w:val="20"/>
          <w:lang w:val="pt-BR"/>
        </w:rPr>
        <w:t xml:space="preserve"> ao </w:t>
      </w:r>
      <w:r w:rsidR="004756C1" w:rsidRPr="002F50BD">
        <w:rPr>
          <w:rFonts w:ascii="Verdana" w:hAnsi="Verdana"/>
          <w:color w:val="000000"/>
          <w:sz w:val="20"/>
          <w:lang w:val="pt-BR"/>
        </w:rPr>
        <w:t>menos</w:t>
      </w:r>
      <w:r w:rsidR="00DF5F1A" w:rsidRPr="002F50BD">
        <w:rPr>
          <w:rFonts w:ascii="Verdana" w:hAnsi="Verdana"/>
          <w:color w:val="000000"/>
          <w:sz w:val="20"/>
          <w:lang w:val="pt-BR"/>
        </w:rPr>
        <w:t>,</w:t>
      </w:r>
      <w:r w:rsidR="004756C1" w:rsidRPr="002F50BD">
        <w:rPr>
          <w:rFonts w:ascii="Verdana" w:hAnsi="Verdana"/>
          <w:color w:val="000000"/>
          <w:sz w:val="20"/>
          <w:lang w:val="pt-BR"/>
        </w:rPr>
        <w:t xml:space="preserve"> </w:t>
      </w:r>
      <w:r w:rsidRPr="002F50BD">
        <w:rPr>
          <w:rFonts w:ascii="Verdana" w:hAnsi="Verdana"/>
          <w:color w:val="000000"/>
          <w:sz w:val="20"/>
          <w:lang w:val="pt-BR"/>
        </w:rPr>
        <w:t xml:space="preserve">em </w:t>
      </w:r>
      <w:r w:rsidR="0089298C" w:rsidRPr="002F50BD">
        <w:rPr>
          <w:rFonts w:ascii="Verdana" w:hAnsi="Verdana"/>
          <w:color w:val="000000"/>
          <w:sz w:val="20"/>
          <w:lang w:val="pt-BR"/>
        </w:rPr>
        <w:t>quatro</w:t>
      </w:r>
      <w:r w:rsidR="004756C1" w:rsidRPr="002F50BD">
        <w:rPr>
          <w:rFonts w:ascii="Verdana" w:hAnsi="Verdana"/>
          <w:color w:val="000000"/>
          <w:sz w:val="20"/>
          <w:lang w:val="pt-BR"/>
        </w:rPr>
        <w:t xml:space="preserve"> </w:t>
      </w:r>
      <w:r w:rsidR="0089298C" w:rsidRPr="002F50BD">
        <w:rPr>
          <w:rFonts w:ascii="Verdana" w:hAnsi="Verdana"/>
          <w:color w:val="000000"/>
          <w:sz w:val="20"/>
          <w:lang w:val="pt-BR"/>
        </w:rPr>
        <w:t xml:space="preserve">ocasiões com um </w:t>
      </w:r>
      <w:r w:rsidRPr="002F50BD">
        <w:rPr>
          <w:rFonts w:ascii="Verdana" w:hAnsi="Verdana"/>
          <w:color w:val="000000"/>
          <w:sz w:val="20"/>
          <w:lang w:val="pt-BR"/>
        </w:rPr>
        <w:t>intervalo de dua</w:t>
      </w:r>
      <w:r w:rsidR="004756C1" w:rsidRPr="002F50BD">
        <w:rPr>
          <w:rFonts w:ascii="Verdana" w:hAnsi="Verdana"/>
          <w:color w:val="000000"/>
          <w:sz w:val="20"/>
          <w:lang w:val="pt-BR"/>
        </w:rPr>
        <w:t>s semanas entre cada una.</w:t>
      </w:r>
      <w:r w:rsidR="00FE08B7">
        <w:rPr>
          <w:rFonts w:ascii="Verdana" w:hAnsi="Verdana"/>
          <w:color w:val="000000"/>
          <w:sz w:val="20"/>
          <w:lang w:val="pt-BR"/>
        </w:rPr>
        <w:t xml:space="preserve"> </w:t>
      </w:r>
    </w:p>
    <w:p w:rsidR="004756C1" w:rsidRPr="002F50BD" w:rsidRDefault="004756C1">
      <w:pPr>
        <w:pStyle w:val="BodyTextIndent"/>
        <w:jc w:val="center"/>
        <w:rPr>
          <w:rFonts w:ascii="Verdana" w:hAnsi="Verdana"/>
          <w:b/>
          <w:smallCaps/>
          <w:sz w:val="20"/>
          <w:lang w:val="pt-BR"/>
        </w:rPr>
      </w:pPr>
    </w:p>
    <w:p w:rsidR="004756C1" w:rsidRPr="002F50BD" w:rsidRDefault="004756C1">
      <w:pPr>
        <w:pStyle w:val="BodyTextIndent"/>
        <w:jc w:val="center"/>
        <w:rPr>
          <w:rFonts w:ascii="Verdana" w:hAnsi="Verdana"/>
          <w:b/>
          <w:smallCaps/>
          <w:sz w:val="20"/>
          <w:lang w:val="pt-BR"/>
        </w:rPr>
      </w:pPr>
      <w:r w:rsidRPr="002F50BD">
        <w:rPr>
          <w:rFonts w:ascii="Verdana" w:hAnsi="Verdana"/>
          <w:b/>
          <w:smallCaps/>
          <w:sz w:val="20"/>
          <w:lang w:val="pt-BR"/>
        </w:rPr>
        <w:t>XII</w:t>
      </w:r>
    </w:p>
    <w:p w:rsidR="004756C1" w:rsidRPr="002F50BD" w:rsidRDefault="0089298C">
      <w:pPr>
        <w:pStyle w:val="BodyTextIndent"/>
        <w:jc w:val="center"/>
        <w:rPr>
          <w:rFonts w:ascii="Verdana" w:hAnsi="Verdana"/>
          <w:b/>
          <w:smallCaps/>
          <w:sz w:val="20"/>
          <w:lang w:val="pt-BR"/>
        </w:rPr>
      </w:pPr>
      <w:r w:rsidRPr="002F50BD">
        <w:rPr>
          <w:rFonts w:ascii="Verdana" w:hAnsi="Verdana"/>
          <w:b/>
          <w:smallCaps/>
          <w:sz w:val="20"/>
          <w:lang w:val="pt-BR"/>
        </w:rPr>
        <w:t xml:space="preserve">Custas e </w:t>
      </w:r>
      <w:r w:rsidR="004756C1" w:rsidRPr="002F50BD">
        <w:rPr>
          <w:rFonts w:ascii="Verdana" w:hAnsi="Verdana"/>
          <w:b/>
          <w:smallCaps/>
          <w:sz w:val="20"/>
          <w:lang w:val="pt-BR"/>
        </w:rPr>
        <w:t>Gastos</w:t>
      </w:r>
    </w:p>
    <w:p w:rsidR="004756C1" w:rsidRPr="002F50BD" w:rsidRDefault="004756C1">
      <w:pPr>
        <w:pStyle w:val="Heading2"/>
        <w:rPr>
          <w:rFonts w:ascii="Verdana" w:hAnsi="Verdana"/>
          <w:b w:val="0"/>
          <w:sz w:val="20"/>
          <w:lang w:val="pt-BR"/>
        </w:rPr>
      </w:pPr>
    </w:p>
    <w:p w:rsidR="004756C1" w:rsidRPr="002F50BD" w:rsidRDefault="0089298C">
      <w:pPr>
        <w:pStyle w:val="Heading2"/>
        <w:jc w:val="left"/>
        <w:rPr>
          <w:rFonts w:ascii="Verdana" w:hAnsi="Verdana"/>
          <w:b w:val="0"/>
          <w:i/>
          <w:smallCaps w:val="0"/>
          <w:sz w:val="20"/>
          <w:lang w:val="pt-BR"/>
        </w:rPr>
      </w:pPr>
      <w:r w:rsidRPr="002F50BD">
        <w:rPr>
          <w:rFonts w:ascii="Verdana" w:hAnsi="Verdana"/>
          <w:b w:val="0"/>
          <w:i/>
          <w:smallCaps w:val="0"/>
          <w:sz w:val="20"/>
          <w:lang w:val="pt-BR"/>
        </w:rPr>
        <w:t>Alegações da Comissão</w:t>
      </w:r>
    </w:p>
    <w:p w:rsidR="00E50F4A" w:rsidRPr="002F50BD" w:rsidRDefault="00E50F4A" w:rsidP="00E50F4A">
      <w:pPr>
        <w:jc w:val="both"/>
        <w:rPr>
          <w:rFonts w:ascii="Verdana" w:hAnsi="Verdana"/>
          <w:sz w:val="20"/>
          <w:lang w:val="pt-BR"/>
        </w:rPr>
      </w:pPr>
    </w:p>
    <w:p w:rsidR="004756C1" w:rsidRPr="002F50BD" w:rsidRDefault="0089298C">
      <w:pPr>
        <w:numPr>
          <w:ilvl w:val="0"/>
          <w:numId w:val="33"/>
        </w:numPr>
        <w:jc w:val="both"/>
        <w:rPr>
          <w:rFonts w:ascii="Verdana" w:hAnsi="Verdana"/>
          <w:sz w:val="20"/>
          <w:lang w:val="pt-BR"/>
        </w:rPr>
      </w:pPr>
      <w:r w:rsidRPr="002F50BD">
        <w:rPr>
          <w:rFonts w:ascii="Verdana" w:hAnsi="Verdana"/>
          <w:sz w:val="20"/>
          <w:lang w:val="pt-BR"/>
        </w:rPr>
        <w:t>A Comissão</w:t>
      </w:r>
      <w:r w:rsidR="004756C1" w:rsidRPr="002F50BD">
        <w:rPr>
          <w:rFonts w:ascii="Verdana" w:hAnsi="Verdana"/>
          <w:sz w:val="20"/>
          <w:lang w:val="pt-BR"/>
        </w:rPr>
        <w:t xml:space="preserve"> </w:t>
      </w:r>
      <w:r w:rsidRPr="002F50BD">
        <w:rPr>
          <w:rFonts w:ascii="Verdana" w:hAnsi="Verdana"/>
          <w:sz w:val="20"/>
          <w:lang w:val="pt-BR"/>
        </w:rPr>
        <w:t>argumentou</w:t>
      </w:r>
      <w:r w:rsidR="004756C1" w:rsidRPr="002F50BD">
        <w:rPr>
          <w:rFonts w:ascii="Verdana" w:hAnsi="Verdana"/>
          <w:sz w:val="20"/>
          <w:lang w:val="pt-BR"/>
        </w:rPr>
        <w:t xml:space="preserve"> que</w:t>
      </w:r>
      <w:r w:rsidR="00DF5F1A" w:rsidRPr="002F50BD">
        <w:rPr>
          <w:rFonts w:ascii="Verdana" w:hAnsi="Verdana"/>
          <w:sz w:val="20"/>
          <w:lang w:val="pt-BR"/>
        </w:rPr>
        <w:t>,</w:t>
      </w:r>
      <w:r w:rsidRPr="002F50BD">
        <w:rPr>
          <w:rFonts w:ascii="Verdana" w:hAnsi="Verdana"/>
          <w:sz w:val="20"/>
          <w:lang w:val="pt-BR"/>
        </w:rPr>
        <w:t xml:space="preserve"> uma </w:t>
      </w:r>
      <w:r w:rsidR="004756C1" w:rsidRPr="002F50BD">
        <w:rPr>
          <w:rFonts w:ascii="Verdana" w:hAnsi="Verdana"/>
          <w:sz w:val="20"/>
          <w:lang w:val="pt-BR"/>
        </w:rPr>
        <w:t xml:space="preserve">vez </w:t>
      </w:r>
      <w:r w:rsidR="00726D81" w:rsidRPr="002F50BD">
        <w:rPr>
          <w:rFonts w:ascii="Verdana" w:hAnsi="Verdana"/>
          <w:sz w:val="20"/>
          <w:lang w:val="pt-BR"/>
        </w:rPr>
        <w:t xml:space="preserve">ouvidos </w:t>
      </w:r>
      <w:r w:rsidRPr="002F50BD">
        <w:rPr>
          <w:rFonts w:ascii="Verdana" w:hAnsi="Verdana"/>
          <w:sz w:val="20"/>
          <w:lang w:val="pt-BR"/>
        </w:rPr>
        <w:t xml:space="preserve">os </w:t>
      </w:r>
      <w:r w:rsidR="008C29C9" w:rsidRPr="002F50BD">
        <w:rPr>
          <w:rFonts w:ascii="Verdana" w:hAnsi="Verdana"/>
          <w:sz w:val="20"/>
          <w:lang w:val="pt-BR"/>
        </w:rPr>
        <w:t>representante</w:t>
      </w:r>
      <w:r w:rsidR="004756C1" w:rsidRPr="002F50BD">
        <w:rPr>
          <w:rFonts w:ascii="Verdana" w:hAnsi="Verdana"/>
          <w:sz w:val="20"/>
          <w:lang w:val="pt-BR"/>
        </w:rPr>
        <w:t>s</w:t>
      </w:r>
      <w:r w:rsidRPr="002F50BD">
        <w:rPr>
          <w:rFonts w:ascii="Verdana" w:hAnsi="Verdana"/>
          <w:sz w:val="20"/>
          <w:lang w:val="pt-BR"/>
        </w:rPr>
        <w:t xml:space="preserve"> das suposta</w:t>
      </w:r>
      <w:r w:rsidR="004756C1" w:rsidRPr="002F50BD">
        <w:rPr>
          <w:rFonts w:ascii="Verdana" w:hAnsi="Verdana"/>
          <w:sz w:val="20"/>
          <w:lang w:val="pt-BR"/>
        </w:rPr>
        <w:t xml:space="preserve">s </w:t>
      </w:r>
      <w:r w:rsidRPr="002F50BD">
        <w:rPr>
          <w:rFonts w:ascii="Verdana" w:hAnsi="Verdana"/>
          <w:sz w:val="20"/>
          <w:lang w:val="pt-BR"/>
        </w:rPr>
        <w:t>vítima</w:t>
      </w:r>
      <w:r w:rsidR="004756C1" w:rsidRPr="002F50BD">
        <w:rPr>
          <w:rFonts w:ascii="Verdana" w:hAnsi="Verdana"/>
          <w:sz w:val="20"/>
          <w:lang w:val="pt-BR"/>
        </w:rPr>
        <w:t>s, ordene</w:t>
      </w:r>
      <w:r w:rsidRPr="002F50BD">
        <w:rPr>
          <w:rFonts w:ascii="Verdana" w:hAnsi="Verdana"/>
          <w:sz w:val="20"/>
          <w:lang w:val="pt-BR"/>
        </w:rPr>
        <w:t xml:space="preserve"> ao </w:t>
      </w:r>
      <w:r w:rsidR="004756C1" w:rsidRPr="002F50BD">
        <w:rPr>
          <w:rFonts w:ascii="Verdana" w:hAnsi="Verdana"/>
          <w:sz w:val="20"/>
          <w:lang w:val="pt-BR"/>
        </w:rPr>
        <w:t>Estado</w:t>
      </w:r>
      <w:r w:rsidRPr="002F50BD">
        <w:rPr>
          <w:rFonts w:ascii="Verdana" w:hAnsi="Verdana"/>
          <w:sz w:val="20"/>
          <w:lang w:val="pt-BR"/>
        </w:rPr>
        <w:t xml:space="preserve"> o pagamento das custas</w:t>
      </w:r>
      <w:r w:rsidR="00726D81" w:rsidRPr="002F50BD">
        <w:rPr>
          <w:rFonts w:ascii="Verdana" w:hAnsi="Verdana"/>
          <w:sz w:val="20"/>
          <w:lang w:val="pt-BR"/>
        </w:rPr>
        <w:t xml:space="preserve"> originadas no âmbito </w:t>
      </w:r>
      <w:r w:rsidR="004756C1" w:rsidRPr="002F50BD">
        <w:rPr>
          <w:rFonts w:ascii="Verdana" w:hAnsi="Verdana"/>
          <w:sz w:val="20"/>
          <w:lang w:val="pt-BR"/>
        </w:rPr>
        <w:t>nacional</w:t>
      </w:r>
      <w:r w:rsidRPr="002F50BD">
        <w:rPr>
          <w:rFonts w:ascii="Verdana" w:hAnsi="Verdana"/>
          <w:sz w:val="20"/>
          <w:lang w:val="pt-BR"/>
        </w:rPr>
        <w:t xml:space="preserve"> na </w:t>
      </w:r>
      <w:r w:rsidR="004756C1" w:rsidRPr="002F50BD">
        <w:rPr>
          <w:rFonts w:ascii="Verdana" w:hAnsi="Verdana"/>
          <w:sz w:val="20"/>
          <w:lang w:val="pt-BR"/>
        </w:rPr>
        <w:t>tramita</w:t>
      </w:r>
      <w:r w:rsidRPr="002F50BD">
        <w:rPr>
          <w:rFonts w:ascii="Verdana" w:hAnsi="Verdana"/>
          <w:sz w:val="20"/>
          <w:lang w:val="pt-BR"/>
        </w:rPr>
        <w:t>ção dos processo</w:t>
      </w:r>
      <w:r w:rsidR="004756C1" w:rsidRPr="002F50BD">
        <w:rPr>
          <w:rFonts w:ascii="Verdana" w:hAnsi="Verdana"/>
          <w:sz w:val="20"/>
          <w:lang w:val="pt-BR"/>
        </w:rPr>
        <w:t xml:space="preserve">s </w:t>
      </w:r>
      <w:r w:rsidR="00726D81" w:rsidRPr="002F50BD">
        <w:rPr>
          <w:rFonts w:ascii="Verdana" w:hAnsi="Verdana"/>
          <w:sz w:val="20"/>
          <w:lang w:val="pt-BR"/>
        </w:rPr>
        <w:t xml:space="preserve">realizados </w:t>
      </w:r>
      <w:r w:rsidRPr="002F50BD">
        <w:rPr>
          <w:rFonts w:ascii="Verdana" w:hAnsi="Verdana"/>
          <w:sz w:val="20"/>
          <w:lang w:val="pt-BR"/>
        </w:rPr>
        <w:t xml:space="preserve">no foro </w:t>
      </w:r>
      <w:r w:rsidR="004756C1" w:rsidRPr="002F50BD">
        <w:rPr>
          <w:rFonts w:ascii="Verdana" w:hAnsi="Verdana"/>
          <w:sz w:val="20"/>
          <w:lang w:val="pt-BR"/>
        </w:rPr>
        <w:t xml:space="preserve">interno, </w:t>
      </w:r>
      <w:r w:rsidRPr="002F50BD">
        <w:rPr>
          <w:rFonts w:ascii="Verdana" w:hAnsi="Verdana"/>
          <w:sz w:val="20"/>
          <w:lang w:val="pt-BR"/>
        </w:rPr>
        <w:t>assim</w:t>
      </w:r>
      <w:r w:rsidR="004756C1" w:rsidRPr="002F50BD">
        <w:rPr>
          <w:rFonts w:ascii="Verdana" w:hAnsi="Verdana"/>
          <w:sz w:val="20"/>
          <w:lang w:val="pt-BR"/>
        </w:rPr>
        <w:t xml:space="preserve"> como</w:t>
      </w:r>
      <w:r w:rsidRPr="002F50BD">
        <w:rPr>
          <w:rFonts w:ascii="Verdana" w:hAnsi="Verdana"/>
          <w:sz w:val="20"/>
          <w:lang w:val="pt-BR"/>
        </w:rPr>
        <w:t xml:space="preserve"> a</w:t>
      </w:r>
      <w:r w:rsidR="00726D81" w:rsidRPr="002F50BD">
        <w:rPr>
          <w:rFonts w:ascii="Verdana" w:hAnsi="Verdana"/>
          <w:sz w:val="20"/>
          <w:lang w:val="pt-BR"/>
        </w:rPr>
        <w:t>quela</w:t>
      </w:r>
      <w:r w:rsidRPr="002F50BD">
        <w:rPr>
          <w:rFonts w:ascii="Verdana" w:hAnsi="Verdana"/>
          <w:sz w:val="20"/>
          <w:lang w:val="pt-BR"/>
        </w:rPr>
        <w:t xml:space="preserve">s </w:t>
      </w:r>
      <w:r w:rsidR="004756C1" w:rsidRPr="002F50BD">
        <w:rPr>
          <w:rFonts w:ascii="Verdana" w:hAnsi="Verdana"/>
          <w:sz w:val="20"/>
          <w:lang w:val="pt-BR"/>
        </w:rPr>
        <w:t xml:space="preserve">originadas </w:t>
      </w:r>
      <w:r w:rsidR="00726D81" w:rsidRPr="002F50BD">
        <w:rPr>
          <w:rFonts w:ascii="Verdana" w:hAnsi="Verdana"/>
          <w:sz w:val="20"/>
          <w:lang w:val="pt-BR"/>
        </w:rPr>
        <w:t xml:space="preserve">no âmbito </w:t>
      </w:r>
      <w:r w:rsidR="004756C1" w:rsidRPr="002F50BD">
        <w:rPr>
          <w:rFonts w:ascii="Verdana" w:hAnsi="Verdana"/>
          <w:sz w:val="20"/>
          <w:lang w:val="pt-BR"/>
        </w:rPr>
        <w:t>internacional</w:t>
      </w:r>
      <w:r w:rsidRPr="002F50BD">
        <w:rPr>
          <w:rFonts w:ascii="Verdana" w:hAnsi="Verdana"/>
          <w:sz w:val="20"/>
          <w:lang w:val="pt-BR"/>
        </w:rPr>
        <w:t xml:space="preserve"> na </w:t>
      </w:r>
      <w:r w:rsidR="004756C1" w:rsidRPr="002F50BD">
        <w:rPr>
          <w:rFonts w:ascii="Verdana" w:hAnsi="Verdana"/>
          <w:sz w:val="20"/>
          <w:lang w:val="pt-BR"/>
        </w:rPr>
        <w:t>tramita</w:t>
      </w:r>
      <w:r w:rsidRPr="002F50BD">
        <w:rPr>
          <w:rFonts w:ascii="Verdana" w:hAnsi="Verdana"/>
          <w:sz w:val="20"/>
          <w:lang w:val="pt-BR"/>
        </w:rPr>
        <w:t>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caso</w:t>
      </w:r>
      <w:r w:rsidRPr="002F50BD">
        <w:rPr>
          <w:rFonts w:ascii="Verdana" w:hAnsi="Verdana"/>
          <w:sz w:val="20"/>
          <w:lang w:val="pt-BR"/>
        </w:rPr>
        <w:t xml:space="preserve"> perante a Comissão e a </w:t>
      </w:r>
      <w:r w:rsidR="004756C1" w:rsidRPr="002F50BD">
        <w:rPr>
          <w:rFonts w:ascii="Verdana" w:hAnsi="Verdana"/>
          <w:sz w:val="20"/>
          <w:lang w:val="pt-BR"/>
        </w:rPr>
        <w:t>Corte, que</w:t>
      </w:r>
      <w:r w:rsidRPr="002F50BD">
        <w:rPr>
          <w:rFonts w:ascii="Verdana" w:hAnsi="Verdana"/>
          <w:sz w:val="20"/>
          <w:lang w:val="pt-BR"/>
        </w:rPr>
        <w:t xml:space="preserve"> sejam devidamente</w:t>
      </w:r>
      <w:r w:rsidR="004756C1" w:rsidRPr="002F50BD">
        <w:rPr>
          <w:rFonts w:ascii="Verdana" w:hAnsi="Verdana"/>
          <w:sz w:val="20"/>
          <w:lang w:val="pt-BR"/>
        </w:rPr>
        <w:t xml:space="preserve"> </w:t>
      </w:r>
      <w:r w:rsidRPr="002F50BD">
        <w:rPr>
          <w:rFonts w:ascii="Verdana" w:hAnsi="Verdana"/>
          <w:sz w:val="20"/>
          <w:lang w:val="pt-BR"/>
        </w:rPr>
        <w:t>provad</w:t>
      </w:r>
      <w:r w:rsidR="004756C1" w:rsidRPr="002F50BD">
        <w:rPr>
          <w:rFonts w:ascii="Verdana" w:hAnsi="Verdana"/>
          <w:sz w:val="20"/>
          <w:lang w:val="pt-BR"/>
        </w:rPr>
        <w:t xml:space="preserve">as por </w:t>
      </w:r>
      <w:r w:rsidRPr="002F50BD">
        <w:rPr>
          <w:rFonts w:ascii="Verdana" w:hAnsi="Verdana"/>
          <w:sz w:val="20"/>
          <w:lang w:val="pt-BR"/>
        </w:rPr>
        <w:t>este</w:t>
      </w:r>
      <w:r w:rsidR="004756C1" w:rsidRPr="002F50BD">
        <w:rPr>
          <w:rFonts w:ascii="Verdana" w:hAnsi="Verdana"/>
          <w:sz w:val="20"/>
          <w:lang w:val="pt-BR"/>
        </w:rPr>
        <w:t xml:space="preserve">s </w:t>
      </w:r>
      <w:r w:rsidR="008C29C9" w:rsidRPr="002F50BD">
        <w:rPr>
          <w:rFonts w:ascii="Verdana" w:hAnsi="Verdana"/>
          <w:sz w:val="20"/>
          <w:lang w:val="pt-BR"/>
        </w:rPr>
        <w:t>representante</w:t>
      </w:r>
      <w:r w:rsidR="004756C1" w:rsidRPr="002F50BD">
        <w:rPr>
          <w:rFonts w:ascii="Verdana" w:hAnsi="Verdana"/>
          <w:sz w:val="20"/>
          <w:lang w:val="pt-BR"/>
        </w:rPr>
        <w:t xml:space="preserve">s. </w:t>
      </w:r>
    </w:p>
    <w:p w:rsidR="004756C1" w:rsidRPr="002F50BD" w:rsidRDefault="004756C1">
      <w:pPr>
        <w:pStyle w:val="Heading2"/>
        <w:rPr>
          <w:rFonts w:ascii="Verdana" w:hAnsi="Verdana"/>
          <w:b w:val="0"/>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 xml:space="preserve">Alegações dos </w:t>
      </w:r>
      <w:r w:rsidR="008C29C9" w:rsidRPr="002F50BD">
        <w:rPr>
          <w:rFonts w:ascii="Verdana" w:hAnsi="Verdana"/>
          <w:b w:val="0"/>
          <w:i/>
          <w:smallCaps w:val="0"/>
          <w:sz w:val="20"/>
        </w:rPr>
        <w:t>representante</w:t>
      </w:r>
      <w:r w:rsidR="004756C1" w:rsidRPr="002F50BD">
        <w:rPr>
          <w:rFonts w:ascii="Verdana" w:hAnsi="Verdana"/>
          <w:b w:val="0"/>
          <w:i/>
          <w:smallCaps w:val="0"/>
          <w:sz w:val="20"/>
        </w:rPr>
        <w:t>s</w:t>
      </w:r>
    </w:p>
    <w:p w:rsidR="004756C1" w:rsidRPr="002F50BD" w:rsidRDefault="004756C1">
      <w:pPr>
        <w:ind w:firstLine="180"/>
        <w:jc w:val="both"/>
        <w:rPr>
          <w:rFonts w:ascii="Verdana" w:hAnsi="Verdana"/>
          <w:sz w:val="20"/>
        </w:rPr>
      </w:pPr>
    </w:p>
    <w:p w:rsidR="004756C1" w:rsidRPr="002F50BD" w:rsidRDefault="00754117">
      <w:pPr>
        <w:numPr>
          <w:ilvl w:val="0"/>
          <w:numId w:val="33"/>
        </w:numPr>
        <w:jc w:val="both"/>
        <w:rPr>
          <w:rFonts w:ascii="Verdana" w:hAnsi="Verdana"/>
          <w:sz w:val="20"/>
          <w:lang w:val="pt-BR"/>
        </w:rPr>
      </w:pPr>
      <w:r w:rsidRPr="002F50BD">
        <w:rPr>
          <w:rFonts w:ascii="Verdana" w:hAnsi="Verdana"/>
          <w:sz w:val="20"/>
          <w:lang w:val="pt-BR"/>
        </w:rPr>
        <w:t xml:space="preserve">Os </w:t>
      </w:r>
      <w:r w:rsidR="008C29C9" w:rsidRPr="002F50BD">
        <w:rPr>
          <w:rFonts w:ascii="Verdana" w:hAnsi="Verdana"/>
          <w:sz w:val="20"/>
          <w:lang w:val="pt-BR"/>
        </w:rPr>
        <w:t>representante</w:t>
      </w:r>
      <w:r w:rsidR="004756C1" w:rsidRPr="002F50BD">
        <w:rPr>
          <w:rFonts w:ascii="Verdana" w:hAnsi="Verdana"/>
          <w:sz w:val="20"/>
          <w:lang w:val="pt-BR"/>
        </w:rPr>
        <w:t xml:space="preserve">s </w:t>
      </w:r>
      <w:r w:rsidR="0089298C" w:rsidRPr="002F50BD">
        <w:rPr>
          <w:rFonts w:ascii="Verdana" w:hAnsi="Verdana"/>
          <w:sz w:val="20"/>
          <w:lang w:val="pt-BR"/>
        </w:rPr>
        <w:t xml:space="preserve">solicitaram à </w:t>
      </w:r>
      <w:r w:rsidR="004756C1" w:rsidRPr="002F50BD">
        <w:rPr>
          <w:rFonts w:ascii="Verdana" w:hAnsi="Verdana"/>
          <w:sz w:val="20"/>
          <w:lang w:val="pt-BR"/>
        </w:rPr>
        <w:t>Corte que ordene</w:t>
      </w:r>
      <w:r w:rsidR="0089298C" w:rsidRPr="002F50BD">
        <w:rPr>
          <w:rFonts w:ascii="Verdana" w:hAnsi="Verdana"/>
          <w:sz w:val="20"/>
          <w:lang w:val="pt-BR"/>
        </w:rPr>
        <w:t xml:space="preserve"> ao </w:t>
      </w:r>
      <w:r w:rsidR="004756C1" w:rsidRPr="002F50BD">
        <w:rPr>
          <w:rFonts w:ascii="Verdana" w:hAnsi="Verdana"/>
          <w:sz w:val="20"/>
          <w:lang w:val="pt-BR"/>
        </w:rPr>
        <w:t>Estado</w:t>
      </w:r>
      <w:r w:rsidR="0089298C" w:rsidRPr="002F50BD">
        <w:rPr>
          <w:rFonts w:ascii="Verdana" w:hAnsi="Verdana"/>
          <w:sz w:val="20"/>
          <w:lang w:val="pt-BR"/>
        </w:rPr>
        <w:t xml:space="preserve"> o pagamento das custas</w:t>
      </w:r>
      <w:r w:rsidR="004756C1" w:rsidRPr="002F50BD">
        <w:rPr>
          <w:rFonts w:ascii="Verdana" w:hAnsi="Verdana"/>
          <w:sz w:val="20"/>
          <w:lang w:val="pt-BR"/>
        </w:rPr>
        <w:t xml:space="preserve"> originadas </w:t>
      </w:r>
      <w:r w:rsidR="00726D81" w:rsidRPr="002F50BD">
        <w:rPr>
          <w:rFonts w:ascii="Verdana" w:hAnsi="Verdana"/>
          <w:sz w:val="20"/>
          <w:lang w:val="pt-BR"/>
        </w:rPr>
        <w:t xml:space="preserve">no âmbito </w:t>
      </w:r>
      <w:r w:rsidR="004756C1" w:rsidRPr="002F50BD">
        <w:rPr>
          <w:rFonts w:ascii="Verdana" w:hAnsi="Verdana"/>
          <w:sz w:val="20"/>
          <w:lang w:val="pt-BR"/>
        </w:rPr>
        <w:t>nacional</w:t>
      </w:r>
      <w:r w:rsidR="0089298C" w:rsidRPr="002F50BD">
        <w:rPr>
          <w:rFonts w:ascii="Verdana" w:hAnsi="Verdana"/>
          <w:sz w:val="20"/>
          <w:lang w:val="pt-BR"/>
        </w:rPr>
        <w:t xml:space="preserve"> na </w:t>
      </w:r>
      <w:r w:rsidR="004756C1" w:rsidRPr="002F50BD">
        <w:rPr>
          <w:rFonts w:ascii="Verdana" w:hAnsi="Verdana"/>
          <w:sz w:val="20"/>
          <w:lang w:val="pt-BR"/>
        </w:rPr>
        <w:t>tramita</w:t>
      </w:r>
      <w:r w:rsidR="0089298C" w:rsidRPr="002F50BD">
        <w:rPr>
          <w:rFonts w:ascii="Verdana" w:hAnsi="Verdana"/>
          <w:sz w:val="20"/>
          <w:lang w:val="pt-BR"/>
        </w:rPr>
        <w:t>ção dos processo</w:t>
      </w:r>
      <w:r w:rsidR="004756C1" w:rsidRPr="002F50BD">
        <w:rPr>
          <w:rFonts w:ascii="Verdana" w:hAnsi="Verdana"/>
          <w:sz w:val="20"/>
          <w:lang w:val="pt-BR"/>
        </w:rPr>
        <w:t xml:space="preserve">s </w:t>
      </w:r>
      <w:r w:rsidR="0089298C" w:rsidRPr="002F50BD">
        <w:rPr>
          <w:rFonts w:ascii="Verdana" w:hAnsi="Verdana"/>
          <w:sz w:val="20"/>
          <w:lang w:val="pt-BR"/>
        </w:rPr>
        <w:t>judiciais</w:t>
      </w:r>
      <w:r w:rsidR="004756C1" w:rsidRPr="002F50BD">
        <w:rPr>
          <w:rFonts w:ascii="Verdana" w:hAnsi="Verdana"/>
          <w:sz w:val="20"/>
          <w:lang w:val="pt-BR"/>
        </w:rPr>
        <w:t>, administrativos</w:t>
      </w:r>
      <w:r w:rsidR="0089298C" w:rsidRPr="002F50BD">
        <w:rPr>
          <w:rFonts w:ascii="Verdana" w:hAnsi="Verdana"/>
          <w:sz w:val="20"/>
          <w:lang w:val="pt-BR"/>
        </w:rPr>
        <w:t xml:space="preserve"> e </w:t>
      </w:r>
      <w:r w:rsidR="004756C1" w:rsidRPr="002F50BD">
        <w:rPr>
          <w:rFonts w:ascii="Verdana" w:hAnsi="Verdana"/>
          <w:sz w:val="20"/>
          <w:lang w:val="pt-BR"/>
        </w:rPr>
        <w:t xml:space="preserve">legislativos </w:t>
      </w:r>
      <w:r w:rsidR="0089298C" w:rsidRPr="002F50BD">
        <w:rPr>
          <w:rFonts w:ascii="Verdana" w:hAnsi="Verdana"/>
          <w:sz w:val="20"/>
          <w:lang w:val="pt-BR"/>
        </w:rPr>
        <w:t xml:space="preserve">no foro </w:t>
      </w:r>
      <w:r w:rsidR="004756C1" w:rsidRPr="002F50BD">
        <w:rPr>
          <w:rFonts w:ascii="Verdana" w:hAnsi="Verdana"/>
          <w:sz w:val="20"/>
          <w:lang w:val="pt-BR"/>
        </w:rPr>
        <w:t xml:space="preserve">interno </w:t>
      </w:r>
      <w:r w:rsidR="0089298C" w:rsidRPr="002F50BD">
        <w:rPr>
          <w:rFonts w:ascii="Verdana" w:hAnsi="Verdana"/>
          <w:sz w:val="20"/>
          <w:lang w:val="pt-BR"/>
        </w:rPr>
        <w:t>assim</w:t>
      </w:r>
      <w:r w:rsidR="004756C1" w:rsidRPr="002F50BD">
        <w:rPr>
          <w:rFonts w:ascii="Verdana" w:hAnsi="Verdana"/>
          <w:sz w:val="20"/>
          <w:lang w:val="pt-BR"/>
        </w:rPr>
        <w:t xml:space="preserve"> como</w:t>
      </w:r>
      <w:r w:rsidR="0089298C" w:rsidRPr="002F50BD">
        <w:rPr>
          <w:rFonts w:ascii="Verdana" w:hAnsi="Verdana"/>
          <w:sz w:val="20"/>
          <w:lang w:val="pt-BR"/>
        </w:rPr>
        <w:t xml:space="preserve"> as </w:t>
      </w:r>
      <w:r w:rsidR="004756C1" w:rsidRPr="002F50BD">
        <w:rPr>
          <w:rFonts w:ascii="Verdana" w:hAnsi="Verdana"/>
          <w:sz w:val="20"/>
          <w:lang w:val="pt-BR"/>
        </w:rPr>
        <w:t xml:space="preserve">originadas </w:t>
      </w:r>
      <w:r w:rsidR="00726D81" w:rsidRPr="002F50BD">
        <w:rPr>
          <w:rFonts w:ascii="Verdana" w:hAnsi="Verdana"/>
          <w:sz w:val="20"/>
          <w:lang w:val="pt-BR"/>
        </w:rPr>
        <w:t xml:space="preserve">no âmbito </w:t>
      </w:r>
      <w:r w:rsidR="004756C1" w:rsidRPr="002F50BD">
        <w:rPr>
          <w:rFonts w:ascii="Verdana" w:hAnsi="Verdana"/>
          <w:sz w:val="20"/>
          <w:lang w:val="pt-BR"/>
        </w:rPr>
        <w:t>internacional</w:t>
      </w:r>
      <w:r w:rsidR="0089298C" w:rsidRPr="002F50BD">
        <w:rPr>
          <w:rFonts w:ascii="Verdana" w:hAnsi="Verdana"/>
          <w:sz w:val="20"/>
          <w:lang w:val="pt-BR"/>
        </w:rPr>
        <w:t xml:space="preserve"> na </w:t>
      </w:r>
      <w:r w:rsidR="004756C1" w:rsidRPr="002F50BD">
        <w:rPr>
          <w:rFonts w:ascii="Verdana" w:hAnsi="Verdana"/>
          <w:sz w:val="20"/>
          <w:lang w:val="pt-BR"/>
        </w:rPr>
        <w:t>tramita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caso</w:t>
      </w:r>
      <w:r w:rsidR="0089298C" w:rsidRPr="002F50BD">
        <w:rPr>
          <w:rFonts w:ascii="Verdana" w:hAnsi="Verdana"/>
          <w:sz w:val="20"/>
          <w:lang w:val="pt-BR"/>
        </w:rPr>
        <w:t xml:space="preserve"> perante a Comissão e a </w:t>
      </w:r>
      <w:r w:rsidR="004756C1" w:rsidRPr="002F50BD">
        <w:rPr>
          <w:rFonts w:ascii="Verdana" w:hAnsi="Verdana"/>
          <w:sz w:val="20"/>
          <w:lang w:val="pt-BR"/>
        </w:rPr>
        <w:t>Corte</w:t>
      </w:r>
      <w:r w:rsidR="004076AD" w:rsidRPr="002F50BD">
        <w:rPr>
          <w:rFonts w:ascii="Verdana" w:hAnsi="Verdana"/>
          <w:sz w:val="20"/>
          <w:lang w:val="pt-BR"/>
        </w:rPr>
        <w:t>. A este respeito</w:t>
      </w:r>
      <w:r w:rsidR="004756C1" w:rsidRPr="002F50BD">
        <w:rPr>
          <w:rFonts w:ascii="Verdana" w:hAnsi="Verdana"/>
          <w:sz w:val="20"/>
          <w:lang w:val="pt-BR"/>
        </w:rPr>
        <w:t xml:space="preserve">, </w:t>
      </w:r>
      <w:r w:rsidR="0089298C" w:rsidRPr="002F50BD">
        <w:rPr>
          <w:rFonts w:ascii="Verdana" w:hAnsi="Verdana"/>
          <w:sz w:val="20"/>
          <w:lang w:val="pt-BR"/>
        </w:rPr>
        <w:t>indicaram</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á pagar</w:t>
      </w:r>
      <w:r w:rsidR="0089298C" w:rsidRPr="002F50BD">
        <w:rPr>
          <w:rFonts w:ascii="Verdana" w:hAnsi="Verdana"/>
          <w:sz w:val="20"/>
          <w:lang w:val="pt-BR"/>
        </w:rPr>
        <w:t xml:space="preserve"> a quantia </w:t>
      </w:r>
      <w:r w:rsidR="004756C1" w:rsidRPr="002F50BD">
        <w:rPr>
          <w:rFonts w:ascii="Verdana" w:hAnsi="Verdana"/>
          <w:sz w:val="20"/>
          <w:lang w:val="pt-BR"/>
        </w:rPr>
        <w:t>de US $</w:t>
      </w:r>
      <w:r w:rsidR="00063B47" w:rsidRPr="002F50BD">
        <w:rPr>
          <w:rFonts w:ascii="Verdana" w:hAnsi="Verdana"/>
          <w:sz w:val="20"/>
          <w:lang w:val="pt-BR"/>
        </w:rPr>
        <w:t>25</w:t>
      </w:r>
      <w:r w:rsidR="004756C1" w:rsidRPr="002F50BD">
        <w:rPr>
          <w:rFonts w:ascii="Verdana" w:hAnsi="Verdana"/>
          <w:sz w:val="20"/>
          <w:lang w:val="pt-BR"/>
        </w:rPr>
        <w:t>.</w:t>
      </w:r>
      <w:r w:rsidR="00063B47" w:rsidRPr="002F50BD">
        <w:rPr>
          <w:rFonts w:ascii="Verdana" w:hAnsi="Verdana"/>
          <w:sz w:val="20"/>
          <w:lang w:val="pt-BR"/>
        </w:rPr>
        <w:t>668</w:t>
      </w:r>
      <w:r w:rsidR="004756C1" w:rsidRPr="002F50BD">
        <w:rPr>
          <w:rFonts w:ascii="Verdana" w:hAnsi="Verdana"/>
          <w:sz w:val="20"/>
          <w:lang w:val="pt-BR"/>
        </w:rPr>
        <w:t>,</w:t>
      </w:r>
      <w:r w:rsidR="00063B47" w:rsidRPr="002F50BD">
        <w:rPr>
          <w:rFonts w:ascii="Verdana" w:hAnsi="Verdana"/>
          <w:sz w:val="20"/>
          <w:lang w:val="pt-BR"/>
        </w:rPr>
        <w:t>86</w:t>
      </w:r>
      <w:r w:rsidR="004756C1" w:rsidRPr="002F50BD">
        <w:rPr>
          <w:rFonts w:ascii="Verdana" w:hAnsi="Verdana"/>
          <w:sz w:val="20"/>
          <w:lang w:val="pt-BR"/>
        </w:rPr>
        <w:t xml:space="preserve"> </w:t>
      </w:r>
      <w:r w:rsidR="00CF451D" w:rsidRPr="00CF451D">
        <w:rPr>
          <w:rFonts w:ascii="Verdana" w:hAnsi="Verdana"/>
          <w:sz w:val="20"/>
          <w:lang w:val="pt-BR"/>
        </w:rPr>
        <w:t>(</w:t>
      </w:r>
      <w:r w:rsidR="00A1447F" w:rsidRPr="002F50BD">
        <w:rPr>
          <w:rFonts w:ascii="Verdana" w:hAnsi="Verdana"/>
          <w:sz w:val="20"/>
          <w:lang w:val="pt-BR"/>
        </w:rPr>
        <w:t>vinte e cin</w:t>
      </w:r>
      <w:r w:rsidRPr="002F50BD">
        <w:rPr>
          <w:rFonts w:ascii="Verdana" w:hAnsi="Verdana"/>
          <w:sz w:val="20"/>
          <w:lang w:val="pt-BR"/>
        </w:rPr>
        <w:t>c</w:t>
      </w:r>
      <w:r w:rsidR="00A1447F" w:rsidRPr="002F50BD">
        <w:rPr>
          <w:rFonts w:ascii="Verdana" w:hAnsi="Verdana"/>
          <w:sz w:val="20"/>
          <w:lang w:val="pt-BR"/>
        </w:rPr>
        <w:t xml:space="preserve">o </w:t>
      </w:r>
      <w:r w:rsidR="004756C1" w:rsidRPr="002F50BD">
        <w:rPr>
          <w:rFonts w:ascii="Verdana" w:hAnsi="Verdana"/>
          <w:sz w:val="20"/>
          <w:lang w:val="pt-BR"/>
        </w:rPr>
        <w:t>mil seis</w:t>
      </w:r>
      <w:r w:rsidR="00AB454A" w:rsidRPr="002F50BD">
        <w:rPr>
          <w:rFonts w:ascii="Verdana" w:hAnsi="Verdana"/>
          <w:sz w:val="20"/>
          <w:lang w:val="pt-BR"/>
        </w:rPr>
        <w:t>cento</w:t>
      </w:r>
      <w:r w:rsidR="004756C1" w:rsidRPr="002F50BD">
        <w:rPr>
          <w:rFonts w:ascii="Verdana" w:hAnsi="Verdana"/>
          <w:sz w:val="20"/>
          <w:lang w:val="pt-BR"/>
        </w:rPr>
        <w:t xml:space="preserve">s </w:t>
      </w:r>
      <w:r w:rsidR="00A1447F" w:rsidRPr="002F50BD">
        <w:rPr>
          <w:rFonts w:ascii="Verdana" w:hAnsi="Verdana"/>
          <w:sz w:val="20"/>
          <w:lang w:val="pt-BR"/>
        </w:rPr>
        <w:t xml:space="preserve">e </w:t>
      </w:r>
      <w:r w:rsidR="0089298C" w:rsidRPr="002F50BD">
        <w:rPr>
          <w:rFonts w:ascii="Verdana" w:hAnsi="Verdana"/>
          <w:sz w:val="20"/>
          <w:lang w:val="pt-BR"/>
        </w:rPr>
        <w:t>sessenta e oito</w:t>
      </w:r>
      <w:r w:rsidR="004756C1" w:rsidRPr="002F50BD">
        <w:rPr>
          <w:rFonts w:ascii="Verdana" w:hAnsi="Verdana"/>
          <w:sz w:val="20"/>
          <w:lang w:val="pt-BR"/>
        </w:rPr>
        <w:t xml:space="preserve"> dólares</w:t>
      </w:r>
      <w:r w:rsidR="0089298C" w:rsidRPr="002F50BD">
        <w:rPr>
          <w:rFonts w:ascii="Verdana" w:hAnsi="Verdana"/>
          <w:sz w:val="20"/>
          <w:lang w:val="pt-BR"/>
        </w:rPr>
        <w:t xml:space="preserve"> </w:t>
      </w:r>
      <w:r w:rsidR="00A1447F" w:rsidRPr="002F50BD">
        <w:rPr>
          <w:rFonts w:ascii="Verdana" w:hAnsi="Verdana"/>
          <w:sz w:val="20"/>
          <w:lang w:val="pt-BR"/>
        </w:rPr>
        <w:t xml:space="preserve">e </w:t>
      </w:r>
      <w:r w:rsidR="0089298C" w:rsidRPr="002F50BD">
        <w:rPr>
          <w:rFonts w:ascii="Verdana" w:hAnsi="Verdana"/>
          <w:sz w:val="20"/>
          <w:lang w:val="pt-BR"/>
        </w:rPr>
        <w:t xml:space="preserve">oitenta e </w:t>
      </w:r>
      <w:r w:rsidR="004756C1" w:rsidRPr="002F50BD">
        <w:rPr>
          <w:rFonts w:ascii="Verdana" w:hAnsi="Verdana"/>
          <w:sz w:val="20"/>
          <w:lang w:val="pt-BR"/>
        </w:rPr>
        <w:t>seis centavos</w:t>
      </w:r>
      <w:r w:rsidR="0089298C" w:rsidRPr="002F50BD">
        <w:rPr>
          <w:rFonts w:ascii="Verdana" w:hAnsi="Verdana"/>
          <w:sz w:val="20"/>
          <w:lang w:val="pt-BR"/>
        </w:rPr>
        <w:t xml:space="preserve"> dos Estados Unidos da América</w:t>
      </w:r>
      <w:r w:rsidR="00CF451D" w:rsidRPr="00CF451D">
        <w:rPr>
          <w:rFonts w:ascii="Verdana" w:hAnsi="Verdana"/>
          <w:sz w:val="20"/>
          <w:lang w:val="pt-BR"/>
        </w:rPr>
        <w:t>)</w:t>
      </w:r>
      <w:r w:rsidR="004756C1" w:rsidRPr="002F50BD">
        <w:rPr>
          <w:rFonts w:ascii="Verdana" w:hAnsi="Verdana"/>
          <w:sz w:val="20"/>
          <w:lang w:val="pt-BR"/>
        </w:rPr>
        <w:t xml:space="preserve"> a favor</w:t>
      </w:r>
      <w:r w:rsidR="0089298C" w:rsidRPr="002F50BD">
        <w:rPr>
          <w:rFonts w:ascii="Verdana" w:hAnsi="Verdana"/>
          <w:sz w:val="20"/>
          <w:lang w:val="pt-BR"/>
        </w:rPr>
        <w:t xml:space="preserve"> da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n</w:t>
      </w:r>
      <w:r w:rsidR="00A1447F"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governamental </w:t>
      </w:r>
      <w:r w:rsidR="002D5D95" w:rsidRPr="002F50BD">
        <w:rPr>
          <w:rFonts w:ascii="Verdana" w:hAnsi="Verdana"/>
          <w:sz w:val="20"/>
          <w:lang w:val="pt-BR"/>
        </w:rPr>
        <w:t>Tierraviva</w:t>
      </w:r>
      <w:r w:rsidR="004756C1" w:rsidRPr="002F50BD">
        <w:rPr>
          <w:rFonts w:ascii="Verdana" w:hAnsi="Verdana"/>
          <w:sz w:val="20"/>
          <w:lang w:val="pt-BR"/>
        </w:rPr>
        <w:t xml:space="preserve">, </w:t>
      </w:r>
      <w:r w:rsidR="00A1447F" w:rsidRPr="002F50BD">
        <w:rPr>
          <w:rFonts w:ascii="Verdana" w:hAnsi="Verdana"/>
          <w:sz w:val="20"/>
          <w:lang w:val="pt-BR"/>
        </w:rPr>
        <w:t>bem</w:t>
      </w:r>
      <w:r w:rsidR="004756C1" w:rsidRPr="002F50BD">
        <w:rPr>
          <w:rFonts w:ascii="Verdana" w:hAnsi="Verdana"/>
          <w:sz w:val="20"/>
          <w:lang w:val="pt-BR"/>
        </w:rPr>
        <w:t xml:space="preserve"> como</w:t>
      </w:r>
      <w:r w:rsidR="00A1447F" w:rsidRPr="002F50BD">
        <w:rPr>
          <w:rFonts w:ascii="Verdana" w:hAnsi="Verdana"/>
          <w:sz w:val="20"/>
          <w:lang w:val="pt-BR"/>
        </w:rPr>
        <w:t xml:space="preserve"> a quantia</w:t>
      </w:r>
      <w:r w:rsidR="0089298C" w:rsidRPr="002F50BD">
        <w:rPr>
          <w:rFonts w:ascii="Verdana" w:hAnsi="Verdana"/>
          <w:sz w:val="20"/>
          <w:lang w:val="pt-BR"/>
        </w:rPr>
        <w:t xml:space="preserve"> </w:t>
      </w:r>
      <w:r w:rsidR="004756C1" w:rsidRPr="002F50BD">
        <w:rPr>
          <w:rFonts w:ascii="Verdana" w:hAnsi="Verdana"/>
          <w:sz w:val="20"/>
          <w:lang w:val="pt-BR"/>
        </w:rPr>
        <w:t>de US $</w:t>
      </w:r>
      <w:r w:rsidR="00063B47" w:rsidRPr="002F50BD">
        <w:rPr>
          <w:rFonts w:ascii="Verdana" w:hAnsi="Verdana"/>
          <w:sz w:val="20"/>
          <w:lang w:val="pt-BR"/>
        </w:rPr>
        <w:t>5</w:t>
      </w:r>
      <w:r w:rsidR="004756C1" w:rsidRPr="002F50BD">
        <w:rPr>
          <w:rFonts w:ascii="Verdana" w:hAnsi="Verdana"/>
          <w:sz w:val="20"/>
          <w:lang w:val="pt-BR"/>
        </w:rPr>
        <w:t>.</w:t>
      </w:r>
      <w:r w:rsidR="00063B47" w:rsidRPr="002F50BD">
        <w:rPr>
          <w:rFonts w:ascii="Verdana" w:hAnsi="Verdana"/>
          <w:sz w:val="20"/>
          <w:lang w:val="pt-BR"/>
        </w:rPr>
        <w:t>500</w:t>
      </w:r>
      <w:r w:rsidR="004756C1" w:rsidRPr="002F50BD">
        <w:rPr>
          <w:rFonts w:ascii="Verdana" w:hAnsi="Verdana"/>
          <w:sz w:val="20"/>
          <w:lang w:val="pt-BR"/>
        </w:rPr>
        <w:t>,</w:t>
      </w:r>
      <w:r w:rsidR="00063B47" w:rsidRPr="002F50BD">
        <w:rPr>
          <w:rFonts w:ascii="Verdana" w:hAnsi="Verdana"/>
          <w:sz w:val="20"/>
          <w:lang w:val="pt-BR"/>
        </w:rPr>
        <w:t>00</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 xml:space="preserve">cinco mil </w:t>
      </w:r>
      <w:r w:rsidR="00A1447F" w:rsidRPr="002F50BD">
        <w:rPr>
          <w:rFonts w:ascii="Verdana" w:hAnsi="Verdana"/>
          <w:sz w:val="20"/>
          <w:lang w:val="pt-BR"/>
        </w:rPr>
        <w:t xml:space="preserve">e </w:t>
      </w:r>
      <w:r w:rsidR="004756C1" w:rsidRPr="002F50BD">
        <w:rPr>
          <w:rFonts w:ascii="Verdana" w:hAnsi="Verdana"/>
          <w:sz w:val="20"/>
          <w:lang w:val="pt-BR"/>
        </w:rPr>
        <w:t>quin</w:t>
      </w:r>
      <w:r w:rsidR="00A1447F" w:rsidRPr="002F50BD">
        <w:rPr>
          <w:rFonts w:ascii="Verdana" w:hAnsi="Verdana"/>
          <w:sz w:val="20"/>
          <w:lang w:val="pt-BR"/>
        </w:rPr>
        <w:t>h</w:t>
      </w:r>
      <w:r w:rsidR="004756C1" w:rsidRPr="002F50BD">
        <w:rPr>
          <w:rFonts w:ascii="Verdana" w:hAnsi="Verdana"/>
          <w:sz w:val="20"/>
          <w:lang w:val="pt-BR"/>
        </w:rPr>
        <w:t>entos dólares</w:t>
      </w:r>
      <w:r w:rsidR="0089298C" w:rsidRPr="002F50BD">
        <w:rPr>
          <w:rFonts w:ascii="Verdana" w:hAnsi="Verdana"/>
          <w:sz w:val="20"/>
          <w:lang w:val="pt-BR"/>
        </w:rPr>
        <w:t xml:space="preserve"> dos Estados Unidos da América</w:t>
      </w:r>
      <w:r w:rsidR="00CF451D" w:rsidRPr="00CF451D">
        <w:rPr>
          <w:rFonts w:ascii="Verdana" w:hAnsi="Verdana"/>
          <w:sz w:val="20"/>
          <w:lang w:val="pt-BR"/>
        </w:rPr>
        <w:t>)</w:t>
      </w:r>
      <w:r w:rsidR="004756C1" w:rsidRPr="002F50BD">
        <w:rPr>
          <w:rFonts w:ascii="Verdana" w:hAnsi="Verdana"/>
          <w:sz w:val="20"/>
          <w:lang w:val="pt-BR"/>
        </w:rPr>
        <w:t xml:space="preserve"> a favor d</w:t>
      </w:r>
      <w:r w:rsidR="00A1447F" w:rsidRPr="002F50BD">
        <w:rPr>
          <w:rFonts w:ascii="Verdana" w:hAnsi="Verdana"/>
          <w:sz w:val="20"/>
          <w:lang w:val="pt-BR"/>
        </w:rPr>
        <w:t>o</w:t>
      </w:r>
      <w:r w:rsidR="004756C1" w:rsidRPr="002F50BD">
        <w:rPr>
          <w:rFonts w:ascii="Verdana" w:hAnsi="Verdana"/>
          <w:sz w:val="20"/>
          <w:lang w:val="pt-BR"/>
        </w:rPr>
        <w:t xml:space="preserve"> CEJIL </w:t>
      </w:r>
      <w:r w:rsidR="00DC0F25" w:rsidRPr="002F50BD">
        <w:rPr>
          <w:rFonts w:ascii="Verdana" w:hAnsi="Verdana"/>
          <w:sz w:val="20"/>
          <w:lang w:val="pt-BR"/>
        </w:rPr>
        <w:t>a título de</w:t>
      </w:r>
      <w:r w:rsidR="004756C1" w:rsidRPr="002F50BD">
        <w:rPr>
          <w:rFonts w:ascii="Verdana" w:hAnsi="Verdana"/>
          <w:sz w:val="20"/>
          <w:lang w:val="pt-BR"/>
        </w:rPr>
        <w:t xml:space="preserve"> </w:t>
      </w:r>
      <w:r w:rsidR="0089298C" w:rsidRPr="002F50BD">
        <w:rPr>
          <w:rFonts w:ascii="Verdana" w:hAnsi="Verdana"/>
          <w:sz w:val="20"/>
          <w:lang w:val="pt-BR"/>
        </w:rPr>
        <w:t xml:space="preserve">custas e </w:t>
      </w:r>
      <w:r w:rsidR="004756C1" w:rsidRPr="002F50BD">
        <w:rPr>
          <w:rFonts w:ascii="Verdana" w:hAnsi="Verdana"/>
          <w:sz w:val="20"/>
          <w:lang w:val="pt-BR"/>
        </w:rPr>
        <w:t xml:space="preserve">gastos. </w:t>
      </w:r>
    </w:p>
    <w:p w:rsidR="004756C1" w:rsidRPr="002F50BD" w:rsidRDefault="004756C1">
      <w:pPr>
        <w:pStyle w:val="Heading2"/>
        <w:rPr>
          <w:rFonts w:ascii="Verdana" w:hAnsi="Verdana"/>
          <w:b w:val="0"/>
          <w:sz w:val="20"/>
          <w:lang w:val="pt-BR"/>
        </w:rPr>
      </w:pPr>
    </w:p>
    <w:p w:rsidR="004756C1" w:rsidRPr="002F50BD" w:rsidRDefault="0089298C">
      <w:pPr>
        <w:pStyle w:val="Heading2"/>
        <w:jc w:val="left"/>
        <w:rPr>
          <w:rFonts w:ascii="Verdana" w:hAnsi="Verdana"/>
          <w:b w:val="0"/>
          <w:i/>
          <w:smallCaps w:val="0"/>
          <w:sz w:val="20"/>
        </w:rPr>
      </w:pPr>
      <w:r w:rsidRPr="002F50BD">
        <w:rPr>
          <w:rFonts w:ascii="Verdana" w:hAnsi="Verdana"/>
          <w:b w:val="0"/>
          <w:i/>
          <w:smallCaps w:val="0"/>
          <w:sz w:val="20"/>
        </w:rPr>
        <w:t>Alegações</w:t>
      </w:r>
      <w:r w:rsidR="004756C1" w:rsidRPr="002F50BD">
        <w:rPr>
          <w:rFonts w:ascii="Verdana" w:hAnsi="Verdana"/>
          <w:b w:val="0"/>
          <w:i/>
          <w:smallCaps w:val="0"/>
          <w:sz w:val="20"/>
        </w:rPr>
        <w:t xml:space="preserve"> </w:t>
      </w:r>
      <w:r w:rsidRPr="002F50BD">
        <w:rPr>
          <w:rFonts w:ascii="Verdana" w:hAnsi="Verdana"/>
          <w:b w:val="0"/>
          <w:i/>
          <w:smallCaps w:val="0"/>
          <w:sz w:val="20"/>
        </w:rPr>
        <w:t xml:space="preserve">do </w:t>
      </w:r>
      <w:r w:rsidR="004756C1" w:rsidRPr="002F50BD">
        <w:rPr>
          <w:rFonts w:ascii="Verdana" w:hAnsi="Verdana"/>
          <w:b w:val="0"/>
          <w:i/>
          <w:smallCaps w:val="0"/>
          <w:sz w:val="20"/>
        </w:rPr>
        <w:t>Estado</w:t>
      </w:r>
    </w:p>
    <w:p w:rsidR="00E50F4A" w:rsidRPr="002F50BD" w:rsidRDefault="00E50F4A" w:rsidP="00E50F4A">
      <w:pPr>
        <w:jc w:val="both"/>
        <w:rPr>
          <w:rFonts w:ascii="Verdana" w:hAnsi="Verdana"/>
          <w:sz w:val="20"/>
          <w:lang w:val="pt-BR"/>
        </w:rPr>
      </w:pPr>
    </w:p>
    <w:p w:rsidR="004756C1" w:rsidRPr="002F50BD" w:rsidRDefault="0089298C">
      <w:pPr>
        <w:numPr>
          <w:ilvl w:val="0"/>
          <w:numId w:val="33"/>
        </w:numPr>
        <w:jc w:val="both"/>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afirmou</w:t>
      </w:r>
      <w:r w:rsidR="004756C1" w:rsidRPr="002F50BD">
        <w:rPr>
          <w:rFonts w:ascii="Verdana" w:hAnsi="Verdana"/>
          <w:sz w:val="20"/>
          <w:lang w:val="pt-BR"/>
        </w:rPr>
        <w:t xml:space="preserve"> que n</w:t>
      </w:r>
      <w:r w:rsidR="00A1447F"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aceit</w:t>
      </w:r>
      <w:r w:rsidR="004756C1" w:rsidRPr="002F50BD">
        <w:rPr>
          <w:rFonts w:ascii="Verdana" w:hAnsi="Verdana"/>
          <w:sz w:val="20"/>
          <w:lang w:val="pt-BR"/>
        </w:rPr>
        <w:t>a</w:t>
      </w:r>
      <w:r w:rsidRPr="002F50BD">
        <w:rPr>
          <w:rFonts w:ascii="Verdana" w:hAnsi="Verdana"/>
          <w:sz w:val="20"/>
          <w:lang w:val="pt-BR"/>
        </w:rPr>
        <w:t xml:space="preserve"> o pagamento da soma </w:t>
      </w:r>
      <w:r w:rsidR="004756C1" w:rsidRPr="002F50BD">
        <w:rPr>
          <w:rFonts w:ascii="Verdana" w:hAnsi="Verdana"/>
          <w:sz w:val="20"/>
          <w:lang w:val="pt-BR"/>
        </w:rPr>
        <w:t>reclamada</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Pr="002F50BD">
        <w:rPr>
          <w:rFonts w:ascii="Verdana" w:hAnsi="Verdana"/>
          <w:sz w:val="20"/>
          <w:lang w:val="pt-BR"/>
        </w:rPr>
        <w:t>das suposta</w:t>
      </w:r>
      <w:r w:rsidR="004756C1" w:rsidRPr="002F50BD">
        <w:rPr>
          <w:rFonts w:ascii="Verdana" w:hAnsi="Verdana"/>
          <w:sz w:val="20"/>
          <w:lang w:val="pt-BR"/>
        </w:rPr>
        <w:t xml:space="preserve">s </w:t>
      </w:r>
      <w:r w:rsidRPr="002F50BD">
        <w:rPr>
          <w:rFonts w:ascii="Verdana" w:hAnsi="Verdana"/>
          <w:sz w:val="20"/>
          <w:lang w:val="pt-BR"/>
        </w:rPr>
        <w:t>vítima</w:t>
      </w:r>
      <w:r w:rsidR="004756C1" w:rsidRPr="002F50BD">
        <w:rPr>
          <w:rFonts w:ascii="Verdana" w:hAnsi="Verdana"/>
          <w:sz w:val="20"/>
          <w:lang w:val="pt-BR"/>
        </w:rPr>
        <w:t xml:space="preserve">s </w:t>
      </w:r>
      <w:r w:rsidR="00DC0F25" w:rsidRPr="002F50BD">
        <w:rPr>
          <w:rFonts w:ascii="Verdana" w:hAnsi="Verdana"/>
          <w:sz w:val="20"/>
          <w:lang w:val="pt-BR"/>
        </w:rPr>
        <w:t>a título de</w:t>
      </w:r>
      <w:r w:rsidR="004756C1" w:rsidRPr="002F50BD">
        <w:rPr>
          <w:rFonts w:ascii="Verdana" w:hAnsi="Verdana"/>
          <w:sz w:val="20"/>
          <w:lang w:val="pt-BR"/>
        </w:rPr>
        <w:t xml:space="preserve"> </w:t>
      </w:r>
      <w:r w:rsidRPr="002F50BD">
        <w:rPr>
          <w:rFonts w:ascii="Verdana" w:hAnsi="Verdana"/>
          <w:sz w:val="20"/>
          <w:lang w:val="pt-BR"/>
        </w:rPr>
        <w:t xml:space="preserve">custas e </w:t>
      </w:r>
      <w:r w:rsidR="004756C1" w:rsidRPr="002F50BD">
        <w:rPr>
          <w:rFonts w:ascii="Verdana" w:hAnsi="Verdana"/>
          <w:sz w:val="20"/>
          <w:lang w:val="pt-BR"/>
        </w:rPr>
        <w:t>gastos</w:t>
      </w:r>
      <w:r w:rsidR="001A0CDE" w:rsidRPr="002F50BD">
        <w:rPr>
          <w:rFonts w:ascii="Verdana" w:hAnsi="Verdana"/>
          <w:sz w:val="20"/>
          <w:lang w:val="pt-BR"/>
        </w:rPr>
        <w:t xml:space="preserve">. </w:t>
      </w:r>
      <w:r w:rsidR="00CF451D">
        <w:rPr>
          <w:rFonts w:ascii="Verdana" w:hAnsi="Verdana"/>
          <w:sz w:val="20"/>
          <w:lang w:val="pt-BR"/>
        </w:rPr>
        <w:t>Nesse sentido,</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argumentou</w:t>
      </w:r>
      <w:r w:rsidR="004756C1" w:rsidRPr="002F50BD">
        <w:rPr>
          <w:rFonts w:ascii="Verdana" w:hAnsi="Verdana"/>
          <w:sz w:val="20"/>
          <w:lang w:val="pt-BR"/>
        </w:rPr>
        <w:t xml:space="preserve"> que:</w:t>
      </w:r>
    </w:p>
    <w:p w:rsidR="004756C1" w:rsidRPr="002F50BD" w:rsidRDefault="004756C1">
      <w:pPr>
        <w:ind w:firstLine="180"/>
        <w:jc w:val="both"/>
        <w:rPr>
          <w:rFonts w:ascii="Verdana" w:hAnsi="Verdana"/>
          <w:sz w:val="20"/>
          <w:lang w:val="pt-BR"/>
        </w:rPr>
      </w:pPr>
    </w:p>
    <w:p w:rsidR="004756C1" w:rsidRPr="002F50BD" w:rsidRDefault="004756C1">
      <w:pPr>
        <w:pStyle w:val="BodyTextIndent"/>
        <w:numPr>
          <w:ilvl w:val="0"/>
          <w:numId w:val="22"/>
        </w:numPr>
        <w:tabs>
          <w:tab w:val="left" w:pos="1080"/>
        </w:tabs>
        <w:ind w:left="720"/>
        <w:rPr>
          <w:rFonts w:ascii="Verdana" w:hAnsi="Verdana"/>
          <w:sz w:val="20"/>
          <w:lang w:val="pt-BR"/>
        </w:rPr>
      </w:pPr>
      <w:r w:rsidRPr="002F50BD">
        <w:rPr>
          <w:rFonts w:ascii="Verdana" w:hAnsi="Verdana"/>
          <w:sz w:val="20"/>
          <w:lang w:val="pt-BR"/>
        </w:rPr>
        <w:t>s</w:t>
      </w:r>
      <w:r w:rsidR="00A1447F" w:rsidRPr="002F50BD">
        <w:rPr>
          <w:rFonts w:ascii="Verdana" w:hAnsi="Verdana"/>
          <w:sz w:val="20"/>
          <w:lang w:val="pt-BR"/>
        </w:rPr>
        <w:t>ão</w:t>
      </w:r>
      <w:r w:rsidR="0089298C" w:rsidRPr="002F50BD">
        <w:rPr>
          <w:rFonts w:ascii="Verdana" w:hAnsi="Verdana"/>
          <w:sz w:val="20"/>
          <w:lang w:val="pt-BR"/>
        </w:rPr>
        <w:t xml:space="preserve"> os advogad</w:t>
      </w:r>
      <w:r w:rsidRPr="002F50BD">
        <w:rPr>
          <w:rFonts w:ascii="Verdana" w:hAnsi="Verdana"/>
          <w:sz w:val="20"/>
          <w:lang w:val="pt-BR"/>
        </w:rPr>
        <w:t>os</w:t>
      </w:r>
      <w:r w:rsidR="0089298C" w:rsidRPr="002F50BD">
        <w:rPr>
          <w:rFonts w:ascii="Verdana" w:hAnsi="Verdana"/>
          <w:sz w:val="20"/>
          <w:lang w:val="pt-BR"/>
        </w:rPr>
        <w:t xml:space="preserve"> da Comunidad</w:t>
      </w:r>
      <w:r w:rsidR="00A1447F" w:rsidRPr="002F50BD">
        <w:rPr>
          <w:rFonts w:ascii="Verdana" w:hAnsi="Verdana"/>
          <w:sz w:val="20"/>
          <w:lang w:val="pt-BR"/>
        </w:rPr>
        <w:t xml:space="preserve">e </w:t>
      </w:r>
      <w:r w:rsidR="0089298C" w:rsidRPr="002F50BD">
        <w:rPr>
          <w:rFonts w:ascii="Verdana" w:hAnsi="Verdana"/>
          <w:sz w:val="20"/>
          <w:lang w:val="pt-BR"/>
        </w:rPr>
        <w:t xml:space="preserve">os </w:t>
      </w:r>
      <w:r w:rsidRPr="002F50BD">
        <w:rPr>
          <w:rFonts w:ascii="Verdana" w:hAnsi="Verdana"/>
          <w:sz w:val="20"/>
          <w:lang w:val="pt-BR"/>
        </w:rPr>
        <w:t xml:space="preserve">que “por </w:t>
      </w:r>
      <w:r w:rsidR="00B756DC" w:rsidRPr="002F50BD">
        <w:rPr>
          <w:rFonts w:ascii="Verdana" w:hAnsi="Verdana"/>
          <w:sz w:val="20"/>
          <w:lang w:val="pt-BR"/>
        </w:rPr>
        <w:t>negligência</w:t>
      </w:r>
      <w:r w:rsidRPr="002F50BD">
        <w:rPr>
          <w:rFonts w:ascii="Verdana" w:hAnsi="Verdana"/>
          <w:sz w:val="20"/>
          <w:lang w:val="pt-BR"/>
        </w:rPr>
        <w:t xml:space="preserve"> </w:t>
      </w:r>
      <w:r w:rsidR="00A1447F" w:rsidRPr="002F50BD">
        <w:rPr>
          <w:rFonts w:ascii="Verdana" w:hAnsi="Verdana"/>
          <w:sz w:val="20"/>
          <w:lang w:val="pt-BR"/>
        </w:rPr>
        <w:t xml:space="preserve">perderam </w:t>
      </w:r>
      <w:r w:rsidR="0089298C" w:rsidRPr="002F50BD">
        <w:rPr>
          <w:rFonts w:ascii="Verdana" w:hAnsi="Verdana"/>
          <w:sz w:val="20"/>
          <w:lang w:val="pt-BR"/>
        </w:rPr>
        <w:t xml:space="preserve">o </w:t>
      </w:r>
      <w:r w:rsidRPr="002F50BD">
        <w:rPr>
          <w:rFonts w:ascii="Verdana" w:hAnsi="Verdana"/>
          <w:sz w:val="20"/>
          <w:lang w:val="pt-BR"/>
        </w:rPr>
        <w:t>caso</w:t>
      </w:r>
      <w:r w:rsidR="0089298C" w:rsidRPr="002F50BD">
        <w:rPr>
          <w:rFonts w:ascii="Verdana" w:hAnsi="Verdana"/>
          <w:sz w:val="20"/>
          <w:lang w:val="pt-BR"/>
        </w:rPr>
        <w:t xml:space="preserve"> no qual </w:t>
      </w:r>
      <w:r w:rsidRPr="002F50BD">
        <w:rPr>
          <w:rFonts w:ascii="Verdana" w:hAnsi="Verdana"/>
          <w:sz w:val="20"/>
          <w:lang w:val="pt-BR"/>
        </w:rPr>
        <w:t>po</w:t>
      </w:r>
      <w:r w:rsidR="0089298C" w:rsidRPr="002F50BD">
        <w:rPr>
          <w:rFonts w:ascii="Verdana" w:hAnsi="Verdana"/>
          <w:sz w:val="20"/>
          <w:lang w:val="pt-BR"/>
        </w:rPr>
        <w:t>d</w:t>
      </w:r>
      <w:r w:rsidR="00A1447F" w:rsidRPr="002F50BD">
        <w:rPr>
          <w:rFonts w:ascii="Verdana" w:hAnsi="Verdana"/>
          <w:sz w:val="20"/>
          <w:lang w:val="pt-BR"/>
        </w:rPr>
        <w:t>er</w:t>
      </w:r>
      <w:r w:rsidR="0089298C" w:rsidRPr="002F50BD">
        <w:rPr>
          <w:rFonts w:ascii="Verdana" w:hAnsi="Verdana"/>
          <w:sz w:val="20"/>
          <w:lang w:val="pt-BR"/>
        </w:rPr>
        <w:t>ia</w:t>
      </w:r>
      <w:r w:rsidRPr="002F50BD">
        <w:rPr>
          <w:rFonts w:ascii="Verdana" w:hAnsi="Verdana"/>
          <w:sz w:val="20"/>
          <w:lang w:val="pt-BR"/>
        </w:rPr>
        <w:t xml:space="preserve"> </w:t>
      </w:r>
      <w:r w:rsidR="00754117" w:rsidRPr="002F50BD">
        <w:rPr>
          <w:rFonts w:ascii="Verdana" w:hAnsi="Verdana"/>
          <w:sz w:val="20"/>
          <w:lang w:val="pt-BR"/>
        </w:rPr>
        <w:t xml:space="preserve">ter sido </w:t>
      </w:r>
      <w:r w:rsidR="00A1447F" w:rsidRPr="002F50BD">
        <w:rPr>
          <w:rFonts w:ascii="Verdana" w:hAnsi="Verdana"/>
          <w:sz w:val="20"/>
          <w:lang w:val="pt-BR"/>
        </w:rPr>
        <w:t>resolvid</w:t>
      </w:r>
      <w:r w:rsidR="00754117" w:rsidRPr="002F50BD">
        <w:rPr>
          <w:rFonts w:ascii="Verdana" w:hAnsi="Verdana"/>
          <w:sz w:val="20"/>
          <w:lang w:val="pt-BR"/>
        </w:rPr>
        <w:t>a</w:t>
      </w:r>
      <w:r w:rsidR="00A1447F" w:rsidRPr="002F50BD">
        <w:rPr>
          <w:rFonts w:ascii="Verdana" w:hAnsi="Verdana"/>
          <w:sz w:val="20"/>
          <w:lang w:val="pt-BR"/>
        </w:rPr>
        <w:t xml:space="preserve"> </w:t>
      </w:r>
      <w:r w:rsidR="0089298C" w:rsidRPr="002F50BD">
        <w:rPr>
          <w:rFonts w:ascii="Verdana" w:hAnsi="Verdana"/>
          <w:sz w:val="20"/>
          <w:lang w:val="pt-BR"/>
        </w:rPr>
        <w:t>a questão</w:t>
      </w:r>
      <w:r w:rsidRPr="002F50BD">
        <w:rPr>
          <w:rFonts w:ascii="Verdana" w:hAnsi="Verdana"/>
          <w:sz w:val="20"/>
          <w:lang w:val="pt-BR"/>
        </w:rPr>
        <w:t xml:space="preserve"> d</w:t>
      </w:r>
      <w:r w:rsidR="005A282A" w:rsidRPr="002F50BD">
        <w:rPr>
          <w:rFonts w:ascii="Verdana" w:hAnsi="Verdana"/>
          <w:sz w:val="20"/>
          <w:lang w:val="pt-BR"/>
        </w:rPr>
        <w:t>o</w:t>
      </w:r>
      <w:r w:rsidRPr="002F50BD">
        <w:rPr>
          <w:rFonts w:ascii="Verdana" w:hAnsi="Verdana"/>
          <w:sz w:val="20"/>
          <w:lang w:val="pt-BR"/>
        </w:rPr>
        <w:t xml:space="preserve"> </w:t>
      </w:r>
      <w:r w:rsidR="0089298C" w:rsidRPr="002F50BD">
        <w:rPr>
          <w:rFonts w:ascii="Verdana" w:hAnsi="Verdana"/>
          <w:sz w:val="20"/>
          <w:lang w:val="pt-BR"/>
        </w:rPr>
        <w:t>melhor</w:t>
      </w:r>
      <w:r w:rsidRPr="002F50BD">
        <w:rPr>
          <w:rFonts w:ascii="Verdana" w:hAnsi="Verdana"/>
          <w:sz w:val="20"/>
          <w:lang w:val="pt-BR"/>
        </w:rPr>
        <w:t xml:space="preserve"> </w:t>
      </w:r>
      <w:r w:rsidR="0089298C" w:rsidRPr="002F50BD">
        <w:rPr>
          <w:rFonts w:ascii="Verdana" w:hAnsi="Verdana"/>
          <w:sz w:val="20"/>
          <w:lang w:val="pt-BR"/>
        </w:rPr>
        <w:t>direito</w:t>
      </w:r>
      <w:r w:rsidRPr="002F50BD">
        <w:rPr>
          <w:rFonts w:ascii="Verdana" w:hAnsi="Verdana"/>
          <w:sz w:val="20"/>
          <w:lang w:val="pt-BR"/>
        </w:rPr>
        <w:t xml:space="preserve">”, </w:t>
      </w:r>
      <w:r w:rsidR="00A1447F" w:rsidRPr="002F50BD">
        <w:rPr>
          <w:rFonts w:ascii="Verdana" w:hAnsi="Verdana"/>
          <w:sz w:val="20"/>
          <w:lang w:val="pt-BR"/>
        </w:rPr>
        <w:t>raz</w:t>
      </w:r>
      <w:r w:rsidR="00754117" w:rsidRPr="002F50BD">
        <w:rPr>
          <w:rFonts w:ascii="Verdana" w:hAnsi="Verdana"/>
          <w:sz w:val="20"/>
          <w:lang w:val="pt-BR"/>
        </w:rPr>
        <w:t>ão</w:t>
      </w:r>
      <w:r w:rsidR="00A1447F" w:rsidRPr="002F50BD">
        <w:rPr>
          <w:rFonts w:ascii="Verdana" w:hAnsi="Verdana"/>
          <w:sz w:val="20"/>
          <w:lang w:val="pt-BR"/>
        </w:rPr>
        <w:t xml:space="preserve"> pela </w:t>
      </w:r>
      <w:r w:rsidR="0089298C" w:rsidRPr="002F50BD">
        <w:rPr>
          <w:rFonts w:ascii="Verdana" w:hAnsi="Verdana"/>
          <w:sz w:val="20"/>
          <w:lang w:val="pt-BR"/>
        </w:rPr>
        <w:t xml:space="preserve">qual </w:t>
      </w:r>
      <w:r w:rsidRPr="002F50BD">
        <w:rPr>
          <w:rFonts w:ascii="Verdana" w:hAnsi="Verdana"/>
          <w:sz w:val="20"/>
          <w:lang w:val="pt-BR"/>
        </w:rPr>
        <w:t>n</w:t>
      </w:r>
      <w:r w:rsidR="00A1447F" w:rsidRPr="002F50BD">
        <w:rPr>
          <w:rFonts w:ascii="Verdana" w:hAnsi="Verdana"/>
          <w:sz w:val="20"/>
          <w:lang w:val="pt-BR"/>
        </w:rPr>
        <w:t>ã</w:t>
      </w:r>
      <w:r w:rsidRPr="002F50BD">
        <w:rPr>
          <w:rFonts w:ascii="Verdana" w:hAnsi="Verdana"/>
          <w:sz w:val="20"/>
          <w:lang w:val="pt-BR"/>
        </w:rPr>
        <w:t xml:space="preserve">o se </w:t>
      </w:r>
      <w:r w:rsidR="0089298C" w:rsidRPr="002F50BD">
        <w:rPr>
          <w:rFonts w:ascii="Verdana" w:hAnsi="Verdana"/>
          <w:sz w:val="20"/>
          <w:lang w:val="pt-BR"/>
        </w:rPr>
        <w:t>pode</w:t>
      </w:r>
      <w:r w:rsidRPr="002F50BD">
        <w:rPr>
          <w:rFonts w:ascii="Verdana" w:hAnsi="Verdana"/>
          <w:sz w:val="20"/>
          <w:lang w:val="pt-BR"/>
        </w:rPr>
        <w:t xml:space="preserve"> “vir a pedir que [a] Corte impon</w:t>
      </w:r>
      <w:r w:rsidR="00A1447F" w:rsidRPr="002F50BD">
        <w:rPr>
          <w:rFonts w:ascii="Verdana" w:hAnsi="Verdana"/>
          <w:sz w:val="20"/>
          <w:lang w:val="pt-BR"/>
        </w:rPr>
        <w:t>h</w:t>
      </w:r>
      <w:r w:rsidRPr="002F50BD">
        <w:rPr>
          <w:rFonts w:ascii="Verdana" w:hAnsi="Verdana"/>
          <w:sz w:val="20"/>
          <w:lang w:val="pt-BR"/>
        </w:rPr>
        <w:t xml:space="preserve">a </w:t>
      </w:r>
      <w:r w:rsidR="0089298C" w:rsidRPr="002F50BD">
        <w:rPr>
          <w:rFonts w:ascii="Verdana" w:hAnsi="Verdana"/>
          <w:sz w:val="20"/>
          <w:lang w:val="pt-BR"/>
        </w:rPr>
        <w:t>custas</w:t>
      </w:r>
      <w:r w:rsidRPr="002F50BD">
        <w:rPr>
          <w:rFonts w:ascii="Verdana" w:hAnsi="Verdana"/>
          <w:sz w:val="20"/>
          <w:lang w:val="pt-BR"/>
        </w:rPr>
        <w:t xml:space="preserve">, </w:t>
      </w:r>
      <w:r w:rsidR="0089298C" w:rsidRPr="002F50BD">
        <w:rPr>
          <w:rFonts w:ascii="Verdana" w:hAnsi="Verdana"/>
          <w:sz w:val="20"/>
          <w:lang w:val="pt-BR"/>
        </w:rPr>
        <w:t xml:space="preserve">quando os tribunais e a </w:t>
      </w:r>
      <w:r w:rsidRPr="002F50BD">
        <w:rPr>
          <w:rFonts w:ascii="Verdana" w:hAnsi="Verdana"/>
          <w:sz w:val="20"/>
          <w:lang w:val="pt-BR"/>
        </w:rPr>
        <w:t xml:space="preserve">Corte Suprema de </w:t>
      </w:r>
      <w:r w:rsidR="0089298C" w:rsidRPr="002F50BD">
        <w:rPr>
          <w:rFonts w:ascii="Verdana" w:hAnsi="Verdana"/>
          <w:sz w:val="20"/>
          <w:lang w:val="pt-BR"/>
        </w:rPr>
        <w:t>Justiça</w:t>
      </w:r>
      <w:r w:rsidRPr="002F50BD">
        <w:rPr>
          <w:rFonts w:ascii="Verdana" w:hAnsi="Verdana"/>
          <w:sz w:val="20"/>
          <w:lang w:val="pt-BR"/>
        </w:rPr>
        <w:t xml:space="preserve"> </w:t>
      </w:r>
      <w:r w:rsidR="00A1447F" w:rsidRPr="002F50BD">
        <w:rPr>
          <w:rFonts w:ascii="Verdana" w:hAnsi="Verdana"/>
          <w:sz w:val="20"/>
          <w:lang w:val="pt-BR"/>
        </w:rPr>
        <w:t xml:space="preserve">realizaram determinações </w:t>
      </w:r>
      <w:r w:rsidRPr="002F50BD">
        <w:rPr>
          <w:rFonts w:ascii="Verdana" w:hAnsi="Verdana"/>
          <w:sz w:val="20"/>
          <w:lang w:val="pt-BR"/>
        </w:rPr>
        <w:t>conforme</w:t>
      </w:r>
      <w:r w:rsidR="0089298C" w:rsidRPr="002F50BD">
        <w:rPr>
          <w:rFonts w:ascii="Verdana" w:hAnsi="Verdana"/>
          <w:sz w:val="20"/>
          <w:lang w:val="pt-BR"/>
        </w:rPr>
        <w:t xml:space="preserve"> as leis</w:t>
      </w:r>
      <w:r w:rsidRPr="002F50BD">
        <w:rPr>
          <w:rFonts w:ascii="Verdana" w:hAnsi="Verdana"/>
          <w:sz w:val="20"/>
          <w:lang w:val="pt-BR"/>
        </w:rPr>
        <w:t xml:space="preserve"> internas </w:t>
      </w:r>
      <w:r w:rsidR="00A1447F" w:rsidRPr="002F50BD">
        <w:rPr>
          <w:rFonts w:ascii="Verdana" w:hAnsi="Verdana"/>
          <w:sz w:val="20"/>
          <w:lang w:val="pt-BR"/>
        </w:rPr>
        <w:t xml:space="preserve">de </w:t>
      </w:r>
      <w:r w:rsidRPr="002F50BD">
        <w:rPr>
          <w:rFonts w:ascii="Verdana" w:hAnsi="Verdana"/>
          <w:sz w:val="20"/>
          <w:lang w:val="pt-BR"/>
        </w:rPr>
        <w:t>que</w:t>
      </w:r>
      <w:r w:rsidR="0089298C" w:rsidRPr="002F50BD">
        <w:rPr>
          <w:rFonts w:ascii="Verdana" w:hAnsi="Verdana"/>
          <w:sz w:val="20"/>
          <w:lang w:val="pt-BR"/>
        </w:rPr>
        <w:t xml:space="preserve"> as </w:t>
      </w:r>
      <w:r w:rsidR="00A1447F" w:rsidRPr="002F50BD">
        <w:rPr>
          <w:rFonts w:ascii="Verdana" w:hAnsi="Verdana"/>
          <w:sz w:val="20"/>
          <w:lang w:val="pt-BR"/>
        </w:rPr>
        <w:t xml:space="preserve">custas </w:t>
      </w:r>
      <w:r w:rsidR="0089298C" w:rsidRPr="002F50BD">
        <w:rPr>
          <w:rFonts w:ascii="Verdana" w:hAnsi="Verdana"/>
          <w:sz w:val="20"/>
          <w:lang w:val="pt-BR"/>
        </w:rPr>
        <w:t>devem</w:t>
      </w:r>
      <w:r w:rsidRPr="002F50BD">
        <w:rPr>
          <w:rFonts w:ascii="Verdana" w:hAnsi="Verdana"/>
          <w:sz w:val="20"/>
          <w:lang w:val="pt-BR"/>
        </w:rPr>
        <w:t xml:space="preserve"> ser </w:t>
      </w:r>
      <w:r w:rsidR="00A1447F" w:rsidRPr="002F50BD">
        <w:rPr>
          <w:rFonts w:ascii="Verdana" w:hAnsi="Verdana"/>
          <w:sz w:val="20"/>
          <w:lang w:val="pt-BR"/>
        </w:rPr>
        <w:t>cobertas no sistema legal onde o caso foi ouvido</w:t>
      </w:r>
      <w:r w:rsidRPr="002F50BD">
        <w:rPr>
          <w:rFonts w:ascii="Verdana" w:hAnsi="Verdana"/>
          <w:sz w:val="20"/>
          <w:lang w:val="pt-BR"/>
        </w:rPr>
        <w:t>, favorecendo</w:t>
      </w:r>
      <w:r w:rsidR="0089298C" w:rsidRPr="002F50BD">
        <w:rPr>
          <w:rFonts w:ascii="Verdana" w:hAnsi="Verdana"/>
          <w:sz w:val="20"/>
          <w:lang w:val="pt-BR"/>
        </w:rPr>
        <w:t xml:space="preserve"> </w:t>
      </w:r>
      <w:r w:rsidR="00A1447F" w:rsidRPr="002F50BD">
        <w:rPr>
          <w:rFonts w:ascii="Verdana" w:hAnsi="Verdana"/>
          <w:sz w:val="20"/>
          <w:lang w:val="pt-BR"/>
        </w:rPr>
        <w:t>portanto a</w:t>
      </w:r>
      <w:r w:rsidR="0089298C" w:rsidRPr="002F50BD">
        <w:rPr>
          <w:rFonts w:ascii="Verdana" w:hAnsi="Verdana"/>
          <w:sz w:val="20"/>
          <w:lang w:val="pt-BR"/>
        </w:rPr>
        <w:t xml:space="preserve"> Comunidade </w:t>
      </w:r>
      <w:r w:rsidRPr="002F50BD">
        <w:rPr>
          <w:rFonts w:ascii="Verdana" w:hAnsi="Verdana"/>
          <w:sz w:val="20"/>
          <w:lang w:val="pt-BR"/>
        </w:rPr>
        <w:t>indígena</w:t>
      </w:r>
      <w:r w:rsidR="0089298C" w:rsidRPr="002F50BD">
        <w:rPr>
          <w:rFonts w:ascii="Verdana" w:hAnsi="Verdana"/>
          <w:sz w:val="20"/>
          <w:lang w:val="pt-BR"/>
        </w:rPr>
        <w:t xml:space="preserve"> neste </w:t>
      </w:r>
      <w:r w:rsidRPr="002F50BD">
        <w:rPr>
          <w:rFonts w:ascii="Verdana" w:hAnsi="Verdana"/>
          <w:sz w:val="20"/>
          <w:lang w:val="pt-BR"/>
        </w:rPr>
        <w:t>caso”</w:t>
      </w:r>
      <w:r w:rsidR="0089298C" w:rsidRPr="002F50BD">
        <w:rPr>
          <w:rFonts w:ascii="Verdana" w:hAnsi="Verdana"/>
          <w:sz w:val="20"/>
          <w:lang w:val="pt-BR"/>
        </w:rPr>
        <w:t>, e</w:t>
      </w:r>
    </w:p>
    <w:p w:rsidR="004756C1" w:rsidRPr="002F50BD" w:rsidRDefault="004756C1">
      <w:pPr>
        <w:pStyle w:val="BodyTextIndent"/>
        <w:tabs>
          <w:tab w:val="left" w:pos="1080"/>
        </w:tabs>
        <w:ind w:left="720"/>
        <w:rPr>
          <w:rFonts w:ascii="Verdana" w:hAnsi="Verdana"/>
          <w:sz w:val="20"/>
          <w:lang w:val="pt-BR"/>
        </w:rPr>
      </w:pPr>
    </w:p>
    <w:p w:rsidR="004756C1" w:rsidRPr="002F50BD" w:rsidRDefault="004756C1">
      <w:pPr>
        <w:pStyle w:val="BodyTextIndent"/>
        <w:numPr>
          <w:ilvl w:val="0"/>
          <w:numId w:val="22"/>
        </w:numPr>
        <w:tabs>
          <w:tab w:val="left" w:pos="1080"/>
        </w:tabs>
        <w:ind w:left="720"/>
        <w:rPr>
          <w:rFonts w:ascii="Verdana" w:hAnsi="Verdana"/>
          <w:sz w:val="20"/>
          <w:lang w:val="pt-BR"/>
        </w:rPr>
      </w:pPr>
      <w:r w:rsidRPr="002F50BD">
        <w:rPr>
          <w:rFonts w:ascii="Verdana" w:hAnsi="Verdana"/>
          <w:sz w:val="20"/>
          <w:lang w:val="pt-BR"/>
        </w:rPr>
        <w:t>“n</w:t>
      </w:r>
      <w:r w:rsidR="00A1447F" w:rsidRPr="002F50BD">
        <w:rPr>
          <w:rFonts w:ascii="Verdana" w:hAnsi="Verdana"/>
          <w:sz w:val="20"/>
          <w:lang w:val="pt-BR"/>
        </w:rPr>
        <w:t>ã</w:t>
      </w:r>
      <w:r w:rsidRPr="002F50BD">
        <w:rPr>
          <w:rFonts w:ascii="Verdana" w:hAnsi="Verdana"/>
          <w:sz w:val="20"/>
          <w:lang w:val="pt-BR"/>
        </w:rPr>
        <w:t xml:space="preserve">o se </w:t>
      </w:r>
      <w:r w:rsidR="00D95E71" w:rsidRPr="002F50BD">
        <w:rPr>
          <w:rFonts w:ascii="Verdana" w:hAnsi="Verdana"/>
          <w:sz w:val="20"/>
          <w:lang w:val="pt-BR"/>
        </w:rPr>
        <w:t xml:space="preserve">justificou </w:t>
      </w:r>
      <w:r w:rsidR="0089298C" w:rsidRPr="002F50BD">
        <w:rPr>
          <w:rFonts w:ascii="Verdana" w:hAnsi="Verdana"/>
          <w:sz w:val="20"/>
          <w:lang w:val="pt-BR"/>
        </w:rPr>
        <w:t xml:space="preserve">a </w:t>
      </w:r>
      <w:r w:rsidRPr="002F50BD">
        <w:rPr>
          <w:rFonts w:ascii="Verdana" w:hAnsi="Verdana"/>
          <w:sz w:val="20"/>
          <w:lang w:val="pt-BR"/>
        </w:rPr>
        <w:t>pertin</w:t>
      </w:r>
      <w:r w:rsidR="00A1447F" w:rsidRPr="002F50BD">
        <w:rPr>
          <w:rFonts w:ascii="Verdana" w:hAnsi="Verdana"/>
          <w:sz w:val="20"/>
          <w:lang w:val="pt-BR"/>
        </w:rPr>
        <w:t>ê</w:t>
      </w:r>
      <w:r w:rsidRPr="002F50BD">
        <w:rPr>
          <w:rFonts w:ascii="Verdana" w:hAnsi="Verdana"/>
          <w:sz w:val="20"/>
          <w:lang w:val="pt-BR"/>
        </w:rPr>
        <w:t>ncia</w:t>
      </w:r>
      <w:r w:rsidR="0089298C" w:rsidRPr="002F50BD">
        <w:rPr>
          <w:rFonts w:ascii="Verdana" w:hAnsi="Verdana"/>
          <w:sz w:val="20"/>
          <w:lang w:val="pt-BR"/>
        </w:rPr>
        <w:t xml:space="preserve"> d</w:t>
      </w:r>
      <w:r w:rsidR="00A1447F" w:rsidRPr="002F50BD">
        <w:rPr>
          <w:rFonts w:ascii="Verdana" w:hAnsi="Verdana"/>
          <w:sz w:val="20"/>
          <w:lang w:val="pt-BR"/>
        </w:rPr>
        <w:t>a</w:t>
      </w:r>
      <w:r w:rsidR="0089298C" w:rsidRPr="002F50BD">
        <w:rPr>
          <w:rFonts w:ascii="Verdana" w:hAnsi="Verdana"/>
          <w:sz w:val="20"/>
          <w:lang w:val="pt-BR"/>
        </w:rPr>
        <w:t>s viagens</w:t>
      </w:r>
      <w:r w:rsidRPr="002F50BD">
        <w:rPr>
          <w:rFonts w:ascii="Verdana" w:hAnsi="Verdana"/>
          <w:sz w:val="20"/>
          <w:lang w:val="pt-BR"/>
        </w:rPr>
        <w:t>, comunica</w:t>
      </w:r>
      <w:r w:rsidR="0089298C" w:rsidRPr="002F50BD">
        <w:rPr>
          <w:rFonts w:ascii="Verdana" w:hAnsi="Verdana"/>
          <w:sz w:val="20"/>
          <w:lang w:val="pt-BR"/>
        </w:rPr>
        <w:t>ções</w:t>
      </w:r>
      <w:r w:rsidRPr="002F50BD">
        <w:rPr>
          <w:rFonts w:ascii="Verdana" w:hAnsi="Verdana"/>
          <w:sz w:val="20"/>
          <w:lang w:val="pt-BR"/>
        </w:rPr>
        <w:t xml:space="preserve">, </w:t>
      </w:r>
      <w:r w:rsidR="00A1447F" w:rsidRPr="002F50BD">
        <w:rPr>
          <w:rFonts w:ascii="Verdana" w:hAnsi="Verdana"/>
          <w:sz w:val="20"/>
          <w:lang w:val="pt-BR"/>
        </w:rPr>
        <w:t>materiais de escritório</w:t>
      </w:r>
      <w:r w:rsidR="0089298C" w:rsidRPr="002F50BD">
        <w:rPr>
          <w:rFonts w:ascii="Verdana" w:hAnsi="Verdana"/>
          <w:sz w:val="20"/>
          <w:lang w:val="pt-BR"/>
        </w:rPr>
        <w:t xml:space="preserve"> e </w:t>
      </w:r>
      <w:r w:rsidRPr="002F50BD">
        <w:rPr>
          <w:rFonts w:ascii="Verdana" w:hAnsi="Verdana"/>
          <w:sz w:val="20"/>
          <w:lang w:val="pt-BR"/>
        </w:rPr>
        <w:t>env</w:t>
      </w:r>
      <w:r w:rsidR="00A1447F" w:rsidRPr="002F50BD">
        <w:rPr>
          <w:rFonts w:ascii="Verdana" w:hAnsi="Verdana"/>
          <w:sz w:val="20"/>
          <w:lang w:val="pt-BR"/>
        </w:rPr>
        <w:t>i</w:t>
      </w:r>
      <w:r w:rsidRPr="002F50BD">
        <w:rPr>
          <w:rFonts w:ascii="Verdana" w:hAnsi="Verdana"/>
          <w:sz w:val="20"/>
          <w:lang w:val="pt-BR"/>
        </w:rPr>
        <w:t>os, [… t]am</w:t>
      </w:r>
      <w:r w:rsidR="0089298C" w:rsidRPr="002F50BD">
        <w:rPr>
          <w:rFonts w:ascii="Verdana" w:hAnsi="Verdana"/>
          <w:sz w:val="20"/>
          <w:lang w:val="pt-BR"/>
        </w:rPr>
        <w:t xml:space="preserve">pouco </w:t>
      </w:r>
      <w:r w:rsidRPr="002F50BD">
        <w:rPr>
          <w:rFonts w:ascii="Verdana" w:hAnsi="Verdana"/>
          <w:sz w:val="20"/>
          <w:lang w:val="pt-BR"/>
        </w:rPr>
        <w:t xml:space="preserve">se </w:t>
      </w:r>
      <w:r w:rsidR="00D95E71" w:rsidRPr="002F50BD">
        <w:rPr>
          <w:rFonts w:ascii="Verdana" w:hAnsi="Verdana"/>
          <w:sz w:val="20"/>
          <w:lang w:val="pt-BR"/>
        </w:rPr>
        <w:t xml:space="preserve">justificou </w:t>
      </w:r>
      <w:r w:rsidRPr="002F50BD">
        <w:rPr>
          <w:rFonts w:ascii="Verdana" w:hAnsi="Verdana"/>
          <w:sz w:val="20"/>
          <w:lang w:val="pt-BR"/>
        </w:rPr>
        <w:t>que</w:t>
      </w:r>
      <w:r w:rsidR="0089298C" w:rsidRPr="002F50BD">
        <w:rPr>
          <w:rFonts w:ascii="Verdana" w:hAnsi="Verdana"/>
          <w:sz w:val="20"/>
          <w:lang w:val="pt-BR"/>
        </w:rPr>
        <w:t xml:space="preserve"> os </w:t>
      </w:r>
      <w:r w:rsidR="00AB454A" w:rsidRPr="002F50BD">
        <w:rPr>
          <w:rFonts w:ascii="Verdana" w:hAnsi="Verdana"/>
          <w:sz w:val="20"/>
          <w:lang w:val="pt-BR"/>
        </w:rPr>
        <w:t>honorári</w:t>
      </w:r>
      <w:r w:rsidRPr="002F50BD">
        <w:rPr>
          <w:rFonts w:ascii="Verdana" w:hAnsi="Verdana"/>
          <w:sz w:val="20"/>
          <w:lang w:val="pt-BR"/>
        </w:rPr>
        <w:t xml:space="preserve">os </w:t>
      </w:r>
      <w:r w:rsidR="0089298C" w:rsidRPr="002F50BD">
        <w:rPr>
          <w:rFonts w:ascii="Verdana" w:hAnsi="Verdana"/>
          <w:sz w:val="20"/>
          <w:lang w:val="pt-BR"/>
        </w:rPr>
        <w:t xml:space="preserve">do </w:t>
      </w:r>
      <w:r w:rsidRPr="002F50BD">
        <w:rPr>
          <w:rFonts w:ascii="Verdana" w:hAnsi="Verdana"/>
          <w:sz w:val="20"/>
          <w:lang w:val="pt-BR"/>
        </w:rPr>
        <w:t>Do</w:t>
      </w:r>
      <w:r w:rsidR="00A1447F" w:rsidRPr="002F50BD">
        <w:rPr>
          <w:rFonts w:ascii="Verdana" w:hAnsi="Verdana"/>
          <w:sz w:val="20"/>
          <w:lang w:val="pt-BR"/>
        </w:rPr>
        <w:t>u</w:t>
      </w:r>
      <w:r w:rsidRPr="002F50BD">
        <w:rPr>
          <w:rFonts w:ascii="Verdana" w:hAnsi="Verdana"/>
          <w:sz w:val="20"/>
          <w:lang w:val="pt-BR"/>
        </w:rPr>
        <w:t xml:space="preserve">tor Balmaceda </w:t>
      </w:r>
      <w:r w:rsidR="0089298C" w:rsidRPr="002F50BD">
        <w:rPr>
          <w:rFonts w:ascii="Verdana" w:hAnsi="Verdana"/>
          <w:sz w:val="20"/>
          <w:lang w:val="pt-BR"/>
        </w:rPr>
        <w:t>tenham</w:t>
      </w:r>
      <w:r w:rsidRPr="002F50BD">
        <w:rPr>
          <w:rFonts w:ascii="Verdana" w:hAnsi="Verdana"/>
          <w:sz w:val="20"/>
          <w:lang w:val="pt-BR"/>
        </w:rPr>
        <w:t xml:space="preserve"> </w:t>
      </w:r>
      <w:r w:rsidR="00A1447F" w:rsidRPr="002F50BD">
        <w:rPr>
          <w:rFonts w:ascii="Verdana" w:hAnsi="Verdana"/>
          <w:sz w:val="20"/>
          <w:lang w:val="pt-BR"/>
        </w:rPr>
        <w:t xml:space="preserve">sido </w:t>
      </w:r>
      <w:r w:rsidR="0089298C" w:rsidRPr="002F50BD">
        <w:rPr>
          <w:rFonts w:ascii="Verdana" w:hAnsi="Verdana"/>
          <w:sz w:val="20"/>
          <w:lang w:val="pt-BR"/>
        </w:rPr>
        <w:t>estabelecid</w:t>
      </w:r>
      <w:r w:rsidRPr="002F50BD">
        <w:rPr>
          <w:rFonts w:ascii="Verdana" w:hAnsi="Verdana"/>
          <w:sz w:val="20"/>
          <w:lang w:val="pt-BR"/>
        </w:rPr>
        <w:t>o</w:t>
      </w:r>
      <w:r w:rsidR="00A1447F" w:rsidRPr="002F50BD">
        <w:rPr>
          <w:rFonts w:ascii="Verdana" w:hAnsi="Verdana"/>
          <w:sz w:val="20"/>
          <w:lang w:val="pt-BR"/>
        </w:rPr>
        <w:t>s</w:t>
      </w:r>
      <w:r w:rsidRPr="002F50BD">
        <w:rPr>
          <w:rFonts w:ascii="Verdana" w:hAnsi="Verdana"/>
          <w:sz w:val="20"/>
          <w:lang w:val="pt-BR"/>
        </w:rPr>
        <w:t xml:space="preserve"> [co</w:t>
      </w:r>
      <w:r w:rsidR="00A1447F" w:rsidRPr="002F50BD">
        <w:rPr>
          <w:rFonts w:ascii="Verdana" w:hAnsi="Verdana"/>
          <w:sz w:val="20"/>
          <w:lang w:val="pt-BR"/>
        </w:rPr>
        <w:t>m</w:t>
      </w:r>
      <w:r w:rsidRPr="002F50BD">
        <w:rPr>
          <w:rFonts w:ascii="Verdana" w:hAnsi="Verdana"/>
          <w:sz w:val="20"/>
          <w:lang w:val="pt-BR"/>
        </w:rPr>
        <w:t>] base [e</w:t>
      </w:r>
      <w:r w:rsidR="00A1447F" w:rsidRPr="002F50BD">
        <w:rPr>
          <w:rFonts w:ascii="Verdana" w:hAnsi="Verdana"/>
          <w:sz w:val="20"/>
          <w:lang w:val="pt-BR"/>
        </w:rPr>
        <w:t>m</w:t>
      </w:r>
      <w:r w:rsidRPr="002F50BD">
        <w:rPr>
          <w:rFonts w:ascii="Verdana" w:hAnsi="Verdana"/>
          <w:sz w:val="20"/>
          <w:lang w:val="pt-BR"/>
        </w:rPr>
        <w:t xml:space="preserve">] </w:t>
      </w:r>
      <w:r w:rsidR="00AB454A" w:rsidRPr="002F50BD">
        <w:rPr>
          <w:rFonts w:ascii="Verdana" w:hAnsi="Verdana"/>
          <w:sz w:val="20"/>
          <w:lang w:val="pt-BR"/>
        </w:rPr>
        <w:t>algum</w:t>
      </w:r>
      <w:r w:rsidRPr="002F50BD">
        <w:rPr>
          <w:rFonts w:ascii="Verdana" w:hAnsi="Verdana"/>
          <w:sz w:val="20"/>
          <w:lang w:val="pt-BR"/>
        </w:rPr>
        <w:t xml:space="preserve"> </w:t>
      </w:r>
      <w:r w:rsidR="0089298C" w:rsidRPr="002F50BD">
        <w:rPr>
          <w:rFonts w:ascii="Verdana" w:hAnsi="Verdana"/>
          <w:sz w:val="20"/>
          <w:lang w:val="pt-BR"/>
        </w:rPr>
        <w:t>parâmetro</w:t>
      </w:r>
      <w:r w:rsidR="004720A7">
        <w:rPr>
          <w:rFonts w:ascii="Verdana" w:hAnsi="Verdana"/>
          <w:sz w:val="20"/>
          <w:lang w:val="pt-BR"/>
        </w:rPr>
        <w:t>,</w:t>
      </w:r>
      <w:r w:rsidRPr="002F50BD">
        <w:rPr>
          <w:rFonts w:ascii="Verdana" w:hAnsi="Verdana"/>
          <w:sz w:val="20"/>
          <w:lang w:val="pt-BR"/>
        </w:rPr>
        <w:t xml:space="preserve"> [n</w:t>
      </w:r>
      <w:r w:rsidR="00A1447F" w:rsidRPr="002F50BD">
        <w:rPr>
          <w:rFonts w:ascii="Verdana" w:hAnsi="Verdana"/>
          <w:sz w:val="20"/>
          <w:lang w:val="pt-BR"/>
        </w:rPr>
        <w:t>em</w:t>
      </w:r>
      <w:r w:rsidRPr="002F50BD">
        <w:rPr>
          <w:rFonts w:ascii="Verdana" w:hAnsi="Verdana"/>
          <w:sz w:val="20"/>
          <w:lang w:val="pt-BR"/>
        </w:rPr>
        <w:t>] que</w:t>
      </w:r>
      <w:r w:rsidR="0089298C" w:rsidRPr="002F50BD">
        <w:rPr>
          <w:rFonts w:ascii="Verdana" w:hAnsi="Verdana"/>
          <w:sz w:val="20"/>
          <w:lang w:val="pt-BR"/>
        </w:rPr>
        <w:t xml:space="preserve"> os trabalho</w:t>
      </w:r>
      <w:r w:rsidRPr="002F50BD">
        <w:rPr>
          <w:rFonts w:ascii="Verdana" w:hAnsi="Verdana"/>
          <w:sz w:val="20"/>
          <w:lang w:val="pt-BR"/>
        </w:rPr>
        <w:t xml:space="preserve">s </w:t>
      </w:r>
      <w:r w:rsidR="0089298C" w:rsidRPr="002F50BD">
        <w:rPr>
          <w:rFonts w:ascii="Verdana" w:hAnsi="Verdana"/>
          <w:sz w:val="20"/>
          <w:lang w:val="pt-BR"/>
        </w:rPr>
        <w:t>tenham</w:t>
      </w:r>
      <w:r w:rsidRPr="002F50BD">
        <w:rPr>
          <w:rFonts w:ascii="Verdana" w:hAnsi="Verdana"/>
          <w:sz w:val="20"/>
          <w:lang w:val="pt-BR"/>
        </w:rPr>
        <w:t xml:space="preserve"> sido </w:t>
      </w:r>
      <w:r w:rsidR="0089298C" w:rsidRPr="002F50BD">
        <w:rPr>
          <w:rFonts w:ascii="Verdana" w:hAnsi="Verdana"/>
          <w:sz w:val="20"/>
          <w:lang w:val="pt-BR"/>
        </w:rPr>
        <w:t>efetiv</w:t>
      </w:r>
      <w:r w:rsidRPr="002F50BD">
        <w:rPr>
          <w:rFonts w:ascii="Verdana" w:hAnsi="Verdana"/>
          <w:sz w:val="20"/>
          <w:lang w:val="pt-BR"/>
        </w:rPr>
        <w:t>amente realizados”.</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i/>
          <w:sz w:val="20"/>
        </w:rPr>
      </w:pPr>
      <w:r w:rsidRPr="002F50BD">
        <w:rPr>
          <w:rFonts w:ascii="Verdana" w:hAnsi="Verdana"/>
          <w:i/>
          <w:sz w:val="20"/>
        </w:rPr>
        <w:t>Considera</w:t>
      </w:r>
      <w:r w:rsidR="0089298C" w:rsidRPr="002F50BD">
        <w:rPr>
          <w:rFonts w:ascii="Verdana" w:hAnsi="Verdana"/>
          <w:i/>
          <w:sz w:val="20"/>
        </w:rPr>
        <w:t xml:space="preserve">ções da </w:t>
      </w:r>
      <w:r w:rsidRPr="002F50BD">
        <w:rPr>
          <w:rFonts w:ascii="Verdana" w:hAnsi="Verdana"/>
          <w:i/>
          <w:sz w:val="20"/>
        </w:rPr>
        <w:t>Corte</w:t>
      </w:r>
    </w:p>
    <w:p w:rsidR="004756C1" w:rsidRPr="002F50BD" w:rsidRDefault="004756C1">
      <w:pPr>
        <w:jc w:val="both"/>
        <w:rPr>
          <w:rFonts w:ascii="Verdana" w:hAnsi="Verdana"/>
          <w:sz w:val="20"/>
        </w:rPr>
      </w:pPr>
    </w:p>
    <w:p w:rsidR="004756C1" w:rsidRPr="002F50BD" w:rsidRDefault="004756C1">
      <w:pPr>
        <w:widowControl w:val="0"/>
        <w:numPr>
          <w:ilvl w:val="0"/>
          <w:numId w:val="33"/>
        </w:numPr>
        <w:jc w:val="both"/>
        <w:rPr>
          <w:rFonts w:ascii="Verdana" w:hAnsi="Verdana"/>
          <w:sz w:val="20"/>
          <w:lang w:val="pt-BR"/>
        </w:rPr>
      </w:pPr>
      <w:r w:rsidRPr="002F50BD">
        <w:rPr>
          <w:rFonts w:ascii="Verdana" w:hAnsi="Verdana"/>
          <w:caps/>
          <w:sz w:val="20"/>
          <w:lang w:val="pt-BR"/>
        </w:rPr>
        <w:t>C</w:t>
      </w:r>
      <w:r w:rsidRPr="002F50BD">
        <w:rPr>
          <w:rFonts w:ascii="Verdana" w:hAnsi="Verdana"/>
          <w:sz w:val="20"/>
          <w:lang w:val="pt-BR"/>
        </w:rPr>
        <w:t>omo</w:t>
      </w:r>
      <w:r w:rsidR="0089298C" w:rsidRPr="002F50BD">
        <w:rPr>
          <w:rFonts w:ascii="Verdana" w:hAnsi="Verdana"/>
          <w:sz w:val="20"/>
          <w:lang w:val="pt-BR"/>
        </w:rPr>
        <w:t xml:space="preserve"> </w:t>
      </w:r>
      <w:r w:rsidR="00A1447F" w:rsidRPr="002F50BD">
        <w:rPr>
          <w:rFonts w:ascii="Verdana" w:hAnsi="Verdana"/>
          <w:sz w:val="20"/>
          <w:lang w:val="pt-BR"/>
        </w:rPr>
        <w:t xml:space="preserve">a Corte </w:t>
      </w:r>
      <w:r w:rsidR="0089298C" w:rsidRPr="002F50BD">
        <w:rPr>
          <w:rFonts w:ascii="Verdana" w:hAnsi="Verdana"/>
          <w:sz w:val="20"/>
          <w:lang w:val="pt-BR"/>
        </w:rPr>
        <w:t xml:space="preserve">já </w:t>
      </w:r>
      <w:r w:rsidR="004076AD" w:rsidRPr="002F50BD">
        <w:rPr>
          <w:rFonts w:ascii="Verdana" w:hAnsi="Verdana"/>
          <w:sz w:val="20"/>
          <w:lang w:val="pt-BR"/>
        </w:rPr>
        <w:t>indicou</w:t>
      </w:r>
      <w:r w:rsidR="0089298C" w:rsidRPr="002F50BD">
        <w:rPr>
          <w:rFonts w:ascii="Verdana" w:hAnsi="Verdana"/>
          <w:sz w:val="20"/>
          <w:lang w:val="pt-BR"/>
        </w:rPr>
        <w:t xml:space="preserve"> em </w:t>
      </w:r>
      <w:r w:rsidRPr="002F50BD">
        <w:rPr>
          <w:rFonts w:ascii="Verdana" w:hAnsi="Verdana"/>
          <w:sz w:val="20"/>
          <w:lang w:val="pt-BR"/>
        </w:rPr>
        <w:t>oportunidades anteriores</w:t>
      </w:r>
      <w:r w:rsidR="00A1447F" w:rsidRPr="002F50BD">
        <w:rPr>
          <w:rFonts w:ascii="Verdana" w:hAnsi="Verdana"/>
          <w:sz w:val="20"/>
          <w:lang w:val="pt-BR"/>
        </w:rPr>
        <w:t>,</w:t>
      </w:r>
      <w:r w:rsidRPr="002F50BD">
        <w:rPr>
          <w:rStyle w:val="FootnoteReference"/>
          <w:rFonts w:ascii="Verdana" w:hAnsi="Verdana"/>
        </w:rPr>
        <w:footnoteReference w:id="225"/>
      </w:r>
      <w:r w:rsidR="0089298C" w:rsidRPr="002F50BD">
        <w:rPr>
          <w:rFonts w:ascii="Verdana" w:hAnsi="Verdana"/>
          <w:sz w:val="20"/>
          <w:lang w:val="pt-BR"/>
        </w:rPr>
        <w:t xml:space="preserve"> as custas e </w:t>
      </w:r>
      <w:r w:rsidRPr="002F50BD">
        <w:rPr>
          <w:rFonts w:ascii="Verdana" w:hAnsi="Verdana"/>
          <w:sz w:val="20"/>
          <w:lang w:val="pt-BR"/>
        </w:rPr>
        <w:t>gastos</w:t>
      </w:r>
      <w:r w:rsidR="0089298C" w:rsidRPr="002F50BD">
        <w:rPr>
          <w:rFonts w:ascii="Verdana" w:hAnsi="Verdana"/>
          <w:sz w:val="20"/>
          <w:lang w:val="pt-BR"/>
        </w:rPr>
        <w:t xml:space="preserve"> estão incluído</w:t>
      </w:r>
      <w:r w:rsidRPr="002F50BD">
        <w:rPr>
          <w:rFonts w:ascii="Verdana" w:hAnsi="Verdana"/>
          <w:sz w:val="20"/>
          <w:lang w:val="pt-BR"/>
        </w:rPr>
        <w:t xml:space="preserve">s dentro </w:t>
      </w:r>
      <w:r w:rsidR="0089298C" w:rsidRPr="002F50BD">
        <w:rPr>
          <w:rFonts w:ascii="Verdana" w:hAnsi="Verdana"/>
          <w:sz w:val="20"/>
          <w:lang w:val="pt-BR"/>
        </w:rPr>
        <w:t>do conceito</w:t>
      </w:r>
      <w:r w:rsidRPr="002F50BD">
        <w:rPr>
          <w:rFonts w:ascii="Verdana" w:hAnsi="Verdana"/>
          <w:sz w:val="20"/>
          <w:lang w:val="pt-BR"/>
        </w:rPr>
        <w:t xml:space="preserve"> de repara</w:t>
      </w:r>
      <w:r w:rsidR="0089298C" w:rsidRPr="002F50BD">
        <w:rPr>
          <w:rFonts w:ascii="Verdana" w:hAnsi="Verdana"/>
          <w:sz w:val="20"/>
          <w:lang w:val="pt-BR"/>
        </w:rPr>
        <w:t>ção</w:t>
      </w:r>
      <w:r w:rsidRPr="002F50BD">
        <w:rPr>
          <w:rFonts w:ascii="Verdana" w:hAnsi="Verdana"/>
          <w:sz w:val="20"/>
          <w:lang w:val="pt-BR"/>
        </w:rPr>
        <w:t xml:space="preserve"> consagrado</w:t>
      </w:r>
      <w:r w:rsidR="0089298C" w:rsidRPr="002F50BD">
        <w:rPr>
          <w:rFonts w:ascii="Verdana" w:hAnsi="Verdana"/>
          <w:sz w:val="20"/>
          <w:lang w:val="pt-BR"/>
        </w:rPr>
        <w:t xml:space="preserve"> no artigo</w:t>
      </w:r>
      <w:r w:rsidRPr="002F50BD">
        <w:rPr>
          <w:rFonts w:ascii="Verdana" w:hAnsi="Verdana"/>
          <w:sz w:val="20"/>
          <w:lang w:val="pt-BR"/>
        </w:rPr>
        <w:t xml:space="preserve"> </w:t>
      </w:r>
      <w:r w:rsidR="00063B47" w:rsidRPr="002F50BD">
        <w:rPr>
          <w:rFonts w:ascii="Verdana" w:hAnsi="Verdana"/>
          <w:sz w:val="20"/>
          <w:lang w:val="pt-BR"/>
        </w:rPr>
        <w:t>63</w:t>
      </w:r>
      <w:r w:rsidRPr="002F50BD">
        <w:rPr>
          <w:rFonts w:ascii="Verdana" w:hAnsi="Verdana"/>
          <w:sz w:val="20"/>
          <w:lang w:val="pt-BR"/>
        </w:rPr>
        <w:t>.</w:t>
      </w:r>
      <w:r w:rsidR="00063B47" w:rsidRPr="002F50BD">
        <w:rPr>
          <w:rFonts w:ascii="Verdana" w:hAnsi="Verdana"/>
          <w:sz w:val="20"/>
          <w:lang w:val="pt-BR"/>
        </w:rPr>
        <w:t>1</w:t>
      </w:r>
      <w:r w:rsidR="0089298C" w:rsidRPr="002F50BD">
        <w:rPr>
          <w:rFonts w:ascii="Verdana" w:hAnsi="Verdana"/>
          <w:sz w:val="20"/>
          <w:lang w:val="pt-BR"/>
        </w:rPr>
        <w:t xml:space="preserve"> da </w:t>
      </w:r>
      <w:r w:rsidRPr="002F50BD">
        <w:rPr>
          <w:rFonts w:ascii="Verdana" w:hAnsi="Verdana"/>
          <w:sz w:val="20"/>
          <w:lang w:val="pt-BR"/>
        </w:rPr>
        <w:t>Conven</w:t>
      </w:r>
      <w:r w:rsidR="0089298C" w:rsidRPr="002F50BD">
        <w:rPr>
          <w:rFonts w:ascii="Verdana" w:hAnsi="Verdana"/>
          <w:sz w:val="20"/>
          <w:lang w:val="pt-BR"/>
        </w:rPr>
        <w:t>ção</w:t>
      </w:r>
      <w:r w:rsidRPr="002F50BD">
        <w:rPr>
          <w:rFonts w:ascii="Verdana" w:hAnsi="Verdana"/>
          <w:sz w:val="20"/>
          <w:lang w:val="pt-BR"/>
        </w:rPr>
        <w:t xml:space="preserve"> Americana, </w:t>
      </w:r>
      <w:r w:rsidR="0089298C" w:rsidRPr="002F50BD">
        <w:rPr>
          <w:rFonts w:ascii="Verdana" w:hAnsi="Verdana"/>
          <w:sz w:val="20"/>
          <w:lang w:val="pt-BR"/>
        </w:rPr>
        <w:t xml:space="preserve">posto </w:t>
      </w:r>
      <w:r w:rsidRPr="002F50BD">
        <w:rPr>
          <w:rFonts w:ascii="Verdana" w:hAnsi="Verdana"/>
          <w:sz w:val="20"/>
          <w:lang w:val="pt-BR"/>
        </w:rPr>
        <w:t>que</w:t>
      </w:r>
      <w:r w:rsidR="0089298C" w:rsidRPr="002F50BD">
        <w:rPr>
          <w:rFonts w:ascii="Verdana" w:hAnsi="Verdana"/>
          <w:sz w:val="20"/>
          <w:lang w:val="pt-BR"/>
        </w:rPr>
        <w:t xml:space="preserve"> a atividade </w:t>
      </w:r>
      <w:r w:rsidR="00A1447F" w:rsidRPr="002F50BD">
        <w:rPr>
          <w:rFonts w:ascii="Verdana" w:hAnsi="Verdana"/>
          <w:sz w:val="20"/>
          <w:lang w:val="pt-BR"/>
        </w:rPr>
        <w:t xml:space="preserve">realizada </w:t>
      </w:r>
      <w:r w:rsidR="0089298C" w:rsidRPr="002F50BD">
        <w:rPr>
          <w:rFonts w:ascii="Verdana" w:hAnsi="Verdana"/>
          <w:sz w:val="20"/>
          <w:lang w:val="pt-BR"/>
        </w:rPr>
        <w:t>pelas vítima</w:t>
      </w:r>
      <w:r w:rsidRPr="002F50BD">
        <w:rPr>
          <w:rFonts w:ascii="Verdana" w:hAnsi="Verdana"/>
          <w:sz w:val="20"/>
          <w:lang w:val="pt-BR"/>
        </w:rPr>
        <w:t>s</w:t>
      </w:r>
      <w:r w:rsidR="0089298C" w:rsidRPr="002F50BD">
        <w:rPr>
          <w:rFonts w:ascii="Verdana" w:hAnsi="Verdana"/>
          <w:sz w:val="20"/>
          <w:lang w:val="pt-BR"/>
        </w:rPr>
        <w:t xml:space="preserve"> e seus </w:t>
      </w:r>
      <w:r w:rsidR="008C29C9" w:rsidRPr="002F50BD">
        <w:rPr>
          <w:rFonts w:ascii="Verdana" w:hAnsi="Verdana"/>
          <w:sz w:val="20"/>
          <w:lang w:val="pt-BR"/>
        </w:rPr>
        <w:t>representante</w:t>
      </w:r>
      <w:r w:rsidR="0089298C" w:rsidRPr="002F50BD">
        <w:rPr>
          <w:rFonts w:ascii="Verdana" w:hAnsi="Verdana"/>
          <w:sz w:val="20"/>
          <w:lang w:val="pt-BR"/>
        </w:rPr>
        <w:t xml:space="preserve">s com o fim </w:t>
      </w:r>
      <w:r w:rsidRPr="002F50BD">
        <w:rPr>
          <w:rFonts w:ascii="Verdana" w:hAnsi="Verdana"/>
          <w:sz w:val="20"/>
          <w:lang w:val="pt-BR"/>
        </w:rPr>
        <w:t xml:space="preserve">de </w:t>
      </w:r>
      <w:r w:rsidR="0089298C" w:rsidRPr="002F50BD">
        <w:rPr>
          <w:rFonts w:ascii="Verdana" w:hAnsi="Verdana"/>
          <w:sz w:val="20"/>
          <w:lang w:val="pt-BR"/>
        </w:rPr>
        <w:t>obter</w:t>
      </w:r>
      <w:r w:rsidRPr="002F50BD">
        <w:rPr>
          <w:rFonts w:ascii="Verdana" w:hAnsi="Verdana"/>
          <w:sz w:val="20"/>
          <w:lang w:val="pt-BR"/>
        </w:rPr>
        <w:t xml:space="preserve"> </w:t>
      </w:r>
      <w:r w:rsidR="0089298C" w:rsidRPr="002F50BD">
        <w:rPr>
          <w:rFonts w:ascii="Verdana" w:hAnsi="Verdana"/>
          <w:sz w:val="20"/>
          <w:lang w:val="pt-BR"/>
        </w:rPr>
        <w:t>justiça</w:t>
      </w:r>
      <w:r w:rsidRPr="002F50BD">
        <w:rPr>
          <w:rFonts w:ascii="Verdana" w:hAnsi="Verdana"/>
          <w:sz w:val="20"/>
          <w:lang w:val="pt-BR"/>
        </w:rPr>
        <w:t xml:space="preserve">, tanto </w:t>
      </w:r>
      <w:r w:rsidR="00A1447F" w:rsidRPr="002F50BD">
        <w:rPr>
          <w:rFonts w:ascii="Verdana" w:hAnsi="Verdana"/>
          <w:sz w:val="20"/>
          <w:lang w:val="pt-BR"/>
        </w:rPr>
        <w:t xml:space="preserve">no âmbito </w:t>
      </w:r>
      <w:r w:rsidRPr="002F50BD">
        <w:rPr>
          <w:rFonts w:ascii="Verdana" w:hAnsi="Verdana"/>
          <w:sz w:val="20"/>
          <w:lang w:val="pt-BR"/>
        </w:rPr>
        <w:t xml:space="preserve">nacional como internacional, implica </w:t>
      </w:r>
      <w:r w:rsidR="005A282A" w:rsidRPr="002F50BD">
        <w:rPr>
          <w:rFonts w:ascii="Verdana" w:hAnsi="Verdana"/>
          <w:sz w:val="20"/>
          <w:lang w:val="pt-BR"/>
        </w:rPr>
        <w:t xml:space="preserve">em </w:t>
      </w:r>
      <w:r w:rsidR="00A1447F" w:rsidRPr="002F50BD">
        <w:rPr>
          <w:rFonts w:ascii="Verdana" w:hAnsi="Verdana"/>
          <w:sz w:val="20"/>
          <w:lang w:val="pt-BR"/>
        </w:rPr>
        <w:t xml:space="preserve">gastos </w:t>
      </w:r>
      <w:r w:rsidRPr="002F50BD">
        <w:rPr>
          <w:rFonts w:ascii="Verdana" w:hAnsi="Verdana"/>
          <w:sz w:val="20"/>
          <w:lang w:val="pt-BR"/>
        </w:rPr>
        <w:t xml:space="preserve">que </w:t>
      </w:r>
      <w:r w:rsidR="0089298C" w:rsidRPr="002F50BD">
        <w:rPr>
          <w:rFonts w:ascii="Verdana" w:hAnsi="Verdana"/>
          <w:sz w:val="20"/>
          <w:lang w:val="pt-BR"/>
        </w:rPr>
        <w:t>devem</w:t>
      </w:r>
      <w:r w:rsidR="00A1447F" w:rsidRPr="002F50BD">
        <w:rPr>
          <w:rFonts w:ascii="Verdana" w:hAnsi="Verdana"/>
          <w:sz w:val="20"/>
          <w:lang w:val="pt-BR"/>
        </w:rPr>
        <w:t xml:space="preserve"> ser compensado</w:t>
      </w:r>
      <w:r w:rsidRPr="002F50BD">
        <w:rPr>
          <w:rFonts w:ascii="Verdana" w:hAnsi="Verdana"/>
          <w:sz w:val="20"/>
          <w:lang w:val="pt-BR"/>
        </w:rPr>
        <w:t xml:space="preserve">s </w:t>
      </w:r>
      <w:r w:rsidR="0089298C" w:rsidRPr="002F50BD">
        <w:rPr>
          <w:rFonts w:ascii="Verdana" w:hAnsi="Verdana"/>
          <w:sz w:val="20"/>
          <w:lang w:val="pt-BR"/>
        </w:rPr>
        <w:t xml:space="preserve">quando a responsabilidade </w:t>
      </w:r>
      <w:r w:rsidRPr="002F50BD">
        <w:rPr>
          <w:rFonts w:ascii="Verdana" w:hAnsi="Verdana"/>
          <w:sz w:val="20"/>
          <w:lang w:val="pt-BR"/>
        </w:rPr>
        <w:t xml:space="preserve">internacional </w:t>
      </w:r>
      <w:r w:rsidR="0089298C" w:rsidRPr="002F50BD">
        <w:rPr>
          <w:rFonts w:ascii="Verdana" w:hAnsi="Verdana"/>
          <w:sz w:val="20"/>
          <w:lang w:val="pt-BR"/>
        </w:rPr>
        <w:t xml:space="preserve">do </w:t>
      </w:r>
      <w:r w:rsidRPr="002F50BD">
        <w:rPr>
          <w:rFonts w:ascii="Verdana" w:hAnsi="Verdana"/>
          <w:sz w:val="20"/>
          <w:lang w:val="pt-BR"/>
        </w:rPr>
        <w:t>Estado</w:t>
      </w:r>
      <w:r w:rsidR="0089298C" w:rsidRPr="002F50BD">
        <w:rPr>
          <w:rFonts w:ascii="Verdana" w:hAnsi="Verdana"/>
          <w:sz w:val="20"/>
          <w:lang w:val="pt-BR"/>
        </w:rPr>
        <w:t xml:space="preserve"> é </w:t>
      </w:r>
      <w:r w:rsidRPr="002F50BD">
        <w:rPr>
          <w:rFonts w:ascii="Verdana" w:hAnsi="Verdana"/>
          <w:sz w:val="20"/>
          <w:lang w:val="pt-BR"/>
        </w:rPr>
        <w:t xml:space="preserve">declarada </w:t>
      </w:r>
      <w:r w:rsidR="00754117" w:rsidRPr="002F50BD">
        <w:rPr>
          <w:rFonts w:ascii="Verdana" w:hAnsi="Verdana"/>
          <w:sz w:val="20"/>
          <w:lang w:val="pt-BR"/>
        </w:rPr>
        <w:t>por meio de</w:t>
      </w:r>
      <w:r w:rsidR="0089298C" w:rsidRPr="002F50BD">
        <w:rPr>
          <w:rFonts w:ascii="Verdana" w:hAnsi="Verdana"/>
          <w:sz w:val="20"/>
          <w:lang w:val="pt-BR"/>
        </w:rPr>
        <w:t xml:space="preserve"> uma sentença</w:t>
      </w:r>
      <w:r w:rsidRPr="002F50BD">
        <w:rPr>
          <w:rFonts w:ascii="Verdana" w:hAnsi="Verdana"/>
          <w:sz w:val="20"/>
          <w:lang w:val="pt-BR"/>
        </w:rPr>
        <w:t xml:space="preserve"> </w:t>
      </w:r>
      <w:r w:rsidR="00AB454A" w:rsidRPr="002F50BD">
        <w:rPr>
          <w:rFonts w:ascii="Verdana" w:hAnsi="Verdana"/>
          <w:sz w:val="20"/>
          <w:lang w:val="pt-BR"/>
        </w:rPr>
        <w:t>condenatóri</w:t>
      </w:r>
      <w:r w:rsidRPr="002F50BD">
        <w:rPr>
          <w:rFonts w:ascii="Verdana" w:hAnsi="Verdana"/>
          <w:sz w:val="20"/>
          <w:lang w:val="pt-BR"/>
        </w:rPr>
        <w:t>a</w:t>
      </w:r>
      <w:r w:rsidR="00CD7100" w:rsidRPr="002F50BD">
        <w:rPr>
          <w:rFonts w:ascii="Verdana" w:hAnsi="Verdana"/>
          <w:sz w:val="20"/>
          <w:lang w:val="pt-BR"/>
        </w:rPr>
        <w:t xml:space="preserve">. </w:t>
      </w:r>
      <w:r w:rsidR="00A1447F" w:rsidRPr="002F50BD">
        <w:rPr>
          <w:rFonts w:ascii="Verdana" w:hAnsi="Verdana"/>
          <w:sz w:val="20"/>
          <w:lang w:val="pt-BR"/>
        </w:rPr>
        <w:t>Q</w:t>
      </w:r>
      <w:r w:rsidR="0089298C" w:rsidRPr="002F50BD">
        <w:rPr>
          <w:rFonts w:ascii="Verdana" w:hAnsi="Verdana"/>
          <w:sz w:val="20"/>
          <w:lang w:val="pt-BR"/>
        </w:rPr>
        <w:t xml:space="preserve">uanto </w:t>
      </w:r>
      <w:r w:rsidRPr="002F50BD">
        <w:rPr>
          <w:rFonts w:ascii="Verdana" w:hAnsi="Verdana"/>
          <w:sz w:val="20"/>
          <w:lang w:val="pt-BR"/>
        </w:rPr>
        <w:t>a</w:t>
      </w:r>
      <w:r w:rsidR="00A1447F" w:rsidRPr="002F50BD">
        <w:rPr>
          <w:rFonts w:ascii="Verdana" w:hAnsi="Verdana"/>
          <w:sz w:val="20"/>
          <w:lang w:val="pt-BR"/>
        </w:rPr>
        <w:t>o</w:t>
      </w:r>
      <w:r w:rsidRPr="002F50BD">
        <w:rPr>
          <w:rFonts w:ascii="Verdana" w:hAnsi="Verdana"/>
          <w:sz w:val="20"/>
          <w:lang w:val="pt-BR"/>
        </w:rPr>
        <w:t xml:space="preserve"> s</w:t>
      </w:r>
      <w:r w:rsidR="00A1447F" w:rsidRPr="002F50BD">
        <w:rPr>
          <w:rFonts w:ascii="Verdana" w:hAnsi="Verdana"/>
          <w:sz w:val="20"/>
          <w:lang w:val="pt-BR"/>
        </w:rPr>
        <w:t>e</w:t>
      </w:r>
      <w:r w:rsidRPr="002F50BD">
        <w:rPr>
          <w:rFonts w:ascii="Verdana" w:hAnsi="Verdana"/>
          <w:sz w:val="20"/>
          <w:lang w:val="pt-BR"/>
        </w:rPr>
        <w:t>u reembolso, corresponde</w:t>
      </w:r>
      <w:r w:rsidR="0089298C" w:rsidRPr="002F50BD">
        <w:rPr>
          <w:rFonts w:ascii="Verdana" w:hAnsi="Verdana"/>
          <w:sz w:val="20"/>
          <w:lang w:val="pt-BR"/>
        </w:rPr>
        <w:t xml:space="preserve"> ao </w:t>
      </w:r>
      <w:r w:rsidRPr="002F50BD">
        <w:rPr>
          <w:rFonts w:ascii="Verdana" w:hAnsi="Verdana"/>
          <w:sz w:val="20"/>
          <w:lang w:val="pt-BR"/>
        </w:rPr>
        <w:t xml:space="preserve">Tribunal apreciar prudentemente </w:t>
      </w:r>
      <w:r w:rsidR="004076AD" w:rsidRPr="002F50BD">
        <w:rPr>
          <w:rFonts w:ascii="Verdana" w:hAnsi="Verdana"/>
          <w:sz w:val="20"/>
          <w:lang w:val="pt-BR"/>
        </w:rPr>
        <w:t>seu alcance</w:t>
      </w:r>
      <w:r w:rsidRPr="002F50BD">
        <w:rPr>
          <w:rFonts w:ascii="Verdana" w:hAnsi="Verdana"/>
          <w:sz w:val="20"/>
          <w:lang w:val="pt-BR"/>
        </w:rPr>
        <w:t>, que compre</w:t>
      </w:r>
      <w:r w:rsidR="00DB2867" w:rsidRPr="002F50BD">
        <w:rPr>
          <w:rFonts w:ascii="Verdana" w:hAnsi="Verdana"/>
          <w:sz w:val="20"/>
          <w:lang w:val="pt-BR"/>
        </w:rPr>
        <w:t>e</w:t>
      </w:r>
      <w:r w:rsidRPr="002F50BD">
        <w:rPr>
          <w:rFonts w:ascii="Verdana" w:hAnsi="Verdana"/>
          <w:sz w:val="20"/>
          <w:lang w:val="pt-BR"/>
        </w:rPr>
        <w:t>n</w:t>
      </w:r>
      <w:r w:rsidR="0089298C" w:rsidRPr="002F50BD">
        <w:rPr>
          <w:rFonts w:ascii="Verdana" w:hAnsi="Verdana"/>
          <w:sz w:val="20"/>
          <w:lang w:val="pt-BR"/>
        </w:rPr>
        <w:t>d</w:t>
      </w:r>
      <w:r w:rsidR="00A1447F" w:rsidRPr="002F50BD">
        <w:rPr>
          <w:rFonts w:ascii="Verdana" w:hAnsi="Verdana"/>
          <w:sz w:val="20"/>
          <w:lang w:val="pt-BR"/>
        </w:rPr>
        <w:t xml:space="preserve">e </w:t>
      </w:r>
      <w:r w:rsidR="0089298C" w:rsidRPr="002F50BD">
        <w:rPr>
          <w:rFonts w:ascii="Verdana" w:hAnsi="Verdana"/>
          <w:sz w:val="20"/>
          <w:lang w:val="pt-BR"/>
        </w:rPr>
        <w:t xml:space="preserve">os </w:t>
      </w:r>
      <w:r w:rsidRPr="002F50BD">
        <w:rPr>
          <w:rFonts w:ascii="Verdana" w:hAnsi="Verdana"/>
          <w:sz w:val="20"/>
          <w:lang w:val="pt-BR"/>
        </w:rPr>
        <w:t xml:space="preserve">gastos </w:t>
      </w:r>
      <w:r w:rsidR="0089298C" w:rsidRPr="002F50BD">
        <w:rPr>
          <w:rFonts w:ascii="Verdana" w:hAnsi="Verdana"/>
          <w:sz w:val="20"/>
          <w:lang w:val="pt-BR"/>
        </w:rPr>
        <w:t>gerados</w:t>
      </w:r>
      <w:r w:rsidRPr="002F50BD">
        <w:rPr>
          <w:rFonts w:ascii="Verdana" w:hAnsi="Verdana"/>
          <w:sz w:val="20"/>
          <w:lang w:val="pt-BR"/>
        </w:rPr>
        <w:t xml:space="preserve"> </w:t>
      </w:r>
      <w:r w:rsidR="00A1447F" w:rsidRPr="002F50BD">
        <w:rPr>
          <w:rFonts w:ascii="Verdana" w:hAnsi="Verdana"/>
          <w:sz w:val="20"/>
          <w:lang w:val="pt-BR"/>
        </w:rPr>
        <w:t>per</w:t>
      </w:r>
      <w:r w:rsidRPr="002F50BD">
        <w:rPr>
          <w:rFonts w:ascii="Verdana" w:hAnsi="Verdana"/>
          <w:sz w:val="20"/>
          <w:lang w:val="pt-BR"/>
        </w:rPr>
        <w:t>ante</w:t>
      </w:r>
      <w:r w:rsidR="0089298C" w:rsidRPr="002F50BD">
        <w:rPr>
          <w:rFonts w:ascii="Verdana" w:hAnsi="Verdana"/>
          <w:sz w:val="20"/>
          <w:lang w:val="pt-BR"/>
        </w:rPr>
        <w:t xml:space="preserve"> as </w:t>
      </w:r>
      <w:r w:rsidRPr="002F50BD">
        <w:rPr>
          <w:rFonts w:ascii="Verdana" w:hAnsi="Verdana"/>
          <w:sz w:val="20"/>
          <w:lang w:val="pt-BR"/>
        </w:rPr>
        <w:lastRenderedPageBreak/>
        <w:t>autoridades</w:t>
      </w:r>
      <w:r w:rsidR="0089298C" w:rsidRPr="002F50BD">
        <w:rPr>
          <w:rFonts w:ascii="Verdana" w:hAnsi="Verdana"/>
          <w:sz w:val="20"/>
          <w:lang w:val="pt-BR"/>
        </w:rPr>
        <w:t xml:space="preserve"> da jurisdição</w:t>
      </w:r>
      <w:r w:rsidRPr="002F50BD">
        <w:rPr>
          <w:rFonts w:ascii="Verdana" w:hAnsi="Verdana"/>
          <w:sz w:val="20"/>
          <w:lang w:val="pt-BR"/>
        </w:rPr>
        <w:t xml:space="preserve"> interna, </w:t>
      </w:r>
      <w:r w:rsidR="0089298C" w:rsidRPr="002F50BD">
        <w:rPr>
          <w:rFonts w:ascii="Verdana" w:hAnsi="Verdana"/>
          <w:sz w:val="20"/>
          <w:lang w:val="pt-BR"/>
        </w:rPr>
        <w:t>assim</w:t>
      </w:r>
      <w:r w:rsidRPr="002F50BD">
        <w:rPr>
          <w:rFonts w:ascii="Verdana" w:hAnsi="Verdana"/>
          <w:sz w:val="20"/>
          <w:lang w:val="pt-BR"/>
        </w:rPr>
        <w:t xml:space="preserve"> como</w:t>
      </w:r>
      <w:r w:rsidR="0089298C" w:rsidRPr="002F50BD">
        <w:rPr>
          <w:rFonts w:ascii="Verdana" w:hAnsi="Verdana"/>
          <w:sz w:val="20"/>
          <w:lang w:val="pt-BR"/>
        </w:rPr>
        <w:t xml:space="preserve"> os gerados no </w:t>
      </w:r>
      <w:r w:rsidRPr="002F50BD">
        <w:rPr>
          <w:rFonts w:ascii="Verdana" w:hAnsi="Verdana"/>
          <w:sz w:val="20"/>
          <w:lang w:val="pt-BR"/>
        </w:rPr>
        <w:t xml:space="preserve">curso </w:t>
      </w:r>
      <w:r w:rsidR="0089298C" w:rsidRPr="002F50BD">
        <w:rPr>
          <w:rFonts w:ascii="Verdana" w:hAnsi="Verdana"/>
          <w:sz w:val="20"/>
          <w:lang w:val="pt-BR"/>
        </w:rPr>
        <w:t>do processo</w:t>
      </w:r>
      <w:r w:rsidRPr="002F50BD">
        <w:rPr>
          <w:rFonts w:ascii="Verdana" w:hAnsi="Verdana"/>
          <w:sz w:val="20"/>
          <w:lang w:val="pt-BR"/>
        </w:rPr>
        <w:t xml:space="preserve"> </w:t>
      </w:r>
      <w:r w:rsidR="00A1447F" w:rsidRPr="002F50BD">
        <w:rPr>
          <w:rFonts w:ascii="Verdana" w:hAnsi="Verdana"/>
          <w:sz w:val="20"/>
          <w:lang w:val="pt-BR"/>
        </w:rPr>
        <w:t>per</w:t>
      </w:r>
      <w:r w:rsidRPr="002F50BD">
        <w:rPr>
          <w:rFonts w:ascii="Verdana" w:hAnsi="Verdana"/>
          <w:sz w:val="20"/>
          <w:lang w:val="pt-BR"/>
        </w:rPr>
        <w:t>ante</w:t>
      </w:r>
      <w:r w:rsidR="0089298C" w:rsidRPr="002F50BD">
        <w:rPr>
          <w:rFonts w:ascii="Verdana" w:hAnsi="Verdana"/>
          <w:sz w:val="20"/>
          <w:lang w:val="pt-BR"/>
        </w:rPr>
        <w:t xml:space="preserve"> o </w:t>
      </w:r>
      <w:r w:rsidRPr="002F50BD">
        <w:rPr>
          <w:rFonts w:ascii="Verdana" w:hAnsi="Verdana"/>
          <w:sz w:val="20"/>
          <w:lang w:val="pt-BR"/>
        </w:rPr>
        <w:t xml:space="preserve">sistema interamericano, </w:t>
      </w:r>
      <w:r w:rsidR="0089298C" w:rsidRPr="002F50BD">
        <w:rPr>
          <w:rFonts w:ascii="Verdana" w:hAnsi="Verdana"/>
          <w:sz w:val="20"/>
          <w:lang w:val="pt-BR"/>
        </w:rPr>
        <w:t>tendo em conta as circunstâncias</w:t>
      </w:r>
      <w:r w:rsidRPr="002F50BD">
        <w:rPr>
          <w:rFonts w:ascii="Verdana" w:hAnsi="Verdana"/>
          <w:sz w:val="20"/>
          <w:lang w:val="pt-BR"/>
        </w:rPr>
        <w:t xml:space="preserve"> </w:t>
      </w:r>
      <w:r w:rsidR="0089298C" w:rsidRPr="002F50BD">
        <w:rPr>
          <w:rFonts w:ascii="Verdana" w:hAnsi="Verdana"/>
          <w:sz w:val="20"/>
          <w:lang w:val="pt-BR"/>
        </w:rPr>
        <w:t xml:space="preserve">do </w:t>
      </w:r>
      <w:r w:rsidRPr="002F50BD">
        <w:rPr>
          <w:rFonts w:ascii="Verdana" w:hAnsi="Verdana"/>
          <w:sz w:val="20"/>
          <w:lang w:val="pt-BR"/>
        </w:rPr>
        <w:t>caso concreto</w:t>
      </w:r>
      <w:r w:rsidR="0089298C" w:rsidRPr="002F50BD">
        <w:rPr>
          <w:rFonts w:ascii="Verdana" w:hAnsi="Verdana"/>
          <w:sz w:val="20"/>
          <w:lang w:val="pt-BR"/>
        </w:rPr>
        <w:t xml:space="preserve"> e a natureza da jurisdição</w:t>
      </w:r>
      <w:r w:rsidRPr="002F50BD">
        <w:rPr>
          <w:rFonts w:ascii="Verdana" w:hAnsi="Verdana"/>
          <w:sz w:val="20"/>
          <w:lang w:val="pt-BR"/>
        </w:rPr>
        <w:t xml:space="preserve"> internacional</w:t>
      </w:r>
      <w:r w:rsidR="0089298C" w:rsidRPr="002F50BD">
        <w:rPr>
          <w:rFonts w:ascii="Verdana" w:hAnsi="Verdana"/>
          <w:sz w:val="20"/>
          <w:lang w:val="pt-BR"/>
        </w:rPr>
        <w:t xml:space="preserve"> d</w:t>
      </w:r>
      <w:r w:rsidR="00A1447F" w:rsidRPr="002F50BD">
        <w:rPr>
          <w:rFonts w:ascii="Verdana" w:hAnsi="Verdana"/>
          <w:sz w:val="20"/>
          <w:lang w:val="pt-BR"/>
        </w:rPr>
        <w:t>e</w:t>
      </w:r>
      <w:r w:rsidR="0089298C" w:rsidRPr="002F50BD">
        <w:rPr>
          <w:rFonts w:ascii="Verdana" w:hAnsi="Verdana"/>
          <w:sz w:val="20"/>
          <w:lang w:val="pt-BR"/>
        </w:rPr>
        <w:t xml:space="preserve"> proteção dos direito</w:t>
      </w:r>
      <w:r w:rsidRPr="002F50BD">
        <w:rPr>
          <w:rFonts w:ascii="Verdana" w:hAnsi="Verdana"/>
          <w:sz w:val="20"/>
          <w:lang w:val="pt-BR"/>
        </w:rPr>
        <w:t>s humanos</w:t>
      </w:r>
      <w:r w:rsidR="001A0CDE" w:rsidRPr="002F50BD">
        <w:rPr>
          <w:rFonts w:ascii="Verdana" w:hAnsi="Verdana"/>
          <w:sz w:val="20"/>
          <w:lang w:val="pt-BR"/>
        </w:rPr>
        <w:t>. Est</w:t>
      </w:r>
      <w:r w:rsidRPr="002F50BD">
        <w:rPr>
          <w:rFonts w:ascii="Verdana" w:hAnsi="Verdana"/>
          <w:sz w:val="20"/>
          <w:lang w:val="pt-BR"/>
        </w:rPr>
        <w:t>a aprecia</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pode</w:t>
      </w:r>
      <w:r w:rsidRPr="002F50BD">
        <w:rPr>
          <w:rFonts w:ascii="Verdana" w:hAnsi="Verdana"/>
          <w:sz w:val="20"/>
          <w:lang w:val="pt-BR"/>
        </w:rPr>
        <w:t xml:space="preserve"> ser realizada</w:t>
      </w:r>
      <w:r w:rsidR="0089298C" w:rsidRPr="002F50BD">
        <w:rPr>
          <w:rFonts w:ascii="Verdana" w:hAnsi="Verdana"/>
          <w:sz w:val="20"/>
          <w:lang w:val="pt-BR"/>
        </w:rPr>
        <w:t xml:space="preserve"> com </w:t>
      </w:r>
      <w:r w:rsidRPr="002F50BD">
        <w:rPr>
          <w:rFonts w:ascii="Verdana" w:hAnsi="Verdana"/>
          <w:sz w:val="20"/>
          <w:lang w:val="pt-BR"/>
        </w:rPr>
        <w:t>base</w:t>
      </w:r>
      <w:r w:rsidR="0089298C" w:rsidRPr="002F50BD">
        <w:rPr>
          <w:rFonts w:ascii="Verdana" w:hAnsi="Verdana"/>
          <w:sz w:val="20"/>
          <w:lang w:val="pt-BR"/>
        </w:rPr>
        <w:t xml:space="preserve"> no princípio</w:t>
      </w:r>
      <w:r w:rsidRPr="002F50BD">
        <w:rPr>
          <w:rFonts w:ascii="Verdana" w:hAnsi="Verdana"/>
          <w:sz w:val="20"/>
          <w:lang w:val="pt-BR"/>
        </w:rPr>
        <w:t xml:space="preserve"> de</w:t>
      </w:r>
      <w:r w:rsidR="0089298C" w:rsidRPr="002F50BD">
        <w:rPr>
          <w:rFonts w:ascii="Verdana" w:hAnsi="Verdana"/>
          <w:sz w:val="20"/>
          <w:lang w:val="pt-BR"/>
        </w:rPr>
        <w:t xml:space="preserve"> equidade e </w:t>
      </w:r>
      <w:r w:rsidR="00DB2867" w:rsidRPr="002F50BD">
        <w:rPr>
          <w:rFonts w:ascii="Verdana" w:hAnsi="Verdana"/>
          <w:sz w:val="20"/>
          <w:lang w:val="pt-BR"/>
        </w:rPr>
        <w:t xml:space="preserve">considerando </w:t>
      </w:r>
      <w:r w:rsidR="0089298C" w:rsidRPr="002F50BD">
        <w:rPr>
          <w:rFonts w:ascii="Verdana" w:hAnsi="Verdana"/>
          <w:sz w:val="20"/>
          <w:lang w:val="pt-BR"/>
        </w:rPr>
        <w:t xml:space="preserve">os </w:t>
      </w:r>
      <w:r w:rsidRPr="002F50BD">
        <w:rPr>
          <w:rFonts w:ascii="Verdana" w:hAnsi="Verdana"/>
          <w:sz w:val="20"/>
          <w:lang w:val="pt-BR"/>
        </w:rPr>
        <w:t xml:space="preserve">gastos </w:t>
      </w:r>
      <w:r w:rsidR="0089298C" w:rsidRPr="002F50BD">
        <w:rPr>
          <w:rFonts w:ascii="Verdana" w:hAnsi="Verdana"/>
          <w:sz w:val="20"/>
          <w:lang w:val="pt-BR"/>
        </w:rPr>
        <w:t>indicado</w:t>
      </w:r>
      <w:r w:rsidRPr="002F50BD">
        <w:rPr>
          <w:rFonts w:ascii="Verdana" w:hAnsi="Verdana"/>
          <w:sz w:val="20"/>
          <w:lang w:val="pt-BR"/>
        </w:rPr>
        <w:t>s</w:t>
      </w:r>
      <w:r w:rsidR="0089298C" w:rsidRPr="002F50BD">
        <w:rPr>
          <w:rFonts w:ascii="Verdana" w:hAnsi="Verdana"/>
          <w:sz w:val="20"/>
          <w:lang w:val="pt-BR"/>
        </w:rPr>
        <w:t xml:space="preserve"> pelas </w:t>
      </w:r>
      <w:r w:rsidRPr="002F50BD">
        <w:rPr>
          <w:rFonts w:ascii="Verdana" w:hAnsi="Verdana"/>
          <w:sz w:val="20"/>
          <w:lang w:val="pt-BR"/>
        </w:rPr>
        <w:t xml:space="preserve">partes, </w:t>
      </w:r>
      <w:r w:rsidR="0089298C" w:rsidRPr="002F50BD">
        <w:rPr>
          <w:rFonts w:ascii="Verdana" w:hAnsi="Verdana"/>
          <w:sz w:val="20"/>
          <w:lang w:val="pt-BR"/>
        </w:rPr>
        <w:t>sempre</w:t>
      </w:r>
      <w:r w:rsidRPr="002F50BD">
        <w:rPr>
          <w:rFonts w:ascii="Verdana" w:hAnsi="Verdana"/>
          <w:sz w:val="20"/>
          <w:lang w:val="pt-BR"/>
        </w:rPr>
        <w:t xml:space="preserve"> que s</w:t>
      </w:r>
      <w:r w:rsidR="00A1447F" w:rsidRPr="002F50BD">
        <w:rPr>
          <w:rFonts w:ascii="Verdana" w:hAnsi="Verdana"/>
          <w:sz w:val="20"/>
          <w:lang w:val="pt-BR"/>
        </w:rPr>
        <w:t>e</w:t>
      </w:r>
      <w:r w:rsidRPr="002F50BD">
        <w:rPr>
          <w:rFonts w:ascii="Verdana" w:hAnsi="Verdana"/>
          <w:sz w:val="20"/>
          <w:lang w:val="pt-BR"/>
        </w:rPr>
        <w:t xml:space="preserve">u </w:t>
      </w:r>
      <w:r w:rsidRPr="002F50BD">
        <w:rPr>
          <w:rFonts w:ascii="Verdana" w:hAnsi="Verdana"/>
          <w:i/>
          <w:sz w:val="20"/>
          <w:lang w:val="pt-BR"/>
        </w:rPr>
        <w:t>quantum</w:t>
      </w:r>
      <w:r w:rsidR="0089298C" w:rsidRPr="002F50BD">
        <w:rPr>
          <w:rFonts w:ascii="Verdana" w:hAnsi="Verdana"/>
          <w:sz w:val="20"/>
          <w:lang w:val="pt-BR"/>
        </w:rPr>
        <w:t xml:space="preserve"> seja </w:t>
      </w:r>
      <w:r w:rsidR="002E48ED" w:rsidRPr="002F50BD">
        <w:rPr>
          <w:rFonts w:ascii="Verdana" w:hAnsi="Verdana"/>
          <w:sz w:val="20"/>
          <w:lang w:val="pt-BR"/>
        </w:rPr>
        <w:t>razoável.</w:t>
      </w:r>
      <w:r w:rsidRPr="002F50BD">
        <w:rPr>
          <w:rFonts w:ascii="Verdana" w:hAnsi="Verdana"/>
          <w:sz w:val="20"/>
          <w:lang w:val="pt-BR"/>
        </w:rPr>
        <w:t xml:space="preserve"> </w:t>
      </w:r>
    </w:p>
    <w:p w:rsidR="00E50F4A" w:rsidRPr="002F50BD" w:rsidRDefault="00E50F4A" w:rsidP="00E50F4A">
      <w:pPr>
        <w:widowControl w:val="0"/>
        <w:jc w:val="both"/>
        <w:rPr>
          <w:rFonts w:ascii="Verdana" w:hAnsi="Verdana"/>
          <w:sz w:val="20"/>
          <w:lang w:val="pt-BR"/>
        </w:rPr>
      </w:pPr>
    </w:p>
    <w:p w:rsidR="004756C1" w:rsidRPr="002F50BD" w:rsidRDefault="0089298C">
      <w:pPr>
        <w:widowControl w:val="0"/>
        <w:numPr>
          <w:ilvl w:val="0"/>
          <w:numId w:val="33"/>
        </w:numPr>
        <w:jc w:val="both"/>
        <w:rPr>
          <w:rFonts w:ascii="Verdana" w:hAnsi="Verdana"/>
          <w:sz w:val="20"/>
          <w:lang w:val="pt-BR"/>
        </w:rPr>
      </w:pPr>
      <w:r w:rsidRPr="002F50BD">
        <w:rPr>
          <w:rFonts w:ascii="Verdana" w:hAnsi="Verdana"/>
          <w:sz w:val="20"/>
          <w:lang w:val="pt-BR"/>
        </w:rPr>
        <w:t xml:space="preserve">A </w:t>
      </w:r>
      <w:r w:rsidR="004756C1" w:rsidRPr="002F50BD">
        <w:rPr>
          <w:rFonts w:ascii="Verdana" w:hAnsi="Verdana"/>
          <w:sz w:val="20"/>
          <w:lang w:val="pt-BR"/>
        </w:rPr>
        <w:t xml:space="preserve">Corte </w:t>
      </w:r>
      <w:r w:rsidR="00754117" w:rsidRPr="002F50BD">
        <w:rPr>
          <w:rFonts w:ascii="Verdana" w:hAnsi="Verdana"/>
          <w:sz w:val="20"/>
          <w:lang w:val="pt-BR"/>
        </w:rPr>
        <w:t>considera</w:t>
      </w:r>
      <w:r w:rsidRPr="002F50BD">
        <w:rPr>
          <w:rFonts w:ascii="Verdana" w:hAnsi="Verdana"/>
          <w:sz w:val="20"/>
          <w:lang w:val="pt-BR"/>
        </w:rPr>
        <w:t xml:space="preserve"> </w:t>
      </w:r>
      <w:r w:rsidR="004756C1" w:rsidRPr="002F50BD">
        <w:rPr>
          <w:rFonts w:ascii="Verdana" w:hAnsi="Verdana"/>
          <w:sz w:val="20"/>
          <w:lang w:val="pt-BR"/>
        </w:rPr>
        <w:t>que</w:t>
      </w:r>
      <w:r w:rsidRPr="002F50BD">
        <w:rPr>
          <w:rFonts w:ascii="Verdana" w:hAnsi="Verdana"/>
          <w:sz w:val="20"/>
          <w:lang w:val="pt-BR"/>
        </w:rPr>
        <w:t xml:space="preserve"> os membro</w:t>
      </w:r>
      <w:r w:rsidR="004756C1" w:rsidRPr="002F50BD">
        <w:rPr>
          <w:rFonts w:ascii="Verdana" w:hAnsi="Verdana"/>
          <w:sz w:val="20"/>
          <w:lang w:val="pt-BR"/>
        </w:rPr>
        <w:t>s</w:t>
      </w:r>
      <w:r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Pr="002F50BD">
        <w:rPr>
          <w:rFonts w:ascii="Verdana" w:hAnsi="Verdana"/>
          <w:sz w:val="20"/>
          <w:lang w:val="pt-BR"/>
        </w:rPr>
        <w:t>atuaram através</w:t>
      </w:r>
      <w:r w:rsidR="004756C1" w:rsidRPr="002F50BD">
        <w:rPr>
          <w:rFonts w:ascii="Verdana" w:hAnsi="Verdana"/>
          <w:sz w:val="20"/>
          <w:lang w:val="pt-BR"/>
        </w:rPr>
        <w:t xml:space="preserve"> de </w:t>
      </w:r>
      <w:r w:rsidR="008C29C9" w:rsidRPr="002F50BD">
        <w:rPr>
          <w:rFonts w:ascii="Verdana" w:hAnsi="Verdana"/>
          <w:sz w:val="20"/>
          <w:lang w:val="pt-BR"/>
        </w:rPr>
        <w:t>representante</w:t>
      </w:r>
      <w:r w:rsidR="004756C1" w:rsidRPr="002F50BD">
        <w:rPr>
          <w:rFonts w:ascii="Verdana" w:hAnsi="Verdana"/>
          <w:sz w:val="20"/>
          <w:lang w:val="pt-BR"/>
        </w:rPr>
        <w:t>s, tanto</w:t>
      </w:r>
      <w:r w:rsidRPr="002F50BD">
        <w:rPr>
          <w:rFonts w:ascii="Verdana" w:hAnsi="Verdana"/>
          <w:sz w:val="20"/>
          <w:lang w:val="pt-BR"/>
        </w:rPr>
        <w:t xml:space="preserve"> no âmbito</w:t>
      </w:r>
      <w:r w:rsidR="004756C1" w:rsidRPr="002F50BD">
        <w:rPr>
          <w:rFonts w:ascii="Verdana" w:hAnsi="Verdana"/>
          <w:sz w:val="20"/>
          <w:lang w:val="pt-BR"/>
        </w:rPr>
        <w:t xml:space="preserve"> interno como</w:t>
      </w:r>
      <w:r w:rsidRPr="002F50BD">
        <w:rPr>
          <w:rFonts w:ascii="Verdana" w:hAnsi="Verdana"/>
          <w:sz w:val="20"/>
          <w:lang w:val="pt-BR"/>
        </w:rPr>
        <w:t xml:space="preserve"> perante a Comissão e </w:t>
      </w:r>
      <w:r w:rsidR="004756C1" w:rsidRPr="002F50BD">
        <w:rPr>
          <w:rFonts w:ascii="Verdana" w:hAnsi="Verdana"/>
          <w:sz w:val="20"/>
          <w:lang w:val="pt-BR"/>
        </w:rPr>
        <w:t xml:space="preserve">esta Corte. </w:t>
      </w:r>
      <w:r w:rsidR="00A1447F" w:rsidRPr="002F50BD">
        <w:rPr>
          <w:rFonts w:ascii="Verdana" w:hAnsi="Verdana"/>
          <w:sz w:val="20"/>
          <w:lang w:val="pt-BR"/>
        </w:rPr>
        <w:t>Para tanto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Tribunal </w:t>
      </w:r>
      <w:r w:rsidR="00A1447F" w:rsidRPr="002F50BD">
        <w:rPr>
          <w:rFonts w:ascii="Verdana" w:hAnsi="Verdana"/>
          <w:sz w:val="20"/>
          <w:lang w:val="pt-BR"/>
        </w:rPr>
        <w:t xml:space="preserve">considera </w:t>
      </w:r>
      <w:r w:rsidR="004756C1" w:rsidRPr="002F50BD">
        <w:rPr>
          <w:rFonts w:ascii="Verdana" w:hAnsi="Verdana"/>
          <w:sz w:val="20"/>
          <w:lang w:val="pt-BR"/>
        </w:rPr>
        <w:t>equitativo ordenar</w:t>
      </w:r>
      <w:r w:rsidRPr="002F50BD">
        <w:rPr>
          <w:rFonts w:ascii="Verdana" w:hAnsi="Verdana"/>
          <w:sz w:val="20"/>
          <w:lang w:val="pt-BR"/>
        </w:rPr>
        <w:t xml:space="preserve"> ao </w:t>
      </w:r>
      <w:r w:rsidR="004756C1" w:rsidRPr="002F50BD">
        <w:rPr>
          <w:rFonts w:ascii="Verdana" w:hAnsi="Verdana"/>
          <w:sz w:val="20"/>
          <w:lang w:val="pt-BR"/>
        </w:rPr>
        <w:t>Estado que pague</w:t>
      </w:r>
      <w:r w:rsidRPr="002F50BD">
        <w:rPr>
          <w:rFonts w:ascii="Verdana" w:hAnsi="Verdana"/>
          <w:sz w:val="20"/>
          <w:lang w:val="pt-BR"/>
        </w:rPr>
        <w:t xml:space="preserve"> a </w:t>
      </w:r>
      <w:r w:rsidR="00A1447F" w:rsidRPr="002F50BD">
        <w:rPr>
          <w:rFonts w:ascii="Verdana" w:hAnsi="Verdana"/>
          <w:sz w:val="20"/>
          <w:lang w:val="pt-BR"/>
        </w:rPr>
        <w:t>quantia</w:t>
      </w:r>
      <w:r w:rsidRPr="002F50BD">
        <w:rPr>
          <w:rFonts w:ascii="Verdana" w:hAnsi="Verdana"/>
          <w:sz w:val="20"/>
          <w:lang w:val="pt-BR"/>
        </w:rPr>
        <w:t xml:space="preserve"> </w:t>
      </w:r>
      <w:r w:rsidR="004756C1" w:rsidRPr="002F50BD">
        <w:rPr>
          <w:rFonts w:ascii="Verdana" w:hAnsi="Verdana"/>
          <w:sz w:val="20"/>
          <w:lang w:val="pt-BR"/>
        </w:rPr>
        <w:t>de US $</w:t>
      </w:r>
      <w:r w:rsidR="00063B47" w:rsidRPr="002F50BD">
        <w:rPr>
          <w:rFonts w:ascii="Verdana" w:hAnsi="Verdana"/>
          <w:sz w:val="20"/>
          <w:lang w:val="pt-BR"/>
        </w:rPr>
        <w:t>15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w:t>
      </w:r>
      <w:r w:rsidR="00063B47" w:rsidRPr="002F50BD">
        <w:rPr>
          <w:rFonts w:ascii="Verdana" w:hAnsi="Verdana"/>
          <w:sz w:val="20"/>
          <w:lang w:val="pt-BR"/>
        </w:rPr>
        <w:t>00</w:t>
      </w:r>
      <w:r w:rsidR="004756C1" w:rsidRPr="002F50BD">
        <w:rPr>
          <w:rFonts w:ascii="Verdana" w:hAnsi="Verdana"/>
          <w:sz w:val="20"/>
          <w:lang w:val="pt-BR"/>
        </w:rPr>
        <w:t xml:space="preserve"> </w:t>
      </w:r>
      <w:r w:rsidR="00CF451D" w:rsidRPr="00CF451D">
        <w:rPr>
          <w:rFonts w:ascii="Verdana" w:hAnsi="Verdana"/>
          <w:sz w:val="20"/>
          <w:lang w:val="pt-BR"/>
        </w:rPr>
        <w:t>(</w:t>
      </w:r>
      <w:r w:rsidR="00AB454A" w:rsidRPr="002F50BD">
        <w:rPr>
          <w:rFonts w:ascii="Verdana" w:hAnsi="Verdana"/>
          <w:sz w:val="20"/>
          <w:lang w:val="pt-BR"/>
        </w:rPr>
        <w:t>quinze</w:t>
      </w:r>
      <w:r w:rsidR="004756C1" w:rsidRPr="002F50BD">
        <w:rPr>
          <w:rFonts w:ascii="Verdana" w:hAnsi="Verdana"/>
          <w:sz w:val="20"/>
          <w:lang w:val="pt-BR"/>
        </w:rPr>
        <w:t xml:space="preserve"> mil</w:t>
      </w:r>
      <w:r w:rsidR="004756C1" w:rsidRPr="002F50BD">
        <w:rPr>
          <w:rFonts w:ascii="Verdana" w:hAnsi="Verdana"/>
          <w:b/>
          <w:sz w:val="20"/>
          <w:lang w:val="pt-BR"/>
        </w:rPr>
        <w:t xml:space="preserve"> </w:t>
      </w:r>
      <w:r w:rsidR="004756C1" w:rsidRPr="002F50BD">
        <w:rPr>
          <w:rFonts w:ascii="Verdana" w:hAnsi="Verdana"/>
          <w:sz w:val="20"/>
          <w:lang w:val="pt-BR"/>
        </w:rPr>
        <w:t>dólares</w:t>
      </w:r>
      <w:r w:rsidRPr="002F50BD">
        <w:rPr>
          <w:rFonts w:ascii="Verdana" w:hAnsi="Verdana"/>
          <w:sz w:val="20"/>
          <w:lang w:val="pt-BR"/>
        </w:rPr>
        <w:t xml:space="preserve"> dos Estados Unidos da América</w:t>
      </w:r>
      <w:r w:rsidR="00CF451D" w:rsidRPr="00CF451D">
        <w:rPr>
          <w:rFonts w:ascii="Verdana" w:hAnsi="Verdana"/>
          <w:sz w:val="20"/>
          <w:lang w:val="pt-BR"/>
        </w:rPr>
        <w:t>)</w:t>
      </w:r>
      <w:r w:rsidR="004756C1" w:rsidRPr="002F50BD">
        <w:rPr>
          <w:rFonts w:ascii="Verdana" w:hAnsi="Verdana"/>
          <w:sz w:val="20"/>
          <w:lang w:val="pt-BR"/>
        </w:rPr>
        <w:t xml:space="preserve"> o</w:t>
      </w:r>
      <w:r w:rsidR="00A1447F" w:rsidRPr="002F50BD">
        <w:rPr>
          <w:rFonts w:ascii="Verdana" w:hAnsi="Verdana"/>
          <w:sz w:val="20"/>
          <w:lang w:val="pt-BR"/>
        </w:rPr>
        <w:t>u</w:t>
      </w:r>
      <w:r w:rsidR="004756C1" w:rsidRPr="002F50BD">
        <w:rPr>
          <w:rFonts w:ascii="Verdana" w:hAnsi="Verdana"/>
          <w:sz w:val="20"/>
          <w:lang w:val="pt-BR"/>
        </w:rPr>
        <w:t xml:space="preserve"> </w:t>
      </w:r>
      <w:r w:rsidRPr="002F50BD">
        <w:rPr>
          <w:rFonts w:ascii="Verdana" w:hAnsi="Verdana"/>
          <w:sz w:val="20"/>
          <w:lang w:val="pt-BR"/>
        </w:rPr>
        <w:t>seu equi</w:t>
      </w:r>
      <w:r w:rsidR="00754117" w:rsidRPr="002F50BD">
        <w:rPr>
          <w:rFonts w:ascii="Verdana" w:hAnsi="Verdana"/>
          <w:sz w:val="20"/>
          <w:lang w:val="pt-BR"/>
        </w:rPr>
        <w:t>v</w:t>
      </w:r>
      <w:r w:rsidRPr="002F50BD">
        <w:rPr>
          <w:rFonts w:ascii="Verdana" w:hAnsi="Verdana"/>
          <w:sz w:val="20"/>
          <w:lang w:val="pt-BR"/>
        </w:rPr>
        <w:t>alente em moeda</w:t>
      </w:r>
      <w:r w:rsidR="004756C1" w:rsidRPr="002F50BD">
        <w:rPr>
          <w:rFonts w:ascii="Verdana" w:hAnsi="Verdana"/>
          <w:sz w:val="20"/>
          <w:lang w:val="pt-BR"/>
        </w:rPr>
        <w:t xml:space="preserve"> </w:t>
      </w:r>
      <w:r w:rsidR="00A1447F"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 xml:space="preserve">a, que </w:t>
      </w:r>
      <w:r w:rsidRPr="002F50BD">
        <w:rPr>
          <w:rFonts w:ascii="Verdana" w:hAnsi="Verdana"/>
          <w:sz w:val="20"/>
          <w:lang w:val="pt-BR"/>
        </w:rPr>
        <w:t>dever</w:t>
      </w:r>
      <w:r w:rsidR="004756C1" w:rsidRPr="002F50BD">
        <w:rPr>
          <w:rFonts w:ascii="Verdana" w:hAnsi="Verdana"/>
          <w:sz w:val="20"/>
          <w:lang w:val="pt-BR"/>
        </w:rPr>
        <w:t>á ser entreg</w:t>
      </w:r>
      <w:r w:rsidR="00A1447F" w:rsidRPr="002F50BD">
        <w:rPr>
          <w:rFonts w:ascii="Verdana" w:hAnsi="Verdana"/>
          <w:sz w:val="20"/>
          <w:lang w:val="pt-BR"/>
        </w:rPr>
        <w:t>ue</w:t>
      </w:r>
      <w:r w:rsidRPr="002F50BD">
        <w:rPr>
          <w:rFonts w:ascii="Verdana" w:hAnsi="Verdana"/>
          <w:sz w:val="20"/>
          <w:lang w:val="pt-BR"/>
        </w:rPr>
        <w:t xml:space="preserve"> aos </w:t>
      </w:r>
      <w:r w:rsidR="004756C1" w:rsidRPr="002F50BD">
        <w:rPr>
          <w:rFonts w:ascii="Verdana" w:hAnsi="Verdana"/>
          <w:sz w:val="20"/>
          <w:lang w:val="pt-BR"/>
        </w:rPr>
        <w:t>líderes</w:t>
      </w:r>
      <w:r w:rsidRPr="002F50BD">
        <w:rPr>
          <w:rFonts w:ascii="Verdana" w:hAnsi="Verdana"/>
          <w:sz w:val="20"/>
          <w:lang w:val="pt-BR"/>
        </w:rPr>
        <w:t xml:space="preserv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DC0F25" w:rsidRPr="002F50BD">
        <w:rPr>
          <w:rFonts w:ascii="Verdana" w:hAnsi="Verdana" w:cs="Times"/>
          <w:sz w:val="20"/>
          <w:lang w:val="pt-BR"/>
        </w:rPr>
        <w:t>a título de</w:t>
      </w:r>
      <w:r w:rsidR="004756C1" w:rsidRPr="002F50BD">
        <w:rPr>
          <w:rFonts w:ascii="Verdana" w:hAnsi="Verdana" w:cs="Times"/>
          <w:sz w:val="20"/>
          <w:lang w:val="pt-BR"/>
        </w:rPr>
        <w:t xml:space="preserve"> </w:t>
      </w:r>
      <w:r w:rsidRPr="002F50BD">
        <w:rPr>
          <w:rFonts w:ascii="Verdana" w:hAnsi="Verdana" w:cs="Times"/>
          <w:sz w:val="20"/>
          <w:lang w:val="pt-BR"/>
        </w:rPr>
        <w:t xml:space="preserve">custas e </w:t>
      </w:r>
      <w:r w:rsidR="004756C1" w:rsidRPr="002F50BD">
        <w:rPr>
          <w:rFonts w:ascii="Verdana" w:hAnsi="Verdana" w:cs="Times"/>
          <w:sz w:val="20"/>
          <w:lang w:val="pt-BR"/>
        </w:rPr>
        <w:t>gastos</w:t>
      </w:r>
      <w:r w:rsidRPr="002F50BD">
        <w:rPr>
          <w:rFonts w:ascii="Verdana" w:hAnsi="Verdana" w:cs="Times"/>
          <w:sz w:val="20"/>
          <w:lang w:val="pt-BR"/>
        </w:rPr>
        <w:t xml:space="preserve"> no processo</w:t>
      </w:r>
      <w:r w:rsidR="004756C1" w:rsidRPr="002F50BD">
        <w:rPr>
          <w:rFonts w:ascii="Verdana" w:hAnsi="Verdana" w:cs="Times"/>
          <w:sz w:val="20"/>
          <w:lang w:val="pt-BR"/>
        </w:rPr>
        <w:t xml:space="preserve"> interno</w:t>
      </w:r>
      <w:r w:rsidRPr="002F50BD">
        <w:rPr>
          <w:rFonts w:ascii="Verdana" w:hAnsi="Verdana" w:cs="Times"/>
          <w:sz w:val="20"/>
          <w:lang w:val="pt-BR"/>
        </w:rPr>
        <w:t xml:space="preserve"> e no procedimento</w:t>
      </w:r>
      <w:r w:rsidR="004756C1" w:rsidRPr="002F50BD">
        <w:rPr>
          <w:rFonts w:ascii="Verdana" w:hAnsi="Verdana" w:cs="Times"/>
          <w:sz w:val="20"/>
          <w:lang w:val="pt-BR"/>
        </w:rPr>
        <w:t xml:space="preserve"> seguido </w:t>
      </w:r>
      <w:r w:rsidR="00A1447F" w:rsidRPr="002F50BD">
        <w:rPr>
          <w:rFonts w:ascii="Verdana" w:hAnsi="Verdana" w:cs="Times"/>
          <w:sz w:val="20"/>
          <w:lang w:val="pt-BR"/>
        </w:rPr>
        <w:t>per</w:t>
      </w:r>
      <w:r w:rsidR="004756C1" w:rsidRPr="002F50BD">
        <w:rPr>
          <w:rFonts w:ascii="Verdana" w:hAnsi="Verdana" w:cs="Times"/>
          <w:sz w:val="20"/>
          <w:lang w:val="pt-BR"/>
        </w:rPr>
        <w:t>ante</w:t>
      </w:r>
      <w:r w:rsidRPr="002F50BD">
        <w:rPr>
          <w:rFonts w:ascii="Verdana" w:hAnsi="Verdana" w:cs="Times"/>
          <w:sz w:val="20"/>
          <w:lang w:val="pt-BR"/>
        </w:rPr>
        <w:t xml:space="preserve"> o </w:t>
      </w:r>
      <w:r w:rsidR="004756C1" w:rsidRPr="002F50BD">
        <w:rPr>
          <w:rFonts w:ascii="Verdana" w:hAnsi="Verdana" w:cs="Times"/>
          <w:sz w:val="20"/>
          <w:lang w:val="pt-BR"/>
        </w:rPr>
        <w:t xml:space="preserve">sistema interamericano de </w:t>
      </w:r>
      <w:r w:rsidRPr="002F50BD">
        <w:rPr>
          <w:rFonts w:ascii="Verdana" w:hAnsi="Verdana" w:cs="Times"/>
          <w:sz w:val="20"/>
          <w:lang w:val="pt-BR"/>
        </w:rPr>
        <w:t>proteção dos direito</w:t>
      </w:r>
      <w:r w:rsidR="004756C1" w:rsidRPr="002F50BD">
        <w:rPr>
          <w:rFonts w:ascii="Verdana" w:hAnsi="Verdana" w:cs="Times"/>
          <w:sz w:val="20"/>
          <w:lang w:val="pt-BR"/>
        </w:rPr>
        <w:t>s humanos.</w:t>
      </w:r>
      <w:r w:rsidR="00FE08B7">
        <w:rPr>
          <w:rFonts w:ascii="Verdana" w:hAnsi="Verdana" w:cs="Times"/>
          <w:sz w:val="20"/>
          <w:lang w:val="pt-BR"/>
        </w:rPr>
        <w:t xml:space="preserve"> </w:t>
      </w:r>
    </w:p>
    <w:p w:rsidR="004756C1" w:rsidRPr="002F50BD" w:rsidRDefault="004756C1">
      <w:pPr>
        <w:widowControl w:val="0"/>
        <w:jc w:val="both"/>
        <w:rPr>
          <w:rFonts w:ascii="Verdana" w:hAnsi="Verdana"/>
          <w:sz w:val="20"/>
          <w:lang w:val="pt-BR"/>
        </w:rPr>
      </w:pPr>
    </w:p>
    <w:p w:rsidR="004756C1" w:rsidRPr="002F50BD" w:rsidRDefault="004756C1">
      <w:pPr>
        <w:widowControl w:val="0"/>
        <w:tabs>
          <w:tab w:val="left" w:pos="0"/>
        </w:tabs>
        <w:jc w:val="center"/>
        <w:rPr>
          <w:rFonts w:ascii="Verdana" w:hAnsi="Verdana"/>
          <w:b/>
          <w:sz w:val="20"/>
          <w:lang w:val="pt-BR"/>
        </w:rPr>
      </w:pPr>
      <w:r w:rsidRPr="002F50BD">
        <w:rPr>
          <w:rFonts w:ascii="Verdana" w:hAnsi="Verdana"/>
          <w:b/>
          <w:sz w:val="20"/>
          <w:lang w:val="pt-BR"/>
        </w:rPr>
        <w:t>XIII</w:t>
      </w:r>
    </w:p>
    <w:p w:rsidR="004756C1" w:rsidRPr="002F50BD" w:rsidRDefault="0089298C">
      <w:pPr>
        <w:widowControl w:val="0"/>
        <w:tabs>
          <w:tab w:val="left" w:pos="0"/>
        </w:tabs>
        <w:jc w:val="center"/>
        <w:rPr>
          <w:rFonts w:ascii="Verdana" w:hAnsi="Verdana"/>
          <w:b/>
          <w:smallCaps/>
          <w:sz w:val="20"/>
          <w:lang w:val="pt-BR"/>
        </w:rPr>
      </w:pPr>
      <w:r w:rsidRPr="002F50BD">
        <w:rPr>
          <w:rFonts w:ascii="Verdana" w:hAnsi="Verdana"/>
          <w:b/>
          <w:smallCaps/>
          <w:sz w:val="20"/>
          <w:lang w:val="pt-BR"/>
        </w:rPr>
        <w:t xml:space="preserve">Modalidade </w:t>
      </w:r>
      <w:r w:rsidR="004756C1" w:rsidRPr="002F50BD">
        <w:rPr>
          <w:rFonts w:ascii="Verdana" w:hAnsi="Verdana"/>
          <w:b/>
          <w:smallCaps/>
          <w:sz w:val="20"/>
          <w:lang w:val="pt-BR"/>
        </w:rPr>
        <w:t xml:space="preserve">de </w:t>
      </w:r>
      <w:r w:rsidRPr="002F50BD">
        <w:rPr>
          <w:rFonts w:ascii="Verdana" w:hAnsi="Verdana"/>
          <w:b/>
          <w:smallCaps/>
          <w:sz w:val="20"/>
          <w:lang w:val="pt-BR"/>
        </w:rPr>
        <w:t>Cumprimento</w:t>
      </w:r>
    </w:p>
    <w:p w:rsidR="004756C1" w:rsidRPr="002F50BD" w:rsidRDefault="004756C1">
      <w:pPr>
        <w:pStyle w:val="BodyTextIndent2"/>
        <w:widowControl w:val="0"/>
        <w:spacing w:line="240" w:lineRule="auto"/>
        <w:rPr>
          <w:rFonts w:ascii="Verdana" w:eastAsia="Times" w:hAnsi="Verdana"/>
          <w:i/>
          <w:sz w:val="20"/>
          <w:lang w:val="pt-BR"/>
        </w:rPr>
      </w:pPr>
    </w:p>
    <w:p w:rsidR="004756C1" w:rsidRPr="002F50BD" w:rsidRDefault="00063B47">
      <w:pPr>
        <w:pStyle w:val="BodyTextIndent2"/>
        <w:widowControl w:val="0"/>
        <w:spacing w:line="240" w:lineRule="auto"/>
        <w:ind w:firstLine="0"/>
        <w:rPr>
          <w:rFonts w:ascii="Verdana" w:hAnsi="Verdana"/>
          <w:sz w:val="20"/>
          <w:lang w:val="pt-BR"/>
        </w:rPr>
      </w:pPr>
      <w:r w:rsidRPr="002F50BD">
        <w:rPr>
          <w:rFonts w:ascii="Verdana" w:hAnsi="Verdana"/>
          <w:sz w:val="20"/>
          <w:lang w:val="pt-BR"/>
        </w:rPr>
        <w:t>233</w:t>
      </w:r>
      <w:r w:rsidR="004756C1" w:rsidRPr="002F50BD">
        <w:rPr>
          <w:rFonts w:ascii="Verdana" w:hAnsi="Verdana"/>
          <w:sz w:val="20"/>
          <w:lang w:val="pt-BR"/>
        </w:rPr>
        <w:t>.</w:t>
      </w:r>
      <w:r w:rsidR="004756C1" w:rsidRPr="002F50BD">
        <w:rPr>
          <w:rFonts w:ascii="Verdana" w:hAnsi="Verdana"/>
          <w:sz w:val="20"/>
          <w:lang w:val="pt-BR"/>
        </w:rPr>
        <w:tab/>
        <w:t xml:space="preserve">Para dar </w:t>
      </w:r>
      <w:r w:rsidR="0089298C" w:rsidRPr="002F50BD">
        <w:rPr>
          <w:rFonts w:ascii="Verdana" w:hAnsi="Verdana"/>
          <w:sz w:val="20"/>
          <w:lang w:val="pt-BR"/>
        </w:rPr>
        <w:t xml:space="preserve">cumprimento à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realizar o pagamento da indenização</w:t>
      </w:r>
      <w:r w:rsidR="004756C1" w:rsidRPr="002F50BD">
        <w:rPr>
          <w:rFonts w:ascii="Verdana" w:hAnsi="Verdana"/>
          <w:sz w:val="20"/>
          <w:lang w:val="pt-BR"/>
        </w:rPr>
        <w:t xml:space="preserve"> </w:t>
      </w:r>
      <w:r w:rsidR="00DC0F25" w:rsidRPr="002F50BD">
        <w:rPr>
          <w:rFonts w:ascii="Verdana" w:hAnsi="Verdana"/>
          <w:sz w:val="20"/>
          <w:lang w:val="pt-BR"/>
        </w:rPr>
        <w:t>a título de</w:t>
      </w:r>
      <w:r w:rsidR="0089298C" w:rsidRPr="002F50BD">
        <w:rPr>
          <w:rFonts w:ascii="Verdana" w:hAnsi="Verdana"/>
          <w:sz w:val="20"/>
          <w:lang w:val="pt-BR"/>
        </w:rPr>
        <w:t xml:space="preserve"> dano</w:t>
      </w:r>
      <w:r w:rsidR="004756C1" w:rsidRPr="002F50BD">
        <w:rPr>
          <w:rFonts w:ascii="Verdana" w:hAnsi="Verdana"/>
          <w:sz w:val="20"/>
          <w:lang w:val="pt-BR"/>
        </w:rPr>
        <w:t xml:space="preserve"> material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195</w:t>
      </w:r>
      <w:r w:rsidR="00E0019F" w:rsidRPr="002F50BD">
        <w:rPr>
          <w:rFonts w:ascii="Verdana" w:hAnsi="Verdana"/>
          <w:sz w:val="20"/>
          <w:lang w:val="pt-BR"/>
        </w:rPr>
        <w:t xml:space="preserve"> </w:t>
      </w:r>
      <w:r w:rsidR="00E0019F" w:rsidRPr="002F50BD">
        <w:rPr>
          <w:rFonts w:ascii="Verdana" w:hAnsi="Verdana"/>
          <w:i/>
          <w:sz w:val="20"/>
          <w:lang w:val="pt-BR"/>
        </w:rPr>
        <w:t>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o</w:t>
      </w:r>
      <w:r w:rsidR="00A1447F" w:rsidRPr="002F50BD">
        <w:rPr>
          <w:rFonts w:ascii="Verdana" w:hAnsi="Verdana"/>
          <w:sz w:val="20"/>
          <w:lang w:val="pt-BR"/>
        </w:rPr>
        <w:t xml:space="preserve"> reembolso </w:t>
      </w:r>
      <w:r w:rsidR="004756C1" w:rsidRPr="002F50BD">
        <w:rPr>
          <w:rFonts w:ascii="Verdana" w:hAnsi="Verdana"/>
          <w:sz w:val="20"/>
          <w:lang w:val="pt-BR"/>
        </w:rPr>
        <w:t xml:space="preserve">de </w:t>
      </w:r>
      <w:r w:rsidR="0089298C" w:rsidRPr="002F50BD">
        <w:rPr>
          <w:rFonts w:ascii="Verdana" w:hAnsi="Verdana"/>
          <w:sz w:val="20"/>
          <w:lang w:val="pt-BR"/>
        </w:rPr>
        <w:t xml:space="preserve">custas e </w:t>
      </w:r>
      <w:r w:rsidR="004756C1" w:rsidRPr="002F50BD">
        <w:rPr>
          <w:rFonts w:ascii="Verdana" w:hAnsi="Verdana"/>
          <w:sz w:val="20"/>
          <w:lang w:val="pt-BR"/>
        </w:rPr>
        <w:t xml:space="preserve">gastos </w:t>
      </w:r>
      <w:r w:rsidR="00CF451D" w:rsidRPr="00CF451D">
        <w:rPr>
          <w:rFonts w:ascii="Verdana" w:hAnsi="Verdana"/>
          <w:sz w:val="20"/>
          <w:lang w:val="pt-BR"/>
        </w:rPr>
        <w:t>(</w:t>
      </w:r>
      <w:r w:rsidR="00E0019F" w:rsidRPr="002F50BD">
        <w:rPr>
          <w:rFonts w:ascii="Verdana" w:hAnsi="Verdana"/>
          <w:sz w:val="20"/>
          <w:lang w:val="pt-BR"/>
        </w:rPr>
        <w:t xml:space="preserve">par. </w:t>
      </w:r>
      <w:r w:rsidRPr="002F50BD">
        <w:rPr>
          <w:rFonts w:ascii="Verdana" w:hAnsi="Verdana"/>
          <w:sz w:val="20"/>
          <w:lang w:val="pt-BR"/>
        </w:rPr>
        <w:t>232</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criação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A1447F" w:rsidRPr="002F50BD">
        <w:rPr>
          <w:rFonts w:ascii="Verdana" w:hAnsi="Verdana"/>
          <w:sz w:val="20"/>
          <w:lang w:val="pt-BR"/>
        </w:rPr>
        <w:t xml:space="preserve">fundo </w:t>
      </w:r>
      <w:r w:rsidR="004756C1" w:rsidRPr="002F50BD">
        <w:rPr>
          <w:rFonts w:ascii="Verdana" w:hAnsi="Verdana"/>
          <w:sz w:val="20"/>
          <w:lang w:val="pt-BR"/>
        </w:rPr>
        <w:t>destinado</w:t>
      </w:r>
      <w:r w:rsidR="0089298C" w:rsidRPr="002F50BD">
        <w:rPr>
          <w:rFonts w:ascii="Verdana" w:hAnsi="Verdana"/>
          <w:sz w:val="20"/>
          <w:lang w:val="pt-BR"/>
        </w:rPr>
        <w:t xml:space="preserve"> à </w:t>
      </w:r>
      <w:r w:rsidR="00367FD1" w:rsidRPr="002F50BD">
        <w:rPr>
          <w:rFonts w:ascii="Verdana" w:hAnsi="Verdana"/>
          <w:sz w:val="20"/>
          <w:lang w:val="pt-BR"/>
        </w:rPr>
        <w:t>aquisição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para</w:t>
      </w:r>
      <w:r w:rsidR="0089298C" w:rsidRPr="002F50BD">
        <w:rPr>
          <w:rFonts w:ascii="Verdana" w:hAnsi="Verdana"/>
          <w:sz w:val="20"/>
          <w:lang w:val="pt-BR"/>
        </w:rPr>
        <w:t xml:space="preserve"> a Comunidade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218</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o ato </w:t>
      </w:r>
      <w:r w:rsidR="004756C1" w:rsidRPr="002F50BD">
        <w:rPr>
          <w:rFonts w:ascii="Verdana" w:hAnsi="Verdana"/>
          <w:sz w:val="20"/>
          <w:lang w:val="pt-BR"/>
        </w:rPr>
        <w:t>público de re</w:t>
      </w:r>
      <w:r w:rsidR="0089298C" w:rsidRPr="002F50BD">
        <w:rPr>
          <w:rFonts w:ascii="Verdana" w:hAnsi="Verdana"/>
          <w:sz w:val="20"/>
          <w:lang w:val="pt-BR"/>
        </w:rPr>
        <w:t>conhecimento</w:t>
      </w:r>
      <w:r w:rsidR="004756C1" w:rsidRPr="002F50BD">
        <w:rPr>
          <w:rFonts w:ascii="Verdana" w:hAnsi="Verdana"/>
          <w:sz w:val="20"/>
          <w:lang w:val="pt-BR"/>
        </w:rPr>
        <w:t xml:space="preserve"> de </w:t>
      </w:r>
      <w:r w:rsidR="0089298C" w:rsidRPr="002F50BD">
        <w:rPr>
          <w:rFonts w:ascii="Verdana" w:hAnsi="Verdana"/>
          <w:sz w:val="20"/>
          <w:lang w:val="pt-BR"/>
        </w:rPr>
        <w:t xml:space="preserve">responsabilidade </w:t>
      </w:r>
      <w:r w:rsidR="004756C1" w:rsidRPr="002F50BD">
        <w:rPr>
          <w:rFonts w:ascii="Verdana" w:hAnsi="Verdana"/>
          <w:sz w:val="20"/>
          <w:lang w:val="pt-BR"/>
        </w:rPr>
        <w:t xml:space="preserve">internacional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226</w:t>
      </w:r>
      <w:r w:rsidR="00E0019F" w:rsidRPr="002F50BD">
        <w:rPr>
          <w:rFonts w:ascii="Verdana" w:hAnsi="Verdana"/>
          <w:i/>
          <w:sz w:val="20"/>
          <w:lang w:val="pt-BR"/>
        </w:rPr>
        <w:t xml:space="preserve"> supra</w:t>
      </w:r>
      <w:r w:rsidR="00CF451D" w:rsidRPr="00CF451D">
        <w:rPr>
          <w:rFonts w:ascii="Verdana" w:hAnsi="Verdana"/>
          <w:sz w:val="20"/>
          <w:lang w:val="pt-BR"/>
        </w:rPr>
        <w:t>)</w:t>
      </w:r>
      <w:r w:rsidR="0089298C" w:rsidRPr="002F50BD">
        <w:rPr>
          <w:rFonts w:ascii="Verdana" w:hAnsi="Verdana"/>
          <w:sz w:val="20"/>
          <w:lang w:val="pt-BR"/>
        </w:rPr>
        <w:t xml:space="preserve"> e a </w:t>
      </w:r>
      <w:r w:rsidR="004756C1" w:rsidRPr="002F50BD">
        <w:rPr>
          <w:rFonts w:ascii="Verdana" w:hAnsi="Verdana"/>
          <w:sz w:val="20"/>
          <w:lang w:val="pt-BR"/>
        </w:rPr>
        <w:t>publica</w:t>
      </w:r>
      <w:r w:rsidR="0089298C" w:rsidRPr="002F50BD">
        <w:rPr>
          <w:rFonts w:ascii="Verdana" w:hAnsi="Verdana"/>
          <w:sz w:val="20"/>
          <w:lang w:val="pt-BR"/>
        </w:rPr>
        <w:t>ção e difusão d</w:t>
      </w:r>
      <w:r w:rsidR="00DB2867" w:rsidRPr="002F50BD">
        <w:rPr>
          <w:rFonts w:ascii="Verdana" w:hAnsi="Verdana"/>
          <w:sz w:val="20"/>
          <w:lang w:val="pt-BR"/>
        </w:rPr>
        <w:t>e</w:t>
      </w:r>
      <w:r w:rsidR="0089298C" w:rsidRPr="002F50BD">
        <w:rPr>
          <w:rFonts w:ascii="Verdana" w:hAnsi="Verdana"/>
          <w:sz w:val="20"/>
          <w:lang w:val="pt-BR"/>
        </w:rPr>
        <w:t xml:space="preserve"> </w:t>
      </w:r>
      <w:r w:rsidR="00DB2867" w:rsidRPr="002F50BD">
        <w:rPr>
          <w:rFonts w:ascii="Verdana" w:hAnsi="Verdana"/>
          <w:sz w:val="20"/>
          <w:lang w:val="pt-BR"/>
        </w:rPr>
        <w:t>trechos</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w:t>
      </w:r>
      <w:r w:rsidR="00CF451D" w:rsidRPr="00CF451D">
        <w:rPr>
          <w:rFonts w:ascii="Verdana" w:hAnsi="Verdana"/>
          <w:sz w:val="20"/>
          <w:lang w:val="pt-BR"/>
        </w:rPr>
        <w:t>(</w:t>
      </w:r>
      <w:r w:rsidR="004F64EE" w:rsidRPr="002F50BD">
        <w:rPr>
          <w:rFonts w:ascii="Verdana" w:hAnsi="Verdana"/>
          <w:sz w:val="20"/>
          <w:lang w:val="pt-BR"/>
        </w:rPr>
        <w:t xml:space="preserve">par. </w:t>
      </w:r>
      <w:r w:rsidRPr="002F50BD">
        <w:rPr>
          <w:rFonts w:ascii="Verdana" w:hAnsi="Verdana"/>
          <w:sz w:val="20"/>
          <w:lang w:val="pt-BR"/>
        </w:rPr>
        <w:t>227</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dentro </w:t>
      </w:r>
      <w:r w:rsidR="0089298C" w:rsidRPr="002F50BD">
        <w:rPr>
          <w:rFonts w:ascii="Verdana" w:hAnsi="Verdana"/>
          <w:sz w:val="20"/>
          <w:lang w:val="pt-BR"/>
        </w:rPr>
        <w:t>do prazo</w:t>
      </w:r>
      <w:r w:rsidR="004756C1" w:rsidRPr="002F50BD">
        <w:rPr>
          <w:rFonts w:ascii="Verdana" w:hAnsi="Verdana"/>
          <w:sz w:val="20"/>
          <w:lang w:val="pt-BR"/>
        </w:rPr>
        <w:t xml:space="preserve"> de</w:t>
      </w:r>
      <w:r w:rsidR="0089298C" w:rsidRPr="002F50BD">
        <w:rPr>
          <w:rFonts w:ascii="Verdana" w:hAnsi="Verdana"/>
          <w:sz w:val="20"/>
          <w:lang w:val="pt-BR"/>
        </w:rPr>
        <w:t xml:space="preserve"> um </w:t>
      </w:r>
      <w:r w:rsidR="004756C1" w:rsidRPr="002F50BD">
        <w:rPr>
          <w:rFonts w:ascii="Verdana" w:hAnsi="Verdana"/>
          <w:sz w:val="20"/>
          <w:lang w:val="pt-BR"/>
        </w:rPr>
        <w:t>a</w:t>
      </w:r>
      <w:r w:rsidR="00A1447F" w:rsidRPr="002F50BD">
        <w:rPr>
          <w:rFonts w:ascii="Verdana" w:hAnsi="Verdana"/>
          <w:sz w:val="20"/>
          <w:lang w:val="pt-BR"/>
        </w:rPr>
        <w:t>n</w:t>
      </w:r>
      <w:r w:rsidR="004756C1" w:rsidRPr="002F50BD">
        <w:rPr>
          <w:rFonts w:ascii="Verdana" w:hAnsi="Verdana"/>
          <w:sz w:val="20"/>
          <w:lang w:val="pt-BR"/>
        </w:rPr>
        <w:t xml:space="preserve">o. </w:t>
      </w:r>
      <w:r w:rsidR="00A1447F" w:rsidRPr="002F50BD">
        <w:rPr>
          <w:rFonts w:ascii="Verdana" w:hAnsi="Verdana"/>
          <w:sz w:val="20"/>
          <w:lang w:val="pt-BR"/>
        </w:rPr>
        <w:t>Do mesmo modo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á identificar, delimitar, demarcar, titular</w:t>
      </w:r>
      <w:r w:rsidR="0089298C" w:rsidRPr="002F50BD">
        <w:rPr>
          <w:rFonts w:ascii="Verdana" w:hAnsi="Verdana"/>
          <w:sz w:val="20"/>
          <w:lang w:val="pt-BR"/>
        </w:rPr>
        <w:t xml:space="preserve"> e </w:t>
      </w:r>
      <w:r w:rsidR="004756C1" w:rsidRPr="002F50BD">
        <w:rPr>
          <w:rFonts w:ascii="Verdana" w:hAnsi="Verdana"/>
          <w:sz w:val="20"/>
          <w:lang w:val="pt-BR"/>
        </w:rPr>
        <w:t>entregar gratuitamente</w:t>
      </w:r>
      <w:r w:rsidR="0089298C" w:rsidRPr="002F50BD">
        <w:rPr>
          <w:rFonts w:ascii="Verdana" w:hAnsi="Verdana"/>
          <w:sz w:val="20"/>
          <w:lang w:val="pt-BR"/>
        </w:rPr>
        <w:t xml:space="preserve"> as terra</w:t>
      </w:r>
      <w:r w:rsidR="004756C1" w:rsidRPr="002F50BD">
        <w:rPr>
          <w:rFonts w:ascii="Verdana" w:hAnsi="Verdana"/>
          <w:sz w:val="20"/>
          <w:lang w:val="pt-BR"/>
        </w:rPr>
        <w:t>s tr</w:t>
      </w:r>
      <w:r w:rsidR="0089298C" w:rsidRPr="002F50BD">
        <w:rPr>
          <w:rFonts w:ascii="Verdana" w:hAnsi="Verdana"/>
          <w:sz w:val="20"/>
          <w:lang w:val="pt-BR"/>
        </w:rPr>
        <w:t xml:space="preserve">adicionais da Comunidade </w:t>
      </w:r>
      <w:r w:rsidR="004756C1" w:rsidRPr="002F50BD">
        <w:rPr>
          <w:rFonts w:ascii="Verdana" w:hAnsi="Verdana"/>
          <w:sz w:val="20"/>
          <w:lang w:val="pt-BR"/>
        </w:rPr>
        <w:t>Yakye Axa o</w:t>
      </w:r>
      <w:r w:rsidR="00A1447F" w:rsidRPr="002F50BD">
        <w:rPr>
          <w:rFonts w:ascii="Verdana" w:hAnsi="Verdana"/>
          <w:sz w:val="20"/>
          <w:lang w:val="pt-BR"/>
        </w:rPr>
        <w:t>u</w:t>
      </w:r>
      <w:r w:rsidR="0089298C" w:rsidRPr="002F50BD">
        <w:rPr>
          <w:rFonts w:ascii="Verdana" w:hAnsi="Verdana"/>
          <w:sz w:val="20"/>
          <w:lang w:val="pt-BR"/>
        </w:rPr>
        <w:t xml:space="preserve"> as terra</w:t>
      </w:r>
      <w:r w:rsidR="004756C1" w:rsidRPr="002F50BD">
        <w:rPr>
          <w:rFonts w:ascii="Verdana" w:hAnsi="Verdana"/>
          <w:sz w:val="20"/>
          <w:lang w:val="pt-BR"/>
        </w:rPr>
        <w:t xml:space="preserve">s alternativas </w:t>
      </w:r>
      <w:r w:rsidR="0089298C" w:rsidRPr="002F50BD">
        <w:rPr>
          <w:rFonts w:ascii="Verdana" w:hAnsi="Verdana"/>
          <w:sz w:val="20"/>
          <w:lang w:val="pt-BR"/>
        </w:rPr>
        <w:t xml:space="preserve">quando </w:t>
      </w:r>
      <w:r w:rsidR="00A1447F" w:rsidRPr="002F50BD">
        <w:rPr>
          <w:rFonts w:ascii="Verdana" w:hAnsi="Verdana"/>
          <w:sz w:val="20"/>
          <w:lang w:val="pt-BR"/>
        </w:rPr>
        <w:t xml:space="preserve">o </w:t>
      </w:r>
      <w:r w:rsidR="0089298C" w:rsidRPr="002F50BD">
        <w:rPr>
          <w:rFonts w:ascii="Verdana" w:hAnsi="Verdana"/>
          <w:sz w:val="20"/>
          <w:lang w:val="pt-BR"/>
        </w:rPr>
        <w:t xml:space="preserve">anterior </w:t>
      </w:r>
      <w:r w:rsidR="00A1447F" w:rsidRPr="002F50BD">
        <w:rPr>
          <w:rFonts w:ascii="Verdana" w:hAnsi="Verdana"/>
          <w:sz w:val="20"/>
          <w:lang w:val="pt-BR"/>
        </w:rPr>
        <w:t xml:space="preserve">for </w:t>
      </w:r>
      <w:r w:rsidR="0089298C" w:rsidRPr="002F50BD">
        <w:rPr>
          <w:rFonts w:ascii="Verdana" w:hAnsi="Verdana"/>
          <w:sz w:val="20"/>
          <w:lang w:val="pt-BR"/>
        </w:rPr>
        <w:t>impossível</w:t>
      </w:r>
      <w:r w:rsidR="004756C1" w:rsidRPr="002F50BD">
        <w:rPr>
          <w:rFonts w:ascii="Verdana" w:hAnsi="Verdana"/>
          <w:sz w:val="20"/>
          <w:lang w:val="pt-BR"/>
        </w:rPr>
        <w:t>, conforme</w:t>
      </w:r>
      <w:r w:rsidR="0089298C" w:rsidRPr="002F50BD">
        <w:rPr>
          <w:rFonts w:ascii="Verdana" w:hAnsi="Verdana"/>
          <w:sz w:val="20"/>
          <w:lang w:val="pt-BR"/>
        </w:rPr>
        <w:t xml:space="preserve"> os parágrafo</w:t>
      </w:r>
      <w:r w:rsidR="004756C1" w:rsidRPr="002F50BD">
        <w:rPr>
          <w:rFonts w:ascii="Verdana" w:hAnsi="Verdana"/>
          <w:sz w:val="20"/>
          <w:lang w:val="pt-BR"/>
        </w:rPr>
        <w:t xml:space="preserve">s </w:t>
      </w:r>
      <w:r w:rsidRPr="002F50BD">
        <w:rPr>
          <w:rFonts w:ascii="Verdana" w:hAnsi="Verdana"/>
          <w:sz w:val="20"/>
          <w:lang w:val="pt-BR"/>
        </w:rPr>
        <w:t>211</w:t>
      </w:r>
      <w:r w:rsidR="004756C1" w:rsidRPr="002F50BD">
        <w:rPr>
          <w:rFonts w:ascii="Verdana" w:hAnsi="Verdana"/>
          <w:sz w:val="20"/>
          <w:lang w:val="pt-BR"/>
        </w:rPr>
        <w:t xml:space="preserve"> a </w:t>
      </w:r>
      <w:r w:rsidRPr="002F50BD">
        <w:rPr>
          <w:rFonts w:ascii="Verdana" w:hAnsi="Verdana"/>
          <w:sz w:val="20"/>
          <w:lang w:val="pt-BR"/>
        </w:rPr>
        <w:t>217</w:t>
      </w:r>
      <w:r w:rsidR="0089298C" w:rsidRPr="002F50BD">
        <w:rPr>
          <w:rFonts w:ascii="Verdana" w:hAnsi="Verdana"/>
          <w:sz w:val="20"/>
          <w:lang w:val="pt-BR"/>
        </w:rPr>
        <w:t xml:space="preserve"> desta Sentença</w:t>
      </w:r>
      <w:r w:rsidR="004756C1" w:rsidRPr="002F50BD">
        <w:rPr>
          <w:rFonts w:ascii="Verdana" w:hAnsi="Verdana"/>
          <w:sz w:val="20"/>
          <w:lang w:val="pt-BR"/>
        </w:rPr>
        <w:t>, dentro de</w:t>
      </w:r>
      <w:r w:rsidR="0089298C" w:rsidRPr="002F50BD">
        <w:rPr>
          <w:rFonts w:ascii="Verdana" w:hAnsi="Verdana"/>
          <w:sz w:val="20"/>
          <w:lang w:val="pt-BR"/>
        </w:rPr>
        <w:t xml:space="preserve"> um prazo</w:t>
      </w:r>
      <w:r w:rsidR="004756C1" w:rsidRPr="002F50BD">
        <w:rPr>
          <w:rFonts w:ascii="Verdana" w:hAnsi="Verdana"/>
          <w:sz w:val="20"/>
          <w:lang w:val="pt-BR"/>
        </w:rPr>
        <w:t xml:space="preserve"> máximo de</w:t>
      </w:r>
      <w:r w:rsidR="0089298C" w:rsidRPr="002F50BD">
        <w:rPr>
          <w:rFonts w:ascii="Verdana" w:hAnsi="Verdana"/>
          <w:sz w:val="20"/>
          <w:lang w:val="pt-BR"/>
        </w:rPr>
        <w:t xml:space="preserve"> três anos</w:t>
      </w:r>
      <w:r w:rsidR="004756C1" w:rsidRPr="002F50BD">
        <w:rPr>
          <w:rFonts w:ascii="Verdana" w:hAnsi="Verdana"/>
          <w:sz w:val="20"/>
          <w:lang w:val="pt-BR"/>
        </w:rPr>
        <w:t>. Todos</w:t>
      </w:r>
      <w:r w:rsidR="0089298C" w:rsidRPr="002F50BD">
        <w:rPr>
          <w:rFonts w:ascii="Verdana" w:hAnsi="Verdana"/>
          <w:sz w:val="20"/>
          <w:lang w:val="pt-BR"/>
        </w:rPr>
        <w:t xml:space="preserve"> estes prazo</w:t>
      </w:r>
      <w:r w:rsidR="004756C1" w:rsidRPr="002F50BD">
        <w:rPr>
          <w:rFonts w:ascii="Verdana" w:hAnsi="Verdana"/>
          <w:sz w:val="20"/>
          <w:lang w:val="pt-BR"/>
        </w:rPr>
        <w:t>s se</w:t>
      </w:r>
      <w:r w:rsidR="00A1447F" w:rsidRPr="002F50BD">
        <w:rPr>
          <w:rFonts w:ascii="Verdana" w:hAnsi="Verdana"/>
          <w:sz w:val="20"/>
          <w:lang w:val="pt-BR"/>
        </w:rPr>
        <w:t xml:space="preserve">rão contados </w:t>
      </w:r>
      <w:r w:rsidR="004756C1" w:rsidRPr="002F50BD">
        <w:rPr>
          <w:rFonts w:ascii="Verdana" w:hAnsi="Verdana"/>
          <w:sz w:val="20"/>
          <w:lang w:val="pt-BR"/>
        </w:rPr>
        <w:t>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pStyle w:val="BodyTextIndent2"/>
        <w:widowControl w:val="0"/>
        <w:spacing w:line="240" w:lineRule="auto"/>
        <w:rPr>
          <w:rFonts w:ascii="Verdana" w:hAnsi="Verdana"/>
          <w:sz w:val="20"/>
          <w:lang w:val="pt-BR"/>
        </w:rPr>
      </w:pPr>
    </w:p>
    <w:p w:rsidR="004756C1" w:rsidRPr="002F50BD" w:rsidRDefault="0089298C">
      <w:pPr>
        <w:pStyle w:val="BodyText2"/>
        <w:numPr>
          <w:ilvl w:val="0"/>
          <w:numId w:val="34"/>
        </w:numPr>
        <w:rPr>
          <w:rFonts w:ascii="Verdana" w:hAnsi="Verdana"/>
          <w:sz w:val="20"/>
          <w:lang w:val="pt-BR"/>
        </w:rPr>
      </w:pPr>
      <w:r w:rsidRPr="002F50BD">
        <w:rPr>
          <w:rFonts w:ascii="Verdana" w:hAnsi="Verdana"/>
          <w:sz w:val="20"/>
          <w:lang w:val="pt-BR"/>
        </w:rPr>
        <w:t>Ademais</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Estado</w:t>
      </w:r>
      <w:r w:rsidRPr="002F50BD">
        <w:rPr>
          <w:rFonts w:ascii="Verdana" w:hAnsi="Verdana"/>
          <w:sz w:val="20"/>
          <w:lang w:val="pt-BR"/>
        </w:rPr>
        <w:t xml:space="preserve"> deve </w:t>
      </w:r>
      <w:r w:rsidR="004756C1" w:rsidRPr="002F50BD">
        <w:rPr>
          <w:rFonts w:ascii="Verdana" w:hAnsi="Verdana"/>
          <w:sz w:val="20"/>
          <w:lang w:val="pt-BR"/>
        </w:rPr>
        <w:t>implementar</w:t>
      </w:r>
      <w:r w:rsidRPr="002F50BD">
        <w:rPr>
          <w:rFonts w:ascii="Verdana" w:hAnsi="Verdana"/>
          <w:sz w:val="20"/>
          <w:lang w:val="pt-BR"/>
        </w:rPr>
        <w:t xml:space="preserve"> o </w:t>
      </w:r>
      <w:r w:rsidR="004756C1" w:rsidRPr="002F50BD">
        <w:rPr>
          <w:rFonts w:ascii="Verdana" w:hAnsi="Verdana"/>
          <w:sz w:val="20"/>
          <w:lang w:val="pt-BR"/>
        </w:rPr>
        <w:t>programa</w:t>
      </w:r>
      <w:r w:rsidRPr="002F50BD">
        <w:rPr>
          <w:rFonts w:ascii="Verdana" w:hAnsi="Verdana"/>
          <w:sz w:val="20"/>
          <w:lang w:val="pt-BR"/>
        </w:rPr>
        <w:t xml:space="preserve"> e o </w:t>
      </w:r>
      <w:r w:rsidR="00A1447F" w:rsidRPr="002F50BD">
        <w:rPr>
          <w:rFonts w:ascii="Verdana" w:hAnsi="Verdana"/>
          <w:sz w:val="20"/>
          <w:lang w:val="pt-BR"/>
        </w:rPr>
        <w:t xml:space="preserve">fundo </w:t>
      </w:r>
      <w:r w:rsidR="004756C1" w:rsidRPr="002F50BD">
        <w:rPr>
          <w:rFonts w:ascii="Verdana" w:hAnsi="Verdana"/>
          <w:sz w:val="20"/>
          <w:lang w:val="pt-BR"/>
        </w:rPr>
        <w:t xml:space="preserve">de </w:t>
      </w:r>
      <w:r w:rsidRPr="002F50BD">
        <w:rPr>
          <w:rFonts w:ascii="Verdana" w:hAnsi="Verdana"/>
          <w:sz w:val="20"/>
          <w:lang w:val="pt-BR"/>
        </w:rPr>
        <w:t>desenvolvimento</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 xml:space="preserve">o </w:t>
      </w:r>
      <w:r w:rsidRPr="002F50BD">
        <w:rPr>
          <w:rFonts w:ascii="Verdana" w:hAnsi="Verdana"/>
          <w:sz w:val="20"/>
          <w:lang w:val="pt-BR"/>
        </w:rPr>
        <w:t>em um prazo</w:t>
      </w:r>
      <w:r w:rsidR="004756C1" w:rsidRPr="002F50BD">
        <w:rPr>
          <w:rFonts w:ascii="Verdana" w:hAnsi="Verdana"/>
          <w:sz w:val="20"/>
          <w:lang w:val="pt-BR"/>
        </w:rPr>
        <w:t xml:space="preserve"> que n</w:t>
      </w:r>
      <w:r w:rsidR="00A1447F" w:rsidRPr="002F50BD">
        <w:rPr>
          <w:rFonts w:ascii="Verdana" w:hAnsi="Verdana"/>
          <w:sz w:val="20"/>
          <w:lang w:val="pt-BR"/>
        </w:rPr>
        <w:t>ã</w:t>
      </w:r>
      <w:r w:rsidR="004756C1" w:rsidRPr="002F50BD">
        <w:rPr>
          <w:rFonts w:ascii="Verdana" w:hAnsi="Verdana"/>
          <w:sz w:val="20"/>
          <w:lang w:val="pt-BR"/>
        </w:rPr>
        <w:t>o excederá do</w:t>
      </w:r>
      <w:r w:rsidR="00A1447F" w:rsidRPr="002F50BD">
        <w:rPr>
          <w:rFonts w:ascii="Verdana" w:hAnsi="Verdana"/>
          <w:sz w:val="20"/>
          <w:lang w:val="pt-BR"/>
        </w:rPr>
        <w:t>i</w:t>
      </w:r>
      <w:r w:rsidR="004756C1" w:rsidRPr="002F50BD">
        <w:rPr>
          <w:rFonts w:ascii="Verdana" w:hAnsi="Verdana"/>
          <w:sz w:val="20"/>
          <w:lang w:val="pt-BR"/>
        </w:rPr>
        <w:t xml:space="preserve">s </w:t>
      </w:r>
      <w:r w:rsidRPr="002F50BD">
        <w:rPr>
          <w:rFonts w:ascii="Verdana" w:hAnsi="Verdana"/>
          <w:sz w:val="20"/>
          <w:lang w:val="pt-BR"/>
        </w:rPr>
        <w:t>anos</w:t>
      </w:r>
      <w:r w:rsidR="004756C1" w:rsidRPr="002F50BD">
        <w:rPr>
          <w:rFonts w:ascii="Verdana" w:hAnsi="Verdana"/>
          <w:sz w:val="20"/>
          <w:lang w:val="pt-BR"/>
        </w:rPr>
        <w:t>, contado a partir</w:t>
      </w:r>
      <w:r w:rsidRPr="002F50BD">
        <w:rPr>
          <w:rFonts w:ascii="Verdana" w:hAnsi="Verdana"/>
          <w:sz w:val="20"/>
          <w:lang w:val="pt-BR"/>
        </w:rPr>
        <w:t xml:space="preserve"> da </w:t>
      </w:r>
      <w:r w:rsidR="004756C1" w:rsidRPr="002F50BD">
        <w:rPr>
          <w:rFonts w:ascii="Verdana" w:hAnsi="Verdana"/>
          <w:sz w:val="20"/>
          <w:lang w:val="pt-BR"/>
        </w:rPr>
        <w:t>entrega</w:t>
      </w:r>
      <w:r w:rsidRPr="002F50BD">
        <w:rPr>
          <w:rFonts w:ascii="Verdana" w:hAnsi="Verdana"/>
          <w:sz w:val="20"/>
          <w:lang w:val="pt-BR"/>
        </w:rPr>
        <w:t xml:space="preserve"> das terra</w:t>
      </w:r>
      <w:r w:rsidR="004756C1" w:rsidRPr="002F50BD">
        <w:rPr>
          <w:rFonts w:ascii="Verdana" w:hAnsi="Verdana"/>
          <w:sz w:val="20"/>
          <w:lang w:val="pt-BR"/>
        </w:rPr>
        <w:t xml:space="preserve">s </w:t>
      </w:r>
      <w:r w:rsidR="00CF451D" w:rsidRPr="00CF451D">
        <w:rPr>
          <w:rFonts w:ascii="Verdana" w:hAnsi="Verdana"/>
          <w:sz w:val="20"/>
          <w:lang w:val="pt-BR"/>
        </w:rPr>
        <w:t>(</w:t>
      </w:r>
      <w:r w:rsidRPr="002F50BD">
        <w:rPr>
          <w:rFonts w:ascii="Verdana" w:hAnsi="Verdana"/>
          <w:sz w:val="20"/>
          <w:lang w:val="pt-BR"/>
        </w:rPr>
        <w:t>pars.</w:t>
      </w:r>
      <w:r w:rsidR="004756C1" w:rsidRPr="002F50BD">
        <w:rPr>
          <w:rFonts w:ascii="Verdana" w:hAnsi="Verdana"/>
          <w:sz w:val="20"/>
          <w:lang w:val="pt-BR"/>
        </w:rPr>
        <w:t xml:space="preserve"> </w:t>
      </w:r>
      <w:r w:rsidR="00063B47" w:rsidRPr="002F50BD">
        <w:rPr>
          <w:rFonts w:ascii="Verdana" w:hAnsi="Verdana"/>
          <w:sz w:val="20"/>
          <w:lang w:val="pt-BR"/>
        </w:rPr>
        <w:t>205</w:t>
      </w:r>
      <w:r w:rsidRPr="002F50BD">
        <w:rPr>
          <w:rFonts w:ascii="Verdana" w:hAnsi="Verdana"/>
          <w:sz w:val="20"/>
          <w:lang w:val="pt-BR"/>
        </w:rPr>
        <w:t xml:space="preserve"> e </w:t>
      </w:r>
      <w:r w:rsidR="00063B47" w:rsidRPr="002F50BD">
        <w:rPr>
          <w:rFonts w:ascii="Verdana" w:hAnsi="Verdana"/>
          <w:sz w:val="20"/>
          <w:lang w:val="pt-BR"/>
        </w:rPr>
        <w:t>206</w:t>
      </w:r>
      <w:r w:rsidR="00A1447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Enquanto</w:t>
      </w:r>
      <w:r w:rsidR="004756C1" w:rsidRPr="002F50BD">
        <w:rPr>
          <w:rFonts w:ascii="Verdana" w:hAnsi="Verdana"/>
          <w:sz w:val="20"/>
          <w:lang w:val="pt-BR"/>
        </w:rPr>
        <w:t xml:space="preserve"> </w:t>
      </w:r>
      <w:r w:rsidR="00A1447F" w:rsidRPr="002F50BD">
        <w:rPr>
          <w:rFonts w:ascii="Verdana" w:hAnsi="Verdana"/>
          <w:sz w:val="20"/>
          <w:lang w:val="pt-BR"/>
        </w:rPr>
        <w:t>isso</w:t>
      </w:r>
      <w:r w:rsidR="004756C1"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 xml:space="preserve">á </w:t>
      </w:r>
      <w:r w:rsidR="00A1447F" w:rsidRPr="002F50BD">
        <w:rPr>
          <w:rFonts w:ascii="Verdana" w:hAnsi="Verdana"/>
          <w:sz w:val="20"/>
          <w:lang w:val="pt-BR"/>
        </w:rPr>
        <w:t>fornecer</w:t>
      </w:r>
      <w:r w:rsidR="004756C1" w:rsidRPr="002F50BD">
        <w:rPr>
          <w:rFonts w:ascii="Verdana" w:hAnsi="Verdana"/>
          <w:sz w:val="20"/>
          <w:lang w:val="pt-BR"/>
        </w:rPr>
        <w:t xml:space="preserve"> </w:t>
      </w:r>
      <w:r w:rsidRPr="002F50BD">
        <w:rPr>
          <w:rFonts w:ascii="Verdana" w:hAnsi="Verdana"/>
          <w:sz w:val="20"/>
          <w:lang w:val="pt-BR"/>
        </w:rPr>
        <w:t>imediat</w:t>
      </w:r>
      <w:r w:rsidR="004756C1" w:rsidRPr="002F50BD">
        <w:rPr>
          <w:rFonts w:ascii="Verdana" w:hAnsi="Verdana"/>
          <w:sz w:val="20"/>
          <w:lang w:val="pt-BR"/>
        </w:rPr>
        <w:t>amente</w:t>
      </w:r>
      <w:r w:rsidRPr="002F50BD">
        <w:rPr>
          <w:rFonts w:ascii="Verdana" w:hAnsi="Verdana"/>
          <w:sz w:val="20"/>
          <w:lang w:val="pt-BR"/>
        </w:rPr>
        <w:t xml:space="preserve"> e </w:t>
      </w:r>
      <w:r w:rsidR="004756C1" w:rsidRPr="002F50BD">
        <w:rPr>
          <w:rFonts w:ascii="Verdana" w:hAnsi="Verdana"/>
          <w:sz w:val="20"/>
          <w:lang w:val="pt-BR"/>
        </w:rPr>
        <w:t xml:space="preserve">de </w:t>
      </w:r>
      <w:r w:rsidRPr="002F50BD">
        <w:rPr>
          <w:rFonts w:ascii="Verdana" w:hAnsi="Verdana"/>
          <w:sz w:val="20"/>
          <w:lang w:val="pt-BR"/>
        </w:rPr>
        <w:t>maneira</w:t>
      </w:r>
      <w:r w:rsidR="004756C1" w:rsidRPr="002F50BD">
        <w:rPr>
          <w:rFonts w:ascii="Verdana" w:hAnsi="Verdana"/>
          <w:sz w:val="20"/>
          <w:lang w:val="pt-BR"/>
        </w:rPr>
        <w:t xml:space="preserve"> periódica,</w:t>
      </w:r>
      <w:r w:rsidR="00475EBB" w:rsidRPr="002F50BD">
        <w:rPr>
          <w:rFonts w:ascii="Verdana" w:hAnsi="Verdana"/>
          <w:sz w:val="20"/>
          <w:lang w:val="pt-BR"/>
        </w:rPr>
        <w:t xml:space="preserve"> água</w:t>
      </w:r>
      <w:r w:rsidR="004756C1" w:rsidRPr="002F50BD">
        <w:rPr>
          <w:rFonts w:ascii="Verdana" w:hAnsi="Verdana"/>
          <w:sz w:val="20"/>
          <w:lang w:val="pt-BR"/>
        </w:rPr>
        <w:t xml:space="preserve">, alimentos, </w:t>
      </w:r>
      <w:r w:rsidRPr="002F50BD">
        <w:rPr>
          <w:rFonts w:ascii="Verdana" w:hAnsi="Verdana"/>
          <w:sz w:val="20"/>
          <w:lang w:val="pt-BR"/>
        </w:rPr>
        <w:t>atenção</w:t>
      </w:r>
      <w:r w:rsidR="004756C1" w:rsidRPr="002F50BD">
        <w:rPr>
          <w:rFonts w:ascii="Verdana" w:hAnsi="Verdana"/>
          <w:sz w:val="20"/>
          <w:lang w:val="pt-BR"/>
        </w:rPr>
        <w:t xml:space="preserve"> médica, </w:t>
      </w:r>
      <w:r w:rsidR="00A1447F" w:rsidRPr="002F50BD">
        <w:rPr>
          <w:rFonts w:ascii="Verdana" w:hAnsi="Verdana"/>
          <w:sz w:val="20"/>
          <w:lang w:val="pt-BR"/>
        </w:rPr>
        <w:t>medicamentos</w:t>
      </w:r>
      <w:r w:rsidRPr="002F50BD">
        <w:rPr>
          <w:rFonts w:ascii="Verdana" w:hAnsi="Verdana"/>
          <w:sz w:val="20"/>
          <w:lang w:val="pt-BR"/>
        </w:rPr>
        <w:t xml:space="preserve"> e </w:t>
      </w:r>
      <w:r w:rsidR="004076AD" w:rsidRPr="002F50BD">
        <w:rPr>
          <w:rFonts w:ascii="Verdana" w:hAnsi="Verdana"/>
          <w:sz w:val="20"/>
          <w:lang w:val="pt-BR"/>
        </w:rPr>
        <w:t>materiais</w:t>
      </w:r>
      <w:r w:rsidR="004756C1" w:rsidRPr="002F50BD">
        <w:rPr>
          <w:rFonts w:ascii="Verdana" w:hAnsi="Verdana"/>
          <w:sz w:val="20"/>
          <w:lang w:val="pt-BR"/>
        </w:rPr>
        <w:t xml:space="preserve"> escolares</w:t>
      </w:r>
      <w:r w:rsidRPr="002F50BD">
        <w:rPr>
          <w:rFonts w:ascii="Verdana" w:hAnsi="Verdana"/>
          <w:sz w:val="20"/>
          <w:lang w:val="pt-BR"/>
        </w:rPr>
        <w:t xml:space="preserve"> aos membro</w:t>
      </w:r>
      <w:r w:rsidR="004756C1" w:rsidRPr="002F50BD">
        <w:rPr>
          <w:rFonts w:ascii="Verdana" w:hAnsi="Verdana"/>
          <w:sz w:val="20"/>
          <w:lang w:val="pt-BR"/>
        </w:rPr>
        <w:t>s</w:t>
      </w:r>
      <w:r w:rsidRPr="002F50BD">
        <w:rPr>
          <w:rFonts w:ascii="Verdana" w:hAnsi="Verdana"/>
          <w:sz w:val="20"/>
          <w:lang w:val="pt-BR"/>
        </w:rPr>
        <w:t xml:space="preserve"> da Comunidade </w:t>
      </w:r>
      <w:r w:rsidR="00CF451D" w:rsidRPr="00CF451D">
        <w:rPr>
          <w:rFonts w:ascii="Verdana" w:hAnsi="Verdana"/>
          <w:sz w:val="20"/>
          <w:lang w:val="pt-BR"/>
        </w:rPr>
        <w:t>(</w:t>
      </w:r>
      <w:r w:rsidR="004F64EE" w:rsidRPr="002F50BD">
        <w:rPr>
          <w:rFonts w:ascii="Verdana" w:hAnsi="Verdana"/>
          <w:sz w:val="20"/>
          <w:lang w:val="pt-BR"/>
        </w:rPr>
        <w:t xml:space="preserve">par. </w:t>
      </w:r>
      <w:r w:rsidR="00063B47" w:rsidRPr="002F50BD">
        <w:rPr>
          <w:rFonts w:ascii="Verdana" w:hAnsi="Verdana"/>
          <w:sz w:val="20"/>
          <w:lang w:val="pt-BR"/>
        </w:rPr>
        <w:t>221</w:t>
      </w:r>
      <w:r w:rsidR="00E0019F" w:rsidRPr="002F50BD">
        <w:rPr>
          <w:rFonts w:ascii="Verdana" w:hAnsi="Verdana"/>
          <w:i/>
          <w:sz w:val="20"/>
          <w:lang w:val="pt-BR"/>
        </w:rPr>
        <w:t xml:space="preserve"> supra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p>
    <w:p w:rsidR="00E50F4A" w:rsidRPr="002F50BD" w:rsidRDefault="00E50F4A" w:rsidP="00E50F4A">
      <w:pPr>
        <w:pStyle w:val="BodyText2"/>
        <w:rPr>
          <w:rFonts w:ascii="Verdana" w:hAnsi="Verdana"/>
          <w:sz w:val="20"/>
          <w:lang w:val="pt-BR"/>
        </w:rPr>
      </w:pPr>
    </w:p>
    <w:p w:rsidR="004756C1" w:rsidRPr="002F50BD" w:rsidRDefault="0089298C">
      <w:pPr>
        <w:pStyle w:val="BodyText2"/>
        <w:numPr>
          <w:ilvl w:val="0"/>
          <w:numId w:val="34"/>
        </w:numPr>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dever</w:t>
      </w:r>
      <w:r w:rsidR="004756C1" w:rsidRPr="002F50BD">
        <w:rPr>
          <w:rFonts w:ascii="Verdana" w:hAnsi="Verdana"/>
          <w:sz w:val="20"/>
          <w:lang w:val="pt-BR"/>
        </w:rPr>
        <w:t xml:space="preserve">á </w:t>
      </w:r>
      <w:r w:rsidRPr="002F50BD">
        <w:rPr>
          <w:rFonts w:ascii="Verdana" w:hAnsi="Verdana"/>
          <w:sz w:val="20"/>
          <w:lang w:val="pt-BR"/>
        </w:rPr>
        <w:t>adot</w:t>
      </w:r>
      <w:r w:rsidR="004756C1" w:rsidRPr="002F50BD">
        <w:rPr>
          <w:rFonts w:ascii="Verdana" w:hAnsi="Verdana"/>
          <w:sz w:val="20"/>
          <w:lang w:val="pt-BR"/>
        </w:rPr>
        <w:t>ar</w:t>
      </w:r>
      <w:r w:rsidRPr="002F50BD">
        <w:rPr>
          <w:rFonts w:ascii="Verdana" w:hAnsi="Verdana"/>
          <w:sz w:val="20"/>
          <w:lang w:val="pt-BR"/>
        </w:rPr>
        <w:t xml:space="preserve"> em seu direito</w:t>
      </w:r>
      <w:r w:rsidR="004756C1" w:rsidRPr="002F50BD">
        <w:rPr>
          <w:rFonts w:ascii="Verdana" w:hAnsi="Verdana"/>
          <w:sz w:val="20"/>
          <w:lang w:val="pt-BR"/>
        </w:rPr>
        <w:t xml:space="preserve"> interno</w:t>
      </w:r>
      <w:r w:rsidRPr="002F50BD">
        <w:rPr>
          <w:rFonts w:ascii="Verdana" w:hAnsi="Verdana"/>
          <w:sz w:val="20"/>
          <w:lang w:val="pt-BR"/>
        </w:rPr>
        <w:t xml:space="preserve"> as </w:t>
      </w:r>
      <w:r w:rsidR="004756C1" w:rsidRPr="002F50BD">
        <w:rPr>
          <w:rFonts w:ascii="Verdana" w:hAnsi="Verdana"/>
          <w:sz w:val="20"/>
          <w:lang w:val="pt-BR"/>
        </w:rPr>
        <w:t xml:space="preserve">medidas </w:t>
      </w:r>
      <w:r w:rsidRPr="002F50BD">
        <w:rPr>
          <w:rFonts w:ascii="Verdana" w:hAnsi="Verdana"/>
          <w:sz w:val="20"/>
          <w:lang w:val="pt-BR"/>
        </w:rPr>
        <w:t>necessári</w:t>
      </w:r>
      <w:r w:rsidR="004756C1" w:rsidRPr="002F50BD">
        <w:rPr>
          <w:rFonts w:ascii="Verdana" w:hAnsi="Verdana"/>
          <w:sz w:val="20"/>
          <w:lang w:val="pt-BR"/>
        </w:rPr>
        <w:t>as para</w:t>
      </w:r>
      <w:r w:rsidRPr="002F50BD">
        <w:rPr>
          <w:rFonts w:ascii="Verdana" w:hAnsi="Verdana"/>
          <w:sz w:val="20"/>
          <w:lang w:val="pt-BR"/>
        </w:rPr>
        <w:t xml:space="preserve"> </w:t>
      </w:r>
      <w:r w:rsidR="00DB2867" w:rsidRPr="002F50BD">
        <w:rPr>
          <w:rFonts w:ascii="Verdana" w:hAnsi="Verdana"/>
          <w:sz w:val="20"/>
          <w:lang w:val="pt-BR"/>
        </w:rPr>
        <w:t>tornar</w:t>
      </w:r>
      <w:r w:rsidRPr="002F50BD">
        <w:rPr>
          <w:rFonts w:ascii="Verdana" w:hAnsi="Verdana"/>
          <w:sz w:val="20"/>
          <w:lang w:val="pt-BR"/>
        </w:rPr>
        <w:t xml:space="preserve"> efetiv</w:t>
      </w:r>
      <w:r w:rsidR="004756C1" w:rsidRPr="002F50BD">
        <w:rPr>
          <w:rFonts w:ascii="Verdana" w:hAnsi="Verdana"/>
          <w:sz w:val="20"/>
          <w:lang w:val="pt-BR"/>
        </w:rPr>
        <w:t>os</w:t>
      </w:r>
      <w:r w:rsidRPr="002F50BD">
        <w:rPr>
          <w:rFonts w:ascii="Verdana" w:hAnsi="Verdana"/>
          <w:sz w:val="20"/>
          <w:lang w:val="pt-BR"/>
        </w:rPr>
        <w:t xml:space="preserve"> os direito</w:t>
      </w:r>
      <w:r w:rsidR="004756C1" w:rsidRPr="002F50BD">
        <w:rPr>
          <w:rFonts w:ascii="Verdana" w:hAnsi="Verdana"/>
          <w:sz w:val="20"/>
          <w:lang w:val="pt-BR"/>
        </w:rPr>
        <w:t>s consagrados</w:t>
      </w:r>
      <w:r w:rsidRPr="002F50BD">
        <w:rPr>
          <w:rFonts w:ascii="Verdana" w:hAnsi="Verdana"/>
          <w:sz w:val="20"/>
          <w:lang w:val="pt-BR"/>
        </w:rPr>
        <w:t xml:space="preserve"> na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 </w:t>
      </w:r>
      <w:r w:rsidRPr="002F50BD">
        <w:rPr>
          <w:rFonts w:ascii="Verdana" w:hAnsi="Verdana"/>
          <w:sz w:val="20"/>
          <w:lang w:val="pt-BR"/>
        </w:rPr>
        <w:t>de acordo com os termo</w:t>
      </w:r>
      <w:r w:rsidR="004756C1" w:rsidRPr="002F50BD">
        <w:rPr>
          <w:rFonts w:ascii="Verdana" w:hAnsi="Verdana"/>
          <w:sz w:val="20"/>
          <w:lang w:val="pt-BR"/>
        </w:rPr>
        <w:t xml:space="preserve">s </w:t>
      </w:r>
      <w:r w:rsidRPr="002F50BD">
        <w:rPr>
          <w:rFonts w:ascii="Verdana" w:hAnsi="Verdana"/>
          <w:sz w:val="20"/>
          <w:lang w:val="pt-BR"/>
        </w:rPr>
        <w:t>do parágrafo</w:t>
      </w:r>
      <w:r w:rsidR="004756C1" w:rsidRPr="002F50BD">
        <w:rPr>
          <w:rFonts w:ascii="Verdana" w:hAnsi="Verdana"/>
          <w:sz w:val="20"/>
          <w:lang w:val="pt-BR"/>
        </w:rPr>
        <w:t xml:space="preserve"> </w:t>
      </w:r>
      <w:r w:rsidR="00063B47" w:rsidRPr="002F50BD">
        <w:rPr>
          <w:rFonts w:ascii="Verdana" w:hAnsi="Verdana"/>
          <w:sz w:val="20"/>
          <w:lang w:val="pt-BR"/>
        </w:rPr>
        <w:t>225</w:t>
      </w:r>
      <w:r w:rsidRPr="002F50BD">
        <w:rPr>
          <w:rFonts w:ascii="Verdana" w:hAnsi="Verdana"/>
          <w:sz w:val="20"/>
          <w:lang w:val="pt-BR"/>
        </w:rPr>
        <w:t xml:space="preserve"> da </w:t>
      </w:r>
      <w:r w:rsidR="004756C1" w:rsidRPr="002F50BD">
        <w:rPr>
          <w:rFonts w:ascii="Verdana" w:hAnsi="Verdana"/>
          <w:sz w:val="20"/>
          <w:lang w:val="pt-BR"/>
        </w:rPr>
        <w:t xml:space="preserve">presente </w:t>
      </w:r>
      <w:r w:rsidRPr="002F50BD">
        <w:rPr>
          <w:rFonts w:ascii="Verdana" w:hAnsi="Verdana"/>
          <w:sz w:val="20"/>
          <w:lang w:val="pt-BR"/>
        </w:rPr>
        <w:t>Sentença</w:t>
      </w:r>
      <w:r w:rsidR="004756C1" w:rsidRPr="002F50BD">
        <w:rPr>
          <w:rFonts w:ascii="Verdana" w:hAnsi="Verdana"/>
          <w:sz w:val="20"/>
          <w:lang w:val="pt-BR"/>
        </w:rPr>
        <w:t>, dentro de</w:t>
      </w:r>
      <w:r w:rsidRPr="002F50BD">
        <w:rPr>
          <w:rFonts w:ascii="Verdana" w:hAnsi="Verdana"/>
          <w:sz w:val="20"/>
          <w:lang w:val="pt-BR"/>
        </w:rPr>
        <w:t xml:space="preserve"> um prazo</w:t>
      </w:r>
      <w:r w:rsidR="004756C1" w:rsidRPr="002F50BD">
        <w:rPr>
          <w:rFonts w:ascii="Verdana" w:hAnsi="Verdana"/>
          <w:sz w:val="20"/>
          <w:lang w:val="pt-BR"/>
        </w:rPr>
        <w:t xml:space="preserve"> </w:t>
      </w:r>
      <w:r w:rsidR="002E48ED" w:rsidRPr="002F50BD">
        <w:rPr>
          <w:rFonts w:ascii="Verdana" w:hAnsi="Verdana"/>
          <w:sz w:val="20"/>
          <w:lang w:val="pt-BR"/>
        </w:rPr>
        <w:t>razoável.</w:t>
      </w:r>
    </w:p>
    <w:p w:rsidR="004756C1" w:rsidRPr="002F50BD" w:rsidRDefault="004756C1">
      <w:pPr>
        <w:pStyle w:val="BodyText2"/>
        <w:rPr>
          <w:rFonts w:ascii="Verdana" w:hAnsi="Verdana"/>
          <w:sz w:val="20"/>
          <w:lang w:val="pt-BR"/>
        </w:rPr>
      </w:pPr>
    </w:p>
    <w:p w:rsidR="004756C1" w:rsidRPr="002F50BD" w:rsidRDefault="00AB6727">
      <w:pPr>
        <w:widowControl w:val="0"/>
        <w:numPr>
          <w:ilvl w:val="0"/>
          <w:numId w:val="34"/>
        </w:numPr>
        <w:jc w:val="both"/>
        <w:rPr>
          <w:rFonts w:ascii="Verdana" w:hAnsi="Verdana"/>
          <w:b/>
          <w:sz w:val="20"/>
          <w:lang w:val="pt-BR"/>
        </w:rPr>
      </w:pPr>
      <w:r w:rsidRPr="002F50BD">
        <w:rPr>
          <w:rFonts w:ascii="Verdana" w:hAnsi="Verdana"/>
          <w:sz w:val="20"/>
          <w:lang w:val="pt-BR"/>
        </w:rPr>
        <w:t xml:space="preserve">Os </w:t>
      </w:r>
      <w:r w:rsidR="0089298C" w:rsidRPr="002F50BD">
        <w:rPr>
          <w:rFonts w:ascii="Verdana" w:hAnsi="Verdana"/>
          <w:sz w:val="20"/>
          <w:lang w:val="pt-BR"/>
        </w:rPr>
        <w:t>pagamento</w:t>
      </w:r>
      <w:r w:rsidR="004756C1" w:rsidRPr="002F50BD">
        <w:rPr>
          <w:rFonts w:ascii="Verdana" w:hAnsi="Verdana"/>
          <w:sz w:val="20"/>
          <w:lang w:val="pt-BR"/>
        </w:rPr>
        <w:t xml:space="preserve">s </w:t>
      </w:r>
      <w:r w:rsidR="0089298C" w:rsidRPr="002F50BD">
        <w:rPr>
          <w:rFonts w:ascii="Verdana" w:hAnsi="Verdana"/>
          <w:sz w:val="20"/>
          <w:lang w:val="pt-BR"/>
        </w:rPr>
        <w:t>correspondente</w:t>
      </w:r>
      <w:r w:rsidR="004756C1" w:rsidRPr="002F50BD">
        <w:rPr>
          <w:rFonts w:ascii="Verdana" w:hAnsi="Verdana"/>
          <w:sz w:val="20"/>
          <w:lang w:val="pt-BR"/>
        </w:rPr>
        <w:t>s</w:t>
      </w:r>
      <w:r w:rsidR="0089298C" w:rsidRPr="002F50BD">
        <w:rPr>
          <w:rFonts w:ascii="Verdana" w:hAnsi="Verdana"/>
          <w:sz w:val="20"/>
          <w:lang w:val="pt-BR"/>
        </w:rPr>
        <w:t xml:space="preserve"> ao </w:t>
      </w:r>
      <w:r w:rsidR="00A1447F" w:rsidRPr="002F50BD">
        <w:rPr>
          <w:rFonts w:ascii="Verdana" w:hAnsi="Verdana"/>
          <w:sz w:val="20"/>
          <w:lang w:val="pt-BR"/>
        </w:rPr>
        <w:t xml:space="preserve">reembolso </w:t>
      </w:r>
      <w:r w:rsidR="004756C1" w:rsidRPr="002F50BD">
        <w:rPr>
          <w:rFonts w:ascii="Verdana" w:hAnsi="Verdana"/>
          <w:sz w:val="20"/>
          <w:lang w:val="pt-BR"/>
        </w:rPr>
        <w:t xml:space="preserve">de </w:t>
      </w:r>
      <w:r w:rsidR="0089298C" w:rsidRPr="002F50BD">
        <w:rPr>
          <w:rFonts w:ascii="Verdana" w:hAnsi="Verdana"/>
          <w:sz w:val="20"/>
          <w:lang w:val="pt-BR"/>
        </w:rPr>
        <w:t xml:space="preserve">custas e </w:t>
      </w:r>
      <w:r w:rsidR="004756C1" w:rsidRPr="002F50BD">
        <w:rPr>
          <w:rFonts w:ascii="Verdana" w:hAnsi="Verdana"/>
          <w:sz w:val="20"/>
          <w:lang w:val="pt-BR"/>
        </w:rPr>
        <w:t xml:space="preserve">gastos </w:t>
      </w:r>
      <w:r w:rsidR="0089298C" w:rsidRPr="002F50BD">
        <w:rPr>
          <w:rFonts w:ascii="Verdana" w:hAnsi="Verdana"/>
          <w:sz w:val="20"/>
          <w:lang w:val="pt-BR"/>
        </w:rPr>
        <w:t>gerados pelas gestões</w:t>
      </w:r>
      <w:r w:rsidR="004756C1" w:rsidRPr="002F50BD">
        <w:rPr>
          <w:rFonts w:ascii="Verdana" w:hAnsi="Verdana"/>
          <w:sz w:val="20"/>
          <w:lang w:val="pt-BR"/>
        </w:rPr>
        <w:t xml:space="preserve"> realizadas</w:t>
      </w:r>
      <w:r w:rsidR="0089298C" w:rsidRPr="002F50BD">
        <w:rPr>
          <w:rFonts w:ascii="Verdana" w:hAnsi="Verdana"/>
          <w:sz w:val="20"/>
          <w:lang w:val="pt-BR"/>
        </w:rPr>
        <w:t xml:space="preserve"> </w:t>
      </w:r>
      <w:r w:rsidR="00367FD1" w:rsidRPr="002F50BD">
        <w:rPr>
          <w:rFonts w:ascii="Verdana" w:hAnsi="Verdana"/>
          <w:sz w:val="20"/>
          <w:lang w:val="pt-BR"/>
        </w:rPr>
        <w:t>pelos</w:t>
      </w:r>
      <w:r w:rsidRPr="002F50BD">
        <w:rPr>
          <w:rFonts w:ascii="Verdana" w:hAnsi="Verdana"/>
          <w:sz w:val="20"/>
          <w:lang w:val="pt-BR"/>
        </w:rPr>
        <w:t xml:space="preserve"> </w:t>
      </w:r>
      <w:r w:rsidR="008C29C9" w:rsidRPr="002F50BD">
        <w:rPr>
          <w:rFonts w:ascii="Verdana" w:hAnsi="Verdana"/>
          <w:sz w:val="20"/>
          <w:lang w:val="pt-BR"/>
        </w:rPr>
        <w:t>representante</w:t>
      </w:r>
      <w:r w:rsidR="004076AD" w:rsidRPr="002F50BD">
        <w:rPr>
          <w:rFonts w:ascii="Verdana" w:hAnsi="Verdana"/>
          <w:sz w:val="20"/>
          <w:lang w:val="pt-BR"/>
        </w:rPr>
        <w:t xml:space="preserve">s </w:t>
      </w:r>
      <w:r w:rsidR="0089298C" w:rsidRPr="002F50BD">
        <w:rPr>
          <w:rFonts w:ascii="Verdana" w:hAnsi="Verdana"/>
          <w:sz w:val="20"/>
          <w:lang w:val="pt-BR"/>
        </w:rPr>
        <w:t>da Comunidade no processo</w:t>
      </w:r>
      <w:r w:rsidR="004756C1" w:rsidRPr="002F50BD">
        <w:rPr>
          <w:rFonts w:ascii="Verdana" w:hAnsi="Verdana"/>
          <w:sz w:val="20"/>
          <w:lang w:val="pt-BR"/>
        </w:rPr>
        <w:t xml:space="preserve"> interno </w:t>
      </w:r>
      <w:r w:rsidR="00754117" w:rsidRPr="002F50BD">
        <w:rPr>
          <w:rFonts w:ascii="Verdana" w:hAnsi="Verdana"/>
          <w:sz w:val="20"/>
          <w:lang w:val="pt-BR"/>
        </w:rPr>
        <w:t>bem</w:t>
      </w:r>
      <w:r w:rsidR="004756C1" w:rsidRPr="002F50BD">
        <w:rPr>
          <w:rFonts w:ascii="Verdana" w:hAnsi="Verdana"/>
          <w:sz w:val="20"/>
          <w:lang w:val="pt-BR"/>
        </w:rPr>
        <w:t xml:space="preserve"> como</w:t>
      </w:r>
      <w:r w:rsidR="0089298C" w:rsidRPr="002F50BD">
        <w:rPr>
          <w:rFonts w:ascii="Verdana" w:hAnsi="Verdana"/>
          <w:sz w:val="20"/>
          <w:lang w:val="pt-BR"/>
        </w:rPr>
        <w:t xml:space="preserve"> no </w:t>
      </w:r>
      <w:r w:rsidR="004756C1" w:rsidRPr="002F50BD">
        <w:rPr>
          <w:rFonts w:ascii="Verdana" w:hAnsi="Verdana"/>
          <w:sz w:val="20"/>
          <w:lang w:val="pt-BR"/>
        </w:rPr>
        <w:t xml:space="preserve">internacional </w:t>
      </w:r>
      <w:r w:rsidR="00A1447F" w:rsidRPr="002F50BD">
        <w:rPr>
          <w:rFonts w:ascii="Verdana" w:hAnsi="Verdana"/>
          <w:sz w:val="20"/>
          <w:lang w:val="pt-BR"/>
        </w:rPr>
        <w:t>per</w:t>
      </w:r>
      <w:r w:rsidR="004756C1" w:rsidRPr="002F50BD">
        <w:rPr>
          <w:rFonts w:ascii="Verdana" w:hAnsi="Verdana"/>
          <w:sz w:val="20"/>
          <w:lang w:val="pt-BR"/>
        </w:rPr>
        <w:t>ante</w:t>
      </w:r>
      <w:r w:rsidR="0089298C" w:rsidRPr="002F50BD">
        <w:rPr>
          <w:rFonts w:ascii="Verdana" w:hAnsi="Verdana"/>
          <w:sz w:val="20"/>
          <w:lang w:val="pt-BR"/>
        </w:rPr>
        <w:t xml:space="preserve"> o </w:t>
      </w:r>
      <w:r w:rsidR="004756C1" w:rsidRPr="002F50BD">
        <w:rPr>
          <w:rFonts w:ascii="Verdana" w:hAnsi="Verdana"/>
          <w:sz w:val="20"/>
          <w:lang w:val="pt-BR"/>
        </w:rPr>
        <w:t xml:space="preserve">sistema interamericano de </w:t>
      </w:r>
      <w:r w:rsidR="0089298C" w:rsidRPr="002F50BD">
        <w:rPr>
          <w:rFonts w:ascii="Verdana" w:hAnsi="Verdana"/>
          <w:sz w:val="20"/>
          <w:lang w:val="pt-BR"/>
        </w:rPr>
        <w:t>proteção dos direito</w:t>
      </w:r>
      <w:r w:rsidR="004756C1" w:rsidRPr="002F50BD">
        <w:rPr>
          <w:rFonts w:ascii="Verdana" w:hAnsi="Verdana"/>
          <w:sz w:val="20"/>
          <w:lang w:val="pt-BR"/>
        </w:rPr>
        <w:t xml:space="preserve">s humanos se realizará </w:t>
      </w:r>
      <w:r w:rsidR="0089298C" w:rsidRPr="002F50BD">
        <w:rPr>
          <w:rFonts w:ascii="Verdana" w:hAnsi="Verdana"/>
          <w:sz w:val="20"/>
          <w:lang w:val="pt-BR"/>
        </w:rPr>
        <w:t>segundo o disposto no parágrafo</w:t>
      </w:r>
      <w:r w:rsidR="004756C1" w:rsidRPr="002F50BD">
        <w:rPr>
          <w:rFonts w:ascii="Verdana" w:hAnsi="Verdana"/>
          <w:sz w:val="20"/>
          <w:lang w:val="pt-BR"/>
        </w:rPr>
        <w:t xml:space="preserve"> </w:t>
      </w:r>
      <w:r w:rsidR="00063B47" w:rsidRPr="002F50BD">
        <w:rPr>
          <w:rFonts w:ascii="Verdana" w:hAnsi="Verdana"/>
          <w:sz w:val="20"/>
          <w:lang w:val="pt-BR"/>
        </w:rPr>
        <w:t>232</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E50F4A" w:rsidRPr="002F50BD" w:rsidRDefault="00E50F4A" w:rsidP="00E50F4A">
      <w:pPr>
        <w:pStyle w:val="BodyText2"/>
        <w:rPr>
          <w:rFonts w:ascii="Verdana" w:hAnsi="Verdana"/>
          <w:sz w:val="20"/>
          <w:lang w:val="pt-BR"/>
        </w:rPr>
      </w:pPr>
    </w:p>
    <w:p w:rsidR="004756C1" w:rsidRPr="002F50BD" w:rsidRDefault="0089298C">
      <w:pPr>
        <w:pStyle w:val="BodyText2"/>
        <w:numPr>
          <w:ilvl w:val="0"/>
          <w:numId w:val="34"/>
        </w:numPr>
        <w:rPr>
          <w:rFonts w:ascii="Verdana" w:hAnsi="Verdana"/>
          <w:sz w:val="20"/>
          <w:lang w:val="pt-BR"/>
        </w:rPr>
      </w:pPr>
      <w:r w:rsidRPr="002F50BD">
        <w:rPr>
          <w:rFonts w:ascii="Verdana" w:hAnsi="Verdana"/>
          <w:sz w:val="20"/>
          <w:lang w:val="pt-BR"/>
        </w:rPr>
        <w:t xml:space="preserve">O </w:t>
      </w:r>
      <w:r w:rsidR="004756C1" w:rsidRPr="002F50BD">
        <w:rPr>
          <w:rFonts w:ascii="Verdana" w:hAnsi="Verdana"/>
          <w:sz w:val="20"/>
          <w:lang w:val="pt-BR"/>
        </w:rPr>
        <w:t xml:space="preserve">Estado </w:t>
      </w:r>
      <w:r w:rsidRPr="002F50BD">
        <w:rPr>
          <w:rFonts w:ascii="Verdana" w:hAnsi="Verdana"/>
          <w:sz w:val="20"/>
          <w:lang w:val="pt-BR"/>
        </w:rPr>
        <w:t>pode</w:t>
      </w:r>
      <w:r w:rsidR="004756C1" w:rsidRPr="002F50BD">
        <w:rPr>
          <w:rFonts w:ascii="Verdana" w:hAnsi="Verdana"/>
          <w:sz w:val="20"/>
          <w:lang w:val="pt-BR"/>
        </w:rPr>
        <w:t xml:space="preserve"> </w:t>
      </w:r>
      <w:r w:rsidRPr="002F50BD">
        <w:rPr>
          <w:rFonts w:ascii="Verdana" w:hAnsi="Verdana"/>
          <w:sz w:val="20"/>
          <w:lang w:val="pt-BR"/>
        </w:rPr>
        <w:t>cumprir suas obrigações</w:t>
      </w:r>
      <w:r w:rsidR="004756C1" w:rsidRPr="002F50BD">
        <w:rPr>
          <w:rFonts w:ascii="Verdana" w:hAnsi="Verdana"/>
          <w:sz w:val="20"/>
          <w:lang w:val="pt-BR"/>
        </w:rPr>
        <w:t xml:space="preserve"> de </w:t>
      </w:r>
      <w:r w:rsidRPr="002F50BD">
        <w:rPr>
          <w:rFonts w:ascii="Verdana" w:hAnsi="Verdana"/>
          <w:sz w:val="20"/>
          <w:lang w:val="pt-BR"/>
        </w:rPr>
        <w:t>caráter</w:t>
      </w:r>
      <w:r w:rsidR="004756C1" w:rsidRPr="002F50BD">
        <w:rPr>
          <w:rFonts w:ascii="Verdana" w:hAnsi="Verdana"/>
          <w:sz w:val="20"/>
          <w:lang w:val="pt-BR"/>
        </w:rPr>
        <w:t xml:space="preserve"> </w:t>
      </w:r>
      <w:r w:rsidRPr="002F50BD">
        <w:rPr>
          <w:rFonts w:ascii="Verdana" w:hAnsi="Verdana"/>
          <w:sz w:val="20"/>
          <w:lang w:val="pt-BR"/>
        </w:rPr>
        <w:t>pecuniário</w:t>
      </w:r>
      <w:r w:rsidR="004756C1" w:rsidRPr="002F50BD">
        <w:rPr>
          <w:rFonts w:ascii="Verdana" w:hAnsi="Verdana"/>
          <w:sz w:val="20"/>
          <w:lang w:val="pt-BR"/>
        </w:rPr>
        <w:t xml:space="preserve"> mediante</w:t>
      </w:r>
      <w:r w:rsidRPr="002F50BD">
        <w:rPr>
          <w:rFonts w:ascii="Verdana" w:hAnsi="Verdana"/>
          <w:sz w:val="20"/>
          <w:lang w:val="pt-BR"/>
        </w:rPr>
        <w:t xml:space="preserve"> o pagamento em </w:t>
      </w:r>
      <w:r w:rsidR="004756C1" w:rsidRPr="002F50BD">
        <w:rPr>
          <w:rFonts w:ascii="Verdana" w:hAnsi="Verdana"/>
          <w:sz w:val="20"/>
          <w:lang w:val="pt-BR"/>
        </w:rPr>
        <w:t>dólares</w:t>
      </w:r>
      <w:r w:rsidRPr="002F50BD">
        <w:rPr>
          <w:rFonts w:ascii="Verdana" w:hAnsi="Verdana"/>
          <w:sz w:val="20"/>
          <w:lang w:val="pt-BR"/>
        </w:rPr>
        <w:t xml:space="preserve"> dos Estados Unidos da América</w:t>
      </w:r>
      <w:r w:rsidR="004756C1" w:rsidRPr="002F50BD">
        <w:rPr>
          <w:rFonts w:ascii="Verdana" w:hAnsi="Verdana"/>
          <w:sz w:val="20"/>
          <w:lang w:val="pt-BR"/>
        </w:rPr>
        <w:t xml:space="preserve"> o</w:t>
      </w:r>
      <w:r w:rsidR="00A1447F" w:rsidRPr="002F50BD">
        <w:rPr>
          <w:rFonts w:ascii="Verdana" w:hAnsi="Verdana"/>
          <w:sz w:val="20"/>
          <w:lang w:val="pt-BR"/>
        </w:rPr>
        <w:t>u</w:t>
      </w:r>
      <w:r w:rsidRPr="002F50BD">
        <w:rPr>
          <w:rFonts w:ascii="Verdana" w:hAnsi="Verdana"/>
          <w:sz w:val="20"/>
          <w:lang w:val="pt-BR"/>
        </w:rPr>
        <w:t xml:space="preserve"> em uma </w:t>
      </w:r>
      <w:r w:rsidR="00A1447F" w:rsidRPr="002F50BD">
        <w:rPr>
          <w:rFonts w:ascii="Verdana" w:hAnsi="Verdana"/>
          <w:sz w:val="20"/>
          <w:lang w:val="pt-BR"/>
        </w:rPr>
        <w:t>quantia</w:t>
      </w:r>
      <w:r w:rsidRPr="002F50BD">
        <w:rPr>
          <w:rFonts w:ascii="Verdana" w:hAnsi="Verdana"/>
          <w:sz w:val="20"/>
          <w:lang w:val="pt-BR"/>
        </w:rPr>
        <w:t xml:space="preserve"> </w:t>
      </w:r>
      <w:r w:rsidR="004756C1" w:rsidRPr="002F50BD">
        <w:rPr>
          <w:rFonts w:ascii="Verdana" w:hAnsi="Verdana"/>
          <w:sz w:val="20"/>
          <w:lang w:val="pt-BR"/>
        </w:rPr>
        <w:t>equivalente</w:t>
      </w:r>
      <w:r w:rsidRPr="002F50BD">
        <w:rPr>
          <w:rFonts w:ascii="Verdana" w:hAnsi="Verdana"/>
          <w:sz w:val="20"/>
          <w:lang w:val="pt-BR"/>
        </w:rPr>
        <w:t xml:space="preserve"> em moeda</w:t>
      </w:r>
      <w:r w:rsidR="004756C1" w:rsidRPr="002F50BD">
        <w:rPr>
          <w:rFonts w:ascii="Verdana" w:hAnsi="Verdana"/>
          <w:sz w:val="20"/>
          <w:lang w:val="pt-BR"/>
        </w:rPr>
        <w:t xml:space="preserve"> nacional </w:t>
      </w:r>
      <w:r w:rsidRPr="002F50BD">
        <w:rPr>
          <w:rFonts w:ascii="Verdana" w:hAnsi="Verdana"/>
          <w:sz w:val="20"/>
          <w:lang w:val="pt-BR"/>
        </w:rPr>
        <w:t xml:space="preserve">do </w:t>
      </w:r>
      <w:r w:rsidR="004756C1" w:rsidRPr="002F50BD">
        <w:rPr>
          <w:rFonts w:ascii="Verdana" w:hAnsi="Verdana"/>
          <w:sz w:val="20"/>
          <w:lang w:val="pt-BR"/>
        </w:rPr>
        <w:t xml:space="preserve">Estado, </w:t>
      </w:r>
      <w:r w:rsidR="00AB6727" w:rsidRPr="002F50BD">
        <w:rPr>
          <w:rFonts w:ascii="Verdana" w:hAnsi="Verdana"/>
          <w:sz w:val="20"/>
          <w:lang w:val="pt-BR"/>
        </w:rPr>
        <w:t>utilizando</w:t>
      </w:r>
      <w:r w:rsidR="004756C1" w:rsidRPr="002F50BD">
        <w:rPr>
          <w:rFonts w:ascii="Verdana" w:hAnsi="Verdana"/>
          <w:sz w:val="20"/>
          <w:lang w:val="pt-BR"/>
        </w:rPr>
        <w:t xml:space="preserve"> para</w:t>
      </w:r>
      <w:r w:rsidRPr="002F50BD">
        <w:rPr>
          <w:rFonts w:ascii="Verdana" w:hAnsi="Verdana"/>
          <w:sz w:val="20"/>
          <w:lang w:val="pt-BR"/>
        </w:rPr>
        <w:t xml:space="preserve"> o </w:t>
      </w:r>
      <w:r w:rsidR="004756C1" w:rsidRPr="002F50BD">
        <w:rPr>
          <w:rFonts w:ascii="Verdana" w:hAnsi="Verdana"/>
          <w:sz w:val="20"/>
          <w:lang w:val="pt-BR"/>
        </w:rPr>
        <w:t>cálculo respectivo</w:t>
      </w:r>
      <w:r w:rsidRPr="002F50BD">
        <w:rPr>
          <w:rFonts w:ascii="Verdana" w:hAnsi="Verdana"/>
          <w:sz w:val="20"/>
          <w:lang w:val="pt-BR"/>
        </w:rPr>
        <w:t xml:space="preserve"> o </w:t>
      </w:r>
      <w:r w:rsidR="004756C1" w:rsidRPr="002F50BD">
        <w:rPr>
          <w:rFonts w:ascii="Verdana" w:hAnsi="Verdana"/>
          <w:sz w:val="20"/>
          <w:lang w:val="pt-BR"/>
        </w:rPr>
        <w:t>tipo de</w:t>
      </w:r>
      <w:r w:rsidRPr="002F50BD">
        <w:rPr>
          <w:rFonts w:ascii="Verdana" w:hAnsi="Verdana"/>
          <w:sz w:val="20"/>
          <w:lang w:val="pt-BR"/>
        </w:rPr>
        <w:t xml:space="preserve"> câmbio </w:t>
      </w:r>
      <w:r w:rsidR="004756C1" w:rsidRPr="002F50BD">
        <w:rPr>
          <w:rFonts w:ascii="Verdana" w:hAnsi="Verdana"/>
          <w:sz w:val="20"/>
          <w:lang w:val="pt-BR"/>
        </w:rPr>
        <w:t xml:space="preserve">entre ambas </w:t>
      </w:r>
      <w:r w:rsidR="00DB2867" w:rsidRPr="002F50BD">
        <w:rPr>
          <w:rFonts w:ascii="Verdana" w:hAnsi="Verdana"/>
          <w:sz w:val="20"/>
          <w:lang w:val="pt-BR"/>
        </w:rPr>
        <w:t xml:space="preserve">as </w:t>
      </w:r>
      <w:r w:rsidRPr="002F50BD">
        <w:rPr>
          <w:rFonts w:ascii="Verdana" w:hAnsi="Verdana"/>
          <w:sz w:val="20"/>
          <w:lang w:val="pt-BR"/>
        </w:rPr>
        <w:t>moeda</w:t>
      </w:r>
      <w:r w:rsidR="004756C1" w:rsidRPr="002F50BD">
        <w:rPr>
          <w:rFonts w:ascii="Verdana" w:hAnsi="Verdana"/>
          <w:sz w:val="20"/>
          <w:lang w:val="pt-BR"/>
        </w:rPr>
        <w:t xml:space="preserve">s que </w:t>
      </w:r>
      <w:r w:rsidR="00A1447F" w:rsidRPr="002F50BD">
        <w:rPr>
          <w:rFonts w:ascii="Verdana" w:hAnsi="Verdana"/>
          <w:sz w:val="20"/>
          <w:lang w:val="pt-BR"/>
        </w:rPr>
        <w:t xml:space="preserve">estiver </w:t>
      </w:r>
      <w:r w:rsidR="004756C1" w:rsidRPr="002F50BD">
        <w:rPr>
          <w:rFonts w:ascii="Verdana" w:hAnsi="Verdana"/>
          <w:sz w:val="20"/>
          <w:lang w:val="pt-BR"/>
        </w:rPr>
        <w:t>vigente</w:t>
      </w:r>
      <w:r w:rsidRPr="002F50BD">
        <w:rPr>
          <w:rFonts w:ascii="Verdana" w:hAnsi="Verdana"/>
          <w:sz w:val="20"/>
          <w:lang w:val="pt-BR"/>
        </w:rPr>
        <w:t xml:space="preserve"> na praça </w:t>
      </w:r>
      <w:r w:rsidR="004756C1" w:rsidRPr="002F50BD">
        <w:rPr>
          <w:rFonts w:ascii="Verdana" w:hAnsi="Verdana"/>
          <w:sz w:val="20"/>
          <w:lang w:val="pt-BR"/>
        </w:rPr>
        <w:t xml:space="preserve">de </w:t>
      </w:r>
      <w:r w:rsidRPr="002F50BD">
        <w:rPr>
          <w:rFonts w:ascii="Verdana" w:hAnsi="Verdana"/>
          <w:sz w:val="20"/>
          <w:lang w:val="pt-BR"/>
        </w:rPr>
        <w:t>Nova</w:t>
      </w:r>
      <w:r w:rsidR="004756C1" w:rsidRPr="002F50BD">
        <w:rPr>
          <w:rFonts w:ascii="Verdana" w:hAnsi="Verdana"/>
          <w:sz w:val="20"/>
          <w:lang w:val="pt-BR"/>
        </w:rPr>
        <w:t xml:space="preserve"> York, </w:t>
      </w:r>
      <w:r w:rsidRPr="002F50BD">
        <w:rPr>
          <w:rFonts w:ascii="Verdana" w:hAnsi="Verdana"/>
          <w:sz w:val="20"/>
          <w:lang w:val="pt-BR"/>
        </w:rPr>
        <w:t>Estados Unidos da América</w:t>
      </w:r>
      <w:r w:rsidR="004756C1" w:rsidRPr="002F50BD">
        <w:rPr>
          <w:rFonts w:ascii="Verdana" w:hAnsi="Verdana"/>
          <w:sz w:val="20"/>
          <w:lang w:val="pt-BR"/>
        </w:rPr>
        <w:t>,</w:t>
      </w:r>
      <w:r w:rsidRPr="002F50BD">
        <w:rPr>
          <w:rFonts w:ascii="Verdana" w:hAnsi="Verdana"/>
          <w:sz w:val="20"/>
          <w:lang w:val="pt-BR"/>
        </w:rPr>
        <w:t xml:space="preserve"> </w:t>
      </w:r>
      <w:r w:rsidR="00A1447F" w:rsidRPr="002F50BD">
        <w:rPr>
          <w:rFonts w:ascii="Verdana" w:hAnsi="Verdana"/>
          <w:sz w:val="20"/>
          <w:lang w:val="pt-BR"/>
        </w:rPr>
        <w:t>n</w:t>
      </w:r>
      <w:r w:rsidRPr="002F50BD">
        <w:rPr>
          <w:rFonts w:ascii="Verdana" w:hAnsi="Verdana"/>
          <w:sz w:val="20"/>
          <w:lang w:val="pt-BR"/>
        </w:rPr>
        <w:t>o dia</w:t>
      </w:r>
      <w:r w:rsidR="004756C1" w:rsidRPr="002F50BD">
        <w:rPr>
          <w:rFonts w:ascii="Verdana" w:hAnsi="Verdana"/>
          <w:sz w:val="20"/>
          <w:lang w:val="pt-BR"/>
        </w:rPr>
        <w:t xml:space="preserve"> anterior</w:t>
      </w:r>
      <w:r w:rsidRPr="002F50BD">
        <w:rPr>
          <w:rFonts w:ascii="Verdana" w:hAnsi="Verdana"/>
          <w:sz w:val="20"/>
          <w:lang w:val="pt-BR"/>
        </w:rPr>
        <w:t xml:space="preserve"> ao pagamento</w:t>
      </w:r>
      <w:r w:rsidR="004756C1" w:rsidRPr="002F50BD">
        <w:rPr>
          <w:rFonts w:ascii="Verdana" w:hAnsi="Verdana"/>
          <w:sz w:val="20"/>
          <w:lang w:val="pt-BR"/>
        </w:rPr>
        <w:t xml:space="preserve">. </w:t>
      </w:r>
    </w:p>
    <w:p w:rsidR="004756C1" w:rsidRPr="002F50BD" w:rsidRDefault="004756C1">
      <w:pPr>
        <w:pStyle w:val="BodyText2"/>
        <w:rPr>
          <w:rFonts w:ascii="Verdana" w:hAnsi="Verdana"/>
          <w:sz w:val="20"/>
          <w:lang w:val="pt-BR"/>
        </w:rPr>
      </w:pPr>
    </w:p>
    <w:p w:rsidR="004756C1" w:rsidRPr="002F50BD" w:rsidRDefault="004756C1">
      <w:pPr>
        <w:pStyle w:val="BodyText2"/>
        <w:numPr>
          <w:ilvl w:val="0"/>
          <w:numId w:val="34"/>
        </w:numPr>
        <w:rPr>
          <w:rFonts w:ascii="Verdana" w:hAnsi="Verdana"/>
          <w:sz w:val="20"/>
          <w:lang w:val="pt-BR"/>
        </w:rPr>
      </w:pPr>
      <w:r w:rsidRPr="002F50BD">
        <w:rPr>
          <w:rFonts w:ascii="Verdana" w:hAnsi="Verdana"/>
          <w:sz w:val="20"/>
          <w:lang w:val="pt-BR"/>
        </w:rPr>
        <w:t>S</w:t>
      </w:r>
      <w:r w:rsidR="00A1447F" w:rsidRPr="002F50BD">
        <w:rPr>
          <w:rFonts w:ascii="Verdana" w:hAnsi="Verdana"/>
          <w:sz w:val="20"/>
          <w:lang w:val="pt-BR"/>
        </w:rPr>
        <w:t>e</w:t>
      </w:r>
      <w:r w:rsidRPr="002F50BD">
        <w:rPr>
          <w:rFonts w:ascii="Verdana" w:hAnsi="Verdana"/>
          <w:sz w:val="20"/>
          <w:lang w:val="pt-BR"/>
        </w:rPr>
        <w:t xml:space="preserve"> por causas atribu</w:t>
      </w:r>
      <w:r w:rsidR="0089298C" w:rsidRPr="002F50BD">
        <w:rPr>
          <w:rFonts w:ascii="Verdana" w:hAnsi="Verdana"/>
          <w:sz w:val="20"/>
          <w:lang w:val="pt-BR"/>
        </w:rPr>
        <w:t>íveis aos beneficiário</w:t>
      </w:r>
      <w:r w:rsidRPr="002F50BD">
        <w:rPr>
          <w:rFonts w:ascii="Verdana" w:hAnsi="Verdana"/>
          <w:sz w:val="20"/>
          <w:lang w:val="pt-BR"/>
        </w:rPr>
        <w:t>s</w:t>
      </w:r>
      <w:r w:rsidR="0089298C" w:rsidRPr="002F50BD">
        <w:rPr>
          <w:rFonts w:ascii="Verdana" w:hAnsi="Verdana"/>
          <w:sz w:val="20"/>
          <w:lang w:val="pt-BR"/>
        </w:rPr>
        <w:t xml:space="preserve"> das indenizações</w:t>
      </w:r>
      <w:r w:rsidRPr="002F50BD">
        <w:rPr>
          <w:rFonts w:ascii="Verdana" w:hAnsi="Verdana"/>
          <w:sz w:val="20"/>
          <w:lang w:val="pt-BR"/>
        </w:rPr>
        <w:t xml:space="preserve"> n</w:t>
      </w:r>
      <w:r w:rsidR="00A1447F" w:rsidRPr="002F50BD">
        <w:rPr>
          <w:rFonts w:ascii="Verdana" w:hAnsi="Verdana"/>
          <w:sz w:val="20"/>
          <w:lang w:val="pt-BR"/>
        </w:rPr>
        <w:t>ã</w:t>
      </w:r>
      <w:r w:rsidRPr="002F50BD">
        <w:rPr>
          <w:rFonts w:ascii="Verdana" w:hAnsi="Verdana"/>
          <w:sz w:val="20"/>
          <w:lang w:val="pt-BR"/>
        </w:rPr>
        <w:t xml:space="preserve">o </w:t>
      </w:r>
      <w:r w:rsidR="004076AD" w:rsidRPr="002F50BD">
        <w:rPr>
          <w:rFonts w:ascii="Verdana" w:hAnsi="Verdana"/>
          <w:sz w:val="20"/>
          <w:lang w:val="pt-BR"/>
        </w:rPr>
        <w:t>fo</w:t>
      </w:r>
      <w:r w:rsidR="00A1447F" w:rsidRPr="002F50BD">
        <w:rPr>
          <w:rFonts w:ascii="Verdana" w:hAnsi="Verdana"/>
          <w:sz w:val="20"/>
          <w:lang w:val="pt-BR"/>
        </w:rPr>
        <w:t>r</w:t>
      </w:r>
      <w:r w:rsidRPr="002F50BD">
        <w:rPr>
          <w:rFonts w:ascii="Verdana" w:hAnsi="Verdana"/>
          <w:sz w:val="20"/>
          <w:lang w:val="pt-BR"/>
        </w:rPr>
        <w:t xml:space="preserve"> </w:t>
      </w:r>
      <w:r w:rsidR="0089298C" w:rsidRPr="002F50BD">
        <w:rPr>
          <w:rFonts w:ascii="Verdana" w:hAnsi="Verdana"/>
          <w:sz w:val="20"/>
          <w:lang w:val="pt-BR"/>
        </w:rPr>
        <w:t xml:space="preserve">possível </w:t>
      </w:r>
      <w:r w:rsidRPr="002F50BD">
        <w:rPr>
          <w:rFonts w:ascii="Verdana" w:hAnsi="Verdana"/>
          <w:sz w:val="20"/>
          <w:lang w:val="pt-BR"/>
        </w:rPr>
        <w:lastRenderedPageBreak/>
        <w:t>que</w:t>
      </w:r>
      <w:r w:rsidR="0089298C" w:rsidRPr="002F50BD">
        <w:rPr>
          <w:rFonts w:ascii="Verdana" w:hAnsi="Verdana"/>
          <w:sz w:val="20"/>
          <w:lang w:val="pt-BR"/>
        </w:rPr>
        <w:t xml:space="preserve"> as recebam</w:t>
      </w:r>
      <w:r w:rsidRPr="002F50BD">
        <w:rPr>
          <w:rFonts w:ascii="Verdana" w:hAnsi="Verdana"/>
          <w:sz w:val="20"/>
          <w:lang w:val="pt-BR"/>
        </w:rPr>
        <w:t xml:space="preserve"> dentro </w:t>
      </w:r>
      <w:r w:rsidR="0089298C" w:rsidRPr="002F50BD">
        <w:rPr>
          <w:rFonts w:ascii="Verdana" w:hAnsi="Verdana"/>
          <w:sz w:val="20"/>
          <w:lang w:val="pt-BR"/>
        </w:rPr>
        <w:t>do prazo</w:t>
      </w:r>
      <w:r w:rsidRPr="002F50BD">
        <w:rPr>
          <w:rFonts w:ascii="Verdana" w:hAnsi="Verdana"/>
          <w:sz w:val="20"/>
          <w:lang w:val="pt-BR"/>
        </w:rPr>
        <w:t xml:space="preserve"> </w:t>
      </w:r>
      <w:r w:rsidR="00A1447F" w:rsidRPr="002F50BD">
        <w:rPr>
          <w:rFonts w:ascii="Verdana" w:hAnsi="Verdana"/>
          <w:sz w:val="20"/>
          <w:lang w:val="pt-BR"/>
        </w:rPr>
        <w:t xml:space="preserve">indicado </w:t>
      </w:r>
      <w:r w:rsidRPr="002F50BD">
        <w:rPr>
          <w:rFonts w:ascii="Verdana" w:hAnsi="Verdana"/>
          <w:sz w:val="20"/>
          <w:lang w:val="pt-BR"/>
        </w:rPr>
        <w:t>de</w:t>
      </w:r>
      <w:r w:rsidR="0089298C" w:rsidRPr="002F50BD">
        <w:rPr>
          <w:rFonts w:ascii="Verdana" w:hAnsi="Verdana"/>
          <w:sz w:val="20"/>
          <w:lang w:val="pt-BR"/>
        </w:rPr>
        <w:t xml:space="preserve"> um ano,</w:t>
      </w:r>
      <w:r w:rsidRPr="002F50BD">
        <w:rPr>
          <w:rFonts w:ascii="Verdana" w:hAnsi="Verdana"/>
          <w:sz w:val="20"/>
          <w:lang w:val="pt-BR"/>
        </w:rPr>
        <w:t xml:space="preserve"> contado a partir</w:t>
      </w:r>
      <w:r w:rsidR="0089298C" w:rsidRPr="002F50BD">
        <w:rPr>
          <w:rFonts w:ascii="Verdana" w:hAnsi="Verdana"/>
          <w:sz w:val="20"/>
          <w:lang w:val="pt-BR"/>
        </w:rPr>
        <w:t xml:space="preserve"> da </w:t>
      </w:r>
      <w:r w:rsidRPr="002F50BD">
        <w:rPr>
          <w:rFonts w:ascii="Verdana" w:hAnsi="Verdana"/>
          <w:sz w:val="20"/>
          <w:lang w:val="pt-BR"/>
        </w:rPr>
        <w:t>notifica</w:t>
      </w:r>
      <w:r w:rsidR="0089298C" w:rsidRPr="002F50BD">
        <w:rPr>
          <w:rFonts w:ascii="Verdana" w:hAnsi="Verdana"/>
          <w:sz w:val="20"/>
          <w:lang w:val="pt-BR"/>
        </w:rPr>
        <w:t xml:space="preserve">ção da </w:t>
      </w:r>
      <w:r w:rsidRPr="002F50BD">
        <w:rPr>
          <w:rFonts w:ascii="Verdana" w:hAnsi="Verdana"/>
          <w:sz w:val="20"/>
          <w:lang w:val="pt-BR"/>
        </w:rPr>
        <w:t xml:space="preserve">presente </w:t>
      </w:r>
      <w:r w:rsidR="0089298C" w:rsidRPr="002F50BD">
        <w:rPr>
          <w:rFonts w:ascii="Verdana" w:hAnsi="Verdana"/>
          <w:sz w:val="20"/>
          <w:lang w:val="pt-BR"/>
        </w:rPr>
        <w:t>Sentença</w:t>
      </w:r>
      <w:r w:rsidRPr="002F50BD">
        <w:rPr>
          <w:rFonts w:ascii="Verdana" w:hAnsi="Verdana"/>
          <w:sz w:val="20"/>
          <w:lang w:val="pt-BR"/>
        </w:rPr>
        <w:t>,</w:t>
      </w:r>
      <w:r w:rsidR="0089298C" w:rsidRPr="002F50BD">
        <w:rPr>
          <w:rFonts w:ascii="Verdana" w:hAnsi="Verdana"/>
          <w:sz w:val="20"/>
          <w:lang w:val="pt-BR"/>
        </w:rPr>
        <w:t xml:space="preserve"> o </w:t>
      </w:r>
      <w:r w:rsidRPr="002F50BD">
        <w:rPr>
          <w:rFonts w:ascii="Verdana" w:hAnsi="Verdana"/>
          <w:sz w:val="20"/>
          <w:lang w:val="pt-BR"/>
        </w:rPr>
        <w:t xml:space="preserve">Estado </w:t>
      </w:r>
      <w:r w:rsidR="00A1447F" w:rsidRPr="002F50BD">
        <w:rPr>
          <w:rFonts w:ascii="Verdana" w:hAnsi="Verdana"/>
          <w:sz w:val="20"/>
          <w:lang w:val="pt-BR"/>
        </w:rPr>
        <w:t xml:space="preserve">depositará </w:t>
      </w:r>
      <w:r w:rsidR="0089298C" w:rsidRPr="002F50BD">
        <w:rPr>
          <w:rFonts w:ascii="Verdana" w:hAnsi="Verdana"/>
          <w:sz w:val="20"/>
          <w:lang w:val="pt-BR"/>
        </w:rPr>
        <w:t>este</w:t>
      </w:r>
      <w:r w:rsidR="00A1447F" w:rsidRPr="002F50BD">
        <w:rPr>
          <w:rFonts w:ascii="Verdana" w:hAnsi="Verdana"/>
          <w:sz w:val="20"/>
          <w:lang w:val="pt-BR"/>
        </w:rPr>
        <w:t>s montante</w:t>
      </w:r>
      <w:r w:rsidRPr="002F50BD">
        <w:rPr>
          <w:rFonts w:ascii="Verdana" w:hAnsi="Verdana"/>
          <w:sz w:val="20"/>
          <w:lang w:val="pt-BR"/>
        </w:rPr>
        <w:t xml:space="preserve">s a </w:t>
      </w:r>
      <w:r w:rsidR="00AB454A" w:rsidRPr="002F50BD">
        <w:rPr>
          <w:rFonts w:ascii="Verdana" w:hAnsi="Verdana"/>
          <w:sz w:val="20"/>
          <w:lang w:val="pt-BR"/>
        </w:rPr>
        <w:t>seu favor</w:t>
      </w:r>
      <w:r w:rsidR="0089298C" w:rsidRPr="002F50BD">
        <w:rPr>
          <w:rFonts w:ascii="Verdana" w:hAnsi="Verdana"/>
          <w:sz w:val="20"/>
          <w:lang w:val="pt-BR"/>
        </w:rPr>
        <w:t xml:space="preserve"> em uma conta </w:t>
      </w:r>
      <w:r w:rsidRPr="002F50BD">
        <w:rPr>
          <w:rFonts w:ascii="Verdana" w:hAnsi="Verdana"/>
          <w:sz w:val="20"/>
          <w:lang w:val="pt-BR"/>
        </w:rPr>
        <w:t>o</w:t>
      </w:r>
      <w:r w:rsidR="00A1447F" w:rsidRPr="002F50BD">
        <w:rPr>
          <w:rFonts w:ascii="Verdana" w:hAnsi="Verdana"/>
          <w:sz w:val="20"/>
          <w:lang w:val="pt-BR"/>
        </w:rPr>
        <w:t>u</w:t>
      </w:r>
      <w:r w:rsidRPr="002F50BD">
        <w:rPr>
          <w:rFonts w:ascii="Verdana" w:hAnsi="Verdana"/>
          <w:sz w:val="20"/>
          <w:lang w:val="pt-BR"/>
        </w:rPr>
        <w:t xml:space="preserve"> certificado de depósito</w:t>
      </w:r>
      <w:r w:rsidR="0089298C" w:rsidRPr="002F50BD">
        <w:rPr>
          <w:rFonts w:ascii="Verdana" w:hAnsi="Verdana"/>
          <w:sz w:val="20"/>
          <w:lang w:val="pt-BR"/>
        </w:rPr>
        <w:t xml:space="preserve"> em uma instituição</w:t>
      </w:r>
      <w:r w:rsidRPr="002F50BD">
        <w:rPr>
          <w:rFonts w:ascii="Verdana" w:hAnsi="Verdana"/>
          <w:sz w:val="20"/>
          <w:lang w:val="pt-BR"/>
        </w:rPr>
        <w:t xml:space="preserve"> </w:t>
      </w:r>
      <w:r w:rsidR="0089298C" w:rsidRPr="002F50BD">
        <w:rPr>
          <w:rFonts w:ascii="Verdana" w:hAnsi="Verdana"/>
          <w:sz w:val="20"/>
          <w:lang w:val="pt-BR"/>
        </w:rPr>
        <w:t xml:space="preserve">bancária </w:t>
      </w:r>
      <w:r w:rsidR="00A1447F" w:rsidRPr="002F50BD">
        <w:rPr>
          <w:rFonts w:ascii="Verdana" w:hAnsi="Verdana"/>
          <w:sz w:val="20"/>
          <w:lang w:val="pt-BR"/>
        </w:rPr>
        <w:t>p</w:t>
      </w:r>
      <w:r w:rsidR="0089298C" w:rsidRPr="002F50BD">
        <w:rPr>
          <w:rFonts w:ascii="Verdana" w:hAnsi="Verdana"/>
          <w:sz w:val="20"/>
          <w:lang w:val="pt-BR"/>
        </w:rPr>
        <w:t>araguai</w:t>
      </w:r>
      <w:r w:rsidRPr="002F50BD">
        <w:rPr>
          <w:rFonts w:ascii="Verdana" w:hAnsi="Verdana"/>
          <w:sz w:val="20"/>
          <w:lang w:val="pt-BR"/>
        </w:rPr>
        <w:t>a solvente,</w:t>
      </w:r>
      <w:r w:rsidR="0089298C" w:rsidRPr="002F50BD">
        <w:rPr>
          <w:rFonts w:ascii="Verdana" w:hAnsi="Verdana"/>
          <w:sz w:val="20"/>
          <w:lang w:val="pt-BR"/>
        </w:rPr>
        <w:t xml:space="preserve"> em </w:t>
      </w:r>
      <w:r w:rsidRPr="002F50BD">
        <w:rPr>
          <w:rFonts w:ascii="Verdana" w:hAnsi="Verdana"/>
          <w:sz w:val="20"/>
          <w:lang w:val="pt-BR"/>
        </w:rPr>
        <w:t xml:space="preserve">dólares </w:t>
      </w:r>
      <w:r w:rsidR="00AB454A" w:rsidRPr="002F50BD">
        <w:rPr>
          <w:rFonts w:ascii="Verdana" w:hAnsi="Verdana"/>
          <w:sz w:val="20"/>
          <w:lang w:val="pt-BR"/>
        </w:rPr>
        <w:t>estadunidense</w:t>
      </w:r>
      <w:r w:rsidRPr="002F50BD">
        <w:rPr>
          <w:rFonts w:ascii="Verdana" w:hAnsi="Verdana"/>
          <w:sz w:val="20"/>
          <w:lang w:val="pt-BR"/>
        </w:rPr>
        <w:t>s</w:t>
      </w:r>
      <w:r w:rsidR="0089298C" w:rsidRPr="002F50BD">
        <w:rPr>
          <w:rFonts w:ascii="Verdana" w:hAnsi="Verdana"/>
          <w:sz w:val="20"/>
          <w:lang w:val="pt-BR"/>
        </w:rPr>
        <w:t xml:space="preserve"> e nas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w:t>
      </w:r>
      <w:r w:rsidR="0089298C" w:rsidRPr="002F50BD">
        <w:rPr>
          <w:rFonts w:ascii="Verdana" w:hAnsi="Verdana"/>
          <w:sz w:val="20"/>
          <w:lang w:val="pt-BR"/>
        </w:rPr>
        <w:t>financeira</w:t>
      </w:r>
      <w:r w:rsidRPr="002F50BD">
        <w:rPr>
          <w:rFonts w:ascii="Verdana" w:hAnsi="Verdana"/>
          <w:sz w:val="20"/>
          <w:lang w:val="pt-BR"/>
        </w:rPr>
        <w:t xml:space="preserve">s </w:t>
      </w:r>
      <w:r w:rsidR="0089298C" w:rsidRPr="002F50BD">
        <w:rPr>
          <w:rFonts w:ascii="Verdana" w:hAnsi="Verdana"/>
          <w:sz w:val="20"/>
          <w:lang w:val="pt-BR"/>
        </w:rPr>
        <w:t>mais favoráveis</w:t>
      </w:r>
      <w:r w:rsidRPr="002F50BD">
        <w:rPr>
          <w:rFonts w:ascii="Verdana" w:hAnsi="Verdana"/>
          <w:sz w:val="20"/>
          <w:lang w:val="pt-BR"/>
        </w:rPr>
        <w:t xml:space="preserve"> </w:t>
      </w:r>
      <w:r w:rsidR="00A1447F" w:rsidRPr="002F50BD">
        <w:rPr>
          <w:rFonts w:ascii="Verdana" w:hAnsi="Verdana"/>
          <w:sz w:val="20"/>
          <w:lang w:val="pt-BR"/>
        </w:rPr>
        <w:t>permitidas pel</w:t>
      </w:r>
      <w:r w:rsidR="0089298C" w:rsidRPr="002F50BD">
        <w:rPr>
          <w:rFonts w:ascii="Verdana" w:hAnsi="Verdana"/>
          <w:sz w:val="20"/>
          <w:lang w:val="pt-BR"/>
        </w:rPr>
        <w:t xml:space="preserve">a </w:t>
      </w:r>
      <w:r w:rsidRPr="002F50BD">
        <w:rPr>
          <w:rFonts w:ascii="Verdana" w:hAnsi="Verdana"/>
          <w:sz w:val="20"/>
          <w:lang w:val="pt-BR"/>
        </w:rPr>
        <w:t>legisla</w:t>
      </w:r>
      <w:r w:rsidR="0089298C" w:rsidRPr="002F50BD">
        <w:rPr>
          <w:rFonts w:ascii="Verdana" w:hAnsi="Verdana"/>
          <w:sz w:val="20"/>
          <w:lang w:val="pt-BR"/>
        </w:rPr>
        <w:t>ção e a prática</w:t>
      </w:r>
      <w:r w:rsidR="00A1447F" w:rsidRPr="002F50BD">
        <w:rPr>
          <w:rFonts w:ascii="Verdana" w:hAnsi="Verdana"/>
          <w:sz w:val="20"/>
          <w:lang w:val="pt-BR"/>
        </w:rPr>
        <w:t xml:space="preserve"> bancá</w:t>
      </w:r>
      <w:r w:rsidRPr="002F50BD">
        <w:rPr>
          <w:rFonts w:ascii="Verdana" w:hAnsi="Verdana"/>
          <w:sz w:val="20"/>
          <w:lang w:val="pt-BR"/>
        </w:rPr>
        <w:t>ria</w:t>
      </w:r>
      <w:r w:rsidR="00754117" w:rsidRPr="002F50BD">
        <w:rPr>
          <w:rFonts w:ascii="Verdana" w:hAnsi="Verdana"/>
          <w:sz w:val="20"/>
          <w:lang w:val="pt-BR"/>
        </w:rPr>
        <w:t>s</w:t>
      </w:r>
      <w:r w:rsidRPr="002F50BD">
        <w:rPr>
          <w:rFonts w:ascii="Verdana" w:hAnsi="Verdana"/>
          <w:sz w:val="20"/>
          <w:lang w:val="pt-BR"/>
        </w:rPr>
        <w:t xml:space="preserve">. </w:t>
      </w:r>
      <w:r w:rsidR="00A1447F" w:rsidRPr="002F50BD">
        <w:rPr>
          <w:rFonts w:ascii="Verdana" w:hAnsi="Verdana"/>
          <w:sz w:val="20"/>
          <w:lang w:val="pt-BR"/>
        </w:rPr>
        <w:t>S</w:t>
      </w:r>
      <w:r w:rsidR="0089298C" w:rsidRPr="002F50BD">
        <w:rPr>
          <w:rFonts w:ascii="Verdana" w:hAnsi="Verdana"/>
          <w:sz w:val="20"/>
          <w:lang w:val="pt-BR"/>
        </w:rPr>
        <w:t xml:space="preserve">e ao </w:t>
      </w:r>
      <w:r w:rsidRPr="002F50BD">
        <w:rPr>
          <w:rFonts w:ascii="Verdana" w:hAnsi="Verdana"/>
          <w:sz w:val="20"/>
          <w:lang w:val="pt-BR"/>
        </w:rPr>
        <w:t>cabo de</w:t>
      </w:r>
      <w:r w:rsidR="0089298C" w:rsidRPr="002F50BD">
        <w:rPr>
          <w:rFonts w:ascii="Verdana" w:hAnsi="Verdana"/>
          <w:sz w:val="20"/>
          <w:lang w:val="pt-BR"/>
        </w:rPr>
        <w:t xml:space="preserve"> dez anos a indenização</w:t>
      </w:r>
      <w:r w:rsidRPr="002F50BD">
        <w:rPr>
          <w:rFonts w:ascii="Verdana" w:hAnsi="Verdana"/>
          <w:sz w:val="20"/>
          <w:lang w:val="pt-BR"/>
        </w:rPr>
        <w:t xml:space="preserve"> </w:t>
      </w:r>
      <w:r w:rsidR="00AB454A" w:rsidRPr="002F50BD">
        <w:rPr>
          <w:rFonts w:ascii="Verdana" w:hAnsi="Verdana"/>
          <w:sz w:val="20"/>
          <w:lang w:val="pt-BR"/>
        </w:rPr>
        <w:t xml:space="preserve">não </w:t>
      </w:r>
      <w:r w:rsidR="00A1447F" w:rsidRPr="002F50BD">
        <w:rPr>
          <w:rFonts w:ascii="Verdana" w:hAnsi="Verdana"/>
          <w:sz w:val="20"/>
          <w:lang w:val="pt-BR"/>
        </w:rPr>
        <w:t>for</w:t>
      </w:r>
      <w:r w:rsidR="0089298C" w:rsidRPr="002F50BD">
        <w:rPr>
          <w:rFonts w:ascii="Verdana" w:hAnsi="Verdana"/>
          <w:sz w:val="20"/>
          <w:lang w:val="pt-BR"/>
        </w:rPr>
        <w:t xml:space="preserve"> </w:t>
      </w:r>
      <w:r w:rsidRPr="002F50BD">
        <w:rPr>
          <w:rFonts w:ascii="Verdana" w:hAnsi="Verdana"/>
          <w:sz w:val="20"/>
          <w:lang w:val="pt-BR"/>
        </w:rPr>
        <w:t>reclamada,</w:t>
      </w:r>
      <w:r w:rsidR="0089298C" w:rsidRPr="002F50BD">
        <w:rPr>
          <w:rFonts w:ascii="Verdana" w:hAnsi="Verdana"/>
          <w:sz w:val="20"/>
          <w:lang w:val="pt-BR"/>
        </w:rPr>
        <w:t xml:space="preserve"> a quantia </w:t>
      </w:r>
      <w:r w:rsidRPr="002F50BD">
        <w:rPr>
          <w:rFonts w:ascii="Verdana" w:hAnsi="Verdana"/>
          <w:sz w:val="20"/>
          <w:lang w:val="pt-BR"/>
        </w:rPr>
        <w:t xml:space="preserve">será </w:t>
      </w:r>
      <w:r w:rsidR="0089298C" w:rsidRPr="002F50BD">
        <w:rPr>
          <w:rFonts w:ascii="Verdana" w:hAnsi="Verdana"/>
          <w:sz w:val="20"/>
          <w:lang w:val="pt-BR"/>
        </w:rPr>
        <w:t xml:space="preserve">devolvida ao </w:t>
      </w:r>
      <w:r w:rsidRPr="002F50BD">
        <w:rPr>
          <w:rFonts w:ascii="Verdana" w:hAnsi="Verdana"/>
          <w:sz w:val="20"/>
          <w:lang w:val="pt-BR"/>
        </w:rPr>
        <w:t>Estado</w:t>
      </w:r>
      <w:r w:rsidR="0089298C" w:rsidRPr="002F50BD">
        <w:rPr>
          <w:rFonts w:ascii="Verdana" w:hAnsi="Verdana"/>
          <w:sz w:val="20"/>
          <w:lang w:val="pt-BR"/>
        </w:rPr>
        <w:t xml:space="preserve"> com os </w:t>
      </w:r>
      <w:r w:rsidR="00A1447F" w:rsidRPr="002F50BD">
        <w:rPr>
          <w:rFonts w:ascii="Verdana" w:hAnsi="Verdana"/>
          <w:sz w:val="20"/>
          <w:lang w:val="pt-BR"/>
        </w:rPr>
        <w:t>juros devidos</w:t>
      </w:r>
      <w:r w:rsidRPr="002F50BD">
        <w:rPr>
          <w:rFonts w:ascii="Verdana" w:hAnsi="Verdana"/>
          <w:sz w:val="20"/>
          <w:lang w:val="pt-BR"/>
        </w:rPr>
        <w:t>.</w:t>
      </w:r>
    </w:p>
    <w:p w:rsidR="004756C1" w:rsidRPr="002F50BD" w:rsidRDefault="004756C1">
      <w:pPr>
        <w:pStyle w:val="CommentText"/>
        <w:widowControl w:val="0"/>
        <w:tabs>
          <w:tab w:val="left" w:pos="0"/>
        </w:tabs>
        <w:rPr>
          <w:rFonts w:ascii="Verdana" w:eastAsia="Times" w:hAnsi="Verdana"/>
          <w:lang w:val="pt-BR"/>
        </w:rPr>
      </w:pPr>
    </w:p>
    <w:p w:rsidR="004756C1" w:rsidRPr="002F50BD" w:rsidRDefault="00AB6727">
      <w:pPr>
        <w:pStyle w:val="BodyText2"/>
        <w:numPr>
          <w:ilvl w:val="0"/>
          <w:numId w:val="34"/>
        </w:numPr>
        <w:rPr>
          <w:rFonts w:ascii="Verdana" w:hAnsi="Verdana"/>
          <w:sz w:val="20"/>
          <w:lang w:val="pt-BR"/>
        </w:rPr>
      </w:pPr>
      <w:r w:rsidRPr="002F50BD">
        <w:rPr>
          <w:rFonts w:ascii="Verdana" w:hAnsi="Verdana"/>
          <w:sz w:val="20"/>
          <w:lang w:val="pt-BR"/>
        </w:rPr>
        <w:t xml:space="preserve">Os </w:t>
      </w:r>
      <w:r w:rsidR="00A1447F" w:rsidRPr="002F50BD">
        <w:rPr>
          <w:rFonts w:ascii="Verdana" w:hAnsi="Verdana"/>
          <w:sz w:val="20"/>
          <w:lang w:val="pt-BR"/>
        </w:rPr>
        <w:t>montante</w:t>
      </w:r>
      <w:r w:rsidR="004756C1" w:rsidRPr="002F50BD">
        <w:rPr>
          <w:rFonts w:ascii="Verdana" w:hAnsi="Verdana"/>
          <w:sz w:val="20"/>
          <w:lang w:val="pt-BR"/>
        </w:rPr>
        <w:t>s</w:t>
      </w:r>
      <w:r w:rsidR="0089298C" w:rsidRPr="002F50BD">
        <w:rPr>
          <w:rFonts w:ascii="Verdana" w:hAnsi="Verdana"/>
          <w:sz w:val="20"/>
          <w:lang w:val="pt-BR"/>
        </w:rPr>
        <w:t xml:space="preserve"> </w:t>
      </w:r>
      <w:r w:rsidR="00AE379B" w:rsidRPr="002F50BD">
        <w:rPr>
          <w:rFonts w:ascii="Verdana" w:hAnsi="Verdana"/>
          <w:sz w:val="20"/>
          <w:lang w:val="pt-BR"/>
        </w:rPr>
        <w:t xml:space="preserve">designados </w:t>
      </w:r>
      <w:r w:rsidR="0089298C" w:rsidRPr="002F50BD">
        <w:rPr>
          <w:rFonts w:ascii="Verdana" w:hAnsi="Verdana"/>
          <w:sz w:val="20"/>
          <w:lang w:val="pt-BR"/>
        </w:rPr>
        <w:t xml:space="preserve">na </w:t>
      </w:r>
      <w:r w:rsidR="004756C1" w:rsidRPr="002F50BD">
        <w:rPr>
          <w:rFonts w:ascii="Verdana" w:hAnsi="Verdana"/>
          <w:sz w:val="20"/>
          <w:lang w:val="pt-BR"/>
        </w:rPr>
        <w:t xml:space="preserve">presente </w:t>
      </w:r>
      <w:r w:rsidR="0089298C" w:rsidRPr="002F50BD">
        <w:rPr>
          <w:rFonts w:ascii="Verdana" w:hAnsi="Verdana"/>
          <w:sz w:val="20"/>
          <w:lang w:val="pt-BR"/>
        </w:rPr>
        <w:t xml:space="preserve">Sentença </w:t>
      </w:r>
      <w:r w:rsidR="00AE379B" w:rsidRPr="002F50BD">
        <w:rPr>
          <w:rFonts w:ascii="Verdana" w:hAnsi="Verdana"/>
          <w:sz w:val="20"/>
          <w:lang w:val="pt-BR"/>
        </w:rPr>
        <w:t xml:space="preserve">a título </w:t>
      </w:r>
      <w:r w:rsidR="004756C1" w:rsidRPr="002F50BD">
        <w:rPr>
          <w:rFonts w:ascii="Verdana" w:hAnsi="Verdana"/>
          <w:sz w:val="20"/>
          <w:lang w:val="pt-BR"/>
        </w:rPr>
        <w:t xml:space="preserve">de </w:t>
      </w:r>
      <w:r w:rsidR="0089298C" w:rsidRPr="002F50BD">
        <w:rPr>
          <w:rFonts w:ascii="Verdana" w:hAnsi="Verdana"/>
          <w:sz w:val="20"/>
          <w:lang w:val="pt-BR"/>
        </w:rPr>
        <w:t>indenização</w:t>
      </w:r>
      <w:r w:rsidR="004756C1" w:rsidRPr="002F50BD">
        <w:rPr>
          <w:rFonts w:ascii="Verdana" w:hAnsi="Verdana"/>
          <w:sz w:val="20"/>
          <w:lang w:val="pt-BR"/>
        </w:rPr>
        <w:t xml:space="preserve"> </w:t>
      </w:r>
      <w:r w:rsidR="00AE379B" w:rsidRPr="002F50BD">
        <w:rPr>
          <w:rFonts w:ascii="Verdana" w:hAnsi="Verdana"/>
          <w:sz w:val="20"/>
          <w:lang w:val="pt-BR"/>
        </w:rPr>
        <w:t>por</w:t>
      </w:r>
      <w:r w:rsidR="0089298C" w:rsidRPr="002F50BD">
        <w:rPr>
          <w:rFonts w:ascii="Verdana" w:hAnsi="Verdana"/>
          <w:sz w:val="20"/>
          <w:lang w:val="pt-BR"/>
        </w:rPr>
        <w:t xml:space="preserve"> dano</w:t>
      </w:r>
      <w:r w:rsidR="004756C1" w:rsidRPr="002F50BD">
        <w:rPr>
          <w:rFonts w:ascii="Verdana" w:hAnsi="Verdana"/>
          <w:sz w:val="20"/>
          <w:lang w:val="pt-BR"/>
        </w:rPr>
        <w:t xml:space="preserve"> material e </w:t>
      </w:r>
      <w:r w:rsidR="0089298C" w:rsidRPr="002F50BD">
        <w:rPr>
          <w:rFonts w:ascii="Verdana" w:hAnsi="Verdana"/>
          <w:sz w:val="20"/>
          <w:lang w:val="pt-BR"/>
        </w:rPr>
        <w:t xml:space="preserve">imaterial e o </w:t>
      </w:r>
      <w:r w:rsidR="00AE379B" w:rsidRPr="002F50BD">
        <w:rPr>
          <w:rFonts w:ascii="Verdana" w:hAnsi="Verdana"/>
          <w:sz w:val="20"/>
          <w:lang w:val="pt-BR"/>
        </w:rPr>
        <w:t xml:space="preserve">reembolso </w:t>
      </w:r>
      <w:r w:rsidR="004756C1" w:rsidRPr="002F50BD">
        <w:rPr>
          <w:rFonts w:ascii="Verdana" w:hAnsi="Verdana"/>
          <w:sz w:val="20"/>
          <w:lang w:val="pt-BR"/>
        </w:rPr>
        <w:t xml:space="preserve">de </w:t>
      </w:r>
      <w:r w:rsidR="0089298C" w:rsidRPr="002F50BD">
        <w:rPr>
          <w:rFonts w:ascii="Verdana" w:hAnsi="Verdana"/>
          <w:sz w:val="20"/>
          <w:lang w:val="pt-BR"/>
        </w:rPr>
        <w:t xml:space="preserve">custas e </w:t>
      </w:r>
      <w:r w:rsidR="004756C1" w:rsidRPr="002F50BD">
        <w:rPr>
          <w:rFonts w:ascii="Verdana" w:hAnsi="Verdana"/>
          <w:sz w:val="20"/>
          <w:lang w:val="pt-BR"/>
        </w:rPr>
        <w:t xml:space="preserve">gastos </w:t>
      </w:r>
      <w:r w:rsidR="00AB454A" w:rsidRPr="002F50BD">
        <w:rPr>
          <w:rFonts w:ascii="Verdana" w:hAnsi="Verdana"/>
          <w:sz w:val="20"/>
          <w:lang w:val="pt-BR"/>
        </w:rPr>
        <w:t>não pode</w:t>
      </w:r>
      <w:r w:rsidR="0089298C" w:rsidRPr="002F50BD">
        <w:rPr>
          <w:rFonts w:ascii="Verdana" w:hAnsi="Verdana"/>
          <w:sz w:val="20"/>
          <w:lang w:val="pt-BR"/>
        </w:rPr>
        <w:t>rão</w:t>
      </w:r>
      <w:r w:rsidR="004756C1" w:rsidRPr="002F50BD">
        <w:rPr>
          <w:rFonts w:ascii="Verdana" w:hAnsi="Verdana"/>
          <w:sz w:val="20"/>
          <w:lang w:val="pt-BR"/>
        </w:rPr>
        <w:t xml:space="preserve"> ser </w:t>
      </w:r>
      <w:r w:rsidR="0089298C" w:rsidRPr="002F50BD">
        <w:rPr>
          <w:rFonts w:ascii="Verdana" w:hAnsi="Verdana"/>
          <w:sz w:val="20"/>
          <w:lang w:val="pt-BR"/>
        </w:rPr>
        <w:t>afeta</w:t>
      </w:r>
      <w:r w:rsidR="004756C1" w:rsidRPr="002F50BD">
        <w:rPr>
          <w:rFonts w:ascii="Verdana" w:hAnsi="Verdana"/>
          <w:sz w:val="20"/>
          <w:lang w:val="pt-BR"/>
        </w:rPr>
        <w:t xml:space="preserve">dos, </w:t>
      </w:r>
      <w:r w:rsidR="0089298C" w:rsidRPr="002F50BD">
        <w:rPr>
          <w:rFonts w:ascii="Verdana" w:hAnsi="Verdana"/>
          <w:sz w:val="20"/>
          <w:lang w:val="pt-BR"/>
        </w:rPr>
        <w:t>reduzido</w:t>
      </w:r>
      <w:r w:rsidR="004756C1" w:rsidRPr="002F50BD">
        <w:rPr>
          <w:rFonts w:ascii="Verdana" w:hAnsi="Verdana"/>
          <w:sz w:val="20"/>
          <w:lang w:val="pt-BR"/>
        </w:rPr>
        <w:t>s o</w:t>
      </w:r>
      <w:r w:rsidR="00AE379B" w:rsidRPr="002F50BD">
        <w:rPr>
          <w:rFonts w:ascii="Verdana" w:hAnsi="Verdana"/>
          <w:sz w:val="20"/>
          <w:lang w:val="pt-BR"/>
        </w:rPr>
        <w:t>u</w:t>
      </w:r>
      <w:r w:rsidR="004756C1" w:rsidRPr="002F50BD">
        <w:rPr>
          <w:rFonts w:ascii="Verdana" w:hAnsi="Verdana"/>
          <w:sz w:val="20"/>
          <w:lang w:val="pt-BR"/>
        </w:rPr>
        <w:t xml:space="preserve"> condicionados por motivos </w:t>
      </w:r>
      <w:r w:rsidR="00AE379B" w:rsidRPr="002F50BD">
        <w:rPr>
          <w:rFonts w:ascii="Verdana" w:hAnsi="Verdana"/>
          <w:sz w:val="20"/>
          <w:lang w:val="pt-BR"/>
        </w:rPr>
        <w:t xml:space="preserve">fiscais </w:t>
      </w:r>
      <w:r w:rsidR="0089298C" w:rsidRPr="002F50BD">
        <w:rPr>
          <w:rFonts w:ascii="Verdana" w:hAnsi="Verdana"/>
          <w:sz w:val="20"/>
          <w:lang w:val="pt-BR"/>
        </w:rPr>
        <w:t>atuais</w:t>
      </w:r>
      <w:r w:rsidR="004756C1" w:rsidRPr="002F50BD">
        <w:rPr>
          <w:rFonts w:ascii="Verdana" w:hAnsi="Verdana"/>
          <w:sz w:val="20"/>
          <w:lang w:val="pt-BR"/>
        </w:rPr>
        <w:t xml:space="preserve"> o</w:t>
      </w:r>
      <w:r w:rsidR="00AE379B" w:rsidRPr="002F50BD">
        <w:rPr>
          <w:rFonts w:ascii="Verdana" w:hAnsi="Verdana"/>
          <w:sz w:val="20"/>
          <w:lang w:val="pt-BR"/>
        </w:rPr>
        <w:t>u</w:t>
      </w:r>
      <w:r w:rsidR="004756C1" w:rsidRPr="002F50BD">
        <w:rPr>
          <w:rFonts w:ascii="Verdana" w:hAnsi="Verdana"/>
          <w:sz w:val="20"/>
          <w:lang w:val="pt-BR"/>
        </w:rPr>
        <w:t xml:space="preserve"> futuros</w:t>
      </w:r>
      <w:r w:rsidR="00CD7100" w:rsidRPr="002F50BD">
        <w:rPr>
          <w:rFonts w:ascii="Verdana" w:hAnsi="Verdana"/>
          <w:sz w:val="20"/>
          <w:lang w:val="pt-BR"/>
        </w:rPr>
        <w:t>. Em</w:t>
      </w:r>
      <w:r w:rsidR="0089298C" w:rsidRPr="002F50BD">
        <w:rPr>
          <w:rFonts w:ascii="Verdana" w:hAnsi="Verdana"/>
          <w:sz w:val="20"/>
          <w:lang w:val="pt-BR"/>
        </w:rPr>
        <w:t xml:space="preserve"> consequência</w:t>
      </w:r>
      <w:r w:rsidR="004756C1" w:rsidRPr="002F50BD">
        <w:rPr>
          <w:rFonts w:ascii="Verdana" w:hAnsi="Verdana"/>
          <w:sz w:val="20"/>
          <w:lang w:val="pt-BR"/>
        </w:rPr>
        <w:t xml:space="preserve">, </w:t>
      </w:r>
      <w:r w:rsidR="0089298C" w:rsidRPr="002F50BD">
        <w:rPr>
          <w:rFonts w:ascii="Verdana" w:hAnsi="Verdana"/>
          <w:sz w:val="20"/>
          <w:lang w:val="pt-BR"/>
        </w:rPr>
        <w:t>deverão</w:t>
      </w:r>
      <w:r w:rsidR="004756C1" w:rsidRPr="002F50BD">
        <w:rPr>
          <w:rFonts w:ascii="Verdana" w:hAnsi="Verdana"/>
          <w:sz w:val="20"/>
          <w:lang w:val="pt-BR"/>
        </w:rPr>
        <w:t xml:space="preserve"> ser entreg</w:t>
      </w:r>
      <w:r w:rsidR="00AE379B" w:rsidRPr="002F50BD">
        <w:rPr>
          <w:rFonts w:ascii="Verdana" w:hAnsi="Verdana"/>
          <w:sz w:val="20"/>
          <w:lang w:val="pt-BR"/>
        </w:rPr>
        <w:t>ues</w:t>
      </w:r>
      <w:r w:rsidR="0089298C" w:rsidRPr="002F50BD">
        <w:rPr>
          <w:rFonts w:ascii="Verdana" w:hAnsi="Verdana"/>
          <w:sz w:val="20"/>
          <w:lang w:val="pt-BR"/>
        </w:rPr>
        <w:t xml:space="preserve"> aos beneficiário</w:t>
      </w:r>
      <w:r w:rsidR="004756C1" w:rsidRPr="002F50BD">
        <w:rPr>
          <w:rFonts w:ascii="Verdana" w:hAnsi="Verdana"/>
          <w:sz w:val="20"/>
          <w:lang w:val="pt-BR"/>
        </w:rPr>
        <w:t>s</w:t>
      </w:r>
      <w:r w:rsidR="0089298C" w:rsidRPr="002F50BD">
        <w:rPr>
          <w:rFonts w:ascii="Verdana" w:hAnsi="Verdana"/>
          <w:sz w:val="20"/>
          <w:lang w:val="pt-BR"/>
        </w:rPr>
        <w:t xml:space="preserve"> </w:t>
      </w:r>
      <w:r w:rsidR="00AE379B" w:rsidRPr="002F50BD">
        <w:rPr>
          <w:rFonts w:ascii="Verdana" w:hAnsi="Verdana"/>
          <w:sz w:val="20"/>
          <w:lang w:val="pt-BR"/>
        </w:rPr>
        <w:t xml:space="preserve">integralmente </w:t>
      </w:r>
      <w:r w:rsidR="004756C1" w:rsidRPr="002F50BD">
        <w:rPr>
          <w:rFonts w:ascii="Verdana" w:hAnsi="Verdana"/>
          <w:sz w:val="20"/>
          <w:lang w:val="pt-BR"/>
        </w:rPr>
        <w:t>conforme</w:t>
      </w:r>
      <w:r w:rsidR="0089298C" w:rsidRPr="002F50BD">
        <w:rPr>
          <w:rFonts w:ascii="Verdana" w:hAnsi="Verdana"/>
          <w:sz w:val="20"/>
          <w:lang w:val="pt-BR"/>
        </w:rPr>
        <w:t xml:space="preserve"> o estabelecid</w:t>
      </w:r>
      <w:r w:rsidR="004756C1" w:rsidRPr="002F50BD">
        <w:rPr>
          <w:rFonts w:ascii="Verdana" w:hAnsi="Verdana"/>
          <w:sz w:val="20"/>
          <w:lang w:val="pt-BR"/>
        </w:rPr>
        <w:t>o</w:t>
      </w:r>
      <w:r w:rsidR="0089298C" w:rsidRPr="002F50BD">
        <w:rPr>
          <w:rFonts w:ascii="Verdana" w:hAnsi="Verdana"/>
          <w:sz w:val="20"/>
          <w:lang w:val="pt-BR"/>
        </w:rPr>
        <w:t xml:space="preserve"> na Sentença</w:t>
      </w:r>
      <w:r w:rsidR="004756C1" w:rsidRPr="002F50BD">
        <w:rPr>
          <w:rFonts w:ascii="Verdana" w:hAnsi="Verdana"/>
          <w:sz w:val="20"/>
          <w:lang w:val="pt-BR"/>
        </w:rPr>
        <w:t>.</w:t>
      </w:r>
    </w:p>
    <w:p w:rsidR="004756C1" w:rsidRPr="002F50BD" w:rsidRDefault="004756C1">
      <w:pPr>
        <w:widowControl w:val="0"/>
        <w:tabs>
          <w:tab w:val="left" w:pos="0"/>
        </w:tabs>
        <w:jc w:val="both"/>
        <w:rPr>
          <w:rFonts w:ascii="Verdana" w:hAnsi="Verdana"/>
          <w:sz w:val="20"/>
          <w:lang w:val="pt-BR"/>
        </w:rPr>
      </w:pPr>
    </w:p>
    <w:p w:rsidR="004756C1" w:rsidRPr="002F50BD" w:rsidRDefault="004720A7">
      <w:pPr>
        <w:widowControl w:val="0"/>
        <w:numPr>
          <w:ilvl w:val="0"/>
          <w:numId w:val="34"/>
        </w:numPr>
        <w:jc w:val="both"/>
        <w:rPr>
          <w:rFonts w:ascii="Verdana" w:hAnsi="Verdana"/>
          <w:sz w:val="20"/>
          <w:lang w:val="pt-BR"/>
        </w:rPr>
      </w:pPr>
      <w:r>
        <w:rPr>
          <w:rFonts w:ascii="Verdana" w:hAnsi="Verdana"/>
          <w:sz w:val="20"/>
          <w:lang w:val="pt-BR"/>
        </w:rPr>
        <w:t>C</w:t>
      </w:r>
      <w:r w:rsidR="004756C1" w:rsidRPr="002F50BD">
        <w:rPr>
          <w:rFonts w:ascii="Verdana" w:hAnsi="Verdana"/>
          <w:sz w:val="20"/>
          <w:lang w:val="pt-BR"/>
        </w:rPr>
        <w:t xml:space="preserve">aso </w:t>
      </w:r>
      <w:r w:rsidR="0089298C" w:rsidRPr="002F50BD">
        <w:rPr>
          <w:rFonts w:ascii="Verdana" w:hAnsi="Verdana"/>
          <w:sz w:val="20"/>
          <w:lang w:val="pt-BR"/>
        </w:rPr>
        <w:t xml:space="preserve">o </w:t>
      </w:r>
      <w:r w:rsidR="004756C1" w:rsidRPr="002F50BD">
        <w:rPr>
          <w:rFonts w:ascii="Verdana" w:hAnsi="Verdana"/>
          <w:sz w:val="20"/>
          <w:lang w:val="pt-BR"/>
        </w:rPr>
        <w:t xml:space="preserve">Estado </w:t>
      </w:r>
      <w:r w:rsidR="00AE379B" w:rsidRPr="002F50BD">
        <w:rPr>
          <w:rFonts w:ascii="Verdana" w:hAnsi="Verdana"/>
          <w:sz w:val="20"/>
          <w:lang w:val="pt-BR"/>
        </w:rPr>
        <w:t xml:space="preserve">incorra </w:t>
      </w:r>
      <w:r w:rsidR="0089298C" w:rsidRPr="002F50BD">
        <w:rPr>
          <w:rFonts w:ascii="Verdana" w:hAnsi="Verdana"/>
          <w:sz w:val="20"/>
          <w:lang w:val="pt-BR"/>
        </w:rPr>
        <w:t xml:space="preserve">em </w:t>
      </w:r>
      <w:r w:rsidR="00AE379B" w:rsidRPr="002F50BD">
        <w:rPr>
          <w:rFonts w:ascii="Verdana" w:hAnsi="Verdana"/>
          <w:sz w:val="20"/>
          <w:lang w:val="pt-BR"/>
        </w:rPr>
        <w:t>atraso</w:t>
      </w:r>
      <w:r w:rsidR="004756C1" w:rsidRPr="002F50BD">
        <w:rPr>
          <w:rFonts w:ascii="Verdana" w:hAnsi="Verdana"/>
          <w:sz w:val="20"/>
          <w:lang w:val="pt-BR"/>
        </w:rPr>
        <w:t xml:space="preserve">, </w:t>
      </w:r>
      <w:r w:rsidR="0089298C" w:rsidRPr="002F50BD">
        <w:rPr>
          <w:rFonts w:ascii="Verdana" w:hAnsi="Verdana"/>
          <w:sz w:val="20"/>
          <w:lang w:val="pt-BR"/>
        </w:rPr>
        <w:t>dever</w:t>
      </w:r>
      <w:r w:rsidR="004756C1" w:rsidRPr="002F50BD">
        <w:rPr>
          <w:rFonts w:ascii="Verdana" w:hAnsi="Verdana"/>
          <w:sz w:val="20"/>
          <w:lang w:val="pt-BR"/>
        </w:rPr>
        <w:t>á pagar</w:t>
      </w:r>
      <w:r w:rsidR="0089298C" w:rsidRPr="002F50BD">
        <w:rPr>
          <w:rFonts w:ascii="Verdana" w:hAnsi="Verdana"/>
          <w:sz w:val="20"/>
          <w:lang w:val="pt-BR"/>
        </w:rPr>
        <w:t xml:space="preserve"> </w:t>
      </w:r>
      <w:r w:rsidR="00AE379B" w:rsidRPr="002F50BD">
        <w:rPr>
          <w:rFonts w:ascii="Verdana" w:hAnsi="Verdana"/>
          <w:sz w:val="20"/>
          <w:lang w:val="pt-BR"/>
        </w:rPr>
        <w:t xml:space="preserve">juros </w:t>
      </w:r>
      <w:r w:rsidR="004756C1" w:rsidRPr="002F50BD">
        <w:rPr>
          <w:rFonts w:ascii="Verdana" w:hAnsi="Verdana"/>
          <w:sz w:val="20"/>
          <w:lang w:val="pt-BR"/>
        </w:rPr>
        <w:t>sobre</w:t>
      </w:r>
      <w:r w:rsidR="0089298C" w:rsidRPr="002F50BD">
        <w:rPr>
          <w:rFonts w:ascii="Verdana" w:hAnsi="Verdana"/>
          <w:sz w:val="20"/>
          <w:lang w:val="pt-BR"/>
        </w:rPr>
        <w:t xml:space="preserve"> a </w:t>
      </w:r>
      <w:r w:rsidR="00AE379B" w:rsidRPr="002F50BD">
        <w:rPr>
          <w:rFonts w:ascii="Verdana" w:hAnsi="Verdana"/>
          <w:sz w:val="20"/>
          <w:lang w:val="pt-BR"/>
        </w:rPr>
        <w:t>quantia</w:t>
      </w:r>
      <w:r w:rsidR="0089298C" w:rsidRPr="002F50BD">
        <w:rPr>
          <w:rFonts w:ascii="Verdana" w:hAnsi="Verdana"/>
          <w:sz w:val="20"/>
          <w:lang w:val="pt-BR"/>
        </w:rPr>
        <w:t xml:space="preserve"> </w:t>
      </w:r>
      <w:r w:rsidR="00AE379B" w:rsidRPr="002F50BD">
        <w:rPr>
          <w:rFonts w:ascii="Verdana" w:hAnsi="Verdana"/>
          <w:sz w:val="20"/>
          <w:lang w:val="pt-BR"/>
        </w:rPr>
        <w:t>devida</w:t>
      </w:r>
      <w:r w:rsidR="004756C1" w:rsidRPr="002F50BD">
        <w:rPr>
          <w:rFonts w:ascii="Verdana" w:hAnsi="Verdana"/>
          <w:sz w:val="20"/>
          <w:lang w:val="pt-BR"/>
        </w:rPr>
        <w:t xml:space="preserve">, </w:t>
      </w:r>
      <w:r w:rsidR="0089298C" w:rsidRPr="002F50BD">
        <w:rPr>
          <w:rFonts w:ascii="Verdana" w:hAnsi="Verdana"/>
          <w:sz w:val="20"/>
          <w:lang w:val="pt-BR"/>
        </w:rPr>
        <w:t>correspondente ao</w:t>
      </w:r>
      <w:r w:rsidR="00882D16" w:rsidRPr="002F50BD">
        <w:rPr>
          <w:rFonts w:ascii="Verdana" w:hAnsi="Verdana"/>
          <w:sz w:val="20"/>
          <w:lang w:val="pt-BR"/>
        </w:rPr>
        <w:t>s</w:t>
      </w:r>
      <w:r w:rsidR="0089298C" w:rsidRPr="002F50BD">
        <w:rPr>
          <w:rFonts w:ascii="Verdana" w:hAnsi="Verdana"/>
          <w:sz w:val="20"/>
          <w:lang w:val="pt-BR"/>
        </w:rPr>
        <w:t xml:space="preserve"> </w:t>
      </w:r>
      <w:r w:rsidR="00AE379B" w:rsidRPr="002F50BD">
        <w:rPr>
          <w:rFonts w:ascii="Verdana" w:hAnsi="Verdana"/>
          <w:sz w:val="20"/>
          <w:lang w:val="pt-BR"/>
        </w:rPr>
        <w:t>juro</w:t>
      </w:r>
      <w:r w:rsidR="00882D16" w:rsidRPr="002F50BD">
        <w:rPr>
          <w:rFonts w:ascii="Verdana" w:hAnsi="Verdana"/>
          <w:sz w:val="20"/>
          <w:lang w:val="pt-BR"/>
        </w:rPr>
        <w:t>s</w:t>
      </w:r>
      <w:r w:rsidR="00AE379B" w:rsidRPr="002F50BD">
        <w:rPr>
          <w:rFonts w:ascii="Verdana" w:hAnsi="Verdana"/>
          <w:sz w:val="20"/>
          <w:lang w:val="pt-BR"/>
        </w:rPr>
        <w:t xml:space="preserve"> bancário</w:t>
      </w:r>
      <w:r w:rsidR="00882D16" w:rsidRPr="002F50BD">
        <w:rPr>
          <w:rFonts w:ascii="Verdana" w:hAnsi="Verdana"/>
          <w:sz w:val="20"/>
          <w:lang w:val="pt-BR"/>
        </w:rPr>
        <w:t>s</w:t>
      </w:r>
      <w:r w:rsidR="00AE379B" w:rsidRPr="002F50BD">
        <w:rPr>
          <w:rFonts w:ascii="Verdana" w:hAnsi="Verdana"/>
          <w:sz w:val="20"/>
          <w:lang w:val="pt-BR"/>
        </w:rPr>
        <w:t xml:space="preserve"> </w:t>
      </w:r>
      <w:r w:rsidR="004756C1" w:rsidRPr="002F50BD">
        <w:rPr>
          <w:rFonts w:ascii="Verdana" w:hAnsi="Verdana"/>
          <w:sz w:val="20"/>
          <w:lang w:val="pt-BR"/>
        </w:rPr>
        <w:t>morat</w:t>
      </w:r>
      <w:r w:rsidR="00AE379B" w:rsidRPr="002F50BD">
        <w:rPr>
          <w:rFonts w:ascii="Verdana" w:hAnsi="Verdana"/>
          <w:sz w:val="20"/>
          <w:lang w:val="pt-BR"/>
        </w:rPr>
        <w:t>ó</w:t>
      </w:r>
      <w:r w:rsidR="004756C1" w:rsidRPr="002F50BD">
        <w:rPr>
          <w:rFonts w:ascii="Verdana" w:hAnsi="Verdana"/>
          <w:sz w:val="20"/>
          <w:lang w:val="pt-BR"/>
        </w:rPr>
        <w:t>rio</w:t>
      </w:r>
      <w:r w:rsidR="00882D16" w:rsidRPr="002F50BD">
        <w:rPr>
          <w:rFonts w:ascii="Verdana" w:hAnsi="Verdana"/>
          <w:sz w:val="20"/>
          <w:lang w:val="pt-BR"/>
        </w:rPr>
        <w:t>s</w:t>
      </w:r>
      <w:r w:rsidR="0089298C" w:rsidRPr="002F50BD">
        <w:rPr>
          <w:rFonts w:ascii="Verdana" w:hAnsi="Verdana"/>
          <w:sz w:val="20"/>
          <w:lang w:val="pt-BR"/>
        </w:rPr>
        <w:t xml:space="preserve"> no Paraguai</w:t>
      </w:r>
      <w:r w:rsidR="004756C1" w:rsidRPr="002F50BD">
        <w:rPr>
          <w:rFonts w:ascii="Verdana" w:hAnsi="Verdana"/>
          <w:sz w:val="20"/>
          <w:lang w:val="pt-BR"/>
        </w:rPr>
        <w:t>.</w:t>
      </w:r>
    </w:p>
    <w:p w:rsidR="004756C1" w:rsidRPr="002F50BD" w:rsidRDefault="004756C1">
      <w:pPr>
        <w:pStyle w:val="BodyText3"/>
        <w:widowControl w:val="0"/>
        <w:tabs>
          <w:tab w:val="left" w:pos="0"/>
        </w:tabs>
        <w:rPr>
          <w:rFonts w:ascii="Verdana" w:hAnsi="Verdana"/>
          <w:b/>
          <w:sz w:val="20"/>
          <w:u w:val="none"/>
          <w:lang w:val="pt-BR"/>
        </w:rPr>
      </w:pPr>
    </w:p>
    <w:p w:rsidR="004756C1" w:rsidRPr="002F50BD" w:rsidRDefault="004756C1">
      <w:pPr>
        <w:widowControl w:val="0"/>
        <w:numPr>
          <w:ilvl w:val="0"/>
          <w:numId w:val="34"/>
        </w:numPr>
        <w:jc w:val="both"/>
        <w:rPr>
          <w:rFonts w:ascii="Verdana" w:hAnsi="Verdana"/>
          <w:lang w:val="pt-BR"/>
        </w:rPr>
      </w:pPr>
      <w:r w:rsidRPr="002F50BD">
        <w:rPr>
          <w:rFonts w:ascii="Verdana" w:hAnsi="Verdana"/>
          <w:sz w:val="20"/>
          <w:lang w:val="pt-BR"/>
        </w:rPr>
        <w:t xml:space="preserve">Conforme </w:t>
      </w:r>
      <w:r w:rsidR="004076AD" w:rsidRPr="002F50BD">
        <w:rPr>
          <w:rFonts w:ascii="Verdana" w:hAnsi="Verdana"/>
          <w:sz w:val="20"/>
          <w:lang w:val="pt-BR"/>
        </w:rPr>
        <w:t>sua prática</w:t>
      </w:r>
      <w:r w:rsidRPr="002F50BD">
        <w:rPr>
          <w:rFonts w:ascii="Verdana" w:hAnsi="Verdana"/>
          <w:sz w:val="20"/>
          <w:lang w:val="pt-BR"/>
        </w:rPr>
        <w:t xml:space="preserve"> constante,</w:t>
      </w:r>
      <w:r w:rsidR="0089298C" w:rsidRPr="002F50BD">
        <w:rPr>
          <w:rFonts w:ascii="Verdana" w:hAnsi="Verdana"/>
          <w:sz w:val="20"/>
          <w:lang w:val="pt-BR"/>
        </w:rPr>
        <w:t xml:space="preserve"> a </w:t>
      </w:r>
      <w:r w:rsidRPr="002F50BD">
        <w:rPr>
          <w:rFonts w:ascii="Verdana" w:hAnsi="Verdana"/>
          <w:sz w:val="20"/>
          <w:lang w:val="pt-BR"/>
        </w:rPr>
        <w:t>Corte se reserva</w:t>
      </w:r>
      <w:r w:rsidR="0089298C" w:rsidRPr="002F50BD">
        <w:rPr>
          <w:rFonts w:ascii="Verdana" w:hAnsi="Verdana"/>
          <w:sz w:val="20"/>
          <w:lang w:val="pt-BR"/>
        </w:rPr>
        <w:t xml:space="preserve"> a faculdade </w:t>
      </w:r>
      <w:r w:rsidR="00AB454A" w:rsidRPr="002F50BD">
        <w:rPr>
          <w:rFonts w:ascii="Verdana" w:hAnsi="Verdana"/>
          <w:sz w:val="20"/>
          <w:lang w:val="pt-BR"/>
        </w:rPr>
        <w:t>inerente</w:t>
      </w:r>
      <w:r w:rsidRPr="002F50BD">
        <w:rPr>
          <w:rFonts w:ascii="Verdana" w:hAnsi="Verdana"/>
          <w:sz w:val="20"/>
          <w:lang w:val="pt-BR"/>
        </w:rPr>
        <w:t xml:space="preserve"> a su</w:t>
      </w:r>
      <w:r w:rsidR="00AE379B" w:rsidRPr="002F50BD">
        <w:rPr>
          <w:rFonts w:ascii="Verdana" w:hAnsi="Verdana"/>
          <w:sz w:val="20"/>
          <w:lang w:val="pt-BR"/>
        </w:rPr>
        <w:t>a</w:t>
      </w:r>
      <w:r w:rsidRPr="002F50BD">
        <w:rPr>
          <w:rFonts w:ascii="Verdana" w:hAnsi="Verdana"/>
          <w:sz w:val="20"/>
          <w:lang w:val="pt-BR"/>
        </w:rPr>
        <w:t xml:space="preserve">s </w:t>
      </w:r>
      <w:r w:rsidR="00AB454A" w:rsidRPr="002F50BD">
        <w:rPr>
          <w:rFonts w:ascii="Verdana" w:hAnsi="Verdana"/>
          <w:sz w:val="20"/>
          <w:lang w:val="pt-BR"/>
        </w:rPr>
        <w:t>atribuições</w:t>
      </w:r>
      <w:r w:rsidRPr="002F50BD">
        <w:rPr>
          <w:rFonts w:ascii="Verdana" w:hAnsi="Verdana"/>
          <w:sz w:val="20"/>
          <w:lang w:val="pt-BR"/>
        </w:rPr>
        <w:t xml:space="preserve"> de </w:t>
      </w:r>
      <w:r w:rsidR="0089298C" w:rsidRPr="002F50BD">
        <w:rPr>
          <w:rFonts w:ascii="Verdana" w:hAnsi="Verdana"/>
          <w:sz w:val="20"/>
          <w:lang w:val="pt-BR"/>
        </w:rPr>
        <w:t>supervisar o cumprimento</w:t>
      </w:r>
      <w:r w:rsidRPr="002F50BD">
        <w:rPr>
          <w:rFonts w:ascii="Verdana" w:hAnsi="Verdana"/>
          <w:sz w:val="20"/>
          <w:lang w:val="pt-BR"/>
        </w:rPr>
        <w:t xml:space="preserve"> </w:t>
      </w:r>
      <w:r w:rsidR="00882D16" w:rsidRPr="002F50BD">
        <w:rPr>
          <w:rFonts w:ascii="Verdana" w:hAnsi="Verdana"/>
          <w:sz w:val="20"/>
          <w:lang w:val="pt-BR"/>
        </w:rPr>
        <w:t>integral</w:t>
      </w:r>
      <w:r w:rsidR="0089298C" w:rsidRPr="002F50BD">
        <w:rPr>
          <w:rFonts w:ascii="Verdana" w:hAnsi="Verdana"/>
          <w:sz w:val="20"/>
          <w:lang w:val="pt-BR"/>
        </w:rPr>
        <w:t xml:space="preserve"> da </w:t>
      </w:r>
      <w:r w:rsidRPr="002F50BD">
        <w:rPr>
          <w:rFonts w:ascii="Verdana" w:hAnsi="Verdana"/>
          <w:sz w:val="20"/>
          <w:lang w:val="pt-BR"/>
        </w:rPr>
        <w:t xml:space="preserve">presente </w:t>
      </w:r>
      <w:r w:rsidR="0089298C" w:rsidRPr="002F50BD">
        <w:rPr>
          <w:rFonts w:ascii="Verdana" w:hAnsi="Verdana"/>
          <w:sz w:val="20"/>
          <w:lang w:val="pt-BR"/>
        </w:rPr>
        <w:t>Sentença</w:t>
      </w:r>
      <w:r w:rsidR="00D95E71" w:rsidRPr="002F50BD">
        <w:rPr>
          <w:rFonts w:ascii="Verdana" w:hAnsi="Verdana"/>
          <w:sz w:val="20"/>
          <w:lang w:val="pt-BR"/>
        </w:rPr>
        <w:t xml:space="preserve">. O </w:t>
      </w:r>
      <w:r w:rsidRPr="002F50BD">
        <w:rPr>
          <w:rFonts w:ascii="Verdana" w:hAnsi="Verdana"/>
          <w:sz w:val="20"/>
          <w:lang w:val="pt-BR"/>
        </w:rPr>
        <w:t xml:space="preserve">caso se dará por </w:t>
      </w:r>
      <w:r w:rsidR="00AE379B" w:rsidRPr="002F50BD">
        <w:rPr>
          <w:rFonts w:ascii="Verdana" w:hAnsi="Verdana"/>
          <w:sz w:val="20"/>
          <w:lang w:val="pt-BR"/>
        </w:rPr>
        <w:t xml:space="preserve">concluído </w:t>
      </w:r>
      <w:r w:rsidR="0089298C" w:rsidRPr="002F50BD">
        <w:rPr>
          <w:rFonts w:ascii="Verdana" w:hAnsi="Verdana"/>
          <w:sz w:val="20"/>
          <w:lang w:val="pt-BR"/>
        </w:rPr>
        <w:t xml:space="preserve">uma </w:t>
      </w:r>
      <w:r w:rsidRPr="002F50BD">
        <w:rPr>
          <w:rFonts w:ascii="Verdana" w:hAnsi="Verdana"/>
          <w:sz w:val="20"/>
          <w:lang w:val="pt-BR"/>
        </w:rPr>
        <w:t>vez que</w:t>
      </w:r>
      <w:r w:rsidR="0089298C" w:rsidRPr="002F50BD">
        <w:rPr>
          <w:rFonts w:ascii="Verdana" w:hAnsi="Verdana"/>
          <w:sz w:val="20"/>
          <w:lang w:val="pt-BR"/>
        </w:rPr>
        <w:t xml:space="preserve"> o </w:t>
      </w:r>
      <w:r w:rsidRPr="002F50BD">
        <w:rPr>
          <w:rFonts w:ascii="Verdana" w:hAnsi="Verdana"/>
          <w:sz w:val="20"/>
          <w:lang w:val="pt-BR"/>
        </w:rPr>
        <w:t>Estado</w:t>
      </w:r>
      <w:r w:rsidR="0089298C" w:rsidRPr="002F50BD">
        <w:rPr>
          <w:rFonts w:ascii="Verdana" w:hAnsi="Verdana"/>
          <w:sz w:val="20"/>
          <w:lang w:val="pt-BR"/>
        </w:rPr>
        <w:t xml:space="preserve"> tenha </w:t>
      </w:r>
      <w:r w:rsidRPr="002F50BD">
        <w:rPr>
          <w:rFonts w:ascii="Verdana" w:hAnsi="Verdana"/>
          <w:sz w:val="20"/>
          <w:lang w:val="pt-BR"/>
        </w:rPr>
        <w:t xml:space="preserve">dado cabal </w:t>
      </w:r>
      <w:r w:rsidR="0089298C" w:rsidRPr="002F50BD">
        <w:rPr>
          <w:rFonts w:ascii="Verdana" w:hAnsi="Verdana"/>
          <w:sz w:val="20"/>
          <w:lang w:val="pt-BR"/>
        </w:rPr>
        <w:t>cumprimento ao dispost</w:t>
      </w:r>
      <w:r w:rsidRPr="002F50BD">
        <w:rPr>
          <w:rFonts w:ascii="Verdana" w:hAnsi="Verdana"/>
          <w:sz w:val="20"/>
          <w:lang w:val="pt-BR"/>
        </w:rPr>
        <w:t>o</w:t>
      </w:r>
      <w:r w:rsidR="0089298C" w:rsidRPr="002F50BD">
        <w:rPr>
          <w:rFonts w:ascii="Verdana" w:hAnsi="Verdana"/>
          <w:sz w:val="20"/>
          <w:lang w:val="pt-BR"/>
        </w:rPr>
        <w:t xml:space="preserve"> n</w:t>
      </w:r>
      <w:r w:rsidR="00AE379B" w:rsidRPr="002F50BD">
        <w:rPr>
          <w:rFonts w:ascii="Verdana" w:hAnsi="Verdana"/>
          <w:sz w:val="20"/>
          <w:lang w:val="pt-BR"/>
        </w:rPr>
        <w:t>a</w:t>
      </w:r>
      <w:r w:rsidR="0089298C" w:rsidRPr="002F50BD">
        <w:rPr>
          <w:rFonts w:ascii="Verdana" w:hAnsi="Verdana"/>
          <w:sz w:val="20"/>
          <w:lang w:val="pt-BR"/>
        </w:rPr>
        <w:t xml:space="preserve"> </w:t>
      </w:r>
      <w:r w:rsidRPr="002F50BD">
        <w:rPr>
          <w:rFonts w:ascii="Verdana" w:hAnsi="Verdana"/>
          <w:sz w:val="20"/>
          <w:lang w:val="pt-BR"/>
        </w:rPr>
        <w:t xml:space="preserve">presente </w:t>
      </w:r>
      <w:r w:rsidR="0089298C" w:rsidRPr="002F50BD">
        <w:rPr>
          <w:rFonts w:ascii="Verdana" w:hAnsi="Verdana"/>
          <w:sz w:val="20"/>
          <w:lang w:val="pt-BR"/>
        </w:rPr>
        <w:t>decisão</w:t>
      </w:r>
      <w:r w:rsidRPr="002F50BD">
        <w:rPr>
          <w:rFonts w:ascii="Verdana" w:hAnsi="Verdana"/>
          <w:sz w:val="20"/>
          <w:lang w:val="pt-BR"/>
        </w:rPr>
        <w:t xml:space="preserve">. Dentro </w:t>
      </w:r>
      <w:r w:rsidR="0089298C" w:rsidRPr="002F50BD">
        <w:rPr>
          <w:rFonts w:ascii="Verdana" w:hAnsi="Verdana"/>
          <w:sz w:val="20"/>
          <w:lang w:val="pt-BR"/>
        </w:rPr>
        <w:t>do prazo</w:t>
      </w:r>
      <w:r w:rsidRPr="002F50BD">
        <w:rPr>
          <w:rFonts w:ascii="Verdana" w:hAnsi="Verdana"/>
          <w:sz w:val="20"/>
          <w:lang w:val="pt-BR"/>
        </w:rPr>
        <w:t xml:space="preserve"> de</w:t>
      </w:r>
      <w:r w:rsidR="0089298C" w:rsidRPr="002F50BD">
        <w:rPr>
          <w:rFonts w:ascii="Verdana" w:hAnsi="Verdana"/>
          <w:sz w:val="20"/>
          <w:lang w:val="pt-BR"/>
        </w:rPr>
        <w:t xml:space="preserve"> um ano,</w:t>
      </w:r>
      <w:r w:rsidRPr="002F50BD">
        <w:rPr>
          <w:rFonts w:ascii="Verdana" w:hAnsi="Verdana"/>
          <w:sz w:val="20"/>
          <w:lang w:val="pt-BR"/>
        </w:rPr>
        <w:t xml:space="preserve"> contado a partir</w:t>
      </w:r>
      <w:r w:rsidR="0089298C" w:rsidRPr="002F50BD">
        <w:rPr>
          <w:rFonts w:ascii="Verdana" w:hAnsi="Verdana"/>
          <w:sz w:val="20"/>
          <w:lang w:val="pt-BR"/>
        </w:rPr>
        <w:t xml:space="preserve"> da </w:t>
      </w:r>
      <w:r w:rsidRPr="002F50BD">
        <w:rPr>
          <w:rFonts w:ascii="Verdana" w:hAnsi="Verdana"/>
          <w:sz w:val="20"/>
          <w:lang w:val="pt-BR"/>
        </w:rPr>
        <w:t>notifica</w:t>
      </w:r>
      <w:r w:rsidR="0089298C" w:rsidRPr="002F50BD">
        <w:rPr>
          <w:rFonts w:ascii="Verdana" w:hAnsi="Verdana"/>
          <w:sz w:val="20"/>
          <w:lang w:val="pt-BR"/>
        </w:rPr>
        <w:t>ção desta Sentença</w:t>
      </w:r>
      <w:r w:rsidRPr="002F50BD">
        <w:rPr>
          <w:rFonts w:ascii="Verdana" w:hAnsi="Verdana"/>
          <w:sz w:val="20"/>
          <w:lang w:val="pt-BR"/>
        </w:rPr>
        <w:t xml:space="preserve">, </w:t>
      </w:r>
      <w:r w:rsidR="00AE379B" w:rsidRPr="002F50BD">
        <w:rPr>
          <w:rFonts w:ascii="Verdana" w:hAnsi="Verdana"/>
          <w:sz w:val="20"/>
          <w:lang w:val="pt-BR"/>
        </w:rPr>
        <w:t xml:space="preserve">o </w:t>
      </w:r>
      <w:r w:rsidR="0089298C" w:rsidRPr="002F50BD">
        <w:rPr>
          <w:rFonts w:ascii="Verdana" w:hAnsi="Verdana"/>
          <w:sz w:val="20"/>
          <w:lang w:val="pt-BR"/>
        </w:rPr>
        <w:t>Paraguai</w:t>
      </w:r>
      <w:r w:rsidRPr="002F50BD">
        <w:rPr>
          <w:rFonts w:ascii="Verdana" w:hAnsi="Verdana"/>
          <w:sz w:val="20"/>
          <w:lang w:val="pt-BR"/>
        </w:rPr>
        <w:t xml:space="preserve"> </w:t>
      </w:r>
      <w:r w:rsidR="0089298C" w:rsidRPr="002F50BD">
        <w:rPr>
          <w:rFonts w:ascii="Verdana" w:hAnsi="Verdana"/>
          <w:sz w:val="20"/>
          <w:lang w:val="pt-BR"/>
        </w:rPr>
        <w:t>dever</w:t>
      </w:r>
      <w:r w:rsidRPr="002F50BD">
        <w:rPr>
          <w:rFonts w:ascii="Verdana" w:hAnsi="Verdana"/>
          <w:sz w:val="20"/>
          <w:lang w:val="pt-BR"/>
        </w:rPr>
        <w:t xml:space="preserve">á </w:t>
      </w:r>
      <w:r w:rsidR="00AE379B" w:rsidRPr="002F50BD">
        <w:rPr>
          <w:rFonts w:ascii="Verdana" w:hAnsi="Verdana"/>
          <w:sz w:val="20"/>
          <w:lang w:val="pt-BR"/>
        </w:rPr>
        <w:t xml:space="preserve">apresentar </w:t>
      </w:r>
      <w:r w:rsidR="0089298C" w:rsidRPr="002F50BD">
        <w:rPr>
          <w:rFonts w:ascii="Verdana" w:hAnsi="Verdana"/>
          <w:sz w:val="20"/>
          <w:lang w:val="pt-BR"/>
        </w:rPr>
        <w:t xml:space="preserve">à </w:t>
      </w:r>
      <w:r w:rsidRPr="002F50BD">
        <w:rPr>
          <w:rFonts w:ascii="Verdana" w:hAnsi="Verdana"/>
          <w:sz w:val="20"/>
          <w:lang w:val="pt-BR"/>
        </w:rPr>
        <w:t>Corte</w:t>
      </w:r>
      <w:r w:rsidR="0089298C" w:rsidRPr="002F50BD">
        <w:rPr>
          <w:rFonts w:ascii="Verdana" w:hAnsi="Verdana"/>
          <w:sz w:val="20"/>
          <w:lang w:val="pt-BR"/>
        </w:rPr>
        <w:t xml:space="preserve"> um primeiro relatório </w:t>
      </w:r>
      <w:r w:rsidRPr="002F50BD">
        <w:rPr>
          <w:rFonts w:ascii="Verdana" w:hAnsi="Verdana"/>
          <w:sz w:val="20"/>
          <w:lang w:val="pt-BR"/>
        </w:rPr>
        <w:t>sobre</w:t>
      </w:r>
      <w:r w:rsidR="0089298C" w:rsidRPr="002F50BD">
        <w:rPr>
          <w:rFonts w:ascii="Verdana" w:hAnsi="Verdana"/>
          <w:sz w:val="20"/>
          <w:lang w:val="pt-BR"/>
        </w:rPr>
        <w:t xml:space="preserve"> as </w:t>
      </w:r>
      <w:r w:rsidRPr="002F50BD">
        <w:rPr>
          <w:rFonts w:ascii="Verdana" w:hAnsi="Verdana"/>
          <w:sz w:val="20"/>
          <w:lang w:val="pt-BR"/>
        </w:rPr>
        <w:t>medidas tomadas para dar</w:t>
      </w:r>
      <w:r w:rsidR="00AE379B" w:rsidRPr="002F50BD">
        <w:rPr>
          <w:rFonts w:ascii="Verdana" w:hAnsi="Verdana"/>
          <w:sz w:val="20"/>
          <w:lang w:val="pt-BR"/>
        </w:rPr>
        <w:t>-</w:t>
      </w:r>
      <w:r w:rsidRPr="002F50BD">
        <w:rPr>
          <w:rFonts w:ascii="Verdana" w:hAnsi="Verdana"/>
          <w:sz w:val="20"/>
          <w:lang w:val="pt-BR"/>
        </w:rPr>
        <w:t>l</w:t>
      </w:r>
      <w:r w:rsidR="00AE379B" w:rsidRPr="002F50BD">
        <w:rPr>
          <w:rFonts w:ascii="Verdana" w:hAnsi="Verdana"/>
          <w:sz w:val="20"/>
          <w:lang w:val="pt-BR"/>
        </w:rPr>
        <w:t>h</w:t>
      </w:r>
      <w:r w:rsidRPr="002F50BD">
        <w:rPr>
          <w:rFonts w:ascii="Verdana" w:hAnsi="Verdana"/>
          <w:sz w:val="20"/>
          <w:lang w:val="pt-BR"/>
        </w:rPr>
        <w:t xml:space="preserve">e </w:t>
      </w:r>
      <w:r w:rsidR="0089298C" w:rsidRPr="002F50BD">
        <w:rPr>
          <w:rFonts w:ascii="Verdana" w:hAnsi="Verdana"/>
          <w:sz w:val="20"/>
          <w:lang w:val="pt-BR"/>
        </w:rPr>
        <w:t>cumprimento</w:t>
      </w:r>
      <w:r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p>
    <w:p w:rsidR="004756C1" w:rsidRPr="002F50BD" w:rsidRDefault="004756C1">
      <w:pPr>
        <w:pStyle w:val="BodyText2"/>
        <w:jc w:val="center"/>
        <w:rPr>
          <w:rFonts w:ascii="Verdana" w:hAnsi="Verdana"/>
          <w:b/>
          <w:smallCaps/>
          <w:sz w:val="20"/>
          <w:lang w:val="pt-BR"/>
        </w:rPr>
      </w:pPr>
      <w:r w:rsidRPr="002F50BD">
        <w:rPr>
          <w:rFonts w:ascii="Verdana" w:hAnsi="Verdana"/>
          <w:b/>
          <w:smallCaps/>
          <w:sz w:val="20"/>
          <w:lang w:val="pt-BR"/>
        </w:rPr>
        <w:t>XIV</w:t>
      </w:r>
    </w:p>
    <w:p w:rsidR="004756C1" w:rsidRPr="002F50BD" w:rsidRDefault="0089298C">
      <w:pPr>
        <w:pStyle w:val="BodyText2"/>
        <w:jc w:val="center"/>
        <w:rPr>
          <w:rFonts w:ascii="Verdana" w:hAnsi="Verdana"/>
          <w:b/>
          <w:smallCaps/>
          <w:sz w:val="20"/>
          <w:lang w:val="pt-BR"/>
        </w:rPr>
      </w:pPr>
      <w:r w:rsidRPr="002F50BD">
        <w:rPr>
          <w:rFonts w:ascii="Verdana" w:hAnsi="Verdana"/>
          <w:b/>
          <w:smallCaps/>
          <w:sz w:val="20"/>
          <w:lang w:val="pt-BR"/>
        </w:rPr>
        <w:t>Pontos</w:t>
      </w:r>
      <w:r w:rsidR="004756C1" w:rsidRPr="002F50BD">
        <w:rPr>
          <w:rFonts w:ascii="Verdana" w:hAnsi="Verdana"/>
          <w:b/>
          <w:smallCaps/>
          <w:sz w:val="20"/>
          <w:lang w:val="pt-BR"/>
        </w:rPr>
        <w:t xml:space="preserve"> Resolutivos</w:t>
      </w:r>
    </w:p>
    <w:p w:rsidR="004756C1" w:rsidRPr="002F50BD" w:rsidRDefault="004756C1">
      <w:pPr>
        <w:pStyle w:val="BodyText2"/>
        <w:rPr>
          <w:rFonts w:ascii="Verdana" w:hAnsi="Verdana"/>
          <w:sz w:val="20"/>
          <w:lang w:val="pt-BR"/>
        </w:rPr>
      </w:pPr>
    </w:p>
    <w:p w:rsidR="004756C1" w:rsidRPr="002F50BD" w:rsidRDefault="004756C1">
      <w:pPr>
        <w:pStyle w:val="BodyText2"/>
        <w:rPr>
          <w:rFonts w:ascii="Verdana" w:hAnsi="Verdana"/>
          <w:sz w:val="20"/>
          <w:lang w:val="pt-BR"/>
        </w:rPr>
      </w:pPr>
    </w:p>
    <w:p w:rsidR="004756C1" w:rsidRPr="002F50BD" w:rsidRDefault="00063B47">
      <w:pPr>
        <w:pStyle w:val="BodyText2"/>
        <w:rPr>
          <w:rFonts w:ascii="Verdana" w:hAnsi="Verdana"/>
          <w:sz w:val="20"/>
          <w:lang w:val="pt-BR"/>
        </w:rPr>
      </w:pPr>
      <w:r w:rsidRPr="002F50BD">
        <w:rPr>
          <w:rFonts w:ascii="Verdana" w:hAnsi="Verdana"/>
          <w:sz w:val="20"/>
          <w:lang w:val="pt-BR"/>
        </w:rPr>
        <w:t>242</w:t>
      </w:r>
      <w:r w:rsidR="004756C1" w:rsidRPr="002F50BD">
        <w:rPr>
          <w:rFonts w:ascii="Verdana" w:hAnsi="Verdana"/>
          <w:sz w:val="20"/>
          <w:lang w:val="pt-BR"/>
        </w:rPr>
        <w:t xml:space="preserve">. </w:t>
      </w:r>
      <w:r w:rsidR="004756C1" w:rsidRPr="002F50BD">
        <w:rPr>
          <w:rFonts w:ascii="Verdana" w:hAnsi="Verdana"/>
          <w:sz w:val="20"/>
          <w:lang w:val="pt-BR"/>
        </w:rPr>
        <w:tab/>
      </w:r>
      <w:r w:rsidR="00AB454A" w:rsidRPr="002F50BD">
        <w:rPr>
          <w:rFonts w:ascii="Verdana" w:hAnsi="Verdana"/>
          <w:sz w:val="20"/>
          <w:lang w:val="pt-BR"/>
        </w:rPr>
        <w:t>Portanto,</w:t>
      </w:r>
      <w:r w:rsidR="004756C1" w:rsidRPr="002F50BD">
        <w:rPr>
          <w:rFonts w:ascii="Verdana" w:hAnsi="Verdana"/>
          <w:sz w:val="20"/>
          <w:lang w:val="pt-BR"/>
        </w:rPr>
        <w:t xml:space="preserve"> </w:t>
      </w:r>
    </w:p>
    <w:p w:rsidR="004756C1" w:rsidRPr="002F50BD" w:rsidRDefault="004756C1">
      <w:pPr>
        <w:pStyle w:val="BodyText2"/>
        <w:rPr>
          <w:rFonts w:ascii="Verdana" w:hAnsi="Verdana"/>
          <w:sz w:val="20"/>
          <w:lang w:val="pt-BR"/>
        </w:rPr>
      </w:pPr>
    </w:p>
    <w:p w:rsidR="004756C1" w:rsidRPr="002F50BD" w:rsidRDefault="0089298C" w:rsidP="00AE379B">
      <w:pPr>
        <w:ind w:left="720"/>
        <w:jc w:val="both"/>
        <w:rPr>
          <w:rFonts w:ascii="Verdana" w:hAnsi="Verdana"/>
          <w:b/>
          <w:sz w:val="20"/>
          <w:lang w:val="pt-BR"/>
        </w:rPr>
      </w:pPr>
      <w:r w:rsidRPr="002F50BD">
        <w:rPr>
          <w:rFonts w:ascii="Verdana" w:hAnsi="Verdana"/>
          <w:sz w:val="20"/>
          <w:lang w:val="pt-BR"/>
        </w:rPr>
        <w:cr/>
      </w:r>
      <w:r w:rsidRPr="002F50BD">
        <w:rPr>
          <w:rFonts w:ascii="Verdana" w:hAnsi="Verdana"/>
          <w:b/>
          <w:sz w:val="20"/>
          <w:lang w:val="pt-BR"/>
        </w:rPr>
        <w:t xml:space="preserve">A </w:t>
      </w:r>
      <w:r w:rsidR="004756C1" w:rsidRPr="002F50BD">
        <w:rPr>
          <w:rFonts w:ascii="Verdana" w:hAnsi="Verdana"/>
          <w:b/>
          <w:sz w:val="20"/>
          <w:lang w:val="pt-BR"/>
        </w:rPr>
        <w:t xml:space="preserve">CORTE, </w:t>
      </w:r>
    </w:p>
    <w:p w:rsidR="004756C1" w:rsidRPr="002F50BD" w:rsidRDefault="004756C1">
      <w:pPr>
        <w:jc w:val="both"/>
        <w:rPr>
          <w:rFonts w:ascii="Verdana" w:hAnsi="Verdana"/>
          <w:b/>
          <w:sz w:val="20"/>
          <w:lang w:val="pt-BR"/>
        </w:rPr>
      </w:pPr>
    </w:p>
    <w:p w:rsidR="004756C1" w:rsidRPr="002F50BD" w:rsidRDefault="004756C1">
      <w:pPr>
        <w:jc w:val="both"/>
        <w:rPr>
          <w:rFonts w:ascii="Verdana" w:hAnsi="Verdana"/>
          <w:b/>
          <w:sz w:val="20"/>
          <w:lang w:val="pt-BR"/>
        </w:rPr>
      </w:pPr>
    </w:p>
    <w:p w:rsidR="004756C1" w:rsidRPr="002F50BD" w:rsidRDefault="004756C1">
      <w:pPr>
        <w:pStyle w:val="Lneadereferencia"/>
        <w:rPr>
          <w:rFonts w:ascii="Verdana" w:hAnsi="Verdana"/>
          <w:sz w:val="20"/>
          <w:lang w:val="pt-BR"/>
        </w:rPr>
      </w:pPr>
      <w:r w:rsidRPr="002F50BD">
        <w:rPr>
          <w:rFonts w:ascii="Verdana" w:hAnsi="Verdana"/>
          <w:sz w:val="20"/>
          <w:lang w:val="pt-BR"/>
        </w:rPr>
        <w:t>DECLARA QUE:</w:t>
      </w:r>
    </w:p>
    <w:p w:rsidR="004756C1" w:rsidRPr="002F50BD" w:rsidRDefault="004756C1">
      <w:pPr>
        <w:pStyle w:val="Lneadereferencia"/>
        <w:rPr>
          <w:rFonts w:ascii="Verdana" w:hAnsi="Verdana"/>
          <w:sz w:val="20"/>
          <w:lang w:val="pt-BR"/>
        </w:rPr>
      </w:pPr>
    </w:p>
    <w:p w:rsidR="004756C1" w:rsidRPr="002F50BD" w:rsidRDefault="004756C1">
      <w:pPr>
        <w:pStyle w:val="Lneadereferencia"/>
        <w:rPr>
          <w:rFonts w:ascii="Verdana" w:hAnsi="Verdana"/>
          <w:sz w:val="20"/>
          <w:lang w:val="pt-BR"/>
        </w:rPr>
      </w:pPr>
    </w:p>
    <w:p w:rsidR="004756C1" w:rsidRPr="002F50BD" w:rsidRDefault="004756C1">
      <w:pPr>
        <w:pStyle w:val="Lneadereferencia"/>
        <w:rPr>
          <w:rFonts w:ascii="Verdana" w:hAnsi="Verdana"/>
          <w:sz w:val="20"/>
          <w:lang w:val="pt-BR"/>
        </w:rPr>
      </w:pPr>
      <w:r w:rsidRPr="002F50BD">
        <w:rPr>
          <w:rFonts w:ascii="Verdana" w:hAnsi="Verdana"/>
          <w:sz w:val="20"/>
          <w:lang w:val="pt-BR"/>
        </w:rPr>
        <w:t xml:space="preserve">Por </w:t>
      </w:r>
      <w:r w:rsidR="0089298C" w:rsidRPr="002F50BD">
        <w:rPr>
          <w:rFonts w:ascii="Verdana" w:hAnsi="Verdana"/>
          <w:sz w:val="20"/>
          <w:lang w:val="pt-BR"/>
        </w:rPr>
        <w:t xml:space="preserve">sete </w:t>
      </w:r>
      <w:r w:rsidRPr="002F50BD">
        <w:rPr>
          <w:rFonts w:ascii="Verdana" w:hAnsi="Verdana"/>
          <w:sz w:val="20"/>
          <w:lang w:val="pt-BR"/>
        </w:rPr>
        <w:t xml:space="preserve">votos </w:t>
      </w:r>
      <w:r w:rsidR="00AE379B" w:rsidRPr="002F50BD">
        <w:rPr>
          <w:rFonts w:ascii="Verdana" w:hAnsi="Verdana"/>
          <w:sz w:val="20"/>
          <w:lang w:val="pt-BR"/>
        </w:rPr>
        <w:t>a</w:t>
      </w:r>
      <w:r w:rsidRPr="002F50BD">
        <w:rPr>
          <w:rFonts w:ascii="Verdana" w:hAnsi="Verdana"/>
          <w:sz w:val="20"/>
          <w:lang w:val="pt-BR"/>
        </w:rPr>
        <w:t xml:space="preserve"> u</w:t>
      </w:r>
      <w:r w:rsidR="00AE379B" w:rsidRPr="002F50BD">
        <w:rPr>
          <w:rFonts w:ascii="Verdana" w:hAnsi="Verdana"/>
          <w:sz w:val="20"/>
          <w:lang w:val="pt-BR"/>
        </w:rPr>
        <w:t>m</w:t>
      </w:r>
      <w:r w:rsidRPr="002F50BD">
        <w:rPr>
          <w:rFonts w:ascii="Verdana" w:hAnsi="Verdana"/>
          <w:sz w:val="20"/>
          <w:lang w:val="pt-BR"/>
        </w:rPr>
        <w:t>,</w:t>
      </w:r>
    </w:p>
    <w:p w:rsidR="004756C1" w:rsidRPr="002F50BD" w:rsidRDefault="004756C1">
      <w:pPr>
        <w:pStyle w:val="Lneadereferencia"/>
        <w:rPr>
          <w:rFonts w:ascii="Verdana" w:hAnsi="Verdana"/>
          <w:sz w:val="20"/>
          <w:lang w:val="pt-BR"/>
        </w:rPr>
      </w:pPr>
    </w:p>
    <w:p w:rsidR="004756C1" w:rsidRPr="002F50BD" w:rsidRDefault="00063B47">
      <w:pPr>
        <w:pStyle w:val="Lneadereferencia"/>
        <w:tabs>
          <w:tab w:val="left" w:pos="720"/>
        </w:tabs>
        <w:rPr>
          <w:rFonts w:ascii="Verdana" w:hAnsi="Verdana"/>
          <w:sz w:val="20"/>
          <w:lang w:val="pt-BR"/>
        </w:rPr>
      </w:pPr>
      <w:r w:rsidRPr="002F50BD">
        <w:rPr>
          <w:rFonts w:ascii="Verdana" w:hAnsi="Verdana"/>
          <w:sz w:val="20"/>
          <w:lang w:val="pt-BR"/>
        </w:rPr>
        <w:t>1</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violou os direito</w:t>
      </w:r>
      <w:r w:rsidR="004756C1" w:rsidRPr="002F50BD">
        <w:rPr>
          <w:rFonts w:ascii="Verdana" w:hAnsi="Verdana"/>
          <w:sz w:val="20"/>
          <w:lang w:val="pt-BR"/>
        </w:rPr>
        <w:t>s</w:t>
      </w:r>
      <w:r w:rsidR="0089298C" w:rsidRPr="002F50BD">
        <w:rPr>
          <w:rFonts w:ascii="Verdana" w:hAnsi="Verdana"/>
          <w:sz w:val="20"/>
          <w:lang w:val="pt-BR"/>
        </w:rPr>
        <w:t xml:space="preserve"> às Garantias</w:t>
      </w:r>
      <w:r w:rsidR="004756C1" w:rsidRPr="002F50BD">
        <w:rPr>
          <w:rFonts w:ascii="Verdana" w:hAnsi="Verdana"/>
          <w:sz w:val="20"/>
          <w:lang w:val="pt-BR"/>
        </w:rPr>
        <w:t xml:space="preserve"> </w:t>
      </w:r>
      <w:r w:rsidR="0089298C" w:rsidRPr="002F50BD">
        <w:rPr>
          <w:rFonts w:ascii="Verdana" w:hAnsi="Verdana"/>
          <w:sz w:val="20"/>
          <w:lang w:val="pt-BR"/>
        </w:rPr>
        <w:t>Judiciais e à Proteção</w:t>
      </w:r>
      <w:r w:rsidR="004756C1" w:rsidRPr="002F50BD">
        <w:rPr>
          <w:rFonts w:ascii="Verdana" w:hAnsi="Verdana"/>
          <w:sz w:val="20"/>
          <w:lang w:val="pt-BR"/>
        </w:rPr>
        <w:t xml:space="preserve"> Judicial consagrados</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8</w:t>
      </w:r>
      <w:r w:rsidR="0089298C" w:rsidRPr="002F50BD">
        <w:rPr>
          <w:rFonts w:ascii="Verdana" w:hAnsi="Verdana"/>
          <w:sz w:val="20"/>
          <w:lang w:val="pt-BR"/>
        </w:rPr>
        <w:t xml:space="preserve"> e </w:t>
      </w:r>
      <w:r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AE379B" w:rsidRPr="002F50BD">
        <w:rPr>
          <w:rFonts w:ascii="Verdana" w:hAnsi="Verdana"/>
          <w:sz w:val="20"/>
          <w:lang w:val="pt-BR"/>
        </w:rPr>
        <w:t>a</w:t>
      </w:r>
      <w:r w:rsidR="0089298C" w:rsidRPr="002F50BD">
        <w:rPr>
          <w:rFonts w:ascii="Verdana" w:hAnsi="Verdana"/>
          <w:sz w:val="20"/>
          <w:lang w:val="pt-BR"/>
        </w:rPr>
        <w:t>os artigo</w:t>
      </w:r>
      <w:r w:rsidR="004756C1" w:rsidRPr="002F50BD">
        <w:rPr>
          <w:rFonts w:ascii="Verdana" w:hAnsi="Verdana"/>
          <w:sz w:val="20"/>
          <w:lang w:val="pt-BR"/>
        </w:rPr>
        <w:t xml:space="preserve">s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w:t>
      </w:r>
      <w:r w:rsidR="0089298C" w:rsidRPr="002F50BD">
        <w:rPr>
          <w:rFonts w:ascii="Verdana" w:hAnsi="Verdana"/>
          <w:sz w:val="20"/>
          <w:lang w:val="pt-BR"/>
        </w:rPr>
        <w:t xml:space="preserve"> e </w:t>
      </w:r>
      <w:r w:rsidRPr="002F50BD">
        <w:rPr>
          <w:rFonts w:ascii="Verdana" w:hAnsi="Verdana"/>
          <w:sz w:val="20"/>
          <w:lang w:val="pt-BR"/>
        </w:rPr>
        <w:t>2</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AE379B" w:rsidRPr="002F50BD">
        <w:rPr>
          <w:rFonts w:ascii="Verdana" w:hAnsi="Verdana"/>
          <w:sz w:val="20"/>
          <w:lang w:val="pt-BR"/>
        </w:rPr>
        <w:t xml:space="preserve">detrimento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55</w:t>
      </w:r>
      <w:r w:rsidR="004756C1" w:rsidRPr="002F50BD">
        <w:rPr>
          <w:rFonts w:ascii="Verdana" w:hAnsi="Verdana"/>
          <w:sz w:val="20"/>
          <w:lang w:val="pt-BR"/>
        </w:rPr>
        <w:t xml:space="preserve"> a </w:t>
      </w:r>
      <w:r w:rsidRPr="002F50BD">
        <w:rPr>
          <w:rFonts w:ascii="Verdana" w:hAnsi="Verdana"/>
          <w:sz w:val="20"/>
          <w:lang w:val="pt-BR"/>
        </w:rPr>
        <w:t>119</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Lneadereferencia"/>
        <w:tabs>
          <w:tab w:val="left" w:pos="720"/>
        </w:tabs>
        <w:rPr>
          <w:rFonts w:ascii="Verdana" w:hAnsi="Verdana"/>
          <w:sz w:val="20"/>
          <w:lang w:val="pt-BR"/>
        </w:rPr>
      </w:pPr>
    </w:p>
    <w:p w:rsidR="004756C1" w:rsidRPr="002F50BD" w:rsidRDefault="004756C1">
      <w:pPr>
        <w:pStyle w:val="Lneadereferencia"/>
        <w:tabs>
          <w:tab w:val="left" w:pos="720"/>
        </w:tabs>
        <w:rPr>
          <w:rFonts w:ascii="Verdana" w:hAnsi="Verdana"/>
          <w:sz w:val="20"/>
          <w:lang w:val="pt-BR"/>
        </w:rPr>
      </w:pPr>
      <w:r w:rsidRPr="002F50BD">
        <w:rPr>
          <w:rFonts w:ascii="Verdana" w:hAnsi="Verdana"/>
          <w:sz w:val="20"/>
          <w:lang w:val="pt-BR"/>
        </w:rPr>
        <w:t>Dis</w:t>
      </w:r>
      <w:r w:rsidR="00AE379B" w:rsidRPr="002F50BD">
        <w:rPr>
          <w:rFonts w:ascii="Verdana" w:hAnsi="Verdana"/>
          <w:sz w:val="20"/>
          <w:lang w:val="pt-BR"/>
        </w:rPr>
        <w:t>s</w:t>
      </w:r>
      <w:r w:rsidRPr="002F50BD">
        <w:rPr>
          <w:rFonts w:ascii="Verdana" w:hAnsi="Verdana"/>
          <w:sz w:val="20"/>
          <w:lang w:val="pt-BR"/>
        </w:rPr>
        <w:t>ente parcialmente</w:t>
      </w:r>
      <w:r w:rsidR="0089298C" w:rsidRPr="002F50BD">
        <w:rPr>
          <w:rFonts w:ascii="Verdana" w:hAnsi="Verdana"/>
          <w:sz w:val="20"/>
          <w:lang w:val="pt-BR"/>
        </w:rPr>
        <w:t xml:space="preserve"> o Juiz</w:t>
      </w:r>
      <w:r w:rsidRPr="002F50BD">
        <w:rPr>
          <w:rFonts w:ascii="Verdana" w:hAnsi="Verdana"/>
          <w:sz w:val="20"/>
          <w:lang w:val="pt-BR"/>
        </w:rPr>
        <w:t xml:space="preserve"> Ramón Fogel Pedroso.</w:t>
      </w:r>
    </w:p>
    <w:p w:rsidR="004756C1" w:rsidRPr="002F50BD" w:rsidRDefault="004756C1">
      <w:pPr>
        <w:pStyle w:val="BodyText"/>
        <w:tabs>
          <w:tab w:val="left" w:pos="720"/>
        </w:tabs>
        <w:rPr>
          <w:rFonts w:ascii="Verdana" w:hAnsi="Verdana"/>
          <w:sz w:val="20"/>
          <w:lang w:val="pt-BR"/>
        </w:rPr>
      </w:pPr>
    </w:p>
    <w:p w:rsidR="004756C1" w:rsidRPr="002F50BD" w:rsidRDefault="004756C1">
      <w:pPr>
        <w:pStyle w:val="Lneadereferencia"/>
        <w:rPr>
          <w:rFonts w:ascii="Verdana" w:hAnsi="Verdana"/>
          <w:sz w:val="20"/>
          <w:lang w:val="pt-BR"/>
        </w:rPr>
      </w:pPr>
      <w:r w:rsidRPr="002F50BD">
        <w:rPr>
          <w:rFonts w:ascii="Verdana" w:hAnsi="Verdana"/>
          <w:sz w:val="20"/>
          <w:lang w:val="pt-BR"/>
        </w:rPr>
        <w:t xml:space="preserve">Por </w:t>
      </w:r>
      <w:r w:rsidR="0089298C" w:rsidRPr="002F50BD">
        <w:rPr>
          <w:rFonts w:ascii="Verdana" w:hAnsi="Verdana"/>
          <w:sz w:val="20"/>
          <w:lang w:val="pt-BR"/>
        </w:rPr>
        <w:t xml:space="preserve">sete </w:t>
      </w:r>
      <w:r w:rsidRPr="002F50BD">
        <w:rPr>
          <w:rFonts w:ascii="Verdana" w:hAnsi="Verdana"/>
          <w:sz w:val="20"/>
          <w:lang w:val="pt-BR"/>
        </w:rPr>
        <w:t xml:space="preserve">votos </w:t>
      </w:r>
      <w:r w:rsidR="00AE379B" w:rsidRPr="002F50BD">
        <w:rPr>
          <w:rFonts w:ascii="Verdana" w:hAnsi="Verdana"/>
          <w:sz w:val="20"/>
          <w:lang w:val="pt-BR"/>
        </w:rPr>
        <w:t>a um</w:t>
      </w:r>
      <w:r w:rsidRPr="002F50BD">
        <w:rPr>
          <w:rFonts w:ascii="Verdana" w:hAnsi="Verdana"/>
          <w:sz w:val="20"/>
          <w:lang w:val="pt-BR"/>
        </w:rPr>
        <w:t>,</w:t>
      </w:r>
    </w:p>
    <w:p w:rsidR="004756C1" w:rsidRPr="002F50BD" w:rsidRDefault="004756C1">
      <w:pPr>
        <w:pStyle w:val="BodyText"/>
        <w:tabs>
          <w:tab w:val="left" w:pos="720"/>
        </w:tabs>
        <w:rPr>
          <w:rFonts w:ascii="Verdana" w:hAnsi="Verdana"/>
          <w:sz w:val="20"/>
          <w:lang w:val="pt-BR"/>
        </w:rPr>
      </w:pPr>
    </w:p>
    <w:p w:rsidR="004756C1" w:rsidRPr="002F50BD" w:rsidRDefault="00063B47">
      <w:pPr>
        <w:pStyle w:val="Lneadereferencia"/>
        <w:tabs>
          <w:tab w:val="left" w:pos="720"/>
        </w:tabs>
        <w:rPr>
          <w:rFonts w:ascii="Verdana" w:hAnsi="Verdana"/>
          <w:sz w:val="20"/>
          <w:lang w:val="pt-BR"/>
        </w:rPr>
      </w:pPr>
      <w:r w:rsidRPr="002F50BD">
        <w:rPr>
          <w:rFonts w:ascii="Verdana" w:hAnsi="Verdana"/>
          <w:sz w:val="20"/>
          <w:lang w:val="pt-BR"/>
        </w:rPr>
        <w:t>2</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 xml:space="preserve">violou o </w:t>
      </w:r>
      <w:r w:rsidR="00AE379B" w:rsidRPr="002F50BD">
        <w:rPr>
          <w:rFonts w:ascii="Verdana" w:hAnsi="Verdana"/>
          <w:sz w:val="20"/>
          <w:lang w:val="pt-BR"/>
        </w:rPr>
        <w:t>D</w:t>
      </w:r>
      <w:r w:rsidR="0089298C" w:rsidRPr="002F50BD">
        <w:rPr>
          <w:rFonts w:ascii="Verdana" w:hAnsi="Verdana"/>
          <w:sz w:val="20"/>
          <w:lang w:val="pt-BR"/>
        </w:rPr>
        <w:t xml:space="preserve">ireito à </w:t>
      </w:r>
      <w:r w:rsidR="00AE379B" w:rsidRPr="002F50BD">
        <w:rPr>
          <w:rFonts w:ascii="Verdana" w:hAnsi="Verdana"/>
          <w:sz w:val="20"/>
          <w:lang w:val="pt-BR"/>
        </w:rPr>
        <w:t>P</w:t>
      </w:r>
      <w:r w:rsidR="0089298C" w:rsidRPr="002F50BD">
        <w:rPr>
          <w:rFonts w:ascii="Verdana" w:hAnsi="Verdana"/>
          <w:sz w:val="20"/>
          <w:lang w:val="pt-BR"/>
        </w:rPr>
        <w:t>ropriedade</w:t>
      </w:r>
      <w:r w:rsidR="00AE379B" w:rsidRPr="002F50BD">
        <w:rPr>
          <w:rFonts w:ascii="Verdana" w:hAnsi="Verdana"/>
          <w:sz w:val="20"/>
          <w:lang w:val="pt-BR"/>
        </w:rPr>
        <w:t>,</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AE379B" w:rsidRPr="002F50BD">
        <w:rPr>
          <w:rFonts w:ascii="Verdana" w:hAnsi="Verdana"/>
          <w:sz w:val="20"/>
          <w:lang w:val="pt-BR"/>
        </w:rPr>
        <w:t>a</w:t>
      </w:r>
      <w:r w:rsidR="0089298C" w:rsidRPr="002F50BD">
        <w:rPr>
          <w:rFonts w:ascii="Verdana" w:hAnsi="Verdana"/>
          <w:sz w:val="20"/>
          <w:lang w:val="pt-BR"/>
        </w:rPr>
        <w:t>os artigo</w:t>
      </w:r>
      <w:r w:rsidR="004756C1" w:rsidRPr="002F50BD">
        <w:rPr>
          <w:rFonts w:ascii="Verdana" w:hAnsi="Verdana"/>
          <w:sz w:val="20"/>
          <w:lang w:val="pt-BR"/>
        </w:rPr>
        <w:t xml:space="preserve">s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e </w:t>
      </w:r>
      <w:r w:rsidRPr="002F50BD">
        <w:rPr>
          <w:rFonts w:ascii="Verdana" w:hAnsi="Verdana"/>
          <w:sz w:val="20"/>
          <w:lang w:val="pt-BR"/>
        </w:rPr>
        <w:t>2</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AE379B" w:rsidRPr="002F50BD">
        <w:rPr>
          <w:rFonts w:ascii="Verdana" w:hAnsi="Verdana"/>
          <w:sz w:val="20"/>
          <w:lang w:val="pt-BR"/>
        </w:rPr>
        <w:t xml:space="preserve">detrimento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123</w:t>
      </w:r>
      <w:r w:rsidR="004756C1" w:rsidRPr="002F50BD">
        <w:rPr>
          <w:rFonts w:ascii="Verdana" w:hAnsi="Verdana"/>
          <w:sz w:val="20"/>
          <w:lang w:val="pt-BR"/>
        </w:rPr>
        <w:t xml:space="preserve"> a </w:t>
      </w:r>
      <w:r w:rsidRPr="002F50BD">
        <w:rPr>
          <w:rFonts w:ascii="Verdana" w:hAnsi="Verdana"/>
          <w:sz w:val="20"/>
          <w:lang w:val="pt-BR"/>
        </w:rPr>
        <w:t>156</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Lneadereferencia"/>
        <w:tabs>
          <w:tab w:val="left" w:pos="720"/>
        </w:tabs>
        <w:rPr>
          <w:rFonts w:ascii="Verdana" w:hAnsi="Verdana"/>
          <w:sz w:val="20"/>
          <w:lang w:val="pt-BR"/>
        </w:rPr>
      </w:pPr>
    </w:p>
    <w:p w:rsidR="004756C1" w:rsidRPr="002F50BD" w:rsidRDefault="004756C1">
      <w:pPr>
        <w:pStyle w:val="Lneadereferencia"/>
        <w:tabs>
          <w:tab w:val="left" w:pos="720"/>
        </w:tabs>
        <w:rPr>
          <w:rFonts w:ascii="Verdana" w:hAnsi="Verdana"/>
          <w:sz w:val="20"/>
          <w:lang w:val="pt-BR"/>
        </w:rPr>
      </w:pPr>
      <w:r w:rsidRPr="002F50BD">
        <w:rPr>
          <w:rFonts w:ascii="Verdana" w:hAnsi="Verdana"/>
          <w:sz w:val="20"/>
          <w:lang w:val="pt-BR"/>
        </w:rPr>
        <w:t>Dis</w:t>
      </w:r>
      <w:r w:rsidR="00AE379B" w:rsidRPr="002F50BD">
        <w:rPr>
          <w:rFonts w:ascii="Verdana" w:hAnsi="Verdana"/>
          <w:sz w:val="20"/>
          <w:lang w:val="pt-BR"/>
        </w:rPr>
        <w:t>s</w:t>
      </w:r>
      <w:r w:rsidRPr="002F50BD">
        <w:rPr>
          <w:rFonts w:ascii="Verdana" w:hAnsi="Verdana"/>
          <w:sz w:val="20"/>
          <w:lang w:val="pt-BR"/>
        </w:rPr>
        <w:t>ente</w:t>
      </w:r>
      <w:r w:rsidR="0089298C" w:rsidRPr="002F50BD">
        <w:rPr>
          <w:rFonts w:ascii="Verdana" w:hAnsi="Verdana"/>
          <w:sz w:val="20"/>
          <w:lang w:val="pt-BR"/>
        </w:rPr>
        <w:t xml:space="preserve"> o Juiz</w:t>
      </w:r>
      <w:r w:rsidRPr="002F50BD">
        <w:rPr>
          <w:rFonts w:ascii="Verdana" w:hAnsi="Verdana"/>
          <w:sz w:val="20"/>
          <w:lang w:val="pt-BR"/>
        </w:rPr>
        <w:t xml:space="preserve"> Ramón Fogel Pedroso.</w:t>
      </w:r>
    </w:p>
    <w:p w:rsidR="004756C1" w:rsidRPr="002F50BD" w:rsidRDefault="004756C1">
      <w:pPr>
        <w:pStyle w:val="BodyText"/>
        <w:tabs>
          <w:tab w:val="left" w:pos="720"/>
        </w:tabs>
        <w:rPr>
          <w:rFonts w:ascii="Verdana" w:hAnsi="Verdana"/>
          <w:sz w:val="20"/>
          <w:lang w:val="pt-BR"/>
        </w:rPr>
      </w:pPr>
    </w:p>
    <w:p w:rsidR="004756C1" w:rsidRPr="002F50BD" w:rsidRDefault="004756C1">
      <w:pPr>
        <w:pStyle w:val="negritamayuscula"/>
        <w:tabs>
          <w:tab w:val="clear" w:pos="1120"/>
        </w:tabs>
        <w:spacing w:line="240" w:lineRule="auto"/>
        <w:rPr>
          <w:rFonts w:ascii="Verdana" w:hAnsi="Verdana"/>
          <w:sz w:val="20"/>
          <w:lang w:val="pt-BR"/>
        </w:rPr>
      </w:pPr>
      <w:r w:rsidRPr="002F50BD">
        <w:rPr>
          <w:rFonts w:ascii="Verdana" w:hAnsi="Verdana"/>
          <w:sz w:val="20"/>
          <w:lang w:val="pt-BR"/>
        </w:rPr>
        <w:t xml:space="preserve">Por </w:t>
      </w:r>
      <w:r w:rsidR="0089298C" w:rsidRPr="002F50BD">
        <w:rPr>
          <w:rFonts w:ascii="Verdana" w:hAnsi="Verdana"/>
          <w:sz w:val="20"/>
          <w:lang w:val="pt-BR"/>
        </w:rPr>
        <w:t>unanimidade,</w:t>
      </w:r>
    </w:p>
    <w:p w:rsidR="004756C1" w:rsidRPr="002F50BD" w:rsidRDefault="004756C1">
      <w:pPr>
        <w:pStyle w:val="negritamayuscula"/>
        <w:tabs>
          <w:tab w:val="clear" w:pos="1120"/>
        </w:tabs>
        <w:spacing w:line="240" w:lineRule="auto"/>
        <w:rPr>
          <w:rFonts w:ascii="Verdana" w:hAnsi="Verdana"/>
          <w:sz w:val="20"/>
          <w:lang w:val="pt-BR"/>
        </w:rPr>
      </w:pPr>
    </w:p>
    <w:p w:rsidR="004756C1" w:rsidRPr="002F50BD" w:rsidRDefault="00063B47">
      <w:pPr>
        <w:pStyle w:val="Lneadereferencia"/>
        <w:tabs>
          <w:tab w:val="left" w:pos="720"/>
        </w:tabs>
        <w:rPr>
          <w:rFonts w:ascii="Verdana" w:hAnsi="Verdana"/>
          <w:sz w:val="20"/>
          <w:lang w:val="pt-BR"/>
        </w:rPr>
      </w:pPr>
      <w:r w:rsidRPr="002F50BD">
        <w:rPr>
          <w:rFonts w:ascii="Verdana" w:hAnsi="Verdana"/>
          <w:sz w:val="20"/>
          <w:lang w:val="pt-BR"/>
        </w:rPr>
        <w:t>3</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 xml:space="preserve">violou o Direito à </w:t>
      </w:r>
      <w:r w:rsidR="004756C1" w:rsidRPr="002F50BD">
        <w:rPr>
          <w:rFonts w:ascii="Verdana" w:hAnsi="Verdana"/>
          <w:sz w:val="20"/>
          <w:lang w:val="pt-BR"/>
        </w:rPr>
        <w:t>Vida</w:t>
      </w:r>
      <w:r w:rsidR="00AE379B" w:rsidRPr="002F50BD">
        <w:rPr>
          <w:rFonts w:ascii="Verdana" w:hAnsi="Verdana"/>
          <w:sz w:val="20"/>
          <w:lang w:val="pt-BR"/>
        </w:rPr>
        <w:t>,</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w:t>
      </w:r>
      <w:r w:rsidR="00452B62" w:rsidRPr="002F50BD">
        <w:rPr>
          <w:rFonts w:ascii="Verdana" w:hAnsi="Verdana"/>
          <w:sz w:val="20"/>
          <w:lang w:val="pt-BR"/>
        </w:rPr>
        <w:t xml:space="preserve">em relação ao artigo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AE379B" w:rsidRPr="002F50BD">
        <w:rPr>
          <w:rFonts w:ascii="Verdana" w:hAnsi="Verdana"/>
          <w:sz w:val="20"/>
          <w:lang w:val="pt-BR"/>
        </w:rPr>
        <w:t>detrimento</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160</w:t>
      </w:r>
      <w:r w:rsidR="004756C1" w:rsidRPr="002F50BD">
        <w:rPr>
          <w:rFonts w:ascii="Verdana" w:hAnsi="Verdana"/>
          <w:sz w:val="20"/>
          <w:lang w:val="pt-BR"/>
        </w:rPr>
        <w:t xml:space="preserve"> a </w:t>
      </w:r>
      <w:r w:rsidRPr="002F50BD">
        <w:rPr>
          <w:rFonts w:ascii="Verdana" w:hAnsi="Verdana"/>
          <w:sz w:val="20"/>
          <w:lang w:val="pt-BR"/>
        </w:rPr>
        <w:t>176</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Lneadereferencia"/>
        <w:tabs>
          <w:tab w:val="left" w:pos="720"/>
        </w:tabs>
        <w:rPr>
          <w:rFonts w:ascii="Verdana" w:hAnsi="Verdana"/>
          <w:sz w:val="20"/>
          <w:lang w:val="pt-BR"/>
        </w:rPr>
      </w:pPr>
    </w:p>
    <w:p w:rsidR="004756C1" w:rsidRPr="002F50BD" w:rsidRDefault="004756C1">
      <w:pPr>
        <w:pStyle w:val="negritamayuscula"/>
        <w:tabs>
          <w:tab w:val="clear" w:pos="1120"/>
        </w:tabs>
        <w:spacing w:line="240" w:lineRule="auto"/>
        <w:rPr>
          <w:rFonts w:ascii="Verdana" w:hAnsi="Verdana"/>
          <w:sz w:val="20"/>
          <w:lang w:val="pt-BR"/>
        </w:rPr>
      </w:pPr>
      <w:r w:rsidRPr="002F50BD">
        <w:rPr>
          <w:rFonts w:ascii="Verdana" w:hAnsi="Verdana"/>
          <w:sz w:val="20"/>
          <w:lang w:val="pt-BR"/>
        </w:rPr>
        <w:t xml:space="preserve">Por cinco votos </w:t>
      </w:r>
      <w:r w:rsidR="00AE379B" w:rsidRPr="002F50BD">
        <w:rPr>
          <w:rFonts w:ascii="Verdana" w:hAnsi="Verdana"/>
          <w:sz w:val="20"/>
          <w:lang w:val="pt-BR"/>
        </w:rPr>
        <w:t>a três</w:t>
      </w:r>
      <w:r w:rsidRPr="002F50BD">
        <w:rPr>
          <w:rFonts w:ascii="Verdana" w:hAnsi="Verdana"/>
          <w:sz w:val="20"/>
          <w:lang w:val="pt-BR"/>
        </w:rPr>
        <w:t>,</w:t>
      </w:r>
    </w:p>
    <w:p w:rsidR="004756C1" w:rsidRPr="002F50BD" w:rsidRDefault="004756C1">
      <w:pPr>
        <w:pStyle w:val="Lneadereferencia"/>
        <w:tabs>
          <w:tab w:val="left" w:pos="720"/>
        </w:tabs>
        <w:rPr>
          <w:rFonts w:ascii="Verdana" w:hAnsi="Verdana"/>
          <w:sz w:val="20"/>
          <w:lang w:val="pt-BR"/>
        </w:rPr>
      </w:pPr>
    </w:p>
    <w:p w:rsidR="004756C1" w:rsidRPr="002F50BD" w:rsidRDefault="00063B47">
      <w:pPr>
        <w:pStyle w:val="Lneadereferencia"/>
        <w:tabs>
          <w:tab w:val="left" w:pos="720"/>
        </w:tabs>
        <w:rPr>
          <w:rFonts w:ascii="Verdana" w:hAnsi="Verdana"/>
          <w:sz w:val="20"/>
          <w:lang w:val="pt-BR"/>
        </w:rPr>
      </w:pPr>
      <w:r w:rsidRPr="002F50BD">
        <w:rPr>
          <w:rFonts w:ascii="Verdana" w:hAnsi="Verdana"/>
          <w:sz w:val="20"/>
          <w:lang w:val="pt-BR"/>
        </w:rPr>
        <w:t>4</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Não</w:t>
      </w:r>
      <w:r w:rsidR="0089298C" w:rsidRPr="002F50BD">
        <w:rPr>
          <w:rFonts w:ascii="Verdana" w:hAnsi="Verdana"/>
          <w:sz w:val="20"/>
          <w:lang w:val="pt-BR"/>
        </w:rPr>
        <w:t xml:space="preserve"> conta com </w:t>
      </w:r>
      <w:r w:rsidR="004756C1" w:rsidRPr="002F50BD">
        <w:rPr>
          <w:rFonts w:ascii="Verdana" w:hAnsi="Verdana"/>
          <w:sz w:val="20"/>
          <w:lang w:val="pt-BR"/>
        </w:rPr>
        <w:t xml:space="preserve">elementos </w:t>
      </w:r>
      <w:r w:rsidR="0089298C" w:rsidRPr="002F50BD">
        <w:rPr>
          <w:rFonts w:ascii="Verdana" w:hAnsi="Verdana"/>
          <w:sz w:val="20"/>
          <w:lang w:val="pt-BR"/>
        </w:rPr>
        <w:t>probatório</w:t>
      </w:r>
      <w:r w:rsidR="004756C1" w:rsidRPr="002F50BD">
        <w:rPr>
          <w:rFonts w:ascii="Verdana" w:hAnsi="Verdana"/>
          <w:sz w:val="20"/>
          <w:lang w:val="pt-BR"/>
        </w:rPr>
        <w:t xml:space="preserve">s suficientes para </w:t>
      </w:r>
      <w:r w:rsidR="0089298C" w:rsidRPr="002F50BD">
        <w:rPr>
          <w:rFonts w:ascii="Verdana" w:hAnsi="Verdana"/>
          <w:sz w:val="20"/>
          <w:lang w:val="pt-BR"/>
        </w:rPr>
        <w:t xml:space="preserve">demonstrar 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w:t>
      </w:r>
      <w:r w:rsidR="00AE379B" w:rsidRPr="002F50BD">
        <w:rPr>
          <w:rFonts w:ascii="Verdana" w:hAnsi="Verdana"/>
          <w:sz w:val="20"/>
          <w:lang w:val="pt-BR"/>
        </w:rPr>
        <w:t>,</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em </w:t>
      </w:r>
      <w:r w:rsidR="00AE379B" w:rsidRPr="002F50BD">
        <w:rPr>
          <w:rFonts w:ascii="Verdana" w:hAnsi="Verdana"/>
          <w:sz w:val="20"/>
          <w:lang w:val="pt-BR"/>
        </w:rPr>
        <w:t xml:space="preserve">detrimento </w:t>
      </w:r>
      <w:r w:rsidR="004756C1" w:rsidRPr="002F50BD">
        <w:rPr>
          <w:rFonts w:ascii="Verdana" w:hAnsi="Verdana"/>
          <w:sz w:val="20"/>
          <w:lang w:val="pt-BR"/>
        </w:rPr>
        <w:t xml:space="preserve">de </w:t>
      </w:r>
      <w:r w:rsidR="00CF451D">
        <w:rPr>
          <w:rFonts w:ascii="Verdana" w:hAnsi="Verdana"/>
          <w:sz w:val="20"/>
          <w:lang w:val="pt-BR"/>
        </w:rPr>
        <w:t>16</w:t>
      </w:r>
      <w:r w:rsidR="004756C1" w:rsidRPr="002F50BD">
        <w:rPr>
          <w:rFonts w:ascii="Verdana" w:hAnsi="Verdana"/>
          <w:sz w:val="20"/>
          <w:lang w:val="pt-BR"/>
        </w:rPr>
        <w:t xml:space="preserve">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177</w:t>
      </w:r>
      <w:r w:rsidR="004756C1" w:rsidRPr="002F50BD">
        <w:rPr>
          <w:rFonts w:ascii="Verdana" w:hAnsi="Verdana"/>
          <w:sz w:val="20"/>
          <w:lang w:val="pt-BR"/>
        </w:rPr>
        <w:t xml:space="preserve"> a </w:t>
      </w:r>
      <w:r w:rsidRPr="002F50BD">
        <w:rPr>
          <w:rFonts w:ascii="Verdana" w:hAnsi="Verdana"/>
          <w:sz w:val="20"/>
          <w:lang w:val="pt-BR"/>
        </w:rPr>
        <w:t>178</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Lneadereferencia"/>
        <w:tabs>
          <w:tab w:val="left" w:pos="720"/>
        </w:tabs>
        <w:rPr>
          <w:rFonts w:ascii="Verdana" w:hAnsi="Verdana"/>
          <w:sz w:val="20"/>
          <w:lang w:val="pt-BR"/>
        </w:rPr>
      </w:pPr>
    </w:p>
    <w:p w:rsidR="004756C1" w:rsidRPr="002F50BD" w:rsidRDefault="004756C1">
      <w:pPr>
        <w:pStyle w:val="BodyText2"/>
        <w:tabs>
          <w:tab w:val="left" w:pos="720"/>
        </w:tabs>
        <w:rPr>
          <w:rFonts w:ascii="Verdana" w:hAnsi="Verdana"/>
          <w:b/>
          <w:sz w:val="20"/>
          <w:lang w:val="pt-BR"/>
        </w:rPr>
      </w:pPr>
      <w:r w:rsidRPr="002F50BD">
        <w:rPr>
          <w:rFonts w:ascii="Verdana" w:hAnsi="Verdana"/>
          <w:sz w:val="20"/>
          <w:lang w:val="pt-BR"/>
        </w:rPr>
        <w:t>Di</w:t>
      </w:r>
      <w:r w:rsidR="004076AD" w:rsidRPr="002F50BD">
        <w:rPr>
          <w:rFonts w:ascii="Verdana" w:hAnsi="Verdana"/>
          <w:sz w:val="20"/>
          <w:lang w:val="pt-BR"/>
        </w:rPr>
        <w:t>s</w:t>
      </w:r>
      <w:r w:rsidR="00AE379B" w:rsidRPr="002F50BD">
        <w:rPr>
          <w:rFonts w:ascii="Verdana" w:hAnsi="Verdana"/>
          <w:sz w:val="20"/>
          <w:lang w:val="pt-BR"/>
        </w:rPr>
        <w:t>s</w:t>
      </w:r>
      <w:r w:rsidR="004076AD" w:rsidRPr="002F50BD">
        <w:rPr>
          <w:rFonts w:ascii="Verdana" w:hAnsi="Verdana"/>
          <w:sz w:val="20"/>
          <w:lang w:val="pt-BR"/>
        </w:rPr>
        <w:t>entem</w:t>
      </w:r>
      <w:r w:rsidR="0089298C" w:rsidRPr="002F50BD">
        <w:rPr>
          <w:rFonts w:ascii="Verdana" w:hAnsi="Verdana"/>
          <w:sz w:val="20"/>
          <w:lang w:val="pt-BR"/>
        </w:rPr>
        <w:t xml:space="preserve"> os Juízes</w:t>
      </w:r>
      <w:r w:rsidRPr="002F50BD">
        <w:rPr>
          <w:rFonts w:ascii="Verdana" w:hAnsi="Verdana"/>
          <w:b/>
          <w:sz w:val="20"/>
          <w:lang w:val="pt-BR"/>
        </w:rPr>
        <w:t xml:space="preserve"> </w:t>
      </w:r>
      <w:r w:rsidRPr="002F50BD">
        <w:rPr>
          <w:rFonts w:ascii="Verdana" w:hAnsi="Verdana"/>
          <w:sz w:val="20"/>
          <w:lang w:val="pt-BR"/>
        </w:rPr>
        <w:t>Alirio Abreu Burelli, Antônio A. Cançado Trindade</w:t>
      </w:r>
      <w:r w:rsidR="0089298C" w:rsidRPr="002F50BD">
        <w:rPr>
          <w:rFonts w:ascii="Verdana" w:hAnsi="Verdana"/>
          <w:sz w:val="20"/>
          <w:lang w:val="pt-BR"/>
        </w:rPr>
        <w:t xml:space="preserve"> e </w:t>
      </w:r>
      <w:r w:rsidRPr="002F50BD">
        <w:rPr>
          <w:rFonts w:ascii="Verdana" w:hAnsi="Verdana"/>
          <w:sz w:val="20"/>
          <w:lang w:val="pt-BR"/>
        </w:rPr>
        <w:t>Manuel E. Ventura Robles.</w:t>
      </w:r>
    </w:p>
    <w:p w:rsidR="004756C1" w:rsidRPr="002F50BD" w:rsidRDefault="004756C1">
      <w:pPr>
        <w:pStyle w:val="BodyText2"/>
        <w:tabs>
          <w:tab w:val="left" w:pos="720"/>
        </w:tabs>
        <w:rPr>
          <w:rFonts w:ascii="Verdana" w:hAnsi="Verdana"/>
          <w:b/>
          <w:sz w:val="20"/>
          <w:lang w:val="pt-BR"/>
        </w:rPr>
      </w:pPr>
    </w:p>
    <w:p w:rsidR="004756C1" w:rsidRPr="002F50BD" w:rsidRDefault="004756C1">
      <w:pPr>
        <w:pStyle w:val="Lneadereferencia"/>
        <w:rPr>
          <w:rFonts w:ascii="Verdana" w:hAnsi="Verdana"/>
          <w:sz w:val="20"/>
          <w:lang w:val="pt-BR"/>
        </w:rPr>
      </w:pPr>
      <w:r w:rsidRPr="002F50BD">
        <w:rPr>
          <w:rFonts w:ascii="Verdana" w:hAnsi="Verdana"/>
          <w:sz w:val="20"/>
          <w:lang w:val="pt-BR"/>
        </w:rPr>
        <w:t xml:space="preserve">Por </w:t>
      </w:r>
      <w:r w:rsidR="0089298C" w:rsidRPr="002F50BD">
        <w:rPr>
          <w:rFonts w:ascii="Verdana" w:hAnsi="Verdana"/>
          <w:sz w:val="20"/>
          <w:lang w:val="pt-BR"/>
        </w:rPr>
        <w:t>unanimidade,</w:t>
      </w:r>
    </w:p>
    <w:p w:rsidR="004756C1" w:rsidRPr="002F50BD" w:rsidRDefault="004756C1">
      <w:pPr>
        <w:pStyle w:val="negritamayuscula"/>
        <w:tabs>
          <w:tab w:val="clear" w:pos="1120"/>
        </w:tabs>
        <w:spacing w:line="240" w:lineRule="auto"/>
        <w:rPr>
          <w:rFonts w:ascii="Verdana" w:hAnsi="Verdana"/>
          <w:sz w:val="20"/>
          <w:lang w:val="pt-BR"/>
        </w:rPr>
      </w:pPr>
    </w:p>
    <w:p w:rsidR="004756C1" w:rsidRPr="002F50BD" w:rsidRDefault="00063B47">
      <w:pPr>
        <w:pStyle w:val="negritamayuscula"/>
        <w:tabs>
          <w:tab w:val="clear" w:pos="1120"/>
        </w:tabs>
        <w:spacing w:line="240" w:lineRule="auto"/>
        <w:rPr>
          <w:rFonts w:ascii="Verdana" w:hAnsi="Verdana"/>
          <w:sz w:val="20"/>
          <w:lang w:val="pt-BR"/>
        </w:rPr>
      </w:pPr>
      <w:r w:rsidRPr="002F50BD">
        <w:rPr>
          <w:rFonts w:ascii="Verdana" w:hAnsi="Verdana"/>
          <w:sz w:val="20"/>
          <w:lang w:val="pt-BR"/>
        </w:rPr>
        <w:t>5</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E</w:t>
      </w:r>
      <w:r w:rsidR="004756C1" w:rsidRPr="002F50BD">
        <w:rPr>
          <w:rFonts w:ascii="Verdana" w:hAnsi="Verdana"/>
          <w:sz w:val="20"/>
          <w:lang w:val="pt-BR"/>
        </w:rPr>
        <w:t xml:space="preserve">sta </w:t>
      </w:r>
      <w:r w:rsidR="0089298C" w:rsidRPr="002F50BD">
        <w:rPr>
          <w:rFonts w:ascii="Verdana" w:hAnsi="Verdana"/>
          <w:sz w:val="20"/>
          <w:lang w:val="pt-BR"/>
        </w:rPr>
        <w:t>Sentença</w:t>
      </w:r>
      <w:r w:rsidR="004756C1" w:rsidRPr="002F50BD">
        <w:rPr>
          <w:rFonts w:ascii="Verdana" w:hAnsi="Verdana"/>
          <w:sz w:val="20"/>
          <w:lang w:val="pt-BR"/>
        </w:rPr>
        <w:t xml:space="preserve"> </w:t>
      </w:r>
      <w:r w:rsidR="0089298C" w:rsidRPr="002F50BD">
        <w:rPr>
          <w:rFonts w:ascii="Verdana" w:hAnsi="Verdana"/>
          <w:sz w:val="20"/>
          <w:lang w:val="pt-BR"/>
        </w:rPr>
        <w:t>constitui</w:t>
      </w:r>
      <w:r w:rsidR="004756C1" w:rsidRPr="002F50BD">
        <w:rPr>
          <w:rFonts w:ascii="Verdana" w:hAnsi="Verdana"/>
          <w:sz w:val="20"/>
          <w:lang w:val="pt-BR"/>
        </w:rPr>
        <w:t xml:space="preserve"> </w:t>
      </w:r>
      <w:r w:rsidR="004756C1" w:rsidRPr="002F50BD">
        <w:rPr>
          <w:rFonts w:ascii="Verdana" w:hAnsi="Verdana"/>
          <w:i/>
          <w:sz w:val="20"/>
          <w:lang w:val="pt-BR"/>
        </w:rPr>
        <w:t>per se</w:t>
      </w:r>
      <w:r w:rsidR="0089298C" w:rsidRPr="002F50BD">
        <w:rPr>
          <w:rFonts w:ascii="Verdana" w:hAnsi="Verdana"/>
          <w:sz w:val="20"/>
          <w:lang w:val="pt-BR"/>
        </w:rPr>
        <w:t xml:space="preserve"> uma </w:t>
      </w:r>
      <w:r w:rsidR="004756C1" w:rsidRPr="002F50BD">
        <w:rPr>
          <w:rFonts w:ascii="Verdana" w:hAnsi="Verdana"/>
          <w:sz w:val="20"/>
          <w:lang w:val="pt-BR"/>
        </w:rPr>
        <w:t>forma de repara</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200</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BodyText2"/>
        <w:tabs>
          <w:tab w:val="left" w:pos="720"/>
        </w:tabs>
        <w:rPr>
          <w:rFonts w:ascii="Verdana" w:hAnsi="Verdana"/>
          <w:b/>
          <w:sz w:val="20"/>
          <w:lang w:val="pt-BR"/>
        </w:rPr>
      </w:pPr>
    </w:p>
    <w:p w:rsidR="004756C1" w:rsidRPr="002F50BD" w:rsidRDefault="004756C1">
      <w:pPr>
        <w:pStyle w:val="BodyText2"/>
        <w:tabs>
          <w:tab w:val="left" w:pos="720"/>
        </w:tabs>
        <w:rPr>
          <w:rFonts w:ascii="Verdana" w:hAnsi="Verdana"/>
          <w:b/>
          <w:sz w:val="20"/>
          <w:lang w:val="pt-BR"/>
        </w:rPr>
      </w:pPr>
    </w:p>
    <w:p w:rsidR="004756C1" w:rsidRPr="002F50BD" w:rsidRDefault="00AE379B">
      <w:pPr>
        <w:jc w:val="both"/>
        <w:rPr>
          <w:rFonts w:ascii="Verdana" w:hAnsi="Verdana"/>
          <w:sz w:val="20"/>
          <w:lang w:val="pt-BR"/>
        </w:rPr>
      </w:pPr>
      <w:r w:rsidRPr="002F50BD">
        <w:rPr>
          <w:rFonts w:ascii="Verdana" w:hAnsi="Verdana"/>
          <w:sz w:val="20"/>
          <w:lang w:val="pt-BR"/>
        </w:rPr>
        <w:t>E</w:t>
      </w:r>
      <w:r w:rsidR="004756C1" w:rsidRPr="002F50BD">
        <w:rPr>
          <w:rFonts w:ascii="Verdana" w:hAnsi="Verdana"/>
          <w:sz w:val="20"/>
          <w:lang w:val="pt-BR"/>
        </w:rPr>
        <w:t xml:space="preserve">, POR </w:t>
      </w:r>
      <w:r w:rsidR="0089298C" w:rsidRPr="002F50BD">
        <w:rPr>
          <w:rFonts w:ascii="Verdana" w:hAnsi="Verdana"/>
          <w:sz w:val="20"/>
          <w:lang w:val="pt-BR"/>
        </w:rPr>
        <w:t>UNANIMIDADE,</w:t>
      </w:r>
      <w:r w:rsidR="004756C1" w:rsidRPr="002F50BD">
        <w:rPr>
          <w:rFonts w:ascii="Verdana" w:hAnsi="Verdana"/>
          <w:sz w:val="20"/>
          <w:lang w:val="pt-BR"/>
        </w:rPr>
        <w:t xml:space="preserve"> </w:t>
      </w:r>
      <w:r w:rsidR="0089298C" w:rsidRPr="002F50BD">
        <w:rPr>
          <w:rFonts w:ascii="Verdana" w:hAnsi="Verdana"/>
          <w:sz w:val="20"/>
          <w:lang w:val="pt-BR"/>
        </w:rPr>
        <w:t>DISPÕE</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6</w:t>
      </w:r>
      <w:r w:rsidR="00AE379B" w:rsidRPr="002F50BD">
        <w:rPr>
          <w:rFonts w:ascii="Verdana" w:hAnsi="Verdana"/>
          <w:sz w:val="20"/>
          <w:lang w:val="pt-BR"/>
        </w:rPr>
        <w:t>.</w:t>
      </w:r>
      <w:r w:rsidR="00AE379B" w:rsidRPr="002F50BD">
        <w:rPr>
          <w:rFonts w:ascii="Verdana" w:hAnsi="Verdana"/>
          <w:sz w:val="20"/>
          <w:lang w:val="pt-BR"/>
        </w:rPr>
        <w:tab/>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á identificar</w:t>
      </w:r>
      <w:r w:rsidR="0089298C" w:rsidRPr="002F50BD">
        <w:rPr>
          <w:rFonts w:ascii="Verdana" w:hAnsi="Verdana"/>
          <w:sz w:val="20"/>
          <w:lang w:val="pt-BR"/>
        </w:rPr>
        <w:t xml:space="preserve"> o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e </w:t>
      </w:r>
      <w:r w:rsidR="004756C1" w:rsidRPr="002F50BD">
        <w:rPr>
          <w:rFonts w:ascii="Verdana" w:hAnsi="Verdana"/>
          <w:sz w:val="20"/>
          <w:lang w:val="pt-BR"/>
        </w:rPr>
        <w:t>entregá</w:t>
      </w:r>
      <w:r w:rsidR="00AE379B" w:rsidRPr="002F50BD">
        <w:rPr>
          <w:rFonts w:ascii="Verdana" w:hAnsi="Verdana"/>
          <w:sz w:val="20"/>
          <w:lang w:val="pt-BR"/>
        </w:rPr>
        <w:t>-lo</w:t>
      </w:r>
      <w:r w:rsidR="00AB6727" w:rsidRPr="002F50BD">
        <w:rPr>
          <w:rFonts w:ascii="Verdana" w:hAnsi="Verdana"/>
          <w:sz w:val="20"/>
          <w:lang w:val="pt-BR"/>
        </w:rPr>
        <w:t xml:space="preserve"> </w:t>
      </w:r>
      <w:r w:rsidR="004756C1" w:rsidRPr="002F50BD">
        <w:rPr>
          <w:rFonts w:ascii="Verdana" w:hAnsi="Verdana"/>
          <w:sz w:val="20"/>
          <w:lang w:val="pt-BR"/>
        </w:rPr>
        <w:t xml:space="preserve">de </w:t>
      </w:r>
      <w:r w:rsidR="0089298C" w:rsidRPr="002F50BD">
        <w:rPr>
          <w:rFonts w:ascii="Verdana" w:hAnsi="Verdana"/>
          <w:sz w:val="20"/>
          <w:lang w:val="pt-BR"/>
        </w:rPr>
        <w:t>maneira</w:t>
      </w:r>
      <w:r w:rsidR="004756C1" w:rsidRPr="002F50BD">
        <w:rPr>
          <w:rFonts w:ascii="Verdana" w:hAnsi="Verdana"/>
          <w:sz w:val="20"/>
          <w:lang w:val="pt-BR"/>
        </w:rPr>
        <w:t xml:space="preserve"> gratuita,</w:t>
      </w:r>
      <w:r w:rsidR="0089298C" w:rsidRPr="002F50BD">
        <w:rPr>
          <w:rFonts w:ascii="Verdana" w:hAnsi="Verdana"/>
          <w:sz w:val="20"/>
          <w:lang w:val="pt-BR"/>
        </w:rPr>
        <w:t xml:space="preserve"> em um prazo</w:t>
      </w:r>
      <w:r w:rsidR="004756C1" w:rsidRPr="002F50BD">
        <w:rPr>
          <w:rFonts w:ascii="Verdana" w:hAnsi="Verdana"/>
          <w:sz w:val="20"/>
          <w:lang w:val="pt-BR"/>
        </w:rPr>
        <w:t xml:space="preserve"> máximo de</w:t>
      </w:r>
      <w:r w:rsidR="0089298C" w:rsidRPr="002F50BD">
        <w:rPr>
          <w:rFonts w:ascii="Verdana" w:hAnsi="Verdana"/>
          <w:sz w:val="20"/>
          <w:lang w:val="pt-BR"/>
        </w:rPr>
        <w:t xml:space="preserve"> três anos</w:t>
      </w:r>
      <w:r w:rsidR="004756C1" w:rsidRPr="002F50BD">
        <w:rPr>
          <w:rFonts w:ascii="Verdana" w:hAnsi="Verdana"/>
          <w:sz w:val="20"/>
          <w:lang w:val="pt-BR"/>
        </w:rPr>
        <w:t xml:space="preserve"> contados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211</w:t>
      </w:r>
      <w:r w:rsidR="004756C1" w:rsidRPr="002F50BD">
        <w:rPr>
          <w:rFonts w:ascii="Verdana" w:hAnsi="Verdana"/>
          <w:sz w:val="20"/>
          <w:lang w:val="pt-BR"/>
        </w:rPr>
        <w:t xml:space="preserve"> a </w:t>
      </w:r>
      <w:r w:rsidRPr="002F50BD">
        <w:rPr>
          <w:rFonts w:ascii="Verdana" w:hAnsi="Verdana"/>
          <w:sz w:val="20"/>
          <w:lang w:val="pt-BR"/>
        </w:rPr>
        <w:t>217</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7</w:t>
      </w:r>
      <w:r w:rsidR="004756C1" w:rsidRPr="002F50BD">
        <w:rPr>
          <w:rFonts w:ascii="Verdana" w:hAnsi="Verdana"/>
          <w:sz w:val="20"/>
          <w:lang w:val="pt-BR"/>
        </w:rPr>
        <w:t>.</w:t>
      </w:r>
      <w:r w:rsidR="004756C1" w:rsidRPr="002F50BD">
        <w:rPr>
          <w:rFonts w:ascii="Verdana" w:hAnsi="Verdana"/>
          <w:sz w:val="20"/>
          <w:lang w:val="pt-BR"/>
        </w:rPr>
        <w:tab/>
      </w:r>
      <w:r w:rsidR="00AE379B" w:rsidRPr="002F50BD">
        <w:rPr>
          <w:rFonts w:ascii="Verdana" w:hAnsi="Verdana"/>
          <w:sz w:val="20"/>
          <w:lang w:val="pt-BR"/>
        </w:rPr>
        <w:t>E</w:t>
      </w:r>
      <w:r w:rsidR="0089298C" w:rsidRPr="002F50BD">
        <w:rPr>
          <w:rFonts w:ascii="Verdana" w:hAnsi="Verdana"/>
          <w:sz w:val="20"/>
          <w:lang w:val="pt-BR"/>
        </w:rPr>
        <w:t>nquanto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se </w:t>
      </w:r>
      <w:r w:rsidR="0089298C" w:rsidRPr="002F50BD">
        <w:rPr>
          <w:rFonts w:ascii="Verdana" w:hAnsi="Verdana"/>
          <w:sz w:val="20"/>
          <w:lang w:val="pt-BR"/>
        </w:rPr>
        <w:t>encontr</w:t>
      </w:r>
      <w:r w:rsidR="007D16B9" w:rsidRPr="002F50BD">
        <w:rPr>
          <w:rFonts w:ascii="Verdana" w:hAnsi="Verdana"/>
          <w:sz w:val="20"/>
          <w:lang w:val="pt-BR"/>
        </w:rPr>
        <w:t>ar</w:t>
      </w:r>
      <w:r w:rsidR="0089298C" w:rsidRPr="002F50BD">
        <w:rPr>
          <w:rFonts w:ascii="Verdana" w:hAnsi="Verdana"/>
          <w:sz w:val="20"/>
          <w:lang w:val="pt-BR"/>
        </w:rPr>
        <w:t xml:space="preserve">em sem </w:t>
      </w:r>
      <w:r w:rsidR="00AE379B" w:rsidRPr="002F50BD">
        <w:rPr>
          <w:rFonts w:ascii="Verdana" w:hAnsi="Verdana"/>
          <w:sz w:val="20"/>
          <w:lang w:val="pt-BR"/>
        </w:rPr>
        <w:t xml:space="preserve">suas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 xml:space="preserve">á </w:t>
      </w:r>
      <w:r w:rsidR="00A1447F" w:rsidRPr="002F50BD">
        <w:rPr>
          <w:rFonts w:ascii="Verdana" w:hAnsi="Verdana"/>
          <w:sz w:val="20"/>
          <w:lang w:val="pt-BR"/>
        </w:rPr>
        <w:t>fornecer</w:t>
      </w:r>
      <w:r w:rsidR="0089298C" w:rsidRPr="002F50BD">
        <w:rPr>
          <w:rFonts w:ascii="Verdana" w:hAnsi="Verdana"/>
          <w:sz w:val="20"/>
          <w:lang w:val="pt-BR"/>
        </w:rPr>
        <w:t xml:space="preserve"> os bens e serviço</w:t>
      </w:r>
      <w:r w:rsidR="004756C1" w:rsidRPr="002F50BD">
        <w:rPr>
          <w:rFonts w:ascii="Verdana" w:hAnsi="Verdana"/>
          <w:sz w:val="20"/>
          <w:lang w:val="pt-BR"/>
        </w:rPr>
        <w:t xml:space="preserve">s básicos </w:t>
      </w:r>
      <w:r w:rsidR="0089298C" w:rsidRPr="002F50BD">
        <w:rPr>
          <w:rFonts w:ascii="Verdana" w:hAnsi="Verdana"/>
          <w:sz w:val="20"/>
          <w:lang w:val="pt-BR"/>
        </w:rPr>
        <w:t>necessári</w:t>
      </w:r>
      <w:r w:rsidR="004756C1" w:rsidRPr="002F50BD">
        <w:rPr>
          <w:rFonts w:ascii="Verdana" w:hAnsi="Verdana"/>
          <w:sz w:val="20"/>
          <w:lang w:val="pt-BR"/>
        </w:rPr>
        <w:t>os para su</w:t>
      </w:r>
      <w:r w:rsidR="00AE379B"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subsistência</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221</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8</w:t>
      </w:r>
      <w:r w:rsidR="004756C1" w:rsidRPr="002F50BD">
        <w:rPr>
          <w:rFonts w:ascii="Verdana" w:hAnsi="Verdana"/>
          <w:sz w:val="20"/>
          <w:lang w:val="pt-BR"/>
        </w:rPr>
        <w:t xml:space="preserve">. </w:t>
      </w:r>
      <w:r w:rsidR="004756C1" w:rsidRPr="002F50BD">
        <w:rPr>
          <w:rFonts w:ascii="Verdana" w:hAnsi="Verdana"/>
          <w:sz w:val="20"/>
          <w:lang w:val="pt-BR"/>
        </w:rPr>
        <w:tab/>
      </w:r>
      <w:r w:rsidR="00AE379B"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 xml:space="preserve">criar um </w:t>
      </w:r>
      <w:r w:rsidR="00AE379B" w:rsidRPr="002F50BD">
        <w:rPr>
          <w:rFonts w:ascii="Verdana" w:hAnsi="Verdana"/>
          <w:sz w:val="20"/>
          <w:lang w:val="pt-BR"/>
        </w:rPr>
        <w:t xml:space="preserve">fundo </w:t>
      </w:r>
      <w:r w:rsidR="004756C1" w:rsidRPr="002F50BD">
        <w:rPr>
          <w:rFonts w:ascii="Verdana" w:hAnsi="Verdana"/>
          <w:sz w:val="20"/>
          <w:lang w:val="pt-BR"/>
        </w:rPr>
        <w:t>destinado exclusivamente</w:t>
      </w:r>
      <w:r w:rsidR="0089298C" w:rsidRPr="002F50BD">
        <w:rPr>
          <w:rFonts w:ascii="Verdana" w:hAnsi="Verdana"/>
          <w:sz w:val="20"/>
          <w:lang w:val="pt-BR"/>
        </w:rPr>
        <w:t xml:space="preserve"> à </w:t>
      </w:r>
      <w:r w:rsidR="00367FD1" w:rsidRPr="002F50BD">
        <w:rPr>
          <w:rFonts w:ascii="Verdana" w:hAnsi="Verdana"/>
          <w:sz w:val="20"/>
          <w:lang w:val="pt-BR"/>
        </w:rPr>
        <w:t>aquisição</w:t>
      </w:r>
      <w:r w:rsidR="0089298C" w:rsidRPr="002F50BD">
        <w:rPr>
          <w:rFonts w:ascii="Verdana" w:hAnsi="Verdana"/>
          <w:sz w:val="20"/>
          <w:lang w:val="pt-BR"/>
        </w:rPr>
        <w:t xml:space="preserve"> das terra</w:t>
      </w:r>
      <w:r w:rsidR="004756C1" w:rsidRPr="002F50BD">
        <w:rPr>
          <w:rFonts w:ascii="Verdana" w:hAnsi="Verdana"/>
          <w:sz w:val="20"/>
          <w:lang w:val="pt-BR"/>
        </w:rPr>
        <w:t xml:space="preserve">s a </w:t>
      </w:r>
      <w:r w:rsidR="00AE379B" w:rsidRPr="002F50BD">
        <w:rPr>
          <w:rFonts w:ascii="Verdana" w:hAnsi="Verdana"/>
          <w:sz w:val="20"/>
          <w:lang w:val="pt-BR"/>
        </w:rPr>
        <w:t xml:space="preserve">serem entregues </w:t>
      </w:r>
      <w:r w:rsidR="0089298C" w:rsidRPr="002F50BD">
        <w:rPr>
          <w:rFonts w:ascii="Verdana" w:hAnsi="Verdana"/>
          <w:sz w:val="20"/>
          <w:lang w:val="pt-BR"/>
        </w:rPr>
        <w:t>aos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em um prazo</w:t>
      </w:r>
      <w:r w:rsidR="004756C1" w:rsidRPr="002F50BD">
        <w:rPr>
          <w:rFonts w:ascii="Verdana" w:hAnsi="Verdana"/>
          <w:sz w:val="20"/>
          <w:lang w:val="pt-BR"/>
        </w:rPr>
        <w:t xml:space="preserve"> máximo de</w:t>
      </w:r>
      <w:r w:rsidR="0089298C" w:rsidRPr="002F50BD">
        <w:rPr>
          <w:rFonts w:ascii="Verdana" w:hAnsi="Verdana"/>
          <w:sz w:val="20"/>
          <w:lang w:val="pt-BR"/>
        </w:rPr>
        <w:t xml:space="preserve"> um ano </w:t>
      </w:r>
      <w:r w:rsidR="004756C1" w:rsidRPr="002F50BD">
        <w:rPr>
          <w:rFonts w:ascii="Verdana" w:hAnsi="Verdana"/>
          <w:sz w:val="20"/>
          <w:lang w:val="pt-BR"/>
        </w:rPr>
        <w:t>contado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218</w:t>
      </w:r>
      <w:r w:rsidR="0089298C" w:rsidRPr="002F50BD">
        <w:rPr>
          <w:rFonts w:ascii="Verdana" w:hAnsi="Verdana"/>
          <w:sz w:val="20"/>
          <w:lang w:val="pt-BR"/>
        </w:rPr>
        <w:t xml:space="preserve"> da mesm</w:t>
      </w:r>
      <w:r w:rsidR="004756C1" w:rsidRPr="002F50BD">
        <w:rPr>
          <w:rFonts w:ascii="Verdana" w:hAnsi="Verdana"/>
          <w:sz w:val="20"/>
          <w:lang w:val="pt-BR"/>
        </w:rPr>
        <w:t xml:space="preserve">a.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i/>
          <w:sz w:val="20"/>
          <w:lang w:val="pt-BR"/>
        </w:rPr>
      </w:pPr>
      <w:r w:rsidRPr="002F50BD">
        <w:rPr>
          <w:rFonts w:ascii="Verdana" w:hAnsi="Verdana"/>
          <w:sz w:val="20"/>
          <w:lang w:val="pt-BR"/>
        </w:rPr>
        <w:t>9</w:t>
      </w:r>
      <w:r w:rsidR="004756C1" w:rsidRPr="002F50BD">
        <w:rPr>
          <w:rFonts w:ascii="Verdana" w:hAnsi="Verdana"/>
          <w:sz w:val="20"/>
          <w:lang w:val="pt-BR"/>
        </w:rPr>
        <w:t xml:space="preserve">. </w:t>
      </w:r>
      <w:r w:rsidR="004756C1" w:rsidRPr="002F50BD">
        <w:rPr>
          <w:rFonts w:ascii="Verdana" w:hAnsi="Verdana"/>
          <w:sz w:val="20"/>
          <w:lang w:val="pt-BR"/>
        </w:rPr>
        <w:tab/>
      </w:r>
      <w:r w:rsidR="00AE379B"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á implementar</w:t>
      </w:r>
      <w:r w:rsidR="0089298C" w:rsidRPr="002F50BD">
        <w:rPr>
          <w:rFonts w:ascii="Verdana" w:hAnsi="Verdana"/>
          <w:sz w:val="20"/>
          <w:lang w:val="pt-BR"/>
        </w:rPr>
        <w:t xml:space="preserve"> um </w:t>
      </w:r>
      <w:r w:rsidR="004756C1" w:rsidRPr="002F50BD">
        <w:rPr>
          <w:rFonts w:ascii="Verdana" w:hAnsi="Verdana"/>
          <w:sz w:val="20"/>
          <w:lang w:val="pt-BR"/>
        </w:rPr>
        <w:t>programa</w:t>
      </w:r>
      <w:r w:rsidR="0089298C" w:rsidRPr="002F50BD">
        <w:rPr>
          <w:rFonts w:ascii="Verdana" w:hAnsi="Verdana"/>
          <w:sz w:val="20"/>
          <w:lang w:val="pt-BR"/>
        </w:rPr>
        <w:t xml:space="preserve"> e um </w:t>
      </w:r>
      <w:r w:rsidR="004826A8" w:rsidRPr="002F50BD">
        <w:rPr>
          <w:rFonts w:ascii="Verdana" w:hAnsi="Verdana"/>
          <w:sz w:val="20"/>
          <w:lang w:val="pt-BR"/>
        </w:rPr>
        <w:t xml:space="preserve">fundo </w:t>
      </w:r>
      <w:r w:rsidR="004756C1" w:rsidRPr="002F50BD">
        <w:rPr>
          <w:rFonts w:ascii="Verdana" w:hAnsi="Verdana"/>
          <w:sz w:val="20"/>
          <w:lang w:val="pt-BR"/>
        </w:rPr>
        <w:t xml:space="preserve">de </w:t>
      </w:r>
      <w:r w:rsidR="0089298C" w:rsidRPr="002F50BD">
        <w:rPr>
          <w:rFonts w:ascii="Verdana" w:hAnsi="Verdana"/>
          <w:sz w:val="20"/>
          <w:lang w:val="pt-BR"/>
        </w:rPr>
        <w:t>desenvolvimento</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o,</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205</w:t>
      </w:r>
      <w:r w:rsidR="0089298C" w:rsidRPr="002F50BD">
        <w:rPr>
          <w:rFonts w:ascii="Verdana" w:hAnsi="Verdana"/>
          <w:sz w:val="20"/>
          <w:lang w:val="pt-BR"/>
        </w:rPr>
        <w:t xml:space="preserve"> e </w:t>
      </w:r>
      <w:r w:rsidRPr="002F50BD">
        <w:rPr>
          <w:rFonts w:ascii="Verdana" w:hAnsi="Verdana"/>
          <w:sz w:val="20"/>
          <w:lang w:val="pt-BR"/>
        </w:rPr>
        <w:t>206</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10</w:t>
      </w:r>
      <w:r w:rsidR="004756C1" w:rsidRPr="002F50BD">
        <w:rPr>
          <w:rFonts w:ascii="Verdana" w:hAnsi="Verdana"/>
          <w:sz w:val="20"/>
          <w:lang w:val="pt-BR"/>
        </w:rPr>
        <w:t xml:space="preserve">. </w:t>
      </w:r>
      <w:r w:rsidR="004756C1" w:rsidRPr="002F50BD">
        <w:rPr>
          <w:rFonts w:ascii="Verdana" w:hAnsi="Verdana"/>
          <w:sz w:val="20"/>
          <w:lang w:val="pt-BR"/>
        </w:rPr>
        <w:tab/>
      </w:r>
      <w:r w:rsidR="004826A8"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adot</w:t>
      </w:r>
      <w:r w:rsidR="004756C1" w:rsidRPr="002F50BD">
        <w:rPr>
          <w:rFonts w:ascii="Verdana" w:hAnsi="Verdana"/>
          <w:sz w:val="20"/>
          <w:lang w:val="pt-BR"/>
        </w:rPr>
        <w:t>ar</w:t>
      </w:r>
      <w:r w:rsidR="0089298C" w:rsidRPr="002F50BD">
        <w:rPr>
          <w:rFonts w:ascii="Verdana" w:hAnsi="Verdana"/>
          <w:sz w:val="20"/>
          <w:lang w:val="pt-BR"/>
        </w:rPr>
        <w:t xml:space="preserve"> em seu direito</w:t>
      </w:r>
      <w:r w:rsidR="004756C1" w:rsidRPr="002F50BD">
        <w:rPr>
          <w:rFonts w:ascii="Verdana" w:hAnsi="Verdana"/>
          <w:sz w:val="20"/>
          <w:lang w:val="pt-BR"/>
        </w:rPr>
        <w:t xml:space="preserve"> interno,</w:t>
      </w:r>
      <w:r w:rsidR="0089298C" w:rsidRPr="002F50BD">
        <w:rPr>
          <w:rFonts w:ascii="Verdana" w:hAnsi="Verdana"/>
          <w:sz w:val="20"/>
          <w:lang w:val="pt-BR"/>
        </w:rPr>
        <w:t xml:space="preserve"> em um prazo</w:t>
      </w:r>
      <w:r w:rsidR="004756C1" w:rsidRPr="002F50BD">
        <w:rPr>
          <w:rFonts w:ascii="Verdana" w:hAnsi="Verdana"/>
          <w:sz w:val="20"/>
          <w:lang w:val="pt-BR"/>
        </w:rPr>
        <w:t xml:space="preserve"> </w:t>
      </w:r>
      <w:r w:rsidR="00AB454A" w:rsidRPr="002F50BD">
        <w:rPr>
          <w:rFonts w:ascii="Verdana" w:hAnsi="Verdana"/>
          <w:sz w:val="20"/>
          <w:lang w:val="pt-BR"/>
        </w:rPr>
        <w:t>razoável,</w:t>
      </w:r>
      <w:r w:rsidR="0089298C" w:rsidRPr="002F50BD">
        <w:rPr>
          <w:rFonts w:ascii="Verdana" w:hAnsi="Verdana"/>
          <w:sz w:val="20"/>
          <w:lang w:val="pt-BR"/>
        </w:rPr>
        <w:t xml:space="preserve"> as </w:t>
      </w:r>
      <w:r w:rsidR="004756C1" w:rsidRPr="002F50BD">
        <w:rPr>
          <w:rFonts w:ascii="Verdana" w:hAnsi="Verdana"/>
          <w:sz w:val="20"/>
          <w:lang w:val="pt-BR"/>
        </w:rPr>
        <w:t>medidas legislativas, administrativas</w:t>
      </w:r>
      <w:r w:rsidR="0089298C" w:rsidRPr="002F50BD">
        <w:rPr>
          <w:rFonts w:ascii="Verdana" w:hAnsi="Verdana"/>
          <w:sz w:val="20"/>
          <w:lang w:val="pt-BR"/>
        </w:rPr>
        <w:t xml:space="preserve"> e </w:t>
      </w:r>
      <w:r w:rsidR="004756C1" w:rsidRPr="002F50BD">
        <w:rPr>
          <w:rFonts w:ascii="Verdana" w:hAnsi="Verdana"/>
          <w:sz w:val="20"/>
          <w:lang w:val="pt-BR"/>
        </w:rPr>
        <w:t xml:space="preserve">de </w:t>
      </w:r>
      <w:r w:rsidR="0089298C" w:rsidRPr="002F50BD">
        <w:rPr>
          <w:rFonts w:ascii="Verdana" w:hAnsi="Verdana"/>
          <w:sz w:val="20"/>
          <w:lang w:val="pt-BR"/>
        </w:rPr>
        <w:t>qualquer outro caráter</w:t>
      </w:r>
      <w:r w:rsidR="004756C1" w:rsidRPr="002F50BD">
        <w:rPr>
          <w:rFonts w:ascii="Verdana" w:hAnsi="Verdana"/>
          <w:sz w:val="20"/>
          <w:lang w:val="pt-BR"/>
        </w:rPr>
        <w:t xml:space="preserve"> que</w:t>
      </w:r>
      <w:r w:rsidR="0089298C" w:rsidRPr="002F50BD">
        <w:rPr>
          <w:rFonts w:ascii="Verdana" w:hAnsi="Verdana"/>
          <w:sz w:val="20"/>
          <w:lang w:val="pt-BR"/>
        </w:rPr>
        <w:t xml:space="preserve"> sejam necessári</w:t>
      </w:r>
      <w:r w:rsidR="004756C1" w:rsidRPr="002F50BD">
        <w:rPr>
          <w:rFonts w:ascii="Verdana" w:hAnsi="Verdana"/>
          <w:sz w:val="20"/>
          <w:lang w:val="pt-BR"/>
        </w:rPr>
        <w:t xml:space="preserve">as para </w:t>
      </w:r>
      <w:r w:rsidR="0089298C" w:rsidRPr="002F50BD">
        <w:rPr>
          <w:rFonts w:ascii="Verdana" w:hAnsi="Verdana"/>
          <w:sz w:val="20"/>
          <w:lang w:val="pt-BR"/>
        </w:rPr>
        <w:t>garantir o efetiv</w:t>
      </w:r>
      <w:r w:rsidR="004756C1" w:rsidRPr="002F50BD">
        <w:rPr>
          <w:rFonts w:ascii="Verdana" w:hAnsi="Verdana"/>
          <w:sz w:val="20"/>
          <w:lang w:val="pt-BR"/>
        </w:rPr>
        <w:t>o</w:t>
      </w:r>
      <w:r w:rsidR="00385366" w:rsidRPr="002F50BD">
        <w:rPr>
          <w:rFonts w:ascii="Verdana" w:hAnsi="Verdana"/>
          <w:sz w:val="20"/>
          <w:lang w:val="pt-BR"/>
        </w:rPr>
        <w:t xml:space="preserve"> gozo </w:t>
      </w:r>
      <w:r w:rsidR="0089298C" w:rsidRPr="002F50BD">
        <w:rPr>
          <w:rFonts w:ascii="Verdana" w:hAnsi="Verdana"/>
          <w:sz w:val="20"/>
          <w:lang w:val="pt-BR"/>
        </w:rPr>
        <w:t>do direito à propriedade dos membro</w:t>
      </w:r>
      <w:r w:rsidR="004756C1" w:rsidRPr="002F50BD">
        <w:rPr>
          <w:rFonts w:ascii="Verdana" w:hAnsi="Verdana"/>
          <w:sz w:val="20"/>
          <w:lang w:val="pt-BR"/>
        </w:rPr>
        <w:t>s</w:t>
      </w:r>
      <w:r w:rsidR="0089298C" w:rsidRPr="002F50BD">
        <w:rPr>
          <w:rFonts w:ascii="Verdana" w:hAnsi="Verdana"/>
          <w:sz w:val="20"/>
          <w:lang w:val="pt-BR"/>
        </w:rPr>
        <w:t xml:space="preserve"> dos povo</w:t>
      </w:r>
      <w:r w:rsidR="004756C1" w:rsidRPr="002F50BD">
        <w:rPr>
          <w:rFonts w:ascii="Verdana" w:hAnsi="Verdana"/>
          <w:sz w:val="20"/>
          <w:lang w:val="pt-BR"/>
        </w:rPr>
        <w:t>s indígenas,</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225</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11</w:t>
      </w:r>
      <w:r w:rsidR="004756C1" w:rsidRPr="002F50BD">
        <w:rPr>
          <w:rFonts w:ascii="Verdana" w:hAnsi="Verdana"/>
          <w:sz w:val="20"/>
          <w:lang w:val="pt-BR"/>
        </w:rPr>
        <w:t xml:space="preserve">. </w:t>
      </w:r>
      <w:r w:rsidR="004756C1" w:rsidRPr="002F50BD">
        <w:rPr>
          <w:rFonts w:ascii="Verdana" w:hAnsi="Verdana"/>
          <w:sz w:val="20"/>
          <w:lang w:val="pt-BR"/>
        </w:rPr>
        <w:tab/>
      </w:r>
      <w:r w:rsidR="004826A8"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á realizar</w:t>
      </w:r>
      <w:r w:rsidR="0089298C" w:rsidRPr="002F50BD">
        <w:rPr>
          <w:rFonts w:ascii="Verdana" w:hAnsi="Verdana"/>
          <w:sz w:val="20"/>
          <w:lang w:val="pt-BR"/>
        </w:rPr>
        <w:t xml:space="preserve"> um ato </w:t>
      </w:r>
      <w:r w:rsidR="004756C1" w:rsidRPr="002F50BD">
        <w:rPr>
          <w:rFonts w:ascii="Verdana" w:hAnsi="Verdana"/>
          <w:sz w:val="20"/>
          <w:lang w:val="pt-BR"/>
        </w:rPr>
        <w:t>público de re</w:t>
      </w:r>
      <w:r w:rsidR="0089298C" w:rsidRPr="002F50BD">
        <w:rPr>
          <w:rFonts w:ascii="Verdana" w:hAnsi="Verdana"/>
          <w:sz w:val="20"/>
          <w:lang w:val="pt-BR"/>
        </w:rPr>
        <w:t>conhecimento</w:t>
      </w:r>
      <w:r w:rsidR="004756C1" w:rsidRPr="002F50BD">
        <w:rPr>
          <w:rFonts w:ascii="Verdana" w:hAnsi="Verdana"/>
          <w:sz w:val="20"/>
          <w:lang w:val="pt-BR"/>
        </w:rPr>
        <w:t xml:space="preserve"> de </w:t>
      </w:r>
      <w:r w:rsidR="0089298C" w:rsidRPr="002F50BD">
        <w:rPr>
          <w:rFonts w:ascii="Verdana" w:hAnsi="Verdana"/>
          <w:sz w:val="20"/>
          <w:lang w:val="pt-BR"/>
        </w:rPr>
        <w:t>sua responsabilidade</w:t>
      </w:r>
      <w:r w:rsidR="004756C1" w:rsidRPr="002F50BD">
        <w:rPr>
          <w:rFonts w:ascii="Verdana" w:hAnsi="Verdana"/>
          <w:sz w:val="20"/>
          <w:lang w:val="pt-BR"/>
        </w:rPr>
        <w:t xml:space="preserve">, dentro </w:t>
      </w:r>
      <w:r w:rsidR="0089298C" w:rsidRPr="002F50BD">
        <w:rPr>
          <w:rFonts w:ascii="Verdana" w:hAnsi="Verdana"/>
          <w:sz w:val="20"/>
          <w:lang w:val="pt-BR"/>
        </w:rPr>
        <w:t>do prazo</w:t>
      </w:r>
      <w:r w:rsidR="004756C1" w:rsidRPr="002F50BD">
        <w:rPr>
          <w:rFonts w:ascii="Verdana" w:hAnsi="Verdana"/>
          <w:sz w:val="20"/>
          <w:lang w:val="pt-BR"/>
        </w:rPr>
        <w:t xml:space="preserve"> de</w:t>
      </w:r>
      <w:r w:rsidR="0089298C" w:rsidRPr="002F50BD">
        <w:rPr>
          <w:rFonts w:ascii="Verdana" w:hAnsi="Verdana"/>
          <w:sz w:val="20"/>
          <w:lang w:val="pt-BR"/>
        </w:rPr>
        <w:t xml:space="preserve"> um ano,</w:t>
      </w:r>
      <w:r w:rsidR="004756C1" w:rsidRPr="002F50BD">
        <w:rPr>
          <w:rFonts w:ascii="Verdana" w:hAnsi="Verdana"/>
          <w:sz w:val="20"/>
          <w:lang w:val="pt-BR"/>
        </w:rPr>
        <w:t xml:space="preserve"> contado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 xml:space="preserve">ção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226</w:t>
      </w:r>
      <w:r w:rsidR="0089298C" w:rsidRPr="002F50BD">
        <w:rPr>
          <w:rFonts w:ascii="Verdana" w:hAnsi="Verdana"/>
          <w:sz w:val="20"/>
          <w:lang w:val="pt-BR"/>
        </w:rPr>
        <w:t xml:space="preserve"> da mesm</w:t>
      </w:r>
      <w:r w:rsidR="004756C1" w:rsidRPr="002F50BD">
        <w:rPr>
          <w:rFonts w:ascii="Verdana" w:hAnsi="Verdana"/>
          <w:sz w:val="20"/>
          <w:lang w:val="pt-BR"/>
        </w:rPr>
        <w:t>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12</w:t>
      </w:r>
      <w:r w:rsidR="004756C1" w:rsidRPr="002F50BD">
        <w:rPr>
          <w:rFonts w:ascii="Verdana" w:hAnsi="Verdana"/>
          <w:sz w:val="20"/>
          <w:lang w:val="pt-BR"/>
        </w:rPr>
        <w:t xml:space="preserve">. </w:t>
      </w:r>
      <w:r w:rsidR="004756C1" w:rsidRPr="002F50BD">
        <w:rPr>
          <w:rFonts w:ascii="Verdana" w:hAnsi="Verdana"/>
          <w:sz w:val="20"/>
          <w:lang w:val="pt-BR"/>
        </w:rPr>
        <w:tab/>
      </w:r>
      <w:r w:rsidR="004826A8" w:rsidRPr="002F50BD">
        <w:rPr>
          <w:rFonts w:ascii="Verdana" w:hAnsi="Verdana"/>
          <w:color w:val="000000"/>
          <w:sz w:val="20"/>
          <w:lang w:val="pt-BR"/>
        </w:rPr>
        <w:t>O</w:t>
      </w:r>
      <w:r w:rsidR="004756C1" w:rsidRPr="002F50BD">
        <w:rPr>
          <w:rFonts w:ascii="Verdana" w:hAnsi="Verdana"/>
          <w:color w:val="000000"/>
          <w:sz w:val="20"/>
          <w:lang w:val="pt-BR"/>
        </w:rPr>
        <w:t xml:space="preserve"> Estado </w:t>
      </w:r>
      <w:r w:rsidR="0089298C" w:rsidRPr="002F50BD">
        <w:rPr>
          <w:rFonts w:ascii="Verdana" w:hAnsi="Verdana"/>
          <w:color w:val="000000"/>
          <w:sz w:val="20"/>
          <w:lang w:val="pt-BR"/>
        </w:rPr>
        <w:t>dever</w:t>
      </w:r>
      <w:r w:rsidR="004756C1" w:rsidRPr="002F50BD">
        <w:rPr>
          <w:rFonts w:ascii="Verdana" w:hAnsi="Verdana"/>
          <w:color w:val="000000"/>
          <w:sz w:val="20"/>
          <w:lang w:val="pt-BR"/>
        </w:rPr>
        <w:t xml:space="preserve">á publicar, dentro </w:t>
      </w:r>
      <w:r w:rsidR="0089298C" w:rsidRPr="002F50BD">
        <w:rPr>
          <w:rFonts w:ascii="Verdana" w:hAnsi="Verdana"/>
          <w:color w:val="000000"/>
          <w:sz w:val="20"/>
          <w:lang w:val="pt-BR"/>
        </w:rPr>
        <w:t>do prazo</w:t>
      </w:r>
      <w:r w:rsidR="004756C1" w:rsidRPr="002F50BD">
        <w:rPr>
          <w:rFonts w:ascii="Verdana" w:hAnsi="Verdana"/>
          <w:color w:val="000000"/>
          <w:sz w:val="20"/>
          <w:lang w:val="pt-BR"/>
        </w:rPr>
        <w:t xml:space="preserve"> de</w:t>
      </w:r>
      <w:r w:rsidR="0089298C" w:rsidRPr="002F50BD">
        <w:rPr>
          <w:rFonts w:ascii="Verdana" w:hAnsi="Verdana"/>
          <w:color w:val="000000"/>
          <w:sz w:val="20"/>
          <w:lang w:val="pt-BR"/>
        </w:rPr>
        <w:t xml:space="preserve"> um ano </w:t>
      </w:r>
      <w:r w:rsidR="004756C1" w:rsidRPr="002F50BD">
        <w:rPr>
          <w:rFonts w:ascii="Verdana" w:hAnsi="Verdana"/>
          <w:color w:val="000000"/>
          <w:sz w:val="20"/>
          <w:lang w:val="pt-BR"/>
        </w:rPr>
        <w:t>contado a partir</w:t>
      </w:r>
      <w:r w:rsidR="0089298C" w:rsidRPr="002F50BD">
        <w:rPr>
          <w:rFonts w:ascii="Verdana" w:hAnsi="Verdana"/>
          <w:color w:val="000000"/>
          <w:sz w:val="20"/>
          <w:lang w:val="pt-BR"/>
        </w:rPr>
        <w:t xml:space="preserve"> da </w:t>
      </w:r>
      <w:r w:rsidR="004756C1" w:rsidRPr="002F50BD">
        <w:rPr>
          <w:rFonts w:ascii="Verdana" w:hAnsi="Verdana"/>
          <w:color w:val="000000"/>
          <w:sz w:val="20"/>
          <w:lang w:val="pt-BR"/>
        </w:rPr>
        <w:t>notifica</w:t>
      </w:r>
      <w:r w:rsidR="0089298C" w:rsidRPr="002F50BD">
        <w:rPr>
          <w:rFonts w:ascii="Verdana" w:hAnsi="Verdana"/>
          <w:color w:val="000000"/>
          <w:sz w:val="20"/>
          <w:lang w:val="pt-BR"/>
        </w:rPr>
        <w:t xml:space="preserve">ção da </w:t>
      </w:r>
      <w:r w:rsidR="004756C1" w:rsidRPr="002F50BD">
        <w:rPr>
          <w:rFonts w:ascii="Verdana" w:hAnsi="Verdana"/>
          <w:color w:val="000000"/>
          <w:sz w:val="20"/>
          <w:lang w:val="pt-BR"/>
        </w:rPr>
        <w:t xml:space="preserve">presente </w:t>
      </w:r>
      <w:r w:rsidR="0089298C" w:rsidRPr="002F50BD">
        <w:rPr>
          <w:rFonts w:ascii="Verdana" w:hAnsi="Verdana"/>
          <w:color w:val="000000"/>
          <w:sz w:val="20"/>
          <w:lang w:val="pt-BR"/>
        </w:rPr>
        <w:t>Sentença</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ao </w:t>
      </w:r>
      <w:r w:rsidR="004756C1" w:rsidRPr="002F50BD">
        <w:rPr>
          <w:rFonts w:ascii="Verdana" w:hAnsi="Verdana"/>
          <w:color w:val="000000"/>
          <w:sz w:val="20"/>
          <w:lang w:val="pt-BR"/>
        </w:rPr>
        <w:t>menos por</w:t>
      </w:r>
      <w:r w:rsidR="0089298C" w:rsidRPr="002F50BD">
        <w:rPr>
          <w:rFonts w:ascii="Verdana" w:hAnsi="Verdana"/>
          <w:color w:val="000000"/>
          <w:sz w:val="20"/>
          <w:lang w:val="pt-BR"/>
        </w:rPr>
        <w:t xml:space="preserve"> uma </w:t>
      </w:r>
      <w:r w:rsidR="004756C1" w:rsidRPr="002F50BD">
        <w:rPr>
          <w:rFonts w:ascii="Verdana" w:hAnsi="Verdana"/>
          <w:color w:val="000000"/>
          <w:sz w:val="20"/>
          <w:lang w:val="pt-BR"/>
        </w:rPr>
        <w:t>vez,</w:t>
      </w:r>
      <w:r w:rsidR="0089298C" w:rsidRPr="002F50BD">
        <w:rPr>
          <w:rFonts w:ascii="Verdana" w:hAnsi="Verdana"/>
          <w:color w:val="000000"/>
          <w:sz w:val="20"/>
          <w:lang w:val="pt-BR"/>
        </w:rPr>
        <w:t xml:space="preserve"> no Diário</w:t>
      </w:r>
      <w:r w:rsidR="004756C1" w:rsidRPr="002F50BD">
        <w:rPr>
          <w:rFonts w:ascii="Verdana" w:hAnsi="Verdana"/>
          <w:color w:val="000000"/>
          <w:sz w:val="20"/>
          <w:lang w:val="pt-BR"/>
        </w:rPr>
        <w:t xml:space="preserve"> Oficial</w:t>
      </w:r>
      <w:r w:rsidR="0089298C" w:rsidRPr="002F50BD">
        <w:rPr>
          <w:rFonts w:ascii="Verdana" w:hAnsi="Verdana"/>
          <w:color w:val="000000"/>
          <w:sz w:val="20"/>
          <w:lang w:val="pt-BR"/>
        </w:rPr>
        <w:t xml:space="preserve"> e em outro </w:t>
      </w:r>
      <w:r w:rsidR="003B734C">
        <w:rPr>
          <w:rFonts w:ascii="Verdana" w:hAnsi="Verdana"/>
          <w:color w:val="000000"/>
          <w:sz w:val="20"/>
          <w:lang w:val="pt-BR"/>
        </w:rPr>
        <w:t>jornal de circulação</w:t>
      </w:r>
      <w:r w:rsidR="004756C1" w:rsidRPr="002F50BD">
        <w:rPr>
          <w:rFonts w:ascii="Verdana" w:hAnsi="Verdana"/>
          <w:color w:val="000000"/>
          <w:sz w:val="20"/>
          <w:lang w:val="pt-BR"/>
        </w:rPr>
        <w:t xml:space="preserve"> nacional, tanto</w:t>
      </w:r>
      <w:r w:rsidR="00754117" w:rsidRPr="002F50BD">
        <w:rPr>
          <w:rFonts w:ascii="Verdana" w:hAnsi="Verdana"/>
          <w:sz w:val="20"/>
          <w:lang w:val="pt-BR"/>
        </w:rPr>
        <w:t xml:space="preserve"> o capítulo denominado</w:t>
      </w:r>
      <w:r w:rsidR="004756C1" w:rsidRPr="002F50BD">
        <w:rPr>
          <w:rFonts w:ascii="Verdana" w:hAnsi="Verdana"/>
          <w:sz w:val="20"/>
          <w:lang w:val="pt-BR"/>
        </w:rPr>
        <w:t xml:space="preserve"> </w:t>
      </w:r>
      <w:r w:rsidR="0089298C" w:rsidRPr="002F50BD">
        <w:rPr>
          <w:rFonts w:ascii="Verdana" w:hAnsi="Verdana"/>
          <w:sz w:val="20"/>
          <w:lang w:val="pt-BR"/>
        </w:rPr>
        <w:t>Fatos</w:t>
      </w:r>
      <w:r w:rsidR="004756C1" w:rsidRPr="002F50BD">
        <w:rPr>
          <w:rFonts w:ascii="Verdana" w:hAnsi="Verdana"/>
          <w:sz w:val="20"/>
          <w:lang w:val="pt-BR"/>
        </w:rPr>
        <w:t xml:space="preserve"> </w:t>
      </w:r>
      <w:r w:rsidR="0089298C" w:rsidRPr="002F50BD">
        <w:rPr>
          <w:rFonts w:ascii="Verdana" w:hAnsi="Verdana"/>
          <w:sz w:val="20"/>
          <w:lang w:val="pt-BR"/>
        </w:rPr>
        <w:t>Provad</w:t>
      </w:r>
      <w:r w:rsidR="004756C1" w:rsidRPr="002F50BD">
        <w:rPr>
          <w:rFonts w:ascii="Verdana" w:hAnsi="Verdana"/>
          <w:sz w:val="20"/>
          <w:lang w:val="pt-BR"/>
        </w:rPr>
        <w:t>os como</w:t>
      </w:r>
      <w:r w:rsidR="0089298C" w:rsidRPr="002F50BD">
        <w:rPr>
          <w:rFonts w:ascii="Verdana" w:hAnsi="Verdana"/>
          <w:sz w:val="20"/>
          <w:lang w:val="pt-BR"/>
        </w:rPr>
        <w:t xml:space="preserve"> os pontos</w:t>
      </w:r>
      <w:r w:rsidR="004756C1" w:rsidRPr="002F50BD">
        <w:rPr>
          <w:rFonts w:ascii="Verdana" w:hAnsi="Verdana"/>
          <w:sz w:val="20"/>
          <w:lang w:val="pt-BR"/>
        </w:rPr>
        <w:t xml:space="preserve"> resolutivos </w:t>
      </w:r>
      <w:r w:rsidR="0089298C" w:rsidRPr="002F50BD">
        <w:rPr>
          <w:rFonts w:ascii="Verdana" w:hAnsi="Verdana"/>
          <w:sz w:val="20"/>
          <w:lang w:val="pt-BR"/>
        </w:rPr>
        <w:t>Primeiro</w:t>
      </w:r>
      <w:r w:rsidR="004756C1" w:rsidRPr="002F50BD">
        <w:rPr>
          <w:rFonts w:ascii="Verdana" w:hAnsi="Verdana"/>
          <w:sz w:val="20"/>
          <w:lang w:val="pt-BR"/>
        </w:rPr>
        <w:t xml:space="preserve"> a Décimo </w:t>
      </w:r>
      <w:r w:rsidR="0089298C" w:rsidRPr="002F50BD">
        <w:rPr>
          <w:rFonts w:ascii="Verdana" w:hAnsi="Verdana"/>
          <w:sz w:val="20"/>
          <w:lang w:val="pt-BR"/>
        </w:rPr>
        <w:t>Quarto</w:t>
      </w:r>
      <w:r w:rsidR="004756C1" w:rsidRPr="002F50BD">
        <w:rPr>
          <w:rFonts w:ascii="Verdana" w:hAnsi="Verdana"/>
          <w:sz w:val="20"/>
          <w:lang w:val="pt-BR"/>
        </w:rPr>
        <w:t xml:space="preserve"> de</w:t>
      </w:r>
      <w:r w:rsidR="004826A8" w:rsidRPr="002F50BD">
        <w:rPr>
          <w:rFonts w:ascii="Verdana" w:hAnsi="Verdana"/>
          <w:sz w:val="20"/>
          <w:lang w:val="pt-BR"/>
        </w:rPr>
        <w:t>sta</w:t>
      </w:r>
      <w:r w:rsidR="004756C1" w:rsidRPr="002F50BD">
        <w:rPr>
          <w:rFonts w:ascii="Verdana" w:hAnsi="Verdana"/>
          <w:sz w:val="20"/>
          <w:lang w:val="pt-BR"/>
        </w:rPr>
        <w:t>.</w:t>
      </w:r>
      <w:r w:rsidR="00FE08B7">
        <w:rPr>
          <w:rFonts w:ascii="Verdana" w:hAnsi="Verdana"/>
          <w:color w:val="000000"/>
          <w:sz w:val="20"/>
          <w:lang w:val="pt-BR"/>
        </w:rPr>
        <w:t xml:space="preserve"> </w:t>
      </w:r>
      <w:r w:rsidR="004826A8" w:rsidRPr="002F50BD">
        <w:rPr>
          <w:rFonts w:ascii="Verdana" w:hAnsi="Verdana"/>
          <w:color w:val="000000"/>
          <w:sz w:val="20"/>
          <w:lang w:val="pt-BR"/>
        </w:rPr>
        <w:t>Ademais</w:t>
      </w:r>
      <w:r w:rsidR="004756C1" w:rsidRPr="002F50BD">
        <w:rPr>
          <w:rFonts w:ascii="Verdana" w:hAnsi="Verdana"/>
          <w:color w:val="000000"/>
          <w:sz w:val="20"/>
          <w:lang w:val="pt-BR"/>
        </w:rPr>
        <w:t>,</w:t>
      </w:r>
      <w:r w:rsidR="0089298C" w:rsidRPr="002F50BD">
        <w:rPr>
          <w:rFonts w:ascii="Verdana" w:hAnsi="Verdana"/>
          <w:color w:val="000000"/>
          <w:sz w:val="20"/>
          <w:lang w:val="pt-BR"/>
        </w:rPr>
        <w:t xml:space="preserve"> o </w:t>
      </w:r>
      <w:r w:rsidR="004756C1" w:rsidRPr="002F50BD">
        <w:rPr>
          <w:rFonts w:ascii="Verdana" w:hAnsi="Verdana"/>
          <w:color w:val="000000"/>
          <w:sz w:val="20"/>
          <w:lang w:val="pt-BR"/>
        </w:rPr>
        <w:t xml:space="preserve">Estado </w:t>
      </w:r>
      <w:r w:rsidR="0089298C" w:rsidRPr="002F50BD">
        <w:rPr>
          <w:rFonts w:ascii="Verdana" w:hAnsi="Verdana"/>
          <w:color w:val="000000"/>
          <w:sz w:val="20"/>
          <w:lang w:val="pt-BR"/>
        </w:rPr>
        <w:t>dever</w:t>
      </w:r>
      <w:r w:rsidR="004756C1" w:rsidRPr="002F50BD">
        <w:rPr>
          <w:rFonts w:ascii="Verdana" w:hAnsi="Verdana"/>
          <w:color w:val="000000"/>
          <w:sz w:val="20"/>
          <w:lang w:val="pt-BR"/>
        </w:rPr>
        <w:t>á financiar</w:t>
      </w:r>
      <w:r w:rsidR="0089298C" w:rsidRPr="002F50BD">
        <w:rPr>
          <w:rFonts w:ascii="Verdana" w:hAnsi="Verdana"/>
          <w:color w:val="000000"/>
          <w:sz w:val="20"/>
          <w:lang w:val="pt-BR"/>
        </w:rPr>
        <w:t xml:space="preserve"> a </w:t>
      </w:r>
      <w:r w:rsidR="004756C1" w:rsidRPr="002F50BD">
        <w:rPr>
          <w:rFonts w:ascii="Verdana" w:hAnsi="Verdana"/>
          <w:color w:val="000000"/>
          <w:sz w:val="20"/>
          <w:lang w:val="pt-BR"/>
        </w:rPr>
        <w:t>trans</w:t>
      </w:r>
      <w:r w:rsidR="0089298C" w:rsidRPr="002F50BD">
        <w:rPr>
          <w:rFonts w:ascii="Verdana" w:hAnsi="Verdana"/>
          <w:color w:val="000000"/>
          <w:sz w:val="20"/>
          <w:lang w:val="pt-BR"/>
        </w:rPr>
        <w:t>missão</w:t>
      </w:r>
      <w:r w:rsidR="004756C1" w:rsidRPr="002F50BD">
        <w:rPr>
          <w:rFonts w:ascii="Verdana" w:hAnsi="Verdana"/>
          <w:color w:val="000000"/>
          <w:sz w:val="20"/>
          <w:lang w:val="pt-BR"/>
        </w:rPr>
        <w:t xml:space="preserve"> radial</w:t>
      </w:r>
      <w:r w:rsidR="0089298C" w:rsidRPr="002F50BD">
        <w:rPr>
          <w:rFonts w:ascii="Verdana" w:hAnsi="Verdana"/>
          <w:color w:val="000000"/>
          <w:sz w:val="20"/>
          <w:lang w:val="pt-BR"/>
        </w:rPr>
        <w:t xml:space="preserve"> desta Sentença</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227</w:t>
      </w:r>
      <w:r w:rsidR="0089298C" w:rsidRPr="002F50BD">
        <w:rPr>
          <w:rFonts w:ascii="Verdana" w:hAnsi="Verdana"/>
          <w:sz w:val="20"/>
          <w:lang w:val="pt-BR"/>
        </w:rPr>
        <w:t xml:space="preserve"> da mesm</w:t>
      </w:r>
      <w:r w:rsidR="004756C1" w:rsidRPr="002F50BD">
        <w:rPr>
          <w:rFonts w:ascii="Verdana" w:hAnsi="Verdana"/>
          <w:sz w:val="20"/>
          <w:lang w:val="pt-BR"/>
        </w:rPr>
        <w:t>a.</w:t>
      </w:r>
    </w:p>
    <w:p w:rsidR="004756C1" w:rsidRPr="002F50BD" w:rsidRDefault="00063B47">
      <w:pPr>
        <w:spacing w:beforeAutospacing="1" w:afterAutospacing="1"/>
        <w:jc w:val="both"/>
        <w:rPr>
          <w:rFonts w:ascii="Verdana" w:hAnsi="Verdana"/>
          <w:sz w:val="20"/>
          <w:lang w:val="pt-BR"/>
        </w:rPr>
      </w:pPr>
      <w:r w:rsidRPr="002F50BD">
        <w:rPr>
          <w:rFonts w:ascii="Verdana" w:hAnsi="Verdana"/>
          <w:sz w:val="20"/>
          <w:lang w:val="pt-BR"/>
        </w:rPr>
        <w:t>13</w:t>
      </w:r>
      <w:r w:rsidR="004756C1" w:rsidRPr="002F50BD">
        <w:rPr>
          <w:rFonts w:ascii="Verdana" w:hAnsi="Verdana"/>
          <w:sz w:val="20"/>
          <w:lang w:val="pt-BR"/>
        </w:rPr>
        <w:t xml:space="preserve">. </w:t>
      </w:r>
      <w:r w:rsidR="004756C1" w:rsidRPr="002F50BD">
        <w:rPr>
          <w:rFonts w:ascii="Verdana" w:hAnsi="Verdana"/>
          <w:sz w:val="20"/>
          <w:lang w:val="pt-BR"/>
        </w:rPr>
        <w:tab/>
      </w:r>
      <w:r w:rsidR="004826A8" w:rsidRPr="002F50BD">
        <w:rPr>
          <w:rFonts w:ascii="Verdana" w:hAnsi="Verdana"/>
          <w:sz w:val="20"/>
          <w:lang w:val="pt-BR"/>
        </w:rPr>
        <w:t>O</w:t>
      </w:r>
      <w:r w:rsidR="004756C1" w:rsidRPr="002F50BD">
        <w:rPr>
          <w:rFonts w:ascii="Verdana" w:hAnsi="Verdana"/>
          <w:sz w:val="20"/>
          <w:lang w:val="pt-BR"/>
        </w:rPr>
        <w:t xml:space="preserve"> Estado </w:t>
      </w:r>
      <w:r w:rsidR="0089298C" w:rsidRPr="002F50BD">
        <w:rPr>
          <w:rFonts w:ascii="Verdana" w:hAnsi="Verdana"/>
          <w:sz w:val="20"/>
          <w:lang w:val="pt-BR"/>
        </w:rPr>
        <w:t>dever</w:t>
      </w:r>
      <w:r w:rsidR="004756C1" w:rsidRPr="002F50BD">
        <w:rPr>
          <w:rFonts w:ascii="Verdana" w:hAnsi="Verdana"/>
          <w:sz w:val="20"/>
          <w:lang w:val="pt-BR"/>
        </w:rPr>
        <w:t xml:space="preserve">á </w:t>
      </w:r>
      <w:r w:rsidR="0089298C" w:rsidRPr="002F50BD">
        <w:rPr>
          <w:rFonts w:ascii="Verdana" w:hAnsi="Verdana"/>
          <w:sz w:val="20"/>
          <w:lang w:val="pt-BR"/>
        </w:rPr>
        <w:t>realizar os pagamento</w:t>
      </w:r>
      <w:r w:rsidR="004756C1" w:rsidRPr="002F50BD">
        <w:rPr>
          <w:rFonts w:ascii="Verdana" w:hAnsi="Verdana"/>
          <w:sz w:val="20"/>
          <w:lang w:val="pt-BR"/>
        </w:rPr>
        <w:t xml:space="preserve">s </w:t>
      </w:r>
      <w:r w:rsidR="00DC0F25" w:rsidRPr="002F50BD">
        <w:rPr>
          <w:rFonts w:ascii="Verdana" w:hAnsi="Verdana"/>
          <w:sz w:val="20"/>
          <w:lang w:val="pt-BR"/>
        </w:rPr>
        <w:t>a título de</w:t>
      </w:r>
      <w:r w:rsidR="0089298C" w:rsidRPr="002F50BD">
        <w:rPr>
          <w:rFonts w:ascii="Verdana" w:hAnsi="Verdana"/>
          <w:sz w:val="20"/>
          <w:lang w:val="pt-BR"/>
        </w:rPr>
        <w:t xml:space="preserve"> dano</w:t>
      </w:r>
      <w:r w:rsidR="004756C1" w:rsidRPr="002F50BD">
        <w:rPr>
          <w:rFonts w:ascii="Verdana" w:hAnsi="Verdana"/>
          <w:sz w:val="20"/>
          <w:lang w:val="pt-BR"/>
        </w:rPr>
        <w:t xml:space="preserve"> material</w:t>
      </w:r>
      <w:r w:rsidR="0089298C" w:rsidRPr="002F50BD">
        <w:rPr>
          <w:rFonts w:ascii="Verdana" w:hAnsi="Verdana"/>
          <w:sz w:val="20"/>
          <w:lang w:val="pt-BR"/>
        </w:rPr>
        <w:t xml:space="preserve"> e custas e </w:t>
      </w:r>
      <w:r w:rsidR="004756C1" w:rsidRPr="002F50BD">
        <w:rPr>
          <w:rFonts w:ascii="Verdana" w:hAnsi="Verdana"/>
          <w:sz w:val="20"/>
          <w:lang w:val="pt-BR"/>
        </w:rPr>
        <w:t xml:space="preserve">gastos dentro </w:t>
      </w:r>
      <w:r w:rsidR="0089298C" w:rsidRPr="002F50BD">
        <w:rPr>
          <w:rFonts w:ascii="Verdana" w:hAnsi="Verdana"/>
          <w:sz w:val="20"/>
          <w:lang w:val="pt-BR"/>
        </w:rPr>
        <w:t>do prazo</w:t>
      </w:r>
      <w:r w:rsidR="004756C1" w:rsidRPr="002F50BD">
        <w:rPr>
          <w:rFonts w:ascii="Verdana" w:hAnsi="Verdana"/>
          <w:sz w:val="20"/>
          <w:lang w:val="pt-BR"/>
        </w:rPr>
        <w:t xml:space="preserve"> de</w:t>
      </w:r>
      <w:r w:rsidR="0089298C" w:rsidRPr="002F50BD">
        <w:rPr>
          <w:rFonts w:ascii="Verdana" w:hAnsi="Verdana"/>
          <w:sz w:val="20"/>
          <w:lang w:val="pt-BR"/>
        </w:rPr>
        <w:t xml:space="preserve"> um ano,</w:t>
      </w:r>
      <w:r w:rsidR="004756C1" w:rsidRPr="002F50BD">
        <w:rPr>
          <w:rFonts w:ascii="Verdana" w:hAnsi="Verdana"/>
          <w:sz w:val="20"/>
          <w:lang w:val="pt-BR"/>
        </w:rPr>
        <w:t xml:space="preserve"> contado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ção</w:t>
      </w:r>
      <w:r w:rsidR="004756C1" w:rsidRPr="002F50BD">
        <w:rPr>
          <w:rFonts w:ascii="Verdana" w:hAnsi="Verdana"/>
          <w:sz w:val="20"/>
          <w:lang w:val="pt-BR"/>
        </w:rPr>
        <w:t xml:space="preserve"> </w:t>
      </w:r>
      <w:r w:rsidR="005A2AF3" w:rsidRPr="002F50BD">
        <w:rPr>
          <w:rFonts w:ascii="Verdana" w:hAnsi="Verdana"/>
          <w:sz w:val="20"/>
          <w:lang w:val="pt-BR"/>
        </w:rPr>
        <w:t>da</w:t>
      </w:r>
      <w:r w:rsidR="0089298C" w:rsidRPr="002F50BD">
        <w:rPr>
          <w:rFonts w:ascii="Verdana" w:hAnsi="Verdana"/>
          <w:sz w:val="20"/>
          <w:lang w:val="pt-BR"/>
        </w:rPr>
        <w:t xml:space="preserve"> </w:t>
      </w:r>
      <w:r w:rsidR="004756C1" w:rsidRPr="002F50BD">
        <w:rPr>
          <w:rFonts w:ascii="Verdana" w:hAnsi="Verdana"/>
          <w:sz w:val="20"/>
          <w:lang w:val="pt-BR"/>
        </w:rPr>
        <w:t xml:space="preserve">presente </w:t>
      </w:r>
      <w:r w:rsidR="0089298C" w:rsidRPr="002F50BD">
        <w:rPr>
          <w:rFonts w:ascii="Verdana" w:hAnsi="Verdana"/>
          <w:sz w:val="20"/>
          <w:lang w:val="pt-BR"/>
        </w:rPr>
        <w:t>decisão</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s</w:t>
      </w:r>
      <w:r w:rsidR="0089298C" w:rsidRPr="002F50BD">
        <w:rPr>
          <w:rFonts w:ascii="Verdana" w:hAnsi="Verdana"/>
          <w:sz w:val="20"/>
          <w:lang w:val="pt-BR"/>
        </w:rPr>
        <w:t xml:space="preserve"> dos parágrafo</w:t>
      </w:r>
      <w:r w:rsidR="004756C1" w:rsidRPr="002F50BD">
        <w:rPr>
          <w:rFonts w:ascii="Verdana" w:hAnsi="Verdana"/>
          <w:sz w:val="20"/>
          <w:lang w:val="pt-BR"/>
        </w:rPr>
        <w:t xml:space="preserve">s </w:t>
      </w:r>
      <w:r w:rsidRPr="002F50BD">
        <w:rPr>
          <w:rFonts w:ascii="Verdana" w:hAnsi="Verdana"/>
          <w:sz w:val="20"/>
          <w:lang w:val="pt-BR"/>
        </w:rPr>
        <w:t>195</w:t>
      </w:r>
      <w:r w:rsidR="0089298C" w:rsidRPr="002F50BD">
        <w:rPr>
          <w:rFonts w:ascii="Verdana" w:hAnsi="Verdana"/>
          <w:sz w:val="20"/>
          <w:lang w:val="pt-BR"/>
        </w:rPr>
        <w:t xml:space="preserve"> e </w:t>
      </w:r>
      <w:r w:rsidRPr="002F50BD">
        <w:rPr>
          <w:rFonts w:ascii="Verdana" w:hAnsi="Verdana"/>
          <w:sz w:val="20"/>
          <w:lang w:val="pt-BR"/>
        </w:rPr>
        <w:t>232</w:t>
      </w:r>
      <w:r w:rsidR="0089298C" w:rsidRPr="002F50BD">
        <w:rPr>
          <w:rFonts w:ascii="Verdana" w:hAnsi="Verdana"/>
          <w:sz w:val="20"/>
          <w:lang w:val="pt-BR"/>
        </w:rPr>
        <w:t xml:space="preserve"> desta Sentença</w:t>
      </w:r>
      <w:r w:rsidR="004756C1" w:rsidRPr="002F50BD">
        <w:rPr>
          <w:rFonts w:ascii="Verdana" w:hAnsi="Verdana"/>
          <w:sz w:val="20"/>
          <w:lang w:val="pt-BR"/>
        </w:rPr>
        <w:t>.</w:t>
      </w:r>
    </w:p>
    <w:p w:rsidR="004756C1" w:rsidRPr="002F50BD" w:rsidRDefault="00063B47">
      <w:pPr>
        <w:jc w:val="both"/>
        <w:rPr>
          <w:rFonts w:ascii="Verdana" w:hAnsi="Verdana"/>
          <w:sz w:val="20"/>
          <w:lang w:val="pt-BR"/>
        </w:rPr>
      </w:pPr>
      <w:r w:rsidRPr="002F50BD">
        <w:rPr>
          <w:rFonts w:ascii="Verdana" w:hAnsi="Verdana"/>
          <w:sz w:val="20"/>
          <w:lang w:val="pt-BR"/>
        </w:rPr>
        <w:t>14</w:t>
      </w:r>
      <w:r w:rsidR="004756C1" w:rsidRPr="002F50BD">
        <w:rPr>
          <w:rFonts w:ascii="Verdana" w:hAnsi="Verdana"/>
          <w:sz w:val="20"/>
          <w:lang w:val="pt-BR"/>
        </w:rPr>
        <w:t>.</w:t>
      </w:r>
      <w:r w:rsidR="004756C1" w:rsidRPr="002F50BD">
        <w:rPr>
          <w:rFonts w:ascii="Verdana" w:hAnsi="Verdana"/>
          <w:sz w:val="20"/>
          <w:lang w:val="pt-BR"/>
        </w:rPr>
        <w:tab/>
      </w:r>
      <w:r w:rsidR="005A2AF3" w:rsidRPr="002F50BD">
        <w:rPr>
          <w:rFonts w:ascii="Verdana" w:hAnsi="Verdana"/>
          <w:sz w:val="20"/>
          <w:lang w:val="pt-BR"/>
        </w:rPr>
        <w:t>A</w:t>
      </w:r>
      <w:r w:rsidR="0089298C" w:rsidRPr="002F50BD">
        <w:rPr>
          <w:rFonts w:ascii="Verdana" w:hAnsi="Verdana"/>
          <w:sz w:val="20"/>
          <w:lang w:val="pt-BR"/>
        </w:rPr>
        <w:t xml:space="preserve"> Corte</w:t>
      </w:r>
      <w:r w:rsidR="004756C1" w:rsidRPr="002F50BD">
        <w:rPr>
          <w:rFonts w:ascii="Verdana" w:hAnsi="Verdana"/>
          <w:sz w:val="20"/>
          <w:lang w:val="pt-BR"/>
        </w:rPr>
        <w:t xml:space="preserve"> </w:t>
      </w:r>
      <w:r w:rsidR="0089298C" w:rsidRPr="002F50BD">
        <w:rPr>
          <w:rFonts w:ascii="Verdana" w:hAnsi="Verdana"/>
          <w:sz w:val="20"/>
          <w:lang w:val="pt-BR"/>
        </w:rPr>
        <w:t>supervis</w:t>
      </w:r>
      <w:r w:rsidR="007D16B9" w:rsidRPr="002F50BD">
        <w:rPr>
          <w:rFonts w:ascii="Verdana" w:hAnsi="Verdana"/>
          <w:sz w:val="20"/>
          <w:lang w:val="pt-BR"/>
        </w:rPr>
        <w:t>a</w:t>
      </w:r>
      <w:r w:rsidR="0089298C" w:rsidRPr="002F50BD">
        <w:rPr>
          <w:rFonts w:ascii="Verdana" w:hAnsi="Verdana"/>
          <w:sz w:val="20"/>
          <w:lang w:val="pt-BR"/>
        </w:rPr>
        <w:t>r</w:t>
      </w:r>
      <w:r w:rsidR="004756C1" w:rsidRPr="002F50BD">
        <w:rPr>
          <w:rFonts w:ascii="Verdana" w:hAnsi="Verdana"/>
          <w:sz w:val="20"/>
          <w:lang w:val="pt-BR"/>
        </w:rPr>
        <w:t>á</w:t>
      </w:r>
      <w:r w:rsidR="0089298C" w:rsidRPr="002F50BD">
        <w:rPr>
          <w:rFonts w:ascii="Verdana" w:hAnsi="Verdana"/>
          <w:sz w:val="20"/>
          <w:lang w:val="pt-BR"/>
        </w:rPr>
        <w:t xml:space="preserve"> o cumprimento desta Sentença e </w:t>
      </w:r>
      <w:r w:rsidR="004756C1" w:rsidRPr="002F50BD">
        <w:rPr>
          <w:rFonts w:ascii="Verdana" w:hAnsi="Verdana"/>
          <w:sz w:val="20"/>
          <w:lang w:val="pt-BR"/>
        </w:rPr>
        <w:t xml:space="preserve">dará por </w:t>
      </w:r>
      <w:r w:rsidR="005A2AF3" w:rsidRPr="002F50BD">
        <w:rPr>
          <w:rFonts w:ascii="Verdana" w:hAnsi="Verdana"/>
          <w:sz w:val="20"/>
          <w:lang w:val="pt-BR"/>
        </w:rPr>
        <w:t xml:space="preserve">concluído </w:t>
      </w:r>
      <w:r w:rsidR="0089298C" w:rsidRPr="002F50BD">
        <w:rPr>
          <w:rFonts w:ascii="Verdana" w:hAnsi="Verdana"/>
          <w:sz w:val="20"/>
          <w:lang w:val="pt-BR"/>
        </w:rPr>
        <w:t xml:space="preserve">o </w:t>
      </w:r>
      <w:r w:rsidR="004756C1" w:rsidRPr="002F50BD">
        <w:rPr>
          <w:rFonts w:ascii="Verdana" w:hAnsi="Verdana"/>
          <w:sz w:val="20"/>
          <w:lang w:val="pt-BR"/>
        </w:rPr>
        <w:t>presente caso</w:t>
      </w:r>
      <w:r w:rsidR="0089298C" w:rsidRPr="002F50BD">
        <w:rPr>
          <w:rFonts w:ascii="Verdana" w:hAnsi="Verdana"/>
          <w:sz w:val="20"/>
          <w:lang w:val="pt-BR"/>
        </w:rPr>
        <w:t xml:space="preserve"> uma </w:t>
      </w:r>
      <w:r w:rsidR="004756C1" w:rsidRPr="002F50BD">
        <w:rPr>
          <w:rFonts w:ascii="Verdana" w:hAnsi="Verdana"/>
          <w:sz w:val="20"/>
          <w:lang w:val="pt-BR"/>
        </w:rPr>
        <w:t>vez que</w:t>
      </w:r>
      <w:r w:rsidR="0089298C" w:rsidRPr="002F50BD">
        <w:rPr>
          <w:rFonts w:ascii="Verdana" w:hAnsi="Verdana"/>
          <w:sz w:val="20"/>
          <w:lang w:val="pt-BR"/>
        </w:rPr>
        <w:t xml:space="preserve"> o </w:t>
      </w:r>
      <w:r w:rsidR="004756C1" w:rsidRPr="002F50BD">
        <w:rPr>
          <w:rFonts w:ascii="Verdana" w:hAnsi="Verdana"/>
          <w:sz w:val="20"/>
          <w:lang w:val="pt-BR"/>
        </w:rPr>
        <w:t>Estado</w:t>
      </w:r>
      <w:r w:rsidR="0089298C" w:rsidRPr="002F50BD">
        <w:rPr>
          <w:rFonts w:ascii="Verdana" w:hAnsi="Verdana"/>
          <w:sz w:val="20"/>
          <w:lang w:val="pt-BR"/>
        </w:rPr>
        <w:t xml:space="preserve"> tenha </w:t>
      </w:r>
      <w:r w:rsidR="004756C1" w:rsidRPr="002F50BD">
        <w:rPr>
          <w:rFonts w:ascii="Verdana" w:hAnsi="Verdana"/>
          <w:sz w:val="20"/>
          <w:lang w:val="pt-BR"/>
        </w:rPr>
        <w:t xml:space="preserve">dado cabal </w:t>
      </w:r>
      <w:r w:rsidR="005A2AF3" w:rsidRPr="002F50BD">
        <w:rPr>
          <w:rFonts w:ascii="Verdana" w:hAnsi="Verdana"/>
          <w:sz w:val="20"/>
          <w:lang w:val="pt-BR"/>
        </w:rPr>
        <w:t xml:space="preserve">cumprimento </w:t>
      </w:r>
      <w:r w:rsidR="0089298C" w:rsidRPr="002F50BD">
        <w:rPr>
          <w:rFonts w:ascii="Verdana" w:hAnsi="Verdana"/>
          <w:sz w:val="20"/>
          <w:lang w:val="pt-BR"/>
        </w:rPr>
        <w:t>ao dispost</w:t>
      </w:r>
      <w:r w:rsidR="004756C1" w:rsidRPr="002F50BD">
        <w:rPr>
          <w:rFonts w:ascii="Verdana" w:hAnsi="Verdana"/>
          <w:sz w:val="20"/>
          <w:lang w:val="pt-BR"/>
        </w:rPr>
        <w:t>o</w:t>
      </w:r>
      <w:r w:rsidR="0089298C" w:rsidRPr="002F50BD">
        <w:rPr>
          <w:rFonts w:ascii="Verdana" w:hAnsi="Verdana"/>
          <w:sz w:val="20"/>
          <w:lang w:val="pt-BR"/>
        </w:rPr>
        <w:t xml:space="preserve"> na mesm</w:t>
      </w:r>
      <w:r w:rsidR="004756C1" w:rsidRPr="002F50BD">
        <w:rPr>
          <w:rFonts w:ascii="Verdana" w:hAnsi="Verdana"/>
          <w:sz w:val="20"/>
          <w:lang w:val="pt-BR"/>
        </w:rPr>
        <w:t>a.</w:t>
      </w:r>
      <w:r w:rsidR="00FE08B7">
        <w:rPr>
          <w:rFonts w:ascii="Verdana" w:hAnsi="Verdana"/>
          <w:sz w:val="20"/>
          <w:lang w:val="pt-BR"/>
        </w:rPr>
        <w:t xml:space="preserve"> </w:t>
      </w:r>
      <w:r w:rsidR="004756C1" w:rsidRPr="002F50BD">
        <w:rPr>
          <w:rFonts w:ascii="Verdana" w:hAnsi="Verdana"/>
          <w:sz w:val="20"/>
          <w:lang w:val="pt-BR"/>
        </w:rPr>
        <w:t xml:space="preserve">Dentro </w:t>
      </w:r>
      <w:r w:rsidR="0089298C" w:rsidRPr="002F50BD">
        <w:rPr>
          <w:rFonts w:ascii="Verdana" w:hAnsi="Verdana"/>
          <w:sz w:val="20"/>
          <w:lang w:val="pt-BR"/>
        </w:rPr>
        <w:t>do prazo</w:t>
      </w:r>
      <w:r w:rsidR="004756C1" w:rsidRPr="002F50BD">
        <w:rPr>
          <w:rFonts w:ascii="Verdana" w:hAnsi="Verdana"/>
          <w:sz w:val="20"/>
          <w:lang w:val="pt-BR"/>
        </w:rPr>
        <w:t xml:space="preserve"> de</w:t>
      </w:r>
      <w:r w:rsidR="0089298C" w:rsidRPr="002F50BD">
        <w:rPr>
          <w:rFonts w:ascii="Verdana" w:hAnsi="Verdana"/>
          <w:sz w:val="20"/>
          <w:lang w:val="pt-BR"/>
        </w:rPr>
        <w:t xml:space="preserve"> um ano</w:t>
      </w:r>
      <w:r w:rsidR="005A2AF3"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contado a partir</w:t>
      </w:r>
      <w:r w:rsidR="0089298C" w:rsidRPr="002F50BD">
        <w:rPr>
          <w:rFonts w:ascii="Verdana" w:hAnsi="Verdana"/>
          <w:sz w:val="20"/>
          <w:lang w:val="pt-BR"/>
        </w:rPr>
        <w:t xml:space="preserve"> da </w:t>
      </w:r>
      <w:r w:rsidR="004756C1" w:rsidRPr="002F50BD">
        <w:rPr>
          <w:rFonts w:ascii="Verdana" w:hAnsi="Verdana"/>
          <w:sz w:val="20"/>
          <w:lang w:val="pt-BR"/>
        </w:rPr>
        <w:t>notifica</w:t>
      </w:r>
      <w:r w:rsidR="0089298C" w:rsidRPr="002F50BD">
        <w:rPr>
          <w:rFonts w:ascii="Verdana" w:hAnsi="Verdana"/>
          <w:sz w:val="20"/>
          <w:lang w:val="pt-BR"/>
        </w:rPr>
        <w:t>ção desta Sentença</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dever</w:t>
      </w:r>
      <w:r w:rsidR="004756C1" w:rsidRPr="002F50BD">
        <w:rPr>
          <w:rFonts w:ascii="Verdana" w:hAnsi="Verdana"/>
          <w:sz w:val="20"/>
          <w:lang w:val="pt-BR"/>
        </w:rPr>
        <w:t xml:space="preserve">á </w:t>
      </w:r>
      <w:r w:rsidR="005A2AF3" w:rsidRPr="002F50BD">
        <w:rPr>
          <w:rFonts w:ascii="Verdana" w:hAnsi="Verdana"/>
          <w:sz w:val="20"/>
          <w:lang w:val="pt-BR"/>
        </w:rPr>
        <w:t xml:space="preserve">apresentar </w:t>
      </w:r>
      <w:r w:rsidR="0089298C" w:rsidRPr="002F50BD">
        <w:rPr>
          <w:rFonts w:ascii="Verdana" w:hAnsi="Verdana"/>
          <w:sz w:val="20"/>
          <w:lang w:val="pt-BR"/>
        </w:rPr>
        <w:t xml:space="preserve">à </w:t>
      </w:r>
      <w:r w:rsidR="004756C1" w:rsidRPr="002F50BD">
        <w:rPr>
          <w:rFonts w:ascii="Verdana" w:hAnsi="Verdana"/>
          <w:sz w:val="20"/>
          <w:lang w:val="pt-BR"/>
        </w:rPr>
        <w:t>Corte</w:t>
      </w:r>
      <w:r w:rsidR="0089298C" w:rsidRPr="002F50BD">
        <w:rPr>
          <w:rFonts w:ascii="Verdana" w:hAnsi="Verdana"/>
          <w:sz w:val="20"/>
          <w:lang w:val="pt-BR"/>
        </w:rPr>
        <w:t xml:space="preserve"> um relatório </w:t>
      </w:r>
      <w:r w:rsidR="004756C1" w:rsidRPr="002F50BD">
        <w:rPr>
          <w:rFonts w:ascii="Verdana" w:hAnsi="Verdana"/>
          <w:sz w:val="20"/>
          <w:lang w:val="pt-BR"/>
        </w:rPr>
        <w:t>sobre</w:t>
      </w:r>
      <w:r w:rsidR="0089298C" w:rsidRPr="002F50BD">
        <w:rPr>
          <w:rFonts w:ascii="Verdana" w:hAnsi="Verdana"/>
          <w:sz w:val="20"/>
          <w:lang w:val="pt-BR"/>
        </w:rPr>
        <w:t xml:space="preserve"> as </w:t>
      </w:r>
      <w:r w:rsidR="004756C1" w:rsidRPr="002F50BD">
        <w:rPr>
          <w:rFonts w:ascii="Verdana" w:hAnsi="Verdana"/>
          <w:sz w:val="20"/>
          <w:lang w:val="pt-BR"/>
        </w:rPr>
        <w:t>medidas tomadas para dar</w:t>
      </w:r>
      <w:r w:rsidR="005A2AF3" w:rsidRPr="002F50BD">
        <w:rPr>
          <w:rFonts w:ascii="Verdana" w:hAnsi="Verdana"/>
          <w:sz w:val="20"/>
          <w:lang w:val="pt-BR"/>
        </w:rPr>
        <w:t>-</w:t>
      </w:r>
      <w:r w:rsidR="004756C1" w:rsidRPr="002F50BD">
        <w:rPr>
          <w:rFonts w:ascii="Verdana" w:hAnsi="Verdana"/>
          <w:sz w:val="20"/>
          <w:lang w:val="pt-BR"/>
        </w:rPr>
        <w:t>l</w:t>
      </w:r>
      <w:r w:rsidR="005A2AF3" w:rsidRPr="002F50BD">
        <w:rPr>
          <w:rFonts w:ascii="Verdana" w:hAnsi="Verdana"/>
          <w:sz w:val="20"/>
          <w:lang w:val="pt-BR"/>
        </w:rPr>
        <w:t>h</w:t>
      </w:r>
      <w:r w:rsidR="004756C1" w:rsidRPr="002F50BD">
        <w:rPr>
          <w:rFonts w:ascii="Verdana" w:hAnsi="Verdana"/>
          <w:sz w:val="20"/>
          <w:lang w:val="pt-BR"/>
        </w:rPr>
        <w:t xml:space="preserve">e </w:t>
      </w:r>
      <w:r w:rsidR="0089298C" w:rsidRPr="002F50BD">
        <w:rPr>
          <w:rFonts w:ascii="Verdana" w:hAnsi="Verdana"/>
          <w:sz w:val="20"/>
          <w:lang w:val="pt-BR"/>
        </w:rPr>
        <w:t>cumprimento</w:t>
      </w:r>
      <w:r w:rsidR="004756C1" w:rsidRPr="002F50BD">
        <w:rPr>
          <w:rFonts w:ascii="Verdana" w:hAnsi="Verdana"/>
          <w:sz w:val="20"/>
          <w:lang w:val="pt-BR"/>
        </w:rPr>
        <w:t>,</w:t>
      </w:r>
      <w:r w:rsidR="0089298C" w:rsidRPr="002F50BD">
        <w:rPr>
          <w:rFonts w:ascii="Verdana" w:hAnsi="Verdana"/>
          <w:sz w:val="20"/>
          <w:lang w:val="pt-BR"/>
        </w:rPr>
        <w:t xml:space="preserve"> nos termo</w:t>
      </w:r>
      <w:r w:rsidR="004756C1" w:rsidRPr="002F50BD">
        <w:rPr>
          <w:rFonts w:ascii="Verdana" w:hAnsi="Verdana"/>
          <w:sz w:val="20"/>
          <w:lang w:val="pt-BR"/>
        </w:rPr>
        <w:t xml:space="preserve">s </w:t>
      </w:r>
      <w:r w:rsidR="0089298C" w:rsidRPr="002F50BD">
        <w:rPr>
          <w:rFonts w:ascii="Verdana" w:hAnsi="Verdana"/>
          <w:sz w:val="20"/>
          <w:lang w:val="pt-BR"/>
        </w:rPr>
        <w:t>do parágrafo</w:t>
      </w:r>
      <w:r w:rsidR="004756C1" w:rsidRPr="002F50BD">
        <w:rPr>
          <w:rFonts w:ascii="Verdana" w:hAnsi="Verdana"/>
          <w:sz w:val="20"/>
          <w:lang w:val="pt-BR"/>
        </w:rPr>
        <w:t xml:space="preserve"> </w:t>
      </w:r>
      <w:r w:rsidRPr="002F50BD">
        <w:rPr>
          <w:rFonts w:ascii="Verdana" w:hAnsi="Verdana"/>
          <w:sz w:val="20"/>
          <w:lang w:val="pt-BR"/>
        </w:rPr>
        <w:t>241</w:t>
      </w:r>
      <w:r w:rsidR="0089298C" w:rsidRPr="002F50BD">
        <w:rPr>
          <w:rFonts w:ascii="Verdana" w:hAnsi="Verdana"/>
          <w:sz w:val="20"/>
          <w:lang w:val="pt-BR"/>
        </w:rPr>
        <w:t xml:space="preserve"> da mesm</w:t>
      </w:r>
      <w:r w:rsidR="004756C1" w:rsidRPr="002F50BD">
        <w:rPr>
          <w:rFonts w:ascii="Verdana" w:hAnsi="Verdana"/>
          <w:sz w:val="20"/>
          <w:lang w:val="pt-BR"/>
        </w:rPr>
        <w:t>a.</w:t>
      </w:r>
    </w:p>
    <w:p w:rsidR="004756C1" w:rsidRPr="002F50BD" w:rsidRDefault="004756C1">
      <w:pPr>
        <w:rPr>
          <w:rFonts w:ascii="Verdana" w:hAnsi="Verdana"/>
          <w:lang w:val="pt-BR"/>
        </w:rPr>
      </w:pPr>
    </w:p>
    <w:p w:rsidR="004756C1" w:rsidRPr="002F50BD" w:rsidRDefault="0089298C">
      <w:pPr>
        <w:jc w:val="both"/>
        <w:rPr>
          <w:rFonts w:ascii="Verdana" w:hAnsi="Verdana"/>
          <w:sz w:val="20"/>
          <w:lang w:val="pt-BR"/>
        </w:rPr>
      </w:pPr>
      <w:r w:rsidRPr="002F50BD">
        <w:rPr>
          <w:rFonts w:ascii="Verdana" w:hAnsi="Verdana"/>
          <w:sz w:val="20"/>
          <w:lang w:val="pt-BR"/>
        </w:rPr>
        <w:t>O Juiz</w:t>
      </w:r>
      <w:r w:rsidR="004756C1" w:rsidRPr="002F50BD">
        <w:rPr>
          <w:rFonts w:ascii="Verdana" w:hAnsi="Verdana"/>
          <w:sz w:val="20"/>
          <w:lang w:val="pt-BR"/>
        </w:rPr>
        <w:t xml:space="preserve"> Alirio Abreu Burelli </w:t>
      </w:r>
      <w:r w:rsidR="005A2AF3" w:rsidRPr="002F50BD">
        <w:rPr>
          <w:rFonts w:ascii="Verdana" w:hAnsi="Verdana"/>
          <w:sz w:val="20"/>
          <w:lang w:val="pt-BR"/>
        </w:rPr>
        <w:t xml:space="preserve">deu a </w:t>
      </w:r>
      <w:r w:rsidRPr="002F50BD">
        <w:rPr>
          <w:rFonts w:ascii="Verdana" w:hAnsi="Verdana"/>
          <w:sz w:val="20"/>
          <w:lang w:val="pt-BR"/>
        </w:rPr>
        <w:t xml:space="preserve">conhecer à </w:t>
      </w:r>
      <w:r w:rsidR="004756C1" w:rsidRPr="002F50BD">
        <w:rPr>
          <w:rFonts w:ascii="Verdana" w:hAnsi="Verdana"/>
          <w:sz w:val="20"/>
          <w:lang w:val="pt-BR"/>
        </w:rPr>
        <w:t>Corte s</w:t>
      </w:r>
      <w:r w:rsidR="005A2AF3" w:rsidRPr="002F50BD">
        <w:rPr>
          <w:rFonts w:ascii="Verdana" w:hAnsi="Verdana"/>
          <w:sz w:val="20"/>
          <w:lang w:val="pt-BR"/>
        </w:rPr>
        <w:t>e</w:t>
      </w:r>
      <w:r w:rsidR="004756C1" w:rsidRPr="002F50BD">
        <w:rPr>
          <w:rFonts w:ascii="Verdana" w:hAnsi="Verdana"/>
          <w:sz w:val="20"/>
          <w:lang w:val="pt-BR"/>
        </w:rPr>
        <w:t>u Voto Parcialmente Dis</w:t>
      </w:r>
      <w:r w:rsidR="005A2AF3" w:rsidRPr="002F50BD">
        <w:rPr>
          <w:rFonts w:ascii="Verdana" w:hAnsi="Verdana"/>
          <w:sz w:val="20"/>
          <w:lang w:val="pt-BR"/>
        </w:rPr>
        <w:t>s</w:t>
      </w:r>
      <w:r w:rsidR="004756C1" w:rsidRPr="002F50BD">
        <w:rPr>
          <w:rFonts w:ascii="Verdana" w:hAnsi="Verdana"/>
          <w:sz w:val="20"/>
          <w:lang w:val="pt-BR"/>
        </w:rPr>
        <w:t>idente,</w:t>
      </w:r>
      <w:r w:rsidRPr="002F50BD">
        <w:rPr>
          <w:rFonts w:ascii="Verdana" w:hAnsi="Verdana"/>
          <w:sz w:val="20"/>
          <w:lang w:val="pt-BR"/>
        </w:rPr>
        <w:t xml:space="preserve"> os Juízes</w:t>
      </w:r>
      <w:r w:rsidR="004756C1" w:rsidRPr="002F50BD">
        <w:rPr>
          <w:rFonts w:ascii="Verdana" w:hAnsi="Verdana"/>
          <w:sz w:val="20"/>
          <w:lang w:val="pt-BR"/>
        </w:rPr>
        <w:t xml:space="preserve"> Antônio A. Cançado Trindade</w:t>
      </w:r>
      <w:r w:rsidRPr="002F50BD">
        <w:rPr>
          <w:rFonts w:ascii="Verdana" w:hAnsi="Verdana"/>
          <w:sz w:val="20"/>
          <w:lang w:val="pt-BR"/>
        </w:rPr>
        <w:t xml:space="preserve"> e </w:t>
      </w:r>
      <w:r w:rsidR="004756C1" w:rsidRPr="002F50BD">
        <w:rPr>
          <w:rFonts w:ascii="Verdana" w:hAnsi="Verdana"/>
          <w:sz w:val="20"/>
          <w:lang w:val="pt-BR"/>
        </w:rPr>
        <w:t xml:space="preserve">Manuel E. Ventura Robles </w:t>
      </w:r>
      <w:r w:rsidR="005A2AF3" w:rsidRPr="002F50BD">
        <w:rPr>
          <w:rFonts w:ascii="Verdana" w:hAnsi="Verdana"/>
          <w:sz w:val="20"/>
          <w:lang w:val="pt-BR"/>
        </w:rPr>
        <w:t xml:space="preserve">deram a </w:t>
      </w:r>
      <w:r w:rsidRPr="002F50BD">
        <w:rPr>
          <w:rFonts w:ascii="Verdana" w:hAnsi="Verdana"/>
          <w:sz w:val="20"/>
          <w:lang w:val="pt-BR"/>
        </w:rPr>
        <w:t xml:space="preserve">conhecer à </w:t>
      </w:r>
      <w:r w:rsidR="004756C1" w:rsidRPr="002F50BD">
        <w:rPr>
          <w:rFonts w:ascii="Verdana" w:hAnsi="Verdana"/>
          <w:sz w:val="20"/>
          <w:lang w:val="pt-BR"/>
        </w:rPr>
        <w:t>Corte s</w:t>
      </w:r>
      <w:r w:rsidR="005A2AF3" w:rsidRPr="002F50BD">
        <w:rPr>
          <w:rFonts w:ascii="Verdana" w:hAnsi="Verdana"/>
          <w:sz w:val="20"/>
          <w:lang w:val="pt-BR"/>
        </w:rPr>
        <w:t>e</w:t>
      </w:r>
      <w:r w:rsidR="004756C1" w:rsidRPr="002F50BD">
        <w:rPr>
          <w:rFonts w:ascii="Verdana" w:hAnsi="Verdana"/>
          <w:sz w:val="20"/>
          <w:lang w:val="pt-BR"/>
        </w:rPr>
        <w:t>u Voto Di</w:t>
      </w:r>
      <w:r w:rsidR="005A2AF3" w:rsidRPr="002F50BD">
        <w:rPr>
          <w:rFonts w:ascii="Verdana" w:hAnsi="Verdana"/>
          <w:sz w:val="20"/>
          <w:lang w:val="pt-BR"/>
        </w:rPr>
        <w:t>s</w:t>
      </w:r>
      <w:r w:rsidR="004756C1" w:rsidRPr="002F50BD">
        <w:rPr>
          <w:rFonts w:ascii="Verdana" w:hAnsi="Verdana"/>
          <w:sz w:val="20"/>
          <w:lang w:val="pt-BR"/>
        </w:rPr>
        <w:t>sidente Conjunto</w:t>
      </w:r>
      <w:r w:rsidRPr="002F50BD">
        <w:rPr>
          <w:rFonts w:ascii="Verdana" w:hAnsi="Verdana"/>
          <w:sz w:val="20"/>
          <w:lang w:val="pt-BR"/>
        </w:rPr>
        <w:t xml:space="preserve"> e o Juiz</w:t>
      </w:r>
      <w:r w:rsidR="004756C1" w:rsidRPr="002F50BD">
        <w:rPr>
          <w:rFonts w:ascii="Verdana" w:hAnsi="Verdana"/>
          <w:sz w:val="20"/>
          <w:lang w:val="pt-BR"/>
        </w:rPr>
        <w:t xml:space="preserve"> </w:t>
      </w:r>
      <w:r w:rsidR="004756C1" w:rsidRPr="002F50BD">
        <w:rPr>
          <w:rFonts w:ascii="Verdana" w:hAnsi="Verdana"/>
          <w:i/>
          <w:iCs/>
          <w:sz w:val="20"/>
          <w:lang w:val="pt-BR"/>
        </w:rPr>
        <w:t>ad hoc</w:t>
      </w:r>
      <w:r w:rsidR="004756C1" w:rsidRPr="002F50BD">
        <w:rPr>
          <w:rFonts w:ascii="Verdana" w:hAnsi="Verdana"/>
          <w:sz w:val="20"/>
          <w:lang w:val="pt-BR"/>
        </w:rPr>
        <w:t xml:space="preserve"> Ramón Fogel Pedroso </w:t>
      </w:r>
      <w:r w:rsidR="005A2AF3" w:rsidRPr="002F50BD">
        <w:rPr>
          <w:rFonts w:ascii="Verdana" w:hAnsi="Verdana"/>
          <w:sz w:val="20"/>
          <w:lang w:val="pt-BR"/>
        </w:rPr>
        <w:t>deu a</w:t>
      </w:r>
      <w:r w:rsidR="00FE08B7">
        <w:rPr>
          <w:rFonts w:ascii="Verdana" w:hAnsi="Verdana"/>
          <w:sz w:val="20"/>
          <w:lang w:val="pt-BR"/>
        </w:rPr>
        <w:t xml:space="preserve"> </w:t>
      </w:r>
      <w:r w:rsidRPr="002F50BD">
        <w:rPr>
          <w:rFonts w:ascii="Verdana" w:hAnsi="Verdana"/>
          <w:sz w:val="20"/>
          <w:lang w:val="pt-BR"/>
        </w:rPr>
        <w:t xml:space="preserve">conhecer à </w:t>
      </w:r>
      <w:r w:rsidR="004756C1" w:rsidRPr="002F50BD">
        <w:rPr>
          <w:rFonts w:ascii="Verdana" w:hAnsi="Verdana"/>
          <w:sz w:val="20"/>
          <w:lang w:val="pt-BR"/>
        </w:rPr>
        <w:t>Corte s</w:t>
      </w:r>
      <w:r w:rsidR="005A2AF3" w:rsidRPr="002F50BD">
        <w:rPr>
          <w:rFonts w:ascii="Verdana" w:hAnsi="Verdana"/>
          <w:sz w:val="20"/>
          <w:lang w:val="pt-BR"/>
        </w:rPr>
        <w:t>e</w:t>
      </w:r>
      <w:r w:rsidR="004756C1" w:rsidRPr="002F50BD">
        <w:rPr>
          <w:rFonts w:ascii="Verdana" w:hAnsi="Verdana"/>
          <w:sz w:val="20"/>
          <w:lang w:val="pt-BR"/>
        </w:rPr>
        <w:t xml:space="preserve">u Voto Parcialmente </w:t>
      </w:r>
      <w:r w:rsidRPr="002F50BD">
        <w:rPr>
          <w:rFonts w:ascii="Verdana" w:hAnsi="Verdana"/>
          <w:sz w:val="20"/>
          <w:lang w:val="pt-BR"/>
        </w:rPr>
        <w:t xml:space="preserve">Concordante e </w:t>
      </w:r>
      <w:r w:rsidR="004756C1" w:rsidRPr="002F50BD">
        <w:rPr>
          <w:rFonts w:ascii="Verdana" w:hAnsi="Verdana"/>
          <w:sz w:val="20"/>
          <w:lang w:val="pt-BR"/>
        </w:rPr>
        <w:t>Parcialmente Di</w:t>
      </w:r>
      <w:r w:rsidR="005A2AF3" w:rsidRPr="002F50BD">
        <w:rPr>
          <w:rFonts w:ascii="Verdana" w:hAnsi="Verdana"/>
          <w:sz w:val="20"/>
          <w:lang w:val="pt-BR"/>
        </w:rPr>
        <w:t>s</w:t>
      </w:r>
      <w:r w:rsidR="004756C1" w:rsidRPr="002F50BD">
        <w:rPr>
          <w:rFonts w:ascii="Verdana" w:hAnsi="Verdana"/>
          <w:sz w:val="20"/>
          <w:lang w:val="pt-BR"/>
        </w:rPr>
        <w:t xml:space="preserve">sidente. </w:t>
      </w:r>
      <w:r w:rsidRPr="002F50BD">
        <w:rPr>
          <w:rFonts w:ascii="Verdana" w:hAnsi="Verdana"/>
          <w:sz w:val="20"/>
          <w:lang w:val="pt-BR"/>
        </w:rPr>
        <w:t>Este</w:t>
      </w:r>
      <w:r w:rsidR="004756C1" w:rsidRPr="002F50BD">
        <w:rPr>
          <w:rFonts w:ascii="Verdana" w:hAnsi="Verdana"/>
          <w:sz w:val="20"/>
          <w:lang w:val="pt-BR"/>
        </w:rPr>
        <w:t xml:space="preserve">s votos </w:t>
      </w:r>
      <w:r w:rsidRPr="002F50BD">
        <w:rPr>
          <w:rFonts w:ascii="Verdana" w:hAnsi="Verdana"/>
          <w:sz w:val="20"/>
          <w:lang w:val="pt-BR"/>
        </w:rPr>
        <w:t>acompanham</w:t>
      </w:r>
      <w:r w:rsidR="004756C1" w:rsidRPr="002F50BD">
        <w:rPr>
          <w:rFonts w:ascii="Verdana" w:hAnsi="Verdana"/>
          <w:sz w:val="20"/>
          <w:lang w:val="pt-BR"/>
        </w:rPr>
        <w:t xml:space="preserve"> esta </w:t>
      </w:r>
      <w:r w:rsidRPr="002F50BD">
        <w:rPr>
          <w:rFonts w:ascii="Verdana" w:hAnsi="Verdana"/>
          <w:sz w:val="20"/>
          <w:lang w:val="pt-BR"/>
        </w:rPr>
        <w:t>Sentença</w:t>
      </w:r>
      <w:r w:rsidR="004756C1" w:rsidRPr="002F50BD">
        <w:rPr>
          <w:rFonts w:ascii="Verdana" w:hAnsi="Verdana"/>
          <w:sz w:val="20"/>
          <w:lang w:val="pt-BR"/>
        </w:rPr>
        <w:t>.</w:t>
      </w:r>
    </w:p>
    <w:p w:rsidR="004756C1" w:rsidRPr="002F50BD" w:rsidRDefault="004756C1">
      <w:pPr>
        <w:jc w:val="both"/>
        <w:rPr>
          <w:rFonts w:ascii="Verdana" w:hAnsi="Verdana"/>
          <w:sz w:val="20"/>
          <w:u w:val="single"/>
          <w:lang w:val="pt-BR"/>
        </w:rPr>
      </w:pPr>
    </w:p>
    <w:p w:rsidR="004756C1" w:rsidRPr="002F50BD" w:rsidRDefault="0089298C">
      <w:pPr>
        <w:jc w:val="both"/>
        <w:rPr>
          <w:rFonts w:ascii="Verdana" w:hAnsi="Verdana"/>
          <w:b/>
          <w:sz w:val="20"/>
          <w:lang w:val="pt-BR"/>
        </w:rPr>
      </w:pPr>
      <w:r w:rsidRPr="002F50BD">
        <w:rPr>
          <w:rFonts w:ascii="Verdana" w:hAnsi="Verdana"/>
          <w:sz w:val="20"/>
          <w:lang w:val="pt-BR"/>
        </w:rPr>
        <w:t>Redigida em espanhol e em inglês</w:t>
      </w:r>
      <w:r w:rsidR="004756C1" w:rsidRPr="002F50BD">
        <w:rPr>
          <w:rFonts w:ascii="Verdana" w:hAnsi="Verdana"/>
          <w:sz w:val="20"/>
          <w:lang w:val="pt-BR"/>
        </w:rPr>
        <w:t xml:space="preserve">, </w:t>
      </w:r>
      <w:r w:rsidRPr="002F50BD">
        <w:rPr>
          <w:rFonts w:ascii="Verdana" w:hAnsi="Verdana"/>
          <w:sz w:val="20"/>
          <w:lang w:val="pt-BR"/>
        </w:rPr>
        <w:t>fazendo</w:t>
      </w:r>
      <w:r w:rsidR="004076AD" w:rsidRPr="002F50BD">
        <w:rPr>
          <w:rFonts w:ascii="Verdana" w:hAnsi="Verdana"/>
          <w:sz w:val="20"/>
          <w:lang w:val="pt-BR"/>
        </w:rPr>
        <w:t xml:space="preserve"> fé </w:t>
      </w:r>
      <w:r w:rsidRPr="002F50BD">
        <w:rPr>
          <w:rFonts w:ascii="Verdana" w:hAnsi="Verdana"/>
          <w:sz w:val="20"/>
          <w:lang w:val="pt-BR"/>
        </w:rPr>
        <w:t xml:space="preserve">o </w:t>
      </w:r>
      <w:r w:rsidR="004756C1" w:rsidRPr="002F50BD">
        <w:rPr>
          <w:rFonts w:ascii="Verdana" w:hAnsi="Verdana"/>
          <w:sz w:val="20"/>
          <w:lang w:val="pt-BR"/>
        </w:rPr>
        <w:t>texto</w:t>
      </w:r>
      <w:r w:rsidRPr="002F50BD">
        <w:rPr>
          <w:rFonts w:ascii="Verdana" w:hAnsi="Verdana"/>
          <w:sz w:val="20"/>
          <w:lang w:val="pt-BR"/>
        </w:rPr>
        <w:t xml:space="preserve"> em espanhol</w:t>
      </w:r>
      <w:r w:rsidR="004756C1"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San José, Costa Rica,</w:t>
      </w:r>
      <w:r w:rsidRPr="002F50BD">
        <w:rPr>
          <w:rFonts w:ascii="Verdana" w:hAnsi="Verdana"/>
          <w:sz w:val="20"/>
          <w:lang w:val="pt-BR"/>
        </w:rPr>
        <w:t xml:space="preserve"> </w:t>
      </w:r>
      <w:r w:rsidR="005A2AF3" w:rsidRPr="002F50BD">
        <w:rPr>
          <w:rFonts w:ascii="Verdana" w:hAnsi="Verdana"/>
          <w:sz w:val="20"/>
          <w:lang w:val="pt-BR"/>
        </w:rPr>
        <w:t>n</w:t>
      </w:r>
      <w:r w:rsidRPr="002F50BD">
        <w:rPr>
          <w:rFonts w:ascii="Verdana" w:hAnsi="Verdana"/>
          <w:sz w:val="20"/>
          <w:lang w:val="pt-BR"/>
        </w:rPr>
        <w:t>o dia</w:t>
      </w:r>
      <w:r w:rsidR="004756C1" w:rsidRPr="002F50BD">
        <w:rPr>
          <w:rFonts w:ascii="Verdana" w:hAnsi="Verdana"/>
          <w:sz w:val="20"/>
          <w:lang w:val="pt-BR"/>
        </w:rPr>
        <w:t xml:space="preserve"> </w:t>
      </w:r>
      <w:r w:rsidR="00063B47" w:rsidRPr="002F50BD">
        <w:rPr>
          <w:rFonts w:ascii="Verdana" w:hAnsi="Verdana"/>
          <w:sz w:val="20"/>
          <w:lang w:val="pt-BR"/>
        </w:rPr>
        <w:t>17</w:t>
      </w:r>
      <w:r w:rsidR="004756C1" w:rsidRPr="002F50BD">
        <w:rPr>
          <w:rFonts w:ascii="Verdana" w:hAnsi="Verdana"/>
          <w:sz w:val="20"/>
          <w:lang w:val="pt-BR"/>
        </w:rPr>
        <w:t xml:space="preserve"> de </w:t>
      </w:r>
      <w:r w:rsidRPr="002F50BD">
        <w:rPr>
          <w:rFonts w:ascii="Verdana" w:hAnsi="Verdana"/>
          <w:sz w:val="20"/>
          <w:lang w:val="pt-BR"/>
        </w:rPr>
        <w:t>junho</w:t>
      </w:r>
      <w:r w:rsidR="004756C1" w:rsidRPr="002F50BD">
        <w:rPr>
          <w:rFonts w:ascii="Verdana" w:hAnsi="Verdana"/>
          <w:sz w:val="20"/>
          <w:lang w:val="pt-BR"/>
        </w:rPr>
        <w:t xml:space="preserve"> de </w:t>
      </w:r>
      <w:r w:rsidR="00063B47" w:rsidRPr="002F50BD">
        <w:rPr>
          <w:rFonts w:ascii="Verdana" w:hAnsi="Verdana"/>
          <w:sz w:val="20"/>
          <w:lang w:val="pt-BR"/>
        </w:rPr>
        <w:t>2005</w:t>
      </w:r>
      <w:r w:rsidR="004756C1" w:rsidRPr="002F50BD">
        <w:rPr>
          <w:rFonts w:ascii="Verdana" w:hAnsi="Verdana"/>
          <w:sz w:val="20"/>
          <w:lang w:val="pt-BR"/>
        </w:rPr>
        <w:t>.</w:t>
      </w:r>
    </w:p>
    <w:p w:rsidR="004756C1" w:rsidRPr="002F50BD" w:rsidRDefault="004756C1">
      <w:pPr>
        <w:jc w:val="center"/>
        <w:rPr>
          <w:rFonts w:ascii="Verdana" w:hAnsi="Verdana"/>
          <w:sz w:val="20"/>
          <w:lang w:val="pt-BR"/>
        </w:rPr>
      </w:pPr>
    </w:p>
    <w:p w:rsidR="004756C1" w:rsidRPr="002F50BD" w:rsidRDefault="004756C1">
      <w:pPr>
        <w:jc w:val="center"/>
        <w:rPr>
          <w:rFonts w:ascii="Verdana" w:hAnsi="Verdana"/>
          <w:sz w:val="20"/>
          <w:lang w:val="pt-BR"/>
        </w:rPr>
      </w:pPr>
    </w:p>
    <w:p w:rsidR="004756C1" w:rsidRPr="002F50BD" w:rsidRDefault="004756C1">
      <w:pPr>
        <w:jc w:val="center"/>
        <w:rPr>
          <w:rFonts w:ascii="Verdana" w:hAnsi="Verdana"/>
          <w:sz w:val="20"/>
          <w:lang w:val="pt-BR"/>
        </w:rPr>
      </w:pPr>
      <w:r w:rsidRPr="002F50BD">
        <w:rPr>
          <w:rFonts w:ascii="Verdana" w:hAnsi="Verdana"/>
          <w:sz w:val="20"/>
          <w:lang w:val="pt-BR"/>
        </w:rPr>
        <w:t>Sergio García Ramírez</w:t>
      </w:r>
    </w:p>
    <w:p w:rsidR="004756C1" w:rsidRPr="002F50BD" w:rsidRDefault="004756C1">
      <w:pPr>
        <w:jc w:val="center"/>
        <w:rPr>
          <w:rFonts w:ascii="Verdana" w:hAnsi="Verdana"/>
          <w:sz w:val="20"/>
          <w:lang w:val="pt-BR"/>
        </w:rPr>
      </w:pPr>
      <w:r w:rsidRPr="002F50BD">
        <w:rPr>
          <w:rFonts w:ascii="Verdana" w:hAnsi="Verdana"/>
          <w:sz w:val="20"/>
          <w:lang w:val="pt-BR"/>
        </w:rPr>
        <w:t>Presidente</w:t>
      </w:r>
    </w:p>
    <w:p w:rsidR="004756C1" w:rsidRPr="002F50BD" w:rsidRDefault="004756C1">
      <w:pPr>
        <w:jc w:val="both"/>
        <w:rPr>
          <w:rFonts w:ascii="Verdana" w:hAnsi="Verdana"/>
          <w:sz w:val="20"/>
          <w:lang w:val="pt-BR"/>
        </w:rPr>
      </w:pPr>
    </w:p>
    <w:p w:rsidR="004756C1" w:rsidRPr="002F50BD" w:rsidRDefault="004756C1">
      <w:pPr>
        <w:tabs>
          <w:tab w:val="right" w:pos="8640"/>
        </w:tabs>
        <w:jc w:val="both"/>
        <w:rPr>
          <w:rFonts w:ascii="Verdana" w:hAnsi="Verdana"/>
          <w:sz w:val="20"/>
          <w:lang w:val="pt-BR"/>
        </w:rPr>
      </w:pPr>
      <w:r w:rsidRPr="002F50BD">
        <w:rPr>
          <w:rFonts w:ascii="Verdana" w:hAnsi="Verdana"/>
          <w:sz w:val="20"/>
          <w:lang w:val="pt-BR"/>
        </w:rPr>
        <w:t xml:space="preserve">Alirio Abreu Burelli </w:t>
      </w:r>
      <w:r w:rsidRPr="002F50BD">
        <w:rPr>
          <w:rFonts w:ascii="Verdana" w:hAnsi="Verdana"/>
          <w:sz w:val="20"/>
          <w:lang w:val="pt-BR"/>
        </w:rPr>
        <w:tab/>
        <w:t>Oliver Jackman</w:t>
      </w:r>
    </w:p>
    <w:p w:rsidR="004756C1" w:rsidRPr="002F50BD" w:rsidRDefault="004756C1">
      <w:pPr>
        <w:tabs>
          <w:tab w:val="right" w:pos="8640"/>
        </w:tabs>
        <w:jc w:val="both"/>
        <w:rPr>
          <w:rFonts w:ascii="Verdana" w:hAnsi="Verdana"/>
          <w:sz w:val="20"/>
          <w:lang w:val="pt-BR"/>
        </w:rPr>
      </w:pPr>
    </w:p>
    <w:p w:rsidR="004756C1" w:rsidRPr="002F50BD" w:rsidRDefault="004756C1">
      <w:pPr>
        <w:tabs>
          <w:tab w:val="right" w:pos="8640"/>
        </w:tabs>
        <w:jc w:val="both"/>
        <w:rPr>
          <w:rFonts w:ascii="Verdana" w:hAnsi="Verdana"/>
          <w:sz w:val="20"/>
          <w:lang w:val="pt-BR"/>
        </w:rPr>
      </w:pPr>
      <w:r w:rsidRPr="002F50BD">
        <w:rPr>
          <w:rFonts w:ascii="Verdana" w:hAnsi="Verdana"/>
          <w:sz w:val="20"/>
          <w:lang w:val="pt-BR"/>
        </w:rPr>
        <w:t>Antônio A. Cançado Trindade</w:t>
      </w:r>
      <w:r w:rsidRPr="002F50BD">
        <w:rPr>
          <w:rFonts w:ascii="Verdana" w:hAnsi="Verdana"/>
          <w:sz w:val="20"/>
          <w:lang w:val="pt-BR"/>
        </w:rPr>
        <w:tab/>
        <w:t>Cecilia Medina Quiroga</w:t>
      </w:r>
    </w:p>
    <w:p w:rsidR="004756C1" w:rsidRPr="002F50BD" w:rsidRDefault="004756C1">
      <w:pPr>
        <w:tabs>
          <w:tab w:val="right" w:pos="8640"/>
        </w:tabs>
        <w:jc w:val="both"/>
        <w:rPr>
          <w:rFonts w:ascii="Verdana" w:hAnsi="Verdana"/>
          <w:sz w:val="20"/>
          <w:lang w:val="pt-BR"/>
        </w:rPr>
      </w:pPr>
    </w:p>
    <w:p w:rsidR="004756C1" w:rsidRPr="002F50BD" w:rsidRDefault="004756C1">
      <w:pPr>
        <w:tabs>
          <w:tab w:val="right" w:pos="8640"/>
        </w:tabs>
        <w:rPr>
          <w:rFonts w:ascii="Verdana" w:hAnsi="Verdana"/>
          <w:sz w:val="20"/>
          <w:lang w:val="pt-BR"/>
        </w:rPr>
      </w:pPr>
      <w:r w:rsidRPr="002F50BD">
        <w:rPr>
          <w:rFonts w:ascii="Verdana" w:hAnsi="Verdana"/>
          <w:sz w:val="20"/>
          <w:lang w:val="pt-BR"/>
        </w:rPr>
        <w:t xml:space="preserve">Manuel E. Ventura Robles </w:t>
      </w:r>
      <w:r w:rsidRPr="002F50BD">
        <w:rPr>
          <w:rFonts w:ascii="Verdana" w:hAnsi="Verdana"/>
          <w:sz w:val="20"/>
          <w:lang w:val="pt-BR"/>
        </w:rPr>
        <w:tab/>
        <w:t>Diego García-Sayán</w:t>
      </w:r>
    </w:p>
    <w:p w:rsidR="004756C1" w:rsidRPr="002F50BD" w:rsidRDefault="004756C1">
      <w:pPr>
        <w:tabs>
          <w:tab w:val="left" w:pos="8460"/>
          <w:tab w:val="left" w:pos="8640"/>
        </w:tabs>
        <w:jc w:val="both"/>
        <w:rPr>
          <w:rFonts w:ascii="Verdana" w:hAnsi="Verdana"/>
          <w:sz w:val="20"/>
          <w:lang w:val="pt-BR"/>
        </w:rPr>
      </w:pPr>
    </w:p>
    <w:p w:rsidR="004756C1" w:rsidRPr="002F50BD" w:rsidRDefault="004756C1">
      <w:pPr>
        <w:tabs>
          <w:tab w:val="left" w:pos="8460"/>
          <w:tab w:val="left" w:pos="8640"/>
        </w:tabs>
        <w:jc w:val="center"/>
        <w:rPr>
          <w:rFonts w:ascii="Verdana" w:hAnsi="Verdana"/>
          <w:sz w:val="20"/>
          <w:lang w:val="pt-BR"/>
        </w:rPr>
      </w:pPr>
      <w:r w:rsidRPr="002F50BD">
        <w:rPr>
          <w:rFonts w:ascii="Verdana" w:hAnsi="Verdana"/>
          <w:sz w:val="20"/>
          <w:lang w:val="pt-BR"/>
        </w:rPr>
        <w:t>Ramón Fogel Pedroso</w:t>
      </w:r>
    </w:p>
    <w:p w:rsidR="004756C1" w:rsidRPr="002F50BD" w:rsidRDefault="0089298C">
      <w:pPr>
        <w:jc w:val="center"/>
        <w:rPr>
          <w:rFonts w:ascii="Verdana" w:hAnsi="Verdana"/>
          <w:i/>
          <w:sz w:val="20"/>
          <w:lang w:val="pt-BR"/>
        </w:rPr>
      </w:pPr>
      <w:r w:rsidRPr="002F50BD">
        <w:rPr>
          <w:rFonts w:ascii="Verdana" w:hAnsi="Verdana"/>
          <w:sz w:val="20"/>
          <w:lang w:val="pt-BR"/>
        </w:rPr>
        <w:t>Juiz</w:t>
      </w:r>
      <w:r w:rsidR="004756C1" w:rsidRPr="002F50BD">
        <w:rPr>
          <w:rFonts w:ascii="Verdana" w:hAnsi="Verdana"/>
          <w:sz w:val="20"/>
          <w:lang w:val="pt-BR"/>
        </w:rPr>
        <w:t xml:space="preserve"> </w:t>
      </w:r>
      <w:r w:rsidR="004756C1" w:rsidRPr="002F50BD">
        <w:rPr>
          <w:rFonts w:ascii="Verdana" w:hAnsi="Verdana"/>
          <w:i/>
          <w:sz w:val="20"/>
          <w:lang w:val="pt-BR"/>
        </w:rPr>
        <w:t>ad hoc</w:t>
      </w:r>
    </w:p>
    <w:p w:rsidR="004756C1" w:rsidRPr="002F50BD" w:rsidRDefault="004756C1">
      <w:pPr>
        <w:tabs>
          <w:tab w:val="left" w:pos="8460"/>
          <w:tab w:val="left" w:pos="8640"/>
        </w:tabs>
        <w:jc w:val="both"/>
        <w:rPr>
          <w:rFonts w:ascii="Verdana" w:hAnsi="Verdana"/>
          <w:sz w:val="20"/>
          <w:lang w:val="pt-BR"/>
        </w:rPr>
      </w:pPr>
    </w:p>
    <w:p w:rsidR="004756C1" w:rsidRPr="002F50BD" w:rsidRDefault="004756C1">
      <w:pPr>
        <w:tabs>
          <w:tab w:val="left" w:pos="8460"/>
          <w:tab w:val="left" w:pos="8640"/>
        </w:tabs>
        <w:jc w:val="both"/>
        <w:rPr>
          <w:rFonts w:ascii="Verdana" w:hAnsi="Verdana"/>
          <w:sz w:val="20"/>
          <w:lang w:val="pt-BR"/>
        </w:rPr>
      </w:pPr>
    </w:p>
    <w:p w:rsidR="004756C1" w:rsidRPr="002F50BD" w:rsidRDefault="004756C1">
      <w:pPr>
        <w:tabs>
          <w:tab w:val="left" w:pos="8460"/>
          <w:tab w:val="left" w:pos="8640"/>
        </w:tabs>
        <w:jc w:val="center"/>
        <w:rPr>
          <w:rFonts w:ascii="Verdana" w:hAnsi="Verdana"/>
          <w:sz w:val="20"/>
          <w:lang w:val="pt-BR"/>
        </w:rPr>
      </w:pPr>
      <w:r w:rsidRPr="002F50BD">
        <w:rPr>
          <w:rFonts w:ascii="Verdana" w:hAnsi="Verdana"/>
          <w:sz w:val="20"/>
          <w:lang w:val="pt-BR"/>
        </w:rPr>
        <w:t>Pablo Saavedra Alessandri</w:t>
      </w:r>
    </w:p>
    <w:p w:rsidR="004756C1" w:rsidRPr="002F50BD" w:rsidRDefault="0089298C">
      <w:pPr>
        <w:tabs>
          <w:tab w:val="left" w:pos="8460"/>
          <w:tab w:val="left" w:pos="8640"/>
        </w:tabs>
        <w:jc w:val="center"/>
        <w:rPr>
          <w:rFonts w:ascii="Verdana" w:hAnsi="Verdana"/>
          <w:sz w:val="20"/>
          <w:lang w:val="pt-BR"/>
        </w:rPr>
      </w:pPr>
      <w:r w:rsidRPr="002F50BD">
        <w:rPr>
          <w:rFonts w:ascii="Verdana" w:hAnsi="Verdana"/>
          <w:sz w:val="20"/>
          <w:lang w:val="pt-BR"/>
        </w:rPr>
        <w:t>Secretário</w:t>
      </w:r>
    </w:p>
    <w:p w:rsidR="004756C1" w:rsidRPr="002F50BD" w:rsidRDefault="004756C1">
      <w:pPr>
        <w:tabs>
          <w:tab w:val="left" w:pos="8460"/>
          <w:tab w:val="left" w:pos="8640"/>
        </w:tabs>
        <w:jc w:val="both"/>
        <w:rPr>
          <w:rFonts w:ascii="Verdana" w:hAnsi="Verdana"/>
          <w:sz w:val="20"/>
          <w:lang w:val="pt-BR"/>
        </w:rPr>
      </w:pPr>
    </w:p>
    <w:p w:rsidR="004756C1" w:rsidRPr="002F50BD" w:rsidRDefault="0089298C">
      <w:pPr>
        <w:tabs>
          <w:tab w:val="left" w:pos="8460"/>
          <w:tab w:val="left" w:pos="8640"/>
        </w:tabs>
        <w:jc w:val="both"/>
        <w:rPr>
          <w:rFonts w:ascii="Verdana" w:hAnsi="Verdana"/>
          <w:sz w:val="20"/>
          <w:lang w:val="pt-BR"/>
        </w:rPr>
      </w:pPr>
      <w:r w:rsidRPr="002F50BD">
        <w:rPr>
          <w:rFonts w:ascii="Verdana" w:hAnsi="Verdana"/>
          <w:sz w:val="20"/>
          <w:lang w:val="pt-BR"/>
        </w:rPr>
        <w:t>Comunique-se e execute-se</w:t>
      </w:r>
      <w:r w:rsidR="004756C1" w:rsidRPr="002F50BD">
        <w:rPr>
          <w:rFonts w:ascii="Verdana" w:hAnsi="Verdana"/>
          <w:sz w:val="20"/>
          <w:lang w:val="pt-BR"/>
        </w:rPr>
        <w:t>,</w:t>
      </w:r>
    </w:p>
    <w:p w:rsidR="004756C1" w:rsidRPr="002F50BD" w:rsidRDefault="004756C1">
      <w:pPr>
        <w:tabs>
          <w:tab w:val="left" w:pos="8460"/>
          <w:tab w:val="left" w:pos="8640"/>
        </w:tabs>
        <w:jc w:val="both"/>
        <w:rPr>
          <w:rFonts w:ascii="Verdana" w:hAnsi="Verdana"/>
          <w:sz w:val="20"/>
          <w:lang w:val="pt-BR"/>
        </w:rPr>
      </w:pPr>
    </w:p>
    <w:p w:rsidR="004756C1" w:rsidRPr="002F50BD" w:rsidRDefault="004756C1">
      <w:pPr>
        <w:tabs>
          <w:tab w:val="right" w:pos="8640"/>
        </w:tabs>
        <w:rPr>
          <w:rFonts w:ascii="Verdana" w:hAnsi="Verdana"/>
          <w:sz w:val="20"/>
          <w:lang w:val="pt-BR"/>
        </w:rPr>
      </w:pPr>
      <w:r w:rsidRPr="002F50BD">
        <w:rPr>
          <w:rFonts w:ascii="Verdana" w:hAnsi="Verdana"/>
          <w:sz w:val="20"/>
          <w:lang w:val="pt-BR"/>
        </w:rPr>
        <w:tab/>
        <w:t>Sergio García Ramírez</w:t>
      </w:r>
    </w:p>
    <w:p w:rsidR="004756C1" w:rsidRPr="002F50BD" w:rsidRDefault="00FE08B7">
      <w:pPr>
        <w:ind w:left="5760" w:firstLine="720"/>
        <w:rPr>
          <w:rFonts w:ascii="Verdana" w:hAnsi="Verdana"/>
          <w:sz w:val="20"/>
          <w:lang w:val="pt-BR"/>
        </w:rPr>
      </w:pPr>
      <w:r>
        <w:rPr>
          <w:rFonts w:ascii="Verdana" w:hAnsi="Verdana"/>
          <w:sz w:val="20"/>
          <w:lang w:val="pt-BR"/>
        </w:rPr>
        <w:t xml:space="preserve">    </w:t>
      </w:r>
      <w:r w:rsidR="004756C1" w:rsidRPr="002F50BD">
        <w:rPr>
          <w:rFonts w:ascii="Verdana" w:hAnsi="Verdana"/>
          <w:sz w:val="20"/>
          <w:lang w:val="pt-BR"/>
        </w:rPr>
        <w:t xml:space="preserve"> Presidente</w:t>
      </w:r>
    </w:p>
    <w:p w:rsidR="004756C1" w:rsidRPr="002F50BD" w:rsidRDefault="004756C1">
      <w:pPr>
        <w:tabs>
          <w:tab w:val="left" w:pos="8460"/>
          <w:tab w:val="left" w:pos="8640"/>
        </w:tabs>
        <w:jc w:val="both"/>
        <w:rPr>
          <w:rFonts w:ascii="Verdana" w:hAnsi="Verdana"/>
          <w:sz w:val="20"/>
          <w:lang w:val="pt-BR"/>
        </w:rPr>
      </w:pPr>
      <w:r w:rsidRPr="002F50BD">
        <w:rPr>
          <w:rFonts w:ascii="Verdana" w:hAnsi="Verdana"/>
          <w:sz w:val="20"/>
          <w:lang w:val="pt-BR"/>
        </w:rPr>
        <w:t>Pablo Saavedra Alessandri</w:t>
      </w:r>
    </w:p>
    <w:p w:rsidR="004756C1" w:rsidRPr="002F50BD" w:rsidRDefault="00FE08B7">
      <w:pPr>
        <w:tabs>
          <w:tab w:val="left" w:pos="8640"/>
        </w:tabs>
        <w:ind w:left="720"/>
        <w:rPr>
          <w:rFonts w:ascii="Verdana" w:hAnsi="Verdana"/>
          <w:sz w:val="20"/>
          <w:lang w:val="pt-BR"/>
        </w:rPr>
      </w:pPr>
      <w:r>
        <w:rPr>
          <w:rFonts w:ascii="Verdana" w:hAnsi="Verdana"/>
          <w:sz w:val="20"/>
          <w:lang w:val="pt-BR"/>
        </w:rPr>
        <w:t xml:space="preserve"> </w:t>
      </w:r>
      <w:r w:rsidR="0089298C" w:rsidRPr="002F50BD">
        <w:rPr>
          <w:rFonts w:ascii="Verdana" w:hAnsi="Verdana"/>
          <w:sz w:val="20"/>
          <w:lang w:val="pt-BR"/>
        </w:rPr>
        <w:t>Secretário</w:t>
      </w:r>
    </w:p>
    <w:p w:rsidR="004756C1" w:rsidRPr="002F50BD" w:rsidRDefault="004756C1">
      <w:pPr>
        <w:rPr>
          <w:rFonts w:ascii="Verdana" w:hAnsi="Verdana"/>
          <w:lang w:val="pt-BR"/>
        </w:rPr>
      </w:pPr>
    </w:p>
    <w:p w:rsidR="004756C1" w:rsidRPr="002F50BD" w:rsidRDefault="00F664FC" w:rsidP="00F664FC">
      <w:pPr>
        <w:rPr>
          <w:rFonts w:ascii="Verdana" w:hAnsi="Verdana"/>
          <w:sz w:val="20"/>
          <w:lang w:val="pt-BR"/>
        </w:rPr>
      </w:pPr>
      <w:r w:rsidRPr="002F50BD">
        <w:rPr>
          <w:rFonts w:ascii="Verdana" w:hAnsi="Verdana"/>
          <w:sz w:val="20"/>
          <w:lang w:val="pt-BR"/>
        </w:rPr>
        <w:t xml:space="preserve"> </w:t>
      </w:r>
    </w:p>
    <w:p w:rsidR="004756C1" w:rsidRPr="002F50BD" w:rsidRDefault="004756C1">
      <w:pPr>
        <w:ind w:right="-227"/>
        <w:jc w:val="center"/>
        <w:rPr>
          <w:rFonts w:ascii="Verdana" w:hAnsi="Verdana"/>
          <w:b/>
          <w:bCs/>
          <w:sz w:val="20"/>
          <w:szCs w:val="28"/>
          <w:lang w:val="pt-BR"/>
        </w:rPr>
        <w:sectPr w:rsidR="004756C1" w:rsidRPr="002F50BD">
          <w:headerReference w:type="even" r:id="rId17"/>
          <w:headerReference w:type="default" r:id="rId18"/>
          <w:footerReference w:type="even" r:id="rId19"/>
          <w:footerReference w:type="default" r:id="rId20"/>
          <w:pgSz w:w="12240" w:h="15840"/>
          <w:pgMar w:top="1440" w:right="1800" w:bottom="1440" w:left="1800" w:header="720" w:footer="720" w:gutter="0"/>
          <w:pgNumType w:start="1"/>
          <w:cols w:space="720"/>
          <w:noEndnote/>
          <w:titlePg/>
        </w:sectPr>
      </w:pPr>
    </w:p>
    <w:p w:rsidR="004756C1" w:rsidRPr="002F50BD" w:rsidRDefault="004756C1">
      <w:pPr>
        <w:ind w:right="-227"/>
        <w:jc w:val="center"/>
        <w:rPr>
          <w:rFonts w:ascii="Verdana" w:hAnsi="Verdana"/>
          <w:b/>
          <w:bCs/>
          <w:sz w:val="20"/>
          <w:szCs w:val="28"/>
          <w:lang w:val="pt-BR"/>
        </w:rPr>
      </w:pPr>
    </w:p>
    <w:p w:rsidR="004756C1" w:rsidRPr="002F50BD" w:rsidRDefault="004756C1">
      <w:pPr>
        <w:ind w:right="-227"/>
        <w:jc w:val="center"/>
        <w:rPr>
          <w:rFonts w:ascii="Verdana" w:hAnsi="Verdana"/>
          <w:b/>
          <w:bCs/>
          <w:sz w:val="20"/>
          <w:szCs w:val="28"/>
          <w:lang w:val="pt-BR"/>
        </w:rPr>
      </w:pPr>
    </w:p>
    <w:p w:rsidR="004756C1" w:rsidRPr="002F50BD" w:rsidRDefault="004756C1">
      <w:pPr>
        <w:ind w:right="-227"/>
        <w:jc w:val="center"/>
        <w:rPr>
          <w:rFonts w:ascii="Verdana" w:hAnsi="Verdana"/>
          <w:b/>
          <w:bCs/>
          <w:sz w:val="20"/>
          <w:szCs w:val="28"/>
          <w:lang w:val="pt-BR"/>
        </w:rPr>
      </w:pPr>
      <w:r w:rsidRPr="002F50BD">
        <w:rPr>
          <w:rFonts w:ascii="Verdana" w:hAnsi="Verdana"/>
          <w:b/>
          <w:bCs/>
          <w:sz w:val="20"/>
          <w:szCs w:val="28"/>
          <w:lang w:val="pt-BR"/>
        </w:rPr>
        <w:t>VOTO PARCIALMENTE DI</w:t>
      </w:r>
      <w:r w:rsidR="00754117" w:rsidRPr="002F50BD">
        <w:rPr>
          <w:rFonts w:ascii="Verdana" w:hAnsi="Verdana"/>
          <w:b/>
          <w:bCs/>
          <w:sz w:val="20"/>
          <w:szCs w:val="28"/>
          <w:lang w:val="pt-BR"/>
        </w:rPr>
        <w:t>S</w:t>
      </w:r>
      <w:r w:rsidRPr="002F50BD">
        <w:rPr>
          <w:rFonts w:ascii="Verdana" w:hAnsi="Verdana"/>
          <w:b/>
          <w:bCs/>
          <w:sz w:val="20"/>
          <w:szCs w:val="28"/>
          <w:lang w:val="pt-BR"/>
        </w:rPr>
        <w:t xml:space="preserve">SIDENTE </w:t>
      </w:r>
      <w:r w:rsidR="0089298C" w:rsidRPr="002F50BD">
        <w:rPr>
          <w:rFonts w:ascii="Verdana" w:hAnsi="Verdana"/>
          <w:b/>
          <w:bCs/>
          <w:sz w:val="20"/>
          <w:szCs w:val="28"/>
          <w:lang w:val="pt-BR"/>
        </w:rPr>
        <w:t>DO JUIZ</w:t>
      </w:r>
      <w:r w:rsidRPr="002F50BD">
        <w:rPr>
          <w:rFonts w:ascii="Verdana" w:hAnsi="Verdana"/>
          <w:b/>
          <w:bCs/>
          <w:sz w:val="20"/>
          <w:szCs w:val="28"/>
          <w:lang w:val="pt-BR"/>
        </w:rPr>
        <w:t xml:space="preserve"> A. ABREU BURELLI</w:t>
      </w:r>
    </w:p>
    <w:p w:rsidR="004756C1" w:rsidRPr="002F50BD" w:rsidRDefault="004756C1">
      <w:pPr>
        <w:ind w:right="-227"/>
        <w:rPr>
          <w:rFonts w:ascii="Verdana" w:hAnsi="Verdana"/>
          <w:bCs/>
          <w:sz w:val="20"/>
          <w:szCs w:val="28"/>
          <w:lang w:val="pt-BR"/>
        </w:rPr>
      </w:pPr>
    </w:p>
    <w:p w:rsidR="004756C1" w:rsidRPr="002F50BD" w:rsidRDefault="004756C1">
      <w:pPr>
        <w:ind w:right="-227"/>
        <w:rPr>
          <w:rFonts w:ascii="Verdana" w:hAnsi="Verdana"/>
          <w:bCs/>
          <w:sz w:val="20"/>
          <w:szCs w:val="28"/>
          <w:lang w:val="pt-BR"/>
        </w:rPr>
      </w:pPr>
    </w:p>
    <w:p w:rsidR="004756C1" w:rsidRPr="002F50BD" w:rsidRDefault="00063B47">
      <w:pPr>
        <w:ind w:right="-227"/>
        <w:jc w:val="both"/>
        <w:rPr>
          <w:rFonts w:ascii="Verdana" w:hAnsi="Verdana"/>
          <w:bCs/>
          <w:i/>
          <w:iCs/>
          <w:sz w:val="20"/>
          <w:szCs w:val="28"/>
          <w:lang w:val="pt-BR"/>
        </w:rPr>
      </w:pPr>
      <w:r w:rsidRPr="002F50BD">
        <w:rPr>
          <w:rFonts w:ascii="Verdana" w:hAnsi="Verdana"/>
          <w:bCs/>
          <w:sz w:val="20"/>
          <w:szCs w:val="28"/>
          <w:lang w:val="pt-BR"/>
        </w:rPr>
        <w:t>1</w:t>
      </w:r>
      <w:r w:rsidR="004756C1" w:rsidRPr="002F50BD">
        <w:rPr>
          <w:rFonts w:ascii="Verdana" w:hAnsi="Verdana"/>
          <w:bCs/>
          <w:sz w:val="20"/>
          <w:szCs w:val="28"/>
          <w:lang w:val="pt-BR"/>
        </w:rPr>
        <w:t>.</w:t>
      </w:r>
      <w:r w:rsidR="004756C1" w:rsidRPr="002F50BD">
        <w:rPr>
          <w:rFonts w:ascii="Verdana" w:hAnsi="Verdana"/>
          <w:bCs/>
          <w:sz w:val="20"/>
          <w:szCs w:val="28"/>
          <w:lang w:val="pt-BR"/>
        </w:rPr>
        <w:tab/>
        <w:t>A</w:t>
      </w:r>
      <w:r w:rsidR="00AF2B8E" w:rsidRPr="002F50BD">
        <w:rPr>
          <w:rFonts w:ascii="Verdana" w:hAnsi="Verdana"/>
          <w:bCs/>
          <w:sz w:val="20"/>
          <w:szCs w:val="28"/>
          <w:lang w:val="pt-BR"/>
        </w:rPr>
        <w:t>o</w:t>
      </w:r>
      <w:r w:rsidR="004756C1" w:rsidRPr="002F50BD">
        <w:rPr>
          <w:rFonts w:ascii="Verdana" w:hAnsi="Verdana"/>
          <w:bCs/>
          <w:sz w:val="20"/>
          <w:szCs w:val="28"/>
          <w:lang w:val="pt-BR"/>
        </w:rPr>
        <w:t xml:space="preserve"> ser </w:t>
      </w:r>
      <w:r w:rsidR="0089298C" w:rsidRPr="002F50BD">
        <w:rPr>
          <w:rFonts w:ascii="Verdana" w:hAnsi="Verdana"/>
          <w:bCs/>
          <w:sz w:val="20"/>
          <w:szCs w:val="28"/>
          <w:lang w:val="pt-BR"/>
        </w:rPr>
        <w:t>submetida</w:t>
      </w:r>
      <w:r w:rsidR="004756C1" w:rsidRPr="002F50BD">
        <w:rPr>
          <w:rFonts w:ascii="Verdana" w:hAnsi="Verdana"/>
          <w:bCs/>
          <w:sz w:val="20"/>
          <w:szCs w:val="28"/>
          <w:lang w:val="pt-BR"/>
        </w:rPr>
        <w:t xml:space="preserve"> </w:t>
      </w:r>
      <w:r w:rsidR="00AF2B8E" w:rsidRPr="002F50BD">
        <w:rPr>
          <w:rFonts w:ascii="Verdana" w:hAnsi="Verdana"/>
          <w:bCs/>
          <w:sz w:val="20"/>
          <w:szCs w:val="28"/>
          <w:lang w:val="pt-BR"/>
        </w:rPr>
        <w:t>à</w:t>
      </w:r>
      <w:r w:rsidR="004756C1" w:rsidRPr="002F50BD">
        <w:rPr>
          <w:rFonts w:ascii="Verdana" w:hAnsi="Verdana"/>
          <w:bCs/>
          <w:sz w:val="20"/>
          <w:szCs w:val="28"/>
          <w:lang w:val="pt-BR"/>
        </w:rPr>
        <w:t xml:space="preserve"> vota</w:t>
      </w:r>
      <w:r w:rsidR="0089298C" w:rsidRPr="002F50BD">
        <w:rPr>
          <w:rFonts w:ascii="Verdana" w:hAnsi="Verdana"/>
          <w:bCs/>
          <w:sz w:val="20"/>
          <w:szCs w:val="28"/>
          <w:lang w:val="pt-BR"/>
        </w:rPr>
        <w:t>ção a sentença</w:t>
      </w:r>
      <w:r w:rsidR="004756C1" w:rsidRPr="002F50BD">
        <w:rPr>
          <w:rFonts w:ascii="Verdana" w:hAnsi="Verdana"/>
          <w:bCs/>
          <w:sz w:val="20"/>
          <w:szCs w:val="28"/>
          <w:lang w:val="pt-BR"/>
        </w:rPr>
        <w:t xml:space="preserve"> de </w:t>
      </w:r>
      <w:r w:rsidR="0089298C" w:rsidRPr="002F50BD">
        <w:rPr>
          <w:rFonts w:ascii="Verdana" w:hAnsi="Verdana"/>
          <w:bCs/>
          <w:sz w:val="20"/>
          <w:szCs w:val="28"/>
          <w:lang w:val="pt-BR"/>
        </w:rPr>
        <w:t xml:space="preserve">mérito no </w:t>
      </w:r>
      <w:r w:rsidR="004756C1" w:rsidRPr="002F50BD">
        <w:rPr>
          <w:rFonts w:ascii="Verdana" w:hAnsi="Verdana"/>
          <w:bCs/>
          <w:sz w:val="20"/>
          <w:szCs w:val="28"/>
          <w:lang w:val="pt-BR"/>
        </w:rPr>
        <w:t>caso “</w:t>
      </w:r>
      <w:r w:rsidR="0089298C" w:rsidRPr="002F50BD">
        <w:rPr>
          <w:rFonts w:ascii="Verdana" w:hAnsi="Verdana"/>
          <w:bCs/>
          <w:sz w:val="20"/>
          <w:szCs w:val="28"/>
          <w:lang w:val="pt-BR"/>
        </w:rPr>
        <w:t xml:space="preserve">Comunidade </w:t>
      </w:r>
      <w:r w:rsidR="00AF2B8E" w:rsidRPr="002F50BD">
        <w:rPr>
          <w:rFonts w:ascii="Verdana" w:hAnsi="Verdana"/>
          <w:bCs/>
          <w:sz w:val="20"/>
          <w:szCs w:val="28"/>
          <w:lang w:val="pt-BR"/>
        </w:rPr>
        <w:t>indígena Yakye Axa”, manifestei</w:t>
      </w:r>
      <w:r w:rsidR="004756C1" w:rsidRPr="002F50BD">
        <w:rPr>
          <w:rFonts w:ascii="Verdana" w:hAnsi="Verdana"/>
          <w:bCs/>
          <w:sz w:val="20"/>
          <w:szCs w:val="28"/>
          <w:lang w:val="pt-BR"/>
        </w:rPr>
        <w:t xml:space="preserve"> m</w:t>
      </w:r>
      <w:r w:rsidR="00AF2B8E" w:rsidRPr="002F50BD">
        <w:rPr>
          <w:rFonts w:ascii="Verdana" w:hAnsi="Verdana"/>
          <w:bCs/>
          <w:sz w:val="20"/>
          <w:szCs w:val="28"/>
          <w:lang w:val="pt-BR"/>
        </w:rPr>
        <w:t xml:space="preserve">inha </w:t>
      </w:r>
      <w:r w:rsidR="00F023F7" w:rsidRPr="002F50BD">
        <w:rPr>
          <w:rFonts w:ascii="Verdana" w:hAnsi="Verdana"/>
          <w:bCs/>
          <w:sz w:val="20"/>
          <w:szCs w:val="28"/>
          <w:lang w:val="pt-BR"/>
        </w:rPr>
        <w:t xml:space="preserve">divergência </w:t>
      </w:r>
      <w:r w:rsidR="0089298C" w:rsidRPr="002F50BD">
        <w:rPr>
          <w:rFonts w:ascii="Verdana" w:hAnsi="Verdana"/>
          <w:bCs/>
          <w:sz w:val="20"/>
          <w:szCs w:val="28"/>
          <w:lang w:val="pt-BR"/>
        </w:rPr>
        <w:t xml:space="preserve">em </w:t>
      </w:r>
      <w:r w:rsidR="004756C1" w:rsidRPr="002F50BD">
        <w:rPr>
          <w:rFonts w:ascii="Verdana" w:hAnsi="Verdana"/>
          <w:bCs/>
          <w:sz w:val="20"/>
          <w:szCs w:val="28"/>
          <w:lang w:val="pt-BR"/>
        </w:rPr>
        <w:t>rela</w:t>
      </w:r>
      <w:r w:rsidR="0089298C" w:rsidRPr="002F50BD">
        <w:rPr>
          <w:rFonts w:ascii="Verdana" w:hAnsi="Verdana"/>
          <w:bCs/>
          <w:sz w:val="20"/>
          <w:szCs w:val="28"/>
          <w:lang w:val="pt-BR"/>
        </w:rPr>
        <w:t xml:space="preserve">ção </w:t>
      </w:r>
      <w:r w:rsidR="00AF2B8E" w:rsidRPr="002F50BD">
        <w:rPr>
          <w:rFonts w:ascii="Verdana" w:hAnsi="Verdana"/>
          <w:bCs/>
          <w:sz w:val="20"/>
          <w:szCs w:val="28"/>
          <w:lang w:val="pt-BR"/>
        </w:rPr>
        <w:t>a</w:t>
      </w:r>
      <w:r w:rsidR="0089298C" w:rsidRPr="002F50BD">
        <w:rPr>
          <w:rFonts w:ascii="Verdana" w:hAnsi="Verdana"/>
          <w:bCs/>
          <w:sz w:val="20"/>
          <w:szCs w:val="28"/>
          <w:lang w:val="pt-BR"/>
        </w:rPr>
        <w:t xml:space="preserve">o ponto </w:t>
      </w:r>
      <w:r w:rsidR="004756C1" w:rsidRPr="002F50BD">
        <w:rPr>
          <w:rFonts w:ascii="Verdana" w:hAnsi="Verdana"/>
          <w:bCs/>
          <w:sz w:val="20"/>
          <w:szCs w:val="28"/>
          <w:lang w:val="pt-BR"/>
        </w:rPr>
        <w:t xml:space="preserve">resolutivo </w:t>
      </w:r>
      <w:r w:rsidRPr="002F50BD">
        <w:rPr>
          <w:rFonts w:ascii="Verdana" w:hAnsi="Verdana"/>
          <w:bCs/>
          <w:sz w:val="20"/>
          <w:szCs w:val="28"/>
          <w:lang w:val="pt-BR"/>
        </w:rPr>
        <w:t>4</w:t>
      </w:r>
      <w:r w:rsidR="0089298C" w:rsidRPr="002F50BD">
        <w:rPr>
          <w:rFonts w:ascii="Verdana" w:hAnsi="Verdana"/>
          <w:bCs/>
          <w:sz w:val="20"/>
          <w:szCs w:val="28"/>
          <w:lang w:val="pt-BR"/>
        </w:rPr>
        <w:t xml:space="preserve"> no qual a </w:t>
      </w:r>
      <w:r w:rsidR="004756C1" w:rsidRPr="002F50BD">
        <w:rPr>
          <w:rFonts w:ascii="Verdana" w:hAnsi="Verdana"/>
          <w:bCs/>
          <w:sz w:val="20"/>
          <w:szCs w:val="28"/>
          <w:lang w:val="pt-BR"/>
        </w:rPr>
        <w:t>Corte declara que “</w:t>
      </w:r>
      <w:r w:rsidR="004756C1" w:rsidRPr="002F50BD">
        <w:rPr>
          <w:rFonts w:ascii="Verdana" w:hAnsi="Verdana"/>
          <w:bCs/>
          <w:i/>
          <w:iCs/>
          <w:sz w:val="20"/>
          <w:szCs w:val="28"/>
          <w:lang w:val="pt-BR"/>
        </w:rPr>
        <w:t>n</w:t>
      </w:r>
      <w:r w:rsidR="00AF2B8E" w:rsidRPr="002F50BD">
        <w:rPr>
          <w:rFonts w:ascii="Verdana" w:hAnsi="Verdana"/>
          <w:bCs/>
          <w:i/>
          <w:iCs/>
          <w:sz w:val="20"/>
          <w:szCs w:val="28"/>
          <w:lang w:val="pt-BR"/>
        </w:rPr>
        <w:t>ã</w:t>
      </w:r>
      <w:r w:rsidR="004756C1" w:rsidRPr="002F50BD">
        <w:rPr>
          <w:rFonts w:ascii="Verdana" w:hAnsi="Verdana"/>
          <w:bCs/>
          <w:i/>
          <w:iCs/>
          <w:sz w:val="20"/>
          <w:szCs w:val="28"/>
          <w:lang w:val="pt-BR"/>
        </w:rPr>
        <w:t>o</w:t>
      </w:r>
      <w:r w:rsidR="0089298C" w:rsidRPr="002F50BD">
        <w:rPr>
          <w:rFonts w:ascii="Verdana" w:hAnsi="Verdana"/>
          <w:bCs/>
          <w:sz w:val="20"/>
          <w:szCs w:val="28"/>
          <w:lang w:val="pt-BR"/>
        </w:rPr>
        <w:t xml:space="preserve"> conta com </w:t>
      </w:r>
      <w:r w:rsidR="004756C1" w:rsidRPr="002F50BD">
        <w:rPr>
          <w:rFonts w:ascii="Verdana" w:hAnsi="Verdana"/>
          <w:bCs/>
          <w:i/>
          <w:iCs/>
          <w:sz w:val="20"/>
          <w:szCs w:val="28"/>
          <w:lang w:val="pt-BR"/>
        </w:rPr>
        <w:t xml:space="preserve">elementos </w:t>
      </w:r>
      <w:r w:rsidR="0089298C" w:rsidRPr="002F50BD">
        <w:rPr>
          <w:rFonts w:ascii="Verdana" w:hAnsi="Verdana"/>
          <w:bCs/>
          <w:i/>
          <w:iCs/>
          <w:sz w:val="20"/>
          <w:szCs w:val="28"/>
          <w:lang w:val="pt-BR"/>
        </w:rPr>
        <w:t>probatório</w:t>
      </w:r>
      <w:r w:rsidR="004756C1" w:rsidRPr="002F50BD">
        <w:rPr>
          <w:rFonts w:ascii="Verdana" w:hAnsi="Verdana"/>
          <w:bCs/>
          <w:i/>
          <w:iCs/>
          <w:sz w:val="20"/>
          <w:szCs w:val="28"/>
          <w:lang w:val="pt-BR"/>
        </w:rPr>
        <w:t xml:space="preserve">s suficientes para </w:t>
      </w:r>
      <w:r w:rsidR="0089298C" w:rsidRPr="002F50BD">
        <w:rPr>
          <w:rFonts w:ascii="Verdana" w:hAnsi="Verdana"/>
          <w:bCs/>
          <w:i/>
          <w:iCs/>
          <w:sz w:val="20"/>
          <w:szCs w:val="28"/>
          <w:lang w:val="pt-BR"/>
        </w:rPr>
        <w:t xml:space="preserve">demonstrar a </w:t>
      </w:r>
      <w:r w:rsidR="004756C1" w:rsidRPr="002F50BD">
        <w:rPr>
          <w:rFonts w:ascii="Verdana" w:hAnsi="Verdana"/>
          <w:bCs/>
          <w:i/>
          <w:iCs/>
          <w:sz w:val="20"/>
          <w:szCs w:val="28"/>
          <w:lang w:val="pt-BR"/>
        </w:rPr>
        <w:t>viola</w:t>
      </w:r>
      <w:r w:rsidR="0089298C" w:rsidRPr="002F50BD">
        <w:rPr>
          <w:rFonts w:ascii="Verdana" w:hAnsi="Verdana"/>
          <w:bCs/>
          <w:i/>
          <w:iCs/>
          <w:sz w:val="20"/>
          <w:szCs w:val="28"/>
          <w:lang w:val="pt-BR"/>
        </w:rPr>
        <w:t>ção</w:t>
      </w:r>
      <w:r w:rsidR="004756C1" w:rsidRPr="002F50BD">
        <w:rPr>
          <w:rFonts w:ascii="Verdana" w:hAnsi="Verdana"/>
          <w:bCs/>
          <w:i/>
          <w:iCs/>
          <w:sz w:val="20"/>
          <w:szCs w:val="28"/>
          <w:lang w:val="pt-BR"/>
        </w:rPr>
        <w:t xml:space="preserve"> </w:t>
      </w:r>
      <w:r w:rsidR="0089298C" w:rsidRPr="002F50BD">
        <w:rPr>
          <w:rFonts w:ascii="Verdana" w:hAnsi="Verdana"/>
          <w:bCs/>
          <w:i/>
          <w:iCs/>
          <w:sz w:val="20"/>
          <w:szCs w:val="28"/>
          <w:lang w:val="pt-BR"/>
        </w:rPr>
        <w:t xml:space="preserve">do Direito à </w:t>
      </w:r>
      <w:r w:rsidR="004756C1" w:rsidRPr="002F50BD">
        <w:rPr>
          <w:rFonts w:ascii="Verdana" w:hAnsi="Verdana"/>
          <w:bCs/>
          <w:i/>
          <w:iCs/>
          <w:sz w:val="20"/>
          <w:szCs w:val="28"/>
          <w:lang w:val="pt-BR"/>
        </w:rPr>
        <w:t>vida</w:t>
      </w:r>
      <w:r w:rsidR="00AF2B8E" w:rsidRPr="002F50BD">
        <w:rPr>
          <w:rFonts w:ascii="Verdana" w:hAnsi="Verdana"/>
          <w:bCs/>
          <w:i/>
          <w:iCs/>
          <w:sz w:val="20"/>
          <w:szCs w:val="28"/>
          <w:lang w:val="pt-BR"/>
        </w:rPr>
        <w:t>,</w:t>
      </w:r>
      <w:r w:rsidR="004756C1" w:rsidRPr="002F50BD">
        <w:rPr>
          <w:rFonts w:ascii="Verdana" w:hAnsi="Verdana"/>
          <w:bCs/>
          <w:i/>
          <w:iCs/>
          <w:sz w:val="20"/>
          <w:szCs w:val="28"/>
          <w:lang w:val="pt-BR"/>
        </w:rPr>
        <w:t xml:space="preserve"> consagrado</w:t>
      </w:r>
      <w:r w:rsidR="0089298C" w:rsidRPr="002F50BD">
        <w:rPr>
          <w:rFonts w:ascii="Verdana" w:hAnsi="Verdana"/>
          <w:bCs/>
          <w:i/>
          <w:iCs/>
          <w:sz w:val="20"/>
          <w:szCs w:val="28"/>
          <w:lang w:val="pt-BR"/>
        </w:rPr>
        <w:t xml:space="preserve"> no artigo</w:t>
      </w:r>
      <w:r w:rsidR="004756C1" w:rsidRPr="002F50BD">
        <w:rPr>
          <w:rFonts w:ascii="Verdana" w:hAnsi="Verdana"/>
          <w:bCs/>
          <w:i/>
          <w:iCs/>
          <w:sz w:val="20"/>
          <w:szCs w:val="28"/>
          <w:lang w:val="pt-BR"/>
        </w:rPr>
        <w:t xml:space="preserve"> </w:t>
      </w:r>
      <w:r w:rsidRPr="002F50BD">
        <w:rPr>
          <w:rFonts w:ascii="Verdana" w:hAnsi="Verdana"/>
          <w:bCs/>
          <w:iCs/>
          <w:sz w:val="20"/>
          <w:szCs w:val="28"/>
          <w:lang w:val="pt-BR"/>
        </w:rPr>
        <w:t>4</w:t>
      </w:r>
      <w:r w:rsidR="004756C1" w:rsidRPr="002F50BD">
        <w:rPr>
          <w:rFonts w:ascii="Verdana" w:hAnsi="Verdana"/>
          <w:bCs/>
          <w:i/>
          <w:iCs/>
          <w:sz w:val="20"/>
          <w:szCs w:val="28"/>
          <w:lang w:val="pt-BR"/>
        </w:rPr>
        <w:t>.</w:t>
      </w:r>
      <w:r w:rsidRPr="002F50BD">
        <w:rPr>
          <w:rFonts w:ascii="Verdana" w:hAnsi="Verdana"/>
          <w:bCs/>
          <w:iCs/>
          <w:sz w:val="20"/>
          <w:szCs w:val="28"/>
          <w:lang w:val="pt-BR"/>
        </w:rPr>
        <w:t>1</w:t>
      </w:r>
      <w:r w:rsidR="0089298C" w:rsidRPr="002F50BD">
        <w:rPr>
          <w:rFonts w:ascii="Verdana" w:hAnsi="Verdana"/>
          <w:bCs/>
          <w:i/>
          <w:iCs/>
          <w:sz w:val="20"/>
          <w:szCs w:val="28"/>
          <w:lang w:val="pt-BR"/>
        </w:rPr>
        <w:t xml:space="preserve"> da </w:t>
      </w:r>
      <w:r w:rsidR="004756C1" w:rsidRPr="002F50BD">
        <w:rPr>
          <w:rFonts w:ascii="Verdana" w:hAnsi="Verdana"/>
          <w:bCs/>
          <w:i/>
          <w:iCs/>
          <w:sz w:val="20"/>
          <w:szCs w:val="28"/>
          <w:lang w:val="pt-BR"/>
        </w:rPr>
        <w:t>Conven</w:t>
      </w:r>
      <w:r w:rsidR="0089298C" w:rsidRPr="002F50BD">
        <w:rPr>
          <w:rFonts w:ascii="Verdana" w:hAnsi="Verdana"/>
          <w:bCs/>
          <w:i/>
          <w:iCs/>
          <w:sz w:val="20"/>
          <w:szCs w:val="28"/>
          <w:lang w:val="pt-BR"/>
        </w:rPr>
        <w:t>ção</w:t>
      </w:r>
      <w:r w:rsidR="004756C1" w:rsidRPr="002F50BD">
        <w:rPr>
          <w:rFonts w:ascii="Verdana" w:hAnsi="Verdana"/>
          <w:bCs/>
          <w:i/>
          <w:iCs/>
          <w:sz w:val="20"/>
          <w:szCs w:val="28"/>
          <w:lang w:val="pt-BR"/>
        </w:rPr>
        <w:t xml:space="preserve"> Americana sobre </w:t>
      </w:r>
      <w:r w:rsidR="0089298C" w:rsidRPr="002F50BD">
        <w:rPr>
          <w:rFonts w:ascii="Verdana" w:hAnsi="Verdana"/>
          <w:bCs/>
          <w:i/>
          <w:iCs/>
          <w:sz w:val="20"/>
          <w:szCs w:val="28"/>
          <w:lang w:val="pt-BR"/>
        </w:rPr>
        <w:t>Direito</w:t>
      </w:r>
      <w:r w:rsidR="004756C1" w:rsidRPr="002F50BD">
        <w:rPr>
          <w:rFonts w:ascii="Verdana" w:hAnsi="Verdana"/>
          <w:bCs/>
          <w:i/>
          <w:iCs/>
          <w:sz w:val="20"/>
          <w:szCs w:val="28"/>
          <w:lang w:val="pt-BR"/>
        </w:rPr>
        <w:t>s Humanos,</w:t>
      </w:r>
      <w:r w:rsidR="0089298C" w:rsidRPr="002F50BD">
        <w:rPr>
          <w:rFonts w:ascii="Verdana" w:hAnsi="Verdana"/>
          <w:bCs/>
          <w:i/>
          <w:iCs/>
          <w:sz w:val="20"/>
          <w:szCs w:val="28"/>
          <w:lang w:val="pt-BR"/>
        </w:rPr>
        <w:t xml:space="preserve"> em </w:t>
      </w:r>
      <w:r w:rsidR="00AF2B8E" w:rsidRPr="002F50BD">
        <w:rPr>
          <w:rFonts w:ascii="Verdana" w:hAnsi="Verdana"/>
          <w:bCs/>
          <w:i/>
          <w:iCs/>
          <w:sz w:val="20"/>
          <w:szCs w:val="28"/>
          <w:lang w:val="pt-BR"/>
        </w:rPr>
        <w:t xml:space="preserve">detrimento </w:t>
      </w:r>
      <w:r w:rsidR="004756C1" w:rsidRPr="002F50BD">
        <w:rPr>
          <w:rFonts w:ascii="Verdana" w:hAnsi="Verdana"/>
          <w:bCs/>
          <w:i/>
          <w:iCs/>
          <w:sz w:val="20"/>
          <w:szCs w:val="28"/>
          <w:lang w:val="pt-BR"/>
        </w:rPr>
        <w:t xml:space="preserve">de </w:t>
      </w:r>
      <w:r w:rsidR="00CF451D">
        <w:rPr>
          <w:rFonts w:ascii="Verdana" w:hAnsi="Verdana"/>
          <w:bCs/>
          <w:i/>
          <w:iCs/>
          <w:sz w:val="20"/>
          <w:szCs w:val="28"/>
          <w:lang w:val="pt-BR"/>
        </w:rPr>
        <w:t>16</w:t>
      </w:r>
      <w:r w:rsidR="004756C1" w:rsidRPr="002F50BD">
        <w:rPr>
          <w:rFonts w:ascii="Verdana" w:hAnsi="Verdana"/>
          <w:bCs/>
          <w:i/>
          <w:iCs/>
          <w:sz w:val="20"/>
          <w:szCs w:val="28"/>
          <w:lang w:val="pt-BR"/>
        </w:rPr>
        <w:t xml:space="preserve"> </w:t>
      </w:r>
      <w:r w:rsidR="0089298C" w:rsidRPr="002F50BD">
        <w:rPr>
          <w:rFonts w:ascii="Verdana" w:hAnsi="Verdana"/>
          <w:bCs/>
          <w:i/>
          <w:iCs/>
          <w:sz w:val="20"/>
          <w:szCs w:val="28"/>
          <w:lang w:val="pt-BR"/>
        </w:rPr>
        <w:t>membro</w:t>
      </w:r>
      <w:r w:rsidR="004756C1" w:rsidRPr="002F50BD">
        <w:rPr>
          <w:rFonts w:ascii="Verdana" w:hAnsi="Verdana"/>
          <w:bCs/>
          <w:i/>
          <w:iCs/>
          <w:sz w:val="20"/>
          <w:szCs w:val="28"/>
          <w:lang w:val="pt-BR"/>
        </w:rPr>
        <w:t>s</w:t>
      </w:r>
      <w:r w:rsidR="0089298C" w:rsidRPr="002F50BD">
        <w:rPr>
          <w:rFonts w:ascii="Verdana" w:hAnsi="Verdana"/>
          <w:bCs/>
          <w:i/>
          <w:iCs/>
          <w:sz w:val="20"/>
          <w:szCs w:val="28"/>
          <w:lang w:val="pt-BR"/>
        </w:rPr>
        <w:t xml:space="preserve"> da Comunidade </w:t>
      </w:r>
      <w:r w:rsidR="004756C1" w:rsidRPr="002F50BD">
        <w:rPr>
          <w:rFonts w:ascii="Verdana" w:hAnsi="Verdana"/>
          <w:bCs/>
          <w:i/>
          <w:iCs/>
          <w:sz w:val="20"/>
          <w:szCs w:val="28"/>
          <w:lang w:val="pt-BR"/>
        </w:rPr>
        <w:t>indígena Yakye Axa […]”.</w:t>
      </w:r>
    </w:p>
    <w:p w:rsidR="004756C1" w:rsidRPr="002F50BD" w:rsidRDefault="004756C1">
      <w:pPr>
        <w:ind w:right="-227"/>
        <w:jc w:val="both"/>
        <w:rPr>
          <w:rFonts w:ascii="Verdana" w:hAnsi="Verdana"/>
          <w:bCs/>
          <w:i/>
          <w:i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iCs/>
          <w:sz w:val="20"/>
          <w:szCs w:val="28"/>
          <w:lang w:val="pt-BR"/>
        </w:rPr>
        <w:t>2</w:t>
      </w:r>
      <w:r w:rsidR="004756C1" w:rsidRPr="002F50BD">
        <w:rPr>
          <w:rFonts w:ascii="Verdana" w:hAnsi="Verdana"/>
          <w:bCs/>
          <w:iCs/>
          <w:sz w:val="20"/>
          <w:szCs w:val="28"/>
          <w:lang w:val="pt-BR"/>
        </w:rPr>
        <w:t xml:space="preserve">. </w:t>
      </w:r>
      <w:r w:rsidR="004756C1" w:rsidRPr="002F50BD">
        <w:rPr>
          <w:rFonts w:ascii="Verdana" w:hAnsi="Verdana"/>
          <w:bCs/>
          <w:iCs/>
          <w:sz w:val="20"/>
          <w:szCs w:val="28"/>
          <w:lang w:val="pt-BR"/>
        </w:rPr>
        <w:tab/>
      </w:r>
      <w:r w:rsidR="004756C1" w:rsidRPr="002F50BD">
        <w:rPr>
          <w:rFonts w:ascii="Verdana" w:hAnsi="Verdana"/>
          <w:bCs/>
          <w:sz w:val="20"/>
          <w:szCs w:val="28"/>
          <w:lang w:val="pt-BR"/>
        </w:rPr>
        <w:t>A partir</w:t>
      </w:r>
      <w:r w:rsidR="0089298C" w:rsidRPr="002F50BD">
        <w:rPr>
          <w:rFonts w:ascii="Verdana" w:hAnsi="Verdana"/>
          <w:bCs/>
          <w:sz w:val="20"/>
          <w:szCs w:val="28"/>
          <w:lang w:val="pt-BR"/>
        </w:rPr>
        <w:t xml:space="preserve"> da sentença</w:t>
      </w:r>
      <w:r w:rsidR="004756C1" w:rsidRPr="002F50BD">
        <w:rPr>
          <w:rFonts w:ascii="Verdana" w:hAnsi="Verdana"/>
          <w:bCs/>
          <w:sz w:val="20"/>
          <w:szCs w:val="28"/>
          <w:lang w:val="pt-BR"/>
        </w:rPr>
        <w:t xml:space="preserve"> de </w:t>
      </w:r>
      <w:r w:rsidR="0089298C" w:rsidRPr="002F50BD">
        <w:rPr>
          <w:rFonts w:ascii="Verdana" w:hAnsi="Verdana"/>
          <w:bCs/>
          <w:sz w:val="20"/>
          <w:szCs w:val="28"/>
          <w:lang w:val="pt-BR"/>
        </w:rPr>
        <w:t xml:space="preserve">mérito no </w:t>
      </w:r>
      <w:r w:rsidR="004756C1" w:rsidRPr="002F50BD">
        <w:rPr>
          <w:rFonts w:ascii="Verdana" w:hAnsi="Verdana"/>
          <w:bCs/>
          <w:sz w:val="20"/>
          <w:szCs w:val="28"/>
          <w:lang w:val="pt-BR"/>
        </w:rPr>
        <w:t xml:space="preserve">caso </w:t>
      </w:r>
      <w:r w:rsidR="0089298C" w:rsidRPr="002F50BD">
        <w:rPr>
          <w:rFonts w:ascii="Verdana" w:hAnsi="Verdana"/>
          <w:bCs/>
          <w:sz w:val="20"/>
          <w:szCs w:val="28"/>
          <w:lang w:val="pt-BR"/>
        </w:rPr>
        <w:t>Villagrán Morales e outros</w:t>
      </w:r>
      <w:r w:rsidR="004756C1" w:rsidRPr="002F50BD">
        <w:rPr>
          <w:rFonts w:ascii="Verdana" w:hAnsi="Verdana"/>
          <w:bCs/>
          <w:sz w:val="20"/>
          <w:szCs w:val="28"/>
          <w:lang w:val="pt-BR"/>
        </w:rPr>
        <w:t xml:space="preserve"> vs. Guatemala </w:t>
      </w:r>
      <w:r w:rsidR="00CF451D" w:rsidRPr="00CF451D">
        <w:rPr>
          <w:rFonts w:ascii="Verdana" w:hAnsi="Verdana"/>
          <w:bCs/>
          <w:sz w:val="20"/>
          <w:szCs w:val="28"/>
          <w:lang w:val="pt-BR"/>
        </w:rPr>
        <w:t>(</w:t>
      </w:r>
      <w:r w:rsidR="0089298C" w:rsidRPr="002F50BD">
        <w:rPr>
          <w:rFonts w:ascii="Verdana" w:hAnsi="Verdana"/>
          <w:bCs/>
          <w:sz w:val="20"/>
          <w:szCs w:val="28"/>
          <w:lang w:val="pt-BR"/>
        </w:rPr>
        <w:t>novembro</w:t>
      </w:r>
      <w:r w:rsidR="004756C1" w:rsidRPr="002F50BD">
        <w:rPr>
          <w:rFonts w:ascii="Verdana" w:hAnsi="Verdana"/>
          <w:bCs/>
          <w:sz w:val="20"/>
          <w:szCs w:val="28"/>
          <w:lang w:val="pt-BR"/>
        </w:rPr>
        <w:t xml:space="preserve"> de </w:t>
      </w:r>
      <w:r w:rsidRPr="002F50BD">
        <w:rPr>
          <w:rFonts w:ascii="Verdana" w:hAnsi="Verdana"/>
          <w:bCs/>
          <w:sz w:val="20"/>
          <w:szCs w:val="28"/>
          <w:lang w:val="pt-BR"/>
        </w:rPr>
        <w:t>1999</w:t>
      </w:r>
      <w:r w:rsidR="00CF451D" w:rsidRPr="00CF451D">
        <w:rPr>
          <w:rFonts w:ascii="Verdana" w:hAnsi="Verdana"/>
          <w:bCs/>
          <w:sz w:val="20"/>
          <w:szCs w:val="28"/>
          <w:lang w:val="pt-BR"/>
        </w:rPr>
        <w:t>)</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a </w:t>
      </w:r>
      <w:r w:rsidR="004756C1" w:rsidRPr="002F50BD">
        <w:rPr>
          <w:rFonts w:ascii="Verdana" w:hAnsi="Verdana"/>
          <w:bCs/>
          <w:sz w:val="20"/>
          <w:szCs w:val="28"/>
          <w:lang w:val="pt-BR"/>
        </w:rPr>
        <w:t xml:space="preserve">Corte </w:t>
      </w:r>
      <w:r w:rsidR="00AF713C" w:rsidRPr="002F50BD">
        <w:rPr>
          <w:rFonts w:ascii="Verdana" w:hAnsi="Verdana"/>
          <w:bCs/>
          <w:sz w:val="20"/>
          <w:szCs w:val="28"/>
          <w:lang w:val="pt-BR"/>
        </w:rPr>
        <w:t xml:space="preserve">afirmou </w:t>
      </w:r>
      <w:r w:rsidR="004756C1" w:rsidRPr="002F50BD">
        <w:rPr>
          <w:rFonts w:ascii="Verdana" w:hAnsi="Verdana"/>
          <w:bCs/>
          <w:sz w:val="20"/>
          <w:szCs w:val="28"/>
          <w:lang w:val="pt-BR"/>
        </w:rPr>
        <w:t>reiteradamente que</w:t>
      </w:r>
      <w:r w:rsidR="0089298C" w:rsidRPr="002F50BD">
        <w:rPr>
          <w:rFonts w:ascii="Verdana" w:hAnsi="Verdana"/>
          <w:bCs/>
          <w:sz w:val="20"/>
          <w:szCs w:val="28"/>
          <w:lang w:val="pt-BR"/>
        </w:rPr>
        <w:t xml:space="preserve"> o direito à </w:t>
      </w:r>
      <w:r w:rsidR="004756C1" w:rsidRPr="002F50BD">
        <w:rPr>
          <w:rFonts w:ascii="Verdana" w:hAnsi="Verdana"/>
          <w:bCs/>
          <w:sz w:val="20"/>
          <w:szCs w:val="28"/>
          <w:lang w:val="pt-BR"/>
        </w:rPr>
        <w:t>vida implica</w:t>
      </w:r>
      <w:r w:rsidR="00AB454A" w:rsidRPr="002F50BD">
        <w:rPr>
          <w:rFonts w:ascii="Verdana" w:hAnsi="Verdana"/>
          <w:bCs/>
          <w:sz w:val="20"/>
          <w:szCs w:val="28"/>
          <w:lang w:val="pt-BR"/>
        </w:rPr>
        <w:t xml:space="preserve"> não apenas</w:t>
      </w:r>
      <w:r w:rsidR="0089298C" w:rsidRPr="002F50BD">
        <w:rPr>
          <w:rFonts w:ascii="Verdana" w:hAnsi="Verdana"/>
          <w:bCs/>
          <w:sz w:val="20"/>
          <w:szCs w:val="28"/>
          <w:lang w:val="pt-BR"/>
        </w:rPr>
        <w:t xml:space="preserve"> a obrigação</w:t>
      </w:r>
      <w:r w:rsidR="004756C1" w:rsidRPr="002F50BD">
        <w:rPr>
          <w:rFonts w:ascii="Verdana" w:hAnsi="Verdana"/>
          <w:bCs/>
          <w:sz w:val="20"/>
          <w:szCs w:val="28"/>
          <w:lang w:val="pt-BR"/>
        </w:rPr>
        <w:t xml:space="preserve"> negativa de n</w:t>
      </w:r>
      <w:r w:rsidR="00AF713C" w:rsidRPr="002F50BD">
        <w:rPr>
          <w:rFonts w:ascii="Verdana" w:hAnsi="Verdana"/>
          <w:bCs/>
          <w:sz w:val="20"/>
          <w:szCs w:val="28"/>
          <w:lang w:val="pt-BR"/>
        </w:rPr>
        <w:t>ã</w:t>
      </w:r>
      <w:r w:rsidR="004756C1" w:rsidRPr="002F50BD">
        <w:rPr>
          <w:rFonts w:ascii="Verdana" w:hAnsi="Verdana"/>
          <w:bCs/>
          <w:sz w:val="20"/>
          <w:szCs w:val="28"/>
          <w:lang w:val="pt-BR"/>
        </w:rPr>
        <w:t xml:space="preserve">o privar </w:t>
      </w:r>
      <w:r w:rsidR="0089298C" w:rsidRPr="002F50BD">
        <w:rPr>
          <w:rFonts w:ascii="Verdana" w:hAnsi="Verdana"/>
          <w:bCs/>
          <w:sz w:val="20"/>
          <w:szCs w:val="28"/>
          <w:lang w:val="pt-BR"/>
        </w:rPr>
        <w:t xml:space="preserve">ninguém da </w:t>
      </w:r>
      <w:r w:rsidR="004756C1" w:rsidRPr="002F50BD">
        <w:rPr>
          <w:rFonts w:ascii="Verdana" w:hAnsi="Verdana"/>
          <w:bCs/>
          <w:sz w:val="20"/>
          <w:szCs w:val="28"/>
          <w:lang w:val="pt-BR"/>
        </w:rPr>
        <w:t xml:space="preserve">vida </w:t>
      </w:r>
      <w:r w:rsidR="00F55DCA" w:rsidRPr="002F50BD">
        <w:rPr>
          <w:rFonts w:ascii="Verdana" w:hAnsi="Verdana"/>
          <w:bCs/>
          <w:sz w:val="20"/>
          <w:szCs w:val="28"/>
          <w:lang w:val="pt-BR"/>
        </w:rPr>
        <w:t>arbitrariam</w:t>
      </w:r>
      <w:r w:rsidR="004756C1" w:rsidRPr="002F50BD">
        <w:rPr>
          <w:rFonts w:ascii="Verdana" w:hAnsi="Verdana"/>
          <w:bCs/>
          <w:sz w:val="20"/>
          <w:szCs w:val="28"/>
          <w:lang w:val="pt-BR"/>
        </w:rPr>
        <w:t>ente,</w:t>
      </w:r>
      <w:r w:rsidR="0089298C" w:rsidRPr="002F50BD">
        <w:rPr>
          <w:rFonts w:ascii="Verdana" w:hAnsi="Verdana"/>
          <w:bCs/>
          <w:sz w:val="20"/>
          <w:szCs w:val="28"/>
          <w:lang w:val="pt-BR"/>
        </w:rPr>
        <w:t xml:space="preserve"> mas também a obrigação</w:t>
      </w:r>
      <w:r w:rsidR="004756C1" w:rsidRPr="002F50BD">
        <w:rPr>
          <w:rFonts w:ascii="Verdana" w:hAnsi="Verdana"/>
          <w:bCs/>
          <w:sz w:val="20"/>
          <w:szCs w:val="28"/>
          <w:lang w:val="pt-BR"/>
        </w:rPr>
        <w:t xml:space="preserve"> positiva de tomar medidas para </w:t>
      </w:r>
      <w:r w:rsidR="0089298C" w:rsidRPr="002F50BD">
        <w:rPr>
          <w:rFonts w:ascii="Verdana" w:hAnsi="Verdana"/>
          <w:bCs/>
          <w:sz w:val="20"/>
          <w:szCs w:val="28"/>
          <w:lang w:val="pt-BR"/>
        </w:rPr>
        <w:t>assegurar</w:t>
      </w:r>
      <w:r w:rsidR="004756C1" w:rsidRPr="002F50BD">
        <w:rPr>
          <w:rFonts w:ascii="Verdana" w:hAnsi="Verdana"/>
          <w:bCs/>
          <w:sz w:val="20"/>
          <w:szCs w:val="28"/>
          <w:lang w:val="pt-BR"/>
        </w:rPr>
        <w:t xml:space="preserve"> que n</w:t>
      </w:r>
      <w:r w:rsidR="00AF713C" w:rsidRPr="002F50BD">
        <w:rPr>
          <w:rFonts w:ascii="Verdana" w:hAnsi="Verdana"/>
          <w:bCs/>
          <w:sz w:val="20"/>
          <w:szCs w:val="28"/>
          <w:lang w:val="pt-BR"/>
        </w:rPr>
        <w:t>ã</w:t>
      </w:r>
      <w:r w:rsidR="004756C1" w:rsidRPr="002F50BD">
        <w:rPr>
          <w:rFonts w:ascii="Verdana" w:hAnsi="Verdana"/>
          <w:bCs/>
          <w:sz w:val="20"/>
          <w:szCs w:val="28"/>
          <w:lang w:val="pt-BR"/>
        </w:rPr>
        <w:t>o</w:t>
      </w:r>
      <w:r w:rsidR="0089298C" w:rsidRPr="002F50BD">
        <w:rPr>
          <w:rFonts w:ascii="Verdana" w:hAnsi="Verdana"/>
          <w:bCs/>
          <w:sz w:val="20"/>
          <w:szCs w:val="28"/>
          <w:lang w:val="pt-BR"/>
        </w:rPr>
        <w:t xml:space="preserve"> seja </w:t>
      </w:r>
      <w:r w:rsidR="004756C1" w:rsidRPr="002F50BD">
        <w:rPr>
          <w:rFonts w:ascii="Verdana" w:hAnsi="Verdana"/>
          <w:bCs/>
          <w:sz w:val="20"/>
          <w:szCs w:val="28"/>
          <w:lang w:val="pt-BR"/>
        </w:rPr>
        <w:t>violado aquel</w:t>
      </w:r>
      <w:r w:rsidR="00AF713C" w:rsidRPr="002F50BD">
        <w:rPr>
          <w:rFonts w:ascii="Verdana" w:hAnsi="Verdana"/>
          <w:bCs/>
          <w:sz w:val="20"/>
          <w:szCs w:val="28"/>
          <w:lang w:val="pt-BR"/>
        </w:rPr>
        <w:t>e</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direito</w:t>
      </w:r>
      <w:r w:rsidR="004756C1" w:rsidRPr="002F50BD">
        <w:rPr>
          <w:rFonts w:ascii="Verdana" w:hAnsi="Verdana"/>
          <w:bCs/>
          <w:sz w:val="20"/>
          <w:szCs w:val="28"/>
          <w:lang w:val="pt-BR"/>
        </w:rPr>
        <w:t xml:space="preserve"> básico. </w:t>
      </w:r>
      <w:r w:rsidR="0089298C" w:rsidRPr="002F50BD">
        <w:rPr>
          <w:rFonts w:ascii="Verdana" w:hAnsi="Verdana"/>
          <w:bCs/>
          <w:sz w:val="20"/>
          <w:szCs w:val="28"/>
          <w:lang w:val="pt-BR"/>
        </w:rPr>
        <w:t>Esta</w:t>
      </w:r>
      <w:r w:rsidR="004756C1" w:rsidRPr="002F50BD">
        <w:rPr>
          <w:rFonts w:ascii="Verdana" w:hAnsi="Verdana"/>
          <w:bCs/>
          <w:sz w:val="20"/>
          <w:szCs w:val="28"/>
          <w:lang w:val="pt-BR"/>
        </w:rPr>
        <w:t xml:space="preserve"> interpreta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do direito à </w:t>
      </w:r>
      <w:r w:rsidR="004756C1" w:rsidRPr="002F50BD">
        <w:rPr>
          <w:rFonts w:ascii="Verdana" w:hAnsi="Verdana"/>
          <w:bCs/>
          <w:sz w:val="20"/>
          <w:szCs w:val="28"/>
          <w:lang w:val="pt-BR"/>
        </w:rPr>
        <w:t xml:space="preserve">vida de modo que </w:t>
      </w:r>
      <w:r w:rsidR="00AF713C" w:rsidRPr="002F50BD">
        <w:rPr>
          <w:rFonts w:ascii="Verdana" w:hAnsi="Verdana"/>
          <w:bCs/>
          <w:sz w:val="20"/>
          <w:szCs w:val="28"/>
          <w:lang w:val="pt-BR"/>
        </w:rPr>
        <w:t xml:space="preserve">inclua </w:t>
      </w:r>
      <w:r w:rsidR="004756C1" w:rsidRPr="002F50BD">
        <w:rPr>
          <w:rFonts w:ascii="Verdana" w:hAnsi="Verdana"/>
          <w:bCs/>
          <w:sz w:val="20"/>
          <w:szCs w:val="28"/>
          <w:lang w:val="pt-BR"/>
        </w:rPr>
        <w:t xml:space="preserve">medidas de </w:t>
      </w:r>
      <w:r w:rsidR="0089298C" w:rsidRPr="002F50BD">
        <w:rPr>
          <w:rFonts w:ascii="Verdana" w:hAnsi="Verdana"/>
          <w:bCs/>
          <w:sz w:val="20"/>
          <w:szCs w:val="28"/>
          <w:lang w:val="pt-BR"/>
        </w:rPr>
        <w:t>proteção</w:t>
      </w:r>
      <w:r w:rsidR="004756C1" w:rsidRPr="002F50BD">
        <w:rPr>
          <w:rFonts w:ascii="Verdana" w:hAnsi="Verdana"/>
          <w:bCs/>
          <w:sz w:val="20"/>
          <w:szCs w:val="28"/>
          <w:lang w:val="pt-BR"/>
        </w:rPr>
        <w:t xml:space="preserve"> por parte </w:t>
      </w:r>
      <w:r w:rsidR="0089298C" w:rsidRPr="002F50BD">
        <w:rPr>
          <w:rFonts w:ascii="Verdana" w:hAnsi="Verdana"/>
          <w:bCs/>
          <w:sz w:val="20"/>
          <w:szCs w:val="28"/>
          <w:lang w:val="pt-BR"/>
        </w:rPr>
        <w:t xml:space="preserve">do </w:t>
      </w:r>
      <w:r w:rsidR="004756C1" w:rsidRPr="002F50BD">
        <w:rPr>
          <w:rFonts w:ascii="Verdana" w:hAnsi="Verdana"/>
          <w:bCs/>
          <w:sz w:val="20"/>
          <w:szCs w:val="28"/>
          <w:lang w:val="pt-BR"/>
        </w:rPr>
        <w:t xml:space="preserve">Estado, </w:t>
      </w:r>
      <w:r w:rsidR="0089298C" w:rsidRPr="002F50BD">
        <w:rPr>
          <w:rFonts w:ascii="Verdana" w:hAnsi="Verdana"/>
          <w:bCs/>
          <w:sz w:val="20"/>
          <w:szCs w:val="28"/>
          <w:lang w:val="pt-BR"/>
        </w:rPr>
        <w:t xml:space="preserve">encontra </w:t>
      </w:r>
      <w:r w:rsidR="004756C1" w:rsidRPr="002F50BD">
        <w:rPr>
          <w:rFonts w:ascii="Verdana" w:hAnsi="Verdana"/>
          <w:bCs/>
          <w:sz w:val="20"/>
          <w:szCs w:val="28"/>
          <w:lang w:val="pt-BR"/>
        </w:rPr>
        <w:t>respaldo</w:t>
      </w:r>
      <w:r w:rsidR="0089298C" w:rsidRPr="002F50BD">
        <w:rPr>
          <w:rFonts w:ascii="Verdana" w:hAnsi="Verdana"/>
          <w:bCs/>
          <w:sz w:val="20"/>
          <w:szCs w:val="28"/>
          <w:lang w:val="pt-BR"/>
        </w:rPr>
        <w:t xml:space="preserve"> hoje </w:t>
      </w:r>
      <w:r w:rsidR="004756C1" w:rsidRPr="002F50BD">
        <w:rPr>
          <w:rFonts w:ascii="Verdana" w:hAnsi="Verdana"/>
          <w:bCs/>
          <w:sz w:val="20"/>
          <w:szCs w:val="28"/>
          <w:lang w:val="pt-BR"/>
        </w:rPr>
        <w:t>tanto</w:t>
      </w:r>
      <w:r w:rsidR="0089298C" w:rsidRPr="002F50BD">
        <w:rPr>
          <w:rFonts w:ascii="Verdana" w:hAnsi="Verdana"/>
          <w:bCs/>
          <w:sz w:val="20"/>
          <w:szCs w:val="28"/>
          <w:lang w:val="pt-BR"/>
        </w:rPr>
        <w:t xml:space="preserve"> na jurisprudência </w:t>
      </w:r>
      <w:r w:rsidR="004756C1" w:rsidRPr="002F50BD">
        <w:rPr>
          <w:rFonts w:ascii="Verdana" w:hAnsi="Verdana"/>
          <w:bCs/>
          <w:sz w:val="20"/>
          <w:szCs w:val="28"/>
          <w:lang w:val="pt-BR"/>
        </w:rPr>
        <w:t>internacional como</w:t>
      </w:r>
      <w:r w:rsidR="0089298C" w:rsidRPr="002F50BD">
        <w:rPr>
          <w:rFonts w:ascii="Verdana" w:hAnsi="Verdana"/>
          <w:bCs/>
          <w:sz w:val="20"/>
          <w:szCs w:val="28"/>
          <w:lang w:val="pt-BR"/>
        </w:rPr>
        <w:t xml:space="preserve"> na doutrina</w:t>
      </w:r>
      <w:r w:rsidR="004756C1" w:rsidRPr="002F50BD">
        <w:rPr>
          <w:rFonts w:ascii="Verdana" w:hAnsi="Verdana"/>
          <w:bCs/>
          <w:sz w:val="20"/>
          <w:szCs w:val="28"/>
          <w:lang w:val="pt-BR"/>
        </w:rPr>
        <w:t>.</w:t>
      </w:r>
    </w:p>
    <w:p w:rsidR="004756C1" w:rsidRPr="002F50BD" w:rsidRDefault="004756C1">
      <w:pPr>
        <w:ind w:right="-227"/>
        <w:jc w:val="both"/>
        <w:rPr>
          <w:rFonts w:ascii="Verdana" w:hAnsi="Verdana"/>
          <w:b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sz w:val="20"/>
          <w:szCs w:val="28"/>
          <w:lang w:val="pt-BR"/>
        </w:rPr>
        <w:t>3</w:t>
      </w:r>
      <w:r w:rsidR="004756C1" w:rsidRPr="002F50BD">
        <w:rPr>
          <w:rFonts w:ascii="Verdana" w:hAnsi="Verdana"/>
          <w:bCs/>
          <w:sz w:val="20"/>
          <w:szCs w:val="28"/>
          <w:lang w:val="pt-BR"/>
        </w:rPr>
        <w:t xml:space="preserve">. </w:t>
      </w:r>
      <w:r w:rsidR="004756C1" w:rsidRPr="002F50BD">
        <w:rPr>
          <w:rFonts w:ascii="Verdana" w:hAnsi="Verdana"/>
          <w:bCs/>
          <w:sz w:val="20"/>
          <w:szCs w:val="28"/>
          <w:lang w:val="pt-BR"/>
        </w:rPr>
        <w:tab/>
      </w:r>
      <w:r w:rsidR="00AF713C" w:rsidRPr="002F50BD">
        <w:rPr>
          <w:rFonts w:ascii="Verdana" w:hAnsi="Verdana"/>
          <w:bCs/>
          <w:sz w:val="20"/>
          <w:szCs w:val="28"/>
          <w:lang w:val="pt-BR"/>
        </w:rPr>
        <w:t>Afirmou-se</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em </w:t>
      </w:r>
      <w:r w:rsidR="004756C1" w:rsidRPr="002F50BD">
        <w:rPr>
          <w:rFonts w:ascii="Verdana" w:hAnsi="Verdana"/>
          <w:bCs/>
          <w:sz w:val="20"/>
          <w:szCs w:val="28"/>
          <w:lang w:val="pt-BR"/>
        </w:rPr>
        <w:t>rela</w:t>
      </w:r>
      <w:r w:rsidR="0089298C" w:rsidRPr="002F50BD">
        <w:rPr>
          <w:rFonts w:ascii="Verdana" w:hAnsi="Verdana"/>
          <w:bCs/>
          <w:sz w:val="20"/>
          <w:szCs w:val="28"/>
          <w:lang w:val="pt-BR"/>
        </w:rPr>
        <w:t xml:space="preserve">ção </w:t>
      </w:r>
      <w:r w:rsidR="00AF713C" w:rsidRPr="002F50BD">
        <w:rPr>
          <w:rFonts w:ascii="Verdana" w:hAnsi="Verdana"/>
          <w:bCs/>
          <w:sz w:val="20"/>
          <w:szCs w:val="28"/>
          <w:lang w:val="pt-BR"/>
        </w:rPr>
        <w:t xml:space="preserve">a </w:t>
      </w:r>
      <w:r w:rsidR="0089298C" w:rsidRPr="002F50BD">
        <w:rPr>
          <w:rFonts w:ascii="Verdana" w:hAnsi="Verdana"/>
          <w:bCs/>
          <w:sz w:val="20"/>
          <w:szCs w:val="28"/>
          <w:lang w:val="pt-BR"/>
        </w:rPr>
        <w:t>estes critério</w:t>
      </w:r>
      <w:r w:rsidR="004756C1" w:rsidRPr="002F50BD">
        <w:rPr>
          <w:rFonts w:ascii="Verdana" w:hAnsi="Verdana"/>
          <w:bCs/>
          <w:sz w:val="20"/>
          <w:szCs w:val="28"/>
          <w:lang w:val="pt-BR"/>
        </w:rPr>
        <w:t>s</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Corte, que</w:t>
      </w:r>
      <w:r w:rsidR="0089298C" w:rsidRPr="002F50BD">
        <w:rPr>
          <w:rFonts w:ascii="Verdana" w:hAnsi="Verdana"/>
          <w:bCs/>
          <w:sz w:val="20"/>
          <w:szCs w:val="28"/>
          <w:lang w:val="pt-BR"/>
        </w:rPr>
        <w:t xml:space="preserve"> o direito à </w:t>
      </w:r>
      <w:r w:rsidR="004756C1" w:rsidRPr="002F50BD">
        <w:rPr>
          <w:rFonts w:ascii="Verdana" w:hAnsi="Verdana"/>
          <w:bCs/>
          <w:sz w:val="20"/>
          <w:szCs w:val="28"/>
          <w:lang w:val="pt-BR"/>
        </w:rPr>
        <w:t xml:space="preserve">vida </w:t>
      </w:r>
      <w:r w:rsidR="00AB454A" w:rsidRPr="002F50BD">
        <w:rPr>
          <w:rFonts w:ascii="Verdana" w:hAnsi="Verdana"/>
          <w:bCs/>
          <w:sz w:val="20"/>
          <w:szCs w:val="28"/>
          <w:lang w:val="pt-BR"/>
        </w:rPr>
        <w:t>não pode</w:t>
      </w:r>
      <w:r w:rsidR="004756C1" w:rsidRPr="002F50BD">
        <w:rPr>
          <w:rFonts w:ascii="Verdana" w:hAnsi="Verdana"/>
          <w:bCs/>
          <w:sz w:val="20"/>
          <w:szCs w:val="28"/>
          <w:lang w:val="pt-BR"/>
        </w:rPr>
        <w:t xml:space="preserve"> seguir </w:t>
      </w:r>
      <w:r w:rsidR="0089298C" w:rsidRPr="002F50BD">
        <w:rPr>
          <w:rFonts w:ascii="Verdana" w:hAnsi="Verdana"/>
          <w:bCs/>
          <w:sz w:val="20"/>
          <w:szCs w:val="28"/>
          <w:lang w:val="pt-BR"/>
        </w:rPr>
        <w:t>sendo</w:t>
      </w:r>
      <w:r w:rsidR="004756C1" w:rsidRPr="002F50BD">
        <w:rPr>
          <w:rFonts w:ascii="Verdana" w:hAnsi="Verdana"/>
          <w:bCs/>
          <w:sz w:val="20"/>
          <w:szCs w:val="28"/>
          <w:lang w:val="pt-BR"/>
        </w:rPr>
        <w:t xml:space="preserve"> concebido </w:t>
      </w:r>
      <w:r w:rsidR="0089298C" w:rsidRPr="002F50BD">
        <w:rPr>
          <w:rFonts w:ascii="Verdana" w:hAnsi="Verdana"/>
          <w:bCs/>
          <w:sz w:val="20"/>
          <w:szCs w:val="28"/>
          <w:lang w:val="pt-BR"/>
        </w:rPr>
        <w:t>restritiv</w:t>
      </w:r>
      <w:r w:rsidR="004756C1" w:rsidRPr="002F50BD">
        <w:rPr>
          <w:rFonts w:ascii="Verdana" w:hAnsi="Verdana"/>
          <w:bCs/>
          <w:sz w:val="20"/>
          <w:szCs w:val="28"/>
          <w:lang w:val="pt-BR"/>
        </w:rPr>
        <w:t xml:space="preserve">amente, como </w:t>
      </w:r>
      <w:r w:rsidR="0089298C" w:rsidRPr="002F50BD">
        <w:rPr>
          <w:rFonts w:ascii="Verdana" w:hAnsi="Verdana"/>
          <w:bCs/>
          <w:sz w:val="20"/>
          <w:szCs w:val="28"/>
          <w:lang w:val="pt-BR"/>
        </w:rPr>
        <w:t>foi no passado</w:t>
      </w:r>
      <w:r w:rsidR="004756C1" w:rsidRPr="002F50BD">
        <w:rPr>
          <w:rFonts w:ascii="Verdana" w:hAnsi="Verdana"/>
          <w:bCs/>
          <w:sz w:val="20"/>
          <w:szCs w:val="28"/>
          <w:lang w:val="pt-BR"/>
        </w:rPr>
        <w:t xml:space="preserve">, referido </w:t>
      </w:r>
      <w:r w:rsidR="0089298C" w:rsidRPr="002F50BD">
        <w:rPr>
          <w:rFonts w:ascii="Verdana" w:hAnsi="Verdana"/>
          <w:bCs/>
          <w:sz w:val="20"/>
          <w:szCs w:val="28"/>
          <w:lang w:val="pt-BR"/>
        </w:rPr>
        <w:t xml:space="preserve">apenas à proibição da </w:t>
      </w:r>
      <w:r w:rsidR="004756C1" w:rsidRPr="002F50BD">
        <w:rPr>
          <w:rFonts w:ascii="Verdana" w:hAnsi="Verdana"/>
          <w:bCs/>
          <w:sz w:val="20"/>
          <w:szCs w:val="28"/>
          <w:lang w:val="pt-BR"/>
        </w:rPr>
        <w:t>priva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arbitrária da </w:t>
      </w:r>
      <w:r w:rsidR="004756C1" w:rsidRPr="002F50BD">
        <w:rPr>
          <w:rFonts w:ascii="Verdana" w:hAnsi="Verdana"/>
          <w:bCs/>
          <w:sz w:val="20"/>
          <w:szCs w:val="28"/>
          <w:lang w:val="pt-BR"/>
        </w:rPr>
        <w:t xml:space="preserve">vida física. </w:t>
      </w:r>
      <w:r w:rsidR="0089298C" w:rsidRPr="002F50BD">
        <w:rPr>
          <w:rFonts w:ascii="Verdana" w:hAnsi="Verdana"/>
          <w:bCs/>
          <w:sz w:val="20"/>
          <w:szCs w:val="28"/>
          <w:lang w:val="pt-BR"/>
        </w:rPr>
        <w:t xml:space="preserve">Há </w:t>
      </w:r>
      <w:r w:rsidR="004756C1" w:rsidRPr="002F50BD">
        <w:rPr>
          <w:rFonts w:ascii="Verdana" w:hAnsi="Verdana"/>
          <w:bCs/>
          <w:sz w:val="20"/>
          <w:szCs w:val="28"/>
          <w:lang w:val="pt-BR"/>
        </w:rPr>
        <w:t xml:space="preserve">diversos modos de privar </w:t>
      </w:r>
      <w:r w:rsidR="0089298C" w:rsidRPr="002F50BD">
        <w:rPr>
          <w:rFonts w:ascii="Verdana" w:hAnsi="Verdana"/>
          <w:bCs/>
          <w:sz w:val="20"/>
          <w:szCs w:val="28"/>
          <w:lang w:val="pt-BR"/>
        </w:rPr>
        <w:t>uma pessoa</w:t>
      </w:r>
      <w:r w:rsidR="004756C1" w:rsidRPr="002F50BD">
        <w:rPr>
          <w:rFonts w:ascii="Verdana" w:hAnsi="Verdana"/>
          <w:bCs/>
          <w:sz w:val="20"/>
          <w:szCs w:val="28"/>
          <w:lang w:val="pt-BR"/>
        </w:rPr>
        <w:t xml:space="preserve"> </w:t>
      </w:r>
      <w:r w:rsidR="00F55DCA" w:rsidRPr="002F50BD">
        <w:rPr>
          <w:rFonts w:ascii="Verdana" w:hAnsi="Verdana"/>
          <w:bCs/>
          <w:sz w:val="20"/>
          <w:szCs w:val="28"/>
          <w:lang w:val="pt-BR"/>
        </w:rPr>
        <w:t>arbitrariam</w:t>
      </w:r>
      <w:r w:rsidR="004756C1" w:rsidRPr="002F50BD">
        <w:rPr>
          <w:rFonts w:ascii="Verdana" w:hAnsi="Verdana"/>
          <w:bCs/>
          <w:sz w:val="20"/>
          <w:szCs w:val="28"/>
          <w:lang w:val="pt-BR"/>
        </w:rPr>
        <w:t>ente</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 xml:space="preserve">vida: </w:t>
      </w:r>
      <w:r w:rsidR="0089298C" w:rsidRPr="002F50BD">
        <w:rPr>
          <w:rFonts w:ascii="Verdana" w:hAnsi="Verdana"/>
          <w:bCs/>
          <w:sz w:val="20"/>
          <w:szCs w:val="28"/>
          <w:lang w:val="pt-BR"/>
        </w:rPr>
        <w:t xml:space="preserve">quando é </w:t>
      </w:r>
      <w:r w:rsidR="004756C1" w:rsidRPr="002F50BD">
        <w:rPr>
          <w:rFonts w:ascii="Verdana" w:hAnsi="Verdana"/>
          <w:bCs/>
          <w:sz w:val="20"/>
          <w:szCs w:val="28"/>
          <w:lang w:val="pt-BR"/>
        </w:rPr>
        <w:t>provocada su</w:t>
      </w:r>
      <w:r w:rsidR="00AF713C" w:rsidRPr="002F50BD">
        <w:rPr>
          <w:rFonts w:ascii="Verdana" w:hAnsi="Verdana"/>
          <w:bCs/>
          <w:sz w:val="20"/>
          <w:szCs w:val="28"/>
          <w:lang w:val="pt-BR"/>
        </w:rPr>
        <w:t>a</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morte</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diret</w:t>
      </w:r>
      <w:r w:rsidR="004756C1" w:rsidRPr="002F50BD">
        <w:rPr>
          <w:rFonts w:ascii="Verdana" w:hAnsi="Verdana"/>
          <w:bCs/>
          <w:sz w:val="20"/>
          <w:szCs w:val="28"/>
          <w:lang w:val="pt-BR"/>
        </w:rPr>
        <w:t>amente</w:t>
      </w:r>
      <w:r w:rsidR="0089298C" w:rsidRPr="002F50BD">
        <w:rPr>
          <w:rFonts w:ascii="Verdana" w:hAnsi="Verdana"/>
          <w:bCs/>
          <w:sz w:val="20"/>
          <w:szCs w:val="28"/>
          <w:lang w:val="pt-BR"/>
        </w:rPr>
        <w:t xml:space="preserve"> pelo fato </w:t>
      </w:r>
      <w:r w:rsidR="004756C1" w:rsidRPr="002F50BD">
        <w:rPr>
          <w:rFonts w:ascii="Verdana" w:hAnsi="Verdana"/>
          <w:bCs/>
          <w:sz w:val="20"/>
          <w:szCs w:val="28"/>
          <w:lang w:val="pt-BR"/>
        </w:rPr>
        <w:t xml:space="preserve">ilícito </w:t>
      </w:r>
      <w:r w:rsidR="0089298C" w:rsidRPr="002F50BD">
        <w:rPr>
          <w:rFonts w:ascii="Verdana" w:hAnsi="Verdana"/>
          <w:bCs/>
          <w:sz w:val="20"/>
          <w:szCs w:val="28"/>
          <w:lang w:val="pt-BR"/>
        </w:rPr>
        <w:t>do homicídio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assim</w:t>
      </w:r>
      <w:r w:rsidR="004756C1" w:rsidRPr="002F50BD">
        <w:rPr>
          <w:rFonts w:ascii="Verdana" w:hAnsi="Verdana"/>
          <w:bCs/>
          <w:sz w:val="20"/>
          <w:szCs w:val="28"/>
          <w:lang w:val="pt-BR"/>
        </w:rPr>
        <w:t xml:space="preserve"> como </w:t>
      </w:r>
      <w:r w:rsidR="0089298C" w:rsidRPr="002F50BD">
        <w:rPr>
          <w:rFonts w:ascii="Verdana" w:hAnsi="Verdana"/>
          <w:bCs/>
          <w:sz w:val="20"/>
          <w:szCs w:val="28"/>
          <w:lang w:val="pt-BR"/>
        </w:rPr>
        <w:t>quando</w:t>
      </w:r>
      <w:r w:rsidR="004756C1" w:rsidRPr="002F50BD">
        <w:rPr>
          <w:rFonts w:ascii="Verdana" w:hAnsi="Verdana"/>
          <w:bCs/>
          <w:sz w:val="20"/>
          <w:szCs w:val="28"/>
          <w:lang w:val="pt-BR"/>
        </w:rPr>
        <w:t xml:space="preserve"> n</w:t>
      </w:r>
      <w:r w:rsidR="00AF713C" w:rsidRPr="002F50BD">
        <w:rPr>
          <w:rFonts w:ascii="Verdana" w:hAnsi="Verdana"/>
          <w:bCs/>
          <w:sz w:val="20"/>
          <w:szCs w:val="28"/>
          <w:lang w:val="pt-BR"/>
        </w:rPr>
        <w:t>ã</w:t>
      </w:r>
      <w:r w:rsidR="004756C1" w:rsidRPr="002F50BD">
        <w:rPr>
          <w:rFonts w:ascii="Verdana" w:hAnsi="Verdana"/>
          <w:bCs/>
          <w:sz w:val="20"/>
          <w:szCs w:val="28"/>
          <w:lang w:val="pt-BR"/>
        </w:rPr>
        <w:t>o se evita</w:t>
      </w:r>
      <w:r w:rsidR="00AF713C" w:rsidRPr="002F50BD">
        <w:rPr>
          <w:rFonts w:ascii="Verdana" w:hAnsi="Verdana"/>
          <w:bCs/>
          <w:sz w:val="20"/>
          <w:szCs w:val="28"/>
          <w:lang w:val="pt-BR"/>
        </w:rPr>
        <w:t>m</w:t>
      </w:r>
      <w:r w:rsidR="0089298C" w:rsidRPr="002F50BD">
        <w:rPr>
          <w:rFonts w:ascii="Verdana" w:hAnsi="Verdana"/>
          <w:bCs/>
          <w:sz w:val="20"/>
          <w:szCs w:val="28"/>
          <w:lang w:val="pt-BR"/>
        </w:rPr>
        <w:t xml:space="preserve"> as circunstâncias</w:t>
      </w:r>
      <w:r w:rsidR="004756C1" w:rsidRPr="002F50BD">
        <w:rPr>
          <w:rFonts w:ascii="Verdana" w:hAnsi="Verdana"/>
          <w:bCs/>
          <w:sz w:val="20"/>
          <w:szCs w:val="28"/>
          <w:lang w:val="pt-BR"/>
        </w:rPr>
        <w:t xml:space="preserve"> que</w:t>
      </w:r>
      <w:r w:rsidR="00F023F7" w:rsidRPr="002F50BD">
        <w:rPr>
          <w:rFonts w:ascii="Verdana" w:hAnsi="Verdana"/>
          <w:bCs/>
          <w:sz w:val="20"/>
          <w:szCs w:val="28"/>
          <w:lang w:val="pt-BR"/>
        </w:rPr>
        <w:t>,</w:t>
      </w:r>
      <w:r w:rsidR="004756C1" w:rsidRPr="002F50BD">
        <w:rPr>
          <w:rFonts w:ascii="Verdana" w:hAnsi="Verdana"/>
          <w:bCs/>
          <w:sz w:val="20"/>
          <w:szCs w:val="28"/>
          <w:lang w:val="pt-BR"/>
        </w:rPr>
        <w:t xml:space="preserve"> igualmente</w:t>
      </w:r>
      <w:r w:rsidR="00F023F7" w:rsidRPr="002F50BD">
        <w:rPr>
          <w:rFonts w:ascii="Verdana" w:hAnsi="Verdana"/>
          <w:bCs/>
          <w:sz w:val="20"/>
          <w:szCs w:val="28"/>
          <w:lang w:val="pt-BR"/>
        </w:rPr>
        <w:t>,</w:t>
      </w:r>
      <w:r w:rsidR="004756C1" w:rsidRPr="002F50BD">
        <w:rPr>
          <w:rFonts w:ascii="Verdana" w:hAnsi="Verdana"/>
          <w:bCs/>
          <w:sz w:val="20"/>
          <w:szCs w:val="28"/>
          <w:lang w:val="pt-BR"/>
        </w:rPr>
        <w:t xml:space="preserve"> </w:t>
      </w:r>
      <w:r w:rsidR="00475EBB" w:rsidRPr="002F50BD">
        <w:rPr>
          <w:rFonts w:ascii="Verdana" w:hAnsi="Verdana"/>
          <w:bCs/>
          <w:sz w:val="20"/>
          <w:szCs w:val="28"/>
          <w:lang w:val="pt-BR"/>
        </w:rPr>
        <w:t xml:space="preserve">podem </w:t>
      </w:r>
      <w:r w:rsidR="0089298C" w:rsidRPr="002F50BD">
        <w:rPr>
          <w:rFonts w:ascii="Verdana" w:hAnsi="Verdana"/>
          <w:bCs/>
          <w:sz w:val="20"/>
          <w:szCs w:val="28"/>
          <w:lang w:val="pt-BR"/>
        </w:rPr>
        <w:t>conduzir à morte</w:t>
      </w:r>
      <w:r w:rsidR="004756C1" w:rsidRPr="002F50BD">
        <w:rPr>
          <w:rFonts w:ascii="Verdana" w:hAnsi="Verdana"/>
          <w:bCs/>
          <w:sz w:val="20"/>
          <w:szCs w:val="28"/>
          <w:lang w:val="pt-BR"/>
        </w:rPr>
        <w:t xml:space="preserve">, especialmente </w:t>
      </w:r>
      <w:r w:rsidR="0089298C" w:rsidRPr="002F50BD">
        <w:rPr>
          <w:rFonts w:ascii="Verdana" w:hAnsi="Verdana"/>
          <w:bCs/>
          <w:sz w:val="20"/>
          <w:szCs w:val="28"/>
          <w:lang w:val="pt-BR"/>
        </w:rPr>
        <w:t>quando</w:t>
      </w:r>
      <w:r w:rsidR="004756C1" w:rsidRPr="002F50BD">
        <w:rPr>
          <w:rFonts w:ascii="Verdana" w:hAnsi="Verdana"/>
          <w:bCs/>
          <w:sz w:val="20"/>
          <w:szCs w:val="28"/>
          <w:lang w:val="pt-BR"/>
        </w:rPr>
        <w:t xml:space="preserve"> se trata de </w:t>
      </w:r>
      <w:r w:rsidR="0089298C" w:rsidRPr="002F50BD">
        <w:rPr>
          <w:rFonts w:ascii="Verdana" w:hAnsi="Verdana"/>
          <w:bCs/>
          <w:sz w:val="20"/>
          <w:szCs w:val="28"/>
          <w:lang w:val="pt-BR"/>
        </w:rPr>
        <w:t>pessoa</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vulneráveis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a respeito</w:t>
      </w:r>
      <w:r w:rsidR="004756C1" w:rsidRPr="002F50BD">
        <w:rPr>
          <w:rFonts w:ascii="Verdana" w:hAnsi="Verdana"/>
          <w:bCs/>
          <w:sz w:val="20"/>
          <w:szCs w:val="28"/>
          <w:lang w:val="pt-BR"/>
        </w:rPr>
        <w:t xml:space="preserve"> </w:t>
      </w:r>
      <w:r w:rsidR="00AF713C" w:rsidRPr="002F50BD">
        <w:rPr>
          <w:rFonts w:ascii="Verdana" w:hAnsi="Verdana"/>
          <w:bCs/>
          <w:sz w:val="20"/>
          <w:szCs w:val="28"/>
          <w:lang w:val="pt-BR"/>
        </w:rPr>
        <w:t>de</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quem a </w:t>
      </w:r>
      <w:r w:rsidR="004756C1" w:rsidRPr="002F50BD">
        <w:rPr>
          <w:rFonts w:ascii="Verdana" w:hAnsi="Verdana"/>
          <w:bCs/>
          <w:sz w:val="20"/>
          <w:szCs w:val="28"/>
          <w:lang w:val="pt-BR"/>
        </w:rPr>
        <w:t>vida, antes de perd</w:t>
      </w:r>
      <w:r w:rsidR="00AF713C" w:rsidRPr="002F50BD">
        <w:rPr>
          <w:rFonts w:ascii="Verdana" w:hAnsi="Verdana"/>
          <w:bCs/>
          <w:sz w:val="20"/>
          <w:szCs w:val="28"/>
          <w:lang w:val="pt-BR"/>
        </w:rPr>
        <w:t>ê-</w:t>
      </w:r>
      <w:r w:rsidR="004756C1" w:rsidRPr="002F50BD">
        <w:rPr>
          <w:rFonts w:ascii="Verdana" w:hAnsi="Verdana"/>
          <w:bCs/>
          <w:sz w:val="20"/>
          <w:szCs w:val="28"/>
          <w:lang w:val="pt-BR"/>
        </w:rPr>
        <w:t xml:space="preserve">la </w:t>
      </w:r>
      <w:r w:rsidR="00AB454A" w:rsidRPr="002F50BD">
        <w:rPr>
          <w:rFonts w:ascii="Verdana" w:hAnsi="Verdana"/>
          <w:bCs/>
          <w:sz w:val="20"/>
          <w:szCs w:val="28"/>
          <w:lang w:val="pt-BR"/>
        </w:rPr>
        <w:t>fisicamente</w:t>
      </w:r>
      <w:r w:rsidR="004756C1" w:rsidRPr="002F50BD">
        <w:rPr>
          <w:rFonts w:ascii="Verdana" w:hAnsi="Verdana"/>
          <w:bCs/>
          <w:sz w:val="20"/>
          <w:szCs w:val="28"/>
          <w:lang w:val="pt-BR"/>
        </w:rPr>
        <w:t xml:space="preserve">, </w:t>
      </w:r>
      <w:r w:rsidR="00F023F7" w:rsidRPr="002F50BD">
        <w:rPr>
          <w:rFonts w:ascii="Verdana" w:hAnsi="Verdana"/>
          <w:bCs/>
          <w:sz w:val="20"/>
          <w:szCs w:val="28"/>
          <w:lang w:val="pt-BR"/>
        </w:rPr>
        <w:t xml:space="preserve">já </w:t>
      </w:r>
      <w:r w:rsidR="004756C1" w:rsidRPr="002F50BD">
        <w:rPr>
          <w:rFonts w:ascii="Verdana" w:hAnsi="Verdana"/>
          <w:bCs/>
          <w:sz w:val="20"/>
          <w:szCs w:val="28"/>
          <w:lang w:val="pt-BR"/>
        </w:rPr>
        <w:t>carec</w:t>
      </w:r>
      <w:r w:rsidR="00AF713C" w:rsidRPr="002F50BD">
        <w:rPr>
          <w:rFonts w:ascii="Verdana" w:hAnsi="Verdana"/>
          <w:bCs/>
          <w:sz w:val="20"/>
          <w:szCs w:val="28"/>
          <w:lang w:val="pt-BR"/>
        </w:rPr>
        <w:t>i</w:t>
      </w:r>
      <w:r w:rsidR="004756C1" w:rsidRPr="002F50BD">
        <w:rPr>
          <w:rFonts w:ascii="Verdana" w:hAnsi="Verdana"/>
          <w:bCs/>
          <w:sz w:val="20"/>
          <w:szCs w:val="28"/>
          <w:lang w:val="pt-BR"/>
        </w:rPr>
        <w:t>a de sentido,</w:t>
      </w:r>
      <w:r w:rsidR="0089298C" w:rsidRPr="002F50BD">
        <w:rPr>
          <w:rFonts w:ascii="Verdana" w:hAnsi="Verdana"/>
          <w:bCs/>
          <w:sz w:val="20"/>
          <w:szCs w:val="28"/>
          <w:lang w:val="pt-BR"/>
        </w:rPr>
        <w:t xml:space="preserve"> pois</w:t>
      </w:r>
      <w:r w:rsidR="004076AD" w:rsidRPr="002F50BD">
        <w:rPr>
          <w:rFonts w:ascii="Verdana" w:hAnsi="Verdana"/>
          <w:bCs/>
          <w:sz w:val="20"/>
          <w:szCs w:val="28"/>
          <w:lang w:val="pt-BR"/>
        </w:rPr>
        <w:t xml:space="preserve"> haviam </w:t>
      </w:r>
      <w:r w:rsidR="004756C1" w:rsidRPr="002F50BD">
        <w:rPr>
          <w:rFonts w:ascii="Verdana" w:hAnsi="Verdana"/>
          <w:bCs/>
          <w:sz w:val="20"/>
          <w:szCs w:val="28"/>
          <w:lang w:val="pt-BR"/>
        </w:rPr>
        <w:t>perdido</w:t>
      </w:r>
      <w:r w:rsidR="0089298C" w:rsidRPr="002F50BD">
        <w:rPr>
          <w:rFonts w:ascii="Verdana" w:hAnsi="Verdana"/>
          <w:bCs/>
          <w:sz w:val="20"/>
          <w:szCs w:val="28"/>
          <w:lang w:val="pt-BR"/>
        </w:rPr>
        <w:t xml:space="preserve"> a possibilidade </w:t>
      </w:r>
      <w:r w:rsidR="004756C1" w:rsidRPr="002F50BD">
        <w:rPr>
          <w:rFonts w:ascii="Verdana" w:hAnsi="Verdana"/>
          <w:bCs/>
          <w:sz w:val="20"/>
          <w:szCs w:val="28"/>
          <w:lang w:val="pt-BR"/>
        </w:rPr>
        <w:t xml:space="preserve">de </w:t>
      </w:r>
      <w:r w:rsidR="0089298C" w:rsidRPr="002F50BD">
        <w:rPr>
          <w:rFonts w:ascii="Verdana" w:hAnsi="Verdana"/>
          <w:bCs/>
          <w:sz w:val="20"/>
          <w:szCs w:val="28"/>
          <w:lang w:val="pt-BR"/>
        </w:rPr>
        <w:t>desenvolver um projeto</w:t>
      </w:r>
      <w:r w:rsidR="004756C1" w:rsidRPr="002F50BD">
        <w:rPr>
          <w:rFonts w:ascii="Verdana" w:hAnsi="Verdana"/>
          <w:bCs/>
          <w:sz w:val="20"/>
          <w:szCs w:val="28"/>
          <w:lang w:val="pt-BR"/>
        </w:rPr>
        <w:t xml:space="preserve"> de vida</w:t>
      </w:r>
      <w:r w:rsidR="0089298C" w:rsidRPr="002F50BD">
        <w:rPr>
          <w:rFonts w:ascii="Verdana" w:hAnsi="Verdana"/>
          <w:bCs/>
          <w:sz w:val="20"/>
          <w:szCs w:val="28"/>
          <w:lang w:val="pt-BR"/>
        </w:rPr>
        <w:t xml:space="preserve"> e </w:t>
      </w:r>
      <w:r w:rsidR="00AF713C" w:rsidRPr="002F50BD">
        <w:rPr>
          <w:rFonts w:ascii="Verdana" w:hAnsi="Verdana"/>
          <w:bCs/>
          <w:sz w:val="20"/>
          <w:szCs w:val="28"/>
          <w:lang w:val="pt-BR"/>
        </w:rPr>
        <w:t xml:space="preserve">também </w:t>
      </w:r>
      <w:r w:rsidR="004756C1" w:rsidRPr="002F50BD">
        <w:rPr>
          <w:rFonts w:ascii="Verdana" w:hAnsi="Verdana"/>
          <w:bCs/>
          <w:sz w:val="20"/>
          <w:szCs w:val="28"/>
          <w:lang w:val="pt-BR"/>
        </w:rPr>
        <w:t>de procurar</w:t>
      </w:r>
      <w:r w:rsidR="0089298C" w:rsidRPr="002F50BD">
        <w:rPr>
          <w:rFonts w:ascii="Verdana" w:hAnsi="Verdana"/>
          <w:bCs/>
          <w:sz w:val="20"/>
          <w:szCs w:val="28"/>
          <w:lang w:val="pt-BR"/>
        </w:rPr>
        <w:t xml:space="preserve"> um </w:t>
      </w:r>
      <w:r w:rsidR="004756C1" w:rsidRPr="002F50BD">
        <w:rPr>
          <w:rFonts w:ascii="Verdana" w:hAnsi="Verdana"/>
          <w:bCs/>
          <w:sz w:val="20"/>
          <w:szCs w:val="28"/>
          <w:lang w:val="pt-BR"/>
        </w:rPr>
        <w:t xml:space="preserve">sentido para </w:t>
      </w:r>
      <w:r w:rsidR="00385366" w:rsidRPr="002F50BD">
        <w:rPr>
          <w:rFonts w:ascii="Verdana" w:hAnsi="Verdana"/>
          <w:bCs/>
          <w:sz w:val="20"/>
          <w:szCs w:val="28"/>
          <w:lang w:val="pt-BR"/>
        </w:rPr>
        <w:t>sua própria</w:t>
      </w:r>
      <w:r w:rsidR="0089298C" w:rsidRPr="002F50BD">
        <w:rPr>
          <w:rFonts w:ascii="Verdana" w:hAnsi="Verdana"/>
          <w:bCs/>
          <w:sz w:val="20"/>
          <w:szCs w:val="28"/>
          <w:lang w:val="pt-BR"/>
        </w:rPr>
        <w:t xml:space="preserve"> existência</w:t>
      </w:r>
      <w:r w:rsidR="00AF713C" w:rsidRPr="002F50BD">
        <w:rPr>
          <w:rFonts w:ascii="Verdana" w:hAnsi="Verdana"/>
          <w:bCs/>
          <w:sz w:val="20"/>
          <w:szCs w:val="28"/>
          <w:lang w:val="pt-BR"/>
        </w:rPr>
        <w:t>.</w:t>
      </w:r>
      <w:r w:rsidR="004756C1" w:rsidRPr="002F50BD">
        <w:rPr>
          <w:rStyle w:val="FootnoteReference"/>
          <w:rFonts w:ascii="Verdana" w:hAnsi="Verdana"/>
          <w:bCs/>
          <w:szCs w:val="28"/>
        </w:rPr>
        <w:footnoteReference w:id="226"/>
      </w:r>
    </w:p>
    <w:p w:rsidR="004756C1" w:rsidRPr="002F50BD" w:rsidRDefault="004756C1">
      <w:pPr>
        <w:ind w:right="-227"/>
        <w:jc w:val="both"/>
        <w:rPr>
          <w:rFonts w:ascii="Verdana" w:hAnsi="Verdana"/>
          <w:bCs/>
          <w:i/>
          <w:i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iCs/>
          <w:sz w:val="20"/>
          <w:szCs w:val="28"/>
          <w:lang w:val="pt-BR"/>
        </w:rPr>
        <w:t>4</w:t>
      </w:r>
      <w:r w:rsidR="004756C1" w:rsidRPr="002F50BD">
        <w:rPr>
          <w:rFonts w:ascii="Verdana" w:hAnsi="Verdana"/>
          <w:bCs/>
          <w:iCs/>
          <w:sz w:val="20"/>
          <w:szCs w:val="28"/>
          <w:lang w:val="pt-BR"/>
        </w:rPr>
        <w:t xml:space="preserve">. </w:t>
      </w:r>
      <w:r w:rsidR="004756C1" w:rsidRPr="002F50BD">
        <w:rPr>
          <w:rFonts w:ascii="Verdana" w:hAnsi="Verdana"/>
          <w:bCs/>
          <w:iCs/>
          <w:sz w:val="20"/>
          <w:szCs w:val="28"/>
          <w:lang w:val="pt-BR"/>
        </w:rPr>
        <w:tab/>
      </w:r>
      <w:r w:rsidR="00AF713C" w:rsidRPr="002F50BD">
        <w:rPr>
          <w:rFonts w:ascii="Verdana" w:hAnsi="Verdana"/>
          <w:bCs/>
          <w:iCs/>
          <w:sz w:val="20"/>
          <w:szCs w:val="28"/>
          <w:lang w:val="pt-BR"/>
        </w:rPr>
        <w:t xml:space="preserve">Além disso, considerou-se </w:t>
      </w:r>
      <w:r w:rsidR="004756C1" w:rsidRPr="002F50BD">
        <w:rPr>
          <w:rFonts w:ascii="Verdana" w:hAnsi="Verdana"/>
          <w:bCs/>
          <w:sz w:val="20"/>
          <w:szCs w:val="28"/>
          <w:lang w:val="pt-BR"/>
        </w:rPr>
        <w:t>que esta interpreta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ampla</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do direito à </w:t>
      </w:r>
      <w:r w:rsidR="004756C1" w:rsidRPr="002F50BD">
        <w:rPr>
          <w:rFonts w:ascii="Verdana" w:hAnsi="Verdana"/>
          <w:bCs/>
          <w:sz w:val="20"/>
          <w:szCs w:val="28"/>
          <w:lang w:val="pt-BR"/>
        </w:rPr>
        <w:t>vida</w:t>
      </w:r>
      <w:r w:rsidR="0089298C" w:rsidRPr="002F50BD">
        <w:rPr>
          <w:rFonts w:ascii="Verdana" w:hAnsi="Verdana"/>
          <w:bCs/>
          <w:sz w:val="20"/>
          <w:szCs w:val="28"/>
          <w:lang w:val="pt-BR"/>
        </w:rPr>
        <w:t xml:space="preserve"> </w:t>
      </w:r>
      <w:r w:rsidR="00AF713C" w:rsidRPr="002F50BD">
        <w:rPr>
          <w:rFonts w:ascii="Verdana" w:hAnsi="Verdana"/>
          <w:bCs/>
          <w:sz w:val="20"/>
          <w:szCs w:val="28"/>
          <w:lang w:val="pt-BR"/>
        </w:rPr>
        <w:t xml:space="preserve">de acordo com </w:t>
      </w:r>
      <w:r w:rsidR="0089298C" w:rsidRPr="002F50BD">
        <w:rPr>
          <w:rFonts w:ascii="Verdana" w:hAnsi="Verdana"/>
          <w:bCs/>
          <w:sz w:val="20"/>
          <w:szCs w:val="28"/>
          <w:lang w:val="pt-BR"/>
        </w:rPr>
        <w:t xml:space="preserve">a </w:t>
      </w:r>
      <w:r w:rsidR="004756C1" w:rsidRPr="002F50BD">
        <w:rPr>
          <w:rFonts w:ascii="Verdana" w:hAnsi="Verdana"/>
          <w:bCs/>
          <w:sz w:val="20"/>
          <w:szCs w:val="28"/>
          <w:lang w:val="pt-BR"/>
        </w:rPr>
        <w:t>Conven</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Americana </w:t>
      </w:r>
      <w:r w:rsidR="00CF451D" w:rsidRPr="00CF451D">
        <w:rPr>
          <w:rFonts w:ascii="Verdana" w:hAnsi="Verdana"/>
          <w:bCs/>
          <w:sz w:val="20"/>
          <w:szCs w:val="28"/>
          <w:lang w:val="pt-BR"/>
        </w:rPr>
        <w:t>(</w:t>
      </w:r>
      <w:r w:rsidR="0089298C" w:rsidRPr="002F50BD">
        <w:rPr>
          <w:rFonts w:ascii="Verdana" w:hAnsi="Verdana"/>
          <w:bCs/>
          <w:sz w:val="20"/>
          <w:szCs w:val="28"/>
          <w:lang w:val="pt-BR"/>
        </w:rPr>
        <w:t>artigo</w:t>
      </w:r>
      <w:r w:rsidR="004756C1" w:rsidRPr="002F50BD">
        <w:rPr>
          <w:rFonts w:ascii="Verdana" w:hAnsi="Verdana"/>
          <w:bCs/>
          <w:sz w:val="20"/>
          <w:szCs w:val="28"/>
          <w:lang w:val="pt-BR"/>
        </w:rPr>
        <w:t xml:space="preserve"> </w:t>
      </w:r>
      <w:r w:rsidRPr="002F50BD">
        <w:rPr>
          <w:rFonts w:ascii="Verdana" w:hAnsi="Verdana"/>
          <w:bCs/>
          <w:sz w:val="20"/>
          <w:szCs w:val="28"/>
          <w:lang w:val="pt-BR"/>
        </w:rPr>
        <w:t>4</w:t>
      </w:r>
      <w:r w:rsidR="0089298C" w:rsidRPr="002F50BD">
        <w:rPr>
          <w:rFonts w:ascii="Verdana" w:hAnsi="Verdana"/>
          <w:bCs/>
          <w:sz w:val="20"/>
          <w:szCs w:val="28"/>
          <w:lang w:val="pt-BR"/>
        </w:rPr>
        <w:t xml:space="preserve"> em conexão com o artigo</w:t>
      </w:r>
      <w:r w:rsidR="004756C1" w:rsidRPr="002F50BD">
        <w:rPr>
          <w:rFonts w:ascii="Verdana" w:hAnsi="Verdana"/>
          <w:bCs/>
          <w:sz w:val="20"/>
          <w:szCs w:val="28"/>
          <w:lang w:val="pt-BR"/>
        </w:rPr>
        <w:t xml:space="preserve"> </w:t>
      </w:r>
      <w:r w:rsidRPr="002F50BD">
        <w:rPr>
          <w:rFonts w:ascii="Verdana" w:hAnsi="Verdana"/>
          <w:bCs/>
          <w:sz w:val="20"/>
          <w:szCs w:val="28"/>
          <w:lang w:val="pt-BR"/>
        </w:rPr>
        <w:t>1</w:t>
      </w:r>
      <w:r w:rsidR="004756C1" w:rsidRPr="002F50BD">
        <w:rPr>
          <w:rFonts w:ascii="Verdana" w:hAnsi="Verdana"/>
          <w:bCs/>
          <w:sz w:val="20"/>
          <w:szCs w:val="28"/>
          <w:lang w:val="pt-BR"/>
        </w:rPr>
        <w:t>.</w:t>
      </w:r>
      <w:r w:rsidRPr="002F50BD">
        <w:rPr>
          <w:rFonts w:ascii="Verdana" w:hAnsi="Verdana"/>
          <w:bCs/>
          <w:sz w:val="20"/>
          <w:szCs w:val="28"/>
          <w:lang w:val="pt-BR"/>
        </w:rPr>
        <w:t>1</w:t>
      </w:r>
      <w:r w:rsidR="00CF451D" w:rsidRPr="00CF451D">
        <w:rPr>
          <w:rFonts w:ascii="Verdana" w:hAnsi="Verdana"/>
          <w:bCs/>
          <w:sz w:val="20"/>
          <w:szCs w:val="28"/>
          <w:lang w:val="pt-BR"/>
        </w:rPr>
        <w:t>)</w:t>
      </w:r>
      <w:r w:rsidR="004756C1" w:rsidRPr="002F50BD">
        <w:rPr>
          <w:rFonts w:ascii="Verdana" w:hAnsi="Verdana"/>
          <w:bCs/>
          <w:sz w:val="20"/>
          <w:szCs w:val="28"/>
          <w:lang w:val="pt-BR"/>
        </w:rPr>
        <w:t xml:space="preserve"> corresponde</w:t>
      </w:r>
      <w:r w:rsidR="0089298C" w:rsidRPr="002F50BD">
        <w:rPr>
          <w:rFonts w:ascii="Verdana" w:hAnsi="Verdana"/>
          <w:bCs/>
          <w:sz w:val="20"/>
          <w:szCs w:val="28"/>
          <w:lang w:val="pt-BR"/>
        </w:rPr>
        <w:t xml:space="preserve"> à </w:t>
      </w:r>
      <w:r w:rsidR="004756C1" w:rsidRPr="002F50BD">
        <w:rPr>
          <w:rFonts w:ascii="Verdana" w:hAnsi="Verdana"/>
          <w:bCs/>
          <w:sz w:val="20"/>
          <w:szCs w:val="28"/>
          <w:lang w:val="pt-BR"/>
        </w:rPr>
        <w:t>aplica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evolutiva</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 xml:space="preserve">normativa internacional de </w:t>
      </w:r>
      <w:r w:rsidR="0089298C" w:rsidRPr="002F50BD">
        <w:rPr>
          <w:rFonts w:ascii="Verdana" w:hAnsi="Verdana"/>
          <w:bCs/>
          <w:sz w:val="20"/>
          <w:szCs w:val="28"/>
          <w:lang w:val="pt-BR"/>
        </w:rPr>
        <w:t>proteção dos direito</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 xml:space="preserve">do </w:t>
      </w:r>
      <w:r w:rsidR="004756C1" w:rsidRPr="002F50BD">
        <w:rPr>
          <w:rFonts w:ascii="Verdana" w:hAnsi="Verdana"/>
          <w:bCs/>
          <w:sz w:val="20"/>
          <w:szCs w:val="28"/>
          <w:lang w:val="pt-BR"/>
        </w:rPr>
        <w:t>ser humano</w:t>
      </w:r>
      <w:r w:rsidR="004756C1" w:rsidRPr="002F50BD">
        <w:rPr>
          <w:rFonts w:ascii="Verdana" w:hAnsi="Verdana"/>
          <w:bCs/>
          <w:i/>
          <w:iCs/>
          <w:sz w:val="20"/>
          <w:szCs w:val="28"/>
          <w:lang w:val="pt-BR"/>
        </w:rPr>
        <w:t>. “</w:t>
      </w:r>
      <w:r w:rsidR="00AF713C" w:rsidRPr="002F50BD">
        <w:rPr>
          <w:rFonts w:ascii="Verdana" w:hAnsi="Verdana"/>
          <w:bCs/>
          <w:i/>
          <w:iCs/>
          <w:sz w:val="20"/>
          <w:szCs w:val="28"/>
          <w:lang w:val="pt-BR"/>
        </w:rPr>
        <w:t>N</w:t>
      </w:r>
      <w:r w:rsidR="0089298C" w:rsidRPr="002F50BD">
        <w:rPr>
          <w:rFonts w:ascii="Verdana" w:hAnsi="Verdana"/>
          <w:bCs/>
          <w:i/>
          <w:iCs/>
          <w:sz w:val="20"/>
          <w:szCs w:val="28"/>
          <w:lang w:val="pt-BR"/>
        </w:rPr>
        <w:t xml:space="preserve">os </w:t>
      </w:r>
      <w:r w:rsidR="004756C1" w:rsidRPr="002F50BD">
        <w:rPr>
          <w:rFonts w:ascii="Verdana" w:hAnsi="Verdana"/>
          <w:bCs/>
          <w:i/>
          <w:iCs/>
          <w:sz w:val="20"/>
          <w:szCs w:val="28"/>
          <w:lang w:val="pt-BR"/>
        </w:rPr>
        <w:t xml:space="preserve">últimos </w:t>
      </w:r>
      <w:r w:rsidR="0089298C" w:rsidRPr="002F50BD">
        <w:rPr>
          <w:rFonts w:ascii="Verdana" w:hAnsi="Verdana"/>
          <w:bCs/>
          <w:i/>
          <w:iCs/>
          <w:sz w:val="20"/>
          <w:szCs w:val="28"/>
          <w:lang w:val="pt-BR"/>
        </w:rPr>
        <w:t>anos</w:t>
      </w:r>
      <w:r w:rsidR="004756C1" w:rsidRPr="002F50BD">
        <w:rPr>
          <w:rFonts w:ascii="Verdana" w:hAnsi="Verdana"/>
          <w:bCs/>
          <w:i/>
          <w:iCs/>
          <w:sz w:val="20"/>
          <w:szCs w:val="28"/>
          <w:lang w:val="pt-BR"/>
        </w:rPr>
        <w:t xml:space="preserve">, </w:t>
      </w:r>
      <w:r w:rsidR="00AF713C" w:rsidRPr="002F50BD">
        <w:rPr>
          <w:rFonts w:ascii="Verdana" w:hAnsi="Verdana"/>
          <w:bCs/>
          <w:i/>
          <w:iCs/>
          <w:sz w:val="20"/>
          <w:szCs w:val="28"/>
          <w:lang w:val="pt-BR"/>
        </w:rPr>
        <w:t xml:space="preserve">deterioraram-se </w:t>
      </w:r>
      <w:r w:rsidR="004756C1" w:rsidRPr="002F50BD">
        <w:rPr>
          <w:rFonts w:ascii="Verdana" w:hAnsi="Verdana"/>
          <w:bCs/>
          <w:i/>
          <w:iCs/>
          <w:sz w:val="20"/>
          <w:szCs w:val="28"/>
          <w:lang w:val="pt-BR"/>
        </w:rPr>
        <w:t>notoriamente</w:t>
      </w:r>
      <w:r w:rsidR="0089298C" w:rsidRPr="002F50BD">
        <w:rPr>
          <w:rFonts w:ascii="Verdana" w:hAnsi="Verdana"/>
          <w:bCs/>
          <w:i/>
          <w:iCs/>
          <w:sz w:val="20"/>
          <w:szCs w:val="28"/>
          <w:lang w:val="pt-BR"/>
        </w:rPr>
        <w:t xml:space="preserve"> a</w:t>
      </w:r>
      <w:r w:rsidR="00AF713C" w:rsidRPr="002F50BD">
        <w:rPr>
          <w:rFonts w:ascii="Verdana" w:hAnsi="Verdana"/>
          <w:bCs/>
          <w:i/>
          <w:iCs/>
          <w:sz w:val="20"/>
          <w:szCs w:val="28"/>
          <w:lang w:val="pt-BR"/>
        </w:rPr>
        <w:t>s</w:t>
      </w:r>
      <w:r w:rsidR="0089298C" w:rsidRPr="002F50BD">
        <w:rPr>
          <w:rFonts w:ascii="Verdana" w:hAnsi="Verdana"/>
          <w:bCs/>
          <w:i/>
          <w:iCs/>
          <w:sz w:val="20"/>
          <w:szCs w:val="28"/>
          <w:lang w:val="pt-BR"/>
        </w:rPr>
        <w:t xml:space="preserve"> </w:t>
      </w:r>
      <w:r w:rsidR="004756C1" w:rsidRPr="002F50BD">
        <w:rPr>
          <w:rFonts w:ascii="Verdana" w:hAnsi="Verdana"/>
          <w:bCs/>
          <w:i/>
          <w:iCs/>
          <w:sz w:val="20"/>
          <w:szCs w:val="28"/>
          <w:lang w:val="pt-BR"/>
        </w:rPr>
        <w:t>condi</w:t>
      </w:r>
      <w:r w:rsidR="0089298C" w:rsidRPr="002F50BD">
        <w:rPr>
          <w:rFonts w:ascii="Verdana" w:hAnsi="Verdana"/>
          <w:bCs/>
          <w:i/>
          <w:iCs/>
          <w:sz w:val="20"/>
          <w:szCs w:val="28"/>
          <w:lang w:val="pt-BR"/>
        </w:rPr>
        <w:t>ções</w:t>
      </w:r>
      <w:r w:rsidR="004756C1" w:rsidRPr="002F50BD">
        <w:rPr>
          <w:rFonts w:ascii="Verdana" w:hAnsi="Verdana"/>
          <w:bCs/>
          <w:i/>
          <w:iCs/>
          <w:sz w:val="20"/>
          <w:szCs w:val="28"/>
          <w:lang w:val="pt-BR"/>
        </w:rPr>
        <w:t xml:space="preserve"> de vida de amplos segmentos</w:t>
      </w:r>
      <w:r w:rsidR="0089298C" w:rsidRPr="002F50BD">
        <w:rPr>
          <w:rFonts w:ascii="Verdana" w:hAnsi="Verdana"/>
          <w:bCs/>
          <w:i/>
          <w:iCs/>
          <w:sz w:val="20"/>
          <w:szCs w:val="28"/>
          <w:lang w:val="pt-BR"/>
        </w:rPr>
        <w:t xml:space="preserve"> da população dos </w:t>
      </w:r>
      <w:r w:rsidR="004756C1" w:rsidRPr="002F50BD">
        <w:rPr>
          <w:rFonts w:ascii="Verdana" w:hAnsi="Verdana"/>
          <w:bCs/>
          <w:i/>
          <w:iCs/>
          <w:sz w:val="20"/>
          <w:szCs w:val="28"/>
          <w:lang w:val="pt-BR"/>
        </w:rPr>
        <w:t>Estados Partes</w:t>
      </w:r>
      <w:r w:rsidR="0089298C" w:rsidRPr="002F50BD">
        <w:rPr>
          <w:rFonts w:ascii="Verdana" w:hAnsi="Verdana"/>
          <w:bCs/>
          <w:i/>
          <w:iCs/>
          <w:sz w:val="20"/>
          <w:szCs w:val="28"/>
          <w:lang w:val="pt-BR"/>
        </w:rPr>
        <w:t xml:space="preserve"> na </w:t>
      </w:r>
      <w:r w:rsidR="004756C1" w:rsidRPr="002F50BD">
        <w:rPr>
          <w:rFonts w:ascii="Verdana" w:hAnsi="Verdana"/>
          <w:bCs/>
          <w:i/>
          <w:iCs/>
          <w:sz w:val="20"/>
          <w:szCs w:val="28"/>
          <w:lang w:val="pt-BR"/>
        </w:rPr>
        <w:t>Conven</w:t>
      </w:r>
      <w:r w:rsidR="0089298C" w:rsidRPr="002F50BD">
        <w:rPr>
          <w:rFonts w:ascii="Verdana" w:hAnsi="Verdana"/>
          <w:bCs/>
          <w:i/>
          <w:iCs/>
          <w:sz w:val="20"/>
          <w:szCs w:val="28"/>
          <w:lang w:val="pt-BR"/>
        </w:rPr>
        <w:t>ção</w:t>
      </w:r>
      <w:r w:rsidR="004756C1" w:rsidRPr="002F50BD">
        <w:rPr>
          <w:rFonts w:ascii="Verdana" w:hAnsi="Verdana"/>
          <w:bCs/>
          <w:i/>
          <w:iCs/>
          <w:sz w:val="20"/>
          <w:szCs w:val="28"/>
          <w:lang w:val="pt-BR"/>
        </w:rPr>
        <w:t xml:space="preserve"> Americana</w:t>
      </w:r>
      <w:r w:rsidR="0089298C" w:rsidRPr="002F50BD">
        <w:rPr>
          <w:rFonts w:ascii="Verdana" w:hAnsi="Verdana"/>
          <w:bCs/>
          <w:i/>
          <w:iCs/>
          <w:sz w:val="20"/>
          <w:szCs w:val="28"/>
          <w:lang w:val="pt-BR"/>
        </w:rPr>
        <w:t xml:space="preserve"> e uma </w:t>
      </w:r>
      <w:r w:rsidR="004756C1" w:rsidRPr="002F50BD">
        <w:rPr>
          <w:rFonts w:ascii="Verdana" w:hAnsi="Verdana"/>
          <w:bCs/>
          <w:i/>
          <w:iCs/>
          <w:sz w:val="20"/>
          <w:szCs w:val="28"/>
          <w:lang w:val="pt-BR"/>
        </w:rPr>
        <w:t>interpreta</w:t>
      </w:r>
      <w:r w:rsidR="0089298C" w:rsidRPr="002F50BD">
        <w:rPr>
          <w:rFonts w:ascii="Verdana" w:hAnsi="Verdana"/>
          <w:bCs/>
          <w:i/>
          <w:iCs/>
          <w:sz w:val="20"/>
          <w:szCs w:val="28"/>
          <w:lang w:val="pt-BR"/>
        </w:rPr>
        <w:t>ção</w:t>
      </w:r>
      <w:r w:rsidR="004756C1" w:rsidRPr="002F50BD">
        <w:rPr>
          <w:rFonts w:ascii="Verdana" w:hAnsi="Verdana"/>
          <w:bCs/>
          <w:i/>
          <w:iCs/>
          <w:sz w:val="20"/>
          <w:szCs w:val="28"/>
          <w:lang w:val="pt-BR"/>
        </w:rPr>
        <w:t xml:space="preserve"> </w:t>
      </w:r>
      <w:r w:rsidR="0089298C" w:rsidRPr="002F50BD">
        <w:rPr>
          <w:rFonts w:ascii="Verdana" w:hAnsi="Verdana"/>
          <w:bCs/>
          <w:i/>
          <w:iCs/>
          <w:sz w:val="20"/>
          <w:szCs w:val="28"/>
          <w:lang w:val="pt-BR"/>
        </w:rPr>
        <w:t xml:space="preserve">do direito à </w:t>
      </w:r>
      <w:r w:rsidR="004756C1" w:rsidRPr="002F50BD">
        <w:rPr>
          <w:rFonts w:ascii="Verdana" w:hAnsi="Verdana"/>
          <w:bCs/>
          <w:i/>
          <w:iCs/>
          <w:sz w:val="20"/>
          <w:szCs w:val="28"/>
          <w:lang w:val="pt-BR"/>
        </w:rPr>
        <w:t xml:space="preserve">vida </w:t>
      </w:r>
      <w:r w:rsidR="00AB454A" w:rsidRPr="002F50BD">
        <w:rPr>
          <w:rFonts w:ascii="Verdana" w:hAnsi="Verdana"/>
          <w:bCs/>
          <w:i/>
          <w:iCs/>
          <w:sz w:val="20"/>
          <w:szCs w:val="28"/>
          <w:lang w:val="pt-BR"/>
        </w:rPr>
        <w:t>não pode</w:t>
      </w:r>
      <w:r w:rsidR="0089298C" w:rsidRPr="002F50BD">
        <w:rPr>
          <w:rFonts w:ascii="Verdana" w:hAnsi="Verdana"/>
          <w:bCs/>
          <w:i/>
          <w:iCs/>
          <w:sz w:val="20"/>
          <w:szCs w:val="28"/>
          <w:lang w:val="pt-BR"/>
        </w:rPr>
        <w:t xml:space="preserve"> </w:t>
      </w:r>
      <w:r w:rsidR="00AF713C" w:rsidRPr="002F50BD">
        <w:rPr>
          <w:rFonts w:ascii="Verdana" w:hAnsi="Verdana"/>
          <w:bCs/>
          <w:i/>
          <w:iCs/>
          <w:sz w:val="20"/>
          <w:szCs w:val="28"/>
          <w:lang w:val="pt-BR"/>
        </w:rPr>
        <w:t>abstrair</w:t>
      </w:r>
      <w:r w:rsidR="00C747CE" w:rsidRPr="002F50BD">
        <w:rPr>
          <w:rFonts w:ascii="Verdana" w:hAnsi="Verdana"/>
          <w:bCs/>
          <w:i/>
          <w:iCs/>
          <w:sz w:val="20"/>
          <w:szCs w:val="28"/>
          <w:lang w:val="pt-BR"/>
        </w:rPr>
        <w:t xml:space="preserve"> </w:t>
      </w:r>
      <w:r w:rsidR="0089298C" w:rsidRPr="002F50BD">
        <w:rPr>
          <w:rFonts w:ascii="Verdana" w:hAnsi="Verdana"/>
          <w:bCs/>
          <w:i/>
          <w:iCs/>
          <w:sz w:val="20"/>
          <w:szCs w:val="28"/>
          <w:lang w:val="pt-BR"/>
        </w:rPr>
        <w:t xml:space="preserve">esta </w:t>
      </w:r>
      <w:r w:rsidR="004756C1" w:rsidRPr="002F50BD">
        <w:rPr>
          <w:rFonts w:ascii="Verdana" w:hAnsi="Verdana"/>
          <w:bCs/>
          <w:i/>
          <w:iCs/>
          <w:sz w:val="20"/>
          <w:szCs w:val="28"/>
          <w:lang w:val="pt-BR"/>
        </w:rPr>
        <w:t>realidad</w:t>
      </w:r>
      <w:r w:rsidR="00AF713C" w:rsidRPr="002F50BD">
        <w:rPr>
          <w:rFonts w:ascii="Verdana" w:hAnsi="Verdana"/>
          <w:bCs/>
          <w:i/>
          <w:iCs/>
          <w:sz w:val="20"/>
          <w:szCs w:val="28"/>
          <w:lang w:val="pt-BR"/>
        </w:rPr>
        <w:t>e</w:t>
      </w:r>
      <w:r w:rsidR="004756C1" w:rsidRPr="002F50BD">
        <w:rPr>
          <w:rFonts w:ascii="Verdana" w:hAnsi="Verdana"/>
          <w:bCs/>
          <w:i/>
          <w:iCs/>
          <w:sz w:val="20"/>
          <w:szCs w:val="28"/>
          <w:lang w:val="pt-BR"/>
        </w:rPr>
        <w:t>,”</w:t>
      </w:r>
      <w:r w:rsidR="004756C1" w:rsidRPr="002F50BD">
        <w:rPr>
          <w:rStyle w:val="FootnoteReference"/>
          <w:rFonts w:ascii="Verdana" w:hAnsi="Verdana"/>
          <w:bCs/>
          <w:i/>
          <w:iCs/>
          <w:szCs w:val="28"/>
        </w:rPr>
        <w:footnoteReference w:id="227"/>
      </w:r>
      <w:r w:rsidR="004756C1" w:rsidRPr="002F50BD">
        <w:rPr>
          <w:rFonts w:ascii="Verdana" w:hAnsi="Verdana"/>
          <w:bCs/>
          <w:i/>
          <w:iCs/>
          <w:sz w:val="20"/>
          <w:szCs w:val="28"/>
          <w:lang w:val="pt-BR"/>
        </w:rPr>
        <w:t xml:space="preserve"> </w:t>
      </w:r>
      <w:r w:rsidR="004756C1" w:rsidRPr="002F50BD">
        <w:rPr>
          <w:rFonts w:ascii="Verdana" w:hAnsi="Verdana"/>
          <w:bCs/>
          <w:sz w:val="20"/>
          <w:szCs w:val="28"/>
          <w:lang w:val="pt-BR"/>
        </w:rPr>
        <w:t>sobret</w:t>
      </w:r>
      <w:r w:rsidR="00AF713C" w:rsidRPr="002F50BD">
        <w:rPr>
          <w:rFonts w:ascii="Verdana" w:hAnsi="Verdana"/>
          <w:bCs/>
          <w:sz w:val="20"/>
          <w:szCs w:val="28"/>
          <w:lang w:val="pt-BR"/>
        </w:rPr>
        <w:t>u</w:t>
      </w:r>
      <w:r w:rsidR="004756C1" w:rsidRPr="002F50BD">
        <w:rPr>
          <w:rFonts w:ascii="Verdana" w:hAnsi="Verdana"/>
          <w:bCs/>
          <w:sz w:val="20"/>
          <w:szCs w:val="28"/>
          <w:lang w:val="pt-BR"/>
        </w:rPr>
        <w:t xml:space="preserve">do </w:t>
      </w:r>
      <w:r w:rsidR="0089298C" w:rsidRPr="002F50BD">
        <w:rPr>
          <w:rFonts w:ascii="Verdana" w:hAnsi="Verdana"/>
          <w:bCs/>
          <w:sz w:val="20"/>
          <w:szCs w:val="28"/>
          <w:lang w:val="pt-BR"/>
        </w:rPr>
        <w:t>quando</w:t>
      </w:r>
      <w:r w:rsidR="004756C1" w:rsidRPr="002F50BD">
        <w:rPr>
          <w:rFonts w:ascii="Verdana" w:hAnsi="Verdana"/>
          <w:bCs/>
          <w:sz w:val="20"/>
          <w:szCs w:val="28"/>
          <w:lang w:val="pt-BR"/>
        </w:rPr>
        <w:t xml:space="preserve"> se trata de </w:t>
      </w:r>
      <w:r w:rsidR="0089298C" w:rsidRPr="002F50BD">
        <w:rPr>
          <w:rFonts w:ascii="Verdana" w:hAnsi="Verdana"/>
          <w:bCs/>
          <w:sz w:val="20"/>
          <w:szCs w:val="28"/>
          <w:lang w:val="pt-BR"/>
        </w:rPr>
        <w:t>pessoa</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vulneráveis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crianças</w:t>
      </w:r>
      <w:r w:rsidR="004756C1" w:rsidRPr="002F50BD">
        <w:rPr>
          <w:rFonts w:ascii="Verdana" w:hAnsi="Verdana"/>
          <w:bCs/>
          <w:sz w:val="20"/>
          <w:szCs w:val="28"/>
          <w:lang w:val="pt-BR"/>
        </w:rPr>
        <w:t xml:space="preserve">, </w:t>
      </w:r>
      <w:r w:rsidR="00AF713C" w:rsidRPr="002F50BD">
        <w:rPr>
          <w:rFonts w:ascii="Verdana" w:hAnsi="Verdana"/>
          <w:bCs/>
          <w:sz w:val="20"/>
          <w:szCs w:val="28"/>
          <w:lang w:val="pt-BR"/>
        </w:rPr>
        <w:t>idosos</w:t>
      </w:r>
      <w:r w:rsidR="004756C1" w:rsidRPr="002F50BD">
        <w:rPr>
          <w:rFonts w:ascii="Verdana" w:hAnsi="Verdana"/>
          <w:bCs/>
          <w:sz w:val="20"/>
          <w:szCs w:val="28"/>
          <w:lang w:val="pt-BR"/>
        </w:rPr>
        <w:t>, indigentes.</w:t>
      </w:r>
    </w:p>
    <w:p w:rsidR="004756C1" w:rsidRPr="002F50BD" w:rsidRDefault="004756C1">
      <w:pPr>
        <w:ind w:right="-227"/>
        <w:jc w:val="both"/>
        <w:rPr>
          <w:rFonts w:ascii="Verdana" w:hAnsi="Verdana"/>
          <w:b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sz w:val="20"/>
          <w:szCs w:val="28"/>
          <w:lang w:val="pt-BR"/>
        </w:rPr>
        <w:t>5</w:t>
      </w:r>
      <w:r w:rsidR="004756C1" w:rsidRPr="002F50BD">
        <w:rPr>
          <w:rFonts w:ascii="Verdana" w:hAnsi="Verdana"/>
          <w:bCs/>
          <w:sz w:val="20"/>
          <w:szCs w:val="28"/>
          <w:lang w:val="pt-BR"/>
        </w:rPr>
        <w:t xml:space="preserve">. </w:t>
      </w:r>
      <w:r w:rsidR="004756C1" w:rsidRPr="002F50BD">
        <w:rPr>
          <w:rFonts w:ascii="Verdana" w:hAnsi="Verdana"/>
          <w:bCs/>
          <w:sz w:val="20"/>
          <w:szCs w:val="28"/>
          <w:lang w:val="pt-BR"/>
        </w:rPr>
        <w:tab/>
      </w:r>
      <w:r w:rsidR="0089298C" w:rsidRPr="002F50BD">
        <w:rPr>
          <w:rFonts w:ascii="Verdana" w:hAnsi="Verdana"/>
          <w:bCs/>
          <w:sz w:val="20"/>
          <w:szCs w:val="28"/>
          <w:lang w:val="pt-BR"/>
        </w:rPr>
        <w:t>A Corte</w:t>
      </w:r>
      <w:r w:rsidR="00C747CE" w:rsidRPr="002F50BD">
        <w:rPr>
          <w:rFonts w:ascii="Verdana" w:hAnsi="Verdana"/>
          <w:bCs/>
          <w:sz w:val="20"/>
          <w:szCs w:val="28"/>
          <w:lang w:val="pt-BR"/>
        </w:rPr>
        <w:t>,</w:t>
      </w:r>
      <w:r w:rsidR="004756C1" w:rsidRPr="002F50BD">
        <w:rPr>
          <w:rFonts w:ascii="Verdana" w:hAnsi="Verdana"/>
          <w:bCs/>
          <w:sz w:val="20"/>
          <w:szCs w:val="28"/>
          <w:lang w:val="pt-BR"/>
        </w:rPr>
        <w:t xml:space="preserve"> igualmente</w:t>
      </w:r>
      <w:r w:rsidR="00C747CE" w:rsidRPr="002F50BD">
        <w:rPr>
          <w:rFonts w:ascii="Verdana" w:hAnsi="Verdana"/>
          <w:bCs/>
          <w:sz w:val="20"/>
          <w:szCs w:val="28"/>
          <w:lang w:val="pt-BR"/>
        </w:rPr>
        <w:t>,</w:t>
      </w:r>
      <w:r w:rsidR="004756C1" w:rsidRPr="002F50BD">
        <w:rPr>
          <w:rFonts w:ascii="Verdana" w:hAnsi="Verdana"/>
          <w:bCs/>
          <w:sz w:val="20"/>
          <w:szCs w:val="28"/>
          <w:lang w:val="pt-BR"/>
        </w:rPr>
        <w:t xml:space="preserve"> </w:t>
      </w:r>
      <w:r w:rsidR="004076AD" w:rsidRPr="002F50BD">
        <w:rPr>
          <w:rFonts w:ascii="Verdana" w:hAnsi="Verdana"/>
          <w:bCs/>
          <w:sz w:val="20"/>
          <w:szCs w:val="28"/>
          <w:lang w:val="pt-BR"/>
        </w:rPr>
        <w:t>considerou</w:t>
      </w:r>
      <w:r w:rsidR="004756C1" w:rsidRPr="002F50BD">
        <w:rPr>
          <w:rFonts w:ascii="Verdana" w:hAnsi="Verdana"/>
          <w:bCs/>
          <w:sz w:val="20"/>
          <w:szCs w:val="28"/>
          <w:lang w:val="pt-BR"/>
        </w:rPr>
        <w:t xml:space="preserve">, entre </w:t>
      </w:r>
      <w:r w:rsidR="0089298C" w:rsidRPr="002F50BD">
        <w:rPr>
          <w:rFonts w:ascii="Verdana" w:hAnsi="Verdana"/>
          <w:bCs/>
          <w:sz w:val="20"/>
          <w:szCs w:val="28"/>
          <w:lang w:val="pt-BR"/>
        </w:rPr>
        <w:t>outra</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sentença</w:t>
      </w:r>
      <w:r w:rsidR="004756C1" w:rsidRPr="002F50BD">
        <w:rPr>
          <w:rFonts w:ascii="Verdana" w:hAnsi="Verdana"/>
          <w:bCs/>
          <w:sz w:val="20"/>
          <w:szCs w:val="28"/>
          <w:lang w:val="pt-BR"/>
        </w:rPr>
        <w:t>s,</w:t>
      </w:r>
      <w:r w:rsidR="0089298C" w:rsidRPr="002F50BD">
        <w:rPr>
          <w:rFonts w:ascii="Verdana" w:hAnsi="Verdana"/>
          <w:bCs/>
          <w:sz w:val="20"/>
          <w:szCs w:val="28"/>
          <w:lang w:val="pt-BR"/>
        </w:rPr>
        <w:t xml:space="preserve"> nos </w:t>
      </w:r>
      <w:r w:rsidR="004756C1" w:rsidRPr="002F50BD">
        <w:rPr>
          <w:rFonts w:ascii="Verdana" w:hAnsi="Verdana"/>
          <w:bCs/>
          <w:sz w:val="20"/>
          <w:szCs w:val="28"/>
          <w:lang w:val="pt-BR"/>
        </w:rPr>
        <w:t>casos “Instituto de Reeduca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do </w:t>
      </w:r>
      <w:r w:rsidR="004756C1" w:rsidRPr="002F50BD">
        <w:rPr>
          <w:rFonts w:ascii="Verdana" w:hAnsi="Verdana"/>
          <w:bCs/>
          <w:sz w:val="20"/>
          <w:szCs w:val="28"/>
          <w:lang w:val="pt-BR"/>
        </w:rPr>
        <w:t xml:space="preserve">Menor”, </w:t>
      </w:r>
      <w:r w:rsidRPr="002F50BD">
        <w:rPr>
          <w:rFonts w:ascii="Verdana" w:hAnsi="Verdana"/>
          <w:bCs/>
          <w:sz w:val="20"/>
          <w:szCs w:val="28"/>
          <w:lang w:val="pt-BR"/>
        </w:rPr>
        <w:t>2</w:t>
      </w:r>
      <w:r w:rsidR="004756C1" w:rsidRPr="002F50BD">
        <w:rPr>
          <w:rFonts w:ascii="Verdana" w:hAnsi="Verdana"/>
          <w:bCs/>
          <w:sz w:val="20"/>
          <w:szCs w:val="28"/>
          <w:lang w:val="pt-BR"/>
        </w:rPr>
        <w:t xml:space="preserve"> de </w:t>
      </w:r>
      <w:r w:rsidR="0089298C" w:rsidRPr="002F50BD">
        <w:rPr>
          <w:rFonts w:ascii="Verdana" w:hAnsi="Verdana"/>
          <w:bCs/>
          <w:sz w:val="20"/>
          <w:szCs w:val="28"/>
          <w:lang w:val="pt-BR"/>
        </w:rPr>
        <w:t>setembro</w:t>
      </w:r>
      <w:r w:rsidR="004756C1" w:rsidRPr="002F50BD">
        <w:rPr>
          <w:rFonts w:ascii="Verdana" w:hAnsi="Verdana"/>
          <w:bCs/>
          <w:sz w:val="20"/>
          <w:szCs w:val="28"/>
          <w:lang w:val="pt-BR"/>
        </w:rPr>
        <w:t xml:space="preserve"> de </w:t>
      </w:r>
      <w:r w:rsidRPr="002F50BD">
        <w:rPr>
          <w:rFonts w:ascii="Verdana" w:hAnsi="Verdana"/>
          <w:bCs/>
          <w:sz w:val="20"/>
          <w:szCs w:val="28"/>
          <w:lang w:val="pt-BR"/>
        </w:rPr>
        <w:t>2004</w:t>
      </w:r>
      <w:r w:rsidR="004756C1" w:rsidRPr="002F50BD">
        <w:rPr>
          <w:rFonts w:ascii="Verdana" w:hAnsi="Verdana"/>
          <w:bCs/>
          <w:sz w:val="20"/>
          <w:szCs w:val="28"/>
          <w:lang w:val="pt-BR"/>
        </w:rPr>
        <w:t>; “</w:t>
      </w:r>
      <w:r w:rsidR="0089298C" w:rsidRPr="002F50BD">
        <w:rPr>
          <w:rFonts w:ascii="Verdana" w:hAnsi="Verdana"/>
          <w:bCs/>
          <w:sz w:val="20"/>
          <w:szCs w:val="28"/>
          <w:lang w:val="pt-BR"/>
        </w:rPr>
        <w:t>Irmão</w:t>
      </w:r>
      <w:r w:rsidR="004756C1" w:rsidRPr="002F50BD">
        <w:rPr>
          <w:rFonts w:ascii="Verdana" w:hAnsi="Verdana"/>
          <w:bCs/>
          <w:sz w:val="20"/>
          <w:szCs w:val="28"/>
          <w:lang w:val="pt-BR"/>
        </w:rPr>
        <w:t xml:space="preserve">s Gómez Paquiyuari”, </w:t>
      </w:r>
      <w:r w:rsidRPr="002F50BD">
        <w:rPr>
          <w:rFonts w:ascii="Verdana" w:hAnsi="Verdana"/>
          <w:bCs/>
          <w:sz w:val="20"/>
          <w:szCs w:val="28"/>
          <w:lang w:val="pt-BR"/>
        </w:rPr>
        <w:t>8</w:t>
      </w:r>
      <w:r w:rsidR="004756C1" w:rsidRPr="002F50BD">
        <w:rPr>
          <w:rFonts w:ascii="Verdana" w:hAnsi="Verdana"/>
          <w:bCs/>
          <w:sz w:val="20"/>
          <w:szCs w:val="28"/>
          <w:lang w:val="pt-BR"/>
        </w:rPr>
        <w:t xml:space="preserve"> de </w:t>
      </w:r>
      <w:r w:rsidR="0089298C" w:rsidRPr="002F50BD">
        <w:rPr>
          <w:rFonts w:ascii="Verdana" w:hAnsi="Verdana"/>
          <w:bCs/>
          <w:sz w:val="20"/>
          <w:szCs w:val="28"/>
          <w:lang w:val="pt-BR"/>
        </w:rPr>
        <w:t>julho</w:t>
      </w:r>
      <w:r w:rsidR="004756C1" w:rsidRPr="002F50BD">
        <w:rPr>
          <w:rFonts w:ascii="Verdana" w:hAnsi="Verdana"/>
          <w:bCs/>
          <w:sz w:val="20"/>
          <w:szCs w:val="28"/>
          <w:lang w:val="pt-BR"/>
        </w:rPr>
        <w:t xml:space="preserve"> de </w:t>
      </w:r>
      <w:r w:rsidRPr="002F50BD">
        <w:rPr>
          <w:rFonts w:ascii="Verdana" w:hAnsi="Verdana"/>
          <w:bCs/>
          <w:sz w:val="20"/>
          <w:szCs w:val="28"/>
          <w:lang w:val="pt-BR"/>
        </w:rPr>
        <w:t>2004</w:t>
      </w:r>
      <w:r w:rsidR="004756C1" w:rsidRPr="002F50BD">
        <w:rPr>
          <w:rFonts w:ascii="Verdana" w:hAnsi="Verdana"/>
          <w:bCs/>
          <w:sz w:val="20"/>
          <w:szCs w:val="28"/>
          <w:lang w:val="pt-BR"/>
        </w:rPr>
        <w:t>, que</w:t>
      </w:r>
      <w:r w:rsidR="0089298C" w:rsidRPr="002F50BD">
        <w:rPr>
          <w:rFonts w:ascii="Verdana" w:hAnsi="Verdana"/>
          <w:bCs/>
          <w:sz w:val="20"/>
          <w:szCs w:val="28"/>
          <w:lang w:val="pt-BR"/>
        </w:rPr>
        <w:t xml:space="preserve"> o direito à </w:t>
      </w:r>
      <w:r w:rsidR="004756C1" w:rsidRPr="002F50BD">
        <w:rPr>
          <w:rFonts w:ascii="Verdana" w:hAnsi="Verdana"/>
          <w:bCs/>
          <w:sz w:val="20"/>
          <w:szCs w:val="28"/>
          <w:lang w:val="pt-BR"/>
        </w:rPr>
        <w:t>vida</w:t>
      </w:r>
      <w:r w:rsidR="0089298C" w:rsidRPr="002F50BD">
        <w:rPr>
          <w:rFonts w:ascii="Verdana" w:hAnsi="Verdana"/>
          <w:bCs/>
          <w:sz w:val="20"/>
          <w:szCs w:val="28"/>
          <w:lang w:val="pt-BR"/>
        </w:rPr>
        <w:t xml:space="preserve"> é </w:t>
      </w:r>
      <w:r w:rsidR="004756C1" w:rsidRPr="002F50BD">
        <w:rPr>
          <w:rFonts w:ascii="Verdana" w:hAnsi="Verdana"/>
          <w:bCs/>
          <w:sz w:val="20"/>
          <w:szCs w:val="28"/>
          <w:lang w:val="pt-BR"/>
        </w:rPr>
        <w:t>fundamental</w:t>
      </w:r>
      <w:r w:rsidR="0089298C" w:rsidRPr="002F50BD">
        <w:rPr>
          <w:rFonts w:ascii="Verdana" w:hAnsi="Verdana"/>
          <w:bCs/>
          <w:sz w:val="20"/>
          <w:szCs w:val="28"/>
          <w:lang w:val="pt-BR"/>
        </w:rPr>
        <w:t xml:space="preserve"> na </w:t>
      </w:r>
      <w:r w:rsidR="004756C1" w:rsidRPr="002F50BD">
        <w:rPr>
          <w:rFonts w:ascii="Verdana" w:hAnsi="Verdana"/>
          <w:bCs/>
          <w:sz w:val="20"/>
          <w:szCs w:val="28"/>
          <w:lang w:val="pt-BR"/>
        </w:rPr>
        <w:t>Conven</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Americana, por</w:t>
      </w:r>
      <w:r w:rsidR="0089298C" w:rsidRPr="002F50BD">
        <w:rPr>
          <w:rFonts w:ascii="Verdana" w:hAnsi="Verdana"/>
          <w:bCs/>
          <w:sz w:val="20"/>
          <w:szCs w:val="28"/>
          <w:lang w:val="pt-BR"/>
        </w:rPr>
        <w:t xml:space="preserve">quanto </w:t>
      </w:r>
      <w:r w:rsidR="004756C1" w:rsidRPr="002F50BD">
        <w:rPr>
          <w:rFonts w:ascii="Verdana" w:hAnsi="Verdana"/>
          <w:bCs/>
          <w:sz w:val="20"/>
          <w:szCs w:val="28"/>
          <w:lang w:val="pt-BR"/>
        </w:rPr>
        <w:t>de su</w:t>
      </w:r>
      <w:r w:rsidR="00AF713C" w:rsidRPr="002F50BD">
        <w:rPr>
          <w:rFonts w:ascii="Verdana" w:hAnsi="Verdana"/>
          <w:bCs/>
          <w:sz w:val="20"/>
          <w:szCs w:val="28"/>
          <w:lang w:val="pt-BR"/>
        </w:rPr>
        <w:t>a</w:t>
      </w:r>
      <w:r w:rsidR="004756C1" w:rsidRPr="002F50BD">
        <w:rPr>
          <w:rFonts w:ascii="Verdana" w:hAnsi="Verdana"/>
          <w:bCs/>
          <w:sz w:val="20"/>
          <w:szCs w:val="28"/>
          <w:lang w:val="pt-BR"/>
        </w:rPr>
        <w:t xml:space="preserve"> salvaguarda depen</w:t>
      </w:r>
      <w:r w:rsidR="0089298C" w:rsidRPr="002F50BD">
        <w:rPr>
          <w:rFonts w:ascii="Verdana" w:hAnsi="Verdana"/>
          <w:bCs/>
          <w:sz w:val="20"/>
          <w:szCs w:val="28"/>
          <w:lang w:val="pt-BR"/>
        </w:rPr>
        <w:t>d</w:t>
      </w:r>
      <w:r w:rsidR="00AF713C" w:rsidRPr="002F50BD">
        <w:rPr>
          <w:rFonts w:ascii="Verdana" w:hAnsi="Verdana"/>
          <w:bCs/>
          <w:sz w:val="20"/>
          <w:szCs w:val="28"/>
          <w:lang w:val="pt-BR"/>
        </w:rPr>
        <w:t xml:space="preserve">e </w:t>
      </w:r>
      <w:r w:rsidR="0089298C" w:rsidRPr="002F50BD">
        <w:rPr>
          <w:rFonts w:ascii="Verdana" w:hAnsi="Verdana"/>
          <w:bCs/>
          <w:sz w:val="20"/>
          <w:szCs w:val="28"/>
          <w:lang w:val="pt-BR"/>
        </w:rPr>
        <w:t xml:space="preserve">a </w:t>
      </w:r>
      <w:r w:rsidR="004756C1" w:rsidRPr="002F50BD">
        <w:rPr>
          <w:rFonts w:ascii="Verdana" w:hAnsi="Verdana"/>
          <w:bCs/>
          <w:sz w:val="20"/>
          <w:szCs w:val="28"/>
          <w:lang w:val="pt-BR"/>
        </w:rPr>
        <w:t>realiza</w:t>
      </w:r>
      <w:r w:rsidR="0089298C" w:rsidRPr="002F50BD">
        <w:rPr>
          <w:rFonts w:ascii="Verdana" w:hAnsi="Verdana"/>
          <w:bCs/>
          <w:sz w:val="20"/>
          <w:szCs w:val="28"/>
          <w:lang w:val="pt-BR"/>
        </w:rPr>
        <w:t>ção dos demais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direito</w:t>
      </w:r>
      <w:r w:rsidR="004756C1" w:rsidRPr="002F50BD">
        <w:rPr>
          <w:rFonts w:ascii="Verdana" w:hAnsi="Verdana"/>
          <w:bCs/>
          <w:sz w:val="20"/>
          <w:szCs w:val="28"/>
          <w:lang w:val="pt-BR"/>
        </w:rPr>
        <w:t>s.</w:t>
      </w:r>
      <w:r w:rsidR="0089298C" w:rsidRPr="002F50BD">
        <w:rPr>
          <w:rFonts w:ascii="Verdana" w:hAnsi="Verdana"/>
          <w:bCs/>
          <w:sz w:val="20"/>
          <w:szCs w:val="28"/>
          <w:lang w:val="pt-BR"/>
        </w:rPr>
        <w:t xml:space="preserve"> </w:t>
      </w:r>
      <w:r w:rsidR="00AF713C" w:rsidRPr="002F50BD">
        <w:rPr>
          <w:rFonts w:ascii="Verdana" w:hAnsi="Verdana"/>
          <w:bCs/>
          <w:sz w:val="20"/>
          <w:szCs w:val="28"/>
          <w:lang w:val="pt-BR"/>
        </w:rPr>
        <w:t xml:space="preserve">Ao não se </w:t>
      </w:r>
      <w:r w:rsidR="0089298C" w:rsidRPr="002F50BD">
        <w:rPr>
          <w:rFonts w:ascii="Verdana" w:hAnsi="Verdana"/>
          <w:bCs/>
          <w:sz w:val="20"/>
          <w:szCs w:val="28"/>
          <w:lang w:val="pt-BR"/>
        </w:rPr>
        <w:t xml:space="preserve">respeitar o direito à </w:t>
      </w:r>
      <w:r w:rsidR="004756C1" w:rsidRPr="002F50BD">
        <w:rPr>
          <w:rFonts w:ascii="Verdana" w:hAnsi="Verdana"/>
          <w:bCs/>
          <w:sz w:val="20"/>
          <w:szCs w:val="28"/>
          <w:lang w:val="pt-BR"/>
        </w:rPr>
        <w:t>vida, todos</w:t>
      </w:r>
      <w:r w:rsidR="0089298C" w:rsidRPr="002F50BD">
        <w:rPr>
          <w:rFonts w:ascii="Verdana" w:hAnsi="Verdana"/>
          <w:bCs/>
          <w:sz w:val="20"/>
          <w:szCs w:val="28"/>
          <w:lang w:val="pt-BR"/>
        </w:rPr>
        <w:t xml:space="preserve"> os demais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direito</w:t>
      </w:r>
      <w:r w:rsidR="004756C1" w:rsidRPr="002F50BD">
        <w:rPr>
          <w:rFonts w:ascii="Verdana" w:hAnsi="Verdana"/>
          <w:bCs/>
          <w:sz w:val="20"/>
          <w:szCs w:val="28"/>
          <w:lang w:val="pt-BR"/>
        </w:rPr>
        <w:t>s des</w:t>
      </w:r>
      <w:r w:rsidR="0089298C" w:rsidRPr="002F50BD">
        <w:rPr>
          <w:rFonts w:ascii="Verdana" w:hAnsi="Verdana"/>
          <w:bCs/>
          <w:sz w:val="20"/>
          <w:szCs w:val="28"/>
          <w:lang w:val="pt-BR"/>
        </w:rPr>
        <w:t>aparecem</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posto </w:t>
      </w:r>
      <w:r w:rsidR="004756C1" w:rsidRPr="002F50BD">
        <w:rPr>
          <w:rFonts w:ascii="Verdana" w:hAnsi="Verdana"/>
          <w:bCs/>
          <w:sz w:val="20"/>
          <w:szCs w:val="28"/>
          <w:lang w:val="pt-BR"/>
        </w:rPr>
        <w:t xml:space="preserve">que se extingue </w:t>
      </w:r>
      <w:r w:rsidR="00AF713C" w:rsidRPr="002F50BD">
        <w:rPr>
          <w:rFonts w:ascii="Verdana" w:hAnsi="Verdana"/>
          <w:bCs/>
          <w:sz w:val="20"/>
          <w:szCs w:val="28"/>
          <w:lang w:val="pt-BR"/>
        </w:rPr>
        <w:t xml:space="preserve">o </w:t>
      </w:r>
      <w:r w:rsidR="004756C1" w:rsidRPr="002F50BD">
        <w:rPr>
          <w:rFonts w:ascii="Verdana" w:hAnsi="Verdana"/>
          <w:bCs/>
          <w:sz w:val="20"/>
          <w:szCs w:val="28"/>
          <w:lang w:val="pt-BR"/>
        </w:rPr>
        <w:t>s</w:t>
      </w:r>
      <w:r w:rsidR="00AF713C" w:rsidRPr="002F50BD">
        <w:rPr>
          <w:rFonts w:ascii="Verdana" w:hAnsi="Verdana"/>
          <w:bCs/>
          <w:sz w:val="20"/>
          <w:szCs w:val="28"/>
          <w:lang w:val="pt-BR"/>
        </w:rPr>
        <w:t>e</w:t>
      </w:r>
      <w:r w:rsidR="004756C1" w:rsidRPr="002F50BD">
        <w:rPr>
          <w:rFonts w:ascii="Verdana" w:hAnsi="Verdana"/>
          <w:bCs/>
          <w:sz w:val="20"/>
          <w:szCs w:val="28"/>
          <w:lang w:val="pt-BR"/>
        </w:rPr>
        <w:t>u titular.</w:t>
      </w:r>
      <w:r w:rsidR="0089298C" w:rsidRPr="002F50BD">
        <w:rPr>
          <w:rFonts w:ascii="Verdana" w:hAnsi="Verdana"/>
          <w:bCs/>
          <w:sz w:val="20"/>
          <w:szCs w:val="28"/>
          <w:lang w:val="pt-BR"/>
        </w:rPr>
        <w:t xml:space="preserve"> </w:t>
      </w:r>
      <w:r w:rsidR="00AF713C" w:rsidRPr="002F50BD">
        <w:rPr>
          <w:rFonts w:ascii="Verdana" w:hAnsi="Verdana"/>
          <w:bCs/>
          <w:sz w:val="20"/>
          <w:szCs w:val="28"/>
          <w:lang w:val="pt-BR"/>
        </w:rPr>
        <w:t>E</w:t>
      </w:r>
      <w:r w:rsidR="0089298C" w:rsidRPr="002F50BD">
        <w:rPr>
          <w:rFonts w:ascii="Verdana" w:hAnsi="Verdana"/>
          <w:bCs/>
          <w:sz w:val="20"/>
          <w:szCs w:val="28"/>
          <w:lang w:val="pt-BR"/>
        </w:rPr>
        <w:t>m razão deste caráter</w:t>
      </w:r>
      <w:r w:rsidR="004756C1" w:rsidRPr="002F50BD">
        <w:rPr>
          <w:rFonts w:ascii="Verdana" w:hAnsi="Verdana"/>
          <w:bCs/>
          <w:sz w:val="20"/>
          <w:szCs w:val="28"/>
          <w:lang w:val="pt-BR"/>
        </w:rPr>
        <w:t xml:space="preserve"> fundamental, n</w:t>
      </w:r>
      <w:r w:rsidR="00AF713C" w:rsidRPr="002F50BD">
        <w:rPr>
          <w:rFonts w:ascii="Verdana" w:hAnsi="Verdana"/>
          <w:bCs/>
          <w:sz w:val="20"/>
          <w:szCs w:val="28"/>
          <w:lang w:val="pt-BR"/>
        </w:rPr>
        <w:t>ã</w:t>
      </w:r>
      <w:r w:rsidR="004756C1" w:rsidRPr="002F50BD">
        <w:rPr>
          <w:rFonts w:ascii="Verdana" w:hAnsi="Verdana"/>
          <w:bCs/>
          <w:sz w:val="20"/>
          <w:szCs w:val="28"/>
          <w:lang w:val="pt-BR"/>
        </w:rPr>
        <w:t xml:space="preserve">o </w:t>
      </w:r>
      <w:r w:rsidR="0089298C" w:rsidRPr="002F50BD">
        <w:rPr>
          <w:rFonts w:ascii="Verdana" w:hAnsi="Verdana"/>
          <w:bCs/>
          <w:sz w:val="20"/>
          <w:szCs w:val="28"/>
          <w:lang w:val="pt-BR"/>
        </w:rPr>
        <w:t>são</w:t>
      </w:r>
      <w:r w:rsidR="004756C1" w:rsidRPr="002F50BD">
        <w:rPr>
          <w:rFonts w:ascii="Verdana" w:hAnsi="Verdana"/>
          <w:bCs/>
          <w:sz w:val="20"/>
          <w:szCs w:val="28"/>
          <w:lang w:val="pt-BR"/>
        </w:rPr>
        <w:t xml:space="preserve"> </w:t>
      </w:r>
      <w:r w:rsidR="00FC6B22" w:rsidRPr="002F50BD">
        <w:rPr>
          <w:rFonts w:ascii="Verdana" w:hAnsi="Verdana"/>
          <w:bCs/>
          <w:sz w:val="20"/>
          <w:szCs w:val="28"/>
          <w:lang w:val="pt-BR"/>
        </w:rPr>
        <w:t>admissíveis</w:t>
      </w:r>
      <w:r w:rsidR="004756C1" w:rsidRPr="002F50BD">
        <w:rPr>
          <w:rFonts w:ascii="Verdana" w:hAnsi="Verdana"/>
          <w:bCs/>
          <w:sz w:val="20"/>
          <w:szCs w:val="28"/>
          <w:lang w:val="pt-BR"/>
        </w:rPr>
        <w:t xml:space="preserve"> enfoques </w:t>
      </w:r>
      <w:r w:rsidR="0089298C" w:rsidRPr="002F50BD">
        <w:rPr>
          <w:rFonts w:ascii="Verdana" w:hAnsi="Verdana"/>
          <w:bCs/>
          <w:sz w:val="20"/>
          <w:szCs w:val="28"/>
          <w:lang w:val="pt-BR"/>
        </w:rPr>
        <w:t>restritiv</w:t>
      </w:r>
      <w:r w:rsidR="004756C1" w:rsidRPr="002F50BD">
        <w:rPr>
          <w:rFonts w:ascii="Verdana" w:hAnsi="Verdana"/>
          <w:bCs/>
          <w:sz w:val="20"/>
          <w:szCs w:val="28"/>
          <w:lang w:val="pt-BR"/>
        </w:rPr>
        <w:t>os</w:t>
      </w:r>
      <w:r w:rsidR="0089298C" w:rsidRPr="002F50BD">
        <w:rPr>
          <w:rFonts w:ascii="Verdana" w:hAnsi="Verdana"/>
          <w:bCs/>
          <w:sz w:val="20"/>
          <w:szCs w:val="28"/>
          <w:lang w:val="pt-BR"/>
        </w:rPr>
        <w:t xml:space="preserve"> ao direito à </w:t>
      </w:r>
      <w:r w:rsidR="004756C1" w:rsidRPr="002F50BD">
        <w:rPr>
          <w:rFonts w:ascii="Verdana" w:hAnsi="Verdana"/>
          <w:bCs/>
          <w:sz w:val="20"/>
          <w:szCs w:val="28"/>
          <w:lang w:val="pt-BR"/>
        </w:rPr>
        <w:t>vida.</w:t>
      </w:r>
      <w:r w:rsidR="0089298C" w:rsidRPr="002F50BD">
        <w:rPr>
          <w:rFonts w:ascii="Verdana" w:hAnsi="Verdana"/>
          <w:bCs/>
          <w:sz w:val="20"/>
          <w:szCs w:val="28"/>
          <w:lang w:val="pt-BR"/>
        </w:rPr>
        <w:t xml:space="preserve"> </w:t>
      </w:r>
      <w:r w:rsidR="00AF713C" w:rsidRPr="002F50BD">
        <w:rPr>
          <w:rFonts w:ascii="Verdana" w:hAnsi="Verdana"/>
          <w:bCs/>
          <w:sz w:val="20"/>
          <w:szCs w:val="28"/>
          <w:lang w:val="pt-BR"/>
        </w:rPr>
        <w:t>E</w:t>
      </w:r>
      <w:r w:rsidR="0089298C" w:rsidRPr="002F50BD">
        <w:rPr>
          <w:rFonts w:ascii="Verdana" w:hAnsi="Verdana"/>
          <w:bCs/>
          <w:sz w:val="20"/>
          <w:szCs w:val="28"/>
          <w:lang w:val="pt-BR"/>
        </w:rPr>
        <w:t xml:space="preserve">m essência </w:t>
      </w:r>
      <w:r w:rsidR="004756C1" w:rsidRPr="002F50BD">
        <w:rPr>
          <w:rFonts w:ascii="Verdana" w:hAnsi="Verdana"/>
          <w:bCs/>
          <w:sz w:val="20"/>
          <w:szCs w:val="28"/>
          <w:lang w:val="pt-BR"/>
        </w:rPr>
        <w:t>–</w:t>
      </w:r>
      <w:r w:rsidR="00AF713C" w:rsidRPr="002F50BD">
        <w:rPr>
          <w:rFonts w:ascii="Verdana" w:hAnsi="Verdana"/>
          <w:bCs/>
          <w:sz w:val="20"/>
          <w:szCs w:val="28"/>
          <w:lang w:val="pt-BR"/>
        </w:rPr>
        <w:t xml:space="preserve">afirmou </w:t>
      </w:r>
      <w:r w:rsidR="0089298C" w:rsidRPr="002F50BD">
        <w:rPr>
          <w:rFonts w:ascii="Verdana" w:hAnsi="Verdana"/>
          <w:bCs/>
          <w:sz w:val="20"/>
          <w:szCs w:val="28"/>
          <w:lang w:val="pt-BR"/>
        </w:rPr>
        <w:t xml:space="preserve">a </w:t>
      </w:r>
      <w:r w:rsidR="004756C1" w:rsidRPr="002F50BD">
        <w:rPr>
          <w:rFonts w:ascii="Verdana" w:hAnsi="Verdana"/>
          <w:bCs/>
          <w:sz w:val="20"/>
          <w:szCs w:val="28"/>
          <w:lang w:val="pt-BR"/>
        </w:rPr>
        <w:t xml:space="preserve">Corte- este </w:t>
      </w:r>
      <w:r w:rsidR="0089298C" w:rsidRPr="002F50BD">
        <w:rPr>
          <w:rFonts w:ascii="Verdana" w:hAnsi="Verdana"/>
          <w:bCs/>
          <w:sz w:val="20"/>
          <w:szCs w:val="28"/>
          <w:lang w:val="pt-BR"/>
        </w:rPr>
        <w:t>direito</w:t>
      </w:r>
      <w:r w:rsidR="004756C1" w:rsidRPr="002F50BD">
        <w:rPr>
          <w:rFonts w:ascii="Verdana" w:hAnsi="Verdana"/>
          <w:bCs/>
          <w:sz w:val="20"/>
          <w:szCs w:val="28"/>
          <w:lang w:val="pt-BR"/>
        </w:rPr>
        <w:t xml:space="preserve"> compr</w:t>
      </w:r>
      <w:r w:rsidR="00AF713C" w:rsidRPr="002F50BD">
        <w:rPr>
          <w:rFonts w:ascii="Verdana" w:hAnsi="Verdana"/>
          <w:bCs/>
          <w:sz w:val="20"/>
          <w:szCs w:val="28"/>
          <w:lang w:val="pt-BR"/>
        </w:rPr>
        <w:t>e</w:t>
      </w:r>
      <w:r w:rsidR="004756C1" w:rsidRPr="002F50BD">
        <w:rPr>
          <w:rFonts w:ascii="Verdana" w:hAnsi="Verdana"/>
          <w:bCs/>
          <w:sz w:val="20"/>
          <w:szCs w:val="28"/>
          <w:lang w:val="pt-BR"/>
        </w:rPr>
        <w:t>ende</w:t>
      </w:r>
      <w:r w:rsidR="00AB454A" w:rsidRPr="002F50BD">
        <w:rPr>
          <w:rFonts w:ascii="Verdana" w:hAnsi="Verdana"/>
          <w:bCs/>
          <w:sz w:val="20"/>
          <w:szCs w:val="28"/>
          <w:lang w:val="pt-BR"/>
        </w:rPr>
        <w:t xml:space="preserve"> não apenas</w:t>
      </w:r>
      <w:r w:rsidR="0089298C" w:rsidRPr="002F50BD">
        <w:rPr>
          <w:rFonts w:ascii="Verdana" w:hAnsi="Verdana"/>
          <w:bCs/>
          <w:sz w:val="20"/>
          <w:szCs w:val="28"/>
          <w:lang w:val="pt-BR"/>
        </w:rPr>
        <w:t xml:space="preserve"> o direito</w:t>
      </w:r>
      <w:r w:rsidR="004756C1" w:rsidRPr="002F50BD">
        <w:rPr>
          <w:rFonts w:ascii="Verdana" w:hAnsi="Verdana"/>
          <w:bCs/>
          <w:sz w:val="20"/>
          <w:szCs w:val="28"/>
          <w:lang w:val="pt-BR"/>
        </w:rPr>
        <w:t xml:space="preserve"> de todo ser humano de n</w:t>
      </w:r>
      <w:r w:rsidR="00AF713C" w:rsidRPr="002F50BD">
        <w:rPr>
          <w:rFonts w:ascii="Verdana" w:hAnsi="Verdana"/>
          <w:bCs/>
          <w:sz w:val="20"/>
          <w:szCs w:val="28"/>
          <w:lang w:val="pt-BR"/>
        </w:rPr>
        <w:t>ã</w:t>
      </w:r>
      <w:r w:rsidR="004756C1" w:rsidRPr="002F50BD">
        <w:rPr>
          <w:rFonts w:ascii="Verdana" w:hAnsi="Verdana"/>
          <w:bCs/>
          <w:sz w:val="20"/>
          <w:szCs w:val="28"/>
          <w:lang w:val="pt-BR"/>
        </w:rPr>
        <w:t>o ser privado</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 xml:space="preserve">vida </w:t>
      </w:r>
      <w:r w:rsidR="00F55DCA" w:rsidRPr="002F50BD">
        <w:rPr>
          <w:rFonts w:ascii="Verdana" w:hAnsi="Verdana"/>
          <w:bCs/>
          <w:sz w:val="20"/>
          <w:szCs w:val="28"/>
          <w:lang w:val="pt-BR"/>
        </w:rPr>
        <w:t>arbitrariam</w:t>
      </w:r>
      <w:r w:rsidR="004756C1" w:rsidRPr="002F50BD">
        <w:rPr>
          <w:rFonts w:ascii="Verdana" w:hAnsi="Verdana"/>
          <w:bCs/>
          <w:sz w:val="20"/>
          <w:szCs w:val="28"/>
          <w:lang w:val="pt-BR"/>
        </w:rPr>
        <w:t>ente,</w:t>
      </w:r>
      <w:r w:rsidR="0089298C" w:rsidRPr="002F50BD">
        <w:rPr>
          <w:rFonts w:ascii="Verdana" w:hAnsi="Verdana"/>
          <w:bCs/>
          <w:sz w:val="20"/>
          <w:szCs w:val="28"/>
          <w:lang w:val="pt-BR"/>
        </w:rPr>
        <w:t xml:space="preserve"> mas também o direito</w:t>
      </w:r>
      <w:r w:rsidR="004756C1" w:rsidRPr="002F50BD">
        <w:rPr>
          <w:rFonts w:ascii="Verdana" w:hAnsi="Verdana"/>
          <w:bCs/>
          <w:sz w:val="20"/>
          <w:szCs w:val="28"/>
          <w:lang w:val="pt-BR"/>
        </w:rPr>
        <w:t xml:space="preserve"> a que n</w:t>
      </w:r>
      <w:r w:rsidR="00AF713C" w:rsidRPr="002F50BD">
        <w:rPr>
          <w:rFonts w:ascii="Verdana" w:hAnsi="Verdana"/>
          <w:bCs/>
          <w:sz w:val="20"/>
          <w:szCs w:val="28"/>
          <w:lang w:val="pt-BR"/>
        </w:rPr>
        <w:t>ã</w:t>
      </w:r>
      <w:r w:rsidR="004756C1" w:rsidRPr="002F50BD">
        <w:rPr>
          <w:rFonts w:ascii="Verdana" w:hAnsi="Verdana"/>
          <w:bCs/>
          <w:sz w:val="20"/>
          <w:szCs w:val="28"/>
          <w:lang w:val="pt-BR"/>
        </w:rPr>
        <w:t xml:space="preserve">o se </w:t>
      </w:r>
      <w:r w:rsidR="00AF713C" w:rsidRPr="002F50BD">
        <w:rPr>
          <w:rFonts w:ascii="Verdana" w:hAnsi="Verdana"/>
          <w:bCs/>
          <w:sz w:val="20"/>
          <w:szCs w:val="28"/>
          <w:lang w:val="pt-BR"/>
        </w:rPr>
        <w:t xml:space="preserve">criem </w:t>
      </w:r>
      <w:r w:rsidR="004756C1" w:rsidRPr="002F50BD">
        <w:rPr>
          <w:rFonts w:ascii="Verdana" w:hAnsi="Verdana"/>
          <w:bCs/>
          <w:sz w:val="20"/>
          <w:szCs w:val="28"/>
          <w:lang w:val="pt-BR"/>
        </w:rPr>
        <w:t>condi</w:t>
      </w:r>
      <w:r w:rsidR="0089298C" w:rsidRPr="002F50BD">
        <w:rPr>
          <w:rFonts w:ascii="Verdana" w:hAnsi="Verdana"/>
          <w:bCs/>
          <w:sz w:val="20"/>
          <w:szCs w:val="28"/>
          <w:lang w:val="pt-BR"/>
        </w:rPr>
        <w:t>ções</w:t>
      </w:r>
      <w:r w:rsidR="004756C1" w:rsidRPr="002F50BD">
        <w:rPr>
          <w:rFonts w:ascii="Verdana" w:hAnsi="Verdana"/>
          <w:bCs/>
          <w:sz w:val="20"/>
          <w:szCs w:val="28"/>
          <w:lang w:val="pt-BR"/>
        </w:rPr>
        <w:t xml:space="preserve"> que l</w:t>
      </w:r>
      <w:r w:rsidR="00AF713C" w:rsidRPr="002F50BD">
        <w:rPr>
          <w:rFonts w:ascii="Verdana" w:hAnsi="Verdana"/>
          <w:bCs/>
          <w:sz w:val="20"/>
          <w:szCs w:val="28"/>
          <w:lang w:val="pt-BR"/>
        </w:rPr>
        <w:t>h</w:t>
      </w:r>
      <w:r w:rsidR="004756C1" w:rsidRPr="002F50BD">
        <w:rPr>
          <w:rFonts w:ascii="Verdana" w:hAnsi="Verdana"/>
          <w:bCs/>
          <w:sz w:val="20"/>
          <w:szCs w:val="28"/>
          <w:lang w:val="pt-BR"/>
        </w:rPr>
        <w:t xml:space="preserve">e </w:t>
      </w:r>
      <w:r w:rsidR="004076AD" w:rsidRPr="002F50BD">
        <w:rPr>
          <w:rFonts w:ascii="Verdana" w:hAnsi="Verdana"/>
          <w:bCs/>
          <w:sz w:val="20"/>
          <w:szCs w:val="28"/>
          <w:lang w:val="pt-BR"/>
        </w:rPr>
        <w:t>impeçam</w:t>
      </w:r>
      <w:r w:rsidR="004756C1" w:rsidRPr="002F50BD">
        <w:rPr>
          <w:rFonts w:ascii="Verdana" w:hAnsi="Verdana"/>
          <w:bCs/>
          <w:sz w:val="20"/>
          <w:szCs w:val="28"/>
          <w:lang w:val="pt-BR"/>
        </w:rPr>
        <w:t xml:space="preserve"> o</w:t>
      </w:r>
      <w:r w:rsidR="00AF713C" w:rsidRPr="002F50BD">
        <w:rPr>
          <w:rFonts w:ascii="Verdana" w:hAnsi="Verdana"/>
          <w:bCs/>
          <w:sz w:val="20"/>
          <w:szCs w:val="28"/>
          <w:lang w:val="pt-BR"/>
        </w:rPr>
        <w:t xml:space="preserve">u dificultem o </w:t>
      </w:r>
      <w:r w:rsidR="0089298C" w:rsidRPr="002F50BD">
        <w:rPr>
          <w:rFonts w:ascii="Verdana" w:hAnsi="Verdana"/>
          <w:bCs/>
          <w:sz w:val="20"/>
          <w:szCs w:val="28"/>
          <w:lang w:val="pt-BR"/>
        </w:rPr>
        <w:t>acesso</w:t>
      </w:r>
      <w:r w:rsidR="004756C1" w:rsidRPr="002F50BD">
        <w:rPr>
          <w:rFonts w:ascii="Verdana" w:hAnsi="Verdana"/>
          <w:bCs/>
          <w:sz w:val="20"/>
          <w:szCs w:val="28"/>
          <w:lang w:val="pt-BR"/>
        </w:rPr>
        <w:t xml:space="preserve"> a</w:t>
      </w:r>
      <w:r w:rsidR="0089298C" w:rsidRPr="002F50BD">
        <w:rPr>
          <w:rFonts w:ascii="Verdana" w:hAnsi="Verdana"/>
          <w:bCs/>
          <w:sz w:val="20"/>
          <w:szCs w:val="28"/>
          <w:lang w:val="pt-BR"/>
        </w:rPr>
        <w:t xml:space="preserve"> uma existência</w:t>
      </w:r>
      <w:r w:rsidR="004756C1" w:rsidRPr="002F50BD">
        <w:rPr>
          <w:rFonts w:ascii="Verdana" w:hAnsi="Verdana"/>
          <w:bCs/>
          <w:sz w:val="20"/>
          <w:szCs w:val="28"/>
          <w:lang w:val="pt-BR"/>
        </w:rPr>
        <w:t xml:space="preserve"> digna.</w:t>
      </w:r>
    </w:p>
    <w:p w:rsidR="004756C1" w:rsidRPr="002F50BD" w:rsidRDefault="004756C1">
      <w:pPr>
        <w:ind w:right="-227"/>
        <w:jc w:val="both"/>
        <w:rPr>
          <w:rFonts w:ascii="Verdana" w:hAnsi="Verdana"/>
          <w:b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sz w:val="20"/>
          <w:szCs w:val="28"/>
          <w:lang w:val="pt-BR"/>
        </w:rPr>
        <w:t>6</w:t>
      </w:r>
      <w:r w:rsidR="004756C1" w:rsidRPr="002F50BD">
        <w:rPr>
          <w:rFonts w:ascii="Verdana" w:hAnsi="Verdana"/>
          <w:bCs/>
          <w:sz w:val="20"/>
          <w:szCs w:val="28"/>
          <w:lang w:val="pt-BR"/>
        </w:rPr>
        <w:t>.</w:t>
      </w:r>
      <w:r w:rsidR="004756C1" w:rsidRPr="002F50BD">
        <w:rPr>
          <w:rFonts w:ascii="Verdana" w:hAnsi="Verdana"/>
          <w:bCs/>
          <w:sz w:val="20"/>
          <w:szCs w:val="28"/>
          <w:lang w:val="pt-BR"/>
        </w:rPr>
        <w:tab/>
        <w:t>Est</w:t>
      </w:r>
      <w:r w:rsidR="00AF713C" w:rsidRPr="002F50BD">
        <w:rPr>
          <w:rFonts w:ascii="Verdana" w:hAnsi="Verdana"/>
          <w:bCs/>
          <w:sz w:val="20"/>
          <w:szCs w:val="28"/>
          <w:lang w:val="pt-BR"/>
        </w:rPr>
        <w:t>e</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critério</w:t>
      </w:r>
      <w:r w:rsidR="004756C1" w:rsidRPr="002F50BD">
        <w:rPr>
          <w:rFonts w:ascii="Verdana" w:hAnsi="Verdana"/>
          <w:bCs/>
          <w:sz w:val="20"/>
          <w:szCs w:val="28"/>
          <w:lang w:val="pt-BR"/>
        </w:rPr>
        <w:t>s, ratificados</w:t>
      </w:r>
      <w:r w:rsidR="0089298C" w:rsidRPr="002F50BD">
        <w:rPr>
          <w:rFonts w:ascii="Verdana" w:hAnsi="Verdana"/>
          <w:bCs/>
          <w:sz w:val="20"/>
          <w:szCs w:val="28"/>
          <w:lang w:val="pt-BR"/>
        </w:rPr>
        <w:t xml:space="preserve"> na </w:t>
      </w:r>
      <w:r w:rsidR="004756C1" w:rsidRPr="002F50BD">
        <w:rPr>
          <w:rFonts w:ascii="Verdana" w:hAnsi="Verdana"/>
          <w:bCs/>
          <w:sz w:val="20"/>
          <w:szCs w:val="28"/>
          <w:lang w:val="pt-BR"/>
        </w:rPr>
        <w:t>parte considerativa</w:t>
      </w:r>
      <w:r w:rsidR="0089298C" w:rsidRPr="002F50BD">
        <w:rPr>
          <w:rFonts w:ascii="Verdana" w:hAnsi="Verdana"/>
          <w:bCs/>
          <w:sz w:val="20"/>
          <w:szCs w:val="28"/>
          <w:lang w:val="pt-BR"/>
        </w:rPr>
        <w:t xml:space="preserve"> da sentença no </w:t>
      </w:r>
      <w:r w:rsidR="004756C1" w:rsidRPr="002F50BD">
        <w:rPr>
          <w:rFonts w:ascii="Verdana" w:hAnsi="Verdana"/>
          <w:bCs/>
          <w:sz w:val="20"/>
          <w:szCs w:val="28"/>
          <w:lang w:val="pt-BR"/>
        </w:rPr>
        <w:t>caso “</w:t>
      </w:r>
      <w:r w:rsidR="0089298C" w:rsidRPr="002F50BD">
        <w:rPr>
          <w:rFonts w:ascii="Verdana" w:hAnsi="Verdana"/>
          <w:bCs/>
          <w:sz w:val="20"/>
          <w:szCs w:val="28"/>
          <w:lang w:val="pt-BR"/>
        </w:rPr>
        <w:t xml:space="preserve">Comunidade </w:t>
      </w:r>
      <w:r w:rsidR="004756C1" w:rsidRPr="002F50BD">
        <w:rPr>
          <w:rFonts w:ascii="Verdana" w:hAnsi="Verdana"/>
          <w:bCs/>
          <w:sz w:val="20"/>
          <w:szCs w:val="28"/>
          <w:lang w:val="pt-BR"/>
        </w:rPr>
        <w:t>indígena Yake Axa”,</w:t>
      </w:r>
      <w:r w:rsidR="0089298C" w:rsidRPr="002F50BD">
        <w:rPr>
          <w:rFonts w:ascii="Verdana" w:hAnsi="Verdana"/>
          <w:bCs/>
          <w:sz w:val="20"/>
          <w:szCs w:val="28"/>
          <w:lang w:val="pt-BR"/>
        </w:rPr>
        <w:t xml:space="preserve"> ao analisar o artigo</w:t>
      </w:r>
      <w:r w:rsidR="004756C1" w:rsidRPr="002F50BD">
        <w:rPr>
          <w:rFonts w:ascii="Verdana" w:hAnsi="Verdana"/>
          <w:bCs/>
          <w:sz w:val="20"/>
          <w:szCs w:val="28"/>
          <w:lang w:val="pt-BR"/>
        </w:rPr>
        <w:t xml:space="preserve"> </w:t>
      </w:r>
      <w:r w:rsidRPr="002F50BD">
        <w:rPr>
          <w:rFonts w:ascii="Verdana" w:hAnsi="Verdana"/>
          <w:bCs/>
          <w:sz w:val="20"/>
          <w:szCs w:val="28"/>
          <w:lang w:val="pt-BR"/>
        </w:rPr>
        <w:t>4</w:t>
      </w:r>
      <w:r w:rsidR="004756C1" w:rsidRPr="002F50BD">
        <w:rPr>
          <w:rFonts w:ascii="Verdana" w:hAnsi="Verdana"/>
          <w:bCs/>
          <w:sz w:val="20"/>
          <w:szCs w:val="28"/>
          <w:lang w:val="pt-BR"/>
        </w:rPr>
        <w:t>.</w:t>
      </w:r>
      <w:r w:rsidRPr="002F50BD">
        <w:rPr>
          <w:rFonts w:ascii="Verdana" w:hAnsi="Verdana"/>
          <w:bCs/>
          <w:sz w:val="20"/>
          <w:szCs w:val="28"/>
          <w:lang w:val="pt-BR"/>
        </w:rPr>
        <w:t>1</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Conven</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 xml:space="preserve">formam </w:t>
      </w:r>
      <w:r w:rsidR="004756C1" w:rsidRPr="002F50BD">
        <w:rPr>
          <w:rFonts w:ascii="Verdana" w:hAnsi="Verdana"/>
          <w:bCs/>
          <w:sz w:val="20"/>
          <w:szCs w:val="28"/>
          <w:lang w:val="pt-BR"/>
        </w:rPr>
        <w:t>parte</w:t>
      </w:r>
      <w:r w:rsidR="0089298C" w:rsidRPr="002F50BD">
        <w:rPr>
          <w:rFonts w:ascii="Verdana" w:hAnsi="Verdana"/>
          <w:bCs/>
          <w:sz w:val="20"/>
          <w:szCs w:val="28"/>
          <w:lang w:val="pt-BR"/>
        </w:rPr>
        <w:t xml:space="preserve"> da contribuição da </w:t>
      </w:r>
      <w:r w:rsidR="004756C1" w:rsidRPr="002F50BD">
        <w:rPr>
          <w:rFonts w:ascii="Verdana" w:hAnsi="Verdana"/>
          <w:bCs/>
          <w:sz w:val="20"/>
          <w:szCs w:val="28"/>
          <w:lang w:val="pt-BR"/>
        </w:rPr>
        <w:t>Corte</w:t>
      </w:r>
      <w:r w:rsidR="0089298C" w:rsidRPr="002F50BD">
        <w:rPr>
          <w:rFonts w:ascii="Verdana" w:hAnsi="Verdana"/>
          <w:bCs/>
          <w:sz w:val="20"/>
          <w:szCs w:val="28"/>
          <w:lang w:val="pt-BR"/>
        </w:rPr>
        <w:t xml:space="preserve"> à </w:t>
      </w:r>
      <w:r w:rsidR="004756C1" w:rsidRPr="002F50BD">
        <w:rPr>
          <w:rFonts w:ascii="Verdana" w:hAnsi="Verdana"/>
          <w:bCs/>
          <w:sz w:val="20"/>
          <w:szCs w:val="28"/>
          <w:lang w:val="pt-BR"/>
        </w:rPr>
        <w:t>interpreta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evolutiva </w:t>
      </w:r>
      <w:r w:rsidR="0089298C" w:rsidRPr="002F50BD">
        <w:rPr>
          <w:rFonts w:ascii="Verdana" w:hAnsi="Verdana"/>
          <w:bCs/>
          <w:sz w:val="20"/>
          <w:szCs w:val="28"/>
          <w:lang w:val="pt-BR"/>
        </w:rPr>
        <w:t xml:space="preserve">do </w:t>
      </w:r>
      <w:r w:rsidR="00CF451D">
        <w:rPr>
          <w:rFonts w:ascii="Verdana" w:hAnsi="Verdana"/>
          <w:bCs/>
          <w:sz w:val="20"/>
          <w:szCs w:val="28"/>
          <w:lang w:val="pt-BR"/>
        </w:rPr>
        <w:t>Direito Internacional dos Direitos Humanos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critério</w:t>
      </w:r>
      <w:r w:rsidR="004756C1" w:rsidRPr="002F50BD">
        <w:rPr>
          <w:rFonts w:ascii="Verdana" w:hAnsi="Verdana"/>
          <w:bCs/>
          <w:sz w:val="20"/>
          <w:szCs w:val="28"/>
          <w:lang w:val="pt-BR"/>
        </w:rPr>
        <w:t xml:space="preserve">s </w:t>
      </w:r>
      <w:r w:rsidR="00F902E1" w:rsidRPr="002F50BD">
        <w:rPr>
          <w:rFonts w:ascii="Verdana" w:hAnsi="Verdana"/>
          <w:bCs/>
          <w:sz w:val="20"/>
          <w:szCs w:val="28"/>
          <w:lang w:val="pt-BR"/>
        </w:rPr>
        <w:t>d</w:t>
      </w:r>
      <w:r w:rsidR="004756C1" w:rsidRPr="002F50BD">
        <w:rPr>
          <w:rFonts w:ascii="Verdana" w:hAnsi="Verdana"/>
          <w:bCs/>
          <w:sz w:val="20"/>
          <w:szCs w:val="28"/>
          <w:lang w:val="pt-BR"/>
        </w:rPr>
        <w:t>entre</w:t>
      </w:r>
      <w:r w:rsidR="0089298C" w:rsidRPr="002F50BD">
        <w:rPr>
          <w:rFonts w:ascii="Verdana" w:hAnsi="Verdana"/>
          <w:bCs/>
          <w:sz w:val="20"/>
          <w:szCs w:val="28"/>
          <w:lang w:val="pt-BR"/>
        </w:rPr>
        <w:t xml:space="preserve"> os quais</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teria</w:t>
      </w:r>
      <w:r w:rsidR="004756C1" w:rsidRPr="002F50BD">
        <w:rPr>
          <w:rFonts w:ascii="Verdana" w:hAnsi="Verdana"/>
          <w:bCs/>
          <w:sz w:val="20"/>
          <w:szCs w:val="28"/>
          <w:lang w:val="pt-BR"/>
        </w:rPr>
        <w:t xml:space="preserve"> </w:t>
      </w:r>
      <w:r w:rsidR="00AF713C" w:rsidRPr="002F50BD">
        <w:rPr>
          <w:rFonts w:ascii="Verdana" w:hAnsi="Verdana"/>
          <w:bCs/>
          <w:sz w:val="20"/>
          <w:szCs w:val="28"/>
          <w:lang w:val="pt-BR"/>
        </w:rPr>
        <w:t xml:space="preserve">de </w:t>
      </w:r>
      <w:r w:rsidR="004076AD" w:rsidRPr="002F50BD">
        <w:rPr>
          <w:rFonts w:ascii="Verdana" w:hAnsi="Verdana"/>
          <w:bCs/>
          <w:sz w:val="20"/>
          <w:szCs w:val="28"/>
          <w:lang w:val="pt-BR"/>
        </w:rPr>
        <w:t>indica</w:t>
      </w:r>
      <w:r w:rsidR="004756C1" w:rsidRPr="002F50BD">
        <w:rPr>
          <w:rFonts w:ascii="Verdana" w:hAnsi="Verdana"/>
          <w:bCs/>
          <w:sz w:val="20"/>
          <w:szCs w:val="28"/>
          <w:lang w:val="pt-BR"/>
        </w:rPr>
        <w:t xml:space="preserve">r, </w:t>
      </w:r>
      <w:r w:rsidR="0089298C" w:rsidRPr="002F50BD">
        <w:rPr>
          <w:rFonts w:ascii="Verdana" w:hAnsi="Verdana"/>
          <w:bCs/>
          <w:sz w:val="20"/>
          <w:szCs w:val="28"/>
          <w:lang w:val="pt-BR"/>
        </w:rPr>
        <w:t>ademais</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o </w:t>
      </w:r>
      <w:r w:rsidR="004756C1" w:rsidRPr="002F50BD">
        <w:rPr>
          <w:rFonts w:ascii="Verdana" w:hAnsi="Verdana"/>
          <w:bCs/>
          <w:sz w:val="20"/>
          <w:szCs w:val="28"/>
          <w:lang w:val="pt-BR"/>
        </w:rPr>
        <w:t>re</w:t>
      </w:r>
      <w:r w:rsidR="0089298C" w:rsidRPr="002F50BD">
        <w:rPr>
          <w:rFonts w:ascii="Verdana" w:hAnsi="Verdana"/>
          <w:bCs/>
          <w:sz w:val="20"/>
          <w:szCs w:val="28"/>
          <w:lang w:val="pt-BR"/>
        </w:rPr>
        <w:t>conhecimento ao direito ao projeto</w:t>
      </w:r>
      <w:r w:rsidR="004756C1" w:rsidRPr="002F50BD">
        <w:rPr>
          <w:rFonts w:ascii="Verdana" w:hAnsi="Verdana"/>
          <w:bCs/>
          <w:sz w:val="20"/>
          <w:szCs w:val="28"/>
          <w:lang w:val="pt-BR"/>
        </w:rPr>
        <w:t xml:space="preserve"> de vida,</w:t>
      </w:r>
      <w:r w:rsidR="0089298C" w:rsidRPr="002F50BD">
        <w:rPr>
          <w:rFonts w:ascii="Verdana" w:hAnsi="Verdana"/>
          <w:bCs/>
          <w:sz w:val="20"/>
          <w:szCs w:val="28"/>
          <w:lang w:val="pt-BR"/>
        </w:rPr>
        <w:t xml:space="preserve"> a ampl</w:t>
      </w:r>
      <w:r w:rsidR="00AF713C" w:rsidRPr="002F50BD">
        <w:rPr>
          <w:rFonts w:ascii="Verdana" w:hAnsi="Verdana"/>
          <w:bCs/>
          <w:sz w:val="20"/>
          <w:szCs w:val="28"/>
          <w:lang w:val="pt-BR"/>
        </w:rPr>
        <w:t>i</w:t>
      </w:r>
      <w:r w:rsidR="0089298C" w:rsidRPr="002F50BD">
        <w:rPr>
          <w:rFonts w:ascii="Verdana" w:hAnsi="Verdana"/>
          <w:bCs/>
          <w:sz w:val="20"/>
          <w:szCs w:val="28"/>
          <w:lang w:val="pt-BR"/>
        </w:rPr>
        <w:t>ação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do conceito</w:t>
      </w:r>
      <w:r w:rsidR="004756C1" w:rsidRPr="002F50BD">
        <w:rPr>
          <w:rFonts w:ascii="Verdana" w:hAnsi="Verdana"/>
          <w:bCs/>
          <w:sz w:val="20"/>
          <w:szCs w:val="28"/>
          <w:lang w:val="pt-BR"/>
        </w:rPr>
        <w:t xml:space="preserve"> de </w:t>
      </w:r>
      <w:r w:rsidR="0089298C" w:rsidRPr="002F50BD">
        <w:rPr>
          <w:rFonts w:ascii="Verdana" w:hAnsi="Verdana"/>
          <w:bCs/>
          <w:sz w:val="20"/>
          <w:szCs w:val="28"/>
          <w:lang w:val="pt-BR"/>
        </w:rPr>
        <w:t>vítima</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a </w:t>
      </w:r>
      <w:r w:rsidR="004756C1" w:rsidRPr="002F50BD">
        <w:rPr>
          <w:rFonts w:ascii="Verdana" w:hAnsi="Verdana"/>
          <w:bCs/>
          <w:sz w:val="20"/>
          <w:szCs w:val="28"/>
          <w:lang w:val="pt-BR"/>
        </w:rPr>
        <w:t>incorpora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desta ao processo</w:t>
      </w:r>
      <w:r w:rsidR="004756C1" w:rsidRPr="002F50BD">
        <w:rPr>
          <w:rFonts w:ascii="Verdana" w:hAnsi="Verdana"/>
          <w:bCs/>
          <w:sz w:val="20"/>
          <w:szCs w:val="28"/>
          <w:lang w:val="pt-BR"/>
        </w:rPr>
        <w:t xml:space="preserve"> contencioso</w:t>
      </w:r>
      <w:r w:rsidR="0089298C" w:rsidRPr="002F50BD">
        <w:rPr>
          <w:rFonts w:ascii="Verdana" w:hAnsi="Verdana"/>
          <w:bCs/>
          <w:sz w:val="20"/>
          <w:szCs w:val="28"/>
          <w:lang w:val="pt-BR"/>
        </w:rPr>
        <w:t xml:space="preserve"> através das </w:t>
      </w:r>
      <w:r w:rsidR="004756C1" w:rsidRPr="002F50BD">
        <w:rPr>
          <w:rFonts w:ascii="Verdana" w:hAnsi="Verdana"/>
          <w:bCs/>
          <w:sz w:val="20"/>
          <w:szCs w:val="28"/>
          <w:lang w:val="pt-BR"/>
        </w:rPr>
        <w:t xml:space="preserve">reformas </w:t>
      </w:r>
      <w:r w:rsidR="0089298C" w:rsidRPr="002F50BD">
        <w:rPr>
          <w:rFonts w:ascii="Verdana" w:hAnsi="Verdana"/>
          <w:bCs/>
          <w:sz w:val="20"/>
          <w:szCs w:val="28"/>
          <w:lang w:val="pt-BR"/>
        </w:rPr>
        <w:t>regulamentares</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o direito à assistência </w:t>
      </w:r>
      <w:r w:rsidR="004756C1" w:rsidRPr="002F50BD">
        <w:rPr>
          <w:rFonts w:ascii="Verdana" w:hAnsi="Verdana"/>
          <w:bCs/>
          <w:sz w:val="20"/>
          <w:szCs w:val="28"/>
          <w:lang w:val="pt-BR"/>
        </w:rPr>
        <w:t>consular</w:t>
      </w:r>
      <w:r w:rsidR="0089298C" w:rsidRPr="002F50BD">
        <w:rPr>
          <w:rFonts w:ascii="Verdana" w:hAnsi="Verdana"/>
          <w:bCs/>
          <w:sz w:val="20"/>
          <w:szCs w:val="28"/>
          <w:lang w:val="pt-BR"/>
        </w:rPr>
        <w:t xml:space="preserve"> da pessoa</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detid</w:t>
      </w:r>
      <w:r w:rsidR="004756C1" w:rsidRPr="002F50BD">
        <w:rPr>
          <w:rFonts w:ascii="Verdana" w:hAnsi="Verdana"/>
          <w:bCs/>
          <w:sz w:val="20"/>
          <w:szCs w:val="28"/>
          <w:lang w:val="pt-BR"/>
        </w:rPr>
        <w:t>a</w:t>
      </w:r>
      <w:r w:rsidR="00754117" w:rsidRPr="002F50BD">
        <w:rPr>
          <w:rFonts w:ascii="Verdana" w:hAnsi="Verdana"/>
          <w:bCs/>
          <w:sz w:val="20"/>
          <w:szCs w:val="28"/>
          <w:lang w:val="pt-BR"/>
        </w:rPr>
        <w:t xml:space="preserve"> pela</w:t>
      </w:r>
      <w:r w:rsidR="004756C1" w:rsidRPr="002F50BD">
        <w:rPr>
          <w:rFonts w:ascii="Verdana" w:hAnsi="Verdana"/>
          <w:bCs/>
          <w:sz w:val="20"/>
          <w:szCs w:val="28"/>
          <w:lang w:val="pt-BR"/>
        </w:rPr>
        <w:t xml:space="preserve"> pol</w:t>
      </w:r>
      <w:r w:rsidR="00754117" w:rsidRPr="002F50BD">
        <w:rPr>
          <w:rFonts w:ascii="Verdana" w:hAnsi="Verdana"/>
          <w:bCs/>
          <w:sz w:val="20"/>
          <w:szCs w:val="28"/>
          <w:lang w:val="pt-BR"/>
        </w:rPr>
        <w:t>í</w:t>
      </w:r>
      <w:r w:rsidR="004756C1" w:rsidRPr="002F50BD">
        <w:rPr>
          <w:rFonts w:ascii="Verdana" w:hAnsi="Verdana"/>
          <w:bCs/>
          <w:sz w:val="20"/>
          <w:szCs w:val="28"/>
          <w:lang w:val="pt-BR"/>
        </w:rPr>
        <w:t>cia</w:t>
      </w:r>
      <w:r w:rsidR="00754117" w:rsidRPr="002F50BD">
        <w:rPr>
          <w:rFonts w:ascii="Verdana" w:hAnsi="Verdana"/>
          <w:bCs/>
          <w:sz w:val="20"/>
          <w:szCs w:val="28"/>
          <w:lang w:val="pt-BR"/>
        </w:rPr>
        <w:t xml:space="preserve"> </w:t>
      </w:r>
      <w:r w:rsidR="004756C1" w:rsidRPr="002F50BD">
        <w:rPr>
          <w:rFonts w:ascii="Verdana" w:hAnsi="Verdana"/>
          <w:bCs/>
          <w:sz w:val="20"/>
          <w:szCs w:val="28"/>
          <w:lang w:val="pt-BR"/>
        </w:rPr>
        <w:t>o</w:t>
      </w:r>
      <w:r w:rsidR="00AF713C" w:rsidRPr="002F50BD">
        <w:rPr>
          <w:rFonts w:ascii="Verdana" w:hAnsi="Verdana"/>
          <w:bCs/>
          <w:sz w:val="20"/>
          <w:szCs w:val="28"/>
          <w:lang w:val="pt-BR"/>
        </w:rPr>
        <w:t>u</w:t>
      </w:r>
      <w:r w:rsidR="004756C1" w:rsidRPr="002F50BD">
        <w:rPr>
          <w:rFonts w:ascii="Verdana" w:hAnsi="Verdana"/>
          <w:bCs/>
          <w:sz w:val="20"/>
          <w:szCs w:val="28"/>
          <w:lang w:val="pt-BR"/>
        </w:rPr>
        <w:t xml:space="preserve"> judicialmente, como parte</w:t>
      </w:r>
      <w:r w:rsidR="0089298C" w:rsidRPr="002F50BD">
        <w:rPr>
          <w:rFonts w:ascii="Verdana" w:hAnsi="Verdana"/>
          <w:bCs/>
          <w:sz w:val="20"/>
          <w:szCs w:val="28"/>
          <w:lang w:val="pt-BR"/>
        </w:rPr>
        <w:t xml:space="preserve"> da garantia do devido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processo</w:t>
      </w:r>
      <w:r w:rsidR="004756C1" w:rsidRPr="002F50BD">
        <w:rPr>
          <w:rFonts w:ascii="Verdana" w:hAnsi="Verdana"/>
          <w:bCs/>
          <w:sz w:val="20"/>
          <w:szCs w:val="28"/>
          <w:lang w:val="pt-BR"/>
        </w:rPr>
        <w:t>,</w:t>
      </w:r>
      <w:r w:rsidR="0089298C" w:rsidRPr="002F50BD">
        <w:rPr>
          <w:rFonts w:ascii="Verdana" w:hAnsi="Verdana"/>
          <w:bCs/>
          <w:sz w:val="20"/>
          <w:szCs w:val="28"/>
          <w:lang w:val="pt-BR"/>
        </w:rPr>
        <w:t xml:space="preserve"> o </w:t>
      </w:r>
      <w:r w:rsidR="004756C1" w:rsidRPr="002F50BD">
        <w:rPr>
          <w:rFonts w:ascii="Verdana" w:hAnsi="Verdana"/>
          <w:bCs/>
          <w:sz w:val="20"/>
          <w:szCs w:val="28"/>
          <w:lang w:val="pt-BR"/>
        </w:rPr>
        <w:t>re</w:t>
      </w:r>
      <w:r w:rsidR="0089298C" w:rsidRPr="002F50BD">
        <w:rPr>
          <w:rFonts w:ascii="Verdana" w:hAnsi="Verdana"/>
          <w:bCs/>
          <w:sz w:val="20"/>
          <w:szCs w:val="28"/>
          <w:lang w:val="pt-BR"/>
        </w:rPr>
        <w:t>conhecimento dos direito</w:t>
      </w:r>
      <w:r w:rsidR="004756C1" w:rsidRPr="002F50BD">
        <w:rPr>
          <w:rFonts w:ascii="Verdana" w:hAnsi="Verdana"/>
          <w:bCs/>
          <w:sz w:val="20"/>
          <w:szCs w:val="28"/>
          <w:lang w:val="pt-BR"/>
        </w:rPr>
        <w:t xml:space="preserve">s </w:t>
      </w:r>
      <w:r w:rsidR="00AF713C" w:rsidRPr="002F50BD">
        <w:rPr>
          <w:rFonts w:ascii="Verdana" w:hAnsi="Verdana"/>
          <w:bCs/>
          <w:sz w:val="20"/>
          <w:szCs w:val="28"/>
          <w:lang w:val="pt-BR"/>
        </w:rPr>
        <w:t xml:space="preserve">trabalhistas </w:t>
      </w:r>
      <w:r w:rsidR="0089298C" w:rsidRPr="002F50BD">
        <w:rPr>
          <w:rFonts w:ascii="Verdana" w:hAnsi="Verdana"/>
          <w:bCs/>
          <w:sz w:val="20"/>
          <w:szCs w:val="28"/>
          <w:lang w:val="pt-BR"/>
        </w:rPr>
        <w:t xml:space="preserve">dos </w:t>
      </w:r>
      <w:r w:rsidR="004756C1" w:rsidRPr="002F50BD">
        <w:rPr>
          <w:rFonts w:ascii="Verdana" w:hAnsi="Verdana"/>
          <w:bCs/>
          <w:sz w:val="20"/>
          <w:szCs w:val="28"/>
          <w:lang w:val="pt-BR"/>
        </w:rPr>
        <w:t>migrantes indocumentados.</w:t>
      </w:r>
    </w:p>
    <w:p w:rsidR="004756C1" w:rsidRPr="002F50BD" w:rsidRDefault="004756C1">
      <w:pPr>
        <w:ind w:right="-227"/>
        <w:jc w:val="both"/>
        <w:rPr>
          <w:rFonts w:ascii="Verdana" w:hAnsi="Verdana"/>
          <w:b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sz w:val="20"/>
          <w:szCs w:val="28"/>
          <w:lang w:val="pt-BR"/>
        </w:rPr>
        <w:t>7</w:t>
      </w:r>
      <w:r w:rsidR="00AF713C" w:rsidRPr="002F50BD">
        <w:rPr>
          <w:rFonts w:ascii="Verdana" w:hAnsi="Verdana"/>
          <w:bCs/>
          <w:sz w:val="20"/>
          <w:szCs w:val="28"/>
          <w:lang w:val="pt-BR"/>
        </w:rPr>
        <w:t>.</w:t>
      </w:r>
      <w:r w:rsidR="00AF713C" w:rsidRPr="002F50BD">
        <w:rPr>
          <w:rFonts w:ascii="Verdana" w:hAnsi="Verdana"/>
          <w:bCs/>
          <w:sz w:val="20"/>
          <w:szCs w:val="28"/>
          <w:lang w:val="pt-BR"/>
        </w:rPr>
        <w:tab/>
        <w:t>Portanto</w:t>
      </w:r>
      <w:r w:rsidR="00447C3F" w:rsidRPr="002F50BD">
        <w:rPr>
          <w:rFonts w:ascii="Verdana" w:hAnsi="Verdana"/>
          <w:bCs/>
          <w:sz w:val="20"/>
          <w:szCs w:val="28"/>
          <w:lang w:val="pt-BR"/>
        </w:rPr>
        <w:t>,</w:t>
      </w:r>
      <w:r w:rsidR="00AF713C" w:rsidRPr="002F50BD">
        <w:rPr>
          <w:rFonts w:ascii="Verdana" w:hAnsi="Verdana"/>
          <w:bCs/>
          <w:sz w:val="20"/>
          <w:szCs w:val="28"/>
          <w:lang w:val="pt-BR"/>
        </w:rPr>
        <w:t xml:space="preserve"> meu</w:t>
      </w:r>
      <w:r w:rsidR="004756C1" w:rsidRPr="002F50BD">
        <w:rPr>
          <w:rFonts w:ascii="Verdana" w:hAnsi="Verdana"/>
          <w:bCs/>
          <w:sz w:val="20"/>
          <w:szCs w:val="28"/>
          <w:lang w:val="pt-BR"/>
        </w:rPr>
        <w:t xml:space="preserve"> voto </w:t>
      </w:r>
      <w:r w:rsidR="00447C3F" w:rsidRPr="002F50BD">
        <w:rPr>
          <w:rFonts w:ascii="Verdana" w:hAnsi="Verdana"/>
          <w:bCs/>
          <w:sz w:val="20"/>
          <w:szCs w:val="28"/>
          <w:lang w:val="pt-BR"/>
        </w:rPr>
        <w:t xml:space="preserve">divergente </w:t>
      </w:r>
      <w:r w:rsidR="00AB454A" w:rsidRPr="002F50BD">
        <w:rPr>
          <w:rFonts w:ascii="Verdana" w:hAnsi="Verdana"/>
          <w:bCs/>
          <w:sz w:val="20"/>
          <w:szCs w:val="28"/>
          <w:lang w:val="pt-BR"/>
        </w:rPr>
        <w:t>não é</w:t>
      </w:r>
      <w:r w:rsidR="0089298C" w:rsidRPr="002F50BD">
        <w:rPr>
          <w:rFonts w:ascii="Verdana" w:hAnsi="Verdana"/>
          <w:bCs/>
          <w:sz w:val="20"/>
          <w:szCs w:val="28"/>
          <w:lang w:val="pt-BR"/>
        </w:rPr>
        <w:t xml:space="preserve"> </w:t>
      </w:r>
      <w:r w:rsidR="004756C1" w:rsidRPr="002F50BD">
        <w:rPr>
          <w:rFonts w:ascii="Verdana" w:hAnsi="Verdana"/>
          <w:bCs/>
          <w:sz w:val="20"/>
          <w:szCs w:val="28"/>
          <w:lang w:val="pt-BR"/>
        </w:rPr>
        <w:t>por considerar que</w:t>
      </w:r>
      <w:r w:rsidR="0089298C" w:rsidRPr="002F50BD">
        <w:rPr>
          <w:rFonts w:ascii="Verdana" w:hAnsi="Verdana"/>
          <w:bCs/>
          <w:sz w:val="20"/>
          <w:szCs w:val="28"/>
          <w:lang w:val="pt-BR"/>
        </w:rPr>
        <w:t xml:space="preserve"> a </w:t>
      </w:r>
      <w:r w:rsidR="004756C1" w:rsidRPr="002F50BD">
        <w:rPr>
          <w:rFonts w:ascii="Verdana" w:hAnsi="Verdana"/>
          <w:bCs/>
          <w:sz w:val="20"/>
          <w:szCs w:val="28"/>
          <w:lang w:val="pt-BR"/>
        </w:rPr>
        <w:t>Corte,</w:t>
      </w:r>
      <w:r w:rsidR="0089298C" w:rsidRPr="002F50BD">
        <w:rPr>
          <w:rFonts w:ascii="Verdana" w:hAnsi="Verdana"/>
          <w:bCs/>
          <w:sz w:val="20"/>
          <w:szCs w:val="28"/>
          <w:lang w:val="pt-BR"/>
        </w:rPr>
        <w:t xml:space="preserve"> no ponto </w:t>
      </w:r>
      <w:r w:rsidR="004756C1" w:rsidRPr="002F50BD">
        <w:rPr>
          <w:rFonts w:ascii="Verdana" w:hAnsi="Verdana"/>
          <w:bCs/>
          <w:sz w:val="20"/>
          <w:szCs w:val="28"/>
          <w:lang w:val="pt-BR"/>
        </w:rPr>
        <w:t xml:space="preserve">resolutivo </w:t>
      </w:r>
      <w:r w:rsidRPr="002F50BD">
        <w:rPr>
          <w:rFonts w:ascii="Verdana" w:hAnsi="Verdana"/>
          <w:bCs/>
          <w:sz w:val="20"/>
          <w:szCs w:val="28"/>
          <w:lang w:val="pt-BR"/>
        </w:rPr>
        <w:t>4</w:t>
      </w:r>
      <w:r w:rsidR="0089298C" w:rsidRPr="002F50BD">
        <w:rPr>
          <w:rFonts w:ascii="Verdana" w:hAnsi="Verdana"/>
          <w:bCs/>
          <w:sz w:val="20"/>
          <w:szCs w:val="28"/>
          <w:lang w:val="pt-BR"/>
        </w:rPr>
        <w:t xml:space="preserve"> da sentença</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tenha</w:t>
      </w:r>
      <w:r w:rsidR="00AF713C" w:rsidRPr="002F50BD">
        <w:rPr>
          <w:rFonts w:ascii="Verdana" w:hAnsi="Verdana"/>
          <w:bCs/>
          <w:sz w:val="20"/>
          <w:szCs w:val="28"/>
          <w:lang w:val="pt-BR"/>
        </w:rPr>
        <w:t xml:space="preserve"> se</w:t>
      </w:r>
      <w:r w:rsidR="0089298C" w:rsidRPr="002F50BD">
        <w:rPr>
          <w:rFonts w:ascii="Verdana" w:hAnsi="Verdana"/>
          <w:bCs/>
          <w:sz w:val="20"/>
          <w:szCs w:val="28"/>
          <w:lang w:val="pt-BR"/>
        </w:rPr>
        <w:t xml:space="preserve"> </w:t>
      </w:r>
      <w:r w:rsidR="004756C1" w:rsidRPr="002F50BD">
        <w:rPr>
          <w:rFonts w:ascii="Verdana" w:hAnsi="Verdana"/>
          <w:bCs/>
          <w:sz w:val="20"/>
          <w:szCs w:val="28"/>
          <w:lang w:val="pt-BR"/>
        </w:rPr>
        <w:t>separado</w:t>
      </w:r>
      <w:r w:rsidR="0089298C" w:rsidRPr="002F50BD">
        <w:rPr>
          <w:rFonts w:ascii="Verdana" w:hAnsi="Verdana"/>
          <w:bCs/>
          <w:sz w:val="20"/>
          <w:szCs w:val="28"/>
          <w:lang w:val="pt-BR"/>
        </w:rPr>
        <w:t xml:space="preserve"> da </w:t>
      </w:r>
      <w:r w:rsidR="004756C1" w:rsidRPr="002F50BD">
        <w:rPr>
          <w:rFonts w:ascii="Verdana" w:hAnsi="Verdana"/>
          <w:bCs/>
          <w:sz w:val="20"/>
          <w:szCs w:val="28"/>
          <w:lang w:val="pt-BR"/>
        </w:rPr>
        <w:t>interpreta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ampla</w:t>
      </w:r>
      <w:r w:rsidR="004756C1" w:rsidRPr="002F50BD">
        <w:rPr>
          <w:rFonts w:ascii="Verdana" w:hAnsi="Verdana"/>
          <w:bCs/>
          <w:sz w:val="20"/>
          <w:szCs w:val="28"/>
          <w:lang w:val="pt-BR"/>
        </w:rPr>
        <w:t xml:space="preserve"> sobre</w:t>
      </w:r>
      <w:r w:rsidR="0089298C" w:rsidRPr="002F50BD">
        <w:rPr>
          <w:rFonts w:ascii="Verdana" w:hAnsi="Verdana"/>
          <w:bCs/>
          <w:sz w:val="20"/>
          <w:szCs w:val="28"/>
          <w:lang w:val="pt-BR"/>
        </w:rPr>
        <w:t xml:space="preserve"> o direito à </w:t>
      </w:r>
      <w:r w:rsidR="004756C1" w:rsidRPr="002F50BD">
        <w:rPr>
          <w:rFonts w:ascii="Verdana" w:hAnsi="Verdana"/>
          <w:bCs/>
          <w:sz w:val="20"/>
          <w:szCs w:val="28"/>
          <w:lang w:val="pt-BR"/>
        </w:rPr>
        <w:t>vida,</w:t>
      </w:r>
      <w:r w:rsidR="0089298C" w:rsidRPr="002F50BD">
        <w:rPr>
          <w:rFonts w:ascii="Verdana" w:hAnsi="Verdana"/>
          <w:bCs/>
          <w:sz w:val="20"/>
          <w:szCs w:val="28"/>
          <w:lang w:val="pt-BR"/>
        </w:rPr>
        <w:t xml:space="preserve"> neste </w:t>
      </w:r>
      <w:r w:rsidR="004756C1" w:rsidRPr="002F50BD">
        <w:rPr>
          <w:rFonts w:ascii="Verdana" w:hAnsi="Verdana"/>
          <w:bCs/>
          <w:sz w:val="20"/>
          <w:szCs w:val="28"/>
          <w:lang w:val="pt-BR"/>
        </w:rPr>
        <w:t>caso</w:t>
      </w:r>
      <w:r w:rsidR="0089298C" w:rsidRPr="002F50BD">
        <w:rPr>
          <w:rFonts w:ascii="Verdana" w:hAnsi="Verdana"/>
          <w:bCs/>
          <w:sz w:val="20"/>
          <w:szCs w:val="28"/>
          <w:lang w:val="pt-BR"/>
        </w:rPr>
        <w:t xml:space="preserve"> em </w:t>
      </w:r>
      <w:r w:rsidR="00AF713C" w:rsidRPr="002F50BD">
        <w:rPr>
          <w:rFonts w:ascii="Verdana" w:hAnsi="Verdana"/>
          <w:bCs/>
          <w:sz w:val="20"/>
          <w:szCs w:val="28"/>
          <w:lang w:val="pt-BR"/>
        </w:rPr>
        <w:t xml:space="preserve">detrimento </w:t>
      </w:r>
      <w:r w:rsidR="004756C1" w:rsidRPr="002F50BD">
        <w:rPr>
          <w:rFonts w:ascii="Verdana" w:hAnsi="Verdana"/>
          <w:bCs/>
          <w:sz w:val="20"/>
          <w:szCs w:val="28"/>
          <w:lang w:val="pt-BR"/>
        </w:rPr>
        <w:t xml:space="preserve">de </w:t>
      </w:r>
      <w:r w:rsidR="00CF451D">
        <w:rPr>
          <w:rFonts w:ascii="Verdana" w:hAnsi="Verdana"/>
          <w:bCs/>
          <w:sz w:val="20"/>
          <w:szCs w:val="28"/>
          <w:lang w:val="pt-BR"/>
        </w:rPr>
        <w:t>16</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membro</w:t>
      </w:r>
      <w:r w:rsidR="004756C1" w:rsidRPr="002F50BD">
        <w:rPr>
          <w:rFonts w:ascii="Verdana" w:hAnsi="Verdana"/>
          <w:bCs/>
          <w:sz w:val="20"/>
          <w:szCs w:val="28"/>
          <w:lang w:val="pt-BR"/>
        </w:rPr>
        <w:t>s</w:t>
      </w:r>
      <w:r w:rsidR="0089298C" w:rsidRPr="002F50BD">
        <w:rPr>
          <w:rFonts w:ascii="Verdana" w:hAnsi="Verdana"/>
          <w:bCs/>
          <w:sz w:val="20"/>
          <w:szCs w:val="28"/>
          <w:lang w:val="pt-BR"/>
        </w:rPr>
        <w:t xml:space="preserve"> da Comunidade </w:t>
      </w:r>
      <w:r w:rsidR="004756C1" w:rsidRPr="002F50BD">
        <w:rPr>
          <w:rFonts w:ascii="Verdana" w:hAnsi="Verdana"/>
          <w:bCs/>
          <w:sz w:val="20"/>
          <w:szCs w:val="28"/>
          <w:lang w:val="pt-BR"/>
        </w:rPr>
        <w:t>indígena Yakye Axa,</w:t>
      </w:r>
      <w:r w:rsidR="0089298C" w:rsidRPr="002F50BD">
        <w:rPr>
          <w:rFonts w:ascii="Verdana" w:hAnsi="Verdana"/>
          <w:bCs/>
          <w:sz w:val="20"/>
          <w:szCs w:val="28"/>
          <w:lang w:val="pt-BR"/>
        </w:rPr>
        <w:t xml:space="preserve"> mas </w:t>
      </w:r>
      <w:r w:rsidR="00982FA1" w:rsidRPr="002F50BD">
        <w:rPr>
          <w:rFonts w:ascii="Verdana" w:hAnsi="Verdana"/>
          <w:bCs/>
          <w:sz w:val="20"/>
          <w:szCs w:val="28"/>
          <w:lang w:val="pt-BR"/>
        </w:rPr>
        <w:t xml:space="preserve">sim porque </w:t>
      </w:r>
      <w:r w:rsidR="004756C1" w:rsidRPr="002F50BD">
        <w:rPr>
          <w:rFonts w:ascii="Verdana" w:hAnsi="Verdana"/>
          <w:bCs/>
          <w:sz w:val="20"/>
          <w:szCs w:val="28"/>
          <w:lang w:val="pt-BR"/>
        </w:rPr>
        <w:t>n</w:t>
      </w:r>
      <w:r w:rsidR="00AF713C" w:rsidRPr="002F50BD">
        <w:rPr>
          <w:rFonts w:ascii="Verdana" w:hAnsi="Verdana"/>
          <w:bCs/>
          <w:sz w:val="20"/>
          <w:szCs w:val="28"/>
          <w:lang w:val="pt-BR"/>
        </w:rPr>
        <w:t>ã</w:t>
      </w:r>
      <w:r w:rsidR="004756C1" w:rsidRPr="002F50BD">
        <w:rPr>
          <w:rFonts w:ascii="Verdana" w:hAnsi="Verdana"/>
          <w:bCs/>
          <w:sz w:val="20"/>
          <w:szCs w:val="28"/>
          <w:lang w:val="pt-BR"/>
        </w:rPr>
        <w:t xml:space="preserve">o </w:t>
      </w:r>
      <w:r w:rsidR="0089298C" w:rsidRPr="002F50BD">
        <w:rPr>
          <w:rFonts w:ascii="Verdana" w:hAnsi="Verdana"/>
          <w:bCs/>
          <w:sz w:val="20"/>
          <w:szCs w:val="28"/>
          <w:lang w:val="pt-BR"/>
        </w:rPr>
        <w:t xml:space="preserve">fez uma </w:t>
      </w:r>
      <w:r w:rsidR="004C7A2A" w:rsidRPr="002F50BD">
        <w:rPr>
          <w:rFonts w:ascii="Verdana" w:hAnsi="Verdana"/>
          <w:bCs/>
          <w:sz w:val="20"/>
          <w:szCs w:val="28"/>
          <w:lang w:val="pt-BR"/>
        </w:rPr>
        <w:t>aprecia</w:t>
      </w:r>
      <w:r w:rsidR="0089298C" w:rsidRPr="002F50BD">
        <w:rPr>
          <w:rFonts w:ascii="Verdana" w:hAnsi="Verdana"/>
          <w:bCs/>
          <w:sz w:val="20"/>
          <w:szCs w:val="28"/>
          <w:lang w:val="pt-BR"/>
        </w:rPr>
        <w:t>ção da prova</w:t>
      </w:r>
      <w:r w:rsidR="004756C1" w:rsidRPr="002F50BD">
        <w:rPr>
          <w:rFonts w:ascii="Verdana" w:hAnsi="Verdana"/>
          <w:bCs/>
          <w:sz w:val="20"/>
          <w:szCs w:val="28"/>
          <w:lang w:val="pt-BR"/>
        </w:rPr>
        <w:t xml:space="preserve"> </w:t>
      </w:r>
      <w:r w:rsidR="0089298C" w:rsidRPr="002F50BD">
        <w:rPr>
          <w:rFonts w:ascii="Verdana" w:hAnsi="Verdana"/>
          <w:bCs/>
          <w:sz w:val="20"/>
          <w:szCs w:val="28"/>
          <w:lang w:val="pt-BR"/>
        </w:rPr>
        <w:t>consequente com os critério</w:t>
      </w:r>
      <w:r w:rsidR="004756C1" w:rsidRPr="002F50BD">
        <w:rPr>
          <w:rFonts w:ascii="Verdana" w:hAnsi="Verdana"/>
          <w:bCs/>
          <w:sz w:val="20"/>
          <w:szCs w:val="28"/>
          <w:lang w:val="pt-BR"/>
        </w:rPr>
        <w:t>s que, sobre</w:t>
      </w:r>
      <w:r w:rsidR="0089298C" w:rsidRPr="002F50BD">
        <w:rPr>
          <w:rFonts w:ascii="Verdana" w:hAnsi="Verdana"/>
          <w:bCs/>
          <w:sz w:val="20"/>
          <w:szCs w:val="28"/>
          <w:lang w:val="pt-BR"/>
        </w:rPr>
        <w:t xml:space="preserve"> a </w:t>
      </w:r>
      <w:r w:rsidR="00754117" w:rsidRPr="002F50BD">
        <w:rPr>
          <w:rFonts w:ascii="Verdana" w:hAnsi="Verdana"/>
          <w:bCs/>
          <w:sz w:val="20"/>
          <w:szCs w:val="28"/>
          <w:lang w:val="pt-BR"/>
        </w:rPr>
        <w:t>maté</w:t>
      </w:r>
      <w:r w:rsidR="004756C1" w:rsidRPr="002F50BD">
        <w:rPr>
          <w:rFonts w:ascii="Verdana" w:hAnsi="Verdana"/>
          <w:bCs/>
          <w:sz w:val="20"/>
          <w:szCs w:val="28"/>
          <w:lang w:val="pt-BR"/>
        </w:rPr>
        <w:t>ria,</w:t>
      </w:r>
      <w:r w:rsidR="0089298C" w:rsidRPr="002F50BD">
        <w:rPr>
          <w:rFonts w:ascii="Verdana" w:hAnsi="Verdana"/>
          <w:bCs/>
          <w:sz w:val="20"/>
          <w:szCs w:val="28"/>
          <w:lang w:val="pt-BR"/>
        </w:rPr>
        <w:t xml:space="preserve"> tem </w:t>
      </w:r>
      <w:r w:rsidR="007D2B4E" w:rsidRPr="002F50BD">
        <w:rPr>
          <w:rFonts w:ascii="Verdana" w:hAnsi="Verdana"/>
          <w:bCs/>
          <w:sz w:val="20"/>
          <w:szCs w:val="28"/>
          <w:lang w:val="pt-BR"/>
        </w:rPr>
        <w:t xml:space="preserve">sustentado </w:t>
      </w:r>
      <w:r w:rsidR="004756C1" w:rsidRPr="002F50BD">
        <w:rPr>
          <w:rFonts w:ascii="Verdana" w:hAnsi="Verdana"/>
          <w:bCs/>
          <w:sz w:val="20"/>
          <w:szCs w:val="28"/>
          <w:lang w:val="pt-BR"/>
        </w:rPr>
        <w:t>este Tribunal.</w:t>
      </w:r>
    </w:p>
    <w:p w:rsidR="004756C1" w:rsidRPr="002F50BD" w:rsidRDefault="004756C1">
      <w:pPr>
        <w:ind w:right="-227"/>
        <w:jc w:val="both"/>
        <w:rPr>
          <w:rFonts w:ascii="Verdana" w:hAnsi="Verdana"/>
          <w:bCs/>
          <w:sz w:val="20"/>
          <w:szCs w:val="28"/>
          <w:lang w:val="pt-BR"/>
        </w:rPr>
      </w:pPr>
    </w:p>
    <w:p w:rsidR="004756C1" w:rsidRPr="002F50BD" w:rsidRDefault="00063B47">
      <w:pPr>
        <w:ind w:right="-227"/>
        <w:jc w:val="both"/>
        <w:rPr>
          <w:rFonts w:ascii="Verdana" w:hAnsi="Verdana"/>
          <w:bCs/>
          <w:sz w:val="20"/>
          <w:szCs w:val="28"/>
          <w:lang w:val="pt-BR"/>
        </w:rPr>
      </w:pPr>
      <w:r w:rsidRPr="002F50BD">
        <w:rPr>
          <w:rFonts w:ascii="Verdana" w:hAnsi="Verdana"/>
          <w:bCs/>
          <w:sz w:val="20"/>
          <w:szCs w:val="28"/>
          <w:lang w:val="pt-BR"/>
        </w:rPr>
        <w:t>8</w:t>
      </w:r>
      <w:r w:rsidR="004756C1" w:rsidRPr="002F50BD">
        <w:rPr>
          <w:rFonts w:ascii="Verdana" w:hAnsi="Verdana"/>
          <w:bCs/>
          <w:sz w:val="20"/>
          <w:szCs w:val="28"/>
          <w:lang w:val="pt-BR"/>
        </w:rPr>
        <w:t>.</w:t>
      </w:r>
      <w:r w:rsidR="004756C1" w:rsidRPr="002F50BD">
        <w:rPr>
          <w:rFonts w:ascii="Verdana" w:hAnsi="Verdana"/>
          <w:bCs/>
          <w:sz w:val="20"/>
          <w:szCs w:val="28"/>
          <w:lang w:val="pt-BR"/>
        </w:rPr>
        <w:tab/>
        <w:t>A</w:t>
      </w:r>
      <w:r w:rsidR="00AF713C" w:rsidRPr="002F50BD">
        <w:rPr>
          <w:rFonts w:ascii="Verdana" w:hAnsi="Verdana"/>
          <w:bCs/>
          <w:sz w:val="20"/>
          <w:szCs w:val="28"/>
          <w:lang w:val="pt-BR"/>
        </w:rPr>
        <w:t>o</w:t>
      </w:r>
      <w:r w:rsidR="004756C1" w:rsidRPr="002F50BD">
        <w:rPr>
          <w:rFonts w:ascii="Verdana" w:hAnsi="Verdana"/>
          <w:bCs/>
          <w:sz w:val="20"/>
          <w:szCs w:val="28"/>
          <w:lang w:val="pt-BR"/>
        </w:rPr>
        <w:t xml:space="preserve"> examinar</w:t>
      </w:r>
      <w:r w:rsidR="0089298C" w:rsidRPr="002F50BD">
        <w:rPr>
          <w:rFonts w:ascii="Verdana" w:hAnsi="Verdana"/>
          <w:bCs/>
          <w:sz w:val="20"/>
          <w:szCs w:val="28"/>
          <w:lang w:val="pt-BR"/>
        </w:rPr>
        <w:t xml:space="preserve"> as prova</w:t>
      </w:r>
      <w:r w:rsidR="004756C1" w:rsidRPr="002F50BD">
        <w:rPr>
          <w:rFonts w:ascii="Verdana" w:hAnsi="Verdana"/>
          <w:bCs/>
          <w:sz w:val="20"/>
          <w:szCs w:val="28"/>
          <w:lang w:val="pt-BR"/>
        </w:rPr>
        <w:t xml:space="preserve">s </w:t>
      </w:r>
      <w:r w:rsidR="0089298C" w:rsidRPr="002F50BD">
        <w:rPr>
          <w:rFonts w:ascii="Verdana" w:hAnsi="Verdana"/>
          <w:bCs/>
          <w:sz w:val="20"/>
          <w:szCs w:val="28"/>
          <w:lang w:val="pt-BR"/>
        </w:rPr>
        <w:t>recebida</w:t>
      </w:r>
      <w:r w:rsidR="004756C1" w:rsidRPr="002F50BD">
        <w:rPr>
          <w:rFonts w:ascii="Verdana" w:hAnsi="Verdana"/>
          <w:bCs/>
          <w:sz w:val="20"/>
          <w:szCs w:val="28"/>
          <w:lang w:val="pt-BR"/>
        </w:rPr>
        <w:t>s</w:t>
      </w:r>
      <w:r w:rsidR="0089298C" w:rsidRPr="002F50BD">
        <w:rPr>
          <w:rFonts w:ascii="Verdana" w:hAnsi="Verdana"/>
          <w:bCs/>
          <w:sz w:val="20"/>
          <w:szCs w:val="28"/>
          <w:lang w:val="pt-BR"/>
        </w:rPr>
        <w:t xml:space="preserve"> na audiência</w:t>
      </w:r>
      <w:r w:rsidR="004756C1" w:rsidRPr="002F50BD">
        <w:rPr>
          <w:rFonts w:ascii="Verdana" w:hAnsi="Verdana"/>
          <w:bCs/>
          <w:sz w:val="20"/>
          <w:szCs w:val="28"/>
          <w:lang w:val="pt-BR"/>
        </w:rPr>
        <w:t xml:space="preserve"> respectiva,</w:t>
      </w:r>
      <w:r w:rsidR="0089298C" w:rsidRPr="002F50BD">
        <w:rPr>
          <w:rFonts w:ascii="Verdana" w:hAnsi="Verdana"/>
          <w:bCs/>
          <w:sz w:val="20"/>
          <w:szCs w:val="28"/>
          <w:lang w:val="pt-BR"/>
        </w:rPr>
        <w:t xml:space="preserve"> a </w:t>
      </w:r>
      <w:r w:rsidR="004756C1" w:rsidRPr="002F50BD">
        <w:rPr>
          <w:rFonts w:ascii="Verdana" w:hAnsi="Verdana"/>
          <w:bCs/>
          <w:sz w:val="20"/>
          <w:szCs w:val="28"/>
          <w:lang w:val="pt-BR"/>
        </w:rPr>
        <w:t xml:space="preserve">Corte </w:t>
      </w:r>
      <w:r w:rsidR="00AF713C" w:rsidRPr="002F50BD">
        <w:rPr>
          <w:rFonts w:ascii="Verdana" w:hAnsi="Verdana"/>
          <w:bCs/>
          <w:sz w:val="20"/>
          <w:szCs w:val="28"/>
          <w:lang w:val="pt-BR"/>
        </w:rPr>
        <w:t xml:space="preserve">recebeu </w:t>
      </w:r>
      <w:r w:rsidR="0089298C" w:rsidRPr="002F50BD">
        <w:rPr>
          <w:rFonts w:ascii="Verdana" w:hAnsi="Verdana"/>
          <w:bCs/>
          <w:sz w:val="20"/>
          <w:szCs w:val="28"/>
          <w:lang w:val="pt-BR"/>
        </w:rPr>
        <w:t xml:space="preserve">a </w:t>
      </w:r>
      <w:r w:rsidR="004756C1" w:rsidRPr="002F50BD">
        <w:rPr>
          <w:rFonts w:ascii="Verdana" w:hAnsi="Verdana"/>
          <w:bCs/>
          <w:sz w:val="20"/>
          <w:szCs w:val="28"/>
          <w:lang w:val="pt-BR"/>
        </w:rPr>
        <w:t>declara</w:t>
      </w:r>
      <w:r w:rsidR="0089298C" w:rsidRPr="002F50BD">
        <w:rPr>
          <w:rFonts w:ascii="Verdana" w:hAnsi="Verdana"/>
          <w:bCs/>
          <w:sz w:val="20"/>
          <w:szCs w:val="28"/>
          <w:lang w:val="pt-BR"/>
        </w:rPr>
        <w:t>ção</w:t>
      </w:r>
      <w:r w:rsidR="004756C1" w:rsidRPr="002F50BD">
        <w:rPr>
          <w:rFonts w:ascii="Verdana" w:hAnsi="Verdana"/>
          <w:bCs/>
          <w:sz w:val="20"/>
          <w:szCs w:val="28"/>
          <w:lang w:val="pt-BR"/>
        </w:rPr>
        <w:t xml:space="preserve"> o</w:t>
      </w:r>
      <w:r w:rsidR="00AF713C" w:rsidRPr="002F50BD">
        <w:rPr>
          <w:rFonts w:ascii="Verdana" w:hAnsi="Verdana"/>
          <w:bCs/>
          <w:sz w:val="20"/>
          <w:szCs w:val="28"/>
          <w:lang w:val="pt-BR"/>
        </w:rPr>
        <w:t>u</w:t>
      </w:r>
      <w:r w:rsidR="0089298C" w:rsidRPr="002F50BD">
        <w:rPr>
          <w:rFonts w:ascii="Verdana" w:hAnsi="Verdana"/>
          <w:bCs/>
          <w:sz w:val="20"/>
          <w:szCs w:val="28"/>
          <w:lang w:val="pt-BR"/>
        </w:rPr>
        <w:t xml:space="preserve"> relatório do </w:t>
      </w:r>
      <w:r w:rsidR="004756C1" w:rsidRPr="002F50BD">
        <w:rPr>
          <w:rFonts w:ascii="Verdana" w:hAnsi="Verdana"/>
          <w:bCs/>
          <w:sz w:val="20"/>
          <w:szCs w:val="28"/>
          <w:lang w:val="pt-BR"/>
        </w:rPr>
        <w:t>perito Pablo Balmaceda Rodríguez</w:t>
      </w:r>
      <w:r w:rsidR="0089298C" w:rsidRPr="002F50BD">
        <w:rPr>
          <w:rFonts w:ascii="Verdana" w:hAnsi="Verdana"/>
          <w:bCs/>
          <w:sz w:val="20"/>
          <w:szCs w:val="28"/>
          <w:lang w:val="pt-BR"/>
        </w:rPr>
        <w:t xml:space="preserve"> nos seguinte</w:t>
      </w:r>
      <w:r w:rsidR="004756C1" w:rsidRPr="002F50BD">
        <w:rPr>
          <w:rFonts w:ascii="Verdana" w:hAnsi="Verdana"/>
          <w:bCs/>
          <w:sz w:val="20"/>
          <w:szCs w:val="28"/>
          <w:lang w:val="pt-BR"/>
        </w:rPr>
        <w:t>s</w:t>
      </w:r>
      <w:r w:rsidR="004720A7" w:rsidRPr="004720A7">
        <w:rPr>
          <w:rFonts w:ascii="Verdana" w:hAnsi="Verdana"/>
          <w:bCs/>
          <w:sz w:val="20"/>
          <w:szCs w:val="28"/>
          <w:lang w:val="pt-BR"/>
        </w:rPr>
        <w:t xml:space="preserve"> </w:t>
      </w:r>
      <w:r w:rsidR="004720A7" w:rsidRPr="002F50BD">
        <w:rPr>
          <w:rFonts w:ascii="Verdana" w:hAnsi="Verdana"/>
          <w:bCs/>
          <w:sz w:val="20"/>
          <w:szCs w:val="28"/>
          <w:lang w:val="pt-BR"/>
        </w:rPr>
        <w:t>termos</w:t>
      </w:r>
      <w:r w:rsidR="004756C1" w:rsidRPr="002F50BD">
        <w:rPr>
          <w:rFonts w:ascii="Verdana" w:hAnsi="Verdana"/>
          <w:bCs/>
          <w:sz w:val="20"/>
          <w:szCs w:val="28"/>
          <w:lang w:val="pt-BR"/>
        </w:rPr>
        <w:t>:</w:t>
      </w:r>
    </w:p>
    <w:p w:rsidR="004756C1" w:rsidRPr="002F50BD" w:rsidRDefault="004756C1">
      <w:pPr>
        <w:ind w:right="-227"/>
        <w:jc w:val="both"/>
        <w:rPr>
          <w:rFonts w:ascii="Verdana" w:hAnsi="Verdana"/>
          <w:bCs/>
          <w:sz w:val="20"/>
          <w:szCs w:val="28"/>
          <w:lang w:val="pt-BR"/>
        </w:rPr>
      </w:pPr>
    </w:p>
    <w:p w:rsidR="004756C1" w:rsidRPr="002F50BD" w:rsidRDefault="008C58CB">
      <w:pPr>
        <w:pStyle w:val="BlockText"/>
        <w:spacing w:line="240" w:lineRule="auto"/>
        <w:ind w:right="918"/>
        <w:rPr>
          <w:szCs w:val="28"/>
          <w:lang w:val="pt-BR"/>
        </w:rPr>
      </w:pPr>
      <w:r w:rsidRPr="002F50BD">
        <w:rPr>
          <w:szCs w:val="28"/>
          <w:lang w:val="pt-BR"/>
        </w:rPr>
        <w:t xml:space="preserve">Foram realizados exames de sangue e de </w:t>
      </w:r>
      <w:r w:rsidR="002C07CC">
        <w:rPr>
          <w:szCs w:val="28"/>
          <w:lang w:val="pt-BR"/>
        </w:rPr>
        <w:t xml:space="preserve">fezes </w:t>
      </w:r>
      <w:r w:rsidRPr="002F50BD">
        <w:rPr>
          <w:szCs w:val="28"/>
          <w:lang w:val="pt-BR"/>
        </w:rPr>
        <w:t xml:space="preserve">nos membros da Comunidade. Estes estudos demonstraram que os membros da Comunidade Yakye Axa sofrem de uma </w:t>
      </w:r>
      <w:r w:rsidR="00754117" w:rsidRPr="002F50BD">
        <w:rPr>
          <w:szCs w:val="28"/>
          <w:lang w:val="pt-BR"/>
        </w:rPr>
        <w:t>verminose</w:t>
      </w:r>
      <w:r w:rsidRPr="002F50BD">
        <w:rPr>
          <w:szCs w:val="28"/>
          <w:lang w:val="pt-BR"/>
        </w:rPr>
        <w:t xml:space="preserve"> importante e de anemia. Além disso, foram recolhidas mostras da água que a Comunidade utiliza. Foi comprovado que a Comunidade tem uma única fonte de água não potável, que é um </w:t>
      </w:r>
      <w:r w:rsidR="004F64EE" w:rsidRPr="002F50BD">
        <w:rPr>
          <w:szCs w:val="28"/>
          <w:lang w:val="pt-BR"/>
        </w:rPr>
        <w:t>açude</w:t>
      </w:r>
      <w:r w:rsidRPr="002F50BD">
        <w:rPr>
          <w:szCs w:val="28"/>
          <w:lang w:val="pt-BR"/>
        </w:rPr>
        <w:t xml:space="preserve">. Um açude é um poço de mais ou menos </w:t>
      </w:r>
      <w:r w:rsidR="002C07CC">
        <w:rPr>
          <w:szCs w:val="28"/>
          <w:lang w:val="pt-BR"/>
        </w:rPr>
        <w:t>rejeitado por 40</w:t>
      </w:r>
      <w:r w:rsidRPr="002F50BD">
        <w:rPr>
          <w:szCs w:val="28"/>
          <w:lang w:val="pt-BR"/>
        </w:rPr>
        <w:t xml:space="preserve"> metros para armazenar água da chuva. Este poço se encontra atrás do alambrado das terras reclamadas, de modo que os membros da Comunidade têm que entrar escondidos para obter água para sua limpeza pessoal e para uso próprio. A água está exposta ao contato com animais selvagens e animais criados na aldeia</w:t>
      </w:r>
      <w:r w:rsidR="004756C1" w:rsidRPr="002F50BD">
        <w:rPr>
          <w:szCs w:val="28"/>
          <w:lang w:val="pt-BR"/>
        </w:rPr>
        <w:t>.</w:t>
      </w:r>
    </w:p>
    <w:p w:rsidR="004756C1" w:rsidRPr="002F50BD" w:rsidRDefault="0089298C">
      <w:pPr>
        <w:pStyle w:val="BlockText"/>
        <w:spacing w:line="240" w:lineRule="auto"/>
        <w:ind w:right="918"/>
        <w:rPr>
          <w:szCs w:val="16"/>
          <w:lang w:val="pt-BR"/>
        </w:rPr>
      </w:pPr>
      <w:r w:rsidRPr="002F50BD">
        <w:rPr>
          <w:b/>
          <w:szCs w:val="28"/>
          <w:lang w:val="pt-BR"/>
        </w:rPr>
        <w:cr/>
      </w:r>
      <w:r w:rsidR="00AF713C" w:rsidRPr="002F50BD">
        <w:rPr>
          <w:szCs w:val="16"/>
          <w:lang w:val="pt-BR"/>
        </w:rPr>
        <w:t xml:space="preserve">As cabanas nas quais vivem os moradores desta comunidade são muito precárias. Estão construídas de um material que abunda na região, uma palma com a qual fazem as paredes e o teto das mesmas. Estas casas são tão precárias que quando chove tudo inunda, incluindo os quartos onde vivem </w:t>
      </w:r>
      <w:r w:rsidR="00221F9E" w:rsidRPr="002F50BD">
        <w:rPr>
          <w:szCs w:val="16"/>
          <w:lang w:val="pt-BR"/>
        </w:rPr>
        <w:t xml:space="preserve">em </w:t>
      </w:r>
      <w:r w:rsidR="00AF713C" w:rsidRPr="002F50BD">
        <w:rPr>
          <w:szCs w:val="16"/>
          <w:lang w:val="pt-BR"/>
        </w:rPr>
        <w:t>superlota</w:t>
      </w:r>
      <w:r w:rsidR="00221F9E" w:rsidRPr="002F50BD">
        <w:rPr>
          <w:szCs w:val="16"/>
          <w:lang w:val="pt-BR"/>
        </w:rPr>
        <w:t>ção</w:t>
      </w:r>
      <w:r w:rsidR="00AF713C" w:rsidRPr="002F50BD">
        <w:rPr>
          <w:szCs w:val="16"/>
          <w:lang w:val="pt-BR"/>
        </w:rPr>
        <w:t>. Pelas características da terra do Chaco, a água não é absorvida facilmente pela terra, então essa água se junta toda sem escorrer.</w:t>
      </w:r>
      <w:r w:rsidR="00FE08B7">
        <w:rPr>
          <w:szCs w:val="16"/>
          <w:lang w:val="pt-BR"/>
        </w:rPr>
        <w:t xml:space="preserve"> </w:t>
      </w:r>
      <w:r w:rsidR="00AF713C" w:rsidRPr="002F50BD">
        <w:rPr>
          <w:szCs w:val="16"/>
          <w:lang w:val="pt-BR"/>
        </w:rPr>
        <w:t>A isso deveria acrescentar que não existe uma única latrina na Comunidade, onde possam fazer suas necessidades fisiológicas, de modo que utilizam as plantas que ali existem. Desta maneira, a água da chuva inunda toda a área e arrasta</w:t>
      </w:r>
      <w:r w:rsidR="00221F9E" w:rsidRPr="002F50BD">
        <w:rPr>
          <w:szCs w:val="16"/>
          <w:lang w:val="pt-BR"/>
        </w:rPr>
        <w:t>,</w:t>
      </w:r>
      <w:r w:rsidR="00AF713C" w:rsidRPr="002F50BD">
        <w:rPr>
          <w:szCs w:val="16"/>
          <w:lang w:val="pt-BR"/>
        </w:rPr>
        <w:t xml:space="preserve"> inclusive</w:t>
      </w:r>
      <w:r w:rsidR="00221F9E" w:rsidRPr="002F50BD">
        <w:rPr>
          <w:szCs w:val="16"/>
          <w:lang w:val="pt-BR"/>
        </w:rPr>
        <w:t>,</w:t>
      </w:r>
      <w:r w:rsidR="00AF713C" w:rsidRPr="002F50BD">
        <w:rPr>
          <w:szCs w:val="16"/>
          <w:lang w:val="pt-BR"/>
        </w:rPr>
        <w:t xml:space="preserve"> os restos fecais até as casas e a escolinha. As condições de miséria e abandono em que se encontra a Comunidade </w:t>
      </w:r>
      <w:r w:rsidR="00221F9E" w:rsidRPr="002F50BD">
        <w:rPr>
          <w:szCs w:val="16"/>
          <w:lang w:val="pt-BR"/>
        </w:rPr>
        <w:t xml:space="preserve">são </w:t>
      </w:r>
      <w:r w:rsidR="00AF713C" w:rsidRPr="002F50BD">
        <w:rPr>
          <w:szCs w:val="16"/>
          <w:lang w:val="pt-BR"/>
        </w:rPr>
        <w:t>desastrosa</w:t>
      </w:r>
      <w:r w:rsidR="00221F9E" w:rsidRPr="002F50BD">
        <w:rPr>
          <w:szCs w:val="16"/>
          <w:lang w:val="pt-BR"/>
        </w:rPr>
        <w:t>s</w:t>
      </w:r>
      <w:r w:rsidR="00AF713C" w:rsidRPr="002F50BD">
        <w:rPr>
          <w:szCs w:val="16"/>
          <w:lang w:val="pt-BR"/>
        </w:rPr>
        <w:t>.</w:t>
      </w:r>
      <w:r w:rsidR="00FE08B7">
        <w:rPr>
          <w:szCs w:val="16"/>
          <w:lang w:val="pt-BR"/>
        </w:rPr>
        <w:t xml:space="preserve"> </w:t>
      </w:r>
      <w:r w:rsidR="00AF713C" w:rsidRPr="002F50BD">
        <w:rPr>
          <w:szCs w:val="16"/>
          <w:lang w:val="pt-BR"/>
        </w:rPr>
        <w:t>Não é necessário ser especialista para comprovar todas estas circunstâncias</w:t>
      </w:r>
      <w:r w:rsidR="004756C1" w:rsidRPr="002F50BD">
        <w:rPr>
          <w:szCs w:val="16"/>
          <w:lang w:val="pt-BR"/>
        </w:rPr>
        <w:t>.</w:t>
      </w:r>
    </w:p>
    <w:p w:rsidR="004756C1" w:rsidRPr="002F50BD" w:rsidRDefault="004756C1">
      <w:pPr>
        <w:pStyle w:val="BlockText"/>
        <w:spacing w:line="240" w:lineRule="auto"/>
        <w:rPr>
          <w:b/>
          <w:sz w:val="20"/>
          <w:szCs w:val="28"/>
          <w:lang w:val="pt-BR"/>
        </w:rPr>
      </w:pPr>
    </w:p>
    <w:p w:rsidR="004756C1" w:rsidRPr="002F50BD" w:rsidRDefault="00063B47">
      <w:pPr>
        <w:pStyle w:val="BlockText"/>
        <w:spacing w:line="240" w:lineRule="auto"/>
        <w:ind w:left="0" w:right="0"/>
        <w:rPr>
          <w:iCs/>
          <w:sz w:val="20"/>
          <w:szCs w:val="28"/>
          <w:lang w:val="pt-BR"/>
        </w:rPr>
      </w:pPr>
      <w:r w:rsidRPr="002F50BD">
        <w:rPr>
          <w:iCs/>
          <w:sz w:val="20"/>
          <w:szCs w:val="28"/>
          <w:lang w:val="pt-BR"/>
        </w:rPr>
        <w:t>9</w:t>
      </w:r>
      <w:r w:rsidR="004756C1" w:rsidRPr="002F50BD">
        <w:rPr>
          <w:iCs/>
          <w:sz w:val="20"/>
          <w:szCs w:val="28"/>
          <w:lang w:val="pt-BR"/>
        </w:rPr>
        <w:t>.</w:t>
      </w:r>
      <w:r w:rsidR="004756C1" w:rsidRPr="002F50BD">
        <w:rPr>
          <w:iCs/>
          <w:sz w:val="20"/>
          <w:szCs w:val="28"/>
          <w:lang w:val="pt-BR"/>
        </w:rPr>
        <w:tab/>
      </w:r>
      <w:r w:rsidR="00AF713C" w:rsidRPr="002F50BD">
        <w:rPr>
          <w:iCs/>
          <w:sz w:val="20"/>
          <w:szCs w:val="28"/>
          <w:lang w:val="pt-BR"/>
        </w:rPr>
        <w:t>Em se</w:t>
      </w:r>
      <w:r w:rsidR="004756C1" w:rsidRPr="002F50BD">
        <w:rPr>
          <w:iCs/>
          <w:sz w:val="20"/>
          <w:szCs w:val="28"/>
          <w:lang w:val="pt-BR"/>
        </w:rPr>
        <w:t>guida</w:t>
      </w:r>
      <w:r w:rsidR="00AF713C" w:rsidRPr="002F50BD">
        <w:rPr>
          <w:iCs/>
          <w:sz w:val="20"/>
          <w:szCs w:val="28"/>
          <w:lang w:val="pt-BR"/>
        </w:rPr>
        <w:t>,</w:t>
      </w:r>
      <w:r w:rsidR="0089298C" w:rsidRPr="002F50BD">
        <w:rPr>
          <w:iCs/>
          <w:sz w:val="20"/>
          <w:szCs w:val="28"/>
          <w:lang w:val="pt-BR"/>
        </w:rPr>
        <w:t xml:space="preserve"> o </w:t>
      </w:r>
      <w:r w:rsidR="004756C1" w:rsidRPr="002F50BD">
        <w:rPr>
          <w:iCs/>
          <w:sz w:val="20"/>
          <w:szCs w:val="28"/>
          <w:lang w:val="pt-BR"/>
        </w:rPr>
        <w:t xml:space="preserve">perito se </w:t>
      </w:r>
      <w:r w:rsidR="0089298C" w:rsidRPr="002F50BD">
        <w:rPr>
          <w:iCs/>
          <w:sz w:val="20"/>
          <w:szCs w:val="28"/>
          <w:lang w:val="pt-BR"/>
        </w:rPr>
        <w:t xml:space="preserve">refere à </w:t>
      </w:r>
      <w:r w:rsidR="00AF713C" w:rsidRPr="002F50BD">
        <w:rPr>
          <w:iCs/>
          <w:sz w:val="20"/>
          <w:szCs w:val="28"/>
          <w:lang w:val="pt-BR"/>
        </w:rPr>
        <w:t>dificuldade</w:t>
      </w:r>
      <w:r w:rsidR="004756C1" w:rsidRPr="002F50BD">
        <w:rPr>
          <w:iCs/>
          <w:sz w:val="20"/>
          <w:szCs w:val="28"/>
          <w:lang w:val="pt-BR"/>
        </w:rPr>
        <w:t xml:space="preserve"> para </w:t>
      </w:r>
      <w:r w:rsidR="0089298C" w:rsidRPr="002F50BD">
        <w:rPr>
          <w:iCs/>
          <w:sz w:val="20"/>
          <w:szCs w:val="28"/>
          <w:lang w:val="pt-BR"/>
        </w:rPr>
        <w:t>obter</w:t>
      </w:r>
      <w:r w:rsidR="004756C1" w:rsidRPr="002F50BD">
        <w:rPr>
          <w:iCs/>
          <w:sz w:val="20"/>
          <w:szCs w:val="28"/>
          <w:lang w:val="pt-BR"/>
        </w:rPr>
        <w:t xml:space="preserve"> informa</w:t>
      </w:r>
      <w:r w:rsidR="0089298C" w:rsidRPr="002F50BD">
        <w:rPr>
          <w:iCs/>
          <w:sz w:val="20"/>
          <w:szCs w:val="28"/>
          <w:lang w:val="pt-BR"/>
        </w:rPr>
        <w:t xml:space="preserve">ção dos </w:t>
      </w:r>
      <w:r w:rsidR="004756C1" w:rsidRPr="002F50BD">
        <w:rPr>
          <w:iCs/>
          <w:sz w:val="20"/>
          <w:szCs w:val="28"/>
          <w:lang w:val="pt-BR"/>
        </w:rPr>
        <w:t xml:space="preserve">indígenas sobre </w:t>
      </w:r>
      <w:r w:rsidR="0089298C" w:rsidRPr="002F50BD">
        <w:rPr>
          <w:iCs/>
          <w:sz w:val="20"/>
          <w:szCs w:val="28"/>
          <w:lang w:val="pt-BR"/>
        </w:rPr>
        <w:t xml:space="preserve">seus </w:t>
      </w:r>
      <w:r w:rsidR="009F308E" w:rsidRPr="002F50BD">
        <w:rPr>
          <w:iCs/>
          <w:sz w:val="20"/>
          <w:szCs w:val="28"/>
          <w:lang w:val="pt-BR"/>
        </w:rPr>
        <w:t>familiares</w:t>
      </w:r>
      <w:r w:rsidR="004756C1" w:rsidRPr="002F50BD">
        <w:rPr>
          <w:iCs/>
          <w:sz w:val="20"/>
          <w:szCs w:val="28"/>
          <w:lang w:val="pt-BR"/>
        </w:rPr>
        <w:t xml:space="preserve"> </w:t>
      </w:r>
      <w:r w:rsidR="0089298C" w:rsidRPr="002F50BD">
        <w:rPr>
          <w:iCs/>
          <w:sz w:val="20"/>
          <w:szCs w:val="28"/>
          <w:lang w:val="pt-BR"/>
        </w:rPr>
        <w:t>falecid</w:t>
      </w:r>
      <w:r w:rsidR="004756C1" w:rsidRPr="002F50BD">
        <w:rPr>
          <w:iCs/>
          <w:sz w:val="20"/>
          <w:szCs w:val="28"/>
          <w:lang w:val="pt-BR"/>
        </w:rPr>
        <w:t xml:space="preserve">os, </w:t>
      </w:r>
      <w:r w:rsidR="0089298C" w:rsidRPr="002F50BD">
        <w:rPr>
          <w:iCs/>
          <w:sz w:val="20"/>
          <w:szCs w:val="28"/>
          <w:lang w:val="pt-BR"/>
        </w:rPr>
        <w:t>suposta</w:t>
      </w:r>
      <w:r w:rsidR="004756C1" w:rsidRPr="002F50BD">
        <w:rPr>
          <w:iCs/>
          <w:sz w:val="20"/>
          <w:szCs w:val="28"/>
          <w:lang w:val="pt-BR"/>
        </w:rPr>
        <w:t xml:space="preserve">mente por causa de </w:t>
      </w:r>
      <w:r w:rsidR="00367FD1" w:rsidRPr="002F50BD">
        <w:rPr>
          <w:iCs/>
          <w:sz w:val="20"/>
          <w:szCs w:val="28"/>
          <w:lang w:val="pt-BR"/>
        </w:rPr>
        <w:t>doenças</w:t>
      </w:r>
      <w:r w:rsidR="004756C1" w:rsidRPr="002F50BD">
        <w:rPr>
          <w:iCs/>
          <w:sz w:val="20"/>
          <w:szCs w:val="28"/>
          <w:lang w:val="pt-BR"/>
        </w:rPr>
        <w:t>; que</w:t>
      </w:r>
      <w:r w:rsidR="0089298C" w:rsidRPr="002F50BD">
        <w:rPr>
          <w:iCs/>
          <w:sz w:val="20"/>
          <w:szCs w:val="28"/>
          <w:lang w:val="pt-BR"/>
        </w:rPr>
        <w:t xml:space="preserve"> ao </w:t>
      </w:r>
      <w:r w:rsidR="004756C1" w:rsidRPr="002F50BD">
        <w:rPr>
          <w:iCs/>
          <w:sz w:val="20"/>
          <w:szCs w:val="28"/>
          <w:lang w:val="pt-BR"/>
        </w:rPr>
        <w:t>n</w:t>
      </w:r>
      <w:r w:rsidR="00AF713C" w:rsidRPr="002F50BD">
        <w:rPr>
          <w:iCs/>
          <w:sz w:val="20"/>
          <w:szCs w:val="28"/>
          <w:lang w:val="pt-BR"/>
        </w:rPr>
        <w:t>ã</w:t>
      </w:r>
      <w:r w:rsidR="004756C1" w:rsidRPr="002F50BD">
        <w:rPr>
          <w:iCs/>
          <w:sz w:val="20"/>
          <w:szCs w:val="28"/>
          <w:lang w:val="pt-BR"/>
        </w:rPr>
        <w:t xml:space="preserve">o existir registros </w:t>
      </w:r>
      <w:r w:rsidR="0089298C" w:rsidRPr="002F50BD">
        <w:rPr>
          <w:iCs/>
          <w:sz w:val="20"/>
          <w:szCs w:val="28"/>
          <w:lang w:val="pt-BR"/>
        </w:rPr>
        <w:t>desta</w:t>
      </w:r>
      <w:r w:rsidR="004756C1" w:rsidRPr="002F50BD">
        <w:rPr>
          <w:iCs/>
          <w:sz w:val="20"/>
          <w:szCs w:val="28"/>
          <w:lang w:val="pt-BR"/>
        </w:rPr>
        <w:t xml:space="preserve">s </w:t>
      </w:r>
      <w:r w:rsidR="0089298C" w:rsidRPr="002F50BD">
        <w:rPr>
          <w:iCs/>
          <w:sz w:val="20"/>
          <w:szCs w:val="28"/>
          <w:lang w:val="pt-BR"/>
        </w:rPr>
        <w:t>morte</w:t>
      </w:r>
      <w:r w:rsidR="004756C1" w:rsidRPr="002F50BD">
        <w:rPr>
          <w:iCs/>
          <w:sz w:val="20"/>
          <w:szCs w:val="28"/>
          <w:lang w:val="pt-BR"/>
        </w:rPr>
        <w:t>s n</w:t>
      </w:r>
      <w:r w:rsidR="00AF713C" w:rsidRPr="002F50BD">
        <w:rPr>
          <w:iCs/>
          <w:sz w:val="20"/>
          <w:szCs w:val="28"/>
          <w:lang w:val="pt-BR"/>
        </w:rPr>
        <w:t>ã</w:t>
      </w:r>
      <w:r w:rsidR="004756C1" w:rsidRPr="002F50BD">
        <w:rPr>
          <w:iCs/>
          <w:sz w:val="20"/>
          <w:szCs w:val="28"/>
          <w:lang w:val="pt-BR"/>
        </w:rPr>
        <w:t>o po</w:t>
      </w:r>
      <w:r w:rsidR="0089298C" w:rsidRPr="002F50BD">
        <w:rPr>
          <w:iCs/>
          <w:sz w:val="20"/>
          <w:szCs w:val="28"/>
          <w:lang w:val="pt-BR"/>
        </w:rPr>
        <w:t>dia</w:t>
      </w:r>
      <w:r w:rsidR="004756C1" w:rsidRPr="002F50BD">
        <w:rPr>
          <w:iCs/>
          <w:sz w:val="20"/>
          <w:szCs w:val="28"/>
          <w:lang w:val="pt-BR"/>
        </w:rPr>
        <w:t xml:space="preserve"> </w:t>
      </w:r>
      <w:r w:rsidR="0089298C" w:rsidRPr="002F50BD">
        <w:rPr>
          <w:iCs/>
          <w:sz w:val="20"/>
          <w:szCs w:val="28"/>
          <w:lang w:val="pt-BR"/>
        </w:rPr>
        <w:t>estabelece</w:t>
      </w:r>
      <w:r w:rsidR="004756C1" w:rsidRPr="002F50BD">
        <w:rPr>
          <w:iCs/>
          <w:sz w:val="20"/>
          <w:szCs w:val="28"/>
          <w:lang w:val="pt-BR"/>
        </w:rPr>
        <w:t>r</w:t>
      </w:r>
      <w:r w:rsidR="0089298C" w:rsidRPr="002F50BD">
        <w:rPr>
          <w:iCs/>
          <w:sz w:val="20"/>
          <w:szCs w:val="28"/>
          <w:lang w:val="pt-BR"/>
        </w:rPr>
        <w:t xml:space="preserve"> com </w:t>
      </w:r>
      <w:r w:rsidR="00AF713C" w:rsidRPr="002F50BD">
        <w:rPr>
          <w:iCs/>
          <w:sz w:val="20"/>
          <w:szCs w:val="28"/>
          <w:lang w:val="pt-BR"/>
        </w:rPr>
        <w:t xml:space="preserve">precisão as </w:t>
      </w:r>
      <w:r w:rsidR="0089298C" w:rsidRPr="002F50BD">
        <w:rPr>
          <w:iCs/>
          <w:sz w:val="20"/>
          <w:szCs w:val="28"/>
          <w:lang w:val="pt-BR"/>
        </w:rPr>
        <w:t>data</w:t>
      </w:r>
      <w:r w:rsidR="004756C1" w:rsidRPr="002F50BD">
        <w:rPr>
          <w:iCs/>
          <w:sz w:val="20"/>
          <w:szCs w:val="28"/>
          <w:lang w:val="pt-BR"/>
        </w:rPr>
        <w:t>s</w:t>
      </w:r>
      <w:r w:rsidR="0089298C" w:rsidRPr="002F50BD">
        <w:rPr>
          <w:iCs/>
          <w:sz w:val="20"/>
          <w:szCs w:val="28"/>
          <w:lang w:val="pt-BR"/>
        </w:rPr>
        <w:t xml:space="preserve"> dos </w:t>
      </w:r>
      <w:r w:rsidR="00367FD1" w:rsidRPr="002F50BD">
        <w:rPr>
          <w:iCs/>
          <w:sz w:val="20"/>
          <w:szCs w:val="28"/>
          <w:lang w:val="pt-BR"/>
        </w:rPr>
        <w:t>falecimento</w:t>
      </w:r>
      <w:r w:rsidR="004756C1" w:rsidRPr="002F50BD">
        <w:rPr>
          <w:iCs/>
          <w:sz w:val="20"/>
          <w:szCs w:val="28"/>
          <w:lang w:val="pt-BR"/>
        </w:rPr>
        <w:t xml:space="preserve">s. </w:t>
      </w:r>
      <w:r w:rsidR="00AF713C" w:rsidRPr="002F50BD">
        <w:rPr>
          <w:iCs/>
          <w:sz w:val="20"/>
          <w:szCs w:val="28"/>
          <w:lang w:val="pt-BR"/>
        </w:rPr>
        <w:t xml:space="preserve">Acrescenta </w:t>
      </w:r>
      <w:r w:rsidR="004756C1" w:rsidRPr="002F50BD">
        <w:rPr>
          <w:iCs/>
          <w:sz w:val="20"/>
          <w:szCs w:val="28"/>
          <w:lang w:val="pt-BR"/>
        </w:rPr>
        <w:t>que, para</w:t>
      </w:r>
      <w:r w:rsidR="0089298C" w:rsidRPr="002F50BD">
        <w:rPr>
          <w:iCs/>
          <w:sz w:val="20"/>
          <w:szCs w:val="28"/>
          <w:lang w:val="pt-BR"/>
        </w:rPr>
        <w:t xml:space="preserve"> os </w:t>
      </w:r>
      <w:r w:rsidR="004756C1" w:rsidRPr="002F50BD">
        <w:rPr>
          <w:iCs/>
          <w:sz w:val="20"/>
          <w:szCs w:val="28"/>
          <w:lang w:val="pt-BR"/>
        </w:rPr>
        <w:t>indígenas Enxet</w:t>
      </w:r>
      <w:r w:rsidR="00221F9E" w:rsidRPr="002F50BD">
        <w:rPr>
          <w:iCs/>
          <w:sz w:val="20"/>
          <w:szCs w:val="28"/>
          <w:lang w:val="pt-BR"/>
        </w:rPr>
        <w:t>,</w:t>
      </w:r>
      <w:r w:rsidR="004756C1" w:rsidRPr="002F50BD">
        <w:rPr>
          <w:iCs/>
          <w:sz w:val="20"/>
          <w:szCs w:val="28"/>
          <w:lang w:val="pt-BR"/>
        </w:rPr>
        <w:t xml:space="preserve"> n</w:t>
      </w:r>
      <w:r w:rsidR="00AF713C" w:rsidRPr="002F50BD">
        <w:rPr>
          <w:iCs/>
          <w:sz w:val="20"/>
          <w:szCs w:val="28"/>
          <w:lang w:val="pt-BR"/>
        </w:rPr>
        <w:t>ã</w:t>
      </w:r>
      <w:r w:rsidR="004756C1" w:rsidRPr="002F50BD">
        <w:rPr>
          <w:iCs/>
          <w:sz w:val="20"/>
          <w:szCs w:val="28"/>
          <w:lang w:val="pt-BR"/>
        </w:rPr>
        <w:t>o</w:t>
      </w:r>
      <w:r w:rsidR="00AF713C" w:rsidRPr="002F50BD">
        <w:rPr>
          <w:iCs/>
          <w:sz w:val="20"/>
          <w:szCs w:val="28"/>
          <w:lang w:val="pt-BR"/>
        </w:rPr>
        <w:t xml:space="preserve"> é</w:t>
      </w:r>
      <w:r w:rsidR="004756C1" w:rsidRPr="002F50BD">
        <w:rPr>
          <w:iCs/>
          <w:sz w:val="20"/>
          <w:szCs w:val="28"/>
          <w:lang w:val="pt-BR"/>
        </w:rPr>
        <w:t xml:space="preserve"> fácil recordar </w:t>
      </w:r>
      <w:r w:rsidR="005A6BC7" w:rsidRPr="002F50BD">
        <w:rPr>
          <w:iCs/>
          <w:sz w:val="20"/>
          <w:szCs w:val="28"/>
          <w:lang w:val="pt-BR"/>
        </w:rPr>
        <w:t>seus mortos</w:t>
      </w:r>
      <w:r w:rsidR="004756C1" w:rsidRPr="002F50BD">
        <w:rPr>
          <w:iCs/>
          <w:sz w:val="20"/>
          <w:szCs w:val="28"/>
          <w:lang w:val="pt-BR"/>
        </w:rPr>
        <w:t>, dada</w:t>
      </w:r>
      <w:r w:rsidR="0089298C" w:rsidRPr="002F50BD">
        <w:rPr>
          <w:iCs/>
          <w:sz w:val="20"/>
          <w:szCs w:val="28"/>
          <w:lang w:val="pt-BR"/>
        </w:rPr>
        <w:t xml:space="preserve"> a </w:t>
      </w:r>
      <w:r w:rsidR="004756C1" w:rsidRPr="002F50BD">
        <w:rPr>
          <w:iCs/>
          <w:sz w:val="20"/>
          <w:szCs w:val="28"/>
          <w:lang w:val="pt-BR"/>
        </w:rPr>
        <w:t>particular rela</w:t>
      </w:r>
      <w:r w:rsidR="0089298C" w:rsidRPr="002F50BD">
        <w:rPr>
          <w:iCs/>
          <w:sz w:val="20"/>
          <w:szCs w:val="28"/>
          <w:lang w:val="pt-BR"/>
        </w:rPr>
        <w:t>ção</w:t>
      </w:r>
      <w:r w:rsidR="004756C1" w:rsidRPr="002F50BD">
        <w:rPr>
          <w:iCs/>
          <w:sz w:val="20"/>
          <w:szCs w:val="28"/>
          <w:lang w:val="pt-BR"/>
        </w:rPr>
        <w:t xml:space="preserve"> que </w:t>
      </w:r>
      <w:r w:rsidR="0089298C" w:rsidRPr="002F50BD">
        <w:rPr>
          <w:iCs/>
          <w:sz w:val="20"/>
          <w:szCs w:val="28"/>
          <w:lang w:val="pt-BR"/>
        </w:rPr>
        <w:t>têm com a morte</w:t>
      </w:r>
      <w:r w:rsidR="004756C1" w:rsidRPr="002F50BD">
        <w:rPr>
          <w:iCs/>
          <w:sz w:val="20"/>
          <w:szCs w:val="28"/>
          <w:lang w:val="pt-BR"/>
        </w:rPr>
        <w:t>,</w:t>
      </w:r>
      <w:r w:rsidR="0089298C" w:rsidRPr="002F50BD">
        <w:rPr>
          <w:iCs/>
          <w:sz w:val="20"/>
          <w:szCs w:val="28"/>
          <w:lang w:val="pt-BR"/>
        </w:rPr>
        <w:t xml:space="preserve"> </w:t>
      </w:r>
      <w:r w:rsidR="00AF713C" w:rsidRPr="002F50BD">
        <w:rPr>
          <w:iCs/>
          <w:sz w:val="20"/>
          <w:szCs w:val="28"/>
          <w:lang w:val="pt-BR"/>
        </w:rPr>
        <w:t xml:space="preserve">de maneira </w:t>
      </w:r>
      <w:r w:rsidR="0089298C" w:rsidRPr="002F50BD">
        <w:rPr>
          <w:iCs/>
          <w:sz w:val="20"/>
          <w:szCs w:val="28"/>
          <w:lang w:val="pt-BR"/>
        </w:rPr>
        <w:t>que ele</w:t>
      </w:r>
      <w:r w:rsidR="004756C1" w:rsidRPr="002F50BD">
        <w:rPr>
          <w:iCs/>
          <w:sz w:val="20"/>
          <w:szCs w:val="28"/>
          <w:lang w:val="pt-BR"/>
        </w:rPr>
        <w:t xml:space="preserve">s </w:t>
      </w:r>
      <w:r w:rsidR="0089298C" w:rsidRPr="002F50BD">
        <w:rPr>
          <w:iCs/>
          <w:sz w:val="20"/>
          <w:szCs w:val="28"/>
          <w:lang w:val="pt-BR"/>
        </w:rPr>
        <w:t>tiveram</w:t>
      </w:r>
      <w:r w:rsidR="004756C1" w:rsidRPr="002F50BD">
        <w:rPr>
          <w:iCs/>
          <w:sz w:val="20"/>
          <w:szCs w:val="28"/>
          <w:lang w:val="pt-BR"/>
        </w:rPr>
        <w:t xml:space="preserve"> que</w:t>
      </w:r>
      <w:r w:rsidR="0089298C" w:rsidRPr="002F50BD">
        <w:rPr>
          <w:iCs/>
          <w:sz w:val="20"/>
          <w:szCs w:val="28"/>
          <w:lang w:val="pt-BR"/>
        </w:rPr>
        <w:t xml:space="preserve"> fazer um esforço</w:t>
      </w:r>
      <w:r w:rsidR="004756C1" w:rsidRPr="002F50BD">
        <w:rPr>
          <w:iCs/>
          <w:sz w:val="20"/>
          <w:szCs w:val="28"/>
          <w:lang w:val="pt-BR"/>
        </w:rPr>
        <w:t xml:space="preserve"> psíquico </w:t>
      </w:r>
      <w:r w:rsidR="0089298C" w:rsidRPr="002F50BD">
        <w:rPr>
          <w:iCs/>
          <w:sz w:val="20"/>
          <w:szCs w:val="28"/>
          <w:lang w:val="pt-BR"/>
        </w:rPr>
        <w:t>muito</w:t>
      </w:r>
      <w:r w:rsidR="004756C1" w:rsidRPr="002F50BD">
        <w:rPr>
          <w:iCs/>
          <w:sz w:val="20"/>
          <w:szCs w:val="28"/>
          <w:lang w:val="pt-BR"/>
        </w:rPr>
        <w:t xml:space="preserve"> importante para poder </w:t>
      </w:r>
      <w:r w:rsidR="0089298C" w:rsidRPr="002F50BD">
        <w:rPr>
          <w:iCs/>
          <w:sz w:val="20"/>
          <w:szCs w:val="28"/>
          <w:lang w:val="pt-BR"/>
        </w:rPr>
        <w:t>aceit</w:t>
      </w:r>
      <w:r w:rsidR="004756C1" w:rsidRPr="002F50BD">
        <w:rPr>
          <w:iCs/>
          <w:sz w:val="20"/>
          <w:szCs w:val="28"/>
          <w:lang w:val="pt-BR"/>
        </w:rPr>
        <w:t xml:space="preserve">ar que </w:t>
      </w:r>
      <w:r w:rsidR="00AF713C" w:rsidRPr="002F50BD">
        <w:rPr>
          <w:iCs/>
          <w:sz w:val="20"/>
          <w:szCs w:val="28"/>
          <w:lang w:val="pt-BR"/>
        </w:rPr>
        <w:t xml:space="preserve">fossem perguntados </w:t>
      </w:r>
      <w:r w:rsidR="0089298C" w:rsidRPr="002F50BD">
        <w:rPr>
          <w:iCs/>
          <w:sz w:val="20"/>
          <w:szCs w:val="28"/>
          <w:lang w:val="pt-BR"/>
        </w:rPr>
        <w:t xml:space="preserve">sobre </w:t>
      </w:r>
      <w:r w:rsidR="005A6BC7" w:rsidRPr="002F50BD">
        <w:rPr>
          <w:iCs/>
          <w:sz w:val="20"/>
          <w:szCs w:val="28"/>
          <w:lang w:val="pt-BR"/>
        </w:rPr>
        <w:t>seus mortos</w:t>
      </w:r>
      <w:r w:rsidR="004756C1" w:rsidRPr="002F50BD">
        <w:rPr>
          <w:iCs/>
          <w:sz w:val="20"/>
          <w:szCs w:val="28"/>
          <w:lang w:val="pt-BR"/>
        </w:rPr>
        <w:t>. Como resultado de su</w:t>
      </w:r>
      <w:r w:rsidR="00AF713C" w:rsidRPr="002F50BD">
        <w:rPr>
          <w:iCs/>
          <w:sz w:val="20"/>
          <w:szCs w:val="28"/>
          <w:lang w:val="pt-BR"/>
        </w:rPr>
        <w:t>a</w:t>
      </w:r>
      <w:r w:rsidR="004756C1" w:rsidRPr="002F50BD">
        <w:rPr>
          <w:iCs/>
          <w:sz w:val="20"/>
          <w:szCs w:val="28"/>
          <w:lang w:val="pt-BR"/>
        </w:rPr>
        <w:t xml:space="preserve"> investiga</w:t>
      </w:r>
      <w:r w:rsidR="0089298C" w:rsidRPr="002F50BD">
        <w:rPr>
          <w:iCs/>
          <w:sz w:val="20"/>
          <w:szCs w:val="28"/>
          <w:lang w:val="pt-BR"/>
        </w:rPr>
        <w:t>ção</w:t>
      </w:r>
      <w:r w:rsidR="004756C1" w:rsidRPr="002F50BD">
        <w:rPr>
          <w:iCs/>
          <w:sz w:val="20"/>
          <w:szCs w:val="28"/>
          <w:lang w:val="pt-BR"/>
        </w:rPr>
        <w:t>, tanto</w:t>
      </w:r>
      <w:r w:rsidR="0089298C" w:rsidRPr="002F50BD">
        <w:rPr>
          <w:iCs/>
          <w:sz w:val="20"/>
          <w:szCs w:val="28"/>
          <w:lang w:val="pt-BR"/>
        </w:rPr>
        <w:t xml:space="preserve"> </w:t>
      </w:r>
      <w:r w:rsidR="00221F9E" w:rsidRPr="002F50BD">
        <w:rPr>
          <w:iCs/>
          <w:sz w:val="20"/>
          <w:szCs w:val="28"/>
          <w:lang w:val="pt-BR"/>
        </w:rPr>
        <w:t>a partir do</w:t>
      </w:r>
      <w:r w:rsidR="0089298C" w:rsidRPr="002F50BD">
        <w:rPr>
          <w:iCs/>
          <w:sz w:val="20"/>
          <w:szCs w:val="28"/>
          <w:lang w:val="pt-BR"/>
        </w:rPr>
        <w:t xml:space="preserve"> </w:t>
      </w:r>
      <w:r w:rsidR="004756C1" w:rsidRPr="002F50BD">
        <w:rPr>
          <w:iCs/>
          <w:sz w:val="20"/>
          <w:szCs w:val="28"/>
          <w:lang w:val="pt-BR"/>
        </w:rPr>
        <w:t>que l</w:t>
      </w:r>
      <w:r w:rsidR="00AF713C" w:rsidRPr="002F50BD">
        <w:rPr>
          <w:iCs/>
          <w:sz w:val="20"/>
          <w:szCs w:val="28"/>
          <w:lang w:val="pt-BR"/>
        </w:rPr>
        <w:t>h</w:t>
      </w:r>
      <w:r w:rsidR="004756C1" w:rsidRPr="002F50BD">
        <w:rPr>
          <w:iCs/>
          <w:sz w:val="20"/>
          <w:szCs w:val="28"/>
          <w:lang w:val="pt-BR"/>
        </w:rPr>
        <w:t>e</w:t>
      </w:r>
      <w:r w:rsidR="0089298C" w:rsidRPr="002F50BD">
        <w:rPr>
          <w:iCs/>
          <w:sz w:val="20"/>
          <w:szCs w:val="28"/>
          <w:lang w:val="pt-BR"/>
        </w:rPr>
        <w:t xml:space="preserve"> foi </w:t>
      </w:r>
      <w:r w:rsidR="004756C1" w:rsidRPr="002F50BD">
        <w:rPr>
          <w:iCs/>
          <w:sz w:val="20"/>
          <w:szCs w:val="28"/>
          <w:lang w:val="pt-BR"/>
        </w:rPr>
        <w:t xml:space="preserve">narrado como de </w:t>
      </w:r>
      <w:r w:rsidR="00E350FB" w:rsidRPr="002F50BD">
        <w:rPr>
          <w:iCs/>
          <w:sz w:val="20"/>
          <w:szCs w:val="28"/>
          <w:lang w:val="pt-BR"/>
        </w:rPr>
        <w:t>suas próprias</w:t>
      </w:r>
      <w:r w:rsidR="004756C1" w:rsidRPr="002F50BD">
        <w:rPr>
          <w:iCs/>
          <w:sz w:val="20"/>
          <w:szCs w:val="28"/>
          <w:lang w:val="pt-BR"/>
        </w:rPr>
        <w:t xml:space="preserve"> observa</w:t>
      </w:r>
      <w:r w:rsidR="0089298C" w:rsidRPr="002F50BD">
        <w:rPr>
          <w:iCs/>
          <w:sz w:val="20"/>
          <w:szCs w:val="28"/>
          <w:lang w:val="pt-BR"/>
        </w:rPr>
        <w:t>ções</w:t>
      </w:r>
      <w:r w:rsidR="004756C1" w:rsidRPr="002F50BD">
        <w:rPr>
          <w:iCs/>
          <w:sz w:val="20"/>
          <w:szCs w:val="28"/>
          <w:lang w:val="pt-BR"/>
        </w:rPr>
        <w:t>,</w:t>
      </w:r>
      <w:r w:rsidR="0089298C" w:rsidRPr="002F50BD">
        <w:rPr>
          <w:iCs/>
          <w:sz w:val="20"/>
          <w:szCs w:val="28"/>
          <w:lang w:val="pt-BR"/>
        </w:rPr>
        <w:t xml:space="preserve"> o </w:t>
      </w:r>
      <w:r w:rsidR="004756C1" w:rsidRPr="002F50BD">
        <w:rPr>
          <w:iCs/>
          <w:sz w:val="20"/>
          <w:szCs w:val="28"/>
          <w:lang w:val="pt-BR"/>
        </w:rPr>
        <w:t xml:space="preserve">perito </w:t>
      </w:r>
      <w:r w:rsidR="0089298C" w:rsidRPr="002F50BD">
        <w:rPr>
          <w:iCs/>
          <w:sz w:val="20"/>
          <w:szCs w:val="28"/>
          <w:lang w:val="pt-BR"/>
        </w:rPr>
        <w:t>declarou</w:t>
      </w:r>
      <w:r w:rsidR="004756C1" w:rsidRPr="002F50BD">
        <w:rPr>
          <w:iCs/>
          <w:sz w:val="20"/>
          <w:szCs w:val="28"/>
          <w:lang w:val="pt-BR"/>
        </w:rPr>
        <w:t>:</w:t>
      </w:r>
    </w:p>
    <w:p w:rsidR="004756C1" w:rsidRPr="002F50BD" w:rsidRDefault="004756C1">
      <w:pPr>
        <w:pStyle w:val="BlockText"/>
        <w:spacing w:line="240" w:lineRule="auto"/>
        <w:ind w:left="0" w:right="0"/>
        <w:rPr>
          <w:b/>
          <w:i/>
          <w:iCs/>
          <w:sz w:val="20"/>
          <w:szCs w:val="28"/>
          <w:lang w:val="pt-BR"/>
        </w:rPr>
      </w:pPr>
    </w:p>
    <w:p w:rsidR="004756C1" w:rsidRPr="002F50BD" w:rsidRDefault="008C58CB">
      <w:pPr>
        <w:pStyle w:val="BlockText"/>
        <w:spacing w:line="240" w:lineRule="auto"/>
        <w:ind w:right="918"/>
        <w:rPr>
          <w:szCs w:val="28"/>
          <w:lang w:val="pt-BR"/>
        </w:rPr>
      </w:pPr>
      <w:r w:rsidRPr="002F50BD">
        <w:rPr>
          <w:szCs w:val="28"/>
          <w:lang w:val="pt-BR"/>
        </w:rPr>
        <w:t>Na maioria dos casos de mortes registradas não houve uma atenção médica prévia.</w:t>
      </w:r>
      <w:r w:rsidR="00FE08B7">
        <w:rPr>
          <w:szCs w:val="28"/>
          <w:lang w:val="pt-BR"/>
        </w:rPr>
        <w:t xml:space="preserve"> </w:t>
      </w:r>
      <w:r w:rsidRPr="002F50BD">
        <w:rPr>
          <w:szCs w:val="28"/>
          <w:lang w:val="pt-BR"/>
        </w:rPr>
        <w:t>Dois casos que chegaram ao hospital foram diagnosticados e enviados de volta a seus lares, já que os médicos determinaram que não havia nada que se pudesse fazer.</w:t>
      </w:r>
    </w:p>
    <w:p w:rsidR="00754117" w:rsidRPr="002F50BD" w:rsidRDefault="00754117">
      <w:pPr>
        <w:pStyle w:val="BlockText"/>
        <w:spacing w:line="240" w:lineRule="auto"/>
        <w:ind w:right="918"/>
        <w:rPr>
          <w:szCs w:val="28"/>
          <w:lang w:val="pt-BR"/>
        </w:rPr>
      </w:pPr>
    </w:p>
    <w:p w:rsidR="004756C1" w:rsidRPr="002F50BD" w:rsidRDefault="008C58CB">
      <w:pPr>
        <w:pStyle w:val="BlockText"/>
        <w:spacing w:line="240" w:lineRule="auto"/>
        <w:ind w:right="918"/>
        <w:rPr>
          <w:szCs w:val="28"/>
          <w:lang w:val="pt-BR"/>
        </w:rPr>
      </w:pPr>
      <w:r w:rsidRPr="002F50BD">
        <w:rPr>
          <w:szCs w:val="28"/>
          <w:lang w:val="pt-BR"/>
        </w:rPr>
        <w:t>Através do relato das mães</w:t>
      </w:r>
      <w:r w:rsidR="00CB205C" w:rsidRPr="002F50BD">
        <w:rPr>
          <w:szCs w:val="28"/>
          <w:lang w:val="pt-BR"/>
        </w:rPr>
        <w:t>,</w:t>
      </w:r>
      <w:r w:rsidRPr="002F50BD">
        <w:rPr>
          <w:szCs w:val="28"/>
          <w:lang w:val="pt-BR"/>
        </w:rPr>
        <w:t xml:space="preserve"> pôde determinar que várias crianças faleceram de bronquite ou broncopneumonia. Os sintomas descritos pelas mães se </w:t>
      </w:r>
      <w:r w:rsidR="004720A7">
        <w:rPr>
          <w:szCs w:val="28"/>
          <w:lang w:val="pt-BR"/>
        </w:rPr>
        <w:t>ajustam</w:t>
      </w:r>
      <w:r w:rsidR="00FE08B7">
        <w:rPr>
          <w:szCs w:val="28"/>
          <w:lang w:val="pt-BR"/>
        </w:rPr>
        <w:t xml:space="preserve"> </w:t>
      </w:r>
      <w:r w:rsidR="00754117" w:rsidRPr="002F50BD">
        <w:rPr>
          <w:szCs w:val="28"/>
          <w:lang w:val="pt-BR"/>
        </w:rPr>
        <w:t>perfei</w:t>
      </w:r>
      <w:r w:rsidRPr="002F50BD">
        <w:rPr>
          <w:szCs w:val="28"/>
          <w:lang w:val="pt-BR"/>
        </w:rPr>
        <w:t xml:space="preserve">tamente a esse diagnóstico: as crianças apresentaram tosse, febre alta e dificuldades de respiração até chegar a morrer sem terem recebido nenhuma </w:t>
      </w:r>
      <w:r w:rsidRPr="002F50BD">
        <w:rPr>
          <w:szCs w:val="28"/>
          <w:lang w:val="pt-BR"/>
        </w:rPr>
        <w:lastRenderedPageBreak/>
        <w:t>assistência médica ou medicamentos. Além disso, os entrevistados afirmaram que</w:t>
      </w:r>
      <w:r w:rsidR="00CB205C" w:rsidRPr="002F50BD">
        <w:rPr>
          <w:szCs w:val="28"/>
          <w:lang w:val="pt-BR"/>
        </w:rPr>
        <w:t>,</w:t>
      </w:r>
      <w:r w:rsidRPr="002F50BD">
        <w:rPr>
          <w:szCs w:val="28"/>
          <w:lang w:val="pt-BR"/>
        </w:rPr>
        <w:t xml:space="preserve"> durante a época de seca</w:t>
      </w:r>
      <w:r w:rsidR="00CB205C" w:rsidRPr="002F50BD">
        <w:rPr>
          <w:szCs w:val="28"/>
          <w:lang w:val="pt-BR"/>
        </w:rPr>
        <w:t>,</w:t>
      </w:r>
      <w:r w:rsidRPr="002F50BD">
        <w:rPr>
          <w:szCs w:val="28"/>
          <w:lang w:val="pt-BR"/>
        </w:rPr>
        <w:t xml:space="preserve"> as crianças morreram de diarréia e</w:t>
      </w:r>
      <w:r w:rsidR="00CB205C" w:rsidRPr="002F50BD">
        <w:rPr>
          <w:szCs w:val="28"/>
          <w:lang w:val="pt-BR"/>
        </w:rPr>
        <w:t>,</w:t>
      </w:r>
      <w:r w:rsidRPr="002F50BD">
        <w:rPr>
          <w:szCs w:val="28"/>
          <w:lang w:val="pt-BR"/>
        </w:rPr>
        <w:t xml:space="preserve"> efetivamente</w:t>
      </w:r>
      <w:r w:rsidR="00CB205C" w:rsidRPr="002F50BD">
        <w:rPr>
          <w:szCs w:val="28"/>
          <w:lang w:val="pt-BR"/>
        </w:rPr>
        <w:t>,</w:t>
      </w:r>
      <w:r w:rsidRPr="002F50BD">
        <w:rPr>
          <w:szCs w:val="28"/>
          <w:lang w:val="pt-BR"/>
        </w:rPr>
        <w:t xml:space="preserve"> essa é a época em que mais ocorrem estas doenças. Estas crianças morreram com todos os sintomas de diarréia: febre, diarréia contínua, às vezes com sangue, e vômitos. Também se apresentaram casos de pessoas adultas que faleceram por não ter</w:t>
      </w:r>
      <w:r w:rsidR="00754117" w:rsidRPr="002F50BD">
        <w:rPr>
          <w:szCs w:val="28"/>
          <w:lang w:val="pt-BR"/>
        </w:rPr>
        <w:t>em</w:t>
      </w:r>
      <w:r w:rsidRPr="002F50BD">
        <w:rPr>
          <w:szCs w:val="28"/>
          <w:lang w:val="pt-BR"/>
        </w:rPr>
        <w:t xml:space="preserve"> recebido uma atenção médica adequada e oportuna e por falta de alimentação.</w:t>
      </w:r>
    </w:p>
    <w:p w:rsidR="004756C1" w:rsidRPr="002F50BD" w:rsidRDefault="004756C1" w:rsidP="008C58CB">
      <w:pPr>
        <w:pStyle w:val="BlockText"/>
        <w:spacing w:line="240" w:lineRule="auto"/>
        <w:ind w:right="919"/>
        <w:rPr>
          <w:szCs w:val="16"/>
          <w:lang w:val="pt-BR"/>
        </w:rPr>
      </w:pPr>
    </w:p>
    <w:p w:rsidR="008C58CB" w:rsidRPr="002F50BD" w:rsidRDefault="008C58CB" w:rsidP="008C58CB">
      <w:pPr>
        <w:pStyle w:val="BlockText"/>
        <w:spacing w:line="240" w:lineRule="auto"/>
        <w:ind w:right="919"/>
        <w:rPr>
          <w:szCs w:val="16"/>
          <w:lang w:val="pt-BR"/>
        </w:rPr>
      </w:pPr>
      <w:r w:rsidRPr="002F50BD">
        <w:rPr>
          <w:szCs w:val="16"/>
          <w:lang w:val="pt-BR"/>
        </w:rPr>
        <w:t xml:space="preserve">Na Comunidade não existe um posto de saúde, </w:t>
      </w:r>
      <w:r w:rsidR="00F664FC" w:rsidRPr="002F50BD">
        <w:rPr>
          <w:szCs w:val="16"/>
          <w:lang w:val="pt-BR"/>
        </w:rPr>
        <w:t>ambulatório</w:t>
      </w:r>
      <w:r w:rsidRPr="002F50BD">
        <w:rPr>
          <w:szCs w:val="16"/>
          <w:lang w:val="pt-BR"/>
        </w:rPr>
        <w:t xml:space="preserve"> médic</w:t>
      </w:r>
      <w:r w:rsidR="00F664FC" w:rsidRPr="002F50BD">
        <w:rPr>
          <w:szCs w:val="16"/>
          <w:lang w:val="pt-BR"/>
        </w:rPr>
        <w:t>o</w:t>
      </w:r>
      <w:r w:rsidRPr="002F50BD">
        <w:rPr>
          <w:szCs w:val="16"/>
          <w:lang w:val="pt-BR"/>
        </w:rPr>
        <w:t xml:space="preserve"> ou </w:t>
      </w:r>
      <w:r w:rsidR="00F664FC" w:rsidRPr="002F50BD">
        <w:rPr>
          <w:szCs w:val="16"/>
          <w:lang w:val="pt-BR"/>
        </w:rPr>
        <w:t xml:space="preserve">agentes </w:t>
      </w:r>
      <w:r w:rsidRPr="002F50BD">
        <w:rPr>
          <w:szCs w:val="16"/>
          <w:lang w:val="pt-BR"/>
        </w:rPr>
        <w:t xml:space="preserve">de saúde. O assentamento da Comunidade está a </w:t>
      </w:r>
      <w:r w:rsidR="00063B47" w:rsidRPr="002F50BD">
        <w:rPr>
          <w:szCs w:val="16"/>
          <w:lang w:val="pt-BR"/>
        </w:rPr>
        <w:t>356</w:t>
      </w:r>
      <w:r w:rsidRPr="002F50BD">
        <w:rPr>
          <w:szCs w:val="16"/>
          <w:lang w:val="pt-BR"/>
        </w:rPr>
        <w:t xml:space="preserve"> quilômetros da capital e a </w:t>
      </w:r>
      <w:r w:rsidR="00063B47" w:rsidRPr="002F50BD">
        <w:rPr>
          <w:szCs w:val="16"/>
          <w:lang w:val="pt-BR"/>
        </w:rPr>
        <w:t>70</w:t>
      </w:r>
      <w:r w:rsidRPr="002F50BD">
        <w:rPr>
          <w:szCs w:val="16"/>
          <w:lang w:val="pt-BR"/>
        </w:rPr>
        <w:t xml:space="preserve"> quilômetros do hospital mais próximo. O hospital regional mais próximo está a </w:t>
      </w:r>
      <w:r w:rsidR="00063B47" w:rsidRPr="002F50BD">
        <w:rPr>
          <w:szCs w:val="16"/>
          <w:lang w:val="pt-BR"/>
        </w:rPr>
        <w:t>225</w:t>
      </w:r>
      <w:r w:rsidRPr="002F50BD">
        <w:rPr>
          <w:szCs w:val="16"/>
          <w:lang w:val="pt-BR"/>
        </w:rPr>
        <w:t xml:space="preserve"> quilômetros de distância, muito próximo de Asunción, de maneira que é mais fácil para os membros da Comunidade trasladar-se a estes centros de saúde.</w:t>
      </w:r>
    </w:p>
    <w:p w:rsidR="008C58CB" w:rsidRPr="002F50BD" w:rsidRDefault="008C58CB" w:rsidP="008C58CB">
      <w:pPr>
        <w:pStyle w:val="BlockText"/>
        <w:spacing w:line="240" w:lineRule="auto"/>
        <w:ind w:right="919"/>
        <w:rPr>
          <w:szCs w:val="16"/>
          <w:lang w:val="pt-BR"/>
        </w:rPr>
      </w:pPr>
    </w:p>
    <w:p w:rsidR="004756C1" w:rsidRPr="002F50BD" w:rsidRDefault="008C58CB" w:rsidP="008C58CB">
      <w:pPr>
        <w:pStyle w:val="BlockText"/>
        <w:spacing w:line="240" w:lineRule="auto"/>
        <w:ind w:right="919"/>
        <w:rPr>
          <w:szCs w:val="16"/>
          <w:lang w:val="pt-BR"/>
        </w:rPr>
      </w:pPr>
      <w:r w:rsidRPr="002F50BD">
        <w:rPr>
          <w:szCs w:val="16"/>
          <w:lang w:val="pt-BR"/>
        </w:rPr>
        <w:t>Atualmente, as condições de alimentação das crianças da Comunidade são muito precárias. A desnutrição das crianças é evidente. As crianças têm o cabelo descolorido e a barriga grande, não têm a estatura apropriada para sua idade.</w:t>
      </w:r>
      <w:r w:rsidR="00FE08B7">
        <w:rPr>
          <w:szCs w:val="16"/>
          <w:lang w:val="pt-BR"/>
        </w:rPr>
        <w:t xml:space="preserve"> </w:t>
      </w:r>
      <w:r w:rsidRPr="002F50BD">
        <w:rPr>
          <w:szCs w:val="16"/>
          <w:lang w:val="pt-BR"/>
        </w:rPr>
        <w:t xml:space="preserve">Ademais, isto tem consequências negativas, como a manifestação nas crianças de dificuldades de aprendizagem e no desenvolvimento intelectual. Isso pode ser revertido na medida em que se inicie, o mais rápido possível, um tratamento de </w:t>
      </w:r>
      <w:r w:rsidR="00AF37AB" w:rsidRPr="002F50BD">
        <w:rPr>
          <w:szCs w:val="16"/>
          <w:lang w:val="pt-BR"/>
        </w:rPr>
        <w:t>vermifugação</w:t>
      </w:r>
      <w:r w:rsidRPr="002F50BD">
        <w:rPr>
          <w:szCs w:val="16"/>
          <w:lang w:val="pt-BR"/>
        </w:rPr>
        <w:t xml:space="preserve"> e uma alimentação adequada e permanente.</w:t>
      </w:r>
    </w:p>
    <w:p w:rsidR="008C58CB" w:rsidRPr="002F50BD" w:rsidRDefault="008C58CB" w:rsidP="008C58CB">
      <w:pPr>
        <w:jc w:val="both"/>
        <w:rPr>
          <w:rFonts w:ascii="Verdana" w:hAnsi="Verdana"/>
          <w:sz w:val="16"/>
          <w:szCs w:val="16"/>
          <w:lang w:val="pt-BR"/>
        </w:rPr>
      </w:pPr>
    </w:p>
    <w:p w:rsidR="004756C1" w:rsidRPr="002F50BD" w:rsidRDefault="00063B47">
      <w:pPr>
        <w:pStyle w:val="BlockText"/>
        <w:spacing w:line="240" w:lineRule="auto"/>
        <w:ind w:left="0" w:right="0"/>
        <w:rPr>
          <w:sz w:val="20"/>
          <w:szCs w:val="28"/>
          <w:lang w:val="pt-BR"/>
        </w:rPr>
      </w:pPr>
      <w:r w:rsidRPr="002F50BD">
        <w:rPr>
          <w:sz w:val="20"/>
          <w:szCs w:val="28"/>
          <w:lang w:val="pt-BR"/>
        </w:rPr>
        <w:t>10</w:t>
      </w:r>
      <w:r w:rsidR="004756C1" w:rsidRPr="002F50BD">
        <w:rPr>
          <w:i/>
          <w:sz w:val="20"/>
          <w:szCs w:val="28"/>
          <w:lang w:val="pt-BR"/>
        </w:rPr>
        <w:t>.</w:t>
      </w:r>
      <w:r w:rsidR="004756C1" w:rsidRPr="002F50BD">
        <w:rPr>
          <w:sz w:val="20"/>
          <w:szCs w:val="28"/>
          <w:lang w:val="pt-BR"/>
        </w:rPr>
        <w:tab/>
      </w:r>
      <w:r w:rsidR="0089298C" w:rsidRPr="002F50BD">
        <w:rPr>
          <w:iCs/>
          <w:sz w:val="20"/>
          <w:szCs w:val="28"/>
          <w:lang w:val="pt-BR"/>
        </w:rPr>
        <w:t xml:space="preserve">No </w:t>
      </w:r>
      <w:r w:rsidR="004756C1" w:rsidRPr="002F50BD">
        <w:rPr>
          <w:iCs/>
          <w:sz w:val="20"/>
          <w:szCs w:val="28"/>
          <w:lang w:val="pt-BR"/>
        </w:rPr>
        <w:t>Capítulo VI</w:t>
      </w:r>
      <w:r w:rsidR="0089298C" w:rsidRPr="002F50BD">
        <w:rPr>
          <w:iCs/>
          <w:sz w:val="20"/>
          <w:szCs w:val="28"/>
          <w:lang w:val="pt-BR"/>
        </w:rPr>
        <w:t xml:space="preserve"> da Sentença</w:t>
      </w:r>
      <w:r w:rsidR="004756C1" w:rsidRPr="002F50BD">
        <w:rPr>
          <w:iCs/>
          <w:sz w:val="20"/>
          <w:szCs w:val="28"/>
          <w:lang w:val="pt-BR"/>
        </w:rPr>
        <w:t xml:space="preserve"> relativo a</w:t>
      </w:r>
      <w:r w:rsidR="008C58CB" w:rsidRPr="002F50BD">
        <w:rPr>
          <w:iCs/>
          <w:sz w:val="20"/>
          <w:szCs w:val="28"/>
          <w:lang w:val="pt-BR"/>
        </w:rPr>
        <w:t>os</w:t>
      </w:r>
      <w:r w:rsidR="004756C1" w:rsidRPr="002F50BD">
        <w:rPr>
          <w:iCs/>
          <w:sz w:val="20"/>
          <w:szCs w:val="28"/>
          <w:lang w:val="pt-BR"/>
        </w:rPr>
        <w:t xml:space="preserve"> </w:t>
      </w:r>
      <w:r w:rsidR="0089298C" w:rsidRPr="002F50BD">
        <w:rPr>
          <w:iCs/>
          <w:sz w:val="20"/>
          <w:szCs w:val="28"/>
          <w:lang w:val="pt-BR"/>
        </w:rPr>
        <w:t>fatos</w:t>
      </w:r>
      <w:r w:rsidR="004756C1" w:rsidRPr="002F50BD">
        <w:rPr>
          <w:iCs/>
          <w:sz w:val="20"/>
          <w:szCs w:val="28"/>
          <w:lang w:val="pt-BR"/>
        </w:rPr>
        <w:t xml:space="preserve"> </w:t>
      </w:r>
      <w:r w:rsidR="0089298C" w:rsidRPr="002F50BD">
        <w:rPr>
          <w:iCs/>
          <w:sz w:val="20"/>
          <w:szCs w:val="28"/>
          <w:lang w:val="pt-BR"/>
        </w:rPr>
        <w:t>provad</w:t>
      </w:r>
      <w:r w:rsidR="004756C1" w:rsidRPr="002F50BD">
        <w:rPr>
          <w:iCs/>
          <w:sz w:val="20"/>
          <w:szCs w:val="28"/>
          <w:lang w:val="pt-BR"/>
        </w:rPr>
        <w:t>os</w:t>
      </w:r>
      <w:r w:rsidR="0089298C" w:rsidRPr="002F50BD">
        <w:rPr>
          <w:iCs/>
          <w:sz w:val="20"/>
          <w:szCs w:val="28"/>
          <w:lang w:val="pt-BR"/>
        </w:rPr>
        <w:t xml:space="preserve"> e sob o </w:t>
      </w:r>
      <w:r w:rsidR="004756C1" w:rsidRPr="002F50BD">
        <w:rPr>
          <w:iCs/>
          <w:sz w:val="20"/>
          <w:szCs w:val="28"/>
          <w:lang w:val="pt-BR"/>
        </w:rPr>
        <w:t xml:space="preserve">título de </w:t>
      </w:r>
      <w:r w:rsidR="0089298C" w:rsidRPr="002F50BD">
        <w:rPr>
          <w:iCs/>
          <w:sz w:val="20"/>
          <w:szCs w:val="28"/>
          <w:lang w:val="pt-BR"/>
        </w:rPr>
        <w:t>“</w:t>
      </w:r>
      <w:r w:rsidR="008C58CB" w:rsidRPr="002F50BD">
        <w:rPr>
          <w:iCs/>
          <w:sz w:val="20"/>
          <w:szCs w:val="28"/>
          <w:lang w:val="pt-BR"/>
        </w:rPr>
        <w:t>A</w:t>
      </w:r>
      <w:r w:rsidR="0089298C" w:rsidRPr="002F50BD">
        <w:rPr>
          <w:iCs/>
          <w:sz w:val="20"/>
          <w:szCs w:val="28"/>
          <w:lang w:val="pt-BR"/>
        </w:rPr>
        <w:t>s</w:t>
      </w:r>
      <w:r w:rsidR="004756C1" w:rsidRPr="002F50BD">
        <w:rPr>
          <w:iCs/>
          <w:sz w:val="20"/>
          <w:szCs w:val="28"/>
          <w:lang w:val="pt-BR"/>
        </w:rPr>
        <w:t xml:space="preserve"> condi</w:t>
      </w:r>
      <w:r w:rsidR="0089298C" w:rsidRPr="002F50BD">
        <w:rPr>
          <w:iCs/>
          <w:sz w:val="20"/>
          <w:szCs w:val="28"/>
          <w:lang w:val="pt-BR"/>
        </w:rPr>
        <w:t>ções</w:t>
      </w:r>
      <w:r w:rsidR="004756C1" w:rsidRPr="002F50BD">
        <w:rPr>
          <w:iCs/>
          <w:sz w:val="20"/>
          <w:szCs w:val="28"/>
          <w:lang w:val="pt-BR"/>
        </w:rPr>
        <w:t xml:space="preserve"> de vida</w:t>
      </w:r>
      <w:r w:rsidR="0089298C" w:rsidRPr="002F50BD">
        <w:rPr>
          <w:iCs/>
          <w:sz w:val="20"/>
          <w:szCs w:val="28"/>
          <w:lang w:val="pt-BR"/>
        </w:rPr>
        <w:t xml:space="preserve"> dos membro</w:t>
      </w:r>
      <w:r w:rsidR="004756C1" w:rsidRPr="002F50BD">
        <w:rPr>
          <w:iCs/>
          <w:sz w:val="20"/>
          <w:szCs w:val="28"/>
          <w:lang w:val="pt-BR"/>
        </w:rPr>
        <w:t>s</w:t>
      </w:r>
      <w:r w:rsidR="0089298C" w:rsidRPr="002F50BD">
        <w:rPr>
          <w:iCs/>
          <w:sz w:val="20"/>
          <w:szCs w:val="28"/>
          <w:lang w:val="pt-BR"/>
        </w:rPr>
        <w:t xml:space="preserve"> da Comunidade </w:t>
      </w:r>
      <w:r w:rsidR="004756C1" w:rsidRPr="002F50BD">
        <w:rPr>
          <w:iCs/>
          <w:sz w:val="20"/>
          <w:szCs w:val="28"/>
          <w:lang w:val="pt-BR"/>
        </w:rPr>
        <w:t>indígena</w:t>
      </w:r>
      <w:r w:rsidR="004756C1" w:rsidRPr="002F50BD">
        <w:rPr>
          <w:b/>
          <w:iCs/>
          <w:sz w:val="20"/>
          <w:szCs w:val="28"/>
          <w:lang w:val="pt-BR"/>
        </w:rPr>
        <w:t xml:space="preserve"> </w:t>
      </w:r>
      <w:r w:rsidR="004756C1" w:rsidRPr="002F50BD">
        <w:rPr>
          <w:iCs/>
          <w:sz w:val="20"/>
          <w:szCs w:val="28"/>
          <w:lang w:val="pt-BR"/>
        </w:rPr>
        <w:t>Yakye Axa”,</w:t>
      </w:r>
      <w:r w:rsidR="0089298C" w:rsidRPr="002F50BD">
        <w:rPr>
          <w:iCs/>
          <w:sz w:val="20"/>
          <w:szCs w:val="28"/>
          <w:lang w:val="pt-BR"/>
        </w:rPr>
        <w:t xml:space="preserve"> a</w:t>
      </w:r>
      <w:r w:rsidR="0089298C" w:rsidRPr="002F50BD">
        <w:rPr>
          <w:b/>
          <w:iCs/>
          <w:sz w:val="20"/>
          <w:szCs w:val="28"/>
          <w:lang w:val="pt-BR"/>
        </w:rPr>
        <w:t xml:space="preserve"> </w:t>
      </w:r>
      <w:r w:rsidR="004756C1" w:rsidRPr="002F50BD">
        <w:rPr>
          <w:iCs/>
          <w:sz w:val="20"/>
          <w:szCs w:val="28"/>
          <w:lang w:val="pt-BR"/>
        </w:rPr>
        <w:t xml:space="preserve">Corte </w:t>
      </w:r>
      <w:r w:rsidR="0089298C" w:rsidRPr="002F50BD">
        <w:rPr>
          <w:iCs/>
          <w:sz w:val="20"/>
          <w:szCs w:val="28"/>
          <w:lang w:val="pt-BR"/>
        </w:rPr>
        <w:t>considerou</w:t>
      </w:r>
      <w:r w:rsidR="004756C1" w:rsidRPr="002F50BD">
        <w:rPr>
          <w:iCs/>
          <w:sz w:val="20"/>
          <w:szCs w:val="28"/>
          <w:lang w:val="pt-BR"/>
        </w:rPr>
        <w:t xml:space="preserve"> </w:t>
      </w:r>
      <w:r w:rsidR="0089298C" w:rsidRPr="002F50BD">
        <w:rPr>
          <w:iCs/>
          <w:sz w:val="20"/>
          <w:szCs w:val="28"/>
          <w:lang w:val="pt-BR"/>
        </w:rPr>
        <w:t>demonstrado</w:t>
      </w:r>
      <w:r w:rsidR="004756C1" w:rsidRPr="002F50BD">
        <w:rPr>
          <w:iCs/>
          <w:sz w:val="20"/>
          <w:szCs w:val="28"/>
          <w:lang w:val="pt-BR"/>
        </w:rPr>
        <w:t xml:space="preserve"> que </w:t>
      </w:r>
      <w:r w:rsidR="008C58CB" w:rsidRPr="002F50BD">
        <w:rPr>
          <w:iCs/>
          <w:sz w:val="20"/>
          <w:szCs w:val="28"/>
          <w:lang w:val="pt-BR"/>
        </w:rPr>
        <w:t xml:space="preserve">estes </w:t>
      </w:r>
      <w:r w:rsidR="004756C1" w:rsidRPr="002F50BD">
        <w:rPr>
          <w:sz w:val="20"/>
          <w:szCs w:val="28"/>
          <w:lang w:val="pt-BR"/>
        </w:rPr>
        <w:t>“</w:t>
      </w:r>
      <w:r w:rsidR="0089298C" w:rsidRPr="002F50BD">
        <w:rPr>
          <w:sz w:val="20"/>
          <w:szCs w:val="28"/>
          <w:lang w:val="pt-BR"/>
        </w:rPr>
        <w:t>não possuem acesso</w:t>
      </w:r>
      <w:r w:rsidR="004756C1" w:rsidRPr="002F50BD">
        <w:rPr>
          <w:sz w:val="20"/>
          <w:szCs w:val="28"/>
          <w:lang w:val="pt-BR"/>
        </w:rPr>
        <w:t xml:space="preserve"> a</w:t>
      </w:r>
      <w:r w:rsidR="00AB454A" w:rsidRPr="002F50BD">
        <w:rPr>
          <w:sz w:val="20"/>
          <w:szCs w:val="28"/>
          <w:lang w:val="pt-BR"/>
        </w:rPr>
        <w:t xml:space="preserve"> água </w:t>
      </w:r>
      <w:r w:rsidR="00E72F67" w:rsidRPr="002F50BD">
        <w:rPr>
          <w:sz w:val="20"/>
          <w:szCs w:val="28"/>
          <w:lang w:val="pt-BR"/>
        </w:rPr>
        <w:t>limpa</w:t>
      </w:r>
      <w:r w:rsidR="0089298C" w:rsidRPr="002F50BD">
        <w:rPr>
          <w:sz w:val="20"/>
          <w:szCs w:val="28"/>
          <w:lang w:val="pt-BR"/>
        </w:rPr>
        <w:t xml:space="preserve"> e a fonte</w:t>
      </w:r>
      <w:r w:rsidR="004756C1" w:rsidRPr="002F50BD">
        <w:rPr>
          <w:sz w:val="20"/>
          <w:szCs w:val="28"/>
          <w:lang w:val="pt-BR"/>
        </w:rPr>
        <w:t xml:space="preserve"> de</w:t>
      </w:r>
      <w:r w:rsidR="00AB454A" w:rsidRPr="002F50BD">
        <w:rPr>
          <w:sz w:val="20"/>
          <w:szCs w:val="28"/>
          <w:lang w:val="pt-BR"/>
        </w:rPr>
        <w:t xml:space="preserve"> água </w:t>
      </w:r>
      <w:r w:rsidR="0089298C" w:rsidRPr="002F50BD">
        <w:rPr>
          <w:sz w:val="20"/>
          <w:szCs w:val="28"/>
          <w:lang w:val="pt-BR"/>
        </w:rPr>
        <w:t xml:space="preserve">mais </w:t>
      </w:r>
      <w:r w:rsidR="003F15BE" w:rsidRPr="002F50BD">
        <w:rPr>
          <w:sz w:val="20"/>
          <w:szCs w:val="28"/>
          <w:lang w:val="pt-BR"/>
        </w:rPr>
        <w:t xml:space="preserve">confiável </w:t>
      </w:r>
      <w:r w:rsidR="0089298C" w:rsidRPr="002F50BD">
        <w:rPr>
          <w:sz w:val="20"/>
          <w:szCs w:val="28"/>
          <w:lang w:val="pt-BR"/>
        </w:rPr>
        <w:t xml:space="preserve">é a </w:t>
      </w:r>
      <w:r w:rsidR="003F15BE" w:rsidRPr="002F50BD">
        <w:rPr>
          <w:sz w:val="20"/>
          <w:szCs w:val="28"/>
          <w:lang w:val="pt-BR"/>
        </w:rPr>
        <w:t>recolhid</w:t>
      </w:r>
      <w:r w:rsidR="004756C1" w:rsidRPr="002F50BD">
        <w:rPr>
          <w:sz w:val="20"/>
          <w:szCs w:val="28"/>
          <w:lang w:val="pt-BR"/>
        </w:rPr>
        <w:t>a durante</w:t>
      </w:r>
      <w:r w:rsidR="0089298C" w:rsidRPr="002F50BD">
        <w:rPr>
          <w:sz w:val="20"/>
          <w:szCs w:val="28"/>
          <w:lang w:val="pt-BR"/>
        </w:rPr>
        <w:t xml:space="preserve"> as </w:t>
      </w:r>
      <w:r w:rsidR="00313394" w:rsidRPr="002F50BD">
        <w:rPr>
          <w:sz w:val="20"/>
          <w:szCs w:val="28"/>
          <w:lang w:val="pt-BR"/>
        </w:rPr>
        <w:t>chuva</w:t>
      </w:r>
      <w:r w:rsidR="004756C1" w:rsidRPr="002F50BD">
        <w:rPr>
          <w:sz w:val="20"/>
          <w:szCs w:val="28"/>
          <w:lang w:val="pt-BR"/>
        </w:rPr>
        <w:t>s</w:t>
      </w:r>
      <w:r w:rsidR="00D95E71" w:rsidRPr="002F50BD">
        <w:rPr>
          <w:sz w:val="20"/>
          <w:szCs w:val="28"/>
          <w:lang w:val="pt-BR"/>
        </w:rPr>
        <w:t xml:space="preserve">. </w:t>
      </w:r>
      <w:r w:rsidR="008C58CB" w:rsidRPr="002F50BD">
        <w:rPr>
          <w:sz w:val="20"/>
          <w:szCs w:val="28"/>
          <w:lang w:val="pt-BR"/>
        </w:rPr>
        <w:t>A</w:t>
      </w:r>
      <w:r w:rsidR="00D95E71" w:rsidRPr="002F50BD">
        <w:rPr>
          <w:sz w:val="20"/>
          <w:szCs w:val="28"/>
          <w:lang w:val="pt-BR"/>
        </w:rPr>
        <w:t xml:space="preserve"> </w:t>
      </w:r>
      <w:r w:rsidR="00AB454A" w:rsidRPr="002F50BD">
        <w:rPr>
          <w:sz w:val="20"/>
          <w:szCs w:val="28"/>
          <w:lang w:val="pt-BR"/>
        </w:rPr>
        <w:t xml:space="preserve">água </w:t>
      </w:r>
      <w:r w:rsidR="004756C1" w:rsidRPr="002F50BD">
        <w:rPr>
          <w:sz w:val="20"/>
          <w:szCs w:val="28"/>
          <w:lang w:val="pt-BR"/>
        </w:rPr>
        <w:t>que ob</w:t>
      </w:r>
      <w:r w:rsidR="0089298C" w:rsidRPr="002F50BD">
        <w:rPr>
          <w:sz w:val="20"/>
          <w:szCs w:val="28"/>
          <w:lang w:val="pt-BR"/>
        </w:rPr>
        <w:t>t</w:t>
      </w:r>
      <w:r w:rsidR="004720A7">
        <w:rPr>
          <w:sz w:val="20"/>
          <w:szCs w:val="28"/>
          <w:lang w:val="pt-BR"/>
        </w:rPr>
        <w:t>é</w:t>
      </w:r>
      <w:r w:rsidR="0089298C" w:rsidRPr="002F50BD">
        <w:rPr>
          <w:sz w:val="20"/>
          <w:szCs w:val="28"/>
          <w:lang w:val="pt-BR"/>
        </w:rPr>
        <w:t xml:space="preserve">m com </w:t>
      </w:r>
      <w:r w:rsidR="004756C1" w:rsidRPr="002F50BD">
        <w:rPr>
          <w:sz w:val="20"/>
          <w:szCs w:val="28"/>
          <w:lang w:val="pt-BR"/>
        </w:rPr>
        <w:t>regularidad</w:t>
      </w:r>
      <w:r w:rsidR="008C58CB" w:rsidRPr="002F50BD">
        <w:rPr>
          <w:sz w:val="20"/>
          <w:szCs w:val="28"/>
          <w:lang w:val="pt-BR"/>
        </w:rPr>
        <w:t>e</w:t>
      </w:r>
      <w:r w:rsidR="004756C1" w:rsidRPr="002F50BD">
        <w:rPr>
          <w:sz w:val="20"/>
          <w:szCs w:val="28"/>
          <w:lang w:val="pt-BR"/>
        </w:rPr>
        <w:t xml:space="preserve"> </w:t>
      </w:r>
      <w:r w:rsidR="008C58CB" w:rsidRPr="002F50BD">
        <w:rPr>
          <w:sz w:val="20"/>
          <w:szCs w:val="28"/>
          <w:lang w:val="pt-BR"/>
        </w:rPr>
        <w:t>prov</w:t>
      </w:r>
      <w:r w:rsidR="00E403A1" w:rsidRPr="002F50BD">
        <w:rPr>
          <w:sz w:val="20"/>
          <w:szCs w:val="28"/>
          <w:lang w:val="pt-BR"/>
        </w:rPr>
        <w:t>e</w:t>
      </w:r>
      <w:r w:rsidR="008C58CB" w:rsidRPr="002F50BD">
        <w:rPr>
          <w:sz w:val="20"/>
          <w:szCs w:val="28"/>
          <w:lang w:val="pt-BR"/>
        </w:rPr>
        <w:t>m de poç</w:t>
      </w:r>
      <w:r w:rsidR="004756C1" w:rsidRPr="002F50BD">
        <w:rPr>
          <w:sz w:val="20"/>
          <w:szCs w:val="28"/>
          <w:lang w:val="pt-BR"/>
        </w:rPr>
        <w:t xml:space="preserve">os </w:t>
      </w:r>
      <w:r w:rsidR="00CF451D" w:rsidRPr="00CF451D">
        <w:rPr>
          <w:sz w:val="20"/>
          <w:szCs w:val="28"/>
          <w:lang w:val="pt-BR"/>
        </w:rPr>
        <w:t>(</w:t>
      </w:r>
      <w:r w:rsidR="008C58CB" w:rsidRPr="002F50BD">
        <w:rPr>
          <w:sz w:val="20"/>
          <w:szCs w:val="28"/>
          <w:lang w:val="pt-BR"/>
        </w:rPr>
        <w:t>açudes</w:t>
      </w:r>
      <w:r w:rsidR="00CF451D" w:rsidRPr="00CF451D">
        <w:rPr>
          <w:sz w:val="20"/>
          <w:szCs w:val="28"/>
          <w:lang w:val="pt-BR"/>
        </w:rPr>
        <w:t>)</w:t>
      </w:r>
      <w:r w:rsidR="004756C1" w:rsidRPr="002F50BD">
        <w:rPr>
          <w:sz w:val="20"/>
          <w:szCs w:val="28"/>
          <w:lang w:val="pt-BR"/>
        </w:rPr>
        <w:t xml:space="preserve"> </w:t>
      </w:r>
      <w:r w:rsidR="0089298C" w:rsidRPr="002F50BD">
        <w:rPr>
          <w:sz w:val="20"/>
          <w:szCs w:val="28"/>
          <w:lang w:val="pt-BR"/>
        </w:rPr>
        <w:t>localizad</w:t>
      </w:r>
      <w:r w:rsidR="004756C1" w:rsidRPr="002F50BD">
        <w:rPr>
          <w:sz w:val="20"/>
          <w:szCs w:val="28"/>
          <w:lang w:val="pt-BR"/>
        </w:rPr>
        <w:t>os</w:t>
      </w:r>
      <w:r w:rsidR="0089298C" w:rsidRPr="002F50BD">
        <w:rPr>
          <w:sz w:val="20"/>
          <w:szCs w:val="28"/>
          <w:lang w:val="pt-BR"/>
        </w:rPr>
        <w:t xml:space="preserve"> nas terra</w:t>
      </w:r>
      <w:r w:rsidR="004756C1" w:rsidRPr="002F50BD">
        <w:rPr>
          <w:sz w:val="20"/>
          <w:szCs w:val="28"/>
          <w:lang w:val="pt-BR"/>
        </w:rPr>
        <w:t>s reclamadas,</w:t>
      </w:r>
      <w:r w:rsidR="0089298C" w:rsidRPr="002F50BD">
        <w:rPr>
          <w:sz w:val="20"/>
          <w:szCs w:val="28"/>
          <w:lang w:val="pt-BR"/>
        </w:rPr>
        <w:t xml:space="preserve"> </w:t>
      </w:r>
      <w:r w:rsidR="008C58CB" w:rsidRPr="002F50BD">
        <w:rPr>
          <w:sz w:val="20"/>
          <w:szCs w:val="28"/>
          <w:lang w:val="pt-BR"/>
        </w:rPr>
        <w:t>no entanto</w:t>
      </w:r>
      <w:r w:rsidR="004756C1" w:rsidRPr="002F50BD">
        <w:rPr>
          <w:sz w:val="20"/>
          <w:szCs w:val="28"/>
          <w:lang w:val="pt-BR"/>
        </w:rPr>
        <w:t>,</w:t>
      </w:r>
      <w:r w:rsidR="0089298C" w:rsidRPr="002F50BD">
        <w:rPr>
          <w:sz w:val="20"/>
          <w:szCs w:val="28"/>
          <w:lang w:val="pt-BR"/>
        </w:rPr>
        <w:t xml:space="preserve"> é </w:t>
      </w:r>
      <w:r w:rsidR="004756C1" w:rsidRPr="002F50BD">
        <w:rPr>
          <w:sz w:val="20"/>
          <w:szCs w:val="28"/>
          <w:lang w:val="pt-BR"/>
        </w:rPr>
        <w:t>utilizada tanto para</w:t>
      </w:r>
      <w:r w:rsidR="0089298C" w:rsidRPr="002F50BD">
        <w:rPr>
          <w:sz w:val="20"/>
          <w:szCs w:val="28"/>
          <w:lang w:val="pt-BR"/>
        </w:rPr>
        <w:t xml:space="preserve"> o </w:t>
      </w:r>
      <w:r w:rsidR="004756C1" w:rsidRPr="002F50BD">
        <w:rPr>
          <w:sz w:val="20"/>
          <w:szCs w:val="28"/>
          <w:lang w:val="pt-BR"/>
        </w:rPr>
        <w:t>consumo humano como para</w:t>
      </w:r>
      <w:r w:rsidR="0089298C" w:rsidRPr="002F50BD">
        <w:rPr>
          <w:sz w:val="20"/>
          <w:szCs w:val="28"/>
          <w:lang w:val="pt-BR"/>
        </w:rPr>
        <w:t xml:space="preserve"> o </w:t>
      </w:r>
      <w:r w:rsidR="004756C1" w:rsidRPr="002F50BD">
        <w:rPr>
          <w:sz w:val="20"/>
          <w:szCs w:val="28"/>
          <w:lang w:val="pt-BR"/>
        </w:rPr>
        <w:t>a</w:t>
      </w:r>
      <w:r w:rsidR="008C58CB" w:rsidRPr="002F50BD">
        <w:rPr>
          <w:sz w:val="20"/>
          <w:szCs w:val="28"/>
          <w:lang w:val="pt-BR"/>
        </w:rPr>
        <w:t>s</w:t>
      </w:r>
      <w:r w:rsidR="004756C1" w:rsidRPr="002F50BD">
        <w:rPr>
          <w:sz w:val="20"/>
          <w:szCs w:val="28"/>
          <w:lang w:val="pt-BR"/>
        </w:rPr>
        <w:t>se</w:t>
      </w:r>
      <w:r w:rsidR="008C58CB" w:rsidRPr="002F50BD">
        <w:rPr>
          <w:sz w:val="20"/>
          <w:szCs w:val="28"/>
          <w:lang w:val="pt-BR"/>
        </w:rPr>
        <w:t>i</w:t>
      </w:r>
      <w:r w:rsidR="004756C1" w:rsidRPr="002F50BD">
        <w:rPr>
          <w:sz w:val="20"/>
          <w:szCs w:val="28"/>
          <w:lang w:val="pt-BR"/>
        </w:rPr>
        <w:t xml:space="preserve">o </w:t>
      </w:r>
      <w:r w:rsidR="0089298C" w:rsidRPr="002F50BD">
        <w:rPr>
          <w:sz w:val="20"/>
          <w:szCs w:val="28"/>
          <w:lang w:val="pt-BR"/>
        </w:rPr>
        <w:t>pessoa</w:t>
      </w:r>
      <w:r w:rsidR="004756C1" w:rsidRPr="002F50BD">
        <w:rPr>
          <w:sz w:val="20"/>
          <w:szCs w:val="28"/>
          <w:lang w:val="pt-BR"/>
        </w:rPr>
        <w:t>l</w:t>
      </w:r>
      <w:r w:rsidR="0089298C" w:rsidRPr="002F50BD">
        <w:rPr>
          <w:sz w:val="20"/>
          <w:szCs w:val="28"/>
          <w:lang w:val="pt-BR"/>
        </w:rPr>
        <w:t xml:space="preserve"> e</w:t>
      </w:r>
      <w:r w:rsidR="00AB454A" w:rsidRPr="002F50BD">
        <w:rPr>
          <w:sz w:val="20"/>
          <w:szCs w:val="28"/>
          <w:lang w:val="pt-BR"/>
        </w:rPr>
        <w:t xml:space="preserve"> não está</w:t>
      </w:r>
      <w:r w:rsidR="004756C1" w:rsidRPr="002F50BD">
        <w:rPr>
          <w:sz w:val="20"/>
          <w:szCs w:val="28"/>
          <w:lang w:val="pt-BR"/>
        </w:rPr>
        <w:t xml:space="preserve"> protegida </w:t>
      </w:r>
      <w:r w:rsidR="0089298C" w:rsidRPr="002F50BD">
        <w:rPr>
          <w:sz w:val="20"/>
          <w:szCs w:val="28"/>
          <w:lang w:val="pt-BR"/>
        </w:rPr>
        <w:t xml:space="preserve">do </w:t>
      </w:r>
      <w:r w:rsidR="00AB454A" w:rsidRPr="002F50BD">
        <w:rPr>
          <w:sz w:val="20"/>
          <w:szCs w:val="28"/>
          <w:lang w:val="pt-BR"/>
        </w:rPr>
        <w:t>contato</w:t>
      </w:r>
      <w:r w:rsidR="004756C1" w:rsidRPr="002F50BD">
        <w:rPr>
          <w:sz w:val="20"/>
          <w:szCs w:val="28"/>
          <w:lang w:val="pt-BR"/>
        </w:rPr>
        <w:t xml:space="preserve"> humano”.</w:t>
      </w:r>
    </w:p>
    <w:p w:rsidR="004756C1" w:rsidRPr="002F50BD" w:rsidRDefault="004756C1">
      <w:pPr>
        <w:pStyle w:val="BlockText"/>
        <w:spacing w:line="240" w:lineRule="auto"/>
        <w:ind w:left="0" w:right="0"/>
        <w:rPr>
          <w:sz w:val="20"/>
          <w:szCs w:val="28"/>
          <w:lang w:val="pt-BR"/>
        </w:rPr>
      </w:pPr>
    </w:p>
    <w:p w:rsidR="004756C1" w:rsidRPr="002F50BD" w:rsidRDefault="00063B47">
      <w:pPr>
        <w:pStyle w:val="BlockText"/>
        <w:spacing w:line="240" w:lineRule="auto"/>
        <w:ind w:left="0" w:right="0"/>
        <w:rPr>
          <w:sz w:val="20"/>
          <w:szCs w:val="28"/>
          <w:lang w:val="pt-BR"/>
        </w:rPr>
      </w:pPr>
      <w:r w:rsidRPr="002F50BD">
        <w:rPr>
          <w:sz w:val="20"/>
          <w:szCs w:val="28"/>
          <w:lang w:val="pt-BR"/>
        </w:rPr>
        <w:t>11</w:t>
      </w:r>
      <w:r w:rsidR="004756C1" w:rsidRPr="002F50BD">
        <w:rPr>
          <w:i/>
          <w:sz w:val="20"/>
          <w:szCs w:val="28"/>
          <w:lang w:val="pt-BR"/>
        </w:rPr>
        <w:t>.</w:t>
      </w:r>
      <w:r w:rsidR="004756C1" w:rsidRPr="002F50BD">
        <w:rPr>
          <w:sz w:val="20"/>
          <w:szCs w:val="28"/>
          <w:lang w:val="pt-BR"/>
        </w:rPr>
        <w:tab/>
      </w:r>
      <w:r w:rsidR="004076AD" w:rsidRPr="002F50BD">
        <w:rPr>
          <w:iCs/>
          <w:sz w:val="20"/>
          <w:szCs w:val="28"/>
          <w:lang w:val="pt-BR"/>
        </w:rPr>
        <w:t>Por sua vez</w:t>
      </w:r>
      <w:r w:rsidR="00E403A1" w:rsidRPr="002F50BD">
        <w:rPr>
          <w:iCs/>
          <w:sz w:val="20"/>
          <w:szCs w:val="28"/>
          <w:lang w:val="pt-BR"/>
        </w:rPr>
        <w:t>,</w:t>
      </w:r>
      <w:r w:rsidR="0089298C" w:rsidRPr="002F50BD">
        <w:rPr>
          <w:iCs/>
          <w:sz w:val="20"/>
          <w:szCs w:val="28"/>
          <w:lang w:val="pt-BR"/>
        </w:rPr>
        <w:t xml:space="preserve"> o </w:t>
      </w:r>
      <w:r w:rsidR="004756C1" w:rsidRPr="002F50BD">
        <w:rPr>
          <w:iCs/>
          <w:sz w:val="20"/>
          <w:szCs w:val="28"/>
          <w:lang w:val="pt-BR"/>
        </w:rPr>
        <w:t>Estado d</w:t>
      </w:r>
      <w:r w:rsidR="008C58CB" w:rsidRPr="002F50BD">
        <w:rPr>
          <w:iCs/>
          <w:sz w:val="20"/>
          <w:szCs w:val="28"/>
          <w:lang w:val="pt-BR"/>
        </w:rPr>
        <w:t>o</w:t>
      </w:r>
      <w:r w:rsidR="004756C1" w:rsidRPr="002F50BD">
        <w:rPr>
          <w:iCs/>
          <w:sz w:val="20"/>
          <w:szCs w:val="28"/>
          <w:lang w:val="pt-BR"/>
        </w:rPr>
        <w:t xml:space="preserve"> </w:t>
      </w:r>
      <w:r w:rsidR="0089298C" w:rsidRPr="002F50BD">
        <w:rPr>
          <w:iCs/>
          <w:sz w:val="20"/>
          <w:szCs w:val="28"/>
          <w:lang w:val="pt-BR"/>
        </w:rPr>
        <w:t>Paraguai</w:t>
      </w:r>
      <w:r w:rsidR="004756C1" w:rsidRPr="002F50BD">
        <w:rPr>
          <w:iCs/>
          <w:sz w:val="20"/>
          <w:szCs w:val="28"/>
          <w:lang w:val="pt-BR"/>
        </w:rPr>
        <w:t>,</w:t>
      </w:r>
      <w:r w:rsidR="0089298C" w:rsidRPr="002F50BD">
        <w:rPr>
          <w:iCs/>
          <w:sz w:val="20"/>
          <w:szCs w:val="28"/>
          <w:lang w:val="pt-BR"/>
        </w:rPr>
        <w:t xml:space="preserve"> na </w:t>
      </w:r>
      <w:r w:rsidR="004756C1" w:rsidRPr="002F50BD">
        <w:rPr>
          <w:iCs/>
          <w:sz w:val="20"/>
          <w:szCs w:val="28"/>
          <w:lang w:val="pt-BR"/>
        </w:rPr>
        <w:t>contesta</w:t>
      </w:r>
      <w:r w:rsidR="0089298C" w:rsidRPr="002F50BD">
        <w:rPr>
          <w:iCs/>
          <w:sz w:val="20"/>
          <w:szCs w:val="28"/>
          <w:lang w:val="pt-BR"/>
        </w:rPr>
        <w:t xml:space="preserve">ção à </w:t>
      </w:r>
      <w:r w:rsidR="004756C1" w:rsidRPr="002F50BD">
        <w:rPr>
          <w:iCs/>
          <w:sz w:val="20"/>
          <w:szCs w:val="28"/>
          <w:lang w:val="pt-BR"/>
        </w:rPr>
        <w:t xml:space="preserve">demanda, </w:t>
      </w:r>
      <w:r w:rsidR="0089298C" w:rsidRPr="002F50BD">
        <w:rPr>
          <w:iCs/>
          <w:sz w:val="20"/>
          <w:szCs w:val="28"/>
          <w:lang w:val="pt-BR"/>
        </w:rPr>
        <w:t>manifestou</w:t>
      </w:r>
      <w:r w:rsidR="004756C1" w:rsidRPr="002F50BD">
        <w:rPr>
          <w:iCs/>
          <w:sz w:val="20"/>
          <w:szCs w:val="28"/>
          <w:lang w:val="pt-BR"/>
        </w:rPr>
        <w:t xml:space="preserve"> s</w:t>
      </w:r>
      <w:r w:rsidR="008C58CB" w:rsidRPr="002F50BD">
        <w:rPr>
          <w:iCs/>
          <w:sz w:val="20"/>
          <w:szCs w:val="28"/>
          <w:lang w:val="pt-BR"/>
        </w:rPr>
        <w:t>e</w:t>
      </w:r>
      <w:r w:rsidR="004756C1" w:rsidRPr="002F50BD">
        <w:rPr>
          <w:iCs/>
          <w:sz w:val="20"/>
          <w:szCs w:val="28"/>
          <w:lang w:val="pt-BR"/>
        </w:rPr>
        <w:t xml:space="preserve">u </w:t>
      </w:r>
      <w:r w:rsidR="008C58CB" w:rsidRPr="002F50BD">
        <w:rPr>
          <w:iCs/>
          <w:sz w:val="20"/>
          <w:szCs w:val="28"/>
          <w:lang w:val="pt-BR"/>
        </w:rPr>
        <w:t xml:space="preserve">acatamento </w:t>
      </w:r>
      <w:r w:rsidR="0089298C" w:rsidRPr="002F50BD">
        <w:rPr>
          <w:iCs/>
          <w:sz w:val="20"/>
          <w:szCs w:val="28"/>
          <w:lang w:val="pt-BR"/>
        </w:rPr>
        <w:t xml:space="preserve">à solicitação </w:t>
      </w:r>
      <w:r w:rsidR="004756C1" w:rsidRPr="002F50BD">
        <w:rPr>
          <w:iCs/>
          <w:sz w:val="20"/>
          <w:szCs w:val="28"/>
          <w:lang w:val="pt-BR"/>
        </w:rPr>
        <w:t xml:space="preserve">de </w:t>
      </w:r>
      <w:r w:rsidR="004720A7">
        <w:rPr>
          <w:iCs/>
          <w:sz w:val="20"/>
          <w:szCs w:val="28"/>
          <w:lang w:val="pt-BR"/>
        </w:rPr>
        <w:t>fornecimento</w:t>
      </w:r>
      <w:r w:rsidR="004756C1" w:rsidRPr="002F50BD">
        <w:rPr>
          <w:iCs/>
          <w:sz w:val="20"/>
          <w:szCs w:val="28"/>
          <w:lang w:val="pt-BR"/>
        </w:rPr>
        <w:t xml:space="preserve"> de</w:t>
      </w:r>
      <w:r w:rsidR="0089298C" w:rsidRPr="002F50BD">
        <w:rPr>
          <w:iCs/>
          <w:sz w:val="20"/>
          <w:szCs w:val="28"/>
          <w:lang w:val="pt-BR"/>
        </w:rPr>
        <w:t xml:space="preserve"> um posto </w:t>
      </w:r>
      <w:r w:rsidR="004756C1" w:rsidRPr="002F50BD">
        <w:rPr>
          <w:iCs/>
          <w:sz w:val="20"/>
          <w:szCs w:val="28"/>
          <w:lang w:val="pt-BR"/>
        </w:rPr>
        <w:t xml:space="preserve">de </w:t>
      </w:r>
      <w:r w:rsidR="0089298C" w:rsidRPr="002F50BD">
        <w:rPr>
          <w:iCs/>
          <w:sz w:val="20"/>
          <w:szCs w:val="28"/>
          <w:lang w:val="pt-BR"/>
        </w:rPr>
        <w:t>saúde</w:t>
      </w:r>
      <w:r w:rsidR="004756C1" w:rsidRPr="002F50BD">
        <w:rPr>
          <w:iCs/>
          <w:sz w:val="20"/>
          <w:szCs w:val="28"/>
          <w:lang w:val="pt-BR"/>
        </w:rPr>
        <w:t>,</w:t>
      </w:r>
      <w:r w:rsidR="0089298C" w:rsidRPr="002F50BD">
        <w:rPr>
          <w:iCs/>
          <w:sz w:val="20"/>
          <w:szCs w:val="28"/>
          <w:lang w:val="pt-BR"/>
        </w:rPr>
        <w:t xml:space="preserve"> </w:t>
      </w:r>
      <w:r w:rsidR="008C58CB" w:rsidRPr="002F50BD">
        <w:rPr>
          <w:iCs/>
          <w:sz w:val="20"/>
          <w:szCs w:val="28"/>
          <w:lang w:val="pt-BR"/>
        </w:rPr>
        <w:t xml:space="preserve">de </w:t>
      </w:r>
      <w:r w:rsidR="0089298C" w:rsidRPr="002F50BD">
        <w:rPr>
          <w:iCs/>
          <w:sz w:val="20"/>
          <w:szCs w:val="28"/>
          <w:lang w:val="pt-BR"/>
        </w:rPr>
        <w:t xml:space="preserve">uma </w:t>
      </w:r>
      <w:r w:rsidR="004076AD" w:rsidRPr="002F50BD">
        <w:rPr>
          <w:iCs/>
          <w:sz w:val="20"/>
          <w:szCs w:val="28"/>
          <w:lang w:val="pt-BR"/>
        </w:rPr>
        <w:t>escola</w:t>
      </w:r>
      <w:r w:rsidR="004756C1" w:rsidRPr="002F50BD">
        <w:rPr>
          <w:iCs/>
          <w:sz w:val="20"/>
          <w:szCs w:val="28"/>
          <w:lang w:val="pt-BR"/>
        </w:rPr>
        <w:t xml:space="preserve">, </w:t>
      </w:r>
      <w:r w:rsidR="008C58CB" w:rsidRPr="002F50BD">
        <w:rPr>
          <w:iCs/>
          <w:sz w:val="20"/>
          <w:szCs w:val="28"/>
          <w:lang w:val="pt-BR"/>
        </w:rPr>
        <w:t xml:space="preserve">da </w:t>
      </w:r>
      <w:r w:rsidR="004076AD" w:rsidRPr="002F50BD">
        <w:rPr>
          <w:iCs/>
          <w:sz w:val="20"/>
          <w:szCs w:val="28"/>
          <w:lang w:val="pt-BR"/>
        </w:rPr>
        <w:t>provisão</w:t>
      </w:r>
      <w:r w:rsidR="004756C1" w:rsidRPr="002F50BD">
        <w:rPr>
          <w:iCs/>
          <w:sz w:val="20"/>
          <w:szCs w:val="28"/>
          <w:lang w:val="pt-BR"/>
        </w:rPr>
        <w:t xml:space="preserve"> de</w:t>
      </w:r>
      <w:r w:rsidR="00AB454A" w:rsidRPr="002F50BD">
        <w:rPr>
          <w:iCs/>
          <w:sz w:val="20"/>
          <w:szCs w:val="28"/>
          <w:lang w:val="pt-BR"/>
        </w:rPr>
        <w:t xml:space="preserve"> água potável </w:t>
      </w:r>
      <w:r w:rsidR="004756C1" w:rsidRPr="002F50BD">
        <w:rPr>
          <w:iCs/>
          <w:sz w:val="20"/>
          <w:szCs w:val="28"/>
          <w:lang w:val="pt-BR"/>
        </w:rPr>
        <w:t xml:space="preserve">e </w:t>
      </w:r>
      <w:r w:rsidR="008C58CB" w:rsidRPr="002F50BD">
        <w:rPr>
          <w:iCs/>
          <w:sz w:val="20"/>
          <w:szCs w:val="28"/>
          <w:lang w:val="pt-BR"/>
        </w:rPr>
        <w:t xml:space="preserve">de </w:t>
      </w:r>
      <w:r w:rsidR="004756C1" w:rsidRPr="002F50BD">
        <w:rPr>
          <w:iCs/>
          <w:sz w:val="20"/>
          <w:szCs w:val="28"/>
          <w:lang w:val="pt-BR"/>
        </w:rPr>
        <w:t>infra</w:t>
      </w:r>
      <w:r w:rsidR="0089298C" w:rsidRPr="002F50BD">
        <w:rPr>
          <w:iCs/>
          <w:sz w:val="20"/>
          <w:szCs w:val="28"/>
          <w:lang w:val="pt-BR"/>
        </w:rPr>
        <w:t>estrutura</w:t>
      </w:r>
      <w:r w:rsidR="004756C1" w:rsidRPr="002F50BD">
        <w:rPr>
          <w:iCs/>
          <w:sz w:val="20"/>
          <w:szCs w:val="28"/>
          <w:lang w:val="pt-BR"/>
        </w:rPr>
        <w:t xml:space="preserve"> </w:t>
      </w:r>
      <w:r w:rsidR="00A50140" w:rsidRPr="002F50BD">
        <w:rPr>
          <w:iCs/>
          <w:sz w:val="20"/>
          <w:szCs w:val="28"/>
          <w:lang w:val="pt-BR"/>
        </w:rPr>
        <w:t>sanitária</w:t>
      </w:r>
      <w:r w:rsidR="004756C1" w:rsidRPr="002F50BD">
        <w:rPr>
          <w:iCs/>
          <w:sz w:val="20"/>
          <w:szCs w:val="28"/>
          <w:lang w:val="pt-BR"/>
        </w:rPr>
        <w:t xml:space="preserve"> para</w:t>
      </w:r>
      <w:r w:rsidR="0089298C" w:rsidRPr="002F50BD">
        <w:rPr>
          <w:iCs/>
          <w:sz w:val="20"/>
          <w:szCs w:val="28"/>
          <w:lang w:val="pt-BR"/>
        </w:rPr>
        <w:t xml:space="preserve"> a </w:t>
      </w:r>
      <w:r w:rsidR="004756C1" w:rsidRPr="002F50BD">
        <w:rPr>
          <w:iCs/>
          <w:sz w:val="20"/>
          <w:szCs w:val="28"/>
          <w:lang w:val="pt-BR"/>
        </w:rPr>
        <w:t>comu</w:t>
      </w:r>
      <w:r w:rsidR="00AB454A" w:rsidRPr="002F50BD">
        <w:rPr>
          <w:iCs/>
          <w:sz w:val="20"/>
          <w:szCs w:val="28"/>
          <w:lang w:val="pt-BR"/>
        </w:rPr>
        <w:t xml:space="preserve">nidade, </w:t>
      </w:r>
      <w:r w:rsidR="0089298C" w:rsidRPr="002F50BD">
        <w:rPr>
          <w:iCs/>
          <w:sz w:val="20"/>
          <w:szCs w:val="28"/>
          <w:lang w:val="pt-BR"/>
        </w:rPr>
        <w:t xml:space="preserve">no </w:t>
      </w:r>
      <w:r w:rsidR="004756C1" w:rsidRPr="002F50BD">
        <w:rPr>
          <w:iCs/>
          <w:sz w:val="20"/>
          <w:szCs w:val="28"/>
          <w:lang w:val="pt-BR"/>
        </w:rPr>
        <w:t>lugar que</w:t>
      </w:r>
      <w:r w:rsidR="0089298C" w:rsidRPr="002F50BD">
        <w:rPr>
          <w:iCs/>
          <w:sz w:val="20"/>
          <w:szCs w:val="28"/>
          <w:lang w:val="pt-BR"/>
        </w:rPr>
        <w:t xml:space="preserve"> o </w:t>
      </w:r>
      <w:r w:rsidR="004756C1" w:rsidRPr="002F50BD">
        <w:rPr>
          <w:iCs/>
          <w:sz w:val="20"/>
          <w:szCs w:val="28"/>
          <w:lang w:val="pt-BR"/>
        </w:rPr>
        <w:t xml:space="preserve">Estado </w:t>
      </w:r>
      <w:r w:rsidR="0089298C" w:rsidRPr="002F50BD">
        <w:rPr>
          <w:iCs/>
          <w:sz w:val="20"/>
          <w:szCs w:val="28"/>
          <w:lang w:val="pt-BR"/>
        </w:rPr>
        <w:t>possa</w:t>
      </w:r>
      <w:r w:rsidR="004756C1" w:rsidRPr="002F50BD">
        <w:rPr>
          <w:iCs/>
          <w:sz w:val="20"/>
          <w:szCs w:val="28"/>
          <w:lang w:val="pt-BR"/>
        </w:rPr>
        <w:t xml:space="preserve"> </w:t>
      </w:r>
      <w:r w:rsidR="0089298C" w:rsidRPr="002F50BD">
        <w:rPr>
          <w:iCs/>
          <w:sz w:val="20"/>
          <w:szCs w:val="28"/>
          <w:lang w:val="pt-BR"/>
        </w:rPr>
        <w:t>estabelece</w:t>
      </w:r>
      <w:r w:rsidR="004756C1" w:rsidRPr="002F50BD">
        <w:rPr>
          <w:iCs/>
          <w:sz w:val="20"/>
          <w:szCs w:val="28"/>
          <w:lang w:val="pt-BR"/>
        </w:rPr>
        <w:t xml:space="preserve">r </w:t>
      </w:r>
      <w:r w:rsidR="0089298C" w:rsidRPr="002F50BD">
        <w:rPr>
          <w:iCs/>
          <w:sz w:val="20"/>
          <w:szCs w:val="28"/>
          <w:lang w:val="pt-BR"/>
        </w:rPr>
        <w:t>este</w:t>
      </w:r>
      <w:r w:rsidR="004756C1" w:rsidRPr="002F50BD">
        <w:rPr>
          <w:iCs/>
          <w:sz w:val="20"/>
          <w:szCs w:val="28"/>
          <w:lang w:val="pt-BR"/>
        </w:rPr>
        <w:t xml:space="preserve">s </w:t>
      </w:r>
      <w:r w:rsidR="0089298C" w:rsidRPr="002F50BD">
        <w:rPr>
          <w:iCs/>
          <w:sz w:val="20"/>
          <w:szCs w:val="28"/>
          <w:lang w:val="pt-BR"/>
        </w:rPr>
        <w:t>serviço</w:t>
      </w:r>
      <w:r w:rsidR="004756C1" w:rsidRPr="002F50BD">
        <w:rPr>
          <w:iCs/>
          <w:sz w:val="20"/>
          <w:szCs w:val="28"/>
          <w:lang w:val="pt-BR"/>
        </w:rPr>
        <w:t xml:space="preserve">s </w:t>
      </w:r>
      <w:r w:rsidR="008C58CB" w:rsidRPr="002F50BD">
        <w:rPr>
          <w:iCs/>
          <w:sz w:val="20"/>
          <w:szCs w:val="28"/>
          <w:lang w:val="pt-BR"/>
        </w:rPr>
        <w:t xml:space="preserve">o mais próximo </w:t>
      </w:r>
      <w:r w:rsidR="0089298C" w:rsidRPr="002F50BD">
        <w:rPr>
          <w:iCs/>
          <w:sz w:val="20"/>
          <w:szCs w:val="28"/>
          <w:lang w:val="pt-BR"/>
        </w:rPr>
        <w:t xml:space="preserve">possível </w:t>
      </w:r>
      <w:r w:rsidR="004756C1" w:rsidRPr="002F50BD">
        <w:rPr>
          <w:iCs/>
          <w:sz w:val="20"/>
          <w:szCs w:val="28"/>
          <w:lang w:val="pt-BR"/>
        </w:rPr>
        <w:t>a</w:t>
      </w:r>
      <w:r w:rsidR="0089298C" w:rsidRPr="002F50BD">
        <w:rPr>
          <w:iCs/>
          <w:sz w:val="20"/>
          <w:szCs w:val="28"/>
          <w:lang w:val="pt-BR"/>
        </w:rPr>
        <w:t xml:space="preserve"> um </w:t>
      </w:r>
      <w:r w:rsidR="00AB454A" w:rsidRPr="002F50BD">
        <w:rPr>
          <w:iCs/>
          <w:sz w:val="20"/>
          <w:szCs w:val="28"/>
          <w:lang w:val="pt-BR"/>
        </w:rPr>
        <w:t>assentamento</w:t>
      </w:r>
      <w:r w:rsidR="004756C1" w:rsidRPr="002F50BD">
        <w:rPr>
          <w:iCs/>
          <w:sz w:val="20"/>
          <w:szCs w:val="28"/>
          <w:lang w:val="pt-BR"/>
        </w:rPr>
        <w:t xml:space="preserve"> provis</w:t>
      </w:r>
      <w:r w:rsidR="008C58CB" w:rsidRPr="002F50BD">
        <w:rPr>
          <w:iCs/>
          <w:sz w:val="20"/>
          <w:szCs w:val="28"/>
          <w:lang w:val="pt-BR"/>
        </w:rPr>
        <w:t>ó</w:t>
      </w:r>
      <w:r w:rsidR="004756C1" w:rsidRPr="002F50BD">
        <w:rPr>
          <w:iCs/>
          <w:sz w:val="20"/>
          <w:szCs w:val="28"/>
          <w:lang w:val="pt-BR"/>
        </w:rPr>
        <w:t xml:space="preserve">rio. </w:t>
      </w:r>
      <w:r w:rsidR="008C58CB" w:rsidRPr="002F50BD">
        <w:rPr>
          <w:iCs/>
          <w:sz w:val="20"/>
          <w:szCs w:val="28"/>
          <w:lang w:val="pt-BR"/>
        </w:rPr>
        <w:t xml:space="preserve">Além disso, </w:t>
      </w:r>
      <w:r w:rsidR="004756C1" w:rsidRPr="002F50BD">
        <w:rPr>
          <w:iCs/>
          <w:sz w:val="20"/>
          <w:szCs w:val="28"/>
          <w:lang w:val="pt-BR"/>
        </w:rPr>
        <w:t>que</w:t>
      </w:r>
      <w:r w:rsidR="00C8165F" w:rsidRPr="002F50BD">
        <w:rPr>
          <w:iCs/>
          <w:sz w:val="20"/>
          <w:szCs w:val="28"/>
          <w:lang w:val="pt-BR"/>
        </w:rPr>
        <w:t>,</w:t>
      </w:r>
      <w:r w:rsidR="004756C1" w:rsidRPr="002F50BD">
        <w:rPr>
          <w:iCs/>
          <w:sz w:val="20"/>
          <w:szCs w:val="28"/>
          <w:lang w:val="pt-BR"/>
        </w:rPr>
        <w:t xml:space="preserve"> </w:t>
      </w:r>
      <w:r w:rsidR="004756C1" w:rsidRPr="002F50BD">
        <w:rPr>
          <w:sz w:val="20"/>
          <w:szCs w:val="28"/>
          <w:lang w:val="pt-BR"/>
        </w:rPr>
        <w:t>“</w:t>
      </w:r>
      <w:r w:rsidR="008C58CB" w:rsidRPr="002F50BD">
        <w:rPr>
          <w:sz w:val="20"/>
          <w:szCs w:val="28"/>
          <w:lang w:val="pt-BR"/>
        </w:rPr>
        <w:t xml:space="preserve">na medida do </w:t>
      </w:r>
      <w:r w:rsidR="0089298C" w:rsidRPr="002F50BD">
        <w:rPr>
          <w:sz w:val="20"/>
          <w:szCs w:val="28"/>
          <w:lang w:val="pt-BR"/>
        </w:rPr>
        <w:t>possível</w:t>
      </w:r>
      <w:r w:rsidR="00C8165F" w:rsidRPr="002F50BD">
        <w:rPr>
          <w:sz w:val="20"/>
          <w:szCs w:val="28"/>
          <w:lang w:val="pt-BR"/>
        </w:rPr>
        <w:t>,</w:t>
      </w:r>
      <w:r w:rsidR="0089298C" w:rsidRPr="002F50BD">
        <w:rPr>
          <w:sz w:val="20"/>
          <w:szCs w:val="28"/>
          <w:lang w:val="pt-BR"/>
        </w:rPr>
        <w:t xml:space="preserve"> </w:t>
      </w:r>
      <w:r w:rsidR="008C58CB" w:rsidRPr="002F50BD">
        <w:rPr>
          <w:sz w:val="20"/>
          <w:szCs w:val="28"/>
          <w:lang w:val="pt-BR"/>
        </w:rPr>
        <w:t xml:space="preserve">acata </w:t>
      </w:r>
      <w:r w:rsidR="00CF451D" w:rsidRPr="00CF451D">
        <w:rPr>
          <w:sz w:val="20"/>
          <w:szCs w:val="28"/>
          <w:lang w:val="pt-BR"/>
        </w:rPr>
        <w:t>(</w:t>
      </w:r>
      <w:r w:rsidR="008C58CB" w:rsidRPr="002F50BD">
        <w:rPr>
          <w:sz w:val="20"/>
          <w:szCs w:val="28"/>
          <w:lang w:val="pt-BR"/>
        </w:rPr>
        <w:t>o</w:t>
      </w:r>
      <w:r w:rsidR="004756C1" w:rsidRPr="002F50BD">
        <w:rPr>
          <w:sz w:val="20"/>
          <w:szCs w:val="28"/>
          <w:lang w:val="pt-BR"/>
        </w:rPr>
        <w:t xml:space="preserve"> pedido de </w:t>
      </w:r>
      <w:r w:rsidR="008C58CB" w:rsidRPr="002F50BD">
        <w:rPr>
          <w:sz w:val="20"/>
          <w:szCs w:val="28"/>
          <w:lang w:val="pt-BR"/>
        </w:rPr>
        <w:t>fornecer</w:t>
      </w:r>
      <w:r w:rsidR="00CF451D" w:rsidRPr="00CF451D">
        <w:rPr>
          <w:sz w:val="20"/>
          <w:szCs w:val="28"/>
          <w:lang w:val="pt-BR"/>
        </w:rPr>
        <w:t>)</w:t>
      </w:r>
      <w:r w:rsidR="004756C1" w:rsidRPr="002F50BD">
        <w:rPr>
          <w:sz w:val="20"/>
          <w:szCs w:val="28"/>
          <w:lang w:val="pt-BR"/>
        </w:rPr>
        <w:t xml:space="preserve"> </w:t>
      </w:r>
      <w:r w:rsidR="0089298C" w:rsidRPr="002F50BD">
        <w:rPr>
          <w:sz w:val="20"/>
          <w:szCs w:val="28"/>
          <w:lang w:val="pt-BR"/>
        </w:rPr>
        <w:t>atenção</w:t>
      </w:r>
      <w:r w:rsidR="004756C1" w:rsidRPr="002F50BD">
        <w:rPr>
          <w:sz w:val="20"/>
          <w:szCs w:val="28"/>
          <w:lang w:val="pt-BR"/>
        </w:rPr>
        <w:t xml:space="preserve"> médica</w:t>
      </w:r>
      <w:r w:rsidR="0089298C" w:rsidRPr="002F50BD">
        <w:rPr>
          <w:sz w:val="20"/>
          <w:szCs w:val="28"/>
          <w:lang w:val="pt-BR"/>
        </w:rPr>
        <w:t xml:space="preserve"> e </w:t>
      </w:r>
      <w:r w:rsidR="004756C1" w:rsidRPr="002F50BD">
        <w:rPr>
          <w:sz w:val="20"/>
          <w:szCs w:val="28"/>
          <w:lang w:val="pt-BR"/>
        </w:rPr>
        <w:t>educa</w:t>
      </w:r>
      <w:r w:rsidR="0089298C" w:rsidRPr="002F50BD">
        <w:rPr>
          <w:sz w:val="20"/>
          <w:szCs w:val="28"/>
          <w:lang w:val="pt-BR"/>
        </w:rPr>
        <w:t>ção</w:t>
      </w:r>
      <w:r w:rsidR="004756C1" w:rsidRPr="002F50BD">
        <w:rPr>
          <w:sz w:val="20"/>
          <w:szCs w:val="28"/>
          <w:lang w:val="pt-BR"/>
        </w:rPr>
        <w:t xml:space="preserve"> conforme</w:t>
      </w:r>
      <w:r w:rsidR="0089298C" w:rsidRPr="002F50BD">
        <w:rPr>
          <w:sz w:val="20"/>
          <w:szCs w:val="28"/>
          <w:lang w:val="pt-BR"/>
        </w:rPr>
        <w:t xml:space="preserve"> os </w:t>
      </w:r>
      <w:r w:rsidR="00AB454A" w:rsidRPr="002F50BD">
        <w:rPr>
          <w:sz w:val="20"/>
          <w:szCs w:val="28"/>
          <w:lang w:val="pt-BR"/>
        </w:rPr>
        <w:t>planos</w:t>
      </w:r>
      <w:r w:rsidR="004756C1" w:rsidRPr="002F50BD">
        <w:rPr>
          <w:sz w:val="20"/>
          <w:szCs w:val="28"/>
          <w:lang w:val="pt-BR"/>
        </w:rPr>
        <w:t xml:space="preserve"> de educa</w:t>
      </w:r>
      <w:r w:rsidR="0089298C" w:rsidRPr="002F50BD">
        <w:rPr>
          <w:sz w:val="20"/>
          <w:szCs w:val="28"/>
          <w:lang w:val="pt-BR"/>
        </w:rPr>
        <w:t xml:space="preserve">ção e </w:t>
      </w:r>
      <w:r w:rsidR="004756C1" w:rsidRPr="002F50BD">
        <w:rPr>
          <w:sz w:val="20"/>
          <w:szCs w:val="28"/>
          <w:lang w:val="pt-BR"/>
        </w:rPr>
        <w:t xml:space="preserve">de </w:t>
      </w:r>
      <w:r w:rsidR="0089298C" w:rsidRPr="002F50BD">
        <w:rPr>
          <w:sz w:val="20"/>
          <w:szCs w:val="28"/>
          <w:lang w:val="pt-BR"/>
        </w:rPr>
        <w:t>saúde</w:t>
      </w:r>
      <w:r w:rsidR="004756C1" w:rsidRPr="002F50BD">
        <w:rPr>
          <w:sz w:val="20"/>
          <w:szCs w:val="28"/>
          <w:lang w:val="pt-BR"/>
        </w:rPr>
        <w:t xml:space="preserve"> previstos</w:t>
      </w:r>
      <w:r w:rsidR="0089298C" w:rsidRPr="002F50BD">
        <w:rPr>
          <w:sz w:val="20"/>
          <w:szCs w:val="28"/>
          <w:lang w:val="pt-BR"/>
        </w:rPr>
        <w:t xml:space="preserve"> pelo </w:t>
      </w:r>
      <w:r w:rsidR="004756C1" w:rsidRPr="002F50BD">
        <w:rPr>
          <w:sz w:val="20"/>
          <w:szCs w:val="28"/>
          <w:lang w:val="pt-BR"/>
        </w:rPr>
        <w:t>Estado”.</w:t>
      </w:r>
    </w:p>
    <w:p w:rsidR="004756C1" w:rsidRPr="002F50BD" w:rsidRDefault="004756C1">
      <w:pPr>
        <w:pStyle w:val="BlockText"/>
        <w:spacing w:line="240" w:lineRule="auto"/>
        <w:ind w:left="0" w:right="0"/>
        <w:rPr>
          <w:b/>
          <w:sz w:val="20"/>
          <w:szCs w:val="28"/>
          <w:lang w:val="pt-BR"/>
        </w:rPr>
      </w:pPr>
    </w:p>
    <w:p w:rsidR="004756C1" w:rsidRPr="002F50BD" w:rsidRDefault="00063B47">
      <w:pPr>
        <w:pStyle w:val="BlockText"/>
        <w:spacing w:line="240" w:lineRule="auto"/>
        <w:ind w:left="0" w:right="0"/>
        <w:rPr>
          <w:sz w:val="20"/>
          <w:szCs w:val="28"/>
          <w:lang w:val="pt-BR"/>
        </w:rPr>
      </w:pPr>
      <w:r w:rsidRPr="002F50BD">
        <w:rPr>
          <w:sz w:val="20"/>
          <w:szCs w:val="28"/>
          <w:lang w:val="pt-BR"/>
        </w:rPr>
        <w:t>12</w:t>
      </w:r>
      <w:r w:rsidR="004756C1" w:rsidRPr="002F50BD">
        <w:rPr>
          <w:i/>
          <w:sz w:val="20"/>
          <w:szCs w:val="28"/>
          <w:lang w:val="pt-BR"/>
        </w:rPr>
        <w:t>.</w:t>
      </w:r>
      <w:r w:rsidR="004756C1" w:rsidRPr="002F50BD">
        <w:rPr>
          <w:sz w:val="20"/>
          <w:szCs w:val="28"/>
          <w:lang w:val="pt-BR"/>
        </w:rPr>
        <w:tab/>
      </w:r>
      <w:r w:rsidR="004756C1" w:rsidRPr="002F50BD">
        <w:rPr>
          <w:iCs/>
          <w:sz w:val="20"/>
          <w:szCs w:val="28"/>
          <w:lang w:val="pt-BR"/>
        </w:rPr>
        <w:t>Est</w:t>
      </w:r>
      <w:r w:rsidR="008C58CB" w:rsidRPr="002F50BD">
        <w:rPr>
          <w:iCs/>
          <w:sz w:val="20"/>
          <w:szCs w:val="28"/>
          <w:lang w:val="pt-BR"/>
        </w:rPr>
        <w:t>e</w:t>
      </w:r>
      <w:r w:rsidR="004756C1" w:rsidRPr="002F50BD">
        <w:rPr>
          <w:iCs/>
          <w:sz w:val="20"/>
          <w:szCs w:val="28"/>
          <w:lang w:val="pt-BR"/>
        </w:rPr>
        <w:t xml:space="preserve"> último motiv</w:t>
      </w:r>
      <w:r w:rsidR="008C58CB" w:rsidRPr="002F50BD">
        <w:rPr>
          <w:iCs/>
          <w:sz w:val="20"/>
          <w:szCs w:val="28"/>
          <w:lang w:val="pt-BR"/>
        </w:rPr>
        <w:t>ou</w:t>
      </w:r>
      <w:r w:rsidR="0089298C" w:rsidRPr="002F50BD">
        <w:rPr>
          <w:iCs/>
          <w:sz w:val="20"/>
          <w:szCs w:val="28"/>
          <w:lang w:val="pt-BR"/>
        </w:rPr>
        <w:t xml:space="preserve"> a decisão da </w:t>
      </w:r>
      <w:r w:rsidR="004756C1" w:rsidRPr="002F50BD">
        <w:rPr>
          <w:iCs/>
          <w:sz w:val="20"/>
          <w:szCs w:val="28"/>
          <w:lang w:val="pt-BR"/>
        </w:rPr>
        <w:t>Corte,</w:t>
      </w:r>
      <w:r w:rsidR="0089298C" w:rsidRPr="002F50BD">
        <w:rPr>
          <w:iCs/>
          <w:sz w:val="20"/>
          <w:szCs w:val="28"/>
          <w:lang w:val="pt-BR"/>
        </w:rPr>
        <w:t xml:space="preserve"> em </w:t>
      </w:r>
      <w:r w:rsidR="004756C1" w:rsidRPr="002F50BD">
        <w:rPr>
          <w:iCs/>
          <w:sz w:val="20"/>
          <w:szCs w:val="28"/>
          <w:lang w:val="pt-BR"/>
        </w:rPr>
        <w:t>rela</w:t>
      </w:r>
      <w:r w:rsidR="0089298C" w:rsidRPr="002F50BD">
        <w:rPr>
          <w:iCs/>
          <w:sz w:val="20"/>
          <w:szCs w:val="28"/>
          <w:lang w:val="pt-BR"/>
        </w:rPr>
        <w:t xml:space="preserve">ção </w:t>
      </w:r>
      <w:r w:rsidR="008C58CB" w:rsidRPr="002F50BD">
        <w:rPr>
          <w:iCs/>
          <w:sz w:val="20"/>
          <w:szCs w:val="28"/>
          <w:lang w:val="pt-BR"/>
        </w:rPr>
        <w:t>à</w:t>
      </w:r>
      <w:r w:rsidR="0089298C" w:rsidRPr="002F50BD">
        <w:rPr>
          <w:iCs/>
          <w:sz w:val="20"/>
          <w:szCs w:val="28"/>
          <w:lang w:val="pt-BR"/>
        </w:rPr>
        <w:t xml:space="preserve">s </w:t>
      </w:r>
      <w:r w:rsidR="004756C1" w:rsidRPr="002F50BD">
        <w:rPr>
          <w:iCs/>
          <w:sz w:val="20"/>
          <w:szCs w:val="28"/>
          <w:lang w:val="pt-BR"/>
        </w:rPr>
        <w:t>repara</w:t>
      </w:r>
      <w:r w:rsidR="0089298C" w:rsidRPr="002F50BD">
        <w:rPr>
          <w:iCs/>
          <w:sz w:val="20"/>
          <w:szCs w:val="28"/>
          <w:lang w:val="pt-BR"/>
        </w:rPr>
        <w:t>ções</w:t>
      </w:r>
      <w:r w:rsidR="004756C1" w:rsidRPr="002F50BD">
        <w:rPr>
          <w:iCs/>
          <w:sz w:val="20"/>
          <w:szCs w:val="28"/>
          <w:lang w:val="pt-BR"/>
        </w:rPr>
        <w:t>,</w:t>
      </w:r>
      <w:r w:rsidR="0089298C" w:rsidRPr="002F50BD">
        <w:rPr>
          <w:iCs/>
          <w:sz w:val="20"/>
          <w:szCs w:val="28"/>
          <w:lang w:val="pt-BR"/>
        </w:rPr>
        <w:t xml:space="preserve"> ao </w:t>
      </w:r>
      <w:r w:rsidR="004756C1" w:rsidRPr="002F50BD">
        <w:rPr>
          <w:iCs/>
          <w:sz w:val="20"/>
          <w:szCs w:val="28"/>
          <w:lang w:val="pt-BR"/>
        </w:rPr>
        <w:t xml:space="preserve">ordenar que </w:t>
      </w:r>
      <w:r w:rsidR="004756C1" w:rsidRPr="002F50BD">
        <w:rPr>
          <w:sz w:val="20"/>
          <w:szCs w:val="28"/>
          <w:lang w:val="pt-BR"/>
        </w:rPr>
        <w:t>“...</w:t>
      </w:r>
      <w:r w:rsidR="0089298C" w:rsidRPr="002F50BD">
        <w:rPr>
          <w:sz w:val="20"/>
          <w:szCs w:val="28"/>
          <w:lang w:val="pt-BR"/>
        </w:rPr>
        <w:t xml:space="preserve">enquanto a Comunidade </w:t>
      </w:r>
      <w:r w:rsidR="004756C1" w:rsidRPr="002F50BD">
        <w:rPr>
          <w:sz w:val="20"/>
          <w:szCs w:val="28"/>
          <w:lang w:val="pt-BR"/>
        </w:rPr>
        <w:t xml:space="preserve">se </w:t>
      </w:r>
      <w:r w:rsidR="0089298C" w:rsidRPr="002F50BD">
        <w:rPr>
          <w:sz w:val="20"/>
          <w:szCs w:val="28"/>
          <w:lang w:val="pt-BR"/>
        </w:rPr>
        <w:t>encontra sem terra</w:t>
      </w:r>
      <w:r w:rsidR="004756C1" w:rsidRPr="002F50BD">
        <w:rPr>
          <w:sz w:val="20"/>
          <w:szCs w:val="28"/>
          <w:lang w:val="pt-BR"/>
        </w:rPr>
        <w:t>s, dad</w:t>
      </w:r>
      <w:r w:rsidR="00754117" w:rsidRPr="002F50BD">
        <w:rPr>
          <w:sz w:val="20"/>
          <w:szCs w:val="28"/>
          <w:lang w:val="pt-BR"/>
        </w:rPr>
        <w:t>o</w:t>
      </w:r>
      <w:r w:rsidR="004756C1" w:rsidRPr="002F50BD">
        <w:rPr>
          <w:sz w:val="20"/>
          <w:szCs w:val="28"/>
          <w:lang w:val="pt-BR"/>
        </w:rPr>
        <w:t xml:space="preserve"> s</w:t>
      </w:r>
      <w:r w:rsidR="008C58CB" w:rsidRPr="002F50BD">
        <w:rPr>
          <w:sz w:val="20"/>
          <w:szCs w:val="28"/>
          <w:lang w:val="pt-BR"/>
        </w:rPr>
        <w:t>e</w:t>
      </w:r>
      <w:r w:rsidR="004756C1" w:rsidRPr="002F50BD">
        <w:rPr>
          <w:sz w:val="20"/>
          <w:szCs w:val="28"/>
          <w:lang w:val="pt-BR"/>
        </w:rPr>
        <w:t xml:space="preserve">u especial estado de </w:t>
      </w:r>
      <w:r w:rsidR="0089298C" w:rsidRPr="002F50BD">
        <w:rPr>
          <w:sz w:val="20"/>
          <w:szCs w:val="28"/>
          <w:lang w:val="pt-BR"/>
        </w:rPr>
        <w:t xml:space="preserve">vulnerabilidade </w:t>
      </w:r>
      <w:r w:rsidR="008C58CB" w:rsidRPr="002F50BD">
        <w:rPr>
          <w:sz w:val="20"/>
          <w:szCs w:val="28"/>
          <w:lang w:val="pt-BR"/>
        </w:rPr>
        <w:t>e</w:t>
      </w:r>
      <w:r w:rsidR="0089298C" w:rsidRPr="002F50BD">
        <w:rPr>
          <w:sz w:val="20"/>
          <w:szCs w:val="28"/>
          <w:lang w:val="pt-BR"/>
        </w:rPr>
        <w:t xml:space="preserve"> </w:t>
      </w:r>
      <w:r w:rsidR="004756C1" w:rsidRPr="002F50BD">
        <w:rPr>
          <w:sz w:val="20"/>
          <w:szCs w:val="28"/>
          <w:lang w:val="pt-BR"/>
        </w:rPr>
        <w:t>su</w:t>
      </w:r>
      <w:r w:rsidR="008C58CB" w:rsidRPr="002F50BD">
        <w:rPr>
          <w:sz w:val="20"/>
          <w:szCs w:val="28"/>
          <w:lang w:val="pt-BR"/>
        </w:rPr>
        <w:t>a</w:t>
      </w:r>
      <w:r w:rsidR="004756C1" w:rsidRPr="002F50BD">
        <w:rPr>
          <w:sz w:val="20"/>
          <w:szCs w:val="28"/>
          <w:lang w:val="pt-BR"/>
        </w:rPr>
        <w:t xml:space="preserve"> im</w:t>
      </w:r>
      <w:r w:rsidR="0089298C" w:rsidRPr="002F50BD">
        <w:rPr>
          <w:sz w:val="20"/>
          <w:szCs w:val="28"/>
          <w:lang w:val="pt-BR"/>
        </w:rPr>
        <w:t xml:space="preserve">possibilidade </w:t>
      </w:r>
      <w:r w:rsidR="004756C1" w:rsidRPr="002F50BD">
        <w:rPr>
          <w:sz w:val="20"/>
          <w:szCs w:val="28"/>
          <w:lang w:val="pt-BR"/>
        </w:rPr>
        <w:t xml:space="preserve">de </w:t>
      </w:r>
      <w:r w:rsidR="008C58CB" w:rsidRPr="002F50BD">
        <w:rPr>
          <w:sz w:val="20"/>
          <w:szCs w:val="28"/>
          <w:lang w:val="pt-BR"/>
        </w:rPr>
        <w:t xml:space="preserve">ter acesso a seus </w:t>
      </w:r>
      <w:r w:rsidR="004756C1" w:rsidRPr="002F50BD">
        <w:rPr>
          <w:sz w:val="20"/>
          <w:szCs w:val="28"/>
          <w:lang w:val="pt-BR"/>
        </w:rPr>
        <w:t>mecanismos tr</w:t>
      </w:r>
      <w:r w:rsidR="0089298C" w:rsidRPr="002F50BD">
        <w:rPr>
          <w:sz w:val="20"/>
          <w:szCs w:val="28"/>
          <w:lang w:val="pt-BR"/>
        </w:rPr>
        <w:t>adicionais</w:t>
      </w:r>
      <w:r w:rsidR="004756C1" w:rsidRPr="002F50BD">
        <w:rPr>
          <w:sz w:val="20"/>
          <w:szCs w:val="28"/>
          <w:lang w:val="pt-BR"/>
        </w:rPr>
        <w:t xml:space="preserve"> de </w:t>
      </w:r>
      <w:r w:rsidR="0089298C" w:rsidRPr="002F50BD">
        <w:rPr>
          <w:sz w:val="20"/>
          <w:szCs w:val="28"/>
          <w:lang w:val="pt-BR"/>
        </w:rPr>
        <w:t>subsistência</w:t>
      </w:r>
      <w:r w:rsidR="004756C1" w:rsidRPr="002F50BD">
        <w:rPr>
          <w:sz w:val="20"/>
          <w:szCs w:val="28"/>
          <w:lang w:val="pt-BR"/>
        </w:rPr>
        <w:t>,</w:t>
      </w:r>
      <w:r w:rsidR="0089298C" w:rsidRPr="002F50BD">
        <w:rPr>
          <w:sz w:val="20"/>
          <w:szCs w:val="28"/>
          <w:lang w:val="pt-BR"/>
        </w:rPr>
        <w:t xml:space="preserve"> o </w:t>
      </w:r>
      <w:r w:rsidR="004756C1" w:rsidRPr="002F50BD">
        <w:rPr>
          <w:sz w:val="20"/>
          <w:szCs w:val="28"/>
          <w:lang w:val="pt-BR"/>
        </w:rPr>
        <w:t xml:space="preserve">Estado </w:t>
      </w:r>
      <w:r w:rsidR="0089298C" w:rsidRPr="002F50BD">
        <w:rPr>
          <w:sz w:val="20"/>
          <w:szCs w:val="28"/>
          <w:lang w:val="pt-BR"/>
        </w:rPr>
        <w:t>dever</w:t>
      </w:r>
      <w:r w:rsidR="004756C1" w:rsidRPr="002F50BD">
        <w:rPr>
          <w:sz w:val="20"/>
          <w:szCs w:val="28"/>
          <w:lang w:val="pt-BR"/>
        </w:rPr>
        <w:t xml:space="preserve">á </w:t>
      </w:r>
      <w:r w:rsidR="00A1447F" w:rsidRPr="002F50BD">
        <w:rPr>
          <w:sz w:val="20"/>
          <w:szCs w:val="28"/>
          <w:lang w:val="pt-BR"/>
        </w:rPr>
        <w:t>fornecer</w:t>
      </w:r>
      <w:r w:rsidR="00AB454A" w:rsidRPr="002F50BD">
        <w:rPr>
          <w:sz w:val="20"/>
          <w:szCs w:val="28"/>
          <w:lang w:val="pt-BR"/>
        </w:rPr>
        <w:t xml:space="preserve"> água potável </w:t>
      </w:r>
      <w:r w:rsidR="004756C1" w:rsidRPr="002F50BD">
        <w:rPr>
          <w:sz w:val="20"/>
          <w:szCs w:val="28"/>
          <w:lang w:val="pt-BR"/>
        </w:rPr>
        <w:t>suficiente para</w:t>
      </w:r>
      <w:r w:rsidR="0089298C" w:rsidRPr="002F50BD">
        <w:rPr>
          <w:sz w:val="20"/>
          <w:szCs w:val="28"/>
          <w:lang w:val="pt-BR"/>
        </w:rPr>
        <w:t xml:space="preserve"> o </w:t>
      </w:r>
      <w:r w:rsidR="004756C1" w:rsidRPr="002F50BD">
        <w:rPr>
          <w:sz w:val="20"/>
          <w:szCs w:val="28"/>
          <w:lang w:val="pt-BR"/>
        </w:rPr>
        <w:t>consumo</w:t>
      </w:r>
      <w:r w:rsidR="0089298C" w:rsidRPr="002F50BD">
        <w:rPr>
          <w:sz w:val="20"/>
          <w:szCs w:val="28"/>
          <w:lang w:val="pt-BR"/>
        </w:rPr>
        <w:t xml:space="preserve"> e </w:t>
      </w:r>
      <w:r w:rsidR="004756C1" w:rsidRPr="002F50BD">
        <w:rPr>
          <w:sz w:val="20"/>
          <w:szCs w:val="28"/>
          <w:lang w:val="pt-BR"/>
        </w:rPr>
        <w:t>as</w:t>
      </w:r>
      <w:r w:rsidR="008C58CB" w:rsidRPr="002F50BD">
        <w:rPr>
          <w:sz w:val="20"/>
          <w:szCs w:val="28"/>
          <w:lang w:val="pt-BR"/>
        </w:rPr>
        <w:t>s</w:t>
      </w:r>
      <w:r w:rsidR="004756C1" w:rsidRPr="002F50BD">
        <w:rPr>
          <w:sz w:val="20"/>
          <w:szCs w:val="28"/>
          <w:lang w:val="pt-BR"/>
        </w:rPr>
        <w:t>e</w:t>
      </w:r>
      <w:r w:rsidR="008C58CB" w:rsidRPr="002F50BD">
        <w:rPr>
          <w:sz w:val="20"/>
          <w:szCs w:val="28"/>
          <w:lang w:val="pt-BR"/>
        </w:rPr>
        <w:t>i</w:t>
      </w:r>
      <w:r w:rsidR="004756C1" w:rsidRPr="002F50BD">
        <w:rPr>
          <w:sz w:val="20"/>
          <w:szCs w:val="28"/>
          <w:lang w:val="pt-BR"/>
        </w:rPr>
        <w:t xml:space="preserve">o </w:t>
      </w:r>
      <w:r w:rsidR="0089298C" w:rsidRPr="002F50BD">
        <w:rPr>
          <w:sz w:val="20"/>
          <w:szCs w:val="28"/>
          <w:lang w:val="pt-BR"/>
        </w:rPr>
        <w:t>pessoa</w:t>
      </w:r>
      <w:r w:rsidR="004756C1" w:rsidRPr="002F50BD">
        <w:rPr>
          <w:sz w:val="20"/>
          <w:szCs w:val="28"/>
          <w:lang w:val="pt-BR"/>
        </w:rPr>
        <w:t>l</w:t>
      </w:r>
      <w:r w:rsidR="0089298C" w:rsidRPr="002F50BD">
        <w:rPr>
          <w:sz w:val="20"/>
          <w:szCs w:val="28"/>
          <w:lang w:val="pt-BR"/>
        </w:rPr>
        <w:t xml:space="preserve"> dos membro</w:t>
      </w:r>
      <w:r w:rsidR="004756C1" w:rsidRPr="002F50BD">
        <w:rPr>
          <w:sz w:val="20"/>
          <w:szCs w:val="28"/>
          <w:lang w:val="pt-BR"/>
        </w:rPr>
        <w:t>s</w:t>
      </w:r>
      <w:r w:rsidR="0089298C" w:rsidRPr="002F50BD">
        <w:rPr>
          <w:sz w:val="20"/>
          <w:szCs w:val="28"/>
          <w:lang w:val="pt-BR"/>
        </w:rPr>
        <w:t xml:space="preserve"> da </w:t>
      </w:r>
      <w:r w:rsidR="00C247F1" w:rsidRPr="002F50BD">
        <w:rPr>
          <w:sz w:val="20"/>
          <w:szCs w:val="28"/>
          <w:lang w:val="pt-BR"/>
        </w:rPr>
        <w:t>Comunidade;</w:t>
      </w:r>
      <w:r w:rsidR="004756C1" w:rsidRPr="002F50BD">
        <w:rPr>
          <w:sz w:val="20"/>
          <w:szCs w:val="28"/>
          <w:lang w:val="pt-BR"/>
        </w:rPr>
        <w:t xml:space="preserve"> </w:t>
      </w:r>
      <w:r w:rsidR="008C58CB" w:rsidRPr="002F50BD">
        <w:rPr>
          <w:sz w:val="20"/>
          <w:szCs w:val="28"/>
          <w:lang w:val="pt-BR"/>
        </w:rPr>
        <w:t xml:space="preserve">oferecer </w:t>
      </w:r>
      <w:r w:rsidR="0089298C" w:rsidRPr="002F50BD">
        <w:rPr>
          <w:sz w:val="20"/>
          <w:szCs w:val="28"/>
          <w:lang w:val="pt-BR"/>
        </w:rPr>
        <w:t>atenção</w:t>
      </w:r>
      <w:r w:rsidR="004756C1" w:rsidRPr="002F50BD">
        <w:rPr>
          <w:sz w:val="20"/>
          <w:szCs w:val="28"/>
          <w:lang w:val="pt-BR"/>
        </w:rPr>
        <w:t xml:space="preserve"> médica periódica</w:t>
      </w:r>
      <w:r w:rsidR="0089298C" w:rsidRPr="002F50BD">
        <w:rPr>
          <w:sz w:val="20"/>
          <w:szCs w:val="28"/>
          <w:lang w:val="pt-BR"/>
        </w:rPr>
        <w:t xml:space="preserve"> e </w:t>
      </w:r>
      <w:r w:rsidR="008C58CB" w:rsidRPr="002F50BD">
        <w:rPr>
          <w:sz w:val="20"/>
          <w:szCs w:val="28"/>
          <w:lang w:val="pt-BR"/>
        </w:rPr>
        <w:t xml:space="preserve">medicamentos </w:t>
      </w:r>
      <w:r w:rsidR="0089298C" w:rsidRPr="002F50BD">
        <w:rPr>
          <w:sz w:val="20"/>
          <w:szCs w:val="28"/>
          <w:lang w:val="pt-BR"/>
        </w:rPr>
        <w:t>adequad</w:t>
      </w:r>
      <w:r w:rsidR="008C58CB" w:rsidRPr="002F50BD">
        <w:rPr>
          <w:sz w:val="20"/>
          <w:szCs w:val="28"/>
          <w:lang w:val="pt-BR"/>
        </w:rPr>
        <w:t>o</w:t>
      </w:r>
      <w:r w:rsidR="004756C1" w:rsidRPr="002F50BD">
        <w:rPr>
          <w:sz w:val="20"/>
          <w:szCs w:val="28"/>
          <w:lang w:val="pt-BR"/>
        </w:rPr>
        <w:t>s para conservar</w:t>
      </w:r>
      <w:r w:rsidR="0089298C" w:rsidRPr="002F50BD">
        <w:rPr>
          <w:sz w:val="20"/>
          <w:szCs w:val="28"/>
          <w:lang w:val="pt-BR"/>
        </w:rPr>
        <w:t xml:space="preserve"> a saúde</w:t>
      </w:r>
      <w:r w:rsidR="004756C1" w:rsidRPr="002F50BD">
        <w:rPr>
          <w:sz w:val="20"/>
          <w:szCs w:val="28"/>
          <w:lang w:val="pt-BR"/>
        </w:rPr>
        <w:t xml:space="preserve"> de todas</w:t>
      </w:r>
      <w:r w:rsidR="0089298C" w:rsidRPr="002F50BD">
        <w:rPr>
          <w:sz w:val="20"/>
          <w:szCs w:val="28"/>
          <w:lang w:val="pt-BR"/>
        </w:rPr>
        <w:t xml:space="preserve"> as pessoa</w:t>
      </w:r>
      <w:r w:rsidR="004756C1" w:rsidRPr="002F50BD">
        <w:rPr>
          <w:sz w:val="20"/>
          <w:szCs w:val="28"/>
          <w:lang w:val="pt-BR"/>
        </w:rPr>
        <w:t>s, especialmente</w:t>
      </w:r>
      <w:r w:rsidR="0089298C" w:rsidRPr="002F50BD">
        <w:rPr>
          <w:sz w:val="20"/>
          <w:szCs w:val="28"/>
          <w:lang w:val="pt-BR"/>
        </w:rPr>
        <w:t xml:space="preserve"> </w:t>
      </w:r>
      <w:r w:rsidR="008C58CB" w:rsidRPr="002F50BD">
        <w:rPr>
          <w:sz w:val="20"/>
          <w:szCs w:val="28"/>
          <w:lang w:val="pt-BR"/>
        </w:rPr>
        <w:t>d</w:t>
      </w:r>
      <w:r w:rsidR="005A6BC7" w:rsidRPr="002F50BD">
        <w:rPr>
          <w:sz w:val="20"/>
          <w:szCs w:val="28"/>
          <w:lang w:val="pt-BR"/>
        </w:rPr>
        <w:t>as crianças</w:t>
      </w:r>
      <w:r w:rsidR="004756C1" w:rsidRPr="002F50BD">
        <w:rPr>
          <w:sz w:val="20"/>
          <w:szCs w:val="28"/>
          <w:lang w:val="pt-BR"/>
        </w:rPr>
        <w:t xml:space="preserve">, </w:t>
      </w:r>
      <w:r w:rsidR="008C58CB" w:rsidRPr="002F50BD">
        <w:rPr>
          <w:sz w:val="20"/>
          <w:szCs w:val="28"/>
          <w:lang w:val="pt-BR"/>
        </w:rPr>
        <w:t xml:space="preserve">dos idosos </w:t>
      </w:r>
      <w:r w:rsidR="0089298C" w:rsidRPr="002F50BD">
        <w:rPr>
          <w:sz w:val="20"/>
          <w:szCs w:val="28"/>
          <w:lang w:val="pt-BR"/>
        </w:rPr>
        <w:t xml:space="preserve">e </w:t>
      </w:r>
      <w:r w:rsidR="008C58CB" w:rsidRPr="002F50BD">
        <w:rPr>
          <w:sz w:val="20"/>
          <w:szCs w:val="28"/>
          <w:lang w:val="pt-BR"/>
        </w:rPr>
        <w:t xml:space="preserve">das </w:t>
      </w:r>
      <w:r w:rsidR="0089298C" w:rsidRPr="002F50BD">
        <w:rPr>
          <w:sz w:val="20"/>
          <w:szCs w:val="28"/>
          <w:lang w:val="pt-BR"/>
        </w:rPr>
        <w:t>mulher</w:t>
      </w:r>
      <w:r w:rsidR="004756C1" w:rsidRPr="002F50BD">
        <w:rPr>
          <w:sz w:val="20"/>
          <w:szCs w:val="28"/>
          <w:lang w:val="pt-BR"/>
        </w:rPr>
        <w:t xml:space="preserve">es </w:t>
      </w:r>
      <w:r w:rsidR="0089298C" w:rsidRPr="002F50BD">
        <w:rPr>
          <w:sz w:val="20"/>
          <w:szCs w:val="28"/>
          <w:lang w:val="pt-BR"/>
        </w:rPr>
        <w:t>grávida</w:t>
      </w:r>
      <w:r w:rsidR="004756C1" w:rsidRPr="002F50BD">
        <w:rPr>
          <w:sz w:val="20"/>
          <w:szCs w:val="28"/>
          <w:lang w:val="pt-BR"/>
        </w:rPr>
        <w:t xml:space="preserve">s, </w:t>
      </w:r>
      <w:r w:rsidR="0089298C" w:rsidRPr="002F50BD">
        <w:rPr>
          <w:sz w:val="20"/>
          <w:szCs w:val="28"/>
          <w:lang w:val="pt-BR"/>
        </w:rPr>
        <w:t>incluindo</w:t>
      </w:r>
      <w:r w:rsidR="004756C1" w:rsidRPr="002F50BD">
        <w:rPr>
          <w:sz w:val="20"/>
          <w:szCs w:val="28"/>
          <w:lang w:val="pt-BR"/>
        </w:rPr>
        <w:t xml:space="preserve"> </w:t>
      </w:r>
      <w:r w:rsidR="008C58CB" w:rsidRPr="002F50BD">
        <w:rPr>
          <w:sz w:val="20"/>
          <w:szCs w:val="28"/>
          <w:lang w:val="pt-BR"/>
        </w:rPr>
        <w:t xml:space="preserve">medicamentos </w:t>
      </w:r>
      <w:r w:rsidR="0089298C" w:rsidRPr="002F50BD">
        <w:rPr>
          <w:sz w:val="20"/>
          <w:szCs w:val="28"/>
          <w:lang w:val="pt-BR"/>
        </w:rPr>
        <w:t>e tratamento</w:t>
      </w:r>
      <w:r w:rsidR="004756C1" w:rsidRPr="002F50BD">
        <w:rPr>
          <w:sz w:val="20"/>
          <w:szCs w:val="28"/>
          <w:lang w:val="pt-BR"/>
        </w:rPr>
        <w:t xml:space="preserve"> </w:t>
      </w:r>
      <w:r w:rsidR="0089298C" w:rsidRPr="002F50BD">
        <w:rPr>
          <w:sz w:val="20"/>
          <w:szCs w:val="28"/>
          <w:lang w:val="pt-BR"/>
        </w:rPr>
        <w:t>adequad</w:t>
      </w:r>
      <w:r w:rsidR="004756C1" w:rsidRPr="002F50BD">
        <w:rPr>
          <w:sz w:val="20"/>
          <w:szCs w:val="28"/>
          <w:lang w:val="pt-BR"/>
        </w:rPr>
        <w:t>o para</w:t>
      </w:r>
      <w:r w:rsidR="0089298C" w:rsidRPr="002F50BD">
        <w:rPr>
          <w:sz w:val="20"/>
          <w:szCs w:val="28"/>
          <w:lang w:val="pt-BR"/>
        </w:rPr>
        <w:t xml:space="preserve"> a </w:t>
      </w:r>
      <w:r w:rsidR="00C8165F" w:rsidRPr="002F50BD">
        <w:rPr>
          <w:sz w:val="20"/>
          <w:szCs w:val="28"/>
          <w:lang w:val="pt-BR"/>
        </w:rPr>
        <w:t xml:space="preserve">vermifugação </w:t>
      </w:r>
      <w:r w:rsidR="004756C1" w:rsidRPr="002F50BD">
        <w:rPr>
          <w:sz w:val="20"/>
          <w:szCs w:val="28"/>
          <w:lang w:val="pt-BR"/>
        </w:rPr>
        <w:t>de todos</w:t>
      </w:r>
      <w:r w:rsidR="0089298C" w:rsidRPr="002F50BD">
        <w:rPr>
          <w:sz w:val="20"/>
          <w:szCs w:val="28"/>
          <w:lang w:val="pt-BR"/>
        </w:rPr>
        <w:t xml:space="preserve"> os membro</w:t>
      </w:r>
      <w:r w:rsidR="004756C1" w:rsidRPr="002F50BD">
        <w:rPr>
          <w:sz w:val="20"/>
          <w:szCs w:val="28"/>
          <w:lang w:val="pt-BR"/>
        </w:rPr>
        <w:t>s</w:t>
      </w:r>
      <w:r w:rsidR="0089298C" w:rsidRPr="002F50BD">
        <w:rPr>
          <w:sz w:val="20"/>
          <w:szCs w:val="28"/>
          <w:lang w:val="pt-BR"/>
        </w:rPr>
        <w:t xml:space="preserve"> da </w:t>
      </w:r>
      <w:r w:rsidR="00C247F1" w:rsidRPr="002F50BD">
        <w:rPr>
          <w:sz w:val="20"/>
          <w:szCs w:val="28"/>
          <w:lang w:val="pt-BR"/>
        </w:rPr>
        <w:t>Comunidade;</w:t>
      </w:r>
      <w:r w:rsidR="004756C1" w:rsidRPr="002F50BD">
        <w:rPr>
          <w:sz w:val="20"/>
          <w:szCs w:val="28"/>
          <w:lang w:val="pt-BR"/>
        </w:rPr>
        <w:t xml:space="preserve"> entregar alimentos</w:t>
      </w:r>
      <w:r w:rsidR="0089298C" w:rsidRPr="002F50BD">
        <w:rPr>
          <w:sz w:val="20"/>
          <w:szCs w:val="28"/>
          <w:lang w:val="pt-BR"/>
        </w:rPr>
        <w:t xml:space="preserve"> em </w:t>
      </w:r>
      <w:r w:rsidR="008C58CB" w:rsidRPr="002F50BD">
        <w:rPr>
          <w:sz w:val="20"/>
          <w:szCs w:val="28"/>
          <w:lang w:val="pt-BR"/>
        </w:rPr>
        <w:t>quantidade</w:t>
      </w:r>
      <w:r w:rsidR="004756C1" w:rsidRPr="002F50BD">
        <w:rPr>
          <w:sz w:val="20"/>
          <w:szCs w:val="28"/>
          <w:lang w:val="pt-BR"/>
        </w:rPr>
        <w:t xml:space="preserve">, </w:t>
      </w:r>
      <w:r w:rsidR="00AB454A" w:rsidRPr="002F50BD">
        <w:rPr>
          <w:sz w:val="20"/>
          <w:szCs w:val="28"/>
          <w:lang w:val="pt-BR"/>
        </w:rPr>
        <w:t xml:space="preserve">variedade </w:t>
      </w:r>
      <w:r w:rsidR="0089298C" w:rsidRPr="002F50BD">
        <w:rPr>
          <w:sz w:val="20"/>
          <w:szCs w:val="28"/>
          <w:lang w:val="pt-BR"/>
        </w:rPr>
        <w:t xml:space="preserve">e qualidade </w:t>
      </w:r>
      <w:r w:rsidR="004756C1" w:rsidRPr="002F50BD">
        <w:rPr>
          <w:sz w:val="20"/>
          <w:szCs w:val="28"/>
          <w:lang w:val="pt-BR"/>
        </w:rPr>
        <w:t>suficientes para que</w:t>
      </w:r>
      <w:r w:rsidR="0089298C" w:rsidRPr="002F50BD">
        <w:rPr>
          <w:sz w:val="20"/>
          <w:szCs w:val="28"/>
          <w:lang w:val="pt-BR"/>
        </w:rPr>
        <w:t xml:space="preserve"> os membro</w:t>
      </w:r>
      <w:r w:rsidR="004756C1" w:rsidRPr="002F50BD">
        <w:rPr>
          <w:sz w:val="20"/>
          <w:szCs w:val="28"/>
          <w:lang w:val="pt-BR"/>
        </w:rPr>
        <w:t>s</w:t>
      </w:r>
      <w:r w:rsidR="0089298C" w:rsidRPr="002F50BD">
        <w:rPr>
          <w:sz w:val="20"/>
          <w:szCs w:val="28"/>
          <w:lang w:val="pt-BR"/>
        </w:rPr>
        <w:t xml:space="preserve"> da Comunidade tenham as </w:t>
      </w:r>
      <w:r w:rsidR="004756C1" w:rsidRPr="002F50BD">
        <w:rPr>
          <w:sz w:val="20"/>
          <w:szCs w:val="28"/>
          <w:lang w:val="pt-BR"/>
        </w:rPr>
        <w:t>condi</w:t>
      </w:r>
      <w:r w:rsidR="0089298C" w:rsidRPr="002F50BD">
        <w:rPr>
          <w:sz w:val="20"/>
          <w:szCs w:val="28"/>
          <w:lang w:val="pt-BR"/>
        </w:rPr>
        <w:t>ções</w:t>
      </w:r>
      <w:r w:rsidR="004756C1" w:rsidRPr="002F50BD">
        <w:rPr>
          <w:sz w:val="20"/>
          <w:szCs w:val="28"/>
          <w:lang w:val="pt-BR"/>
        </w:rPr>
        <w:t xml:space="preserve"> mínimas de</w:t>
      </w:r>
      <w:r w:rsidR="0089298C" w:rsidRPr="002F50BD">
        <w:rPr>
          <w:sz w:val="20"/>
          <w:szCs w:val="28"/>
          <w:lang w:val="pt-BR"/>
        </w:rPr>
        <w:t xml:space="preserve"> uma </w:t>
      </w:r>
      <w:r w:rsidR="004756C1" w:rsidRPr="002F50BD">
        <w:rPr>
          <w:sz w:val="20"/>
          <w:szCs w:val="28"/>
          <w:lang w:val="pt-BR"/>
        </w:rPr>
        <w:t xml:space="preserve">vida digna; </w:t>
      </w:r>
      <w:r w:rsidR="008C58CB" w:rsidRPr="002F50BD">
        <w:rPr>
          <w:sz w:val="20"/>
          <w:szCs w:val="28"/>
          <w:lang w:val="pt-BR"/>
        </w:rPr>
        <w:t xml:space="preserve">providenciar latrinas ou </w:t>
      </w:r>
      <w:r w:rsidR="0089298C" w:rsidRPr="002F50BD">
        <w:rPr>
          <w:sz w:val="20"/>
          <w:szCs w:val="28"/>
          <w:lang w:val="pt-BR"/>
        </w:rPr>
        <w:t>qualquer</w:t>
      </w:r>
      <w:r w:rsidR="004756C1" w:rsidRPr="002F50BD">
        <w:rPr>
          <w:sz w:val="20"/>
          <w:szCs w:val="28"/>
          <w:lang w:val="pt-BR"/>
        </w:rPr>
        <w:t xml:space="preserve"> tipo de </w:t>
      </w:r>
      <w:r w:rsidR="0089298C" w:rsidRPr="002F50BD">
        <w:rPr>
          <w:sz w:val="20"/>
          <w:szCs w:val="28"/>
          <w:lang w:val="pt-BR"/>
        </w:rPr>
        <w:t>serviço</w:t>
      </w:r>
      <w:r w:rsidR="004756C1" w:rsidRPr="002F50BD">
        <w:rPr>
          <w:sz w:val="20"/>
          <w:szCs w:val="28"/>
          <w:lang w:val="pt-BR"/>
        </w:rPr>
        <w:t xml:space="preserve"> sanit</w:t>
      </w:r>
      <w:r w:rsidR="00C8165F" w:rsidRPr="002F50BD">
        <w:rPr>
          <w:sz w:val="20"/>
          <w:szCs w:val="28"/>
          <w:lang w:val="pt-BR"/>
        </w:rPr>
        <w:t>á</w:t>
      </w:r>
      <w:r w:rsidR="004756C1" w:rsidRPr="002F50BD">
        <w:rPr>
          <w:sz w:val="20"/>
          <w:szCs w:val="28"/>
          <w:lang w:val="pt-BR"/>
        </w:rPr>
        <w:t xml:space="preserve">rio </w:t>
      </w:r>
      <w:r w:rsidR="0089298C" w:rsidRPr="002F50BD">
        <w:rPr>
          <w:sz w:val="20"/>
          <w:szCs w:val="28"/>
          <w:lang w:val="pt-BR"/>
        </w:rPr>
        <w:t>adequad</w:t>
      </w:r>
      <w:r w:rsidR="004756C1" w:rsidRPr="002F50BD">
        <w:rPr>
          <w:sz w:val="20"/>
          <w:szCs w:val="28"/>
          <w:lang w:val="pt-BR"/>
        </w:rPr>
        <w:t>o a</w:t>
      </w:r>
      <w:r w:rsidR="0089298C" w:rsidRPr="002F50BD">
        <w:rPr>
          <w:sz w:val="20"/>
          <w:szCs w:val="28"/>
          <w:lang w:val="pt-BR"/>
        </w:rPr>
        <w:t xml:space="preserve"> fim </w:t>
      </w:r>
      <w:r w:rsidR="004756C1" w:rsidRPr="002F50BD">
        <w:rPr>
          <w:sz w:val="20"/>
          <w:szCs w:val="28"/>
          <w:lang w:val="pt-BR"/>
        </w:rPr>
        <w:t xml:space="preserve">de que se </w:t>
      </w:r>
      <w:r w:rsidR="008C58CB" w:rsidRPr="002F50BD">
        <w:rPr>
          <w:sz w:val="20"/>
          <w:szCs w:val="28"/>
          <w:lang w:val="pt-BR"/>
        </w:rPr>
        <w:t xml:space="preserve">administre de maneira </w:t>
      </w:r>
      <w:r w:rsidR="0089298C" w:rsidRPr="002F50BD">
        <w:rPr>
          <w:sz w:val="20"/>
          <w:szCs w:val="28"/>
          <w:lang w:val="pt-BR"/>
        </w:rPr>
        <w:t>efetiv</w:t>
      </w:r>
      <w:r w:rsidR="004756C1" w:rsidRPr="002F50BD">
        <w:rPr>
          <w:sz w:val="20"/>
          <w:szCs w:val="28"/>
          <w:lang w:val="pt-BR"/>
        </w:rPr>
        <w:t>a</w:t>
      </w:r>
      <w:r w:rsidR="0089298C" w:rsidRPr="002F50BD">
        <w:rPr>
          <w:sz w:val="20"/>
          <w:szCs w:val="28"/>
          <w:lang w:val="pt-BR"/>
        </w:rPr>
        <w:t xml:space="preserve"> e </w:t>
      </w:r>
      <w:r w:rsidR="004756C1" w:rsidRPr="002F50BD">
        <w:rPr>
          <w:sz w:val="20"/>
          <w:szCs w:val="28"/>
          <w:lang w:val="pt-BR"/>
        </w:rPr>
        <w:t>salubre</w:t>
      </w:r>
      <w:r w:rsidR="008C58CB" w:rsidRPr="002F50BD">
        <w:rPr>
          <w:sz w:val="20"/>
          <w:szCs w:val="28"/>
          <w:lang w:val="pt-BR"/>
        </w:rPr>
        <w:t xml:space="preserve"> os dejetos </w:t>
      </w:r>
      <w:r w:rsidR="004756C1" w:rsidRPr="002F50BD">
        <w:rPr>
          <w:sz w:val="20"/>
          <w:szCs w:val="28"/>
          <w:lang w:val="pt-BR"/>
        </w:rPr>
        <w:t>biológicos</w:t>
      </w:r>
      <w:r w:rsidR="0089298C" w:rsidRPr="002F50BD">
        <w:rPr>
          <w:sz w:val="20"/>
          <w:szCs w:val="28"/>
          <w:lang w:val="pt-BR"/>
        </w:rPr>
        <w:t xml:space="preserve"> da </w:t>
      </w:r>
      <w:r w:rsidR="00A50140" w:rsidRPr="002F50BD">
        <w:rPr>
          <w:sz w:val="20"/>
          <w:szCs w:val="28"/>
          <w:lang w:val="pt-BR"/>
        </w:rPr>
        <w:t>Comunidade.</w:t>
      </w:r>
      <w:r w:rsidR="004756C1" w:rsidRPr="002F50BD">
        <w:rPr>
          <w:sz w:val="20"/>
          <w:szCs w:val="28"/>
          <w:lang w:val="pt-BR"/>
        </w:rPr>
        <w:t>..”.</w:t>
      </w:r>
    </w:p>
    <w:p w:rsidR="004756C1" w:rsidRPr="002F50BD" w:rsidRDefault="004756C1">
      <w:pPr>
        <w:pStyle w:val="BlockText"/>
        <w:spacing w:line="240" w:lineRule="auto"/>
        <w:ind w:left="0" w:right="0"/>
        <w:rPr>
          <w:b/>
          <w:sz w:val="20"/>
          <w:szCs w:val="28"/>
          <w:lang w:val="pt-BR"/>
        </w:rPr>
      </w:pPr>
    </w:p>
    <w:p w:rsidR="004756C1" w:rsidRPr="002F50BD" w:rsidRDefault="00063B47">
      <w:pPr>
        <w:pStyle w:val="BlockText"/>
        <w:spacing w:line="240" w:lineRule="auto"/>
        <w:ind w:left="0" w:right="0"/>
        <w:rPr>
          <w:iCs/>
          <w:sz w:val="20"/>
          <w:szCs w:val="28"/>
          <w:lang w:val="pt-BR"/>
        </w:rPr>
      </w:pPr>
      <w:r w:rsidRPr="002F50BD">
        <w:rPr>
          <w:sz w:val="20"/>
          <w:szCs w:val="28"/>
          <w:lang w:val="pt-BR"/>
        </w:rPr>
        <w:t>13</w:t>
      </w:r>
      <w:r w:rsidR="004756C1" w:rsidRPr="002F50BD">
        <w:rPr>
          <w:i/>
          <w:sz w:val="20"/>
          <w:szCs w:val="28"/>
          <w:lang w:val="pt-BR"/>
        </w:rPr>
        <w:t>.</w:t>
      </w:r>
      <w:r w:rsidR="004756C1" w:rsidRPr="002F50BD">
        <w:rPr>
          <w:sz w:val="20"/>
          <w:szCs w:val="28"/>
          <w:lang w:val="pt-BR"/>
        </w:rPr>
        <w:tab/>
      </w:r>
      <w:r w:rsidR="004756C1" w:rsidRPr="002F50BD">
        <w:rPr>
          <w:iCs/>
          <w:sz w:val="20"/>
          <w:szCs w:val="28"/>
          <w:lang w:val="pt-BR"/>
        </w:rPr>
        <w:t xml:space="preserve">Tanto </w:t>
      </w:r>
      <w:r w:rsidR="0089298C" w:rsidRPr="002F50BD">
        <w:rPr>
          <w:iCs/>
          <w:sz w:val="20"/>
          <w:szCs w:val="28"/>
          <w:lang w:val="pt-BR"/>
        </w:rPr>
        <w:t xml:space="preserve">do </w:t>
      </w:r>
      <w:r w:rsidR="008C58CB" w:rsidRPr="002F50BD">
        <w:rPr>
          <w:iCs/>
          <w:sz w:val="20"/>
          <w:szCs w:val="28"/>
          <w:lang w:val="pt-BR"/>
        </w:rPr>
        <w:t xml:space="preserve">acatamento </w:t>
      </w:r>
      <w:r w:rsidR="004756C1" w:rsidRPr="002F50BD">
        <w:rPr>
          <w:iCs/>
          <w:sz w:val="20"/>
          <w:szCs w:val="28"/>
          <w:lang w:val="pt-BR"/>
        </w:rPr>
        <w:t xml:space="preserve">parcial </w:t>
      </w:r>
      <w:r w:rsidR="0089298C" w:rsidRPr="002F50BD">
        <w:rPr>
          <w:iCs/>
          <w:sz w:val="20"/>
          <w:szCs w:val="28"/>
          <w:lang w:val="pt-BR"/>
        </w:rPr>
        <w:t xml:space="preserve">do </w:t>
      </w:r>
      <w:r w:rsidR="004756C1" w:rsidRPr="002F50BD">
        <w:rPr>
          <w:iCs/>
          <w:sz w:val="20"/>
          <w:szCs w:val="28"/>
          <w:lang w:val="pt-BR"/>
        </w:rPr>
        <w:t>Estado como</w:t>
      </w:r>
      <w:r w:rsidR="0089298C" w:rsidRPr="002F50BD">
        <w:rPr>
          <w:iCs/>
          <w:sz w:val="20"/>
          <w:szCs w:val="28"/>
          <w:lang w:val="pt-BR"/>
        </w:rPr>
        <w:t xml:space="preserve"> da </w:t>
      </w:r>
      <w:r w:rsidR="004756C1" w:rsidRPr="002F50BD">
        <w:rPr>
          <w:iCs/>
          <w:sz w:val="20"/>
          <w:szCs w:val="28"/>
          <w:lang w:val="pt-BR"/>
        </w:rPr>
        <w:t>repara</w:t>
      </w:r>
      <w:r w:rsidR="0089298C" w:rsidRPr="002F50BD">
        <w:rPr>
          <w:iCs/>
          <w:sz w:val="20"/>
          <w:szCs w:val="28"/>
          <w:lang w:val="pt-BR"/>
        </w:rPr>
        <w:t>ção</w:t>
      </w:r>
      <w:r w:rsidR="004756C1" w:rsidRPr="002F50BD">
        <w:rPr>
          <w:iCs/>
          <w:sz w:val="20"/>
          <w:szCs w:val="28"/>
          <w:lang w:val="pt-BR"/>
        </w:rPr>
        <w:t xml:space="preserve"> ordenada</w:t>
      </w:r>
      <w:r w:rsidR="0089298C" w:rsidRPr="002F50BD">
        <w:rPr>
          <w:iCs/>
          <w:sz w:val="20"/>
          <w:szCs w:val="28"/>
          <w:lang w:val="pt-BR"/>
        </w:rPr>
        <w:t xml:space="preserve"> pela </w:t>
      </w:r>
      <w:r w:rsidR="004756C1" w:rsidRPr="002F50BD">
        <w:rPr>
          <w:iCs/>
          <w:sz w:val="20"/>
          <w:szCs w:val="28"/>
          <w:lang w:val="pt-BR"/>
        </w:rPr>
        <w:t xml:space="preserve">Corte </w:t>
      </w:r>
      <w:r w:rsidR="0089298C" w:rsidRPr="002F50BD">
        <w:rPr>
          <w:iCs/>
          <w:sz w:val="20"/>
          <w:szCs w:val="28"/>
          <w:lang w:val="pt-BR"/>
        </w:rPr>
        <w:t>decorre</w:t>
      </w:r>
      <w:r w:rsidR="004756C1" w:rsidRPr="002F50BD">
        <w:rPr>
          <w:iCs/>
          <w:sz w:val="20"/>
          <w:szCs w:val="28"/>
          <w:lang w:val="pt-BR"/>
        </w:rPr>
        <w:t>,</w:t>
      </w:r>
      <w:r w:rsidR="0089298C" w:rsidRPr="002F50BD">
        <w:rPr>
          <w:iCs/>
          <w:sz w:val="20"/>
          <w:szCs w:val="28"/>
          <w:lang w:val="pt-BR"/>
        </w:rPr>
        <w:t xml:space="preserve"> sem </w:t>
      </w:r>
      <w:r w:rsidR="004756C1" w:rsidRPr="002F50BD">
        <w:rPr>
          <w:iCs/>
          <w:sz w:val="20"/>
          <w:szCs w:val="28"/>
          <w:lang w:val="pt-BR"/>
        </w:rPr>
        <w:t xml:space="preserve">lugar a </w:t>
      </w:r>
      <w:r w:rsidR="0089298C" w:rsidRPr="002F50BD">
        <w:rPr>
          <w:iCs/>
          <w:sz w:val="20"/>
          <w:szCs w:val="28"/>
          <w:lang w:val="pt-BR"/>
        </w:rPr>
        <w:t>dúvida</w:t>
      </w:r>
      <w:r w:rsidR="004756C1" w:rsidRPr="002F50BD">
        <w:rPr>
          <w:iCs/>
          <w:sz w:val="20"/>
          <w:szCs w:val="28"/>
          <w:lang w:val="pt-BR"/>
        </w:rPr>
        <w:t>s,</w:t>
      </w:r>
      <w:r w:rsidR="0089298C" w:rsidRPr="002F50BD">
        <w:rPr>
          <w:iCs/>
          <w:sz w:val="20"/>
          <w:szCs w:val="28"/>
          <w:lang w:val="pt-BR"/>
        </w:rPr>
        <w:t xml:space="preserve"> a </w:t>
      </w:r>
      <w:r w:rsidR="004756C1" w:rsidRPr="002F50BD">
        <w:rPr>
          <w:iCs/>
          <w:sz w:val="20"/>
          <w:szCs w:val="28"/>
          <w:lang w:val="pt-BR"/>
        </w:rPr>
        <w:t>car</w:t>
      </w:r>
      <w:r w:rsidR="008C58CB" w:rsidRPr="002F50BD">
        <w:rPr>
          <w:iCs/>
          <w:sz w:val="20"/>
          <w:szCs w:val="28"/>
          <w:lang w:val="pt-BR"/>
        </w:rPr>
        <w:t>ê</w:t>
      </w:r>
      <w:r w:rsidR="004756C1" w:rsidRPr="002F50BD">
        <w:rPr>
          <w:iCs/>
          <w:sz w:val="20"/>
          <w:szCs w:val="28"/>
          <w:lang w:val="pt-BR"/>
        </w:rPr>
        <w:t xml:space="preserve">ncia </w:t>
      </w:r>
      <w:r w:rsidR="0089298C" w:rsidRPr="002F50BD">
        <w:rPr>
          <w:iCs/>
          <w:sz w:val="20"/>
          <w:szCs w:val="28"/>
          <w:lang w:val="pt-BR"/>
        </w:rPr>
        <w:t>atual e no passado</w:t>
      </w:r>
      <w:r w:rsidR="004756C1" w:rsidRPr="002F50BD">
        <w:rPr>
          <w:iCs/>
          <w:sz w:val="20"/>
          <w:szCs w:val="28"/>
          <w:lang w:val="pt-BR"/>
        </w:rPr>
        <w:t xml:space="preserve"> de </w:t>
      </w:r>
      <w:r w:rsidR="0089298C" w:rsidRPr="002F50BD">
        <w:rPr>
          <w:iCs/>
          <w:sz w:val="20"/>
          <w:szCs w:val="28"/>
          <w:lang w:val="pt-BR"/>
        </w:rPr>
        <w:t>serviço</w:t>
      </w:r>
      <w:r w:rsidR="004756C1" w:rsidRPr="002F50BD">
        <w:rPr>
          <w:iCs/>
          <w:sz w:val="20"/>
          <w:szCs w:val="28"/>
          <w:lang w:val="pt-BR"/>
        </w:rPr>
        <w:t xml:space="preserve">s básicos, </w:t>
      </w:r>
      <w:r w:rsidR="0089298C" w:rsidRPr="002F50BD">
        <w:rPr>
          <w:iCs/>
          <w:sz w:val="20"/>
          <w:szCs w:val="28"/>
          <w:lang w:val="pt-BR"/>
        </w:rPr>
        <w:t xml:space="preserve">incluindo </w:t>
      </w:r>
      <w:r w:rsidR="008C58CB" w:rsidRPr="002F50BD">
        <w:rPr>
          <w:iCs/>
          <w:sz w:val="20"/>
          <w:szCs w:val="28"/>
          <w:lang w:val="pt-BR"/>
        </w:rPr>
        <w:t>a</w:t>
      </w:r>
      <w:r w:rsidR="00AB454A" w:rsidRPr="002F50BD">
        <w:rPr>
          <w:iCs/>
          <w:sz w:val="20"/>
          <w:szCs w:val="28"/>
          <w:lang w:val="pt-BR"/>
        </w:rPr>
        <w:t xml:space="preserve"> água </w:t>
      </w:r>
      <w:r w:rsidR="004756C1" w:rsidRPr="002F50BD">
        <w:rPr>
          <w:iCs/>
          <w:sz w:val="20"/>
          <w:szCs w:val="28"/>
          <w:lang w:val="pt-BR"/>
        </w:rPr>
        <w:t>pot</w:t>
      </w:r>
      <w:r w:rsidR="00B0045F" w:rsidRPr="002F50BD">
        <w:rPr>
          <w:iCs/>
          <w:sz w:val="20"/>
          <w:szCs w:val="28"/>
          <w:lang w:val="pt-BR"/>
        </w:rPr>
        <w:t>ável</w:t>
      </w:r>
      <w:r w:rsidR="004756C1" w:rsidRPr="002F50BD">
        <w:rPr>
          <w:iCs/>
          <w:sz w:val="20"/>
          <w:szCs w:val="28"/>
          <w:lang w:val="pt-BR"/>
        </w:rPr>
        <w:t>, indispens</w:t>
      </w:r>
      <w:r w:rsidR="0089298C" w:rsidRPr="002F50BD">
        <w:rPr>
          <w:iCs/>
          <w:sz w:val="20"/>
          <w:szCs w:val="28"/>
          <w:lang w:val="pt-BR"/>
        </w:rPr>
        <w:t xml:space="preserve">áveis </w:t>
      </w:r>
      <w:r w:rsidR="004756C1" w:rsidRPr="002F50BD">
        <w:rPr>
          <w:iCs/>
          <w:sz w:val="20"/>
          <w:szCs w:val="28"/>
          <w:lang w:val="pt-BR"/>
        </w:rPr>
        <w:t xml:space="preserve">para </w:t>
      </w:r>
      <w:r w:rsidR="0089298C" w:rsidRPr="002F50BD">
        <w:rPr>
          <w:iCs/>
          <w:sz w:val="20"/>
          <w:szCs w:val="28"/>
          <w:lang w:val="pt-BR"/>
        </w:rPr>
        <w:t xml:space="preserve">saúde e a </w:t>
      </w:r>
      <w:r w:rsidR="004756C1" w:rsidRPr="002F50BD">
        <w:rPr>
          <w:iCs/>
          <w:sz w:val="20"/>
          <w:szCs w:val="28"/>
          <w:lang w:val="pt-BR"/>
        </w:rPr>
        <w:t>vida</w:t>
      </w:r>
      <w:r w:rsidR="0089298C" w:rsidRPr="002F50BD">
        <w:rPr>
          <w:iCs/>
          <w:sz w:val="20"/>
          <w:szCs w:val="28"/>
          <w:lang w:val="pt-BR"/>
        </w:rPr>
        <w:t xml:space="preserve"> dos membro</w:t>
      </w:r>
      <w:r w:rsidR="004756C1" w:rsidRPr="002F50BD">
        <w:rPr>
          <w:iCs/>
          <w:sz w:val="20"/>
          <w:szCs w:val="28"/>
          <w:lang w:val="pt-BR"/>
        </w:rPr>
        <w:t>s</w:t>
      </w:r>
      <w:r w:rsidR="0089298C" w:rsidRPr="002F50BD">
        <w:rPr>
          <w:iCs/>
          <w:sz w:val="20"/>
          <w:szCs w:val="28"/>
          <w:lang w:val="pt-BR"/>
        </w:rPr>
        <w:t xml:space="preserve"> da </w:t>
      </w:r>
      <w:r w:rsidR="00A50140" w:rsidRPr="002F50BD">
        <w:rPr>
          <w:iCs/>
          <w:sz w:val="20"/>
          <w:szCs w:val="28"/>
          <w:lang w:val="pt-BR"/>
        </w:rPr>
        <w:t>Comunidade.</w:t>
      </w:r>
      <w:r w:rsidR="004756C1" w:rsidRPr="002F50BD">
        <w:rPr>
          <w:iCs/>
          <w:sz w:val="20"/>
          <w:szCs w:val="28"/>
          <w:lang w:val="pt-BR"/>
        </w:rPr>
        <w:t xml:space="preserve"> N</w:t>
      </w:r>
      <w:r w:rsidR="008C58CB" w:rsidRPr="002F50BD">
        <w:rPr>
          <w:iCs/>
          <w:sz w:val="20"/>
          <w:szCs w:val="28"/>
          <w:lang w:val="pt-BR"/>
        </w:rPr>
        <w:t>ã</w:t>
      </w:r>
      <w:r w:rsidR="004756C1" w:rsidRPr="002F50BD">
        <w:rPr>
          <w:iCs/>
          <w:sz w:val="20"/>
          <w:szCs w:val="28"/>
          <w:lang w:val="pt-BR"/>
        </w:rPr>
        <w:t>o</w:t>
      </w:r>
      <w:r w:rsidR="0089298C" w:rsidRPr="002F50BD">
        <w:rPr>
          <w:iCs/>
          <w:sz w:val="20"/>
          <w:szCs w:val="28"/>
          <w:lang w:val="pt-BR"/>
        </w:rPr>
        <w:t xml:space="preserve"> é </w:t>
      </w:r>
      <w:r w:rsidR="004756C1" w:rsidRPr="002F50BD">
        <w:rPr>
          <w:iCs/>
          <w:sz w:val="20"/>
          <w:szCs w:val="28"/>
          <w:lang w:val="pt-BR"/>
        </w:rPr>
        <w:t xml:space="preserve">difícil, </w:t>
      </w:r>
      <w:r w:rsidR="0089298C" w:rsidRPr="002F50BD">
        <w:rPr>
          <w:iCs/>
          <w:sz w:val="20"/>
          <w:szCs w:val="28"/>
          <w:lang w:val="pt-BR"/>
        </w:rPr>
        <w:t>então</w:t>
      </w:r>
      <w:r w:rsidR="004756C1" w:rsidRPr="002F50BD">
        <w:rPr>
          <w:iCs/>
          <w:sz w:val="20"/>
          <w:szCs w:val="28"/>
          <w:lang w:val="pt-BR"/>
        </w:rPr>
        <w:t>, inferir que</w:t>
      </w:r>
      <w:r w:rsidR="0089298C" w:rsidRPr="002F50BD">
        <w:rPr>
          <w:iCs/>
          <w:sz w:val="20"/>
          <w:szCs w:val="28"/>
          <w:lang w:val="pt-BR"/>
        </w:rPr>
        <w:t xml:space="preserve"> a morte</w:t>
      </w:r>
      <w:r w:rsidR="004756C1" w:rsidRPr="002F50BD">
        <w:rPr>
          <w:iCs/>
          <w:sz w:val="20"/>
          <w:szCs w:val="28"/>
          <w:lang w:val="pt-BR"/>
        </w:rPr>
        <w:t xml:space="preserve">, entre </w:t>
      </w:r>
      <w:r w:rsidR="0089298C" w:rsidRPr="002F50BD">
        <w:rPr>
          <w:iCs/>
          <w:sz w:val="20"/>
          <w:szCs w:val="28"/>
          <w:lang w:val="pt-BR"/>
        </w:rPr>
        <w:t>outra</w:t>
      </w:r>
      <w:r w:rsidR="004756C1" w:rsidRPr="002F50BD">
        <w:rPr>
          <w:iCs/>
          <w:sz w:val="20"/>
          <w:szCs w:val="28"/>
          <w:lang w:val="pt-BR"/>
        </w:rPr>
        <w:t xml:space="preserve">s, de </w:t>
      </w:r>
      <w:r w:rsidR="0089298C" w:rsidRPr="002F50BD">
        <w:rPr>
          <w:iCs/>
          <w:sz w:val="20"/>
          <w:szCs w:val="28"/>
          <w:lang w:val="pt-BR"/>
        </w:rPr>
        <w:t>crianças</w:t>
      </w:r>
      <w:r w:rsidR="004756C1" w:rsidRPr="002F50BD">
        <w:rPr>
          <w:iCs/>
          <w:sz w:val="20"/>
          <w:szCs w:val="28"/>
          <w:lang w:val="pt-BR"/>
        </w:rPr>
        <w:t>: de do</w:t>
      </w:r>
      <w:r w:rsidR="008C58CB" w:rsidRPr="002F50BD">
        <w:rPr>
          <w:iCs/>
          <w:sz w:val="20"/>
          <w:szCs w:val="28"/>
          <w:lang w:val="pt-BR"/>
        </w:rPr>
        <w:t>i</w:t>
      </w:r>
      <w:r w:rsidR="004756C1" w:rsidRPr="002F50BD">
        <w:rPr>
          <w:iCs/>
          <w:sz w:val="20"/>
          <w:szCs w:val="28"/>
          <w:lang w:val="pt-BR"/>
        </w:rPr>
        <w:t xml:space="preserve">s </w:t>
      </w:r>
      <w:r w:rsidR="0089298C" w:rsidRPr="002F50BD">
        <w:rPr>
          <w:iCs/>
          <w:sz w:val="20"/>
          <w:szCs w:val="28"/>
          <w:lang w:val="pt-BR"/>
        </w:rPr>
        <w:t>anos</w:t>
      </w:r>
      <w:r w:rsidR="004756C1" w:rsidRPr="002F50BD">
        <w:rPr>
          <w:iCs/>
          <w:sz w:val="20"/>
          <w:szCs w:val="28"/>
          <w:lang w:val="pt-BR"/>
        </w:rPr>
        <w:t xml:space="preserve">, por </w:t>
      </w:r>
      <w:r w:rsidR="0024245D" w:rsidRPr="002F50BD">
        <w:rPr>
          <w:iCs/>
          <w:sz w:val="20"/>
          <w:szCs w:val="28"/>
          <w:lang w:val="pt-BR"/>
        </w:rPr>
        <w:t>disenteria</w:t>
      </w:r>
      <w:r w:rsidR="004756C1" w:rsidRPr="002F50BD">
        <w:rPr>
          <w:iCs/>
          <w:sz w:val="20"/>
          <w:szCs w:val="28"/>
          <w:lang w:val="pt-BR"/>
        </w:rPr>
        <w:t xml:space="preserve">; de seis </w:t>
      </w:r>
      <w:r w:rsidR="0089298C" w:rsidRPr="002F50BD">
        <w:rPr>
          <w:iCs/>
          <w:sz w:val="20"/>
          <w:szCs w:val="28"/>
          <w:lang w:val="pt-BR"/>
        </w:rPr>
        <w:t>anos</w:t>
      </w:r>
      <w:r w:rsidR="004756C1" w:rsidRPr="002F50BD">
        <w:rPr>
          <w:iCs/>
          <w:sz w:val="20"/>
          <w:szCs w:val="28"/>
          <w:lang w:val="pt-BR"/>
        </w:rPr>
        <w:t xml:space="preserve"> por </w:t>
      </w:r>
      <w:r w:rsidR="00C8165F" w:rsidRPr="002F50BD">
        <w:rPr>
          <w:iCs/>
          <w:sz w:val="20"/>
          <w:szCs w:val="28"/>
          <w:lang w:val="pt-BR"/>
        </w:rPr>
        <w:t xml:space="preserve">disenteria </w:t>
      </w:r>
      <w:r w:rsidR="0089298C" w:rsidRPr="002F50BD">
        <w:rPr>
          <w:iCs/>
          <w:sz w:val="20"/>
          <w:szCs w:val="28"/>
          <w:lang w:val="pt-BR"/>
        </w:rPr>
        <w:t xml:space="preserve">e </w:t>
      </w:r>
      <w:r w:rsidR="004756C1" w:rsidRPr="002F50BD">
        <w:rPr>
          <w:iCs/>
          <w:sz w:val="20"/>
          <w:szCs w:val="28"/>
          <w:lang w:val="pt-BR"/>
        </w:rPr>
        <w:t>aftas; de</w:t>
      </w:r>
      <w:r w:rsidR="0089298C" w:rsidRPr="002F50BD">
        <w:rPr>
          <w:iCs/>
          <w:sz w:val="20"/>
          <w:szCs w:val="28"/>
          <w:lang w:val="pt-BR"/>
        </w:rPr>
        <w:t xml:space="preserve"> um ano,</w:t>
      </w:r>
      <w:r w:rsidR="004756C1" w:rsidRPr="002F50BD">
        <w:rPr>
          <w:iCs/>
          <w:sz w:val="20"/>
          <w:szCs w:val="28"/>
          <w:lang w:val="pt-BR"/>
        </w:rPr>
        <w:t xml:space="preserve"> por </w:t>
      </w:r>
      <w:r w:rsidR="00367FD1" w:rsidRPr="002F50BD">
        <w:rPr>
          <w:iCs/>
          <w:sz w:val="20"/>
          <w:szCs w:val="28"/>
          <w:lang w:val="pt-BR"/>
        </w:rPr>
        <w:t>meningite</w:t>
      </w:r>
      <w:r w:rsidR="004756C1" w:rsidRPr="002F50BD">
        <w:rPr>
          <w:iCs/>
          <w:sz w:val="20"/>
          <w:szCs w:val="28"/>
          <w:lang w:val="pt-BR"/>
        </w:rPr>
        <w:t>; de</w:t>
      </w:r>
      <w:r w:rsidR="0089298C" w:rsidRPr="002F50BD">
        <w:rPr>
          <w:iCs/>
          <w:sz w:val="20"/>
          <w:szCs w:val="28"/>
          <w:lang w:val="pt-BR"/>
        </w:rPr>
        <w:t xml:space="preserve"> um </w:t>
      </w:r>
      <w:r w:rsidR="004756C1" w:rsidRPr="002F50BD">
        <w:rPr>
          <w:iCs/>
          <w:sz w:val="20"/>
          <w:szCs w:val="28"/>
          <w:lang w:val="pt-BR"/>
        </w:rPr>
        <w:t>m</w:t>
      </w:r>
      <w:r w:rsidR="008C58CB" w:rsidRPr="002F50BD">
        <w:rPr>
          <w:iCs/>
          <w:sz w:val="20"/>
          <w:szCs w:val="28"/>
          <w:lang w:val="pt-BR"/>
        </w:rPr>
        <w:t>ê</w:t>
      </w:r>
      <w:r w:rsidR="004756C1" w:rsidRPr="002F50BD">
        <w:rPr>
          <w:iCs/>
          <w:sz w:val="20"/>
          <w:szCs w:val="28"/>
          <w:lang w:val="pt-BR"/>
        </w:rPr>
        <w:t>s, por tétano; de</w:t>
      </w:r>
      <w:r w:rsidR="0089298C" w:rsidRPr="002F50BD">
        <w:rPr>
          <w:iCs/>
          <w:sz w:val="20"/>
          <w:szCs w:val="28"/>
          <w:lang w:val="pt-BR"/>
        </w:rPr>
        <w:t xml:space="preserve"> um ano,</w:t>
      </w:r>
      <w:r w:rsidR="004756C1" w:rsidRPr="002F50BD">
        <w:rPr>
          <w:iCs/>
          <w:sz w:val="20"/>
          <w:szCs w:val="28"/>
          <w:lang w:val="pt-BR"/>
        </w:rPr>
        <w:t xml:space="preserve"> por </w:t>
      </w:r>
      <w:r w:rsidR="00367FD1" w:rsidRPr="002F50BD">
        <w:rPr>
          <w:iCs/>
          <w:sz w:val="20"/>
          <w:szCs w:val="28"/>
          <w:lang w:val="pt-BR"/>
        </w:rPr>
        <w:t>bronquite</w:t>
      </w:r>
      <w:r w:rsidR="004756C1" w:rsidRPr="002F50BD">
        <w:rPr>
          <w:iCs/>
          <w:sz w:val="20"/>
          <w:szCs w:val="28"/>
          <w:lang w:val="pt-BR"/>
        </w:rPr>
        <w:t>; de</w:t>
      </w:r>
      <w:r w:rsidR="0089298C" w:rsidRPr="002F50BD">
        <w:rPr>
          <w:iCs/>
          <w:sz w:val="20"/>
          <w:szCs w:val="28"/>
          <w:lang w:val="pt-BR"/>
        </w:rPr>
        <w:t xml:space="preserve"> doze dia</w:t>
      </w:r>
      <w:r w:rsidR="004756C1" w:rsidRPr="002F50BD">
        <w:rPr>
          <w:iCs/>
          <w:sz w:val="20"/>
          <w:szCs w:val="28"/>
          <w:lang w:val="pt-BR"/>
        </w:rPr>
        <w:t xml:space="preserve">s, por </w:t>
      </w:r>
      <w:r w:rsidR="00367FD1" w:rsidRPr="002F50BD">
        <w:rPr>
          <w:iCs/>
          <w:sz w:val="20"/>
          <w:szCs w:val="28"/>
          <w:lang w:val="pt-BR"/>
        </w:rPr>
        <w:lastRenderedPageBreak/>
        <w:t>bronquite</w:t>
      </w:r>
      <w:r w:rsidR="004756C1" w:rsidRPr="002F50BD">
        <w:rPr>
          <w:iCs/>
          <w:sz w:val="20"/>
          <w:szCs w:val="28"/>
          <w:lang w:val="pt-BR"/>
        </w:rPr>
        <w:t>; de do</w:t>
      </w:r>
      <w:r w:rsidR="008C58CB" w:rsidRPr="002F50BD">
        <w:rPr>
          <w:iCs/>
          <w:sz w:val="20"/>
          <w:szCs w:val="28"/>
          <w:lang w:val="pt-BR"/>
        </w:rPr>
        <w:t>i</w:t>
      </w:r>
      <w:r w:rsidR="004756C1" w:rsidRPr="002F50BD">
        <w:rPr>
          <w:iCs/>
          <w:sz w:val="20"/>
          <w:szCs w:val="28"/>
          <w:lang w:val="pt-BR"/>
        </w:rPr>
        <w:t xml:space="preserve">s </w:t>
      </w:r>
      <w:r w:rsidR="0089298C" w:rsidRPr="002F50BD">
        <w:rPr>
          <w:iCs/>
          <w:sz w:val="20"/>
          <w:szCs w:val="28"/>
          <w:lang w:val="pt-BR"/>
        </w:rPr>
        <w:t>anos</w:t>
      </w:r>
      <w:r w:rsidR="004756C1" w:rsidRPr="002F50BD">
        <w:rPr>
          <w:iCs/>
          <w:sz w:val="20"/>
          <w:szCs w:val="28"/>
          <w:lang w:val="pt-BR"/>
        </w:rPr>
        <w:t xml:space="preserve">, por </w:t>
      </w:r>
      <w:r w:rsidR="00367FD1" w:rsidRPr="002F50BD">
        <w:rPr>
          <w:iCs/>
          <w:sz w:val="20"/>
          <w:szCs w:val="28"/>
          <w:lang w:val="pt-BR"/>
        </w:rPr>
        <w:t>bronquite</w:t>
      </w:r>
      <w:r w:rsidR="004756C1" w:rsidRPr="002F50BD">
        <w:rPr>
          <w:iCs/>
          <w:sz w:val="20"/>
          <w:szCs w:val="28"/>
          <w:lang w:val="pt-BR"/>
        </w:rPr>
        <w:t xml:space="preserve">; se </w:t>
      </w:r>
      <w:r w:rsidR="008C58CB" w:rsidRPr="002F50BD">
        <w:rPr>
          <w:iCs/>
          <w:sz w:val="20"/>
          <w:szCs w:val="28"/>
          <w:lang w:val="pt-BR"/>
        </w:rPr>
        <w:t xml:space="preserve">devem </w:t>
      </w:r>
      <w:r w:rsidR="0089298C" w:rsidRPr="002F50BD">
        <w:rPr>
          <w:iCs/>
          <w:sz w:val="20"/>
          <w:szCs w:val="28"/>
          <w:lang w:val="pt-BR"/>
        </w:rPr>
        <w:t xml:space="preserve">às </w:t>
      </w:r>
      <w:r w:rsidR="00A93AB9" w:rsidRPr="002F50BD">
        <w:rPr>
          <w:iCs/>
          <w:sz w:val="20"/>
          <w:szCs w:val="28"/>
          <w:lang w:val="pt-BR"/>
        </w:rPr>
        <w:t>precária</w:t>
      </w:r>
      <w:r w:rsidR="004756C1" w:rsidRPr="002F50BD">
        <w:rPr>
          <w:iCs/>
          <w:sz w:val="20"/>
          <w:szCs w:val="28"/>
          <w:lang w:val="pt-BR"/>
        </w:rPr>
        <w:t>s condi</w:t>
      </w:r>
      <w:r w:rsidR="0089298C" w:rsidRPr="002F50BD">
        <w:rPr>
          <w:iCs/>
          <w:sz w:val="20"/>
          <w:szCs w:val="28"/>
          <w:lang w:val="pt-BR"/>
        </w:rPr>
        <w:t>ções</w:t>
      </w:r>
      <w:r w:rsidR="004756C1" w:rsidRPr="002F50BD">
        <w:rPr>
          <w:iCs/>
          <w:sz w:val="20"/>
          <w:szCs w:val="28"/>
          <w:lang w:val="pt-BR"/>
        </w:rPr>
        <w:t xml:space="preserve"> de </w:t>
      </w:r>
      <w:r w:rsidR="0089298C" w:rsidRPr="002F50BD">
        <w:rPr>
          <w:iCs/>
          <w:sz w:val="20"/>
          <w:szCs w:val="28"/>
          <w:lang w:val="pt-BR"/>
        </w:rPr>
        <w:t>suas vidas</w:t>
      </w:r>
      <w:r w:rsidR="004756C1" w:rsidRPr="002F50BD">
        <w:rPr>
          <w:iCs/>
          <w:sz w:val="20"/>
          <w:szCs w:val="28"/>
          <w:lang w:val="pt-BR"/>
        </w:rPr>
        <w:t xml:space="preserve"> </w:t>
      </w:r>
      <w:r w:rsidR="0089298C" w:rsidRPr="002F50BD">
        <w:rPr>
          <w:iCs/>
          <w:sz w:val="20"/>
          <w:szCs w:val="28"/>
          <w:lang w:val="pt-BR"/>
        </w:rPr>
        <w:t>sofridas</w:t>
      </w:r>
      <w:r w:rsidR="004756C1" w:rsidRPr="002F50BD">
        <w:rPr>
          <w:iCs/>
          <w:sz w:val="20"/>
          <w:szCs w:val="28"/>
          <w:lang w:val="pt-BR"/>
        </w:rPr>
        <w:t>.</w:t>
      </w:r>
    </w:p>
    <w:p w:rsidR="004756C1" w:rsidRPr="002F50BD" w:rsidRDefault="004756C1">
      <w:pPr>
        <w:pStyle w:val="BlockText"/>
        <w:spacing w:line="240" w:lineRule="auto"/>
        <w:ind w:left="0" w:right="0"/>
        <w:rPr>
          <w:iCs/>
          <w:sz w:val="20"/>
          <w:szCs w:val="28"/>
          <w:lang w:val="pt-BR"/>
        </w:rPr>
      </w:pPr>
    </w:p>
    <w:p w:rsidR="004756C1" w:rsidRPr="002F50BD" w:rsidRDefault="00063B47">
      <w:pPr>
        <w:pStyle w:val="BlockText"/>
        <w:spacing w:line="240" w:lineRule="auto"/>
        <w:ind w:left="0" w:right="0"/>
        <w:rPr>
          <w:sz w:val="20"/>
          <w:szCs w:val="28"/>
          <w:lang w:val="pt-BR"/>
        </w:rPr>
      </w:pPr>
      <w:r w:rsidRPr="002F50BD">
        <w:rPr>
          <w:iCs/>
          <w:sz w:val="20"/>
          <w:szCs w:val="28"/>
          <w:lang w:val="pt-BR"/>
        </w:rPr>
        <w:t>14</w:t>
      </w:r>
      <w:r w:rsidR="004756C1" w:rsidRPr="002F50BD">
        <w:rPr>
          <w:iCs/>
          <w:sz w:val="20"/>
          <w:szCs w:val="28"/>
          <w:lang w:val="pt-BR"/>
        </w:rPr>
        <w:t>.</w:t>
      </w:r>
      <w:r w:rsidR="004756C1" w:rsidRPr="002F50BD">
        <w:rPr>
          <w:iCs/>
          <w:sz w:val="20"/>
          <w:szCs w:val="28"/>
          <w:lang w:val="pt-BR"/>
        </w:rPr>
        <w:tab/>
      </w:r>
      <w:r w:rsidR="00FB33DD" w:rsidRPr="002F50BD">
        <w:rPr>
          <w:iCs/>
          <w:sz w:val="20"/>
          <w:szCs w:val="28"/>
          <w:lang w:val="pt-BR"/>
        </w:rPr>
        <w:t xml:space="preserve">O </w:t>
      </w:r>
      <w:r w:rsidR="0089298C" w:rsidRPr="002F50BD">
        <w:rPr>
          <w:iCs/>
          <w:sz w:val="20"/>
          <w:szCs w:val="28"/>
          <w:lang w:val="pt-BR"/>
        </w:rPr>
        <w:t>artigo</w:t>
      </w:r>
      <w:r w:rsidR="004756C1" w:rsidRPr="002F50BD">
        <w:rPr>
          <w:iCs/>
          <w:sz w:val="20"/>
          <w:szCs w:val="28"/>
          <w:lang w:val="pt-BR"/>
        </w:rPr>
        <w:t xml:space="preserve"> </w:t>
      </w:r>
      <w:r w:rsidRPr="002F50BD">
        <w:rPr>
          <w:iCs/>
          <w:sz w:val="20"/>
          <w:szCs w:val="28"/>
          <w:lang w:val="pt-BR"/>
        </w:rPr>
        <w:t>19</w:t>
      </w:r>
      <w:r w:rsidR="0089298C" w:rsidRPr="002F50BD">
        <w:rPr>
          <w:iCs/>
          <w:sz w:val="20"/>
          <w:szCs w:val="28"/>
          <w:lang w:val="pt-BR"/>
        </w:rPr>
        <w:t xml:space="preserve"> da </w:t>
      </w:r>
      <w:r w:rsidR="004756C1" w:rsidRPr="002F50BD">
        <w:rPr>
          <w:iCs/>
          <w:sz w:val="20"/>
          <w:szCs w:val="28"/>
          <w:lang w:val="pt-BR"/>
        </w:rPr>
        <w:t>Conven</w:t>
      </w:r>
      <w:r w:rsidR="0089298C" w:rsidRPr="002F50BD">
        <w:rPr>
          <w:iCs/>
          <w:sz w:val="20"/>
          <w:szCs w:val="28"/>
          <w:lang w:val="pt-BR"/>
        </w:rPr>
        <w:t>ção</w:t>
      </w:r>
      <w:r w:rsidR="004756C1" w:rsidRPr="002F50BD">
        <w:rPr>
          <w:iCs/>
          <w:sz w:val="20"/>
          <w:szCs w:val="28"/>
          <w:lang w:val="pt-BR"/>
        </w:rPr>
        <w:t xml:space="preserve"> Americana sobre </w:t>
      </w:r>
      <w:r w:rsidR="0089298C" w:rsidRPr="002F50BD">
        <w:rPr>
          <w:iCs/>
          <w:sz w:val="20"/>
          <w:szCs w:val="28"/>
          <w:lang w:val="pt-BR"/>
        </w:rPr>
        <w:t>Direito</w:t>
      </w:r>
      <w:r w:rsidR="004756C1" w:rsidRPr="002F50BD">
        <w:rPr>
          <w:iCs/>
          <w:sz w:val="20"/>
          <w:szCs w:val="28"/>
          <w:lang w:val="pt-BR"/>
        </w:rPr>
        <w:t xml:space="preserve">s Humanos </w:t>
      </w:r>
      <w:r w:rsidR="0089298C" w:rsidRPr="002F50BD">
        <w:rPr>
          <w:iCs/>
          <w:sz w:val="20"/>
          <w:szCs w:val="28"/>
          <w:lang w:val="pt-BR"/>
        </w:rPr>
        <w:t>dispõe</w:t>
      </w:r>
      <w:r w:rsidR="004756C1" w:rsidRPr="002F50BD">
        <w:rPr>
          <w:iCs/>
          <w:sz w:val="20"/>
          <w:szCs w:val="28"/>
          <w:lang w:val="pt-BR"/>
        </w:rPr>
        <w:t xml:space="preserve"> que “Tod</w:t>
      </w:r>
      <w:r w:rsidR="00AB454A" w:rsidRPr="002F50BD">
        <w:rPr>
          <w:iCs/>
          <w:sz w:val="20"/>
          <w:szCs w:val="28"/>
          <w:lang w:val="pt-BR"/>
        </w:rPr>
        <w:t xml:space="preserve">a </w:t>
      </w:r>
      <w:r w:rsidR="008C58CB" w:rsidRPr="002F50BD">
        <w:rPr>
          <w:iCs/>
          <w:sz w:val="20"/>
          <w:szCs w:val="28"/>
          <w:lang w:val="pt-BR"/>
        </w:rPr>
        <w:t>criança tem direito às medidas de proteção que a sua condição de menor requer por parte da sua família, da sociedade e do Estado</w:t>
      </w:r>
      <w:r w:rsidR="004756C1" w:rsidRPr="002F50BD">
        <w:rPr>
          <w:iCs/>
          <w:sz w:val="20"/>
          <w:szCs w:val="28"/>
          <w:lang w:val="pt-BR"/>
        </w:rPr>
        <w:t>.”</w:t>
      </w:r>
      <w:r w:rsidR="0089298C" w:rsidRPr="002F50BD">
        <w:rPr>
          <w:iCs/>
          <w:sz w:val="20"/>
          <w:szCs w:val="28"/>
          <w:lang w:val="pt-BR"/>
        </w:rPr>
        <w:t xml:space="preserve"> </w:t>
      </w:r>
      <w:r w:rsidR="008C58CB" w:rsidRPr="002F50BD">
        <w:rPr>
          <w:iCs/>
          <w:sz w:val="20"/>
          <w:szCs w:val="28"/>
          <w:lang w:val="pt-BR"/>
        </w:rPr>
        <w:t>A</w:t>
      </w:r>
      <w:r w:rsidR="0089298C" w:rsidRPr="002F50BD">
        <w:rPr>
          <w:iCs/>
          <w:sz w:val="20"/>
          <w:szCs w:val="28"/>
          <w:lang w:val="pt-BR"/>
        </w:rPr>
        <w:t xml:space="preserve"> </w:t>
      </w:r>
      <w:r w:rsidR="004756C1" w:rsidRPr="002F50BD">
        <w:rPr>
          <w:iCs/>
          <w:sz w:val="20"/>
          <w:szCs w:val="28"/>
          <w:lang w:val="pt-BR"/>
        </w:rPr>
        <w:t>Conven</w:t>
      </w:r>
      <w:r w:rsidR="0089298C" w:rsidRPr="002F50BD">
        <w:rPr>
          <w:iCs/>
          <w:sz w:val="20"/>
          <w:szCs w:val="28"/>
          <w:lang w:val="pt-BR"/>
        </w:rPr>
        <w:t>ção</w:t>
      </w:r>
      <w:r w:rsidR="004756C1" w:rsidRPr="002F50BD">
        <w:rPr>
          <w:iCs/>
          <w:sz w:val="20"/>
          <w:szCs w:val="28"/>
          <w:lang w:val="pt-BR"/>
        </w:rPr>
        <w:t xml:space="preserve"> sobre </w:t>
      </w:r>
      <w:r w:rsidR="008C58CB" w:rsidRPr="002F50BD">
        <w:rPr>
          <w:iCs/>
          <w:sz w:val="20"/>
          <w:szCs w:val="28"/>
          <w:lang w:val="pt-BR"/>
        </w:rPr>
        <w:t xml:space="preserve">os </w:t>
      </w:r>
      <w:r w:rsidR="0089298C" w:rsidRPr="002F50BD">
        <w:rPr>
          <w:iCs/>
          <w:sz w:val="20"/>
          <w:szCs w:val="28"/>
          <w:lang w:val="pt-BR"/>
        </w:rPr>
        <w:t>Direito</w:t>
      </w:r>
      <w:r w:rsidR="004756C1" w:rsidRPr="002F50BD">
        <w:rPr>
          <w:iCs/>
          <w:sz w:val="20"/>
          <w:szCs w:val="28"/>
          <w:lang w:val="pt-BR"/>
        </w:rPr>
        <w:t xml:space="preserve">s </w:t>
      </w:r>
      <w:r w:rsidR="0089298C" w:rsidRPr="002F50BD">
        <w:rPr>
          <w:iCs/>
          <w:sz w:val="20"/>
          <w:szCs w:val="28"/>
          <w:lang w:val="pt-BR"/>
        </w:rPr>
        <w:t>da Criança,</w:t>
      </w:r>
      <w:r w:rsidR="008C58CB" w:rsidRPr="002F50BD">
        <w:rPr>
          <w:iCs/>
          <w:sz w:val="20"/>
          <w:szCs w:val="28"/>
          <w:lang w:val="pt-BR"/>
        </w:rPr>
        <w:t xml:space="preserve"> </w:t>
      </w:r>
      <w:r w:rsidR="0089298C" w:rsidRPr="002F50BD">
        <w:rPr>
          <w:iCs/>
          <w:sz w:val="20"/>
          <w:szCs w:val="28"/>
          <w:lang w:val="pt-BR"/>
        </w:rPr>
        <w:t>cuja</w:t>
      </w:r>
      <w:r w:rsidR="004756C1" w:rsidRPr="002F50BD">
        <w:rPr>
          <w:iCs/>
          <w:sz w:val="20"/>
          <w:szCs w:val="28"/>
          <w:lang w:val="pt-BR"/>
        </w:rPr>
        <w:t>s disposi</w:t>
      </w:r>
      <w:r w:rsidR="0089298C" w:rsidRPr="002F50BD">
        <w:rPr>
          <w:iCs/>
          <w:sz w:val="20"/>
          <w:szCs w:val="28"/>
          <w:lang w:val="pt-BR"/>
        </w:rPr>
        <w:t>ções</w:t>
      </w:r>
      <w:r w:rsidR="004756C1" w:rsidRPr="002F50BD">
        <w:rPr>
          <w:iCs/>
          <w:sz w:val="20"/>
          <w:szCs w:val="28"/>
          <w:lang w:val="pt-BR"/>
        </w:rPr>
        <w:t xml:space="preserve"> </w:t>
      </w:r>
      <w:r w:rsidR="0089298C" w:rsidRPr="002F50BD">
        <w:rPr>
          <w:iCs/>
          <w:sz w:val="20"/>
          <w:szCs w:val="28"/>
          <w:lang w:val="pt-BR"/>
        </w:rPr>
        <w:t>passa</w:t>
      </w:r>
      <w:r w:rsidR="008C58CB" w:rsidRPr="002F50BD">
        <w:rPr>
          <w:iCs/>
          <w:sz w:val="20"/>
          <w:szCs w:val="28"/>
          <w:lang w:val="pt-BR"/>
        </w:rPr>
        <w:t>ram</w:t>
      </w:r>
      <w:r w:rsidR="004756C1" w:rsidRPr="002F50BD">
        <w:rPr>
          <w:iCs/>
          <w:sz w:val="20"/>
          <w:szCs w:val="28"/>
          <w:lang w:val="pt-BR"/>
        </w:rPr>
        <w:t xml:space="preserve"> a ser parte </w:t>
      </w:r>
      <w:r w:rsidR="0089298C" w:rsidRPr="002F50BD">
        <w:rPr>
          <w:iCs/>
          <w:sz w:val="20"/>
          <w:szCs w:val="28"/>
          <w:lang w:val="pt-BR"/>
        </w:rPr>
        <w:t>do direito</w:t>
      </w:r>
      <w:r w:rsidR="004756C1" w:rsidRPr="002F50BD">
        <w:rPr>
          <w:iCs/>
          <w:sz w:val="20"/>
          <w:szCs w:val="28"/>
          <w:lang w:val="pt-BR"/>
        </w:rPr>
        <w:t xml:space="preserve"> interno</w:t>
      </w:r>
      <w:r w:rsidR="0089298C" w:rsidRPr="002F50BD">
        <w:rPr>
          <w:iCs/>
          <w:sz w:val="20"/>
          <w:szCs w:val="28"/>
          <w:lang w:val="pt-BR"/>
        </w:rPr>
        <w:t xml:space="preserve"> dos </w:t>
      </w:r>
      <w:r w:rsidR="004756C1" w:rsidRPr="002F50BD">
        <w:rPr>
          <w:iCs/>
          <w:sz w:val="20"/>
          <w:szCs w:val="28"/>
          <w:lang w:val="pt-BR"/>
        </w:rPr>
        <w:t xml:space="preserve">Estados, </w:t>
      </w:r>
      <w:r w:rsidR="0089298C" w:rsidRPr="002F50BD">
        <w:rPr>
          <w:iCs/>
          <w:sz w:val="20"/>
          <w:szCs w:val="28"/>
          <w:lang w:val="pt-BR"/>
        </w:rPr>
        <w:t>dispõe</w:t>
      </w:r>
      <w:r w:rsidR="004756C1" w:rsidRPr="002F50BD">
        <w:rPr>
          <w:iCs/>
          <w:sz w:val="20"/>
          <w:szCs w:val="28"/>
          <w:lang w:val="pt-BR"/>
        </w:rPr>
        <w:t xml:space="preserve">, entre </w:t>
      </w:r>
      <w:r w:rsidR="0089298C" w:rsidRPr="002F50BD">
        <w:rPr>
          <w:iCs/>
          <w:sz w:val="20"/>
          <w:szCs w:val="28"/>
          <w:lang w:val="pt-BR"/>
        </w:rPr>
        <w:t>outra</w:t>
      </w:r>
      <w:r w:rsidR="004756C1" w:rsidRPr="002F50BD">
        <w:rPr>
          <w:iCs/>
          <w:sz w:val="20"/>
          <w:szCs w:val="28"/>
          <w:lang w:val="pt-BR"/>
        </w:rPr>
        <w:t>s medidas,</w:t>
      </w:r>
      <w:r w:rsidR="0089298C" w:rsidRPr="002F50BD">
        <w:rPr>
          <w:iCs/>
          <w:sz w:val="20"/>
          <w:szCs w:val="28"/>
          <w:lang w:val="pt-BR"/>
        </w:rPr>
        <w:t xml:space="preserve"> </w:t>
      </w:r>
      <w:r w:rsidR="00324068" w:rsidRPr="002F50BD">
        <w:rPr>
          <w:iCs/>
          <w:sz w:val="20"/>
          <w:szCs w:val="28"/>
          <w:lang w:val="pt-BR"/>
        </w:rPr>
        <w:t xml:space="preserve">sobre </w:t>
      </w:r>
      <w:r w:rsidR="0089298C" w:rsidRPr="002F50BD">
        <w:rPr>
          <w:iCs/>
          <w:sz w:val="20"/>
          <w:szCs w:val="28"/>
          <w:lang w:val="pt-BR"/>
        </w:rPr>
        <w:t xml:space="preserve">as </w:t>
      </w:r>
      <w:r w:rsidR="004756C1" w:rsidRPr="002F50BD">
        <w:rPr>
          <w:iCs/>
          <w:sz w:val="20"/>
          <w:szCs w:val="28"/>
          <w:lang w:val="pt-BR"/>
        </w:rPr>
        <w:t xml:space="preserve">relativas a </w:t>
      </w:r>
      <w:r w:rsidR="0089298C" w:rsidRPr="002F50BD">
        <w:rPr>
          <w:sz w:val="20"/>
          <w:szCs w:val="28"/>
          <w:lang w:val="pt-BR"/>
        </w:rPr>
        <w:t xml:space="preserve">assegurar a </w:t>
      </w:r>
      <w:r w:rsidR="004756C1" w:rsidRPr="002F50BD">
        <w:rPr>
          <w:sz w:val="20"/>
          <w:szCs w:val="28"/>
          <w:lang w:val="pt-BR"/>
        </w:rPr>
        <w:t>presta</w:t>
      </w:r>
      <w:r w:rsidR="0089298C" w:rsidRPr="002F50BD">
        <w:rPr>
          <w:sz w:val="20"/>
          <w:szCs w:val="28"/>
          <w:lang w:val="pt-BR"/>
        </w:rPr>
        <w:t>ção</w:t>
      </w:r>
      <w:r w:rsidR="004756C1" w:rsidRPr="002F50BD">
        <w:rPr>
          <w:sz w:val="20"/>
          <w:szCs w:val="28"/>
          <w:lang w:val="pt-BR"/>
        </w:rPr>
        <w:t xml:space="preserve"> de </w:t>
      </w:r>
      <w:r w:rsidR="0089298C" w:rsidRPr="002F50BD">
        <w:rPr>
          <w:sz w:val="20"/>
          <w:szCs w:val="28"/>
          <w:lang w:val="pt-BR"/>
        </w:rPr>
        <w:t xml:space="preserve">assistência </w:t>
      </w:r>
      <w:r w:rsidR="004756C1" w:rsidRPr="002F50BD">
        <w:rPr>
          <w:sz w:val="20"/>
          <w:szCs w:val="28"/>
          <w:lang w:val="pt-BR"/>
        </w:rPr>
        <w:t>médica</w:t>
      </w:r>
      <w:r w:rsidR="0089298C" w:rsidRPr="002F50BD">
        <w:rPr>
          <w:sz w:val="20"/>
          <w:szCs w:val="28"/>
          <w:lang w:val="pt-BR"/>
        </w:rPr>
        <w:t xml:space="preserve"> e </w:t>
      </w:r>
      <w:r w:rsidR="008C58CB" w:rsidRPr="002F50BD">
        <w:rPr>
          <w:sz w:val="20"/>
          <w:szCs w:val="28"/>
          <w:lang w:val="pt-BR"/>
        </w:rPr>
        <w:t>de</w:t>
      </w:r>
      <w:r w:rsidR="004756C1" w:rsidRPr="002F50BD">
        <w:rPr>
          <w:sz w:val="20"/>
          <w:szCs w:val="28"/>
          <w:lang w:val="pt-BR"/>
        </w:rPr>
        <w:t xml:space="preserve"> </w:t>
      </w:r>
      <w:r w:rsidR="0089298C" w:rsidRPr="002F50BD">
        <w:rPr>
          <w:sz w:val="20"/>
          <w:szCs w:val="28"/>
          <w:lang w:val="pt-BR"/>
        </w:rPr>
        <w:t>atenção</w:t>
      </w:r>
      <w:r w:rsidR="004756C1" w:rsidRPr="002F50BD">
        <w:rPr>
          <w:sz w:val="20"/>
          <w:szCs w:val="28"/>
          <w:lang w:val="pt-BR"/>
        </w:rPr>
        <w:t xml:space="preserve"> </w:t>
      </w:r>
      <w:r w:rsidR="00A50140" w:rsidRPr="002F50BD">
        <w:rPr>
          <w:sz w:val="20"/>
          <w:szCs w:val="28"/>
          <w:lang w:val="pt-BR"/>
        </w:rPr>
        <w:t>sanitária</w:t>
      </w:r>
      <w:r w:rsidR="004756C1" w:rsidRPr="002F50BD">
        <w:rPr>
          <w:sz w:val="20"/>
          <w:szCs w:val="28"/>
          <w:lang w:val="pt-BR"/>
        </w:rPr>
        <w:t xml:space="preserve"> </w:t>
      </w:r>
      <w:r w:rsidR="0089298C" w:rsidRPr="002F50BD">
        <w:rPr>
          <w:sz w:val="20"/>
          <w:szCs w:val="28"/>
          <w:lang w:val="pt-BR"/>
        </w:rPr>
        <w:t>necessári</w:t>
      </w:r>
      <w:r w:rsidR="004756C1" w:rsidRPr="002F50BD">
        <w:rPr>
          <w:sz w:val="20"/>
          <w:szCs w:val="28"/>
          <w:lang w:val="pt-BR"/>
        </w:rPr>
        <w:t>as a tod</w:t>
      </w:r>
      <w:r w:rsidR="008C58CB" w:rsidRPr="002F50BD">
        <w:rPr>
          <w:sz w:val="20"/>
          <w:szCs w:val="28"/>
          <w:lang w:val="pt-BR"/>
        </w:rPr>
        <w:t>a</w:t>
      </w:r>
      <w:r w:rsidR="004756C1" w:rsidRPr="002F50BD">
        <w:rPr>
          <w:sz w:val="20"/>
          <w:szCs w:val="28"/>
          <w:lang w:val="pt-BR"/>
        </w:rPr>
        <w:t>s</w:t>
      </w:r>
      <w:r w:rsidR="0089298C" w:rsidRPr="002F50BD">
        <w:rPr>
          <w:sz w:val="20"/>
          <w:szCs w:val="28"/>
          <w:lang w:val="pt-BR"/>
        </w:rPr>
        <w:t xml:space="preserve"> </w:t>
      </w:r>
      <w:r w:rsidR="005A6BC7" w:rsidRPr="002F50BD">
        <w:rPr>
          <w:sz w:val="20"/>
          <w:szCs w:val="28"/>
          <w:lang w:val="pt-BR"/>
        </w:rPr>
        <w:t>as crianças</w:t>
      </w:r>
      <w:r w:rsidR="004756C1" w:rsidRPr="002F50BD">
        <w:rPr>
          <w:sz w:val="20"/>
          <w:szCs w:val="28"/>
          <w:lang w:val="pt-BR"/>
        </w:rPr>
        <w:t xml:space="preserve">, </w:t>
      </w:r>
      <w:r w:rsidR="00324068" w:rsidRPr="002F50BD">
        <w:rPr>
          <w:sz w:val="20"/>
          <w:szCs w:val="28"/>
          <w:lang w:val="pt-BR"/>
        </w:rPr>
        <w:t xml:space="preserve">dando </w:t>
      </w:r>
      <w:r w:rsidR="008C58CB" w:rsidRPr="002F50BD">
        <w:rPr>
          <w:sz w:val="20"/>
          <w:szCs w:val="28"/>
          <w:lang w:val="pt-BR"/>
        </w:rPr>
        <w:t>ênfase</w:t>
      </w:r>
      <w:r w:rsidR="0089298C" w:rsidRPr="002F50BD">
        <w:rPr>
          <w:sz w:val="20"/>
          <w:szCs w:val="28"/>
          <w:lang w:val="pt-BR"/>
        </w:rPr>
        <w:t xml:space="preserve"> no desenvolvimento da atenção</w:t>
      </w:r>
      <w:r w:rsidR="004756C1" w:rsidRPr="002F50BD">
        <w:rPr>
          <w:sz w:val="20"/>
          <w:szCs w:val="28"/>
          <w:lang w:val="pt-BR"/>
        </w:rPr>
        <w:t xml:space="preserve"> prim</w:t>
      </w:r>
      <w:r w:rsidR="008C58CB" w:rsidRPr="002F50BD">
        <w:rPr>
          <w:sz w:val="20"/>
          <w:szCs w:val="28"/>
          <w:lang w:val="pt-BR"/>
        </w:rPr>
        <w:t>á</w:t>
      </w:r>
      <w:r w:rsidR="004756C1" w:rsidRPr="002F50BD">
        <w:rPr>
          <w:sz w:val="20"/>
          <w:szCs w:val="28"/>
          <w:lang w:val="pt-BR"/>
        </w:rPr>
        <w:t xml:space="preserve">ria de </w:t>
      </w:r>
      <w:r w:rsidR="0089298C" w:rsidRPr="002F50BD">
        <w:rPr>
          <w:sz w:val="20"/>
          <w:szCs w:val="28"/>
          <w:lang w:val="pt-BR"/>
        </w:rPr>
        <w:t>saúde</w:t>
      </w:r>
      <w:r w:rsidR="004756C1" w:rsidRPr="002F50BD">
        <w:rPr>
          <w:sz w:val="20"/>
          <w:szCs w:val="28"/>
          <w:lang w:val="pt-BR"/>
        </w:rPr>
        <w:t xml:space="preserve">; </w:t>
      </w:r>
      <w:r w:rsidR="0089298C" w:rsidRPr="002F50BD">
        <w:rPr>
          <w:sz w:val="20"/>
          <w:szCs w:val="28"/>
          <w:lang w:val="pt-BR"/>
        </w:rPr>
        <w:t xml:space="preserve">combater as </w:t>
      </w:r>
      <w:r w:rsidR="00367FD1" w:rsidRPr="002F50BD">
        <w:rPr>
          <w:sz w:val="20"/>
          <w:szCs w:val="28"/>
          <w:lang w:val="pt-BR"/>
        </w:rPr>
        <w:t>doenças</w:t>
      </w:r>
      <w:r w:rsidR="004756C1" w:rsidRPr="002F50BD">
        <w:rPr>
          <w:b/>
          <w:sz w:val="20"/>
          <w:szCs w:val="28"/>
          <w:lang w:val="pt-BR"/>
        </w:rPr>
        <w:t xml:space="preserve"> </w:t>
      </w:r>
      <w:r w:rsidR="008C58CB" w:rsidRPr="002F50BD">
        <w:rPr>
          <w:sz w:val="20"/>
          <w:szCs w:val="28"/>
          <w:lang w:val="pt-BR"/>
        </w:rPr>
        <w:t xml:space="preserve">de </w:t>
      </w:r>
      <w:r w:rsidR="004756C1" w:rsidRPr="002F50BD">
        <w:rPr>
          <w:sz w:val="20"/>
          <w:szCs w:val="28"/>
          <w:lang w:val="pt-BR"/>
        </w:rPr>
        <w:t>malnutri</w:t>
      </w:r>
      <w:r w:rsidR="0089298C" w:rsidRPr="002F50BD">
        <w:rPr>
          <w:sz w:val="20"/>
          <w:szCs w:val="28"/>
          <w:lang w:val="pt-BR"/>
        </w:rPr>
        <w:t xml:space="preserve">ção no </w:t>
      </w:r>
      <w:r w:rsidR="008C58CB" w:rsidRPr="002F50BD">
        <w:rPr>
          <w:sz w:val="20"/>
          <w:szCs w:val="28"/>
          <w:lang w:val="pt-BR"/>
        </w:rPr>
        <w:t xml:space="preserve">âmbito </w:t>
      </w:r>
      <w:r w:rsidR="0089298C" w:rsidRPr="002F50BD">
        <w:rPr>
          <w:sz w:val="20"/>
          <w:szCs w:val="28"/>
          <w:lang w:val="pt-BR"/>
        </w:rPr>
        <w:t>da atenção</w:t>
      </w:r>
      <w:r w:rsidR="004756C1" w:rsidRPr="002F50BD">
        <w:rPr>
          <w:sz w:val="20"/>
          <w:szCs w:val="28"/>
          <w:lang w:val="pt-BR"/>
        </w:rPr>
        <w:t xml:space="preserve"> prim</w:t>
      </w:r>
      <w:r w:rsidR="008C58CB" w:rsidRPr="002F50BD">
        <w:rPr>
          <w:sz w:val="20"/>
          <w:szCs w:val="28"/>
          <w:lang w:val="pt-BR"/>
        </w:rPr>
        <w:t>á</w:t>
      </w:r>
      <w:r w:rsidR="004756C1" w:rsidRPr="002F50BD">
        <w:rPr>
          <w:sz w:val="20"/>
          <w:szCs w:val="28"/>
          <w:lang w:val="pt-BR"/>
        </w:rPr>
        <w:t xml:space="preserve">ria de </w:t>
      </w:r>
      <w:r w:rsidR="0089298C" w:rsidRPr="002F50BD">
        <w:rPr>
          <w:sz w:val="20"/>
          <w:szCs w:val="28"/>
          <w:lang w:val="pt-BR"/>
        </w:rPr>
        <w:t>saúde</w:t>
      </w:r>
      <w:r w:rsidR="004756C1" w:rsidRPr="002F50BD">
        <w:rPr>
          <w:sz w:val="20"/>
          <w:szCs w:val="28"/>
          <w:lang w:val="pt-BR"/>
        </w:rPr>
        <w:t xml:space="preserve"> mediante</w:t>
      </w:r>
      <w:r w:rsidR="0089298C" w:rsidRPr="002F50BD">
        <w:rPr>
          <w:sz w:val="20"/>
          <w:szCs w:val="28"/>
          <w:lang w:val="pt-BR"/>
        </w:rPr>
        <w:t xml:space="preserve"> a </w:t>
      </w:r>
      <w:r w:rsidR="004756C1" w:rsidRPr="002F50BD">
        <w:rPr>
          <w:sz w:val="20"/>
          <w:szCs w:val="28"/>
          <w:lang w:val="pt-BR"/>
        </w:rPr>
        <w:t>aplica</w:t>
      </w:r>
      <w:r w:rsidR="0089298C" w:rsidRPr="002F50BD">
        <w:rPr>
          <w:sz w:val="20"/>
          <w:szCs w:val="28"/>
          <w:lang w:val="pt-BR"/>
        </w:rPr>
        <w:t xml:space="preserve">ção da </w:t>
      </w:r>
      <w:r w:rsidR="00AB6727" w:rsidRPr="002F50BD">
        <w:rPr>
          <w:sz w:val="20"/>
          <w:szCs w:val="28"/>
          <w:lang w:val="pt-BR"/>
        </w:rPr>
        <w:t>tecnologia</w:t>
      </w:r>
      <w:r w:rsidR="004756C1" w:rsidRPr="002F50BD">
        <w:rPr>
          <w:sz w:val="20"/>
          <w:szCs w:val="28"/>
          <w:lang w:val="pt-BR"/>
        </w:rPr>
        <w:t xml:space="preserve"> </w:t>
      </w:r>
      <w:r w:rsidR="0089298C" w:rsidRPr="002F50BD">
        <w:rPr>
          <w:sz w:val="20"/>
          <w:szCs w:val="28"/>
          <w:lang w:val="pt-BR"/>
        </w:rPr>
        <w:t xml:space="preserve">disponível e o </w:t>
      </w:r>
      <w:r w:rsidR="008C58CB" w:rsidRPr="002F50BD">
        <w:rPr>
          <w:sz w:val="20"/>
          <w:szCs w:val="28"/>
          <w:lang w:val="pt-BR"/>
        </w:rPr>
        <w:t xml:space="preserve">fornecimento </w:t>
      </w:r>
      <w:r w:rsidR="004756C1" w:rsidRPr="002F50BD">
        <w:rPr>
          <w:sz w:val="20"/>
          <w:szCs w:val="28"/>
          <w:lang w:val="pt-BR"/>
        </w:rPr>
        <w:t xml:space="preserve">de alimentos nutritivos </w:t>
      </w:r>
      <w:r w:rsidR="0089298C" w:rsidRPr="002F50BD">
        <w:rPr>
          <w:sz w:val="20"/>
          <w:szCs w:val="28"/>
          <w:lang w:val="pt-BR"/>
        </w:rPr>
        <w:t>adequad</w:t>
      </w:r>
      <w:r w:rsidR="004756C1" w:rsidRPr="002F50BD">
        <w:rPr>
          <w:sz w:val="20"/>
          <w:szCs w:val="28"/>
          <w:lang w:val="pt-BR"/>
        </w:rPr>
        <w:t>os</w:t>
      </w:r>
      <w:r w:rsidR="0089298C" w:rsidRPr="002F50BD">
        <w:rPr>
          <w:sz w:val="20"/>
          <w:szCs w:val="28"/>
          <w:lang w:val="pt-BR"/>
        </w:rPr>
        <w:t xml:space="preserve"> e</w:t>
      </w:r>
      <w:r w:rsidR="00AB454A" w:rsidRPr="002F50BD">
        <w:rPr>
          <w:sz w:val="20"/>
          <w:szCs w:val="28"/>
          <w:lang w:val="pt-BR"/>
        </w:rPr>
        <w:t xml:space="preserve"> água potável </w:t>
      </w:r>
      <w:r w:rsidR="008C58CB" w:rsidRPr="002F50BD">
        <w:rPr>
          <w:sz w:val="20"/>
          <w:szCs w:val="28"/>
          <w:lang w:val="pt-BR"/>
        </w:rPr>
        <w:t>saudável</w:t>
      </w:r>
      <w:r w:rsidR="004756C1" w:rsidRPr="002F50BD">
        <w:rPr>
          <w:sz w:val="20"/>
          <w:szCs w:val="28"/>
          <w:lang w:val="pt-BR"/>
        </w:rPr>
        <w:t xml:space="preserve">, </w:t>
      </w:r>
      <w:r w:rsidR="0089298C" w:rsidRPr="002F50BD">
        <w:rPr>
          <w:sz w:val="20"/>
          <w:szCs w:val="28"/>
          <w:lang w:val="pt-BR"/>
        </w:rPr>
        <w:t>tendo em conta os perigo</w:t>
      </w:r>
      <w:r w:rsidR="004756C1" w:rsidRPr="002F50BD">
        <w:rPr>
          <w:sz w:val="20"/>
          <w:szCs w:val="28"/>
          <w:lang w:val="pt-BR"/>
        </w:rPr>
        <w:t>s</w:t>
      </w:r>
      <w:r w:rsidR="0089298C" w:rsidRPr="002F50BD">
        <w:rPr>
          <w:sz w:val="20"/>
          <w:szCs w:val="28"/>
          <w:lang w:val="pt-BR"/>
        </w:rPr>
        <w:t xml:space="preserve"> e risco</w:t>
      </w:r>
      <w:r w:rsidR="004756C1" w:rsidRPr="002F50BD">
        <w:rPr>
          <w:sz w:val="20"/>
          <w:szCs w:val="28"/>
          <w:lang w:val="pt-BR"/>
        </w:rPr>
        <w:t>s</w:t>
      </w:r>
      <w:r w:rsidR="0089298C" w:rsidRPr="002F50BD">
        <w:rPr>
          <w:sz w:val="20"/>
          <w:szCs w:val="28"/>
          <w:lang w:val="pt-BR"/>
        </w:rPr>
        <w:t xml:space="preserve"> da </w:t>
      </w:r>
      <w:r w:rsidR="004756C1" w:rsidRPr="002F50BD">
        <w:rPr>
          <w:sz w:val="20"/>
          <w:szCs w:val="28"/>
          <w:lang w:val="pt-BR"/>
        </w:rPr>
        <w:t>contamina</w:t>
      </w:r>
      <w:r w:rsidR="0089298C" w:rsidRPr="002F50BD">
        <w:rPr>
          <w:sz w:val="20"/>
          <w:szCs w:val="28"/>
          <w:lang w:val="pt-BR"/>
        </w:rPr>
        <w:t>ção</w:t>
      </w:r>
      <w:r w:rsidR="004756C1" w:rsidRPr="002F50BD">
        <w:rPr>
          <w:sz w:val="20"/>
          <w:szCs w:val="28"/>
          <w:lang w:val="pt-BR"/>
        </w:rPr>
        <w:t xml:space="preserve"> </w:t>
      </w:r>
      <w:r w:rsidR="0089298C" w:rsidRPr="002F50BD">
        <w:rPr>
          <w:sz w:val="20"/>
          <w:szCs w:val="28"/>
          <w:lang w:val="pt-BR"/>
        </w:rPr>
        <w:t xml:space="preserve">do meio </w:t>
      </w:r>
      <w:r w:rsidR="004756C1" w:rsidRPr="002F50BD">
        <w:rPr>
          <w:sz w:val="20"/>
          <w:szCs w:val="28"/>
          <w:lang w:val="pt-BR"/>
        </w:rPr>
        <w:t>ambiente.</w:t>
      </w:r>
    </w:p>
    <w:p w:rsidR="004756C1" w:rsidRPr="002F50BD" w:rsidRDefault="004756C1">
      <w:pPr>
        <w:pStyle w:val="BlockText"/>
        <w:spacing w:line="240" w:lineRule="auto"/>
        <w:ind w:left="0" w:right="0"/>
        <w:rPr>
          <w:sz w:val="20"/>
          <w:szCs w:val="28"/>
          <w:lang w:val="pt-BR"/>
        </w:rPr>
      </w:pPr>
    </w:p>
    <w:p w:rsidR="004756C1" w:rsidRPr="002F50BD" w:rsidRDefault="004756C1">
      <w:pPr>
        <w:pStyle w:val="BlockText"/>
        <w:spacing w:line="240" w:lineRule="auto"/>
        <w:ind w:left="0" w:right="0"/>
        <w:jc w:val="center"/>
        <w:rPr>
          <w:sz w:val="20"/>
          <w:szCs w:val="28"/>
          <w:lang w:val="pt-BR"/>
        </w:rPr>
      </w:pPr>
      <w:r w:rsidRPr="002F50BD">
        <w:rPr>
          <w:sz w:val="20"/>
          <w:szCs w:val="28"/>
          <w:lang w:val="pt-BR"/>
        </w:rPr>
        <w:t>*</w:t>
      </w:r>
    </w:p>
    <w:p w:rsidR="004756C1" w:rsidRPr="002F50BD" w:rsidRDefault="004756C1">
      <w:pPr>
        <w:pStyle w:val="BlockText"/>
        <w:spacing w:line="240" w:lineRule="auto"/>
        <w:ind w:left="0" w:right="0"/>
        <w:jc w:val="center"/>
        <w:rPr>
          <w:sz w:val="20"/>
          <w:szCs w:val="28"/>
          <w:lang w:val="pt-BR"/>
        </w:rPr>
      </w:pPr>
      <w:r w:rsidRPr="002F50BD">
        <w:rPr>
          <w:sz w:val="20"/>
          <w:szCs w:val="28"/>
          <w:lang w:val="pt-BR"/>
        </w:rPr>
        <w:t>*</w:t>
      </w:r>
      <w:r w:rsidRPr="002F50BD">
        <w:rPr>
          <w:sz w:val="20"/>
          <w:szCs w:val="28"/>
          <w:lang w:val="pt-BR"/>
        </w:rPr>
        <w:tab/>
        <w:t>*</w:t>
      </w:r>
    </w:p>
    <w:p w:rsidR="004756C1" w:rsidRPr="002F50BD" w:rsidRDefault="004756C1">
      <w:pPr>
        <w:pStyle w:val="BlockText"/>
        <w:spacing w:line="240" w:lineRule="auto"/>
        <w:ind w:left="0" w:right="0"/>
        <w:jc w:val="center"/>
        <w:rPr>
          <w:sz w:val="20"/>
          <w:szCs w:val="28"/>
          <w:lang w:val="pt-BR"/>
        </w:rPr>
      </w:pPr>
    </w:p>
    <w:p w:rsidR="004756C1" w:rsidRPr="002F50BD" w:rsidRDefault="00063B47">
      <w:pPr>
        <w:pStyle w:val="BlockText"/>
        <w:spacing w:line="240" w:lineRule="auto"/>
        <w:ind w:left="0" w:right="0"/>
        <w:rPr>
          <w:iCs/>
          <w:sz w:val="20"/>
          <w:szCs w:val="28"/>
          <w:lang w:val="pt-BR"/>
        </w:rPr>
      </w:pPr>
      <w:r w:rsidRPr="002F50BD">
        <w:rPr>
          <w:sz w:val="20"/>
          <w:szCs w:val="28"/>
          <w:lang w:val="pt-BR"/>
        </w:rPr>
        <w:t>15</w:t>
      </w:r>
      <w:r w:rsidR="004756C1" w:rsidRPr="002F50BD">
        <w:rPr>
          <w:i/>
          <w:sz w:val="20"/>
          <w:szCs w:val="28"/>
          <w:lang w:val="pt-BR"/>
        </w:rPr>
        <w:t>.</w:t>
      </w:r>
      <w:r w:rsidR="004756C1" w:rsidRPr="002F50BD">
        <w:rPr>
          <w:sz w:val="20"/>
          <w:szCs w:val="28"/>
          <w:lang w:val="pt-BR"/>
        </w:rPr>
        <w:tab/>
      </w:r>
      <w:r w:rsidR="004756C1" w:rsidRPr="002F50BD">
        <w:rPr>
          <w:iCs/>
          <w:sz w:val="20"/>
          <w:szCs w:val="28"/>
          <w:lang w:val="pt-BR"/>
        </w:rPr>
        <w:t>Qu</w:t>
      </w:r>
      <w:r w:rsidR="008C58CB" w:rsidRPr="002F50BD">
        <w:rPr>
          <w:iCs/>
          <w:sz w:val="20"/>
          <w:szCs w:val="28"/>
          <w:lang w:val="pt-BR"/>
        </w:rPr>
        <w:t>e</w:t>
      </w:r>
      <w:r w:rsidR="004756C1" w:rsidRPr="002F50BD">
        <w:rPr>
          <w:iCs/>
          <w:sz w:val="20"/>
          <w:szCs w:val="28"/>
          <w:lang w:val="pt-BR"/>
        </w:rPr>
        <w:t xml:space="preserve">ro </w:t>
      </w:r>
      <w:r w:rsidR="008C58CB" w:rsidRPr="002F50BD">
        <w:rPr>
          <w:iCs/>
          <w:sz w:val="20"/>
          <w:szCs w:val="28"/>
          <w:lang w:val="pt-BR"/>
        </w:rPr>
        <w:t xml:space="preserve">novamente </w:t>
      </w:r>
      <w:r w:rsidR="004756C1" w:rsidRPr="002F50BD">
        <w:rPr>
          <w:iCs/>
          <w:sz w:val="20"/>
          <w:szCs w:val="28"/>
          <w:lang w:val="pt-BR"/>
        </w:rPr>
        <w:t>destacar que mi</w:t>
      </w:r>
      <w:r w:rsidR="008C58CB" w:rsidRPr="002F50BD">
        <w:rPr>
          <w:iCs/>
          <w:sz w:val="20"/>
          <w:szCs w:val="28"/>
          <w:lang w:val="pt-BR"/>
        </w:rPr>
        <w:t xml:space="preserve">nha </w:t>
      </w:r>
      <w:r w:rsidR="00324068" w:rsidRPr="002F50BD">
        <w:rPr>
          <w:iCs/>
          <w:sz w:val="20"/>
          <w:szCs w:val="28"/>
          <w:lang w:val="pt-BR"/>
        </w:rPr>
        <w:t>divergência a</w:t>
      </w:r>
      <w:r w:rsidR="008C58CB" w:rsidRPr="002F50BD">
        <w:rPr>
          <w:iCs/>
          <w:sz w:val="20"/>
          <w:szCs w:val="28"/>
          <w:lang w:val="pt-BR"/>
        </w:rPr>
        <w:t xml:space="preserve"> </w:t>
      </w:r>
      <w:r w:rsidR="0089298C" w:rsidRPr="002F50BD">
        <w:rPr>
          <w:iCs/>
          <w:sz w:val="20"/>
          <w:szCs w:val="28"/>
          <w:lang w:val="pt-BR"/>
        </w:rPr>
        <w:t xml:space="preserve">respeito </w:t>
      </w:r>
      <w:r w:rsidR="00324068" w:rsidRPr="002F50BD">
        <w:rPr>
          <w:iCs/>
          <w:sz w:val="20"/>
          <w:szCs w:val="28"/>
          <w:lang w:val="pt-BR"/>
        </w:rPr>
        <w:t>d</w:t>
      </w:r>
      <w:r w:rsidR="0089298C" w:rsidRPr="002F50BD">
        <w:rPr>
          <w:iCs/>
          <w:sz w:val="20"/>
          <w:szCs w:val="28"/>
          <w:lang w:val="pt-BR"/>
        </w:rPr>
        <w:t xml:space="preserve">o ponto </w:t>
      </w:r>
      <w:r w:rsidR="004756C1" w:rsidRPr="002F50BD">
        <w:rPr>
          <w:iCs/>
          <w:sz w:val="20"/>
          <w:szCs w:val="28"/>
          <w:lang w:val="pt-BR"/>
        </w:rPr>
        <w:t xml:space="preserve">resolutivo </w:t>
      </w:r>
      <w:r w:rsidRPr="002F50BD">
        <w:rPr>
          <w:iCs/>
          <w:sz w:val="20"/>
          <w:szCs w:val="28"/>
          <w:lang w:val="pt-BR"/>
        </w:rPr>
        <w:t>4</w:t>
      </w:r>
      <w:r w:rsidR="0089298C" w:rsidRPr="002F50BD">
        <w:rPr>
          <w:iCs/>
          <w:sz w:val="20"/>
          <w:szCs w:val="28"/>
          <w:lang w:val="pt-BR"/>
        </w:rPr>
        <w:t xml:space="preserve"> da Sentença</w:t>
      </w:r>
      <w:r w:rsidR="004756C1" w:rsidRPr="002F50BD">
        <w:rPr>
          <w:iCs/>
          <w:sz w:val="20"/>
          <w:szCs w:val="28"/>
          <w:lang w:val="pt-BR"/>
        </w:rPr>
        <w:t xml:space="preserve"> obedece </w:t>
      </w:r>
      <w:r w:rsidR="0089298C" w:rsidRPr="002F50BD">
        <w:rPr>
          <w:iCs/>
          <w:sz w:val="20"/>
          <w:szCs w:val="28"/>
          <w:lang w:val="pt-BR"/>
        </w:rPr>
        <w:t>unicamente</w:t>
      </w:r>
      <w:r w:rsidR="004756C1" w:rsidRPr="002F50BD">
        <w:rPr>
          <w:iCs/>
          <w:sz w:val="20"/>
          <w:szCs w:val="28"/>
          <w:lang w:val="pt-BR"/>
        </w:rPr>
        <w:t xml:space="preserve"> </w:t>
      </w:r>
      <w:r w:rsidR="00754117" w:rsidRPr="002F50BD">
        <w:rPr>
          <w:iCs/>
          <w:sz w:val="20"/>
          <w:szCs w:val="28"/>
          <w:lang w:val="pt-BR"/>
        </w:rPr>
        <w:t>à</w:t>
      </w:r>
      <w:r w:rsidR="004756C1" w:rsidRPr="002F50BD">
        <w:rPr>
          <w:iCs/>
          <w:sz w:val="20"/>
          <w:szCs w:val="28"/>
          <w:lang w:val="pt-BR"/>
        </w:rPr>
        <w:t xml:space="preserve"> mi</w:t>
      </w:r>
      <w:r w:rsidR="008C58CB" w:rsidRPr="002F50BD">
        <w:rPr>
          <w:iCs/>
          <w:sz w:val="20"/>
          <w:szCs w:val="28"/>
          <w:lang w:val="pt-BR"/>
        </w:rPr>
        <w:t>nha</w:t>
      </w:r>
      <w:r w:rsidR="004756C1" w:rsidRPr="002F50BD">
        <w:rPr>
          <w:iCs/>
          <w:sz w:val="20"/>
          <w:szCs w:val="28"/>
          <w:lang w:val="pt-BR"/>
        </w:rPr>
        <w:t xml:space="preserve"> particular considera</w:t>
      </w:r>
      <w:r w:rsidR="0089298C" w:rsidRPr="002F50BD">
        <w:rPr>
          <w:iCs/>
          <w:sz w:val="20"/>
          <w:szCs w:val="28"/>
          <w:lang w:val="pt-BR"/>
        </w:rPr>
        <w:t>ção</w:t>
      </w:r>
      <w:r w:rsidR="004756C1" w:rsidRPr="002F50BD">
        <w:rPr>
          <w:iCs/>
          <w:sz w:val="20"/>
          <w:szCs w:val="28"/>
          <w:lang w:val="pt-BR"/>
        </w:rPr>
        <w:t xml:space="preserve"> sobre</w:t>
      </w:r>
      <w:r w:rsidR="0089298C" w:rsidRPr="002F50BD">
        <w:rPr>
          <w:iCs/>
          <w:sz w:val="20"/>
          <w:szCs w:val="28"/>
          <w:lang w:val="pt-BR"/>
        </w:rPr>
        <w:t xml:space="preserve"> a prova neste </w:t>
      </w:r>
      <w:r w:rsidR="004756C1" w:rsidRPr="002F50BD">
        <w:rPr>
          <w:iCs/>
          <w:sz w:val="20"/>
          <w:szCs w:val="28"/>
          <w:lang w:val="pt-BR"/>
        </w:rPr>
        <w:t>caso.</w:t>
      </w:r>
    </w:p>
    <w:p w:rsidR="004756C1" w:rsidRPr="002F50BD" w:rsidRDefault="004756C1">
      <w:pPr>
        <w:pStyle w:val="BlockText"/>
        <w:spacing w:line="240" w:lineRule="auto"/>
        <w:ind w:left="0" w:right="0"/>
        <w:rPr>
          <w:b/>
          <w:iCs/>
          <w:sz w:val="20"/>
          <w:szCs w:val="28"/>
          <w:lang w:val="pt-BR"/>
        </w:rPr>
      </w:pPr>
    </w:p>
    <w:p w:rsidR="004756C1" w:rsidRPr="002F50BD" w:rsidRDefault="00063B47">
      <w:pPr>
        <w:pStyle w:val="BlockText"/>
        <w:spacing w:line="240" w:lineRule="auto"/>
        <w:ind w:left="0" w:right="0"/>
        <w:rPr>
          <w:iCs/>
          <w:sz w:val="20"/>
          <w:szCs w:val="28"/>
          <w:lang w:val="pt-BR"/>
        </w:rPr>
      </w:pPr>
      <w:r w:rsidRPr="002F50BD">
        <w:rPr>
          <w:iCs/>
          <w:sz w:val="20"/>
          <w:szCs w:val="28"/>
          <w:lang w:val="pt-BR"/>
        </w:rPr>
        <w:t>16</w:t>
      </w:r>
      <w:r w:rsidR="004756C1" w:rsidRPr="002F50BD">
        <w:rPr>
          <w:iCs/>
          <w:sz w:val="20"/>
          <w:szCs w:val="28"/>
          <w:lang w:val="pt-BR"/>
        </w:rPr>
        <w:t>.</w:t>
      </w:r>
      <w:r w:rsidR="004756C1" w:rsidRPr="002F50BD">
        <w:rPr>
          <w:iCs/>
          <w:sz w:val="20"/>
          <w:szCs w:val="28"/>
          <w:lang w:val="pt-BR"/>
        </w:rPr>
        <w:tab/>
        <w:t>A</w:t>
      </w:r>
      <w:r w:rsidR="0089298C" w:rsidRPr="002F50BD">
        <w:rPr>
          <w:iCs/>
          <w:sz w:val="20"/>
          <w:szCs w:val="28"/>
          <w:lang w:val="pt-BR"/>
        </w:rPr>
        <w:t xml:space="preserve"> fim </w:t>
      </w:r>
      <w:r w:rsidR="004756C1" w:rsidRPr="002F50BD">
        <w:rPr>
          <w:iCs/>
          <w:sz w:val="20"/>
          <w:szCs w:val="28"/>
          <w:lang w:val="pt-BR"/>
        </w:rPr>
        <w:t>de fundamentar mi</w:t>
      </w:r>
      <w:r w:rsidR="008C58CB" w:rsidRPr="002F50BD">
        <w:rPr>
          <w:iCs/>
          <w:sz w:val="20"/>
          <w:szCs w:val="28"/>
          <w:lang w:val="pt-BR"/>
        </w:rPr>
        <w:t>nha</w:t>
      </w:r>
      <w:r w:rsidR="004756C1" w:rsidRPr="002F50BD">
        <w:rPr>
          <w:iCs/>
          <w:sz w:val="20"/>
          <w:szCs w:val="28"/>
          <w:lang w:val="pt-BR"/>
        </w:rPr>
        <w:t xml:space="preserve"> </w:t>
      </w:r>
      <w:r w:rsidR="0089298C" w:rsidRPr="002F50BD">
        <w:rPr>
          <w:iCs/>
          <w:sz w:val="20"/>
          <w:szCs w:val="28"/>
          <w:lang w:val="pt-BR"/>
        </w:rPr>
        <w:t>opinião</w:t>
      </w:r>
      <w:r w:rsidR="004756C1" w:rsidRPr="002F50BD">
        <w:rPr>
          <w:iCs/>
          <w:sz w:val="20"/>
          <w:szCs w:val="28"/>
          <w:lang w:val="pt-BR"/>
        </w:rPr>
        <w:t xml:space="preserve"> de que</w:t>
      </w:r>
      <w:r w:rsidR="0089298C" w:rsidRPr="002F50BD">
        <w:rPr>
          <w:iCs/>
          <w:sz w:val="20"/>
          <w:szCs w:val="28"/>
          <w:lang w:val="pt-BR"/>
        </w:rPr>
        <w:t xml:space="preserve"> a </w:t>
      </w:r>
      <w:r w:rsidR="004756C1" w:rsidRPr="002F50BD">
        <w:rPr>
          <w:iCs/>
          <w:sz w:val="20"/>
          <w:szCs w:val="28"/>
          <w:lang w:val="pt-BR"/>
        </w:rPr>
        <w:t xml:space="preserve">Corte </w:t>
      </w:r>
      <w:r w:rsidR="008C58CB" w:rsidRPr="002F50BD">
        <w:rPr>
          <w:iCs/>
          <w:sz w:val="20"/>
          <w:szCs w:val="28"/>
          <w:lang w:val="pt-BR"/>
        </w:rPr>
        <w:t>deve</w:t>
      </w:r>
      <w:r w:rsidR="00754117" w:rsidRPr="002F50BD">
        <w:rPr>
          <w:iCs/>
          <w:sz w:val="20"/>
          <w:szCs w:val="28"/>
          <w:lang w:val="pt-BR"/>
        </w:rPr>
        <w:t>r</w:t>
      </w:r>
      <w:r w:rsidR="008C58CB" w:rsidRPr="002F50BD">
        <w:rPr>
          <w:iCs/>
          <w:sz w:val="20"/>
          <w:szCs w:val="28"/>
          <w:lang w:val="pt-BR"/>
        </w:rPr>
        <w:t xml:space="preserve">ia ter considerado como </w:t>
      </w:r>
      <w:r w:rsidR="004756C1" w:rsidRPr="002F50BD">
        <w:rPr>
          <w:iCs/>
          <w:sz w:val="20"/>
          <w:szCs w:val="28"/>
          <w:lang w:val="pt-BR"/>
        </w:rPr>
        <w:t xml:space="preserve">suficientemente </w:t>
      </w:r>
      <w:r w:rsidR="004076AD" w:rsidRPr="002F50BD">
        <w:rPr>
          <w:iCs/>
          <w:sz w:val="20"/>
          <w:szCs w:val="28"/>
          <w:lang w:val="pt-BR"/>
        </w:rPr>
        <w:t>demonstra</w:t>
      </w:r>
      <w:r w:rsidR="004756C1" w:rsidRPr="002F50BD">
        <w:rPr>
          <w:iCs/>
          <w:sz w:val="20"/>
          <w:szCs w:val="28"/>
          <w:lang w:val="pt-BR"/>
        </w:rPr>
        <w:t>das</w:t>
      </w:r>
      <w:r w:rsidR="0089298C" w:rsidRPr="002F50BD">
        <w:rPr>
          <w:iCs/>
          <w:sz w:val="20"/>
          <w:szCs w:val="28"/>
          <w:lang w:val="pt-BR"/>
        </w:rPr>
        <w:t xml:space="preserve"> as circunstâncias</w:t>
      </w:r>
      <w:r w:rsidR="004756C1" w:rsidRPr="002F50BD">
        <w:rPr>
          <w:iCs/>
          <w:sz w:val="20"/>
          <w:szCs w:val="28"/>
          <w:lang w:val="pt-BR"/>
        </w:rPr>
        <w:t xml:space="preserve"> que </w:t>
      </w:r>
      <w:r w:rsidR="00AB454A" w:rsidRPr="002F50BD">
        <w:rPr>
          <w:iCs/>
          <w:sz w:val="20"/>
          <w:szCs w:val="28"/>
          <w:lang w:val="pt-BR"/>
        </w:rPr>
        <w:t>determinaram</w:t>
      </w:r>
      <w:r w:rsidR="0089298C" w:rsidRPr="002F50BD">
        <w:rPr>
          <w:iCs/>
          <w:sz w:val="20"/>
          <w:szCs w:val="28"/>
          <w:lang w:val="pt-BR"/>
        </w:rPr>
        <w:t xml:space="preserve"> a morte</w:t>
      </w:r>
      <w:r w:rsidR="004756C1" w:rsidRPr="002F50BD">
        <w:rPr>
          <w:iCs/>
          <w:sz w:val="20"/>
          <w:szCs w:val="28"/>
          <w:lang w:val="pt-BR"/>
        </w:rPr>
        <w:t xml:space="preserve"> de </w:t>
      </w:r>
      <w:r w:rsidR="0089298C" w:rsidRPr="002F50BD">
        <w:rPr>
          <w:iCs/>
          <w:sz w:val="20"/>
          <w:szCs w:val="28"/>
          <w:lang w:val="pt-BR"/>
        </w:rPr>
        <w:t>algumas das pessoa</w:t>
      </w:r>
      <w:r w:rsidR="004756C1" w:rsidRPr="002F50BD">
        <w:rPr>
          <w:iCs/>
          <w:sz w:val="20"/>
          <w:szCs w:val="28"/>
          <w:lang w:val="pt-BR"/>
        </w:rPr>
        <w:t xml:space="preserve">s </w:t>
      </w:r>
      <w:r w:rsidR="004076AD" w:rsidRPr="002F50BD">
        <w:rPr>
          <w:iCs/>
          <w:sz w:val="20"/>
          <w:szCs w:val="28"/>
          <w:lang w:val="pt-BR"/>
        </w:rPr>
        <w:t>indica</w:t>
      </w:r>
      <w:r w:rsidR="004756C1" w:rsidRPr="002F50BD">
        <w:rPr>
          <w:iCs/>
          <w:sz w:val="20"/>
          <w:szCs w:val="28"/>
          <w:lang w:val="pt-BR"/>
        </w:rPr>
        <w:t>das</w:t>
      </w:r>
      <w:r w:rsidR="0089298C" w:rsidRPr="002F50BD">
        <w:rPr>
          <w:iCs/>
          <w:sz w:val="20"/>
          <w:szCs w:val="28"/>
          <w:lang w:val="pt-BR"/>
        </w:rPr>
        <w:t xml:space="preserve"> na </w:t>
      </w:r>
      <w:r w:rsidR="004756C1" w:rsidRPr="002F50BD">
        <w:rPr>
          <w:iCs/>
          <w:sz w:val="20"/>
          <w:szCs w:val="28"/>
          <w:lang w:val="pt-BR"/>
        </w:rPr>
        <w:t>demanda, especialmente</w:t>
      </w:r>
      <w:r w:rsidR="0089298C" w:rsidRPr="002F50BD">
        <w:rPr>
          <w:iCs/>
          <w:sz w:val="20"/>
          <w:szCs w:val="28"/>
          <w:lang w:val="pt-BR"/>
        </w:rPr>
        <w:t xml:space="preserve"> o </w:t>
      </w:r>
      <w:r w:rsidR="00367FD1" w:rsidRPr="002F50BD">
        <w:rPr>
          <w:iCs/>
          <w:sz w:val="20"/>
          <w:szCs w:val="28"/>
          <w:lang w:val="pt-BR"/>
        </w:rPr>
        <w:t>falecimento</w:t>
      </w:r>
      <w:r w:rsidR="0089298C" w:rsidRPr="002F50BD">
        <w:rPr>
          <w:iCs/>
          <w:sz w:val="20"/>
          <w:szCs w:val="28"/>
          <w:lang w:val="pt-BR"/>
        </w:rPr>
        <w:t xml:space="preserve"> das crianças</w:t>
      </w:r>
      <w:r w:rsidR="004756C1" w:rsidRPr="002F50BD">
        <w:rPr>
          <w:iCs/>
          <w:sz w:val="20"/>
          <w:szCs w:val="28"/>
          <w:lang w:val="pt-BR"/>
        </w:rPr>
        <w:t>, citar</w:t>
      </w:r>
      <w:r w:rsidR="008C58CB" w:rsidRPr="002F50BD">
        <w:rPr>
          <w:iCs/>
          <w:sz w:val="20"/>
          <w:szCs w:val="28"/>
          <w:lang w:val="pt-BR"/>
        </w:rPr>
        <w:t>ei</w:t>
      </w:r>
      <w:r w:rsidR="0089298C" w:rsidRPr="002F50BD">
        <w:rPr>
          <w:iCs/>
          <w:sz w:val="20"/>
          <w:szCs w:val="28"/>
          <w:lang w:val="pt-BR"/>
        </w:rPr>
        <w:t xml:space="preserve"> os </w:t>
      </w:r>
      <w:r w:rsidR="004756C1" w:rsidRPr="002F50BD">
        <w:rPr>
          <w:iCs/>
          <w:sz w:val="20"/>
          <w:szCs w:val="28"/>
          <w:lang w:val="pt-BR"/>
        </w:rPr>
        <w:t xml:space="preserve">argumentos </w:t>
      </w:r>
      <w:r w:rsidR="0089298C" w:rsidRPr="002F50BD">
        <w:rPr>
          <w:iCs/>
          <w:sz w:val="20"/>
          <w:szCs w:val="28"/>
          <w:lang w:val="pt-BR"/>
        </w:rPr>
        <w:t>do Juiz</w:t>
      </w:r>
      <w:r w:rsidR="004756C1" w:rsidRPr="002F50BD">
        <w:rPr>
          <w:iCs/>
          <w:sz w:val="20"/>
          <w:szCs w:val="28"/>
          <w:lang w:val="pt-BR"/>
        </w:rPr>
        <w:t xml:space="preserve"> De Roux Rengifo,</w:t>
      </w:r>
      <w:r w:rsidR="0089298C" w:rsidRPr="002F50BD">
        <w:rPr>
          <w:iCs/>
          <w:sz w:val="20"/>
          <w:szCs w:val="28"/>
          <w:lang w:val="pt-BR"/>
        </w:rPr>
        <w:t xml:space="preserve"> em </w:t>
      </w:r>
      <w:r w:rsidR="004756C1" w:rsidRPr="002F50BD">
        <w:rPr>
          <w:iCs/>
          <w:sz w:val="20"/>
          <w:szCs w:val="28"/>
          <w:lang w:val="pt-BR"/>
        </w:rPr>
        <w:t>s</w:t>
      </w:r>
      <w:r w:rsidR="008C58CB" w:rsidRPr="002F50BD">
        <w:rPr>
          <w:iCs/>
          <w:sz w:val="20"/>
          <w:szCs w:val="28"/>
          <w:lang w:val="pt-BR"/>
        </w:rPr>
        <w:t>e</w:t>
      </w:r>
      <w:r w:rsidR="004756C1" w:rsidRPr="002F50BD">
        <w:rPr>
          <w:iCs/>
          <w:sz w:val="20"/>
          <w:szCs w:val="28"/>
          <w:lang w:val="pt-BR"/>
        </w:rPr>
        <w:t>u voto parcialmente di</w:t>
      </w:r>
      <w:r w:rsidR="008C58CB" w:rsidRPr="002F50BD">
        <w:rPr>
          <w:iCs/>
          <w:sz w:val="20"/>
          <w:szCs w:val="28"/>
          <w:lang w:val="pt-BR"/>
        </w:rPr>
        <w:t>s</w:t>
      </w:r>
      <w:r w:rsidR="004756C1" w:rsidRPr="002F50BD">
        <w:rPr>
          <w:iCs/>
          <w:sz w:val="20"/>
          <w:szCs w:val="28"/>
          <w:lang w:val="pt-BR"/>
        </w:rPr>
        <w:t>sidente</w:t>
      </w:r>
      <w:r w:rsidR="0089298C" w:rsidRPr="002F50BD">
        <w:rPr>
          <w:iCs/>
          <w:sz w:val="20"/>
          <w:szCs w:val="28"/>
          <w:lang w:val="pt-BR"/>
        </w:rPr>
        <w:t xml:space="preserve"> na sentença</w:t>
      </w:r>
      <w:r w:rsidR="004756C1" w:rsidRPr="002F50BD">
        <w:rPr>
          <w:iCs/>
          <w:sz w:val="20"/>
          <w:szCs w:val="28"/>
          <w:lang w:val="pt-BR"/>
        </w:rPr>
        <w:t xml:space="preserve"> </w:t>
      </w:r>
      <w:r w:rsidR="0089298C" w:rsidRPr="002F50BD">
        <w:rPr>
          <w:iCs/>
          <w:sz w:val="20"/>
          <w:szCs w:val="28"/>
          <w:lang w:val="pt-BR"/>
        </w:rPr>
        <w:t xml:space="preserve">do </w:t>
      </w:r>
      <w:r w:rsidR="004756C1" w:rsidRPr="002F50BD">
        <w:rPr>
          <w:iCs/>
          <w:sz w:val="20"/>
          <w:szCs w:val="28"/>
          <w:lang w:val="pt-BR"/>
        </w:rPr>
        <w:t>caso “Durand</w:t>
      </w:r>
      <w:r w:rsidR="0089298C" w:rsidRPr="002F50BD">
        <w:rPr>
          <w:iCs/>
          <w:sz w:val="20"/>
          <w:szCs w:val="28"/>
          <w:lang w:val="pt-BR"/>
        </w:rPr>
        <w:t xml:space="preserve"> e </w:t>
      </w:r>
      <w:r w:rsidR="004756C1" w:rsidRPr="002F50BD">
        <w:rPr>
          <w:iCs/>
          <w:sz w:val="20"/>
          <w:szCs w:val="28"/>
          <w:lang w:val="pt-BR"/>
        </w:rPr>
        <w:t xml:space="preserve">Ugarte </w:t>
      </w:r>
      <w:r w:rsidR="00CF451D" w:rsidRPr="00CF451D">
        <w:rPr>
          <w:iCs/>
          <w:sz w:val="20"/>
          <w:szCs w:val="28"/>
          <w:lang w:val="pt-BR"/>
        </w:rPr>
        <w:t>(</w:t>
      </w:r>
      <w:r w:rsidRPr="002F50BD">
        <w:rPr>
          <w:iCs/>
          <w:sz w:val="20"/>
          <w:szCs w:val="28"/>
          <w:lang w:val="pt-BR"/>
        </w:rPr>
        <w:t>16</w:t>
      </w:r>
      <w:r w:rsidR="004756C1" w:rsidRPr="002F50BD">
        <w:rPr>
          <w:iCs/>
          <w:sz w:val="20"/>
          <w:szCs w:val="28"/>
          <w:lang w:val="pt-BR"/>
        </w:rPr>
        <w:t xml:space="preserve"> de agosto de </w:t>
      </w:r>
      <w:r w:rsidRPr="002F50BD">
        <w:rPr>
          <w:iCs/>
          <w:sz w:val="20"/>
          <w:szCs w:val="28"/>
          <w:lang w:val="pt-BR"/>
        </w:rPr>
        <w:t>2000</w:t>
      </w:r>
      <w:r w:rsidR="00CF451D" w:rsidRPr="00CF451D">
        <w:rPr>
          <w:iCs/>
          <w:sz w:val="20"/>
          <w:szCs w:val="28"/>
          <w:lang w:val="pt-BR"/>
        </w:rPr>
        <w:t>)</w:t>
      </w:r>
      <w:r w:rsidR="004756C1" w:rsidRPr="002F50BD">
        <w:rPr>
          <w:iCs/>
          <w:sz w:val="20"/>
          <w:szCs w:val="28"/>
          <w:lang w:val="pt-BR"/>
        </w:rPr>
        <w:t xml:space="preserve"> </w:t>
      </w:r>
      <w:r w:rsidR="0089298C" w:rsidRPr="002F50BD">
        <w:rPr>
          <w:iCs/>
          <w:sz w:val="20"/>
          <w:szCs w:val="28"/>
          <w:lang w:val="pt-BR"/>
        </w:rPr>
        <w:t>quando</w:t>
      </w:r>
      <w:r w:rsidR="004756C1" w:rsidRPr="002F50BD">
        <w:rPr>
          <w:iCs/>
          <w:sz w:val="20"/>
          <w:szCs w:val="28"/>
          <w:lang w:val="pt-BR"/>
        </w:rPr>
        <w:t xml:space="preserve"> </w:t>
      </w:r>
      <w:r w:rsidR="0089298C" w:rsidRPr="002F50BD">
        <w:rPr>
          <w:iCs/>
          <w:sz w:val="20"/>
          <w:szCs w:val="28"/>
          <w:lang w:val="pt-BR"/>
        </w:rPr>
        <w:t>expressou</w:t>
      </w:r>
      <w:r w:rsidR="004756C1" w:rsidRPr="002F50BD">
        <w:rPr>
          <w:iCs/>
          <w:sz w:val="20"/>
          <w:szCs w:val="28"/>
          <w:lang w:val="pt-BR"/>
        </w:rPr>
        <w:t>:</w:t>
      </w:r>
    </w:p>
    <w:p w:rsidR="004756C1" w:rsidRPr="002F50BD" w:rsidRDefault="004756C1">
      <w:pPr>
        <w:pStyle w:val="BlockText"/>
        <w:spacing w:line="240" w:lineRule="auto"/>
        <w:ind w:left="0" w:right="0"/>
        <w:rPr>
          <w:b/>
          <w:i/>
          <w:iCs/>
          <w:sz w:val="20"/>
          <w:szCs w:val="28"/>
          <w:lang w:val="pt-BR"/>
        </w:rPr>
      </w:pPr>
    </w:p>
    <w:p w:rsidR="004756C1" w:rsidRPr="002F50BD" w:rsidRDefault="004756C1">
      <w:pPr>
        <w:pStyle w:val="BlockText"/>
        <w:spacing w:line="240" w:lineRule="auto"/>
        <w:ind w:right="918"/>
        <w:rPr>
          <w:iCs/>
          <w:szCs w:val="28"/>
          <w:lang w:val="pt-BR"/>
        </w:rPr>
      </w:pPr>
      <w:r w:rsidRPr="002F50BD">
        <w:rPr>
          <w:iCs/>
          <w:szCs w:val="28"/>
          <w:lang w:val="pt-BR"/>
        </w:rPr>
        <w:t>“...E</w:t>
      </w:r>
      <w:r w:rsidR="008C58CB" w:rsidRPr="002F50BD">
        <w:rPr>
          <w:iCs/>
          <w:szCs w:val="28"/>
          <w:lang w:val="pt-BR"/>
        </w:rPr>
        <w:t>m</w:t>
      </w:r>
      <w:r w:rsidRPr="002F50BD">
        <w:rPr>
          <w:iCs/>
          <w:szCs w:val="28"/>
          <w:lang w:val="pt-BR"/>
        </w:rPr>
        <w:t xml:space="preserve"> su</w:t>
      </w:r>
      <w:r w:rsidR="008C58CB" w:rsidRPr="002F50BD">
        <w:rPr>
          <w:iCs/>
          <w:szCs w:val="28"/>
          <w:lang w:val="pt-BR"/>
        </w:rPr>
        <w:t>a</w:t>
      </w:r>
      <w:r w:rsidRPr="002F50BD">
        <w:rPr>
          <w:iCs/>
          <w:szCs w:val="28"/>
          <w:lang w:val="pt-BR"/>
        </w:rPr>
        <w:t xml:space="preserve"> </w:t>
      </w:r>
      <w:r w:rsidR="0089298C" w:rsidRPr="002F50BD">
        <w:rPr>
          <w:iCs/>
          <w:szCs w:val="28"/>
          <w:lang w:val="pt-BR"/>
        </w:rPr>
        <w:t>recente</w:t>
      </w:r>
      <w:r w:rsidRPr="002F50BD">
        <w:rPr>
          <w:iCs/>
          <w:szCs w:val="28"/>
          <w:lang w:val="pt-BR"/>
        </w:rPr>
        <w:t xml:space="preserve"> </w:t>
      </w:r>
      <w:r w:rsidR="0089298C" w:rsidRPr="002F50BD">
        <w:rPr>
          <w:iCs/>
          <w:szCs w:val="28"/>
          <w:lang w:val="pt-BR"/>
        </w:rPr>
        <w:t xml:space="preserve">jurisprudência </w:t>
      </w:r>
      <w:r w:rsidRPr="002F50BD">
        <w:rPr>
          <w:iCs/>
          <w:szCs w:val="28"/>
          <w:lang w:val="pt-BR"/>
        </w:rPr>
        <w:t xml:space="preserve">sobre </w:t>
      </w:r>
      <w:r w:rsidR="004C7A2A" w:rsidRPr="002F50BD">
        <w:rPr>
          <w:iCs/>
          <w:szCs w:val="28"/>
          <w:lang w:val="pt-BR"/>
        </w:rPr>
        <w:t>aprecia</w:t>
      </w:r>
      <w:r w:rsidR="0089298C" w:rsidRPr="002F50BD">
        <w:rPr>
          <w:iCs/>
          <w:szCs w:val="28"/>
          <w:lang w:val="pt-BR"/>
        </w:rPr>
        <w:t>ção da prova</w:t>
      </w:r>
      <w:r w:rsidRPr="002F50BD">
        <w:rPr>
          <w:iCs/>
          <w:szCs w:val="28"/>
          <w:lang w:val="pt-BR"/>
        </w:rPr>
        <w:t xml:space="preserve"> </w:t>
      </w:r>
      <w:r w:rsidR="00CF451D" w:rsidRPr="00CF451D">
        <w:rPr>
          <w:iCs/>
          <w:szCs w:val="28"/>
          <w:lang w:val="pt-BR"/>
        </w:rPr>
        <w:t>(</w:t>
      </w:r>
      <w:r w:rsidR="0089298C" w:rsidRPr="002F50BD">
        <w:rPr>
          <w:iCs/>
          <w:szCs w:val="28"/>
          <w:lang w:val="pt-BR"/>
        </w:rPr>
        <w:t xml:space="preserve">incluindo a </w:t>
      </w:r>
      <w:r w:rsidRPr="002F50BD">
        <w:rPr>
          <w:iCs/>
          <w:szCs w:val="28"/>
          <w:lang w:val="pt-BR"/>
        </w:rPr>
        <w:t xml:space="preserve">que </w:t>
      </w:r>
      <w:r w:rsidR="001F21AC" w:rsidRPr="002F50BD">
        <w:rPr>
          <w:iCs/>
          <w:szCs w:val="28"/>
          <w:lang w:val="pt-BR"/>
        </w:rPr>
        <w:t xml:space="preserve">se apresenta </w:t>
      </w:r>
      <w:r w:rsidR="0089298C" w:rsidRPr="002F50BD">
        <w:rPr>
          <w:iCs/>
          <w:szCs w:val="28"/>
          <w:lang w:val="pt-BR"/>
        </w:rPr>
        <w:t xml:space="preserve">na sentença à </w:t>
      </w:r>
      <w:r w:rsidR="001F21AC" w:rsidRPr="002F50BD">
        <w:rPr>
          <w:iCs/>
          <w:szCs w:val="28"/>
          <w:lang w:val="pt-BR"/>
        </w:rPr>
        <w:t>qual</w:t>
      </w:r>
      <w:r w:rsidRPr="002F50BD">
        <w:rPr>
          <w:iCs/>
          <w:szCs w:val="28"/>
          <w:lang w:val="pt-BR"/>
        </w:rPr>
        <w:t xml:space="preserve"> se </w:t>
      </w:r>
      <w:r w:rsidR="0089298C" w:rsidRPr="002F50BD">
        <w:rPr>
          <w:iCs/>
          <w:szCs w:val="28"/>
          <w:lang w:val="pt-BR"/>
        </w:rPr>
        <w:t>refere</w:t>
      </w:r>
      <w:r w:rsidRPr="002F50BD">
        <w:rPr>
          <w:iCs/>
          <w:szCs w:val="28"/>
          <w:lang w:val="pt-BR"/>
        </w:rPr>
        <w:t xml:space="preserve"> este voto</w:t>
      </w:r>
      <w:r w:rsidR="00CF451D" w:rsidRPr="00CF451D">
        <w:rPr>
          <w:iCs/>
          <w:szCs w:val="28"/>
          <w:lang w:val="pt-BR"/>
        </w:rPr>
        <w:t>)</w:t>
      </w:r>
      <w:r w:rsidRPr="002F50BD">
        <w:rPr>
          <w:iCs/>
          <w:szCs w:val="28"/>
          <w:lang w:val="pt-BR"/>
        </w:rPr>
        <w:t xml:space="preserve"> este Tribunal </w:t>
      </w:r>
      <w:r w:rsidR="001F21AC" w:rsidRPr="002F50BD">
        <w:rPr>
          <w:iCs/>
          <w:szCs w:val="28"/>
          <w:lang w:val="pt-BR"/>
        </w:rPr>
        <w:t>deixou assentados</w:t>
      </w:r>
      <w:r w:rsidRPr="002F50BD">
        <w:rPr>
          <w:iCs/>
          <w:szCs w:val="28"/>
          <w:lang w:val="pt-BR"/>
        </w:rPr>
        <w:t xml:space="preserve">, entre </w:t>
      </w:r>
      <w:r w:rsidR="0089298C" w:rsidRPr="002F50BD">
        <w:rPr>
          <w:iCs/>
          <w:szCs w:val="28"/>
          <w:lang w:val="pt-BR"/>
        </w:rPr>
        <w:t>outros</w:t>
      </w:r>
      <w:r w:rsidRPr="002F50BD">
        <w:rPr>
          <w:iCs/>
          <w:szCs w:val="28"/>
          <w:lang w:val="pt-BR"/>
        </w:rPr>
        <w:t>,</w:t>
      </w:r>
      <w:r w:rsidR="0089298C" w:rsidRPr="002F50BD">
        <w:rPr>
          <w:iCs/>
          <w:szCs w:val="28"/>
          <w:lang w:val="pt-BR"/>
        </w:rPr>
        <w:t xml:space="preserve"> os seguinte</w:t>
      </w:r>
      <w:r w:rsidRPr="002F50BD">
        <w:rPr>
          <w:iCs/>
          <w:szCs w:val="28"/>
          <w:lang w:val="pt-BR"/>
        </w:rPr>
        <w:t>s</w:t>
      </w:r>
      <w:r w:rsidR="0089298C" w:rsidRPr="002F50BD">
        <w:rPr>
          <w:iCs/>
          <w:szCs w:val="28"/>
          <w:lang w:val="pt-BR"/>
        </w:rPr>
        <w:t xml:space="preserve"> três critério</w:t>
      </w:r>
      <w:r w:rsidRPr="002F50BD">
        <w:rPr>
          <w:iCs/>
          <w:szCs w:val="28"/>
          <w:lang w:val="pt-BR"/>
        </w:rPr>
        <w:t xml:space="preserve">s: </w:t>
      </w:r>
      <w:r w:rsidR="00063B47" w:rsidRPr="002F50BD">
        <w:rPr>
          <w:iCs/>
          <w:szCs w:val="28"/>
          <w:lang w:val="pt-BR"/>
        </w:rPr>
        <w:t>1</w:t>
      </w:r>
      <w:r w:rsidR="00CF451D" w:rsidRPr="00CF451D">
        <w:rPr>
          <w:iCs/>
          <w:szCs w:val="28"/>
          <w:lang w:val="pt-BR"/>
        </w:rPr>
        <w:t>)</w:t>
      </w:r>
      <w:r w:rsidR="0089298C" w:rsidRPr="002F50BD">
        <w:rPr>
          <w:iCs/>
          <w:szCs w:val="28"/>
          <w:lang w:val="pt-BR"/>
        </w:rPr>
        <w:t xml:space="preserve"> um </w:t>
      </w:r>
      <w:r w:rsidRPr="002F50BD">
        <w:rPr>
          <w:iCs/>
          <w:szCs w:val="28"/>
          <w:lang w:val="pt-BR"/>
        </w:rPr>
        <w:t xml:space="preserve">tribunal internacional de </w:t>
      </w:r>
      <w:r w:rsidR="0089298C" w:rsidRPr="002F50BD">
        <w:rPr>
          <w:iCs/>
          <w:szCs w:val="28"/>
          <w:lang w:val="pt-BR"/>
        </w:rPr>
        <w:t>direito</w:t>
      </w:r>
      <w:r w:rsidRPr="002F50BD">
        <w:rPr>
          <w:iCs/>
          <w:szCs w:val="28"/>
          <w:lang w:val="pt-BR"/>
        </w:rPr>
        <w:t>s humanos</w:t>
      </w:r>
      <w:r w:rsidR="0089298C" w:rsidRPr="002F50BD">
        <w:rPr>
          <w:iCs/>
          <w:szCs w:val="28"/>
          <w:lang w:val="pt-BR"/>
        </w:rPr>
        <w:t xml:space="preserve"> conta com um</w:t>
      </w:r>
      <w:r w:rsidR="001F21AC" w:rsidRPr="002F50BD">
        <w:rPr>
          <w:iCs/>
          <w:szCs w:val="28"/>
          <w:lang w:val="pt-BR"/>
        </w:rPr>
        <w:t>a</w:t>
      </w:r>
      <w:r w:rsidR="0089298C" w:rsidRPr="002F50BD">
        <w:rPr>
          <w:iCs/>
          <w:szCs w:val="28"/>
          <w:lang w:val="pt-BR"/>
        </w:rPr>
        <w:t xml:space="preserve"> </w:t>
      </w:r>
      <w:r w:rsidRPr="002F50BD">
        <w:rPr>
          <w:iCs/>
          <w:szCs w:val="28"/>
          <w:lang w:val="pt-BR"/>
        </w:rPr>
        <w:t>significativ</w:t>
      </w:r>
      <w:r w:rsidR="001F21AC" w:rsidRPr="002F50BD">
        <w:rPr>
          <w:iCs/>
          <w:szCs w:val="28"/>
          <w:lang w:val="pt-BR"/>
        </w:rPr>
        <w:t>a</w:t>
      </w:r>
      <w:r w:rsidR="0089298C" w:rsidRPr="002F50BD">
        <w:rPr>
          <w:iCs/>
          <w:szCs w:val="28"/>
          <w:lang w:val="pt-BR"/>
        </w:rPr>
        <w:t xml:space="preserve"> margem </w:t>
      </w:r>
      <w:r w:rsidRPr="002F50BD">
        <w:rPr>
          <w:iCs/>
          <w:szCs w:val="28"/>
          <w:lang w:val="pt-BR"/>
        </w:rPr>
        <w:t xml:space="preserve">de </w:t>
      </w:r>
      <w:r w:rsidR="0089298C" w:rsidRPr="002F50BD">
        <w:rPr>
          <w:iCs/>
          <w:szCs w:val="28"/>
          <w:lang w:val="pt-BR"/>
        </w:rPr>
        <w:t xml:space="preserve">flexibilidade na </w:t>
      </w:r>
      <w:r w:rsidR="004C7A2A" w:rsidRPr="002F50BD">
        <w:rPr>
          <w:iCs/>
          <w:szCs w:val="28"/>
          <w:lang w:val="pt-BR"/>
        </w:rPr>
        <w:t>aprecia</w:t>
      </w:r>
      <w:r w:rsidR="0089298C" w:rsidRPr="002F50BD">
        <w:rPr>
          <w:iCs/>
          <w:szCs w:val="28"/>
          <w:lang w:val="pt-BR"/>
        </w:rPr>
        <w:t>ção da prova</w:t>
      </w:r>
      <w:r w:rsidRPr="002F50BD">
        <w:rPr>
          <w:iCs/>
          <w:szCs w:val="28"/>
          <w:lang w:val="pt-BR"/>
        </w:rPr>
        <w:t xml:space="preserve">, de </w:t>
      </w:r>
      <w:r w:rsidR="0089298C" w:rsidRPr="002F50BD">
        <w:rPr>
          <w:iCs/>
          <w:szCs w:val="28"/>
          <w:lang w:val="pt-BR"/>
        </w:rPr>
        <w:t xml:space="preserve">acordo com as regras da </w:t>
      </w:r>
      <w:r w:rsidRPr="002F50BD">
        <w:rPr>
          <w:iCs/>
          <w:szCs w:val="28"/>
          <w:lang w:val="pt-BR"/>
        </w:rPr>
        <w:t>lógica</w:t>
      </w:r>
      <w:r w:rsidR="0089298C" w:rsidRPr="002F50BD">
        <w:rPr>
          <w:iCs/>
          <w:szCs w:val="28"/>
          <w:lang w:val="pt-BR"/>
        </w:rPr>
        <w:t xml:space="preserve"> e com </w:t>
      </w:r>
      <w:r w:rsidRPr="002F50BD">
        <w:rPr>
          <w:iCs/>
          <w:szCs w:val="28"/>
          <w:lang w:val="pt-BR"/>
        </w:rPr>
        <w:t>base</w:t>
      </w:r>
      <w:r w:rsidR="0089298C" w:rsidRPr="002F50BD">
        <w:rPr>
          <w:iCs/>
          <w:szCs w:val="28"/>
          <w:lang w:val="pt-BR"/>
        </w:rPr>
        <w:t xml:space="preserve"> na experiência</w:t>
      </w:r>
      <w:r w:rsidRPr="002F50BD">
        <w:rPr>
          <w:iCs/>
          <w:szCs w:val="28"/>
          <w:lang w:val="pt-BR"/>
        </w:rPr>
        <w:t xml:space="preserve">; </w:t>
      </w:r>
      <w:r w:rsidR="00063B47" w:rsidRPr="002F50BD">
        <w:rPr>
          <w:iCs/>
          <w:szCs w:val="28"/>
          <w:lang w:val="pt-BR"/>
        </w:rPr>
        <w:t>2</w:t>
      </w:r>
      <w:r w:rsidR="00CF451D" w:rsidRPr="00CF451D">
        <w:rPr>
          <w:iCs/>
          <w:szCs w:val="28"/>
          <w:lang w:val="pt-BR"/>
        </w:rPr>
        <w:t>)</w:t>
      </w:r>
      <w:r w:rsidR="0089298C" w:rsidRPr="002F50BD">
        <w:rPr>
          <w:iCs/>
          <w:szCs w:val="28"/>
          <w:lang w:val="pt-BR"/>
        </w:rPr>
        <w:t xml:space="preserve"> os tribunais</w:t>
      </w:r>
      <w:r w:rsidRPr="002F50BD">
        <w:rPr>
          <w:iCs/>
          <w:szCs w:val="28"/>
          <w:lang w:val="pt-BR"/>
        </w:rPr>
        <w:t xml:space="preserve"> </w:t>
      </w:r>
      <w:r w:rsidR="0089298C" w:rsidRPr="002F50BD">
        <w:rPr>
          <w:iCs/>
          <w:szCs w:val="28"/>
          <w:lang w:val="pt-BR"/>
        </w:rPr>
        <w:t>internacionais</w:t>
      </w:r>
      <w:r w:rsidRPr="002F50BD">
        <w:rPr>
          <w:iCs/>
          <w:szCs w:val="28"/>
          <w:lang w:val="pt-BR"/>
        </w:rPr>
        <w:t xml:space="preserve"> </w:t>
      </w:r>
      <w:r w:rsidR="00475EBB" w:rsidRPr="002F50BD">
        <w:rPr>
          <w:iCs/>
          <w:szCs w:val="28"/>
          <w:lang w:val="pt-BR"/>
        </w:rPr>
        <w:t xml:space="preserve">podem </w:t>
      </w:r>
      <w:r w:rsidRPr="002F50BD">
        <w:rPr>
          <w:iCs/>
          <w:szCs w:val="28"/>
          <w:lang w:val="pt-BR"/>
        </w:rPr>
        <w:t>fundar</w:t>
      </w:r>
      <w:r w:rsidR="0089298C" w:rsidRPr="002F50BD">
        <w:rPr>
          <w:iCs/>
          <w:szCs w:val="28"/>
          <w:lang w:val="pt-BR"/>
        </w:rPr>
        <w:t xml:space="preserve"> </w:t>
      </w:r>
      <w:r w:rsidR="00AB454A" w:rsidRPr="002F50BD">
        <w:rPr>
          <w:iCs/>
          <w:szCs w:val="28"/>
          <w:lang w:val="pt-BR"/>
        </w:rPr>
        <w:t>suas decisões</w:t>
      </w:r>
      <w:r w:rsidR="0089298C" w:rsidRPr="002F50BD">
        <w:rPr>
          <w:iCs/>
          <w:szCs w:val="28"/>
          <w:lang w:val="pt-BR"/>
        </w:rPr>
        <w:t xml:space="preserve"> </w:t>
      </w:r>
      <w:r w:rsidR="001F21AC" w:rsidRPr="002F50BD">
        <w:rPr>
          <w:iCs/>
          <w:szCs w:val="28"/>
          <w:lang w:val="pt-BR"/>
        </w:rPr>
        <w:t xml:space="preserve">em grande medida </w:t>
      </w:r>
      <w:r w:rsidR="0089298C" w:rsidRPr="002F50BD">
        <w:rPr>
          <w:iCs/>
          <w:szCs w:val="28"/>
          <w:lang w:val="pt-BR"/>
        </w:rPr>
        <w:t>em prova</w:t>
      </w:r>
      <w:r w:rsidRPr="002F50BD">
        <w:rPr>
          <w:iCs/>
          <w:szCs w:val="28"/>
          <w:lang w:val="pt-BR"/>
        </w:rPr>
        <w:t xml:space="preserve">s </w:t>
      </w:r>
      <w:r w:rsidR="00AB454A" w:rsidRPr="002F50BD">
        <w:rPr>
          <w:iCs/>
          <w:szCs w:val="28"/>
          <w:lang w:val="pt-BR"/>
        </w:rPr>
        <w:t>ciscunst</w:t>
      </w:r>
      <w:r w:rsidR="001F21AC" w:rsidRPr="002F50BD">
        <w:rPr>
          <w:iCs/>
          <w:szCs w:val="28"/>
          <w:lang w:val="pt-BR"/>
        </w:rPr>
        <w:t>a</w:t>
      </w:r>
      <w:r w:rsidR="00AB454A" w:rsidRPr="002F50BD">
        <w:rPr>
          <w:iCs/>
          <w:szCs w:val="28"/>
          <w:lang w:val="pt-BR"/>
        </w:rPr>
        <w:t>ncia</w:t>
      </w:r>
      <w:r w:rsidR="001F21AC" w:rsidRPr="002F50BD">
        <w:rPr>
          <w:iCs/>
          <w:szCs w:val="28"/>
          <w:lang w:val="pt-BR"/>
        </w:rPr>
        <w:t>i</w:t>
      </w:r>
      <w:r w:rsidRPr="002F50BD">
        <w:rPr>
          <w:iCs/>
          <w:szCs w:val="28"/>
          <w:lang w:val="pt-BR"/>
        </w:rPr>
        <w:t>s o</w:t>
      </w:r>
      <w:r w:rsidR="001F21AC" w:rsidRPr="002F50BD">
        <w:rPr>
          <w:iCs/>
          <w:szCs w:val="28"/>
          <w:lang w:val="pt-BR"/>
        </w:rPr>
        <w:t>u</w:t>
      </w:r>
      <w:r w:rsidRPr="002F50BD">
        <w:rPr>
          <w:iCs/>
          <w:szCs w:val="28"/>
          <w:lang w:val="pt-BR"/>
        </w:rPr>
        <w:t xml:space="preserve"> in</w:t>
      </w:r>
      <w:r w:rsidR="0089298C" w:rsidRPr="002F50BD">
        <w:rPr>
          <w:iCs/>
          <w:szCs w:val="28"/>
          <w:lang w:val="pt-BR"/>
        </w:rPr>
        <w:t>diret</w:t>
      </w:r>
      <w:r w:rsidRPr="002F50BD">
        <w:rPr>
          <w:iCs/>
          <w:szCs w:val="28"/>
          <w:lang w:val="pt-BR"/>
        </w:rPr>
        <w:t>as,</w:t>
      </w:r>
      <w:r w:rsidR="0089298C" w:rsidRPr="002F50BD">
        <w:rPr>
          <w:iCs/>
          <w:szCs w:val="28"/>
          <w:lang w:val="pt-BR"/>
        </w:rPr>
        <w:t xml:space="preserve"> em </w:t>
      </w:r>
      <w:r w:rsidR="004076AD" w:rsidRPr="002F50BD">
        <w:rPr>
          <w:iCs/>
          <w:szCs w:val="28"/>
          <w:lang w:val="pt-BR"/>
        </w:rPr>
        <w:t>indícios</w:t>
      </w:r>
      <w:r w:rsidR="0089298C" w:rsidRPr="002F50BD">
        <w:rPr>
          <w:iCs/>
          <w:szCs w:val="28"/>
          <w:lang w:val="pt-BR"/>
        </w:rPr>
        <w:t xml:space="preserve"> e </w:t>
      </w:r>
      <w:r w:rsidRPr="002F50BD">
        <w:rPr>
          <w:iCs/>
          <w:szCs w:val="28"/>
          <w:lang w:val="pt-BR"/>
        </w:rPr>
        <w:t>presun</w:t>
      </w:r>
      <w:r w:rsidR="0089298C" w:rsidRPr="002F50BD">
        <w:rPr>
          <w:iCs/>
          <w:szCs w:val="28"/>
          <w:lang w:val="pt-BR"/>
        </w:rPr>
        <w:t>ções</w:t>
      </w:r>
      <w:r w:rsidRPr="002F50BD">
        <w:rPr>
          <w:iCs/>
          <w:szCs w:val="28"/>
          <w:lang w:val="pt-BR"/>
        </w:rPr>
        <w:t xml:space="preserve">, </w:t>
      </w:r>
      <w:r w:rsidR="0089298C" w:rsidRPr="002F50BD">
        <w:rPr>
          <w:iCs/>
          <w:szCs w:val="28"/>
          <w:lang w:val="pt-BR"/>
        </w:rPr>
        <w:t>sempre</w:t>
      </w:r>
      <w:r w:rsidRPr="002F50BD">
        <w:rPr>
          <w:iCs/>
          <w:szCs w:val="28"/>
          <w:lang w:val="pt-BR"/>
        </w:rPr>
        <w:t xml:space="preserve"> que</w:t>
      </w:r>
      <w:r w:rsidR="0089298C" w:rsidRPr="002F50BD">
        <w:rPr>
          <w:iCs/>
          <w:szCs w:val="28"/>
          <w:lang w:val="pt-BR"/>
        </w:rPr>
        <w:t xml:space="preserve"> estes </w:t>
      </w:r>
      <w:r w:rsidRPr="002F50BD">
        <w:rPr>
          <w:iCs/>
          <w:szCs w:val="28"/>
          <w:lang w:val="pt-BR"/>
        </w:rPr>
        <w:t xml:space="preserve">meios </w:t>
      </w:r>
      <w:r w:rsidR="00AB454A" w:rsidRPr="002F50BD">
        <w:rPr>
          <w:iCs/>
          <w:szCs w:val="28"/>
          <w:lang w:val="pt-BR"/>
        </w:rPr>
        <w:t>possam</w:t>
      </w:r>
      <w:r w:rsidRPr="002F50BD">
        <w:rPr>
          <w:iCs/>
          <w:szCs w:val="28"/>
          <w:lang w:val="pt-BR"/>
        </w:rPr>
        <w:t xml:space="preserve"> </w:t>
      </w:r>
      <w:r w:rsidR="00324068" w:rsidRPr="002F50BD">
        <w:rPr>
          <w:iCs/>
          <w:szCs w:val="28"/>
          <w:lang w:val="pt-BR"/>
        </w:rPr>
        <w:t>levar</w:t>
      </w:r>
      <w:r w:rsidR="001F21AC" w:rsidRPr="002F50BD">
        <w:rPr>
          <w:b/>
          <w:iCs/>
          <w:szCs w:val="28"/>
          <w:lang w:val="pt-BR"/>
        </w:rPr>
        <w:t xml:space="preserve"> </w:t>
      </w:r>
      <w:r w:rsidRPr="002F50BD">
        <w:rPr>
          <w:iCs/>
          <w:szCs w:val="28"/>
          <w:lang w:val="pt-BR"/>
        </w:rPr>
        <w:t xml:space="preserve">a </w:t>
      </w:r>
      <w:r w:rsidR="0089298C" w:rsidRPr="002F50BD">
        <w:rPr>
          <w:iCs/>
          <w:szCs w:val="28"/>
          <w:lang w:val="pt-BR"/>
        </w:rPr>
        <w:t>conclusões</w:t>
      </w:r>
      <w:r w:rsidRPr="002F50BD">
        <w:rPr>
          <w:iCs/>
          <w:szCs w:val="28"/>
          <w:lang w:val="pt-BR"/>
        </w:rPr>
        <w:t xml:space="preserve"> sólidas sobre</w:t>
      </w:r>
      <w:r w:rsidR="0089298C" w:rsidRPr="002F50BD">
        <w:rPr>
          <w:iCs/>
          <w:szCs w:val="28"/>
          <w:lang w:val="pt-BR"/>
        </w:rPr>
        <w:t xml:space="preserve"> os fatos</w:t>
      </w:r>
      <w:r w:rsidRPr="002F50BD">
        <w:rPr>
          <w:iCs/>
          <w:szCs w:val="28"/>
          <w:lang w:val="pt-BR"/>
        </w:rPr>
        <w:t xml:space="preserve">; </w:t>
      </w:r>
      <w:r w:rsidR="00063B47" w:rsidRPr="002F50BD">
        <w:rPr>
          <w:iCs/>
          <w:szCs w:val="28"/>
          <w:lang w:val="pt-BR"/>
        </w:rPr>
        <w:t>3</w:t>
      </w:r>
      <w:r w:rsidR="00CF451D" w:rsidRPr="00CF451D">
        <w:rPr>
          <w:iCs/>
          <w:szCs w:val="28"/>
          <w:lang w:val="pt-BR"/>
        </w:rPr>
        <w:t>)</w:t>
      </w:r>
      <w:r w:rsidR="0089298C" w:rsidRPr="002F50BD">
        <w:rPr>
          <w:iCs/>
          <w:szCs w:val="28"/>
          <w:lang w:val="pt-BR"/>
        </w:rPr>
        <w:t xml:space="preserve"> nos processo</w:t>
      </w:r>
      <w:r w:rsidRPr="002F50BD">
        <w:rPr>
          <w:iCs/>
          <w:szCs w:val="28"/>
          <w:lang w:val="pt-BR"/>
        </w:rPr>
        <w:t>s por</w:t>
      </w:r>
      <w:r w:rsidRPr="002F50BD">
        <w:rPr>
          <w:b/>
          <w:iCs/>
          <w:szCs w:val="28"/>
          <w:lang w:val="pt-BR"/>
        </w:rPr>
        <w:t xml:space="preserve"> </w:t>
      </w:r>
      <w:r w:rsidRPr="002F50BD">
        <w:rPr>
          <w:iCs/>
          <w:szCs w:val="28"/>
          <w:lang w:val="pt-BR"/>
        </w:rPr>
        <w:t>viola</w:t>
      </w:r>
      <w:r w:rsidR="0089298C" w:rsidRPr="002F50BD">
        <w:rPr>
          <w:iCs/>
          <w:szCs w:val="28"/>
          <w:lang w:val="pt-BR"/>
        </w:rPr>
        <w:t>ções</w:t>
      </w:r>
      <w:r w:rsidRPr="002F50BD">
        <w:rPr>
          <w:iCs/>
          <w:szCs w:val="28"/>
          <w:lang w:val="pt-BR"/>
        </w:rPr>
        <w:t xml:space="preserve"> de </w:t>
      </w:r>
      <w:r w:rsidR="0089298C" w:rsidRPr="002F50BD">
        <w:rPr>
          <w:iCs/>
          <w:szCs w:val="28"/>
          <w:lang w:val="pt-BR"/>
        </w:rPr>
        <w:t>direito</w:t>
      </w:r>
      <w:r w:rsidRPr="002F50BD">
        <w:rPr>
          <w:iCs/>
          <w:szCs w:val="28"/>
          <w:lang w:val="pt-BR"/>
        </w:rPr>
        <w:t>s humanos</w:t>
      </w:r>
      <w:r w:rsidR="0089298C" w:rsidRPr="002F50BD">
        <w:rPr>
          <w:iCs/>
          <w:szCs w:val="28"/>
          <w:lang w:val="pt-BR"/>
        </w:rPr>
        <w:t xml:space="preserve"> a defesa</w:t>
      </w:r>
      <w:r w:rsidRPr="002F50BD">
        <w:rPr>
          <w:iCs/>
          <w:szCs w:val="28"/>
          <w:lang w:val="pt-BR"/>
        </w:rPr>
        <w:t xml:space="preserve"> </w:t>
      </w:r>
      <w:r w:rsidR="0089298C" w:rsidRPr="002F50BD">
        <w:rPr>
          <w:iCs/>
          <w:szCs w:val="28"/>
          <w:lang w:val="pt-BR"/>
        </w:rPr>
        <w:t xml:space="preserve">do </w:t>
      </w:r>
      <w:r w:rsidRPr="002F50BD">
        <w:rPr>
          <w:iCs/>
          <w:szCs w:val="28"/>
          <w:lang w:val="pt-BR"/>
        </w:rPr>
        <w:t xml:space="preserve">Estado </w:t>
      </w:r>
      <w:r w:rsidR="00AB454A" w:rsidRPr="002F50BD">
        <w:rPr>
          <w:iCs/>
          <w:szCs w:val="28"/>
          <w:lang w:val="pt-BR"/>
        </w:rPr>
        <w:t>não pode</w:t>
      </w:r>
      <w:r w:rsidRPr="002F50BD">
        <w:rPr>
          <w:iCs/>
          <w:szCs w:val="28"/>
          <w:lang w:val="pt-BR"/>
        </w:rPr>
        <w:t xml:space="preserve"> bas</w:t>
      </w:r>
      <w:r w:rsidR="001F21AC" w:rsidRPr="002F50BD">
        <w:rPr>
          <w:iCs/>
          <w:szCs w:val="28"/>
          <w:lang w:val="pt-BR"/>
        </w:rPr>
        <w:t>e</w:t>
      </w:r>
      <w:r w:rsidRPr="002F50BD">
        <w:rPr>
          <w:iCs/>
          <w:szCs w:val="28"/>
          <w:lang w:val="pt-BR"/>
        </w:rPr>
        <w:t>ar</w:t>
      </w:r>
      <w:r w:rsidR="001F21AC" w:rsidRPr="002F50BD">
        <w:rPr>
          <w:iCs/>
          <w:szCs w:val="28"/>
          <w:lang w:val="pt-BR"/>
        </w:rPr>
        <w:t>-</w:t>
      </w:r>
      <w:r w:rsidRPr="002F50BD">
        <w:rPr>
          <w:iCs/>
          <w:szCs w:val="28"/>
          <w:lang w:val="pt-BR"/>
        </w:rPr>
        <w:t>se</w:t>
      </w:r>
      <w:r w:rsidR="0089298C" w:rsidRPr="002F50BD">
        <w:rPr>
          <w:iCs/>
          <w:szCs w:val="28"/>
          <w:lang w:val="pt-BR"/>
        </w:rPr>
        <w:t xml:space="preserve"> na </w:t>
      </w:r>
      <w:r w:rsidRPr="002F50BD">
        <w:rPr>
          <w:iCs/>
          <w:szCs w:val="28"/>
          <w:lang w:val="pt-BR"/>
        </w:rPr>
        <w:t>im</w:t>
      </w:r>
      <w:r w:rsidR="0089298C" w:rsidRPr="002F50BD">
        <w:rPr>
          <w:iCs/>
          <w:szCs w:val="28"/>
          <w:lang w:val="pt-BR"/>
        </w:rPr>
        <w:t xml:space="preserve">possibilidade do </w:t>
      </w:r>
      <w:r w:rsidRPr="002F50BD">
        <w:rPr>
          <w:iCs/>
          <w:szCs w:val="28"/>
          <w:lang w:val="pt-BR"/>
        </w:rPr>
        <w:t xml:space="preserve">demandante de </w:t>
      </w:r>
      <w:r w:rsidR="001F21AC" w:rsidRPr="002F50BD">
        <w:rPr>
          <w:iCs/>
          <w:szCs w:val="28"/>
          <w:lang w:val="pt-BR"/>
        </w:rPr>
        <w:t xml:space="preserve">apresentar </w:t>
      </w:r>
      <w:r w:rsidR="0089298C" w:rsidRPr="002F50BD">
        <w:rPr>
          <w:iCs/>
          <w:szCs w:val="28"/>
          <w:lang w:val="pt-BR"/>
        </w:rPr>
        <w:t>prova</w:t>
      </w:r>
      <w:r w:rsidRPr="002F50BD">
        <w:rPr>
          <w:iCs/>
          <w:szCs w:val="28"/>
          <w:lang w:val="pt-BR"/>
        </w:rPr>
        <w:t xml:space="preserve">s, dado que, </w:t>
      </w:r>
      <w:r w:rsidR="0089298C" w:rsidRPr="002F50BD">
        <w:rPr>
          <w:iCs/>
          <w:szCs w:val="28"/>
          <w:lang w:val="pt-BR"/>
        </w:rPr>
        <w:t>muito</w:t>
      </w:r>
      <w:r w:rsidRPr="002F50BD">
        <w:rPr>
          <w:iCs/>
          <w:szCs w:val="28"/>
          <w:lang w:val="pt-BR"/>
        </w:rPr>
        <w:t xml:space="preserve"> </w:t>
      </w:r>
      <w:r w:rsidR="0089298C" w:rsidRPr="002F50BD">
        <w:rPr>
          <w:iCs/>
          <w:szCs w:val="28"/>
          <w:lang w:val="pt-BR"/>
        </w:rPr>
        <w:t>frequentemente</w:t>
      </w:r>
      <w:r w:rsidRPr="002F50BD">
        <w:rPr>
          <w:iCs/>
          <w:szCs w:val="28"/>
          <w:lang w:val="pt-BR"/>
        </w:rPr>
        <w:t xml:space="preserve">, </w:t>
      </w:r>
      <w:r w:rsidR="001F21AC" w:rsidRPr="002F50BD">
        <w:rPr>
          <w:iCs/>
          <w:szCs w:val="28"/>
          <w:lang w:val="pt-BR"/>
        </w:rPr>
        <w:t>e</w:t>
      </w:r>
      <w:r w:rsidRPr="002F50BD">
        <w:rPr>
          <w:iCs/>
          <w:szCs w:val="28"/>
          <w:lang w:val="pt-BR"/>
        </w:rPr>
        <w:t xml:space="preserve">stas </w:t>
      </w:r>
      <w:r w:rsidR="00AB454A" w:rsidRPr="002F50BD">
        <w:rPr>
          <w:iCs/>
          <w:szCs w:val="28"/>
          <w:lang w:val="pt-BR"/>
        </w:rPr>
        <w:t xml:space="preserve">não </w:t>
      </w:r>
      <w:r w:rsidR="00475EBB" w:rsidRPr="002F50BD">
        <w:rPr>
          <w:iCs/>
          <w:szCs w:val="28"/>
          <w:lang w:val="pt-BR"/>
        </w:rPr>
        <w:t xml:space="preserve">podem </w:t>
      </w:r>
      <w:r w:rsidR="0089298C" w:rsidRPr="002F50BD">
        <w:rPr>
          <w:iCs/>
          <w:szCs w:val="28"/>
          <w:lang w:val="pt-BR"/>
        </w:rPr>
        <w:t>obter</w:t>
      </w:r>
      <w:r w:rsidR="001F21AC" w:rsidRPr="002F50BD">
        <w:rPr>
          <w:iCs/>
          <w:szCs w:val="28"/>
          <w:lang w:val="pt-BR"/>
        </w:rPr>
        <w:t>-</w:t>
      </w:r>
      <w:r w:rsidRPr="002F50BD">
        <w:rPr>
          <w:iCs/>
          <w:szCs w:val="28"/>
          <w:lang w:val="pt-BR"/>
        </w:rPr>
        <w:t>se</w:t>
      </w:r>
      <w:r w:rsidR="0089298C" w:rsidRPr="002F50BD">
        <w:rPr>
          <w:iCs/>
          <w:szCs w:val="28"/>
          <w:lang w:val="pt-BR"/>
        </w:rPr>
        <w:t xml:space="preserve"> sem a </w:t>
      </w:r>
      <w:r w:rsidRPr="002F50BD">
        <w:rPr>
          <w:iCs/>
          <w:szCs w:val="28"/>
          <w:lang w:val="pt-BR"/>
        </w:rPr>
        <w:t>coopera</w:t>
      </w:r>
      <w:r w:rsidR="0089298C" w:rsidRPr="002F50BD">
        <w:rPr>
          <w:iCs/>
          <w:szCs w:val="28"/>
          <w:lang w:val="pt-BR"/>
        </w:rPr>
        <w:t>ção</w:t>
      </w:r>
      <w:r w:rsidRPr="002F50BD">
        <w:rPr>
          <w:iCs/>
          <w:szCs w:val="28"/>
          <w:lang w:val="pt-BR"/>
        </w:rPr>
        <w:t xml:space="preserve"> </w:t>
      </w:r>
      <w:r w:rsidR="0089298C" w:rsidRPr="002F50BD">
        <w:rPr>
          <w:iCs/>
          <w:szCs w:val="28"/>
          <w:lang w:val="pt-BR"/>
        </w:rPr>
        <w:t>do próprio</w:t>
      </w:r>
      <w:r w:rsidRPr="002F50BD">
        <w:rPr>
          <w:iCs/>
          <w:szCs w:val="28"/>
          <w:lang w:val="pt-BR"/>
        </w:rPr>
        <w:t xml:space="preserve"> Estado, </w:t>
      </w:r>
      <w:r w:rsidR="001F21AC" w:rsidRPr="002F50BD">
        <w:rPr>
          <w:iCs/>
          <w:szCs w:val="28"/>
          <w:lang w:val="pt-BR"/>
        </w:rPr>
        <w:t>que</w:t>
      </w:r>
      <w:r w:rsidR="0089298C" w:rsidRPr="002F50BD">
        <w:rPr>
          <w:iCs/>
          <w:szCs w:val="28"/>
          <w:lang w:val="pt-BR"/>
        </w:rPr>
        <w:t xml:space="preserve"> é quem dispõe dos </w:t>
      </w:r>
      <w:r w:rsidRPr="002F50BD">
        <w:rPr>
          <w:iCs/>
          <w:szCs w:val="28"/>
          <w:lang w:val="pt-BR"/>
        </w:rPr>
        <w:t xml:space="preserve">meios </w:t>
      </w:r>
      <w:r w:rsidR="0089298C" w:rsidRPr="002F50BD">
        <w:rPr>
          <w:iCs/>
          <w:szCs w:val="28"/>
          <w:lang w:val="pt-BR"/>
        </w:rPr>
        <w:t>necessári</w:t>
      </w:r>
      <w:r w:rsidRPr="002F50BD">
        <w:rPr>
          <w:iCs/>
          <w:szCs w:val="28"/>
          <w:lang w:val="pt-BR"/>
        </w:rPr>
        <w:t>os para esclarecer</w:t>
      </w:r>
      <w:r w:rsidR="0089298C" w:rsidRPr="002F50BD">
        <w:rPr>
          <w:iCs/>
          <w:szCs w:val="28"/>
          <w:lang w:val="pt-BR"/>
        </w:rPr>
        <w:t xml:space="preserve"> os fatos</w:t>
      </w:r>
      <w:r w:rsidRPr="002F50BD">
        <w:rPr>
          <w:iCs/>
          <w:szCs w:val="28"/>
          <w:lang w:val="pt-BR"/>
        </w:rPr>
        <w:t xml:space="preserve"> </w:t>
      </w:r>
      <w:r w:rsidR="0089298C" w:rsidRPr="002F50BD">
        <w:rPr>
          <w:iCs/>
          <w:szCs w:val="28"/>
          <w:lang w:val="pt-BR"/>
        </w:rPr>
        <w:t>ocorrid</w:t>
      </w:r>
      <w:r w:rsidRPr="002F50BD">
        <w:rPr>
          <w:iCs/>
          <w:szCs w:val="28"/>
          <w:lang w:val="pt-BR"/>
        </w:rPr>
        <w:t>os</w:t>
      </w:r>
      <w:r w:rsidR="0089298C" w:rsidRPr="002F50BD">
        <w:rPr>
          <w:iCs/>
          <w:szCs w:val="28"/>
          <w:lang w:val="pt-BR"/>
        </w:rPr>
        <w:t xml:space="preserve"> em </w:t>
      </w:r>
      <w:r w:rsidR="00AB454A" w:rsidRPr="002F50BD">
        <w:rPr>
          <w:iCs/>
          <w:szCs w:val="28"/>
          <w:lang w:val="pt-BR"/>
        </w:rPr>
        <w:t>seu território</w:t>
      </w:r>
      <w:r w:rsidRPr="002F50BD">
        <w:rPr>
          <w:iCs/>
          <w:szCs w:val="28"/>
          <w:lang w:val="pt-BR"/>
        </w:rPr>
        <w:t>”.</w:t>
      </w:r>
    </w:p>
    <w:p w:rsidR="004756C1" w:rsidRPr="002F50BD" w:rsidRDefault="004756C1">
      <w:pPr>
        <w:pStyle w:val="BlockText"/>
        <w:spacing w:line="240" w:lineRule="auto"/>
        <w:ind w:left="567" w:right="567"/>
        <w:rPr>
          <w:b/>
          <w:iCs/>
          <w:sz w:val="20"/>
          <w:szCs w:val="28"/>
          <w:lang w:val="pt-BR"/>
        </w:rPr>
      </w:pPr>
    </w:p>
    <w:p w:rsidR="004756C1" w:rsidRPr="002F50BD" w:rsidRDefault="00063B47">
      <w:pPr>
        <w:pStyle w:val="BlockText"/>
        <w:spacing w:line="240" w:lineRule="auto"/>
        <w:ind w:left="0" w:right="0"/>
        <w:rPr>
          <w:sz w:val="20"/>
          <w:szCs w:val="28"/>
          <w:lang w:val="pt-BR"/>
        </w:rPr>
      </w:pPr>
      <w:r w:rsidRPr="002F50BD">
        <w:rPr>
          <w:sz w:val="20"/>
          <w:szCs w:val="28"/>
          <w:lang w:val="pt-BR"/>
        </w:rPr>
        <w:t>17</w:t>
      </w:r>
      <w:r w:rsidR="004756C1" w:rsidRPr="002F50BD">
        <w:rPr>
          <w:sz w:val="20"/>
          <w:szCs w:val="28"/>
          <w:lang w:val="pt-BR"/>
        </w:rPr>
        <w:t>.</w:t>
      </w:r>
      <w:r w:rsidR="004756C1" w:rsidRPr="002F50BD">
        <w:rPr>
          <w:sz w:val="20"/>
          <w:szCs w:val="28"/>
          <w:lang w:val="pt-BR"/>
        </w:rPr>
        <w:tab/>
      </w:r>
      <w:r w:rsidR="001F21AC" w:rsidRPr="002F50BD">
        <w:rPr>
          <w:sz w:val="20"/>
          <w:szCs w:val="28"/>
          <w:lang w:val="pt-BR"/>
        </w:rPr>
        <w:t xml:space="preserve">Igualmente ao </w:t>
      </w:r>
      <w:r w:rsidR="0089298C" w:rsidRPr="002F50BD">
        <w:rPr>
          <w:sz w:val="20"/>
          <w:szCs w:val="28"/>
          <w:lang w:val="pt-BR"/>
        </w:rPr>
        <w:t>expressa</w:t>
      </w:r>
      <w:r w:rsidR="004720A7">
        <w:rPr>
          <w:sz w:val="20"/>
          <w:szCs w:val="28"/>
          <w:lang w:val="pt-BR"/>
        </w:rPr>
        <w:t>do</w:t>
      </w:r>
      <w:r w:rsidR="0089298C" w:rsidRPr="002F50BD">
        <w:rPr>
          <w:sz w:val="20"/>
          <w:szCs w:val="28"/>
          <w:lang w:val="pt-BR"/>
        </w:rPr>
        <w:t xml:space="preserve"> em </w:t>
      </w:r>
      <w:r w:rsidR="004756C1" w:rsidRPr="002F50BD">
        <w:rPr>
          <w:sz w:val="20"/>
          <w:szCs w:val="28"/>
          <w:lang w:val="pt-BR"/>
        </w:rPr>
        <w:t>s</w:t>
      </w:r>
      <w:r w:rsidR="001F21AC" w:rsidRPr="002F50BD">
        <w:rPr>
          <w:sz w:val="20"/>
          <w:szCs w:val="28"/>
          <w:lang w:val="pt-BR"/>
        </w:rPr>
        <w:t>e</w:t>
      </w:r>
      <w:r w:rsidR="004756C1" w:rsidRPr="002F50BD">
        <w:rPr>
          <w:sz w:val="20"/>
          <w:szCs w:val="28"/>
          <w:lang w:val="pt-BR"/>
        </w:rPr>
        <w:t>u momento</w:t>
      </w:r>
      <w:r w:rsidR="0089298C" w:rsidRPr="002F50BD">
        <w:rPr>
          <w:sz w:val="20"/>
          <w:szCs w:val="28"/>
          <w:lang w:val="pt-BR"/>
        </w:rPr>
        <w:t xml:space="preserve"> pelo Juiz</w:t>
      </w:r>
      <w:r w:rsidR="004756C1" w:rsidRPr="002F50BD">
        <w:rPr>
          <w:sz w:val="20"/>
          <w:szCs w:val="28"/>
          <w:lang w:val="pt-BR"/>
        </w:rPr>
        <w:t xml:space="preserve"> De Roux Rengifo</w:t>
      </w:r>
      <w:r w:rsidR="004720A7">
        <w:rPr>
          <w:sz w:val="20"/>
          <w:szCs w:val="28"/>
          <w:lang w:val="pt-BR"/>
        </w:rPr>
        <w:t>,</w:t>
      </w:r>
      <w:r w:rsidR="0089298C" w:rsidRPr="002F50BD">
        <w:rPr>
          <w:sz w:val="20"/>
          <w:szCs w:val="28"/>
          <w:lang w:val="pt-BR"/>
        </w:rPr>
        <w:t xml:space="preserve"> em </w:t>
      </w:r>
      <w:r w:rsidR="004756C1" w:rsidRPr="002F50BD">
        <w:rPr>
          <w:sz w:val="20"/>
          <w:szCs w:val="28"/>
          <w:lang w:val="pt-BR"/>
        </w:rPr>
        <w:t>s</w:t>
      </w:r>
      <w:r w:rsidR="001F21AC" w:rsidRPr="002F50BD">
        <w:rPr>
          <w:sz w:val="20"/>
          <w:szCs w:val="28"/>
          <w:lang w:val="pt-BR"/>
        </w:rPr>
        <w:t>e</w:t>
      </w:r>
      <w:r w:rsidR="004756C1" w:rsidRPr="002F50BD">
        <w:rPr>
          <w:sz w:val="20"/>
          <w:szCs w:val="28"/>
          <w:lang w:val="pt-BR"/>
        </w:rPr>
        <w:t>u voto parcialmente di</w:t>
      </w:r>
      <w:r w:rsidR="001F21AC" w:rsidRPr="002F50BD">
        <w:rPr>
          <w:sz w:val="20"/>
          <w:szCs w:val="28"/>
          <w:lang w:val="pt-BR"/>
        </w:rPr>
        <w:t>s</w:t>
      </w:r>
      <w:r w:rsidR="004756C1" w:rsidRPr="002F50BD">
        <w:rPr>
          <w:sz w:val="20"/>
          <w:szCs w:val="28"/>
          <w:lang w:val="pt-BR"/>
        </w:rPr>
        <w:t xml:space="preserve">sidente, </w:t>
      </w:r>
      <w:r w:rsidR="004756C1" w:rsidRPr="002F50BD">
        <w:rPr>
          <w:i/>
          <w:sz w:val="20"/>
          <w:szCs w:val="28"/>
          <w:lang w:val="pt-BR"/>
        </w:rPr>
        <w:t>mutatis mutandi</w:t>
      </w:r>
      <w:r w:rsidR="004756C1" w:rsidRPr="002F50BD">
        <w:rPr>
          <w:sz w:val="20"/>
          <w:szCs w:val="28"/>
          <w:lang w:val="pt-BR"/>
        </w:rPr>
        <w:t>, considero que</w:t>
      </w:r>
      <w:r w:rsidR="0089298C" w:rsidRPr="002F50BD">
        <w:rPr>
          <w:sz w:val="20"/>
          <w:szCs w:val="28"/>
          <w:lang w:val="pt-BR"/>
        </w:rPr>
        <w:t xml:space="preserve"> se a </w:t>
      </w:r>
      <w:r w:rsidR="004756C1" w:rsidRPr="002F50BD">
        <w:rPr>
          <w:sz w:val="20"/>
          <w:szCs w:val="28"/>
          <w:lang w:val="pt-BR"/>
        </w:rPr>
        <w:t xml:space="preserve">Corte </w:t>
      </w:r>
      <w:r w:rsidR="0089298C" w:rsidRPr="002F50BD">
        <w:rPr>
          <w:sz w:val="20"/>
          <w:szCs w:val="28"/>
          <w:lang w:val="pt-BR"/>
        </w:rPr>
        <w:t>tivesse</w:t>
      </w:r>
      <w:r w:rsidR="004756C1" w:rsidRPr="002F50BD">
        <w:rPr>
          <w:sz w:val="20"/>
          <w:szCs w:val="28"/>
          <w:lang w:val="pt-BR"/>
        </w:rPr>
        <w:t xml:space="preserve"> aplicado </w:t>
      </w:r>
      <w:r w:rsidR="0023200A" w:rsidRPr="002F50BD">
        <w:rPr>
          <w:sz w:val="20"/>
          <w:szCs w:val="28"/>
          <w:lang w:val="pt-BR"/>
        </w:rPr>
        <w:t>seus próprios</w:t>
      </w:r>
      <w:r w:rsidR="004756C1" w:rsidRPr="002F50BD">
        <w:rPr>
          <w:sz w:val="20"/>
          <w:szCs w:val="28"/>
          <w:lang w:val="pt-BR"/>
        </w:rPr>
        <w:t xml:space="preserve"> </w:t>
      </w:r>
      <w:r w:rsidR="0089298C" w:rsidRPr="002F50BD">
        <w:rPr>
          <w:sz w:val="20"/>
          <w:szCs w:val="28"/>
          <w:lang w:val="pt-BR"/>
        </w:rPr>
        <w:t>critério</w:t>
      </w:r>
      <w:r w:rsidR="004756C1" w:rsidRPr="002F50BD">
        <w:rPr>
          <w:sz w:val="20"/>
          <w:szCs w:val="28"/>
          <w:lang w:val="pt-BR"/>
        </w:rPr>
        <w:t>s sobre</w:t>
      </w:r>
      <w:r w:rsidR="0089298C" w:rsidRPr="002F50BD">
        <w:rPr>
          <w:sz w:val="20"/>
          <w:szCs w:val="28"/>
          <w:lang w:val="pt-BR"/>
        </w:rPr>
        <w:t xml:space="preserve"> a </w:t>
      </w:r>
      <w:r w:rsidR="004C7A2A" w:rsidRPr="002F50BD">
        <w:rPr>
          <w:sz w:val="20"/>
          <w:szCs w:val="28"/>
          <w:lang w:val="pt-BR"/>
        </w:rPr>
        <w:t>aprecia</w:t>
      </w:r>
      <w:r w:rsidR="0089298C" w:rsidRPr="002F50BD">
        <w:rPr>
          <w:sz w:val="20"/>
          <w:szCs w:val="28"/>
          <w:lang w:val="pt-BR"/>
        </w:rPr>
        <w:t>ção da prova</w:t>
      </w:r>
      <w:r w:rsidR="004756C1" w:rsidRPr="002F50BD">
        <w:rPr>
          <w:sz w:val="20"/>
          <w:szCs w:val="28"/>
          <w:lang w:val="pt-BR"/>
        </w:rPr>
        <w:t xml:space="preserve">, </w:t>
      </w:r>
      <w:r w:rsidR="0089298C" w:rsidRPr="002F50BD">
        <w:rPr>
          <w:sz w:val="20"/>
          <w:szCs w:val="28"/>
          <w:lang w:val="pt-BR"/>
        </w:rPr>
        <w:t>teria</w:t>
      </w:r>
      <w:r w:rsidR="004756C1" w:rsidRPr="002F50BD">
        <w:rPr>
          <w:sz w:val="20"/>
          <w:szCs w:val="28"/>
          <w:lang w:val="pt-BR"/>
        </w:rPr>
        <w:t xml:space="preserve"> </w:t>
      </w:r>
      <w:r w:rsidR="0089298C" w:rsidRPr="002F50BD">
        <w:rPr>
          <w:sz w:val="20"/>
          <w:szCs w:val="28"/>
          <w:lang w:val="pt-BR"/>
        </w:rPr>
        <w:t>adot</w:t>
      </w:r>
      <w:r w:rsidR="004756C1" w:rsidRPr="002F50BD">
        <w:rPr>
          <w:sz w:val="20"/>
          <w:szCs w:val="28"/>
          <w:lang w:val="pt-BR"/>
        </w:rPr>
        <w:t>ado</w:t>
      </w:r>
      <w:r w:rsidR="0089298C" w:rsidRPr="002F50BD">
        <w:rPr>
          <w:sz w:val="20"/>
          <w:szCs w:val="28"/>
          <w:lang w:val="pt-BR"/>
        </w:rPr>
        <w:t xml:space="preserve"> um pronunciamento</w:t>
      </w:r>
      <w:r w:rsidR="004756C1" w:rsidRPr="002F50BD">
        <w:rPr>
          <w:sz w:val="20"/>
          <w:szCs w:val="28"/>
          <w:lang w:val="pt-BR"/>
        </w:rPr>
        <w:t xml:space="preserve"> diferente</w:t>
      </w:r>
      <w:r w:rsidR="0089298C" w:rsidRPr="002F50BD">
        <w:rPr>
          <w:sz w:val="20"/>
          <w:szCs w:val="28"/>
          <w:lang w:val="pt-BR"/>
        </w:rPr>
        <w:t xml:space="preserve"> no ponto </w:t>
      </w:r>
      <w:r w:rsidR="004756C1" w:rsidRPr="002F50BD">
        <w:rPr>
          <w:sz w:val="20"/>
          <w:szCs w:val="28"/>
          <w:lang w:val="pt-BR"/>
        </w:rPr>
        <w:t xml:space="preserve">resolutivo </w:t>
      </w:r>
      <w:r w:rsidRPr="002F50BD">
        <w:rPr>
          <w:sz w:val="20"/>
          <w:szCs w:val="28"/>
          <w:lang w:val="pt-BR"/>
        </w:rPr>
        <w:t>4</w:t>
      </w:r>
      <w:r w:rsidR="0089298C" w:rsidRPr="002F50BD">
        <w:rPr>
          <w:sz w:val="20"/>
          <w:szCs w:val="28"/>
          <w:lang w:val="pt-BR"/>
        </w:rPr>
        <w:t xml:space="preserve"> da Sentença no </w:t>
      </w:r>
      <w:r w:rsidR="004756C1" w:rsidRPr="002F50BD">
        <w:rPr>
          <w:sz w:val="20"/>
          <w:szCs w:val="28"/>
          <w:lang w:val="pt-BR"/>
        </w:rPr>
        <w:t>caso “</w:t>
      </w:r>
      <w:r w:rsidR="0089298C" w:rsidRPr="002F50BD">
        <w:rPr>
          <w:sz w:val="20"/>
          <w:szCs w:val="28"/>
          <w:lang w:val="pt-BR"/>
        </w:rPr>
        <w:t xml:space="preserve">Comunidade </w:t>
      </w:r>
      <w:r w:rsidR="004756C1" w:rsidRPr="002F50BD">
        <w:rPr>
          <w:sz w:val="20"/>
          <w:szCs w:val="28"/>
          <w:lang w:val="pt-BR"/>
        </w:rPr>
        <w:t xml:space="preserve">indígena Yakye Axa vs. </w:t>
      </w:r>
      <w:r w:rsidR="0089298C" w:rsidRPr="002F50BD">
        <w:rPr>
          <w:sz w:val="20"/>
          <w:szCs w:val="28"/>
          <w:lang w:val="pt-BR"/>
        </w:rPr>
        <w:t>Paraguai</w:t>
      </w:r>
      <w:r w:rsidR="004756C1" w:rsidRPr="002F50BD">
        <w:rPr>
          <w:sz w:val="20"/>
          <w:szCs w:val="28"/>
          <w:lang w:val="pt-BR"/>
        </w:rPr>
        <w:t>”.</w:t>
      </w:r>
    </w:p>
    <w:p w:rsidR="004756C1" w:rsidRPr="002F50BD" w:rsidRDefault="004756C1">
      <w:pPr>
        <w:pStyle w:val="BlockText"/>
        <w:spacing w:line="240" w:lineRule="auto"/>
        <w:ind w:left="0" w:right="0"/>
        <w:rPr>
          <w:b/>
          <w:i/>
          <w:sz w:val="20"/>
          <w:szCs w:val="28"/>
          <w:lang w:val="pt-BR"/>
        </w:rPr>
      </w:pPr>
    </w:p>
    <w:p w:rsidR="004756C1" w:rsidRPr="002F50BD" w:rsidRDefault="00063B47">
      <w:pPr>
        <w:pStyle w:val="BlockText"/>
        <w:spacing w:line="240" w:lineRule="auto"/>
        <w:ind w:left="0" w:right="0"/>
        <w:rPr>
          <w:i/>
          <w:sz w:val="20"/>
          <w:szCs w:val="28"/>
          <w:lang w:val="pt-BR"/>
        </w:rPr>
      </w:pPr>
      <w:r w:rsidRPr="002F50BD">
        <w:rPr>
          <w:sz w:val="20"/>
          <w:szCs w:val="28"/>
          <w:lang w:val="pt-BR"/>
        </w:rPr>
        <w:t>18</w:t>
      </w:r>
      <w:r w:rsidR="004756C1" w:rsidRPr="002F50BD">
        <w:rPr>
          <w:i/>
          <w:sz w:val="20"/>
          <w:szCs w:val="28"/>
          <w:lang w:val="pt-BR"/>
        </w:rPr>
        <w:t>.</w:t>
      </w:r>
      <w:r w:rsidR="004756C1" w:rsidRPr="002F50BD">
        <w:rPr>
          <w:i/>
          <w:sz w:val="20"/>
          <w:szCs w:val="28"/>
          <w:lang w:val="pt-BR"/>
        </w:rPr>
        <w:tab/>
        <w:t>De</w:t>
      </w:r>
      <w:r w:rsidR="001F21AC" w:rsidRPr="002F50BD">
        <w:rPr>
          <w:i/>
          <w:sz w:val="20"/>
          <w:szCs w:val="28"/>
          <w:lang w:val="pt-BR"/>
        </w:rPr>
        <w:t>ix</w:t>
      </w:r>
      <w:r w:rsidR="004756C1" w:rsidRPr="002F50BD">
        <w:rPr>
          <w:i/>
          <w:sz w:val="20"/>
          <w:szCs w:val="28"/>
          <w:lang w:val="pt-BR"/>
        </w:rPr>
        <w:t xml:space="preserve">o </w:t>
      </w:r>
      <w:r w:rsidR="0089298C" w:rsidRPr="002F50BD">
        <w:rPr>
          <w:i/>
          <w:sz w:val="20"/>
          <w:szCs w:val="28"/>
          <w:lang w:val="pt-BR"/>
        </w:rPr>
        <w:t>assim</w:t>
      </w:r>
      <w:r w:rsidR="004756C1" w:rsidRPr="002F50BD">
        <w:rPr>
          <w:i/>
          <w:sz w:val="20"/>
          <w:szCs w:val="28"/>
          <w:lang w:val="pt-BR"/>
        </w:rPr>
        <w:t>,</w:t>
      </w:r>
      <w:r w:rsidR="0089298C" w:rsidRPr="002F50BD">
        <w:rPr>
          <w:i/>
          <w:sz w:val="20"/>
          <w:szCs w:val="28"/>
          <w:lang w:val="pt-BR"/>
        </w:rPr>
        <w:t xml:space="preserve"> nos termo</w:t>
      </w:r>
      <w:r w:rsidR="004756C1" w:rsidRPr="002F50BD">
        <w:rPr>
          <w:i/>
          <w:sz w:val="20"/>
          <w:szCs w:val="28"/>
          <w:lang w:val="pt-BR"/>
        </w:rPr>
        <w:t xml:space="preserve">s </w:t>
      </w:r>
      <w:r w:rsidR="0089298C" w:rsidRPr="002F50BD">
        <w:rPr>
          <w:i/>
          <w:sz w:val="20"/>
          <w:szCs w:val="28"/>
          <w:lang w:val="pt-BR"/>
        </w:rPr>
        <w:t>mais respeitos</w:t>
      </w:r>
      <w:r w:rsidR="004756C1" w:rsidRPr="002F50BD">
        <w:rPr>
          <w:i/>
          <w:sz w:val="20"/>
          <w:szCs w:val="28"/>
          <w:lang w:val="pt-BR"/>
        </w:rPr>
        <w:t>os, fundamentado m</w:t>
      </w:r>
      <w:r w:rsidR="001F21AC" w:rsidRPr="002F50BD">
        <w:rPr>
          <w:i/>
          <w:sz w:val="20"/>
          <w:szCs w:val="28"/>
          <w:lang w:val="pt-BR"/>
        </w:rPr>
        <w:t>eu</w:t>
      </w:r>
      <w:r w:rsidR="004756C1" w:rsidRPr="002F50BD">
        <w:rPr>
          <w:i/>
          <w:sz w:val="20"/>
          <w:szCs w:val="28"/>
          <w:lang w:val="pt-BR"/>
        </w:rPr>
        <w:t xml:space="preserve"> voto parcialmente di</w:t>
      </w:r>
      <w:r w:rsidR="001F21AC" w:rsidRPr="002F50BD">
        <w:rPr>
          <w:i/>
          <w:sz w:val="20"/>
          <w:szCs w:val="28"/>
          <w:lang w:val="pt-BR"/>
        </w:rPr>
        <w:t>s</w:t>
      </w:r>
      <w:r w:rsidR="004756C1" w:rsidRPr="002F50BD">
        <w:rPr>
          <w:i/>
          <w:sz w:val="20"/>
          <w:szCs w:val="28"/>
          <w:lang w:val="pt-BR"/>
        </w:rPr>
        <w:t>sidente anunciado</w:t>
      </w:r>
      <w:r w:rsidR="0089298C" w:rsidRPr="002F50BD">
        <w:rPr>
          <w:i/>
          <w:sz w:val="20"/>
          <w:szCs w:val="28"/>
          <w:lang w:val="pt-BR"/>
        </w:rPr>
        <w:t xml:space="preserve"> na </w:t>
      </w:r>
      <w:r w:rsidR="004756C1" w:rsidRPr="002F50BD">
        <w:rPr>
          <w:i/>
          <w:sz w:val="20"/>
          <w:szCs w:val="28"/>
          <w:lang w:val="pt-BR"/>
        </w:rPr>
        <w:t>parte dispositiva</w:t>
      </w:r>
      <w:r w:rsidR="0089298C" w:rsidRPr="002F50BD">
        <w:rPr>
          <w:i/>
          <w:sz w:val="20"/>
          <w:szCs w:val="28"/>
          <w:lang w:val="pt-BR"/>
        </w:rPr>
        <w:t xml:space="preserve"> da sentença</w:t>
      </w:r>
      <w:r w:rsidR="004756C1" w:rsidRPr="002F50BD">
        <w:rPr>
          <w:i/>
          <w:sz w:val="20"/>
          <w:szCs w:val="28"/>
          <w:lang w:val="pt-BR"/>
        </w:rPr>
        <w:t xml:space="preserve"> antes aludida.</w:t>
      </w:r>
    </w:p>
    <w:p w:rsidR="004756C1" w:rsidRPr="002F50BD" w:rsidRDefault="004756C1">
      <w:pPr>
        <w:pStyle w:val="BlockText"/>
        <w:spacing w:line="240" w:lineRule="auto"/>
        <w:ind w:left="0" w:right="0"/>
        <w:rPr>
          <w:b/>
          <w:i/>
          <w:sz w:val="20"/>
          <w:szCs w:val="28"/>
          <w:lang w:val="pt-BR"/>
        </w:rPr>
      </w:pPr>
    </w:p>
    <w:p w:rsidR="004756C1" w:rsidRPr="002F50BD" w:rsidRDefault="004756C1">
      <w:pPr>
        <w:jc w:val="center"/>
        <w:rPr>
          <w:rFonts w:ascii="Verdana" w:hAnsi="Verdana"/>
          <w:sz w:val="20"/>
          <w:szCs w:val="28"/>
          <w:lang w:val="pt-BR"/>
        </w:rPr>
      </w:pPr>
      <w:r w:rsidRPr="002F50BD">
        <w:rPr>
          <w:rFonts w:ascii="Verdana" w:hAnsi="Verdana"/>
          <w:sz w:val="20"/>
          <w:szCs w:val="28"/>
          <w:lang w:val="pt-BR"/>
        </w:rPr>
        <w:t>*</w:t>
      </w:r>
    </w:p>
    <w:p w:rsidR="004756C1" w:rsidRPr="002F50BD" w:rsidRDefault="004756C1">
      <w:pPr>
        <w:jc w:val="center"/>
        <w:rPr>
          <w:rFonts w:ascii="Verdana" w:hAnsi="Verdana"/>
          <w:sz w:val="20"/>
          <w:szCs w:val="28"/>
          <w:lang w:val="pt-BR"/>
        </w:rPr>
      </w:pPr>
      <w:r w:rsidRPr="002F50BD">
        <w:rPr>
          <w:rFonts w:ascii="Verdana" w:hAnsi="Verdana"/>
          <w:sz w:val="20"/>
          <w:szCs w:val="28"/>
          <w:lang w:val="pt-BR"/>
        </w:rPr>
        <w:t>*</w:t>
      </w:r>
      <w:r w:rsidRPr="002F50BD">
        <w:rPr>
          <w:rFonts w:ascii="Verdana" w:hAnsi="Verdana"/>
          <w:sz w:val="20"/>
          <w:szCs w:val="28"/>
          <w:lang w:val="pt-BR"/>
        </w:rPr>
        <w:tab/>
        <w:t>*</w:t>
      </w:r>
    </w:p>
    <w:p w:rsidR="004756C1" w:rsidRPr="002F50BD" w:rsidRDefault="004756C1">
      <w:pPr>
        <w:jc w:val="center"/>
        <w:rPr>
          <w:rFonts w:ascii="Verdana" w:hAnsi="Verdana"/>
          <w:sz w:val="20"/>
          <w:szCs w:val="28"/>
          <w:lang w:val="pt-BR"/>
        </w:rPr>
      </w:pPr>
    </w:p>
    <w:p w:rsidR="004756C1" w:rsidRPr="002F50BD" w:rsidRDefault="00063B47">
      <w:pPr>
        <w:jc w:val="both"/>
        <w:rPr>
          <w:rFonts w:ascii="Verdana" w:hAnsi="Verdana"/>
          <w:sz w:val="20"/>
          <w:szCs w:val="28"/>
          <w:lang w:val="pt-BR"/>
        </w:rPr>
      </w:pPr>
      <w:r w:rsidRPr="002F50BD">
        <w:rPr>
          <w:rFonts w:ascii="Verdana" w:hAnsi="Verdana"/>
          <w:sz w:val="20"/>
          <w:szCs w:val="28"/>
          <w:lang w:val="pt-BR"/>
        </w:rPr>
        <w:lastRenderedPageBreak/>
        <w:t>19</w:t>
      </w:r>
      <w:r w:rsidR="004756C1" w:rsidRPr="002F50BD">
        <w:rPr>
          <w:rFonts w:ascii="Verdana" w:hAnsi="Verdana"/>
          <w:sz w:val="20"/>
          <w:szCs w:val="28"/>
          <w:lang w:val="pt-BR"/>
        </w:rPr>
        <w:t>.</w:t>
      </w:r>
      <w:r w:rsidR="004756C1" w:rsidRPr="002F50BD">
        <w:rPr>
          <w:rFonts w:ascii="Verdana" w:hAnsi="Verdana"/>
          <w:sz w:val="20"/>
          <w:szCs w:val="28"/>
          <w:lang w:val="pt-BR"/>
        </w:rPr>
        <w:tab/>
      </w:r>
      <w:r w:rsidR="004720A7">
        <w:rPr>
          <w:rFonts w:ascii="Verdana" w:hAnsi="Verdana"/>
          <w:sz w:val="20"/>
          <w:szCs w:val="28"/>
          <w:lang w:val="pt-BR"/>
        </w:rPr>
        <w:t xml:space="preserve">Além </w:t>
      </w:r>
      <w:r w:rsidR="004756C1" w:rsidRPr="002F50BD">
        <w:rPr>
          <w:rFonts w:ascii="Verdana" w:hAnsi="Verdana"/>
          <w:sz w:val="20"/>
          <w:szCs w:val="28"/>
          <w:lang w:val="pt-BR"/>
        </w:rPr>
        <w:t xml:space="preserve">de </w:t>
      </w:r>
      <w:r w:rsidR="0089298C" w:rsidRPr="002F50BD">
        <w:rPr>
          <w:rFonts w:ascii="Verdana" w:hAnsi="Verdana"/>
          <w:sz w:val="20"/>
          <w:szCs w:val="28"/>
          <w:lang w:val="pt-BR"/>
        </w:rPr>
        <w:t>ter</w:t>
      </w:r>
      <w:r w:rsidR="004756C1" w:rsidRPr="002F50BD">
        <w:rPr>
          <w:rFonts w:ascii="Verdana" w:hAnsi="Verdana"/>
          <w:sz w:val="20"/>
          <w:szCs w:val="28"/>
          <w:lang w:val="pt-BR"/>
        </w:rPr>
        <w:t xml:space="preserve"> manifestado o relativo a m</w:t>
      </w:r>
      <w:r w:rsidR="001F21AC" w:rsidRPr="002F50BD">
        <w:rPr>
          <w:rFonts w:ascii="Verdana" w:hAnsi="Verdana"/>
          <w:sz w:val="20"/>
          <w:szCs w:val="28"/>
          <w:lang w:val="pt-BR"/>
        </w:rPr>
        <w:t>eu</w:t>
      </w:r>
      <w:r w:rsidR="004756C1" w:rsidRPr="002F50BD">
        <w:rPr>
          <w:rFonts w:ascii="Verdana" w:hAnsi="Verdana"/>
          <w:sz w:val="20"/>
          <w:szCs w:val="28"/>
          <w:lang w:val="pt-BR"/>
        </w:rPr>
        <w:t xml:space="preserve"> voto </w:t>
      </w:r>
      <w:r w:rsidR="001F21AC" w:rsidRPr="002F50BD">
        <w:rPr>
          <w:rFonts w:ascii="Verdana" w:hAnsi="Verdana"/>
          <w:sz w:val="20"/>
          <w:szCs w:val="28"/>
          <w:lang w:val="pt-BR"/>
        </w:rPr>
        <w:t>dissidente</w:t>
      </w:r>
      <w:r w:rsidR="004756C1" w:rsidRPr="002F50BD">
        <w:rPr>
          <w:rFonts w:ascii="Verdana" w:hAnsi="Verdana"/>
          <w:sz w:val="20"/>
          <w:szCs w:val="28"/>
          <w:lang w:val="pt-BR"/>
        </w:rPr>
        <w:t>, considero oportuno referir</w:t>
      </w:r>
      <w:r w:rsidR="001F21AC" w:rsidRPr="002F50BD">
        <w:rPr>
          <w:rFonts w:ascii="Verdana" w:hAnsi="Verdana"/>
          <w:sz w:val="20"/>
          <w:szCs w:val="28"/>
          <w:lang w:val="pt-BR"/>
        </w:rPr>
        <w:t>-</w:t>
      </w:r>
      <w:r w:rsidR="004756C1" w:rsidRPr="002F50BD">
        <w:rPr>
          <w:rFonts w:ascii="Verdana" w:hAnsi="Verdana"/>
          <w:sz w:val="20"/>
          <w:szCs w:val="28"/>
          <w:lang w:val="pt-BR"/>
        </w:rPr>
        <w:t>me</w:t>
      </w:r>
      <w:r w:rsidR="0089298C" w:rsidRPr="002F50BD">
        <w:rPr>
          <w:rFonts w:ascii="Verdana" w:hAnsi="Verdana"/>
          <w:sz w:val="20"/>
          <w:szCs w:val="28"/>
          <w:lang w:val="pt-BR"/>
        </w:rPr>
        <w:t xml:space="preserve"> ao direito à identidade </w:t>
      </w:r>
      <w:r w:rsidR="004756C1" w:rsidRPr="002F50BD">
        <w:rPr>
          <w:rFonts w:ascii="Verdana" w:hAnsi="Verdana"/>
          <w:sz w:val="20"/>
          <w:szCs w:val="28"/>
          <w:lang w:val="pt-BR"/>
        </w:rPr>
        <w:t xml:space="preserve">cultural, que </w:t>
      </w:r>
      <w:r w:rsidR="0089298C" w:rsidRPr="002F50BD">
        <w:rPr>
          <w:rFonts w:ascii="Verdana" w:hAnsi="Verdana"/>
          <w:sz w:val="20"/>
          <w:szCs w:val="28"/>
          <w:lang w:val="pt-BR"/>
        </w:rPr>
        <w:t>várias</w:t>
      </w:r>
      <w:r w:rsidR="004756C1" w:rsidRPr="002F50BD">
        <w:rPr>
          <w:rFonts w:ascii="Verdana" w:hAnsi="Verdana"/>
          <w:sz w:val="20"/>
          <w:szCs w:val="28"/>
          <w:lang w:val="pt-BR"/>
        </w:rPr>
        <w:t xml:space="preserve"> </w:t>
      </w:r>
      <w:r w:rsidR="0089298C" w:rsidRPr="002F50BD">
        <w:rPr>
          <w:rFonts w:ascii="Verdana" w:hAnsi="Verdana"/>
          <w:sz w:val="20"/>
          <w:szCs w:val="28"/>
          <w:lang w:val="pt-BR"/>
        </w:rPr>
        <w:t>vezes</w:t>
      </w:r>
      <w:r w:rsidR="004756C1" w:rsidRPr="002F50BD">
        <w:rPr>
          <w:rFonts w:ascii="Verdana" w:hAnsi="Verdana"/>
          <w:sz w:val="20"/>
          <w:szCs w:val="28"/>
          <w:lang w:val="pt-BR"/>
        </w:rPr>
        <w:t xml:space="preserve"> se menciona</w:t>
      </w:r>
      <w:r w:rsidR="0089298C" w:rsidRPr="002F50BD">
        <w:rPr>
          <w:rFonts w:ascii="Verdana" w:hAnsi="Verdana"/>
          <w:sz w:val="20"/>
          <w:szCs w:val="28"/>
          <w:lang w:val="pt-BR"/>
        </w:rPr>
        <w:t xml:space="preserve"> no </w:t>
      </w:r>
      <w:r w:rsidR="004756C1" w:rsidRPr="002F50BD">
        <w:rPr>
          <w:rFonts w:ascii="Verdana" w:hAnsi="Verdana"/>
          <w:sz w:val="20"/>
          <w:szCs w:val="28"/>
          <w:lang w:val="pt-BR"/>
        </w:rPr>
        <w:t>texto</w:t>
      </w:r>
      <w:r w:rsidR="0089298C" w:rsidRPr="002F50BD">
        <w:rPr>
          <w:rFonts w:ascii="Verdana" w:hAnsi="Verdana"/>
          <w:sz w:val="20"/>
          <w:szCs w:val="28"/>
          <w:lang w:val="pt-BR"/>
        </w:rPr>
        <w:t xml:space="preserve"> da Sentença </w:t>
      </w:r>
      <w:r w:rsidR="001F21AC" w:rsidRPr="002F50BD">
        <w:rPr>
          <w:rFonts w:ascii="Verdana" w:hAnsi="Verdana"/>
          <w:sz w:val="20"/>
          <w:szCs w:val="28"/>
          <w:lang w:val="pt-BR"/>
        </w:rPr>
        <w:t>de</w:t>
      </w:r>
      <w:r w:rsidR="0089298C" w:rsidRPr="002F50BD">
        <w:rPr>
          <w:rFonts w:ascii="Verdana" w:hAnsi="Verdana"/>
          <w:sz w:val="20"/>
          <w:szCs w:val="28"/>
          <w:lang w:val="pt-BR"/>
        </w:rPr>
        <w:t xml:space="preserve"> referência e com </w:t>
      </w:r>
      <w:r w:rsidR="004756C1" w:rsidRPr="002F50BD">
        <w:rPr>
          <w:rFonts w:ascii="Verdana" w:hAnsi="Verdana"/>
          <w:sz w:val="20"/>
          <w:szCs w:val="28"/>
          <w:lang w:val="pt-BR"/>
        </w:rPr>
        <w:t xml:space="preserve">o </w:t>
      </w:r>
      <w:r w:rsidR="0089298C" w:rsidRPr="002F50BD">
        <w:rPr>
          <w:rFonts w:ascii="Verdana" w:hAnsi="Verdana"/>
          <w:sz w:val="20"/>
          <w:szCs w:val="28"/>
          <w:lang w:val="pt-BR"/>
        </w:rPr>
        <w:t xml:space="preserve">qual </w:t>
      </w:r>
      <w:r w:rsidR="001F21AC" w:rsidRPr="002F50BD">
        <w:rPr>
          <w:rFonts w:ascii="Verdana" w:hAnsi="Verdana"/>
          <w:sz w:val="20"/>
          <w:szCs w:val="28"/>
          <w:lang w:val="pt-BR"/>
        </w:rPr>
        <w:t xml:space="preserve">concordo </w:t>
      </w:r>
      <w:r w:rsidR="004756C1" w:rsidRPr="002F50BD">
        <w:rPr>
          <w:rFonts w:ascii="Verdana" w:hAnsi="Verdana"/>
          <w:sz w:val="20"/>
          <w:szCs w:val="28"/>
          <w:lang w:val="pt-BR"/>
        </w:rPr>
        <w:t xml:space="preserve">plenamente. </w:t>
      </w:r>
    </w:p>
    <w:p w:rsidR="004756C1" w:rsidRPr="002F50BD" w:rsidRDefault="004756C1">
      <w:pPr>
        <w:ind w:firstLine="708"/>
        <w:jc w:val="both"/>
        <w:rPr>
          <w:rFonts w:ascii="Verdana" w:hAnsi="Verdana"/>
          <w:sz w:val="20"/>
          <w:szCs w:val="28"/>
          <w:lang w:val="pt-BR"/>
        </w:rPr>
      </w:pPr>
    </w:p>
    <w:p w:rsidR="004756C1" w:rsidRPr="002F50BD" w:rsidRDefault="00063B47">
      <w:pPr>
        <w:jc w:val="both"/>
        <w:rPr>
          <w:rFonts w:ascii="Verdana" w:hAnsi="Verdana"/>
          <w:sz w:val="20"/>
          <w:szCs w:val="28"/>
          <w:lang w:val="pt-BR"/>
        </w:rPr>
      </w:pPr>
      <w:r w:rsidRPr="002F50BD">
        <w:rPr>
          <w:rFonts w:ascii="Verdana" w:hAnsi="Verdana"/>
          <w:sz w:val="20"/>
          <w:szCs w:val="28"/>
          <w:lang w:val="pt-BR"/>
        </w:rPr>
        <w:t>20</w:t>
      </w:r>
      <w:r w:rsidR="004756C1" w:rsidRPr="002F50BD">
        <w:rPr>
          <w:rFonts w:ascii="Verdana" w:hAnsi="Verdana"/>
          <w:sz w:val="20"/>
          <w:szCs w:val="28"/>
          <w:lang w:val="pt-BR"/>
        </w:rPr>
        <w:t>.</w:t>
      </w:r>
      <w:r w:rsidR="004756C1" w:rsidRPr="002F50BD">
        <w:rPr>
          <w:rFonts w:ascii="Verdana" w:hAnsi="Verdana"/>
          <w:sz w:val="20"/>
          <w:szCs w:val="28"/>
          <w:lang w:val="pt-BR"/>
        </w:rPr>
        <w:tab/>
      </w:r>
      <w:r w:rsidR="004076AD" w:rsidRPr="002F50BD">
        <w:rPr>
          <w:rFonts w:ascii="Verdana" w:hAnsi="Verdana"/>
          <w:sz w:val="20"/>
          <w:szCs w:val="28"/>
          <w:lang w:val="pt-BR"/>
        </w:rPr>
        <w:t>A este respeito</w:t>
      </w:r>
      <w:r w:rsidR="004756C1" w:rsidRPr="002F50BD">
        <w:rPr>
          <w:rFonts w:ascii="Verdana" w:hAnsi="Verdana"/>
          <w:sz w:val="20"/>
          <w:szCs w:val="28"/>
          <w:lang w:val="pt-BR"/>
        </w:rPr>
        <w:t>,</w:t>
      </w:r>
      <w:r w:rsidR="0089298C" w:rsidRPr="002F50BD">
        <w:rPr>
          <w:rFonts w:ascii="Verdana" w:hAnsi="Verdana"/>
          <w:sz w:val="20"/>
          <w:szCs w:val="28"/>
          <w:lang w:val="pt-BR"/>
        </w:rPr>
        <w:t xml:space="preserve"> das múltipla</w:t>
      </w:r>
      <w:r w:rsidR="004756C1" w:rsidRPr="002F50BD">
        <w:rPr>
          <w:rFonts w:ascii="Verdana" w:hAnsi="Verdana"/>
          <w:sz w:val="20"/>
          <w:szCs w:val="28"/>
          <w:lang w:val="pt-BR"/>
        </w:rPr>
        <w:t>s defini</w:t>
      </w:r>
      <w:r w:rsidR="0089298C" w:rsidRPr="002F50BD">
        <w:rPr>
          <w:rFonts w:ascii="Verdana" w:hAnsi="Verdana"/>
          <w:sz w:val="20"/>
          <w:szCs w:val="28"/>
          <w:lang w:val="pt-BR"/>
        </w:rPr>
        <w:t>ções</w:t>
      </w:r>
      <w:r w:rsidR="004756C1" w:rsidRPr="002F50BD">
        <w:rPr>
          <w:rFonts w:ascii="Verdana" w:hAnsi="Verdana"/>
          <w:sz w:val="20"/>
          <w:szCs w:val="28"/>
          <w:lang w:val="pt-BR"/>
        </w:rPr>
        <w:t xml:space="preserve"> que </w:t>
      </w:r>
      <w:r w:rsidR="001F21AC" w:rsidRPr="002F50BD">
        <w:rPr>
          <w:rFonts w:ascii="Verdana" w:hAnsi="Verdana"/>
          <w:sz w:val="20"/>
          <w:szCs w:val="28"/>
          <w:lang w:val="pt-BR"/>
        </w:rPr>
        <w:t xml:space="preserve">foram dadas </w:t>
      </w:r>
      <w:r w:rsidR="004756C1" w:rsidRPr="002F50BD">
        <w:rPr>
          <w:rFonts w:ascii="Verdana" w:hAnsi="Verdana"/>
          <w:sz w:val="20"/>
          <w:szCs w:val="28"/>
          <w:lang w:val="pt-BR"/>
        </w:rPr>
        <w:t>sobre</w:t>
      </w:r>
      <w:r w:rsidR="0089298C" w:rsidRPr="002F50BD">
        <w:rPr>
          <w:rFonts w:ascii="Verdana" w:hAnsi="Verdana"/>
          <w:sz w:val="20"/>
          <w:szCs w:val="28"/>
          <w:lang w:val="pt-BR"/>
        </w:rPr>
        <w:t xml:space="preserve"> a </w:t>
      </w:r>
      <w:r w:rsidR="004756C1" w:rsidRPr="002F50BD">
        <w:rPr>
          <w:rFonts w:ascii="Verdana" w:hAnsi="Verdana"/>
          <w:sz w:val="20"/>
          <w:szCs w:val="28"/>
          <w:lang w:val="pt-BR"/>
        </w:rPr>
        <w:t>cultura, res</w:t>
      </w:r>
      <w:r w:rsidR="001F21AC" w:rsidRPr="002F50BD">
        <w:rPr>
          <w:rFonts w:ascii="Verdana" w:hAnsi="Verdana"/>
          <w:sz w:val="20"/>
          <w:szCs w:val="28"/>
          <w:lang w:val="pt-BR"/>
        </w:rPr>
        <w:t>s</w:t>
      </w:r>
      <w:r w:rsidR="004756C1" w:rsidRPr="002F50BD">
        <w:rPr>
          <w:rFonts w:ascii="Verdana" w:hAnsi="Verdana"/>
          <w:sz w:val="20"/>
          <w:szCs w:val="28"/>
          <w:lang w:val="pt-BR"/>
        </w:rPr>
        <w:t>alta, a m</w:t>
      </w:r>
      <w:r w:rsidR="001F21AC" w:rsidRPr="002F50BD">
        <w:rPr>
          <w:rFonts w:ascii="Verdana" w:hAnsi="Verdana"/>
          <w:sz w:val="20"/>
          <w:szCs w:val="28"/>
          <w:lang w:val="pt-BR"/>
        </w:rPr>
        <w:t>eu</w:t>
      </w:r>
      <w:r w:rsidR="004756C1" w:rsidRPr="002F50BD">
        <w:rPr>
          <w:rFonts w:ascii="Verdana" w:hAnsi="Verdana"/>
          <w:sz w:val="20"/>
          <w:szCs w:val="28"/>
          <w:lang w:val="pt-BR"/>
        </w:rPr>
        <w:t xml:space="preserve"> </w:t>
      </w:r>
      <w:r w:rsidR="0089298C" w:rsidRPr="002F50BD">
        <w:rPr>
          <w:rFonts w:ascii="Verdana" w:hAnsi="Verdana"/>
          <w:sz w:val="20"/>
          <w:szCs w:val="28"/>
          <w:lang w:val="pt-BR"/>
        </w:rPr>
        <w:t>critério</w:t>
      </w:r>
      <w:r w:rsidR="004756C1" w:rsidRPr="002F50BD">
        <w:rPr>
          <w:rFonts w:ascii="Verdana" w:hAnsi="Verdana"/>
          <w:sz w:val="20"/>
          <w:szCs w:val="28"/>
          <w:lang w:val="pt-BR"/>
        </w:rPr>
        <w:t>, aquela que</w:t>
      </w:r>
      <w:r w:rsidR="0089298C" w:rsidRPr="002F50BD">
        <w:rPr>
          <w:rFonts w:ascii="Verdana" w:hAnsi="Verdana"/>
          <w:sz w:val="20"/>
          <w:szCs w:val="28"/>
          <w:lang w:val="pt-BR"/>
        </w:rPr>
        <w:t xml:space="preserve"> a qualific</w:t>
      </w:r>
      <w:r w:rsidR="004756C1" w:rsidRPr="002F50BD">
        <w:rPr>
          <w:rFonts w:ascii="Verdana" w:hAnsi="Verdana"/>
          <w:sz w:val="20"/>
          <w:szCs w:val="28"/>
          <w:lang w:val="pt-BR"/>
        </w:rPr>
        <w:t>a como</w:t>
      </w:r>
      <w:r w:rsidR="0089298C" w:rsidRPr="002F50BD">
        <w:rPr>
          <w:rFonts w:ascii="Verdana" w:hAnsi="Verdana"/>
          <w:sz w:val="20"/>
          <w:szCs w:val="28"/>
          <w:lang w:val="pt-BR"/>
        </w:rPr>
        <w:t xml:space="preserve"> o </w:t>
      </w:r>
      <w:r w:rsidR="004756C1" w:rsidRPr="002F50BD">
        <w:rPr>
          <w:rFonts w:ascii="Verdana" w:hAnsi="Verdana"/>
          <w:sz w:val="20"/>
          <w:szCs w:val="28"/>
          <w:lang w:val="pt-BR"/>
        </w:rPr>
        <w:t>conjunto</w:t>
      </w:r>
      <w:r w:rsidR="0089298C" w:rsidRPr="002F50BD">
        <w:rPr>
          <w:rFonts w:ascii="Verdana" w:hAnsi="Verdana"/>
          <w:sz w:val="20"/>
          <w:szCs w:val="28"/>
          <w:lang w:val="pt-BR"/>
        </w:rPr>
        <w:t xml:space="preserve"> dos </w:t>
      </w:r>
      <w:r w:rsidR="001F21AC" w:rsidRPr="002F50BD">
        <w:rPr>
          <w:rFonts w:ascii="Verdana" w:hAnsi="Verdana"/>
          <w:sz w:val="20"/>
          <w:szCs w:val="28"/>
          <w:lang w:val="pt-BR"/>
        </w:rPr>
        <w:t>traços</w:t>
      </w:r>
      <w:r w:rsidR="00FE08B7">
        <w:rPr>
          <w:rFonts w:ascii="Verdana" w:hAnsi="Verdana"/>
          <w:sz w:val="20"/>
          <w:szCs w:val="28"/>
          <w:lang w:val="pt-BR"/>
        </w:rPr>
        <w:t xml:space="preserve"> </w:t>
      </w:r>
      <w:r w:rsidR="004756C1" w:rsidRPr="002F50BD">
        <w:rPr>
          <w:rFonts w:ascii="Verdana" w:hAnsi="Verdana"/>
          <w:sz w:val="20"/>
          <w:szCs w:val="28"/>
          <w:lang w:val="pt-BR"/>
        </w:rPr>
        <w:t xml:space="preserve">distintivos </w:t>
      </w:r>
      <w:r w:rsidR="00AB454A" w:rsidRPr="002F50BD">
        <w:rPr>
          <w:rFonts w:ascii="Verdana" w:hAnsi="Verdana"/>
          <w:sz w:val="20"/>
          <w:szCs w:val="28"/>
          <w:lang w:val="pt-BR"/>
        </w:rPr>
        <w:t>espirituais</w:t>
      </w:r>
      <w:r w:rsidR="0089298C" w:rsidRPr="002F50BD">
        <w:rPr>
          <w:rFonts w:ascii="Verdana" w:hAnsi="Verdana"/>
          <w:sz w:val="20"/>
          <w:szCs w:val="28"/>
          <w:lang w:val="pt-BR"/>
        </w:rPr>
        <w:t xml:space="preserve"> e </w:t>
      </w:r>
      <w:r w:rsidR="004076AD" w:rsidRPr="002F50BD">
        <w:rPr>
          <w:rFonts w:ascii="Verdana" w:hAnsi="Verdana"/>
          <w:sz w:val="20"/>
          <w:szCs w:val="28"/>
          <w:lang w:val="pt-BR"/>
        </w:rPr>
        <w:t>materiais</w:t>
      </w:r>
      <w:r w:rsidR="004756C1" w:rsidRPr="002F50BD">
        <w:rPr>
          <w:rFonts w:ascii="Verdana" w:hAnsi="Verdana"/>
          <w:sz w:val="20"/>
          <w:szCs w:val="28"/>
          <w:lang w:val="pt-BR"/>
        </w:rPr>
        <w:t xml:space="preserve">, </w:t>
      </w:r>
      <w:r w:rsidR="004076AD" w:rsidRPr="002F50BD">
        <w:rPr>
          <w:rFonts w:ascii="Verdana" w:hAnsi="Verdana"/>
          <w:sz w:val="20"/>
          <w:szCs w:val="28"/>
          <w:lang w:val="pt-BR"/>
        </w:rPr>
        <w:t>intelectuais</w:t>
      </w:r>
      <w:r w:rsidR="0089298C" w:rsidRPr="002F50BD">
        <w:rPr>
          <w:rFonts w:ascii="Verdana" w:hAnsi="Verdana"/>
          <w:sz w:val="20"/>
          <w:szCs w:val="28"/>
          <w:lang w:val="pt-BR"/>
        </w:rPr>
        <w:t xml:space="preserve"> e </w:t>
      </w:r>
      <w:r w:rsidR="004076AD" w:rsidRPr="002F50BD">
        <w:rPr>
          <w:rFonts w:ascii="Verdana" w:hAnsi="Verdana"/>
          <w:sz w:val="20"/>
          <w:szCs w:val="28"/>
          <w:lang w:val="pt-BR"/>
        </w:rPr>
        <w:t>afetiv</w:t>
      </w:r>
      <w:r w:rsidR="004756C1" w:rsidRPr="002F50BD">
        <w:rPr>
          <w:rFonts w:ascii="Verdana" w:hAnsi="Verdana"/>
          <w:sz w:val="20"/>
          <w:szCs w:val="28"/>
          <w:lang w:val="pt-BR"/>
        </w:rPr>
        <w:t>os de</w:t>
      </w:r>
      <w:r w:rsidR="0089298C" w:rsidRPr="002F50BD">
        <w:rPr>
          <w:rFonts w:ascii="Verdana" w:hAnsi="Verdana"/>
          <w:sz w:val="20"/>
          <w:szCs w:val="28"/>
          <w:lang w:val="pt-BR"/>
        </w:rPr>
        <w:t xml:space="preserve"> uma </w:t>
      </w:r>
      <w:r w:rsidR="004756C1" w:rsidRPr="002F50BD">
        <w:rPr>
          <w:rFonts w:ascii="Verdana" w:hAnsi="Verdana"/>
          <w:sz w:val="20"/>
          <w:szCs w:val="28"/>
          <w:lang w:val="pt-BR"/>
        </w:rPr>
        <w:t>sociedad</w:t>
      </w:r>
      <w:r w:rsidR="001F21AC" w:rsidRPr="002F50BD">
        <w:rPr>
          <w:rFonts w:ascii="Verdana" w:hAnsi="Verdana"/>
          <w:sz w:val="20"/>
          <w:szCs w:val="28"/>
          <w:lang w:val="pt-BR"/>
        </w:rPr>
        <w:t>e</w:t>
      </w:r>
      <w:r w:rsidR="004756C1" w:rsidRPr="002F50BD">
        <w:rPr>
          <w:rFonts w:ascii="Verdana" w:hAnsi="Verdana"/>
          <w:sz w:val="20"/>
          <w:szCs w:val="28"/>
          <w:lang w:val="pt-BR"/>
        </w:rPr>
        <w:t>,</w:t>
      </w:r>
      <w:r w:rsidR="0089298C" w:rsidRPr="002F50BD">
        <w:rPr>
          <w:rFonts w:ascii="Verdana" w:hAnsi="Verdana"/>
          <w:sz w:val="20"/>
          <w:szCs w:val="28"/>
          <w:lang w:val="pt-BR"/>
        </w:rPr>
        <w:t xml:space="preserve"> um </w:t>
      </w:r>
      <w:r w:rsidR="004756C1" w:rsidRPr="002F50BD">
        <w:rPr>
          <w:rFonts w:ascii="Verdana" w:hAnsi="Verdana"/>
          <w:sz w:val="20"/>
          <w:szCs w:val="28"/>
          <w:lang w:val="pt-BR"/>
        </w:rPr>
        <w:t>grupo social o</w:t>
      </w:r>
      <w:r w:rsidR="001F21AC" w:rsidRPr="002F50BD">
        <w:rPr>
          <w:rFonts w:ascii="Verdana" w:hAnsi="Verdana"/>
          <w:sz w:val="20"/>
          <w:szCs w:val="28"/>
          <w:lang w:val="pt-BR"/>
        </w:rPr>
        <w:t>u</w:t>
      </w:r>
      <w:r w:rsidR="0089298C" w:rsidRPr="002F50BD">
        <w:rPr>
          <w:rFonts w:ascii="Verdana" w:hAnsi="Verdana"/>
          <w:sz w:val="20"/>
          <w:szCs w:val="28"/>
          <w:lang w:val="pt-BR"/>
        </w:rPr>
        <w:t xml:space="preserve"> uma pessoa e </w:t>
      </w:r>
      <w:r w:rsidR="004756C1" w:rsidRPr="002F50BD">
        <w:rPr>
          <w:rFonts w:ascii="Verdana" w:hAnsi="Verdana"/>
          <w:sz w:val="20"/>
          <w:szCs w:val="28"/>
          <w:lang w:val="pt-BR"/>
        </w:rPr>
        <w:t xml:space="preserve">que </w:t>
      </w:r>
      <w:r w:rsidR="001F21AC" w:rsidRPr="002F50BD">
        <w:rPr>
          <w:rFonts w:ascii="Verdana" w:hAnsi="Verdana"/>
          <w:sz w:val="20"/>
          <w:szCs w:val="28"/>
          <w:lang w:val="pt-BR"/>
        </w:rPr>
        <w:t>inclui</w:t>
      </w:r>
      <w:r w:rsidR="004756C1" w:rsidRPr="002F50BD">
        <w:rPr>
          <w:rFonts w:ascii="Verdana" w:hAnsi="Verdana"/>
          <w:sz w:val="20"/>
          <w:szCs w:val="28"/>
          <w:lang w:val="pt-BR"/>
        </w:rPr>
        <w:t xml:space="preserve">, </w:t>
      </w:r>
      <w:r w:rsidR="001F21AC" w:rsidRPr="002F50BD">
        <w:rPr>
          <w:rFonts w:ascii="Verdana" w:hAnsi="Verdana"/>
          <w:sz w:val="20"/>
          <w:szCs w:val="28"/>
          <w:lang w:val="pt-BR"/>
        </w:rPr>
        <w:t xml:space="preserve">além </w:t>
      </w:r>
      <w:r w:rsidR="0089298C" w:rsidRPr="002F50BD">
        <w:rPr>
          <w:rFonts w:ascii="Verdana" w:hAnsi="Verdana"/>
          <w:sz w:val="20"/>
          <w:szCs w:val="28"/>
          <w:lang w:val="pt-BR"/>
        </w:rPr>
        <w:t xml:space="preserve">das </w:t>
      </w:r>
      <w:r w:rsidR="004756C1" w:rsidRPr="002F50BD">
        <w:rPr>
          <w:rFonts w:ascii="Verdana" w:hAnsi="Verdana"/>
          <w:sz w:val="20"/>
          <w:szCs w:val="28"/>
          <w:lang w:val="pt-BR"/>
        </w:rPr>
        <w:t>artes</w:t>
      </w:r>
      <w:r w:rsidR="0089298C" w:rsidRPr="002F50BD">
        <w:rPr>
          <w:rFonts w:ascii="Verdana" w:hAnsi="Verdana"/>
          <w:sz w:val="20"/>
          <w:szCs w:val="28"/>
          <w:lang w:val="pt-BR"/>
        </w:rPr>
        <w:t xml:space="preserve"> e </w:t>
      </w:r>
      <w:r w:rsidR="001F21AC" w:rsidRPr="002F50BD">
        <w:rPr>
          <w:rFonts w:ascii="Verdana" w:hAnsi="Verdana"/>
          <w:sz w:val="20"/>
          <w:szCs w:val="28"/>
          <w:lang w:val="pt-BR"/>
        </w:rPr>
        <w:t>d</w:t>
      </w:r>
      <w:r w:rsidR="0089298C" w:rsidRPr="002F50BD">
        <w:rPr>
          <w:rFonts w:ascii="Verdana" w:hAnsi="Verdana"/>
          <w:sz w:val="20"/>
          <w:szCs w:val="28"/>
          <w:lang w:val="pt-BR"/>
        </w:rPr>
        <w:t xml:space="preserve">as </w:t>
      </w:r>
      <w:r w:rsidR="004756C1" w:rsidRPr="002F50BD">
        <w:rPr>
          <w:rFonts w:ascii="Verdana" w:hAnsi="Verdana"/>
          <w:sz w:val="20"/>
          <w:szCs w:val="28"/>
          <w:lang w:val="pt-BR"/>
        </w:rPr>
        <w:t>letras,</w:t>
      </w:r>
      <w:r w:rsidR="0089298C" w:rsidRPr="002F50BD">
        <w:rPr>
          <w:rFonts w:ascii="Verdana" w:hAnsi="Verdana"/>
          <w:sz w:val="20"/>
          <w:szCs w:val="28"/>
          <w:lang w:val="pt-BR"/>
        </w:rPr>
        <w:t xml:space="preserve"> os </w:t>
      </w:r>
      <w:r w:rsidR="004756C1" w:rsidRPr="002F50BD">
        <w:rPr>
          <w:rFonts w:ascii="Verdana" w:hAnsi="Verdana"/>
          <w:sz w:val="20"/>
          <w:szCs w:val="28"/>
          <w:lang w:val="pt-BR"/>
        </w:rPr>
        <w:t>modos de vida,</w:t>
      </w:r>
      <w:r w:rsidR="0089298C" w:rsidRPr="002F50BD">
        <w:rPr>
          <w:rFonts w:ascii="Verdana" w:hAnsi="Verdana"/>
          <w:sz w:val="20"/>
          <w:szCs w:val="28"/>
          <w:lang w:val="pt-BR"/>
        </w:rPr>
        <w:t xml:space="preserve"> as maneira</w:t>
      </w:r>
      <w:r w:rsidR="004756C1" w:rsidRPr="002F50BD">
        <w:rPr>
          <w:rFonts w:ascii="Verdana" w:hAnsi="Verdana"/>
          <w:sz w:val="20"/>
          <w:szCs w:val="28"/>
          <w:lang w:val="pt-BR"/>
        </w:rPr>
        <w:t xml:space="preserve">s de </w:t>
      </w:r>
      <w:r w:rsidR="0089298C" w:rsidRPr="002F50BD">
        <w:rPr>
          <w:rFonts w:ascii="Verdana" w:hAnsi="Verdana"/>
          <w:sz w:val="20"/>
          <w:szCs w:val="28"/>
          <w:lang w:val="pt-BR"/>
        </w:rPr>
        <w:t>viver</w:t>
      </w:r>
      <w:r w:rsidR="004756C1" w:rsidRPr="002F50BD">
        <w:rPr>
          <w:rFonts w:ascii="Verdana" w:hAnsi="Verdana"/>
          <w:sz w:val="20"/>
          <w:szCs w:val="28"/>
          <w:lang w:val="pt-BR"/>
        </w:rPr>
        <w:t xml:space="preserve"> juntos,</w:t>
      </w:r>
      <w:r w:rsidR="0089298C" w:rsidRPr="002F50BD">
        <w:rPr>
          <w:rFonts w:ascii="Verdana" w:hAnsi="Verdana"/>
          <w:sz w:val="20"/>
          <w:szCs w:val="28"/>
          <w:lang w:val="pt-BR"/>
        </w:rPr>
        <w:t xml:space="preserve"> os </w:t>
      </w:r>
      <w:r w:rsidR="004756C1" w:rsidRPr="002F50BD">
        <w:rPr>
          <w:rFonts w:ascii="Verdana" w:hAnsi="Verdana"/>
          <w:sz w:val="20"/>
          <w:szCs w:val="28"/>
          <w:lang w:val="pt-BR"/>
        </w:rPr>
        <w:t>sistemas de valores,</w:t>
      </w:r>
      <w:r w:rsidR="0089298C" w:rsidRPr="002F50BD">
        <w:rPr>
          <w:rFonts w:ascii="Verdana" w:hAnsi="Verdana"/>
          <w:sz w:val="20"/>
          <w:szCs w:val="28"/>
          <w:lang w:val="pt-BR"/>
        </w:rPr>
        <w:t xml:space="preserve"> as </w:t>
      </w:r>
      <w:r w:rsidR="004756C1" w:rsidRPr="002F50BD">
        <w:rPr>
          <w:rFonts w:ascii="Verdana" w:hAnsi="Verdana"/>
          <w:sz w:val="20"/>
          <w:szCs w:val="28"/>
          <w:lang w:val="pt-BR"/>
        </w:rPr>
        <w:t>tradi</w:t>
      </w:r>
      <w:r w:rsidR="0089298C" w:rsidRPr="002F50BD">
        <w:rPr>
          <w:rFonts w:ascii="Verdana" w:hAnsi="Verdana"/>
          <w:sz w:val="20"/>
          <w:szCs w:val="28"/>
          <w:lang w:val="pt-BR"/>
        </w:rPr>
        <w:t xml:space="preserve">ções e as </w:t>
      </w:r>
      <w:r w:rsidR="004076AD" w:rsidRPr="002F50BD">
        <w:rPr>
          <w:rFonts w:ascii="Verdana" w:hAnsi="Verdana"/>
          <w:sz w:val="20"/>
          <w:szCs w:val="28"/>
          <w:lang w:val="pt-BR"/>
        </w:rPr>
        <w:t>crenças</w:t>
      </w:r>
      <w:r w:rsidR="001F21AC" w:rsidRPr="002F50BD">
        <w:rPr>
          <w:rFonts w:ascii="Verdana" w:hAnsi="Verdana"/>
          <w:sz w:val="20"/>
          <w:szCs w:val="28"/>
          <w:lang w:val="pt-BR"/>
        </w:rPr>
        <w:t>.</w:t>
      </w:r>
      <w:r w:rsidR="004756C1" w:rsidRPr="002F50BD">
        <w:rPr>
          <w:rStyle w:val="FootnoteReference"/>
          <w:rFonts w:ascii="Verdana" w:hAnsi="Verdana"/>
          <w:szCs w:val="28"/>
        </w:rPr>
        <w:footnoteReference w:id="228"/>
      </w:r>
      <w:r w:rsidR="004756C1" w:rsidRPr="002F50BD">
        <w:rPr>
          <w:rFonts w:ascii="Verdana" w:hAnsi="Verdana"/>
          <w:sz w:val="20"/>
          <w:szCs w:val="28"/>
          <w:lang w:val="pt-BR"/>
        </w:rPr>
        <w:t xml:space="preserve"> </w:t>
      </w:r>
    </w:p>
    <w:p w:rsidR="004756C1" w:rsidRPr="002F50BD" w:rsidRDefault="004756C1">
      <w:pPr>
        <w:jc w:val="both"/>
        <w:rPr>
          <w:rFonts w:ascii="Verdana" w:hAnsi="Verdana"/>
          <w:sz w:val="20"/>
          <w:szCs w:val="28"/>
          <w:lang w:val="pt-BR"/>
        </w:rPr>
      </w:pPr>
    </w:p>
    <w:p w:rsidR="004756C1" w:rsidRPr="002F50BD" w:rsidRDefault="00063B47">
      <w:pPr>
        <w:jc w:val="both"/>
        <w:rPr>
          <w:rFonts w:ascii="Verdana" w:hAnsi="Verdana"/>
          <w:sz w:val="20"/>
          <w:szCs w:val="28"/>
          <w:lang w:val="pt-BR"/>
        </w:rPr>
      </w:pPr>
      <w:r w:rsidRPr="002F50BD">
        <w:rPr>
          <w:rFonts w:ascii="Verdana" w:hAnsi="Verdana"/>
          <w:sz w:val="20"/>
          <w:szCs w:val="28"/>
          <w:lang w:val="pt-BR"/>
        </w:rPr>
        <w:t>21</w:t>
      </w:r>
      <w:r w:rsidR="004756C1" w:rsidRPr="002F50BD">
        <w:rPr>
          <w:rFonts w:ascii="Verdana" w:hAnsi="Verdana"/>
          <w:sz w:val="20"/>
          <w:szCs w:val="28"/>
          <w:lang w:val="pt-BR"/>
        </w:rPr>
        <w:t>.</w:t>
      </w:r>
      <w:r w:rsidR="004756C1" w:rsidRPr="002F50BD">
        <w:rPr>
          <w:rFonts w:ascii="Verdana" w:hAnsi="Verdana"/>
          <w:sz w:val="20"/>
          <w:szCs w:val="28"/>
          <w:lang w:val="pt-BR"/>
        </w:rPr>
        <w:tab/>
      </w:r>
      <w:r w:rsidR="0089298C" w:rsidRPr="002F50BD">
        <w:rPr>
          <w:rFonts w:ascii="Verdana" w:hAnsi="Verdana"/>
          <w:sz w:val="20"/>
          <w:szCs w:val="28"/>
          <w:lang w:val="pt-BR"/>
        </w:rPr>
        <w:t>No âmbito</w:t>
      </w:r>
      <w:r w:rsidR="004756C1" w:rsidRPr="002F50BD">
        <w:rPr>
          <w:rFonts w:ascii="Verdana" w:hAnsi="Verdana"/>
          <w:sz w:val="20"/>
          <w:szCs w:val="28"/>
          <w:lang w:val="pt-BR"/>
        </w:rPr>
        <w:t xml:space="preserve"> </w:t>
      </w:r>
      <w:r w:rsidR="0089298C" w:rsidRPr="002F50BD">
        <w:rPr>
          <w:rFonts w:ascii="Verdana" w:hAnsi="Verdana"/>
          <w:sz w:val="20"/>
          <w:szCs w:val="28"/>
          <w:lang w:val="pt-BR"/>
        </w:rPr>
        <w:t xml:space="preserve">do </w:t>
      </w:r>
      <w:r w:rsidR="00CF451D">
        <w:rPr>
          <w:rFonts w:ascii="Verdana" w:hAnsi="Verdana"/>
          <w:sz w:val="20"/>
          <w:szCs w:val="28"/>
          <w:lang w:val="pt-BR"/>
        </w:rPr>
        <w:t>Direito Internacional dos Direitos Humanos</w:t>
      </w:r>
      <w:r w:rsidR="004756C1" w:rsidRPr="002F50BD">
        <w:rPr>
          <w:rFonts w:ascii="Verdana" w:hAnsi="Verdana"/>
          <w:sz w:val="20"/>
          <w:szCs w:val="28"/>
          <w:lang w:val="pt-BR"/>
        </w:rPr>
        <w:t>,</w:t>
      </w:r>
      <w:r w:rsidR="0089298C" w:rsidRPr="002F50BD">
        <w:rPr>
          <w:rFonts w:ascii="Verdana" w:hAnsi="Verdana"/>
          <w:sz w:val="20"/>
          <w:szCs w:val="28"/>
          <w:lang w:val="pt-BR"/>
        </w:rPr>
        <w:t xml:space="preserve"> o direito à identidade </w:t>
      </w:r>
      <w:r w:rsidR="004756C1" w:rsidRPr="002F50BD">
        <w:rPr>
          <w:rFonts w:ascii="Verdana" w:hAnsi="Verdana"/>
          <w:sz w:val="20"/>
          <w:szCs w:val="28"/>
          <w:lang w:val="pt-BR"/>
        </w:rPr>
        <w:t>cultural</w:t>
      </w:r>
      <w:r w:rsidR="0089298C" w:rsidRPr="002F50BD">
        <w:rPr>
          <w:rFonts w:ascii="Verdana" w:hAnsi="Verdana"/>
          <w:sz w:val="20"/>
          <w:szCs w:val="28"/>
          <w:lang w:val="pt-BR"/>
        </w:rPr>
        <w:t xml:space="preserve"> ainda</w:t>
      </w:r>
      <w:r w:rsidR="004756C1" w:rsidRPr="002F50BD">
        <w:rPr>
          <w:rFonts w:ascii="Verdana" w:hAnsi="Verdana"/>
          <w:sz w:val="20"/>
          <w:szCs w:val="28"/>
          <w:lang w:val="pt-BR"/>
        </w:rPr>
        <w:t xml:space="preserve"> está</w:t>
      </w:r>
      <w:r w:rsidR="0089298C" w:rsidRPr="002F50BD">
        <w:rPr>
          <w:rFonts w:ascii="Verdana" w:hAnsi="Verdana"/>
          <w:sz w:val="20"/>
          <w:szCs w:val="28"/>
          <w:lang w:val="pt-BR"/>
        </w:rPr>
        <w:t xml:space="preserve"> em </w:t>
      </w:r>
      <w:r w:rsidR="004756C1" w:rsidRPr="002F50BD">
        <w:rPr>
          <w:rFonts w:ascii="Verdana" w:hAnsi="Verdana"/>
          <w:sz w:val="20"/>
          <w:szCs w:val="28"/>
          <w:lang w:val="pt-BR"/>
        </w:rPr>
        <w:t xml:space="preserve">permanente </w:t>
      </w:r>
      <w:r w:rsidR="0089298C" w:rsidRPr="002F50BD">
        <w:rPr>
          <w:rFonts w:ascii="Verdana" w:hAnsi="Verdana"/>
          <w:sz w:val="20"/>
          <w:szCs w:val="28"/>
          <w:lang w:val="pt-BR"/>
        </w:rPr>
        <w:t xml:space="preserve">construção e </w:t>
      </w:r>
      <w:r w:rsidR="004756C1" w:rsidRPr="002F50BD">
        <w:rPr>
          <w:rFonts w:ascii="Verdana" w:hAnsi="Verdana"/>
          <w:sz w:val="20"/>
          <w:szCs w:val="28"/>
          <w:lang w:val="pt-BR"/>
        </w:rPr>
        <w:t>depende primordialmente</w:t>
      </w:r>
      <w:r w:rsidR="0089298C" w:rsidRPr="002F50BD">
        <w:rPr>
          <w:rFonts w:ascii="Verdana" w:hAnsi="Verdana"/>
          <w:sz w:val="20"/>
          <w:szCs w:val="28"/>
          <w:lang w:val="pt-BR"/>
        </w:rPr>
        <w:t xml:space="preserve"> dos direito</w:t>
      </w:r>
      <w:r w:rsidR="004756C1" w:rsidRPr="002F50BD">
        <w:rPr>
          <w:rFonts w:ascii="Verdana" w:hAnsi="Verdana"/>
          <w:sz w:val="20"/>
          <w:szCs w:val="28"/>
          <w:lang w:val="pt-BR"/>
        </w:rPr>
        <w:t xml:space="preserve">s </w:t>
      </w:r>
      <w:r w:rsidR="0089298C" w:rsidRPr="002F50BD">
        <w:rPr>
          <w:rFonts w:ascii="Verdana" w:hAnsi="Verdana"/>
          <w:sz w:val="20"/>
          <w:szCs w:val="28"/>
          <w:lang w:val="pt-BR"/>
        </w:rPr>
        <w:t>culturais</w:t>
      </w:r>
      <w:r w:rsidR="004756C1" w:rsidRPr="002F50BD">
        <w:rPr>
          <w:rFonts w:ascii="Verdana" w:hAnsi="Verdana"/>
          <w:sz w:val="20"/>
          <w:szCs w:val="28"/>
          <w:lang w:val="pt-BR"/>
        </w:rPr>
        <w:t>.</w:t>
      </w:r>
    </w:p>
    <w:p w:rsidR="004756C1" w:rsidRPr="002F50BD" w:rsidRDefault="004756C1">
      <w:pPr>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22</w:t>
      </w:r>
      <w:r w:rsidR="004756C1" w:rsidRPr="002F50BD">
        <w:rPr>
          <w:rFonts w:ascii="Verdana" w:hAnsi="Verdana"/>
          <w:sz w:val="20"/>
          <w:szCs w:val="28"/>
          <w:lang w:val="pt-BR"/>
        </w:rPr>
        <w:t>.</w:t>
      </w:r>
      <w:r w:rsidR="004756C1" w:rsidRPr="002F50BD">
        <w:rPr>
          <w:rFonts w:ascii="Verdana" w:hAnsi="Verdana"/>
          <w:sz w:val="20"/>
          <w:szCs w:val="28"/>
          <w:lang w:val="pt-BR"/>
        </w:rPr>
        <w:tab/>
      </w:r>
      <w:r w:rsidR="0089298C" w:rsidRPr="002F50BD">
        <w:rPr>
          <w:rFonts w:ascii="Verdana" w:hAnsi="Verdana"/>
          <w:sz w:val="20"/>
          <w:szCs w:val="28"/>
          <w:lang w:val="pt-BR"/>
        </w:rPr>
        <w:t>No âmbito</w:t>
      </w:r>
      <w:r w:rsidR="004756C1" w:rsidRPr="002F50BD">
        <w:rPr>
          <w:rFonts w:ascii="Verdana" w:hAnsi="Verdana"/>
          <w:sz w:val="20"/>
          <w:szCs w:val="28"/>
          <w:lang w:val="pt-BR"/>
        </w:rPr>
        <w:t xml:space="preserve"> regional americano,</w:t>
      </w:r>
      <w:r w:rsidR="0089298C" w:rsidRPr="002F50BD">
        <w:rPr>
          <w:rFonts w:ascii="Verdana" w:hAnsi="Verdana"/>
          <w:sz w:val="20"/>
          <w:szCs w:val="28"/>
          <w:lang w:val="pt-BR"/>
        </w:rPr>
        <w:t xml:space="preserve"> a </w:t>
      </w:r>
      <w:r w:rsidR="004756C1" w:rsidRPr="002F50BD">
        <w:rPr>
          <w:rFonts w:ascii="Verdana" w:hAnsi="Verdana"/>
          <w:sz w:val="20"/>
          <w:szCs w:val="28"/>
          <w:lang w:val="pt-BR"/>
        </w:rPr>
        <w:t>Declara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w:t>
      </w:r>
      <w:r w:rsidR="0089298C" w:rsidRPr="002F50BD">
        <w:rPr>
          <w:rFonts w:ascii="Verdana" w:hAnsi="Verdana"/>
          <w:sz w:val="20"/>
          <w:szCs w:val="28"/>
          <w:lang w:val="pt-BR"/>
        </w:rPr>
        <w:t xml:space="preserve"> dos Direito</w:t>
      </w:r>
      <w:r w:rsidR="004756C1" w:rsidRPr="002F50BD">
        <w:rPr>
          <w:rFonts w:ascii="Verdana" w:hAnsi="Verdana"/>
          <w:sz w:val="20"/>
          <w:szCs w:val="28"/>
          <w:lang w:val="pt-BR"/>
        </w:rPr>
        <w:t>s</w:t>
      </w:r>
      <w:r w:rsidR="0089298C" w:rsidRPr="002F50BD">
        <w:rPr>
          <w:rFonts w:ascii="Verdana" w:hAnsi="Verdana"/>
          <w:sz w:val="20"/>
          <w:szCs w:val="28"/>
          <w:lang w:val="pt-BR"/>
        </w:rPr>
        <w:t xml:space="preserve"> e Dever</w:t>
      </w:r>
      <w:r w:rsidR="004756C1" w:rsidRPr="002F50BD">
        <w:rPr>
          <w:rFonts w:ascii="Verdana" w:hAnsi="Verdana"/>
          <w:sz w:val="20"/>
          <w:szCs w:val="28"/>
          <w:lang w:val="pt-BR"/>
        </w:rPr>
        <w:t xml:space="preserve">es </w:t>
      </w:r>
      <w:r w:rsidR="0089298C" w:rsidRPr="002F50BD">
        <w:rPr>
          <w:rFonts w:ascii="Verdana" w:hAnsi="Verdana"/>
          <w:sz w:val="20"/>
          <w:szCs w:val="28"/>
          <w:lang w:val="pt-BR"/>
        </w:rPr>
        <w:t xml:space="preserve">do Homem em seu artigo </w:t>
      </w:r>
      <w:r w:rsidR="004756C1" w:rsidRPr="002F50BD">
        <w:rPr>
          <w:rFonts w:ascii="Verdana" w:hAnsi="Verdana"/>
          <w:sz w:val="20"/>
          <w:szCs w:val="28"/>
          <w:lang w:val="pt-BR"/>
        </w:rPr>
        <w:t xml:space="preserve">XIII </w:t>
      </w:r>
      <w:r w:rsidR="0089298C" w:rsidRPr="002F50BD">
        <w:rPr>
          <w:rFonts w:ascii="Verdana" w:hAnsi="Verdana"/>
          <w:sz w:val="20"/>
          <w:szCs w:val="28"/>
          <w:lang w:val="pt-BR"/>
        </w:rPr>
        <w:t>dispõe</w:t>
      </w:r>
      <w:r w:rsidR="004756C1" w:rsidRPr="002F50BD">
        <w:rPr>
          <w:rFonts w:ascii="Verdana" w:hAnsi="Verdana"/>
          <w:sz w:val="20"/>
          <w:szCs w:val="28"/>
          <w:lang w:val="pt-BR"/>
        </w:rPr>
        <w:t xml:space="preserve"> 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Verdana" w:hAnsi="Verdana"/>
          <w:sz w:val="20"/>
          <w:szCs w:val="28"/>
          <w:lang w:val="pt-BR"/>
        </w:rPr>
      </w:pPr>
    </w:p>
    <w:p w:rsidR="001F21AC" w:rsidRPr="002F50BD" w:rsidRDefault="004756C1" w:rsidP="001F2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18"/>
        <w:jc w:val="both"/>
        <w:rPr>
          <w:rFonts w:ascii="Verdana" w:hAnsi="Verdana"/>
          <w:sz w:val="16"/>
          <w:szCs w:val="28"/>
          <w:lang w:val="pt-BR"/>
        </w:rPr>
      </w:pPr>
      <w:r w:rsidRPr="002F50BD">
        <w:rPr>
          <w:rFonts w:ascii="Verdana" w:hAnsi="Verdana"/>
          <w:sz w:val="16"/>
          <w:szCs w:val="28"/>
          <w:lang w:val="pt-BR"/>
        </w:rPr>
        <w:t xml:space="preserve">[t]oda </w:t>
      </w:r>
      <w:r w:rsidR="001F21AC" w:rsidRPr="002F50BD">
        <w:rPr>
          <w:rFonts w:ascii="Verdana" w:hAnsi="Verdana"/>
          <w:sz w:val="16"/>
          <w:szCs w:val="28"/>
          <w:lang w:val="pt-BR"/>
        </w:rPr>
        <w:t xml:space="preserve">pessoa tem o direito de tomar parte na vida cultural da coletividade, de gozar das artes e de desfrutar dos benefícios resultantes do progresso intelectual e, especialmente, das descobertas científicas. </w:t>
      </w:r>
    </w:p>
    <w:p w:rsidR="00754117" w:rsidRPr="002F50BD" w:rsidRDefault="00754117" w:rsidP="001F2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18"/>
        <w:jc w:val="both"/>
        <w:rPr>
          <w:rFonts w:ascii="Verdana" w:hAnsi="Verdana"/>
          <w:sz w:val="16"/>
          <w:szCs w:val="28"/>
          <w:lang w:val="pt-BR"/>
        </w:rPr>
      </w:pPr>
    </w:p>
    <w:p w:rsidR="004756C1" w:rsidRPr="002F50BD" w:rsidRDefault="001F21AC" w:rsidP="001F2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918"/>
        <w:jc w:val="both"/>
        <w:rPr>
          <w:rFonts w:ascii="Verdana" w:hAnsi="Verdana"/>
          <w:sz w:val="16"/>
          <w:szCs w:val="28"/>
          <w:lang w:val="pt-BR"/>
        </w:rPr>
      </w:pPr>
      <w:r w:rsidRPr="002F50BD">
        <w:rPr>
          <w:rFonts w:ascii="Verdana" w:hAnsi="Verdana"/>
          <w:sz w:val="16"/>
          <w:szCs w:val="28"/>
          <w:lang w:val="pt-BR"/>
        </w:rPr>
        <w:t>Tem o direito, outrossim, de ser protegida em seus interesses morais e materiais no que se refere às invenções, obras literárias, científicas ou artísticas de sua autoria.</w:t>
      </w:r>
      <w:r w:rsidR="004756C1" w:rsidRPr="002F50BD">
        <w:rPr>
          <w:rFonts w:ascii="Verdana" w:hAnsi="Verdana"/>
          <w:sz w:val="16"/>
          <w:szCs w:val="28"/>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23</w:t>
      </w:r>
      <w:r w:rsidR="004756C1" w:rsidRPr="002F50BD">
        <w:rPr>
          <w:rFonts w:ascii="Verdana" w:hAnsi="Verdana"/>
          <w:sz w:val="20"/>
          <w:szCs w:val="28"/>
          <w:lang w:val="pt-BR"/>
        </w:rPr>
        <w:t>.</w:t>
      </w:r>
      <w:r w:rsidR="004756C1" w:rsidRPr="002F50BD">
        <w:rPr>
          <w:rFonts w:ascii="Verdana" w:hAnsi="Verdana"/>
          <w:sz w:val="20"/>
          <w:szCs w:val="28"/>
          <w:lang w:val="pt-BR"/>
        </w:rPr>
        <w:tab/>
      </w:r>
      <w:r w:rsidR="0089298C" w:rsidRPr="002F50BD">
        <w:rPr>
          <w:rFonts w:ascii="Verdana" w:hAnsi="Verdana"/>
          <w:sz w:val="20"/>
          <w:szCs w:val="28"/>
          <w:lang w:val="pt-BR"/>
        </w:rPr>
        <w:t>No Artigo</w:t>
      </w:r>
      <w:r w:rsidR="004756C1" w:rsidRPr="002F50BD">
        <w:rPr>
          <w:rFonts w:ascii="Verdana" w:hAnsi="Verdana"/>
          <w:sz w:val="20"/>
          <w:szCs w:val="28"/>
          <w:lang w:val="pt-BR"/>
        </w:rPr>
        <w:t xml:space="preserve"> </w:t>
      </w:r>
      <w:r w:rsidRPr="002F50BD">
        <w:rPr>
          <w:rFonts w:ascii="Verdana" w:hAnsi="Verdana"/>
          <w:sz w:val="20"/>
          <w:szCs w:val="28"/>
          <w:lang w:val="pt-BR"/>
        </w:rPr>
        <w:t>14</w:t>
      </w:r>
      <w:r w:rsidR="004756C1" w:rsidRPr="002F50BD">
        <w:rPr>
          <w:rFonts w:ascii="Verdana" w:hAnsi="Verdana"/>
          <w:sz w:val="20"/>
          <w:szCs w:val="28"/>
          <w:lang w:val="pt-BR"/>
        </w:rPr>
        <w:t xml:space="preserve"> </w:t>
      </w:r>
      <w:r w:rsidR="0089298C" w:rsidRPr="002F50BD">
        <w:rPr>
          <w:rFonts w:ascii="Verdana" w:hAnsi="Verdana"/>
          <w:sz w:val="20"/>
          <w:szCs w:val="28"/>
          <w:lang w:val="pt-BR"/>
        </w:rPr>
        <w:t xml:space="preserve">do </w:t>
      </w:r>
      <w:r w:rsidR="004756C1" w:rsidRPr="002F50BD">
        <w:rPr>
          <w:rFonts w:ascii="Verdana" w:hAnsi="Verdana"/>
          <w:sz w:val="20"/>
          <w:szCs w:val="28"/>
          <w:lang w:val="pt-BR"/>
        </w:rPr>
        <w:t>Protocolo Adicional</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 sobre </w:t>
      </w:r>
      <w:r w:rsidR="0089298C" w:rsidRPr="002F50BD">
        <w:rPr>
          <w:rFonts w:ascii="Verdana" w:hAnsi="Verdana"/>
          <w:sz w:val="20"/>
          <w:szCs w:val="28"/>
          <w:lang w:val="pt-BR"/>
        </w:rPr>
        <w:t>Direito</w:t>
      </w:r>
      <w:r w:rsidR="004756C1" w:rsidRPr="002F50BD">
        <w:rPr>
          <w:rFonts w:ascii="Verdana" w:hAnsi="Verdana"/>
          <w:sz w:val="20"/>
          <w:szCs w:val="28"/>
          <w:lang w:val="pt-BR"/>
        </w:rPr>
        <w:t>s Humanos</w:t>
      </w:r>
      <w:r w:rsidR="0089298C" w:rsidRPr="002F50BD">
        <w:rPr>
          <w:rFonts w:ascii="Verdana" w:hAnsi="Verdana"/>
          <w:sz w:val="20"/>
          <w:szCs w:val="28"/>
          <w:lang w:val="pt-BR"/>
        </w:rPr>
        <w:t xml:space="preserve"> em matéria </w:t>
      </w:r>
      <w:r w:rsidR="004756C1" w:rsidRPr="002F50BD">
        <w:rPr>
          <w:rFonts w:ascii="Verdana" w:hAnsi="Verdana"/>
          <w:sz w:val="20"/>
          <w:szCs w:val="28"/>
          <w:lang w:val="pt-BR"/>
        </w:rPr>
        <w:t xml:space="preserve">de </w:t>
      </w:r>
      <w:r w:rsidR="0089298C" w:rsidRPr="002F50BD">
        <w:rPr>
          <w:rFonts w:ascii="Verdana" w:hAnsi="Verdana"/>
          <w:sz w:val="20"/>
          <w:szCs w:val="28"/>
          <w:lang w:val="pt-BR"/>
        </w:rPr>
        <w:t>Direito</w:t>
      </w:r>
      <w:r w:rsidR="004756C1" w:rsidRPr="002F50BD">
        <w:rPr>
          <w:rFonts w:ascii="Verdana" w:hAnsi="Verdana"/>
          <w:sz w:val="20"/>
          <w:szCs w:val="28"/>
          <w:lang w:val="pt-BR"/>
        </w:rPr>
        <w:t xml:space="preserve">s </w:t>
      </w:r>
      <w:r w:rsidR="0089298C" w:rsidRPr="002F50BD">
        <w:rPr>
          <w:rFonts w:ascii="Verdana" w:hAnsi="Verdana"/>
          <w:sz w:val="20"/>
          <w:szCs w:val="28"/>
          <w:lang w:val="pt-BR"/>
        </w:rPr>
        <w:t>Econômic</w:t>
      </w:r>
      <w:r w:rsidR="004756C1" w:rsidRPr="002F50BD">
        <w:rPr>
          <w:rFonts w:ascii="Verdana" w:hAnsi="Verdana"/>
          <w:sz w:val="20"/>
          <w:szCs w:val="28"/>
          <w:lang w:val="pt-BR"/>
        </w:rPr>
        <w:t xml:space="preserve">os, </w:t>
      </w:r>
      <w:r w:rsidR="0089298C" w:rsidRPr="002F50BD">
        <w:rPr>
          <w:rFonts w:ascii="Verdana" w:hAnsi="Verdana"/>
          <w:sz w:val="20"/>
          <w:szCs w:val="28"/>
          <w:lang w:val="pt-BR"/>
        </w:rPr>
        <w:t>Sociais e Culturais</w:t>
      </w:r>
      <w:r w:rsidR="004756C1" w:rsidRPr="002F50BD">
        <w:rPr>
          <w:rFonts w:ascii="Verdana" w:hAnsi="Verdana"/>
          <w:sz w:val="20"/>
          <w:szCs w:val="28"/>
          <w:lang w:val="pt-BR"/>
        </w:rPr>
        <w:t>, "Protocolo de San Salvador", se consagra que:</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szCs w:val="28"/>
          <w:lang w:val="pt-BR"/>
        </w:rPr>
      </w:pPr>
    </w:p>
    <w:p w:rsidR="001F21AC" w:rsidRPr="002F50BD" w:rsidRDefault="00063B47"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1</w:t>
      </w:r>
      <w:r w:rsidR="001F21AC" w:rsidRPr="002F50BD">
        <w:rPr>
          <w:rFonts w:ascii="Verdana" w:hAnsi="Verdana"/>
          <w:sz w:val="16"/>
          <w:szCs w:val="28"/>
          <w:lang w:val="pt-BR"/>
        </w:rPr>
        <w:t>.</w:t>
      </w:r>
      <w:r w:rsidR="001F21AC" w:rsidRPr="002F50BD">
        <w:rPr>
          <w:rFonts w:ascii="Verdana" w:hAnsi="Verdana"/>
          <w:sz w:val="16"/>
          <w:szCs w:val="28"/>
          <w:lang w:val="pt-BR"/>
        </w:rPr>
        <w:tab/>
        <w:t>Os Estados Partes neste Protocolo reconhecem o direito de toda pessoa a:</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a. Participar na vida cultural e artística da comunidade;</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b. Gozar dos benefícios do progresso científico e tecnológico;</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c. Beneficiar</w:t>
      </w:r>
      <w:r w:rsidR="000871A4" w:rsidRPr="002F50BD">
        <w:rPr>
          <w:rFonts w:ascii="Verdana" w:hAnsi="Verdana"/>
          <w:sz w:val="16"/>
          <w:szCs w:val="28"/>
          <w:lang w:val="pt-BR"/>
        </w:rPr>
        <w:t>-</w:t>
      </w:r>
      <w:r w:rsidRPr="002F50BD">
        <w:rPr>
          <w:rFonts w:ascii="Verdana" w:hAnsi="Verdana"/>
          <w:sz w:val="16"/>
          <w:szCs w:val="28"/>
          <w:lang w:val="pt-BR"/>
        </w:rPr>
        <w:t>se da proteção dos interesses morais e materiais que lhe caibam em virtude das produções científicas, literárias ou artísticas de que for autora.</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p>
    <w:p w:rsidR="001F21AC" w:rsidRPr="002F50BD" w:rsidRDefault="00063B47"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2</w:t>
      </w:r>
      <w:r w:rsidR="001F21AC" w:rsidRPr="002F50BD">
        <w:rPr>
          <w:rFonts w:ascii="Verdana" w:hAnsi="Verdana"/>
          <w:sz w:val="16"/>
          <w:szCs w:val="28"/>
          <w:lang w:val="pt-BR"/>
        </w:rPr>
        <w:t>.</w:t>
      </w:r>
      <w:r w:rsidR="001F21AC" w:rsidRPr="002F50BD">
        <w:rPr>
          <w:rFonts w:ascii="Verdana" w:hAnsi="Verdana"/>
          <w:sz w:val="16"/>
          <w:szCs w:val="28"/>
          <w:lang w:val="pt-BR"/>
        </w:rPr>
        <w:tab/>
        <w:t>Entre as medidas que os Estados Partes neste Protocolo deverão adotar para assegurar o pleno exercício deste direito, figurarão as necessárias para a conservação, desenvolvimento e divulgação da ciência, da cultura e da arte.</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p>
    <w:p w:rsidR="001F21AC" w:rsidRPr="002F50BD" w:rsidRDefault="00063B47"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3</w:t>
      </w:r>
      <w:r w:rsidR="001F21AC" w:rsidRPr="002F50BD">
        <w:rPr>
          <w:rFonts w:ascii="Verdana" w:hAnsi="Verdana"/>
          <w:sz w:val="16"/>
          <w:szCs w:val="28"/>
          <w:lang w:val="pt-BR"/>
        </w:rPr>
        <w:t>.</w:t>
      </w:r>
      <w:r w:rsidR="001F21AC" w:rsidRPr="002F50BD">
        <w:rPr>
          <w:rFonts w:ascii="Verdana" w:hAnsi="Verdana"/>
          <w:sz w:val="16"/>
          <w:szCs w:val="28"/>
          <w:lang w:val="pt-BR"/>
        </w:rPr>
        <w:tab/>
        <w:t>Os Estados Partes neste Protocolo comprometem</w:t>
      </w:r>
      <w:r w:rsidR="000871A4" w:rsidRPr="002F50BD">
        <w:rPr>
          <w:rFonts w:ascii="Verdana" w:hAnsi="Verdana"/>
          <w:sz w:val="16"/>
          <w:szCs w:val="28"/>
          <w:lang w:val="pt-BR"/>
        </w:rPr>
        <w:t>-</w:t>
      </w:r>
      <w:r w:rsidR="001F21AC" w:rsidRPr="002F50BD">
        <w:rPr>
          <w:rFonts w:ascii="Verdana" w:hAnsi="Verdana"/>
          <w:sz w:val="16"/>
          <w:szCs w:val="28"/>
          <w:lang w:val="pt-BR"/>
        </w:rPr>
        <w:t>se a respeitar a liberdade indispensável para a pesquisa científica e a atividade criadora.</w:t>
      </w:r>
    </w:p>
    <w:p w:rsidR="001F21AC" w:rsidRPr="002F50BD" w:rsidRDefault="001F21AC"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p>
    <w:p w:rsidR="004756C1" w:rsidRPr="002F50BD" w:rsidRDefault="00063B47" w:rsidP="001F21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985"/>
        <w:jc w:val="both"/>
        <w:rPr>
          <w:rFonts w:ascii="Verdana" w:hAnsi="Verdana"/>
          <w:sz w:val="16"/>
          <w:szCs w:val="28"/>
          <w:lang w:val="pt-BR"/>
        </w:rPr>
      </w:pPr>
      <w:r w:rsidRPr="002F50BD">
        <w:rPr>
          <w:rFonts w:ascii="Verdana" w:hAnsi="Verdana"/>
          <w:sz w:val="16"/>
          <w:szCs w:val="28"/>
          <w:lang w:val="pt-BR"/>
        </w:rPr>
        <w:t>4</w:t>
      </w:r>
      <w:r w:rsidR="001F21AC" w:rsidRPr="002F50BD">
        <w:rPr>
          <w:rFonts w:ascii="Verdana" w:hAnsi="Verdana"/>
          <w:sz w:val="16"/>
          <w:szCs w:val="28"/>
          <w:lang w:val="pt-BR"/>
        </w:rPr>
        <w:t>.</w:t>
      </w:r>
      <w:r w:rsidR="001F21AC" w:rsidRPr="002F50BD">
        <w:rPr>
          <w:rFonts w:ascii="Verdana" w:hAnsi="Verdana"/>
          <w:sz w:val="16"/>
          <w:szCs w:val="28"/>
          <w:lang w:val="pt-BR"/>
        </w:rPr>
        <w:tab/>
        <w:t>Os Estados Partes neste Protocolo reconhecem os benefícios que decorrem da promoção e desenvolvimento da cooperação e das relações internacionais em assuntos científicos, artísticos e culturais e, nesse sentido, comprometem</w:t>
      </w:r>
      <w:r w:rsidR="000871A4" w:rsidRPr="002F50BD">
        <w:rPr>
          <w:rFonts w:ascii="Verdana" w:hAnsi="Verdana"/>
          <w:sz w:val="16"/>
          <w:szCs w:val="28"/>
          <w:lang w:val="pt-BR"/>
        </w:rPr>
        <w:t>-</w:t>
      </w:r>
      <w:r w:rsidR="001F21AC" w:rsidRPr="002F50BD">
        <w:rPr>
          <w:rFonts w:ascii="Verdana" w:hAnsi="Verdana"/>
          <w:sz w:val="16"/>
          <w:szCs w:val="28"/>
          <w:lang w:val="pt-BR"/>
        </w:rPr>
        <w:t>se a propiciar maior cooperação internacional nesse campo.</w:t>
      </w:r>
    </w:p>
    <w:p w:rsidR="001F21AC" w:rsidRPr="002F50BD" w:rsidRDefault="001F21AC" w:rsidP="001F2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24</w:t>
      </w:r>
      <w:r w:rsidR="004756C1" w:rsidRPr="002F50BD">
        <w:rPr>
          <w:rFonts w:ascii="Verdana" w:hAnsi="Verdana"/>
          <w:sz w:val="20"/>
          <w:szCs w:val="28"/>
          <w:lang w:val="pt-BR"/>
        </w:rPr>
        <w:t>.</w:t>
      </w:r>
      <w:r w:rsidR="004756C1" w:rsidRPr="002F50BD">
        <w:rPr>
          <w:rFonts w:ascii="Verdana" w:hAnsi="Verdana"/>
          <w:sz w:val="20"/>
          <w:szCs w:val="28"/>
          <w:lang w:val="pt-BR"/>
        </w:rPr>
        <w:tab/>
      </w:r>
      <w:r w:rsidR="001F21AC" w:rsidRPr="002F50BD">
        <w:rPr>
          <w:rFonts w:ascii="Verdana" w:hAnsi="Verdana"/>
          <w:sz w:val="20"/>
          <w:szCs w:val="28"/>
          <w:lang w:val="pt-BR"/>
        </w:rPr>
        <w:t xml:space="preserve">No que se refere </w:t>
      </w:r>
      <w:r w:rsidR="0089298C" w:rsidRPr="002F50BD">
        <w:rPr>
          <w:rFonts w:ascii="Verdana" w:hAnsi="Verdana"/>
          <w:sz w:val="20"/>
          <w:szCs w:val="28"/>
          <w:lang w:val="pt-BR"/>
        </w:rPr>
        <w:t xml:space="preserve">à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w:t>
      </w:r>
      <w:r w:rsidR="0089298C" w:rsidRPr="002F50BD">
        <w:rPr>
          <w:rFonts w:ascii="Verdana" w:hAnsi="Verdana"/>
          <w:sz w:val="20"/>
          <w:szCs w:val="28"/>
          <w:lang w:val="pt-BR"/>
        </w:rPr>
        <w:t xml:space="preserve"> o direito à identidade </w:t>
      </w:r>
      <w:r w:rsidR="004756C1" w:rsidRPr="002F50BD">
        <w:rPr>
          <w:rFonts w:ascii="Verdana" w:hAnsi="Verdana"/>
          <w:sz w:val="20"/>
          <w:szCs w:val="28"/>
          <w:lang w:val="pt-BR"/>
        </w:rPr>
        <w:t>cultural,</w:t>
      </w:r>
      <w:r w:rsidR="0089298C" w:rsidRPr="002F50BD">
        <w:rPr>
          <w:rFonts w:ascii="Verdana" w:hAnsi="Verdana"/>
          <w:sz w:val="20"/>
          <w:szCs w:val="28"/>
          <w:lang w:val="pt-BR"/>
        </w:rPr>
        <w:t xml:space="preserve"> </w:t>
      </w:r>
      <w:r w:rsidR="001F21AC" w:rsidRPr="002F50BD">
        <w:rPr>
          <w:rFonts w:ascii="Verdana" w:hAnsi="Verdana"/>
          <w:sz w:val="20"/>
          <w:szCs w:val="28"/>
          <w:lang w:val="pt-BR"/>
        </w:rPr>
        <w:t xml:space="preserve">apesar de não se encontrar expressamente </w:t>
      </w:r>
      <w:r w:rsidR="0089298C" w:rsidRPr="002F50BD">
        <w:rPr>
          <w:rFonts w:ascii="Verdana" w:hAnsi="Verdana"/>
          <w:sz w:val="20"/>
          <w:szCs w:val="28"/>
          <w:lang w:val="pt-BR"/>
        </w:rPr>
        <w:t>estabelecid</w:t>
      </w:r>
      <w:r w:rsidR="004756C1" w:rsidRPr="002F50BD">
        <w:rPr>
          <w:rFonts w:ascii="Verdana" w:hAnsi="Verdana"/>
          <w:sz w:val="20"/>
          <w:szCs w:val="28"/>
          <w:lang w:val="pt-BR"/>
        </w:rPr>
        <w:t xml:space="preserve">o, se </w:t>
      </w:r>
      <w:r w:rsidR="0089298C" w:rsidRPr="002F50BD">
        <w:rPr>
          <w:rFonts w:ascii="Verdana" w:hAnsi="Verdana"/>
          <w:sz w:val="20"/>
          <w:szCs w:val="28"/>
          <w:lang w:val="pt-BR"/>
        </w:rPr>
        <w:t xml:space="preserve">encontra </w:t>
      </w:r>
      <w:r w:rsidR="004756C1" w:rsidRPr="002F50BD">
        <w:rPr>
          <w:rFonts w:ascii="Verdana" w:hAnsi="Verdana"/>
          <w:sz w:val="20"/>
          <w:szCs w:val="28"/>
          <w:lang w:val="pt-BR"/>
        </w:rPr>
        <w:t>protegido</w:t>
      </w:r>
      <w:r w:rsidR="0089298C" w:rsidRPr="002F50BD">
        <w:rPr>
          <w:rFonts w:ascii="Verdana" w:hAnsi="Verdana"/>
          <w:sz w:val="20"/>
          <w:szCs w:val="28"/>
          <w:lang w:val="pt-BR"/>
        </w:rPr>
        <w:t xml:space="preserve"> no </w:t>
      </w:r>
      <w:r w:rsidR="004756C1" w:rsidRPr="002F50BD">
        <w:rPr>
          <w:rFonts w:ascii="Verdana" w:hAnsi="Verdana"/>
          <w:sz w:val="20"/>
          <w:szCs w:val="28"/>
          <w:lang w:val="pt-BR"/>
        </w:rPr>
        <w:t>tratado a partir de</w:t>
      </w:r>
      <w:r w:rsidR="0089298C" w:rsidRPr="002F50BD">
        <w:rPr>
          <w:rFonts w:ascii="Verdana" w:hAnsi="Verdana"/>
          <w:sz w:val="20"/>
          <w:szCs w:val="28"/>
          <w:lang w:val="pt-BR"/>
        </w:rPr>
        <w:t xml:space="preserve"> uma </w:t>
      </w:r>
      <w:r w:rsidR="004756C1" w:rsidRPr="002F50BD">
        <w:rPr>
          <w:rFonts w:ascii="Verdana" w:hAnsi="Verdana"/>
          <w:sz w:val="20"/>
          <w:szCs w:val="28"/>
          <w:lang w:val="pt-BR"/>
        </w:rPr>
        <w:t>interpreta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evolutiva </w:t>
      </w:r>
      <w:r w:rsidR="0089298C" w:rsidRPr="002F50BD">
        <w:rPr>
          <w:rFonts w:ascii="Verdana" w:hAnsi="Verdana"/>
          <w:sz w:val="20"/>
          <w:szCs w:val="28"/>
          <w:lang w:val="pt-BR"/>
        </w:rPr>
        <w:t>do conteúdo dos direito</w:t>
      </w:r>
      <w:r w:rsidR="004756C1" w:rsidRPr="002F50BD">
        <w:rPr>
          <w:rFonts w:ascii="Verdana" w:hAnsi="Verdana"/>
          <w:sz w:val="20"/>
          <w:szCs w:val="28"/>
          <w:lang w:val="pt-BR"/>
        </w:rPr>
        <w:t>s consagrados</w:t>
      </w:r>
      <w:r w:rsidR="0089298C" w:rsidRPr="002F50BD">
        <w:rPr>
          <w:rFonts w:ascii="Verdana" w:hAnsi="Verdana"/>
          <w:sz w:val="20"/>
          <w:szCs w:val="28"/>
          <w:lang w:val="pt-BR"/>
        </w:rPr>
        <w:t xml:space="preserve"> nos artigo</w:t>
      </w:r>
      <w:r w:rsidR="004756C1" w:rsidRPr="002F50BD">
        <w:rPr>
          <w:rFonts w:ascii="Verdana" w:hAnsi="Verdana"/>
          <w:sz w:val="20"/>
          <w:szCs w:val="28"/>
          <w:lang w:val="pt-BR"/>
        </w:rPr>
        <w:t xml:space="preserve">s </w:t>
      </w:r>
      <w:r w:rsidRPr="002F50BD">
        <w:rPr>
          <w:rFonts w:ascii="Verdana" w:hAnsi="Verdana"/>
          <w:sz w:val="20"/>
          <w:szCs w:val="28"/>
          <w:lang w:val="pt-BR"/>
        </w:rPr>
        <w:t>1</w:t>
      </w:r>
      <w:r w:rsidR="004756C1" w:rsidRPr="002F50BD">
        <w:rPr>
          <w:rFonts w:ascii="Verdana" w:hAnsi="Verdana"/>
          <w:sz w:val="20"/>
          <w:szCs w:val="28"/>
          <w:lang w:val="pt-BR"/>
        </w:rPr>
        <w:t>.</w:t>
      </w:r>
      <w:r w:rsidRPr="002F50BD">
        <w:rPr>
          <w:rFonts w:ascii="Verdana" w:hAnsi="Verdana"/>
          <w:sz w:val="20"/>
          <w:szCs w:val="28"/>
          <w:lang w:val="pt-BR"/>
        </w:rPr>
        <w:t>1</w:t>
      </w:r>
      <w:r w:rsidR="004756C1" w:rsidRPr="002F50BD">
        <w:rPr>
          <w:rFonts w:ascii="Verdana" w:hAnsi="Verdana"/>
          <w:sz w:val="20"/>
          <w:szCs w:val="28"/>
          <w:lang w:val="pt-BR"/>
        </w:rPr>
        <w:t xml:space="preserve">, </w:t>
      </w:r>
      <w:r w:rsidRPr="002F50BD">
        <w:rPr>
          <w:rFonts w:ascii="Verdana" w:hAnsi="Verdana"/>
          <w:sz w:val="20"/>
          <w:szCs w:val="28"/>
          <w:lang w:val="pt-BR"/>
        </w:rPr>
        <w:t>5</w:t>
      </w:r>
      <w:r w:rsidR="004756C1" w:rsidRPr="002F50BD">
        <w:rPr>
          <w:rFonts w:ascii="Verdana" w:hAnsi="Verdana"/>
          <w:sz w:val="20"/>
          <w:szCs w:val="28"/>
          <w:lang w:val="pt-BR"/>
        </w:rPr>
        <w:t xml:space="preserve">, </w:t>
      </w:r>
      <w:r w:rsidRPr="002F50BD">
        <w:rPr>
          <w:rFonts w:ascii="Verdana" w:hAnsi="Verdana"/>
          <w:sz w:val="20"/>
          <w:szCs w:val="28"/>
          <w:lang w:val="pt-BR"/>
        </w:rPr>
        <w:t>11</w:t>
      </w:r>
      <w:r w:rsidR="004756C1" w:rsidRPr="002F50BD">
        <w:rPr>
          <w:rFonts w:ascii="Verdana" w:hAnsi="Verdana"/>
          <w:sz w:val="20"/>
          <w:szCs w:val="28"/>
          <w:lang w:val="pt-BR"/>
        </w:rPr>
        <w:t xml:space="preserve">, </w:t>
      </w:r>
      <w:r w:rsidRPr="002F50BD">
        <w:rPr>
          <w:rFonts w:ascii="Verdana" w:hAnsi="Verdana"/>
          <w:sz w:val="20"/>
          <w:szCs w:val="28"/>
          <w:lang w:val="pt-BR"/>
        </w:rPr>
        <w:t>12</w:t>
      </w:r>
      <w:r w:rsidR="004756C1" w:rsidRPr="002F50BD">
        <w:rPr>
          <w:rFonts w:ascii="Verdana" w:hAnsi="Verdana"/>
          <w:sz w:val="20"/>
          <w:szCs w:val="28"/>
          <w:lang w:val="pt-BR"/>
        </w:rPr>
        <w:t xml:space="preserve">, </w:t>
      </w:r>
      <w:r w:rsidRPr="002F50BD">
        <w:rPr>
          <w:rFonts w:ascii="Verdana" w:hAnsi="Verdana"/>
          <w:sz w:val="20"/>
          <w:szCs w:val="28"/>
          <w:lang w:val="pt-BR"/>
        </w:rPr>
        <w:t>13</w:t>
      </w:r>
      <w:r w:rsidR="004756C1" w:rsidRPr="002F50BD">
        <w:rPr>
          <w:rFonts w:ascii="Verdana" w:hAnsi="Verdana"/>
          <w:sz w:val="20"/>
          <w:szCs w:val="28"/>
          <w:lang w:val="pt-BR"/>
        </w:rPr>
        <w:t xml:space="preserve">, </w:t>
      </w:r>
      <w:r w:rsidRPr="002F50BD">
        <w:rPr>
          <w:rFonts w:ascii="Verdana" w:hAnsi="Verdana"/>
          <w:sz w:val="20"/>
          <w:szCs w:val="28"/>
          <w:lang w:val="pt-BR"/>
        </w:rPr>
        <w:t>15</w:t>
      </w:r>
      <w:r w:rsidR="004756C1" w:rsidRPr="002F50BD">
        <w:rPr>
          <w:rFonts w:ascii="Verdana" w:hAnsi="Verdana"/>
          <w:sz w:val="20"/>
          <w:szCs w:val="28"/>
          <w:lang w:val="pt-BR"/>
        </w:rPr>
        <w:t xml:space="preserve">, </w:t>
      </w:r>
      <w:r w:rsidRPr="002F50BD">
        <w:rPr>
          <w:rFonts w:ascii="Verdana" w:hAnsi="Verdana"/>
          <w:sz w:val="20"/>
          <w:szCs w:val="28"/>
          <w:lang w:val="pt-BR"/>
        </w:rPr>
        <w:t>16</w:t>
      </w:r>
      <w:r w:rsidR="004756C1" w:rsidRPr="002F50BD">
        <w:rPr>
          <w:rFonts w:ascii="Verdana" w:hAnsi="Verdana"/>
          <w:sz w:val="20"/>
          <w:szCs w:val="28"/>
          <w:lang w:val="pt-BR"/>
        </w:rPr>
        <w:t xml:space="preserve">, </w:t>
      </w:r>
      <w:r w:rsidRPr="002F50BD">
        <w:rPr>
          <w:rFonts w:ascii="Verdana" w:hAnsi="Verdana"/>
          <w:sz w:val="20"/>
          <w:szCs w:val="28"/>
          <w:lang w:val="pt-BR"/>
        </w:rPr>
        <w:t>17</w:t>
      </w:r>
      <w:r w:rsidR="004756C1" w:rsidRPr="002F50BD">
        <w:rPr>
          <w:rFonts w:ascii="Verdana" w:hAnsi="Verdana"/>
          <w:sz w:val="20"/>
          <w:szCs w:val="28"/>
          <w:lang w:val="pt-BR"/>
        </w:rPr>
        <w:t xml:space="preserve">, </w:t>
      </w:r>
      <w:r w:rsidRPr="002F50BD">
        <w:rPr>
          <w:rFonts w:ascii="Verdana" w:hAnsi="Verdana"/>
          <w:sz w:val="20"/>
          <w:szCs w:val="28"/>
          <w:lang w:val="pt-BR"/>
        </w:rPr>
        <w:t>18</w:t>
      </w:r>
      <w:r w:rsidR="004756C1" w:rsidRPr="002F50BD">
        <w:rPr>
          <w:rFonts w:ascii="Verdana" w:hAnsi="Verdana"/>
          <w:sz w:val="20"/>
          <w:szCs w:val="28"/>
          <w:lang w:val="pt-BR"/>
        </w:rPr>
        <w:t xml:space="preserve">, </w:t>
      </w:r>
      <w:r w:rsidRPr="002F50BD">
        <w:rPr>
          <w:rFonts w:ascii="Verdana" w:hAnsi="Verdana"/>
          <w:sz w:val="20"/>
          <w:szCs w:val="28"/>
          <w:lang w:val="pt-BR"/>
        </w:rPr>
        <w:t>21</w:t>
      </w:r>
      <w:r w:rsidR="004756C1" w:rsidRPr="002F50BD">
        <w:rPr>
          <w:rFonts w:ascii="Verdana" w:hAnsi="Verdana"/>
          <w:sz w:val="20"/>
          <w:szCs w:val="28"/>
          <w:lang w:val="pt-BR"/>
        </w:rPr>
        <w:t xml:space="preserve">, </w:t>
      </w:r>
      <w:r w:rsidRPr="002F50BD">
        <w:rPr>
          <w:rFonts w:ascii="Verdana" w:hAnsi="Verdana"/>
          <w:sz w:val="20"/>
          <w:szCs w:val="28"/>
          <w:lang w:val="pt-BR"/>
        </w:rPr>
        <w:t>23</w:t>
      </w:r>
      <w:r w:rsidR="0089298C" w:rsidRPr="002F50BD">
        <w:rPr>
          <w:rFonts w:ascii="Verdana" w:hAnsi="Verdana"/>
          <w:sz w:val="20"/>
          <w:szCs w:val="28"/>
          <w:lang w:val="pt-BR"/>
        </w:rPr>
        <w:t xml:space="preserve"> e </w:t>
      </w:r>
      <w:r w:rsidRPr="002F50BD">
        <w:rPr>
          <w:rFonts w:ascii="Verdana" w:hAnsi="Verdana"/>
          <w:sz w:val="20"/>
          <w:szCs w:val="28"/>
          <w:lang w:val="pt-BR"/>
        </w:rPr>
        <w:t>24</w:t>
      </w:r>
      <w:r w:rsidR="004756C1" w:rsidRPr="002F50BD">
        <w:rPr>
          <w:rFonts w:ascii="Verdana" w:hAnsi="Verdana"/>
          <w:sz w:val="20"/>
          <w:szCs w:val="28"/>
          <w:lang w:val="pt-BR"/>
        </w:rPr>
        <w:t xml:space="preserve"> </w:t>
      </w:r>
      <w:r w:rsidR="0089298C" w:rsidRPr="002F50BD">
        <w:rPr>
          <w:rFonts w:ascii="Verdana" w:hAnsi="Verdana"/>
          <w:sz w:val="20"/>
          <w:szCs w:val="28"/>
          <w:lang w:val="pt-BR"/>
        </w:rPr>
        <w:t>do mesm</w:t>
      </w:r>
      <w:r w:rsidR="004756C1" w:rsidRPr="002F50BD">
        <w:rPr>
          <w:rFonts w:ascii="Verdana" w:hAnsi="Verdana"/>
          <w:sz w:val="20"/>
          <w:szCs w:val="28"/>
          <w:lang w:val="pt-BR"/>
        </w:rPr>
        <w:t xml:space="preserve">o, </w:t>
      </w:r>
      <w:r w:rsidR="00AB454A" w:rsidRPr="002F50BD">
        <w:rPr>
          <w:rFonts w:ascii="Verdana" w:hAnsi="Verdana"/>
          <w:sz w:val="20"/>
          <w:szCs w:val="28"/>
          <w:lang w:val="pt-BR"/>
        </w:rPr>
        <w:t>dependendo</w:t>
      </w:r>
      <w:r w:rsidR="0089298C" w:rsidRPr="002F50BD">
        <w:rPr>
          <w:rFonts w:ascii="Verdana" w:hAnsi="Verdana"/>
          <w:sz w:val="20"/>
          <w:szCs w:val="28"/>
          <w:lang w:val="pt-BR"/>
        </w:rPr>
        <w:t xml:space="preserve"> dos fatos</w:t>
      </w:r>
      <w:r w:rsidR="004756C1" w:rsidRPr="002F50BD">
        <w:rPr>
          <w:rFonts w:ascii="Verdana" w:hAnsi="Verdana"/>
          <w:sz w:val="20"/>
          <w:szCs w:val="28"/>
          <w:lang w:val="pt-BR"/>
        </w:rPr>
        <w:t xml:space="preserve"> </w:t>
      </w:r>
      <w:r w:rsidR="0089298C" w:rsidRPr="002F50BD">
        <w:rPr>
          <w:rFonts w:ascii="Verdana" w:hAnsi="Verdana"/>
          <w:sz w:val="20"/>
          <w:szCs w:val="28"/>
          <w:lang w:val="pt-BR"/>
        </w:rPr>
        <w:t xml:space="preserve">do </w:t>
      </w:r>
      <w:r w:rsidR="004756C1" w:rsidRPr="002F50BD">
        <w:rPr>
          <w:rFonts w:ascii="Verdana" w:hAnsi="Verdana"/>
          <w:sz w:val="20"/>
          <w:szCs w:val="28"/>
          <w:lang w:val="pt-BR"/>
        </w:rPr>
        <w:t>caso concreto</w:t>
      </w:r>
      <w:r w:rsidR="00AB454A" w:rsidRPr="002F50BD">
        <w:rPr>
          <w:rFonts w:ascii="Verdana" w:hAnsi="Verdana"/>
          <w:sz w:val="20"/>
          <w:szCs w:val="28"/>
          <w:lang w:val="pt-BR"/>
        </w:rPr>
        <w:t xml:space="preserve">. Isto é, </w:t>
      </w:r>
      <w:r w:rsidR="004756C1" w:rsidRPr="002F50BD">
        <w:rPr>
          <w:rFonts w:ascii="Verdana" w:hAnsi="Verdana"/>
          <w:sz w:val="20"/>
          <w:szCs w:val="28"/>
          <w:lang w:val="pt-BR"/>
        </w:rPr>
        <w:t>n</w:t>
      </w:r>
      <w:r w:rsidR="001F21AC" w:rsidRPr="002F50BD">
        <w:rPr>
          <w:rFonts w:ascii="Verdana" w:hAnsi="Verdana"/>
          <w:sz w:val="20"/>
          <w:szCs w:val="28"/>
          <w:lang w:val="pt-BR"/>
        </w:rPr>
        <w:t>em</w:t>
      </w:r>
      <w:r w:rsidR="004756C1" w:rsidRPr="002F50BD">
        <w:rPr>
          <w:rFonts w:ascii="Verdana" w:hAnsi="Verdana"/>
          <w:sz w:val="20"/>
          <w:szCs w:val="28"/>
          <w:lang w:val="pt-BR"/>
        </w:rPr>
        <w:t xml:space="preserve"> </w:t>
      </w:r>
      <w:r w:rsidR="0089298C" w:rsidRPr="002F50BD">
        <w:rPr>
          <w:rFonts w:ascii="Verdana" w:hAnsi="Verdana"/>
          <w:sz w:val="20"/>
          <w:szCs w:val="28"/>
          <w:lang w:val="pt-BR"/>
        </w:rPr>
        <w:t>sempre</w:t>
      </w:r>
      <w:r w:rsidR="004756C1" w:rsidRPr="002F50BD">
        <w:rPr>
          <w:rFonts w:ascii="Verdana" w:hAnsi="Verdana"/>
          <w:sz w:val="20"/>
          <w:szCs w:val="28"/>
          <w:lang w:val="pt-BR"/>
        </w:rPr>
        <w:t xml:space="preserve"> que se vulner</w:t>
      </w:r>
      <w:r w:rsidR="000B1A1B" w:rsidRPr="002F50BD">
        <w:rPr>
          <w:rFonts w:ascii="Verdana" w:hAnsi="Verdana"/>
          <w:sz w:val="20"/>
          <w:szCs w:val="28"/>
          <w:lang w:val="pt-BR"/>
        </w:rPr>
        <w:t>a</w:t>
      </w:r>
      <w:r w:rsidR="004756C1" w:rsidRPr="002F50BD">
        <w:rPr>
          <w:rFonts w:ascii="Verdana" w:hAnsi="Verdana"/>
          <w:sz w:val="20"/>
          <w:szCs w:val="28"/>
          <w:lang w:val="pt-BR"/>
        </w:rPr>
        <w:t xml:space="preserve"> u</w:t>
      </w:r>
      <w:r w:rsidR="001F21AC" w:rsidRPr="002F50BD">
        <w:rPr>
          <w:rFonts w:ascii="Verdana" w:hAnsi="Verdana"/>
          <w:sz w:val="20"/>
          <w:szCs w:val="28"/>
          <w:lang w:val="pt-BR"/>
        </w:rPr>
        <w:t>m</w:t>
      </w:r>
      <w:r w:rsidR="004756C1" w:rsidRPr="002F50BD">
        <w:rPr>
          <w:rFonts w:ascii="Verdana" w:hAnsi="Verdana"/>
          <w:sz w:val="20"/>
          <w:szCs w:val="28"/>
          <w:lang w:val="pt-BR"/>
        </w:rPr>
        <w:t xml:space="preserve"> </w:t>
      </w:r>
      <w:r w:rsidR="0089298C" w:rsidRPr="002F50BD">
        <w:rPr>
          <w:rFonts w:ascii="Verdana" w:hAnsi="Verdana"/>
          <w:sz w:val="20"/>
          <w:szCs w:val="28"/>
          <w:lang w:val="pt-BR"/>
        </w:rPr>
        <w:t>deste</w:t>
      </w:r>
      <w:r w:rsidR="004756C1" w:rsidRPr="002F50BD">
        <w:rPr>
          <w:rFonts w:ascii="Verdana" w:hAnsi="Verdana"/>
          <w:sz w:val="20"/>
          <w:szCs w:val="28"/>
          <w:lang w:val="pt-BR"/>
        </w:rPr>
        <w:t xml:space="preserve">s </w:t>
      </w:r>
      <w:r w:rsidR="0089298C" w:rsidRPr="002F50BD">
        <w:rPr>
          <w:rFonts w:ascii="Verdana" w:hAnsi="Verdana"/>
          <w:sz w:val="20"/>
          <w:szCs w:val="28"/>
          <w:lang w:val="pt-BR"/>
        </w:rPr>
        <w:t>artigo</w:t>
      </w:r>
      <w:r w:rsidR="004756C1" w:rsidRPr="002F50BD">
        <w:rPr>
          <w:rFonts w:ascii="Verdana" w:hAnsi="Verdana"/>
          <w:sz w:val="20"/>
          <w:szCs w:val="28"/>
          <w:lang w:val="pt-BR"/>
        </w:rPr>
        <w:t xml:space="preserve">s se </w:t>
      </w:r>
      <w:r w:rsidR="004076AD" w:rsidRPr="002F50BD">
        <w:rPr>
          <w:rFonts w:ascii="Verdana" w:hAnsi="Verdana"/>
          <w:sz w:val="20"/>
          <w:szCs w:val="28"/>
          <w:lang w:val="pt-BR"/>
        </w:rPr>
        <w:t xml:space="preserve">estaria </w:t>
      </w:r>
      <w:r w:rsidR="0089298C" w:rsidRPr="002F50BD">
        <w:rPr>
          <w:rFonts w:ascii="Verdana" w:hAnsi="Verdana"/>
          <w:sz w:val="20"/>
          <w:szCs w:val="28"/>
          <w:lang w:val="pt-BR"/>
        </w:rPr>
        <w:t>afeta</w:t>
      </w:r>
      <w:r w:rsidR="004756C1" w:rsidRPr="002F50BD">
        <w:rPr>
          <w:rFonts w:ascii="Verdana" w:hAnsi="Verdana"/>
          <w:sz w:val="20"/>
          <w:szCs w:val="28"/>
          <w:lang w:val="pt-BR"/>
        </w:rPr>
        <w:t>ndo</w:t>
      </w:r>
      <w:r w:rsidR="0089298C" w:rsidRPr="002F50BD">
        <w:rPr>
          <w:rFonts w:ascii="Verdana" w:hAnsi="Verdana"/>
          <w:sz w:val="20"/>
          <w:szCs w:val="28"/>
          <w:lang w:val="pt-BR"/>
        </w:rPr>
        <w:t xml:space="preserve"> o direito à identidade </w:t>
      </w:r>
      <w:r w:rsidR="004756C1" w:rsidRPr="002F50BD">
        <w:rPr>
          <w:rFonts w:ascii="Verdana" w:hAnsi="Verdana"/>
          <w:sz w:val="20"/>
          <w:szCs w:val="28"/>
          <w:lang w:val="pt-BR"/>
        </w:rPr>
        <w:t>cultural.</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25</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5</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 à Integridade Pessoa</w:t>
      </w:r>
      <w:r w:rsidR="004756C1" w:rsidRPr="002F50BD">
        <w:rPr>
          <w:rFonts w:ascii="Verdana" w:hAnsi="Verdana"/>
          <w:sz w:val="20"/>
          <w:szCs w:val="28"/>
          <w:lang w:val="pt-BR"/>
        </w:rPr>
        <w:t>l</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w:t>
      </w:r>
      <w:r w:rsidR="0089298C" w:rsidRPr="002F50BD">
        <w:rPr>
          <w:rFonts w:ascii="Verdana" w:hAnsi="Verdana"/>
          <w:sz w:val="20"/>
          <w:szCs w:val="28"/>
          <w:lang w:val="pt-BR"/>
        </w:rPr>
        <w:t xml:space="preserve"> em </w:t>
      </w:r>
      <w:r w:rsidR="004756C1" w:rsidRPr="002F50BD">
        <w:rPr>
          <w:rFonts w:ascii="Verdana" w:hAnsi="Verdana"/>
          <w:sz w:val="20"/>
          <w:szCs w:val="28"/>
          <w:lang w:val="pt-BR"/>
        </w:rPr>
        <w:t>conjun</w:t>
      </w:r>
      <w:r w:rsidR="0089298C" w:rsidRPr="002F50BD">
        <w:rPr>
          <w:rFonts w:ascii="Verdana" w:hAnsi="Verdana"/>
          <w:sz w:val="20"/>
          <w:szCs w:val="28"/>
          <w:lang w:val="pt-BR"/>
        </w:rPr>
        <w:t>ção com o artigo</w:t>
      </w:r>
      <w:r w:rsidR="004756C1" w:rsidRPr="002F50BD">
        <w:rPr>
          <w:rFonts w:ascii="Verdana" w:hAnsi="Verdana"/>
          <w:sz w:val="20"/>
          <w:szCs w:val="28"/>
          <w:lang w:val="pt-BR"/>
        </w:rPr>
        <w:t xml:space="preserve"> </w:t>
      </w:r>
      <w:r w:rsidRPr="002F50BD">
        <w:rPr>
          <w:rFonts w:ascii="Verdana" w:hAnsi="Verdana"/>
          <w:sz w:val="20"/>
          <w:szCs w:val="28"/>
          <w:lang w:val="pt-BR"/>
        </w:rPr>
        <w:t>10</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 à Saúde</w:t>
      </w:r>
      <w:r w:rsidR="00CF451D" w:rsidRPr="00CF451D">
        <w:rPr>
          <w:rFonts w:ascii="Verdana" w:hAnsi="Verdana"/>
          <w:sz w:val="20"/>
          <w:szCs w:val="28"/>
          <w:lang w:val="pt-BR"/>
        </w:rPr>
        <w:t>)</w:t>
      </w:r>
      <w:r w:rsidR="004756C1" w:rsidRPr="002F50BD">
        <w:rPr>
          <w:rFonts w:ascii="Verdana" w:hAnsi="Verdana"/>
          <w:sz w:val="20"/>
          <w:szCs w:val="28"/>
          <w:lang w:val="pt-BR"/>
        </w:rPr>
        <w:t xml:space="preserve"> </w:t>
      </w:r>
      <w:r w:rsidR="0089298C" w:rsidRPr="002F50BD">
        <w:rPr>
          <w:rFonts w:ascii="Verdana" w:hAnsi="Verdana"/>
          <w:sz w:val="20"/>
          <w:szCs w:val="28"/>
          <w:lang w:val="pt-BR"/>
        </w:rPr>
        <w:t xml:space="preserve">do </w:t>
      </w:r>
      <w:r w:rsidR="004756C1" w:rsidRPr="002F50BD">
        <w:rPr>
          <w:rFonts w:ascii="Verdana" w:hAnsi="Verdana"/>
          <w:sz w:val="20"/>
          <w:szCs w:val="28"/>
          <w:lang w:val="pt-BR"/>
        </w:rPr>
        <w:t xml:space="preserve">Protocolo de San </w:t>
      </w:r>
      <w:r w:rsidR="004756C1" w:rsidRPr="002F50BD">
        <w:rPr>
          <w:rFonts w:ascii="Verdana" w:hAnsi="Verdana"/>
          <w:sz w:val="20"/>
          <w:szCs w:val="28"/>
          <w:lang w:val="pt-BR"/>
        </w:rPr>
        <w:lastRenderedPageBreak/>
        <w:t>Salvador</w:t>
      </w:r>
      <w:r w:rsidR="000B1A1B" w:rsidRPr="002F50BD">
        <w:rPr>
          <w:rFonts w:ascii="Verdana" w:hAnsi="Verdana"/>
          <w:sz w:val="20"/>
          <w:szCs w:val="28"/>
          <w:lang w:val="pt-BR"/>
        </w:rPr>
        <w:t>,</w:t>
      </w:r>
      <w:r w:rsidR="004756C1" w:rsidRPr="002F50BD">
        <w:rPr>
          <w:rFonts w:ascii="Verdana" w:hAnsi="Verdana"/>
          <w:sz w:val="20"/>
          <w:szCs w:val="28"/>
          <w:lang w:val="pt-BR"/>
        </w:rPr>
        <w:t xml:space="preserve"> compre</w:t>
      </w:r>
      <w:r w:rsidR="001F21AC"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1F21AC" w:rsidRPr="002F50BD">
        <w:rPr>
          <w:rFonts w:ascii="Verdana" w:hAnsi="Verdana"/>
          <w:sz w:val="20"/>
          <w:szCs w:val="28"/>
          <w:lang w:val="pt-BR"/>
        </w:rPr>
        <w:t xml:space="preserve">e </w:t>
      </w:r>
      <w:r w:rsidR="0089298C" w:rsidRPr="002F50BD">
        <w:rPr>
          <w:rFonts w:ascii="Verdana" w:hAnsi="Verdana"/>
          <w:sz w:val="20"/>
          <w:szCs w:val="28"/>
          <w:lang w:val="pt-BR"/>
        </w:rPr>
        <w:t>o direito dos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w:t>
      </w:r>
      <w:r w:rsidR="001F21AC" w:rsidRPr="002F50BD">
        <w:rPr>
          <w:rFonts w:ascii="Verdana" w:hAnsi="Verdana"/>
          <w:sz w:val="20"/>
          <w:szCs w:val="28"/>
          <w:lang w:val="pt-BR"/>
        </w:rPr>
        <w:t>a</w:t>
      </w:r>
      <w:r w:rsidR="004756C1" w:rsidRPr="002F50BD">
        <w:rPr>
          <w:rFonts w:ascii="Verdana" w:hAnsi="Verdana"/>
          <w:sz w:val="20"/>
          <w:szCs w:val="28"/>
          <w:lang w:val="pt-BR"/>
        </w:rPr>
        <w:t xml:space="preserve"> utilizar</w:t>
      </w:r>
      <w:r w:rsidR="001F21AC" w:rsidRPr="002F50BD">
        <w:rPr>
          <w:rFonts w:ascii="Verdana" w:hAnsi="Verdana"/>
          <w:sz w:val="20"/>
          <w:szCs w:val="28"/>
          <w:lang w:val="pt-BR"/>
        </w:rPr>
        <w:t>em</w:t>
      </w:r>
      <w:r w:rsidR="004756C1" w:rsidRPr="002F50BD">
        <w:rPr>
          <w:rFonts w:ascii="Verdana" w:hAnsi="Verdana"/>
          <w:sz w:val="20"/>
          <w:szCs w:val="28"/>
          <w:lang w:val="pt-BR"/>
        </w:rPr>
        <w:t xml:space="preserve"> </w:t>
      </w:r>
      <w:r w:rsidR="00E350FB" w:rsidRPr="002F50BD">
        <w:rPr>
          <w:rFonts w:ascii="Verdana" w:hAnsi="Verdana"/>
          <w:sz w:val="20"/>
          <w:szCs w:val="28"/>
          <w:lang w:val="pt-BR"/>
        </w:rPr>
        <w:t>s</w:t>
      </w:r>
      <w:r w:rsidR="001F21AC" w:rsidRPr="002F50BD">
        <w:rPr>
          <w:rFonts w:ascii="Verdana" w:hAnsi="Verdana"/>
          <w:sz w:val="20"/>
          <w:szCs w:val="28"/>
          <w:lang w:val="pt-BR"/>
        </w:rPr>
        <w:t>eu</w:t>
      </w:r>
      <w:r w:rsidR="00E350FB" w:rsidRPr="002F50BD">
        <w:rPr>
          <w:rFonts w:ascii="Verdana" w:hAnsi="Verdana"/>
          <w:sz w:val="20"/>
          <w:szCs w:val="28"/>
          <w:lang w:val="pt-BR"/>
        </w:rPr>
        <w:t>s própri</w:t>
      </w:r>
      <w:r w:rsidR="001F21AC" w:rsidRPr="002F50BD">
        <w:rPr>
          <w:rFonts w:ascii="Verdana" w:hAnsi="Verdana"/>
          <w:sz w:val="20"/>
          <w:szCs w:val="28"/>
          <w:lang w:val="pt-BR"/>
        </w:rPr>
        <w:t>o</w:t>
      </w:r>
      <w:r w:rsidR="00E350FB" w:rsidRPr="002F50BD">
        <w:rPr>
          <w:rFonts w:ascii="Verdana" w:hAnsi="Verdana"/>
          <w:sz w:val="20"/>
          <w:szCs w:val="28"/>
          <w:lang w:val="pt-BR"/>
        </w:rPr>
        <w:t>s</w:t>
      </w:r>
      <w:r w:rsidR="004756C1" w:rsidRPr="002F50BD">
        <w:rPr>
          <w:rFonts w:ascii="Verdana" w:hAnsi="Verdana"/>
          <w:sz w:val="20"/>
          <w:szCs w:val="28"/>
          <w:lang w:val="pt-BR"/>
        </w:rPr>
        <w:t xml:space="preserve"> </w:t>
      </w:r>
      <w:r w:rsidR="001F21AC" w:rsidRPr="002F50BD">
        <w:rPr>
          <w:rFonts w:ascii="Verdana" w:hAnsi="Verdana"/>
          <w:sz w:val="20"/>
          <w:szCs w:val="28"/>
          <w:lang w:val="pt-BR"/>
        </w:rPr>
        <w:t>medicamentos</w:t>
      </w:r>
      <w:r w:rsidR="0089298C" w:rsidRPr="002F50BD">
        <w:rPr>
          <w:rFonts w:ascii="Verdana" w:hAnsi="Verdana"/>
          <w:sz w:val="20"/>
          <w:szCs w:val="28"/>
          <w:lang w:val="pt-BR"/>
        </w:rPr>
        <w:t xml:space="preserve"> e prática</w:t>
      </w:r>
      <w:r w:rsidR="004756C1" w:rsidRPr="002F50BD">
        <w:rPr>
          <w:rFonts w:ascii="Verdana" w:hAnsi="Verdana"/>
          <w:sz w:val="20"/>
          <w:szCs w:val="28"/>
          <w:lang w:val="pt-BR"/>
        </w:rPr>
        <w:t xml:space="preserve">s de </w:t>
      </w:r>
      <w:r w:rsidR="0089298C" w:rsidRPr="002F50BD">
        <w:rPr>
          <w:rFonts w:ascii="Verdana" w:hAnsi="Verdana"/>
          <w:sz w:val="20"/>
          <w:szCs w:val="28"/>
          <w:lang w:val="pt-BR"/>
        </w:rPr>
        <w:t>saúde</w:t>
      </w:r>
      <w:r w:rsidR="004756C1" w:rsidRPr="002F50BD">
        <w:rPr>
          <w:rFonts w:ascii="Verdana" w:hAnsi="Verdana"/>
          <w:sz w:val="20"/>
          <w:szCs w:val="28"/>
          <w:lang w:val="pt-BR"/>
        </w:rPr>
        <w:t xml:space="preserve"> tr</w:t>
      </w:r>
      <w:r w:rsidR="0089298C" w:rsidRPr="002F50BD">
        <w:rPr>
          <w:rFonts w:ascii="Verdana" w:hAnsi="Verdana"/>
          <w:sz w:val="20"/>
          <w:szCs w:val="28"/>
          <w:lang w:val="pt-BR"/>
        </w:rPr>
        <w:t>adicionais</w:t>
      </w:r>
      <w:r w:rsidR="004756C1" w:rsidRPr="002F50BD">
        <w:rPr>
          <w:rFonts w:ascii="Verdana" w:hAnsi="Verdana"/>
          <w:sz w:val="20"/>
          <w:szCs w:val="28"/>
          <w:lang w:val="pt-BR"/>
        </w:rPr>
        <w:t xml:space="preserve">, </w:t>
      </w:r>
      <w:r w:rsidR="001F21AC" w:rsidRPr="002F50BD">
        <w:rPr>
          <w:rFonts w:ascii="Verdana" w:hAnsi="Verdana"/>
          <w:sz w:val="20"/>
          <w:szCs w:val="28"/>
          <w:lang w:val="pt-BR"/>
        </w:rPr>
        <w:t xml:space="preserve">bem </w:t>
      </w:r>
      <w:r w:rsidR="004756C1" w:rsidRPr="002F50BD">
        <w:rPr>
          <w:rFonts w:ascii="Verdana" w:hAnsi="Verdana"/>
          <w:sz w:val="20"/>
          <w:szCs w:val="28"/>
          <w:lang w:val="pt-BR"/>
        </w:rPr>
        <w:t>como</w:t>
      </w:r>
      <w:r w:rsidR="0089298C" w:rsidRPr="002F50BD">
        <w:rPr>
          <w:rFonts w:ascii="Verdana" w:hAnsi="Verdana"/>
          <w:sz w:val="20"/>
          <w:szCs w:val="28"/>
          <w:lang w:val="pt-BR"/>
        </w:rPr>
        <w:t xml:space="preserve"> o direito</w:t>
      </w:r>
      <w:r w:rsidR="004756C1" w:rsidRPr="002F50BD">
        <w:rPr>
          <w:rFonts w:ascii="Verdana" w:hAnsi="Verdana"/>
          <w:sz w:val="20"/>
          <w:szCs w:val="28"/>
          <w:lang w:val="pt-BR"/>
        </w:rPr>
        <w:t xml:space="preserve"> de </w:t>
      </w:r>
      <w:r w:rsidR="0089298C" w:rsidRPr="002F50BD">
        <w:rPr>
          <w:rFonts w:ascii="Verdana" w:hAnsi="Verdana"/>
          <w:sz w:val="20"/>
          <w:szCs w:val="28"/>
          <w:lang w:val="pt-BR"/>
        </w:rPr>
        <w:t>acesso às instituições</w:t>
      </w:r>
      <w:r w:rsidR="004756C1" w:rsidRPr="002F50BD">
        <w:rPr>
          <w:rFonts w:ascii="Verdana" w:hAnsi="Verdana"/>
          <w:sz w:val="20"/>
          <w:szCs w:val="28"/>
          <w:lang w:val="pt-BR"/>
        </w:rPr>
        <w:t xml:space="preserve"> de </w:t>
      </w:r>
      <w:r w:rsidR="001F21AC" w:rsidRPr="002F50BD">
        <w:rPr>
          <w:rFonts w:ascii="Verdana" w:hAnsi="Verdana"/>
          <w:sz w:val="20"/>
          <w:szCs w:val="28"/>
          <w:lang w:val="pt-BR"/>
        </w:rPr>
        <w:t xml:space="preserve">saúde </w:t>
      </w:r>
      <w:r w:rsidR="0089298C" w:rsidRPr="002F50BD">
        <w:rPr>
          <w:rFonts w:ascii="Verdana" w:hAnsi="Verdana"/>
          <w:sz w:val="20"/>
          <w:szCs w:val="28"/>
          <w:lang w:val="pt-BR"/>
        </w:rPr>
        <w:t>e atenção</w:t>
      </w:r>
      <w:r w:rsidR="004756C1" w:rsidRPr="002F50BD">
        <w:rPr>
          <w:rFonts w:ascii="Verdana" w:hAnsi="Verdana"/>
          <w:sz w:val="20"/>
          <w:szCs w:val="28"/>
          <w:lang w:val="pt-BR"/>
        </w:rPr>
        <w:t xml:space="preserve"> médica que se </w:t>
      </w:r>
      <w:r w:rsidR="001F21AC" w:rsidRPr="002F50BD">
        <w:rPr>
          <w:rFonts w:ascii="Verdana" w:hAnsi="Verdana"/>
          <w:sz w:val="20"/>
          <w:szCs w:val="28"/>
          <w:lang w:val="pt-BR"/>
        </w:rPr>
        <w:t xml:space="preserve">oferece </w:t>
      </w:r>
      <w:r w:rsidR="0089298C" w:rsidRPr="002F50BD">
        <w:rPr>
          <w:rFonts w:ascii="Verdana" w:hAnsi="Verdana"/>
          <w:sz w:val="20"/>
          <w:szCs w:val="28"/>
          <w:lang w:val="pt-BR"/>
        </w:rPr>
        <w:t xml:space="preserve">ao </w:t>
      </w:r>
      <w:r w:rsidR="004756C1" w:rsidRPr="002F50BD">
        <w:rPr>
          <w:rFonts w:ascii="Verdana" w:hAnsi="Verdana"/>
          <w:sz w:val="20"/>
          <w:szCs w:val="28"/>
          <w:lang w:val="pt-BR"/>
        </w:rPr>
        <w:t>resto</w:t>
      </w:r>
      <w:r w:rsidR="0089298C" w:rsidRPr="002F50BD">
        <w:rPr>
          <w:rFonts w:ascii="Verdana" w:hAnsi="Verdana"/>
          <w:sz w:val="20"/>
          <w:szCs w:val="28"/>
          <w:lang w:val="pt-BR"/>
        </w:rPr>
        <w:t xml:space="preserve"> da população </w:t>
      </w:r>
      <w:r w:rsidR="000B1A1B" w:rsidRPr="002F50BD">
        <w:rPr>
          <w:rFonts w:ascii="Verdana" w:hAnsi="Verdana"/>
          <w:sz w:val="20"/>
          <w:szCs w:val="28"/>
          <w:lang w:val="pt-BR"/>
        </w:rPr>
        <w:t>para</w:t>
      </w:r>
      <w:r w:rsidR="004756C1" w:rsidRPr="002F50BD">
        <w:rPr>
          <w:rFonts w:ascii="Verdana" w:hAnsi="Verdana"/>
          <w:sz w:val="20"/>
          <w:szCs w:val="28"/>
          <w:lang w:val="pt-BR"/>
        </w:rPr>
        <w:t xml:space="preserve"> conservar </w:t>
      </w:r>
      <w:r w:rsidR="0089298C" w:rsidRPr="002F50BD">
        <w:rPr>
          <w:rFonts w:ascii="Verdana" w:hAnsi="Verdana"/>
          <w:sz w:val="20"/>
          <w:szCs w:val="28"/>
          <w:lang w:val="pt-BR"/>
        </w:rPr>
        <w:t xml:space="preserve">sua integridade </w:t>
      </w:r>
      <w:r w:rsidR="004756C1" w:rsidRPr="002F50BD">
        <w:rPr>
          <w:rFonts w:ascii="Verdana" w:hAnsi="Verdana"/>
          <w:sz w:val="20"/>
          <w:szCs w:val="28"/>
          <w:lang w:val="pt-BR"/>
        </w:rPr>
        <w:t>física, psíquica</w:t>
      </w:r>
      <w:r w:rsidR="0089298C" w:rsidRPr="002F50BD">
        <w:rPr>
          <w:rFonts w:ascii="Verdana" w:hAnsi="Verdana"/>
          <w:sz w:val="20"/>
          <w:szCs w:val="28"/>
          <w:lang w:val="pt-BR"/>
        </w:rPr>
        <w:t xml:space="preserve"> e </w:t>
      </w:r>
      <w:r w:rsidR="004756C1" w:rsidRPr="002F50BD">
        <w:rPr>
          <w:rFonts w:ascii="Verdana" w:hAnsi="Verdana"/>
          <w:sz w:val="20"/>
          <w:szCs w:val="28"/>
          <w:lang w:val="pt-BR"/>
        </w:rPr>
        <w:t>moral.</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26</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11</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Proteção da </w:t>
      </w:r>
      <w:r w:rsidR="004756C1" w:rsidRPr="002F50BD">
        <w:rPr>
          <w:rFonts w:ascii="Verdana" w:hAnsi="Verdana"/>
          <w:sz w:val="20"/>
          <w:szCs w:val="28"/>
          <w:lang w:val="pt-BR"/>
        </w:rPr>
        <w:t>Honra</w:t>
      </w:r>
      <w:r w:rsidR="0089298C" w:rsidRPr="002F50BD">
        <w:rPr>
          <w:rFonts w:ascii="Verdana" w:hAnsi="Verdana"/>
          <w:sz w:val="20"/>
          <w:szCs w:val="28"/>
          <w:lang w:val="pt-BR"/>
        </w:rPr>
        <w:t xml:space="preserve"> e </w:t>
      </w:r>
      <w:r w:rsidR="004756C1" w:rsidRPr="002F50BD">
        <w:rPr>
          <w:rFonts w:ascii="Verdana" w:hAnsi="Verdana"/>
          <w:sz w:val="20"/>
          <w:szCs w:val="28"/>
          <w:lang w:val="pt-BR"/>
        </w:rPr>
        <w:t>Dignidad</w:t>
      </w:r>
      <w:r w:rsidR="001F21AC" w:rsidRPr="002F50BD">
        <w:rPr>
          <w:rFonts w:ascii="Verdana" w:hAnsi="Verdana"/>
          <w:sz w:val="20"/>
          <w:szCs w:val="28"/>
          <w:lang w:val="pt-BR"/>
        </w:rPr>
        <w:t>e</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compre</w:t>
      </w:r>
      <w:r w:rsidR="001F21AC"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1F21AC" w:rsidRPr="002F50BD">
        <w:rPr>
          <w:rFonts w:ascii="Verdana" w:hAnsi="Verdana"/>
          <w:sz w:val="20"/>
          <w:szCs w:val="28"/>
          <w:lang w:val="pt-BR"/>
        </w:rPr>
        <w:t xml:space="preserve">e </w:t>
      </w:r>
      <w:r w:rsidR="0089298C" w:rsidRPr="002F50BD">
        <w:rPr>
          <w:rFonts w:ascii="Verdana" w:hAnsi="Verdana"/>
          <w:sz w:val="20"/>
          <w:szCs w:val="28"/>
          <w:lang w:val="pt-BR"/>
        </w:rPr>
        <w:t>o direito dos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a n</w:t>
      </w:r>
      <w:r w:rsidR="001F21AC" w:rsidRPr="002F50BD">
        <w:rPr>
          <w:rFonts w:ascii="Verdana" w:hAnsi="Verdana"/>
          <w:sz w:val="20"/>
          <w:szCs w:val="28"/>
          <w:lang w:val="pt-BR"/>
        </w:rPr>
        <w:t>ã</w:t>
      </w:r>
      <w:r w:rsidR="004756C1" w:rsidRPr="002F50BD">
        <w:rPr>
          <w:rFonts w:ascii="Verdana" w:hAnsi="Verdana"/>
          <w:sz w:val="20"/>
          <w:szCs w:val="28"/>
          <w:lang w:val="pt-BR"/>
        </w:rPr>
        <w:t xml:space="preserve">o </w:t>
      </w:r>
      <w:r w:rsidR="0089298C" w:rsidRPr="002F50BD">
        <w:rPr>
          <w:rFonts w:ascii="Verdana" w:hAnsi="Verdana"/>
          <w:sz w:val="20"/>
          <w:szCs w:val="28"/>
          <w:lang w:val="pt-BR"/>
        </w:rPr>
        <w:t>sofrer</w:t>
      </w:r>
      <w:r w:rsidR="004756C1" w:rsidRPr="002F50BD">
        <w:rPr>
          <w:rFonts w:ascii="Verdana" w:hAnsi="Verdana"/>
          <w:sz w:val="20"/>
          <w:szCs w:val="28"/>
          <w:lang w:val="pt-BR"/>
        </w:rPr>
        <w:t xml:space="preserve"> </w:t>
      </w:r>
      <w:r w:rsidR="004076AD" w:rsidRPr="002F50BD">
        <w:rPr>
          <w:rFonts w:ascii="Verdana" w:hAnsi="Verdana"/>
          <w:sz w:val="20"/>
          <w:szCs w:val="28"/>
          <w:lang w:val="pt-BR"/>
        </w:rPr>
        <w:t>ingerência</w:t>
      </w:r>
      <w:r w:rsidR="004756C1" w:rsidRPr="002F50BD">
        <w:rPr>
          <w:rFonts w:ascii="Verdana" w:hAnsi="Verdana"/>
          <w:sz w:val="20"/>
          <w:szCs w:val="28"/>
          <w:lang w:val="pt-BR"/>
        </w:rPr>
        <w:t xml:space="preserve">s </w:t>
      </w:r>
      <w:r w:rsidR="0089298C" w:rsidRPr="002F50BD">
        <w:rPr>
          <w:rFonts w:ascii="Verdana" w:hAnsi="Verdana"/>
          <w:sz w:val="20"/>
          <w:szCs w:val="28"/>
          <w:lang w:val="pt-BR"/>
        </w:rPr>
        <w:t>arbitrária</w:t>
      </w:r>
      <w:r w:rsidR="004756C1" w:rsidRPr="002F50BD">
        <w:rPr>
          <w:rFonts w:ascii="Verdana" w:hAnsi="Verdana"/>
          <w:sz w:val="20"/>
          <w:szCs w:val="28"/>
          <w:lang w:val="pt-BR"/>
        </w:rPr>
        <w:t>s o</w:t>
      </w:r>
      <w:r w:rsidR="001F21AC" w:rsidRPr="002F50BD">
        <w:rPr>
          <w:rFonts w:ascii="Verdana" w:hAnsi="Verdana"/>
          <w:sz w:val="20"/>
          <w:szCs w:val="28"/>
          <w:lang w:val="pt-BR"/>
        </w:rPr>
        <w:t>u</w:t>
      </w:r>
      <w:r w:rsidR="004756C1" w:rsidRPr="002F50BD">
        <w:rPr>
          <w:rFonts w:ascii="Verdana" w:hAnsi="Verdana"/>
          <w:sz w:val="20"/>
          <w:szCs w:val="28"/>
          <w:lang w:val="pt-BR"/>
        </w:rPr>
        <w:t xml:space="preserve"> abusivas</w:t>
      </w:r>
      <w:r w:rsidR="0089298C" w:rsidRPr="002F50BD">
        <w:rPr>
          <w:rFonts w:ascii="Verdana" w:hAnsi="Verdana"/>
          <w:sz w:val="20"/>
          <w:szCs w:val="28"/>
          <w:lang w:val="pt-BR"/>
        </w:rPr>
        <w:t xml:space="preserve"> em sua vida</w:t>
      </w:r>
      <w:r w:rsidR="004756C1" w:rsidRPr="002F50BD">
        <w:rPr>
          <w:rFonts w:ascii="Verdana" w:hAnsi="Verdana"/>
          <w:sz w:val="20"/>
          <w:szCs w:val="28"/>
          <w:lang w:val="pt-BR"/>
        </w:rPr>
        <w:t xml:space="preserve"> privada, </w:t>
      </w:r>
      <w:r w:rsidR="00646293" w:rsidRPr="002F50BD">
        <w:rPr>
          <w:rFonts w:ascii="Verdana" w:hAnsi="Verdana"/>
          <w:sz w:val="20"/>
          <w:szCs w:val="28"/>
          <w:lang w:val="pt-BR"/>
        </w:rPr>
        <w:t>familiar</w:t>
      </w:r>
      <w:r w:rsidR="0089298C" w:rsidRPr="002F50BD">
        <w:rPr>
          <w:rFonts w:ascii="Verdana" w:hAnsi="Verdana"/>
          <w:sz w:val="20"/>
          <w:szCs w:val="28"/>
          <w:lang w:val="pt-BR"/>
        </w:rPr>
        <w:t xml:space="preserve"> e </w:t>
      </w:r>
      <w:r w:rsidR="004756C1" w:rsidRPr="002F50BD">
        <w:rPr>
          <w:rFonts w:ascii="Verdana" w:hAnsi="Verdana"/>
          <w:sz w:val="20"/>
          <w:szCs w:val="28"/>
          <w:lang w:val="pt-BR"/>
        </w:rPr>
        <w:t>comunal,</w:t>
      </w:r>
      <w:r w:rsidR="0089298C" w:rsidRPr="002F50BD">
        <w:rPr>
          <w:rFonts w:ascii="Verdana" w:hAnsi="Verdana"/>
          <w:sz w:val="20"/>
          <w:szCs w:val="28"/>
          <w:lang w:val="pt-BR"/>
        </w:rPr>
        <w:t xml:space="preserve"> o que </w:t>
      </w:r>
      <w:r w:rsidR="004756C1" w:rsidRPr="002F50BD">
        <w:rPr>
          <w:rFonts w:ascii="Verdana" w:hAnsi="Verdana"/>
          <w:sz w:val="20"/>
          <w:szCs w:val="28"/>
          <w:lang w:val="pt-BR"/>
        </w:rPr>
        <w:t>implica</w:t>
      </w:r>
      <w:r w:rsidR="0089298C" w:rsidRPr="002F50BD">
        <w:rPr>
          <w:rFonts w:ascii="Verdana" w:hAnsi="Verdana"/>
          <w:sz w:val="20"/>
          <w:szCs w:val="28"/>
          <w:lang w:val="pt-BR"/>
        </w:rPr>
        <w:t xml:space="preserve"> </w:t>
      </w:r>
      <w:r w:rsidR="00980154" w:rsidRPr="002F50BD">
        <w:rPr>
          <w:rFonts w:ascii="Verdana" w:hAnsi="Verdana"/>
          <w:sz w:val="20"/>
          <w:szCs w:val="28"/>
          <w:lang w:val="pt-BR"/>
        </w:rPr>
        <w:t>n</w:t>
      </w:r>
      <w:r w:rsidR="0089298C" w:rsidRPr="002F50BD">
        <w:rPr>
          <w:rFonts w:ascii="Verdana" w:hAnsi="Verdana"/>
          <w:sz w:val="20"/>
          <w:szCs w:val="28"/>
          <w:lang w:val="pt-BR"/>
        </w:rPr>
        <w:t xml:space="preserve">a </w:t>
      </w:r>
      <w:r w:rsidR="004756C1" w:rsidRPr="002F50BD">
        <w:rPr>
          <w:rFonts w:ascii="Verdana" w:hAnsi="Verdana"/>
          <w:sz w:val="20"/>
          <w:szCs w:val="28"/>
          <w:lang w:val="pt-BR"/>
        </w:rPr>
        <w:t>preserva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de </w:t>
      </w:r>
      <w:r w:rsidR="005A6BC7" w:rsidRPr="002F50BD">
        <w:rPr>
          <w:rFonts w:ascii="Verdana" w:hAnsi="Verdana"/>
          <w:sz w:val="20"/>
          <w:szCs w:val="28"/>
          <w:lang w:val="pt-BR"/>
        </w:rPr>
        <w:t>sua cultura</w:t>
      </w:r>
      <w:r w:rsidR="0089298C" w:rsidRPr="002F50BD">
        <w:rPr>
          <w:rFonts w:ascii="Verdana" w:hAnsi="Verdana"/>
          <w:sz w:val="20"/>
          <w:szCs w:val="28"/>
          <w:lang w:val="pt-BR"/>
        </w:rPr>
        <w:t xml:space="preserve"> e </w:t>
      </w:r>
      <w:r w:rsidR="00980154" w:rsidRPr="002F50BD">
        <w:rPr>
          <w:rFonts w:ascii="Verdana" w:hAnsi="Verdana"/>
          <w:sz w:val="20"/>
          <w:szCs w:val="28"/>
          <w:lang w:val="pt-BR"/>
        </w:rPr>
        <w:t>n</w:t>
      </w:r>
      <w:r w:rsidR="0089298C" w:rsidRPr="002F50BD">
        <w:rPr>
          <w:rFonts w:ascii="Verdana" w:hAnsi="Verdana"/>
          <w:sz w:val="20"/>
          <w:szCs w:val="28"/>
          <w:lang w:val="pt-BR"/>
        </w:rPr>
        <w:t xml:space="preserve">o respeito à integridade dos </w:t>
      </w:r>
      <w:r w:rsidR="004756C1" w:rsidRPr="002F50BD">
        <w:rPr>
          <w:rFonts w:ascii="Verdana" w:hAnsi="Verdana"/>
          <w:sz w:val="20"/>
          <w:szCs w:val="28"/>
          <w:lang w:val="pt-BR"/>
        </w:rPr>
        <w:t xml:space="preserve">valores, </w:t>
      </w:r>
      <w:r w:rsidR="0089298C" w:rsidRPr="002F50BD">
        <w:rPr>
          <w:rFonts w:ascii="Verdana" w:hAnsi="Verdana"/>
          <w:sz w:val="20"/>
          <w:szCs w:val="28"/>
          <w:lang w:val="pt-BR"/>
        </w:rPr>
        <w:t>prática</w:t>
      </w:r>
      <w:r w:rsidR="004756C1" w:rsidRPr="002F50BD">
        <w:rPr>
          <w:rFonts w:ascii="Verdana" w:hAnsi="Verdana"/>
          <w:sz w:val="20"/>
          <w:szCs w:val="28"/>
          <w:lang w:val="pt-BR"/>
        </w:rPr>
        <w:t xml:space="preserve">s e </w:t>
      </w:r>
      <w:r w:rsidR="0089298C" w:rsidRPr="002F50BD">
        <w:rPr>
          <w:rFonts w:ascii="Verdana" w:hAnsi="Verdana"/>
          <w:sz w:val="20"/>
          <w:szCs w:val="28"/>
          <w:lang w:val="pt-BR"/>
        </w:rPr>
        <w:t>instituições</w:t>
      </w:r>
      <w:r w:rsidR="004756C1" w:rsidRPr="002F50BD">
        <w:rPr>
          <w:rFonts w:ascii="Verdana" w:hAnsi="Verdana"/>
          <w:sz w:val="20"/>
          <w:szCs w:val="28"/>
          <w:lang w:val="pt-BR"/>
        </w:rPr>
        <w:t xml:space="preserve"> </w:t>
      </w:r>
      <w:r w:rsidR="0089298C" w:rsidRPr="002F50BD">
        <w:rPr>
          <w:rFonts w:ascii="Verdana" w:hAnsi="Verdana"/>
          <w:sz w:val="20"/>
          <w:szCs w:val="28"/>
          <w:lang w:val="pt-BR"/>
        </w:rPr>
        <w:t>destes povo</w:t>
      </w:r>
      <w:r w:rsidR="004756C1" w:rsidRPr="002F50BD">
        <w:rPr>
          <w:rFonts w:ascii="Verdana" w:hAnsi="Verdana"/>
          <w:sz w:val="20"/>
          <w:szCs w:val="28"/>
          <w:lang w:val="pt-BR"/>
        </w:rPr>
        <w:t xml:space="preserve">s.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27</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12</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Liberdade </w:t>
      </w:r>
      <w:r w:rsidR="004756C1" w:rsidRPr="002F50BD">
        <w:rPr>
          <w:rFonts w:ascii="Verdana" w:hAnsi="Verdana"/>
          <w:sz w:val="20"/>
          <w:szCs w:val="28"/>
          <w:lang w:val="pt-BR"/>
        </w:rPr>
        <w:t xml:space="preserve">de </w:t>
      </w:r>
      <w:r w:rsidR="0089298C" w:rsidRPr="002F50BD">
        <w:rPr>
          <w:rFonts w:ascii="Verdana" w:hAnsi="Verdana"/>
          <w:sz w:val="20"/>
          <w:szCs w:val="28"/>
          <w:lang w:val="pt-BR"/>
        </w:rPr>
        <w:t xml:space="preserve">Consciência e </w:t>
      </w:r>
      <w:r w:rsidR="004756C1" w:rsidRPr="002F50BD">
        <w:rPr>
          <w:rFonts w:ascii="Verdana" w:hAnsi="Verdana"/>
          <w:sz w:val="20"/>
          <w:szCs w:val="28"/>
          <w:lang w:val="pt-BR"/>
        </w:rPr>
        <w:t>Religi</w:t>
      </w:r>
      <w:r w:rsidR="001F21AC" w:rsidRPr="002F50BD">
        <w:rPr>
          <w:rFonts w:ascii="Verdana" w:hAnsi="Verdana"/>
          <w:sz w:val="20"/>
          <w:szCs w:val="28"/>
          <w:lang w:val="pt-BR"/>
        </w:rPr>
        <w:t>ão</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1F21AC" w:rsidRPr="002F50BD">
        <w:rPr>
          <w:rFonts w:ascii="Verdana" w:hAnsi="Verdana"/>
          <w:sz w:val="20"/>
          <w:szCs w:val="28"/>
          <w:lang w:val="pt-BR"/>
        </w:rPr>
        <w:t>se refere a</w:t>
      </w:r>
      <w:r w:rsidR="0089298C" w:rsidRPr="002F50BD">
        <w:rPr>
          <w:rFonts w:ascii="Verdana" w:hAnsi="Verdana"/>
          <w:sz w:val="20"/>
          <w:szCs w:val="28"/>
          <w:lang w:val="pt-BR"/>
        </w:rPr>
        <w:t>o direito dos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w:t>
      </w:r>
      <w:r w:rsidR="00980154" w:rsidRPr="002F50BD">
        <w:rPr>
          <w:rFonts w:ascii="Verdana" w:hAnsi="Verdana"/>
          <w:sz w:val="20"/>
          <w:szCs w:val="28"/>
          <w:lang w:val="pt-BR"/>
        </w:rPr>
        <w:t>s</w:t>
      </w:r>
      <w:r w:rsidR="0089298C" w:rsidRPr="002F50BD">
        <w:rPr>
          <w:rFonts w:ascii="Verdana" w:hAnsi="Verdana"/>
          <w:sz w:val="20"/>
          <w:szCs w:val="28"/>
          <w:lang w:val="pt-BR"/>
        </w:rPr>
        <w:t xml:space="preserve">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w:t>
      </w:r>
      <w:r w:rsidR="00980154" w:rsidRPr="002F50BD">
        <w:rPr>
          <w:rFonts w:ascii="Verdana" w:hAnsi="Verdana"/>
          <w:sz w:val="20"/>
          <w:szCs w:val="28"/>
          <w:lang w:val="pt-BR"/>
        </w:rPr>
        <w:t>de</w:t>
      </w:r>
      <w:r w:rsidR="004756C1" w:rsidRPr="002F50BD">
        <w:rPr>
          <w:rFonts w:ascii="Verdana" w:hAnsi="Verdana"/>
          <w:sz w:val="20"/>
          <w:szCs w:val="28"/>
          <w:lang w:val="pt-BR"/>
        </w:rPr>
        <w:t xml:space="preserve"> preservar, </w:t>
      </w:r>
      <w:r w:rsidR="0089298C" w:rsidRPr="002F50BD">
        <w:rPr>
          <w:rFonts w:ascii="Verdana" w:hAnsi="Verdana"/>
          <w:sz w:val="20"/>
          <w:szCs w:val="28"/>
          <w:lang w:val="pt-BR"/>
        </w:rPr>
        <w:t>expressa</w:t>
      </w:r>
      <w:r w:rsidR="004756C1" w:rsidRPr="002F50BD">
        <w:rPr>
          <w:rFonts w:ascii="Verdana" w:hAnsi="Verdana"/>
          <w:sz w:val="20"/>
          <w:szCs w:val="28"/>
          <w:lang w:val="pt-BR"/>
        </w:rPr>
        <w:t xml:space="preserve">r, divulgar, </w:t>
      </w:r>
      <w:r w:rsidR="0089298C" w:rsidRPr="002F50BD">
        <w:rPr>
          <w:rFonts w:ascii="Verdana" w:hAnsi="Verdana"/>
          <w:sz w:val="20"/>
          <w:szCs w:val="28"/>
          <w:lang w:val="pt-BR"/>
        </w:rPr>
        <w:t>desenvolver</w:t>
      </w:r>
      <w:r w:rsidR="004756C1" w:rsidRPr="002F50BD">
        <w:rPr>
          <w:rFonts w:ascii="Verdana" w:hAnsi="Verdana"/>
          <w:sz w:val="20"/>
          <w:szCs w:val="28"/>
          <w:lang w:val="pt-BR"/>
        </w:rPr>
        <w:t xml:space="preserve">, </w:t>
      </w:r>
      <w:r w:rsidR="001F21AC" w:rsidRPr="002F50BD">
        <w:rPr>
          <w:rFonts w:ascii="Verdana" w:hAnsi="Verdana"/>
          <w:sz w:val="20"/>
          <w:szCs w:val="28"/>
          <w:lang w:val="pt-BR"/>
        </w:rPr>
        <w:t xml:space="preserve">ensinar </w:t>
      </w:r>
      <w:r w:rsidR="0089298C" w:rsidRPr="002F50BD">
        <w:rPr>
          <w:rFonts w:ascii="Verdana" w:hAnsi="Verdana"/>
          <w:sz w:val="20"/>
          <w:szCs w:val="28"/>
          <w:lang w:val="pt-BR"/>
        </w:rPr>
        <w:t xml:space="preserve">e </w:t>
      </w:r>
      <w:r w:rsidR="001F21AC" w:rsidRPr="002F50BD">
        <w:rPr>
          <w:rFonts w:ascii="Verdana" w:hAnsi="Verdana"/>
          <w:sz w:val="20"/>
          <w:szCs w:val="28"/>
          <w:lang w:val="pt-BR"/>
        </w:rPr>
        <w:t xml:space="preserve">mudar suas </w:t>
      </w:r>
      <w:r w:rsidR="0089298C" w:rsidRPr="002F50BD">
        <w:rPr>
          <w:rFonts w:ascii="Verdana" w:hAnsi="Verdana"/>
          <w:sz w:val="20"/>
          <w:szCs w:val="28"/>
          <w:lang w:val="pt-BR"/>
        </w:rPr>
        <w:t>prática</w:t>
      </w:r>
      <w:r w:rsidR="004756C1" w:rsidRPr="002F50BD">
        <w:rPr>
          <w:rFonts w:ascii="Verdana" w:hAnsi="Verdana"/>
          <w:sz w:val="20"/>
          <w:szCs w:val="28"/>
          <w:lang w:val="pt-BR"/>
        </w:rPr>
        <w:t xml:space="preserve">s, </w:t>
      </w:r>
      <w:r w:rsidR="001F21AC" w:rsidRPr="002F50BD">
        <w:rPr>
          <w:rFonts w:ascii="Verdana" w:hAnsi="Verdana"/>
          <w:sz w:val="20"/>
          <w:szCs w:val="28"/>
          <w:lang w:val="pt-BR"/>
        </w:rPr>
        <w:t>cerimônias</w:t>
      </w:r>
      <w:r w:rsidR="004756C1" w:rsidRPr="002F50BD">
        <w:rPr>
          <w:rFonts w:ascii="Verdana" w:hAnsi="Verdana"/>
          <w:sz w:val="20"/>
          <w:szCs w:val="28"/>
          <w:lang w:val="pt-BR"/>
        </w:rPr>
        <w:t>, tradi</w:t>
      </w:r>
      <w:r w:rsidR="0089298C" w:rsidRPr="002F50BD">
        <w:rPr>
          <w:rFonts w:ascii="Verdana" w:hAnsi="Verdana"/>
          <w:sz w:val="20"/>
          <w:szCs w:val="28"/>
          <w:lang w:val="pt-BR"/>
        </w:rPr>
        <w:t>ções e costume</w:t>
      </w:r>
      <w:r w:rsidR="004756C1" w:rsidRPr="002F50BD">
        <w:rPr>
          <w:rFonts w:ascii="Verdana" w:hAnsi="Verdana"/>
          <w:sz w:val="20"/>
          <w:szCs w:val="28"/>
          <w:lang w:val="pt-BR"/>
        </w:rPr>
        <w:t xml:space="preserve">s </w:t>
      </w:r>
      <w:r w:rsidR="00AB454A" w:rsidRPr="002F50BD">
        <w:rPr>
          <w:rFonts w:ascii="Verdana" w:hAnsi="Verdana"/>
          <w:sz w:val="20"/>
          <w:szCs w:val="28"/>
          <w:lang w:val="pt-BR"/>
        </w:rPr>
        <w:t>espirituais</w:t>
      </w:r>
      <w:r w:rsidR="004756C1" w:rsidRPr="002F50BD">
        <w:rPr>
          <w:rFonts w:ascii="Verdana" w:hAnsi="Verdana"/>
          <w:sz w:val="20"/>
          <w:szCs w:val="28"/>
          <w:lang w:val="pt-BR"/>
        </w:rPr>
        <w:t>, tanto</w:t>
      </w:r>
      <w:r w:rsidR="0089298C" w:rsidRPr="002F50BD">
        <w:rPr>
          <w:rFonts w:ascii="Verdana" w:hAnsi="Verdana"/>
          <w:sz w:val="20"/>
          <w:szCs w:val="28"/>
          <w:lang w:val="pt-BR"/>
        </w:rPr>
        <w:t xml:space="preserve"> em </w:t>
      </w:r>
      <w:r w:rsidR="004756C1" w:rsidRPr="002F50BD">
        <w:rPr>
          <w:rFonts w:ascii="Verdana" w:hAnsi="Verdana"/>
          <w:sz w:val="20"/>
          <w:szCs w:val="28"/>
          <w:lang w:val="pt-BR"/>
        </w:rPr>
        <w:t>público como</w:t>
      </w:r>
      <w:r w:rsidR="0089298C" w:rsidRPr="002F50BD">
        <w:rPr>
          <w:rFonts w:ascii="Verdana" w:hAnsi="Verdana"/>
          <w:sz w:val="20"/>
          <w:szCs w:val="28"/>
          <w:lang w:val="pt-BR"/>
        </w:rPr>
        <w:t xml:space="preserve"> em </w:t>
      </w:r>
      <w:r w:rsidR="004756C1" w:rsidRPr="002F50BD">
        <w:rPr>
          <w:rFonts w:ascii="Verdana" w:hAnsi="Verdana"/>
          <w:sz w:val="20"/>
          <w:szCs w:val="28"/>
          <w:lang w:val="pt-BR"/>
        </w:rPr>
        <w:t xml:space="preserve">privado. </w:t>
      </w:r>
      <w:r w:rsidR="0089298C" w:rsidRPr="002F50BD">
        <w:rPr>
          <w:rFonts w:ascii="Verdana" w:hAnsi="Verdana"/>
          <w:sz w:val="20"/>
          <w:szCs w:val="28"/>
          <w:lang w:val="pt-BR"/>
        </w:rPr>
        <w:t>Envolve</w:t>
      </w:r>
      <w:r w:rsidR="004756C1" w:rsidRPr="002F50BD">
        <w:rPr>
          <w:rFonts w:ascii="Verdana" w:hAnsi="Verdana"/>
          <w:sz w:val="20"/>
          <w:szCs w:val="28"/>
          <w:lang w:val="pt-BR"/>
        </w:rPr>
        <w:t xml:space="preserve"> </w:t>
      </w:r>
      <w:r w:rsidR="0089298C" w:rsidRPr="002F50BD">
        <w:rPr>
          <w:rFonts w:ascii="Verdana" w:hAnsi="Verdana"/>
          <w:sz w:val="20"/>
          <w:szCs w:val="28"/>
          <w:lang w:val="pt-BR"/>
        </w:rPr>
        <w:t>também o direito</w:t>
      </w:r>
      <w:r w:rsidR="004756C1" w:rsidRPr="002F50BD">
        <w:rPr>
          <w:rFonts w:ascii="Verdana" w:hAnsi="Verdana"/>
          <w:sz w:val="20"/>
          <w:szCs w:val="28"/>
          <w:lang w:val="pt-BR"/>
        </w:rPr>
        <w:t xml:space="preserve"> que </w:t>
      </w:r>
      <w:r w:rsidR="00CF76D3" w:rsidRPr="002F50BD">
        <w:rPr>
          <w:rFonts w:ascii="Verdana" w:hAnsi="Verdana"/>
          <w:sz w:val="20"/>
          <w:szCs w:val="28"/>
          <w:lang w:val="pt-BR"/>
        </w:rPr>
        <w:t xml:space="preserve">possuem </w:t>
      </w:r>
      <w:r w:rsidR="004756C1" w:rsidRPr="002F50BD">
        <w:rPr>
          <w:rFonts w:ascii="Verdana" w:hAnsi="Verdana"/>
          <w:sz w:val="20"/>
          <w:szCs w:val="28"/>
          <w:lang w:val="pt-BR"/>
        </w:rPr>
        <w:t>a que n</w:t>
      </w:r>
      <w:r w:rsidR="001F21AC" w:rsidRPr="002F50BD">
        <w:rPr>
          <w:rFonts w:ascii="Verdana" w:hAnsi="Verdana"/>
          <w:sz w:val="20"/>
          <w:szCs w:val="28"/>
          <w:lang w:val="pt-BR"/>
        </w:rPr>
        <w:t>ã</w:t>
      </w:r>
      <w:r w:rsidR="004756C1" w:rsidRPr="002F50BD">
        <w:rPr>
          <w:rFonts w:ascii="Verdana" w:hAnsi="Verdana"/>
          <w:sz w:val="20"/>
          <w:szCs w:val="28"/>
          <w:lang w:val="pt-BR"/>
        </w:rPr>
        <w:t xml:space="preserve">o se </w:t>
      </w:r>
      <w:r w:rsidR="004076AD" w:rsidRPr="002F50BD">
        <w:rPr>
          <w:rFonts w:ascii="Verdana" w:hAnsi="Verdana"/>
          <w:sz w:val="20"/>
          <w:szCs w:val="28"/>
          <w:lang w:val="pt-BR"/>
        </w:rPr>
        <w:t>realizem</w:t>
      </w:r>
      <w:r w:rsidR="004756C1" w:rsidRPr="002F50BD">
        <w:rPr>
          <w:rFonts w:ascii="Verdana" w:hAnsi="Verdana"/>
          <w:sz w:val="20"/>
          <w:szCs w:val="28"/>
          <w:lang w:val="pt-BR"/>
        </w:rPr>
        <w:t xml:space="preserve"> </w:t>
      </w:r>
      <w:r w:rsidR="001F21AC" w:rsidRPr="002F50BD">
        <w:rPr>
          <w:rFonts w:ascii="Verdana" w:hAnsi="Verdana"/>
          <w:sz w:val="20"/>
          <w:szCs w:val="28"/>
          <w:lang w:val="pt-BR"/>
        </w:rPr>
        <w:t>tentativas de con</w:t>
      </w:r>
      <w:r w:rsidR="00CF76D3" w:rsidRPr="002F50BD">
        <w:rPr>
          <w:rFonts w:ascii="Verdana" w:hAnsi="Verdana"/>
          <w:sz w:val="20"/>
          <w:szCs w:val="28"/>
          <w:lang w:val="pt-BR"/>
        </w:rPr>
        <w:t>v</w:t>
      </w:r>
      <w:r w:rsidR="001F21AC" w:rsidRPr="002F50BD">
        <w:rPr>
          <w:rFonts w:ascii="Verdana" w:hAnsi="Verdana"/>
          <w:sz w:val="20"/>
          <w:szCs w:val="28"/>
          <w:lang w:val="pt-BR"/>
        </w:rPr>
        <w:t xml:space="preserve">ertê-los à força e não se imponham </w:t>
      </w:r>
      <w:r w:rsidR="004076AD" w:rsidRPr="002F50BD">
        <w:rPr>
          <w:rFonts w:ascii="Verdana" w:hAnsi="Verdana"/>
          <w:sz w:val="20"/>
          <w:szCs w:val="28"/>
          <w:lang w:val="pt-BR"/>
        </w:rPr>
        <w:t>crenças</w:t>
      </w:r>
      <w:r w:rsidR="004756C1" w:rsidRPr="002F50BD">
        <w:rPr>
          <w:rFonts w:ascii="Verdana" w:hAnsi="Verdana"/>
          <w:sz w:val="20"/>
          <w:szCs w:val="28"/>
          <w:lang w:val="pt-BR"/>
        </w:rPr>
        <w:t xml:space="preserve"> contra su</w:t>
      </w:r>
      <w:r w:rsidR="001F21AC" w:rsidRPr="002F50BD">
        <w:rPr>
          <w:rFonts w:ascii="Verdana" w:hAnsi="Verdana"/>
          <w:sz w:val="20"/>
          <w:szCs w:val="28"/>
          <w:lang w:val="pt-BR"/>
        </w:rPr>
        <w:t>a</w:t>
      </w:r>
      <w:r w:rsidR="004756C1" w:rsidRPr="002F50BD">
        <w:rPr>
          <w:rFonts w:ascii="Verdana" w:hAnsi="Verdana"/>
          <w:sz w:val="20"/>
          <w:szCs w:val="28"/>
          <w:lang w:val="pt-BR"/>
        </w:rPr>
        <w:t xml:space="preserve"> </w:t>
      </w:r>
      <w:r w:rsidR="001F21AC" w:rsidRPr="002F50BD">
        <w:rPr>
          <w:rFonts w:ascii="Verdana" w:hAnsi="Verdana"/>
          <w:sz w:val="20"/>
          <w:szCs w:val="28"/>
          <w:lang w:val="pt-BR"/>
        </w:rPr>
        <w:t>vontade</w:t>
      </w:r>
      <w:r w:rsidR="004756C1" w:rsidRPr="002F50BD">
        <w:rPr>
          <w:rFonts w:ascii="Verdana" w:hAnsi="Verdana"/>
          <w:sz w:val="20"/>
          <w:szCs w:val="28"/>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28</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13</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Liberdade </w:t>
      </w:r>
      <w:r w:rsidR="004756C1" w:rsidRPr="002F50BD">
        <w:rPr>
          <w:rFonts w:ascii="Verdana" w:hAnsi="Verdana"/>
          <w:sz w:val="20"/>
          <w:szCs w:val="28"/>
          <w:lang w:val="pt-BR"/>
        </w:rPr>
        <w:t xml:space="preserve">de </w:t>
      </w:r>
      <w:r w:rsidR="0089298C" w:rsidRPr="002F50BD">
        <w:rPr>
          <w:rFonts w:ascii="Verdana" w:hAnsi="Verdana"/>
          <w:sz w:val="20"/>
          <w:szCs w:val="28"/>
          <w:lang w:val="pt-BR"/>
        </w:rPr>
        <w:t>Pensamento e Expressão</w:t>
      </w:r>
      <w:r w:rsidR="00CF451D" w:rsidRPr="00CF451D">
        <w:rPr>
          <w:rFonts w:ascii="Verdana" w:hAnsi="Verdana"/>
          <w:sz w:val="20"/>
          <w:szCs w:val="28"/>
          <w:lang w:val="pt-BR"/>
        </w:rPr>
        <w:t>)</w:t>
      </w:r>
      <w:r w:rsidR="004756C1" w:rsidRPr="002F50BD">
        <w:rPr>
          <w:rFonts w:ascii="Verdana" w:hAnsi="Verdana"/>
          <w:sz w:val="20"/>
          <w:szCs w:val="28"/>
          <w:lang w:val="pt-BR"/>
        </w:rPr>
        <w:t xml:space="preserve"> compre</w:t>
      </w:r>
      <w:r w:rsidR="001F21AC"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1F21AC" w:rsidRPr="002F50BD">
        <w:rPr>
          <w:rFonts w:ascii="Verdana" w:hAnsi="Verdana"/>
          <w:sz w:val="20"/>
          <w:szCs w:val="28"/>
          <w:lang w:val="pt-BR"/>
        </w:rPr>
        <w:t xml:space="preserve">e </w:t>
      </w:r>
      <w:r w:rsidR="0089298C" w:rsidRPr="002F50BD">
        <w:rPr>
          <w:rFonts w:ascii="Verdana" w:hAnsi="Verdana"/>
          <w:sz w:val="20"/>
          <w:szCs w:val="28"/>
          <w:lang w:val="pt-BR"/>
        </w:rPr>
        <w:t>o direito dos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w:t>
      </w:r>
      <w:r w:rsidR="003004F8" w:rsidRPr="002F50BD">
        <w:rPr>
          <w:rFonts w:ascii="Verdana" w:hAnsi="Verdana"/>
          <w:sz w:val="20"/>
          <w:szCs w:val="28"/>
          <w:lang w:val="pt-BR"/>
        </w:rPr>
        <w:t>de</w:t>
      </w:r>
      <w:r w:rsidR="004756C1" w:rsidRPr="002F50BD">
        <w:rPr>
          <w:rFonts w:ascii="Verdana" w:hAnsi="Verdana"/>
          <w:sz w:val="20"/>
          <w:szCs w:val="28"/>
          <w:lang w:val="pt-BR"/>
        </w:rPr>
        <w:t xml:space="preserve"> manifestar </w:t>
      </w:r>
      <w:r w:rsidR="00385366" w:rsidRPr="002F50BD">
        <w:rPr>
          <w:rFonts w:ascii="Verdana" w:hAnsi="Verdana"/>
          <w:sz w:val="20"/>
          <w:szCs w:val="28"/>
          <w:lang w:val="pt-BR"/>
        </w:rPr>
        <w:t>sua própria</w:t>
      </w:r>
      <w:r w:rsidR="0089298C" w:rsidRPr="002F50BD">
        <w:rPr>
          <w:rFonts w:ascii="Verdana" w:hAnsi="Verdana"/>
          <w:sz w:val="20"/>
          <w:szCs w:val="28"/>
          <w:lang w:val="pt-BR"/>
        </w:rPr>
        <w:t xml:space="preserve"> </w:t>
      </w:r>
      <w:r w:rsidR="004756C1" w:rsidRPr="002F50BD">
        <w:rPr>
          <w:rFonts w:ascii="Verdana" w:hAnsi="Verdana"/>
          <w:sz w:val="20"/>
          <w:szCs w:val="28"/>
          <w:lang w:val="pt-BR"/>
        </w:rPr>
        <w:t>cultura, tanto</w:t>
      </w:r>
      <w:r w:rsidR="0089298C" w:rsidRPr="002F50BD">
        <w:rPr>
          <w:rFonts w:ascii="Verdana" w:hAnsi="Verdana"/>
          <w:sz w:val="20"/>
          <w:szCs w:val="28"/>
          <w:lang w:val="pt-BR"/>
        </w:rPr>
        <w:t xml:space="preserve"> em </w:t>
      </w:r>
      <w:r w:rsidR="004756C1" w:rsidRPr="002F50BD">
        <w:rPr>
          <w:rFonts w:ascii="Verdana" w:hAnsi="Verdana"/>
          <w:sz w:val="20"/>
          <w:szCs w:val="28"/>
          <w:lang w:val="pt-BR"/>
        </w:rPr>
        <w:t>público como</w:t>
      </w:r>
      <w:r w:rsidR="0089298C" w:rsidRPr="002F50BD">
        <w:rPr>
          <w:rFonts w:ascii="Verdana" w:hAnsi="Verdana"/>
          <w:sz w:val="20"/>
          <w:szCs w:val="28"/>
          <w:lang w:val="pt-BR"/>
        </w:rPr>
        <w:t xml:space="preserve"> em </w:t>
      </w:r>
      <w:r w:rsidR="004756C1" w:rsidRPr="002F50BD">
        <w:rPr>
          <w:rFonts w:ascii="Verdana" w:hAnsi="Verdana"/>
          <w:sz w:val="20"/>
          <w:szCs w:val="28"/>
          <w:lang w:val="pt-BR"/>
        </w:rPr>
        <w:t>privado</w:t>
      </w:r>
      <w:r w:rsidR="0089298C" w:rsidRPr="002F50BD">
        <w:rPr>
          <w:rFonts w:ascii="Verdana" w:hAnsi="Verdana"/>
          <w:sz w:val="20"/>
          <w:szCs w:val="28"/>
          <w:lang w:val="pt-BR"/>
        </w:rPr>
        <w:t xml:space="preserve">, isto é, fazer </w:t>
      </w:r>
      <w:r w:rsidR="004756C1" w:rsidRPr="002F50BD">
        <w:rPr>
          <w:rFonts w:ascii="Verdana" w:hAnsi="Verdana"/>
          <w:sz w:val="20"/>
          <w:szCs w:val="28"/>
          <w:lang w:val="pt-BR"/>
        </w:rPr>
        <w:t>uso de su</w:t>
      </w:r>
      <w:r w:rsidR="001F21AC" w:rsidRPr="002F50BD">
        <w:rPr>
          <w:rFonts w:ascii="Verdana" w:hAnsi="Verdana"/>
          <w:sz w:val="20"/>
          <w:szCs w:val="28"/>
          <w:lang w:val="pt-BR"/>
        </w:rPr>
        <w:t>a</w:t>
      </w:r>
      <w:r w:rsidR="004756C1" w:rsidRPr="002F50BD">
        <w:rPr>
          <w:rFonts w:ascii="Verdana" w:hAnsi="Verdana"/>
          <w:sz w:val="20"/>
          <w:szCs w:val="28"/>
          <w:lang w:val="pt-BR"/>
        </w:rPr>
        <w:t xml:space="preserve"> vestimenta, </w:t>
      </w:r>
      <w:r w:rsidR="004076AD" w:rsidRPr="002F50BD">
        <w:rPr>
          <w:rFonts w:ascii="Verdana" w:hAnsi="Verdana"/>
          <w:sz w:val="20"/>
          <w:szCs w:val="28"/>
          <w:lang w:val="pt-BR"/>
        </w:rPr>
        <w:t>expressões</w:t>
      </w:r>
      <w:r w:rsidR="004756C1" w:rsidRPr="002F50BD">
        <w:rPr>
          <w:rFonts w:ascii="Verdana" w:hAnsi="Verdana"/>
          <w:sz w:val="20"/>
          <w:szCs w:val="28"/>
          <w:lang w:val="pt-BR"/>
        </w:rPr>
        <w:t xml:space="preserve"> artísticas, </w:t>
      </w:r>
      <w:r w:rsidR="0089298C" w:rsidRPr="002F50BD">
        <w:rPr>
          <w:rFonts w:ascii="Verdana" w:hAnsi="Verdana"/>
          <w:sz w:val="20"/>
          <w:szCs w:val="28"/>
          <w:lang w:val="pt-BR"/>
        </w:rPr>
        <w:t xml:space="preserve">do </w:t>
      </w:r>
      <w:r w:rsidR="004756C1" w:rsidRPr="002F50BD">
        <w:rPr>
          <w:rFonts w:ascii="Verdana" w:hAnsi="Verdana"/>
          <w:sz w:val="20"/>
          <w:szCs w:val="28"/>
          <w:lang w:val="pt-BR"/>
        </w:rPr>
        <w:t>espetáculo; preservar su</w:t>
      </w:r>
      <w:r w:rsidR="001F21AC" w:rsidRPr="002F50BD">
        <w:rPr>
          <w:rFonts w:ascii="Verdana" w:hAnsi="Verdana"/>
          <w:sz w:val="20"/>
          <w:szCs w:val="28"/>
          <w:lang w:val="pt-BR"/>
        </w:rPr>
        <w:t>a</w:t>
      </w:r>
      <w:r w:rsidR="004756C1" w:rsidRPr="002F50BD">
        <w:rPr>
          <w:rFonts w:ascii="Verdana" w:hAnsi="Verdana"/>
          <w:sz w:val="20"/>
          <w:szCs w:val="28"/>
          <w:lang w:val="pt-BR"/>
        </w:rPr>
        <w:t xml:space="preserve"> </w:t>
      </w:r>
      <w:r w:rsidR="0089298C" w:rsidRPr="002F50BD">
        <w:rPr>
          <w:rFonts w:ascii="Verdana" w:hAnsi="Verdana"/>
          <w:sz w:val="20"/>
          <w:szCs w:val="28"/>
          <w:lang w:val="pt-BR"/>
        </w:rPr>
        <w:t>própri</w:t>
      </w:r>
      <w:r w:rsidR="001F21AC" w:rsidRPr="002F50BD">
        <w:rPr>
          <w:rFonts w:ascii="Verdana" w:hAnsi="Verdana"/>
          <w:sz w:val="20"/>
          <w:szCs w:val="28"/>
          <w:lang w:val="pt-BR"/>
        </w:rPr>
        <w:t>a</w:t>
      </w:r>
      <w:r w:rsidR="004756C1" w:rsidRPr="002F50BD">
        <w:rPr>
          <w:rFonts w:ascii="Verdana" w:hAnsi="Verdana"/>
          <w:sz w:val="20"/>
          <w:szCs w:val="28"/>
          <w:lang w:val="pt-BR"/>
        </w:rPr>
        <w:t xml:space="preserve"> </w:t>
      </w:r>
      <w:r w:rsidR="0089298C" w:rsidRPr="002F50BD">
        <w:rPr>
          <w:rFonts w:ascii="Verdana" w:hAnsi="Verdana"/>
          <w:sz w:val="20"/>
          <w:szCs w:val="28"/>
          <w:lang w:val="pt-BR"/>
        </w:rPr>
        <w:t>linguagem</w:t>
      </w:r>
      <w:r w:rsidR="004756C1" w:rsidRPr="002F50BD">
        <w:rPr>
          <w:rFonts w:ascii="Verdana" w:hAnsi="Verdana"/>
          <w:sz w:val="20"/>
          <w:szCs w:val="28"/>
          <w:lang w:val="pt-BR"/>
        </w:rPr>
        <w:t>; buscar</w:t>
      </w:r>
      <w:r w:rsidR="0089298C" w:rsidRPr="002F50BD">
        <w:rPr>
          <w:rFonts w:ascii="Verdana" w:hAnsi="Verdana"/>
          <w:sz w:val="20"/>
          <w:szCs w:val="28"/>
          <w:lang w:val="pt-BR"/>
        </w:rPr>
        <w:t xml:space="preserve"> e receber</w:t>
      </w:r>
      <w:r w:rsidR="004756C1" w:rsidRPr="002F50BD">
        <w:rPr>
          <w:rFonts w:ascii="Verdana" w:hAnsi="Verdana"/>
          <w:sz w:val="20"/>
          <w:szCs w:val="28"/>
          <w:lang w:val="pt-BR"/>
        </w:rPr>
        <w:t xml:space="preserve"> informa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sobre </w:t>
      </w:r>
      <w:r w:rsidR="005A6BC7" w:rsidRPr="002F50BD">
        <w:rPr>
          <w:rFonts w:ascii="Verdana" w:hAnsi="Verdana"/>
          <w:sz w:val="20"/>
          <w:szCs w:val="28"/>
          <w:lang w:val="pt-BR"/>
        </w:rPr>
        <w:t>sua cultura</w:t>
      </w:r>
      <w:r w:rsidR="004756C1" w:rsidRPr="002F50BD">
        <w:rPr>
          <w:rFonts w:ascii="Verdana" w:hAnsi="Verdana"/>
          <w:sz w:val="20"/>
          <w:szCs w:val="28"/>
          <w:lang w:val="pt-BR"/>
        </w:rPr>
        <w:t>; participar</w:t>
      </w:r>
      <w:r w:rsidR="0089298C" w:rsidRPr="002F50BD">
        <w:rPr>
          <w:rFonts w:ascii="Verdana" w:hAnsi="Verdana"/>
          <w:sz w:val="20"/>
          <w:szCs w:val="28"/>
          <w:lang w:val="pt-BR"/>
        </w:rPr>
        <w:t xml:space="preserve"> </w:t>
      </w:r>
      <w:r w:rsidR="00B76C95" w:rsidRPr="002F50BD">
        <w:rPr>
          <w:rFonts w:ascii="Verdana" w:hAnsi="Verdana"/>
          <w:sz w:val="20"/>
          <w:szCs w:val="28"/>
          <w:lang w:val="pt-BR"/>
        </w:rPr>
        <w:t>d</w:t>
      </w:r>
      <w:r w:rsidR="0089298C" w:rsidRPr="002F50BD">
        <w:rPr>
          <w:rFonts w:ascii="Verdana" w:hAnsi="Verdana"/>
          <w:sz w:val="20"/>
          <w:szCs w:val="28"/>
          <w:lang w:val="pt-BR"/>
        </w:rPr>
        <w:t xml:space="preserve">a produção e </w:t>
      </w:r>
      <w:r w:rsidR="004756C1" w:rsidRPr="002F50BD">
        <w:rPr>
          <w:rFonts w:ascii="Verdana" w:hAnsi="Verdana"/>
          <w:sz w:val="20"/>
          <w:szCs w:val="28"/>
          <w:lang w:val="pt-BR"/>
        </w:rPr>
        <w:t>di</w:t>
      </w:r>
      <w:r w:rsidR="001F21AC" w:rsidRPr="002F50BD">
        <w:rPr>
          <w:rFonts w:ascii="Verdana" w:hAnsi="Verdana"/>
          <w:sz w:val="20"/>
          <w:szCs w:val="28"/>
          <w:lang w:val="pt-BR"/>
        </w:rPr>
        <w:t>s</w:t>
      </w:r>
      <w:r w:rsidR="004756C1" w:rsidRPr="002F50BD">
        <w:rPr>
          <w:rFonts w:ascii="Verdana" w:hAnsi="Verdana"/>
          <w:sz w:val="20"/>
          <w:szCs w:val="28"/>
          <w:lang w:val="pt-BR"/>
        </w:rPr>
        <w:t>semina</w:t>
      </w:r>
      <w:r w:rsidR="0089298C" w:rsidRPr="002F50BD">
        <w:rPr>
          <w:rFonts w:ascii="Verdana" w:hAnsi="Verdana"/>
          <w:sz w:val="20"/>
          <w:szCs w:val="28"/>
          <w:lang w:val="pt-BR"/>
        </w:rPr>
        <w:t xml:space="preserve">ção da </w:t>
      </w:r>
      <w:r w:rsidR="004756C1" w:rsidRPr="002F50BD">
        <w:rPr>
          <w:rFonts w:ascii="Verdana" w:hAnsi="Verdana"/>
          <w:sz w:val="20"/>
          <w:szCs w:val="28"/>
          <w:lang w:val="pt-BR"/>
        </w:rPr>
        <w:t>informa</w:t>
      </w:r>
      <w:r w:rsidR="0089298C" w:rsidRPr="002F50BD">
        <w:rPr>
          <w:rFonts w:ascii="Verdana" w:hAnsi="Verdana"/>
          <w:sz w:val="20"/>
          <w:szCs w:val="28"/>
          <w:lang w:val="pt-BR"/>
        </w:rPr>
        <w:t xml:space="preserve">ção e </w:t>
      </w:r>
      <w:r w:rsidR="004756C1" w:rsidRPr="002F50BD">
        <w:rPr>
          <w:rFonts w:ascii="Verdana" w:hAnsi="Verdana"/>
          <w:sz w:val="20"/>
          <w:szCs w:val="28"/>
          <w:lang w:val="pt-BR"/>
        </w:rPr>
        <w:t>solicitar</w:t>
      </w:r>
      <w:r w:rsidR="0089298C" w:rsidRPr="002F50BD">
        <w:rPr>
          <w:rFonts w:ascii="Verdana" w:hAnsi="Verdana"/>
          <w:sz w:val="20"/>
          <w:szCs w:val="28"/>
          <w:lang w:val="pt-BR"/>
        </w:rPr>
        <w:t xml:space="preserve"> a </w:t>
      </w:r>
      <w:r w:rsidR="004756C1" w:rsidRPr="002F50BD">
        <w:rPr>
          <w:rFonts w:ascii="Verdana" w:hAnsi="Verdana"/>
          <w:sz w:val="20"/>
          <w:szCs w:val="28"/>
          <w:lang w:val="pt-BR"/>
        </w:rPr>
        <w:t>corre</w:t>
      </w:r>
      <w:r w:rsidR="0089298C" w:rsidRPr="002F50BD">
        <w:rPr>
          <w:rFonts w:ascii="Verdana" w:hAnsi="Verdana"/>
          <w:sz w:val="20"/>
          <w:szCs w:val="28"/>
          <w:lang w:val="pt-BR"/>
        </w:rPr>
        <w:t xml:space="preserve">ção da </w:t>
      </w:r>
      <w:r w:rsidR="004756C1" w:rsidRPr="002F50BD">
        <w:rPr>
          <w:rFonts w:ascii="Verdana" w:hAnsi="Verdana"/>
          <w:sz w:val="20"/>
          <w:szCs w:val="28"/>
          <w:lang w:val="pt-BR"/>
        </w:rPr>
        <w:t>informa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que </w:t>
      </w:r>
      <w:r w:rsidR="0089298C" w:rsidRPr="002F50BD">
        <w:rPr>
          <w:rFonts w:ascii="Verdana" w:hAnsi="Verdana"/>
          <w:sz w:val="20"/>
          <w:szCs w:val="28"/>
          <w:lang w:val="pt-BR"/>
        </w:rPr>
        <w:t xml:space="preserve">considerem </w:t>
      </w:r>
      <w:r w:rsidR="001F21AC" w:rsidRPr="002F50BD">
        <w:rPr>
          <w:rFonts w:ascii="Verdana" w:hAnsi="Verdana"/>
          <w:sz w:val="20"/>
          <w:szCs w:val="28"/>
          <w:lang w:val="pt-BR"/>
        </w:rPr>
        <w:t xml:space="preserve">errônea </w:t>
      </w:r>
      <w:r w:rsidR="0089298C" w:rsidRPr="002F50BD">
        <w:rPr>
          <w:rFonts w:ascii="Verdana" w:hAnsi="Verdana"/>
          <w:sz w:val="20"/>
          <w:szCs w:val="28"/>
          <w:lang w:val="pt-BR"/>
        </w:rPr>
        <w:t>a respeito</w:t>
      </w:r>
      <w:r w:rsidR="004756C1" w:rsidRPr="002F50BD">
        <w:rPr>
          <w:rFonts w:ascii="Verdana" w:hAnsi="Verdana"/>
          <w:sz w:val="20"/>
          <w:szCs w:val="28"/>
          <w:lang w:val="pt-BR"/>
        </w:rPr>
        <w:t xml:space="preserve"> </w:t>
      </w:r>
      <w:r w:rsidR="001F21AC" w:rsidRPr="002F50BD">
        <w:rPr>
          <w:rFonts w:ascii="Verdana" w:hAnsi="Verdana"/>
          <w:sz w:val="20"/>
          <w:szCs w:val="28"/>
          <w:lang w:val="pt-BR"/>
        </w:rPr>
        <w:t>de</w:t>
      </w:r>
      <w:r w:rsidR="004756C1" w:rsidRPr="002F50BD">
        <w:rPr>
          <w:rFonts w:ascii="Verdana" w:hAnsi="Verdana"/>
          <w:sz w:val="20"/>
          <w:szCs w:val="28"/>
          <w:lang w:val="pt-BR"/>
        </w:rPr>
        <w:t xml:space="preserve"> </w:t>
      </w:r>
      <w:r w:rsidR="005A6BC7" w:rsidRPr="002F50BD">
        <w:rPr>
          <w:rFonts w:ascii="Verdana" w:hAnsi="Verdana"/>
          <w:sz w:val="20"/>
          <w:szCs w:val="28"/>
          <w:lang w:val="pt-BR"/>
        </w:rPr>
        <w:t>sua cultura</w:t>
      </w:r>
      <w:r w:rsidR="004756C1" w:rsidRPr="002F50BD">
        <w:rPr>
          <w:rFonts w:ascii="Verdana" w:hAnsi="Verdana"/>
          <w:sz w:val="20"/>
          <w:szCs w:val="28"/>
          <w:lang w:val="pt-BR"/>
        </w:rPr>
        <w:t xml:space="preserve"> e hist</w:t>
      </w:r>
      <w:r w:rsidR="001F21AC" w:rsidRPr="002F50BD">
        <w:rPr>
          <w:rFonts w:ascii="Verdana" w:hAnsi="Verdana"/>
          <w:sz w:val="20"/>
          <w:szCs w:val="28"/>
          <w:lang w:val="pt-BR"/>
        </w:rPr>
        <w:t>ó</w:t>
      </w:r>
      <w:r w:rsidR="004756C1" w:rsidRPr="002F50BD">
        <w:rPr>
          <w:rFonts w:ascii="Verdana" w:hAnsi="Verdana"/>
          <w:sz w:val="20"/>
          <w:szCs w:val="28"/>
          <w:lang w:val="pt-BR"/>
        </w:rPr>
        <w:t xml:space="preserve">ria; </w:t>
      </w:r>
      <w:r w:rsidR="001F21AC" w:rsidRPr="002F50BD">
        <w:rPr>
          <w:rFonts w:ascii="Verdana" w:hAnsi="Verdana"/>
          <w:sz w:val="20"/>
          <w:szCs w:val="28"/>
          <w:lang w:val="pt-BR"/>
        </w:rPr>
        <w:t xml:space="preserve">ter acesso aos meios </w:t>
      </w:r>
      <w:r w:rsidR="004756C1" w:rsidRPr="002F50BD">
        <w:rPr>
          <w:rFonts w:ascii="Verdana" w:hAnsi="Verdana"/>
          <w:sz w:val="20"/>
          <w:szCs w:val="28"/>
          <w:lang w:val="pt-BR"/>
        </w:rPr>
        <w:t>de informa</w:t>
      </w:r>
      <w:r w:rsidR="0089298C" w:rsidRPr="002F50BD">
        <w:rPr>
          <w:rFonts w:ascii="Verdana" w:hAnsi="Verdana"/>
          <w:sz w:val="20"/>
          <w:szCs w:val="28"/>
          <w:lang w:val="pt-BR"/>
        </w:rPr>
        <w:t xml:space="preserve">ção e </w:t>
      </w:r>
      <w:r w:rsidR="004756C1" w:rsidRPr="002F50BD">
        <w:rPr>
          <w:rFonts w:ascii="Verdana" w:hAnsi="Verdana"/>
          <w:sz w:val="20"/>
          <w:szCs w:val="28"/>
          <w:lang w:val="pt-BR"/>
        </w:rPr>
        <w:t xml:space="preserve">a </w:t>
      </w:r>
      <w:r w:rsidR="0089298C" w:rsidRPr="002F50BD">
        <w:rPr>
          <w:rFonts w:ascii="Verdana" w:hAnsi="Verdana"/>
          <w:sz w:val="20"/>
          <w:szCs w:val="28"/>
          <w:lang w:val="pt-BR"/>
        </w:rPr>
        <w:t>estabelece</w:t>
      </w:r>
      <w:r w:rsidR="004756C1" w:rsidRPr="002F50BD">
        <w:rPr>
          <w:rFonts w:ascii="Verdana" w:hAnsi="Verdana"/>
          <w:sz w:val="20"/>
          <w:szCs w:val="28"/>
          <w:lang w:val="pt-BR"/>
        </w:rPr>
        <w:t xml:space="preserve">r </w:t>
      </w:r>
      <w:r w:rsidR="0023200A" w:rsidRPr="002F50BD">
        <w:rPr>
          <w:rFonts w:ascii="Verdana" w:hAnsi="Verdana"/>
          <w:sz w:val="20"/>
          <w:szCs w:val="28"/>
          <w:lang w:val="pt-BR"/>
        </w:rPr>
        <w:t>seus próprios</w:t>
      </w:r>
      <w:r w:rsidR="004756C1" w:rsidRPr="002F50BD">
        <w:rPr>
          <w:rFonts w:ascii="Verdana" w:hAnsi="Verdana"/>
          <w:sz w:val="20"/>
          <w:szCs w:val="28"/>
          <w:lang w:val="pt-BR"/>
        </w:rPr>
        <w:t xml:space="preserve"> meios; contactar</w:t>
      </w:r>
      <w:r w:rsidR="0089298C" w:rsidRPr="002F50BD">
        <w:rPr>
          <w:rFonts w:ascii="Verdana" w:hAnsi="Verdana"/>
          <w:sz w:val="20"/>
          <w:szCs w:val="28"/>
          <w:lang w:val="pt-BR"/>
        </w:rPr>
        <w:t xml:space="preserve"> e </w:t>
      </w:r>
      <w:r w:rsidR="004756C1" w:rsidRPr="002F50BD">
        <w:rPr>
          <w:rFonts w:ascii="Verdana" w:hAnsi="Verdana"/>
          <w:sz w:val="20"/>
          <w:szCs w:val="28"/>
          <w:lang w:val="pt-BR"/>
        </w:rPr>
        <w:t xml:space="preserve">realizar </w:t>
      </w:r>
      <w:r w:rsidR="0089298C" w:rsidRPr="002F50BD">
        <w:rPr>
          <w:rFonts w:ascii="Verdana" w:hAnsi="Verdana"/>
          <w:sz w:val="20"/>
          <w:szCs w:val="28"/>
          <w:lang w:val="pt-BR"/>
        </w:rPr>
        <w:t>ativ</w:t>
      </w:r>
      <w:r w:rsidR="004756C1" w:rsidRPr="002F50BD">
        <w:rPr>
          <w:rFonts w:ascii="Verdana" w:hAnsi="Verdana"/>
          <w:sz w:val="20"/>
          <w:szCs w:val="28"/>
          <w:lang w:val="pt-BR"/>
        </w:rPr>
        <w:t>idades</w:t>
      </w:r>
      <w:r w:rsidR="0089298C" w:rsidRPr="002F50BD">
        <w:rPr>
          <w:rFonts w:ascii="Verdana" w:hAnsi="Verdana"/>
          <w:sz w:val="20"/>
          <w:szCs w:val="28"/>
          <w:lang w:val="pt-BR"/>
        </w:rPr>
        <w:t xml:space="preserve"> com outra</w:t>
      </w:r>
      <w:r w:rsidR="004756C1" w:rsidRPr="002F50BD">
        <w:rPr>
          <w:rFonts w:ascii="Verdana" w:hAnsi="Verdana"/>
          <w:sz w:val="20"/>
          <w:szCs w:val="28"/>
          <w:lang w:val="pt-BR"/>
        </w:rPr>
        <w:t>s culturas o</w:t>
      </w:r>
      <w:r w:rsidR="001F21AC" w:rsidRPr="002F50BD">
        <w:rPr>
          <w:rFonts w:ascii="Verdana" w:hAnsi="Verdana"/>
          <w:sz w:val="20"/>
          <w:szCs w:val="28"/>
          <w:lang w:val="pt-BR"/>
        </w:rPr>
        <w:t>u</w:t>
      </w:r>
      <w:r w:rsidR="0089298C" w:rsidRPr="002F50BD">
        <w:rPr>
          <w:rFonts w:ascii="Verdana" w:hAnsi="Verdana"/>
          <w:sz w:val="20"/>
          <w:szCs w:val="28"/>
          <w:lang w:val="pt-BR"/>
        </w:rPr>
        <w:t xml:space="preserve"> com membro</w:t>
      </w:r>
      <w:r w:rsidR="004756C1" w:rsidRPr="002F50BD">
        <w:rPr>
          <w:rFonts w:ascii="Verdana" w:hAnsi="Verdana"/>
          <w:sz w:val="20"/>
          <w:szCs w:val="28"/>
          <w:lang w:val="pt-BR"/>
        </w:rPr>
        <w:t xml:space="preserve">s de </w:t>
      </w:r>
      <w:r w:rsidR="00385366" w:rsidRPr="002F50BD">
        <w:rPr>
          <w:rFonts w:ascii="Verdana" w:hAnsi="Verdana"/>
          <w:sz w:val="20"/>
          <w:szCs w:val="28"/>
          <w:lang w:val="pt-BR"/>
        </w:rPr>
        <w:t>sua própria</w:t>
      </w:r>
      <w:r w:rsidR="0089298C" w:rsidRPr="002F50BD">
        <w:rPr>
          <w:rFonts w:ascii="Verdana" w:hAnsi="Verdana"/>
          <w:sz w:val="20"/>
          <w:szCs w:val="28"/>
          <w:lang w:val="pt-BR"/>
        </w:rPr>
        <w:t xml:space="preserve"> </w:t>
      </w:r>
      <w:r w:rsidR="004756C1" w:rsidRPr="002F50BD">
        <w:rPr>
          <w:rFonts w:ascii="Verdana" w:hAnsi="Verdana"/>
          <w:sz w:val="20"/>
          <w:szCs w:val="28"/>
          <w:lang w:val="pt-BR"/>
        </w:rPr>
        <w:t xml:space="preserve">cultura que se </w:t>
      </w:r>
      <w:r w:rsidR="0089298C" w:rsidRPr="002F50BD">
        <w:rPr>
          <w:rFonts w:ascii="Verdana" w:hAnsi="Verdana"/>
          <w:sz w:val="20"/>
          <w:szCs w:val="28"/>
          <w:lang w:val="pt-BR"/>
        </w:rPr>
        <w:t>encontrem</w:t>
      </w:r>
      <w:r w:rsidR="004756C1" w:rsidRPr="002F50BD">
        <w:rPr>
          <w:rFonts w:ascii="Verdana" w:hAnsi="Verdana"/>
          <w:sz w:val="20"/>
          <w:szCs w:val="28"/>
          <w:lang w:val="pt-BR"/>
        </w:rPr>
        <w:t xml:space="preserve"> </w:t>
      </w:r>
      <w:r w:rsidR="0089298C" w:rsidRPr="002F50BD">
        <w:rPr>
          <w:rFonts w:ascii="Verdana" w:hAnsi="Verdana"/>
          <w:sz w:val="20"/>
          <w:szCs w:val="28"/>
          <w:lang w:val="pt-BR"/>
        </w:rPr>
        <w:t>fora</w:t>
      </w:r>
      <w:r w:rsidR="004756C1" w:rsidRPr="002F50BD">
        <w:rPr>
          <w:rFonts w:ascii="Verdana" w:hAnsi="Verdana"/>
          <w:sz w:val="20"/>
          <w:szCs w:val="28"/>
          <w:lang w:val="pt-BR"/>
        </w:rPr>
        <w:t xml:space="preserve"> de </w:t>
      </w:r>
      <w:r w:rsidR="00AB454A" w:rsidRPr="002F50BD">
        <w:rPr>
          <w:rFonts w:ascii="Verdana" w:hAnsi="Verdana"/>
          <w:sz w:val="20"/>
          <w:szCs w:val="28"/>
          <w:lang w:val="pt-BR"/>
        </w:rPr>
        <w:t>seu território</w:t>
      </w:r>
      <w:r w:rsidR="0089298C" w:rsidRPr="002F50BD">
        <w:rPr>
          <w:rFonts w:ascii="Verdana" w:hAnsi="Verdana"/>
          <w:sz w:val="20"/>
          <w:szCs w:val="28"/>
          <w:lang w:val="pt-BR"/>
        </w:rPr>
        <w:t>; e</w:t>
      </w:r>
      <w:r w:rsidR="004756C1" w:rsidRPr="002F50BD">
        <w:rPr>
          <w:rFonts w:ascii="Verdana" w:hAnsi="Verdana"/>
          <w:sz w:val="20"/>
          <w:szCs w:val="28"/>
          <w:lang w:val="pt-BR"/>
        </w:rPr>
        <w:t xml:space="preserve"> a ser</w:t>
      </w:r>
      <w:r w:rsidR="001F21AC" w:rsidRPr="002F50BD">
        <w:rPr>
          <w:rFonts w:ascii="Verdana" w:hAnsi="Verdana"/>
          <w:sz w:val="20"/>
          <w:szCs w:val="28"/>
          <w:lang w:val="pt-BR"/>
        </w:rPr>
        <w:t>em</w:t>
      </w:r>
      <w:r w:rsidR="004756C1" w:rsidRPr="002F50BD">
        <w:rPr>
          <w:rFonts w:ascii="Verdana" w:hAnsi="Verdana"/>
          <w:sz w:val="20"/>
          <w:szCs w:val="28"/>
          <w:lang w:val="pt-BR"/>
        </w:rPr>
        <w:t xml:space="preserve"> informados sobre todos</w:t>
      </w:r>
      <w:r w:rsidR="0089298C" w:rsidRPr="002F50BD">
        <w:rPr>
          <w:rFonts w:ascii="Verdana" w:hAnsi="Verdana"/>
          <w:sz w:val="20"/>
          <w:szCs w:val="28"/>
          <w:lang w:val="pt-BR"/>
        </w:rPr>
        <w:t xml:space="preserve"> os </w:t>
      </w:r>
      <w:r w:rsidR="004756C1" w:rsidRPr="002F50BD">
        <w:rPr>
          <w:rFonts w:ascii="Verdana" w:hAnsi="Verdana"/>
          <w:sz w:val="20"/>
          <w:szCs w:val="28"/>
          <w:lang w:val="pt-BR"/>
        </w:rPr>
        <w:t xml:space="preserve">aspectos que </w:t>
      </w:r>
      <w:r w:rsidR="004076AD" w:rsidRPr="002F50BD">
        <w:rPr>
          <w:rFonts w:ascii="Verdana" w:hAnsi="Verdana"/>
          <w:sz w:val="20"/>
          <w:szCs w:val="28"/>
          <w:lang w:val="pt-BR"/>
        </w:rPr>
        <w:t>afetem</w:t>
      </w:r>
      <w:r w:rsidR="0089298C" w:rsidRPr="002F50BD">
        <w:rPr>
          <w:rFonts w:ascii="Verdana" w:hAnsi="Verdana"/>
          <w:sz w:val="20"/>
          <w:szCs w:val="28"/>
          <w:lang w:val="pt-BR"/>
        </w:rPr>
        <w:t xml:space="preserve"> sua vida</w:t>
      </w:r>
      <w:r w:rsidR="004756C1" w:rsidRPr="002F50BD">
        <w:rPr>
          <w:rFonts w:ascii="Verdana" w:hAnsi="Verdana"/>
          <w:sz w:val="20"/>
          <w:szCs w:val="28"/>
          <w:lang w:val="pt-BR"/>
        </w:rPr>
        <w:t xml:space="preserve"> espiritual, social, cultural </w:t>
      </w:r>
      <w:r w:rsidR="0089298C" w:rsidRPr="002F50BD">
        <w:rPr>
          <w:rFonts w:ascii="Verdana" w:hAnsi="Verdana"/>
          <w:sz w:val="20"/>
          <w:szCs w:val="28"/>
          <w:lang w:val="pt-BR"/>
        </w:rPr>
        <w:t>assim</w:t>
      </w:r>
      <w:r w:rsidR="004756C1" w:rsidRPr="002F50BD">
        <w:rPr>
          <w:rFonts w:ascii="Verdana" w:hAnsi="Verdana"/>
          <w:sz w:val="20"/>
          <w:szCs w:val="28"/>
          <w:lang w:val="pt-BR"/>
        </w:rPr>
        <w:t xml:space="preserve"> como </w:t>
      </w:r>
      <w:r w:rsidR="0089298C" w:rsidRPr="002F50BD">
        <w:rPr>
          <w:rFonts w:ascii="Verdana" w:hAnsi="Verdana"/>
          <w:sz w:val="20"/>
          <w:szCs w:val="28"/>
          <w:lang w:val="pt-BR"/>
        </w:rPr>
        <w:t>seus bens</w:t>
      </w:r>
      <w:r w:rsidR="004756C1" w:rsidRPr="002F50BD">
        <w:rPr>
          <w:rFonts w:ascii="Verdana" w:hAnsi="Verdana"/>
          <w:sz w:val="20"/>
          <w:szCs w:val="28"/>
          <w:lang w:val="pt-BR"/>
        </w:rPr>
        <w:t xml:space="preserve"> </w:t>
      </w:r>
      <w:r w:rsidR="004076AD" w:rsidRPr="002F50BD">
        <w:rPr>
          <w:rFonts w:ascii="Verdana" w:hAnsi="Verdana"/>
          <w:sz w:val="20"/>
          <w:szCs w:val="28"/>
          <w:lang w:val="pt-BR"/>
        </w:rPr>
        <w:t>móveis</w:t>
      </w:r>
      <w:r w:rsidR="004756C1" w:rsidRPr="002F50BD">
        <w:rPr>
          <w:rFonts w:ascii="Verdana" w:hAnsi="Verdana"/>
          <w:sz w:val="20"/>
          <w:szCs w:val="28"/>
          <w:lang w:val="pt-BR"/>
        </w:rPr>
        <w:t xml:space="preserve"> o</w:t>
      </w:r>
      <w:r w:rsidR="001F21AC" w:rsidRPr="002F50BD">
        <w:rPr>
          <w:rFonts w:ascii="Verdana" w:hAnsi="Verdana"/>
          <w:sz w:val="20"/>
          <w:szCs w:val="28"/>
          <w:lang w:val="pt-BR"/>
        </w:rPr>
        <w:t>u</w:t>
      </w:r>
      <w:r w:rsidR="004756C1" w:rsidRPr="002F50BD">
        <w:rPr>
          <w:rFonts w:ascii="Verdana" w:hAnsi="Verdana"/>
          <w:sz w:val="20"/>
          <w:szCs w:val="28"/>
          <w:lang w:val="pt-BR"/>
        </w:rPr>
        <w:t xml:space="preserve"> </w:t>
      </w:r>
      <w:r w:rsidR="000920B2" w:rsidRPr="002F50BD">
        <w:rPr>
          <w:rFonts w:ascii="Verdana" w:hAnsi="Verdana"/>
          <w:sz w:val="20"/>
          <w:szCs w:val="28"/>
          <w:lang w:val="pt-BR"/>
        </w:rPr>
        <w:t>imóveis</w:t>
      </w:r>
      <w:r w:rsidR="004756C1" w:rsidRPr="002F50BD">
        <w:rPr>
          <w:rFonts w:ascii="Verdana" w:hAnsi="Verdana"/>
          <w:sz w:val="20"/>
          <w:szCs w:val="28"/>
          <w:lang w:val="pt-BR"/>
        </w:rPr>
        <w:t>.</w:t>
      </w:r>
      <w:r w:rsidR="00FE08B7">
        <w:rPr>
          <w:rFonts w:ascii="Verdana" w:hAnsi="Verdana"/>
          <w:sz w:val="20"/>
          <w:szCs w:val="28"/>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29</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 dos artigo</w:t>
      </w:r>
      <w:r w:rsidR="004756C1" w:rsidRPr="002F50BD">
        <w:rPr>
          <w:rFonts w:ascii="Verdana" w:hAnsi="Verdana"/>
          <w:sz w:val="20"/>
          <w:szCs w:val="28"/>
          <w:lang w:val="pt-BR"/>
        </w:rPr>
        <w:t xml:space="preserve">s </w:t>
      </w:r>
      <w:r w:rsidRPr="002F50BD">
        <w:rPr>
          <w:rFonts w:ascii="Verdana" w:hAnsi="Verdana"/>
          <w:sz w:val="20"/>
          <w:szCs w:val="28"/>
          <w:lang w:val="pt-BR"/>
        </w:rPr>
        <w:t>15</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w:t>
      </w:r>
      <w:r w:rsidR="004756C1" w:rsidRPr="002F50BD">
        <w:rPr>
          <w:rFonts w:ascii="Verdana" w:hAnsi="Verdana"/>
          <w:sz w:val="20"/>
          <w:szCs w:val="28"/>
          <w:lang w:val="pt-BR"/>
        </w:rPr>
        <w:t xml:space="preserve"> de </w:t>
      </w:r>
      <w:r w:rsidR="0089298C" w:rsidRPr="002F50BD">
        <w:rPr>
          <w:rFonts w:ascii="Verdana" w:hAnsi="Verdana"/>
          <w:sz w:val="20"/>
          <w:szCs w:val="28"/>
          <w:lang w:val="pt-BR"/>
        </w:rPr>
        <w:t>Reunião</w:t>
      </w:r>
      <w:r w:rsidR="00CF451D" w:rsidRPr="00CF451D">
        <w:rPr>
          <w:rFonts w:ascii="Verdana" w:hAnsi="Verdana"/>
          <w:sz w:val="20"/>
          <w:szCs w:val="28"/>
          <w:lang w:val="pt-BR"/>
        </w:rPr>
        <w:t>)</w:t>
      </w:r>
      <w:r w:rsidR="0089298C" w:rsidRPr="002F50BD">
        <w:rPr>
          <w:rFonts w:ascii="Verdana" w:hAnsi="Verdana"/>
          <w:sz w:val="20"/>
          <w:szCs w:val="28"/>
          <w:lang w:val="pt-BR"/>
        </w:rPr>
        <w:t xml:space="preserve"> e </w:t>
      </w:r>
      <w:r w:rsidRPr="002F50BD">
        <w:rPr>
          <w:rFonts w:ascii="Verdana" w:hAnsi="Verdana"/>
          <w:sz w:val="20"/>
          <w:szCs w:val="28"/>
          <w:lang w:val="pt-BR"/>
        </w:rPr>
        <w:t>16</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Liberdade </w:t>
      </w:r>
      <w:r w:rsidR="004756C1" w:rsidRPr="002F50BD">
        <w:rPr>
          <w:rFonts w:ascii="Verdana" w:hAnsi="Verdana"/>
          <w:sz w:val="20"/>
          <w:szCs w:val="28"/>
          <w:lang w:val="pt-BR"/>
        </w:rPr>
        <w:t xml:space="preserve">de </w:t>
      </w:r>
      <w:r w:rsidR="004076AD" w:rsidRPr="002F50BD">
        <w:rPr>
          <w:rFonts w:ascii="Verdana" w:hAnsi="Verdana"/>
          <w:sz w:val="20"/>
          <w:szCs w:val="28"/>
          <w:lang w:val="pt-BR"/>
        </w:rPr>
        <w:t>Associação</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compre</w:t>
      </w:r>
      <w:r w:rsidR="001F21AC"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1F21AC" w:rsidRPr="002F50BD">
        <w:rPr>
          <w:rFonts w:ascii="Verdana" w:hAnsi="Verdana"/>
          <w:sz w:val="20"/>
          <w:szCs w:val="28"/>
          <w:lang w:val="pt-BR"/>
        </w:rPr>
        <w:t xml:space="preserve">e </w:t>
      </w:r>
      <w:r w:rsidR="0089298C" w:rsidRPr="002F50BD">
        <w:rPr>
          <w:rFonts w:ascii="Verdana" w:hAnsi="Verdana"/>
          <w:sz w:val="20"/>
          <w:szCs w:val="28"/>
          <w:lang w:val="pt-BR"/>
        </w:rPr>
        <w:t>o direito das pessoa</w:t>
      </w:r>
      <w:r w:rsidR="004756C1" w:rsidRPr="002F50BD">
        <w:rPr>
          <w:rFonts w:ascii="Verdana" w:hAnsi="Verdana"/>
          <w:sz w:val="20"/>
          <w:szCs w:val="28"/>
          <w:lang w:val="pt-BR"/>
        </w:rPr>
        <w:t>s integrantes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w:t>
      </w:r>
      <w:r w:rsidR="00B76C95" w:rsidRPr="002F50BD">
        <w:rPr>
          <w:rFonts w:ascii="Verdana" w:hAnsi="Verdana"/>
          <w:sz w:val="20"/>
          <w:szCs w:val="28"/>
          <w:lang w:val="pt-BR"/>
        </w:rPr>
        <w:t>de</w:t>
      </w:r>
      <w:r w:rsidR="004756C1" w:rsidRPr="002F50BD">
        <w:rPr>
          <w:rFonts w:ascii="Verdana" w:hAnsi="Verdana"/>
          <w:sz w:val="20"/>
          <w:szCs w:val="28"/>
          <w:lang w:val="pt-BR"/>
        </w:rPr>
        <w:t xml:space="preserve"> reunir</w:t>
      </w:r>
      <w:r w:rsidR="001F21AC" w:rsidRPr="002F50BD">
        <w:rPr>
          <w:rFonts w:ascii="Verdana" w:hAnsi="Verdana"/>
          <w:sz w:val="20"/>
          <w:szCs w:val="28"/>
          <w:lang w:val="pt-BR"/>
        </w:rPr>
        <w:t>-</w:t>
      </w:r>
      <w:r w:rsidR="004756C1" w:rsidRPr="002F50BD">
        <w:rPr>
          <w:rFonts w:ascii="Verdana" w:hAnsi="Verdana"/>
          <w:sz w:val="20"/>
          <w:szCs w:val="28"/>
          <w:lang w:val="pt-BR"/>
        </w:rPr>
        <w:t>se</w:t>
      </w:r>
      <w:r w:rsidR="0089298C" w:rsidRPr="002F50BD">
        <w:rPr>
          <w:rFonts w:ascii="Verdana" w:hAnsi="Verdana"/>
          <w:sz w:val="20"/>
          <w:szCs w:val="28"/>
          <w:lang w:val="pt-BR"/>
        </w:rPr>
        <w:t xml:space="preserve"> e </w:t>
      </w:r>
      <w:r w:rsidR="00B76C95" w:rsidRPr="002F50BD">
        <w:rPr>
          <w:rFonts w:ascii="Verdana" w:hAnsi="Verdana"/>
          <w:sz w:val="20"/>
          <w:szCs w:val="28"/>
          <w:lang w:val="pt-BR"/>
        </w:rPr>
        <w:t xml:space="preserve">de </w:t>
      </w:r>
      <w:r w:rsidR="004756C1" w:rsidRPr="002F50BD">
        <w:rPr>
          <w:rFonts w:ascii="Verdana" w:hAnsi="Verdana"/>
          <w:sz w:val="20"/>
          <w:szCs w:val="28"/>
          <w:lang w:val="pt-BR"/>
        </w:rPr>
        <w:t>formar a</w:t>
      </w:r>
      <w:r w:rsidR="001F21AC" w:rsidRPr="002F50BD">
        <w:rPr>
          <w:rFonts w:ascii="Verdana" w:hAnsi="Verdana"/>
          <w:sz w:val="20"/>
          <w:szCs w:val="28"/>
          <w:lang w:val="pt-BR"/>
        </w:rPr>
        <w:t>s</w:t>
      </w:r>
      <w:r w:rsidR="004756C1" w:rsidRPr="002F50BD">
        <w:rPr>
          <w:rFonts w:ascii="Verdana" w:hAnsi="Verdana"/>
          <w:sz w:val="20"/>
          <w:szCs w:val="28"/>
          <w:lang w:val="pt-BR"/>
        </w:rPr>
        <w:t>socia</w:t>
      </w:r>
      <w:r w:rsidR="0089298C" w:rsidRPr="002F50BD">
        <w:rPr>
          <w:rFonts w:ascii="Verdana" w:hAnsi="Verdana"/>
          <w:sz w:val="20"/>
          <w:szCs w:val="28"/>
          <w:lang w:val="pt-BR"/>
        </w:rPr>
        <w:t>ções</w:t>
      </w:r>
      <w:r w:rsidR="004756C1" w:rsidRPr="002F50BD">
        <w:rPr>
          <w:rFonts w:ascii="Verdana" w:hAnsi="Verdana"/>
          <w:sz w:val="20"/>
          <w:szCs w:val="28"/>
          <w:lang w:val="pt-BR"/>
        </w:rPr>
        <w:t xml:space="preserve"> </w:t>
      </w:r>
      <w:r w:rsidR="0089298C" w:rsidRPr="002F50BD">
        <w:rPr>
          <w:rFonts w:ascii="Verdana" w:hAnsi="Verdana"/>
          <w:sz w:val="20"/>
          <w:szCs w:val="28"/>
          <w:lang w:val="pt-BR"/>
        </w:rPr>
        <w:t xml:space="preserve">de acordo com </w:t>
      </w:r>
      <w:r w:rsidR="00385366" w:rsidRPr="002F50BD">
        <w:rPr>
          <w:rFonts w:ascii="Verdana" w:hAnsi="Verdana"/>
          <w:sz w:val="20"/>
          <w:szCs w:val="28"/>
          <w:lang w:val="pt-BR"/>
        </w:rPr>
        <w:t>sua própria</w:t>
      </w:r>
      <w:r w:rsidR="0089298C" w:rsidRPr="002F50BD">
        <w:rPr>
          <w:rFonts w:ascii="Verdana" w:hAnsi="Verdana"/>
          <w:sz w:val="20"/>
          <w:szCs w:val="28"/>
          <w:lang w:val="pt-BR"/>
        </w:rPr>
        <w:t xml:space="preserve"> </w:t>
      </w:r>
      <w:r w:rsidR="004756C1" w:rsidRPr="002F50BD">
        <w:rPr>
          <w:rFonts w:ascii="Verdana" w:hAnsi="Verdana"/>
          <w:sz w:val="20"/>
          <w:szCs w:val="28"/>
          <w:lang w:val="pt-BR"/>
        </w:rPr>
        <w:t>cultura, valores</w:t>
      </w:r>
      <w:r w:rsidR="0089298C" w:rsidRPr="002F50BD">
        <w:rPr>
          <w:rFonts w:ascii="Verdana" w:hAnsi="Verdana"/>
          <w:sz w:val="20"/>
          <w:szCs w:val="28"/>
          <w:lang w:val="pt-BR"/>
        </w:rPr>
        <w:t xml:space="preserve"> e direito</w:t>
      </w:r>
      <w:r w:rsidR="004756C1" w:rsidRPr="002F50BD">
        <w:rPr>
          <w:rFonts w:ascii="Verdana" w:hAnsi="Verdana"/>
          <w:sz w:val="20"/>
          <w:szCs w:val="28"/>
          <w:lang w:val="pt-BR"/>
        </w:rPr>
        <w:t xml:space="preserve"> </w:t>
      </w:r>
      <w:r w:rsidR="0089298C" w:rsidRPr="002F50BD">
        <w:rPr>
          <w:rFonts w:ascii="Verdana" w:hAnsi="Verdana"/>
          <w:sz w:val="20"/>
          <w:szCs w:val="28"/>
          <w:lang w:val="pt-BR"/>
        </w:rPr>
        <w:t>consuetudinário</w:t>
      </w:r>
      <w:r w:rsidR="004756C1" w:rsidRPr="002F50BD">
        <w:rPr>
          <w:rFonts w:ascii="Verdana" w:hAnsi="Verdana"/>
          <w:sz w:val="20"/>
          <w:szCs w:val="28"/>
          <w:lang w:val="pt-BR"/>
        </w:rPr>
        <w:t>.</w:t>
      </w:r>
      <w:r w:rsidR="0089298C" w:rsidRPr="002F50BD">
        <w:rPr>
          <w:rFonts w:ascii="Verdana" w:hAnsi="Verdana"/>
          <w:sz w:val="20"/>
          <w:szCs w:val="28"/>
          <w:lang w:val="pt-BR"/>
        </w:rPr>
        <w:t xml:space="preserve"> </w:t>
      </w:r>
      <w:r w:rsidR="001F21AC" w:rsidRPr="002F50BD">
        <w:rPr>
          <w:rFonts w:ascii="Verdana" w:hAnsi="Verdana"/>
          <w:sz w:val="20"/>
          <w:szCs w:val="28"/>
          <w:lang w:val="pt-BR"/>
        </w:rPr>
        <w:t>E</w:t>
      </w:r>
      <w:r w:rsidR="0089298C" w:rsidRPr="002F50BD">
        <w:rPr>
          <w:rFonts w:ascii="Verdana" w:hAnsi="Verdana"/>
          <w:sz w:val="20"/>
          <w:szCs w:val="28"/>
          <w:lang w:val="pt-BR"/>
        </w:rPr>
        <w:t>stes direito</w:t>
      </w:r>
      <w:r w:rsidR="004756C1" w:rsidRPr="002F50BD">
        <w:rPr>
          <w:rFonts w:ascii="Verdana" w:hAnsi="Verdana"/>
          <w:sz w:val="20"/>
          <w:szCs w:val="28"/>
          <w:lang w:val="pt-BR"/>
        </w:rPr>
        <w:t>s</w:t>
      </w:r>
      <w:r w:rsidR="001F21AC" w:rsidRPr="002F50BD">
        <w:rPr>
          <w:rFonts w:ascii="Verdana" w:hAnsi="Verdana"/>
          <w:sz w:val="20"/>
          <w:szCs w:val="28"/>
          <w:lang w:val="pt-BR"/>
        </w:rPr>
        <w:t>,</w:t>
      </w:r>
      <w:r w:rsidR="0089298C" w:rsidRPr="002F50BD">
        <w:rPr>
          <w:rFonts w:ascii="Verdana" w:hAnsi="Verdana"/>
          <w:sz w:val="20"/>
          <w:szCs w:val="28"/>
          <w:lang w:val="pt-BR"/>
        </w:rPr>
        <w:t xml:space="preserve"> em </w:t>
      </w:r>
      <w:r w:rsidR="004756C1" w:rsidRPr="002F50BD">
        <w:rPr>
          <w:rFonts w:ascii="Verdana" w:hAnsi="Verdana"/>
          <w:sz w:val="20"/>
          <w:szCs w:val="28"/>
          <w:lang w:val="pt-BR"/>
        </w:rPr>
        <w:t>conjun</w:t>
      </w:r>
      <w:r w:rsidR="00754117" w:rsidRPr="002F50BD">
        <w:rPr>
          <w:rFonts w:ascii="Verdana" w:hAnsi="Verdana"/>
          <w:sz w:val="20"/>
          <w:szCs w:val="28"/>
          <w:lang w:val="pt-BR"/>
        </w:rPr>
        <w:t>to</w:t>
      </w:r>
      <w:r w:rsidR="0089298C" w:rsidRPr="002F50BD">
        <w:rPr>
          <w:rFonts w:ascii="Verdana" w:hAnsi="Verdana"/>
          <w:sz w:val="20"/>
          <w:szCs w:val="28"/>
          <w:lang w:val="pt-BR"/>
        </w:rPr>
        <w:t xml:space="preserve"> com o artigo</w:t>
      </w:r>
      <w:r w:rsidR="004756C1" w:rsidRPr="002F50BD">
        <w:rPr>
          <w:rFonts w:ascii="Verdana" w:hAnsi="Verdana"/>
          <w:sz w:val="20"/>
          <w:szCs w:val="28"/>
          <w:lang w:val="pt-BR"/>
        </w:rPr>
        <w:t xml:space="preserve"> </w:t>
      </w:r>
      <w:r w:rsidRPr="002F50BD">
        <w:rPr>
          <w:rFonts w:ascii="Verdana" w:hAnsi="Verdana"/>
          <w:sz w:val="20"/>
          <w:szCs w:val="28"/>
          <w:lang w:val="pt-BR"/>
        </w:rPr>
        <w:t>23</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w:t>
      </w:r>
      <w:r w:rsidR="004756C1" w:rsidRPr="002F50BD">
        <w:rPr>
          <w:rFonts w:ascii="Verdana" w:hAnsi="Verdana"/>
          <w:sz w:val="20"/>
          <w:szCs w:val="28"/>
          <w:lang w:val="pt-BR"/>
        </w:rPr>
        <w:t>s Políticos</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89298C" w:rsidRPr="002F50BD">
        <w:rPr>
          <w:rFonts w:ascii="Verdana" w:hAnsi="Verdana"/>
          <w:sz w:val="20"/>
          <w:szCs w:val="28"/>
          <w:lang w:val="pt-BR"/>
        </w:rPr>
        <w:t>permitem</w:t>
      </w:r>
      <w:r w:rsidR="004756C1" w:rsidRPr="002F50BD">
        <w:rPr>
          <w:rFonts w:ascii="Verdana" w:hAnsi="Verdana"/>
          <w:sz w:val="20"/>
          <w:szCs w:val="28"/>
          <w:lang w:val="pt-BR"/>
        </w:rPr>
        <w:t xml:space="preserve"> a estas </w:t>
      </w:r>
      <w:r w:rsidR="0089298C" w:rsidRPr="002F50BD">
        <w:rPr>
          <w:rFonts w:ascii="Verdana" w:hAnsi="Verdana"/>
          <w:sz w:val="20"/>
          <w:szCs w:val="28"/>
          <w:lang w:val="pt-BR"/>
        </w:rPr>
        <w:t>pessoa</w:t>
      </w:r>
      <w:r w:rsidR="004756C1" w:rsidRPr="002F50BD">
        <w:rPr>
          <w:rFonts w:ascii="Verdana" w:hAnsi="Verdana"/>
          <w:sz w:val="20"/>
          <w:szCs w:val="28"/>
          <w:lang w:val="pt-BR"/>
        </w:rPr>
        <w:t>s organizar</w:t>
      </w:r>
      <w:r w:rsidR="001F21AC" w:rsidRPr="002F50BD">
        <w:rPr>
          <w:rFonts w:ascii="Verdana" w:hAnsi="Verdana"/>
          <w:sz w:val="20"/>
          <w:szCs w:val="28"/>
          <w:lang w:val="pt-BR"/>
        </w:rPr>
        <w:t>-</w:t>
      </w:r>
      <w:r w:rsidR="004756C1" w:rsidRPr="002F50BD">
        <w:rPr>
          <w:rFonts w:ascii="Verdana" w:hAnsi="Verdana"/>
          <w:sz w:val="20"/>
          <w:szCs w:val="28"/>
          <w:lang w:val="pt-BR"/>
        </w:rPr>
        <w:t xml:space="preserve">se de </w:t>
      </w:r>
      <w:r w:rsidR="0089298C" w:rsidRPr="002F50BD">
        <w:rPr>
          <w:rFonts w:ascii="Verdana" w:hAnsi="Verdana"/>
          <w:sz w:val="20"/>
          <w:szCs w:val="28"/>
          <w:lang w:val="pt-BR"/>
        </w:rPr>
        <w:t>acordo</w:t>
      </w:r>
      <w:r w:rsidR="004756C1" w:rsidRPr="002F50BD">
        <w:rPr>
          <w:rFonts w:ascii="Verdana" w:hAnsi="Verdana"/>
          <w:sz w:val="20"/>
          <w:szCs w:val="28"/>
          <w:lang w:val="pt-BR"/>
        </w:rPr>
        <w:t xml:space="preserve"> </w:t>
      </w:r>
      <w:r w:rsidR="001F21AC" w:rsidRPr="002F50BD">
        <w:rPr>
          <w:rFonts w:ascii="Verdana" w:hAnsi="Verdana"/>
          <w:sz w:val="20"/>
          <w:szCs w:val="28"/>
          <w:lang w:val="pt-BR"/>
        </w:rPr>
        <w:t>com</w:t>
      </w:r>
      <w:r w:rsidR="004756C1" w:rsidRPr="002F50BD">
        <w:rPr>
          <w:rFonts w:ascii="Verdana" w:hAnsi="Verdana"/>
          <w:sz w:val="20"/>
          <w:szCs w:val="28"/>
          <w:lang w:val="pt-BR"/>
        </w:rPr>
        <w:t xml:space="preserve"> </w:t>
      </w:r>
      <w:r w:rsidR="00E350FB" w:rsidRPr="002F50BD">
        <w:rPr>
          <w:rFonts w:ascii="Verdana" w:hAnsi="Verdana"/>
          <w:sz w:val="20"/>
          <w:szCs w:val="28"/>
          <w:lang w:val="pt-BR"/>
        </w:rPr>
        <w:t>suas próprias</w:t>
      </w:r>
      <w:r w:rsidR="004756C1" w:rsidRPr="002F50BD">
        <w:rPr>
          <w:rFonts w:ascii="Verdana" w:hAnsi="Verdana"/>
          <w:sz w:val="20"/>
          <w:szCs w:val="28"/>
          <w:lang w:val="pt-BR"/>
        </w:rPr>
        <w:t xml:space="preserve"> formas de organiza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tradicional, </w:t>
      </w:r>
      <w:r w:rsidR="001F21AC" w:rsidRPr="002F50BD">
        <w:rPr>
          <w:rFonts w:ascii="Verdana" w:hAnsi="Verdana"/>
          <w:sz w:val="20"/>
          <w:szCs w:val="28"/>
          <w:lang w:val="pt-BR"/>
        </w:rPr>
        <w:t xml:space="preserve">eleger </w:t>
      </w:r>
      <w:r w:rsidR="0089298C" w:rsidRPr="002F50BD">
        <w:rPr>
          <w:rFonts w:ascii="Verdana" w:hAnsi="Verdana"/>
          <w:sz w:val="20"/>
          <w:szCs w:val="28"/>
          <w:lang w:val="pt-BR"/>
        </w:rPr>
        <w:t xml:space="preserve">seus </w:t>
      </w:r>
      <w:r w:rsidR="008C29C9" w:rsidRPr="002F50BD">
        <w:rPr>
          <w:rFonts w:ascii="Verdana" w:hAnsi="Verdana"/>
          <w:sz w:val="20"/>
          <w:szCs w:val="28"/>
          <w:lang w:val="pt-BR"/>
        </w:rPr>
        <w:t>representante</w:t>
      </w:r>
      <w:r w:rsidR="0089298C" w:rsidRPr="002F50BD">
        <w:rPr>
          <w:rFonts w:ascii="Verdana" w:hAnsi="Verdana"/>
          <w:sz w:val="20"/>
          <w:szCs w:val="28"/>
          <w:lang w:val="pt-BR"/>
        </w:rPr>
        <w:t>s</w:t>
      </w:r>
      <w:r w:rsidR="004756C1" w:rsidRPr="002F50BD">
        <w:rPr>
          <w:rFonts w:ascii="Verdana" w:hAnsi="Verdana"/>
          <w:sz w:val="20"/>
          <w:szCs w:val="28"/>
          <w:lang w:val="pt-BR"/>
        </w:rPr>
        <w:t xml:space="preserve"> de </w:t>
      </w:r>
      <w:r w:rsidR="0089298C" w:rsidRPr="002F50BD">
        <w:rPr>
          <w:rFonts w:ascii="Verdana" w:hAnsi="Verdana"/>
          <w:sz w:val="20"/>
          <w:szCs w:val="28"/>
          <w:lang w:val="pt-BR"/>
        </w:rPr>
        <w:t>acordo</w:t>
      </w:r>
      <w:r w:rsidR="004756C1" w:rsidRPr="002F50BD">
        <w:rPr>
          <w:rFonts w:ascii="Verdana" w:hAnsi="Verdana"/>
          <w:sz w:val="20"/>
          <w:szCs w:val="28"/>
          <w:lang w:val="pt-BR"/>
        </w:rPr>
        <w:t xml:space="preserve"> </w:t>
      </w:r>
      <w:r w:rsidR="00B76C95" w:rsidRPr="002F50BD">
        <w:rPr>
          <w:rFonts w:ascii="Verdana" w:hAnsi="Verdana"/>
          <w:sz w:val="20"/>
          <w:szCs w:val="28"/>
          <w:lang w:val="pt-BR"/>
        </w:rPr>
        <w:t>com</w:t>
      </w:r>
      <w:r w:rsidR="004756C1" w:rsidRPr="002F50BD">
        <w:rPr>
          <w:rFonts w:ascii="Verdana" w:hAnsi="Verdana"/>
          <w:sz w:val="20"/>
          <w:szCs w:val="28"/>
          <w:lang w:val="pt-BR"/>
        </w:rPr>
        <w:t xml:space="preserve"> </w:t>
      </w:r>
      <w:r w:rsidR="00E350FB" w:rsidRPr="002F50BD">
        <w:rPr>
          <w:rFonts w:ascii="Verdana" w:hAnsi="Verdana"/>
          <w:sz w:val="20"/>
          <w:szCs w:val="28"/>
          <w:lang w:val="pt-BR"/>
        </w:rPr>
        <w:t>suas próprias</w:t>
      </w:r>
      <w:r w:rsidR="004756C1" w:rsidRPr="002F50BD">
        <w:rPr>
          <w:rFonts w:ascii="Verdana" w:hAnsi="Verdana"/>
          <w:sz w:val="20"/>
          <w:szCs w:val="28"/>
          <w:lang w:val="pt-BR"/>
        </w:rPr>
        <w:t xml:space="preserve"> formas de </w:t>
      </w:r>
      <w:r w:rsidR="00F46680" w:rsidRPr="002F50BD">
        <w:rPr>
          <w:rFonts w:ascii="Verdana" w:hAnsi="Verdana"/>
          <w:sz w:val="20"/>
          <w:szCs w:val="28"/>
          <w:lang w:val="pt-BR"/>
        </w:rPr>
        <w:t>eleiçã</w:t>
      </w:r>
      <w:r w:rsidR="0089298C" w:rsidRPr="002F50BD">
        <w:rPr>
          <w:rFonts w:ascii="Verdana" w:hAnsi="Verdana"/>
          <w:sz w:val="20"/>
          <w:szCs w:val="28"/>
          <w:lang w:val="pt-BR"/>
        </w:rPr>
        <w:t xml:space="preserve">o e </w:t>
      </w:r>
      <w:r w:rsidR="004756C1" w:rsidRPr="002F50BD">
        <w:rPr>
          <w:rFonts w:ascii="Verdana" w:hAnsi="Verdana"/>
          <w:sz w:val="20"/>
          <w:szCs w:val="28"/>
          <w:lang w:val="pt-BR"/>
        </w:rPr>
        <w:t xml:space="preserve">promover </w:t>
      </w:r>
      <w:r w:rsidR="00385366" w:rsidRPr="002F50BD">
        <w:rPr>
          <w:rFonts w:ascii="Verdana" w:hAnsi="Verdana"/>
          <w:sz w:val="20"/>
          <w:szCs w:val="28"/>
          <w:lang w:val="pt-BR"/>
        </w:rPr>
        <w:t>seu desenvolvimento</w:t>
      </w:r>
      <w:r w:rsidR="004756C1" w:rsidRPr="002F50BD">
        <w:rPr>
          <w:rFonts w:ascii="Verdana" w:hAnsi="Verdana"/>
          <w:sz w:val="20"/>
          <w:szCs w:val="28"/>
          <w:lang w:val="pt-BR"/>
        </w:rPr>
        <w:t xml:space="preserve"> de </w:t>
      </w:r>
      <w:r w:rsidR="0089298C" w:rsidRPr="002F50BD">
        <w:rPr>
          <w:rFonts w:ascii="Verdana" w:hAnsi="Verdana"/>
          <w:sz w:val="20"/>
          <w:szCs w:val="28"/>
          <w:lang w:val="pt-BR"/>
        </w:rPr>
        <w:t xml:space="preserve">acordo com </w:t>
      </w:r>
      <w:r w:rsidR="004756C1" w:rsidRPr="002F50BD">
        <w:rPr>
          <w:rFonts w:ascii="Verdana" w:hAnsi="Verdana"/>
          <w:sz w:val="20"/>
          <w:szCs w:val="28"/>
          <w:lang w:val="pt-BR"/>
        </w:rPr>
        <w:t>su</w:t>
      </w:r>
      <w:r w:rsidR="001F21AC" w:rsidRPr="002F50BD">
        <w:rPr>
          <w:rFonts w:ascii="Verdana" w:hAnsi="Verdana"/>
          <w:sz w:val="20"/>
          <w:szCs w:val="28"/>
          <w:lang w:val="pt-BR"/>
        </w:rPr>
        <w:t>a</w:t>
      </w:r>
      <w:r w:rsidR="004756C1" w:rsidRPr="002F50BD">
        <w:rPr>
          <w:rFonts w:ascii="Verdana" w:hAnsi="Verdana"/>
          <w:sz w:val="20"/>
          <w:szCs w:val="28"/>
          <w:lang w:val="pt-BR"/>
        </w:rPr>
        <w:t>s aspira</w:t>
      </w:r>
      <w:r w:rsidR="0089298C" w:rsidRPr="002F50BD">
        <w:rPr>
          <w:rFonts w:ascii="Verdana" w:hAnsi="Verdana"/>
          <w:sz w:val="20"/>
          <w:szCs w:val="28"/>
          <w:lang w:val="pt-BR"/>
        </w:rPr>
        <w:t>ções e necessidad</w:t>
      </w:r>
      <w:r w:rsidR="004756C1" w:rsidRPr="002F50BD">
        <w:rPr>
          <w:rFonts w:ascii="Verdana" w:hAnsi="Verdana"/>
          <w:sz w:val="20"/>
          <w:szCs w:val="28"/>
          <w:lang w:val="pt-BR"/>
        </w:rPr>
        <w:t>es.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30</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17</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Proteção da </w:t>
      </w:r>
      <w:r w:rsidR="005A6BC7" w:rsidRPr="002F50BD">
        <w:rPr>
          <w:rFonts w:ascii="Verdana" w:hAnsi="Verdana"/>
          <w:sz w:val="20"/>
          <w:szCs w:val="28"/>
          <w:lang w:val="pt-BR"/>
        </w:rPr>
        <w:t>Família</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511F8A" w:rsidRPr="002F50BD">
        <w:rPr>
          <w:rFonts w:ascii="Verdana" w:hAnsi="Verdana"/>
          <w:sz w:val="20"/>
          <w:szCs w:val="28"/>
          <w:lang w:val="pt-BR"/>
        </w:rPr>
        <w:t xml:space="preserve">é o </w:t>
      </w:r>
      <w:r w:rsidR="0089298C" w:rsidRPr="002F50BD">
        <w:rPr>
          <w:rFonts w:ascii="Verdana" w:hAnsi="Verdana"/>
          <w:sz w:val="20"/>
          <w:szCs w:val="28"/>
          <w:lang w:val="pt-BR"/>
        </w:rPr>
        <w:t>direito dos membro</w:t>
      </w:r>
      <w:r w:rsidR="004756C1" w:rsidRPr="002F50BD">
        <w:rPr>
          <w:rFonts w:ascii="Verdana" w:hAnsi="Verdana"/>
          <w:sz w:val="20"/>
          <w:szCs w:val="28"/>
          <w:lang w:val="pt-BR"/>
        </w:rPr>
        <w:t xml:space="preserve">s </w:t>
      </w:r>
      <w:r w:rsidR="0089298C" w:rsidRPr="002F50BD">
        <w:rPr>
          <w:rFonts w:ascii="Verdana" w:hAnsi="Verdana"/>
          <w:sz w:val="20"/>
          <w:szCs w:val="28"/>
          <w:lang w:val="pt-BR"/>
        </w:rPr>
        <w:t xml:space="preserve">destes </w:t>
      </w:r>
      <w:r w:rsidR="004756C1" w:rsidRPr="002F50BD">
        <w:rPr>
          <w:rFonts w:ascii="Verdana" w:hAnsi="Verdana"/>
          <w:sz w:val="20"/>
          <w:szCs w:val="28"/>
          <w:lang w:val="pt-BR"/>
        </w:rPr>
        <w:t xml:space="preserve">grupos </w:t>
      </w:r>
      <w:r w:rsidR="00CB4243" w:rsidRPr="002F50BD">
        <w:rPr>
          <w:rFonts w:ascii="Verdana" w:hAnsi="Verdana"/>
          <w:sz w:val="20"/>
          <w:szCs w:val="28"/>
          <w:lang w:val="pt-BR"/>
        </w:rPr>
        <w:t>de</w:t>
      </w:r>
      <w:r w:rsidR="004756C1" w:rsidRPr="002F50BD">
        <w:rPr>
          <w:rFonts w:ascii="Verdana" w:hAnsi="Verdana"/>
          <w:sz w:val="20"/>
          <w:szCs w:val="28"/>
          <w:lang w:val="pt-BR"/>
        </w:rPr>
        <w:t xml:space="preserve"> conservar </w:t>
      </w:r>
      <w:r w:rsidR="00E350FB" w:rsidRPr="002F50BD">
        <w:rPr>
          <w:rFonts w:ascii="Verdana" w:hAnsi="Verdana"/>
          <w:sz w:val="20"/>
          <w:szCs w:val="28"/>
          <w:lang w:val="pt-BR"/>
        </w:rPr>
        <w:t>suas próprias</w:t>
      </w:r>
      <w:r w:rsidR="004756C1" w:rsidRPr="002F50BD">
        <w:rPr>
          <w:rFonts w:ascii="Verdana" w:hAnsi="Verdana"/>
          <w:sz w:val="20"/>
          <w:szCs w:val="28"/>
          <w:lang w:val="pt-BR"/>
        </w:rPr>
        <w:t xml:space="preserve"> formas de organiza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646293" w:rsidRPr="002F50BD">
        <w:rPr>
          <w:rFonts w:ascii="Verdana" w:hAnsi="Verdana"/>
          <w:sz w:val="20"/>
          <w:szCs w:val="28"/>
          <w:lang w:val="pt-BR"/>
        </w:rPr>
        <w:t>familiar</w:t>
      </w:r>
      <w:r w:rsidR="0089298C" w:rsidRPr="002F50BD">
        <w:rPr>
          <w:rFonts w:ascii="Verdana" w:hAnsi="Verdana"/>
          <w:sz w:val="20"/>
          <w:szCs w:val="28"/>
          <w:lang w:val="pt-BR"/>
        </w:rPr>
        <w:t xml:space="preserve"> e </w:t>
      </w:r>
      <w:r w:rsidR="004756C1" w:rsidRPr="002F50BD">
        <w:rPr>
          <w:rFonts w:ascii="Verdana" w:hAnsi="Verdana"/>
          <w:sz w:val="20"/>
          <w:szCs w:val="28"/>
          <w:lang w:val="pt-BR"/>
        </w:rPr>
        <w:t>de filia</w:t>
      </w:r>
      <w:r w:rsidR="0089298C" w:rsidRPr="002F50BD">
        <w:rPr>
          <w:rFonts w:ascii="Verdana" w:hAnsi="Verdana"/>
          <w:sz w:val="20"/>
          <w:szCs w:val="28"/>
          <w:lang w:val="pt-BR"/>
        </w:rPr>
        <w:t>ção</w:t>
      </w:r>
      <w:r w:rsidR="004756C1" w:rsidRPr="002F50BD">
        <w:rPr>
          <w:rFonts w:ascii="Verdana" w:hAnsi="Verdana"/>
          <w:sz w:val="20"/>
          <w:szCs w:val="28"/>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31</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18</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 ao Nome</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compre</w:t>
      </w:r>
      <w:r w:rsidR="00511F8A"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511F8A" w:rsidRPr="002F50BD">
        <w:rPr>
          <w:rFonts w:ascii="Verdana" w:hAnsi="Verdana"/>
          <w:sz w:val="20"/>
          <w:szCs w:val="28"/>
          <w:lang w:val="pt-BR"/>
        </w:rPr>
        <w:t xml:space="preserve">e </w:t>
      </w:r>
      <w:r w:rsidR="0089298C" w:rsidRPr="002F50BD">
        <w:rPr>
          <w:rFonts w:ascii="Verdana" w:hAnsi="Verdana"/>
          <w:sz w:val="20"/>
          <w:szCs w:val="28"/>
          <w:lang w:val="pt-BR"/>
        </w:rPr>
        <w:t>o direito</w:t>
      </w:r>
      <w:r w:rsidR="004756C1" w:rsidRPr="002F50BD">
        <w:rPr>
          <w:rFonts w:ascii="Verdana" w:hAnsi="Verdana"/>
          <w:sz w:val="20"/>
          <w:szCs w:val="28"/>
          <w:lang w:val="pt-BR"/>
        </w:rPr>
        <w:t xml:space="preserve"> que </w:t>
      </w:r>
      <w:r w:rsidR="0089298C" w:rsidRPr="002F50BD">
        <w:rPr>
          <w:rFonts w:ascii="Verdana" w:hAnsi="Verdana"/>
          <w:sz w:val="20"/>
          <w:szCs w:val="28"/>
          <w:lang w:val="pt-BR"/>
        </w:rPr>
        <w:t>têm</w:t>
      </w:r>
      <w:r w:rsidR="004756C1" w:rsidRPr="002F50BD">
        <w:rPr>
          <w:rFonts w:ascii="Verdana" w:hAnsi="Verdana"/>
          <w:sz w:val="20"/>
          <w:szCs w:val="28"/>
          <w:lang w:val="pt-BR"/>
        </w:rPr>
        <w:t xml:space="preserve"> de atribuir </w:t>
      </w:r>
      <w:r w:rsidR="0089298C" w:rsidRPr="002F50BD">
        <w:rPr>
          <w:rFonts w:ascii="Verdana" w:hAnsi="Verdana"/>
          <w:sz w:val="20"/>
          <w:szCs w:val="28"/>
          <w:lang w:val="pt-BR"/>
        </w:rPr>
        <w:t>nome</w:t>
      </w:r>
      <w:r w:rsidR="004756C1" w:rsidRPr="002F50BD">
        <w:rPr>
          <w:rFonts w:ascii="Verdana" w:hAnsi="Verdana"/>
          <w:sz w:val="20"/>
          <w:szCs w:val="28"/>
          <w:lang w:val="pt-BR"/>
        </w:rPr>
        <w:t xml:space="preserve">s a </w:t>
      </w:r>
      <w:r w:rsidR="00AB454A" w:rsidRPr="002F50BD">
        <w:rPr>
          <w:rFonts w:ascii="Verdana" w:hAnsi="Verdana"/>
          <w:sz w:val="20"/>
          <w:szCs w:val="28"/>
          <w:lang w:val="pt-BR"/>
        </w:rPr>
        <w:t>suas comunidades</w:t>
      </w:r>
      <w:r w:rsidR="004756C1" w:rsidRPr="002F50BD">
        <w:rPr>
          <w:rFonts w:ascii="Verdana" w:hAnsi="Verdana"/>
          <w:sz w:val="20"/>
          <w:szCs w:val="28"/>
          <w:lang w:val="pt-BR"/>
        </w:rPr>
        <w:t>, lugares</w:t>
      </w:r>
      <w:r w:rsidR="0089298C" w:rsidRPr="002F50BD">
        <w:rPr>
          <w:rFonts w:ascii="Verdana" w:hAnsi="Verdana"/>
          <w:sz w:val="20"/>
          <w:szCs w:val="28"/>
          <w:lang w:val="pt-BR"/>
        </w:rPr>
        <w:t xml:space="preserve"> e pessoa</w:t>
      </w:r>
      <w:r w:rsidR="004756C1" w:rsidRPr="002F50BD">
        <w:rPr>
          <w:rFonts w:ascii="Verdana" w:hAnsi="Verdana"/>
          <w:sz w:val="20"/>
          <w:szCs w:val="28"/>
          <w:lang w:val="pt-BR"/>
        </w:rPr>
        <w:t>s,</w:t>
      </w:r>
      <w:r w:rsidR="0089298C" w:rsidRPr="002F50BD">
        <w:rPr>
          <w:rFonts w:ascii="Verdana" w:hAnsi="Verdana"/>
          <w:sz w:val="20"/>
          <w:szCs w:val="28"/>
          <w:lang w:val="pt-BR"/>
        </w:rPr>
        <w:t xml:space="preserve"> em </w:t>
      </w:r>
      <w:r w:rsidR="004756C1" w:rsidRPr="002F50BD">
        <w:rPr>
          <w:rFonts w:ascii="Verdana" w:hAnsi="Verdana"/>
          <w:sz w:val="20"/>
          <w:szCs w:val="28"/>
          <w:lang w:val="pt-BR"/>
        </w:rPr>
        <w:t>s</w:t>
      </w:r>
      <w:r w:rsidR="00511F8A" w:rsidRPr="002F50BD">
        <w:rPr>
          <w:rFonts w:ascii="Verdana" w:hAnsi="Verdana"/>
          <w:sz w:val="20"/>
          <w:szCs w:val="28"/>
          <w:lang w:val="pt-BR"/>
        </w:rPr>
        <w:t>e</w:t>
      </w:r>
      <w:r w:rsidR="004756C1" w:rsidRPr="002F50BD">
        <w:rPr>
          <w:rFonts w:ascii="Verdana" w:hAnsi="Verdana"/>
          <w:sz w:val="20"/>
          <w:szCs w:val="28"/>
          <w:lang w:val="pt-BR"/>
        </w:rPr>
        <w:t xml:space="preserve">u </w:t>
      </w:r>
      <w:r w:rsidR="0089298C" w:rsidRPr="002F50BD">
        <w:rPr>
          <w:rFonts w:ascii="Verdana" w:hAnsi="Verdana"/>
          <w:sz w:val="20"/>
          <w:szCs w:val="28"/>
          <w:lang w:val="pt-BR"/>
        </w:rPr>
        <w:t>próprio</w:t>
      </w:r>
      <w:r w:rsidR="004756C1" w:rsidRPr="002F50BD">
        <w:rPr>
          <w:rFonts w:ascii="Verdana" w:hAnsi="Verdana"/>
          <w:sz w:val="20"/>
          <w:szCs w:val="28"/>
          <w:lang w:val="pt-BR"/>
        </w:rPr>
        <w:t xml:space="preserve"> idioma</w:t>
      </w:r>
      <w:r w:rsidR="0089298C" w:rsidRPr="002F50BD">
        <w:rPr>
          <w:rFonts w:ascii="Verdana" w:hAnsi="Verdana"/>
          <w:sz w:val="20"/>
          <w:szCs w:val="28"/>
          <w:lang w:val="pt-BR"/>
        </w:rPr>
        <w:t>, e</w:t>
      </w:r>
      <w:r w:rsidR="004756C1" w:rsidRPr="002F50BD">
        <w:rPr>
          <w:rFonts w:ascii="Verdana" w:hAnsi="Verdana"/>
          <w:sz w:val="20"/>
          <w:szCs w:val="28"/>
          <w:lang w:val="pt-BR"/>
        </w:rPr>
        <w:t xml:space="preserve"> </w:t>
      </w:r>
      <w:r w:rsidR="00CB4243" w:rsidRPr="002F50BD">
        <w:rPr>
          <w:rFonts w:ascii="Verdana" w:hAnsi="Verdana"/>
          <w:sz w:val="20"/>
          <w:szCs w:val="28"/>
          <w:lang w:val="pt-BR"/>
        </w:rPr>
        <w:t>de</w:t>
      </w:r>
      <w:r w:rsidR="00754117" w:rsidRPr="002F50BD">
        <w:rPr>
          <w:rFonts w:ascii="Verdana" w:hAnsi="Verdana"/>
          <w:sz w:val="20"/>
          <w:szCs w:val="28"/>
          <w:lang w:val="pt-BR"/>
        </w:rPr>
        <w:t xml:space="preserve"> </w:t>
      </w:r>
      <w:r w:rsidR="0089298C" w:rsidRPr="002F50BD">
        <w:rPr>
          <w:rFonts w:ascii="Verdana" w:hAnsi="Verdana"/>
          <w:sz w:val="20"/>
          <w:szCs w:val="28"/>
          <w:lang w:val="pt-BR"/>
        </w:rPr>
        <w:t>mant</w:t>
      </w:r>
      <w:r w:rsidR="00511F8A" w:rsidRPr="002F50BD">
        <w:rPr>
          <w:rFonts w:ascii="Verdana" w:hAnsi="Verdana"/>
          <w:sz w:val="20"/>
          <w:szCs w:val="28"/>
          <w:lang w:val="pt-BR"/>
        </w:rPr>
        <w:t>ê-</w:t>
      </w:r>
      <w:r w:rsidR="004756C1" w:rsidRPr="002F50BD">
        <w:rPr>
          <w:rFonts w:ascii="Verdana" w:hAnsi="Verdana"/>
          <w:sz w:val="20"/>
          <w:szCs w:val="28"/>
          <w:lang w:val="pt-BR"/>
        </w:rPr>
        <w:t xml:space="preserve">los.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32</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21</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 à Propriedade</w:t>
      </w:r>
      <w:r w:rsidR="004756C1" w:rsidRPr="002F50BD">
        <w:rPr>
          <w:rFonts w:ascii="Verdana" w:hAnsi="Verdana"/>
          <w:sz w:val="20"/>
          <w:szCs w:val="28"/>
          <w:lang w:val="pt-BR"/>
        </w:rPr>
        <w:t xml:space="preserve"> Privada</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compre</w:t>
      </w:r>
      <w:r w:rsidR="00511F8A" w:rsidRPr="002F50BD">
        <w:rPr>
          <w:rFonts w:ascii="Verdana" w:hAnsi="Verdana"/>
          <w:sz w:val="20"/>
          <w:szCs w:val="28"/>
          <w:lang w:val="pt-BR"/>
        </w:rPr>
        <w:t>e</w:t>
      </w:r>
      <w:r w:rsidR="004756C1" w:rsidRPr="002F50BD">
        <w:rPr>
          <w:rFonts w:ascii="Verdana" w:hAnsi="Verdana"/>
          <w:sz w:val="20"/>
          <w:szCs w:val="28"/>
          <w:lang w:val="pt-BR"/>
        </w:rPr>
        <w:t>n</w:t>
      </w:r>
      <w:r w:rsidR="0089298C" w:rsidRPr="002F50BD">
        <w:rPr>
          <w:rFonts w:ascii="Verdana" w:hAnsi="Verdana"/>
          <w:sz w:val="20"/>
          <w:szCs w:val="28"/>
          <w:lang w:val="pt-BR"/>
        </w:rPr>
        <w:t>d</w:t>
      </w:r>
      <w:r w:rsidR="00511F8A" w:rsidRPr="002F50BD">
        <w:rPr>
          <w:rFonts w:ascii="Verdana" w:hAnsi="Verdana"/>
          <w:sz w:val="20"/>
          <w:szCs w:val="28"/>
          <w:lang w:val="pt-BR"/>
        </w:rPr>
        <w:t xml:space="preserve">e </w:t>
      </w:r>
      <w:r w:rsidR="0089298C" w:rsidRPr="002F50BD">
        <w:rPr>
          <w:rFonts w:ascii="Verdana" w:hAnsi="Verdana"/>
          <w:sz w:val="20"/>
          <w:szCs w:val="28"/>
          <w:lang w:val="pt-BR"/>
        </w:rPr>
        <w:t xml:space="preserve">o direito ao </w:t>
      </w:r>
      <w:r w:rsidR="004756C1" w:rsidRPr="002F50BD">
        <w:rPr>
          <w:rFonts w:ascii="Verdana" w:hAnsi="Verdana"/>
          <w:sz w:val="20"/>
          <w:szCs w:val="28"/>
          <w:lang w:val="pt-BR"/>
        </w:rPr>
        <w:t>uso</w:t>
      </w:r>
      <w:r w:rsidR="0089298C" w:rsidRPr="002F50BD">
        <w:rPr>
          <w:rFonts w:ascii="Verdana" w:hAnsi="Verdana"/>
          <w:sz w:val="20"/>
          <w:szCs w:val="28"/>
          <w:lang w:val="pt-BR"/>
        </w:rPr>
        <w:t xml:space="preserve"> e</w:t>
      </w:r>
      <w:r w:rsidR="00385366" w:rsidRPr="002F50BD">
        <w:rPr>
          <w:rFonts w:ascii="Verdana" w:hAnsi="Verdana"/>
          <w:sz w:val="20"/>
          <w:szCs w:val="28"/>
          <w:lang w:val="pt-BR"/>
        </w:rPr>
        <w:t xml:space="preserve"> gozo </w:t>
      </w:r>
      <w:r w:rsidR="004756C1" w:rsidRPr="002F50BD">
        <w:rPr>
          <w:rFonts w:ascii="Verdana" w:hAnsi="Verdana"/>
          <w:sz w:val="20"/>
          <w:szCs w:val="28"/>
          <w:lang w:val="pt-BR"/>
        </w:rPr>
        <w:t xml:space="preserve">de </w:t>
      </w:r>
      <w:r w:rsidR="0089298C" w:rsidRPr="002F50BD">
        <w:rPr>
          <w:rFonts w:ascii="Verdana" w:hAnsi="Verdana"/>
          <w:sz w:val="20"/>
          <w:szCs w:val="28"/>
          <w:lang w:val="pt-BR"/>
        </w:rPr>
        <w:t>seus bens</w:t>
      </w:r>
      <w:r w:rsidR="004756C1" w:rsidRPr="002F50BD">
        <w:rPr>
          <w:rFonts w:ascii="Verdana" w:hAnsi="Verdana"/>
          <w:sz w:val="20"/>
          <w:szCs w:val="28"/>
          <w:lang w:val="pt-BR"/>
        </w:rPr>
        <w:t xml:space="preserve">, tanto </w:t>
      </w:r>
      <w:r w:rsidR="004076AD" w:rsidRPr="002F50BD">
        <w:rPr>
          <w:rFonts w:ascii="Verdana" w:hAnsi="Verdana"/>
          <w:sz w:val="20"/>
          <w:szCs w:val="28"/>
          <w:lang w:val="pt-BR"/>
        </w:rPr>
        <w:t>materiais</w:t>
      </w:r>
      <w:r w:rsidR="004756C1" w:rsidRPr="002F50BD">
        <w:rPr>
          <w:rFonts w:ascii="Verdana" w:hAnsi="Verdana"/>
          <w:sz w:val="20"/>
          <w:szCs w:val="28"/>
          <w:lang w:val="pt-BR"/>
        </w:rPr>
        <w:t xml:space="preserve"> como </w:t>
      </w:r>
      <w:r w:rsidR="0089298C" w:rsidRPr="002F50BD">
        <w:rPr>
          <w:rFonts w:ascii="Verdana" w:hAnsi="Verdana"/>
          <w:sz w:val="20"/>
          <w:szCs w:val="28"/>
          <w:lang w:val="pt-BR"/>
        </w:rPr>
        <w:t>i</w:t>
      </w:r>
      <w:r w:rsidR="004076AD" w:rsidRPr="002F50BD">
        <w:rPr>
          <w:rFonts w:ascii="Verdana" w:hAnsi="Verdana"/>
          <w:sz w:val="20"/>
          <w:szCs w:val="28"/>
          <w:lang w:val="pt-BR"/>
        </w:rPr>
        <w:t>materiais</w:t>
      </w:r>
      <w:r w:rsidR="004756C1" w:rsidRPr="002F50BD">
        <w:rPr>
          <w:rFonts w:ascii="Verdana" w:hAnsi="Verdana"/>
          <w:sz w:val="20"/>
          <w:szCs w:val="28"/>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33</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A </w:t>
      </w:r>
      <w:r w:rsidR="0089298C" w:rsidRPr="002F50BD">
        <w:rPr>
          <w:rFonts w:ascii="Verdana" w:hAnsi="Verdana"/>
          <w:sz w:val="20"/>
          <w:szCs w:val="28"/>
          <w:lang w:val="pt-BR"/>
        </w:rPr>
        <w:t>proteção</w:t>
      </w:r>
      <w:r w:rsidR="004756C1" w:rsidRPr="002F50BD">
        <w:rPr>
          <w:rFonts w:ascii="Verdana" w:hAnsi="Verdana"/>
          <w:sz w:val="20"/>
          <w:szCs w:val="28"/>
          <w:lang w:val="pt-BR"/>
        </w:rPr>
        <w:t xml:space="preserve"> </w:t>
      </w:r>
      <w:r w:rsidR="0089298C" w:rsidRPr="002F50BD">
        <w:rPr>
          <w:rFonts w:ascii="Verdana" w:hAnsi="Verdana"/>
          <w:sz w:val="20"/>
          <w:szCs w:val="28"/>
          <w:lang w:val="pt-BR"/>
        </w:rPr>
        <w:t>do artigo</w:t>
      </w:r>
      <w:r w:rsidR="004756C1" w:rsidRPr="002F50BD">
        <w:rPr>
          <w:rFonts w:ascii="Verdana" w:hAnsi="Verdana"/>
          <w:sz w:val="20"/>
          <w:szCs w:val="28"/>
          <w:lang w:val="pt-BR"/>
        </w:rPr>
        <w:t xml:space="preserve"> </w:t>
      </w:r>
      <w:r w:rsidRPr="002F50BD">
        <w:rPr>
          <w:rFonts w:ascii="Verdana" w:hAnsi="Verdana"/>
          <w:sz w:val="20"/>
          <w:szCs w:val="28"/>
          <w:lang w:val="pt-BR"/>
        </w:rPr>
        <w:t>23</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Direito</w:t>
      </w:r>
      <w:r w:rsidR="004756C1" w:rsidRPr="002F50BD">
        <w:rPr>
          <w:rFonts w:ascii="Verdana" w:hAnsi="Verdana"/>
          <w:sz w:val="20"/>
          <w:szCs w:val="28"/>
          <w:lang w:val="pt-BR"/>
        </w:rPr>
        <w:t>s Políticos</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w:t>
      </w:r>
      <w:r w:rsidR="00511F8A" w:rsidRPr="002F50BD">
        <w:rPr>
          <w:rFonts w:ascii="Verdana" w:hAnsi="Verdana"/>
          <w:sz w:val="20"/>
          <w:szCs w:val="28"/>
          <w:lang w:val="pt-BR"/>
        </w:rPr>
        <w:t xml:space="preserve">é </w:t>
      </w:r>
      <w:r w:rsidR="0089298C" w:rsidRPr="002F50BD">
        <w:rPr>
          <w:rFonts w:ascii="Verdana" w:hAnsi="Verdana"/>
          <w:sz w:val="20"/>
          <w:szCs w:val="28"/>
          <w:lang w:val="pt-BR"/>
        </w:rPr>
        <w:t xml:space="preserve">o </w:t>
      </w:r>
      <w:r w:rsidR="004756C1" w:rsidRPr="002F50BD">
        <w:rPr>
          <w:rFonts w:ascii="Verdana" w:hAnsi="Verdana"/>
          <w:sz w:val="20"/>
          <w:szCs w:val="28"/>
          <w:lang w:val="pt-BR"/>
        </w:rPr>
        <w:t>re</w:t>
      </w:r>
      <w:r w:rsidR="0089298C" w:rsidRPr="002F50BD">
        <w:rPr>
          <w:rFonts w:ascii="Verdana" w:hAnsi="Verdana"/>
          <w:sz w:val="20"/>
          <w:szCs w:val="28"/>
          <w:lang w:val="pt-BR"/>
        </w:rPr>
        <w:t>conhecimento</w:t>
      </w:r>
      <w:r w:rsidR="004756C1" w:rsidRPr="002F50BD">
        <w:rPr>
          <w:rFonts w:ascii="Verdana" w:hAnsi="Verdana"/>
          <w:sz w:val="20"/>
          <w:szCs w:val="28"/>
          <w:lang w:val="pt-BR"/>
        </w:rPr>
        <w:t xml:space="preserve"> </w:t>
      </w:r>
      <w:r w:rsidR="0089298C" w:rsidRPr="002F50BD">
        <w:rPr>
          <w:rFonts w:ascii="Verdana" w:hAnsi="Verdana"/>
          <w:sz w:val="20"/>
          <w:szCs w:val="28"/>
          <w:lang w:val="pt-BR"/>
        </w:rPr>
        <w:t>do direito dos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w:t>
      </w:r>
      <w:r w:rsidR="004756C1" w:rsidRPr="002F50BD">
        <w:rPr>
          <w:rFonts w:ascii="Verdana" w:hAnsi="Verdana"/>
          <w:sz w:val="20"/>
          <w:szCs w:val="28"/>
          <w:lang w:val="pt-BR"/>
        </w:rPr>
        <w:t xml:space="preserve"> de participar </w:t>
      </w:r>
      <w:r w:rsidR="0089298C" w:rsidRPr="002F50BD">
        <w:rPr>
          <w:rFonts w:ascii="Verdana" w:hAnsi="Verdana"/>
          <w:sz w:val="20"/>
          <w:szCs w:val="28"/>
          <w:lang w:val="pt-BR"/>
        </w:rPr>
        <w:t xml:space="preserve">livremente em </w:t>
      </w:r>
      <w:r w:rsidR="004756C1" w:rsidRPr="002F50BD">
        <w:rPr>
          <w:rFonts w:ascii="Verdana" w:hAnsi="Verdana"/>
          <w:sz w:val="20"/>
          <w:szCs w:val="28"/>
          <w:lang w:val="pt-BR"/>
        </w:rPr>
        <w:t>todos</w:t>
      </w:r>
      <w:r w:rsidR="0089298C" w:rsidRPr="002F50BD">
        <w:rPr>
          <w:rFonts w:ascii="Verdana" w:hAnsi="Verdana"/>
          <w:sz w:val="20"/>
          <w:szCs w:val="28"/>
          <w:lang w:val="pt-BR"/>
        </w:rPr>
        <w:t xml:space="preserve"> os níveis</w:t>
      </w:r>
      <w:r w:rsidR="004756C1" w:rsidRPr="002F50BD">
        <w:rPr>
          <w:rFonts w:ascii="Verdana" w:hAnsi="Verdana"/>
          <w:sz w:val="20"/>
          <w:szCs w:val="28"/>
          <w:lang w:val="pt-BR"/>
        </w:rPr>
        <w:t xml:space="preserve"> de </w:t>
      </w:r>
      <w:r w:rsidR="0089298C" w:rsidRPr="002F50BD">
        <w:rPr>
          <w:rFonts w:ascii="Verdana" w:hAnsi="Verdana"/>
          <w:sz w:val="20"/>
          <w:szCs w:val="28"/>
          <w:lang w:val="pt-BR"/>
        </w:rPr>
        <w:t>adoção</w:t>
      </w:r>
      <w:r w:rsidR="004756C1" w:rsidRPr="002F50BD">
        <w:rPr>
          <w:rFonts w:ascii="Verdana" w:hAnsi="Verdana"/>
          <w:sz w:val="20"/>
          <w:szCs w:val="28"/>
          <w:lang w:val="pt-BR"/>
        </w:rPr>
        <w:t xml:space="preserve"> de </w:t>
      </w:r>
      <w:r w:rsidR="0089298C" w:rsidRPr="002F50BD">
        <w:rPr>
          <w:rFonts w:ascii="Verdana" w:hAnsi="Verdana"/>
          <w:sz w:val="20"/>
          <w:szCs w:val="28"/>
          <w:lang w:val="pt-BR"/>
        </w:rPr>
        <w:t>decisões em instituições</w:t>
      </w:r>
      <w:r w:rsidR="004756C1" w:rsidRPr="002F50BD">
        <w:rPr>
          <w:rFonts w:ascii="Verdana" w:hAnsi="Verdana"/>
          <w:sz w:val="20"/>
          <w:szCs w:val="28"/>
          <w:lang w:val="pt-BR"/>
        </w:rPr>
        <w:t xml:space="preserve"> públicas </w:t>
      </w:r>
      <w:r w:rsidR="0089298C" w:rsidRPr="002F50BD">
        <w:rPr>
          <w:rFonts w:ascii="Verdana" w:hAnsi="Verdana"/>
          <w:sz w:val="20"/>
          <w:szCs w:val="28"/>
          <w:lang w:val="pt-BR"/>
        </w:rPr>
        <w:t>responsáveis</w:t>
      </w:r>
      <w:r w:rsidR="004756C1" w:rsidRPr="002F50BD">
        <w:rPr>
          <w:rFonts w:ascii="Verdana" w:hAnsi="Verdana"/>
          <w:sz w:val="20"/>
          <w:szCs w:val="28"/>
          <w:lang w:val="pt-BR"/>
        </w:rPr>
        <w:t xml:space="preserve"> </w:t>
      </w:r>
      <w:r w:rsidR="00C25DFB" w:rsidRPr="002F50BD">
        <w:rPr>
          <w:rFonts w:ascii="Verdana" w:hAnsi="Verdana"/>
          <w:sz w:val="20"/>
          <w:szCs w:val="28"/>
          <w:lang w:val="pt-BR"/>
        </w:rPr>
        <w:t>por</w:t>
      </w:r>
      <w:r w:rsidR="004756C1" w:rsidRPr="002F50BD">
        <w:rPr>
          <w:rFonts w:ascii="Verdana" w:hAnsi="Verdana"/>
          <w:sz w:val="20"/>
          <w:szCs w:val="28"/>
          <w:lang w:val="pt-BR"/>
        </w:rPr>
        <w:t xml:space="preserve"> </w:t>
      </w:r>
      <w:r w:rsidR="004756C1" w:rsidRPr="002F50BD">
        <w:rPr>
          <w:rFonts w:ascii="Verdana" w:hAnsi="Verdana"/>
          <w:sz w:val="20"/>
          <w:szCs w:val="28"/>
          <w:lang w:val="pt-BR"/>
        </w:rPr>
        <w:lastRenderedPageBreak/>
        <w:t>políticas</w:t>
      </w:r>
      <w:r w:rsidR="0089298C" w:rsidRPr="002F50BD">
        <w:rPr>
          <w:rFonts w:ascii="Verdana" w:hAnsi="Verdana"/>
          <w:sz w:val="20"/>
          <w:szCs w:val="28"/>
          <w:lang w:val="pt-BR"/>
        </w:rPr>
        <w:t xml:space="preserve"> e </w:t>
      </w:r>
      <w:r w:rsidR="004756C1" w:rsidRPr="002F50BD">
        <w:rPr>
          <w:rFonts w:ascii="Verdana" w:hAnsi="Verdana"/>
          <w:sz w:val="20"/>
          <w:szCs w:val="28"/>
          <w:lang w:val="pt-BR"/>
        </w:rPr>
        <w:t>programas que</w:t>
      </w:r>
      <w:r w:rsidR="0089298C" w:rsidRPr="002F50BD">
        <w:rPr>
          <w:rFonts w:ascii="Verdana" w:hAnsi="Verdana"/>
          <w:sz w:val="20"/>
          <w:szCs w:val="28"/>
          <w:lang w:val="pt-BR"/>
        </w:rPr>
        <w:t xml:space="preserve"> lhes </w:t>
      </w:r>
      <w:r w:rsidR="00E25B7D" w:rsidRPr="002F50BD">
        <w:rPr>
          <w:rFonts w:ascii="Verdana" w:hAnsi="Verdana"/>
          <w:sz w:val="20"/>
          <w:szCs w:val="28"/>
          <w:lang w:val="pt-BR"/>
        </w:rPr>
        <w:t>digam respeito</w:t>
      </w:r>
      <w:r w:rsidR="004756C1" w:rsidRPr="002F50BD">
        <w:rPr>
          <w:rFonts w:ascii="Verdana" w:hAnsi="Verdana"/>
          <w:sz w:val="20"/>
          <w:szCs w:val="28"/>
          <w:lang w:val="pt-BR"/>
        </w:rPr>
        <w:t>.</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34</w:t>
      </w:r>
      <w:r w:rsidR="004756C1" w:rsidRPr="002F50BD">
        <w:rPr>
          <w:rFonts w:ascii="Verdana" w:hAnsi="Verdana"/>
          <w:sz w:val="20"/>
          <w:szCs w:val="28"/>
          <w:lang w:val="pt-BR"/>
        </w:rPr>
        <w:t>.</w:t>
      </w:r>
      <w:r w:rsidR="004756C1" w:rsidRPr="002F50BD">
        <w:rPr>
          <w:rFonts w:ascii="Verdana" w:hAnsi="Verdana"/>
          <w:sz w:val="20"/>
          <w:szCs w:val="28"/>
          <w:lang w:val="pt-BR"/>
        </w:rPr>
        <w:tab/>
        <w:t>Finalmente,</w:t>
      </w:r>
      <w:r w:rsidR="0089298C" w:rsidRPr="002F50BD">
        <w:rPr>
          <w:rFonts w:ascii="Verdana" w:hAnsi="Verdana"/>
          <w:sz w:val="20"/>
          <w:szCs w:val="28"/>
          <w:lang w:val="pt-BR"/>
        </w:rPr>
        <w:t xml:space="preserve"> os artigo</w:t>
      </w:r>
      <w:r w:rsidR="004756C1" w:rsidRPr="002F50BD">
        <w:rPr>
          <w:rFonts w:ascii="Verdana" w:hAnsi="Verdana"/>
          <w:sz w:val="20"/>
          <w:szCs w:val="28"/>
          <w:lang w:val="pt-BR"/>
        </w:rPr>
        <w:t xml:space="preserve">s </w:t>
      </w:r>
      <w:r w:rsidRPr="002F50BD">
        <w:rPr>
          <w:rFonts w:ascii="Verdana" w:hAnsi="Verdana"/>
          <w:sz w:val="20"/>
          <w:szCs w:val="28"/>
          <w:lang w:val="pt-BR"/>
        </w:rPr>
        <w:t>24</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 xml:space="preserve">Igualdade perante a </w:t>
      </w:r>
      <w:r w:rsidR="0091562E" w:rsidRPr="002F50BD">
        <w:rPr>
          <w:rFonts w:ascii="Verdana" w:hAnsi="Verdana"/>
          <w:sz w:val="20"/>
          <w:szCs w:val="28"/>
          <w:lang w:val="pt-BR"/>
        </w:rPr>
        <w:t>Lei</w:t>
      </w:r>
      <w:r w:rsidR="00CF451D" w:rsidRPr="00CF451D">
        <w:rPr>
          <w:rFonts w:ascii="Verdana" w:hAnsi="Verdana"/>
          <w:sz w:val="20"/>
          <w:szCs w:val="28"/>
          <w:lang w:val="pt-BR"/>
        </w:rPr>
        <w:t>)</w:t>
      </w:r>
      <w:r w:rsidR="0089298C" w:rsidRPr="002F50BD">
        <w:rPr>
          <w:rFonts w:ascii="Verdana" w:hAnsi="Verdana"/>
          <w:sz w:val="20"/>
          <w:szCs w:val="28"/>
          <w:lang w:val="pt-BR"/>
        </w:rPr>
        <w:t xml:space="preserve"> e </w:t>
      </w:r>
      <w:r w:rsidRPr="002F50BD">
        <w:rPr>
          <w:rFonts w:ascii="Verdana" w:hAnsi="Verdana"/>
          <w:sz w:val="20"/>
          <w:szCs w:val="28"/>
          <w:lang w:val="pt-BR"/>
        </w:rPr>
        <w:t>1</w:t>
      </w:r>
      <w:r w:rsidR="004756C1" w:rsidRPr="002F50BD">
        <w:rPr>
          <w:rFonts w:ascii="Verdana" w:hAnsi="Verdana"/>
          <w:sz w:val="20"/>
          <w:szCs w:val="28"/>
          <w:lang w:val="pt-BR"/>
        </w:rPr>
        <w:t>.</w:t>
      </w:r>
      <w:r w:rsidRPr="002F50BD">
        <w:rPr>
          <w:rFonts w:ascii="Verdana" w:hAnsi="Verdana"/>
          <w:sz w:val="20"/>
          <w:szCs w:val="28"/>
          <w:lang w:val="pt-BR"/>
        </w:rPr>
        <w:t>1</w:t>
      </w:r>
      <w:r w:rsidR="004756C1" w:rsidRPr="002F50BD">
        <w:rPr>
          <w:rFonts w:ascii="Verdana" w:hAnsi="Verdana"/>
          <w:sz w:val="20"/>
          <w:szCs w:val="28"/>
          <w:lang w:val="pt-BR"/>
        </w:rPr>
        <w:t xml:space="preserve"> </w:t>
      </w:r>
      <w:r w:rsidR="00CF451D" w:rsidRPr="00CF451D">
        <w:rPr>
          <w:rFonts w:ascii="Verdana" w:hAnsi="Verdana"/>
          <w:sz w:val="20"/>
          <w:szCs w:val="28"/>
          <w:lang w:val="pt-BR"/>
        </w:rPr>
        <w:t>(</w:t>
      </w:r>
      <w:r w:rsidR="0089298C" w:rsidRPr="002F50BD">
        <w:rPr>
          <w:rFonts w:ascii="Verdana" w:hAnsi="Verdana"/>
          <w:sz w:val="20"/>
          <w:szCs w:val="28"/>
          <w:lang w:val="pt-BR"/>
        </w:rPr>
        <w:t>Obrigação</w:t>
      </w:r>
      <w:r w:rsidR="004756C1" w:rsidRPr="002F50BD">
        <w:rPr>
          <w:rFonts w:ascii="Verdana" w:hAnsi="Verdana"/>
          <w:sz w:val="20"/>
          <w:szCs w:val="28"/>
          <w:lang w:val="pt-BR"/>
        </w:rPr>
        <w:t xml:space="preserve"> de </w:t>
      </w:r>
      <w:r w:rsidR="0089298C" w:rsidRPr="002F50BD">
        <w:rPr>
          <w:rFonts w:ascii="Verdana" w:hAnsi="Verdana"/>
          <w:sz w:val="20"/>
          <w:szCs w:val="28"/>
          <w:lang w:val="pt-BR"/>
        </w:rPr>
        <w:t>Respeitar os Direito</w:t>
      </w:r>
      <w:r w:rsidR="004756C1" w:rsidRPr="002F50BD">
        <w:rPr>
          <w:rFonts w:ascii="Verdana" w:hAnsi="Verdana"/>
          <w:sz w:val="20"/>
          <w:szCs w:val="28"/>
          <w:lang w:val="pt-BR"/>
        </w:rPr>
        <w:t>s</w:t>
      </w:r>
      <w:r w:rsidR="00CF451D" w:rsidRPr="00CF451D">
        <w:rPr>
          <w:rFonts w:ascii="Verdana" w:hAnsi="Verdana"/>
          <w:sz w:val="20"/>
          <w:szCs w:val="28"/>
          <w:lang w:val="pt-BR"/>
        </w:rPr>
        <w:t>)</w:t>
      </w:r>
      <w:r w:rsidR="0089298C" w:rsidRPr="002F50BD">
        <w:rPr>
          <w:rFonts w:ascii="Verdana" w:hAnsi="Verdana"/>
          <w:sz w:val="20"/>
          <w:szCs w:val="28"/>
          <w:lang w:val="pt-BR"/>
        </w:rPr>
        <w:t xml:space="preserve"> da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w:t>
      </w:r>
      <w:r w:rsidR="0089298C" w:rsidRPr="002F50BD">
        <w:rPr>
          <w:rFonts w:ascii="Verdana" w:hAnsi="Verdana"/>
          <w:sz w:val="20"/>
          <w:szCs w:val="28"/>
          <w:lang w:val="pt-BR"/>
        </w:rPr>
        <w:t xml:space="preserve"> são </w:t>
      </w:r>
      <w:r w:rsidR="004756C1" w:rsidRPr="002F50BD">
        <w:rPr>
          <w:rFonts w:ascii="Verdana" w:hAnsi="Verdana"/>
          <w:sz w:val="20"/>
          <w:szCs w:val="28"/>
          <w:lang w:val="pt-BR"/>
        </w:rPr>
        <w:t>do</w:t>
      </w:r>
      <w:r w:rsidR="00E25B7D" w:rsidRPr="002F50BD">
        <w:rPr>
          <w:rFonts w:ascii="Verdana" w:hAnsi="Verdana"/>
          <w:sz w:val="20"/>
          <w:szCs w:val="28"/>
          <w:lang w:val="pt-BR"/>
        </w:rPr>
        <w:t>i</w:t>
      </w:r>
      <w:r w:rsidR="004756C1" w:rsidRPr="002F50BD">
        <w:rPr>
          <w:rFonts w:ascii="Verdana" w:hAnsi="Verdana"/>
          <w:sz w:val="20"/>
          <w:szCs w:val="28"/>
          <w:lang w:val="pt-BR"/>
        </w:rPr>
        <w:t xml:space="preserve">s </w:t>
      </w:r>
      <w:r w:rsidR="00511F8A" w:rsidRPr="002F50BD">
        <w:rPr>
          <w:rFonts w:ascii="Verdana" w:hAnsi="Verdana"/>
          <w:sz w:val="20"/>
          <w:szCs w:val="28"/>
          <w:lang w:val="pt-BR"/>
        </w:rPr>
        <w:t>eixos transversais que cruzam</w:t>
      </w:r>
      <w:r w:rsidR="004756C1" w:rsidRPr="002F50BD">
        <w:rPr>
          <w:rFonts w:ascii="Verdana" w:hAnsi="Verdana"/>
          <w:sz w:val="20"/>
          <w:szCs w:val="28"/>
          <w:lang w:val="pt-BR"/>
        </w:rPr>
        <w:t xml:space="preserve"> todos</w:t>
      </w:r>
      <w:r w:rsidR="0089298C" w:rsidRPr="002F50BD">
        <w:rPr>
          <w:rFonts w:ascii="Verdana" w:hAnsi="Verdana"/>
          <w:sz w:val="20"/>
          <w:szCs w:val="28"/>
          <w:lang w:val="pt-BR"/>
        </w:rPr>
        <w:t xml:space="preserve"> os </w:t>
      </w:r>
      <w:r w:rsidR="004756C1" w:rsidRPr="002F50BD">
        <w:rPr>
          <w:rFonts w:ascii="Verdana" w:hAnsi="Verdana"/>
          <w:sz w:val="20"/>
          <w:szCs w:val="28"/>
          <w:lang w:val="pt-BR"/>
        </w:rPr>
        <w:t>aspectos mencionados anteriormente,</w:t>
      </w:r>
      <w:r w:rsidR="0089298C" w:rsidRPr="002F50BD">
        <w:rPr>
          <w:rFonts w:ascii="Verdana" w:hAnsi="Verdana"/>
          <w:sz w:val="20"/>
          <w:szCs w:val="28"/>
          <w:lang w:val="pt-BR"/>
        </w:rPr>
        <w:t xml:space="preserve"> no </w:t>
      </w:r>
      <w:r w:rsidR="004756C1" w:rsidRPr="002F50BD">
        <w:rPr>
          <w:rFonts w:ascii="Verdana" w:hAnsi="Verdana"/>
          <w:sz w:val="20"/>
          <w:szCs w:val="28"/>
          <w:lang w:val="pt-BR"/>
        </w:rPr>
        <w:t xml:space="preserve">sentido </w:t>
      </w:r>
      <w:r w:rsidR="00511F8A" w:rsidRPr="002F50BD">
        <w:rPr>
          <w:rFonts w:ascii="Verdana" w:hAnsi="Verdana"/>
          <w:sz w:val="20"/>
          <w:szCs w:val="28"/>
          <w:lang w:val="pt-BR"/>
        </w:rPr>
        <w:t xml:space="preserve">de </w:t>
      </w:r>
      <w:r w:rsidR="004756C1" w:rsidRPr="002F50BD">
        <w:rPr>
          <w:rFonts w:ascii="Verdana" w:hAnsi="Verdana"/>
          <w:sz w:val="20"/>
          <w:szCs w:val="28"/>
          <w:lang w:val="pt-BR"/>
        </w:rPr>
        <w:t>que</w:t>
      </w:r>
      <w:r w:rsidR="0089298C" w:rsidRPr="002F50BD">
        <w:rPr>
          <w:rFonts w:ascii="Verdana" w:hAnsi="Verdana"/>
          <w:sz w:val="20"/>
          <w:szCs w:val="28"/>
          <w:lang w:val="pt-BR"/>
        </w:rPr>
        <w:t xml:space="preserve"> os membro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w:t>
      </w:r>
      <w:r w:rsidR="004756C1" w:rsidRPr="002F50BD">
        <w:rPr>
          <w:rFonts w:ascii="Verdana" w:hAnsi="Verdana"/>
          <w:sz w:val="20"/>
          <w:szCs w:val="28"/>
          <w:lang w:val="pt-BR"/>
        </w:rPr>
        <w:t>grupos étnicos</w:t>
      </w:r>
      <w:r w:rsidR="0089298C" w:rsidRPr="002F50BD">
        <w:rPr>
          <w:rFonts w:ascii="Verdana" w:hAnsi="Verdana"/>
          <w:sz w:val="20"/>
          <w:szCs w:val="28"/>
          <w:lang w:val="pt-BR"/>
        </w:rPr>
        <w:t xml:space="preserve"> e culturais são </w:t>
      </w:r>
      <w:r w:rsidR="004756C1" w:rsidRPr="002F50BD">
        <w:rPr>
          <w:rFonts w:ascii="Verdana" w:hAnsi="Verdana"/>
          <w:sz w:val="20"/>
          <w:szCs w:val="28"/>
          <w:lang w:val="pt-BR"/>
        </w:rPr>
        <w:t>li</w:t>
      </w:r>
      <w:r w:rsidR="00511F8A" w:rsidRPr="002F50BD">
        <w:rPr>
          <w:rFonts w:ascii="Verdana" w:hAnsi="Verdana"/>
          <w:sz w:val="20"/>
          <w:szCs w:val="28"/>
          <w:lang w:val="pt-BR"/>
        </w:rPr>
        <w:t>v</w:t>
      </w:r>
      <w:r w:rsidR="004756C1" w:rsidRPr="002F50BD">
        <w:rPr>
          <w:rFonts w:ascii="Verdana" w:hAnsi="Verdana"/>
          <w:sz w:val="20"/>
          <w:szCs w:val="28"/>
          <w:lang w:val="pt-BR"/>
        </w:rPr>
        <w:t xml:space="preserve">res e </w:t>
      </w:r>
      <w:r w:rsidR="0089298C" w:rsidRPr="002F50BD">
        <w:rPr>
          <w:rFonts w:ascii="Verdana" w:hAnsi="Verdana"/>
          <w:sz w:val="20"/>
          <w:szCs w:val="28"/>
          <w:lang w:val="pt-BR"/>
        </w:rPr>
        <w:t>iguais</w:t>
      </w:r>
      <w:r w:rsidR="004756C1" w:rsidRPr="002F50BD">
        <w:rPr>
          <w:rFonts w:ascii="Verdana" w:hAnsi="Verdana"/>
          <w:sz w:val="20"/>
          <w:szCs w:val="28"/>
          <w:lang w:val="pt-BR"/>
        </w:rPr>
        <w:t xml:space="preserve"> a todas</w:t>
      </w:r>
      <w:r w:rsidR="0089298C" w:rsidRPr="002F50BD">
        <w:rPr>
          <w:rFonts w:ascii="Verdana" w:hAnsi="Verdana"/>
          <w:sz w:val="20"/>
          <w:szCs w:val="28"/>
          <w:lang w:val="pt-BR"/>
        </w:rPr>
        <w:t xml:space="preserve"> as pessoa</w:t>
      </w:r>
      <w:r w:rsidR="004756C1" w:rsidRPr="002F50BD">
        <w:rPr>
          <w:rFonts w:ascii="Verdana" w:hAnsi="Verdana"/>
          <w:sz w:val="20"/>
          <w:szCs w:val="28"/>
          <w:lang w:val="pt-BR"/>
        </w:rPr>
        <w:t>s</w:t>
      </w:r>
      <w:r w:rsidR="0089298C" w:rsidRPr="002F50BD">
        <w:rPr>
          <w:rFonts w:ascii="Verdana" w:hAnsi="Verdana"/>
          <w:sz w:val="20"/>
          <w:szCs w:val="28"/>
          <w:lang w:val="pt-BR"/>
        </w:rPr>
        <w:t xml:space="preserve"> em dignidade e direito</w:t>
      </w:r>
      <w:r w:rsidR="004756C1" w:rsidRPr="002F50BD">
        <w:rPr>
          <w:rFonts w:ascii="Verdana" w:hAnsi="Verdana"/>
          <w:sz w:val="20"/>
          <w:szCs w:val="28"/>
          <w:lang w:val="pt-BR"/>
        </w:rPr>
        <w:t>s</w:t>
      </w:r>
      <w:r w:rsidR="0089298C" w:rsidRPr="002F50BD">
        <w:rPr>
          <w:rFonts w:ascii="Verdana" w:hAnsi="Verdana"/>
          <w:sz w:val="20"/>
          <w:szCs w:val="28"/>
          <w:lang w:val="pt-BR"/>
        </w:rPr>
        <w:t xml:space="preserve"> e deverão</w:t>
      </w:r>
      <w:r w:rsidR="004756C1" w:rsidRPr="002F50BD">
        <w:rPr>
          <w:rFonts w:ascii="Verdana" w:hAnsi="Verdana"/>
          <w:sz w:val="20"/>
          <w:szCs w:val="28"/>
          <w:lang w:val="pt-BR"/>
        </w:rPr>
        <w:t xml:space="preserve"> gozar plenamente</w:t>
      </w:r>
      <w:r w:rsidR="0089298C" w:rsidRPr="002F50BD">
        <w:rPr>
          <w:rFonts w:ascii="Verdana" w:hAnsi="Verdana"/>
          <w:sz w:val="20"/>
          <w:szCs w:val="28"/>
          <w:lang w:val="pt-BR"/>
        </w:rPr>
        <w:t xml:space="preserve"> dos direito</w:t>
      </w:r>
      <w:r w:rsidR="004756C1" w:rsidRPr="002F50BD">
        <w:rPr>
          <w:rFonts w:ascii="Verdana" w:hAnsi="Verdana"/>
          <w:sz w:val="20"/>
          <w:szCs w:val="28"/>
          <w:lang w:val="pt-BR"/>
        </w:rPr>
        <w:t>s humanos</w:t>
      </w:r>
      <w:r w:rsidR="0089298C" w:rsidRPr="002F50BD">
        <w:rPr>
          <w:rFonts w:ascii="Verdana" w:hAnsi="Verdana"/>
          <w:sz w:val="20"/>
          <w:szCs w:val="28"/>
          <w:lang w:val="pt-BR"/>
        </w:rPr>
        <w:t xml:space="preserve"> e </w:t>
      </w:r>
      <w:r w:rsidR="00511F8A" w:rsidRPr="002F50BD">
        <w:rPr>
          <w:rFonts w:ascii="Verdana" w:hAnsi="Verdana"/>
          <w:sz w:val="20"/>
          <w:szCs w:val="28"/>
          <w:lang w:val="pt-BR"/>
        </w:rPr>
        <w:t>d</w:t>
      </w:r>
      <w:r w:rsidR="0089298C" w:rsidRPr="002F50BD">
        <w:rPr>
          <w:rFonts w:ascii="Verdana" w:hAnsi="Verdana"/>
          <w:sz w:val="20"/>
          <w:szCs w:val="28"/>
          <w:lang w:val="pt-BR"/>
        </w:rPr>
        <w:t>as liberdades</w:t>
      </w:r>
      <w:r w:rsidR="004756C1" w:rsidRPr="002F50BD">
        <w:rPr>
          <w:rFonts w:ascii="Verdana" w:hAnsi="Verdana"/>
          <w:sz w:val="20"/>
          <w:szCs w:val="28"/>
          <w:lang w:val="pt-BR"/>
        </w:rPr>
        <w:t xml:space="preserve"> </w:t>
      </w:r>
      <w:r w:rsidR="0089298C" w:rsidRPr="002F50BD">
        <w:rPr>
          <w:rFonts w:ascii="Verdana" w:hAnsi="Verdana"/>
          <w:sz w:val="20"/>
          <w:szCs w:val="28"/>
          <w:lang w:val="pt-BR"/>
        </w:rPr>
        <w:t>fundamentais</w:t>
      </w:r>
      <w:r w:rsidR="004756C1" w:rsidRPr="002F50BD">
        <w:rPr>
          <w:rFonts w:ascii="Verdana" w:hAnsi="Verdana"/>
          <w:sz w:val="20"/>
          <w:szCs w:val="28"/>
          <w:lang w:val="pt-BR"/>
        </w:rPr>
        <w:t>,</w:t>
      </w:r>
      <w:r w:rsidR="0089298C" w:rsidRPr="002F50BD">
        <w:rPr>
          <w:rFonts w:ascii="Verdana" w:hAnsi="Verdana"/>
          <w:sz w:val="20"/>
          <w:szCs w:val="28"/>
          <w:lang w:val="pt-BR"/>
        </w:rPr>
        <w:t xml:space="preserve"> sem </w:t>
      </w:r>
      <w:r w:rsidR="004756C1" w:rsidRPr="002F50BD">
        <w:rPr>
          <w:rFonts w:ascii="Verdana" w:hAnsi="Verdana"/>
          <w:sz w:val="20"/>
          <w:szCs w:val="28"/>
          <w:lang w:val="pt-BR"/>
        </w:rPr>
        <w:t>obstácu</w:t>
      </w:r>
      <w:r w:rsidR="00511F8A" w:rsidRPr="002F50BD">
        <w:rPr>
          <w:rFonts w:ascii="Verdana" w:hAnsi="Verdana"/>
          <w:sz w:val="20"/>
          <w:szCs w:val="28"/>
          <w:lang w:val="pt-BR"/>
        </w:rPr>
        <w:t>lo</w:t>
      </w:r>
      <w:r w:rsidR="00AB6727" w:rsidRPr="002F50BD">
        <w:rPr>
          <w:rFonts w:ascii="Verdana" w:hAnsi="Verdana"/>
          <w:sz w:val="20"/>
          <w:szCs w:val="28"/>
          <w:lang w:val="pt-BR"/>
        </w:rPr>
        <w:t xml:space="preserve">s </w:t>
      </w:r>
      <w:r w:rsidR="0089298C" w:rsidRPr="002F50BD">
        <w:rPr>
          <w:rFonts w:ascii="Verdana" w:hAnsi="Verdana"/>
          <w:sz w:val="20"/>
          <w:szCs w:val="28"/>
          <w:lang w:val="pt-BR"/>
        </w:rPr>
        <w:t xml:space="preserve">e </w:t>
      </w:r>
      <w:r w:rsidR="004756C1" w:rsidRPr="002F50BD">
        <w:rPr>
          <w:rFonts w:ascii="Verdana" w:hAnsi="Verdana"/>
          <w:sz w:val="20"/>
          <w:szCs w:val="28"/>
          <w:lang w:val="pt-BR"/>
        </w:rPr>
        <w:t>discrimina</w:t>
      </w:r>
      <w:r w:rsidR="0089298C" w:rsidRPr="002F50BD">
        <w:rPr>
          <w:rFonts w:ascii="Verdana" w:hAnsi="Verdana"/>
          <w:sz w:val="20"/>
          <w:szCs w:val="28"/>
          <w:lang w:val="pt-BR"/>
        </w:rPr>
        <w:t>ção</w:t>
      </w:r>
      <w:r w:rsidR="004756C1" w:rsidRPr="002F50BD">
        <w:rPr>
          <w:rFonts w:ascii="Verdana" w:hAnsi="Verdana"/>
          <w:sz w:val="20"/>
          <w:szCs w:val="28"/>
          <w:lang w:val="pt-BR"/>
        </w:rPr>
        <w:t xml:space="preserve"> de </w:t>
      </w:r>
      <w:r w:rsidR="0089298C" w:rsidRPr="002F50BD">
        <w:rPr>
          <w:rFonts w:ascii="Verdana" w:hAnsi="Verdana"/>
          <w:sz w:val="20"/>
          <w:szCs w:val="28"/>
          <w:lang w:val="pt-BR"/>
        </w:rPr>
        <w:t>nenhum</w:t>
      </w:r>
      <w:r w:rsidR="00E25B7D" w:rsidRPr="002F50BD">
        <w:rPr>
          <w:rFonts w:ascii="Verdana" w:hAnsi="Verdana"/>
          <w:sz w:val="20"/>
          <w:szCs w:val="28"/>
          <w:lang w:val="pt-BR"/>
        </w:rPr>
        <w:t xml:space="preserve"> tipo</w:t>
      </w:r>
      <w:r w:rsidR="004756C1" w:rsidRPr="002F50BD">
        <w:rPr>
          <w:rFonts w:ascii="Verdana" w:hAnsi="Verdana"/>
          <w:sz w:val="20"/>
          <w:szCs w:val="28"/>
          <w:lang w:val="pt-BR"/>
        </w:rPr>
        <w:t>.</w:t>
      </w:r>
      <w:r w:rsidR="0089298C" w:rsidRPr="002F50BD">
        <w:rPr>
          <w:rFonts w:ascii="Verdana" w:hAnsi="Verdana"/>
          <w:sz w:val="20"/>
          <w:szCs w:val="28"/>
          <w:lang w:val="pt-BR"/>
        </w:rPr>
        <w:t xml:space="preserve"> </w:t>
      </w:r>
      <w:r w:rsidR="00511F8A" w:rsidRPr="002F50BD">
        <w:rPr>
          <w:rFonts w:ascii="Verdana" w:hAnsi="Verdana"/>
          <w:sz w:val="20"/>
          <w:szCs w:val="28"/>
          <w:lang w:val="pt-BR"/>
        </w:rPr>
        <w:t>E ainda mais</w:t>
      </w:r>
      <w:r w:rsidR="004756C1" w:rsidRPr="002F50BD">
        <w:rPr>
          <w:rFonts w:ascii="Verdana" w:hAnsi="Verdana"/>
          <w:sz w:val="20"/>
          <w:szCs w:val="28"/>
          <w:lang w:val="pt-BR"/>
        </w:rPr>
        <w:t>,</w:t>
      </w:r>
      <w:r w:rsidR="0089298C" w:rsidRPr="002F50BD">
        <w:rPr>
          <w:rFonts w:ascii="Verdana" w:hAnsi="Verdana"/>
          <w:sz w:val="20"/>
          <w:szCs w:val="28"/>
          <w:lang w:val="pt-BR"/>
        </w:rPr>
        <w:t xml:space="preserve"> em alguns </w:t>
      </w:r>
      <w:r w:rsidR="004756C1" w:rsidRPr="002F50BD">
        <w:rPr>
          <w:rFonts w:ascii="Verdana" w:hAnsi="Verdana"/>
          <w:sz w:val="20"/>
          <w:szCs w:val="28"/>
          <w:lang w:val="pt-BR"/>
        </w:rPr>
        <w:t>casos,</w:t>
      </w:r>
      <w:r w:rsidR="0089298C" w:rsidRPr="002F50BD">
        <w:rPr>
          <w:rFonts w:ascii="Verdana" w:hAnsi="Verdana"/>
          <w:sz w:val="20"/>
          <w:szCs w:val="28"/>
          <w:lang w:val="pt-BR"/>
        </w:rPr>
        <w:t xml:space="preserve"> os </w:t>
      </w:r>
      <w:r w:rsidR="004756C1" w:rsidRPr="002F50BD">
        <w:rPr>
          <w:rFonts w:ascii="Verdana" w:hAnsi="Verdana"/>
          <w:sz w:val="20"/>
          <w:szCs w:val="28"/>
          <w:lang w:val="pt-BR"/>
        </w:rPr>
        <w:t xml:space="preserve">Estados </w:t>
      </w:r>
      <w:r w:rsidR="0089298C" w:rsidRPr="002F50BD">
        <w:rPr>
          <w:rFonts w:ascii="Verdana" w:hAnsi="Verdana"/>
          <w:sz w:val="20"/>
          <w:szCs w:val="28"/>
          <w:lang w:val="pt-BR"/>
        </w:rPr>
        <w:t>deverão</w:t>
      </w:r>
      <w:r w:rsidR="004756C1" w:rsidRPr="002F50BD">
        <w:rPr>
          <w:rFonts w:ascii="Verdana" w:hAnsi="Verdana"/>
          <w:sz w:val="20"/>
          <w:szCs w:val="28"/>
          <w:lang w:val="pt-BR"/>
        </w:rPr>
        <w:t xml:space="preserve"> </w:t>
      </w:r>
      <w:r w:rsidR="0089298C" w:rsidRPr="002F50BD">
        <w:rPr>
          <w:rFonts w:ascii="Verdana" w:hAnsi="Verdana"/>
          <w:sz w:val="20"/>
          <w:szCs w:val="28"/>
          <w:lang w:val="pt-BR"/>
        </w:rPr>
        <w:t>adot</w:t>
      </w:r>
      <w:r w:rsidR="004756C1" w:rsidRPr="002F50BD">
        <w:rPr>
          <w:rFonts w:ascii="Verdana" w:hAnsi="Verdana"/>
          <w:sz w:val="20"/>
          <w:szCs w:val="28"/>
          <w:lang w:val="pt-BR"/>
        </w:rPr>
        <w:t xml:space="preserve">ar medidas positivas para </w:t>
      </w:r>
      <w:r w:rsidR="0089298C" w:rsidRPr="002F50BD">
        <w:rPr>
          <w:rFonts w:ascii="Verdana" w:hAnsi="Verdana"/>
          <w:sz w:val="20"/>
          <w:szCs w:val="28"/>
          <w:lang w:val="pt-BR"/>
        </w:rPr>
        <w:t xml:space="preserve">garantir o </w:t>
      </w:r>
      <w:r w:rsidR="004756C1" w:rsidRPr="002F50BD">
        <w:rPr>
          <w:rFonts w:ascii="Verdana" w:hAnsi="Verdana"/>
          <w:sz w:val="20"/>
          <w:szCs w:val="28"/>
          <w:lang w:val="pt-BR"/>
        </w:rPr>
        <w:t xml:space="preserve">pleno </w:t>
      </w:r>
      <w:r w:rsidR="0089298C" w:rsidRPr="002F50BD">
        <w:rPr>
          <w:rFonts w:ascii="Verdana" w:hAnsi="Verdana"/>
          <w:sz w:val="20"/>
          <w:szCs w:val="28"/>
          <w:lang w:val="pt-BR"/>
        </w:rPr>
        <w:t>exercício</w:t>
      </w:r>
      <w:r w:rsidR="004756C1" w:rsidRPr="002F50BD">
        <w:rPr>
          <w:rFonts w:ascii="Verdana" w:hAnsi="Verdana"/>
          <w:sz w:val="20"/>
          <w:szCs w:val="28"/>
          <w:lang w:val="pt-BR"/>
        </w:rPr>
        <w:t xml:space="preserve"> de todos </w:t>
      </w:r>
      <w:r w:rsidR="00E25B7D" w:rsidRPr="002F50BD">
        <w:rPr>
          <w:rFonts w:ascii="Verdana" w:hAnsi="Verdana"/>
          <w:sz w:val="20"/>
          <w:szCs w:val="28"/>
          <w:lang w:val="pt-BR"/>
        </w:rPr>
        <w:t xml:space="preserve">os </w:t>
      </w:r>
      <w:r w:rsidR="0089298C" w:rsidRPr="002F50BD">
        <w:rPr>
          <w:rFonts w:ascii="Verdana" w:hAnsi="Verdana"/>
          <w:sz w:val="20"/>
          <w:szCs w:val="28"/>
          <w:lang w:val="pt-BR"/>
        </w:rPr>
        <w:t>seus direitos</w:t>
      </w:r>
      <w:r w:rsidR="004756C1" w:rsidRPr="002F50BD">
        <w:rPr>
          <w:rFonts w:ascii="Verdana" w:hAnsi="Verdana"/>
          <w:sz w:val="20"/>
          <w:szCs w:val="28"/>
          <w:lang w:val="pt-BR"/>
        </w:rPr>
        <w:t xml:space="preserve"> humanos.</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35</w:t>
      </w:r>
      <w:r w:rsidR="004756C1" w:rsidRPr="002F50BD">
        <w:rPr>
          <w:rFonts w:ascii="Verdana" w:hAnsi="Verdana"/>
          <w:sz w:val="20"/>
          <w:szCs w:val="28"/>
          <w:lang w:val="pt-BR"/>
        </w:rPr>
        <w:t>.</w:t>
      </w:r>
      <w:r w:rsidR="004756C1" w:rsidRPr="002F50BD">
        <w:rPr>
          <w:rFonts w:ascii="Verdana" w:hAnsi="Verdana"/>
          <w:sz w:val="20"/>
          <w:szCs w:val="28"/>
          <w:lang w:val="pt-BR"/>
        </w:rPr>
        <w:tab/>
      </w:r>
      <w:r w:rsidR="00FB33DD" w:rsidRPr="002F50BD">
        <w:rPr>
          <w:rFonts w:ascii="Verdana" w:hAnsi="Verdana"/>
          <w:sz w:val="20"/>
          <w:szCs w:val="28"/>
          <w:lang w:val="pt-BR"/>
        </w:rPr>
        <w:t xml:space="preserve">O </w:t>
      </w:r>
      <w:r w:rsidR="0089298C" w:rsidRPr="002F50BD">
        <w:rPr>
          <w:rFonts w:ascii="Verdana" w:hAnsi="Verdana"/>
          <w:sz w:val="20"/>
          <w:szCs w:val="28"/>
          <w:lang w:val="pt-BR"/>
        </w:rPr>
        <w:t xml:space="preserve">direito à identidade </w:t>
      </w:r>
      <w:r w:rsidR="004756C1" w:rsidRPr="002F50BD">
        <w:rPr>
          <w:rFonts w:ascii="Verdana" w:hAnsi="Verdana"/>
          <w:sz w:val="20"/>
          <w:szCs w:val="28"/>
          <w:lang w:val="pt-BR"/>
        </w:rPr>
        <w:t>cultural</w:t>
      </w:r>
      <w:r w:rsidR="0089298C" w:rsidRPr="002F50BD">
        <w:rPr>
          <w:rFonts w:ascii="Verdana" w:hAnsi="Verdana"/>
          <w:sz w:val="20"/>
          <w:szCs w:val="28"/>
          <w:lang w:val="pt-BR"/>
        </w:rPr>
        <w:t xml:space="preserve"> e </w:t>
      </w:r>
      <w:r w:rsidR="004756C1" w:rsidRPr="002F50BD">
        <w:rPr>
          <w:rFonts w:ascii="Verdana" w:hAnsi="Verdana"/>
          <w:sz w:val="20"/>
          <w:szCs w:val="28"/>
          <w:lang w:val="pt-BR"/>
        </w:rPr>
        <w:t>todos</w:t>
      </w:r>
      <w:r w:rsidR="0089298C" w:rsidRPr="002F50BD">
        <w:rPr>
          <w:rFonts w:ascii="Verdana" w:hAnsi="Verdana"/>
          <w:sz w:val="20"/>
          <w:szCs w:val="28"/>
          <w:lang w:val="pt-BR"/>
        </w:rPr>
        <w:t xml:space="preserve"> os direito</w:t>
      </w:r>
      <w:r w:rsidR="004756C1" w:rsidRPr="002F50BD">
        <w:rPr>
          <w:rFonts w:ascii="Verdana" w:hAnsi="Verdana"/>
          <w:sz w:val="20"/>
          <w:szCs w:val="28"/>
          <w:lang w:val="pt-BR"/>
        </w:rPr>
        <w:t>s que de</w:t>
      </w:r>
      <w:r w:rsidR="0089298C" w:rsidRPr="002F50BD">
        <w:rPr>
          <w:rFonts w:ascii="Verdana" w:hAnsi="Verdana"/>
          <w:sz w:val="20"/>
          <w:szCs w:val="28"/>
          <w:lang w:val="pt-BR"/>
        </w:rPr>
        <w:t xml:space="preserve">le </w:t>
      </w:r>
      <w:r w:rsidR="00511F8A" w:rsidRPr="002F50BD">
        <w:rPr>
          <w:rFonts w:ascii="Verdana" w:hAnsi="Verdana"/>
          <w:sz w:val="20"/>
          <w:szCs w:val="28"/>
          <w:lang w:val="pt-BR"/>
        </w:rPr>
        <w:t>se derivam</w:t>
      </w:r>
      <w:r w:rsidR="0089298C" w:rsidRPr="002F50BD">
        <w:rPr>
          <w:rFonts w:ascii="Verdana" w:hAnsi="Verdana"/>
          <w:sz w:val="20"/>
          <w:szCs w:val="28"/>
          <w:lang w:val="pt-BR"/>
        </w:rPr>
        <w:t xml:space="preserve"> estão sujeito</w:t>
      </w:r>
      <w:r w:rsidR="004756C1" w:rsidRPr="002F50BD">
        <w:rPr>
          <w:rFonts w:ascii="Verdana" w:hAnsi="Verdana"/>
          <w:sz w:val="20"/>
          <w:szCs w:val="28"/>
          <w:lang w:val="pt-BR"/>
        </w:rPr>
        <w:t>s</w:t>
      </w:r>
      <w:r w:rsidR="0089298C" w:rsidRPr="002F50BD">
        <w:rPr>
          <w:rFonts w:ascii="Verdana" w:hAnsi="Verdana"/>
          <w:sz w:val="20"/>
          <w:szCs w:val="28"/>
          <w:lang w:val="pt-BR"/>
        </w:rPr>
        <w:t xml:space="preserve"> às mesm</w:t>
      </w:r>
      <w:r w:rsidR="004756C1" w:rsidRPr="002F50BD">
        <w:rPr>
          <w:rFonts w:ascii="Verdana" w:hAnsi="Verdana"/>
          <w:sz w:val="20"/>
          <w:szCs w:val="28"/>
          <w:lang w:val="pt-BR"/>
        </w:rPr>
        <w:t>as limita</w:t>
      </w:r>
      <w:r w:rsidR="0089298C" w:rsidRPr="002F50BD">
        <w:rPr>
          <w:rFonts w:ascii="Verdana" w:hAnsi="Verdana"/>
          <w:sz w:val="20"/>
          <w:szCs w:val="28"/>
          <w:lang w:val="pt-BR"/>
        </w:rPr>
        <w:t>ções</w:t>
      </w:r>
      <w:r w:rsidR="004756C1" w:rsidRPr="002F50BD">
        <w:rPr>
          <w:rFonts w:ascii="Verdana" w:hAnsi="Verdana"/>
          <w:sz w:val="20"/>
          <w:szCs w:val="28"/>
          <w:lang w:val="pt-BR"/>
        </w:rPr>
        <w:t xml:space="preserve"> que</w:t>
      </w:r>
      <w:r w:rsidR="0089298C" w:rsidRPr="002F50BD">
        <w:rPr>
          <w:rFonts w:ascii="Verdana" w:hAnsi="Verdana"/>
          <w:sz w:val="20"/>
          <w:szCs w:val="28"/>
          <w:lang w:val="pt-BR"/>
        </w:rPr>
        <w:t xml:space="preserve"> os demais</w:t>
      </w:r>
      <w:r w:rsidR="004756C1" w:rsidRPr="002F50BD">
        <w:rPr>
          <w:rFonts w:ascii="Verdana" w:hAnsi="Verdana"/>
          <w:sz w:val="20"/>
          <w:szCs w:val="28"/>
          <w:lang w:val="pt-BR"/>
        </w:rPr>
        <w:t xml:space="preserve"> </w:t>
      </w:r>
      <w:r w:rsidR="0089298C" w:rsidRPr="002F50BD">
        <w:rPr>
          <w:rFonts w:ascii="Verdana" w:hAnsi="Verdana"/>
          <w:sz w:val="20"/>
          <w:szCs w:val="28"/>
          <w:lang w:val="pt-BR"/>
        </w:rPr>
        <w:t>direito</w:t>
      </w:r>
      <w:r w:rsidR="004756C1" w:rsidRPr="002F50BD">
        <w:rPr>
          <w:rFonts w:ascii="Verdana" w:hAnsi="Verdana"/>
          <w:sz w:val="20"/>
          <w:szCs w:val="28"/>
          <w:lang w:val="pt-BR"/>
        </w:rPr>
        <w:t>s re</w:t>
      </w:r>
      <w:r w:rsidR="0089298C" w:rsidRPr="002F50BD">
        <w:rPr>
          <w:rFonts w:ascii="Verdana" w:hAnsi="Verdana"/>
          <w:sz w:val="20"/>
          <w:szCs w:val="28"/>
          <w:lang w:val="pt-BR"/>
        </w:rPr>
        <w:t>conhecido</w:t>
      </w:r>
      <w:r w:rsidR="004756C1" w:rsidRPr="002F50BD">
        <w:rPr>
          <w:rFonts w:ascii="Verdana" w:hAnsi="Verdana"/>
          <w:sz w:val="20"/>
          <w:szCs w:val="28"/>
          <w:lang w:val="pt-BR"/>
        </w:rPr>
        <w:t>s</w:t>
      </w:r>
      <w:r w:rsidR="0089298C" w:rsidRPr="002F50BD">
        <w:rPr>
          <w:rFonts w:ascii="Verdana" w:hAnsi="Verdana"/>
          <w:sz w:val="20"/>
          <w:szCs w:val="28"/>
          <w:lang w:val="pt-BR"/>
        </w:rPr>
        <w:t xml:space="preserve"> na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 </w:t>
      </w:r>
      <w:r w:rsidR="00511F8A" w:rsidRPr="002F50BD">
        <w:rPr>
          <w:rFonts w:ascii="Verdana" w:hAnsi="Verdana"/>
          <w:sz w:val="20"/>
          <w:szCs w:val="28"/>
          <w:lang w:val="pt-BR"/>
        </w:rPr>
        <w:t>isto é</w:t>
      </w:r>
      <w:r w:rsidR="004756C1" w:rsidRPr="002F50BD">
        <w:rPr>
          <w:rFonts w:ascii="Verdana" w:hAnsi="Verdana"/>
          <w:sz w:val="20"/>
          <w:szCs w:val="28"/>
          <w:lang w:val="pt-BR"/>
        </w:rPr>
        <w:t xml:space="preserve">: </w:t>
      </w:r>
      <w:r w:rsidR="0089298C" w:rsidRPr="002F50BD">
        <w:rPr>
          <w:rFonts w:ascii="Verdana" w:hAnsi="Verdana"/>
          <w:sz w:val="20"/>
          <w:szCs w:val="28"/>
          <w:lang w:val="pt-BR"/>
        </w:rPr>
        <w:t>“os</w:t>
      </w:r>
      <w:r w:rsidR="004756C1" w:rsidRPr="002F50BD">
        <w:rPr>
          <w:rFonts w:ascii="Verdana" w:hAnsi="Verdana"/>
          <w:sz w:val="20"/>
          <w:szCs w:val="28"/>
          <w:lang w:val="pt-BR"/>
        </w:rPr>
        <w:t xml:space="preserve"> </w:t>
      </w:r>
      <w:r w:rsidR="0089298C" w:rsidRPr="002F50BD">
        <w:rPr>
          <w:rFonts w:ascii="Verdana" w:hAnsi="Verdana"/>
          <w:sz w:val="20"/>
          <w:szCs w:val="28"/>
          <w:lang w:val="pt-BR"/>
        </w:rPr>
        <w:t>direito</w:t>
      </w:r>
      <w:r w:rsidR="004756C1" w:rsidRPr="002F50BD">
        <w:rPr>
          <w:rFonts w:ascii="Verdana" w:hAnsi="Verdana"/>
          <w:sz w:val="20"/>
          <w:szCs w:val="28"/>
          <w:lang w:val="pt-BR"/>
        </w:rPr>
        <w:t>s</w:t>
      </w:r>
      <w:r w:rsidR="0089298C" w:rsidRPr="002F50BD">
        <w:rPr>
          <w:rFonts w:ascii="Verdana" w:hAnsi="Verdana"/>
          <w:sz w:val="20"/>
          <w:szCs w:val="28"/>
          <w:lang w:val="pt-BR"/>
        </w:rPr>
        <w:t xml:space="preserve"> dos demais</w:t>
      </w:r>
      <w:r w:rsidR="004756C1" w:rsidRPr="002F50BD">
        <w:rPr>
          <w:rFonts w:ascii="Verdana" w:hAnsi="Verdana"/>
          <w:sz w:val="20"/>
          <w:szCs w:val="28"/>
          <w:lang w:val="pt-BR"/>
        </w:rPr>
        <w:t>,</w:t>
      </w:r>
      <w:r w:rsidR="0089298C" w:rsidRPr="002F50BD">
        <w:rPr>
          <w:rFonts w:ascii="Verdana" w:hAnsi="Verdana"/>
          <w:sz w:val="20"/>
          <w:szCs w:val="28"/>
          <w:lang w:val="pt-BR"/>
        </w:rPr>
        <w:t xml:space="preserve"> a segurança</w:t>
      </w:r>
      <w:r w:rsidR="004756C1" w:rsidRPr="002F50BD">
        <w:rPr>
          <w:rFonts w:ascii="Verdana" w:hAnsi="Verdana"/>
          <w:sz w:val="20"/>
          <w:szCs w:val="28"/>
          <w:lang w:val="pt-BR"/>
        </w:rPr>
        <w:t xml:space="preserve"> de todos</w:t>
      </w:r>
      <w:r w:rsidR="0089298C" w:rsidRPr="002F50BD">
        <w:rPr>
          <w:rFonts w:ascii="Verdana" w:hAnsi="Verdana"/>
          <w:sz w:val="20"/>
          <w:szCs w:val="28"/>
          <w:lang w:val="pt-BR"/>
        </w:rPr>
        <w:t xml:space="preserve"> e </w:t>
      </w:r>
      <w:r w:rsidR="004756C1" w:rsidRPr="002F50BD">
        <w:rPr>
          <w:rFonts w:ascii="Verdana" w:hAnsi="Verdana"/>
          <w:sz w:val="20"/>
          <w:szCs w:val="28"/>
          <w:lang w:val="pt-BR"/>
        </w:rPr>
        <w:t>[…]</w:t>
      </w:r>
      <w:r w:rsidR="0089298C" w:rsidRPr="002F50BD">
        <w:rPr>
          <w:rFonts w:ascii="Verdana" w:hAnsi="Verdana"/>
          <w:sz w:val="20"/>
          <w:szCs w:val="28"/>
          <w:lang w:val="pt-BR"/>
        </w:rPr>
        <w:t xml:space="preserve"> as </w:t>
      </w:r>
      <w:r w:rsidR="004756C1" w:rsidRPr="002F50BD">
        <w:rPr>
          <w:rFonts w:ascii="Verdana" w:hAnsi="Verdana"/>
          <w:sz w:val="20"/>
          <w:szCs w:val="28"/>
          <w:lang w:val="pt-BR"/>
        </w:rPr>
        <w:t xml:space="preserve">justas </w:t>
      </w:r>
      <w:r w:rsidR="0089298C" w:rsidRPr="002F50BD">
        <w:rPr>
          <w:rFonts w:ascii="Verdana" w:hAnsi="Verdana"/>
          <w:sz w:val="20"/>
          <w:szCs w:val="28"/>
          <w:lang w:val="pt-BR"/>
        </w:rPr>
        <w:t>exigência</w:t>
      </w:r>
      <w:r w:rsidR="004756C1" w:rsidRPr="002F50BD">
        <w:rPr>
          <w:rFonts w:ascii="Verdana" w:hAnsi="Verdana"/>
          <w:sz w:val="20"/>
          <w:szCs w:val="28"/>
          <w:lang w:val="pt-BR"/>
        </w:rPr>
        <w:t xml:space="preserve">s </w:t>
      </w:r>
      <w:r w:rsidR="0089298C" w:rsidRPr="002F50BD">
        <w:rPr>
          <w:rFonts w:ascii="Verdana" w:hAnsi="Verdana"/>
          <w:sz w:val="20"/>
          <w:szCs w:val="28"/>
          <w:lang w:val="pt-BR"/>
        </w:rPr>
        <w:t>do bem comum</w:t>
      </w:r>
      <w:r w:rsidR="004756C1" w:rsidRPr="002F50BD">
        <w:rPr>
          <w:rFonts w:ascii="Verdana" w:hAnsi="Verdana"/>
          <w:sz w:val="20"/>
          <w:szCs w:val="28"/>
          <w:lang w:val="pt-BR"/>
        </w:rPr>
        <w:t>,</w:t>
      </w:r>
      <w:r w:rsidR="0089298C" w:rsidRPr="002F50BD">
        <w:rPr>
          <w:rFonts w:ascii="Verdana" w:hAnsi="Verdana"/>
          <w:sz w:val="20"/>
          <w:szCs w:val="28"/>
          <w:lang w:val="pt-BR"/>
        </w:rPr>
        <w:t xml:space="preserve"> em uma sociedade </w:t>
      </w:r>
      <w:r w:rsidR="004756C1" w:rsidRPr="002F50BD">
        <w:rPr>
          <w:rFonts w:ascii="Verdana" w:hAnsi="Verdana"/>
          <w:sz w:val="20"/>
          <w:szCs w:val="28"/>
          <w:lang w:val="pt-BR"/>
        </w:rPr>
        <w:t>democrática”</w:t>
      </w:r>
      <w:r w:rsidR="00511F8A" w:rsidRPr="002F50BD">
        <w:rPr>
          <w:rFonts w:ascii="Verdana" w:hAnsi="Verdana"/>
          <w:sz w:val="20"/>
          <w:szCs w:val="28"/>
          <w:lang w:val="pt-BR"/>
        </w:rPr>
        <w:t>.</w:t>
      </w:r>
      <w:r w:rsidR="004756C1" w:rsidRPr="002F50BD">
        <w:rPr>
          <w:rStyle w:val="FootnoteReference"/>
          <w:rFonts w:ascii="Verdana" w:hAnsi="Verdana"/>
          <w:szCs w:val="28"/>
        </w:rPr>
        <w:footnoteReference w:id="229"/>
      </w:r>
      <w:r w:rsidR="004756C1" w:rsidRPr="002F50BD">
        <w:rPr>
          <w:rFonts w:ascii="Verdana" w:hAnsi="Verdana"/>
          <w:sz w:val="20"/>
          <w:szCs w:val="28"/>
          <w:lang w:val="pt-BR"/>
        </w:rPr>
        <w:t xml:space="preserve"> </w:t>
      </w:r>
    </w:p>
    <w:p w:rsidR="004756C1" w:rsidRPr="002F50BD" w:rsidRDefault="00475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p>
    <w:p w:rsidR="004756C1" w:rsidRPr="002F50BD" w:rsidRDefault="0006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8"/>
          <w:lang w:val="pt-BR"/>
        </w:rPr>
      </w:pPr>
      <w:r w:rsidRPr="002F50BD">
        <w:rPr>
          <w:rFonts w:ascii="Verdana" w:hAnsi="Verdana"/>
          <w:sz w:val="20"/>
          <w:szCs w:val="28"/>
          <w:lang w:val="pt-BR"/>
        </w:rPr>
        <w:t>36</w:t>
      </w:r>
      <w:r w:rsidR="004756C1" w:rsidRPr="002F50BD">
        <w:rPr>
          <w:rFonts w:ascii="Verdana" w:hAnsi="Verdana"/>
          <w:sz w:val="20"/>
          <w:szCs w:val="28"/>
          <w:lang w:val="pt-BR"/>
        </w:rPr>
        <w:t>.</w:t>
      </w:r>
      <w:r w:rsidR="004756C1" w:rsidRPr="002F50BD">
        <w:rPr>
          <w:rFonts w:ascii="Verdana" w:hAnsi="Verdana"/>
          <w:sz w:val="20"/>
          <w:szCs w:val="28"/>
          <w:lang w:val="pt-BR"/>
        </w:rPr>
        <w:tab/>
      </w:r>
      <w:r w:rsidR="00511F8A" w:rsidRPr="002F50BD">
        <w:rPr>
          <w:rFonts w:ascii="Verdana" w:hAnsi="Verdana"/>
          <w:sz w:val="20"/>
          <w:szCs w:val="28"/>
          <w:lang w:val="pt-BR"/>
        </w:rPr>
        <w:t xml:space="preserve">À </w:t>
      </w:r>
      <w:r w:rsidR="004756C1" w:rsidRPr="002F50BD">
        <w:rPr>
          <w:rFonts w:ascii="Verdana" w:hAnsi="Verdana"/>
          <w:sz w:val="20"/>
          <w:szCs w:val="28"/>
          <w:lang w:val="pt-BR"/>
        </w:rPr>
        <w:t>luz</w:t>
      </w:r>
      <w:r w:rsidR="0089298C" w:rsidRPr="002F50BD">
        <w:rPr>
          <w:rFonts w:ascii="Verdana" w:hAnsi="Verdana"/>
          <w:sz w:val="20"/>
          <w:szCs w:val="28"/>
          <w:lang w:val="pt-BR"/>
        </w:rPr>
        <w:t xml:space="preserve"> do </w:t>
      </w:r>
      <w:r w:rsidR="004756C1" w:rsidRPr="002F50BD">
        <w:rPr>
          <w:rFonts w:ascii="Verdana" w:hAnsi="Verdana"/>
          <w:sz w:val="20"/>
          <w:szCs w:val="28"/>
          <w:lang w:val="pt-BR"/>
        </w:rPr>
        <w:t>anterior,</w:t>
      </w:r>
      <w:r w:rsidR="0089298C" w:rsidRPr="002F50BD">
        <w:rPr>
          <w:rFonts w:ascii="Verdana" w:hAnsi="Verdana"/>
          <w:sz w:val="20"/>
          <w:szCs w:val="28"/>
          <w:lang w:val="pt-BR"/>
        </w:rPr>
        <w:t xml:space="preserve"> é possível estabelece</w:t>
      </w:r>
      <w:r w:rsidR="004756C1" w:rsidRPr="002F50BD">
        <w:rPr>
          <w:rFonts w:ascii="Verdana" w:hAnsi="Verdana"/>
          <w:sz w:val="20"/>
          <w:szCs w:val="28"/>
          <w:lang w:val="pt-BR"/>
        </w:rPr>
        <w:t>r que</w:t>
      </w:r>
      <w:r w:rsidR="0089298C" w:rsidRPr="002F50BD">
        <w:rPr>
          <w:rFonts w:ascii="Verdana" w:hAnsi="Verdana"/>
          <w:sz w:val="20"/>
          <w:szCs w:val="28"/>
          <w:lang w:val="pt-BR"/>
        </w:rPr>
        <w:t xml:space="preserve"> a identidade </w:t>
      </w:r>
      <w:r w:rsidR="004756C1" w:rsidRPr="002F50BD">
        <w:rPr>
          <w:rFonts w:ascii="Verdana" w:hAnsi="Verdana"/>
          <w:sz w:val="20"/>
          <w:szCs w:val="28"/>
          <w:lang w:val="pt-BR"/>
        </w:rPr>
        <w:t xml:space="preserve">cultural </w:t>
      </w:r>
      <w:r w:rsidR="0089298C" w:rsidRPr="002F50BD">
        <w:rPr>
          <w:rFonts w:ascii="Verdana" w:hAnsi="Verdana"/>
          <w:sz w:val="20"/>
          <w:szCs w:val="28"/>
          <w:lang w:val="pt-BR"/>
        </w:rPr>
        <w:t xml:space="preserve">tem </w:t>
      </w:r>
      <w:r w:rsidR="004756C1" w:rsidRPr="002F50BD">
        <w:rPr>
          <w:rFonts w:ascii="Verdana" w:hAnsi="Verdana"/>
          <w:sz w:val="20"/>
          <w:szCs w:val="28"/>
          <w:lang w:val="pt-BR"/>
        </w:rPr>
        <w:t>distintas manifesta</w:t>
      </w:r>
      <w:r w:rsidR="0089298C" w:rsidRPr="002F50BD">
        <w:rPr>
          <w:rFonts w:ascii="Verdana" w:hAnsi="Verdana"/>
          <w:sz w:val="20"/>
          <w:szCs w:val="28"/>
          <w:lang w:val="pt-BR"/>
        </w:rPr>
        <w:t>ções</w:t>
      </w:r>
      <w:r w:rsidR="004756C1" w:rsidRPr="002F50BD">
        <w:rPr>
          <w:rFonts w:ascii="Verdana" w:hAnsi="Verdana"/>
          <w:sz w:val="20"/>
          <w:szCs w:val="28"/>
          <w:lang w:val="pt-BR"/>
        </w:rPr>
        <w:t xml:space="preserve"> que se en</w:t>
      </w:r>
      <w:r w:rsidR="00511F8A" w:rsidRPr="002F50BD">
        <w:rPr>
          <w:rFonts w:ascii="Verdana" w:hAnsi="Verdana"/>
          <w:sz w:val="20"/>
          <w:szCs w:val="28"/>
          <w:lang w:val="pt-BR"/>
        </w:rPr>
        <w:t>q</w:t>
      </w:r>
      <w:r w:rsidR="004756C1" w:rsidRPr="002F50BD">
        <w:rPr>
          <w:rFonts w:ascii="Verdana" w:hAnsi="Verdana"/>
          <w:sz w:val="20"/>
          <w:szCs w:val="28"/>
          <w:lang w:val="pt-BR"/>
        </w:rPr>
        <w:t>uadra</w:t>
      </w:r>
      <w:r w:rsidR="00511F8A" w:rsidRPr="002F50BD">
        <w:rPr>
          <w:rFonts w:ascii="Verdana" w:hAnsi="Verdana"/>
          <w:sz w:val="20"/>
          <w:szCs w:val="28"/>
          <w:lang w:val="pt-BR"/>
        </w:rPr>
        <w:t>m</w:t>
      </w:r>
      <w:r w:rsidR="004756C1" w:rsidRPr="002F50BD">
        <w:rPr>
          <w:rFonts w:ascii="Verdana" w:hAnsi="Verdana"/>
          <w:sz w:val="20"/>
          <w:szCs w:val="28"/>
          <w:lang w:val="pt-BR"/>
        </w:rPr>
        <w:t xml:space="preserve"> dentro</w:t>
      </w:r>
      <w:r w:rsidR="0089298C" w:rsidRPr="002F50BD">
        <w:rPr>
          <w:rFonts w:ascii="Verdana" w:hAnsi="Verdana"/>
          <w:sz w:val="20"/>
          <w:szCs w:val="28"/>
          <w:lang w:val="pt-BR"/>
        </w:rPr>
        <w:t xml:space="preserve"> da proteção e</w:t>
      </w:r>
      <w:r w:rsidR="00E25B7D" w:rsidRPr="002F50BD">
        <w:rPr>
          <w:rFonts w:ascii="Verdana" w:hAnsi="Verdana"/>
          <w:sz w:val="20"/>
          <w:szCs w:val="28"/>
          <w:lang w:val="pt-BR"/>
        </w:rPr>
        <w:t>,</w:t>
      </w:r>
      <w:r w:rsidR="0089298C" w:rsidRPr="002F50BD">
        <w:rPr>
          <w:rFonts w:ascii="Verdana" w:hAnsi="Verdana"/>
          <w:sz w:val="20"/>
          <w:szCs w:val="28"/>
          <w:lang w:val="pt-BR"/>
        </w:rPr>
        <w:t xml:space="preserve"> à</w:t>
      </w:r>
      <w:r w:rsidR="00511F8A" w:rsidRPr="002F50BD">
        <w:rPr>
          <w:rFonts w:ascii="Verdana" w:hAnsi="Verdana"/>
          <w:sz w:val="20"/>
          <w:szCs w:val="28"/>
          <w:lang w:val="pt-BR"/>
        </w:rPr>
        <w:t>s</w:t>
      </w:r>
      <w:r w:rsidR="0089298C" w:rsidRPr="002F50BD">
        <w:rPr>
          <w:rFonts w:ascii="Verdana" w:hAnsi="Verdana"/>
          <w:sz w:val="20"/>
          <w:szCs w:val="28"/>
          <w:lang w:val="pt-BR"/>
        </w:rPr>
        <w:t xml:space="preserve"> </w:t>
      </w:r>
      <w:r w:rsidR="004756C1" w:rsidRPr="002F50BD">
        <w:rPr>
          <w:rFonts w:ascii="Verdana" w:hAnsi="Verdana"/>
          <w:sz w:val="20"/>
          <w:szCs w:val="28"/>
          <w:lang w:val="pt-BR"/>
        </w:rPr>
        <w:t>vez</w:t>
      </w:r>
      <w:r w:rsidR="00511F8A" w:rsidRPr="002F50BD">
        <w:rPr>
          <w:rFonts w:ascii="Verdana" w:hAnsi="Verdana"/>
          <w:sz w:val="20"/>
          <w:szCs w:val="28"/>
          <w:lang w:val="pt-BR"/>
        </w:rPr>
        <w:t>es</w:t>
      </w:r>
      <w:r w:rsidR="00E25B7D" w:rsidRPr="002F50BD">
        <w:rPr>
          <w:rFonts w:ascii="Verdana" w:hAnsi="Verdana"/>
          <w:sz w:val="20"/>
          <w:szCs w:val="28"/>
          <w:lang w:val="pt-BR"/>
        </w:rPr>
        <w:t>,</w:t>
      </w:r>
      <w:r w:rsidR="004756C1" w:rsidRPr="002F50BD">
        <w:rPr>
          <w:rFonts w:ascii="Verdana" w:hAnsi="Verdana"/>
          <w:sz w:val="20"/>
          <w:szCs w:val="28"/>
          <w:lang w:val="pt-BR"/>
        </w:rPr>
        <w:t xml:space="preserve"> dentro</w:t>
      </w:r>
      <w:r w:rsidR="0089298C" w:rsidRPr="002F50BD">
        <w:rPr>
          <w:rFonts w:ascii="Verdana" w:hAnsi="Verdana"/>
          <w:sz w:val="20"/>
          <w:szCs w:val="28"/>
          <w:lang w:val="pt-BR"/>
        </w:rPr>
        <w:t xml:space="preserve"> das </w:t>
      </w:r>
      <w:r w:rsidR="004756C1" w:rsidRPr="002F50BD">
        <w:rPr>
          <w:rFonts w:ascii="Verdana" w:hAnsi="Verdana"/>
          <w:sz w:val="20"/>
          <w:szCs w:val="28"/>
          <w:lang w:val="pt-BR"/>
        </w:rPr>
        <w:t>limita</w:t>
      </w:r>
      <w:r w:rsidR="0089298C" w:rsidRPr="002F50BD">
        <w:rPr>
          <w:rFonts w:ascii="Verdana" w:hAnsi="Verdana"/>
          <w:sz w:val="20"/>
          <w:szCs w:val="28"/>
          <w:lang w:val="pt-BR"/>
        </w:rPr>
        <w:t>ções</w:t>
      </w:r>
      <w:r w:rsidR="004756C1" w:rsidRPr="002F50BD">
        <w:rPr>
          <w:rFonts w:ascii="Verdana" w:hAnsi="Verdana"/>
          <w:sz w:val="20"/>
          <w:szCs w:val="28"/>
          <w:lang w:val="pt-BR"/>
        </w:rPr>
        <w:t xml:space="preserve">, que </w:t>
      </w:r>
      <w:r w:rsidR="00511F8A" w:rsidRPr="002F50BD">
        <w:rPr>
          <w:rFonts w:ascii="Verdana" w:hAnsi="Verdana"/>
          <w:sz w:val="20"/>
          <w:szCs w:val="28"/>
          <w:lang w:val="pt-BR"/>
        </w:rPr>
        <w:t xml:space="preserve">oferece </w:t>
      </w:r>
      <w:r w:rsidR="0089298C" w:rsidRPr="002F50BD">
        <w:rPr>
          <w:rFonts w:ascii="Verdana" w:hAnsi="Verdana"/>
          <w:sz w:val="20"/>
          <w:szCs w:val="28"/>
          <w:lang w:val="pt-BR"/>
        </w:rPr>
        <w:t xml:space="preserve">a </w:t>
      </w:r>
      <w:r w:rsidR="004756C1" w:rsidRPr="002F50BD">
        <w:rPr>
          <w:rFonts w:ascii="Verdana" w:hAnsi="Verdana"/>
          <w:sz w:val="20"/>
          <w:szCs w:val="28"/>
          <w:lang w:val="pt-BR"/>
        </w:rPr>
        <w:t>Conven</w:t>
      </w:r>
      <w:r w:rsidR="0089298C" w:rsidRPr="002F50BD">
        <w:rPr>
          <w:rFonts w:ascii="Verdana" w:hAnsi="Verdana"/>
          <w:sz w:val="20"/>
          <w:szCs w:val="28"/>
          <w:lang w:val="pt-BR"/>
        </w:rPr>
        <w:t>ção</w:t>
      </w:r>
      <w:r w:rsidR="004756C1" w:rsidRPr="002F50BD">
        <w:rPr>
          <w:rFonts w:ascii="Verdana" w:hAnsi="Verdana"/>
          <w:sz w:val="20"/>
          <w:szCs w:val="28"/>
          <w:lang w:val="pt-BR"/>
        </w:rPr>
        <w:t xml:space="preserve"> Americana sobre </w:t>
      </w:r>
      <w:r w:rsidR="0089298C" w:rsidRPr="002F50BD">
        <w:rPr>
          <w:rFonts w:ascii="Verdana" w:hAnsi="Verdana"/>
          <w:sz w:val="20"/>
          <w:szCs w:val="28"/>
          <w:lang w:val="pt-BR"/>
        </w:rPr>
        <w:t>Direito</w:t>
      </w:r>
      <w:r w:rsidR="004756C1" w:rsidRPr="002F50BD">
        <w:rPr>
          <w:rFonts w:ascii="Verdana" w:hAnsi="Verdana"/>
          <w:sz w:val="20"/>
          <w:szCs w:val="28"/>
          <w:lang w:val="pt-BR"/>
        </w:rPr>
        <w:t>s Humanos.</w:t>
      </w:r>
    </w:p>
    <w:p w:rsidR="004756C1" w:rsidRPr="002F50BD" w:rsidRDefault="004756C1">
      <w:pPr>
        <w:pStyle w:val="BlockText"/>
        <w:spacing w:line="240" w:lineRule="auto"/>
        <w:ind w:left="0" w:right="0"/>
        <w:rPr>
          <w:b/>
          <w:i/>
          <w:iCs/>
          <w:sz w:val="20"/>
          <w:szCs w:val="28"/>
          <w:lang w:val="pt-BR"/>
        </w:rPr>
      </w:pPr>
    </w:p>
    <w:p w:rsidR="004756C1" w:rsidRPr="002F50BD" w:rsidRDefault="004756C1">
      <w:pPr>
        <w:pStyle w:val="BlockText"/>
        <w:spacing w:line="240" w:lineRule="auto"/>
        <w:ind w:left="0" w:right="0"/>
        <w:rPr>
          <w:b/>
          <w:i/>
          <w:iCs/>
          <w:sz w:val="20"/>
          <w:szCs w:val="28"/>
          <w:lang w:val="pt-BR"/>
        </w:rPr>
      </w:pPr>
    </w:p>
    <w:p w:rsidR="004756C1" w:rsidRPr="002F50BD" w:rsidRDefault="004756C1">
      <w:pPr>
        <w:pStyle w:val="BlockText"/>
        <w:spacing w:line="240" w:lineRule="auto"/>
        <w:ind w:left="0" w:right="0"/>
        <w:rPr>
          <w:b/>
          <w:iCs/>
          <w:sz w:val="20"/>
          <w:szCs w:val="28"/>
          <w:lang w:val="pt-BR"/>
        </w:rPr>
      </w:pPr>
    </w:p>
    <w:p w:rsidR="004756C1" w:rsidRPr="002F50BD" w:rsidRDefault="004756C1">
      <w:pPr>
        <w:pStyle w:val="BlockText"/>
        <w:spacing w:line="240" w:lineRule="auto"/>
        <w:ind w:left="0" w:right="378"/>
        <w:jc w:val="right"/>
        <w:rPr>
          <w:iCs/>
          <w:sz w:val="20"/>
          <w:szCs w:val="28"/>
          <w:lang w:val="pt-BR"/>
        </w:rPr>
      </w:pPr>
      <w:r w:rsidRPr="002F50BD">
        <w:rPr>
          <w:iCs/>
          <w:sz w:val="20"/>
          <w:szCs w:val="28"/>
          <w:lang w:val="pt-BR"/>
        </w:rPr>
        <w:t>Alirio Abreu Burelli</w:t>
      </w:r>
    </w:p>
    <w:p w:rsidR="004756C1" w:rsidRPr="002F50BD" w:rsidRDefault="0089298C">
      <w:pPr>
        <w:pStyle w:val="BlockText"/>
        <w:spacing w:line="240" w:lineRule="auto"/>
        <w:ind w:left="0" w:right="1098"/>
        <w:jc w:val="right"/>
        <w:rPr>
          <w:iCs/>
          <w:sz w:val="20"/>
          <w:szCs w:val="28"/>
          <w:lang w:val="pt-BR"/>
        </w:rPr>
      </w:pPr>
      <w:r w:rsidRPr="002F50BD">
        <w:rPr>
          <w:iCs/>
          <w:sz w:val="20"/>
          <w:szCs w:val="28"/>
          <w:lang w:val="pt-BR"/>
        </w:rPr>
        <w:t>Juiz</w:t>
      </w:r>
    </w:p>
    <w:p w:rsidR="004756C1" w:rsidRPr="002F50BD" w:rsidRDefault="004756C1">
      <w:pPr>
        <w:pStyle w:val="BlockText"/>
        <w:spacing w:line="240" w:lineRule="auto"/>
        <w:ind w:left="0" w:right="0"/>
        <w:rPr>
          <w:iCs/>
          <w:sz w:val="20"/>
          <w:szCs w:val="28"/>
          <w:lang w:val="pt-BR"/>
        </w:rPr>
      </w:pPr>
    </w:p>
    <w:p w:rsidR="004756C1" w:rsidRPr="002F50BD" w:rsidRDefault="004756C1">
      <w:pPr>
        <w:pStyle w:val="BlockText"/>
        <w:spacing w:line="240" w:lineRule="auto"/>
        <w:ind w:left="0" w:right="0"/>
        <w:rPr>
          <w:iCs/>
          <w:sz w:val="20"/>
          <w:szCs w:val="28"/>
          <w:lang w:val="pt-BR"/>
        </w:rPr>
      </w:pPr>
      <w:r w:rsidRPr="002F50BD">
        <w:rPr>
          <w:iCs/>
          <w:sz w:val="20"/>
          <w:szCs w:val="28"/>
          <w:lang w:val="pt-BR"/>
        </w:rPr>
        <w:t>Pablo Saavedra Alessandri</w:t>
      </w:r>
    </w:p>
    <w:p w:rsidR="004756C1" w:rsidRPr="002F50BD" w:rsidRDefault="00FE08B7">
      <w:pPr>
        <w:pStyle w:val="BlockText"/>
        <w:spacing w:line="240" w:lineRule="auto"/>
        <w:ind w:left="0" w:right="0" w:firstLine="708"/>
        <w:rPr>
          <w:iCs/>
          <w:sz w:val="20"/>
          <w:szCs w:val="28"/>
          <w:lang w:val="pt-BR"/>
        </w:rPr>
      </w:pPr>
      <w:r>
        <w:rPr>
          <w:iCs/>
          <w:sz w:val="20"/>
          <w:szCs w:val="28"/>
          <w:lang w:val="pt-BR"/>
        </w:rPr>
        <w:t xml:space="preserve"> </w:t>
      </w:r>
      <w:r w:rsidR="0089298C" w:rsidRPr="002F50BD">
        <w:rPr>
          <w:iCs/>
          <w:sz w:val="20"/>
          <w:szCs w:val="28"/>
          <w:lang w:val="pt-BR"/>
        </w:rPr>
        <w:t>Secretário</w:t>
      </w:r>
    </w:p>
    <w:p w:rsidR="004756C1" w:rsidRPr="002F50BD" w:rsidRDefault="004756C1">
      <w:pPr>
        <w:pStyle w:val="BodyTextIndent3"/>
        <w:ind w:left="0"/>
        <w:jc w:val="center"/>
        <w:rPr>
          <w:rFonts w:ascii="Verdana" w:hAnsi="Verdana"/>
          <w:b/>
          <w:sz w:val="20"/>
          <w:lang w:val="pt-BR"/>
        </w:rPr>
        <w:sectPr w:rsidR="004756C1" w:rsidRPr="002F50BD">
          <w:footnotePr>
            <w:numRestart w:val="eachSect"/>
          </w:footnotePr>
          <w:pgSz w:w="12240" w:h="15840"/>
          <w:pgMar w:top="1440" w:right="1800" w:bottom="1440" w:left="1800" w:header="720" w:footer="720" w:gutter="0"/>
          <w:pgNumType w:start="1"/>
          <w:cols w:space="720"/>
          <w:noEndnote/>
          <w:titlePg/>
        </w:sectPr>
      </w:pPr>
    </w:p>
    <w:p w:rsidR="004756C1" w:rsidRPr="002F50BD" w:rsidRDefault="004756C1">
      <w:pPr>
        <w:pStyle w:val="BodyTextIndent3"/>
        <w:ind w:left="0"/>
        <w:jc w:val="center"/>
        <w:rPr>
          <w:rFonts w:ascii="Verdana" w:hAnsi="Verdana"/>
          <w:b/>
          <w:sz w:val="20"/>
          <w:lang w:val="pt-BR"/>
        </w:rPr>
      </w:pPr>
    </w:p>
    <w:p w:rsidR="004756C1" w:rsidRPr="002F50BD" w:rsidRDefault="004756C1">
      <w:pPr>
        <w:pStyle w:val="BodyTextIndent3"/>
        <w:ind w:left="0"/>
        <w:jc w:val="center"/>
        <w:rPr>
          <w:rFonts w:ascii="Verdana" w:hAnsi="Verdana"/>
          <w:b/>
          <w:sz w:val="20"/>
          <w:lang w:val="pt-BR"/>
        </w:rPr>
      </w:pPr>
      <w:r w:rsidRPr="002F50BD">
        <w:rPr>
          <w:rFonts w:ascii="Verdana" w:hAnsi="Verdana"/>
          <w:b/>
          <w:sz w:val="20"/>
          <w:lang w:val="pt-BR"/>
        </w:rPr>
        <w:t xml:space="preserve">VOTO </w:t>
      </w:r>
      <w:r w:rsidR="00511F8A" w:rsidRPr="002F50BD">
        <w:rPr>
          <w:rFonts w:ascii="Verdana" w:hAnsi="Verdana"/>
          <w:b/>
          <w:sz w:val="20"/>
          <w:lang w:val="pt-BR"/>
        </w:rPr>
        <w:t xml:space="preserve">DISSIDENTE CONJUNTO DOS JUÍZES </w:t>
      </w:r>
    </w:p>
    <w:p w:rsidR="004756C1" w:rsidRPr="002F50BD" w:rsidRDefault="00511F8A">
      <w:pPr>
        <w:pStyle w:val="BodyTextIndent3"/>
        <w:ind w:left="0"/>
        <w:jc w:val="center"/>
        <w:rPr>
          <w:rFonts w:ascii="Verdana" w:hAnsi="Verdana"/>
          <w:b/>
          <w:sz w:val="20"/>
          <w:lang w:val="pt-BR"/>
        </w:rPr>
      </w:pPr>
      <w:r w:rsidRPr="002F50BD">
        <w:rPr>
          <w:rFonts w:ascii="Verdana" w:hAnsi="Verdana"/>
          <w:b/>
          <w:sz w:val="20"/>
          <w:lang w:val="pt-BR"/>
        </w:rPr>
        <w:t xml:space="preserve">A.A. CANÇADO TRINDADE E M.E. VENTURA </w:t>
      </w:r>
      <w:r w:rsidR="004756C1" w:rsidRPr="002F50BD">
        <w:rPr>
          <w:rFonts w:ascii="Verdana" w:hAnsi="Verdana"/>
          <w:b/>
          <w:sz w:val="20"/>
          <w:lang w:val="pt-BR"/>
        </w:rPr>
        <w:t>ROBLES</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w:t>
      </w:r>
      <w:r w:rsidR="004756C1" w:rsidRPr="002F50BD">
        <w:rPr>
          <w:rFonts w:ascii="Verdana" w:hAnsi="Verdana"/>
          <w:sz w:val="20"/>
          <w:lang w:val="pt-BR"/>
        </w:rPr>
        <w:t>.</w:t>
      </w:r>
      <w:r w:rsidR="004756C1" w:rsidRPr="002F50BD">
        <w:rPr>
          <w:rFonts w:ascii="Verdana" w:hAnsi="Verdana"/>
          <w:sz w:val="20"/>
          <w:lang w:val="pt-BR"/>
        </w:rPr>
        <w:tab/>
      </w:r>
      <w:r w:rsidR="00511F8A" w:rsidRPr="002F50BD">
        <w:rPr>
          <w:rFonts w:ascii="Verdana" w:hAnsi="Verdana"/>
          <w:sz w:val="20"/>
          <w:lang w:val="pt-BR"/>
        </w:rPr>
        <w:t xml:space="preserve">Concordamos </w:t>
      </w:r>
      <w:r w:rsidR="00CF4BA6" w:rsidRPr="002F50BD">
        <w:rPr>
          <w:rFonts w:ascii="Verdana" w:hAnsi="Verdana"/>
          <w:sz w:val="20"/>
          <w:lang w:val="pt-BR"/>
        </w:rPr>
        <w:t>em</w:t>
      </w:r>
      <w:r w:rsidR="0089298C" w:rsidRPr="002F50BD">
        <w:rPr>
          <w:rFonts w:ascii="Verdana" w:hAnsi="Verdana"/>
          <w:sz w:val="20"/>
          <w:lang w:val="pt-BR"/>
        </w:rPr>
        <w:t xml:space="preserve"> nosso</w:t>
      </w:r>
      <w:r w:rsidR="004756C1" w:rsidRPr="002F50BD">
        <w:rPr>
          <w:rFonts w:ascii="Verdana" w:hAnsi="Verdana"/>
          <w:sz w:val="20"/>
          <w:lang w:val="pt-BR"/>
        </w:rPr>
        <w:t>s votos</w:t>
      </w:r>
      <w:r w:rsidR="0089298C" w:rsidRPr="002F50BD">
        <w:rPr>
          <w:rFonts w:ascii="Verdana" w:hAnsi="Verdana"/>
          <w:sz w:val="20"/>
          <w:lang w:val="pt-BR"/>
        </w:rPr>
        <w:t xml:space="preserve"> </w:t>
      </w:r>
      <w:r w:rsidR="00CF4BA6" w:rsidRPr="002F50BD">
        <w:rPr>
          <w:rFonts w:ascii="Verdana" w:hAnsi="Verdana"/>
          <w:sz w:val="20"/>
          <w:lang w:val="pt-BR"/>
        </w:rPr>
        <w:t>com a</w:t>
      </w:r>
      <w:r w:rsidR="0089298C" w:rsidRPr="002F50BD">
        <w:rPr>
          <w:rFonts w:ascii="Verdana" w:hAnsi="Verdana"/>
          <w:sz w:val="20"/>
          <w:lang w:val="pt-BR"/>
        </w:rPr>
        <w:t xml:space="preserve"> adoção da </w:t>
      </w:r>
      <w:r w:rsidR="004756C1" w:rsidRPr="002F50BD">
        <w:rPr>
          <w:rFonts w:ascii="Verdana" w:hAnsi="Verdana"/>
          <w:sz w:val="20"/>
          <w:lang w:val="pt-BR"/>
        </w:rPr>
        <w:t xml:space="preserve">presente </w:t>
      </w:r>
      <w:r w:rsidR="0089298C" w:rsidRPr="002F50BD">
        <w:rPr>
          <w:rFonts w:ascii="Verdana" w:hAnsi="Verdana"/>
          <w:sz w:val="20"/>
          <w:lang w:val="pt-BR"/>
        </w:rPr>
        <w:t xml:space="preserve">Sentença da </w:t>
      </w:r>
      <w:r w:rsidR="004756C1" w:rsidRPr="002F50BD">
        <w:rPr>
          <w:rFonts w:ascii="Verdana" w:hAnsi="Verdana"/>
          <w:sz w:val="20"/>
          <w:lang w:val="pt-BR"/>
        </w:rPr>
        <w:t xml:space="preserve">Corte Interamericana de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no </w:t>
      </w:r>
      <w:r w:rsidR="004756C1" w:rsidRPr="002F50BD">
        <w:rPr>
          <w:rFonts w:ascii="Verdana" w:hAnsi="Verdana"/>
          <w:sz w:val="20"/>
          <w:lang w:val="pt-BR"/>
        </w:rPr>
        <w:t>caso</w:t>
      </w:r>
      <w:r w:rsidR="0089298C" w:rsidRPr="002F50BD">
        <w:rPr>
          <w:rFonts w:ascii="Verdana" w:hAnsi="Verdana"/>
          <w:sz w:val="20"/>
          <w:lang w:val="pt-BR"/>
        </w:rPr>
        <w:t xml:space="preserve"> da </w:t>
      </w:r>
      <w:r w:rsidR="0089298C" w:rsidRPr="002F50BD">
        <w:rPr>
          <w:rFonts w:ascii="Verdana" w:hAnsi="Verdana"/>
          <w:i/>
          <w:sz w:val="20"/>
          <w:lang w:val="pt-BR"/>
        </w:rPr>
        <w:t xml:space="preserve">Comunidade </w:t>
      </w:r>
      <w:r w:rsidR="004756C1" w:rsidRPr="002F50BD">
        <w:rPr>
          <w:rFonts w:ascii="Verdana" w:hAnsi="Verdana"/>
          <w:i/>
          <w:sz w:val="20"/>
          <w:lang w:val="pt-BR"/>
        </w:rPr>
        <w:t xml:space="preserve">indígena Yakye Axa versus </w:t>
      </w:r>
      <w:r w:rsidR="0089298C" w:rsidRPr="002F50BD">
        <w:rPr>
          <w:rFonts w:ascii="Verdana" w:hAnsi="Verdana"/>
          <w:i/>
          <w:sz w:val="20"/>
          <w:lang w:val="pt-BR"/>
        </w:rPr>
        <w:t>Paraguai</w:t>
      </w:r>
      <w:r w:rsidR="004756C1" w:rsidRPr="002F50BD">
        <w:rPr>
          <w:rFonts w:ascii="Verdana" w:hAnsi="Verdana"/>
          <w:sz w:val="20"/>
          <w:lang w:val="pt-BR"/>
        </w:rPr>
        <w:t>,</w:t>
      </w:r>
      <w:r w:rsidR="0089298C" w:rsidRPr="002F50BD">
        <w:rPr>
          <w:rFonts w:ascii="Verdana" w:hAnsi="Verdana"/>
          <w:sz w:val="20"/>
          <w:lang w:val="pt-BR"/>
        </w:rPr>
        <w:t xml:space="preserve"> com grande </w:t>
      </w:r>
      <w:r w:rsidR="004756C1" w:rsidRPr="002F50BD">
        <w:rPr>
          <w:rFonts w:ascii="Verdana" w:hAnsi="Verdana"/>
          <w:sz w:val="20"/>
          <w:lang w:val="pt-BR"/>
        </w:rPr>
        <w:t>parte</w:t>
      </w:r>
      <w:r w:rsidR="0089298C" w:rsidRPr="002F50BD">
        <w:rPr>
          <w:rFonts w:ascii="Verdana" w:hAnsi="Verdana"/>
          <w:sz w:val="20"/>
          <w:lang w:val="pt-BR"/>
        </w:rPr>
        <w:t xml:space="preserve"> da qual </w:t>
      </w:r>
      <w:r w:rsidR="00511F8A" w:rsidRPr="002F50BD">
        <w:rPr>
          <w:rFonts w:ascii="Verdana" w:hAnsi="Verdana"/>
          <w:sz w:val="20"/>
          <w:lang w:val="pt-BR"/>
        </w:rPr>
        <w:t xml:space="preserve">estivemos </w:t>
      </w:r>
      <w:r w:rsidR="0089298C" w:rsidRPr="002F50BD">
        <w:rPr>
          <w:rFonts w:ascii="Verdana" w:hAnsi="Verdana"/>
          <w:sz w:val="20"/>
          <w:lang w:val="pt-BR"/>
        </w:rPr>
        <w:t>basicamente</w:t>
      </w:r>
      <w:r w:rsidR="004756C1" w:rsidRPr="002F50BD">
        <w:rPr>
          <w:rFonts w:ascii="Verdana" w:hAnsi="Verdana"/>
          <w:sz w:val="20"/>
          <w:lang w:val="pt-BR"/>
        </w:rPr>
        <w:t xml:space="preserve"> de </w:t>
      </w:r>
      <w:r w:rsidR="0089298C" w:rsidRPr="002F50BD">
        <w:rPr>
          <w:rFonts w:ascii="Verdana" w:hAnsi="Verdana"/>
          <w:sz w:val="20"/>
          <w:lang w:val="pt-BR"/>
        </w:rPr>
        <w:t>acordo</w:t>
      </w:r>
      <w:r w:rsidR="004756C1" w:rsidRPr="002F50BD">
        <w:rPr>
          <w:rFonts w:ascii="Verdana" w:hAnsi="Verdana"/>
          <w:sz w:val="20"/>
          <w:lang w:val="pt-BR"/>
        </w:rPr>
        <w:t>,</w:t>
      </w:r>
      <w:r w:rsidR="0089298C" w:rsidRPr="002F50BD">
        <w:rPr>
          <w:rFonts w:ascii="Verdana" w:hAnsi="Verdana"/>
          <w:sz w:val="20"/>
          <w:lang w:val="pt-BR"/>
        </w:rPr>
        <w:t xml:space="preserve"> com exceção</w:t>
      </w:r>
      <w:r w:rsidR="004756C1" w:rsidRPr="002F50BD">
        <w:rPr>
          <w:rFonts w:ascii="Verdana" w:hAnsi="Verdana"/>
          <w:sz w:val="20"/>
          <w:lang w:val="pt-BR"/>
        </w:rPr>
        <w:t xml:space="preserve"> </w:t>
      </w:r>
      <w:r w:rsidR="0089298C" w:rsidRPr="002F50BD">
        <w:rPr>
          <w:rFonts w:ascii="Verdana" w:hAnsi="Verdana"/>
          <w:sz w:val="20"/>
          <w:lang w:val="pt-BR"/>
        </w:rPr>
        <w:t xml:space="preserve">do ponto </w:t>
      </w:r>
      <w:r w:rsidR="004756C1" w:rsidRPr="002F50BD">
        <w:rPr>
          <w:rFonts w:ascii="Verdana" w:hAnsi="Verdana"/>
          <w:sz w:val="20"/>
          <w:lang w:val="pt-BR"/>
        </w:rPr>
        <w:t>resolutivo</w:t>
      </w:r>
      <w:r w:rsidR="00FC6B22" w:rsidRPr="002F50BD">
        <w:rPr>
          <w:rFonts w:ascii="Verdana" w:hAnsi="Verdana"/>
          <w:sz w:val="20"/>
          <w:lang w:val="pt-BR"/>
        </w:rPr>
        <w:t xml:space="preserve"> </w:t>
      </w:r>
      <w:r w:rsidRPr="002F50BD">
        <w:rPr>
          <w:rFonts w:ascii="Verdana" w:hAnsi="Verdana"/>
          <w:sz w:val="20"/>
          <w:lang w:val="pt-BR"/>
        </w:rPr>
        <w:t>nº</w:t>
      </w:r>
      <w:r w:rsidR="00FC6B22" w:rsidRPr="002F50BD">
        <w:rPr>
          <w:rFonts w:ascii="Verdana" w:hAnsi="Verdana"/>
          <w:sz w:val="20"/>
          <w:lang w:val="pt-BR"/>
        </w:rPr>
        <w:t xml:space="preserve"> </w:t>
      </w:r>
      <w:r w:rsidRPr="002F50BD">
        <w:rPr>
          <w:rFonts w:ascii="Verdana" w:hAnsi="Verdana"/>
          <w:sz w:val="20"/>
          <w:lang w:val="pt-BR"/>
        </w:rPr>
        <w:t>4</w:t>
      </w:r>
      <w:r w:rsidR="0089298C" w:rsidRPr="002F50BD">
        <w:rPr>
          <w:rFonts w:ascii="Verdana" w:hAnsi="Verdana"/>
          <w:sz w:val="20"/>
          <w:lang w:val="pt-BR"/>
        </w:rPr>
        <w:t xml:space="preserve"> e </w:t>
      </w:r>
      <w:r w:rsidR="00511F8A" w:rsidRPr="002F50BD">
        <w:rPr>
          <w:rFonts w:ascii="Verdana" w:hAnsi="Verdana"/>
          <w:sz w:val="20"/>
          <w:lang w:val="pt-BR"/>
        </w:rPr>
        <w:t xml:space="preserve">dos </w:t>
      </w:r>
      <w:r w:rsidR="0089298C" w:rsidRPr="002F50BD">
        <w:rPr>
          <w:rFonts w:ascii="Verdana" w:hAnsi="Verdana"/>
          <w:sz w:val="20"/>
          <w:lang w:val="pt-BR"/>
        </w:rPr>
        <w:t>parágrafo</w:t>
      </w:r>
      <w:r w:rsidR="004756C1" w:rsidRPr="002F50BD">
        <w:rPr>
          <w:rFonts w:ascii="Verdana" w:hAnsi="Verdana"/>
          <w:sz w:val="20"/>
          <w:lang w:val="pt-BR"/>
        </w:rPr>
        <w:t xml:space="preserve">s considerativos </w:t>
      </w:r>
      <w:r w:rsidR="0089298C" w:rsidRPr="002F50BD">
        <w:rPr>
          <w:rFonts w:ascii="Verdana" w:hAnsi="Verdana"/>
          <w:sz w:val="20"/>
          <w:lang w:val="pt-BR"/>
        </w:rPr>
        <w:t>correspondente</w:t>
      </w:r>
      <w:r w:rsidR="004756C1" w:rsidRPr="002F50BD">
        <w:rPr>
          <w:rFonts w:ascii="Verdana" w:hAnsi="Verdana"/>
          <w:sz w:val="20"/>
          <w:lang w:val="pt-BR"/>
        </w:rPr>
        <w:t>s,</w:t>
      </w:r>
      <w:r w:rsidR="0089298C" w:rsidRPr="002F50BD">
        <w:rPr>
          <w:rFonts w:ascii="Verdana" w:hAnsi="Verdana"/>
          <w:sz w:val="20"/>
          <w:lang w:val="pt-BR"/>
        </w:rPr>
        <w:t xml:space="preserve"> dos </w:t>
      </w:r>
      <w:r w:rsidR="00511F8A" w:rsidRPr="002F50BD">
        <w:rPr>
          <w:rFonts w:ascii="Verdana" w:hAnsi="Verdana"/>
          <w:sz w:val="20"/>
          <w:lang w:val="pt-BR"/>
        </w:rPr>
        <w:t xml:space="preserve">quais discordamos </w:t>
      </w:r>
      <w:r w:rsidR="004756C1" w:rsidRPr="002F50BD">
        <w:rPr>
          <w:rFonts w:ascii="Verdana" w:hAnsi="Verdana"/>
          <w:sz w:val="20"/>
          <w:lang w:val="pt-BR"/>
        </w:rPr>
        <w:t>firmemente,</w:t>
      </w:r>
      <w:r w:rsidR="0089298C" w:rsidRPr="002F50BD">
        <w:rPr>
          <w:rFonts w:ascii="Verdana" w:hAnsi="Verdana"/>
          <w:sz w:val="20"/>
          <w:lang w:val="pt-BR"/>
        </w:rPr>
        <w:t xml:space="preserve"> com </w:t>
      </w:r>
      <w:r w:rsidR="004756C1" w:rsidRPr="002F50BD">
        <w:rPr>
          <w:rFonts w:ascii="Verdana" w:hAnsi="Verdana"/>
          <w:sz w:val="20"/>
          <w:lang w:val="pt-BR"/>
        </w:rPr>
        <w:t>base</w:t>
      </w:r>
      <w:r w:rsidR="0089298C" w:rsidRPr="002F50BD">
        <w:rPr>
          <w:rFonts w:ascii="Verdana" w:hAnsi="Verdana"/>
          <w:sz w:val="20"/>
          <w:lang w:val="pt-BR"/>
        </w:rPr>
        <w:t xml:space="preserve"> nos </w:t>
      </w:r>
      <w:r w:rsidR="004756C1" w:rsidRPr="002F50BD">
        <w:rPr>
          <w:rFonts w:ascii="Verdana" w:hAnsi="Verdana"/>
          <w:sz w:val="20"/>
          <w:lang w:val="pt-BR"/>
        </w:rPr>
        <w:t xml:space="preserve">fundamentos que exporemos a </w:t>
      </w:r>
      <w:r w:rsidR="00511F8A" w:rsidRPr="002F50BD">
        <w:rPr>
          <w:rFonts w:ascii="Verdana" w:hAnsi="Verdana"/>
          <w:sz w:val="20"/>
          <w:lang w:val="pt-BR"/>
        </w:rPr>
        <w:t>seguir</w:t>
      </w:r>
      <w:r w:rsidR="004756C1" w:rsidRPr="002F50BD">
        <w:rPr>
          <w:rFonts w:ascii="Verdana" w:hAnsi="Verdana"/>
          <w:sz w:val="20"/>
          <w:lang w:val="pt-BR"/>
        </w:rPr>
        <w:t>,</w:t>
      </w:r>
      <w:r w:rsidR="0089298C" w:rsidRPr="002F50BD">
        <w:rPr>
          <w:rFonts w:ascii="Verdana" w:hAnsi="Verdana"/>
          <w:sz w:val="20"/>
          <w:lang w:val="pt-BR"/>
        </w:rPr>
        <w:t xml:space="preserve"> no </w:t>
      </w:r>
      <w:r w:rsidR="004756C1" w:rsidRPr="002F50BD">
        <w:rPr>
          <w:rFonts w:ascii="Verdana" w:hAnsi="Verdana"/>
          <w:sz w:val="20"/>
          <w:lang w:val="pt-BR"/>
        </w:rPr>
        <w:t xml:space="preserve">presente Voto </w:t>
      </w:r>
      <w:r w:rsidR="001F21AC" w:rsidRPr="002F50BD">
        <w:rPr>
          <w:rFonts w:ascii="Verdana" w:hAnsi="Verdana"/>
          <w:sz w:val="20"/>
          <w:lang w:val="pt-BR"/>
        </w:rPr>
        <w:t>Dissidente</w:t>
      </w:r>
      <w:r w:rsidR="004756C1" w:rsidRPr="002F50BD">
        <w:rPr>
          <w:rFonts w:ascii="Verdana" w:hAnsi="Verdana"/>
          <w:sz w:val="20"/>
          <w:lang w:val="pt-BR"/>
        </w:rPr>
        <w:t xml:space="preserve"> Conjunto. Entendemos, </w:t>
      </w:r>
      <w:r w:rsidR="0089298C" w:rsidRPr="002F50BD">
        <w:rPr>
          <w:rFonts w:ascii="Verdana" w:hAnsi="Verdana"/>
          <w:sz w:val="20"/>
          <w:lang w:val="pt-BR"/>
        </w:rPr>
        <w:t>ademais</w:t>
      </w:r>
      <w:r w:rsidR="004756C1" w:rsidRPr="002F50BD">
        <w:rPr>
          <w:rFonts w:ascii="Verdana" w:hAnsi="Verdana"/>
          <w:sz w:val="20"/>
          <w:lang w:val="pt-BR"/>
        </w:rPr>
        <w:t>, que o decidido</w:t>
      </w:r>
      <w:r w:rsidR="0089298C" w:rsidRPr="002F50BD">
        <w:rPr>
          <w:rFonts w:ascii="Verdana" w:hAnsi="Verdana"/>
          <w:sz w:val="20"/>
          <w:lang w:val="pt-BR"/>
        </w:rPr>
        <w:t xml:space="preserve"> pela </w:t>
      </w:r>
      <w:r w:rsidR="004756C1" w:rsidRPr="002F50BD">
        <w:rPr>
          <w:rFonts w:ascii="Verdana" w:hAnsi="Verdana"/>
          <w:sz w:val="20"/>
          <w:lang w:val="pt-BR"/>
        </w:rPr>
        <w:t>Corte</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511F8A" w:rsidRPr="002F50BD">
        <w:rPr>
          <w:rFonts w:ascii="Verdana" w:hAnsi="Verdana"/>
          <w:sz w:val="20"/>
          <w:lang w:val="pt-BR"/>
        </w:rPr>
        <w:t>a</w:t>
      </w:r>
      <w:r w:rsidR="0089298C" w:rsidRPr="002F50BD">
        <w:rPr>
          <w:rFonts w:ascii="Verdana" w:hAnsi="Verdana"/>
          <w:sz w:val="20"/>
          <w:lang w:val="pt-BR"/>
        </w:rPr>
        <w:t xml:space="preserve">o ponto </w:t>
      </w:r>
      <w:r w:rsidR="004756C1" w:rsidRPr="002F50BD">
        <w:rPr>
          <w:rFonts w:ascii="Verdana" w:hAnsi="Verdana"/>
          <w:sz w:val="20"/>
          <w:lang w:val="pt-BR"/>
        </w:rPr>
        <w:t xml:space="preserve">resolutivo n. </w:t>
      </w:r>
      <w:r w:rsidRPr="002F50BD">
        <w:rPr>
          <w:rFonts w:ascii="Verdana" w:hAnsi="Verdana"/>
          <w:sz w:val="20"/>
          <w:lang w:val="pt-BR"/>
        </w:rPr>
        <w:t>4</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priv</w:t>
      </w:r>
      <w:r w:rsidR="00511F8A" w:rsidRPr="002F50BD">
        <w:rPr>
          <w:rFonts w:ascii="Verdana" w:hAnsi="Verdana"/>
          <w:sz w:val="20"/>
          <w:lang w:val="pt-BR"/>
        </w:rPr>
        <w:t>ou</w:t>
      </w:r>
      <w:r w:rsidR="004756C1" w:rsidRPr="002F50BD">
        <w:rPr>
          <w:rFonts w:ascii="Verdana" w:hAnsi="Verdana"/>
          <w:sz w:val="20"/>
          <w:lang w:val="pt-BR"/>
        </w:rPr>
        <w:t xml:space="preserve"> de </w:t>
      </w:r>
      <w:r w:rsidR="0089298C" w:rsidRPr="002F50BD">
        <w:rPr>
          <w:rFonts w:ascii="Verdana" w:hAnsi="Verdana"/>
          <w:sz w:val="20"/>
          <w:lang w:val="pt-BR"/>
        </w:rPr>
        <w:t>outra</w:t>
      </w:r>
      <w:r w:rsidR="004756C1" w:rsidRPr="002F50BD">
        <w:rPr>
          <w:rFonts w:ascii="Verdana" w:hAnsi="Verdana"/>
          <w:sz w:val="20"/>
          <w:lang w:val="pt-BR"/>
        </w:rPr>
        <w:t>s considera</w:t>
      </w:r>
      <w:r w:rsidR="0089298C" w:rsidRPr="002F50BD">
        <w:rPr>
          <w:rFonts w:ascii="Verdana" w:hAnsi="Verdana"/>
          <w:sz w:val="20"/>
          <w:lang w:val="pt-BR"/>
        </w:rPr>
        <w:t>ções</w:t>
      </w:r>
      <w:r w:rsidR="004756C1" w:rsidRPr="002F50BD">
        <w:rPr>
          <w:rFonts w:ascii="Verdana" w:hAnsi="Verdana"/>
          <w:sz w:val="20"/>
          <w:lang w:val="pt-BR"/>
        </w:rPr>
        <w:t xml:space="preserve"> que nos </w:t>
      </w:r>
      <w:r w:rsidR="004076AD" w:rsidRPr="002F50BD">
        <w:rPr>
          <w:rFonts w:ascii="Verdana" w:hAnsi="Verdana"/>
          <w:sz w:val="20"/>
          <w:lang w:val="pt-BR"/>
        </w:rPr>
        <w:t>parec</w:t>
      </w:r>
      <w:r w:rsidR="00511F8A" w:rsidRPr="002F50BD">
        <w:rPr>
          <w:rFonts w:ascii="Verdana" w:hAnsi="Verdana"/>
          <w:sz w:val="20"/>
          <w:lang w:val="pt-BR"/>
        </w:rPr>
        <w:t xml:space="preserve">em </w:t>
      </w:r>
      <w:r w:rsidR="00FB33DD" w:rsidRPr="002F50BD">
        <w:rPr>
          <w:rFonts w:ascii="Verdana" w:hAnsi="Verdana"/>
          <w:sz w:val="20"/>
          <w:lang w:val="pt-BR"/>
        </w:rPr>
        <w:t>esse</w:t>
      </w:r>
      <w:r w:rsidR="0089298C" w:rsidRPr="002F50BD">
        <w:rPr>
          <w:rFonts w:ascii="Verdana" w:hAnsi="Verdana"/>
          <w:sz w:val="20"/>
          <w:lang w:val="pt-BR"/>
        </w:rPr>
        <w:t>nciais</w:t>
      </w:r>
      <w:r w:rsidR="004756C1" w:rsidRPr="002F50BD">
        <w:rPr>
          <w:rFonts w:ascii="Verdana" w:hAnsi="Verdana"/>
          <w:sz w:val="20"/>
          <w:lang w:val="pt-BR"/>
        </w:rPr>
        <w:t>, sobret</w:t>
      </w:r>
      <w:r w:rsidR="00511F8A" w:rsidRPr="002F50BD">
        <w:rPr>
          <w:rFonts w:ascii="Verdana" w:hAnsi="Verdana"/>
          <w:sz w:val="20"/>
          <w:lang w:val="pt-BR"/>
        </w:rPr>
        <w:t>u</w:t>
      </w:r>
      <w:r w:rsidR="004756C1" w:rsidRPr="002F50BD">
        <w:rPr>
          <w:rFonts w:ascii="Verdana" w:hAnsi="Verdana"/>
          <w:sz w:val="20"/>
          <w:lang w:val="pt-BR"/>
        </w:rPr>
        <w:t>do</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511F8A" w:rsidRPr="002F50BD">
        <w:rPr>
          <w:rFonts w:ascii="Verdana" w:hAnsi="Verdana"/>
          <w:sz w:val="20"/>
          <w:lang w:val="pt-BR"/>
        </w:rPr>
        <w:t>a</w:t>
      </w:r>
      <w:r w:rsidR="0089298C" w:rsidRPr="002F50BD">
        <w:rPr>
          <w:rFonts w:ascii="Verdana" w:hAnsi="Verdana"/>
          <w:sz w:val="20"/>
          <w:lang w:val="pt-BR"/>
        </w:rPr>
        <w:t>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vida</w:t>
      </w:r>
      <w:r w:rsidR="0089298C" w:rsidRPr="002F50BD">
        <w:rPr>
          <w:rFonts w:ascii="Verdana" w:hAnsi="Verdana"/>
          <w:sz w:val="20"/>
          <w:lang w:val="pt-BR"/>
        </w:rPr>
        <w:t>, e</w:t>
      </w:r>
      <w:r w:rsidR="004756C1" w:rsidRPr="002F50BD">
        <w:rPr>
          <w:rFonts w:ascii="Verdana" w:hAnsi="Verdana"/>
          <w:sz w:val="20"/>
          <w:lang w:val="pt-BR"/>
        </w:rPr>
        <w:t xml:space="preserve"> compromet</w:t>
      </w:r>
      <w:r w:rsidR="00511F8A" w:rsidRPr="002F50BD">
        <w:rPr>
          <w:rFonts w:ascii="Verdana" w:hAnsi="Verdana"/>
          <w:sz w:val="20"/>
          <w:lang w:val="pt-BR"/>
        </w:rPr>
        <w:t xml:space="preserve">eu </w:t>
      </w:r>
      <w:r w:rsidR="0089298C" w:rsidRPr="002F50BD">
        <w:rPr>
          <w:rFonts w:ascii="Verdana" w:hAnsi="Verdana"/>
          <w:sz w:val="20"/>
          <w:lang w:val="pt-BR"/>
        </w:rPr>
        <w:t xml:space="preserve">o equilíbrio e a harmonia da </w:t>
      </w:r>
      <w:r w:rsidR="004756C1" w:rsidRPr="002F50BD">
        <w:rPr>
          <w:rFonts w:ascii="Verdana" w:hAnsi="Verdana"/>
          <w:sz w:val="20"/>
          <w:lang w:val="pt-BR"/>
        </w:rPr>
        <w:t xml:space="preserve">presente </w:t>
      </w:r>
      <w:r w:rsidR="0089298C" w:rsidRPr="002F50BD">
        <w:rPr>
          <w:rFonts w:ascii="Verdana" w:hAnsi="Verdana"/>
          <w:sz w:val="20"/>
          <w:lang w:val="pt-BR"/>
        </w:rPr>
        <w:t xml:space="preserve">Sentença da </w:t>
      </w:r>
      <w:r w:rsidR="004756C1" w:rsidRPr="002F50BD">
        <w:rPr>
          <w:rFonts w:ascii="Verdana" w:hAnsi="Verdana"/>
          <w:sz w:val="20"/>
          <w:lang w:val="pt-BR"/>
        </w:rPr>
        <w:t>Corte como</w:t>
      </w:r>
      <w:r w:rsidR="0089298C" w:rsidRPr="002F50BD">
        <w:rPr>
          <w:rFonts w:ascii="Verdana" w:hAnsi="Verdana"/>
          <w:sz w:val="20"/>
          <w:lang w:val="pt-BR"/>
        </w:rPr>
        <w:t xml:space="preserve"> um </w:t>
      </w:r>
      <w:r w:rsidR="004756C1" w:rsidRPr="002F50BD">
        <w:rPr>
          <w:rFonts w:ascii="Verdana" w:hAnsi="Verdana"/>
          <w:sz w:val="20"/>
          <w:lang w:val="pt-BR"/>
        </w:rPr>
        <w:t>todo.</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A Corte</w:t>
      </w:r>
      <w:r w:rsidR="004756C1" w:rsidRPr="002F50BD">
        <w:rPr>
          <w:rFonts w:ascii="Verdana" w:hAnsi="Verdana"/>
          <w:sz w:val="20"/>
          <w:lang w:val="pt-BR"/>
        </w:rPr>
        <w:t xml:space="preserve"> Interamericana</w:t>
      </w:r>
      <w:r w:rsidR="0089298C" w:rsidRPr="002F50BD">
        <w:rPr>
          <w:rFonts w:ascii="Verdana" w:hAnsi="Verdana"/>
          <w:sz w:val="20"/>
          <w:lang w:val="pt-BR"/>
        </w:rPr>
        <w:t xml:space="preserve"> tem argumentado uma </w:t>
      </w:r>
      <w:r w:rsidR="00511F8A" w:rsidRPr="002F50BD">
        <w:rPr>
          <w:rFonts w:ascii="Verdana" w:hAnsi="Verdana"/>
          <w:sz w:val="20"/>
          <w:lang w:val="pt-BR"/>
        </w:rPr>
        <w:t>c</w:t>
      </w:r>
      <w:r w:rsidR="00313394" w:rsidRPr="002F50BD">
        <w:rPr>
          <w:rFonts w:ascii="Verdana" w:hAnsi="Verdana"/>
          <w:sz w:val="20"/>
          <w:lang w:val="pt-BR"/>
        </w:rPr>
        <w:t>oncep</w:t>
      </w:r>
      <w:r w:rsidR="00511F8A"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 xml:space="preserve">vida que </w:t>
      </w:r>
      <w:r w:rsidR="00511F8A" w:rsidRPr="002F50BD">
        <w:rPr>
          <w:rFonts w:ascii="Verdana" w:hAnsi="Verdana"/>
          <w:sz w:val="20"/>
          <w:lang w:val="pt-BR"/>
        </w:rPr>
        <w:t xml:space="preserve">inclui </w:t>
      </w:r>
      <w:r w:rsidR="0089298C" w:rsidRPr="002F50BD">
        <w:rPr>
          <w:rFonts w:ascii="Verdana" w:hAnsi="Verdana"/>
          <w:sz w:val="20"/>
          <w:lang w:val="pt-BR"/>
        </w:rPr>
        <w:t xml:space="preserve">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 xml:space="preserve">vida digna </w:t>
      </w:r>
      <w:r w:rsidR="00CF451D" w:rsidRPr="00CF451D">
        <w:rPr>
          <w:rFonts w:ascii="Verdana" w:hAnsi="Verdana"/>
          <w:sz w:val="20"/>
          <w:lang w:val="pt-BR"/>
        </w:rPr>
        <w:t>(</w:t>
      </w:r>
      <w:r w:rsidR="0089298C"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 </w:t>
      </w:r>
      <w:r w:rsidR="0089298C" w:rsidRPr="002F50BD">
        <w:rPr>
          <w:rFonts w:ascii="Verdana" w:hAnsi="Verdana"/>
          <w:sz w:val="20"/>
          <w:lang w:val="pt-BR"/>
        </w:rPr>
        <w:t>Direito</w:t>
      </w:r>
      <w:r w:rsidR="004756C1" w:rsidRPr="002F50BD">
        <w:rPr>
          <w:rFonts w:ascii="Verdana" w:hAnsi="Verdana"/>
          <w:sz w:val="20"/>
          <w:lang w:val="pt-BR"/>
        </w:rPr>
        <w:t>s Humanos</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r w:rsidR="00511F8A" w:rsidRPr="002F50BD">
        <w:rPr>
          <w:rFonts w:ascii="Verdana" w:hAnsi="Verdana"/>
          <w:sz w:val="20"/>
          <w:lang w:val="pt-BR"/>
        </w:rPr>
        <w:t xml:space="preserve">A este </w:t>
      </w:r>
      <w:r w:rsidR="0089298C" w:rsidRPr="002F50BD">
        <w:rPr>
          <w:rFonts w:ascii="Verdana" w:hAnsi="Verdana"/>
          <w:sz w:val="20"/>
          <w:lang w:val="pt-BR"/>
        </w:rPr>
        <w:t>respeito</w:t>
      </w:r>
      <w:r w:rsidR="004756C1" w:rsidRPr="002F50BD">
        <w:rPr>
          <w:rFonts w:ascii="Verdana" w:hAnsi="Verdana"/>
          <w:sz w:val="20"/>
          <w:lang w:val="pt-BR"/>
        </w:rPr>
        <w:t>,</w:t>
      </w:r>
      <w:r w:rsidR="0089298C" w:rsidRPr="002F50BD">
        <w:rPr>
          <w:rFonts w:ascii="Verdana" w:hAnsi="Verdana"/>
          <w:sz w:val="20"/>
          <w:lang w:val="pt-BR"/>
        </w:rPr>
        <w:t xml:space="preserve"> em um </w:t>
      </w:r>
      <w:r w:rsidR="004756C1" w:rsidRPr="002F50BD">
        <w:rPr>
          <w:rFonts w:ascii="Verdana" w:hAnsi="Verdana"/>
          <w:sz w:val="20"/>
          <w:lang w:val="pt-BR"/>
        </w:rPr>
        <w:t xml:space="preserve">célebre </w:t>
      </w:r>
      <w:r w:rsidR="004756C1" w:rsidRPr="002F50BD">
        <w:rPr>
          <w:rFonts w:ascii="Verdana" w:hAnsi="Verdana"/>
          <w:i/>
          <w:sz w:val="20"/>
          <w:lang w:val="pt-BR"/>
        </w:rPr>
        <w:t>obiter dictum</w:t>
      </w:r>
      <w:r w:rsidR="0089298C" w:rsidRPr="002F50BD">
        <w:rPr>
          <w:rFonts w:ascii="Verdana" w:hAnsi="Verdana"/>
          <w:sz w:val="20"/>
          <w:lang w:val="pt-BR"/>
        </w:rPr>
        <w:t xml:space="preserve"> no </w:t>
      </w:r>
      <w:r w:rsidR="004756C1" w:rsidRPr="002F50BD">
        <w:rPr>
          <w:rFonts w:ascii="Verdana" w:hAnsi="Verdana"/>
          <w:sz w:val="20"/>
          <w:lang w:val="pt-BR"/>
        </w:rPr>
        <w:t xml:space="preserve">caso </w:t>
      </w:r>
      <w:r w:rsidR="0089298C" w:rsidRPr="002F50BD">
        <w:rPr>
          <w:rFonts w:ascii="Verdana" w:hAnsi="Verdana"/>
          <w:i/>
          <w:sz w:val="20"/>
          <w:lang w:val="pt-BR"/>
        </w:rPr>
        <w:t>Villagrán Morales e Outros</w:t>
      </w:r>
      <w:r w:rsidR="004756C1" w:rsidRPr="002F50BD">
        <w:rPr>
          <w:rFonts w:ascii="Verdana" w:hAnsi="Verdana"/>
          <w:i/>
          <w:sz w:val="20"/>
          <w:lang w:val="pt-BR"/>
        </w:rPr>
        <w:t xml:space="preserve"> versus Guatemala</w:t>
      </w:r>
      <w:r w:rsidR="004756C1" w:rsidRPr="002F50BD">
        <w:rPr>
          <w:rFonts w:ascii="Verdana" w:hAnsi="Verdana"/>
          <w:sz w:val="20"/>
          <w:lang w:val="pt-BR"/>
        </w:rPr>
        <w:t xml:space="preserve"> </w:t>
      </w:r>
      <w:r w:rsidR="00CF451D" w:rsidRPr="00CF451D">
        <w:rPr>
          <w:rFonts w:ascii="Verdana" w:hAnsi="Verdana"/>
          <w:sz w:val="20"/>
          <w:lang w:val="pt-BR"/>
        </w:rPr>
        <w:t>(</w:t>
      </w:r>
      <w:r w:rsidR="004076AD" w:rsidRPr="002F50BD">
        <w:rPr>
          <w:rFonts w:ascii="Verdana" w:hAnsi="Verdana"/>
          <w:sz w:val="20"/>
          <w:lang w:val="pt-BR"/>
        </w:rPr>
        <w:t>Caso das “Crianças d</w:t>
      </w:r>
      <w:r w:rsidR="00511F8A" w:rsidRPr="002F50BD">
        <w:rPr>
          <w:rFonts w:ascii="Verdana" w:hAnsi="Verdana"/>
          <w:sz w:val="20"/>
          <w:lang w:val="pt-BR"/>
        </w:rPr>
        <w:t>e</w:t>
      </w:r>
      <w:r w:rsidR="004076AD" w:rsidRPr="002F50BD">
        <w:rPr>
          <w:rFonts w:ascii="Verdana" w:hAnsi="Verdana"/>
          <w:sz w:val="20"/>
          <w:lang w:val="pt-BR"/>
        </w:rPr>
        <w:t xml:space="preserve"> Rua”</w:t>
      </w:r>
      <w:r w:rsidR="004756C1" w:rsidRPr="002F50BD">
        <w:rPr>
          <w:rFonts w:ascii="Verdana" w:hAnsi="Verdana"/>
          <w:sz w:val="20"/>
          <w:lang w:val="pt-BR"/>
        </w:rPr>
        <w:t xml:space="preserve">, </w:t>
      </w:r>
      <w:r w:rsidR="0089298C" w:rsidRPr="002F50BD">
        <w:rPr>
          <w:rFonts w:ascii="Verdana" w:hAnsi="Verdana"/>
          <w:sz w:val="20"/>
          <w:lang w:val="pt-BR"/>
        </w:rPr>
        <w:t>Sentença</w:t>
      </w:r>
      <w:r w:rsidR="004756C1" w:rsidRPr="002F50BD">
        <w:rPr>
          <w:rFonts w:ascii="Verdana" w:hAnsi="Verdana"/>
          <w:sz w:val="20"/>
          <w:lang w:val="pt-BR"/>
        </w:rPr>
        <w:t xml:space="preserve"> sobre</w:t>
      </w:r>
      <w:r w:rsidR="0089298C" w:rsidRPr="002F50BD">
        <w:rPr>
          <w:rFonts w:ascii="Verdana" w:hAnsi="Verdana"/>
          <w:sz w:val="20"/>
          <w:lang w:val="pt-BR"/>
        </w:rPr>
        <w:t xml:space="preserve"> o mérito</w:t>
      </w:r>
      <w:r w:rsidR="004756C1" w:rsidRPr="002F50BD">
        <w:rPr>
          <w:rFonts w:ascii="Verdana" w:hAnsi="Verdana"/>
          <w:sz w:val="20"/>
          <w:lang w:val="pt-BR"/>
        </w:rPr>
        <w:t>,</w:t>
      </w:r>
      <w:r w:rsidR="00AB454A" w:rsidRPr="002F50BD">
        <w:rPr>
          <w:rFonts w:ascii="Verdana" w:hAnsi="Verdana"/>
          <w:sz w:val="20"/>
          <w:lang w:val="pt-BR"/>
        </w:rPr>
        <w:t xml:space="preserve"> de </w:t>
      </w:r>
      <w:r w:rsidRPr="002F50BD">
        <w:rPr>
          <w:rFonts w:ascii="Verdana" w:hAnsi="Verdana"/>
          <w:sz w:val="20"/>
          <w:lang w:val="pt-BR"/>
        </w:rPr>
        <w:t>19</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Pr="002F50BD">
        <w:rPr>
          <w:rFonts w:ascii="Verdana" w:hAnsi="Verdana"/>
          <w:sz w:val="20"/>
          <w:lang w:val="pt-BR"/>
        </w:rPr>
        <w:t>1999</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144</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 ponder</w:t>
      </w:r>
      <w:r w:rsidR="00511F8A" w:rsidRPr="002F50BD">
        <w:rPr>
          <w:rFonts w:ascii="Verdana" w:hAnsi="Verdana"/>
          <w:sz w:val="20"/>
          <w:lang w:val="pt-BR"/>
        </w:rPr>
        <w:t>ou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FB33DD">
      <w:pPr>
        <w:ind w:left="720" w:right="720"/>
        <w:jc w:val="both"/>
        <w:rPr>
          <w:rFonts w:ascii="Verdana" w:hAnsi="Verdana"/>
          <w:sz w:val="16"/>
          <w:lang w:val="pt-BR"/>
        </w:rPr>
      </w:pPr>
      <w:r w:rsidRPr="002F50BD">
        <w:rPr>
          <w:rFonts w:ascii="Verdana" w:hAnsi="Verdana"/>
          <w:sz w:val="16"/>
          <w:lang w:val="pt-BR"/>
        </w:rPr>
        <w:t xml:space="preserve">O </w:t>
      </w:r>
      <w:r w:rsidR="0089298C" w:rsidRPr="002F50BD">
        <w:rPr>
          <w:rFonts w:ascii="Verdana" w:hAnsi="Verdana"/>
          <w:sz w:val="16"/>
          <w:lang w:val="pt-BR"/>
        </w:rPr>
        <w:t xml:space="preserve">direito à </w:t>
      </w:r>
      <w:r w:rsidR="004756C1" w:rsidRPr="002F50BD">
        <w:rPr>
          <w:rFonts w:ascii="Verdana" w:hAnsi="Verdana"/>
          <w:sz w:val="16"/>
          <w:lang w:val="pt-BR"/>
        </w:rPr>
        <w:t>vida</w:t>
      </w:r>
      <w:r w:rsidR="0089298C" w:rsidRPr="002F50BD">
        <w:rPr>
          <w:rFonts w:ascii="Verdana" w:hAnsi="Verdana"/>
          <w:sz w:val="16"/>
          <w:lang w:val="pt-BR"/>
        </w:rPr>
        <w:t xml:space="preserve"> é um direito</w:t>
      </w:r>
      <w:r w:rsidR="004756C1" w:rsidRPr="002F50BD">
        <w:rPr>
          <w:rFonts w:ascii="Verdana" w:hAnsi="Verdana"/>
          <w:sz w:val="16"/>
          <w:lang w:val="pt-BR"/>
        </w:rPr>
        <w:t xml:space="preserve"> humano fundamental, </w:t>
      </w:r>
      <w:r w:rsidR="0089298C" w:rsidRPr="002F50BD">
        <w:rPr>
          <w:rFonts w:ascii="Verdana" w:hAnsi="Verdana"/>
          <w:sz w:val="16"/>
          <w:lang w:val="pt-BR"/>
        </w:rPr>
        <w:t>cujo</w:t>
      </w:r>
      <w:r w:rsidR="00385366" w:rsidRPr="002F50BD">
        <w:rPr>
          <w:rFonts w:ascii="Verdana" w:hAnsi="Verdana"/>
          <w:sz w:val="16"/>
          <w:lang w:val="pt-BR"/>
        </w:rPr>
        <w:t xml:space="preserve"> gozo </w:t>
      </w:r>
      <w:r w:rsidR="0089298C" w:rsidRPr="002F50BD">
        <w:rPr>
          <w:rFonts w:ascii="Verdana" w:hAnsi="Verdana"/>
          <w:sz w:val="16"/>
          <w:lang w:val="pt-BR"/>
        </w:rPr>
        <w:t xml:space="preserve">é um </w:t>
      </w:r>
      <w:r w:rsidR="00754117" w:rsidRPr="002F50BD">
        <w:rPr>
          <w:rFonts w:ascii="Verdana" w:hAnsi="Verdana"/>
          <w:sz w:val="16"/>
          <w:lang w:val="pt-BR"/>
        </w:rPr>
        <w:t>pré-</w:t>
      </w:r>
      <w:r w:rsidR="004A71D0" w:rsidRPr="002F50BD">
        <w:rPr>
          <w:rFonts w:ascii="Verdana" w:hAnsi="Verdana"/>
          <w:sz w:val="16"/>
          <w:lang w:val="pt-BR"/>
        </w:rPr>
        <w:t>r</w:t>
      </w:r>
      <w:r w:rsidR="004756C1" w:rsidRPr="002F50BD">
        <w:rPr>
          <w:rFonts w:ascii="Verdana" w:hAnsi="Verdana"/>
          <w:sz w:val="16"/>
          <w:lang w:val="pt-BR"/>
        </w:rPr>
        <w:t>equisito para</w:t>
      </w:r>
      <w:r w:rsidR="0089298C" w:rsidRPr="002F50BD">
        <w:rPr>
          <w:rFonts w:ascii="Verdana" w:hAnsi="Verdana"/>
          <w:sz w:val="16"/>
          <w:lang w:val="pt-BR"/>
        </w:rPr>
        <w:t xml:space="preserve"> o </w:t>
      </w:r>
      <w:r w:rsidR="00E72F67" w:rsidRPr="002F50BD">
        <w:rPr>
          <w:rFonts w:ascii="Verdana" w:hAnsi="Verdana"/>
          <w:sz w:val="16"/>
          <w:lang w:val="pt-BR"/>
        </w:rPr>
        <w:t>desfrute</w:t>
      </w:r>
      <w:r w:rsidR="004756C1" w:rsidRPr="002F50BD">
        <w:rPr>
          <w:rFonts w:ascii="Verdana" w:hAnsi="Verdana"/>
          <w:sz w:val="16"/>
          <w:lang w:val="pt-BR"/>
        </w:rPr>
        <w:t xml:space="preserve"> de todos</w:t>
      </w:r>
      <w:r w:rsidR="0089298C" w:rsidRPr="002F50BD">
        <w:rPr>
          <w:rFonts w:ascii="Verdana" w:hAnsi="Verdana"/>
          <w:sz w:val="16"/>
          <w:lang w:val="pt-BR"/>
        </w:rPr>
        <w:t xml:space="preserve"> os demais</w:t>
      </w:r>
      <w:r w:rsidR="004756C1" w:rsidRPr="002F50BD">
        <w:rPr>
          <w:rFonts w:ascii="Verdana" w:hAnsi="Verdana"/>
          <w:sz w:val="16"/>
          <w:lang w:val="pt-BR"/>
        </w:rPr>
        <w:t xml:space="preserve"> </w:t>
      </w:r>
      <w:r w:rsidR="0089298C" w:rsidRPr="002F50BD">
        <w:rPr>
          <w:rFonts w:ascii="Verdana" w:hAnsi="Verdana"/>
          <w:sz w:val="16"/>
          <w:lang w:val="pt-BR"/>
        </w:rPr>
        <w:t>direito</w:t>
      </w:r>
      <w:r w:rsidR="004756C1" w:rsidRPr="002F50BD">
        <w:rPr>
          <w:rFonts w:ascii="Verdana" w:hAnsi="Verdana"/>
          <w:sz w:val="16"/>
          <w:lang w:val="pt-BR"/>
        </w:rPr>
        <w:t>s humanos.</w:t>
      </w:r>
      <w:r w:rsidR="00FE08B7">
        <w:rPr>
          <w:rFonts w:ascii="Verdana" w:hAnsi="Verdana"/>
          <w:sz w:val="16"/>
          <w:lang w:val="pt-BR"/>
        </w:rPr>
        <w:t xml:space="preserve"> </w:t>
      </w:r>
      <w:r w:rsidR="004A71D0" w:rsidRPr="002F50BD">
        <w:rPr>
          <w:rFonts w:ascii="Verdana" w:hAnsi="Verdana"/>
          <w:sz w:val="16"/>
          <w:lang w:val="pt-BR"/>
        </w:rPr>
        <w:t>Ca</w:t>
      </w:r>
      <w:r w:rsidR="00A70831" w:rsidRPr="002F50BD">
        <w:rPr>
          <w:rFonts w:ascii="Verdana" w:hAnsi="Verdana"/>
          <w:sz w:val="16"/>
          <w:lang w:val="pt-BR"/>
        </w:rPr>
        <w:t>so</w:t>
      </w:r>
      <w:r w:rsidR="004A71D0" w:rsidRPr="002F50BD">
        <w:rPr>
          <w:rFonts w:ascii="Verdana" w:hAnsi="Verdana"/>
          <w:sz w:val="16"/>
          <w:lang w:val="pt-BR"/>
        </w:rPr>
        <w:t xml:space="preserve"> não seja </w:t>
      </w:r>
      <w:r w:rsidR="004756C1" w:rsidRPr="002F50BD">
        <w:rPr>
          <w:rFonts w:ascii="Verdana" w:hAnsi="Verdana"/>
          <w:sz w:val="16"/>
          <w:lang w:val="pt-BR"/>
        </w:rPr>
        <w:t>respe</w:t>
      </w:r>
      <w:r w:rsidR="004A71D0" w:rsidRPr="002F50BD">
        <w:rPr>
          <w:rFonts w:ascii="Verdana" w:hAnsi="Verdana"/>
          <w:sz w:val="16"/>
          <w:lang w:val="pt-BR"/>
        </w:rPr>
        <w:t>i</w:t>
      </w:r>
      <w:r w:rsidR="004756C1" w:rsidRPr="002F50BD">
        <w:rPr>
          <w:rFonts w:ascii="Verdana" w:hAnsi="Verdana"/>
          <w:sz w:val="16"/>
          <w:lang w:val="pt-BR"/>
        </w:rPr>
        <w:t>tado, todos</w:t>
      </w:r>
      <w:r w:rsidR="0089298C" w:rsidRPr="002F50BD">
        <w:rPr>
          <w:rFonts w:ascii="Verdana" w:hAnsi="Verdana"/>
          <w:sz w:val="16"/>
          <w:lang w:val="pt-BR"/>
        </w:rPr>
        <w:t xml:space="preserve"> os direito</w:t>
      </w:r>
      <w:r w:rsidR="004756C1" w:rsidRPr="002F50BD">
        <w:rPr>
          <w:rFonts w:ascii="Verdana" w:hAnsi="Verdana"/>
          <w:sz w:val="16"/>
          <w:lang w:val="pt-BR"/>
        </w:rPr>
        <w:t xml:space="preserve">s </w:t>
      </w:r>
      <w:r w:rsidR="004A71D0" w:rsidRPr="002F50BD">
        <w:rPr>
          <w:rFonts w:ascii="Verdana" w:hAnsi="Verdana"/>
          <w:sz w:val="16"/>
          <w:lang w:val="pt-BR"/>
        </w:rPr>
        <w:t>carecem</w:t>
      </w:r>
      <w:r w:rsidR="004756C1" w:rsidRPr="002F50BD">
        <w:rPr>
          <w:rFonts w:ascii="Verdana" w:hAnsi="Verdana"/>
          <w:sz w:val="16"/>
          <w:lang w:val="pt-BR"/>
        </w:rPr>
        <w:t xml:space="preserve"> de sentido</w:t>
      </w:r>
      <w:r w:rsidR="00CD7100" w:rsidRPr="002F50BD">
        <w:rPr>
          <w:rFonts w:ascii="Verdana" w:hAnsi="Verdana"/>
          <w:sz w:val="16"/>
          <w:lang w:val="pt-BR"/>
        </w:rPr>
        <w:t>. Em</w:t>
      </w:r>
      <w:r w:rsidR="0089298C" w:rsidRPr="002F50BD">
        <w:rPr>
          <w:rFonts w:ascii="Verdana" w:hAnsi="Verdana"/>
          <w:sz w:val="16"/>
          <w:lang w:val="pt-BR"/>
        </w:rPr>
        <w:t xml:space="preserve"> razão</w:t>
      </w:r>
      <w:r w:rsidR="004756C1" w:rsidRPr="002F50BD">
        <w:rPr>
          <w:rFonts w:ascii="Verdana" w:hAnsi="Verdana"/>
          <w:sz w:val="16"/>
          <w:lang w:val="pt-BR"/>
        </w:rPr>
        <w:t xml:space="preserve"> </w:t>
      </w:r>
      <w:r w:rsidR="0089298C" w:rsidRPr="002F50BD">
        <w:rPr>
          <w:rFonts w:ascii="Verdana" w:hAnsi="Verdana"/>
          <w:sz w:val="16"/>
          <w:lang w:val="pt-BR"/>
        </w:rPr>
        <w:t>do caráter</w:t>
      </w:r>
      <w:r w:rsidR="004756C1" w:rsidRPr="002F50BD">
        <w:rPr>
          <w:rFonts w:ascii="Verdana" w:hAnsi="Verdana"/>
          <w:sz w:val="16"/>
          <w:lang w:val="pt-BR"/>
        </w:rPr>
        <w:t xml:space="preserve"> fundamental </w:t>
      </w:r>
      <w:r w:rsidR="0089298C" w:rsidRPr="002F50BD">
        <w:rPr>
          <w:rFonts w:ascii="Verdana" w:hAnsi="Verdana"/>
          <w:sz w:val="16"/>
          <w:lang w:val="pt-BR"/>
        </w:rPr>
        <w:t xml:space="preserve">do direito à </w:t>
      </w:r>
      <w:r w:rsidR="004756C1" w:rsidRPr="002F50BD">
        <w:rPr>
          <w:rFonts w:ascii="Verdana" w:hAnsi="Verdana"/>
          <w:sz w:val="16"/>
          <w:lang w:val="pt-BR"/>
        </w:rPr>
        <w:t xml:space="preserve">vida, </w:t>
      </w:r>
      <w:r w:rsidR="00AB454A" w:rsidRPr="002F50BD">
        <w:rPr>
          <w:rFonts w:ascii="Verdana" w:hAnsi="Verdana"/>
          <w:sz w:val="16"/>
          <w:lang w:val="pt-BR"/>
        </w:rPr>
        <w:t>não são</w:t>
      </w:r>
      <w:r w:rsidR="0089298C" w:rsidRPr="002F50BD">
        <w:rPr>
          <w:rFonts w:ascii="Verdana" w:hAnsi="Verdana"/>
          <w:sz w:val="16"/>
          <w:lang w:val="pt-BR"/>
        </w:rPr>
        <w:t xml:space="preserve"> </w:t>
      </w:r>
      <w:r w:rsidR="00FC6B22" w:rsidRPr="002F50BD">
        <w:rPr>
          <w:rFonts w:ascii="Verdana" w:hAnsi="Verdana"/>
          <w:sz w:val="16"/>
          <w:lang w:val="pt-BR"/>
        </w:rPr>
        <w:t>admissíveis</w:t>
      </w:r>
      <w:r w:rsidR="004756C1" w:rsidRPr="002F50BD">
        <w:rPr>
          <w:rFonts w:ascii="Verdana" w:hAnsi="Verdana"/>
          <w:sz w:val="16"/>
          <w:lang w:val="pt-BR"/>
        </w:rPr>
        <w:t xml:space="preserve"> enfoques </w:t>
      </w:r>
      <w:r w:rsidR="0089298C" w:rsidRPr="002F50BD">
        <w:rPr>
          <w:rFonts w:ascii="Verdana" w:hAnsi="Verdana"/>
          <w:sz w:val="16"/>
          <w:lang w:val="pt-BR"/>
        </w:rPr>
        <w:t>restritiv</w:t>
      </w:r>
      <w:r w:rsidR="004756C1" w:rsidRPr="002F50BD">
        <w:rPr>
          <w:rFonts w:ascii="Verdana" w:hAnsi="Verdana"/>
          <w:sz w:val="16"/>
          <w:lang w:val="pt-BR"/>
        </w:rPr>
        <w:t xml:space="preserve">os </w:t>
      </w:r>
      <w:r w:rsidR="0089298C" w:rsidRPr="002F50BD">
        <w:rPr>
          <w:rFonts w:ascii="Verdana" w:hAnsi="Verdana"/>
          <w:sz w:val="16"/>
          <w:lang w:val="pt-BR"/>
        </w:rPr>
        <w:t>do mesm</w:t>
      </w:r>
      <w:r w:rsidR="004756C1" w:rsidRPr="002F50BD">
        <w:rPr>
          <w:rFonts w:ascii="Verdana" w:hAnsi="Verdana"/>
          <w:sz w:val="16"/>
          <w:lang w:val="pt-BR"/>
        </w:rPr>
        <w:t>o</w:t>
      </w:r>
      <w:r w:rsidR="00CD7100" w:rsidRPr="002F50BD">
        <w:rPr>
          <w:rFonts w:ascii="Verdana" w:hAnsi="Verdana"/>
          <w:sz w:val="16"/>
          <w:lang w:val="pt-BR"/>
        </w:rPr>
        <w:t>. Em</w:t>
      </w:r>
      <w:r w:rsidR="0089298C" w:rsidRPr="002F50BD">
        <w:rPr>
          <w:rFonts w:ascii="Verdana" w:hAnsi="Verdana"/>
          <w:sz w:val="16"/>
          <w:lang w:val="pt-BR"/>
        </w:rPr>
        <w:t xml:space="preserve"> </w:t>
      </w:r>
      <w:r w:rsidR="00AB454A" w:rsidRPr="002F50BD">
        <w:rPr>
          <w:rFonts w:ascii="Verdana" w:hAnsi="Verdana"/>
          <w:sz w:val="16"/>
          <w:lang w:val="pt-BR"/>
        </w:rPr>
        <w:t>essência</w:t>
      </w:r>
      <w:r w:rsidR="004756C1" w:rsidRPr="002F50BD">
        <w:rPr>
          <w:rFonts w:ascii="Verdana" w:hAnsi="Verdana"/>
          <w:sz w:val="16"/>
          <w:lang w:val="pt-BR"/>
        </w:rPr>
        <w:t>,</w:t>
      </w:r>
      <w:r w:rsidR="0089298C" w:rsidRPr="002F50BD">
        <w:rPr>
          <w:rFonts w:ascii="Verdana" w:hAnsi="Verdana"/>
          <w:sz w:val="16"/>
          <w:lang w:val="pt-BR"/>
        </w:rPr>
        <w:t xml:space="preserve"> o direito</w:t>
      </w:r>
      <w:r w:rsidR="004756C1" w:rsidRPr="002F50BD">
        <w:rPr>
          <w:rFonts w:ascii="Verdana" w:hAnsi="Verdana"/>
          <w:sz w:val="16"/>
          <w:lang w:val="pt-BR"/>
        </w:rPr>
        <w:t xml:space="preserve"> fundamental</w:t>
      </w:r>
      <w:r w:rsidR="0089298C" w:rsidRPr="002F50BD">
        <w:rPr>
          <w:rFonts w:ascii="Verdana" w:hAnsi="Verdana"/>
          <w:sz w:val="16"/>
          <w:lang w:val="pt-BR"/>
        </w:rPr>
        <w:t xml:space="preserve"> à </w:t>
      </w:r>
      <w:r w:rsidR="004756C1" w:rsidRPr="002F50BD">
        <w:rPr>
          <w:rFonts w:ascii="Verdana" w:hAnsi="Verdana"/>
          <w:sz w:val="16"/>
          <w:lang w:val="pt-BR"/>
        </w:rPr>
        <w:t>vida compre</w:t>
      </w:r>
      <w:r w:rsidR="004A71D0" w:rsidRPr="002F50BD">
        <w:rPr>
          <w:rFonts w:ascii="Verdana" w:hAnsi="Verdana"/>
          <w:sz w:val="16"/>
          <w:lang w:val="pt-BR"/>
        </w:rPr>
        <w:t>e</w:t>
      </w:r>
      <w:r w:rsidR="004756C1" w:rsidRPr="002F50BD">
        <w:rPr>
          <w:rFonts w:ascii="Verdana" w:hAnsi="Verdana"/>
          <w:sz w:val="16"/>
          <w:lang w:val="pt-BR"/>
        </w:rPr>
        <w:t>nde,</w:t>
      </w:r>
      <w:r w:rsidR="00AB454A" w:rsidRPr="002F50BD">
        <w:rPr>
          <w:rFonts w:ascii="Verdana" w:hAnsi="Verdana"/>
          <w:sz w:val="16"/>
          <w:lang w:val="pt-BR"/>
        </w:rPr>
        <w:t xml:space="preserve"> não apenas</w:t>
      </w:r>
      <w:r w:rsidR="0089298C" w:rsidRPr="002F50BD">
        <w:rPr>
          <w:rFonts w:ascii="Verdana" w:hAnsi="Verdana"/>
          <w:sz w:val="16"/>
          <w:lang w:val="pt-BR"/>
        </w:rPr>
        <w:t xml:space="preserve"> o direito</w:t>
      </w:r>
      <w:r w:rsidR="004756C1" w:rsidRPr="002F50BD">
        <w:rPr>
          <w:rFonts w:ascii="Verdana" w:hAnsi="Verdana"/>
          <w:sz w:val="16"/>
          <w:lang w:val="pt-BR"/>
        </w:rPr>
        <w:t xml:space="preserve"> de todo ser humano de n</w:t>
      </w:r>
      <w:r w:rsidR="004A71D0" w:rsidRPr="002F50BD">
        <w:rPr>
          <w:rFonts w:ascii="Verdana" w:hAnsi="Verdana"/>
          <w:sz w:val="16"/>
          <w:lang w:val="pt-BR"/>
        </w:rPr>
        <w:t>ã</w:t>
      </w:r>
      <w:r w:rsidR="004756C1" w:rsidRPr="002F50BD">
        <w:rPr>
          <w:rFonts w:ascii="Verdana" w:hAnsi="Verdana"/>
          <w:sz w:val="16"/>
          <w:lang w:val="pt-BR"/>
        </w:rPr>
        <w:t>o ser privado</w:t>
      </w:r>
      <w:r w:rsidR="0089298C" w:rsidRPr="002F50BD">
        <w:rPr>
          <w:rFonts w:ascii="Verdana" w:hAnsi="Verdana"/>
          <w:sz w:val="16"/>
          <w:lang w:val="pt-BR"/>
        </w:rPr>
        <w:t xml:space="preserve"> da </w:t>
      </w:r>
      <w:r w:rsidR="004756C1" w:rsidRPr="002F50BD">
        <w:rPr>
          <w:rFonts w:ascii="Verdana" w:hAnsi="Verdana"/>
          <w:sz w:val="16"/>
          <w:lang w:val="pt-BR"/>
        </w:rPr>
        <w:t xml:space="preserve">vida </w:t>
      </w:r>
      <w:r w:rsidR="00F55DCA" w:rsidRPr="002F50BD">
        <w:rPr>
          <w:rFonts w:ascii="Verdana" w:hAnsi="Verdana"/>
          <w:sz w:val="16"/>
          <w:lang w:val="pt-BR"/>
        </w:rPr>
        <w:t>arbitrariam</w:t>
      </w:r>
      <w:r w:rsidR="004756C1" w:rsidRPr="002F50BD">
        <w:rPr>
          <w:rFonts w:ascii="Verdana" w:hAnsi="Verdana"/>
          <w:sz w:val="16"/>
          <w:lang w:val="pt-BR"/>
        </w:rPr>
        <w:t>ente,</w:t>
      </w:r>
      <w:r w:rsidR="0089298C" w:rsidRPr="002F50BD">
        <w:rPr>
          <w:rFonts w:ascii="Verdana" w:hAnsi="Verdana"/>
          <w:sz w:val="16"/>
          <w:lang w:val="pt-BR"/>
        </w:rPr>
        <w:t xml:space="preserve"> mas também o direito</w:t>
      </w:r>
      <w:r w:rsidR="004756C1" w:rsidRPr="002F50BD">
        <w:rPr>
          <w:rFonts w:ascii="Verdana" w:hAnsi="Verdana"/>
          <w:sz w:val="16"/>
          <w:lang w:val="pt-BR"/>
        </w:rPr>
        <w:t xml:space="preserve"> a que n</w:t>
      </w:r>
      <w:r w:rsidR="004A71D0" w:rsidRPr="002F50BD">
        <w:rPr>
          <w:rFonts w:ascii="Verdana" w:hAnsi="Verdana"/>
          <w:sz w:val="16"/>
          <w:lang w:val="pt-BR"/>
        </w:rPr>
        <w:t>ã</w:t>
      </w:r>
      <w:r w:rsidR="004756C1" w:rsidRPr="002F50BD">
        <w:rPr>
          <w:rFonts w:ascii="Verdana" w:hAnsi="Verdana"/>
          <w:sz w:val="16"/>
          <w:lang w:val="pt-BR"/>
        </w:rPr>
        <w:t xml:space="preserve">o </w:t>
      </w:r>
      <w:r w:rsidR="007F0C83" w:rsidRPr="002F50BD">
        <w:rPr>
          <w:rFonts w:ascii="Verdana" w:hAnsi="Verdana"/>
          <w:sz w:val="16"/>
          <w:lang w:val="pt-BR"/>
        </w:rPr>
        <w:t xml:space="preserve">se </w:t>
      </w:r>
      <w:r w:rsidR="004A71D0" w:rsidRPr="002F50BD">
        <w:rPr>
          <w:rFonts w:ascii="Verdana" w:hAnsi="Verdana"/>
          <w:sz w:val="16"/>
          <w:lang w:val="pt-BR"/>
        </w:rPr>
        <w:t>impeça</w:t>
      </w:r>
      <w:r w:rsidR="0089298C" w:rsidRPr="002F50BD">
        <w:rPr>
          <w:rFonts w:ascii="Verdana" w:hAnsi="Verdana"/>
          <w:sz w:val="16"/>
          <w:lang w:val="pt-BR"/>
        </w:rPr>
        <w:t xml:space="preserve"> </w:t>
      </w:r>
      <w:r w:rsidR="007F0C83" w:rsidRPr="002F50BD">
        <w:rPr>
          <w:rFonts w:ascii="Verdana" w:hAnsi="Verdana"/>
          <w:sz w:val="16"/>
          <w:lang w:val="pt-BR"/>
        </w:rPr>
        <w:t>ele de ter</w:t>
      </w:r>
      <w:r w:rsidR="0089298C" w:rsidRPr="002F50BD">
        <w:rPr>
          <w:rFonts w:ascii="Verdana" w:hAnsi="Verdana"/>
          <w:sz w:val="16"/>
          <w:lang w:val="pt-BR"/>
        </w:rPr>
        <w:t xml:space="preserve"> acesso às </w:t>
      </w:r>
      <w:r w:rsidR="004756C1" w:rsidRPr="002F50BD">
        <w:rPr>
          <w:rFonts w:ascii="Verdana" w:hAnsi="Verdana"/>
          <w:sz w:val="16"/>
          <w:lang w:val="pt-BR"/>
        </w:rPr>
        <w:t>condi</w:t>
      </w:r>
      <w:r w:rsidR="0089298C" w:rsidRPr="002F50BD">
        <w:rPr>
          <w:rFonts w:ascii="Verdana" w:hAnsi="Verdana"/>
          <w:sz w:val="16"/>
          <w:lang w:val="pt-BR"/>
        </w:rPr>
        <w:t>ções</w:t>
      </w:r>
      <w:r w:rsidR="004756C1" w:rsidRPr="002F50BD">
        <w:rPr>
          <w:rFonts w:ascii="Verdana" w:hAnsi="Verdana"/>
          <w:sz w:val="16"/>
          <w:lang w:val="pt-BR"/>
        </w:rPr>
        <w:t xml:space="preserve"> que l</w:t>
      </w:r>
      <w:r w:rsidR="004A71D0" w:rsidRPr="002F50BD">
        <w:rPr>
          <w:rFonts w:ascii="Verdana" w:hAnsi="Verdana"/>
          <w:sz w:val="16"/>
          <w:lang w:val="pt-BR"/>
        </w:rPr>
        <w:t>h</w:t>
      </w:r>
      <w:r w:rsidR="004756C1" w:rsidRPr="002F50BD">
        <w:rPr>
          <w:rFonts w:ascii="Verdana" w:hAnsi="Verdana"/>
          <w:sz w:val="16"/>
          <w:lang w:val="pt-BR"/>
        </w:rPr>
        <w:t xml:space="preserve">e </w:t>
      </w:r>
      <w:r w:rsidR="0031730D" w:rsidRPr="002F50BD">
        <w:rPr>
          <w:rFonts w:ascii="Verdana" w:hAnsi="Verdana"/>
          <w:sz w:val="16"/>
          <w:lang w:val="pt-BR"/>
        </w:rPr>
        <w:t>garantam</w:t>
      </w:r>
      <w:r w:rsidR="0089298C" w:rsidRPr="002F50BD">
        <w:rPr>
          <w:rFonts w:ascii="Verdana" w:hAnsi="Verdana"/>
          <w:sz w:val="16"/>
          <w:lang w:val="pt-BR"/>
        </w:rPr>
        <w:t xml:space="preserve"> uma existência</w:t>
      </w:r>
      <w:r w:rsidR="004756C1" w:rsidRPr="002F50BD">
        <w:rPr>
          <w:rFonts w:ascii="Verdana" w:hAnsi="Verdana"/>
          <w:sz w:val="16"/>
          <w:lang w:val="pt-BR"/>
        </w:rPr>
        <w:t xml:space="preserve"> digna</w:t>
      </w:r>
      <w:r w:rsidR="00DB51F0" w:rsidRPr="002F50BD">
        <w:rPr>
          <w:rFonts w:ascii="Verdana" w:hAnsi="Verdana"/>
          <w:sz w:val="16"/>
          <w:lang w:val="pt-BR"/>
        </w:rPr>
        <w:t xml:space="preserve">. Os </w:t>
      </w:r>
      <w:r w:rsidR="004756C1" w:rsidRPr="002F50BD">
        <w:rPr>
          <w:rFonts w:ascii="Verdana" w:hAnsi="Verdana"/>
          <w:sz w:val="16"/>
          <w:lang w:val="pt-BR"/>
        </w:rPr>
        <w:t xml:space="preserve">Estados </w:t>
      </w:r>
      <w:r w:rsidR="004A71D0" w:rsidRPr="002F50BD">
        <w:rPr>
          <w:rFonts w:ascii="Verdana" w:hAnsi="Verdana"/>
          <w:sz w:val="16"/>
          <w:lang w:val="pt-BR"/>
        </w:rPr>
        <w:t>têm a</w:t>
      </w:r>
      <w:r w:rsidR="0089298C" w:rsidRPr="002F50BD">
        <w:rPr>
          <w:rFonts w:ascii="Verdana" w:hAnsi="Verdana"/>
          <w:sz w:val="16"/>
          <w:lang w:val="pt-BR"/>
        </w:rPr>
        <w:t xml:space="preserve"> obrigação</w:t>
      </w:r>
      <w:r w:rsidR="004756C1" w:rsidRPr="002F50BD">
        <w:rPr>
          <w:rFonts w:ascii="Verdana" w:hAnsi="Verdana"/>
          <w:sz w:val="16"/>
          <w:lang w:val="pt-BR"/>
        </w:rPr>
        <w:t xml:space="preserve"> de </w:t>
      </w:r>
      <w:r w:rsidR="0089298C" w:rsidRPr="002F50BD">
        <w:rPr>
          <w:rFonts w:ascii="Verdana" w:hAnsi="Verdana"/>
          <w:sz w:val="16"/>
          <w:lang w:val="pt-BR"/>
        </w:rPr>
        <w:t xml:space="preserve">garantir a criação das </w:t>
      </w:r>
      <w:r w:rsidR="004756C1" w:rsidRPr="002F50BD">
        <w:rPr>
          <w:rFonts w:ascii="Verdana" w:hAnsi="Verdana"/>
          <w:sz w:val="16"/>
          <w:lang w:val="pt-BR"/>
        </w:rPr>
        <w:t>condi</w:t>
      </w:r>
      <w:r w:rsidR="0089298C" w:rsidRPr="002F50BD">
        <w:rPr>
          <w:rFonts w:ascii="Verdana" w:hAnsi="Verdana"/>
          <w:sz w:val="16"/>
          <w:lang w:val="pt-BR"/>
        </w:rPr>
        <w:t>ções</w:t>
      </w:r>
      <w:r w:rsidR="004756C1" w:rsidRPr="002F50BD">
        <w:rPr>
          <w:rFonts w:ascii="Verdana" w:hAnsi="Verdana"/>
          <w:sz w:val="16"/>
          <w:lang w:val="pt-BR"/>
        </w:rPr>
        <w:t xml:space="preserve"> </w:t>
      </w:r>
      <w:r w:rsidR="007F0C83" w:rsidRPr="002F50BD">
        <w:rPr>
          <w:rFonts w:ascii="Verdana" w:hAnsi="Verdana"/>
          <w:sz w:val="16"/>
          <w:lang w:val="pt-BR"/>
        </w:rPr>
        <w:t>necessárias</w:t>
      </w:r>
      <w:r w:rsidR="004A71D0" w:rsidRPr="002F50BD">
        <w:rPr>
          <w:rFonts w:ascii="Verdana" w:hAnsi="Verdana"/>
          <w:sz w:val="16"/>
          <w:lang w:val="pt-BR"/>
        </w:rPr>
        <w:t xml:space="preserve"> </w:t>
      </w:r>
      <w:r w:rsidR="004756C1" w:rsidRPr="002F50BD">
        <w:rPr>
          <w:rFonts w:ascii="Verdana" w:hAnsi="Verdana"/>
          <w:sz w:val="16"/>
          <w:lang w:val="pt-BR"/>
        </w:rPr>
        <w:t>para que n</w:t>
      </w:r>
      <w:r w:rsidR="004A71D0" w:rsidRPr="002F50BD">
        <w:rPr>
          <w:rFonts w:ascii="Verdana" w:hAnsi="Verdana"/>
          <w:sz w:val="16"/>
          <w:lang w:val="pt-BR"/>
        </w:rPr>
        <w:t>ã</w:t>
      </w:r>
      <w:r w:rsidR="004756C1" w:rsidRPr="002F50BD">
        <w:rPr>
          <w:rFonts w:ascii="Verdana" w:hAnsi="Verdana"/>
          <w:sz w:val="16"/>
          <w:lang w:val="pt-BR"/>
        </w:rPr>
        <w:t>o se produz</w:t>
      </w:r>
      <w:r w:rsidR="004A71D0" w:rsidRPr="002F50BD">
        <w:rPr>
          <w:rFonts w:ascii="Verdana" w:hAnsi="Verdana"/>
          <w:sz w:val="16"/>
          <w:lang w:val="pt-BR"/>
        </w:rPr>
        <w:t>am</w:t>
      </w:r>
      <w:r w:rsidR="004756C1" w:rsidRPr="002F50BD">
        <w:rPr>
          <w:rFonts w:ascii="Verdana" w:hAnsi="Verdana"/>
          <w:sz w:val="16"/>
          <w:lang w:val="pt-BR"/>
        </w:rPr>
        <w:t xml:space="preserve"> viola</w:t>
      </w:r>
      <w:r w:rsidR="0089298C" w:rsidRPr="002F50BD">
        <w:rPr>
          <w:rFonts w:ascii="Verdana" w:hAnsi="Verdana"/>
          <w:sz w:val="16"/>
          <w:lang w:val="pt-BR"/>
        </w:rPr>
        <w:t xml:space="preserve">ções </w:t>
      </w:r>
      <w:r w:rsidR="007F0C83" w:rsidRPr="002F50BD">
        <w:rPr>
          <w:rFonts w:ascii="Verdana" w:hAnsi="Verdana"/>
          <w:sz w:val="16"/>
          <w:lang w:val="pt-BR"/>
        </w:rPr>
        <w:t xml:space="preserve">a </w:t>
      </w:r>
      <w:r w:rsidR="0089298C" w:rsidRPr="002F50BD">
        <w:rPr>
          <w:rFonts w:ascii="Verdana" w:hAnsi="Verdana"/>
          <w:sz w:val="16"/>
          <w:lang w:val="pt-BR"/>
        </w:rPr>
        <w:t>esse direito</w:t>
      </w:r>
      <w:r w:rsidR="004756C1" w:rsidRPr="002F50BD">
        <w:rPr>
          <w:rFonts w:ascii="Verdana" w:hAnsi="Verdana"/>
          <w:sz w:val="16"/>
          <w:lang w:val="pt-BR"/>
        </w:rPr>
        <w:t xml:space="preserve"> básico</w:t>
      </w:r>
      <w:r w:rsidR="0089298C" w:rsidRPr="002F50BD">
        <w:rPr>
          <w:rFonts w:ascii="Verdana" w:hAnsi="Verdana"/>
          <w:sz w:val="16"/>
          <w:lang w:val="pt-BR"/>
        </w:rPr>
        <w:t xml:space="preserve"> e, em </w:t>
      </w:r>
      <w:r w:rsidR="004756C1" w:rsidRPr="002F50BD">
        <w:rPr>
          <w:rFonts w:ascii="Verdana" w:hAnsi="Verdana"/>
          <w:sz w:val="16"/>
          <w:lang w:val="pt-BR"/>
        </w:rPr>
        <w:t>particular,</w:t>
      </w:r>
      <w:r w:rsidR="0089298C" w:rsidRPr="002F50BD">
        <w:rPr>
          <w:rFonts w:ascii="Verdana" w:hAnsi="Verdana"/>
          <w:sz w:val="16"/>
          <w:lang w:val="pt-BR"/>
        </w:rPr>
        <w:t xml:space="preserve"> o dever</w:t>
      </w:r>
      <w:r w:rsidR="004756C1" w:rsidRPr="002F50BD">
        <w:rPr>
          <w:rFonts w:ascii="Verdana" w:hAnsi="Verdana"/>
          <w:sz w:val="16"/>
          <w:lang w:val="pt-BR"/>
        </w:rPr>
        <w:t xml:space="preserve"> de impedir que </w:t>
      </w:r>
      <w:r w:rsidR="0089298C" w:rsidRPr="002F50BD">
        <w:rPr>
          <w:rFonts w:ascii="Verdana" w:hAnsi="Verdana"/>
          <w:sz w:val="16"/>
          <w:lang w:val="pt-BR"/>
        </w:rPr>
        <w:t>seus agentes</w:t>
      </w:r>
      <w:r w:rsidR="004756C1" w:rsidRPr="002F50BD">
        <w:rPr>
          <w:rFonts w:ascii="Verdana" w:hAnsi="Verdana"/>
          <w:sz w:val="16"/>
          <w:lang w:val="pt-BR"/>
        </w:rPr>
        <w:t xml:space="preserve"> a</w:t>
      </w:r>
      <w:r w:rsidR="004A71D0" w:rsidRPr="002F50BD">
        <w:rPr>
          <w:rFonts w:ascii="Verdana" w:hAnsi="Verdana"/>
          <w:sz w:val="16"/>
          <w:lang w:val="pt-BR"/>
        </w:rPr>
        <w:t>tentem</w:t>
      </w:r>
      <w:r w:rsidR="004756C1" w:rsidRPr="002F50BD">
        <w:rPr>
          <w:rFonts w:ascii="Verdana" w:hAnsi="Verdana"/>
          <w:sz w:val="16"/>
          <w:lang w:val="pt-BR"/>
        </w:rPr>
        <w:t xml:space="preserve"> contra </w:t>
      </w:r>
      <w:r w:rsidR="004A71D0" w:rsidRPr="002F50BD">
        <w:rPr>
          <w:rFonts w:ascii="Verdana" w:hAnsi="Verdana"/>
          <w:sz w:val="16"/>
          <w:lang w:val="pt-BR"/>
        </w:rPr>
        <w:t>ele</w:t>
      </w:r>
      <w:r w:rsidR="004756C1"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w:t>
      </w:r>
      <w:r w:rsidR="004756C1" w:rsidRPr="002F50BD">
        <w:rPr>
          <w:rFonts w:ascii="Verdana" w:hAnsi="Verdana"/>
          <w:sz w:val="20"/>
          <w:lang w:val="pt-BR"/>
        </w:rPr>
        <w:t>presente caso,</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aceitou</w:t>
      </w:r>
      <w:r w:rsidR="004756C1" w:rsidRPr="002F50BD">
        <w:rPr>
          <w:rFonts w:ascii="Verdana" w:hAnsi="Verdana"/>
          <w:sz w:val="20"/>
          <w:lang w:val="pt-BR"/>
        </w:rPr>
        <w:t xml:space="preserve"> esta hermen</w:t>
      </w:r>
      <w:r w:rsidR="004A71D0" w:rsidRPr="002F50BD">
        <w:rPr>
          <w:rFonts w:ascii="Verdana" w:hAnsi="Verdana"/>
          <w:sz w:val="20"/>
          <w:lang w:val="pt-BR"/>
        </w:rPr>
        <w:t>ê</w:t>
      </w:r>
      <w:r w:rsidR="004756C1" w:rsidRPr="002F50BD">
        <w:rPr>
          <w:rFonts w:ascii="Verdana" w:hAnsi="Verdana"/>
          <w:sz w:val="20"/>
          <w:lang w:val="pt-BR"/>
        </w:rPr>
        <w:t>utica</w:t>
      </w:r>
      <w:r w:rsidR="0089298C" w:rsidRPr="002F50BD">
        <w:rPr>
          <w:rFonts w:ascii="Verdana" w:hAnsi="Verdana"/>
          <w:sz w:val="20"/>
          <w:lang w:val="pt-BR"/>
        </w:rPr>
        <w:t xml:space="preserve"> ao estabelece</w:t>
      </w:r>
      <w:r w:rsidR="004756C1" w:rsidRPr="002F50BD">
        <w:rPr>
          <w:rFonts w:ascii="Verdana" w:hAnsi="Verdana"/>
          <w:sz w:val="20"/>
          <w:lang w:val="pt-BR"/>
        </w:rPr>
        <w:t>r,</w:t>
      </w:r>
      <w:r w:rsidR="0089298C" w:rsidRPr="002F50BD">
        <w:rPr>
          <w:rFonts w:ascii="Verdana" w:hAnsi="Verdana"/>
          <w:sz w:val="20"/>
          <w:lang w:val="pt-BR"/>
        </w:rPr>
        <w:t xml:space="preserve"> no ponto </w:t>
      </w:r>
      <w:r w:rsidR="004756C1" w:rsidRPr="002F50BD">
        <w:rPr>
          <w:rFonts w:ascii="Verdana" w:hAnsi="Verdana"/>
          <w:sz w:val="20"/>
          <w:lang w:val="pt-BR"/>
        </w:rPr>
        <w:t xml:space="preserve">resolutivo </w:t>
      </w:r>
      <w:r w:rsidRPr="002F50BD">
        <w:rPr>
          <w:rFonts w:ascii="Verdana" w:hAnsi="Verdana"/>
          <w:sz w:val="20"/>
          <w:lang w:val="pt-BR"/>
        </w:rPr>
        <w:t>3</w:t>
      </w:r>
      <w:r w:rsidR="0089298C" w:rsidRPr="002F50BD">
        <w:rPr>
          <w:rFonts w:ascii="Verdana" w:hAnsi="Verdana"/>
          <w:sz w:val="20"/>
          <w:lang w:val="pt-BR"/>
        </w:rPr>
        <w:t xml:space="preserve"> desta Sentença</w:t>
      </w:r>
      <w:r w:rsidR="004756C1" w:rsidRPr="002F50BD">
        <w:rPr>
          <w:rFonts w:ascii="Verdana" w:hAnsi="Verdana"/>
          <w:sz w:val="20"/>
          <w:lang w:val="pt-BR"/>
        </w:rPr>
        <w:t>,</w:t>
      </w:r>
      <w:r w:rsidR="0089298C" w:rsidRPr="002F50BD">
        <w:rPr>
          <w:rFonts w:ascii="Verdana" w:hAnsi="Verdana"/>
          <w:sz w:val="20"/>
          <w:lang w:val="pt-BR"/>
        </w:rPr>
        <w:t xml:space="preserve"> uma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w:t>
      </w:r>
      <w:r w:rsidR="00452B62" w:rsidRPr="002F50BD">
        <w:rPr>
          <w:rFonts w:ascii="Verdana" w:hAnsi="Verdana"/>
          <w:sz w:val="20"/>
          <w:lang w:val="pt-BR"/>
        </w:rPr>
        <w:t xml:space="preserve">em relação ao artigo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xml:space="preserve"> em </w:t>
      </w:r>
      <w:r w:rsidR="004A71D0" w:rsidRPr="002F50BD">
        <w:rPr>
          <w:rFonts w:ascii="Verdana" w:hAnsi="Verdana"/>
          <w:sz w:val="20"/>
          <w:lang w:val="pt-BR"/>
        </w:rPr>
        <w:t xml:space="preserve">detrimento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por</w:t>
      </w:r>
      <w:r w:rsidR="00F55DCA" w:rsidRPr="002F50BD">
        <w:rPr>
          <w:rFonts w:ascii="Verdana" w:hAnsi="Verdana"/>
          <w:sz w:val="20"/>
          <w:lang w:val="pt-BR"/>
        </w:rPr>
        <w:t xml:space="preserve"> não adotar </w:t>
      </w:r>
      <w:r w:rsidR="004756C1" w:rsidRPr="002F50BD">
        <w:rPr>
          <w:rFonts w:ascii="Verdana" w:hAnsi="Verdana"/>
          <w:sz w:val="20"/>
          <w:lang w:val="pt-BR"/>
        </w:rPr>
        <w:t xml:space="preserve">medidas </w:t>
      </w:r>
      <w:r w:rsidR="00754117" w:rsidRPr="002F50BD">
        <w:rPr>
          <w:rFonts w:ascii="Verdana" w:hAnsi="Verdana"/>
          <w:sz w:val="20"/>
          <w:lang w:val="pt-BR"/>
        </w:rPr>
        <w:t>em face da</w:t>
      </w:r>
      <w:r w:rsidR="0089298C" w:rsidRPr="002F50BD">
        <w:rPr>
          <w:rFonts w:ascii="Verdana" w:hAnsi="Verdana"/>
          <w:sz w:val="20"/>
          <w:lang w:val="pt-BR"/>
        </w:rPr>
        <w:t xml:space="preserve">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que </w:t>
      </w:r>
      <w:r w:rsidR="0089298C" w:rsidRPr="002F50BD">
        <w:rPr>
          <w:rFonts w:ascii="Verdana" w:hAnsi="Verdana"/>
          <w:sz w:val="20"/>
          <w:lang w:val="pt-BR"/>
        </w:rPr>
        <w:t>afetaram</w:t>
      </w:r>
      <w:r w:rsidR="004756C1" w:rsidRPr="002F50BD">
        <w:rPr>
          <w:rFonts w:ascii="Verdana" w:hAnsi="Verdana"/>
          <w:sz w:val="20"/>
          <w:lang w:val="pt-BR"/>
        </w:rPr>
        <w:t xml:space="preserve"> su</w:t>
      </w:r>
      <w:r w:rsidR="002141AF" w:rsidRPr="002F50BD">
        <w:rPr>
          <w:rFonts w:ascii="Verdana" w:hAnsi="Verdana"/>
          <w:sz w:val="20"/>
          <w:lang w:val="pt-BR"/>
        </w:rPr>
        <w:t>a</w:t>
      </w:r>
      <w:r w:rsidR="004756C1" w:rsidRPr="002F50BD">
        <w:rPr>
          <w:rFonts w:ascii="Verdana" w:hAnsi="Verdana"/>
          <w:sz w:val="20"/>
          <w:lang w:val="pt-BR"/>
        </w:rPr>
        <w:t xml:space="preserve">s </w:t>
      </w:r>
      <w:r w:rsidR="004076AD" w:rsidRPr="002F50BD">
        <w:rPr>
          <w:rFonts w:ascii="Verdana" w:hAnsi="Verdana"/>
          <w:sz w:val="20"/>
          <w:lang w:val="pt-BR"/>
        </w:rPr>
        <w:t>possibilidade</w:t>
      </w:r>
      <w:r w:rsidR="004756C1" w:rsidRPr="002F50BD">
        <w:rPr>
          <w:rFonts w:ascii="Verdana" w:hAnsi="Verdana"/>
          <w:sz w:val="20"/>
          <w:lang w:val="pt-BR"/>
        </w:rPr>
        <w:t>s de</w:t>
      </w:r>
      <w:r w:rsidR="0089298C" w:rsidRPr="002F50BD">
        <w:rPr>
          <w:rFonts w:ascii="Verdana" w:hAnsi="Verdana"/>
          <w:sz w:val="20"/>
          <w:lang w:val="pt-BR"/>
        </w:rPr>
        <w:t xml:space="preserve"> ter</w:t>
      </w:r>
      <w:r w:rsidR="002141AF" w:rsidRPr="002F50BD">
        <w:rPr>
          <w:rFonts w:ascii="Verdana" w:hAnsi="Verdana"/>
          <w:sz w:val="20"/>
          <w:lang w:val="pt-BR"/>
        </w:rPr>
        <w:t>em</w:t>
      </w:r>
      <w:r w:rsidR="0089298C" w:rsidRPr="002F50BD">
        <w:rPr>
          <w:rFonts w:ascii="Verdana" w:hAnsi="Verdana"/>
          <w:sz w:val="20"/>
          <w:lang w:val="pt-BR"/>
        </w:rPr>
        <w:t xml:space="preserve"> uma </w:t>
      </w:r>
      <w:r w:rsidR="004756C1" w:rsidRPr="002F50BD">
        <w:rPr>
          <w:rFonts w:ascii="Verdana" w:hAnsi="Verdana"/>
          <w:sz w:val="20"/>
          <w:lang w:val="pt-BR"/>
        </w:rPr>
        <w:t>vida digna</w:t>
      </w:r>
      <w:r w:rsidR="004A71D0" w:rsidRPr="002F50BD">
        <w:rPr>
          <w:rFonts w:ascii="Verdana" w:hAnsi="Verdana"/>
          <w:sz w:val="20"/>
          <w:lang w:val="pt-BR"/>
        </w:rPr>
        <w:t>. A este respeito</w:t>
      </w:r>
      <w:r w:rsidR="004756C1" w:rsidRPr="002F50BD">
        <w:rPr>
          <w:rFonts w:ascii="Verdana" w:hAnsi="Verdana"/>
          <w:sz w:val="20"/>
          <w:lang w:val="pt-BR"/>
        </w:rPr>
        <w:t xml:space="preserve">, </w:t>
      </w:r>
      <w:r w:rsidR="002141AF" w:rsidRPr="002F50BD">
        <w:rPr>
          <w:rFonts w:ascii="Verdana" w:hAnsi="Verdana"/>
          <w:sz w:val="20"/>
          <w:lang w:val="pt-BR"/>
        </w:rPr>
        <w:t>estivemos</w:t>
      </w:r>
      <w:r w:rsidR="004756C1" w:rsidRPr="002F50BD">
        <w:rPr>
          <w:rFonts w:ascii="Verdana" w:hAnsi="Verdana"/>
          <w:sz w:val="20"/>
          <w:lang w:val="pt-BR"/>
        </w:rPr>
        <w:t xml:space="preserve"> </w:t>
      </w:r>
      <w:r w:rsidR="002141AF" w:rsidRPr="002F50BD">
        <w:rPr>
          <w:rFonts w:ascii="Verdana" w:hAnsi="Verdana"/>
          <w:sz w:val="20"/>
          <w:lang w:val="pt-BR"/>
        </w:rPr>
        <w:t>inteiramente</w:t>
      </w:r>
      <w:r w:rsidR="004756C1" w:rsidRPr="002F50BD">
        <w:rPr>
          <w:rFonts w:ascii="Verdana" w:hAnsi="Verdana"/>
          <w:sz w:val="20"/>
          <w:lang w:val="pt-BR"/>
        </w:rPr>
        <w:t xml:space="preserve"> de </w:t>
      </w:r>
      <w:r w:rsidR="0089298C" w:rsidRPr="002F50BD">
        <w:rPr>
          <w:rFonts w:ascii="Verdana" w:hAnsi="Verdana"/>
          <w:sz w:val="20"/>
          <w:lang w:val="pt-BR"/>
        </w:rPr>
        <w:t xml:space="preserve">acordo com a </w:t>
      </w:r>
      <w:r w:rsidR="002141AF" w:rsidRPr="002F50BD">
        <w:rPr>
          <w:rFonts w:ascii="Verdana" w:hAnsi="Verdana"/>
          <w:sz w:val="20"/>
          <w:lang w:val="pt-BR"/>
        </w:rPr>
        <w:t>advertência</w:t>
      </w:r>
      <w:r w:rsidR="0089298C" w:rsidRPr="002F50BD">
        <w:rPr>
          <w:rFonts w:ascii="Verdana" w:hAnsi="Verdana"/>
          <w:sz w:val="20"/>
          <w:lang w:val="pt-BR"/>
        </w:rPr>
        <w:t xml:space="preserve"> da </w:t>
      </w:r>
      <w:r w:rsidR="004756C1" w:rsidRPr="002F50BD">
        <w:rPr>
          <w:rFonts w:ascii="Verdana" w:hAnsi="Verdana"/>
          <w:sz w:val="20"/>
          <w:lang w:val="pt-BR"/>
        </w:rPr>
        <w:t>Corte</w:t>
      </w:r>
      <w:r w:rsidR="0089298C" w:rsidRPr="002F50BD">
        <w:rPr>
          <w:rFonts w:ascii="Verdana" w:hAnsi="Verdana"/>
          <w:sz w:val="20"/>
          <w:lang w:val="pt-BR"/>
        </w:rPr>
        <w:t xml:space="preserve"> no </w:t>
      </w:r>
      <w:r w:rsidR="004756C1" w:rsidRPr="002F50BD">
        <w:rPr>
          <w:rFonts w:ascii="Verdana" w:hAnsi="Verdana"/>
          <w:sz w:val="20"/>
          <w:lang w:val="pt-BR"/>
        </w:rPr>
        <w:t>sentido de que</w:t>
      </w:r>
      <w:r w:rsidR="0089298C" w:rsidRPr="002F50BD">
        <w:rPr>
          <w:rFonts w:ascii="Verdana" w:hAnsi="Verdana"/>
          <w:sz w:val="20"/>
          <w:lang w:val="pt-BR"/>
        </w:rPr>
        <w:t xml:space="preserve"> </w:t>
      </w:r>
      <w:r w:rsidR="0024245D" w:rsidRPr="002F50BD">
        <w:rPr>
          <w:rFonts w:ascii="Verdana" w:hAnsi="Verdana"/>
          <w:sz w:val="20"/>
          <w:lang w:val="pt-BR"/>
        </w:rPr>
        <w:t xml:space="preserve">o Estado </w:t>
      </w:r>
      <w:r w:rsidR="0089298C" w:rsidRPr="002F50BD">
        <w:rPr>
          <w:rFonts w:ascii="Verdana" w:hAnsi="Verdana"/>
          <w:sz w:val="20"/>
          <w:lang w:val="pt-BR"/>
        </w:rPr>
        <w:t>deve adot</w:t>
      </w:r>
      <w:r w:rsidR="004756C1" w:rsidRPr="002F50BD">
        <w:rPr>
          <w:rFonts w:ascii="Verdana" w:hAnsi="Verdana"/>
          <w:sz w:val="20"/>
          <w:lang w:val="pt-BR"/>
        </w:rPr>
        <w:t xml:space="preserve">ar medidas destinadas a </w:t>
      </w:r>
      <w:r w:rsidR="0089298C" w:rsidRPr="002F50BD">
        <w:rPr>
          <w:rFonts w:ascii="Verdana" w:hAnsi="Verdana"/>
          <w:sz w:val="20"/>
          <w:lang w:val="pt-BR"/>
        </w:rPr>
        <w:t>garantir o direito</w:t>
      </w:r>
      <w:r w:rsidR="004756C1" w:rsidRPr="002F50BD">
        <w:rPr>
          <w:rFonts w:ascii="Verdana" w:hAnsi="Verdana"/>
          <w:sz w:val="20"/>
          <w:lang w:val="pt-BR"/>
        </w:rPr>
        <w:t xml:space="preserve"> a</w:t>
      </w:r>
      <w:r w:rsidR="0089298C" w:rsidRPr="002F50BD">
        <w:rPr>
          <w:rFonts w:ascii="Verdana" w:hAnsi="Verdana"/>
          <w:sz w:val="20"/>
          <w:lang w:val="pt-BR"/>
        </w:rPr>
        <w:t xml:space="preserve"> uma </w:t>
      </w:r>
      <w:r w:rsidR="004756C1" w:rsidRPr="002F50BD">
        <w:rPr>
          <w:rFonts w:ascii="Verdana" w:hAnsi="Verdana"/>
          <w:sz w:val="20"/>
          <w:lang w:val="pt-BR"/>
        </w:rPr>
        <w:t>alimenta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adequad</w:t>
      </w:r>
      <w:r w:rsidR="004756C1" w:rsidRPr="002F50BD">
        <w:rPr>
          <w:rFonts w:ascii="Verdana" w:hAnsi="Verdana"/>
          <w:sz w:val="20"/>
          <w:lang w:val="pt-BR"/>
        </w:rPr>
        <w:t xml:space="preserve">a, </w:t>
      </w:r>
      <w:r w:rsidR="0089298C" w:rsidRPr="002F50BD">
        <w:rPr>
          <w:rFonts w:ascii="Verdana" w:hAnsi="Verdana"/>
          <w:sz w:val="20"/>
          <w:lang w:val="pt-BR"/>
        </w:rPr>
        <w:t>acesso</w:t>
      </w:r>
      <w:r w:rsidR="004756C1" w:rsidRPr="002F50BD">
        <w:rPr>
          <w:rFonts w:ascii="Verdana" w:hAnsi="Verdana"/>
          <w:sz w:val="20"/>
          <w:lang w:val="pt-BR"/>
        </w:rPr>
        <w:t xml:space="preserve"> a</w:t>
      </w:r>
      <w:r w:rsidR="00AB454A" w:rsidRPr="002F50BD">
        <w:rPr>
          <w:rFonts w:ascii="Verdana" w:hAnsi="Verdana"/>
          <w:sz w:val="20"/>
          <w:lang w:val="pt-BR"/>
        </w:rPr>
        <w:t xml:space="preserve"> água </w:t>
      </w:r>
      <w:r w:rsidR="00E72F67" w:rsidRPr="002F50BD">
        <w:rPr>
          <w:rFonts w:ascii="Verdana" w:hAnsi="Verdana"/>
          <w:sz w:val="20"/>
          <w:lang w:val="pt-BR"/>
        </w:rPr>
        <w:t>limpa</w:t>
      </w:r>
      <w:r w:rsidR="0089298C" w:rsidRPr="002F50BD">
        <w:rPr>
          <w:rFonts w:ascii="Verdana" w:hAnsi="Verdana"/>
          <w:sz w:val="20"/>
          <w:lang w:val="pt-BR"/>
        </w:rPr>
        <w:t xml:space="preserve"> e atenção</w:t>
      </w:r>
      <w:r w:rsidR="004756C1" w:rsidRPr="002F50BD">
        <w:rPr>
          <w:rFonts w:ascii="Verdana" w:hAnsi="Verdana"/>
          <w:sz w:val="20"/>
          <w:lang w:val="pt-BR"/>
        </w:rPr>
        <w:t xml:space="preserve"> </w:t>
      </w:r>
      <w:r w:rsidR="007F0C83" w:rsidRPr="002F50BD">
        <w:rPr>
          <w:rFonts w:ascii="Verdana" w:hAnsi="Verdana"/>
          <w:sz w:val="20"/>
          <w:lang w:val="pt-BR"/>
        </w:rPr>
        <w:t>à</w:t>
      </w:r>
      <w:r w:rsidR="004756C1" w:rsidRPr="002F50BD">
        <w:rPr>
          <w:rFonts w:ascii="Verdana" w:hAnsi="Verdana"/>
          <w:sz w:val="20"/>
          <w:lang w:val="pt-BR"/>
        </w:rPr>
        <w:t xml:space="preserve"> </w:t>
      </w:r>
      <w:r w:rsidR="0089298C" w:rsidRPr="002F50BD">
        <w:rPr>
          <w:rFonts w:ascii="Verdana" w:hAnsi="Verdana"/>
          <w:sz w:val="20"/>
          <w:lang w:val="pt-BR"/>
        </w:rPr>
        <w:t>saúde e</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particular,</w:t>
      </w:r>
    </w:p>
    <w:p w:rsidR="004756C1" w:rsidRPr="002F50BD" w:rsidRDefault="004756C1">
      <w:pPr>
        <w:jc w:val="both"/>
        <w:rPr>
          <w:rFonts w:ascii="Verdana" w:hAnsi="Verdana"/>
          <w:sz w:val="20"/>
          <w:lang w:val="pt-BR"/>
        </w:rPr>
      </w:pPr>
    </w:p>
    <w:p w:rsidR="004756C1" w:rsidRPr="002F50BD" w:rsidRDefault="0024245D">
      <w:pPr>
        <w:ind w:left="720" w:right="720"/>
        <w:jc w:val="both"/>
        <w:rPr>
          <w:rFonts w:ascii="Verdana" w:hAnsi="Verdana"/>
          <w:sz w:val="16"/>
          <w:lang w:val="pt-BR"/>
        </w:rPr>
      </w:pPr>
      <w:r w:rsidRPr="002F50BD">
        <w:rPr>
          <w:rFonts w:ascii="Verdana" w:hAnsi="Verdana"/>
          <w:sz w:val="16"/>
          <w:lang w:val="pt-BR"/>
        </w:rPr>
        <w:t>o Estado deve atender os idosos com doenças crônicas e em fase terminal, poupando-lhes sofrimentos evitáveis. Neste caso, deve-se tomar em consideração que na Comunidade indígena Yakye Axa a transmissão oral da cultura às novas gerações está a cargo</w:t>
      </w:r>
      <w:r w:rsidR="007F0C83" w:rsidRPr="002F50BD">
        <w:rPr>
          <w:rFonts w:ascii="Verdana" w:hAnsi="Verdana"/>
          <w:sz w:val="16"/>
          <w:lang w:val="pt-BR"/>
        </w:rPr>
        <w:t>,</w:t>
      </w:r>
      <w:r w:rsidRPr="002F50BD">
        <w:rPr>
          <w:rFonts w:ascii="Verdana" w:hAnsi="Verdana"/>
          <w:sz w:val="16"/>
          <w:lang w:val="pt-BR"/>
        </w:rPr>
        <w:t xml:space="preserve"> principalmente</w:t>
      </w:r>
      <w:r w:rsidR="007F0C83" w:rsidRPr="002F50BD">
        <w:rPr>
          <w:rFonts w:ascii="Verdana" w:hAnsi="Verdana"/>
          <w:sz w:val="16"/>
          <w:lang w:val="pt-BR"/>
        </w:rPr>
        <w:t>,</w:t>
      </w:r>
      <w:r w:rsidRPr="002F50BD">
        <w:rPr>
          <w:rFonts w:ascii="Verdana" w:hAnsi="Verdana"/>
          <w:sz w:val="16"/>
          <w:lang w:val="pt-BR"/>
        </w:rPr>
        <w:t xml:space="preserve"> dos idosos</w:t>
      </w:r>
      <w:r w:rsidR="004756C1" w:rsidRPr="002F50BD">
        <w:rPr>
          <w:rFonts w:ascii="Verdana" w:hAnsi="Verdana"/>
          <w:sz w:val="16"/>
          <w:lang w:val="pt-BR"/>
        </w:rPr>
        <w:t xml:space="preserve"> </w:t>
      </w:r>
      <w:r w:rsidR="00CF451D" w:rsidRPr="00CF451D">
        <w:rPr>
          <w:rFonts w:ascii="Verdana" w:hAnsi="Verdana"/>
          <w:sz w:val="16"/>
          <w:lang w:val="pt-BR"/>
        </w:rPr>
        <w:t>(</w:t>
      </w:r>
      <w:r w:rsidR="0089298C" w:rsidRPr="002F50BD">
        <w:rPr>
          <w:rFonts w:ascii="Verdana" w:hAnsi="Verdana"/>
          <w:sz w:val="16"/>
          <w:lang w:val="pt-BR"/>
        </w:rPr>
        <w:t>par.</w:t>
      </w:r>
      <w:r w:rsidR="004756C1" w:rsidRPr="002F50BD">
        <w:rPr>
          <w:rFonts w:ascii="Verdana" w:hAnsi="Verdana"/>
          <w:sz w:val="16"/>
          <w:lang w:val="pt-BR"/>
        </w:rPr>
        <w:t xml:space="preserve"> </w:t>
      </w:r>
      <w:r w:rsidR="00063B47" w:rsidRPr="002F50BD">
        <w:rPr>
          <w:rFonts w:ascii="Verdana" w:hAnsi="Verdana"/>
          <w:sz w:val="16"/>
          <w:lang w:val="pt-BR"/>
        </w:rPr>
        <w:t>175</w:t>
      </w:r>
      <w:r w:rsidR="00CF451D" w:rsidRPr="00CF451D">
        <w:rPr>
          <w:rFonts w:ascii="Verdana" w:hAnsi="Verdana"/>
          <w:sz w:val="16"/>
          <w:lang w:val="pt-BR"/>
        </w:rPr>
        <w:t>)</w:t>
      </w:r>
      <w:r w:rsidR="004756C1"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4</w:t>
      </w:r>
      <w:r w:rsidR="004756C1" w:rsidRPr="002F50BD">
        <w:rPr>
          <w:rFonts w:ascii="Verdana" w:hAnsi="Verdana"/>
          <w:sz w:val="20"/>
          <w:lang w:val="pt-BR"/>
        </w:rPr>
        <w:t>.</w:t>
      </w:r>
      <w:r w:rsidR="004756C1" w:rsidRPr="002F50BD">
        <w:rPr>
          <w:rFonts w:ascii="Verdana" w:hAnsi="Verdana"/>
          <w:sz w:val="20"/>
          <w:lang w:val="pt-BR"/>
        </w:rPr>
        <w:tab/>
      </w:r>
      <w:r w:rsidR="0024245D" w:rsidRPr="002F50BD">
        <w:rPr>
          <w:rFonts w:ascii="Verdana" w:hAnsi="Verdana"/>
          <w:sz w:val="20"/>
          <w:lang w:val="pt-BR"/>
        </w:rPr>
        <w:t>N</w:t>
      </w:r>
      <w:r w:rsidR="004756C1" w:rsidRPr="002F50BD">
        <w:rPr>
          <w:rFonts w:ascii="Verdana" w:hAnsi="Verdana"/>
          <w:sz w:val="20"/>
          <w:lang w:val="pt-BR"/>
        </w:rPr>
        <w:t xml:space="preserve">esta </w:t>
      </w:r>
      <w:r w:rsidR="0089298C" w:rsidRPr="002F50BD">
        <w:rPr>
          <w:rFonts w:ascii="Verdana" w:hAnsi="Verdana"/>
          <w:sz w:val="20"/>
          <w:lang w:val="pt-BR"/>
        </w:rPr>
        <w:t>mesm</w:t>
      </w:r>
      <w:r w:rsidR="004756C1" w:rsidRPr="002F50BD">
        <w:rPr>
          <w:rFonts w:ascii="Verdana" w:hAnsi="Verdana"/>
          <w:sz w:val="20"/>
          <w:lang w:val="pt-BR"/>
        </w:rPr>
        <w:t xml:space="preserve">a </w:t>
      </w:r>
      <w:r w:rsidR="0089298C" w:rsidRPr="002F50BD">
        <w:rPr>
          <w:rFonts w:ascii="Verdana" w:hAnsi="Verdana"/>
          <w:sz w:val="20"/>
          <w:lang w:val="pt-BR"/>
        </w:rPr>
        <w:t>linha</w:t>
      </w:r>
      <w:r w:rsidR="004756C1" w:rsidRPr="002F50BD">
        <w:rPr>
          <w:rFonts w:ascii="Verdana" w:hAnsi="Verdana"/>
          <w:sz w:val="20"/>
          <w:lang w:val="pt-BR"/>
        </w:rPr>
        <w:t xml:space="preserve"> de </w:t>
      </w:r>
      <w:r w:rsidR="002141AF" w:rsidRPr="002F50BD">
        <w:rPr>
          <w:rFonts w:ascii="Verdana" w:hAnsi="Verdana"/>
          <w:sz w:val="20"/>
          <w:lang w:val="pt-BR"/>
        </w:rPr>
        <w:t>reflexão</w:t>
      </w:r>
      <w:r w:rsidR="0089298C" w:rsidRPr="002F50BD">
        <w:rPr>
          <w:rFonts w:ascii="Verdana" w:hAnsi="Verdana"/>
          <w:sz w:val="20"/>
          <w:lang w:val="pt-BR"/>
        </w:rPr>
        <w:t>,</w:t>
      </w:r>
      <w:r w:rsidR="004076AD" w:rsidRPr="002F50BD">
        <w:rPr>
          <w:rFonts w:ascii="Verdana" w:hAnsi="Verdana"/>
          <w:sz w:val="20"/>
          <w:lang w:val="pt-BR"/>
        </w:rPr>
        <w:t xml:space="preserve"> já </w:t>
      </w:r>
      <w:r w:rsidR="0024245D" w:rsidRPr="002F50BD">
        <w:rPr>
          <w:rFonts w:ascii="Verdana" w:hAnsi="Verdana"/>
          <w:sz w:val="20"/>
          <w:lang w:val="pt-BR"/>
        </w:rPr>
        <w:t xml:space="preserve">havíamos </w:t>
      </w:r>
      <w:r w:rsidR="004756C1" w:rsidRPr="002F50BD">
        <w:rPr>
          <w:rFonts w:ascii="Verdana" w:hAnsi="Verdana"/>
          <w:sz w:val="20"/>
          <w:lang w:val="pt-BR"/>
        </w:rPr>
        <w:t>ponderado,</w:t>
      </w:r>
      <w:r w:rsidR="0089298C" w:rsidRPr="002F50BD">
        <w:rPr>
          <w:rFonts w:ascii="Verdana" w:hAnsi="Verdana"/>
          <w:sz w:val="20"/>
          <w:lang w:val="pt-BR"/>
        </w:rPr>
        <w:t xml:space="preserve"> em nosso</w:t>
      </w:r>
      <w:r w:rsidR="004756C1" w:rsidRPr="002F50BD">
        <w:rPr>
          <w:rFonts w:ascii="Verdana" w:hAnsi="Verdana"/>
          <w:sz w:val="20"/>
          <w:lang w:val="pt-BR"/>
        </w:rPr>
        <w:t xml:space="preserve">s respectivos Votos </w:t>
      </w:r>
      <w:r w:rsidR="001F21AC" w:rsidRPr="002F50BD">
        <w:rPr>
          <w:rFonts w:ascii="Verdana" w:hAnsi="Verdana"/>
          <w:sz w:val="20"/>
          <w:lang w:val="pt-BR"/>
        </w:rPr>
        <w:t>Dissidente</w:t>
      </w:r>
      <w:r w:rsidR="004756C1" w:rsidRPr="002F50BD">
        <w:rPr>
          <w:rFonts w:ascii="Verdana" w:hAnsi="Verdana"/>
          <w:sz w:val="20"/>
          <w:lang w:val="pt-BR"/>
        </w:rPr>
        <w:t xml:space="preserve">s </w:t>
      </w:r>
      <w:r w:rsidR="0089298C" w:rsidRPr="002F50BD">
        <w:rPr>
          <w:rFonts w:ascii="Verdana" w:hAnsi="Verdana"/>
          <w:sz w:val="20"/>
          <w:lang w:val="pt-BR"/>
        </w:rPr>
        <w:t xml:space="preserve">individuais no </w:t>
      </w:r>
      <w:r w:rsidR="0024245D" w:rsidRPr="002F50BD">
        <w:rPr>
          <w:rFonts w:ascii="Verdana" w:hAnsi="Verdana"/>
          <w:sz w:val="20"/>
          <w:lang w:val="pt-BR"/>
        </w:rPr>
        <w:t xml:space="preserve">caso </w:t>
      </w:r>
      <w:r w:rsidR="004756C1" w:rsidRPr="002F50BD">
        <w:rPr>
          <w:rFonts w:ascii="Verdana" w:hAnsi="Verdana"/>
          <w:sz w:val="20"/>
          <w:lang w:val="pt-BR"/>
        </w:rPr>
        <w:t xml:space="preserve">anterior </w:t>
      </w:r>
      <w:r w:rsidR="0089298C" w:rsidRPr="002F50BD">
        <w:rPr>
          <w:rFonts w:ascii="Verdana" w:hAnsi="Verdana"/>
          <w:sz w:val="20"/>
          <w:lang w:val="pt-BR"/>
        </w:rPr>
        <w:t xml:space="preserve">das </w:t>
      </w:r>
      <w:r w:rsidR="0089298C" w:rsidRPr="002F50BD">
        <w:rPr>
          <w:rFonts w:ascii="Verdana" w:hAnsi="Verdana"/>
          <w:i/>
          <w:sz w:val="20"/>
          <w:lang w:val="pt-BR"/>
        </w:rPr>
        <w:t>Irmã</w:t>
      </w:r>
      <w:r w:rsidR="004756C1" w:rsidRPr="002F50BD">
        <w:rPr>
          <w:rFonts w:ascii="Verdana" w:hAnsi="Verdana"/>
          <w:i/>
          <w:sz w:val="20"/>
          <w:lang w:val="pt-BR"/>
        </w:rPr>
        <w:t>s Serrano Cruz versus</w:t>
      </w:r>
      <w:r w:rsidR="0089298C" w:rsidRPr="002F50BD">
        <w:rPr>
          <w:rFonts w:ascii="Verdana" w:hAnsi="Verdana"/>
          <w:i/>
          <w:sz w:val="20"/>
          <w:lang w:val="pt-BR"/>
        </w:rPr>
        <w:t xml:space="preserve"> </w:t>
      </w:r>
      <w:r w:rsidR="0024245D" w:rsidRPr="002F50BD">
        <w:rPr>
          <w:rFonts w:ascii="Verdana" w:hAnsi="Verdana"/>
          <w:i/>
          <w:sz w:val="20"/>
          <w:lang w:val="pt-BR"/>
        </w:rPr>
        <w:t>El</w:t>
      </w:r>
      <w:r w:rsidR="00FB33DD" w:rsidRPr="002F50BD">
        <w:rPr>
          <w:rFonts w:ascii="Verdana" w:hAnsi="Verdana"/>
          <w:i/>
          <w:sz w:val="20"/>
          <w:lang w:val="pt-BR"/>
        </w:rPr>
        <w:t xml:space="preserve"> </w:t>
      </w:r>
      <w:r w:rsidR="0089298C" w:rsidRPr="002F50BD">
        <w:rPr>
          <w:rFonts w:ascii="Verdana" w:hAnsi="Verdana"/>
          <w:i/>
          <w:sz w:val="20"/>
          <w:lang w:val="pt-BR"/>
        </w:rPr>
        <w:t>Salvador</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Sentença</w:t>
      </w:r>
      <w:r w:rsidR="004756C1" w:rsidRPr="002F50BD">
        <w:rPr>
          <w:rFonts w:ascii="Verdana" w:hAnsi="Verdana"/>
          <w:sz w:val="20"/>
          <w:lang w:val="pt-BR"/>
        </w:rPr>
        <w:t xml:space="preserve"> </w:t>
      </w:r>
      <w:r w:rsidR="0089298C" w:rsidRPr="002F50BD">
        <w:rPr>
          <w:rFonts w:ascii="Verdana" w:hAnsi="Verdana"/>
          <w:sz w:val="20"/>
          <w:lang w:val="pt-BR"/>
        </w:rPr>
        <w:t>d</w:t>
      </w:r>
      <w:r w:rsidR="0024245D" w:rsidRPr="002F50BD">
        <w:rPr>
          <w:rFonts w:ascii="Verdana" w:hAnsi="Verdana"/>
          <w:sz w:val="20"/>
          <w:lang w:val="pt-BR"/>
        </w:rPr>
        <w:t>e</w:t>
      </w:r>
      <w:r w:rsidR="0089298C" w:rsidRPr="002F50BD">
        <w:rPr>
          <w:rFonts w:ascii="Verdana" w:hAnsi="Verdana"/>
          <w:sz w:val="20"/>
          <w:lang w:val="pt-BR"/>
        </w:rPr>
        <w:t xml:space="preserve"> </w:t>
      </w:r>
      <w:r w:rsidRPr="002F50BD">
        <w:rPr>
          <w:rFonts w:ascii="Verdana" w:hAnsi="Verdana"/>
          <w:sz w:val="20"/>
          <w:lang w:val="pt-BR"/>
        </w:rPr>
        <w:t>01</w:t>
      </w:r>
      <w:r w:rsidR="004756C1" w:rsidRPr="002F50BD">
        <w:rPr>
          <w:rFonts w:ascii="Verdana" w:hAnsi="Verdana"/>
          <w:sz w:val="20"/>
          <w:lang w:val="pt-BR"/>
        </w:rPr>
        <w:t>.</w:t>
      </w:r>
      <w:r w:rsidRPr="002F50BD">
        <w:rPr>
          <w:rFonts w:ascii="Verdana" w:hAnsi="Verdana"/>
          <w:sz w:val="20"/>
          <w:lang w:val="pt-BR"/>
        </w:rPr>
        <w:t>03</w:t>
      </w:r>
      <w:r w:rsidR="004756C1" w:rsidRPr="002F50BD">
        <w:rPr>
          <w:rFonts w:ascii="Verdana" w:hAnsi="Verdana"/>
          <w:sz w:val="20"/>
          <w:lang w:val="pt-BR"/>
        </w:rPr>
        <w:t>.</w:t>
      </w:r>
      <w:r w:rsidRPr="002F50BD">
        <w:rPr>
          <w:rFonts w:ascii="Verdana" w:hAnsi="Verdana"/>
          <w:sz w:val="20"/>
          <w:lang w:val="pt-BR"/>
        </w:rPr>
        <w:t>2005</w:t>
      </w:r>
      <w:r w:rsidR="00CF451D" w:rsidRPr="00CF451D">
        <w:rPr>
          <w:rFonts w:ascii="Verdana" w:hAnsi="Verdana"/>
          <w:sz w:val="20"/>
          <w:lang w:val="pt-BR"/>
        </w:rPr>
        <w:t>)</w:t>
      </w:r>
      <w:r w:rsidR="004756C1" w:rsidRPr="002F50BD">
        <w:rPr>
          <w:rFonts w:ascii="Verdana" w:hAnsi="Verdana"/>
          <w:sz w:val="20"/>
          <w:lang w:val="pt-BR"/>
        </w:rPr>
        <w:t>, que</w:t>
      </w:r>
      <w:r w:rsidR="0089298C" w:rsidRPr="002F50BD">
        <w:rPr>
          <w:rFonts w:ascii="Verdana" w:hAnsi="Verdana"/>
          <w:sz w:val="20"/>
          <w:lang w:val="pt-BR"/>
        </w:rPr>
        <w:t xml:space="preserve"> 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vida</w:t>
      </w:r>
      <w:r w:rsidR="0089298C" w:rsidRPr="002F50BD">
        <w:rPr>
          <w:rFonts w:ascii="Verdana" w:hAnsi="Verdana"/>
          <w:sz w:val="20"/>
          <w:lang w:val="pt-BR"/>
        </w:rPr>
        <w:t xml:space="preserve"> assume uma dimensão </w:t>
      </w:r>
      <w:r w:rsidR="00754117" w:rsidRPr="002F50BD">
        <w:rPr>
          <w:rFonts w:ascii="Verdana" w:hAnsi="Verdana"/>
          <w:sz w:val="20"/>
          <w:lang w:val="pt-BR"/>
        </w:rPr>
        <w:t xml:space="preserve">mais alta </w:t>
      </w:r>
      <w:r w:rsidR="0089298C" w:rsidRPr="002F50BD">
        <w:rPr>
          <w:rFonts w:ascii="Verdana" w:hAnsi="Verdana"/>
          <w:sz w:val="20"/>
          <w:lang w:val="pt-BR"/>
        </w:rPr>
        <w:t xml:space="preserve">ao </w:t>
      </w:r>
      <w:r w:rsidR="004756C1" w:rsidRPr="002F50BD">
        <w:rPr>
          <w:rFonts w:ascii="Verdana" w:hAnsi="Verdana"/>
          <w:sz w:val="20"/>
          <w:lang w:val="pt-BR"/>
        </w:rPr>
        <w:t>tomar</w:t>
      </w:r>
      <w:r w:rsidR="0024245D" w:rsidRPr="002F50BD">
        <w:rPr>
          <w:rFonts w:ascii="Verdana" w:hAnsi="Verdana"/>
          <w:sz w:val="20"/>
          <w:lang w:val="pt-BR"/>
        </w:rPr>
        <w:t>-</w:t>
      </w:r>
      <w:r w:rsidR="004756C1" w:rsidRPr="002F50BD">
        <w:rPr>
          <w:rFonts w:ascii="Verdana" w:hAnsi="Verdana"/>
          <w:sz w:val="20"/>
          <w:lang w:val="pt-BR"/>
        </w:rPr>
        <w:t>se</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ção o direito à identidade pessoa</w:t>
      </w:r>
      <w:r w:rsidR="004756C1" w:rsidRPr="002F50BD">
        <w:rPr>
          <w:rFonts w:ascii="Verdana" w:hAnsi="Verdana"/>
          <w:sz w:val="20"/>
          <w:lang w:val="pt-BR"/>
        </w:rPr>
        <w:t>l</w:t>
      </w:r>
      <w:r w:rsidR="0089298C" w:rsidRPr="002F50BD">
        <w:rPr>
          <w:rFonts w:ascii="Verdana" w:hAnsi="Verdana"/>
          <w:sz w:val="20"/>
          <w:lang w:val="pt-BR"/>
        </w:rPr>
        <w:t xml:space="preserve"> e </w:t>
      </w:r>
      <w:r w:rsidR="004756C1" w:rsidRPr="002F50BD">
        <w:rPr>
          <w:rFonts w:ascii="Verdana" w:hAnsi="Verdana"/>
          <w:sz w:val="20"/>
          <w:lang w:val="pt-BR"/>
        </w:rPr>
        <w:t xml:space="preserve">cultural; este último </w:t>
      </w:r>
      <w:r w:rsidR="00AB454A" w:rsidRPr="002F50BD">
        <w:rPr>
          <w:rFonts w:ascii="Verdana" w:hAnsi="Verdana"/>
          <w:sz w:val="20"/>
          <w:lang w:val="pt-BR"/>
        </w:rPr>
        <w:t>não pode</w:t>
      </w:r>
      <w:r w:rsidR="004756C1" w:rsidRPr="002F50BD">
        <w:rPr>
          <w:rFonts w:ascii="Verdana" w:hAnsi="Verdana"/>
          <w:sz w:val="20"/>
          <w:lang w:val="pt-BR"/>
        </w:rPr>
        <w:t xml:space="preserve"> ser dis</w:t>
      </w:r>
      <w:r w:rsidR="0024245D" w:rsidRPr="002F50BD">
        <w:rPr>
          <w:rFonts w:ascii="Verdana" w:hAnsi="Verdana"/>
          <w:sz w:val="20"/>
          <w:lang w:val="pt-BR"/>
        </w:rPr>
        <w:t>s</w:t>
      </w:r>
      <w:r w:rsidR="004756C1" w:rsidRPr="002F50BD">
        <w:rPr>
          <w:rFonts w:ascii="Verdana" w:hAnsi="Verdana"/>
          <w:sz w:val="20"/>
          <w:lang w:val="pt-BR"/>
        </w:rPr>
        <w:t>ociado</w:t>
      </w:r>
      <w:r w:rsidR="0089298C" w:rsidRPr="002F50BD">
        <w:rPr>
          <w:rFonts w:ascii="Verdana" w:hAnsi="Verdana"/>
          <w:sz w:val="20"/>
          <w:lang w:val="pt-BR"/>
        </w:rPr>
        <w:t xml:space="preserve"> da própria personalidade </w:t>
      </w:r>
      <w:r w:rsidR="004756C1" w:rsidRPr="002F50BD">
        <w:rPr>
          <w:rFonts w:ascii="Verdana" w:hAnsi="Verdana"/>
          <w:sz w:val="20"/>
          <w:lang w:val="pt-BR"/>
        </w:rPr>
        <w:t xml:space="preserve">jurídica </w:t>
      </w:r>
      <w:r w:rsidR="0089298C" w:rsidRPr="002F50BD">
        <w:rPr>
          <w:rFonts w:ascii="Verdana" w:hAnsi="Verdana"/>
          <w:sz w:val="20"/>
          <w:lang w:val="pt-BR"/>
        </w:rPr>
        <w:t>do indivíduo</w:t>
      </w:r>
      <w:r w:rsidR="004756C1" w:rsidRPr="002F50BD">
        <w:rPr>
          <w:rFonts w:ascii="Verdana" w:hAnsi="Verdana"/>
          <w:sz w:val="20"/>
          <w:lang w:val="pt-BR"/>
        </w:rPr>
        <w:t xml:space="preserve"> como </w:t>
      </w:r>
      <w:r w:rsidR="0089298C" w:rsidRPr="002F50BD">
        <w:rPr>
          <w:rFonts w:ascii="Verdana" w:hAnsi="Verdana"/>
          <w:sz w:val="20"/>
          <w:lang w:val="pt-BR"/>
        </w:rPr>
        <w:t>sujeito</w:t>
      </w:r>
      <w:r w:rsidR="004756C1" w:rsidRPr="002F50BD">
        <w:rPr>
          <w:rFonts w:ascii="Verdana" w:hAnsi="Verdana"/>
          <w:sz w:val="20"/>
          <w:lang w:val="pt-BR"/>
        </w:rPr>
        <w:t xml:space="preserve"> internacional</w:t>
      </w:r>
      <w:r w:rsidR="00D95E71" w:rsidRPr="002F50BD">
        <w:rPr>
          <w:rFonts w:ascii="Verdana" w:hAnsi="Verdana"/>
          <w:sz w:val="20"/>
          <w:lang w:val="pt-BR"/>
        </w:rPr>
        <w:t xml:space="preserve">. O </w:t>
      </w:r>
      <w:r w:rsidR="0089298C" w:rsidRPr="002F50BD">
        <w:rPr>
          <w:rFonts w:ascii="Verdana" w:hAnsi="Verdana"/>
          <w:sz w:val="20"/>
          <w:lang w:val="pt-BR"/>
        </w:rPr>
        <w:t>direito à identidade decorre</w:t>
      </w:r>
      <w:r w:rsidR="004756C1" w:rsidRPr="002F50BD">
        <w:rPr>
          <w:rFonts w:ascii="Verdana" w:hAnsi="Verdana"/>
          <w:sz w:val="20"/>
          <w:lang w:val="pt-BR"/>
        </w:rPr>
        <w:t xml:space="preserve"> claramente</w:t>
      </w:r>
      <w:r w:rsidR="0089298C" w:rsidRPr="002F50BD">
        <w:rPr>
          <w:rFonts w:ascii="Verdana" w:hAnsi="Verdana"/>
          <w:sz w:val="20"/>
          <w:lang w:val="pt-BR"/>
        </w:rPr>
        <w:t xml:space="preserve"> das circunstâncias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presente caso </w:t>
      </w:r>
      <w:r w:rsidR="00CF451D" w:rsidRPr="00CF451D">
        <w:rPr>
          <w:rFonts w:ascii="Verdana" w:hAnsi="Verdana"/>
          <w:sz w:val="20"/>
          <w:lang w:val="pt-BR"/>
        </w:rPr>
        <w:t>(</w:t>
      </w:r>
      <w:r w:rsidR="004756C1" w:rsidRPr="002F50BD">
        <w:rPr>
          <w:rFonts w:ascii="Verdana" w:hAnsi="Verdana"/>
          <w:sz w:val="20"/>
          <w:lang w:val="pt-BR"/>
        </w:rPr>
        <w:t xml:space="preserve">cf. </w:t>
      </w:r>
      <w:r w:rsidR="0089298C" w:rsidRPr="002F50BD">
        <w:rPr>
          <w:rFonts w:ascii="Verdana" w:hAnsi="Verdana"/>
          <w:sz w:val="20"/>
          <w:lang w:val="pt-BR"/>
        </w:rPr>
        <w:t>também</w:t>
      </w:r>
      <w:r w:rsidR="004756C1" w:rsidRPr="002F50BD">
        <w:rPr>
          <w:rFonts w:ascii="Verdana" w:hAnsi="Verdana"/>
          <w:sz w:val="20"/>
          <w:lang w:val="pt-BR"/>
        </w:rPr>
        <w:t xml:space="preserve"> </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18</w:t>
      </w:r>
      <w:r w:rsidR="004756C1" w:rsidRPr="002F50BD">
        <w:rPr>
          <w:rFonts w:ascii="Verdana" w:hAnsi="Verdana"/>
          <w:sz w:val="20"/>
          <w:lang w:val="pt-BR"/>
        </w:rPr>
        <w:t>-</w:t>
      </w:r>
      <w:r w:rsidRPr="002F50BD">
        <w:rPr>
          <w:rFonts w:ascii="Verdana" w:hAnsi="Verdana"/>
          <w:sz w:val="20"/>
          <w:lang w:val="pt-BR"/>
        </w:rPr>
        <w:t>19</w:t>
      </w:r>
      <w:r w:rsidR="004756C1" w:rsidRPr="002F50BD">
        <w:rPr>
          <w:rFonts w:ascii="Verdana" w:hAnsi="Verdana"/>
          <w:sz w:val="20"/>
          <w:lang w:val="pt-BR"/>
        </w:rPr>
        <w:t xml:space="preserve">, </w:t>
      </w:r>
      <w:r w:rsidR="004756C1" w:rsidRPr="002F50BD">
        <w:rPr>
          <w:rFonts w:ascii="Verdana" w:hAnsi="Verdana"/>
          <w:i/>
          <w:sz w:val="20"/>
          <w:lang w:val="pt-BR"/>
        </w:rPr>
        <w:t>infra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lastRenderedPageBreak/>
        <w:t>5</w:t>
      </w:r>
      <w:r w:rsidR="004756C1" w:rsidRPr="002F50BD">
        <w:rPr>
          <w:rFonts w:ascii="Verdana" w:hAnsi="Verdana"/>
          <w:sz w:val="20"/>
          <w:lang w:val="pt-BR"/>
        </w:rPr>
        <w:t>.</w:t>
      </w:r>
      <w:r w:rsidR="004756C1" w:rsidRPr="002F50BD">
        <w:rPr>
          <w:rFonts w:ascii="Verdana" w:hAnsi="Verdana"/>
          <w:sz w:val="20"/>
          <w:lang w:val="pt-BR"/>
        </w:rPr>
        <w:tab/>
        <w:t>Cabe m</w:t>
      </w:r>
      <w:r w:rsidR="00A157C9">
        <w:rPr>
          <w:rFonts w:ascii="Verdana" w:hAnsi="Verdana"/>
          <w:sz w:val="20"/>
          <w:lang w:val="pt-BR"/>
        </w:rPr>
        <w:t>anifestar</w:t>
      </w:r>
      <w:r w:rsidR="004756C1" w:rsidRPr="002F50BD">
        <w:rPr>
          <w:rFonts w:ascii="Verdana" w:hAnsi="Verdana"/>
          <w:sz w:val="20"/>
          <w:lang w:val="pt-BR"/>
        </w:rPr>
        <w:t xml:space="preserve"> sobre</w:t>
      </w:r>
      <w:r w:rsidR="0089298C" w:rsidRPr="002F50BD">
        <w:rPr>
          <w:rFonts w:ascii="Verdana" w:hAnsi="Verdana"/>
          <w:sz w:val="20"/>
          <w:lang w:val="pt-BR"/>
        </w:rPr>
        <w:t xml:space="preserve"> a </w:t>
      </w:r>
      <w:r w:rsidR="0024245D" w:rsidRPr="002F50BD">
        <w:rPr>
          <w:rFonts w:ascii="Verdana" w:hAnsi="Verdana"/>
          <w:sz w:val="20"/>
          <w:lang w:val="pt-BR"/>
        </w:rPr>
        <w:t>maté</w:t>
      </w:r>
      <w:r w:rsidR="004756C1" w:rsidRPr="002F50BD">
        <w:rPr>
          <w:rFonts w:ascii="Verdana" w:hAnsi="Verdana"/>
          <w:sz w:val="20"/>
          <w:lang w:val="pt-BR"/>
        </w:rPr>
        <w:t>ria que</w:t>
      </w:r>
      <w:r w:rsidR="0089298C" w:rsidRPr="002F50BD">
        <w:rPr>
          <w:rFonts w:ascii="Verdana" w:hAnsi="Verdana"/>
          <w:sz w:val="20"/>
          <w:lang w:val="pt-BR"/>
        </w:rPr>
        <w:t xml:space="preserve"> a identidade pessoa</w:t>
      </w:r>
      <w:r w:rsidR="004756C1" w:rsidRPr="002F50BD">
        <w:rPr>
          <w:rFonts w:ascii="Verdana" w:hAnsi="Verdana"/>
          <w:sz w:val="20"/>
          <w:lang w:val="pt-BR"/>
        </w:rPr>
        <w:t>l n</w:t>
      </w:r>
      <w:r w:rsidR="0024245D" w:rsidRPr="002F50BD">
        <w:rPr>
          <w:rFonts w:ascii="Verdana" w:hAnsi="Verdana"/>
          <w:sz w:val="20"/>
          <w:lang w:val="pt-BR"/>
        </w:rPr>
        <w:t>ã</w:t>
      </w:r>
      <w:r w:rsidR="004756C1" w:rsidRPr="002F50BD">
        <w:rPr>
          <w:rFonts w:ascii="Verdana" w:hAnsi="Verdana"/>
          <w:sz w:val="20"/>
          <w:lang w:val="pt-BR"/>
        </w:rPr>
        <w:t>o compre</w:t>
      </w:r>
      <w:r w:rsidR="0024245D" w:rsidRPr="002F50BD">
        <w:rPr>
          <w:rFonts w:ascii="Verdana" w:hAnsi="Verdana"/>
          <w:sz w:val="20"/>
          <w:lang w:val="pt-BR"/>
        </w:rPr>
        <w:t>e</w:t>
      </w:r>
      <w:r w:rsidR="004756C1" w:rsidRPr="002F50BD">
        <w:rPr>
          <w:rFonts w:ascii="Verdana" w:hAnsi="Verdana"/>
          <w:sz w:val="20"/>
          <w:lang w:val="pt-BR"/>
        </w:rPr>
        <w:t xml:space="preserve">nde </w:t>
      </w:r>
      <w:r w:rsidR="0089298C" w:rsidRPr="002F50BD">
        <w:rPr>
          <w:rFonts w:ascii="Verdana" w:hAnsi="Verdana"/>
          <w:sz w:val="20"/>
          <w:lang w:val="pt-BR"/>
        </w:rPr>
        <w:t>unicamente</w:t>
      </w:r>
      <w:r w:rsidR="004756C1" w:rsidRPr="002F50BD">
        <w:rPr>
          <w:rFonts w:ascii="Verdana" w:hAnsi="Verdana"/>
          <w:sz w:val="20"/>
          <w:lang w:val="pt-BR"/>
        </w:rPr>
        <w:t xml:space="preserve"> </w:t>
      </w:r>
      <w:r w:rsidR="0089298C" w:rsidRPr="002F50BD">
        <w:rPr>
          <w:rFonts w:ascii="Verdana" w:hAnsi="Verdana"/>
          <w:sz w:val="20"/>
          <w:lang w:val="pt-BR"/>
        </w:rPr>
        <w:t>conceito</w:t>
      </w:r>
      <w:r w:rsidR="004756C1" w:rsidRPr="002F50BD">
        <w:rPr>
          <w:rFonts w:ascii="Verdana" w:hAnsi="Verdana"/>
          <w:sz w:val="20"/>
          <w:lang w:val="pt-BR"/>
        </w:rPr>
        <w:t>s estritamente biológicos,</w:t>
      </w:r>
      <w:r w:rsidR="0089298C" w:rsidRPr="002F50BD">
        <w:rPr>
          <w:rFonts w:ascii="Verdana" w:hAnsi="Verdana"/>
          <w:sz w:val="20"/>
          <w:lang w:val="pt-BR"/>
        </w:rPr>
        <w:t xml:space="preserve"> mas </w:t>
      </w:r>
      <w:r w:rsidR="004756C1" w:rsidRPr="002F50BD">
        <w:rPr>
          <w:rFonts w:ascii="Verdana" w:hAnsi="Verdana"/>
          <w:sz w:val="20"/>
          <w:lang w:val="pt-BR"/>
        </w:rPr>
        <w:t xml:space="preserve">que </w:t>
      </w:r>
      <w:r w:rsidR="0089298C" w:rsidRPr="002F50BD">
        <w:rPr>
          <w:rFonts w:ascii="Verdana" w:hAnsi="Verdana"/>
          <w:sz w:val="20"/>
          <w:lang w:val="pt-BR"/>
        </w:rPr>
        <w:t>também</w:t>
      </w:r>
      <w:r w:rsidR="004756C1" w:rsidRPr="002F50BD">
        <w:rPr>
          <w:rFonts w:ascii="Verdana" w:hAnsi="Verdana"/>
          <w:sz w:val="20"/>
          <w:lang w:val="pt-BR"/>
        </w:rPr>
        <w:t xml:space="preserve"> </w:t>
      </w:r>
      <w:r w:rsidR="0024245D" w:rsidRPr="002F50BD">
        <w:rPr>
          <w:rFonts w:ascii="Verdana" w:hAnsi="Verdana"/>
          <w:sz w:val="20"/>
          <w:lang w:val="pt-BR"/>
        </w:rPr>
        <w:t>inclui</w:t>
      </w:r>
      <w:r w:rsidR="004756C1" w:rsidRPr="002F50BD">
        <w:rPr>
          <w:rFonts w:ascii="Verdana" w:hAnsi="Verdana"/>
          <w:sz w:val="20"/>
          <w:lang w:val="pt-BR"/>
        </w:rPr>
        <w:t xml:space="preserve"> aspectos</w:t>
      </w:r>
      <w:r w:rsidR="0089298C" w:rsidRPr="002F50BD">
        <w:rPr>
          <w:rFonts w:ascii="Verdana" w:hAnsi="Verdana"/>
          <w:sz w:val="20"/>
          <w:lang w:val="pt-BR"/>
        </w:rPr>
        <w:t xml:space="preserve"> tão </w:t>
      </w:r>
      <w:r w:rsidR="004756C1" w:rsidRPr="002F50BD">
        <w:rPr>
          <w:rFonts w:ascii="Verdana" w:hAnsi="Verdana"/>
          <w:sz w:val="20"/>
          <w:lang w:val="pt-BR"/>
        </w:rPr>
        <w:t>variados como</w:t>
      </w:r>
      <w:r w:rsidR="0089298C" w:rsidRPr="002F50BD">
        <w:rPr>
          <w:rFonts w:ascii="Verdana" w:hAnsi="Verdana"/>
          <w:sz w:val="20"/>
          <w:lang w:val="pt-BR"/>
        </w:rPr>
        <w:t xml:space="preserve"> o </w:t>
      </w:r>
      <w:r w:rsidR="004076AD" w:rsidRPr="002F50BD">
        <w:rPr>
          <w:rFonts w:ascii="Verdana" w:hAnsi="Verdana"/>
          <w:sz w:val="20"/>
          <w:lang w:val="pt-BR"/>
        </w:rPr>
        <w:t>patrimônio</w:t>
      </w:r>
      <w:r w:rsidR="004756C1" w:rsidRPr="002F50BD">
        <w:rPr>
          <w:rFonts w:ascii="Verdana" w:hAnsi="Verdana"/>
          <w:sz w:val="20"/>
          <w:lang w:val="pt-BR"/>
        </w:rPr>
        <w:t xml:space="preserve"> cultural, histórico, religioso, ideológico, político, prof</w:t>
      </w:r>
      <w:r w:rsidR="0024245D" w:rsidRPr="002F50BD">
        <w:rPr>
          <w:rFonts w:ascii="Verdana" w:hAnsi="Verdana"/>
          <w:sz w:val="20"/>
          <w:lang w:val="pt-BR"/>
        </w:rPr>
        <w:t>is</w:t>
      </w:r>
      <w:r w:rsidR="004756C1" w:rsidRPr="002F50BD">
        <w:rPr>
          <w:rFonts w:ascii="Verdana" w:hAnsi="Verdana"/>
          <w:sz w:val="20"/>
          <w:lang w:val="pt-BR"/>
        </w:rPr>
        <w:t>sional, social</w:t>
      </w:r>
      <w:r w:rsidR="0089298C" w:rsidRPr="002F50BD">
        <w:rPr>
          <w:rFonts w:ascii="Verdana" w:hAnsi="Verdana"/>
          <w:sz w:val="20"/>
          <w:lang w:val="pt-BR"/>
        </w:rPr>
        <w:t xml:space="preserve"> e </w:t>
      </w:r>
      <w:r w:rsidR="00646293" w:rsidRPr="002F50BD">
        <w:rPr>
          <w:rFonts w:ascii="Verdana" w:hAnsi="Verdana"/>
          <w:sz w:val="20"/>
          <w:lang w:val="pt-BR"/>
        </w:rPr>
        <w:t>familiar</w:t>
      </w:r>
      <w:r w:rsidR="004756C1" w:rsidRPr="002F50BD">
        <w:rPr>
          <w:rFonts w:ascii="Verdana" w:hAnsi="Verdana"/>
          <w:sz w:val="20"/>
          <w:lang w:val="pt-BR"/>
        </w:rPr>
        <w:t xml:space="preserve"> de</w:t>
      </w:r>
      <w:r w:rsidR="0089298C" w:rsidRPr="002F50BD">
        <w:rPr>
          <w:rFonts w:ascii="Verdana" w:hAnsi="Verdana"/>
          <w:sz w:val="20"/>
          <w:lang w:val="pt-BR"/>
        </w:rPr>
        <w:t xml:space="preserve"> uma pessoa</w:t>
      </w:r>
      <w:r w:rsidR="004756C1" w:rsidRPr="002F50BD">
        <w:rPr>
          <w:rFonts w:ascii="Verdana" w:hAnsi="Verdana"/>
          <w:sz w:val="20"/>
          <w:lang w:val="pt-BR"/>
        </w:rPr>
        <w:t xml:space="preserve">, </w:t>
      </w:r>
      <w:r w:rsidR="0024245D" w:rsidRPr="002F50BD">
        <w:rPr>
          <w:rFonts w:ascii="Verdana" w:hAnsi="Verdana"/>
          <w:sz w:val="20"/>
          <w:lang w:val="pt-BR"/>
        </w:rPr>
        <w:t xml:space="preserve">de modo </w:t>
      </w:r>
      <w:r w:rsidR="004756C1" w:rsidRPr="002F50BD">
        <w:rPr>
          <w:rFonts w:ascii="Verdana" w:hAnsi="Verdana"/>
          <w:sz w:val="20"/>
          <w:lang w:val="pt-BR"/>
        </w:rPr>
        <w:t>que,</w:t>
      </w:r>
      <w:r w:rsidR="0089298C" w:rsidRPr="002F50BD">
        <w:rPr>
          <w:rFonts w:ascii="Verdana" w:hAnsi="Verdana"/>
          <w:sz w:val="20"/>
          <w:lang w:val="pt-BR"/>
        </w:rPr>
        <w:t xml:space="preserve"> no </w:t>
      </w:r>
      <w:r w:rsidR="004756C1" w:rsidRPr="002F50BD">
        <w:rPr>
          <w:rFonts w:ascii="Verdana" w:hAnsi="Verdana"/>
          <w:sz w:val="20"/>
          <w:lang w:val="pt-BR"/>
        </w:rPr>
        <w:t>presente caso,</w:t>
      </w:r>
      <w:r w:rsidR="0089298C" w:rsidRPr="002F50BD">
        <w:rPr>
          <w:rFonts w:ascii="Verdana" w:hAnsi="Verdana"/>
          <w:sz w:val="20"/>
          <w:lang w:val="pt-BR"/>
        </w:rPr>
        <w:t xml:space="preserve"> ao </w:t>
      </w:r>
      <w:r w:rsidR="0024245D" w:rsidRPr="002F50BD">
        <w:rPr>
          <w:rFonts w:ascii="Verdana" w:hAnsi="Verdana"/>
          <w:sz w:val="20"/>
          <w:lang w:val="pt-BR"/>
        </w:rPr>
        <w:t xml:space="preserve">ser lesada </w:t>
      </w:r>
      <w:r w:rsidR="0089298C" w:rsidRPr="002F50BD">
        <w:rPr>
          <w:rFonts w:ascii="Verdana" w:hAnsi="Verdana"/>
          <w:sz w:val="20"/>
          <w:lang w:val="pt-BR"/>
        </w:rPr>
        <w:t xml:space="preserve">a identidade </w:t>
      </w:r>
      <w:r w:rsidR="004756C1" w:rsidRPr="002F50BD">
        <w:rPr>
          <w:rFonts w:ascii="Verdana" w:hAnsi="Verdana"/>
          <w:sz w:val="20"/>
          <w:lang w:val="pt-BR"/>
        </w:rPr>
        <w:t>cultural</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89298C" w:rsidRPr="002F50BD">
        <w:rPr>
          <w:rFonts w:ascii="Verdana" w:hAnsi="Verdana"/>
          <w:sz w:val="20"/>
          <w:lang w:val="pt-BR"/>
        </w:rPr>
        <w:t>também</w:t>
      </w:r>
      <w:r w:rsidR="004756C1" w:rsidRPr="002F50BD">
        <w:rPr>
          <w:rFonts w:ascii="Verdana" w:hAnsi="Verdana"/>
          <w:sz w:val="20"/>
          <w:lang w:val="pt-BR"/>
        </w:rPr>
        <w:t xml:space="preserve"> </w:t>
      </w:r>
      <w:r w:rsidR="00A157C9">
        <w:rPr>
          <w:rFonts w:ascii="Verdana" w:hAnsi="Verdana"/>
          <w:sz w:val="20"/>
          <w:lang w:val="pt-BR"/>
        </w:rPr>
        <w:t xml:space="preserve">foi lesada </w:t>
      </w:r>
      <w:r w:rsidR="0089298C" w:rsidRPr="002F50BD">
        <w:rPr>
          <w:rFonts w:ascii="Verdana" w:hAnsi="Verdana"/>
          <w:sz w:val="20"/>
          <w:lang w:val="pt-BR"/>
        </w:rPr>
        <w:t>a identidade pessoa</w:t>
      </w:r>
      <w:r w:rsidR="004756C1" w:rsidRPr="002F50BD">
        <w:rPr>
          <w:rFonts w:ascii="Verdana" w:hAnsi="Verdana"/>
          <w:sz w:val="20"/>
          <w:lang w:val="pt-BR"/>
        </w:rPr>
        <w:t xml:space="preserve">l de </w:t>
      </w:r>
      <w:r w:rsidR="004076AD" w:rsidRPr="002F50BD">
        <w:rPr>
          <w:rFonts w:ascii="Verdana" w:hAnsi="Verdana"/>
          <w:sz w:val="20"/>
          <w:lang w:val="pt-BR"/>
        </w:rPr>
        <w:t>cada um</w:t>
      </w:r>
      <w:r w:rsidR="0024245D" w:rsidRPr="002F50BD">
        <w:rPr>
          <w:rFonts w:ascii="Verdana" w:hAnsi="Verdana"/>
          <w:sz w:val="20"/>
          <w:lang w:val="pt-BR"/>
        </w:rPr>
        <w:t xml:space="preserve"> </w:t>
      </w:r>
      <w:r w:rsidR="0089298C" w:rsidRPr="002F50BD">
        <w:rPr>
          <w:rFonts w:ascii="Verdana" w:hAnsi="Verdana"/>
          <w:sz w:val="20"/>
          <w:lang w:val="pt-BR"/>
        </w:rPr>
        <w:t>dos membro</w:t>
      </w:r>
      <w:r w:rsidR="004756C1" w:rsidRPr="002F50BD">
        <w:rPr>
          <w:rFonts w:ascii="Verdana" w:hAnsi="Verdana"/>
          <w:sz w:val="20"/>
          <w:lang w:val="pt-BR"/>
        </w:rPr>
        <w:t>s que</w:t>
      </w:r>
      <w:r w:rsidR="0089298C" w:rsidRPr="002F50BD">
        <w:rPr>
          <w:rFonts w:ascii="Verdana" w:hAnsi="Verdana"/>
          <w:sz w:val="20"/>
          <w:lang w:val="pt-BR"/>
        </w:rPr>
        <w:t xml:space="preserve"> a </w:t>
      </w:r>
      <w:r w:rsidR="0024245D" w:rsidRPr="002F50BD">
        <w:rPr>
          <w:rFonts w:ascii="Verdana" w:hAnsi="Verdana"/>
          <w:sz w:val="20"/>
          <w:lang w:val="pt-BR"/>
        </w:rPr>
        <w:t>integram</w:t>
      </w:r>
      <w:r w:rsidR="00AB454A" w:rsidRPr="002F50BD">
        <w:rPr>
          <w:rFonts w:ascii="Verdana" w:hAnsi="Verdana"/>
          <w:sz w:val="20"/>
          <w:lang w:val="pt-BR"/>
        </w:rPr>
        <w:t xml:space="preserve">. A </w:t>
      </w:r>
      <w:r w:rsidR="004756C1" w:rsidRPr="002F50BD">
        <w:rPr>
          <w:rFonts w:ascii="Verdana" w:hAnsi="Verdana"/>
          <w:sz w:val="20"/>
          <w:lang w:val="pt-BR"/>
        </w:rPr>
        <w:t>Corte,</w:t>
      </w:r>
      <w:r w:rsidR="0089298C" w:rsidRPr="002F50BD">
        <w:rPr>
          <w:rFonts w:ascii="Verdana" w:hAnsi="Verdana"/>
          <w:sz w:val="20"/>
          <w:lang w:val="pt-BR"/>
        </w:rPr>
        <w:t xml:space="preserve"> na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se de</w:t>
      </w:r>
      <w:r w:rsidR="0089298C" w:rsidRPr="002F50BD">
        <w:rPr>
          <w:rFonts w:ascii="Verdana" w:hAnsi="Verdana"/>
          <w:sz w:val="20"/>
          <w:lang w:val="pt-BR"/>
        </w:rPr>
        <w:t xml:space="preserve">teve na questão da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w:t>
      </w:r>
      <w:r w:rsidR="0089298C" w:rsidRPr="002F50BD">
        <w:rPr>
          <w:rFonts w:ascii="Verdana" w:hAnsi="Verdana"/>
          <w:sz w:val="20"/>
          <w:lang w:val="pt-BR"/>
        </w:rPr>
        <w:t xml:space="preserve"> no direito</w:t>
      </w:r>
      <w:r w:rsidR="004756C1" w:rsidRPr="002F50BD">
        <w:rPr>
          <w:rFonts w:ascii="Verdana" w:hAnsi="Verdana"/>
          <w:sz w:val="20"/>
          <w:lang w:val="pt-BR"/>
        </w:rPr>
        <w:t xml:space="preserve"> interno </w:t>
      </w:r>
      <w:r w:rsidR="0024245D"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 xml:space="preserve">o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83</w:t>
      </w:r>
      <w:r w:rsidR="0089298C" w:rsidRPr="002F50BD">
        <w:rPr>
          <w:rFonts w:ascii="Verdana" w:hAnsi="Verdana"/>
          <w:sz w:val="20"/>
          <w:lang w:val="pt-BR"/>
        </w:rPr>
        <w:t xml:space="preserve"> e </w:t>
      </w:r>
      <w:r w:rsidRPr="002F50BD">
        <w:rPr>
          <w:rFonts w:ascii="Verdana" w:hAnsi="Verdana"/>
          <w:sz w:val="20"/>
          <w:lang w:val="pt-BR"/>
        </w:rPr>
        <w:t>84</w:t>
      </w:r>
      <w:r w:rsidR="00CF451D" w:rsidRPr="00CF451D">
        <w:rPr>
          <w:rFonts w:ascii="Verdana" w:hAnsi="Verdana"/>
          <w:sz w:val="20"/>
          <w:lang w:val="pt-BR"/>
        </w:rPr>
        <w:t>)</w:t>
      </w:r>
      <w:r w:rsidR="004756C1" w:rsidRPr="002F50BD">
        <w:rPr>
          <w:rFonts w:ascii="Verdana" w:hAnsi="Verdana"/>
          <w:sz w:val="20"/>
          <w:lang w:val="pt-BR"/>
        </w:rPr>
        <w:t>; entendemos que</w:t>
      </w:r>
      <w:r w:rsidR="007F0C83" w:rsidRPr="002F50BD">
        <w:rPr>
          <w:rFonts w:ascii="Verdana" w:hAnsi="Verdana"/>
          <w:sz w:val="20"/>
          <w:lang w:val="pt-BR"/>
        </w:rPr>
        <w:t>,</w:t>
      </w:r>
      <w:r w:rsidR="004756C1" w:rsidRPr="002F50BD">
        <w:rPr>
          <w:rFonts w:ascii="Verdana" w:hAnsi="Verdana"/>
          <w:sz w:val="20"/>
          <w:lang w:val="pt-BR"/>
        </w:rPr>
        <w:t xml:space="preserve"> </w:t>
      </w:r>
      <w:r w:rsidR="0024245D" w:rsidRPr="002F50BD">
        <w:rPr>
          <w:rFonts w:ascii="Verdana" w:hAnsi="Verdana"/>
          <w:sz w:val="20"/>
          <w:lang w:val="pt-BR"/>
        </w:rPr>
        <w:t xml:space="preserve">além </w:t>
      </w:r>
      <w:r w:rsidR="0089298C" w:rsidRPr="002F50BD">
        <w:rPr>
          <w:rFonts w:ascii="Verdana" w:hAnsi="Verdana"/>
          <w:sz w:val="20"/>
          <w:lang w:val="pt-BR"/>
        </w:rPr>
        <w:t>dessa questão</w:t>
      </w:r>
      <w:r w:rsidR="007F0C83"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 xml:space="preserve">há </w:t>
      </w:r>
      <w:r w:rsidR="0024245D" w:rsidRPr="002F50BD">
        <w:rPr>
          <w:rFonts w:ascii="Verdana" w:hAnsi="Verdana"/>
          <w:sz w:val="20"/>
          <w:lang w:val="pt-BR"/>
        </w:rPr>
        <w:t xml:space="preserve">de se </w:t>
      </w:r>
      <w:r w:rsidR="0089298C" w:rsidRPr="002F50BD">
        <w:rPr>
          <w:rFonts w:ascii="Verdana" w:hAnsi="Verdana"/>
          <w:sz w:val="20"/>
          <w:lang w:val="pt-BR"/>
        </w:rPr>
        <w:t>ter sempre</w:t>
      </w:r>
      <w:r w:rsidR="004756C1" w:rsidRPr="002F50BD">
        <w:rPr>
          <w:rFonts w:ascii="Verdana" w:hAnsi="Verdana"/>
          <w:sz w:val="20"/>
          <w:lang w:val="pt-BR"/>
        </w:rPr>
        <w:t xml:space="preserve"> presente,</w:t>
      </w:r>
      <w:r w:rsidR="0089298C" w:rsidRPr="002F50BD">
        <w:rPr>
          <w:rFonts w:ascii="Verdana" w:hAnsi="Verdana"/>
          <w:sz w:val="20"/>
          <w:lang w:val="pt-BR"/>
        </w:rPr>
        <w:t xml:space="preserve"> em um </w:t>
      </w:r>
      <w:r w:rsidR="004756C1" w:rsidRPr="002F50BD">
        <w:rPr>
          <w:rFonts w:ascii="Verdana" w:hAnsi="Verdana"/>
          <w:sz w:val="20"/>
          <w:lang w:val="pt-BR"/>
        </w:rPr>
        <w:t>plano distinto,</w:t>
      </w:r>
      <w:r w:rsidR="0089298C" w:rsidRPr="002F50BD">
        <w:rPr>
          <w:rFonts w:ascii="Verdana" w:hAnsi="Verdana"/>
          <w:sz w:val="20"/>
          <w:lang w:val="pt-BR"/>
        </w:rPr>
        <w:t xml:space="preserve"> a personalidade </w:t>
      </w:r>
      <w:r w:rsidR="004756C1" w:rsidRPr="002F50BD">
        <w:rPr>
          <w:rFonts w:ascii="Verdana" w:hAnsi="Verdana"/>
          <w:sz w:val="20"/>
          <w:lang w:val="pt-BR"/>
        </w:rPr>
        <w:t xml:space="preserve">jurídica de </w:t>
      </w:r>
      <w:r w:rsidR="004076AD" w:rsidRPr="002F50BD">
        <w:rPr>
          <w:rFonts w:ascii="Verdana" w:hAnsi="Verdana"/>
          <w:sz w:val="20"/>
          <w:lang w:val="pt-BR"/>
        </w:rPr>
        <w:t>cada um</w:t>
      </w:r>
      <w:r w:rsidR="0024245D" w:rsidRPr="002F50BD">
        <w:rPr>
          <w:rFonts w:ascii="Verdana" w:hAnsi="Verdana"/>
          <w:sz w:val="20"/>
          <w:lang w:val="pt-BR"/>
        </w:rPr>
        <w:t xml:space="preserve"> </w:t>
      </w:r>
      <w:r w:rsidR="0089298C" w:rsidRPr="002F50BD">
        <w:rPr>
          <w:rFonts w:ascii="Verdana" w:hAnsi="Verdana"/>
          <w:sz w:val="20"/>
          <w:lang w:val="pt-BR"/>
        </w:rPr>
        <w:t>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no </w:t>
      </w:r>
      <w:r w:rsidR="00CF451D">
        <w:rPr>
          <w:rFonts w:ascii="Verdana" w:hAnsi="Verdana"/>
          <w:sz w:val="20"/>
          <w:lang w:val="pt-BR"/>
        </w:rPr>
        <w:t>Direito Internacional dos Direitos Humanos</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particular</w:t>
      </w:r>
      <w:r w:rsidR="0089298C" w:rsidRPr="002F50BD">
        <w:rPr>
          <w:rFonts w:ascii="Verdana" w:hAnsi="Verdana"/>
          <w:sz w:val="20"/>
          <w:lang w:val="pt-BR"/>
        </w:rPr>
        <w:t xml:space="preserve"> </w:t>
      </w:r>
      <w:r w:rsidR="007F0C83" w:rsidRPr="002F50BD">
        <w:rPr>
          <w:rFonts w:ascii="Verdana" w:hAnsi="Verdana"/>
          <w:sz w:val="20"/>
          <w:lang w:val="pt-BR"/>
        </w:rPr>
        <w:t>à luz d</w:t>
      </w:r>
      <w:r w:rsidR="0089298C" w:rsidRPr="002F50BD">
        <w:rPr>
          <w:rFonts w:ascii="Verdana" w:hAnsi="Verdana"/>
          <w:sz w:val="20"/>
          <w:lang w:val="pt-BR"/>
        </w:rPr>
        <w:t xml:space="preserve">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6</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w:t>
      </w:r>
      <w:r w:rsidR="004756C1" w:rsidRPr="002F50BD">
        <w:rPr>
          <w:rFonts w:ascii="Verdana" w:hAnsi="Verdana"/>
          <w:sz w:val="20"/>
          <w:lang w:val="pt-BR"/>
        </w:rPr>
        <w:t>presente caso,</w:t>
      </w:r>
      <w:r w:rsidR="0089298C" w:rsidRPr="002F50BD">
        <w:rPr>
          <w:rFonts w:ascii="Verdana" w:hAnsi="Verdana"/>
          <w:sz w:val="20"/>
          <w:lang w:val="pt-BR"/>
        </w:rPr>
        <w:t xml:space="preserve"> o que </w:t>
      </w:r>
      <w:r w:rsidR="004756C1" w:rsidRPr="002F50BD">
        <w:rPr>
          <w:rFonts w:ascii="Verdana" w:hAnsi="Verdana"/>
          <w:sz w:val="20"/>
          <w:lang w:val="pt-BR"/>
        </w:rPr>
        <w:t xml:space="preserve">escapa </w:t>
      </w:r>
      <w:r w:rsidR="0024245D" w:rsidRPr="002F50BD">
        <w:rPr>
          <w:rFonts w:ascii="Verdana" w:hAnsi="Verdana"/>
          <w:sz w:val="20"/>
          <w:lang w:val="pt-BR"/>
        </w:rPr>
        <w:t>à</w:t>
      </w:r>
      <w:r w:rsidR="004756C1" w:rsidRPr="002F50BD">
        <w:rPr>
          <w:rFonts w:ascii="Verdana" w:hAnsi="Verdana"/>
          <w:sz w:val="20"/>
          <w:lang w:val="pt-BR"/>
        </w:rPr>
        <w:t xml:space="preserve"> </w:t>
      </w:r>
      <w:r w:rsidR="0089298C" w:rsidRPr="002F50BD">
        <w:rPr>
          <w:rFonts w:ascii="Verdana" w:hAnsi="Verdana"/>
          <w:sz w:val="20"/>
          <w:lang w:val="pt-BR"/>
        </w:rPr>
        <w:t>nossa</w:t>
      </w:r>
      <w:r w:rsidR="004756C1" w:rsidRPr="002F50BD">
        <w:rPr>
          <w:rFonts w:ascii="Verdana" w:hAnsi="Verdana"/>
          <w:sz w:val="20"/>
          <w:lang w:val="pt-BR"/>
        </w:rPr>
        <w:t xml:space="preserve"> </w:t>
      </w:r>
      <w:r w:rsidR="0089298C" w:rsidRPr="002F50BD">
        <w:rPr>
          <w:rFonts w:ascii="Verdana" w:hAnsi="Verdana"/>
          <w:sz w:val="20"/>
          <w:lang w:val="pt-BR"/>
        </w:rPr>
        <w:t xml:space="preserve">compreensão é </w:t>
      </w:r>
      <w:r w:rsidR="004756C1" w:rsidRPr="002F50BD">
        <w:rPr>
          <w:rFonts w:ascii="Verdana" w:hAnsi="Verdana"/>
          <w:sz w:val="20"/>
          <w:lang w:val="pt-BR"/>
        </w:rPr>
        <w:t>que</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depois</w:t>
      </w:r>
      <w:r w:rsidR="004756C1" w:rsidRPr="002F50BD">
        <w:rPr>
          <w:rFonts w:ascii="Verdana" w:hAnsi="Verdana"/>
          <w:sz w:val="20"/>
          <w:lang w:val="pt-BR"/>
        </w:rPr>
        <w:t xml:space="preserve"> de </w:t>
      </w:r>
      <w:r w:rsidR="0089298C" w:rsidRPr="002F50BD">
        <w:rPr>
          <w:rFonts w:ascii="Verdana" w:hAnsi="Verdana"/>
          <w:sz w:val="20"/>
          <w:lang w:val="pt-BR"/>
        </w:rPr>
        <w:t>ter</w:t>
      </w:r>
      <w:r w:rsidR="004756C1" w:rsidRPr="002F50BD">
        <w:rPr>
          <w:rFonts w:ascii="Verdana" w:hAnsi="Verdana"/>
          <w:sz w:val="20"/>
          <w:lang w:val="pt-BR"/>
        </w:rPr>
        <w:t xml:space="preserve"> </w:t>
      </w:r>
      <w:r w:rsidR="0089298C" w:rsidRPr="002F50BD">
        <w:rPr>
          <w:rFonts w:ascii="Verdana" w:hAnsi="Verdana"/>
          <w:sz w:val="20"/>
          <w:lang w:val="pt-BR"/>
        </w:rPr>
        <w:t>estabelecid</w:t>
      </w:r>
      <w:r w:rsidR="004756C1" w:rsidRPr="002F50BD">
        <w:rPr>
          <w:rFonts w:ascii="Verdana" w:hAnsi="Verdana"/>
          <w:sz w:val="20"/>
          <w:lang w:val="pt-BR"/>
        </w:rPr>
        <w:t>o</w:t>
      </w:r>
      <w:r w:rsidR="0089298C" w:rsidRPr="002F50BD">
        <w:rPr>
          <w:rFonts w:ascii="Verdana" w:hAnsi="Verdana"/>
          <w:sz w:val="20"/>
          <w:lang w:val="pt-BR"/>
        </w:rPr>
        <w:t xml:space="preserve"> uma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 nos termo</w:t>
      </w:r>
      <w:r w:rsidR="004756C1" w:rsidRPr="002F50BD">
        <w:rPr>
          <w:rFonts w:ascii="Verdana" w:hAnsi="Verdana"/>
          <w:sz w:val="20"/>
          <w:lang w:val="pt-BR"/>
        </w:rPr>
        <w:t xml:space="preserve">s anteriormente mencionados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3</w:t>
      </w:r>
      <w:r w:rsidR="004756C1" w:rsidRPr="002F50BD">
        <w:rPr>
          <w:rFonts w:ascii="Verdana" w:hAnsi="Verdana"/>
          <w:sz w:val="20"/>
          <w:lang w:val="pt-BR"/>
        </w:rPr>
        <w:t xml:space="preserve">, </w:t>
      </w:r>
      <w:r w:rsidR="004756C1" w:rsidRPr="002F50BD">
        <w:rPr>
          <w:rFonts w:ascii="Verdana" w:hAnsi="Verdana"/>
          <w:i/>
          <w:sz w:val="20"/>
          <w:lang w:val="pt-BR"/>
        </w:rPr>
        <w:t>supra</w:t>
      </w:r>
      <w:r w:rsidR="00CF451D" w:rsidRPr="00CF451D">
        <w:rPr>
          <w:rFonts w:ascii="Verdana" w:hAnsi="Verdana"/>
          <w:sz w:val="20"/>
          <w:lang w:val="pt-BR"/>
        </w:rPr>
        <w:t>)</w:t>
      </w:r>
      <w:r w:rsidR="004756C1" w:rsidRPr="002F50BD">
        <w:rPr>
          <w:rFonts w:ascii="Verdana" w:hAnsi="Verdana"/>
          <w:sz w:val="20"/>
          <w:lang w:val="pt-BR"/>
        </w:rPr>
        <w:t xml:space="preserve">, </w:t>
      </w:r>
      <w:r w:rsidR="0024245D" w:rsidRPr="002F50BD">
        <w:rPr>
          <w:rFonts w:ascii="Verdana" w:hAnsi="Verdana"/>
          <w:sz w:val="20"/>
          <w:lang w:val="pt-BR"/>
        </w:rPr>
        <w:t xml:space="preserve">considerou </w:t>
      </w:r>
      <w:r w:rsidR="004756C1" w:rsidRPr="002F50BD">
        <w:rPr>
          <w:rFonts w:ascii="Verdana" w:hAnsi="Verdana"/>
          <w:sz w:val="20"/>
          <w:lang w:val="pt-BR"/>
        </w:rPr>
        <w:t>que n</w:t>
      </w:r>
      <w:r w:rsidR="0024245D"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 xml:space="preserve">contava com </w:t>
      </w:r>
      <w:r w:rsidR="004756C1" w:rsidRPr="002F50BD">
        <w:rPr>
          <w:rFonts w:ascii="Verdana" w:hAnsi="Verdana"/>
          <w:sz w:val="20"/>
          <w:lang w:val="pt-BR"/>
        </w:rPr>
        <w:t xml:space="preserve">“elementos </w:t>
      </w:r>
      <w:r w:rsidR="0089298C" w:rsidRPr="002F50BD">
        <w:rPr>
          <w:rFonts w:ascii="Verdana" w:hAnsi="Verdana"/>
          <w:sz w:val="20"/>
          <w:lang w:val="pt-BR"/>
        </w:rPr>
        <w:t>probatório</w:t>
      </w:r>
      <w:r w:rsidR="004756C1" w:rsidRPr="002F50BD">
        <w:rPr>
          <w:rFonts w:ascii="Verdana" w:hAnsi="Verdana"/>
          <w:sz w:val="20"/>
          <w:lang w:val="pt-BR"/>
        </w:rPr>
        <w:t xml:space="preserve">s suficientes para </w:t>
      </w:r>
      <w:r w:rsidR="0089298C" w:rsidRPr="002F50BD">
        <w:rPr>
          <w:rFonts w:ascii="Verdana" w:hAnsi="Verdana"/>
          <w:sz w:val="20"/>
          <w:lang w:val="pt-BR"/>
        </w:rPr>
        <w:t xml:space="preserve">demonstrar 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w:t>
      </w:r>
      <w:r w:rsidR="0089298C" w:rsidRPr="002F50BD">
        <w:rPr>
          <w:rFonts w:ascii="Verdana" w:hAnsi="Verdana"/>
          <w:sz w:val="20"/>
          <w:lang w:val="pt-BR"/>
        </w:rPr>
        <w:t xml:space="preserve"> em prejuízo</w:t>
      </w:r>
      <w:r w:rsidR="004756C1" w:rsidRPr="002F50BD">
        <w:rPr>
          <w:rFonts w:ascii="Verdana" w:hAnsi="Verdana"/>
          <w:sz w:val="20"/>
          <w:lang w:val="pt-BR"/>
        </w:rPr>
        <w:t xml:space="preserve"> de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indígena Yakye Axa, que </w:t>
      </w:r>
      <w:r w:rsidR="0089298C" w:rsidRPr="002F50BD">
        <w:rPr>
          <w:rFonts w:ascii="Verdana" w:hAnsi="Verdana"/>
          <w:sz w:val="20"/>
          <w:lang w:val="pt-BR"/>
        </w:rPr>
        <w:t>efetiv</w:t>
      </w:r>
      <w:r w:rsidR="004756C1" w:rsidRPr="002F50BD">
        <w:rPr>
          <w:rFonts w:ascii="Verdana" w:hAnsi="Verdana"/>
          <w:sz w:val="20"/>
          <w:lang w:val="pt-BR"/>
        </w:rPr>
        <w:t xml:space="preserve">amente </w:t>
      </w:r>
      <w:r w:rsidR="0089298C" w:rsidRPr="002F50BD">
        <w:rPr>
          <w:rFonts w:ascii="Verdana" w:hAnsi="Verdana"/>
          <w:sz w:val="20"/>
          <w:lang w:val="pt-BR"/>
        </w:rPr>
        <w:t xml:space="preserve">faleceram nas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supracitadas,</w:t>
      </w:r>
      <w:r w:rsidR="0089298C" w:rsidRPr="002F50BD">
        <w:rPr>
          <w:rFonts w:ascii="Verdana" w:hAnsi="Verdana"/>
          <w:sz w:val="20"/>
          <w:lang w:val="pt-BR"/>
        </w:rPr>
        <w:t xml:space="preserve"> </w:t>
      </w:r>
      <w:r w:rsidR="0024245D" w:rsidRPr="002F50BD">
        <w:rPr>
          <w:rFonts w:ascii="Verdana" w:hAnsi="Verdana"/>
          <w:sz w:val="20"/>
          <w:lang w:val="pt-BR"/>
        </w:rPr>
        <w:t>isto é</w:t>
      </w:r>
      <w:r w:rsidR="004756C1" w:rsidRPr="002F50BD">
        <w:rPr>
          <w:rFonts w:ascii="Verdana" w:hAnsi="Verdana"/>
          <w:sz w:val="20"/>
          <w:lang w:val="pt-BR"/>
        </w:rPr>
        <w:t xml:space="preserve">, </w:t>
      </w:r>
      <w:r w:rsidR="0089298C" w:rsidRPr="002F50BD">
        <w:rPr>
          <w:rFonts w:ascii="Verdana" w:hAnsi="Verdana"/>
          <w:sz w:val="20"/>
          <w:lang w:val="pt-BR"/>
        </w:rPr>
        <w:t>vivendo</w:t>
      </w:r>
      <w:r w:rsidR="004756C1" w:rsidRPr="002F50BD">
        <w:rPr>
          <w:rFonts w:ascii="Verdana" w:hAnsi="Verdana"/>
          <w:sz w:val="20"/>
          <w:lang w:val="pt-BR"/>
        </w:rPr>
        <w:t>, o</w:t>
      </w:r>
      <w:r w:rsidR="0024245D" w:rsidRPr="002F50BD">
        <w:rPr>
          <w:rFonts w:ascii="Verdana" w:hAnsi="Verdana"/>
          <w:sz w:val="20"/>
          <w:lang w:val="pt-BR"/>
        </w:rPr>
        <w:t>u</w:t>
      </w:r>
      <w:r w:rsidR="004756C1" w:rsidRPr="002F50BD">
        <w:rPr>
          <w:rFonts w:ascii="Verdana" w:hAnsi="Verdana"/>
          <w:sz w:val="20"/>
          <w:lang w:val="pt-BR"/>
        </w:rPr>
        <w:t xml:space="preserve"> sobre</w:t>
      </w:r>
      <w:r w:rsidR="0089298C" w:rsidRPr="002F50BD">
        <w:rPr>
          <w:rFonts w:ascii="Verdana" w:hAnsi="Verdana"/>
          <w:sz w:val="20"/>
          <w:lang w:val="pt-BR"/>
        </w:rPr>
        <w:t>vivendo</w:t>
      </w:r>
      <w:r w:rsidR="004756C1" w:rsidRPr="002F50BD">
        <w:rPr>
          <w:rFonts w:ascii="Verdana" w:hAnsi="Verdana"/>
          <w:sz w:val="20"/>
          <w:lang w:val="pt-BR"/>
        </w:rPr>
        <w:t xml:space="preserve">, </w:t>
      </w:r>
      <w:r w:rsidR="0024245D" w:rsidRPr="002F50BD">
        <w:rPr>
          <w:rFonts w:ascii="Verdana" w:hAnsi="Verdana"/>
          <w:sz w:val="20"/>
          <w:lang w:val="pt-BR"/>
        </w:rPr>
        <w:t xml:space="preserve">numa beira de </w:t>
      </w:r>
      <w:r w:rsidR="00A25859" w:rsidRPr="002F50BD">
        <w:rPr>
          <w:rFonts w:ascii="Verdana" w:hAnsi="Verdana"/>
          <w:sz w:val="20"/>
          <w:lang w:val="pt-BR"/>
        </w:rPr>
        <w:t xml:space="preserve">estrada entre Pozo </w:t>
      </w:r>
      <w:r w:rsidR="004756C1" w:rsidRPr="002F50BD">
        <w:rPr>
          <w:rFonts w:ascii="Verdana" w:hAnsi="Verdana"/>
          <w:sz w:val="20"/>
          <w:lang w:val="pt-BR"/>
        </w:rPr>
        <w:t>Colorado</w:t>
      </w:r>
      <w:r w:rsidR="0089298C" w:rsidRPr="002F50BD">
        <w:rPr>
          <w:rFonts w:ascii="Verdana" w:hAnsi="Verdana"/>
          <w:sz w:val="20"/>
          <w:lang w:val="pt-BR"/>
        </w:rPr>
        <w:t xml:space="preserve"> e </w:t>
      </w:r>
      <w:r w:rsidR="00313394" w:rsidRPr="002F50BD">
        <w:rPr>
          <w:rFonts w:ascii="Verdana" w:hAnsi="Verdana"/>
          <w:sz w:val="20"/>
          <w:lang w:val="pt-BR"/>
        </w:rPr>
        <w:t>Concepción</w:t>
      </w:r>
      <w:r w:rsidR="004756C1" w:rsidRPr="002F50BD">
        <w:rPr>
          <w:rFonts w:ascii="Verdana" w:hAnsi="Verdana"/>
          <w:sz w:val="20"/>
          <w:lang w:val="pt-BR"/>
        </w:rPr>
        <w:t xml:space="preserve">, </w:t>
      </w:r>
      <w:r w:rsidR="0089298C" w:rsidRPr="002F50BD">
        <w:rPr>
          <w:rFonts w:ascii="Verdana" w:hAnsi="Verdana"/>
          <w:sz w:val="20"/>
          <w:lang w:val="pt-BR"/>
        </w:rPr>
        <w:t>fora</w:t>
      </w:r>
      <w:r w:rsidR="004756C1" w:rsidRPr="002F50BD">
        <w:rPr>
          <w:rFonts w:ascii="Verdana" w:hAnsi="Verdana"/>
          <w:sz w:val="20"/>
          <w:lang w:val="pt-BR"/>
        </w:rPr>
        <w:t xml:space="preserve"> </w:t>
      </w:r>
      <w:r w:rsidR="0089298C" w:rsidRPr="002F50BD">
        <w:rPr>
          <w:rFonts w:ascii="Verdana" w:hAnsi="Verdana"/>
          <w:sz w:val="20"/>
          <w:lang w:val="pt-BR"/>
        </w:rPr>
        <w:t>do território</w:t>
      </w:r>
      <w:r w:rsidR="0024245D" w:rsidRPr="002F50BD">
        <w:rPr>
          <w:rFonts w:ascii="Verdana" w:hAnsi="Verdana"/>
          <w:sz w:val="20"/>
          <w:lang w:val="pt-BR"/>
        </w:rPr>
        <w:t xml:space="preserve"> que reclamam</w:t>
      </w:r>
      <w:r w:rsidR="004756C1" w:rsidRPr="002F50BD">
        <w:rPr>
          <w:rFonts w:ascii="Verdana" w:hAnsi="Verdana"/>
          <w:sz w:val="20"/>
          <w:lang w:val="pt-BR"/>
        </w:rPr>
        <w:t xml:space="preserve"> como ancestral.</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7</w:t>
      </w:r>
      <w:r w:rsidR="00243D2E" w:rsidRPr="002F50BD">
        <w:rPr>
          <w:rFonts w:ascii="Verdana" w:hAnsi="Verdana"/>
          <w:sz w:val="20"/>
          <w:lang w:val="pt-BR"/>
        </w:rPr>
        <w:t>.</w:t>
      </w:r>
      <w:r w:rsidR="00243D2E" w:rsidRPr="002F50BD">
        <w:rPr>
          <w:rFonts w:ascii="Verdana" w:hAnsi="Verdana"/>
          <w:sz w:val="20"/>
          <w:lang w:val="pt-BR"/>
        </w:rPr>
        <w:tab/>
        <w:t>A</w:t>
      </w:r>
      <w:r w:rsidR="004756C1"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juízo</w:t>
      </w:r>
      <w:r w:rsidR="004756C1" w:rsidRPr="002F50BD">
        <w:rPr>
          <w:rFonts w:ascii="Verdana" w:hAnsi="Verdana"/>
          <w:sz w:val="20"/>
          <w:lang w:val="pt-BR"/>
        </w:rPr>
        <w:t>,</w:t>
      </w:r>
      <w:r w:rsidR="0089298C" w:rsidRPr="002F50BD">
        <w:rPr>
          <w:rFonts w:ascii="Verdana" w:hAnsi="Verdana"/>
          <w:sz w:val="20"/>
          <w:lang w:val="pt-BR"/>
        </w:rPr>
        <w:t xml:space="preserve"> a morte</w:t>
      </w:r>
      <w:r w:rsidR="004756C1" w:rsidRPr="002F50BD">
        <w:rPr>
          <w:rFonts w:ascii="Verdana" w:hAnsi="Verdana"/>
          <w:sz w:val="20"/>
          <w:lang w:val="pt-BR"/>
        </w:rPr>
        <w:t xml:space="preserve"> de </w:t>
      </w:r>
      <w:r w:rsidR="0089298C" w:rsidRPr="002F50BD">
        <w:rPr>
          <w:rFonts w:ascii="Verdana" w:hAnsi="Verdana"/>
          <w:sz w:val="20"/>
          <w:lang w:val="pt-BR"/>
        </w:rPr>
        <w:t>algumas</w:t>
      </w:r>
      <w:r w:rsidR="004756C1" w:rsidRPr="002F50BD">
        <w:rPr>
          <w:rFonts w:ascii="Verdana" w:hAnsi="Verdana"/>
          <w:sz w:val="20"/>
          <w:lang w:val="pt-BR"/>
        </w:rPr>
        <w:t xml:space="preserve"> </w:t>
      </w:r>
      <w:r w:rsidR="0089298C" w:rsidRPr="002F50BD">
        <w:rPr>
          <w:rFonts w:ascii="Verdana" w:hAnsi="Verdana"/>
          <w:sz w:val="20"/>
          <w:lang w:val="pt-BR"/>
        </w:rPr>
        <w:t>dessas pessoa</w:t>
      </w:r>
      <w:r w:rsidR="004756C1" w:rsidRPr="002F50BD">
        <w:rPr>
          <w:rFonts w:ascii="Verdana" w:hAnsi="Verdana"/>
          <w:sz w:val="20"/>
          <w:lang w:val="pt-BR"/>
        </w:rPr>
        <w:t xml:space="preserve">s </w:t>
      </w:r>
      <w:r w:rsidR="00CF451D" w:rsidRPr="00CF451D">
        <w:rPr>
          <w:rFonts w:ascii="Verdana" w:hAnsi="Verdana"/>
          <w:sz w:val="20"/>
          <w:lang w:val="pt-BR"/>
        </w:rPr>
        <w:t>(</w:t>
      </w:r>
      <w:r w:rsidR="004756C1" w:rsidRPr="00A157C9">
        <w:rPr>
          <w:rFonts w:ascii="Verdana" w:hAnsi="Verdana"/>
          <w:i/>
          <w:sz w:val="20"/>
          <w:lang w:val="pt-BR"/>
        </w:rPr>
        <w:t>cf</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8</w:t>
      </w:r>
      <w:r w:rsidR="004756C1" w:rsidRPr="002F50BD">
        <w:rPr>
          <w:rFonts w:ascii="Verdana" w:hAnsi="Verdana"/>
          <w:sz w:val="20"/>
          <w:lang w:val="pt-BR"/>
        </w:rPr>
        <w:t xml:space="preserve"> </w:t>
      </w:r>
      <w:r w:rsidR="004756C1" w:rsidRPr="002F50BD">
        <w:rPr>
          <w:rFonts w:ascii="Verdana" w:hAnsi="Verdana"/>
          <w:i/>
          <w:sz w:val="20"/>
          <w:lang w:val="pt-BR"/>
        </w:rPr>
        <w:t>infra</w:t>
      </w:r>
      <w:r w:rsidR="00CF451D" w:rsidRPr="00CF451D">
        <w:rPr>
          <w:rFonts w:ascii="Verdana" w:hAnsi="Verdana"/>
          <w:sz w:val="20"/>
          <w:lang w:val="pt-BR"/>
        </w:rPr>
        <w:t>)</w:t>
      </w:r>
      <w:r w:rsidR="004756C1" w:rsidRPr="002F50BD">
        <w:rPr>
          <w:rFonts w:ascii="Verdana" w:hAnsi="Verdana"/>
          <w:sz w:val="20"/>
          <w:lang w:val="pt-BR"/>
        </w:rPr>
        <w:t xml:space="preserve">, a partir </w:t>
      </w:r>
      <w:r w:rsidR="0089298C" w:rsidRPr="002F50BD">
        <w:rPr>
          <w:rFonts w:ascii="Verdana" w:hAnsi="Verdana"/>
          <w:sz w:val="20"/>
          <w:lang w:val="pt-BR"/>
        </w:rPr>
        <w:t>do próprio</w:t>
      </w:r>
      <w:r w:rsidR="004756C1" w:rsidRPr="002F50BD">
        <w:rPr>
          <w:rFonts w:ascii="Verdana" w:hAnsi="Verdana"/>
          <w:sz w:val="20"/>
          <w:lang w:val="pt-BR"/>
        </w:rPr>
        <w:t xml:space="preserve"> </w:t>
      </w:r>
      <w:r w:rsidR="0024245D" w:rsidRPr="002F50BD">
        <w:rPr>
          <w:rFonts w:ascii="Verdana" w:hAnsi="Verdana"/>
          <w:sz w:val="20"/>
          <w:lang w:val="pt-BR"/>
        </w:rPr>
        <w:t xml:space="preserve">raciocício </w:t>
      </w:r>
      <w:r w:rsidR="0089298C" w:rsidRPr="002F50BD">
        <w:rPr>
          <w:rFonts w:ascii="Verdana" w:hAnsi="Verdana"/>
          <w:sz w:val="20"/>
          <w:lang w:val="pt-BR"/>
        </w:rPr>
        <w:t xml:space="preserve">da </w:t>
      </w:r>
      <w:r w:rsidR="004756C1" w:rsidRPr="002F50BD">
        <w:rPr>
          <w:rFonts w:ascii="Verdana" w:hAnsi="Verdana"/>
          <w:sz w:val="20"/>
          <w:lang w:val="pt-BR"/>
        </w:rPr>
        <w:t>Corte,</w:t>
      </w:r>
      <w:r w:rsidR="0089298C" w:rsidRPr="002F50BD">
        <w:rPr>
          <w:rFonts w:ascii="Verdana" w:hAnsi="Verdana"/>
          <w:sz w:val="20"/>
          <w:lang w:val="pt-BR"/>
        </w:rPr>
        <w:t xml:space="preserve"> em </w:t>
      </w:r>
      <w:r w:rsidR="004756C1" w:rsidRPr="002F50BD">
        <w:rPr>
          <w:rFonts w:ascii="Verdana" w:hAnsi="Verdana"/>
          <w:sz w:val="20"/>
          <w:lang w:val="pt-BR"/>
        </w:rPr>
        <w:t xml:space="preserve">lugar de </w:t>
      </w:r>
      <w:r w:rsidR="0089298C" w:rsidRPr="002F50BD">
        <w:rPr>
          <w:rFonts w:ascii="Verdana" w:hAnsi="Verdana"/>
          <w:sz w:val="20"/>
          <w:lang w:val="pt-BR"/>
        </w:rPr>
        <w:t xml:space="preserve">requerer um padrão mais </w:t>
      </w:r>
      <w:r w:rsidR="004756C1" w:rsidRPr="002F50BD">
        <w:rPr>
          <w:rFonts w:ascii="Verdana" w:hAnsi="Verdana"/>
          <w:sz w:val="20"/>
          <w:lang w:val="pt-BR"/>
        </w:rPr>
        <w:t xml:space="preserve">alto de </w:t>
      </w:r>
      <w:r w:rsidR="0089298C" w:rsidRPr="002F50BD">
        <w:rPr>
          <w:rFonts w:ascii="Verdana" w:hAnsi="Verdana"/>
          <w:sz w:val="20"/>
          <w:lang w:val="pt-BR"/>
        </w:rPr>
        <w:t>comprovação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nexo causal </w:t>
      </w:r>
      <w:r w:rsidR="0089298C" w:rsidRPr="002F50BD">
        <w:rPr>
          <w:rFonts w:ascii="Verdana" w:hAnsi="Verdana"/>
          <w:sz w:val="20"/>
          <w:lang w:val="pt-BR"/>
        </w:rPr>
        <w:t xml:space="preserve">do </w:t>
      </w:r>
      <w:r w:rsidR="00367FD1" w:rsidRPr="002F50BD">
        <w:rPr>
          <w:rFonts w:ascii="Verdana" w:hAnsi="Verdana"/>
          <w:sz w:val="20"/>
          <w:lang w:val="pt-BR"/>
        </w:rPr>
        <w:t>falecimento</w:t>
      </w:r>
      <w:r w:rsidR="004756C1" w:rsidRPr="002F50BD">
        <w:rPr>
          <w:rFonts w:ascii="Verdana" w:hAnsi="Verdana"/>
          <w:sz w:val="20"/>
          <w:lang w:val="pt-BR"/>
        </w:rPr>
        <w:t xml:space="preserve"> </w:t>
      </w:r>
      <w:r w:rsidR="0089298C" w:rsidRPr="002F50BD">
        <w:rPr>
          <w:rFonts w:ascii="Verdana" w:hAnsi="Verdana"/>
          <w:sz w:val="20"/>
          <w:lang w:val="pt-BR"/>
        </w:rPr>
        <w:t>dessas pessoa</w:t>
      </w:r>
      <w:r w:rsidR="004756C1" w:rsidRPr="002F50BD">
        <w:rPr>
          <w:rFonts w:ascii="Verdana" w:hAnsi="Verdana"/>
          <w:sz w:val="20"/>
          <w:lang w:val="pt-BR"/>
        </w:rPr>
        <w:t>s, como lamenta</w:t>
      </w:r>
      <w:r w:rsidR="0089298C" w:rsidRPr="002F50BD">
        <w:rPr>
          <w:rFonts w:ascii="Verdana" w:hAnsi="Verdana"/>
          <w:sz w:val="20"/>
          <w:lang w:val="pt-BR"/>
        </w:rPr>
        <w:t xml:space="preserve">velmente </w:t>
      </w:r>
      <w:r w:rsidR="004756C1" w:rsidRPr="002F50BD">
        <w:rPr>
          <w:rFonts w:ascii="Verdana" w:hAnsi="Verdana"/>
          <w:sz w:val="20"/>
          <w:lang w:val="pt-BR"/>
        </w:rPr>
        <w:t>entend</w:t>
      </w:r>
      <w:r w:rsidR="0024245D" w:rsidRPr="002F50BD">
        <w:rPr>
          <w:rFonts w:ascii="Verdana" w:hAnsi="Verdana"/>
          <w:sz w:val="20"/>
          <w:lang w:val="pt-BR"/>
        </w:rPr>
        <w:t>eu</w:t>
      </w:r>
      <w:r w:rsidR="0089298C" w:rsidRPr="002F50BD">
        <w:rPr>
          <w:rFonts w:ascii="Verdana" w:hAnsi="Verdana"/>
          <w:sz w:val="20"/>
          <w:lang w:val="pt-BR"/>
        </w:rPr>
        <w:t xml:space="preserve"> a maioria da </w:t>
      </w:r>
      <w:r w:rsidR="004756C1" w:rsidRPr="002F50BD">
        <w:rPr>
          <w:rFonts w:ascii="Verdana" w:hAnsi="Verdana"/>
          <w:sz w:val="20"/>
          <w:lang w:val="pt-BR"/>
        </w:rPr>
        <w:t xml:space="preserve">Corte, </w:t>
      </w:r>
      <w:r w:rsidR="0089298C" w:rsidRPr="002F50BD">
        <w:rPr>
          <w:rFonts w:ascii="Verdana" w:hAnsi="Verdana"/>
          <w:sz w:val="20"/>
          <w:lang w:val="pt-BR"/>
        </w:rPr>
        <w:t>constitui</w:t>
      </w:r>
      <w:r w:rsidR="004756C1" w:rsidRPr="002F50BD">
        <w:rPr>
          <w:rFonts w:ascii="Verdana" w:hAnsi="Verdana"/>
          <w:sz w:val="20"/>
          <w:lang w:val="pt-BR"/>
        </w:rPr>
        <w:t xml:space="preserve">, </w:t>
      </w:r>
      <w:r w:rsidR="0089298C" w:rsidRPr="002F50BD">
        <w:rPr>
          <w:rFonts w:ascii="Verdana" w:hAnsi="Verdana"/>
          <w:sz w:val="20"/>
          <w:lang w:val="pt-BR"/>
        </w:rPr>
        <w:t xml:space="preserve">ao </w:t>
      </w:r>
      <w:r w:rsidR="004076AD" w:rsidRPr="002F50BD">
        <w:rPr>
          <w:rFonts w:ascii="Verdana" w:hAnsi="Verdana"/>
          <w:sz w:val="20"/>
          <w:lang w:val="pt-BR"/>
        </w:rPr>
        <w:t>contrário,</w:t>
      </w:r>
      <w:r w:rsidR="0089298C" w:rsidRPr="002F50BD">
        <w:rPr>
          <w:rFonts w:ascii="Verdana" w:hAnsi="Verdana"/>
          <w:sz w:val="20"/>
          <w:lang w:val="pt-BR"/>
        </w:rPr>
        <w:t xml:space="preserve"> uma </w:t>
      </w:r>
      <w:r w:rsidR="00AB454A" w:rsidRPr="002F50BD">
        <w:rPr>
          <w:rFonts w:ascii="Verdana" w:hAnsi="Verdana"/>
          <w:sz w:val="20"/>
          <w:lang w:val="pt-BR"/>
        </w:rPr>
        <w:t>ci</w:t>
      </w:r>
      <w:r w:rsidR="0024245D" w:rsidRPr="002F50BD">
        <w:rPr>
          <w:rFonts w:ascii="Verdana" w:hAnsi="Verdana"/>
          <w:sz w:val="20"/>
          <w:lang w:val="pt-BR"/>
        </w:rPr>
        <w:t>r</w:t>
      </w:r>
      <w:r w:rsidR="00AB454A" w:rsidRPr="002F50BD">
        <w:rPr>
          <w:rFonts w:ascii="Verdana" w:hAnsi="Verdana"/>
          <w:sz w:val="20"/>
          <w:lang w:val="pt-BR"/>
        </w:rPr>
        <w:t>cunstância</w:t>
      </w:r>
      <w:r w:rsidR="004756C1" w:rsidRPr="002F50BD">
        <w:rPr>
          <w:rFonts w:ascii="Verdana" w:hAnsi="Verdana"/>
          <w:sz w:val="20"/>
          <w:lang w:val="pt-BR"/>
        </w:rPr>
        <w:t xml:space="preserve"> agravante</w:t>
      </w:r>
      <w:r w:rsidR="0089298C" w:rsidRPr="002F50BD">
        <w:rPr>
          <w:rFonts w:ascii="Verdana" w:hAnsi="Verdana"/>
          <w:sz w:val="20"/>
          <w:lang w:val="pt-BR"/>
        </w:rPr>
        <w:t xml:space="preserve"> da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 xml:space="preserve">vida </w:t>
      </w:r>
      <w:r w:rsidR="00CF451D" w:rsidRPr="00CF451D">
        <w:rPr>
          <w:rFonts w:ascii="Verdana" w:hAnsi="Verdana"/>
          <w:sz w:val="20"/>
          <w:lang w:val="pt-BR"/>
        </w:rPr>
        <w:t>(</w:t>
      </w:r>
      <w:r w:rsidR="0089298C"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CF451D" w:rsidRPr="00CF451D">
        <w:rPr>
          <w:rFonts w:ascii="Verdana" w:hAnsi="Verdana"/>
          <w:sz w:val="20"/>
          <w:lang w:val="pt-BR"/>
        </w:rPr>
        <w:t>)</w:t>
      </w:r>
      <w:r w:rsidR="0089298C" w:rsidRPr="002F50BD">
        <w:rPr>
          <w:rFonts w:ascii="Verdana" w:hAnsi="Verdana"/>
          <w:sz w:val="20"/>
          <w:lang w:val="pt-BR"/>
        </w:rPr>
        <w:t>,</w:t>
      </w:r>
      <w:r w:rsidR="004076AD" w:rsidRPr="002F50BD">
        <w:rPr>
          <w:rFonts w:ascii="Verdana" w:hAnsi="Verdana"/>
          <w:sz w:val="20"/>
          <w:lang w:val="pt-BR"/>
        </w:rPr>
        <w:t xml:space="preserve"> já </w:t>
      </w:r>
      <w:r w:rsidR="0089298C" w:rsidRPr="002F50BD">
        <w:rPr>
          <w:rFonts w:ascii="Verdana" w:hAnsi="Verdana"/>
          <w:sz w:val="20"/>
          <w:lang w:val="pt-BR"/>
        </w:rPr>
        <w:t>estabelecid</w:t>
      </w:r>
      <w:r w:rsidR="004756C1" w:rsidRPr="002F50BD">
        <w:rPr>
          <w:rFonts w:ascii="Verdana" w:hAnsi="Verdana"/>
          <w:sz w:val="20"/>
          <w:lang w:val="pt-BR"/>
        </w:rPr>
        <w:t>a</w:t>
      </w:r>
      <w:r w:rsidR="0089298C" w:rsidRPr="002F50BD">
        <w:rPr>
          <w:rFonts w:ascii="Verdana" w:hAnsi="Verdana"/>
          <w:sz w:val="20"/>
          <w:lang w:val="pt-BR"/>
        </w:rPr>
        <w:t xml:space="preserve"> pela própria </w:t>
      </w:r>
      <w:r w:rsidR="004756C1" w:rsidRPr="002F50BD">
        <w:rPr>
          <w:rFonts w:ascii="Verdana" w:hAnsi="Verdana"/>
          <w:sz w:val="20"/>
          <w:lang w:val="pt-BR"/>
        </w:rPr>
        <w:t>Corte.</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8</w:t>
      </w:r>
      <w:r w:rsidR="004756C1" w:rsidRPr="002F50BD">
        <w:rPr>
          <w:rFonts w:ascii="Verdana" w:hAnsi="Verdana"/>
          <w:sz w:val="20"/>
          <w:lang w:val="pt-BR"/>
        </w:rPr>
        <w:t>.</w:t>
      </w:r>
      <w:r w:rsidR="004756C1" w:rsidRPr="002F50BD">
        <w:rPr>
          <w:rFonts w:ascii="Verdana" w:hAnsi="Verdana"/>
          <w:sz w:val="20"/>
          <w:lang w:val="pt-BR"/>
        </w:rPr>
        <w:tab/>
      </w:r>
      <w:r w:rsidR="0024245D" w:rsidRPr="002F50BD">
        <w:rPr>
          <w:rFonts w:ascii="Verdana" w:hAnsi="Verdana"/>
          <w:sz w:val="20"/>
          <w:lang w:val="pt-BR"/>
        </w:rPr>
        <w:t>Com</w:t>
      </w:r>
      <w:r w:rsidR="004756C1" w:rsidRPr="002F50BD">
        <w:rPr>
          <w:rFonts w:ascii="Verdana" w:hAnsi="Verdana"/>
          <w:sz w:val="20"/>
          <w:lang w:val="pt-BR"/>
        </w:rPr>
        <w:t xml:space="preserve"> </w:t>
      </w:r>
      <w:r w:rsidR="0089298C" w:rsidRPr="002F50BD">
        <w:rPr>
          <w:rFonts w:ascii="Verdana" w:hAnsi="Verdana"/>
          <w:sz w:val="20"/>
          <w:lang w:val="pt-BR"/>
        </w:rPr>
        <w:t>efeito</w:t>
      </w:r>
      <w:r w:rsidR="004756C1" w:rsidRPr="002F50BD">
        <w:rPr>
          <w:rFonts w:ascii="Verdana" w:hAnsi="Verdana"/>
          <w:sz w:val="20"/>
          <w:lang w:val="pt-BR"/>
        </w:rPr>
        <w:t>,</w:t>
      </w:r>
      <w:r w:rsidR="0089298C" w:rsidRPr="002F50BD">
        <w:rPr>
          <w:rFonts w:ascii="Verdana" w:hAnsi="Verdana"/>
          <w:sz w:val="20"/>
          <w:lang w:val="pt-BR"/>
        </w:rPr>
        <w:t xml:space="preserve"> da </w:t>
      </w:r>
      <w:r w:rsidR="0024245D" w:rsidRPr="002F50BD">
        <w:rPr>
          <w:rFonts w:ascii="Verdana" w:hAnsi="Verdana"/>
          <w:sz w:val="20"/>
          <w:lang w:val="pt-BR"/>
        </w:rPr>
        <w:t>lista que se detalh</w:t>
      </w:r>
      <w:r w:rsidR="004756C1" w:rsidRPr="002F50BD">
        <w:rPr>
          <w:rFonts w:ascii="Verdana" w:hAnsi="Verdana"/>
          <w:sz w:val="20"/>
          <w:lang w:val="pt-BR"/>
        </w:rPr>
        <w:t xml:space="preserve">a a </w:t>
      </w:r>
      <w:r w:rsidR="0024245D" w:rsidRPr="002F50BD">
        <w:rPr>
          <w:rFonts w:ascii="Verdana" w:hAnsi="Verdana"/>
          <w:sz w:val="20"/>
          <w:lang w:val="pt-BR"/>
        </w:rPr>
        <w:t>seguir</w:t>
      </w:r>
      <w:r w:rsidR="004756C1" w:rsidRPr="002F50BD">
        <w:rPr>
          <w:rFonts w:ascii="Verdana" w:hAnsi="Verdana"/>
          <w:sz w:val="20"/>
          <w:lang w:val="pt-BR"/>
        </w:rPr>
        <w:t xml:space="preserve">, </w:t>
      </w:r>
      <w:r w:rsidR="00A157C9">
        <w:rPr>
          <w:rFonts w:ascii="Verdana" w:hAnsi="Verdana"/>
          <w:sz w:val="20"/>
          <w:lang w:val="pt-BR"/>
        </w:rPr>
        <w:t>é</w:t>
      </w:r>
      <w:r w:rsidR="0089298C" w:rsidRPr="002F50BD">
        <w:rPr>
          <w:rFonts w:ascii="Verdana" w:hAnsi="Verdana"/>
          <w:sz w:val="20"/>
          <w:lang w:val="pt-BR"/>
        </w:rPr>
        <w:t xml:space="preserve"> </w:t>
      </w:r>
      <w:r w:rsidR="004756C1" w:rsidRPr="002F50BD">
        <w:rPr>
          <w:rFonts w:ascii="Verdana" w:hAnsi="Verdana"/>
          <w:sz w:val="20"/>
          <w:lang w:val="pt-BR"/>
        </w:rPr>
        <w:t xml:space="preserve">evidente </w:t>
      </w:r>
      <w:r w:rsidR="0089298C" w:rsidRPr="002F50BD">
        <w:rPr>
          <w:rFonts w:ascii="Verdana" w:hAnsi="Verdana"/>
          <w:sz w:val="20"/>
          <w:lang w:val="pt-BR"/>
        </w:rPr>
        <w:t>nossa</w:t>
      </w:r>
      <w:r w:rsidR="004756C1" w:rsidRPr="002F50BD">
        <w:rPr>
          <w:rFonts w:ascii="Verdana" w:hAnsi="Verdana"/>
          <w:sz w:val="20"/>
          <w:lang w:val="pt-BR"/>
        </w:rPr>
        <w:t xml:space="preserve"> afirma</w:t>
      </w:r>
      <w:r w:rsidR="0089298C" w:rsidRPr="002F50BD">
        <w:rPr>
          <w:rFonts w:ascii="Verdana" w:hAnsi="Verdana"/>
          <w:sz w:val="20"/>
          <w:lang w:val="pt-BR"/>
        </w:rPr>
        <w:t>ção</w:t>
      </w:r>
      <w:r w:rsidR="004756C1" w:rsidRPr="002F50BD">
        <w:rPr>
          <w:rFonts w:ascii="Verdana" w:hAnsi="Verdana"/>
          <w:sz w:val="20"/>
          <w:lang w:val="pt-BR"/>
        </w:rPr>
        <w:t xml:space="preserve"> anterior,</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243D2E" w:rsidRPr="002F50BD">
        <w:rPr>
          <w:rFonts w:ascii="Verdana" w:hAnsi="Verdana"/>
          <w:sz w:val="20"/>
          <w:lang w:val="pt-BR"/>
        </w:rPr>
        <w:t>a</w:t>
      </w:r>
      <w:r w:rsidR="0089298C" w:rsidRPr="002F50BD">
        <w:rPr>
          <w:rFonts w:ascii="Verdana" w:hAnsi="Verdana"/>
          <w:sz w:val="20"/>
          <w:lang w:val="pt-BR"/>
        </w:rPr>
        <w:t xml:space="preserve"> </w:t>
      </w:r>
      <w:r w:rsidR="00A157C9">
        <w:rPr>
          <w:rFonts w:ascii="Verdana" w:hAnsi="Verdana"/>
          <w:sz w:val="20"/>
          <w:lang w:val="pt-BR"/>
        </w:rPr>
        <w:t>10</w:t>
      </w:r>
      <w:r w:rsidR="0089298C" w:rsidRPr="002F50BD">
        <w:rPr>
          <w:rFonts w:ascii="Verdana" w:hAnsi="Verdana"/>
          <w:sz w:val="20"/>
          <w:lang w:val="pt-BR"/>
        </w:rPr>
        <w:t xml:space="preserve"> dos </w:t>
      </w:r>
      <w:r w:rsidR="00CF451D">
        <w:rPr>
          <w:rFonts w:ascii="Verdana" w:hAnsi="Verdana"/>
          <w:sz w:val="20"/>
          <w:lang w:val="pt-BR"/>
        </w:rPr>
        <w:t>16</w:t>
      </w:r>
      <w:r w:rsidR="004756C1" w:rsidRPr="002F50BD">
        <w:rPr>
          <w:rFonts w:ascii="Verdana" w:hAnsi="Verdana"/>
          <w:sz w:val="20"/>
          <w:lang w:val="pt-BR"/>
        </w:rPr>
        <w:t xml:space="preserve"> </w:t>
      </w:r>
      <w:r w:rsidR="0089298C" w:rsidRPr="002F50BD">
        <w:rPr>
          <w:rFonts w:ascii="Verdana" w:hAnsi="Verdana"/>
          <w:sz w:val="20"/>
          <w:lang w:val="pt-BR"/>
        </w:rPr>
        <w:t>morto</w:t>
      </w:r>
      <w:r w:rsidR="004756C1" w:rsidRPr="002F50BD">
        <w:rPr>
          <w:rFonts w:ascii="Verdana" w:hAnsi="Verdana"/>
          <w:sz w:val="20"/>
          <w:lang w:val="pt-BR"/>
        </w:rPr>
        <w:t>s</w:t>
      </w:r>
      <w:r w:rsidR="0024245D" w:rsidRPr="002F50BD">
        <w:rPr>
          <w:rFonts w:ascii="Verdana" w:hAnsi="Verdana"/>
          <w:sz w:val="20"/>
          <w:lang w:val="pt-BR"/>
        </w:rPr>
        <w:t>,</w:t>
      </w:r>
      <w:r w:rsidR="004756C1" w:rsidRPr="002F50BD">
        <w:rPr>
          <w:rStyle w:val="FootnoteReference"/>
          <w:rFonts w:ascii="Verdana" w:hAnsi="Verdana"/>
        </w:rPr>
        <w:footnoteReference w:id="230"/>
      </w:r>
      <w:r w:rsidR="004756C1" w:rsidRPr="002F50BD">
        <w:rPr>
          <w:rFonts w:ascii="Verdana" w:hAnsi="Verdana"/>
          <w:sz w:val="20"/>
          <w:lang w:val="pt-BR"/>
        </w:rPr>
        <w:t xml:space="preserve"> </w:t>
      </w:r>
      <w:r w:rsidR="0089298C" w:rsidRPr="002F50BD">
        <w:rPr>
          <w:rFonts w:ascii="Verdana" w:hAnsi="Verdana"/>
          <w:sz w:val="20"/>
          <w:lang w:val="pt-BR"/>
        </w:rPr>
        <w:t>a respeito dos quais</w:t>
      </w:r>
      <w:r w:rsidR="004756C1" w:rsidRPr="002F50BD">
        <w:rPr>
          <w:rFonts w:ascii="Verdana" w:hAnsi="Verdana"/>
          <w:sz w:val="20"/>
          <w:lang w:val="pt-BR"/>
        </w:rPr>
        <w:t xml:space="preserve"> n</w:t>
      </w:r>
      <w:r w:rsidR="0024245D" w:rsidRPr="002F50BD">
        <w:rPr>
          <w:rFonts w:ascii="Verdana" w:hAnsi="Verdana"/>
          <w:sz w:val="20"/>
          <w:lang w:val="pt-BR"/>
        </w:rPr>
        <w:t>ã</w:t>
      </w:r>
      <w:r w:rsidR="004756C1" w:rsidRPr="002F50BD">
        <w:rPr>
          <w:rFonts w:ascii="Verdana" w:hAnsi="Verdana"/>
          <w:sz w:val="20"/>
          <w:lang w:val="pt-BR"/>
        </w:rPr>
        <w:t xml:space="preserve">o existe, </w:t>
      </w:r>
      <w:r w:rsidR="00243D2E"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juízo</w:t>
      </w:r>
      <w:r w:rsidR="004756C1" w:rsidRPr="002F50BD">
        <w:rPr>
          <w:rFonts w:ascii="Verdana" w:hAnsi="Verdana"/>
          <w:sz w:val="20"/>
          <w:lang w:val="pt-BR"/>
        </w:rPr>
        <w:t xml:space="preserve">, </w:t>
      </w:r>
      <w:r w:rsidR="0089298C" w:rsidRPr="002F50BD">
        <w:rPr>
          <w:rFonts w:ascii="Verdana" w:hAnsi="Verdana"/>
          <w:sz w:val="20"/>
          <w:lang w:val="pt-BR"/>
        </w:rPr>
        <w:t>dúvida</w:t>
      </w:r>
      <w:r w:rsidR="004756C1" w:rsidRPr="002F50BD">
        <w:rPr>
          <w:rFonts w:ascii="Verdana" w:hAnsi="Verdana"/>
          <w:sz w:val="20"/>
          <w:lang w:val="pt-BR"/>
        </w:rPr>
        <w:t xml:space="preserve"> </w:t>
      </w:r>
      <w:r w:rsidR="0089298C" w:rsidRPr="002F50BD">
        <w:rPr>
          <w:rFonts w:ascii="Verdana" w:hAnsi="Verdana"/>
          <w:sz w:val="20"/>
          <w:lang w:val="pt-BR"/>
        </w:rPr>
        <w:t>alguma</w:t>
      </w:r>
      <w:r w:rsidR="004756C1" w:rsidRPr="002F50BD">
        <w:rPr>
          <w:rFonts w:ascii="Verdana" w:hAnsi="Verdana"/>
          <w:sz w:val="20"/>
          <w:lang w:val="pt-BR"/>
        </w:rPr>
        <w:t xml:space="preserve"> </w:t>
      </w:r>
      <w:r w:rsidR="0024245D" w:rsidRPr="002F50BD">
        <w:rPr>
          <w:rFonts w:ascii="Verdana" w:hAnsi="Verdana"/>
          <w:sz w:val="20"/>
          <w:lang w:val="pt-BR"/>
        </w:rPr>
        <w:t xml:space="preserve">de </w:t>
      </w:r>
      <w:r w:rsidR="004756C1" w:rsidRPr="002F50BD">
        <w:rPr>
          <w:rFonts w:ascii="Verdana" w:hAnsi="Verdana"/>
          <w:sz w:val="20"/>
          <w:lang w:val="pt-BR"/>
        </w:rPr>
        <w:t xml:space="preserve">que </w:t>
      </w:r>
      <w:r w:rsidR="0089298C" w:rsidRPr="002F50BD">
        <w:rPr>
          <w:rFonts w:ascii="Verdana" w:hAnsi="Verdana"/>
          <w:sz w:val="20"/>
          <w:lang w:val="pt-BR"/>
        </w:rPr>
        <w:t>faleceram</w:t>
      </w:r>
      <w:r w:rsidR="004756C1" w:rsidRPr="002F50BD">
        <w:rPr>
          <w:rFonts w:ascii="Verdana" w:hAnsi="Verdana"/>
          <w:sz w:val="20"/>
          <w:lang w:val="pt-BR"/>
        </w:rPr>
        <w:t xml:space="preserve"> por falta de </w:t>
      </w:r>
      <w:r w:rsidR="0089298C" w:rsidRPr="002F50BD">
        <w:rPr>
          <w:rFonts w:ascii="Verdana" w:hAnsi="Verdana"/>
          <w:sz w:val="20"/>
          <w:lang w:val="pt-BR"/>
        </w:rPr>
        <w:t>atenção</w:t>
      </w:r>
      <w:r w:rsidR="004756C1" w:rsidRPr="002F50BD">
        <w:rPr>
          <w:rFonts w:ascii="Verdana" w:hAnsi="Verdana"/>
          <w:sz w:val="20"/>
          <w:lang w:val="pt-BR"/>
        </w:rPr>
        <w:t xml:space="preserve"> médica</w:t>
      </w:r>
      <w:r w:rsidR="0089298C" w:rsidRPr="002F50BD">
        <w:rPr>
          <w:rFonts w:ascii="Verdana" w:hAnsi="Verdana"/>
          <w:sz w:val="20"/>
          <w:lang w:val="pt-BR"/>
        </w:rPr>
        <w:t xml:space="preserve"> e </w:t>
      </w:r>
      <w:r w:rsidR="004756C1" w:rsidRPr="002F50BD">
        <w:rPr>
          <w:rFonts w:ascii="Verdana" w:hAnsi="Verdana"/>
          <w:sz w:val="20"/>
          <w:lang w:val="pt-BR"/>
        </w:rPr>
        <w:t xml:space="preserve">como </w:t>
      </w:r>
      <w:r w:rsidR="0089298C" w:rsidRPr="002F50BD">
        <w:rPr>
          <w:rFonts w:ascii="Verdana" w:hAnsi="Verdana"/>
          <w:sz w:val="20"/>
          <w:lang w:val="pt-BR"/>
        </w:rPr>
        <w:t>consequência</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a</w:t>
      </w:r>
      <w:r w:rsidR="0089298C" w:rsidRPr="002F50BD">
        <w:rPr>
          <w:rFonts w:ascii="Verdana" w:hAnsi="Verdana"/>
          <w:sz w:val="20"/>
          <w:lang w:val="pt-BR"/>
        </w:rPr>
        <w:t xml:space="preserve"> das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indig</w:t>
      </w:r>
      <w:r w:rsidR="0024245D" w:rsidRPr="002F50BD">
        <w:rPr>
          <w:rFonts w:ascii="Verdana" w:hAnsi="Verdana"/>
          <w:sz w:val="20"/>
          <w:lang w:val="pt-BR"/>
        </w:rPr>
        <w:t>ê</w:t>
      </w:r>
      <w:r w:rsidR="004756C1" w:rsidRPr="002F50BD">
        <w:rPr>
          <w:rFonts w:ascii="Verdana" w:hAnsi="Verdana"/>
          <w:sz w:val="20"/>
          <w:lang w:val="pt-BR"/>
        </w:rPr>
        <w:t>ncia total</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0089298C" w:rsidRPr="002F50BD">
        <w:rPr>
          <w:rFonts w:ascii="Verdana" w:hAnsi="Verdana"/>
          <w:sz w:val="20"/>
          <w:lang w:val="pt-BR"/>
        </w:rPr>
        <w:t>verdadeir</w:t>
      </w:r>
      <w:r w:rsidR="004756C1" w:rsidRPr="002F50BD">
        <w:rPr>
          <w:rFonts w:ascii="Verdana" w:hAnsi="Verdana"/>
          <w:sz w:val="20"/>
          <w:lang w:val="pt-BR"/>
        </w:rPr>
        <w:t xml:space="preserve">amente </w:t>
      </w:r>
      <w:r w:rsidR="0024245D" w:rsidRPr="002F50BD">
        <w:rPr>
          <w:rFonts w:ascii="Verdana" w:hAnsi="Verdana"/>
          <w:sz w:val="20"/>
          <w:lang w:val="pt-BR"/>
        </w:rPr>
        <w:t>desumanas</w:t>
      </w:r>
      <w:r w:rsidR="004756C1" w:rsidRPr="002F50BD">
        <w:rPr>
          <w:rFonts w:ascii="Verdana" w:hAnsi="Verdana"/>
          <w:sz w:val="20"/>
          <w:lang w:val="pt-BR"/>
        </w:rPr>
        <w:t>,</w:t>
      </w:r>
      <w:r w:rsidR="0089298C" w:rsidRPr="002F50BD">
        <w:rPr>
          <w:rFonts w:ascii="Verdana" w:hAnsi="Verdana"/>
          <w:sz w:val="20"/>
          <w:lang w:val="pt-BR"/>
        </w:rPr>
        <w:t xml:space="preserve"> nas </w:t>
      </w:r>
      <w:r w:rsidR="0024245D" w:rsidRPr="002F50BD">
        <w:rPr>
          <w:rFonts w:ascii="Verdana" w:hAnsi="Verdana"/>
          <w:sz w:val="20"/>
          <w:lang w:val="pt-BR"/>
        </w:rPr>
        <w:t>quais</w:t>
      </w:r>
      <w:r w:rsidR="004756C1" w:rsidRPr="002F50BD">
        <w:rPr>
          <w:rFonts w:ascii="Verdana" w:hAnsi="Verdana"/>
          <w:sz w:val="20"/>
          <w:lang w:val="pt-BR"/>
        </w:rPr>
        <w:t xml:space="preserve"> </w:t>
      </w:r>
      <w:r w:rsidR="00CD7100" w:rsidRPr="002F50BD">
        <w:rPr>
          <w:rFonts w:ascii="Verdana" w:hAnsi="Verdana"/>
          <w:sz w:val="20"/>
          <w:lang w:val="pt-BR"/>
        </w:rPr>
        <w:t>viviam</w:t>
      </w:r>
      <w:r w:rsidR="004756C1" w:rsidRPr="002F50BD">
        <w:rPr>
          <w:rFonts w:ascii="Verdana" w:hAnsi="Verdana"/>
          <w:sz w:val="20"/>
          <w:lang w:val="pt-BR"/>
        </w:rPr>
        <w:t>, o</w:t>
      </w:r>
      <w:r w:rsidR="0024245D" w:rsidRPr="002F50BD">
        <w:rPr>
          <w:rFonts w:ascii="Verdana" w:hAnsi="Verdana"/>
          <w:sz w:val="20"/>
          <w:lang w:val="pt-BR"/>
        </w:rPr>
        <w:t>u</w:t>
      </w:r>
      <w:r w:rsidR="004756C1" w:rsidRPr="002F50BD">
        <w:rPr>
          <w:rFonts w:ascii="Verdana" w:hAnsi="Verdana"/>
          <w:sz w:val="20"/>
          <w:lang w:val="pt-BR"/>
        </w:rPr>
        <w:t xml:space="preserve"> sobre</w:t>
      </w:r>
      <w:r w:rsidR="00CD7100" w:rsidRPr="002F50BD">
        <w:rPr>
          <w:rFonts w:ascii="Verdana" w:hAnsi="Verdana"/>
          <w:sz w:val="20"/>
          <w:lang w:val="pt-BR"/>
        </w:rPr>
        <w:t>viviam</w:t>
      </w:r>
      <w:r w:rsidR="004756C1" w:rsidRPr="002F50BD">
        <w:rPr>
          <w:rFonts w:ascii="Verdana" w:hAnsi="Verdana"/>
          <w:sz w:val="20"/>
          <w:lang w:val="pt-BR"/>
        </w:rPr>
        <w:t>:</w:t>
      </w:r>
    </w:p>
    <w:p w:rsidR="004756C1" w:rsidRPr="002F50BD" w:rsidRDefault="004756C1">
      <w:pPr>
        <w:pStyle w:val="BodyText"/>
        <w:ind w:left="720" w:right="720"/>
        <w:rPr>
          <w:rFonts w:ascii="Verdana" w:hAnsi="Verdana"/>
          <w:b/>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1</w:t>
      </w:r>
      <w:r w:rsidR="00CF451D" w:rsidRPr="00CF451D">
        <w:rPr>
          <w:rFonts w:ascii="Verdana" w:hAnsi="Verdana"/>
          <w:sz w:val="16"/>
          <w:lang w:val="pt-BR"/>
        </w:rPr>
        <w:t>)</w:t>
      </w:r>
      <w:r w:rsidR="004756C1" w:rsidRPr="002F50BD">
        <w:rPr>
          <w:rFonts w:ascii="Verdana" w:hAnsi="Verdana"/>
          <w:sz w:val="16"/>
          <w:lang w:val="pt-BR"/>
        </w:rPr>
        <w:tab/>
        <w:t xml:space="preserve">Griselda Flores </w:t>
      </w:r>
      <w:r w:rsidR="00CF451D" w:rsidRPr="00CF451D">
        <w:rPr>
          <w:rFonts w:ascii="Verdana" w:hAnsi="Verdana"/>
          <w:sz w:val="16"/>
          <w:lang w:val="pt-BR"/>
        </w:rPr>
        <w:t>(</w:t>
      </w:r>
      <w:r w:rsidRPr="002F50BD">
        <w:rPr>
          <w:rFonts w:ascii="Verdana" w:hAnsi="Verdana"/>
          <w:sz w:val="16"/>
          <w:lang w:val="pt-BR"/>
        </w:rPr>
        <w:t>2</w:t>
      </w:r>
      <w:r w:rsidR="004756C1" w:rsidRPr="002F50BD">
        <w:rPr>
          <w:rFonts w:ascii="Verdana" w:hAnsi="Verdana"/>
          <w:sz w:val="16"/>
          <w:lang w:val="pt-BR"/>
        </w:rPr>
        <w:t xml:space="preserve"> </w:t>
      </w:r>
      <w:r w:rsidR="0089298C" w:rsidRPr="002F50BD">
        <w:rPr>
          <w:rFonts w:ascii="Verdana" w:hAnsi="Verdana"/>
          <w:sz w:val="16"/>
          <w:lang w:val="pt-BR"/>
        </w:rPr>
        <w:t>anos</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em </w:t>
      </w:r>
      <w:r w:rsidRPr="002F50BD">
        <w:rPr>
          <w:rFonts w:ascii="Verdana" w:hAnsi="Verdana"/>
          <w:sz w:val="16"/>
          <w:lang w:val="pt-BR"/>
        </w:rPr>
        <w:t>2</w:t>
      </w:r>
      <w:r w:rsidR="004756C1" w:rsidRPr="002F50BD">
        <w:rPr>
          <w:rFonts w:ascii="Verdana" w:hAnsi="Verdana"/>
          <w:sz w:val="16"/>
          <w:lang w:val="pt-BR"/>
        </w:rPr>
        <w:t xml:space="preserve"> de </w:t>
      </w:r>
      <w:r w:rsidR="0089298C" w:rsidRPr="002F50BD">
        <w:rPr>
          <w:rFonts w:ascii="Verdana" w:hAnsi="Verdana"/>
          <w:sz w:val="16"/>
          <w:lang w:val="pt-BR"/>
        </w:rPr>
        <w:t>março</w:t>
      </w:r>
      <w:r w:rsidR="004756C1" w:rsidRPr="002F50BD">
        <w:rPr>
          <w:rFonts w:ascii="Verdana" w:hAnsi="Verdana"/>
          <w:sz w:val="16"/>
          <w:lang w:val="pt-BR"/>
        </w:rPr>
        <w:t xml:space="preserve"> de </w:t>
      </w:r>
      <w:r w:rsidRPr="002F50BD">
        <w:rPr>
          <w:rFonts w:ascii="Verdana" w:hAnsi="Verdana"/>
          <w:sz w:val="16"/>
          <w:lang w:val="pt-BR"/>
        </w:rPr>
        <w:t>1997</w:t>
      </w:r>
      <w:r w:rsidR="004756C1" w:rsidRPr="002F50BD">
        <w:rPr>
          <w:rFonts w:ascii="Verdana" w:hAnsi="Verdana"/>
          <w:sz w:val="16"/>
          <w:lang w:val="pt-BR"/>
        </w:rPr>
        <w:t xml:space="preserve"> de </w:t>
      </w:r>
      <w:r w:rsidR="00367FD1" w:rsidRPr="002F50BD">
        <w:rPr>
          <w:rFonts w:ascii="Verdana" w:hAnsi="Verdana"/>
          <w:sz w:val="16"/>
          <w:lang w:val="pt-BR"/>
        </w:rPr>
        <w:t>disenteria</w:t>
      </w:r>
      <w:r w:rsidR="0024245D" w:rsidRPr="002F50BD">
        <w:rPr>
          <w:rFonts w:ascii="Verdana" w:hAnsi="Verdana"/>
          <w:sz w:val="16"/>
          <w:lang w:val="pt-BR"/>
        </w:rPr>
        <w:t xml:space="preserve"> </w:t>
      </w:r>
      <w:r w:rsidR="0089298C" w:rsidRPr="002F50BD">
        <w:rPr>
          <w:rFonts w:ascii="Verdana" w:hAnsi="Verdana"/>
          <w:sz w:val="16"/>
          <w:lang w:val="pt-BR"/>
        </w:rPr>
        <w:t>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atenção</w:t>
      </w:r>
      <w:r w:rsidR="004756C1" w:rsidRPr="002F50BD">
        <w:rPr>
          <w:rFonts w:ascii="Verdana" w:hAnsi="Verdana"/>
          <w:sz w:val="16"/>
          <w:lang w:val="pt-BR"/>
        </w:rPr>
        <w:t xml:space="preserve"> 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2</w:t>
      </w:r>
      <w:r w:rsidR="00CF451D" w:rsidRPr="00CF451D">
        <w:rPr>
          <w:rFonts w:ascii="Verdana" w:hAnsi="Verdana"/>
          <w:sz w:val="16"/>
          <w:lang w:val="pt-BR"/>
        </w:rPr>
        <w:t>)</w:t>
      </w:r>
      <w:r w:rsidR="004756C1" w:rsidRPr="002F50BD">
        <w:rPr>
          <w:rFonts w:ascii="Verdana" w:hAnsi="Verdana"/>
          <w:sz w:val="16"/>
          <w:lang w:val="pt-BR"/>
        </w:rPr>
        <w:tab/>
        <w:t xml:space="preserve">Alcides Morel Chávez </w:t>
      </w:r>
      <w:r w:rsidR="00CF451D" w:rsidRPr="00CF451D">
        <w:rPr>
          <w:rFonts w:ascii="Verdana" w:hAnsi="Verdana"/>
          <w:sz w:val="16"/>
          <w:lang w:val="pt-BR"/>
        </w:rPr>
        <w:t>(</w:t>
      </w:r>
      <w:r w:rsidRPr="002F50BD">
        <w:rPr>
          <w:rFonts w:ascii="Verdana" w:hAnsi="Verdana"/>
          <w:sz w:val="16"/>
          <w:lang w:val="pt-BR"/>
        </w:rPr>
        <w:t>6</w:t>
      </w:r>
      <w:r w:rsidR="004756C1" w:rsidRPr="002F50BD">
        <w:rPr>
          <w:rFonts w:ascii="Verdana" w:hAnsi="Verdana"/>
          <w:sz w:val="16"/>
          <w:lang w:val="pt-BR"/>
        </w:rPr>
        <w:t xml:space="preserve"> </w:t>
      </w:r>
      <w:r w:rsidR="0089298C" w:rsidRPr="002F50BD">
        <w:rPr>
          <w:rFonts w:ascii="Verdana" w:hAnsi="Verdana"/>
          <w:sz w:val="16"/>
          <w:lang w:val="pt-BR"/>
        </w:rPr>
        <w:t>anos</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no mês </w:t>
      </w:r>
      <w:r w:rsidR="004756C1" w:rsidRPr="002F50BD">
        <w:rPr>
          <w:rFonts w:ascii="Verdana" w:hAnsi="Verdana"/>
          <w:sz w:val="16"/>
          <w:lang w:val="pt-BR"/>
        </w:rPr>
        <w:t xml:space="preserve">de </w:t>
      </w:r>
      <w:r w:rsidR="0089298C" w:rsidRPr="002F50BD">
        <w:rPr>
          <w:rFonts w:ascii="Verdana" w:hAnsi="Verdana"/>
          <w:sz w:val="16"/>
          <w:lang w:val="pt-BR"/>
        </w:rPr>
        <w:t>novembro</w:t>
      </w:r>
      <w:r w:rsidR="004756C1" w:rsidRPr="002F50BD">
        <w:rPr>
          <w:rFonts w:ascii="Verdana" w:hAnsi="Verdana"/>
          <w:sz w:val="16"/>
          <w:lang w:val="pt-BR"/>
        </w:rPr>
        <w:t xml:space="preserve"> de </w:t>
      </w:r>
      <w:r w:rsidRPr="002F50BD">
        <w:rPr>
          <w:rFonts w:ascii="Verdana" w:hAnsi="Verdana"/>
          <w:sz w:val="16"/>
          <w:lang w:val="pt-BR"/>
        </w:rPr>
        <w:t>1997</w:t>
      </w:r>
      <w:r w:rsidR="004756C1" w:rsidRPr="002F50BD">
        <w:rPr>
          <w:rFonts w:ascii="Verdana" w:hAnsi="Verdana"/>
          <w:sz w:val="16"/>
          <w:lang w:val="pt-BR"/>
        </w:rPr>
        <w:t xml:space="preserve"> de </w:t>
      </w:r>
      <w:r w:rsidR="00367FD1" w:rsidRPr="002F50BD">
        <w:rPr>
          <w:rFonts w:ascii="Verdana" w:hAnsi="Verdana"/>
          <w:sz w:val="16"/>
          <w:lang w:val="pt-BR"/>
        </w:rPr>
        <w:t>disenteria</w:t>
      </w:r>
      <w:r w:rsidR="0089298C" w:rsidRPr="002F50BD">
        <w:rPr>
          <w:rFonts w:ascii="Verdana" w:hAnsi="Verdana"/>
          <w:sz w:val="16"/>
          <w:lang w:val="pt-BR"/>
        </w:rPr>
        <w:t xml:space="preserve"> e </w:t>
      </w:r>
      <w:r w:rsidR="004756C1" w:rsidRPr="002F50BD">
        <w:rPr>
          <w:rFonts w:ascii="Verdana" w:hAnsi="Verdana"/>
          <w:sz w:val="16"/>
          <w:lang w:val="pt-BR"/>
        </w:rPr>
        <w:t>aftas,</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atenção</w:t>
      </w:r>
      <w:r w:rsidR="004756C1" w:rsidRPr="002F50BD">
        <w:rPr>
          <w:rFonts w:ascii="Verdana" w:hAnsi="Verdana"/>
          <w:sz w:val="16"/>
          <w:lang w:val="pt-BR"/>
        </w:rPr>
        <w:t xml:space="preserve"> 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3</w:t>
      </w:r>
      <w:r w:rsidR="00CF451D" w:rsidRPr="00CF451D">
        <w:rPr>
          <w:rFonts w:ascii="Verdana" w:hAnsi="Verdana"/>
          <w:sz w:val="16"/>
          <w:lang w:val="pt-BR"/>
        </w:rPr>
        <w:t>)</w:t>
      </w:r>
      <w:r w:rsidR="004756C1" w:rsidRPr="002F50BD">
        <w:rPr>
          <w:rFonts w:ascii="Verdana" w:hAnsi="Verdana"/>
          <w:sz w:val="16"/>
          <w:lang w:val="pt-BR"/>
        </w:rPr>
        <w:tab/>
        <w:t xml:space="preserve">Adolfo Ramírez </w:t>
      </w:r>
      <w:r w:rsidR="00CF451D" w:rsidRPr="00CF451D">
        <w:rPr>
          <w:rFonts w:ascii="Verdana" w:hAnsi="Verdana"/>
          <w:sz w:val="16"/>
          <w:lang w:val="pt-BR"/>
        </w:rPr>
        <w:t>(</w:t>
      </w:r>
      <w:r w:rsidRPr="002F50BD">
        <w:rPr>
          <w:rFonts w:ascii="Verdana" w:hAnsi="Verdana"/>
          <w:sz w:val="16"/>
          <w:lang w:val="pt-BR"/>
        </w:rPr>
        <w:t>64</w:t>
      </w:r>
      <w:r w:rsidR="004756C1" w:rsidRPr="002F50BD">
        <w:rPr>
          <w:rFonts w:ascii="Verdana" w:hAnsi="Verdana"/>
          <w:sz w:val="16"/>
          <w:lang w:val="pt-BR"/>
        </w:rPr>
        <w:t xml:space="preserve"> </w:t>
      </w:r>
      <w:r w:rsidR="0089298C" w:rsidRPr="002F50BD">
        <w:rPr>
          <w:rFonts w:ascii="Verdana" w:hAnsi="Verdana"/>
          <w:sz w:val="16"/>
          <w:lang w:val="pt-BR"/>
        </w:rPr>
        <w:t>anos</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w:t>
      </w:r>
      <w:r w:rsidR="0024245D" w:rsidRPr="002F50BD">
        <w:rPr>
          <w:rFonts w:ascii="Verdana" w:hAnsi="Verdana"/>
          <w:sz w:val="16"/>
          <w:lang w:val="pt-BR"/>
        </w:rPr>
        <w:t>em</w:t>
      </w:r>
      <w:r w:rsidR="0089298C" w:rsidRPr="002F50BD">
        <w:rPr>
          <w:rFonts w:ascii="Verdana" w:hAnsi="Verdana"/>
          <w:sz w:val="16"/>
          <w:lang w:val="pt-BR"/>
        </w:rPr>
        <w:t xml:space="preserve"> </w:t>
      </w:r>
      <w:r w:rsidRPr="002F50BD">
        <w:rPr>
          <w:rFonts w:ascii="Verdana" w:hAnsi="Verdana"/>
          <w:sz w:val="16"/>
          <w:lang w:val="pt-BR"/>
        </w:rPr>
        <w:t>15</w:t>
      </w:r>
      <w:r w:rsidR="004756C1" w:rsidRPr="002F50BD">
        <w:rPr>
          <w:rFonts w:ascii="Verdana" w:hAnsi="Verdana"/>
          <w:sz w:val="16"/>
          <w:lang w:val="pt-BR"/>
        </w:rPr>
        <w:t xml:space="preserve"> de agosto de </w:t>
      </w:r>
      <w:r w:rsidRPr="002F50BD">
        <w:rPr>
          <w:rFonts w:ascii="Verdana" w:hAnsi="Verdana"/>
          <w:sz w:val="16"/>
          <w:lang w:val="pt-BR"/>
        </w:rPr>
        <w:t>1998</w:t>
      </w:r>
      <w:r w:rsidR="004756C1" w:rsidRPr="002F50BD">
        <w:rPr>
          <w:rFonts w:ascii="Verdana" w:hAnsi="Verdana"/>
          <w:sz w:val="16"/>
          <w:lang w:val="pt-BR"/>
        </w:rPr>
        <w:t xml:space="preserve"> de caquexia,</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atenção</w:t>
      </w:r>
      <w:r w:rsidR="004756C1" w:rsidRPr="002F50BD">
        <w:rPr>
          <w:rFonts w:ascii="Verdana" w:hAnsi="Verdana"/>
          <w:sz w:val="16"/>
          <w:lang w:val="pt-BR"/>
        </w:rPr>
        <w:t xml:space="preserve"> 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4</w:t>
      </w:r>
      <w:r w:rsidR="00CF451D" w:rsidRPr="00CF451D">
        <w:rPr>
          <w:rFonts w:ascii="Verdana" w:hAnsi="Verdana"/>
          <w:sz w:val="16"/>
          <w:lang w:val="pt-BR"/>
        </w:rPr>
        <w:t>)</w:t>
      </w:r>
      <w:r w:rsidR="004756C1" w:rsidRPr="002F50BD">
        <w:rPr>
          <w:rFonts w:ascii="Verdana" w:hAnsi="Verdana"/>
          <w:sz w:val="16"/>
          <w:lang w:val="pt-BR"/>
        </w:rPr>
        <w:tab/>
        <w:t xml:space="preserve">Isabel García de Ramírez </w:t>
      </w:r>
      <w:r w:rsidR="00CF451D" w:rsidRPr="00CF451D">
        <w:rPr>
          <w:rFonts w:ascii="Verdana" w:hAnsi="Verdana"/>
          <w:sz w:val="16"/>
          <w:lang w:val="pt-BR"/>
        </w:rPr>
        <w:t>(</w:t>
      </w:r>
      <w:r w:rsidRPr="002F50BD">
        <w:rPr>
          <w:rFonts w:ascii="Verdana" w:hAnsi="Verdana"/>
          <w:sz w:val="16"/>
          <w:lang w:val="pt-BR"/>
        </w:rPr>
        <w:t>64</w:t>
      </w:r>
      <w:r w:rsidR="004756C1" w:rsidRPr="002F50BD">
        <w:rPr>
          <w:rFonts w:ascii="Verdana" w:hAnsi="Verdana"/>
          <w:sz w:val="16"/>
          <w:lang w:val="pt-BR"/>
        </w:rPr>
        <w:t xml:space="preserve"> </w:t>
      </w:r>
      <w:r w:rsidR="0089298C" w:rsidRPr="002F50BD">
        <w:rPr>
          <w:rFonts w:ascii="Verdana" w:hAnsi="Verdana"/>
          <w:sz w:val="16"/>
          <w:lang w:val="pt-BR"/>
        </w:rPr>
        <w:t>anos</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em </w:t>
      </w:r>
      <w:r w:rsidRPr="002F50BD">
        <w:rPr>
          <w:rFonts w:ascii="Verdana" w:hAnsi="Verdana"/>
          <w:sz w:val="16"/>
          <w:lang w:val="pt-BR"/>
        </w:rPr>
        <w:t>22</w:t>
      </w:r>
      <w:r w:rsidR="004756C1" w:rsidRPr="002F50BD">
        <w:rPr>
          <w:rFonts w:ascii="Verdana" w:hAnsi="Verdana"/>
          <w:sz w:val="16"/>
          <w:lang w:val="pt-BR"/>
        </w:rPr>
        <w:t xml:space="preserve"> de agosto de </w:t>
      </w:r>
      <w:r w:rsidRPr="002F50BD">
        <w:rPr>
          <w:rFonts w:ascii="Verdana" w:hAnsi="Verdana"/>
          <w:sz w:val="16"/>
          <w:lang w:val="pt-BR"/>
        </w:rPr>
        <w:t>1998</w:t>
      </w:r>
      <w:r w:rsidR="004756C1" w:rsidRPr="002F50BD">
        <w:rPr>
          <w:rFonts w:ascii="Verdana" w:hAnsi="Verdana"/>
          <w:sz w:val="16"/>
          <w:lang w:val="pt-BR"/>
        </w:rPr>
        <w:t xml:space="preserve"> de caquexia,</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atenção</w:t>
      </w:r>
      <w:r w:rsidR="004756C1" w:rsidRPr="002F50BD">
        <w:rPr>
          <w:rFonts w:ascii="Verdana" w:hAnsi="Verdana"/>
          <w:sz w:val="16"/>
          <w:lang w:val="pt-BR"/>
        </w:rPr>
        <w:t xml:space="preserve"> 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5</w:t>
      </w:r>
      <w:r w:rsidR="00CF451D" w:rsidRPr="00CF451D">
        <w:rPr>
          <w:rFonts w:ascii="Verdana" w:hAnsi="Verdana"/>
          <w:sz w:val="16"/>
          <w:lang w:val="pt-BR"/>
        </w:rPr>
        <w:t>)</w:t>
      </w:r>
      <w:r w:rsidR="004756C1" w:rsidRPr="002F50BD">
        <w:rPr>
          <w:rFonts w:ascii="Verdana" w:hAnsi="Verdana"/>
          <w:sz w:val="16"/>
          <w:lang w:val="pt-BR"/>
        </w:rPr>
        <w:tab/>
        <w:t xml:space="preserve">Justina Chávez </w:t>
      </w:r>
      <w:r w:rsidR="00CF451D" w:rsidRPr="00CF451D">
        <w:rPr>
          <w:rFonts w:ascii="Verdana" w:hAnsi="Verdana"/>
          <w:sz w:val="16"/>
          <w:lang w:val="pt-BR"/>
        </w:rPr>
        <w:t>(</w:t>
      </w:r>
      <w:r w:rsidRPr="002F50BD">
        <w:rPr>
          <w:rFonts w:ascii="Verdana" w:hAnsi="Verdana"/>
          <w:sz w:val="16"/>
          <w:lang w:val="pt-BR"/>
        </w:rPr>
        <w:t>1</w:t>
      </w:r>
      <w:r w:rsidR="004756C1" w:rsidRPr="002F50BD">
        <w:rPr>
          <w:rFonts w:ascii="Verdana" w:hAnsi="Verdana"/>
          <w:sz w:val="16"/>
          <w:lang w:val="pt-BR"/>
        </w:rPr>
        <w:t xml:space="preserve"> a</w:t>
      </w:r>
      <w:r w:rsidR="0024245D" w:rsidRPr="002F50BD">
        <w:rPr>
          <w:rFonts w:ascii="Verdana" w:hAnsi="Verdana"/>
          <w:sz w:val="16"/>
          <w:lang w:val="pt-BR"/>
        </w:rPr>
        <w:t>n</w:t>
      </w:r>
      <w:r w:rsidR="004756C1" w:rsidRPr="002F50BD">
        <w:rPr>
          <w:rFonts w:ascii="Verdana" w:hAnsi="Verdana"/>
          <w:sz w:val="16"/>
          <w:lang w:val="pt-BR"/>
        </w:rPr>
        <w:t>o</w:t>
      </w:r>
      <w:r w:rsidR="00CF451D" w:rsidRPr="00CF451D">
        <w:rPr>
          <w:rFonts w:ascii="Verdana" w:hAnsi="Verdana"/>
          <w:sz w:val="16"/>
          <w:lang w:val="pt-BR"/>
        </w:rPr>
        <w:t>)</w:t>
      </w:r>
      <w:r w:rsidR="004756C1" w:rsidRPr="002F50BD">
        <w:rPr>
          <w:rFonts w:ascii="Verdana" w:hAnsi="Verdana"/>
          <w:sz w:val="16"/>
          <w:lang w:val="pt-BR"/>
        </w:rPr>
        <w:t xml:space="preserve">: </w:t>
      </w:r>
      <w:r w:rsidR="0024245D" w:rsidRPr="002F50BD">
        <w:rPr>
          <w:rFonts w:ascii="Verdana" w:hAnsi="Verdana"/>
          <w:sz w:val="16"/>
          <w:lang w:val="pt-BR"/>
        </w:rPr>
        <w:t>morreu em</w:t>
      </w:r>
      <w:r w:rsidR="0089298C" w:rsidRPr="002F50BD">
        <w:rPr>
          <w:rFonts w:ascii="Verdana" w:hAnsi="Verdana"/>
          <w:sz w:val="16"/>
          <w:lang w:val="pt-BR"/>
        </w:rPr>
        <w:t xml:space="preserve"> </w:t>
      </w:r>
      <w:r w:rsidRPr="002F50BD">
        <w:rPr>
          <w:rFonts w:ascii="Verdana" w:hAnsi="Verdana"/>
          <w:sz w:val="16"/>
          <w:lang w:val="pt-BR"/>
        </w:rPr>
        <w:t>10</w:t>
      </w:r>
      <w:r w:rsidR="004756C1" w:rsidRPr="002F50BD">
        <w:rPr>
          <w:rFonts w:ascii="Verdana" w:hAnsi="Verdana"/>
          <w:sz w:val="16"/>
          <w:lang w:val="pt-BR"/>
        </w:rPr>
        <w:t xml:space="preserve"> de agosto de </w:t>
      </w:r>
      <w:r w:rsidRPr="002F50BD">
        <w:rPr>
          <w:rFonts w:ascii="Verdana" w:hAnsi="Verdana"/>
          <w:sz w:val="16"/>
          <w:lang w:val="pt-BR"/>
        </w:rPr>
        <w:t>1999</w:t>
      </w:r>
      <w:r w:rsidR="004756C1" w:rsidRPr="002F50BD">
        <w:rPr>
          <w:rFonts w:ascii="Verdana" w:hAnsi="Verdana"/>
          <w:sz w:val="16"/>
          <w:lang w:val="pt-BR"/>
        </w:rPr>
        <w:t xml:space="preserve"> de </w:t>
      </w:r>
      <w:r w:rsidR="00243D2E" w:rsidRPr="002F50BD">
        <w:rPr>
          <w:rFonts w:ascii="Verdana" w:hAnsi="Verdana"/>
          <w:sz w:val="16"/>
          <w:lang w:val="pt-BR"/>
        </w:rPr>
        <w:t>b</w:t>
      </w:r>
      <w:r w:rsidR="00367FD1" w:rsidRPr="002F50BD">
        <w:rPr>
          <w:rFonts w:ascii="Verdana" w:hAnsi="Verdana"/>
          <w:sz w:val="16"/>
          <w:lang w:val="pt-BR"/>
        </w:rPr>
        <w:t>ronquite</w:t>
      </w:r>
      <w:r w:rsidR="004756C1" w:rsidRPr="002F50BD">
        <w:rPr>
          <w:rFonts w:ascii="Verdana" w:hAnsi="Verdana"/>
          <w:sz w:val="16"/>
          <w:lang w:val="pt-BR"/>
        </w:rPr>
        <w:t>,</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 xml:space="preserve">assistência </w:t>
      </w:r>
      <w:r w:rsidR="004756C1" w:rsidRPr="002F50BD">
        <w:rPr>
          <w:rFonts w:ascii="Verdana" w:hAnsi="Verdana"/>
          <w:sz w:val="16"/>
          <w:lang w:val="pt-BR"/>
        </w:rPr>
        <w:t xml:space="preserve">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6</w:t>
      </w:r>
      <w:r w:rsidR="00CF451D" w:rsidRPr="00CF451D">
        <w:rPr>
          <w:rFonts w:ascii="Verdana" w:hAnsi="Verdana"/>
          <w:sz w:val="16"/>
          <w:lang w:val="pt-BR"/>
        </w:rPr>
        <w:t>)</w:t>
      </w:r>
      <w:r w:rsidR="004756C1" w:rsidRPr="002F50BD">
        <w:rPr>
          <w:rFonts w:ascii="Verdana" w:hAnsi="Verdana"/>
          <w:sz w:val="16"/>
          <w:lang w:val="pt-BR"/>
        </w:rPr>
        <w:tab/>
        <w:t xml:space="preserve">Ramón Chávez </w:t>
      </w:r>
      <w:r w:rsidR="00CF451D" w:rsidRPr="00CF451D">
        <w:rPr>
          <w:rFonts w:ascii="Verdana" w:hAnsi="Verdana"/>
          <w:sz w:val="16"/>
          <w:lang w:val="pt-BR"/>
        </w:rPr>
        <w:t>(</w:t>
      </w:r>
      <w:r w:rsidRPr="002F50BD">
        <w:rPr>
          <w:rFonts w:ascii="Verdana" w:hAnsi="Verdana"/>
          <w:sz w:val="16"/>
          <w:lang w:val="pt-BR"/>
        </w:rPr>
        <w:t>1</w:t>
      </w:r>
      <w:r w:rsidR="0089298C" w:rsidRPr="002F50BD">
        <w:rPr>
          <w:rFonts w:ascii="Verdana" w:hAnsi="Verdana"/>
          <w:sz w:val="16"/>
          <w:lang w:val="pt-BR"/>
        </w:rPr>
        <w:t xml:space="preserve"> ano e </w:t>
      </w:r>
      <w:r w:rsidRPr="002F50BD">
        <w:rPr>
          <w:rFonts w:ascii="Verdana" w:hAnsi="Verdana"/>
          <w:sz w:val="16"/>
          <w:lang w:val="pt-BR"/>
        </w:rPr>
        <w:t>11</w:t>
      </w:r>
      <w:r w:rsidR="004756C1" w:rsidRPr="002F50BD">
        <w:rPr>
          <w:rFonts w:ascii="Verdana" w:hAnsi="Verdana"/>
          <w:sz w:val="16"/>
          <w:lang w:val="pt-BR"/>
        </w:rPr>
        <w:t xml:space="preserve"> meses</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em </w:t>
      </w:r>
      <w:r w:rsidRPr="002F50BD">
        <w:rPr>
          <w:rFonts w:ascii="Verdana" w:hAnsi="Verdana"/>
          <w:sz w:val="16"/>
          <w:lang w:val="pt-BR"/>
        </w:rPr>
        <w:t>6</w:t>
      </w:r>
      <w:r w:rsidR="004756C1" w:rsidRPr="002F50BD">
        <w:rPr>
          <w:rFonts w:ascii="Verdana" w:hAnsi="Verdana"/>
          <w:sz w:val="16"/>
          <w:lang w:val="pt-BR"/>
        </w:rPr>
        <w:t xml:space="preserve"> de </w:t>
      </w:r>
      <w:r w:rsidR="0089298C" w:rsidRPr="002F50BD">
        <w:rPr>
          <w:rFonts w:ascii="Verdana" w:hAnsi="Verdana"/>
          <w:sz w:val="16"/>
          <w:lang w:val="pt-BR"/>
        </w:rPr>
        <w:t>setembro</w:t>
      </w:r>
      <w:r w:rsidR="004756C1" w:rsidRPr="002F50BD">
        <w:rPr>
          <w:rFonts w:ascii="Verdana" w:hAnsi="Verdana"/>
          <w:sz w:val="16"/>
          <w:lang w:val="pt-BR"/>
        </w:rPr>
        <w:t xml:space="preserve"> de </w:t>
      </w:r>
      <w:r w:rsidRPr="002F50BD">
        <w:rPr>
          <w:rFonts w:ascii="Verdana" w:hAnsi="Verdana"/>
          <w:sz w:val="16"/>
          <w:lang w:val="pt-BR"/>
        </w:rPr>
        <w:t>1999</w:t>
      </w:r>
      <w:r w:rsidR="004756C1" w:rsidRPr="002F50BD">
        <w:rPr>
          <w:rFonts w:ascii="Verdana" w:hAnsi="Verdana"/>
          <w:sz w:val="16"/>
          <w:lang w:val="pt-BR"/>
        </w:rPr>
        <w:t xml:space="preserve"> de </w:t>
      </w:r>
      <w:r w:rsidR="00243D2E" w:rsidRPr="002F50BD">
        <w:rPr>
          <w:rFonts w:ascii="Verdana" w:hAnsi="Verdana"/>
          <w:sz w:val="16"/>
          <w:lang w:val="pt-BR"/>
        </w:rPr>
        <w:t>b</w:t>
      </w:r>
      <w:r w:rsidR="00367FD1" w:rsidRPr="002F50BD">
        <w:rPr>
          <w:rFonts w:ascii="Verdana" w:hAnsi="Verdana"/>
          <w:sz w:val="16"/>
          <w:lang w:val="pt-BR"/>
        </w:rPr>
        <w:t>ronquite</w:t>
      </w:r>
      <w:r w:rsidR="004756C1" w:rsidRPr="002F50BD">
        <w:rPr>
          <w:rFonts w:ascii="Verdana" w:hAnsi="Verdana"/>
          <w:sz w:val="16"/>
          <w:lang w:val="pt-BR"/>
        </w:rPr>
        <w:t>,</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 xml:space="preserve">assistência </w:t>
      </w:r>
      <w:r w:rsidR="004756C1" w:rsidRPr="002F50BD">
        <w:rPr>
          <w:rFonts w:ascii="Verdana" w:hAnsi="Verdana"/>
          <w:sz w:val="16"/>
          <w:lang w:val="pt-BR"/>
        </w:rPr>
        <w:t xml:space="preserve">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7</w:t>
      </w:r>
      <w:r w:rsidR="00CF451D" w:rsidRPr="00CF451D">
        <w:rPr>
          <w:rFonts w:ascii="Verdana" w:hAnsi="Verdana"/>
          <w:sz w:val="16"/>
          <w:lang w:val="pt-BR"/>
        </w:rPr>
        <w:t>)</w:t>
      </w:r>
      <w:r w:rsidR="004756C1" w:rsidRPr="002F50BD">
        <w:rPr>
          <w:rFonts w:ascii="Verdana" w:hAnsi="Verdana"/>
          <w:sz w:val="16"/>
          <w:lang w:val="pt-BR"/>
        </w:rPr>
        <w:tab/>
        <w:t xml:space="preserve"> S/N Morel Chávez </w:t>
      </w:r>
      <w:r w:rsidR="00CF451D" w:rsidRPr="00CF451D">
        <w:rPr>
          <w:rFonts w:ascii="Verdana" w:hAnsi="Verdana"/>
          <w:sz w:val="16"/>
          <w:lang w:val="pt-BR"/>
        </w:rPr>
        <w:t>(</w:t>
      </w:r>
      <w:r w:rsidRPr="002F50BD">
        <w:rPr>
          <w:rFonts w:ascii="Verdana" w:hAnsi="Verdana"/>
          <w:sz w:val="16"/>
          <w:lang w:val="pt-BR"/>
        </w:rPr>
        <w:t>1</w:t>
      </w:r>
      <w:r w:rsidR="004756C1" w:rsidRPr="002F50BD">
        <w:rPr>
          <w:rFonts w:ascii="Verdana" w:hAnsi="Verdana"/>
          <w:sz w:val="16"/>
          <w:lang w:val="pt-BR"/>
        </w:rPr>
        <w:t xml:space="preserve"> </w:t>
      </w:r>
      <w:r w:rsidR="0089298C" w:rsidRPr="002F50BD">
        <w:rPr>
          <w:rFonts w:ascii="Verdana" w:hAnsi="Verdana"/>
          <w:sz w:val="16"/>
          <w:lang w:val="pt-BR"/>
        </w:rPr>
        <w:t>dia</w:t>
      </w:r>
      <w:r w:rsidR="004756C1" w:rsidRPr="002F50BD">
        <w:rPr>
          <w:rFonts w:ascii="Verdana" w:hAnsi="Verdana"/>
          <w:sz w:val="16"/>
          <w:lang w:val="pt-BR"/>
        </w:rPr>
        <w:t xml:space="preserve"> de </w:t>
      </w:r>
      <w:r w:rsidR="00243D2E" w:rsidRPr="002F50BD">
        <w:rPr>
          <w:rFonts w:ascii="Verdana" w:hAnsi="Verdana"/>
          <w:sz w:val="16"/>
          <w:lang w:val="pt-BR"/>
        </w:rPr>
        <w:t>vida</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em </w:t>
      </w:r>
      <w:r w:rsidRPr="002F50BD">
        <w:rPr>
          <w:rFonts w:ascii="Verdana" w:hAnsi="Verdana"/>
          <w:sz w:val="16"/>
          <w:lang w:val="pt-BR"/>
        </w:rPr>
        <w:t>1</w:t>
      </w:r>
      <w:r w:rsidR="0089298C" w:rsidRPr="002F50BD">
        <w:rPr>
          <w:rFonts w:ascii="Verdana" w:hAnsi="Verdana"/>
          <w:sz w:val="16"/>
          <w:lang w:val="pt-BR"/>
        </w:rPr>
        <w:t xml:space="preserve"> </w:t>
      </w:r>
      <w:r w:rsidR="004756C1" w:rsidRPr="002F50BD">
        <w:rPr>
          <w:rFonts w:ascii="Verdana" w:hAnsi="Verdana"/>
          <w:sz w:val="16"/>
          <w:lang w:val="pt-BR"/>
        </w:rPr>
        <w:t xml:space="preserve">de </w:t>
      </w:r>
      <w:r w:rsidR="0089298C" w:rsidRPr="002F50BD">
        <w:rPr>
          <w:rFonts w:ascii="Verdana" w:hAnsi="Verdana"/>
          <w:sz w:val="16"/>
          <w:lang w:val="pt-BR"/>
        </w:rPr>
        <w:t>janeiro</w:t>
      </w:r>
      <w:r w:rsidR="004756C1" w:rsidRPr="002F50BD">
        <w:rPr>
          <w:rFonts w:ascii="Verdana" w:hAnsi="Verdana"/>
          <w:sz w:val="16"/>
          <w:lang w:val="pt-BR"/>
        </w:rPr>
        <w:t xml:space="preserve"> de </w:t>
      </w:r>
      <w:r w:rsidRPr="002F50BD">
        <w:rPr>
          <w:rFonts w:ascii="Verdana" w:hAnsi="Verdana"/>
          <w:sz w:val="16"/>
          <w:lang w:val="pt-BR"/>
        </w:rPr>
        <w:t>2000</w:t>
      </w:r>
      <w:r w:rsidR="004756C1" w:rsidRPr="002F50BD">
        <w:rPr>
          <w:rFonts w:ascii="Verdana" w:hAnsi="Verdana"/>
          <w:sz w:val="16"/>
          <w:lang w:val="pt-BR"/>
        </w:rPr>
        <w:t xml:space="preserve"> por </w:t>
      </w:r>
      <w:r w:rsidR="0089298C" w:rsidRPr="002F50BD">
        <w:rPr>
          <w:rFonts w:ascii="Verdana" w:hAnsi="Verdana"/>
          <w:sz w:val="16"/>
          <w:lang w:val="pt-BR"/>
        </w:rPr>
        <w:t>razões</w:t>
      </w:r>
      <w:r w:rsidR="004756C1" w:rsidRPr="002F50BD">
        <w:rPr>
          <w:rFonts w:ascii="Verdana" w:hAnsi="Verdana"/>
          <w:sz w:val="16"/>
          <w:lang w:val="pt-BR"/>
        </w:rPr>
        <w:t xml:space="preserve"> des</w:t>
      </w:r>
      <w:r w:rsidR="00AB454A" w:rsidRPr="002F50BD">
        <w:rPr>
          <w:rFonts w:ascii="Verdana" w:hAnsi="Verdana"/>
          <w:sz w:val="16"/>
          <w:lang w:val="pt-BR"/>
        </w:rPr>
        <w:t>conheci</w:t>
      </w:r>
      <w:r w:rsidR="004756C1" w:rsidRPr="002F50BD">
        <w:rPr>
          <w:rFonts w:ascii="Verdana" w:hAnsi="Verdana"/>
          <w:sz w:val="16"/>
          <w:lang w:val="pt-BR"/>
        </w:rPr>
        <w:t>das,</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 xml:space="preserve">assistência </w:t>
      </w:r>
      <w:r w:rsidR="004756C1" w:rsidRPr="002F50BD">
        <w:rPr>
          <w:rFonts w:ascii="Verdana" w:hAnsi="Verdana"/>
          <w:sz w:val="16"/>
          <w:lang w:val="pt-BR"/>
        </w:rPr>
        <w:t xml:space="preserve">médica antes de </w:t>
      </w:r>
      <w:r w:rsidR="0024245D" w:rsidRPr="002F50BD">
        <w:rPr>
          <w:rFonts w:ascii="Verdana" w:hAnsi="Verdana"/>
          <w:sz w:val="16"/>
          <w:lang w:val="pt-BR"/>
        </w:rPr>
        <w:t>sua morte</w:t>
      </w:r>
      <w:r w:rsidR="004756C1" w:rsidRPr="002F50BD">
        <w:rPr>
          <w:rFonts w:ascii="Verdana" w:hAnsi="Verdana"/>
          <w:sz w:val="16"/>
          <w:lang w:val="pt-BR"/>
        </w:rPr>
        <w:t>;</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8</w:t>
      </w:r>
      <w:r w:rsidR="00CF451D" w:rsidRPr="00CF451D">
        <w:rPr>
          <w:rFonts w:ascii="Verdana" w:hAnsi="Verdana"/>
          <w:sz w:val="16"/>
          <w:lang w:val="pt-BR"/>
        </w:rPr>
        <w:t>)</w:t>
      </w:r>
      <w:r w:rsidR="004756C1" w:rsidRPr="002F50BD">
        <w:rPr>
          <w:rFonts w:ascii="Verdana" w:hAnsi="Verdana"/>
          <w:sz w:val="16"/>
          <w:lang w:val="pt-BR"/>
        </w:rPr>
        <w:tab/>
        <w:t xml:space="preserve"> S/N Morel Chávez </w:t>
      </w:r>
      <w:r w:rsidR="00CF451D" w:rsidRPr="00CF451D">
        <w:rPr>
          <w:rFonts w:ascii="Verdana" w:hAnsi="Verdana"/>
          <w:sz w:val="16"/>
          <w:lang w:val="pt-BR"/>
        </w:rPr>
        <w:t>(</w:t>
      </w:r>
      <w:r w:rsidRPr="002F50BD">
        <w:rPr>
          <w:rFonts w:ascii="Verdana" w:hAnsi="Verdana"/>
          <w:sz w:val="16"/>
          <w:lang w:val="pt-BR"/>
        </w:rPr>
        <w:t>2</w:t>
      </w:r>
      <w:r w:rsidR="004756C1" w:rsidRPr="002F50BD">
        <w:rPr>
          <w:rFonts w:ascii="Verdana" w:hAnsi="Verdana"/>
          <w:sz w:val="16"/>
          <w:lang w:val="pt-BR"/>
        </w:rPr>
        <w:t xml:space="preserve"> </w:t>
      </w:r>
      <w:r w:rsidR="0089298C" w:rsidRPr="002F50BD">
        <w:rPr>
          <w:rFonts w:ascii="Verdana" w:hAnsi="Verdana"/>
          <w:sz w:val="16"/>
          <w:lang w:val="pt-BR"/>
        </w:rPr>
        <w:t>dia</w:t>
      </w:r>
      <w:r w:rsidR="004756C1" w:rsidRPr="002F50BD">
        <w:rPr>
          <w:rFonts w:ascii="Verdana" w:hAnsi="Verdana"/>
          <w:sz w:val="16"/>
          <w:lang w:val="pt-BR"/>
        </w:rPr>
        <w:t xml:space="preserve">s de </w:t>
      </w:r>
      <w:r w:rsidR="00243D2E" w:rsidRPr="002F50BD">
        <w:rPr>
          <w:rFonts w:ascii="Verdana" w:hAnsi="Verdana"/>
          <w:sz w:val="16"/>
          <w:lang w:val="pt-BR"/>
        </w:rPr>
        <w:t>vida</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em </w:t>
      </w:r>
      <w:r w:rsidRPr="002F50BD">
        <w:rPr>
          <w:rFonts w:ascii="Verdana" w:hAnsi="Verdana"/>
          <w:sz w:val="16"/>
          <w:lang w:val="pt-BR"/>
        </w:rPr>
        <w:t>2</w:t>
      </w:r>
      <w:r w:rsidR="004756C1" w:rsidRPr="002F50BD">
        <w:rPr>
          <w:rFonts w:ascii="Verdana" w:hAnsi="Verdana"/>
          <w:sz w:val="16"/>
          <w:lang w:val="pt-BR"/>
        </w:rPr>
        <w:t xml:space="preserve"> de </w:t>
      </w:r>
      <w:r w:rsidR="0089298C" w:rsidRPr="002F50BD">
        <w:rPr>
          <w:rFonts w:ascii="Verdana" w:hAnsi="Verdana"/>
          <w:sz w:val="16"/>
          <w:lang w:val="pt-BR"/>
        </w:rPr>
        <w:t>janeiro</w:t>
      </w:r>
      <w:r w:rsidR="004756C1" w:rsidRPr="002F50BD">
        <w:rPr>
          <w:rFonts w:ascii="Verdana" w:hAnsi="Verdana"/>
          <w:sz w:val="16"/>
          <w:lang w:val="pt-BR"/>
        </w:rPr>
        <w:t xml:space="preserve"> de </w:t>
      </w:r>
      <w:r w:rsidRPr="002F50BD">
        <w:rPr>
          <w:rFonts w:ascii="Verdana" w:hAnsi="Verdana"/>
          <w:sz w:val="16"/>
          <w:lang w:val="pt-BR"/>
        </w:rPr>
        <w:t>2000</w:t>
      </w:r>
      <w:r w:rsidR="004756C1" w:rsidRPr="002F50BD">
        <w:rPr>
          <w:rFonts w:ascii="Verdana" w:hAnsi="Verdana"/>
          <w:sz w:val="16"/>
          <w:lang w:val="pt-BR"/>
        </w:rPr>
        <w:t xml:space="preserve"> por </w:t>
      </w:r>
      <w:r w:rsidR="0089298C" w:rsidRPr="002F50BD">
        <w:rPr>
          <w:rFonts w:ascii="Verdana" w:hAnsi="Verdana"/>
          <w:sz w:val="16"/>
          <w:lang w:val="pt-BR"/>
        </w:rPr>
        <w:t>razões</w:t>
      </w:r>
      <w:r w:rsidR="004756C1" w:rsidRPr="002F50BD">
        <w:rPr>
          <w:rFonts w:ascii="Verdana" w:hAnsi="Verdana"/>
          <w:sz w:val="16"/>
          <w:lang w:val="pt-BR"/>
        </w:rPr>
        <w:t xml:space="preserve"> des</w:t>
      </w:r>
      <w:r w:rsidR="00AB454A" w:rsidRPr="002F50BD">
        <w:rPr>
          <w:rFonts w:ascii="Verdana" w:hAnsi="Verdana"/>
          <w:sz w:val="16"/>
          <w:lang w:val="pt-BR"/>
        </w:rPr>
        <w:t>conheci</w:t>
      </w:r>
      <w:r w:rsidR="004756C1" w:rsidRPr="002F50BD">
        <w:rPr>
          <w:rFonts w:ascii="Verdana" w:hAnsi="Verdana"/>
          <w:sz w:val="16"/>
          <w:lang w:val="pt-BR"/>
        </w:rPr>
        <w:t>das,</w:t>
      </w:r>
      <w:r w:rsidR="0089298C" w:rsidRPr="002F50BD">
        <w:rPr>
          <w:rFonts w:ascii="Verdana" w:hAnsi="Verdana"/>
          <w:sz w:val="16"/>
          <w:lang w:val="pt-BR"/>
        </w:rPr>
        <w:t xml:space="preserve"> sem ter</w:t>
      </w:r>
      <w:r w:rsidR="004756C1" w:rsidRPr="002F50BD">
        <w:rPr>
          <w:rFonts w:ascii="Verdana" w:hAnsi="Verdana"/>
          <w:sz w:val="16"/>
          <w:lang w:val="pt-BR"/>
        </w:rPr>
        <w:t xml:space="preserve"> </w:t>
      </w:r>
      <w:r w:rsidR="004076AD" w:rsidRPr="002F50BD">
        <w:rPr>
          <w:rFonts w:ascii="Verdana" w:hAnsi="Verdana"/>
          <w:sz w:val="16"/>
          <w:lang w:val="pt-BR"/>
        </w:rPr>
        <w:t>recebid</w:t>
      </w:r>
      <w:r w:rsidR="004756C1" w:rsidRPr="002F50BD">
        <w:rPr>
          <w:rFonts w:ascii="Verdana" w:hAnsi="Verdana"/>
          <w:sz w:val="16"/>
          <w:lang w:val="pt-BR"/>
        </w:rPr>
        <w:t xml:space="preserve">o </w:t>
      </w:r>
      <w:r w:rsidR="0089298C" w:rsidRPr="002F50BD">
        <w:rPr>
          <w:rFonts w:ascii="Verdana" w:hAnsi="Verdana"/>
          <w:sz w:val="16"/>
          <w:lang w:val="pt-BR"/>
        </w:rPr>
        <w:t xml:space="preserve">assistência </w:t>
      </w:r>
      <w:r w:rsidR="004756C1" w:rsidRPr="002F50BD">
        <w:rPr>
          <w:rFonts w:ascii="Verdana" w:hAnsi="Verdana"/>
          <w:sz w:val="16"/>
          <w:lang w:val="pt-BR"/>
        </w:rPr>
        <w:t xml:space="preserve">médica antes de </w:t>
      </w:r>
      <w:r w:rsidR="0024245D" w:rsidRPr="002F50BD">
        <w:rPr>
          <w:rFonts w:ascii="Verdana" w:hAnsi="Verdana"/>
          <w:sz w:val="16"/>
          <w:lang w:val="pt-BR"/>
        </w:rPr>
        <w:t>sua morte</w:t>
      </w:r>
      <w:r w:rsidR="004756C1" w:rsidRPr="002F50BD">
        <w:rPr>
          <w:rFonts w:ascii="Verdana" w:hAnsi="Verdana"/>
          <w:sz w:val="16"/>
          <w:lang w:val="pt-BR"/>
        </w:rPr>
        <w:t xml:space="preserve">; </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16"/>
          <w:lang w:val="pt-BR"/>
        </w:rPr>
      </w:pPr>
      <w:r w:rsidRPr="002F50BD">
        <w:rPr>
          <w:rFonts w:ascii="Verdana" w:hAnsi="Verdana"/>
          <w:sz w:val="16"/>
          <w:lang w:val="pt-BR"/>
        </w:rPr>
        <w:t>9</w:t>
      </w:r>
      <w:r w:rsidR="00CF451D" w:rsidRPr="00CF451D">
        <w:rPr>
          <w:rFonts w:ascii="Verdana" w:hAnsi="Verdana"/>
          <w:sz w:val="16"/>
          <w:lang w:val="pt-BR"/>
        </w:rPr>
        <w:t>)</w:t>
      </w:r>
      <w:r w:rsidR="004756C1" w:rsidRPr="002F50BD">
        <w:rPr>
          <w:rFonts w:ascii="Verdana" w:hAnsi="Verdana"/>
          <w:sz w:val="16"/>
          <w:lang w:val="pt-BR"/>
        </w:rPr>
        <w:tab/>
        <w:t xml:space="preserve">María Adela Flores Gómez </w:t>
      </w:r>
      <w:r w:rsidR="00CF451D" w:rsidRPr="00CF451D">
        <w:rPr>
          <w:rFonts w:ascii="Verdana" w:hAnsi="Verdana"/>
          <w:sz w:val="16"/>
          <w:lang w:val="pt-BR"/>
        </w:rPr>
        <w:t>(</w:t>
      </w:r>
      <w:r w:rsidRPr="002F50BD">
        <w:rPr>
          <w:rFonts w:ascii="Verdana" w:hAnsi="Verdana"/>
          <w:sz w:val="16"/>
          <w:lang w:val="pt-BR"/>
        </w:rPr>
        <w:t>12</w:t>
      </w:r>
      <w:r w:rsidR="004756C1" w:rsidRPr="002F50BD">
        <w:rPr>
          <w:rFonts w:ascii="Verdana" w:hAnsi="Verdana"/>
          <w:sz w:val="16"/>
          <w:lang w:val="pt-BR"/>
        </w:rPr>
        <w:t xml:space="preserve"> </w:t>
      </w:r>
      <w:r w:rsidR="0089298C" w:rsidRPr="002F50BD">
        <w:rPr>
          <w:rFonts w:ascii="Verdana" w:hAnsi="Verdana"/>
          <w:sz w:val="16"/>
          <w:lang w:val="pt-BR"/>
        </w:rPr>
        <w:t>dia</w:t>
      </w:r>
      <w:r w:rsidR="004756C1" w:rsidRPr="002F50BD">
        <w:rPr>
          <w:rFonts w:ascii="Verdana" w:hAnsi="Verdana"/>
          <w:sz w:val="16"/>
          <w:lang w:val="pt-BR"/>
        </w:rPr>
        <w:t xml:space="preserve">s de </w:t>
      </w:r>
      <w:r w:rsidR="00243D2E" w:rsidRPr="002F50BD">
        <w:rPr>
          <w:rFonts w:ascii="Verdana" w:hAnsi="Verdana"/>
          <w:sz w:val="16"/>
          <w:lang w:val="pt-BR"/>
        </w:rPr>
        <w:t>vida</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no mês </w:t>
      </w:r>
      <w:r w:rsidR="004756C1" w:rsidRPr="002F50BD">
        <w:rPr>
          <w:rFonts w:ascii="Verdana" w:hAnsi="Verdana"/>
          <w:sz w:val="16"/>
          <w:lang w:val="pt-BR"/>
        </w:rPr>
        <w:t xml:space="preserve">de </w:t>
      </w:r>
      <w:r w:rsidR="0089298C" w:rsidRPr="002F50BD">
        <w:rPr>
          <w:rFonts w:ascii="Verdana" w:hAnsi="Verdana"/>
          <w:sz w:val="16"/>
          <w:lang w:val="pt-BR"/>
        </w:rPr>
        <w:t>janeiro</w:t>
      </w:r>
      <w:r w:rsidR="004756C1" w:rsidRPr="002F50BD">
        <w:rPr>
          <w:rFonts w:ascii="Verdana" w:hAnsi="Verdana"/>
          <w:sz w:val="16"/>
          <w:lang w:val="pt-BR"/>
        </w:rPr>
        <w:t xml:space="preserve"> de </w:t>
      </w:r>
      <w:r w:rsidRPr="002F50BD">
        <w:rPr>
          <w:rFonts w:ascii="Verdana" w:hAnsi="Verdana"/>
          <w:sz w:val="16"/>
          <w:lang w:val="pt-BR"/>
        </w:rPr>
        <w:t>2003</w:t>
      </w:r>
      <w:r w:rsidR="004756C1" w:rsidRPr="002F50BD">
        <w:rPr>
          <w:rFonts w:ascii="Verdana" w:hAnsi="Verdana"/>
          <w:sz w:val="16"/>
          <w:lang w:val="pt-BR"/>
        </w:rPr>
        <w:t xml:space="preserve"> de </w:t>
      </w:r>
      <w:r w:rsidR="00367FD1" w:rsidRPr="002F50BD">
        <w:rPr>
          <w:rFonts w:ascii="Verdana" w:hAnsi="Verdana"/>
          <w:sz w:val="16"/>
          <w:lang w:val="pt-BR"/>
        </w:rPr>
        <w:t>bronquite</w:t>
      </w:r>
      <w:r w:rsidR="0089298C" w:rsidRPr="002F50BD">
        <w:rPr>
          <w:rFonts w:ascii="Verdana" w:hAnsi="Verdana"/>
          <w:sz w:val="16"/>
          <w:lang w:val="pt-BR"/>
        </w:rPr>
        <w:t>; e</w:t>
      </w:r>
      <w:r w:rsidR="004756C1" w:rsidRPr="002F50BD">
        <w:rPr>
          <w:rFonts w:ascii="Verdana" w:hAnsi="Verdana"/>
          <w:sz w:val="16"/>
          <w:lang w:val="pt-BR"/>
        </w:rPr>
        <w:t xml:space="preserve"> </w:t>
      </w:r>
    </w:p>
    <w:p w:rsidR="004756C1" w:rsidRPr="002F50BD" w:rsidRDefault="004756C1">
      <w:pPr>
        <w:pStyle w:val="BodyText"/>
        <w:ind w:left="720" w:right="720"/>
        <w:rPr>
          <w:rFonts w:ascii="Verdana" w:hAnsi="Verdana"/>
          <w:sz w:val="16"/>
          <w:lang w:val="pt-BR"/>
        </w:rPr>
      </w:pPr>
    </w:p>
    <w:p w:rsidR="004756C1" w:rsidRPr="002F50BD" w:rsidRDefault="00063B47">
      <w:pPr>
        <w:pStyle w:val="BodyText"/>
        <w:ind w:left="720" w:right="720"/>
        <w:rPr>
          <w:rFonts w:ascii="Verdana" w:hAnsi="Verdana"/>
          <w:sz w:val="20"/>
          <w:lang w:val="pt-BR"/>
        </w:rPr>
      </w:pPr>
      <w:r w:rsidRPr="002F50BD">
        <w:rPr>
          <w:rFonts w:ascii="Verdana" w:hAnsi="Verdana"/>
          <w:sz w:val="16"/>
          <w:lang w:val="pt-BR"/>
        </w:rPr>
        <w:t>10</w:t>
      </w:r>
      <w:r w:rsidR="00CF451D" w:rsidRPr="00CF451D">
        <w:rPr>
          <w:rFonts w:ascii="Verdana" w:hAnsi="Verdana"/>
          <w:sz w:val="16"/>
          <w:lang w:val="pt-BR"/>
        </w:rPr>
        <w:t>)</w:t>
      </w:r>
      <w:r w:rsidR="004756C1" w:rsidRPr="002F50BD">
        <w:rPr>
          <w:rFonts w:ascii="Verdana" w:hAnsi="Verdana"/>
          <w:sz w:val="16"/>
          <w:lang w:val="pt-BR"/>
        </w:rPr>
        <w:tab/>
        <w:t xml:space="preserve">Silvino Martínez Gómez </w:t>
      </w:r>
      <w:r w:rsidR="00CF451D" w:rsidRPr="00CF451D">
        <w:rPr>
          <w:rFonts w:ascii="Verdana" w:hAnsi="Verdana"/>
          <w:sz w:val="16"/>
          <w:lang w:val="pt-BR"/>
        </w:rPr>
        <w:t>(</w:t>
      </w:r>
      <w:r w:rsidRPr="002F50BD">
        <w:rPr>
          <w:rFonts w:ascii="Verdana" w:hAnsi="Verdana"/>
          <w:sz w:val="16"/>
          <w:lang w:val="pt-BR"/>
        </w:rPr>
        <w:t>2</w:t>
      </w:r>
      <w:r w:rsidR="004756C1" w:rsidRPr="002F50BD">
        <w:rPr>
          <w:rFonts w:ascii="Verdana" w:hAnsi="Verdana"/>
          <w:sz w:val="16"/>
          <w:lang w:val="pt-BR"/>
        </w:rPr>
        <w:t xml:space="preserve"> meses de </w:t>
      </w:r>
      <w:r w:rsidR="00243D2E" w:rsidRPr="002F50BD">
        <w:rPr>
          <w:rFonts w:ascii="Verdana" w:hAnsi="Verdana"/>
          <w:sz w:val="16"/>
          <w:lang w:val="pt-BR"/>
        </w:rPr>
        <w:t>vida</w:t>
      </w:r>
      <w:r w:rsidR="00CF451D" w:rsidRPr="00CF451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morreu no mês </w:t>
      </w:r>
      <w:r w:rsidR="004756C1" w:rsidRPr="002F50BD">
        <w:rPr>
          <w:rFonts w:ascii="Verdana" w:hAnsi="Verdana"/>
          <w:sz w:val="16"/>
          <w:lang w:val="pt-BR"/>
        </w:rPr>
        <w:t xml:space="preserve">de </w:t>
      </w:r>
      <w:r w:rsidR="0089298C" w:rsidRPr="002F50BD">
        <w:rPr>
          <w:rFonts w:ascii="Verdana" w:hAnsi="Verdana"/>
          <w:sz w:val="16"/>
          <w:lang w:val="pt-BR"/>
        </w:rPr>
        <w:t>fevereiro</w:t>
      </w:r>
      <w:r w:rsidR="004756C1" w:rsidRPr="002F50BD">
        <w:rPr>
          <w:rFonts w:ascii="Verdana" w:hAnsi="Verdana"/>
          <w:sz w:val="16"/>
          <w:lang w:val="pt-BR"/>
        </w:rPr>
        <w:t xml:space="preserve"> de </w:t>
      </w:r>
      <w:r w:rsidRPr="002F50BD">
        <w:rPr>
          <w:rFonts w:ascii="Verdana" w:hAnsi="Verdana"/>
          <w:sz w:val="16"/>
          <w:lang w:val="pt-BR"/>
        </w:rPr>
        <w:t>2003</w:t>
      </w:r>
      <w:r w:rsidR="004756C1" w:rsidRPr="002F50BD">
        <w:rPr>
          <w:rFonts w:ascii="Verdana" w:hAnsi="Verdana"/>
          <w:sz w:val="16"/>
          <w:lang w:val="pt-BR"/>
        </w:rPr>
        <w:t xml:space="preserve"> de </w:t>
      </w:r>
      <w:r w:rsidR="00367FD1" w:rsidRPr="002F50BD">
        <w:rPr>
          <w:rFonts w:ascii="Verdana" w:hAnsi="Verdana"/>
          <w:sz w:val="16"/>
          <w:lang w:val="pt-BR"/>
        </w:rPr>
        <w:t>bronquite</w:t>
      </w:r>
      <w:r w:rsidR="004756C1" w:rsidRPr="002F50BD">
        <w:rPr>
          <w:rFonts w:ascii="Verdana" w:hAnsi="Verdana"/>
          <w:sz w:val="16"/>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89298C" w:rsidRPr="002F50BD">
        <w:rPr>
          <w:rFonts w:ascii="Verdana" w:hAnsi="Verdana"/>
          <w:sz w:val="20"/>
          <w:lang w:val="pt-BR"/>
        </w:rPr>
        <w:t xml:space="preserve">direito à </w:t>
      </w:r>
      <w:r w:rsidR="004756C1" w:rsidRPr="002F50BD">
        <w:rPr>
          <w:rFonts w:ascii="Verdana" w:hAnsi="Verdana"/>
          <w:sz w:val="20"/>
          <w:lang w:val="pt-BR"/>
        </w:rPr>
        <w:t>vida</w:t>
      </w:r>
      <w:r w:rsidR="0089298C" w:rsidRPr="002F50BD">
        <w:rPr>
          <w:rFonts w:ascii="Verdana" w:hAnsi="Verdana"/>
          <w:sz w:val="20"/>
          <w:lang w:val="pt-BR"/>
        </w:rPr>
        <w:t xml:space="preserve"> sob 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n</w:t>
      </w:r>
      <w:r w:rsidR="00CD2AE8" w:rsidRPr="002F50BD">
        <w:rPr>
          <w:rFonts w:ascii="Verdana" w:hAnsi="Verdana"/>
          <w:sz w:val="20"/>
          <w:lang w:val="pt-BR"/>
        </w:rPr>
        <w:t>ã</w:t>
      </w:r>
      <w:r w:rsidR="004756C1" w:rsidRPr="002F50BD">
        <w:rPr>
          <w:rFonts w:ascii="Verdana" w:hAnsi="Verdana"/>
          <w:sz w:val="20"/>
          <w:lang w:val="pt-BR"/>
        </w:rPr>
        <w:t>o se limita</w:t>
      </w:r>
      <w:r w:rsidR="0089298C" w:rsidRPr="002F50BD">
        <w:rPr>
          <w:rFonts w:ascii="Verdana" w:hAnsi="Verdana"/>
          <w:sz w:val="20"/>
          <w:lang w:val="pt-BR"/>
        </w:rPr>
        <w:t xml:space="preserve"> à proteção</w:t>
      </w:r>
      <w:r w:rsidR="004756C1" w:rsidRPr="002F50BD">
        <w:rPr>
          <w:rFonts w:ascii="Verdana" w:hAnsi="Verdana"/>
          <w:sz w:val="20"/>
          <w:lang w:val="pt-BR"/>
        </w:rPr>
        <w:t xml:space="preserve"> contra </w:t>
      </w:r>
      <w:r w:rsidR="00CD2AE8" w:rsidRPr="002F50BD">
        <w:rPr>
          <w:rFonts w:ascii="Verdana" w:hAnsi="Verdana"/>
          <w:sz w:val="20"/>
          <w:lang w:val="pt-BR"/>
        </w:rPr>
        <w:t>sua privação</w:t>
      </w:r>
      <w:r w:rsidR="004756C1" w:rsidRPr="002F50BD">
        <w:rPr>
          <w:rFonts w:ascii="Verdana" w:hAnsi="Verdana"/>
          <w:sz w:val="20"/>
          <w:lang w:val="pt-BR"/>
        </w:rPr>
        <w:t xml:space="preserve"> </w:t>
      </w:r>
      <w:r w:rsidR="0089298C" w:rsidRPr="002F50BD">
        <w:rPr>
          <w:rFonts w:ascii="Verdana" w:hAnsi="Verdana"/>
          <w:sz w:val="20"/>
          <w:lang w:val="pt-BR"/>
        </w:rPr>
        <w:t>arbitrária</w:t>
      </w:r>
      <w:r w:rsidR="004756C1" w:rsidRPr="002F50BD">
        <w:rPr>
          <w:rFonts w:ascii="Verdana" w:hAnsi="Verdana"/>
          <w:sz w:val="20"/>
          <w:lang w:val="pt-BR"/>
        </w:rPr>
        <w:t>,</w:t>
      </w:r>
      <w:r w:rsidR="0089298C" w:rsidRPr="002F50BD">
        <w:rPr>
          <w:rFonts w:ascii="Verdana" w:hAnsi="Verdana"/>
          <w:sz w:val="20"/>
          <w:lang w:val="pt-BR"/>
        </w:rPr>
        <w:t xml:space="preserve"> mas requer</w:t>
      </w:r>
      <w:r w:rsidR="00CD2AE8"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 xml:space="preserve">por parte </w:t>
      </w:r>
      <w:r w:rsidR="0089298C" w:rsidRPr="002F50BD">
        <w:rPr>
          <w:rFonts w:ascii="Verdana" w:hAnsi="Verdana"/>
          <w:sz w:val="20"/>
          <w:lang w:val="pt-BR"/>
        </w:rPr>
        <w:t xml:space="preserve">do </w:t>
      </w:r>
      <w:r w:rsidR="004756C1" w:rsidRPr="002F50BD">
        <w:rPr>
          <w:rFonts w:ascii="Verdana" w:hAnsi="Verdana"/>
          <w:sz w:val="20"/>
          <w:lang w:val="pt-BR"/>
        </w:rPr>
        <w:t>Estado</w:t>
      </w:r>
      <w:r w:rsidR="00CD2AE8" w:rsidRPr="002F50BD">
        <w:rPr>
          <w:rFonts w:ascii="Verdana" w:hAnsi="Verdana"/>
          <w:sz w:val="20"/>
          <w:lang w:val="pt-BR"/>
        </w:rPr>
        <w:t>,</w:t>
      </w:r>
      <w:r w:rsidR="004756C1" w:rsidRPr="002F50BD">
        <w:rPr>
          <w:rFonts w:ascii="Verdana" w:hAnsi="Verdana"/>
          <w:sz w:val="20"/>
          <w:lang w:val="pt-BR"/>
        </w:rPr>
        <w:t xml:space="preserve"> </w:t>
      </w:r>
      <w:r w:rsidR="00CD2AE8" w:rsidRPr="002F50BD">
        <w:rPr>
          <w:rFonts w:ascii="Verdana" w:hAnsi="Verdana"/>
          <w:sz w:val="20"/>
          <w:lang w:val="pt-BR"/>
        </w:rPr>
        <w:t xml:space="preserve">de </w:t>
      </w:r>
      <w:r w:rsidR="004756C1" w:rsidRPr="002F50BD">
        <w:rPr>
          <w:rFonts w:ascii="Verdana" w:hAnsi="Verdana"/>
          <w:i/>
          <w:sz w:val="20"/>
          <w:lang w:val="pt-BR"/>
        </w:rPr>
        <w:t>medidas positivas</w:t>
      </w:r>
      <w:r w:rsidR="004756C1" w:rsidRPr="002F50BD">
        <w:rPr>
          <w:rFonts w:ascii="Verdana" w:hAnsi="Verdana"/>
          <w:sz w:val="20"/>
          <w:lang w:val="pt-BR"/>
        </w:rPr>
        <w:t xml:space="preserve"> para </w:t>
      </w:r>
      <w:r w:rsidR="0089298C" w:rsidRPr="002F50BD">
        <w:rPr>
          <w:rFonts w:ascii="Verdana" w:hAnsi="Verdana"/>
          <w:sz w:val="20"/>
          <w:lang w:val="pt-BR"/>
        </w:rPr>
        <w:t>assegurar</w:t>
      </w:r>
      <w:r w:rsidR="004756C1" w:rsidRPr="002F50BD">
        <w:rPr>
          <w:rFonts w:ascii="Verdana" w:hAnsi="Verdana"/>
          <w:sz w:val="20"/>
          <w:lang w:val="pt-BR"/>
        </w:rPr>
        <w:t xml:space="preserve"> s</w:t>
      </w:r>
      <w:r w:rsidR="00CD2AE8" w:rsidRPr="002F50BD">
        <w:rPr>
          <w:rFonts w:ascii="Verdana" w:hAnsi="Verdana"/>
          <w:sz w:val="20"/>
          <w:lang w:val="pt-BR"/>
        </w:rPr>
        <w:t>e</w:t>
      </w:r>
      <w:r w:rsidR="004756C1" w:rsidRPr="002F50BD">
        <w:rPr>
          <w:rFonts w:ascii="Verdana" w:hAnsi="Verdana"/>
          <w:sz w:val="20"/>
          <w:lang w:val="pt-BR"/>
        </w:rPr>
        <w:t xml:space="preserve">u pleno </w:t>
      </w:r>
      <w:r w:rsidR="00CD2AE8" w:rsidRPr="002F50BD">
        <w:rPr>
          <w:rFonts w:ascii="Verdana" w:hAnsi="Verdana"/>
          <w:sz w:val="20"/>
          <w:lang w:val="pt-BR"/>
        </w:rPr>
        <w:t>gozo</w:t>
      </w:r>
      <w:r w:rsidR="004756C1" w:rsidRPr="002F50BD">
        <w:rPr>
          <w:rFonts w:ascii="Verdana" w:hAnsi="Verdana"/>
          <w:sz w:val="20"/>
          <w:lang w:val="pt-BR"/>
        </w:rPr>
        <w:t>. Tr</w:t>
      </w:r>
      <w:r w:rsidR="00CD2AE8" w:rsidRPr="002F50BD">
        <w:rPr>
          <w:rFonts w:ascii="Verdana" w:hAnsi="Verdana"/>
          <w:sz w:val="20"/>
          <w:lang w:val="pt-BR"/>
        </w:rPr>
        <w:t>a</w:t>
      </w:r>
      <w:r w:rsidR="004756C1" w:rsidRPr="002F50BD">
        <w:rPr>
          <w:rFonts w:ascii="Verdana" w:hAnsi="Verdana"/>
          <w:sz w:val="20"/>
          <w:lang w:val="pt-BR"/>
        </w:rPr>
        <w:t>ta</w:t>
      </w:r>
      <w:r w:rsidR="00CD2AE8" w:rsidRPr="002F50BD">
        <w:rPr>
          <w:rFonts w:ascii="Verdana" w:hAnsi="Verdana"/>
          <w:sz w:val="20"/>
          <w:lang w:val="pt-BR"/>
        </w:rPr>
        <w:t>-</w:t>
      </w:r>
      <w:r w:rsidR="004756C1" w:rsidRPr="002F50BD">
        <w:rPr>
          <w:rFonts w:ascii="Verdana" w:hAnsi="Verdana"/>
          <w:sz w:val="20"/>
          <w:lang w:val="pt-BR"/>
        </w:rPr>
        <w:t>se de</w:t>
      </w:r>
      <w:r w:rsidR="0089298C" w:rsidRPr="002F50BD">
        <w:rPr>
          <w:rFonts w:ascii="Verdana" w:hAnsi="Verdana"/>
          <w:sz w:val="20"/>
          <w:lang w:val="pt-BR"/>
        </w:rPr>
        <w:t xml:space="preserve"> um direito</w:t>
      </w:r>
      <w:r w:rsidR="004756C1" w:rsidRPr="002F50BD">
        <w:rPr>
          <w:rFonts w:ascii="Verdana" w:hAnsi="Verdana"/>
          <w:sz w:val="20"/>
          <w:lang w:val="pt-BR"/>
        </w:rPr>
        <w:t xml:space="preserve"> fundamental, </w:t>
      </w:r>
      <w:r w:rsidR="0089298C" w:rsidRPr="002F50BD">
        <w:rPr>
          <w:rFonts w:ascii="Verdana" w:hAnsi="Verdana"/>
          <w:sz w:val="20"/>
          <w:lang w:val="pt-BR"/>
        </w:rPr>
        <w:t>cuja</w:t>
      </w:r>
      <w:r w:rsidR="004756C1" w:rsidRPr="002F50BD">
        <w:rPr>
          <w:rFonts w:ascii="Verdana" w:hAnsi="Verdana"/>
          <w:sz w:val="20"/>
          <w:lang w:val="pt-BR"/>
        </w:rPr>
        <w:t xml:space="preserve"> </w:t>
      </w:r>
      <w:r w:rsidR="0089298C" w:rsidRPr="002F50BD">
        <w:rPr>
          <w:rFonts w:ascii="Verdana" w:hAnsi="Verdana"/>
          <w:sz w:val="20"/>
          <w:lang w:val="pt-BR"/>
        </w:rPr>
        <w:t>importância foi devidamente</w:t>
      </w:r>
      <w:r w:rsidR="004756C1" w:rsidRPr="002F50BD">
        <w:rPr>
          <w:rFonts w:ascii="Verdana" w:hAnsi="Verdana"/>
          <w:sz w:val="20"/>
          <w:lang w:val="pt-BR"/>
        </w:rPr>
        <w:t xml:space="preserve"> enfatizada</w:t>
      </w:r>
      <w:r w:rsidR="0089298C" w:rsidRPr="002F50BD">
        <w:rPr>
          <w:rFonts w:ascii="Verdana" w:hAnsi="Verdana"/>
          <w:sz w:val="20"/>
          <w:lang w:val="pt-BR"/>
        </w:rPr>
        <w:t xml:space="preserve"> pela </w:t>
      </w:r>
      <w:r w:rsidR="004756C1" w:rsidRPr="002F50BD">
        <w:rPr>
          <w:rFonts w:ascii="Verdana" w:hAnsi="Verdana"/>
          <w:sz w:val="20"/>
          <w:lang w:val="pt-BR"/>
        </w:rPr>
        <w:t>Corte</w:t>
      </w:r>
      <w:r w:rsidR="0089298C" w:rsidRPr="002F50BD">
        <w:rPr>
          <w:rFonts w:ascii="Verdana" w:hAnsi="Verdana"/>
          <w:sz w:val="20"/>
          <w:lang w:val="pt-BR"/>
        </w:rPr>
        <w:t xml:space="preserve"> em </w:t>
      </w:r>
      <w:r w:rsidR="004756C1" w:rsidRPr="002F50BD">
        <w:rPr>
          <w:rFonts w:ascii="Verdana" w:hAnsi="Verdana"/>
          <w:sz w:val="20"/>
          <w:lang w:val="pt-BR"/>
        </w:rPr>
        <w:t xml:space="preserve">toda </w:t>
      </w:r>
      <w:r w:rsidR="0089298C" w:rsidRPr="002F50BD">
        <w:rPr>
          <w:rFonts w:ascii="Verdana" w:hAnsi="Verdana"/>
          <w:sz w:val="20"/>
          <w:lang w:val="pt-BR"/>
        </w:rPr>
        <w:t xml:space="preserve">sua jurisprudência </w:t>
      </w:r>
      <w:r w:rsidR="004756C1" w:rsidRPr="002F50BD">
        <w:rPr>
          <w:rFonts w:ascii="Verdana" w:hAnsi="Verdana"/>
          <w:sz w:val="20"/>
          <w:lang w:val="pt-BR"/>
        </w:rPr>
        <w:t>sobre</w:t>
      </w:r>
      <w:r w:rsidR="0089298C" w:rsidRPr="002F50BD">
        <w:rPr>
          <w:rFonts w:ascii="Verdana" w:hAnsi="Verdana"/>
          <w:sz w:val="20"/>
          <w:lang w:val="pt-BR"/>
        </w:rPr>
        <w:t xml:space="preserve"> a matéria </w:t>
      </w:r>
      <w:r w:rsidR="00CF451D" w:rsidRPr="00CF451D">
        <w:rPr>
          <w:rFonts w:ascii="Verdana" w:hAnsi="Verdana"/>
          <w:sz w:val="20"/>
          <w:lang w:val="pt-BR"/>
        </w:rPr>
        <w:t>(</w:t>
      </w:r>
      <w:r w:rsidR="0089298C" w:rsidRPr="002F50BD">
        <w:rPr>
          <w:rFonts w:ascii="Verdana" w:hAnsi="Verdana"/>
          <w:sz w:val="20"/>
          <w:lang w:val="pt-BR"/>
        </w:rPr>
        <w:t>pars.</w:t>
      </w:r>
      <w:r w:rsidR="004756C1" w:rsidRPr="002F50BD">
        <w:rPr>
          <w:rFonts w:ascii="Verdana" w:hAnsi="Verdana"/>
          <w:sz w:val="20"/>
          <w:lang w:val="pt-BR"/>
        </w:rPr>
        <w:t xml:space="preserve"> </w:t>
      </w:r>
      <w:r w:rsidRPr="002F50BD">
        <w:rPr>
          <w:rFonts w:ascii="Verdana" w:hAnsi="Verdana"/>
          <w:sz w:val="20"/>
          <w:lang w:val="pt-BR"/>
        </w:rPr>
        <w:t>21</w:t>
      </w:r>
      <w:r w:rsidR="004756C1" w:rsidRPr="002F50BD">
        <w:rPr>
          <w:rFonts w:ascii="Verdana" w:hAnsi="Verdana"/>
          <w:sz w:val="20"/>
          <w:lang w:val="pt-BR"/>
        </w:rPr>
        <w:t>-</w:t>
      </w:r>
      <w:r w:rsidRPr="002F50BD">
        <w:rPr>
          <w:rFonts w:ascii="Verdana" w:hAnsi="Verdana"/>
          <w:sz w:val="20"/>
          <w:lang w:val="pt-BR"/>
        </w:rPr>
        <w:t>22</w:t>
      </w:r>
      <w:r w:rsidR="004756C1" w:rsidRPr="002F50BD">
        <w:rPr>
          <w:rFonts w:ascii="Verdana" w:hAnsi="Verdana"/>
          <w:sz w:val="20"/>
          <w:lang w:val="pt-BR"/>
        </w:rPr>
        <w:t xml:space="preserve">, </w:t>
      </w:r>
      <w:r w:rsidR="004756C1" w:rsidRPr="002F50BD">
        <w:rPr>
          <w:rFonts w:ascii="Verdana" w:hAnsi="Verdana"/>
          <w:i/>
          <w:sz w:val="20"/>
          <w:lang w:val="pt-BR"/>
        </w:rPr>
        <w:t>infra</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r w:rsidR="0089298C" w:rsidRPr="002F50BD">
        <w:rPr>
          <w:rFonts w:ascii="Verdana" w:hAnsi="Verdana"/>
          <w:sz w:val="20"/>
          <w:lang w:val="pt-BR"/>
        </w:rPr>
        <w:t>Do mesm</w:t>
      </w:r>
      <w:r w:rsidR="004756C1" w:rsidRPr="002F50BD">
        <w:rPr>
          <w:rFonts w:ascii="Verdana" w:hAnsi="Verdana"/>
          <w:sz w:val="20"/>
          <w:lang w:val="pt-BR"/>
        </w:rPr>
        <w:t>o modo,</w:t>
      </w:r>
      <w:r w:rsidR="0089298C" w:rsidRPr="002F50BD">
        <w:rPr>
          <w:rFonts w:ascii="Verdana" w:hAnsi="Verdana"/>
          <w:sz w:val="20"/>
          <w:lang w:val="pt-BR"/>
        </w:rPr>
        <w:t xml:space="preserve"> a tese das obrigações</w:t>
      </w:r>
      <w:r w:rsidR="004756C1" w:rsidRPr="002F50BD">
        <w:rPr>
          <w:rFonts w:ascii="Verdana" w:hAnsi="Verdana"/>
          <w:sz w:val="20"/>
          <w:lang w:val="pt-BR"/>
        </w:rPr>
        <w:t xml:space="preserve"> positivas </w:t>
      </w:r>
      <w:r w:rsidR="0089298C" w:rsidRPr="002F50BD">
        <w:rPr>
          <w:rFonts w:ascii="Verdana" w:hAnsi="Verdana"/>
          <w:sz w:val="20"/>
          <w:lang w:val="pt-BR"/>
        </w:rPr>
        <w:t xml:space="preserve">do </w:t>
      </w:r>
      <w:r w:rsidR="004756C1" w:rsidRPr="002F50BD">
        <w:rPr>
          <w:rFonts w:ascii="Verdana" w:hAnsi="Verdana"/>
          <w:sz w:val="20"/>
          <w:lang w:val="pt-BR"/>
        </w:rPr>
        <w:t xml:space="preserve">Estado se </w:t>
      </w:r>
      <w:r w:rsidR="0089298C" w:rsidRPr="002F50BD">
        <w:rPr>
          <w:rFonts w:ascii="Verdana" w:hAnsi="Verdana"/>
          <w:sz w:val="20"/>
          <w:lang w:val="pt-BR"/>
        </w:rPr>
        <w:t>encontra hoje dia</w:t>
      </w:r>
      <w:r w:rsidR="004756C1" w:rsidRPr="002F50BD">
        <w:rPr>
          <w:rFonts w:ascii="Verdana" w:hAnsi="Verdana"/>
          <w:sz w:val="20"/>
          <w:lang w:val="pt-BR"/>
        </w:rPr>
        <w:t xml:space="preserve"> universalmente consagrada</w:t>
      </w:r>
      <w:r w:rsidR="0089298C" w:rsidRPr="002F50BD">
        <w:rPr>
          <w:rFonts w:ascii="Verdana" w:hAnsi="Verdana"/>
          <w:sz w:val="20"/>
          <w:lang w:val="pt-BR"/>
        </w:rPr>
        <w:t xml:space="preserve"> na doutrina</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Esta</w:t>
      </w:r>
      <w:r w:rsidR="004756C1" w:rsidRPr="002F50BD">
        <w:rPr>
          <w:rFonts w:ascii="Verdana" w:hAnsi="Verdana"/>
          <w:sz w:val="20"/>
          <w:lang w:val="pt-BR"/>
        </w:rPr>
        <w:t xml:space="preserve">s </w:t>
      </w:r>
      <w:r w:rsidR="0089298C" w:rsidRPr="002F50BD">
        <w:rPr>
          <w:rFonts w:ascii="Verdana" w:hAnsi="Verdana"/>
          <w:sz w:val="20"/>
          <w:lang w:val="pt-BR"/>
        </w:rPr>
        <w:t>obrigações</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 xml:space="preserve">ção </w:t>
      </w:r>
      <w:r w:rsidR="00CD2AE8" w:rsidRPr="002F50BD">
        <w:rPr>
          <w:rFonts w:ascii="Verdana" w:hAnsi="Verdana"/>
          <w:sz w:val="20"/>
          <w:lang w:val="pt-BR"/>
        </w:rPr>
        <w:t>a</w:t>
      </w:r>
      <w:r w:rsidR="0089298C" w:rsidRPr="002F50BD">
        <w:rPr>
          <w:rFonts w:ascii="Verdana" w:hAnsi="Verdana"/>
          <w:sz w:val="20"/>
          <w:lang w:val="pt-BR"/>
        </w:rPr>
        <w:t xml:space="preserve">o direito à </w:t>
      </w:r>
      <w:r w:rsidR="004756C1" w:rsidRPr="002F50BD">
        <w:rPr>
          <w:rFonts w:ascii="Verdana" w:hAnsi="Verdana"/>
          <w:sz w:val="20"/>
          <w:lang w:val="pt-BR"/>
        </w:rPr>
        <w:t xml:space="preserve">vida, </w:t>
      </w:r>
      <w:r w:rsidR="0089298C" w:rsidRPr="002F50BD">
        <w:rPr>
          <w:rFonts w:ascii="Verdana" w:hAnsi="Verdana"/>
          <w:sz w:val="20"/>
          <w:lang w:val="pt-BR"/>
        </w:rPr>
        <w:t>decorrem</w:t>
      </w:r>
      <w:r w:rsidR="004756C1" w:rsidRPr="002F50BD">
        <w:rPr>
          <w:rFonts w:ascii="Verdana" w:hAnsi="Verdana"/>
          <w:sz w:val="20"/>
          <w:lang w:val="pt-BR"/>
        </w:rPr>
        <w:t xml:space="preserve"> claramente</w:t>
      </w:r>
      <w:r w:rsidR="0089298C" w:rsidRPr="002F50BD">
        <w:rPr>
          <w:rFonts w:ascii="Verdana" w:hAnsi="Verdana"/>
          <w:sz w:val="20"/>
          <w:lang w:val="pt-BR"/>
        </w:rPr>
        <w:t xml:space="preserve"> da </w:t>
      </w:r>
      <w:r w:rsidR="004076AD" w:rsidRPr="002F50BD">
        <w:rPr>
          <w:rFonts w:ascii="Verdana" w:hAnsi="Verdana"/>
          <w:sz w:val="20"/>
          <w:lang w:val="pt-BR"/>
        </w:rPr>
        <w:t>leitura</w:t>
      </w:r>
      <w:r w:rsidR="004756C1" w:rsidRPr="002F50BD">
        <w:rPr>
          <w:rFonts w:ascii="Verdana" w:hAnsi="Verdana"/>
          <w:sz w:val="20"/>
          <w:lang w:val="pt-BR"/>
        </w:rPr>
        <w:t xml:space="preserve"> conjunta</w:t>
      </w:r>
      <w:r w:rsidR="0089298C" w:rsidRPr="002F50BD">
        <w:rPr>
          <w:rFonts w:ascii="Verdana" w:hAnsi="Verdana"/>
          <w:sz w:val="20"/>
          <w:lang w:val="pt-BR"/>
        </w:rPr>
        <w:t xml:space="preserve"> dos artigo</w:t>
      </w:r>
      <w:r w:rsidR="004756C1" w:rsidRPr="002F50BD">
        <w:rPr>
          <w:rFonts w:ascii="Verdana" w:hAnsi="Verdana"/>
          <w:sz w:val="20"/>
          <w:lang w:val="pt-BR"/>
        </w:rPr>
        <w:t xml:space="preserve">s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e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CD2AE8" w:rsidRPr="002F50BD">
        <w:rPr>
          <w:rFonts w:ascii="Verdana" w:hAnsi="Verdana"/>
          <w:sz w:val="20"/>
          <w:lang w:val="pt-BR"/>
        </w:rPr>
        <w:t>D</w:t>
      </w:r>
      <w:r w:rsidR="0089298C" w:rsidRPr="002F50BD">
        <w:rPr>
          <w:rFonts w:ascii="Verdana" w:hAnsi="Verdana"/>
          <w:sz w:val="20"/>
          <w:lang w:val="pt-BR"/>
        </w:rPr>
        <w:t xml:space="preserve">esse </w:t>
      </w:r>
      <w:r w:rsidR="004756C1" w:rsidRPr="002F50BD">
        <w:rPr>
          <w:rFonts w:ascii="Verdana" w:hAnsi="Verdana"/>
          <w:sz w:val="20"/>
          <w:lang w:val="pt-BR"/>
        </w:rPr>
        <w:t>modo,</w:t>
      </w:r>
      <w:r w:rsidR="0089298C" w:rsidRPr="002F50BD">
        <w:rPr>
          <w:rFonts w:ascii="Verdana" w:hAnsi="Verdana"/>
          <w:sz w:val="20"/>
          <w:lang w:val="pt-BR"/>
        </w:rPr>
        <w:t xml:space="preserve"> as morte</w:t>
      </w:r>
      <w:r w:rsidR="004756C1" w:rsidRPr="002F50BD">
        <w:rPr>
          <w:rFonts w:ascii="Verdana" w:hAnsi="Verdana"/>
          <w:sz w:val="20"/>
          <w:lang w:val="pt-BR"/>
        </w:rPr>
        <w:t>s</w:t>
      </w:r>
      <w:r w:rsidR="0089298C" w:rsidRPr="002F50BD">
        <w:rPr>
          <w:rFonts w:ascii="Verdana" w:hAnsi="Verdana"/>
          <w:sz w:val="20"/>
          <w:lang w:val="pt-BR"/>
        </w:rPr>
        <w:t xml:space="preserve"> das dez pessoa</w:t>
      </w:r>
      <w:r w:rsidR="004756C1" w:rsidRPr="002F50BD">
        <w:rPr>
          <w:rFonts w:ascii="Verdana" w:hAnsi="Verdana"/>
          <w:sz w:val="20"/>
          <w:lang w:val="pt-BR"/>
        </w:rPr>
        <w:t xml:space="preserve">s anteriormente relacionadas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8</w:t>
      </w:r>
      <w:r w:rsidR="004756C1" w:rsidRPr="002F50BD">
        <w:rPr>
          <w:rFonts w:ascii="Verdana" w:hAnsi="Verdana"/>
          <w:sz w:val="20"/>
          <w:lang w:val="pt-BR"/>
        </w:rPr>
        <w:t xml:space="preserve">, </w:t>
      </w:r>
      <w:r w:rsidR="004756C1" w:rsidRPr="002F50BD">
        <w:rPr>
          <w:rFonts w:ascii="Verdana" w:hAnsi="Verdana"/>
          <w:i/>
          <w:sz w:val="20"/>
          <w:lang w:val="pt-BR"/>
        </w:rPr>
        <w:t>supra</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 xml:space="preserve">lugar de </w:t>
      </w:r>
      <w:r w:rsidR="0089298C" w:rsidRPr="002F50BD">
        <w:rPr>
          <w:rFonts w:ascii="Verdana" w:hAnsi="Verdana"/>
          <w:sz w:val="20"/>
          <w:lang w:val="pt-BR"/>
        </w:rPr>
        <w:t xml:space="preserve">requerer da </w:t>
      </w:r>
      <w:r w:rsidR="004756C1" w:rsidRPr="002F50BD">
        <w:rPr>
          <w:rFonts w:ascii="Verdana" w:hAnsi="Verdana"/>
          <w:sz w:val="20"/>
          <w:lang w:val="pt-BR"/>
        </w:rPr>
        <w:t xml:space="preserve">Corte </w:t>
      </w:r>
      <w:r w:rsidR="0089298C" w:rsidRPr="002F50BD">
        <w:rPr>
          <w:rFonts w:ascii="Verdana" w:hAnsi="Verdana"/>
          <w:sz w:val="20"/>
          <w:lang w:val="pt-BR"/>
        </w:rPr>
        <w:t>prova</w:t>
      </w:r>
      <w:r w:rsidR="004756C1" w:rsidRPr="002F50BD">
        <w:rPr>
          <w:rFonts w:ascii="Verdana" w:hAnsi="Verdana"/>
          <w:sz w:val="20"/>
          <w:lang w:val="pt-BR"/>
        </w:rPr>
        <w:t xml:space="preserve">s </w:t>
      </w:r>
      <w:r w:rsidR="0089298C" w:rsidRPr="002F50BD">
        <w:rPr>
          <w:rFonts w:ascii="Verdana" w:hAnsi="Verdana"/>
          <w:sz w:val="20"/>
          <w:lang w:val="pt-BR"/>
        </w:rPr>
        <w:t>adicionais</w:t>
      </w:r>
      <w:r w:rsidR="004756C1" w:rsidRPr="002F50BD">
        <w:rPr>
          <w:rFonts w:ascii="Verdana" w:hAnsi="Verdana"/>
          <w:sz w:val="20"/>
          <w:lang w:val="pt-BR"/>
        </w:rPr>
        <w:t xml:space="preserve">, </w:t>
      </w:r>
      <w:r w:rsidR="0089298C" w:rsidRPr="002F50BD">
        <w:rPr>
          <w:rFonts w:ascii="Verdana" w:hAnsi="Verdana"/>
          <w:sz w:val="20"/>
          <w:lang w:val="pt-BR"/>
        </w:rPr>
        <w:t>constitu</w:t>
      </w:r>
      <w:r w:rsidR="00CD2AE8" w:rsidRPr="002F50BD">
        <w:rPr>
          <w:rFonts w:ascii="Verdana" w:hAnsi="Verdana"/>
          <w:sz w:val="20"/>
          <w:lang w:val="pt-BR"/>
        </w:rPr>
        <w:t>em</w:t>
      </w:r>
      <w:r w:rsidR="002D617B" w:rsidRPr="002F50BD">
        <w:rPr>
          <w:rFonts w:ascii="Verdana" w:hAnsi="Verdana"/>
          <w:sz w:val="20"/>
          <w:lang w:val="pt-BR"/>
        </w:rPr>
        <w:t>,</w:t>
      </w:r>
      <w:r w:rsidR="00CD2AE8" w:rsidRPr="002F50BD">
        <w:rPr>
          <w:rFonts w:ascii="Verdana" w:hAnsi="Verdana"/>
          <w:sz w:val="20"/>
          <w:lang w:val="pt-BR"/>
        </w:rPr>
        <w:t xml:space="preserve"> </w:t>
      </w:r>
      <w:r w:rsidR="00243D2E" w:rsidRPr="002F50BD">
        <w:rPr>
          <w:rFonts w:ascii="Verdana" w:hAnsi="Verdana"/>
          <w:sz w:val="20"/>
          <w:lang w:val="pt-BR"/>
        </w:rPr>
        <w:t>a</w:t>
      </w:r>
      <w:r w:rsidR="00CD2AE8"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juízo</w:t>
      </w:r>
      <w:r w:rsidR="002D617B" w:rsidRPr="002F50BD">
        <w:rPr>
          <w:rFonts w:ascii="Verdana" w:hAnsi="Verdana"/>
          <w:sz w:val="20"/>
          <w:lang w:val="pt-BR"/>
        </w:rPr>
        <w:t>,</w:t>
      </w:r>
      <w:r w:rsidR="0089298C" w:rsidRPr="002F50BD">
        <w:rPr>
          <w:rFonts w:ascii="Verdana" w:hAnsi="Verdana"/>
          <w:sz w:val="20"/>
          <w:lang w:val="pt-BR"/>
        </w:rPr>
        <w:t xml:space="preserve"> uma </w:t>
      </w:r>
      <w:r w:rsidR="00CD2AE8" w:rsidRPr="002F50BD">
        <w:rPr>
          <w:rFonts w:ascii="Verdana" w:hAnsi="Verdana"/>
          <w:sz w:val="20"/>
          <w:lang w:val="pt-BR"/>
        </w:rPr>
        <w:t>circunstância</w:t>
      </w:r>
      <w:r w:rsidR="004756C1" w:rsidRPr="002F50BD">
        <w:rPr>
          <w:rFonts w:ascii="Verdana" w:hAnsi="Verdana"/>
          <w:sz w:val="20"/>
          <w:lang w:val="pt-BR"/>
        </w:rPr>
        <w:t xml:space="preserve"> </w:t>
      </w:r>
      <w:r w:rsidR="004756C1" w:rsidRPr="002F50BD">
        <w:rPr>
          <w:rFonts w:ascii="Verdana" w:hAnsi="Verdana"/>
          <w:i/>
          <w:sz w:val="20"/>
          <w:lang w:val="pt-BR"/>
        </w:rPr>
        <w:t>agravante</w:t>
      </w:r>
      <w:r w:rsidR="0089298C" w:rsidRPr="002F50BD">
        <w:rPr>
          <w:rFonts w:ascii="Verdana" w:hAnsi="Verdana"/>
          <w:sz w:val="20"/>
          <w:lang w:val="pt-BR"/>
        </w:rPr>
        <w:t xml:space="preserve"> da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anteriormente </w:t>
      </w:r>
      <w:r w:rsidR="0089298C" w:rsidRPr="002F50BD">
        <w:rPr>
          <w:rFonts w:ascii="Verdana" w:hAnsi="Verdana"/>
          <w:sz w:val="20"/>
          <w:lang w:val="pt-BR"/>
        </w:rPr>
        <w:t>estabelecid</w:t>
      </w:r>
      <w:r w:rsidR="004756C1" w:rsidRPr="002F50BD">
        <w:rPr>
          <w:rFonts w:ascii="Verdana" w:hAnsi="Verdana"/>
          <w:sz w:val="20"/>
          <w:lang w:val="pt-BR"/>
        </w:rPr>
        <w:t>a</w:t>
      </w:r>
      <w:r w:rsidR="0089298C" w:rsidRPr="002F50BD">
        <w:rPr>
          <w:rFonts w:ascii="Verdana" w:hAnsi="Verdana"/>
          <w:sz w:val="20"/>
          <w:lang w:val="pt-BR"/>
        </w:rPr>
        <w:t xml:space="preserve"> pela </w:t>
      </w:r>
      <w:r w:rsidR="004756C1" w:rsidRPr="002F50BD">
        <w:rPr>
          <w:rFonts w:ascii="Verdana" w:hAnsi="Verdana"/>
          <w:sz w:val="20"/>
          <w:lang w:val="pt-BR"/>
        </w:rPr>
        <w:t>Corte,</w:t>
      </w:r>
      <w:r w:rsidR="0089298C" w:rsidRPr="002F50BD">
        <w:rPr>
          <w:rFonts w:ascii="Verdana" w:hAnsi="Verdana"/>
          <w:sz w:val="20"/>
          <w:lang w:val="pt-BR"/>
        </w:rPr>
        <w:t xml:space="preserve"> dos artigo</w:t>
      </w:r>
      <w:r w:rsidR="004756C1" w:rsidRPr="002F50BD">
        <w:rPr>
          <w:rFonts w:ascii="Verdana" w:hAnsi="Verdana"/>
          <w:sz w:val="20"/>
          <w:lang w:val="pt-BR"/>
        </w:rPr>
        <w:t xml:space="preserve">s </w:t>
      </w:r>
      <w:r w:rsidRPr="002F50BD">
        <w:rPr>
          <w:rFonts w:ascii="Verdana" w:hAnsi="Verdana"/>
          <w:sz w:val="20"/>
          <w:lang w:val="pt-BR"/>
        </w:rPr>
        <w:t>4</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e </w:t>
      </w:r>
      <w:r w:rsidRPr="002F50BD">
        <w:rPr>
          <w:rFonts w:ascii="Verdana" w:hAnsi="Verdana"/>
          <w:sz w:val="20"/>
          <w:lang w:val="pt-BR"/>
        </w:rPr>
        <w:t>1</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 xml:space="preserve"> por parte </w:t>
      </w:r>
      <w:r w:rsidR="0089298C" w:rsidRPr="002F50BD">
        <w:rPr>
          <w:rFonts w:ascii="Verdana" w:hAnsi="Verdana"/>
          <w:sz w:val="20"/>
          <w:lang w:val="pt-BR"/>
        </w:rPr>
        <w:t xml:space="preserve">do </w:t>
      </w:r>
      <w:r w:rsidR="004756C1" w:rsidRPr="002F50BD">
        <w:rPr>
          <w:rFonts w:ascii="Verdana" w:hAnsi="Verdana"/>
          <w:sz w:val="20"/>
          <w:lang w:val="pt-BR"/>
        </w:rPr>
        <w:t>Estado.</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11</w:t>
      </w:r>
      <w:r w:rsidR="004756C1" w:rsidRPr="002F50BD">
        <w:rPr>
          <w:rFonts w:ascii="Verdana" w:hAnsi="Verdana"/>
          <w:sz w:val="20"/>
          <w:lang w:val="pt-BR"/>
        </w:rPr>
        <w:t>.</w:t>
      </w:r>
      <w:r w:rsidR="004756C1" w:rsidRPr="002F50BD">
        <w:rPr>
          <w:rFonts w:ascii="Verdana" w:hAnsi="Verdana"/>
          <w:sz w:val="20"/>
          <w:lang w:val="pt-BR"/>
        </w:rPr>
        <w:tab/>
        <w:t>E</w:t>
      </w:r>
      <w:r w:rsidR="00CD2AE8" w:rsidRPr="002F50BD">
        <w:rPr>
          <w:rFonts w:ascii="Verdana" w:hAnsi="Verdana"/>
          <w:sz w:val="20"/>
          <w:lang w:val="pt-BR"/>
        </w:rPr>
        <w:t>m</w:t>
      </w:r>
      <w:r w:rsidR="004756C1"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entendimento</w:t>
      </w:r>
      <w:r w:rsidR="004756C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“nexo causal” que tanto </w:t>
      </w:r>
      <w:r w:rsidR="0089298C" w:rsidRPr="002F50BD">
        <w:rPr>
          <w:rFonts w:ascii="Verdana" w:hAnsi="Verdana"/>
          <w:sz w:val="20"/>
          <w:lang w:val="pt-BR"/>
        </w:rPr>
        <w:t xml:space="preserve">buscava a maioria da </w:t>
      </w:r>
      <w:r w:rsidR="004756C1" w:rsidRPr="002F50BD">
        <w:rPr>
          <w:rFonts w:ascii="Verdana" w:hAnsi="Verdana"/>
          <w:sz w:val="20"/>
          <w:lang w:val="pt-BR"/>
        </w:rPr>
        <w:t xml:space="preserve">Corte </w:t>
      </w:r>
      <w:r w:rsidR="00CD2AE8" w:rsidRPr="002F50BD">
        <w:rPr>
          <w:rFonts w:ascii="Verdana" w:hAnsi="Verdana"/>
          <w:sz w:val="20"/>
          <w:lang w:val="pt-BR"/>
        </w:rPr>
        <w:t xml:space="preserve">encontra-se </w:t>
      </w:r>
      <w:r w:rsidR="004756C1" w:rsidRPr="002F50BD">
        <w:rPr>
          <w:rFonts w:ascii="Verdana" w:hAnsi="Verdana"/>
          <w:sz w:val="20"/>
          <w:lang w:val="pt-BR"/>
        </w:rPr>
        <w:t>claramente configurado</w:t>
      </w:r>
      <w:r w:rsidR="0089298C" w:rsidRPr="002F50BD">
        <w:rPr>
          <w:rFonts w:ascii="Verdana" w:hAnsi="Verdana"/>
          <w:sz w:val="20"/>
          <w:lang w:val="pt-BR"/>
        </w:rPr>
        <w:t xml:space="preserve"> na </w:t>
      </w:r>
      <w:r w:rsidR="004756C1" w:rsidRPr="002F50BD">
        <w:rPr>
          <w:rFonts w:ascii="Verdana" w:hAnsi="Verdana"/>
          <w:sz w:val="20"/>
          <w:lang w:val="pt-BR"/>
        </w:rPr>
        <w:t xml:space="preserve">falta de </w:t>
      </w:r>
      <w:r w:rsidR="0089298C" w:rsidRPr="002F50BD">
        <w:rPr>
          <w:rFonts w:ascii="Verdana" w:hAnsi="Verdana"/>
          <w:sz w:val="20"/>
          <w:lang w:val="pt-BR"/>
        </w:rPr>
        <w:t>devida diligência</w:t>
      </w:r>
      <w:r w:rsidR="004756C1" w:rsidRPr="002F50BD">
        <w:rPr>
          <w:rFonts w:ascii="Verdana" w:hAnsi="Verdana"/>
          <w:sz w:val="20"/>
          <w:lang w:val="pt-BR"/>
        </w:rPr>
        <w:t xml:space="preserve"> por parte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quanto às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 de </w:t>
      </w:r>
      <w:r w:rsidR="004756C1" w:rsidRPr="002F50BD">
        <w:rPr>
          <w:rFonts w:ascii="Verdana" w:hAnsi="Verdana"/>
          <w:i/>
          <w:sz w:val="20"/>
          <w:lang w:val="pt-BR"/>
        </w:rPr>
        <w:t>todos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0089298C" w:rsidRPr="002F50BD">
        <w:rPr>
          <w:rFonts w:ascii="Verdana" w:hAnsi="Verdana"/>
          <w:sz w:val="20"/>
          <w:lang w:val="pt-BR"/>
        </w:rPr>
        <w:t xml:space="preserve">responsabilidade </w:t>
      </w:r>
      <w:r w:rsidR="004756C1" w:rsidRPr="002F50BD">
        <w:rPr>
          <w:rFonts w:ascii="Verdana" w:hAnsi="Verdana"/>
          <w:sz w:val="20"/>
          <w:lang w:val="pt-BR"/>
        </w:rPr>
        <w:t xml:space="preserve">internacional objetiva </w:t>
      </w:r>
      <w:r w:rsidR="0089298C" w:rsidRPr="002F50BD">
        <w:rPr>
          <w:rFonts w:ascii="Verdana" w:hAnsi="Verdana"/>
          <w:sz w:val="20"/>
          <w:lang w:val="pt-BR"/>
        </w:rPr>
        <w:t xml:space="preserve">do </w:t>
      </w:r>
      <w:r w:rsidR="004756C1" w:rsidRPr="002F50BD">
        <w:rPr>
          <w:rFonts w:ascii="Verdana" w:hAnsi="Verdana"/>
          <w:sz w:val="20"/>
          <w:lang w:val="pt-BR"/>
        </w:rPr>
        <w:t>Estado</w:t>
      </w:r>
      <w:r w:rsidR="00CF451D" w:rsidRPr="00CF451D">
        <w:rPr>
          <w:rFonts w:ascii="Verdana" w:hAnsi="Verdana"/>
          <w:sz w:val="20"/>
          <w:lang w:val="pt-BR"/>
        </w:rPr>
        <w:t>)</w:t>
      </w:r>
      <w:r w:rsidR="00CD7100" w:rsidRPr="002F50BD">
        <w:rPr>
          <w:rFonts w:ascii="Verdana" w:hAnsi="Verdana"/>
          <w:sz w:val="20"/>
          <w:lang w:val="pt-BR"/>
        </w:rPr>
        <w:t xml:space="preserve">. </w:t>
      </w:r>
      <w:r w:rsidR="00CD2AE8" w:rsidRPr="002F50BD">
        <w:rPr>
          <w:rFonts w:ascii="Verdana" w:hAnsi="Verdana"/>
          <w:sz w:val="20"/>
          <w:lang w:val="pt-BR"/>
        </w:rPr>
        <w:t xml:space="preserve">Com </w:t>
      </w:r>
      <w:r w:rsidR="0089298C" w:rsidRPr="002F50BD">
        <w:rPr>
          <w:rFonts w:ascii="Verdana" w:hAnsi="Verdana"/>
          <w:sz w:val="20"/>
          <w:lang w:val="pt-BR"/>
        </w:rPr>
        <w:t>efeito</w:t>
      </w:r>
      <w:r w:rsidR="004756C1" w:rsidRPr="002F50BD">
        <w:rPr>
          <w:rFonts w:ascii="Verdana" w:hAnsi="Verdana"/>
          <w:sz w:val="20"/>
          <w:lang w:val="pt-BR"/>
        </w:rPr>
        <w:t xml:space="preserve">, </w:t>
      </w:r>
      <w:r w:rsidR="0089298C" w:rsidRPr="002F50BD">
        <w:rPr>
          <w:rFonts w:ascii="Verdana" w:hAnsi="Verdana"/>
          <w:sz w:val="20"/>
          <w:lang w:val="pt-BR"/>
        </w:rPr>
        <w:t>assim</w:t>
      </w:r>
      <w:r w:rsidR="004756C1" w:rsidRPr="002F50BD">
        <w:rPr>
          <w:rFonts w:ascii="Verdana" w:hAnsi="Verdana"/>
          <w:sz w:val="20"/>
          <w:lang w:val="pt-BR"/>
        </w:rPr>
        <w:t xml:space="preserve"> o </w:t>
      </w:r>
      <w:r w:rsidR="004076AD" w:rsidRPr="002F50BD">
        <w:rPr>
          <w:rFonts w:ascii="Verdana" w:hAnsi="Verdana"/>
          <w:sz w:val="20"/>
          <w:lang w:val="pt-BR"/>
        </w:rPr>
        <w:t>reconheceu</w:t>
      </w:r>
      <w:r w:rsidR="004756C1" w:rsidRPr="002F50BD">
        <w:rPr>
          <w:rFonts w:ascii="Verdana" w:hAnsi="Verdana"/>
          <w:sz w:val="20"/>
          <w:lang w:val="pt-BR"/>
        </w:rPr>
        <w:t xml:space="preserve"> </w:t>
      </w:r>
      <w:r w:rsidR="0089298C" w:rsidRPr="002F50BD">
        <w:rPr>
          <w:rFonts w:ascii="Verdana" w:hAnsi="Verdana"/>
          <w:sz w:val="20"/>
          <w:lang w:val="pt-BR"/>
        </w:rPr>
        <w:t>expressa</w:t>
      </w:r>
      <w:r w:rsidR="004756C1" w:rsidRPr="002F50BD">
        <w:rPr>
          <w:rFonts w:ascii="Verdana" w:hAnsi="Verdana"/>
          <w:sz w:val="20"/>
          <w:lang w:val="pt-BR"/>
        </w:rPr>
        <w:t>mente</w:t>
      </w:r>
      <w:r w:rsidR="0089298C" w:rsidRPr="002F50BD">
        <w:rPr>
          <w:rFonts w:ascii="Verdana" w:hAnsi="Verdana"/>
          <w:sz w:val="20"/>
          <w:lang w:val="pt-BR"/>
        </w:rPr>
        <w:t xml:space="preserve"> a própria </w:t>
      </w:r>
      <w:r w:rsidR="004756C1" w:rsidRPr="002F50BD">
        <w:rPr>
          <w:rFonts w:ascii="Verdana" w:hAnsi="Verdana"/>
          <w:sz w:val="20"/>
          <w:lang w:val="pt-BR"/>
        </w:rPr>
        <w:t>Corte</w:t>
      </w:r>
      <w:r w:rsidR="0089298C" w:rsidRPr="002F50BD">
        <w:rPr>
          <w:rFonts w:ascii="Verdana" w:hAnsi="Verdana"/>
          <w:sz w:val="20"/>
          <w:lang w:val="pt-BR"/>
        </w:rPr>
        <w:t xml:space="preserve"> no </w:t>
      </w:r>
      <w:r w:rsidR="004756C1" w:rsidRPr="002F50BD">
        <w:rPr>
          <w:rFonts w:ascii="Verdana" w:hAnsi="Verdana"/>
          <w:sz w:val="20"/>
          <w:lang w:val="pt-BR"/>
        </w:rPr>
        <w:t>presente caso,</w:t>
      </w:r>
      <w:r w:rsidR="0089298C" w:rsidRPr="002F50BD">
        <w:rPr>
          <w:rFonts w:ascii="Verdana" w:hAnsi="Verdana"/>
          <w:sz w:val="20"/>
          <w:lang w:val="pt-BR"/>
        </w:rPr>
        <w:t xml:space="preserve"> ao ter</w:t>
      </w:r>
      <w:r w:rsidR="004756C1" w:rsidRPr="002F50BD">
        <w:rPr>
          <w:rFonts w:ascii="Verdana" w:hAnsi="Verdana"/>
          <w:sz w:val="20"/>
          <w:lang w:val="pt-BR"/>
        </w:rPr>
        <w:t xml:space="preserve"> </w:t>
      </w:r>
      <w:r w:rsidR="0089298C" w:rsidRPr="002F50BD">
        <w:rPr>
          <w:rFonts w:ascii="Verdana" w:hAnsi="Verdana"/>
          <w:sz w:val="20"/>
          <w:lang w:val="pt-BR"/>
        </w:rPr>
        <w:t>indicado</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4756C1">
      <w:pPr>
        <w:ind w:left="720" w:right="720"/>
        <w:jc w:val="both"/>
        <w:rPr>
          <w:rFonts w:ascii="Verdana" w:hAnsi="Verdana"/>
          <w:sz w:val="16"/>
          <w:lang w:val="pt-BR"/>
        </w:rPr>
      </w:pPr>
      <w:r w:rsidRPr="002F50BD">
        <w:rPr>
          <w:rFonts w:ascii="Verdana" w:hAnsi="Verdana"/>
          <w:sz w:val="16"/>
          <w:lang w:val="pt-BR"/>
        </w:rPr>
        <w:t>Este Tribunal observa que</w:t>
      </w:r>
      <w:r w:rsidR="0089298C" w:rsidRPr="002F50BD">
        <w:rPr>
          <w:rFonts w:ascii="Verdana" w:hAnsi="Verdana"/>
          <w:sz w:val="16"/>
          <w:lang w:val="pt-BR"/>
        </w:rPr>
        <w:t xml:space="preserve"> a </w:t>
      </w:r>
      <w:r w:rsidRPr="002F50BD">
        <w:rPr>
          <w:rFonts w:ascii="Verdana" w:hAnsi="Verdana"/>
          <w:sz w:val="16"/>
          <w:lang w:val="pt-BR"/>
        </w:rPr>
        <w:t>falta de concre</w:t>
      </w:r>
      <w:r w:rsidR="00CD2AE8" w:rsidRPr="002F50BD">
        <w:rPr>
          <w:rFonts w:ascii="Verdana" w:hAnsi="Verdana"/>
          <w:sz w:val="16"/>
          <w:lang w:val="pt-BR"/>
        </w:rPr>
        <w:t xml:space="preserve">tude </w:t>
      </w:r>
      <w:r w:rsidR="0089298C" w:rsidRPr="002F50BD">
        <w:rPr>
          <w:rFonts w:ascii="Verdana" w:hAnsi="Verdana"/>
          <w:sz w:val="16"/>
          <w:lang w:val="pt-BR"/>
        </w:rPr>
        <w:t>do direito à propriedade</w:t>
      </w:r>
      <w:r w:rsidRPr="002F50BD">
        <w:rPr>
          <w:rFonts w:ascii="Verdana" w:hAnsi="Verdana"/>
          <w:sz w:val="16"/>
          <w:lang w:val="pt-BR"/>
        </w:rPr>
        <w:t xml:space="preserve"> comunal</w:t>
      </w:r>
      <w:r w:rsidR="0089298C" w:rsidRPr="002F50BD">
        <w:rPr>
          <w:rFonts w:ascii="Verdana" w:hAnsi="Verdana"/>
          <w:sz w:val="16"/>
          <w:lang w:val="pt-BR"/>
        </w:rPr>
        <w:t xml:space="preserve"> dos membro</w:t>
      </w:r>
      <w:r w:rsidRPr="002F50BD">
        <w:rPr>
          <w:rFonts w:ascii="Verdana" w:hAnsi="Verdana"/>
          <w:sz w:val="16"/>
          <w:lang w:val="pt-BR"/>
        </w:rPr>
        <w:t>s</w:t>
      </w:r>
      <w:r w:rsidR="0089298C" w:rsidRPr="002F50BD">
        <w:rPr>
          <w:rFonts w:ascii="Verdana" w:hAnsi="Verdana"/>
          <w:sz w:val="16"/>
          <w:lang w:val="pt-BR"/>
        </w:rPr>
        <w:t xml:space="preserve"> da Comunidade </w:t>
      </w:r>
      <w:r w:rsidRPr="002F50BD">
        <w:rPr>
          <w:rFonts w:ascii="Verdana" w:hAnsi="Verdana"/>
          <w:sz w:val="16"/>
          <w:lang w:val="pt-BR"/>
        </w:rPr>
        <w:t xml:space="preserve">Yakye Axa, </w:t>
      </w:r>
      <w:r w:rsidR="00CD2AE8" w:rsidRPr="002F50BD">
        <w:rPr>
          <w:rFonts w:ascii="Verdana" w:hAnsi="Verdana"/>
          <w:sz w:val="16"/>
          <w:lang w:val="pt-BR"/>
        </w:rPr>
        <w:t xml:space="preserve">bem </w:t>
      </w:r>
      <w:r w:rsidRPr="002F50BD">
        <w:rPr>
          <w:rFonts w:ascii="Verdana" w:hAnsi="Verdana"/>
          <w:sz w:val="16"/>
          <w:lang w:val="pt-BR"/>
        </w:rPr>
        <w:t>como</w:t>
      </w:r>
      <w:r w:rsidR="0089298C" w:rsidRPr="002F50BD">
        <w:rPr>
          <w:rFonts w:ascii="Verdana" w:hAnsi="Verdana"/>
          <w:sz w:val="16"/>
          <w:lang w:val="pt-BR"/>
        </w:rPr>
        <w:t xml:space="preserve"> as </w:t>
      </w:r>
      <w:r w:rsidRPr="002F50BD">
        <w:rPr>
          <w:rFonts w:ascii="Verdana" w:hAnsi="Verdana"/>
          <w:sz w:val="16"/>
          <w:lang w:val="pt-BR"/>
        </w:rPr>
        <w:t>graves condi</w:t>
      </w:r>
      <w:r w:rsidR="0089298C" w:rsidRPr="002F50BD">
        <w:rPr>
          <w:rFonts w:ascii="Verdana" w:hAnsi="Verdana"/>
          <w:sz w:val="16"/>
          <w:lang w:val="pt-BR"/>
        </w:rPr>
        <w:t>ções</w:t>
      </w:r>
      <w:r w:rsidRPr="002F50BD">
        <w:rPr>
          <w:rFonts w:ascii="Verdana" w:hAnsi="Verdana"/>
          <w:sz w:val="16"/>
          <w:lang w:val="pt-BR"/>
        </w:rPr>
        <w:t xml:space="preserve"> de vida</w:t>
      </w:r>
      <w:r w:rsidR="0089298C" w:rsidRPr="002F50BD">
        <w:rPr>
          <w:rFonts w:ascii="Verdana" w:hAnsi="Verdana"/>
          <w:sz w:val="16"/>
          <w:lang w:val="pt-BR"/>
        </w:rPr>
        <w:t xml:space="preserve"> às </w:t>
      </w:r>
      <w:r w:rsidR="00CD2AE8" w:rsidRPr="002F50BD">
        <w:rPr>
          <w:rFonts w:ascii="Verdana" w:hAnsi="Verdana"/>
          <w:sz w:val="16"/>
          <w:lang w:val="pt-BR"/>
        </w:rPr>
        <w:t xml:space="preserve">quais foram </w:t>
      </w:r>
      <w:r w:rsidR="0089298C" w:rsidRPr="002F50BD">
        <w:rPr>
          <w:rFonts w:ascii="Verdana" w:hAnsi="Verdana"/>
          <w:sz w:val="16"/>
          <w:lang w:val="pt-BR"/>
        </w:rPr>
        <w:t>submetido</w:t>
      </w:r>
      <w:r w:rsidRPr="002F50BD">
        <w:rPr>
          <w:rFonts w:ascii="Verdana" w:hAnsi="Verdana"/>
          <w:sz w:val="16"/>
          <w:lang w:val="pt-BR"/>
        </w:rPr>
        <w:t xml:space="preserve">s como </w:t>
      </w:r>
      <w:r w:rsidR="0089298C" w:rsidRPr="002F50BD">
        <w:rPr>
          <w:rFonts w:ascii="Verdana" w:hAnsi="Verdana"/>
          <w:sz w:val="16"/>
          <w:lang w:val="pt-BR"/>
        </w:rPr>
        <w:t xml:space="preserve">consequência da </w:t>
      </w:r>
      <w:r w:rsidRPr="002F50BD">
        <w:rPr>
          <w:rFonts w:ascii="Verdana" w:hAnsi="Verdana"/>
          <w:sz w:val="16"/>
          <w:lang w:val="pt-BR"/>
        </w:rPr>
        <w:t>demora estatal</w:t>
      </w:r>
      <w:r w:rsidR="0089298C" w:rsidRPr="002F50BD">
        <w:rPr>
          <w:rFonts w:ascii="Verdana" w:hAnsi="Verdana"/>
          <w:sz w:val="16"/>
          <w:lang w:val="pt-BR"/>
        </w:rPr>
        <w:t xml:space="preserve"> na efetiv</w:t>
      </w:r>
      <w:r w:rsidRPr="002F50BD">
        <w:rPr>
          <w:rFonts w:ascii="Verdana" w:hAnsi="Verdana"/>
          <w:sz w:val="16"/>
          <w:lang w:val="pt-BR"/>
        </w:rPr>
        <w:t>a</w:t>
      </w:r>
      <w:r w:rsidR="0089298C" w:rsidRPr="002F50BD">
        <w:rPr>
          <w:rFonts w:ascii="Verdana" w:hAnsi="Verdana"/>
          <w:sz w:val="16"/>
          <w:lang w:val="pt-BR"/>
        </w:rPr>
        <w:t>ção</w:t>
      </w:r>
      <w:r w:rsidRPr="002F50BD">
        <w:rPr>
          <w:rFonts w:ascii="Verdana" w:hAnsi="Verdana"/>
          <w:sz w:val="16"/>
          <w:lang w:val="pt-BR"/>
        </w:rPr>
        <w:t xml:space="preserve"> de </w:t>
      </w:r>
      <w:r w:rsidR="0089298C" w:rsidRPr="002F50BD">
        <w:rPr>
          <w:rFonts w:ascii="Verdana" w:hAnsi="Verdana"/>
          <w:sz w:val="16"/>
          <w:lang w:val="pt-BR"/>
        </w:rPr>
        <w:t>seus direitos</w:t>
      </w:r>
      <w:r w:rsidRPr="002F50BD">
        <w:rPr>
          <w:rFonts w:ascii="Verdana" w:hAnsi="Verdana"/>
          <w:sz w:val="16"/>
          <w:lang w:val="pt-BR"/>
        </w:rPr>
        <w:t xml:space="preserve"> </w:t>
      </w:r>
      <w:r w:rsidR="00AB454A" w:rsidRPr="002F50BD">
        <w:rPr>
          <w:rFonts w:ascii="Verdana" w:hAnsi="Verdana"/>
          <w:sz w:val="16"/>
          <w:lang w:val="pt-BR"/>
        </w:rPr>
        <w:t>territoriais</w:t>
      </w:r>
      <w:r w:rsidRPr="002F50BD">
        <w:rPr>
          <w:rFonts w:ascii="Verdana" w:hAnsi="Verdana"/>
          <w:sz w:val="16"/>
          <w:lang w:val="pt-BR"/>
        </w:rPr>
        <w:t xml:space="preserve"> </w:t>
      </w:r>
      <w:r w:rsidR="0089298C" w:rsidRPr="002F50BD">
        <w:rPr>
          <w:rFonts w:ascii="Verdana" w:hAnsi="Verdana"/>
          <w:sz w:val="16"/>
          <w:lang w:val="pt-BR"/>
        </w:rPr>
        <w:t>devem</w:t>
      </w:r>
      <w:r w:rsidRPr="002F50BD">
        <w:rPr>
          <w:rFonts w:ascii="Verdana" w:hAnsi="Verdana"/>
          <w:sz w:val="16"/>
          <w:lang w:val="pt-BR"/>
        </w:rPr>
        <w:t xml:space="preserve"> ser </w:t>
      </w:r>
      <w:r w:rsidR="004C7A2A" w:rsidRPr="002F50BD">
        <w:rPr>
          <w:rFonts w:ascii="Verdana" w:hAnsi="Verdana"/>
          <w:sz w:val="16"/>
          <w:lang w:val="pt-BR"/>
        </w:rPr>
        <w:t>aprecia</w:t>
      </w:r>
      <w:r w:rsidRPr="002F50BD">
        <w:rPr>
          <w:rFonts w:ascii="Verdana" w:hAnsi="Verdana"/>
          <w:sz w:val="16"/>
          <w:lang w:val="pt-BR"/>
        </w:rPr>
        <w:t>das</w:t>
      </w:r>
      <w:r w:rsidR="0089298C" w:rsidRPr="002F50BD">
        <w:rPr>
          <w:rFonts w:ascii="Verdana" w:hAnsi="Verdana"/>
          <w:sz w:val="16"/>
          <w:lang w:val="pt-BR"/>
        </w:rPr>
        <w:t xml:space="preserve"> pela </w:t>
      </w:r>
      <w:r w:rsidRPr="002F50BD">
        <w:rPr>
          <w:rFonts w:ascii="Verdana" w:hAnsi="Verdana"/>
          <w:sz w:val="16"/>
          <w:lang w:val="pt-BR"/>
        </w:rPr>
        <w:t>Corte</w:t>
      </w:r>
      <w:r w:rsidR="0089298C" w:rsidRPr="002F50BD">
        <w:rPr>
          <w:rFonts w:ascii="Verdana" w:hAnsi="Verdana"/>
          <w:sz w:val="16"/>
          <w:lang w:val="pt-BR"/>
        </w:rPr>
        <w:t xml:space="preserve"> </w:t>
      </w:r>
      <w:r w:rsidR="00CD2AE8" w:rsidRPr="002F50BD">
        <w:rPr>
          <w:rFonts w:ascii="Verdana" w:hAnsi="Verdana"/>
          <w:sz w:val="16"/>
          <w:lang w:val="pt-BR"/>
        </w:rPr>
        <w:t>n</w:t>
      </w:r>
      <w:r w:rsidR="0089298C" w:rsidRPr="002F50BD">
        <w:rPr>
          <w:rFonts w:ascii="Verdana" w:hAnsi="Verdana"/>
          <w:sz w:val="16"/>
          <w:lang w:val="pt-BR"/>
        </w:rPr>
        <w:t xml:space="preserve">o </w:t>
      </w:r>
      <w:r w:rsidRPr="002F50BD">
        <w:rPr>
          <w:rFonts w:ascii="Verdana" w:hAnsi="Verdana"/>
          <w:sz w:val="16"/>
          <w:lang w:val="pt-BR"/>
        </w:rPr>
        <w:t xml:space="preserve">momento de </w:t>
      </w:r>
      <w:r w:rsidR="00E350FB" w:rsidRPr="002F50BD">
        <w:rPr>
          <w:rFonts w:ascii="Verdana" w:hAnsi="Verdana"/>
          <w:sz w:val="16"/>
          <w:lang w:val="pt-BR"/>
        </w:rPr>
        <w:t>fixa</w:t>
      </w:r>
      <w:r w:rsidRPr="002F50BD">
        <w:rPr>
          <w:rFonts w:ascii="Verdana" w:hAnsi="Verdana"/>
          <w:sz w:val="16"/>
          <w:lang w:val="pt-BR"/>
        </w:rPr>
        <w:t>r</w:t>
      </w:r>
      <w:r w:rsidR="0089298C" w:rsidRPr="002F50BD">
        <w:rPr>
          <w:rFonts w:ascii="Verdana" w:hAnsi="Verdana"/>
          <w:sz w:val="16"/>
          <w:lang w:val="pt-BR"/>
        </w:rPr>
        <w:t xml:space="preserve"> o dano</w:t>
      </w:r>
      <w:r w:rsidRPr="002F50BD">
        <w:rPr>
          <w:rFonts w:ascii="Verdana" w:hAnsi="Verdana"/>
          <w:sz w:val="16"/>
          <w:lang w:val="pt-BR"/>
        </w:rPr>
        <w:t xml:space="preserve"> </w:t>
      </w:r>
      <w:r w:rsidR="0089298C" w:rsidRPr="002F50BD">
        <w:rPr>
          <w:rFonts w:ascii="Verdana" w:hAnsi="Verdana"/>
          <w:sz w:val="16"/>
          <w:lang w:val="pt-BR"/>
        </w:rPr>
        <w:t>imaterial</w:t>
      </w:r>
      <w:r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12</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A Corte</w:t>
      </w:r>
      <w:r w:rsidR="004756C1" w:rsidRPr="002F50BD">
        <w:rPr>
          <w:rFonts w:ascii="Verdana" w:hAnsi="Verdana"/>
          <w:sz w:val="20"/>
          <w:lang w:val="pt-BR"/>
        </w:rPr>
        <w:t xml:space="preserve"> </w:t>
      </w:r>
      <w:r w:rsidR="00CD2AE8" w:rsidRPr="002F50BD">
        <w:rPr>
          <w:rFonts w:ascii="Verdana" w:hAnsi="Verdana"/>
          <w:sz w:val="20"/>
          <w:lang w:val="pt-BR"/>
        </w:rPr>
        <w:t>admitiu</w:t>
      </w:r>
      <w:r w:rsidR="004756C1" w:rsidRPr="002F50BD">
        <w:rPr>
          <w:rFonts w:ascii="Verdana" w:hAnsi="Verdana"/>
          <w:sz w:val="20"/>
          <w:lang w:val="pt-BR"/>
        </w:rPr>
        <w:t>,</w:t>
      </w:r>
      <w:r w:rsidR="0089298C" w:rsidRPr="002F50BD">
        <w:rPr>
          <w:rFonts w:ascii="Verdana" w:hAnsi="Verdana"/>
          <w:sz w:val="20"/>
          <w:lang w:val="pt-BR"/>
        </w:rPr>
        <w:t xml:space="preserve"> na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que </w:t>
      </w:r>
      <w:r w:rsidR="0089298C" w:rsidRPr="002F50BD">
        <w:rPr>
          <w:rFonts w:ascii="Verdana" w:hAnsi="Verdana"/>
          <w:sz w:val="20"/>
          <w:lang w:val="pt-BR"/>
        </w:rPr>
        <w:t xml:space="preserve">devia </w:t>
      </w:r>
      <w:r w:rsidR="00706D89" w:rsidRPr="002F50BD">
        <w:rPr>
          <w:rFonts w:ascii="Verdana" w:hAnsi="Verdana"/>
          <w:sz w:val="20"/>
          <w:lang w:val="pt-BR"/>
        </w:rPr>
        <w:t>avaliar</w:t>
      </w:r>
      <w:r w:rsidR="004756C1" w:rsidRPr="002F50BD">
        <w:rPr>
          <w:rFonts w:ascii="Verdana" w:hAnsi="Verdana"/>
          <w:sz w:val="20"/>
          <w:lang w:val="pt-BR"/>
        </w:rPr>
        <w:t xml:space="preserve"> tanto</w:t>
      </w:r>
      <w:r w:rsidR="0089298C" w:rsidRPr="002F50BD">
        <w:rPr>
          <w:rFonts w:ascii="Verdana" w:hAnsi="Verdana"/>
          <w:sz w:val="20"/>
          <w:lang w:val="pt-BR"/>
        </w:rPr>
        <w:t xml:space="preserve"> a </w:t>
      </w:r>
      <w:r w:rsidR="004756C1" w:rsidRPr="002F50BD">
        <w:rPr>
          <w:rFonts w:ascii="Verdana" w:hAnsi="Verdana"/>
          <w:sz w:val="20"/>
          <w:lang w:val="pt-BR"/>
        </w:rPr>
        <w:t>falta de concre</w:t>
      </w:r>
      <w:r w:rsidR="00CD2AE8" w:rsidRPr="002F50BD">
        <w:rPr>
          <w:rFonts w:ascii="Verdana" w:hAnsi="Verdana"/>
          <w:sz w:val="20"/>
          <w:lang w:val="pt-BR"/>
        </w:rPr>
        <w:t>tude</w:t>
      </w:r>
      <w:r w:rsidR="004756C1" w:rsidRPr="002F50BD">
        <w:rPr>
          <w:rFonts w:ascii="Verdana" w:hAnsi="Verdana"/>
          <w:sz w:val="20"/>
          <w:lang w:val="pt-BR"/>
        </w:rPr>
        <w:t xml:space="preserve"> </w:t>
      </w:r>
      <w:r w:rsidR="0089298C" w:rsidRPr="002F50BD">
        <w:rPr>
          <w:rFonts w:ascii="Verdana" w:hAnsi="Verdana"/>
          <w:sz w:val="20"/>
          <w:lang w:val="pt-BR"/>
        </w:rPr>
        <w:t>do direito à propriedade</w:t>
      </w:r>
      <w:r w:rsidR="004756C1" w:rsidRPr="002F50BD">
        <w:rPr>
          <w:rFonts w:ascii="Verdana" w:hAnsi="Verdana"/>
          <w:sz w:val="20"/>
          <w:lang w:val="pt-BR"/>
        </w:rPr>
        <w:t xml:space="preserve"> comunal</w:t>
      </w:r>
      <w:r w:rsidR="00CD2AE8" w:rsidRPr="002F50BD">
        <w:rPr>
          <w:rFonts w:ascii="Verdana" w:hAnsi="Verdana"/>
          <w:sz w:val="20"/>
          <w:lang w:val="pt-BR"/>
        </w:rPr>
        <w:t xml:space="preserve">, </w:t>
      </w:r>
      <w:r w:rsidR="004756C1" w:rsidRPr="002F50BD">
        <w:rPr>
          <w:rFonts w:ascii="Verdana" w:hAnsi="Verdana"/>
          <w:sz w:val="20"/>
          <w:lang w:val="pt-BR"/>
        </w:rPr>
        <w:t>como</w:t>
      </w:r>
      <w:r w:rsidR="0089298C" w:rsidRPr="002F50BD">
        <w:rPr>
          <w:rFonts w:ascii="Verdana" w:hAnsi="Verdana"/>
          <w:sz w:val="20"/>
          <w:lang w:val="pt-BR"/>
        </w:rPr>
        <w:t xml:space="preserve"> as </w:t>
      </w:r>
      <w:r w:rsidR="004756C1" w:rsidRPr="002F50BD">
        <w:rPr>
          <w:rFonts w:ascii="Verdana" w:hAnsi="Verdana"/>
          <w:i/>
          <w:sz w:val="20"/>
          <w:lang w:val="pt-BR"/>
        </w:rPr>
        <w:t>graves condi</w:t>
      </w:r>
      <w:r w:rsidR="0089298C" w:rsidRPr="002F50BD">
        <w:rPr>
          <w:rFonts w:ascii="Verdana" w:hAnsi="Verdana"/>
          <w:i/>
          <w:sz w:val="20"/>
          <w:lang w:val="pt-BR"/>
        </w:rPr>
        <w:t>ções</w:t>
      </w:r>
      <w:r w:rsidR="004756C1" w:rsidRPr="002F50BD">
        <w:rPr>
          <w:rFonts w:ascii="Verdana" w:hAnsi="Verdana"/>
          <w:i/>
          <w:sz w:val="20"/>
          <w:lang w:val="pt-BR"/>
        </w:rPr>
        <w:t xml:space="preserve"> de vida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202</w:t>
      </w:r>
      <w:r w:rsidR="00CF451D" w:rsidRPr="00CF451D">
        <w:rPr>
          <w:rFonts w:ascii="Verdana" w:hAnsi="Verdana"/>
          <w:sz w:val="20"/>
          <w:lang w:val="pt-BR"/>
        </w:rPr>
        <w:t>)</w:t>
      </w:r>
      <w:r w:rsidR="004756C1" w:rsidRPr="002F50BD">
        <w:rPr>
          <w:rFonts w:ascii="Verdana" w:hAnsi="Verdana"/>
          <w:sz w:val="20"/>
          <w:lang w:val="pt-BR"/>
        </w:rPr>
        <w:t xml:space="preserve">; </w:t>
      </w:r>
      <w:r w:rsidR="004076AD" w:rsidRPr="002F50BD">
        <w:rPr>
          <w:rFonts w:ascii="Verdana" w:hAnsi="Verdana"/>
          <w:sz w:val="20"/>
          <w:lang w:val="pt-BR"/>
        </w:rPr>
        <w:t>ali</w:t>
      </w:r>
      <w:r w:rsidR="004756C1" w:rsidRPr="002F50BD">
        <w:rPr>
          <w:rFonts w:ascii="Verdana" w:hAnsi="Verdana"/>
          <w:sz w:val="20"/>
          <w:lang w:val="pt-BR"/>
        </w:rPr>
        <w:t xml:space="preserve"> se configur</w:t>
      </w:r>
      <w:r w:rsidR="00CD2AE8" w:rsidRPr="002F50BD">
        <w:rPr>
          <w:rFonts w:ascii="Verdana" w:hAnsi="Verdana"/>
          <w:sz w:val="20"/>
          <w:lang w:val="pt-BR"/>
        </w:rPr>
        <w:t>ou</w:t>
      </w:r>
      <w:r w:rsidR="004756C1" w:rsidRPr="002F50BD">
        <w:rPr>
          <w:rFonts w:ascii="Verdana" w:hAnsi="Verdana"/>
          <w:sz w:val="20"/>
          <w:lang w:val="pt-BR"/>
        </w:rPr>
        <w:t>, p</w:t>
      </w:r>
      <w:r w:rsidR="00CD2AE8" w:rsidRPr="002F50BD">
        <w:rPr>
          <w:rFonts w:ascii="Verdana" w:hAnsi="Verdana"/>
          <w:sz w:val="20"/>
          <w:lang w:val="pt-BR"/>
        </w:rPr>
        <w:t>oi</w:t>
      </w:r>
      <w:r w:rsidR="004756C1" w:rsidRPr="002F50BD">
        <w:rPr>
          <w:rFonts w:ascii="Verdana" w:hAnsi="Verdana"/>
          <w:sz w:val="20"/>
          <w:lang w:val="pt-BR"/>
        </w:rPr>
        <w:t>s,</w:t>
      </w:r>
      <w:r w:rsidR="0089298C" w:rsidRPr="002F50BD">
        <w:rPr>
          <w:rFonts w:ascii="Verdana" w:hAnsi="Verdana"/>
          <w:sz w:val="20"/>
          <w:lang w:val="pt-BR"/>
        </w:rPr>
        <w:t xml:space="preserve"> o </w:t>
      </w:r>
      <w:r w:rsidR="004756C1" w:rsidRPr="002F50BD">
        <w:rPr>
          <w:rFonts w:ascii="Verdana" w:hAnsi="Verdana"/>
          <w:sz w:val="20"/>
          <w:lang w:val="pt-BR"/>
        </w:rPr>
        <w:t xml:space="preserve">nexo de </w:t>
      </w:r>
      <w:r w:rsidR="00CD2AE8" w:rsidRPr="002F50BD">
        <w:rPr>
          <w:rFonts w:ascii="Verdana" w:hAnsi="Verdana"/>
          <w:sz w:val="20"/>
          <w:lang w:val="pt-BR"/>
        </w:rPr>
        <w:t>causalidade</w:t>
      </w:r>
      <w:r w:rsidR="004756C1" w:rsidRPr="002F50BD">
        <w:rPr>
          <w:rFonts w:ascii="Verdana" w:hAnsi="Verdana"/>
          <w:sz w:val="20"/>
          <w:lang w:val="pt-BR"/>
        </w:rPr>
        <w:t xml:space="preserve"> para</w:t>
      </w:r>
      <w:r w:rsidR="0089298C" w:rsidRPr="002F50BD">
        <w:rPr>
          <w:rFonts w:ascii="Verdana" w:hAnsi="Verdana"/>
          <w:sz w:val="20"/>
          <w:lang w:val="pt-BR"/>
        </w:rPr>
        <w:t xml:space="preserve"> a </w:t>
      </w:r>
      <w:r w:rsidR="00E350FB" w:rsidRPr="002F50BD">
        <w:rPr>
          <w:rFonts w:ascii="Verdana" w:hAnsi="Verdana"/>
          <w:sz w:val="20"/>
          <w:lang w:val="pt-BR"/>
        </w:rPr>
        <w:t>fixa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dano</w:t>
      </w:r>
      <w:r w:rsidR="004756C1" w:rsidRPr="002F50BD">
        <w:rPr>
          <w:rFonts w:ascii="Verdana" w:hAnsi="Verdana"/>
          <w:sz w:val="20"/>
          <w:lang w:val="pt-BR"/>
        </w:rPr>
        <w:t xml:space="preserve"> </w:t>
      </w:r>
      <w:r w:rsidR="0089298C" w:rsidRPr="002F50BD">
        <w:rPr>
          <w:rFonts w:ascii="Verdana" w:hAnsi="Verdana"/>
          <w:sz w:val="20"/>
          <w:lang w:val="pt-BR"/>
        </w:rPr>
        <w:t>imaterial</w:t>
      </w:r>
      <w:r w:rsidR="00AB454A" w:rsidRPr="002F50BD">
        <w:rPr>
          <w:rFonts w:ascii="Verdana" w:hAnsi="Verdana"/>
          <w:sz w:val="20"/>
          <w:lang w:val="pt-BR"/>
        </w:rPr>
        <w:t xml:space="preserve">. A </w:t>
      </w:r>
      <w:r w:rsidR="004756C1" w:rsidRPr="002F50BD">
        <w:rPr>
          <w:rFonts w:ascii="Verdana" w:hAnsi="Verdana"/>
          <w:sz w:val="20"/>
          <w:lang w:val="pt-BR"/>
        </w:rPr>
        <w:t xml:space="preserve">Corte </w:t>
      </w:r>
      <w:r w:rsidR="00CD2AE8" w:rsidRPr="002F50BD">
        <w:rPr>
          <w:rFonts w:ascii="Verdana" w:hAnsi="Verdana"/>
          <w:sz w:val="20"/>
          <w:lang w:val="pt-BR"/>
        </w:rPr>
        <w:t xml:space="preserve">devia </w:t>
      </w:r>
      <w:r w:rsidR="0089298C" w:rsidRPr="002F50BD">
        <w:rPr>
          <w:rFonts w:ascii="Verdana" w:hAnsi="Verdana"/>
          <w:sz w:val="20"/>
          <w:lang w:val="pt-BR"/>
        </w:rPr>
        <w:t>ter</w:t>
      </w:r>
      <w:r w:rsidR="004756C1" w:rsidRPr="002F50BD">
        <w:rPr>
          <w:rFonts w:ascii="Verdana" w:hAnsi="Verdana"/>
          <w:sz w:val="20"/>
          <w:lang w:val="pt-BR"/>
        </w:rPr>
        <w:t xml:space="preserve"> </w:t>
      </w:r>
      <w:r w:rsidR="0089298C" w:rsidRPr="002F50BD">
        <w:rPr>
          <w:rFonts w:ascii="Verdana" w:hAnsi="Verdana"/>
          <w:sz w:val="20"/>
          <w:lang w:val="pt-BR"/>
        </w:rPr>
        <w:t>expressa</w:t>
      </w:r>
      <w:r w:rsidR="004756C1" w:rsidRPr="002F50BD">
        <w:rPr>
          <w:rFonts w:ascii="Verdana" w:hAnsi="Verdana"/>
          <w:sz w:val="20"/>
          <w:lang w:val="pt-BR"/>
        </w:rPr>
        <w:t xml:space="preserve">mente </w:t>
      </w:r>
      <w:r w:rsidR="0089298C" w:rsidRPr="002F50BD">
        <w:rPr>
          <w:rFonts w:ascii="Verdana" w:hAnsi="Verdana"/>
          <w:sz w:val="20"/>
          <w:lang w:val="pt-BR"/>
        </w:rPr>
        <w:t>estabelecid</w:t>
      </w:r>
      <w:r w:rsidR="004756C1" w:rsidRPr="002F50BD">
        <w:rPr>
          <w:rFonts w:ascii="Verdana" w:hAnsi="Verdana"/>
          <w:sz w:val="20"/>
          <w:lang w:val="pt-BR"/>
        </w:rPr>
        <w:t>o que</w:t>
      </w:r>
      <w:r w:rsidR="0089298C" w:rsidRPr="002F50BD">
        <w:rPr>
          <w:rFonts w:ascii="Verdana" w:hAnsi="Verdana"/>
          <w:sz w:val="20"/>
          <w:lang w:val="pt-BR"/>
        </w:rPr>
        <w:t xml:space="preserve"> a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constatada de extrema indig</w:t>
      </w:r>
      <w:r w:rsidR="00CD2AE8" w:rsidRPr="002F50BD">
        <w:rPr>
          <w:rFonts w:ascii="Verdana" w:hAnsi="Verdana"/>
          <w:sz w:val="20"/>
          <w:lang w:val="pt-BR"/>
        </w:rPr>
        <w:t>ê</w:t>
      </w:r>
      <w:r w:rsidR="004756C1" w:rsidRPr="002F50BD">
        <w:rPr>
          <w:rFonts w:ascii="Verdana" w:hAnsi="Verdana"/>
          <w:sz w:val="20"/>
          <w:lang w:val="pt-BR"/>
        </w:rPr>
        <w:t>ncia</w:t>
      </w:r>
      <w:r w:rsidR="0089298C" w:rsidRPr="002F50BD">
        <w:rPr>
          <w:rFonts w:ascii="Verdana" w:hAnsi="Verdana"/>
          <w:sz w:val="20"/>
          <w:lang w:val="pt-BR"/>
        </w:rPr>
        <w:t xml:space="preserve"> lev</w:t>
      </w:r>
      <w:r w:rsidR="00CD2AE8" w:rsidRPr="002F50BD">
        <w:rPr>
          <w:rFonts w:ascii="Verdana" w:hAnsi="Verdana"/>
          <w:sz w:val="20"/>
          <w:lang w:val="pt-BR"/>
        </w:rPr>
        <w:t>ou</w:t>
      </w:r>
      <w:r w:rsidR="004756C1" w:rsidRPr="002F50BD">
        <w:rPr>
          <w:rFonts w:ascii="Verdana" w:hAnsi="Verdana"/>
          <w:sz w:val="20"/>
          <w:lang w:val="pt-BR"/>
        </w:rPr>
        <w:t xml:space="preserve"> </w:t>
      </w:r>
      <w:r w:rsidR="0089298C" w:rsidRPr="002F50BD">
        <w:rPr>
          <w:rFonts w:ascii="Verdana" w:hAnsi="Verdana"/>
          <w:sz w:val="20"/>
          <w:lang w:val="pt-BR"/>
        </w:rPr>
        <w:t>diret</w:t>
      </w:r>
      <w:r w:rsidR="004756C1" w:rsidRPr="002F50BD">
        <w:rPr>
          <w:rFonts w:ascii="Verdana" w:hAnsi="Verdana"/>
          <w:sz w:val="20"/>
          <w:lang w:val="pt-BR"/>
        </w:rPr>
        <w:t>amente</w:t>
      </w:r>
      <w:r w:rsidR="0089298C" w:rsidRPr="002F50BD">
        <w:rPr>
          <w:rFonts w:ascii="Verdana" w:hAnsi="Verdana"/>
          <w:sz w:val="20"/>
          <w:lang w:val="pt-BR"/>
        </w:rPr>
        <w:t xml:space="preserve"> à morte</w:t>
      </w:r>
      <w:r w:rsidR="004756C1" w:rsidRPr="002F50BD">
        <w:rPr>
          <w:rFonts w:ascii="Verdana" w:hAnsi="Verdana"/>
          <w:sz w:val="20"/>
          <w:lang w:val="pt-BR"/>
        </w:rPr>
        <w:t xml:space="preserve"> de </w:t>
      </w:r>
      <w:r w:rsidR="0089298C" w:rsidRPr="002F50BD">
        <w:rPr>
          <w:rFonts w:ascii="Verdana" w:hAnsi="Verdana"/>
          <w:sz w:val="20"/>
          <w:lang w:val="pt-BR"/>
        </w:rPr>
        <w:t>vários</w:t>
      </w:r>
      <w:r w:rsidR="004756C1" w:rsidRPr="002F50BD">
        <w:rPr>
          <w:rFonts w:ascii="Verdana" w:hAnsi="Verdana"/>
          <w:sz w:val="20"/>
          <w:lang w:val="pt-BR"/>
        </w:rPr>
        <w:t xml:space="preserve"> </w:t>
      </w:r>
      <w:r w:rsidR="0089298C" w:rsidRPr="002F50BD">
        <w:rPr>
          <w:rFonts w:ascii="Verdana" w:hAnsi="Verdana"/>
          <w:sz w:val="20"/>
          <w:lang w:val="pt-BR"/>
        </w:rPr>
        <w:t>membro</w:t>
      </w:r>
      <w:r w:rsidR="004756C1" w:rsidRPr="002F50BD">
        <w:rPr>
          <w:rFonts w:ascii="Verdana" w:hAnsi="Verdana"/>
          <w:sz w:val="20"/>
          <w:lang w:val="pt-BR"/>
        </w:rPr>
        <w:t>s</w:t>
      </w:r>
      <w:r w:rsidR="0089298C" w:rsidRPr="002F50BD">
        <w:rPr>
          <w:rFonts w:ascii="Verdana" w:hAnsi="Verdana"/>
          <w:sz w:val="20"/>
          <w:lang w:val="pt-BR"/>
        </w:rPr>
        <w:t xml:space="preserve"> da </w:t>
      </w:r>
      <w:r w:rsidR="00A50140" w:rsidRPr="002F50BD">
        <w:rPr>
          <w:rFonts w:ascii="Verdana" w:hAnsi="Verdana"/>
          <w:sz w:val="20"/>
          <w:lang w:val="pt-BR"/>
        </w:rPr>
        <w:t>Comunidade.</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13</w:t>
      </w:r>
      <w:r w:rsidR="004756C1" w:rsidRPr="002F50BD">
        <w:rPr>
          <w:rFonts w:ascii="Verdana" w:hAnsi="Verdana"/>
          <w:sz w:val="20"/>
          <w:lang w:val="pt-BR"/>
        </w:rPr>
        <w:t>.</w:t>
      </w:r>
      <w:r w:rsidR="004756C1" w:rsidRPr="002F50BD">
        <w:rPr>
          <w:rFonts w:ascii="Verdana" w:hAnsi="Verdana"/>
          <w:sz w:val="20"/>
          <w:lang w:val="pt-BR"/>
        </w:rPr>
        <w:tab/>
        <w:t xml:space="preserve"> </w:t>
      </w:r>
      <w:r w:rsidR="0089298C" w:rsidRPr="002F50BD">
        <w:rPr>
          <w:rFonts w:ascii="Verdana" w:hAnsi="Verdana"/>
          <w:sz w:val="20"/>
          <w:lang w:val="pt-BR"/>
        </w:rPr>
        <w:t>Ademais</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89298C" w:rsidRPr="002F50BD">
        <w:rPr>
          <w:rFonts w:ascii="Verdana" w:hAnsi="Verdana"/>
          <w:sz w:val="20"/>
          <w:lang w:val="pt-BR"/>
        </w:rPr>
        <w:t xml:space="preserve">determinou na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Estado demandado</w:t>
      </w:r>
      <w:r w:rsidR="0089298C" w:rsidRPr="002F50BD">
        <w:rPr>
          <w:rFonts w:ascii="Verdana" w:hAnsi="Verdana"/>
          <w:sz w:val="20"/>
          <w:lang w:val="pt-BR"/>
        </w:rPr>
        <w:t xml:space="preserve"> deve </w:t>
      </w:r>
      <w:r w:rsidR="004756C1" w:rsidRPr="002F50BD">
        <w:rPr>
          <w:rFonts w:ascii="Verdana" w:hAnsi="Verdana"/>
          <w:sz w:val="20"/>
          <w:lang w:val="pt-BR"/>
        </w:rPr>
        <w:t>“</w:t>
      </w:r>
      <w:r w:rsidR="00A157C9">
        <w:rPr>
          <w:rFonts w:ascii="Verdana" w:hAnsi="Verdana"/>
          <w:sz w:val="20"/>
          <w:lang w:val="pt-BR"/>
        </w:rPr>
        <w:t>fornecer</w:t>
      </w:r>
      <w:r w:rsidR="00CD2AE8" w:rsidRPr="002F50BD">
        <w:rPr>
          <w:rFonts w:ascii="Verdana" w:hAnsi="Verdana"/>
          <w:sz w:val="20"/>
          <w:lang w:val="pt-BR"/>
        </w:rPr>
        <w:t xml:space="preserve"> </w:t>
      </w:r>
      <w:r w:rsidR="0089298C" w:rsidRPr="002F50BD">
        <w:rPr>
          <w:rFonts w:ascii="Verdana" w:hAnsi="Verdana"/>
          <w:sz w:val="20"/>
          <w:lang w:val="pt-BR"/>
        </w:rPr>
        <w:t>atenção</w:t>
      </w:r>
      <w:r w:rsidR="004756C1" w:rsidRPr="002F50BD">
        <w:rPr>
          <w:rFonts w:ascii="Verdana" w:hAnsi="Verdana"/>
          <w:sz w:val="20"/>
          <w:lang w:val="pt-BR"/>
        </w:rPr>
        <w:t xml:space="preserve"> médica periódica</w:t>
      </w:r>
      <w:r w:rsidR="0089298C" w:rsidRPr="002F50BD">
        <w:rPr>
          <w:rFonts w:ascii="Verdana" w:hAnsi="Verdana"/>
          <w:sz w:val="20"/>
          <w:lang w:val="pt-BR"/>
        </w:rPr>
        <w:t xml:space="preserve"> e </w:t>
      </w:r>
      <w:r w:rsidR="00CD2AE8" w:rsidRPr="002F50BD">
        <w:rPr>
          <w:rFonts w:ascii="Verdana" w:hAnsi="Verdana"/>
          <w:sz w:val="20"/>
          <w:lang w:val="pt-BR"/>
        </w:rPr>
        <w:t>medicamentos</w:t>
      </w:r>
      <w:r w:rsidR="004756C1" w:rsidRPr="002F50BD">
        <w:rPr>
          <w:rFonts w:ascii="Verdana" w:hAnsi="Verdana"/>
          <w:sz w:val="20"/>
          <w:lang w:val="pt-BR"/>
        </w:rPr>
        <w:t xml:space="preserve"> </w:t>
      </w:r>
      <w:r w:rsidR="0089298C" w:rsidRPr="002F50BD">
        <w:rPr>
          <w:rFonts w:ascii="Verdana" w:hAnsi="Verdana"/>
          <w:sz w:val="20"/>
          <w:lang w:val="pt-BR"/>
        </w:rPr>
        <w:t>adequad</w:t>
      </w:r>
      <w:r w:rsidR="00CD2AE8" w:rsidRPr="002F50BD">
        <w:rPr>
          <w:rFonts w:ascii="Verdana" w:hAnsi="Verdana"/>
          <w:sz w:val="20"/>
          <w:lang w:val="pt-BR"/>
        </w:rPr>
        <w:t>o</w:t>
      </w:r>
      <w:r w:rsidR="004756C1" w:rsidRPr="002F50BD">
        <w:rPr>
          <w:rFonts w:ascii="Verdana" w:hAnsi="Verdana"/>
          <w:sz w:val="20"/>
          <w:lang w:val="pt-BR"/>
        </w:rPr>
        <w:t>s para conservar</w:t>
      </w:r>
      <w:r w:rsidR="0089298C" w:rsidRPr="002F50BD">
        <w:rPr>
          <w:rFonts w:ascii="Verdana" w:hAnsi="Verdana"/>
          <w:sz w:val="20"/>
          <w:lang w:val="pt-BR"/>
        </w:rPr>
        <w:t xml:space="preserve"> a saúde</w:t>
      </w:r>
      <w:r w:rsidR="004756C1" w:rsidRPr="002F50BD">
        <w:rPr>
          <w:rFonts w:ascii="Verdana" w:hAnsi="Verdana"/>
          <w:sz w:val="20"/>
          <w:lang w:val="pt-BR"/>
        </w:rPr>
        <w:t xml:space="preserve"> de todas</w:t>
      </w:r>
      <w:r w:rsidR="0089298C" w:rsidRPr="002F50BD">
        <w:rPr>
          <w:rFonts w:ascii="Verdana" w:hAnsi="Verdana"/>
          <w:sz w:val="20"/>
          <w:lang w:val="pt-BR"/>
        </w:rPr>
        <w:t xml:space="preserve"> as pessoa</w:t>
      </w:r>
      <w:r w:rsidR="004756C1" w:rsidRPr="002F50BD">
        <w:rPr>
          <w:rFonts w:ascii="Verdana" w:hAnsi="Verdana"/>
          <w:sz w:val="20"/>
          <w:lang w:val="pt-BR"/>
        </w:rPr>
        <w:t>s, especialmente</w:t>
      </w:r>
      <w:r w:rsidR="0089298C" w:rsidRPr="002F50BD">
        <w:rPr>
          <w:rFonts w:ascii="Verdana" w:hAnsi="Verdana"/>
          <w:sz w:val="20"/>
          <w:lang w:val="pt-BR"/>
        </w:rPr>
        <w:t xml:space="preserve"> </w:t>
      </w:r>
      <w:r w:rsidR="00CD2AE8" w:rsidRPr="002F50BD">
        <w:rPr>
          <w:rFonts w:ascii="Verdana" w:hAnsi="Verdana"/>
          <w:sz w:val="20"/>
          <w:lang w:val="pt-BR"/>
        </w:rPr>
        <w:t>d</w:t>
      </w:r>
      <w:r w:rsidR="005A6BC7" w:rsidRPr="002F50BD">
        <w:rPr>
          <w:rFonts w:ascii="Verdana" w:hAnsi="Verdana"/>
          <w:sz w:val="20"/>
          <w:lang w:val="pt-BR"/>
        </w:rPr>
        <w:t>as crianças</w:t>
      </w:r>
      <w:r w:rsidR="004756C1" w:rsidRPr="002F50BD">
        <w:rPr>
          <w:rFonts w:ascii="Verdana" w:hAnsi="Verdana"/>
          <w:sz w:val="20"/>
          <w:lang w:val="pt-BR"/>
        </w:rPr>
        <w:t xml:space="preserve">, </w:t>
      </w:r>
      <w:r w:rsidR="00CD2AE8" w:rsidRPr="002F50BD">
        <w:rPr>
          <w:rFonts w:ascii="Verdana" w:hAnsi="Verdana"/>
          <w:sz w:val="20"/>
          <w:lang w:val="pt-BR"/>
        </w:rPr>
        <w:t xml:space="preserve">dos idosos </w:t>
      </w:r>
      <w:r w:rsidR="0089298C" w:rsidRPr="002F50BD">
        <w:rPr>
          <w:rFonts w:ascii="Verdana" w:hAnsi="Verdana"/>
          <w:sz w:val="20"/>
          <w:lang w:val="pt-BR"/>
        </w:rPr>
        <w:t xml:space="preserve">e </w:t>
      </w:r>
      <w:r w:rsidR="00CD2AE8" w:rsidRPr="002F50BD">
        <w:rPr>
          <w:rFonts w:ascii="Verdana" w:hAnsi="Verdana"/>
          <w:sz w:val="20"/>
          <w:lang w:val="pt-BR"/>
        </w:rPr>
        <w:t xml:space="preserve">das </w:t>
      </w:r>
      <w:r w:rsidR="0089298C" w:rsidRPr="002F50BD">
        <w:rPr>
          <w:rFonts w:ascii="Verdana" w:hAnsi="Verdana"/>
          <w:sz w:val="20"/>
          <w:lang w:val="pt-BR"/>
        </w:rPr>
        <w:t>mulher</w:t>
      </w:r>
      <w:r w:rsidR="004756C1" w:rsidRPr="002F50BD">
        <w:rPr>
          <w:rFonts w:ascii="Verdana" w:hAnsi="Verdana"/>
          <w:sz w:val="20"/>
          <w:lang w:val="pt-BR"/>
        </w:rPr>
        <w:t xml:space="preserve">es </w:t>
      </w:r>
      <w:r w:rsidR="0089298C" w:rsidRPr="002F50BD">
        <w:rPr>
          <w:rFonts w:ascii="Verdana" w:hAnsi="Verdana"/>
          <w:sz w:val="20"/>
          <w:lang w:val="pt-BR"/>
        </w:rPr>
        <w:t>grávida</w:t>
      </w:r>
      <w:r w:rsidR="004756C1" w:rsidRPr="002F50BD">
        <w:rPr>
          <w:rFonts w:ascii="Verdana" w:hAnsi="Verdana"/>
          <w:sz w:val="20"/>
          <w:lang w:val="pt-BR"/>
        </w:rPr>
        <w:t xml:space="preserve">s, </w:t>
      </w:r>
      <w:r w:rsidR="0089298C" w:rsidRPr="002F50BD">
        <w:rPr>
          <w:rFonts w:ascii="Verdana" w:hAnsi="Verdana"/>
          <w:sz w:val="20"/>
          <w:lang w:val="pt-BR"/>
        </w:rPr>
        <w:t>incluindo</w:t>
      </w:r>
      <w:r w:rsidR="004756C1" w:rsidRPr="002F50BD">
        <w:rPr>
          <w:rFonts w:ascii="Verdana" w:hAnsi="Verdana"/>
          <w:sz w:val="20"/>
          <w:lang w:val="pt-BR"/>
        </w:rPr>
        <w:t xml:space="preserve"> </w:t>
      </w:r>
      <w:r w:rsidR="00CD2AE8" w:rsidRPr="002F50BD">
        <w:rPr>
          <w:rFonts w:ascii="Verdana" w:hAnsi="Verdana"/>
          <w:sz w:val="20"/>
          <w:lang w:val="pt-BR"/>
        </w:rPr>
        <w:t>medicamentos</w:t>
      </w:r>
      <w:r w:rsidR="0089298C" w:rsidRPr="002F50BD">
        <w:rPr>
          <w:rFonts w:ascii="Verdana" w:hAnsi="Verdana"/>
          <w:sz w:val="20"/>
          <w:lang w:val="pt-BR"/>
        </w:rPr>
        <w:t xml:space="preserve"> e tratamento</w:t>
      </w:r>
      <w:r w:rsidR="004756C1" w:rsidRPr="002F50BD">
        <w:rPr>
          <w:rFonts w:ascii="Verdana" w:hAnsi="Verdana"/>
          <w:sz w:val="20"/>
          <w:lang w:val="pt-BR"/>
        </w:rPr>
        <w:t xml:space="preserve"> </w:t>
      </w:r>
      <w:r w:rsidR="0089298C" w:rsidRPr="002F50BD">
        <w:rPr>
          <w:rFonts w:ascii="Verdana" w:hAnsi="Verdana"/>
          <w:sz w:val="20"/>
          <w:lang w:val="pt-BR"/>
        </w:rPr>
        <w:t>adequad</w:t>
      </w:r>
      <w:r w:rsidR="004756C1" w:rsidRPr="002F50BD">
        <w:rPr>
          <w:rFonts w:ascii="Verdana" w:hAnsi="Verdana"/>
          <w:sz w:val="20"/>
          <w:lang w:val="pt-BR"/>
        </w:rPr>
        <w:t>o</w:t>
      </w:r>
      <w:r w:rsidR="00CD2AE8" w:rsidRPr="002F50BD">
        <w:rPr>
          <w:rFonts w:ascii="Verdana" w:hAnsi="Verdana"/>
          <w:sz w:val="20"/>
          <w:lang w:val="pt-BR"/>
        </w:rPr>
        <w:t>s</w:t>
      </w:r>
      <w:r w:rsidR="004756C1" w:rsidRPr="002F50BD">
        <w:rPr>
          <w:rFonts w:ascii="Verdana" w:hAnsi="Verdana"/>
          <w:sz w:val="20"/>
          <w:lang w:val="pt-BR"/>
        </w:rPr>
        <w:t xml:space="preserve"> para</w:t>
      </w:r>
      <w:r w:rsidR="0089298C" w:rsidRPr="002F50BD">
        <w:rPr>
          <w:rFonts w:ascii="Verdana" w:hAnsi="Verdana"/>
          <w:sz w:val="20"/>
          <w:lang w:val="pt-BR"/>
        </w:rPr>
        <w:t xml:space="preserve"> a </w:t>
      </w:r>
      <w:r w:rsidR="006B3A73" w:rsidRPr="002F50BD">
        <w:rPr>
          <w:rFonts w:ascii="Verdana" w:hAnsi="Verdana"/>
          <w:sz w:val="20"/>
          <w:lang w:val="pt-BR"/>
        </w:rPr>
        <w:t xml:space="preserve">vermifugação </w:t>
      </w:r>
      <w:r w:rsidR="004756C1" w:rsidRPr="002F50BD">
        <w:rPr>
          <w:rFonts w:ascii="Verdana" w:hAnsi="Verdana"/>
          <w:sz w:val="20"/>
          <w:lang w:val="pt-BR"/>
        </w:rPr>
        <w:t xml:space="preserve">de </w:t>
      </w:r>
      <w:r w:rsidR="004756C1" w:rsidRPr="002F50BD">
        <w:rPr>
          <w:rFonts w:ascii="Verdana" w:hAnsi="Verdana"/>
          <w:sz w:val="20"/>
          <w:lang w:val="pt-BR"/>
        </w:rPr>
        <w:lastRenderedPageBreak/>
        <w:t>todos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Comunidad</w:t>
      </w:r>
      <w:r w:rsidR="00CD2AE8" w:rsidRPr="002F50BD">
        <w:rPr>
          <w:rFonts w:ascii="Verdana" w:hAnsi="Verdana"/>
          <w:sz w:val="20"/>
          <w:lang w:val="pt-BR"/>
        </w:rPr>
        <w:t>e</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221</w:t>
      </w:r>
      <w:r w:rsidR="00CF451D" w:rsidRPr="00CF451D">
        <w:rPr>
          <w:rFonts w:ascii="Verdana" w:hAnsi="Verdana"/>
          <w:sz w:val="20"/>
          <w:lang w:val="pt-BR"/>
        </w:rPr>
        <w:t>)</w:t>
      </w:r>
      <w:r w:rsidR="004756C1" w:rsidRPr="002F50BD">
        <w:rPr>
          <w:rFonts w:ascii="Verdana" w:hAnsi="Verdana"/>
          <w:sz w:val="20"/>
          <w:lang w:val="pt-BR"/>
        </w:rPr>
        <w:t>.</w:t>
      </w:r>
      <w:r w:rsidR="00FE08B7">
        <w:rPr>
          <w:rFonts w:ascii="Verdana" w:hAnsi="Verdana"/>
          <w:sz w:val="20"/>
          <w:lang w:val="pt-BR"/>
        </w:rPr>
        <w:t xml:space="preserve"> </w:t>
      </w:r>
      <w:r w:rsidR="00243D2E"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juízo</w:t>
      </w:r>
      <w:r w:rsidR="004756C1" w:rsidRPr="002F50BD">
        <w:rPr>
          <w:rFonts w:ascii="Verdana" w:hAnsi="Verdana"/>
          <w:sz w:val="20"/>
          <w:lang w:val="pt-BR"/>
        </w:rPr>
        <w:t>,</w:t>
      </w:r>
      <w:r w:rsidR="0089298C" w:rsidRPr="002F50BD">
        <w:rPr>
          <w:rFonts w:ascii="Verdana" w:hAnsi="Verdana"/>
          <w:sz w:val="20"/>
          <w:lang w:val="pt-BR"/>
        </w:rPr>
        <w:t xml:space="preserve"> da própria Sentença da </w:t>
      </w:r>
      <w:r w:rsidR="004756C1" w:rsidRPr="002F50BD">
        <w:rPr>
          <w:rFonts w:ascii="Verdana" w:hAnsi="Verdana"/>
          <w:sz w:val="20"/>
          <w:lang w:val="pt-BR"/>
        </w:rPr>
        <w:t xml:space="preserve">Corte </w:t>
      </w:r>
      <w:r w:rsidR="0089298C" w:rsidRPr="002F50BD">
        <w:rPr>
          <w:rFonts w:ascii="Verdana" w:hAnsi="Verdana"/>
          <w:sz w:val="20"/>
          <w:lang w:val="pt-BR"/>
        </w:rPr>
        <w:t>decorre</w:t>
      </w:r>
      <w:r w:rsidR="004756C1" w:rsidRPr="002F50BD">
        <w:rPr>
          <w:rFonts w:ascii="Verdana" w:hAnsi="Verdana"/>
          <w:sz w:val="20"/>
          <w:lang w:val="pt-BR"/>
        </w:rPr>
        <w:t xml:space="preserve"> claramente</w:t>
      </w:r>
      <w:r w:rsidR="0089298C" w:rsidRPr="002F50BD">
        <w:rPr>
          <w:rFonts w:ascii="Verdana" w:hAnsi="Verdana"/>
          <w:sz w:val="20"/>
          <w:lang w:val="pt-BR"/>
        </w:rPr>
        <w:t xml:space="preserve"> o </w:t>
      </w:r>
      <w:r w:rsidR="004756C1" w:rsidRPr="002F50BD">
        <w:rPr>
          <w:rFonts w:ascii="Verdana" w:hAnsi="Verdana"/>
          <w:sz w:val="20"/>
          <w:lang w:val="pt-BR"/>
        </w:rPr>
        <w:t xml:space="preserve">nexo de </w:t>
      </w:r>
      <w:r w:rsidR="00CD2AE8" w:rsidRPr="002F50BD">
        <w:rPr>
          <w:rFonts w:ascii="Verdana" w:hAnsi="Verdana"/>
          <w:sz w:val="20"/>
          <w:lang w:val="pt-BR"/>
        </w:rPr>
        <w:t>causalidade</w:t>
      </w:r>
      <w:r w:rsidR="004756C1" w:rsidRPr="002F50BD">
        <w:rPr>
          <w:rFonts w:ascii="Verdana" w:hAnsi="Verdana"/>
          <w:sz w:val="20"/>
          <w:lang w:val="pt-BR"/>
        </w:rPr>
        <w:t xml:space="preserve"> entre</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00CD2AE8" w:rsidRPr="002F50BD">
        <w:rPr>
          <w:rFonts w:ascii="Verdana" w:hAnsi="Verdana"/>
          <w:sz w:val="20"/>
          <w:lang w:val="pt-BR"/>
        </w:rPr>
        <w:t>desumanas</w:t>
      </w:r>
      <w:r w:rsidR="004756C1" w:rsidRPr="002F50BD">
        <w:rPr>
          <w:rFonts w:ascii="Verdana" w:hAnsi="Verdana"/>
          <w:sz w:val="20"/>
          <w:lang w:val="pt-BR"/>
        </w:rPr>
        <w:t xml:space="preserve"> de vida</w:t>
      </w:r>
      <w:r w:rsidR="0089298C" w:rsidRPr="002F50BD">
        <w:rPr>
          <w:rFonts w:ascii="Verdana" w:hAnsi="Verdana"/>
          <w:sz w:val="20"/>
          <w:lang w:val="pt-BR"/>
        </w:rPr>
        <w:t xml:space="preserve"> dos membro</w:t>
      </w:r>
      <w:r w:rsidR="004756C1" w:rsidRPr="002F50BD">
        <w:rPr>
          <w:rFonts w:ascii="Verdana" w:hAnsi="Verdana"/>
          <w:sz w:val="20"/>
          <w:lang w:val="pt-BR"/>
        </w:rPr>
        <w:t>s</w:t>
      </w:r>
      <w:r w:rsidR="0089298C" w:rsidRPr="002F50BD">
        <w:rPr>
          <w:rFonts w:ascii="Verdana" w:hAnsi="Verdana"/>
          <w:sz w:val="20"/>
          <w:lang w:val="pt-BR"/>
        </w:rPr>
        <w:t xml:space="preserve"> da Comunidade e o </w:t>
      </w:r>
      <w:r w:rsidR="00367FD1" w:rsidRPr="002F50BD">
        <w:rPr>
          <w:rFonts w:ascii="Verdana" w:hAnsi="Verdana"/>
          <w:sz w:val="20"/>
          <w:lang w:val="pt-BR"/>
        </w:rPr>
        <w:t>falecimento</w:t>
      </w:r>
      <w:r w:rsidR="004756C1" w:rsidRPr="002F50BD">
        <w:rPr>
          <w:rFonts w:ascii="Verdana" w:hAnsi="Verdana"/>
          <w:sz w:val="20"/>
          <w:lang w:val="pt-BR"/>
        </w:rPr>
        <w:t xml:space="preserve"> de </w:t>
      </w:r>
      <w:r w:rsidR="0089298C" w:rsidRPr="002F50BD">
        <w:rPr>
          <w:rFonts w:ascii="Verdana" w:hAnsi="Verdana"/>
          <w:sz w:val="20"/>
          <w:lang w:val="pt-BR"/>
        </w:rPr>
        <w:t xml:space="preserve">alguns </w:t>
      </w:r>
      <w:r w:rsidR="00CD2AE8" w:rsidRPr="002F50BD">
        <w:rPr>
          <w:rFonts w:ascii="Verdana" w:hAnsi="Verdana"/>
          <w:sz w:val="20"/>
          <w:lang w:val="pt-BR"/>
        </w:rPr>
        <w:t>d</w:t>
      </w:r>
      <w:r w:rsidR="0089298C" w:rsidRPr="002F50BD">
        <w:rPr>
          <w:rFonts w:ascii="Verdana" w:hAnsi="Verdana"/>
          <w:sz w:val="20"/>
          <w:lang w:val="pt-BR"/>
        </w:rPr>
        <w:t>ele</w:t>
      </w:r>
      <w:r w:rsidR="004756C1"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14</w:t>
      </w:r>
      <w:r w:rsidR="00CD2AE8" w:rsidRPr="002F50BD">
        <w:rPr>
          <w:rFonts w:ascii="Verdana" w:hAnsi="Verdana"/>
          <w:sz w:val="20"/>
          <w:lang w:val="pt-BR"/>
        </w:rPr>
        <w:t>.</w:t>
      </w:r>
      <w:r w:rsidR="00CD2AE8" w:rsidRPr="002F50BD">
        <w:rPr>
          <w:rFonts w:ascii="Verdana" w:hAnsi="Verdana"/>
          <w:sz w:val="20"/>
          <w:lang w:val="pt-BR"/>
        </w:rPr>
        <w:tab/>
        <w:t>Sobre este po</w:t>
      </w:r>
      <w:r w:rsidR="004756C1" w:rsidRPr="002F50BD">
        <w:rPr>
          <w:rFonts w:ascii="Verdana" w:hAnsi="Verdana"/>
          <w:sz w:val="20"/>
          <w:lang w:val="pt-BR"/>
        </w:rPr>
        <w:t>nto,</w:t>
      </w:r>
      <w:r w:rsidR="0089298C" w:rsidRPr="002F50BD">
        <w:rPr>
          <w:rFonts w:ascii="Verdana" w:hAnsi="Verdana"/>
          <w:sz w:val="20"/>
          <w:lang w:val="pt-BR"/>
        </w:rPr>
        <w:t xml:space="preserve"> em </w:t>
      </w:r>
      <w:r w:rsidR="00AB454A" w:rsidRPr="002F50BD">
        <w:rPr>
          <w:rFonts w:ascii="Verdana" w:hAnsi="Verdana"/>
          <w:sz w:val="20"/>
          <w:lang w:val="pt-BR"/>
        </w:rPr>
        <w:t>sua declaração</w:t>
      </w:r>
      <w:r w:rsidR="004756C1" w:rsidRPr="002F50BD">
        <w:rPr>
          <w:rFonts w:ascii="Verdana" w:hAnsi="Verdana"/>
          <w:sz w:val="20"/>
          <w:lang w:val="pt-BR"/>
        </w:rPr>
        <w:t xml:space="preserve"> pericial</w:t>
      </w:r>
      <w:r w:rsidR="0089298C" w:rsidRPr="002F50BD">
        <w:rPr>
          <w:rFonts w:ascii="Verdana" w:hAnsi="Verdana"/>
          <w:sz w:val="20"/>
          <w:lang w:val="pt-BR"/>
        </w:rPr>
        <w:t xml:space="preserve"> </w:t>
      </w:r>
      <w:r w:rsidR="00CD2AE8" w:rsidRPr="002F50BD">
        <w:rPr>
          <w:rFonts w:ascii="Verdana" w:hAnsi="Verdana"/>
          <w:sz w:val="20"/>
          <w:lang w:val="pt-BR"/>
        </w:rPr>
        <w:t xml:space="preserve">prestada </w:t>
      </w:r>
      <w:r w:rsidR="0089298C" w:rsidRPr="002F50BD">
        <w:rPr>
          <w:rFonts w:ascii="Verdana" w:hAnsi="Verdana"/>
          <w:sz w:val="20"/>
          <w:lang w:val="pt-BR"/>
        </w:rPr>
        <w:t>na audiência</w:t>
      </w:r>
      <w:r w:rsidR="004756C1" w:rsidRPr="002F50BD">
        <w:rPr>
          <w:rFonts w:ascii="Verdana" w:hAnsi="Verdana"/>
          <w:sz w:val="20"/>
          <w:lang w:val="pt-BR"/>
        </w:rPr>
        <w:t xml:space="preserve"> pública</w:t>
      </w:r>
      <w:r w:rsidR="0089298C" w:rsidRPr="002F50BD">
        <w:rPr>
          <w:rFonts w:ascii="Verdana" w:hAnsi="Verdana"/>
          <w:sz w:val="20"/>
          <w:lang w:val="pt-BR"/>
        </w:rPr>
        <w:t xml:space="preserve"> dos dia</w:t>
      </w:r>
      <w:r w:rsidR="004756C1" w:rsidRPr="002F50BD">
        <w:rPr>
          <w:rFonts w:ascii="Verdana" w:hAnsi="Verdana"/>
          <w:sz w:val="20"/>
          <w:lang w:val="pt-BR"/>
        </w:rPr>
        <w:t xml:space="preserve">s </w:t>
      </w:r>
      <w:r w:rsidRPr="002F50BD">
        <w:rPr>
          <w:rFonts w:ascii="Verdana" w:hAnsi="Verdana"/>
          <w:sz w:val="20"/>
          <w:lang w:val="pt-BR"/>
        </w:rPr>
        <w:t>4</w:t>
      </w:r>
      <w:r w:rsidR="0089298C" w:rsidRPr="002F50BD">
        <w:rPr>
          <w:rFonts w:ascii="Verdana" w:hAnsi="Verdana"/>
          <w:sz w:val="20"/>
          <w:lang w:val="pt-BR"/>
        </w:rPr>
        <w:t xml:space="preserve"> e </w:t>
      </w:r>
      <w:r w:rsidRPr="002F50BD">
        <w:rPr>
          <w:rFonts w:ascii="Verdana" w:hAnsi="Verdana"/>
          <w:sz w:val="20"/>
          <w:lang w:val="pt-BR"/>
        </w:rPr>
        <w:t>5</w:t>
      </w:r>
      <w:r w:rsidR="004756C1" w:rsidRPr="002F50BD">
        <w:rPr>
          <w:rFonts w:ascii="Verdana" w:hAnsi="Verdana"/>
          <w:sz w:val="20"/>
          <w:lang w:val="pt-BR"/>
        </w:rPr>
        <w:t xml:space="preserve"> de </w:t>
      </w:r>
      <w:r w:rsidR="0089298C" w:rsidRPr="002F50BD">
        <w:rPr>
          <w:rFonts w:ascii="Verdana" w:hAnsi="Verdana"/>
          <w:sz w:val="20"/>
          <w:lang w:val="pt-BR"/>
        </w:rPr>
        <w:t>março</w:t>
      </w:r>
      <w:r w:rsidR="004756C1" w:rsidRPr="002F50BD">
        <w:rPr>
          <w:rFonts w:ascii="Verdana" w:hAnsi="Verdana"/>
          <w:sz w:val="20"/>
          <w:lang w:val="pt-BR"/>
        </w:rPr>
        <w:t xml:space="preserve"> de </w:t>
      </w:r>
      <w:r w:rsidRPr="002F50BD">
        <w:rPr>
          <w:rFonts w:ascii="Verdana" w:hAnsi="Verdana"/>
          <w:sz w:val="20"/>
          <w:lang w:val="pt-BR"/>
        </w:rPr>
        <w:t>2005</w:t>
      </w:r>
      <w:r w:rsidR="004756C1" w:rsidRPr="002F50BD">
        <w:rPr>
          <w:rFonts w:ascii="Verdana" w:hAnsi="Verdana"/>
          <w:sz w:val="20"/>
          <w:lang w:val="pt-BR"/>
        </w:rPr>
        <w:t xml:space="preserve"> </w:t>
      </w:r>
      <w:r w:rsidR="00CD2AE8" w:rsidRPr="002F50BD">
        <w:rPr>
          <w:rFonts w:ascii="Verdana" w:hAnsi="Verdana"/>
          <w:sz w:val="20"/>
          <w:lang w:val="pt-BR"/>
        </w:rPr>
        <w:t>per</w:t>
      </w:r>
      <w:r w:rsidR="004756C1" w:rsidRPr="002F50BD">
        <w:rPr>
          <w:rFonts w:ascii="Verdana" w:hAnsi="Verdana"/>
          <w:sz w:val="20"/>
          <w:lang w:val="pt-BR"/>
        </w:rPr>
        <w:t>ante esta Corte,</w:t>
      </w:r>
      <w:r w:rsidR="0089298C" w:rsidRPr="002F50BD">
        <w:rPr>
          <w:rFonts w:ascii="Verdana" w:hAnsi="Verdana"/>
          <w:sz w:val="20"/>
          <w:lang w:val="pt-BR"/>
        </w:rPr>
        <w:t xml:space="preserve"> o </w:t>
      </w:r>
      <w:r w:rsidR="004756C1" w:rsidRPr="002F50BD">
        <w:rPr>
          <w:rFonts w:ascii="Verdana" w:hAnsi="Verdana"/>
          <w:sz w:val="20"/>
          <w:lang w:val="pt-BR"/>
        </w:rPr>
        <w:t xml:space="preserve">perito P. Balmaceda Rodríguez </w:t>
      </w:r>
      <w:r w:rsidR="0089298C" w:rsidRPr="002F50BD">
        <w:rPr>
          <w:rFonts w:ascii="Verdana" w:hAnsi="Verdana"/>
          <w:sz w:val="20"/>
          <w:lang w:val="pt-BR"/>
        </w:rPr>
        <w:t>afirmou</w:t>
      </w:r>
      <w:r w:rsidR="004756C1" w:rsidRPr="002F50BD">
        <w:rPr>
          <w:rStyle w:val="FootnoteReference"/>
          <w:rFonts w:ascii="Verdana" w:hAnsi="Verdana"/>
          <w:sz w:val="16"/>
        </w:rPr>
        <w:footnoteReference w:id="231"/>
      </w:r>
      <w:r w:rsidR="0089298C" w:rsidRPr="002F50BD">
        <w:rPr>
          <w:rFonts w:ascii="Verdana" w:hAnsi="Verdana"/>
          <w:sz w:val="20"/>
          <w:lang w:val="pt-BR"/>
        </w:rPr>
        <w:t xml:space="preserve"> a </w:t>
      </w:r>
      <w:r w:rsidR="004756C1" w:rsidRPr="002F50BD">
        <w:rPr>
          <w:rFonts w:ascii="Verdana" w:hAnsi="Verdana"/>
          <w:sz w:val="20"/>
          <w:lang w:val="pt-BR"/>
        </w:rPr>
        <w:t>precariedad</w:t>
      </w:r>
      <w:r w:rsidR="00CD2AE8" w:rsidRPr="002F50BD">
        <w:rPr>
          <w:rFonts w:ascii="Verdana" w:hAnsi="Verdana"/>
          <w:sz w:val="20"/>
          <w:lang w:val="pt-BR"/>
        </w:rPr>
        <w:t>e</w:t>
      </w:r>
      <w:r w:rsidR="004756C1" w:rsidRPr="002F50BD">
        <w:rPr>
          <w:rFonts w:ascii="Verdana" w:hAnsi="Verdana"/>
          <w:sz w:val="20"/>
          <w:lang w:val="pt-BR"/>
        </w:rPr>
        <w:t xml:space="preserve"> de condi</w:t>
      </w:r>
      <w:r w:rsidR="0089298C" w:rsidRPr="002F50BD">
        <w:rPr>
          <w:rFonts w:ascii="Verdana" w:hAnsi="Verdana"/>
          <w:sz w:val="20"/>
          <w:lang w:val="pt-BR"/>
        </w:rPr>
        <w:t xml:space="preserve">ções em </w:t>
      </w:r>
      <w:r w:rsidR="004756C1" w:rsidRPr="002F50BD">
        <w:rPr>
          <w:rFonts w:ascii="Verdana" w:hAnsi="Verdana"/>
          <w:sz w:val="20"/>
          <w:lang w:val="pt-BR"/>
        </w:rPr>
        <w:t xml:space="preserve">que </w:t>
      </w:r>
      <w:r w:rsidR="00CD7100" w:rsidRPr="002F50BD">
        <w:rPr>
          <w:rFonts w:ascii="Verdana" w:hAnsi="Verdana"/>
          <w:sz w:val="20"/>
          <w:lang w:val="pt-BR"/>
        </w:rPr>
        <w:t>viviam</w:t>
      </w:r>
      <w:r w:rsidR="004756C1" w:rsidRPr="002F50BD">
        <w:rPr>
          <w:rFonts w:ascii="Verdana" w:hAnsi="Verdana"/>
          <w:sz w:val="20"/>
          <w:lang w:val="pt-BR"/>
        </w:rPr>
        <w:t>,</w:t>
      </w:r>
      <w:r w:rsidR="0089298C" w:rsidRPr="002F50BD">
        <w:rPr>
          <w:rFonts w:ascii="Verdana" w:hAnsi="Verdana"/>
          <w:sz w:val="20"/>
          <w:lang w:val="pt-BR"/>
        </w:rPr>
        <w:t xml:space="preserve"> em </w:t>
      </w:r>
      <w:r w:rsidR="00CD2AE8" w:rsidRPr="002F50BD">
        <w:rPr>
          <w:rFonts w:ascii="Verdana" w:hAnsi="Verdana"/>
          <w:sz w:val="20"/>
          <w:lang w:val="pt-BR"/>
        </w:rPr>
        <w:t>cabanas</w:t>
      </w:r>
      <w:r w:rsidR="004756C1" w:rsidRPr="002F50BD">
        <w:rPr>
          <w:rFonts w:ascii="Verdana" w:hAnsi="Verdana"/>
          <w:sz w:val="20"/>
          <w:lang w:val="pt-BR"/>
        </w:rPr>
        <w:t>,</w:t>
      </w:r>
      <w:r w:rsidR="0089298C" w:rsidRPr="002F50BD">
        <w:rPr>
          <w:rFonts w:ascii="Verdana" w:hAnsi="Verdana"/>
          <w:sz w:val="20"/>
          <w:lang w:val="pt-BR"/>
        </w:rPr>
        <w:t xml:space="preserve"> os </w:t>
      </w:r>
      <w:r w:rsidR="00CD2AE8" w:rsidRPr="002F50BD">
        <w:rPr>
          <w:rFonts w:ascii="Verdana" w:hAnsi="Verdana"/>
          <w:sz w:val="20"/>
          <w:lang w:val="pt-BR"/>
        </w:rPr>
        <w:t>moradores</w:t>
      </w:r>
      <w:r w:rsidR="0089298C" w:rsidRPr="002F50BD">
        <w:rPr>
          <w:rFonts w:ascii="Verdana" w:hAnsi="Verdana"/>
          <w:sz w:val="20"/>
          <w:lang w:val="pt-BR"/>
        </w:rPr>
        <w:t xml:space="preserve"> da Comunidade </w:t>
      </w:r>
      <w:r w:rsidR="004756C1" w:rsidRPr="002F50BD">
        <w:rPr>
          <w:rFonts w:ascii="Verdana" w:hAnsi="Verdana"/>
          <w:sz w:val="20"/>
          <w:lang w:val="pt-BR"/>
        </w:rPr>
        <w:t>Yakye Axa</w:t>
      </w:r>
      <w:r w:rsidR="0089298C" w:rsidRPr="002F50BD">
        <w:rPr>
          <w:rFonts w:ascii="Verdana" w:hAnsi="Verdana"/>
          <w:sz w:val="20"/>
          <w:lang w:val="pt-BR"/>
        </w:rPr>
        <w:t xml:space="preserve"> e a </w:t>
      </w:r>
      <w:r w:rsidR="004756C1" w:rsidRPr="002F50BD">
        <w:rPr>
          <w:rFonts w:ascii="Verdana" w:hAnsi="Verdana"/>
          <w:sz w:val="20"/>
          <w:lang w:val="pt-BR"/>
        </w:rPr>
        <w:t xml:space="preserve">falta de </w:t>
      </w:r>
      <w:r w:rsidR="0089298C" w:rsidRPr="002F50BD">
        <w:rPr>
          <w:rFonts w:ascii="Verdana" w:hAnsi="Verdana"/>
          <w:sz w:val="20"/>
          <w:lang w:val="pt-BR"/>
        </w:rPr>
        <w:t>posto</w:t>
      </w:r>
      <w:r w:rsidR="004756C1" w:rsidRPr="002F50BD">
        <w:rPr>
          <w:rFonts w:ascii="Verdana" w:hAnsi="Verdana"/>
          <w:sz w:val="20"/>
          <w:lang w:val="pt-BR"/>
        </w:rPr>
        <w:t xml:space="preserve">s de </w:t>
      </w:r>
      <w:r w:rsidR="0089298C" w:rsidRPr="002F50BD">
        <w:rPr>
          <w:rFonts w:ascii="Verdana" w:hAnsi="Verdana"/>
          <w:sz w:val="20"/>
          <w:lang w:val="pt-BR"/>
        </w:rPr>
        <w:t>saúd</w:t>
      </w:r>
      <w:r w:rsidR="00CD2AE8" w:rsidRPr="002F50BD">
        <w:rPr>
          <w:rFonts w:ascii="Verdana" w:hAnsi="Verdana"/>
          <w:sz w:val="20"/>
          <w:lang w:val="pt-BR"/>
        </w:rPr>
        <w:t xml:space="preserve">e </w:t>
      </w:r>
      <w:r w:rsidR="0089298C" w:rsidRPr="002F50BD">
        <w:rPr>
          <w:rFonts w:ascii="Verdana" w:hAnsi="Verdana"/>
          <w:sz w:val="20"/>
          <w:lang w:val="pt-BR"/>
        </w:rPr>
        <w:t>o</w:t>
      </w:r>
      <w:r w:rsidR="00CD2AE8" w:rsidRPr="002F50BD">
        <w:rPr>
          <w:rFonts w:ascii="Verdana" w:hAnsi="Verdana"/>
          <w:sz w:val="20"/>
          <w:lang w:val="pt-BR"/>
        </w:rPr>
        <w:t>u</w:t>
      </w:r>
      <w:r w:rsidR="0089298C" w:rsidRPr="002F50BD">
        <w:rPr>
          <w:rFonts w:ascii="Verdana" w:hAnsi="Verdana"/>
          <w:sz w:val="20"/>
          <w:lang w:val="pt-BR"/>
        </w:rPr>
        <w:t xml:space="preserve"> </w:t>
      </w:r>
      <w:r w:rsidR="00EF58EB" w:rsidRPr="002F50BD">
        <w:rPr>
          <w:rFonts w:ascii="Verdana" w:hAnsi="Verdana"/>
          <w:sz w:val="20"/>
          <w:lang w:val="pt-BR"/>
        </w:rPr>
        <w:t xml:space="preserve">ambulatórios </w:t>
      </w:r>
      <w:r w:rsidR="004756C1" w:rsidRPr="002F50BD">
        <w:rPr>
          <w:rFonts w:ascii="Verdana" w:hAnsi="Verdana"/>
          <w:sz w:val="20"/>
          <w:lang w:val="pt-BR"/>
        </w:rPr>
        <w:t>médicos</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0089298C" w:rsidRPr="002F50BD">
        <w:rPr>
          <w:rFonts w:ascii="Verdana" w:hAnsi="Verdana"/>
          <w:sz w:val="20"/>
          <w:lang w:val="pt-BR"/>
        </w:rPr>
        <w:t xml:space="preserve"> o </w:t>
      </w:r>
      <w:r w:rsidR="00AB454A" w:rsidRPr="002F50BD">
        <w:rPr>
          <w:rFonts w:ascii="Verdana" w:hAnsi="Verdana"/>
          <w:sz w:val="20"/>
          <w:lang w:val="pt-BR"/>
        </w:rPr>
        <w:t>assentamento</w:t>
      </w:r>
      <w:r w:rsidR="0089298C" w:rsidRPr="002F50BD">
        <w:rPr>
          <w:rFonts w:ascii="Verdana" w:hAnsi="Verdana"/>
          <w:sz w:val="20"/>
          <w:lang w:val="pt-BR"/>
        </w:rPr>
        <w:t xml:space="preserve"> da Comunidade </w:t>
      </w:r>
      <w:r w:rsidR="004756C1" w:rsidRPr="002F50BD">
        <w:rPr>
          <w:rFonts w:ascii="Verdana" w:hAnsi="Verdana"/>
          <w:sz w:val="20"/>
          <w:lang w:val="pt-BR"/>
        </w:rPr>
        <w:t xml:space="preserve">se </w:t>
      </w:r>
      <w:r w:rsidR="0089298C" w:rsidRPr="002F50BD">
        <w:rPr>
          <w:rFonts w:ascii="Verdana" w:hAnsi="Verdana"/>
          <w:sz w:val="20"/>
          <w:lang w:val="pt-BR"/>
        </w:rPr>
        <w:t xml:space="preserve">encontra </w:t>
      </w:r>
      <w:r w:rsidR="004756C1" w:rsidRPr="002F50BD">
        <w:rPr>
          <w:rFonts w:ascii="Verdana" w:hAnsi="Verdana"/>
          <w:sz w:val="20"/>
          <w:lang w:val="pt-BR"/>
        </w:rPr>
        <w:t xml:space="preserve">a </w:t>
      </w:r>
      <w:r w:rsidRPr="002F50BD">
        <w:rPr>
          <w:rFonts w:ascii="Verdana" w:hAnsi="Verdana"/>
          <w:sz w:val="20"/>
          <w:lang w:val="pt-BR"/>
        </w:rPr>
        <w:t>356</w:t>
      </w:r>
      <w:r w:rsidR="004756C1" w:rsidRPr="002F50BD">
        <w:rPr>
          <w:rFonts w:ascii="Verdana" w:hAnsi="Verdana"/>
          <w:sz w:val="20"/>
          <w:lang w:val="pt-BR"/>
        </w:rPr>
        <w:t xml:space="preserve"> </w:t>
      </w:r>
      <w:r w:rsidR="0089298C" w:rsidRPr="002F50BD">
        <w:rPr>
          <w:rFonts w:ascii="Verdana" w:hAnsi="Verdana"/>
          <w:sz w:val="20"/>
          <w:lang w:val="pt-BR"/>
        </w:rPr>
        <w:t xml:space="preserve">quilômetros da </w:t>
      </w:r>
      <w:r w:rsidR="004756C1" w:rsidRPr="002F50BD">
        <w:rPr>
          <w:rFonts w:ascii="Verdana" w:hAnsi="Verdana"/>
          <w:sz w:val="20"/>
          <w:lang w:val="pt-BR"/>
        </w:rPr>
        <w:t>capital Asun</w:t>
      </w:r>
      <w:r w:rsidR="00CD2AE8" w:rsidRPr="002F50BD">
        <w:rPr>
          <w:rFonts w:ascii="Verdana" w:hAnsi="Verdana"/>
          <w:sz w:val="20"/>
          <w:lang w:val="pt-BR"/>
        </w:rPr>
        <w:t>ción</w:t>
      </w:r>
      <w:r w:rsidR="0089298C" w:rsidRPr="002F50BD">
        <w:rPr>
          <w:rFonts w:ascii="Verdana" w:hAnsi="Verdana"/>
          <w:sz w:val="20"/>
          <w:lang w:val="pt-BR"/>
        </w:rPr>
        <w:t xml:space="preserve"> e</w:t>
      </w:r>
      <w:r w:rsidR="004756C1" w:rsidRPr="002F50BD">
        <w:rPr>
          <w:rFonts w:ascii="Verdana" w:hAnsi="Verdana"/>
          <w:sz w:val="20"/>
          <w:lang w:val="pt-BR"/>
        </w:rPr>
        <w:t xml:space="preserve"> a </w:t>
      </w:r>
      <w:r w:rsidRPr="002F50BD">
        <w:rPr>
          <w:rFonts w:ascii="Verdana" w:hAnsi="Verdana"/>
          <w:sz w:val="20"/>
          <w:lang w:val="pt-BR"/>
        </w:rPr>
        <w:t>70</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hospital </w:t>
      </w:r>
      <w:r w:rsidR="0089298C" w:rsidRPr="002F50BD">
        <w:rPr>
          <w:rFonts w:ascii="Verdana" w:hAnsi="Verdana"/>
          <w:sz w:val="20"/>
          <w:lang w:val="pt-BR"/>
        </w:rPr>
        <w:t xml:space="preserve">mais </w:t>
      </w:r>
      <w:r w:rsidR="00CD2AE8" w:rsidRPr="002F50BD">
        <w:rPr>
          <w:rFonts w:ascii="Verdana" w:hAnsi="Verdana"/>
          <w:sz w:val="20"/>
          <w:lang w:val="pt-BR"/>
        </w:rPr>
        <w:t xml:space="preserve">próximo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40</w:t>
      </w:r>
      <w:r w:rsidR="004756C1" w:rsidRPr="002F50BD">
        <w:rPr>
          <w:rFonts w:ascii="Verdana" w:hAnsi="Verdana"/>
          <w:sz w:val="20"/>
          <w:lang w:val="pt-BR"/>
        </w:rPr>
        <w:t>.g</w:t>
      </w:r>
      <w:r w:rsidR="00CF451D" w:rsidRPr="00CF451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15</w:t>
      </w:r>
      <w:r w:rsidR="004756C1" w:rsidRPr="002F50BD">
        <w:rPr>
          <w:rFonts w:ascii="Verdana" w:hAnsi="Verdana"/>
          <w:sz w:val="20"/>
          <w:lang w:val="pt-BR"/>
        </w:rPr>
        <w:t>.</w:t>
      </w:r>
      <w:r w:rsidR="004756C1" w:rsidRPr="002F50BD">
        <w:rPr>
          <w:rFonts w:ascii="Verdana" w:hAnsi="Verdana"/>
          <w:sz w:val="20"/>
          <w:lang w:val="pt-BR"/>
        </w:rPr>
        <w:tab/>
      </w:r>
      <w:r w:rsidR="00CD2AE8" w:rsidRPr="002F50BD">
        <w:rPr>
          <w:rFonts w:ascii="Verdana" w:hAnsi="Verdana"/>
          <w:sz w:val="20"/>
          <w:lang w:val="pt-BR"/>
        </w:rPr>
        <w:t xml:space="preserve">Além </w:t>
      </w:r>
      <w:r w:rsidR="0089298C" w:rsidRPr="002F50BD">
        <w:rPr>
          <w:rFonts w:ascii="Verdana" w:hAnsi="Verdana"/>
          <w:sz w:val="20"/>
          <w:lang w:val="pt-BR"/>
        </w:rPr>
        <w:t xml:space="preserve">da </w:t>
      </w:r>
      <w:r w:rsidR="004756C1" w:rsidRPr="002F50BD">
        <w:rPr>
          <w:rFonts w:ascii="Verdana" w:hAnsi="Verdana"/>
          <w:sz w:val="20"/>
          <w:lang w:val="pt-BR"/>
        </w:rPr>
        <w:t>referida declara</w:t>
      </w:r>
      <w:r w:rsidR="0089298C" w:rsidRPr="002F50BD">
        <w:rPr>
          <w:rFonts w:ascii="Verdana" w:hAnsi="Verdana"/>
          <w:sz w:val="20"/>
          <w:lang w:val="pt-BR"/>
        </w:rPr>
        <w:t>ção</w:t>
      </w:r>
      <w:r w:rsidR="004756C1" w:rsidRPr="002F50BD">
        <w:rPr>
          <w:rFonts w:ascii="Verdana" w:hAnsi="Verdana"/>
          <w:sz w:val="20"/>
          <w:lang w:val="pt-BR"/>
        </w:rPr>
        <w:t xml:space="preserve"> pericial</w:t>
      </w:r>
      <w:r w:rsidR="0089298C" w:rsidRPr="002F50BD">
        <w:rPr>
          <w:rFonts w:ascii="Verdana" w:hAnsi="Verdana"/>
          <w:sz w:val="20"/>
          <w:lang w:val="pt-BR"/>
        </w:rPr>
        <w:t xml:space="preserve"> na </w:t>
      </w:r>
      <w:r w:rsidR="004756C1" w:rsidRPr="002F50BD">
        <w:rPr>
          <w:rFonts w:ascii="Verdana" w:hAnsi="Verdana"/>
          <w:sz w:val="20"/>
          <w:lang w:val="pt-BR"/>
        </w:rPr>
        <w:t xml:space="preserve">mencionada </w:t>
      </w:r>
      <w:r w:rsidR="0089298C" w:rsidRPr="002F50BD">
        <w:rPr>
          <w:rFonts w:ascii="Verdana" w:hAnsi="Verdana"/>
          <w:sz w:val="20"/>
          <w:lang w:val="pt-BR"/>
        </w:rPr>
        <w:t>audiência</w:t>
      </w:r>
      <w:r w:rsidR="004756C1" w:rsidRPr="002F50BD">
        <w:rPr>
          <w:rFonts w:ascii="Verdana" w:hAnsi="Verdana"/>
          <w:sz w:val="20"/>
          <w:lang w:val="pt-BR"/>
        </w:rPr>
        <w:t xml:space="preserve"> pública</w:t>
      </w:r>
      <w:r w:rsidR="0089298C" w:rsidRPr="002F50BD">
        <w:rPr>
          <w:rFonts w:ascii="Verdana" w:hAnsi="Verdana"/>
          <w:sz w:val="20"/>
          <w:lang w:val="pt-BR"/>
        </w:rPr>
        <w:t xml:space="preserve"> perante a </w:t>
      </w:r>
      <w:r w:rsidR="004756C1" w:rsidRPr="002F50BD">
        <w:rPr>
          <w:rFonts w:ascii="Verdana" w:hAnsi="Verdana"/>
          <w:sz w:val="20"/>
          <w:lang w:val="pt-BR"/>
        </w:rPr>
        <w:t>Corte,</w:t>
      </w:r>
      <w:r w:rsidR="0089298C" w:rsidRPr="002F50BD">
        <w:rPr>
          <w:rFonts w:ascii="Verdana" w:hAnsi="Verdana"/>
          <w:sz w:val="20"/>
          <w:lang w:val="pt-BR"/>
        </w:rPr>
        <w:t xml:space="preserve"> os </w:t>
      </w:r>
      <w:r w:rsidR="008C29C9" w:rsidRPr="002F50BD">
        <w:rPr>
          <w:rFonts w:ascii="Verdana" w:hAnsi="Verdana"/>
          <w:sz w:val="20"/>
          <w:lang w:val="pt-BR"/>
        </w:rPr>
        <w:t>representante</w:t>
      </w:r>
      <w:r w:rsidR="004756C1" w:rsidRPr="002F50BD">
        <w:rPr>
          <w:rFonts w:ascii="Verdana" w:hAnsi="Verdana"/>
          <w:sz w:val="20"/>
          <w:lang w:val="pt-BR"/>
        </w:rPr>
        <w:t>s</w:t>
      </w:r>
      <w:r w:rsidR="0089298C" w:rsidRPr="002F50BD">
        <w:rPr>
          <w:rFonts w:ascii="Verdana" w:hAnsi="Verdana"/>
          <w:sz w:val="20"/>
          <w:lang w:val="pt-BR"/>
        </w:rPr>
        <w:t xml:space="preserve"> das vítima</w:t>
      </w:r>
      <w:r w:rsidR="004756C1" w:rsidRPr="002F50BD">
        <w:rPr>
          <w:rFonts w:ascii="Verdana" w:hAnsi="Verdana"/>
          <w:sz w:val="20"/>
          <w:lang w:val="pt-BR"/>
        </w:rPr>
        <w:t xml:space="preserve">s </w:t>
      </w:r>
      <w:r w:rsidR="00243D2E" w:rsidRPr="002F50BD">
        <w:rPr>
          <w:rFonts w:ascii="Verdana" w:hAnsi="Verdana"/>
          <w:sz w:val="20"/>
          <w:lang w:val="pt-BR"/>
        </w:rPr>
        <w:t>enviaram</w:t>
      </w:r>
      <w:r w:rsidR="0089298C" w:rsidRPr="002F50BD">
        <w:rPr>
          <w:rFonts w:ascii="Verdana" w:hAnsi="Verdana"/>
          <w:sz w:val="20"/>
          <w:lang w:val="pt-BR"/>
        </w:rPr>
        <w:t xml:space="preserve"> ao </w:t>
      </w:r>
      <w:r w:rsidR="004756C1" w:rsidRPr="002F50BD">
        <w:rPr>
          <w:rFonts w:ascii="Verdana" w:hAnsi="Verdana"/>
          <w:sz w:val="20"/>
          <w:lang w:val="pt-BR"/>
        </w:rPr>
        <w:t>Tribunal, como anexo a</w:t>
      </w:r>
      <w:r w:rsidR="0089298C" w:rsidRPr="002F50BD">
        <w:rPr>
          <w:rFonts w:ascii="Verdana" w:hAnsi="Verdana"/>
          <w:sz w:val="20"/>
          <w:lang w:val="pt-BR"/>
        </w:rPr>
        <w:t xml:space="preserve"> seu </w:t>
      </w:r>
      <w:r w:rsidR="00AB454A" w:rsidRPr="002F50BD">
        <w:rPr>
          <w:rFonts w:ascii="Verdana" w:hAnsi="Verdana"/>
          <w:sz w:val="20"/>
          <w:lang w:val="pt-BR"/>
        </w:rPr>
        <w:t>escrito de petições</w:t>
      </w:r>
      <w:r w:rsidR="004756C1" w:rsidRPr="002F50BD">
        <w:rPr>
          <w:rFonts w:ascii="Verdana" w:hAnsi="Verdana"/>
          <w:sz w:val="20"/>
          <w:lang w:val="pt-BR"/>
        </w:rPr>
        <w:t>, argumentos</w:t>
      </w:r>
      <w:r w:rsidR="0089298C" w:rsidRPr="002F50BD">
        <w:rPr>
          <w:rFonts w:ascii="Verdana" w:hAnsi="Verdana"/>
          <w:sz w:val="20"/>
          <w:lang w:val="pt-BR"/>
        </w:rPr>
        <w:t xml:space="preserve"> e prova</w:t>
      </w:r>
      <w:r w:rsidR="004756C1" w:rsidRPr="002F50BD">
        <w:rPr>
          <w:rFonts w:ascii="Verdana" w:hAnsi="Verdana"/>
          <w:sz w:val="20"/>
          <w:lang w:val="pt-BR"/>
        </w:rPr>
        <w:t>s,</w:t>
      </w:r>
      <w:r w:rsidR="0089298C" w:rsidRPr="002F50BD">
        <w:rPr>
          <w:rFonts w:ascii="Verdana" w:hAnsi="Verdana"/>
          <w:sz w:val="20"/>
          <w:lang w:val="pt-BR"/>
        </w:rPr>
        <w:t xml:space="preserve"> um relatório </w:t>
      </w:r>
      <w:r w:rsidR="00CD2AE8" w:rsidRPr="002F50BD">
        <w:rPr>
          <w:rFonts w:ascii="Verdana" w:hAnsi="Verdana"/>
          <w:sz w:val="20"/>
          <w:lang w:val="pt-BR"/>
        </w:rPr>
        <w:t>médico-sanitá</w:t>
      </w:r>
      <w:r w:rsidR="004756C1" w:rsidRPr="002F50BD">
        <w:rPr>
          <w:rFonts w:ascii="Verdana" w:hAnsi="Verdana"/>
          <w:sz w:val="20"/>
          <w:lang w:val="pt-BR"/>
        </w:rPr>
        <w:t>rio</w:t>
      </w:r>
      <w:r w:rsidR="0089298C" w:rsidRPr="002F50BD">
        <w:rPr>
          <w:rFonts w:ascii="Verdana" w:hAnsi="Verdana"/>
          <w:sz w:val="20"/>
          <w:lang w:val="pt-BR"/>
        </w:rPr>
        <w:t xml:space="preserve"> da Comunidade </w:t>
      </w:r>
      <w:r w:rsidR="004756C1" w:rsidRPr="002F50BD">
        <w:rPr>
          <w:rFonts w:ascii="Verdana" w:hAnsi="Verdana"/>
          <w:sz w:val="20"/>
          <w:lang w:val="pt-BR"/>
        </w:rPr>
        <w:t>indígena Yakye Axa, elaborado</w:t>
      </w:r>
      <w:r w:rsidR="0089298C" w:rsidRPr="002F50BD">
        <w:rPr>
          <w:rFonts w:ascii="Verdana" w:hAnsi="Verdana"/>
          <w:sz w:val="20"/>
          <w:lang w:val="pt-BR"/>
        </w:rPr>
        <w:t xml:space="preserve"> pelo próprio</w:t>
      </w:r>
      <w:r w:rsidR="004756C1" w:rsidRPr="002F50BD">
        <w:rPr>
          <w:rFonts w:ascii="Verdana" w:hAnsi="Verdana"/>
          <w:sz w:val="20"/>
          <w:lang w:val="pt-BR"/>
        </w:rPr>
        <w:t xml:space="preserve"> perito Pablo Balmaceda</w:t>
      </w:r>
      <w:r w:rsidR="0089298C" w:rsidRPr="002F50BD">
        <w:rPr>
          <w:rFonts w:ascii="Verdana" w:hAnsi="Verdana"/>
          <w:sz w:val="20"/>
          <w:lang w:val="pt-BR"/>
        </w:rPr>
        <w:t xml:space="preserve"> e </w:t>
      </w:r>
      <w:r w:rsidR="004756C1" w:rsidRPr="002F50BD">
        <w:rPr>
          <w:rFonts w:ascii="Verdana" w:hAnsi="Verdana"/>
          <w:sz w:val="20"/>
          <w:lang w:val="pt-BR"/>
        </w:rPr>
        <w:t>su</w:t>
      </w:r>
      <w:r w:rsidR="00CD2AE8"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equipe</w:t>
      </w:r>
      <w:r w:rsidR="004756C1" w:rsidRPr="002F50BD">
        <w:rPr>
          <w:rFonts w:ascii="Verdana" w:hAnsi="Verdana"/>
          <w:sz w:val="20"/>
          <w:lang w:val="pt-BR"/>
        </w:rPr>
        <w:t xml:space="preserve"> de </w:t>
      </w:r>
      <w:r w:rsidR="0089298C" w:rsidRPr="002F50BD">
        <w:rPr>
          <w:rFonts w:ascii="Verdana" w:hAnsi="Verdana"/>
          <w:sz w:val="20"/>
          <w:lang w:val="pt-BR"/>
        </w:rPr>
        <w:t>trabalho</w:t>
      </w:r>
      <w:r w:rsidR="001A0CDE" w:rsidRPr="002F50BD">
        <w:rPr>
          <w:rFonts w:ascii="Verdana" w:hAnsi="Verdana"/>
          <w:sz w:val="20"/>
          <w:lang w:val="pt-BR"/>
        </w:rPr>
        <w:t>. Est</w:t>
      </w:r>
      <w:r w:rsidR="0089298C" w:rsidRPr="002F50BD">
        <w:rPr>
          <w:rFonts w:ascii="Verdana" w:hAnsi="Verdana"/>
          <w:sz w:val="20"/>
          <w:lang w:val="pt-BR"/>
        </w:rPr>
        <w:t xml:space="preserve">e relatório </w:t>
      </w:r>
      <w:r w:rsidR="004076AD" w:rsidRPr="002F50BD">
        <w:rPr>
          <w:rFonts w:ascii="Verdana" w:hAnsi="Verdana"/>
          <w:sz w:val="20"/>
          <w:lang w:val="pt-BR"/>
        </w:rPr>
        <w:t>advertiu</w:t>
      </w:r>
      <w:r w:rsidR="004756C1" w:rsidRPr="002F50BD">
        <w:rPr>
          <w:rFonts w:ascii="Verdana" w:hAnsi="Verdana"/>
          <w:sz w:val="20"/>
          <w:lang w:val="pt-BR"/>
        </w:rPr>
        <w:t xml:space="preserve"> textualmente que</w:t>
      </w:r>
    </w:p>
    <w:p w:rsidR="004756C1" w:rsidRPr="002F50BD" w:rsidRDefault="004756C1">
      <w:pPr>
        <w:ind w:left="360"/>
        <w:jc w:val="both"/>
        <w:rPr>
          <w:rFonts w:ascii="Verdana" w:hAnsi="Verdana"/>
          <w:sz w:val="20"/>
          <w:lang w:val="pt-BR"/>
        </w:rPr>
      </w:pPr>
    </w:p>
    <w:p w:rsidR="004756C1" w:rsidRPr="002F50BD" w:rsidRDefault="00FB33DD">
      <w:pPr>
        <w:ind w:left="720" w:right="720"/>
        <w:jc w:val="both"/>
        <w:rPr>
          <w:rFonts w:ascii="Verdana" w:hAnsi="Verdana"/>
          <w:sz w:val="16"/>
          <w:lang w:val="pt-BR"/>
        </w:rPr>
      </w:pPr>
      <w:r w:rsidRPr="002F50BD">
        <w:rPr>
          <w:rFonts w:ascii="Verdana" w:hAnsi="Verdana"/>
          <w:sz w:val="16"/>
          <w:lang w:val="pt-BR"/>
        </w:rPr>
        <w:t xml:space="preserve">A </w:t>
      </w:r>
      <w:r w:rsidR="0089298C" w:rsidRPr="002F50BD">
        <w:rPr>
          <w:rFonts w:ascii="Verdana" w:hAnsi="Verdana"/>
          <w:sz w:val="16"/>
          <w:lang w:val="pt-BR"/>
        </w:rPr>
        <w:t xml:space="preserve">comunidade inteira </w:t>
      </w:r>
      <w:r w:rsidR="004756C1" w:rsidRPr="002F50BD">
        <w:rPr>
          <w:rFonts w:ascii="Verdana" w:hAnsi="Verdana"/>
          <w:sz w:val="16"/>
          <w:lang w:val="pt-BR"/>
        </w:rPr>
        <w:t xml:space="preserve">se </w:t>
      </w:r>
      <w:r w:rsidR="0089298C" w:rsidRPr="002F50BD">
        <w:rPr>
          <w:rFonts w:ascii="Verdana" w:hAnsi="Verdana"/>
          <w:sz w:val="16"/>
          <w:lang w:val="pt-BR"/>
        </w:rPr>
        <w:t>encontra vivendo</w:t>
      </w:r>
      <w:r w:rsidR="00EF58EB" w:rsidRPr="002F50BD">
        <w:rPr>
          <w:rFonts w:ascii="Verdana" w:hAnsi="Verdana"/>
          <w:sz w:val="16"/>
          <w:lang w:val="pt-BR"/>
        </w:rPr>
        <w:t>,</w:t>
      </w:r>
      <w:r w:rsidR="004756C1" w:rsidRPr="002F50BD">
        <w:rPr>
          <w:rFonts w:ascii="Verdana" w:hAnsi="Verdana"/>
          <w:sz w:val="16"/>
          <w:lang w:val="pt-BR"/>
        </w:rPr>
        <w:t xml:space="preserve"> </w:t>
      </w:r>
      <w:r w:rsidR="00EF58EB" w:rsidRPr="002F50BD">
        <w:rPr>
          <w:rFonts w:ascii="Verdana" w:hAnsi="Verdana"/>
          <w:sz w:val="16"/>
          <w:lang w:val="pt-BR"/>
        </w:rPr>
        <w:t>há</w:t>
      </w:r>
      <w:r w:rsidR="004756C1" w:rsidRPr="002F50BD">
        <w:rPr>
          <w:rFonts w:ascii="Verdana" w:hAnsi="Verdana"/>
          <w:sz w:val="16"/>
          <w:lang w:val="pt-BR"/>
        </w:rPr>
        <w:t xml:space="preserve"> </w:t>
      </w:r>
      <w:r w:rsidR="0089298C" w:rsidRPr="002F50BD">
        <w:rPr>
          <w:rFonts w:ascii="Verdana" w:hAnsi="Verdana"/>
          <w:sz w:val="16"/>
          <w:lang w:val="pt-BR"/>
        </w:rPr>
        <w:t>muito</w:t>
      </w:r>
      <w:r w:rsidR="004756C1" w:rsidRPr="002F50BD">
        <w:rPr>
          <w:rFonts w:ascii="Verdana" w:hAnsi="Verdana"/>
          <w:sz w:val="16"/>
          <w:lang w:val="pt-BR"/>
        </w:rPr>
        <w:t xml:space="preserve">s </w:t>
      </w:r>
      <w:r w:rsidR="0089298C" w:rsidRPr="002F50BD">
        <w:rPr>
          <w:rFonts w:ascii="Verdana" w:hAnsi="Verdana"/>
          <w:sz w:val="16"/>
          <w:lang w:val="pt-BR"/>
        </w:rPr>
        <w:t>anos</w:t>
      </w:r>
      <w:r w:rsidR="00EF58EB" w:rsidRPr="002F50BD">
        <w:rPr>
          <w:rFonts w:ascii="Verdana" w:hAnsi="Verdana"/>
          <w:sz w:val="16"/>
          <w:lang w:val="pt-BR"/>
        </w:rPr>
        <w:t>,</w:t>
      </w:r>
      <w:r w:rsidR="0089298C" w:rsidRPr="002F50BD">
        <w:rPr>
          <w:rFonts w:ascii="Verdana" w:hAnsi="Verdana"/>
          <w:sz w:val="16"/>
          <w:lang w:val="pt-BR"/>
        </w:rPr>
        <w:t xml:space="preserve"> na </w:t>
      </w:r>
      <w:r w:rsidR="004756C1" w:rsidRPr="002F50BD">
        <w:rPr>
          <w:rFonts w:ascii="Verdana" w:hAnsi="Verdana"/>
          <w:sz w:val="16"/>
          <w:lang w:val="pt-BR"/>
        </w:rPr>
        <w:t>precariedad</w:t>
      </w:r>
      <w:r w:rsidR="00CD2AE8" w:rsidRPr="002F50BD">
        <w:rPr>
          <w:rFonts w:ascii="Verdana" w:hAnsi="Verdana"/>
          <w:sz w:val="16"/>
          <w:lang w:val="pt-BR"/>
        </w:rPr>
        <w:t>e</w:t>
      </w:r>
      <w:r w:rsidR="004756C1" w:rsidRPr="002F50BD">
        <w:rPr>
          <w:rFonts w:ascii="Verdana" w:hAnsi="Verdana"/>
          <w:sz w:val="16"/>
          <w:lang w:val="pt-BR"/>
        </w:rPr>
        <w:t xml:space="preserve"> absoluta,</w:t>
      </w:r>
      <w:r w:rsidR="0089298C" w:rsidRPr="002F50BD">
        <w:rPr>
          <w:rFonts w:ascii="Verdana" w:hAnsi="Verdana"/>
          <w:sz w:val="16"/>
          <w:lang w:val="pt-BR"/>
        </w:rPr>
        <w:t xml:space="preserve"> em </w:t>
      </w:r>
      <w:r w:rsidR="00CD2AE8" w:rsidRPr="002F50BD">
        <w:rPr>
          <w:rFonts w:ascii="Verdana" w:hAnsi="Verdana"/>
          <w:sz w:val="16"/>
          <w:lang w:val="pt-BR"/>
        </w:rPr>
        <w:t xml:space="preserve">cabanas </w:t>
      </w:r>
      <w:r w:rsidR="004756C1" w:rsidRPr="002F50BD">
        <w:rPr>
          <w:rFonts w:ascii="Verdana" w:hAnsi="Verdana"/>
          <w:sz w:val="16"/>
          <w:lang w:val="pt-BR"/>
        </w:rPr>
        <w:t>que</w:t>
      </w:r>
      <w:r w:rsidR="0089298C" w:rsidRPr="002F50BD">
        <w:rPr>
          <w:rFonts w:ascii="Verdana" w:hAnsi="Verdana"/>
          <w:sz w:val="16"/>
          <w:lang w:val="pt-BR"/>
        </w:rPr>
        <w:t xml:space="preserve"> nem </w:t>
      </w:r>
      <w:r w:rsidR="004756C1" w:rsidRPr="002F50BD">
        <w:rPr>
          <w:rFonts w:ascii="Verdana" w:hAnsi="Verdana"/>
          <w:sz w:val="16"/>
          <w:lang w:val="pt-BR"/>
        </w:rPr>
        <w:t xml:space="preserve">por acaso podemos </w:t>
      </w:r>
      <w:r w:rsidR="004076AD" w:rsidRPr="002F50BD">
        <w:rPr>
          <w:rFonts w:ascii="Verdana" w:hAnsi="Verdana"/>
          <w:sz w:val="16"/>
          <w:lang w:val="pt-BR"/>
        </w:rPr>
        <w:t>chama</w:t>
      </w:r>
      <w:r w:rsidR="004756C1" w:rsidRPr="002F50BD">
        <w:rPr>
          <w:rFonts w:ascii="Verdana" w:hAnsi="Verdana"/>
          <w:sz w:val="16"/>
          <w:lang w:val="pt-BR"/>
        </w:rPr>
        <w:t xml:space="preserve">r </w:t>
      </w:r>
      <w:r w:rsidR="00CD2AE8" w:rsidRPr="002F50BD">
        <w:rPr>
          <w:rFonts w:ascii="Verdana" w:hAnsi="Verdana"/>
          <w:sz w:val="16"/>
          <w:lang w:val="pt-BR"/>
        </w:rPr>
        <w:t>casas</w:t>
      </w:r>
      <w:r w:rsidR="004756C1" w:rsidRPr="002F50BD">
        <w:rPr>
          <w:rFonts w:ascii="Verdana" w:hAnsi="Verdana"/>
          <w:sz w:val="16"/>
          <w:lang w:val="pt-BR"/>
        </w:rPr>
        <w:t>,</w:t>
      </w:r>
      <w:r w:rsidR="0089298C" w:rsidRPr="002F50BD">
        <w:rPr>
          <w:rFonts w:ascii="Verdana" w:hAnsi="Verdana"/>
          <w:sz w:val="16"/>
          <w:lang w:val="pt-BR"/>
        </w:rPr>
        <w:t xml:space="preserve"> em um</w:t>
      </w:r>
      <w:r w:rsidR="00CD2AE8" w:rsidRPr="002F50BD">
        <w:rPr>
          <w:rFonts w:ascii="Verdana" w:hAnsi="Verdana"/>
          <w:sz w:val="16"/>
          <w:lang w:val="pt-BR"/>
        </w:rPr>
        <w:t>a superlotação</w:t>
      </w:r>
      <w:r w:rsidR="004756C1" w:rsidRPr="002F50BD">
        <w:rPr>
          <w:rFonts w:ascii="Verdana" w:hAnsi="Verdana"/>
          <w:sz w:val="16"/>
          <w:lang w:val="pt-BR"/>
        </w:rPr>
        <w:t xml:space="preserve"> </w:t>
      </w:r>
      <w:r w:rsidR="00CD2AE8" w:rsidRPr="002F50BD">
        <w:rPr>
          <w:rFonts w:ascii="Verdana" w:hAnsi="Verdana"/>
          <w:sz w:val="16"/>
          <w:lang w:val="pt-BR"/>
        </w:rPr>
        <w:t>indescritível</w:t>
      </w:r>
      <w:r w:rsidR="004756C1" w:rsidRPr="002F50BD">
        <w:rPr>
          <w:rFonts w:ascii="Verdana" w:hAnsi="Verdana"/>
          <w:sz w:val="16"/>
          <w:lang w:val="pt-BR"/>
        </w:rPr>
        <w:t>,</w:t>
      </w:r>
      <w:r w:rsidR="0089298C" w:rsidRPr="002F50BD">
        <w:rPr>
          <w:rFonts w:ascii="Verdana" w:hAnsi="Verdana"/>
          <w:sz w:val="16"/>
          <w:lang w:val="pt-BR"/>
        </w:rPr>
        <w:t xml:space="preserve"> sem nem uma </w:t>
      </w:r>
      <w:r w:rsidR="00CD2AE8" w:rsidRPr="002F50BD">
        <w:rPr>
          <w:rFonts w:ascii="Verdana" w:hAnsi="Verdana"/>
          <w:sz w:val="16"/>
          <w:lang w:val="pt-BR"/>
        </w:rPr>
        <w:t xml:space="preserve">única latrina </w:t>
      </w:r>
      <w:r w:rsidR="0089298C" w:rsidRPr="002F50BD">
        <w:rPr>
          <w:rFonts w:ascii="Verdana" w:hAnsi="Verdana"/>
          <w:sz w:val="16"/>
          <w:lang w:val="pt-BR"/>
        </w:rPr>
        <w:t xml:space="preserve">em </w:t>
      </w:r>
      <w:r w:rsidR="004756C1" w:rsidRPr="002F50BD">
        <w:rPr>
          <w:rFonts w:ascii="Verdana" w:hAnsi="Verdana"/>
          <w:sz w:val="16"/>
          <w:lang w:val="pt-BR"/>
        </w:rPr>
        <w:t>toda</w:t>
      </w:r>
      <w:r w:rsidR="0089298C" w:rsidRPr="002F50BD">
        <w:rPr>
          <w:rFonts w:ascii="Verdana" w:hAnsi="Verdana"/>
          <w:sz w:val="16"/>
          <w:lang w:val="pt-BR"/>
        </w:rPr>
        <w:t xml:space="preserve"> a </w:t>
      </w:r>
      <w:r w:rsidR="004756C1" w:rsidRPr="002F50BD">
        <w:rPr>
          <w:rFonts w:ascii="Verdana" w:hAnsi="Verdana"/>
          <w:sz w:val="16"/>
          <w:lang w:val="pt-BR"/>
        </w:rPr>
        <w:t>comu</w:t>
      </w:r>
      <w:r w:rsidR="00AB454A" w:rsidRPr="002F50BD">
        <w:rPr>
          <w:rFonts w:ascii="Verdana" w:hAnsi="Verdana"/>
          <w:sz w:val="16"/>
          <w:lang w:val="pt-BR"/>
        </w:rPr>
        <w:t xml:space="preserve">nidade, </w:t>
      </w:r>
      <w:r w:rsidR="0089298C" w:rsidRPr="002F50BD">
        <w:rPr>
          <w:rFonts w:ascii="Verdana" w:hAnsi="Verdana"/>
          <w:sz w:val="16"/>
          <w:lang w:val="pt-BR"/>
        </w:rPr>
        <w:t>sem</w:t>
      </w:r>
      <w:r w:rsidR="00AB454A" w:rsidRPr="002F50BD">
        <w:rPr>
          <w:rFonts w:ascii="Verdana" w:hAnsi="Verdana"/>
          <w:sz w:val="16"/>
          <w:lang w:val="pt-BR"/>
        </w:rPr>
        <w:t xml:space="preserve"> água </w:t>
      </w:r>
      <w:r w:rsidR="004756C1" w:rsidRPr="002F50BD">
        <w:rPr>
          <w:rFonts w:ascii="Verdana" w:hAnsi="Verdana"/>
          <w:sz w:val="16"/>
          <w:lang w:val="pt-BR"/>
        </w:rPr>
        <w:t>pot</w:t>
      </w:r>
      <w:r w:rsidR="00B0045F" w:rsidRPr="002F50BD">
        <w:rPr>
          <w:rFonts w:ascii="Verdana" w:hAnsi="Verdana"/>
          <w:sz w:val="16"/>
          <w:lang w:val="pt-BR"/>
        </w:rPr>
        <w:t>ável</w:t>
      </w:r>
      <w:r w:rsidR="004756C1" w:rsidRPr="002F50BD">
        <w:rPr>
          <w:rFonts w:ascii="Verdana" w:hAnsi="Verdana"/>
          <w:sz w:val="16"/>
          <w:lang w:val="pt-BR"/>
        </w:rPr>
        <w:t>,</w:t>
      </w:r>
      <w:r w:rsidR="0089298C" w:rsidRPr="002F50BD">
        <w:rPr>
          <w:rFonts w:ascii="Verdana" w:hAnsi="Verdana"/>
          <w:sz w:val="16"/>
          <w:lang w:val="pt-BR"/>
        </w:rPr>
        <w:t xml:space="preserve"> nem sequer</w:t>
      </w:r>
      <w:r w:rsidR="004756C1" w:rsidRPr="002F50BD">
        <w:rPr>
          <w:rFonts w:ascii="Verdana" w:hAnsi="Verdana"/>
          <w:sz w:val="16"/>
          <w:lang w:val="pt-BR"/>
        </w:rPr>
        <w:t xml:space="preserve"> </w:t>
      </w:r>
      <w:r w:rsidR="0089298C" w:rsidRPr="002F50BD">
        <w:rPr>
          <w:rFonts w:ascii="Verdana" w:hAnsi="Verdana"/>
          <w:sz w:val="16"/>
          <w:lang w:val="pt-BR"/>
        </w:rPr>
        <w:t>há</w:t>
      </w:r>
      <w:r w:rsidR="00AB454A" w:rsidRPr="002F50BD">
        <w:rPr>
          <w:rFonts w:ascii="Verdana" w:hAnsi="Verdana"/>
          <w:sz w:val="16"/>
          <w:lang w:val="pt-BR"/>
        </w:rPr>
        <w:t xml:space="preserve"> água </w:t>
      </w:r>
      <w:r w:rsidR="004756C1" w:rsidRPr="002F50BD">
        <w:rPr>
          <w:rFonts w:ascii="Verdana" w:hAnsi="Verdana"/>
          <w:sz w:val="16"/>
          <w:lang w:val="pt-BR"/>
        </w:rPr>
        <w:t>suficiente para</w:t>
      </w:r>
      <w:r w:rsidR="0089298C" w:rsidRPr="002F50BD">
        <w:rPr>
          <w:rFonts w:ascii="Verdana" w:hAnsi="Verdana"/>
          <w:sz w:val="16"/>
          <w:lang w:val="pt-BR"/>
        </w:rPr>
        <w:t xml:space="preserve"> as mais </w:t>
      </w:r>
      <w:r w:rsidR="004756C1" w:rsidRPr="002F50BD">
        <w:rPr>
          <w:rFonts w:ascii="Verdana" w:hAnsi="Verdana"/>
          <w:sz w:val="16"/>
          <w:lang w:val="pt-BR"/>
        </w:rPr>
        <w:t>elemen</w:t>
      </w:r>
      <w:r w:rsidR="0089298C" w:rsidRPr="002F50BD">
        <w:rPr>
          <w:rFonts w:ascii="Verdana" w:hAnsi="Verdana"/>
          <w:sz w:val="16"/>
          <w:lang w:val="pt-BR"/>
        </w:rPr>
        <w:t>ta</w:t>
      </w:r>
      <w:r w:rsidR="00CD2AE8" w:rsidRPr="002F50BD">
        <w:rPr>
          <w:rFonts w:ascii="Verdana" w:hAnsi="Verdana"/>
          <w:sz w:val="16"/>
          <w:lang w:val="pt-BR"/>
        </w:rPr>
        <w:t>re</w:t>
      </w:r>
      <w:r w:rsidR="0089298C" w:rsidRPr="002F50BD">
        <w:rPr>
          <w:rFonts w:ascii="Verdana" w:hAnsi="Verdana"/>
          <w:sz w:val="16"/>
          <w:lang w:val="pt-BR"/>
        </w:rPr>
        <w:t>s</w:t>
      </w:r>
      <w:r w:rsidR="004756C1" w:rsidRPr="002F50BD">
        <w:rPr>
          <w:rFonts w:ascii="Verdana" w:hAnsi="Verdana"/>
          <w:sz w:val="16"/>
          <w:lang w:val="pt-BR"/>
        </w:rPr>
        <w:t xml:space="preserve"> </w:t>
      </w:r>
      <w:r w:rsidR="0089298C" w:rsidRPr="002F50BD">
        <w:rPr>
          <w:rFonts w:ascii="Verdana" w:hAnsi="Verdana"/>
          <w:sz w:val="16"/>
          <w:lang w:val="pt-BR"/>
        </w:rPr>
        <w:t>necessidad</w:t>
      </w:r>
      <w:r w:rsidR="004756C1" w:rsidRPr="002F50BD">
        <w:rPr>
          <w:rFonts w:ascii="Verdana" w:hAnsi="Verdana"/>
          <w:sz w:val="16"/>
          <w:lang w:val="pt-BR"/>
        </w:rPr>
        <w:t>es básicas.</w:t>
      </w:r>
    </w:p>
    <w:p w:rsidR="00FE08B7" w:rsidRDefault="00FE08B7" w:rsidP="00FE08B7">
      <w:pPr>
        <w:ind w:left="720" w:right="720"/>
        <w:jc w:val="both"/>
        <w:rPr>
          <w:rFonts w:ascii="Verdana" w:hAnsi="Verdana"/>
          <w:sz w:val="16"/>
          <w:lang w:val="pt-BR"/>
        </w:rPr>
      </w:pPr>
    </w:p>
    <w:p w:rsidR="004756C1" w:rsidRPr="002F50BD" w:rsidRDefault="004756C1" w:rsidP="00FE08B7">
      <w:pPr>
        <w:ind w:left="720" w:right="720"/>
        <w:jc w:val="both"/>
        <w:rPr>
          <w:rFonts w:ascii="Verdana" w:hAnsi="Verdana"/>
          <w:sz w:val="16"/>
          <w:lang w:val="pt-BR"/>
        </w:rPr>
      </w:pPr>
      <w:r w:rsidRPr="002F50BD">
        <w:rPr>
          <w:rFonts w:ascii="Verdana" w:hAnsi="Verdana"/>
          <w:sz w:val="16"/>
          <w:lang w:val="pt-BR"/>
        </w:rPr>
        <w:t>N</w:t>
      </w:r>
      <w:r w:rsidR="00CD2AE8" w:rsidRPr="002F50BD">
        <w:rPr>
          <w:rFonts w:ascii="Verdana" w:hAnsi="Verdana"/>
          <w:sz w:val="16"/>
          <w:lang w:val="pt-BR"/>
        </w:rPr>
        <w:t>ã</w:t>
      </w:r>
      <w:r w:rsidRPr="002F50BD">
        <w:rPr>
          <w:rFonts w:ascii="Verdana" w:hAnsi="Verdana"/>
          <w:sz w:val="16"/>
          <w:lang w:val="pt-BR"/>
        </w:rPr>
        <w:t xml:space="preserve">o </w:t>
      </w:r>
      <w:r w:rsidR="00EF58EB" w:rsidRPr="002F50BD">
        <w:rPr>
          <w:rFonts w:ascii="Verdana" w:hAnsi="Verdana"/>
          <w:sz w:val="16"/>
          <w:lang w:val="pt-BR"/>
        </w:rPr>
        <w:t xml:space="preserve">possuem </w:t>
      </w:r>
      <w:r w:rsidR="004A71D0" w:rsidRPr="002F50BD">
        <w:rPr>
          <w:rFonts w:ascii="Verdana" w:hAnsi="Verdana"/>
          <w:sz w:val="16"/>
          <w:lang w:val="pt-BR"/>
        </w:rPr>
        <w:t>a</w:t>
      </w:r>
      <w:r w:rsidR="0089298C" w:rsidRPr="002F50BD">
        <w:rPr>
          <w:rFonts w:ascii="Verdana" w:hAnsi="Verdana"/>
          <w:sz w:val="16"/>
          <w:lang w:val="pt-BR"/>
        </w:rPr>
        <w:t xml:space="preserve"> mais </w:t>
      </w:r>
      <w:r w:rsidRPr="002F50BD">
        <w:rPr>
          <w:rFonts w:ascii="Verdana" w:hAnsi="Verdana"/>
          <w:sz w:val="16"/>
          <w:lang w:val="pt-BR"/>
        </w:rPr>
        <w:t xml:space="preserve">remota </w:t>
      </w:r>
      <w:r w:rsidR="0089298C" w:rsidRPr="002F50BD">
        <w:rPr>
          <w:rFonts w:ascii="Verdana" w:hAnsi="Verdana"/>
          <w:sz w:val="16"/>
          <w:lang w:val="pt-BR"/>
        </w:rPr>
        <w:t xml:space="preserve">possibilidade </w:t>
      </w:r>
      <w:r w:rsidRPr="002F50BD">
        <w:rPr>
          <w:rFonts w:ascii="Verdana" w:hAnsi="Verdana"/>
          <w:sz w:val="16"/>
          <w:lang w:val="pt-BR"/>
        </w:rPr>
        <w:t xml:space="preserve">de </w:t>
      </w:r>
      <w:r w:rsidR="0089298C" w:rsidRPr="002F50BD">
        <w:rPr>
          <w:rFonts w:ascii="Verdana" w:hAnsi="Verdana"/>
          <w:sz w:val="16"/>
          <w:lang w:val="pt-BR"/>
        </w:rPr>
        <w:t>desenvolver</w:t>
      </w:r>
      <w:r w:rsidRPr="002F50BD">
        <w:rPr>
          <w:rFonts w:ascii="Verdana" w:hAnsi="Verdana"/>
          <w:sz w:val="16"/>
          <w:lang w:val="pt-BR"/>
        </w:rPr>
        <w:t xml:space="preserve"> </w:t>
      </w:r>
      <w:r w:rsidR="0089298C" w:rsidRPr="002F50BD">
        <w:rPr>
          <w:rFonts w:ascii="Verdana" w:hAnsi="Verdana"/>
          <w:sz w:val="16"/>
          <w:lang w:val="pt-BR"/>
        </w:rPr>
        <w:t>suas vidas</w:t>
      </w:r>
      <w:r w:rsidRPr="002F50BD">
        <w:rPr>
          <w:rFonts w:ascii="Verdana" w:hAnsi="Verdana"/>
          <w:sz w:val="16"/>
          <w:lang w:val="pt-BR"/>
        </w:rPr>
        <w:t xml:space="preserve"> de </w:t>
      </w:r>
      <w:r w:rsidR="0089298C" w:rsidRPr="002F50BD">
        <w:rPr>
          <w:rFonts w:ascii="Verdana" w:hAnsi="Verdana"/>
          <w:sz w:val="16"/>
          <w:lang w:val="pt-BR"/>
        </w:rPr>
        <w:t xml:space="preserve">acordo </w:t>
      </w:r>
      <w:r w:rsidR="00CD2AE8" w:rsidRPr="002F50BD">
        <w:rPr>
          <w:rFonts w:ascii="Verdana" w:hAnsi="Verdana"/>
          <w:sz w:val="16"/>
          <w:lang w:val="pt-BR"/>
        </w:rPr>
        <w:t>com a</w:t>
      </w:r>
      <w:r w:rsidR="0089298C" w:rsidRPr="002F50BD">
        <w:rPr>
          <w:rFonts w:ascii="Verdana" w:hAnsi="Verdana"/>
          <w:sz w:val="16"/>
          <w:lang w:val="pt-BR"/>
        </w:rPr>
        <w:t xml:space="preserve">s </w:t>
      </w:r>
      <w:r w:rsidRPr="002F50BD">
        <w:rPr>
          <w:rFonts w:ascii="Verdana" w:hAnsi="Verdana"/>
          <w:sz w:val="16"/>
          <w:lang w:val="pt-BR"/>
        </w:rPr>
        <w:t>pautas tr</w:t>
      </w:r>
      <w:r w:rsidR="0089298C" w:rsidRPr="002F50BD">
        <w:rPr>
          <w:rFonts w:ascii="Verdana" w:hAnsi="Verdana"/>
          <w:sz w:val="16"/>
          <w:lang w:val="pt-BR"/>
        </w:rPr>
        <w:t xml:space="preserve">adicionais dos </w:t>
      </w:r>
      <w:r w:rsidRPr="002F50BD">
        <w:rPr>
          <w:rFonts w:ascii="Verdana" w:hAnsi="Verdana"/>
          <w:sz w:val="16"/>
          <w:lang w:val="pt-BR"/>
        </w:rPr>
        <w:t>Enxet,</w:t>
      </w:r>
      <w:r w:rsidR="0089298C" w:rsidRPr="002F50BD">
        <w:rPr>
          <w:rFonts w:ascii="Verdana" w:hAnsi="Verdana"/>
          <w:sz w:val="16"/>
          <w:lang w:val="pt-BR"/>
        </w:rPr>
        <w:t xml:space="preserve"> a </w:t>
      </w:r>
      <w:r w:rsidR="00AB454A" w:rsidRPr="002F50BD">
        <w:rPr>
          <w:rFonts w:ascii="Verdana" w:hAnsi="Verdana"/>
          <w:sz w:val="16"/>
          <w:lang w:val="pt-BR"/>
        </w:rPr>
        <w:t>caça</w:t>
      </w:r>
      <w:r w:rsidRPr="002F50BD">
        <w:rPr>
          <w:rFonts w:ascii="Verdana" w:hAnsi="Verdana"/>
          <w:sz w:val="16"/>
          <w:lang w:val="pt-BR"/>
        </w:rPr>
        <w:t>,</w:t>
      </w:r>
      <w:r w:rsidR="0089298C" w:rsidRPr="002F50BD">
        <w:rPr>
          <w:rFonts w:ascii="Verdana" w:hAnsi="Verdana"/>
          <w:sz w:val="16"/>
          <w:lang w:val="pt-BR"/>
        </w:rPr>
        <w:t xml:space="preserve"> a </w:t>
      </w:r>
      <w:r w:rsidR="00CD2AE8" w:rsidRPr="002F50BD">
        <w:rPr>
          <w:rFonts w:ascii="Verdana" w:hAnsi="Verdana"/>
          <w:sz w:val="16"/>
          <w:lang w:val="pt-BR"/>
        </w:rPr>
        <w:t xml:space="preserve">coleta </w:t>
      </w:r>
      <w:r w:rsidR="0089298C" w:rsidRPr="002F50BD">
        <w:rPr>
          <w:rFonts w:ascii="Verdana" w:hAnsi="Verdana"/>
          <w:sz w:val="16"/>
          <w:lang w:val="pt-BR"/>
        </w:rPr>
        <w:t xml:space="preserve">e o </w:t>
      </w:r>
      <w:r w:rsidRPr="002F50BD">
        <w:rPr>
          <w:rFonts w:ascii="Verdana" w:hAnsi="Verdana"/>
          <w:sz w:val="16"/>
          <w:lang w:val="pt-BR"/>
        </w:rPr>
        <w:t xml:space="preserve">cultivo </w:t>
      </w:r>
      <w:r w:rsidR="00CD2AE8" w:rsidRPr="002F50BD">
        <w:rPr>
          <w:rFonts w:ascii="Verdana" w:hAnsi="Verdana"/>
          <w:sz w:val="16"/>
          <w:lang w:val="pt-BR"/>
        </w:rPr>
        <w:t>em</w:t>
      </w:r>
      <w:r w:rsidRPr="002F50BD">
        <w:rPr>
          <w:rFonts w:ascii="Verdana" w:hAnsi="Verdana"/>
          <w:sz w:val="16"/>
          <w:lang w:val="pt-BR"/>
        </w:rPr>
        <w:t xml:space="preserve"> </w:t>
      </w:r>
      <w:r w:rsidR="0089298C" w:rsidRPr="002F50BD">
        <w:rPr>
          <w:rFonts w:ascii="Verdana" w:hAnsi="Verdana"/>
          <w:sz w:val="16"/>
          <w:lang w:val="pt-BR"/>
        </w:rPr>
        <w:t>pequena</w:t>
      </w:r>
      <w:r w:rsidRPr="002F50BD">
        <w:rPr>
          <w:rFonts w:ascii="Verdana" w:hAnsi="Verdana"/>
          <w:sz w:val="16"/>
          <w:lang w:val="pt-BR"/>
        </w:rPr>
        <w:t xml:space="preserve"> escala.</w:t>
      </w:r>
    </w:p>
    <w:p w:rsidR="00FE08B7" w:rsidRDefault="00FE08B7" w:rsidP="00FE08B7">
      <w:pPr>
        <w:ind w:left="720" w:right="720"/>
        <w:jc w:val="both"/>
        <w:rPr>
          <w:rFonts w:ascii="Verdana" w:hAnsi="Verdana"/>
          <w:sz w:val="16"/>
          <w:lang w:val="pt-BR"/>
        </w:rPr>
      </w:pPr>
    </w:p>
    <w:p w:rsidR="004756C1" w:rsidRPr="002F50BD" w:rsidRDefault="00CD2AE8" w:rsidP="00FE08B7">
      <w:pPr>
        <w:ind w:left="720" w:right="720"/>
        <w:jc w:val="both"/>
        <w:rPr>
          <w:rFonts w:ascii="Verdana" w:hAnsi="Verdana"/>
          <w:sz w:val="16"/>
          <w:lang w:val="pt-BR"/>
        </w:rPr>
      </w:pPr>
      <w:r w:rsidRPr="002F50BD">
        <w:rPr>
          <w:rFonts w:ascii="Verdana" w:hAnsi="Verdana"/>
          <w:sz w:val="16"/>
          <w:lang w:val="pt-BR"/>
        </w:rPr>
        <w:t>Além disso</w:t>
      </w:r>
      <w:r w:rsidR="004756C1" w:rsidRPr="002F50BD">
        <w:rPr>
          <w:rFonts w:ascii="Verdana" w:hAnsi="Verdana"/>
          <w:sz w:val="16"/>
          <w:lang w:val="pt-BR"/>
        </w:rPr>
        <w:t>,</w:t>
      </w:r>
      <w:r w:rsidR="0089298C" w:rsidRPr="002F50BD">
        <w:rPr>
          <w:rFonts w:ascii="Verdana" w:hAnsi="Verdana"/>
          <w:sz w:val="16"/>
          <w:lang w:val="pt-BR"/>
        </w:rPr>
        <w:t xml:space="preserve"> o </w:t>
      </w:r>
      <w:r w:rsidR="004756C1" w:rsidRPr="002F50BD">
        <w:rPr>
          <w:rFonts w:ascii="Verdana" w:hAnsi="Verdana"/>
          <w:sz w:val="16"/>
          <w:lang w:val="pt-BR"/>
        </w:rPr>
        <w:t xml:space="preserve">Estado se </w:t>
      </w:r>
      <w:r w:rsidR="0089298C" w:rsidRPr="002F50BD">
        <w:rPr>
          <w:rFonts w:ascii="Verdana" w:hAnsi="Verdana"/>
          <w:sz w:val="16"/>
          <w:lang w:val="pt-BR"/>
        </w:rPr>
        <w:t xml:space="preserve">encontra </w:t>
      </w:r>
      <w:r w:rsidR="004756C1" w:rsidRPr="002F50BD">
        <w:rPr>
          <w:rFonts w:ascii="Verdana" w:hAnsi="Verdana"/>
          <w:sz w:val="16"/>
          <w:lang w:val="pt-BR"/>
        </w:rPr>
        <w:t>ausente,</w:t>
      </w:r>
      <w:r w:rsidR="004B4702" w:rsidRPr="002F50BD">
        <w:rPr>
          <w:rFonts w:ascii="Verdana" w:hAnsi="Verdana"/>
          <w:sz w:val="16"/>
          <w:lang w:val="pt-BR"/>
        </w:rPr>
        <w:t xml:space="preserve"> não existe </w:t>
      </w:r>
      <w:r w:rsidR="0089298C" w:rsidRPr="002F50BD">
        <w:rPr>
          <w:rFonts w:ascii="Verdana" w:hAnsi="Verdana"/>
          <w:sz w:val="16"/>
          <w:lang w:val="pt-BR"/>
        </w:rPr>
        <w:t xml:space="preserve">nem </w:t>
      </w:r>
      <w:r w:rsidR="008C29C9" w:rsidRPr="002F50BD">
        <w:rPr>
          <w:rFonts w:ascii="Verdana" w:hAnsi="Verdana"/>
          <w:sz w:val="16"/>
          <w:lang w:val="pt-BR"/>
        </w:rPr>
        <w:t>representante</w:t>
      </w:r>
      <w:r w:rsidR="004756C1" w:rsidRPr="002F50BD">
        <w:rPr>
          <w:rFonts w:ascii="Verdana" w:hAnsi="Verdana"/>
          <w:sz w:val="16"/>
          <w:lang w:val="pt-BR"/>
        </w:rPr>
        <w:t>s</w:t>
      </w:r>
      <w:r w:rsidR="0089298C" w:rsidRPr="002F50BD">
        <w:rPr>
          <w:rFonts w:ascii="Verdana" w:hAnsi="Verdana"/>
          <w:sz w:val="16"/>
          <w:lang w:val="pt-BR"/>
        </w:rPr>
        <w:t xml:space="preserve"> das </w:t>
      </w:r>
      <w:r w:rsidR="004756C1" w:rsidRPr="002F50BD">
        <w:rPr>
          <w:rFonts w:ascii="Verdana" w:hAnsi="Verdana"/>
          <w:sz w:val="16"/>
          <w:lang w:val="pt-BR"/>
        </w:rPr>
        <w:t xml:space="preserve">autoridades </w:t>
      </w:r>
      <w:r w:rsidR="0089298C" w:rsidRPr="002F50BD">
        <w:rPr>
          <w:rFonts w:ascii="Verdana" w:hAnsi="Verdana"/>
          <w:sz w:val="16"/>
          <w:lang w:val="pt-BR"/>
        </w:rPr>
        <w:t>policiais</w:t>
      </w:r>
      <w:r w:rsidR="004756C1" w:rsidRPr="002F50BD">
        <w:rPr>
          <w:rFonts w:ascii="Verdana" w:hAnsi="Verdana"/>
          <w:sz w:val="16"/>
          <w:lang w:val="pt-BR"/>
        </w:rPr>
        <w:t xml:space="preserve">, </w:t>
      </w:r>
      <w:r w:rsidR="0089298C" w:rsidRPr="002F50BD">
        <w:rPr>
          <w:rFonts w:ascii="Verdana" w:hAnsi="Verdana"/>
          <w:sz w:val="16"/>
          <w:lang w:val="pt-BR"/>
        </w:rPr>
        <w:t>judiciais</w:t>
      </w:r>
      <w:r w:rsidR="00EF58EB" w:rsidRPr="002F50BD">
        <w:rPr>
          <w:rFonts w:ascii="Verdana" w:hAnsi="Verdana"/>
          <w:sz w:val="16"/>
          <w:lang w:val="pt-BR"/>
        </w:rPr>
        <w:t>,</w:t>
      </w:r>
      <w:r w:rsidR="0089298C" w:rsidRPr="002F50BD">
        <w:rPr>
          <w:rFonts w:ascii="Verdana" w:hAnsi="Verdana"/>
          <w:sz w:val="16"/>
          <w:lang w:val="pt-BR"/>
        </w:rPr>
        <w:t xml:space="preserve"> nem as </w:t>
      </w:r>
      <w:r w:rsidR="009F308E" w:rsidRPr="002F50BD">
        <w:rPr>
          <w:rFonts w:ascii="Verdana" w:hAnsi="Verdana"/>
          <w:sz w:val="16"/>
          <w:lang w:val="pt-BR"/>
        </w:rPr>
        <w:t>assistenciais</w:t>
      </w:r>
      <w:r w:rsidR="004756C1" w:rsidRPr="002F50BD">
        <w:rPr>
          <w:rFonts w:ascii="Verdana" w:hAnsi="Verdana"/>
          <w:sz w:val="16"/>
          <w:lang w:val="pt-BR"/>
        </w:rPr>
        <w:t xml:space="preserve"> como</w:t>
      </w:r>
      <w:r w:rsidR="0089298C" w:rsidRPr="002F50BD">
        <w:rPr>
          <w:rFonts w:ascii="Verdana" w:hAnsi="Verdana"/>
          <w:sz w:val="16"/>
          <w:lang w:val="pt-BR"/>
        </w:rPr>
        <w:t xml:space="preserve"> as </w:t>
      </w:r>
      <w:r w:rsidR="004756C1" w:rsidRPr="002F50BD">
        <w:rPr>
          <w:rFonts w:ascii="Verdana" w:hAnsi="Verdana"/>
          <w:sz w:val="16"/>
          <w:lang w:val="pt-BR"/>
        </w:rPr>
        <w:t xml:space="preserve">de </w:t>
      </w:r>
      <w:r w:rsidR="0089298C" w:rsidRPr="002F50BD">
        <w:rPr>
          <w:rFonts w:ascii="Verdana" w:hAnsi="Verdana"/>
          <w:sz w:val="16"/>
          <w:lang w:val="pt-BR"/>
        </w:rPr>
        <w:t>saúde</w:t>
      </w:r>
      <w:r w:rsidR="004756C1" w:rsidRPr="002F50BD">
        <w:rPr>
          <w:rFonts w:ascii="Verdana" w:hAnsi="Verdana"/>
          <w:sz w:val="16"/>
          <w:lang w:val="pt-BR"/>
        </w:rPr>
        <w:t>, como podemos constatar</w:t>
      </w:r>
      <w:r w:rsidR="0089298C" w:rsidRPr="002F50BD">
        <w:rPr>
          <w:rFonts w:ascii="Verdana" w:hAnsi="Verdana"/>
          <w:sz w:val="16"/>
          <w:lang w:val="pt-BR"/>
        </w:rPr>
        <w:t xml:space="preserve"> </w:t>
      </w:r>
      <w:r w:rsidR="00EF58EB" w:rsidRPr="002F50BD">
        <w:rPr>
          <w:rFonts w:ascii="Verdana" w:hAnsi="Verdana"/>
          <w:sz w:val="16"/>
          <w:lang w:val="pt-BR"/>
        </w:rPr>
        <w:t xml:space="preserve">a partir dos </w:t>
      </w:r>
      <w:r w:rsidR="00367FD1" w:rsidRPr="002F50BD">
        <w:rPr>
          <w:rFonts w:ascii="Verdana" w:hAnsi="Verdana"/>
          <w:sz w:val="16"/>
          <w:lang w:val="pt-BR"/>
        </w:rPr>
        <w:t>falecimento</w:t>
      </w:r>
      <w:r w:rsidR="004756C1" w:rsidRPr="002F50BD">
        <w:rPr>
          <w:rFonts w:ascii="Verdana" w:hAnsi="Verdana"/>
          <w:sz w:val="16"/>
          <w:lang w:val="pt-BR"/>
        </w:rPr>
        <w:t xml:space="preserve">s. Todos </w:t>
      </w:r>
      <w:r w:rsidR="0089298C" w:rsidRPr="002F50BD">
        <w:rPr>
          <w:rFonts w:ascii="Verdana" w:hAnsi="Verdana"/>
          <w:sz w:val="16"/>
          <w:lang w:val="pt-BR"/>
        </w:rPr>
        <w:t xml:space="preserve">faleceram sem assistência </w:t>
      </w:r>
      <w:r w:rsidR="004756C1" w:rsidRPr="002F50BD">
        <w:rPr>
          <w:rFonts w:ascii="Verdana" w:hAnsi="Verdana"/>
          <w:sz w:val="16"/>
          <w:lang w:val="pt-BR"/>
        </w:rPr>
        <w:t>médica</w:t>
      </w:r>
      <w:r w:rsidR="00DB51F0" w:rsidRPr="002F50BD">
        <w:rPr>
          <w:rFonts w:ascii="Verdana" w:hAnsi="Verdana"/>
          <w:sz w:val="16"/>
          <w:lang w:val="pt-BR"/>
        </w:rPr>
        <w:t xml:space="preserve">. Os </w:t>
      </w:r>
      <w:r w:rsidR="00063B47" w:rsidRPr="002F50BD">
        <w:rPr>
          <w:rFonts w:ascii="Verdana" w:hAnsi="Verdana"/>
          <w:sz w:val="16"/>
          <w:lang w:val="pt-BR"/>
        </w:rPr>
        <w:t>2</w:t>
      </w:r>
      <w:r w:rsidR="004756C1" w:rsidRPr="002F50BD">
        <w:rPr>
          <w:rFonts w:ascii="Verdana" w:hAnsi="Verdana"/>
          <w:sz w:val="16"/>
          <w:lang w:val="pt-BR"/>
        </w:rPr>
        <w:t xml:space="preserve"> </w:t>
      </w:r>
      <w:r w:rsidRPr="002F50BD">
        <w:rPr>
          <w:rFonts w:ascii="Verdana" w:hAnsi="Verdana"/>
          <w:sz w:val="16"/>
          <w:lang w:val="pt-BR"/>
        </w:rPr>
        <w:t>ou</w:t>
      </w:r>
      <w:r w:rsidR="004756C1" w:rsidRPr="002F50BD">
        <w:rPr>
          <w:rFonts w:ascii="Verdana" w:hAnsi="Verdana"/>
          <w:sz w:val="16"/>
          <w:lang w:val="pt-BR"/>
        </w:rPr>
        <w:t xml:space="preserve"> </w:t>
      </w:r>
      <w:r w:rsidR="00063B47" w:rsidRPr="002F50BD">
        <w:rPr>
          <w:rFonts w:ascii="Verdana" w:hAnsi="Verdana"/>
          <w:sz w:val="16"/>
          <w:lang w:val="pt-BR"/>
        </w:rPr>
        <w:t>3</w:t>
      </w:r>
      <w:r w:rsidR="004756C1" w:rsidRPr="002F50BD">
        <w:rPr>
          <w:rFonts w:ascii="Verdana" w:hAnsi="Verdana"/>
          <w:sz w:val="16"/>
          <w:lang w:val="pt-BR"/>
        </w:rPr>
        <w:t xml:space="preserve"> que </w:t>
      </w:r>
      <w:r w:rsidR="0089298C" w:rsidRPr="002F50BD">
        <w:rPr>
          <w:rFonts w:ascii="Verdana" w:hAnsi="Verdana"/>
          <w:sz w:val="16"/>
          <w:lang w:val="pt-BR"/>
        </w:rPr>
        <w:t>puderam</w:t>
      </w:r>
      <w:r w:rsidR="004756C1" w:rsidRPr="002F50BD">
        <w:rPr>
          <w:rFonts w:ascii="Verdana" w:hAnsi="Verdana"/>
          <w:sz w:val="16"/>
          <w:lang w:val="pt-BR"/>
        </w:rPr>
        <w:t xml:space="preserve"> </w:t>
      </w:r>
      <w:r w:rsidR="004076AD" w:rsidRPr="002F50BD">
        <w:rPr>
          <w:rFonts w:ascii="Verdana" w:hAnsi="Verdana"/>
          <w:sz w:val="16"/>
          <w:lang w:val="pt-BR"/>
        </w:rPr>
        <w:t>chegar</w:t>
      </w:r>
      <w:r w:rsidR="004756C1" w:rsidRPr="002F50BD">
        <w:rPr>
          <w:rFonts w:ascii="Verdana" w:hAnsi="Verdana"/>
          <w:sz w:val="16"/>
          <w:lang w:val="pt-BR"/>
        </w:rPr>
        <w:t xml:space="preserve"> </w:t>
      </w:r>
      <w:r w:rsidR="0089298C" w:rsidRPr="002F50BD">
        <w:rPr>
          <w:rFonts w:ascii="Verdana" w:hAnsi="Verdana"/>
          <w:sz w:val="16"/>
          <w:lang w:val="pt-BR"/>
        </w:rPr>
        <w:t xml:space="preserve">até um profissional </w:t>
      </w:r>
      <w:r w:rsidR="004756C1" w:rsidRPr="002F50BD">
        <w:rPr>
          <w:rFonts w:ascii="Verdana" w:hAnsi="Verdana"/>
          <w:sz w:val="16"/>
          <w:lang w:val="pt-BR"/>
        </w:rPr>
        <w:t xml:space="preserve">médico o </w:t>
      </w:r>
      <w:r w:rsidR="0089298C" w:rsidRPr="002F50BD">
        <w:rPr>
          <w:rFonts w:ascii="Verdana" w:hAnsi="Verdana"/>
          <w:sz w:val="16"/>
          <w:lang w:val="pt-BR"/>
        </w:rPr>
        <w:t xml:space="preserve">fizeram </w:t>
      </w:r>
      <w:r w:rsidRPr="002F50BD">
        <w:rPr>
          <w:rFonts w:ascii="Verdana" w:hAnsi="Verdana"/>
          <w:sz w:val="16"/>
          <w:lang w:val="pt-BR"/>
        </w:rPr>
        <w:t xml:space="preserve">de </w:t>
      </w:r>
      <w:r w:rsidR="004756C1" w:rsidRPr="002F50BD">
        <w:rPr>
          <w:rFonts w:ascii="Verdana" w:hAnsi="Verdana"/>
          <w:sz w:val="16"/>
          <w:lang w:val="pt-BR"/>
        </w:rPr>
        <w:t>forma tar</w:t>
      </w:r>
      <w:r w:rsidR="0089298C" w:rsidRPr="002F50BD">
        <w:rPr>
          <w:rFonts w:ascii="Verdana" w:hAnsi="Verdana"/>
          <w:sz w:val="16"/>
          <w:lang w:val="pt-BR"/>
        </w:rPr>
        <w:t>dia</w:t>
      </w:r>
      <w:r w:rsidR="004756C1" w:rsidRPr="002F50BD">
        <w:rPr>
          <w:rFonts w:ascii="Verdana" w:hAnsi="Verdana"/>
          <w:sz w:val="16"/>
          <w:lang w:val="pt-BR"/>
        </w:rPr>
        <w:t>.</w:t>
      </w:r>
    </w:p>
    <w:p w:rsidR="00FE08B7" w:rsidRDefault="00FE08B7" w:rsidP="00FE08B7">
      <w:pPr>
        <w:ind w:left="720" w:right="720"/>
        <w:jc w:val="both"/>
        <w:rPr>
          <w:rFonts w:ascii="Verdana" w:hAnsi="Verdana"/>
          <w:sz w:val="16"/>
          <w:lang w:val="pt-BR"/>
        </w:rPr>
      </w:pPr>
    </w:p>
    <w:p w:rsidR="004756C1" w:rsidRPr="002F50BD" w:rsidRDefault="00A157C9" w:rsidP="00FE08B7">
      <w:pPr>
        <w:ind w:left="720" w:right="720"/>
        <w:jc w:val="both"/>
        <w:rPr>
          <w:rFonts w:ascii="Verdana" w:hAnsi="Verdana"/>
          <w:sz w:val="16"/>
          <w:lang w:val="pt-BR"/>
        </w:rPr>
      </w:pPr>
      <w:r>
        <w:rPr>
          <w:rFonts w:ascii="Verdana" w:hAnsi="Verdana"/>
          <w:sz w:val="16"/>
          <w:lang w:val="pt-BR"/>
        </w:rPr>
        <w:t>Dia</w:t>
      </w:r>
      <w:r w:rsidR="004756C1" w:rsidRPr="002F50BD">
        <w:rPr>
          <w:rFonts w:ascii="Verdana" w:hAnsi="Verdana"/>
          <w:sz w:val="16"/>
          <w:lang w:val="pt-BR"/>
        </w:rPr>
        <w:t xml:space="preserve">nte </w:t>
      </w:r>
      <w:r>
        <w:rPr>
          <w:rFonts w:ascii="Verdana" w:hAnsi="Verdana"/>
          <w:sz w:val="16"/>
          <w:lang w:val="pt-BR"/>
        </w:rPr>
        <w:t xml:space="preserve">de </w:t>
      </w:r>
      <w:r w:rsidR="004756C1" w:rsidRPr="002F50BD">
        <w:rPr>
          <w:rFonts w:ascii="Verdana" w:hAnsi="Verdana"/>
          <w:sz w:val="16"/>
          <w:lang w:val="pt-BR"/>
        </w:rPr>
        <w:t>t</w:t>
      </w:r>
      <w:r w:rsidR="00CD2AE8" w:rsidRPr="002F50BD">
        <w:rPr>
          <w:rFonts w:ascii="Verdana" w:hAnsi="Verdana"/>
          <w:sz w:val="16"/>
          <w:lang w:val="pt-BR"/>
        </w:rPr>
        <w:t>udo isso</w:t>
      </w:r>
      <w:r w:rsidR="00EF58EB" w:rsidRPr="002F50BD">
        <w:rPr>
          <w:rFonts w:ascii="Verdana" w:hAnsi="Verdana"/>
          <w:sz w:val="16"/>
          <w:lang w:val="pt-BR"/>
        </w:rPr>
        <w:t>,</w:t>
      </w:r>
      <w:r w:rsidR="00CD2AE8" w:rsidRPr="002F50BD">
        <w:rPr>
          <w:rFonts w:ascii="Verdana" w:hAnsi="Verdana"/>
          <w:sz w:val="16"/>
          <w:lang w:val="pt-BR"/>
        </w:rPr>
        <w:t xml:space="preserve"> apenas posso dizer </w:t>
      </w:r>
      <w:r w:rsidR="004756C1" w:rsidRPr="002F50BD">
        <w:rPr>
          <w:rFonts w:ascii="Verdana" w:hAnsi="Verdana"/>
          <w:sz w:val="16"/>
          <w:lang w:val="pt-BR"/>
        </w:rPr>
        <w:t>que:</w:t>
      </w:r>
      <w:r w:rsidR="0089298C" w:rsidRPr="002F50BD">
        <w:rPr>
          <w:rFonts w:ascii="Verdana" w:hAnsi="Verdana"/>
          <w:sz w:val="16"/>
          <w:lang w:val="pt-BR"/>
        </w:rPr>
        <w:t xml:space="preserve"> a Comunidade </w:t>
      </w:r>
      <w:r w:rsidR="004756C1" w:rsidRPr="002F50BD">
        <w:rPr>
          <w:rFonts w:ascii="Verdana" w:hAnsi="Verdana"/>
          <w:sz w:val="16"/>
          <w:lang w:val="pt-BR"/>
        </w:rPr>
        <w:t xml:space="preserve">de Yakye Axa se </w:t>
      </w:r>
      <w:r w:rsidR="0089298C" w:rsidRPr="002F50BD">
        <w:rPr>
          <w:rFonts w:ascii="Verdana" w:hAnsi="Verdana"/>
          <w:sz w:val="16"/>
          <w:lang w:val="pt-BR"/>
        </w:rPr>
        <w:t xml:space="preserve">encontra na </w:t>
      </w:r>
      <w:r w:rsidR="00CD2AE8" w:rsidRPr="002F50BD">
        <w:rPr>
          <w:rFonts w:ascii="Verdana" w:hAnsi="Verdana"/>
          <w:sz w:val="16"/>
          <w:lang w:val="pt-BR"/>
        </w:rPr>
        <w:t>indigência</w:t>
      </w:r>
      <w:r w:rsidR="004756C1" w:rsidRPr="002F50BD">
        <w:rPr>
          <w:rFonts w:ascii="Verdana" w:hAnsi="Verdana"/>
          <w:sz w:val="16"/>
          <w:lang w:val="pt-BR"/>
        </w:rPr>
        <w:t xml:space="preserve"> total.</w:t>
      </w:r>
    </w:p>
    <w:p w:rsidR="004756C1" w:rsidRPr="002F50BD" w:rsidRDefault="004756C1">
      <w:pPr>
        <w:ind w:right="72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16</w:t>
      </w:r>
      <w:r w:rsidR="004756C1" w:rsidRPr="002F50BD">
        <w:rPr>
          <w:rFonts w:ascii="Verdana" w:hAnsi="Verdana"/>
          <w:sz w:val="20"/>
          <w:lang w:val="pt-BR"/>
        </w:rPr>
        <w:t>.</w:t>
      </w:r>
      <w:r w:rsidR="004756C1" w:rsidRPr="002F50BD">
        <w:rPr>
          <w:rFonts w:ascii="Verdana" w:hAnsi="Verdana"/>
          <w:sz w:val="20"/>
          <w:lang w:val="pt-BR"/>
        </w:rPr>
        <w:tab/>
        <w:t>Como</w:t>
      </w:r>
      <w:r w:rsidR="0089298C" w:rsidRPr="002F50BD">
        <w:rPr>
          <w:rFonts w:ascii="Verdana" w:hAnsi="Verdana"/>
          <w:sz w:val="20"/>
          <w:lang w:val="pt-BR"/>
        </w:rPr>
        <w:t xml:space="preserve"> se </w:t>
      </w:r>
      <w:r w:rsidR="004756C1" w:rsidRPr="002F50BD">
        <w:rPr>
          <w:rFonts w:ascii="Verdana" w:hAnsi="Verdana"/>
          <w:sz w:val="20"/>
          <w:lang w:val="pt-BR"/>
        </w:rPr>
        <w:t>n</w:t>
      </w:r>
      <w:r w:rsidR="00CD2AE8" w:rsidRPr="002F50BD">
        <w:rPr>
          <w:rFonts w:ascii="Verdana" w:hAnsi="Verdana"/>
          <w:sz w:val="20"/>
          <w:lang w:val="pt-BR"/>
        </w:rPr>
        <w:t>ão bastasse</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Corte,</w:t>
      </w:r>
      <w:r w:rsidR="0089298C" w:rsidRPr="002F50BD">
        <w:rPr>
          <w:rFonts w:ascii="Verdana" w:hAnsi="Verdana"/>
          <w:sz w:val="20"/>
          <w:lang w:val="pt-BR"/>
        </w:rPr>
        <w:t xml:space="preserve"> no ponto </w:t>
      </w:r>
      <w:r w:rsidR="004756C1" w:rsidRPr="002F50BD">
        <w:rPr>
          <w:rFonts w:ascii="Verdana" w:hAnsi="Verdana"/>
          <w:sz w:val="20"/>
          <w:lang w:val="pt-BR"/>
        </w:rPr>
        <w:t xml:space="preserve">resolutivo </w:t>
      </w:r>
      <w:r w:rsidR="00A157C9">
        <w:rPr>
          <w:rFonts w:ascii="Verdana" w:hAnsi="Verdana"/>
          <w:sz w:val="20"/>
          <w:lang w:val="pt-BR"/>
        </w:rPr>
        <w:t xml:space="preserve">nº </w:t>
      </w:r>
      <w:r w:rsidRPr="002F50BD">
        <w:rPr>
          <w:rFonts w:ascii="Verdana" w:hAnsi="Verdana"/>
          <w:sz w:val="20"/>
          <w:lang w:val="pt-BR"/>
        </w:rPr>
        <w:t>7</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w:t>
      </w:r>
      <w:r w:rsidR="0089298C" w:rsidRPr="002F50BD">
        <w:rPr>
          <w:rFonts w:ascii="Verdana" w:hAnsi="Verdana"/>
          <w:sz w:val="20"/>
          <w:lang w:val="pt-BR"/>
        </w:rPr>
        <w:t xml:space="preserve"> o qual,</w:t>
      </w:r>
      <w:r w:rsidR="004756C1" w:rsidRPr="002F50BD">
        <w:rPr>
          <w:rFonts w:ascii="Verdana" w:hAnsi="Verdana"/>
          <w:sz w:val="20"/>
          <w:lang w:val="pt-BR"/>
        </w:rPr>
        <w:t xml:space="preserve"> juntamente</w:t>
      </w:r>
      <w:r w:rsidR="0089298C" w:rsidRPr="002F50BD">
        <w:rPr>
          <w:rFonts w:ascii="Verdana" w:hAnsi="Verdana"/>
          <w:sz w:val="20"/>
          <w:lang w:val="pt-BR"/>
        </w:rPr>
        <w:t xml:space="preserve"> com o ponto </w:t>
      </w:r>
      <w:r w:rsidR="004756C1" w:rsidRPr="002F50BD">
        <w:rPr>
          <w:rFonts w:ascii="Verdana" w:hAnsi="Verdana"/>
          <w:sz w:val="20"/>
          <w:lang w:val="pt-BR"/>
        </w:rPr>
        <w:t xml:space="preserve">resolutivo </w:t>
      </w:r>
      <w:r w:rsidR="00A157C9">
        <w:rPr>
          <w:rFonts w:ascii="Verdana" w:hAnsi="Verdana"/>
          <w:sz w:val="20"/>
          <w:lang w:val="pt-BR"/>
        </w:rPr>
        <w:t>nº</w:t>
      </w:r>
      <w:r w:rsidR="004756C1" w:rsidRPr="002F50BD">
        <w:rPr>
          <w:rFonts w:ascii="Verdana" w:hAnsi="Verdana"/>
          <w:sz w:val="20"/>
          <w:lang w:val="pt-BR"/>
        </w:rPr>
        <w:t xml:space="preserve"> </w:t>
      </w:r>
      <w:r w:rsidRPr="002F50BD">
        <w:rPr>
          <w:rFonts w:ascii="Verdana" w:hAnsi="Verdana"/>
          <w:sz w:val="20"/>
          <w:lang w:val="pt-BR"/>
        </w:rPr>
        <w:t>3</w:t>
      </w:r>
      <w:r w:rsidR="0089298C" w:rsidRPr="002F50BD">
        <w:rPr>
          <w:rFonts w:ascii="Verdana" w:hAnsi="Verdana"/>
          <w:sz w:val="20"/>
          <w:lang w:val="pt-BR"/>
        </w:rPr>
        <w:t xml:space="preserve"> da mesm</w:t>
      </w:r>
      <w:r w:rsidR="004756C1" w:rsidRPr="002F50BD">
        <w:rPr>
          <w:rFonts w:ascii="Verdana" w:hAnsi="Verdana"/>
          <w:sz w:val="20"/>
          <w:lang w:val="pt-BR"/>
        </w:rPr>
        <w:t xml:space="preserve">a, </w:t>
      </w:r>
      <w:r w:rsidR="004076AD" w:rsidRPr="002F50BD">
        <w:rPr>
          <w:rFonts w:ascii="Verdana" w:hAnsi="Verdana"/>
          <w:sz w:val="20"/>
          <w:lang w:val="pt-BR"/>
        </w:rPr>
        <w:t>demonstra</w:t>
      </w:r>
      <w:r w:rsidR="0089298C" w:rsidRPr="002F50BD">
        <w:rPr>
          <w:rFonts w:ascii="Verdana" w:hAnsi="Verdana"/>
          <w:sz w:val="20"/>
          <w:lang w:val="pt-BR"/>
        </w:rPr>
        <w:t>m</w:t>
      </w:r>
      <w:r w:rsidR="004756C1" w:rsidRPr="002F50BD">
        <w:rPr>
          <w:rFonts w:ascii="Verdana" w:hAnsi="Verdana"/>
          <w:sz w:val="20"/>
          <w:lang w:val="pt-BR"/>
        </w:rPr>
        <w:t xml:space="preserve"> </w:t>
      </w:r>
      <w:r w:rsidR="00CD2AE8" w:rsidRPr="002F50BD">
        <w:rPr>
          <w:rFonts w:ascii="Verdana" w:hAnsi="Verdana"/>
          <w:sz w:val="20"/>
          <w:lang w:val="pt-BR"/>
        </w:rPr>
        <w:t xml:space="preserve">comprovadamente </w:t>
      </w:r>
      <w:r w:rsidR="0089298C" w:rsidRPr="002F50BD">
        <w:rPr>
          <w:rFonts w:ascii="Verdana" w:hAnsi="Verdana"/>
          <w:sz w:val="20"/>
          <w:lang w:val="pt-BR"/>
        </w:rPr>
        <w:t xml:space="preserve">a </w:t>
      </w:r>
      <w:r w:rsidR="004756C1" w:rsidRPr="002F50BD">
        <w:rPr>
          <w:rFonts w:ascii="Verdana" w:hAnsi="Verdana"/>
          <w:sz w:val="20"/>
          <w:lang w:val="pt-BR"/>
        </w:rPr>
        <w:t xml:space="preserve">flagrante </w:t>
      </w:r>
      <w:r w:rsidR="0089298C" w:rsidRPr="002F50BD">
        <w:rPr>
          <w:rFonts w:ascii="Verdana" w:hAnsi="Verdana"/>
          <w:sz w:val="20"/>
          <w:lang w:val="pt-BR"/>
        </w:rPr>
        <w:t>contradição</w:t>
      </w:r>
      <w:r w:rsidR="004756C1" w:rsidRPr="002F50BD">
        <w:rPr>
          <w:rFonts w:ascii="Verdana" w:hAnsi="Verdana"/>
          <w:sz w:val="20"/>
          <w:lang w:val="pt-BR"/>
        </w:rPr>
        <w:t xml:space="preserve"> entre</w:t>
      </w:r>
      <w:r w:rsidR="0089298C" w:rsidRPr="002F50BD">
        <w:rPr>
          <w:rFonts w:ascii="Verdana" w:hAnsi="Verdana"/>
          <w:sz w:val="20"/>
          <w:lang w:val="pt-BR"/>
        </w:rPr>
        <w:t xml:space="preserve"> o ponto </w:t>
      </w:r>
      <w:r w:rsidR="004756C1" w:rsidRPr="002F50BD">
        <w:rPr>
          <w:rFonts w:ascii="Verdana" w:hAnsi="Verdana"/>
          <w:sz w:val="20"/>
          <w:lang w:val="pt-BR"/>
        </w:rPr>
        <w:t xml:space="preserve">resolutivo </w:t>
      </w:r>
      <w:r w:rsidR="00A157C9">
        <w:rPr>
          <w:rFonts w:ascii="Verdana" w:hAnsi="Verdana"/>
          <w:sz w:val="20"/>
          <w:lang w:val="pt-BR"/>
        </w:rPr>
        <w:t>nº</w:t>
      </w:r>
      <w:r w:rsidR="004756C1" w:rsidRPr="002F50BD">
        <w:rPr>
          <w:rFonts w:ascii="Verdana" w:hAnsi="Verdana"/>
          <w:sz w:val="20"/>
          <w:lang w:val="pt-BR"/>
        </w:rPr>
        <w:t xml:space="preserve"> </w:t>
      </w:r>
      <w:r w:rsidRPr="002F50BD">
        <w:rPr>
          <w:rFonts w:ascii="Verdana" w:hAnsi="Verdana"/>
          <w:sz w:val="20"/>
          <w:lang w:val="pt-BR"/>
        </w:rPr>
        <w:t>4</w:t>
      </w:r>
      <w:r w:rsidR="0089298C" w:rsidRPr="002F50BD">
        <w:rPr>
          <w:rFonts w:ascii="Verdana" w:hAnsi="Verdana"/>
          <w:sz w:val="20"/>
          <w:lang w:val="pt-BR"/>
        </w:rPr>
        <w:t xml:space="preserve"> e a Sentença</w:t>
      </w:r>
      <w:r w:rsidR="004756C1" w:rsidRPr="002F50BD">
        <w:rPr>
          <w:rFonts w:ascii="Verdana" w:hAnsi="Verdana"/>
          <w:sz w:val="20"/>
          <w:lang w:val="pt-BR"/>
        </w:rPr>
        <w:t xml:space="preserve"> como</w:t>
      </w:r>
      <w:r w:rsidR="0089298C" w:rsidRPr="002F50BD">
        <w:rPr>
          <w:rFonts w:ascii="Verdana" w:hAnsi="Verdana"/>
          <w:sz w:val="20"/>
          <w:lang w:val="pt-BR"/>
        </w:rPr>
        <w:t xml:space="preserve"> um </w:t>
      </w:r>
      <w:r w:rsidR="004756C1" w:rsidRPr="002F50BD">
        <w:rPr>
          <w:rFonts w:ascii="Verdana" w:hAnsi="Verdana"/>
          <w:sz w:val="20"/>
          <w:lang w:val="pt-BR"/>
        </w:rPr>
        <w:t xml:space="preserve">todo, - </w:t>
      </w:r>
      <w:r w:rsidR="0089298C" w:rsidRPr="002F50BD">
        <w:rPr>
          <w:rFonts w:ascii="Verdana" w:hAnsi="Verdana"/>
          <w:sz w:val="20"/>
          <w:lang w:val="pt-BR"/>
        </w:rPr>
        <w:t>corretamente</w:t>
      </w:r>
      <w:r w:rsidR="004756C1" w:rsidRPr="002F50BD">
        <w:rPr>
          <w:rFonts w:ascii="Verdana" w:hAnsi="Verdana"/>
          <w:sz w:val="20"/>
          <w:lang w:val="pt-BR"/>
        </w:rPr>
        <w:t xml:space="preserve"> decidi</w:t>
      </w:r>
      <w:r w:rsidR="00CD2AE8" w:rsidRPr="002F50BD">
        <w:rPr>
          <w:rFonts w:ascii="Verdana" w:hAnsi="Verdana"/>
          <w:sz w:val="20"/>
          <w:lang w:val="pt-BR"/>
        </w:rPr>
        <w:t>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4756C1" w:rsidRPr="002F50BD" w:rsidRDefault="0089298C">
      <w:pPr>
        <w:ind w:left="720" w:right="720"/>
        <w:jc w:val="both"/>
        <w:rPr>
          <w:rFonts w:ascii="Verdana" w:hAnsi="Verdana"/>
          <w:sz w:val="16"/>
          <w:lang w:val="pt-BR"/>
        </w:rPr>
      </w:pPr>
      <w:r w:rsidRPr="002F50BD">
        <w:rPr>
          <w:rFonts w:ascii="Verdana" w:hAnsi="Verdana"/>
          <w:sz w:val="16"/>
          <w:lang w:val="pt-BR"/>
        </w:rPr>
        <w:t>enquanto os membro</w:t>
      </w:r>
      <w:r w:rsidR="004756C1" w:rsidRPr="002F50BD">
        <w:rPr>
          <w:rFonts w:ascii="Verdana" w:hAnsi="Verdana"/>
          <w:sz w:val="16"/>
          <w:lang w:val="pt-BR"/>
        </w:rPr>
        <w:t>s</w:t>
      </w:r>
      <w:r w:rsidRPr="002F50BD">
        <w:rPr>
          <w:rFonts w:ascii="Verdana" w:hAnsi="Verdana"/>
          <w:sz w:val="16"/>
          <w:lang w:val="pt-BR"/>
        </w:rPr>
        <w:t xml:space="preserve"> da Comunidade </w:t>
      </w:r>
      <w:r w:rsidR="004756C1" w:rsidRPr="002F50BD">
        <w:rPr>
          <w:rFonts w:ascii="Verdana" w:hAnsi="Verdana"/>
          <w:sz w:val="16"/>
          <w:lang w:val="pt-BR"/>
        </w:rPr>
        <w:t xml:space="preserve">indígena Yakye Axa se </w:t>
      </w:r>
      <w:r w:rsidRPr="002F50BD">
        <w:rPr>
          <w:rFonts w:ascii="Verdana" w:hAnsi="Verdana"/>
          <w:sz w:val="16"/>
          <w:lang w:val="pt-BR"/>
        </w:rPr>
        <w:t>encontrem sem terra</w:t>
      </w:r>
      <w:r w:rsidR="004756C1" w:rsidRPr="002F50BD">
        <w:rPr>
          <w:rFonts w:ascii="Verdana" w:hAnsi="Verdana"/>
          <w:sz w:val="16"/>
          <w:lang w:val="pt-BR"/>
        </w:rPr>
        <w:t>s,</w:t>
      </w:r>
      <w:r w:rsidRPr="002F50BD">
        <w:rPr>
          <w:rFonts w:ascii="Verdana" w:hAnsi="Verdana"/>
          <w:sz w:val="16"/>
          <w:lang w:val="pt-BR"/>
        </w:rPr>
        <w:t xml:space="preserve"> o </w:t>
      </w:r>
      <w:r w:rsidR="004756C1" w:rsidRPr="002F50BD">
        <w:rPr>
          <w:rFonts w:ascii="Verdana" w:hAnsi="Verdana"/>
          <w:sz w:val="16"/>
          <w:lang w:val="pt-BR"/>
        </w:rPr>
        <w:t xml:space="preserve">Estado </w:t>
      </w:r>
      <w:r w:rsidRPr="002F50BD">
        <w:rPr>
          <w:rFonts w:ascii="Verdana" w:hAnsi="Verdana"/>
          <w:sz w:val="16"/>
          <w:lang w:val="pt-BR"/>
        </w:rPr>
        <w:t>dever</w:t>
      </w:r>
      <w:r w:rsidR="004756C1" w:rsidRPr="002F50BD">
        <w:rPr>
          <w:rFonts w:ascii="Verdana" w:hAnsi="Verdana"/>
          <w:sz w:val="16"/>
          <w:lang w:val="pt-BR"/>
        </w:rPr>
        <w:t xml:space="preserve">á </w:t>
      </w:r>
      <w:r w:rsidR="00A1447F" w:rsidRPr="002F50BD">
        <w:rPr>
          <w:rFonts w:ascii="Verdana" w:hAnsi="Verdana"/>
          <w:sz w:val="16"/>
          <w:lang w:val="pt-BR"/>
        </w:rPr>
        <w:t>fornecer</w:t>
      </w:r>
      <w:r w:rsidRPr="002F50BD">
        <w:rPr>
          <w:rFonts w:ascii="Verdana" w:hAnsi="Verdana"/>
          <w:sz w:val="16"/>
          <w:lang w:val="pt-BR"/>
        </w:rPr>
        <w:t xml:space="preserve"> os bens e serviço</w:t>
      </w:r>
      <w:r w:rsidR="004756C1" w:rsidRPr="002F50BD">
        <w:rPr>
          <w:rFonts w:ascii="Verdana" w:hAnsi="Verdana"/>
          <w:sz w:val="16"/>
          <w:lang w:val="pt-BR"/>
        </w:rPr>
        <w:t xml:space="preserve">s básicos </w:t>
      </w:r>
      <w:r w:rsidRPr="002F50BD">
        <w:rPr>
          <w:rFonts w:ascii="Verdana" w:hAnsi="Verdana"/>
          <w:sz w:val="16"/>
          <w:lang w:val="pt-BR"/>
        </w:rPr>
        <w:t>necessári</w:t>
      </w:r>
      <w:r w:rsidR="004756C1" w:rsidRPr="002F50BD">
        <w:rPr>
          <w:rFonts w:ascii="Verdana" w:hAnsi="Verdana"/>
          <w:sz w:val="16"/>
          <w:lang w:val="pt-BR"/>
        </w:rPr>
        <w:t>os para su</w:t>
      </w:r>
      <w:r w:rsidR="00CD2AE8" w:rsidRPr="002F50BD">
        <w:rPr>
          <w:rFonts w:ascii="Verdana" w:hAnsi="Verdana"/>
          <w:sz w:val="16"/>
          <w:lang w:val="pt-BR"/>
        </w:rPr>
        <w:t>a</w:t>
      </w:r>
      <w:r w:rsidR="004756C1" w:rsidRPr="002F50BD">
        <w:rPr>
          <w:rFonts w:ascii="Verdana" w:hAnsi="Verdana"/>
          <w:sz w:val="16"/>
          <w:lang w:val="pt-BR"/>
        </w:rPr>
        <w:t xml:space="preserve"> </w:t>
      </w:r>
      <w:r w:rsidRPr="002F50BD">
        <w:rPr>
          <w:rFonts w:ascii="Verdana" w:hAnsi="Verdana"/>
          <w:sz w:val="16"/>
          <w:lang w:val="pt-BR"/>
        </w:rPr>
        <w:t>subsistência</w:t>
      </w:r>
      <w:r w:rsidR="004756C1" w:rsidRPr="002F50BD">
        <w:rPr>
          <w:rFonts w:ascii="Verdana" w:hAnsi="Verdana"/>
          <w:sz w:val="16"/>
          <w:lang w:val="pt-BR"/>
        </w:rPr>
        <w:t>,</w:t>
      </w:r>
      <w:r w:rsidRPr="002F50BD">
        <w:rPr>
          <w:rFonts w:ascii="Verdana" w:hAnsi="Verdana"/>
          <w:sz w:val="16"/>
          <w:lang w:val="pt-BR"/>
        </w:rPr>
        <w:t xml:space="preserve"> nos termo</w:t>
      </w:r>
      <w:r w:rsidR="004756C1" w:rsidRPr="002F50BD">
        <w:rPr>
          <w:rFonts w:ascii="Verdana" w:hAnsi="Verdana"/>
          <w:sz w:val="16"/>
          <w:lang w:val="pt-BR"/>
        </w:rPr>
        <w:t xml:space="preserve">s </w:t>
      </w:r>
      <w:r w:rsidRPr="002F50BD">
        <w:rPr>
          <w:rFonts w:ascii="Verdana" w:hAnsi="Verdana"/>
          <w:sz w:val="16"/>
          <w:lang w:val="pt-BR"/>
        </w:rPr>
        <w:t>do parágrafo</w:t>
      </w:r>
      <w:r w:rsidR="004756C1" w:rsidRPr="002F50BD">
        <w:rPr>
          <w:rFonts w:ascii="Verdana" w:hAnsi="Verdana"/>
          <w:sz w:val="16"/>
          <w:lang w:val="pt-BR"/>
        </w:rPr>
        <w:t xml:space="preserve"> </w:t>
      </w:r>
      <w:r w:rsidR="00063B47" w:rsidRPr="002F50BD">
        <w:rPr>
          <w:rFonts w:ascii="Verdana" w:hAnsi="Verdana"/>
          <w:sz w:val="16"/>
          <w:lang w:val="pt-BR"/>
        </w:rPr>
        <w:t>221</w:t>
      </w:r>
      <w:r w:rsidRPr="002F50BD">
        <w:rPr>
          <w:rFonts w:ascii="Verdana" w:hAnsi="Verdana"/>
          <w:sz w:val="16"/>
          <w:lang w:val="pt-BR"/>
        </w:rPr>
        <w:t xml:space="preserve"> da </w:t>
      </w:r>
      <w:r w:rsidR="004756C1" w:rsidRPr="002F50BD">
        <w:rPr>
          <w:rFonts w:ascii="Verdana" w:hAnsi="Verdana"/>
          <w:sz w:val="16"/>
          <w:lang w:val="pt-BR"/>
        </w:rPr>
        <w:t xml:space="preserve">presente </w:t>
      </w:r>
      <w:r w:rsidRPr="002F50BD">
        <w:rPr>
          <w:rFonts w:ascii="Verdana" w:hAnsi="Verdana"/>
          <w:sz w:val="16"/>
          <w:lang w:val="pt-BR"/>
        </w:rPr>
        <w:t>Sentença</w:t>
      </w:r>
      <w:r w:rsidR="004756C1" w:rsidRPr="002F50BD">
        <w:rPr>
          <w:rFonts w:ascii="Verdana" w:hAnsi="Verdana"/>
          <w:sz w:val="16"/>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17</w:t>
      </w:r>
      <w:r w:rsidR="004756C1" w:rsidRPr="002F50BD">
        <w:rPr>
          <w:rFonts w:ascii="Verdana" w:hAnsi="Verdana"/>
          <w:sz w:val="20"/>
          <w:lang w:val="pt-BR"/>
        </w:rPr>
        <w:t>.</w:t>
      </w:r>
      <w:r w:rsidR="004756C1" w:rsidRPr="002F50BD">
        <w:rPr>
          <w:rFonts w:ascii="Verdana" w:hAnsi="Verdana"/>
          <w:sz w:val="20"/>
          <w:lang w:val="pt-BR"/>
        </w:rPr>
        <w:tab/>
      </w:r>
      <w:r w:rsidR="00CD2AE8" w:rsidRPr="002F50BD">
        <w:rPr>
          <w:rFonts w:ascii="Verdana" w:hAnsi="Verdana"/>
          <w:sz w:val="20"/>
          <w:lang w:val="pt-BR"/>
        </w:rPr>
        <w:t>N</w:t>
      </w:r>
      <w:r w:rsidR="0089298C" w:rsidRPr="002F50BD">
        <w:rPr>
          <w:rFonts w:ascii="Verdana" w:hAnsi="Verdana"/>
          <w:sz w:val="20"/>
          <w:lang w:val="pt-BR"/>
        </w:rPr>
        <w:t>os parágrafo</w:t>
      </w:r>
      <w:r w:rsidR="004756C1" w:rsidRPr="002F50BD">
        <w:rPr>
          <w:rFonts w:ascii="Verdana" w:hAnsi="Verdana"/>
          <w:sz w:val="20"/>
          <w:lang w:val="pt-BR"/>
        </w:rPr>
        <w:t xml:space="preserve">s considerativos </w:t>
      </w:r>
      <w:r w:rsidRPr="002F50BD">
        <w:rPr>
          <w:rFonts w:ascii="Verdana" w:hAnsi="Verdana"/>
          <w:sz w:val="20"/>
          <w:lang w:val="pt-BR"/>
        </w:rPr>
        <w:t>219</w:t>
      </w:r>
      <w:r w:rsidR="004756C1" w:rsidRPr="002F50BD">
        <w:rPr>
          <w:rFonts w:ascii="Verdana" w:hAnsi="Verdana"/>
          <w:sz w:val="20"/>
          <w:lang w:val="pt-BR"/>
        </w:rPr>
        <w:t>-</w:t>
      </w:r>
      <w:r w:rsidRPr="002F50BD">
        <w:rPr>
          <w:rFonts w:ascii="Verdana" w:hAnsi="Verdana"/>
          <w:sz w:val="20"/>
          <w:lang w:val="pt-BR"/>
        </w:rPr>
        <w:t>221</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AB454A" w:rsidRPr="002F50BD">
        <w:rPr>
          <w:rFonts w:ascii="Verdana" w:hAnsi="Verdana"/>
          <w:sz w:val="20"/>
          <w:lang w:val="pt-BR"/>
        </w:rPr>
        <w:t>observou</w:t>
      </w:r>
      <w:r w:rsidR="004756C1" w:rsidRPr="002F50BD">
        <w:rPr>
          <w:rFonts w:ascii="Verdana" w:hAnsi="Verdana"/>
          <w:sz w:val="20"/>
          <w:lang w:val="pt-BR"/>
        </w:rPr>
        <w:t xml:space="preserve"> que</w:t>
      </w:r>
    </w:p>
    <w:p w:rsidR="004756C1" w:rsidRPr="002F50BD" w:rsidRDefault="004756C1">
      <w:pPr>
        <w:jc w:val="both"/>
        <w:rPr>
          <w:rFonts w:ascii="Verdana" w:hAnsi="Verdana"/>
          <w:sz w:val="20"/>
          <w:lang w:val="pt-BR"/>
        </w:rPr>
      </w:pPr>
    </w:p>
    <w:p w:rsidR="00794692" w:rsidRPr="002F50BD" w:rsidRDefault="00794692" w:rsidP="00794692">
      <w:pPr>
        <w:ind w:left="720" w:right="720"/>
        <w:jc w:val="both"/>
        <w:rPr>
          <w:rFonts w:ascii="Verdana" w:hAnsi="Verdana"/>
          <w:sz w:val="16"/>
          <w:lang w:val="pt-BR"/>
        </w:rPr>
      </w:pPr>
      <w:r w:rsidRPr="002F50BD">
        <w:rPr>
          <w:rFonts w:ascii="Verdana" w:hAnsi="Verdana"/>
          <w:sz w:val="16"/>
          <w:lang w:val="pt-BR"/>
        </w:rPr>
        <w:t xml:space="preserve">A Comissão e os representantes, em seus escritos principais manifestaram a necessidade de </w:t>
      </w:r>
      <w:r w:rsidR="00A157C9">
        <w:rPr>
          <w:rFonts w:ascii="Verdana" w:hAnsi="Verdana"/>
          <w:sz w:val="16"/>
          <w:lang w:val="pt-BR"/>
        </w:rPr>
        <w:t>fornecer</w:t>
      </w:r>
      <w:r w:rsidRPr="002F50BD">
        <w:rPr>
          <w:rFonts w:ascii="Verdana" w:hAnsi="Verdana"/>
          <w:sz w:val="16"/>
          <w:lang w:val="pt-BR"/>
        </w:rPr>
        <w:t xml:space="preserve"> serviços básicos aos membros da Comunidade indígena Yakye Axa, incluindo água potável e infraestrutura sanitária, um centro de saúde e um estabelecimento escolar. Igualmente</w:t>
      </w:r>
      <w:r w:rsidR="00FB1F42" w:rsidRPr="002F50BD">
        <w:rPr>
          <w:rFonts w:ascii="Verdana" w:hAnsi="Verdana"/>
          <w:sz w:val="16"/>
          <w:lang w:val="pt-BR"/>
        </w:rPr>
        <w:t>,</w:t>
      </w:r>
      <w:r w:rsidRPr="002F50BD">
        <w:rPr>
          <w:rFonts w:ascii="Verdana" w:hAnsi="Verdana"/>
          <w:sz w:val="16"/>
          <w:lang w:val="pt-BR"/>
        </w:rPr>
        <w:t xml:space="preserve"> demonstraram a necessidade de fornecer atenção médica e educacional culturalmente pertinente, de forma permanente, aos membros da Comunidade, tendo presente seus costumes e tradições.</w:t>
      </w:r>
      <w:r w:rsidR="00FE08B7">
        <w:rPr>
          <w:rFonts w:ascii="Verdana" w:hAnsi="Verdana"/>
          <w:sz w:val="16"/>
          <w:lang w:val="pt-BR"/>
        </w:rPr>
        <w:t xml:space="preserve"> </w:t>
      </w:r>
      <w:r w:rsidRPr="002F50BD">
        <w:rPr>
          <w:rFonts w:ascii="Verdana" w:hAnsi="Verdana"/>
          <w:sz w:val="16"/>
          <w:lang w:val="pt-BR"/>
        </w:rPr>
        <w:t>Por sua vez, o Estado afirmou que</w:t>
      </w:r>
    </w:p>
    <w:p w:rsidR="00794692" w:rsidRPr="002F50BD" w:rsidRDefault="00794692" w:rsidP="00794692">
      <w:pPr>
        <w:ind w:left="720" w:right="720"/>
        <w:jc w:val="both"/>
        <w:rPr>
          <w:rFonts w:ascii="Verdana" w:hAnsi="Verdana"/>
          <w:sz w:val="16"/>
          <w:lang w:val="pt-BR"/>
        </w:rPr>
      </w:pPr>
    </w:p>
    <w:p w:rsidR="00794692" w:rsidRPr="002F50BD" w:rsidRDefault="00794692" w:rsidP="00794692">
      <w:pPr>
        <w:ind w:left="1440" w:right="720"/>
        <w:jc w:val="both"/>
        <w:rPr>
          <w:rFonts w:ascii="Verdana" w:hAnsi="Verdana"/>
          <w:sz w:val="16"/>
          <w:lang w:val="pt-BR"/>
        </w:rPr>
      </w:pPr>
      <w:r w:rsidRPr="002F50BD">
        <w:rPr>
          <w:rFonts w:ascii="Verdana" w:hAnsi="Verdana"/>
          <w:sz w:val="16"/>
          <w:lang w:val="pt-BR"/>
        </w:rPr>
        <w:lastRenderedPageBreak/>
        <w:t xml:space="preserve">acata igualmente a solicitação de estabelecimento de um posto de saúde, uma escola, provisão de água potável e infraestrutura sanitária para a Comunidade, no lugar onde o Estado possa estabelecer estes serviços o mais próximo possível de um assentamento provisório. </w:t>
      </w:r>
      <w:r w:rsidR="00CF451D" w:rsidRPr="00CF451D">
        <w:rPr>
          <w:rFonts w:ascii="Verdana" w:hAnsi="Verdana"/>
          <w:sz w:val="16"/>
          <w:lang w:val="pt-BR"/>
        </w:rPr>
        <w:t>(</w:t>
      </w:r>
      <w:r w:rsidRPr="002F50BD">
        <w:rPr>
          <w:rFonts w:ascii="Verdana" w:hAnsi="Verdana"/>
          <w:sz w:val="16"/>
          <w:lang w:val="pt-BR"/>
        </w:rPr>
        <w:t>...</w:t>
      </w:r>
      <w:r w:rsidR="00CF451D" w:rsidRPr="00CF451D">
        <w:rPr>
          <w:rFonts w:ascii="Verdana" w:hAnsi="Verdana"/>
          <w:sz w:val="16"/>
          <w:lang w:val="pt-BR"/>
        </w:rPr>
        <w:t>)</w:t>
      </w:r>
    </w:p>
    <w:p w:rsidR="00FE08B7" w:rsidRDefault="00FE08B7" w:rsidP="00FE08B7">
      <w:pPr>
        <w:ind w:left="1440" w:right="720"/>
        <w:jc w:val="both"/>
        <w:rPr>
          <w:rFonts w:ascii="Verdana" w:hAnsi="Verdana"/>
          <w:sz w:val="16"/>
          <w:lang w:val="pt-BR"/>
        </w:rPr>
      </w:pPr>
    </w:p>
    <w:p w:rsidR="00794692" w:rsidRPr="002F50BD" w:rsidRDefault="00794692" w:rsidP="00FE08B7">
      <w:pPr>
        <w:ind w:left="1440" w:right="720"/>
        <w:jc w:val="both"/>
        <w:rPr>
          <w:rFonts w:ascii="Verdana" w:hAnsi="Verdana"/>
          <w:sz w:val="16"/>
          <w:lang w:val="pt-BR"/>
        </w:rPr>
      </w:pPr>
      <w:r w:rsidRPr="002F50BD">
        <w:rPr>
          <w:rFonts w:ascii="Verdana" w:hAnsi="Verdana"/>
          <w:sz w:val="16"/>
          <w:lang w:val="pt-BR"/>
        </w:rPr>
        <w:t>Na medida do possível acata [o pedido de fornecer] atenção médica e educacional conforme os planos de educação e de saúde previstos pelo Estado.</w:t>
      </w:r>
      <w:r w:rsidR="004756C1" w:rsidRPr="002F50BD">
        <w:rPr>
          <w:rFonts w:ascii="Verdana" w:hAnsi="Verdana"/>
          <w:sz w:val="16"/>
          <w:lang w:val="pt-BR"/>
        </w:rPr>
        <w:tab/>
      </w:r>
    </w:p>
    <w:p w:rsidR="00794692" w:rsidRPr="002F50BD" w:rsidRDefault="00794692">
      <w:pPr>
        <w:ind w:left="720" w:right="720"/>
        <w:jc w:val="both"/>
        <w:rPr>
          <w:rFonts w:ascii="Verdana" w:hAnsi="Verdana"/>
          <w:sz w:val="16"/>
          <w:lang w:val="pt-BR"/>
        </w:rPr>
      </w:pPr>
    </w:p>
    <w:p w:rsidR="004756C1" w:rsidRPr="002F50BD" w:rsidRDefault="004756C1">
      <w:pPr>
        <w:ind w:left="720" w:right="720"/>
        <w:jc w:val="both"/>
        <w:rPr>
          <w:rFonts w:ascii="Verdana" w:hAnsi="Verdana"/>
          <w:sz w:val="16"/>
          <w:lang w:val="pt-BR"/>
        </w:rPr>
      </w:pPr>
    </w:p>
    <w:p w:rsidR="004756C1" w:rsidRPr="002F50BD" w:rsidRDefault="00794692">
      <w:pPr>
        <w:ind w:left="720" w:right="720"/>
        <w:jc w:val="both"/>
        <w:rPr>
          <w:rFonts w:ascii="Verdana" w:hAnsi="Verdana"/>
          <w:sz w:val="16"/>
          <w:lang w:val="pt-BR"/>
        </w:rPr>
      </w:pPr>
      <w:r w:rsidRPr="002F50BD">
        <w:rPr>
          <w:rFonts w:ascii="Verdana" w:hAnsi="Verdana"/>
          <w:sz w:val="16"/>
          <w:lang w:val="pt-BR"/>
        </w:rPr>
        <w:t>Em</w:t>
      </w:r>
      <w:r w:rsidR="004756C1" w:rsidRPr="002F50BD">
        <w:rPr>
          <w:rFonts w:ascii="Verdana" w:hAnsi="Verdana"/>
          <w:sz w:val="16"/>
          <w:lang w:val="pt-BR"/>
        </w:rPr>
        <w:t xml:space="preserve"> </w:t>
      </w:r>
      <w:r w:rsidRPr="002F50BD">
        <w:rPr>
          <w:rFonts w:ascii="Verdana" w:hAnsi="Verdana"/>
          <w:sz w:val="16"/>
          <w:lang w:val="pt-BR"/>
        </w:rPr>
        <w:t>vista do anterior, o Tribunal dispõe que, enquanto a Comunidade se encontr</w:t>
      </w:r>
      <w:r w:rsidR="00124F36" w:rsidRPr="002F50BD">
        <w:rPr>
          <w:rFonts w:ascii="Verdana" w:hAnsi="Verdana"/>
          <w:sz w:val="16"/>
          <w:lang w:val="pt-BR"/>
        </w:rPr>
        <w:t>ar</w:t>
      </w:r>
      <w:r w:rsidRPr="002F50BD">
        <w:rPr>
          <w:rFonts w:ascii="Verdana" w:hAnsi="Verdana"/>
          <w:sz w:val="16"/>
          <w:lang w:val="pt-BR"/>
        </w:rPr>
        <w:t xml:space="preserve"> sem terras, dado seu especial estado de vulnerabilidade e sua impossibilidade de ter acesso a seus mecanismos tradicionais de subsistência, o Estado deverá fornecer, de maneira imediata e periódica, água potável suficiente para o consumo e asseio pessoal dos membros da Comunidade; oferecer atenção médica periódica e medicamentos adequados para conservar a saúde de todas as pessoas, especialmente das crianças, idosos e mulheres grávidas, incluindo medicamentos e tratamento adequado para a </w:t>
      </w:r>
      <w:r w:rsidR="00124F36" w:rsidRPr="002F50BD">
        <w:rPr>
          <w:rFonts w:ascii="Verdana" w:hAnsi="Verdana"/>
          <w:sz w:val="16"/>
          <w:lang w:val="pt-BR"/>
        </w:rPr>
        <w:t xml:space="preserve">vermifugação </w:t>
      </w:r>
      <w:r w:rsidRPr="002F50BD">
        <w:rPr>
          <w:rFonts w:ascii="Verdana" w:hAnsi="Verdana"/>
          <w:sz w:val="16"/>
          <w:lang w:val="pt-BR"/>
        </w:rPr>
        <w:t>de todos os membros da Comunidade; entregar alimentos em quantidade, variedade e qualidade suficientes para que os membros da Comunidade tenham as condições mínimas de uma vida digna; fornecer latrinas ou qualquer tipo de serviço sanitário adequado a fim de que se administre de maneira efetiva e salubre os dejetos bio</w:t>
      </w:r>
      <w:r w:rsidR="00243D2E" w:rsidRPr="002F50BD">
        <w:rPr>
          <w:rFonts w:ascii="Verdana" w:hAnsi="Verdana"/>
          <w:sz w:val="16"/>
          <w:lang w:val="pt-BR"/>
        </w:rPr>
        <w:t>lógicos da Comunidade; e dotar a</w:t>
      </w:r>
      <w:r w:rsidRPr="002F50BD">
        <w:rPr>
          <w:rFonts w:ascii="Verdana" w:hAnsi="Verdana"/>
          <w:sz w:val="16"/>
          <w:lang w:val="pt-BR"/>
        </w:rPr>
        <w:t xml:space="preserve"> escola localizada no assentamento atual da Comunidade de materiais bilíng</w:t>
      </w:r>
      <w:r w:rsidR="003F3630">
        <w:rPr>
          <w:rFonts w:ascii="Verdana" w:hAnsi="Verdana"/>
          <w:sz w:val="16"/>
          <w:lang w:val="pt-BR"/>
        </w:rPr>
        <w:t>u</w:t>
      </w:r>
      <w:r w:rsidRPr="002F50BD">
        <w:rPr>
          <w:rFonts w:ascii="Verdana" w:hAnsi="Verdana"/>
          <w:sz w:val="16"/>
          <w:lang w:val="pt-BR"/>
        </w:rPr>
        <w:t>es suficientes para a devida educação de seus alunos</w:t>
      </w:r>
      <w:r w:rsidR="004756C1" w:rsidRPr="002F50BD">
        <w:rPr>
          <w:rFonts w:ascii="Verdana" w:hAnsi="Verdana"/>
          <w:sz w:val="16"/>
          <w:lang w:val="pt-BR"/>
        </w:rPr>
        <w:t>.</w:t>
      </w:r>
    </w:p>
    <w:p w:rsidR="00CD2AE8" w:rsidRPr="002F50BD" w:rsidRDefault="00CD2AE8" w:rsidP="00CD2AE8">
      <w:pPr>
        <w:ind w:left="360"/>
        <w:jc w:val="both"/>
        <w:rPr>
          <w:rFonts w:ascii="Verdana" w:hAnsi="Verdana"/>
          <w:sz w:val="20"/>
          <w:lang w:val="pt-BR"/>
        </w:rPr>
      </w:pPr>
    </w:p>
    <w:p w:rsidR="004756C1" w:rsidRPr="002F50BD" w:rsidRDefault="0089298C">
      <w:pPr>
        <w:numPr>
          <w:ilvl w:val="0"/>
          <w:numId w:val="37"/>
        </w:numPr>
        <w:tabs>
          <w:tab w:val="clear" w:pos="720"/>
        </w:tabs>
        <w:ind w:left="0" w:firstLine="0"/>
        <w:jc w:val="both"/>
        <w:rPr>
          <w:rFonts w:ascii="Verdana" w:hAnsi="Verdana"/>
          <w:sz w:val="20"/>
          <w:lang w:val="pt-BR"/>
        </w:rPr>
      </w:pPr>
      <w:r w:rsidRPr="002F50BD">
        <w:rPr>
          <w:rFonts w:ascii="Verdana" w:hAnsi="Verdana"/>
          <w:sz w:val="20"/>
          <w:lang w:val="pt-BR"/>
        </w:rPr>
        <w:t xml:space="preserve">A identidade </w:t>
      </w:r>
      <w:r w:rsidR="004756C1" w:rsidRPr="002F50BD">
        <w:rPr>
          <w:rFonts w:ascii="Verdana" w:hAnsi="Verdana"/>
          <w:sz w:val="20"/>
          <w:lang w:val="pt-BR"/>
        </w:rPr>
        <w:t xml:space="preserve">cultural </w:t>
      </w:r>
      <w:r w:rsidRPr="002F50BD">
        <w:rPr>
          <w:rFonts w:ascii="Verdana" w:hAnsi="Verdana"/>
          <w:sz w:val="20"/>
          <w:lang w:val="pt-BR"/>
        </w:rPr>
        <w:t xml:space="preserve">tem </w:t>
      </w:r>
      <w:r w:rsidR="004076AD" w:rsidRPr="002F50BD">
        <w:rPr>
          <w:rFonts w:ascii="Verdana" w:hAnsi="Verdana"/>
          <w:sz w:val="20"/>
          <w:lang w:val="pt-BR"/>
        </w:rPr>
        <w:t>raízes</w:t>
      </w:r>
      <w:r w:rsidR="004756C1" w:rsidRPr="002F50BD">
        <w:rPr>
          <w:rFonts w:ascii="Verdana" w:hAnsi="Verdana"/>
          <w:sz w:val="20"/>
          <w:lang w:val="pt-BR"/>
        </w:rPr>
        <w:t xml:space="preserve"> históricas</w:t>
      </w:r>
      <w:r w:rsidRPr="002F50BD">
        <w:rPr>
          <w:rFonts w:ascii="Verdana" w:hAnsi="Verdana"/>
          <w:sz w:val="20"/>
          <w:lang w:val="pt-BR"/>
        </w:rPr>
        <w:t xml:space="preserve"> e</w:t>
      </w:r>
      <w:r w:rsidR="004756C1" w:rsidRPr="002F50BD">
        <w:rPr>
          <w:rFonts w:ascii="Verdana" w:hAnsi="Verdana"/>
          <w:sz w:val="20"/>
          <w:lang w:val="pt-BR"/>
        </w:rPr>
        <w:t>,</w:t>
      </w:r>
      <w:r w:rsidRPr="002F50BD">
        <w:rPr>
          <w:rFonts w:ascii="Verdana" w:hAnsi="Verdana"/>
          <w:sz w:val="20"/>
          <w:lang w:val="pt-BR"/>
        </w:rPr>
        <w:t xml:space="preserve"> nas circunstâncias</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presente caso</w:t>
      </w:r>
      <w:r w:rsidRPr="002F50BD">
        <w:rPr>
          <w:rFonts w:ascii="Verdana" w:hAnsi="Verdana"/>
          <w:sz w:val="20"/>
          <w:lang w:val="pt-BR"/>
        </w:rPr>
        <w:t xml:space="preserve"> da </w:t>
      </w:r>
      <w:r w:rsidRPr="002F50BD">
        <w:rPr>
          <w:rFonts w:ascii="Verdana" w:hAnsi="Verdana"/>
          <w:i/>
          <w:sz w:val="20"/>
          <w:lang w:val="pt-BR"/>
        </w:rPr>
        <w:t xml:space="preserve">Comunidade </w:t>
      </w:r>
      <w:r w:rsidR="004756C1" w:rsidRPr="002F50BD">
        <w:rPr>
          <w:rFonts w:ascii="Verdana" w:hAnsi="Verdana"/>
          <w:i/>
          <w:sz w:val="20"/>
          <w:lang w:val="pt-BR"/>
        </w:rPr>
        <w:t>Indígena Yakye Axa</w:t>
      </w:r>
      <w:r w:rsidR="004756C1" w:rsidRPr="002F50BD">
        <w:rPr>
          <w:rFonts w:ascii="Verdana" w:hAnsi="Verdana"/>
          <w:sz w:val="20"/>
          <w:lang w:val="pt-BR"/>
        </w:rPr>
        <w:t xml:space="preserve">, </w:t>
      </w:r>
      <w:r w:rsidR="00794692" w:rsidRPr="002F50BD">
        <w:rPr>
          <w:rFonts w:ascii="Verdana" w:hAnsi="Verdana"/>
          <w:sz w:val="20"/>
          <w:lang w:val="pt-BR"/>
        </w:rPr>
        <w:t xml:space="preserve">encontra-se </w:t>
      </w:r>
      <w:r w:rsidR="004756C1" w:rsidRPr="002F50BD">
        <w:rPr>
          <w:rFonts w:ascii="Verdana" w:hAnsi="Verdana"/>
          <w:sz w:val="20"/>
          <w:lang w:val="pt-BR"/>
        </w:rPr>
        <w:t>vinculada</w:t>
      </w:r>
      <w:r w:rsidRPr="002F50BD">
        <w:rPr>
          <w:rFonts w:ascii="Verdana" w:hAnsi="Verdana"/>
          <w:sz w:val="20"/>
          <w:lang w:val="pt-BR"/>
        </w:rPr>
        <w:t xml:space="preserve"> à terra</w:t>
      </w:r>
      <w:r w:rsidR="004756C1" w:rsidRPr="002F50BD">
        <w:rPr>
          <w:rFonts w:ascii="Verdana" w:hAnsi="Verdana"/>
          <w:sz w:val="20"/>
          <w:lang w:val="pt-BR"/>
        </w:rPr>
        <w:t xml:space="preserve"> ancestral.</w:t>
      </w:r>
      <w:r w:rsidR="00FE08B7">
        <w:rPr>
          <w:rFonts w:ascii="Verdana" w:hAnsi="Verdana"/>
          <w:sz w:val="20"/>
          <w:lang w:val="pt-BR"/>
        </w:rPr>
        <w:t xml:space="preserve"> </w:t>
      </w:r>
      <w:r w:rsidRPr="002F50BD">
        <w:rPr>
          <w:rFonts w:ascii="Verdana" w:hAnsi="Verdana"/>
          <w:sz w:val="20"/>
          <w:lang w:val="pt-BR"/>
        </w:rPr>
        <w:t xml:space="preserve">Mas o que </w:t>
      </w:r>
      <w:r w:rsidR="00794692" w:rsidRPr="002F50BD">
        <w:rPr>
          <w:rFonts w:ascii="Verdana" w:hAnsi="Verdana"/>
          <w:sz w:val="20"/>
          <w:lang w:val="pt-BR"/>
        </w:rPr>
        <w:t>merece</w:t>
      </w:r>
      <w:r w:rsidRPr="002F50BD">
        <w:rPr>
          <w:rFonts w:ascii="Verdana" w:hAnsi="Verdana"/>
          <w:sz w:val="20"/>
          <w:lang w:val="pt-BR"/>
        </w:rPr>
        <w:t xml:space="preserve"> ainda</w:t>
      </w:r>
      <w:r w:rsidR="004756C1" w:rsidRPr="002F50BD">
        <w:rPr>
          <w:rFonts w:ascii="Verdana" w:hAnsi="Verdana"/>
          <w:sz w:val="20"/>
          <w:lang w:val="pt-BR"/>
        </w:rPr>
        <w:t xml:space="preserve"> </w:t>
      </w:r>
      <w:r w:rsidRPr="002F50BD">
        <w:rPr>
          <w:rFonts w:ascii="Verdana" w:hAnsi="Verdana"/>
          <w:sz w:val="20"/>
          <w:lang w:val="pt-BR"/>
        </w:rPr>
        <w:t xml:space="preserve">maior </w:t>
      </w:r>
      <w:r w:rsidR="00794692" w:rsidRPr="002F50BD">
        <w:rPr>
          <w:rFonts w:ascii="Verdana" w:hAnsi="Verdana"/>
          <w:sz w:val="20"/>
          <w:lang w:val="pt-BR"/>
        </w:rPr>
        <w:t>ênfase</w:t>
      </w:r>
      <w:r w:rsidRPr="002F50BD">
        <w:rPr>
          <w:rFonts w:ascii="Verdana" w:hAnsi="Verdana"/>
          <w:sz w:val="20"/>
          <w:lang w:val="pt-BR"/>
        </w:rPr>
        <w:t xml:space="preserve"> é o fato </w:t>
      </w:r>
      <w:r w:rsidR="004756C1" w:rsidRPr="002F50BD">
        <w:rPr>
          <w:rFonts w:ascii="Verdana" w:hAnsi="Verdana"/>
          <w:sz w:val="20"/>
          <w:lang w:val="pt-BR"/>
        </w:rPr>
        <w:t>de que</w:t>
      </w:r>
      <w:r w:rsidRPr="002F50BD">
        <w:rPr>
          <w:rFonts w:ascii="Verdana" w:hAnsi="Verdana"/>
          <w:sz w:val="20"/>
          <w:lang w:val="pt-BR"/>
        </w:rPr>
        <w:t xml:space="preserve"> a identidade </w:t>
      </w:r>
      <w:r w:rsidR="004756C1" w:rsidRPr="002F50BD">
        <w:rPr>
          <w:rFonts w:ascii="Verdana" w:hAnsi="Verdana"/>
          <w:sz w:val="20"/>
          <w:lang w:val="pt-BR"/>
        </w:rPr>
        <w:t>cultural</w:t>
      </w:r>
      <w:r w:rsidRPr="002F50BD">
        <w:rPr>
          <w:rFonts w:ascii="Verdana" w:hAnsi="Verdana"/>
          <w:sz w:val="20"/>
          <w:lang w:val="pt-BR"/>
        </w:rPr>
        <w:t xml:space="preserve"> é um </w:t>
      </w:r>
      <w:r w:rsidR="00DC0F25" w:rsidRPr="002F50BD">
        <w:rPr>
          <w:rFonts w:ascii="Verdana" w:hAnsi="Verdana"/>
          <w:sz w:val="20"/>
          <w:lang w:val="pt-BR"/>
        </w:rPr>
        <w:t>componente</w:t>
      </w:r>
      <w:r w:rsidR="004756C1" w:rsidRPr="002F50BD">
        <w:rPr>
          <w:rFonts w:ascii="Verdana" w:hAnsi="Verdana"/>
          <w:sz w:val="20"/>
          <w:lang w:val="pt-BR"/>
        </w:rPr>
        <w:t xml:space="preserve"> </w:t>
      </w:r>
      <w:r w:rsidRPr="002F50BD">
        <w:rPr>
          <w:rFonts w:ascii="Verdana" w:hAnsi="Verdana"/>
          <w:sz w:val="20"/>
          <w:lang w:val="pt-BR"/>
        </w:rPr>
        <w:t>do próprio</w:t>
      </w:r>
      <w:r w:rsidR="004756C1" w:rsidRPr="002F50BD">
        <w:rPr>
          <w:rFonts w:ascii="Verdana" w:hAnsi="Verdana"/>
          <w:sz w:val="20"/>
          <w:lang w:val="pt-BR"/>
        </w:rPr>
        <w:t xml:space="preserve"> </w:t>
      </w:r>
      <w:r w:rsidRPr="002F50BD">
        <w:rPr>
          <w:rFonts w:ascii="Verdana" w:hAnsi="Verdana"/>
          <w:sz w:val="20"/>
          <w:lang w:val="pt-BR"/>
        </w:rPr>
        <w:t xml:space="preserve">direito à </w:t>
      </w:r>
      <w:r w:rsidR="004756C1" w:rsidRPr="002F50BD">
        <w:rPr>
          <w:rFonts w:ascii="Verdana" w:hAnsi="Verdana"/>
          <w:sz w:val="20"/>
          <w:lang w:val="pt-BR"/>
        </w:rPr>
        <w:t xml:space="preserve">vida </w:t>
      </w:r>
      <w:r w:rsidR="004756C1" w:rsidRPr="002F50BD">
        <w:rPr>
          <w:rFonts w:ascii="Verdana" w:hAnsi="Verdana"/>
          <w:i/>
          <w:sz w:val="20"/>
          <w:lang w:val="pt-BR"/>
        </w:rPr>
        <w:t>lato sensu</w:t>
      </w:r>
      <w:r w:rsidR="004756C1" w:rsidRPr="002F50BD">
        <w:rPr>
          <w:rFonts w:ascii="Verdana" w:hAnsi="Verdana"/>
          <w:sz w:val="20"/>
          <w:lang w:val="pt-BR"/>
        </w:rPr>
        <w:t xml:space="preserve">; </w:t>
      </w:r>
      <w:r w:rsidRPr="002F50BD">
        <w:rPr>
          <w:rFonts w:ascii="Verdana" w:hAnsi="Verdana"/>
          <w:sz w:val="20"/>
          <w:lang w:val="pt-BR"/>
        </w:rPr>
        <w:t>assim</w:t>
      </w:r>
      <w:r w:rsidR="004756C1" w:rsidRPr="002F50BD">
        <w:rPr>
          <w:rFonts w:ascii="Verdana" w:hAnsi="Verdana"/>
          <w:sz w:val="20"/>
          <w:lang w:val="pt-BR"/>
        </w:rPr>
        <w:t>,</w:t>
      </w:r>
      <w:r w:rsidRPr="002F50BD">
        <w:rPr>
          <w:rFonts w:ascii="Verdana" w:hAnsi="Verdana"/>
          <w:sz w:val="20"/>
          <w:lang w:val="pt-BR"/>
        </w:rPr>
        <w:t xml:space="preserve"> se </w:t>
      </w:r>
      <w:r w:rsidR="004756C1" w:rsidRPr="002F50BD">
        <w:rPr>
          <w:rFonts w:ascii="Verdana" w:hAnsi="Verdana"/>
          <w:sz w:val="20"/>
          <w:lang w:val="pt-BR"/>
        </w:rPr>
        <w:t xml:space="preserve">se </w:t>
      </w:r>
      <w:r w:rsidRPr="002F50BD">
        <w:rPr>
          <w:rFonts w:ascii="Verdana" w:hAnsi="Verdana"/>
          <w:sz w:val="20"/>
          <w:lang w:val="pt-BR"/>
        </w:rPr>
        <w:t xml:space="preserve">afeta a identidade </w:t>
      </w:r>
      <w:r w:rsidR="004756C1" w:rsidRPr="002F50BD">
        <w:rPr>
          <w:rFonts w:ascii="Verdana" w:hAnsi="Verdana"/>
          <w:sz w:val="20"/>
          <w:lang w:val="pt-BR"/>
        </w:rPr>
        <w:t xml:space="preserve">cultural se </w:t>
      </w:r>
      <w:r w:rsidRPr="002F50BD">
        <w:rPr>
          <w:rFonts w:ascii="Verdana" w:hAnsi="Verdana"/>
          <w:sz w:val="20"/>
          <w:lang w:val="pt-BR"/>
        </w:rPr>
        <w:t>afeta</w:t>
      </w:r>
      <w:r w:rsidR="004756C1" w:rsidRPr="002F50BD">
        <w:rPr>
          <w:rFonts w:ascii="Verdana" w:hAnsi="Verdana"/>
          <w:sz w:val="20"/>
          <w:lang w:val="pt-BR"/>
        </w:rPr>
        <w:t xml:space="preserve"> inevita</w:t>
      </w:r>
      <w:r w:rsidRPr="002F50BD">
        <w:rPr>
          <w:rFonts w:ascii="Verdana" w:hAnsi="Verdana"/>
          <w:sz w:val="20"/>
          <w:lang w:val="pt-BR"/>
        </w:rPr>
        <w:t>velmente o próprio</w:t>
      </w:r>
      <w:r w:rsidR="004756C1" w:rsidRPr="002F50BD">
        <w:rPr>
          <w:rFonts w:ascii="Verdana" w:hAnsi="Verdana"/>
          <w:sz w:val="20"/>
          <w:lang w:val="pt-BR"/>
        </w:rPr>
        <w:t xml:space="preserve"> </w:t>
      </w:r>
      <w:r w:rsidRPr="002F50BD">
        <w:rPr>
          <w:rFonts w:ascii="Verdana" w:hAnsi="Verdana"/>
          <w:sz w:val="20"/>
          <w:lang w:val="pt-BR"/>
        </w:rPr>
        <w:t xml:space="preserve">direito à </w:t>
      </w:r>
      <w:r w:rsidR="004756C1" w:rsidRPr="002F50BD">
        <w:rPr>
          <w:rFonts w:ascii="Verdana" w:hAnsi="Verdana"/>
          <w:sz w:val="20"/>
          <w:lang w:val="pt-BR"/>
        </w:rPr>
        <w:t>vida</w:t>
      </w:r>
      <w:r w:rsidRPr="002F50BD">
        <w:rPr>
          <w:rFonts w:ascii="Verdana" w:hAnsi="Verdana"/>
          <w:sz w:val="20"/>
          <w:lang w:val="pt-BR"/>
        </w:rPr>
        <w:t xml:space="preserve"> dos membro</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 xml:space="preserve">referida </w:t>
      </w:r>
      <w:r w:rsidRPr="002F50BD">
        <w:rPr>
          <w:rFonts w:ascii="Verdana" w:hAnsi="Verdana"/>
          <w:sz w:val="20"/>
          <w:lang w:val="pt-BR"/>
        </w:rPr>
        <w:t xml:space="preserve">comunidade </w:t>
      </w:r>
      <w:r w:rsidR="004756C1" w:rsidRPr="002F50BD">
        <w:rPr>
          <w:rFonts w:ascii="Verdana" w:hAnsi="Verdana"/>
          <w:sz w:val="20"/>
          <w:lang w:val="pt-BR"/>
        </w:rPr>
        <w:t>indígena</w:t>
      </w:r>
      <w:r w:rsidR="00AB454A" w:rsidRPr="002F50BD">
        <w:rPr>
          <w:rFonts w:ascii="Verdana" w:hAnsi="Verdana"/>
          <w:sz w:val="20"/>
          <w:lang w:val="pt-BR"/>
        </w:rPr>
        <w:t xml:space="preserve">. A </w:t>
      </w:r>
      <w:r w:rsidR="00A157C9">
        <w:rPr>
          <w:rFonts w:ascii="Verdana" w:hAnsi="Verdana"/>
          <w:sz w:val="20"/>
          <w:lang w:val="pt-BR"/>
        </w:rPr>
        <w:t>prova</w:t>
      </w:r>
      <w:r w:rsidR="004756C1" w:rsidRPr="002F50BD">
        <w:rPr>
          <w:rFonts w:ascii="Verdana" w:hAnsi="Verdana"/>
          <w:sz w:val="20"/>
          <w:lang w:val="pt-BR"/>
        </w:rPr>
        <w:t xml:space="preserve"> pericial </w:t>
      </w:r>
      <w:r w:rsidRPr="002F50BD">
        <w:rPr>
          <w:rFonts w:ascii="Verdana" w:hAnsi="Verdana"/>
          <w:sz w:val="20"/>
          <w:lang w:val="pt-BR"/>
        </w:rPr>
        <w:t>produzid</w:t>
      </w:r>
      <w:r w:rsidR="004756C1" w:rsidRPr="002F50BD">
        <w:rPr>
          <w:rFonts w:ascii="Verdana" w:hAnsi="Verdana"/>
          <w:sz w:val="20"/>
          <w:lang w:val="pt-BR"/>
        </w:rPr>
        <w:t>a</w:t>
      </w:r>
      <w:r w:rsidRPr="002F50BD">
        <w:rPr>
          <w:rFonts w:ascii="Verdana" w:hAnsi="Verdana"/>
          <w:sz w:val="20"/>
          <w:lang w:val="pt-BR"/>
        </w:rPr>
        <w:t xml:space="preserve"> perante a </w:t>
      </w:r>
      <w:r w:rsidR="004756C1" w:rsidRPr="002F50BD">
        <w:rPr>
          <w:rFonts w:ascii="Verdana" w:hAnsi="Verdana"/>
          <w:sz w:val="20"/>
          <w:lang w:val="pt-BR"/>
        </w:rPr>
        <w:t>Corte</w:t>
      </w:r>
      <w:r w:rsidRPr="002F50BD">
        <w:rPr>
          <w:rFonts w:ascii="Verdana" w:hAnsi="Verdana"/>
          <w:sz w:val="20"/>
          <w:lang w:val="pt-BR"/>
        </w:rPr>
        <w:t xml:space="preserve"> na audiência</w:t>
      </w:r>
      <w:r w:rsidR="004756C1" w:rsidRPr="002F50BD">
        <w:rPr>
          <w:rFonts w:ascii="Verdana" w:hAnsi="Verdana"/>
          <w:sz w:val="20"/>
          <w:lang w:val="pt-BR"/>
        </w:rPr>
        <w:t xml:space="preserve"> pública </w:t>
      </w:r>
      <w:r w:rsidRPr="002F50BD">
        <w:rPr>
          <w:rFonts w:ascii="Verdana" w:hAnsi="Verdana"/>
          <w:sz w:val="20"/>
          <w:lang w:val="pt-BR"/>
        </w:rPr>
        <w:t>d</w:t>
      </w:r>
      <w:r w:rsidR="00794692" w:rsidRPr="002F50BD">
        <w:rPr>
          <w:rFonts w:ascii="Verdana" w:hAnsi="Verdana"/>
          <w:sz w:val="20"/>
          <w:lang w:val="pt-BR"/>
        </w:rPr>
        <w:t>e</w:t>
      </w:r>
      <w:r w:rsidRPr="002F50BD">
        <w:rPr>
          <w:rFonts w:ascii="Verdana" w:hAnsi="Verdana"/>
          <w:sz w:val="20"/>
          <w:lang w:val="pt-BR"/>
        </w:rPr>
        <w:t xml:space="preserve"> </w:t>
      </w:r>
      <w:r w:rsidR="00063B47" w:rsidRPr="002F50BD">
        <w:rPr>
          <w:rFonts w:ascii="Verdana" w:hAnsi="Verdana"/>
          <w:sz w:val="20"/>
          <w:lang w:val="pt-BR"/>
        </w:rPr>
        <w:t>04</w:t>
      </w:r>
      <w:r w:rsidR="004756C1" w:rsidRPr="002F50BD">
        <w:rPr>
          <w:rFonts w:ascii="Verdana" w:hAnsi="Verdana"/>
          <w:sz w:val="20"/>
          <w:lang w:val="pt-BR"/>
        </w:rPr>
        <w:t>.</w:t>
      </w:r>
      <w:r w:rsidR="00063B47" w:rsidRPr="002F50BD">
        <w:rPr>
          <w:rFonts w:ascii="Verdana" w:hAnsi="Verdana"/>
          <w:sz w:val="20"/>
          <w:lang w:val="pt-BR"/>
        </w:rPr>
        <w:t>03</w:t>
      </w:r>
      <w:r w:rsidR="004756C1" w:rsidRPr="002F50BD">
        <w:rPr>
          <w:rFonts w:ascii="Verdana" w:hAnsi="Verdana"/>
          <w:sz w:val="20"/>
          <w:lang w:val="pt-BR"/>
        </w:rPr>
        <w:t>.</w:t>
      </w:r>
      <w:r w:rsidR="00063B47" w:rsidRPr="002F50BD">
        <w:rPr>
          <w:rFonts w:ascii="Verdana" w:hAnsi="Verdana"/>
          <w:sz w:val="20"/>
          <w:lang w:val="pt-BR"/>
        </w:rPr>
        <w:t>2005</w:t>
      </w:r>
      <w:r w:rsidR="004756C1" w:rsidRPr="002F50BD">
        <w:rPr>
          <w:rFonts w:ascii="Verdana" w:hAnsi="Verdana"/>
          <w:sz w:val="20"/>
          <w:lang w:val="pt-BR"/>
        </w:rPr>
        <w:t xml:space="preserve"> </w:t>
      </w:r>
      <w:r w:rsidRPr="002F50BD">
        <w:rPr>
          <w:rFonts w:ascii="Verdana" w:hAnsi="Verdana"/>
          <w:sz w:val="20"/>
          <w:lang w:val="pt-BR"/>
        </w:rPr>
        <w:t>assinalou</w:t>
      </w:r>
      <w:r w:rsidR="004756C1" w:rsidRPr="002F50BD">
        <w:rPr>
          <w:rFonts w:ascii="Verdana" w:hAnsi="Verdana"/>
          <w:sz w:val="20"/>
          <w:lang w:val="pt-BR"/>
        </w:rPr>
        <w:t xml:space="preserve"> que</w:t>
      </w:r>
      <w:r w:rsidRPr="002F50BD">
        <w:rPr>
          <w:rFonts w:ascii="Verdana" w:hAnsi="Verdana"/>
          <w:sz w:val="20"/>
          <w:lang w:val="pt-BR"/>
        </w:rPr>
        <w:t xml:space="preserve"> os </w:t>
      </w:r>
      <w:r w:rsidR="004756C1" w:rsidRPr="002F50BD">
        <w:rPr>
          <w:rFonts w:ascii="Verdana" w:hAnsi="Verdana"/>
          <w:sz w:val="20"/>
          <w:lang w:val="pt-BR"/>
        </w:rPr>
        <w:t>únicos que “humanizar</w:t>
      </w:r>
      <w:r w:rsidR="00794692" w:rsidRPr="002F50BD">
        <w:rPr>
          <w:rFonts w:ascii="Verdana" w:hAnsi="Verdana"/>
          <w:sz w:val="20"/>
          <w:lang w:val="pt-BR"/>
        </w:rPr>
        <w:t>am</w:t>
      </w:r>
      <w:r w:rsidR="004756C1" w:rsidRPr="002F50BD">
        <w:rPr>
          <w:rFonts w:ascii="Verdana" w:hAnsi="Verdana"/>
          <w:sz w:val="20"/>
          <w:lang w:val="pt-BR"/>
        </w:rPr>
        <w:t>”</w:t>
      </w:r>
      <w:r w:rsidRPr="002F50BD">
        <w:rPr>
          <w:rFonts w:ascii="Verdana" w:hAnsi="Verdana"/>
          <w:sz w:val="20"/>
          <w:lang w:val="pt-BR"/>
        </w:rPr>
        <w:t xml:space="preserve"> a região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 xml:space="preserve">Chaco </w:t>
      </w:r>
      <w:r w:rsidRPr="002F50BD">
        <w:rPr>
          <w:rFonts w:ascii="Verdana" w:hAnsi="Verdana"/>
          <w:sz w:val="20"/>
          <w:lang w:val="pt-BR"/>
        </w:rPr>
        <w:t xml:space="preserve">foram os </w:t>
      </w:r>
      <w:r w:rsidR="00794692" w:rsidRPr="002F50BD">
        <w:rPr>
          <w:rFonts w:ascii="Verdana" w:hAnsi="Verdana"/>
          <w:sz w:val="20"/>
          <w:lang w:val="pt-BR"/>
        </w:rPr>
        <w:t xml:space="preserve">próprios </w:t>
      </w:r>
      <w:r w:rsidR="004756C1" w:rsidRPr="002F50BD">
        <w:rPr>
          <w:rFonts w:ascii="Verdana" w:hAnsi="Verdana"/>
          <w:sz w:val="20"/>
          <w:lang w:val="pt-BR"/>
        </w:rPr>
        <w:t>indígenas,</w:t>
      </w:r>
      <w:r w:rsidRPr="002F50BD">
        <w:rPr>
          <w:rFonts w:ascii="Verdana" w:hAnsi="Verdana"/>
          <w:sz w:val="20"/>
          <w:lang w:val="pt-BR"/>
        </w:rPr>
        <w:t xml:space="preserve"> com </w:t>
      </w:r>
      <w:r w:rsidR="005A6BC7" w:rsidRPr="002F50BD">
        <w:rPr>
          <w:rFonts w:ascii="Verdana" w:hAnsi="Verdana"/>
          <w:sz w:val="20"/>
          <w:lang w:val="pt-BR"/>
        </w:rPr>
        <w:t>sua cultura</w:t>
      </w:r>
      <w:r w:rsidR="004756C1" w:rsidRPr="002F50BD">
        <w:rPr>
          <w:rFonts w:ascii="Verdana" w:hAnsi="Verdana"/>
          <w:sz w:val="20"/>
          <w:lang w:val="pt-BR"/>
        </w:rPr>
        <w:t>, s</w:t>
      </w:r>
      <w:r w:rsidR="00794692" w:rsidRPr="002F50BD">
        <w:rPr>
          <w:rFonts w:ascii="Verdana" w:hAnsi="Verdana"/>
          <w:sz w:val="20"/>
          <w:lang w:val="pt-BR"/>
        </w:rPr>
        <w:t>e</w:t>
      </w:r>
      <w:r w:rsidR="004756C1" w:rsidRPr="002F50BD">
        <w:rPr>
          <w:rFonts w:ascii="Verdana" w:hAnsi="Verdana"/>
          <w:sz w:val="20"/>
          <w:lang w:val="pt-BR"/>
        </w:rPr>
        <w:t xml:space="preserve">u </w:t>
      </w:r>
      <w:r w:rsidR="004756C1" w:rsidRPr="002F50BD">
        <w:rPr>
          <w:rFonts w:ascii="Verdana" w:hAnsi="Verdana"/>
          <w:i/>
          <w:sz w:val="20"/>
          <w:lang w:val="pt-BR"/>
        </w:rPr>
        <w:t>modus vivendi</w:t>
      </w:r>
      <w:r w:rsidR="004756C1" w:rsidRPr="002F50BD">
        <w:rPr>
          <w:rFonts w:ascii="Verdana" w:hAnsi="Verdana"/>
          <w:sz w:val="20"/>
          <w:lang w:val="pt-BR"/>
        </w:rPr>
        <w:t xml:space="preserve">, </w:t>
      </w:r>
      <w:r w:rsidRPr="002F50BD">
        <w:rPr>
          <w:rFonts w:ascii="Verdana" w:hAnsi="Verdana"/>
          <w:sz w:val="20"/>
          <w:lang w:val="pt-BR"/>
        </w:rPr>
        <w:t>sua forma</w:t>
      </w:r>
      <w:r w:rsidR="004756C1" w:rsidRPr="002F50BD">
        <w:rPr>
          <w:rFonts w:ascii="Verdana" w:hAnsi="Verdana"/>
          <w:sz w:val="20"/>
          <w:lang w:val="pt-BR"/>
        </w:rPr>
        <w:t xml:space="preserve"> de auto-organiza</w:t>
      </w:r>
      <w:r w:rsidRPr="002F50BD">
        <w:rPr>
          <w:rFonts w:ascii="Verdana" w:hAnsi="Verdana"/>
          <w:sz w:val="20"/>
          <w:lang w:val="pt-BR"/>
        </w:rPr>
        <w:t>ção</w:t>
      </w:r>
      <w:r w:rsidR="004756C1" w:rsidRPr="002F50BD">
        <w:rPr>
          <w:rFonts w:ascii="Verdana" w:hAnsi="Verdana"/>
          <w:sz w:val="20"/>
          <w:lang w:val="pt-BR"/>
        </w:rPr>
        <w:t>.</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19</w:t>
      </w:r>
      <w:r w:rsidR="00794692" w:rsidRPr="002F50BD">
        <w:rPr>
          <w:rFonts w:ascii="Verdana" w:hAnsi="Verdana"/>
          <w:sz w:val="20"/>
          <w:lang w:val="pt-BR"/>
        </w:rPr>
        <w:t>.</w:t>
      </w:r>
      <w:r w:rsidR="00794692" w:rsidRPr="002F50BD">
        <w:rPr>
          <w:rFonts w:ascii="Verdana" w:hAnsi="Verdana"/>
          <w:sz w:val="20"/>
          <w:lang w:val="pt-BR"/>
        </w:rPr>
        <w:tab/>
        <w:t>Em</w:t>
      </w:r>
      <w:r w:rsidR="004756C1" w:rsidRPr="002F50BD">
        <w:rPr>
          <w:rFonts w:ascii="Verdana" w:hAnsi="Verdana"/>
          <w:sz w:val="20"/>
          <w:lang w:val="pt-BR"/>
        </w:rPr>
        <w:t xml:space="preserve"> s</w:t>
      </w:r>
      <w:r w:rsidR="00794692" w:rsidRPr="002F50BD">
        <w:rPr>
          <w:rFonts w:ascii="Verdana" w:hAnsi="Verdana"/>
          <w:sz w:val="20"/>
          <w:lang w:val="pt-BR"/>
        </w:rPr>
        <w:t>e</w:t>
      </w:r>
      <w:r w:rsidR="004756C1" w:rsidRPr="002F50BD">
        <w:rPr>
          <w:rFonts w:ascii="Verdana" w:hAnsi="Verdana"/>
          <w:sz w:val="20"/>
          <w:lang w:val="pt-BR"/>
        </w:rPr>
        <w:t xml:space="preserve">u </w:t>
      </w:r>
      <w:r w:rsidR="0089298C" w:rsidRPr="002F50BD">
        <w:rPr>
          <w:rFonts w:ascii="Verdana" w:hAnsi="Verdana"/>
          <w:sz w:val="20"/>
          <w:lang w:val="pt-BR"/>
        </w:rPr>
        <w:t>deslocamento</w:t>
      </w:r>
      <w:r w:rsidR="004756C1" w:rsidRPr="002F50BD">
        <w:rPr>
          <w:rFonts w:ascii="Verdana" w:hAnsi="Verdana"/>
          <w:sz w:val="20"/>
          <w:lang w:val="pt-BR"/>
        </w:rPr>
        <w:t>,</w:t>
      </w:r>
      <w:r w:rsidR="0089298C" w:rsidRPr="002F50BD">
        <w:rPr>
          <w:rFonts w:ascii="Verdana" w:hAnsi="Verdana"/>
          <w:sz w:val="20"/>
          <w:lang w:val="pt-BR"/>
        </w:rPr>
        <w:t xml:space="preserve"> em anos</w:t>
      </w:r>
      <w:r w:rsidR="004756C1" w:rsidRPr="002F50BD">
        <w:rPr>
          <w:rFonts w:ascii="Verdana" w:hAnsi="Verdana"/>
          <w:sz w:val="20"/>
          <w:lang w:val="pt-BR"/>
        </w:rPr>
        <w:t xml:space="preserve"> </w:t>
      </w:r>
      <w:r w:rsidR="0089298C" w:rsidRPr="002F50BD">
        <w:rPr>
          <w:rFonts w:ascii="Verdana" w:hAnsi="Verdana"/>
          <w:sz w:val="20"/>
          <w:lang w:val="pt-BR"/>
        </w:rPr>
        <w:t>recente</w:t>
      </w:r>
      <w:r w:rsidR="004756C1" w:rsidRPr="002F50BD">
        <w:rPr>
          <w:rFonts w:ascii="Verdana" w:hAnsi="Verdana"/>
          <w:sz w:val="20"/>
          <w:lang w:val="pt-BR"/>
        </w:rPr>
        <w:t>s, de su</w:t>
      </w:r>
      <w:r w:rsidR="00794692" w:rsidRPr="002F50BD">
        <w:rPr>
          <w:rFonts w:ascii="Verdana" w:hAnsi="Verdana"/>
          <w:sz w:val="20"/>
          <w:lang w:val="pt-BR"/>
        </w:rPr>
        <w:t>a</w:t>
      </w:r>
      <w:r w:rsidR="004756C1" w:rsidRPr="002F50BD">
        <w:rPr>
          <w:rFonts w:ascii="Verdana" w:hAnsi="Verdana"/>
          <w:sz w:val="20"/>
          <w:lang w:val="pt-BR"/>
        </w:rPr>
        <w:t>s “</w:t>
      </w:r>
      <w:r w:rsidR="0089298C" w:rsidRPr="002F50BD">
        <w:rPr>
          <w:rFonts w:ascii="Verdana" w:hAnsi="Verdana"/>
          <w:sz w:val="20"/>
          <w:lang w:val="pt-BR"/>
        </w:rPr>
        <w:t>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4756C1" w:rsidRPr="002F50BD">
        <w:rPr>
          <w:rFonts w:ascii="Verdana" w:hAnsi="Verdana"/>
          <w:sz w:val="20"/>
          <w:lang w:val="pt-BR"/>
        </w:rPr>
        <w:t>”,</w:t>
      </w:r>
      <w:r w:rsidR="0089298C" w:rsidRPr="002F50BD">
        <w:rPr>
          <w:rFonts w:ascii="Verdana" w:hAnsi="Verdana"/>
          <w:sz w:val="20"/>
          <w:lang w:val="pt-BR"/>
        </w:rPr>
        <w:t xml:space="preserve"> uma comunidade </w:t>
      </w:r>
      <w:r w:rsidR="004756C1" w:rsidRPr="002F50BD">
        <w:rPr>
          <w:rFonts w:ascii="Verdana" w:hAnsi="Verdana"/>
          <w:sz w:val="20"/>
          <w:lang w:val="pt-BR"/>
        </w:rPr>
        <w:t>indígena como</w:t>
      </w:r>
      <w:r w:rsidR="0089298C" w:rsidRPr="002F50BD">
        <w:rPr>
          <w:rFonts w:ascii="Verdana" w:hAnsi="Verdana"/>
          <w:sz w:val="20"/>
          <w:lang w:val="pt-BR"/>
        </w:rPr>
        <w:t xml:space="preserve"> a </w:t>
      </w:r>
      <w:r w:rsidR="004756C1" w:rsidRPr="002F50BD">
        <w:rPr>
          <w:rFonts w:ascii="Verdana" w:hAnsi="Verdana"/>
          <w:sz w:val="20"/>
          <w:lang w:val="pt-BR"/>
        </w:rPr>
        <w:t xml:space="preserve">de Yakye Axa </w:t>
      </w:r>
      <w:r w:rsidR="0089298C" w:rsidRPr="002F50BD">
        <w:rPr>
          <w:rFonts w:ascii="Verdana" w:hAnsi="Verdana"/>
          <w:sz w:val="20"/>
          <w:lang w:val="pt-BR"/>
        </w:rPr>
        <w:t>tem sua identidade</w:t>
      </w:r>
      <w:r w:rsidR="0089298C" w:rsidRPr="002F50BD">
        <w:rPr>
          <w:rFonts w:ascii="Verdana" w:hAnsi="Verdana"/>
          <w:i/>
          <w:sz w:val="20"/>
          <w:lang w:val="pt-BR"/>
        </w:rPr>
        <w:t xml:space="preserve"> </w:t>
      </w:r>
      <w:r w:rsidR="004756C1" w:rsidRPr="002F50BD">
        <w:rPr>
          <w:rFonts w:ascii="Verdana" w:hAnsi="Verdana"/>
          <w:i/>
          <w:sz w:val="20"/>
          <w:lang w:val="pt-BR"/>
        </w:rPr>
        <w:t>cultural</w:t>
      </w:r>
      <w:r w:rsidR="004756C1" w:rsidRPr="002F50BD">
        <w:rPr>
          <w:rFonts w:ascii="Verdana" w:hAnsi="Verdana"/>
          <w:sz w:val="20"/>
          <w:lang w:val="pt-BR"/>
        </w:rPr>
        <w:t xml:space="preserve"> seriamente </w:t>
      </w:r>
      <w:r w:rsidR="0089298C" w:rsidRPr="002F50BD">
        <w:rPr>
          <w:rFonts w:ascii="Verdana" w:hAnsi="Verdana"/>
          <w:sz w:val="20"/>
          <w:lang w:val="pt-BR"/>
        </w:rPr>
        <w:t>afeta</w:t>
      </w:r>
      <w:r w:rsidR="004756C1" w:rsidRPr="002F50BD">
        <w:rPr>
          <w:rFonts w:ascii="Verdana" w:hAnsi="Verdana"/>
          <w:sz w:val="20"/>
          <w:lang w:val="pt-BR"/>
        </w:rPr>
        <w:t xml:space="preserve">da, </w:t>
      </w:r>
      <w:r w:rsidR="00794692" w:rsidRPr="002F50BD">
        <w:rPr>
          <w:rFonts w:ascii="Verdana" w:hAnsi="Verdana"/>
          <w:sz w:val="20"/>
          <w:lang w:val="pt-BR"/>
        </w:rPr>
        <w:t xml:space="preserve">além </w:t>
      </w:r>
      <w:r w:rsidR="0089298C" w:rsidRPr="002F50BD">
        <w:rPr>
          <w:rFonts w:ascii="Verdana" w:hAnsi="Verdana"/>
          <w:sz w:val="20"/>
          <w:lang w:val="pt-BR"/>
        </w:rPr>
        <w:t>do próprio</w:t>
      </w:r>
      <w:r w:rsidR="004756C1" w:rsidRPr="002F50BD">
        <w:rPr>
          <w:rFonts w:ascii="Verdana" w:hAnsi="Verdana"/>
          <w:sz w:val="20"/>
          <w:lang w:val="pt-BR"/>
        </w:rPr>
        <w:t xml:space="preserve"> </w:t>
      </w:r>
      <w:r w:rsidR="0089298C" w:rsidRPr="002F50BD">
        <w:rPr>
          <w:rFonts w:ascii="Verdana" w:hAnsi="Verdana"/>
          <w:sz w:val="20"/>
          <w:lang w:val="pt-BR"/>
        </w:rPr>
        <w:t xml:space="preserve">direito à </w:t>
      </w:r>
      <w:r w:rsidR="004756C1" w:rsidRPr="002F50BD">
        <w:rPr>
          <w:rFonts w:ascii="Verdana" w:hAnsi="Verdana"/>
          <w:sz w:val="20"/>
          <w:lang w:val="pt-BR"/>
        </w:rPr>
        <w:t xml:space="preserve">vida de </w:t>
      </w:r>
      <w:r w:rsidR="00AB454A" w:rsidRPr="002F50BD">
        <w:rPr>
          <w:rFonts w:ascii="Verdana" w:hAnsi="Verdana"/>
          <w:sz w:val="20"/>
          <w:lang w:val="pt-BR"/>
        </w:rPr>
        <w:t>seus membros</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Como </w:t>
      </w:r>
      <w:r w:rsidR="0089298C" w:rsidRPr="002F50BD">
        <w:rPr>
          <w:rFonts w:ascii="Verdana" w:hAnsi="Verdana"/>
          <w:sz w:val="20"/>
          <w:lang w:val="pt-BR"/>
        </w:rPr>
        <w:t>afirmou a Comissão</w:t>
      </w:r>
      <w:r w:rsidR="004756C1" w:rsidRPr="002F50BD">
        <w:rPr>
          <w:rFonts w:ascii="Verdana" w:hAnsi="Verdana"/>
          <w:sz w:val="20"/>
          <w:lang w:val="pt-BR"/>
        </w:rPr>
        <w:t xml:space="preserve"> Interamericana de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na audiência</w:t>
      </w:r>
      <w:r w:rsidR="004756C1" w:rsidRPr="002F50BD">
        <w:rPr>
          <w:rFonts w:ascii="Verdana" w:hAnsi="Verdana"/>
          <w:sz w:val="20"/>
          <w:lang w:val="pt-BR"/>
        </w:rPr>
        <w:t xml:space="preserve"> pública </w:t>
      </w:r>
      <w:r w:rsidR="0089298C" w:rsidRPr="002F50BD">
        <w:rPr>
          <w:rFonts w:ascii="Verdana" w:hAnsi="Verdana"/>
          <w:sz w:val="20"/>
          <w:lang w:val="pt-BR"/>
        </w:rPr>
        <w:t>d</w:t>
      </w:r>
      <w:r w:rsidR="00794692" w:rsidRPr="002F50BD">
        <w:rPr>
          <w:rFonts w:ascii="Verdana" w:hAnsi="Verdana"/>
          <w:sz w:val="20"/>
          <w:lang w:val="pt-BR"/>
        </w:rPr>
        <w:t>e</w:t>
      </w:r>
      <w:r w:rsidR="0089298C" w:rsidRPr="002F50BD">
        <w:rPr>
          <w:rFonts w:ascii="Verdana" w:hAnsi="Verdana"/>
          <w:sz w:val="20"/>
          <w:lang w:val="pt-BR"/>
        </w:rPr>
        <w:t xml:space="preserve"> </w:t>
      </w:r>
      <w:r w:rsidRPr="002F50BD">
        <w:rPr>
          <w:rFonts w:ascii="Verdana" w:hAnsi="Verdana"/>
          <w:sz w:val="20"/>
          <w:lang w:val="pt-BR"/>
        </w:rPr>
        <w:t>05</w:t>
      </w:r>
      <w:r w:rsidR="004756C1" w:rsidRPr="002F50BD">
        <w:rPr>
          <w:rFonts w:ascii="Verdana" w:hAnsi="Verdana"/>
          <w:sz w:val="20"/>
          <w:lang w:val="pt-BR"/>
        </w:rPr>
        <w:t>.</w:t>
      </w:r>
      <w:r w:rsidRPr="002F50BD">
        <w:rPr>
          <w:rFonts w:ascii="Verdana" w:hAnsi="Verdana"/>
          <w:sz w:val="20"/>
          <w:lang w:val="pt-BR"/>
        </w:rPr>
        <w:t>03</w:t>
      </w:r>
      <w:r w:rsidR="004756C1" w:rsidRPr="002F50BD">
        <w:rPr>
          <w:rFonts w:ascii="Verdana" w:hAnsi="Verdana"/>
          <w:sz w:val="20"/>
          <w:lang w:val="pt-BR"/>
        </w:rPr>
        <w:t>.</w:t>
      </w:r>
      <w:r w:rsidRPr="002F50BD">
        <w:rPr>
          <w:rFonts w:ascii="Verdana" w:hAnsi="Verdana"/>
          <w:sz w:val="20"/>
          <w:lang w:val="pt-BR"/>
        </w:rPr>
        <w:t>2005</w:t>
      </w:r>
      <w:r w:rsidR="004756C1" w:rsidRPr="002F50BD">
        <w:rPr>
          <w:rFonts w:ascii="Verdana" w:hAnsi="Verdana"/>
          <w:sz w:val="20"/>
          <w:lang w:val="pt-BR"/>
        </w:rPr>
        <w:t xml:space="preserve"> </w:t>
      </w:r>
      <w:r w:rsidR="00794692" w:rsidRPr="002F50BD">
        <w:rPr>
          <w:rFonts w:ascii="Verdana" w:hAnsi="Verdana"/>
          <w:sz w:val="20"/>
          <w:lang w:val="pt-BR"/>
        </w:rPr>
        <w:t>per</w:t>
      </w:r>
      <w:r w:rsidR="004756C1" w:rsidRPr="002F50BD">
        <w:rPr>
          <w:rFonts w:ascii="Verdana" w:hAnsi="Verdana"/>
          <w:sz w:val="20"/>
          <w:lang w:val="pt-BR"/>
        </w:rPr>
        <w:t>ante esta Corte, -</w:t>
      </w:r>
      <w:r w:rsidR="0089298C" w:rsidRPr="002F50BD">
        <w:rPr>
          <w:rFonts w:ascii="Verdana" w:hAnsi="Verdana"/>
          <w:sz w:val="20"/>
          <w:lang w:val="pt-BR"/>
        </w:rPr>
        <w:t xml:space="preserve"> sem ter</w:t>
      </w:r>
      <w:r w:rsidR="004756C1" w:rsidRPr="002F50BD">
        <w:rPr>
          <w:rFonts w:ascii="Verdana" w:hAnsi="Verdana"/>
          <w:sz w:val="20"/>
          <w:lang w:val="pt-BR"/>
        </w:rPr>
        <w:t xml:space="preserve"> sido controvertida</w:t>
      </w:r>
      <w:r w:rsidR="0089298C" w:rsidRPr="002F50BD">
        <w:rPr>
          <w:rFonts w:ascii="Verdana" w:hAnsi="Verdana"/>
          <w:sz w:val="20"/>
          <w:lang w:val="pt-BR"/>
        </w:rPr>
        <w:t xml:space="preserve"> pelo </w:t>
      </w:r>
      <w:r w:rsidR="004756C1" w:rsidRPr="002F50BD">
        <w:rPr>
          <w:rFonts w:ascii="Verdana" w:hAnsi="Verdana"/>
          <w:sz w:val="20"/>
          <w:lang w:val="pt-BR"/>
        </w:rPr>
        <w:t xml:space="preserve">Estado, - como </w:t>
      </w:r>
      <w:r w:rsidR="0089298C" w:rsidRPr="002F50BD">
        <w:rPr>
          <w:rFonts w:ascii="Verdana" w:hAnsi="Verdana"/>
          <w:sz w:val="20"/>
          <w:lang w:val="pt-BR"/>
        </w:rPr>
        <w:t xml:space="preserve">consequência da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supracitada,</w:t>
      </w:r>
      <w:r w:rsidR="0089298C" w:rsidRPr="002F50BD">
        <w:rPr>
          <w:rFonts w:ascii="Verdana" w:hAnsi="Verdana"/>
          <w:sz w:val="20"/>
          <w:lang w:val="pt-BR"/>
        </w:rPr>
        <w:t xml:space="preserve"> </w:t>
      </w:r>
      <w:r w:rsidR="005A6BC7" w:rsidRPr="002F50BD">
        <w:rPr>
          <w:rFonts w:ascii="Verdana" w:hAnsi="Verdana"/>
          <w:sz w:val="20"/>
          <w:lang w:val="pt-BR"/>
        </w:rPr>
        <w:t>as crianças</w:t>
      </w:r>
      <w:r w:rsidR="004756C1" w:rsidRPr="002F50BD">
        <w:rPr>
          <w:rFonts w:ascii="Verdana" w:hAnsi="Verdana"/>
          <w:sz w:val="20"/>
          <w:lang w:val="pt-BR"/>
        </w:rPr>
        <w:t>,</w:t>
      </w:r>
      <w:r w:rsidR="0089298C" w:rsidRPr="002F50BD">
        <w:rPr>
          <w:rFonts w:ascii="Verdana" w:hAnsi="Verdana"/>
          <w:sz w:val="20"/>
          <w:lang w:val="pt-BR"/>
        </w:rPr>
        <w:t xml:space="preserve"> na Comunidade </w:t>
      </w:r>
      <w:r w:rsidR="004756C1" w:rsidRPr="002F50BD">
        <w:rPr>
          <w:rFonts w:ascii="Verdana" w:hAnsi="Verdana"/>
          <w:sz w:val="20"/>
          <w:lang w:val="pt-BR"/>
        </w:rPr>
        <w:t>Yakye Axa, na</w:t>
      </w:r>
      <w:r w:rsidR="00794692" w:rsidRPr="002F50BD">
        <w:rPr>
          <w:rFonts w:ascii="Verdana" w:hAnsi="Verdana"/>
          <w:sz w:val="20"/>
          <w:lang w:val="pt-BR"/>
        </w:rPr>
        <w:t>s</w:t>
      </w:r>
      <w:r w:rsidR="004756C1" w:rsidRPr="002F50BD">
        <w:rPr>
          <w:rFonts w:ascii="Verdana" w:hAnsi="Verdana"/>
          <w:sz w:val="20"/>
          <w:lang w:val="pt-BR"/>
        </w:rPr>
        <w:t>ce</w:t>
      </w:r>
      <w:r w:rsidR="00794692" w:rsidRPr="002F50BD">
        <w:rPr>
          <w:rFonts w:ascii="Verdana" w:hAnsi="Verdana"/>
          <w:sz w:val="20"/>
          <w:lang w:val="pt-BR"/>
        </w:rPr>
        <w:t>m</w:t>
      </w:r>
      <w:r w:rsidR="004756C1" w:rsidRPr="002F50BD">
        <w:rPr>
          <w:rFonts w:ascii="Verdana" w:hAnsi="Verdana"/>
          <w:sz w:val="20"/>
          <w:lang w:val="pt-BR"/>
        </w:rPr>
        <w:t xml:space="preserve"> predestinad</w:t>
      </w:r>
      <w:r w:rsidR="00794692" w:rsidRPr="002F50BD">
        <w:rPr>
          <w:rFonts w:ascii="Verdana" w:hAnsi="Verdana"/>
          <w:sz w:val="20"/>
          <w:lang w:val="pt-BR"/>
        </w:rPr>
        <w:t>a</w:t>
      </w:r>
      <w:r w:rsidR="004756C1" w:rsidRPr="002F50BD">
        <w:rPr>
          <w:rFonts w:ascii="Verdana" w:hAnsi="Verdana"/>
          <w:sz w:val="20"/>
          <w:lang w:val="pt-BR"/>
        </w:rPr>
        <w:t>s</w:t>
      </w:r>
      <w:r w:rsidR="0089298C" w:rsidRPr="002F50BD">
        <w:rPr>
          <w:rFonts w:ascii="Verdana" w:hAnsi="Verdana"/>
          <w:sz w:val="20"/>
          <w:lang w:val="pt-BR"/>
        </w:rPr>
        <w:t xml:space="preserve"> </w:t>
      </w:r>
      <w:r w:rsidR="00A157C9">
        <w:rPr>
          <w:rFonts w:ascii="Verdana" w:hAnsi="Verdana"/>
          <w:sz w:val="20"/>
          <w:lang w:val="pt-BR"/>
        </w:rPr>
        <w:t>a</w:t>
      </w:r>
      <w:r w:rsidR="0089298C" w:rsidRPr="002F50BD">
        <w:rPr>
          <w:rFonts w:ascii="Verdana" w:hAnsi="Verdana"/>
          <w:sz w:val="20"/>
          <w:lang w:val="pt-BR"/>
        </w:rPr>
        <w:t xml:space="preserve"> </w:t>
      </w:r>
      <w:r w:rsidR="00367FD1" w:rsidRPr="002F50BD">
        <w:rPr>
          <w:rFonts w:ascii="Verdana" w:hAnsi="Verdana"/>
          <w:sz w:val="20"/>
          <w:lang w:val="pt-BR"/>
        </w:rPr>
        <w:t>doenças</w:t>
      </w:r>
      <w:r w:rsidR="004756C1" w:rsidRPr="002F50BD">
        <w:rPr>
          <w:rFonts w:ascii="Verdana" w:hAnsi="Verdana"/>
          <w:sz w:val="20"/>
          <w:lang w:val="pt-BR"/>
        </w:rPr>
        <w:t>,</w:t>
      </w:r>
      <w:r w:rsidR="0089298C" w:rsidRPr="002F50BD">
        <w:rPr>
          <w:rFonts w:ascii="Verdana" w:hAnsi="Verdana"/>
          <w:sz w:val="20"/>
          <w:lang w:val="pt-BR"/>
        </w:rPr>
        <w:t xml:space="preserve"> à </w:t>
      </w:r>
      <w:r w:rsidR="004756C1" w:rsidRPr="002F50BD">
        <w:rPr>
          <w:rFonts w:ascii="Verdana" w:hAnsi="Verdana"/>
          <w:sz w:val="20"/>
          <w:lang w:val="pt-BR"/>
        </w:rPr>
        <w:t xml:space="preserve">falta de </w:t>
      </w:r>
      <w:r w:rsidR="0089298C" w:rsidRPr="002F50BD">
        <w:rPr>
          <w:rFonts w:ascii="Verdana" w:hAnsi="Verdana"/>
          <w:sz w:val="20"/>
          <w:lang w:val="pt-BR"/>
        </w:rPr>
        <w:t xml:space="preserve">acesso </w:t>
      </w:r>
      <w:r w:rsidR="000939CC"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educa</w:t>
      </w:r>
      <w:r w:rsidR="0089298C" w:rsidRPr="002F50BD">
        <w:rPr>
          <w:rFonts w:ascii="Verdana" w:hAnsi="Verdana"/>
          <w:sz w:val="20"/>
          <w:lang w:val="pt-BR"/>
        </w:rPr>
        <w:t xml:space="preserve">ção e à </w:t>
      </w:r>
      <w:r w:rsidR="00794692" w:rsidRPr="002F50BD">
        <w:rPr>
          <w:rFonts w:ascii="Verdana" w:hAnsi="Verdana"/>
          <w:sz w:val="20"/>
          <w:lang w:val="pt-BR"/>
        </w:rPr>
        <w:t>servidão</w:t>
      </w:r>
      <w:r w:rsidR="001A0CDE" w:rsidRPr="002F50BD">
        <w:rPr>
          <w:rFonts w:ascii="Verdana" w:hAnsi="Verdana"/>
          <w:sz w:val="20"/>
          <w:lang w:val="pt-BR"/>
        </w:rPr>
        <w:t xml:space="preserve">. </w:t>
      </w:r>
      <w:r w:rsidR="00794692" w:rsidRPr="002F50BD">
        <w:rPr>
          <w:rFonts w:ascii="Verdana" w:hAnsi="Verdana"/>
          <w:sz w:val="20"/>
          <w:lang w:val="pt-BR"/>
        </w:rPr>
        <w:t>Is</w:t>
      </w:r>
      <w:r w:rsidR="00A157C9">
        <w:rPr>
          <w:rFonts w:ascii="Verdana" w:hAnsi="Verdana"/>
          <w:sz w:val="20"/>
          <w:lang w:val="pt-BR"/>
        </w:rPr>
        <w:t>s</w:t>
      </w:r>
      <w:r w:rsidR="00794692" w:rsidRPr="002F50BD">
        <w:rPr>
          <w:rFonts w:ascii="Verdana" w:hAnsi="Verdana"/>
          <w:sz w:val="20"/>
          <w:lang w:val="pt-BR"/>
        </w:rPr>
        <w:t>o</w:t>
      </w:r>
      <w:r w:rsidR="004756C1" w:rsidRPr="002F50BD">
        <w:rPr>
          <w:rFonts w:ascii="Verdana" w:hAnsi="Verdana"/>
          <w:sz w:val="20"/>
          <w:lang w:val="pt-BR"/>
        </w:rPr>
        <w:t>,</w:t>
      </w:r>
      <w:r w:rsidR="0089298C" w:rsidRPr="002F50BD">
        <w:rPr>
          <w:rFonts w:ascii="Verdana" w:hAnsi="Verdana"/>
          <w:sz w:val="20"/>
          <w:lang w:val="pt-BR"/>
        </w:rPr>
        <w:t xml:space="preserve"> em nosso</w:t>
      </w:r>
      <w:r w:rsidR="004756C1" w:rsidRPr="002F50BD">
        <w:rPr>
          <w:rFonts w:ascii="Verdana" w:hAnsi="Verdana"/>
          <w:sz w:val="20"/>
          <w:lang w:val="pt-BR"/>
        </w:rPr>
        <w:t xml:space="preserve"> entender, </w:t>
      </w:r>
      <w:r w:rsidR="0089298C" w:rsidRPr="002F50BD">
        <w:rPr>
          <w:rFonts w:ascii="Verdana" w:hAnsi="Verdana"/>
          <w:sz w:val="20"/>
          <w:lang w:val="pt-BR"/>
        </w:rPr>
        <w:t>constitui</w:t>
      </w:r>
      <w:r w:rsidR="004756C1" w:rsidRPr="002F50BD">
        <w:rPr>
          <w:rFonts w:ascii="Verdana" w:hAnsi="Verdana"/>
          <w:sz w:val="20"/>
          <w:lang w:val="pt-BR"/>
        </w:rPr>
        <w:t xml:space="preserve"> claramente </w:t>
      </w:r>
      <w:r w:rsidR="004756C1" w:rsidRPr="002F50BD">
        <w:rPr>
          <w:rFonts w:ascii="Verdana" w:hAnsi="Verdana"/>
          <w:i/>
          <w:sz w:val="20"/>
          <w:lang w:val="pt-BR"/>
        </w:rPr>
        <w:t>per se</w:t>
      </w:r>
      <w:r w:rsidR="0089298C" w:rsidRPr="002F50BD">
        <w:rPr>
          <w:rFonts w:ascii="Verdana" w:hAnsi="Verdana"/>
          <w:sz w:val="20"/>
          <w:lang w:val="pt-BR"/>
        </w:rPr>
        <w:t xml:space="preserve"> uma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vida.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20</w:t>
      </w:r>
      <w:r w:rsidR="00794692" w:rsidRPr="002F50BD">
        <w:rPr>
          <w:rFonts w:ascii="Verdana" w:hAnsi="Verdana"/>
          <w:sz w:val="20"/>
          <w:lang w:val="pt-BR"/>
        </w:rPr>
        <w:t>.</w:t>
      </w:r>
      <w:r w:rsidR="00794692" w:rsidRPr="002F50BD">
        <w:rPr>
          <w:rFonts w:ascii="Verdana" w:hAnsi="Verdana"/>
          <w:sz w:val="20"/>
          <w:lang w:val="pt-BR"/>
        </w:rPr>
        <w:tab/>
      </w:r>
      <w:r w:rsidR="00243D2E"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nosso</w:t>
      </w:r>
      <w:r w:rsidR="004756C1" w:rsidRPr="002F50BD">
        <w:rPr>
          <w:rFonts w:ascii="Verdana" w:hAnsi="Verdana"/>
          <w:sz w:val="20"/>
          <w:lang w:val="pt-BR"/>
        </w:rPr>
        <w:t xml:space="preserve"> </w:t>
      </w:r>
      <w:r w:rsidR="0089298C" w:rsidRPr="002F50BD">
        <w:rPr>
          <w:rFonts w:ascii="Verdana" w:hAnsi="Verdana"/>
          <w:sz w:val="20"/>
          <w:lang w:val="pt-BR"/>
        </w:rPr>
        <w:t>juízo</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794692" w:rsidRPr="002F50BD">
        <w:rPr>
          <w:rFonts w:ascii="Verdana" w:hAnsi="Verdana"/>
          <w:sz w:val="20"/>
          <w:lang w:val="pt-BR"/>
        </w:rPr>
        <w:t xml:space="preserve">devia ter justificado mais a fundo </w:t>
      </w:r>
      <w:r w:rsidR="004756C1" w:rsidRPr="002F50BD">
        <w:rPr>
          <w:rFonts w:ascii="Verdana" w:hAnsi="Verdana"/>
          <w:sz w:val="20"/>
          <w:lang w:val="pt-BR"/>
        </w:rPr>
        <w:t>sobre</w:t>
      </w:r>
      <w:r w:rsidR="0089298C" w:rsidRPr="002F50BD">
        <w:rPr>
          <w:rFonts w:ascii="Verdana" w:hAnsi="Verdana"/>
          <w:sz w:val="20"/>
          <w:lang w:val="pt-BR"/>
        </w:rPr>
        <w:t xml:space="preserve"> 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 xml:space="preserve">vida, como o </w:t>
      </w:r>
      <w:r w:rsidR="0089298C" w:rsidRPr="002F50BD">
        <w:rPr>
          <w:rFonts w:ascii="Verdana" w:hAnsi="Verdana"/>
          <w:sz w:val="20"/>
          <w:lang w:val="pt-BR"/>
        </w:rPr>
        <w:t xml:space="preserve">fez em </w:t>
      </w:r>
      <w:r w:rsidR="004756C1" w:rsidRPr="002F50BD">
        <w:rPr>
          <w:rFonts w:ascii="Verdana" w:hAnsi="Verdana"/>
          <w:sz w:val="20"/>
          <w:lang w:val="pt-BR"/>
        </w:rPr>
        <w:t>rela</w:t>
      </w:r>
      <w:r w:rsidR="0089298C" w:rsidRPr="002F50BD">
        <w:rPr>
          <w:rFonts w:ascii="Verdana" w:hAnsi="Verdana"/>
          <w:sz w:val="20"/>
          <w:lang w:val="pt-BR"/>
        </w:rPr>
        <w:t xml:space="preserve">ção </w:t>
      </w:r>
      <w:r w:rsidR="00794692" w:rsidRPr="002F50BD">
        <w:rPr>
          <w:rFonts w:ascii="Verdana" w:hAnsi="Verdana"/>
          <w:sz w:val="20"/>
          <w:lang w:val="pt-BR"/>
        </w:rPr>
        <w:t>a</w:t>
      </w:r>
      <w:r w:rsidR="0089298C" w:rsidRPr="002F50BD">
        <w:rPr>
          <w:rFonts w:ascii="Verdana" w:hAnsi="Verdana"/>
          <w:sz w:val="20"/>
          <w:lang w:val="pt-BR"/>
        </w:rPr>
        <w:t>o direito à propriedade</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 xml:space="preserve">de </w:t>
      </w:r>
      <w:r w:rsidR="0089298C" w:rsidRPr="002F50BD">
        <w:rPr>
          <w:rFonts w:ascii="Verdana" w:hAnsi="Verdana"/>
          <w:sz w:val="20"/>
          <w:lang w:val="pt-BR"/>
        </w:rPr>
        <w:t>terra</w:t>
      </w:r>
      <w:r w:rsidR="004756C1" w:rsidRPr="002F50BD">
        <w:rPr>
          <w:rFonts w:ascii="Verdana" w:hAnsi="Verdana"/>
          <w:sz w:val="20"/>
          <w:lang w:val="pt-BR"/>
        </w:rPr>
        <w:t xml:space="preserve">s </w:t>
      </w:r>
      <w:r w:rsidR="00AB454A" w:rsidRPr="002F50BD">
        <w:rPr>
          <w:rFonts w:ascii="Verdana" w:hAnsi="Verdana"/>
          <w:sz w:val="20"/>
          <w:lang w:val="pt-BR"/>
        </w:rPr>
        <w:t>ancestrais</w:t>
      </w:r>
      <w:r w:rsidR="00CF451D" w:rsidRPr="00CF451D">
        <w:rPr>
          <w:rFonts w:ascii="Verdana" w:hAnsi="Verdana"/>
          <w:sz w:val="20"/>
          <w:lang w:val="pt-BR"/>
        </w:rPr>
        <w:t>)</w:t>
      </w:r>
      <w:r w:rsidR="004756C1" w:rsidRPr="002F50BD">
        <w:rPr>
          <w:rFonts w:ascii="Verdana" w:hAnsi="Verdana"/>
          <w:sz w:val="20"/>
          <w:lang w:val="pt-BR"/>
        </w:rPr>
        <w:t xml:space="preserve">. </w:t>
      </w:r>
      <w:r w:rsidR="00794692" w:rsidRPr="002F50BD">
        <w:rPr>
          <w:rFonts w:ascii="Verdana" w:hAnsi="Verdana"/>
          <w:sz w:val="20"/>
          <w:lang w:val="pt-BR"/>
        </w:rPr>
        <w:t>A</w:t>
      </w:r>
      <w:r w:rsidR="00243D2E" w:rsidRPr="002F50BD">
        <w:rPr>
          <w:rFonts w:ascii="Verdana" w:hAnsi="Verdana"/>
          <w:sz w:val="20"/>
          <w:lang w:val="pt-BR"/>
        </w:rPr>
        <w:t>o</w:t>
      </w:r>
      <w:r w:rsidR="0089298C" w:rsidRPr="002F50BD">
        <w:rPr>
          <w:rFonts w:ascii="Verdana" w:hAnsi="Verdana"/>
          <w:sz w:val="20"/>
          <w:lang w:val="pt-BR"/>
        </w:rPr>
        <w:t xml:space="preserve"> fim e a </w:t>
      </w:r>
      <w:r w:rsidR="004756C1" w:rsidRPr="002F50BD">
        <w:rPr>
          <w:rFonts w:ascii="Verdana" w:hAnsi="Verdana"/>
          <w:sz w:val="20"/>
          <w:lang w:val="pt-BR"/>
        </w:rPr>
        <w:t>cabo,</w:t>
      </w:r>
      <w:r w:rsidR="0089298C" w:rsidRPr="002F50BD">
        <w:rPr>
          <w:rFonts w:ascii="Verdana" w:hAnsi="Verdana"/>
          <w:sz w:val="20"/>
          <w:lang w:val="pt-BR"/>
        </w:rPr>
        <w:t xml:space="preserve"> o direito à </w:t>
      </w:r>
      <w:r w:rsidR="004756C1" w:rsidRPr="002F50BD">
        <w:rPr>
          <w:rFonts w:ascii="Verdana" w:hAnsi="Verdana"/>
          <w:sz w:val="20"/>
          <w:lang w:val="pt-BR"/>
        </w:rPr>
        <w:t>vida</w:t>
      </w:r>
      <w:r w:rsidR="0089298C" w:rsidRPr="002F50BD">
        <w:rPr>
          <w:rFonts w:ascii="Verdana" w:hAnsi="Verdana"/>
          <w:sz w:val="20"/>
          <w:lang w:val="pt-BR"/>
        </w:rPr>
        <w:t xml:space="preserve"> é um direito</w:t>
      </w:r>
      <w:r w:rsidR="004756C1" w:rsidRPr="002F50BD">
        <w:rPr>
          <w:rFonts w:ascii="Verdana" w:hAnsi="Verdana"/>
          <w:sz w:val="20"/>
          <w:lang w:val="pt-BR"/>
        </w:rPr>
        <w:t xml:space="preserve"> </w:t>
      </w:r>
      <w:r w:rsidR="0089298C" w:rsidRPr="002F50BD">
        <w:rPr>
          <w:rFonts w:ascii="Verdana" w:hAnsi="Verdana"/>
          <w:sz w:val="20"/>
          <w:lang w:val="pt-BR"/>
        </w:rPr>
        <w:t xml:space="preserve">inderrogável </w:t>
      </w:r>
      <w:r w:rsidR="000939CC" w:rsidRPr="002F50BD">
        <w:rPr>
          <w:rFonts w:ascii="Verdana" w:hAnsi="Verdana"/>
          <w:sz w:val="20"/>
          <w:lang w:val="pt-BR"/>
        </w:rPr>
        <w:t>à luz da</w:t>
      </w:r>
      <w:r w:rsidR="0089298C" w:rsidRPr="002F50BD">
        <w:rPr>
          <w:rFonts w:ascii="Verdana" w:hAnsi="Verdana"/>
          <w:sz w:val="20"/>
          <w:lang w:val="pt-BR"/>
        </w:rPr>
        <w:t xml:space="preserve">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89298C" w:rsidRPr="002F50BD">
        <w:rPr>
          <w:rFonts w:ascii="Verdana" w:hAnsi="Verdana"/>
          <w:sz w:val="20"/>
          <w:lang w:val="pt-BR"/>
        </w:rPr>
        <w:t>enquanto o direito à propriedade</w:t>
      </w:r>
      <w:r w:rsidR="004756C1" w:rsidRPr="002F50BD">
        <w:rPr>
          <w:rFonts w:ascii="Verdana" w:hAnsi="Verdana"/>
          <w:sz w:val="20"/>
          <w:lang w:val="pt-BR"/>
        </w:rPr>
        <w:t xml:space="preserve"> n</w:t>
      </w:r>
      <w:r w:rsidR="00794692" w:rsidRPr="002F50BD">
        <w:rPr>
          <w:rFonts w:ascii="Verdana" w:hAnsi="Verdana"/>
          <w:sz w:val="20"/>
          <w:lang w:val="pt-BR"/>
        </w:rPr>
        <w:t>ão é</w:t>
      </w:r>
      <w:r w:rsidR="00AB454A" w:rsidRPr="002F50BD">
        <w:rPr>
          <w:rFonts w:ascii="Verdana" w:hAnsi="Verdana"/>
          <w:sz w:val="20"/>
          <w:lang w:val="pt-BR"/>
        </w:rPr>
        <w:t xml:space="preserve">. No </w:t>
      </w:r>
      <w:r w:rsidR="004756C1" w:rsidRPr="002F50BD">
        <w:rPr>
          <w:rFonts w:ascii="Verdana" w:hAnsi="Verdana"/>
          <w:sz w:val="20"/>
          <w:lang w:val="pt-BR"/>
        </w:rPr>
        <w:t>presente caso</w:t>
      </w:r>
      <w:r w:rsidR="000939CC" w:rsidRPr="002F50BD">
        <w:rPr>
          <w:rFonts w:ascii="Verdana" w:hAnsi="Verdana"/>
          <w:sz w:val="20"/>
          <w:lang w:val="pt-BR"/>
        </w:rPr>
        <w:t>,</w:t>
      </w:r>
      <w:r w:rsidR="004756C1" w:rsidRPr="002F50BD">
        <w:rPr>
          <w:rFonts w:ascii="Verdana" w:hAnsi="Verdana"/>
          <w:sz w:val="20"/>
          <w:lang w:val="pt-BR"/>
        </w:rPr>
        <w:t xml:space="preserve"> este último adquire especial </w:t>
      </w:r>
      <w:r w:rsidR="0089298C" w:rsidRPr="002F50BD">
        <w:rPr>
          <w:rFonts w:ascii="Verdana" w:hAnsi="Verdana"/>
          <w:sz w:val="20"/>
          <w:lang w:val="pt-BR"/>
        </w:rPr>
        <w:t>relevância</w:t>
      </w:r>
      <w:r w:rsidR="004756C1" w:rsidRPr="002F50BD">
        <w:rPr>
          <w:rFonts w:ascii="Verdana" w:hAnsi="Verdana"/>
          <w:sz w:val="20"/>
          <w:lang w:val="pt-BR"/>
        </w:rPr>
        <w:t xml:space="preserve"> precisamente por estar relacionado </w:t>
      </w:r>
      <w:r w:rsidR="0089298C" w:rsidRPr="002F50BD">
        <w:rPr>
          <w:rFonts w:ascii="Verdana" w:hAnsi="Verdana"/>
          <w:sz w:val="20"/>
          <w:lang w:val="pt-BR"/>
        </w:rPr>
        <w:t>diret</w:t>
      </w:r>
      <w:r w:rsidR="004756C1" w:rsidRPr="002F50BD">
        <w:rPr>
          <w:rFonts w:ascii="Verdana" w:hAnsi="Verdana"/>
          <w:sz w:val="20"/>
          <w:lang w:val="pt-BR"/>
        </w:rPr>
        <w:t>amente</w:t>
      </w:r>
      <w:r w:rsidR="0089298C" w:rsidRPr="002F50BD">
        <w:rPr>
          <w:rFonts w:ascii="Verdana" w:hAnsi="Verdana"/>
          <w:sz w:val="20"/>
          <w:lang w:val="pt-BR"/>
        </w:rPr>
        <w:t xml:space="preserve"> com o </w:t>
      </w:r>
      <w:r w:rsidR="004756C1" w:rsidRPr="002F50BD">
        <w:rPr>
          <w:rFonts w:ascii="Verdana" w:hAnsi="Verdana"/>
          <w:sz w:val="20"/>
          <w:lang w:val="pt-BR"/>
        </w:rPr>
        <w:t>pleno</w:t>
      </w:r>
      <w:r w:rsidR="00385366" w:rsidRPr="002F50BD">
        <w:rPr>
          <w:rFonts w:ascii="Verdana" w:hAnsi="Verdana"/>
          <w:sz w:val="20"/>
          <w:lang w:val="pt-BR"/>
        </w:rPr>
        <w:t xml:space="preserve"> gozo </w:t>
      </w:r>
      <w:r w:rsidR="0089298C" w:rsidRPr="002F50BD">
        <w:rPr>
          <w:rFonts w:ascii="Verdana" w:hAnsi="Verdana"/>
          <w:sz w:val="20"/>
          <w:lang w:val="pt-BR"/>
        </w:rPr>
        <w:t xml:space="preserve">do direito à </w:t>
      </w:r>
      <w:r w:rsidR="004756C1" w:rsidRPr="002F50BD">
        <w:rPr>
          <w:rFonts w:ascii="Verdana" w:hAnsi="Verdana"/>
          <w:sz w:val="20"/>
          <w:lang w:val="pt-BR"/>
        </w:rPr>
        <w:t xml:space="preserve">vida </w:t>
      </w:r>
      <w:r w:rsidR="00794692" w:rsidRPr="002F50BD">
        <w:rPr>
          <w:rFonts w:ascii="Verdana" w:hAnsi="Verdana"/>
          <w:sz w:val="20"/>
          <w:lang w:val="pt-BR"/>
        </w:rPr>
        <w:t xml:space="preserve">incluindo </w:t>
      </w:r>
      <w:r w:rsidR="0089298C" w:rsidRPr="002F50BD">
        <w:rPr>
          <w:rFonts w:ascii="Verdana" w:hAnsi="Verdana"/>
          <w:sz w:val="20"/>
          <w:lang w:val="pt-BR"/>
        </w:rPr>
        <w:t xml:space="preserve">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vida digna.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b/>
          <w:sz w:val="20"/>
          <w:lang w:val="pt-BR"/>
        </w:rPr>
      </w:pPr>
      <w:r w:rsidRPr="002F50BD">
        <w:rPr>
          <w:rFonts w:ascii="Verdana" w:hAnsi="Verdana"/>
          <w:sz w:val="20"/>
          <w:lang w:val="pt-BR"/>
        </w:rPr>
        <w:t>21</w:t>
      </w:r>
      <w:r w:rsidR="004756C1" w:rsidRPr="002F50BD">
        <w:rPr>
          <w:rFonts w:ascii="Verdana" w:hAnsi="Verdana"/>
          <w:sz w:val="20"/>
          <w:lang w:val="pt-BR"/>
        </w:rPr>
        <w:t>.</w:t>
      </w:r>
      <w:r w:rsidR="004756C1" w:rsidRPr="002F50BD">
        <w:rPr>
          <w:rFonts w:ascii="Verdana" w:hAnsi="Verdana"/>
          <w:sz w:val="20"/>
          <w:lang w:val="pt-BR"/>
        </w:rPr>
        <w:tab/>
        <w:t xml:space="preserve">Esta Corte </w:t>
      </w:r>
      <w:r w:rsidR="004076AD" w:rsidRPr="002F50BD">
        <w:rPr>
          <w:rFonts w:ascii="Verdana" w:hAnsi="Verdana"/>
          <w:sz w:val="20"/>
          <w:lang w:val="pt-BR"/>
        </w:rPr>
        <w:t>indicou</w:t>
      </w:r>
      <w:r w:rsidR="0089298C" w:rsidRPr="002F50BD">
        <w:rPr>
          <w:rFonts w:ascii="Verdana" w:hAnsi="Verdana"/>
          <w:sz w:val="20"/>
          <w:lang w:val="pt-BR"/>
        </w:rPr>
        <w:t xml:space="preserve"> em </w:t>
      </w:r>
      <w:r w:rsidR="004756C1" w:rsidRPr="002F50BD">
        <w:rPr>
          <w:rFonts w:ascii="Verdana" w:hAnsi="Verdana"/>
          <w:sz w:val="20"/>
          <w:lang w:val="pt-BR"/>
        </w:rPr>
        <w:t>su</w:t>
      </w:r>
      <w:r w:rsidR="00794692" w:rsidRPr="002F50BD">
        <w:rPr>
          <w:rFonts w:ascii="Verdana" w:hAnsi="Verdana"/>
          <w:sz w:val="20"/>
          <w:lang w:val="pt-BR"/>
        </w:rPr>
        <w:t>a</w:t>
      </w:r>
      <w:r w:rsidR="004756C1" w:rsidRPr="002F50BD">
        <w:rPr>
          <w:rFonts w:ascii="Verdana" w:hAnsi="Verdana"/>
          <w:sz w:val="20"/>
          <w:lang w:val="pt-BR"/>
        </w:rPr>
        <w:t xml:space="preserve"> </w:t>
      </w:r>
      <w:r w:rsidR="004756C1" w:rsidRPr="002F50BD">
        <w:rPr>
          <w:rFonts w:ascii="Verdana" w:hAnsi="Verdana"/>
          <w:i/>
          <w:sz w:val="20"/>
          <w:lang w:val="pt-BR"/>
        </w:rPr>
        <w:t>jurisprudence constante</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A157C9">
        <w:rPr>
          <w:rFonts w:ascii="Verdana" w:hAnsi="Verdana"/>
          <w:i/>
          <w:sz w:val="20"/>
          <w:lang w:val="pt-BR"/>
        </w:rPr>
        <w:t>v.g.</w:t>
      </w:r>
      <w:r w:rsidR="004756C1" w:rsidRPr="002F50BD">
        <w:rPr>
          <w:rFonts w:ascii="Verdana" w:hAnsi="Verdana"/>
          <w:sz w:val="20"/>
          <w:lang w:val="pt-BR"/>
        </w:rPr>
        <w:t xml:space="preserve">, caso </w:t>
      </w:r>
      <w:r w:rsidR="0089298C" w:rsidRPr="002F50BD">
        <w:rPr>
          <w:rFonts w:ascii="Verdana" w:hAnsi="Verdana"/>
          <w:i/>
          <w:sz w:val="20"/>
          <w:lang w:val="pt-BR"/>
        </w:rPr>
        <w:t>Villagrán Morales e Outros</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i/>
          <w:sz w:val="20"/>
          <w:lang w:val="pt-BR"/>
        </w:rPr>
        <w:t>Crianças d</w:t>
      </w:r>
      <w:r w:rsidR="00794692" w:rsidRPr="002F50BD">
        <w:rPr>
          <w:rFonts w:ascii="Verdana" w:hAnsi="Verdana"/>
          <w:i/>
          <w:sz w:val="20"/>
          <w:lang w:val="pt-BR"/>
        </w:rPr>
        <w:t>e</w:t>
      </w:r>
      <w:r w:rsidR="0089298C" w:rsidRPr="002F50BD">
        <w:rPr>
          <w:rFonts w:ascii="Verdana" w:hAnsi="Verdana"/>
          <w:i/>
          <w:sz w:val="20"/>
          <w:lang w:val="pt-BR"/>
        </w:rPr>
        <w:t xml:space="preserve"> Rua</w:t>
      </w:r>
      <w:r w:rsidR="004756C1" w:rsidRPr="002F50BD">
        <w:rPr>
          <w:rFonts w:ascii="Verdana" w:hAnsi="Verdana"/>
          <w:sz w:val="20"/>
          <w:lang w:val="pt-BR"/>
        </w:rPr>
        <w:t>”</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1999</w:t>
      </w:r>
      <w:r w:rsidR="004756C1" w:rsidRPr="002F50BD">
        <w:rPr>
          <w:rFonts w:ascii="Verdana" w:hAnsi="Verdana"/>
          <w:sz w:val="20"/>
          <w:lang w:val="pt-BR"/>
        </w:rPr>
        <w:t>; caso</w:t>
      </w:r>
      <w:r w:rsidR="004756C1" w:rsidRPr="002F50BD">
        <w:rPr>
          <w:rFonts w:ascii="Verdana" w:hAnsi="Verdana"/>
          <w:i/>
          <w:sz w:val="20"/>
          <w:lang w:val="pt-BR"/>
        </w:rPr>
        <w:t xml:space="preserve"> Bulacio</w:t>
      </w:r>
      <w:r w:rsidR="004756C1" w:rsidRPr="002F50BD">
        <w:rPr>
          <w:rFonts w:ascii="Verdana" w:hAnsi="Verdana"/>
          <w:sz w:val="20"/>
          <w:lang w:val="pt-BR"/>
        </w:rPr>
        <w:t xml:space="preserve">, </w:t>
      </w:r>
      <w:r w:rsidRPr="002F50BD">
        <w:rPr>
          <w:rFonts w:ascii="Verdana" w:hAnsi="Verdana"/>
          <w:sz w:val="20"/>
          <w:lang w:val="pt-BR"/>
        </w:rPr>
        <w:t>2003</w:t>
      </w:r>
      <w:r w:rsidR="004756C1" w:rsidRPr="002F50BD">
        <w:rPr>
          <w:rFonts w:ascii="Verdana" w:hAnsi="Verdana"/>
          <w:sz w:val="20"/>
          <w:lang w:val="pt-BR"/>
        </w:rPr>
        <w:t xml:space="preserve">; caso </w:t>
      </w:r>
      <w:r w:rsidR="004756C1" w:rsidRPr="002F50BD">
        <w:rPr>
          <w:rFonts w:ascii="Verdana" w:hAnsi="Verdana"/>
          <w:i/>
          <w:sz w:val="20"/>
          <w:lang w:val="pt-BR"/>
        </w:rPr>
        <w:t>Myrna Mack Chang</w:t>
      </w:r>
      <w:r w:rsidR="004756C1" w:rsidRPr="002F50BD">
        <w:rPr>
          <w:rFonts w:ascii="Verdana" w:hAnsi="Verdana"/>
          <w:sz w:val="20"/>
          <w:lang w:val="pt-BR"/>
        </w:rPr>
        <w:t xml:space="preserve">, </w:t>
      </w:r>
      <w:r w:rsidRPr="002F50BD">
        <w:rPr>
          <w:rFonts w:ascii="Verdana" w:hAnsi="Verdana"/>
          <w:sz w:val="20"/>
          <w:lang w:val="pt-BR"/>
        </w:rPr>
        <w:t>2003</w:t>
      </w:r>
      <w:r w:rsidR="004756C1" w:rsidRPr="002F50BD">
        <w:rPr>
          <w:rFonts w:ascii="Verdana" w:hAnsi="Verdana"/>
          <w:sz w:val="20"/>
          <w:lang w:val="pt-BR"/>
        </w:rPr>
        <w:t xml:space="preserve">; caso </w:t>
      </w:r>
      <w:r w:rsidR="0089298C" w:rsidRPr="002F50BD">
        <w:rPr>
          <w:rFonts w:ascii="Verdana" w:hAnsi="Verdana"/>
          <w:sz w:val="20"/>
          <w:lang w:val="pt-BR"/>
        </w:rPr>
        <w:t xml:space="preserve">do </w:t>
      </w:r>
      <w:r w:rsidR="004756C1" w:rsidRPr="002F50BD">
        <w:rPr>
          <w:rFonts w:ascii="Verdana" w:hAnsi="Verdana"/>
          <w:i/>
          <w:sz w:val="20"/>
          <w:lang w:val="pt-BR"/>
        </w:rPr>
        <w:t>Instituto de Reeduca</w:t>
      </w:r>
      <w:r w:rsidR="0089298C" w:rsidRPr="002F50BD">
        <w:rPr>
          <w:rFonts w:ascii="Verdana" w:hAnsi="Verdana"/>
          <w:i/>
          <w:sz w:val="20"/>
          <w:lang w:val="pt-BR"/>
        </w:rPr>
        <w:t>ção</w:t>
      </w:r>
      <w:r w:rsidR="004756C1" w:rsidRPr="002F50BD">
        <w:rPr>
          <w:rFonts w:ascii="Verdana" w:hAnsi="Verdana"/>
          <w:i/>
          <w:sz w:val="20"/>
          <w:lang w:val="pt-BR"/>
        </w:rPr>
        <w:t xml:space="preserve"> </w:t>
      </w:r>
      <w:r w:rsidR="0089298C" w:rsidRPr="002F50BD">
        <w:rPr>
          <w:rFonts w:ascii="Verdana" w:hAnsi="Verdana"/>
          <w:i/>
          <w:sz w:val="20"/>
          <w:lang w:val="pt-BR"/>
        </w:rPr>
        <w:t xml:space="preserve">do </w:t>
      </w:r>
      <w:r w:rsidR="004756C1" w:rsidRPr="002F50BD">
        <w:rPr>
          <w:rFonts w:ascii="Verdana" w:hAnsi="Verdana"/>
          <w:i/>
          <w:sz w:val="20"/>
          <w:lang w:val="pt-BR"/>
        </w:rPr>
        <w:t>Menor</w:t>
      </w:r>
      <w:r w:rsidR="004756C1" w:rsidRPr="002F50BD">
        <w:rPr>
          <w:rFonts w:ascii="Verdana" w:hAnsi="Verdana"/>
          <w:sz w:val="20"/>
          <w:lang w:val="pt-BR"/>
        </w:rPr>
        <w:t xml:space="preserve">, </w:t>
      </w:r>
      <w:r w:rsidRPr="002F50BD">
        <w:rPr>
          <w:rFonts w:ascii="Verdana" w:hAnsi="Verdana"/>
          <w:sz w:val="20"/>
          <w:lang w:val="pt-BR"/>
        </w:rPr>
        <w:t>2004</w:t>
      </w:r>
      <w:r w:rsidR="004756C1" w:rsidRPr="002F50BD">
        <w:rPr>
          <w:rFonts w:ascii="Verdana" w:hAnsi="Verdana"/>
          <w:sz w:val="20"/>
          <w:lang w:val="pt-BR"/>
        </w:rPr>
        <w:t xml:space="preserve">; caso </w:t>
      </w:r>
      <w:r w:rsidR="004756C1" w:rsidRPr="002F50BD">
        <w:rPr>
          <w:rFonts w:ascii="Verdana" w:hAnsi="Verdana"/>
          <w:i/>
          <w:sz w:val="20"/>
          <w:lang w:val="pt-BR"/>
        </w:rPr>
        <w:t>Huilca Tecse</w:t>
      </w:r>
      <w:r w:rsidR="004756C1" w:rsidRPr="002F50BD">
        <w:rPr>
          <w:rFonts w:ascii="Verdana" w:hAnsi="Verdana"/>
          <w:sz w:val="20"/>
          <w:lang w:val="pt-BR"/>
        </w:rPr>
        <w:t xml:space="preserve">, </w:t>
      </w:r>
      <w:r w:rsidRPr="002F50BD">
        <w:rPr>
          <w:rFonts w:ascii="Verdana" w:hAnsi="Verdana"/>
          <w:sz w:val="20"/>
          <w:lang w:val="pt-BR"/>
        </w:rPr>
        <w:t>2005</w:t>
      </w:r>
      <w:r w:rsidR="00CF451D" w:rsidRPr="00CF451D">
        <w:rPr>
          <w:rFonts w:ascii="Verdana" w:hAnsi="Verdana"/>
          <w:sz w:val="20"/>
          <w:lang w:val="pt-BR"/>
        </w:rPr>
        <w:t>)</w:t>
      </w:r>
      <w:r w:rsidR="004756C1" w:rsidRPr="002F50BD">
        <w:rPr>
          <w:rFonts w:ascii="Verdana" w:hAnsi="Verdana"/>
          <w:sz w:val="20"/>
          <w:lang w:val="pt-BR"/>
        </w:rPr>
        <w:t>, que</w:t>
      </w:r>
      <w:r w:rsidR="0089298C" w:rsidRPr="002F50BD">
        <w:rPr>
          <w:rFonts w:ascii="Verdana" w:hAnsi="Verdana"/>
          <w:sz w:val="20"/>
          <w:lang w:val="pt-BR"/>
        </w:rPr>
        <w:t xml:space="preserve"> o direito à </w:t>
      </w:r>
      <w:r w:rsidR="004756C1" w:rsidRPr="002F50BD">
        <w:rPr>
          <w:rFonts w:ascii="Verdana" w:hAnsi="Verdana"/>
          <w:sz w:val="20"/>
          <w:lang w:val="pt-BR"/>
        </w:rPr>
        <w:t xml:space="preserve">vida, </w:t>
      </w:r>
      <w:r w:rsidR="0089298C" w:rsidRPr="002F50BD">
        <w:rPr>
          <w:rFonts w:ascii="Verdana" w:hAnsi="Verdana"/>
          <w:sz w:val="20"/>
          <w:lang w:val="pt-BR"/>
        </w:rPr>
        <w:t>cujo</w:t>
      </w:r>
      <w:r w:rsidR="004756C1" w:rsidRPr="002F50BD">
        <w:rPr>
          <w:rFonts w:ascii="Verdana" w:hAnsi="Verdana"/>
          <w:sz w:val="20"/>
          <w:lang w:val="pt-BR"/>
        </w:rPr>
        <w:t xml:space="preserve"> pleno</w:t>
      </w:r>
      <w:r w:rsidR="00385366" w:rsidRPr="002F50BD">
        <w:rPr>
          <w:rFonts w:ascii="Verdana" w:hAnsi="Verdana"/>
          <w:sz w:val="20"/>
          <w:lang w:val="pt-BR"/>
        </w:rPr>
        <w:t xml:space="preserve"> gozo </w:t>
      </w:r>
      <w:r w:rsidR="0089298C" w:rsidRPr="002F50BD">
        <w:rPr>
          <w:rFonts w:ascii="Verdana" w:hAnsi="Verdana"/>
          <w:sz w:val="20"/>
          <w:lang w:val="pt-BR"/>
        </w:rPr>
        <w:t xml:space="preserve">é um </w:t>
      </w:r>
      <w:r w:rsidR="00794692" w:rsidRPr="002F50BD">
        <w:rPr>
          <w:rFonts w:ascii="Verdana" w:hAnsi="Verdana"/>
          <w:sz w:val="20"/>
          <w:lang w:val="pt-BR"/>
        </w:rPr>
        <w:t xml:space="preserve">requisito prévio </w:t>
      </w:r>
      <w:r w:rsidR="004756C1" w:rsidRPr="002F50BD">
        <w:rPr>
          <w:rFonts w:ascii="Verdana" w:hAnsi="Verdana"/>
          <w:sz w:val="20"/>
          <w:lang w:val="pt-BR"/>
        </w:rPr>
        <w:t>para</w:t>
      </w:r>
      <w:r w:rsidR="0089298C" w:rsidRPr="002F50BD">
        <w:rPr>
          <w:rFonts w:ascii="Verdana" w:hAnsi="Verdana"/>
          <w:sz w:val="20"/>
          <w:lang w:val="pt-BR"/>
        </w:rPr>
        <w:t xml:space="preserve"> o </w:t>
      </w:r>
      <w:r w:rsidR="00E72F67" w:rsidRPr="002F50BD">
        <w:rPr>
          <w:rFonts w:ascii="Verdana" w:hAnsi="Verdana"/>
          <w:sz w:val="20"/>
          <w:lang w:val="pt-BR"/>
        </w:rPr>
        <w:t>desfrute</w:t>
      </w:r>
      <w:r w:rsidR="0089298C" w:rsidRPr="002F50BD">
        <w:rPr>
          <w:rFonts w:ascii="Verdana" w:hAnsi="Verdana"/>
          <w:sz w:val="20"/>
          <w:lang w:val="pt-BR"/>
        </w:rPr>
        <w:t xml:space="preserve"> dos demais</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s, </w:t>
      </w:r>
      <w:r w:rsidR="0089298C" w:rsidRPr="002F50BD">
        <w:rPr>
          <w:rFonts w:ascii="Verdana" w:hAnsi="Verdana"/>
          <w:sz w:val="20"/>
          <w:lang w:val="pt-BR"/>
        </w:rPr>
        <w:t>tem um caráter</w:t>
      </w:r>
      <w:r w:rsidR="004756C1" w:rsidRPr="002F50BD">
        <w:rPr>
          <w:rFonts w:ascii="Verdana" w:hAnsi="Verdana"/>
          <w:sz w:val="20"/>
          <w:lang w:val="pt-BR"/>
        </w:rPr>
        <w:t xml:space="preserve"> fundamental</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0089298C" w:rsidRPr="002F50BD">
        <w:rPr>
          <w:rFonts w:ascii="Verdana" w:hAnsi="Verdana"/>
          <w:sz w:val="20"/>
          <w:lang w:val="pt-BR"/>
        </w:rPr>
        <w:t xml:space="preserve">requer dos </w:t>
      </w:r>
      <w:r w:rsidR="004756C1" w:rsidRPr="002F50BD">
        <w:rPr>
          <w:rFonts w:ascii="Verdana" w:hAnsi="Verdana"/>
          <w:sz w:val="20"/>
          <w:lang w:val="pt-BR"/>
        </w:rPr>
        <w:t xml:space="preserve">Estados medidas positivas para </w:t>
      </w:r>
      <w:r w:rsidR="0089298C" w:rsidRPr="002F50BD">
        <w:rPr>
          <w:rFonts w:ascii="Verdana" w:hAnsi="Verdana"/>
          <w:sz w:val="20"/>
          <w:lang w:val="pt-BR"/>
        </w:rPr>
        <w:t xml:space="preserve">assegurar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w:t>
      </w:r>
      <w:r w:rsidR="0089298C" w:rsidRPr="002F50BD">
        <w:rPr>
          <w:rFonts w:ascii="Verdana" w:hAnsi="Verdana"/>
          <w:sz w:val="20"/>
          <w:lang w:val="pt-BR"/>
        </w:rPr>
        <w:t xml:space="preserve"> uma </w:t>
      </w:r>
      <w:r w:rsidR="004756C1" w:rsidRPr="002F50BD">
        <w:rPr>
          <w:rFonts w:ascii="Verdana" w:hAnsi="Verdana"/>
          <w:sz w:val="20"/>
          <w:lang w:val="pt-BR"/>
        </w:rPr>
        <w:t>vida digna</w:t>
      </w:r>
      <w:r w:rsidR="00AB454A" w:rsidRPr="002F50BD">
        <w:rPr>
          <w:rFonts w:ascii="Verdana" w:hAnsi="Verdana"/>
          <w:sz w:val="20"/>
          <w:lang w:val="pt-BR"/>
        </w:rPr>
        <w:t xml:space="preserve">. No </w:t>
      </w:r>
      <w:r w:rsidR="004756C1" w:rsidRPr="002F50BD">
        <w:rPr>
          <w:rFonts w:ascii="Verdana" w:hAnsi="Verdana"/>
          <w:sz w:val="20"/>
          <w:lang w:val="pt-BR"/>
        </w:rPr>
        <w:t>caso</w:t>
      </w:r>
      <w:r w:rsidR="0089298C" w:rsidRPr="002F50BD">
        <w:rPr>
          <w:rFonts w:ascii="Verdana" w:hAnsi="Verdana"/>
          <w:sz w:val="20"/>
          <w:lang w:val="pt-BR"/>
        </w:rPr>
        <w:t xml:space="preserve"> dos </w:t>
      </w:r>
      <w:r w:rsidR="0089298C" w:rsidRPr="002F50BD">
        <w:rPr>
          <w:rFonts w:ascii="Verdana" w:hAnsi="Verdana"/>
          <w:i/>
          <w:sz w:val="20"/>
          <w:lang w:val="pt-BR"/>
        </w:rPr>
        <w:t>Irmão</w:t>
      </w:r>
      <w:r w:rsidR="004756C1" w:rsidRPr="002F50BD">
        <w:rPr>
          <w:rFonts w:ascii="Verdana" w:hAnsi="Verdana"/>
          <w:i/>
          <w:sz w:val="20"/>
          <w:lang w:val="pt-BR"/>
        </w:rPr>
        <w:t>s Gómez Paquiyauri</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2004</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advertiu</w:t>
      </w:r>
      <w:r w:rsidR="004756C1" w:rsidRPr="002F50BD">
        <w:rPr>
          <w:rFonts w:ascii="Verdana" w:hAnsi="Verdana"/>
          <w:sz w:val="20"/>
          <w:lang w:val="pt-BR"/>
        </w:rPr>
        <w:t xml:space="preserve"> que</w:t>
      </w:r>
      <w:r w:rsidR="0089298C" w:rsidRPr="002F50BD">
        <w:rPr>
          <w:rFonts w:ascii="Verdana" w:hAnsi="Verdana"/>
          <w:sz w:val="20"/>
          <w:lang w:val="pt-BR"/>
        </w:rPr>
        <w:t xml:space="preserve"> o dever dos </w:t>
      </w:r>
      <w:r w:rsidR="004756C1" w:rsidRPr="002F50BD">
        <w:rPr>
          <w:rFonts w:ascii="Verdana" w:hAnsi="Verdana"/>
          <w:sz w:val="20"/>
          <w:lang w:val="pt-BR"/>
        </w:rPr>
        <w:t xml:space="preserve">Estados de </w:t>
      </w:r>
      <w:r w:rsidR="0089298C" w:rsidRPr="002F50BD">
        <w:rPr>
          <w:rFonts w:ascii="Verdana" w:hAnsi="Verdana"/>
          <w:sz w:val="20"/>
          <w:lang w:val="pt-BR"/>
        </w:rPr>
        <w:t xml:space="preserve">respeitar o </w:t>
      </w:r>
      <w:r w:rsidR="0089298C" w:rsidRPr="002F50BD">
        <w:rPr>
          <w:rFonts w:ascii="Verdana" w:hAnsi="Verdana"/>
          <w:sz w:val="20"/>
          <w:lang w:val="pt-BR"/>
        </w:rPr>
        <w:lastRenderedPageBreak/>
        <w:t xml:space="preserve">direito à </w:t>
      </w:r>
      <w:r w:rsidR="004756C1" w:rsidRPr="002F50BD">
        <w:rPr>
          <w:rFonts w:ascii="Verdana" w:hAnsi="Verdana"/>
          <w:sz w:val="20"/>
          <w:lang w:val="pt-BR"/>
        </w:rPr>
        <w:t>vida “</w:t>
      </w:r>
      <w:r w:rsidR="00794692" w:rsidRPr="002F50BD">
        <w:rPr>
          <w:rFonts w:ascii="Verdana" w:hAnsi="Verdana"/>
          <w:sz w:val="20"/>
          <w:lang w:val="pt-BR"/>
        </w:rPr>
        <w:t>a</w:t>
      </w:r>
      <w:r w:rsidR="004756C1" w:rsidRPr="002F50BD">
        <w:rPr>
          <w:rFonts w:ascii="Verdana" w:hAnsi="Verdana"/>
          <w:sz w:val="20"/>
          <w:lang w:val="pt-BR"/>
        </w:rPr>
        <w:t xml:space="preserve">presenta modalidades </w:t>
      </w:r>
      <w:r w:rsidR="0089298C" w:rsidRPr="002F50BD">
        <w:rPr>
          <w:rFonts w:ascii="Verdana" w:hAnsi="Verdana"/>
          <w:sz w:val="20"/>
          <w:lang w:val="pt-BR"/>
        </w:rPr>
        <w:t xml:space="preserve">especiais no </w:t>
      </w:r>
      <w:r w:rsidR="004756C1" w:rsidRPr="002F50BD">
        <w:rPr>
          <w:rFonts w:ascii="Verdana" w:hAnsi="Verdana"/>
          <w:sz w:val="20"/>
          <w:lang w:val="pt-BR"/>
        </w:rPr>
        <w:t>caso</w:t>
      </w:r>
      <w:r w:rsidR="0089298C" w:rsidRPr="002F50BD">
        <w:rPr>
          <w:rFonts w:ascii="Verdana" w:hAnsi="Verdana"/>
          <w:sz w:val="20"/>
          <w:lang w:val="pt-BR"/>
        </w:rPr>
        <w:t xml:space="preserve"> dos </w:t>
      </w:r>
      <w:r w:rsidR="004756C1" w:rsidRPr="002F50BD">
        <w:rPr>
          <w:rFonts w:ascii="Verdana" w:hAnsi="Verdana"/>
          <w:sz w:val="20"/>
          <w:lang w:val="pt-BR"/>
        </w:rPr>
        <w:t>menores de</w:t>
      </w:r>
      <w:r w:rsidR="0089298C" w:rsidRPr="002F50BD">
        <w:rPr>
          <w:rFonts w:ascii="Verdana" w:hAnsi="Verdana"/>
          <w:sz w:val="20"/>
          <w:lang w:val="pt-BR"/>
        </w:rPr>
        <w:t xml:space="preserve"> idade</w:t>
      </w:r>
      <w:r w:rsidR="004756C1" w:rsidRPr="002F50BD">
        <w:rPr>
          <w:rFonts w:ascii="Verdana" w:hAnsi="Verdana"/>
          <w:sz w:val="20"/>
          <w:lang w:val="pt-BR"/>
        </w:rPr>
        <w:t>”, dada su</w:t>
      </w:r>
      <w:r w:rsidR="00794692" w:rsidRPr="002F50BD">
        <w:rPr>
          <w:rFonts w:ascii="Verdana" w:hAnsi="Verdana"/>
          <w:sz w:val="20"/>
          <w:lang w:val="pt-BR"/>
        </w:rPr>
        <w:t>a</w:t>
      </w:r>
      <w:r w:rsidR="004756C1" w:rsidRPr="002F50BD">
        <w:rPr>
          <w:rFonts w:ascii="Verdana" w:hAnsi="Verdana"/>
          <w:sz w:val="20"/>
          <w:lang w:val="pt-BR"/>
        </w:rPr>
        <w:t xml:space="preserve"> </w:t>
      </w:r>
      <w:r w:rsidR="0089298C" w:rsidRPr="002F50BD">
        <w:rPr>
          <w:rFonts w:ascii="Verdana" w:hAnsi="Verdana"/>
          <w:sz w:val="20"/>
          <w:lang w:val="pt-BR"/>
        </w:rPr>
        <w:t>vulnerabilidade e a proteção</w:t>
      </w:r>
      <w:r w:rsidR="004756C1" w:rsidRPr="002F50BD">
        <w:rPr>
          <w:rFonts w:ascii="Verdana" w:hAnsi="Verdana"/>
          <w:sz w:val="20"/>
          <w:lang w:val="pt-BR"/>
        </w:rPr>
        <w:t xml:space="preserve"> especial que</w:t>
      </w:r>
      <w:r w:rsidR="0089298C" w:rsidRPr="002F50BD">
        <w:rPr>
          <w:rFonts w:ascii="Verdana" w:hAnsi="Verdana"/>
          <w:sz w:val="20"/>
          <w:lang w:val="pt-BR"/>
        </w:rPr>
        <w:t xml:space="preserve"> estes </w:t>
      </w:r>
      <w:r w:rsidR="00AB454A" w:rsidRPr="002F50BD">
        <w:rPr>
          <w:rFonts w:ascii="Verdana" w:hAnsi="Verdana"/>
          <w:sz w:val="20"/>
          <w:lang w:val="pt-BR"/>
        </w:rPr>
        <w:t>requer</w:t>
      </w:r>
      <w:r w:rsidR="00794692" w:rsidRPr="002F50BD">
        <w:rPr>
          <w:rFonts w:ascii="Verdana" w:hAnsi="Verdana"/>
          <w:sz w:val="20"/>
          <w:lang w:val="pt-BR"/>
        </w:rPr>
        <w:t>em</w:t>
      </w:r>
      <w:r w:rsidR="004756C1" w:rsidRPr="002F50BD">
        <w:rPr>
          <w:rFonts w:ascii="Verdana" w:hAnsi="Verdana"/>
          <w:sz w:val="20"/>
          <w:lang w:val="pt-BR"/>
        </w:rPr>
        <w:t xml:space="preserve"> para “prevenir situa</w:t>
      </w:r>
      <w:r w:rsidR="0089298C" w:rsidRPr="002F50BD">
        <w:rPr>
          <w:rFonts w:ascii="Verdana" w:hAnsi="Verdana"/>
          <w:sz w:val="20"/>
          <w:lang w:val="pt-BR"/>
        </w:rPr>
        <w:t>ções</w:t>
      </w:r>
      <w:r w:rsidR="004756C1" w:rsidRPr="002F50BD">
        <w:rPr>
          <w:rFonts w:ascii="Verdana" w:hAnsi="Verdana"/>
          <w:sz w:val="20"/>
          <w:lang w:val="pt-BR"/>
        </w:rPr>
        <w:t xml:space="preserve"> que </w:t>
      </w:r>
      <w:r w:rsidR="00794692" w:rsidRPr="002F50BD">
        <w:rPr>
          <w:rFonts w:ascii="Verdana" w:hAnsi="Verdana"/>
          <w:sz w:val="20"/>
          <w:lang w:val="pt-BR"/>
        </w:rPr>
        <w:t xml:space="preserve">possam </w:t>
      </w:r>
      <w:r w:rsidR="0089298C" w:rsidRPr="002F50BD">
        <w:rPr>
          <w:rFonts w:ascii="Verdana" w:hAnsi="Verdana"/>
          <w:sz w:val="20"/>
          <w:lang w:val="pt-BR"/>
        </w:rPr>
        <w:t>conduzir</w:t>
      </w:r>
      <w:r w:rsidR="004756C1" w:rsidRPr="002F50BD">
        <w:rPr>
          <w:rFonts w:ascii="Verdana" w:hAnsi="Verdana"/>
          <w:sz w:val="20"/>
          <w:lang w:val="pt-BR"/>
        </w:rPr>
        <w:t xml:space="preserve">, por </w:t>
      </w:r>
      <w:r w:rsidR="004076AD" w:rsidRPr="002F50BD">
        <w:rPr>
          <w:rFonts w:ascii="Verdana" w:hAnsi="Verdana"/>
          <w:sz w:val="20"/>
          <w:lang w:val="pt-BR"/>
        </w:rPr>
        <w:t>ação</w:t>
      </w:r>
      <w:r w:rsidR="0089298C" w:rsidRPr="002F50BD">
        <w:rPr>
          <w:rFonts w:ascii="Verdana" w:hAnsi="Verdana"/>
          <w:sz w:val="20"/>
          <w:lang w:val="pt-BR"/>
        </w:rPr>
        <w:t xml:space="preserve"> ou </w:t>
      </w:r>
      <w:r w:rsidR="004756C1" w:rsidRPr="002F50BD">
        <w:rPr>
          <w:rFonts w:ascii="Verdana" w:hAnsi="Verdana"/>
          <w:sz w:val="20"/>
          <w:lang w:val="pt-BR"/>
        </w:rPr>
        <w:t>o</w:t>
      </w:r>
      <w:r w:rsidR="0089298C" w:rsidRPr="002F50BD">
        <w:rPr>
          <w:rFonts w:ascii="Verdana" w:hAnsi="Verdana"/>
          <w:sz w:val="20"/>
          <w:lang w:val="pt-BR"/>
        </w:rPr>
        <w:t>missão</w:t>
      </w:r>
      <w:r w:rsidR="004756C1" w:rsidRPr="002F50BD">
        <w:rPr>
          <w:rFonts w:ascii="Verdana" w:hAnsi="Verdana"/>
          <w:sz w:val="20"/>
          <w:lang w:val="pt-BR"/>
        </w:rPr>
        <w:t>”,</w:t>
      </w:r>
      <w:r w:rsidR="0089298C" w:rsidRPr="002F50BD">
        <w:rPr>
          <w:rFonts w:ascii="Verdana" w:hAnsi="Verdana"/>
          <w:sz w:val="20"/>
          <w:lang w:val="pt-BR"/>
        </w:rPr>
        <w:t xml:space="preserve"> à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daquel</w:t>
      </w:r>
      <w:r w:rsidR="00794692"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 xml:space="preserve"> básico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124</w:t>
      </w:r>
      <w:r w:rsidR="00CF451D" w:rsidRPr="00CF451D">
        <w:rPr>
          <w:rFonts w:ascii="Verdana" w:hAnsi="Verdana"/>
          <w:sz w:val="20"/>
          <w:lang w:val="pt-BR"/>
        </w:rPr>
        <w:t>)</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22</w:t>
      </w:r>
      <w:r w:rsidR="00794692" w:rsidRPr="002F50BD">
        <w:rPr>
          <w:rFonts w:ascii="Verdana" w:hAnsi="Verdana"/>
          <w:sz w:val="20"/>
          <w:lang w:val="pt-BR"/>
        </w:rPr>
        <w:t>.</w:t>
      </w:r>
      <w:r w:rsidR="00794692" w:rsidRPr="002F50BD">
        <w:rPr>
          <w:rFonts w:ascii="Verdana" w:hAnsi="Verdana"/>
          <w:sz w:val="20"/>
          <w:lang w:val="pt-BR"/>
        </w:rPr>
        <w:tab/>
        <w:t>E</w:t>
      </w:r>
      <w:r w:rsidR="004756C1" w:rsidRPr="002F50BD">
        <w:rPr>
          <w:rFonts w:ascii="Verdana" w:hAnsi="Verdana"/>
          <w:sz w:val="20"/>
          <w:lang w:val="pt-BR"/>
        </w:rPr>
        <w:t>,</w:t>
      </w:r>
      <w:r w:rsidR="0089298C" w:rsidRPr="002F50BD">
        <w:rPr>
          <w:rFonts w:ascii="Verdana" w:hAnsi="Verdana"/>
          <w:sz w:val="20"/>
          <w:lang w:val="pt-BR"/>
        </w:rPr>
        <w:t xml:space="preserve"> nos </w:t>
      </w:r>
      <w:r w:rsidR="004756C1" w:rsidRPr="002F50BD">
        <w:rPr>
          <w:rFonts w:ascii="Verdana" w:hAnsi="Verdana"/>
          <w:sz w:val="20"/>
          <w:lang w:val="pt-BR"/>
        </w:rPr>
        <w:t xml:space="preserve">casos de </w:t>
      </w:r>
      <w:r w:rsidR="004756C1" w:rsidRPr="002F50BD">
        <w:rPr>
          <w:rFonts w:ascii="Verdana" w:hAnsi="Verdana"/>
          <w:i/>
          <w:sz w:val="20"/>
          <w:lang w:val="pt-BR"/>
        </w:rPr>
        <w:t>Juan Humberto Sánchez</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2003</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110</w:t>
      </w:r>
      <w:r w:rsidR="00CF451D" w:rsidRPr="00CF451D">
        <w:rPr>
          <w:rFonts w:ascii="Verdana" w:hAnsi="Verdana"/>
          <w:sz w:val="20"/>
          <w:lang w:val="pt-BR"/>
        </w:rPr>
        <w:t>)</w:t>
      </w:r>
      <w:r w:rsidR="0089298C" w:rsidRPr="002F50BD">
        <w:rPr>
          <w:rFonts w:ascii="Verdana" w:hAnsi="Verdana"/>
          <w:sz w:val="20"/>
          <w:lang w:val="pt-BR"/>
        </w:rPr>
        <w:t xml:space="preserve"> e dos </w:t>
      </w:r>
      <w:r w:rsidRPr="002F50BD">
        <w:rPr>
          <w:rFonts w:ascii="Verdana" w:hAnsi="Verdana"/>
          <w:sz w:val="20"/>
          <w:lang w:val="pt-BR"/>
        </w:rPr>
        <w:t>19</w:t>
      </w:r>
      <w:r w:rsidR="004756C1" w:rsidRPr="002F50BD">
        <w:rPr>
          <w:rFonts w:ascii="Verdana" w:hAnsi="Verdana"/>
          <w:i/>
          <w:sz w:val="20"/>
          <w:lang w:val="pt-BR"/>
        </w:rPr>
        <w:t xml:space="preserve"> Comerciantes</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2004</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153</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advertiu</w:t>
      </w:r>
      <w:r w:rsidR="004756C1" w:rsidRPr="002F50BD">
        <w:rPr>
          <w:rFonts w:ascii="Verdana" w:hAnsi="Verdana"/>
          <w:sz w:val="20"/>
          <w:lang w:val="pt-BR"/>
        </w:rPr>
        <w:t xml:space="preserve"> </w:t>
      </w:r>
      <w:r w:rsidR="0089298C" w:rsidRPr="002F50BD">
        <w:rPr>
          <w:rFonts w:ascii="Verdana" w:hAnsi="Verdana"/>
          <w:sz w:val="20"/>
          <w:lang w:val="pt-BR"/>
        </w:rPr>
        <w:t>expressa</w:t>
      </w:r>
      <w:r w:rsidR="004756C1" w:rsidRPr="002F50BD">
        <w:rPr>
          <w:rFonts w:ascii="Verdana" w:hAnsi="Verdana"/>
          <w:sz w:val="20"/>
          <w:lang w:val="pt-BR"/>
        </w:rPr>
        <w:t>mente que</w:t>
      </w:r>
    </w:p>
    <w:p w:rsidR="004756C1" w:rsidRPr="002F50BD" w:rsidRDefault="004756C1">
      <w:pPr>
        <w:jc w:val="both"/>
        <w:rPr>
          <w:rFonts w:ascii="Verdana" w:hAnsi="Verdana"/>
          <w:sz w:val="20"/>
          <w:lang w:val="pt-BR"/>
        </w:rPr>
      </w:pPr>
    </w:p>
    <w:p w:rsidR="004756C1" w:rsidRPr="002F50BD" w:rsidRDefault="00FB33DD">
      <w:pPr>
        <w:ind w:left="720" w:right="720"/>
        <w:jc w:val="both"/>
        <w:rPr>
          <w:rFonts w:ascii="Verdana" w:hAnsi="Verdana"/>
          <w:sz w:val="16"/>
          <w:lang w:val="pt-BR"/>
        </w:rPr>
      </w:pPr>
      <w:r w:rsidRPr="002F50BD">
        <w:rPr>
          <w:rFonts w:ascii="Verdana" w:hAnsi="Verdana"/>
          <w:sz w:val="16"/>
          <w:lang w:val="pt-BR"/>
        </w:rPr>
        <w:t xml:space="preserve">O </w:t>
      </w:r>
      <w:r w:rsidR="0089298C" w:rsidRPr="002F50BD">
        <w:rPr>
          <w:rFonts w:ascii="Verdana" w:hAnsi="Verdana"/>
          <w:sz w:val="16"/>
          <w:lang w:val="pt-BR"/>
        </w:rPr>
        <w:t xml:space="preserve">direito à </w:t>
      </w:r>
      <w:r w:rsidR="004756C1" w:rsidRPr="002F50BD">
        <w:rPr>
          <w:rFonts w:ascii="Verdana" w:hAnsi="Verdana"/>
          <w:sz w:val="16"/>
          <w:lang w:val="pt-BR"/>
        </w:rPr>
        <w:t xml:space="preserve">vida </w:t>
      </w:r>
      <w:r w:rsidR="00CA0A54" w:rsidRPr="002F50BD">
        <w:rPr>
          <w:rFonts w:ascii="Verdana" w:hAnsi="Verdana"/>
          <w:sz w:val="16"/>
          <w:lang w:val="pt-BR"/>
        </w:rPr>
        <w:t>possui</w:t>
      </w:r>
      <w:r w:rsidR="0089298C" w:rsidRPr="002F50BD">
        <w:rPr>
          <w:rFonts w:ascii="Verdana" w:hAnsi="Verdana"/>
          <w:sz w:val="16"/>
          <w:lang w:val="pt-BR"/>
        </w:rPr>
        <w:t xml:space="preserve"> um </w:t>
      </w:r>
      <w:r w:rsidR="004756C1" w:rsidRPr="002F50BD">
        <w:rPr>
          <w:rFonts w:ascii="Verdana" w:hAnsi="Verdana"/>
          <w:sz w:val="16"/>
          <w:lang w:val="pt-BR"/>
        </w:rPr>
        <w:t>papel fundamental</w:t>
      </w:r>
      <w:r w:rsidR="0089298C" w:rsidRPr="002F50BD">
        <w:rPr>
          <w:rFonts w:ascii="Verdana" w:hAnsi="Verdana"/>
          <w:sz w:val="16"/>
          <w:lang w:val="pt-BR"/>
        </w:rPr>
        <w:t xml:space="preserve"> na </w:t>
      </w:r>
      <w:r w:rsidR="004756C1" w:rsidRPr="002F50BD">
        <w:rPr>
          <w:rFonts w:ascii="Verdana" w:hAnsi="Verdana"/>
          <w:sz w:val="16"/>
          <w:lang w:val="pt-BR"/>
        </w:rPr>
        <w:t>Conven</w:t>
      </w:r>
      <w:r w:rsidR="0089298C" w:rsidRPr="002F50BD">
        <w:rPr>
          <w:rFonts w:ascii="Verdana" w:hAnsi="Verdana"/>
          <w:sz w:val="16"/>
          <w:lang w:val="pt-BR"/>
        </w:rPr>
        <w:t>ção</w:t>
      </w:r>
      <w:r w:rsidR="004756C1" w:rsidRPr="002F50BD">
        <w:rPr>
          <w:rFonts w:ascii="Verdana" w:hAnsi="Verdana"/>
          <w:sz w:val="16"/>
          <w:lang w:val="pt-BR"/>
        </w:rPr>
        <w:t xml:space="preserve"> Americana por ser</w:t>
      </w:r>
      <w:r w:rsidR="0089298C" w:rsidRPr="002F50BD">
        <w:rPr>
          <w:rFonts w:ascii="Verdana" w:hAnsi="Verdana"/>
          <w:sz w:val="16"/>
          <w:lang w:val="pt-BR"/>
        </w:rPr>
        <w:t xml:space="preserve"> o </w:t>
      </w:r>
      <w:r w:rsidR="00794692" w:rsidRPr="002F50BD">
        <w:rPr>
          <w:rFonts w:ascii="Verdana" w:hAnsi="Verdana"/>
          <w:sz w:val="16"/>
          <w:lang w:val="pt-BR"/>
        </w:rPr>
        <w:t>corolá</w:t>
      </w:r>
      <w:r w:rsidR="004756C1" w:rsidRPr="002F50BD">
        <w:rPr>
          <w:rFonts w:ascii="Verdana" w:hAnsi="Verdana"/>
          <w:sz w:val="16"/>
          <w:lang w:val="pt-BR"/>
        </w:rPr>
        <w:t xml:space="preserve">rio </w:t>
      </w:r>
      <w:r w:rsidR="0089298C" w:rsidRPr="002F50BD">
        <w:rPr>
          <w:rFonts w:ascii="Verdana" w:hAnsi="Verdana"/>
          <w:sz w:val="16"/>
          <w:lang w:val="pt-BR"/>
        </w:rPr>
        <w:t>essencial</w:t>
      </w:r>
      <w:r w:rsidR="004756C1" w:rsidRPr="002F50BD">
        <w:rPr>
          <w:rFonts w:ascii="Verdana" w:hAnsi="Verdana"/>
          <w:sz w:val="16"/>
          <w:lang w:val="pt-BR"/>
        </w:rPr>
        <w:t xml:space="preserve"> </w:t>
      </w:r>
      <w:r w:rsidR="00CA0A54" w:rsidRPr="002F50BD">
        <w:rPr>
          <w:rFonts w:ascii="Verdana" w:hAnsi="Verdana"/>
          <w:sz w:val="16"/>
          <w:lang w:val="pt-BR"/>
        </w:rPr>
        <w:t>à</w:t>
      </w:r>
      <w:r w:rsidR="0089298C" w:rsidRPr="002F50BD">
        <w:rPr>
          <w:rFonts w:ascii="Verdana" w:hAnsi="Verdana"/>
          <w:sz w:val="16"/>
          <w:lang w:val="pt-BR"/>
        </w:rPr>
        <w:t xml:space="preserve"> </w:t>
      </w:r>
      <w:r w:rsidR="004756C1" w:rsidRPr="002F50BD">
        <w:rPr>
          <w:rFonts w:ascii="Verdana" w:hAnsi="Verdana"/>
          <w:sz w:val="16"/>
          <w:lang w:val="pt-BR"/>
        </w:rPr>
        <w:t>realiza</w:t>
      </w:r>
      <w:r w:rsidR="0089298C" w:rsidRPr="002F50BD">
        <w:rPr>
          <w:rFonts w:ascii="Verdana" w:hAnsi="Verdana"/>
          <w:sz w:val="16"/>
          <w:lang w:val="pt-BR"/>
        </w:rPr>
        <w:t>ção dos demais</w:t>
      </w:r>
      <w:r w:rsidR="004756C1" w:rsidRPr="002F50BD">
        <w:rPr>
          <w:rFonts w:ascii="Verdana" w:hAnsi="Verdana"/>
          <w:sz w:val="16"/>
          <w:lang w:val="pt-BR"/>
        </w:rPr>
        <w:t xml:space="preserve"> </w:t>
      </w:r>
      <w:r w:rsidR="0089298C" w:rsidRPr="002F50BD">
        <w:rPr>
          <w:rFonts w:ascii="Verdana" w:hAnsi="Verdana"/>
          <w:sz w:val="16"/>
          <w:lang w:val="pt-BR"/>
        </w:rPr>
        <w:t>direito</w:t>
      </w:r>
      <w:r w:rsidR="004756C1" w:rsidRPr="002F50BD">
        <w:rPr>
          <w:rFonts w:ascii="Verdana" w:hAnsi="Verdana"/>
          <w:sz w:val="16"/>
          <w:lang w:val="pt-BR"/>
        </w:rPr>
        <w:t>s.</w:t>
      </w:r>
      <w:r w:rsidR="00FE08B7">
        <w:rPr>
          <w:rFonts w:ascii="Verdana" w:hAnsi="Verdana"/>
          <w:sz w:val="16"/>
          <w:lang w:val="pt-BR"/>
        </w:rPr>
        <w:t xml:space="preserve"> </w:t>
      </w:r>
      <w:r w:rsidR="00794692" w:rsidRPr="002F50BD">
        <w:rPr>
          <w:rFonts w:ascii="Verdana" w:hAnsi="Verdana"/>
          <w:sz w:val="16"/>
          <w:lang w:val="pt-BR"/>
        </w:rPr>
        <w:t>A</w:t>
      </w:r>
      <w:r w:rsidR="0089298C" w:rsidRPr="002F50BD">
        <w:rPr>
          <w:rFonts w:ascii="Verdana" w:hAnsi="Verdana"/>
          <w:sz w:val="16"/>
          <w:lang w:val="pt-BR"/>
        </w:rPr>
        <w:t xml:space="preserve">o </w:t>
      </w:r>
      <w:r w:rsidR="004756C1" w:rsidRPr="002F50BD">
        <w:rPr>
          <w:rFonts w:ascii="Verdana" w:hAnsi="Verdana"/>
          <w:sz w:val="16"/>
          <w:lang w:val="pt-BR"/>
        </w:rPr>
        <w:t>n</w:t>
      </w:r>
      <w:r w:rsidR="00794692" w:rsidRPr="002F50BD">
        <w:rPr>
          <w:rFonts w:ascii="Verdana" w:hAnsi="Verdana"/>
          <w:sz w:val="16"/>
          <w:lang w:val="pt-BR"/>
        </w:rPr>
        <w:t>ã</w:t>
      </w:r>
      <w:r w:rsidR="004756C1" w:rsidRPr="002F50BD">
        <w:rPr>
          <w:rFonts w:ascii="Verdana" w:hAnsi="Verdana"/>
          <w:sz w:val="16"/>
          <w:lang w:val="pt-BR"/>
        </w:rPr>
        <w:t>o ser respe</w:t>
      </w:r>
      <w:r w:rsidR="00794692" w:rsidRPr="002F50BD">
        <w:rPr>
          <w:rFonts w:ascii="Verdana" w:hAnsi="Verdana"/>
          <w:sz w:val="16"/>
          <w:lang w:val="pt-BR"/>
        </w:rPr>
        <w:t>i</w:t>
      </w:r>
      <w:r w:rsidR="004756C1" w:rsidRPr="002F50BD">
        <w:rPr>
          <w:rFonts w:ascii="Verdana" w:hAnsi="Verdana"/>
          <w:sz w:val="16"/>
          <w:lang w:val="pt-BR"/>
        </w:rPr>
        <w:t>tado</w:t>
      </w:r>
      <w:r w:rsidR="0089298C" w:rsidRPr="002F50BD">
        <w:rPr>
          <w:rFonts w:ascii="Verdana" w:hAnsi="Verdana"/>
          <w:sz w:val="16"/>
          <w:lang w:val="pt-BR"/>
        </w:rPr>
        <w:t xml:space="preserve"> o direito à </w:t>
      </w:r>
      <w:r w:rsidR="004756C1" w:rsidRPr="002F50BD">
        <w:rPr>
          <w:rFonts w:ascii="Verdana" w:hAnsi="Verdana"/>
          <w:sz w:val="16"/>
          <w:lang w:val="pt-BR"/>
        </w:rPr>
        <w:t>vida, todos</w:t>
      </w:r>
      <w:r w:rsidR="0089298C" w:rsidRPr="002F50BD">
        <w:rPr>
          <w:rFonts w:ascii="Verdana" w:hAnsi="Verdana"/>
          <w:sz w:val="16"/>
          <w:lang w:val="pt-BR"/>
        </w:rPr>
        <w:t xml:space="preserve"> os direito</w:t>
      </w:r>
      <w:r w:rsidR="004756C1" w:rsidRPr="002F50BD">
        <w:rPr>
          <w:rFonts w:ascii="Verdana" w:hAnsi="Verdana"/>
          <w:sz w:val="16"/>
          <w:lang w:val="pt-BR"/>
        </w:rPr>
        <w:t xml:space="preserve">s </w:t>
      </w:r>
      <w:r w:rsidR="004A71D0" w:rsidRPr="002F50BD">
        <w:rPr>
          <w:rFonts w:ascii="Verdana" w:hAnsi="Verdana"/>
          <w:sz w:val="16"/>
          <w:lang w:val="pt-BR"/>
        </w:rPr>
        <w:t>carecem</w:t>
      </w:r>
      <w:r w:rsidR="004756C1" w:rsidRPr="002F50BD">
        <w:rPr>
          <w:rFonts w:ascii="Verdana" w:hAnsi="Verdana"/>
          <w:sz w:val="16"/>
          <w:lang w:val="pt-BR"/>
        </w:rPr>
        <w:t xml:space="preserve"> de sentido</w:t>
      </w:r>
      <w:r w:rsidR="00DB51F0" w:rsidRPr="002F50BD">
        <w:rPr>
          <w:rFonts w:ascii="Verdana" w:hAnsi="Verdana"/>
          <w:sz w:val="16"/>
          <w:lang w:val="pt-BR"/>
        </w:rPr>
        <w:t xml:space="preserve">. Os </w:t>
      </w:r>
      <w:r w:rsidR="004756C1" w:rsidRPr="002F50BD">
        <w:rPr>
          <w:rFonts w:ascii="Verdana" w:hAnsi="Verdana"/>
          <w:sz w:val="16"/>
          <w:lang w:val="pt-BR"/>
        </w:rPr>
        <w:t xml:space="preserve">Estados </w:t>
      </w:r>
      <w:r w:rsidR="004A71D0" w:rsidRPr="002F50BD">
        <w:rPr>
          <w:rFonts w:ascii="Verdana" w:hAnsi="Verdana"/>
          <w:sz w:val="16"/>
          <w:lang w:val="pt-BR"/>
        </w:rPr>
        <w:t>têm a</w:t>
      </w:r>
      <w:r w:rsidR="0089298C" w:rsidRPr="002F50BD">
        <w:rPr>
          <w:rFonts w:ascii="Verdana" w:hAnsi="Verdana"/>
          <w:sz w:val="16"/>
          <w:lang w:val="pt-BR"/>
        </w:rPr>
        <w:t xml:space="preserve"> obrigação</w:t>
      </w:r>
      <w:r w:rsidR="004756C1" w:rsidRPr="002F50BD">
        <w:rPr>
          <w:rFonts w:ascii="Verdana" w:hAnsi="Verdana"/>
          <w:sz w:val="16"/>
          <w:lang w:val="pt-BR"/>
        </w:rPr>
        <w:t xml:space="preserve"> de </w:t>
      </w:r>
      <w:r w:rsidR="0089298C" w:rsidRPr="002F50BD">
        <w:rPr>
          <w:rFonts w:ascii="Verdana" w:hAnsi="Verdana"/>
          <w:sz w:val="16"/>
          <w:lang w:val="pt-BR"/>
        </w:rPr>
        <w:t xml:space="preserve">garantir a criação das </w:t>
      </w:r>
      <w:r w:rsidR="004756C1" w:rsidRPr="002F50BD">
        <w:rPr>
          <w:rFonts w:ascii="Verdana" w:hAnsi="Verdana"/>
          <w:sz w:val="16"/>
          <w:lang w:val="pt-BR"/>
        </w:rPr>
        <w:t>condi</w:t>
      </w:r>
      <w:r w:rsidR="0089298C" w:rsidRPr="002F50BD">
        <w:rPr>
          <w:rFonts w:ascii="Verdana" w:hAnsi="Verdana"/>
          <w:sz w:val="16"/>
          <w:lang w:val="pt-BR"/>
        </w:rPr>
        <w:t>ções</w:t>
      </w:r>
      <w:r w:rsidR="004756C1" w:rsidRPr="002F50BD">
        <w:rPr>
          <w:rFonts w:ascii="Verdana" w:hAnsi="Verdana"/>
          <w:sz w:val="16"/>
          <w:lang w:val="pt-BR"/>
        </w:rPr>
        <w:t xml:space="preserve"> </w:t>
      </w:r>
      <w:r w:rsidR="00CA0A54" w:rsidRPr="002F50BD">
        <w:rPr>
          <w:rFonts w:ascii="Verdana" w:hAnsi="Verdana"/>
          <w:sz w:val="16"/>
          <w:lang w:val="pt-BR"/>
        </w:rPr>
        <w:t>necessárias</w:t>
      </w:r>
      <w:r w:rsidR="004756C1" w:rsidRPr="002F50BD">
        <w:rPr>
          <w:rFonts w:ascii="Verdana" w:hAnsi="Verdana"/>
          <w:sz w:val="16"/>
          <w:lang w:val="pt-BR"/>
        </w:rPr>
        <w:t xml:space="preserve"> para que n</w:t>
      </w:r>
      <w:r w:rsidR="00794692" w:rsidRPr="002F50BD">
        <w:rPr>
          <w:rFonts w:ascii="Verdana" w:hAnsi="Verdana"/>
          <w:sz w:val="16"/>
          <w:lang w:val="pt-BR"/>
        </w:rPr>
        <w:t>ã</w:t>
      </w:r>
      <w:r w:rsidR="004756C1" w:rsidRPr="002F50BD">
        <w:rPr>
          <w:rFonts w:ascii="Verdana" w:hAnsi="Verdana"/>
          <w:sz w:val="16"/>
          <w:lang w:val="pt-BR"/>
        </w:rPr>
        <w:t xml:space="preserve">o se </w:t>
      </w:r>
      <w:r w:rsidR="00794692" w:rsidRPr="002F50BD">
        <w:rPr>
          <w:rFonts w:ascii="Verdana" w:hAnsi="Verdana"/>
          <w:sz w:val="16"/>
          <w:lang w:val="pt-BR"/>
        </w:rPr>
        <w:t>produzam</w:t>
      </w:r>
      <w:r w:rsidR="004756C1" w:rsidRPr="002F50BD">
        <w:rPr>
          <w:rFonts w:ascii="Verdana" w:hAnsi="Verdana"/>
          <w:sz w:val="16"/>
          <w:lang w:val="pt-BR"/>
        </w:rPr>
        <w:t xml:space="preserve"> viola</w:t>
      </w:r>
      <w:r w:rsidR="0089298C" w:rsidRPr="002F50BD">
        <w:rPr>
          <w:rFonts w:ascii="Verdana" w:hAnsi="Verdana"/>
          <w:sz w:val="16"/>
          <w:lang w:val="pt-BR"/>
        </w:rPr>
        <w:t xml:space="preserve">ções </w:t>
      </w:r>
      <w:r w:rsidR="00CA0A54" w:rsidRPr="002F50BD">
        <w:rPr>
          <w:rFonts w:ascii="Verdana" w:hAnsi="Verdana"/>
          <w:sz w:val="16"/>
          <w:lang w:val="pt-BR"/>
        </w:rPr>
        <w:t xml:space="preserve">a </w:t>
      </w:r>
      <w:r w:rsidR="0089298C" w:rsidRPr="002F50BD">
        <w:rPr>
          <w:rFonts w:ascii="Verdana" w:hAnsi="Verdana"/>
          <w:sz w:val="16"/>
          <w:lang w:val="pt-BR"/>
        </w:rPr>
        <w:t>esse direito</w:t>
      </w:r>
      <w:r w:rsidR="004756C1" w:rsidRPr="002F50BD">
        <w:rPr>
          <w:rFonts w:ascii="Verdana" w:hAnsi="Verdana"/>
          <w:sz w:val="16"/>
          <w:lang w:val="pt-BR"/>
        </w:rPr>
        <w:t xml:space="preserve"> </w:t>
      </w:r>
      <w:r w:rsidR="00AB454A" w:rsidRPr="002F50BD">
        <w:rPr>
          <w:rFonts w:ascii="Verdana" w:hAnsi="Verdana"/>
          <w:sz w:val="16"/>
          <w:lang w:val="pt-BR"/>
        </w:rPr>
        <w:t>inalienável</w:t>
      </w:r>
      <w:r w:rsidR="0089298C" w:rsidRPr="002F50BD">
        <w:rPr>
          <w:rFonts w:ascii="Verdana" w:hAnsi="Verdana"/>
          <w:sz w:val="16"/>
          <w:lang w:val="pt-BR"/>
        </w:rPr>
        <w:t xml:space="preserve"> e, em </w:t>
      </w:r>
      <w:r w:rsidR="004756C1" w:rsidRPr="002F50BD">
        <w:rPr>
          <w:rFonts w:ascii="Verdana" w:hAnsi="Verdana"/>
          <w:sz w:val="16"/>
          <w:lang w:val="pt-BR"/>
        </w:rPr>
        <w:t>particular,</w:t>
      </w:r>
      <w:r w:rsidR="0089298C" w:rsidRPr="002F50BD">
        <w:rPr>
          <w:rFonts w:ascii="Verdana" w:hAnsi="Verdana"/>
          <w:sz w:val="16"/>
          <w:lang w:val="pt-BR"/>
        </w:rPr>
        <w:t xml:space="preserve"> o dever</w:t>
      </w:r>
      <w:r w:rsidR="004756C1" w:rsidRPr="002F50BD">
        <w:rPr>
          <w:rFonts w:ascii="Verdana" w:hAnsi="Verdana"/>
          <w:sz w:val="16"/>
          <w:lang w:val="pt-BR"/>
        </w:rPr>
        <w:t xml:space="preserve"> de impedir que </w:t>
      </w:r>
      <w:r w:rsidR="0089298C" w:rsidRPr="002F50BD">
        <w:rPr>
          <w:rFonts w:ascii="Verdana" w:hAnsi="Verdana"/>
          <w:sz w:val="16"/>
          <w:lang w:val="pt-BR"/>
        </w:rPr>
        <w:t>seus agentes</w:t>
      </w:r>
      <w:r w:rsidR="004756C1" w:rsidRPr="002F50BD">
        <w:rPr>
          <w:rFonts w:ascii="Verdana" w:hAnsi="Verdana"/>
          <w:sz w:val="16"/>
          <w:lang w:val="pt-BR"/>
        </w:rPr>
        <w:t xml:space="preserve"> atente</w:t>
      </w:r>
      <w:r w:rsidR="00794692" w:rsidRPr="002F50BD">
        <w:rPr>
          <w:rFonts w:ascii="Verdana" w:hAnsi="Verdana"/>
          <w:sz w:val="16"/>
          <w:lang w:val="pt-BR"/>
        </w:rPr>
        <w:t>m</w:t>
      </w:r>
      <w:r w:rsidR="004756C1" w:rsidRPr="002F50BD">
        <w:rPr>
          <w:rFonts w:ascii="Verdana" w:hAnsi="Verdana"/>
          <w:sz w:val="16"/>
          <w:lang w:val="pt-BR"/>
        </w:rPr>
        <w:t xml:space="preserve"> contra </w:t>
      </w:r>
      <w:r w:rsidR="00794692" w:rsidRPr="002F50BD">
        <w:rPr>
          <w:rFonts w:ascii="Verdana" w:hAnsi="Verdana"/>
          <w:sz w:val="16"/>
          <w:lang w:val="pt-BR"/>
        </w:rPr>
        <w:t>ele.</w:t>
      </w:r>
      <w:r w:rsidR="00D95E71" w:rsidRPr="002F50BD">
        <w:rPr>
          <w:rFonts w:ascii="Verdana" w:hAnsi="Verdana"/>
          <w:sz w:val="16"/>
          <w:lang w:val="pt-BR"/>
        </w:rPr>
        <w:t xml:space="preserve"> O </w:t>
      </w:r>
      <w:r w:rsidR="0089298C" w:rsidRPr="002F50BD">
        <w:rPr>
          <w:rFonts w:ascii="Verdana" w:hAnsi="Verdana"/>
          <w:sz w:val="16"/>
          <w:lang w:val="pt-BR"/>
        </w:rPr>
        <w:t>cumprimento</w:t>
      </w:r>
      <w:r w:rsidR="004756C1" w:rsidRPr="002F50BD">
        <w:rPr>
          <w:rFonts w:ascii="Verdana" w:hAnsi="Verdana"/>
          <w:sz w:val="16"/>
          <w:lang w:val="pt-BR"/>
        </w:rPr>
        <w:t xml:space="preserve"> </w:t>
      </w:r>
      <w:r w:rsidR="0089298C" w:rsidRPr="002F50BD">
        <w:rPr>
          <w:rFonts w:ascii="Verdana" w:hAnsi="Verdana"/>
          <w:sz w:val="16"/>
          <w:lang w:val="pt-BR"/>
        </w:rPr>
        <w:t>do artigo</w:t>
      </w:r>
      <w:r w:rsidR="004756C1" w:rsidRPr="002F50BD">
        <w:rPr>
          <w:rFonts w:ascii="Verdana" w:hAnsi="Verdana"/>
          <w:sz w:val="16"/>
          <w:lang w:val="pt-BR"/>
        </w:rPr>
        <w:t xml:space="preserve"> </w:t>
      </w:r>
      <w:r w:rsidR="00063B47" w:rsidRPr="002F50BD">
        <w:rPr>
          <w:rFonts w:ascii="Verdana" w:hAnsi="Verdana"/>
          <w:sz w:val="16"/>
          <w:lang w:val="pt-BR"/>
        </w:rPr>
        <w:t>4</w:t>
      </w:r>
      <w:r w:rsidR="004756C1" w:rsidRPr="002F50BD">
        <w:rPr>
          <w:rFonts w:ascii="Verdana" w:hAnsi="Verdana"/>
          <w:sz w:val="16"/>
          <w:lang w:val="pt-BR"/>
        </w:rPr>
        <w:t>, relacionado</w:t>
      </w:r>
      <w:r w:rsidR="0089298C" w:rsidRPr="002F50BD">
        <w:rPr>
          <w:rFonts w:ascii="Verdana" w:hAnsi="Verdana"/>
          <w:sz w:val="16"/>
          <w:lang w:val="pt-BR"/>
        </w:rPr>
        <w:t xml:space="preserve"> </w:t>
      </w:r>
      <w:r w:rsidR="00794692" w:rsidRPr="002F50BD">
        <w:rPr>
          <w:rFonts w:ascii="Verdana" w:hAnsi="Verdana"/>
          <w:sz w:val="16"/>
          <w:lang w:val="pt-BR"/>
        </w:rPr>
        <w:t>a</w:t>
      </w:r>
      <w:r w:rsidR="0089298C" w:rsidRPr="002F50BD">
        <w:rPr>
          <w:rFonts w:ascii="Verdana" w:hAnsi="Verdana"/>
          <w:sz w:val="16"/>
          <w:lang w:val="pt-BR"/>
        </w:rPr>
        <w:t>o artigo</w:t>
      </w:r>
      <w:r w:rsidR="004756C1" w:rsidRPr="002F50BD">
        <w:rPr>
          <w:rFonts w:ascii="Verdana" w:hAnsi="Verdana"/>
          <w:sz w:val="16"/>
          <w:lang w:val="pt-BR"/>
        </w:rPr>
        <w:t xml:space="preserve"> </w:t>
      </w:r>
      <w:r w:rsidR="00063B47" w:rsidRPr="002F50BD">
        <w:rPr>
          <w:rFonts w:ascii="Verdana" w:hAnsi="Verdana"/>
          <w:sz w:val="16"/>
          <w:lang w:val="pt-BR"/>
        </w:rPr>
        <w:t>1</w:t>
      </w:r>
      <w:r w:rsidR="004756C1" w:rsidRPr="002F50BD">
        <w:rPr>
          <w:rFonts w:ascii="Verdana" w:hAnsi="Verdana"/>
          <w:sz w:val="16"/>
          <w:lang w:val="pt-BR"/>
        </w:rPr>
        <w:t>.</w:t>
      </w:r>
      <w:r w:rsidR="00063B47" w:rsidRPr="002F50BD">
        <w:rPr>
          <w:rFonts w:ascii="Verdana" w:hAnsi="Verdana"/>
          <w:sz w:val="16"/>
          <w:lang w:val="pt-BR"/>
        </w:rPr>
        <w:t>1</w:t>
      </w:r>
      <w:r w:rsidR="0089298C" w:rsidRPr="002F50BD">
        <w:rPr>
          <w:rFonts w:ascii="Verdana" w:hAnsi="Verdana"/>
          <w:sz w:val="16"/>
          <w:lang w:val="pt-BR"/>
        </w:rPr>
        <w:t xml:space="preserve"> da </w:t>
      </w:r>
      <w:r w:rsidR="004756C1" w:rsidRPr="002F50BD">
        <w:rPr>
          <w:rFonts w:ascii="Verdana" w:hAnsi="Verdana"/>
          <w:sz w:val="16"/>
          <w:lang w:val="pt-BR"/>
        </w:rPr>
        <w:t>Conven</w:t>
      </w:r>
      <w:r w:rsidR="0089298C" w:rsidRPr="002F50BD">
        <w:rPr>
          <w:rFonts w:ascii="Verdana" w:hAnsi="Verdana"/>
          <w:sz w:val="16"/>
          <w:lang w:val="pt-BR"/>
        </w:rPr>
        <w:t>ção</w:t>
      </w:r>
      <w:r w:rsidR="004756C1" w:rsidRPr="002F50BD">
        <w:rPr>
          <w:rFonts w:ascii="Verdana" w:hAnsi="Verdana"/>
          <w:sz w:val="16"/>
          <w:lang w:val="pt-BR"/>
        </w:rPr>
        <w:t xml:space="preserve"> Americana,</w:t>
      </w:r>
      <w:r w:rsidR="00AB454A" w:rsidRPr="002F50BD">
        <w:rPr>
          <w:rFonts w:ascii="Verdana" w:hAnsi="Verdana"/>
          <w:sz w:val="16"/>
          <w:lang w:val="pt-BR"/>
        </w:rPr>
        <w:t xml:space="preserve"> não apenas</w:t>
      </w:r>
      <w:r w:rsidR="004756C1" w:rsidRPr="002F50BD">
        <w:rPr>
          <w:rFonts w:ascii="Verdana" w:hAnsi="Verdana"/>
          <w:sz w:val="16"/>
          <w:lang w:val="pt-BR"/>
        </w:rPr>
        <w:t xml:space="preserve"> pre</w:t>
      </w:r>
      <w:r w:rsidR="0089298C" w:rsidRPr="002F50BD">
        <w:rPr>
          <w:rFonts w:ascii="Verdana" w:hAnsi="Verdana"/>
          <w:sz w:val="16"/>
          <w:lang w:val="pt-BR"/>
        </w:rPr>
        <w:t>supõe</w:t>
      </w:r>
      <w:r w:rsidR="00794692" w:rsidRPr="002F50BD">
        <w:rPr>
          <w:rFonts w:ascii="Verdana" w:hAnsi="Verdana"/>
          <w:sz w:val="16"/>
          <w:lang w:val="pt-BR"/>
        </w:rPr>
        <w:t xml:space="preserve"> </w:t>
      </w:r>
      <w:r w:rsidR="004756C1" w:rsidRPr="002F50BD">
        <w:rPr>
          <w:rFonts w:ascii="Verdana" w:hAnsi="Verdana"/>
          <w:sz w:val="16"/>
          <w:lang w:val="pt-BR"/>
        </w:rPr>
        <w:t xml:space="preserve">que </w:t>
      </w:r>
      <w:r w:rsidR="0089298C" w:rsidRPr="002F50BD">
        <w:rPr>
          <w:rFonts w:ascii="Verdana" w:hAnsi="Verdana"/>
          <w:sz w:val="16"/>
          <w:lang w:val="pt-BR"/>
        </w:rPr>
        <w:t>nenhuma</w:t>
      </w:r>
      <w:r w:rsidR="004756C1" w:rsidRPr="002F50BD">
        <w:rPr>
          <w:rFonts w:ascii="Verdana" w:hAnsi="Verdana"/>
          <w:sz w:val="16"/>
          <w:lang w:val="pt-BR"/>
        </w:rPr>
        <w:t xml:space="preserve"> </w:t>
      </w:r>
      <w:r w:rsidR="0089298C" w:rsidRPr="002F50BD">
        <w:rPr>
          <w:rFonts w:ascii="Verdana" w:hAnsi="Verdana"/>
          <w:sz w:val="16"/>
          <w:lang w:val="pt-BR"/>
        </w:rPr>
        <w:t xml:space="preserve">pessoa seja </w:t>
      </w:r>
      <w:r w:rsidR="004756C1" w:rsidRPr="002F50BD">
        <w:rPr>
          <w:rFonts w:ascii="Verdana" w:hAnsi="Verdana"/>
          <w:sz w:val="16"/>
          <w:lang w:val="pt-BR"/>
        </w:rPr>
        <w:t>privada de</w:t>
      </w:r>
      <w:r w:rsidR="0089298C" w:rsidRPr="002F50BD">
        <w:rPr>
          <w:rFonts w:ascii="Verdana" w:hAnsi="Verdana"/>
          <w:sz w:val="16"/>
          <w:lang w:val="pt-BR"/>
        </w:rPr>
        <w:t xml:space="preserve"> sua vida</w:t>
      </w:r>
      <w:r w:rsidR="004756C1" w:rsidRPr="002F50BD">
        <w:rPr>
          <w:rFonts w:ascii="Verdana" w:hAnsi="Verdana"/>
          <w:sz w:val="16"/>
          <w:lang w:val="pt-BR"/>
        </w:rPr>
        <w:t xml:space="preserve"> </w:t>
      </w:r>
      <w:r w:rsidR="00F55DCA" w:rsidRPr="002F50BD">
        <w:rPr>
          <w:rFonts w:ascii="Verdana" w:hAnsi="Verdana"/>
          <w:sz w:val="16"/>
          <w:lang w:val="pt-BR"/>
        </w:rPr>
        <w:t>arbitrariam</w:t>
      </w:r>
      <w:r w:rsidR="004756C1" w:rsidRPr="002F50BD">
        <w:rPr>
          <w:rFonts w:ascii="Verdana" w:hAnsi="Verdana"/>
          <w:sz w:val="16"/>
          <w:lang w:val="pt-BR"/>
        </w:rPr>
        <w:t xml:space="preserve">ente </w:t>
      </w:r>
      <w:r w:rsidR="00CF451D" w:rsidRPr="00CF451D">
        <w:rPr>
          <w:rFonts w:ascii="Verdana" w:hAnsi="Verdana"/>
          <w:sz w:val="16"/>
          <w:lang w:val="pt-BR"/>
        </w:rPr>
        <w:t>(</w:t>
      </w:r>
      <w:r w:rsidR="0089298C" w:rsidRPr="002F50BD">
        <w:rPr>
          <w:rFonts w:ascii="Verdana" w:hAnsi="Verdana"/>
          <w:sz w:val="16"/>
          <w:lang w:val="pt-BR"/>
        </w:rPr>
        <w:t>obrigação</w:t>
      </w:r>
      <w:r w:rsidR="004756C1" w:rsidRPr="002F50BD">
        <w:rPr>
          <w:rFonts w:ascii="Verdana" w:hAnsi="Verdana"/>
          <w:sz w:val="16"/>
          <w:lang w:val="pt-BR"/>
        </w:rPr>
        <w:t xml:space="preserve"> negativa</w:t>
      </w:r>
      <w:r w:rsidR="00CF451D" w:rsidRPr="00CF451D">
        <w:rPr>
          <w:rFonts w:ascii="Verdana" w:hAnsi="Verdana"/>
          <w:sz w:val="16"/>
          <w:lang w:val="pt-BR"/>
        </w:rPr>
        <w:t>)</w:t>
      </w:r>
      <w:r w:rsidR="004756C1" w:rsidRPr="002F50BD">
        <w:rPr>
          <w:rFonts w:ascii="Verdana" w:hAnsi="Verdana"/>
          <w:sz w:val="16"/>
          <w:lang w:val="pt-BR"/>
        </w:rPr>
        <w:t>,</w:t>
      </w:r>
      <w:r w:rsidR="0089298C" w:rsidRPr="002F50BD">
        <w:rPr>
          <w:rFonts w:ascii="Verdana" w:hAnsi="Verdana"/>
          <w:sz w:val="16"/>
          <w:lang w:val="pt-BR"/>
        </w:rPr>
        <w:t xml:space="preserve"> mas</w:t>
      </w:r>
      <w:r w:rsidR="00794692" w:rsidRPr="002F50BD">
        <w:rPr>
          <w:rFonts w:ascii="Verdana" w:hAnsi="Verdana"/>
          <w:sz w:val="16"/>
          <w:lang w:val="pt-BR"/>
        </w:rPr>
        <w:t>,</w:t>
      </w:r>
      <w:r w:rsidR="004756C1" w:rsidRPr="002F50BD">
        <w:rPr>
          <w:rFonts w:ascii="Verdana" w:hAnsi="Verdana"/>
          <w:sz w:val="16"/>
          <w:lang w:val="pt-BR"/>
        </w:rPr>
        <w:t xml:space="preserve"> </w:t>
      </w:r>
      <w:r w:rsidR="00243D2E" w:rsidRPr="002F50BD">
        <w:rPr>
          <w:rFonts w:ascii="Verdana" w:hAnsi="Verdana"/>
          <w:sz w:val="16"/>
          <w:lang w:val="pt-BR"/>
        </w:rPr>
        <w:t>além disso</w:t>
      </w:r>
      <w:r w:rsidR="00794692" w:rsidRPr="002F50BD">
        <w:rPr>
          <w:rFonts w:ascii="Verdana" w:hAnsi="Verdana"/>
          <w:sz w:val="16"/>
          <w:lang w:val="pt-BR"/>
        </w:rPr>
        <w:t>,</w:t>
      </w:r>
      <w:r w:rsidR="004756C1" w:rsidRPr="002F50BD">
        <w:rPr>
          <w:rFonts w:ascii="Verdana" w:hAnsi="Verdana"/>
          <w:sz w:val="16"/>
          <w:lang w:val="pt-BR"/>
        </w:rPr>
        <w:t xml:space="preserve"> </w:t>
      </w:r>
      <w:r w:rsidR="0089298C" w:rsidRPr="002F50BD">
        <w:rPr>
          <w:rFonts w:ascii="Verdana" w:hAnsi="Verdana"/>
          <w:sz w:val="16"/>
          <w:lang w:val="pt-BR"/>
        </w:rPr>
        <w:t xml:space="preserve">requer </w:t>
      </w:r>
      <w:r w:rsidR="004756C1" w:rsidRPr="002F50BD">
        <w:rPr>
          <w:rFonts w:ascii="Verdana" w:hAnsi="Verdana"/>
          <w:sz w:val="16"/>
          <w:lang w:val="pt-BR"/>
        </w:rPr>
        <w:t>que</w:t>
      </w:r>
      <w:r w:rsidR="0089298C" w:rsidRPr="002F50BD">
        <w:rPr>
          <w:rFonts w:ascii="Verdana" w:hAnsi="Verdana"/>
          <w:sz w:val="16"/>
          <w:lang w:val="pt-BR"/>
        </w:rPr>
        <w:t xml:space="preserve"> os </w:t>
      </w:r>
      <w:r w:rsidR="004756C1" w:rsidRPr="002F50BD">
        <w:rPr>
          <w:rFonts w:ascii="Verdana" w:hAnsi="Verdana"/>
          <w:sz w:val="16"/>
          <w:lang w:val="pt-BR"/>
        </w:rPr>
        <w:t xml:space="preserve">Estados </w:t>
      </w:r>
      <w:r w:rsidR="00794692" w:rsidRPr="002F50BD">
        <w:rPr>
          <w:rFonts w:ascii="Verdana" w:hAnsi="Verdana"/>
          <w:sz w:val="16"/>
          <w:lang w:val="pt-BR"/>
        </w:rPr>
        <w:t>tomem</w:t>
      </w:r>
      <w:r w:rsidR="004756C1" w:rsidRPr="002F50BD">
        <w:rPr>
          <w:rFonts w:ascii="Verdana" w:hAnsi="Verdana"/>
          <w:sz w:val="16"/>
          <w:lang w:val="pt-BR"/>
        </w:rPr>
        <w:t xml:space="preserve"> todas</w:t>
      </w:r>
      <w:r w:rsidR="0089298C" w:rsidRPr="002F50BD">
        <w:rPr>
          <w:rFonts w:ascii="Verdana" w:hAnsi="Verdana"/>
          <w:sz w:val="16"/>
          <w:lang w:val="pt-BR"/>
        </w:rPr>
        <w:t xml:space="preserve"> as </w:t>
      </w:r>
      <w:r w:rsidR="004756C1" w:rsidRPr="002F50BD">
        <w:rPr>
          <w:rFonts w:ascii="Verdana" w:hAnsi="Verdana"/>
          <w:sz w:val="16"/>
          <w:lang w:val="pt-BR"/>
        </w:rPr>
        <w:t xml:space="preserve">medidas </w:t>
      </w:r>
      <w:r w:rsidR="0089298C" w:rsidRPr="002F50BD">
        <w:rPr>
          <w:rFonts w:ascii="Verdana" w:hAnsi="Verdana"/>
          <w:sz w:val="16"/>
          <w:lang w:val="pt-BR"/>
        </w:rPr>
        <w:t>apropriad</w:t>
      </w:r>
      <w:r w:rsidR="004756C1" w:rsidRPr="002F50BD">
        <w:rPr>
          <w:rFonts w:ascii="Verdana" w:hAnsi="Verdana"/>
          <w:sz w:val="16"/>
          <w:lang w:val="pt-BR"/>
        </w:rPr>
        <w:t>as para proteger</w:t>
      </w:r>
      <w:r w:rsidR="0089298C" w:rsidRPr="002F50BD">
        <w:rPr>
          <w:rFonts w:ascii="Verdana" w:hAnsi="Verdana"/>
          <w:sz w:val="16"/>
          <w:lang w:val="pt-BR"/>
        </w:rPr>
        <w:t xml:space="preserve"> e </w:t>
      </w:r>
      <w:r w:rsidR="004756C1" w:rsidRPr="002F50BD">
        <w:rPr>
          <w:rFonts w:ascii="Verdana" w:hAnsi="Verdana"/>
          <w:sz w:val="16"/>
          <w:lang w:val="pt-BR"/>
        </w:rPr>
        <w:t>preservar</w:t>
      </w:r>
      <w:r w:rsidR="0089298C" w:rsidRPr="002F50BD">
        <w:rPr>
          <w:rFonts w:ascii="Verdana" w:hAnsi="Verdana"/>
          <w:sz w:val="16"/>
          <w:lang w:val="pt-BR"/>
        </w:rPr>
        <w:t xml:space="preserve"> o direito à </w:t>
      </w:r>
      <w:r w:rsidR="004756C1" w:rsidRPr="002F50BD">
        <w:rPr>
          <w:rFonts w:ascii="Verdana" w:hAnsi="Verdana"/>
          <w:sz w:val="16"/>
          <w:lang w:val="pt-BR"/>
        </w:rPr>
        <w:t xml:space="preserve">vida </w:t>
      </w:r>
      <w:r w:rsidR="00CF451D" w:rsidRPr="00CF451D">
        <w:rPr>
          <w:rFonts w:ascii="Verdana" w:hAnsi="Verdana"/>
          <w:sz w:val="16"/>
          <w:lang w:val="pt-BR"/>
        </w:rPr>
        <w:t>(</w:t>
      </w:r>
      <w:r w:rsidR="0089298C" w:rsidRPr="002F50BD">
        <w:rPr>
          <w:rFonts w:ascii="Verdana" w:hAnsi="Verdana"/>
          <w:sz w:val="16"/>
          <w:lang w:val="pt-BR"/>
        </w:rPr>
        <w:t>obrigação</w:t>
      </w:r>
      <w:r w:rsidR="004756C1" w:rsidRPr="002F50BD">
        <w:rPr>
          <w:rFonts w:ascii="Verdana" w:hAnsi="Verdana"/>
          <w:sz w:val="16"/>
          <w:lang w:val="pt-BR"/>
        </w:rPr>
        <w:t xml:space="preserve"> positiva</w:t>
      </w:r>
      <w:r w:rsidR="00CF451D" w:rsidRPr="00CF451D">
        <w:rPr>
          <w:rFonts w:ascii="Verdana" w:hAnsi="Verdana"/>
          <w:sz w:val="16"/>
          <w:lang w:val="pt-BR"/>
        </w:rPr>
        <w:t>)</w:t>
      </w:r>
      <w:r w:rsidR="004756C1" w:rsidRPr="002F50BD">
        <w:rPr>
          <w:rFonts w:ascii="Verdana" w:hAnsi="Verdana"/>
          <w:sz w:val="16"/>
          <w:lang w:val="pt-BR"/>
        </w:rPr>
        <w:t>,</w:t>
      </w:r>
      <w:r w:rsidR="0089298C" w:rsidRPr="002F50BD">
        <w:rPr>
          <w:rFonts w:ascii="Verdana" w:hAnsi="Verdana"/>
          <w:sz w:val="16"/>
          <w:lang w:val="pt-BR"/>
        </w:rPr>
        <w:t xml:space="preserve"> sob seu dever</w:t>
      </w:r>
      <w:r w:rsidR="004756C1" w:rsidRPr="002F50BD">
        <w:rPr>
          <w:rFonts w:ascii="Verdana" w:hAnsi="Verdana"/>
          <w:sz w:val="16"/>
          <w:lang w:val="pt-BR"/>
        </w:rPr>
        <w:t xml:space="preserve"> de </w:t>
      </w:r>
      <w:r w:rsidR="0089298C" w:rsidRPr="002F50BD">
        <w:rPr>
          <w:rFonts w:ascii="Verdana" w:hAnsi="Verdana"/>
          <w:sz w:val="16"/>
          <w:lang w:val="pt-BR"/>
        </w:rPr>
        <w:t xml:space="preserve">garantir o </w:t>
      </w:r>
      <w:r w:rsidR="004756C1" w:rsidRPr="002F50BD">
        <w:rPr>
          <w:rFonts w:ascii="Verdana" w:hAnsi="Verdana"/>
          <w:sz w:val="16"/>
          <w:lang w:val="pt-BR"/>
        </w:rPr>
        <w:t>pleno</w:t>
      </w:r>
      <w:r w:rsidR="0089298C" w:rsidRPr="002F50BD">
        <w:rPr>
          <w:rFonts w:ascii="Verdana" w:hAnsi="Verdana"/>
          <w:sz w:val="16"/>
          <w:lang w:val="pt-BR"/>
        </w:rPr>
        <w:t xml:space="preserve"> e livre exercício dos direito</w:t>
      </w:r>
      <w:r w:rsidR="004756C1" w:rsidRPr="002F50BD">
        <w:rPr>
          <w:rFonts w:ascii="Verdana" w:hAnsi="Verdana"/>
          <w:sz w:val="16"/>
          <w:lang w:val="pt-BR"/>
        </w:rPr>
        <w:t>s de todas</w:t>
      </w:r>
      <w:r w:rsidR="0089298C" w:rsidRPr="002F50BD">
        <w:rPr>
          <w:rFonts w:ascii="Verdana" w:hAnsi="Verdana"/>
          <w:sz w:val="16"/>
          <w:lang w:val="pt-BR"/>
        </w:rPr>
        <w:t xml:space="preserve"> as pessoa</w:t>
      </w:r>
      <w:r w:rsidR="004756C1" w:rsidRPr="002F50BD">
        <w:rPr>
          <w:rFonts w:ascii="Verdana" w:hAnsi="Verdana"/>
          <w:sz w:val="16"/>
          <w:lang w:val="pt-BR"/>
        </w:rPr>
        <w:t>s</w:t>
      </w:r>
      <w:r w:rsidR="0089298C" w:rsidRPr="002F50BD">
        <w:rPr>
          <w:rFonts w:ascii="Verdana" w:hAnsi="Verdana"/>
          <w:sz w:val="16"/>
          <w:lang w:val="pt-BR"/>
        </w:rPr>
        <w:t xml:space="preserve"> sob sua jurisdição</w:t>
      </w:r>
      <w:r w:rsidR="001A0CDE" w:rsidRPr="002F50BD">
        <w:rPr>
          <w:rFonts w:ascii="Verdana" w:hAnsi="Verdana"/>
          <w:sz w:val="16"/>
          <w:lang w:val="pt-BR"/>
        </w:rPr>
        <w:t>. Est</w:t>
      </w:r>
      <w:r w:rsidR="004756C1" w:rsidRPr="002F50BD">
        <w:rPr>
          <w:rFonts w:ascii="Verdana" w:hAnsi="Verdana"/>
          <w:sz w:val="16"/>
          <w:lang w:val="pt-BR"/>
        </w:rPr>
        <w:t xml:space="preserve">a </w:t>
      </w:r>
      <w:r w:rsidR="0089298C" w:rsidRPr="002F50BD">
        <w:rPr>
          <w:rFonts w:ascii="Verdana" w:hAnsi="Verdana"/>
          <w:sz w:val="16"/>
          <w:lang w:val="pt-BR"/>
        </w:rPr>
        <w:t>proteção</w:t>
      </w:r>
      <w:r w:rsidR="004756C1" w:rsidRPr="002F50BD">
        <w:rPr>
          <w:rFonts w:ascii="Verdana" w:hAnsi="Verdana"/>
          <w:sz w:val="16"/>
          <w:lang w:val="pt-BR"/>
        </w:rPr>
        <w:t xml:space="preserve"> </w:t>
      </w:r>
      <w:r w:rsidR="0089298C" w:rsidRPr="002F50BD">
        <w:rPr>
          <w:rFonts w:ascii="Verdana" w:hAnsi="Verdana"/>
          <w:sz w:val="16"/>
          <w:lang w:val="pt-BR"/>
        </w:rPr>
        <w:t>ativ</w:t>
      </w:r>
      <w:r w:rsidR="004756C1" w:rsidRPr="002F50BD">
        <w:rPr>
          <w:rFonts w:ascii="Verdana" w:hAnsi="Verdana"/>
          <w:sz w:val="16"/>
          <w:lang w:val="pt-BR"/>
        </w:rPr>
        <w:t xml:space="preserve">a </w:t>
      </w:r>
      <w:r w:rsidR="0089298C" w:rsidRPr="002F50BD">
        <w:rPr>
          <w:rFonts w:ascii="Verdana" w:hAnsi="Verdana"/>
          <w:sz w:val="16"/>
          <w:lang w:val="pt-BR"/>
        </w:rPr>
        <w:t xml:space="preserve">do direito à </w:t>
      </w:r>
      <w:r w:rsidR="004756C1" w:rsidRPr="002F50BD">
        <w:rPr>
          <w:rFonts w:ascii="Verdana" w:hAnsi="Verdana"/>
          <w:sz w:val="16"/>
          <w:lang w:val="pt-BR"/>
        </w:rPr>
        <w:t xml:space="preserve">vida por parte </w:t>
      </w:r>
      <w:r w:rsidR="0089298C" w:rsidRPr="002F50BD">
        <w:rPr>
          <w:rFonts w:ascii="Verdana" w:hAnsi="Verdana"/>
          <w:sz w:val="16"/>
          <w:lang w:val="pt-BR"/>
        </w:rPr>
        <w:t xml:space="preserve">do </w:t>
      </w:r>
      <w:r w:rsidR="004756C1" w:rsidRPr="002F50BD">
        <w:rPr>
          <w:rFonts w:ascii="Verdana" w:hAnsi="Verdana"/>
          <w:sz w:val="16"/>
          <w:lang w:val="pt-BR"/>
        </w:rPr>
        <w:t>Estado</w:t>
      </w:r>
      <w:r w:rsidR="00AB454A" w:rsidRPr="002F50BD">
        <w:rPr>
          <w:rFonts w:ascii="Verdana" w:hAnsi="Verdana"/>
          <w:sz w:val="16"/>
          <w:lang w:val="pt-BR"/>
        </w:rPr>
        <w:t xml:space="preserve"> não apenas</w:t>
      </w:r>
      <w:r w:rsidR="004756C1" w:rsidRPr="002F50BD">
        <w:rPr>
          <w:rFonts w:ascii="Verdana" w:hAnsi="Verdana"/>
          <w:sz w:val="16"/>
          <w:lang w:val="pt-BR"/>
        </w:rPr>
        <w:t xml:space="preserve"> </w:t>
      </w:r>
      <w:r w:rsidR="0089298C" w:rsidRPr="002F50BD">
        <w:rPr>
          <w:rFonts w:ascii="Verdana" w:hAnsi="Verdana"/>
          <w:sz w:val="16"/>
          <w:lang w:val="pt-BR"/>
        </w:rPr>
        <w:t>envolve</w:t>
      </w:r>
      <w:r w:rsidR="004756C1" w:rsidRPr="002F50BD">
        <w:rPr>
          <w:rFonts w:ascii="Verdana" w:hAnsi="Verdana"/>
          <w:sz w:val="16"/>
          <w:lang w:val="pt-BR"/>
        </w:rPr>
        <w:t xml:space="preserve"> s</w:t>
      </w:r>
      <w:r w:rsidR="00794692" w:rsidRPr="002F50BD">
        <w:rPr>
          <w:rFonts w:ascii="Verdana" w:hAnsi="Verdana"/>
          <w:sz w:val="16"/>
          <w:lang w:val="pt-BR"/>
        </w:rPr>
        <w:t>e</w:t>
      </w:r>
      <w:r w:rsidR="004756C1" w:rsidRPr="002F50BD">
        <w:rPr>
          <w:rFonts w:ascii="Verdana" w:hAnsi="Verdana"/>
          <w:sz w:val="16"/>
          <w:lang w:val="pt-BR"/>
        </w:rPr>
        <w:t>us legisladores,</w:t>
      </w:r>
      <w:r w:rsidR="00243D2E" w:rsidRPr="002F50BD">
        <w:rPr>
          <w:rFonts w:ascii="Verdana" w:hAnsi="Verdana"/>
          <w:sz w:val="16"/>
          <w:lang w:val="pt-BR"/>
        </w:rPr>
        <w:t xml:space="preserve"> mas</w:t>
      </w:r>
      <w:r w:rsidR="004756C1" w:rsidRPr="002F50BD">
        <w:rPr>
          <w:rFonts w:ascii="Verdana" w:hAnsi="Verdana"/>
          <w:sz w:val="16"/>
          <w:lang w:val="pt-BR"/>
        </w:rPr>
        <w:t xml:space="preserve"> toda </w:t>
      </w:r>
      <w:r w:rsidR="0089298C" w:rsidRPr="002F50BD">
        <w:rPr>
          <w:rFonts w:ascii="Verdana" w:hAnsi="Verdana"/>
          <w:sz w:val="16"/>
          <w:lang w:val="pt-BR"/>
        </w:rPr>
        <w:t>instituição</w:t>
      </w:r>
      <w:r w:rsidR="004756C1" w:rsidRPr="002F50BD">
        <w:rPr>
          <w:rFonts w:ascii="Verdana" w:hAnsi="Verdana"/>
          <w:sz w:val="16"/>
          <w:lang w:val="pt-BR"/>
        </w:rPr>
        <w:t xml:space="preserve"> estatal.</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23</w:t>
      </w:r>
      <w:r w:rsidR="004756C1" w:rsidRPr="002F50BD">
        <w:rPr>
          <w:rFonts w:ascii="Verdana" w:hAnsi="Verdana"/>
          <w:sz w:val="20"/>
          <w:lang w:val="pt-BR"/>
        </w:rPr>
        <w:t>.</w:t>
      </w:r>
      <w:r w:rsidR="004756C1" w:rsidRPr="002F50BD">
        <w:rPr>
          <w:rFonts w:ascii="Verdana" w:hAnsi="Verdana"/>
          <w:sz w:val="20"/>
          <w:lang w:val="pt-BR"/>
        </w:rPr>
        <w:tab/>
        <w:t>Por t</w:t>
      </w:r>
      <w:r w:rsidR="00794692" w:rsidRPr="002F50BD">
        <w:rPr>
          <w:rFonts w:ascii="Verdana" w:hAnsi="Verdana"/>
          <w:sz w:val="20"/>
          <w:lang w:val="pt-BR"/>
        </w:rPr>
        <w:t xml:space="preserve">udo o que foi exposto </w:t>
      </w:r>
      <w:r w:rsidR="004756C1" w:rsidRPr="002F50BD">
        <w:rPr>
          <w:rFonts w:ascii="Verdana" w:hAnsi="Verdana"/>
          <w:sz w:val="20"/>
          <w:lang w:val="pt-BR"/>
        </w:rPr>
        <w:t>anteriormente, concluimos que, para que</w:t>
      </w:r>
      <w:r w:rsidR="0089298C" w:rsidRPr="002F50BD">
        <w:rPr>
          <w:rFonts w:ascii="Verdana" w:hAnsi="Verdana"/>
          <w:sz w:val="20"/>
          <w:lang w:val="pt-BR"/>
        </w:rPr>
        <w:t xml:space="preserve"> o ponto </w:t>
      </w:r>
      <w:r w:rsidR="004756C1" w:rsidRPr="002F50BD">
        <w:rPr>
          <w:rFonts w:ascii="Verdana" w:hAnsi="Verdana"/>
          <w:sz w:val="20"/>
          <w:lang w:val="pt-BR"/>
        </w:rPr>
        <w:t xml:space="preserve">resolutivo </w:t>
      </w:r>
      <w:r w:rsidR="00A157C9">
        <w:rPr>
          <w:rFonts w:ascii="Verdana" w:hAnsi="Verdana"/>
          <w:sz w:val="20"/>
          <w:lang w:val="pt-BR"/>
        </w:rPr>
        <w:t>nº</w:t>
      </w:r>
      <w:r w:rsidR="004756C1" w:rsidRPr="002F50BD">
        <w:rPr>
          <w:rFonts w:ascii="Verdana" w:hAnsi="Verdana"/>
          <w:sz w:val="20"/>
          <w:lang w:val="pt-BR"/>
        </w:rPr>
        <w:t xml:space="preserve"> </w:t>
      </w:r>
      <w:r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n</w:t>
      </w:r>
      <w:r w:rsidR="00794692" w:rsidRPr="002F50BD">
        <w:rPr>
          <w:rFonts w:ascii="Verdana" w:hAnsi="Verdana"/>
          <w:sz w:val="20"/>
          <w:lang w:val="pt-BR"/>
        </w:rPr>
        <w:t>ã</w:t>
      </w:r>
      <w:r w:rsidR="004756C1" w:rsidRPr="002F50BD">
        <w:rPr>
          <w:rFonts w:ascii="Verdana" w:hAnsi="Verdana"/>
          <w:sz w:val="20"/>
          <w:lang w:val="pt-BR"/>
        </w:rPr>
        <w:t xml:space="preserve">o </w:t>
      </w:r>
      <w:r w:rsidR="004076AD" w:rsidRPr="002F50BD">
        <w:rPr>
          <w:rFonts w:ascii="Verdana" w:hAnsi="Verdana"/>
          <w:sz w:val="20"/>
          <w:lang w:val="pt-BR"/>
        </w:rPr>
        <w:t>fosse</w:t>
      </w:r>
      <w:r w:rsidR="004756C1" w:rsidRPr="002F50BD">
        <w:rPr>
          <w:rFonts w:ascii="Verdana" w:hAnsi="Verdana"/>
          <w:sz w:val="20"/>
          <w:lang w:val="pt-BR"/>
        </w:rPr>
        <w:t xml:space="preserve"> contr</w:t>
      </w:r>
      <w:r w:rsidR="00794692" w:rsidRPr="002F50BD">
        <w:rPr>
          <w:rFonts w:ascii="Verdana" w:hAnsi="Verdana"/>
          <w:sz w:val="20"/>
          <w:lang w:val="pt-BR"/>
        </w:rPr>
        <w:t>á</w:t>
      </w:r>
      <w:r w:rsidR="004756C1" w:rsidRPr="002F50BD">
        <w:rPr>
          <w:rFonts w:ascii="Verdana" w:hAnsi="Verdana"/>
          <w:sz w:val="20"/>
          <w:lang w:val="pt-BR"/>
        </w:rPr>
        <w:t>rio a todo</w:t>
      </w:r>
      <w:r w:rsidR="0089298C" w:rsidRPr="002F50BD">
        <w:rPr>
          <w:rFonts w:ascii="Verdana" w:hAnsi="Verdana"/>
          <w:sz w:val="20"/>
          <w:lang w:val="pt-BR"/>
        </w:rPr>
        <w:t xml:space="preserve"> o </w:t>
      </w:r>
      <w:r w:rsidR="004756C1" w:rsidRPr="002F50BD">
        <w:rPr>
          <w:rFonts w:ascii="Verdana" w:hAnsi="Verdana"/>
          <w:i/>
          <w:sz w:val="20"/>
          <w:lang w:val="pt-BR"/>
        </w:rPr>
        <w:t>corpus</w:t>
      </w:r>
      <w:r w:rsidR="0089298C" w:rsidRPr="002F50BD">
        <w:rPr>
          <w:rFonts w:ascii="Verdana" w:hAnsi="Verdana"/>
          <w:sz w:val="20"/>
          <w:lang w:val="pt-BR"/>
        </w:rPr>
        <w:t xml:space="preserve"> da mesm</w:t>
      </w:r>
      <w:r w:rsidR="004756C1" w:rsidRPr="002F50BD">
        <w:rPr>
          <w:rFonts w:ascii="Verdana" w:hAnsi="Verdana"/>
          <w:sz w:val="20"/>
          <w:lang w:val="pt-BR"/>
        </w:rPr>
        <w:t>a</w:t>
      </w:r>
      <w:r w:rsidR="0089298C" w:rsidRPr="002F50BD">
        <w:rPr>
          <w:rFonts w:ascii="Verdana" w:hAnsi="Verdana"/>
          <w:sz w:val="20"/>
          <w:lang w:val="pt-BR"/>
        </w:rPr>
        <w:t>, e</w:t>
      </w:r>
      <w:r w:rsidR="004756C1" w:rsidRPr="002F50BD">
        <w:rPr>
          <w:rFonts w:ascii="Verdana" w:hAnsi="Verdana"/>
          <w:sz w:val="20"/>
          <w:lang w:val="pt-BR"/>
        </w:rPr>
        <w:t xml:space="preserve"> </w:t>
      </w:r>
      <w:r w:rsidR="0089298C" w:rsidRPr="002F50BD">
        <w:rPr>
          <w:rFonts w:ascii="Verdana" w:hAnsi="Verdana"/>
          <w:sz w:val="20"/>
          <w:lang w:val="pt-BR"/>
        </w:rPr>
        <w:t>manifesta</w:t>
      </w:r>
      <w:r w:rsidR="004756C1" w:rsidRPr="002F50BD">
        <w:rPr>
          <w:rFonts w:ascii="Verdana" w:hAnsi="Verdana"/>
          <w:sz w:val="20"/>
          <w:lang w:val="pt-BR"/>
        </w:rPr>
        <w:t xml:space="preserve">mente </w:t>
      </w:r>
      <w:r w:rsidR="0089298C" w:rsidRPr="002F50BD">
        <w:rPr>
          <w:rFonts w:ascii="Verdana" w:hAnsi="Verdana"/>
          <w:sz w:val="20"/>
          <w:lang w:val="pt-BR"/>
        </w:rPr>
        <w:t xml:space="preserve">contraditório </w:t>
      </w:r>
      <w:r w:rsidR="00A46C2A" w:rsidRPr="002F50BD">
        <w:rPr>
          <w:rFonts w:ascii="Verdana" w:hAnsi="Verdana"/>
          <w:sz w:val="20"/>
          <w:lang w:val="pt-BR"/>
        </w:rPr>
        <w:t>aos</w:t>
      </w:r>
      <w:r w:rsidR="0089298C" w:rsidRPr="002F50BD">
        <w:rPr>
          <w:rFonts w:ascii="Verdana" w:hAnsi="Verdana"/>
          <w:sz w:val="20"/>
          <w:lang w:val="pt-BR"/>
        </w:rPr>
        <w:t xml:space="preserve"> </w:t>
      </w:r>
      <w:r w:rsidR="00794692" w:rsidRPr="002F50BD">
        <w:rPr>
          <w:rFonts w:ascii="Verdana" w:hAnsi="Verdana"/>
          <w:sz w:val="20"/>
          <w:lang w:val="pt-BR"/>
        </w:rPr>
        <w:t>seus pontos</w:t>
      </w:r>
      <w:r w:rsidR="004756C1" w:rsidRPr="002F50BD">
        <w:rPr>
          <w:rFonts w:ascii="Verdana" w:hAnsi="Verdana"/>
          <w:sz w:val="20"/>
          <w:lang w:val="pt-BR"/>
        </w:rPr>
        <w:t xml:space="preserve"> resolutivos </w:t>
      </w:r>
      <w:r w:rsidR="00A157C9">
        <w:rPr>
          <w:rFonts w:ascii="Verdana" w:hAnsi="Verdana"/>
          <w:sz w:val="20"/>
          <w:lang w:val="pt-BR"/>
        </w:rPr>
        <w:t>nº</w:t>
      </w:r>
      <w:r w:rsidR="004756C1" w:rsidRPr="002F50BD">
        <w:rPr>
          <w:rFonts w:ascii="Verdana" w:hAnsi="Verdana"/>
          <w:sz w:val="20"/>
          <w:lang w:val="pt-BR"/>
        </w:rPr>
        <w:t xml:space="preserve"> </w:t>
      </w:r>
      <w:r w:rsidRPr="002F50BD">
        <w:rPr>
          <w:rFonts w:ascii="Verdana" w:hAnsi="Verdana"/>
          <w:sz w:val="20"/>
          <w:lang w:val="pt-BR"/>
        </w:rPr>
        <w:t>3</w:t>
      </w:r>
      <w:r w:rsidR="0089298C" w:rsidRPr="002F50BD">
        <w:rPr>
          <w:rFonts w:ascii="Verdana" w:hAnsi="Verdana"/>
          <w:sz w:val="20"/>
          <w:lang w:val="pt-BR"/>
        </w:rPr>
        <w:t xml:space="preserve"> e </w:t>
      </w:r>
      <w:r w:rsidRPr="002F50BD">
        <w:rPr>
          <w:rFonts w:ascii="Verdana" w:hAnsi="Verdana"/>
          <w:sz w:val="20"/>
          <w:lang w:val="pt-BR"/>
        </w:rPr>
        <w:t>7</w:t>
      </w:r>
      <w:r w:rsidR="004756C1"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794692" w:rsidRPr="002F50BD">
        <w:rPr>
          <w:rFonts w:ascii="Verdana" w:hAnsi="Verdana"/>
          <w:sz w:val="20"/>
          <w:lang w:val="pt-BR"/>
        </w:rPr>
        <w:t>dev</w:t>
      </w:r>
      <w:r w:rsidR="00A157C9">
        <w:rPr>
          <w:rFonts w:ascii="Verdana" w:hAnsi="Verdana"/>
          <w:sz w:val="20"/>
          <w:lang w:val="pt-BR"/>
        </w:rPr>
        <w:t>er</w:t>
      </w:r>
      <w:r w:rsidR="00794692" w:rsidRPr="002F50BD">
        <w:rPr>
          <w:rFonts w:ascii="Verdana" w:hAnsi="Verdana"/>
          <w:sz w:val="20"/>
          <w:lang w:val="pt-BR"/>
        </w:rPr>
        <w:t>ia</w:t>
      </w:r>
      <w:r w:rsidR="00FE08B7">
        <w:rPr>
          <w:rFonts w:ascii="Verdana" w:hAnsi="Verdana"/>
          <w:sz w:val="20"/>
          <w:lang w:val="pt-BR"/>
        </w:rPr>
        <w:t xml:space="preserve"> </w:t>
      </w:r>
      <w:r w:rsidR="0089298C" w:rsidRPr="002F50BD">
        <w:rPr>
          <w:rFonts w:ascii="Verdana" w:hAnsi="Verdana"/>
          <w:sz w:val="20"/>
          <w:lang w:val="pt-BR"/>
        </w:rPr>
        <w:t>ter</w:t>
      </w:r>
      <w:r w:rsidR="004756C1" w:rsidRPr="002F50BD">
        <w:rPr>
          <w:rFonts w:ascii="Verdana" w:hAnsi="Verdana"/>
          <w:sz w:val="20"/>
          <w:lang w:val="pt-BR"/>
        </w:rPr>
        <w:t xml:space="preserve"> re</w:t>
      </w:r>
      <w:r w:rsidR="0089298C" w:rsidRPr="002F50BD">
        <w:rPr>
          <w:rFonts w:ascii="Verdana" w:hAnsi="Verdana"/>
          <w:sz w:val="20"/>
          <w:lang w:val="pt-BR"/>
        </w:rPr>
        <w:t xml:space="preserve">conhecido a responsabilidade </w:t>
      </w:r>
      <w:r w:rsidR="004756C1" w:rsidRPr="002F50BD">
        <w:rPr>
          <w:rFonts w:ascii="Verdana" w:hAnsi="Verdana"/>
          <w:sz w:val="20"/>
          <w:lang w:val="pt-BR"/>
        </w:rPr>
        <w:t xml:space="preserve">internacional objetiva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00794692" w:rsidRPr="002F50BD">
        <w:rPr>
          <w:rFonts w:ascii="Verdana" w:hAnsi="Verdana"/>
          <w:sz w:val="20"/>
          <w:lang w:val="pt-BR"/>
        </w:rPr>
        <w:t>a</w:t>
      </w:r>
      <w:r w:rsidR="004756C1" w:rsidRPr="002F50BD">
        <w:rPr>
          <w:rFonts w:ascii="Verdana" w:hAnsi="Verdana"/>
          <w:sz w:val="20"/>
          <w:lang w:val="pt-BR"/>
        </w:rPr>
        <w:t xml:space="preserve"> falta de </w:t>
      </w:r>
      <w:r w:rsidR="0089298C" w:rsidRPr="002F50BD">
        <w:rPr>
          <w:rFonts w:ascii="Verdana" w:hAnsi="Verdana"/>
          <w:sz w:val="20"/>
          <w:lang w:val="pt-BR"/>
        </w:rPr>
        <w:t>devida diligência</w:t>
      </w:r>
      <w:r w:rsidR="004756C1" w:rsidRPr="002F50BD">
        <w:rPr>
          <w:rFonts w:ascii="Verdana" w:hAnsi="Verdana"/>
          <w:sz w:val="20"/>
          <w:lang w:val="pt-BR"/>
        </w:rPr>
        <w:t>, como nexo causal</w:t>
      </w:r>
      <w:r w:rsidR="0089298C" w:rsidRPr="002F50BD">
        <w:rPr>
          <w:rFonts w:ascii="Verdana" w:hAnsi="Verdana"/>
          <w:sz w:val="20"/>
          <w:lang w:val="pt-BR"/>
        </w:rPr>
        <w:t xml:space="preserve"> da morte dos dez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 xml:space="preserve">Yakye Axa </w:t>
      </w:r>
      <w:r w:rsidR="00794692" w:rsidRPr="002F50BD">
        <w:rPr>
          <w:rFonts w:ascii="Verdana" w:hAnsi="Verdana"/>
          <w:sz w:val="20"/>
          <w:lang w:val="pt-BR"/>
        </w:rPr>
        <w:t>e</w:t>
      </w:r>
      <w:r w:rsidR="004756C1" w:rsidRPr="002F50BD">
        <w:rPr>
          <w:rFonts w:ascii="Verdana" w:hAnsi="Verdana"/>
          <w:sz w:val="20"/>
          <w:lang w:val="pt-BR"/>
        </w:rPr>
        <w:t>numerados</w:t>
      </w:r>
      <w:r w:rsidR="0089298C" w:rsidRPr="002F50BD">
        <w:rPr>
          <w:rFonts w:ascii="Verdana" w:hAnsi="Verdana"/>
          <w:sz w:val="20"/>
          <w:lang w:val="pt-BR"/>
        </w:rPr>
        <w:t xml:space="preserve"> no parágrafo</w:t>
      </w:r>
      <w:r w:rsidR="004756C1" w:rsidRPr="002F50BD">
        <w:rPr>
          <w:rFonts w:ascii="Verdana" w:hAnsi="Verdana"/>
          <w:sz w:val="20"/>
          <w:lang w:val="pt-BR"/>
        </w:rPr>
        <w:t xml:space="preserve"> </w:t>
      </w:r>
      <w:r w:rsidRPr="002F50BD">
        <w:rPr>
          <w:rFonts w:ascii="Verdana" w:hAnsi="Verdana"/>
          <w:sz w:val="20"/>
          <w:lang w:val="pt-BR"/>
        </w:rPr>
        <w:t>8</w:t>
      </w:r>
      <w:r w:rsidR="004756C1" w:rsidRPr="002F50BD">
        <w:rPr>
          <w:rFonts w:ascii="Verdana" w:hAnsi="Verdana"/>
          <w:sz w:val="20"/>
          <w:lang w:val="pt-BR"/>
        </w:rPr>
        <w:t xml:space="preserve"> </w:t>
      </w:r>
      <w:r w:rsidR="00CF451D" w:rsidRPr="00CF451D">
        <w:rPr>
          <w:rFonts w:ascii="Verdana" w:hAnsi="Verdana"/>
          <w:sz w:val="20"/>
          <w:lang w:val="pt-BR"/>
        </w:rPr>
        <w:t>(</w:t>
      </w:r>
      <w:r w:rsidR="004756C1" w:rsidRPr="002F50BD">
        <w:rPr>
          <w:rFonts w:ascii="Verdana" w:hAnsi="Verdana"/>
          <w:i/>
          <w:sz w:val="20"/>
          <w:lang w:val="pt-BR"/>
        </w:rPr>
        <w:t>supra</w:t>
      </w:r>
      <w:r w:rsidR="00CF451D" w:rsidRPr="00CF451D">
        <w:rPr>
          <w:rFonts w:ascii="Verdana" w:hAnsi="Verdana"/>
          <w:sz w:val="20"/>
          <w:lang w:val="pt-BR"/>
        </w:rPr>
        <w:t>)</w:t>
      </w:r>
      <w:r w:rsidR="004756C1" w:rsidRPr="002F50BD">
        <w:rPr>
          <w:rFonts w:ascii="Verdana" w:hAnsi="Verdana"/>
          <w:sz w:val="20"/>
          <w:lang w:val="pt-BR"/>
        </w:rPr>
        <w:t xml:space="preserve"> de </w:t>
      </w:r>
      <w:r w:rsidR="0089298C" w:rsidRPr="002F50BD">
        <w:rPr>
          <w:rFonts w:ascii="Verdana" w:hAnsi="Verdana"/>
          <w:sz w:val="20"/>
          <w:lang w:val="pt-BR"/>
        </w:rPr>
        <w:t>nosso</w:t>
      </w:r>
      <w:r w:rsidR="004756C1" w:rsidRPr="002F50BD">
        <w:rPr>
          <w:rFonts w:ascii="Verdana" w:hAnsi="Verdana"/>
          <w:sz w:val="20"/>
          <w:lang w:val="pt-BR"/>
        </w:rPr>
        <w:t xml:space="preserve"> presente Voto </w:t>
      </w:r>
      <w:r w:rsidR="001F21AC" w:rsidRPr="002F50BD">
        <w:rPr>
          <w:rFonts w:ascii="Verdana" w:hAnsi="Verdana"/>
          <w:sz w:val="20"/>
          <w:lang w:val="pt-BR"/>
        </w:rPr>
        <w:t>Dissidente</w:t>
      </w:r>
      <w:r w:rsidR="004756C1"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Manifestamos </w:t>
      </w:r>
      <w:r w:rsidR="0089298C" w:rsidRPr="002F50BD">
        <w:rPr>
          <w:rFonts w:ascii="Verdana" w:hAnsi="Verdana"/>
          <w:sz w:val="20"/>
          <w:lang w:val="pt-BR"/>
        </w:rPr>
        <w:t>nossa</w:t>
      </w:r>
      <w:r w:rsidR="004756C1" w:rsidRPr="002F50BD">
        <w:rPr>
          <w:rFonts w:ascii="Verdana" w:hAnsi="Verdana"/>
          <w:sz w:val="20"/>
          <w:lang w:val="pt-BR"/>
        </w:rPr>
        <w:t xml:space="preserve"> </w:t>
      </w:r>
      <w:r w:rsidR="0089298C" w:rsidRPr="002F50BD">
        <w:rPr>
          <w:rFonts w:ascii="Verdana" w:hAnsi="Verdana"/>
          <w:sz w:val="20"/>
          <w:lang w:val="pt-BR"/>
        </w:rPr>
        <w:t>esperança</w:t>
      </w:r>
      <w:r w:rsidR="004756C1" w:rsidRPr="002F50BD">
        <w:rPr>
          <w:rFonts w:ascii="Verdana" w:hAnsi="Verdana"/>
          <w:sz w:val="20"/>
          <w:lang w:val="pt-BR"/>
        </w:rPr>
        <w:t xml:space="preserve"> de que </w:t>
      </w:r>
      <w:r w:rsidR="0089298C" w:rsidRPr="002F50BD">
        <w:rPr>
          <w:rFonts w:ascii="Verdana" w:hAnsi="Verdana"/>
          <w:sz w:val="20"/>
          <w:lang w:val="pt-BR"/>
        </w:rPr>
        <w:t>nossa</w:t>
      </w:r>
      <w:r w:rsidR="004756C1" w:rsidRPr="002F50BD">
        <w:rPr>
          <w:rFonts w:ascii="Verdana" w:hAnsi="Verdana"/>
          <w:sz w:val="20"/>
          <w:lang w:val="pt-BR"/>
        </w:rPr>
        <w:t>s considera</w:t>
      </w:r>
      <w:r w:rsidR="0089298C" w:rsidRPr="002F50BD">
        <w:rPr>
          <w:rFonts w:ascii="Verdana" w:hAnsi="Verdana"/>
          <w:sz w:val="20"/>
          <w:lang w:val="pt-BR"/>
        </w:rPr>
        <w:t>ções</w:t>
      </w:r>
      <w:r w:rsidR="004756C1" w:rsidRPr="002F50BD">
        <w:rPr>
          <w:rFonts w:ascii="Verdana" w:hAnsi="Verdana"/>
          <w:sz w:val="20"/>
          <w:lang w:val="pt-BR"/>
        </w:rPr>
        <w:t xml:space="preserve"> </w:t>
      </w:r>
      <w:r w:rsidR="00AB454A" w:rsidRPr="002F50BD">
        <w:rPr>
          <w:rFonts w:ascii="Verdana" w:hAnsi="Verdana"/>
          <w:sz w:val="20"/>
          <w:lang w:val="pt-BR"/>
        </w:rPr>
        <w:t>possam</w:t>
      </w:r>
      <w:r w:rsidR="00794692" w:rsidRPr="002F50BD">
        <w:rPr>
          <w:rFonts w:ascii="Verdana" w:hAnsi="Verdana"/>
          <w:sz w:val="20"/>
          <w:lang w:val="pt-BR"/>
        </w:rPr>
        <w:t xml:space="preserve"> servir para </w:t>
      </w:r>
      <w:r w:rsidR="004756C1" w:rsidRPr="002F50BD">
        <w:rPr>
          <w:rFonts w:ascii="Verdana" w:hAnsi="Verdana"/>
          <w:sz w:val="20"/>
          <w:lang w:val="pt-BR"/>
        </w:rPr>
        <w:t xml:space="preserve">sanar o </w:t>
      </w:r>
      <w:r w:rsidR="00243D2E" w:rsidRPr="002F50BD">
        <w:rPr>
          <w:rFonts w:ascii="Verdana" w:hAnsi="Verdana"/>
          <w:sz w:val="20"/>
          <w:lang w:val="pt-BR"/>
        </w:rPr>
        <w:t xml:space="preserve">mais prontamente </w:t>
      </w:r>
      <w:r w:rsidR="0089298C" w:rsidRPr="002F50BD">
        <w:rPr>
          <w:rFonts w:ascii="Verdana" w:hAnsi="Verdana"/>
          <w:sz w:val="20"/>
          <w:lang w:val="pt-BR"/>
        </w:rPr>
        <w:t xml:space="preserve">possível o </w:t>
      </w:r>
      <w:r w:rsidR="004756C1" w:rsidRPr="002F50BD">
        <w:rPr>
          <w:rFonts w:ascii="Verdana" w:hAnsi="Verdana"/>
          <w:sz w:val="20"/>
          <w:lang w:val="pt-BR"/>
        </w:rPr>
        <w:t>retroce</w:t>
      </w:r>
      <w:r w:rsidR="00794692" w:rsidRPr="002F50BD">
        <w:rPr>
          <w:rFonts w:ascii="Verdana" w:hAnsi="Verdana"/>
          <w:sz w:val="20"/>
          <w:lang w:val="pt-BR"/>
        </w:rPr>
        <w:t>s</w:t>
      </w:r>
      <w:r w:rsidR="004756C1" w:rsidRPr="002F50BD">
        <w:rPr>
          <w:rFonts w:ascii="Verdana" w:hAnsi="Verdana"/>
          <w:sz w:val="20"/>
          <w:lang w:val="pt-BR"/>
        </w:rPr>
        <w:t>so que</w:t>
      </w:r>
      <w:r w:rsidR="0089298C" w:rsidRPr="002F50BD">
        <w:rPr>
          <w:rFonts w:ascii="Verdana" w:hAnsi="Verdana"/>
          <w:sz w:val="20"/>
          <w:lang w:val="pt-BR"/>
        </w:rPr>
        <w:t xml:space="preserve"> o </w:t>
      </w:r>
      <w:r w:rsidR="004756C1" w:rsidRPr="002F50BD">
        <w:rPr>
          <w:rFonts w:ascii="Verdana" w:hAnsi="Verdana"/>
          <w:sz w:val="20"/>
          <w:lang w:val="pt-BR"/>
        </w:rPr>
        <w:t>referido</w:t>
      </w:r>
      <w:r w:rsidR="0089298C" w:rsidRPr="002F50BD">
        <w:rPr>
          <w:rFonts w:ascii="Verdana" w:hAnsi="Verdana"/>
          <w:sz w:val="20"/>
          <w:lang w:val="pt-BR"/>
        </w:rPr>
        <w:t xml:space="preserve"> ponto </w:t>
      </w:r>
      <w:r w:rsidR="004756C1" w:rsidRPr="002F50BD">
        <w:rPr>
          <w:rFonts w:ascii="Verdana" w:hAnsi="Verdana"/>
          <w:sz w:val="20"/>
          <w:lang w:val="pt-BR"/>
        </w:rPr>
        <w:t xml:space="preserve">resolutivo </w:t>
      </w:r>
      <w:r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 xml:space="preserve">presente </w:t>
      </w:r>
      <w:r w:rsidR="0089298C" w:rsidRPr="002F50BD">
        <w:rPr>
          <w:rFonts w:ascii="Verdana" w:hAnsi="Verdana"/>
          <w:sz w:val="20"/>
          <w:lang w:val="pt-BR"/>
        </w:rPr>
        <w:t>Sentença</w:t>
      </w:r>
      <w:r w:rsidR="004756C1" w:rsidRPr="002F50BD">
        <w:rPr>
          <w:rFonts w:ascii="Verdana" w:hAnsi="Verdana"/>
          <w:sz w:val="20"/>
          <w:lang w:val="pt-BR"/>
        </w:rPr>
        <w:t xml:space="preserve"> representa</w:t>
      </w:r>
      <w:r w:rsidR="0089298C" w:rsidRPr="002F50BD">
        <w:rPr>
          <w:rFonts w:ascii="Verdana" w:hAnsi="Verdana"/>
          <w:sz w:val="20"/>
          <w:lang w:val="pt-BR"/>
        </w:rPr>
        <w:t xml:space="preserve"> na linha da </w:t>
      </w:r>
      <w:r w:rsidR="004756C1" w:rsidRPr="002F50BD">
        <w:rPr>
          <w:rFonts w:ascii="Verdana" w:hAnsi="Verdana"/>
          <w:sz w:val="20"/>
          <w:lang w:val="pt-BR"/>
        </w:rPr>
        <w:t>evolu</w:t>
      </w:r>
      <w:r w:rsidR="0089298C" w:rsidRPr="002F50BD">
        <w:rPr>
          <w:rFonts w:ascii="Verdana" w:hAnsi="Verdana"/>
          <w:sz w:val="20"/>
          <w:lang w:val="pt-BR"/>
        </w:rPr>
        <w:t>ção</w:t>
      </w:r>
      <w:r w:rsidR="004756C1" w:rsidRPr="002F50BD">
        <w:rPr>
          <w:rFonts w:ascii="Verdana" w:hAnsi="Verdana"/>
          <w:sz w:val="20"/>
          <w:lang w:val="pt-BR"/>
        </w:rPr>
        <w:t xml:space="preserve"> jurisprudencial</w:t>
      </w:r>
      <w:r w:rsidR="0089298C" w:rsidRPr="002F50BD">
        <w:rPr>
          <w:rFonts w:ascii="Verdana" w:hAnsi="Verdana"/>
          <w:sz w:val="20"/>
          <w:lang w:val="pt-BR"/>
        </w:rPr>
        <w:t xml:space="preserve"> desta </w:t>
      </w:r>
      <w:r w:rsidR="004756C1" w:rsidRPr="002F50BD">
        <w:rPr>
          <w:rFonts w:ascii="Verdana" w:hAnsi="Verdana"/>
          <w:sz w:val="20"/>
          <w:lang w:val="pt-BR"/>
        </w:rPr>
        <w:t>Corte.</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24</w:t>
      </w:r>
      <w:r w:rsidR="004756C1" w:rsidRPr="002F50BD">
        <w:rPr>
          <w:rFonts w:ascii="Verdana" w:hAnsi="Verdana"/>
          <w:sz w:val="20"/>
          <w:lang w:val="pt-BR"/>
        </w:rPr>
        <w:t>.</w:t>
      </w:r>
      <w:r w:rsidR="004756C1" w:rsidRPr="002F50BD">
        <w:rPr>
          <w:rFonts w:ascii="Verdana" w:hAnsi="Verdana"/>
          <w:sz w:val="20"/>
          <w:lang w:val="pt-BR"/>
        </w:rPr>
        <w:tab/>
      </w:r>
      <w:r w:rsidR="00AB6727" w:rsidRPr="002F50BD">
        <w:rPr>
          <w:rFonts w:ascii="Verdana" w:hAnsi="Verdana"/>
          <w:sz w:val="20"/>
          <w:lang w:val="pt-BR"/>
        </w:rPr>
        <w:t xml:space="preserve">Os </w:t>
      </w:r>
      <w:r w:rsidR="0089298C" w:rsidRPr="002F50BD">
        <w:rPr>
          <w:rFonts w:ascii="Verdana" w:hAnsi="Verdana"/>
          <w:sz w:val="20"/>
          <w:lang w:val="pt-BR"/>
        </w:rPr>
        <w:t>Juízes</w:t>
      </w:r>
      <w:r w:rsidR="004756C1" w:rsidRPr="002F50BD">
        <w:rPr>
          <w:rFonts w:ascii="Verdana" w:hAnsi="Verdana"/>
          <w:sz w:val="20"/>
          <w:lang w:val="pt-BR"/>
        </w:rPr>
        <w:t xml:space="preserve"> </w:t>
      </w:r>
      <w:r w:rsidR="00794692" w:rsidRPr="002F50BD">
        <w:rPr>
          <w:rFonts w:ascii="Verdana" w:hAnsi="Verdana"/>
          <w:sz w:val="20"/>
          <w:lang w:val="pt-BR"/>
        </w:rPr>
        <w:t xml:space="preserve">subscritos fomos </w:t>
      </w:r>
      <w:r w:rsidR="004756C1" w:rsidRPr="002F50BD">
        <w:rPr>
          <w:rFonts w:ascii="Verdana" w:hAnsi="Verdana"/>
          <w:sz w:val="20"/>
          <w:lang w:val="pt-BR"/>
        </w:rPr>
        <w:t xml:space="preserve">motivados a salvar </w:t>
      </w:r>
      <w:r w:rsidR="0089298C" w:rsidRPr="002F50BD">
        <w:rPr>
          <w:rFonts w:ascii="Verdana" w:hAnsi="Verdana"/>
          <w:sz w:val="20"/>
          <w:lang w:val="pt-BR"/>
        </w:rPr>
        <w:t>nossa</w:t>
      </w:r>
      <w:r w:rsidR="004756C1" w:rsidRPr="002F50BD">
        <w:rPr>
          <w:rFonts w:ascii="Verdana" w:hAnsi="Verdana"/>
          <w:sz w:val="20"/>
          <w:lang w:val="pt-BR"/>
        </w:rPr>
        <w:t xml:space="preserve"> posi</w:t>
      </w:r>
      <w:r w:rsidR="0089298C" w:rsidRPr="002F50BD">
        <w:rPr>
          <w:rFonts w:ascii="Verdana" w:hAnsi="Verdana"/>
          <w:sz w:val="20"/>
          <w:lang w:val="pt-BR"/>
        </w:rPr>
        <w:t xml:space="preserve">ção e </w:t>
      </w:r>
      <w:r w:rsidR="004756C1" w:rsidRPr="002F50BD">
        <w:rPr>
          <w:rFonts w:ascii="Verdana" w:hAnsi="Verdana"/>
          <w:sz w:val="20"/>
          <w:lang w:val="pt-BR"/>
        </w:rPr>
        <w:t>emitir</w:t>
      </w:r>
      <w:r w:rsidR="0089298C" w:rsidRPr="002F50BD">
        <w:rPr>
          <w:rFonts w:ascii="Verdana" w:hAnsi="Verdana"/>
          <w:sz w:val="20"/>
          <w:lang w:val="pt-BR"/>
        </w:rPr>
        <w:t xml:space="preserve"> o </w:t>
      </w:r>
      <w:r w:rsidR="004756C1" w:rsidRPr="002F50BD">
        <w:rPr>
          <w:rFonts w:ascii="Verdana" w:hAnsi="Verdana"/>
          <w:sz w:val="20"/>
          <w:lang w:val="pt-BR"/>
        </w:rPr>
        <w:t xml:space="preserve">presente Voto </w:t>
      </w:r>
      <w:r w:rsidR="001F21AC" w:rsidRPr="002F50BD">
        <w:rPr>
          <w:rFonts w:ascii="Verdana" w:hAnsi="Verdana"/>
          <w:sz w:val="20"/>
          <w:lang w:val="pt-BR"/>
        </w:rPr>
        <w:t>Dissidente</w:t>
      </w:r>
      <w:r w:rsidR="004756C1" w:rsidRPr="002F50BD">
        <w:rPr>
          <w:rFonts w:ascii="Verdana" w:hAnsi="Verdana"/>
          <w:sz w:val="20"/>
          <w:lang w:val="pt-BR"/>
        </w:rPr>
        <w:t xml:space="preserve"> Conjunto sobre</w:t>
      </w:r>
      <w:r w:rsidR="0089298C" w:rsidRPr="002F50BD">
        <w:rPr>
          <w:rFonts w:ascii="Verdana" w:hAnsi="Verdana"/>
          <w:sz w:val="20"/>
          <w:lang w:val="pt-BR"/>
        </w:rPr>
        <w:t xml:space="preserve"> a responsabilidade </w:t>
      </w:r>
      <w:r w:rsidR="004756C1" w:rsidRPr="002F50BD">
        <w:rPr>
          <w:rFonts w:ascii="Verdana" w:hAnsi="Verdana"/>
          <w:sz w:val="20"/>
          <w:lang w:val="pt-BR"/>
        </w:rPr>
        <w:t xml:space="preserve">internacional objetiva </w:t>
      </w:r>
      <w:r w:rsidR="0089298C" w:rsidRPr="002F50BD">
        <w:rPr>
          <w:rFonts w:ascii="Verdana" w:hAnsi="Verdana"/>
          <w:sz w:val="20"/>
          <w:lang w:val="pt-BR"/>
        </w:rPr>
        <w:t xml:space="preserve">do </w:t>
      </w:r>
      <w:r w:rsidR="004756C1" w:rsidRPr="002F50BD">
        <w:rPr>
          <w:rFonts w:ascii="Verdana" w:hAnsi="Verdana"/>
          <w:sz w:val="20"/>
          <w:lang w:val="pt-BR"/>
        </w:rPr>
        <w:t>Estado</w:t>
      </w:r>
      <w:r w:rsidR="0089298C" w:rsidRPr="002F50BD">
        <w:rPr>
          <w:rFonts w:ascii="Verdana" w:hAnsi="Verdana"/>
          <w:sz w:val="20"/>
          <w:lang w:val="pt-BR"/>
        </w:rPr>
        <w:t xml:space="preserve"> na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 de</w:t>
      </w:r>
      <w:r w:rsidR="0089298C" w:rsidRPr="002F50BD">
        <w:rPr>
          <w:rFonts w:ascii="Verdana" w:hAnsi="Verdana"/>
          <w:sz w:val="20"/>
          <w:lang w:val="pt-BR"/>
        </w:rPr>
        <w:t xml:space="preserve"> dez membro</w:t>
      </w:r>
      <w:r w:rsidR="004756C1" w:rsidRPr="002F50BD">
        <w:rPr>
          <w:rFonts w:ascii="Verdana" w:hAnsi="Verdana"/>
          <w:sz w:val="20"/>
          <w:lang w:val="pt-BR"/>
        </w:rPr>
        <w:t>s</w:t>
      </w:r>
      <w:r w:rsidR="0089298C" w:rsidRPr="002F50BD">
        <w:rPr>
          <w:rFonts w:ascii="Verdana" w:hAnsi="Verdana"/>
          <w:sz w:val="20"/>
          <w:lang w:val="pt-BR"/>
        </w:rPr>
        <w:t xml:space="preserve"> da Comunidade </w:t>
      </w:r>
      <w:r w:rsidR="004756C1" w:rsidRPr="002F50BD">
        <w:rPr>
          <w:rFonts w:ascii="Verdana" w:hAnsi="Verdana"/>
          <w:sz w:val="20"/>
          <w:lang w:val="pt-BR"/>
        </w:rPr>
        <w:t>Yakye Axa, entre</w:t>
      </w:r>
      <w:r w:rsidR="0089298C" w:rsidRPr="002F50BD">
        <w:rPr>
          <w:rFonts w:ascii="Verdana" w:hAnsi="Verdana"/>
          <w:sz w:val="20"/>
          <w:lang w:val="pt-BR"/>
        </w:rPr>
        <w:t xml:space="preserve"> ele</w:t>
      </w:r>
      <w:r w:rsidR="004756C1" w:rsidRPr="002F50BD">
        <w:rPr>
          <w:rFonts w:ascii="Verdana" w:hAnsi="Verdana"/>
          <w:sz w:val="20"/>
          <w:lang w:val="pt-BR"/>
        </w:rPr>
        <w:t xml:space="preserve">s </w:t>
      </w:r>
      <w:r w:rsidR="00794692" w:rsidRPr="002F50BD">
        <w:rPr>
          <w:rFonts w:ascii="Verdana" w:hAnsi="Verdana"/>
          <w:sz w:val="20"/>
          <w:lang w:val="pt-BR"/>
        </w:rPr>
        <w:t xml:space="preserve">de </w:t>
      </w:r>
      <w:r w:rsidR="0089298C" w:rsidRPr="002F50BD">
        <w:rPr>
          <w:rFonts w:ascii="Verdana" w:hAnsi="Verdana"/>
          <w:sz w:val="20"/>
          <w:lang w:val="pt-BR"/>
        </w:rPr>
        <w:t>oit</w:t>
      </w:r>
      <w:r w:rsidR="00794692" w:rsidRPr="002F50BD">
        <w:rPr>
          <w:rFonts w:ascii="Verdana" w:hAnsi="Verdana"/>
          <w:sz w:val="20"/>
          <w:lang w:val="pt-BR"/>
        </w:rPr>
        <w:t>o</w:t>
      </w:r>
      <w:r w:rsidR="00AB454A" w:rsidRPr="002F50BD">
        <w:rPr>
          <w:rFonts w:ascii="Verdana" w:hAnsi="Verdana"/>
          <w:sz w:val="20"/>
          <w:lang w:val="pt-BR"/>
        </w:rPr>
        <w:t xml:space="preserve"> criança</w:t>
      </w:r>
      <w:r w:rsidR="0089298C" w:rsidRPr="002F50BD">
        <w:rPr>
          <w:rFonts w:ascii="Verdana" w:hAnsi="Verdana"/>
          <w:sz w:val="20"/>
          <w:lang w:val="pt-BR"/>
        </w:rPr>
        <w:t>s</w:t>
      </w:r>
      <w:r w:rsidR="00243D2E" w:rsidRPr="002F50BD">
        <w:rPr>
          <w:rFonts w:ascii="Verdana" w:hAnsi="Verdana"/>
          <w:sz w:val="20"/>
          <w:lang w:val="pt-BR"/>
        </w:rPr>
        <w:t xml:space="preserve"> indefe</w:t>
      </w:r>
      <w:r w:rsidR="004756C1" w:rsidRPr="002F50BD">
        <w:rPr>
          <w:rFonts w:ascii="Verdana" w:hAnsi="Verdana"/>
          <w:sz w:val="20"/>
          <w:lang w:val="pt-BR"/>
        </w:rPr>
        <w:t>s</w:t>
      </w:r>
      <w:r w:rsidR="00794692" w:rsidRPr="002F50BD">
        <w:rPr>
          <w:rFonts w:ascii="Verdana" w:hAnsi="Verdana"/>
          <w:sz w:val="20"/>
          <w:lang w:val="pt-BR"/>
        </w:rPr>
        <w:t>a</w:t>
      </w:r>
      <w:r w:rsidR="004756C1" w:rsidRPr="002F50BD">
        <w:rPr>
          <w:rFonts w:ascii="Verdana" w:hAnsi="Verdana"/>
          <w:sz w:val="20"/>
          <w:lang w:val="pt-BR"/>
        </w:rPr>
        <w:t xml:space="preserve">s </w:t>
      </w:r>
      <w:r w:rsidR="00CF451D" w:rsidRPr="00CF451D">
        <w:rPr>
          <w:rFonts w:ascii="Verdana" w:hAnsi="Verdana"/>
          <w:sz w:val="20"/>
          <w:lang w:val="pt-BR"/>
        </w:rPr>
        <w:t>(</w:t>
      </w:r>
      <w:r w:rsidR="004756C1" w:rsidRPr="00A157C9">
        <w:rPr>
          <w:rFonts w:ascii="Verdana" w:hAnsi="Verdana"/>
          <w:i/>
          <w:sz w:val="20"/>
          <w:lang w:val="pt-BR"/>
        </w:rPr>
        <w:t>cf</w:t>
      </w:r>
      <w:r w:rsidR="004756C1" w:rsidRPr="002F50BD">
        <w:rPr>
          <w:rFonts w:ascii="Verdana" w:hAnsi="Verdana"/>
          <w:sz w:val="20"/>
          <w:lang w:val="pt-BR"/>
        </w:rPr>
        <w:t xml:space="preserve">. </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8</w:t>
      </w:r>
      <w:r w:rsidR="004756C1" w:rsidRPr="002F50BD">
        <w:rPr>
          <w:rFonts w:ascii="Verdana" w:hAnsi="Verdana"/>
          <w:sz w:val="20"/>
          <w:lang w:val="pt-BR"/>
        </w:rPr>
        <w:t>,</w:t>
      </w:r>
      <w:r w:rsidR="004756C1" w:rsidRPr="002F50BD">
        <w:rPr>
          <w:rFonts w:ascii="Verdana" w:hAnsi="Verdana"/>
          <w:i/>
          <w:sz w:val="20"/>
          <w:lang w:val="pt-BR"/>
        </w:rPr>
        <w:t xml:space="preserve"> supra</w:t>
      </w:r>
      <w:r w:rsidR="00CF451D" w:rsidRPr="00CF451D">
        <w:rPr>
          <w:rFonts w:ascii="Verdana" w:hAnsi="Verdana"/>
          <w:sz w:val="20"/>
          <w:lang w:val="pt-BR"/>
        </w:rPr>
        <w:t>)</w:t>
      </w:r>
      <w:r w:rsidR="00A46C2A" w:rsidRPr="002F50BD">
        <w:rPr>
          <w:rFonts w:ascii="Verdana" w:hAnsi="Verdana"/>
          <w:sz w:val="20"/>
          <w:lang w:val="pt-BR"/>
        </w:rPr>
        <w:t>,</w:t>
      </w:r>
      <w:r w:rsidR="004756C1" w:rsidRPr="002F50BD">
        <w:rPr>
          <w:rFonts w:ascii="Verdana" w:hAnsi="Verdana"/>
          <w:sz w:val="20"/>
          <w:lang w:val="pt-BR"/>
        </w:rPr>
        <w:t xml:space="preserve"> porque,</w:t>
      </w:r>
      <w:r w:rsidR="0089298C" w:rsidRPr="002F50BD">
        <w:rPr>
          <w:rFonts w:ascii="Verdana" w:hAnsi="Verdana"/>
          <w:sz w:val="20"/>
          <w:lang w:val="pt-BR"/>
        </w:rPr>
        <w:t xml:space="preserve"> em </w:t>
      </w:r>
      <w:r w:rsidR="004756C1" w:rsidRPr="002F50BD">
        <w:rPr>
          <w:rFonts w:ascii="Verdana" w:hAnsi="Verdana"/>
          <w:sz w:val="20"/>
          <w:lang w:val="pt-BR"/>
        </w:rPr>
        <w:t>casos como</w:t>
      </w:r>
      <w:r w:rsidR="0089298C" w:rsidRPr="002F50BD">
        <w:rPr>
          <w:rFonts w:ascii="Verdana" w:hAnsi="Verdana"/>
          <w:sz w:val="20"/>
          <w:lang w:val="pt-BR"/>
        </w:rPr>
        <w:t xml:space="preserve"> o </w:t>
      </w:r>
      <w:r w:rsidR="004756C1" w:rsidRPr="002F50BD">
        <w:rPr>
          <w:rFonts w:ascii="Verdana" w:hAnsi="Verdana"/>
          <w:sz w:val="20"/>
          <w:lang w:val="pt-BR"/>
        </w:rPr>
        <w:t>presente,</w:t>
      </w:r>
      <w:r w:rsidR="0089298C" w:rsidRPr="002F50BD">
        <w:rPr>
          <w:rFonts w:ascii="Verdana" w:hAnsi="Verdana"/>
          <w:sz w:val="20"/>
          <w:lang w:val="pt-BR"/>
        </w:rPr>
        <w:t xml:space="preserve"> no </w:t>
      </w:r>
      <w:r w:rsidR="004756C1" w:rsidRPr="002F50BD">
        <w:rPr>
          <w:rFonts w:ascii="Verdana" w:hAnsi="Verdana"/>
          <w:sz w:val="20"/>
          <w:lang w:val="pt-BR"/>
        </w:rPr>
        <w:t>qu</w:t>
      </w:r>
      <w:r w:rsidR="00794692" w:rsidRPr="002F50BD">
        <w:rPr>
          <w:rFonts w:ascii="Verdana" w:hAnsi="Verdana"/>
          <w:sz w:val="20"/>
          <w:lang w:val="pt-BR"/>
        </w:rPr>
        <w:t>al</w:t>
      </w:r>
      <w:r w:rsidR="0089298C" w:rsidRPr="002F50BD">
        <w:rPr>
          <w:rFonts w:ascii="Verdana" w:hAnsi="Verdana"/>
          <w:sz w:val="20"/>
          <w:lang w:val="pt-BR"/>
        </w:rPr>
        <w:t xml:space="preserve"> a </w:t>
      </w:r>
      <w:r w:rsidR="004756C1" w:rsidRPr="002F50BD">
        <w:rPr>
          <w:rFonts w:ascii="Verdana" w:hAnsi="Verdana"/>
          <w:sz w:val="20"/>
          <w:lang w:val="pt-BR"/>
        </w:rPr>
        <w:t xml:space="preserve">falta de </w:t>
      </w:r>
      <w:r w:rsidR="0089298C" w:rsidRPr="002F50BD">
        <w:rPr>
          <w:rFonts w:ascii="Verdana" w:hAnsi="Verdana"/>
          <w:sz w:val="20"/>
          <w:lang w:val="pt-BR"/>
        </w:rPr>
        <w:t>devida diligência</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Estado incide </w:t>
      </w:r>
      <w:r w:rsidR="0089298C" w:rsidRPr="002F50BD">
        <w:rPr>
          <w:rFonts w:ascii="Verdana" w:hAnsi="Verdana"/>
          <w:sz w:val="20"/>
          <w:lang w:val="pt-BR"/>
        </w:rPr>
        <w:t>diret</w:t>
      </w:r>
      <w:r w:rsidR="004756C1" w:rsidRPr="002F50BD">
        <w:rPr>
          <w:rFonts w:ascii="Verdana" w:hAnsi="Verdana"/>
          <w:sz w:val="20"/>
          <w:lang w:val="pt-BR"/>
        </w:rPr>
        <w:t>amente</w:t>
      </w:r>
      <w:r w:rsidR="0089298C" w:rsidRPr="002F50BD">
        <w:rPr>
          <w:rFonts w:ascii="Verdana" w:hAnsi="Verdana"/>
          <w:sz w:val="20"/>
          <w:lang w:val="pt-BR"/>
        </w:rPr>
        <w:t xml:space="preserve"> na perda</w:t>
      </w:r>
      <w:r w:rsidR="004756C1" w:rsidRPr="002F50BD">
        <w:rPr>
          <w:rFonts w:ascii="Verdana" w:hAnsi="Verdana"/>
          <w:sz w:val="20"/>
          <w:lang w:val="pt-BR"/>
        </w:rPr>
        <w:t xml:space="preserve"> de vidas humanas, entendemos que</w:t>
      </w:r>
      <w:r w:rsidR="0089298C" w:rsidRPr="002F50BD">
        <w:rPr>
          <w:rFonts w:ascii="Verdana" w:hAnsi="Verdana"/>
          <w:sz w:val="20"/>
          <w:lang w:val="pt-BR"/>
        </w:rPr>
        <w:t xml:space="preserve"> os Juízes da </w:t>
      </w:r>
      <w:r w:rsidR="004756C1" w:rsidRPr="002F50BD">
        <w:rPr>
          <w:rFonts w:ascii="Verdana" w:hAnsi="Verdana"/>
          <w:sz w:val="20"/>
          <w:lang w:val="pt-BR"/>
        </w:rPr>
        <w:t xml:space="preserve">Corte Interamericana de </w:t>
      </w:r>
      <w:r w:rsidR="0089298C" w:rsidRPr="002F50BD">
        <w:rPr>
          <w:rFonts w:ascii="Verdana" w:hAnsi="Verdana"/>
          <w:sz w:val="20"/>
          <w:lang w:val="pt-BR"/>
        </w:rPr>
        <w:t>Direito</w:t>
      </w:r>
      <w:r w:rsidR="004756C1" w:rsidRPr="002F50BD">
        <w:rPr>
          <w:rFonts w:ascii="Verdana" w:hAnsi="Verdana"/>
          <w:sz w:val="20"/>
          <w:lang w:val="pt-BR"/>
        </w:rPr>
        <w:t xml:space="preserve">s Humanos estamos </w:t>
      </w:r>
      <w:r w:rsidR="0089298C" w:rsidRPr="002F50BD">
        <w:rPr>
          <w:rFonts w:ascii="Verdana" w:hAnsi="Verdana"/>
          <w:sz w:val="20"/>
          <w:lang w:val="pt-BR"/>
        </w:rPr>
        <w:t>chamado</w:t>
      </w:r>
      <w:r w:rsidR="004756C1" w:rsidRPr="002F50BD">
        <w:rPr>
          <w:rFonts w:ascii="Verdana" w:hAnsi="Verdana"/>
          <w:sz w:val="20"/>
          <w:lang w:val="pt-BR"/>
        </w:rPr>
        <w:t>s a alertar</w:t>
      </w:r>
      <w:r w:rsidR="0089298C" w:rsidRPr="002F50BD">
        <w:rPr>
          <w:rFonts w:ascii="Verdana" w:hAnsi="Verdana"/>
          <w:sz w:val="20"/>
          <w:lang w:val="pt-BR"/>
        </w:rPr>
        <w:t xml:space="preserve"> a consciência</w:t>
      </w:r>
      <w:r w:rsidR="004756C1" w:rsidRPr="002F50BD">
        <w:rPr>
          <w:rFonts w:ascii="Verdana" w:hAnsi="Verdana"/>
          <w:sz w:val="20"/>
          <w:lang w:val="pt-BR"/>
        </w:rPr>
        <w:t xml:space="preserve"> de todos</w:t>
      </w:r>
      <w:r w:rsidR="0089298C" w:rsidRPr="002F50BD">
        <w:rPr>
          <w:rFonts w:ascii="Verdana" w:hAnsi="Verdana"/>
          <w:sz w:val="20"/>
          <w:lang w:val="pt-BR"/>
        </w:rPr>
        <w:t xml:space="preserve"> os </w:t>
      </w:r>
      <w:r w:rsidR="004756C1" w:rsidRPr="002F50BD">
        <w:rPr>
          <w:rFonts w:ascii="Verdana" w:hAnsi="Verdana"/>
          <w:sz w:val="20"/>
          <w:lang w:val="pt-BR"/>
        </w:rPr>
        <w:t xml:space="preserve">habitantes de </w:t>
      </w:r>
      <w:r w:rsidR="0089298C" w:rsidRPr="002F50BD">
        <w:rPr>
          <w:rFonts w:ascii="Verdana" w:hAnsi="Verdana"/>
          <w:sz w:val="20"/>
          <w:lang w:val="pt-BR"/>
        </w:rPr>
        <w:t>nossa</w:t>
      </w:r>
      <w:r w:rsidR="004756C1" w:rsidRPr="002F50BD">
        <w:rPr>
          <w:rFonts w:ascii="Verdana" w:hAnsi="Verdana"/>
          <w:sz w:val="20"/>
          <w:lang w:val="pt-BR"/>
        </w:rPr>
        <w:t xml:space="preserve"> </w:t>
      </w:r>
      <w:r w:rsidR="0089298C" w:rsidRPr="002F50BD">
        <w:rPr>
          <w:rFonts w:ascii="Verdana" w:hAnsi="Verdana"/>
          <w:sz w:val="20"/>
          <w:lang w:val="pt-BR"/>
        </w:rPr>
        <w:t>região</w:t>
      </w:r>
      <w:r w:rsidR="004756C1" w:rsidRPr="002F50BD">
        <w:rPr>
          <w:rFonts w:ascii="Verdana" w:hAnsi="Verdana"/>
          <w:sz w:val="20"/>
          <w:lang w:val="pt-BR"/>
        </w:rPr>
        <w:t xml:space="preserve"> para que </w:t>
      </w:r>
      <w:r w:rsidR="0089298C" w:rsidRPr="002F50BD">
        <w:rPr>
          <w:rFonts w:ascii="Verdana" w:hAnsi="Verdana"/>
          <w:sz w:val="20"/>
          <w:lang w:val="pt-BR"/>
        </w:rPr>
        <w:t>fatos</w:t>
      </w:r>
      <w:r w:rsidR="004756C1" w:rsidRPr="002F50BD">
        <w:rPr>
          <w:rFonts w:ascii="Verdana" w:hAnsi="Verdana"/>
          <w:sz w:val="20"/>
          <w:lang w:val="pt-BR"/>
        </w:rPr>
        <w:t xml:space="preserve"> como</w:t>
      </w:r>
      <w:r w:rsidR="0089298C" w:rsidRPr="002F50BD">
        <w:rPr>
          <w:rFonts w:ascii="Verdana" w:hAnsi="Verdana"/>
          <w:sz w:val="20"/>
          <w:lang w:val="pt-BR"/>
        </w:rPr>
        <w:t xml:space="preserve"> os indicado</w:t>
      </w:r>
      <w:r w:rsidR="004756C1" w:rsidRPr="002F50BD">
        <w:rPr>
          <w:rFonts w:ascii="Verdana" w:hAnsi="Verdana"/>
          <w:sz w:val="20"/>
          <w:lang w:val="pt-BR"/>
        </w:rPr>
        <w:t>s</w:t>
      </w:r>
      <w:r w:rsidR="0089298C" w:rsidRPr="002F50BD">
        <w:rPr>
          <w:rFonts w:ascii="Verdana" w:hAnsi="Verdana"/>
          <w:sz w:val="20"/>
          <w:lang w:val="pt-BR"/>
        </w:rPr>
        <w:t xml:space="preserve"> no </w:t>
      </w:r>
      <w:r w:rsidR="004756C1" w:rsidRPr="002F50BD">
        <w:rPr>
          <w:rFonts w:ascii="Verdana" w:hAnsi="Verdana"/>
          <w:sz w:val="20"/>
          <w:lang w:val="pt-BR"/>
        </w:rPr>
        <w:t>presente caso n</w:t>
      </w:r>
      <w:r w:rsidR="00794692" w:rsidRPr="002F50BD">
        <w:rPr>
          <w:rFonts w:ascii="Verdana" w:hAnsi="Verdana"/>
          <w:sz w:val="20"/>
          <w:lang w:val="pt-BR"/>
        </w:rPr>
        <w:t>ã</w:t>
      </w:r>
      <w:r w:rsidR="004756C1" w:rsidRPr="002F50BD">
        <w:rPr>
          <w:rFonts w:ascii="Verdana" w:hAnsi="Verdana"/>
          <w:sz w:val="20"/>
          <w:lang w:val="pt-BR"/>
        </w:rPr>
        <w:t xml:space="preserve">o se </w:t>
      </w:r>
      <w:r w:rsidR="0089298C" w:rsidRPr="002F50BD">
        <w:rPr>
          <w:rFonts w:ascii="Verdana" w:hAnsi="Verdana"/>
          <w:sz w:val="20"/>
          <w:lang w:val="pt-BR"/>
        </w:rPr>
        <w:t>repitam</w:t>
      </w:r>
      <w:r w:rsidR="004756C1"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detrimento precisamente d</w:t>
      </w:r>
      <w:r w:rsidR="00794692" w:rsidRPr="002F50BD">
        <w:rPr>
          <w:rFonts w:ascii="Verdana" w:hAnsi="Verdana"/>
          <w:sz w:val="20"/>
          <w:lang w:val="pt-BR"/>
        </w:rPr>
        <w:t xml:space="preserve">aqueles </w:t>
      </w:r>
      <w:r w:rsidR="004756C1" w:rsidRPr="002F50BD">
        <w:rPr>
          <w:rFonts w:ascii="Verdana" w:hAnsi="Verdana"/>
          <w:sz w:val="20"/>
          <w:lang w:val="pt-BR"/>
        </w:rPr>
        <w:t xml:space="preserve">que </w:t>
      </w:r>
      <w:r w:rsidR="0089298C" w:rsidRPr="002F50BD">
        <w:rPr>
          <w:rFonts w:ascii="Verdana" w:hAnsi="Verdana"/>
          <w:sz w:val="20"/>
          <w:lang w:val="pt-BR"/>
        </w:rPr>
        <w:t xml:space="preserve">mais </w:t>
      </w:r>
      <w:r w:rsidR="005A6BC7" w:rsidRPr="002F50BD">
        <w:rPr>
          <w:rFonts w:ascii="Verdana" w:hAnsi="Verdana"/>
          <w:sz w:val="20"/>
          <w:lang w:val="pt-BR"/>
        </w:rPr>
        <w:t>necessitam</w:t>
      </w:r>
      <w:r w:rsidR="004756C1" w:rsidRPr="002F50BD">
        <w:rPr>
          <w:rFonts w:ascii="Verdana" w:hAnsi="Verdana"/>
          <w:sz w:val="20"/>
          <w:lang w:val="pt-BR"/>
        </w:rPr>
        <w:t xml:space="preserve"> de </w:t>
      </w:r>
      <w:r w:rsidR="0089298C" w:rsidRPr="002F50BD">
        <w:rPr>
          <w:rFonts w:ascii="Verdana" w:hAnsi="Verdana"/>
          <w:sz w:val="20"/>
          <w:lang w:val="pt-BR"/>
        </w:rPr>
        <w:t>proteção</w:t>
      </w:r>
      <w:r w:rsidR="004756C1" w:rsidRPr="002F50BD">
        <w:rPr>
          <w:rFonts w:ascii="Verdana" w:hAnsi="Verdana"/>
          <w:sz w:val="20"/>
          <w:lang w:val="pt-BR"/>
        </w:rPr>
        <w:t xml:space="preserve">, que </w:t>
      </w:r>
      <w:r w:rsidR="0089298C" w:rsidRPr="002F50BD">
        <w:rPr>
          <w:rFonts w:ascii="Verdana" w:hAnsi="Verdana"/>
          <w:sz w:val="20"/>
          <w:lang w:val="pt-BR"/>
        </w:rPr>
        <w:t xml:space="preserve">não possuem </w:t>
      </w:r>
      <w:r w:rsidR="004756C1" w:rsidRPr="002F50BD">
        <w:rPr>
          <w:rFonts w:ascii="Verdana" w:hAnsi="Verdana"/>
          <w:sz w:val="20"/>
          <w:lang w:val="pt-BR"/>
        </w:rPr>
        <w:t xml:space="preserve">interlocutores de </w:t>
      </w:r>
      <w:r w:rsidR="0089298C" w:rsidRPr="002F50BD">
        <w:rPr>
          <w:rFonts w:ascii="Verdana" w:hAnsi="Verdana"/>
          <w:sz w:val="20"/>
          <w:lang w:val="pt-BR"/>
        </w:rPr>
        <w:t xml:space="preserve">nenhum </w:t>
      </w:r>
      <w:r w:rsidR="004756C1" w:rsidRPr="002F50BD">
        <w:rPr>
          <w:rFonts w:ascii="Verdana" w:hAnsi="Verdana"/>
          <w:sz w:val="20"/>
          <w:lang w:val="pt-BR"/>
        </w:rPr>
        <w:t>tipo</w:t>
      </w:r>
      <w:r w:rsidR="0089298C" w:rsidRPr="002F50BD">
        <w:rPr>
          <w:rFonts w:ascii="Verdana" w:hAnsi="Verdana"/>
          <w:sz w:val="20"/>
          <w:lang w:val="pt-BR"/>
        </w:rPr>
        <w:t xml:space="preserve"> em nossa</w:t>
      </w:r>
      <w:r w:rsidR="004756C1" w:rsidRPr="002F50BD">
        <w:rPr>
          <w:rFonts w:ascii="Verdana" w:hAnsi="Verdana"/>
          <w:sz w:val="20"/>
          <w:lang w:val="pt-BR"/>
        </w:rPr>
        <w:t>s sociedades</w:t>
      </w:r>
      <w:r w:rsidR="0089298C" w:rsidRPr="002F50BD">
        <w:rPr>
          <w:rFonts w:ascii="Verdana" w:hAnsi="Verdana"/>
          <w:sz w:val="20"/>
          <w:lang w:val="pt-BR"/>
        </w:rPr>
        <w:t>, e</w:t>
      </w:r>
      <w:r w:rsidR="004756C1" w:rsidRPr="002F50BD">
        <w:rPr>
          <w:rFonts w:ascii="Verdana" w:hAnsi="Verdana"/>
          <w:sz w:val="20"/>
          <w:lang w:val="pt-BR"/>
        </w:rPr>
        <w:t xml:space="preserve"> de todos</w:t>
      </w:r>
      <w:r w:rsidR="0089298C" w:rsidRPr="002F50BD">
        <w:rPr>
          <w:rFonts w:ascii="Verdana" w:hAnsi="Verdana"/>
          <w:sz w:val="20"/>
          <w:lang w:val="pt-BR"/>
        </w:rPr>
        <w:t xml:space="preserve"> os </w:t>
      </w:r>
      <w:r w:rsidR="004756C1" w:rsidRPr="002F50BD">
        <w:rPr>
          <w:rFonts w:ascii="Verdana" w:hAnsi="Verdana"/>
          <w:sz w:val="20"/>
          <w:lang w:val="pt-BR"/>
        </w:rPr>
        <w:t>socialmente margina</w:t>
      </w:r>
      <w:r w:rsidR="00794692" w:rsidRPr="002F50BD">
        <w:rPr>
          <w:rFonts w:ascii="Verdana" w:hAnsi="Verdana"/>
          <w:sz w:val="20"/>
          <w:lang w:val="pt-BR"/>
        </w:rPr>
        <w:t>liza</w:t>
      </w:r>
      <w:r w:rsidR="004756C1" w:rsidRPr="002F50BD">
        <w:rPr>
          <w:rFonts w:ascii="Verdana" w:hAnsi="Verdana"/>
          <w:sz w:val="20"/>
          <w:lang w:val="pt-BR"/>
        </w:rPr>
        <w:t>dos</w:t>
      </w:r>
      <w:r w:rsidR="0089298C" w:rsidRPr="002F50BD">
        <w:rPr>
          <w:rFonts w:ascii="Verdana" w:hAnsi="Verdana"/>
          <w:sz w:val="20"/>
          <w:lang w:val="pt-BR"/>
        </w:rPr>
        <w:t xml:space="preserve"> e excluíd</w:t>
      </w:r>
      <w:r w:rsidR="004756C1" w:rsidRPr="002F50BD">
        <w:rPr>
          <w:rFonts w:ascii="Verdana" w:hAnsi="Verdana"/>
          <w:sz w:val="20"/>
          <w:lang w:val="pt-BR"/>
        </w:rPr>
        <w:t xml:space="preserve">os, que </w:t>
      </w:r>
      <w:r w:rsidR="00794692" w:rsidRPr="002F50BD">
        <w:rPr>
          <w:rFonts w:ascii="Verdana" w:hAnsi="Verdana"/>
          <w:sz w:val="20"/>
          <w:lang w:val="pt-BR"/>
        </w:rPr>
        <w:t>sofrem</w:t>
      </w:r>
      <w:r w:rsidR="0089298C" w:rsidRPr="002F50BD">
        <w:rPr>
          <w:rFonts w:ascii="Verdana" w:hAnsi="Verdana"/>
          <w:sz w:val="20"/>
          <w:lang w:val="pt-BR"/>
        </w:rPr>
        <w:t xml:space="preserve"> em </w:t>
      </w:r>
      <w:r w:rsidR="004756C1" w:rsidRPr="002F50BD">
        <w:rPr>
          <w:rFonts w:ascii="Verdana" w:hAnsi="Verdana"/>
          <w:sz w:val="20"/>
          <w:lang w:val="pt-BR"/>
        </w:rPr>
        <w:t>sil</w:t>
      </w:r>
      <w:r w:rsidR="00794692" w:rsidRPr="002F50BD">
        <w:rPr>
          <w:rFonts w:ascii="Verdana" w:hAnsi="Verdana"/>
          <w:sz w:val="20"/>
          <w:lang w:val="pt-BR"/>
        </w:rPr>
        <w:t>ê</w:t>
      </w:r>
      <w:r w:rsidR="004756C1" w:rsidRPr="002F50BD">
        <w:rPr>
          <w:rFonts w:ascii="Verdana" w:hAnsi="Verdana"/>
          <w:sz w:val="20"/>
          <w:lang w:val="pt-BR"/>
        </w:rPr>
        <w:t xml:space="preserve">ncio, </w:t>
      </w:r>
      <w:r w:rsidR="0089298C" w:rsidRPr="002F50BD">
        <w:rPr>
          <w:rFonts w:ascii="Verdana" w:hAnsi="Verdana"/>
          <w:sz w:val="20"/>
          <w:lang w:val="pt-BR"/>
        </w:rPr>
        <w:t>mas</w:t>
      </w:r>
      <w:r w:rsidR="004756C1" w:rsidRPr="002F50BD">
        <w:rPr>
          <w:rFonts w:ascii="Verdana" w:hAnsi="Verdana"/>
          <w:sz w:val="20"/>
          <w:lang w:val="pt-BR"/>
        </w:rPr>
        <w:t xml:space="preserve"> que de </w:t>
      </w:r>
      <w:r w:rsidR="0089298C" w:rsidRPr="002F50BD">
        <w:rPr>
          <w:rFonts w:ascii="Verdana" w:hAnsi="Verdana"/>
          <w:sz w:val="20"/>
          <w:lang w:val="pt-BR"/>
        </w:rPr>
        <w:t xml:space="preserve">nenhum </w:t>
      </w:r>
      <w:r w:rsidR="004756C1" w:rsidRPr="002F50BD">
        <w:rPr>
          <w:rFonts w:ascii="Verdana" w:hAnsi="Verdana"/>
          <w:sz w:val="20"/>
          <w:lang w:val="pt-BR"/>
        </w:rPr>
        <w:t xml:space="preserve">modo </w:t>
      </w:r>
      <w:r w:rsidR="00475EBB" w:rsidRPr="002F50BD">
        <w:rPr>
          <w:rFonts w:ascii="Verdana" w:hAnsi="Verdana"/>
          <w:sz w:val="20"/>
          <w:lang w:val="pt-BR"/>
        </w:rPr>
        <w:t xml:space="preserve">podem </w:t>
      </w:r>
      <w:r w:rsidR="004756C1" w:rsidRPr="002F50BD">
        <w:rPr>
          <w:rFonts w:ascii="Verdana" w:hAnsi="Verdana"/>
          <w:sz w:val="20"/>
          <w:lang w:val="pt-BR"/>
        </w:rPr>
        <w:t xml:space="preserve">ser </w:t>
      </w:r>
      <w:r w:rsidR="00794692" w:rsidRPr="002F50BD">
        <w:rPr>
          <w:rFonts w:ascii="Verdana" w:hAnsi="Verdana"/>
          <w:sz w:val="20"/>
          <w:lang w:val="pt-BR"/>
        </w:rPr>
        <w:t xml:space="preserve">esquecidos </w:t>
      </w:r>
      <w:r w:rsidR="0089298C" w:rsidRPr="002F50BD">
        <w:rPr>
          <w:rFonts w:ascii="Verdana" w:hAnsi="Verdana"/>
          <w:sz w:val="20"/>
          <w:lang w:val="pt-BR"/>
        </w:rPr>
        <w:t>pelo Direito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p>
    <w:p w:rsidR="004756C1" w:rsidRPr="002F50BD" w:rsidRDefault="004756C1">
      <w:pPr>
        <w:rPr>
          <w:rFonts w:ascii="Verdana" w:hAnsi="Verdana"/>
          <w:sz w:val="20"/>
          <w:lang w:val="pt-BR"/>
        </w:rPr>
      </w:pPr>
      <w:r w:rsidRPr="002F50BD">
        <w:rPr>
          <w:rFonts w:ascii="Verdana" w:hAnsi="Verdana"/>
          <w:sz w:val="20"/>
          <w:lang w:val="pt-BR"/>
        </w:rPr>
        <w:t>Antônio Augusto Cançado Trindade</w:t>
      </w:r>
      <w:r w:rsidRPr="002F50BD">
        <w:rPr>
          <w:rFonts w:ascii="Verdana" w:hAnsi="Verdana"/>
          <w:sz w:val="20"/>
          <w:lang w:val="pt-BR"/>
        </w:rPr>
        <w:tab/>
      </w:r>
      <w:r w:rsidRPr="002F50BD">
        <w:rPr>
          <w:rFonts w:ascii="Verdana" w:hAnsi="Verdana"/>
          <w:sz w:val="20"/>
          <w:lang w:val="pt-BR"/>
        </w:rPr>
        <w:tab/>
      </w:r>
      <w:r w:rsidRPr="002F50BD">
        <w:rPr>
          <w:rFonts w:ascii="Verdana" w:hAnsi="Verdana"/>
          <w:sz w:val="20"/>
          <w:lang w:val="pt-BR"/>
        </w:rPr>
        <w:tab/>
      </w:r>
      <w:r w:rsidR="00FE08B7">
        <w:rPr>
          <w:rFonts w:ascii="Verdana" w:hAnsi="Verdana"/>
          <w:sz w:val="20"/>
          <w:lang w:val="pt-BR"/>
        </w:rPr>
        <w:t xml:space="preserve">  </w:t>
      </w:r>
      <w:r w:rsidRPr="002F50BD">
        <w:rPr>
          <w:rFonts w:ascii="Verdana" w:hAnsi="Verdana"/>
          <w:sz w:val="20"/>
          <w:lang w:val="pt-BR"/>
        </w:rPr>
        <w:t xml:space="preserve"> Manuel E. Ventura Robles</w:t>
      </w:r>
    </w:p>
    <w:p w:rsidR="004756C1" w:rsidRPr="002F50BD" w:rsidRDefault="00FE08B7">
      <w:pPr>
        <w:ind w:right="404" w:firstLine="706"/>
        <w:rPr>
          <w:rFonts w:ascii="Verdana" w:hAnsi="Verdana"/>
          <w:i/>
          <w:sz w:val="20"/>
          <w:lang w:val="pt-BR"/>
        </w:rPr>
      </w:pPr>
      <w:r>
        <w:rPr>
          <w:rFonts w:ascii="Verdana" w:hAnsi="Verdana"/>
          <w:sz w:val="20"/>
          <w:lang w:val="pt-BR"/>
        </w:rPr>
        <w:t xml:space="preserve">    </w:t>
      </w:r>
      <w:r w:rsidR="004756C1" w:rsidRPr="002F50BD">
        <w:rPr>
          <w:rFonts w:ascii="Verdana" w:hAnsi="Verdana"/>
          <w:sz w:val="20"/>
          <w:lang w:val="pt-BR"/>
        </w:rPr>
        <w:t xml:space="preserve"> </w:t>
      </w:r>
      <w:r w:rsidR="0089298C" w:rsidRPr="002F50BD">
        <w:rPr>
          <w:rFonts w:ascii="Verdana" w:hAnsi="Verdana"/>
          <w:sz w:val="20"/>
          <w:lang w:val="pt-BR"/>
        </w:rPr>
        <w:t>Juiz</w:t>
      </w:r>
      <w:r w:rsidR="004756C1" w:rsidRPr="002F50BD">
        <w:rPr>
          <w:rFonts w:ascii="Verdana" w:hAnsi="Verdana"/>
          <w:sz w:val="20"/>
          <w:lang w:val="pt-BR"/>
        </w:rPr>
        <w:tab/>
      </w:r>
      <w:r w:rsidR="004756C1" w:rsidRPr="002F50BD">
        <w:rPr>
          <w:rFonts w:ascii="Verdana" w:hAnsi="Verdana"/>
          <w:sz w:val="20"/>
          <w:lang w:val="pt-BR"/>
        </w:rPr>
        <w:tab/>
      </w:r>
      <w:r w:rsidR="004756C1" w:rsidRPr="002F50BD">
        <w:rPr>
          <w:rFonts w:ascii="Verdana" w:hAnsi="Verdana"/>
          <w:sz w:val="20"/>
          <w:lang w:val="pt-BR"/>
        </w:rPr>
        <w:tab/>
      </w:r>
      <w:r w:rsidR="004756C1" w:rsidRPr="002F50BD">
        <w:rPr>
          <w:rFonts w:ascii="Verdana" w:hAnsi="Verdana"/>
          <w:sz w:val="20"/>
          <w:lang w:val="pt-BR"/>
        </w:rPr>
        <w:tab/>
      </w:r>
      <w:r w:rsidR="004756C1" w:rsidRPr="002F50BD">
        <w:rPr>
          <w:rFonts w:ascii="Verdana" w:hAnsi="Verdana"/>
          <w:sz w:val="20"/>
          <w:lang w:val="pt-BR"/>
        </w:rPr>
        <w:tab/>
      </w:r>
      <w:r w:rsidR="004756C1" w:rsidRPr="002F50BD">
        <w:rPr>
          <w:rFonts w:ascii="Verdana" w:hAnsi="Verdana"/>
          <w:sz w:val="20"/>
          <w:lang w:val="pt-BR"/>
        </w:rPr>
        <w:tab/>
      </w:r>
      <w:r w:rsidR="004756C1" w:rsidRPr="002F50BD">
        <w:rPr>
          <w:rFonts w:ascii="Verdana" w:hAnsi="Verdana"/>
          <w:sz w:val="20"/>
          <w:lang w:val="pt-BR"/>
        </w:rPr>
        <w:tab/>
      </w:r>
      <w:r>
        <w:rPr>
          <w:rFonts w:ascii="Verdana" w:hAnsi="Verdana"/>
          <w:sz w:val="20"/>
          <w:lang w:val="pt-BR"/>
        </w:rPr>
        <w:t xml:space="preserve">    </w:t>
      </w:r>
      <w:r w:rsidR="004756C1" w:rsidRPr="002F50BD">
        <w:rPr>
          <w:rFonts w:ascii="Verdana" w:hAnsi="Verdana"/>
          <w:sz w:val="20"/>
          <w:lang w:val="pt-BR"/>
        </w:rPr>
        <w:t xml:space="preserve"> </w:t>
      </w:r>
      <w:r w:rsidR="0089298C" w:rsidRPr="002F50BD">
        <w:rPr>
          <w:rFonts w:ascii="Verdana" w:hAnsi="Verdana"/>
          <w:sz w:val="20"/>
          <w:lang w:val="pt-BR"/>
        </w:rPr>
        <w:t>Juiz</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FE08B7" w:rsidRDefault="00FE08B7">
      <w:pPr>
        <w:jc w:val="center"/>
        <w:rPr>
          <w:rFonts w:ascii="Verdana" w:hAnsi="Verdana"/>
          <w:sz w:val="20"/>
          <w:lang w:val="pt-BR"/>
        </w:rPr>
      </w:pPr>
    </w:p>
    <w:p w:rsidR="004756C1" w:rsidRPr="002F50BD" w:rsidRDefault="004756C1">
      <w:pPr>
        <w:jc w:val="center"/>
        <w:rPr>
          <w:rFonts w:ascii="Verdana" w:hAnsi="Verdana"/>
          <w:sz w:val="20"/>
          <w:lang w:val="pt-BR"/>
        </w:rPr>
      </w:pPr>
      <w:r w:rsidRPr="002F50BD">
        <w:rPr>
          <w:rFonts w:ascii="Verdana" w:hAnsi="Verdana"/>
          <w:sz w:val="20"/>
          <w:lang w:val="pt-BR"/>
        </w:rPr>
        <w:t>Pablo Saavedra Alessandri</w:t>
      </w:r>
    </w:p>
    <w:p w:rsidR="004756C1" w:rsidRPr="002F50BD" w:rsidRDefault="0089298C">
      <w:pPr>
        <w:jc w:val="center"/>
        <w:rPr>
          <w:rFonts w:ascii="Verdana" w:hAnsi="Verdana"/>
          <w:sz w:val="20"/>
          <w:lang w:val="pt-BR"/>
        </w:rPr>
      </w:pPr>
      <w:r w:rsidRPr="002F50BD">
        <w:rPr>
          <w:rFonts w:ascii="Verdana" w:hAnsi="Verdana"/>
          <w:sz w:val="20"/>
          <w:lang w:val="pt-BR"/>
        </w:rPr>
        <w:t>Secretário</w:t>
      </w:r>
    </w:p>
    <w:p w:rsidR="004756C1" w:rsidRPr="002F50BD" w:rsidRDefault="004756C1">
      <w:pPr>
        <w:rPr>
          <w:rFonts w:ascii="Verdana" w:hAnsi="Verdana"/>
          <w:sz w:val="20"/>
          <w:lang w:val="pt-BR"/>
        </w:rPr>
        <w:sectPr w:rsidR="004756C1" w:rsidRPr="002F50BD">
          <w:footnotePr>
            <w:numRestart w:val="eachSect"/>
          </w:footnotePr>
          <w:pgSz w:w="12240" w:h="15840"/>
          <w:pgMar w:top="1440" w:right="1800" w:bottom="1440" w:left="1800" w:header="720" w:footer="720" w:gutter="0"/>
          <w:pgNumType w:start="1"/>
          <w:cols w:space="720"/>
          <w:noEndnote/>
          <w:titlePg/>
        </w:sectPr>
      </w:pPr>
    </w:p>
    <w:p w:rsidR="004756C1" w:rsidRPr="002F50BD" w:rsidRDefault="004756C1">
      <w:pPr>
        <w:pStyle w:val="BodyTextIndent3"/>
        <w:ind w:left="0"/>
        <w:jc w:val="center"/>
        <w:rPr>
          <w:rFonts w:ascii="Verdana" w:hAnsi="Verdana"/>
          <w:b/>
          <w:sz w:val="20"/>
          <w:lang w:val="pt-BR"/>
        </w:rPr>
      </w:pPr>
    </w:p>
    <w:p w:rsidR="004756C1" w:rsidRPr="002F50BD" w:rsidRDefault="004756C1">
      <w:pPr>
        <w:pStyle w:val="BodyTextIndent3"/>
        <w:ind w:left="0"/>
        <w:jc w:val="center"/>
        <w:rPr>
          <w:rFonts w:ascii="Verdana" w:hAnsi="Verdana"/>
          <w:b/>
          <w:sz w:val="20"/>
          <w:lang w:val="pt-BR"/>
        </w:rPr>
      </w:pPr>
    </w:p>
    <w:p w:rsidR="004756C1" w:rsidRPr="002F50BD" w:rsidRDefault="004756C1">
      <w:pPr>
        <w:pStyle w:val="BodyTextIndent3"/>
        <w:ind w:left="0"/>
        <w:jc w:val="center"/>
        <w:rPr>
          <w:rFonts w:ascii="Verdana" w:hAnsi="Verdana"/>
          <w:b/>
          <w:sz w:val="20"/>
          <w:lang w:val="pt-BR"/>
        </w:rPr>
      </w:pPr>
      <w:r w:rsidRPr="002F50BD">
        <w:rPr>
          <w:rFonts w:ascii="Verdana" w:hAnsi="Verdana"/>
          <w:b/>
          <w:sz w:val="20"/>
          <w:lang w:val="pt-BR"/>
        </w:rPr>
        <w:t xml:space="preserve">VOTO PARCIALMENTE </w:t>
      </w:r>
      <w:r w:rsidR="0089298C" w:rsidRPr="002F50BD">
        <w:rPr>
          <w:rFonts w:ascii="Verdana" w:hAnsi="Verdana"/>
          <w:b/>
          <w:sz w:val="20"/>
          <w:lang w:val="pt-BR"/>
        </w:rPr>
        <w:t>CONCOR</w:t>
      </w:r>
      <w:r w:rsidR="00243D2E" w:rsidRPr="002F50BD">
        <w:rPr>
          <w:rFonts w:ascii="Verdana" w:hAnsi="Verdana"/>
          <w:b/>
          <w:sz w:val="20"/>
          <w:lang w:val="pt-BR"/>
        </w:rPr>
        <w:t>DANTE</w:t>
      </w:r>
      <w:r w:rsidR="008323C6" w:rsidRPr="002F50BD">
        <w:rPr>
          <w:rFonts w:ascii="Verdana" w:hAnsi="Verdana"/>
          <w:b/>
          <w:sz w:val="20"/>
          <w:lang w:val="pt-BR"/>
        </w:rPr>
        <w:t xml:space="preserve"> E </w:t>
      </w:r>
      <w:r w:rsidRPr="002F50BD">
        <w:rPr>
          <w:rFonts w:ascii="Verdana" w:hAnsi="Verdana"/>
          <w:b/>
          <w:sz w:val="20"/>
          <w:lang w:val="pt-BR"/>
        </w:rPr>
        <w:t xml:space="preserve">PARCIALMENTE </w:t>
      </w:r>
      <w:r w:rsidR="001F21AC" w:rsidRPr="002F50BD">
        <w:rPr>
          <w:rFonts w:ascii="Verdana" w:hAnsi="Verdana"/>
          <w:b/>
          <w:sz w:val="20"/>
          <w:lang w:val="pt-BR"/>
        </w:rPr>
        <w:t>DISSIDENTE</w:t>
      </w:r>
      <w:r w:rsidRPr="002F50BD">
        <w:rPr>
          <w:rFonts w:ascii="Verdana" w:hAnsi="Verdana"/>
          <w:b/>
          <w:sz w:val="20"/>
          <w:lang w:val="pt-BR"/>
        </w:rPr>
        <w:t xml:space="preserve"> </w:t>
      </w:r>
      <w:r w:rsidR="0089298C" w:rsidRPr="002F50BD">
        <w:rPr>
          <w:rFonts w:ascii="Verdana" w:hAnsi="Verdana"/>
          <w:b/>
          <w:sz w:val="20"/>
          <w:lang w:val="pt-BR"/>
        </w:rPr>
        <w:t>DO JUIZ</w:t>
      </w:r>
      <w:r w:rsidRPr="002F50BD">
        <w:rPr>
          <w:rFonts w:ascii="Verdana" w:hAnsi="Verdana"/>
          <w:b/>
          <w:sz w:val="20"/>
          <w:lang w:val="pt-BR"/>
        </w:rPr>
        <w:t xml:space="preserve"> RAMON FOGEL</w:t>
      </w:r>
    </w:p>
    <w:p w:rsidR="004756C1" w:rsidRPr="002F50BD" w:rsidRDefault="004756C1">
      <w:pPr>
        <w:jc w:val="both"/>
        <w:rPr>
          <w:rFonts w:ascii="Verdana" w:hAnsi="Verdana"/>
          <w:sz w:val="20"/>
          <w:lang w:val="pt-BR"/>
        </w:rPr>
      </w:pPr>
    </w:p>
    <w:p w:rsidR="004756C1" w:rsidRPr="002F50BD" w:rsidRDefault="008323C6">
      <w:pPr>
        <w:jc w:val="both"/>
        <w:rPr>
          <w:rFonts w:ascii="Verdana" w:hAnsi="Verdana"/>
          <w:sz w:val="20"/>
          <w:lang w:val="pt-BR"/>
        </w:rPr>
      </w:pPr>
      <w:r w:rsidRPr="002F50BD">
        <w:rPr>
          <w:rFonts w:ascii="Verdana" w:hAnsi="Verdana"/>
          <w:sz w:val="20"/>
          <w:lang w:val="pt-BR"/>
        </w:rPr>
        <w:t>P</w:t>
      </w:r>
      <w:r w:rsidR="004756C1" w:rsidRPr="002F50BD">
        <w:rPr>
          <w:rFonts w:ascii="Verdana" w:hAnsi="Verdana"/>
          <w:sz w:val="20"/>
          <w:lang w:val="pt-BR"/>
        </w:rPr>
        <w:t>articip</w:t>
      </w:r>
      <w:r w:rsidRPr="002F50BD">
        <w:rPr>
          <w:rFonts w:ascii="Verdana" w:hAnsi="Verdana"/>
          <w:sz w:val="20"/>
          <w:lang w:val="pt-BR"/>
        </w:rPr>
        <w:t>ei</w:t>
      </w:r>
      <w:r w:rsidR="0089298C" w:rsidRPr="002F50BD">
        <w:rPr>
          <w:rFonts w:ascii="Verdana" w:hAnsi="Verdana"/>
          <w:sz w:val="20"/>
          <w:lang w:val="pt-BR"/>
        </w:rPr>
        <w:t xml:space="preserve"> no pronunciamento da sentença</w:t>
      </w:r>
      <w:r w:rsidR="004756C1" w:rsidRPr="002F50BD">
        <w:rPr>
          <w:rFonts w:ascii="Verdana" w:hAnsi="Verdana"/>
          <w:sz w:val="20"/>
          <w:lang w:val="pt-BR"/>
        </w:rPr>
        <w:t xml:space="preserve"> </w:t>
      </w:r>
      <w:r w:rsidR="00A157C9">
        <w:rPr>
          <w:rFonts w:ascii="Verdana" w:hAnsi="Verdana"/>
          <w:sz w:val="20"/>
          <w:lang w:val="pt-BR"/>
        </w:rPr>
        <w:t>proferida</w:t>
      </w:r>
      <w:r w:rsidR="0089298C" w:rsidRPr="002F50BD">
        <w:rPr>
          <w:rFonts w:ascii="Verdana" w:hAnsi="Verdana"/>
          <w:sz w:val="20"/>
          <w:lang w:val="pt-BR"/>
        </w:rPr>
        <w:t xml:space="preserve"> pela </w:t>
      </w:r>
      <w:r w:rsidR="004756C1" w:rsidRPr="002F50BD">
        <w:rPr>
          <w:rFonts w:ascii="Verdana" w:hAnsi="Verdana"/>
          <w:sz w:val="20"/>
          <w:lang w:val="pt-BR"/>
        </w:rPr>
        <w:t>Corte</w:t>
      </w:r>
      <w:r w:rsidR="0089298C" w:rsidRPr="002F50BD">
        <w:rPr>
          <w:rFonts w:ascii="Verdana" w:hAnsi="Verdana"/>
          <w:sz w:val="20"/>
          <w:lang w:val="pt-BR"/>
        </w:rPr>
        <w:t xml:space="preserve"> no </w:t>
      </w:r>
      <w:r w:rsidR="004756C1" w:rsidRPr="002F50BD">
        <w:rPr>
          <w:rFonts w:ascii="Verdana" w:hAnsi="Verdana"/>
          <w:sz w:val="20"/>
          <w:lang w:val="pt-BR"/>
        </w:rPr>
        <w:t>caso Yakye Axa</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Pr="002F50BD">
        <w:rPr>
          <w:rFonts w:ascii="Verdana" w:hAnsi="Verdana"/>
          <w:sz w:val="20"/>
          <w:lang w:val="pt-BR"/>
        </w:rPr>
        <w:t xml:space="preserve">discordo </w:t>
      </w:r>
      <w:r w:rsidR="004756C1" w:rsidRPr="002F50BD">
        <w:rPr>
          <w:rFonts w:ascii="Verdana" w:hAnsi="Verdana"/>
          <w:sz w:val="20"/>
          <w:lang w:val="pt-BR"/>
        </w:rPr>
        <w:t xml:space="preserve">de </w:t>
      </w:r>
      <w:r w:rsidR="0089298C" w:rsidRPr="002F50BD">
        <w:rPr>
          <w:rFonts w:ascii="Verdana" w:hAnsi="Verdana"/>
          <w:sz w:val="20"/>
          <w:lang w:val="pt-BR"/>
        </w:rPr>
        <w:t>alguns pontos</w:t>
      </w:r>
      <w:r w:rsidR="004756C1" w:rsidRPr="002F50BD">
        <w:rPr>
          <w:rFonts w:ascii="Verdana" w:hAnsi="Verdana"/>
          <w:sz w:val="20"/>
          <w:lang w:val="pt-BR"/>
        </w:rPr>
        <w:t xml:space="preserve"> resolutivos </w:t>
      </w:r>
      <w:r w:rsidR="0089298C" w:rsidRPr="002F50BD">
        <w:rPr>
          <w:rFonts w:ascii="Verdana" w:hAnsi="Verdana"/>
          <w:sz w:val="20"/>
          <w:lang w:val="pt-BR"/>
        </w:rPr>
        <w:t>da mesm</w:t>
      </w:r>
      <w:r w:rsidR="004756C1" w:rsidRPr="002F50BD">
        <w:rPr>
          <w:rFonts w:ascii="Verdana" w:hAnsi="Verdana"/>
          <w:sz w:val="20"/>
          <w:lang w:val="pt-BR"/>
        </w:rPr>
        <w:t>a,</w:t>
      </w:r>
      <w:r w:rsidR="0089298C" w:rsidRPr="002F50BD">
        <w:rPr>
          <w:rFonts w:ascii="Verdana" w:hAnsi="Verdana"/>
          <w:sz w:val="20"/>
          <w:lang w:val="pt-BR"/>
        </w:rPr>
        <w:t xml:space="preserve"> </w:t>
      </w:r>
      <w:r w:rsidRPr="002F50BD">
        <w:rPr>
          <w:rFonts w:ascii="Verdana" w:hAnsi="Verdana"/>
          <w:sz w:val="20"/>
          <w:lang w:val="pt-BR"/>
        </w:rPr>
        <w:t xml:space="preserve">com </w:t>
      </w:r>
      <w:r w:rsidR="004756C1" w:rsidRPr="002F50BD">
        <w:rPr>
          <w:rFonts w:ascii="Verdana" w:hAnsi="Verdana"/>
          <w:sz w:val="20"/>
          <w:lang w:val="pt-BR"/>
        </w:rPr>
        <w:t>base</w:t>
      </w:r>
      <w:r w:rsidR="0089298C" w:rsidRPr="002F50BD">
        <w:rPr>
          <w:rFonts w:ascii="Verdana" w:hAnsi="Verdana"/>
          <w:sz w:val="20"/>
          <w:lang w:val="pt-BR"/>
        </w:rPr>
        <w:t xml:space="preserve"> </w:t>
      </w:r>
      <w:r w:rsidRPr="002F50BD">
        <w:rPr>
          <w:rFonts w:ascii="Verdana" w:hAnsi="Verdana"/>
          <w:sz w:val="20"/>
          <w:lang w:val="pt-BR"/>
        </w:rPr>
        <w:t>n</w:t>
      </w:r>
      <w:r w:rsidR="0089298C" w:rsidRPr="002F50BD">
        <w:rPr>
          <w:rFonts w:ascii="Verdana" w:hAnsi="Verdana"/>
          <w:sz w:val="20"/>
          <w:lang w:val="pt-BR"/>
        </w:rPr>
        <w:t xml:space="preserve">os </w:t>
      </w:r>
      <w:r w:rsidR="004756C1" w:rsidRPr="002F50BD">
        <w:rPr>
          <w:rFonts w:ascii="Verdana" w:hAnsi="Verdana"/>
          <w:sz w:val="20"/>
          <w:lang w:val="pt-BR"/>
        </w:rPr>
        <w:t xml:space="preserve">fundamentos </w:t>
      </w:r>
      <w:r w:rsidR="0089298C" w:rsidRPr="002F50BD">
        <w:rPr>
          <w:rFonts w:ascii="Verdana" w:hAnsi="Verdana"/>
          <w:sz w:val="20"/>
          <w:lang w:val="pt-BR"/>
        </w:rPr>
        <w:t>expost</w:t>
      </w:r>
      <w:r w:rsidR="004756C1" w:rsidRPr="002F50BD">
        <w:rPr>
          <w:rFonts w:ascii="Verdana" w:hAnsi="Verdana"/>
          <w:sz w:val="20"/>
          <w:lang w:val="pt-BR"/>
        </w:rPr>
        <w:t>os</w:t>
      </w:r>
      <w:r w:rsidR="0089298C" w:rsidRPr="002F50BD">
        <w:rPr>
          <w:rFonts w:ascii="Verdana" w:hAnsi="Verdana"/>
          <w:sz w:val="20"/>
          <w:lang w:val="pt-BR"/>
        </w:rPr>
        <w:t xml:space="preserve"> nas </w:t>
      </w:r>
      <w:r w:rsidR="004756C1" w:rsidRPr="002F50BD">
        <w:rPr>
          <w:rFonts w:ascii="Verdana" w:hAnsi="Verdana"/>
          <w:sz w:val="20"/>
          <w:lang w:val="pt-BR"/>
        </w:rPr>
        <w:t>delibera</w:t>
      </w:r>
      <w:r w:rsidR="0089298C" w:rsidRPr="002F50BD">
        <w:rPr>
          <w:rFonts w:ascii="Verdana" w:hAnsi="Verdana"/>
          <w:sz w:val="20"/>
          <w:lang w:val="pt-BR"/>
        </w:rPr>
        <w:t>ções e</w:t>
      </w:r>
      <w:r w:rsidR="004756C1" w:rsidRPr="002F50BD">
        <w:rPr>
          <w:rFonts w:ascii="Verdana" w:hAnsi="Verdana"/>
          <w:sz w:val="20"/>
          <w:lang w:val="pt-BR"/>
        </w:rPr>
        <w:t xml:space="preserve"> que compre</w:t>
      </w:r>
      <w:r w:rsidRPr="002F50BD">
        <w:rPr>
          <w:rFonts w:ascii="Verdana" w:hAnsi="Verdana"/>
          <w:sz w:val="20"/>
          <w:lang w:val="pt-BR"/>
        </w:rPr>
        <w:t>e</w:t>
      </w:r>
      <w:r w:rsidR="004756C1" w:rsidRPr="002F50BD">
        <w:rPr>
          <w:rFonts w:ascii="Verdana" w:hAnsi="Verdana"/>
          <w:sz w:val="20"/>
          <w:lang w:val="pt-BR"/>
        </w:rPr>
        <w:t>nder</w:t>
      </w:r>
      <w:r w:rsidRPr="002F50BD">
        <w:rPr>
          <w:rFonts w:ascii="Verdana" w:hAnsi="Verdana"/>
          <w:sz w:val="20"/>
          <w:lang w:val="pt-BR"/>
        </w:rPr>
        <w:t>am</w:t>
      </w:r>
      <w:r w:rsidR="0089298C" w:rsidRPr="002F50BD">
        <w:rPr>
          <w:rFonts w:ascii="Verdana" w:hAnsi="Verdana"/>
          <w:sz w:val="20"/>
          <w:lang w:val="pt-BR"/>
        </w:rPr>
        <w:t xml:space="preserve"> as seguinte</w:t>
      </w:r>
      <w:r w:rsidR="004756C1" w:rsidRPr="002F50BD">
        <w:rPr>
          <w:rFonts w:ascii="Verdana" w:hAnsi="Verdana"/>
          <w:sz w:val="20"/>
          <w:lang w:val="pt-BR"/>
        </w:rPr>
        <w:t>s considera</w:t>
      </w:r>
      <w:r w:rsidR="0089298C" w:rsidRPr="002F50BD">
        <w:rPr>
          <w:rFonts w:ascii="Verdana" w:hAnsi="Verdana"/>
          <w:sz w:val="20"/>
          <w:lang w:val="pt-BR"/>
        </w:rPr>
        <w:t>ções</w:t>
      </w:r>
      <w:r w:rsidR="004756C1" w:rsidRPr="002F50BD">
        <w:rPr>
          <w:rFonts w:ascii="Verdana" w:hAnsi="Verdana"/>
          <w:sz w:val="20"/>
          <w:lang w:val="pt-BR"/>
        </w:rPr>
        <w:t>:</w:t>
      </w:r>
    </w:p>
    <w:p w:rsidR="008323C6" w:rsidRPr="002F50BD" w:rsidRDefault="008323C6" w:rsidP="008323C6">
      <w:pPr>
        <w:ind w:left="360"/>
        <w:jc w:val="both"/>
        <w:rPr>
          <w:rFonts w:ascii="Verdana" w:hAnsi="Verdana"/>
          <w:sz w:val="20"/>
          <w:lang w:val="pt-BR"/>
        </w:rPr>
      </w:pPr>
    </w:p>
    <w:p w:rsidR="004756C1" w:rsidRPr="002F50BD" w:rsidRDefault="0089298C">
      <w:pPr>
        <w:numPr>
          <w:ilvl w:val="0"/>
          <w:numId w:val="38"/>
        </w:numPr>
        <w:tabs>
          <w:tab w:val="clear" w:pos="720"/>
          <w:tab w:val="num" w:pos="180"/>
        </w:tabs>
        <w:ind w:left="0" w:firstLine="0"/>
        <w:jc w:val="both"/>
        <w:rPr>
          <w:rFonts w:ascii="Verdana" w:hAnsi="Verdana"/>
          <w:sz w:val="20"/>
          <w:lang w:val="pt-BR"/>
        </w:rPr>
      </w:pPr>
      <w:r w:rsidRPr="002F50BD">
        <w:rPr>
          <w:rFonts w:ascii="Verdana" w:hAnsi="Verdana"/>
          <w:sz w:val="20"/>
          <w:lang w:val="pt-BR"/>
        </w:rPr>
        <w:t xml:space="preserve">A Comunidade </w:t>
      </w:r>
      <w:r w:rsidR="004756C1" w:rsidRPr="002F50BD">
        <w:rPr>
          <w:rFonts w:ascii="Verdana" w:hAnsi="Verdana"/>
          <w:sz w:val="20"/>
          <w:lang w:val="pt-BR"/>
        </w:rPr>
        <w:t>indígena Yakye Axa</w:t>
      </w:r>
      <w:r w:rsidRPr="002F50BD">
        <w:rPr>
          <w:rFonts w:ascii="Verdana" w:hAnsi="Verdana"/>
          <w:sz w:val="20"/>
          <w:lang w:val="pt-BR"/>
        </w:rPr>
        <w:t xml:space="preserve"> faz </w:t>
      </w:r>
      <w:r w:rsidR="004756C1" w:rsidRPr="002F50BD">
        <w:rPr>
          <w:rFonts w:ascii="Verdana" w:hAnsi="Verdana"/>
          <w:sz w:val="20"/>
          <w:lang w:val="pt-BR"/>
        </w:rPr>
        <w:t>parte</w:t>
      </w:r>
      <w:r w:rsidRPr="002F50BD">
        <w:rPr>
          <w:rFonts w:ascii="Verdana" w:hAnsi="Verdana"/>
          <w:sz w:val="20"/>
          <w:lang w:val="pt-BR"/>
        </w:rPr>
        <w:t xml:space="preserve"> d</w:t>
      </w:r>
      <w:r w:rsidR="008C25F4" w:rsidRPr="002F50BD">
        <w:rPr>
          <w:rFonts w:ascii="Verdana" w:hAnsi="Verdana"/>
          <w:sz w:val="20"/>
          <w:lang w:val="pt-BR"/>
        </w:rPr>
        <w:t xml:space="preserve">o grupo </w:t>
      </w:r>
      <w:r w:rsidR="004756C1" w:rsidRPr="002F50BD">
        <w:rPr>
          <w:rFonts w:ascii="Verdana" w:hAnsi="Verdana"/>
          <w:sz w:val="20"/>
          <w:lang w:val="pt-BR"/>
        </w:rPr>
        <w:t>Chanawatsan</w:t>
      </w:r>
      <w:r w:rsidRPr="002F50BD">
        <w:rPr>
          <w:rFonts w:ascii="Verdana" w:hAnsi="Verdana"/>
          <w:sz w:val="20"/>
          <w:lang w:val="pt-BR"/>
        </w:rPr>
        <w:t xml:space="preserve"> e </w:t>
      </w:r>
      <w:r w:rsidR="00AB454A" w:rsidRPr="002F50BD">
        <w:rPr>
          <w:rFonts w:ascii="Verdana" w:hAnsi="Verdana"/>
          <w:sz w:val="20"/>
          <w:lang w:val="pt-BR"/>
        </w:rPr>
        <w:t>pertence</w:t>
      </w:r>
      <w:r w:rsidRPr="002F50BD">
        <w:rPr>
          <w:rFonts w:ascii="Verdana" w:hAnsi="Verdana"/>
          <w:sz w:val="20"/>
          <w:lang w:val="pt-BR"/>
        </w:rPr>
        <w:t xml:space="preserve"> ao </w:t>
      </w:r>
      <w:r w:rsidR="0039684E" w:rsidRPr="002F50BD">
        <w:rPr>
          <w:rFonts w:ascii="Verdana" w:hAnsi="Verdana"/>
          <w:sz w:val="20"/>
          <w:lang w:val="pt-BR"/>
        </w:rPr>
        <w:t>Povo Enxet-Lengua</w:t>
      </w:r>
      <w:r w:rsidR="00D95E71" w:rsidRPr="002F50BD">
        <w:rPr>
          <w:rFonts w:ascii="Verdana" w:hAnsi="Verdana"/>
          <w:sz w:val="20"/>
          <w:lang w:val="pt-BR"/>
        </w:rPr>
        <w:t xml:space="preserve">. O </w:t>
      </w:r>
      <w:r w:rsidRPr="002F50BD">
        <w:rPr>
          <w:rFonts w:ascii="Verdana" w:hAnsi="Verdana"/>
          <w:sz w:val="20"/>
          <w:lang w:val="pt-BR"/>
        </w:rPr>
        <w:t>povo</w:t>
      </w:r>
      <w:r w:rsidR="004756C1" w:rsidRPr="002F50BD">
        <w:rPr>
          <w:rFonts w:ascii="Verdana" w:hAnsi="Verdana"/>
          <w:sz w:val="20"/>
          <w:lang w:val="pt-BR"/>
        </w:rPr>
        <w:t xml:space="preserve"> Enxet</w:t>
      </w:r>
      <w:r w:rsidRPr="002F50BD">
        <w:rPr>
          <w:rFonts w:ascii="Verdana" w:hAnsi="Verdana"/>
          <w:sz w:val="20"/>
          <w:lang w:val="pt-BR"/>
        </w:rPr>
        <w:t xml:space="preserve"> é um povo</w:t>
      </w:r>
      <w:r w:rsidR="004756C1" w:rsidRPr="002F50BD">
        <w:rPr>
          <w:rFonts w:ascii="Verdana" w:hAnsi="Verdana"/>
          <w:sz w:val="20"/>
          <w:lang w:val="pt-BR"/>
        </w:rPr>
        <w:t xml:space="preserve"> </w:t>
      </w:r>
      <w:r w:rsidR="008C25F4" w:rsidRPr="002F50BD">
        <w:rPr>
          <w:rFonts w:ascii="Verdana" w:hAnsi="Verdana"/>
          <w:sz w:val="20"/>
          <w:lang w:val="pt-BR"/>
        </w:rPr>
        <w:t xml:space="preserve">nômade </w:t>
      </w:r>
      <w:r w:rsidR="004756C1" w:rsidRPr="002F50BD">
        <w:rPr>
          <w:rFonts w:ascii="Verdana" w:hAnsi="Verdana"/>
          <w:sz w:val="20"/>
          <w:lang w:val="pt-BR"/>
        </w:rPr>
        <w:t xml:space="preserve">de </w:t>
      </w:r>
      <w:r w:rsidR="00AB454A" w:rsidRPr="002F50BD">
        <w:rPr>
          <w:rFonts w:ascii="Verdana" w:hAnsi="Verdana"/>
          <w:sz w:val="20"/>
          <w:lang w:val="pt-BR"/>
        </w:rPr>
        <w:t>caça</w:t>
      </w:r>
      <w:r w:rsidR="004756C1" w:rsidRPr="002F50BD">
        <w:rPr>
          <w:rFonts w:ascii="Verdana" w:hAnsi="Verdana"/>
          <w:sz w:val="20"/>
          <w:lang w:val="pt-BR"/>
        </w:rPr>
        <w:t xml:space="preserve">dores, </w:t>
      </w:r>
      <w:r w:rsidR="008C25F4" w:rsidRPr="002F50BD">
        <w:rPr>
          <w:rFonts w:ascii="Verdana" w:hAnsi="Verdana"/>
          <w:sz w:val="20"/>
          <w:lang w:val="pt-BR"/>
        </w:rPr>
        <w:t>coletores</w:t>
      </w:r>
      <w:r w:rsidR="004756C1" w:rsidRPr="002F50BD">
        <w:rPr>
          <w:rFonts w:ascii="Verdana" w:hAnsi="Verdana"/>
          <w:sz w:val="20"/>
          <w:lang w:val="pt-BR"/>
        </w:rPr>
        <w:t>, horticultores</w:t>
      </w:r>
      <w:r w:rsidRPr="002F50BD">
        <w:rPr>
          <w:rFonts w:ascii="Verdana" w:hAnsi="Verdana"/>
          <w:sz w:val="20"/>
          <w:lang w:val="pt-BR"/>
        </w:rPr>
        <w:t xml:space="preserve"> e </w:t>
      </w:r>
      <w:r w:rsidR="004756C1" w:rsidRPr="002F50BD">
        <w:rPr>
          <w:rFonts w:ascii="Verdana" w:hAnsi="Verdana"/>
          <w:sz w:val="20"/>
          <w:lang w:val="pt-BR"/>
        </w:rPr>
        <w:t>pastores;</w:t>
      </w:r>
      <w:r w:rsidRPr="002F50BD">
        <w:rPr>
          <w:rFonts w:ascii="Verdana" w:hAnsi="Verdana"/>
          <w:sz w:val="20"/>
          <w:lang w:val="pt-BR"/>
        </w:rPr>
        <w:t xml:space="preserve"> a Comunidade </w:t>
      </w:r>
      <w:r w:rsidR="004756C1" w:rsidRPr="002F50BD">
        <w:rPr>
          <w:rFonts w:ascii="Verdana" w:hAnsi="Verdana"/>
          <w:sz w:val="20"/>
          <w:lang w:val="pt-BR"/>
        </w:rPr>
        <w:t>Yakye Axa está conformada por</w:t>
      </w:r>
      <w:r w:rsidRPr="002F50BD">
        <w:rPr>
          <w:rFonts w:ascii="Verdana" w:hAnsi="Verdana"/>
          <w:sz w:val="20"/>
          <w:lang w:val="pt-BR"/>
        </w:rPr>
        <w:t xml:space="preserve"> uma quantidade variável </w:t>
      </w:r>
      <w:r w:rsidR="004756C1" w:rsidRPr="002F50BD">
        <w:rPr>
          <w:rFonts w:ascii="Verdana" w:hAnsi="Verdana"/>
          <w:sz w:val="20"/>
          <w:lang w:val="pt-BR"/>
        </w:rPr>
        <w:t xml:space="preserve">de </w:t>
      </w:r>
      <w:r w:rsidR="005A6BC7" w:rsidRPr="002F50BD">
        <w:rPr>
          <w:rFonts w:ascii="Verdana" w:hAnsi="Verdana"/>
          <w:sz w:val="20"/>
          <w:lang w:val="pt-BR"/>
        </w:rPr>
        <w:t>família</w:t>
      </w:r>
      <w:r w:rsidR="004756C1" w:rsidRPr="002F50BD">
        <w:rPr>
          <w:rFonts w:ascii="Verdana" w:hAnsi="Verdana"/>
          <w:sz w:val="20"/>
          <w:lang w:val="pt-BR"/>
        </w:rPr>
        <w:t xml:space="preserve">s, que </w:t>
      </w:r>
      <w:r w:rsidR="00CC31B6" w:rsidRPr="002F50BD">
        <w:rPr>
          <w:rFonts w:ascii="Verdana" w:hAnsi="Verdana"/>
          <w:sz w:val="20"/>
          <w:lang w:val="pt-BR"/>
        </w:rPr>
        <w:t>chega</w:t>
      </w:r>
      <w:r w:rsidR="008C25F4" w:rsidRPr="002F50BD">
        <w:rPr>
          <w:rFonts w:ascii="Verdana" w:hAnsi="Verdana"/>
          <w:sz w:val="20"/>
          <w:lang w:val="pt-BR"/>
        </w:rPr>
        <w:t>vam</w:t>
      </w:r>
      <w:r w:rsidR="004756C1" w:rsidRPr="002F50BD">
        <w:rPr>
          <w:rFonts w:ascii="Verdana" w:hAnsi="Verdana"/>
          <w:sz w:val="20"/>
          <w:lang w:val="pt-BR"/>
        </w:rPr>
        <w:t xml:space="preserve"> a </w:t>
      </w:r>
      <w:r w:rsidR="00063B47" w:rsidRPr="002F50BD">
        <w:rPr>
          <w:rFonts w:ascii="Verdana" w:hAnsi="Verdana"/>
          <w:sz w:val="20"/>
          <w:lang w:val="pt-BR"/>
        </w:rPr>
        <w:t>28</w:t>
      </w:r>
      <w:r w:rsidR="004756C1" w:rsidRPr="002F50BD">
        <w:rPr>
          <w:rFonts w:ascii="Verdana" w:hAnsi="Verdana"/>
          <w:sz w:val="20"/>
          <w:lang w:val="pt-BR"/>
        </w:rPr>
        <w:t xml:space="preserve"> durante</w:t>
      </w:r>
      <w:r w:rsidRPr="002F50BD">
        <w:rPr>
          <w:rFonts w:ascii="Verdana" w:hAnsi="Verdana"/>
          <w:sz w:val="20"/>
          <w:lang w:val="pt-BR"/>
        </w:rPr>
        <w:t xml:space="preserve"> </w:t>
      </w:r>
      <w:r w:rsidR="008C25F4" w:rsidRPr="002F50BD">
        <w:rPr>
          <w:rFonts w:ascii="Verdana" w:hAnsi="Verdana"/>
          <w:sz w:val="20"/>
          <w:lang w:val="pt-BR"/>
        </w:rPr>
        <w:t>a realização</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Censo Indígena</w:t>
      </w:r>
      <w:r w:rsidR="00AB454A" w:rsidRPr="002F50BD">
        <w:rPr>
          <w:rFonts w:ascii="Verdana" w:hAnsi="Verdana"/>
          <w:sz w:val="20"/>
          <w:lang w:val="pt-BR"/>
        </w:rPr>
        <w:t xml:space="preserve"> de </w:t>
      </w:r>
      <w:r w:rsidR="00063B47" w:rsidRPr="002F50BD">
        <w:rPr>
          <w:rFonts w:ascii="Verdana" w:hAnsi="Verdana"/>
          <w:sz w:val="20"/>
          <w:lang w:val="pt-BR"/>
        </w:rPr>
        <w:t>2002</w:t>
      </w:r>
      <w:r w:rsidRPr="002F50BD">
        <w:rPr>
          <w:rFonts w:ascii="Verdana" w:hAnsi="Verdana"/>
          <w:sz w:val="20"/>
          <w:lang w:val="pt-BR"/>
        </w:rPr>
        <w:t>, e</w:t>
      </w:r>
      <w:r w:rsidR="004756C1" w:rsidRPr="002F50BD">
        <w:rPr>
          <w:rFonts w:ascii="Verdana" w:hAnsi="Verdana"/>
          <w:sz w:val="20"/>
          <w:lang w:val="pt-BR"/>
        </w:rPr>
        <w:t xml:space="preserve"> a </w:t>
      </w:r>
      <w:r w:rsidR="00063B47" w:rsidRPr="002F50BD">
        <w:rPr>
          <w:rFonts w:ascii="Verdana" w:hAnsi="Verdana"/>
          <w:sz w:val="20"/>
          <w:lang w:val="pt-BR"/>
        </w:rPr>
        <w:t>57</w:t>
      </w:r>
      <w:r w:rsidRPr="002F50BD">
        <w:rPr>
          <w:rFonts w:ascii="Verdana" w:hAnsi="Verdana"/>
          <w:sz w:val="20"/>
          <w:lang w:val="pt-BR"/>
        </w:rPr>
        <w:t xml:space="preserve"> em </w:t>
      </w:r>
      <w:r w:rsidR="00063B47" w:rsidRPr="002F50BD">
        <w:rPr>
          <w:rFonts w:ascii="Verdana" w:hAnsi="Verdana"/>
          <w:sz w:val="20"/>
          <w:lang w:val="pt-BR"/>
        </w:rPr>
        <w:t>1993</w:t>
      </w:r>
      <w:r w:rsidR="008C25F4" w:rsidRPr="002F50BD">
        <w:rPr>
          <w:rFonts w:ascii="Verdana" w:hAnsi="Verdana"/>
          <w:sz w:val="20"/>
          <w:lang w:val="pt-BR"/>
        </w:rPr>
        <w:t>.</w:t>
      </w:r>
      <w:r w:rsidR="004756C1" w:rsidRPr="002F50BD">
        <w:rPr>
          <w:rStyle w:val="FootnoteReference"/>
          <w:rFonts w:ascii="Verdana" w:hAnsi="Verdana"/>
        </w:rPr>
        <w:footnoteReference w:id="232"/>
      </w:r>
      <w:r w:rsidR="00243D2E" w:rsidRPr="002F50BD">
        <w:rPr>
          <w:rFonts w:ascii="Verdana" w:hAnsi="Verdana"/>
          <w:sz w:val="20"/>
          <w:lang w:val="pt-BR"/>
        </w:rPr>
        <w:t xml:space="preserve"> Nos</w:t>
      </w:r>
      <w:r w:rsidRPr="002F50BD">
        <w:rPr>
          <w:rFonts w:ascii="Verdana" w:hAnsi="Verdana"/>
          <w:sz w:val="20"/>
          <w:lang w:val="pt-BR"/>
        </w:rPr>
        <w:t xml:space="preserve"> fatos</w:t>
      </w:r>
      <w:r w:rsidR="004756C1" w:rsidRPr="002F50BD">
        <w:rPr>
          <w:rFonts w:ascii="Verdana" w:hAnsi="Verdana"/>
          <w:sz w:val="20"/>
          <w:lang w:val="pt-BR"/>
        </w:rPr>
        <w:t xml:space="preserve"> descritos</w:t>
      </w:r>
      <w:r w:rsidRPr="002F50BD">
        <w:rPr>
          <w:rFonts w:ascii="Verdana" w:hAnsi="Verdana"/>
          <w:sz w:val="20"/>
          <w:lang w:val="pt-BR"/>
        </w:rPr>
        <w:t xml:space="preserve"> pela Comissão 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Representante</w:t>
      </w:r>
      <w:r w:rsidR="008C25F4" w:rsidRPr="002F50BD">
        <w:rPr>
          <w:rFonts w:ascii="Verdana" w:hAnsi="Verdana"/>
          <w:sz w:val="20"/>
          <w:lang w:val="pt-BR"/>
        </w:rPr>
        <w:t>s</w:t>
      </w:r>
      <w:r w:rsidRPr="002F50BD">
        <w:rPr>
          <w:rFonts w:ascii="Verdana" w:hAnsi="Verdana"/>
          <w:sz w:val="20"/>
          <w:lang w:val="pt-BR"/>
        </w:rPr>
        <w:t xml:space="preserve"> da suposta</w:t>
      </w:r>
      <w:r w:rsidR="004756C1" w:rsidRPr="002F50BD">
        <w:rPr>
          <w:rFonts w:ascii="Verdana" w:hAnsi="Verdana"/>
          <w:sz w:val="20"/>
          <w:lang w:val="pt-BR"/>
        </w:rPr>
        <w:t xml:space="preserve">s </w:t>
      </w:r>
      <w:r w:rsidRPr="002F50BD">
        <w:rPr>
          <w:rFonts w:ascii="Verdana" w:hAnsi="Verdana"/>
          <w:sz w:val="20"/>
          <w:lang w:val="pt-BR"/>
        </w:rPr>
        <w:t>vítima</w:t>
      </w:r>
      <w:r w:rsidR="004756C1" w:rsidRPr="002F50BD">
        <w:rPr>
          <w:rFonts w:ascii="Verdana" w:hAnsi="Verdana"/>
          <w:sz w:val="20"/>
          <w:lang w:val="pt-BR"/>
        </w:rPr>
        <w:t>s se consigna que</w:t>
      </w:r>
      <w:r w:rsidRPr="002F50BD">
        <w:rPr>
          <w:rFonts w:ascii="Verdana" w:hAnsi="Verdana"/>
          <w:sz w:val="20"/>
          <w:lang w:val="pt-BR"/>
        </w:rPr>
        <w:t xml:space="preserve"> a comunidade </w:t>
      </w:r>
      <w:r w:rsidR="004756C1" w:rsidRPr="002F50BD">
        <w:rPr>
          <w:rFonts w:ascii="Verdana" w:hAnsi="Verdana"/>
          <w:sz w:val="20"/>
          <w:lang w:val="pt-BR"/>
        </w:rPr>
        <w:t xml:space="preserve">está integrada por </w:t>
      </w:r>
      <w:r w:rsidR="00063B47" w:rsidRPr="002F50BD">
        <w:rPr>
          <w:rFonts w:ascii="Verdana" w:hAnsi="Verdana"/>
          <w:sz w:val="20"/>
          <w:lang w:val="pt-BR"/>
        </w:rPr>
        <w:t>57</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 xml:space="preserve">s, </w:t>
      </w:r>
      <w:r w:rsidRPr="002F50BD">
        <w:rPr>
          <w:rFonts w:ascii="Verdana" w:hAnsi="Verdana"/>
          <w:sz w:val="20"/>
          <w:lang w:val="pt-BR"/>
        </w:rPr>
        <w:t>algumas das quais</w:t>
      </w:r>
      <w:r w:rsidR="004756C1" w:rsidRPr="002F50BD">
        <w:rPr>
          <w:rFonts w:ascii="Verdana" w:hAnsi="Verdana"/>
          <w:sz w:val="20"/>
          <w:lang w:val="pt-BR"/>
        </w:rPr>
        <w:t xml:space="preserve"> se </w:t>
      </w:r>
      <w:r w:rsidRPr="002F50BD">
        <w:rPr>
          <w:rFonts w:ascii="Verdana" w:hAnsi="Verdana"/>
          <w:sz w:val="20"/>
          <w:lang w:val="pt-BR"/>
        </w:rPr>
        <w:t>encontram</w:t>
      </w:r>
      <w:r w:rsidR="004756C1" w:rsidRPr="002F50BD">
        <w:rPr>
          <w:rFonts w:ascii="Verdana" w:hAnsi="Verdana"/>
          <w:sz w:val="20"/>
          <w:lang w:val="pt-BR"/>
        </w:rPr>
        <w:t xml:space="preserve"> </w:t>
      </w:r>
      <w:r w:rsidRPr="002F50BD">
        <w:rPr>
          <w:rFonts w:ascii="Verdana" w:hAnsi="Verdana"/>
          <w:sz w:val="20"/>
          <w:lang w:val="pt-BR"/>
        </w:rPr>
        <w:t xml:space="preserve">vivendo no </w:t>
      </w:r>
      <w:r w:rsidR="00AB454A" w:rsidRPr="002F50BD">
        <w:rPr>
          <w:rFonts w:ascii="Verdana" w:hAnsi="Verdana"/>
          <w:sz w:val="20"/>
          <w:lang w:val="pt-BR"/>
        </w:rPr>
        <w:t>assentamento</w:t>
      </w:r>
      <w:r w:rsidR="00D91C0F" w:rsidRPr="002F50BD">
        <w:rPr>
          <w:rFonts w:ascii="Verdana" w:hAnsi="Verdana"/>
          <w:sz w:val="20"/>
          <w:lang w:val="pt-BR"/>
        </w:rPr>
        <w:t xml:space="preserve"> El Estribo</w:t>
      </w:r>
      <w:r w:rsidR="004756C1" w:rsidRPr="002F50BD">
        <w:rPr>
          <w:rFonts w:ascii="Verdana" w:hAnsi="Verdana"/>
          <w:sz w:val="20"/>
          <w:lang w:val="pt-BR"/>
        </w:rPr>
        <w:t xml:space="preserve"> o</w:t>
      </w:r>
      <w:r w:rsidR="008C25F4" w:rsidRPr="002F50BD">
        <w:rPr>
          <w:rFonts w:ascii="Verdana" w:hAnsi="Verdana"/>
          <w:sz w:val="20"/>
          <w:lang w:val="pt-BR"/>
        </w:rPr>
        <w:t>u</w:t>
      </w:r>
      <w:r w:rsidRPr="002F50BD">
        <w:rPr>
          <w:rFonts w:ascii="Verdana" w:hAnsi="Verdana"/>
          <w:sz w:val="20"/>
          <w:lang w:val="pt-BR"/>
        </w:rPr>
        <w:t xml:space="preserve"> em </w:t>
      </w:r>
      <w:r w:rsidR="004756C1" w:rsidRPr="002F50BD">
        <w:rPr>
          <w:rFonts w:ascii="Verdana" w:hAnsi="Verdana"/>
          <w:sz w:val="20"/>
          <w:lang w:val="pt-BR"/>
        </w:rPr>
        <w:t>lugares ad</w:t>
      </w:r>
      <w:r w:rsidR="008C25F4" w:rsidRPr="002F50BD">
        <w:rPr>
          <w:rFonts w:ascii="Verdana" w:hAnsi="Verdana"/>
          <w:sz w:val="20"/>
          <w:lang w:val="pt-BR"/>
        </w:rPr>
        <w:t>j</w:t>
      </w:r>
      <w:r w:rsidR="004756C1" w:rsidRPr="002F50BD">
        <w:rPr>
          <w:rFonts w:ascii="Verdana" w:hAnsi="Verdana"/>
          <w:sz w:val="20"/>
          <w:lang w:val="pt-BR"/>
        </w:rPr>
        <w:t>acentes</w:t>
      </w:r>
      <w:r w:rsidRPr="002F50BD">
        <w:rPr>
          <w:rFonts w:ascii="Verdana" w:hAnsi="Verdana"/>
          <w:sz w:val="20"/>
          <w:lang w:val="pt-BR"/>
        </w:rPr>
        <w:t xml:space="preserve"> às </w:t>
      </w:r>
      <w:r w:rsidR="008C25F4" w:rsidRPr="002F50BD">
        <w:rPr>
          <w:rFonts w:ascii="Verdana" w:hAnsi="Verdana"/>
          <w:sz w:val="20"/>
          <w:lang w:val="pt-BR"/>
        </w:rPr>
        <w:t xml:space="preserve">fazendas </w:t>
      </w:r>
      <w:r w:rsidR="004756C1" w:rsidRPr="002F50BD">
        <w:rPr>
          <w:rFonts w:ascii="Verdana" w:hAnsi="Verdana"/>
          <w:sz w:val="20"/>
          <w:lang w:val="pt-BR"/>
        </w:rPr>
        <w:t>reclamadas</w:t>
      </w:r>
      <w:r w:rsidR="00D95E71" w:rsidRPr="002F50BD">
        <w:rPr>
          <w:rFonts w:ascii="Verdana" w:hAnsi="Verdana"/>
          <w:sz w:val="20"/>
          <w:lang w:val="pt-BR"/>
        </w:rPr>
        <w:t xml:space="preserve">. O </w:t>
      </w:r>
      <w:r w:rsidR="00AB454A" w:rsidRPr="002F50BD">
        <w:rPr>
          <w:rFonts w:ascii="Verdana" w:hAnsi="Verdana"/>
          <w:sz w:val="20"/>
          <w:lang w:val="pt-BR"/>
        </w:rPr>
        <w:t>assentamento</w:t>
      </w:r>
      <w:r w:rsidR="00D91C0F" w:rsidRPr="002F50BD">
        <w:rPr>
          <w:rFonts w:ascii="Verdana" w:hAnsi="Verdana"/>
          <w:sz w:val="20"/>
          <w:lang w:val="pt-BR"/>
        </w:rPr>
        <w:t xml:space="preserve"> El Estribo</w:t>
      </w:r>
      <w:r w:rsidRPr="002F50BD">
        <w:rPr>
          <w:rFonts w:ascii="Verdana" w:hAnsi="Verdana"/>
          <w:sz w:val="20"/>
          <w:lang w:val="pt-BR"/>
        </w:rPr>
        <w:t xml:space="preserve"> conta com </w:t>
      </w:r>
      <w:r w:rsidR="00063B47" w:rsidRPr="002F50BD">
        <w:rPr>
          <w:rFonts w:ascii="Verdana" w:hAnsi="Verdana"/>
          <w:sz w:val="20"/>
          <w:lang w:val="pt-BR"/>
        </w:rPr>
        <w:t>27</w:t>
      </w:r>
      <w:r w:rsidR="004756C1" w:rsidRPr="002F50BD">
        <w:rPr>
          <w:rFonts w:ascii="Verdana" w:hAnsi="Verdana"/>
          <w:sz w:val="20"/>
          <w:lang w:val="pt-BR"/>
        </w:rPr>
        <w:t>.</w:t>
      </w:r>
      <w:r w:rsidR="00063B47" w:rsidRPr="002F50BD">
        <w:rPr>
          <w:rFonts w:ascii="Verdana" w:hAnsi="Verdana"/>
          <w:sz w:val="20"/>
          <w:lang w:val="pt-BR"/>
        </w:rPr>
        <w:t>741</w:t>
      </w:r>
      <w:r w:rsidR="004756C1" w:rsidRPr="002F50BD">
        <w:rPr>
          <w:rFonts w:ascii="Verdana" w:hAnsi="Verdana"/>
          <w:sz w:val="20"/>
          <w:lang w:val="pt-BR"/>
        </w:rPr>
        <w:t xml:space="preserve"> h</w:t>
      </w:r>
      <w:r w:rsidR="008C25F4" w:rsidRPr="002F50BD">
        <w:rPr>
          <w:rFonts w:ascii="Verdana" w:hAnsi="Verdana"/>
          <w:sz w:val="20"/>
          <w:lang w:val="pt-BR"/>
        </w:rPr>
        <w:t>ectares</w:t>
      </w:r>
      <w:r w:rsidRPr="002F50BD">
        <w:rPr>
          <w:rFonts w:ascii="Verdana" w:hAnsi="Verdana"/>
          <w:sz w:val="20"/>
          <w:lang w:val="pt-BR"/>
        </w:rPr>
        <w:t xml:space="preserve"> e uma população</w:t>
      </w:r>
      <w:r w:rsidR="004756C1" w:rsidRPr="002F50BD">
        <w:rPr>
          <w:rFonts w:ascii="Verdana" w:hAnsi="Verdana"/>
          <w:sz w:val="20"/>
          <w:lang w:val="pt-BR"/>
        </w:rPr>
        <w:t xml:space="preserve"> de </w:t>
      </w:r>
      <w:r w:rsidR="00063B47" w:rsidRPr="002F50BD">
        <w:rPr>
          <w:rFonts w:ascii="Verdana" w:hAnsi="Verdana"/>
          <w:sz w:val="20"/>
          <w:lang w:val="pt-BR"/>
        </w:rPr>
        <w:t>266</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 conforme</w:t>
      </w:r>
      <w:r w:rsidRPr="002F50BD">
        <w:rPr>
          <w:rFonts w:ascii="Verdana" w:hAnsi="Verdana"/>
          <w:sz w:val="20"/>
          <w:lang w:val="pt-BR"/>
        </w:rPr>
        <w:t xml:space="preserve"> o </w:t>
      </w:r>
      <w:r w:rsidR="004756C1" w:rsidRPr="002F50BD">
        <w:rPr>
          <w:rFonts w:ascii="Verdana" w:hAnsi="Verdana"/>
          <w:sz w:val="20"/>
          <w:lang w:val="pt-BR"/>
        </w:rPr>
        <w:t>Censo Indígena</w:t>
      </w:r>
      <w:r w:rsidR="00AB454A" w:rsidRPr="002F50BD">
        <w:rPr>
          <w:rFonts w:ascii="Verdana" w:hAnsi="Verdana"/>
          <w:sz w:val="20"/>
          <w:lang w:val="pt-BR"/>
        </w:rPr>
        <w:t xml:space="preserve"> de </w:t>
      </w:r>
      <w:r w:rsidR="00063B47" w:rsidRPr="002F50BD">
        <w:rPr>
          <w:rFonts w:ascii="Verdana" w:hAnsi="Verdana"/>
          <w:sz w:val="20"/>
          <w:lang w:val="pt-BR"/>
        </w:rPr>
        <w:t>2002</w:t>
      </w:r>
      <w:r w:rsidR="004756C1" w:rsidRPr="002F50BD">
        <w:rPr>
          <w:rFonts w:ascii="Verdana" w:hAnsi="Verdana"/>
          <w:sz w:val="20"/>
          <w:lang w:val="pt-BR"/>
        </w:rPr>
        <w:t xml:space="preserve">. </w:t>
      </w:r>
    </w:p>
    <w:p w:rsidR="004756C1" w:rsidRPr="002F50BD" w:rsidRDefault="004756C1">
      <w:pPr>
        <w:ind w:left="360"/>
        <w:jc w:val="both"/>
        <w:rPr>
          <w:rFonts w:ascii="Verdana" w:hAnsi="Verdana"/>
          <w:sz w:val="20"/>
          <w:lang w:val="pt-BR"/>
        </w:rPr>
      </w:pPr>
    </w:p>
    <w:p w:rsidR="004756C1" w:rsidRPr="002F50BD" w:rsidRDefault="00AB6727">
      <w:pPr>
        <w:numPr>
          <w:ilvl w:val="0"/>
          <w:numId w:val="38"/>
        </w:numPr>
        <w:tabs>
          <w:tab w:val="clear" w:pos="720"/>
          <w:tab w:val="num" w:pos="180"/>
        </w:tabs>
        <w:ind w:left="0" w:firstLine="0"/>
        <w:jc w:val="both"/>
        <w:rPr>
          <w:rFonts w:ascii="Verdana" w:hAnsi="Verdana"/>
          <w:sz w:val="20"/>
          <w:lang w:val="pt-BR"/>
        </w:rPr>
      </w:pPr>
      <w:r w:rsidRPr="002F50BD">
        <w:rPr>
          <w:rFonts w:ascii="Verdana" w:hAnsi="Verdana"/>
          <w:sz w:val="20"/>
          <w:lang w:val="pt-BR"/>
        </w:rPr>
        <w:t xml:space="preserve">Os </w:t>
      </w:r>
      <w:r w:rsidR="004756C1" w:rsidRPr="002F50BD">
        <w:rPr>
          <w:rFonts w:ascii="Verdana" w:hAnsi="Verdana"/>
          <w:sz w:val="20"/>
          <w:lang w:val="pt-BR"/>
        </w:rPr>
        <w:t>Chanawatsan,</w:t>
      </w:r>
      <w:r w:rsidR="0089298C" w:rsidRPr="002F50BD">
        <w:rPr>
          <w:rFonts w:ascii="Verdana" w:hAnsi="Verdana"/>
          <w:sz w:val="20"/>
          <w:lang w:val="pt-BR"/>
        </w:rPr>
        <w:t xml:space="preserve"> um</w:t>
      </w:r>
      <w:r w:rsidR="008C25F4" w:rsidRPr="002F50BD">
        <w:rPr>
          <w:rFonts w:ascii="Verdana" w:hAnsi="Verdana"/>
          <w:sz w:val="20"/>
          <w:lang w:val="pt-BR"/>
        </w:rPr>
        <w:t xml:space="preserve"> grupo </w:t>
      </w:r>
      <w:r w:rsidR="004756C1" w:rsidRPr="002F50BD">
        <w:rPr>
          <w:rFonts w:ascii="Verdana" w:hAnsi="Verdana"/>
          <w:sz w:val="20"/>
          <w:lang w:val="pt-BR"/>
        </w:rPr>
        <w:t>Enxet-</w:t>
      </w:r>
      <w:r w:rsidR="00CD3DEB" w:rsidRPr="002F50BD">
        <w:rPr>
          <w:rFonts w:ascii="Verdana" w:hAnsi="Verdana"/>
          <w:sz w:val="20"/>
          <w:lang w:val="pt-BR"/>
        </w:rPr>
        <w:t>L</w:t>
      </w:r>
      <w:r w:rsidR="008C25F4" w:rsidRPr="002F50BD">
        <w:rPr>
          <w:rFonts w:ascii="Verdana" w:hAnsi="Verdana"/>
          <w:sz w:val="20"/>
          <w:lang w:val="pt-BR"/>
        </w:rPr>
        <w:t>e</w:t>
      </w:r>
      <w:r w:rsidR="00CD3DEB" w:rsidRPr="002F50BD">
        <w:rPr>
          <w:rFonts w:ascii="Verdana" w:hAnsi="Verdana"/>
          <w:sz w:val="20"/>
          <w:lang w:val="pt-BR"/>
        </w:rPr>
        <w:t>ngua</w:t>
      </w:r>
      <w:r w:rsidR="005127F2" w:rsidRPr="002F50BD">
        <w:rPr>
          <w:rFonts w:ascii="Verdana" w:hAnsi="Verdana"/>
          <w:sz w:val="20"/>
          <w:lang w:val="pt-BR"/>
        </w:rPr>
        <w:t>,</w:t>
      </w:r>
      <w:r w:rsidR="004756C1" w:rsidRPr="002F50BD">
        <w:rPr>
          <w:rFonts w:ascii="Verdana" w:hAnsi="Verdana"/>
          <w:sz w:val="20"/>
          <w:lang w:val="pt-BR"/>
        </w:rPr>
        <w:t xml:space="preserve"> </w:t>
      </w:r>
      <w:r w:rsidR="008C25F4" w:rsidRPr="002F50BD">
        <w:rPr>
          <w:rFonts w:ascii="Verdana" w:hAnsi="Verdana"/>
          <w:sz w:val="20"/>
          <w:lang w:val="pt-BR"/>
        </w:rPr>
        <w:t>ocuparam</w:t>
      </w:r>
      <w:r w:rsidR="004756C1" w:rsidRPr="002F50BD">
        <w:rPr>
          <w:rFonts w:ascii="Verdana" w:hAnsi="Verdana"/>
          <w:sz w:val="20"/>
          <w:lang w:val="pt-BR"/>
        </w:rPr>
        <w:t xml:space="preserve"> tradicionalmente</w:t>
      </w:r>
      <w:r w:rsidR="0089298C" w:rsidRPr="002F50BD">
        <w:rPr>
          <w:rFonts w:ascii="Verdana" w:hAnsi="Verdana"/>
          <w:sz w:val="20"/>
          <w:lang w:val="pt-BR"/>
        </w:rPr>
        <w:t xml:space="preserve"> o território</w:t>
      </w:r>
      <w:r w:rsidR="004756C1" w:rsidRPr="002F50BD">
        <w:rPr>
          <w:rFonts w:ascii="Verdana" w:hAnsi="Verdana"/>
          <w:sz w:val="20"/>
          <w:lang w:val="pt-BR"/>
        </w:rPr>
        <w:t xml:space="preserve"> delimitado</w:t>
      </w:r>
      <w:r w:rsidR="0089298C" w:rsidRPr="002F50BD">
        <w:rPr>
          <w:rFonts w:ascii="Verdana" w:hAnsi="Verdana"/>
          <w:sz w:val="20"/>
          <w:lang w:val="pt-BR"/>
        </w:rPr>
        <w:t xml:space="preserve"> pelo </w:t>
      </w:r>
      <w:r w:rsidR="008C25F4" w:rsidRPr="002F50BD">
        <w:rPr>
          <w:rFonts w:ascii="Verdana" w:hAnsi="Verdana"/>
          <w:sz w:val="20"/>
          <w:lang w:val="pt-BR"/>
        </w:rPr>
        <w:t>R</w:t>
      </w:r>
      <w:r w:rsidR="0089298C" w:rsidRPr="002F50BD">
        <w:rPr>
          <w:rFonts w:ascii="Verdana" w:hAnsi="Verdana"/>
          <w:sz w:val="20"/>
          <w:lang w:val="pt-BR"/>
        </w:rPr>
        <w:t xml:space="preserve">io </w:t>
      </w:r>
      <w:r w:rsidR="004756C1" w:rsidRPr="002F50BD">
        <w:rPr>
          <w:rFonts w:ascii="Verdana" w:hAnsi="Verdana"/>
          <w:sz w:val="20"/>
          <w:lang w:val="pt-BR"/>
        </w:rPr>
        <w:t>Verde</w:t>
      </w:r>
      <w:r w:rsidR="0089298C" w:rsidRPr="002F50BD">
        <w:rPr>
          <w:rFonts w:ascii="Verdana" w:hAnsi="Verdana"/>
          <w:sz w:val="20"/>
          <w:lang w:val="pt-BR"/>
        </w:rPr>
        <w:t xml:space="preserve"> ao </w:t>
      </w:r>
      <w:r w:rsidR="004756C1" w:rsidRPr="002F50BD">
        <w:rPr>
          <w:rFonts w:ascii="Verdana" w:hAnsi="Verdana"/>
          <w:sz w:val="20"/>
          <w:lang w:val="pt-BR"/>
        </w:rPr>
        <w:t>Norte,</w:t>
      </w:r>
      <w:r w:rsidR="0089298C" w:rsidRPr="002F50BD">
        <w:rPr>
          <w:rFonts w:ascii="Verdana" w:hAnsi="Verdana"/>
          <w:sz w:val="20"/>
          <w:lang w:val="pt-BR"/>
        </w:rPr>
        <w:t xml:space="preserve"> o </w:t>
      </w:r>
      <w:r w:rsidR="008C25F4" w:rsidRPr="002F50BD">
        <w:rPr>
          <w:rFonts w:ascii="Verdana" w:hAnsi="Verdana"/>
          <w:sz w:val="20"/>
          <w:lang w:val="pt-BR"/>
        </w:rPr>
        <w:t>R</w:t>
      </w:r>
      <w:r w:rsidR="0089298C" w:rsidRPr="002F50BD">
        <w:rPr>
          <w:rFonts w:ascii="Verdana" w:hAnsi="Verdana"/>
          <w:sz w:val="20"/>
          <w:lang w:val="pt-BR"/>
        </w:rPr>
        <w:t xml:space="preserve">io </w:t>
      </w:r>
      <w:r w:rsidR="004756C1" w:rsidRPr="002F50BD">
        <w:rPr>
          <w:rFonts w:ascii="Verdana" w:hAnsi="Verdana"/>
          <w:sz w:val="20"/>
          <w:lang w:val="pt-BR"/>
        </w:rPr>
        <w:t>Montelindo</w:t>
      </w:r>
      <w:r w:rsidR="0089298C" w:rsidRPr="002F50BD">
        <w:rPr>
          <w:rFonts w:ascii="Verdana" w:hAnsi="Verdana"/>
          <w:sz w:val="20"/>
          <w:lang w:val="pt-BR"/>
        </w:rPr>
        <w:t xml:space="preserve"> ao </w:t>
      </w:r>
      <w:r w:rsidR="004756C1" w:rsidRPr="002F50BD">
        <w:rPr>
          <w:rFonts w:ascii="Verdana" w:hAnsi="Verdana"/>
          <w:sz w:val="20"/>
          <w:lang w:val="pt-BR"/>
        </w:rPr>
        <w:t>Su</w:t>
      </w:r>
      <w:r w:rsidR="008C25F4" w:rsidRPr="002F50BD">
        <w:rPr>
          <w:rFonts w:ascii="Verdana" w:hAnsi="Verdana"/>
          <w:sz w:val="20"/>
          <w:lang w:val="pt-BR"/>
        </w:rPr>
        <w:t>l</w:t>
      </w:r>
      <w:r w:rsidR="004756C1" w:rsidRPr="002F50BD">
        <w:rPr>
          <w:rFonts w:ascii="Verdana" w:hAnsi="Verdana"/>
          <w:sz w:val="20"/>
          <w:lang w:val="pt-BR"/>
        </w:rPr>
        <w:t>,</w:t>
      </w:r>
      <w:r w:rsidR="0089298C" w:rsidRPr="002F50BD">
        <w:rPr>
          <w:rFonts w:ascii="Verdana" w:hAnsi="Verdana"/>
          <w:sz w:val="20"/>
          <w:lang w:val="pt-BR"/>
        </w:rPr>
        <w:t xml:space="preserve"> o </w:t>
      </w:r>
      <w:r w:rsidR="008C25F4" w:rsidRPr="002F50BD">
        <w:rPr>
          <w:rFonts w:ascii="Verdana" w:hAnsi="Verdana"/>
          <w:sz w:val="20"/>
          <w:lang w:val="pt-BR"/>
        </w:rPr>
        <w:t>R</w:t>
      </w:r>
      <w:r w:rsidR="0089298C" w:rsidRPr="002F50BD">
        <w:rPr>
          <w:rFonts w:ascii="Verdana" w:hAnsi="Verdana"/>
          <w:sz w:val="20"/>
          <w:lang w:val="pt-BR"/>
        </w:rPr>
        <w:t xml:space="preserve">io Paraguai a </w:t>
      </w:r>
      <w:r w:rsidR="008C25F4" w:rsidRPr="002F50BD">
        <w:rPr>
          <w:rFonts w:ascii="Verdana" w:hAnsi="Verdana"/>
          <w:sz w:val="20"/>
          <w:lang w:val="pt-BR"/>
        </w:rPr>
        <w:t>Les</w:t>
      </w:r>
      <w:r w:rsidR="004756C1" w:rsidRPr="002F50BD">
        <w:rPr>
          <w:rFonts w:ascii="Verdana" w:hAnsi="Verdana"/>
          <w:sz w:val="20"/>
          <w:lang w:val="pt-BR"/>
        </w:rPr>
        <w:t>te</w:t>
      </w:r>
      <w:r w:rsidR="0089298C" w:rsidRPr="002F50BD">
        <w:rPr>
          <w:rFonts w:ascii="Verdana" w:hAnsi="Verdana"/>
          <w:sz w:val="20"/>
          <w:lang w:val="pt-BR"/>
        </w:rPr>
        <w:t xml:space="preserve"> e uma </w:t>
      </w:r>
      <w:r w:rsidR="008C25F4" w:rsidRPr="002F50BD">
        <w:rPr>
          <w:rFonts w:ascii="Verdana" w:hAnsi="Verdana"/>
          <w:sz w:val="20"/>
          <w:lang w:val="pt-BR"/>
        </w:rPr>
        <w:t xml:space="preserve">faixa </w:t>
      </w:r>
      <w:r w:rsidR="004756C1" w:rsidRPr="002F50BD">
        <w:rPr>
          <w:rFonts w:ascii="Verdana" w:hAnsi="Verdana"/>
          <w:sz w:val="20"/>
          <w:lang w:val="pt-BR"/>
        </w:rPr>
        <w:t xml:space="preserve">paralela </w:t>
      </w:r>
      <w:r w:rsidR="008C25F4" w:rsidRPr="002F50BD">
        <w:rPr>
          <w:rFonts w:ascii="Verdana" w:hAnsi="Verdana"/>
          <w:sz w:val="20"/>
          <w:lang w:val="pt-BR"/>
        </w:rPr>
        <w:t>deste R</w:t>
      </w:r>
      <w:r w:rsidR="0089298C" w:rsidRPr="002F50BD">
        <w:rPr>
          <w:rFonts w:ascii="Verdana" w:hAnsi="Verdana"/>
          <w:sz w:val="20"/>
          <w:lang w:val="pt-BR"/>
        </w:rPr>
        <w:t xml:space="preserve">io </w:t>
      </w:r>
      <w:r w:rsidR="004756C1" w:rsidRPr="002F50BD">
        <w:rPr>
          <w:rFonts w:ascii="Verdana" w:hAnsi="Verdana"/>
          <w:sz w:val="20"/>
          <w:lang w:val="pt-BR"/>
        </w:rPr>
        <w:t xml:space="preserve">a uns </w:t>
      </w:r>
      <w:r w:rsidR="00063B47" w:rsidRPr="002F50BD">
        <w:rPr>
          <w:rFonts w:ascii="Verdana" w:hAnsi="Verdana"/>
          <w:sz w:val="20"/>
          <w:lang w:val="pt-BR"/>
        </w:rPr>
        <w:t>70</w:t>
      </w:r>
      <w:r w:rsidR="004756C1" w:rsidRPr="002F50BD">
        <w:rPr>
          <w:rFonts w:ascii="Verdana" w:hAnsi="Verdana"/>
          <w:sz w:val="20"/>
          <w:lang w:val="pt-BR"/>
        </w:rPr>
        <w:t xml:space="preserve"> </w:t>
      </w:r>
      <w:r w:rsidR="0089298C" w:rsidRPr="002F50BD">
        <w:rPr>
          <w:rFonts w:ascii="Verdana" w:hAnsi="Verdana"/>
          <w:sz w:val="20"/>
          <w:lang w:val="pt-BR"/>
        </w:rPr>
        <w:t>quilômetros</w:t>
      </w:r>
      <w:r w:rsidR="004756C1" w:rsidRPr="002F50BD">
        <w:rPr>
          <w:rFonts w:ascii="Verdana" w:hAnsi="Verdana"/>
          <w:sz w:val="20"/>
          <w:lang w:val="pt-BR"/>
        </w:rPr>
        <w:t xml:space="preserve"> </w:t>
      </w:r>
      <w:r w:rsidR="0089298C" w:rsidRPr="002F50BD">
        <w:rPr>
          <w:rFonts w:ascii="Verdana" w:hAnsi="Verdana"/>
          <w:sz w:val="20"/>
          <w:lang w:val="pt-BR"/>
        </w:rPr>
        <w:t>terra</w:t>
      </w:r>
      <w:r w:rsidR="004756C1" w:rsidRPr="002F50BD">
        <w:rPr>
          <w:rFonts w:ascii="Verdana" w:hAnsi="Verdana"/>
          <w:sz w:val="20"/>
          <w:lang w:val="pt-BR"/>
        </w:rPr>
        <w:t xml:space="preserve"> adentro </w:t>
      </w:r>
      <w:r w:rsidR="0089298C" w:rsidRPr="002F50BD">
        <w:rPr>
          <w:rFonts w:ascii="Verdana" w:hAnsi="Verdana"/>
          <w:sz w:val="20"/>
          <w:lang w:val="pt-BR"/>
        </w:rPr>
        <w:t xml:space="preserve">do </w:t>
      </w:r>
      <w:r w:rsidR="004756C1" w:rsidRPr="002F50BD">
        <w:rPr>
          <w:rFonts w:ascii="Verdana" w:hAnsi="Verdana"/>
          <w:sz w:val="20"/>
          <w:lang w:val="pt-BR"/>
        </w:rPr>
        <w:t>Chaco</w:t>
      </w:r>
      <w:r w:rsidR="00BE346D" w:rsidRPr="002F50BD">
        <w:rPr>
          <w:rFonts w:ascii="Verdana" w:hAnsi="Verdana"/>
          <w:sz w:val="20"/>
          <w:lang w:val="pt-BR"/>
        </w:rPr>
        <w:t xml:space="preserve">. Os </w:t>
      </w:r>
      <w:r w:rsidR="004756C1" w:rsidRPr="002F50BD">
        <w:rPr>
          <w:rFonts w:ascii="Verdana" w:hAnsi="Verdana"/>
          <w:sz w:val="20"/>
          <w:lang w:val="pt-BR"/>
        </w:rPr>
        <w:t xml:space="preserve">Chanawatsan, </w:t>
      </w:r>
      <w:r w:rsidR="0089298C" w:rsidRPr="002F50BD">
        <w:rPr>
          <w:rFonts w:ascii="Verdana" w:hAnsi="Verdana"/>
          <w:sz w:val="20"/>
          <w:lang w:val="pt-BR"/>
        </w:rPr>
        <w:t>assim</w:t>
      </w:r>
      <w:r w:rsidR="004756C1" w:rsidRPr="002F50BD">
        <w:rPr>
          <w:rFonts w:ascii="Verdana" w:hAnsi="Verdana"/>
          <w:sz w:val="20"/>
          <w:lang w:val="pt-BR"/>
        </w:rPr>
        <w:t xml:space="preserve"> como</w:t>
      </w:r>
      <w:r w:rsidR="0089298C" w:rsidRPr="002F50BD">
        <w:rPr>
          <w:rFonts w:ascii="Verdana" w:hAnsi="Verdana"/>
          <w:sz w:val="20"/>
          <w:lang w:val="pt-BR"/>
        </w:rPr>
        <w:t xml:space="preserve"> os outros</w:t>
      </w:r>
      <w:r w:rsidR="004756C1" w:rsidRPr="002F50BD">
        <w:rPr>
          <w:rFonts w:ascii="Verdana" w:hAnsi="Verdana"/>
          <w:sz w:val="20"/>
          <w:lang w:val="pt-BR"/>
        </w:rPr>
        <w:t xml:space="preserve"> grupos Enxet</w:t>
      </w:r>
      <w:r w:rsidR="005127F2" w:rsidRPr="002F50BD">
        <w:rPr>
          <w:rFonts w:ascii="Verdana" w:hAnsi="Verdana"/>
          <w:sz w:val="20"/>
          <w:lang w:val="pt-BR"/>
        </w:rPr>
        <w:t>,</w:t>
      </w:r>
      <w:r w:rsidR="0089298C" w:rsidRPr="002F50BD">
        <w:rPr>
          <w:rFonts w:ascii="Verdana" w:hAnsi="Verdana"/>
          <w:sz w:val="20"/>
          <w:lang w:val="pt-BR"/>
        </w:rPr>
        <w:t xml:space="preserve"> são </w:t>
      </w:r>
      <w:r w:rsidR="00AB454A" w:rsidRPr="002F50BD">
        <w:rPr>
          <w:rFonts w:ascii="Verdana" w:hAnsi="Verdana"/>
          <w:sz w:val="20"/>
          <w:lang w:val="pt-BR"/>
        </w:rPr>
        <w:t>caça</w:t>
      </w:r>
      <w:r w:rsidR="004756C1" w:rsidRPr="002F50BD">
        <w:rPr>
          <w:rFonts w:ascii="Verdana" w:hAnsi="Verdana"/>
          <w:sz w:val="20"/>
          <w:lang w:val="pt-BR"/>
        </w:rPr>
        <w:t>dores, coletores, horticultores</w:t>
      </w:r>
      <w:r w:rsidR="0089298C" w:rsidRPr="002F50BD">
        <w:rPr>
          <w:rFonts w:ascii="Verdana" w:hAnsi="Verdana"/>
          <w:sz w:val="20"/>
          <w:lang w:val="pt-BR"/>
        </w:rPr>
        <w:t xml:space="preserve"> e </w:t>
      </w:r>
      <w:r w:rsidR="004756C1" w:rsidRPr="002F50BD">
        <w:rPr>
          <w:rFonts w:ascii="Verdana" w:hAnsi="Verdana"/>
          <w:sz w:val="20"/>
          <w:lang w:val="pt-BR"/>
        </w:rPr>
        <w:t>pastores.</w:t>
      </w:r>
    </w:p>
    <w:p w:rsidR="004756C1" w:rsidRPr="002F50BD" w:rsidRDefault="004756C1">
      <w:pPr>
        <w:jc w:val="both"/>
        <w:rPr>
          <w:rFonts w:ascii="Verdana" w:hAnsi="Verdana"/>
          <w:sz w:val="20"/>
          <w:lang w:val="pt-BR"/>
        </w:rPr>
      </w:pPr>
    </w:p>
    <w:p w:rsidR="004756C1" w:rsidRPr="002F50BD" w:rsidRDefault="008C25F4">
      <w:pPr>
        <w:numPr>
          <w:ilvl w:val="0"/>
          <w:numId w:val="38"/>
        </w:numPr>
        <w:tabs>
          <w:tab w:val="clear" w:pos="720"/>
          <w:tab w:val="num" w:pos="0"/>
        </w:tabs>
        <w:ind w:left="0" w:firstLine="0"/>
        <w:jc w:val="both"/>
        <w:rPr>
          <w:rFonts w:ascii="Verdana" w:hAnsi="Verdana"/>
          <w:sz w:val="20"/>
          <w:lang w:val="pt-BR"/>
        </w:rPr>
      </w:pPr>
      <w:r w:rsidRPr="002F50BD">
        <w:rPr>
          <w:rFonts w:ascii="Verdana" w:hAnsi="Verdana"/>
          <w:sz w:val="20"/>
          <w:lang w:val="pt-BR"/>
        </w:rPr>
        <w:t>Com</w:t>
      </w:r>
      <w:r w:rsidR="0089298C" w:rsidRPr="002F50BD">
        <w:rPr>
          <w:rFonts w:ascii="Verdana" w:hAnsi="Verdana"/>
          <w:sz w:val="20"/>
          <w:lang w:val="pt-BR"/>
        </w:rPr>
        <w:t xml:space="preserve"> a </w:t>
      </w:r>
      <w:r w:rsidR="004756C1" w:rsidRPr="002F50BD">
        <w:rPr>
          <w:rFonts w:ascii="Verdana" w:hAnsi="Verdana"/>
          <w:sz w:val="20"/>
          <w:lang w:val="pt-BR"/>
        </w:rPr>
        <w:t>intensifica</w:t>
      </w:r>
      <w:r w:rsidR="0089298C" w:rsidRPr="002F50BD">
        <w:rPr>
          <w:rFonts w:ascii="Verdana" w:hAnsi="Verdana"/>
          <w:sz w:val="20"/>
          <w:lang w:val="pt-BR"/>
        </w:rPr>
        <w:t xml:space="preserve">ção da </w:t>
      </w:r>
      <w:r w:rsidR="004756C1" w:rsidRPr="002F50BD">
        <w:rPr>
          <w:rFonts w:ascii="Verdana" w:hAnsi="Verdana"/>
          <w:sz w:val="20"/>
          <w:lang w:val="pt-BR"/>
        </w:rPr>
        <w:t>ocupa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econômic</w:t>
      </w:r>
      <w:r w:rsidR="004756C1" w:rsidRPr="002F50BD">
        <w:rPr>
          <w:rFonts w:ascii="Verdana" w:hAnsi="Verdana"/>
          <w:sz w:val="20"/>
          <w:lang w:val="pt-BR"/>
        </w:rPr>
        <w:t xml:space="preserve">a </w:t>
      </w:r>
      <w:r w:rsidR="0089298C" w:rsidRPr="002F50BD">
        <w:rPr>
          <w:rFonts w:ascii="Verdana" w:hAnsi="Verdana"/>
          <w:sz w:val="20"/>
          <w:lang w:val="pt-BR"/>
        </w:rPr>
        <w:t xml:space="preserve">do </w:t>
      </w:r>
      <w:r w:rsidRPr="002F50BD">
        <w:rPr>
          <w:rFonts w:ascii="Verdana" w:hAnsi="Verdana"/>
          <w:sz w:val="20"/>
          <w:lang w:val="pt-BR"/>
        </w:rPr>
        <w:t xml:space="preserve">baixo </w:t>
      </w:r>
      <w:r w:rsidR="004756C1" w:rsidRPr="002F50BD">
        <w:rPr>
          <w:rFonts w:ascii="Verdana" w:hAnsi="Verdana"/>
          <w:sz w:val="20"/>
          <w:lang w:val="pt-BR"/>
        </w:rPr>
        <w:t xml:space="preserve">Chaco desde </w:t>
      </w:r>
      <w:r w:rsidRPr="002F50BD">
        <w:rPr>
          <w:rFonts w:ascii="Verdana" w:hAnsi="Verdana"/>
          <w:sz w:val="20"/>
          <w:lang w:val="pt-BR"/>
        </w:rPr>
        <w:t xml:space="preserve">o início </w:t>
      </w:r>
      <w:r w:rsidR="0089298C" w:rsidRPr="002F50BD">
        <w:rPr>
          <w:rFonts w:ascii="Verdana" w:hAnsi="Verdana"/>
          <w:sz w:val="20"/>
          <w:lang w:val="pt-BR"/>
        </w:rPr>
        <w:t xml:space="preserve">do século </w:t>
      </w:r>
      <w:r w:rsidR="004756C1" w:rsidRPr="002F50BD">
        <w:rPr>
          <w:rFonts w:ascii="Verdana" w:hAnsi="Verdana"/>
          <w:sz w:val="20"/>
          <w:lang w:val="pt-BR"/>
        </w:rPr>
        <w:t>XX</w:t>
      </w:r>
      <w:r w:rsidR="005127F2"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foram</w:t>
      </w:r>
      <w:r w:rsidR="004756C1" w:rsidRPr="002F50BD">
        <w:rPr>
          <w:rFonts w:ascii="Verdana" w:hAnsi="Verdana"/>
          <w:sz w:val="20"/>
          <w:lang w:val="pt-BR"/>
        </w:rPr>
        <w:t xml:space="preserve"> </w:t>
      </w:r>
      <w:r w:rsidR="0089298C" w:rsidRPr="002F50BD">
        <w:rPr>
          <w:rFonts w:ascii="Verdana" w:hAnsi="Verdana"/>
          <w:sz w:val="20"/>
          <w:lang w:val="pt-BR"/>
        </w:rPr>
        <w:t>constitui</w:t>
      </w:r>
      <w:r w:rsidR="004756C1" w:rsidRPr="002F50BD">
        <w:rPr>
          <w:rFonts w:ascii="Verdana" w:hAnsi="Verdana"/>
          <w:sz w:val="20"/>
          <w:lang w:val="pt-BR"/>
        </w:rPr>
        <w:t>ndo</w:t>
      </w:r>
      <w:r w:rsidRPr="002F50BD">
        <w:rPr>
          <w:rFonts w:ascii="Verdana" w:hAnsi="Verdana"/>
          <w:sz w:val="20"/>
          <w:lang w:val="pt-BR"/>
        </w:rPr>
        <w:t>-se</w:t>
      </w:r>
      <w:r w:rsidR="004756C1" w:rsidRPr="002F50BD">
        <w:rPr>
          <w:rFonts w:ascii="Verdana" w:hAnsi="Verdana"/>
          <w:sz w:val="20"/>
          <w:lang w:val="pt-BR"/>
        </w:rPr>
        <w:t xml:space="preserve"> </w:t>
      </w:r>
      <w:r w:rsidR="0089298C" w:rsidRPr="002F50BD">
        <w:rPr>
          <w:rFonts w:ascii="Verdana" w:hAnsi="Verdana"/>
          <w:sz w:val="20"/>
          <w:lang w:val="pt-BR"/>
        </w:rPr>
        <w:t>estabelecimento</w:t>
      </w:r>
      <w:r w:rsidR="004756C1" w:rsidRPr="002F50BD">
        <w:rPr>
          <w:rFonts w:ascii="Verdana" w:hAnsi="Verdana"/>
          <w:sz w:val="20"/>
          <w:lang w:val="pt-BR"/>
        </w:rPr>
        <w:t xml:space="preserve">s </w:t>
      </w:r>
      <w:r w:rsidRPr="002F50BD">
        <w:rPr>
          <w:rFonts w:ascii="Verdana" w:hAnsi="Verdana"/>
          <w:sz w:val="20"/>
          <w:lang w:val="pt-BR"/>
        </w:rPr>
        <w:t xml:space="preserve">de gado </w:t>
      </w:r>
      <w:r w:rsidR="0089298C" w:rsidRPr="002F50BD">
        <w:rPr>
          <w:rFonts w:ascii="Verdana" w:hAnsi="Verdana"/>
          <w:sz w:val="20"/>
          <w:lang w:val="pt-BR"/>
        </w:rPr>
        <w:t>no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dos </w:t>
      </w:r>
      <w:r w:rsidR="004756C1" w:rsidRPr="002F50BD">
        <w:rPr>
          <w:rFonts w:ascii="Verdana" w:hAnsi="Verdana"/>
          <w:sz w:val="20"/>
          <w:lang w:val="pt-BR"/>
        </w:rPr>
        <w:t>Chanawatsan.</w:t>
      </w:r>
      <w:r w:rsidR="0089298C" w:rsidRPr="002F50BD">
        <w:rPr>
          <w:rFonts w:ascii="Verdana" w:hAnsi="Verdana"/>
          <w:sz w:val="20"/>
          <w:lang w:val="pt-BR"/>
        </w:rPr>
        <w:t xml:space="preserve"> </w:t>
      </w:r>
      <w:r w:rsidRPr="002F50BD">
        <w:rPr>
          <w:rFonts w:ascii="Verdana" w:hAnsi="Verdana"/>
          <w:sz w:val="20"/>
          <w:lang w:val="pt-BR"/>
        </w:rPr>
        <w:t xml:space="preserve">Em um </w:t>
      </w:r>
      <w:r w:rsidR="0089298C" w:rsidRPr="002F50BD">
        <w:rPr>
          <w:rFonts w:ascii="Verdana" w:hAnsi="Verdana"/>
          <w:sz w:val="20"/>
          <w:lang w:val="pt-BR"/>
        </w:rPr>
        <w:t>destes estabelecimento</w:t>
      </w:r>
      <w:r w:rsidR="004756C1" w:rsidRPr="002F50BD">
        <w:rPr>
          <w:rFonts w:ascii="Verdana" w:hAnsi="Verdana"/>
          <w:sz w:val="20"/>
          <w:lang w:val="pt-BR"/>
        </w:rPr>
        <w:t>s o</w:t>
      </w:r>
      <w:r w:rsidRPr="002F50BD">
        <w:rPr>
          <w:rFonts w:ascii="Verdana" w:hAnsi="Verdana"/>
          <w:sz w:val="20"/>
          <w:lang w:val="pt-BR"/>
        </w:rPr>
        <w:t>u fazendas</w:t>
      </w:r>
      <w:r w:rsidR="004756C1" w:rsidRPr="002F50BD">
        <w:rPr>
          <w:rFonts w:ascii="Verdana" w:hAnsi="Verdana"/>
          <w:sz w:val="20"/>
          <w:lang w:val="pt-BR"/>
        </w:rPr>
        <w:t xml:space="preserve">, Loma Verde, </w:t>
      </w:r>
      <w:r w:rsidRPr="002F50BD">
        <w:rPr>
          <w:rFonts w:ascii="Verdana" w:hAnsi="Verdana"/>
          <w:sz w:val="20"/>
          <w:lang w:val="pt-BR"/>
        </w:rPr>
        <w:t xml:space="preserve">a Missão Anglicana, em </w:t>
      </w:r>
      <w:r w:rsidR="00063B47" w:rsidRPr="002F50BD">
        <w:rPr>
          <w:rFonts w:ascii="Verdana" w:hAnsi="Verdana"/>
          <w:sz w:val="20"/>
          <w:lang w:val="pt-BR"/>
        </w:rPr>
        <w:t>1978</w:t>
      </w:r>
      <w:r w:rsidRPr="002F50BD">
        <w:rPr>
          <w:rFonts w:ascii="Verdana" w:hAnsi="Verdana"/>
          <w:sz w:val="20"/>
          <w:lang w:val="pt-BR"/>
        </w:rPr>
        <w:t xml:space="preserve">, registrou </w:t>
      </w:r>
      <w:r w:rsidR="00063B47" w:rsidRPr="002F50BD">
        <w:rPr>
          <w:rFonts w:ascii="Verdana" w:hAnsi="Verdana"/>
          <w:sz w:val="20"/>
          <w:lang w:val="pt-BR"/>
        </w:rPr>
        <w:t>47</w:t>
      </w:r>
      <w:r w:rsidR="004756C1" w:rsidRPr="002F50BD">
        <w:rPr>
          <w:rFonts w:ascii="Verdana" w:hAnsi="Verdana"/>
          <w:sz w:val="20"/>
          <w:lang w:val="pt-BR"/>
        </w:rPr>
        <w:t xml:space="preserve"> indígenas </w:t>
      </w:r>
      <w:r w:rsidR="004076AD" w:rsidRPr="002F50BD">
        <w:rPr>
          <w:rFonts w:ascii="Verdana" w:hAnsi="Verdana"/>
          <w:sz w:val="20"/>
          <w:lang w:val="pt-BR"/>
        </w:rPr>
        <w:t>pertencente</w:t>
      </w:r>
      <w:r w:rsidR="004756C1" w:rsidRPr="002F50BD">
        <w:rPr>
          <w:rFonts w:ascii="Verdana" w:hAnsi="Verdana"/>
          <w:sz w:val="20"/>
          <w:lang w:val="pt-BR"/>
        </w:rPr>
        <w:t>s</w:t>
      </w:r>
      <w:r w:rsidR="0089298C" w:rsidRPr="002F50BD">
        <w:rPr>
          <w:rFonts w:ascii="Verdana" w:hAnsi="Verdana"/>
          <w:sz w:val="20"/>
          <w:lang w:val="pt-BR"/>
        </w:rPr>
        <w:t xml:space="preserve"> hoje à Comunidade </w:t>
      </w:r>
      <w:r w:rsidR="004756C1" w:rsidRPr="002F50BD">
        <w:rPr>
          <w:rFonts w:ascii="Verdana" w:hAnsi="Verdana"/>
          <w:sz w:val="20"/>
          <w:lang w:val="pt-BR"/>
        </w:rPr>
        <w:t>Yakye Axa</w:t>
      </w:r>
      <w:r w:rsidRPr="002F50BD">
        <w:rPr>
          <w:rFonts w:ascii="Verdana" w:hAnsi="Verdana"/>
          <w:sz w:val="20"/>
          <w:lang w:val="pt-BR"/>
        </w:rPr>
        <w:t>.</w:t>
      </w:r>
      <w:r w:rsidR="004756C1" w:rsidRPr="002F50BD">
        <w:rPr>
          <w:rStyle w:val="FootnoteReference"/>
          <w:rFonts w:ascii="Verdana" w:hAnsi="Verdana"/>
        </w:rPr>
        <w:footnoteReference w:id="233"/>
      </w:r>
    </w:p>
    <w:p w:rsidR="004756C1" w:rsidRPr="002F50BD" w:rsidRDefault="004756C1">
      <w:pPr>
        <w:jc w:val="both"/>
        <w:rPr>
          <w:rFonts w:ascii="Verdana" w:hAnsi="Verdana"/>
          <w:sz w:val="20"/>
          <w:lang w:val="pt-BR"/>
        </w:rPr>
      </w:pPr>
    </w:p>
    <w:p w:rsidR="004756C1" w:rsidRPr="002F50BD" w:rsidRDefault="0089298C">
      <w:pPr>
        <w:numPr>
          <w:ilvl w:val="0"/>
          <w:numId w:val="38"/>
        </w:numPr>
        <w:tabs>
          <w:tab w:val="clear" w:pos="720"/>
          <w:tab w:val="num" w:pos="0"/>
        </w:tabs>
        <w:ind w:left="0" w:firstLine="0"/>
        <w:jc w:val="both"/>
        <w:rPr>
          <w:rFonts w:ascii="Verdana" w:hAnsi="Verdana"/>
          <w:sz w:val="20"/>
          <w:lang w:val="pt-BR"/>
        </w:rPr>
      </w:pPr>
      <w:r w:rsidRPr="002F50BD">
        <w:rPr>
          <w:rFonts w:ascii="Verdana" w:hAnsi="Verdana"/>
          <w:sz w:val="20"/>
          <w:lang w:val="pt-BR"/>
        </w:rPr>
        <w:t xml:space="preserve">Devido às </w:t>
      </w:r>
      <w:r w:rsidR="004756C1" w:rsidRPr="002F50BD">
        <w:rPr>
          <w:rFonts w:ascii="Verdana" w:hAnsi="Verdana"/>
          <w:sz w:val="20"/>
          <w:lang w:val="pt-BR"/>
        </w:rPr>
        <w:t>penosas condi</w:t>
      </w:r>
      <w:r w:rsidRPr="002F50BD">
        <w:rPr>
          <w:rFonts w:ascii="Verdana" w:hAnsi="Verdana"/>
          <w:sz w:val="20"/>
          <w:lang w:val="pt-BR"/>
        </w:rPr>
        <w:t>ções</w:t>
      </w:r>
      <w:r w:rsidR="004756C1" w:rsidRPr="002F50BD">
        <w:rPr>
          <w:rFonts w:ascii="Verdana" w:hAnsi="Verdana"/>
          <w:sz w:val="20"/>
          <w:lang w:val="pt-BR"/>
        </w:rPr>
        <w:t xml:space="preserve"> de vida</w:t>
      </w:r>
      <w:r w:rsidRPr="002F50BD">
        <w:rPr>
          <w:rFonts w:ascii="Verdana" w:hAnsi="Verdana"/>
          <w:sz w:val="20"/>
          <w:lang w:val="pt-BR"/>
        </w:rPr>
        <w:t xml:space="preserve"> na </w:t>
      </w:r>
      <w:r w:rsidR="008C25F4" w:rsidRPr="002F50BD">
        <w:rPr>
          <w:rFonts w:ascii="Verdana" w:hAnsi="Verdana"/>
          <w:sz w:val="20"/>
          <w:lang w:val="pt-BR"/>
        </w:rPr>
        <w:t xml:space="preserve">fazenda </w:t>
      </w:r>
      <w:r w:rsidR="004756C1" w:rsidRPr="002F50BD">
        <w:rPr>
          <w:rFonts w:ascii="Verdana" w:hAnsi="Verdana"/>
          <w:sz w:val="20"/>
          <w:lang w:val="pt-BR"/>
        </w:rPr>
        <w:t>Loma Ver</w:t>
      </w:r>
      <w:r w:rsidRPr="002F50BD">
        <w:rPr>
          <w:rFonts w:ascii="Verdana" w:hAnsi="Verdana"/>
          <w:sz w:val="20"/>
          <w:lang w:val="pt-BR"/>
        </w:rPr>
        <w:t>d</w:t>
      </w:r>
      <w:r w:rsidR="008C25F4" w:rsidRPr="002F50BD">
        <w:rPr>
          <w:rFonts w:ascii="Verdana" w:hAnsi="Verdana"/>
          <w:sz w:val="20"/>
          <w:lang w:val="pt-BR"/>
        </w:rPr>
        <w:t>e</w:t>
      </w:r>
      <w:r w:rsidR="009F11EB" w:rsidRPr="002F50BD">
        <w:rPr>
          <w:rFonts w:ascii="Verdana" w:hAnsi="Verdana"/>
          <w:sz w:val="20"/>
          <w:lang w:val="pt-BR"/>
        </w:rPr>
        <w:t>,</w:t>
      </w:r>
      <w:r w:rsidR="008C25F4" w:rsidRPr="002F50BD">
        <w:rPr>
          <w:rFonts w:ascii="Verdana" w:hAnsi="Verdana"/>
          <w:sz w:val="20"/>
          <w:lang w:val="pt-BR"/>
        </w:rPr>
        <w:t xml:space="preserve"> </w:t>
      </w:r>
      <w:r w:rsidRPr="002F50BD">
        <w:rPr>
          <w:rFonts w:ascii="Verdana" w:hAnsi="Verdana"/>
          <w:sz w:val="20"/>
          <w:lang w:val="pt-BR"/>
        </w:rPr>
        <w:t xml:space="preserve">a Comunidade </w:t>
      </w:r>
      <w:r w:rsidR="004756C1" w:rsidRPr="002F50BD">
        <w:rPr>
          <w:rFonts w:ascii="Verdana" w:hAnsi="Verdana"/>
          <w:sz w:val="20"/>
          <w:lang w:val="pt-BR"/>
        </w:rPr>
        <w:t>se traslada</w:t>
      </w:r>
      <w:r w:rsidRPr="002F50BD">
        <w:rPr>
          <w:rFonts w:ascii="Verdana" w:hAnsi="Verdana"/>
          <w:sz w:val="20"/>
          <w:lang w:val="pt-BR"/>
        </w:rPr>
        <w:t xml:space="preserve"> à </w:t>
      </w:r>
      <w:r w:rsidR="004756C1" w:rsidRPr="002F50BD">
        <w:rPr>
          <w:rFonts w:ascii="Verdana" w:hAnsi="Verdana"/>
          <w:sz w:val="20"/>
          <w:lang w:val="pt-BR"/>
        </w:rPr>
        <w:t>Estancia</w:t>
      </w:r>
      <w:r w:rsidR="00D91C0F" w:rsidRPr="002F50BD">
        <w:rPr>
          <w:rFonts w:ascii="Verdana" w:hAnsi="Verdana"/>
          <w:sz w:val="20"/>
          <w:lang w:val="pt-BR"/>
        </w:rPr>
        <w:t xml:space="preserve"> El Estribo</w:t>
      </w:r>
      <w:r w:rsidRPr="002F50BD">
        <w:rPr>
          <w:rFonts w:ascii="Verdana" w:hAnsi="Verdana"/>
          <w:sz w:val="20"/>
          <w:lang w:val="pt-BR"/>
        </w:rPr>
        <w:t xml:space="preserve"> em </w:t>
      </w:r>
      <w:r w:rsidR="00063B47" w:rsidRPr="002F50BD">
        <w:rPr>
          <w:rFonts w:ascii="Verdana" w:hAnsi="Verdana"/>
          <w:sz w:val="20"/>
          <w:lang w:val="pt-BR"/>
        </w:rPr>
        <w:t>1986</w:t>
      </w:r>
      <w:r w:rsidR="008C25F4" w:rsidRPr="002F50BD">
        <w:rPr>
          <w:rFonts w:ascii="Verdana" w:hAnsi="Verdana"/>
          <w:sz w:val="20"/>
          <w:lang w:val="pt-BR"/>
        </w:rPr>
        <w:t>.</w:t>
      </w:r>
      <w:r w:rsidR="004756C1" w:rsidRPr="002F50BD">
        <w:rPr>
          <w:rStyle w:val="FootnoteReference"/>
          <w:rFonts w:ascii="Verdana" w:hAnsi="Verdana"/>
        </w:rPr>
        <w:footnoteReference w:id="234"/>
      </w:r>
      <w:r w:rsidR="008C25F4" w:rsidRPr="002F50BD">
        <w:rPr>
          <w:rFonts w:ascii="Verdana" w:hAnsi="Verdana"/>
          <w:sz w:val="20"/>
          <w:lang w:val="pt-BR"/>
        </w:rPr>
        <w:t xml:space="preserve"> </w:t>
      </w:r>
      <w:r w:rsidR="00FB33DD" w:rsidRPr="002F50BD">
        <w:rPr>
          <w:rFonts w:ascii="Verdana" w:hAnsi="Verdana"/>
          <w:sz w:val="20"/>
          <w:lang w:val="pt-BR"/>
        </w:rPr>
        <w:t xml:space="preserve">O </w:t>
      </w:r>
      <w:r w:rsidR="004756C1" w:rsidRPr="002F50BD">
        <w:rPr>
          <w:rFonts w:ascii="Verdana" w:hAnsi="Verdana"/>
          <w:sz w:val="20"/>
          <w:lang w:val="pt-BR"/>
        </w:rPr>
        <w:t xml:space="preserve">traslado </w:t>
      </w:r>
      <w:r w:rsidR="00AB454A" w:rsidRPr="002F50BD">
        <w:rPr>
          <w:rFonts w:ascii="Verdana" w:hAnsi="Verdana"/>
          <w:sz w:val="20"/>
          <w:lang w:val="pt-BR"/>
        </w:rPr>
        <w:t>não foi</w:t>
      </w:r>
      <w:r w:rsidRPr="002F50BD">
        <w:rPr>
          <w:rFonts w:ascii="Verdana" w:hAnsi="Verdana"/>
          <w:sz w:val="20"/>
          <w:lang w:val="pt-BR"/>
        </w:rPr>
        <w:t xml:space="preserve"> </w:t>
      </w:r>
      <w:r w:rsidR="004756C1" w:rsidRPr="002F50BD">
        <w:rPr>
          <w:rFonts w:ascii="Verdana" w:hAnsi="Verdana"/>
          <w:sz w:val="20"/>
          <w:lang w:val="pt-BR"/>
        </w:rPr>
        <w:t>compuls</w:t>
      </w:r>
      <w:r w:rsidR="008C25F4" w:rsidRPr="002F50BD">
        <w:rPr>
          <w:rFonts w:ascii="Verdana" w:hAnsi="Verdana"/>
          <w:sz w:val="20"/>
          <w:lang w:val="pt-BR"/>
        </w:rPr>
        <w:t>ório</w:t>
      </w:r>
      <w:r w:rsidRPr="002F50BD">
        <w:rPr>
          <w:rFonts w:ascii="Verdana" w:hAnsi="Verdana"/>
          <w:sz w:val="20"/>
          <w:lang w:val="pt-BR"/>
        </w:rPr>
        <w:t xml:space="preserve"> e </w:t>
      </w:r>
      <w:r w:rsidR="009F11EB" w:rsidRPr="002F50BD">
        <w:rPr>
          <w:rFonts w:ascii="Verdana" w:hAnsi="Verdana"/>
          <w:sz w:val="20"/>
          <w:lang w:val="pt-BR"/>
        </w:rPr>
        <w:t>d</w:t>
      </w:r>
      <w:r w:rsidRPr="002F50BD">
        <w:rPr>
          <w:rFonts w:ascii="Verdana" w:hAnsi="Verdana"/>
          <w:sz w:val="20"/>
          <w:lang w:val="pt-BR"/>
        </w:rPr>
        <w:t>o mesm</w:t>
      </w:r>
      <w:r w:rsidR="004756C1" w:rsidRPr="002F50BD">
        <w:rPr>
          <w:rFonts w:ascii="Verdana" w:hAnsi="Verdana"/>
          <w:sz w:val="20"/>
          <w:lang w:val="pt-BR"/>
        </w:rPr>
        <w:t>o n</w:t>
      </w:r>
      <w:r w:rsidR="008C25F4"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participou o </w:t>
      </w:r>
      <w:r w:rsidR="004756C1" w:rsidRPr="002F50BD">
        <w:rPr>
          <w:rFonts w:ascii="Verdana" w:hAnsi="Verdana"/>
          <w:sz w:val="20"/>
          <w:lang w:val="pt-BR"/>
        </w:rPr>
        <w:t>Estado.</w:t>
      </w:r>
      <w:r w:rsidRPr="002F50BD">
        <w:rPr>
          <w:rFonts w:ascii="Verdana" w:hAnsi="Verdana"/>
          <w:sz w:val="20"/>
          <w:lang w:val="pt-BR"/>
        </w:rPr>
        <w:t xml:space="preserve"> </w:t>
      </w:r>
      <w:r w:rsidR="008C25F4" w:rsidRPr="002F50BD">
        <w:rPr>
          <w:rFonts w:ascii="Verdana" w:hAnsi="Verdana"/>
          <w:sz w:val="20"/>
          <w:lang w:val="pt-BR"/>
        </w:rPr>
        <w:t>E</w:t>
      </w:r>
      <w:r w:rsidRPr="002F50BD">
        <w:rPr>
          <w:rFonts w:ascii="Verdana" w:hAnsi="Verdana"/>
          <w:sz w:val="20"/>
          <w:lang w:val="pt-BR"/>
        </w:rPr>
        <w:t xml:space="preserve">m </w:t>
      </w:r>
      <w:r w:rsidR="004756C1" w:rsidRPr="002F50BD">
        <w:rPr>
          <w:rFonts w:ascii="Verdana" w:hAnsi="Verdana"/>
          <w:sz w:val="20"/>
          <w:lang w:val="pt-BR"/>
        </w:rPr>
        <w:t>s</w:t>
      </w:r>
      <w:r w:rsidR="008C25F4" w:rsidRPr="002F50BD">
        <w:rPr>
          <w:rFonts w:ascii="Verdana" w:hAnsi="Verdana"/>
          <w:sz w:val="20"/>
          <w:lang w:val="pt-BR"/>
        </w:rPr>
        <w:t>e</w:t>
      </w:r>
      <w:r w:rsidR="004756C1" w:rsidRPr="002F50BD">
        <w:rPr>
          <w:rFonts w:ascii="Verdana" w:hAnsi="Verdana"/>
          <w:sz w:val="20"/>
          <w:lang w:val="pt-BR"/>
        </w:rPr>
        <w:t xml:space="preserve">u </w:t>
      </w:r>
      <w:r w:rsidRPr="002F50BD">
        <w:rPr>
          <w:rFonts w:ascii="Verdana" w:hAnsi="Verdana"/>
          <w:sz w:val="20"/>
          <w:lang w:val="pt-BR"/>
        </w:rPr>
        <w:t>novo</w:t>
      </w:r>
      <w:r w:rsidR="004756C1" w:rsidRPr="002F50BD">
        <w:rPr>
          <w:rFonts w:ascii="Verdana" w:hAnsi="Verdana"/>
          <w:sz w:val="20"/>
          <w:lang w:val="pt-BR"/>
        </w:rPr>
        <w:t xml:space="preserve"> </w:t>
      </w:r>
      <w:r w:rsidR="00AB454A" w:rsidRPr="002F50BD">
        <w:rPr>
          <w:rFonts w:ascii="Verdana" w:hAnsi="Verdana"/>
          <w:sz w:val="20"/>
          <w:lang w:val="pt-BR"/>
        </w:rPr>
        <w:t>assentamento</w:t>
      </w:r>
      <w:r w:rsidR="004756C1" w:rsidRPr="002F50BD">
        <w:rPr>
          <w:rFonts w:ascii="Verdana" w:hAnsi="Verdana"/>
          <w:sz w:val="20"/>
          <w:lang w:val="pt-BR"/>
        </w:rPr>
        <w:t>,</w:t>
      </w:r>
      <w:r w:rsidRPr="002F50BD">
        <w:rPr>
          <w:rFonts w:ascii="Verdana" w:hAnsi="Verdana"/>
          <w:sz w:val="20"/>
          <w:lang w:val="pt-BR"/>
        </w:rPr>
        <w:t xml:space="preserve"> </w:t>
      </w:r>
      <w:r w:rsidR="008C25F4" w:rsidRPr="002F50BD">
        <w:rPr>
          <w:rFonts w:ascii="Verdana" w:hAnsi="Verdana"/>
          <w:sz w:val="20"/>
          <w:lang w:val="pt-BR"/>
        </w:rPr>
        <w:t xml:space="preserve">em El </w:t>
      </w:r>
      <w:r w:rsidR="004756C1" w:rsidRPr="002F50BD">
        <w:rPr>
          <w:rFonts w:ascii="Verdana" w:hAnsi="Verdana"/>
          <w:sz w:val="20"/>
          <w:lang w:val="pt-BR"/>
        </w:rPr>
        <w:t xml:space="preserve">Estribo, </w:t>
      </w:r>
      <w:r w:rsidRPr="002F50BD">
        <w:rPr>
          <w:rFonts w:ascii="Verdana" w:hAnsi="Verdana"/>
          <w:sz w:val="20"/>
          <w:lang w:val="pt-BR"/>
        </w:rPr>
        <w:t xml:space="preserve">a comunidade </w:t>
      </w:r>
      <w:r w:rsidR="00AB454A" w:rsidRPr="002F50BD">
        <w:rPr>
          <w:rFonts w:ascii="Verdana" w:hAnsi="Verdana"/>
          <w:sz w:val="20"/>
          <w:lang w:val="pt-BR"/>
        </w:rPr>
        <w:t>não p</w:t>
      </w:r>
      <w:r w:rsidR="008C25F4" w:rsidRPr="002F50BD">
        <w:rPr>
          <w:rFonts w:ascii="Verdana" w:hAnsi="Verdana"/>
          <w:sz w:val="20"/>
          <w:lang w:val="pt-BR"/>
        </w:rPr>
        <w:t>ô</w:t>
      </w:r>
      <w:r w:rsidR="00AB454A" w:rsidRPr="002F50BD">
        <w:rPr>
          <w:rFonts w:ascii="Verdana" w:hAnsi="Verdana"/>
          <w:sz w:val="20"/>
          <w:lang w:val="pt-BR"/>
        </w:rPr>
        <w:t>de</w:t>
      </w:r>
      <w:r w:rsidRPr="002F50BD">
        <w:rPr>
          <w:rFonts w:ascii="Verdana" w:hAnsi="Verdana"/>
          <w:sz w:val="20"/>
          <w:lang w:val="pt-BR"/>
        </w:rPr>
        <w:t xml:space="preserve"> </w:t>
      </w:r>
      <w:r w:rsidR="004756C1" w:rsidRPr="002F50BD">
        <w:rPr>
          <w:rFonts w:ascii="Verdana" w:hAnsi="Verdana"/>
          <w:sz w:val="20"/>
          <w:lang w:val="pt-BR"/>
        </w:rPr>
        <w:t>superar</w:t>
      </w:r>
      <w:r w:rsidRPr="002F50BD">
        <w:rPr>
          <w:rFonts w:ascii="Verdana" w:hAnsi="Verdana"/>
          <w:sz w:val="20"/>
          <w:lang w:val="pt-BR"/>
        </w:rPr>
        <w:t xml:space="preserve"> as </w:t>
      </w:r>
      <w:r w:rsidR="004756C1" w:rsidRPr="002F50BD">
        <w:rPr>
          <w:rFonts w:ascii="Verdana" w:hAnsi="Verdana"/>
          <w:sz w:val="20"/>
          <w:lang w:val="pt-BR"/>
        </w:rPr>
        <w:t>car</w:t>
      </w:r>
      <w:r w:rsidR="008C25F4" w:rsidRPr="002F50BD">
        <w:rPr>
          <w:rFonts w:ascii="Verdana" w:hAnsi="Verdana"/>
          <w:sz w:val="20"/>
          <w:lang w:val="pt-BR"/>
        </w:rPr>
        <w:t>ê</w:t>
      </w:r>
      <w:r w:rsidR="004756C1" w:rsidRPr="002F50BD">
        <w:rPr>
          <w:rFonts w:ascii="Verdana" w:hAnsi="Verdana"/>
          <w:sz w:val="20"/>
          <w:lang w:val="pt-BR"/>
        </w:rPr>
        <w:t>ncias</w:t>
      </w:r>
      <w:r w:rsidR="00AB454A" w:rsidRPr="002F50BD">
        <w:rPr>
          <w:rFonts w:ascii="Verdana" w:hAnsi="Verdana"/>
          <w:sz w:val="20"/>
          <w:lang w:val="pt-BR"/>
        </w:rPr>
        <w:t xml:space="preserve"> própria</w:t>
      </w:r>
      <w:r w:rsidR="004756C1" w:rsidRPr="002F50BD">
        <w:rPr>
          <w:rFonts w:ascii="Verdana" w:hAnsi="Verdana"/>
          <w:sz w:val="20"/>
          <w:lang w:val="pt-BR"/>
        </w:rPr>
        <w:t>s</w:t>
      </w:r>
      <w:r w:rsidRPr="002F50BD">
        <w:rPr>
          <w:rFonts w:ascii="Verdana" w:hAnsi="Verdana"/>
          <w:sz w:val="20"/>
          <w:lang w:val="pt-BR"/>
        </w:rPr>
        <w:t xml:space="preserve"> da </w:t>
      </w:r>
      <w:r w:rsidR="004756C1" w:rsidRPr="002F50BD">
        <w:rPr>
          <w:rFonts w:ascii="Verdana" w:hAnsi="Verdana"/>
          <w:sz w:val="20"/>
          <w:lang w:val="pt-BR"/>
        </w:rPr>
        <w:t>pobreza extrema</w:t>
      </w:r>
      <w:r w:rsidRPr="002F50BD">
        <w:rPr>
          <w:rFonts w:ascii="Verdana" w:hAnsi="Verdana"/>
          <w:sz w:val="20"/>
          <w:lang w:val="pt-BR"/>
        </w:rPr>
        <w:t xml:space="preserve"> e</w:t>
      </w:r>
      <w:r w:rsidR="004756C1" w:rsidRPr="002F50BD">
        <w:rPr>
          <w:rFonts w:ascii="Verdana" w:hAnsi="Verdana"/>
          <w:sz w:val="20"/>
          <w:lang w:val="pt-BR"/>
        </w:rPr>
        <w:t xml:space="preserve"> </w:t>
      </w:r>
      <w:r w:rsidRPr="002F50BD">
        <w:rPr>
          <w:rFonts w:ascii="Verdana" w:hAnsi="Verdana"/>
          <w:sz w:val="20"/>
          <w:lang w:val="pt-BR"/>
        </w:rPr>
        <w:t>decidiu</w:t>
      </w:r>
      <w:r w:rsidR="004756C1" w:rsidRPr="002F50BD">
        <w:rPr>
          <w:rFonts w:ascii="Verdana" w:hAnsi="Verdana"/>
          <w:sz w:val="20"/>
          <w:lang w:val="pt-BR"/>
        </w:rPr>
        <w:t>,</w:t>
      </w:r>
      <w:r w:rsidRPr="002F50BD">
        <w:rPr>
          <w:rFonts w:ascii="Verdana" w:hAnsi="Verdana"/>
          <w:sz w:val="20"/>
          <w:lang w:val="pt-BR"/>
        </w:rPr>
        <w:t xml:space="preserve"> em </w:t>
      </w:r>
      <w:r w:rsidR="00063B47" w:rsidRPr="002F50BD">
        <w:rPr>
          <w:rFonts w:ascii="Verdana" w:hAnsi="Verdana"/>
          <w:sz w:val="20"/>
          <w:lang w:val="pt-BR"/>
        </w:rPr>
        <w:t>1996</w:t>
      </w:r>
      <w:r w:rsidR="004756C1" w:rsidRPr="002F50BD">
        <w:rPr>
          <w:rFonts w:ascii="Verdana" w:hAnsi="Verdana"/>
          <w:sz w:val="20"/>
          <w:lang w:val="pt-BR"/>
        </w:rPr>
        <w:t xml:space="preserve">, </w:t>
      </w:r>
      <w:r w:rsidR="00E10DBB" w:rsidRPr="002F50BD">
        <w:rPr>
          <w:rFonts w:ascii="Verdana" w:hAnsi="Verdana"/>
          <w:sz w:val="20"/>
          <w:lang w:val="pt-BR"/>
        </w:rPr>
        <w:t>regressar</w:t>
      </w:r>
      <w:r w:rsidRPr="002F50BD">
        <w:rPr>
          <w:rFonts w:ascii="Verdana" w:hAnsi="Verdana"/>
          <w:sz w:val="20"/>
          <w:lang w:val="pt-BR"/>
        </w:rPr>
        <w:t xml:space="preserve"> às </w:t>
      </w:r>
      <w:r w:rsidR="004756C1" w:rsidRPr="002F50BD">
        <w:rPr>
          <w:rFonts w:ascii="Verdana" w:hAnsi="Verdana"/>
          <w:sz w:val="20"/>
          <w:lang w:val="pt-BR"/>
        </w:rPr>
        <w:t>imedia</w:t>
      </w:r>
      <w:r w:rsidRPr="002F50BD">
        <w:rPr>
          <w:rFonts w:ascii="Verdana" w:hAnsi="Verdana"/>
          <w:sz w:val="20"/>
          <w:lang w:val="pt-BR"/>
        </w:rPr>
        <w:t xml:space="preserve">ções da </w:t>
      </w:r>
      <w:r w:rsidR="00060B3A" w:rsidRPr="002F50BD">
        <w:rPr>
          <w:rFonts w:ascii="Verdana" w:hAnsi="Verdana"/>
          <w:i/>
          <w:sz w:val="20"/>
          <w:lang w:val="pt-BR"/>
        </w:rPr>
        <w:t>Estancia Loma Verde</w:t>
      </w:r>
      <w:r w:rsidR="004756C1" w:rsidRPr="002F50BD">
        <w:rPr>
          <w:rFonts w:ascii="Verdana" w:hAnsi="Verdana"/>
          <w:sz w:val="20"/>
          <w:lang w:val="pt-BR"/>
        </w:rPr>
        <w:t xml:space="preserve">, parte de </w:t>
      </w:r>
      <w:r w:rsidR="00AB454A" w:rsidRPr="002F50BD">
        <w:rPr>
          <w:rFonts w:ascii="Verdana" w:hAnsi="Verdana"/>
          <w:sz w:val="20"/>
          <w:lang w:val="pt-BR"/>
        </w:rPr>
        <w:t>seu território</w:t>
      </w:r>
      <w:r w:rsidR="004756C1" w:rsidRPr="002F50BD">
        <w:rPr>
          <w:rFonts w:ascii="Verdana" w:hAnsi="Verdana"/>
          <w:sz w:val="20"/>
          <w:lang w:val="pt-BR"/>
        </w:rPr>
        <w:t xml:space="preserve"> ancestral, </w:t>
      </w:r>
      <w:r w:rsidR="008C25F4" w:rsidRPr="002F50BD">
        <w:rPr>
          <w:rFonts w:ascii="Verdana" w:hAnsi="Verdana"/>
          <w:sz w:val="20"/>
          <w:lang w:val="pt-BR"/>
        </w:rPr>
        <w:t xml:space="preserve">estabelecendo-se à margem da estrada </w:t>
      </w:r>
      <w:r w:rsidR="004756C1" w:rsidRPr="002F50BD">
        <w:rPr>
          <w:rFonts w:ascii="Verdana" w:hAnsi="Verdana"/>
          <w:sz w:val="20"/>
          <w:lang w:val="pt-BR"/>
        </w:rPr>
        <w:t xml:space="preserve">Pozo Colorado - </w:t>
      </w:r>
      <w:r w:rsidR="00313394" w:rsidRPr="002F50BD">
        <w:rPr>
          <w:rFonts w:ascii="Verdana" w:hAnsi="Verdana"/>
          <w:sz w:val="20"/>
          <w:lang w:val="pt-BR"/>
        </w:rPr>
        <w:t>Concepción</w:t>
      </w:r>
      <w:r w:rsidR="004756C1" w:rsidRPr="002F50BD">
        <w:rPr>
          <w:rFonts w:ascii="Verdana" w:hAnsi="Verdana"/>
          <w:sz w:val="20"/>
          <w:lang w:val="pt-BR"/>
        </w:rPr>
        <w:t>,</w:t>
      </w:r>
      <w:r w:rsidRPr="002F50BD">
        <w:rPr>
          <w:rFonts w:ascii="Verdana" w:hAnsi="Verdana"/>
          <w:sz w:val="20"/>
          <w:lang w:val="pt-BR"/>
        </w:rPr>
        <w:t xml:space="preserve"> nas </w:t>
      </w:r>
      <w:r w:rsidR="004756C1" w:rsidRPr="002F50BD">
        <w:rPr>
          <w:rFonts w:ascii="Verdana" w:hAnsi="Verdana"/>
          <w:sz w:val="20"/>
          <w:lang w:val="pt-BR"/>
        </w:rPr>
        <w:t>imedia</w:t>
      </w:r>
      <w:r w:rsidRPr="002F50BD">
        <w:rPr>
          <w:rFonts w:ascii="Verdana" w:hAnsi="Verdana"/>
          <w:sz w:val="20"/>
          <w:lang w:val="pt-BR"/>
        </w:rPr>
        <w:t>ções</w:t>
      </w:r>
      <w:r w:rsidR="004756C1" w:rsidRPr="002F50BD">
        <w:rPr>
          <w:rFonts w:ascii="Verdana" w:hAnsi="Verdana"/>
          <w:sz w:val="20"/>
          <w:lang w:val="pt-BR"/>
        </w:rPr>
        <w:t xml:space="preserve"> </w:t>
      </w:r>
      <w:r w:rsidRPr="002F50BD">
        <w:rPr>
          <w:rFonts w:ascii="Verdana" w:hAnsi="Verdana"/>
          <w:sz w:val="20"/>
          <w:lang w:val="pt-BR"/>
        </w:rPr>
        <w:t xml:space="preserve">do </w:t>
      </w:r>
      <w:r w:rsidR="008C25F4" w:rsidRPr="002F50BD">
        <w:rPr>
          <w:rFonts w:ascii="Verdana" w:hAnsi="Verdana"/>
          <w:sz w:val="20"/>
          <w:lang w:val="pt-BR"/>
        </w:rPr>
        <w:t xml:space="preserve">quilômetro </w:t>
      </w:r>
      <w:r w:rsidR="00063B47" w:rsidRPr="002F50BD">
        <w:rPr>
          <w:rFonts w:ascii="Verdana" w:hAnsi="Verdana"/>
          <w:sz w:val="20"/>
          <w:lang w:val="pt-BR"/>
        </w:rPr>
        <w:t>80</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89298C">
      <w:pPr>
        <w:numPr>
          <w:ilvl w:val="0"/>
          <w:numId w:val="38"/>
        </w:numPr>
        <w:tabs>
          <w:tab w:val="clear" w:pos="720"/>
        </w:tabs>
        <w:ind w:left="0" w:firstLine="0"/>
        <w:jc w:val="both"/>
        <w:rPr>
          <w:rFonts w:ascii="Verdana" w:hAnsi="Verdana"/>
          <w:sz w:val="20"/>
          <w:lang w:val="pt-BR"/>
        </w:rPr>
      </w:pPr>
      <w:r w:rsidRPr="002F50BD">
        <w:rPr>
          <w:rFonts w:ascii="Verdana" w:hAnsi="Verdana"/>
          <w:sz w:val="20"/>
          <w:lang w:val="pt-BR"/>
        </w:rPr>
        <w:t xml:space="preserve">No </w:t>
      </w:r>
      <w:r w:rsidR="00AB454A" w:rsidRPr="002F50BD">
        <w:rPr>
          <w:rFonts w:ascii="Verdana" w:hAnsi="Verdana"/>
          <w:sz w:val="20"/>
          <w:lang w:val="pt-BR"/>
        </w:rPr>
        <w:t>assentamento</w:t>
      </w:r>
      <w:r w:rsidR="004756C1" w:rsidRPr="002F50BD">
        <w:rPr>
          <w:rFonts w:ascii="Verdana" w:hAnsi="Verdana"/>
          <w:sz w:val="20"/>
          <w:lang w:val="pt-BR"/>
        </w:rPr>
        <w:t xml:space="preserve"> improvisado</w:t>
      </w:r>
      <w:r w:rsidRPr="002F50BD">
        <w:rPr>
          <w:rFonts w:ascii="Verdana" w:hAnsi="Verdana"/>
          <w:sz w:val="20"/>
          <w:lang w:val="pt-BR"/>
        </w:rPr>
        <w:t xml:space="preserve"> pela </w:t>
      </w:r>
      <w:r w:rsidR="004756C1" w:rsidRPr="002F50BD">
        <w:rPr>
          <w:rFonts w:ascii="Verdana" w:hAnsi="Verdana"/>
          <w:sz w:val="20"/>
          <w:lang w:val="pt-BR"/>
        </w:rPr>
        <w:t>comu</w:t>
      </w:r>
      <w:r w:rsidR="00AB454A" w:rsidRPr="002F50BD">
        <w:rPr>
          <w:rFonts w:ascii="Verdana" w:hAnsi="Verdana"/>
          <w:sz w:val="20"/>
          <w:lang w:val="pt-BR"/>
        </w:rPr>
        <w:t xml:space="preserve">nidade, </w:t>
      </w:r>
      <w:r w:rsidRPr="002F50BD">
        <w:rPr>
          <w:rFonts w:ascii="Verdana" w:hAnsi="Verdana"/>
          <w:sz w:val="20"/>
          <w:lang w:val="pt-BR"/>
        </w:rPr>
        <w:t xml:space="preserve">em </w:t>
      </w:r>
      <w:r w:rsidR="004756C1" w:rsidRPr="002F50BD">
        <w:rPr>
          <w:rFonts w:ascii="Verdana" w:hAnsi="Verdana"/>
          <w:sz w:val="20"/>
          <w:lang w:val="pt-BR"/>
        </w:rPr>
        <w:t xml:space="preserve">plena </w:t>
      </w:r>
      <w:r w:rsidRPr="002F50BD">
        <w:rPr>
          <w:rFonts w:ascii="Verdana" w:hAnsi="Verdana"/>
          <w:sz w:val="20"/>
          <w:lang w:val="pt-BR"/>
        </w:rPr>
        <w:t>via</w:t>
      </w:r>
      <w:r w:rsidR="004756C1" w:rsidRPr="002F50BD">
        <w:rPr>
          <w:rFonts w:ascii="Verdana" w:hAnsi="Verdana"/>
          <w:sz w:val="20"/>
          <w:lang w:val="pt-BR"/>
        </w:rPr>
        <w:t xml:space="preserve"> pública entre</w:t>
      </w:r>
      <w:r w:rsidRPr="002F50BD">
        <w:rPr>
          <w:rFonts w:ascii="Verdana" w:hAnsi="Verdana"/>
          <w:sz w:val="20"/>
          <w:lang w:val="pt-BR"/>
        </w:rPr>
        <w:t xml:space="preserve"> a </w:t>
      </w:r>
      <w:r w:rsidR="008C25F4" w:rsidRPr="002F50BD">
        <w:rPr>
          <w:rFonts w:ascii="Verdana" w:hAnsi="Verdana"/>
          <w:sz w:val="20"/>
          <w:lang w:val="pt-BR"/>
        </w:rPr>
        <w:t xml:space="preserve">estrada </w:t>
      </w:r>
      <w:r w:rsidRPr="002F50BD">
        <w:rPr>
          <w:rFonts w:ascii="Verdana" w:hAnsi="Verdana"/>
          <w:sz w:val="20"/>
          <w:lang w:val="pt-BR"/>
        </w:rPr>
        <w:t xml:space="preserve">e </w:t>
      </w:r>
      <w:r w:rsidR="008C25F4" w:rsidRPr="002F50BD">
        <w:rPr>
          <w:rFonts w:ascii="Verdana" w:hAnsi="Verdana"/>
          <w:sz w:val="20"/>
          <w:lang w:val="pt-BR"/>
        </w:rPr>
        <w:t>o</w:t>
      </w:r>
      <w:r w:rsidRPr="002F50BD">
        <w:rPr>
          <w:rFonts w:ascii="Verdana" w:hAnsi="Verdana"/>
          <w:sz w:val="20"/>
          <w:lang w:val="pt-BR"/>
        </w:rPr>
        <w:t xml:space="preserve"> </w:t>
      </w:r>
      <w:r w:rsidR="004756C1" w:rsidRPr="002F50BD">
        <w:rPr>
          <w:rFonts w:ascii="Verdana" w:hAnsi="Verdana"/>
          <w:sz w:val="20"/>
          <w:lang w:val="pt-BR"/>
        </w:rPr>
        <w:t>alambrad</w:t>
      </w:r>
      <w:r w:rsidR="008C25F4" w:rsidRPr="002F50BD">
        <w:rPr>
          <w:rFonts w:ascii="Verdana" w:hAnsi="Verdana"/>
          <w:sz w:val="20"/>
          <w:lang w:val="pt-BR"/>
        </w:rPr>
        <w:t>o</w:t>
      </w:r>
      <w:r w:rsidRPr="002F50BD">
        <w:rPr>
          <w:rFonts w:ascii="Verdana" w:hAnsi="Verdana"/>
          <w:sz w:val="20"/>
          <w:lang w:val="pt-BR"/>
        </w:rPr>
        <w:t xml:space="preserve"> da </w:t>
      </w:r>
      <w:r w:rsidR="008C25F4" w:rsidRPr="002F50BD">
        <w:rPr>
          <w:rFonts w:ascii="Verdana" w:hAnsi="Verdana"/>
          <w:sz w:val="20"/>
          <w:lang w:val="pt-BR"/>
        </w:rPr>
        <w:t>Fazenda</w:t>
      </w:r>
      <w:r w:rsidR="004756C1" w:rsidRPr="002F50BD">
        <w:rPr>
          <w:rFonts w:ascii="Verdana" w:hAnsi="Verdana"/>
          <w:sz w:val="20"/>
          <w:lang w:val="pt-BR"/>
        </w:rPr>
        <w:t xml:space="preserve">, </w:t>
      </w:r>
      <w:r w:rsidR="00AB454A" w:rsidRPr="002F50BD">
        <w:rPr>
          <w:rFonts w:ascii="Verdana" w:hAnsi="Verdana"/>
          <w:sz w:val="20"/>
          <w:lang w:val="pt-BR"/>
        </w:rPr>
        <w:t>não é</w:t>
      </w:r>
      <w:r w:rsidRPr="002F50BD">
        <w:rPr>
          <w:rFonts w:ascii="Verdana" w:hAnsi="Verdana"/>
          <w:sz w:val="20"/>
          <w:lang w:val="pt-BR"/>
        </w:rPr>
        <w:t xml:space="preserve"> possível </w:t>
      </w:r>
      <w:r w:rsidR="004756C1" w:rsidRPr="002F50BD">
        <w:rPr>
          <w:rFonts w:ascii="Verdana" w:hAnsi="Verdana"/>
          <w:sz w:val="20"/>
          <w:lang w:val="pt-BR"/>
        </w:rPr>
        <w:t>construir infra</w:t>
      </w:r>
      <w:r w:rsidRPr="002F50BD">
        <w:rPr>
          <w:rFonts w:ascii="Verdana" w:hAnsi="Verdana"/>
          <w:sz w:val="20"/>
          <w:lang w:val="pt-BR"/>
        </w:rPr>
        <w:t>estrutura</w:t>
      </w:r>
      <w:r w:rsidR="004756C1" w:rsidRPr="002F50BD">
        <w:rPr>
          <w:rFonts w:ascii="Verdana" w:hAnsi="Verdana"/>
          <w:sz w:val="20"/>
          <w:lang w:val="pt-BR"/>
        </w:rPr>
        <w:t xml:space="preserve"> </w:t>
      </w:r>
      <w:r w:rsidR="00A50140" w:rsidRPr="002F50BD">
        <w:rPr>
          <w:rFonts w:ascii="Verdana" w:hAnsi="Verdana"/>
          <w:sz w:val="20"/>
          <w:lang w:val="pt-BR"/>
        </w:rPr>
        <w:t>sanitária</w:t>
      </w:r>
      <w:r w:rsidR="004756C1" w:rsidRPr="002F50BD">
        <w:rPr>
          <w:rFonts w:ascii="Verdana" w:hAnsi="Verdana"/>
          <w:sz w:val="20"/>
          <w:lang w:val="pt-BR"/>
        </w:rPr>
        <w:t xml:space="preserve"> básica</w:t>
      </w:r>
      <w:r w:rsidRPr="002F50BD">
        <w:rPr>
          <w:rFonts w:ascii="Verdana" w:hAnsi="Verdana"/>
          <w:sz w:val="20"/>
          <w:lang w:val="pt-BR"/>
        </w:rPr>
        <w:t xml:space="preserve"> e as </w:t>
      </w:r>
      <w:r w:rsidR="004076AD" w:rsidRPr="002F50BD">
        <w:rPr>
          <w:rFonts w:ascii="Verdana" w:hAnsi="Verdana"/>
          <w:sz w:val="20"/>
          <w:lang w:val="pt-BR"/>
        </w:rPr>
        <w:t>possibilidade</w:t>
      </w:r>
      <w:r w:rsidR="004756C1" w:rsidRPr="002F50BD">
        <w:rPr>
          <w:rFonts w:ascii="Verdana" w:hAnsi="Verdana"/>
          <w:sz w:val="20"/>
          <w:lang w:val="pt-BR"/>
        </w:rPr>
        <w:t>s de presta</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serviço</w:t>
      </w:r>
      <w:r w:rsidR="004756C1" w:rsidRPr="002F50BD">
        <w:rPr>
          <w:rFonts w:ascii="Verdana" w:hAnsi="Verdana"/>
          <w:sz w:val="20"/>
          <w:lang w:val="pt-BR"/>
        </w:rPr>
        <w:t xml:space="preserve">s </w:t>
      </w:r>
      <w:r w:rsidRPr="002F50BD">
        <w:rPr>
          <w:rFonts w:ascii="Verdana" w:hAnsi="Verdana"/>
          <w:sz w:val="20"/>
          <w:lang w:val="pt-BR"/>
        </w:rPr>
        <w:t>sociais</w:t>
      </w:r>
      <w:r w:rsidR="004756C1" w:rsidRPr="002F50BD">
        <w:rPr>
          <w:rFonts w:ascii="Verdana" w:hAnsi="Verdana"/>
          <w:sz w:val="20"/>
          <w:lang w:val="pt-BR"/>
        </w:rPr>
        <w:t xml:space="preserve"> básicos est</w:t>
      </w:r>
      <w:r w:rsidR="009F11EB" w:rsidRPr="002F50BD">
        <w:rPr>
          <w:rFonts w:ascii="Verdana" w:hAnsi="Verdana"/>
          <w:sz w:val="20"/>
          <w:lang w:val="pt-BR"/>
        </w:rPr>
        <w:t>ão</w:t>
      </w:r>
      <w:r w:rsidR="004756C1" w:rsidRPr="002F50BD">
        <w:rPr>
          <w:rFonts w:ascii="Verdana" w:hAnsi="Verdana"/>
          <w:sz w:val="20"/>
          <w:lang w:val="pt-BR"/>
        </w:rPr>
        <w:t xml:space="preserve"> </w:t>
      </w:r>
      <w:r w:rsidRPr="002F50BD">
        <w:rPr>
          <w:rFonts w:ascii="Verdana" w:hAnsi="Verdana"/>
          <w:sz w:val="20"/>
          <w:lang w:val="pt-BR"/>
        </w:rPr>
        <w:t>muito</w:t>
      </w:r>
      <w:r w:rsidR="004756C1" w:rsidRPr="002F50BD">
        <w:rPr>
          <w:rFonts w:ascii="Verdana" w:hAnsi="Verdana"/>
          <w:sz w:val="20"/>
          <w:lang w:val="pt-BR"/>
        </w:rPr>
        <w:t xml:space="preserve"> </w:t>
      </w:r>
      <w:r w:rsidR="004756C1" w:rsidRPr="002F50BD">
        <w:rPr>
          <w:rFonts w:ascii="Verdana" w:hAnsi="Verdana"/>
          <w:sz w:val="20"/>
          <w:lang w:val="pt-BR"/>
        </w:rPr>
        <w:lastRenderedPageBreak/>
        <w:t>restringida</w:t>
      </w:r>
      <w:r w:rsidR="009F11EB" w:rsidRPr="002F50BD">
        <w:rPr>
          <w:rFonts w:ascii="Verdana" w:hAnsi="Verdana"/>
          <w:sz w:val="20"/>
          <w:lang w:val="pt-BR"/>
        </w:rPr>
        <w:t>s</w:t>
      </w:r>
      <w:r w:rsidRPr="002F50BD">
        <w:rPr>
          <w:rFonts w:ascii="Verdana" w:hAnsi="Verdana"/>
          <w:sz w:val="20"/>
          <w:lang w:val="pt-BR"/>
        </w:rPr>
        <w:t xml:space="preserve"> pelas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físicas </w:t>
      </w:r>
      <w:r w:rsidRPr="002F50BD">
        <w:rPr>
          <w:rFonts w:ascii="Verdana" w:hAnsi="Verdana"/>
          <w:sz w:val="20"/>
          <w:lang w:val="pt-BR"/>
        </w:rPr>
        <w:t xml:space="preserve">do </w:t>
      </w:r>
      <w:r w:rsidR="00AB454A" w:rsidRPr="002F50BD">
        <w:rPr>
          <w:rFonts w:ascii="Verdana" w:hAnsi="Verdana"/>
          <w:sz w:val="20"/>
          <w:lang w:val="pt-BR"/>
        </w:rPr>
        <w:t>assentamento</w:t>
      </w:r>
      <w:r w:rsidRPr="002F50BD">
        <w:rPr>
          <w:rFonts w:ascii="Verdana" w:hAnsi="Verdana"/>
          <w:sz w:val="20"/>
          <w:lang w:val="pt-BR"/>
        </w:rPr>
        <w:t xml:space="preserve"> com </w:t>
      </w:r>
      <w:r w:rsidR="004756C1" w:rsidRPr="002F50BD">
        <w:rPr>
          <w:rFonts w:ascii="Verdana" w:hAnsi="Verdana"/>
          <w:sz w:val="20"/>
          <w:lang w:val="pt-BR"/>
        </w:rPr>
        <w:t>severas limita</w:t>
      </w:r>
      <w:r w:rsidRPr="002F50BD">
        <w:rPr>
          <w:rFonts w:ascii="Verdana" w:hAnsi="Verdana"/>
          <w:sz w:val="20"/>
          <w:lang w:val="pt-BR"/>
        </w:rPr>
        <w:t>ções</w:t>
      </w:r>
      <w:r w:rsidR="008C25F4" w:rsidRPr="002F50BD">
        <w:rPr>
          <w:rFonts w:ascii="Verdana" w:hAnsi="Verdana"/>
          <w:sz w:val="20"/>
          <w:lang w:val="pt-BR"/>
        </w:rPr>
        <w:t>.</w:t>
      </w:r>
      <w:r w:rsidR="004756C1" w:rsidRPr="002F50BD">
        <w:rPr>
          <w:rStyle w:val="FootnoteReference"/>
          <w:rFonts w:ascii="Verdana" w:hAnsi="Verdana"/>
        </w:rPr>
        <w:footnoteReference w:id="235"/>
      </w:r>
      <w:r w:rsidRPr="002F50BD">
        <w:rPr>
          <w:rFonts w:ascii="Verdana" w:hAnsi="Verdana"/>
          <w:sz w:val="20"/>
          <w:lang w:val="pt-BR"/>
        </w:rPr>
        <w:t xml:space="preserve"> </w:t>
      </w:r>
      <w:r w:rsidR="008C25F4" w:rsidRPr="002F50BD">
        <w:rPr>
          <w:rFonts w:ascii="Verdana" w:hAnsi="Verdana"/>
          <w:sz w:val="20"/>
          <w:lang w:val="pt-BR"/>
        </w:rPr>
        <w:t>N</w:t>
      </w:r>
      <w:r w:rsidRPr="002F50BD">
        <w:rPr>
          <w:rFonts w:ascii="Verdana" w:hAnsi="Verdana"/>
          <w:sz w:val="20"/>
          <w:lang w:val="pt-BR"/>
        </w:rPr>
        <w:t>o espaço em questão</w:t>
      </w:r>
      <w:r w:rsidR="009F11EB" w:rsidRPr="002F50BD">
        <w:rPr>
          <w:rFonts w:ascii="Verdana" w:hAnsi="Verdana"/>
          <w:sz w:val="20"/>
          <w:lang w:val="pt-BR"/>
        </w:rPr>
        <w:t>,</w:t>
      </w:r>
      <w:r w:rsidR="004756C1" w:rsidRPr="002F50BD">
        <w:rPr>
          <w:rFonts w:ascii="Verdana" w:hAnsi="Verdana"/>
          <w:sz w:val="20"/>
          <w:lang w:val="pt-BR"/>
        </w:rPr>
        <w:t xml:space="preserve"> </w:t>
      </w:r>
      <w:r w:rsidR="00AB454A" w:rsidRPr="002F50BD">
        <w:rPr>
          <w:rFonts w:ascii="Verdana" w:hAnsi="Verdana"/>
          <w:sz w:val="20"/>
          <w:lang w:val="pt-BR"/>
        </w:rPr>
        <w:t xml:space="preserve">não </w:t>
      </w:r>
      <w:r w:rsidR="008C25F4" w:rsidRPr="002F50BD">
        <w:rPr>
          <w:rFonts w:ascii="Verdana" w:hAnsi="Verdana"/>
          <w:sz w:val="20"/>
          <w:lang w:val="pt-BR"/>
        </w:rPr>
        <w:t xml:space="preserve">se </w:t>
      </w:r>
      <w:r w:rsidR="00AB454A" w:rsidRPr="002F50BD">
        <w:rPr>
          <w:rFonts w:ascii="Verdana" w:hAnsi="Verdana"/>
          <w:sz w:val="20"/>
          <w:lang w:val="pt-BR"/>
        </w:rPr>
        <w:t>pode</w:t>
      </w:r>
      <w:r w:rsidR="004756C1" w:rsidRPr="002F50BD">
        <w:rPr>
          <w:rFonts w:ascii="Verdana" w:hAnsi="Verdana"/>
          <w:sz w:val="20"/>
          <w:lang w:val="pt-BR"/>
        </w:rPr>
        <w:t xml:space="preserve"> </w:t>
      </w:r>
      <w:r w:rsidRPr="002F50BD">
        <w:rPr>
          <w:rFonts w:ascii="Verdana" w:hAnsi="Verdana"/>
          <w:sz w:val="20"/>
          <w:lang w:val="pt-BR"/>
        </w:rPr>
        <w:t>desenvolver</w:t>
      </w:r>
      <w:r w:rsidR="004756C1" w:rsidRPr="002F50BD">
        <w:rPr>
          <w:rFonts w:ascii="Verdana" w:hAnsi="Verdana"/>
          <w:sz w:val="20"/>
          <w:lang w:val="pt-BR"/>
        </w:rPr>
        <w:t xml:space="preserve"> </w:t>
      </w:r>
      <w:r w:rsidRPr="002F50BD">
        <w:rPr>
          <w:rFonts w:ascii="Verdana" w:hAnsi="Verdana"/>
          <w:sz w:val="20"/>
          <w:lang w:val="pt-BR"/>
        </w:rPr>
        <w:t xml:space="preserve">atividade </w:t>
      </w:r>
      <w:r w:rsidR="001A249E" w:rsidRPr="002F50BD">
        <w:rPr>
          <w:rFonts w:ascii="Verdana" w:hAnsi="Verdana"/>
          <w:sz w:val="20"/>
          <w:lang w:val="pt-BR"/>
        </w:rPr>
        <w:t>produt</w:t>
      </w:r>
      <w:r w:rsidR="009F11EB" w:rsidRPr="002F50BD">
        <w:rPr>
          <w:rFonts w:ascii="Verdana" w:hAnsi="Verdana"/>
          <w:sz w:val="20"/>
          <w:lang w:val="pt-BR"/>
        </w:rPr>
        <w:t>i</w:t>
      </w:r>
      <w:r w:rsidR="001A249E" w:rsidRPr="002F50BD">
        <w:rPr>
          <w:rFonts w:ascii="Verdana" w:hAnsi="Verdana"/>
          <w:sz w:val="20"/>
          <w:lang w:val="pt-BR"/>
        </w:rPr>
        <w:t>v</w:t>
      </w:r>
      <w:r w:rsidR="004756C1" w:rsidRPr="002F50BD">
        <w:rPr>
          <w:rFonts w:ascii="Verdana" w:hAnsi="Verdana"/>
          <w:sz w:val="20"/>
          <w:lang w:val="pt-BR"/>
        </w:rPr>
        <w:t xml:space="preserve">a </w:t>
      </w:r>
      <w:r w:rsidRPr="002F50BD">
        <w:rPr>
          <w:rFonts w:ascii="Verdana" w:hAnsi="Verdana"/>
          <w:sz w:val="20"/>
          <w:lang w:val="pt-BR"/>
        </w:rPr>
        <w:t>alguma e</w:t>
      </w:r>
      <w:r w:rsidR="009F11EB" w:rsidRPr="002F50BD">
        <w:rPr>
          <w:rFonts w:ascii="Verdana" w:hAnsi="Verdana"/>
          <w:sz w:val="20"/>
          <w:lang w:val="pt-BR"/>
        </w:rPr>
        <w:t>,</w:t>
      </w:r>
      <w:r w:rsidRPr="002F50BD">
        <w:rPr>
          <w:rFonts w:ascii="Verdana" w:hAnsi="Verdana"/>
          <w:sz w:val="20"/>
          <w:lang w:val="pt-BR"/>
        </w:rPr>
        <w:t xml:space="preserve"> em geral</w:t>
      </w:r>
      <w:r w:rsidR="009F11EB" w:rsidRPr="002F50BD">
        <w:rPr>
          <w:rFonts w:ascii="Verdana" w:hAnsi="Verdana"/>
          <w:sz w:val="20"/>
          <w:lang w:val="pt-BR"/>
        </w:rPr>
        <w:t>,</w:t>
      </w:r>
      <w:r w:rsidRPr="002F50BD">
        <w:rPr>
          <w:rFonts w:ascii="Verdana" w:hAnsi="Verdana"/>
          <w:sz w:val="20"/>
          <w:lang w:val="pt-BR"/>
        </w:rPr>
        <w:t xml:space="preserve"> o mesm</w:t>
      </w:r>
      <w:r w:rsidR="004756C1" w:rsidRPr="002F50BD">
        <w:rPr>
          <w:rFonts w:ascii="Verdana" w:hAnsi="Verdana"/>
          <w:sz w:val="20"/>
          <w:lang w:val="pt-BR"/>
        </w:rPr>
        <w:t>o n</w:t>
      </w:r>
      <w:r w:rsidR="008C25F4" w:rsidRPr="002F50BD">
        <w:rPr>
          <w:rFonts w:ascii="Verdana" w:hAnsi="Verdana"/>
          <w:sz w:val="20"/>
          <w:lang w:val="pt-BR"/>
        </w:rPr>
        <w:t>ã</w:t>
      </w:r>
      <w:r w:rsidR="004756C1" w:rsidRPr="002F50BD">
        <w:rPr>
          <w:rFonts w:ascii="Verdana" w:hAnsi="Verdana"/>
          <w:sz w:val="20"/>
          <w:lang w:val="pt-BR"/>
        </w:rPr>
        <w:t>o permite condi</w:t>
      </w:r>
      <w:r w:rsidRPr="002F50BD">
        <w:rPr>
          <w:rFonts w:ascii="Verdana" w:hAnsi="Verdana"/>
          <w:sz w:val="20"/>
          <w:lang w:val="pt-BR"/>
        </w:rPr>
        <w:t>ções</w:t>
      </w:r>
      <w:r w:rsidR="004756C1" w:rsidRPr="002F50BD">
        <w:rPr>
          <w:rFonts w:ascii="Verdana" w:hAnsi="Verdana"/>
          <w:sz w:val="20"/>
          <w:lang w:val="pt-BR"/>
        </w:rPr>
        <w:t xml:space="preserve"> de vida </w:t>
      </w:r>
      <w:r w:rsidR="00243D2E" w:rsidRPr="002F50BD">
        <w:rPr>
          <w:rFonts w:ascii="Verdana" w:hAnsi="Verdana"/>
          <w:sz w:val="20"/>
          <w:lang w:val="pt-BR"/>
        </w:rPr>
        <w:t>aceitávei</w:t>
      </w:r>
      <w:r w:rsidR="004756C1" w:rsidRPr="002F50BD">
        <w:rPr>
          <w:rFonts w:ascii="Verdana" w:hAnsi="Verdana"/>
          <w:sz w:val="20"/>
          <w:lang w:val="pt-BR"/>
        </w:rPr>
        <w:t>s.</w:t>
      </w:r>
    </w:p>
    <w:p w:rsidR="00DE5248" w:rsidRPr="002F50BD" w:rsidRDefault="00DE5248" w:rsidP="00DE5248">
      <w:pPr>
        <w:ind w:left="360"/>
        <w:jc w:val="both"/>
        <w:rPr>
          <w:rFonts w:ascii="Verdana" w:hAnsi="Verdana"/>
          <w:sz w:val="20"/>
          <w:lang w:val="pt-BR"/>
        </w:rPr>
      </w:pPr>
    </w:p>
    <w:p w:rsidR="004756C1" w:rsidRPr="002F50BD" w:rsidRDefault="00BE346D">
      <w:pPr>
        <w:numPr>
          <w:ilvl w:val="0"/>
          <w:numId w:val="38"/>
        </w:numPr>
        <w:tabs>
          <w:tab w:val="clear" w:pos="720"/>
          <w:tab w:val="num" w:pos="0"/>
        </w:tabs>
        <w:ind w:left="0" w:firstLine="0"/>
        <w:jc w:val="both"/>
        <w:rPr>
          <w:rFonts w:ascii="Verdana" w:hAnsi="Verdana"/>
          <w:sz w:val="20"/>
          <w:lang w:val="pt-BR"/>
        </w:rPr>
      </w:pPr>
      <w:r w:rsidRPr="002F50BD">
        <w:rPr>
          <w:rFonts w:ascii="Verdana" w:hAnsi="Verdana"/>
          <w:sz w:val="20"/>
          <w:lang w:val="pt-BR"/>
        </w:rPr>
        <w:t xml:space="preserve">Em </w:t>
      </w:r>
      <w:r w:rsidR="00063B47" w:rsidRPr="002F50BD">
        <w:rPr>
          <w:rFonts w:ascii="Verdana" w:hAnsi="Verdana"/>
          <w:sz w:val="20"/>
          <w:lang w:val="pt-BR"/>
        </w:rPr>
        <w:t>10</w:t>
      </w:r>
      <w:r w:rsidR="004756C1" w:rsidRPr="002F50BD">
        <w:rPr>
          <w:rFonts w:ascii="Verdana" w:hAnsi="Verdana"/>
          <w:sz w:val="20"/>
          <w:lang w:val="pt-BR"/>
        </w:rPr>
        <w:t xml:space="preserve"> de </w:t>
      </w:r>
      <w:r w:rsidR="0089298C" w:rsidRPr="002F50BD">
        <w:rPr>
          <w:rFonts w:ascii="Verdana" w:hAnsi="Verdana"/>
          <w:sz w:val="20"/>
          <w:lang w:val="pt-BR"/>
        </w:rPr>
        <w:t>dezembro</w:t>
      </w:r>
      <w:r w:rsidR="004756C1" w:rsidRPr="002F50BD">
        <w:rPr>
          <w:rFonts w:ascii="Verdana" w:hAnsi="Verdana"/>
          <w:sz w:val="20"/>
          <w:lang w:val="pt-BR"/>
        </w:rPr>
        <w:t xml:space="preserve"> de </w:t>
      </w:r>
      <w:r w:rsidR="00063B47" w:rsidRPr="002F50BD">
        <w:rPr>
          <w:rFonts w:ascii="Verdana" w:hAnsi="Verdana"/>
          <w:sz w:val="20"/>
          <w:lang w:val="pt-BR"/>
        </w:rPr>
        <w:t>2001</w:t>
      </w:r>
      <w:r w:rsidR="009F11EB"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o re</w:t>
      </w:r>
      <w:r w:rsidR="0089298C" w:rsidRPr="002F50BD">
        <w:rPr>
          <w:rFonts w:ascii="Verdana" w:hAnsi="Verdana"/>
          <w:sz w:val="20"/>
          <w:lang w:val="pt-BR"/>
        </w:rPr>
        <w:t>conheceu</w:t>
      </w:r>
      <w:r w:rsidR="004756C1" w:rsidRPr="002F50BD">
        <w:rPr>
          <w:rFonts w:ascii="Verdana" w:hAnsi="Verdana"/>
          <w:sz w:val="20"/>
          <w:lang w:val="pt-BR"/>
        </w:rPr>
        <w:t>, conforme</w:t>
      </w:r>
      <w:r w:rsidR="0089298C" w:rsidRPr="002F50BD">
        <w:rPr>
          <w:rFonts w:ascii="Verdana" w:hAnsi="Verdana"/>
          <w:sz w:val="20"/>
          <w:lang w:val="pt-BR"/>
        </w:rPr>
        <w:t xml:space="preserve"> </w:t>
      </w:r>
      <w:r w:rsidR="008C25F4"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disposi</w:t>
      </w:r>
      <w:r w:rsidR="0089298C" w:rsidRPr="002F50BD">
        <w:rPr>
          <w:rFonts w:ascii="Verdana" w:hAnsi="Verdana"/>
          <w:sz w:val="20"/>
          <w:lang w:val="pt-BR"/>
        </w:rPr>
        <w:t>ções</w:t>
      </w:r>
      <w:r w:rsidR="008C25F4" w:rsidRPr="002F50BD">
        <w:rPr>
          <w:rFonts w:ascii="Verdana" w:hAnsi="Verdana"/>
          <w:sz w:val="20"/>
          <w:lang w:val="pt-BR"/>
        </w:rPr>
        <w:t xml:space="preserve"> da</w:t>
      </w:r>
      <w:r w:rsidR="004756C1" w:rsidRPr="002F50BD">
        <w:rPr>
          <w:rFonts w:ascii="Verdana" w:hAnsi="Verdana"/>
          <w:sz w:val="20"/>
          <w:lang w:val="pt-BR"/>
        </w:rPr>
        <w:t xml:space="preserve"> </w:t>
      </w:r>
      <w:r w:rsidR="0089298C" w:rsidRPr="002F50BD">
        <w:rPr>
          <w:rFonts w:ascii="Verdana" w:hAnsi="Verdana"/>
          <w:sz w:val="20"/>
          <w:lang w:val="pt-BR"/>
        </w:rPr>
        <w:t xml:space="preserve">Lei </w:t>
      </w:r>
      <w:r w:rsidR="00063B47" w:rsidRPr="002F50BD">
        <w:rPr>
          <w:rFonts w:ascii="Verdana" w:hAnsi="Verdana"/>
          <w:sz w:val="20"/>
          <w:lang w:val="pt-BR"/>
        </w:rPr>
        <w:t>904</w:t>
      </w:r>
      <w:r w:rsidR="004756C1" w:rsidRPr="002F50BD">
        <w:rPr>
          <w:rFonts w:ascii="Verdana" w:hAnsi="Verdana"/>
          <w:sz w:val="20"/>
          <w:lang w:val="pt-BR"/>
        </w:rPr>
        <w:t>/</w:t>
      </w:r>
      <w:r w:rsidR="00063B47" w:rsidRPr="002F50BD">
        <w:rPr>
          <w:rFonts w:ascii="Verdana" w:hAnsi="Verdana"/>
          <w:sz w:val="20"/>
          <w:lang w:val="pt-BR"/>
        </w:rPr>
        <w:t>81</w:t>
      </w:r>
      <w:r w:rsidR="004756C1" w:rsidRPr="002F50BD">
        <w:rPr>
          <w:rFonts w:ascii="Verdana" w:hAnsi="Verdana"/>
          <w:sz w:val="20"/>
          <w:lang w:val="pt-BR"/>
        </w:rPr>
        <w:t xml:space="preserve">, </w:t>
      </w:r>
      <w:r w:rsidR="0089298C" w:rsidRPr="002F50BD">
        <w:rPr>
          <w:rFonts w:ascii="Verdana" w:hAnsi="Verdana"/>
          <w:sz w:val="20"/>
          <w:lang w:val="pt-BR"/>
        </w:rPr>
        <w:t xml:space="preserve">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à </w:t>
      </w:r>
      <w:r w:rsidR="004756C1" w:rsidRPr="002F50BD">
        <w:rPr>
          <w:rFonts w:ascii="Verdana" w:hAnsi="Verdana"/>
          <w:sz w:val="20"/>
          <w:lang w:val="pt-BR"/>
        </w:rPr>
        <w:t>“</w:t>
      </w:r>
      <w:r w:rsidR="0089298C" w:rsidRPr="002F50BD">
        <w:rPr>
          <w:rFonts w:ascii="Verdana" w:hAnsi="Verdana"/>
          <w:sz w:val="20"/>
          <w:lang w:val="pt-BR"/>
        </w:rPr>
        <w:t xml:space="preserve">Comunidade </w:t>
      </w:r>
      <w:r w:rsidR="004756C1" w:rsidRPr="002F50BD">
        <w:rPr>
          <w:rFonts w:ascii="Verdana" w:hAnsi="Verdana"/>
          <w:sz w:val="20"/>
          <w:lang w:val="pt-BR"/>
        </w:rPr>
        <w:t xml:space="preserve">Yakye Axa, </w:t>
      </w:r>
      <w:r w:rsidR="00E7595C" w:rsidRPr="002F50BD">
        <w:rPr>
          <w:rFonts w:ascii="Verdana" w:hAnsi="Verdana"/>
          <w:sz w:val="20"/>
          <w:lang w:val="pt-BR"/>
        </w:rPr>
        <w:t>assentad</w:t>
      </w:r>
      <w:r w:rsidR="004756C1" w:rsidRPr="002F50BD">
        <w:rPr>
          <w:rFonts w:ascii="Verdana" w:hAnsi="Verdana"/>
          <w:sz w:val="20"/>
          <w:lang w:val="pt-BR"/>
        </w:rPr>
        <w:t>a</w:t>
      </w:r>
      <w:r w:rsidR="0089298C" w:rsidRPr="002F50BD">
        <w:rPr>
          <w:rFonts w:ascii="Verdana" w:hAnsi="Verdana"/>
          <w:sz w:val="20"/>
          <w:lang w:val="pt-BR"/>
        </w:rPr>
        <w:t xml:space="preserve"> no </w:t>
      </w:r>
      <w:r w:rsidR="004756C1" w:rsidRPr="002F50BD">
        <w:rPr>
          <w:rFonts w:ascii="Verdana" w:hAnsi="Verdana"/>
          <w:sz w:val="20"/>
          <w:lang w:val="pt-BR"/>
        </w:rPr>
        <w:t>Distrito de Pozo Colorado, Departamento de Presidente Hayes”</w:t>
      </w:r>
      <w:r w:rsidR="008C25F4" w:rsidRPr="002F50BD">
        <w:rPr>
          <w:rFonts w:ascii="Verdana" w:hAnsi="Verdana"/>
          <w:sz w:val="20"/>
          <w:lang w:val="pt-BR"/>
        </w:rPr>
        <w:t>,</w:t>
      </w:r>
      <w:r w:rsidR="004756C1" w:rsidRPr="002F50BD">
        <w:rPr>
          <w:rStyle w:val="FootnoteReference"/>
          <w:rFonts w:ascii="Verdana" w:hAnsi="Verdana"/>
        </w:rPr>
        <w:footnoteReference w:id="236"/>
      </w:r>
      <w:r w:rsidR="004756C1" w:rsidRPr="002F50BD">
        <w:rPr>
          <w:rFonts w:ascii="Verdana" w:hAnsi="Verdana"/>
          <w:sz w:val="20"/>
          <w:lang w:val="pt-BR"/>
        </w:rPr>
        <w:t xml:space="preserve"> </w:t>
      </w:r>
      <w:r w:rsidR="008C25F4" w:rsidRPr="002F50BD">
        <w:rPr>
          <w:rFonts w:ascii="Verdana" w:hAnsi="Verdana"/>
          <w:sz w:val="20"/>
          <w:lang w:val="pt-BR"/>
        </w:rPr>
        <w:t xml:space="preserve">ficando </w:t>
      </w:r>
      <w:r w:rsidR="0089298C" w:rsidRPr="002F50BD">
        <w:rPr>
          <w:rFonts w:ascii="Verdana" w:hAnsi="Verdana"/>
          <w:sz w:val="20"/>
          <w:lang w:val="pt-BR"/>
        </w:rPr>
        <w:t>a mesm</w:t>
      </w:r>
      <w:r w:rsidR="004756C1" w:rsidRPr="002F50BD">
        <w:rPr>
          <w:rFonts w:ascii="Verdana" w:hAnsi="Verdana"/>
          <w:sz w:val="20"/>
          <w:lang w:val="pt-BR"/>
        </w:rPr>
        <w:t xml:space="preserve">a habilitada a </w:t>
      </w:r>
      <w:r w:rsidR="008C25F4" w:rsidRPr="002F50BD">
        <w:rPr>
          <w:rFonts w:ascii="Verdana" w:hAnsi="Verdana"/>
          <w:sz w:val="20"/>
          <w:lang w:val="pt-BR"/>
        </w:rPr>
        <w:t xml:space="preserve">gerir </w:t>
      </w:r>
      <w:r w:rsidR="0089298C" w:rsidRPr="002F50BD">
        <w:rPr>
          <w:rFonts w:ascii="Verdana" w:hAnsi="Verdana"/>
          <w:sz w:val="20"/>
          <w:lang w:val="pt-BR"/>
        </w:rPr>
        <w:t>terra</w:t>
      </w:r>
      <w:r w:rsidR="004756C1" w:rsidRPr="002F50BD">
        <w:rPr>
          <w:rFonts w:ascii="Verdana" w:hAnsi="Verdana"/>
          <w:sz w:val="20"/>
          <w:lang w:val="pt-BR"/>
        </w:rPr>
        <w:t xml:space="preserve">s </w:t>
      </w:r>
      <w:r w:rsidR="008C25F4" w:rsidRPr="002F50BD">
        <w:rPr>
          <w:rFonts w:ascii="Verdana" w:hAnsi="Verdana"/>
          <w:sz w:val="20"/>
          <w:lang w:val="pt-BR"/>
        </w:rPr>
        <w:t xml:space="preserve">públicas ou de </w:t>
      </w:r>
      <w:r w:rsidR="00D95E71" w:rsidRPr="002F50BD">
        <w:rPr>
          <w:rFonts w:ascii="Verdana" w:hAnsi="Verdana"/>
          <w:sz w:val="20"/>
          <w:lang w:val="pt-BR"/>
        </w:rPr>
        <w:t xml:space="preserve">domínio </w:t>
      </w:r>
      <w:r w:rsidR="004756C1" w:rsidRPr="002F50BD">
        <w:rPr>
          <w:rFonts w:ascii="Verdana" w:hAnsi="Verdana"/>
          <w:sz w:val="20"/>
          <w:lang w:val="pt-BR"/>
        </w:rPr>
        <w:t>privado.</w:t>
      </w:r>
    </w:p>
    <w:p w:rsidR="004756C1" w:rsidRPr="002F50BD" w:rsidRDefault="004756C1">
      <w:pPr>
        <w:jc w:val="both"/>
        <w:rPr>
          <w:rFonts w:ascii="Verdana" w:hAnsi="Verdana"/>
          <w:sz w:val="20"/>
          <w:lang w:val="pt-BR"/>
        </w:rPr>
      </w:pPr>
    </w:p>
    <w:p w:rsidR="004756C1" w:rsidRPr="002F50BD" w:rsidRDefault="008C25F4">
      <w:pPr>
        <w:numPr>
          <w:ilvl w:val="0"/>
          <w:numId w:val="38"/>
        </w:numPr>
        <w:tabs>
          <w:tab w:val="clear" w:pos="720"/>
          <w:tab w:val="num" w:pos="0"/>
        </w:tabs>
        <w:ind w:left="0" w:firstLine="0"/>
        <w:jc w:val="both"/>
        <w:rPr>
          <w:rFonts w:ascii="Verdana" w:hAnsi="Verdana"/>
          <w:sz w:val="20"/>
          <w:lang w:val="pt-BR"/>
        </w:rPr>
      </w:pPr>
      <w:r w:rsidRPr="002F50BD">
        <w:rPr>
          <w:rFonts w:ascii="Verdana" w:hAnsi="Verdana"/>
          <w:sz w:val="20"/>
          <w:lang w:val="pt-BR"/>
        </w:rPr>
        <w:t xml:space="preserve">En </w:t>
      </w:r>
      <w:r w:rsidR="00063B47" w:rsidRPr="002F50BD">
        <w:rPr>
          <w:rFonts w:ascii="Verdana" w:hAnsi="Verdana"/>
          <w:sz w:val="20"/>
          <w:lang w:val="pt-BR"/>
        </w:rPr>
        <w:t>1993</w:t>
      </w:r>
      <w:r w:rsidR="001D237D" w:rsidRPr="002F50BD">
        <w:rPr>
          <w:rFonts w:ascii="Verdana" w:hAnsi="Verdana"/>
          <w:sz w:val="20"/>
          <w:lang w:val="pt-BR"/>
        </w:rPr>
        <w:t>,</w:t>
      </w:r>
      <w:r w:rsidRPr="002F50BD">
        <w:rPr>
          <w:rFonts w:ascii="Verdana" w:hAnsi="Verdana"/>
          <w:sz w:val="20"/>
          <w:lang w:val="pt-BR"/>
        </w:rPr>
        <w:t xml:space="preserve"> dá</w:t>
      </w:r>
      <w:r w:rsidR="001D237D" w:rsidRPr="002F50BD">
        <w:rPr>
          <w:rFonts w:ascii="Verdana" w:hAnsi="Verdana"/>
          <w:sz w:val="20"/>
          <w:lang w:val="pt-BR"/>
        </w:rPr>
        <w:t>-se</w:t>
      </w:r>
      <w:r w:rsidR="004756C1" w:rsidRPr="002F50BD">
        <w:rPr>
          <w:rFonts w:ascii="Verdana" w:hAnsi="Verdana"/>
          <w:sz w:val="20"/>
          <w:lang w:val="pt-BR"/>
        </w:rPr>
        <w:t xml:space="preserve"> </w:t>
      </w:r>
      <w:r w:rsidR="0089298C" w:rsidRPr="002F50BD">
        <w:rPr>
          <w:rFonts w:ascii="Verdana" w:hAnsi="Verdana"/>
          <w:sz w:val="20"/>
          <w:lang w:val="pt-BR"/>
        </w:rPr>
        <w:t xml:space="preserve">início ao </w:t>
      </w:r>
      <w:r w:rsidR="004756C1" w:rsidRPr="002F50BD">
        <w:rPr>
          <w:rFonts w:ascii="Verdana" w:hAnsi="Verdana"/>
          <w:sz w:val="20"/>
          <w:lang w:val="pt-BR"/>
        </w:rPr>
        <w:t xml:space="preserve">Expediente </w:t>
      </w:r>
      <w:r w:rsidR="00C247F1" w:rsidRPr="002F50BD">
        <w:rPr>
          <w:rFonts w:ascii="Verdana" w:hAnsi="Verdana"/>
          <w:sz w:val="20"/>
          <w:lang w:val="pt-BR"/>
        </w:rPr>
        <w:t>“El Estribo</w:t>
      </w:r>
      <w:r w:rsidR="004756C1" w:rsidRPr="002F50BD">
        <w:rPr>
          <w:rFonts w:ascii="Verdana" w:hAnsi="Verdana"/>
          <w:sz w:val="20"/>
          <w:lang w:val="pt-BR"/>
        </w:rPr>
        <w:t xml:space="preserve"> –Pozo Colorado- </w:t>
      </w:r>
      <w:r w:rsidR="0089298C" w:rsidRPr="002F50BD">
        <w:rPr>
          <w:rFonts w:ascii="Verdana" w:hAnsi="Verdana"/>
          <w:sz w:val="20"/>
          <w:lang w:val="pt-BR"/>
        </w:rPr>
        <w:t xml:space="preserve">Comunidade </w:t>
      </w:r>
      <w:r w:rsidR="004756C1" w:rsidRPr="002F50BD">
        <w:rPr>
          <w:rFonts w:ascii="Verdana" w:hAnsi="Verdana"/>
          <w:sz w:val="20"/>
          <w:lang w:val="pt-BR"/>
        </w:rPr>
        <w:t>indígena Yakye Axa s/legaliza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00063B47" w:rsidRPr="002F50BD">
        <w:rPr>
          <w:rFonts w:ascii="Verdana" w:hAnsi="Verdana"/>
          <w:sz w:val="20"/>
          <w:lang w:val="pt-BR"/>
        </w:rPr>
        <w:t>15</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ha”.</w:t>
      </w:r>
      <w:r w:rsidR="0089298C" w:rsidRPr="002F50BD">
        <w:rPr>
          <w:rFonts w:ascii="Verdana" w:hAnsi="Verdana"/>
          <w:sz w:val="20"/>
          <w:lang w:val="pt-BR"/>
        </w:rPr>
        <w:t xml:space="preserve"> </w:t>
      </w:r>
      <w:r w:rsidRPr="002F50BD">
        <w:rPr>
          <w:rFonts w:ascii="Verdana" w:hAnsi="Verdana"/>
          <w:sz w:val="20"/>
          <w:lang w:val="pt-BR"/>
        </w:rPr>
        <w:t>N</w:t>
      </w:r>
      <w:r w:rsidR="00FB33DD" w:rsidRPr="002F50BD">
        <w:rPr>
          <w:rFonts w:ascii="Verdana" w:hAnsi="Verdana"/>
          <w:sz w:val="20"/>
          <w:lang w:val="pt-BR"/>
        </w:rPr>
        <w:t>esse</w:t>
      </w:r>
      <w:r w:rsidR="0089298C" w:rsidRPr="002F50BD">
        <w:rPr>
          <w:rFonts w:ascii="Verdana" w:hAnsi="Verdana"/>
          <w:sz w:val="20"/>
          <w:lang w:val="pt-BR"/>
        </w:rPr>
        <w:t xml:space="preserve"> </w:t>
      </w:r>
      <w:r w:rsidRPr="002F50BD">
        <w:rPr>
          <w:rFonts w:ascii="Verdana" w:hAnsi="Verdana"/>
          <w:sz w:val="20"/>
          <w:lang w:val="pt-BR"/>
        </w:rPr>
        <w:t>e</w:t>
      </w:r>
      <w:r w:rsidR="004756C1" w:rsidRPr="002F50BD">
        <w:rPr>
          <w:rFonts w:ascii="Verdana" w:hAnsi="Verdana"/>
          <w:sz w:val="20"/>
          <w:lang w:val="pt-BR"/>
        </w:rPr>
        <w:t>xpediente</w:t>
      </w:r>
      <w:r w:rsidR="005E517B"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IBR </w:t>
      </w:r>
      <w:r w:rsidR="0089298C" w:rsidRPr="002F50BD">
        <w:rPr>
          <w:rFonts w:ascii="Verdana" w:hAnsi="Verdana"/>
          <w:sz w:val="20"/>
          <w:lang w:val="pt-BR"/>
        </w:rPr>
        <w:t>declarou</w:t>
      </w:r>
      <w:r w:rsidR="004756C1" w:rsidRPr="002F50BD">
        <w:rPr>
          <w:rFonts w:ascii="Verdana" w:hAnsi="Verdana"/>
          <w:sz w:val="20"/>
          <w:lang w:val="pt-BR"/>
        </w:rPr>
        <w:t xml:space="preserve"> que n</w:t>
      </w:r>
      <w:r w:rsidRPr="002F50BD">
        <w:rPr>
          <w:rFonts w:ascii="Verdana" w:hAnsi="Verdana"/>
          <w:sz w:val="20"/>
          <w:lang w:val="pt-BR"/>
        </w:rPr>
        <w:t>ã</w:t>
      </w:r>
      <w:r w:rsidR="004756C1" w:rsidRPr="002F50BD">
        <w:rPr>
          <w:rFonts w:ascii="Verdana" w:hAnsi="Verdana"/>
          <w:sz w:val="20"/>
          <w:lang w:val="pt-BR"/>
        </w:rPr>
        <w:t>o po</w:t>
      </w:r>
      <w:r w:rsidR="0089298C" w:rsidRPr="002F50BD">
        <w:rPr>
          <w:rFonts w:ascii="Verdana" w:hAnsi="Verdana"/>
          <w:sz w:val="20"/>
          <w:lang w:val="pt-BR"/>
        </w:rPr>
        <w:t>dia</w:t>
      </w:r>
      <w:r w:rsidR="004756C1" w:rsidRPr="002F50BD">
        <w:rPr>
          <w:rFonts w:ascii="Verdana" w:hAnsi="Verdana"/>
          <w:sz w:val="20"/>
          <w:lang w:val="pt-BR"/>
        </w:rPr>
        <w:t xml:space="preserve"> solicitar</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porque</w:t>
      </w:r>
      <w:r w:rsidR="0089298C" w:rsidRPr="002F50BD">
        <w:rPr>
          <w:rFonts w:ascii="Verdana" w:hAnsi="Verdana"/>
          <w:sz w:val="20"/>
          <w:lang w:val="pt-BR"/>
        </w:rPr>
        <w:t xml:space="preserve"> as propriedade</w:t>
      </w:r>
      <w:r w:rsidRPr="002F50BD">
        <w:rPr>
          <w:rFonts w:ascii="Verdana" w:hAnsi="Verdana"/>
          <w:sz w:val="20"/>
          <w:lang w:val="pt-BR"/>
        </w:rPr>
        <w:t>s</w:t>
      </w:r>
      <w:r w:rsidR="004756C1" w:rsidRPr="002F50BD">
        <w:rPr>
          <w:rFonts w:ascii="Verdana" w:hAnsi="Verdana"/>
          <w:sz w:val="20"/>
          <w:lang w:val="pt-BR"/>
        </w:rPr>
        <w:t xml:space="preserve"> reivindicadas </w:t>
      </w:r>
      <w:r w:rsidR="0089298C" w:rsidRPr="002F50BD">
        <w:rPr>
          <w:rFonts w:ascii="Verdana" w:hAnsi="Verdana"/>
          <w:sz w:val="20"/>
          <w:lang w:val="pt-BR"/>
        </w:rPr>
        <w:t>estavam</w:t>
      </w:r>
      <w:r w:rsidR="004756C1" w:rsidRPr="002F50BD">
        <w:rPr>
          <w:rFonts w:ascii="Verdana" w:hAnsi="Verdana"/>
          <w:sz w:val="20"/>
          <w:lang w:val="pt-BR"/>
        </w:rPr>
        <w:t xml:space="preserve"> racionalmente </w:t>
      </w:r>
      <w:r w:rsidR="00475EBB" w:rsidRPr="002F50BD">
        <w:rPr>
          <w:rFonts w:ascii="Verdana" w:hAnsi="Verdana"/>
          <w:sz w:val="20"/>
          <w:lang w:val="pt-BR"/>
        </w:rPr>
        <w:t>explorad</w:t>
      </w:r>
      <w:r w:rsidR="004756C1" w:rsidRPr="002F50BD">
        <w:rPr>
          <w:rFonts w:ascii="Verdana" w:hAnsi="Verdana"/>
          <w:sz w:val="20"/>
          <w:lang w:val="pt-BR"/>
        </w:rPr>
        <w:t>as</w:t>
      </w:r>
      <w:r w:rsidR="00BE346D" w:rsidRPr="002F50BD">
        <w:rPr>
          <w:rFonts w:ascii="Verdana" w:hAnsi="Verdana"/>
          <w:sz w:val="20"/>
          <w:lang w:val="pt-BR"/>
        </w:rPr>
        <w:t xml:space="preserve">. Os </w:t>
      </w:r>
      <w:r w:rsidR="007801FA" w:rsidRPr="002F50BD">
        <w:rPr>
          <w:rFonts w:ascii="Verdana" w:hAnsi="Verdana"/>
          <w:sz w:val="20"/>
          <w:lang w:val="pt-BR"/>
        </w:rPr>
        <w:t>proprietário</w:t>
      </w:r>
      <w:r w:rsidR="004756C1" w:rsidRPr="002F50BD">
        <w:rPr>
          <w:rFonts w:ascii="Verdana" w:hAnsi="Verdana"/>
          <w:sz w:val="20"/>
          <w:lang w:val="pt-BR"/>
        </w:rPr>
        <w:t>s</w:t>
      </w:r>
      <w:r w:rsidR="0089298C" w:rsidRPr="002F50BD">
        <w:rPr>
          <w:rFonts w:ascii="Verdana" w:hAnsi="Verdana"/>
          <w:sz w:val="20"/>
          <w:lang w:val="pt-BR"/>
        </w:rPr>
        <w:t xml:space="preserve"> das propriedade</w:t>
      </w:r>
      <w:r w:rsidR="004756C1" w:rsidRPr="002F50BD">
        <w:rPr>
          <w:rFonts w:ascii="Verdana" w:hAnsi="Verdana"/>
          <w:sz w:val="20"/>
          <w:lang w:val="pt-BR"/>
        </w:rPr>
        <w:t>s</w:t>
      </w:r>
      <w:r w:rsidR="0089298C" w:rsidRPr="002F50BD">
        <w:rPr>
          <w:rFonts w:ascii="Verdana" w:hAnsi="Verdana"/>
          <w:sz w:val="20"/>
          <w:lang w:val="pt-BR"/>
        </w:rPr>
        <w:t xml:space="preserve"> em questão</w:t>
      </w:r>
      <w:r w:rsidR="004756C1" w:rsidRPr="002F50BD">
        <w:rPr>
          <w:rFonts w:ascii="Verdana" w:hAnsi="Verdana"/>
          <w:sz w:val="20"/>
          <w:lang w:val="pt-BR"/>
        </w:rPr>
        <w:t xml:space="preserve"> se </w:t>
      </w:r>
      <w:r w:rsidR="0089298C" w:rsidRPr="002F50BD">
        <w:rPr>
          <w:rFonts w:ascii="Verdana" w:hAnsi="Verdana"/>
          <w:sz w:val="20"/>
          <w:lang w:val="pt-BR"/>
        </w:rPr>
        <w:t>negaram</w:t>
      </w:r>
      <w:r w:rsidRPr="002F50BD">
        <w:rPr>
          <w:rFonts w:ascii="Verdana" w:hAnsi="Verdana"/>
          <w:sz w:val="20"/>
          <w:lang w:val="pt-BR"/>
        </w:rPr>
        <w:t xml:space="preserve"> a vendê-</w:t>
      </w:r>
      <w:r w:rsidR="004756C1" w:rsidRPr="002F50BD">
        <w:rPr>
          <w:rFonts w:ascii="Verdana" w:hAnsi="Verdana"/>
          <w:sz w:val="20"/>
          <w:lang w:val="pt-BR"/>
        </w:rPr>
        <w:t xml:space="preserve">las. </w:t>
      </w:r>
    </w:p>
    <w:p w:rsidR="004756C1" w:rsidRPr="002F50BD" w:rsidRDefault="004756C1">
      <w:pPr>
        <w:jc w:val="both"/>
        <w:rPr>
          <w:rFonts w:ascii="Verdana" w:hAnsi="Verdana"/>
          <w:sz w:val="20"/>
          <w:lang w:val="pt-BR"/>
        </w:rPr>
      </w:pPr>
    </w:p>
    <w:p w:rsidR="004756C1" w:rsidRPr="002F50BD" w:rsidRDefault="008C25F4">
      <w:pPr>
        <w:numPr>
          <w:ilvl w:val="0"/>
          <w:numId w:val="38"/>
        </w:numPr>
        <w:tabs>
          <w:tab w:val="clear" w:pos="720"/>
          <w:tab w:val="num" w:pos="0"/>
        </w:tabs>
        <w:ind w:left="0" w:firstLine="0"/>
        <w:jc w:val="both"/>
        <w:rPr>
          <w:rFonts w:ascii="Verdana" w:hAnsi="Verdana"/>
          <w:sz w:val="20"/>
          <w:lang w:val="pt-BR"/>
        </w:rPr>
      </w:pPr>
      <w:r w:rsidRPr="002F50BD">
        <w:rPr>
          <w:rFonts w:ascii="Verdana" w:hAnsi="Verdana"/>
          <w:sz w:val="20"/>
          <w:lang w:val="pt-BR"/>
        </w:rPr>
        <w:t>Es</w:t>
      </w:r>
      <w:r w:rsidR="004756C1" w:rsidRPr="002F50BD">
        <w:rPr>
          <w:rFonts w:ascii="Verdana" w:hAnsi="Verdana"/>
          <w:sz w:val="20"/>
          <w:lang w:val="pt-BR"/>
        </w:rPr>
        <w:t>gotadas</w:t>
      </w:r>
      <w:r w:rsidRPr="002F50BD">
        <w:rPr>
          <w:rFonts w:ascii="Verdana" w:hAnsi="Verdana"/>
          <w:sz w:val="20"/>
          <w:lang w:val="pt-BR"/>
        </w:rPr>
        <w:t xml:space="preserve"> as gestões no âmbito administrativo</w:t>
      </w:r>
      <w:r w:rsidR="004756C1" w:rsidRPr="002F50BD">
        <w:rPr>
          <w:rFonts w:ascii="Verdana" w:hAnsi="Verdana"/>
          <w:sz w:val="20"/>
          <w:lang w:val="pt-BR"/>
        </w:rPr>
        <w:t>,</w:t>
      </w:r>
      <w:r w:rsidR="0089298C" w:rsidRPr="002F50BD">
        <w:rPr>
          <w:rFonts w:ascii="Verdana" w:hAnsi="Verdana"/>
          <w:sz w:val="20"/>
          <w:lang w:val="pt-BR"/>
        </w:rPr>
        <w:t xml:space="preserve"> a Comunidade </w:t>
      </w:r>
      <w:r w:rsidRPr="002F50BD">
        <w:rPr>
          <w:rFonts w:ascii="Verdana" w:hAnsi="Verdana"/>
          <w:sz w:val="20"/>
          <w:lang w:val="pt-BR"/>
        </w:rPr>
        <w:t xml:space="preserve">realiza gestões perante </w:t>
      </w:r>
      <w:r w:rsidR="0089298C" w:rsidRPr="002F50BD">
        <w:rPr>
          <w:rFonts w:ascii="Verdana" w:hAnsi="Verdana"/>
          <w:sz w:val="20"/>
          <w:lang w:val="pt-BR"/>
        </w:rPr>
        <w:t>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w:t>
      </w:r>
      <w:r w:rsidR="00243D2E" w:rsidRPr="002F50BD">
        <w:rPr>
          <w:rFonts w:ascii="Verdana" w:hAnsi="Verdana"/>
          <w:sz w:val="20"/>
          <w:lang w:val="pt-BR"/>
        </w:rPr>
        <w:t xml:space="preserve">para </w:t>
      </w:r>
      <w:r w:rsidR="0089298C" w:rsidRPr="002F50BD">
        <w:rPr>
          <w:rFonts w:ascii="Verdana" w:hAnsi="Verdana"/>
          <w:sz w:val="20"/>
          <w:lang w:val="pt-BR"/>
        </w:rPr>
        <w:t xml:space="preserve">a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063B47" w:rsidRPr="002F50BD">
        <w:rPr>
          <w:rFonts w:ascii="Verdana" w:hAnsi="Verdana"/>
          <w:sz w:val="20"/>
          <w:lang w:val="pt-BR"/>
        </w:rPr>
        <w:t>18</w:t>
      </w:r>
      <w:r w:rsidR="004756C1" w:rsidRPr="002F50BD">
        <w:rPr>
          <w:rFonts w:ascii="Verdana" w:hAnsi="Verdana"/>
          <w:sz w:val="20"/>
          <w:lang w:val="pt-BR"/>
        </w:rPr>
        <w:t>.</w:t>
      </w:r>
      <w:r w:rsidR="00063B47" w:rsidRPr="002F50BD">
        <w:rPr>
          <w:rFonts w:ascii="Verdana" w:hAnsi="Verdana"/>
          <w:sz w:val="20"/>
          <w:lang w:val="pt-BR"/>
        </w:rPr>
        <w:t>189</w:t>
      </w:r>
      <w:r w:rsidR="004756C1" w:rsidRPr="002F50BD">
        <w:rPr>
          <w:rFonts w:ascii="Verdana" w:hAnsi="Verdana"/>
          <w:sz w:val="20"/>
          <w:lang w:val="pt-BR"/>
        </w:rPr>
        <w:t xml:space="preserve"> ha</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w:t>
      </w:r>
      <w:r w:rsidR="0089298C" w:rsidRPr="002F50BD">
        <w:rPr>
          <w:rFonts w:ascii="Verdana" w:hAnsi="Verdana"/>
          <w:sz w:val="20"/>
          <w:lang w:val="pt-BR"/>
        </w:rPr>
        <w:t xml:space="preserve"> 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foi </w:t>
      </w:r>
      <w:r w:rsidR="004756C1" w:rsidRPr="002F50BD">
        <w:rPr>
          <w:rFonts w:ascii="Verdana" w:hAnsi="Verdana"/>
          <w:sz w:val="20"/>
          <w:lang w:val="pt-BR"/>
        </w:rPr>
        <w:t>retirado</w:t>
      </w:r>
      <w:r w:rsidR="0089298C" w:rsidRPr="002F50BD">
        <w:rPr>
          <w:rFonts w:ascii="Verdana" w:hAnsi="Verdana"/>
          <w:sz w:val="20"/>
          <w:lang w:val="pt-BR"/>
        </w:rPr>
        <w:t xml:space="preserve"> </w:t>
      </w:r>
      <w:r w:rsidR="00243D2E" w:rsidRPr="002F50BD">
        <w:rPr>
          <w:rFonts w:ascii="Verdana" w:hAnsi="Verdana"/>
          <w:sz w:val="20"/>
          <w:lang w:val="pt-BR"/>
        </w:rPr>
        <w:t xml:space="preserve">de pauta </w:t>
      </w:r>
      <w:r w:rsidR="0089298C" w:rsidRPr="002F50BD">
        <w:rPr>
          <w:rFonts w:ascii="Verdana" w:hAnsi="Verdana"/>
          <w:sz w:val="20"/>
          <w:lang w:val="pt-BR"/>
        </w:rPr>
        <w:t xml:space="preserve">em </w:t>
      </w:r>
      <w:r w:rsidR="00063B47" w:rsidRPr="002F50BD">
        <w:rPr>
          <w:rFonts w:ascii="Verdana" w:hAnsi="Verdana"/>
          <w:sz w:val="20"/>
          <w:lang w:val="pt-BR"/>
        </w:rPr>
        <w:t>28</w:t>
      </w:r>
      <w:r w:rsidR="004756C1" w:rsidRPr="002F50BD">
        <w:rPr>
          <w:rFonts w:ascii="Verdana" w:hAnsi="Verdana"/>
          <w:sz w:val="20"/>
          <w:lang w:val="pt-BR"/>
        </w:rPr>
        <w:t xml:space="preserve"> de </w:t>
      </w:r>
      <w:r w:rsidR="0089298C" w:rsidRPr="002F50BD">
        <w:rPr>
          <w:rFonts w:ascii="Verdana" w:hAnsi="Verdana"/>
          <w:sz w:val="20"/>
          <w:lang w:val="pt-BR"/>
        </w:rPr>
        <w:t>novembro</w:t>
      </w:r>
      <w:r w:rsidR="004756C1" w:rsidRPr="002F50BD">
        <w:rPr>
          <w:rFonts w:ascii="Verdana" w:hAnsi="Verdana"/>
          <w:sz w:val="20"/>
          <w:lang w:val="pt-BR"/>
        </w:rPr>
        <w:t xml:space="preserve"> de </w:t>
      </w:r>
      <w:r w:rsidR="00063B47" w:rsidRPr="002F50BD">
        <w:rPr>
          <w:rFonts w:ascii="Verdana" w:hAnsi="Verdana"/>
          <w:sz w:val="20"/>
          <w:lang w:val="pt-BR"/>
        </w:rPr>
        <w:t>2000</w:t>
      </w:r>
      <w:r w:rsidR="004756C1" w:rsidRPr="002F50BD">
        <w:rPr>
          <w:rFonts w:ascii="Verdana" w:hAnsi="Verdana"/>
          <w:sz w:val="20"/>
          <w:lang w:val="pt-BR"/>
        </w:rPr>
        <w:t>. Posteriormente</w:t>
      </w:r>
      <w:r w:rsidR="005E517B"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Poder </w:t>
      </w:r>
      <w:r w:rsidR="0089298C" w:rsidRPr="002F50BD">
        <w:rPr>
          <w:rFonts w:ascii="Verdana" w:hAnsi="Verdana"/>
          <w:sz w:val="20"/>
          <w:lang w:val="pt-BR"/>
        </w:rPr>
        <w:t>Executiv</w:t>
      </w:r>
      <w:r w:rsidR="004756C1" w:rsidRPr="002F50BD">
        <w:rPr>
          <w:rFonts w:ascii="Verdana" w:hAnsi="Verdana"/>
          <w:sz w:val="20"/>
          <w:lang w:val="pt-BR"/>
        </w:rPr>
        <w:t xml:space="preserve">o </w:t>
      </w:r>
      <w:r w:rsidR="0089298C" w:rsidRPr="002F50BD">
        <w:rPr>
          <w:rFonts w:ascii="Verdana" w:hAnsi="Verdana"/>
          <w:sz w:val="20"/>
          <w:lang w:val="pt-BR"/>
        </w:rPr>
        <w:t>apresentou ao Congresso</w:t>
      </w:r>
      <w:r w:rsidR="004756C1" w:rsidRPr="002F50BD">
        <w:rPr>
          <w:rFonts w:ascii="Verdana" w:hAnsi="Verdana"/>
          <w:sz w:val="20"/>
          <w:lang w:val="pt-BR"/>
        </w:rPr>
        <w:t xml:space="preserve"> Nacional,</w:t>
      </w:r>
      <w:r w:rsidR="0089298C" w:rsidRPr="002F50BD">
        <w:rPr>
          <w:rFonts w:ascii="Verdana" w:hAnsi="Verdana"/>
          <w:sz w:val="20"/>
          <w:lang w:val="pt-BR"/>
        </w:rPr>
        <w:t xml:space="preserve"> em </w:t>
      </w:r>
      <w:r w:rsidR="00063B47" w:rsidRPr="002F50BD">
        <w:rPr>
          <w:rFonts w:ascii="Verdana" w:hAnsi="Verdana"/>
          <w:sz w:val="20"/>
          <w:lang w:val="pt-BR"/>
        </w:rPr>
        <w:t>30</w:t>
      </w:r>
      <w:r w:rsidR="004756C1" w:rsidRPr="002F50BD">
        <w:rPr>
          <w:rFonts w:ascii="Verdana" w:hAnsi="Verdana"/>
          <w:sz w:val="20"/>
          <w:lang w:val="pt-BR"/>
        </w:rPr>
        <w:t xml:space="preserve"> de </w:t>
      </w:r>
      <w:r w:rsidR="0089298C" w:rsidRPr="002F50BD">
        <w:rPr>
          <w:rFonts w:ascii="Verdana" w:hAnsi="Verdana"/>
          <w:sz w:val="20"/>
          <w:lang w:val="pt-BR"/>
        </w:rPr>
        <w:t>Janeiro</w:t>
      </w:r>
      <w:r w:rsidR="00AB454A" w:rsidRPr="002F50BD">
        <w:rPr>
          <w:rFonts w:ascii="Verdana" w:hAnsi="Verdana"/>
          <w:sz w:val="20"/>
          <w:lang w:val="pt-BR"/>
        </w:rPr>
        <w:t xml:space="preserve"> de </w:t>
      </w:r>
      <w:r w:rsidR="00063B47" w:rsidRPr="002F50BD">
        <w:rPr>
          <w:rFonts w:ascii="Verdana" w:hAnsi="Verdana"/>
          <w:sz w:val="20"/>
          <w:lang w:val="pt-BR"/>
        </w:rPr>
        <w:t>2002</w:t>
      </w:r>
      <w:r w:rsidRPr="002F50BD">
        <w:rPr>
          <w:rFonts w:ascii="Verdana" w:hAnsi="Verdana"/>
          <w:sz w:val="20"/>
          <w:lang w:val="pt-BR"/>
        </w:rPr>
        <w:t>,</w:t>
      </w:r>
      <w:r w:rsidR="0089298C" w:rsidRPr="002F50BD">
        <w:rPr>
          <w:rFonts w:ascii="Verdana" w:hAnsi="Verdana"/>
          <w:sz w:val="20"/>
          <w:lang w:val="pt-BR"/>
        </w:rPr>
        <w:t xml:space="preserve"> outro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para expropiar </w:t>
      </w:r>
      <w:r w:rsidR="00063B47" w:rsidRPr="002F50BD">
        <w:rPr>
          <w:rFonts w:ascii="Verdana" w:hAnsi="Verdana"/>
          <w:sz w:val="20"/>
          <w:lang w:val="pt-BR"/>
        </w:rPr>
        <w:t>7</w:t>
      </w:r>
      <w:r w:rsidR="004756C1" w:rsidRPr="002F50BD">
        <w:rPr>
          <w:rFonts w:ascii="Verdana" w:hAnsi="Verdana"/>
          <w:sz w:val="20"/>
          <w:lang w:val="pt-BR"/>
        </w:rPr>
        <w:t>.</w:t>
      </w:r>
      <w:r w:rsidR="00063B47" w:rsidRPr="002F50BD">
        <w:rPr>
          <w:rFonts w:ascii="Verdana" w:hAnsi="Verdana"/>
          <w:sz w:val="20"/>
          <w:lang w:val="pt-BR"/>
        </w:rPr>
        <w:t>901</w:t>
      </w:r>
      <w:r w:rsidR="004756C1" w:rsidRPr="002F50BD">
        <w:rPr>
          <w:rFonts w:ascii="Verdana" w:hAnsi="Verdana"/>
          <w:sz w:val="20"/>
          <w:lang w:val="pt-BR"/>
        </w:rPr>
        <w:t xml:space="preserve"> ha d</w:t>
      </w:r>
      <w:r w:rsidR="0089298C" w:rsidRPr="002F50BD">
        <w:rPr>
          <w:rFonts w:ascii="Verdana" w:hAnsi="Verdana"/>
          <w:sz w:val="20"/>
          <w:lang w:val="pt-BR"/>
        </w:rPr>
        <w:t>a mesm</w:t>
      </w:r>
      <w:r w:rsidR="004756C1" w:rsidRPr="002F50BD">
        <w:rPr>
          <w:rFonts w:ascii="Verdana" w:hAnsi="Verdana"/>
          <w:sz w:val="20"/>
          <w:lang w:val="pt-BR"/>
        </w:rPr>
        <w:t xml:space="preserve">a </w:t>
      </w:r>
      <w:r w:rsidR="00060B3A" w:rsidRPr="002F50BD">
        <w:rPr>
          <w:rFonts w:ascii="Verdana" w:hAnsi="Verdana"/>
          <w:i/>
          <w:sz w:val="20"/>
          <w:lang w:val="pt-BR"/>
        </w:rPr>
        <w:t>Estancia Loma Verde</w:t>
      </w:r>
      <w:r w:rsidR="004756C1" w:rsidRPr="002F50BD">
        <w:rPr>
          <w:rFonts w:ascii="Verdana" w:hAnsi="Verdana"/>
          <w:sz w:val="20"/>
          <w:lang w:val="pt-BR"/>
        </w:rPr>
        <w:t>, que</w:t>
      </w:r>
      <w:r w:rsidR="0089298C" w:rsidRPr="002F50BD">
        <w:rPr>
          <w:rFonts w:ascii="Verdana" w:hAnsi="Verdana"/>
          <w:sz w:val="20"/>
          <w:lang w:val="pt-BR"/>
        </w:rPr>
        <w:t xml:space="preserve"> foi </w:t>
      </w:r>
      <w:r w:rsidR="00243D2E" w:rsidRPr="002F50BD">
        <w:rPr>
          <w:rFonts w:ascii="Verdana" w:hAnsi="Verdana"/>
          <w:sz w:val="20"/>
          <w:lang w:val="pt-BR"/>
        </w:rPr>
        <w:t>rejeitado</w:t>
      </w:r>
      <w:r w:rsidR="0089298C" w:rsidRPr="002F50BD">
        <w:rPr>
          <w:rFonts w:ascii="Verdana" w:hAnsi="Verdana"/>
          <w:sz w:val="20"/>
          <w:lang w:val="pt-BR"/>
        </w:rPr>
        <w:t xml:space="preserve"> pelo </w:t>
      </w:r>
      <w:r w:rsidR="004756C1" w:rsidRPr="002F50BD">
        <w:rPr>
          <w:rFonts w:ascii="Verdana" w:hAnsi="Verdana"/>
          <w:sz w:val="20"/>
          <w:lang w:val="pt-BR"/>
        </w:rPr>
        <w:t>Senado</w:t>
      </w:r>
      <w:r w:rsidR="0089298C" w:rsidRPr="002F50BD">
        <w:rPr>
          <w:rFonts w:ascii="Verdana" w:hAnsi="Verdana"/>
          <w:sz w:val="20"/>
          <w:lang w:val="pt-BR"/>
        </w:rPr>
        <w:t xml:space="preserve"> </w:t>
      </w:r>
      <w:r w:rsidR="005E517B" w:rsidRPr="002F50BD">
        <w:rPr>
          <w:rFonts w:ascii="Verdana" w:hAnsi="Verdana"/>
          <w:sz w:val="20"/>
          <w:lang w:val="pt-BR"/>
        </w:rPr>
        <w:t>no</w:t>
      </w:r>
      <w:r w:rsidR="0089298C" w:rsidRPr="002F50BD">
        <w:rPr>
          <w:rFonts w:ascii="Verdana" w:hAnsi="Verdana"/>
          <w:sz w:val="20"/>
          <w:lang w:val="pt-BR"/>
        </w:rPr>
        <w:t xml:space="preserve"> </w:t>
      </w:r>
      <w:r w:rsidR="004756C1" w:rsidRPr="002F50BD">
        <w:rPr>
          <w:rFonts w:ascii="Verdana" w:hAnsi="Verdana"/>
          <w:sz w:val="20"/>
          <w:lang w:val="pt-BR"/>
        </w:rPr>
        <w:t>uso de su</w:t>
      </w:r>
      <w:r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faculdades</w:t>
      </w:r>
      <w:r w:rsidR="004756C1" w:rsidRPr="002F50BD">
        <w:rPr>
          <w:rFonts w:ascii="Verdana" w:hAnsi="Verdana"/>
          <w:sz w:val="20"/>
          <w:lang w:val="pt-BR"/>
        </w:rPr>
        <w:t xml:space="preserve"> constitucionalmente </w:t>
      </w:r>
      <w:r w:rsidR="0089298C" w:rsidRPr="002F50BD">
        <w:rPr>
          <w:rFonts w:ascii="Verdana" w:hAnsi="Verdana"/>
          <w:sz w:val="20"/>
          <w:lang w:val="pt-BR"/>
        </w:rPr>
        <w:t>estabelecid</w:t>
      </w:r>
      <w:r w:rsidR="004756C1" w:rsidRPr="002F50BD">
        <w:rPr>
          <w:rFonts w:ascii="Verdana" w:hAnsi="Verdana"/>
          <w:sz w:val="20"/>
          <w:lang w:val="pt-BR"/>
        </w:rPr>
        <w:t>as.</w:t>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AB454A" w:rsidRPr="002F50BD">
        <w:rPr>
          <w:rFonts w:ascii="Verdana" w:hAnsi="Verdana"/>
          <w:sz w:val="20"/>
          <w:lang w:val="pt-BR"/>
        </w:rPr>
        <w:t>assentamento</w:t>
      </w:r>
      <w:r w:rsidR="004756C1" w:rsidRPr="002F50BD">
        <w:rPr>
          <w:rFonts w:ascii="Verdana" w:hAnsi="Verdana"/>
          <w:sz w:val="20"/>
          <w:lang w:val="pt-BR"/>
        </w:rPr>
        <w:t xml:space="preserve"> improvisado</w:t>
      </w:r>
      <w:r w:rsidR="0089298C" w:rsidRPr="002F50BD">
        <w:rPr>
          <w:rFonts w:ascii="Verdana" w:hAnsi="Verdana"/>
          <w:sz w:val="20"/>
          <w:lang w:val="pt-BR"/>
        </w:rPr>
        <w:t xml:space="preserve"> da Comunidade peticionári</w:t>
      </w:r>
      <w:r w:rsidR="004756C1" w:rsidRPr="002F50BD">
        <w:rPr>
          <w:rFonts w:ascii="Verdana" w:hAnsi="Verdana"/>
          <w:sz w:val="20"/>
          <w:lang w:val="pt-BR"/>
        </w:rPr>
        <w:t>a acentu</w:t>
      </w:r>
      <w:r w:rsidR="00195105" w:rsidRPr="002F50BD">
        <w:rPr>
          <w:rFonts w:ascii="Verdana" w:hAnsi="Verdana"/>
          <w:sz w:val="20"/>
          <w:lang w:val="pt-BR"/>
        </w:rPr>
        <w:t>ou</w:t>
      </w:r>
      <w:r w:rsidR="0089298C" w:rsidRPr="002F50BD">
        <w:rPr>
          <w:rFonts w:ascii="Verdana" w:hAnsi="Verdana"/>
          <w:sz w:val="20"/>
          <w:lang w:val="pt-BR"/>
        </w:rPr>
        <w:t xml:space="preserve"> a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 xml:space="preserve">risco e </w:t>
      </w:r>
      <w:r w:rsidR="00195105" w:rsidRPr="002F50BD">
        <w:rPr>
          <w:rFonts w:ascii="Verdana" w:hAnsi="Verdana"/>
          <w:sz w:val="20"/>
          <w:lang w:val="pt-BR"/>
        </w:rPr>
        <w:t xml:space="preserve">de </w:t>
      </w:r>
      <w:r w:rsidR="0089298C" w:rsidRPr="002F50BD">
        <w:rPr>
          <w:rFonts w:ascii="Verdana" w:hAnsi="Verdana"/>
          <w:sz w:val="20"/>
          <w:lang w:val="pt-BR"/>
        </w:rPr>
        <w:t xml:space="preserve">vulnerabilidade da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 xml:space="preserve">pela </w:t>
      </w:r>
      <w:r w:rsidR="004756C1" w:rsidRPr="002F50BD">
        <w:rPr>
          <w:rFonts w:ascii="Verdana" w:hAnsi="Verdana"/>
          <w:sz w:val="20"/>
          <w:lang w:val="pt-BR"/>
        </w:rPr>
        <w:t>priva</w:t>
      </w:r>
      <w:r w:rsidR="0089298C" w:rsidRPr="002F50BD">
        <w:rPr>
          <w:rFonts w:ascii="Verdana" w:hAnsi="Verdana"/>
          <w:sz w:val="20"/>
          <w:lang w:val="pt-BR"/>
        </w:rPr>
        <w:t>ção</w:t>
      </w:r>
      <w:r w:rsidR="004756C1" w:rsidRPr="002F50BD">
        <w:rPr>
          <w:rFonts w:ascii="Verdana" w:hAnsi="Verdana"/>
          <w:sz w:val="20"/>
          <w:lang w:val="pt-BR"/>
        </w:rPr>
        <w:t xml:space="preserve"> de s</w:t>
      </w:r>
      <w:r w:rsidR="00195105" w:rsidRPr="002F50BD">
        <w:rPr>
          <w:rFonts w:ascii="Verdana" w:hAnsi="Verdana"/>
          <w:sz w:val="20"/>
          <w:lang w:val="pt-BR"/>
        </w:rPr>
        <w:t>e</w:t>
      </w:r>
      <w:r w:rsidR="004756C1" w:rsidRPr="002F50BD">
        <w:rPr>
          <w:rFonts w:ascii="Verdana" w:hAnsi="Verdana"/>
          <w:sz w:val="20"/>
          <w:lang w:val="pt-BR"/>
        </w:rPr>
        <w:t>us meios tr</w:t>
      </w:r>
      <w:r w:rsidR="0089298C" w:rsidRPr="002F50BD">
        <w:rPr>
          <w:rFonts w:ascii="Verdana" w:hAnsi="Verdana"/>
          <w:sz w:val="20"/>
          <w:lang w:val="pt-BR"/>
        </w:rPr>
        <w:t>adicionais</w:t>
      </w:r>
      <w:r w:rsidR="004756C1" w:rsidRPr="002F50BD">
        <w:rPr>
          <w:rFonts w:ascii="Verdana" w:hAnsi="Verdana"/>
          <w:sz w:val="20"/>
          <w:lang w:val="pt-BR"/>
        </w:rPr>
        <w:t xml:space="preserve"> de </w:t>
      </w:r>
      <w:r w:rsidR="0089298C" w:rsidRPr="002F50BD">
        <w:rPr>
          <w:rFonts w:ascii="Verdana" w:hAnsi="Verdana"/>
          <w:sz w:val="20"/>
          <w:lang w:val="pt-BR"/>
        </w:rPr>
        <w:t xml:space="preserve">subsistência e </w:t>
      </w:r>
      <w:r w:rsidR="004756C1" w:rsidRPr="002F50BD">
        <w:rPr>
          <w:rFonts w:ascii="Verdana" w:hAnsi="Verdana"/>
          <w:sz w:val="20"/>
          <w:lang w:val="pt-BR"/>
        </w:rPr>
        <w:t xml:space="preserve">por </w:t>
      </w:r>
      <w:r w:rsidR="0089298C" w:rsidRPr="002F50BD">
        <w:rPr>
          <w:rFonts w:ascii="Verdana" w:hAnsi="Verdana"/>
          <w:sz w:val="20"/>
          <w:lang w:val="pt-BR"/>
        </w:rPr>
        <w:t>dificuldades</w:t>
      </w:r>
      <w:r w:rsidR="004756C1" w:rsidRPr="002F50BD">
        <w:rPr>
          <w:rFonts w:ascii="Verdana" w:hAnsi="Verdana"/>
          <w:sz w:val="20"/>
          <w:lang w:val="pt-BR"/>
        </w:rPr>
        <w:t xml:space="preserve"> objetivas para que</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possa</w:t>
      </w:r>
      <w:r w:rsidR="004756C1" w:rsidRPr="002F50BD">
        <w:rPr>
          <w:rFonts w:ascii="Verdana" w:hAnsi="Verdana"/>
          <w:sz w:val="20"/>
          <w:lang w:val="pt-BR"/>
        </w:rPr>
        <w:t xml:space="preserve"> proporcionar</w:t>
      </w:r>
      <w:r w:rsidR="0089298C" w:rsidRPr="002F50BD">
        <w:rPr>
          <w:rFonts w:ascii="Verdana" w:hAnsi="Verdana"/>
          <w:sz w:val="20"/>
          <w:lang w:val="pt-BR"/>
        </w:rPr>
        <w:t xml:space="preserve"> à comunidad</w:t>
      </w:r>
      <w:r w:rsidR="00195105" w:rsidRPr="002F50BD">
        <w:rPr>
          <w:rFonts w:ascii="Verdana" w:hAnsi="Verdana"/>
          <w:sz w:val="20"/>
          <w:lang w:val="pt-BR"/>
        </w:rPr>
        <w:t xml:space="preserve">e </w:t>
      </w:r>
      <w:r w:rsidR="0089298C" w:rsidRPr="002F50BD">
        <w:rPr>
          <w:rFonts w:ascii="Verdana" w:hAnsi="Verdana"/>
          <w:sz w:val="20"/>
          <w:lang w:val="pt-BR"/>
        </w:rPr>
        <w:t>os fato</w:t>
      </w:r>
      <w:r w:rsidR="004756C1" w:rsidRPr="002F50BD">
        <w:rPr>
          <w:rFonts w:ascii="Verdana" w:hAnsi="Verdana"/>
          <w:sz w:val="20"/>
          <w:lang w:val="pt-BR"/>
        </w:rPr>
        <w:t>res protetores</w:t>
      </w:r>
      <w:r w:rsidR="0089298C" w:rsidRPr="002F50BD">
        <w:rPr>
          <w:rFonts w:ascii="Verdana" w:hAnsi="Verdana"/>
          <w:sz w:val="20"/>
          <w:lang w:val="pt-BR"/>
        </w:rPr>
        <w:t xml:space="preserve"> em </w:t>
      </w:r>
      <w:r w:rsidR="004756C1" w:rsidRPr="002F50BD">
        <w:rPr>
          <w:rFonts w:ascii="Verdana" w:hAnsi="Verdana"/>
          <w:sz w:val="20"/>
          <w:lang w:val="pt-BR"/>
        </w:rPr>
        <w:t>rela</w:t>
      </w:r>
      <w:r w:rsidR="0089298C" w:rsidRPr="002F50BD">
        <w:rPr>
          <w:rFonts w:ascii="Verdana" w:hAnsi="Verdana"/>
          <w:sz w:val="20"/>
          <w:lang w:val="pt-BR"/>
        </w:rPr>
        <w:t>ção aos risco</w:t>
      </w:r>
      <w:r w:rsidR="004756C1" w:rsidRPr="002F50BD">
        <w:rPr>
          <w:rFonts w:ascii="Verdana" w:hAnsi="Verdana"/>
          <w:sz w:val="20"/>
          <w:lang w:val="pt-BR"/>
        </w:rPr>
        <w:t>s que enfrenta</w:t>
      </w:r>
      <w:r w:rsidR="00195105" w:rsidRPr="002F50BD">
        <w:rPr>
          <w:rFonts w:ascii="Verdana" w:hAnsi="Verdana"/>
          <w:sz w:val="20"/>
          <w:lang w:val="pt-BR"/>
        </w:rPr>
        <w:t>m</w:t>
      </w:r>
      <w:r w:rsidR="004756C1" w:rsidRPr="002F50BD">
        <w:rPr>
          <w:rFonts w:ascii="Verdana" w:hAnsi="Verdana"/>
          <w:sz w:val="20"/>
          <w:lang w:val="pt-BR"/>
        </w:rPr>
        <w:t xml:space="preserve"> </w:t>
      </w:r>
      <w:r w:rsidR="00AB454A" w:rsidRPr="002F50BD">
        <w:rPr>
          <w:rFonts w:ascii="Verdana" w:hAnsi="Verdana"/>
          <w:sz w:val="20"/>
          <w:lang w:val="pt-BR"/>
        </w:rPr>
        <w:t>seus membros</w:t>
      </w:r>
      <w:r w:rsidR="004756C1" w:rsidRPr="002F50BD">
        <w:rPr>
          <w:rFonts w:ascii="Verdana" w:hAnsi="Verdana"/>
          <w:sz w:val="20"/>
          <w:lang w:val="pt-BR"/>
        </w:rPr>
        <w:t xml:space="preserve"> para </w:t>
      </w:r>
      <w:r w:rsidR="0089298C" w:rsidRPr="002F50BD">
        <w:rPr>
          <w:rFonts w:ascii="Verdana" w:hAnsi="Verdana"/>
          <w:sz w:val="20"/>
          <w:lang w:val="pt-BR"/>
        </w:rPr>
        <w:t>assegurar as</w:t>
      </w:r>
      <w:r w:rsidR="004756C1" w:rsidRPr="002F50BD">
        <w:rPr>
          <w:rFonts w:ascii="Verdana" w:hAnsi="Verdana"/>
          <w:sz w:val="20"/>
          <w:lang w:val="pt-BR"/>
        </w:rPr>
        <w:t xml:space="preserve"> condi</w:t>
      </w:r>
      <w:r w:rsidR="0089298C" w:rsidRPr="002F50BD">
        <w:rPr>
          <w:rFonts w:ascii="Verdana" w:hAnsi="Verdana"/>
          <w:sz w:val="20"/>
          <w:lang w:val="pt-BR"/>
        </w:rPr>
        <w:t>ções</w:t>
      </w:r>
      <w:r w:rsidR="004756C1" w:rsidRPr="002F50BD">
        <w:rPr>
          <w:rFonts w:ascii="Verdana" w:hAnsi="Verdana"/>
          <w:sz w:val="20"/>
          <w:lang w:val="pt-BR"/>
        </w:rPr>
        <w:t xml:space="preserve"> mínimas de vida</w:t>
      </w:r>
      <w:r w:rsidR="00195105" w:rsidRPr="002F50BD">
        <w:rPr>
          <w:rFonts w:ascii="Verdana" w:hAnsi="Verdana"/>
          <w:sz w:val="20"/>
          <w:lang w:val="pt-BR"/>
        </w:rPr>
        <w:t>.</w:t>
      </w:r>
      <w:r w:rsidR="004756C1" w:rsidRPr="002F50BD">
        <w:rPr>
          <w:rStyle w:val="FootnoteReference"/>
          <w:rFonts w:ascii="Verdana" w:hAnsi="Verdana"/>
        </w:rPr>
        <w:footnoteReference w:id="237"/>
      </w:r>
    </w:p>
    <w:p w:rsidR="004756C1" w:rsidRPr="002F50BD" w:rsidRDefault="004756C1">
      <w:pPr>
        <w:pStyle w:val="BodyText"/>
        <w:rPr>
          <w:rFonts w:ascii="Verdana" w:hAnsi="Verdana"/>
          <w:sz w:val="20"/>
          <w:lang w:val="pt-BR"/>
        </w:rPr>
      </w:pPr>
    </w:p>
    <w:p w:rsidR="004756C1" w:rsidRPr="002F50BD" w:rsidRDefault="00195105">
      <w:pPr>
        <w:pStyle w:val="BodyText"/>
        <w:rPr>
          <w:rFonts w:ascii="Verdana" w:hAnsi="Verdana"/>
          <w:sz w:val="20"/>
          <w:lang w:val="pt-BR"/>
        </w:rPr>
      </w:pPr>
      <w:r w:rsidRPr="002F50BD">
        <w:rPr>
          <w:rFonts w:ascii="Verdana" w:hAnsi="Verdana"/>
          <w:sz w:val="20"/>
          <w:lang w:val="pt-BR"/>
        </w:rPr>
        <w:t>N</w:t>
      </w:r>
      <w:r w:rsidR="0089298C" w:rsidRPr="002F50BD">
        <w:rPr>
          <w:rFonts w:ascii="Verdana" w:hAnsi="Verdana"/>
          <w:sz w:val="20"/>
          <w:lang w:val="pt-BR"/>
        </w:rPr>
        <w:t xml:space="preserve">esse </w:t>
      </w:r>
      <w:r w:rsidR="004756C1" w:rsidRPr="002F50BD">
        <w:rPr>
          <w:rFonts w:ascii="Verdana" w:hAnsi="Verdana"/>
          <w:sz w:val="20"/>
          <w:lang w:val="pt-BR"/>
        </w:rPr>
        <w:t>contexto,</w:t>
      </w:r>
      <w:r w:rsidR="0089298C" w:rsidRPr="002F50BD">
        <w:rPr>
          <w:rFonts w:ascii="Verdana" w:hAnsi="Verdana"/>
          <w:sz w:val="20"/>
          <w:lang w:val="pt-BR"/>
        </w:rPr>
        <w:t xml:space="preserve"> em pouco </w:t>
      </w:r>
      <w:r w:rsidR="004756C1" w:rsidRPr="002F50BD">
        <w:rPr>
          <w:rFonts w:ascii="Verdana" w:hAnsi="Verdana"/>
          <w:sz w:val="20"/>
          <w:lang w:val="pt-BR"/>
        </w:rPr>
        <w:t xml:space="preserve">menos de seis </w:t>
      </w:r>
      <w:r w:rsidR="0089298C" w:rsidRPr="002F50BD">
        <w:rPr>
          <w:rFonts w:ascii="Verdana" w:hAnsi="Verdana"/>
          <w:sz w:val="20"/>
          <w:lang w:val="pt-BR"/>
        </w:rPr>
        <w:t>anos</w:t>
      </w:r>
      <w:r w:rsidR="004756C1" w:rsidRPr="002F50BD">
        <w:rPr>
          <w:rFonts w:ascii="Verdana" w:hAnsi="Verdana"/>
          <w:sz w:val="20"/>
          <w:lang w:val="pt-BR"/>
        </w:rPr>
        <w:t xml:space="preserve"> se reporta</w:t>
      </w:r>
      <w:r w:rsidR="0089298C" w:rsidRPr="002F50BD">
        <w:rPr>
          <w:rFonts w:ascii="Verdana" w:hAnsi="Verdana"/>
          <w:sz w:val="20"/>
          <w:lang w:val="pt-BR"/>
        </w:rPr>
        <w:t xml:space="preserve"> o </w:t>
      </w:r>
      <w:r w:rsidR="00367FD1" w:rsidRPr="002F50BD">
        <w:rPr>
          <w:rFonts w:ascii="Verdana" w:hAnsi="Verdana"/>
          <w:sz w:val="20"/>
          <w:lang w:val="pt-BR"/>
        </w:rPr>
        <w:t>falecimento</w:t>
      </w:r>
      <w:r w:rsidR="004756C1" w:rsidRPr="002F50BD">
        <w:rPr>
          <w:rFonts w:ascii="Verdana" w:hAnsi="Verdana"/>
          <w:sz w:val="20"/>
          <w:lang w:val="pt-BR"/>
        </w:rPr>
        <w:t xml:space="preserve"> de </w:t>
      </w:r>
      <w:r w:rsidR="0089298C" w:rsidRPr="002F50BD">
        <w:rPr>
          <w:rFonts w:ascii="Verdana" w:hAnsi="Verdana"/>
          <w:sz w:val="20"/>
          <w:lang w:val="pt-BR"/>
        </w:rPr>
        <w:t xml:space="preserve">sete </w:t>
      </w:r>
      <w:r w:rsidR="004756C1" w:rsidRPr="002F50BD">
        <w:rPr>
          <w:rFonts w:ascii="Verdana" w:hAnsi="Verdana"/>
          <w:sz w:val="20"/>
          <w:lang w:val="pt-BR"/>
        </w:rPr>
        <w:t>indígenas</w:t>
      </w:r>
      <w:r w:rsidR="0089298C" w:rsidRPr="002F50BD">
        <w:rPr>
          <w:rFonts w:ascii="Verdana" w:hAnsi="Verdana"/>
          <w:sz w:val="20"/>
          <w:lang w:val="pt-BR"/>
        </w:rPr>
        <w:t xml:space="preserve"> no </w:t>
      </w:r>
      <w:r w:rsidR="00AB454A" w:rsidRPr="002F50BD">
        <w:rPr>
          <w:rFonts w:ascii="Verdana" w:hAnsi="Verdana"/>
          <w:sz w:val="20"/>
          <w:lang w:val="pt-BR"/>
        </w:rPr>
        <w:t>assentamento</w:t>
      </w:r>
      <w:r w:rsidR="004756C1" w:rsidRPr="002F50BD">
        <w:rPr>
          <w:rFonts w:ascii="Verdana" w:hAnsi="Verdana"/>
          <w:sz w:val="20"/>
          <w:lang w:val="pt-BR"/>
        </w:rPr>
        <w:t>.</w:t>
      </w:r>
      <w:r w:rsidR="0089298C" w:rsidRPr="002F50BD">
        <w:rPr>
          <w:rFonts w:ascii="Verdana" w:hAnsi="Verdana"/>
          <w:sz w:val="20"/>
          <w:lang w:val="pt-BR"/>
        </w:rPr>
        <w:t xml:space="preserve"> </w:t>
      </w:r>
      <w:r w:rsidRPr="002F50BD">
        <w:rPr>
          <w:rFonts w:ascii="Verdana" w:hAnsi="Verdana"/>
          <w:sz w:val="20"/>
          <w:lang w:val="pt-BR"/>
        </w:rPr>
        <w:t xml:space="preserve">Com </w:t>
      </w:r>
      <w:r w:rsidR="004756C1" w:rsidRPr="002F50BD">
        <w:rPr>
          <w:rFonts w:ascii="Verdana" w:hAnsi="Verdana"/>
          <w:sz w:val="20"/>
          <w:lang w:val="pt-BR"/>
        </w:rPr>
        <w:t xml:space="preserve">base </w:t>
      </w:r>
      <w:r w:rsidRPr="002F50BD">
        <w:rPr>
          <w:rFonts w:ascii="Verdana" w:hAnsi="Verdana"/>
          <w:sz w:val="20"/>
          <w:lang w:val="pt-BR"/>
        </w:rPr>
        <w:t>em</w:t>
      </w:r>
      <w:r w:rsidR="004756C1" w:rsidRPr="002F50BD">
        <w:rPr>
          <w:rFonts w:ascii="Verdana" w:hAnsi="Verdana"/>
          <w:sz w:val="20"/>
          <w:lang w:val="pt-BR"/>
        </w:rPr>
        <w:t xml:space="preserve"> su</w:t>
      </w:r>
      <w:r w:rsidRPr="002F50BD">
        <w:rPr>
          <w:rFonts w:ascii="Verdana" w:hAnsi="Verdana"/>
          <w:sz w:val="20"/>
          <w:lang w:val="pt-BR"/>
        </w:rPr>
        <w:t>a</w:t>
      </w:r>
      <w:r w:rsidR="004756C1" w:rsidRPr="002F50BD">
        <w:rPr>
          <w:rFonts w:ascii="Verdana" w:hAnsi="Verdana"/>
          <w:sz w:val="20"/>
          <w:lang w:val="pt-BR"/>
        </w:rPr>
        <w:t xml:space="preserve"> exposi</w:t>
      </w:r>
      <w:r w:rsidR="0089298C" w:rsidRPr="002F50BD">
        <w:rPr>
          <w:rFonts w:ascii="Verdana" w:hAnsi="Verdana"/>
          <w:sz w:val="20"/>
          <w:lang w:val="pt-BR"/>
        </w:rPr>
        <w:t>ção</w:t>
      </w:r>
      <w:r w:rsidR="004756C1" w:rsidRPr="002F50BD">
        <w:rPr>
          <w:rFonts w:ascii="Verdana" w:hAnsi="Verdana"/>
          <w:sz w:val="20"/>
          <w:lang w:val="pt-BR"/>
        </w:rPr>
        <w:t xml:space="preserve"> </w:t>
      </w:r>
      <w:r w:rsidR="006A0A44" w:rsidRPr="002F50BD">
        <w:rPr>
          <w:rFonts w:ascii="Verdana" w:hAnsi="Verdana"/>
          <w:sz w:val="20"/>
          <w:lang w:val="pt-BR"/>
        </w:rPr>
        <w:t>dos</w:t>
      </w:r>
      <w:r w:rsidR="004756C1" w:rsidRPr="002F50BD">
        <w:rPr>
          <w:rFonts w:ascii="Verdana" w:hAnsi="Verdana"/>
          <w:sz w:val="20"/>
          <w:lang w:val="pt-BR"/>
        </w:rPr>
        <w:t xml:space="preserve"> </w:t>
      </w:r>
      <w:r w:rsidR="0089298C" w:rsidRPr="002F50BD">
        <w:rPr>
          <w:rFonts w:ascii="Verdana" w:hAnsi="Verdana"/>
          <w:sz w:val="20"/>
          <w:lang w:val="pt-BR"/>
        </w:rPr>
        <w:t>fatos</w:t>
      </w:r>
      <w:r w:rsidR="006A0A44"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alega que</w:t>
      </w:r>
      <w:r w:rsidR="0089298C" w:rsidRPr="002F50BD">
        <w:rPr>
          <w:rFonts w:ascii="Verdana" w:hAnsi="Verdana"/>
          <w:sz w:val="20"/>
          <w:lang w:val="pt-BR"/>
        </w:rPr>
        <w:t xml:space="preserve"> o </w:t>
      </w:r>
      <w:r w:rsidR="00243D2E" w:rsidRPr="002F50BD">
        <w:rPr>
          <w:rFonts w:ascii="Verdana" w:hAnsi="Verdana"/>
          <w:sz w:val="20"/>
          <w:lang w:val="pt-BR"/>
        </w:rPr>
        <w:t>Estado do</w:t>
      </w:r>
      <w:r w:rsidR="004756C1" w:rsidRPr="002F50BD">
        <w:rPr>
          <w:rFonts w:ascii="Verdana" w:hAnsi="Verdana"/>
          <w:sz w:val="20"/>
          <w:lang w:val="pt-BR"/>
        </w:rPr>
        <w:t xml:space="preserve"> </w:t>
      </w:r>
      <w:r w:rsidR="0089298C" w:rsidRPr="002F50BD">
        <w:rPr>
          <w:rFonts w:ascii="Verdana" w:hAnsi="Verdana"/>
          <w:sz w:val="20"/>
          <w:lang w:val="pt-BR"/>
        </w:rPr>
        <w:t>Paraguai</w:t>
      </w:r>
      <w:r w:rsidR="004756C1" w:rsidRPr="002F50BD">
        <w:rPr>
          <w:rFonts w:ascii="Verdana" w:hAnsi="Verdana"/>
          <w:sz w:val="20"/>
          <w:lang w:val="pt-BR"/>
        </w:rPr>
        <w:t xml:space="preserve"> </w:t>
      </w:r>
      <w:r w:rsidR="004076AD" w:rsidRPr="002F50BD">
        <w:rPr>
          <w:rFonts w:ascii="Verdana" w:hAnsi="Verdana"/>
          <w:sz w:val="20"/>
          <w:lang w:val="pt-BR"/>
        </w:rPr>
        <w:t>descumpriu</w:t>
      </w:r>
      <w:r w:rsidR="0089298C" w:rsidRPr="002F50BD">
        <w:rPr>
          <w:rFonts w:ascii="Verdana" w:hAnsi="Verdana"/>
          <w:sz w:val="20"/>
          <w:lang w:val="pt-BR"/>
        </w:rPr>
        <w:t xml:space="preserve"> a obrigação</w:t>
      </w:r>
      <w:r w:rsidR="004756C1" w:rsidRPr="002F50BD">
        <w:rPr>
          <w:rFonts w:ascii="Verdana" w:hAnsi="Verdana"/>
          <w:sz w:val="20"/>
          <w:lang w:val="pt-BR"/>
        </w:rPr>
        <w:t xml:space="preserve"> de </w:t>
      </w:r>
      <w:r w:rsidR="0089298C" w:rsidRPr="002F50BD">
        <w:rPr>
          <w:rFonts w:ascii="Verdana" w:hAnsi="Verdana"/>
          <w:sz w:val="20"/>
          <w:lang w:val="pt-BR"/>
        </w:rPr>
        <w:t xml:space="preserve">garantir o direito à </w:t>
      </w:r>
      <w:r w:rsidR="004756C1" w:rsidRPr="002F50BD">
        <w:rPr>
          <w:rFonts w:ascii="Verdana" w:hAnsi="Verdana"/>
          <w:sz w:val="20"/>
          <w:lang w:val="pt-BR"/>
        </w:rPr>
        <w:t>vida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00063B47" w:rsidRPr="002F50BD">
        <w:rPr>
          <w:rFonts w:ascii="Verdana" w:hAnsi="Verdana"/>
          <w:sz w:val="20"/>
          <w:lang w:val="pt-BR"/>
        </w:rPr>
        <w:t>4</w:t>
      </w:r>
      <w:r w:rsidRPr="002F50BD">
        <w:rPr>
          <w:rFonts w:ascii="Verdana" w:hAnsi="Verdana"/>
          <w:sz w:val="20"/>
          <w:lang w:val="pt-BR"/>
        </w:rPr>
        <w:t>,</w:t>
      </w:r>
      <w:r w:rsidR="0089298C" w:rsidRPr="002F50BD">
        <w:rPr>
          <w:rFonts w:ascii="Verdana" w:hAnsi="Verdana"/>
          <w:sz w:val="20"/>
          <w:lang w:val="pt-BR"/>
        </w:rPr>
        <w:t xml:space="preserve"> </w:t>
      </w:r>
      <w:r w:rsidR="00452B62" w:rsidRPr="002F50BD">
        <w:rPr>
          <w:rFonts w:ascii="Verdana" w:hAnsi="Verdana"/>
          <w:sz w:val="20"/>
          <w:lang w:val="pt-BR"/>
        </w:rPr>
        <w:t xml:space="preserve">em relação ao artigo </w:t>
      </w:r>
      <w:r w:rsidR="00063B47" w:rsidRPr="002F50BD">
        <w:rPr>
          <w:rFonts w:ascii="Verdana" w:hAnsi="Verdana"/>
          <w:sz w:val="20"/>
          <w:lang w:val="pt-BR"/>
        </w:rPr>
        <w:t>1</w:t>
      </w:r>
      <w:r w:rsidR="00CF451D" w:rsidRPr="00CF451D">
        <w:rPr>
          <w:rFonts w:ascii="Verdana" w:hAnsi="Verdana"/>
          <w:sz w:val="20"/>
          <w:lang w:val="pt-BR"/>
        </w:rPr>
        <w:t>(</w:t>
      </w:r>
      <w:r w:rsidR="00063B47" w:rsidRPr="002F50BD">
        <w:rPr>
          <w:rFonts w:ascii="Verdana" w:hAnsi="Verdana"/>
          <w:sz w:val="20"/>
          <w:lang w:val="pt-BR"/>
        </w:rPr>
        <w:t>1</w:t>
      </w:r>
      <w:r w:rsidR="00CF451D" w:rsidRPr="00CF451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w:t>
      </w:r>
      <w:r w:rsidRPr="002F50BD">
        <w:rPr>
          <w:rFonts w:ascii="Verdana" w:hAnsi="Verdana"/>
          <w:sz w:val="20"/>
          <w:lang w:val="pt-BR"/>
        </w:rPr>
        <w:t xml:space="preserve">detrimento </w:t>
      </w:r>
      <w:r w:rsidR="0089298C" w:rsidRPr="002F50BD">
        <w:rPr>
          <w:rFonts w:ascii="Verdana" w:hAnsi="Verdana"/>
          <w:sz w:val="20"/>
          <w:lang w:val="pt-BR"/>
        </w:rPr>
        <w:t xml:space="preserve">da Comunidade </w:t>
      </w:r>
      <w:r w:rsidR="004756C1" w:rsidRPr="002F50BD">
        <w:rPr>
          <w:rFonts w:ascii="Verdana" w:hAnsi="Verdana"/>
          <w:sz w:val="20"/>
          <w:lang w:val="pt-BR"/>
        </w:rPr>
        <w:t>indígena Yakye Axa</w:t>
      </w:r>
      <w:r w:rsidRPr="002F50BD">
        <w:rPr>
          <w:rFonts w:ascii="Verdana" w:hAnsi="Verdana"/>
          <w:sz w:val="20"/>
          <w:lang w:val="pt-BR"/>
        </w:rPr>
        <w:t>.</w:t>
      </w:r>
      <w:r w:rsidR="004756C1" w:rsidRPr="002F50BD">
        <w:rPr>
          <w:rStyle w:val="FootnoteReference"/>
          <w:rFonts w:ascii="Verdana" w:hAnsi="Verdana"/>
        </w:rPr>
        <w:footnoteReference w:id="238"/>
      </w:r>
    </w:p>
    <w:p w:rsidR="004756C1" w:rsidRPr="002F50BD" w:rsidRDefault="004756C1">
      <w:pPr>
        <w:pStyle w:val="BodyText"/>
        <w:rPr>
          <w:rFonts w:ascii="Verdana" w:hAnsi="Verdana"/>
          <w:sz w:val="20"/>
          <w:lang w:val="pt-BR"/>
        </w:rPr>
      </w:pPr>
    </w:p>
    <w:p w:rsidR="004756C1" w:rsidRPr="002F50BD" w:rsidRDefault="0089298C">
      <w:pPr>
        <w:pStyle w:val="BodyText"/>
        <w:rPr>
          <w:rFonts w:ascii="Verdana" w:hAnsi="Verdana"/>
          <w:sz w:val="20"/>
          <w:lang w:val="pt-BR"/>
        </w:rPr>
      </w:pPr>
      <w:r w:rsidRPr="002F50BD">
        <w:rPr>
          <w:rFonts w:ascii="Verdana" w:hAnsi="Verdana"/>
          <w:sz w:val="20"/>
          <w:lang w:val="pt-BR"/>
        </w:rPr>
        <w:t xml:space="preserve">Na </w:t>
      </w:r>
      <w:r w:rsidR="004756C1" w:rsidRPr="002F50BD">
        <w:rPr>
          <w:rFonts w:ascii="Verdana" w:hAnsi="Verdana"/>
          <w:sz w:val="20"/>
          <w:lang w:val="pt-BR"/>
        </w:rPr>
        <w:t>contesta</w:t>
      </w:r>
      <w:r w:rsidRPr="002F50BD">
        <w:rPr>
          <w:rFonts w:ascii="Verdana" w:hAnsi="Verdana"/>
          <w:sz w:val="20"/>
          <w:lang w:val="pt-BR"/>
        </w:rPr>
        <w:t xml:space="preserve">ção da </w:t>
      </w:r>
      <w:r w:rsidR="004756C1" w:rsidRPr="002F50BD">
        <w:rPr>
          <w:rFonts w:ascii="Verdana" w:hAnsi="Verdana"/>
          <w:sz w:val="20"/>
          <w:lang w:val="pt-BR"/>
        </w:rPr>
        <w:t>demanda</w:t>
      </w:r>
      <w:r w:rsidR="006A0A44" w:rsidRPr="002F50B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 xml:space="preserve">o </w:t>
      </w:r>
      <w:r w:rsidR="004756C1" w:rsidRPr="002F50BD">
        <w:rPr>
          <w:rFonts w:ascii="Verdana" w:hAnsi="Verdana"/>
          <w:sz w:val="20"/>
          <w:lang w:val="pt-BR"/>
        </w:rPr>
        <w:t>Estado d</w:t>
      </w:r>
      <w:r w:rsidR="00195105" w:rsidRPr="002F50BD">
        <w:rPr>
          <w:rFonts w:ascii="Verdana" w:hAnsi="Verdana"/>
          <w:sz w:val="20"/>
          <w:lang w:val="pt-BR"/>
        </w:rPr>
        <w:t>o</w:t>
      </w:r>
      <w:r w:rsidR="004756C1" w:rsidRPr="002F50BD">
        <w:rPr>
          <w:rFonts w:ascii="Verdana" w:hAnsi="Verdana"/>
          <w:sz w:val="20"/>
          <w:lang w:val="pt-BR"/>
        </w:rPr>
        <w:t xml:space="preserve"> </w:t>
      </w:r>
      <w:r w:rsidRPr="002F50BD">
        <w:rPr>
          <w:rFonts w:ascii="Verdana" w:hAnsi="Verdana"/>
          <w:sz w:val="20"/>
          <w:lang w:val="pt-BR"/>
        </w:rPr>
        <w:t>Paraguai</w:t>
      </w:r>
      <w:r w:rsidR="004756C1" w:rsidRPr="002F50BD">
        <w:rPr>
          <w:rFonts w:ascii="Verdana" w:hAnsi="Verdana"/>
          <w:sz w:val="20"/>
          <w:lang w:val="pt-BR"/>
        </w:rPr>
        <w:t xml:space="preserve"> </w:t>
      </w:r>
      <w:r w:rsidR="00A157C9">
        <w:rPr>
          <w:rFonts w:ascii="Verdana" w:hAnsi="Verdana"/>
          <w:sz w:val="20"/>
          <w:lang w:val="pt-BR"/>
        </w:rPr>
        <w:t>rejeita</w:t>
      </w:r>
      <w:r w:rsidRPr="002F50BD">
        <w:rPr>
          <w:rFonts w:ascii="Verdana" w:hAnsi="Verdana"/>
          <w:sz w:val="20"/>
          <w:lang w:val="pt-BR"/>
        </w:rPr>
        <w:t xml:space="preserve"> a </w:t>
      </w:r>
      <w:r w:rsidR="004756C1" w:rsidRPr="002F50BD">
        <w:rPr>
          <w:rFonts w:ascii="Verdana" w:hAnsi="Verdana"/>
          <w:sz w:val="20"/>
          <w:lang w:val="pt-BR"/>
        </w:rPr>
        <w:t>acusa</w:t>
      </w:r>
      <w:r w:rsidRPr="002F50BD">
        <w:rPr>
          <w:rFonts w:ascii="Verdana" w:hAnsi="Verdana"/>
          <w:sz w:val="20"/>
          <w:lang w:val="pt-BR"/>
        </w:rPr>
        <w:t>ção</w:t>
      </w:r>
      <w:r w:rsidR="004756C1" w:rsidRPr="002F50BD">
        <w:rPr>
          <w:rFonts w:ascii="Verdana" w:hAnsi="Verdana"/>
          <w:sz w:val="20"/>
          <w:lang w:val="pt-BR"/>
        </w:rPr>
        <w:t xml:space="preserve"> mencionada, </w:t>
      </w:r>
      <w:r w:rsidR="00195105" w:rsidRPr="002F50BD">
        <w:rPr>
          <w:rFonts w:ascii="Verdana" w:hAnsi="Verdana"/>
          <w:sz w:val="20"/>
          <w:lang w:val="pt-BR"/>
        </w:rPr>
        <w:t xml:space="preserve">acata a </w:t>
      </w:r>
      <w:r w:rsidRPr="002F50BD">
        <w:rPr>
          <w:rFonts w:ascii="Verdana" w:hAnsi="Verdana"/>
          <w:sz w:val="20"/>
          <w:lang w:val="pt-BR"/>
        </w:rPr>
        <w:t xml:space="preserve">pretensão dos </w:t>
      </w:r>
      <w:r w:rsidR="008C29C9" w:rsidRPr="002F50BD">
        <w:rPr>
          <w:rFonts w:ascii="Verdana" w:hAnsi="Verdana"/>
          <w:sz w:val="20"/>
          <w:lang w:val="pt-BR"/>
        </w:rPr>
        <w:t>representante</w:t>
      </w:r>
      <w:r w:rsidR="004756C1" w:rsidRPr="002F50BD">
        <w:rPr>
          <w:rFonts w:ascii="Verdana" w:hAnsi="Verdana"/>
          <w:sz w:val="20"/>
          <w:lang w:val="pt-BR"/>
        </w:rPr>
        <w:t>s</w:t>
      </w:r>
      <w:r w:rsidRPr="002F50BD">
        <w:rPr>
          <w:rFonts w:ascii="Verdana" w:hAnsi="Verdana"/>
          <w:sz w:val="20"/>
          <w:lang w:val="pt-BR"/>
        </w:rPr>
        <w:t xml:space="preserve"> das </w:t>
      </w:r>
      <w:r w:rsidR="004756C1" w:rsidRPr="002F50BD">
        <w:rPr>
          <w:rFonts w:ascii="Verdana" w:hAnsi="Verdana"/>
          <w:sz w:val="20"/>
          <w:lang w:val="pt-BR"/>
        </w:rPr>
        <w:t>su</w:t>
      </w:r>
      <w:r w:rsidRPr="002F50BD">
        <w:rPr>
          <w:rFonts w:ascii="Verdana" w:hAnsi="Verdana"/>
          <w:sz w:val="20"/>
          <w:lang w:val="pt-BR"/>
        </w:rPr>
        <w:t>posta</w:t>
      </w:r>
      <w:r w:rsidR="004756C1" w:rsidRPr="002F50BD">
        <w:rPr>
          <w:rFonts w:ascii="Verdana" w:hAnsi="Verdana"/>
          <w:sz w:val="20"/>
          <w:lang w:val="pt-BR"/>
        </w:rPr>
        <w:t xml:space="preserve">s </w:t>
      </w:r>
      <w:r w:rsidRPr="002F50BD">
        <w:rPr>
          <w:rFonts w:ascii="Verdana" w:hAnsi="Verdana"/>
          <w:sz w:val="20"/>
          <w:lang w:val="pt-BR"/>
        </w:rPr>
        <w:t>vítima</w:t>
      </w:r>
      <w:r w:rsidR="004756C1" w:rsidRPr="002F50BD">
        <w:rPr>
          <w:rFonts w:ascii="Verdana" w:hAnsi="Verdana"/>
          <w:sz w:val="20"/>
          <w:lang w:val="pt-BR"/>
        </w:rPr>
        <w:t>s de rec</w:t>
      </w:r>
      <w:r w:rsidR="00195105" w:rsidRPr="002F50BD">
        <w:rPr>
          <w:rFonts w:ascii="Verdana" w:hAnsi="Verdana"/>
          <w:sz w:val="20"/>
          <w:lang w:val="pt-BR"/>
        </w:rPr>
        <w:t>o</w:t>
      </w:r>
      <w:r w:rsidR="004756C1" w:rsidRPr="002F50BD">
        <w:rPr>
          <w:rFonts w:ascii="Verdana" w:hAnsi="Verdana"/>
          <w:sz w:val="20"/>
          <w:lang w:val="pt-BR"/>
        </w:rPr>
        <w:t>rr</w:t>
      </w:r>
      <w:r w:rsidR="00195105" w:rsidRPr="002F50BD">
        <w:rPr>
          <w:rFonts w:ascii="Verdana" w:hAnsi="Verdana"/>
          <w:sz w:val="20"/>
          <w:lang w:val="pt-BR"/>
        </w:rPr>
        <w:t>e</w:t>
      </w:r>
      <w:r w:rsidR="004756C1" w:rsidRPr="002F50BD">
        <w:rPr>
          <w:rFonts w:ascii="Verdana" w:hAnsi="Verdana"/>
          <w:sz w:val="20"/>
          <w:lang w:val="pt-BR"/>
        </w:rPr>
        <w:t>r a</w:t>
      </w:r>
      <w:r w:rsidRPr="002F50BD">
        <w:rPr>
          <w:rFonts w:ascii="Verdana" w:hAnsi="Verdana"/>
          <w:sz w:val="20"/>
          <w:lang w:val="pt-BR"/>
        </w:rPr>
        <w:t xml:space="preserve"> uma perícia</w:t>
      </w:r>
      <w:r w:rsidR="004756C1" w:rsidRPr="002F50BD">
        <w:rPr>
          <w:rFonts w:ascii="Verdana" w:hAnsi="Verdana"/>
          <w:sz w:val="20"/>
          <w:lang w:val="pt-BR"/>
        </w:rPr>
        <w:t xml:space="preserve"> </w:t>
      </w:r>
      <w:r w:rsidR="00B9255D" w:rsidRPr="002F50BD">
        <w:rPr>
          <w:rFonts w:ascii="Verdana" w:hAnsi="Verdana"/>
          <w:sz w:val="20"/>
          <w:lang w:val="pt-BR"/>
        </w:rPr>
        <w:t>sobre a</w:t>
      </w:r>
      <w:r w:rsidRPr="002F50BD">
        <w:rPr>
          <w:rFonts w:ascii="Verdana" w:hAnsi="Verdana"/>
          <w:sz w:val="20"/>
          <w:lang w:val="pt-BR"/>
        </w:rPr>
        <w:t xml:space="preserve">s </w:t>
      </w:r>
      <w:r w:rsidR="004756C1" w:rsidRPr="002F50BD">
        <w:rPr>
          <w:rFonts w:ascii="Verdana" w:hAnsi="Verdana"/>
          <w:sz w:val="20"/>
          <w:lang w:val="pt-BR"/>
        </w:rPr>
        <w:t xml:space="preserve">causas </w:t>
      </w:r>
      <w:r w:rsidRPr="002F50BD">
        <w:rPr>
          <w:rFonts w:ascii="Verdana" w:hAnsi="Verdana"/>
          <w:sz w:val="20"/>
          <w:lang w:val="pt-BR"/>
        </w:rPr>
        <w:t xml:space="preserve">dos </w:t>
      </w:r>
      <w:r w:rsidR="00367FD1" w:rsidRPr="002F50BD">
        <w:rPr>
          <w:rFonts w:ascii="Verdana" w:hAnsi="Verdana"/>
          <w:sz w:val="20"/>
          <w:lang w:val="pt-BR"/>
        </w:rPr>
        <w:t>falecimento</w:t>
      </w:r>
      <w:r w:rsidR="004756C1" w:rsidRPr="002F50BD">
        <w:rPr>
          <w:rFonts w:ascii="Verdana" w:hAnsi="Verdana"/>
          <w:sz w:val="20"/>
          <w:lang w:val="pt-BR"/>
        </w:rPr>
        <w:t>s</w:t>
      </w:r>
      <w:r w:rsidRPr="002F50BD">
        <w:rPr>
          <w:rFonts w:ascii="Verdana" w:hAnsi="Verdana"/>
          <w:sz w:val="20"/>
          <w:lang w:val="pt-BR"/>
        </w:rPr>
        <w:t xml:space="preserve"> em questão e</w:t>
      </w:r>
      <w:r w:rsidR="004756C1" w:rsidRPr="002F50BD">
        <w:rPr>
          <w:rFonts w:ascii="Verdana" w:hAnsi="Verdana"/>
          <w:sz w:val="20"/>
          <w:lang w:val="pt-BR"/>
        </w:rPr>
        <w:t xml:space="preserve"> </w:t>
      </w:r>
      <w:r w:rsidRPr="002F50BD">
        <w:rPr>
          <w:rFonts w:ascii="Verdana" w:hAnsi="Verdana"/>
          <w:sz w:val="20"/>
          <w:lang w:val="pt-BR"/>
        </w:rPr>
        <w:t xml:space="preserve">afirma </w:t>
      </w:r>
      <w:r w:rsidR="004756C1" w:rsidRPr="002F50BD">
        <w:rPr>
          <w:rFonts w:ascii="Verdana" w:hAnsi="Verdana"/>
          <w:sz w:val="20"/>
          <w:lang w:val="pt-BR"/>
        </w:rPr>
        <w:t>que</w:t>
      </w:r>
      <w:r w:rsidRPr="002F50BD">
        <w:rPr>
          <w:rFonts w:ascii="Verdana" w:hAnsi="Verdana"/>
          <w:sz w:val="20"/>
          <w:lang w:val="pt-BR"/>
        </w:rPr>
        <w:t xml:space="preserve"> </w:t>
      </w:r>
      <w:r w:rsidR="00195105" w:rsidRPr="002F50BD">
        <w:rPr>
          <w:rFonts w:ascii="Verdana" w:hAnsi="Verdana"/>
          <w:sz w:val="20"/>
          <w:lang w:val="pt-BR"/>
        </w:rPr>
        <w:t xml:space="preserve">a reclamação não foi apresentada ao </w:t>
      </w:r>
      <w:r w:rsidR="004756C1" w:rsidRPr="002F50BD">
        <w:rPr>
          <w:rFonts w:ascii="Verdana" w:hAnsi="Verdana"/>
          <w:sz w:val="20"/>
          <w:lang w:val="pt-BR"/>
        </w:rPr>
        <w:t>sistema judicial nacional</w:t>
      </w:r>
      <w:r w:rsidR="00195105" w:rsidRPr="002F50BD">
        <w:rPr>
          <w:rFonts w:ascii="Verdana" w:hAnsi="Verdana"/>
          <w:sz w:val="20"/>
          <w:lang w:val="pt-BR"/>
        </w:rPr>
        <w:t>.</w:t>
      </w:r>
      <w:r w:rsidR="004756C1" w:rsidRPr="002F50BD">
        <w:rPr>
          <w:rStyle w:val="FootnoteReference"/>
          <w:rFonts w:ascii="Verdana" w:hAnsi="Verdana"/>
        </w:rPr>
        <w:footnoteReference w:id="239"/>
      </w:r>
      <w:r w:rsidR="00FE08B7">
        <w:rPr>
          <w:rFonts w:ascii="Verdana" w:hAnsi="Verdana"/>
          <w:sz w:val="20"/>
          <w:lang w:val="pt-BR"/>
        </w:rPr>
        <w:t xml:space="preserve">   </w:t>
      </w:r>
      <w:r w:rsidR="004756C1" w:rsidRPr="002F50BD">
        <w:rPr>
          <w:rFonts w:ascii="Verdana" w:hAnsi="Verdana"/>
          <w:sz w:val="20"/>
          <w:lang w:val="pt-BR"/>
        </w:rPr>
        <w:t xml:space="preserve"> </w:t>
      </w:r>
    </w:p>
    <w:p w:rsidR="004756C1" w:rsidRPr="002F50BD" w:rsidRDefault="004756C1">
      <w:pPr>
        <w:pStyle w:val="BodyText"/>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lastRenderedPageBreak/>
        <w:t>10</w:t>
      </w:r>
      <w:r w:rsidR="004756C1" w:rsidRPr="002F50BD">
        <w:rPr>
          <w:rFonts w:ascii="Verdana" w:hAnsi="Verdana"/>
          <w:sz w:val="20"/>
          <w:lang w:val="pt-BR"/>
        </w:rPr>
        <w:t>.</w:t>
      </w:r>
      <w:r w:rsidR="004756C1" w:rsidRPr="002F50BD">
        <w:rPr>
          <w:rFonts w:ascii="Verdana" w:hAnsi="Verdana"/>
          <w:sz w:val="20"/>
          <w:lang w:val="pt-BR"/>
        </w:rPr>
        <w:tab/>
      </w:r>
      <w:r w:rsidR="00F46680" w:rsidRPr="002F50BD">
        <w:rPr>
          <w:rFonts w:ascii="Verdana" w:hAnsi="Verdana"/>
          <w:sz w:val="20"/>
          <w:lang w:val="pt-BR"/>
        </w:rPr>
        <w:t xml:space="preserve">Quanto </w:t>
      </w:r>
      <w:r w:rsidR="0089298C" w:rsidRPr="002F50BD">
        <w:rPr>
          <w:rFonts w:ascii="Verdana" w:hAnsi="Verdana"/>
          <w:sz w:val="20"/>
          <w:lang w:val="pt-BR"/>
        </w:rPr>
        <w:t xml:space="preserve">aos </w:t>
      </w:r>
      <w:r w:rsidR="004756C1" w:rsidRPr="002F50BD">
        <w:rPr>
          <w:rFonts w:ascii="Verdana" w:hAnsi="Verdana"/>
          <w:sz w:val="20"/>
          <w:lang w:val="pt-BR"/>
        </w:rPr>
        <w:t xml:space="preserve">fundamentos de </w:t>
      </w:r>
      <w:r w:rsidR="0089298C" w:rsidRPr="002F50BD">
        <w:rPr>
          <w:rFonts w:ascii="Verdana" w:hAnsi="Verdana"/>
          <w:sz w:val="20"/>
          <w:lang w:val="pt-BR"/>
        </w:rPr>
        <w:t>direito</w:t>
      </w:r>
      <w:r w:rsidR="004756C1" w:rsidRPr="002F50BD">
        <w:rPr>
          <w:rFonts w:ascii="Verdana" w:hAnsi="Verdana"/>
          <w:sz w:val="20"/>
          <w:lang w:val="pt-BR"/>
        </w:rPr>
        <w:t xml:space="preserve">, </w:t>
      </w:r>
      <w:r w:rsidR="0089298C" w:rsidRPr="002F50BD">
        <w:rPr>
          <w:rFonts w:ascii="Verdana" w:hAnsi="Verdana"/>
          <w:sz w:val="20"/>
          <w:lang w:val="pt-BR"/>
        </w:rPr>
        <w:t>deve</w:t>
      </w:r>
      <w:r w:rsidR="00195105"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ter</w:t>
      </w:r>
      <w:r w:rsidR="00195105" w:rsidRPr="002F50BD">
        <w:rPr>
          <w:rFonts w:ascii="Verdana" w:hAnsi="Verdana"/>
          <w:sz w:val="20"/>
          <w:lang w:val="pt-BR"/>
        </w:rPr>
        <w:t xml:space="preserve"> </w:t>
      </w:r>
      <w:r w:rsidR="004756C1" w:rsidRPr="002F50BD">
        <w:rPr>
          <w:rFonts w:ascii="Verdana" w:hAnsi="Verdana"/>
          <w:sz w:val="20"/>
          <w:lang w:val="pt-BR"/>
        </w:rPr>
        <w:t>presente que</w:t>
      </w:r>
      <w:r w:rsidR="0089298C" w:rsidRPr="002F50BD">
        <w:rPr>
          <w:rFonts w:ascii="Verdana" w:hAnsi="Verdana"/>
          <w:sz w:val="20"/>
          <w:lang w:val="pt-BR"/>
        </w:rPr>
        <w:t xml:space="preserve"> a </w:t>
      </w:r>
      <w:r w:rsidR="004756C1" w:rsidRPr="002F50BD">
        <w:rPr>
          <w:rFonts w:ascii="Verdana" w:hAnsi="Verdana"/>
          <w:sz w:val="20"/>
          <w:lang w:val="pt-BR"/>
        </w:rPr>
        <w:t>Corte Interamericana,</w:t>
      </w:r>
      <w:r w:rsidR="0089298C" w:rsidRPr="002F50BD">
        <w:rPr>
          <w:rFonts w:ascii="Verdana" w:hAnsi="Verdana"/>
          <w:sz w:val="20"/>
          <w:lang w:val="pt-BR"/>
        </w:rPr>
        <w:t xml:space="preserve"> </w:t>
      </w:r>
      <w:r w:rsidR="00195105" w:rsidRPr="002F50BD">
        <w:rPr>
          <w:rFonts w:ascii="Verdana" w:hAnsi="Verdana"/>
          <w:sz w:val="20"/>
          <w:lang w:val="pt-BR"/>
        </w:rPr>
        <w:t>no</w:t>
      </w:r>
      <w:r w:rsidR="0089298C" w:rsidRPr="002F50BD">
        <w:rPr>
          <w:rFonts w:ascii="Verdana" w:hAnsi="Verdana"/>
          <w:sz w:val="20"/>
          <w:lang w:val="pt-BR"/>
        </w:rPr>
        <w:t xml:space="preserve"> exercício</w:t>
      </w:r>
      <w:r w:rsidR="004756C1" w:rsidRPr="002F50BD">
        <w:rPr>
          <w:rFonts w:ascii="Verdana" w:hAnsi="Verdana"/>
          <w:sz w:val="20"/>
          <w:lang w:val="pt-BR"/>
        </w:rPr>
        <w:t xml:space="preserve"> de </w:t>
      </w:r>
      <w:r w:rsidR="0089298C" w:rsidRPr="002F50BD">
        <w:rPr>
          <w:rFonts w:ascii="Verdana" w:hAnsi="Verdana"/>
          <w:sz w:val="20"/>
          <w:lang w:val="pt-BR"/>
        </w:rPr>
        <w:t>sua jurisdição</w:t>
      </w:r>
      <w:r w:rsidR="004756C1" w:rsidRPr="002F50BD">
        <w:rPr>
          <w:rFonts w:ascii="Verdana" w:hAnsi="Verdana"/>
          <w:sz w:val="20"/>
          <w:lang w:val="pt-BR"/>
        </w:rPr>
        <w:t xml:space="preserve"> contenciosa,</w:t>
      </w:r>
      <w:r w:rsidR="0089298C" w:rsidRPr="002F50BD">
        <w:rPr>
          <w:rFonts w:ascii="Verdana" w:hAnsi="Verdana"/>
          <w:sz w:val="20"/>
          <w:lang w:val="pt-BR"/>
        </w:rPr>
        <w:t xml:space="preserve"> deve </w:t>
      </w:r>
      <w:r w:rsidR="004756C1" w:rsidRPr="002F50BD">
        <w:rPr>
          <w:rFonts w:ascii="Verdana" w:hAnsi="Verdana"/>
          <w:sz w:val="20"/>
          <w:lang w:val="pt-BR"/>
        </w:rPr>
        <w:t>interpretar</w:t>
      </w:r>
      <w:r w:rsidR="0089298C" w:rsidRPr="002F50BD">
        <w:rPr>
          <w:rFonts w:ascii="Verdana" w:hAnsi="Verdana"/>
          <w:sz w:val="20"/>
          <w:lang w:val="pt-BR"/>
        </w:rPr>
        <w:t xml:space="preserve"> as </w:t>
      </w:r>
      <w:r w:rsidR="004756C1" w:rsidRPr="002F50BD">
        <w:rPr>
          <w:rFonts w:ascii="Verdana" w:hAnsi="Verdana"/>
          <w:sz w:val="20"/>
          <w:lang w:val="pt-BR"/>
        </w:rPr>
        <w:t>disposi</w:t>
      </w:r>
      <w:r w:rsidR="0089298C" w:rsidRPr="002F50BD">
        <w:rPr>
          <w:rFonts w:ascii="Verdana" w:hAnsi="Verdana"/>
          <w:sz w:val="20"/>
          <w:lang w:val="pt-BR"/>
        </w:rPr>
        <w:t xml:space="preserve">ções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conforme</w:t>
      </w:r>
      <w:r w:rsidR="0089298C" w:rsidRPr="002F50BD">
        <w:rPr>
          <w:rFonts w:ascii="Verdana" w:hAnsi="Verdana"/>
          <w:sz w:val="20"/>
          <w:lang w:val="pt-BR"/>
        </w:rPr>
        <w:t xml:space="preserve"> </w:t>
      </w:r>
      <w:r w:rsidR="00195105"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normas</w:t>
      </w:r>
      <w:r w:rsidR="0089298C" w:rsidRPr="002F50BD">
        <w:rPr>
          <w:rFonts w:ascii="Verdana" w:hAnsi="Verdana"/>
          <w:sz w:val="20"/>
          <w:lang w:val="pt-BR"/>
        </w:rPr>
        <w:t xml:space="preserve"> desse </w:t>
      </w:r>
      <w:r w:rsidR="004756C1" w:rsidRPr="002F50BD">
        <w:rPr>
          <w:rFonts w:ascii="Verdana" w:hAnsi="Verdana"/>
          <w:sz w:val="20"/>
          <w:lang w:val="pt-BR"/>
        </w:rPr>
        <w:t>instrumento</w:t>
      </w:r>
      <w:r w:rsidR="0089298C" w:rsidRPr="002F50BD">
        <w:rPr>
          <w:rFonts w:ascii="Verdana" w:hAnsi="Verdana"/>
          <w:sz w:val="20"/>
          <w:lang w:val="pt-BR"/>
        </w:rPr>
        <w:t xml:space="preserve"> e </w:t>
      </w:r>
      <w:r w:rsidR="00195105" w:rsidRPr="002F50BD">
        <w:rPr>
          <w:rFonts w:ascii="Verdana" w:hAnsi="Verdana"/>
          <w:sz w:val="20"/>
          <w:lang w:val="pt-BR"/>
        </w:rPr>
        <w:t>a</w:t>
      </w:r>
      <w:r w:rsidR="0089298C" w:rsidRPr="002F50BD">
        <w:rPr>
          <w:rFonts w:ascii="Verdana" w:hAnsi="Verdana"/>
          <w:sz w:val="20"/>
          <w:lang w:val="pt-BR"/>
        </w:rPr>
        <w:t>s demais</w:t>
      </w:r>
      <w:r w:rsidR="004756C1" w:rsidRPr="002F50BD">
        <w:rPr>
          <w:rFonts w:ascii="Verdana" w:hAnsi="Verdana"/>
          <w:sz w:val="20"/>
          <w:lang w:val="pt-BR"/>
        </w:rPr>
        <w:t xml:space="preserve"> que </w:t>
      </w:r>
      <w:r w:rsidR="00195105" w:rsidRPr="002F50BD">
        <w:rPr>
          <w:rFonts w:ascii="Verdana" w:hAnsi="Verdana"/>
          <w:sz w:val="20"/>
          <w:lang w:val="pt-BR"/>
        </w:rPr>
        <w:t xml:space="preserve">possam </w:t>
      </w:r>
      <w:r w:rsidR="004756C1" w:rsidRPr="002F50BD">
        <w:rPr>
          <w:rFonts w:ascii="Verdana" w:hAnsi="Verdana"/>
          <w:sz w:val="20"/>
          <w:lang w:val="pt-BR"/>
        </w:rPr>
        <w:t>ser invocadas</w:t>
      </w:r>
      <w:r w:rsidR="0089298C" w:rsidRPr="002F50BD">
        <w:rPr>
          <w:rFonts w:ascii="Verdana" w:hAnsi="Verdana"/>
          <w:sz w:val="20"/>
          <w:lang w:val="pt-BR"/>
        </w:rPr>
        <w:t xml:space="preserve"> no </w:t>
      </w:r>
      <w:r w:rsidR="004756C1" w:rsidRPr="002F50BD">
        <w:rPr>
          <w:rFonts w:ascii="Verdana" w:hAnsi="Verdana"/>
          <w:sz w:val="20"/>
          <w:lang w:val="pt-BR"/>
        </w:rPr>
        <w:t xml:space="preserve">marco </w:t>
      </w:r>
      <w:r w:rsidR="0089298C" w:rsidRPr="002F50BD">
        <w:rPr>
          <w:rFonts w:ascii="Verdana" w:hAnsi="Verdana"/>
          <w:sz w:val="20"/>
          <w:lang w:val="pt-BR"/>
        </w:rPr>
        <w:t>do regime</w:t>
      </w:r>
      <w:r w:rsidR="004756C1" w:rsidRPr="002F50BD">
        <w:rPr>
          <w:rFonts w:ascii="Verdana" w:hAnsi="Verdana"/>
          <w:sz w:val="20"/>
          <w:lang w:val="pt-BR"/>
        </w:rPr>
        <w:t xml:space="preserve"> jurídico</w:t>
      </w:r>
      <w:r w:rsidR="0089298C" w:rsidRPr="002F50BD">
        <w:rPr>
          <w:rFonts w:ascii="Verdana" w:hAnsi="Verdana"/>
          <w:sz w:val="20"/>
          <w:lang w:val="pt-BR"/>
        </w:rPr>
        <w:t xml:space="preserve"> dos </w:t>
      </w:r>
      <w:r w:rsidR="004756C1" w:rsidRPr="002F50BD">
        <w:rPr>
          <w:rFonts w:ascii="Verdana" w:hAnsi="Verdana"/>
          <w:sz w:val="20"/>
          <w:lang w:val="pt-BR"/>
        </w:rPr>
        <w:t>Tratados pertinentes</w:t>
      </w:r>
      <w:r w:rsidR="004076AD" w:rsidRPr="002F50BD">
        <w:rPr>
          <w:rFonts w:ascii="Verdana" w:hAnsi="Verdana"/>
          <w:sz w:val="20"/>
          <w:lang w:val="pt-BR"/>
        </w:rPr>
        <w:t xml:space="preserve">. </w:t>
      </w:r>
      <w:r w:rsidR="00CF451D">
        <w:rPr>
          <w:rFonts w:ascii="Verdana" w:hAnsi="Verdana"/>
          <w:sz w:val="20"/>
          <w:lang w:val="pt-BR"/>
        </w:rPr>
        <w:t>Nesse sentido,</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31</w:t>
      </w:r>
      <w:r w:rsidR="004756C1" w:rsidRPr="002F50BD">
        <w:rPr>
          <w:rFonts w:ascii="Verdana" w:hAnsi="Verdana"/>
          <w:sz w:val="20"/>
          <w:lang w:val="pt-BR"/>
        </w:rPr>
        <w:t>.</w:t>
      </w:r>
      <w:r w:rsidRPr="002F50BD">
        <w:rPr>
          <w:rFonts w:ascii="Verdana" w:hAnsi="Verdana"/>
          <w:sz w:val="20"/>
          <w:lang w:val="pt-BR"/>
        </w:rPr>
        <w:t>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de Viena sobre</w:t>
      </w:r>
      <w:r w:rsidR="0089298C" w:rsidRPr="002F50BD">
        <w:rPr>
          <w:rFonts w:ascii="Verdana" w:hAnsi="Verdana"/>
          <w:sz w:val="20"/>
          <w:lang w:val="pt-BR"/>
        </w:rPr>
        <w:t xml:space="preserve"> os </w:t>
      </w:r>
      <w:r w:rsidR="004756C1" w:rsidRPr="002F50BD">
        <w:rPr>
          <w:rFonts w:ascii="Verdana" w:hAnsi="Verdana"/>
          <w:sz w:val="20"/>
          <w:lang w:val="pt-BR"/>
        </w:rPr>
        <w:t xml:space="preserve">Tratados </w:t>
      </w:r>
      <w:r w:rsidR="0089298C" w:rsidRPr="002F50BD">
        <w:rPr>
          <w:rFonts w:ascii="Verdana" w:hAnsi="Verdana"/>
          <w:sz w:val="20"/>
          <w:lang w:val="pt-BR"/>
        </w:rPr>
        <w:t>estabelece</w:t>
      </w:r>
      <w:r w:rsidR="004756C1" w:rsidRPr="002F50BD">
        <w:rPr>
          <w:rFonts w:ascii="Verdana" w:hAnsi="Verdana"/>
          <w:sz w:val="20"/>
          <w:lang w:val="pt-BR"/>
        </w:rPr>
        <w:t xml:space="preserve">: </w:t>
      </w:r>
      <w:r w:rsidR="0089298C" w:rsidRPr="002F50BD">
        <w:rPr>
          <w:rFonts w:ascii="Verdana" w:hAnsi="Verdana"/>
          <w:sz w:val="20"/>
          <w:lang w:val="pt-BR"/>
        </w:rPr>
        <w:t>“</w:t>
      </w:r>
      <w:r w:rsidR="00BB4CA1" w:rsidRPr="002F50BD">
        <w:rPr>
          <w:rFonts w:ascii="Verdana" w:hAnsi="Verdana"/>
          <w:sz w:val="20"/>
          <w:lang w:val="pt-BR"/>
        </w:rPr>
        <w:t>Um tratado deve ser interpretado de boa fé segundo o sentido comum atribuível aos termos do tratado em seu contexto e à luz de seu objetivo e finalidade.</w:t>
      </w:r>
      <w:r w:rsidR="004756C1" w:rsidRPr="002F50BD">
        <w:rPr>
          <w:rFonts w:ascii="Verdana" w:hAnsi="Verdana"/>
          <w:sz w:val="20"/>
          <w:lang w:val="pt-BR"/>
        </w:rPr>
        <w:t>”</w:t>
      </w:r>
      <w:r w:rsidR="00D95E71" w:rsidRPr="002F50BD">
        <w:rPr>
          <w:rFonts w:ascii="Verdana" w:hAnsi="Verdana"/>
          <w:sz w:val="20"/>
          <w:lang w:val="pt-BR"/>
        </w:rPr>
        <w:t xml:space="preserve"> O </w:t>
      </w:r>
      <w:r w:rsidR="004756C1" w:rsidRPr="002F50BD">
        <w:rPr>
          <w:rFonts w:ascii="Verdana" w:hAnsi="Verdana"/>
          <w:sz w:val="20"/>
          <w:lang w:val="pt-BR"/>
        </w:rPr>
        <w:t>objeto</w:t>
      </w:r>
      <w:r w:rsidR="0089298C" w:rsidRPr="002F50BD">
        <w:rPr>
          <w:rFonts w:ascii="Verdana" w:hAnsi="Verdana"/>
          <w:sz w:val="20"/>
          <w:lang w:val="pt-BR"/>
        </w:rPr>
        <w:t xml:space="preserve"> e </w:t>
      </w:r>
      <w:r w:rsidR="00BB4CA1" w:rsidRPr="002F50BD">
        <w:rPr>
          <w:rFonts w:ascii="Verdana" w:hAnsi="Verdana"/>
          <w:sz w:val="20"/>
          <w:lang w:val="pt-BR"/>
        </w:rPr>
        <w:t xml:space="preserve">a finalidade </w:t>
      </w:r>
      <w:r w:rsidR="0089298C" w:rsidRPr="002F50BD">
        <w:rPr>
          <w:rFonts w:ascii="Verdana" w:hAnsi="Verdana"/>
          <w:sz w:val="20"/>
          <w:lang w:val="pt-BR"/>
        </w:rPr>
        <w:t xml:space="preserve">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BB4CA1" w:rsidRPr="002F50BD">
        <w:rPr>
          <w:rFonts w:ascii="Verdana" w:hAnsi="Verdana"/>
          <w:sz w:val="20"/>
          <w:lang w:val="pt-BR"/>
        </w:rPr>
        <w:t>apontam</w:t>
      </w:r>
      <w:r w:rsidR="0089298C" w:rsidRPr="002F50BD">
        <w:rPr>
          <w:rFonts w:ascii="Verdana" w:hAnsi="Verdana"/>
          <w:sz w:val="20"/>
          <w:lang w:val="pt-BR"/>
        </w:rPr>
        <w:t xml:space="preserve"> o </w:t>
      </w:r>
      <w:r w:rsidR="004756C1" w:rsidRPr="002F50BD">
        <w:rPr>
          <w:rFonts w:ascii="Verdana" w:hAnsi="Verdana"/>
          <w:sz w:val="20"/>
          <w:lang w:val="pt-BR"/>
        </w:rPr>
        <w:t>re</w:t>
      </w:r>
      <w:r w:rsidR="0089298C" w:rsidRPr="002F50BD">
        <w:rPr>
          <w:rFonts w:ascii="Verdana" w:hAnsi="Verdana"/>
          <w:sz w:val="20"/>
          <w:lang w:val="pt-BR"/>
        </w:rPr>
        <w:t xml:space="preserve">conhecimento da dignidade </w:t>
      </w:r>
      <w:r w:rsidR="004756C1" w:rsidRPr="002F50BD">
        <w:rPr>
          <w:rFonts w:ascii="Verdana" w:hAnsi="Verdana"/>
          <w:sz w:val="20"/>
          <w:lang w:val="pt-BR"/>
        </w:rPr>
        <w:t>humana</w:t>
      </w:r>
      <w:r w:rsidR="0089298C" w:rsidRPr="002F50BD">
        <w:rPr>
          <w:rFonts w:ascii="Verdana" w:hAnsi="Verdana"/>
          <w:sz w:val="20"/>
          <w:lang w:val="pt-BR"/>
        </w:rPr>
        <w:t xml:space="preserve"> e </w:t>
      </w:r>
      <w:r w:rsidR="00B9255D" w:rsidRPr="002F50BD">
        <w:rPr>
          <w:rFonts w:ascii="Verdana" w:hAnsi="Verdana"/>
          <w:sz w:val="20"/>
          <w:lang w:val="pt-BR"/>
        </w:rPr>
        <w:t>a</w:t>
      </w:r>
      <w:r w:rsidR="0089298C" w:rsidRPr="002F50BD">
        <w:rPr>
          <w:rFonts w:ascii="Verdana" w:hAnsi="Verdana"/>
          <w:sz w:val="20"/>
          <w:lang w:val="pt-BR"/>
        </w:rPr>
        <w:t xml:space="preserve"> necessidade </w:t>
      </w:r>
      <w:r w:rsidR="004756C1" w:rsidRPr="002F50BD">
        <w:rPr>
          <w:rFonts w:ascii="Verdana" w:hAnsi="Verdana"/>
          <w:sz w:val="20"/>
          <w:lang w:val="pt-BR"/>
        </w:rPr>
        <w:t>de proteger</w:t>
      </w:r>
      <w:r w:rsidR="0089298C" w:rsidRPr="002F50BD">
        <w:rPr>
          <w:rFonts w:ascii="Verdana" w:hAnsi="Verdana"/>
          <w:sz w:val="20"/>
          <w:lang w:val="pt-BR"/>
        </w:rPr>
        <w:t xml:space="preserve"> </w:t>
      </w:r>
      <w:r w:rsidR="00BB4CA1" w:rsidRPr="002F50BD">
        <w:rPr>
          <w:rFonts w:ascii="Verdana" w:hAnsi="Verdana"/>
          <w:sz w:val="20"/>
          <w:lang w:val="pt-BR"/>
        </w:rPr>
        <w:t>a</w:t>
      </w:r>
      <w:r w:rsidR="0089298C" w:rsidRPr="002F50BD">
        <w:rPr>
          <w:rFonts w:ascii="Verdana" w:hAnsi="Verdana"/>
          <w:sz w:val="20"/>
          <w:lang w:val="pt-BR"/>
        </w:rPr>
        <w:t>s pessoa</w:t>
      </w:r>
      <w:r w:rsidR="004756C1" w:rsidRPr="002F50BD">
        <w:rPr>
          <w:rFonts w:ascii="Verdana" w:hAnsi="Verdana"/>
          <w:sz w:val="20"/>
          <w:lang w:val="pt-BR"/>
        </w:rPr>
        <w:t>s a</w:t>
      </w:r>
      <w:r w:rsidR="00BB4CA1" w:rsidRPr="002F50BD">
        <w:rPr>
          <w:rFonts w:ascii="Verdana" w:hAnsi="Verdana"/>
          <w:sz w:val="20"/>
          <w:lang w:val="pt-BR"/>
        </w:rPr>
        <w:t>s</w:t>
      </w:r>
      <w:r w:rsidR="004756C1" w:rsidRPr="002F50BD">
        <w:rPr>
          <w:rFonts w:ascii="Verdana" w:hAnsi="Verdana"/>
          <w:sz w:val="20"/>
          <w:lang w:val="pt-BR"/>
        </w:rPr>
        <w:t xml:space="preserve">segurando </w:t>
      </w:r>
      <w:r w:rsidR="0089298C" w:rsidRPr="002F50BD">
        <w:rPr>
          <w:rFonts w:ascii="Verdana" w:hAnsi="Verdana"/>
          <w:sz w:val="20"/>
          <w:lang w:val="pt-BR"/>
        </w:rPr>
        <w:t>seus direitos</w:t>
      </w:r>
      <w:r w:rsidR="004756C1" w:rsidRPr="002F50BD">
        <w:rPr>
          <w:rFonts w:ascii="Verdana" w:hAnsi="Verdana"/>
          <w:sz w:val="20"/>
          <w:lang w:val="pt-BR"/>
        </w:rPr>
        <w:t xml:space="preserve"> </w:t>
      </w:r>
      <w:r w:rsidR="0089298C" w:rsidRPr="002F50BD">
        <w:rPr>
          <w:rFonts w:ascii="Verdana" w:hAnsi="Verdana"/>
          <w:sz w:val="20"/>
          <w:lang w:val="pt-BR"/>
        </w:rPr>
        <w:t>fundamentais</w:t>
      </w:r>
      <w:r w:rsidR="004756C1" w:rsidRPr="002F50BD">
        <w:rPr>
          <w:rFonts w:ascii="Verdana" w:hAnsi="Verdana"/>
          <w:sz w:val="20"/>
          <w:lang w:val="pt-BR"/>
        </w:rPr>
        <w:t xml:space="preserve">, </w:t>
      </w:r>
      <w:r w:rsidR="0089298C" w:rsidRPr="002F50BD">
        <w:rPr>
          <w:rFonts w:ascii="Verdana" w:hAnsi="Verdana"/>
          <w:sz w:val="20"/>
          <w:lang w:val="pt-BR"/>
        </w:rPr>
        <w:t>incluindo o desenvolvimento dos mesm</w:t>
      </w:r>
      <w:r w:rsidR="004756C1" w:rsidRPr="002F50BD">
        <w:rPr>
          <w:rFonts w:ascii="Verdana" w:hAnsi="Verdana"/>
          <w:sz w:val="20"/>
          <w:lang w:val="pt-BR"/>
        </w:rPr>
        <w:t>os.</w:t>
      </w:r>
      <w:r w:rsidR="00FE08B7">
        <w:rPr>
          <w:rFonts w:ascii="Verdana" w:hAnsi="Verdana"/>
          <w:sz w:val="20"/>
          <w:lang w:val="pt-BR"/>
        </w:rPr>
        <w:t xml:space="preserve"> </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 xml:space="preserve">Corte Interamericana </w:t>
      </w:r>
      <w:r w:rsidRPr="002F50BD">
        <w:rPr>
          <w:rFonts w:ascii="Verdana" w:hAnsi="Verdana"/>
          <w:sz w:val="20"/>
          <w:lang w:val="pt-BR"/>
        </w:rPr>
        <w:t>fez</w:t>
      </w:r>
      <w:r w:rsidR="004756C1" w:rsidRPr="002F50BD">
        <w:rPr>
          <w:rFonts w:ascii="Verdana" w:hAnsi="Verdana"/>
          <w:sz w:val="20"/>
          <w:lang w:val="pt-BR"/>
        </w:rPr>
        <w:t xml:space="preserve"> notar que</w:t>
      </w:r>
    </w:p>
    <w:p w:rsidR="004756C1" w:rsidRPr="002F50BD" w:rsidRDefault="004756C1">
      <w:pPr>
        <w:jc w:val="both"/>
        <w:rPr>
          <w:rFonts w:ascii="Verdana" w:hAnsi="Verdana"/>
          <w:sz w:val="20"/>
          <w:lang w:val="pt-BR"/>
        </w:rPr>
      </w:pPr>
    </w:p>
    <w:p w:rsidR="004756C1" w:rsidRPr="002F50BD" w:rsidRDefault="004756C1">
      <w:pPr>
        <w:ind w:left="720" w:right="584"/>
        <w:jc w:val="both"/>
        <w:rPr>
          <w:rFonts w:ascii="Verdana" w:hAnsi="Verdana"/>
          <w:sz w:val="16"/>
          <w:lang w:val="pt-BR"/>
        </w:rPr>
      </w:pPr>
      <w:r w:rsidRPr="002F50BD">
        <w:rPr>
          <w:rFonts w:ascii="Verdana" w:hAnsi="Verdana"/>
          <w:sz w:val="16"/>
          <w:lang w:val="pt-BR"/>
        </w:rPr>
        <w:t>“a</w:t>
      </w:r>
      <w:r w:rsidR="00BB4CA1" w:rsidRPr="002F50BD">
        <w:rPr>
          <w:rFonts w:ascii="Verdana" w:hAnsi="Verdana"/>
          <w:sz w:val="16"/>
          <w:lang w:val="pt-BR"/>
        </w:rPr>
        <w:t>o</w:t>
      </w:r>
      <w:r w:rsidRPr="002F50BD">
        <w:rPr>
          <w:rFonts w:ascii="Verdana" w:hAnsi="Verdana"/>
          <w:sz w:val="16"/>
          <w:lang w:val="pt-BR"/>
        </w:rPr>
        <w:t xml:space="preserve"> interpreta</w:t>
      </w:r>
      <w:r w:rsidR="00BB4CA1" w:rsidRPr="002F50BD">
        <w:rPr>
          <w:rFonts w:ascii="Verdana" w:hAnsi="Verdana"/>
          <w:sz w:val="16"/>
          <w:lang w:val="pt-BR"/>
        </w:rPr>
        <w:t>r</w:t>
      </w:r>
      <w:r w:rsidRPr="002F50BD">
        <w:rPr>
          <w:rFonts w:ascii="Verdana" w:hAnsi="Verdana"/>
          <w:sz w:val="16"/>
          <w:lang w:val="pt-BR"/>
        </w:rPr>
        <w:t xml:space="preserve"> </w:t>
      </w:r>
      <w:r w:rsidR="0089298C" w:rsidRPr="002F50BD">
        <w:rPr>
          <w:rFonts w:ascii="Verdana" w:hAnsi="Verdana"/>
          <w:sz w:val="16"/>
          <w:lang w:val="pt-BR"/>
        </w:rPr>
        <w:t xml:space="preserve">um </w:t>
      </w:r>
      <w:r w:rsidRPr="002F50BD">
        <w:rPr>
          <w:rFonts w:ascii="Verdana" w:hAnsi="Verdana"/>
          <w:sz w:val="16"/>
          <w:lang w:val="pt-BR"/>
        </w:rPr>
        <w:t>Tratado</w:t>
      </w:r>
      <w:r w:rsidR="00B9255D" w:rsidRPr="002F50BD">
        <w:rPr>
          <w:rFonts w:ascii="Verdana" w:hAnsi="Verdana"/>
          <w:sz w:val="16"/>
          <w:lang w:val="pt-BR"/>
        </w:rPr>
        <w:t>,</w:t>
      </w:r>
      <w:r w:rsidRPr="002F50BD">
        <w:rPr>
          <w:rFonts w:ascii="Verdana" w:hAnsi="Verdana"/>
          <w:sz w:val="16"/>
          <w:lang w:val="pt-BR"/>
        </w:rPr>
        <w:t xml:space="preserve"> n</w:t>
      </w:r>
      <w:r w:rsidR="00BB4CA1" w:rsidRPr="002F50BD">
        <w:rPr>
          <w:rFonts w:ascii="Verdana" w:hAnsi="Verdana"/>
          <w:sz w:val="16"/>
          <w:lang w:val="pt-BR"/>
        </w:rPr>
        <w:t xml:space="preserve">ão apenas se tomam </w:t>
      </w:r>
      <w:r w:rsidR="0089298C" w:rsidRPr="002F50BD">
        <w:rPr>
          <w:rFonts w:ascii="Verdana" w:hAnsi="Verdana"/>
          <w:sz w:val="16"/>
          <w:lang w:val="pt-BR"/>
        </w:rPr>
        <w:t>em conta os acordo</w:t>
      </w:r>
      <w:r w:rsidRPr="002F50BD">
        <w:rPr>
          <w:rFonts w:ascii="Verdana" w:hAnsi="Verdana"/>
          <w:sz w:val="16"/>
          <w:lang w:val="pt-BR"/>
        </w:rPr>
        <w:t>s e instrumentos formalmente relacionados</w:t>
      </w:r>
      <w:r w:rsidR="0089298C" w:rsidRPr="002F50BD">
        <w:rPr>
          <w:rFonts w:ascii="Verdana" w:hAnsi="Verdana"/>
          <w:sz w:val="16"/>
          <w:lang w:val="pt-BR"/>
        </w:rPr>
        <w:t xml:space="preserve"> com </w:t>
      </w:r>
      <w:r w:rsidR="00BB4CA1" w:rsidRPr="002F50BD">
        <w:rPr>
          <w:rFonts w:ascii="Verdana" w:hAnsi="Verdana"/>
          <w:sz w:val="16"/>
          <w:lang w:val="pt-BR"/>
        </w:rPr>
        <w:t>e</w:t>
      </w:r>
      <w:r w:rsidRPr="002F50BD">
        <w:rPr>
          <w:rFonts w:ascii="Verdana" w:hAnsi="Verdana"/>
          <w:sz w:val="16"/>
          <w:lang w:val="pt-BR"/>
        </w:rPr>
        <w:t xml:space="preserve">ste </w:t>
      </w:r>
      <w:r w:rsidR="00CF451D" w:rsidRPr="00CF451D">
        <w:rPr>
          <w:rFonts w:ascii="Verdana" w:hAnsi="Verdana"/>
          <w:sz w:val="16"/>
          <w:lang w:val="pt-BR"/>
        </w:rPr>
        <w:t>(</w:t>
      </w:r>
      <w:r w:rsidRPr="002F50BD">
        <w:rPr>
          <w:rFonts w:ascii="Verdana" w:hAnsi="Verdana"/>
          <w:sz w:val="16"/>
          <w:lang w:val="pt-BR"/>
        </w:rPr>
        <w:t>....</w:t>
      </w:r>
      <w:r w:rsidR="00CF451D" w:rsidRPr="00CF451D">
        <w:rPr>
          <w:rFonts w:ascii="Verdana" w:hAnsi="Verdana"/>
          <w:sz w:val="16"/>
          <w:lang w:val="pt-BR"/>
        </w:rPr>
        <w:t>)</w:t>
      </w:r>
      <w:r w:rsidRPr="002F50BD">
        <w:rPr>
          <w:rFonts w:ascii="Verdana" w:hAnsi="Verdana"/>
          <w:sz w:val="16"/>
          <w:lang w:val="pt-BR"/>
        </w:rPr>
        <w:t>,</w:t>
      </w:r>
      <w:r w:rsidR="0089298C" w:rsidRPr="002F50BD">
        <w:rPr>
          <w:rFonts w:ascii="Verdana" w:hAnsi="Verdana"/>
          <w:sz w:val="16"/>
          <w:lang w:val="pt-BR"/>
        </w:rPr>
        <w:t xml:space="preserve"> mas também o </w:t>
      </w:r>
      <w:r w:rsidRPr="002F50BD">
        <w:rPr>
          <w:rFonts w:ascii="Verdana" w:hAnsi="Verdana"/>
          <w:sz w:val="16"/>
          <w:lang w:val="pt-BR"/>
        </w:rPr>
        <w:t xml:space="preserve">sistema dentro </w:t>
      </w:r>
      <w:r w:rsidR="0089298C" w:rsidRPr="002F50BD">
        <w:rPr>
          <w:rFonts w:ascii="Verdana" w:hAnsi="Verdana"/>
          <w:sz w:val="16"/>
          <w:lang w:val="pt-BR"/>
        </w:rPr>
        <w:t xml:space="preserve">do qual </w:t>
      </w:r>
      <w:r w:rsidR="00BB4CA1" w:rsidRPr="002F50BD">
        <w:rPr>
          <w:rFonts w:ascii="Verdana" w:hAnsi="Verdana"/>
          <w:sz w:val="16"/>
          <w:lang w:val="pt-BR"/>
        </w:rPr>
        <w:t xml:space="preserve">se </w:t>
      </w:r>
      <w:r w:rsidR="0099023E" w:rsidRPr="002F50BD">
        <w:rPr>
          <w:rFonts w:ascii="Verdana" w:hAnsi="Verdana"/>
          <w:sz w:val="16"/>
          <w:lang w:val="pt-BR"/>
        </w:rPr>
        <w:t>inscreve</w:t>
      </w:r>
      <w:r w:rsidRPr="002F50BD">
        <w:rPr>
          <w:rFonts w:ascii="Verdana" w:hAnsi="Verdana"/>
          <w:sz w:val="16"/>
          <w:lang w:val="pt-BR"/>
        </w:rPr>
        <w:t>”, citando</w:t>
      </w:r>
      <w:r w:rsidR="0089298C" w:rsidRPr="002F50BD">
        <w:rPr>
          <w:rFonts w:ascii="Verdana" w:hAnsi="Verdana"/>
          <w:sz w:val="16"/>
          <w:lang w:val="pt-BR"/>
        </w:rPr>
        <w:t xml:space="preserve"> </w:t>
      </w:r>
      <w:r w:rsidR="00BB4CA1" w:rsidRPr="002F50BD">
        <w:rPr>
          <w:rFonts w:ascii="Verdana" w:hAnsi="Verdana"/>
          <w:sz w:val="16"/>
          <w:lang w:val="pt-BR"/>
        </w:rPr>
        <w:t>a</w:t>
      </w:r>
      <w:r w:rsidR="0089298C" w:rsidRPr="002F50BD">
        <w:rPr>
          <w:rFonts w:ascii="Verdana" w:hAnsi="Verdana"/>
          <w:sz w:val="16"/>
          <w:lang w:val="pt-BR"/>
        </w:rPr>
        <w:t xml:space="preserve"> </w:t>
      </w:r>
      <w:r w:rsidRPr="002F50BD">
        <w:rPr>
          <w:rFonts w:ascii="Verdana" w:hAnsi="Verdana"/>
          <w:sz w:val="16"/>
          <w:lang w:val="pt-BR"/>
        </w:rPr>
        <w:t xml:space="preserve">Corte Internacional de </w:t>
      </w:r>
      <w:r w:rsidR="0089298C" w:rsidRPr="002F50BD">
        <w:rPr>
          <w:rFonts w:ascii="Verdana" w:hAnsi="Verdana"/>
          <w:sz w:val="16"/>
          <w:lang w:val="pt-BR"/>
        </w:rPr>
        <w:t>Justiça</w:t>
      </w:r>
      <w:r w:rsidRPr="002F50BD">
        <w:rPr>
          <w:rFonts w:ascii="Verdana" w:hAnsi="Verdana"/>
          <w:sz w:val="16"/>
          <w:lang w:val="pt-BR"/>
        </w:rPr>
        <w:t xml:space="preserve"> </w:t>
      </w:r>
      <w:r w:rsidR="0089298C" w:rsidRPr="002F50BD">
        <w:rPr>
          <w:rFonts w:ascii="Verdana" w:hAnsi="Verdana"/>
          <w:sz w:val="16"/>
          <w:lang w:val="pt-BR"/>
        </w:rPr>
        <w:t>quando esta sustenta</w:t>
      </w:r>
      <w:r w:rsidRPr="002F50BD">
        <w:rPr>
          <w:rFonts w:ascii="Verdana" w:hAnsi="Verdana"/>
          <w:sz w:val="16"/>
          <w:lang w:val="pt-BR"/>
        </w:rPr>
        <w:t xml:space="preserve"> que </w:t>
      </w:r>
      <w:r w:rsidR="0089298C" w:rsidRPr="002F50BD">
        <w:rPr>
          <w:rFonts w:ascii="Verdana" w:hAnsi="Verdana"/>
          <w:sz w:val="16"/>
          <w:lang w:val="pt-BR"/>
        </w:rPr>
        <w:t>“um</w:t>
      </w:r>
      <w:r w:rsidRPr="002F50BD">
        <w:rPr>
          <w:rFonts w:ascii="Verdana" w:hAnsi="Verdana"/>
          <w:sz w:val="16"/>
          <w:lang w:val="pt-BR"/>
        </w:rPr>
        <w:t xml:space="preserve"> instrumento internacional</w:t>
      </w:r>
      <w:r w:rsidR="0089298C" w:rsidRPr="002F50BD">
        <w:rPr>
          <w:rFonts w:ascii="Verdana" w:hAnsi="Verdana"/>
          <w:sz w:val="16"/>
          <w:lang w:val="pt-BR"/>
        </w:rPr>
        <w:t xml:space="preserve"> deve </w:t>
      </w:r>
      <w:r w:rsidRPr="002F50BD">
        <w:rPr>
          <w:rFonts w:ascii="Verdana" w:hAnsi="Verdana"/>
          <w:sz w:val="16"/>
          <w:lang w:val="pt-BR"/>
        </w:rPr>
        <w:t>ser interpretado</w:t>
      </w:r>
      <w:r w:rsidR="0089298C" w:rsidRPr="002F50BD">
        <w:rPr>
          <w:rFonts w:ascii="Verdana" w:hAnsi="Verdana"/>
          <w:sz w:val="16"/>
          <w:lang w:val="pt-BR"/>
        </w:rPr>
        <w:t xml:space="preserve"> e </w:t>
      </w:r>
      <w:r w:rsidRPr="002F50BD">
        <w:rPr>
          <w:rFonts w:ascii="Verdana" w:hAnsi="Verdana"/>
          <w:sz w:val="16"/>
          <w:lang w:val="pt-BR"/>
        </w:rPr>
        <w:t>aplicado</w:t>
      </w:r>
      <w:r w:rsidR="0089298C" w:rsidRPr="002F50BD">
        <w:rPr>
          <w:rFonts w:ascii="Verdana" w:hAnsi="Verdana"/>
          <w:sz w:val="16"/>
          <w:lang w:val="pt-BR"/>
        </w:rPr>
        <w:t xml:space="preserve"> no </w:t>
      </w:r>
      <w:r w:rsidRPr="002F50BD">
        <w:rPr>
          <w:rFonts w:ascii="Verdana" w:hAnsi="Verdana"/>
          <w:sz w:val="16"/>
          <w:lang w:val="pt-BR"/>
        </w:rPr>
        <w:t xml:space="preserve">marco </w:t>
      </w:r>
      <w:r w:rsidR="0089298C" w:rsidRPr="002F50BD">
        <w:rPr>
          <w:rFonts w:ascii="Verdana" w:hAnsi="Verdana"/>
          <w:sz w:val="16"/>
          <w:lang w:val="pt-BR"/>
        </w:rPr>
        <w:t xml:space="preserve">do </w:t>
      </w:r>
      <w:r w:rsidRPr="002F50BD">
        <w:rPr>
          <w:rFonts w:ascii="Verdana" w:hAnsi="Verdana"/>
          <w:sz w:val="16"/>
          <w:lang w:val="pt-BR"/>
        </w:rPr>
        <w:t xml:space="preserve">conjunto </w:t>
      </w:r>
      <w:r w:rsidR="0089298C" w:rsidRPr="002F50BD">
        <w:rPr>
          <w:rFonts w:ascii="Verdana" w:hAnsi="Verdana"/>
          <w:sz w:val="16"/>
          <w:lang w:val="pt-BR"/>
        </w:rPr>
        <w:t xml:space="preserve">do </w:t>
      </w:r>
      <w:r w:rsidRPr="002F50BD">
        <w:rPr>
          <w:rFonts w:ascii="Verdana" w:hAnsi="Verdana"/>
          <w:sz w:val="16"/>
          <w:lang w:val="pt-BR"/>
        </w:rPr>
        <w:t>sistema jurídico</w:t>
      </w:r>
      <w:r w:rsidR="0089298C" w:rsidRPr="002F50BD">
        <w:rPr>
          <w:rFonts w:ascii="Verdana" w:hAnsi="Verdana"/>
          <w:sz w:val="16"/>
          <w:lang w:val="pt-BR"/>
        </w:rPr>
        <w:t xml:space="preserve"> no </w:t>
      </w:r>
      <w:r w:rsidRPr="002F50BD">
        <w:rPr>
          <w:rFonts w:ascii="Verdana" w:hAnsi="Verdana"/>
          <w:sz w:val="16"/>
          <w:lang w:val="pt-BR"/>
        </w:rPr>
        <w:t>momento</w:t>
      </w:r>
      <w:r w:rsidR="0089298C" w:rsidRPr="002F50BD">
        <w:rPr>
          <w:rFonts w:ascii="Verdana" w:hAnsi="Verdana"/>
          <w:sz w:val="16"/>
          <w:lang w:val="pt-BR"/>
        </w:rPr>
        <w:t xml:space="preserve"> em </w:t>
      </w:r>
      <w:r w:rsidRPr="002F50BD">
        <w:rPr>
          <w:rFonts w:ascii="Verdana" w:hAnsi="Verdana"/>
          <w:sz w:val="16"/>
          <w:lang w:val="pt-BR"/>
        </w:rPr>
        <w:t>que se aplica</w:t>
      </w:r>
      <w:r w:rsidR="0089298C" w:rsidRPr="002F50BD">
        <w:rPr>
          <w:rFonts w:ascii="Verdana" w:hAnsi="Verdana"/>
          <w:sz w:val="16"/>
          <w:lang w:val="pt-BR"/>
        </w:rPr>
        <w:t xml:space="preserve"> a </w:t>
      </w:r>
      <w:r w:rsidRPr="002F50BD">
        <w:rPr>
          <w:rFonts w:ascii="Verdana" w:hAnsi="Verdana"/>
          <w:sz w:val="16"/>
          <w:lang w:val="pt-BR"/>
        </w:rPr>
        <w:t>interpreta</w:t>
      </w:r>
      <w:r w:rsidR="0089298C" w:rsidRPr="002F50BD">
        <w:rPr>
          <w:rFonts w:ascii="Verdana" w:hAnsi="Verdana"/>
          <w:sz w:val="16"/>
          <w:lang w:val="pt-BR"/>
        </w:rPr>
        <w:t>ção</w:t>
      </w:r>
      <w:r w:rsidRPr="002F50BD">
        <w:rPr>
          <w:rFonts w:ascii="Verdana" w:hAnsi="Verdana"/>
          <w:sz w:val="16"/>
          <w:lang w:val="pt-BR"/>
        </w:rPr>
        <w:t xml:space="preserve"> </w:t>
      </w:r>
      <w:r w:rsidR="00CF451D" w:rsidRPr="00CF451D">
        <w:rPr>
          <w:rFonts w:ascii="Verdana" w:hAnsi="Verdana"/>
          <w:sz w:val="16"/>
          <w:lang w:val="pt-BR"/>
        </w:rPr>
        <w:t>(</w:t>
      </w:r>
      <w:r w:rsidRPr="002F50BD">
        <w:rPr>
          <w:rFonts w:ascii="Verdana" w:hAnsi="Verdana"/>
          <w:i/>
          <w:sz w:val="16"/>
          <w:lang w:val="pt-BR"/>
        </w:rPr>
        <w:t xml:space="preserve">Legal Consequences for States of the Continued Presence of South Africa in Namibia </w:t>
      </w:r>
      <w:r w:rsidR="00CF451D" w:rsidRPr="00CF451D">
        <w:rPr>
          <w:rFonts w:ascii="Verdana" w:hAnsi="Verdana"/>
          <w:sz w:val="16"/>
          <w:lang w:val="pt-BR"/>
        </w:rPr>
        <w:t>(</w:t>
      </w:r>
      <w:r w:rsidRPr="002F50BD">
        <w:rPr>
          <w:rFonts w:ascii="Verdana" w:hAnsi="Verdana"/>
          <w:i/>
          <w:sz w:val="16"/>
          <w:lang w:val="pt-BR"/>
        </w:rPr>
        <w:t>South West Africa</w:t>
      </w:r>
      <w:r w:rsidR="00CF451D" w:rsidRPr="00CF451D">
        <w:rPr>
          <w:rFonts w:ascii="Verdana" w:hAnsi="Verdana"/>
          <w:sz w:val="16"/>
          <w:lang w:val="pt-BR"/>
        </w:rPr>
        <w:t>)</w:t>
      </w:r>
      <w:r w:rsidRPr="002F50BD">
        <w:rPr>
          <w:rFonts w:ascii="Verdana" w:hAnsi="Verdana"/>
          <w:i/>
          <w:sz w:val="16"/>
          <w:lang w:val="pt-BR"/>
        </w:rPr>
        <w:t>, notwhi</w:t>
      </w:r>
      <w:r w:rsidR="00BB4CA1" w:rsidRPr="002F50BD">
        <w:rPr>
          <w:rFonts w:ascii="Verdana" w:hAnsi="Verdana"/>
          <w:i/>
          <w:sz w:val="16"/>
          <w:lang w:val="pt-BR"/>
        </w:rPr>
        <w:t>t</w:t>
      </w:r>
      <w:r w:rsidRPr="002F50BD">
        <w:rPr>
          <w:rFonts w:ascii="Verdana" w:hAnsi="Verdana"/>
          <w:i/>
          <w:sz w:val="16"/>
          <w:lang w:val="pt-BR"/>
        </w:rPr>
        <w:t xml:space="preserve">hstanding Security Council Resolution </w:t>
      </w:r>
      <w:r w:rsidR="00063B47" w:rsidRPr="002F50BD">
        <w:rPr>
          <w:rFonts w:ascii="Verdana" w:hAnsi="Verdana"/>
          <w:sz w:val="16"/>
          <w:lang w:val="pt-BR"/>
        </w:rPr>
        <w:t>276</w:t>
      </w:r>
      <w:r w:rsidRPr="002F50BD">
        <w:rPr>
          <w:rFonts w:ascii="Verdana" w:hAnsi="Verdana"/>
          <w:i/>
          <w:sz w:val="16"/>
          <w:lang w:val="pt-BR"/>
        </w:rPr>
        <w:t xml:space="preserve"> </w:t>
      </w:r>
      <w:r w:rsidR="00CF451D" w:rsidRPr="00CF451D">
        <w:rPr>
          <w:rFonts w:ascii="Verdana" w:hAnsi="Verdana"/>
          <w:sz w:val="16"/>
          <w:lang w:val="pt-BR"/>
        </w:rPr>
        <w:t>(</w:t>
      </w:r>
      <w:r w:rsidR="00063B47" w:rsidRPr="002F50BD">
        <w:rPr>
          <w:rFonts w:ascii="Verdana" w:hAnsi="Verdana"/>
          <w:sz w:val="16"/>
          <w:lang w:val="pt-BR"/>
        </w:rPr>
        <w:t>1970</w:t>
      </w:r>
      <w:r w:rsidR="00CF451D" w:rsidRPr="00CF451D">
        <w:rPr>
          <w:rFonts w:ascii="Verdana" w:hAnsi="Verdana"/>
          <w:sz w:val="16"/>
          <w:lang w:val="pt-BR"/>
        </w:rPr>
        <w:t>)</w:t>
      </w:r>
      <w:r w:rsidRPr="002F50BD">
        <w:rPr>
          <w:rFonts w:ascii="Verdana" w:hAnsi="Verdana"/>
          <w:sz w:val="16"/>
          <w:lang w:val="pt-BR"/>
        </w:rPr>
        <w:t xml:space="preserve">, Advisory Opinion, I.C.J Reports </w:t>
      </w:r>
      <w:r w:rsidR="00063B47" w:rsidRPr="002F50BD">
        <w:rPr>
          <w:rFonts w:ascii="Verdana" w:hAnsi="Verdana"/>
          <w:sz w:val="16"/>
          <w:lang w:val="pt-BR"/>
        </w:rPr>
        <w:t>1971</w:t>
      </w:r>
      <w:r w:rsidRPr="002F50BD">
        <w:rPr>
          <w:rFonts w:ascii="Verdana" w:hAnsi="Verdana"/>
          <w:sz w:val="16"/>
          <w:lang w:val="pt-BR"/>
        </w:rPr>
        <w:t xml:space="preserve">, pág. </w:t>
      </w:r>
      <w:r w:rsidR="00063B47" w:rsidRPr="002F50BD">
        <w:rPr>
          <w:rFonts w:ascii="Verdana" w:hAnsi="Verdana"/>
          <w:sz w:val="16"/>
          <w:lang w:val="pt-BR"/>
        </w:rPr>
        <w:t>16</w:t>
      </w:r>
      <w:r w:rsidRPr="002F50BD">
        <w:rPr>
          <w:rFonts w:ascii="Verdana" w:hAnsi="Verdana"/>
          <w:sz w:val="16"/>
          <w:lang w:val="pt-BR"/>
        </w:rPr>
        <w:t xml:space="preserve"> ad </w:t>
      </w:r>
      <w:r w:rsidR="00063B47" w:rsidRPr="002F50BD">
        <w:rPr>
          <w:rFonts w:ascii="Verdana" w:hAnsi="Verdana"/>
          <w:sz w:val="16"/>
          <w:lang w:val="pt-BR"/>
        </w:rPr>
        <w:t>31</w:t>
      </w:r>
      <w:r w:rsidR="00CF451D" w:rsidRPr="00CF451D">
        <w:rPr>
          <w:rFonts w:ascii="Verdana" w:hAnsi="Verdana"/>
          <w:sz w:val="16"/>
          <w:lang w:val="pt-BR"/>
        </w:rPr>
        <w:t>)</w:t>
      </w:r>
      <w:r w:rsidRPr="002F50BD">
        <w:rPr>
          <w:rStyle w:val="FootnoteReference"/>
          <w:rFonts w:ascii="Verdana" w:hAnsi="Verdana"/>
          <w:sz w:val="16"/>
        </w:rPr>
        <w:footnoteReference w:id="240"/>
      </w:r>
      <w:r w:rsidRPr="002F50BD">
        <w:rPr>
          <w:rFonts w:ascii="Verdana" w:hAnsi="Verdana"/>
          <w:sz w:val="16"/>
          <w:lang w:val="pt-BR"/>
        </w:rPr>
        <w:t>.</w:t>
      </w:r>
    </w:p>
    <w:p w:rsidR="004756C1" w:rsidRPr="002F50BD" w:rsidRDefault="004756C1">
      <w:pPr>
        <w:tabs>
          <w:tab w:val="left" w:pos="0"/>
        </w:tabs>
        <w:jc w:val="both"/>
        <w:rPr>
          <w:rFonts w:ascii="Verdana" w:hAnsi="Verdana"/>
          <w:sz w:val="20"/>
          <w:lang w:val="pt-BR"/>
        </w:rPr>
      </w:pPr>
    </w:p>
    <w:p w:rsidR="004756C1" w:rsidRPr="002F50BD" w:rsidRDefault="00063B47">
      <w:pPr>
        <w:tabs>
          <w:tab w:val="left" w:pos="0"/>
        </w:tabs>
        <w:jc w:val="both"/>
        <w:rPr>
          <w:rFonts w:ascii="Verdana" w:hAnsi="Verdana"/>
          <w:sz w:val="20"/>
          <w:lang w:val="pt-BR"/>
        </w:rPr>
      </w:pPr>
      <w:r w:rsidRPr="002F50BD">
        <w:rPr>
          <w:rFonts w:ascii="Verdana" w:hAnsi="Verdana"/>
          <w:sz w:val="20"/>
          <w:lang w:val="pt-BR"/>
        </w:rPr>
        <w:t>11</w:t>
      </w:r>
      <w:r w:rsidR="00BB4CA1" w:rsidRPr="002F50BD">
        <w:rPr>
          <w:rFonts w:ascii="Verdana" w:hAnsi="Verdana"/>
          <w:sz w:val="20"/>
          <w:lang w:val="pt-BR"/>
        </w:rPr>
        <w:t>.</w:t>
      </w:r>
      <w:r w:rsidR="00BB4CA1" w:rsidRPr="002F50BD">
        <w:rPr>
          <w:rFonts w:ascii="Verdana" w:hAnsi="Verdana"/>
          <w:sz w:val="20"/>
          <w:lang w:val="pt-BR"/>
        </w:rPr>
        <w:tab/>
        <w:t>Em</w:t>
      </w:r>
      <w:r w:rsidR="004756C1" w:rsidRPr="002F50BD">
        <w:rPr>
          <w:rFonts w:ascii="Verdana" w:hAnsi="Verdana"/>
          <w:sz w:val="20"/>
          <w:lang w:val="pt-BR"/>
        </w:rPr>
        <w:t xml:space="preserve"> rela</w:t>
      </w:r>
      <w:r w:rsidR="0089298C" w:rsidRPr="002F50BD">
        <w:rPr>
          <w:rFonts w:ascii="Verdana" w:hAnsi="Verdana"/>
          <w:sz w:val="20"/>
          <w:lang w:val="pt-BR"/>
        </w:rPr>
        <w:t xml:space="preserve">ção </w:t>
      </w:r>
      <w:r w:rsidR="00BB4CA1" w:rsidRPr="002F50BD">
        <w:rPr>
          <w:rFonts w:ascii="Verdana" w:hAnsi="Verdana"/>
          <w:sz w:val="20"/>
          <w:lang w:val="pt-BR"/>
        </w:rPr>
        <w:t xml:space="preserve">à </w:t>
      </w:r>
      <w:r w:rsidR="004756C1" w:rsidRPr="002F50BD">
        <w:rPr>
          <w:rFonts w:ascii="Verdana" w:hAnsi="Verdana"/>
          <w:sz w:val="20"/>
          <w:lang w:val="pt-BR"/>
        </w:rPr>
        <w:t>alegada 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do artigo</w:t>
      </w:r>
      <w:r w:rsidR="004756C1" w:rsidRPr="002F50BD">
        <w:rPr>
          <w:rFonts w:ascii="Verdana" w:hAnsi="Verdana"/>
          <w:sz w:val="20"/>
          <w:lang w:val="pt-BR"/>
        </w:rPr>
        <w:t xml:space="preserve"> </w:t>
      </w:r>
      <w:r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FE08B7">
        <w:rPr>
          <w:rFonts w:ascii="Verdana" w:hAnsi="Verdana"/>
          <w:sz w:val="20"/>
          <w:lang w:val="pt-BR"/>
        </w:rPr>
        <w:t xml:space="preserve"> </w:t>
      </w:r>
      <w:r w:rsidR="004756C1" w:rsidRPr="002F50BD">
        <w:rPr>
          <w:rFonts w:ascii="Verdana" w:hAnsi="Verdana"/>
          <w:sz w:val="20"/>
          <w:lang w:val="pt-BR"/>
        </w:rPr>
        <w:t>entendo</w:t>
      </w:r>
      <w:r w:rsidR="00B9255D" w:rsidRPr="002F50BD">
        <w:rPr>
          <w:rFonts w:ascii="Verdana" w:hAnsi="Verdana"/>
          <w:sz w:val="20"/>
          <w:lang w:val="pt-BR"/>
        </w:rPr>
        <w:t>,</w:t>
      </w:r>
      <w:r w:rsidR="004756C1" w:rsidRPr="002F50BD">
        <w:rPr>
          <w:rFonts w:ascii="Verdana" w:hAnsi="Verdana"/>
          <w:sz w:val="20"/>
          <w:lang w:val="pt-BR"/>
        </w:rPr>
        <w:t xml:space="preserve"> tal como</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BB4CA1" w:rsidRPr="002F50BD">
        <w:rPr>
          <w:rFonts w:ascii="Verdana" w:hAnsi="Verdana"/>
          <w:sz w:val="20"/>
          <w:lang w:val="pt-BR"/>
        </w:rPr>
        <w:t>afirmou</w:t>
      </w:r>
      <w:r w:rsidR="004756C1" w:rsidRPr="002F50BD">
        <w:rPr>
          <w:rFonts w:ascii="Verdana" w:hAnsi="Verdana"/>
          <w:sz w:val="20"/>
          <w:lang w:val="pt-BR"/>
        </w:rPr>
        <w:t>, que</w:t>
      </w:r>
      <w:r w:rsidR="0089298C" w:rsidRPr="002F50BD">
        <w:rPr>
          <w:rFonts w:ascii="Verdana" w:hAnsi="Verdana"/>
          <w:sz w:val="20"/>
          <w:lang w:val="pt-BR"/>
        </w:rPr>
        <w:t xml:space="preserve"> o direito</w:t>
      </w:r>
      <w:r w:rsidR="004756C1" w:rsidRPr="002F50BD">
        <w:rPr>
          <w:rFonts w:ascii="Verdana" w:hAnsi="Verdana"/>
          <w:sz w:val="20"/>
          <w:lang w:val="pt-BR"/>
        </w:rPr>
        <w:t xml:space="preserve"> </w:t>
      </w:r>
      <w:r w:rsidR="00A157C9">
        <w:rPr>
          <w:rFonts w:ascii="Verdana" w:hAnsi="Verdana"/>
          <w:sz w:val="20"/>
          <w:lang w:val="pt-BR"/>
        </w:rPr>
        <w:t>à</w:t>
      </w:r>
      <w:r w:rsidR="004756C1" w:rsidRPr="002F50BD">
        <w:rPr>
          <w:rFonts w:ascii="Verdana" w:hAnsi="Verdana"/>
          <w:sz w:val="20"/>
          <w:lang w:val="pt-BR"/>
        </w:rPr>
        <w:t xml:space="preserve"> </w:t>
      </w:r>
      <w:r w:rsidR="0089298C" w:rsidRPr="002F50BD">
        <w:rPr>
          <w:rFonts w:ascii="Verdana" w:hAnsi="Verdana"/>
          <w:sz w:val="20"/>
          <w:lang w:val="pt-BR"/>
        </w:rPr>
        <w:t>propriedade</w:t>
      </w:r>
      <w:r w:rsidR="004756C1" w:rsidRPr="002F50BD">
        <w:rPr>
          <w:rFonts w:ascii="Verdana" w:hAnsi="Verdana"/>
          <w:sz w:val="20"/>
          <w:lang w:val="pt-BR"/>
        </w:rPr>
        <w:t xml:space="preserve"> </w:t>
      </w:r>
      <w:r w:rsidR="00AB454A" w:rsidRPr="002F50BD">
        <w:rPr>
          <w:rFonts w:ascii="Verdana" w:hAnsi="Verdana"/>
          <w:sz w:val="20"/>
          <w:lang w:val="pt-BR"/>
        </w:rPr>
        <w:t>não pode</w:t>
      </w:r>
      <w:r w:rsidR="004756C1" w:rsidRPr="002F50BD">
        <w:rPr>
          <w:rFonts w:ascii="Verdana" w:hAnsi="Verdana"/>
          <w:sz w:val="20"/>
          <w:lang w:val="pt-BR"/>
        </w:rPr>
        <w:t xml:space="preserve"> </w:t>
      </w:r>
      <w:r w:rsidR="00BB4CA1" w:rsidRPr="002F50BD">
        <w:rPr>
          <w:rFonts w:ascii="Verdana" w:hAnsi="Verdana"/>
          <w:sz w:val="20"/>
          <w:lang w:val="pt-BR"/>
        </w:rPr>
        <w:t xml:space="preserve">ser </w:t>
      </w:r>
      <w:r w:rsidR="004756C1" w:rsidRPr="002F50BD">
        <w:rPr>
          <w:rFonts w:ascii="Verdana" w:hAnsi="Verdana"/>
          <w:sz w:val="20"/>
          <w:lang w:val="pt-BR"/>
        </w:rPr>
        <w:t>interpreta</w:t>
      </w:r>
      <w:r w:rsidR="00BB4CA1" w:rsidRPr="002F50BD">
        <w:rPr>
          <w:rFonts w:ascii="Verdana" w:hAnsi="Verdana"/>
          <w:sz w:val="20"/>
          <w:lang w:val="pt-BR"/>
        </w:rPr>
        <w:t>do</w:t>
      </w:r>
      <w:r w:rsidR="004756C1" w:rsidRPr="002F50BD">
        <w:rPr>
          <w:rFonts w:ascii="Verdana" w:hAnsi="Verdana"/>
          <w:sz w:val="20"/>
          <w:lang w:val="pt-BR"/>
        </w:rPr>
        <w:t xml:space="preserve"> </w:t>
      </w:r>
      <w:r w:rsidR="0089298C" w:rsidRPr="002F50BD">
        <w:rPr>
          <w:rFonts w:ascii="Verdana" w:hAnsi="Verdana"/>
          <w:sz w:val="20"/>
          <w:lang w:val="pt-BR"/>
        </w:rPr>
        <w:t>isoladamente</w:t>
      </w:r>
      <w:r w:rsidR="00A157C9">
        <w:rPr>
          <w:rFonts w:ascii="Verdana" w:hAnsi="Verdana"/>
          <w:sz w:val="20"/>
          <w:lang w:val="pt-BR"/>
        </w:rPr>
        <w:t>,</w:t>
      </w:r>
      <w:r w:rsidR="0089298C" w:rsidRPr="002F50BD">
        <w:rPr>
          <w:rFonts w:ascii="Verdana" w:hAnsi="Verdana"/>
          <w:sz w:val="20"/>
          <w:lang w:val="pt-BR"/>
        </w:rPr>
        <w:t xml:space="preserve"> mas </w:t>
      </w:r>
      <w:r w:rsidR="004756C1" w:rsidRPr="002F50BD">
        <w:rPr>
          <w:rFonts w:ascii="Verdana" w:hAnsi="Verdana"/>
          <w:sz w:val="20"/>
          <w:lang w:val="pt-BR"/>
        </w:rPr>
        <w:t>tomando</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 xml:space="preserve">ção o </w:t>
      </w:r>
      <w:r w:rsidR="004756C1" w:rsidRPr="002F50BD">
        <w:rPr>
          <w:rFonts w:ascii="Verdana" w:hAnsi="Verdana"/>
          <w:sz w:val="20"/>
          <w:lang w:val="pt-BR"/>
        </w:rPr>
        <w:t xml:space="preserve">conjunto </w:t>
      </w:r>
      <w:r w:rsidR="0089298C" w:rsidRPr="002F50BD">
        <w:rPr>
          <w:rFonts w:ascii="Verdana" w:hAnsi="Verdana"/>
          <w:sz w:val="20"/>
          <w:lang w:val="pt-BR"/>
        </w:rPr>
        <w:t xml:space="preserve">do </w:t>
      </w:r>
      <w:r w:rsidR="004756C1" w:rsidRPr="002F50BD">
        <w:rPr>
          <w:rFonts w:ascii="Verdana" w:hAnsi="Verdana"/>
          <w:sz w:val="20"/>
          <w:lang w:val="pt-BR"/>
        </w:rPr>
        <w:t>sistema jurídico</w:t>
      </w:r>
      <w:r w:rsidR="0089298C" w:rsidRPr="002F50BD">
        <w:rPr>
          <w:rFonts w:ascii="Verdana" w:hAnsi="Verdana"/>
          <w:sz w:val="20"/>
          <w:lang w:val="pt-BR"/>
        </w:rPr>
        <w:t xml:space="preserve"> no </w:t>
      </w:r>
      <w:r w:rsidR="00BB4CA1" w:rsidRPr="002F50BD">
        <w:rPr>
          <w:rFonts w:ascii="Verdana" w:hAnsi="Verdana"/>
          <w:sz w:val="20"/>
          <w:lang w:val="pt-BR"/>
        </w:rPr>
        <w:t>qual</w:t>
      </w:r>
      <w:r w:rsidR="004756C1" w:rsidRPr="002F50BD">
        <w:rPr>
          <w:rFonts w:ascii="Verdana" w:hAnsi="Verdana"/>
          <w:sz w:val="20"/>
          <w:lang w:val="pt-BR"/>
        </w:rPr>
        <w:t xml:space="preserve"> opera, tomando</w:t>
      </w:r>
      <w:r w:rsidR="0089298C" w:rsidRPr="002F50BD">
        <w:rPr>
          <w:rFonts w:ascii="Verdana" w:hAnsi="Verdana"/>
          <w:sz w:val="20"/>
          <w:lang w:val="pt-BR"/>
        </w:rPr>
        <w:t xml:space="preserve"> em conta o direito</w:t>
      </w:r>
      <w:r w:rsidR="004756C1" w:rsidRPr="002F50BD">
        <w:rPr>
          <w:rFonts w:ascii="Verdana" w:hAnsi="Verdana"/>
          <w:sz w:val="20"/>
          <w:lang w:val="pt-BR"/>
        </w:rPr>
        <w:t xml:space="preserve"> nacional</w:t>
      </w:r>
      <w:r w:rsidR="0089298C" w:rsidRPr="002F50BD">
        <w:rPr>
          <w:rFonts w:ascii="Verdana" w:hAnsi="Verdana"/>
          <w:sz w:val="20"/>
          <w:lang w:val="pt-BR"/>
        </w:rPr>
        <w:t xml:space="preserve"> e o </w:t>
      </w:r>
      <w:r w:rsidR="004756C1" w:rsidRPr="002F50BD">
        <w:rPr>
          <w:rFonts w:ascii="Verdana" w:hAnsi="Verdana"/>
          <w:sz w:val="20"/>
          <w:lang w:val="pt-BR"/>
        </w:rPr>
        <w:t>internacional</w:t>
      </w:r>
      <w:r w:rsidR="00BB4CA1" w:rsidRPr="002F50BD">
        <w:rPr>
          <w:rFonts w:ascii="Verdana" w:hAnsi="Verdana"/>
          <w:sz w:val="20"/>
          <w:lang w:val="pt-BR"/>
        </w:rPr>
        <w:t>.</w:t>
      </w:r>
      <w:r w:rsidR="004756C1" w:rsidRPr="002F50BD">
        <w:rPr>
          <w:rStyle w:val="FootnoteReference"/>
          <w:rFonts w:ascii="Verdana" w:hAnsi="Verdana"/>
        </w:rPr>
        <w:footnoteReference w:id="241"/>
      </w:r>
    </w:p>
    <w:p w:rsidR="004756C1" w:rsidRPr="002F50BD" w:rsidRDefault="004756C1">
      <w:pPr>
        <w:ind w:left="360"/>
        <w:jc w:val="both"/>
        <w:rPr>
          <w:rFonts w:ascii="Verdana" w:hAnsi="Verdana"/>
          <w:sz w:val="20"/>
          <w:lang w:val="pt-BR"/>
        </w:rPr>
      </w:pPr>
    </w:p>
    <w:p w:rsidR="004756C1" w:rsidRPr="002F50BD" w:rsidRDefault="00A157C9">
      <w:pPr>
        <w:pStyle w:val="BodyTextIndent"/>
        <w:rPr>
          <w:rFonts w:ascii="Verdana" w:hAnsi="Verdana"/>
          <w:sz w:val="20"/>
          <w:lang w:val="pt-BR"/>
        </w:rPr>
      </w:pPr>
      <w:r>
        <w:rPr>
          <w:rFonts w:ascii="Verdana" w:hAnsi="Verdana"/>
          <w:sz w:val="20"/>
          <w:lang w:val="pt-BR"/>
        </w:rPr>
        <w:t>Ness</w:t>
      </w:r>
      <w:r w:rsidR="0089298C" w:rsidRPr="002F50BD">
        <w:rPr>
          <w:rFonts w:ascii="Verdana" w:hAnsi="Verdana"/>
          <w:sz w:val="20"/>
          <w:lang w:val="pt-BR"/>
        </w:rPr>
        <w:t>e</w:t>
      </w:r>
      <w:r w:rsidR="004756C1" w:rsidRPr="002F50BD">
        <w:rPr>
          <w:rFonts w:ascii="Verdana" w:hAnsi="Verdana"/>
          <w:sz w:val="20"/>
          <w:lang w:val="pt-BR"/>
        </w:rPr>
        <w:t xml:space="preserve"> </w:t>
      </w:r>
      <w:r w:rsidR="0089298C" w:rsidRPr="002F50BD">
        <w:rPr>
          <w:rFonts w:ascii="Verdana" w:hAnsi="Verdana"/>
          <w:sz w:val="20"/>
          <w:lang w:val="pt-BR"/>
        </w:rPr>
        <w:t>mesm</w:t>
      </w:r>
      <w:r w:rsidR="004756C1" w:rsidRPr="002F50BD">
        <w:rPr>
          <w:rFonts w:ascii="Verdana" w:hAnsi="Verdana"/>
          <w:sz w:val="20"/>
          <w:lang w:val="pt-BR"/>
        </w:rPr>
        <w:t>o sentido</w:t>
      </w:r>
      <w:r w:rsidR="00B9255D" w:rsidRPr="002F50BD">
        <w:rPr>
          <w:rFonts w:ascii="Verdana" w:hAnsi="Verdana"/>
          <w:sz w:val="20"/>
          <w:lang w:val="pt-BR"/>
        </w:rPr>
        <w:t>,</w:t>
      </w:r>
      <w:r w:rsidR="0089298C" w:rsidRPr="002F50BD">
        <w:rPr>
          <w:rFonts w:ascii="Verdana" w:hAnsi="Verdana"/>
          <w:sz w:val="20"/>
          <w:lang w:val="pt-BR"/>
        </w:rPr>
        <w:t xml:space="preserve"> </w:t>
      </w:r>
      <w:r w:rsidR="00BB4CA1" w:rsidRPr="002F50BD">
        <w:rPr>
          <w:rFonts w:ascii="Verdana" w:hAnsi="Verdana"/>
          <w:sz w:val="20"/>
          <w:lang w:val="pt-BR"/>
        </w:rPr>
        <w:t>a Convenção</w:t>
      </w:r>
      <w:r w:rsidR="0089298C" w:rsidRPr="002F50BD">
        <w:rPr>
          <w:rFonts w:ascii="Verdana" w:hAnsi="Verdana"/>
          <w:sz w:val="20"/>
          <w:lang w:val="pt-BR"/>
        </w:rPr>
        <w:t xml:space="preserve"> </w:t>
      </w:r>
      <w:r w:rsidR="004756C1" w:rsidRPr="002F50BD">
        <w:rPr>
          <w:rFonts w:ascii="Verdana" w:hAnsi="Verdana"/>
          <w:sz w:val="20"/>
          <w:lang w:val="pt-BR"/>
        </w:rPr>
        <w:t xml:space="preserve">Nº </w:t>
      </w:r>
      <w:r w:rsidR="00063B47" w:rsidRPr="002F50BD">
        <w:rPr>
          <w:rFonts w:ascii="Verdana" w:hAnsi="Verdana"/>
          <w:sz w:val="20"/>
          <w:lang w:val="pt-BR"/>
        </w:rPr>
        <w:t>169</w:t>
      </w:r>
      <w:r w:rsidR="004756C1" w:rsidRPr="002F50BD">
        <w:rPr>
          <w:rFonts w:ascii="Verdana" w:hAnsi="Verdana"/>
          <w:sz w:val="20"/>
          <w:lang w:val="pt-BR"/>
        </w:rPr>
        <w:t xml:space="preserve"> sobre </w:t>
      </w:r>
      <w:r w:rsidR="0089298C" w:rsidRPr="002F50BD">
        <w:rPr>
          <w:rFonts w:ascii="Verdana" w:hAnsi="Verdana"/>
          <w:sz w:val="20"/>
          <w:lang w:val="pt-BR"/>
        </w:rPr>
        <w:t>Povo</w:t>
      </w:r>
      <w:r w:rsidR="004756C1" w:rsidRPr="002F50BD">
        <w:rPr>
          <w:rFonts w:ascii="Verdana" w:hAnsi="Verdana"/>
          <w:sz w:val="20"/>
          <w:lang w:val="pt-BR"/>
        </w:rPr>
        <w:t>s Indígenas</w:t>
      </w:r>
      <w:r w:rsidR="0089298C" w:rsidRPr="002F50BD">
        <w:rPr>
          <w:rFonts w:ascii="Verdana" w:hAnsi="Verdana"/>
          <w:sz w:val="20"/>
          <w:lang w:val="pt-BR"/>
        </w:rPr>
        <w:t xml:space="preserve"> e </w:t>
      </w:r>
      <w:r w:rsidR="004756C1" w:rsidRPr="002F50BD">
        <w:rPr>
          <w:rFonts w:ascii="Verdana" w:hAnsi="Verdana"/>
          <w:sz w:val="20"/>
          <w:lang w:val="pt-BR"/>
        </w:rPr>
        <w:t>Triba</w:t>
      </w:r>
      <w:r w:rsidR="00BB4CA1"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em </w:t>
      </w:r>
      <w:r w:rsidR="004756C1" w:rsidRPr="002F50BD">
        <w:rPr>
          <w:rFonts w:ascii="Verdana" w:hAnsi="Verdana"/>
          <w:sz w:val="20"/>
          <w:lang w:val="pt-BR"/>
        </w:rPr>
        <w:t xml:space="preserve">Países </w:t>
      </w:r>
      <w:r w:rsidR="0089298C" w:rsidRPr="002F50BD">
        <w:rPr>
          <w:rFonts w:ascii="Verdana" w:hAnsi="Verdana"/>
          <w:sz w:val="20"/>
          <w:lang w:val="pt-BR"/>
        </w:rPr>
        <w:t>Independente</w:t>
      </w:r>
      <w:r w:rsidR="004756C1" w:rsidRPr="002F50BD">
        <w:rPr>
          <w:rFonts w:ascii="Verdana" w:hAnsi="Verdana"/>
          <w:sz w:val="20"/>
          <w:lang w:val="pt-BR"/>
        </w:rPr>
        <w:t>s,</w:t>
      </w:r>
      <w:r w:rsidR="0089298C" w:rsidRPr="002F50BD">
        <w:rPr>
          <w:rFonts w:ascii="Verdana" w:hAnsi="Verdana"/>
          <w:sz w:val="20"/>
          <w:lang w:val="pt-BR"/>
        </w:rPr>
        <w:t xml:space="preserve"> em seu artigo </w:t>
      </w:r>
      <w:r w:rsidR="00063B47" w:rsidRPr="002F50BD">
        <w:rPr>
          <w:rFonts w:ascii="Verdana" w:hAnsi="Verdana"/>
          <w:sz w:val="20"/>
          <w:lang w:val="pt-BR"/>
        </w:rPr>
        <w:t>8</w:t>
      </w:r>
      <w:r w:rsidR="004756C1" w:rsidRPr="002F50BD">
        <w:rPr>
          <w:rFonts w:ascii="Verdana" w:hAnsi="Verdana"/>
          <w:sz w:val="20"/>
          <w:lang w:val="pt-BR"/>
        </w:rPr>
        <w:t>.</w:t>
      </w:r>
      <w:r w:rsidR="00063B47" w:rsidRPr="002F50BD">
        <w:rPr>
          <w:rFonts w:ascii="Verdana" w:hAnsi="Verdana"/>
          <w:sz w:val="20"/>
          <w:lang w:val="pt-BR"/>
        </w:rPr>
        <w:t>1</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 xml:space="preserve">: </w:t>
      </w:r>
    </w:p>
    <w:p w:rsidR="004756C1" w:rsidRPr="002F50BD" w:rsidRDefault="004756C1">
      <w:pPr>
        <w:pStyle w:val="BodyTextIndent"/>
        <w:rPr>
          <w:rFonts w:ascii="Verdana" w:hAnsi="Verdana"/>
          <w:sz w:val="20"/>
          <w:lang w:val="pt-BR"/>
        </w:rPr>
      </w:pPr>
    </w:p>
    <w:p w:rsidR="004756C1" w:rsidRPr="002F50BD" w:rsidRDefault="004756C1" w:rsidP="00BB4CA1">
      <w:pPr>
        <w:pStyle w:val="BodyTextIndent"/>
        <w:ind w:left="720" w:right="584"/>
        <w:rPr>
          <w:rFonts w:ascii="Verdana" w:hAnsi="Verdana"/>
          <w:sz w:val="16"/>
          <w:lang w:val="pt-BR"/>
        </w:rPr>
      </w:pPr>
      <w:r w:rsidRPr="002F50BD">
        <w:rPr>
          <w:rFonts w:ascii="Verdana" w:hAnsi="Verdana"/>
          <w:sz w:val="16"/>
          <w:lang w:val="pt-BR"/>
        </w:rPr>
        <w:t>“</w:t>
      </w:r>
      <w:r w:rsidR="00BB4CA1" w:rsidRPr="002F50BD">
        <w:rPr>
          <w:rFonts w:ascii="Verdana" w:hAnsi="Verdana"/>
          <w:sz w:val="16"/>
          <w:lang w:val="pt-BR"/>
        </w:rPr>
        <w:t>Ao aplicar a legislação nacional aos povos interessados</w:t>
      </w:r>
      <w:r w:rsidR="00B9255D" w:rsidRPr="002F50BD">
        <w:rPr>
          <w:rFonts w:ascii="Verdana" w:hAnsi="Verdana"/>
          <w:sz w:val="16"/>
          <w:lang w:val="pt-BR"/>
        </w:rPr>
        <w:t>,</w:t>
      </w:r>
      <w:r w:rsidR="00BB4CA1" w:rsidRPr="002F50BD">
        <w:rPr>
          <w:rFonts w:ascii="Verdana" w:hAnsi="Verdana"/>
          <w:sz w:val="16"/>
          <w:lang w:val="pt-BR"/>
        </w:rPr>
        <w:t xml:space="preserve"> deverão ser levados na devida consideração seus costumes ou seu direito consuetudinário</w:t>
      </w:r>
      <w:r w:rsidRPr="002F50BD">
        <w:rPr>
          <w:rFonts w:ascii="Verdana" w:hAnsi="Verdana"/>
          <w:sz w:val="16"/>
          <w:lang w:val="pt-BR"/>
        </w:rPr>
        <w:t>”</w:t>
      </w:r>
      <w:r w:rsidR="0089298C" w:rsidRPr="002F50BD">
        <w:rPr>
          <w:rFonts w:ascii="Verdana" w:hAnsi="Verdana"/>
          <w:sz w:val="16"/>
          <w:lang w:val="pt-BR"/>
        </w:rPr>
        <w:t xml:space="preserve"> e</w:t>
      </w:r>
      <w:r w:rsidR="00B9255D" w:rsidRPr="002F50BD">
        <w:rPr>
          <w:rFonts w:ascii="Verdana" w:hAnsi="Verdana"/>
          <w:sz w:val="16"/>
          <w:lang w:val="pt-BR"/>
        </w:rPr>
        <w:t>,</w:t>
      </w:r>
      <w:r w:rsidR="0089298C" w:rsidRPr="002F50BD">
        <w:rPr>
          <w:rFonts w:ascii="Verdana" w:hAnsi="Verdana"/>
          <w:sz w:val="16"/>
          <w:lang w:val="pt-BR"/>
        </w:rPr>
        <w:t xml:space="preserve"> em </w:t>
      </w:r>
      <w:r w:rsidR="00BB4CA1" w:rsidRPr="002F50BD">
        <w:rPr>
          <w:rFonts w:ascii="Verdana" w:hAnsi="Verdana"/>
          <w:sz w:val="16"/>
          <w:lang w:val="pt-BR"/>
        </w:rPr>
        <w:t xml:space="preserve">seu </w:t>
      </w:r>
      <w:r w:rsidR="0089298C" w:rsidRPr="002F50BD">
        <w:rPr>
          <w:rFonts w:ascii="Verdana" w:hAnsi="Verdana"/>
          <w:sz w:val="16"/>
          <w:lang w:val="pt-BR"/>
        </w:rPr>
        <w:t>artigo</w:t>
      </w:r>
      <w:r w:rsidRPr="002F50BD">
        <w:rPr>
          <w:rFonts w:ascii="Verdana" w:hAnsi="Verdana"/>
          <w:sz w:val="16"/>
          <w:lang w:val="pt-BR"/>
        </w:rPr>
        <w:t xml:space="preserve"> </w:t>
      </w:r>
      <w:r w:rsidR="00063B47" w:rsidRPr="002F50BD">
        <w:rPr>
          <w:rFonts w:ascii="Verdana" w:hAnsi="Verdana"/>
          <w:sz w:val="16"/>
          <w:lang w:val="pt-BR"/>
        </w:rPr>
        <w:t>8</w:t>
      </w:r>
      <w:r w:rsidRPr="002F50BD">
        <w:rPr>
          <w:rFonts w:ascii="Verdana" w:hAnsi="Verdana"/>
          <w:sz w:val="16"/>
          <w:lang w:val="pt-BR"/>
        </w:rPr>
        <w:t>.</w:t>
      </w:r>
      <w:r w:rsidR="00063B47" w:rsidRPr="002F50BD">
        <w:rPr>
          <w:rFonts w:ascii="Verdana" w:hAnsi="Verdana"/>
          <w:sz w:val="16"/>
          <w:lang w:val="pt-BR"/>
        </w:rPr>
        <w:t>2</w:t>
      </w:r>
      <w:r w:rsidR="00B9255D" w:rsidRPr="002F50BD">
        <w:rPr>
          <w:rFonts w:ascii="Verdana" w:hAnsi="Verdana"/>
          <w:sz w:val="16"/>
          <w:lang w:val="pt-BR"/>
        </w:rPr>
        <w:t>,</w:t>
      </w:r>
      <w:r w:rsidRPr="002F50BD">
        <w:rPr>
          <w:rFonts w:ascii="Verdana" w:hAnsi="Verdana"/>
          <w:sz w:val="16"/>
          <w:lang w:val="pt-BR"/>
        </w:rPr>
        <w:t xml:space="preserve"> </w:t>
      </w:r>
      <w:r w:rsidR="004076AD" w:rsidRPr="002F50BD">
        <w:rPr>
          <w:rFonts w:ascii="Verdana" w:hAnsi="Verdana"/>
          <w:sz w:val="16"/>
          <w:lang w:val="pt-BR"/>
        </w:rPr>
        <w:t>indica</w:t>
      </w:r>
      <w:r w:rsidRPr="002F50BD">
        <w:rPr>
          <w:rFonts w:ascii="Verdana" w:hAnsi="Verdana"/>
          <w:sz w:val="16"/>
          <w:lang w:val="pt-BR"/>
        </w:rPr>
        <w:t>: “</w:t>
      </w:r>
      <w:r w:rsidR="00BB4CA1" w:rsidRPr="002F50BD">
        <w:rPr>
          <w:rFonts w:ascii="Verdana" w:hAnsi="Verdana"/>
          <w:sz w:val="16"/>
          <w:lang w:val="pt-BR"/>
        </w:rPr>
        <w:t>Esses povos deverão ter o direito de conservar seus costumes e instituições próprias, desde que eles não sejam incompatíveis com os direitos fundamentais definidos pelo sistema jurídico nacional nem com os direitos humanos internacionalmente reconhecidos. Sempre que for necessário, deverão ser estabelecidos procedimentos para solucionar os conflitos que possam surgir na aplicação deste principio.</w:t>
      </w:r>
      <w:r w:rsidRPr="002F50BD">
        <w:rPr>
          <w:rFonts w:ascii="Verdana" w:hAnsi="Verdana"/>
          <w:sz w:val="16"/>
          <w:lang w:val="pt-BR"/>
        </w:rPr>
        <w:t>”</w:t>
      </w:r>
      <w:r w:rsidRPr="002F50BD">
        <w:rPr>
          <w:rStyle w:val="FootnoteReference"/>
          <w:rFonts w:ascii="Verdana" w:hAnsi="Verdana"/>
          <w:sz w:val="16"/>
        </w:rPr>
        <w:footnoteReference w:id="242"/>
      </w:r>
    </w:p>
    <w:p w:rsidR="004756C1" w:rsidRPr="002F50BD" w:rsidRDefault="004756C1">
      <w:pPr>
        <w:ind w:left="36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89298C" w:rsidRPr="002F50BD">
        <w:rPr>
          <w:rFonts w:ascii="Verdana" w:hAnsi="Verdana"/>
          <w:sz w:val="20"/>
          <w:lang w:val="pt-BR"/>
        </w:rPr>
        <w:t>Constituição</w:t>
      </w:r>
      <w:r w:rsidR="004756C1" w:rsidRPr="002F50BD">
        <w:rPr>
          <w:rFonts w:ascii="Verdana" w:hAnsi="Verdana"/>
          <w:sz w:val="20"/>
          <w:lang w:val="pt-BR"/>
        </w:rPr>
        <w:t xml:space="preserve"> Nacional </w:t>
      </w:r>
      <w:r w:rsidR="00AB454A" w:rsidRPr="002F50BD">
        <w:rPr>
          <w:rFonts w:ascii="Verdana" w:hAnsi="Verdana"/>
          <w:sz w:val="20"/>
          <w:lang w:val="pt-BR"/>
        </w:rPr>
        <w:t>garante</w:t>
      </w:r>
      <w:r w:rsidR="0089298C" w:rsidRPr="002F50BD">
        <w:rPr>
          <w:rFonts w:ascii="Verdana" w:hAnsi="Verdana"/>
          <w:sz w:val="20"/>
          <w:lang w:val="pt-BR"/>
        </w:rPr>
        <w:t xml:space="preserve"> a propriedade</w:t>
      </w:r>
      <w:r w:rsidR="004756C1" w:rsidRPr="002F50BD">
        <w:rPr>
          <w:rFonts w:ascii="Verdana" w:hAnsi="Verdana"/>
          <w:sz w:val="20"/>
          <w:lang w:val="pt-BR"/>
        </w:rPr>
        <w:t xml:space="preserve"> privada --individual</w:t>
      </w:r>
      <w:r w:rsidR="0089298C" w:rsidRPr="002F50BD">
        <w:rPr>
          <w:rFonts w:ascii="Verdana" w:hAnsi="Verdana"/>
          <w:sz w:val="20"/>
          <w:lang w:val="pt-BR"/>
        </w:rPr>
        <w:t xml:space="preserve"> e </w:t>
      </w:r>
      <w:r w:rsidR="004756C1" w:rsidRPr="002F50BD">
        <w:rPr>
          <w:rFonts w:ascii="Verdana" w:hAnsi="Verdana"/>
          <w:sz w:val="20"/>
          <w:lang w:val="pt-BR"/>
        </w:rPr>
        <w:t>corporativa--</w:t>
      </w:r>
      <w:r w:rsidR="0089298C" w:rsidRPr="002F50BD">
        <w:rPr>
          <w:rFonts w:ascii="Verdana" w:hAnsi="Verdana"/>
          <w:sz w:val="20"/>
          <w:lang w:val="pt-BR"/>
        </w:rPr>
        <w:t xml:space="preserve"> e a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à </w:t>
      </w:r>
      <w:r w:rsidR="00BB4CA1" w:rsidRPr="002F50BD">
        <w:rPr>
          <w:rFonts w:ascii="Verdana" w:hAnsi="Verdana"/>
          <w:sz w:val="20"/>
          <w:lang w:val="pt-BR"/>
        </w:rPr>
        <w:t>qual</w:t>
      </w:r>
      <w:r w:rsidR="004756C1" w:rsidRPr="002F50BD">
        <w:rPr>
          <w:rFonts w:ascii="Verdana" w:hAnsi="Verdana"/>
          <w:sz w:val="20"/>
          <w:lang w:val="pt-BR"/>
        </w:rPr>
        <w:t xml:space="preserve"> </w:t>
      </w:r>
      <w:r w:rsidR="0089298C" w:rsidRPr="002F50BD">
        <w:rPr>
          <w:rFonts w:ascii="Verdana" w:hAnsi="Verdana"/>
          <w:sz w:val="20"/>
          <w:lang w:val="pt-BR"/>
        </w:rPr>
        <w:t>têm</w:t>
      </w:r>
      <w:r w:rsidR="004756C1" w:rsidRPr="002F50BD">
        <w:rPr>
          <w:rFonts w:ascii="Verdana" w:hAnsi="Verdana"/>
          <w:sz w:val="20"/>
          <w:lang w:val="pt-BR"/>
        </w:rPr>
        <w:t xml:space="preserve"> </w:t>
      </w:r>
      <w:r w:rsidR="0089298C" w:rsidRPr="002F50BD">
        <w:rPr>
          <w:rFonts w:ascii="Verdana" w:hAnsi="Verdana"/>
          <w:sz w:val="20"/>
          <w:lang w:val="pt-BR"/>
        </w:rPr>
        <w:t>direito os povo</w:t>
      </w:r>
      <w:r w:rsidR="004756C1" w:rsidRPr="002F50BD">
        <w:rPr>
          <w:rFonts w:ascii="Verdana" w:hAnsi="Verdana"/>
          <w:sz w:val="20"/>
          <w:lang w:val="pt-BR"/>
        </w:rPr>
        <w:t>s indígenas;</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63</w:t>
      </w:r>
      <w:r w:rsidR="004756C1" w:rsidRPr="002F50BD">
        <w:rPr>
          <w:rFonts w:ascii="Verdana" w:hAnsi="Verdana"/>
          <w:sz w:val="20"/>
          <w:lang w:val="pt-BR"/>
        </w:rPr>
        <w:t xml:space="preserve"> re</w:t>
      </w:r>
      <w:r w:rsidR="0089298C" w:rsidRPr="002F50BD">
        <w:rPr>
          <w:rFonts w:ascii="Verdana" w:hAnsi="Verdana"/>
          <w:sz w:val="20"/>
          <w:lang w:val="pt-BR"/>
        </w:rPr>
        <w:t xml:space="preserve">conhece e </w:t>
      </w:r>
      <w:r w:rsidR="00AB454A" w:rsidRPr="002F50BD">
        <w:rPr>
          <w:rFonts w:ascii="Verdana" w:hAnsi="Verdana"/>
          <w:sz w:val="20"/>
          <w:lang w:val="pt-BR"/>
        </w:rPr>
        <w:t>garante</w:t>
      </w:r>
      <w:r w:rsidR="0089298C" w:rsidRPr="002F50BD">
        <w:rPr>
          <w:rFonts w:ascii="Verdana" w:hAnsi="Verdana"/>
          <w:sz w:val="20"/>
          <w:lang w:val="pt-BR"/>
        </w:rPr>
        <w:t xml:space="preserve"> o direito dos povo</w:t>
      </w:r>
      <w:r w:rsidR="004756C1" w:rsidRPr="002F50BD">
        <w:rPr>
          <w:rFonts w:ascii="Verdana" w:hAnsi="Verdana"/>
          <w:sz w:val="20"/>
          <w:lang w:val="pt-BR"/>
        </w:rPr>
        <w:t>s indígenas a preservar</w:t>
      </w:r>
      <w:r w:rsidR="0089298C" w:rsidRPr="002F50BD">
        <w:rPr>
          <w:rFonts w:ascii="Verdana" w:hAnsi="Verdana"/>
          <w:sz w:val="20"/>
          <w:lang w:val="pt-BR"/>
        </w:rPr>
        <w:t xml:space="preserve"> e desenvolver</w:t>
      </w:r>
      <w:r w:rsidR="004756C1" w:rsidRPr="002F50BD">
        <w:rPr>
          <w:rFonts w:ascii="Verdana" w:hAnsi="Verdana"/>
          <w:sz w:val="20"/>
          <w:lang w:val="pt-BR"/>
        </w:rPr>
        <w:t xml:space="preserve"> </w:t>
      </w:r>
      <w:r w:rsidR="0089298C" w:rsidRPr="002F50BD">
        <w:rPr>
          <w:rFonts w:ascii="Verdana" w:hAnsi="Verdana"/>
          <w:sz w:val="20"/>
          <w:lang w:val="pt-BR"/>
        </w:rPr>
        <w:t xml:space="preserve">sua identidade </w:t>
      </w:r>
      <w:r w:rsidR="004756C1" w:rsidRPr="002F50BD">
        <w:rPr>
          <w:rFonts w:ascii="Verdana" w:hAnsi="Verdana"/>
          <w:sz w:val="20"/>
          <w:lang w:val="pt-BR"/>
        </w:rPr>
        <w:t>étnica</w:t>
      </w:r>
      <w:r w:rsidR="0089298C" w:rsidRPr="002F50BD">
        <w:rPr>
          <w:rFonts w:ascii="Verdana" w:hAnsi="Verdana"/>
          <w:sz w:val="20"/>
          <w:lang w:val="pt-BR"/>
        </w:rPr>
        <w:t xml:space="preserve"> no </w:t>
      </w:r>
      <w:r w:rsidR="004756C1" w:rsidRPr="002F50BD">
        <w:rPr>
          <w:rFonts w:ascii="Verdana" w:hAnsi="Verdana"/>
          <w:sz w:val="20"/>
          <w:lang w:val="pt-BR"/>
        </w:rPr>
        <w:t xml:space="preserve">respectivo </w:t>
      </w:r>
      <w:r w:rsidR="001A0CDE" w:rsidRPr="002F50BD">
        <w:rPr>
          <w:rFonts w:ascii="Verdana" w:hAnsi="Verdana"/>
          <w:sz w:val="20"/>
          <w:lang w:val="pt-BR"/>
        </w:rPr>
        <w:t>habitat</w:t>
      </w:r>
      <w:r w:rsidR="004756C1" w:rsidRPr="002F50BD">
        <w:rPr>
          <w:rFonts w:ascii="Verdana" w:hAnsi="Verdana"/>
          <w:sz w:val="20"/>
          <w:lang w:val="pt-BR"/>
        </w:rPr>
        <w:t xml:space="preserve">. </w:t>
      </w:r>
      <w:r w:rsidR="0089298C" w:rsidRPr="002F50BD">
        <w:rPr>
          <w:rFonts w:ascii="Verdana" w:hAnsi="Verdana"/>
          <w:sz w:val="20"/>
          <w:lang w:val="pt-BR"/>
        </w:rPr>
        <w:t>Ademais</w:t>
      </w:r>
      <w:r w:rsidR="00A157C9">
        <w:rPr>
          <w:rFonts w:ascii="Verdana" w:hAnsi="Verdana"/>
          <w:sz w:val="20"/>
          <w:lang w:val="pt-BR"/>
        </w:rPr>
        <w:t>,</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64</w:t>
      </w:r>
      <w:r w:rsidR="0089298C" w:rsidRPr="002F50BD">
        <w:rPr>
          <w:rFonts w:ascii="Verdana" w:hAnsi="Verdana"/>
          <w:sz w:val="20"/>
          <w:lang w:val="pt-BR"/>
        </w:rPr>
        <w:t xml:space="preserve"> desta Constituição</w:t>
      </w:r>
      <w:r w:rsidR="004756C1" w:rsidRPr="002F50BD">
        <w:rPr>
          <w:rFonts w:ascii="Verdana" w:hAnsi="Verdana"/>
          <w:sz w:val="20"/>
          <w:lang w:val="pt-BR"/>
        </w:rPr>
        <w:t xml:space="preserve"> </w:t>
      </w:r>
      <w:r w:rsidR="0089298C" w:rsidRPr="002F50BD">
        <w:rPr>
          <w:rFonts w:ascii="Verdana" w:hAnsi="Verdana"/>
          <w:sz w:val="20"/>
          <w:lang w:val="pt-BR"/>
        </w:rPr>
        <w:t xml:space="preserve">afirma </w:t>
      </w:r>
      <w:r w:rsidR="004756C1" w:rsidRPr="002F50BD">
        <w:rPr>
          <w:rFonts w:ascii="Verdana" w:hAnsi="Verdana"/>
          <w:sz w:val="20"/>
          <w:lang w:val="pt-BR"/>
        </w:rPr>
        <w:t>que:</w:t>
      </w:r>
    </w:p>
    <w:p w:rsidR="004756C1" w:rsidRPr="002F50BD" w:rsidRDefault="004756C1">
      <w:pPr>
        <w:jc w:val="both"/>
        <w:rPr>
          <w:rFonts w:ascii="Verdana" w:hAnsi="Verdana"/>
          <w:sz w:val="20"/>
          <w:lang w:val="pt-BR"/>
        </w:rPr>
      </w:pPr>
    </w:p>
    <w:p w:rsidR="00414ED5" w:rsidRPr="002F50BD" w:rsidRDefault="00414ED5" w:rsidP="00414ED5">
      <w:pPr>
        <w:ind w:left="720" w:right="584"/>
        <w:jc w:val="both"/>
        <w:rPr>
          <w:rFonts w:ascii="Verdana" w:hAnsi="Verdana"/>
          <w:sz w:val="16"/>
          <w:lang w:val="pt-BR"/>
        </w:rPr>
      </w:pPr>
      <w:r w:rsidRPr="002F50BD">
        <w:rPr>
          <w:rFonts w:ascii="Verdana" w:hAnsi="Verdana"/>
          <w:sz w:val="16"/>
          <w:lang w:val="pt-BR"/>
        </w:rPr>
        <w:lastRenderedPageBreak/>
        <w:t xml:space="preserve">[o]s povos indígenas têm direito à propriedade comunitária da terra, em extensão e qualidade suficientes para a conservação e o desenvolvimento de suas formas peculiares de vida. </w:t>
      </w:r>
      <w:r w:rsidR="00A157C9">
        <w:rPr>
          <w:rFonts w:ascii="Verdana" w:hAnsi="Verdana"/>
          <w:sz w:val="16"/>
          <w:lang w:val="pt-BR"/>
        </w:rPr>
        <w:t xml:space="preserve">O Estado lhes fornecerá gratuitamente </w:t>
      </w:r>
      <w:r w:rsidRPr="002F50BD">
        <w:rPr>
          <w:rFonts w:ascii="Verdana" w:hAnsi="Verdana"/>
          <w:sz w:val="16"/>
          <w:lang w:val="pt-BR"/>
        </w:rPr>
        <w:t xml:space="preserve">estas terras, as quais serão não embargáveis, indivisíveis, intransferíveis, imprescritíveis, não susceptíveis de garantia de obrigações contratuais nem de serem arrendadas; </w:t>
      </w:r>
      <w:r w:rsidR="00243D2E" w:rsidRPr="002F50BD">
        <w:rPr>
          <w:rFonts w:ascii="Verdana" w:hAnsi="Verdana"/>
          <w:sz w:val="16"/>
          <w:lang w:val="pt-BR"/>
        </w:rPr>
        <w:t xml:space="preserve">e também </w:t>
      </w:r>
      <w:r w:rsidRPr="002F50BD">
        <w:rPr>
          <w:rFonts w:ascii="Verdana" w:hAnsi="Verdana"/>
          <w:sz w:val="16"/>
          <w:lang w:val="pt-BR"/>
        </w:rPr>
        <w:t>estarão isentas de tributo.</w:t>
      </w:r>
    </w:p>
    <w:p w:rsidR="00414ED5" w:rsidRPr="002F50BD" w:rsidRDefault="00414ED5" w:rsidP="00414ED5">
      <w:pPr>
        <w:ind w:left="720" w:right="584"/>
        <w:jc w:val="both"/>
        <w:rPr>
          <w:rFonts w:ascii="Verdana" w:hAnsi="Verdana"/>
          <w:sz w:val="16"/>
          <w:lang w:val="pt-BR"/>
        </w:rPr>
      </w:pPr>
    </w:p>
    <w:p w:rsidR="004756C1" w:rsidRPr="002F50BD" w:rsidRDefault="00243D2E" w:rsidP="00414ED5">
      <w:pPr>
        <w:ind w:left="720" w:right="584"/>
        <w:jc w:val="both"/>
        <w:rPr>
          <w:rFonts w:ascii="Verdana" w:hAnsi="Verdana"/>
          <w:sz w:val="16"/>
          <w:lang w:val="pt-BR"/>
        </w:rPr>
      </w:pPr>
      <w:r w:rsidRPr="002F50BD">
        <w:rPr>
          <w:rFonts w:ascii="Verdana" w:hAnsi="Verdana"/>
          <w:sz w:val="16"/>
          <w:lang w:val="pt-BR"/>
        </w:rPr>
        <w:t xml:space="preserve">Proíbe-se a remoção </w:t>
      </w:r>
      <w:r w:rsidR="00414ED5" w:rsidRPr="002F50BD">
        <w:rPr>
          <w:rFonts w:ascii="Verdana" w:hAnsi="Verdana"/>
          <w:sz w:val="16"/>
          <w:lang w:val="pt-BR"/>
        </w:rPr>
        <w:t xml:space="preserve">ou traslado de seu </w:t>
      </w:r>
      <w:r w:rsidR="00414ED5" w:rsidRPr="002F50BD">
        <w:rPr>
          <w:rFonts w:ascii="Verdana" w:hAnsi="Verdana"/>
          <w:i/>
          <w:sz w:val="16"/>
          <w:lang w:val="pt-BR"/>
        </w:rPr>
        <w:t>habitat</w:t>
      </w:r>
      <w:r w:rsidR="00414ED5" w:rsidRPr="002F50BD">
        <w:rPr>
          <w:rFonts w:ascii="Verdana" w:hAnsi="Verdana"/>
          <w:sz w:val="16"/>
          <w:lang w:val="pt-BR"/>
        </w:rPr>
        <w:t xml:space="preserve"> sem o expresso consentimento dos mesmos.</w:t>
      </w:r>
    </w:p>
    <w:p w:rsidR="00BB4CA1" w:rsidRPr="002F50BD" w:rsidRDefault="00FE08B7">
      <w:pPr>
        <w:jc w:val="both"/>
        <w:rPr>
          <w:rFonts w:ascii="Verdana" w:hAnsi="Verdana"/>
          <w:sz w:val="20"/>
          <w:lang w:val="pt-BR"/>
        </w:rPr>
      </w:pPr>
      <w:r>
        <w:rPr>
          <w:rFonts w:ascii="Verdana" w:hAnsi="Verdana"/>
          <w:sz w:val="20"/>
          <w:lang w:val="pt-BR"/>
        </w:rPr>
        <w:t xml:space="preserve"> </w:t>
      </w:r>
      <w:r w:rsidR="004756C1" w:rsidRPr="002F50BD">
        <w:rPr>
          <w:rFonts w:ascii="Verdana" w:hAnsi="Verdana"/>
          <w:sz w:val="20"/>
          <w:lang w:val="pt-BR"/>
        </w:rPr>
        <w:t xml:space="preserve"> </w:t>
      </w:r>
    </w:p>
    <w:p w:rsidR="004756C1" w:rsidRPr="002F50BD" w:rsidRDefault="00063B47">
      <w:pPr>
        <w:jc w:val="both"/>
        <w:rPr>
          <w:rFonts w:ascii="Verdana" w:hAnsi="Verdana"/>
          <w:sz w:val="20"/>
          <w:lang w:val="pt-BR"/>
        </w:rPr>
      </w:pPr>
      <w:r w:rsidRPr="002F50BD">
        <w:rPr>
          <w:rFonts w:ascii="Verdana" w:hAnsi="Verdana"/>
          <w:sz w:val="20"/>
          <w:lang w:val="pt-BR"/>
        </w:rPr>
        <w:t>13</w:t>
      </w:r>
      <w:r w:rsidR="00414ED5" w:rsidRPr="002F50BD">
        <w:rPr>
          <w:rFonts w:ascii="Verdana" w:hAnsi="Verdana"/>
          <w:sz w:val="20"/>
          <w:lang w:val="pt-BR"/>
        </w:rPr>
        <w:t>.</w:t>
      </w:r>
      <w:r w:rsidR="00414ED5" w:rsidRPr="002F50BD">
        <w:rPr>
          <w:rFonts w:ascii="Verdana" w:hAnsi="Verdana"/>
          <w:sz w:val="20"/>
          <w:lang w:val="pt-BR"/>
        </w:rPr>
        <w:tab/>
        <w:t>Por</w:t>
      </w:r>
      <w:r w:rsidR="004756C1" w:rsidRPr="002F50BD">
        <w:rPr>
          <w:rFonts w:ascii="Verdana" w:hAnsi="Verdana"/>
          <w:sz w:val="20"/>
          <w:lang w:val="pt-BR"/>
        </w:rPr>
        <w:t xml:space="preserve"> su</w:t>
      </w:r>
      <w:r w:rsidR="00243D2E" w:rsidRPr="002F50BD">
        <w:rPr>
          <w:rFonts w:ascii="Verdana" w:hAnsi="Verdana"/>
          <w:sz w:val="20"/>
          <w:lang w:val="pt-BR"/>
        </w:rPr>
        <w:t>a</w:t>
      </w:r>
      <w:r w:rsidR="004756C1" w:rsidRPr="002F50BD">
        <w:rPr>
          <w:rFonts w:ascii="Verdana" w:hAnsi="Verdana"/>
          <w:sz w:val="20"/>
          <w:lang w:val="pt-BR"/>
        </w:rPr>
        <w:t xml:space="preserve"> vez</w:t>
      </w:r>
      <w:r w:rsidR="00414ED5" w:rsidRPr="002F50B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sobre</w:t>
      </w:r>
      <w:r w:rsidR="0089298C" w:rsidRPr="002F50BD">
        <w:rPr>
          <w:rFonts w:ascii="Verdana" w:hAnsi="Verdana"/>
          <w:sz w:val="20"/>
          <w:lang w:val="pt-BR"/>
        </w:rPr>
        <w:t xml:space="preserve"> o direito à propriedade</w:t>
      </w:r>
      <w:r w:rsidR="004756C1" w:rsidRPr="002F50BD">
        <w:rPr>
          <w:rFonts w:ascii="Verdana" w:hAnsi="Verdana"/>
          <w:sz w:val="20"/>
          <w:lang w:val="pt-BR"/>
        </w:rPr>
        <w:t xml:space="preserve"> privada </w:t>
      </w:r>
      <w:r w:rsidR="0089298C" w:rsidRPr="002F50BD">
        <w:rPr>
          <w:rFonts w:ascii="Verdana" w:hAnsi="Verdana"/>
          <w:sz w:val="20"/>
          <w:lang w:val="pt-BR"/>
        </w:rPr>
        <w:t>estabelece</w:t>
      </w:r>
      <w:r w:rsidR="004756C1" w:rsidRPr="002F50BD">
        <w:rPr>
          <w:rFonts w:ascii="Verdana" w:hAnsi="Verdana"/>
          <w:sz w:val="20"/>
          <w:lang w:val="pt-BR"/>
        </w:rPr>
        <w:t xml:space="preserve"> que: </w:t>
      </w:r>
    </w:p>
    <w:p w:rsidR="004756C1" w:rsidRPr="002F50BD" w:rsidRDefault="004756C1">
      <w:pPr>
        <w:jc w:val="both"/>
        <w:rPr>
          <w:rFonts w:ascii="Verdana" w:hAnsi="Verdana"/>
          <w:sz w:val="20"/>
          <w:lang w:val="pt-BR"/>
        </w:rPr>
      </w:pPr>
    </w:p>
    <w:p w:rsidR="004756C1" w:rsidRPr="002F50BD" w:rsidRDefault="00063B47">
      <w:pPr>
        <w:ind w:left="720" w:right="584"/>
        <w:jc w:val="both"/>
        <w:rPr>
          <w:rFonts w:ascii="Verdana" w:hAnsi="Verdana"/>
          <w:sz w:val="16"/>
          <w:lang w:val="pt-BR"/>
        </w:rPr>
      </w:pPr>
      <w:r w:rsidRPr="002F50BD">
        <w:rPr>
          <w:rFonts w:ascii="Verdana" w:hAnsi="Verdana"/>
          <w:sz w:val="16"/>
          <w:lang w:val="pt-BR"/>
        </w:rPr>
        <w:t>1</w:t>
      </w:r>
      <w:r w:rsidR="004756C1" w:rsidRPr="002F50BD">
        <w:rPr>
          <w:rFonts w:ascii="Verdana" w:hAnsi="Verdana"/>
          <w:sz w:val="16"/>
          <w:lang w:val="pt-BR"/>
        </w:rPr>
        <w:t xml:space="preserve">. Toda </w:t>
      </w:r>
      <w:r w:rsidR="0089298C" w:rsidRPr="002F50BD">
        <w:rPr>
          <w:rFonts w:ascii="Verdana" w:hAnsi="Verdana"/>
          <w:sz w:val="16"/>
          <w:lang w:val="pt-BR"/>
        </w:rPr>
        <w:t>pessoa</w:t>
      </w:r>
      <w:r w:rsidR="004756C1" w:rsidRPr="002F50BD">
        <w:rPr>
          <w:rFonts w:ascii="Verdana" w:hAnsi="Verdana"/>
          <w:sz w:val="16"/>
          <w:lang w:val="pt-BR"/>
        </w:rPr>
        <w:t xml:space="preserve"> </w:t>
      </w:r>
      <w:r w:rsidR="0089298C" w:rsidRPr="002F50BD">
        <w:rPr>
          <w:rFonts w:ascii="Verdana" w:hAnsi="Verdana"/>
          <w:sz w:val="16"/>
          <w:lang w:val="pt-BR"/>
        </w:rPr>
        <w:t xml:space="preserve">tem o direito ao </w:t>
      </w:r>
      <w:r w:rsidR="004756C1" w:rsidRPr="002F50BD">
        <w:rPr>
          <w:rFonts w:ascii="Verdana" w:hAnsi="Verdana"/>
          <w:sz w:val="16"/>
          <w:lang w:val="pt-BR"/>
        </w:rPr>
        <w:t>uso</w:t>
      </w:r>
      <w:r w:rsidR="0089298C" w:rsidRPr="002F50BD">
        <w:rPr>
          <w:rFonts w:ascii="Verdana" w:hAnsi="Verdana"/>
          <w:sz w:val="16"/>
          <w:lang w:val="pt-BR"/>
        </w:rPr>
        <w:t xml:space="preserve"> e</w:t>
      </w:r>
      <w:r w:rsidR="00385366" w:rsidRPr="002F50BD">
        <w:rPr>
          <w:rFonts w:ascii="Verdana" w:hAnsi="Verdana"/>
          <w:sz w:val="16"/>
          <w:lang w:val="pt-BR"/>
        </w:rPr>
        <w:t xml:space="preserve"> gozo </w:t>
      </w:r>
      <w:r w:rsidR="004756C1" w:rsidRPr="002F50BD">
        <w:rPr>
          <w:rFonts w:ascii="Verdana" w:hAnsi="Verdana"/>
          <w:sz w:val="16"/>
          <w:lang w:val="pt-BR"/>
        </w:rPr>
        <w:t xml:space="preserve">de </w:t>
      </w:r>
      <w:r w:rsidR="0089298C" w:rsidRPr="002F50BD">
        <w:rPr>
          <w:rFonts w:ascii="Verdana" w:hAnsi="Verdana"/>
          <w:sz w:val="16"/>
          <w:lang w:val="pt-BR"/>
        </w:rPr>
        <w:t>seus bens</w:t>
      </w:r>
      <w:r w:rsidR="00BE346D" w:rsidRPr="002F50BD">
        <w:rPr>
          <w:rFonts w:ascii="Verdana" w:hAnsi="Verdana"/>
          <w:sz w:val="16"/>
          <w:lang w:val="pt-BR"/>
        </w:rPr>
        <w:t xml:space="preserve">. A </w:t>
      </w:r>
      <w:r w:rsidR="0089298C" w:rsidRPr="002F50BD">
        <w:rPr>
          <w:rFonts w:ascii="Verdana" w:hAnsi="Verdana"/>
          <w:sz w:val="16"/>
          <w:lang w:val="pt-BR"/>
        </w:rPr>
        <w:t>lei pode</w:t>
      </w:r>
      <w:r w:rsidR="004756C1" w:rsidRPr="002F50BD">
        <w:rPr>
          <w:rFonts w:ascii="Verdana" w:hAnsi="Verdana"/>
          <w:sz w:val="16"/>
          <w:lang w:val="pt-BR"/>
        </w:rPr>
        <w:t xml:space="preserve"> subordinar tal uso</w:t>
      </w:r>
      <w:r w:rsidR="0089298C" w:rsidRPr="002F50BD">
        <w:rPr>
          <w:rFonts w:ascii="Verdana" w:hAnsi="Verdana"/>
          <w:sz w:val="16"/>
          <w:lang w:val="pt-BR"/>
        </w:rPr>
        <w:t xml:space="preserve"> e</w:t>
      </w:r>
      <w:r w:rsidR="00385366" w:rsidRPr="002F50BD">
        <w:rPr>
          <w:rFonts w:ascii="Verdana" w:hAnsi="Verdana"/>
          <w:sz w:val="16"/>
          <w:lang w:val="pt-BR"/>
        </w:rPr>
        <w:t xml:space="preserve"> gozo </w:t>
      </w:r>
      <w:r w:rsidR="0089298C" w:rsidRPr="002F50BD">
        <w:rPr>
          <w:rFonts w:ascii="Verdana" w:hAnsi="Verdana"/>
          <w:sz w:val="16"/>
          <w:lang w:val="pt-BR"/>
        </w:rPr>
        <w:t xml:space="preserve">ao interesse </w:t>
      </w:r>
      <w:r w:rsidR="004756C1" w:rsidRPr="002F50BD">
        <w:rPr>
          <w:rFonts w:ascii="Verdana" w:hAnsi="Verdana"/>
          <w:sz w:val="16"/>
          <w:lang w:val="pt-BR"/>
        </w:rPr>
        <w:t>social.</w:t>
      </w:r>
    </w:p>
    <w:p w:rsidR="004756C1" w:rsidRPr="002F50BD" w:rsidRDefault="004756C1">
      <w:pPr>
        <w:ind w:left="720" w:right="584"/>
        <w:jc w:val="both"/>
        <w:rPr>
          <w:rFonts w:ascii="Verdana" w:hAnsi="Verdana"/>
          <w:sz w:val="16"/>
          <w:lang w:val="pt-BR"/>
        </w:rPr>
      </w:pPr>
    </w:p>
    <w:p w:rsidR="004756C1" w:rsidRPr="002F50BD" w:rsidRDefault="00063B47">
      <w:pPr>
        <w:ind w:left="720" w:right="584"/>
        <w:jc w:val="both"/>
        <w:rPr>
          <w:rFonts w:ascii="Verdana" w:hAnsi="Verdana"/>
          <w:sz w:val="16"/>
          <w:lang w:val="pt-BR"/>
        </w:rPr>
      </w:pPr>
      <w:r w:rsidRPr="002F50BD">
        <w:rPr>
          <w:rFonts w:ascii="Verdana" w:hAnsi="Verdana"/>
          <w:sz w:val="16"/>
          <w:lang w:val="pt-BR"/>
        </w:rPr>
        <w:t>2</w:t>
      </w:r>
      <w:r w:rsidR="004756C1" w:rsidRPr="002F50BD">
        <w:rPr>
          <w:rFonts w:ascii="Verdana" w:hAnsi="Verdana"/>
          <w:sz w:val="16"/>
          <w:lang w:val="pt-BR"/>
        </w:rPr>
        <w:t xml:space="preserve">. </w:t>
      </w:r>
      <w:r w:rsidR="0089298C" w:rsidRPr="002F50BD">
        <w:rPr>
          <w:rFonts w:ascii="Verdana" w:hAnsi="Verdana"/>
          <w:sz w:val="16"/>
          <w:lang w:val="pt-BR"/>
        </w:rPr>
        <w:t>Nenhuma</w:t>
      </w:r>
      <w:r w:rsidR="004756C1" w:rsidRPr="002F50BD">
        <w:rPr>
          <w:rFonts w:ascii="Verdana" w:hAnsi="Verdana"/>
          <w:sz w:val="16"/>
          <w:lang w:val="pt-BR"/>
        </w:rPr>
        <w:t xml:space="preserve"> </w:t>
      </w:r>
      <w:r w:rsidR="0089298C" w:rsidRPr="002F50BD">
        <w:rPr>
          <w:rFonts w:ascii="Verdana" w:hAnsi="Verdana"/>
          <w:sz w:val="16"/>
          <w:lang w:val="pt-BR"/>
        </w:rPr>
        <w:t>pessoa</w:t>
      </w:r>
      <w:r w:rsidR="004756C1" w:rsidRPr="002F50BD">
        <w:rPr>
          <w:rFonts w:ascii="Verdana" w:hAnsi="Verdana"/>
          <w:sz w:val="16"/>
          <w:lang w:val="pt-BR"/>
        </w:rPr>
        <w:t xml:space="preserve"> </w:t>
      </w:r>
      <w:r w:rsidR="0089298C" w:rsidRPr="002F50BD">
        <w:rPr>
          <w:rFonts w:ascii="Verdana" w:hAnsi="Verdana"/>
          <w:sz w:val="16"/>
          <w:lang w:val="pt-BR"/>
        </w:rPr>
        <w:t>pode</w:t>
      </w:r>
      <w:r w:rsidR="004756C1" w:rsidRPr="002F50BD">
        <w:rPr>
          <w:rFonts w:ascii="Verdana" w:hAnsi="Verdana"/>
          <w:sz w:val="16"/>
          <w:lang w:val="pt-BR"/>
        </w:rPr>
        <w:t xml:space="preserve"> ser privada de </w:t>
      </w:r>
      <w:r w:rsidR="0089298C" w:rsidRPr="002F50BD">
        <w:rPr>
          <w:rFonts w:ascii="Verdana" w:hAnsi="Verdana"/>
          <w:sz w:val="16"/>
          <w:lang w:val="pt-BR"/>
        </w:rPr>
        <w:t>seus bens</w:t>
      </w:r>
      <w:r w:rsidR="004756C1" w:rsidRPr="002F50BD">
        <w:rPr>
          <w:rFonts w:ascii="Verdana" w:hAnsi="Verdana"/>
          <w:sz w:val="16"/>
          <w:lang w:val="pt-BR"/>
        </w:rPr>
        <w:t>, excepto mediante</w:t>
      </w:r>
      <w:r w:rsidR="0089298C" w:rsidRPr="002F50BD">
        <w:rPr>
          <w:rFonts w:ascii="Verdana" w:hAnsi="Verdana"/>
          <w:sz w:val="16"/>
          <w:lang w:val="pt-BR"/>
        </w:rPr>
        <w:t xml:space="preserve"> o pagamento</w:t>
      </w:r>
      <w:r w:rsidR="004756C1" w:rsidRPr="002F50BD">
        <w:rPr>
          <w:rFonts w:ascii="Verdana" w:hAnsi="Verdana"/>
          <w:sz w:val="16"/>
          <w:lang w:val="pt-BR"/>
        </w:rPr>
        <w:t xml:space="preserve"> de </w:t>
      </w:r>
      <w:r w:rsidR="0089298C" w:rsidRPr="002F50BD">
        <w:rPr>
          <w:rFonts w:ascii="Verdana" w:hAnsi="Verdana"/>
          <w:sz w:val="16"/>
          <w:lang w:val="pt-BR"/>
        </w:rPr>
        <w:t>indenização</w:t>
      </w:r>
      <w:r w:rsidR="004756C1" w:rsidRPr="002F50BD">
        <w:rPr>
          <w:rFonts w:ascii="Verdana" w:hAnsi="Verdana"/>
          <w:sz w:val="16"/>
          <w:lang w:val="pt-BR"/>
        </w:rPr>
        <w:t xml:space="preserve"> justa, por </w:t>
      </w:r>
      <w:r w:rsidR="0089298C" w:rsidRPr="002F50BD">
        <w:rPr>
          <w:rFonts w:ascii="Verdana" w:hAnsi="Verdana"/>
          <w:sz w:val="16"/>
          <w:lang w:val="pt-BR"/>
        </w:rPr>
        <w:t>razões</w:t>
      </w:r>
      <w:r w:rsidR="004756C1" w:rsidRPr="002F50BD">
        <w:rPr>
          <w:rFonts w:ascii="Verdana" w:hAnsi="Verdana"/>
          <w:sz w:val="16"/>
          <w:lang w:val="pt-BR"/>
        </w:rPr>
        <w:t xml:space="preserve"> de </w:t>
      </w:r>
      <w:r w:rsidR="0089298C" w:rsidRPr="002F50BD">
        <w:rPr>
          <w:rFonts w:ascii="Verdana" w:hAnsi="Verdana"/>
          <w:sz w:val="16"/>
          <w:lang w:val="pt-BR"/>
        </w:rPr>
        <w:t xml:space="preserve">utilidade </w:t>
      </w:r>
      <w:r w:rsidR="004756C1" w:rsidRPr="002F50BD">
        <w:rPr>
          <w:rFonts w:ascii="Verdana" w:hAnsi="Verdana"/>
          <w:sz w:val="16"/>
          <w:lang w:val="pt-BR"/>
        </w:rPr>
        <w:t>pública o</w:t>
      </w:r>
      <w:r w:rsidR="00E14FF1" w:rsidRPr="002F50BD">
        <w:rPr>
          <w:rFonts w:ascii="Verdana" w:hAnsi="Verdana"/>
          <w:sz w:val="16"/>
          <w:lang w:val="pt-BR"/>
        </w:rPr>
        <w:t>u</w:t>
      </w:r>
      <w:r w:rsidR="004756C1" w:rsidRPr="002F50BD">
        <w:rPr>
          <w:rFonts w:ascii="Verdana" w:hAnsi="Verdana"/>
          <w:sz w:val="16"/>
          <w:lang w:val="pt-BR"/>
        </w:rPr>
        <w:t xml:space="preserve"> de </w:t>
      </w:r>
      <w:r w:rsidR="0089298C" w:rsidRPr="002F50BD">
        <w:rPr>
          <w:rFonts w:ascii="Verdana" w:hAnsi="Verdana"/>
          <w:sz w:val="16"/>
          <w:lang w:val="pt-BR"/>
        </w:rPr>
        <w:t xml:space="preserve">interesse </w:t>
      </w:r>
      <w:r w:rsidR="004756C1" w:rsidRPr="002F50BD">
        <w:rPr>
          <w:rFonts w:ascii="Verdana" w:hAnsi="Verdana"/>
          <w:sz w:val="16"/>
          <w:lang w:val="pt-BR"/>
        </w:rPr>
        <w:t>social</w:t>
      </w:r>
      <w:r w:rsidR="0089298C" w:rsidRPr="002F50BD">
        <w:rPr>
          <w:rFonts w:ascii="Verdana" w:hAnsi="Verdana"/>
          <w:sz w:val="16"/>
          <w:lang w:val="pt-BR"/>
        </w:rPr>
        <w:t xml:space="preserve"> e nos </w:t>
      </w:r>
      <w:r w:rsidR="004756C1" w:rsidRPr="002F50BD">
        <w:rPr>
          <w:rFonts w:ascii="Verdana" w:hAnsi="Verdana"/>
          <w:sz w:val="16"/>
          <w:lang w:val="pt-BR"/>
        </w:rPr>
        <w:t xml:space="preserve">casos </w:t>
      </w:r>
      <w:r w:rsidR="0089298C" w:rsidRPr="002F50BD">
        <w:rPr>
          <w:rFonts w:ascii="Verdana" w:hAnsi="Verdana"/>
          <w:sz w:val="16"/>
          <w:lang w:val="pt-BR"/>
        </w:rPr>
        <w:t xml:space="preserve">segundo as </w:t>
      </w:r>
      <w:r w:rsidR="004756C1" w:rsidRPr="002F50BD">
        <w:rPr>
          <w:rFonts w:ascii="Verdana" w:hAnsi="Verdana"/>
          <w:sz w:val="16"/>
          <w:lang w:val="pt-BR"/>
        </w:rPr>
        <w:t xml:space="preserve">formas </w:t>
      </w:r>
      <w:r w:rsidR="0089298C" w:rsidRPr="002F50BD">
        <w:rPr>
          <w:rFonts w:ascii="Verdana" w:hAnsi="Verdana"/>
          <w:sz w:val="16"/>
          <w:lang w:val="pt-BR"/>
        </w:rPr>
        <w:t>estabelecid</w:t>
      </w:r>
      <w:r w:rsidR="004756C1" w:rsidRPr="002F50BD">
        <w:rPr>
          <w:rFonts w:ascii="Verdana" w:hAnsi="Verdana"/>
          <w:sz w:val="16"/>
          <w:lang w:val="pt-BR"/>
        </w:rPr>
        <w:t>as</w:t>
      </w:r>
      <w:r w:rsidR="0089298C" w:rsidRPr="002F50BD">
        <w:rPr>
          <w:rFonts w:ascii="Verdana" w:hAnsi="Verdana"/>
          <w:sz w:val="16"/>
          <w:lang w:val="pt-BR"/>
        </w:rPr>
        <w:t xml:space="preserve"> pela Lei.</w:t>
      </w:r>
    </w:p>
    <w:p w:rsidR="004756C1" w:rsidRPr="002F50BD" w:rsidRDefault="004756C1">
      <w:pPr>
        <w:ind w:left="720" w:right="584"/>
        <w:jc w:val="both"/>
        <w:rPr>
          <w:rFonts w:ascii="Verdana" w:hAnsi="Verdana"/>
          <w:sz w:val="16"/>
          <w:lang w:val="pt-BR"/>
        </w:rPr>
      </w:pPr>
    </w:p>
    <w:p w:rsidR="004756C1" w:rsidRPr="002F50BD" w:rsidRDefault="00063B47">
      <w:pPr>
        <w:ind w:left="720" w:right="584"/>
        <w:jc w:val="both"/>
        <w:rPr>
          <w:rFonts w:ascii="Verdana" w:hAnsi="Verdana"/>
          <w:sz w:val="16"/>
          <w:lang w:val="pt-BR"/>
        </w:rPr>
      </w:pPr>
      <w:r w:rsidRPr="002F50BD">
        <w:rPr>
          <w:rFonts w:ascii="Verdana" w:hAnsi="Verdana"/>
          <w:sz w:val="16"/>
          <w:lang w:val="pt-BR"/>
        </w:rPr>
        <w:t>3</w:t>
      </w:r>
      <w:r w:rsidR="004756C1" w:rsidRPr="002F50BD">
        <w:rPr>
          <w:rFonts w:ascii="Verdana" w:hAnsi="Verdana"/>
          <w:sz w:val="16"/>
          <w:lang w:val="pt-BR"/>
        </w:rPr>
        <w:t>. Tanto</w:t>
      </w:r>
      <w:r w:rsidR="0089298C" w:rsidRPr="002F50BD">
        <w:rPr>
          <w:rFonts w:ascii="Verdana" w:hAnsi="Verdana"/>
          <w:sz w:val="16"/>
          <w:lang w:val="pt-BR"/>
        </w:rPr>
        <w:t xml:space="preserve"> a </w:t>
      </w:r>
      <w:r w:rsidR="004756C1" w:rsidRPr="002F50BD">
        <w:rPr>
          <w:rFonts w:ascii="Verdana" w:hAnsi="Verdana"/>
          <w:sz w:val="16"/>
          <w:lang w:val="pt-BR"/>
        </w:rPr>
        <w:t xml:space="preserve">usura como </w:t>
      </w:r>
      <w:r w:rsidR="0089298C" w:rsidRPr="002F50BD">
        <w:rPr>
          <w:rFonts w:ascii="Verdana" w:hAnsi="Verdana"/>
          <w:sz w:val="16"/>
          <w:lang w:val="pt-BR"/>
        </w:rPr>
        <w:t xml:space="preserve">qualquer outra </w:t>
      </w:r>
      <w:r w:rsidR="004756C1" w:rsidRPr="002F50BD">
        <w:rPr>
          <w:rFonts w:ascii="Verdana" w:hAnsi="Verdana"/>
          <w:sz w:val="16"/>
          <w:lang w:val="pt-BR"/>
        </w:rPr>
        <w:t xml:space="preserve">forma de </w:t>
      </w:r>
      <w:r w:rsidR="00AB454A" w:rsidRPr="002F50BD">
        <w:rPr>
          <w:rFonts w:ascii="Verdana" w:hAnsi="Verdana"/>
          <w:sz w:val="16"/>
          <w:lang w:val="pt-BR"/>
        </w:rPr>
        <w:t>exploração</w:t>
      </w:r>
      <w:r w:rsidR="004756C1" w:rsidRPr="002F50BD">
        <w:rPr>
          <w:rFonts w:ascii="Verdana" w:hAnsi="Verdana"/>
          <w:sz w:val="16"/>
          <w:lang w:val="pt-BR"/>
        </w:rPr>
        <w:t xml:space="preserve"> </w:t>
      </w:r>
      <w:r w:rsidR="0089298C" w:rsidRPr="002F50BD">
        <w:rPr>
          <w:rFonts w:ascii="Verdana" w:hAnsi="Verdana"/>
          <w:sz w:val="16"/>
          <w:lang w:val="pt-BR"/>
        </w:rPr>
        <w:t>do homem pelo homem</w:t>
      </w:r>
      <w:r w:rsidR="004756C1" w:rsidRPr="002F50BD">
        <w:rPr>
          <w:rFonts w:ascii="Verdana" w:hAnsi="Verdana"/>
          <w:sz w:val="16"/>
          <w:lang w:val="pt-BR"/>
        </w:rPr>
        <w:t xml:space="preserve"> </w:t>
      </w:r>
      <w:r w:rsidR="0089298C" w:rsidRPr="002F50BD">
        <w:rPr>
          <w:rFonts w:ascii="Verdana" w:hAnsi="Verdana"/>
          <w:sz w:val="16"/>
          <w:lang w:val="pt-BR"/>
        </w:rPr>
        <w:t>devem</w:t>
      </w:r>
      <w:r w:rsidR="004756C1" w:rsidRPr="002F50BD">
        <w:rPr>
          <w:rFonts w:ascii="Verdana" w:hAnsi="Verdana"/>
          <w:sz w:val="16"/>
          <w:lang w:val="pt-BR"/>
        </w:rPr>
        <w:t xml:space="preserve"> ser </w:t>
      </w:r>
      <w:r w:rsidR="00AB454A" w:rsidRPr="002F50BD">
        <w:rPr>
          <w:rFonts w:ascii="Verdana" w:hAnsi="Verdana"/>
          <w:sz w:val="16"/>
          <w:lang w:val="pt-BR"/>
        </w:rPr>
        <w:t>proibid</w:t>
      </w:r>
      <w:r w:rsidR="004756C1" w:rsidRPr="002F50BD">
        <w:rPr>
          <w:rFonts w:ascii="Verdana" w:hAnsi="Verdana"/>
          <w:sz w:val="16"/>
          <w:lang w:val="pt-BR"/>
        </w:rPr>
        <w:t>os</w:t>
      </w:r>
      <w:r w:rsidR="0089298C" w:rsidRPr="002F50BD">
        <w:rPr>
          <w:rFonts w:ascii="Verdana" w:hAnsi="Verdana"/>
          <w:sz w:val="16"/>
          <w:lang w:val="pt-BR"/>
        </w:rPr>
        <w:t xml:space="preserve"> pela Lei.</w:t>
      </w:r>
    </w:p>
    <w:p w:rsidR="004756C1" w:rsidRPr="002F50BD" w:rsidRDefault="0089298C">
      <w:pPr>
        <w:pStyle w:val="BodyTextIndent"/>
        <w:rPr>
          <w:rFonts w:ascii="Verdana" w:hAnsi="Verdana"/>
          <w:sz w:val="20"/>
          <w:lang w:val="pt-BR"/>
        </w:rPr>
      </w:pPr>
      <w:r w:rsidRPr="002F50BD">
        <w:rPr>
          <w:rFonts w:ascii="Verdana" w:hAnsi="Verdana"/>
          <w:sz w:val="20"/>
          <w:lang w:val="pt-BR"/>
        </w:rPr>
        <w:cr/>
        <w:t>O artigo</w:t>
      </w:r>
      <w:r w:rsidR="004756C1" w:rsidRPr="002F50BD">
        <w:rPr>
          <w:rFonts w:ascii="Verdana" w:hAnsi="Verdana"/>
          <w:sz w:val="20"/>
          <w:lang w:val="pt-BR"/>
        </w:rPr>
        <w:t xml:space="preserve"> </w:t>
      </w:r>
      <w:r w:rsidR="00063B47" w:rsidRPr="002F50BD">
        <w:rPr>
          <w:rFonts w:ascii="Verdana" w:hAnsi="Verdana"/>
          <w:sz w:val="20"/>
          <w:lang w:val="pt-BR"/>
        </w:rPr>
        <w:t>109</w:t>
      </w:r>
      <w:r w:rsidRPr="002F50BD">
        <w:rPr>
          <w:rFonts w:ascii="Verdana" w:hAnsi="Verdana"/>
          <w:sz w:val="20"/>
          <w:lang w:val="pt-BR"/>
        </w:rPr>
        <w:t xml:space="preserve"> da Constituição</w:t>
      </w:r>
      <w:r w:rsidR="004756C1" w:rsidRPr="002F50BD">
        <w:rPr>
          <w:rFonts w:ascii="Verdana" w:hAnsi="Verdana"/>
          <w:sz w:val="20"/>
          <w:lang w:val="pt-BR"/>
        </w:rPr>
        <w:t xml:space="preserve"> Nacional </w:t>
      </w:r>
      <w:r w:rsidRPr="002F50BD">
        <w:rPr>
          <w:rFonts w:ascii="Verdana" w:hAnsi="Verdana"/>
          <w:sz w:val="20"/>
          <w:lang w:val="pt-BR"/>
        </w:rPr>
        <w:t>estabelece</w:t>
      </w:r>
      <w:r w:rsidR="004756C1" w:rsidRPr="002F50BD">
        <w:rPr>
          <w:rFonts w:ascii="Verdana" w:hAnsi="Verdana"/>
          <w:sz w:val="20"/>
          <w:lang w:val="pt-BR"/>
        </w:rPr>
        <w:t xml:space="preserve"> que:</w:t>
      </w:r>
    </w:p>
    <w:p w:rsidR="004756C1" w:rsidRPr="002F50BD" w:rsidRDefault="004756C1">
      <w:pPr>
        <w:pStyle w:val="BodyTextIndent"/>
        <w:rPr>
          <w:rFonts w:ascii="Verdana" w:hAnsi="Verdana"/>
          <w:sz w:val="20"/>
          <w:lang w:val="pt-BR"/>
        </w:rPr>
      </w:pPr>
    </w:p>
    <w:p w:rsidR="004756C1" w:rsidRPr="002F50BD" w:rsidRDefault="00414ED5" w:rsidP="004E0A85">
      <w:pPr>
        <w:pStyle w:val="BodyTextIndent"/>
        <w:ind w:left="720" w:right="584" w:firstLine="0"/>
        <w:rPr>
          <w:rFonts w:ascii="Verdana" w:hAnsi="Verdana"/>
          <w:sz w:val="16"/>
          <w:lang w:val="pt-BR"/>
        </w:rPr>
      </w:pPr>
      <w:r w:rsidRPr="002F50BD">
        <w:rPr>
          <w:rFonts w:ascii="Verdana" w:hAnsi="Verdana"/>
          <w:sz w:val="16"/>
          <w:lang w:val="pt-BR"/>
        </w:rPr>
        <w:t xml:space="preserve">É garantida </w:t>
      </w:r>
      <w:r w:rsidR="0089298C" w:rsidRPr="002F50BD">
        <w:rPr>
          <w:rFonts w:ascii="Verdana" w:hAnsi="Verdana"/>
          <w:sz w:val="16"/>
          <w:lang w:val="pt-BR"/>
        </w:rPr>
        <w:t>a propriedade</w:t>
      </w:r>
      <w:r w:rsidR="004756C1" w:rsidRPr="002F50BD">
        <w:rPr>
          <w:rFonts w:ascii="Verdana" w:hAnsi="Verdana"/>
          <w:sz w:val="16"/>
          <w:lang w:val="pt-BR"/>
        </w:rPr>
        <w:t xml:space="preserve"> privada, </w:t>
      </w:r>
      <w:r w:rsidR="0089298C" w:rsidRPr="002F50BD">
        <w:rPr>
          <w:rFonts w:ascii="Verdana" w:hAnsi="Verdana"/>
          <w:sz w:val="16"/>
          <w:lang w:val="pt-BR"/>
        </w:rPr>
        <w:t>cujo</w:t>
      </w:r>
      <w:r w:rsidR="004756C1" w:rsidRPr="002F50BD">
        <w:rPr>
          <w:rFonts w:ascii="Verdana" w:hAnsi="Verdana"/>
          <w:sz w:val="16"/>
          <w:lang w:val="pt-BR"/>
        </w:rPr>
        <w:t xml:space="preserve"> </w:t>
      </w:r>
      <w:r w:rsidR="0089298C" w:rsidRPr="002F50BD">
        <w:rPr>
          <w:rFonts w:ascii="Verdana" w:hAnsi="Verdana"/>
          <w:sz w:val="16"/>
          <w:lang w:val="pt-BR"/>
        </w:rPr>
        <w:t>conteúdo e limite</w:t>
      </w:r>
      <w:r w:rsidR="004756C1" w:rsidRPr="002F50BD">
        <w:rPr>
          <w:rFonts w:ascii="Verdana" w:hAnsi="Verdana"/>
          <w:sz w:val="16"/>
          <w:lang w:val="pt-BR"/>
        </w:rPr>
        <w:t xml:space="preserve">s </w:t>
      </w:r>
      <w:r w:rsidR="0089298C" w:rsidRPr="002F50BD">
        <w:rPr>
          <w:rFonts w:ascii="Verdana" w:hAnsi="Verdana"/>
          <w:sz w:val="16"/>
          <w:lang w:val="pt-BR"/>
        </w:rPr>
        <w:t>serão</w:t>
      </w:r>
      <w:r w:rsidR="004756C1" w:rsidRPr="002F50BD">
        <w:rPr>
          <w:rFonts w:ascii="Verdana" w:hAnsi="Verdana"/>
          <w:sz w:val="16"/>
          <w:lang w:val="pt-BR"/>
        </w:rPr>
        <w:t xml:space="preserve"> </w:t>
      </w:r>
      <w:r w:rsidR="0089298C" w:rsidRPr="002F50BD">
        <w:rPr>
          <w:rFonts w:ascii="Verdana" w:hAnsi="Verdana"/>
          <w:sz w:val="16"/>
          <w:lang w:val="pt-BR"/>
        </w:rPr>
        <w:t>estabelecid</w:t>
      </w:r>
      <w:r w:rsidR="004756C1" w:rsidRPr="002F50BD">
        <w:rPr>
          <w:rFonts w:ascii="Verdana" w:hAnsi="Verdana"/>
          <w:sz w:val="16"/>
          <w:lang w:val="pt-BR"/>
        </w:rPr>
        <w:t>os</w:t>
      </w:r>
      <w:r w:rsidR="0089298C" w:rsidRPr="002F50BD">
        <w:rPr>
          <w:rFonts w:ascii="Verdana" w:hAnsi="Verdana"/>
          <w:sz w:val="16"/>
          <w:lang w:val="pt-BR"/>
        </w:rPr>
        <w:t xml:space="preserve"> pela </w:t>
      </w:r>
      <w:r w:rsidR="004076AD" w:rsidRPr="002F50BD">
        <w:rPr>
          <w:rFonts w:ascii="Verdana" w:hAnsi="Verdana"/>
          <w:sz w:val="16"/>
          <w:lang w:val="pt-BR"/>
        </w:rPr>
        <w:t>lei,</w:t>
      </w:r>
      <w:r w:rsidR="004756C1" w:rsidRPr="002F50BD">
        <w:rPr>
          <w:rFonts w:ascii="Verdana" w:hAnsi="Verdana"/>
          <w:sz w:val="16"/>
          <w:lang w:val="pt-BR"/>
        </w:rPr>
        <w:t xml:space="preserve"> atendendo </w:t>
      </w:r>
      <w:r w:rsidRPr="002F50BD">
        <w:rPr>
          <w:rFonts w:ascii="Verdana" w:hAnsi="Verdana"/>
          <w:sz w:val="16"/>
          <w:lang w:val="pt-BR"/>
        </w:rPr>
        <w:t>à</w:t>
      </w:r>
      <w:r w:rsidR="004756C1" w:rsidRPr="002F50BD">
        <w:rPr>
          <w:rFonts w:ascii="Verdana" w:hAnsi="Verdana"/>
          <w:sz w:val="16"/>
          <w:lang w:val="pt-BR"/>
        </w:rPr>
        <w:t xml:space="preserve"> su</w:t>
      </w:r>
      <w:r w:rsidRPr="002F50BD">
        <w:rPr>
          <w:rFonts w:ascii="Verdana" w:hAnsi="Verdana"/>
          <w:sz w:val="16"/>
          <w:lang w:val="pt-BR"/>
        </w:rPr>
        <w:t>a</w:t>
      </w:r>
      <w:r w:rsidR="004756C1" w:rsidRPr="002F50BD">
        <w:rPr>
          <w:rFonts w:ascii="Verdana" w:hAnsi="Verdana"/>
          <w:sz w:val="16"/>
          <w:lang w:val="pt-BR"/>
        </w:rPr>
        <w:t xml:space="preserve"> fun</w:t>
      </w:r>
      <w:r w:rsidR="0089298C" w:rsidRPr="002F50BD">
        <w:rPr>
          <w:rFonts w:ascii="Verdana" w:hAnsi="Verdana"/>
          <w:sz w:val="16"/>
          <w:lang w:val="pt-BR"/>
        </w:rPr>
        <w:t>ção</w:t>
      </w:r>
      <w:r w:rsidR="004756C1" w:rsidRPr="002F50BD">
        <w:rPr>
          <w:rFonts w:ascii="Verdana" w:hAnsi="Verdana"/>
          <w:sz w:val="16"/>
          <w:lang w:val="pt-BR"/>
        </w:rPr>
        <w:t xml:space="preserve"> </w:t>
      </w:r>
      <w:r w:rsidR="0089298C" w:rsidRPr="002F50BD">
        <w:rPr>
          <w:rFonts w:ascii="Verdana" w:hAnsi="Verdana"/>
          <w:sz w:val="16"/>
          <w:lang w:val="pt-BR"/>
        </w:rPr>
        <w:t>econômic</w:t>
      </w:r>
      <w:r w:rsidR="004756C1" w:rsidRPr="002F50BD">
        <w:rPr>
          <w:rFonts w:ascii="Verdana" w:hAnsi="Verdana"/>
          <w:sz w:val="16"/>
          <w:lang w:val="pt-BR"/>
        </w:rPr>
        <w:t>a</w:t>
      </w:r>
      <w:r w:rsidR="0089298C" w:rsidRPr="002F50BD">
        <w:rPr>
          <w:rFonts w:ascii="Verdana" w:hAnsi="Verdana"/>
          <w:sz w:val="16"/>
          <w:lang w:val="pt-BR"/>
        </w:rPr>
        <w:t xml:space="preserve"> e </w:t>
      </w:r>
      <w:r w:rsidR="004756C1" w:rsidRPr="002F50BD">
        <w:rPr>
          <w:rFonts w:ascii="Verdana" w:hAnsi="Verdana"/>
          <w:sz w:val="16"/>
          <w:lang w:val="pt-BR"/>
        </w:rPr>
        <w:t>social, a</w:t>
      </w:r>
      <w:r w:rsidR="0089298C" w:rsidRPr="002F50BD">
        <w:rPr>
          <w:rFonts w:ascii="Verdana" w:hAnsi="Verdana"/>
          <w:sz w:val="16"/>
          <w:lang w:val="pt-BR"/>
        </w:rPr>
        <w:t xml:space="preserve"> fim </w:t>
      </w:r>
      <w:r w:rsidR="004756C1" w:rsidRPr="002F50BD">
        <w:rPr>
          <w:rFonts w:ascii="Verdana" w:hAnsi="Verdana"/>
          <w:sz w:val="16"/>
          <w:lang w:val="pt-BR"/>
        </w:rPr>
        <w:t xml:space="preserve">de </w:t>
      </w:r>
      <w:r w:rsidRPr="002F50BD">
        <w:rPr>
          <w:rFonts w:ascii="Verdana" w:hAnsi="Verdana"/>
          <w:sz w:val="16"/>
          <w:lang w:val="pt-BR"/>
        </w:rPr>
        <w:t xml:space="preserve">fazê-la </w:t>
      </w:r>
      <w:r w:rsidR="004076AD" w:rsidRPr="002F50BD">
        <w:rPr>
          <w:rFonts w:ascii="Verdana" w:hAnsi="Verdana"/>
          <w:sz w:val="16"/>
          <w:lang w:val="pt-BR"/>
        </w:rPr>
        <w:t xml:space="preserve">acessível </w:t>
      </w:r>
      <w:r w:rsidR="004756C1" w:rsidRPr="002F50BD">
        <w:rPr>
          <w:rFonts w:ascii="Verdana" w:hAnsi="Verdana"/>
          <w:sz w:val="16"/>
          <w:lang w:val="pt-BR"/>
        </w:rPr>
        <w:t xml:space="preserve">a todos. </w:t>
      </w:r>
    </w:p>
    <w:p w:rsidR="004E0A85" w:rsidRDefault="004E0A85" w:rsidP="004E0A85">
      <w:pPr>
        <w:pStyle w:val="BodyTextIndent"/>
        <w:ind w:right="584"/>
        <w:rPr>
          <w:rFonts w:ascii="Verdana" w:hAnsi="Verdana"/>
          <w:sz w:val="16"/>
          <w:lang w:val="pt-BR"/>
        </w:rPr>
      </w:pPr>
    </w:p>
    <w:p w:rsidR="004756C1" w:rsidRPr="002F50BD" w:rsidRDefault="0089298C" w:rsidP="004E0A85">
      <w:pPr>
        <w:pStyle w:val="BodyTextIndent"/>
        <w:ind w:right="584"/>
        <w:rPr>
          <w:rFonts w:ascii="Verdana" w:hAnsi="Verdana"/>
          <w:sz w:val="16"/>
          <w:lang w:val="pt-BR"/>
        </w:rPr>
      </w:pPr>
      <w:r w:rsidRPr="002F50BD">
        <w:rPr>
          <w:rFonts w:ascii="Verdana" w:hAnsi="Verdana"/>
          <w:sz w:val="16"/>
          <w:lang w:val="pt-BR"/>
        </w:rPr>
        <w:t>A propriedade</w:t>
      </w:r>
      <w:r w:rsidR="004756C1" w:rsidRPr="002F50BD">
        <w:rPr>
          <w:rFonts w:ascii="Verdana" w:hAnsi="Verdana"/>
          <w:sz w:val="16"/>
          <w:lang w:val="pt-BR"/>
        </w:rPr>
        <w:t xml:space="preserve"> privada</w:t>
      </w:r>
      <w:r w:rsidRPr="002F50BD">
        <w:rPr>
          <w:rFonts w:ascii="Verdana" w:hAnsi="Verdana"/>
          <w:sz w:val="16"/>
          <w:lang w:val="pt-BR"/>
        </w:rPr>
        <w:t xml:space="preserve"> é </w:t>
      </w:r>
      <w:r w:rsidR="0092602F" w:rsidRPr="002F50BD">
        <w:rPr>
          <w:rFonts w:ascii="Verdana" w:hAnsi="Verdana"/>
          <w:sz w:val="16"/>
          <w:lang w:val="pt-BR"/>
        </w:rPr>
        <w:t>inviolável</w:t>
      </w:r>
      <w:r w:rsidR="004756C1" w:rsidRPr="002F50BD">
        <w:rPr>
          <w:rFonts w:ascii="Verdana" w:hAnsi="Verdana"/>
          <w:sz w:val="16"/>
          <w:lang w:val="pt-BR"/>
        </w:rPr>
        <w:t xml:space="preserve">. </w:t>
      </w:r>
    </w:p>
    <w:p w:rsidR="004756C1" w:rsidRPr="002F50BD" w:rsidRDefault="004756C1">
      <w:pPr>
        <w:pStyle w:val="BodyTextIndent"/>
        <w:ind w:left="720" w:right="584"/>
        <w:rPr>
          <w:rFonts w:ascii="Verdana" w:hAnsi="Verdana"/>
          <w:sz w:val="16"/>
          <w:lang w:val="pt-BR"/>
        </w:rPr>
      </w:pPr>
    </w:p>
    <w:p w:rsidR="004756C1" w:rsidRPr="002F50BD" w:rsidRDefault="0089298C" w:rsidP="004E0A85">
      <w:pPr>
        <w:pStyle w:val="BodyTextIndent"/>
        <w:ind w:left="720" w:right="584" w:firstLine="0"/>
        <w:rPr>
          <w:rFonts w:ascii="Verdana" w:hAnsi="Verdana"/>
          <w:sz w:val="16"/>
          <w:lang w:val="pt-BR"/>
        </w:rPr>
      </w:pPr>
      <w:r w:rsidRPr="002F50BD">
        <w:rPr>
          <w:rFonts w:ascii="Verdana" w:hAnsi="Verdana"/>
          <w:sz w:val="16"/>
          <w:lang w:val="pt-BR"/>
        </w:rPr>
        <w:t>Ninguém</w:t>
      </w:r>
      <w:r w:rsidR="004756C1" w:rsidRPr="002F50BD">
        <w:rPr>
          <w:rFonts w:ascii="Verdana" w:hAnsi="Verdana"/>
          <w:sz w:val="16"/>
          <w:lang w:val="pt-BR"/>
        </w:rPr>
        <w:t xml:space="preserve"> </w:t>
      </w:r>
      <w:r w:rsidRPr="002F50BD">
        <w:rPr>
          <w:rFonts w:ascii="Verdana" w:hAnsi="Verdana"/>
          <w:sz w:val="16"/>
          <w:lang w:val="pt-BR"/>
        </w:rPr>
        <w:t>pode</w:t>
      </w:r>
      <w:r w:rsidR="004756C1" w:rsidRPr="002F50BD">
        <w:rPr>
          <w:rFonts w:ascii="Verdana" w:hAnsi="Verdana"/>
          <w:sz w:val="16"/>
          <w:lang w:val="pt-BR"/>
        </w:rPr>
        <w:t xml:space="preserve"> ser privado de su</w:t>
      </w:r>
      <w:r w:rsidR="00414ED5" w:rsidRPr="002F50BD">
        <w:rPr>
          <w:rFonts w:ascii="Verdana" w:hAnsi="Verdana"/>
          <w:sz w:val="16"/>
          <w:lang w:val="pt-BR"/>
        </w:rPr>
        <w:t>a</w:t>
      </w:r>
      <w:r w:rsidR="004756C1" w:rsidRPr="002F50BD">
        <w:rPr>
          <w:rFonts w:ascii="Verdana" w:hAnsi="Verdana"/>
          <w:sz w:val="16"/>
          <w:lang w:val="pt-BR"/>
        </w:rPr>
        <w:t xml:space="preserve"> </w:t>
      </w:r>
      <w:r w:rsidRPr="002F50BD">
        <w:rPr>
          <w:rFonts w:ascii="Verdana" w:hAnsi="Verdana"/>
          <w:sz w:val="16"/>
          <w:lang w:val="pt-BR"/>
        </w:rPr>
        <w:t>propriedade</w:t>
      </w:r>
      <w:r w:rsidR="004E0A85">
        <w:rPr>
          <w:rFonts w:ascii="Verdana" w:hAnsi="Verdana"/>
          <w:sz w:val="16"/>
          <w:lang w:val="pt-BR"/>
        </w:rPr>
        <w:t>, exceto</w:t>
      </w:r>
      <w:r w:rsidRPr="002F50BD">
        <w:rPr>
          <w:rFonts w:ascii="Verdana" w:hAnsi="Verdana"/>
          <w:sz w:val="16"/>
          <w:lang w:val="pt-BR"/>
        </w:rPr>
        <w:t xml:space="preserve"> em virtude </w:t>
      </w:r>
      <w:r w:rsidR="004756C1" w:rsidRPr="002F50BD">
        <w:rPr>
          <w:rFonts w:ascii="Verdana" w:hAnsi="Verdana"/>
          <w:sz w:val="16"/>
          <w:lang w:val="pt-BR"/>
        </w:rPr>
        <w:t xml:space="preserve">de </w:t>
      </w:r>
      <w:r w:rsidRPr="002F50BD">
        <w:rPr>
          <w:rFonts w:ascii="Verdana" w:hAnsi="Verdana"/>
          <w:sz w:val="16"/>
          <w:lang w:val="pt-BR"/>
        </w:rPr>
        <w:t>sentença</w:t>
      </w:r>
      <w:r w:rsidR="004756C1" w:rsidRPr="002F50BD">
        <w:rPr>
          <w:rFonts w:ascii="Verdana" w:hAnsi="Verdana"/>
          <w:sz w:val="16"/>
          <w:lang w:val="pt-BR"/>
        </w:rPr>
        <w:t xml:space="preserve"> judicial, </w:t>
      </w:r>
      <w:r w:rsidRPr="002F50BD">
        <w:rPr>
          <w:rFonts w:ascii="Verdana" w:hAnsi="Verdana"/>
          <w:sz w:val="16"/>
          <w:lang w:val="pt-BR"/>
        </w:rPr>
        <w:t>mas</w:t>
      </w:r>
      <w:r w:rsidR="004756C1" w:rsidRPr="002F50BD">
        <w:rPr>
          <w:rFonts w:ascii="Verdana" w:hAnsi="Verdana"/>
          <w:sz w:val="16"/>
          <w:lang w:val="pt-BR"/>
        </w:rPr>
        <w:t xml:space="preserve"> se admite</w:t>
      </w:r>
      <w:r w:rsidRPr="002F50BD">
        <w:rPr>
          <w:rFonts w:ascii="Verdana" w:hAnsi="Verdana"/>
          <w:sz w:val="16"/>
          <w:lang w:val="pt-BR"/>
        </w:rPr>
        <w:t xml:space="preserve"> a </w:t>
      </w:r>
      <w:r w:rsidR="00DB51F0" w:rsidRPr="002F50BD">
        <w:rPr>
          <w:rFonts w:ascii="Verdana" w:hAnsi="Verdana"/>
          <w:sz w:val="16"/>
          <w:lang w:val="pt-BR"/>
        </w:rPr>
        <w:t>expropriação</w:t>
      </w:r>
      <w:r w:rsidR="004756C1" w:rsidRPr="002F50BD">
        <w:rPr>
          <w:rFonts w:ascii="Verdana" w:hAnsi="Verdana"/>
          <w:sz w:val="16"/>
          <w:lang w:val="pt-BR"/>
        </w:rPr>
        <w:t xml:space="preserve"> por causa de </w:t>
      </w:r>
      <w:r w:rsidRPr="002F50BD">
        <w:rPr>
          <w:rFonts w:ascii="Verdana" w:hAnsi="Verdana"/>
          <w:sz w:val="16"/>
          <w:lang w:val="pt-BR"/>
        </w:rPr>
        <w:t xml:space="preserve">utilidade </w:t>
      </w:r>
      <w:r w:rsidR="004756C1" w:rsidRPr="002F50BD">
        <w:rPr>
          <w:rFonts w:ascii="Verdana" w:hAnsi="Verdana"/>
          <w:sz w:val="16"/>
          <w:lang w:val="pt-BR"/>
        </w:rPr>
        <w:t>pública o</w:t>
      </w:r>
      <w:r w:rsidR="00414ED5" w:rsidRPr="002F50BD">
        <w:rPr>
          <w:rFonts w:ascii="Verdana" w:hAnsi="Verdana"/>
          <w:sz w:val="16"/>
          <w:lang w:val="pt-BR"/>
        </w:rPr>
        <w:t>u</w:t>
      </w:r>
      <w:r w:rsidR="004756C1" w:rsidRPr="002F50BD">
        <w:rPr>
          <w:rFonts w:ascii="Verdana" w:hAnsi="Verdana"/>
          <w:sz w:val="16"/>
          <w:lang w:val="pt-BR"/>
        </w:rPr>
        <w:t xml:space="preserve"> de </w:t>
      </w:r>
      <w:r w:rsidRPr="002F50BD">
        <w:rPr>
          <w:rFonts w:ascii="Verdana" w:hAnsi="Verdana"/>
          <w:sz w:val="16"/>
          <w:lang w:val="pt-BR"/>
        </w:rPr>
        <w:t xml:space="preserve">interesse </w:t>
      </w:r>
      <w:r w:rsidR="004756C1" w:rsidRPr="002F50BD">
        <w:rPr>
          <w:rFonts w:ascii="Verdana" w:hAnsi="Verdana"/>
          <w:sz w:val="16"/>
          <w:lang w:val="pt-BR"/>
        </w:rPr>
        <w:t>social, que será determinada</w:t>
      </w:r>
      <w:r w:rsidRPr="002F50BD">
        <w:rPr>
          <w:rFonts w:ascii="Verdana" w:hAnsi="Verdana"/>
          <w:sz w:val="16"/>
          <w:lang w:val="pt-BR"/>
        </w:rPr>
        <w:t xml:space="preserve"> em </w:t>
      </w:r>
      <w:r w:rsidR="004756C1" w:rsidRPr="002F50BD">
        <w:rPr>
          <w:rFonts w:ascii="Verdana" w:hAnsi="Verdana"/>
          <w:sz w:val="16"/>
          <w:lang w:val="pt-BR"/>
        </w:rPr>
        <w:t>cada caso</w:t>
      </w:r>
      <w:r w:rsidRPr="002F50BD">
        <w:rPr>
          <w:rFonts w:ascii="Verdana" w:hAnsi="Verdana"/>
          <w:sz w:val="16"/>
          <w:lang w:val="pt-BR"/>
        </w:rPr>
        <w:t xml:space="preserve"> pela lei.</w:t>
      </w:r>
      <w:r w:rsidR="004756C1" w:rsidRPr="002F50BD">
        <w:rPr>
          <w:rFonts w:ascii="Verdana" w:hAnsi="Verdana"/>
          <w:sz w:val="16"/>
          <w:lang w:val="pt-BR"/>
        </w:rPr>
        <w:t xml:space="preserve"> Esta </w:t>
      </w:r>
      <w:r w:rsidRPr="002F50BD">
        <w:rPr>
          <w:rFonts w:ascii="Verdana" w:hAnsi="Verdana"/>
          <w:sz w:val="16"/>
          <w:lang w:val="pt-BR"/>
        </w:rPr>
        <w:t>garantir</w:t>
      </w:r>
      <w:r w:rsidR="004756C1" w:rsidRPr="002F50BD">
        <w:rPr>
          <w:rFonts w:ascii="Verdana" w:hAnsi="Verdana"/>
          <w:sz w:val="16"/>
          <w:lang w:val="pt-BR"/>
        </w:rPr>
        <w:t>á</w:t>
      </w:r>
      <w:r w:rsidRPr="002F50BD">
        <w:rPr>
          <w:rFonts w:ascii="Verdana" w:hAnsi="Verdana"/>
          <w:sz w:val="16"/>
          <w:lang w:val="pt-BR"/>
        </w:rPr>
        <w:t xml:space="preserve"> o prévio</w:t>
      </w:r>
      <w:r w:rsidR="004756C1" w:rsidRPr="002F50BD">
        <w:rPr>
          <w:rFonts w:ascii="Verdana" w:hAnsi="Verdana"/>
          <w:sz w:val="16"/>
          <w:lang w:val="pt-BR"/>
        </w:rPr>
        <w:t xml:space="preserve"> </w:t>
      </w:r>
      <w:r w:rsidRPr="002F50BD">
        <w:rPr>
          <w:rFonts w:ascii="Verdana" w:hAnsi="Verdana"/>
          <w:sz w:val="16"/>
          <w:lang w:val="pt-BR"/>
        </w:rPr>
        <w:t>pagamento</w:t>
      </w:r>
      <w:r w:rsidR="004756C1" w:rsidRPr="002F50BD">
        <w:rPr>
          <w:rFonts w:ascii="Verdana" w:hAnsi="Verdana"/>
          <w:sz w:val="16"/>
          <w:lang w:val="pt-BR"/>
        </w:rPr>
        <w:t xml:space="preserve"> de</w:t>
      </w:r>
      <w:r w:rsidRPr="002F50BD">
        <w:rPr>
          <w:rFonts w:ascii="Verdana" w:hAnsi="Verdana"/>
          <w:sz w:val="16"/>
          <w:lang w:val="pt-BR"/>
        </w:rPr>
        <w:t xml:space="preserve"> uma </w:t>
      </w:r>
      <w:r w:rsidR="004756C1" w:rsidRPr="002F50BD">
        <w:rPr>
          <w:rFonts w:ascii="Verdana" w:hAnsi="Verdana"/>
          <w:sz w:val="16"/>
          <w:lang w:val="pt-BR"/>
        </w:rPr>
        <w:t xml:space="preserve">justa </w:t>
      </w:r>
      <w:r w:rsidRPr="002F50BD">
        <w:rPr>
          <w:rFonts w:ascii="Verdana" w:hAnsi="Verdana"/>
          <w:sz w:val="16"/>
          <w:lang w:val="pt-BR"/>
        </w:rPr>
        <w:t>indenização</w:t>
      </w:r>
      <w:r w:rsidR="004756C1" w:rsidRPr="002F50BD">
        <w:rPr>
          <w:rFonts w:ascii="Verdana" w:hAnsi="Verdana"/>
          <w:sz w:val="16"/>
          <w:lang w:val="pt-BR"/>
        </w:rPr>
        <w:t xml:space="preserve">, </w:t>
      </w:r>
      <w:r w:rsidRPr="002F50BD">
        <w:rPr>
          <w:rFonts w:ascii="Verdana" w:hAnsi="Verdana"/>
          <w:sz w:val="16"/>
          <w:lang w:val="pt-BR"/>
        </w:rPr>
        <w:t>estabelecid</w:t>
      </w:r>
      <w:r w:rsidR="004756C1" w:rsidRPr="002F50BD">
        <w:rPr>
          <w:rFonts w:ascii="Verdana" w:hAnsi="Verdana"/>
          <w:sz w:val="16"/>
          <w:lang w:val="pt-BR"/>
        </w:rPr>
        <w:t>a convencionalmente o</w:t>
      </w:r>
      <w:r w:rsidR="00414ED5" w:rsidRPr="002F50BD">
        <w:rPr>
          <w:rFonts w:ascii="Verdana" w:hAnsi="Verdana"/>
          <w:sz w:val="16"/>
          <w:lang w:val="pt-BR"/>
        </w:rPr>
        <w:t>u</w:t>
      </w:r>
      <w:r w:rsidR="004756C1" w:rsidRPr="002F50BD">
        <w:rPr>
          <w:rFonts w:ascii="Verdana" w:hAnsi="Verdana"/>
          <w:sz w:val="16"/>
          <w:lang w:val="pt-BR"/>
        </w:rPr>
        <w:t xml:space="preserve"> por </w:t>
      </w:r>
      <w:r w:rsidRPr="002F50BD">
        <w:rPr>
          <w:rFonts w:ascii="Verdana" w:hAnsi="Verdana"/>
          <w:sz w:val="16"/>
          <w:lang w:val="pt-BR"/>
        </w:rPr>
        <w:t>sentença</w:t>
      </w:r>
      <w:r w:rsidR="004756C1" w:rsidRPr="002F50BD">
        <w:rPr>
          <w:rFonts w:ascii="Verdana" w:hAnsi="Verdana"/>
          <w:sz w:val="16"/>
          <w:lang w:val="pt-BR"/>
        </w:rPr>
        <w:t xml:space="preserve"> judicial, salvo</w:t>
      </w:r>
      <w:r w:rsidRPr="002F50BD">
        <w:rPr>
          <w:rFonts w:ascii="Verdana" w:hAnsi="Verdana"/>
          <w:sz w:val="16"/>
          <w:lang w:val="pt-BR"/>
        </w:rPr>
        <w:t xml:space="preserve"> os </w:t>
      </w:r>
      <w:r w:rsidR="00243D2E" w:rsidRPr="002F50BD">
        <w:rPr>
          <w:rFonts w:ascii="Verdana" w:hAnsi="Verdana"/>
          <w:sz w:val="16"/>
          <w:lang w:val="pt-BR"/>
        </w:rPr>
        <w:t>latifúndio</w:t>
      </w:r>
      <w:r w:rsidR="004756C1" w:rsidRPr="002F50BD">
        <w:rPr>
          <w:rFonts w:ascii="Verdana" w:hAnsi="Verdana"/>
          <w:sz w:val="16"/>
          <w:lang w:val="pt-BR"/>
        </w:rPr>
        <w:t>s im</w:t>
      </w:r>
      <w:r w:rsidR="001A249E" w:rsidRPr="002F50BD">
        <w:rPr>
          <w:rFonts w:ascii="Verdana" w:hAnsi="Verdana"/>
          <w:sz w:val="16"/>
          <w:lang w:val="pt-BR"/>
        </w:rPr>
        <w:t>produtv</w:t>
      </w:r>
      <w:r w:rsidR="004756C1" w:rsidRPr="002F50BD">
        <w:rPr>
          <w:rFonts w:ascii="Verdana" w:hAnsi="Verdana"/>
          <w:sz w:val="16"/>
          <w:lang w:val="pt-BR"/>
        </w:rPr>
        <w:t>os destinados</w:t>
      </w:r>
      <w:r w:rsidRPr="002F50BD">
        <w:rPr>
          <w:rFonts w:ascii="Verdana" w:hAnsi="Verdana"/>
          <w:sz w:val="16"/>
          <w:lang w:val="pt-BR"/>
        </w:rPr>
        <w:t xml:space="preserve"> à </w:t>
      </w:r>
      <w:r w:rsidR="00414ED5" w:rsidRPr="002F50BD">
        <w:rPr>
          <w:rFonts w:ascii="Verdana" w:hAnsi="Verdana"/>
          <w:sz w:val="16"/>
          <w:lang w:val="pt-BR"/>
        </w:rPr>
        <w:t>reforma agrá</w:t>
      </w:r>
      <w:r w:rsidR="004756C1" w:rsidRPr="002F50BD">
        <w:rPr>
          <w:rFonts w:ascii="Verdana" w:hAnsi="Verdana"/>
          <w:sz w:val="16"/>
          <w:lang w:val="pt-BR"/>
        </w:rPr>
        <w:t>ria, conforme</w:t>
      </w:r>
      <w:r w:rsidRPr="002F50BD">
        <w:rPr>
          <w:rFonts w:ascii="Verdana" w:hAnsi="Verdana"/>
          <w:sz w:val="16"/>
          <w:lang w:val="pt-BR"/>
        </w:rPr>
        <w:t xml:space="preserve"> o procedimento</w:t>
      </w:r>
      <w:r w:rsidR="004756C1" w:rsidRPr="002F50BD">
        <w:rPr>
          <w:rFonts w:ascii="Verdana" w:hAnsi="Verdana"/>
          <w:sz w:val="16"/>
          <w:lang w:val="pt-BR"/>
        </w:rPr>
        <w:t xml:space="preserve"> para</w:t>
      </w:r>
      <w:r w:rsidRPr="002F50BD">
        <w:rPr>
          <w:rFonts w:ascii="Verdana" w:hAnsi="Verdana"/>
          <w:sz w:val="16"/>
          <w:lang w:val="pt-BR"/>
        </w:rPr>
        <w:t xml:space="preserve"> as </w:t>
      </w:r>
      <w:r w:rsidR="004756C1" w:rsidRPr="002F50BD">
        <w:rPr>
          <w:rFonts w:ascii="Verdana" w:hAnsi="Verdana"/>
          <w:sz w:val="16"/>
          <w:lang w:val="pt-BR"/>
        </w:rPr>
        <w:t>expropia</w:t>
      </w:r>
      <w:r w:rsidRPr="002F50BD">
        <w:rPr>
          <w:rFonts w:ascii="Verdana" w:hAnsi="Verdana"/>
          <w:sz w:val="16"/>
          <w:lang w:val="pt-BR"/>
        </w:rPr>
        <w:t>ções</w:t>
      </w:r>
      <w:r w:rsidR="004756C1" w:rsidRPr="002F50BD">
        <w:rPr>
          <w:rFonts w:ascii="Verdana" w:hAnsi="Verdana"/>
          <w:sz w:val="16"/>
          <w:lang w:val="pt-BR"/>
        </w:rPr>
        <w:t xml:space="preserve"> a </w:t>
      </w:r>
      <w:r w:rsidR="00E14FF1" w:rsidRPr="002F50BD">
        <w:rPr>
          <w:rFonts w:ascii="Verdana" w:hAnsi="Verdana"/>
          <w:sz w:val="16"/>
          <w:lang w:val="pt-BR"/>
        </w:rPr>
        <w:t xml:space="preserve">ser </w:t>
      </w:r>
      <w:r w:rsidRPr="002F50BD">
        <w:rPr>
          <w:rFonts w:ascii="Verdana" w:hAnsi="Verdana"/>
          <w:sz w:val="16"/>
          <w:lang w:val="pt-BR"/>
        </w:rPr>
        <w:t>estabelec</w:t>
      </w:r>
      <w:r w:rsidR="00E14FF1" w:rsidRPr="002F50BD">
        <w:rPr>
          <w:rFonts w:ascii="Verdana" w:hAnsi="Verdana"/>
          <w:sz w:val="16"/>
          <w:lang w:val="pt-BR"/>
        </w:rPr>
        <w:t>ido</w:t>
      </w:r>
      <w:r w:rsidR="004756C1" w:rsidRPr="002F50BD">
        <w:rPr>
          <w:rFonts w:ascii="Verdana" w:hAnsi="Verdana"/>
          <w:sz w:val="16"/>
          <w:lang w:val="pt-BR"/>
        </w:rPr>
        <w:t xml:space="preserve"> por </w:t>
      </w:r>
      <w:r w:rsidRPr="002F50BD">
        <w:rPr>
          <w:rFonts w:ascii="Verdana" w:hAnsi="Verdana"/>
          <w:sz w:val="16"/>
          <w:lang w:val="pt-BR"/>
        </w:rPr>
        <w:t>lei.</w:t>
      </w:r>
      <w:r w:rsidR="00FE08B7">
        <w:rPr>
          <w:rFonts w:ascii="Verdana" w:hAnsi="Verdana"/>
          <w:sz w:val="16"/>
          <w:lang w:val="pt-BR"/>
        </w:rPr>
        <w:t xml:space="preserve">  </w:t>
      </w:r>
      <w:r w:rsidR="004756C1" w:rsidRPr="002F50BD">
        <w:rPr>
          <w:rFonts w:ascii="Verdana" w:hAnsi="Verdana"/>
          <w:sz w:val="16"/>
          <w:lang w:val="pt-BR"/>
        </w:rPr>
        <w:t xml:space="preserve"> </w:t>
      </w:r>
    </w:p>
    <w:p w:rsidR="00FE08B7" w:rsidRDefault="00FE08B7" w:rsidP="00DE5248">
      <w:pPr>
        <w:pStyle w:val="BodyTextIndent"/>
        <w:ind w:firstLine="0"/>
        <w:rPr>
          <w:rFonts w:ascii="Verdana" w:hAnsi="Verdana"/>
          <w:sz w:val="20"/>
          <w:lang w:val="pt-BR"/>
        </w:rPr>
      </w:pPr>
    </w:p>
    <w:p w:rsidR="004756C1" w:rsidRPr="002F50BD" w:rsidRDefault="00063B47" w:rsidP="00DE5248">
      <w:pPr>
        <w:pStyle w:val="BodyTextIndent"/>
        <w:ind w:firstLine="0"/>
        <w:rPr>
          <w:rFonts w:ascii="Verdana" w:hAnsi="Verdana"/>
          <w:sz w:val="20"/>
          <w:lang w:val="pt-BR"/>
        </w:rPr>
      </w:pPr>
      <w:r w:rsidRPr="002F50BD">
        <w:rPr>
          <w:rFonts w:ascii="Verdana" w:hAnsi="Verdana"/>
          <w:sz w:val="20"/>
          <w:lang w:val="pt-BR"/>
        </w:rPr>
        <w:t>14</w:t>
      </w:r>
      <w:r w:rsidR="004756C1" w:rsidRPr="002F50BD">
        <w:rPr>
          <w:rFonts w:ascii="Verdana" w:hAnsi="Verdana"/>
          <w:sz w:val="20"/>
          <w:lang w:val="pt-BR"/>
        </w:rPr>
        <w:t>.</w:t>
      </w:r>
      <w:r w:rsidR="004756C1" w:rsidRPr="002F50BD">
        <w:rPr>
          <w:rFonts w:ascii="Verdana" w:hAnsi="Verdana"/>
          <w:sz w:val="20"/>
          <w:lang w:val="pt-BR"/>
        </w:rPr>
        <w:tab/>
      </w:r>
      <w:r w:rsidR="00AB6727" w:rsidRPr="002F50BD">
        <w:rPr>
          <w:rFonts w:ascii="Verdana" w:hAnsi="Verdana"/>
          <w:sz w:val="20"/>
          <w:lang w:val="pt-BR"/>
        </w:rPr>
        <w:t xml:space="preserve">Os </w:t>
      </w:r>
      <w:r w:rsidR="0089298C" w:rsidRPr="002F50BD">
        <w:rPr>
          <w:rFonts w:ascii="Verdana" w:hAnsi="Verdana"/>
          <w:sz w:val="20"/>
          <w:lang w:val="pt-BR"/>
        </w:rPr>
        <w:t>sujeito</w:t>
      </w:r>
      <w:r w:rsidR="004756C1" w:rsidRPr="002F50BD">
        <w:rPr>
          <w:rFonts w:ascii="Verdana" w:hAnsi="Verdana"/>
          <w:sz w:val="20"/>
          <w:lang w:val="pt-BR"/>
        </w:rPr>
        <w:t>s amparados</w:t>
      </w:r>
      <w:r w:rsidR="0089298C" w:rsidRPr="002F50BD">
        <w:rPr>
          <w:rFonts w:ascii="Verdana" w:hAnsi="Verdana"/>
          <w:sz w:val="20"/>
          <w:lang w:val="pt-BR"/>
        </w:rPr>
        <w:t xml:space="preserve"> pelo direito à propriedade</w:t>
      </w:r>
      <w:r w:rsidR="004756C1" w:rsidRPr="002F50BD">
        <w:rPr>
          <w:rFonts w:ascii="Verdana" w:hAnsi="Verdana"/>
          <w:sz w:val="20"/>
          <w:lang w:val="pt-BR"/>
        </w:rPr>
        <w:t xml:space="preserve"> privada </w:t>
      </w:r>
      <w:r w:rsidR="0089298C" w:rsidRPr="002F50BD">
        <w:rPr>
          <w:rFonts w:ascii="Verdana" w:hAnsi="Verdana"/>
          <w:sz w:val="20"/>
          <w:lang w:val="pt-BR"/>
        </w:rPr>
        <w:t>inclue</w:t>
      </w:r>
      <w:r w:rsidR="00414ED5" w:rsidRPr="002F50BD">
        <w:rPr>
          <w:rFonts w:ascii="Verdana" w:hAnsi="Verdana"/>
          <w:sz w:val="20"/>
          <w:lang w:val="pt-BR"/>
        </w:rPr>
        <w:t>m</w:t>
      </w:r>
      <w:r w:rsidR="004756C1" w:rsidRPr="002F50BD">
        <w:rPr>
          <w:rFonts w:ascii="Verdana" w:hAnsi="Verdana"/>
          <w:sz w:val="20"/>
          <w:lang w:val="pt-BR"/>
        </w:rPr>
        <w:t xml:space="preserve"> tanto</w:t>
      </w:r>
      <w:r w:rsidR="0089298C" w:rsidRPr="002F50BD">
        <w:rPr>
          <w:rFonts w:ascii="Verdana" w:hAnsi="Verdana"/>
          <w:sz w:val="20"/>
          <w:lang w:val="pt-BR"/>
        </w:rPr>
        <w:t xml:space="preserve"> os </w:t>
      </w:r>
      <w:r w:rsidR="004756C1" w:rsidRPr="002F50BD">
        <w:rPr>
          <w:rFonts w:ascii="Verdana" w:hAnsi="Verdana"/>
          <w:sz w:val="20"/>
          <w:lang w:val="pt-BR"/>
        </w:rPr>
        <w:t>indígenas</w:t>
      </w:r>
      <w:r w:rsidR="0089298C" w:rsidRPr="002F50BD">
        <w:rPr>
          <w:rFonts w:ascii="Verdana" w:hAnsi="Verdana"/>
          <w:sz w:val="20"/>
          <w:lang w:val="pt-BR"/>
        </w:rPr>
        <w:t xml:space="preserve"> da comunidade </w:t>
      </w:r>
      <w:r w:rsidR="004756C1" w:rsidRPr="002F50BD">
        <w:rPr>
          <w:rFonts w:ascii="Verdana" w:hAnsi="Verdana"/>
          <w:sz w:val="20"/>
          <w:lang w:val="pt-BR"/>
        </w:rPr>
        <w:t>Yakye Axa como</w:t>
      </w:r>
      <w:r w:rsidR="0089298C" w:rsidRPr="002F50BD">
        <w:rPr>
          <w:rFonts w:ascii="Verdana" w:hAnsi="Verdana"/>
          <w:sz w:val="20"/>
          <w:lang w:val="pt-BR"/>
        </w:rPr>
        <w:t xml:space="preserve"> o </w:t>
      </w:r>
      <w:r w:rsidR="004756C1" w:rsidRPr="002F50BD">
        <w:rPr>
          <w:rFonts w:ascii="Verdana" w:hAnsi="Verdana"/>
          <w:sz w:val="20"/>
          <w:lang w:val="pt-BR"/>
        </w:rPr>
        <w:t>resto</w:t>
      </w:r>
      <w:r w:rsidR="0089298C" w:rsidRPr="002F50BD">
        <w:rPr>
          <w:rFonts w:ascii="Verdana" w:hAnsi="Verdana"/>
          <w:sz w:val="20"/>
          <w:lang w:val="pt-BR"/>
        </w:rPr>
        <w:t xml:space="preserve"> dos </w:t>
      </w:r>
      <w:r w:rsidR="004756C1" w:rsidRPr="002F50BD">
        <w:rPr>
          <w:rFonts w:ascii="Verdana" w:hAnsi="Verdana"/>
          <w:sz w:val="20"/>
          <w:lang w:val="pt-BR"/>
        </w:rPr>
        <w:t>indígenas</w:t>
      </w:r>
      <w:r w:rsidR="0089298C" w:rsidRPr="002F50BD">
        <w:rPr>
          <w:rFonts w:ascii="Verdana" w:hAnsi="Verdana"/>
          <w:sz w:val="20"/>
          <w:lang w:val="pt-BR"/>
        </w:rPr>
        <w:t xml:space="preserve"> e</w:t>
      </w:r>
      <w:r w:rsidR="00E14FF1" w:rsidRPr="002F50BD">
        <w:rPr>
          <w:rFonts w:ascii="Verdana" w:hAnsi="Verdana"/>
          <w:sz w:val="20"/>
          <w:lang w:val="pt-BR"/>
        </w:rPr>
        <w:t>,</w:t>
      </w:r>
      <w:r w:rsidR="0089298C" w:rsidRPr="002F50BD">
        <w:rPr>
          <w:rFonts w:ascii="Verdana" w:hAnsi="Verdana"/>
          <w:sz w:val="20"/>
          <w:lang w:val="pt-BR"/>
        </w:rPr>
        <w:t xml:space="preserve"> em geral</w:t>
      </w:r>
      <w:r w:rsidR="00E14FF1" w:rsidRPr="002F50BD">
        <w:rPr>
          <w:rFonts w:ascii="Verdana" w:hAnsi="Verdana"/>
          <w:sz w:val="20"/>
          <w:lang w:val="pt-BR"/>
        </w:rPr>
        <w:t>,</w:t>
      </w:r>
      <w:r w:rsidR="004756C1" w:rsidRPr="002F50BD">
        <w:rPr>
          <w:rFonts w:ascii="Verdana" w:hAnsi="Verdana"/>
          <w:sz w:val="20"/>
          <w:lang w:val="pt-BR"/>
        </w:rPr>
        <w:t xml:space="preserve"> todos</w:t>
      </w:r>
      <w:r w:rsidR="0089298C" w:rsidRPr="002F50BD">
        <w:rPr>
          <w:rFonts w:ascii="Verdana" w:hAnsi="Verdana"/>
          <w:sz w:val="20"/>
          <w:lang w:val="pt-BR"/>
        </w:rPr>
        <w:t xml:space="preserve"> os </w:t>
      </w:r>
      <w:r w:rsidR="00AB454A" w:rsidRPr="002F50BD">
        <w:rPr>
          <w:rFonts w:ascii="Verdana" w:hAnsi="Verdana"/>
          <w:sz w:val="20"/>
          <w:lang w:val="pt-BR"/>
        </w:rPr>
        <w:t>cidadãos</w:t>
      </w:r>
      <w:r w:rsidR="004756C1" w:rsidRPr="002F50BD">
        <w:rPr>
          <w:rFonts w:ascii="Verdana" w:hAnsi="Verdana"/>
          <w:sz w:val="20"/>
          <w:lang w:val="pt-BR"/>
        </w:rPr>
        <w:t>,</w:t>
      </w:r>
      <w:r w:rsidR="0089298C" w:rsidRPr="002F50BD">
        <w:rPr>
          <w:rFonts w:ascii="Verdana" w:hAnsi="Verdana"/>
          <w:sz w:val="20"/>
          <w:lang w:val="pt-BR"/>
        </w:rPr>
        <w:t xml:space="preserve"> no </w:t>
      </w:r>
      <w:r w:rsidR="004756C1" w:rsidRPr="002F50BD">
        <w:rPr>
          <w:rFonts w:ascii="Verdana" w:hAnsi="Verdana"/>
          <w:sz w:val="20"/>
          <w:lang w:val="pt-BR"/>
        </w:rPr>
        <w:t xml:space="preserve">marco </w:t>
      </w:r>
      <w:r w:rsidR="0089298C" w:rsidRPr="002F50BD">
        <w:rPr>
          <w:rFonts w:ascii="Verdana" w:hAnsi="Verdana"/>
          <w:sz w:val="20"/>
          <w:lang w:val="pt-BR"/>
        </w:rPr>
        <w:t>do princípio da igualdade das pessoa</w:t>
      </w:r>
      <w:r w:rsidR="004756C1" w:rsidRPr="002F50BD">
        <w:rPr>
          <w:rFonts w:ascii="Verdana" w:hAnsi="Verdana"/>
          <w:sz w:val="20"/>
          <w:lang w:val="pt-BR"/>
        </w:rPr>
        <w:t>s</w:t>
      </w:r>
      <w:r w:rsidR="00E14FF1" w:rsidRPr="002F50BD">
        <w:rPr>
          <w:rFonts w:ascii="Verdana" w:hAnsi="Verdana"/>
          <w:sz w:val="20"/>
          <w:lang w:val="pt-BR"/>
        </w:rPr>
        <w:t>,</w:t>
      </w:r>
      <w:r w:rsidR="004756C1" w:rsidRPr="002F50BD">
        <w:rPr>
          <w:rFonts w:ascii="Verdana" w:hAnsi="Verdana"/>
          <w:sz w:val="20"/>
          <w:lang w:val="pt-BR"/>
        </w:rPr>
        <w:t xml:space="preserve"> consagrado</w:t>
      </w:r>
      <w:r w:rsidR="0089298C" w:rsidRPr="002F50BD">
        <w:rPr>
          <w:rFonts w:ascii="Verdana" w:hAnsi="Verdana"/>
          <w:sz w:val="20"/>
          <w:lang w:val="pt-BR"/>
        </w:rPr>
        <w:t xml:space="preserve"> pelo artigo</w:t>
      </w:r>
      <w:r w:rsidR="004756C1" w:rsidRPr="002F50BD">
        <w:rPr>
          <w:rFonts w:ascii="Verdana" w:hAnsi="Verdana"/>
          <w:sz w:val="20"/>
          <w:lang w:val="pt-BR"/>
        </w:rPr>
        <w:t xml:space="preserve"> </w:t>
      </w:r>
      <w:r w:rsidRPr="002F50BD">
        <w:rPr>
          <w:rFonts w:ascii="Verdana" w:hAnsi="Verdana"/>
          <w:sz w:val="20"/>
          <w:lang w:val="pt-BR"/>
        </w:rPr>
        <w:t>46</w:t>
      </w:r>
      <w:r w:rsidR="0089298C" w:rsidRPr="002F50BD">
        <w:rPr>
          <w:rFonts w:ascii="Verdana" w:hAnsi="Verdana"/>
          <w:sz w:val="20"/>
          <w:lang w:val="pt-BR"/>
        </w:rPr>
        <w:t xml:space="preserve"> da Constituição</w:t>
      </w:r>
      <w:r w:rsidR="004756C1" w:rsidRPr="002F50BD">
        <w:rPr>
          <w:rFonts w:ascii="Verdana" w:hAnsi="Verdana"/>
          <w:sz w:val="20"/>
          <w:lang w:val="pt-BR"/>
        </w:rPr>
        <w:t xml:space="preserve"> Nacional, que </w:t>
      </w:r>
      <w:r w:rsidR="0089298C" w:rsidRPr="002F50BD">
        <w:rPr>
          <w:rFonts w:ascii="Verdana" w:hAnsi="Verdana"/>
          <w:sz w:val="20"/>
          <w:lang w:val="pt-BR"/>
        </w:rPr>
        <w:t>estabelece</w:t>
      </w:r>
      <w:r w:rsidR="004756C1" w:rsidRPr="002F50BD">
        <w:rPr>
          <w:rFonts w:ascii="Verdana" w:hAnsi="Verdana"/>
          <w:sz w:val="20"/>
          <w:lang w:val="pt-BR"/>
        </w:rPr>
        <w:t>: “Todos</w:t>
      </w:r>
      <w:r w:rsidR="0089298C" w:rsidRPr="002F50BD">
        <w:rPr>
          <w:rFonts w:ascii="Verdana" w:hAnsi="Verdana"/>
          <w:sz w:val="20"/>
          <w:lang w:val="pt-BR"/>
        </w:rPr>
        <w:t xml:space="preserve"> os </w:t>
      </w:r>
      <w:r w:rsidR="004756C1" w:rsidRPr="002F50BD">
        <w:rPr>
          <w:rFonts w:ascii="Verdana" w:hAnsi="Verdana"/>
          <w:sz w:val="20"/>
          <w:lang w:val="pt-BR"/>
        </w:rPr>
        <w:t>habitantes</w:t>
      </w:r>
      <w:r w:rsidR="0089298C" w:rsidRPr="002F50BD">
        <w:rPr>
          <w:rFonts w:ascii="Verdana" w:hAnsi="Verdana"/>
          <w:sz w:val="20"/>
          <w:lang w:val="pt-BR"/>
        </w:rPr>
        <w:t xml:space="preserve"> da </w:t>
      </w:r>
      <w:r w:rsidR="004756C1" w:rsidRPr="002F50BD">
        <w:rPr>
          <w:rFonts w:ascii="Verdana" w:hAnsi="Verdana"/>
          <w:sz w:val="20"/>
          <w:lang w:val="pt-BR"/>
        </w:rPr>
        <w:t>República</w:t>
      </w:r>
      <w:r w:rsidR="0089298C" w:rsidRPr="002F50BD">
        <w:rPr>
          <w:rFonts w:ascii="Verdana" w:hAnsi="Verdana"/>
          <w:sz w:val="20"/>
          <w:lang w:val="pt-BR"/>
        </w:rPr>
        <w:t xml:space="preserve"> são iguais em dignidade e direito</w:t>
      </w:r>
      <w:r w:rsidR="004756C1" w:rsidRPr="002F50BD">
        <w:rPr>
          <w:rFonts w:ascii="Verdana" w:hAnsi="Verdana"/>
          <w:sz w:val="20"/>
          <w:lang w:val="pt-BR"/>
        </w:rPr>
        <w:t>s, n</w:t>
      </w:r>
      <w:r w:rsidR="00414ED5" w:rsidRPr="002F50BD">
        <w:rPr>
          <w:rFonts w:ascii="Verdana" w:hAnsi="Verdana"/>
          <w:sz w:val="20"/>
          <w:lang w:val="pt-BR"/>
        </w:rPr>
        <w:t>ã</w:t>
      </w:r>
      <w:r w:rsidR="004756C1" w:rsidRPr="002F50BD">
        <w:rPr>
          <w:rFonts w:ascii="Verdana" w:hAnsi="Verdana"/>
          <w:sz w:val="20"/>
          <w:lang w:val="pt-BR"/>
        </w:rPr>
        <w:t>o s</w:t>
      </w:r>
      <w:r w:rsidR="00414ED5" w:rsidRPr="002F50BD">
        <w:rPr>
          <w:rFonts w:ascii="Verdana" w:hAnsi="Verdana"/>
          <w:sz w:val="20"/>
          <w:lang w:val="pt-BR"/>
        </w:rPr>
        <w:t>e admitem</w:t>
      </w:r>
      <w:r w:rsidR="004756C1" w:rsidRPr="002F50BD">
        <w:rPr>
          <w:rFonts w:ascii="Verdana" w:hAnsi="Verdana"/>
          <w:sz w:val="20"/>
          <w:lang w:val="pt-BR"/>
        </w:rPr>
        <w:t xml:space="preserve"> discrimina</w:t>
      </w:r>
      <w:r w:rsidR="0089298C" w:rsidRPr="002F50BD">
        <w:rPr>
          <w:rFonts w:ascii="Verdana" w:hAnsi="Verdana"/>
          <w:sz w:val="20"/>
          <w:lang w:val="pt-BR"/>
        </w:rPr>
        <w:t>ções</w:t>
      </w:r>
      <w:r w:rsidR="00D95E71" w:rsidRPr="002F50BD">
        <w:rPr>
          <w:rFonts w:ascii="Verdana" w:hAnsi="Verdana"/>
          <w:sz w:val="20"/>
          <w:lang w:val="pt-BR"/>
        </w:rPr>
        <w:t xml:space="preserve">. O </w:t>
      </w:r>
      <w:r w:rsidR="004756C1" w:rsidRPr="002F50BD">
        <w:rPr>
          <w:rFonts w:ascii="Verdana" w:hAnsi="Verdana"/>
          <w:sz w:val="20"/>
          <w:lang w:val="pt-BR"/>
        </w:rPr>
        <w:t>Estado removerá</w:t>
      </w:r>
      <w:r w:rsidR="0089298C" w:rsidRPr="002F50BD">
        <w:rPr>
          <w:rFonts w:ascii="Verdana" w:hAnsi="Verdana"/>
          <w:sz w:val="20"/>
          <w:lang w:val="pt-BR"/>
        </w:rPr>
        <w:t xml:space="preserve"> os </w:t>
      </w:r>
      <w:r w:rsidR="004756C1" w:rsidRPr="002F50BD">
        <w:rPr>
          <w:rFonts w:ascii="Verdana" w:hAnsi="Verdana"/>
          <w:sz w:val="20"/>
          <w:lang w:val="pt-BR"/>
        </w:rPr>
        <w:t>obstácu</w:t>
      </w:r>
      <w:r w:rsidR="00414ED5" w:rsidRPr="002F50BD">
        <w:rPr>
          <w:rFonts w:ascii="Verdana" w:hAnsi="Verdana"/>
          <w:sz w:val="20"/>
          <w:lang w:val="pt-BR"/>
        </w:rPr>
        <w:t>lo</w:t>
      </w:r>
      <w:r w:rsidR="00AB6727" w:rsidRPr="002F50BD">
        <w:rPr>
          <w:rFonts w:ascii="Verdana" w:hAnsi="Verdana"/>
          <w:sz w:val="20"/>
          <w:lang w:val="pt-BR"/>
        </w:rPr>
        <w:t xml:space="preserve">s </w:t>
      </w:r>
      <w:r w:rsidR="004756C1" w:rsidRPr="002F50BD">
        <w:rPr>
          <w:rFonts w:ascii="Verdana" w:hAnsi="Verdana"/>
          <w:sz w:val="20"/>
          <w:lang w:val="pt-BR"/>
        </w:rPr>
        <w:t>e impedirá</w:t>
      </w:r>
      <w:r w:rsidR="0089298C" w:rsidRPr="002F50BD">
        <w:rPr>
          <w:rFonts w:ascii="Verdana" w:hAnsi="Verdana"/>
          <w:sz w:val="20"/>
          <w:lang w:val="pt-BR"/>
        </w:rPr>
        <w:t xml:space="preserve"> os fato</w:t>
      </w:r>
      <w:r w:rsidR="004756C1" w:rsidRPr="002F50BD">
        <w:rPr>
          <w:rFonts w:ascii="Verdana" w:hAnsi="Verdana"/>
          <w:sz w:val="20"/>
          <w:lang w:val="pt-BR"/>
        </w:rPr>
        <w:t>res que</w:t>
      </w:r>
      <w:r w:rsidR="0089298C" w:rsidRPr="002F50BD">
        <w:rPr>
          <w:rFonts w:ascii="Verdana" w:hAnsi="Verdana"/>
          <w:sz w:val="20"/>
          <w:lang w:val="pt-BR"/>
        </w:rPr>
        <w:t xml:space="preserve"> as </w:t>
      </w:r>
      <w:r w:rsidR="004756C1" w:rsidRPr="002F50BD">
        <w:rPr>
          <w:rFonts w:ascii="Verdana" w:hAnsi="Verdana"/>
          <w:sz w:val="20"/>
          <w:lang w:val="pt-BR"/>
        </w:rPr>
        <w:t>man</w:t>
      </w:r>
      <w:r w:rsidR="0089298C" w:rsidRPr="002F50BD">
        <w:rPr>
          <w:rFonts w:ascii="Verdana" w:hAnsi="Verdana"/>
          <w:sz w:val="20"/>
          <w:lang w:val="pt-BR"/>
        </w:rPr>
        <w:t>tenha</w:t>
      </w:r>
      <w:r w:rsidR="00414ED5" w:rsidRPr="002F50BD">
        <w:rPr>
          <w:rFonts w:ascii="Verdana" w:hAnsi="Verdana"/>
          <w:sz w:val="20"/>
          <w:lang w:val="pt-BR"/>
        </w:rPr>
        <w:t>m ou as propiciem</w:t>
      </w:r>
      <w:r w:rsidR="004756C1" w:rsidRPr="002F50BD">
        <w:rPr>
          <w:rFonts w:ascii="Verdana" w:hAnsi="Verdana"/>
          <w:sz w:val="20"/>
          <w:lang w:val="pt-BR"/>
        </w:rPr>
        <w:t xml:space="preserve">. </w:t>
      </w:r>
    </w:p>
    <w:p w:rsidR="004756C1" w:rsidRPr="002F50BD" w:rsidRDefault="0089298C">
      <w:pPr>
        <w:jc w:val="both"/>
        <w:rPr>
          <w:rFonts w:ascii="Verdana" w:hAnsi="Verdana"/>
          <w:i/>
          <w:color w:val="800000"/>
          <w:sz w:val="20"/>
          <w:lang w:val="pt-BR"/>
        </w:rPr>
      </w:pPr>
      <w:r w:rsidRPr="002F50BD">
        <w:rPr>
          <w:rFonts w:ascii="Verdana" w:hAnsi="Verdana"/>
          <w:sz w:val="20"/>
          <w:lang w:val="pt-BR"/>
        </w:rPr>
        <w:cr/>
        <w:t xml:space="preserve">As </w:t>
      </w:r>
      <w:r w:rsidR="004756C1" w:rsidRPr="002F50BD">
        <w:rPr>
          <w:rFonts w:ascii="Verdana" w:hAnsi="Verdana"/>
          <w:sz w:val="20"/>
          <w:lang w:val="pt-BR"/>
        </w:rPr>
        <w:t>prote</w:t>
      </w:r>
      <w:r w:rsidRPr="002F50BD">
        <w:rPr>
          <w:rFonts w:ascii="Verdana" w:hAnsi="Verdana"/>
          <w:sz w:val="20"/>
          <w:lang w:val="pt-BR"/>
        </w:rPr>
        <w:t>ções</w:t>
      </w:r>
      <w:r w:rsidR="004756C1" w:rsidRPr="002F50BD">
        <w:rPr>
          <w:rFonts w:ascii="Verdana" w:hAnsi="Verdana"/>
          <w:sz w:val="20"/>
          <w:lang w:val="pt-BR"/>
        </w:rPr>
        <w:t xml:space="preserve"> que se </w:t>
      </w:r>
      <w:r w:rsidRPr="002F50BD">
        <w:rPr>
          <w:rFonts w:ascii="Verdana" w:hAnsi="Verdana"/>
          <w:sz w:val="20"/>
          <w:lang w:val="pt-BR"/>
        </w:rPr>
        <w:t>estabeleça</w:t>
      </w:r>
      <w:r w:rsidR="00414ED5" w:rsidRPr="002F50BD">
        <w:rPr>
          <w:rFonts w:ascii="Verdana" w:hAnsi="Verdana"/>
          <w:sz w:val="20"/>
          <w:lang w:val="pt-BR"/>
        </w:rPr>
        <w:t>m</w:t>
      </w:r>
      <w:r w:rsidR="004756C1" w:rsidRPr="002F50BD">
        <w:rPr>
          <w:rFonts w:ascii="Verdana" w:hAnsi="Verdana"/>
          <w:sz w:val="20"/>
          <w:lang w:val="pt-BR"/>
        </w:rPr>
        <w:t xml:space="preserve"> sobre desigualdades injustas </w:t>
      </w:r>
      <w:r w:rsidR="00AB454A" w:rsidRPr="002F50BD">
        <w:rPr>
          <w:rFonts w:ascii="Verdana" w:hAnsi="Verdana"/>
          <w:sz w:val="20"/>
          <w:lang w:val="pt-BR"/>
        </w:rPr>
        <w:t>não serão</w:t>
      </w:r>
      <w:r w:rsidR="004756C1" w:rsidRPr="002F50BD">
        <w:rPr>
          <w:rFonts w:ascii="Verdana" w:hAnsi="Verdana"/>
          <w:sz w:val="20"/>
          <w:lang w:val="pt-BR"/>
        </w:rPr>
        <w:t xml:space="preserve"> consideradas como </w:t>
      </w:r>
      <w:r w:rsidRPr="002F50BD">
        <w:rPr>
          <w:rFonts w:ascii="Verdana" w:hAnsi="Verdana"/>
          <w:sz w:val="20"/>
          <w:lang w:val="pt-BR"/>
        </w:rPr>
        <w:t>fato</w:t>
      </w:r>
      <w:r w:rsidR="00414ED5" w:rsidRPr="002F50BD">
        <w:rPr>
          <w:rFonts w:ascii="Verdana" w:hAnsi="Verdana"/>
          <w:sz w:val="20"/>
          <w:lang w:val="pt-BR"/>
        </w:rPr>
        <w:t>res discriminató</w:t>
      </w:r>
      <w:r w:rsidR="004756C1" w:rsidRPr="002F50BD">
        <w:rPr>
          <w:rFonts w:ascii="Verdana" w:hAnsi="Verdana"/>
          <w:sz w:val="20"/>
          <w:lang w:val="pt-BR"/>
        </w:rPr>
        <w:t>rios</w:t>
      </w:r>
      <w:r w:rsidR="00414ED5" w:rsidRPr="002F50BD">
        <w:rPr>
          <w:rFonts w:ascii="Verdana" w:hAnsi="Verdana"/>
          <w:sz w:val="20"/>
          <w:lang w:val="pt-BR"/>
        </w:rPr>
        <w:t>,</w:t>
      </w:r>
      <w:r w:rsidRPr="002F50BD">
        <w:rPr>
          <w:rFonts w:ascii="Verdana" w:hAnsi="Verdana"/>
          <w:sz w:val="20"/>
          <w:lang w:val="pt-BR"/>
        </w:rPr>
        <w:t xml:space="preserve"> mas </w:t>
      </w:r>
      <w:r w:rsidR="00AB454A" w:rsidRPr="002F50BD">
        <w:rPr>
          <w:rFonts w:ascii="Verdana" w:hAnsi="Verdana"/>
          <w:sz w:val="20"/>
          <w:lang w:val="pt-BR"/>
        </w:rPr>
        <w:t>igualitári</w:t>
      </w:r>
      <w:r w:rsidR="004756C1" w:rsidRPr="002F50BD">
        <w:rPr>
          <w:rFonts w:ascii="Verdana" w:hAnsi="Verdana"/>
          <w:sz w:val="20"/>
          <w:lang w:val="pt-BR"/>
        </w:rPr>
        <w:t>os.”</w:t>
      </w:r>
      <w:r w:rsidRPr="002F50BD">
        <w:rPr>
          <w:rFonts w:ascii="Verdana" w:hAnsi="Verdana"/>
          <w:sz w:val="20"/>
          <w:lang w:val="pt-BR"/>
        </w:rPr>
        <w:t xml:space="preserve"> </w:t>
      </w:r>
      <w:r w:rsidR="00414ED5" w:rsidRPr="002F50BD">
        <w:rPr>
          <w:rFonts w:ascii="Verdana" w:hAnsi="Verdana"/>
          <w:sz w:val="20"/>
          <w:lang w:val="pt-BR"/>
        </w:rPr>
        <w:t>O</w:t>
      </w:r>
      <w:r w:rsidRPr="002F50BD">
        <w:rPr>
          <w:rFonts w:ascii="Verdana" w:hAnsi="Verdana"/>
          <w:sz w:val="20"/>
          <w:lang w:val="pt-BR"/>
        </w:rPr>
        <w:t xml:space="preserve">s </w:t>
      </w:r>
      <w:r w:rsidR="004756C1" w:rsidRPr="002F50BD">
        <w:rPr>
          <w:rFonts w:ascii="Verdana" w:hAnsi="Verdana"/>
          <w:sz w:val="20"/>
          <w:lang w:val="pt-BR"/>
        </w:rPr>
        <w:t xml:space="preserve">que </w:t>
      </w:r>
      <w:r w:rsidR="004076AD" w:rsidRPr="002F50BD">
        <w:rPr>
          <w:rFonts w:ascii="Verdana" w:hAnsi="Verdana"/>
          <w:sz w:val="20"/>
          <w:lang w:val="pt-BR"/>
        </w:rPr>
        <w:t>deveria</w:t>
      </w:r>
      <w:r w:rsidR="00414ED5" w:rsidRPr="002F50BD">
        <w:rPr>
          <w:rFonts w:ascii="Verdana" w:hAnsi="Verdana"/>
          <w:sz w:val="20"/>
          <w:lang w:val="pt-BR"/>
        </w:rPr>
        <w:t>m</w:t>
      </w:r>
      <w:r w:rsidR="004756C1" w:rsidRPr="002F50BD">
        <w:rPr>
          <w:rFonts w:ascii="Verdana" w:hAnsi="Verdana"/>
          <w:sz w:val="20"/>
          <w:lang w:val="pt-BR"/>
        </w:rPr>
        <w:t xml:space="preserve"> ser discriminados positivamente,</w:t>
      </w:r>
      <w:r w:rsidRPr="002F50BD">
        <w:rPr>
          <w:rFonts w:ascii="Verdana" w:hAnsi="Verdana"/>
          <w:sz w:val="20"/>
          <w:lang w:val="pt-BR"/>
        </w:rPr>
        <w:t xml:space="preserve"> no </w:t>
      </w:r>
      <w:r w:rsidR="004756C1" w:rsidRPr="002F50BD">
        <w:rPr>
          <w:rFonts w:ascii="Verdana" w:hAnsi="Verdana"/>
          <w:sz w:val="20"/>
          <w:lang w:val="pt-BR"/>
        </w:rPr>
        <w:t xml:space="preserve">contexto </w:t>
      </w:r>
      <w:r w:rsidR="00414ED5"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 compr</w:t>
      </w:r>
      <w:r w:rsidR="00414ED5" w:rsidRPr="002F50BD">
        <w:rPr>
          <w:rFonts w:ascii="Verdana" w:hAnsi="Verdana"/>
          <w:sz w:val="20"/>
          <w:lang w:val="pt-BR"/>
        </w:rPr>
        <w:t>e</w:t>
      </w:r>
      <w:r w:rsidR="004756C1" w:rsidRPr="002F50BD">
        <w:rPr>
          <w:rFonts w:ascii="Verdana" w:hAnsi="Verdana"/>
          <w:sz w:val="20"/>
          <w:lang w:val="pt-BR"/>
        </w:rPr>
        <w:t>ende</w:t>
      </w:r>
      <w:r w:rsidR="00414ED5" w:rsidRPr="002F50BD">
        <w:rPr>
          <w:rFonts w:ascii="Verdana" w:hAnsi="Verdana"/>
          <w:sz w:val="20"/>
          <w:lang w:val="pt-BR"/>
        </w:rPr>
        <w:t>m</w:t>
      </w:r>
      <w:r w:rsidR="004756C1" w:rsidRPr="002F50BD">
        <w:rPr>
          <w:rFonts w:ascii="Verdana" w:hAnsi="Verdana"/>
          <w:sz w:val="20"/>
          <w:lang w:val="pt-BR"/>
        </w:rPr>
        <w:t xml:space="preserve"> </w:t>
      </w:r>
      <w:r w:rsidR="00414ED5" w:rsidRPr="002F50BD">
        <w:rPr>
          <w:rFonts w:ascii="Verdana" w:hAnsi="Verdana"/>
          <w:sz w:val="20"/>
          <w:lang w:val="pt-BR"/>
        </w:rPr>
        <w:t xml:space="preserve">ao </w:t>
      </w:r>
      <w:r w:rsidR="004756C1" w:rsidRPr="002F50BD">
        <w:rPr>
          <w:rFonts w:ascii="Verdana" w:hAnsi="Verdana"/>
          <w:sz w:val="20"/>
          <w:lang w:val="pt-BR"/>
        </w:rPr>
        <w:t xml:space="preserve">menos </w:t>
      </w:r>
      <w:r w:rsidR="00063B47" w:rsidRPr="002F50BD">
        <w:rPr>
          <w:rFonts w:ascii="Verdana" w:hAnsi="Verdana"/>
          <w:sz w:val="20"/>
          <w:lang w:val="pt-BR"/>
        </w:rPr>
        <w:t>2</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 xml:space="preserve">s indígenas </w:t>
      </w:r>
      <w:r w:rsidRPr="002F50BD">
        <w:rPr>
          <w:rFonts w:ascii="Verdana" w:hAnsi="Verdana"/>
          <w:sz w:val="20"/>
          <w:lang w:val="pt-BR"/>
        </w:rPr>
        <w:t xml:space="preserve">do </w:t>
      </w:r>
      <w:r w:rsidR="004756C1" w:rsidRPr="002F50BD">
        <w:rPr>
          <w:rFonts w:ascii="Verdana" w:hAnsi="Verdana"/>
          <w:sz w:val="20"/>
          <w:lang w:val="pt-BR"/>
        </w:rPr>
        <w:t>Chaco</w:t>
      </w:r>
      <w:r w:rsidRPr="002F50BD">
        <w:rPr>
          <w:rFonts w:ascii="Verdana" w:hAnsi="Verdana"/>
          <w:sz w:val="20"/>
          <w:lang w:val="pt-BR"/>
        </w:rPr>
        <w:t xml:space="preserve"> e </w:t>
      </w:r>
      <w:r w:rsidR="00063B47" w:rsidRPr="002F50BD">
        <w:rPr>
          <w:rFonts w:ascii="Verdana" w:hAnsi="Verdana"/>
          <w:sz w:val="20"/>
          <w:lang w:val="pt-BR"/>
        </w:rPr>
        <w:t>2</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s</w:t>
      </w:r>
      <w:r w:rsidRPr="002F50BD">
        <w:rPr>
          <w:rFonts w:ascii="Verdana" w:hAnsi="Verdana"/>
          <w:sz w:val="20"/>
          <w:lang w:val="pt-BR"/>
        </w:rPr>
        <w:t xml:space="preserve"> da Região</w:t>
      </w:r>
      <w:r w:rsidR="004756C1" w:rsidRPr="002F50BD">
        <w:rPr>
          <w:rFonts w:ascii="Verdana" w:hAnsi="Verdana"/>
          <w:sz w:val="20"/>
          <w:lang w:val="pt-BR"/>
        </w:rPr>
        <w:t xml:space="preserve"> Oriental</w:t>
      </w:r>
      <w:r w:rsidR="0007510F" w:rsidRPr="002F50BD">
        <w:rPr>
          <w:rFonts w:ascii="Verdana" w:hAnsi="Verdana"/>
          <w:sz w:val="20"/>
          <w:lang w:val="pt-BR"/>
        </w:rPr>
        <w:t>,</w:t>
      </w:r>
      <w:r w:rsidR="004756C1" w:rsidRPr="002F50BD">
        <w:rPr>
          <w:rFonts w:ascii="Verdana" w:hAnsi="Verdana"/>
          <w:color w:val="FF0000"/>
          <w:sz w:val="20"/>
          <w:lang w:val="pt-BR"/>
        </w:rPr>
        <w:t xml:space="preserve"> </w:t>
      </w:r>
      <w:r w:rsidR="004756C1" w:rsidRPr="002F50BD">
        <w:rPr>
          <w:rFonts w:ascii="Verdana" w:hAnsi="Verdana"/>
          <w:sz w:val="20"/>
          <w:lang w:val="pt-BR"/>
        </w:rPr>
        <w:t xml:space="preserve">carentes de </w:t>
      </w:r>
      <w:r w:rsidRPr="002F50BD">
        <w:rPr>
          <w:rFonts w:ascii="Verdana" w:hAnsi="Verdana"/>
          <w:sz w:val="20"/>
          <w:lang w:val="pt-BR"/>
        </w:rPr>
        <w:t>terra</w:t>
      </w:r>
      <w:r w:rsidR="004756C1" w:rsidRPr="002F50BD">
        <w:rPr>
          <w:rFonts w:ascii="Verdana" w:hAnsi="Verdana"/>
          <w:sz w:val="20"/>
          <w:lang w:val="pt-BR"/>
        </w:rPr>
        <w:t xml:space="preserve">, </w:t>
      </w:r>
      <w:r w:rsidRPr="002F50BD">
        <w:rPr>
          <w:rFonts w:ascii="Verdana" w:hAnsi="Verdana"/>
          <w:sz w:val="20"/>
          <w:lang w:val="pt-BR"/>
        </w:rPr>
        <w:t>assim</w:t>
      </w:r>
      <w:r w:rsidR="00414ED5" w:rsidRPr="002F50BD">
        <w:rPr>
          <w:rFonts w:ascii="Verdana" w:hAnsi="Verdana"/>
          <w:sz w:val="20"/>
          <w:lang w:val="pt-BR"/>
        </w:rPr>
        <w:t xml:space="preserve"> como um</w:t>
      </w:r>
      <w:r w:rsidR="004756C1" w:rsidRPr="002F50BD">
        <w:rPr>
          <w:rFonts w:ascii="Verdana" w:hAnsi="Verdana"/>
          <w:sz w:val="20"/>
          <w:lang w:val="pt-BR"/>
        </w:rPr>
        <w:t xml:space="preserve">as </w:t>
      </w:r>
      <w:r w:rsidR="00063B47" w:rsidRPr="002F50BD">
        <w:rPr>
          <w:rFonts w:ascii="Verdana" w:hAnsi="Verdana"/>
          <w:sz w:val="20"/>
          <w:lang w:val="pt-BR"/>
        </w:rPr>
        <w:t>100</w:t>
      </w:r>
      <w:r w:rsidR="004756C1" w:rsidRPr="002F50BD">
        <w:rPr>
          <w:rFonts w:ascii="Verdana" w:hAnsi="Verdana"/>
          <w:sz w:val="20"/>
          <w:lang w:val="pt-BR"/>
        </w:rPr>
        <w:t>.</w:t>
      </w:r>
      <w:r w:rsidR="00063B47" w:rsidRPr="002F50BD">
        <w:rPr>
          <w:rFonts w:ascii="Verdana" w:hAnsi="Verdana"/>
          <w:sz w:val="20"/>
          <w:lang w:val="pt-BR"/>
        </w:rPr>
        <w:t>000</w:t>
      </w:r>
      <w:r w:rsidR="004756C1" w:rsidRPr="002F50BD">
        <w:rPr>
          <w:rFonts w:ascii="Verdana" w:hAnsi="Verdana"/>
          <w:sz w:val="20"/>
          <w:lang w:val="pt-BR"/>
        </w:rPr>
        <w:t xml:space="preserve"> </w:t>
      </w:r>
      <w:r w:rsidR="005A6BC7" w:rsidRPr="002F50BD">
        <w:rPr>
          <w:rFonts w:ascii="Verdana" w:hAnsi="Verdana"/>
          <w:sz w:val="20"/>
          <w:lang w:val="pt-BR"/>
        </w:rPr>
        <w:t>família</w:t>
      </w:r>
      <w:r w:rsidR="004756C1" w:rsidRPr="002F50BD">
        <w:rPr>
          <w:rFonts w:ascii="Verdana" w:hAnsi="Verdana"/>
          <w:sz w:val="20"/>
          <w:lang w:val="pt-BR"/>
        </w:rPr>
        <w:t xml:space="preserve">s de </w:t>
      </w:r>
      <w:r w:rsidRPr="002F50BD">
        <w:rPr>
          <w:rFonts w:ascii="Verdana" w:hAnsi="Verdana"/>
          <w:sz w:val="20"/>
          <w:lang w:val="pt-BR"/>
        </w:rPr>
        <w:t>camponeses sem terra</w:t>
      </w:r>
      <w:r w:rsidR="004756C1" w:rsidRPr="002F50BD">
        <w:rPr>
          <w:rFonts w:ascii="Verdana" w:hAnsi="Verdana"/>
          <w:sz w:val="20"/>
          <w:lang w:val="pt-BR"/>
        </w:rPr>
        <w:t>, p</w:t>
      </w:r>
      <w:r w:rsidR="00414ED5" w:rsidRPr="002F50BD">
        <w:rPr>
          <w:rFonts w:ascii="Verdana" w:hAnsi="Verdana"/>
          <w:sz w:val="20"/>
          <w:lang w:val="pt-BR"/>
        </w:rPr>
        <w:t>r</w:t>
      </w:r>
      <w:r w:rsidR="004756C1" w:rsidRPr="002F50BD">
        <w:rPr>
          <w:rFonts w:ascii="Verdana" w:hAnsi="Verdana"/>
          <w:sz w:val="20"/>
          <w:lang w:val="pt-BR"/>
        </w:rPr>
        <w:t>ostrados</w:t>
      </w:r>
      <w:r w:rsidRPr="002F50BD">
        <w:rPr>
          <w:rFonts w:ascii="Verdana" w:hAnsi="Verdana"/>
          <w:sz w:val="20"/>
          <w:lang w:val="pt-BR"/>
        </w:rPr>
        <w:t xml:space="preserve"> em </w:t>
      </w:r>
      <w:r w:rsidR="004756C1" w:rsidRPr="002F50BD">
        <w:rPr>
          <w:rFonts w:ascii="Verdana" w:hAnsi="Verdana"/>
          <w:sz w:val="20"/>
          <w:lang w:val="pt-BR"/>
        </w:rPr>
        <w:t>extrema pobreza</w:t>
      </w:r>
      <w:r w:rsidRPr="002F50BD">
        <w:rPr>
          <w:rFonts w:ascii="Verdana" w:hAnsi="Verdana"/>
          <w:sz w:val="20"/>
          <w:lang w:val="pt-BR"/>
        </w:rPr>
        <w:t xml:space="preserve">. </w:t>
      </w:r>
      <w:r w:rsidR="00CE1AC8" w:rsidRPr="002F50BD">
        <w:rPr>
          <w:rFonts w:ascii="Verdana" w:hAnsi="Verdana"/>
          <w:sz w:val="20"/>
          <w:lang w:val="pt-BR"/>
        </w:rPr>
        <w:t>A</w:t>
      </w:r>
      <w:r w:rsidR="00414ED5" w:rsidRPr="002F50BD">
        <w:rPr>
          <w:rFonts w:ascii="Verdana" w:hAnsi="Verdana"/>
          <w:sz w:val="20"/>
          <w:lang w:val="pt-BR"/>
        </w:rPr>
        <w:t xml:space="preserve"> meu juízo</w:t>
      </w:r>
      <w:r w:rsidR="004D784A" w:rsidRPr="002F50BD">
        <w:rPr>
          <w:rFonts w:ascii="Verdana" w:hAnsi="Verdana"/>
          <w:sz w:val="20"/>
          <w:lang w:val="pt-BR"/>
        </w:rPr>
        <w:t>,</w:t>
      </w:r>
      <w:r w:rsidR="00414ED5" w:rsidRPr="002F50BD">
        <w:rPr>
          <w:rFonts w:ascii="Verdana" w:hAnsi="Verdana"/>
          <w:sz w:val="20"/>
          <w:lang w:val="pt-BR"/>
        </w:rPr>
        <w:t xml:space="preserve"> </w:t>
      </w:r>
      <w:r w:rsidRPr="002F50BD">
        <w:rPr>
          <w:rFonts w:ascii="Verdana" w:hAnsi="Verdana"/>
          <w:sz w:val="20"/>
          <w:lang w:val="pt-BR"/>
        </w:rPr>
        <w:t xml:space="preserve">é neste </w:t>
      </w:r>
      <w:r w:rsidR="004756C1" w:rsidRPr="002F50BD">
        <w:rPr>
          <w:rFonts w:ascii="Verdana" w:hAnsi="Verdana"/>
          <w:sz w:val="20"/>
          <w:lang w:val="pt-BR"/>
        </w:rPr>
        <w:t>contexto</w:t>
      </w:r>
      <w:r w:rsidRPr="002F50BD">
        <w:rPr>
          <w:rFonts w:ascii="Verdana" w:hAnsi="Verdana"/>
          <w:sz w:val="20"/>
          <w:lang w:val="pt-BR"/>
        </w:rPr>
        <w:t xml:space="preserve"> </w:t>
      </w:r>
      <w:r w:rsidR="004D784A" w:rsidRPr="002F50BD">
        <w:rPr>
          <w:rFonts w:ascii="Verdana" w:hAnsi="Verdana"/>
          <w:sz w:val="20"/>
          <w:lang w:val="pt-BR"/>
        </w:rPr>
        <w:t>em que</w:t>
      </w:r>
      <w:r w:rsidR="004756C1" w:rsidRPr="002F50BD">
        <w:rPr>
          <w:rFonts w:ascii="Verdana" w:hAnsi="Verdana"/>
          <w:sz w:val="20"/>
          <w:lang w:val="pt-BR"/>
        </w:rPr>
        <w:t xml:space="preserve"> </w:t>
      </w:r>
      <w:r w:rsidRPr="002F50BD">
        <w:rPr>
          <w:rFonts w:ascii="Verdana" w:hAnsi="Verdana"/>
          <w:sz w:val="20"/>
          <w:lang w:val="pt-BR"/>
        </w:rPr>
        <w:t>devem</w:t>
      </w:r>
      <w:r w:rsidR="004756C1" w:rsidRPr="002F50BD">
        <w:rPr>
          <w:rFonts w:ascii="Verdana" w:hAnsi="Verdana"/>
          <w:sz w:val="20"/>
          <w:lang w:val="pt-BR"/>
        </w:rPr>
        <w:t xml:space="preserve"> </w:t>
      </w:r>
      <w:r w:rsidR="00414ED5" w:rsidRPr="002F50BD">
        <w:rPr>
          <w:rFonts w:ascii="Verdana" w:hAnsi="Verdana"/>
          <w:sz w:val="20"/>
          <w:lang w:val="pt-BR"/>
        </w:rPr>
        <w:t xml:space="preserve">ser interpretadas </w:t>
      </w:r>
      <w:r w:rsidRPr="002F50BD">
        <w:rPr>
          <w:rFonts w:ascii="Verdana" w:hAnsi="Verdana"/>
          <w:sz w:val="20"/>
          <w:lang w:val="pt-BR"/>
        </w:rPr>
        <w:t xml:space="preserve">as </w:t>
      </w:r>
      <w:r w:rsidR="004756C1" w:rsidRPr="002F50BD">
        <w:rPr>
          <w:rFonts w:ascii="Verdana" w:hAnsi="Verdana"/>
          <w:sz w:val="20"/>
          <w:lang w:val="pt-BR"/>
        </w:rPr>
        <w:t>disposi</w:t>
      </w:r>
      <w:r w:rsidRPr="002F50BD">
        <w:rPr>
          <w:rFonts w:ascii="Verdana" w:hAnsi="Verdana"/>
          <w:sz w:val="20"/>
          <w:lang w:val="pt-BR"/>
        </w:rPr>
        <w:t xml:space="preserve">ções da </w:t>
      </w:r>
      <w:r w:rsidR="004756C1" w:rsidRPr="002F50BD">
        <w:rPr>
          <w:rFonts w:ascii="Verdana" w:hAnsi="Verdana"/>
          <w:sz w:val="20"/>
          <w:lang w:val="pt-BR"/>
        </w:rPr>
        <w:t>Conven</w:t>
      </w:r>
      <w:r w:rsidRPr="002F50BD">
        <w:rPr>
          <w:rFonts w:ascii="Verdana" w:hAnsi="Verdana"/>
          <w:sz w:val="20"/>
          <w:lang w:val="pt-BR"/>
        </w:rPr>
        <w:t>ção</w:t>
      </w:r>
      <w:r w:rsidR="004756C1" w:rsidRPr="002F50BD">
        <w:rPr>
          <w:rFonts w:ascii="Verdana" w:hAnsi="Verdana"/>
          <w:sz w:val="20"/>
          <w:lang w:val="pt-BR"/>
        </w:rPr>
        <w:t xml:space="preserve"> Americana.</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15</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89298C" w:rsidRPr="002F50BD">
        <w:rPr>
          <w:rFonts w:ascii="Verdana" w:hAnsi="Verdana"/>
          <w:sz w:val="20"/>
          <w:lang w:val="pt-BR"/>
        </w:rPr>
        <w:t xml:space="preserve">Lei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4756C1" w:rsidRPr="002F50BD">
        <w:rPr>
          <w:rFonts w:ascii="Verdana" w:hAnsi="Verdana"/>
          <w:sz w:val="20"/>
          <w:lang w:val="pt-BR"/>
        </w:rPr>
        <w:t>, anterior</w:t>
      </w:r>
      <w:r w:rsidR="0089298C" w:rsidRPr="002F50BD">
        <w:rPr>
          <w:rFonts w:ascii="Verdana" w:hAnsi="Verdana"/>
          <w:sz w:val="20"/>
          <w:lang w:val="pt-BR"/>
        </w:rPr>
        <w:t xml:space="preserve"> à Constituição</w:t>
      </w:r>
      <w:r w:rsidR="004756C1" w:rsidRPr="002F50BD">
        <w:rPr>
          <w:rFonts w:ascii="Verdana" w:hAnsi="Verdana"/>
          <w:sz w:val="20"/>
          <w:lang w:val="pt-BR"/>
        </w:rPr>
        <w:t xml:space="preserve"> Nacional, sancionada</w:t>
      </w:r>
      <w:r w:rsidR="0089298C" w:rsidRPr="002F50BD">
        <w:rPr>
          <w:rFonts w:ascii="Verdana" w:hAnsi="Verdana"/>
          <w:sz w:val="20"/>
          <w:lang w:val="pt-BR"/>
        </w:rPr>
        <w:t xml:space="preserve"> em </w:t>
      </w:r>
      <w:r w:rsidRPr="002F50BD">
        <w:rPr>
          <w:rFonts w:ascii="Verdana" w:hAnsi="Verdana"/>
          <w:sz w:val="20"/>
          <w:lang w:val="pt-BR"/>
        </w:rPr>
        <w:t>1992</w:t>
      </w:r>
      <w:r w:rsidR="004756C1" w:rsidRPr="002F50BD">
        <w:rPr>
          <w:rFonts w:ascii="Verdana" w:hAnsi="Verdana"/>
          <w:sz w:val="20"/>
          <w:lang w:val="pt-BR"/>
        </w:rPr>
        <w:t>, regula</w:t>
      </w:r>
      <w:r w:rsidR="00CE1AC8" w:rsidRPr="002F50BD">
        <w:rPr>
          <w:rFonts w:ascii="Verdana" w:hAnsi="Verdana"/>
          <w:sz w:val="20"/>
          <w:lang w:val="pt-BR"/>
        </w:rPr>
        <w:t>menta</w:t>
      </w:r>
      <w:r w:rsidR="0089298C" w:rsidRPr="002F50BD">
        <w:rPr>
          <w:rFonts w:ascii="Verdana" w:hAnsi="Verdana"/>
          <w:sz w:val="20"/>
          <w:lang w:val="pt-BR"/>
        </w:rPr>
        <w:t xml:space="preserve"> o acesso das </w:t>
      </w:r>
      <w:r w:rsidR="004756C1" w:rsidRPr="002F50BD">
        <w:rPr>
          <w:rFonts w:ascii="Verdana" w:hAnsi="Verdana"/>
          <w:sz w:val="20"/>
          <w:lang w:val="pt-BR"/>
        </w:rPr>
        <w:t>comunidades indígenas</w:t>
      </w:r>
      <w:r w:rsidR="0089298C" w:rsidRPr="002F50BD">
        <w:rPr>
          <w:rFonts w:ascii="Verdana" w:hAnsi="Verdana"/>
          <w:sz w:val="20"/>
          <w:lang w:val="pt-BR"/>
        </w:rPr>
        <w:t xml:space="preserve">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da terra</w:t>
      </w:r>
      <w:r w:rsidR="00D95E71" w:rsidRPr="002F50BD">
        <w:rPr>
          <w:rFonts w:ascii="Verdana" w:hAnsi="Verdana"/>
          <w:sz w:val="20"/>
          <w:lang w:val="pt-BR"/>
        </w:rPr>
        <w:t xml:space="preserve">. </w:t>
      </w:r>
      <w:r w:rsidR="004D784A" w:rsidRPr="002F50BD">
        <w:rPr>
          <w:rFonts w:ascii="Verdana" w:hAnsi="Verdana"/>
          <w:sz w:val="20"/>
          <w:lang w:val="pt-BR"/>
        </w:rPr>
        <w:t>S</w:t>
      </w:r>
      <w:r w:rsidR="0089298C" w:rsidRPr="002F50BD">
        <w:rPr>
          <w:rFonts w:ascii="Verdana" w:hAnsi="Verdana"/>
          <w:sz w:val="20"/>
          <w:lang w:val="pt-BR"/>
        </w:rPr>
        <w:t xml:space="preserve">eu artigo </w:t>
      </w:r>
      <w:r w:rsidRPr="002F50BD">
        <w:rPr>
          <w:rFonts w:ascii="Verdana" w:hAnsi="Verdana"/>
          <w:sz w:val="20"/>
          <w:lang w:val="pt-BR"/>
        </w:rPr>
        <w:t>8</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 xml:space="preserve"> que, </w:t>
      </w:r>
      <w:r w:rsidR="004D784A" w:rsidRPr="002F50BD">
        <w:rPr>
          <w:rFonts w:ascii="Verdana" w:hAnsi="Verdana"/>
          <w:sz w:val="20"/>
          <w:lang w:val="pt-BR"/>
        </w:rPr>
        <w:t>após o</w:t>
      </w:r>
      <w:r w:rsidR="004756C1" w:rsidRPr="002F50BD">
        <w:rPr>
          <w:rFonts w:ascii="Verdana" w:hAnsi="Verdana"/>
          <w:sz w:val="20"/>
          <w:lang w:val="pt-BR"/>
        </w:rPr>
        <w:t xml:space="preserve"> </w:t>
      </w:r>
      <w:r w:rsidR="0089298C" w:rsidRPr="002F50BD">
        <w:rPr>
          <w:rFonts w:ascii="Verdana" w:hAnsi="Verdana"/>
          <w:sz w:val="20"/>
          <w:lang w:val="pt-BR"/>
        </w:rPr>
        <w:t>cumprimento</w:t>
      </w:r>
      <w:r w:rsidR="004756C1" w:rsidRPr="002F50BD">
        <w:rPr>
          <w:rFonts w:ascii="Verdana" w:hAnsi="Verdana"/>
          <w:sz w:val="20"/>
          <w:lang w:val="pt-BR"/>
        </w:rPr>
        <w:t xml:space="preserve"> de </w:t>
      </w:r>
      <w:r w:rsidR="0089298C" w:rsidRPr="002F50BD">
        <w:rPr>
          <w:rFonts w:ascii="Verdana" w:hAnsi="Verdana"/>
          <w:sz w:val="20"/>
          <w:lang w:val="pt-BR"/>
        </w:rPr>
        <w:t>trâmite</w:t>
      </w:r>
      <w:r w:rsidR="004756C1" w:rsidRPr="002F50BD">
        <w:rPr>
          <w:rFonts w:ascii="Verdana" w:hAnsi="Verdana"/>
          <w:sz w:val="20"/>
          <w:lang w:val="pt-BR"/>
        </w:rPr>
        <w:t xml:space="preserve">s </w:t>
      </w:r>
      <w:r w:rsidR="0089298C" w:rsidRPr="002F50BD">
        <w:rPr>
          <w:rFonts w:ascii="Verdana" w:hAnsi="Verdana"/>
          <w:sz w:val="20"/>
          <w:lang w:val="pt-BR"/>
        </w:rPr>
        <w:t>estabelecid</w:t>
      </w:r>
      <w:r w:rsidR="004756C1" w:rsidRPr="002F50BD">
        <w:rPr>
          <w:rFonts w:ascii="Verdana" w:hAnsi="Verdana"/>
          <w:sz w:val="20"/>
          <w:lang w:val="pt-BR"/>
        </w:rPr>
        <w:t>os</w:t>
      </w:r>
      <w:r w:rsidR="004D784A" w:rsidRPr="002F50BD">
        <w:rPr>
          <w:rFonts w:ascii="Verdana" w:hAnsi="Verdana"/>
          <w:sz w:val="20"/>
          <w:lang w:val="pt-BR"/>
        </w:rPr>
        <w:t>,</w:t>
      </w:r>
      <w:r w:rsidR="004756C1" w:rsidRPr="002F50BD">
        <w:rPr>
          <w:rFonts w:ascii="Verdana" w:hAnsi="Verdana"/>
          <w:sz w:val="20"/>
          <w:lang w:val="pt-BR"/>
        </w:rPr>
        <w:t xml:space="preserve"> “se re</w:t>
      </w:r>
      <w:r w:rsidR="0089298C" w:rsidRPr="002F50BD">
        <w:rPr>
          <w:rFonts w:ascii="Verdana" w:hAnsi="Verdana"/>
          <w:sz w:val="20"/>
          <w:lang w:val="pt-BR"/>
        </w:rPr>
        <w:t>conhecer</w:t>
      </w:r>
      <w:r w:rsidR="004756C1" w:rsidRPr="002F50BD">
        <w:rPr>
          <w:rFonts w:ascii="Verdana" w:hAnsi="Verdana"/>
          <w:sz w:val="20"/>
          <w:lang w:val="pt-BR"/>
        </w:rPr>
        <w:t>á</w:t>
      </w:r>
      <w:r w:rsidR="0089298C" w:rsidRPr="002F50BD">
        <w:rPr>
          <w:rFonts w:ascii="Verdana" w:hAnsi="Verdana"/>
          <w:sz w:val="20"/>
          <w:lang w:val="pt-BR"/>
        </w:rPr>
        <w:t xml:space="preserve"> a </w:t>
      </w:r>
      <w:r w:rsidR="007801FA" w:rsidRPr="002F50BD">
        <w:rPr>
          <w:rFonts w:ascii="Verdana" w:hAnsi="Verdana"/>
          <w:sz w:val="20"/>
          <w:lang w:val="pt-BR"/>
        </w:rPr>
        <w:t>personalidade</w:t>
      </w:r>
      <w:r w:rsidR="004756C1" w:rsidRPr="002F50BD">
        <w:rPr>
          <w:rFonts w:ascii="Verdana" w:hAnsi="Verdana"/>
          <w:sz w:val="20"/>
          <w:lang w:val="pt-BR"/>
        </w:rPr>
        <w:t xml:space="preserve"> jurídica</w:t>
      </w:r>
      <w:r w:rsidR="0089298C" w:rsidRPr="002F50BD">
        <w:rPr>
          <w:rFonts w:ascii="Verdana" w:hAnsi="Verdana"/>
          <w:sz w:val="20"/>
          <w:lang w:val="pt-BR"/>
        </w:rPr>
        <w:t xml:space="preserve"> das </w:t>
      </w:r>
      <w:r w:rsidR="004756C1" w:rsidRPr="002F50BD">
        <w:rPr>
          <w:rFonts w:ascii="Verdana" w:hAnsi="Verdana"/>
          <w:sz w:val="20"/>
          <w:lang w:val="pt-BR"/>
        </w:rPr>
        <w:t>comunidades indígenas pre</w:t>
      </w:r>
      <w:r w:rsidR="004076AD" w:rsidRPr="002F50BD">
        <w:rPr>
          <w:rFonts w:ascii="Verdana" w:hAnsi="Verdana"/>
          <w:sz w:val="20"/>
          <w:lang w:val="pt-BR"/>
        </w:rPr>
        <w:t>existentes</w:t>
      </w:r>
      <w:r w:rsidR="0089298C" w:rsidRPr="002F50BD">
        <w:rPr>
          <w:rFonts w:ascii="Verdana" w:hAnsi="Verdana"/>
          <w:sz w:val="20"/>
          <w:lang w:val="pt-BR"/>
        </w:rPr>
        <w:t xml:space="preserve"> à </w:t>
      </w:r>
      <w:r w:rsidR="004756C1" w:rsidRPr="002F50BD">
        <w:rPr>
          <w:rFonts w:ascii="Verdana" w:hAnsi="Verdana"/>
          <w:sz w:val="20"/>
          <w:lang w:val="pt-BR"/>
        </w:rPr>
        <w:t>promulga</w:t>
      </w:r>
      <w:r w:rsidR="0089298C" w:rsidRPr="002F50BD">
        <w:rPr>
          <w:rFonts w:ascii="Verdana" w:hAnsi="Verdana"/>
          <w:sz w:val="20"/>
          <w:lang w:val="pt-BR"/>
        </w:rPr>
        <w:t xml:space="preserve">ção desta </w:t>
      </w:r>
      <w:r w:rsidR="004076AD" w:rsidRPr="002F50BD">
        <w:rPr>
          <w:rFonts w:ascii="Verdana" w:hAnsi="Verdana"/>
          <w:sz w:val="20"/>
          <w:lang w:val="pt-BR"/>
        </w:rPr>
        <w:t>lei</w:t>
      </w:r>
      <w:r w:rsidR="004756C1" w:rsidRPr="002F50BD">
        <w:rPr>
          <w:rFonts w:ascii="Verdana" w:hAnsi="Verdana"/>
          <w:sz w:val="20"/>
          <w:lang w:val="pt-BR"/>
        </w:rPr>
        <w:t xml:space="preserve"> </w:t>
      </w:r>
      <w:r w:rsidR="0089298C" w:rsidRPr="002F50BD">
        <w:rPr>
          <w:rFonts w:ascii="Verdana" w:hAnsi="Verdana"/>
          <w:sz w:val="20"/>
          <w:lang w:val="pt-BR"/>
        </w:rPr>
        <w:t xml:space="preserve">e às </w:t>
      </w:r>
      <w:r w:rsidR="00414ED5" w:rsidRPr="002F50BD">
        <w:rPr>
          <w:rFonts w:ascii="Verdana" w:hAnsi="Verdana"/>
          <w:sz w:val="20"/>
          <w:lang w:val="pt-BR"/>
        </w:rPr>
        <w:t xml:space="preserve">constituídas </w:t>
      </w:r>
      <w:r w:rsidR="004756C1" w:rsidRPr="002F50BD">
        <w:rPr>
          <w:rFonts w:ascii="Verdana" w:hAnsi="Verdana"/>
          <w:sz w:val="20"/>
          <w:lang w:val="pt-BR"/>
        </w:rPr>
        <w:t xml:space="preserve">por </w:t>
      </w:r>
      <w:r w:rsidR="005A6BC7" w:rsidRPr="002F50BD">
        <w:rPr>
          <w:rFonts w:ascii="Verdana" w:hAnsi="Verdana"/>
          <w:sz w:val="20"/>
          <w:lang w:val="pt-BR"/>
        </w:rPr>
        <w:t>família</w:t>
      </w:r>
      <w:r w:rsidR="004756C1" w:rsidRPr="002F50BD">
        <w:rPr>
          <w:rFonts w:ascii="Verdana" w:hAnsi="Verdana"/>
          <w:sz w:val="20"/>
          <w:lang w:val="pt-BR"/>
        </w:rPr>
        <w:t>s indígenas que se reagrupa</w:t>
      </w:r>
      <w:r w:rsidR="00414ED5" w:rsidRPr="002F50BD">
        <w:rPr>
          <w:rFonts w:ascii="Verdana" w:hAnsi="Verdana"/>
          <w:sz w:val="20"/>
          <w:lang w:val="pt-BR"/>
        </w:rPr>
        <w:t>m</w:t>
      </w:r>
      <w:r w:rsidR="0089298C" w:rsidRPr="002F50BD">
        <w:rPr>
          <w:rFonts w:ascii="Verdana" w:hAnsi="Verdana"/>
          <w:sz w:val="20"/>
          <w:lang w:val="pt-BR"/>
        </w:rPr>
        <w:t xml:space="preserve"> em </w:t>
      </w:r>
      <w:r w:rsidR="004756C1" w:rsidRPr="002F50BD">
        <w:rPr>
          <w:rFonts w:ascii="Verdana" w:hAnsi="Verdana"/>
          <w:sz w:val="20"/>
          <w:lang w:val="pt-BR"/>
        </w:rPr>
        <w:t xml:space="preserve">comunidades para </w:t>
      </w:r>
      <w:r w:rsidR="00561706" w:rsidRPr="002F50BD">
        <w:rPr>
          <w:rFonts w:ascii="Verdana" w:hAnsi="Verdana"/>
          <w:sz w:val="20"/>
          <w:lang w:val="pt-BR"/>
        </w:rPr>
        <w:t>usufruir</w:t>
      </w:r>
      <w:r w:rsidR="00414ED5" w:rsidRPr="002F50BD">
        <w:rPr>
          <w:rFonts w:ascii="Verdana" w:hAnsi="Verdana"/>
          <w:sz w:val="20"/>
          <w:lang w:val="pt-BR"/>
        </w:rPr>
        <w:t xml:space="preserve"> do</w:t>
      </w:r>
      <w:r w:rsidR="0089298C" w:rsidRPr="002F50BD">
        <w:rPr>
          <w:rFonts w:ascii="Verdana" w:hAnsi="Verdana"/>
          <w:sz w:val="20"/>
          <w:lang w:val="pt-BR"/>
        </w:rPr>
        <w:t>s benefício</w:t>
      </w:r>
      <w:r w:rsidR="004756C1" w:rsidRPr="002F50BD">
        <w:rPr>
          <w:rFonts w:ascii="Verdana" w:hAnsi="Verdana"/>
          <w:sz w:val="20"/>
          <w:lang w:val="pt-BR"/>
        </w:rPr>
        <w:t>s dados por</w:t>
      </w:r>
      <w:r w:rsidR="0089298C" w:rsidRPr="002F50BD">
        <w:rPr>
          <w:rFonts w:ascii="Verdana" w:hAnsi="Verdana"/>
          <w:sz w:val="20"/>
          <w:lang w:val="pt-BR"/>
        </w:rPr>
        <w:t xml:space="preserve"> ela</w:t>
      </w:r>
      <w:r w:rsidR="004756C1" w:rsidRPr="002F50BD">
        <w:rPr>
          <w:rFonts w:ascii="Verdana" w:hAnsi="Verdana"/>
          <w:sz w:val="20"/>
          <w:lang w:val="pt-BR"/>
        </w:rPr>
        <w:t>”.</w:t>
      </w:r>
      <w:r w:rsidR="0089298C" w:rsidRPr="002F50BD">
        <w:rPr>
          <w:rFonts w:ascii="Verdana" w:hAnsi="Verdana"/>
          <w:sz w:val="20"/>
          <w:lang w:val="pt-BR"/>
        </w:rPr>
        <w:t xml:space="preserve"> </w:t>
      </w:r>
      <w:r w:rsidR="00414ED5"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último caso</w:t>
      </w:r>
      <w:r w:rsidR="00561706" w:rsidRPr="002F50BD">
        <w:rPr>
          <w:rFonts w:ascii="Verdana" w:hAnsi="Verdana"/>
          <w:sz w:val="20"/>
          <w:lang w:val="pt-BR"/>
        </w:rPr>
        <w:t>,</w:t>
      </w:r>
      <w:r w:rsidR="0089298C" w:rsidRPr="002F50BD">
        <w:rPr>
          <w:rFonts w:ascii="Verdana" w:hAnsi="Verdana"/>
          <w:sz w:val="20"/>
          <w:lang w:val="pt-BR"/>
        </w:rPr>
        <w:t xml:space="preserve"> a </w:t>
      </w:r>
      <w:r w:rsidR="0089298C" w:rsidRPr="002F50BD">
        <w:rPr>
          <w:rFonts w:ascii="Verdana" w:hAnsi="Verdana"/>
          <w:sz w:val="20"/>
          <w:lang w:val="pt-BR"/>
        </w:rPr>
        <w:lastRenderedPageBreak/>
        <w:t xml:space="preserve">quantidade </w:t>
      </w:r>
      <w:r w:rsidR="004756C1" w:rsidRPr="002F50BD">
        <w:rPr>
          <w:rFonts w:ascii="Verdana" w:hAnsi="Verdana"/>
          <w:sz w:val="20"/>
          <w:lang w:val="pt-BR"/>
        </w:rPr>
        <w:t xml:space="preserve">mínima de </w:t>
      </w:r>
      <w:r w:rsidR="005A6BC7" w:rsidRPr="002F50BD">
        <w:rPr>
          <w:rFonts w:ascii="Verdana" w:hAnsi="Verdana"/>
          <w:sz w:val="20"/>
          <w:lang w:val="pt-BR"/>
        </w:rPr>
        <w:t>família</w:t>
      </w:r>
      <w:r w:rsidR="004756C1" w:rsidRPr="002F50BD">
        <w:rPr>
          <w:rFonts w:ascii="Verdana" w:hAnsi="Verdana"/>
          <w:sz w:val="20"/>
          <w:lang w:val="pt-BR"/>
        </w:rPr>
        <w:t>s indígenas</w:t>
      </w:r>
      <w:r w:rsidR="0089298C" w:rsidRPr="002F50BD">
        <w:rPr>
          <w:rFonts w:ascii="Verdana" w:hAnsi="Verdana"/>
          <w:sz w:val="20"/>
          <w:lang w:val="pt-BR"/>
        </w:rPr>
        <w:t xml:space="preserve"> é </w:t>
      </w:r>
      <w:r w:rsidR="004756C1" w:rsidRPr="002F50BD">
        <w:rPr>
          <w:rFonts w:ascii="Verdana" w:hAnsi="Verdana"/>
          <w:sz w:val="20"/>
          <w:lang w:val="pt-BR"/>
        </w:rPr>
        <w:t xml:space="preserve">de </w:t>
      </w:r>
      <w:r w:rsidRPr="002F50BD">
        <w:rPr>
          <w:rFonts w:ascii="Verdana" w:hAnsi="Verdana"/>
          <w:sz w:val="20"/>
          <w:lang w:val="pt-BR"/>
        </w:rPr>
        <w:t>20</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9</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414ED5" w:rsidRPr="002F50BD">
        <w:rPr>
          <w:rFonts w:ascii="Verdana" w:hAnsi="Verdana"/>
          <w:sz w:val="20"/>
          <w:lang w:val="pt-BR"/>
        </w:rPr>
        <w:t>E</w:t>
      </w:r>
      <w:r w:rsidR="0089298C" w:rsidRPr="002F50BD">
        <w:rPr>
          <w:rFonts w:ascii="Verdana" w:hAnsi="Verdana"/>
          <w:sz w:val="20"/>
          <w:lang w:val="pt-BR"/>
        </w:rPr>
        <w:t xml:space="preserve">m </w:t>
      </w:r>
      <w:r w:rsidR="004756C1" w:rsidRPr="002F50BD">
        <w:rPr>
          <w:rFonts w:ascii="Verdana" w:hAnsi="Verdana"/>
          <w:sz w:val="20"/>
          <w:lang w:val="pt-BR"/>
        </w:rPr>
        <w:t>rela</w:t>
      </w:r>
      <w:r w:rsidR="0089298C" w:rsidRPr="002F50BD">
        <w:rPr>
          <w:rFonts w:ascii="Verdana" w:hAnsi="Verdana"/>
          <w:sz w:val="20"/>
          <w:lang w:val="pt-BR"/>
        </w:rPr>
        <w:t xml:space="preserve">ção ao </w:t>
      </w:r>
      <w:r w:rsidR="00AB454A" w:rsidRPr="002F50BD">
        <w:rPr>
          <w:rFonts w:ascii="Verdana" w:hAnsi="Verdana"/>
          <w:sz w:val="20"/>
          <w:lang w:val="pt-BR"/>
        </w:rPr>
        <w:t>assentamento</w:t>
      </w:r>
      <w:r w:rsidR="0089298C" w:rsidRPr="002F50BD">
        <w:rPr>
          <w:rFonts w:ascii="Verdana" w:hAnsi="Verdana"/>
          <w:sz w:val="20"/>
          <w:lang w:val="pt-BR"/>
        </w:rPr>
        <w:t xml:space="preserve"> das </w:t>
      </w:r>
      <w:r w:rsidR="004756C1" w:rsidRPr="002F50BD">
        <w:rPr>
          <w:rFonts w:ascii="Verdana" w:hAnsi="Verdana"/>
          <w:sz w:val="20"/>
          <w:lang w:val="pt-BR"/>
        </w:rPr>
        <w:t>comunidades indígenas</w:t>
      </w:r>
      <w:r w:rsidR="00561706" w:rsidRPr="002F50BD">
        <w:rPr>
          <w:rFonts w:ascii="Verdana" w:hAnsi="Verdana"/>
          <w:sz w:val="20"/>
          <w:lang w:val="pt-BR"/>
        </w:rPr>
        <w:t>,</w:t>
      </w:r>
      <w:r w:rsidR="0089298C" w:rsidRPr="002F50BD">
        <w:rPr>
          <w:rFonts w:ascii="Verdana" w:hAnsi="Verdana"/>
          <w:sz w:val="20"/>
          <w:lang w:val="pt-BR"/>
        </w:rPr>
        <w:t xml:space="preserve"> a Lei </w:t>
      </w:r>
      <w:r w:rsidRPr="002F50BD">
        <w:rPr>
          <w:rFonts w:ascii="Verdana" w:hAnsi="Verdana"/>
          <w:sz w:val="20"/>
          <w:lang w:val="pt-BR"/>
        </w:rPr>
        <w:t>904</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w:t>
      </w:r>
    </w:p>
    <w:p w:rsidR="004756C1" w:rsidRPr="002F50BD" w:rsidRDefault="004756C1">
      <w:pPr>
        <w:ind w:left="720"/>
        <w:jc w:val="both"/>
        <w:rPr>
          <w:rFonts w:ascii="Verdana" w:hAnsi="Verdana"/>
          <w:sz w:val="20"/>
          <w:lang w:val="pt-BR"/>
        </w:rPr>
      </w:pPr>
    </w:p>
    <w:p w:rsidR="004756C1" w:rsidRPr="002F50BD" w:rsidRDefault="0089298C">
      <w:pPr>
        <w:ind w:left="720" w:right="584"/>
        <w:jc w:val="both"/>
        <w:rPr>
          <w:rFonts w:ascii="Verdana" w:hAnsi="Verdana"/>
          <w:sz w:val="16"/>
          <w:lang w:val="pt-BR"/>
        </w:rPr>
      </w:pPr>
      <w:r w:rsidRPr="002F50BD">
        <w:rPr>
          <w:rFonts w:ascii="Verdana" w:hAnsi="Verdana"/>
          <w:sz w:val="16"/>
          <w:lang w:val="pt-BR"/>
        </w:rPr>
        <w:t>Artigo</w:t>
      </w:r>
      <w:r w:rsidR="004756C1" w:rsidRPr="002F50BD">
        <w:rPr>
          <w:rFonts w:ascii="Verdana" w:hAnsi="Verdana"/>
          <w:sz w:val="16"/>
          <w:lang w:val="pt-BR"/>
        </w:rPr>
        <w:t xml:space="preserve"> </w:t>
      </w:r>
      <w:r w:rsidR="00063B47" w:rsidRPr="002F50BD">
        <w:rPr>
          <w:rFonts w:ascii="Verdana" w:hAnsi="Verdana"/>
          <w:sz w:val="16"/>
          <w:lang w:val="pt-BR"/>
        </w:rPr>
        <w:t>14</w:t>
      </w:r>
      <w:r w:rsidR="00D95E71" w:rsidRPr="002F50BD">
        <w:rPr>
          <w:rFonts w:ascii="Verdana" w:hAnsi="Verdana"/>
          <w:sz w:val="16"/>
          <w:lang w:val="pt-BR"/>
        </w:rPr>
        <w:t xml:space="preserve">. O </w:t>
      </w:r>
      <w:r w:rsidR="00AB454A" w:rsidRPr="002F50BD">
        <w:rPr>
          <w:rFonts w:ascii="Verdana" w:hAnsi="Verdana"/>
          <w:sz w:val="16"/>
          <w:lang w:val="pt-BR"/>
        </w:rPr>
        <w:t>assentamento</w:t>
      </w:r>
      <w:r w:rsidRPr="002F50BD">
        <w:rPr>
          <w:rFonts w:ascii="Verdana" w:hAnsi="Verdana"/>
          <w:sz w:val="16"/>
          <w:lang w:val="pt-BR"/>
        </w:rPr>
        <w:t xml:space="preserve"> das </w:t>
      </w:r>
      <w:r w:rsidR="004756C1" w:rsidRPr="002F50BD">
        <w:rPr>
          <w:rFonts w:ascii="Verdana" w:hAnsi="Verdana"/>
          <w:sz w:val="16"/>
          <w:lang w:val="pt-BR"/>
        </w:rPr>
        <w:t>comunidades indígenas atenderá</w:t>
      </w:r>
      <w:r w:rsidR="004E0A85">
        <w:rPr>
          <w:rFonts w:ascii="Verdana" w:hAnsi="Verdana"/>
          <w:sz w:val="16"/>
          <w:lang w:val="pt-BR"/>
        </w:rPr>
        <w:t>,</w:t>
      </w:r>
      <w:r w:rsidRPr="002F50BD">
        <w:rPr>
          <w:rFonts w:ascii="Verdana" w:hAnsi="Verdana"/>
          <w:sz w:val="16"/>
          <w:lang w:val="pt-BR"/>
        </w:rPr>
        <w:t xml:space="preserve"> </w:t>
      </w:r>
      <w:r w:rsidR="00414ED5" w:rsidRPr="002F50BD">
        <w:rPr>
          <w:rFonts w:ascii="Verdana" w:hAnsi="Verdana"/>
          <w:sz w:val="16"/>
          <w:lang w:val="pt-BR"/>
        </w:rPr>
        <w:t xml:space="preserve">na medida do </w:t>
      </w:r>
      <w:r w:rsidRPr="002F50BD">
        <w:rPr>
          <w:rFonts w:ascii="Verdana" w:hAnsi="Verdana"/>
          <w:sz w:val="16"/>
          <w:lang w:val="pt-BR"/>
        </w:rPr>
        <w:t>possível</w:t>
      </w:r>
      <w:r w:rsidR="004E0A85">
        <w:rPr>
          <w:rFonts w:ascii="Verdana" w:hAnsi="Verdana"/>
          <w:sz w:val="16"/>
          <w:lang w:val="pt-BR"/>
        </w:rPr>
        <w:t>,</w:t>
      </w:r>
      <w:r w:rsidRPr="002F50BD">
        <w:rPr>
          <w:rFonts w:ascii="Verdana" w:hAnsi="Verdana"/>
          <w:sz w:val="16"/>
          <w:lang w:val="pt-BR"/>
        </w:rPr>
        <w:t xml:space="preserve"> </w:t>
      </w:r>
      <w:r w:rsidR="00561706" w:rsidRPr="002F50BD">
        <w:rPr>
          <w:rFonts w:ascii="Verdana" w:hAnsi="Verdana"/>
          <w:sz w:val="16"/>
          <w:lang w:val="pt-BR"/>
        </w:rPr>
        <w:t>à</w:t>
      </w:r>
      <w:r w:rsidRPr="002F50BD">
        <w:rPr>
          <w:rFonts w:ascii="Verdana" w:hAnsi="Verdana"/>
          <w:sz w:val="16"/>
          <w:lang w:val="pt-BR"/>
        </w:rPr>
        <w:t xml:space="preserve"> </w:t>
      </w:r>
      <w:r w:rsidR="00A50140" w:rsidRPr="002F50BD">
        <w:rPr>
          <w:rFonts w:ascii="Verdana" w:hAnsi="Verdana"/>
          <w:sz w:val="16"/>
          <w:lang w:val="pt-BR"/>
        </w:rPr>
        <w:t>posse</w:t>
      </w:r>
      <w:r w:rsidR="004756C1" w:rsidRPr="002F50BD">
        <w:rPr>
          <w:rFonts w:ascii="Verdana" w:hAnsi="Verdana"/>
          <w:sz w:val="16"/>
          <w:lang w:val="pt-BR"/>
        </w:rPr>
        <w:t xml:space="preserve"> </w:t>
      </w:r>
      <w:r w:rsidRPr="002F50BD">
        <w:rPr>
          <w:rFonts w:ascii="Verdana" w:hAnsi="Verdana"/>
          <w:sz w:val="16"/>
          <w:lang w:val="pt-BR"/>
        </w:rPr>
        <w:t>atual</w:t>
      </w:r>
      <w:r w:rsidR="004756C1" w:rsidRPr="002F50BD">
        <w:rPr>
          <w:rFonts w:ascii="Verdana" w:hAnsi="Verdana"/>
          <w:sz w:val="16"/>
          <w:lang w:val="pt-BR"/>
        </w:rPr>
        <w:t xml:space="preserve"> o</w:t>
      </w:r>
      <w:r w:rsidR="00414ED5" w:rsidRPr="002F50BD">
        <w:rPr>
          <w:rFonts w:ascii="Verdana" w:hAnsi="Verdana"/>
          <w:sz w:val="16"/>
          <w:lang w:val="pt-BR"/>
        </w:rPr>
        <w:t>u</w:t>
      </w:r>
      <w:r w:rsidR="004756C1" w:rsidRPr="002F50BD">
        <w:rPr>
          <w:rFonts w:ascii="Verdana" w:hAnsi="Verdana"/>
          <w:sz w:val="16"/>
          <w:lang w:val="pt-BR"/>
        </w:rPr>
        <w:t xml:space="preserve"> tradicional</w:t>
      </w:r>
      <w:r w:rsidRPr="002F50BD">
        <w:rPr>
          <w:rFonts w:ascii="Verdana" w:hAnsi="Verdana"/>
          <w:sz w:val="16"/>
          <w:lang w:val="pt-BR"/>
        </w:rPr>
        <w:t xml:space="preserve"> das terra</w:t>
      </w:r>
      <w:r w:rsidR="004756C1" w:rsidRPr="002F50BD">
        <w:rPr>
          <w:rFonts w:ascii="Verdana" w:hAnsi="Verdana"/>
          <w:sz w:val="16"/>
          <w:lang w:val="pt-BR"/>
        </w:rPr>
        <w:t>s</w:t>
      </w:r>
      <w:r w:rsidR="00D95E71" w:rsidRPr="002F50BD">
        <w:rPr>
          <w:rFonts w:ascii="Verdana" w:hAnsi="Verdana"/>
          <w:sz w:val="16"/>
          <w:lang w:val="pt-BR"/>
        </w:rPr>
        <w:t xml:space="preserve">. O </w:t>
      </w:r>
      <w:r w:rsidRPr="002F50BD">
        <w:rPr>
          <w:rFonts w:ascii="Verdana" w:hAnsi="Verdana"/>
          <w:sz w:val="16"/>
          <w:lang w:val="pt-BR"/>
        </w:rPr>
        <w:t xml:space="preserve">consentimento livre e expresso da comunidade </w:t>
      </w:r>
      <w:r w:rsidR="004756C1" w:rsidRPr="002F50BD">
        <w:rPr>
          <w:rFonts w:ascii="Verdana" w:hAnsi="Verdana"/>
          <w:sz w:val="16"/>
          <w:lang w:val="pt-BR"/>
        </w:rPr>
        <w:t xml:space="preserve">indígena será </w:t>
      </w:r>
      <w:r w:rsidRPr="002F50BD">
        <w:rPr>
          <w:rFonts w:ascii="Verdana" w:hAnsi="Verdana"/>
          <w:sz w:val="16"/>
          <w:lang w:val="pt-BR"/>
        </w:rPr>
        <w:t>essencial</w:t>
      </w:r>
      <w:r w:rsidR="004756C1" w:rsidRPr="002F50BD">
        <w:rPr>
          <w:rFonts w:ascii="Verdana" w:hAnsi="Verdana"/>
          <w:sz w:val="16"/>
          <w:lang w:val="pt-BR"/>
        </w:rPr>
        <w:t xml:space="preserve"> para s</w:t>
      </w:r>
      <w:r w:rsidR="00414ED5" w:rsidRPr="002F50BD">
        <w:rPr>
          <w:rFonts w:ascii="Verdana" w:hAnsi="Verdana"/>
          <w:sz w:val="16"/>
          <w:lang w:val="pt-BR"/>
        </w:rPr>
        <w:t>e</w:t>
      </w:r>
      <w:r w:rsidR="004756C1" w:rsidRPr="002F50BD">
        <w:rPr>
          <w:rFonts w:ascii="Verdana" w:hAnsi="Verdana"/>
          <w:sz w:val="16"/>
          <w:lang w:val="pt-BR"/>
        </w:rPr>
        <w:t xml:space="preserve">u </w:t>
      </w:r>
      <w:r w:rsidR="00AB454A" w:rsidRPr="002F50BD">
        <w:rPr>
          <w:rFonts w:ascii="Verdana" w:hAnsi="Verdana"/>
          <w:sz w:val="16"/>
          <w:lang w:val="pt-BR"/>
        </w:rPr>
        <w:t>assentamento</w:t>
      </w:r>
      <w:r w:rsidRPr="002F50BD">
        <w:rPr>
          <w:rFonts w:ascii="Verdana" w:hAnsi="Verdana"/>
          <w:sz w:val="16"/>
          <w:lang w:val="pt-BR"/>
        </w:rPr>
        <w:t xml:space="preserve"> em sítio</w:t>
      </w:r>
      <w:r w:rsidR="004756C1" w:rsidRPr="002F50BD">
        <w:rPr>
          <w:rFonts w:ascii="Verdana" w:hAnsi="Verdana"/>
          <w:sz w:val="16"/>
          <w:lang w:val="pt-BR"/>
        </w:rPr>
        <w:t>s distintos</w:t>
      </w:r>
      <w:r w:rsidRPr="002F50BD">
        <w:rPr>
          <w:rFonts w:ascii="Verdana" w:hAnsi="Verdana"/>
          <w:sz w:val="16"/>
          <w:lang w:val="pt-BR"/>
        </w:rPr>
        <w:t xml:space="preserve"> ao </w:t>
      </w:r>
      <w:r w:rsidR="004756C1" w:rsidRPr="002F50BD">
        <w:rPr>
          <w:rFonts w:ascii="Verdana" w:hAnsi="Verdana"/>
          <w:sz w:val="16"/>
          <w:lang w:val="pt-BR"/>
        </w:rPr>
        <w:t xml:space="preserve">de </w:t>
      </w:r>
      <w:r w:rsidR="00385366" w:rsidRPr="002F50BD">
        <w:rPr>
          <w:rFonts w:ascii="Verdana" w:hAnsi="Verdana"/>
          <w:sz w:val="16"/>
          <w:lang w:val="pt-BR"/>
        </w:rPr>
        <w:t>seus territórios</w:t>
      </w:r>
      <w:r w:rsidR="004756C1" w:rsidRPr="002F50BD">
        <w:rPr>
          <w:rFonts w:ascii="Verdana" w:hAnsi="Verdana"/>
          <w:sz w:val="16"/>
          <w:lang w:val="pt-BR"/>
        </w:rPr>
        <w:t xml:space="preserve">, </w:t>
      </w:r>
      <w:r w:rsidR="00414ED5" w:rsidRPr="002F50BD">
        <w:rPr>
          <w:rFonts w:ascii="Verdana" w:hAnsi="Verdana"/>
          <w:sz w:val="16"/>
          <w:lang w:val="pt-BR"/>
        </w:rPr>
        <w:t xml:space="preserve">exceto por </w:t>
      </w:r>
      <w:r w:rsidRPr="002F50BD">
        <w:rPr>
          <w:rFonts w:ascii="Verdana" w:hAnsi="Verdana"/>
          <w:sz w:val="16"/>
          <w:lang w:val="pt-BR"/>
        </w:rPr>
        <w:t>razões</w:t>
      </w:r>
      <w:r w:rsidR="004756C1" w:rsidRPr="002F50BD">
        <w:rPr>
          <w:rFonts w:ascii="Verdana" w:hAnsi="Verdana"/>
          <w:sz w:val="16"/>
          <w:lang w:val="pt-BR"/>
        </w:rPr>
        <w:t xml:space="preserve"> de </w:t>
      </w:r>
      <w:r w:rsidRPr="002F50BD">
        <w:rPr>
          <w:rFonts w:ascii="Verdana" w:hAnsi="Verdana"/>
          <w:sz w:val="16"/>
          <w:lang w:val="pt-BR"/>
        </w:rPr>
        <w:t>segurança</w:t>
      </w:r>
      <w:r w:rsidR="004756C1" w:rsidRPr="002F50BD">
        <w:rPr>
          <w:rFonts w:ascii="Verdana" w:hAnsi="Verdana"/>
          <w:sz w:val="16"/>
          <w:lang w:val="pt-BR"/>
        </w:rPr>
        <w:t xml:space="preserve"> nacional.</w:t>
      </w:r>
    </w:p>
    <w:p w:rsidR="004756C1" w:rsidRPr="002F50BD" w:rsidRDefault="004756C1">
      <w:pPr>
        <w:ind w:left="720" w:right="584"/>
        <w:jc w:val="both"/>
        <w:rPr>
          <w:rFonts w:ascii="Verdana" w:hAnsi="Verdana"/>
          <w:sz w:val="16"/>
          <w:lang w:val="pt-BR"/>
        </w:rPr>
      </w:pPr>
    </w:p>
    <w:p w:rsidR="004756C1" w:rsidRPr="002F50BD" w:rsidRDefault="0089298C">
      <w:pPr>
        <w:ind w:left="720" w:right="584"/>
        <w:jc w:val="both"/>
        <w:rPr>
          <w:rFonts w:ascii="Verdana" w:hAnsi="Verdana"/>
          <w:sz w:val="16"/>
          <w:lang w:val="pt-BR"/>
        </w:rPr>
      </w:pPr>
      <w:r w:rsidRPr="002F50BD">
        <w:rPr>
          <w:rFonts w:ascii="Verdana" w:hAnsi="Verdana"/>
          <w:sz w:val="16"/>
          <w:lang w:val="pt-BR"/>
        </w:rPr>
        <w:t>Artigo</w:t>
      </w:r>
      <w:r w:rsidR="004756C1" w:rsidRPr="002F50BD">
        <w:rPr>
          <w:rFonts w:ascii="Verdana" w:hAnsi="Verdana"/>
          <w:sz w:val="16"/>
          <w:lang w:val="pt-BR"/>
        </w:rPr>
        <w:t xml:space="preserve"> </w:t>
      </w:r>
      <w:r w:rsidR="00063B47" w:rsidRPr="002F50BD">
        <w:rPr>
          <w:rFonts w:ascii="Verdana" w:hAnsi="Verdana"/>
          <w:sz w:val="16"/>
          <w:lang w:val="pt-BR"/>
        </w:rPr>
        <w:t>15</w:t>
      </w:r>
      <w:r w:rsidR="00561706" w:rsidRPr="002F50BD">
        <w:rPr>
          <w:rFonts w:ascii="Verdana" w:hAnsi="Verdana"/>
          <w:sz w:val="16"/>
          <w:lang w:val="pt-BR"/>
        </w:rPr>
        <w:t>.</w:t>
      </w:r>
      <w:r w:rsidR="004756C1" w:rsidRPr="002F50BD">
        <w:rPr>
          <w:rFonts w:ascii="Verdana" w:hAnsi="Verdana"/>
          <w:sz w:val="16"/>
          <w:lang w:val="pt-BR"/>
        </w:rPr>
        <w:t xml:space="preserve"> </w:t>
      </w:r>
      <w:r w:rsidRPr="002F50BD">
        <w:rPr>
          <w:rFonts w:ascii="Verdana" w:hAnsi="Verdana"/>
          <w:sz w:val="16"/>
          <w:lang w:val="pt-BR"/>
        </w:rPr>
        <w:t>Quando</w:t>
      </w:r>
      <w:r w:rsidR="00561706" w:rsidRPr="002F50BD">
        <w:rPr>
          <w:rFonts w:ascii="Verdana" w:hAnsi="Verdana"/>
          <w:sz w:val="16"/>
          <w:lang w:val="pt-BR"/>
        </w:rPr>
        <w:t>,</w:t>
      </w:r>
      <w:r w:rsidRPr="002F50BD">
        <w:rPr>
          <w:rFonts w:ascii="Verdana" w:hAnsi="Verdana"/>
          <w:sz w:val="16"/>
          <w:lang w:val="pt-BR"/>
        </w:rPr>
        <w:t xml:space="preserve"> nos </w:t>
      </w:r>
      <w:r w:rsidR="004756C1" w:rsidRPr="002F50BD">
        <w:rPr>
          <w:rFonts w:ascii="Verdana" w:hAnsi="Verdana"/>
          <w:sz w:val="16"/>
          <w:lang w:val="pt-BR"/>
        </w:rPr>
        <w:t>casos previstos</w:t>
      </w:r>
      <w:r w:rsidRPr="002F50BD">
        <w:rPr>
          <w:rFonts w:ascii="Verdana" w:hAnsi="Verdana"/>
          <w:sz w:val="16"/>
          <w:lang w:val="pt-BR"/>
        </w:rPr>
        <w:t xml:space="preserve"> no artigo</w:t>
      </w:r>
      <w:r w:rsidR="004756C1" w:rsidRPr="002F50BD">
        <w:rPr>
          <w:rFonts w:ascii="Verdana" w:hAnsi="Verdana"/>
          <w:sz w:val="16"/>
          <w:lang w:val="pt-BR"/>
        </w:rPr>
        <w:t xml:space="preserve"> anterior</w:t>
      </w:r>
      <w:r w:rsidR="00561706" w:rsidRPr="002F50BD">
        <w:rPr>
          <w:rFonts w:ascii="Verdana" w:hAnsi="Verdana"/>
          <w:sz w:val="16"/>
          <w:lang w:val="pt-BR"/>
        </w:rPr>
        <w:t>,</w:t>
      </w:r>
      <w:r w:rsidR="004756C1" w:rsidRPr="002F50BD">
        <w:rPr>
          <w:rFonts w:ascii="Verdana" w:hAnsi="Verdana"/>
          <w:sz w:val="16"/>
          <w:lang w:val="pt-BR"/>
        </w:rPr>
        <w:t xml:space="preserve"> resultar </w:t>
      </w:r>
      <w:r w:rsidRPr="002F50BD">
        <w:rPr>
          <w:rFonts w:ascii="Verdana" w:hAnsi="Verdana"/>
          <w:sz w:val="16"/>
          <w:lang w:val="pt-BR"/>
        </w:rPr>
        <w:t xml:space="preserve">imprescindível o </w:t>
      </w:r>
      <w:r w:rsidR="004756C1" w:rsidRPr="002F50BD">
        <w:rPr>
          <w:rFonts w:ascii="Verdana" w:hAnsi="Verdana"/>
          <w:sz w:val="16"/>
          <w:lang w:val="pt-BR"/>
        </w:rPr>
        <w:t>traslado de</w:t>
      </w:r>
      <w:r w:rsidRPr="002F50BD">
        <w:rPr>
          <w:rFonts w:ascii="Verdana" w:hAnsi="Verdana"/>
          <w:sz w:val="16"/>
          <w:lang w:val="pt-BR"/>
        </w:rPr>
        <w:t xml:space="preserve"> uma </w:t>
      </w:r>
      <w:r w:rsidR="004756C1" w:rsidRPr="002F50BD">
        <w:rPr>
          <w:rFonts w:ascii="Verdana" w:hAnsi="Verdana"/>
          <w:sz w:val="16"/>
          <w:lang w:val="pt-BR"/>
        </w:rPr>
        <w:t>o</w:t>
      </w:r>
      <w:r w:rsidR="00414ED5" w:rsidRPr="002F50BD">
        <w:rPr>
          <w:rFonts w:ascii="Verdana" w:hAnsi="Verdana"/>
          <w:sz w:val="16"/>
          <w:lang w:val="pt-BR"/>
        </w:rPr>
        <w:t>u</w:t>
      </w:r>
      <w:r w:rsidR="004756C1" w:rsidRPr="002F50BD">
        <w:rPr>
          <w:rFonts w:ascii="Verdana" w:hAnsi="Verdana"/>
          <w:sz w:val="16"/>
          <w:lang w:val="pt-BR"/>
        </w:rPr>
        <w:t xml:space="preserve"> ma</w:t>
      </w:r>
      <w:r w:rsidR="00414ED5" w:rsidRPr="002F50BD">
        <w:rPr>
          <w:rFonts w:ascii="Verdana" w:hAnsi="Verdana"/>
          <w:sz w:val="16"/>
          <w:lang w:val="pt-BR"/>
        </w:rPr>
        <w:t>i</w:t>
      </w:r>
      <w:r w:rsidR="004756C1" w:rsidRPr="002F50BD">
        <w:rPr>
          <w:rFonts w:ascii="Verdana" w:hAnsi="Verdana"/>
          <w:sz w:val="16"/>
          <w:lang w:val="pt-BR"/>
        </w:rPr>
        <w:t xml:space="preserve">s comunidades indígenas, </w:t>
      </w:r>
      <w:r w:rsidRPr="002F50BD">
        <w:rPr>
          <w:rFonts w:ascii="Verdana" w:hAnsi="Verdana"/>
          <w:sz w:val="16"/>
          <w:lang w:val="pt-BR"/>
        </w:rPr>
        <w:t>serão</w:t>
      </w:r>
      <w:r w:rsidR="004756C1" w:rsidRPr="002F50BD">
        <w:rPr>
          <w:rFonts w:ascii="Verdana" w:hAnsi="Verdana"/>
          <w:sz w:val="16"/>
          <w:lang w:val="pt-BR"/>
        </w:rPr>
        <w:t xml:space="preserve"> proporcionadas </w:t>
      </w:r>
      <w:r w:rsidRPr="002F50BD">
        <w:rPr>
          <w:rFonts w:ascii="Verdana" w:hAnsi="Verdana"/>
          <w:sz w:val="16"/>
          <w:lang w:val="pt-BR"/>
        </w:rPr>
        <w:t>terra</w:t>
      </w:r>
      <w:r w:rsidR="004756C1" w:rsidRPr="002F50BD">
        <w:rPr>
          <w:rFonts w:ascii="Verdana" w:hAnsi="Verdana"/>
          <w:sz w:val="16"/>
          <w:lang w:val="pt-BR"/>
        </w:rPr>
        <w:t>s aptas</w:t>
      </w:r>
      <w:r w:rsidRPr="002F50BD">
        <w:rPr>
          <w:rFonts w:ascii="Verdana" w:hAnsi="Verdana"/>
          <w:sz w:val="16"/>
          <w:lang w:val="pt-BR"/>
        </w:rPr>
        <w:t xml:space="preserve"> e</w:t>
      </w:r>
      <w:r w:rsidR="00561706" w:rsidRPr="002F50BD">
        <w:rPr>
          <w:rFonts w:ascii="Verdana" w:hAnsi="Verdana"/>
          <w:sz w:val="16"/>
          <w:lang w:val="pt-BR"/>
        </w:rPr>
        <w:t>,</w:t>
      </w:r>
      <w:r w:rsidRPr="002F50BD">
        <w:rPr>
          <w:rFonts w:ascii="Verdana" w:hAnsi="Verdana"/>
          <w:sz w:val="16"/>
          <w:lang w:val="pt-BR"/>
        </w:rPr>
        <w:t xml:space="preserve"> </w:t>
      </w:r>
      <w:r w:rsidR="00414ED5" w:rsidRPr="002F50BD">
        <w:rPr>
          <w:rFonts w:ascii="Verdana" w:hAnsi="Verdana"/>
          <w:sz w:val="16"/>
          <w:lang w:val="pt-BR"/>
        </w:rPr>
        <w:t xml:space="preserve">ao </w:t>
      </w:r>
      <w:r w:rsidR="004756C1" w:rsidRPr="002F50BD">
        <w:rPr>
          <w:rFonts w:ascii="Verdana" w:hAnsi="Verdana"/>
          <w:sz w:val="16"/>
          <w:lang w:val="pt-BR"/>
        </w:rPr>
        <w:t>menos</w:t>
      </w:r>
      <w:r w:rsidR="00561706" w:rsidRPr="002F50BD">
        <w:rPr>
          <w:rFonts w:ascii="Verdana" w:hAnsi="Verdana"/>
          <w:sz w:val="16"/>
          <w:lang w:val="pt-BR"/>
        </w:rPr>
        <w:t>,</w:t>
      </w:r>
      <w:r w:rsidR="004756C1" w:rsidRPr="002F50BD">
        <w:rPr>
          <w:rFonts w:ascii="Verdana" w:hAnsi="Verdana"/>
          <w:sz w:val="16"/>
          <w:lang w:val="pt-BR"/>
        </w:rPr>
        <w:t xml:space="preserve"> de igual </w:t>
      </w:r>
      <w:r w:rsidRPr="002F50BD">
        <w:rPr>
          <w:rFonts w:ascii="Verdana" w:hAnsi="Verdana"/>
          <w:sz w:val="16"/>
          <w:lang w:val="pt-BR"/>
        </w:rPr>
        <w:t xml:space="preserve">qualidade às </w:t>
      </w:r>
      <w:r w:rsidR="004756C1" w:rsidRPr="002F50BD">
        <w:rPr>
          <w:rFonts w:ascii="Verdana" w:hAnsi="Verdana"/>
          <w:sz w:val="16"/>
          <w:lang w:val="pt-BR"/>
        </w:rPr>
        <w:t xml:space="preserve">que </w:t>
      </w:r>
      <w:r w:rsidR="00E10DBB" w:rsidRPr="002F50BD">
        <w:rPr>
          <w:rFonts w:ascii="Verdana" w:hAnsi="Verdana"/>
          <w:sz w:val="16"/>
          <w:lang w:val="pt-BR"/>
        </w:rPr>
        <w:t>ocupavam</w:t>
      </w:r>
      <w:r w:rsidRPr="002F50BD">
        <w:rPr>
          <w:rFonts w:ascii="Verdana" w:hAnsi="Verdana"/>
          <w:sz w:val="16"/>
          <w:lang w:val="pt-BR"/>
        </w:rPr>
        <w:t xml:space="preserve"> e serão</w:t>
      </w:r>
      <w:r w:rsidR="004756C1" w:rsidRPr="002F50BD">
        <w:rPr>
          <w:rFonts w:ascii="Verdana" w:hAnsi="Verdana"/>
          <w:sz w:val="16"/>
          <w:lang w:val="pt-BR"/>
        </w:rPr>
        <w:t xml:space="preserve"> convenientemente </w:t>
      </w:r>
      <w:r w:rsidR="00AB454A" w:rsidRPr="002F50BD">
        <w:rPr>
          <w:rFonts w:ascii="Verdana" w:hAnsi="Verdana"/>
          <w:sz w:val="16"/>
          <w:lang w:val="pt-BR"/>
        </w:rPr>
        <w:t>indeniz</w:t>
      </w:r>
      <w:r w:rsidR="004756C1" w:rsidRPr="002F50BD">
        <w:rPr>
          <w:rFonts w:ascii="Verdana" w:hAnsi="Verdana"/>
          <w:sz w:val="16"/>
          <w:lang w:val="pt-BR"/>
        </w:rPr>
        <w:t>adas p</w:t>
      </w:r>
      <w:r w:rsidR="00414ED5" w:rsidRPr="002F50BD">
        <w:rPr>
          <w:rFonts w:ascii="Verdana" w:hAnsi="Verdana"/>
          <w:sz w:val="16"/>
          <w:lang w:val="pt-BR"/>
        </w:rPr>
        <w:t>el</w:t>
      </w:r>
      <w:r w:rsidRPr="002F50BD">
        <w:rPr>
          <w:rFonts w:ascii="Verdana" w:hAnsi="Verdana"/>
          <w:sz w:val="16"/>
          <w:lang w:val="pt-BR"/>
        </w:rPr>
        <w:t xml:space="preserve">os </w:t>
      </w:r>
      <w:r w:rsidR="004756C1" w:rsidRPr="002F50BD">
        <w:rPr>
          <w:rFonts w:ascii="Verdana" w:hAnsi="Verdana"/>
          <w:sz w:val="16"/>
          <w:lang w:val="pt-BR"/>
        </w:rPr>
        <w:t>d</w:t>
      </w:r>
      <w:r w:rsidRPr="002F50BD">
        <w:rPr>
          <w:rFonts w:ascii="Verdana" w:hAnsi="Verdana"/>
          <w:sz w:val="16"/>
          <w:lang w:val="pt-BR"/>
        </w:rPr>
        <w:t>anos e prejuízo</w:t>
      </w:r>
      <w:r w:rsidR="004756C1" w:rsidRPr="002F50BD">
        <w:rPr>
          <w:rFonts w:ascii="Verdana" w:hAnsi="Verdana"/>
          <w:sz w:val="16"/>
          <w:lang w:val="pt-BR"/>
        </w:rPr>
        <w:t xml:space="preserve">s que </w:t>
      </w:r>
      <w:r w:rsidR="00414ED5" w:rsidRPr="002F50BD">
        <w:rPr>
          <w:rFonts w:ascii="Verdana" w:hAnsi="Verdana"/>
          <w:sz w:val="16"/>
          <w:lang w:val="pt-BR"/>
        </w:rPr>
        <w:t xml:space="preserve">sofrerem como </w:t>
      </w:r>
      <w:r w:rsidRPr="002F50BD">
        <w:rPr>
          <w:rFonts w:ascii="Verdana" w:hAnsi="Verdana"/>
          <w:sz w:val="16"/>
          <w:lang w:val="pt-BR"/>
        </w:rPr>
        <w:t>consequência</w:t>
      </w:r>
      <w:r w:rsidR="004756C1" w:rsidRPr="002F50BD">
        <w:rPr>
          <w:rFonts w:ascii="Verdana" w:hAnsi="Verdana"/>
          <w:sz w:val="16"/>
          <w:lang w:val="pt-BR"/>
        </w:rPr>
        <w:t xml:space="preserve"> </w:t>
      </w:r>
      <w:r w:rsidRPr="002F50BD">
        <w:rPr>
          <w:rFonts w:ascii="Verdana" w:hAnsi="Verdana"/>
          <w:sz w:val="16"/>
          <w:lang w:val="pt-BR"/>
        </w:rPr>
        <w:t xml:space="preserve">do deslocamento e pelo </w:t>
      </w:r>
      <w:r w:rsidR="004756C1" w:rsidRPr="002F50BD">
        <w:rPr>
          <w:rFonts w:ascii="Verdana" w:hAnsi="Verdana"/>
          <w:sz w:val="16"/>
          <w:lang w:val="pt-BR"/>
        </w:rPr>
        <w:t>valor</w:t>
      </w:r>
      <w:r w:rsidRPr="002F50BD">
        <w:rPr>
          <w:rFonts w:ascii="Verdana" w:hAnsi="Verdana"/>
          <w:sz w:val="16"/>
          <w:lang w:val="pt-BR"/>
        </w:rPr>
        <w:t xml:space="preserve"> das melhor</w:t>
      </w:r>
      <w:r w:rsidR="004756C1" w:rsidRPr="002F50BD">
        <w:rPr>
          <w:rFonts w:ascii="Verdana" w:hAnsi="Verdana"/>
          <w:sz w:val="16"/>
          <w:lang w:val="pt-BR"/>
        </w:rPr>
        <w:t>as.</w:t>
      </w:r>
    </w:p>
    <w:p w:rsidR="004756C1" w:rsidRPr="002F50BD" w:rsidRDefault="004756C1">
      <w:pPr>
        <w:jc w:val="both"/>
        <w:rPr>
          <w:rFonts w:ascii="Verdana" w:hAnsi="Verdana"/>
          <w:sz w:val="20"/>
          <w:lang w:val="pt-BR"/>
        </w:rPr>
      </w:pPr>
    </w:p>
    <w:p w:rsidR="004756C1" w:rsidRPr="002F50BD" w:rsidRDefault="00414ED5">
      <w:pPr>
        <w:jc w:val="both"/>
        <w:rPr>
          <w:rFonts w:ascii="Verdana" w:hAnsi="Verdana"/>
          <w:sz w:val="20"/>
          <w:lang w:val="pt-BR"/>
        </w:rPr>
      </w:pPr>
      <w:r w:rsidRPr="002F50BD">
        <w:rPr>
          <w:rFonts w:ascii="Verdana" w:hAnsi="Verdana"/>
          <w:sz w:val="20"/>
          <w:lang w:val="pt-BR"/>
        </w:rPr>
        <w:t xml:space="preserve">Por </w:t>
      </w:r>
      <w:r w:rsidR="004756C1" w:rsidRPr="002F50BD">
        <w:rPr>
          <w:rFonts w:ascii="Verdana" w:hAnsi="Verdana"/>
          <w:sz w:val="20"/>
          <w:lang w:val="pt-BR"/>
        </w:rPr>
        <w:t>su</w:t>
      </w:r>
      <w:r w:rsidRPr="002F50BD">
        <w:rPr>
          <w:rFonts w:ascii="Verdana" w:hAnsi="Verdana"/>
          <w:sz w:val="20"/>
          <w:lang w:val="pt-BR"/>
        </w:rPr>
        <w:t>a</w:t>
      </w:r>
      <w:r w:rsidR="004756C1" w:rsidRPr="002F50BD">
        <w:rPr>
          <w:rFonts w:ascii="Verdana" w:hAnsi="Verdana"/>
          <w:sz w:val="20"/>
          <w:lang w:val="pt-BR"/>
        </w:rPr>
        <w:t xml:space="preserve"> vez</w:t>
      </w:r>
      <w:r w:rsidR="00561706" w:rsidRPr="002F50BD">
        <w:rPr>
          <w:rFonts w:ascii="Verdana" w:hAnsi="Verdana"/>
          <w:sz w:val="20"/>
          <w:lang w:val="pt-BR"/>
        </w:rPr>
        <w:t>,</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00063B47" w:rsidRPr="002F50BD">
        <w:rPr>
          <w:rFonts w:ascii="Verdana" w:hAnsi="Verdana"/>
          <w:sz w:val="20"/>
          <w:lang w:val="pt-BR"/>
        </w:rPr>
        <w:t>22</w:t>
      </w:r>
      <w:r w:rsidR="0089298C" w:rsidRPr="002F50BD">
        <w:rPr>
          <w:rFonts w:ascii="Verdana" w:hAnsi="Verdana"/>
          <w:sz w:val="20"/>
          <w:lang w:val="pt-BR"/>
        </w:rPr>
        <w:t xml:space="preserve"> da </w:t>
      </w:r>
      <w:r w:rsidR="004756C1" w:rsidRPr="002F50BD">
        <w:rPr>
          <w:rFonts w:ascii="Verdana" w:hAnsi="Verdana"/>
          <w:sz w:val="20"/>
          <w:lang w:val="pt-BR"/>
        </w:rPr>
        <w:t xml:space="preserve">referida </w:t>
      </w:r>
      <w:r w:rsidR="0089298C" w:rsidRPr="002F50BD">
        <w:rPr>
          <w:rFonts w:ascii="Verdana" w:hAnsi="Verdana"/>
          <w:sz w:val="20"/>
          <w:lang w:val="pt-BR"/>
        </w:rPr>
        <w:t xml:space="preserve">Lei </w:t>
      </w:r>
      <w:r w:rsidR="00063B47" w:rsidRPr="002F50BD">
        <w:rPr>
          <w:rFonts w:ascii="Verdana" w:hAnsi="Verdana"/>
          <w:sz w:val="20"/>
          <w:lang w:val="pt-BR"/>
        </w:rPr>
        <w:t>904</w:t>
      </w:r>
      <w:r w:rsidR="004756C1" w:rsidRPr="002F50BD">
        <w:rPr>
          <w:rFonts w:ascii="Verdana" w:hAnsi="Verdana"/>
          <w:sz w:val="20"/>
          <w:lang w:val="pt-BR"/>
        </w:rPr>
        <w:t xml:space="preserve"> </w:t>
      </w:r>
      <w:r w:rsidR="0089298C" w:rsidRPr="002F50BD">
        <w:rPr>
          <w:rFonts w:ascii="Verdana" w:hAnsi="Verdana"/>
          <w:sz w:val="20"/>
          <w:lang w:val="pt-BR"/>
        </w:rPr>
        <w:t>estabelece o procedimento</w:t>
      </w:r>
      <w:r w:rsidR="004756C1" w:rsidRPr="002F50BD">
        <w:rPr>
          <w:rFonts w:ascii="Verdana" w:hAnsi="Verdana"/>
          <w:sz w:val="20"/>
          <w:lang w:val="pt-BR"/>
        </w:rPr>
        <w:t xml:space="preserve"> para</w:t>
      </w:r>
      <w:r w:rsidR="0089298C" w:rsidRPr="002F50BD">
        <w:rPr>
          <w:rFonts w:ascii="Verdana" w:hAnsi="Verdana"/>
          <w:sz w:val="20"/>
          <w:lang w:val="pt-BR"/>
        </w:rPr>
        <w:t xml:space="preserve"> o </w:t>
      </w:r>
      <w:r w:rsidR="00AB454A" w:rsidRPr="002F50BD">
        <w:rPr>
          <w:rFonts w:ascii="Verdana" w:hAnsi="Verdana"/>
          <w:sz w:val="20"/>
          <w:lang w:val="pt-BR"/>
        </w:rPr>
        <w:t>assentamento</w:t>
      </w:r>
      <w:r w:rsidR="004756C1" w:rsidRPr="002F50BD">
        <w:rPr>
          <w:rFonts w:ascii="Verdana" w:hAnsi="Verdana"/>
          <w:sz w:val="20"/>
          <w:lang w:val="pt-BR"/>
        </w:rPr>
        <w:t xml:space="preserve"> de comunidades indígenas</w:t>
      </w:r>
      <w:r w:rsidR="0089298C" w:rsidRPr="002F50BD">
        <w:rPr>
          <w:rFonts w:ascii="Verdana" w:hAnsi="Verdana"/>
          <w:sz w:val="20"/>
          <w:lang w:val="pt-BR"/>
        </w:rPr>
        <w:t xml:space="preserve"> em terra</w:t>
      </w:r>
      <w:r w:rsidR="004756C1" w:rsidRPr="002F50BD">
        <w:rPr>
          <w:rFonts w:ascii="Verdana" w:hAnsi="Verdana"/>
          <w:sz w:val="20"/>
          <w:lang w:val="pt-BR"/>
        </w:rPr>
        <w:t xml:space="preserve">s </w:t>
      </w:r>
      <w:r w:rsidRPr="002F50BD">
        <w:rPr>
          <w:rFonts w:ascii="Verdana" w:hAnsi="Verdana"/>
          <w:sz w:val="20"/>
          <w:lang w:val="pt-BR"/>
        </w:rPr>
        <w:t>públicas</w:t>
      </w:r>
      <w:r w:rsidR="0089298C" w:rsidRPr="002F50BD">
        <w:rPr>
          <w:rFonts w:ascii="Verdana" w:hAnsi="Verdana"/>
          <w:sz w:val="20"/>
          <w:lang w:val="pt-BR"/>
        </w:rPr>
        <w:t xml:space="preserve"> e nos artigo</w:t>
      </w:r>
      <w:r w:rsidR="004756C1" w:rsidRPr="002F50BD">
        <w:rPr>
          <w:rFonts w:ascii="Verdana" w:hAnsi="Verdana"/>
          <w:sz w:val="20"/>
          <w:lang w:val="pt-BR"/>
        </w:rPr>
        <w:t xml:space="preserve">s </w:t>
      </w:r>
      <w:r w:rsidR="00063B47" w:rsidRPr="002F50BD">
        <w:rPr>
          <w:rFonts w:ascii="Verdana" w:hAnsi="Verdana"/>
          <w:sz w:val="20"/>
          <w:lang w:val="pt-BR"/>
        </w:rPr>
        <w:t>24</w:t>
      </w:r>
      <w:r w:rsidR="0089298C" w:rsidRPr="002F50BD">
        <w:rPr>
          <w:rFonts w:ascii="Verdana" w:hAnsi="Verdana"/>
          <w:sz w:val="20"/>
          <w:lang w:val="pt-BR"/>
        </w:rPr>
        <w:t xml:space="preserve"> e </w:t>
      </w:r>
      <w:r w:rsidR="00063B47" w:rsidRPr="002F50BD">
        <w:rPr>
          <w:rFonts w:ascii="Verdana" w:hAnsi="Verdana"/>
          <w:sz w:val="20"/>
          <w:lang w:val="pt-BR"/>
        </w:rPr>
        <w:t>25</w:t>
      </w:r>
      <w:r w:rsidR="00561706" w:rsidRPr="002F50BD">
        <w:rPr>
          <w:rFonts w:ascii="Verdana" w:hAnsi="Verdana"/>
          <w:sz w:val="20"/>
          <w:lang w:val="pt-BR"/>
        </w:rPr>
        <w:t>,</w:t>
      </w:r>
      <w:r w:rsidR="0089298C" w:rsidRPr="002F50BD">
        <w:rPr>
          <w:rFonts w:ascii="Verdana" w:hAnsi="Verdana"/>
          <w:sz w:val="20"/>
          <w:lang w:val="pt-BR"/>
        </w:rPr>
        <w:t xml:space="preserve"> os procedimento</w:t>
      </w:r>
      <w:r w:rsidR="004756C1" w:rsidRPr="002F50BD">
        <w:rPr>
          <w:rFonts w:ascii="Verdana" w:hAnsi="Verdana"/>
          <w:sz w:val="20"/>
          <w:lang w:val="pt-BR"/>
        </w:rPr>
        <w:t>s para</w:t>
      </w:r>
      <w:r w:rsidR="0089298C" w:rsidRPr="002F50BD">
        <w:rPr>
          <w:rFonts w:ascii="Verdana" w:hAnsi="Verdana"/>
          <w:sz w:val="20"/>
          <w:lang w:val="pt-BR"/>
        </w:rPr>
        <w:t xml:space="preserve"> o </w:t>
      </w:r>
      <w:r w:rsidR="00AB454A" w:rsidRPr="002F50BD">
        <w:rPr>
          <w:rFonts w:ascii="Verdana" w:hAnsi="Verdana"/>
          <w:sz w:val="20"/>
          <w:lang w:val="pt-BR"/>
        </w:rPr>
        <w:t>assentamento</w:t>
      </w:r>
      <w:r w:rsidR="0089298C" w:rsidRPr="002F50BD">
        <w:rPr>
          <w:rFonts w:ascii="Verdana" w:hAnsi="Verdana"/>
          <w:sz w:val="20"/>
          <w:lang w:val="pt-BR"/>
        </w:rPr>
        <w:t xml:space="preserve"> em terra</w:t>
      </w:r>
      <w:r w:rsidR="004756C1" w:rsidRPr="002F50BD">
        <w:rPr>
          <w:rFonts w:ascii="Verdana" w:hAnsi="Verdana"/>
          <w:sz w:val="20"/>
          <w:lang w:val="pt-BR"/>
        </w:rPr>
        <w:t xml:space="preserve">s </w:t>
      </w:r>
      <w:r w:rsidR="0089298C" w:rsidRPr="002F50BD">
        <w:rPr>
          <w:rFonts w:ascii="Verdana" w:hAnsi="Verdana"/>
          <w:sz w:val="20"/>
          <w:lang w:val="pt-BR"/>
        </w:rPr>
        <w:t>d</w:t>
      </w:r>
      <w:r w:rsidRPr="002F50BD">
        <w:rPr>
          <w:rFonts w:ascii="Verdana" w:hAnsi="Verdana"/>
          <w:sz w:val="20"/>
          <w:lang w:val="pt-BR"/>
        </w:rPr>
        <w:t>e</w:t>
      </w:r>
      <w:r w:rsidR="0089298C" w:rsidRPr="002F50BD">
        <w:rPr>
          <w:rFonts w:ascii="Verdana" w:hAnsi="Verdana"/>
          <w:sz w:val="20"/>
          <w:lang w:val="pt-BR"/>
        </w:rPr>
        <w:t xml:space="preserve"> </w:t>
      </w:r>
      <w:r w:rsidR="00D95E71" w:rsidRPr="002F50BD">
        <w:rPr>
          <w:rFonts w:ascii="Verdana" w:hAnsi="Verdana"/>
          <w:sz w:val="20"/>
          <w:lang w:val="pt-BR"/>
        </w:rPr>
        <w:t xml:space="preserve">domínio </w:t>
      </w:r>
      <w:r w:rsidR="004756C1" w:rsidRPr="002F50BD">
        <w:rPr>
          <w:rFonts w:ascii="Verdana" w:hAnsi="Verdana"/>
          <w:sz w:val="20"/>
          <w:lang w:val="pt-BR"/>
        </w:rPr>
        <w:t>privado, que</w:t>
      </w:r>
      <w:r w:rsidR="0089298C" w:rsidRPr="002F50BD">
        <w:rPr>
          <w:rFonts w:ascii="Verdana" w:hAnsi="Verdana"/>
          <w:sz w:val="20"/>
          <w:lang w:val="pt-BR"/>
        </w:rPr>
        <w:t xml:space="preserve"> os </w:t>
      </w:r>
      <w:r w:rsidR="004756C1" w:rsidRPr="002F50BD">
        <w:rPr>
          <w:rFonts w:ascii="Verdana" w:hAnsi="Verdana"/>
          <w:sz w:val="20"/>
          <w:lang w:val="pt-BR"/>
        </w:rPr>
        <w:t>indígenas ocupe</w:t>
      </w:r>
      <w:r w:rsidRPr="002F50BD">
        <w:rPr>
          <w:rFonts w:ascii="Verdana" w:hAnsi="Verdana"/>
          <w:sz w:val="20"/>
          <w:lang w:val="pt-BR"/>
        </w:rPr>
        <w:t>m</w:t>
      </w:r>
      <w:r w:rsidR="004756C1" w:rsidRPr="002F50BD">
        <w:rPr>
          <w:rFonts w:ascii="Verdana" w:hAnsi="Verdana"/>
          <w:sz w:val="20"/>
          <w:lang w:val="pt-BR"/>
        </w:rPr>
        <w:t>.</w:t>
      </w:r>
      <w:r w:rsidR="0089298C" w:rsidRPr="002F50BD">
        <w:rPr>
          <w:rFonts w:ascii="Verdana" w:hAnsi="Verdana"/>
          <w:sz w:val="20"/>
          <w:lang w:val="pt-BR"/>
        </w:rPr>
        <w:t xml:space="preserve"> </w:t>
      </w:r>
      <w:r w:rsidRPr="002F50BD">
        <w:rPr>
          <w:rFonts w:ascii="Verdana" w:hAnsi="Verdana"/>
          <w:sz w:val="20"/>
          <w:lang w:val="pt-BR"/>
        </w:rPr>
        <w:t>N</w:t>
      </w:r>
      <w:r w:rsidR="0089298C" w:rsidRPr="002F50BD">
        <w:rPr>
          <w:rFonts w:ascii="Verdana" w:hAnsi="Verdana"/>
          <w:sz w:val="20"/>
          <w:lang w:val="pt-BR"/>
        </w:rPr>
        <w:t>o artigo</w:t>
      </w:r>
      <w:r w:rsidR="004756C1" w:rsidRPr="002F50BD">
        <w:rPr>
          <w:rFonts w:ascii="Verdana" w:hAnsi="Verdana"/>
          <w:sz w:val="20"/>
          <w:lang w:val="pt-BR"/>
        </w:rPr>
        <w:t xml:space="preserve"> </w:t>
      </w:r>
      <w:r w:rsidR="00063B47" w:rsidRPr="002F50BD">
        <w:rPr>
          <w:rFonts w:ascii="Verdana" w:hAnsi="Verdana"/>
          <w:sz w:val="20"/>
          <w:lang w:val="pt-BR"/>
        </w:rPr>
        <w:t>26</w:t>
      </w:r>
      <w:r w:rsidR="00561706" w:rsidRPr="002F50BD">
        <w:rPr>
          <w:rFonts w:ascii="Verdana" w:hAnsi="Verdana"/>
          <w:sz w:val="20"/>
          <w:lang w:val="pt-BR"/>
        </w:rPr>
        <w:t>,</w:t>
      </w:r>
      <w:r w:rsidR="0089298C" w:rsidRPr="002F50BD">
        <w:rPr>
          <w:rFonts w:ascii="Verdana" w:hAnsi="Verdana"/>
          <w:sz w:val="20"/>
          <w:lang w:val="pt-BR"/>
        </w:rPr>
        <w:t xml:space="preserve"> a lei estabelece</w:t>
      </w:r>
      <w:r w:rsidR="004756C1" w:rsidRPr="002F50BD">
        <w:rPr>
          <w:rFonts w:ascii="Verdana" w:hAnsi="Verdana"/>
          <w:sz w:val="20"/>
          <w:lang w:val="pt-BR"/>
        </w:rPr>
        <w:t>: “</w:t>
      </w:r>
      <w:r w:rsidRPr="002F50BD">
        <w:rPr>
          <w:rFonts w:ascii="Verdana" w:hAnsi="Verdana"/>
          <w:sz w:val="20"/>
          <w:lang w:val="pt-BR"/>
        </w:rPr>
        <w:t>n</w:t>
      </w:r>
      <w:r w:rsidR="0089298C" w:rsidRPr="002F50BD">
        <w:rPr>
          <w:rFonts w:ascii="Verdana" w:hAnsi="Verdana"/>
          <w:sz w:val="20"/>
          <w:lang w:val="pt-BR"/>
        </w:rPr>
        <w:t xml:space="preserve">os </w:t>
      </w:r>
      <w:r w:rsidR="004756C1" w:rsidRPr="002F50BD">
        <w:rPr>
          <w:rFonts w:ascii="Verdana" w:hAnsi="Verdana"/>
          <w:sz w:val="20"/>
          <w:lang w:val="pt-BR"/>
        </w:rPr>
        <w:t xml:space="preserve">casos de </w:t>
      </w:r>
      <w:r w:rsidR="00DB51F0" w:rsidRPr="002F50BD">
        <w:rPr>
          <w:rFonts w:ascii="Verdana" w:hAnsi="Verdana"/>
          <w:sz w:val="20"/>
          <w:lang w:val="pt-BR"/>
        </w:rPr>
        <w:t>expropriação</w:t>
      </w:r>
      <w:r w:rsidR="004756C1" w:rsidRPr="002F50BD">
        <w:rPr>
          <w:rFonts w:ascii="Verdana" w:hAnsi="Verdana"/>
          <w:sz w:val="20"/>
          <w:lang w:val="pt-BR"/>
        </w:rPr>
        <w:t>,</w:t>
      </w:r>
      <w:r w:rsidR="0089298C" w:rsidRPr="002F50BD">
        <w:rPr>
          <w:rFonts w:ascii="Verdana" w:hAnsi="Verdana"/>
          <w:sz w:val="20"/>
          <w:lang w:val="pt-BR"/>
        </w:rPr>
        <w:t xml:space="preserve"> o procedimento e a indenização</w:t>
      </w:r>
      <w:r w:rsidR="004756C1" w:rsidRPr="002F50BD">
        <w:rPr>
          <w:rFonts w:ascii="Verdana" w:hAnsi="Verdana"/>
          <w:sz w:val="20"/>
          <w:lang w:val="pt-BR"/>
        </w:rPr>
        <w:t xml:space="preserve"> se ajustar</w:t>
      </w:r>
      <w:r w:rsidRPr="002F50BD">
        <w:rPr>
          <w:rFonts w:ascii="Verdana" w:hAnsi="Verdana"/>
          <w:sz w:val="20"/>
          <w:lang w:val="pt-BR"/>
        </w:rPr>
        <w:t>ão</w:t>
      </w:r>
      <w:r w:rsidR="0089298C" w:rsidRPr="002F50BD">
        <w:rPr>
          <w:rFonts w:ascii="Verdana" w:hAnsi="Verdana"/>
          <w:sz w:val="20"/>
          <w:lang w:val="pt-BR"/>
        </w:rPr>
        <w:t xml:space="preserve"> ao dispost</w:t>
      </w:r>
      <w:r w:rsidR="004756C1" w:rsidRPr="002F50BD">
        <w:rPr>
          <w:rFonts w:ascii="Verdana" w:hAnsi="Verdana"/>
          <w:sz w:val="20"/>
          <w:lang w:val="pt-BR"/>
        </w:rPr>
        <w:t>o</w:t>
      </w:r>
      <w:r w:rsidR="0089298C" w:rsidRPr="002F50BD">
        <w:rPr>
          <w:rFonts w:ascii="Verdana" w:hAnsi="Verdana"/>
          <w:sz w:val="20"/>
          <w:lang w:val="pt-BR"/>
        </w:rPr>
        <w:t xml:space="preserve"> na Constituição e </w:t>
      </w:r>
      <w:r w:rsidRPr="002F50BD">
        <w:rPr>
          <w:rFonts w:ascii="Verdana" w:hAnsi="Verdana"/>
          <w:sz w:val="20"/>
          <w:lang w:val="pt-BR"/>
        </w:rPr>
        <w:t>n</w:t>
      </w:r>
      <w:r w:rsidR="0089298C" w:rsidRPr="002F50BD">
        <w:rPr>
          <w:rFonts w:ascii="Verdana" w:hAnsi="Verdana"/>
          <w:sz w:val="20"/>
          <w:lang w:val="pt-BR"/>
        </w:rPr>
        <w:t>as leis e</w:t>
      </w:r>
      <w:r w:rsidR="00E208D9" w:rsidRPr="002F50BD">
        <w:rPr>
          <w:rFonts w:ascii="Verdana" w:hAnsi="Verdana"/>
          <w:sz w:val="20"/>
          <w:lang w:val="pt-BR"/>
        </w:rPr>
        <w:t>,</w:t>
      </w:r>
      <w:r w:rsidR="0089298C" w:rsidRPr="002F50BD">
        <w:rPr>
          <w:rFonts w:ascii="Verdana" w:hAnsi="Verdana"/>
          <w:sz w:val="20"/>
          <w:lang w:val="pt-BR"/>
        </w:rPr>
        <w:t xml:space="preserve"> </w:t>
      </w:r>
      <w:r w:rsidR="004756C1" w:rsidRPr="002F50BD">
        <w:rPr>
          <w:rFonts w:ascii="Verdana" w:hAnsi="Verdana"/>
          <w:sz w:val="20"/>
          <w:lang w:val="pt-BR"/>
        </w:rPr>
        <w:t>para</w:t>
      </w:r>
      <w:r w:rsidR="0089298C" w:rsidRPr="002F50BD">
        <w:rPr>
          <w:rFonts w:ascii="Verdana" w:hAnsi="Verdana"/>
          <w:sz w:val="20"/>
          <w:lang w:val="pt-BR"/>
        </w:rPr>
        <w:t xml:space="preserve"> o pagamento das indenizações</w:t>
      </w:r>
      <w:r w:rsidR="00E208D9"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serão</w:t>
      </w:r>
      <w:r w:rsidR="004756C1" w:rsidRPr="002F50BD">
        <w:rPr>
          <w:rFonts w:ascii="Verdana" w:hAnsi="Verdana"/>
          <w:sz w:val="20"/>
          <w:lang w:val="pt-BR"/>
        </w:rPr>
        <w:t xml:space="preserve"> previstos</w:t>
      </w:r>
      <w:r w:rsidR="0089298C" w:rsidRPr="002F50BD">
        <w:rPr>
          <w:rFonts w:ascii="Verdana" w:hAnsi="Verdana"/>
          <w:sz w:val="20"/>
          <w:lang w:val="pt-BR"/>
        </w:rPr>
        <w:t xml:space="preserve"> os </w:t>
      </w:r>
      <w:r w:rsidR="004756C1" w:rsidRPr="002F50BD">
        <w:rPr>
          <w:rFonts w:ascii="Verdana" w:hAnsi="Verdana"/>
          <w:sz w:val="20"/>
          <w:lang w:val="pt-BR"/>
        </w:rPr>
        <w:t xml:space="preserve">recursos </w:t>
      </w:r>
      <w:r w:rsidR="0089298C" w:rsidRPr="002F50BD">
        <w:rPr>
          <w:rFonts w:ascii="Verdana" w:hAnsi="Verdana"/>
          <w:sz w:val="20"/>
          <w:lang w:val="pt-BR"/>
        </w:rPr>
        <w:t>necessári</w:t>
      </w:r>
      <w:r w:rsidR="004756C1" w:rsidRPr="002F50BD">
        <w:rPr>
          <w:rFonts w:ascii="Verdana" w:hAnsi="Verdana"/>
          <w:sz w:val="20"/>
          <w:lang w:val="pt-BR"/>
        </w:rPr>
        <w:t>os</w:t>
      </w:r>
      <w:r w:rsidR="0089298C" w:rsidRPr="002F50BD">
        <w:rPr>
          <w:rFonts w:ascii="Verdana" w:hAnsi="Verdana"/>
          <w:sz w:val="20"/>
          <w:lang w:val="pt-BR"/>
        </w:rPr>
        <w:t xml:space="preserve"> no Orçamento</w:t>
      </w:r>
      <w:r w:rsidR="004756C1" w:rsidRPr="002F50BD">
        <w:rPr>
          <w:rFonts w:ascii="Verdana" w:hAnsi="Verdana"/>
          <w:sz w:val="20"/>
          <w:lang w:val="pt-BR"/>
        </w:rPr>
        <w:t xml:space="preserve"> </w:t>
      </w:r>
      <w:r w:rsidR="0089298C" w:rsidRPr="002F50BD">
        <w:rPr>
          <w:rFonts w:ascii="Verdana" w:hAnsi="Verdana"/>
          <w:sz w:val="20"/>
          <w:lang w:val="pt-BR"/>
        </w:rPr>
        <w:t xml:space="preserve">Geral da </w:t>
      </w:r>
      <w:r w:rsidR="004756C1" w:rsidRPr="002F50BD">
        <w:rPr>
          <w:rFonts w:ascii="Verdana" w:hAnsi="Verdana"/>
          <w:sz w:val="20"/>
          <w:lang w:val="pt-BR"/>
        </w:rPr>
        <w:t>Na</w:t>
      </w:r>
      <w:r w:rsidR="0089298C" w:rsidRPr="002F50BD">
        <w:rPr>
          <w:rFonts w:ascii="Verdana" w:hAnsi="Verdana"/>
          <w:sz w:val="20"/>
          <w:lang w:val="pt-BR"/>
        </w:rPr>
        <w:t>ção</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89298C" w:rsidRPr="002F50BD">
        <w:rPr>
          <w:rFonts w:ascii="Verdana" w:hAnsi="Verdana"/>
          <w:sz w:val="20"/>
          <w:lang w:val="pt-BR"/>
        </w:rPr>
        <w:t xml:space="preserve">Lei </w:t>
      </w:r>
      <w:r w:rsidRPr="002F50BD">
        <w:rPr>
          <w:rFonts w:ascii="Verdana" w:hAnsi="Verdana"/>
          <w:sz w:val="20"/>
          <w:lang w:val="pt-BR"/>
        </w:rPr>
        <w:t>43</w:t>
      </w:r>
      <w:r w:rsidR="004756C1" w:rsidRPr="002F50BD">
        <w:rPr>
          <w:rFonts w:ascii="Verdana" w:hAnsi="Verdana"/>
          <w:sz w:val="20"/>
          <w:lang w:val="pt-BR"/>
        </w:rPr>
        <w:t>/</w:t>
      </w:r>
      <w:r w:rsidRPr="002F50BD">
        <w:rPr>
          <w:rFonts w:ascii="Verdana" w:hAnsi="Verdana"/>
          <w:sz w:val="20"/>
          <w:lang w:val="pt-BR"/>
        </w:rPr>
        <w:t>89</w:t>
      </w:r>
      <w:r w:rsidR="004756C1" w:rsidRPr="002F50BD">
        <w:rPr>
          <w:rFonts w:ascii="Verdana" w:hAnsi="Verdana"/>
          <w:sz w:val="20"/>
          <w:lang w:val="pt-BR"/>
        </w:rPr>
        <w:t xml:space="preserve"> que </w:t>
      </w:r>
      <w:r w:rsidR="0089298C" w:rsidRPr="002F50BD">
        <w:rPr>
          <w:rFonts w:ascii="Verdana" w:hAnsi="Verdana"/>
          <w:sz w:val="20"/>
          <w:lang w:val="pt-BR"/>
        </w:rPr>
        <w:t>estabelece um regime</w:t>
      </w:r>
      <w:r w:rsidR="004756C1" w:rsidRPr="002F50BD">
        <w:rPr>
          <w:rFonts w:ascii="Verdana" w:hAnsi="Verdana"/>
          <w:sz w:val="20"/>
          <w:lang w:val="pt-BR"/>
        </w:rPr>
        <w:t xml:space="preserve"> para</w:t>
      </w:r>
      <w:r w:rsidR="0089298C" w:rsidRPr="002F50BD">
        <w:rPr>
          <w:rFonts w:ascii="Verdana" w:hAnsi="Verdana"/>
          <w:sz w:val="20"/>
          <w:lang w:val="pt-BR"/>
        </w:rPr>
        <w:t xml:space="preserve"> a </w:t>
      </w:r>
      <w:r w:rsidR="004756C1" w:rsidRPr="002F50BD">
        <w:rPr>
          <w:rFonts w:ascii="Verdana" w:hAnsi="Verdana"/>
          <w:sz w:val="20"/>
          <w:lang w:val="pt-BR"/>
        </w:rPr>
        <w:t>regulariza</w:t>
      </w:r>
      <w:r w:rsidR="0089298C" w:rsidRPr="002F50BD">
        <w:rPr>
          <w:rFonts w:ascii="Verdana" w:hAnsi="Verdana"/>
          <w:sz w:val="20"/>
          <w:lang w:val="pt-BR"/>
        </w:rPr>
        <w:t xml:space="preserve">ção dos </w:t>
      </w:r>
      <w:r w:rsidR="00AB454A" w:rsidRPr="002F50BD">
        <w:rPr>
          <w:rFonts w:ascii="Verdana" w:hAnsi="Verdana"/>
          <w:sz w:val="20"/>
          <w:lang w:val="pt-BR"/>
        </w:rPr>
        <w:t>assentamento</w:t>
      </w:r>
      <w:r w:rsidR="004756C1" w:rsidRPr="002F50BD">
        <w:rPr>
          <w:rFonts w:ascii="Verdana" w:hAnsi="Verdana"/>
          <w:sz w:val="20"/>
          <w:lang w:val="pt-BR"/>
        </w:rPr>
        <w:t>s</w:t>
      </w:r>
      <w:r w:rsidR="0089298C" w:rsidRPr="002F50BD">
        <w:rPr>
          <w:rFonts w:ascii="Verdana" w:hAnsi="Verdana"/>
          <w:sz w:val="20"/>
          <w:lang w:val="pt-BR"/>
        </w:rPr>
        <w:t xml:space="preserve"> das </w:t>
      </w:r>
      <w:r w:rsidR="004756C1" w:rsidRPr="002F50BD">
        <w:rPr>
          <w:rFonts w:ascii="Verdana" w:hAnsi="Verdana"/>
          <w:sz w:val="20"/>
          <w:lang w:val="pt-BR"/>
        </w:rPr>
        <w:t>comunidades indígenas,</w:t>
      </w:r>
      <w:r w:rsidR="0089298C" w:rsidRPr="002F50BD">
        <w:rPr>
          <w:rFonts w:ascii="Verdana" w:hAnsi="Verdana"/>
          <w:sz w:val="20"/>
          <w:lang w:val="pt-BR"/>
        </w:rPr>
        <w:t xml:space="preserve"> em seu artigo </w:t>
      </w:r>
      <w:r w:rsidRPr="002F50BD">
        <w:rPr>
          <w:rFonts w:ascii="Verdana" w:hAnsi="Verdana"/>
          <w:sz w:val="20"/>
          <w:lang w:val="pt-BR"/>
        </w:rPr>
        <w:t>4</w:t>
      </w:r>
      <w:r w:rsidR="004756C1" w:rsidRPr="002F50BD">
        <w:rPr>
          <w:rFonts w:ascii="Verdana" w:hAnsi="Verdana"/>
          <w:sz w:val="20"/>
          <w:lang w:val="pt-BR"/>
        </w:rPr>
        <w:t>º</w:t>
      </w:r>
      <w:r w:rsidR="00E208D9"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 “Durante</w:t>
      </w:r>
      <w:r w:rsidR="0089298C" w:rsidRPr="002F50BD">
        <w:rPr>
          <w:rFonts w:ascii="Verdana" w:hAnsi="Verdana"/>
          <w:sz w:val="20"/>
          <w:lang w:val="pt-BR"/>
        </w:rPr>
        <w:t xml:space="preserve"> a </w:t>
      </w:r>
      <w:r w:rsidR="004756C1" w:rsidRPr="002F50BD">
        <w:rPr>
          <w:rFonts w:ascii="Verdana" w:hAnsi="Verdana"/>
          <w:sz w:val="20"/>
          <w:lang w:val="pt-BR"/>
        </w:rPr>
        <w:t>tramita</w:t>
      </w:r>
      <w:r w:rsidR="0089298C" w:rsidRPr="002F50BD">
        <w:rPr>
          <w:rFonts w:ascii="Verdana" w:hAnsi="Verdana"/>
          <w:sz w:val="20"/>
          <w:lang w:val="pt-BR"/>
        </w:rPr>
        <w:t>ção</w:t>
      </w:r>
      <w:r w:rsidR="004756C1" w:rsidRPr="002F50BD">
        <w:rPr>
          <w:rFonts w:ascii="Verdana" w:hAnsi="Verdana"/>
          <w:sz w:val="20"/>
          <w:lang w:val="pt-BR"/>
        </w:rPr>
        <w:t xml:space="preserve"> administrativa</w:t>
      </w:r>
      <w:r w:rsidR="0089298C" w:rsidRPr="002F50BD">
        <w:rPr>
          <w:rFonts w:ascii="Verdana" w:hAnsi="Verdana"/>
          <w:sz w:val="20"/>
          <w:lang w:val="pt-BR"/>
        </w:rPr>
        <w:t xml:space="preserve"> e </w:t>
      </w:r>
      <w:r w:rsidR="004756C1" w:rsidRPr="002F50BD">
        <w:rPr>
          <w:rFonts w:ascii="Verdana" w:hAnsi="Verdana"/>
          <w:sz w:val="20"/>
          <w:lang w:val="pt-BR"/>
        </w:rPr>
        <w:t>judicial contemplada</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2</w:t>
      </w:r>
      <w:r w:rsidR="004756C1" w:rsidRPr="002F50BD">
        <w:rPr>
          <w:rFonts w:ascii="Verdana" w:hAnsi="Verdana"/>
          <w:sz w:val="20"/>
          <w:lang w:val="pt-BR"/>
        </w:rPr>
        <w:t>º</w:t>
      </w:r>
      <w:r w:rsidR="0089298C" w:rsidRPr="002F50BD">
        <w:rPr>
          <w:rFonts w:ascii="Verdana" w:hAnsi="Verdana"/>
          <w:sz w:val="20"/>
          <w:lang w:val="pt-BR"/>
        </w:rPr>
        <w:t xml:space="preserve"> o </w:t>
      </w:r>
      <w:r w:rsidR="004756C1" w:rsidRPr="002F50BD">
        <w:rPr>
          <w:rFonts w:ascii="Verdana" w:hAnsi="Verdana"/>
          <w:sz w:val="20"/>
          <w:lang w:val="pt-BR"/>
        </w:rPr>
        <w:t xml:space="preserve">Instituto </w:t>
      </w:r>
      <w:r w:rsidR="0089298C" w:rsidRPr="002F50BD">
        <w:rPr>
          <w:rFonts w:ascii="Verdana" w:hAnsi="Verdana"/>
          <w:sz w:val="20"/>
          <w:lang w:val="pt-BR"/>
        </w:rPr>
        <w:t>Paraguai</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 xml:space="preserve">Indígena </w:t>
      </w:r>
      <w:r w:rsidR="00CF451D" w:rsidRPr="00CF451D">
        <w:rPr>
          <w:rFonts w:ascii="Verdana" w:hAnsi="Verdana"/>
          <w:sz w:val="20"/>
          <w:lang w:val="pt-BR"/>
        </w:rPr>
        <w:t>(</w:t>
      </w:r>
      <w:r w:rsidR="004756C1" w:rsidRPr="002F50BD">
        <w:rPr>
          <w:rFonts w:ascii="Verdana" w:hAnsi="Verdana"/>
          <w:sz w:val="20"/>
          <w:lang w:val="pt-BR"/>
        </w:rPr>
        <w:t>INDI</w:t>
      </w:r>
      <w:r w:rsidR="00CF451D" w:rsidRPr="00CF451D">
        <w:rPr>
          <w:rFonts w:ascii="Verdana" w:hAnsi="Verdana"/>
          <w:sz w:val="20"/>
          <w:lang w:val="pt-BR"/>
        </w:rPr>
        <w:t>)</w:t>
      </w:r>
      <w:r w:rsidR="0089298C" w:rsidRPr="002F50BD">
        <w:rPr>
          <w:rFonts w:ascii="Verdana" w:hAnsi="Verdana"/>
          <w:sz w:val="20"/>
          <w:lang w:val="pt-BR"/>
        </w:rPr>
        <w:t xml:space="preserve"> e o </w:t>
      </w:r>
      <w:r w:rsidR="004756C1" w:rsidRPr="002F50BD">
        <w:rPr>
          <w:rFonts w:ascii="Verdana" w:hAnsi="Verdana"/>
          <w:sz w:val="20"/>
          <w:lang w:val="pt-BR"/>
        </w:rPr>
        <w:t xml:space="preserve">Instituto de </w:t>
      </w:r>
      <w:r w:rsidR="00475EBB" w:rsidRPr="002F50BD">
        <w:rPr>
          <w:rFonts w:ascii="Verdana" w:hAnsi="Verdana"/>
          <w:sz w:val="20"/>
          <w:lang w:val="pt-BR"/>
        </w:rPr>
        <w:t>Bem Estar</w:t>
      </w:r>
      <w:r w:rsidR="004756C1" w:rsidRPr="002F50BD">
        <w:rPr>
          <w:rFonts w:ascii="Verdana" w:hAnsi="Verdana"/>
          <w:sz w:val="20"/>
          <w:lang w:val="pt-BR"/>
        </w:rPr>
        <w:t xml:space="preserve"> Rural </w:t>
      </w:r>
      <w:r w:rsidR="00CF451D" w:rsidRPr="00CF451D">
        <w:rPr>
          <w:rFonts w:ascii="Verdana" w:hAnsi="Verdana"/>
          <w:sz w:val="20"/>
          <w:lang w:val="pt-BR"/>
        </w:rPr>
        <w:t>(</w:t>
      </w:r>
      <w:r w:rsidR="004756C1" w:rsidRPr="002F50BD">
        <w:rPr>
          <w:rFonts w:ascii="Verdana" w:hAnsi="Verdana"/>
          <w:sz w:val="20"/>
          <w:lang w:val="pt-BR"/>
        </w:rPr>
        <w:t>IBR</w:t>
      </w:r>
      <w:r w:rsidR="00CF451D" w:rsidRPr="00CF451D">
        <w:rPr>
          <w:rFonts w:ascii="Verdana" w:hAnsi="Verdana"/>
          <w:sz w:val="20"/>
          <w:lang w:val="pt-BR"/>
        </w:rPr>
        <w:t>)</w:t>
      </w:r>
      <w:r w:rsidR="00E208D9"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deverão</w:t>
      </w:r>
      <w:r w:rsidR="004756C1" w:rsidRPr="002F50BD">
        <w:rPr>
          <w:rFonts w:ascii="Verdana" w:hAnsi="Verdana"/>
          <w:sz w:val="20"/>
          <w:lang w:val="pt-BR"/>
        </w:rPr>
        <w:t xml:space="preserve"> </w:t>
      </w:r>
      <w:r w:rsidR="0089298C" w:rsidRPr="002F50BD">
        <w:rPr>
          <w:rFonts w:ascii="Verdana" w:hAnsi="Verdana"/>
          <w:sz w:val="20"/>
          <w:lang w:val="pt-BR"/>
        </w:rPr>
        <w:t>propor</w:t>
      </w:r>
      <w:r w:rsidR="004756C1" w:rsidRPr="002F50BD">
        <w:rPr>
          <w:rFonts w:ascii="Verdana" w:hAnsi="Verdana"/>
          <w:sz w:val="20"/>
          <w:lang w:val="pt-BR"/>
        </w:rPr>
        <w:t xml:space="preserve"> solu</w:t>
      </w:r>
      <w:r w:rsidR="0089298C" w:rsidRPr="002F50BD">
        <w:rPr>
          <w:rFonts w:ascii="Verdana" w:hAnsi="Verdana"/>
          <w:sz w:val="20"/>
          <w:lang w:val="pt-BR"/>
        </w:rPr>
        <w:t>ções</w:t>
      </w:r>
      <w:r w:rsidR="004756C1" w:rsidRPr="002F50BD">
        <w:rPr>
          <w:rFonts w:ascii="Verdana" w:hAnsi="Verdana"/>
          <w:sz w:val="20"/>
          <w:lang w:val="pt-BR"/>
        </w:rPr>
        <w:t xml:space="preserve"> definitivas para</w:t>
      </w:r>
      <w:r w:rsidR="0089298C" w:rsidRPr="002F50BD">
        <w:rPr>
          <w:rFonts w:ascii="Verdana" w:hAnsi="Verdana"/>
          <w:sz w:val="20"/>
          <w:lang w:val="pt-BR"/>
        </w:rPr>
        <w:t xml:space="preserve"> os </w:t>
      </w:r>
      <w:r w:rsidR="00AB454A" w:rsidRPr="002F50BD">
        <w:rPr>
          <w:rFonts w:ascii="Verdana" w:hAnsi="Verdana"/>
          <w:sz w:val="20"/>
          <w:lang w:val="pt-BR"/>
        </w:rPr>
        <w:t>assentamento</w:t>
      </w:r>
      <w:r w:rsidR="004756C1" w:rsidRPr="002F50BD">
        <w:rPr>
          <w:rFonts w:ascii="Verdana" w:hAnsi="Verdana"/>
          <w:sz w:val="20"/>
          <w:lang w:val="pt-BR"/>
        </w:rPr>
        <w:t>s de comunidades indígenas, conforme</w:t>
      </w:r>
      <w:r w:rsidR="0089298C" w:rsidRPr="002F50BD">
        <w:rPr>
          <w:rFonts w:ascii="Verdana" w:hAnsi="Verdana"/>
          <w:sz w:val="20"/>
          <w:lang w:val="pt-BR"/>
        </w:rPr>
        <w:t xml:space="preserve"> </w:t>
      </w:r>
      <w:r w:rsidR="00414ED5" w:rsidRPr="002F50BD">
        <w:rPr>
          <w:rFonts w:ascii="Verdana" w:hAnsi="Verdana"/>
          <w:sz w:val="20"/>
          <w:lang w:val="pt-BR"/>
        </w:rPr>
        <w:t>a</w:t>
      </w:r>
      <w:r w:rsidR="0089298C" w:rsidRPr="002F50BD">
        <w:rPr>
          <w:rFonts w:ascii="Verdana" w:hAnsi="Verdana"/>
          <w:sz w:val="20"/>
          <w:lang w:val="pt-BR"/>
        </w:rPr>
        <w:t xml:space="preserve"> Lei </w:t>
      </w:r>
      <w:r w:rsidRPr="002F50BD">
        <w:rPr>
          <w:rFonts w:ascii="Verdana" w:hAnsi="Verdana"/>
          <w:sz w:val="20"/>
          <w:lang w:val="pt-BR"/>
        </w:rPr>
        <w:t>854</w:t>
      </w:r>
      <w:r w:rsidR="004756C1" w:rsidRPr="002F50BD">
        <w:rPr>
          <w:rFonts w:ascii="Verdana" w:hAnsi="Verdana"/>
          <w:sz w:val="20"/>
          <w:lang w:val="pt-BR"/>
        </w:rPr>
        <w:t>/</w:t>
      </w:r>
      <w:r w:rsidRPr="002F50BD">
        <w:rPr>
          <w:rFonts w:ascii="Verdana" w:hAnsi="Verdana"/>
          <w:sz w:val="20"/>
          <w:lang w:val="pt-BR"/>
        </w:rPr>
        <w:t>63</w:t>
      </w:r>
      <w:r w:rsidR="00E208D9" w:rsidRPr="002F50BD">
        <w:rPr>
          <w:rFonts w:ascii="Verdana" w:hAnsi="Verdana"/>
          <w:sz w:val="20"/>
          <w:lang w:val="pt-BR"/>
        </w:rPr>
        <w:t>,</w:t>
      </w:r>
      <w:r w:rsidR="004756C1" w:rsidRPr="002F50BD">
        <w:rPr>
          <w:rFonts w:ascii="Verdana" w:hAnsi="Verdana"/>
          <w:sz w:val="20"/>
          <w:lang w:val="pt-BR"/>
        </w:rPr>
        <w:t xml:space="preserve"> Estatuto </w:t>
      </w:r>
      <w:r w:rsidR="00D95E71" w:rsidRPr="002F50BD">
        <w:rPr>
          <w:rFonts w:ascii="Verdana" w:hAnsi="Verdana"/>
          <w:sz w:val="20"/>
          <w:lang w:val="pt-BR"/>
        </w:rPr>
        <w:t>Agrário</w:t>
      </w:r>
      <w:r w:rsidR="00414ED5" w:rsidRPr="002F50BD">
        <w:rPr>
          <w:rFonts w:ascii="Verdana" w:hAnsi="Verdana"/>
          <w:sz w:val="20"/>
          <w:lang w:val="pt-BR"/>
        </w:rPr>
        <w:t>,</w:t>
      </w:r>
      <w:r w:rsidR="0089298C" w:rsidRPr="002F50BD">
        <w:rPr>
          <w:rFonts w:ascii="Verdana" w:hAnsi="Verdana"/>
          <w:sz w:val="20"/>
          <w:lang w:val="pt-BR"/>
        </w:rPr>
        <w:t xml:space="preserve"> e a Lei </w:t>
      </w:r>
      <w:r w:rsidRPr="002F50BD">
        <w:rPr>
          <w:rFonts w:ascii="Verdana" w:hAnsi="Verdana"/>
          <w:sz w:val="20"/>
          <w:lang w:val="pt-BR"/>
        </w:rPr>
        <w:t>904</w:t>
      </w:r>
      <w:r w:rsidR="004756C1" w:rsidRPr="002F50BD">
        <w:rPr>
          <w:rFonts w:ascii="Verdana" w:hAnsi="Verdana"/>
          <w:sz w:val="20"/>
          <w:lang w:val="pt-BR"/>
        </w:rPr>
        <w:t>/</w:t>
      </w:r>
      <w:r w:rsidRPr="002F50BD">
        <w:rPr>
          <w:rFonts w:ascii="Verdana" w:hAnsi="Verdana"/>
          <w:sz w:val="20"/>
          <w:lang w:val="pt-BR"/>
        </w:rPr>
        <w:t>81</w:t>
      </w:r>
      <w:r w:rsidR="004756C1" w:rsidRPr="002F50BD">
        <w:rPr>
          <w:rFonts w:ascii="Verdana" w:hAnsi="Verdana"/>
          <w:sz w:val="20"/>
          <w:lang w:val="pt-BR"/>
        </w:rPr>
        <w:t>, Estatuto</w:t>
      </w:r>
      <w:r w:rsidR="0089298C" w:rsidRPr="002F50BD">
        <w:rPr>
          <w:rFonts w:ascii="Verdana" w:hAnsi="Verdana"/>
          <w:sz w:val="20"/>
          <w:lang w:val="pt-BR"/>
        </w:rPr>
        <w:t xml:space="preserve"> das </w:t>
      </w:r>
      <w:r w:rsidR="004756C1" w:rsidRPr="002F50BD">
        <w:rPr>
          <w:rFonts w:ascii="Verdana" w:hAnsi="Verdana"/>
          <w:sz w:val="20"/>
          <w:lang w:val="pt-BR"/>
        </w:rPr>
        <w:t>Comunidades Indígenas, propondo</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89298C" w:rsidRPr="002F50BD">
        <w:rPr>
          <w:rFonts w:ascii="Verdana" w:hAnsi="Verdana"/>
          <w:sz w:val="20"/>
          <w:lang w:val="pt-BR"/>
        </w:rPr>
        <w:t xml:space="preserve">acordo </w:t>
      </w:r>
      <w:r w:rsidR="00414ED5" w:rsidRPr="002F50BD">
        <w:rPr>
          <w:rFonts w:ascii="Verdana" w:hAnsi="Verdana"/>
          <w:sz w:val="20"/>
          <w:lang w:val="pt-BR"/>
        </w:rPr>
        <w:t xml:space="preserve">com </w:t>
      </w:r>
      <w:r w:rsidR="0089298C" w:rsidRPr="002F50BD">
        <w:rPr>
          <w:rFonts w:ascii="Verdana" w:hAnsi="Verdana"/>
          <w:sz w:val="20"/>
          <w:lang w:val="pt-BR"/>
        </w:rPr>
        <w:t>o artigo</w:t>
      </w:r>
      <w:r w:rsidR="004756C1" w:rsidRPr="002F50BD">
        <w:rPr>
          <w:rFonts w:ascii="Verdana" w:hAnsi="Verdana"/>
          <w:sz w:val="20"/>
          <w:lang w:val="pt-BR"/>
        </w:rPr>
        <w:t xml:space="preserve"> </w:t>
      </w:r>
      <w:r w:rsidRPr="002F50BD">
        <w:rPr>
          <w:rFonts w:ascii="Verdana" w:hAnsi="Verdana"/>
          <w:sz w:val="20"/>
          <w:lang w:val="pt-BR"/>
        </w:rPr>
        <w:t>1</w:t>
      </w:r>
      <w:r w:rsidR="004756C1" w:rsidRPr="002F50BD">
        <w:rPr>
          <w:rFonts w:ascii="Verdana" w:hAnsi="Verdana"/>
          <w:sz w:val="20"/>
          <w:lang w:val="pt-BR"/>
        </w:rPr>
        <w:t>º</w:t>
      </w:r>
      <w:r w:rsidR="0089298C" w:rsidRPr="002F50BD">
        <w:rPr>
          <w:rFonts w:ascii="Verdana" w:hAnsi="Verdana"/>
          <w:sz w:val="20"/>
          <w:lang w:val="pt-BR"/>
        </w:rPr>
        <w:t xml:space="preserve"> da Lei </w:t>
      </w:r>
      <w:r w:rsidRPr="002F50BD">
        <w:rPr>
          <w:rFonts w:ascii="Verdana" w:hAnsi="Verdana"/>
          <w:sz w:val="20"/>
          <w:lang w:val="pt-BR"/>
        </w:rPr>
        <w:t>1372</w:t>
      </w:r>
      <w:r w:rsidR="004756C1" w:rsidRPr="002F50BD">
        <w:rPr>
          <w:rFonts w:ascii="Verdana" w:hAnsi="Verdana"/>
          <w:sz w:val="20"/>
          <w:lang w:val="pt-BR"/>
        </w:rPr>
        <w:t>/</w:t>
      </w:r>
      <w:r w:rsidRPr="002F50BD">
        <w:rPr>
          <w:rFonts w:ascii="Verdana" w:hAnsi="Verdana"/>
          <w:sz w:val="20"/>
          <w:lang w:val="pt-BR"/>
        </w:rPr>
        <w:t>88</w:t>
      </w:r>
      <w:r w:rsidR="004756C1" w:rsidRPr="002F50BD">
        <w:rPr>
          <w:rFonts w:ascii="Verdana" w:hAnsi="Verdana"/>
          <w:sz w:val="20"/>
          <w:lang w:val="pt-BR"/>
        </w:rPr>
        <w:t xml:space="preserve"> </w:t>
      </w:r>
      <w:r w:rsidR="0089298C" w:rsidRPr="002F50BD">
        <w:rPr>
          <w:rFonts w:ascii="Verdana" w:hAnsi="Verdana"/>
          <w:sz w:val="20"/>
          <w:lang w:val="pt-BR"/>
        </w:rPr>
        <w:t>quando</w:t>
      </w:r>
      <w:r w:rsidR="004756C1" w:rsidRPr="002F50BD">
        <w:rPr>
          <w:rFonts w:ascii="Verdana" w:hAnsi="Verdana"/>
          <w:sz w:val="20"/>
          <w:lang w:val="pt-BR"/>
        </w:rPr>
        <w:t xml:space="preserve"> n</w:t>
      </w:r>
      <w:r w:rsidR="00414ED5" w:rsidRPr="002F50BD">
        <w:rPr>
          <w:rFonts w:ascii="Verdana" w:hAnsi="Verdana"/>
          <w:sz w:val="20"/>
          <w:lang w:val="pt-BR"/>
        </w:rPr>
        <w:t>ã</w:t>
      </w:r>
      <w:r w:rsidR="004756C1" w:rsidRPr="002F50BD">
        <w:rPr>
          <w:rFonts w:ascii="Verdana" w:hAnsi="Verdana"/>
          <w:sz w:val="20"/>
          <w:lang w:val="pt-BR"/>
        </w:rPr>
        <w:t>o se ob</w:t>
      </w:r>
      <w:r w:rsidR="0089298C" w:rsidRPr="002F50BD">
        <w:rPr>
          <w:rFonts w:ascii="Verdana" w:hAnsi="Verdana"/>
          <w:sz w:val="20"/>
          <w:lang w:val="pt-BR"/>
        </w:rPr>
        <w:t xml:space="preserve">tenham </w:t>
      </w:r>
      <w:r w:rsidR="00414ED5" w:rsidRPr="002F50BD">
        <w:rPr>
          <w:rFonts w:ascii="Verdana" w:hAnsi="Verdana"/>
          <w:sz w:val="20"/>
          <w:lang w:val="pt-BR"/>
        </w:rPr>
        <w:t xml:space="preserve">soluções </w:t>
      </w:r>
      <w:r w:rsidR="004756C1" w:rsidRPr="002F50BD">
        <w:rPr>
          <w:rFonts w:ascii="Verdana" w:hAnsi="Verdana"/>
          <w:sz w:val="20"/>
          <w:lang w:val="pt-BR"/>
        </w:rPr>
        <w:t xml:space="preserve">por </w:t>
      </w:r>
      <w:r w:rsidR="0089298C" w:rsidRPr="002F50BD">
        <w:rPr>
          <w:rFonts w:ascii="Verdana" w:hAnsi="Verdana"/>
          <w:sz w:val="20"/>
          <w:lang w:val="pt-BR"/>
        </w:rPr>
        <w:t>outra</w:t>
      </w:r>
      <w:r w:rsidR="004756C1" w:rsidRPr="002F50BD">
        <w:rPr>
          <w:rFonts w:ascii="Verdana" w:hAnsi="Verdana"/>
          <w:sz w:val="20"/>
          <w:lang w:val="pt-BR"/>
        </w:rPr>
        <w:t>s</w:t>
      </w:r>
      <w:r w:rsidR="006603BE" w:rsidRPr="002F50BD">
        <w:rPr>
          <w:rFonts w:ascii="Verdana" w:hAnsi="Verdana"/>
          <w:sz w:val="20"/>
          <w:lang w:val="pt-BR"/>
        </w:rPr>
        <w:t xml:space="preserve"> vias </w:t>
      </w:r>
      <w:r w:rsidR="004756C1" w:rsidRPr="002F50BD">
        <w:rPr>
          <w:rFonts w:ascii="Verdana" w:hAnsi="Verdana"/>
          <w:sz w:val="20"/>
          <w:lang w:val="pt-BR"/>
        </w:rPr>
        <w:t>previstas”</w:t>
      </w:r>
      <w:r w:rsidR="00414ED5" w:rsidRPr="002F50BD">
        <w:rPr>
          <w:rFonts w:ascii="Verdana" w:hAnsi="Verdana"/>
          <w:sz w:val="20"/>
          <w:lang w:val="pt-BR"/>
        </w:rPr>
        <w:t>.</w:t>
      </w:r>
      <w:r w:rsidR="004756C1" w:rsidRPr="002F50BD">
        <w:rPr>
          <w:rStyle w:val="FootnoteReference"/>
          <w:rFonts w:ascii="Verdana" w:hAnsi="Verdana"/>
        </w:rPr>
        <w:footnoteReference w:id="243"/>
      </w:r>
    </w:p>
    <w:p w:rsidR="004756C1" w:rsidRPr="002F50BD" w:rsidRDefault="004756C1">
      <w:pPr>
        <w:jc w:val="both"/>
        <w:rPr>
          <w:rFonts w:ascii="Verdana" w:hAnsi="Verdana"/>
          <w:sz w:val="20"/>
          <w:lang w:val="pt-BR"/>
        </w:rPr>
      </w:pPr>
    </w:p>
    <w:p w:rsidR="004756C1" w:rsidRPr="002F50BD" w:rsidRDefault="004756C1">
      <w:pPr>
        <w:pStyle w:val="BodyText"/>
        <w:rPr>
          <w:rFonts w:ascii="Verdana" w:hAnsi="Verdana"/>
          <w:sz w:val="20"/>
          <w:lang w:val="pt-BR"/>
        </w:rPr>
      </w:pPr>
      <w:r w:rsidRPr="002F50BD">
        <w:rPr>
          <w:rFonts w:ascii="Verdana" w:hAnsi="Verdana"/>
          <w:sz w:val="20"/>
          <w:lang w:val="pt-BR"/>
        </w:rPr>
        <w:t>Tanto</w:t>
      </w:r>
      <w:r w:rsidR="0089298C" w:rsidRPr="002F50BD">
        <w:rPr>
          <w:rFonts w:ascii="Verdana" w:hAnsi="Verdana"/>
          <w:sz w:val="20"/>
          <w:lang w:val="pt-BR"/>
        </w:rPr>
        <w:t xml:space="preserve"> as </w:t>
      </w:r>
      <w:r w:rsidRPr="002F50BD">
        <w:rPr>
          <w:rFonts w:ascii="Verdana" w:hAnsi="Verdana"/>
          <w:sz w:val="20"/>
          <w:lang w:val="pt-BR"/>
        </w:rPr>
        <w:t>disposi</w:t>
      </w:r>
      <w:r w:rsidR="0089298C" w:rsidRPr="002F50BD">
        <w:rPr>
          <w:rFonts w:ascii="Verdana" w:hAnsi="Verdana"/>
          <w:sz w:val="20"/>
          <w:lang w:val="pt-BR"/>
        </w:rPr>
        <w:t xml:space="preserve">ções da Lei </w:t>
      </w:r>
      <w:r w:rsidR="00063B47" w:rsidRPr="002F50BD">
        <w:rPr>
          <w:rFonts w:ascii="Verdana" w:hAnsi="Verdana"/>
          <w:sz w:val="20"/>
          <w:lang w:val="pt-BR"/>
        </w:rPr>
        <w:t>904</w:t>
      </w:r>
      <w:r w:rsidRPr="002F50BD">
        <w:rPr>
          <w:rFonts w:ascii="Verdana" w:hAnsi="Verdana"/>
          <w:sz w:val="20"/>
          <w:lang w:val="pt-BR"/>
        </w:rPr>
        <w:t>, como</w:t>
      </w:r>
      <w:r w:rsidR="0089298C" w:rsidRPr="002F50BD">
        <w:rPr>
          <w:rFonts w:ascii="Verdana" w:hAnsi="Verdana"/>
          <w:sz w:val="20"/>
          <w:lang w:val="pt-BR"/>
        </w:rPr>
        <w:t xml:space="preserve"> as da Lei </w:t>
      </w:r>
      <w:r w:rsidR="00063B47" w:rsidRPr="002F50BD">
        <w:rPr>
          <w:rFonts w:ascii="Verdana" w:hAnsi="Verdana"/>
          <w:sz w:val="20"/>
          <w:lang w:val="pt-BR"/>
        </w:rPr>
        <w:t>43</w:t>
      </w:r>
      <w:r w:rsidRPr="002F50BD">
        <w:rPr>
          <w:rFonts w:ascii="Verdana" w:hAnsi="Verdana"/>
          <w:sz w:val="20"/>
          <w:lang w:val="pt-BR"/>
        </w:rPr>
        <w:t>/</w:t>
      </w:r>
      <w:r w:rsidR="00063B47" w:rsidRPr="002F50BD">
        <w:rPr>
          <w:rFonts w:ascii="Verdana" w:hAnsi="Verdana"/>
          <w:sz w:val="20"/>
          <w:lang w:val="pt-BR"/>
        </w:rPr>
        <w:t>89</w:t>
      </w:r>
      <w:r w:rsidR="00CE1AC8" w:rsidRPr="002F50BD">
        <w:rPr>
          <w:rFonts w:ascii="Verdana" w:hAnsi="Verdana"/>
          <w:sz w:val="20"/>
          <w:lang w:val="pt-BR"/>
        </w:rPr>
        <w:t>,</w:t>
      </w:r>
      <w:r w:rsidRPr="002F50BD">
        <w:rPr>
          <w:rFonts w:ascii="Verdana" w:hAnsi="Verdana"/>
          <w:sz w:val="20"/>
          <w:lang w:val="pt-BR"/>
        </w:rPr>
        <w:t xml:space="preserve"> </w:t>
      </w:r>
      <w:r w:rsidR="0089298C" w:rsidRPr="002F50BD">
        <w:rPr>
          <w:rFonts w:ascii="Verdana" w:hAnsi="Verdana"/>
          <w:sz w:val="20"/>
          <w:lang w:val="pt-BR"/>
        </w:rPr>
        <w:t>estabelecem</w:t>
      </w:r>
      <w:r w:rsidRPr="002F50BD">
        <w:rPr>
          <w:rFonts w:ascii="Verdana" w:hAnsi="Verdana"/>
          <w:sz w:val="20"/>
          <w:lang w:val="pt-BR"/>
        </w:rPr>
        <w:t>,</w:t>
      </w:r>
      <w:r w:rsidR="0089298C" w:rsidRPr="002F50BD">
        <w:rPr>
          <w:rFonts w:ascii="Verdana" w:hAnsi="Verdana"/>
          <w:sz w:val="20"/>
          <w:lang w:val="pt-BR"/>
        </w:rPr>
        <w:t xml:space="preserve"> </w:t>
      </w:r>
      <w:r w:rsidR="00414ED5" w:rsidRPr="002F50BD">
        <w:rPr>
          <w:rFonts w:ascii="Verdana" w:hAnsi="Verdana"/>
          <w:sz w:val="20"/>
          <w:lang w:val="pt-BR"/>
        </w:rPr>
        <w:t>na</w:t>
      </w:r>
      <w:r w:rsidR="0089298C" w:rsidRPr="002F50BD">
        <w:rPr>
          <w:rFonts w:ascii="Verdana" w:hAnsi="Verdana"/>
          <w:sz w:val="20"/>
          <w:lang w:val="pt-BR"/>
        </w:rPr>
        <w:t xml:space="preserve"> ausência</w:t>
      </w:r>
      <w:r w:rsidRPr="002F50BD">
        <w:rPr>
          <w:rFonts w:ascii="Verdana" w:hAnsi="Verdana"/>
          <w:sz w:val="20"/>
          <w:lang w:val="pt-BR"/>
        </w:rPr>
        <w:t xml:space="preserve"> de contrato de </w:t>
      </w:r>
      <w:r w:rsidR="0089298C" w:rsidRPr="002F50BD">
        <w:rPr>
          <w:rFonts w:ascii="Verdana" w:hAnsi="Verdana"/>
          <w:sz w:val="20"/>
          <w:lang w:val="pt-BR"/>
        </w:rPr>
        <w:t xml:space="preserve">acordo com o </w:t>
      </w:r>
      <w:r w:rsidR="007801FA" w:rsidRPr="002F50BD">
        <w:rPr>
          <w:rFonts w:ascii="Verdana" w:hAnsi="Verdana"/>
          <w:sz w:val="20"/>
          <w:lang w:val="pt-BR"/>
        </w:rPr>
        <w:t>proprietário</w:t>
      </w:r>
      <w:r w:rsidRPr="002F50BD">
        <w:rPr>
          <w:rFonts w:ascii="Verdana" w:hAnsi="Verdana"/>
          <w:sz w:val="20"/>
          <w:lang w:val="pt-BR"/>
        </w:rPr>
        <w:t xml:space="preserve">, </w:t>
      </w:r>
      <w:r w:rsidR="0089298C" w:rsidRPr="002F50BD">
        <w:rPr>
          <w:rFonts w:ascii="Verdana" w:hAnsi="Verdana"/>
          <w:sz w:val="20"/>
          <w:lang w:val="pt-BR"/>
        </w:rPr>
        <w:t xml:space="preserve">a </w:t>
      </w:r>
      <w:r w:rsidR="00DB51F0" w:rsidRPr="002F50BD">
        <w:rPr>
          <w:rFonts w:ascii="Verdana" w:hAnsi="Verdana"/>
          <w:sz w:val="20"/>
          <w:lang w:val="pt-BR"/>
        </w:rPr>
        <w:t>expropriação</w:t>
      </w:r>
      <w:r w:rsidRPr="002F50BD">
        <w:rPr>
          <w:rFonts w:ascii="Verdana" w:hAnsi="Verdana"/>
          <w:sz w:val="20"/>
          <w:lang w:val="pt-BR"/>
        </w:rPr>
        <w:t xml:space="preserve"> como</w:t>
      </w:r>
      <w:r w:rsidR="006603BE" w:rsidRPr="002F50BD">
        <w:rPr>
          <w:rFonts w:ascii="Verdana" w:hAnsi="Verdana"/>
          <w:sz w:val="20"/>
          <w:lang w:val="pt-BR"/>
        </w:rPr>
        <w:t xml:space="preserve"> via </w:t>
      </w:r>
      <w:r w:rsidRPr="002F50BD">
        <w:rPr>
          <w:rFonts w:ascii="Verdana" w:hAnsi="Verdana"/>
          <w:sz w:val="20"/>
          <w:lang w:val="pt-BR"/>
        </w:rPr>
        <w:t>para regularizar</w:t>
      </w:r>
      <w:r w:rsidR="0089298C" w:rsidRPr="002F50BD">
        <w:rPr>
          <w:rFonts w:ascii="Verdana" w:hAnsi="Verdana"/>
          <w:sz w:val="20"/>
          <w:lang w:val="pt-BR"/>
        </w:rPr>
        <w:t xml:space="preserve"> os </w:t>
      </w:r>
      <w:r w:rsidR="00AB454A" w:rsidRPr="002F50BD">
        <w:rPr>
          <w:rFonts w:ascii="Verdana" w:hAnsi="Verdana"/>
          <w:sz w:val="20"/>
          <w:lang w:val="pt-BR"/>
        </w:rPr>
        <w:t>assentamento</w:t>
      </w:r>
      <w:r w:rsidRPr="002F50BD">
        <w:rPr>
          <w:rFonts w:ascii="Verdana" w:hAnsi="Verdana"/>
          <w:sz w:val="20"/>
          <w:lang w:val="pt-BR"/>
        </w:rPr>
        <w:t>s</w:t>
      </w:r>
      <w:r w:rsidR="0089298C" w:rsidRPr="002F50BD">
        <w:rPr>
          <w:rFonts w:ascii="Verdana" w:hAnsi="Verdana"/>
          <w:sz w:val="20"/>
          <w:lang w:val="pt-BR"/>
        </w:rPr>
        <w:t xml:space="preserve"> das </w:t>
      </w:r>
      <w:r w:rsidRPr="002F50BD">
        <w:rPr>
          <w:rFonts w:ascii="Verdana" w:hAnsi="Verdana"/>
          <w:sz w:val="20"/>
          <w:lang w:val="pt-BR"/>
        </w:rPr>
        <w:t xml:space="preserve">comunidades indígenas </w:t>
      </w:r>
      <w:r w:rsidR="0089298C" w:rsidRPr="002F50BD">
        <w:rPr>
          <w:rFonts w:ascii="Verdana" w:hAnsi="Verdana"/>
          <w:sz w:val="20"/>
          <w:lang w:val="pt-BR"/>
        </w:rPr>
        <w:t>estabelecid</w:t>
      </w:r>
      <w:r w:rsidRPr="002F50BD">
        <w:rPr>
          <w:rFonts w:ascii="Verdana" w:hAnsi="Verdana"/>
          <w:sz w:val="20"/>
          <w:lang w:val="pt-BR"/>
        </w:rPr>
        <w:t>as</w:t>
      </w:r>
      <w:r w:rsidR="0089298C" w:rsidRPr="002F50BD">
        <w:rPr>
          <w:rFonts w:ascii="Verdana" w:hAnsi="Verdana"/>
          <w:sz w:val="20"/>
          <w:lang w:val="pt-BR"/>
        </w:rPr>
        <w:t xml:space="preserve"> em terra</w:t>
      </w:r>
      <w:r w:rsidRPr="002F50BD">
        <w:rPr>
          <w:rFonts w:ascii="Verdana" w:hAnsi="Verdana"/>
          <w:sz w:val="20"/>
          <w:lang w:val="pt-BR"/>
        </w:rPr>
        <w:t xml:space="preserve">s </w:t>
      </w:r>
      <w:r w:rsidR="0089298C" w:rsidRPr="002F50BD">
        <w:rPr>
          <w:rFonts w:ascii="Verdana" w:hAnsi="Verdana"/>
          <w:sz w:val="20"/>
          <w:lang w:val="pt-BR"/>
        </w:rPr>
        <w:t>d</w:t>
      </w:r>
      <w:r w:rsidR="00414ED5" w:rsidRPr="002F50BD">
        <w:rPr>
          <w:rFonts w:ascii="Verdana" w:hAnsi="Verdana"/>
          <w:sz w:val="20"/>
          <w:lang w:val="pt-BR"/>
        </w:rPr>
        <w:t>e</w:t>
      </w:r>
      <w:r w:rsidR="0089298C" w:rsidRPr="002F50BD">
        <w:rPr>
          <w:rFonts w:ascii="Verdana" w:hAnsi="Verdana"/>
          <w:sz w:val="20"/>
          <w:lang w:val="pt-BR"/>
        </w:rPr>
        <w:t xml:space="preserve"> </w:t>
      </w:r>
      <w:r w:rsidR="00D95E71" w:rsidRPr="002F50BD">
        <w:rPr>
          <w:rFonts w:ascii="Verdana" w:hAnsi="Verdana"/>
          <w:sz w:val="20"/>
          <w:lang w:val="pt-BR"/>
        </w:rPr>
        <w:t xml:space="preserve">domínio </w:t>
      </w:r>
      <w:r w:rsidRPr="002F50BD">
        <w:rPr>
          <w:rFonts w:ascii="Verdana" w:hAnsi="Verdana"/>
          <w:sz w:val="20"/>
          <w:lang w:val="pt-BR"/>
        </w:rPr>
        <w:t>privado. Estas disposi</w:t>
      </w:r>
      <w:r w:rsidR="0089298C" w:rsidRPr="002F50BD">
        <w:rPr>
          <w:rFonts w:ascii="Verdana" w:hAnsi="Verdana"/>
          <w:sz w:val="20"/>
          <w:lang w:val="pt-BR"/>
        </w:rPr>
        <w:t xml:space="preserve">ções </w:t>
      </w:r>
      <w:r w:rsidR="003D30EB" w:rsidRPr="002F50BD">
        <w:rPr>
          <w:rFonts w:ascii="Verdana" w:hAnsi="Verdana"/>
          <w:sz w:val="20"/>
          <w:lang w:val="pt-BR"/>
        </w:rPr>
        <w:t>estão em consonância com as</w:t>
      </w:r>
      <w:r w:rsidR="00414ED5" w:rsidRPr="002F50BD">
        <w:rPr>
          <w:rFonts w:ascii="Verdana" w:hAnsi="Verdana"/>
          <w:sz w:val="20"/>
          <w:lang w:val="pt-BR"/>
        </w:rPr>
        <w:t xml:space="preserve"> </w:t>
      </w:r>
      <w:r w:rsidRPr="002F50BD">
        <w:rPr>
          <w:rFonts w:ascii="Verdana" w:hAnsi="Verdana"/>
          <w:sz w:val="20"/>
          <w:lang w:val="pt-BR"/>
        </w:rPr>
        <w:t xml:space="preserve">normas </w:t>
      </w:r>
      <w:r w:rsidR="0089298C" w:rsidRPr="002F50BD">
        <w:rPr>
          <w:rFonts w:ascii="Verdana" w:hAnsi="Verdana"/>
          <w:sz w:val="20"/>
          <w:lang w:val="pt-BR"/>
        </w:rPr>
        <w:t xml:space="preserve">do </w:t>
      </w:r>
      <w:r w:rsidRPr="002F50BD">
        <w:rPr>
          <w:rFonts w:ascii="Verdana" w:hAnsi="Verdana"/>
          <w:sz w:val="20"/>
          <w:lang w:val="pt-BR"/>
        </w:rPr>
        <w:t xml:space="preserve">Código Civil, que </w:t>
      </w:r>
      <w:r w:rsidR="0089298C" w:rsidRPr="002F50BD">
        <w:rPr>
          <w:rFonts w:ascii="Verdana" w:hAnsi="Verdana"/>
          <w:sz w:val="20"/>
          <w:lang w:val="pt-BR"/>
        </w:rPr>
        <w:t>estabelecem</w:t>
      </w:r>
      <w:r w:rsidRPr="002F50BD">
        <w:rPr>
          <w:rFonts w:ascii="Verdana" w:hAnsi="Verdana"/>
          <w:sz w:val="20"/>
          <w:lang w:val="pt-BR"/>
        </w:rPr>
        <w:t xml:space="preserve"> que</w:t>
      </w:r>
      <w:r w:rsidR="0089298C" w:rsidRPr="002F50BD">
        <w:rPr>
          <w:rFonts w:ascii="Verdana" w:hAnsi="Verdana"/>
          <w:sz w:val="20"/>
          <w:lang w:val="pt-BR"/>
        </w:rPr>
        <w:t xml:space="preserve"> o </w:t>
      </w:r>
      <w:r w:rsidR="00D95E71" w:rsidRPr="002F50BD">
        <w:rPr>
          <w:rFonts w:ascii="Verdana" w:hAnsi="Verdana"/>
          <w:sz w:val="20"/>
          <w:lang w:val="pt-BR"/>
        </w:rPr>
        <w:t xml:space="preserve">domínio </w:t>
      </w:r>
      <w:r w:rsidR="0089298C" w:rsidRPr="002F50BD">
        <w:rPr>
          <w:rFonts w:ascii="Verdana" w:hAnsi="Verdana"/>
          <w:sz w:val="20"/>
          <w:lang w:val="pt-BR"/>
        </w:rPr>
        <w:t xml:space="preserve">dos </w:t>
      </w:r>
      <w:r w:rsidR="000920B2" w:rsidRPr="002F50BD">
        <w:rPr>
          <w:rFonts w:ascii="Verdana" w:hAnsi="Verdana"/>
          <w:sz w:val="20"/>
          <w:lang w:val="pt-BR"/>
        </w:rPr>
        <w:t>imóveis</w:t>
      </w:r>
      <w:r w:rsidRPr="002F50BD">
        <w:rPr>
          <w:rFonts w:ascii="Verdana" w:hAnsi="Verdana"/>
          <w:sz w:val="20"/>
          <w:lang w:val="pt-BR"/>
        </w:rPr>
        <w:t xml:space="preserve"> se p</w:t>
      </w:r>
      <w:r w:rsidR="00414ED5" w:rsidRPr="002F50BD">
        <w:rPr>
          <w:rFonts w:ascii="Verdana" w:hAnsi="Verdana"/>
          <w:sz w:val="20"/>
          <w:lang w:val="pt-BR"/>
        </w:rPr>
        <w:t>e</w:t>
      </w:r>
      <w:r w:rsidRPr="002F50BD">
        <w:rPr>
          <w:rFonts w:ascii="Verdana" w:hAnsi="Verdana"/>
          <w:sz w:val="20"/>
          <w:lang w:val="pt-BR"/>
        </w:rPr>
        <w:t>rde por: a</w:t>
      </w:r>
      <w:r w:rsidR="00CF451D" w:rsidRPr="00CF451D">
        <w:rPr>
          <w:rFonts w:ascii="Verdana" w:hAnsi="Verdana"/>
          <w:sz w:val="20"/>
          <w:lang w:val="pt-BR"/>
        </w:rPr>
        <w:t>)</w:t>
      </w:r>
      <w:r w:rsidRPr="002F50BD">
        <w:rPr>
          <w:rFonts w:ascii="Verdana" w:hAnsi="Verdana"/>
          <w:sz w:val="20"/>
          <w:lang w:val="pt-BR"/>
        </w:rPr>
        <w:t xml:space="preserve"> su</w:t>
      </w:r>
      <w:r w:rsidR="00414ED5" w:rsidRPr="002F50BD">
        <w:rPr>
          <w:rFonts w:ascii="Verdana" w:hAnsi="Verdana"/>
          <w:sz w:val="20"/>
          <w:lang w:val="pt-BR"/>
        </w:rPr>
        <w:t>a</w:t>
      </w:r>
      <w:r w:rsidRPr="002F50BD">
        <w:rPr>
          <w:rFonts w:ascii="Verdana" w:hAnsi="Verdana"/>
          <w:sz w:val="20"/>
          <w:lang w:val="pt-BR"/>
        </w:rPr>
        <w:t xml:space="preserve"> </w:t>
      </w:r>
      <w:r w:rsidR="00414ED5" w:rsidRPr="002F50BD">
        <w:rPr>
          <w:rFonts w:ascii="Verdana" w:hAnsi="Verdana"/>
          <w:sz w:val="20"/>
          <w:lang w:val="pt-BR"/>
        </w:rPr>
        <w:t>alienação</w:t>
      </w:r>
      <w:r w:rsidRPr="002F50BD">
        <w:rPr>
          <w:rFonts w:ascii="Verdana" w:hAnsi="Verdana"/>
          <w:sz w:val="20"/>
          <w:lang w:val="pt-BR"/>
        </w:rPr>
        <w:t>; b</w:t>
      </w:r>
      <w:r w:rsidR="00CF451D" w:rsidRPr="00CF451D">
        <w:rPr>
          <w:rFonts w:ascii="Verdana" w:hAnsi="Verdana"/>
          <w:sz w:val="20"/>
          <w:lang w:val="pt-BR"/>
        </w:rPr>
        <w:t>)</w:t>
      </w:r>
      <w:r w:rsidRPr="002F50BD">
        <w:rPr>
          <w:rFonts w:ascii="Verdana" w:hAnsi="Verdana"/>
          <w:sz w:val="20"/>
          <w:lang w:val="pt-BR"/>
        </w:rPr>
        <w:t xml:space="preserve"> trans</w:t>
      </w:r>
      <w:r w:rsidR="0089298C" w:rsidRPr="002F50BD">
        <w:rPr>
          <w:rFonts w:ascii="Verdana" w:hAnsi="Verdana"/>
          <w:sz w:val="20"/>
          <w:lang w:val="pt-BR"/>
        </w:rPr>
        <w:t>missão</w:t>
      </w:r>
      <w:r w:rsidRPr="002F50BD">
        <w:rPr>
          <w:rFonts w:ascii="Verdana" w:hAnsi="Verdana"/>
          <w:sz w:val="20"/>
          <w:lang w:val="pt-BR"/>
        </w:rPr>
        <w:t xml:space="preserve"> o</w:t>
      </w:r>
      <w:r w:rsidR="00414ED5" w:rsidRPr="002F50BD">
        <w:rPr>
          <w:rFonts w:ascii="Verdana" w:hAnsi="Verdana"/>
          <w:sz w:val="20"/>
          <w:lang w:val="pt-BR"/>
        </w:rPr>
        <w:t>u</w:t>
      </w:r>
      <w:r w:rsidRPr="002F50BD">
        <w:rPr>
          <w:rFonts w:ascii="Verdana" w:hAnsi="Verdana"/>
          <w:sz w:val="20"/>
          <w:lang w:val="pt-BR"/>
        </w:rPr>
        <w:t xml:space="preserve"> declara</w:t>
      </w:r>
      <w:r w:rsidR="0089298C" w:rsidRPr="002F50BD">
        <w:rPr>
          <w:rFonts w:ascii="Verdana" w:hAnsi="Verdana"/>
          <w:sz w:val="20"/>
          <w:lang w:val="pt-BR"/>
        </w:rPr>
        <w:t>ção</w:t>
      </w:r>
      <w:r w:rsidRPr="002F50BD">
        <w:rPr>
          <w:rFonts w:ascii="Verdana" w:hAnsi="Verdana"/>
          <w:sz w:val="20"/>
          <w:lang w:val="pt-BR"/>
        </w:rPr>
        <w:t xml:space="preserve"> judicial; c</w:t>
      </w:r>
      <w:r w:rsidR="00CF451D" w:rsidRPr="00CF451D">
        <w:rPr>
          <w:rFonts w:ascii="Verdana" w:hAnsi="Verdana"/>
          <w:sz w:val="20"/>
          <w:lang w:val="pt-BR"/>
        </w:rPr>
        <w:t>)</w:t>
      </w:r>
      <w:r w:rsidRPr="002F50BD">
        <w:rPr>
          <w:rFonts w:ascii="Verdana" w:hAnsi="Verdana"/>
          <w:sz w:val="20"/>
          <w:lang w:val="pt-BR"/>
        </w:rPr>
        <w:t xml:space="preserve"> </w:t>
      </w:r>
      <w:r w:rsidR="0089298C" w:rsidRPr="002F50BD">
        <w:rPr>
          <w:rFonts w:ascii="Verdana" w:hAnsi="Verdana"/>
          <w:sz w:val="20"/>
          <w:lang w:val="pt-BR"/>
        </w:rPr>
        <w:t>execução</w:t>
      </w:r>
      <w:r w:rsidRPr="002F50BD">
        <w:rPr>
          <w:rFonts w:ascii="Verdana" w:hAnsi="Verdana"/>
          <w:sz w:val="20"/>
          <w:lang w:val="pt-BR"/>
        </w:rPr>
        <w:t xml:space="preserve"> de </w:t>
      </w:r>
      <w:r w:rsidR="0089298C" w:rsidRPr="002F50BD">
        <w:rPr>
          <w:rFonts w:ascii="Verdana" w:hAnsi="Verdana"/>
          <w:sz w:val="20"/>
          <w:lang w:val="pt-BR"/>
        </w:rPr>
        <w:t>sentença</w:t>
      </w:r>
      <w:r w:rsidRPr="002F50BD">
        <w:rPr>
          <w:rFonts w:ascii="Verdana" w:hAnsi="Verdana"/>
          <w:sz w:val="20"/>
          <w:lang w:val="pt-BR"/>
        </w:rPr>
        <w:t>; d</w:t>
      </w:r>
      <w:r w:rsidR="00CF451D" w:rsidRPr="00CF451D">
        <w:rPr>
          <w:rFonts w:ascii="Verdana" w:hAnsi="Verdana"/>
          <w:sz w:val="20"/>
          <w:lang w:val="pt-BR"/>
        </w:rPr>
        <w:t>)</w:t>
      </w:r>
      <w:r w:rsidRPr="002F50BD">
        <w:rPr>
          <w:rFonts w:ascii="Verdana" w:hAnsi="Verdana"/>
          <w:sz w:val="20"/>
          <w:lang w:val="pt-BR"/>
        </w:rPr>
        <w:t xml:space="preserve"> </w:t>
      </w:r>
      <w:r w:rsidR="00DB51F0" w:rsidRPr="002F50BD">
        <w:rPr>
          <w:rFonts w:ascii="Verdana" w:hAnsi="Verdana"/>
          <w:sz w:val="20"/>
          <w:lang w:val="pt-BR"/>
        </w:rPr>
        <w:t>expropriação</w:t>
      </w:r>
      <w:r w:rsidR="0089298C" w:rsidRPr="002F50BD">
        <w:rPr>
          <w:rFonts w:ascii="Verdana" w:hAnsi="Verdana"/>
          <w:sz w:val="20"/>
          <w:lang w:val="pt-BR"/>
        </w:rPr>
        <w:t>; e</w:t>
      </w:r>
      <w:r w:rsidRPr="002F50BD">
        <w:rPr>
          <w:rFonts w:ascii="Verdana" w:hAnsi="Verdana"/>
          <w:sz w:val="20"/>
          <w:lang w:val="pt-BR"/>
        </w:rPr>
        <w:t xml:space="preserve"> d</w:t>
      </w:r>
      <w:r w:rsidR="00CF451D" w:rsidRPr="00CF451D">
        <w:rPr>
          <w:rFonts w:ascii="Verdana" w:hAnsi="Verdana"/>
          <w:sz w:val="20"/>
          <w:lang w:val="pt-BR"/>
        </w:rPr>
        <w:t>)</w:t>
      </w:r>
      <w:r w:rsidRPr="002F50BD">
        <w:rPr>
          <w:rFonts w:ascii="Verdana" w:hAnsi="Verdana"/>
          <w:sz w:val="20"/>
          <w:lang w:val="pt-BR"/>
        </w:rPr>
        <w:t xml:space="preserve"> s</w:t>
      </w:r>
      <w:r w:rsidR="00414ED5" w:rsidRPr="002F50BD">
        <w:rPr>
          <w:rFonts w:ascii="Verdana" w:hAnsi="Verdana"/>
          <w:sz w:val="20"/>
          <w:lang w:val="pt-BR"/>
        </w:rPr>
        <w:t>e</w:t>
      </w:r>
      <w:r w:rsidRPr="002F50BD">
        <w:rPr>
          <w:rFonts w:ascii="Verdana" w:hAnsi="Verdana"/>
          <w:sz w:val="20"/>
          <w:lang w:val="pt-BR"/>
        </w:rPr>
        <w:t>u abandono declarado</w:t>
      </w:r>
      <w:r w:rsidR="0089298C" w:rsidRPr="002F50BD">
        <w:rPr>
          <w:rFonts w:ascii="Verdana" w:hAnsi="Verdana"/>
          <w:sz w:val="20"/>
          <w:lang w:val="pt-BR"/>
        </w:rPr>
        <w:t xml:space="preserve"> em </w:t>
      </w:r>
      <w:r w:rsidRPr="002F50BD">
        <w:rPr>
          <w:rFonts w:ascii="Verdana" w:hAnsi="Verdana"/>
          <w:sz w:val="20"/>
          <w:lang w:val="pt-BR"/>
        </w:rPr>
        <w:t xml:space="preserve">escritura pública, </w:t>
      </w:r>
      <w:r w:rsidR="0089298C" w:rsidRPr="002F50BD">
        <w:rPr>
          <w:rFonts w:ascii="Verdana" w:hAnsi="Verdana"/>
          <w:sz w:val="20"/>
          <w:lang w:val="pt-BR"/>
        </w:rPr>
        <w:t>devidamente</w:t>
      </w:r>
      <w:r w:rsidRPr="002F50BD">
        <w:rPr>
          <w:rFonts w:ascii="Verdana" w:hAnsi="Verdana"/>
          <w:sz w:val="20"/>
          <w:lang w:val="pt-BR"/>
        </w:rPr>
        <w:t xml:space="preserve"> inscrita</w:t>
      </w:r>
      <w:r w:rsidR="0089298C" w:rsidRPr="002F50BD">
        <w:rPr>
          <w:rFonts w:ascii="Verdana" w:hAnsi="Verdana"/>
          <w:sz w:val="20"/>
          <w:lang w:val="pt-BR"/>
        </w:rPr>
        <w:t xml:space="preserve"> no </w:t>
      </w:r>
      <w:r w:rsidRPr="002F50BD">
        <w:rPr>
          <w:rFonts w:ascii="Verdana" w:hAnsi="Verdana"/>
          <w:sz w:val="20"/>
          <w:lang w:val="pt-BR"/>
        </w:rPr>
        <w:t xml:space="preserve">Registro de </w:t>
      </w:r>
      <w:r w:rsidR="000920B2" w:rsidRPr="002F50BD">
        <w:rPr>
          <w:rFonts w:ascii="Verdana" w:hAnsi="Verdana"/>
          <w:sz w:val="20"/>
          <w:lang w:val="pt-BR"/>
        </w:rPr>
        <w:t>Imóveis</w:t>
      </w:r>
      <w:r w:rsidR="0089298C" w:rsidRPr="002F50BD">
        <w:rPr>
          <w:rFonts w:ascii="Verdana" w:hAnsi="Verdana"/>
          <w:sz w:val="20"/>
          <w:lang w:val="pt-BR"/>
        </w:rPr>
        <w:t xml:space="preserve"> e nos demais</w:t>
      </w:r>
      <w:r w:rsidRPr="002F50BD">
        <w:rPr>
          <w:rFonts w:ascii="Verdana" w:hAnsi="Verdana"/>
          <w:sz w:val="20"/>
          <w:lang w:val="pt-BR"/>
        </w:rPr>
        <w:t xml:space="preserve"> casos previstos</w:t>
      </w:r>
      <w:r w:rsidR="0089298C" w:rsidRPr="002F50BD">
        <w:rPr>
          <w:rFonts w:ascii="Verdana" w:hAnsi="Verdana"/>
          <w:sz w:val="20"/>
          <w:lang w:val="pt-BR"/>
        </w:rPr>
        <w:t xml:space="preserve"> em lei </w:t>
      </w:r>
      <w:r w:rsidR="00CF451D" w:rsidRPr="00CF451D">
        <w:rPr>
          <w:rFonts w:ascii="Verdana" w:hAnsi="Verdana"/>
          <w:sz w:val="20"/>
          <w:lang w:val="pt-BR"/>
        </w:rPr>
        <w:t>(</w:t>
      </w:r>
      <w:r w:rsidR="0089298C" w:rsidRPr="002F50BD">
        <w:rPr>
          <w:rFonts w:ascii="Verdana" w:hAnsi="Verdana"/>
          <w:sz w:val="20"/>
          <w:lang w:val="pt-BR"/>
        </w:rPr>
        <w:t>artigo</w:t>
      </w:r>
      <w:r w:rsidRPr="002F50BD">
        <w:rPr>
          <w:rFonts w:ascii="Verdana" w:hAnsi="Verdana"/>
          <w:sz w:val="20"/>
          <w:lang w:val="pt-BR"/>
        </w:rPr>
        <w:t xml:space="preserve"> </w:t>
      </w:r>
      <w:r w:rsidR="00063B47" w:rsidRPr="002F50BD">
        <w:rPr>
          <w:rFonts w:ascii="Verdana" w:hAnsi="Verdana"/>
          <w:sz w:val="20"/>
          <w:lang w:val="pt-BR"/>
        </w:rPr>
        <w:t>1967</w:t>
      </w:r>
      <w:r w:rsidR="00CF451D" w:rsidRPr="00CF451D">
        <w:rPr>
          <w:rFonts w:ascii="Verdana" w:hAnsi="Verdana"/>
          <w:sz w:val="20"/>
          <w:lang w:val="pt-BR"/>
        </w:rPr>
        <w:t>)</w:t>
      </w:r>
      <w:r w:rsidR="00CD7100" w:rsidRPr="002F50BD">
        <w:rPr>
          <w:rFonts w:ascii="Verdana" w:hAnsi="Verdana"/>
          <w:sz w:val="20"/>
          <w:lang w:val="pt-BR"/>
        </w:rPr>
        <w:t xml:space="preserve">. </w:t>
      </w:r>
      <w:r w:rsidR="00414ED5" w:rsidRPr="002F50BD">
        <w:rPr>
          <w:rFonts w:ascii="Verdana" w:hAnsi="Verdana"/>
          <w:sz w:val="20"/>
          <w:lang w:val="pt-BR"/>
        </w:rPr>
        <w:t>O</w:t>
      </w:r>
      <w:r w:rsidR="0089298C" w:rsidRPr="002F50BD">
        <w:rPr>
          <w:rFonts w:ascii="Verdana" w:hAnsi="Verdana"/>
          <w:sz w:val="20"/>
          <w:lang w:val="pt-BR"/>
        </w:rPr>
        <w:t xml:space="preserve"> artigo</w:t>
      </w:r>
      <w:r w:rsidRPr="002F50BD">
        <w:rPr>
          <w:rFonts w:ascii="Verdana" w:hAnsi="Verdana"/>
          <w:sz w:val="20"/>
          <w:lang w:val="pt-BR"/>
        </w:rPr>
        <w:t xml:space="preserve"> </w:t>
      </w:r>
      <w:r w:rsidR="00063B47" w:rsidRPr="002F50BD">
        <w:rPr>
          <w:rFonts w:ascii="Verdana" w:hAnsi="Verdana"/>
          <w:sz w:val="20"/>
          <w:lang w:val="pt-BR"/>
        </w:rPr>
        <w:t>1966</w:t>
      </w:r>
      <w:r w:rsidRPr="002F50BD">
        <w:rPr>
          <w:rFonts w:ascii="Verdana" w:hAnsi="Verdana"/>
          <w:sz w:val="20"/>
          <w:lang w:val="pt-BR"/>
        </w:rPr>
        <w:t xml:space="preserve"> enumera taxativamente</w:t>
      </w:r>
      <w:r w:rsidR="0089298C" w:rsidRPr="002F50BD">
        <w:rPr>
          <w:rFonts w:ascii="Verdana" w:hAnsi="Verdana"/>
          <w:sz w:val="20"/>
          <w:lang w:val="pt-BR"/>
        </w:rPr>
        <w:t xml:space="preserve"> as </w:t>
      </w:r>
      <w:r w:rsidRPr="002F50BD">
        <w:rPr>
          <w:rFonts w:ascii="Verdana" w:hAnsi="Verdana"/>
          <w:sz w:val="20"/>
          <w:lang w:val="pt-BR"/>
        </w:rPr>
        <w:t xml:space="preserve">formas </w:t>
      </w:r>
      <w:r w:rsidR="00414ED5" w:rsidRPr="002F50BD">
        <w:rPr>
          <w:rFonts w:ascii="Verdana" w:hAnsi="Verdana"/>
          <w:sz w:val="20"/>
          <w:lang w:val="pt-BR"/>
        </w:rPr>
        <w:t>para tere</w:t>
      </w:r>
      <w:r w:rsidR="00CE1AC8" w:rsidRPr="002F50BD">
        <w:rPr>
          <w:rFonts w:ascii="Verdana" w:hAnsi="Verdana"/>
          <w:sz w:val="20"/>
          <w:lang w:val="pt-BR"/>
        </w:rPr>
        <w:t>m</w:t>
      </w:r>
      <w:r w:rsidR="00414ED5" w:rsidRPr="002F50BD">
        <w:rPr>
          <w:rFonts w:ascii="Verdana" w:hAnsi="Verdana"/>
          <w:sz w:val="20"/>
          <w:lang w:val="pt-BR"/>
        </w:rPr>
        <w:t xml:space="preserve"> acesso </w:t>
      </w:r>
      <w:r w:rsidR="0089298C" w:rsidRPr="002F50BD">
        <w:rPr>
          <w:rFonts w:ascii="Verdana" w:hAnsi="Verdana"/>
          <w:sz w:val="20"/>
          <w:lang w:val="pt-BR"/>
        </w:rPr>
        <w:t>à propriedade</w:t>
      </w:r>
      <w:r w:rsidRPr="002F50BD">
        <w:rPr>
          <w:rFonts w:ascii="Verdana" w:hAnsi="Verdana"/>
          <w:sz w:val="20"/>
          <w:lang w:val="pt-BR"/>
        </w:rPr>
        <w:t xml:space="preserve"> de </w:t>
      </w:r>
      <w:r w:rsidR="000920B2" w:rsidRPr="002F50BD">
        <w:rPr>
          <w:rFonts w:ascii="Verdana" w:hAnsi="Verdana"/>
          <w:sz w:val="20"/>
          <w:lang w:val="pt-BR"/>
        </w:rPr>
        <w:t>imóveis</w:t>
      </w:r>
      <w:r w:rsidRPr="002F50BD">
        <w:rPr>
          <w:rFonts w:ascii="Verdana" w:hAnsi="Verdana"/>
          <w:sz w:val="20"/>
          <w:lang w:val="pt-BR"/>
        </w:rPr>
        <w:t>: a</w:t>
      </w:r>
      <w:r w:rsidR="00CF451D" w:rsidRPr="00CF451D">
        <w:rPr>
          <w:rFonts w:ascii="Verdana" w:hAnsi="Verdana"/>
          <w:sz w:val="20"/>
          <w:lang w:val="pt-BR"/>
        </w:rPr>
        <w:t>)</w:t>
      </w:r>
      <w:r w:rsidRPr="002F50BD">
        <w:rPr>
          <w:rFonts w:ascii="Verdana" w:hAnsi="Verdana"/>
          <w:sz w:val="20"/>
          <w:lang w:val="pt-BR"/>
        </w:rPr>
        <w:t xml:space="preserve"> contrato; b</w:t>
      </w:r>
      <w:r w:rsidR="00CF451D" w:rsidRPr="00CF451D">
        <w:rPr>
          <w:rFonts w:ascii="Verdana" w:hAnsi="Verdana"/>
          <w:sz w:val="20"/>
          <w:lang w:val="pt-BR"/>
        </w:rPr>
        <w:t>)</w:t>
      </w:r>
      <w:r w:rsidRPr="002F50BD">
        <w:rPr>
          <w:rFonts w:ascii="Verdana" w:hAnsi="Verdana"/>
          <w:sz w:val="20"/>
          <w:lang w:val="pt-BR"/>
        </w:rPr>
        <w:t xml:space="preserve"> </w:t>
      </w:r>
      <w:r w:rsidR="00414ED5" w:rsidRPr="002F50BD">
        <w:rPr>
          <w:rFonts w:ascii="Verdana" w:hAnsi="Verdana"/>
          <w:sz w:val="20"/>
          <w:lang w:val="pt-BR"/>
        </w:rPr>
        <w:t>adesão; c</w:t>
      </w:r>
      <w:r w:rsidR="00CF451D" w:rsidRPr="00CF451D">
        <w:rPr>
          <w:rFonts w:ascii="Verdana" w:hAnsi="Verdana"/>
          <w:sz w:val="20"/>
          <w:lang w:val="pt-BR"/>
        </w:rPr>
        <w:t>)</w:t>
      </w:r>
      <w:r w:rsidR="00414ED5" w:rsidRPr="002F50BD">
        <w:rPr>
          <w:rFonts w:ascii="Verdana" w:hAnsi="Verdana"/>
          <w:sz w:val="20"/>
          <w:lang w:val="pt-BR"/>
        </w:rPr>
        <w:t xml:space="preserve"> </w:t>
      </w:r>
      <w:r w:rsidR="00414ED5" w:rsidRPr="002F50BD">
        <w:rPr>
          <w:rFonts w:ascii="Verdana" w:hAnsi="Verdana"/>
          <w:i/>
          <w:sz w:val="20"/>
          <w:lang w:val="pt-BR"/>
        </w:rPr>
        <w:t>usucapio</w:t>
      </w:r>
      <w:r w:rsidR="0089298C" w:rsidRPr="002F50BD">
        <w:rPr>
          <w:rFonts w:ascii="Verdana" w:hAnsi="Verdana"/>
          <w:sz w:val="20"/>
          <w:lang w:val="pt-BR"/>
        </w:rPr>
        <w:t>; e</w:t>
      </w:r>
      <w:r w:rsidRPr="002F50BD">
        <w:rPr>
          <w:rFonts w:ascii="Verdana" w:hAnsi="Verdana"/>
          <w:sz w:val="20"/>
          <w:lang w:val="pt-BR"/>
        </w:rPr>
        <w:t xml:space="preserve"> d</w:t>
      </w:r>
      <w:r w:rsidR="00CF451D" w:rsidRPr="00CF451D">
        <w:rPr>
          <w:rFonts w:ascii="Verdana" w:hAnsi="Verdana"/>
          <w:sz w:val="20"/>
          <w:lang w:val="pt-BR"/>
        </w:rPr>
        <w:t>)</w:t>
      </w:r>
      <w:r w:rsidRPr="002F50BD">
        <w:rPr>
          <w:rFonts w:ascii="Verdana" w:hAnsi="Verdana"/>
          <w:sz w:val="20"/>
          <w:lang w:val="pt-BR"/>
        </w:rPr>
        <w:t xml:space="preserve"> suces</w:t>
      </w:r>
      <w:r w:rsidR="00414ED5" w:rsidRPr="002F50BD">
        <w:rPr>
          <w:rFonts w:ascii="Verdana" w:hAnsi="Verdana"/>
          <w:sz w:val="20"/>
          <w:lang w:val="pt-BR"/>
        </w:rPr>
        <w:t xml:space="preserve">são </w:t>
      </w:r>
      <w:r w:rsidRPr="002F50BD">
        <w:rPr>
          <w:rFonts w:ascii="Verdana" w:hAnsi="Verdana"/>
          <w:sz w:val="20"/>
          <w:lang w:val="pt-BR"/>
        </w:rPr>
        <w:t>heredit</w:t>
      </w:r>
      <w:r w:rsidR="00414ED5" w:rsidRPr="002F50BD">
        <w:rPr>
          <w:rFonts w:ascii="Verdana" w:hAnsi="Verdana"/>
          <w:sz w:val="20"/>
          <w:lang w:val="pt-BR"/>
        </w:rPr>
        <w:t>á</w:t>
      </w:r>
      <w:r w:rsidRPr="002F50BD">
        <w:rPr>
          <w:rFonts w:ascii="Verdana" w:hAnsi="Verdana"/>
          <w:sz w:val="20"/>
          <w:lang w:val="pt-BR"/>
        </w:rPr>
        <w:t>ria</w:t>
      </w:r>
      <w:r w:rsidR="00414ED5" w:rsidRPr="002F50BD">
        <w:rPr>
          <w:rFonts w:ascii="Verdana" w:hAnsi="Verdana"/>
          <w:sz w:val="20"/>
          <w:lang w:val="pt-BR"/>
        </w:rPr>
        <w:t>.</w:t>
      </w:r>
      <w:r w:rsidRPr="002F50BD">
        <w:rPr>
          <w:rStyle w:val="FootnoteReference"/>
          <w:rFonts w:ascii="Verdana" w:hAnsi="Verdana"/>
        </w:rPr>
        <w:footnoteReference w:id="244"/>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17</w:t>
      </w:r>
      <w:r w:rsidR="004756C1" w:rsidRPr="002F50BD">
        <w:rPr>
          <w:rFonts w:ascii="Verdana" w:hAnsi="Verdana"/>
          <w:sz w:val="20"/>
          <w:lang w:val="pt-BR"/>
        </w:rPr>
        <w:t>.</w:t>
      </w:r>
      <w:r w:rsidR="004756C1" w:rsidRPr="002F50BD">
        <w:rPr>
          <w:rFonts w:ascii="Verdana" w:hAnsi="Verdana"/>
          <w:sz w:val="20"/>
          <w:lang w:val="pt-BR"/>
        </w:rPr>
        <w:tab/>
      </w:r>
      <w:r w:rsidR="00414ED5" w:rsidRPr="002F50BD">
        <w:rPr>
          <w:rFonts w:ascii="Verdana" w:hAnsi="Verdana"/>
          <w:sz w:val="20"/>
          <w:lang w:val="pt-BR"/>
        </w:rPr>
        <w:t>O</w:t>
      </w:r>
      <w:r w:rsidR="0089298C" w:rsidRPr="002F50BD">
        <w:rPr>
          <w:rFonts w:ascii="Verdana" w:hAnsi="Verdana"/>
          <w:sz w:val="20"/>
          <w:lang w:val="pt-BR"/>
        </w:rPr>
        <w:t xml:space="preserve"> artigo</w:t>
      </w:r>
      <w:r w:rsidR="004756C1" w:rsidRPr="002F50BD">
        <w:rPr>
          <w:rFonts w:ascii="Verdana" w:hAnsi="Verdana"/>
          <w:sz w:val="20"/>
          <w:lang w:val="pt-BR"/>
        </w:rPr>
        <w:t xml:space="preserve"> </w:t>
      </w:r>
      <w:r w:rsidRPr="002F50BD">
        <w:rPr>
          <w:rFonts w:ascii="Verdana" w:hAnsi="Verdana"/>
          <w:sz w:val="20"/>
          <w:lang w:val="pt-BR"/>
        </w:rPr>
        <w:t>94</w:t>
      </w:r>
      <w:r w:rsidR="0089298C" w:rsidRPr="002F50BD">
        <w:rPr>
          <w:rFonts w:ascii="Verdana" w:hAnsi="Verdana"/>
          <w:sz w:val="20"/>
          <w:lang w:val="pt-BR"/>
        </w:rPr>
        <w:t xml:space="preserve"> da Lei </w:t>
      </w:r>
      <w:r w:rsidRPr="002F50BD">
        <w:rPr>
          <w:rFonts w:ascii="Verdana" w:hAnsi="Verdana"/>
          <w:sz w:val="20"/>
          <w:lang w:val="pt-BR"/>
        </w:rPr>
        <w:t>1863</w:t>
      </w:r>
      <w:r w:rsidR="004756C1" w:rsidRPr="002F50BD">
        <w:rPr>
          <w:rFonts w:ascii="Verdana" w:hAnsi="Verdana"/>
          <w:sz w:val="20"/>
          <w:lang w:val="pt-BR"/>
        </w:rPr>
        <w:t>/</w:t>
      </w:r>
      <w:r w:rsidRPr="002F50BD">
        <w:rPr>
          <w:rFonts w:ascii="Verdana" w:hAnsi="Verdana"/>
          <w:sz w:val="20"/>
          <w:lang w:val="pt-BR"/>
        </w:rPr>
        <w:t>02</w:t>
      </w:r>
      <w:r w:rsidR="004756C1" w:rsidRPr="002F50BD">
        <w:rPr>
          <w:rFonts w:ascii="Verdana" w:hAnsi="Verdana"/>
          <w:sz w:val="20"/>
          <w:lang w:val="pt-BR"/>
        </w:rPr>
        <w:t>, que de</w:t>
      </w:r>
      <w:r w:rsidR="00414ED5" w:rsidRPr="002F50BD">
        <w:rPr>
          <w:rFonts w:ascii="Verdana" w:hAnsi="Verdana"/>
          <w:sz w:val="20"/>
          <w:lang w:val="pt-BR"/>
        </w:rPr>
        <w:t>r</w:t>
      </w:r>
      <w:r w:rsidR="004756C1" w:rsidRPr="002F50BD">
        <w:rPr>
          <w:rFonts w:ascii="Verdana" w:hAnsi="Verdana"/>
          <w:sz w:val="20"/>
          <w:lang w:val="pt-BR"/>
        </w:rPr>
        <w:t>roga</w:t>
      </w:r>
      <w:r w:rsidR="0089298C" w:rsidRPr="002F50BD">
        <w:rPr>
          <w:rFonts w:ascii="Verdana" w:hAnsi="Verdana"/>
          <w:sz w:val="20"/>
          <w:lang w:val="pt-BR"/>
        </w:rPr>
        <w:t xml:space="preserve"> a Lei </w:t>
      </w:r>
      <w:r w:rsidRPr="002F50BD">
        <w:rPr>
          <w:rFonts w:ascii="Verdana" w:hAnsi="Verdana"/>
          <w:sz w:val="20"/>
          <w:lang w:val="pt-BR"/>
        </w:rPr>
        <w:t>854</w:t>
      </w:r>
      <w:r w:rsidR="004756C1" w:rsidRPr="002F50BD">
        <w:rPr>
          <w:rFonts w:ascii="Verdana" w:hAnsi="Verdana"/>
          <w:sz w:val="20"/>
          <w:lang w:val="pt-BR"/>
        </w:rPr>
        <w:t>/</w:t>
      </w:r>
      <w:r w:rsidRPr="002F50BD">
        <w:rPr>
          <w:rFonts w:ascii="Verdana" w:hAnsi="Verdana"/>
          <w:sz w:val="20"/>
          <w:lang w:val="pt-BR"/>
        </w:rPr>
        <w:t>63</w:t>
      </w:r>
      <w:r w:rsidR="004756C1" w:rsidRPr="002F50BD">
        <w:rPr>
          <w:rFonts w:ascii="Verdana" w:hAnsi="Verdana"/>
          <w:sz w:val="20"/>
          <w:lang w:val="pt-BR"/>
        </w:rPr>
        <w:t xml:space="preserve">, </w:t>
      </w:r>
      <w:r w:rsidR="0089298C" w:rsidRPr="002F50BD">
        <w:rPr>
          <w:rFonts w:ascii="Verdana" w:hAnsi="Verdana"/>
          <w:sz w:val="20"/>
          <w:lang w:val="pt-BR"/>
        </w:rPr>
        <w:t>qualific</w:t>
      </w:r>
      <w:r w:rsidR="004756C1" w:rsidRPr="002F50BD">
        <w:rPr>
          <w:rFonts w:ascii="Verdana" w:hAnsi="Verdana"/>
          <w:sz w:val="20"/>
          <w:lang w:val="pt-BR"/>
        </w:rPr>
        <w:t>a</w:t>
      </w:r>
      <w:r w:rsidR="0089298C" w:rsidRPr="002F50BD">
        <w:rPr>
          <w:rFonts w:ascii="Verdana" w:hAnsi="Verdana"/>
          <w:sz w:val="20"/>
          <w:lang w:val="pt-BR"/>
        </w:rPr>
        <w:t xml:space="preserve"> os </w:t>
      </w:r>
      <w:r w:rsidR="000920B2" w:rsidRPr="002F50BD">
        <w:rPr>
          <w:rFonts w:ascii="Verdana" w:hAnsi="Verdana"/>
          <w:sz w:val="20"/>
          <w:lang w:val="pt-BR"/>
        </w:rPr>
        <w:t>imóveis</w:t>
      </w:r>
      <w:r w:rsidR="004756C1" w:rsidRPr="002F50BD">
        <w:rPr>
          <w:rFonts w:ascii="Verdana" w:hAnsi="Verdana"/>
          <w:sz w:val="20"/>
          <w:lang w:val="pt-BR"/>
        </w:rPr>
        <w:t xml:space="preserve"> </w:t>
      </w:r>
      <w:r w:rsidR="0089298C" w:rsidRPr="002F50BD">
        <w:rPr>
          <w:rFonts w:ascii="Verdana" w:hAnsi="Verdana"/>
          <w:sz w:val="20"/>
          <w:lang w:val="pt-BR"/>
        </w:rPr>
        <w:t>rurais</w:t>
      </w:r>
      <w:r w:rsidR="004756C1" w:rsidRPr="002F50BD">
        <w:rPr>
          <w:rFonts w:ascii="Verdana" w:hAnsi="Verdana"/>
          <w:sz w:val="20"/>
          <w:lang w:val="pt-BR"/>
        </w:rPr>
        <w:t xml:space="preserve"> que </w:t>
      </w:r>
      <w:r w:rsidR="00475EBB" w:rsidRPr="002F50BD">
        <w:rPr>
          <w:rFonts w:ascii="Verdana" w:hAnsi="Verdana"/>
          <w:sz w:val="20"/>
          <w:lang w:val="pt-BR"/>
        </w:rPr>
        <w:t xml:space="preserve">podem </w:t>
      </w:r>
      <w:r w:rsidR="004756C1" w:rsidRPr="002F50BD">
        <w:rPr>
          <w:rFonts w:ascii="Verdana" w:hAnsi="Verdana"/>
          <w:sz w:val="20"/>
          <w:lang w:val="pt-BR"/>
        </w:rPr>
        <w:t xml:space="preserve">ser </w:t>
      </w:r>
      <w:r w:rsidR="00DB51F0" w:rsidRPr="002F50BD">
        <w:rPr>
          <w:rFonts w:ascii="Verdana" w:hAnsi="Verdana"/>
          <w:sz w:val="20"/>
          <w:lang w:val="pt-BR"/>
        </w:rPr>
        <w:t>expropriad</w:t>
      </w:r>
      <w:r w:rsidR="004756C1" w:rsidRPr="002F50BD">
        <w:rPr>
          <w:rFonts w:ascii="Verdana" w:hAnsi="Verdana"/>
          <w:sz w:val="20"/>
          <w:lang w:val="pt-BR"/>
        </w:rPr>
        <w:t xml:space="preserve">os: </w:t>
      </w:r>
    </w:p>
    <w:p w:rsidR="004756C1" w:rsidRPr="002F50BD" w:rsidRDefault="004756C1">
      <w:pPr>
        <w:spacing w:line="235" w:lineRule="auto"/>
        <w:jc w:val="both"/>
        <w:rPr>
          <w:rFonts w:ascii="Verdana" w:hAnsi="Verdana"/>
          <w:sz w:val="20"/>
          <w:lang w:val="pt-BR"/>
        </w:rPr>
      </w:pPr>
    </w:p>
    <w:p w:rsidR="004756C1" w:rsidRPr="002F50BD" w:rsidRDefault="004756C1">
      <w:pPr>
        <w:pStyle w:val="BodyTextIndent2"/>
        <w:ind w:left="720" w:right="584" w:firstLine="0"/>
        <w:rPr>
          <w:rFonts w:ascii="Verdana" w:hAnsi="Verdana"/>
          <w:i/>
          <w:sz w:val="16"/>
          <w:lang w:val="pt-BR"/>
        </w:rPr>
      </w:pPr>
      <w:r w:rsidRPr="002F50BD">
        <w:rPr>
          <w:rFonts w:ascii="Verdana" w:hAnsi="Verdana"/>
          <w:i/>
          <w:sz w:val="16"/>
          <w:lang w:val="pt-BR"/>
        </w:rPr>
        <w:t>Decl</w:t>
      </w:r>
      <w:r w:rsidR="00414ED5" w:rsidRPr="002F50BD">
        <w:rPr>
          <w:rFonts w:ascii="Verdana" w:hAnsi="Verdana"/>
          <w:i/>
          <w:sz w:val="16"/>
          <w:lang w:val="pt-BR"/>
        </w:rPr>
        <w:t xml:space="preserve">aram-se </w:t>
      </w:r>
      <w:r w:rsidRPr="002F50BD">
        <w:rPr>
          <w:rFonts w:ascii="Verdana" w:hAnsi="Verdana"/>
          <w:i/>
          <w:sz w:val="16"/>
          <w:lang w:val="pt-BR"/>
        </w:rPr>
        <w:t xml:space="preserve">de </w:t>
      </w:r>
      <w:r w:rsidR="0089298C" w:rsidRPr="002F50BD">
        <w:rPr>
          <w:rFonts w:ascii="Verdana" w:hAnsi="Verdana"/>
          <w:i/>
          <w:sz w:val="16"/>
          <w:lang w:val="pt-BR"/>
        </w:rPr>
        <w:t xml:space="preserve">interesse </w:t>
      </w:r>
      <w:r w:rsidRPr="002F50BD">
        <w:rPr>
          <w:rFonts w:ascii="Verdana" w:hAnsi="Verdana"/>
          <w:i/>
          <w:sz w:val="16"/>
          <w:lang w:val="pt-BR"/>
        </w:rPr>
        <w:t>social</w:t>
      </w:r>
      <w:r w:rsidR="0089298C" w:rsidRPr="002F50BD">
        <w:rPr>
          <w:rFonts w:ascii="Verdana" w:hAnsi="Verdana"/>
          <w:i/>
          <w:sz w:val="16"/>
          <w:lang w:val="pt-BR"/>
        </w:rPr>
        <w:t xml:space="preserve"> e sujeito</w:t>
      </w:r>
      <w:r w:rsidRPr="002F50BD">
        <w:rPr>
          <w:rFonts w:ascii="Verdana" w:hAnsi="Verdana"/>
          <w:i/>
          <w:sz w:val="16"/>
          <w:lang w:val="pt-BR"/>
        </w:rPr>
        <w:t xml:space="preserve">s a </w:t>
      </w:r>
      <w:r w:rsidR="00DB51F0" w:rsidRPr="002F50BD">
        <w:rPr>
          <w:rFonts w:ascii="Verdana" w:hAnsi="Verdana"/>
          <w:i/>
          <w:sz w:val="16"/>
          <w:lang w:val="pt-BR"/>
        </w:rPr>
        <w:t>expropriação</w:t>
      </w:r>
      <w:r w:rsidR="0089298C" w:rsidRPr="002F50BD">
        <w:rPr>
          <w:rFonts w:ascii="Verdana" w:hAnsi="Verdana"/>
          <w:i/>
          <w:sz w:val="16"/>
          <w:lang w:val="pt-BR"/>
        </w:rPr>
        <w:t xml:space="preserve"> os </w:t>
      </w:r>
      <w:r w:rsidR="00414ED5" w:rsidRPr="002F50BD">
        <w:rPr>
          <w:rFonts w:ascii="Verdana" w:hAnsi="Verdana"/>
          <w:i/>
          <w:sz w:val="16"/>
          <w:lang w:val="pt-BR"/>
        </w:rPr>
        <w:t xml:space="preserve">seguintes </w:t>
      </w:r>
      <w:r w:rsidR="000920B2" w:rsidRPr="002F50BD">
        <w:rPr>
          <w:rFonts w:ascii="Verdana" w:hAnsi="Verdana"/>
          <w:i/>
          <w:sz w:val="16"/>
          <w:lang w:val="pt-BR"/>
        </w:rPr>
        <w:t>imóveis</w:t>
      </w:r>
      <w:r w:rsidRPr="002F50BD">
        <w:rPr>
          <w:rFonts w:ascii="Verdana" w:hAnsi="Verdana"/>
          <w:i/>
          <w:sz w:val="16"/>
          <w:lang w:val="pt-BR"/>
        </w:rPr>
        <w:t xml:space="preserve"> </w:t>
      </w:r>
      <w:r w:rsidR="0089298C" w:rsidRPr="002F50BD">
        <w:rPr>
          <w:rFonts w:ascii="Verdana" w:hAnsi="Verdana"/>
          <w:i/>
          <w:sz w:val="16"/>
          <w:lang w:val="pt-BR"/>
        </w:rPr>
        <w:t>rurais</w:t>
      </w:r>
      <w:r w:rsidRPr="002F50BD">
        <w:rPr>
          <w:rFonts w:ascii="Verdana" w:hAnsi="Verdana"/>
          <w:i/>
          <w:sz w:val="16"/>
          <w:lang w:val="pt-BR"/>
        </w:rPr>
        <w:t xml:space="preserve"> de </w:t>
      </w:r>
      <w:r w:rsidR="00D95E71" w:rsidRPr="002F50BD">
        <w:rPr>
          <w:rFonts w:ascii="Verdana" w:hAnsi="Verdana"/>
          <w:i/>
          <w:sz w:val="16"/>
          <w:lang w:val="pt-BR"/>
        </w:rPr>
        <w:t xml:space="preserve">domínio </w:t>
      </w:r>
      <w:r w:rsidRPr="002F50BD">
        <w:rPr>
          <w:rFonts w:ascii="Verdana" w:hAnsi="Verdana"/>
          <w:i/>
          <w:sz w:val="16"/>
          <w:lang w:val="pt-BR"/>
        </w:rPr>
        <w:t>privado:</w:t>
      </w:r>
    </w:p>
    <w:p w:rsidR="004756C1" w:rsidRPr="002F50BD" w:rsidRDefault="004756C1">
      <w:pPr>
        <w:spacing w:line="235" w:lineRule="auto"/>
        <w:ind w:left="720" w:right="584"/>
        <w:jc w:val="both"/>
        <w:rPr>
          <w:rFonts w:ascii="Verdana" w:hAnsi="Verdana"/>
          <w:sz w:val="16"/>
          <w:lang w:val="pt-BR"/>
        </w:rPr>
      </w:pPr>
    </w:p>
    <w:p w:rsidR="004756C1" w:rsidRPr="004E0A85" w:rsidRDefault="004756C1">
      <w:pPr>
        <w:spacing w:line="235" w:lineRule="auto"/>
        <w:ind w:left="720" w:right="584"/>
        <w:jc w:val="both"/>
        <w:rPr>
          <w:rFonts w:ascii="Verdana" w:hAnsi="Verdana"/>
          <w:sz w:val="16"/>
          <w:lang w:val="pt-BR"/>
        </w:rPr>
      </w:pPr>
      <w:r w:rsidRPr="004E0A85">
        <w:rPr>
          <w:rFonts w:ascii="Verdana" w:hAnsi="Verdana"/>
          <w:sz w:val="16"/>
          <w:lang w:val="pt-BR"/>
        </w:rPr>
        <w:lastRenderedPageBreak/>
        <w:t>a</w:t>
      </w:r>
      <w:r w:rsidR="00CF451D" w:rsidRPr="004E0A85">
        <w:rPr>
          <w:rFonts w:ascii="Verdana" w:hAnsi="Verdana"/>
          <w:sz w:val="16"/>
          <w:lang w:val="pt-BR"/>
        </w:rPr>
        <w:t>)</w:t>
      </w:r>
      <w:r w:rsidR="0089298C" w:rsidRPr="004E0A85">
        <w:rPr>
          <w:rFonts w:ascii="Verdana" w:hAnsi="Verdana"/>
          <w:sz w:val="16"/>
          <w:lang w:val="pt-BR"/>
        </w:rPr>
        <w:t xml:space="preserve"> os </w:t>
      </w:r>
      <w:r w:rsidR="000920B2" w:rsidRPr="004E0A85">
        <w:rPr>
          <w:rFonts w:ascii="Verdana" w:hAnsi="Verdana"/>
          <w:sz w:val="16"/>
          <w:lang w:val="pt-BR"/>
        </w:rPr>
        <w:t>imóveis</w:t>
      </w:r>
      <w:r w:rsidRPr="004E0A85">
        <w:rPr>
          <w:rFonts w:ascii="Verdana" w:hAnsi="Verdana"/>
          <w:sz w:val="16"/>
          <w:lang w:val="pt-BR"/>
        </w:rPr>
        <w:t xml:space="preserve"> que n</w:t>
      </w:r>
      <w:r w:rsidR="00414ED5" w:rsidRPr="004E0A85">
        <w:rPr>
          <w:rFonts w:ascii="Verdana" w:hAnsi="Verdana"/>
          <w:sz w:val="16"/>
          <w:lang w:val="pt-BR"/>
        </w:rPr>
        <w:t>ã</w:t>
      </w:r>
      <w:r w:rsidRPr="004E0A85">
        <w:rPr>
          <w:rFonts w:ascii="Verdana" w:hAnsi="Verdana"/>
          <w:sz w:val="16"/>
          <w:lang w:val="pt-BR"/>
        </w:rPr>
        <w:t>o</w:t>
      </w:r>
      <w:r w:rsidR="0089298C" w:rsidRPr="004E0A85">
        <w:rPr>
          <w:rFonts w:ascii="Verdana" w:hAnsi="Verdana"/>
          <w:sz w:val="16"/>
          <w:lang w:val="pt-BR"/>
        </w:rPr>
        <w:t xml:space="preserve"> estão </w:t>
      </w:r>
      <w:r w:rsidRPr="004E0A85">
        <w:rPr>
          <w:rFonts w:ascii="Verdana" w:hAnsi="Verdana"/>
          <w:sz w:val="16"/>
          <w:lang w:val="pt-BR"/>
        </w:rPr>
        <w:t>racionalmente utilizados, que</w:t>
      </w:r>
      <w:r w:rsidR="0089298C" w:rsidRPr="004E0A85">
        <w:rPr>
          <w:rFonts w:ascii="Verdana" w:hAnsi="Verdana"/>
          <w:sz w:val="16"/>
          <w:lang w:val="pt-BR"/>
        </w:rPr>
        <w:t xml:space="preserve"> sejam </w:t>
      </w:r>
      <w:r w:rsidRPr="004E0A85">
        <w:rPr>
          <w:rFonts w:ascii="Verdana" w:hAnsi="Verdana"/>
          <w:sz w:val="16"/>
          <w:lang w:val="pt-BR"/>
        </w:rPr>
        <w:t>aptos para</w:t>
      </w:r>
      <w:r w:rsidR="0089298C" w:rsidRPr="004E0A85">
        <w:rPr>
          <w:rFonts w:ascii="Verdana" w:hAnsi="Verdana"/>
          <w:sz w:val="16"/>
          <w:lang w:val="pt-BR"/>
        </w:rPr>
        <w:t xml:space="preserve"> a </w:t>
      </w:r>
      <w:r w:rsidRPr="004E0A85">
        <w:rPr>
          <w:rFonts w:ascii="Verdana" w:hAnsi="Verdana"/>
          <w:sz w:val="16"/>
          <w:lang w:val="pt-BR"/>
        </w:rPr>
        <w:t>forma</w:t>
      </w:r>
      <w:r w:rsidR="0089298C" w:rsidRPr="004E0A85">
        <w:rPr>
          <w:rFonts w:ascii="Verdana" w:hAnsi="Verdana"/>
          <w:sz w:val="16"/>
          <w:lang w:val="pt-BR"/>
        </w:rPr>
        <w:t>ção</w:t>
      </w:r>
      <w:r w:rsidRPr="004E0A85">
        <w:rPr>
          <w:rFonts w:ascii="Verdana" w:hAnsi="Verdana"/>
          <w:sz w:val="16"/>
          <w:lang w:val="pt-BR"/>
        </w:rPr>
        <w:t xml:space="preserve"> de col</w:t>
      </w:r>
      <w:r w:rsidR="00414ED5" w:rsidRPr="004E0A85">
        <w:rPr>
          <w:rFonts w:ascii="Verdana" w:hAnsi="Verdana"/>
          <w:sz w:val="16"/>
          <w:lang w:val="pt-BR"/>
        </w:rPr>
        <w:t>ô</w:t>
      </w:r>
      <w:r w:rsidRPr="004E0A85">
        <w:rPr>
          <w:rFonts w:ascii="Verdana" w:hAnsi="Verdana"/>
          <w:sz w:val="16"/>
          <w:lang w:val="pt-BR"/>
        </w:rPr>
        <w:t>nias agropecu</w:t>
      </w:r>
      <w:r w:rsidR="00414ED5" w:rsidRPr="004E0A85">
        <w:rPr>
          <w:rFonts w:ascii="Verdana" w:hAnsi="Verdana"/>
          <w:sz w:val="16"/>
          <w:lang w:val="pt-BR"/>
        </w:rPr>
        <w:t>á</w:t>
      </w:r>
      <w:r w:rsidRPr="004E0A85">
        <w:rPr>
          <w:rFonts w:ascii="Verdana" w:hAnsi="Verdana"/>
          <w:sz w:val="16"/>
          <w:lang w:val="pt-BR"/>
        </w:rPr>
        <w:t>rias</w:t>
      </w:r>
      <w:r w:rsidR="0089298C" w:rsidRPr="004E0A85">
        <w:rPr>
          <w:rFonts w:ascii="Verdana" w:hAnsi="Verdana"/>
          <w:sz w:val="16"/>
          <w:lang w:val="pt-BR"/>
        </w:rPr>
        <w:t xml:space="preserve"> e </w:t>
      </w:r>
      <w:r w:rsidRPr="004E0A85">
        <w:rPr>
          <w:rFonts w:ascii="Verdana" w:hAnsi="Verdana"/>
          <w:sz w:val="16"/>
          <w:lang w:val="pt-BR"/>
        </w:rPr>
        <w:t xml:space="preserve">se </w:t>
      </w:r>
      <w:r w:rsidR="0089298C" w:rsidRPr="004E0A85">
        <w:rPr>
          <w:rFonts w:ascii="Verdana" w:hAnsi="Verdana"/>
          <w:sz w:val="16"/>
          <w:lang w:val="pt-BR"/>
        </w:rPr>
        <w:t>encontrem</w:t>
      </w:r>
      <w:r w:rsidRPr="004E0A85">
        <w:rPr>
          <w:rFonts w:ascii="Verdana" w:hAnsi="Verdana"/>
          <w:sz w:val="16"/>
          <w:lang w:val="pt-BR"/>
        </w:rPr>
        <w:t xml:space="preserve"> localizados</w:t>
      </w:r>
      <w:r w:rsidR="0089298C" w:rsidRPr="004E0A85">
        <w:rPr>
          <w:rFonts w:ascii="Verdana" w:hAnsi="Verdana"/>
          <w:sz w:val="16"/>
          <w:lang w:val="pt-BR"/>
        </w:rPr>
        <w:t xml:space="preserve"> em </w:t>
      </w:r>
      <w:r w:rsidRPr="004E0A85">
        <w:rPr>
          <w:rFonts w:ascii="Verdana" w:hAnsi="Verdana"/>
          <w:sz w:val="16"/>
          <w:lang w:val="pt-BR"/>
        </w:rPr>
        <w:t>zonas</w:t>
      </w:r>
      <w:r w:rsidR="0089298C" w:rsidRPr="004E0A85">
        <w:rPr>
          <w:rFonts w:ascii="Verdana" w:hAnsi="Verdana"/>
          <w:sz w:val="16"/>
          <w:lang w:val="pt-BR"/>
        </w:rPr>
        <w:t xml:space="preserve"> com </w:t>
      </w:r>
      <w:r w:rsidRPr="004E0A85">
        <w:rPr>
          <w:rFonts w:ascii="Verdana" w:hAnsi="Verdana"/>
          <w:sz w:val="16"/>
          <w:lang w:val="pt-BR"/>
        </w:rPr>
        <w:t xml:space="preserve">problemas de </w:t>
      </w:r>
      <w:r w:rsidR="0024462C" w:rsidRPr="004E0A85">
        <w:rPr>
          <w:rFonts w:ascii="Verdana" w:hAnsi="Verdana"/>
          <w:sz w:val="16"/>
          <w:lang w:val="pt-BR"/>
        </w:rPr>
        <w:t xml:space="preserve">caráter </w:t>
      </w:r>
      <w:r w:rsidRPr="004E0A85">
        <w:rPr>
          <w:rFonts w:ascii="Verdana" w:hAnsi="Verdana"/>
          <w:sz w:val="16"/>
          <w:lang w:val="pt-BR"/>
        </w:rPr>
        <w:t>social;</w:t>
      </w:r>
    </w:p>
    <w:p w:rsidR="004756C1" w:rsidRPr="004E0A85" w:rsidRDefault="004756C1">
      <w:pPr>
        <w:tabs>
          <w:tab w:val="num" w:pos="1495"/>
        </w:tabs>
        <w:spacing w:line="235" w:lineRule="auto"/>
        <w:ind w:left="720" w:right="584"/>
        <w:jc w:val="both"/>
        <w:rPr>
          <w:rFonts w:ascii="Verdana" w:hAnsi="Verdana"/>
          <w:sz w:val="16"/>
          <w:lang w:val="pt-BR"/>
        </w:rPr>
      </w:pPr>
    </w:p>
    <w:p w:rsidR="004756C1" w:rsidRPr="004E0A85" w:rsidRDefault="004756C1">
      <w:pPr>
        <w:spacing w:line="235" w:lineRule="auto"/>
        <w:ind w:left="720" w:right="584"/>
        <w:jc w:val="both"/>
        <w:rPr>
          <w:rFonts w:ascii="Verdana" w:hAnsi="Verdana"/>
          <w:sz w:val="16"/>
          <w:lang w:val="pt-BR"/>
        </w:rPr>
      </w:pPr>
      <w:r w:rsidRPr="004E0A85">
        <w:rPr>
          <w:rFonts w:ascii="Verdana" w:hAnsi="Verdana"/>
          <w:sz w:val="16"/>
          <w:lang w:val="pt-BR"/>
        </w:rPr>
        <w:t>b</w:t>
      </w:r>
      <w:r w:rsidR="00CF451D" w:rsidRPr="004E0A85">
        <w:rPr>
          <w:rFonts w:ascii="Verdana" w:hAnsi="Verdana"/>
          <w:sz w:val="16"/>
          <w:lang w:val="pt-BR"/>
        </w:rPr>
        <w:t>)</w:t>
      </w:r>
      <w:r w:rsidRPr="004E0A85">
        <w:rPr>
          <w:rFonts w:ascii="Verdana" w:hAnsi="Verdana"/>
          <w:sz w:val="16"/>
          <w:lang w:val="pt-BR"/>
        </w:rPr>
        <w:t xml:space="preserve"> </w:t>
      </w:r>
      <w:r w:rsidR="0089298C" w:rsidRPr="004E0A85">
        <w:rPr>
          <w:rFonts w:ascii="Verdana" w:hAnsi="Verdana"/>
          <w:sz w:val="16"/>
          <w:lang w:val="pt-BR"/>
        </w:rPr>
        <w:t xml:space="preserve">os </w:t>
      </w:r>
      <w:r w:rsidRPr="004E0A85">
        <w:rPr>
          <w:rFonts w:ascii="Verdana" w:hAnsi="Verdana"/>
          <w:sz w:val="16"/>
          <w:lang w:val="pt-BR"/>
        </w:rPr>
        <w:t xml:space="preserve">que </w:t>
      </w:r>
      <w:r w:rsidR="00957343" w:rsidRPr="004E0A85">
        <w:rPr>
          <w:rFonts w:ascii="Verdana" w:hAnsi="Verdana"/>
          <w:sz w:val="16"/>
          <w:lang w:val="pt-BR"/>
        </w:rPr>
        <w:t>servem</w:t>
      </w:r>
      <w:r w:rsidRPr="004E0A85">
        <w:rPr>
          <w:rFonts w:ascii="Verdana" w:hAnsi="Verdana"/>
          <w:sz w:val="16"/>
          <w:lang w:val="pt-BR"/>
        </w:rPr>
        <w:t xml:space="preserve"> de </w:t>
      </w:r>
      <w:r w:rsidR="005A6BC7" w:rsidRPr="004E0A85">
        <w:rPr>
          <w:rFonts w:ascii="Verdana" w:hAnsi="Verdana"/>
          <w:sz w:val="16"/>
          <w:lang w:val="pt-BR"/>
        </w:rPr>
        <w:t>assent</w:t>
      </w:r>
      <w:r w:rsidR="00CE1AC8" w:rsidRPr="004E0A85">
        <w:rPr>
          <w:rFonts w:ascii="Verdana" w:hAnsi="Verdana"/>
          <w:sz w:val="16"/>
          <w:lang w:val="pt-BR"/>
        </w:rPr>
        <w:t>ament</w:t>
      </w:r>
      <w:r w:rsidR="005A6BC7" w:rsidRPr="004E0A85">
        <w:rPr>
          <w:rFonts w:ascii="Verdana" w:hAnsi="Verdana"/>
          <w:sz w:val="16"/>
          <w:lang w:val="pt-BR"/>
        </w:rPr>
        <w:t>o</w:t>
      </w:r>
      <w:r w:rsidRPr="004E0A85">
        <w:rPr>
          <w:rFonts w:ascii="Verdana" w:hAnsi="Verdana"/>
          <w:sz w:val="16"/>
          <w:lang w:val="pt-BR"/>
        </w:rPr>
        <w:t xml:space="preserve"> a </w:t>
      </w:r>
      <w:r w:rsidR="00414ED5" w:rsidRPr="004E0A85">
        <w:rPr>
          <w:rFonts w:ascii="Verdana" w:hAnsi="Verdana"/>
          <w:sz w:val="16"/>
          <w:lang w:val="pt-BR"/>
        </w:rPr>
        <w:t xml:space="preserve">povoamentos </w:t>
      </w:r>
      <w:r w:rsidRPr="004E0A85">
        <w:rPr>
          <w:rFonts w:ascii="Verdana" w:hAnsi="Verdana"/>
          <w:sz w:val="16"/>
          <w:lang w:val="pt-BR"/>
        </w:rPr>
        <w:t>est</w:t>
      </w:r>
      <w:r w:rsidR="00B0045F" w:rsidRPr="004E0A85">
        <w:rPr>
          <w:rFonts w:ascii="Verdana" w:hAnsi="Verdana"/>
          <w:sz w:val="16"/>
          <w:lang w:val="pt-BR"/>
        </w:rPr>
        <w:t>áveis</w:t>
      </w:r>
      <w:r w:rsidRPr="004E0A85">
        <w:rPr>
          <w:rFonts w:ascii="Verdana" w:hAnsi="Verdana"/>
          <w:sz w:val="16"/>
          <w:lang w:val="pt-BR"/>
        </w:rPr>
        <w:t>,</w:t>
      </w:r>
      <w:r w:rsidR="0089298C" w:rsidRPr="004E0A85">
        <w:rPr>
          <w:rFonts w:ascii="Verdana" w:hAnsi="Verdana"/>
          <w:sz w:val="16"/>
          <w:lang w:val="pt-BR"/>
        </w:rPr>
        <w:t xml:space="preserve"> com </w:t>
      </w:r>
      <w:r w:rsidR="00414ED5" w:rsidRPr="004E0A85">
        <w:rPr>
          <w:rFonts w:ascii="Verdana" w:hAnsi="Verdana"/>
          <w:sz w:val="16"/>
          <w:lang w:val="pt-BR"/>
        </w:rPr>
        <w:t xml:space="preserve">raízes consolidadas </w:t>
      </w:r>
      <w:r w:rsidRPr="004E0A85">
        <w:rPr>
          <w:rFonts w:ascii="Verdana" w:hAnsi="Verdana"/>
          <w:sz w:val="16"/>
          <w:lang w:val="pt-BR"/>
        </w:rPr>
        <w:t>por ma</w:t>
      </w:r>
      <w:r w:rsidR="00CE1AC8" w:rsidRPr="004E0A85">
        <w:rPr>
          <w:rFonts w:ascii="Verdana" w:hAnsi="Verdana"/>
          <w:sz w:val="16"/>
          <w:lang w:val="pt-BR"/>
        </w:rPr>
        <w:t>i</w:t>
      </w:r>
      <w:r w:rsidRPr="004E0A85">
        <w:rPr>
          <w:rFonts w:ascii="Verdana" w:hAnsi="Verdana"/>
          <w:sz w:val="16"/>
          <w:lang w:val="pt-BR"/>
        </w:rPr>
        <w:t>s de</w:t>
      </w:r>
      <w:r w:rsidR="0089298C" w:rsidRPr="004E0A85">
        <w:rPr>
          <w:rFonts w:ascii="Verdana" w:hAnsi="Verdana"/>
          <w:sz w:val="16"/>
          <w:lang w:val="pt-BR"/>
        </w:rPr>
        <w:t xml:space="preserve"> dez anos</w:t>
      </w:r>
      <w:r w:rsidRPr="004E0A85">
        <w:rPr>
          <w:rFonts w:ascii="Verdana" w:hAnsi="Verdana"/>
          <w:sz w:val="16"/>
          <w:lang w:val="pt-BR"/>
        </w:rPr>
        <w:t>,</w:t>
      </w:r>
      <w:r w:rsidR="0089298C" w:rsidRPr="004E0A85">
        <w:rPr>
          <w:rFonts w:ascii="Verdana" w:hAnsi="Verdana"/>
          <w:sz w:val="16"/>
          <w:lang w:val="pt-BR"/>
        </w:rPr>
        <w:t xml:space="preserve"> sob </w:t>
      </w:r>
      <w:r w:rsidR="00414ED5" w:rsidRPr="004E0A85">
        <w:rPr>
          <w:rFonts w:ascii="Verdana" w:hAnsi="Verdana"/>
          <w:sz w:val="16"/>
          <w:lang w:val="pt-BR"/>
        </w:rPr>
        <w:t xml:space="preserve">os </w:t>
      </w:r>
      <w:r w:rsidR="0089298C" w:rsidRPr="004E0A85">
        <w:rPr>
          <w:rFonts w:ascii="Verdana" w:hAnsi="Verdana"/>
          <w:sz w:val="16"/>
          <w:lang w:val="pt-BR"/>
        </w:rPr>
        <w:t>termo</w:t>
      </w:r>
      <w:r w:rsidRPr="004E0A85">
        <w:rPr>
          <w:rFonts w:ascii="Verdana" w:hAnsi="Verdana"/>
          <w:sz w:val="16"/>
          <w:lang w:val="pt-BR"/>
        </w:rPr>
        <w:t>s</w:t>
      </w:r>
      <w:r w:rsidR="0089298C" w:rsidRPr="004E0A85">
        <w:rPr>
          <w:rFonts w:ascii="Verdana" w:hAnsi="Verdana"/>
          <w:sz w:val="16"/>
          <w:lang w:val="pt-BR"/>
        </w:rPr>
        <w:t xml:space="preserve"> e </w:t>
      </w:r>
      <w:r w:rsidRPr="004E0A85">
        <w:rPr>
          <w:rFonts w:ascii="Verdana" w:hAnsi="Verdana"/>
          <w:sz w:val="16"/>
          <w:lang w:val="pt-BR"/>
        </w:rPr>
        <w:t>requisitos</w:t>
      </w:r>
      <w:r w:rsidR="0089298C" w:rsidRPr="004E0A85">
        <w:rPr>
          <w:rFonts w:ascii="Verdana" w:hAnsi="Verdana"/>
          <w:sz w:val="16"/>
          <w:lang w:val="pt-BR"/>
        </w:rPr>
        <w:t xml:space="preserve"> da Lei </w:t>
      </w:r>
      <w:r w:rsidRPr="004E0A85">
        <w:rPr>
          <w:rFonts w:ascii="Verdana" w:hAnsi="Verdana"/>
          <w:sz w:val="16"/>
          <w:lang w:val="pt-BR"/>
        </w:rPr>
        <w:t xml:space="preserve">N° </w:t>
      </w:r>
      <w:r w:rsidR="00063B47" w:rsidRPr="004E0A85">
        <w:rPr>
          <w:rFonts w:ascii="Verdana" w:hAnsi="Verdana"/>
          <w:sz w:val="16"/>
          <w:lang w:val="pt-BR"/>
        </w:rPr>
        <w:t>622</w:t>
      </w:r>
      <w:r w:rsidRPr="004E0A85">
        <w:rPr>
          <w:rFonts w:ascii="Verdana" w:hAnsi="Verdana"/>
          <w:sz w:val="16"/>
          <w:lang w:val="pt-BR"/>
        </w:rPr>
        <w:t>/</w:t>
      </w:r>
      <w:r w:rsidR="00063B47" w:rsidRPr="004E0A85">
        <w:rPr>
          <w:rFonts w:ascii="Verdana" w:hAnsi="Verdana"/>
          <w:sz w:val="16"/>
          <w:lang w:val="pt-BR"/>
        </w:rPr>
        <w:t>60</w:t>
      </w:r>
      <w:r w:rsidRPr="004E0A85">
        <w:rPr>
          <w:rFonts w:ascii="Verdana" w:hAnsi="Verdana"/>
          <w:sz w:val="16"/>
          <w:lang w:val="pt-BR"/>
        </w:rPr>
        <w:t xml:space="preserve"> De Coloniza</w:t>
      </w:r>
      <w:r w:rsidR="0089298C" w:rsidRPr="004E0A85">
        <w:rPr>
          <w:rFonts w:ascii="Verdana" w:hAnsi="Verdana"/>
          <w:sz w:val="16"/>
          <w:lang w:val="pt-BR"/>
        </w:rPr>
        <w:t xml:space="preserve">ções e </w:t>
      </w:r>
      <w:r w:rsidRPr="004E0A85">
        <w:rPr>
          <w:rFonts w:ascii="Verdana" w:hAnsi="Verdana"/>
          <w:sz w:val="16"/>
          <w:lang w:val="pt-BR"/>
        </w:rPr>
        <w:t>Urbaniza</w:t>
      </w:r>
      <w:r w:rsidR="0089298C" w:rsidRPr="004E0A85">
        <w:rPr>
          <w:rFonts w:ascii="Verdana" w:hAnsi="Verdana"/>
          <w:sz w:val="16"/>
          <w:lang w:val="pt-BR"/>
        </w:rPr>
        <w:t>ções</w:t>
      </w:r>
      <w:r w:rsidRPr="004E0A85">
        <w:rPr>
          <w:rFonts w:ascii="Verdana" w:hAnsi="Verdana"/>
          <w:sz w:val="16"/>
          <w:lang w:val="pt-BR"/>
        </w:rPr>
        <w:t xml:space="preserve"> de </w:t>
      </w:r>
      <w:r w:rsidR="00414ED5" w:rsidRPr="004E0A85">
        <w:rPr>
          <w:rFonts w:ascii="Verdana" w:hAnsi="Verdana"/>
          <w:sz w:val="16"/>
          <w:lang w:val="pt-BR"/>
        </w:rPr>
        <w:t>Fato</w:t>
      </w:r>
      <w:r w:rsidR="0089298C" w:rsidRPr="004E0A85">
        <w:rPr>
          <w:rFonts w:ascii="Verdana" w:hAnsi="Verdana"/>
          <w:sz w:val="16"/>
          <w:lang w:val="pt-BR"/>
        </w:rPr>
        <w:t>; e</w:t>
      </w:r>
      <w:r w:rsidRPr="004E0A85">
        <w:rPr>
          <w:rFonts w:ascii="Verdana" w:hAnsi="Verdana"/>
          <w:sz w:val="16"/>
          <w:lang w:val="pt-BR"/>
        </w:rPr>
        <w:t>,</w:t>
      </w:r>
    </w:p>
    <w:p w:rsidR="004756C1" w:rsidRPr="004E0A85" w:rsidRDefault="004756C1">
      <w:pPr>
        <w:tabs>
          <w:tab w:val="num" w:pos="1495"/>
        </w:tabs>
        <w:spacing w:line="235" w:lineRule="auto"/>
        <w:ind w:left="720" w:right="584"/>
        <w:jc w:val="both"/>
        <w:rPr>
          <w:rFonts w:ascii="Verdana" w:hAnsi="Verdana"/>
          <w:sz w:val="16"/>
          <w:lang w:val="pt-BR"/>
        </w:rPr>
      </w:pPr>
    </w:p>
    <w:p w:rsidR="004756C1" w:rsidRPr="002F50BD" w:rsidRDefault="004756C1">
      <w:pPr>
        <w:spacing w:line="226" w:lineRule="auto"/>
        <w:ind w:left="720" w:right="584"/>
        <w:jc w:val="both"/>
        <w:rPr>
          <w:rFonts w:ascii="Verdana" w:hAnsi="Verdana"/>
          <w:sz w:val="16"/>
          <w:lang w:val="pt-BR"/>
        </w:rPr>
      </w:pPr>
      <w:r w:rsidRPr="004E0A85">
        <w:rPr>
          <w:rFonts w:ascii="Verdana" w:hAnsi="Verdana"/>
          <w:sz w:val="16"/>
          <w:lang w:val="pt-BR"/>
        </w:rPr>
        <w:t>c</w:t>
      </w:r>
      <w:r w:rsidR="00CF451D" w:rsidRPr="004E0A85">
        <w:rPr>
          <w:rFonts w:ascii="Verdana" w:hAnsi="Verdana"/>
          <w:sz w:val="16"/>
          <w:lang w:val="pt-BR"/>
        </w:rPr>
        <w:t>)</w:t>
      </w:r>
      <w:r w:rsidR="0089298C" w:rsidRPr="004E0A85">
        <w:rPr>
          <w:rFonts w:ascii="Verdana" w:hAnsi="Verdana"/>
          <w:sz w:val="16"/>
          <w:lang w:val="pt-BR"/>
        </w:rPr>
        <w:t xml:space="preserve"> os </w:t>
      </w:r>
      <w:r w:rsidR="000920B2" w:rsidRPr="004E0A85">
        <w:rPr>
          <w:rFonts w:ascii="Verdana" w:hAnsi="Verdana"/>
          <w:sz w:val="16"/>
          <w:lang w:val="pt-BR"/>
        </w:rPr>
        <w:t>imóveis</w:t>
      </w:r>
      <w:r w:rsidRPr="004E0A85">
        <w:rPr>
          <w:rFonts w:ascii="Verdana" w:hAnsi="Verdana"/>
          <w:sz w:val="16"/>
          <w:lang w:val="pt-BR"/>
        </w:rPr>
        <w:t xml:space="preserve"> </w:t>
      </w:r>
      <w:r w:rsidR="0089298C" w:rsidRPr="004E0A85">
        <w:rPr>
          <w:rFonts w:ascii="Verdana" w:hAnsi="Verdana"/>
          <w:sz w:val="16"/>
          <w:lang w:val="pt-BR"/>
        </w:rPr>
        <w:t>afeta</w:t>
      </w:r>
      <w:r w:rsidRPr="004E0A85">
        <w:rPr>
          <w:rFonts w:ascii="Verdana" w:hAnsi="Verdana"/>
          <w:sz w:val="16"/>
          <w:lang w:val="pt-BR"/>
        </w:rPr>
        <w:t>dos</w:t>
      </w:r>
      <w:r w:rsidR="0089298C" w:rsidRPr="004E0A85">
        <w:rPr>
          <w:rFonts w:ascii="Verdana" w:hAnsi="Verdana"/>
          <w:sz w:val="16"/>
          <w:lang w:val="pt-BR"/>
        </w:rPr>
        <w:t xml:space="preserve"> pela Lei </w:t>
      </w:r>
      <w:r w:rsidRPr="004E0A85">
        <w:rPr>
          <w:rFonts w:ascii="Verdana" w:hAnsi="Verdana"/>
          <w:sz w:val="16"/>
          <w:lang w:val="pt-BR"/>
        </w:rPr>
        <w:t xml:space="preserve">N° </w:t>
      </w:r>
      <w:r w:rsidR="00063B47" w:rsidRPr="004E0A85">
        <w:rPr>
          <w:rFonts w:ascii="Verdana" w:hAnsi="Verdana"/>
          <w:sz w:val="16"/>
          <w:lang w:val="pt-BR"/>
        </w:rPr>
        <w:t>662</w:t>
      </w:r>
      <w:r w:rsidRPr="004E0A85">
        <w:rPr>
          <w:rFonts w:ascii="Verdana" w:hAnsi="Verdana"/>
          <w:sz w:val="16"/>
          <w:lang w:val="pt-BR"/>
        </w:rPr>
        <w:t>/</w:t>
      </w:r>
      <w:r w:rsidR="00063B47" w:rsidRPr="004E0A85">
        <w:rPr>
          <w:rFonts w:ascii="Verdana" w:hAnsi="Verdana"/>
          <w:sz w:val="16"/>
          <w:lang w:val="pt-BR"/>
        </w:rPr>
        <w:t>60</w:t>
      </w:r>
      <w:r w:rsidRPr="004E0A85">
        <w:rPr>
          <w:rFonts w:ascii="Verdana" w:hAnsi="Verdana"/>
          <w:sz w:val="16"/>
          <w:lang w:val="pt-BR"/>
        </w:rPr>
        <w:t xml:space="preserve">, De Parcela Proporcional de </w:t>
      </w:r>
      <w:r w:rsidR="0089298C" w:rsidRPr="004E0A85">
        <w:rPr>
          <w:rFonts w:ascii="Verdana" w:hAnsi="Verdana"/>
          <w:sz w:val="16"/>
          <w:lang w:val="pt-BR"/>
        </w:rPr>
        <w:t>Propriedade</w:t>
      </w:r>
      <w:r w:rsidRPr="004E0A85">
        <w:rPr>
          <w:rFonts w:ascii="Verdana" w:hAnsi="Verdana"/>
          <w:sz w:val="16"/>
          <w:lang w:val="pt-BR"/>
        </w:rPr>
        <w:t xml:space="preserve">s </w:t>
      </w:r>
      <w:r w:rsidR="0089298C" w:rsidRPr="004E0A85">
        <w:rPr>
          <w:rFonts w:ascii="Verdana" w:hAnsi="Verdana"/>
          <w:sz w:val="16"/>
          <w:lang w:val="pt-BR"/>
        </w:rPr>
        <w:t>Maiores</w:t>
      </w:r>
      <w:r w:rsidRPr="002F50BD">
        <w:rPr>
          <w:rFonts w:ascii="Verdana" w:hAnsi="Verdana"/>
          <w:sz w:val="16"/>
          <w:lang w:val="pt-BR"/>
        </w:rPr>
        <w:t>, conforme</w:t>
      </w:r>
      <w:r w:rsidR="0089298C" w:rsidRPr="002F50BD">
        <w:rPr>
          <w:rFonts w:ascii="Verdana" w:hAnsi="Verdana"/>
          <w:sz w:val="16"/>
          <w:lang w:val="pt-BR"/>
        </w:rPr>
        <w:t xml:space="preserve"> o procedimento</w:t>
      </w:r>
      <w:r w:rsidRPr="002F50BD">
        <w:rPr>
          <w:rFonts w:ascii="Verdana" w:hAnsi="Verdana"/>
          <w:sz w:val="16"/>
          <w:lang w:val="pt-BR"/>
        </w:rPr>
        <w:t xml:space="preserve"> indicado</w:t>
      </w:r>
      <w:r w:rsidR="0089298C" w:rsidRPr="002F50BD">
        <w:rPr>
          <w:rFonts w:ascii="Verdana" w:hAnsi="Verdana"/>
          <w:sz w:val="16"/>
          <w:lang w:val="pt-BR"/>
        </w:rPr>
        <w:t xml:space="preserve"> na mesm</w:t>
      </w:r>
      <w:r w:rsidRPr="002F50BD">
        <w:rPr>
          <w:rFonts w:ascii="Verdana" w:hAnsi="Verdana"/>
          <w:sz w:val="16"/>
          <w:lang w:val="pt-BR"/>
        </w:rPr>
        <w:t>a.</w:t>
      </w:r>
    </w:p>
    <w:p w:rsidR="004756C1" w:rsidRPr="002F50BD" w:rsidRDefault="00FE08B7">
      <w:pPr>
        <w:jc w:val="both"/>
        <w:rPr>
          <w:rFonts w:ascii="Verdana" w:hAnsi="Verdana"/>
          <w:sz w:val="20"/>
          <w:lang w:val="pt-BR"/>
        </w:rPr>
      </w:pPr>
      <w:r>
        <w:rPr>
          <w:rFonts w:ascii="Verdana" w:hAnsi="Verdana"/>
          <w:sz w:val="20"/>
          <w:lang w:val="pt-BR"/>
        </w:rPr>
        <w:t xml:space="preserve">   </w:t>
      </w:r>
      <w:r w:rsidR="004756C1" w:rsidRPr="002F50BD">
        <w:rPr>
          <w:rFonts w:ascii="Verdana" w:hAnsi="Verdana"/>
          <w:sz w:val="20"/>
          <w:lang w:val="pt-BR"/>
        </w:rPr>
        <w:t xml:space="preserve"> </w:t>
      </w:r>
    </w:p>
    <w:p w:rsidR="004756C1" w:rsidRPr="002F50BD" w:rsidRDefault="00063B47">
      <w:pPr>
        <w:jc w:val="both"/>
        <w:rPr>
          <w:rFonts w:ascii="Verdana" w:hAnsi="Verdana"/>
          <w:sz w:val="20"/>
          <w:lang w:val="pt-BR"/>
        </w:rPr>
      </w:pPr>
      <w:r w:rsidRPr="002F50BD">
        <w:rPr>
          <w:rFonts w:ascii="Verdana" w:hAnsi="Verdana"/>
          <w:sz w:val="20"/>
          <w:lang w:val="pt-BR"/>
        </w:rPr>
        <w:t>18</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Neste ponto</w:t>
      </w:r>
      <w:r w:rsidR="00D13D88" w:rsidRPr="002F50BD">
        <w:rPr>
          <w:rFonts w:ascii="Verdana" w:hAnsi="Verdana"/>
          <w:sz w:val="20"/>
          <w:lang w:val="pt-BR"/>
        </w:rPr>
        <w:t>,</w:t>
      </w:r>
      <w:r w:rsidR="0089298C" w:rsidRPr="002F50BD">
        <w:rPr>
          <w:rFonts w:ascii="Verdana" w:hAnsi="Verdana"/>
          <w:sz w:val="20"/>
          <w:lang w:val="pt-BR"/>
        </w:rPr>
        <w:t xml:space="preserve"> deve</w:t>
      </w:r>
      <w:r w:rsidR="00D13D88"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notar</w:t>
      </w:r>
      <w:r w:rsidR="0089298C" w:rsidRPr="002F50BD">
        <w:rPr>
          <w:rFonts w:ascii="Verdana" w:hAnsi="Verdana"/>
          <w:sz w:val="20"/>
          <w:lang w:val="pt-BR"/>
        </w:rPr>
        <w:t xml:space="preserve"> a </w:t>
      </w:r>
      <w:r w:rsidR="00937400" w:rsidRPr="002F50BD">
        <w:rPr>
          <w:rFonts w:ascii="Verdana" w:hAnsi="Verdana"/>
          <w:sz w:val="20"/>
          <w:lang w:val="pt-BR"/>
        </w:rPr>
        <w:t>colisão</w:t>
      </w:r>
      <w:r w:rsidR="004756C1" w:rsidRPr="002F50BD">
        <w:rPr>
          <w:rFonts w:ascii="Verdana" w:hAnsi="Verdana"/>
          <w:sz w:val="20"/>
          <w:lang w:val="pt-BR"/>
        </w:rPr>
        <w:t xml:space="preserve"> entre</w:t>
      </w:r>
      <w:r w:rsidR="0089298C" w:rsidRPr="002F50BD">
        <w:rPr>
          <w:rFonts w:ascii="Verdana" w:hAnsi="Verdana"/>
          <w:sz w:val="20"/>
          <w:lang w:val="pt-BR"/>
        </w:rPr>
        <w:t xml:space="preserve"> a </w:t>
      </w:r>
      <w:r w:rsidR="004756C1" w:rsidRPr="002F50BD">
        <w:rPr>
          <w:rFonts w:ascii="Verdana" w:hAnsi="Verdana"/>
          <w:sz w:val="20"/>
          <w:lang w:val="pt-BR"/>
        </w:rPr>
        <w:t>norma constitucional</w:t>
      </w:r>
      <w:r w:rsidR="0089298C" w:rsidRPr="002F50BD">
        <w:rPr>
          <w:rFonts w:ascii="Verdana" w:hAnsi="Verdana"/>
          <w:sz w:val="20"/>
          <w:lang w:val="pt-BR"/>
        </w:rPr>
        <w:t xml:space="preserve"> e o artigo</w:t>
      </w:r>
      <w:r w:rsidR="004756C1" w:rsidRPr="002F50BD">
        <w:rPr>
          <w:rFonts w:ascii="Verdana" w:hAnsi="Verdana"/>
          <w:sz w:val="20"/>
          <w:lang w:val="pt-BR"/>
        </w:rPr>
        <w:t xml:space="preserve"> </w:t>
      </w:r>
      <w:r w:rsidRPr="002F50BD">
        <w:rPr>
          <w:rFonts w:ascii="Verdana" w:hAnsi="Verdana"/>
          <w:sz w:val="20"/>
          <w:lang w:val="pt-BR"/>
        </w:rPr>
        <w:t>64</w:t>
      </w:r>
      <w:r w:rsidR="0089298C" w:rsidRPr="002F50BD">
        <w:rPr>
          <w:rFonts w:ascii="Verdana" w:hAnsi="Verdana"/>
          <w:sz w:val="20"/>
          <w:lang w:val="pt-BR"/>
        </w:rPr>
        <w:t xml:space="preserve"> da Lei </w:t>
      </w:r>
      <w:r w:rsidRPr="002F50BD">
        <w:rPr>
          <w:rFonts w:ascii="Verdana" w:hAnsi="Verdana"/>
          <w:sz w:val="20"/>
          <w:lang w:val="pt-BR"/>
        </w:rPr>
        <w:t>1863</w:t>
      </w:r>
      <w:r w:rsidR="004756C1" w:rsidRPr="002F50BD">
        <w:rPr>
          <w:rFonts w:ascii="Verdana" w:hAnsi="Verdana"/>
          <w:sz w:val="20"/>
          <w:lang w:val="pt-BR"/>
        </w:rPr>
        <w:t>/</w:t>
      </w:r>
      <w:r w:rsidRPr="002F50BD">
        <w:rPr>
          <w:rFonts w:ascii="Verdana" w:hAnsi="Verdana"/>
          <w:sz w:val="20"/>
          <w:lang w:val="pt-BR"/>
        </w:rPr>
        <w:t>02</w:t>
      </w:r>
      <w:r w:rsidR="004756C1" w:rsidRPr="002F50BD">
        <w:rPr>
          <w:rFonts w:ascii="Verdana" w:hAnsi="Verdana"/>
          <w:sz w:val="20"/>
          <w:lang w:val="pt-BR"/>
        </w:rPr>
        <w:t xml:space="preserve">; </w:t>
      </w:r>
      <w:r w:rsidR="0089298C" w:rsidRPr="002F50BD">
        <w:rPr>
          <w:rFonts w:ascii="Verdana" w:hAnsi="Verdana"/>
          <w:sz w:val="20"/>
          <w:lang w:val="pt-BR"/>
        </w:rPr>
        <w:t>enquanto</w:t>
      </w:r>
      <w:r w:rsidR="004756C1" w:rsidRPr="002F50BD">
        <w:rPr>
          <w:rFonts w:ascii="Verdana" w:hAnsi="Verdana"/>
          <w:sz w:val="20"/>
          <w:lang w:val="pt-BR"/>
        </w:rPr>
        <w:t xml:space="preserve"> esta última limita</w:t>
      </w:r>
      <w:r w:rsidR="0089298C" w:rsidRPr="002F50BD">
        <w:rPr>
          <w:rFonts w:ascii="Verdana" w:hAnsi="Verdana"/>
          <w:sz w:val="20"/>
          <w:lang w:val="pt-BR"/>
        </w:rPr>
        <w:t xml:space="preserve"> as </w:t>
      </w:r>
      <w:r w:rsidR="004076AD" w:rsidRPr="002F50BD">
        <w:rPr>
          <w:rFonts w:ascii="Verdana" w:hAnsi="Verdana"/>
          <w:sz w:val="20"/>
          <w:lang w:val="pt-BR"/>
        </w:rPr>
        <w:t>possibilidade</w:t>
      </w:r>
      <w:r w:rsidR="004756C1" w:rsidRPr="002F50BD">
        <w:rPr>
          <w:rFonts w:ascii="Verdana" w:hAnsi="Verdana"/>
          <w:sz w:val="20"/>
          <w:lang w:val="pt-BR"/>
        </w:rPr>
        <w:t xml:space="preserve">s de </w:t>
      </w:r>
      <w:r w:rsidR="00DB51F0" w:rsidRPr="002F50BD">
        <w:rPr>
          <w:rFonts w:ascii="Verdana" w:hAnsi="Verdana"/>
          <w:sz w:val="20"/>
          <w:lang w:val="pt-BR"/>
        </w:rPr>
        <w:t>expropriação</w:t>
      </w:r>
      <w:r w:rsidR="0089298C" w:rsidRPr="002F50BD">
        <w:rPr>
          <w:rFonts w:ascii="Verdana" w:hAnsi="Verdana"/>
          <w:sz w:val="20"/>
          <w:lang w:val="pt-BR"/>
        </w:rPr>
        <w:t xml:space="preserve"> aos </w:t>
      </w:r>
      <w:r w:rsidR="000920B2" w:rsidRPr="002F50BD">
        <w:rPr>
          <w:rFonts w:ascii="Verdana" w:hAnsi="Verdana"/>
          <w:sz w:val="20"/>
          <w:lang w:val="pt-BR"/>
        </w:rPr>
        <w:t>imóveis</w:t>
      </w:r>
      <w:r w:rsidR="004756C1" w:rsidRPr="002F50BD">
        <w:rPr>
          <w:rFonts w:ascii="Verdana" w:hAnsi="Verdana"/>
          <w:sz w:val="20"/>
          <w:lang w:val="pt-BR"/>
        </w:rPr>
        <w:t xml:space="preserve"> n</w:t>
      </w:r>
      <w:r w:rsidR="00414ED5" w:rsidRPr="002F50BD">
        <w:rPr>
          <w:rFonts w:ascii="Verdana" w:hAnsi="Verdana"/>
          <w:sz w:val="20"/>
          <w:lang w:val="pt-BR"/>
        </w:rPr>
        <w:t>ã</w:t>
      </w:r>
      <w:r w:rsidR="004756C1" w:rsidRPr="002F50BD">
        <w:rPr>
          <w:rFonts w:ascii="Verdana" w:hAnsi="Verdana"/>
          <w:sz w:val="20"/>
          <w:lang w:val="pt-BR"/>
        </w:rPr>
        <w:t xml:space="preserve">o </w:t>
      </w:r>
      <w:r w:rsidR="00475EBB" w:rsidRPr="002F50BD">
        <w:rPr>
          <w:rFonts w:ascii="Verdana" w:hAnsi="Verdana"/>
          <w:sz w:val="20"/>
          <w:lang w:val="pt-BR"/>
        </w:rPr>
        <w:t>explorad</w:t>
      </w:r>
      <w:r w:rsidR="004756C1" w:rsidRPr="002F50BD">
        <w:rPr>
          <w:rFonts w:ascii="Verdana" w:hAnsi="Verdana"/>
          <w:sz w:val="20"/>
          <w:lang w:val="pt-BR"/>
        </w:rPr>
        <w:t>os racionalmente,</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109</w:t>
      </w:r>
      <w:r w:rsidR="0089298C" w:rsidRPr="002F50BD">
        <w:rPr>
          <w:rFonts w:ascii="Verdana" w:hAnsi="Verdana"/>
          <w:sz w:val="20"/>
          <w:lang w:val="pt-BR"/>
        </w:rPr>
        <w:t xml:space="preserve"> da Constituição</w:t>
      </w:r>
      <w:r w:rsidR="004756C1" w:rsidRPr="002F50BD">
        <w:rPr>
          <w:rFonts w:ascii="Verdana" w:hAnsi="Verdana"/>
          <w:sz w:val="20"/>
          <w:lang w:val="pt-BR"/>
        </w:rPr>
        <w:t xml:space="preserve"> Nacional,</w:t>
      </w:r>
      <w:r w:rsidR="0089298C" w:rsidRPr="002F50BD">
        <w:rPr>
          <w:rFonts w:ascii="Verdana" w:hAnsi="Verdana"/>
          <w:sz w:val="20"/>
          <w:lang w:val="pt-BR"/>
        </w:rPr>
        <w:t xml:space="preserve"> a lei </w:t>
      </w:r>
      <w:r w:rsidR="004756C1" w:rsidRPr="002F50BD">
        <w:rPr>
          <w:rFonts w:ascii="Verdana" w:hAnsi="Verdana"/>
          <w:sz w:val="20"/>
          <w:lang w:val="pt-BR"/>
        </w:rPr>
        <w:t>suprema</w:t>
      </w:r>
      <w:r w:rsidR="0089298C" w:rsidRPr="002F50BD">
        <w:rPr>
          <w:rFonts w:ascii="Verdana" w:hAnsi="Verdana"/>
          <w:sz w:val="20"/>
          <w:lang w:val="pt-BR"/>
        </w:rPr>
        <w:t xml:space="preserve"> da </w:t>
      </w:r>
      <w:r w:rsidR="004756C1" w:rsidRPr="002F50BD">
        <w:rPr>
          <w:rFonts w:ascii="Verdana" w:hAnsi="Verdana"/>
          <w:sz w:val="20"/>
          <w:lang w:val="pt-BR"/>
        </w:rPr>
        <w:t xml:space="preserve">República, </w:t>
      </w:r>
      <w:r w:rsidR="0089298C" w:rsidRPr="002F50BD">
        <w:rPr>
          <w:rFonts w:ascii="Verdana" w:hAnsi="Verdana"/>
          <w:sz w:val="20"/>
          <w:lang w:val="pt-BR"/>
        </w:rPr>
        <w:t>estabelece</w:t>
      </w:r>
      <w:r w:rsidR="004756C1" w:rsidRPr="002F50BD">
        <w:rPr>
          <w:rFonts w:ascii="Verdana" w:hAnsi="Verdana"/>
          <w:sz w:val="20"/>
          <w:lang w:val="pt-BR"/>
        </w:rPr>
        <w:t xml:space="preserve"> que</w:t>
      </w:r>
      <w:r w:rsidR="00681D91" w:rsidRPr="002F50BD">
        <w:rPr>
          <w:rFonts w:ascii="Verdana" w:hAnsi="Verdana"/>
          <w:sz w:val="20"/>
          <w:lang w:val="pt-BR"/>
        </w:rPr>
        <w:t>,</w:t>
      </w:r>
      <w:r w:rsidR="004756C1" w:rsidRPr="002F50BD">
        <w:rPr>
          <w:rFonts w:ascii="Verdana" w:hAnsi="Verdana"/>
          <w:sz w:val="20"/>
          <w:lang w:val="pt-BR"/>
        </w:rPr>
        <w:t xml:space="preserve"> para</w:t>
      </w:r>
      <w:r w:rsidR="0089298C" w:rsidRPr="002F50BD">
        <w:rPr>
          <w:rFonts w:ascii="Verdana" w:hAnsi="Verdana"/>
          <w:sz w:val="20"/>
          <w:lang w:val="pt-BR"/>
        </w:rPr>
        <w:t xml:space="preserve"> o </w:t>
      </w:r>
      <w:r w:rsidR="004756C1" w:rsidRPr="002F50BD">
        <w:rPr>
          <w:rFonts w:ascii="Verdana" w:hAnsi="Verdana"/>
          <w:sz w:val="20"/>
          <w:lang w:val="pt-BR"/>
        </w:rPr>
        <w:t xml:space="preserve">caso de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243D2E" w:rsidRPr="002F50BD">
        <w:rPr>
          <w:rFonts w:ascii="Verdana" w:hAnsi="Verdana"/>
          <w:sz w:val="20"/>
          <w:lang w:val="pt-BR"/>
        </w:rPr>
        <w:t>latifúndio</w:t>
      </w:r>
      <w:r w:rsidR="004756C1" w:rsidRPr="002F50BD">
        <w:rPr>
          <w:rFonts w:ascii="Verdana" w:hAnsi="Verdana"/>
          <w:sz w:val="20"/>
          <w:lang w:val="pt-BR"/>
        </w:rPr>
        <w:t>s im</w:t>
      </w:r>
      <w:r w:rsidR="001A249E" w:rsidRPr="002F50BD">
        <w:rPr>
          <w:rFonts w:ascii="Verdana" w:hAnsi="Verdana"/>
          <w:sz w:val="20"/>
          <w:lang w:val="pt-BR"/>
        </w:rPr>
        <w:t>produt</w:t>
      </w:r>
      <w:r w:rsidR="004E0A85">
        <w:rPr>
          <w:rFonts w:ascii="Verdana" w:hAnsi="Verdana"/>
          <w:sz w:val="20"/>
          <w:lang w:val="pt-BR"/>
        </w:rPr>
        <w:t>i</w:t>
      </w:r>
      <w:r w:rsidR="001A249E" w:rsidRPr="002F50BD">
        <w:rPr>
          <w:rFonts w:ascii="Verdana" w:hAnsi="Verdana"/>
          <w:sz w:val="20"/>
          <w:lang w:val="pt-BR"/>
        </w:rPr>
        <w:t>v</w:t>
      </w:r>
      <w:r w:rsidR="004756C1" w:rsidRPr="002F50BD">
        <w:rPr>
          <w:rFonts w:ascii="Verdana" w:hAnsi="Verdana"/>
          <w:sz w:val="20"/>
          <w:lang w:val="pt-BR"/>
        </w:rPr>
        <w:t>os destinados</w:t>
      </w:r>
      <w:r w:rsidR="0089298C" w:rsidRPr="002F50BD">
        <w:rPr>
          <w:rFonts w:ascii="Verdana" w:hAnsi="Verdana"/>
          <w:sz w:val="20"/>
          <w:lang w:val="pt-BR"/>
        </w:rPr>
        <w:t xml:space="preserve"> à </w:t>
      </w:r>
      <w:r w:rsidR="004756C1" w:rsidRPr="002F50BD">
        <w:rPr>
          <w:rFonts w:ascii="Verdana" w:hAnsi="Verdana"/>
          <w:sz w:val="20"/>
          <w:lang w:val="pt-BR"/>
        </w:rPr>
        <w:t xml:space="preserve">reforma </w:t>
      </w:r>
      <w:r w:rsidR="00414ED5" w:rsidRPr="002F50BD">
        <w:rPr>
          <w:rFonts w:ascii="Verdana" w:hAnsi="Verdana"/>
          <w:sz w:val="20"/>
          <w:lang w:val="pt-BR"/>
        </w:rPr>
        <w:t>agrária</w:t>
      </w:r>
      <w:r w:rsidR="00681D91" w:rsidRPr="002F50BD">
        <w:rPr>
          <w:rFonts w:ascii="Verdana" w:hAnsi="Verdana"/>
          <w:sz w:val="20"/>
          <w:lang w:val="pt-BR"/>
        </w:rPr>
        <w:t>,</w:t>
      </w:r>
      <w:r w:rsidR="0089298C" w:rsidRPr="002F50BD">
        <w:rPr>
          <w:rFonts w:ascii="Verdana" w:hAnsi="Verdana"/>
          <w:sz w:val="20"/>
          <w:lang w:val="pt-BR"/>
        </w:rPr>
        <w:t xml:space="preserve"> a mesm</w:t>
      </w:r>
      <w:r w:rsidR="004756C1" w:rsidRPr="002F50BD">
        <w:rPr>
          <w:rFonts w:ascii="Verdana" w:hAnsi="Verdana"/>
          <w:sz w:val="20"/>
          <w:lang w:val="pt-BR"/>
        </w:rPr>
        <w:t xml:space="preserve">a </w:t>
      </w:r>
      <w:r w:rsidR="0089298C" w:rsidRPr="002F50BD">
        <w:rPr>
          <w:rFonts w:ascii="Verdana" w:hAnsi="Verdana"/>
          <w:sz w:val="20"/>
          <w:lang w:val="pt-BR"/>
        </w:rPr>
        <w:t>lei estabelece o montante da indenização</w:t>
      </w:r>
      <w:r w:rsidR="004756C1" w:rsidRPr="002F50BD">
        <w:rPr>
          <w:rFonts w:ascii="Verdana" w:hAnsi="Verdana"/>
          <w:sz w:val="20"/>
          <w:lang w:val="pt-BR"/>
        </w:rPr>
        <w:t xml:space="preserve">, </w:t>
      </w:r>
      <w:r w:rsidR="0089298C" w:rsidRPr="002F50BD">
        <w:rPr>
          <w:rFonts w:ascii="Verdana" w:hAnsi="Verdana"/>
          <w:sz w:val="20"/>
          <w:lang w:val="pt-BR"/>
        </w:rPr>
        <w:t>enquanto</w:t>
      </w:r>
      <w:r w:rsidR="00681D91"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nos outros</w:t>
      </w:r>
      <w:r w:rsidR="004756C1" w:rsidRPr="002F50BD">
        <w:rPr>
          <w:rFonts w:ascii="Verdana" w:hAnsi="Verdana"/>
          <w:sz w:val="20"/>
          <w:lang w:val="pt-BR"/>
        </w:rPr>
        <w:t xml:space="preserve"> casos</w:t>
      </w:r>
      <w:r w:rsidR="00681D91"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referido</w:t>
      </w:r>
      <w:r w:rsidR="0089298C" w:rsidRPr="002F50BD">
        <w:rPr>
          <w:rFonts w:ascii="Verdana" w:hAnsi="Verdana"/>
          <w:sz w:val="20"/>
          <w:lang w:val="pt-BR"/>
        </w:rPr>
        <w:t xml:space="preserve"> montante </w:t>
      </w:r>
      <w:r w:rsidR="004756C1" w:rsidRPr="002F50BD">
        <w:rPr>
          <w:rFonts w:ascii="Verdana" w:hAnsi="Verdana"/>
          <w:sz w:val="20"/>
          <w:lang w:val="pt-BR"/>
        </w:rPr>
        <w:t xml:space="preserve">se </w:t>
      </w:r>
      <w:r w:rsidR="0089298C" w:rsidRPr="002F50BD">
        <w:rPr>
          <w:rFonts w:ascii="Verdana" w:hAnsi="Verdana"/>
          <w:sz w:val="20"/>
          <w:lang w:val="pt-BR"/>
        </w:rPr>
        <w:t>estabelece</w:t>
      </w:r>
      <w:r w:rsidR="004756C1" w:rsidRPr="002F50BD">
        <w:rPr>
          <w:rFonts w:ascii="Verdana" w:hAnsi="Verdana"/>
          <w:sz w:val="20"/>
          <w:lang w:val="pt-BR"/>
        </w:rPr>
        <w:t xml:space="preserve"> convencionalmente o</w:t>
      </w:r>
      <w:r w:rsidR="00B76BEF" w:rsidRPr="002F50BD">
        <w:rPr>
          <w:rFonts w:ascii="Verdana" w:hAnsi="Verdana"/>
          <w:sz w:val="20"/>
          <w:lang w:val="pt-BR"/>
        </w:rPr>
        <w:t>u</w:t>
      </w:r>
      <w:r w:rsidR="004756C1" w:rsidRPr="002F50BD">
        <w:rPr>
          <w:rFonts w:ascii="Verdana" w:hAnsi="Verdana"/>
          <w:sz w:val="20"/>
          <w:lang w:val="pt-BR"/>
        </w:rPr>
        <w:t xml:space="preserve"> por </w:t>
      </w:r>
      <w:r w:rsidR="0089298C" w:rsidRPr="002F50BD">
        <w:rPr>
          <w:rFonts w:ascii="Verdana" w:hAnsi="Verdana"/>
          <w:sz w:val="20"/>
          <w:lang w:val="pt-BR"/>
        </w:rPr>
        <w:t>sentença</w:t>
      </w:r>
      <w:r w:rsidR="004756C1" w:rsidRPr="002F50BD">
        <w:rPr>
          <w:rFonts w:ascii="Verdana" w:hAnsi="Verdana"/>
          <w:sz w:val="20"/>
          <w:lang w:val="pt-BR"/>
        </w:rPr>
        <w:t xml:space="preserve"> judicial</w:t>
      </w:r>
      <w:r w:rsidR="00BE346D" w:rsidRPr="002F50BD">
        <w:rPr>
          <w:rFonts w:ascii="Verdana" w:hAnsi="Verdana"/>
          <w:sz w:val="20"/>
          <w:lang w:val="pt-BR"/>
        </w:rPr>
        <w:t xml:space="preserve">. A </w:t>
      </w:r>
      <w:r w:rsidR="0089298C" w:rsidRPr="002F50BD">
        <w:rPr>
          <w:rFonts w:ascii="Verdana" w:hAnsi="Verdana"/>
          <w:sz w:val="20"/>
          <w:lang w:val="pt-BR"/>
        </w:rPr>
        <w:t>mesm</w:t>
      </w:r>
      <w:r w:rsidR="004756C1" w:rsidRPr="002F50BD">
        <w:rPr>
          <w:rFonts w:ascii="Verdana" w:hAnsi="Verdana"/>
          <w:sz w:val="20"/>
          <w:lang w:val="pt-BR"/>
        </w:rPr>
        <w:t>a Sala Constitucional</w:t>
      </w:r>
      <w:r w:rsidR="0089298C" w:rsidRPr="002F50BD">
        <w:rPr>
          <w:rFonts w:ascii="Verdana" w:hAnsi="Verdana"/>
          <w:sz w:val="20"/>
          <w:lang w:val="pt-BR"/>
        </w:rPr>
        <w:t xml:space="preserve"> da </w:t>
      </w:r>
      <w:r w:rsidR="004756C1" w:rsidRPr="002F50BD">
        <w:rPr>
          <w:rFonts w:ascii="Verdana" w:hAnsi="Verdana"/>
          <w:sz w:val="20"/>
          <w:lang w:val="pt-BR"/>
        </w:rPr>
        <w:t xml:space="preserve">Corte Suprema de </w:t>
      </w:r>
      <w:r w:rsidR="0089298C" w:rsidRPr="002F50BD">
        <w:rPr>
          <w:rFonts w:ascii="Verdana" w:hAnsi="Verdana"/>
          <w:sz w:val="20"/>
          <w:lang w:val="pt-BR"/>
        </w:rPr>
        <w:t>Justiça</w:t>
      </w:r>
      <w:r w:rsidR="004756C1" w:rsidRPr="002F50BD">
        <w:rPr>
          <w:rFonts w:ascii="Verdana" w:hAnsi="Verdana"/>
          <w:sz w:val="20"/>
          <w:lang w:val="pt-BR"/>
        </w:rPr>
        <w:t xml:space="preserve"> </w:t>
      </w:r>
      <w:r w:rsidR="0089298C" w:rsidRPr="002F50BD">
        <w:rPr>
          <w:rFonts w:ascii="Verdana" w:hAnsi="Verdana"/>
          <w:sz w:val="20"/>
          <w:lang w:val="pt-BR"/>
        </w:rPr>
        <w:t>estabeleceu</w:t>
      </w:r>
      <w:r w:rsidR="004756C1" w:rsidRPr="002F50BD">
        <w:rPr>
          <w:rFonts w:ascii="Verdana" w:hAnsi="Verdana"/>
          <w:sz w:val="20"/>
          <w:lang w:val="pt-BR"/>
        </w:rPr>
        <w:t xml:space="preserve"> </w:t>
      </w:r>
      <w:r w:rsidR="0089298C" w:rsidRPr="002F50BD">
        <w:rPr>
          <w:rFonts w:ascii="Verdana" w:hAnsi="Verdana"/>
          <w:sz w:val="20"/>
          <w:lang w:val="pt-BR"/>
        </w:rPr>
        <w:t xml:space="preserve">jurisprudência </w:t>
      </w:r>
      <w:r w:rsidR="004756C1" w:rsidRPr="002F50BD">
        <w:rPr>
          <w:rFonts w:ascii="Verdana" w:hAnsi="Verdana"/>
          <w:sz w:val="20"/>
          <w:lang w:val="pt-BR"/>
        </w:rPr>
        <w:t>afirmando que</w:t>
      </w:r>
      <w:r w:rsidR="00681D91" w:rsidRPr="002F50BD">
        <w:rPr>
          <w:rFonts w:ascii="Verdana" w:hAnsi="Verdana"/>
          <w:sz w:val="20"/>
          <w:lang w:val="pt-BR"/>
        </w:rPr>
        <w:t>,</w:t>
      </w:r>
      <w:r w:rsidR="004756C1" w:rsidRPr="002F50BD">
        <w:rPr>
          <w:rFonts w:ascii="Verdana" w:hAnsi="Verdana"/>
          <w:sz w:val="20"/>
          <w:lang w:val="pt-BR"/>
        </w:rPr>
        <w:t xml:space="preserve"> para que</w:t>
      </w:r>
      <w:r w:rsidR="0089298C" w:rsidRPr="002F50BD">
        <w:rPr>
          <w:rFonts w:ascii="Verdana" w:hAnsi="Verdana"/>
          <w:sz w:val="20"/>
          <w:lang w:val="pt-BR"/>
        </w:rPr>
        <w:t xml:space="preserve"> seja </w:t>
      </w:r>
      <w:r w:rsidR="004756C1" w:rsidRPr="002F50BD">
        <w:rPr>
          <w:rFonts w:ascii="Verdana" w:hAnsi="Verdana"/>
          <w:sz w:val="20"/>
          <w:lang w:val="pt-BR"/>
        </w:rPr>
        <w:t>procedente</w:t>
      </w:r>
      <w:r w:rsidR="0089298C" w:rsidRPr="002F50BD">
        <w:rPr>
          <w:rFonts w:ascii="Verdana" w:hAnsi="Verdana"/>
          <w:sz w:val="20"/>
          <w:lang w:val="pt-BR"/>
        </w:rPr>
        <w:t xml:space="preserve"> a </w:t>
      </w:r>
      <w:r w:rsidR="00DB51F0" w:rsidRPr="002F50BD">
        <w:rPr>
          <w:rFonts w:ascii="Verdana" w:hAnsi="Verdana"/>
          <w:sz w:val="20"/>
          <w:lang w:val="pt-BR"/>
        </w:rPr>
        <w:t>expropriação</w:t>
      </w:r>
      <w:r w:rsidR="00681D91" w:rsidRPr="002F50BD">
        <w:rPr>
          <w:rFonts w:ascii="Verdana" w:hAnsi="Verdana"/>
          <w:sz w:val="20"/>
          <w:lang w:val="pt-BR"/>
        </w:rPr>
        <w:t>,</w:t>
      </w:r>
      <w:r w:rsidR="0089298C" w:rsidRPr="002F50BD">
        <w:rPr>
          <w:rFonts w:ascii="Verdana" w:hAnsi="Verdana"/>
          <w:sz w:val="20"/>
          <w:lang w:val="pt-BR"/>
        </w:rPr>
        <w:t xml:space="preserve"> é </w:t>
      </w:r>
      <w:r w:rsidR="004756C1" w:rsidRPr="002F50BD">
        <w:rPr>
          <w:rFonts w:ascii="Verdana" w:hAnsi="Verdana"/>
          <w:sz w:val="20"/>
          <w:lang w:val="pt-BR"/>
        </w:rPr>
        <w:t>suficiente</w:t>
      </w:r>
      <w:r w:rsidR="0089298C" w:rsidRPr="002F50BD">
        <w:rPr>
          <w:rFonts w:ascii="Verdana" w:hAnsi="Verdana"/>
          <w:sz w:val="20"/>
          <w:lang w:val="pt-BR"/>
        </w:rPr>
        <w:t xml:space="preserve"> a </w:t>
      </w:r>
      <w:r w:rsidR="004756C1" w:rsidRPr="002F50BD">
        <w:rPr>
          <w:rFonts w:ascii="Verdana" w:hAnsi="Verdana"/>
          <w:sz w:val="20"/>
          <w:lang w:val="pt-BR"/>
        </w:rPr>
        <w:t>convic</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legislador sobre</w:t>
      </w:r>
      <w:r w:rsidR="0089298C" w:rsidRPr="002F50BD">
        <w:rPr>
          <w:rFonts w:ascii="Verdana" w:hAnsi="Verdana"/>
          <w:sz w:val="20"/>
          <w:lang w:val="pt-BR"/>
        </w:rPr>
        <w:t xml:space="preserve"> a existência</w:t>
      </w:r>
      <w:r w:rsidR="004756C1" w:rsidRPr="002F50BD">
        <w:rPr>
          <w:rFonts w:ascii="Verdana" w:hAnsi="Verdana"/>
          <w:sz w:val="20"/>
          <w:lang w:val="pt-BR"/>
        </w:rPr>
        <w:t xml:space="preserve"> de</w:t>
      </w:r>
      <w:r w:rsidR="0089298C" w:rsidRPr="002F50BD">
        <w:rPr>
          <w:rFonts w:ascii="Verdana" w:hAnsi="Verdana"/>
          <w:sz w:val="20"/>
          <w:lang w:val="pt-BR"/>
        </w:rPr>
        <w:t xml:space="preserve"> uma necessidad</w:t>
      </w:r>
      <w:r w:rsidR="00B76BEF" w:rsidRPr="002F50BD">
        <w:rPr>
          <w:rFonts w:ascii="Verdana" w:hAnsi="Verdana"/>
          <w:sz w:val="20"/>
          <w:lang w:val="pt-BR"/>
        </w:rPr>
        <w:t xml:space="preserve">e </w:t>
      </w:r>
      <w:r w:rsidR="0089298C" w:rsidRPr="002F50BD">
        <w:rPr>
          <w:rFonts w:ascii="Verdana" w:hAnsi="Verdana"/>
          <w:sz w:val="20"/>
          <w:lang w:val="pt-BR"/>
        </w:rPr>
        <w:t>o</w:t>
      </w:r>
      <w:r w:rsidR="00B76BEF" w:rsidRPr="002F50BD">
        <w:rPr>
          <w:rFonts w:ascii="Verdana" w:hAnsi="Verdana"/>
          <w:sz w:val="20"/>
          <w:lang w:val="pt-BR"/>
        </w:rPr>
        <w:t>u</w:t>
      </w:r>
      <w:r w:rsidR="0089298C" w:rsidRPr="002F50BD">
        <w:rPr>
          <w:rFonts w:ascii="Verdana" w:hAnsi="Verdana"/>
          <w:sz w:val="20"/>
          <w:lang w:val="pt-BR"/>
        </w:rPr>
        <w:t xml:space="preserve"> interesse </w:t>
      </w:r>
      <w:r w:rsidR="004756C1" w:rsidRPr="002F50BD">
        <w:rPr>
          <w:rFonts w:ascii="Verdana" w:hAnsi="Verdana"/>
          <w:sz w:val="20"/>
          <w:lang w:val="pt-BR"/>
        </w:rPr>
        <w:t>social o</w:t>
      </w:r>
      <w:r w:rsidR="00B76BEF" w:rsidRPr="002F50BD">
        <w:rPr>
          <w:rFonts w:ascii="Verdana" w:hAnsi="Verdana"/>
          <w:sz w:val="20"/>
          <w:lang w:val="pt-BR"/>
        </w:rPr>
        <w:t>u</w:t>
      </w:r>
      <w:r w:rsidR="004756C1" w:rsidRPr="002F50BD">
        <w:rPr>
          <w:rFonts w:ascii="Verdana" w:hAnsi="Verdana"/>
          <w:sz w:val="20"/>
          <w:lang w:val="pt-BR"/>
        </w:rPr>
        <w:t xml:space="preserve"> causa de </w:t>
      </w:r>
      <w:r w:rsidR="0089298C" w:rsidRPr="002F50BD">
        <w:rPr>
          <w:rFonts w:ascii="Verdana" w:hAnsi="Verdana"/>
          <w:sz w:val="20"/>
          <w:lang w:val="pt-BR"/>
        </w:rPr>
        <w:t xml:space="preserve">utilidade </w:t>
      </w:r>
      <w:r w:rsidR="004756C1" w:rsidRPr="002F50BD">
        <w:rPr>
          <w:rFonts w:ascii="Verdana" w:hAnsi="Verdana"/>
          <w:sz w:val="20"/>
          <w:lang w:val="pt-BR"/>
        </w:rPr>
        <w:t>pública</w:t>
      </w:r>
      <w:r w:rsidR="0089298C" w:rsidRPr="002F50BD">
        <w:rPr>
          <w:rFonts w:ascii="Verdana" w:hAnsi="Verdana"/>
          <w:sz w:val="20"/>
          <w:lang w:val="pt-BR"/>
        </w:rPr>
        <w:t xml:space="preserve"> e</w:t>
      </w:r>
      <w:r w:rsidR="004756C1" w:rsidRPr="002F50BD">
        <w:rPr>
          <w:rFonts w:ascii="Verdana" w:hAnsi="Verdana"/>
          <w:sz w:val="20"/>
          <w:lang w:val="pt-BR"/>
        </w:rPr>
        <w:t xml:space="preserve"> que</w:t>
      </w:r>
      <w:r w:rsidR="0089298C" w:rsidRPr="002F50BD">
        <w:rPr>
          <w:rFonts w:ascii="Verdana" w:hAnsi="Verdana"/>
          <w:sz w:val="20"/>
          <w:lang w:val="pt-BR"/>
        </w:rPr>
        <w:t xml:space="preserve"> a mesm</w:t>
      </w:r>
      <w:r w:rsidR="004756C1" w:rsidRPr="002F50BD">
        <w:rPr>
          <w:rFonts w:ascii="Verdana" w:hAnsi="Verdana"/>
          <w:sz w:val="20"/>
          <w:lang w:val="pt-BR"/>
        </w:rPr>
        <w:t xml:space="preserve">a </w:t>
      </w:r>
      <w:r w:rsidR="0089298C" w:rsidRPr="002F50BD">
        <w:rPr>
          <w:rFonts w:ascii="Verdana" w:hAnsi="Verdana"/>
          <w:sz w:val="20"/>
          <w:lang w:val="pt-BR"/>
        </w:rPr>
        <w:t>possa</w:t>
      </w:r>
      <w:r w:rsidR="004756C1" w:rsidRPr="002F50BD">
        <w:rPr>
          <w:rFonts w:ascii="Verdana" w:hAnsi="Verdana"/>
          <w:sz w:val="20"/>
          <w:lang w:val="pt-BR"/>
        </w:rPr>
        <w:t xml:space="preserve"> </w:t>
      </w:r>
      <w:r w:rsidR="00681D91" w:rsidRPr="002F50BD">
        <w:rPr>
          <w:rFonts w:ascii="Verdana" w:hAnsi="Verdana"/>
          <w:sz w:val="20"/>
          <w:lang w:val="pt-BR"/>
        </w:rPr>
        <w:t xml:space="preserve">ser </w:t>
      </w:r>
      <w:r w:rsidR="004756C1" w:rsidRPr="002F50BD">
        <w:rPr>
          <w:rFonts w:ascii="Verdana" w:hAnsi="Verdana"/>
          <w:sz w:val="20"/>
          <w:lang w:val="pt-BR"/>
        </w:rPr>
        <w:t>remedia</w:t>
      </w:r>
      <w:r w:rsidR="00681D91" w:rsidRPr="002F50BD">
        <w:rPr>
          <w:rFonts w:ascii="Verdana" w:hAnsi="Verdana"/>
          <w:sz w:val="20"/>
          <w:lang w:val="pt-BR"/>
        </w:rPr>
        <w:t>da</w:t>
      </w:r>
      <w:r w:rsidR="0089298C" w:rsidRPr="002F50BD">
        <w:rPr>
          <w:rFonts w:ascii="Verdana" w:hAnsi="Verdana"/>
          <w:sz w:val="20"/>
          <w:lang w:val="pt-BR"/>
        </w:rPr>
        <w:t xml:space="preserve"> com a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0920B2" w:rsidRPr="002F50BD">
        <w:rPr>
          <w:rFonts w:ascii="Verdana" w:hAnsi="Verdana"/>
          <w:sz w:val="20"/>
          <w:lang w:val="pt-BR"/>
        </w:rPr>
        <w:t>imóveis</w:t>
      </w:r>
      <w:r w:rsidR="004756C1" w:rsidRPr="002F50BD">
        <w:rPr>
          <w:rFonts w:ascii="Verdana" w:hAnsi="Verdana"/>
          <w:sz w:val="20"/>
          <w:lang w:val="pt-BR"/>
        </w:rPr>
        <w:t xml:space="preserve"> específicos. </w:t>
      </w:r>
    </w:p>
    <w:p w:rsidR="004756C1" w:rsidRPr="002F50BD" w:rsidRDefault="004756C1">
      <w:pPr>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Na </w:t>
      </w:r>
      <w:r w:rsidR="004756C1" w:rsidRPr="002F50BD">
        <w:rPr>
          <w:rFonts w:ascii="Verdana" w:hAnsi="Verdana"/>
          <w:sz w:val="20"/>
          <w:lang w:val="pt-BR"/>
        </w:rPr>
        <w:t>medida indicada</w:t>
      </w:r>
      <w:r w:rsidR="00681D91" w:rsidRPr="002F50BD">
        <w:rPr>
          <w:rFonts w:ascii="Verdana" w:hAnsi="Verdana"/>
          <w:sz w:val="20"/>
          <w:lang w:val="pt-BR"/>
        </w:rPr>
        <w:t>,</w:t>
      </w:r>
      <w:r w:rsidR="004756C1" w:rsidRPr="002F50BD">
        <w:rPr>
          <w:rFonts w:ascii="Verdana" w:hAnsi="Verdana"/>
          <w:sz w:val="20"/>
          <w:lang w:val="pt-BR"/>
        </w:rPr>
        <w:t xml:space="preserve"> n</w:t>
      </w:r>
      <w:r w:rsidR="00B76BEF" w:rsidRPr="002F50BD">
        <w:rPr>
          <w:rFonts w:ascii="Verdana" w:hAnsi="Verdana"/>
          <w:sz w:val="20"/>
          <w:lang w:val="pt-BR"/>
        </w:rPr>
        <w:t>ã</w:t>
      </w:r>
      <w:r w:rsidR="004756C1" w:rsidRPr="002F50BD">
        <w:rPr>
          <w:rFonts w:ascii="Verdana" w:hAnsi="Verdana"/>
          <w:sz w:val="20"/>
          <w:lang w:val="pt-BR"/>
        </w:rPr>
        <w:t xml:space="preserve">o se </w:t>
      </w:r>
      <w:r w:rsidRPr="002F50BD">
        <w:rPr>
          <w:rFonts w:ascii="Verdana" w:hAnsi="Verdana"/>
          <w:sz w:val="20"/>
          <w:lang w:val="pt-BR"/>
        </w:rPr>
        <w:t>requer a presença</w:t>
      </w:r>
      <w:r w:rsidR="00B76BEF" w:rsidRPr="002F50BD">
        <w:rPr>
          <w:rFonts w:ascii="Verdana" w:hAnsi="Verdana"/>
          <w:sz w:val="20"/>
          <w:lang w:val="pt-BR"/>
        </w:rPr>
        <w:t xml:space="preserve"> </w:t>
      </w:r>
      <w:r w:rsidR="004756C1" w:rsidRPr="002F50BD">
        <w:rPr>
          <w:rFonts w:ascii="Verdana" w:hAnsi="Verdana"/>
          <w:sz w:val="20"/>
          <w:lang w:val="pt-BR"/>
        </w:rPr>
        <w:t xml:space="preserve">de </w:t>
      </w:r>
      <w:r w:rsidR="00AB454A" w:rsidRPr="002F50BD">
        <w:rPr>
          <w:rFonts w:ascii="Verdana" w:hAnsi="Verdana"/>
          <w:sz w:val="20"/>
          <w:lang w:val="pt-BR"/>
        </w:rPr>
        <w:t>exploração</w:t>
      </w:r>
      <w:r w:rsidR="004756C1" w:rsidRPr="002F50BD">
        <w:rPr>
          <w:rFonts w:ascii="Verdana" w:hAnsi="Verdana"/>
          <w:sz w:val="20"/>
          <w:lang w:val="pt-BR"/>
        </w:rPr>
        <w:t xml:space="preserve"> irracional</w:t>
      </w:r>
      <w:r w:rsidRPr="002F50BD">
        <w:rPr>
          <w:rFonts w:ascii="Verdana" w:hAnsi="Verdana"/>
          <w:sz w:val="20"/>
          <w:lang w:val="pt-BR"/>
        </w:rPr>
        <w:t xml:space="preserve"> das </w:t>
      </w:r>
      <w:r w:rsidR="00414ED5" w:rsidRPr="002F50BD">
        <w:rPr>
          <w:rFonts w:ascii="Verdana" w:hAnsi="Verdana"/>
          <w:sz w:val="20"/>
          <w:lang w:val="pt-BR"/>
        </w:rPr>
        <w:t>fazendas</w:t>
      </w:r>
      <w:r w:rsidR="004756C1" w:rsidRPr="002F50BD">
        <w:rPr>
          <w:rFonts w:ascii="Verdana" w:hAnsi="Verdana"/>
          <w:sz w:val="20"/>
          <w:lang w:val="pt-BR"/>
        </w:rPr>
        <w:t xml:space="preserve"> que se pretende expropiar. </w:t>
      </w:r>
    </w:p>
    <w:p w:rsidR="004756C1" w:rsidRPr="002F50BD" w:rsidRDefault="004756C1">
      <w:pPr>
        <w:ind w:left="36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19</w:t>
      </w:r>
      <w:r w:rsidR="004756C1" w:rsidRPr="002F50BD">
        <w:rPr>
          <w:rFonts w:ascii="Verdana" w:hAnsi="Verdana"/>
          <w:sz w:val="20"/>
          <w:lang w:val="pt-BR"/>
        </w:rPr>
        <w:t>.</w:t>
      </w:r>
      <w:r w:rsidR="004756C1" w:rsidRPr="002F50BD">
        <w:rPr>
          <w:rFonts w:ascii="Verdana" w:hAnsi="Verdana"/>
          <w:sz w:val="20"/>
          <w:lang w:val="pt-BR"/>
        </w:rPr>
        <w:tab/>
        <w:t>S</w:t>
      </w:r>
      <w:r w:rsidR="00B76BEF" w:rsidRPr="002F50BD">
        <w:rPr>
          <w:rFonts w:ascii="Verdana" w:hAnsi="Verdana"/>
          <w:sz w:val="20"/>
          <w:lang w:val="pt-BR"/>
        </w:rPr>
        <w:t>ã</w:t>
      </w:r>
      <w:r w:rsidR="004756C1" w:rsidRPr="002F50BD">
        <w:rPr>
          <w:rFonts w:ascii="Verdana" w:hAnsi="Verdana"/>
          <w:sz w:val="20"/>
          <w:lang w:val="pt-BR"/>
        </w:rPr>
        <w:t xml:space="preserve">o particularmente pertinentes </w:t>
      </w:r>
      <w:r w:rsidR="0089298C" w:rsidRPr="002F50BD">
        <w:rPr>
          <w:rFonts w:ascii="Verdana" w:hAnsi="Verdana"/>
          <w:sz w:val="20"/>
          <w:lang w:val="pt-BR"/>
        </w:rPr>
        <w:t>alguns parágrafo</w:t>
      </w:r>
      <w:r w:rsidR="004756C1" w:rsidRPr="002F50BD">
        <w:rPr>
          <w:rFonts w:ascii="Verdana" w:hAnsi="Verdana"/>
          <w:sz w:val="20"/>
          <w:lang w:val="pt-BR"/>
        </w:rPr>
        <w:t xml:space="preserve">s </w:t>
      </w:r>
      <w:r w:rsidR="0089298C" w:rsidRPr="002F50BD">
        <w:rPr>
          <w:rFonts w:ascii="Verdana" w:hAnsi="Verdana"/>
          <w:sz w:val="20"/>
          <w:lang w:val="pt-BR"/>
        </w:rPr>
        <w:t>do Acordo e Sentença</w:t>
      </w:r>
      <w:r w:rsidR="004756C1" w:rsidRPr="002F50BD">
        <w:rPr>
          <w:rFonts w:ascii="Verdana" w:hAnsi="Verdana"/>
          <w:sz w:val="20"/>
          <w:lang w:val="pt-BR"/>
        </w:rPr>
        <w:t xml:space="preserve"> Nº </w:t>
      </w:r>
      <w:r w:rsidRPr="002F50BD">
        <w:rPr>
          <w:rFonts w:ascii="Verdana" w:hAnsi="Verdana"/>
          <w:sz w:val="20"/>
          <w:lang w:val="pt-BR"/>
        </w:rPr>
        <w:t>377</w:t>
      </w:r>
      <w:r w:rsidR="00FE08B7">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ind w:left="720" w:right="584"/>
        <w:jc w:val="both"/>
        <w:rPr>
          <w:rFonts w:ascii="Verdana" w:hAnsi="Verdana"/>
          <w:sz w:val="16"/>
          <w:lang w:val="pt-BR"/>
        </w:rPr>
      </w:pPr>
      <w:r w:rsidRPr="002F50BD">
        <w:rPr>
          <w:rFonts w:ascii="Verdana" w:hAnsi="Verdana"/>
          <w:sz w:val="16"/>
          <w:lang w:val="pt-BR"/>
        </w:rPr>
        <w:t>“</w:t>
      </w:r>
      <w:r w:rsidR="004076AD" w:rsidRPr="002F50BD">
        <w:rPr>
          <w:rFonts w:ascii="Verdana" w:hAnsi="Verdana"/>
          <w:sz w:val="16"/>
          <w:lang w:val="pt-BR"/>
        </w:rPr>
        <w:t>Ação</w:t>
      </w:r>
      <w:r w:rsidRPr="002F50BD">
        <w:rPr>
          <w:rFonts w:ascii="Verdana" w:hAnsi="Verdana"/>
          <w:sz w:val="16"/>
          <w:lang w:val="pt-BR"/>
        </w:rPr>
        <w:t xml:space="preserve"> de In</w:t>
      </w:r>
      <w:r w:rsidR="0089298C" w:rsidRPr="002F50BD">
        <w:rPr>
          <w:rFonts w:ascii="Verdana" w:hAnsi="Verdana"/>
          <w:sz w:val="16"/>
          <w:lang w:val="pt-BR"/>
        </w:rPr>
        <w:t>constitucionalidade do juízo</w:t>
      </w:r>
      <w:r w:rsidRPr="002F50BD">
        <w:rPr>
          <w:rFonts w:ascii="Verdana" w:hAnsi="Verdana"/>
          <w:sz w:val="16"/>
          <w:lang w:val="pt-BR"/>
        </w:rPr>
        <w:t xml:space="preserve"> Comercial Imobili</w:t>
      </w:r>
      <w:r w:rsidR="00B76BEF" w:rsidRPr="002F50BD">
        <w:rPr>
          <w:rFonts w:ascii="Verdana" w:hAnsi="Verdana"/>
          <w:sz w:val="16"/>
          <w:lang w:val="pt-BR"/>
        </w:rPr>
        <w:t>á</w:t>
      </w:r>
      <w:r w:rsidRPr="002F50BD">
        <w:rPr>
          <w:rFonts w:ascii="Verdana" w:hAnsi="Verdana"/>
          <w:sz w:val="16"/>
          <w:lang w:val="pt-BR"/>
        </w:rPr>
        <w:t xml:space="preserve">ria </w:t>
      </w:r>
      <w:r w:rsidR="0089298C" w:rsidRPr="002F50BD">
        <w:rPr>
          <w:rFonts w:ascii="Verdana" w:hAnsi="Verdana"/>
          <w:sz w:val="16"/>
          <w:lang w:val="pt-BR"/>
        </w:rPr>
        <w:t>Paraguai</w:t>
      </w:r>
      <w:r w:rsidRPr="002F50BD">
        <w:rPr>
          <w:rFonts w:ascii="Verdana" w:hAnsi="Verdana"/>
          <w:sz w:val="16"/>
          <w:lang w:val="pt-BR"/>
        </w:rPr>
        <w:t>o-Argentina S.A. CIPASA contra</w:t>
      </w:r>
      <w:r w:rsidR="0089298C" w:rsidRPr="002F50BD">
        <w:rPr>
          <w:rFonts w:ascii="Verdana" w:hAnsi="Verdana"/>
          <w:sz w:val="16"/>
          <w:lang w:val="pt-BR"/>
        </w:rPr>
        <w:t xml:space="preserve"> a Lei </w:t>
      </w:r>
      <w:r w:rsidR="00063B47" w:rsidRPr="002F50BD">
        <w:rPr>
          <w:rFonts w:ascii="Verdana" w:hAnsi="Verdana"/>
          <w:sz w:val="16"/>
          <w:lang w:val="pt-BR"/>
        </w:rPr>
        <w:t>517</w:t>
      </w:r>
      <w:r w:rsidRPr="002F50BD">
        <w:rPr>
          <w:rFonts w:ascii="Verdana" w:hAnsi="Verdana"/>
          <w:sz w:val="16"/>
          <w:lang w:val="pt-BR"/>
        </w:rPr>
        <w:t>/</w:t>
      </w:r>
      <w:r w:rsidR="00063B47" w:rsidRPr="002F50BD">
        <w:rPr>
          <w:rFonts w:ascii="Verdana" w:hAnsi="Verdana"/>
          <w:sz w:val="16"/>
          <w:lang w:val="pt-BR"/>
        </w:rPr>
        <w:t>95</w:t>
      </w:r>
      <w:r w:rsidRPr="002F50BD">
        <w:rPr>
          <w:rFonts w:ascii="Verdana" w:hAnsi="Verdana"/>
          <w:sz w:val="16"/>
          <w:lang w:val="pt-BR"/>
        </w:rPr>
        <w:t>”.</w:t>
      </w:r>
    </w:p>
    <w:p w:rsidR="004756C1" w:rsidRPr="002F50BD" w:rsidRDefault="004756C1">
      <w:pPr>
        <w:ind w:left="720" w:right="584"/>
        <w:jc w:val="both"/>
        <w:rPr>
          <w:rFonts w:ascii="Verdana" w:hAnsi="Verdana"/>
          <w:sz w:val="16"/>
          <w:lang w:val="pt-BR"/>
        </w:rPr>
      </w:pPr>
    </w:p>
    <w:p w:rsidR="004756C1" w:rsidRPr="002F50BD" w:rsidRDefault="00CF451D">
      <w:pPr>
        <w:tabs>
          <w:tab w:val="right" w:leader="hyphen" w:pos="7230"/>
        </w:tabs>
        <w:ind w:left="720" w:right="584"/>
        <w:jc w:val="both"/>
        <w:rPr>
          <w:rFonts w:ascii="Verdana" w:hAnsi="Verdana"/>
          <w:sz w:val="16"/>
          <w:lang w:val="pt-BR"/>
        </w:rPr>
      </w:pPr>
      <w:r w:rsidRPr="00CF451D">
        <w:rPr>
          <w:rFonts w:ascii="Verdana" w:hAnsi="Verdana"/>
          <w:sz w:val="16"/>
          <w:lang w:val="pt-BR"/>
        </w:rPr>
        <w:t>(</w:t>
      </w:r>
      <w:r w:rsidR="004756C1" w:rsidRPr="002F50BD">
        <w:rPr>
          <w:rFonts w:ascii="Verdana" w:hAnsi="Verdana"/>
          <w:sz w:val="16"/>
          <w:lang w:val="pt-BR"/>
        </w:rPr>
        <w:t>...</w:t>
      </w:r>
      <w:r w:rsidRPr="00CF451D">
        <w:rPr>
          <w:rFonts w:ascii="Verdana" w:hAnsi="Verdana"/>
          <w:sz w:val="16"/>
          <w:lang w:val="pt-BR"/>
        </w:rPr>
        <w:t>)</w:t>
      </w:r>
      <w:r w:rsidR="0089298C" w:rsidRPr="002F50BD">
        <w:rPr>
          <w:rFonts w:ascii="Verdana" w:hAnsi="Verdana"/>
          <w:sz w:val="16"/>
          <w:lang w:val="pt-BR"/>
        </w:rPr>
        <w:t xml:space="preserve"> é a própria Lei </w:t>
      </w:r>
      <w:r w:rsidR="004756C1" w:rsidRPr="002F50BD">
        <w:rPr>
          <w:rFonts w:ascii="Verdana" w:hAnsi="Verdana"/>
          <w:sz w:val="16"/>
          <w:lang w:val="pt-BR"/>
        </w:rPr>
        <w:t>Suprema</w:t>
      </w:r>
      <w:r w:rsidR="0089298C" w:rsidRPr="002F50BD">
        <w:rPr>
          <w:rFonts w:ascii="Verdana" w:hAnsi="Verdana"/>
          <w:sz w:val="16"/>
          <w:lang w:val="pt-BR"/>
        </w:rPr>
        <w:t xml:space="preserve"> </w:t>
      </w:r>
      <w:r w:rsidR="004756C1" w:rsidRPr="002F50BD">
        <w:rPr>
          <w:rFonts w:ascii="Verdana" w:hAnsi="Verdana"/>
          <w:sz w:val="16"/>
          <w:lang w:val="pt-BR"/>
        </w:rPr>
        <w:t>que ordena que</w:t>
      </w:r>
      <w:r w:rsidR="0089298C" w:rsidRPr="002F50BD">
        <w:rPr>
          <w:rFonts w:ascii="Verdana" w:hAnsi="Verdana"/>
          <w:sz w:val="16"/>
          <w:lang w:val="pt-BR"/>
        </w:rPr>
        <w:t xml:space="preserve"> a decisão em matéria </w:t>
      </w:r>
      <w:r w:rsidR="004756C1" w:rsidRPr="002F50BD">
        <w:rPr>
          <w:rFonts w:ascii="Verdana" w:hAnsi="Verdana"/>
          <w:sz w:val="16"/>
          <w:lang w:val="pt-BR"/>
        </w:rPr>
        <w:t>exprop</w:t>
      </w:r>
      <w:r w:rsidR="00B76BEF" w:rsidRPr="002F50BD">
        <w:rPr>
          <w:rFonts w:ascii="Verdana" w:hAnsi="Verdana"/>
          <w:sz w:val="16"/>
          <w:lang w:val="pt-BR"/>
        </w:rPr>
        <w:t>r</w:t>
      </w:r>
      <w:r w:rsidR="004756C1" w:rsidRPr="002F50BD">
        <w:rPr>
          <w:rFonts w:ascii="Verdana" w:hAnsi="Verdana"/>
          <w:sz w:val="16"/>
          <w:lang w:val="pt-BR"/>
        </w:rPr>
        <w:t>iat</w:t>
      </w:r>
      <w:r w:rsidR="00B76BEF" w:rsidRPr="002F50BD">
        <w:rPr>
          <w:rFonts w:ascii="Verdana" w:hAnsi="Verdana"/>
          <w:sz w:val="16"/>
          <w:lang w:val="pt-BR"/>
        </w:rPr>
        <w:t>ó</w:t>
      </w:r>
      <w:r w:rsidR="004756C1" w:rsidRPr="002F50BD">
        <w:rPr>
          <w:rFonts w:ascii="Verdana" w:hAnsi="Verdana"/>
          <w:sz w:val="16"/>
          <w:lang w:val="pt-BR"/>
        </w:rPr>
        <w:t>ria est</w:t>
      </w:r>
      <w:r w:rsidR="00B76BEF" w:rsidRPr="002F50BD">
        <w:rPr>
          <w:rFonts w:ascii="Verdana" w:hAnsi="Verdana"/>
          <w:sz w:val="16"/>
          <w:lang w:val="pt-BR"/>
        </w:rPr>
        <w:t>eja</w:t>
      </w:r>
      <w:r w:rsidR="004756C1" w:rsidRPr="002F50BD">
        <w:rPr>
          <w:rFonts w:ascii="Verdana" w:hAnsi="Verdana"/>
          <w:sz w:val="16"/>
          <w:lang w:val="pt-BR"/>
        </w:rPr>
        <w:t xml:space="preserve"> a cargo </w:t>
      </w:r>
      <w:r w:rsidR="0089298C" w:rsidRPr="002F50BD">
        <w:rPr>
          <w:rFonts w:ascii="Verdana" w:hAnsi="Verdana"/>
          <w:sz w:val="16"/>
          <w:lang w:val="pt-BR"/>
        </w:rPr>
        <w:t xml:space="preserve">do Congresso e </w:t>
      </w:r>
      <w:r w:rsidR="00B76BEF" w:rsidRPr="002F50BD">
        <w:rPr>
          <w:rFonts w:ascii="Verdana" w:hAnsi="Verdana"/>
          <w:sz w:val="16"/>
          <w:lang w:val="pt-BR"/>
        </w:rPr>
        <w:t xml:space="preserve">se </w:t>
      </w:r>
      <w:r w:rsidR="004756C1" w:rsidRPr="002F50BD">
        <w:rPr>
          <w:rFonts w:ascii="Verdana" w:hAnsi="Verdana"/>
          <w:sz w:val="16"/>
          <w:lang w:val="pt-BR"/>
        </w:rPr>
        <w:t>revista</w:t>
      </w:r>
      <w:r w:rsidR="0089298C" w:rsidRPr="002F50BD">
        <w:rPr>
          <w:rFonts w:ascii="Verdana" w:hAnsi="Verdana"/>
          <w:sz w:val="16"/>
          <w:lang w:val="pt-BR"/>
        </w:rPr>
        <w:t xml:space="preserve"> </w:t>
      </w:r>
      <w:r w:rsidR="00B76BEF" w:rsidRPr="002F50BD">
        <w:rPr>
          <w:rFonts w:ascii="Verdana" w:hAnsi="Verdana"/>
          <w:sz w:val="16"/>
          <w:lang w:val="pt-BR"/>
        </w:rPr>
        <w:t>d</w:t>
      </w:r>
      <w:r w:rsidR="0089298C" w:rsidRPr="002F50BD">
        <w:rPr>
          <w:rFonts w:ascii="Verdana" w:hAnsi="Verdana"/>
          <w:sz w:val="16"/>
          <w:lang w:val="pt-BR"/>
        </w:rPr>
        <w:t xml:space="preserve">a </w:t>
      </w:r>
      <w:r w:rsidR="004756C1" w:rsidRPr="002F50BD">
        <w:rPr>
          <w:rFonts w:ascii="Verdana" w:hAnsi="Verdana"/>
          <w:sz w:val="16"/>
          <w:lang w:val="pt-BR"/>
        </w:rPr>
        <w:t xml:space="preserve">forma </w:t>
      </w:r>
      <w:r w:rsidR="0089298C" w:rsidRPr="002F50BD">
        <w:rPr>
          <w:rFonts w:ascii="Verdana" w:hAnsi="Verdana"/>
          <w:sz w:val="16"/>
          <w:lang w:val="pt-BR"/>
        </w:rPr>
        <w:t>d</w:t>
      </w:r>
      <w:r w:rsidR="00802CCC" w:rsidRPr="002F50BD">
        <w:rPr>
          <w:rFonts w:ascii="Verdana" w:hAnsi="Verdana"/>
          <w:sz w:val="16"/>
          <w:lang w:val="pt-BR"/>
        </w:rPr>
        <w:t>e</w:t>
      </w:r>
      <w:r w:rsidR="0089298C" w:rsidRPr="002F50BD">
        <w:rPr>
          <w:rFonts w:ascii="Verdana" w:hAnsi="Verdana"/>
          <w:sz w:val="16"/>
          <w:lang w:val="pt-BR"/>
        </w:rPr>
        <w:t xml:space="preserve"> ato </w:t>
      </w:r>
      <w:r w:rsidR="004756C1" w:rsidRPr="002F50BD">
        <w:rPr>
          <w:rFonts w:ascii="Verdana" w:hAnsi="Verdana"/>
          <w:sz w:val="16"/>
          <w:lang w:val="pt-BR"/>
        </w:rPr>
        <w:t xml:space="preserve">típico </w:t>
      </w:r>
      <w:r w:rsidR="0089298C" w:rsidRPr="002F50BD">
        <w:rPr>
          <w:rFonts w:ascii="Verdana" w:hAnsi="Verdana"/>
          <w:sz w:val="16"/>
          <w:lang w:val="pt-BR"/>
        </w:rPr>
        <w:t>do mesm</w:t>
      </w:r>
      <w:r w:rsidR="004756C1" w:rsidRPr="002F50BD">
        <w:rPr>
          <w:rFonts w:ascii="Verdana" w:hAnsi="Verdana"/>
          <w:sz w:val="16"/>
          <w:lang w:val="pt-BR"/>
        </w:rPr>
        <w:t>o,</w:t>
      </w:r>
      <w:r w:rsidR="0089298C" w:rsidRPr="002F50BD">
        <w:rPr>
          <w:rFonts w:ascii="Verdana" w:hAnsi="Verdana"/>
          <w:sz w:val="16"/>
          <w:lang w:val="pt-BR"/>
        </w:rPr>
        <w:t xml:space="preserve"> </w:t>
      </w:r>
      <w:r w:rsidR="00B76BEF" w:rsidRPr="002F50BD">
        <w:rPr>
          <w:rFonts w:ascii="Verdana" w:hAnsi="Verdana"/>
          <w:sz w:val="16"/>
          <w:lang w:val="pt-BR"/>
        </w:rPr>
        <w:t xml:space="preserve">isto é, da </w:t>
      </w:r>
      <w:r w:rsidR="004756C1" w:rsidRPr="002F50BD">
        <w:rPr>
          <w:rFonts w:ascii="Verdana" w:hAnsi="Verdana"/>
          <w:sz w:val="16"/>
          <w:lang w:val="pt-BR"/>
        </w:rPr>
        <w:t xml:space="preserve">forma de </w:t>
      </w:r>
      <w:r w:rsidR="0089298C" w:rsidRPr="002F50BD">
        <w:rPr>
          <w:rFonts w:ascii="Verdana" w:hAnsi="Verdana"/>
          <w:sz w:val="16"/>
          <w:lang w:val="pt-BR"/>
        </w:rPr>
        <w:t xml:space="preserve">lei. </w:t>
      </w:r>
      <w:r w:rsidR="00B76BEF" w:rsidRPr="002F50BD">
        <w:rPr>
          <w:rFonts w:ascii="Verdana" w:hAnsi="Verdana"/>
          <w:sz w:val="16"/>
          <w:lang w:val="pt-BR"/>
        </w:rPr>
        <w:t xml:space="preserve">E mais, </w:t>
      </w:r>
      <w:r w:rsidR="004756C1" w:rsidRPr="002F50BD">
        <w:rPr>
          <w:rFonts w:ascii="Verdana" w:hAnsi="Verdana"/>
          <w:sz w:val="16"/>
          <w:lang w:val="pt-BR"/>
        </w:rPr>
        <w:t>trata</w:t>
      </w:r>
      <w:r w:rsidR="00B76BEF" w:rsidRPr="002F50BD">
        <w:rPr>
          <w:rFonts w:ascii="Verdana" w:hAnsi="Verdana"/>
          <w:sz w:val="16"/>
          <w:lang w:val="pt-BR"/>
        </w:rPr>
        <w:t>-se</w:t>
      </w:r>
      <w:r w:rsidR="004756C1" w:rsidRPr="002F50BD">
        <w:rPr>
          <w:rFonts w:ascii="Verdana" w:hAnsi="Verdana"/>
          <w:sz w:val="16"/>
          <w:lang w:val="pt-BR"/>
        </w:rPr>
        <w:t xml:space="preserve"> de</w:t>
      </w:r>
      <w:r w:rsidR="0089298C" w:rsidRPr="002F50BD">
        <w:rPr>
          <w:rFonts w:ascii="Verdana" w:hAnsi="Verdana"/>
          <w:sz w:val="16"/>
          <w:lang w:val="pt-BR"/>
        </w:rPr>
        <w:t xml:space="preserve"> um ato </w:t>
      </w:r>
      <w:r w:rsidR="004756C1" w:rsidRPr="002F50BD">
        <w:rPr>
          <w:rFonts w:ascii="Verdana" w:hAnsi="Verdana"/>
          <w:sz w:val="16"/>
          <w:lang w:val="pt-BR"/>
        </w:rPr>
        <w:t>político,</w:t>
      </w:r>
      <w:r w:rsidR="0089298C" w:rsidRPr="002F50BD">
        <w:rPr>
          <w:rFonts w:ascii="Verdana" w:hAnsi="Verdana"/>
          <w:sz w:val="16"/>
          <w:lang w:val="pt-BR"/>
        </w:rPr>
        <w:t xml:space="preserve"> no mais </w:t>
      </w:r>
      <w:r w:rsidR="004756C1" w:rsidRPr="002F50BD">
        <w:rPr>
          <w:rFonts w:ascii="Verdana" w:hAnsi="Verdana"/>
          <w:sz w:val="16"/>
          <w:lang w:val="pt-BR"/>
        </w:rPr>
        <w:t>alto sentido</w:t>
      </w:r>
      <w:r w:rsidR="0089298C" w:rsidRPr="002F50BD">
        <w:rPr>
          <w:rFonts w:ascii="Verdana" w:hAnsi="Verdana"/>
          <w:sz w:val="16"/>
          <w:lang w:val="pt-BR"/>
        </w:rPr>
        <w:t xml:space="preserve"> da palavra</w:t>
      </w:r>
      <w:r w:rsidR="004756C1" w:rsidRPr="002F50BD">
        <w:rPr>
          <w:rFonts w:ascii="Verdana" w:hAnsi="Verdana"/>
          <w:sz w:val="16"/>
          <w:lang w:val="pt-BR"/>
        </w:rPr>
        <w:t xml:space="preserve">. Como se </w:t>
      </w:r>
      <w:r w:rsidR="0089298C" w:rsidRPr="002F50BD">
        <w:rPr>
          <w:rFonts w:ascii="Verdana" w:hAnsi="Verdana"/>
          <w:sz w:val="16"/>
          <w:lang w:val="pt-BR"/>
        </w:rPr>
        <w:t xml:space="preserve">expressa no </w:t>
      </w:r>
      <w:r w:rsidR="004756C1" w:rsidRPr="002F50BD">
        <w:rPr>
          <w:rFonts w:ascii="Verdana" w:hAnsi="Verdana"/>
          <w:sz w:val="16"/>
          <w:lang w:val="pt-BR"/>
        </w:rPr>
        <w:t>citado decreto,</w:t>
      </w:r>
      <w:r w:rsidR="0089298C" w:rsidRPr="002F50BD">
        <w:rPr>
          <w:rFonts w:ascii="Verdana" w:hAnsi="Verdana"/>
          <w:sz w:val="16"/>
          <w:lang w:val="pt-BR"/>
        </w:rPr>
        <w:t xml:space="preserve"> o Congresso atua </w:t>
      </w:r>
      <w:r w:rsidR="004756C1" w:rsidRPr="002F50BD">
        <w:rPr>
          <w:rFonts w:ascii="Verdana" w:hAnsi="Verdana"/>
          <w:sz w:val="16"/>
          <w:lang w:val="pt-BR"/>
        </w:rPr>
        <w:t>“n</w:t>
      </w:r>
      <w:r w:rsidR="00B76BEF" w:rsidRPr="002F50BD">
        <w:rPr>
          <w:rFonts w:ascii="Verdana" w:hAnsi="Verdana"/>
          <w:sz w:val="16"/>
          <w:lang w:val="pt-BR"/>
        </w:rPr>
        <w:t>ã</w:t>
      </w:r>
      <w:r w:rsidR="004756C1" w:rsidRPr="002F50BD">
        <w:rPr>
          <w:rFonts w:ascii="Verdana" w:hAnsi="Verdana"/>
          <w:sz w:val="16"/>
          <w:lang w:val="pt-BR"/>
        </w:rPr>
        <w:t>o</w:t>
      </w:r>
      <w:r w:rsidR="0089298C" w:rsidRPr="002F50BD">
        <w:rPr>
          <w:rFonts w:ascii="Verdana" w:hAnsi="Verdana"/>
          <w:sz w:val="16"/>
          <w:lang w:val="pt-BR"/>
        </w:rPr>
        <w:t xml:space="preserve"> em caráter</w:t>
      </w:r>
      <w:r w:rsidR="004756C1" w:rsidRPr="002F50BD">
        <w:rPr>
          <w:rFonts w:ascii="Verdana" w:hAnsi="Verdana"/>
          <w:sz w:val="16"/>
          <w:lang w:val="pt-BR"/>
        </w:rPr>
        <w:t xml:space="preserve"> de legislador, precisamente,</w:t>
      </w:r>
      <w:r w:rsidR="0089298C" w:rsidRPr="002F50BD">
        <w:rPr>
          <w:rFonts w:ascii="Verdana" w:hAnsi="Verdana"/>
          <w:sz w:val="16"/>
          <w:lang w:val="pt-BR"/>
        </w:rPr>
        <w:t xml:space="preserve"> mas </w:t>
      </w:r>
      <w:r w:rsidR="004756C1" w:rsidRPr="002F50BD">
        <w:rPr>
          <w:rFonts w:ascii="Verdana" w:hAnsi="Verdana"/>
          <w:sz w:val="16"/>
          <w:lang w:val="pt-BR"/>
        </w:rPr>
        <w:t xml:space="preserve">como </w:t>
      </w:r>
      <w:r w:rsidR="008C29C9" w:rsidRPr="002F50BD">
        <w:rPr>
          <w:rFonts w:ascii="Verdana" w:hAnsi="Verdana"/>
          <w:sz w:val="16"/>
          <w:lang w:val="pt-BR"/>
        </w:rPr>
        <w:t>representante</w:t>
      </w:r>
      <w:r w:rsidR="0089298C" w:rsidRPr="002F50BD">
        <w:rPr>
          <w:rFonts w:ascii="Verdana" w:hAnsi="Verdana"/>
          <w:sz w:val="16"/>
          <w:lang w:val="pt-BR"/>
        </w:rPr>
        <w:t xml:space="preserve"> da comunidade </w:t>
      </w:r>
      <w:r w:rsidR="004756C1" w:rsidRPr="002F50BD">
        <w:rPr>
          <w:rFonts w:ascii="Verdana" w:hAnsi="Verdana"/>
          <w:sz w:val="16"/>
          <w:lang w:val="pt-BR"/>
        </w:rPr>
        <w:t xml:space="preserve">política </w:t>
      </w:r>
      <w:r w:rsidR="0089298C" w:rsidRPr="002F50BD">
        <w:rPr>
          <w:rFonts w:ascii="Verdana" w:hAnsi="Verdana"/>
          <w:sz w:val="16"/>
          <w:lang w:val="pt-BR"/>
        </w:rPr>
        <w:t>interessad</w:t>
      </w:r>
      <w:r w:rsidR="004756C1" w:rsidRPr="002F50BD">
        <w:rPr>
          <w:rFonts w:ascii="Verdana" w:hAnsi="Verdana"/>
          <w:sz w:val="16"/>
          <w:lang w:val="pt-BR"/>
        </w:rPr>
        <w:t>a</w:t>
      </w:r>
      <w:r w:rsidR="0089298C" w:rsidRPr="002F50BD">
        <w:rPr>
          <w:rFonts w:ascii="Verdana" w:hAnsi="Verdana"/>
          <w:sz w:val="16"/>
          <w:lang w:val="pt-BR"/>
        </w:rPr>
        <w:t xml:space="preserve"> em uma </w:t>
      </w:r>
      <w:r w:rsidR="004756C1" w:rsidRPr="002F50BD">
        <w:rPr>
          <w:rFonts w:ascii="Verdana" w:hAnsi="Verdana"/>
          <w:sz w:val="16"/>
          <w:lang w:val="pt-BR"/>
        </w:rPr>
        <w:t>determinada defini</w:t>
      </w:r>
      <w:r w:rsidR="0089298C" w:rsidRPr="002F50BD">
        <w:rPr>
          <w:rFonts w:ascii="Verdana" w:hAnsi="Verdana"/>
          <w:sz w:val="16"/>
          <w:lang w:val="pt-BR"/>
        </w:rPr>
        <w:t>ção</w:t>
      </w:r>
      <w:r w:rsidR="004756C1" w:rsidRPr="002F50BD">
        <w:rPr>
          <w:rFonts w:ascii="Verdana" w:hAnsi="Verdana"/>
          <w:sz w:val="16"/>
          <w:lang w:val="pt-BR"/>
        </w:rPr>
        <w:t xml:space="preserve">”. </w:t>
      </w:r>
    </w:p>
    <w:p w:rsidR="004756C1" w:rsidRPr="002F50BD" w:rsidRDefault="004756C1">
      <w:pPr>
        <w:tabs>
          <w:tab w:val="right" w:leader="hyphen" w:pos="7230"/>
        </w:tabs>
        <w:ind w:left="720" w:right="584" w:hanging="426"/>
        <w:jc w:val="both"/>
        <w:rPr>
          <w:rFonts w:ascii="Verdana" w:hAnsi="Verdana"/>
          <w:sz w:val="16"/>
          <w:lang w:val="pt-BR"/>
        </w:rPr>
      </w:pPr>
      <w:r w:rsidRPr="002F50BD">
        <w:rPr>
          <w:rFonts w:ascii="Verdana" w:hAnsi="Verdana"/>
          <w:sz w:val="16"/>
          <w:lang w:val="pt-BR"/>
        </w:rPr>
        <w:tab/>
      </w:r>
    </w:p>
    <w:p w:rsidR="004756C1" w:rsidRPr="002F50BD" w:rsidRDefault="00CF451D" w:rsidP="00B76BEF">
      <w:pPr>
        <w:pStyle w:val="BlockText"/>
        <w:spacing w:line="240" w:lineRule="auto"/>
        <w:ind w:right="584"/>
        <w:rPr>
          <w:lang w:val="pt-BR"/>
        </w:rPr>
      </w:pPr>
      <w:r w:rsidRPr="00CF451D">
        <w:rPr>
          <w:lang w:val="pt-BR"/>
        </w:rPr>
        <w:t>(</w:t>
      </w:r>
      <w:r w:rsidR="004756C1" w:rsidRPr="002F50BD">
        <w:rPr>
          <w:lang w:val="pt-BR"/>
        </w:rPr>
        <w:t>...</w:t>
      </w:r>
      <w:r w:rsidRPr="00CF451D">
        <w:rPr>
          <w:lang w:val="pt-BR"/>
        </w:rPr>
        <w:t>)</w:t>
      </w:r>
      <w:r w:rsidR="0089298C" w:rsidRPr="002F50BD">
        <w:rPr>
          <w:lang w:val="pt-BR"/>
        </w:rPr>
        <w:t xml:space="preserve"> o </w:t>
      </w:r>
      <w:r w:rsidR="004756C1" w:rsidRPr="002F50BD">
        <w:rPr>
          <w:lang w:val="pt-BR"/>
        </w:rPr>
        <w:t>Estado exprop</w:t>
      </w:r>
      <w:r w:rsidR="00B76BEF" w:rsidRPr="002F50BD">
        <w:rPr>
          <w:lang w:val="pt-BR"/>
        </w:rPr>
        <w:t>r</w:t>
      </w:r>
      <w:r w:rsidR="004756C1" w:rsidRPr="002F50BD">
        <w:rPr>
          <w:lang w:val="pt-BR"/>
        </w:rPr>
        <w:t>ia</w:t>
      </w:r>
      <w:r w:rsidR="00B76BEF" w:rsidRPr="002F50BD">
        <w:rPr>
          <w:lang w:val="pt-BR"/>
        </w:rPr>
        <w:t>dor</w:t>
      </w:r>
      <w:r w:rsidR="004756C1" w:rsidRPr="002F50BD">
        <w:rPr>
          <w:lang w:val="pt-BR"/>
        </w:rPr>
        <w:t xml:space="preserve"> n</w:t>
      </w:r>
      <w:r w:rsidR="00B76BEF" w:rsidRPr="002F50BD">
        <w:rPr>
          <w:lang w:val="pt-BR"/>
        </w:rPr>
        <w:t>ã</w:t>
      </w:r>
      <w:r w:rsidR="004756C1" w:rsidRPr="002F50BD">
        <w:rPr>
          <w:lang w:val="pt-BR"/>
        </w:rPr>
        <w:t>o contrata</w:t>
      </w:r>
      <w:r w:rsidR="0089298C" w:rsidRPr="002F50BD">
        <w:rPr>
          <w:lang w:val="pt-BR"/>
        </w:rPr>
        <w:t xml:space="preserve"> com o </w:t>
      </w:r>
      <w:r w:rsidR="00DB51F0" w:rsidRPr="002F50BD">
        <w:rPr>
          <w:lang w:val="pt-BR"/>
        </w:rPr>
        <w:t>expropriad</w:t>
      </w:r>
      <w:r w:rsidR="004756C1" w:rsidRPr="002F50BD">
        <w:rPr>
          <w:lang w:val="pt-BR"/>
        </w:rPr>
        <w:t>o: o s</w:t>
      </w:r>
      <w:r w:rsidR="00B76BEF" w:rsidRPr="002F50BD">
        <w:rPr>
          <w:lang w:val="pt-BR"/>
        </w:rPr>
        <w:t xml:space="preserve">ubmete a seu </w:t>
      </w:r>
      <w:r w:rsidR="0089298C" w:rsidRPr="002F50BD">
        <w:rPr>
          <w:lang w:val="pt-BR"/>
        </w:rPr>
        <w:t>império</w:t>
      </w:r>
      <w:r w:rsidR="004756C1" w:rsidRPr="002F50BD">
        <w:rPr>
          <w:lang w:val="pt-BR"/>
        </w:rPr>
        <w:t>...” “Considerada como</w:t>
      </w:r>
      <w:r w:rsidR="0089298C" w:rsidRPr="002F50BD">
        <w:rPr>
          <w:lang w:val="pt-BR"/>
        </w:rPr>
        <w:t xml:space="preserve"> ato </w:t>
      </w:r>
      <w:r w:rsidR="004756C1" w:rsidRPr="002F50BD">
        <w:rPr>
          <w:lang w:val="pt-BR"/>
        </w:rPr>
        <w:t xml:space="preserve">jurídico de </w:t>
      </w:r>
      <w:r w:rsidR="0089298C" w:rsidRPr="002F50BD">
        <w:rPr>
          <w:lang w:val="pt-BR"/>
        </w:rPr>
        <w:t>direito</w:t>
      </w:r>
      <w:r w:rsidR="004756C1" w:rsidRPr="002F50BD">
        <w:rPr>
          <w:lang w:val="pt-BR"/>
        </w:rPr>
        <w:t xml:space="preserve"> público,</w:t>
      </w:r>
      <w:r w:rsidR="0089298C" w:rsidRPr="002F50BD">
        <w:rPr>
          <w:lang w:val="pt-BR"/>
        </w:rPr>
        <w:t xml:space="preserve"> a </w:t>
      </w:r>
      <w:r w:rsidR="00DB51F0" w:rsidRPr="002F50BD">
        <w:rPr>
          <w:lang w:val="pt-BR"/>
        </w:rPr>
        <w:t>expropriação</w:t>
      </w:r>
      <w:r w:rsidR="0089298C" w:rsidRPr="002F50BD">
        <w:rPr>
          <w:lang w:val="pt-BR"/>
        </w:rPr>
        <w:t xml:space="preserve"> é “u</w:t>
      </w:r>
      <w:r w:rsidR="00B76BEF" w:rsidRPr="002F50BD">
        <w:rPr>
          <w:lang w:val="pt-BR"/>
        </w:rPr>
        <w:t>n</w:t>
      </w:r>
      <w:r w:rsidR="004756C1" w:rsidRPr="002F50BD">
        <w:rPr>
          <w:lang w:val="pt-BR"/>
        </w:rPr>
        <w:t>ilateral”</w:t>
      </w:r>
      <w:r w:rsidR="0089298C" w:rsidRPr="002F50BD">
        <w:rPr>
          <w:lang w:val="pt-BR"/>
        </w:rPr>
        <w:t xml:space="preserve"> em sua formação</w:t>
      </w:r>
      <w:r w:rsidR="004756C1" w:rsidRPr="002F50BD">
        <w:rPr>
          <w:lang w:val="pt-BR"/>
        </w:rPr>
        <w:t xml:space="preserve"> o</w:t>
      </w:r>
      <w:r w:rsidR="00B76BEF" w:rsidRPr="002F50BD">
        <w:rPr>
          <w:lang w:val="pt-BR"/>
        </w:rPr>
        <w:t>u</w:t>
      </w:r>
      <w:r w:rsidR="004756C1" w:rsidRPr="002F50BD">
        <w:rPr>
          <w:lang w:val="pt-BR"/>
        </w:rPr>
        <w:t xml:space="preserve"> </w:t>
      </w:r>
      <w:r w:rsidR="0089298C" w:rsidRPr="002F50BD">
        <w:rPr>
          <w:lang w:val="pt-BR"/>
        </w:rPr>
        <w:t>estrutura</w:t>
      </w:r>
      <w:r w:rsidR="004756C1" w:rsidRPr="002F50BD">
        <w:rPr>
          <w:lang w:val="pt-BR"/>
        </w:rPr>
        <w:t>:</w:t>
      </w:r>
      <w:r w:rsidR="0089298C" w:rsidRPr="002F50BD">
        <w:rPr>
          <w:lang w:val="pt-BR"/>
        </w:rPr>
        <w:t xml:space="preserve"> a vontade do </w:t>
      </w:r>
      <w:r w:rsidR="00DB51F0" w:rsidRPr="002F50BD">
        <w:rPr>
          <w:lang w:val="pt-BR"/>
        </w:rPr>
        <w:t>expropriad</w:t>
      </w:r>
      <w:r w:rsidR="004756C1" w:rsidRPr="002F50BD">
        <w:rPr>
          <w:lang w:val="pt-BR"/>
        </w:rPr>
        <w:t>o n</w:t>
      </w:r>
      <w:r w:rsidR="00B76BEF" w:rsidRPr="002F50BD">
        <w:rPr>
          <w:lang w:val="pt-BR"/>
        </w:rPr>
        <w:t>ã</w:t>
      </w:r>
      <w:r w:rsidR="004756C1" w:rsidRPr="002F50BD">
        <w:rPr>
          <w:lang w:val="pt-BR"/>
        </w:rPr>
        <w:t xml:space="preserve">o integra </w:t>
      </w:r>
      <w:r w:rsidR="0089298C" w:rsidRPr="002F50BD">
        <w:rPr>
          <w:lang w:val="pt-BR"/>
        </w:rPr>
        <w:t>este</w:t>
      </w:r>
      <w:r w:rsidR="004756C1" w:rsidRPr="002F50BD">
        <w:rPr>
          <w:lang w:val="pt-BR"/>
        </w:rPr>
        <w:t xml:space="preserve"> ato..</w:t>
      </w:r>
      <w:r w:rsidR="00BE346D" w:rsidRPr="002F50BD">
        <w:rPr>
          <w:lang w:val="pt-BR"/>
        </w:rPr>
        <w:t xml:space="preserve">. A </w:t>
      </w:r>
      <w:r w:rsidR="0089298C" w:rsidRPr="002F50BD">
        <w:rPr>
          <w:lang w:val="pt-BR"/>
        </w:rPr>
        <w:t>natureza</w:t>
      </w:r>
      <w:r w:rsidR="004756C1" w:rsidRPr="002F50BD">
        <w:rPr>
          <w:lang w:val="pt-BR"/>
        </w:rPr>
        <w:t xml:space="preserve"> jurídica </w:t>
      </w:r>
      <w:r w:rsidR="0089298C" w:rsidRPr="002F50BD">
        <w:rPr>
          <w:lang w:val="pt-BR"/>
        </w:rPr>
        <w:t>reconhecida atual</w:t>
      </w:r>
      <w:r w:rsidR="004756C1" w:rsidRPr="002F50BD">
        <w:rPr>
          <w:lang w:val="pt-BR"/>
        </w:rPr>
        <w:t>mente</w:t>
      </w:r>
      <w:r w:rsidR="0089298C" w:rsidRPr="002F50BD">
        <w:rPr>
          <w:lang w:val="pt-BR"/>
        </w:rPr>
        <w:t xml:space="preserve"> à </w:t>
      </w:r>
      <w:r w:rsidR="00DB51F0" w:rsidRPr="002F50BD">
        <w:rPr>
          <w:lang w:val="pt-BR"/>
        </w:rPr>
        <w:t>expropriação</w:t>
      </w:r>
      <w:r w:rsidR="00CE1AC8" w:rsidRPr="002F50BD">
        <w:rPr>
          <w:lang w:val="pt-BR"/>
        </w:rPr>
        <w:t>,</w:t>
      </w:r>
      <w:r w:rsidR="0089298C" w:rsidRPr="002F50BD">
        <w:rPr>
          <w:lang w:val="pt-BR"/>
        </w:rPr>
        <w:t xml:space="preserve"> ato </w:t>
      </w:r>
      <w:r w:rsidR="004756C1" w:rsidRPr="002F50BD">
        <w:rPr>
          <w:lang w:val="pt-BR"/>
        </w:rPr>
        <w:t>de “poder”</w:t>
      </w:r>
      <w:r w:rsidR="00CE1AC8" w:rsidRPr="002F50BD">
        <w:rPr>
          <w:lang w:val="pt-BR"/>
        </w:rPr>
        <w:t>,</w:t>
      </w:r>
      <w:r w:rsidR="004756C1" w:rsidRPr="002F50BD">
        <w:rPr>
          <w:lang w:val="pt-BR"/>
        </w:rPr>
        <w:t xml:space="preserve"> </w:t>
      </w:r>
      <w:r w:rsidR="0089298C" w:rsidRPr="002F50BD">
        <w:rPr>
          <w:lang w:val="pt-BR"/>
        </w:rPr>
        <w:t xml:space="preserve">exclui o </w:t>
      </w:r>
      <w:r w:rsidR="004756C1" w:rsidRPr="002F50BD">
        <w:rPr>
          <w:lang w:val="pt-BR"/>
        </w:rPr>
        <w:t>concurso</w:t>
      </w:r>
      <w:r w:rsidR="0089298C" w:rsidRPr="002F50BD">
        <w:rPr>
          <w:lang w:val="pt-BR"/>
        </w:rPr>
        <w:t xml:space="preserve"> da vontade do </w:t>
      </w:r>
      <w:r w:rsidR="004756C1" w:rsidRPr="002F50BD">
        <w:rPr>
          <w:lang w:val="pt-BR"/>
        </w:rPr>
        <w:t xml:space="preserve">administrado </w:t>
      </w:r>
      <w:r w:rsidRPr="00CF451D">
        <w:rPr>
          <w:lang w:val="pt-BR"/>
        </w:rPr>
        <w:t>(</w:t>
      </w:r>
      <w:r w:rsidR="004756C1" w:rsidRPr="002F50BD">
        <w:rPr>
          <w:lang w:val="pt-BR"/>
        </w:rPr>
        <w:t>...</w:t>
      </w:r>
      <w:r w:rsidRPr="00CF451D">
        <w:rPr>
          <w:lang w:val="pt-BR"/>
        </w:rPr>
        <w:t>)</w:t>
      </w:r>
      <w:r w:rsidR="004756C1" w:rsidRPr="002F50BD">
        <w:rPr>
          <w:lang w:val="pt-BR"/>
        </w:rPr>
        <w:t xml:space="preserve"> Dada</w:t>
      </w:r>
      <w:r w:rsidR="0089298C" w:rsidRPr="002F50BD">
        <w:rPr>
          <w:lang w:val="pt-BR"/>
        </w:rPr>
        <w:t xml:space="preserve"> a natureza</w:t>
      </w:r>
      <w:r w:rsidR="004756C1" w:rsidRPr="002F50BD">
        <w:rPr>
          <w:lang w:val="pt-BR"/>
        </w:rPr>
        <w:t xml:space="preserve"> jurídica</w:t>
      </w:r>
      <w:r w:rsidR="0089298C" w:rsidRPr="002F50BD">
        <w:rPr>
          <w:lang w:val="pt-BR"/>
        </w:rPr>
        <w:t xml:space="preserve"> da </w:t>
      </w:r>
      <w:r w:rsidR="00DB51F0" w:rsidRPr="002F50BD">
        <w:rPr>
          <w:lang w:val="pt-BR"/>
        </w:rPr>
        <w:t>expropriação</w:t>
      </w:r>
      <w:r w:rsidR="004756C1" w:rsidRPr="002F50BD">
        <w:rPr>
          <w:lang w:val="pt-BR"/>
        </w:rPr>
        <w:t xml:space="preserve">, </w:t>
      </w:r>
      <w:r w:rsidR="00B76BEF" w:rsidRPr="002F50BD">
        <w:rPr>
          <w:lang w:val="pt-BR"/>
        </w:rPr>
        <w:t xml:space="preserve">é possível dizer </w:t>
      </w:r>
      <w:r w:rsidR="004756C1" w:rsidRPr="002F50BD">
        <w:rPr>
          <w:lang w:val="pt-BR"/>
        </w:rPr>
        <w:t>que</w:t>
      </w:r>
      <w:r w:rsidR="00802CCC" w:rsidRPr="002F50BD">
        <w:rPr>
          <w:lang w:val="pt-BR"/>
        </w:rPr>
        <w:t>,</w:t>
      </w:r>
      <w:r w:rsidR="0089298C" w:rsidRPr="002F50BD">
        <w:rPr>
          <w:lang w:val="pt-BR"/>
        </w:rPr>
        <w:t xml:space="preserve"> ao </w:t>
      </w:r>
      <w:r w:rsidR="00B76BEF" w:rsidRPr="002F50BD">
        <w:rPr>
          <w:lang w:val="pt-BR"/>
        </w:rPr>
        <w:t>decidi-la</w:t>
      </w:r>
      <w:r w:rsidR="00802CCC" w:rsidRPr="002F50BD">
        <w:rPr>
          <w:lang w:val="pt-BR"/>
        </w:rPr>
        <w:t>,</w:t>
      </w:r>
      <w:r w:rsidR="00B76BEF" w:rsidRPr="002F50BD">
        <w:rPr>
          <w:lang w:val="pt-BR"/>
        </w:rPr>
        <w:t xml:space="preserve"> </w:t>
      </w:r>
      <w:r w:rsidR="0089298C" w:rsidRPr="002F50BD">
        <w:rPr>
          <w:lang w:val="pt-BR"/>
        </w:rPr>
        <w:t xml:space="preserve">o </w:t>
      </w:r>
      <w:r w:rsidR="004756C1" w:rsidRPr="002F50BD">
        <w:rPr>
          <w:lang w:val="pt-BR"/>
        </w:rPr>
        <w:t>Estado e</w:t>
      </w:r>
      <w:r w:rsidR="00B76BEF" w:rsidRPr="002F50BD">
        <w:rPr>
          <w:lang w:val="pt-BR"/>
        </w:rPr>
        <w:t>x</w:t>
      </w:r>
      <w:r w:rsidR="004756C1" w:rsidRPr="002F50BD">
        <w:rPr>
          <w:lang w:val="pt-BR"/>
        </w:rPr>
        <w:t>ercita</w:t>
      </w:r>
      <w:r w:rsidR="0089298C" w:rsidRPr="002F50BD">
        <w:rPr>
          <w:lang w:val="pt-BR"/>
        </w:rPr>
        <w:t xml:space="preserve"> uma </w:t>
      </w:r>
      <w:r w:rsidR="004756C1" w:rsidRPr="002F50BD">
        <w:rPr>
          <w:lang w:val="pt-BR"/>
        </w:rPr>
        <w:t>“</w:t>
      </w:r>
      <w:r w:rsidR="0089298C" w:rsidRPr="002F50BD">
        <w:rPr>
          <w:lang w:val="pt-BR"/>
        </w:rPr>
        <w:t xml:space="preserve">possibilidade </w:t>
      </w:r>
      <w:r w:rsidR="004756C1" w:rsidRPr="002F50BD">
        <w:rPr>
          <w:lang w:val="pt-BR"/>
        </w:rPr>
        <w:t>”</w:t>
      </w:r>
      <w:r w:rsidR="0089298C" w:rsidRPr="002F50BD">
        <w:rPr>
          <w:lang w:val="pt-BR"/>
        </w:rPr>
        <w:t xml:space="preserve"> e </w:t>
      </w:r>
      <w:r w:rsidR="004756C1" w:rsidRPr="002F50BD">
        <w:rPr>
          <w:lang w:val="pt-BR"/>
        </w:rPr>
        <w:t>n</w:t>
      </w:r>
      <w:r w:rsidR="00B76BEF" w:rsidRPr="002F50BD">
        <w:rPr>
          <w:lang w:val="pt-BR"/>
        </w:rPr>
        <w:t>ã</w:t>
      </w:r>
      <w:r w:rsidR="004756C1" w:rsidRPr="002F50BD">
        <w:rPr>
          <w:lang w:val="pt-BR"/>
        </w:rPr>
        <w:t>o</w:t>
      </w:r>
      <w:r w:rsidR="0089298C" w:rsidRPr="002F50BD">
        <w:rPr>
          <w:lang w:val="pt-BR"/>
        </w:rPr>
        <w:t xml:space="preserve"> um </w:t>
      </w:r>
      <w:r w:rsidR="004756C1" w:rsidRPr="002F50BD">
        <w:rPr>
          <w:lang w:val="pt-BR"/>
        </w:rPr>
        <w:t>“</w:t>
      </w:r>
      <w:r w:rsidR="0089298C" w:rsidRPr="002F50BD">
        <w:rPr>
          <w:lang w:val="pt-BR"/>
        </w:rPr>
        <w:t>direito</w:t>
      </w:r>
      <w:r w:rsidR="004756C1" w:rsidRPr="002F50BD">
        <w:rPr>
          <w:lang w:val="pt-BR"/>
        </w:rPr>
        <w:t>”.</w:t>
      </w:r>
    </w:p>
    <w:p w:rsidR="004756C1" w:rsidRPr="002F50BD" w:rsidRDefault="004756C1">
      <w:pPr>
        <w:tabs>
          <w:tab w:val="right" w:leader="hyphen" w:pos="7230"/>
        </w:tabs>
        <w:ind w:left="720" w:right="584" w:hanging="426"/>
        <w:jc w:val="both"/>
        <w:rPr>
          <w:rFonts w:ascii="Verdana" w:hAnsi="Verdana"/>
          <w:sz w:val="16"/>
          <w:lang w:val="pt-BR"/>
        </w:rPr>
      </w:pPr>
    </w:p>
    <w:p w:rsidR="004756C1" w:rsidRPr="002F50BD" w:rsidRDefault="00CF451D">
      <w:pPr>
        <w:tabs>
          <w:tab w:val="right" w:leader="hyphen" w:pos="7230"/>
        </w:tabs>
        <w:ind w:left="720" w:right="584"/>
        <w:jc w:val="both"/>
        <w:rPr>
          <w:rFonts w:ascii="Verdana" w:hAnsi="Verdana"/>
          <w:sz w:val="16"/>
          <w:lang w:val="pt-BR"/>
        </w:rPr>
      </w:pPr>
      <w:r w:rsidRPr="00CF451D">
        <w:rPr>
          <w:rFonts w:ascii="Verdana" w:hAnsi="Verdana"/>
          <w:sz w:val="16"/>
          <w:lang w:val="pt-BR"/>
        </w:rPr>
        <w:t>(</w:t>
      </w:r>
      <w:r w:rsidR="004756C1" w:rsidRPr="002F50BD">
        <w:rPr>
          <w:rFonts w:ascii="Verdana" w:hAnsi="Verdana"/>
          <w:sz w:val="16"/>
          <w:lang w:val="pt-BR"/>
        </w:rPr>
        <w:t>...</w:t>
      </w:r>
      <w:r w:rsidRPr="00CF451D">
        <w:rPr>
          <w:rFonts w:ascii="Verdana" w:hAnsi="Verdana"/>
          <w:sz w:val="16"/>
          <w:lang w:val="pt-BR"/>
        </w:rPr>
        <w:t>)</w:t>
      </w:r>
      <w:r w:rsidR="0089298C" w:rsidRPr="002F50BD">
        <w:rPr>
          <w:rFonts w:ascii="Verdana" w:hAnsi="Verdana"/>
          <w:sz w:val="16"/>
          <w:lang w:val="pt-BR"/>
        </w:rPr>
        <w:t xml:space="preserve"> é uma </w:t>
      </w:r>
      <w:r w:rsidR="004756C1" w:rsidRPr="002F50BD">
        <w:rPr>
          <w:rFonts w:ascii="Verdana" w:hAnsi="Verdana"/>
          <w:sz w:val="16"/>
          <w:lang w:val="pt-BR"/>
        </w:rPr>
        <w:t>limita</w:t>
      </w:r>
      <w:r w:rsidR="0089298C" w:rsidRPr="002F50BD">
        <w:rPr>
          <w:rFonts w:ascii="Verdana" w:hAnsi="Verdana"/>
          <w:sz w:val="16"/>
          <w:lang w:val="pt-BR"/>
        </w:rPr>
        <w:t>ção ao direito</w:t>
      </w:r>
      <w:r w:rsidR="004756C1" w:rsidRPr="002F50BD">
        <w:rPr>
          <w:rFonts w:ascii="Verdana" w:hAnsi="Verdana"/>
          <w:sz w:val="16"/>
          <w:lang w:val="pt-BR"/>
        </w:rPr>
        <w:t xml:space="preserve"> de </w:t>
      </w:r>
      <w:r w:rsidR="0089298C" w:rsidRPr="002F50BD">
        <w:rPr>
          <w:rFonts w:ascii="Verdana" w:hAnsi="Verdana"/>
          <w:sz w:val="16"/>
          <w:lang w:val="pt-BR"/>
        </w:rPr>
        <w:t>propriedade e</w:t>
      </w:r>
      <w:r w:rsidR="00B76BEF" w:rsidRPr="002F50BD">
        <w:rPr>
          <w:rFonts w:ascii="Verdana" w:hAnsi="Verdana"/>
          <w:sz w:val="16"/>
          <w:lang w:val="pt-BR"/>
        </w:rPr>
        <w:t>n</w:t>
      </w:r>
      <w:r w:rsidR="0089298C" w:rsidRPr="002F50BD">
        <w:rPr>
          <w:rFonts w:ascii="Verdana" w:hAnsi="Verdana"/>
          <w:sz w:val="16"/>
          <w:lang w:val="pt-BR"/>
        </w:rPr>
        <w:t xml:space="preserve">quanto </w:t>
      </w:r>
      <w:r w:rsidR="004756C1" w:rsidRPr="002F50BD">
        <w:rPr>
          <w:rFonts w:ascii="Verdana" w:hAnsi="Verdana"/>
          <w:sz w:val="16"/>
          <w:lang w:val="pt-BR"/>
        </w:rPr>
        <w:t xml:space="preserve">se </w:t>
      </w:r>
      <w:r w:rsidR="0089298C" w:rsidRPr="002F50BD">
        <w:rPr>
          <w:rFonts w:ascii="Verdana" w:hAnsi="Verdana"/>
          <w:sz w:val="16"/>
          <w:lang w:val="pt-BR"/>
        </w:rPr>
        <w:t>refere</w:t>
      </w:r>
      <w:r w:rsidR="00CE1AC8" w:rsidRPr="002F50BD">
        <w:rPr>
          <w:rFonts w:ascii="Verdana" w:hAnsi="Verdana"/>
          <w:sz w:val="16"/>
          <w:lang w:val="pt-BR"/>
        </w:rPr>
        <w:t xml:space="preserve"> à</w:t>
      </w:r>
      <w:r w:rsidR="0089298C" w:rsidRPr="002F50BD">
        <w:rPr>
          <w:rFonts w:ascii="Verdana" w:hAnsi="Verdana"/>
          <w:sz w:val="16"/>
          <w:lang w:val="pt-BR"/>
        </w:rPr>
        <w:t xml:space="preserve"> </w:t>
      </w:r>
      <w:r w:rsidR="004756C1" w:rsidRPr="002F50BD">
        <w:rPr>
          <w:rFonts w:ascii="Verdana" w:hAnsi="Verdana"/>
          <w:sz w:val="16"/>
          <w:lang w:val="pt-BR"/>
        </w:rPr>
        <w:t>perp</w:t>
      </w:r>
      <w:r w:rsidR="00CE1AC8" w:rsidRPr="002F50BD">
        <w:rPr>
          <w:rFonts w:ascii="Verdana" w:hAnsi="Verdana"/>
          <w:sz w:val="16"/>
          <w:lang w:val="pt-BR"/>
        </w:rPr>
        <w:t>etuação</w:t>
      </w:r>
      <w:r w:rsidR="004756C1" w:rsidRPr="002F50BD">
        <w:rPr>
          <w:rFonts w:ascii="Verdana" w:hAnsi="Verdana"/>
          <w:sz w:val="16"/>
          <w:lang w:val="pt-BR"/>
        </w:rPr>
        <w:t xml:space="preserve"> </w:t>
      </w:r>
      <w:r w:rsidR="0089298C" w:rsidRPr="002F50BD">
        <w:rPr>
          <w:rFonts w:ascii="Verdana" w:hAnsi="Verdana"/>
          <w:sz w:val="16"/>
          <w:lang w:val="pt-BR"/>
        </w:rPr>
        <w:t xml:space="preserve">do </w:t>
      </w:r>
      <w:r w:rsidR="00B76BEF" w:rsidRPr="002F50BD">
        <w:rPr>
          <w:rFonts w:ascii="Verdana" w:hAnsi="Verdana"/>
          <w:sz w:val="16"/>
          <w:lang w:val="pt-BR"/>
        </w:rPr>
        <w:t>domínio</w:t>
      </w:r>
      <w:r w:rsidR="004756C1" w:rsidRPr="002F50BD">
        <w:rPr>
          <w:rFonts w:ascii="Verdana" w:hAnsi="Verdana"/>
          <w:sz w:val="16"/>
          <w:lang w:val="pt-BR"/>
        </w:rPr>
        <w:t>,</w:t>
      </w:r>
      <w:r w:rsidR="00B76BEF" w:rsidRPr="002F50BD">
        <w:rPr>
          <w:rFonts w:ascii="Verdana" w:hAnsi="Verdana"/>
          <w:sz w:val="16"/>
          <w:lang w:val="pt-BR"/>
        </w:rPr>
        <w:t xml:space="preserve"> isto é, </w:t>
      </w:r>
      <w:r w:rsidR="0089298C" w:rsidRPr="002F50BD">
        <w:rPr>
          <w:rFonts w:ascii="Verdana" w:hAnsi="Verdana"/>
          <w:sz w:val="16"/>
          <w:lang w:val="pt-BR"/>
        </w:rPr>
        <w:t xml:space="preserve">em </w:t>
      </w:r>
      <w:r w:rsidR="004756C1" w:rsidRPr="002F50BD">
        <w:rPr>
          <w:rFonts w:ascii="Verdana" w:hAnsi="Verdana"/>
          <w:sz w:val="16"/>
          <w:lang w:val="pt-BR"/>
        </w:rPr>
        <w:t>rela</w:t>
      </w:r>
      <w:r w:rsidR="0089298C" w:rsidRPr="002F50BD">
        <w:rPr>
          <w:rFonts w:ascii="Verdana" w:hAnsi="Verdana"/>
          <w:sz w:val="16"/>
          <w:lang w:val="pt-BR"/>
        </w:rPr>
        <w:t>ção ao tempo</w:t>
      </w:r>
      <w:r w:rsidR="004756C1" w:rsidRPr="002F50BD">
        <w:rPr>
          <w:rFonts w:ascii="Verdana" w:hAnsi="Verdana"/>
          <w:sz w:val="16"/>
          <w:lang w:val="pt-BR"/>
        </w:rPr>
        <w:t>.</w:t>
      </w:r>
      <w:r w:rsidR="0089298C" w:rsidRPr="002F50BD">
        <w:rPr>
          <w:rFonts w:ascii="Verdana" w:hAnsi="Verdana"/>
          <w:sz w:val="16"/>
          <w:lang w:val="pt-BR"/>
        </w:rPr>
        <w:t xml:space="preserve"> </w:t>
      </w:r>
      <w:r w:rsidR="00B76BEF" w:rsidRPr="002F50BD">
        <w:rPr>
          <w:rFonts w:ascii="Verdana" w:hAnsi="Verdana"/>
          <w:sz w:val="16"/>
          <w:lang w:val="pt-BR"/>
        </w:rPr>
        <w:t>E</w:t>
      </w:r>
      <w:r w:rsidR="0089298C" w:rsidRPr="002F50BD">
        <w:rPr>
          <w:rFonts w:ascii="Verdana" w:hAnsi="Verdana"/>
          <w:sz w:val="16"/>
          <w:lang w:val="pt-BR"/>
        </w:rPr>
        <w:t xml:space="preserve">ssa </w:t>
      </w:r>
      <w:r w:rsidR="004756C1" w:rsidRPr="002F50BD">
        <w:rPr>
          <w:rFonts w:ascii="Verdana" w:hAnsi="Verdana"/>
          <w:sz w:val="16"/>
          <w:lang w:val="pt-BR"/>
        </w:rPr>
        <w:t>limita</w:t>
      </w:r>
      <w:r w:rsidR="0089298C" w:rsidRPr="002F50BD">
        <w:rPr>
          <w:rFonts w:ascii="Verdana" w:hAnsi="Verdana"/>
          <w:sz w:val="16"/>
          <w:lang w:val="pt-BR"/>
        </w:rPr>
        <w:t>ção</w:t>
      </w:r>
      <w:r w:rsidR="004756C1" w:rsidRPr="002F50BD">
        <w:rPr>
          <w:rFonts w:ascii="Verdana" w:hAnsi="Verdana"/>
          <w:sz w:val="16"/>
          <w:lang w:val="pt-BR"/>
        </w:rPr>
        <w:t xml:space="preserve"> deriva</w:t>
      </w:r>
      <w:r w:rsidR="0089298C" w:rsidRPr="002F50BD">
        <w:rPr>
          <w:rFonts w:ascii="Verdana" w:hAnsi="Verdana"/>
          <w:sz w:val="16"/>
          <w:lang w:val="pt-BR"/>
        </w:rPr>
        <w:t xml:space="preserve"> da </w:t>
      </w:r>
      <w:r w:rsidR="00B76BEF" w:rsidRPr="002F50BD">
        <w:rPr>
          <w:rFonts w:ascii="Verdana" w:hAnsi="Verdana"/>
          <w:sz w:val="16"/>
          <w:lang w:val="pt-BR"/>
        </w:rPr>
        <w:t xml:space="preserve">prevalência </w:t>
      </w:r>
      <w:r w:rsidR="0089298C" w:rsidRPr="002F50BD">
        <w:rPr>
          <w:rFonts w:ascii="Verdana" w:hAnsi="Verdana"/>
          <w:sz w:val="16"/>
          <w:lang w:val="pt-BR"/>
        </w:rPr>
        <w:t xml:space="preserve">do interesse da </w:t>
      </w:r>
      <w:r w:rsidR="004756C1" w:rsidRPr="002F50BD">
        <w:rPr>
          <w:rFonts w:ascii="Verdana" w:hAnsi="Verdana"/>
          <w:sz w:val="16"/>
          <w:lang w:val="pt-BR"/>
        </w:rPr>
        <w:t>comu</w:t>
      </w:r>
      <w:r w:rsidR="00AB454A" w:rsidRPr="002F50BD">
        <w:rPr>
          <w:rFonts w:ascii="Verdana" w:hAnsi="Verdana"/>
          <w:sz w:val="16"/>
          <w:lang w:val="pt-BR"/>
        </w:rPr>
        <w:t xml:space="preserve">nidade, </w:t>
      </w:r>
      <w:r w:rsidR="004756C1" w:rsidRPr="002F50BD">
        <w:rPr>
          <w:rFonts w:ascii="Verdana" w:hAnsi="Verdana"/>
          <w:sz w:val="16"/>
          <w:lang w:val="pt-BR"/>
        </w:rPr>
        <w:t>representada</w:t>
      </w:r>
      <w:r w:rsidR="0089298C" w:rsidRPr="002F50BD">
        <w:rPr>
          <w:rFonts w:ascii="Verdana" w:hAnsi="Verdana"/>
          <w:sz w:val="16"/>
          <w:lang w:val="pt-BR"/>
        </w:rPr>
        <w:t xml:space="preserve"> pelo </w:t>
      </w:r>
      <w:r w:rsidR="004756C1" w:rsidRPr="002F50BD">
        <w:rPr>
          <w:rFonts w:ascii="Verdana" w:hAnsi="Verdana"/>
          <w:sz w:val="16"/>
          <w:lang w:val="pt-BR"/>
        </w:rPr>
        <w:t>Estado, sobre</w:t>
      </w:r>
      <w:r w:rsidR="0089298C" w:rsidRPr="002F50BD">
        <w:rPr>
          <w:rFonts w:ascii="Verdana" w:hAnsi="Verdana"/>
          <w:sz w:val="16"/>
          <w:lang w:val="pt-BR"/>
        </w:rPr>
        <w:t xml:space="preserve"> o interesse do </w:t>
      </w:r>
      <w:r w:rsidR="004756C1" w:rsidRPr="002F50BD">
        <w:rPr>
          <w:rFonts w:ascii="Verdana" w:hAnsi="Verdana"/>
          <w:sz w:val="16"/>
          <w:lang w:val="pt-BR"/>
        </w:rPr>
        <w:t>particular que</w:t>
      </w:r>
      <w:r w:rsidR="0089298C" w:rsidRPr="002F50BD">
        <w:rPr>
          <w:rFonts w:ascii="Verdana" w:hAnsi="Verdana"/>
          <w:sz w:val="16"/>
          <w:lang w:val="pt-BR"/>
        </w:rPr>
        <w:t xml:space="preserve"> deve </w:t>
      </w:r>
      <w:r w:rsidR="004756C1" w:rsidRPr="002F50BD">
        <w:rPr>
          <w:rFonts w:ascii="Verdana" w:hAnsi="Verdana"/>
          <w:sz w:val="16"/>
          <w:lang w:val="pt-BR"/>
        </w:rPr>
        <w:t>ceder ante</w:t>
      </w:r>
      <w:r w:rsidR="0089298C" w:rsidRPr="002F50BD">
        <w:rPr>
          <w:rFonts w:ascii="Verdana" w:hAnsi="Verdana"/>
          <w:sz w:val="16"/>
          <w:lang w:val="pt-BR"/>
        </w:rPr>
        <w:t xml:space="preserve"> o </w:t>
      </w:r>
      <w:r w:rsidR="004076AD" w:rsidRPr="002F50BD">
        <w:rPr>
          <w:rFonts w:ascii="Verdana" w:hAnsi="Verdana"/>
          <w:sz w:val="16"/>
          <w:lang w:val="pt-BR"/>
        </w:rPr>
        <w:t>requerimento</w:t>
      </w:r>
      <w:r w:rsidR="004756C1" w:rsidRPr="002F50BD">
        <w:rPr>
          <w:rFonts w:ascii="Verdana" w:hAnsi="Verdana"/>
          <w:sz w:val="16"/>
          <w:lang w:val="pt-BR"/>
        </w:rPr>
        <w:t xml:space="preserve"> público”. </w:t>
      </w:r>
    </w:p>
    <w:p w:rsidR="004756C1" w:rsidRPr="002F50BD" w:rsidRDefault="004756C1">
      <w:pPr>
        <w:tabs>
          <w:tab w:val="right" w:leader="hyphen" w:pos="7230"/>
        </w:tabs>
        <w:ind w:left="720" w:right="584" w:hanging="426"/>
        <w:jc w:val="both"/>
        <w:rPr>
          <w:rFonts w:ascii="Verdana" w:hAnsi="Verdana"/>
          <w:sz w:val="16"/>
          <w:lang w:val="pt-BR"/>
        </w:rPr>
      </w:pPr>
    </w:p>
    <w:p w:rsidR="004756C1" w:rsidRPr="002F50BD" w:rsidRDefault="00CF451D">
      <w:pPr>
        <w:tabs>
          <w:tab w:val="right" w:leader="hyphen" w:pos="7230"/>
        </w:tabs>
        <w:ind w:left="720" w:right="584"/>
        <w:jc w:val="both"/>
        <w:rPr>
          <w:rFonts w:ascii="Verdana" w:hAnsi="Verdana"/>
          <w:sz w:val="16"/>
          <w:lang w:val="pt-BR"/>
        </w:rPr>
      </w:pPr>
      <w:r w:rsidRPr="00CF451D">
        <w:rPr>
          <w:rFonts w:ascii="Verdana" w:hAnsi="Verdana"/>
          <w:sz w:val="16"/>
          <w:lang w:val="pt-BR"/>
        </w:rPr>
        <w:t>(</w:t>
      </w:r>
      <w:r w:rsidR="004756C1" w:rsidRPr="002F50BD">
        <w:rPr>
          <w:rFonts w:ascii="Verdana" w:hAnsi="Verdana"/>
          <w:sz w:val="16"/>
          <w:lang w:val="pt-BR"/>
        </w:rPr>
        <w:t>...</w:t>
      </w:r>
      <w:r w:rsidRPr="00CF451D">
        <w:rPr>
          <w:rFonts w:ascii="Verdana" w:hAnsi="Verdana"/>
          <w:sz w:val="16"/>
          <w:lang w:val="pt-BR"/>
        </w:rPr>
        <w:t>)</w:t>
      </w:r>
      <w:r w:rsidR="0089298C" w:rsidRPr="002F50BD">
        <w:rPr>
          <w:rFonts w:ascii="Verdana" w:hAnsi="Verdana"/>
          <w:sz w:val="16"/>
          <w:lang w:val="pt-BR"/>
        </w:rPr>
        <w:t xml:space="preserve"> é </w:t>
      </w:r>
      <w:r w:rsidR="004756C1" w:rsidRPr="002F50BD">
        <w:rPr>
          <w:rFonts w:ascii="Verdana" w:hAnsi="Verdana"/>
          <w:sz w:val="16"/>
          <w:lang w:val="pt-BR"/>
        </w:rPr>
        <w:t xml:space="preserve">evidente, </w:t>
      </w:r>
      <w:r w:rsidR="0089298C" w:rsidRPr="002F50BD">
        <w:rPr>
          <w:rFonts w:ascii="Verdana" w:hAnsi="Verdana"/>
          <w:sz w:val="16"/>
          <w:lang w:val="pt-BR"/>
        </w:rPr>
        <w:t>então</w:t>
      </w:r>
      <w:r w:rsidR="004756C1" w:rsidRPr="002F50BD">
        <w:rPr>
          <w:rFonts w:ascii="Verdana" w:hAnsi="Verdana"/>
          <w:sz w:val="16"/>
          <w:lang w:val="pt-BR"/>
        </w:rPr>
        <w:t>, que</w:t>
      </w:r>
      <w:r w:rsidR="00802CCC" w:rsidRPr="002F50BD">
        <w:rPr>
          <w:rFonts w:ascii="Verdana" w:hAnsi="Verdana"/>
          <w:sz w:val="16"/>
          <w:lang w:val="pt-BR"/>
        </w:rPr>
        <w:t>,</w:t>
      </w:r>
      <w:r w:rsidR="004756C1" w:rsidRPr="002F50BD">
        <w:rPr>
          <w:rFonts w:ascii="Verdana" w:hAnsi="Verdana"/>
          <w:sz w:val="16"/>
          <w:lang w:val="pt-BR"/>
        </w:rPr>
        <w:t xml:space="preserve"> </w:t>
      </w:r>
      <w:r w:rsidR="00802CCC" w:rsidRPr="002F50BD">
        <w:rPr>
          <w:rFonts w:ascii="Verdana" w:hAnsi="Verdana"/>
          <w:sz w:val="16"/>
          <w:lang w:val="pt-BR"/>
        </w:rPr>
        <w:t>tratando</w:t>
      </w:r>
      <w:r w:rsidR="004E0A85">
        <w:rPr>
          <w:rFonts w:ascii="Verdana" w:hAnsi="Verdana"/>
          <w:sz w:val="16"/>
          <w:lang w:val="pt-BR"/>
        </w:rPr>
        <w:t>-se</w:t>
      </w:r>
      <w:r w:rsidR="0089298C" w:rsidRPr="002F50BD">
        <w:rPr>
          <w:rFonts w:ascii="Verdana" w:hAnsi="Verdana"/>
          <w:sz w:val="16"/>
          <w:lang w:val="pt-BR"/>
        </w:rPr>
        <w:t xml:space="preserve"> a </w:t>
      </w:r>
      <w:r w:rsidR="00DB51F0" w:rsidRPr="002F50BD">
        <w:rPr>
          <w:rFonts w:ascii="Verdana" w:hAnsi="Verdana"/>
          <w:sz w:val="16"/>
          <w:lang w:val="pt-BR"/>
        </w:rPr>
        <w:t>expropriação</w:t>
      </w:r>
      <w:r w:rsidR="004756C1" w:rsidRPr="002F50BD">
        <w:rPr>
          <w:rFonts w:ascii="Verdana" w:hAnsi="Verdana"/>
          <w:sz w:val="16"/>
          <w:lang w:val="pt-BR"/>
        </w:rPr>
        <w:t xml:space="preserve"> de</w:t>
      </w:r>
      <w:r w:rsidR="0089298C" w:rsidRPr="002F50BD">
        <w:rPr>
          <w:rFonts w:ascii="Verdana" w:hAnsi="Verdana"/>
          <w:sz w:val="16"/>
          <w:lang w:val="pt-BR"/>
        </w:rPr>
        <w:t xml:space="preserve"> um ato </w:t>
      </w:r>
      <w:r w:rsidR="004756C1" w:rsidRPr="002F50BD">
        <w:rPr>
          <w:rFonts w:ascii="Verdana" w:hAnsi="Verdana"/>
          <w:sz w:val="16"/>
          <w:lang w:val="pt-BR"/>
        </w:rPr>
        <w:t xml:space="preserve">unilateral </w:t>
      </w:r>
      <w:r w:rsidR="0089298C" w:rsidRPr="002F50BD">
        <w:rPr>
          <w:rFonts w:ascii="Verdana" w:hAnsi="Verdana"/>
          <w:sz w:val="16"/>
          <w:lang w:val="pt-BR"/>
        </w:rPr>
        <w:t>do órgão</w:t>
      </w:r>
      <w:r w:rsidR="004756C1" w:rsidRPr="002F50BD">
        <w:rPr>
          <w:rFonts w:ascii="Verdana" w:hAnsi="Verdana"/>
          <w:sz w:val="16"/>
          <w:lang w:val="pt-BR"/>
        </w:rPr>
        <w:t xml:space="preserve"> </w:t>
      </w:r>
      <w:r w:rsidR="00DB51F0" w:rsidRPr="002F50BD">
        <w:rPr>
          <w:rFonts w:ascii="Verdana" w:hAnsi="Verdana"/>
          <w:sz w:val="16"/>
          <w:lang w:val="pt-BR"/>
        </w:rPr>
        <w:t>expropriad</w:t>
      </w:r>
      <w:r w:rsidR="004756C1" w:rsidRPr="002F50BD">
        <w:rPr>
          <w:rFonts w:ascii="Verdana" w:hAnsi="Verdana"/>
          <w:sz w:val="16"/>
          <w:lang w:val="pt-BR"/>
        </w:rPr>
        <w:t xml:space="preserve">or </w:t>
      </w:r>
      <w:r w:rsidRPr="00CF451D">
        <w:rPr>
          <w:rFonts w:ascii="Verdana" w:hAnsi="Verdana"/>
          <w:sz w:val="16"/>
          <w:lang w:val="pt-BR"/>
        </w:rPr>
        <w:t>(</w:t>
      </w:r>
      <w:r w:rsidR="0089298C" w:rsidRPr="002F50BD">
        <w:rPr>
          <w:rFonts w:ascii="Verdana" w:hAnsi="Verdana"/>
          <w:sz w:val="16"/>
          <w:lang w:val="pt-BR"/>
        </w:rPr>
        <w:t>Congresso</w:t>
      </w:r>
      <w:r w:rsidRPr="00CF451D">
        <w:rPr>
          <w:rFonts w:ascii="Verdana" w:hAnsi="Verdana"/>
          <w:sz w:val="16"/>
          <w:lang w:val="pt-BR"/>
        </w:rPr>
        <w:t>)</w:t>
      </w:r>
      <w:r w:rsidR="004756C1" w:rsidRPr="002F50BD">
        <w:rPr>
          <w:rFonts w:ascii="Verdana" w:hAnsi="Verdana"/>
          <w:sz w:val="16"/>
          <w:lang w:val="pt-BR"/>
        </w:rPr>
        <w:t xml:space="preserve">, resultado </w:t>
      </w:r>
      <w:r w:rsidR="0089298C" w:rsidRPr="002F50BD">
        <w:rPr>
          <w:rFonts w:ascii="Verdana" w:hAnsi="Verdana"/>
          <w:sz w:val="16"/>
          <w:lang w:val="pt-BR"/>
        </w:rPr>
        <w:t>do exercício</w:t>
      </w:r>
      <w:r w:rsidR="004756C1" w:rsidRPr="002F50BD">
        <w:rPr>
          <w:rFonts w:ascii="Verdana" w:hAnsi="Verdana"/>
          <w:sz w:val="16"/>
          <w:lang w:val="pt-BR"/>
        </w:rPr>
        <w:t xml:space="preserve"> </w:t>
      </w:r>
      <w:r w:rsidR="0089298C" w:rsidRPr="002F50BD">
        <w:rPr>
          <w:rFonts w:ascii="Verdana" w:hAnsi="Verdana"/>
          <w:sz w:val="16"/>
          <w:lang w:val="pt-BR"/>
        </w:rPr>
        <w:t xml:space="preserve">do </w:t>
      </w:r>
      <w:r w:rsidR="004756C1" w:rsidRPr="002F50BD">
        <w:rPr>
          <w:rFonts w:ascii="Verdana" w:hAnsi="Verdana"/>
          <w:sz w:val="16"/>
          <w:lang w:val="pt-BR"/>
        </w:rPr>
        <w:t xml:space="preserve">poder estatal, </w:t>
      </w:r>
      <w:r w:rsidR="0089298C" w:rsidRPr="002F50BD">
        <w:rPr>
          <w:rFonts w:ascii="Verdana" w:hAnsi="Verdana"/>
          <w:sz w:val="16"/>
          <w:lang w:val="pt-BR"/>
        </w:rPr>
        <w:t xml:space="preserve">do </w:t>
      </w:r>
      <w:r w:rsidR="004756C1" w:rsidRPr="002F50BD">
        <w:rPr>
          <w:rFonts w:ascii="Verdana" w:hAnsi="Verdana"/>
          <w:sz w:val="16"/>
          <w:lang w:val="pt-BR"/>
        </w:rPr>
        <w:t>“jus imperii”,</w:t>
      </w:r>
      <w:r w:rsidR="0089298C" w:rsidRPr="002F50BD">
        <w:rPr>
          <w:rFonts w:ascii="Verdana" w:hAnsi="Verdana"/>
          <w:sz w:val="16"/>
          <w:lang w:val="pt-BR"/>
        </w:rPr>
        <w:t xml:space="preserve"> ainda</w:t>
      </w:r>
      <w:r w:rsidR="00802CCC" w:rsidRPr="002F50BD">
        <w:rPr>
          <w:rFonts w:ascii="Verdana" w:hAnsi="Verdana"/>
          <w:sz w:val="16"/>
          <w:lang w:val="pt-BR"/>
        </w:rPr>
        <w:t xml:space="preserve"> mais</w:t>
      </w:r>
      <w:r w:rsidR="004756C1" w:rsidRPr="002F50BD">
        <w:rPr>
          <w:rFonts w:ascii="Verdana" w:hAnsi="Verdana"/>
          <w:sz w:val="16"/>
          <w:lang w:val="pt-BR"/>
        </w:rPr>
        <w:t xml:space="preserve"> </w:t>
      </w:r>
      <w:r w:rsidR="0089298C" w:rsidRPr="002F50BD">
        <w:rPr>
          <w:rFonts w:ascii="Verdana" w:hAnsi="Verdana"/>
          <w:sz w:val="16"/>
          <w:lang w:val="pt-BR"/>
        </w:rPr>
        <w:t>quando</w:t>
      </w:r>
      <w:r w:rsidR="004756C1" w:rsidRPr="002F50BD">
        <w:rPr>
          <w:rFonts w:ascii="Verdana" w:hAnsi="Verdana"/>
          <w:sz w:val="16"/>
          <w:lang w:val="pt-BR"/>
        </w:rPr>
        <w:t xml:space="preserve"> </w:t>
      </w:r>
      <w:r w:rsidR="0089298C" w:rsidRPr="002F50BD">
        <w:rPr>
          <w:rFonts w:ascii="Verdana" w:hAnsi="Verdana"/>
          <w:sz w:val="16"/>
          <w:lang w:val="pt-BR"/>
        </w:rPr>
        <w:t xml:space="preserve">este ato deve </w:t>
      </w:r>
      <w:r w:rsidR="004756C1" w:rsidRPr="002F50BD">
        <w:rPr>
          <w:rFonts w:ascii="Verdana" w:hAnsi="Verdana"/>
          <w:sz w:val="16"/>
          <w:lang w:val="pt-BR"/>
        </w:rPr>
        <w:t>tomar</w:t>
      </w:r>
      <w:r w:rsidR="0089298C" w:rsidRPr="002F50BD">
        <w:rPr>
          <w:rFonts w:ascii="Verdana" w:hAnsi="Verdana"/>
          <w:sz w:val="16"/>
          <w:lang w:val="pt-BR"/>
        </w:rPr>
        <w:t xml:space="preserve"> a </w:t>
      </w:r>
      <w:r w:rsidR="004756C1" w:rsidRPr="002F50BD">
        <w:rPr>
          <w:rFonts w:ascii="Verdana" w:hAnsi="Verdana"/>
          <w:sz w:val="16"/>
          <w:lang w:val="pt-BR"/>
        </w:rPr>
        <w:t>forma de</w:t>
      </w:r>
      <w:r w:rsidR="0089298C" w:rsidRPr="002F50BD">
        <w:rPr>
          <w:rFonts w:ascii="Verdana" w:hAnsi="Verdana"/>
          <w:sz w:val="16"/>
          <w:lang w:val="pt-BR"/>
        </w:rPr>
        <w:t xml:space="preserve"> uma </w:t>
      </w:r>
      <w:r w:rsidR="004076AD" w:rsidRPr="002F50BD">
        <w:rPr>
          <w:rFonts w:ascii="Verdana" w:hAnsi="Verdana"/>
          <w:sz w:val="16"/>
          <w:lang w:val="pt-BR"/>
        </w:rPr>
        <w:t>lei,</w:t>
      </w:r>
      <w:r w:rsidR="0089298C" w:rsidRPr="002F50BD">
        <w:rPr>
          <w:rFonts w:ascii="Verdana" w:hAnsi="Verdana"/>
          <w:sz w:val="16"/>
          <w:lang w:val="pt-BR"/>
        </w:rPr>
        <w:t xml:space="preserve"> </w:t>
      </w:r>
      <w:r w:rsidR="00802CCC" w:rsidRPr="002F50BD">
        <w:rPr>
          <w:rFonts w:ascii="Verdana" w:hAnsi="Verdana"/>
          <w:sz w:val="16"/>
          <w:lang w:val="pt-BR"/>
        </w:rPr>
        <w:t xml:space="preserve">não cabe </w:t>
      </w:r>
      <w:r w:rsidR="0089298C" w:rsidRPr="002F50BD">
        <w:rPr>
          <w:rFonts w:ascii="Verdana" w:hAnsi="Verdana"/>
          <w:sz w:val="16"/>
          <w:lang w:val="pt-BR"/>
        </w:rPr>
        <w:t xml:space="preserve">a </w:t>
      </w:r>
      <w:r w:rsidR="004756C1" w:rsidRPr="002F50BD">
        <w:rPr>
          <w:rFonts w:ascii="Verdana" w:hAnsi="Verdana"/>
          <w:sz w:val="16"/>
          <w:lang w:val="pt-BR"/>
        </w:rPr>
        <w:t>interven</w:t>
      </w:r>
      <w:r w:rsidR="0089298C" w:rsidRPr="002F50BD">
        <w:rPr>
          <w:rFonts w:ascii="Verdana" w:hAnsi="Verdana"/>
          <w:sz w:val="16"/>
          <w:lang w:val="pt-BR"/>
        </w:rPr>
        <w:t>ção</w:t>
      </w:r>
      <w:r w:rsidR="004756C1" w:rsidRPr="002F50BD">
        <w:rPr>
          <w:rFonts w:ascii="Verdana" w:hAnsi="Verdana"/>
          <w:sz w:val="16"/>
          <w:lang w:val="pt-BR"/>
        </w:rPr>
        <w:t xml:space="preserve"> </w:t>
      </w:r>
      <w:r w:rsidR="0089298C" w:rsidRPr="002F50BD">
        <w:rPr>
          <w:rFonts w:ascii="Verdana" w:hAnsi="Verdana"/>
          <w:sz w:val="16"/>
          <w:lang w:val="pt-BR"/>
        </w:rPr>
        <w:t xml:space="preserve">do </w:t>
      </w:r>
      <w:r w:rsidR="007801FA" w:rsidRPr="002F50BD">
        <w:rPr>
          <w:rFonts w:ascii="Verdana" w:hAnsi="Verdana"/>
          <w:sz w:val="16"/>
          <w:lang w:val="pt-BR"/>
        </w:rPr>
        <w:t>proprietário</w:t>
      </w:r>
      <w:r w:rsidR="0089298C" w:rsidRPr="002F50BD">
        <w:rPr>
          <w:rFonts w:ascii="Verdana" w:hAnsi="Verdana"/>
          <w:sz w:val="16"/>
          <w:lang w:val="pt-BR"/>
        </w:rPr>
        <w:t xml:space="preserve"> nas atuações das </w:t>
      </w:r>
      <w:r w:rsidR="00DB51F0" w:rsidRPr="002F50BD">
        <w:rPr>
          <w:rFonts w:ascii="Verdana" w:hAnsi="Verdana"/>
          <w:sz w:val="16"/>
          <w:lang w:val="pt-BR"/>
        </w:rPr>
        <w:t>Câmara</w:t>
      </w:r>
      <w:r w:rsidR="004756C1" w:rsidRPr="002F50BD">
        <w:rPr>
          <w:rFonts w:ascii="Verdana" w:hAnsi="Verdana"/>
          <w:sz w:val="16"/>
          <w:lang w:val="pt-BR"/>
        </w:rPr>
        <w:t xml:space="preserve">s </w:t>
      </w:r>
      <w:r w:rsidR="00B76BEF" w:rsidRPr="002F50BD">
        <w:rPr>
          <w:rFonts w:ascii="Verdana" w:hAnsi="Verdana"/>
          <w:sz w:val="16"/>
          <w:lang w:val="pt-BR"/>
        </w:rPr>
        <w:t xml:space="preserve">dirigidas </w:t>
      </w:r>
      <w:r w:rsidR="0089298C" w:rsidRPr="002F50BD">
        <w:rPr>
          <w:rFonts w:ascii="Verdana" w:hAnsi="Verdana"/>
          <w:sz w:val="16"/>
          <w:lang w:val="pt-BR"/>
        </w:rPr>
        <w:t xml:space="preserve">à </w:t>
      </w:r>
      <w:r w:rsidR="00DB51F0" w:rsidRPr="002F50BD">
        <w:rPr>
          <w:rFonts w:ascii="Verdana" w:hAnsi="Verdana"/>
          <w:sz w:val="16"/>
          <w:lang w:val="pt-BR"/>
        </w:rPr>
        <w:t>expropriação</w:t>
      </w:r>
      <w:r w:rsidR="004756C1" w:rsidRPr="002F50BD">
        <w:rPr>
          <w:rFonts w:ascii="Verdana" w:hAnsi="Verdana"/>
          <w:sz w:val="16"/>
          <w:lang w:val="pt-BR"/>
        </w:rPr>
        <w:t xml:space="preserve">. </w:t>
      </w:r>
    </w:p>
    <w:p w:rsidR="004756C1" w:rsidRPr="002F50BD" w:rsidRDefault="004756C1">
      <w:pPr>
        <w:tabs>
          <w:tab w:val="right" w:leader="hyphen" w:pos="7230"/>
        </w:tabs>
        <w:ind w:left="720" w:right="584" w:hanging="426"/>
        <w:jc w:val="both"/>
        <w:rPr>
          <w:rFonts w:ascii="Verdana" w:hAnsi="Verdana"/>
          <w:sz w:val="16"/>
          <w:lang w:val="pt-BR"/>
        </w:rPr>
      </w:pPr>
    </w:p>
    <w:p w:rsidR="004756C1" w:rsidRPr="002F50BD" w:rsidRDefault="00CF451D">
      <w:pPr>
        <w:tabs>
          <w:tab w:val="right" w:leader="hyphen" w:pos="7230"/>
        </w:tabs>
        <w:ind w:left="720" w:right="584"/>
        <w:jc w:val="both"/>
        <w:rPr>
          <w:rFonts w:ascii="Verdana" w:hAnsi="Verdana"/>
          <w:sz w:val="16"/>
          <w:lang w:val="pt-BR"/>
        </w:rPr>
      </w:pPr>
      <w:r w:rsidRPr="00CF451D">
        <w:rPr>
          <w:rFonts w:ascii="Verdana" w:hAnsi="Verdana"/>
          <w:sz w:val="16"/>
          <w:lang w:val="pt-BR"/>
        </w:rPr>
        <w:t>(</w:t>
      </w:r>
      <w:r w:rsidR="004756C1" w:rsidRPr="002F50BD">
        <w:rPr>
          <w:rFonts w:ascii="Verdana" w:hAnsi="Verdana"/>
          <w:sz w:val="16"/>
          <w:lang w:val="pt-BR"/>
        </w:rPr>
        <w:t>...</w:t>
      </w:r>
      <w:r w:rsidRPr="00CF451D">
        <w:rPr>
          <w:rFonts w:ascii="Verdana" w:hAnsi="Verdana"/>
          <w:sz w:val="16"/>
          <w:lang w:val="pt-BR"/>
        </w:rPr>
        <w:t>)</w:t>
      </w:r>
      <w:r w:rsidR="0089298C" w:rsidRPr="002F50BD">
        <w:rPr>
          <w:rFonts w:ascii="Verdana" w:hAnsi="Verdana"/>
          <w:sz w:val="16"/>
          <w:lang w:val="pt-BR"/>
        </w:rPr>
        <w:t xml:space="preserve"> a decisão</w:t>
      </w:r>
      <w:r w:rsidR="004756C1" w:rsidRPr="002F50BD">
        <w:rPr>
          <w:rFonts w:ascii="Verdana" w:hAnsi="Verdana"/>
          <w:sz w:val="16"/>
          <w:lang w:val="pt-BR"/>
        </w:rPr>
        <w:t xml:space="preserve"> que </w:t>
      </w:r>
      <w:r w:rsidR="0089298C" w:rsidRPr="002F50BD">
        <w:rPr>
          <w:rFonts w:ascii="Verdana" w:hAnsi="Verdana"/>
          <w:sz w:val="16"/>
          <w:lang w:val="pt-BR"/>
        </w:rPr>
        <w:t>adot</w:t>
      </w:r>
      <w:r w:rsidR="004756C1" w:rsidRPr="002F50BD">
        <w:rPr>
          <w:rFonts w:ascii="Verdana" w:hAnsi="Verdana"/>
          <w:sz w:val="16"/>
          <w:lang w:val="pt-BR"/>
        </w:rPr>
        <w:t>e</w:t>
      </w:r>
      <w:r w:rsidR="0089298C" w:rsidRPr="002F50BD">
        <w:rPr>
          <w:rFonts w:ascii="Verdana" w:hAnsi="Verdana"/>
          <w:sz w:val="16"/>
          <w:lang w:val="pt-BR"/>
        </w:rPr>
        <w:t xml:space="preserve"> o Congresso</w:t>
      </w:r>
      <w:r w:rsidR="004756C1" w:rsidRPr="002F50BD">
        <w:rPr>
          <w:rFonts w:ascii="Verdana" w:hAnsi="Verdana"/>
          <w:sz w:val="16"/>
          <w:lang w:val="pt-BR"/>
        </w:rPr>
        <w:t xml:space="preserve"> </w:t>
      </w:r>
      <w:r w:rsidR="00B76BEF" w:rsidRPr="002F50BD">
        <w:rPr>
          <w:rFonts w:ascii="Verdana" w:hAnsi="Verdana"/>
          <w:sz w:val="16"/>
          <w:lang w:val="pt-BR"/>
        </w:rPr>
        <w:t xml:space="preserve">há de estar baseada </w:t>
      </w:r>
      <w:r w:rsidR="0089298C" w:rsidRPr="002F50BD">
        <w:rPr>
          <w:rFonts w:ascii="Verdana" w:hAnsi="Verdana"/>
          <w:sz w:val="16"/>
          <w:lang w:val="pt-BR"/>
        </w:rPr>
        <w:t>em fatos</w:t>
      </w:r>
      <w:r w:rsidR="004756C1" w:rsidRPr="002F50BD">
        <w:rPr>
          <w:rFonts w:ascii="Verdana" w:hAnsi="Verdana"/>
          <w:sz w:val="16"/>
          <w:lang w:val="pt-BR"/>
        </w:rPr>
        <w:t xml:space="preserve"> concretos que </w:t>
      </w:r>
      <w:r w:rsidR="00B76BEF" w:rsidRPr="002F50BD">
        <w:rPr>
          <w:rFonts w:ascii="Verdana" w:hAnsi="Verdana"/>
          <w:sz w:val="16"/>
          <w:lang w:val="pt-BR"/>
        </w:rPr>
        <w:t xml:space="preserve">produzam </w:t>
      </w:r>
      <w:r w:rsidR="0089298C" w:rsidRPr="002F50BD">
        <w:rPr>
          <w:rFonts w:ascii="Verdana" w:hAnsi="Verdana"/>
          <w:sz w:val="16"/>
          <w:lang w:val="pt-BR"/>
        </w:rPr>
        <w:t xml:space="preserve">essa </w:t>
      </w:r>
      <w:r w:rsidR="004756C1" w:rsidRPr="002F50BD">
        <w:rPr>
          <w:rFonts w:ascii="Verdana" w:hAnsi="Verdana"/>
          <w:sz w:val="16"/>
          <w:lang w:val="pt-BR"/>
        </w:rPr>
        <w:t xml:space="preserve">“causa de </w:t>
      </w:r>
      <w:r w:rsidR="0089298C" w:rsidRPr="002F50BD">
        <w:rPr>
          <w:rFonts w:ascii="Verdana" w:hAnsi="Verdana"/>
          <w:sz w:val="16"/>
          <w:lang w:val="pt-BR"/>
        </w:rPr>
        <w:t xml:space="preserve">utilidade </w:t>
      </w:r>
      <w:r w:rsidR="004756C1" w:rsidRPr="002F50BD">
        <w:rPr>
          <w:rFonts w:ascii="Verdana" w:hAnsi="Verdana"/>
          <w:sz w:val="16"/>
          <w:lang w:val="pt-BR"/>
        </w:rPr>
        <w:t>pública o</w:t>
      </w:r>
      <w:r w:rsidR="00B76BEF" w:rsidRPr="002F50BD">
        <w:rPr>
          <w:rFonts w:ascii="Verdana" w:hAnsi="Verdana"/>
          <w:sz w:val="16"/>
          <w:lang w:val="pt-BR"/>
        </w:rPr>
        <w:t>u</w:t>
      </w:r>
      <w:r w:rsidR="004756C1" w:rsidRPr="002F50BD">
        <w:rPr>
          <w:rFonts w:ascii="Verdana" w:hAnsi="Verdana"/>
          <w:sz w:val="16"/>
          <w:lang w:val="pt-BR"/>
        </w:rPr>
        <w:t xml:space="preserve"> </w:t>
      </w:r>
      <w:r w:rsidR="00B76BEF" w:rsidRPr="002F50BD">
        <w:rPr>
          <w:rFonts w:ascii="Verdana" w:hAnsi="Verdana"/>
          <w:sz w:val="16"/>
          <w:lang w:val="pt-BR"/>
        </w:rPr>
        <w:t xml:space="preserve">de </w:t>
      </w:r>
      <w:r w:rsidR="0089298C" w:rsidRPr="002F50BD">
        <w:rPr>
          <w:rFonts w:ascii="Verdana" w:hAnsi="Verdana"/>
          <w:sz w:val="16"/>
          <w:lang w:val="pt-BR"/>
        </w:rPr>
        <w:t xml:space="preserve">interesse </w:t>
      </w:r>
      <w:r w:rsidR="004756C1" w:rsidRPr="002F50BD">
        <w:rPr>
          <w:rFonts w:ascii="Verdana" w:hAnsi="Verdana"/>
          <w:sz w:val="16"/>
          <w:lang w:val="pt-BR"/>
        </w:rPr>
        <w:t xml:space="preserve">social” de que </w:t>
      </w:r>
      <w:r w:rsidR="0089298C" w:rsidRPr="002F50BD">
        <w:rPr>
          <w:rFonts w:ascii="Verdana" w:hAnsi="Verdana"/>
          <w:sz w:val="16"/>
          <w:lang w:val="pt-BR"/>
        </w:rPr>
        <w:t xml:space="preserve">fala a Lei </w:t>
      </w:r>
      <w:r w:rsidR="004756C1" w:rsidRPr="002F50BD">
        <w:rPr>
          <w:rFonts w:ascii="Verdana" w:hAnsi="Verdana"/>
          <w:sz w:val="16"/>
          <w:lang w:val="pt-BR"/>
        </w:rPr>
        <w:t>Suprema</w:t>
      </w:r>
      <w:r w:rsidR="0089298C" w:rsidRPr="002F50BD">
        <w:rPr>
          <w:rFonts w:ascii="Verdana" w:hAnsi="Verdana"/>
          <w:sz w:val="16"/>
          <w:lang w:val="pt-BR"/>
        </w:rPr>
        <w:t xml:space="preserve"> e</w:t>
      </w:r>
      <w:r w:rsidR="004756C1" w:rsidRPr="002F50BD">
        <w:rPr>
          <w:rFonts w:ascii="Verdana" w:hAnsi="Verdana"/>
          <w:sz w:val="16"/>
          <w:lang w:val="pt-BR"/>
        </w:rPr>
        <w:t xml:space="preserve"> que</w:t>
      </w:r>
      <w:r w:rsidR="0089298C" w:rsidRPr="002F50BD">
        <w:rPr>
          <w:rFonts w:ascii="Verdana" w:hAnsi="Verdana"/>
          <w:sz w:val="16"/>
          <w:lang w:val="pt-BR"/>
        </w:rPr>
        <w:t xml:space="preserve"> lev</w:t>
      </w:r>
      <w:r w:rsidR="00B76BEF" w:rsidRPr="002F50BD">
        <w:rPr>
          <w:rFonts w:ascii="Verdana" w:hAnsi="Verdana"/>
          <w:sz w:val="16"/>
          <w:lang w:val="pt-BR"/>
        </w:rPr>
        <w:t>em</w:t>
      </w:r>
      <w:r w:rsidR="0089298C" w:rsidRPr="002F50BD">
        <w:rPr>
          <w:rFonts w:ascii="Verdana" w:hAnsi="Verdana"/>
          <w:sz w:val="16"/>
          <w:lang w:val="pt-BR"/>
        </w:rPr>
        <w:t xml:space="preserve"> os </w:t>
      </w:r>
      <w:r w:rsidR="004756C1" w:rsidRPr="002F50BD">
        <w:rPr>
          <w:rFonts w:ascii="Verdana" w:hAnsi="Verdana"/>
          <w:sz w:val="16"/>
          <w:lang w:val="pt-BR"/>
        </w:rPr>
        <w:t>legisladores</w:t>
      </w:r>
      <w:r w:rsidR="0089298C" w:rsidRPr="002F50BD">
        <w:rPr>
          <w:rFonts w:ascii="Verdana" w:hAnsi="Verdana"/>
          <w:sz w:val="16"/>
          <w:lang w:val="pt-BR"/>
        </w:rPr>
        <w:t xml:space="preserve"> ao </w:t>
      </w:r>
      <w:r w:rsidR="004756C1" w:rsidRPr="002F50BD">
        <w:rPr>
          <w:rFonts w:ascii="Verdana" w:hAnsi="Verdana"/>
          <w:sz w:val="16"/>
          <w:lang w:val="pt-BR"/>
        </w:rPr>
        <w:t>con</w:t>
      </w:r>
      <w:r w:rsidR="0089298C" w:rsidRPr="002F50BD">
        <w:rPr>
          <w:rFonts w:ascii="Verdana" w:hAnsi="Verdana"/>
          <w:sz w:val="16"/>
          <w:lang w:val="pt-BR"/>
        </w:rPr>
        <w:t>vencimento</w:t>
      </w:r>
      <w:r w:rsidR="004756C1" w:rsidRPr="002F50BD">
        <w:rPr>
          <w:rFonts w:ascii="Verdana" w:hAnsi="Verdana"/>
          <w:sz w:val="16"/>
          <w:lang w:val="pt-BR"/>
        </w:rPr>
        <w:t xml:space="preserve"> de que</w:t>
      </w:r>
      <w:r w:rsidR="0089298C" w:rsidRPr="002F50BD">
        <w:rPr>
          <w:rFonts w:ascii="Verdana" w:hAnsi="Verdana"/>
          <w:sz w:val="16"/>
          <w:lang w:val="pt-BR"/>
        </w:rPr>
        <w:t xml:space="preserve"> </w:t>
      </w:r>
      <w:r w:rsidR="00802CCC" w:rsidRPr="002F50BD">
        <w:rPr>
          <w:rFonts w:ascii="Verdana" w:hAnsi="Verdana"/>
          <w:sz w:val="16"/>
          <w:lang w:val="pt-BR"/>
        </w:rPr>
        <w:t xml:space="preserve">se </w:t>
      </w:r>
      <w:r w:rsidR="0089298C" w:rsidRPr="002F50BD">
        <w:rPr>
          <w:rFonts w:ascii="Verdana" w:hAnsi="Verdana"/>
          <w:sz w:val="16"/>
          <w:lang w:val="pt-BR"/>
        </w:rPr>
        <w:t xml:space="preserve">deve </w:t>
      </w:r>
      <w:r w:rsidR="004756C1" w:rsidRPr="002F50BD">
        <w:rPr>
          <w:rFonts w:ascii="Verdana" w:hAnsi="Verdana"/>
          <w:sz w:val="16"/>
          <w:lang w:val="pt-BR"/>
        </w:rPr>
        <w:t>proceder</w:t>
      </w:r>
      <w:r w:rsidR="0089298C" w:rsidRPr="002F50BD">
        <w:rPr>
          <w:rFonts w:ascii="Verdana" w:hAnsi="Verdana"/>
          <w:sz w:val="16"/>
          <w:lang w:val="pt-BR"/>
        </w:rPr>
        <w:t xml:space="preserve"> à </w:t>
      </w:r>
      <w:r w:rsidR="00DB51F0" w:rsidRPr="002F50BD">
        <w:rPr>
          <w:rFonts w:ascii="Verdana" w:hAnsi="Verdana"/>
          <w:sz w:val="16"/>
          <w:lang w:val="pt-BR"/>
        </w:rPr>
        <w:t>expropriação</w:t>
      </w:r>
      <w:r w:rsidR="00D95E71" w:rsidRPr="002F50BD">
        <w:rPr>
          <w:rFonts w:ascii="Verdana" w:hAnsi="Verdana"/>
          <w:sz w:val="16"/>
          <w:lang w:val="pt-BR"/>
        </w:rPr>
        <w:t xml:space="preserve">. O </w:t>
      </w:r>
      <w:r w:rsidR="0089298C" w:rsidRPr="002F50BD">
        <w:rPr>
          <w:rFonts w:ascii="Verdana" w:hAnsi="Verdana"/>
          <w:sz w:val="16"/>
          <w:lang w:val="pt-BR"/>
        </w:rPr>
        <w:t>Congresso</w:t>
      </w:r>
      <w:r w:rsidR="004756C1" w:rsidRPr="002F50BD">
        <w:rPr>
          <w:rFonts w:ascii="Verdana" w:hAnsi="Verdana"/>
          <w:sz w:val="16"/>
          <w:lang w:val="pt-BR"/>
        </w:rPr>
        <w:t xml:space="preserve"> </w:t>
      </w:r>
      <w:r w:rsidR="0089298C" w:rsidRPr="002F50BD">
        <w:rPr>
          <w:rFonts w:ascii="Verdana" w:hAnsi="Verdana"/>
          <w:sz w:val="16"/>
          <w:lang w:val="pt-BR"/>
        </w:rPr>
        <w:t xml:space="preserve">tem a </w:t>
      </w:r>
      <w:r w:rsidR="004756C1" w:rsidRPr="002F50BD">
        <w:rPr>
          <w:rFonts w:ascii="Verdana" w:hAnsi="Verdana"/>
          <w:sz w:val="16"/>
          <w:lang w:val="pt-BR"/>
        </w:rPr>
        <w:t>atribu</w:t>
      </w:r>
      <w:r w:rsidR="00B76BEF" w:rsidRPr="002F50BD">
        <w:rPr>
          <w:rFonts w:ascii="Verdana" w:hAnsi="Verdana"/>
          <w:sz w:val="16"/>
          <w:lang w:val="pt-BR"/>
        </w:rPr>
        <w:t>i</w:t>
      </w:r>
      <w:r w:rsidR="0089298C" w:rsidRPr="002F50BD">
        <w:rPr>
          <w:rFonts w:ascii="Verdana" w:hAnsi="Verdana"/>
          <w:sz w:val="16"/>
          <w:lang w:val="pt-BR"/>
        </w:rPr>
        <w:t>ção</w:t>
      </w:r>
      <w:r w:rsidR="004756C1" w:rsidRPr="002F50BD">
        <w:rPr>
          <w:rFonts w:ascii="Verdana" w:hAnsi="Verdana"/>
          <w:sz w:val="16"/>
          <w:lang w:val="pt-BR"/>
        </w:rPr>
        <w:t xml:space="preserve"> de apreciar</w:t>
      </w:r>
      <w:r w:rsidR="0089298C" w:rsidRPr="002F50BD">
        <w:rPr>
          <w:rFonts w:ascii="Verdana" w:hAnsi="Verdana"/>
          <w:sz w:val="16"/>
          <w:lang w:val="pt-BR"/>
        </w:rPr>
        <w:t xml:space="preserve"> se</w:t>
      </w:r>
      <w:r w:rsidR="00802CCC" w:rsidRPr="002F50BD">
        <w:rPr>
          <w:rFonts w:ascii="Verdana" w:hAnsi="Verdana"/>
          <w:sz w:val="16"/>
          <w:lang w:val="pt-BR"/>
        </w:rPr>
        <w:t>,</w:t>
      </w:r>
      <w:r w:rsidR="0089298C" w:rsidRPr="002F50BD">
        <w:rPr>
          <w:rFonts w:ascii="Verdana" w:hAnsi="Verdana"/>
          <w:sz w:val="16"/>
          <w:lang w:val="pt-BR"/>
        </w:rPr>
        <w:t xml:space="preserve"> em uma </w:t>
      </w:r>
      <w:r w:rsidR="00B76BEF" w:rsidRPr="002F50BD">
        <w:rPr>
          <w:rFonts w:ascii="Verdana" w:hAnsi="Verdana"/>
          <w:sz w:val="16"/>
          <w:lang w:val="pt-BR"/>
        </w:rPr>
        <w:t xml:space="preserve">dada </w:t>
      </w:r>
      <w:r w:rsidR="004756C1" w:rsidRPr="002F50BD">
        <w:rPr>
          <w:rFonts w:ascii="Verdana" w:hAnsi="Verdana"/>
          <w:sz w:val="16"/>
          <w:lang w:val="pt-BR"/>
        </w:rPr>
        <w:t>situa</w:t>
      </w:r>
      <w:r w:rsidR="0089298C" w:rsidRPr="002F50BD">
        <w:rPr>
          <w:rFonts w:ascii="Verdana" w:hAnsi="Verdana"/>
          <w:sz w:val="16"/>
          <w:lang w:val="pt-BR"/>
        </w:rPr>
        <w:t>ção</w:t>
      </w:r>
      <w:r w:rsidR="004756C1" w:rsidRPr="002F50BD">
        <w:rPr>
          <w:rFonts w:ascii="Verdana" w:hAnsi="Verdana"/>
          <w:sz w:val="16"/>
          <w:lang w:val="pt-BR"/>
        </w:rPr>
        <w:t>,</w:t>
      </w:r>
      <w:r w:rsidR="0089298C" w:rsidRPr="002F50BD">
        <w:rPr>
          <w:rFonts w:ascii="Verdana" w:hAnsi="Verdana"/>
          <w:sz w:val="16"/>
          <w:lang w:val="pt-BR"/>
        </w:rPr>
        <w:t xml:space="preserve"> a </w:t>
      </w:r>
      <w:r w:rsidR="004756C1" w:rsidRPr="002F50BD">
        <w:rPr>
          <w:rFonts w:ascii="Verdana" w:hAnsi="Verdana"/>
          <w:sz w:val="16"/>
          <w:lang w:val="pt-BR"/>
        </w:rPr>
        <w:t xml:space="preserve">“causa de </w:t>
      </w:r>
      <w:r w:rsidR="0089298C" w:rsidRPr="002F50BD">
        <w:rPr>
          <w:rFonts w:ascii="Verdana" w:hAnsi="Verdana"/>
          <w:sz w:val="16"/>
          <w:lang w:val="pt-BR"/>
        </w:rPr>
        <w:t xml:space="preserve">utilidade </w:t>
      </w:r>
      <w:r w:rsidR="004756C1" w:rsidRPr="002F50BD">
        <w:rPr>
          <w:rFonts w:ascii="Verdana" w:hAnsi="Verdana"/>
          <w:sz w:val="16"/>
          <w:lang w:val="pt-BR"/>
        </w:rPr>
        <w:t>pública o</w:t>
      </w:r>
      <w:r w:rsidR="00B76BEF" w:rsidRPr="002F50BD">
        <w:rPr>
          <w:rFonts w:ascii="Verdana" w:hAnsi="Verdana"/>
          <w:sz w:val="16"/>
          <w:lang w:val="pt-BR"/>
        </w:rPr>
        <w:t>u</w:t>
      </w:r>
      <w:r w:rsidR="004756C1" w:rsidRPr="002F50BD">
        <w:rPr>
          <w:rFonts w:ascii="Verdana" w:hAnsi="Verdana"/>
          <w:sz w:val="16"/>
          <w:lang w:val="pt-BR"/>
        </w:rPr>
        <w:t xml:space="preserve"> </w:t>
      </w:r>
      <w:r w:rsidR="00CE1AC8" w:rsidRPr="002F50BD">
        <w:rPr>
          <w:rFonts w:ascii="Verdana" w:hAnsi="Verdana"/>
          <w:sz w:val="16"/>
          <w:lang w:val="pt-BR"/>
        </w:rPr>
        <w:t xml:space="preserve">de </w:t>
      </w:r>
      <w:r w:rsidR="0089298C" w:rsidRPr="002F50BD">
        <w:rPr>
          <w:rFonts w:ascii="Verdana" w:hAnsi="Verdana"/>
          <w:sz w:val="16"/>
          <w:lang w:val="pt-BR"/>
        </w:rPr>
        <w:t xml:space="preserve">interesse </w:t>
      </w:r>
      <w:r w:rsidR="004756C1" w:rsidRPr="002F50BD">
        <w:rPr>
          <w:rFonts w:ascii="Verdana" w:hAnsi="Verdana"/>
          <w:sz w:val="16"/>
          <w:lang w:val="pt-BR"/>
        </w:rPr>
        <w:t>social” realmente existe</w:t>
      </w:r>
      <w:r w:rsidR="0089298C" w:rsidRPr="002F50BD">
        <w:rPr>
          <w:rFonts w:ascii="Verdana" w:hAnsi="Verdana"/>
          <w:sz w:val="16"/>
          <w:lang w:val="pt-BR"/>
        </w:rPr>
        <w:t xml:space="preserve"> e é </w:t>
      </w:r>
      <w:r w:rsidR="004756C1" w:rsidRPr="002F50BD">
        <w:rPr>
          <w:rFonts w:ascii="Verdana" w:hAnsi="Verdana"/>
          <w:sz w:val="16"/>
          <w:lang w:val="pt-BR"/>
        </w:rPr>
        <w:t>de tal envergadura que justifique</w:t>
      </w:r>
      <w:r w:rsidR="0089298C" w:rsidRPr="002F50BD">
        <w:rPr>
          <w:rFonts w:ascii="Verdana" w:hAnsi="Verdana"/>
          <w:sz w:val="16"/>
          <w:lang w:val="pt-BR"/>
        </w:rPr>
        <w:t xml:space="preserve"> a adoção da </w:t>
      </w:r>
      <w:r w:rsidR="004756C1" w:rsidRPr="002F50BD">
        <w:rPr>
          <w:rFonts w:ascii="Verdana" w:hAnsi="Verdana"/>
          <w:sz w:val="16"/>
          <w:lang w:val="pt-BR"/>
        </w:rPr>
        <w:t xml:space="preserve">medida excepcional de que </w:t>
      </w:r>
      <w:r w:rsidR="00B76BEF" w:rsidRPr="002F50BD">
        <w:rPr>
          <w:rFonts w:ascii="Verdana" w:hAnsi="Verdana"/>
          <w:sz w:val="16"/>
          <w:lang w:val="pt-BR"/>
        </w:rPr>
        <w:t>falamos</w:t>
      </w:r>
      <w:r w:rsidR="004756C1" w:rsidRPr="002F50BD">
        <w:rPr>
          <w:rFonts w:ascii="Verdana" w:hAnsi="Verdana"/>
          <w:sz w:val="16"/>
          <w:lang w:val="pt-BR"/>
        </w:rPr>
        <w:t>.</w:t>
      </w:r>
    </w:p>
    <w:p w:rsidR="004756C1" w:rsidRPr="002F50BD" w:rsidRDefault="004756C1">
      <w:pPr>
        <w:tabs>
          <w:tab w:val="right" w:leader="hyphen" w:pos="7230"/>
        </w:tabs>
        <w:ind w:left="720" w:right="584" w:hanging="426"/>
        <w:jc w:val="both"/>
        <w:rPr>
          <w:rFonts w:ascii="Verdana" w:hAnsi="Verdana"/>
          <w:sz w:val="16"/>
          <w:lang w:val="pt-BR"/>
        </w:rPr>
      </w:pPr>
    </w:p>
    <w:p w:rsidR="004756C1" w:rsidRPr="002F50BD" w:rsidRDefault="00CF451D">
      <w:pPr>
        <w:pStyle w:val="BodyText"/>
        <w:ind w:left="720" w:right="584"/>
        <w:rPr>
          <w:rFonts w:ascii="Verdana" w:hAnsi="Verdana"/>
          <w:sz w:val="20"/>
          <w:lang w:val="pt-BR"/>
        </w:rPr>
      </w:pPr>
      <w:r w:rsidRPr="00CF451D">
        <w:rPr>
          <w:rFonts w:ascii="Verdana" w:hAnsi="Verdana"/>
          <w:sz w:val="16"/>
          <w:lang w:val="pt-BR"/>
        </w:rPr>
        <w:lastRenderedPageBreak/>
        <w:t>(</w:t>
      </w:r>
      <w:r w:rsidR="004756C1" w:rsidRPr="002F50BD">
        <w:rPr>
          <w:rFonts w:ascii="Verdana" w:hAnsi="Verdana"/>
          <w:sz w:val="16"/>
          <w:lang w:val="pt-BR"/>
        </w:rPr>
        <w:t>...</w:t>
      </w:r>
      <w:r w:rsidRPr="00CF451D">
        <w:rPr>
          <w:rFonts w:ascii="Verdana" w:hAnsi="Verdana"/>
          <w:sz w:val="16"/>
          <w:lang w:val="pt-BR"/>
        </w:rPr>
        <w:t>)</w:t>
      </w:r>
      <w:r w:rsidR="0089298C" w:rsidRPr="002F50BD">
        <w:rPr>
          <w:rFonts w:ascii="Verdana" w:hAnsi="Verdana"/>
          <w:sz w:val="16"/>
          <w:lang w:val="pt-BR"/>
        </w:rPr>
        <w:t xml:space="preserve"> no mesm</w:t>
      </w:r>
      <w:r w:rsidR="004756C1" w:rsidRPr="002F50BD">
        <w:rPr>
          <w:rFonts w:ascii="Verdana" w:hAnsi="Verdana"/>
          <w:sz w:val="16"/>
          <w:lang w:val="pt-BR"/>
        </w:rPr>
        <w:t>o sentido,</w:t>
      </w:r>
      <w:r w:rsidR="0089298C" w:rsidRPr="002F50BD">
        <w:rPr>
          <w:rFonts w:ascii="Verdana" w:hAnsi="Verdana"/>
          <w:sz w:val="16"/>
          <w:lang w:val="pt-BR"/>
        </w:rPr>
        <w:t xml:space="preserve"> no </w:t>
      </w:r>
      <w:r w:rsidR="004756C1" w:rsidRPr="002F50BD">
        <w:rPr>
          <w:rFonts w:ascii="Verdana" w:hAnsi="Verdana"/>
          <w:sz w:val="16"/>
          <w:lang w:val="pt-BR"/>
        </w:rPr>
        <w:t xml:space="preserve">veto </w:t>
      </w:r>
      <w:r w:rsidR="0089298C" w:rsidRPr="002F50BD">
        <w:rPr>
          <w:rFonts w:ascii="Verdana" w:hAnsi="Verdana"/>
          <w:sz w:val="16"/>
          <w:lang w:val="pt-BR"/>
        </w:rPr>
        <w:t xml:space="preserve">do </w:t>
      </w:r>
      <w:r w:rsidR="004756C1" w:rsidRPr="002F50BD">
        <w:rPr>
          <w:rFonts w:ascii="Verdana" w:hAnsi="Verdana"/>
          <w:sz w:val="16"/>
          <w:lang w:val="pt-BR"/>
        </w:rPr>
        <w:t xml:space="preserve">Poder </w:t>
      </w:r>
      <w:r w:rsidR="0089298C" w:rsidRPr="002F50BD">
        <w:rPr>
          <w:rFonts w:ascii="Verdana" w:hAnsi="Verdana"/>
          <w:sz w:val="16"/>
          <w:lang w:val="pt-BR"/>
        </w:rPr>
        <w:t>Executiv</w:t>
      </w:r>
      <w:r w:rsidR="004756C1" w:rsidRPr="002F50BD">
        <w:rPr>
          <w:rFonts w:ascii="Verdana" w:hAnsi="Verdana"/>
          <w:sz w:val="16"/>
          <w:lang w:val="pt-BR"/>
        </w:rPr>
        <w:t xml:space="preserve">o se </w:t>
      </w:r>
      <w:r w:rsidR="0089298C" w:rsidRPr="002F50BD">
        <w:rPr>
          <w:rFonts w:ascii="Verdana" w:hAnsi="Verdana"/>
          <w:sz w:val="16"/>
          <w:lang w:val="pt-BR"/>
        </w:rPr>
        <w:t>expressa</w:t>
      </w:r>
      <w:r w:rsidR="004756C1" w:rsidRPr="002F50BD">
        <w:rPr>
          <w:rFonts w:ascii="Verdana" w:hAnsi="Verdana"/>
          <w:sz w:val="16"/>
          <w:lang w:val="pt-BR"/>
        </w:rPr>
        <w:t xml:space="preserve"> o </w:t>
      </w:r>
      <w:r w:rsidR="0089298C" w:rsidRPr="002F50BD">
        <w:rPr>
          <w:rFonts w:ascii="Verdana" w:hAnsi="Verdana"/>
          <w:sz w:val="16"/>
          <w:lang w:val="pt-BR"/>
        </w:rPr>
        <w:t>seguinte</w:t>
      </w:r>
      <w:r w:rsidR="004756C1" w:rsidRPr="002F50BD">
        <w:rPr>
          <w:rFonts w:ascii="Verdana" w:hAnsi="Verdana"/>
          <w:sz w:val="16"/>
          <w:lang w:val="pt-BR"/>
        </w:rPr>
        <w:t xml:space="preserve">: “Como lógico </w:t>
      </w:r>
      <w:r w:rsidR="00B76BEF" w:rsidRPr="002F50BD">
        <w:rPr>
          <w:rFonts w:ascii="Verdana" w:hAnsi="Verdana"/>
          <w:sz w:val="16"/>
          <w:lang w:val="pt-BR"/>
        </w:rPr>
        <w:t xml:space="preserve">corolário </w:t>
      </w:r>
      <w:r w:rsidR="0089298C" w:rsidRPr="002F50BD">
        <w:rPr>
          <w:rFonts w:ascii="Verdana" w:hAnsi="Verdana"/>
          <w:sz w:val="16"/>
          <w:lang w:val="pt-BR"/>
        </w:rPr>
        <w:t xml:space="preserve">deste </w:t>
      </w:r>
      <w:r w:rsidR="004756C1" w:rsidRPr="002F50BD">
        <w:rPr>
          <w:rFonts w:ascii="Verdana" w:hAnsi="Verdana"/>
          <w:sz w:val="16"/>
          <w:lang w:val="pt-BR"/>
        </w:rPr>
        <w:t>ideal de facilitar</w:t>
      </w:r>
      <w:r w:rsidR="0089298C" w:rsidRPr="002F50BD">
        <w:rPr>
          <w:rFonts w:ascii="Verdana" w:hAnsi="Verdana"/>
          <w:sz w:val="16"/>
          <w:lang w:val="pt-BR"/>
        </w:rPr>
        <w:t xml:space="preserve"> à maior quantidade possível </w:t>
      </w:r>
      <w:r w:rsidR="004756C1" w:rsidRPr="002F50BD">
        <w:rPr>
          <w:rFonts w:ascii="Verdana" w:hAnsi="Verdana"/>
          <w:sz w:val="16"/>
          <w:lang w:val="pt-BR"/>
        </w:rPr>
        <w:t>de compatriotas</w:t>
      </w:r>
      <w:r w:rsidR="0089298C" w:rsidRPr="002F50BD">
        <w:rPr>
          <w:rFonts w:ascii="Verdana" w:hAnsi="Verdana"/>
          <w:sz w:val="16"/>
          <w:lang w:val="pt-BR"/>
        </w:rPr>
        <w:t xml:space="preserve"> o acesso à propriedade</w:t>
      </w:r>
      <w:r w:rsidR="004756C1" w:rsidRPr="002F50BD">
        <w:rPr>
          <w:rFonts w:ascii="Verdana" w:hAnsi="Verdana"/>
          <w:sz w:val="16"/>
          <w:lang w:val="pt-BR"/>
        </w:rPr>
        <w:t xml:space="preserve"> </w:t>
      </w:r>
      <w:r w:rsidR="00B76BEF" w:rsidRPr="002F50BD">
        <w:rPr>
          <w:rFonts w:ascii="Verdana" w:hAnsi="Verdana"/>
          <w:sz w:val="16"/>
          <w:lang w:val="pt-BR"/>
        </w:rPr>
        <w:t>imobiliária</w:t>
      </w:r>
      <w:r w:rsidR="004756C1" w:rsidRPr="002F50BD">
        <w:rPr>
          <w:rFonts w:ascii="Verdana" w:hAnsi="Verdana"/>
          <w:sz w:val="16"/>
          <w:lang w:val="pt-BR"/>
        </w:rPr>
        <w:t>,</w:t>
      </w:r>
      <w:r w:rsidR="0089298C" w:rsidRPr="002F50BD">
        <w:rPr>
          <w:rFonts w:ascii="Verdana" w:hAnsi="Verdana"/>
          <w:sz w:val="16"/>
          <w:lang w:val="pt-BR"/>
        </w:rPr>
        <w:t xml:space="preserve"> deve</w:t>
      </w:r>
      <w:r w:rsidR="00B76BEF" w:rsidRPr="002F50BD">
        <w:rPr>
          <w:rFonts w:ascii="Verdana" w:hAnsi="Verdana"/>
          <w:sz w:val="16"/>
          <w:lang w:val="pt-BR"/>
        </w:rPr>
        <w:t>-se</w:t>
      </w:r>
      <w:r w:rsidR="0089298C" w:rsidRPr="002F50BD">
        <w:rPr>
          <w:rFonts w:ascii="Verdana" w:hAnsi="Verdana"/>
          <w:sz w:val="16"/>
          <w:lang w:val="pt-BR"/>
        </w:rPr>
        <w:t xml:space="preserve"> ressaltar</w:t>
      </w:r>
      <w:r w:rsidR="004756C1" w:rsidRPr="002F50BD">
        <w:rPr>
          <w:rFonts w:ascii="Verdana" w:hAnsi="Verdana"/>
          <w:sz w:val="16"/>
          <w:lang w:val="pt-BR"/>
        </w:rPr>
        <w:t xml:space="preserve"> que</w:t>
      </w:r>
      <w:r w:rsidR="0089298C" w:rsidRPr="002F50BD">
        <w:rPr>
          <w:rFonts w:ascii="Verdana" w:hAnsi="Verdana"/>
          <w:sz w:val="16"/>
          <w:lang w:val="pt-BR"/>
        </w:rPr>
        <w:t xml:space="preserve"> o espírito</w:t>
      </w:r>
      <w:r w:rsidR="004756C1" w:rsidRPr="002F50BD">
        <w:rPr>
          <w:rFonts w:ascii="Verdana" w:hAnsi="Verdana"/>
          <w:sz w:val="16"/>
          <w:lang w:val="pt-BR"/>
        </w:rPr>
        <w:t xml:space="preserve"> </w:t>
      </w:r>
      <w:r w:rsidR="0089298C" w:rsidRPr="002F50BD">
        <w:rPr>
          <w:rFonts w:ascii="Verdana" w:hAnsi="Verdana"/>
          <w:sz w:val="16"/>
          <w:lang w:val="pt-BR"/>
        </w:rPr>
        <w:t>do constitui</w:t>
      </w:r>
      <w:r w:rsidR="00B76BEF" w:rsidRPr="002F50BD">
        <w:rPr>
          <w:rFonts w:ascii="Verdana" w:hAnsi="Verdana"/>
          <w:sz w:val="16"/>
          <w:lang w:val="pt-BR"/>
        </w:rPr>
        <w:t>nte reflete</w:t>
      </w:r>
      <w:r w:rsidR="00951B61">
        <w:rPr>
          <w:rFonts w:ascii="Verdana" w:hAnsi="Verdana"/>
          <w:sz w:val="16"/>
          <w:lang w:val="pt-BR"/>
        </w:rPr>
        <w:t xml:space="preserve"> a rejeição </w:t>
      </w:r>
      <w:r w:rsidR="0089298C" w:rsidRPr="002F50BD">
        <w:rPr>
          <w:rFonts w:ascii="Verdana" w:hAnsi="Verdana"/>
          <w:sz w:val="16"/>
          <w:lang w:val="pt-BR"/>
        </w:rPr>
        <w:t>à grande propriedade</w:t>
      </w:r>
      <w:r w:rsidR="004756C1" w:rsidRPr="002F50BD">
        <w:rPr>
          <w:rFonts w:ascii="Verdana" w:hAnsi="Verdana"/>
          <w:sz w:val="16"/>
          <w:lang w:val="pt-BR"/>
        </w:rPr>
        <w:t xml:space="preserve"> </w:t>
      </w:r>
      <w:r w:rsidR="00B76BEF" w:rsidRPr="002F50BD">
        <w:rPr>
          <w:rFonts w:ascii="Verdana" w:hAnsi="Verdana"/>
          <w:sz w:val="16"/>
          <w:lang w:val="pt-BR"/>
        </w:rPr>
        <w:t xml:space="preserve">imobiliária, </w:t>
      </w:r>
      <w:r w:rsidR="004756C1" w:rsidRPr="002F50BD">
        <w:rPr>
          <w:rFonts w:ascii="Verdana" w:hAnsi="Verdana"/>
          <w:sz w:val="16"/>
          <w:lang w:val="pt-BR"/>
        </w:rPr>
        <w:t>constitua o</w:t>
      </w:r>
      <w:r w:rsidR="00B76BEF" w:rsidRPr="002F50BD">
        <w:rPr>
          <w:rFonts w:ascii="Verdana" w:hAnsi="Verdana"/>
          <w:sz w:val="16"/>
          <w:lang w:val="pt-BR"/>
        </w:rPr>
        <w:t>u não latifúndio</w:t>
      </w:r>
      <w:r w:rsidR="004756C1" w:rsidRPr="002F50BD">
        <w:rPr>
          <w:rFonts w:ascii="Verdana" w:hAnsi="Verdana"/>
          <w:sz w:val="16"/>
          <w:lang w:val="pt-BR"/>
        </w:rPr>
        <w:t>”...</w:t>
      </w:r>
      <w:r w:rsidR="004756C1" w:rsidRPr="002F50BD">
        <w:rPr>
          <w:rFonts w:ascii="Verdana" w:hAnsi="Verdana"/>
          <w:sz w:val="20"/>
          <w:lang w:val="pt-BR"/>
        </w:rPr>
        <w:t xml:space="preserve"> </w:t>
      </w:r>
      <w:r w:rsidR="004756C1" w:rsidRPr="002F50BD">
        <w:rPr>
          <w:rFonts w:ascii="Verdana" w:hAnsi="Verdana"/>
          <w:sz w:val="20"/>
          <w:lang w:val="pt-BR"/>
        </w:rPr>
        <w:tab/>
      </w:r>
    </w:p>
    <w:p w:rsidR="004756C1" w:rsidRPr="002F50BD" w:rsidRDefault="004756C1">
      <w:pPr>
        <w:spacing w:line="226" w:lineRule="auto"/>
        <w:jc w:val="both"/>
        <w:rPr>
          <w:rFonts w:ascii="Verdana" w:hAnsi="Verdana"/>
          <w:i/>
          <w:sz w:val="20"/>
          <w:lang w:val="pt-BR"/>
        </w:rPr>
      </w:pPr>
    </w:p>
    <w:p w:rsidR="004756C1" w:rsidRPr="002F50BD" w:rsidRDefault="00063B47">
      <w:pPr>
        <w:spacing w:line="226" w:lineRule="auto"/>
        <w:jc w:val="both"/>
        <w:rPr>
          <w:rFonts w:ascii="Verdana" w:hAnsi="Verdana"/>
          <w:sz w:val="20"/>
          <w:lang w:val="pt-BR"/>
        </w:rPr>
      </w:pPr>
      <w:r w:rsidRPr="002F50BD">
        <w:rPr>
          <w:rFonts w:ascii="Verdana" w:hAnsi="Verdana"/>
          <w:sz w:val="20"/>
          <w:lang w:val="pt-BR"/>
        </w:rPr>
        <w:t>20</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 xml:space="preserve">No </w:t>
      </w:r>
      <w:r w:rsidR="004756C1" w:rsidRPr="002F50BD">
        <w:rPr>
          <w:rFonts w:ascii="Verdana" w:hAnsi="Verdana"/>
          <w:sz w:val="20"/>
          <w:lang w:val="pt-BR"/>
        </w:rPr>
        <w:t>marco jurídico referido</w:t>
      </w:r>
      <w:r w:rsidR="00802CCC" w:rsidRPr="002F50BD">
        <w:rPr>
          <w:rFonts w:ascii="Verdana" w:hAnsi="Verdana"/>
          <w:sz w:val="20"/>
          <w:lang w:val="pt-BR"/>
        </w:rPr>
        <w:t>,</w:t>
      </w:r>
      <w:r w:rsidR="0089298C" w:rsidRPr="002F50BD">
        <w:rPr>
          <w:rFonts w:ascii="Verdana" w:hAnsi="Verdana"/>
          <w:sz w:val="20"/>
          <w:lang w:val="pt-BR"/>
        </w:rPr>
        <w:t xml:space="preserve"> deve</w:t>
      </w:r>
      <w:r w:rsidR="00802CCC" w:rsidRPr="002F50BD">
        <w:rPr>
          <w:rFonts w:ascii="Verdana" w:hAnsi="Verdana"/>
          <w:sz w:val="20"/>
          <w:lang w:val="pt-BR"/>
        </w:rPr>
        <w:t xml:space="preserve">-se </w:t>
      </w:r>
      <w:r w:rsidR="0089298C" w:rsidRPr="002F50BD">
        <w:rPr>
          <w:rFonts w:ascii="Verdana" w:hAnsi="Verdana"/>
          <w:sz w:val="20"/>
          <w:lang w:val="pt-BR"/>
        </w:rPr>
        <w:t xml:space="preserve">julgar a </w:t>
      </w:r>
      <w:r w:rsidR="004756C1" w:rsidRPr="002F50BD">
        <w:rPr>
          <w:rFonts w:ascii="Verdana" w:hAnsi="Verdana"/>
          <w:sz w:val="20"/>
          <w:lang w:val="pt-BR"/>
        </w:rPr>
        <w:t>interven</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Poder Legislativo</w:t>
      </w:r>
      <w:r w:rsidR="0089298C" w:rsidRPr="002F50BD">
        <w:rPr>
          <w:rFonts w:ascii="Verdana" w:hAnsi="Verdana"/>
          <w:sz w:val="20"/>
          <w:lang w:val="pt-BR"/>
        </w:rPr>
        <w:t xml:space="preserve"> nos </w:t>
      </w:r>
      <w:r w:rsidR="004756C1" w:rsidRPr="002F50BD">
        <w:rPr>
          <w:rFonts w:ascii="Verdana" w:hAnsi="Verdana"/>
          <w:sz w:val="20"/>
          <w:lang w:val="pt-BR"/>
        </w:rPr>
        <w:t>do</w:t>
      </w:r>
      <w:r w:rsidR="00B76BEF" w:rsidRPr="002F50BD">
        <w:rPr>
          <w:rFonts w:ascii="Verdana" w:hAnsi="Verdana"/>
          <w:sz w:val="20"/>
          <w:lang w:val="pt-BR"/>
        </w:rPr>
        <w:t>i</w:t>
      </w:r>
      <w:r w:rsidR="004756C1" w:rsidRPr="002F50BD">
        <w:rPr>
          <w:rFonts w:ascii="Verdana" w:hAnsi="Verdana"/>
          <w:sz w:val="20"/>
          <w:lang w:val="pt-BR"/>
        </w:rPr>
        <w:t xml:space="preserve">s pedidos de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w:t>
      </w:r>
      <w:r w:rsidR="0089298C"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8</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w:t>
      </w:r>
      <w:r w:rsidR="00B76BEF" w:rsidRPr="002F50BD">
        <w:rPr>
          <w:rFonts w:ascii="Verdana" w:hAnsi="Verdana"/>
          <w:sz w:val="20"/>
          <w:lang w:val="pt-BR"/>
        </w:rPr>
        <w:t>N</w:t>
      </w:r>
      <w:r w:rsidR="0089298C" w:rsidRPr="002F50BD">
        <w:rPr>
          <w:rFonts w:ascii="Verdana" w:hAnsi="Verdana"/>
          <w:sz w:val="20"/>
          <w:lang w:val="pt-BR"/>
        </w:rPr>
        <w:t xml:space="preserve">o primeiro </w:t>
      </w:r>
      <w:r w:rsidR="004756C1" w:rsidRPr="002F50BD">
        <w:rPr>
          <w:rFonts w:ascii="Verdana" w:hAnsi="Verdana"/>
          <w:sz w:val="20"/>
          <w:lang w:val="pt-BR"/>
        </w:rPr>
        <w:t>caso</w:t>
      </w:r>
      <w:r w:rsidR="00802CCC" w:rsidRPr="002F50BD">
        <w:rPr>
          <w:rFonts w:ascii="Verdana" w:hAnsi="Verdana"/>
          <w:sz w:val="20"/>
          <w:lang w:val="pt-BR"/>
        </w:rPr>
        <w:t>,</w:t>
      </w:r>
      <w:r w:rsidR="0089298C" w:rsidRPr="002F50BD">
        <w:rPr>
          <w:rFonts w:ascii="Verdana" w:hAnsi="Verdana"/>
          <w:sz w:val="20"/>
          <w:lang w:val="pt-BR"/>
        </w:rPr>
        <w:t xml:space="preserve"> 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apresentado </w:t>
      </w:r>
      <w:r w:rsidR="00367FD1" w:rsidRPr="002F50BD">
        <w:rPr>
          <w:rFonts w:ascii="Verdana" w:hAnsi="Verdana"/>
          <w:sz w:val="20"/>
          <w:lang w:val="pt-BR"/>
        </w:rPr>
        <w:t>pelos</w:t>
      </w:r>
      <w:r w:rsidR="00AB6727" w:rsidRPr="002F50BD">
        <w:rPr>
          <w:rFonts w:ascii="Verdana" w:hAnsi="Verdana"/>
          <w:sz w:val="20"/>
          <w:lang w:val="pt-BR"/>
        </w:rPr>
        <w:t xml:space="preserve"> </w:t>
      </w:r>
      <w:r w:rsidR="00F76AC5" w:rsidRPr="002F50BD">
        <w:rPr>
          <w:rFonts w:ascii="Verdana" w:hAnsi="Verdana"/>
          <w:sz w:val="20"/>
          <w:lang w:val="pt-BR"/>
        </w:rPr>
        <w:t>Deputad</w:t>
      </w:r>
      <w:r w:rsidR="004756C1" w:rsidRPr="002F50BD">
        <w:rPr>
          <w:rFonts w:ascii="Verdana" w:hAnsi="Verdana"/>
          <w:sz w:val="20"/>
          <w:lang w:val="pt-BR"/>
        </w:rPr>
        <w:t xml:space="preserve">os </w:t>
      </w:r>
      <w:r w:rsidR="0089298C" w:rsidRPr="002F50BD">
        <w:rPr>
          <w:rFonts w:ascii="Verdana" w:hAnsi="Verdana"/>
          <w:sz w:val="20"/>
          <w:lang w:val="pt-BR"/>
        </w:rPr>
        <w:t>senhora</w:t>
      </w:r>
      <w:r w:rsidR="004756C1" w:rsidRPr="002F50BD">
        <w:rPr>
          <w:rFonts w:ascii="Verdana" w:hAnsi="Verdana"/>
          <w:sz w:val="20"/>
          <w:lang w:val="pt-BR"/>
        </w:rPr>
        <w:t xml:space="preserve"> Sonia de León</w:t>
      </w:r>
      <w:r w:rsidR="0089298C" w:rsidRPr="002F50BD">
        <w:rPr>
          <w:rFonts w:ascii="Verdana" w:hAnsi="Verdana"/>
          <w:sz w:val="20"/>
          <w:lang w:val="pt-BR"/>
        </w:rPr>
        <w:t xml:space="preserve"> e o senhor </w:t>
      </w:r>
      <w:r w:rsidR="004756C1" w:rsidRPr="002F50BD">
        <w:rPr>
          <w:rFonts w:ascii="Verdana" w:hAnsi="Verdana"/>
          <w:sz w:val="20"/>
          <w:lang w:val="pt-BR"/>
        </w:rPr>
        <w:t>Rafael Filizzola</w:t>
      </w:r>
      <w:r w:rsidR="0089298C" w:rsidRPr="002F50BD">
        <w:rPr>
          <w:rFonts w:ascii="Verdana" w:hAnsi="Verdana"/>
          <w:sz w:val="20"/>
          <w:lang w:val="pt-BR"/>
        </w:rPr>
        <w:t xml:space="preserve"> foi </w:t>
      </w:r>
      <w:r w:rsidR="004756C1" w:rsidRPr="002F50BD">
        <w:rPr>
          <w:rFonts w:ascii="Verdana" w:hAnsi="Verdana"/>
          <w:sz w:val="20"/>
          <w:lang w:val="pt-BR"/>
        </w:rPr>
        <w:t>retirado por Resolu</w:t>
      </w:r>
      <w:r w:rsidR="0089298C" w:rsidRPr="002F50BD">
        <w:rPr>
          <w:rFonts w:ascii="Verdana" w:hAnsi="Verdana"/>
          <w:sz w:val="20"/>
          <w:lang w:val="pt-BR"/>
        </w:rPr>
        <w:t xml:space="preserve">ção da </w:t>
      </w:r>
      <w:r w:rsidR="00DB51F0" w:rsidRPr="002F50BD">
        <w:rPr>
          <w:rFonts w:ascii="Verdana" w:hAnsi="Verdana"/>
          <w:sz w:val="20"/>
          <w:lang w:val="pt-BR"/>
        </w:rPr>
        <w:t>Câmara</w:t>
      </w:r>
      <w:r w:rsidR="004756C1" w:rsidRPr="002F50BD">
        <w:rPr>
          <w:rFonts w:ascii="Verdana" w:hAnsi="Verdana"/>
          <w:sz w:val="20"/>
          <w:lang w:val="pt-BR"/>
        </w:rPr>
        <w:t xml:space="preserve"> de </w:t>
      </w:r>
      <w:r w:rsidR="00F76AC5" w:rsidRPr="002F50BD">
        <w:rPr>
          <w:rFonts w:ascii="Verdana" w:hAnsi="Verdana"/>
          <w:sz w:val="20"/>
          <w:lang w:val="pt-BR"/>
        </w:rPr>
        <w:t>Deputad</w:t>
      </w:r>
      <w:r w:rsidR="004756C1" w:rsidRPr="002F50BD">
        <w:rPr>
          <w:rFonts w:ascii="Verdana" w:hAnsi="Verdana"/>
          <w:sz w:val="20"/>
          <w:lang w:val="pt-BR"/>
        </w:rPr>
        <w:t>os, a pedido</w:t>
      </w:r>
      <w:r w:rsidR="0089298C" w:rsidRPr="002F50BD">
        <w:rPr>
          <w:rFonts w:ascii="Verdana" w:hAnsi="Verdana"/>
          <w:sz w:val="20"/>
          <w:lang w:val="pt-BR"/>
        </w:rPr>
        <w:t xml:space="preserve"> dos </w:t>
      </w:r>
      <w:r w:rsidR="00B76BEF" w:rsidRPr="002F50BD">
        <w:rPr>
          <w:rFonts w:ascii="Verdana" w:hAnsi="Verdana"/>
          <w:sz w:val="20"/>
          <w:lang w:val="pt-BR"/>
        </w:rPr>
        <w:t>proponentes</w:t>
      </w:r>
      <w:r w:rsidR="004756C1" w:rsidRPr="002F50BD">
        <w:rPr>
          <w:rFonts w:ascii="Verdana" w:hAnsi="Verdana"/>
          <w:sz w:val="20"/>
          <w:lang w:val="pt-BR"/>
        </w:rPr>
        <w:t>, dada</w:t>
      </w:r>
      <w:r w:rsidR="0089298C" w:rsidRPr="002F50BD">
        <w:rPr>
          <w:rFonts w:ascii="Verdana" w:hAnsi="Verdana"/>
          <w:sz w:val="20"/>
          <w:lang w:val="pt-BR"/>
        </w:rPr>
        <w:t xml:space="preserve"> a </w:t>
      </w:r>
      <w:r w:rsidR="004756C1" w:rsidRPr="002F50BD">
        <w:rPr>
          <w:rFonts w:ascii="Verdana" w:hAnsi="Verdana"/>
          <w:sz w:val="20"/>
          <w:lang w:val="pt-BR"/>
        </w:rPr>
        <w:t>interven</w:t>
      </w:r>
      <w:r w:rsidR="0089298C" w:rsidRPr="002F50BD">
        <w:rPr>
          <w:rFonts w:ascii="Verdana" w:hAnsi="Verdana"/>
          <w:sz w:val="20"/>
          <w:lang w:val="pt-BR"/>
        </w:rPr>
        <w:t>ção da Comissão</w:t>
      </w:r>
      <w:r w:rsidR="004756C1" w:rsidRPr="002F50BD">
        <w:rPr>
          <w:rFonts w:ascii="Verdana" w:hAnsi="Verdana"/>
          <w:sz w:val="20"/>
          <w:lang w:val="pt-BR"/>
        </w:rPr>
        <w:t xml:space="preserve"> Interamericana de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xml:space="preserve"> e o interesse do </w:t>
      </w:r>
      <w:r w:rsidR="004756C1" w:rsidRPr="002F50BD">
        <w:rPr>
          <w:rFonts w:ascii="Verdana" w:hAnsi="Verdana"/>
          <w:sz w:val="20"/>
          <w:lang w:val="pt-BR"/>
        </w:rPr>
        <w:t xml:space="preserve">Estado </w:t>
      </w:r>
      <w:r w:rsidR="00B76BEF"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o</w:t>
      </w:r>
      <w:r w:rsidR="0089298C" w:rsidRPr="002F50BD">
        <w:rPr>
          <w:rFonts w:ascii="Verdana" w:hAnsi="Verdana"/>
          <w:sz w:val="20"/>
          <w:lang w:val="pt-BR"/>
        </w:rPr>
        <w:t xml:space="preserve"> em </w:t>
      </w:r>
      <w:r w:rsidR="004756C1" w:rsidRPr="002F50BD">
        <w:rPr>
          <w:rFonts w:ascii="Verdana" w:hAnsi="Verdana"/>
          <w:sz w:val="20"/>
          <w:lang w:val="pt-BR"/>
        </w:rPr>
        <w:t>encontrar</w:t>
      </w:r>
      <w:r w:rsidR="0089298C" w:rsidRPr="002F50BD">
        <w:rPr>
          <w:rFonts w:ascii="Verdana" w:hAnsi="Verdana"/>
          <w:sz w:val="20"/>
          <w:lang w:val="pt-BR"/>
        </w:rPr>
        <w:t xml:space="preserve"> uma </w:t>
      </w:r>
      <w:r w:rsidR="004756C1" w:rsidRPr="002F50BD">
        <w:rPr>
          <w:rFonts w:ascii="Verdana" w:hAnsi="Verdana"/>
          <w:sz w:val="20"/>
          <w:lang w:val="pt-BR"/>
        </w:rPr>
        <w:t>solu</w:t>
      </w:r>
      <w:r w:rsidR="0089298C" w:rsidRPr="002F50BD">
        <w:rPr>
          <w:rFonts w:ascii="Verdana" w:hAnsi="Verdana"/>
          <w:sz w:val="20"/>
          <w:lang w:val="pt-BR"/>
        </w:rPr>
        <w:t>ção</w:t>
      </w:r>
      <w:r w:rsidR="004756C1" w:rsidRPr="002F50BD">
        <w:rPr>
          <w:rFonts w:ascii="Verdana" w:hAnsi="Verdana"/>
          <w:sz w:val="20"/>
          <w:lang w:val="pt-BR"/>
        </w:rPr>
        <w:t xml:space="preserve"> amistosa</w:t>
      </w:r>
      <w:r w:rsidR="00B76BEF" w:rsidRPr="002F50BD">
        <w:rPr>
          <w:rFonts w:ascii="Verdana" w:hAnsi="Verdana"/>
          <w:sz w:val="20"/>
          <w:lang w:val="pt-BR"/>
        </w:rPr>
        <w:t>.</w:t>
      </w:r>
      <w:r w:rsidR="004756C1" w:rsidRPr="002F50BD">
        <w:rPr>
          <w:rStyle w:val="FootnoteReference"/>
          <w:rFonts w:ascii="Verdana" w:hAnsi="Verdana"/>
        </w:rPr>
        <w:footnoteReference w:id="245"/>
      </w:r>
    </w:p>
    <w:p w:rsidR="004756C1" w:rsidRPr="002F50BD" w:rsidRDefault="0089298C">
      <w:pPr>
        <w:jc w:val="both"/>
        <w:rPr>
          <w:rFonts w:ascii="Verdana" w:hAnsi="Verdana"/>
          <w:sz w:val="20"/>
          <w:lang w:val="pt-BR"/>
        </w:rPr>
      </w:pPr>
      <w:r w:rsidRPr="002F50BD">
        <w:rPr>
          <w:rFonts w:ascii="Verdana" w:hAnsi="Verdana"/>
          <w:sz w:val="20"/>
          <w:lang w:val="pt-BR"/>
        </w:rPr>
        <w:cr/>
        <w:t xml:space="preserve">O </w:t>
      </w:r>
      <w:r w:rsidR="004756C1" w:rsidRPr="002F50BD">
        <w:rPr>
          <w:rFonts w:ascii="Verdana" w:hAnsi="Verdana"/>
          <w:sz w:val="20"/>
          <w:lang w:val="pt-BR"/>
        </w:rPr>
        <w:t xml:space="preserve">segundo pedido de </w:t>
      </w:r>
      <w:r w:rsidR="00DB51F0" w:rsidRPr="002F50BD">
        <w:rPr>
          <w:rFonts w:ascii="Verdana" w:hAnsi="Verdana"/>
          <w:sz w:val="20"/>
          <w:lang w:val="pt-BR"/>
        </w:rPr>
        <w:t>expropriação</w:t>
      </w:r>
      <w:r w:rsidRPr="002F50BD">
        <w:rPr>
          <w:rFonts w:ascii="Verdana" w:hAnsi="Verdana"/>
          <w:sz w:val="20"/>
          <w:lang w:val="pt-BR"/>
        </w:rPr>
        <w:t xml:space="preserve"> foi </w:t>
      </w:r>
      <w:r w:rsidR="00CE1AC8" w:rsidRPr="002F50BD">
        <w:rPr>
          <w:rFonts w:ascii="Verdana" w:hAnsi="Verdana"/>
          <w:sz w:val="20"/>
          <w:lang w:val="pt-BR"/>
        </w:rPr>
        <w:t>rejeitado</w:t>
      </w:r>
      <w:r w:rsidRPr="002F50BD">
        <w:rPr>
          <w:rFonts w:ascii="Verdana" w:hAnsi="Verdana"/>
          <w:sz w:val="20"/>
          <w:lang w:val="pt-BR"/>
        </w:rPr>
        <w:t xml:space="preserve"> pela </w:t>
      </w:r>
      <w:r w:rsidR="00DB51F0" w:rsidRPr="002F50BD">
        <w:rPr>
          <w:rFonts w:ascii="Verdana" w:hAnsi="Verdana"/>
          <w:sz w:val="20"/>
          <w:lang w:val="pt-BR"/>
        </w:rPr>
        <w:t>Câmara</w:t>
      </w:r>
      <w:r w:rsidR="004756C1" w:rsidRPr="002F50BD">
        <w:rPr>
          <w:rFonts w:ascii="Verdana" w:hAnsi="Verdana"/>
          <w:sz w:val="20"/>
          <w:lang w:val="pt-BR"/>
        </w:rPr>
        <w:t xml:space="preserve"> de Senadores.</w:t>
      </w:r>
      <w:r w:rsidRPr="002F50BD">
        <w:rPr>
          <w:rFonts w:ascii="Verdana" w:hAnsi="Verdana"/>
          <w:sz w:val="20"/>
          <w:lang w:val="pt-BR"/>
        </w:rPr>
        <w:t xml:space="preserve"> </w:t>
      </w:r>
      <w:r w:rsidR="00B76BEF" w:rsidRPr="002F50BD">
        <w:rPr>
          <w:rFonts w:ascii="Verdana" w:hAnsi="Verdana"/>
          <w:sz w:val="20"/>
          <w:lang w:val="pt-BR"/>
        </w:rPr>
        <w:t>N</w:t>
      </w:r>
      <w:r w:rsidR="00FB33DD" w:rsidRPr="002F50BD">
        <w:rPr>
          <w:rFonts w:ascii="Verdana" w:hAnsi="Verdana"/>
          <w:sz w:val="20"/>
          <w:lang w:val="pt-BR"/>
        </w:rPr>
        <w:t>esse</w:t>
      </w:r>
      <w:r w:rsidRPr="002F50BD">
        <w:rPr>
          <w:rFonts w:ascii="Verdana" w:hAnsi="Verdana"/>
          <w:sz w:val="20"/>
          <w:lang w:val="pt-BR"/>
        </w:rPr>
        <w:t xml:space="preserve"> </w:t>
      </w:r>
      <w:r w:rsidR="004756C1" w:rsidRPr="002F50BD">
        <w:rPr>
          <w:rFonts w:ascii="Verdana" w:hAnsi="Verdana"/>
          <w:sz w:val="20"/>
          <w:lang w:val="pt-BR"/>
        </w:rPr>
        <w:t>caso</w:t>
      </w:r>
      <w:r w:rsidR="00802CCC" w:rsidRPr="002F50BD">
        <w:rPr>
          <w:rFonts w:ascii="Verdana" w:hAnsi="Verdana"/>
          <w:sz w:val="20"/>
          <w:lang w:val="pt-BR"/>
        </w:rPr>
        <w:t>,</w:t>
      </w:r>
      <w:r w:rsidRPr="002F50BD">
        <w:rPr>
          <w:rFonts w:ascii="Verdana" w:hAnsi="Verdana"/>
          <w:sz w:val="20"/>
          <w:lang w:val="pt-BR"/>
        </w:rPr>
        <w:t xml:space="preserve"> os </w:t>
      </w:r>
      <w:r w:rsidR="004756C1" w:rsidRPr="002F50BD">
        <w:rPr>
          <w:rFonts w:ascii="Verdana" w:hAnsi="Verdana"/>
          <w:sz w:val="20"/>
          <w:lang w:val="pt-BR"/>
        </w:rPr>
        <w:t xml:space="preserve">legisladores </w:t>
      </w:r>
      <w:r w:rsidR="00475EBB" w:rsidRPr="002F50BD">
        <w:rPr>
          <w:rFonts w:ascii="Verdana" w:hAnsi="Verdana"/>
          <w:sz w:val="20"/>
          <w:lang w:val="pt-BR"/>
        </w:rPr>
        <w:t>não tiveram</w:t>
      </w:r>
      <w:r w:rsidR="004756C1" w:rsidRPr="002F50BD">
        <w:rPr>
          <w:rFonts w:ascii="Verdana" w:hAnsi="Verdana"/>
          <w:sz w:val="20"/>
          <w:lang w:val="pt-BR"/>
        </w:rPr>
        <w:t>,</w:t>
      </w:r>
      <w:r w:rsidRPr="002F50BD">
        <w:rPr>
          <w:rFonts w:ascii="Verdana" w:hAnsi="Verdana"/>
          <w:sz w:val="20"/>
          <w:lang w:val="pt-BR"/>
        </w:rPr>
        <w:t xml:space="preserve"> em </w:t>
      </w:r>
      <w:r w:rsidR="004756C1" w:rsidRPr="002F50BD">
        <w:rPr>
          <w:rFonts w:ascii="Verdana" w:hAnsi="Verdana"/>
          <w:sz w:val="20"/>
          <w:lang w:val="pt-BR"/>
        </w:rPr>
        <w:t>uso de su</w:t>
      </w:r>
      <w:r w:rsidR="00CE1AC8" w:rsidRPr="002F50BD">
        <w:rPr>
          <w:rFonts w:ascii="Verdana" w:hAnsi="Verdana"/>
          <w:sz w:val="20"/>
          <w:lang w:val="pt-BR"/>
        </w:rPr>
        <w:t>a</w:t>
      </w:r>
      <w:r w:rsidR="004756C1" w:rsidRPr="002F50BD">
        <w:rPr>
          <w:rFonts w:ascii="Verdana" w:hAnsi="Verdana"/>
          <w:sz w:val="20"/>
          <w:lang w:val="pt-BR"/>
        </w:rPr>
        <w:t xml:space="preserve">s </w:t>
      </w:r>
      <w:r w:rsidRPr="002F50BD">
        <w:rPr>
          <w:rFonts w:ascii="Verdana" w:hAnsi="Verdana"/>
          <w:sz w:val="20"/>
          <w:lang w:val="pt-BR"/>
        </w:rPr>
        <w:t>faculdades</w:t>
      </w:r>
      <w:r w:rsidR="004756C1" w:rsidRPr="002F50BD">
        <w:rPr>
          <w:rFonts w:ascii="Verdana" w:hAnsi="Verdana"/>
          <w:sz w:val="20"/>
          <w:lang w:val="pt-BR"/>
        </w:rPr>
        <w:t xml:space="preserve"> constitucionalmente </w:t>
      </w:r>
      <w:r w:rsidRPr="002F50BD">
        <w:rPr>
          <w:rFonts w:ascii="Verdana" w:hAnsi="Verdana"/>
          <w:sz w:val="20"/>
          <w:lang w:val="pt-BR"/>
        </w:rPr>
        <w:t>estabelecid</w:t>
      </w:r>
      <w:r w:rsidR="004756C1" w:rsidRPr="002F50BD">
        <w:rPr>
          <w:rFonts w:ascii="Verdana" w:hAnsi="Verdana"/>
          <w:sz w:val="20"/>
          <w:lang w:val="pt-BR"/>
        </w:rPr>
        <w:t>as,</w:t>
      </w:r>
      <w:r w:rsidRPr="002F50BD">
        <w:rPr>
          <w:rFonts w:ascii="Verdana" w:hAnsi="Verdana"/>
          <w:sz w:val="20"/>
          <w:lang w:val="pt-BR"/>
        </w:rPr>
        <w:t xml:space="preserve"> a </w:t>
      </w:r>
      <w:r w:rsidR="004756C1" w:rsidRPr="002F50BD">
        <w:rPr>
          <w:rFonts w:ascii="Verdana" w:hAnsi="Verdana"/>
          <w:sz w:val="20"/>
          <w:lang w:val="pt-BR"/>
        </w:rPr>
        <w:t>convic</w:t>
      </w:r>
      <w:r w:rsidRPr="002F50BD">
        <w:rPr>
          <w:rFonts w:ascii="Verdana" w:hAnsi="Verdana"/>
          <w:sz w:val="20"/>
          <w:lang w:val="pt-BR"/>
        </w:rPr>
        <w:t>ção</w:t>
      </w:r>
      <w:r w:rsidR="004756C1" w:rsidRPr="002F50BD">
        <w:rPr>
          <w:rFonts w:ascii="Verdana" w:hAnsi="Verdana"/>
          <w:sz w:val="20"/>
          <w:lang w:val="pt-BR"/>
        </w:rPr>
        <w:t xml:space="preserve"> de que</w:t>
      </w:r>
      <w:r w:rsidRPr="002F50BD">
        <w:rPr>
          <w:rFonts w:ascii="Verdana" w:hAnsi="Verdana"/>
          <w:sz w:val="20"/>
          <w:lang w:val="pt-BR"/>
        </w:rPr>
        <w:t xml:space="preserve"> os </w:t>
      </w:r>
      <w:r w:rsidR="004756C1" w:rsidRPr="002F50BD">
        <w:rPr>
          <w:rFonts w:ascii="Verdana" w:hAnsi="Verdana"/>
          <w:sz w:val="20"/>
          <w:lang w:val="pt-BR"/>
        </w:rPr>
        <w:t xml:space="preserve">problemas </w:t>
      </w:r>
      <w:r w:rsidRPr="002F50BD">
        <w:rPr>
          <w:rFonts w:ascii="Verdana" w:hAnsi="Verdana"/>
          <w:sz w:val="20"/>
          <w:lang w:val="pt-BR"/>
        </w:rPr>
        <w:t xml:space="preserve">sociais da Comunidade </w:t>
      </w:r>
      <w:r w:rsidR="004756C1" w:rsidRPr="002F50BD">
        <w:rPr>
          <w:rFonts w:ascii="Verdana" w:hAnsi="Verdana"/>
          <w:sz w:val="20"/>
          <w:lang w:val="pt-BR"/>
        </w:rPr>
        <w:t xml:space="preserve">Yakye Axa </w:t>
      </w:r>
      <w:r w:rsidR="00B76BEF" w:rsidRPr="002F50BD">
        <w:rPr>
          <w:rFonts w:ascii="Verdana" w:hAnsi="Verdana"/>
          <w:sz w:val="20"/>
          <w:lang w:val="pt-BR"/>
        </w:rPr>
        <w:t xml:space="preserve">podiam ser resolvidos apenas </w:t>
      </w:r>
      <w:r w:rsidRPr="002F50BD">
        <w:rPr>
          <w:rFonts w:ascii="Verdana" w:hAnsi="Verdana"/>
          <w:sz w:val="20"/>
          <w:lang w:val="pt-BR"/>
        </w:rPr>
        <w:t xml:space="preserve">com a </w:t>
      </w:r>
      <w:r w:rsidR="00DB51F0" w:rsidRPr="002F50BD">
        <w:rPr>
          <w:rFonts w:ascii="Verdana" w:hAnsi="Verdana"/>
          <w:sz w:val="20"/>
          <w:lang w:val="pt-BR"/>
        </w:rPr>
        <w:t>expropriação</w:t>
      </w:r>
      <w:r w:rsidRPr="002F50BD">
        <w:rPr>
          <w:rFonts w:ascii="Verdana" w:hAnsi="Verdana"/>
          <w:sz w:val="20"/>
          <w:lang w:val="pt-BR"/>
        </w:rPr>
        <w:t xml:space="preserve"> das </w:t>
      </w:r>
      <w:r w:rsidR="00414ED5" w:rsidRPr="002F50BD">
        <w:rPr>
          <w:rFonts w:ascii="Verdana" w:hAnsi="Verdana"/>
          <w:sz w:val="20"/>
          <w:lang w:val="pt-BR"/>
        </w:rPr>
        <w:t>fazendas</w:t>
      </w:r>
      <w:r w:rsidR="004756C1" w:rsidRPr="002F50BD">
        <w:rPr>
          <w:rFonts w:ascii="Verdana" w:hAnsi="Verdana"/>
          <w:sz w:val="20"/>
          <w:lang w:val="pt-BR"/>
        </w:rPr>
        <w:t xml:space="preserve"> especificadas</w:t>
      </w:r>
      <w:r w:rsidRPr="002F50BD">
        <w:rPr>
          <w:rFonts w:ascii="Verdana" w:hAnsi="Verdana"/>
          <w:sz w:val="20"/>
          <w:lang w:val="pt-BR"/>
        </w:rPr>
        <w:t xml:space="preserve"> no projeto</w:t>
      </w:r>
      <w:r w:rsidR="004756C1" w:rsidRPr="002F50BD">
        <w:rPr>
          <w:rFonts w:ascii="Verdana" w:hAnsi="Verdana"/>
          <w:sz w:val="20"/>
          <w:lang w:val="pt-BR"/>
        </w:rPr>
        <w:t xml:space="preserve"> de </w:t>
      </w:r>
      <w:r w:rsidRPr="002F50BD">
        <w:rPr>
          <w:rFonts w:ascii="Verdana" w:hAnsi="Verdana"/>
          <w:sz w:val="20"/>
          <w:lang w:val="pt-BR"/>
        </w:rPr>
        <w:t xml:space="preserve">lei. </w:t>
      </w:r>
      <w:r w:rsidR="00B76BEF" w:rsidRPr="002F50BD">
        <w:rPr>
          <w:rFonts w:ascii="Verdana" w:hAnsi="Verdana"/>
          <w:sz w:val="20"/>
          <w:lang w:val="pt-BR"/>
        </w:rPr>
        <w:t xml:space="preserve">Da minuta </w:t>
      </w:r>
      <w:r w:rsidRPr="002F50BD">
        <w:rPr>
          <w:rFonts w:ascii="Verdana" w:hAnsi="Verdana"/>
          <w:sz w:val="20"/>
          <w:lang w:val="pt-BR"/>
        </w:rPr>
        <w:t>da sessão</w:t>
      </w:r>
      <w:r w:rsidR="004756C1" w:rsidRPr="002F50BD">
        <w:rPr>
          <w:rFonts w:ascii="Verdana" w:hAnsi="Verdana"/>
          <w:sz w:val="20"/>
          <w:lang w:val="pt-BR"/>
        </w:rPr>
        <w:t xml:space="preserve"> </w:t>
      </w:r>
      <w:r w:rsidRPr="002F50BD">
        <w:rPr>
          <w:rFonts w:ascii="Verdana" w:hAnsi="Verdana"/>
          <w:sz w:val="20"/>
          <w:lang w:val="pt-BR"/>
        </w:rPr>
        <w:t>ordinári</w:t>
      </w:r>
      <w:r w:rsidR="004756C1" w:rsidRPr="002F50BD">
        <w:rPr>
          <w:rFonts w:ascii="Verdana" w:hAnsi="Verdana"/>
          <w:sz w:val="20"/>
          <w:lang w:val="pt-BR"/>
        </w:rPr>
        <w:t xml:space="preserve">a de </w:t>
      </w:r>
      <w:r w:rsidR="00063B47" w:rsidRPr="002F50BD">
        <w:rPr>
          <w:rFonts w:ascii="Verdana" w:hAnsi="Verdana"/>
          <w:sz w:val="20"/>
          <w:lang w:val="pt-BR"/>
        </w:rPr>
        <w:t>27</w:t>
      </w:r>
      <w:r w:rsidR="004756C1" w:rsidRPr="002F50BD">
        <w:rPr>
          <w:rFonts w:ascii="Verdana" w:hAnsi="Verdana"/>
          <w:sz w:val="20"/>
          <w:lang w:val="pt-BR"/>
        </w:rPr>
        <w:t xml:space="preserve"> de </w:t>
      </w:r>
      <w:r w:rsidRPr="002F50BD">
        <w:rPr>
          <w:rFonts w:ascii="Verdana" w:hAnsi="Verdana"/>
          <w:sz w:val="20"/>
          <w:lang w:val="pt-BR"/>
        </w:rPr>
        <w:t>junho</w:t>
      </w:r>
      <w:r w:rsidR="00AB454A" w:rsidRPr="002F50BD">
        <w:rPr>
          <w:rFonts w:ascii="Verdana" w:hAnsi="Verdana"/>
          <w:sz w:val="20"/>
          <w:lang w:val="pt-BR"/>
        </w:rPr>
        <w:t xml:space="preserve"> de </w:t>
      </w:r>
      <w:r w:rsidR="00063B47" w:rsidRPr="002F50BD">
        <w:rPr>
          <w:rFonts w:ascii="Verdana" w:hAnsi="Verdana"/>
          <w:sz w:val="20"/>
          <w:lang w:val="pt-BR"/>
        </w:rPr>
        <w:t>2002</w:t>
      </w:r>
      <w:r w:rsidR="004756C1" w:rsidRPr="002F50BD">
        <w:rPr>
          <w:rFonts w:ascii="Verdana" w:hAnsi="Verdana"/>
          <w:sz w:val="20"/>
          <w:lang w:val="pt-BR"/>
        </w:rPr>
        <w:t xml:space="preserve"> </w:t>
      </w:r>
      <w:r w:rsidRPr="002F50BD">
        <w:rPr>
          <w:rFonts w:ascii="Verdana" w:hAnsi="Verdana"/>
          <w:sz w:val="20"/>
          <w:lang w:val="pt-BR"/>
        </w:rPr>
        <w:t>decorre</w:t>
      </w:r>
      <w:r w:rsidR="004756C1" w:rsidRPr="002F50BD">
        <w:rPr>
          <w:rFonts w:ascii="Verdana" w:hAnsi="Verdana"/>
          <w:sz w:val="20"/>
          <w:lang w:val="pt-BR"/>
        </w:rPr>
        <w:t xml:space="preserve"> n</w:t>
      </w:r>
      <w:r w:rsidR="00B76BEF" w:rsidRPr="002F50BD">
        <w:rPr>
          <w:rFonts w:ascii="Verdana" w:hAnsi="Verdana"/>
          <w:sz w:val="20"/>
          <w:lang w:val="pt-BR"/>
        </w:rPr>
        <w:t>ã</w:t>
      </w:r>
      <w:r w:rsidR="004756C1" w:rsidRPr="002F50BD">
        <w:rPr>
          <w:rFonts w:ascii="Verdana" w:hAnsi="Verdana"/>
          <w:sz w:val="20"/>
          <w:lang w:val="pt-BR"/>
        </w:rPr>
        <w:t>o</w:t>
      </w:r>
      <w:r w:rsidRPr="002F50BD">
        <w:rPr>
          <w:rFonts w:ascii="Verdana" w:hAnsi="Verdana"/>
          <w:sz w:val="20"/>
          <w:lang w:val="pt-BR"/>
        </w:rPr>
        <w:t xml:space="preserve"> o </w:t>
      </w:r>
      <w:r w:rsidR="004756C1" w:rsidRPr="002F50BD">
        <w:rPr>
          <w:rFonts w:ascii="Verdana" w:hAnsi="Verdana"/>
          <w:sz w:val="20"/>
          <w:lang w:val="pt-BR"/>
        </w:rPr>
        <w:t>des</w:t>
      </w:r>
      <w:r w:rsidRPr="002F50BD">
        <w:rPr>
          <w:rFonts w:ascii="Verdana" w:hAnsi="Verdana"/>
          <w:sz w:val="20"/>
          <w:lang w:val="pt-BR"/>
        </w:rPr>
        <w:t>conhecimento</w:t>
      </w:r>
      <w:r w:rsidR="004756C1" w:rsidRPr="002F50BD">
        <w:rPr>
          <w:rFonts w:ascii="Verdana" w:hAnsi="Verdana"/>
          <w:sz w:val="20"/>
          <w:lang w:val="pt-BR"/>
        </w:rPr>
        <w:t xml:space="preserve"> </w:t>
      </w:r>
      <w:r w:rsidRPr="002F50BD">
        <w:rPr>
          <w:rFonts w:ascii="Verdana" w:hAnsi="Verdana"/>
          <w:sz w:val="20"/>
          <w:lang w:val="pt-BR"/>
        </w:rPr>
        <w:t>do direito d</w:t>
      </w:r>
      <w:r w:rsidR="00B76BEF" w:rsidRPr="002F50BD">
        <w:rPr>
          <w:rFonts w:ascii="Verdana" w:hAnsi="Verdana"/>
          <w:sz w:val="20"/>
          <w:lang w:val="pt-BR"/>
        </w:rPr>
        <w:t>o</w:t>
      </w:r>
      <w:r w:rsidRPr="002F50BD">
        <w:rPr>
          <w:rFonts w:ascii="Verdana" w:hAnsi="Verdana"/>
          <w:sz w:val="20"/>
          <w:lang w:val="pt-BR"/>
        </w:rPr>
        <w:t xml:space="preserve">s </w:t>
      </w:r>
      <w:r w:rsidR="004756C1" w:rsidRPr="002F50BD">
        <w:rPr>
          <w:rFonts w:ascii="Verdana" w:hAnsi="Verdana"/>
          <w:sz w:val="20"/>
          <w:lang w:val="pt-BR"/>
        </w:rPr>
        <w:t>indígenas</w:t>
      </w:r>
      <w:r w:rsidRPr="002F50BD">
        <w:rPr>
          <w:rFonts w:ascii="Verdana" w:hAnsi="Verdana"/>
          <w:sz w:val="20"/>
          <w:lang w:val="pt-BR"/>
        </w:rPr>
        <w:t xml:space="preserve"> à propriedade da terra</w:t>
      </w:r>
      <w:r w:rsidR="004756C1" w:rsidRPr="002F50BD">
        <w:rPr>
          <w:rFonts w:ascii="Verdana" w:hAnsi="Verdana"/>
          <w:sz w:val="20"/>
          <w:lang w:val="pt-BR"/>
        </w:rPr>
        <w:t>,</w:t>
      </w:r>
      <w:r w:rsidRPr="002F50BD">
        <w:rPr>
          <w:rFonts w:ascii="Verdana" w:hAnsi="Verdana"/>
          <w:sz w:val="20"/>
          <w:lang w:val="pt-BR"/>
        </w:rPr>
        <w:t xml:space="preserve"> mas</w:t>
      </w:r>
      <w:r w:rsidR="00951B61">
        <w:rPr>
          <w:rFonts w:ascii="Verdana" w:hAnsi="Verdana"/>
          <w:sz w:val="20"/>
          <w:lang w:val="pt-BR"/>
        </w:rPr>
        <w:t xml:space="preserve"> a rejeição </w:t>
      </w:r>
      <w:r w:rsidRPr="002F50BD">
        <w:rPr>
          <w:rFonts w:ascii="Verdana" w:hAnsi="Verdana"/>
          <w:sz w:val="20"/>
          <w:lang w:val="pt-BR"/>
        </w:rPr>
        <w:t xml:space="preserve">à </w:t>
      </w:r>
      <w:r w:rsidR="00DB51F0" w:rsidRPr="002F50BD">
        <w:rPr>
          <w:rFonts w:ascii="Verdana" w:hAnsi="Verdana"/>
          <w:sz w:val="20"/>
          <w:lang w:val="pt-BR"/>
        </w:rPr>
        <w:t>expropriação</w:t>
      </w:r>
      <w:r w:rsidRPr="002F50BD">
        <w:rPr>
          <w:rFonts w:ascii="Verdana" w:hAnsi="Verdana"/>
          <w:sz w:val="20"/>
          <w:lang w:val="pt-BR"/>
        </w:rPr>
        <w:t xml:space="preserve"> das </w:t>
      </w:r>
      <w:r w:rsidR="00414ED5" w:rsidRPr="002F50BD">
        <w:rPr>
          <w:rFonts w:ascii="Verdana" w:hAnsi="Verdana"/>
          <w:sz w:val="20"/>
          <w:lang w:val="pt-BR"/>
        </w:rPr>
        <w:t>fazendas</w:t>
      </w:r>
      <w:r w:rsidRPr="002F50BD">
        <w:rPr>
          <w:rFonts w:ascii="Verdana" w:hAnsi="Verdana"/>
          <w:sz w:val="20"/>
          <w:lang w:val="pt-BR"/>
        </w:rPr>
        <w:t xml:space="preserve"> da </w:t>
      </w:r>
      <w:r w:rsidR="00060B3A" w:rsidRPr="002F50BD">
        <w:rPr>
          <w:rFonts w:ascii="Verdana" w:hAnsi="Verdana"/>
          <w:i/>
          <w:sz w:val="20"/>
          <w:lang w:val="pt-BR"/>
        </w:rPr>
        <w:t>Estancia Loma Verde</w:t>
      </w:r>
      <w:r w:rsidR="004756C1" w:rsidRPr="002F50BD">
        <w:rPr>
          <w:rFonts w:ascii="Verdana" w:hAnsi="Verdana"/>
          <w:sz w:val="20"/>
          <w:lang w:val="pt-BR"/>
        </w:rPr>
        <w:t>. Particularmente</w:t>
      </w:r>
      <w:r w:rsidR="00802CCC" w:rsidRPr="002F50BD">
        <w:rPr>
          <w:rFonts w:ascii="Verdana" w:hAnsi="Verdana"/>
          <w:sz w:val="20"/>
          <w:lang w:val="pt-BR"/>
        </w:rPr>
        <w:t>,</w:t>
      </w:r>
      <w:r w:rsidRPr="002F50BD">
        <w:rPr>
          <w:rFonts w:ascii="Verdana" w:hAnsi="Verdana"/>
          <w:sz w:val="20"/>
          <w:lang w:val="pt-BR"/>
        </w:rPr>
        <w:t xml:space="preserve"> o </w:t>
      </w:r>
      <w:r w:rsidR="004756C1" w:rsidRPr="002F50BD">
        <w:rPr>
          <w:rFonts w:ascii="Verdana" w:hAnsi="Verdana"/>
          <w:sz w:val="20"/>
          <w:lang w:val="pt-BR"/>
        </w:rPr>
        <w:t xml:space="preserve">Senador Rachid Lichi </w:t>
      </w:r>
      <w:r w:rsidR="00AB454A" w:rsidRPr="002F50BD">
        <w:rPr>
          <w:rFonts w:ascii="Verdana" w:hAnsi="Verdana"/>
          <w:sz w:val="20"/>
          <w:lang w:val="pt-BR"/>
        </w:rPr>
        <w:t>mencionou</w:t>
      </w:r>
      <w:r w:rsidRPr="002F50BD">
        <w:rPr>
          <w:rFonts w:ascii="Verdana" w:hAnsi="Verdana"/>
          <w:sz w:val="20"/>
          <w:lang w:val="pt-BR"/>
        </w:rPr>
        <w:t xml:space="preserve"> as </w:t>
      </w:r>
      <w:r w:rsidR="004756C1" w:rsidRPr="002F50BD">
        <w:rPr>
          <w:rFonts w:ascii="Verdana" w:hAnsi="Verdana"/>
          <w:sz w:val="20"/>
          <w:lang w:val="pt-BR"/>
        </w:rPr>
        <w:t>disposi</w:t>
      </w:r>
      <w:r w:rsidRPr="002F50BD">
        <w:rPr>
          <w:rFonts w:ascii="Verdana" w:hAnsi="Verdana"/>
          <w:sz w:val="20"/>
          <w:lang w:val="pt-BR"/>
        </w:rPr>
        <w:t xml:space="preserve">ções da Lei </w:t>
      </w:r>
      <w:r w:rsidR="00063B47" w:rsidRPr="002F50BD">
        <w:rPr>
          <w:rFonts w:ascii="Verdana" w:hAnsi="Verdana"/>
          <w:sz w:val="20"/>
          <w:lang w:val="pt-BR"/>
        </w:rPr>
        <w:t>904</w:t>
      </w:r>
      <w:r w:rsidR="004756C1" w:rsidRPr="002F50BD">
        <w:rPr>
          <w:rFonts w:ascii="Verdana" w:hAnsi="Verdana"/>
          <w:sz w:val="20"/>
          <w:lang w:val="pt-BR"/>
        </w:rPr>
        <w:t xml:space="preserve">, que </w:t>
      </w:r>
      <w:r w:rsidRPr="002F50BD">
        <w:rPr>
          <w:rFonts w:ascii="Verdana" w:hAnsi="Verdana"/>
          <w:sz w:val="20"/>
          <w:lang w:val="pt-BR"/>
        </w:rPr>
        <w:t>certa</w:t>
      </w:r>
      <w:r w:rsidR="004756C1" w:rsidRPr="002F50BD">
        <w:rPr>
          <w:rFonts w:ascii="Verdana" w:hAnsi="Verdana"/>
          <w:sz w:val="20"/>
          <w:lang w:val="pt-BR"/>
        </w:rPr>
        <w:t xml:space="preserve">mente </w:t>
      </w:r>
      <w:r w:rsidR="00AB454A" w:rsidRPr="002F50BD">
        <w:rPr>
          <w:rFonts w:ascii="Verdana" w:hAnsi="Verdana"/>
          <w:sz w:val="20"/>
          <w:lang w:val="pt-BR"/>
        </w:rPr>
        <w:t>requer</w:t>
      </w:r>
      <w:r w:rsidR="00B76BEF" w:rsidRPr="002F50BD">
        <w:rPr>
          <w:rFonts w:ascii="Verdana" w:hAnsi="Verdana"/>
          <w:sz w:val="20"/>
          <w:lang w:val="pt-BR"/>
        </w:rPr>
        <w:t>em</w:t>
      </w:r>
      <w:r w:rsidR="004756C1" w:rsidRPr="002F50BD">
        <w:rPr>
          <w:rFonts w:ascii="Verdana" w:hAnsi="Verdana"/>
          <w:sz w:val="20"/>
          <w:lang w:val="pt-BR"/>
        </w:rPr>
        <w:t xml:space="preserve"> para</w:t>
      </w:r>
      <w:r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 de particulares</w:t>
      </w:r>
      <w:r w:rsidRPr="002F50BD">
        <w:rPr>
          <w:rFonts w:ascii="Verdana" w:hAnsi="Verdana"/>
          <w:sz w:val="20"/>
          <w:lang w:val="pt-BR"/>
        </w:rPr>
        <w:t xml:space="preserve"> a </w:t>
      </w:r>
      <w:r w:rsidR="004756C1" w:rsidRPr="002F50BD">
        <w:rPr>
          <w:rFonts w:ascii="Verdana" w:hAnsi="Verdana"/>
          <w:sz w:val="20"/>
          <w:lang w:val="pt-BR"/>
        </w:rPr>
        <w:t>ocupa</w:t>
      </w:r>
      <w:r w:rsidRPr="002F50BD">
        <w:rPr>
          <w:rFonts w:ascii="Verdana" w:hAnsi="Verdana"/>
          <w:sz w:val="20"/>
          <w:lang w:val="pt-BR"/>
        </w:rPr>
        <w:t>ção da mesm</w:t>
      </w:r>
      <w:r w:rsidR="004756C1" w:rsidRPr="002F50BD">
        <w:rPr>
          <w:rFonts w:ascii="Verdana" w:hAnsi="Verdana"/>
          <w:sz w:val="20"/>
          <w:lang w:val="pt-BR"/>
        </w:rPr>
        <w:t>a por parte</w:t>
      </w:r>
      <w:r w:rsidRPr="002F50BD">
        <w:rPr>
          <w:rFonts w:ascii="Verdana" w:hAnsi="Verdana"/>
          <w:sz w:val="20"/>
          <w:lang w:val="pt-BR"/>
        </w:rPr>
        <w:t xml:space="preserve"> da comunidade beneficiária da </w:t>
      </w:r>
      <w:r w:rsidR="00DB51F0" w:rsidRPr="002F50BD">
        <w:rPr>
          <w:rFonts w:ascii="Verdana" w:hAnsi="Verdana"/>
          <w:sz w:val="20"/>
          <w:lang w:val="pt-BR"/>
        </w:rPr>
        <w:t>expropriação</w:t>
      </w:r>
      <w:r w:rsidR="00B76BEF" w:rsidRPr="002F50BD">
        <w:rPr>
          <w:rFonts w:ascii="Verdana" w:hAnsi="Verdana"/>
          <w:sz w:val="20"/>
          <w:lang w:val="pt-BR"/>
        </w:rPr>
        <w:t>.</w:t>
      </w:r>
      <w:r w:rsidR="004756C1" w:rsidRPr="002F50BD">
        <w:rPr>
          <w:rStyle w:val="FootnoteReference"/>
          <w:rFonts w:ascii="Verdana" w:hAnsi="Verdana"/>
        </w:rPr>
        <w:footnoteReference w:id="246"/>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21</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w:t>
      </w:r>
      <w:r w:rsidR="004E0A85">
        <w:rPr>
          <w:rFonts w:ascii="Verdana" w:hAnsi="Verdana"/>
          <w:sz w:val="20"/>
          <w:lang w:val="pt-BR"/>
        </w:rPr>
        <w:t xml:space="preserve">a rejeição </w:t>
      </w:r>
      <w:r w:rsidR="0089298C" w:rsidRPr="002F50BD">
        <w:rPr>
          <w:rFonts w:ascii="Verdana" w:hAnsi="Verdana"/>
          <w:sz w:val="20"/>
          <w:lang w:val="pt-BR"/>
        </w:rPr>
        <w:t>do projeto</w:t>
      </w:r>
      <w:r w:rsidR="004756C1" w:rsidRPr="002F50BD">
        <w:rPr>
          <w:rFonts w:ascii="Verdana" w:hAnsi="Verdana"/>
          <w:sz w:val="20"/>
          <w:lang w:val="pt-BR"/>
        </w:rPr>
        <w:t xml:space="preserve"> de </w:t>
      </w:r>
      <w:r w:rsidR="0089298C" w:rsidRPr="002F50BD">
        <w:rPr>
          <w:rFonts w:ascii="Verdana" w:hAnsi="Verdana"/>
          <w:sz w:val="20"/>
          <w:lang w:val="pt-BR"/>
        </w:rPr>
        <w:t xml:space="preserve">Lei </w:t>
      </w:r>
      <w:r w:rsidR="004756C1" w:rsidRPr="002F50BD">
        <w:rPr>
          <w:rFonts w:ascii="Verdana" w:hAnsi="Verdana"/>
          <w:sz w:val="20"/>
          <w:lang w:val="pt-BR"/>
        </w:rPr>
        <w:t xml:space="preserve">de </w:t>
      </w:r>
      <w:r w:rsidR="00DB51F0" w:rsidRPr="002F50BD">
        <w:rPr>
          <w:rFonts w:ascii="Verdana" w:hAnsi="Verdana"/>
          <w:sz w:val="20"/>
          <w:lang w:val="pt-BR"/>
        </w:rPr>
        <w:t>expropriação</w:t>
      </w:r>
      <w:r w:rsidR="0089298C" w:rsidRPr="002F50BD">
        <w:rPr>
          <w:rFonts w:ascii="Verdana" w:hAnsi="Verdana"/>
          <w:sz w:val="20"/>
          <w:lang w:val="pt-BR"/>
        </w:rPr>
        <w:t xml:space="preserve"> em questão</w:t>
      </w:r>
      <w:r w:rsidR="00802CCC"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 xml:space="preserve">Senadores </w:t>
      </w:r>
      <w:r w:rsidR="00B76BEF" w:rsidRPr="002F50BD">
        <w:rPr>
          <w:rFonts w:ascii="Verdana" w:hAnsi="Verdana"/>
          <w:sz w:val="20"/>
          <w:lang w:val="pt-BR"/>
        </w:rPr>
        <w:t xml:space="preserve">atuaram </w:t>
      </w:r>
      <w:r w:rsidR="0089298C" w:rsidRPr="002F50BD">
        <w:rPr>
          <w:rFonts w:ascii="Verdana" w:hAnsi="Verdana"/>
          <w:sz w:val="20"/>
          <w:lang w:val="pt-BR"/>
        </w:rPr>
        <w:t xml:space="preserve">com a </w:t>
      </w:r>
      <w:r w:rsidR="004756C1" w:rsidRPr="002F50BD">
        <w:rPr>
          <w:rFonts w:ascii="Verdana" w:hAnsi="Verdana"/>
          <w:sz w:val="20"/>
          <w:lang w:val="pt-BR"/>
        </w:rPr>
        <w:t>convic</w:t>
      </w:r>
      <w:r w:rsidR="0089298C" w:rsidRPr="002F50BD">
        <w:rPr>
          <w:rFonts w:ascii="Verdana" w:hAnsi="Verdana"/>
          <w:sz w:val="20"/>
          <w:lang w:val="pt-BR"/>
        </w:rPr>
        <w:t>ção</w:t>
      </w:r>
      <w:r w:rsidR="004756C1" w:rsidRPr="002F50BD">
        <w:rPr>
          <w:rFonts w:ascii="Verdana" w:hAnsi="Verdana"/>
          <w:sz w:val="20"/>
          <w:lang w:val="pt-BR"/>
        </w:rPr>
        <w:t xml:space="preserve"> </w:t>
      </w:r>
      <w:r w:rsidR="00B76BEF" w:rsidRPr="002F50BD">
        <w:rPr>
          <w:rFonts w:ascii="Verdana" w:hAnsi="Verdana"/>
          <w:sz w:val="20"/>
          <w:lang w:val="pt-BR"/>
        </w:rPr>
        <w:t xml:space="preserve">de </w:t>
      </w:r>
      <w:r w:rsidR="004756C1" w:rsidRPr="002F50BD">
        <w:rPr>
          <w:rFonts w:ascii="Verdana" w:hAnsi="Verdana"/>
          <w:sz w:val="20"/>
          <w:lang w:val="pt-BR"/>
        </w:rPr>
        <w:t xml:space="preserve">que </w:t>
      </w:r>
      <w:r w:rsidR="0089298C" w:rsidRPr="002F50BD">
        <w:rPr>
          <w:rFonts w:ascii="Verdana" w:hAnsi="Verdana"/>
          <w:sz w:val="20"/>
          <w:lang w:val="pt-BR"/>
        </w:rPr>
        <w:t xml:space="preserve">a decisão </w:t>
      </w:r>
      <w:r w:rsidR="00802CCC" w:rsidRPr="002F50BD">
        <w:rPr>
          <w:rFonts w:ascii="Verdana" w:hAnsi="Verdana"/>
          <w:sz w:val="20"/>
          <w:lang w:val="pt-BR"/>
        </w:rPr>
        <w:t>foi tomada</w:t>
      </w:r>
      <w:r w:rsidR="0089298C" w:rsidRPr="002F50BD">
        <w:rPr>
          <w:rFonts w:ascii="Verdana" w:hAnsi="Verdana"/>
          <w:sz w:val="20"/>
          <w:lang w:val="pt-BR"/>
        </w:rPr>
        <w:t xml:space="preserve"> no </w:t>
      </w:r>
      <w:r w:rsidR="00B76BEF" w:rsidRPr="002F50BD">
        <w:rPr>
          <w:rFonts w:ascii="Verdana" w:hAnsi="Verdana"/>
          <w:sz w:val="20"/>
          <w:lang w:val="pt-BR"/>
        </w:rPr>
        <w:t xml:space="preserve">âmbito </w:t>
      </w:r>
      <w:r w:rsidR="004756C1" w:rsidRPr="002F50BD">
        <w:rPr>
          <w:rFonts w:ascii="Verdana" w:hAnsi="Verdana"/>
          <w:sz w:val="20"/>
          <w:lang w:val="pt-BR"/>
        </w:rPr>
        <w:t>de su</w:t>
      </w:r>
      <w:r w:rsidR="00B76BEF"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faculdades</w:t>
      </w:r>
      <w:r w:rsidR="004756C1" w:rsidRPr="002F50BD">
        <w:rPr>
          <w:rFonts w:ascii="Verdana" w:hAnsi="Verdana"/>
          <w:sz w:val="20"/>
          <w:lang w:val="pt-BR"/>
        </w:rPr>
        <w:t xml:space="preserve"> constitucionalmente </w:t>
      </w:r>
      <w:r w:rsidR="0089298C" w:rsidRPr="002F50BD">
        <w:rPr>
          <w:rFonts w:ascii="Verdana" w:hAnsi="Verdana"/>
          <w:sz w:val="20"/>
          <w:lang w:val="pt-BR"/>
        </w:rPr>
        <w:t>estabelecid</w:t>
      </w:r>
      <w:r w:rsidR="004756C1" w:rsidRPr="002F50BD">
        <w:rPr>
          <w:rFonts w:ascii="Verdana" w:hAnsi="Verdana"/>
          <w:sz w:val="20"/>
          <w:lang w:val="pt-BR"/>
        </w:rPr>
        <w:t>as, conforme a</w:t>
      </w:r>
      <w:r w:rsidR="00B76BEF" w:rsidRPr="002F50BD">
        <w:rPr>
          <w:rFonts w:ascii="Verdana" w:hAnsi="Verdana"/>
          <w:sz w:val="20"/>
          <w:lang w:val="pt-BR"/>
        </w:rPr>
        <w:t>s</w:t>
      </w:r>
      <w:r w:rsidR="004756C1" w:rsidRPr="002F50BD">
        <w:rPr>
          <w:rFonts w:ascii="Verdana" w:hAnsi="Verdana"/>
          <w:sz w:val="20"/>
          <w:lang w:val="pt-BR"/>
        </w:rPr>
        <w:t xml:space="preserve"> normas pertinentes de </w:t>
      </w:r>
      <w:r w:rsidR="0089298C" w:rsidRPr="002F50BD">
        <w:rPr>
          <w:rFonts w:ascii="Verdana" w:hAnsi="Verdana"/>
          <w:sz w:val="20"/>
          <w:lang w:val="pt-BR"/>
        </w:rPr>
        <w:t>direito</w:t>
      </w:r>
      <w:r w:rsidR="004756C1" w:rsidRPr="002F50BD">
        <w:rPr>
          <w:rFonts w:ascii="Verdana" w:hAnsi="Verdana"/>
          <w:sz w:val="20"/>
          <w:lang w:val="pt-BR"/>
        </w:rPr>
        <w:t xml:space="preserve"> interno</w:t>
      </w:r>
      <w:r w:rsidR="004076AD" w:rsidRPr="002F50BD">
        <w:rPr>
          <w:rFonts w:ascii="Verdana" w:hAnsi="Verdana"/>
          <w:sz w:val="20"/>
          <w:lang w:val="pt-BR"/>
        </w:rPr>
        <w:t>. Nesta</w:t>
      </w:r>
      <w:r w:rsidR="0089298C" w:rsidRPr="002F50BD">
        <w:rPr>
          <w:rFonts w:ascii="Verdana" w:hAnsi="Verdana"/>
          <w:sz w:val="20"/>
          <w:lang w:val="pt-BR"/>
        </w:rPr>
        <w:t xml:space="preserve"> decisão</w:t>
      </w:r>
      <w:r w:rsidR="004756C1" w:rsidRPr="002F50BD">
        <w:rPr>
          <w:rFonts w:ascii="Verdana" w:hAnsi="Verdana"/>
          <w:sz w:val="20"/>
          <w:lang w:val="pt-BR"/>
        </w:rPr>
        <w:t xml:space="preserve"> de </w:t>
      </w:r>
      <w:r w:rsidR="004E0A85">
        <w:rPr>
          <w:rFonts w:ascii="Verdana" w:hAnsi="Verdana"/>
          <w:sz w:val="20"/>
          <w:lang w:val="pt-BR"/>
        </w:rPr>
        <w:t>rejeição</w:t>
      </w:r>
      <w:r w:rsidR="00B76BEF" w:rsidRPr="002F50BD">
        <w:rPr>
          <w:rFonts w:ascii="Verdana" w:hAnsi="Verdana"/>
          <w:sz w:val="20"/>
          <w:lang w:val="pt-BR"/>
        </w:rPr>
        <w:t>, porém</w:t>
      </w:r>
      <w:r w:rsidR="004756C1" w:rsidRPr="002F50BD">
        <w:rPr>
          <w:rFonts w:ascii="Verdana" w:hAnsi="Verdana"/>
          <w:sz w:val="20"/>
          <w:lang w:val="pt-BR"/>
        </w:rPr>
        <w:t>,</w:t>
      </w:r>
      <w:r w:rsidR="0089298C" w:rsidRPr="002F50BD">
        <w:rPr>
          <w:rFonts w:ascii="Verdana" w:hAnsi="Verdana"/>
          <w:sz w:val="20"/>
          <w:lang w:val="pt-BR"/>
        </w:rPr>
        <w:t xml:space="preserve"> os </w:t>
      </w:r>
      <w:r w:rsidR="004756C1" w:rsidRPr="002F50BD">
        <w:rPr>
          <w:rFonts w:ascii="Verdana" w:hAnsi="Verdana"/>
          <w:sz w:val="20"/>
          <w:lang w:val="pt-BR"/>
        </w:rPr>
        <w:t>Senadores n</w:t>
      </w:r>
      <w:r w:rsidR="00B76BEF"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fizeram</w:t>
      </w:r>
      <w:r w:rsidR="004756C1" w:rsidRPr="002F50BD">
        <w:rPr>
          <w:rFonts w:ascii="Verdana" w:hAnsi="Verdana"/>
          <w:sz w:val="20"/>
          <w:lang w:val="pt-BR"/>
        </w:rPr>
        <w:t xml:space="preserve"> </w:t>
      </w:r>
      <w:r w:rsidR="0089298C" w:rsidRPr="002F50BD">
        <w:rPr>
          <w:rFonts w:ascii="Verdana" w:hAnsi="Verdana"/>
          <w:sz w:val="20"/>
          <w:lang w:val="pt-BR"/>
        </w:rPr>
        <w:t>alusão</w:t>
      </w:r>
      <w:r w:rsidR="004756C1" w:rsidRPr="002F50BD">
        <w:rPr>
          <w:rFonts w:ascii="Verdana" w:hAnsi="Verdana"/>
          <w:sz w:val="20"/>
          <w:lang w:val="pt-BR"/>
        </w:rPr>
        <w:t xml:space="preserve"> </w:t>
      </w:r>
      <w:r w:rsidR="0089298C" w:rsidRPr="002F50BD">
        <w:rPr>
          <w:rFonts w:ascii="Verdana" w:hAnsi="Verdana"/>
          <w:sz w:val="20"/>
          <w:lang w:val="pt-BR"/>
        </w:rPr>
        <w:t xml:space="preserve">alguma às </w:t>
      </w:r>
      <w:r w:rsidR="004756C1" w:rsidRPr="002F50BD">
        <w:rPr>
          <w:rFonts w:ascii="Verdana" w:hAnsi="Verdana"/>
          <w:sz w:val="20"/>
          <w:lang w:val="pt-BR"/>
        </w:rPr>
        <w:t>disposi</w:t>
      </w:r>
      <w:r w:rsidR="0089298C" w:rsidRPr="002F50BD">
        <w:rPr>
          <w:rFonts w:ascii="Verdana" w:hAnsi="Verdana"/>
          <w:sz w:val="20"/>
          <w:lang w:val="pt-BR"/>
        </w:rPr>
        <w:t>ções dos artigo</w:t>
      </w:r>
      <w:r w:rsidR="004756C1" w:rsidRPr="002F50BD">
        <w:rPr>
          <w:rFonts w:ascii="Verdana" w:hAnsi="Verdana"/>
          <w:sz w:val="20"/>
          <w:lang w:val="pt-BR"/>
        </w:rPr>
        <w:t xml:space="preserve">s </w:t>
      </w:r>
      <w:r w:rsidRPr="002F50BD">
        <w:rPr>
          <w:rFonts w:ascii="Verdana" w:hAnsi="Verdana"/>
          <w:sz w:val="20"/>
          <w:lang w:val="pt-BR"/>
        </w:rPr>
        <w:t>63</w:t>
      </w:r>
      <w:r w:rsidR="0089298C" w:rsidRPr="002F50BD">
        <w:rPr>
          <w:rFonts w:ascii="Verdana" w:hAnsi="Verdana"/>
          <w:sz w:val="20"/>
          <w:lang w:val="pt-BR"/>
        </w:rPr>
        <w:t xml:space="preserve"> e </w:t>
      </w:r>
      <w:r w:rsidRPr="002F50BD">
        <w:rPr>
          <w:rFonts w:ascii="Verdana" w:hAnsi="Verdana"/>
          <w:sz w:val="20"/>
          <w:lang w:val="pt-BR"/>
        </w:rPr>
        <w:t>64</w:t>
      </w:r>
      <w:r w:rsidR="0089298C" w:rsidRPr="002F50BD">
        <w:rPr>
          <w:rFonts w:ascii="Verdana" w:hAnsi="Verdana"/>
          <w:sz w:val="20"/>
          <w:lang w:val="pt-BR"/>
        </w:rPr>
        <w:t xml:space="preserve"> da Constituição</w:t>
      </w:r>
      <w:r w:rsidR="004756C1" w:rsidRPr="002F50BD">
        <w:rPr>
          <w:rFonts w:ascii="Verdana" w:hAnsi="Verdana"/>
          <w:sz w:val="20"/>
          <w:lang w:val="pt-BR"/>
        </w:rPr>
        <w:t xml:space="preserve"> Nacional, que </w:t>
      </w:r>
      <w:r w:rsidR="004076AD" w:rsidRPr="002F50BD">
        <w:rPr>
          <w:rFonts w:ascii="Verdana" w:hAnsi="Verdana"/>
          <w:sz w:val="20"/>
          <w:lang w:val="pt-BR"/>
        </w:rPr>
        <w:t>não contam</w:t>
      </w:r>
      <w:r w:rsidR="0089298C" w:rsidRPr="002F50BD">
        <w:rPr>
          <w:rFonts w:ascii="Verdana" w:hAnsi="Verdana"/>
          <w:sz w:val="20"/>
          <w:lang w:val="pt-BR"/>
        </w:rPr>
        <w:t xml:space="preserve"> com leis</w:t>
      </w:r>
      <w:r w:rsidR="004756C1" w:rsidRPr="002F50BD">
        <w:rPr>
          <w:rFonts w:ascii="Verdana" w:hAnsi="Verdana"/>
          <w:sz w:val="20"/>
          <w:lang w:val="pt-BR"/>
        </w:rPr>
        <w:t xml:space="preserve"> que </w:t>
      </w:r>
      <w:r w:rsidR="0089298C" w:rsidRPr="002F50BD">
        <w:rPr>
          <w:rFonts w:ascii="Verdana" w:hAnsi="Verdana"/>
          <w:sz w:val="20"/>
          <w:lang w:val="pt-BR"/>
        </w:rPr>
        <w:t>permitam fazer efetiv</w:t>
      </w:r>
      <w:r w:rsidR="004756C1" w:rsidRPr="002F50BD">
        <w:rPr>
          <w:rFonts w:ascii="Verdana" w:hAnsi="Verdana"/>
          <w:sz w:val="20"/>
          <w:lang w:val="pt-BR"/>
        </w:rPr>
        <w:t>os</w:t>
      </w:r>
      <w:r w:rsidR="0089298C" w:rsidRPr="002F50BD">
        <w:rPr>
          <w:rFonts w:ascii="Verdana" w:hAnsi="Verdana"/>
          <w:sz w:val="20"/>
          <w:lang w:val="pt-BR"/>
        </w:rPr>
        <w:t xml:space="preserve"> os direito</w:t>
      </w:r>
      <w:r w:rsidR="004756C1" w:rsidRPr="002F50BD">
        <w:rPr>
          <w:rFonts w:ascii="Verdana" w:hAnsi="Verdana"/>
          <w:sz w:val="20"/>
          <w:lang w:val="pt-BR"/>
        </w:rPr>
        <w:t>s re</w:t>
      </w:r>
      <w:r w:rsidR="0089298C" w:rsidRPr="002F50BD">
        <w:rPr>
          <w:rFonts w:ascii="Verdana" w:hAnsi="Verdana"/>
          <w:sz w:val="20"/>
          <w:lang w:val="pt-BR"/>
        </w:rPr>
        <w:t>conhecido</w:t>
      </w:r>
      <w:r w:rsidR="004756C1" w:rsidRPr="002F50BD">
        <w:rPr>
          <w:rFonts w:ascii="Verdana" w:hAnsi="Verdana"/>
          <w:sz w:val="20"/>
          <w:lang w:val="pt-BR"/>
        </w:rPr>
        <w:t>s</w:t>
      </w:r>
      <w:r w:rsidR="0089298C" w:rsidRPr="002F50BD">
        <w:rPr>
          <w:rFonts w:ascii="Verdana" w:hAnsi="Verdana"/>
          <w:sz w:val="20"/>
          <w:lang w:val="pt-BR"/>
        </w:rPr>
        <w:t xml:space="preserve"> </w:t>
      </w:r>
      <w:r w:rsidR="00B76BEF" w:rsidRPr="002F50BD">
        <w:rPr>
          <w:rFonts w:ascii="Verdana" w:hAnsi="Verdana"/>
          <w:sz w:val="20"/>
          <w:lang w:val="pt-BR"/>
        </w:rPr>
        <w:t>n</w:t>
      </w:r>
      <w:r w:rsidR="0089298C" w:rsidRPr="002F50BD">
        <w:rPr>
          <w:rFonts w:ascii="Verdana" w:hAnsi="Verdana"/>
          <w:sz w:val="20"/>
          <w:lang w:val="pt-BR"/>
        </w:rPr>
        <w:t>ela</w:t>
      </w:r>
      <w:r w:rsidR="004756C1" w:rsidRPr="002F50BD">
        <w:rPr>
          <w:rFonts w:ascii="Verdana" w:hAnsi="Verdana"/>
          <w:sz w:val="20"/>
          <w:lang w:val="pt-BR"/>
        </w:rPr>
        <w:t>s.</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C247F1" w:rsidRPr="002F50BD">
        <w:rPr>
          <w:rFonts w:ascii="Verdana" w:hAnsi="Verdana"/>
          <w:sz w:val="20"/>
          <w:lang w:val="pt-BR"/>
        </w:rPr>
        <w:t>insistência</w:t>
      </w:r>
      <w:r w:rsidRPr="002F50BD">
        <w:rPr>
          <w:rFonts w:ascii="Verdana" w:hAnsi="Verdana"/>
          <w:sz w:val="20"/>
          <w:lang w:val="pt-BR"/>
        </w:rPr>
        <w:t xml:space="preserve"> na </w:t>
      </w:r>
      <w:r w:rsidR="00DB51F0" w:rsidRPr="002F50BD">
        <w:rPr>
          <w:rFonts w:ascii="Verdana" w:hAnsi="Verdana"/>
          <w:sz w:val="20"/>
          <w:lang w:val="pt-BR"/>
        </w:rPr>
        <w:t>expropriação</w:t>
      </w:r>
      <w:r w:rsidRPr="002F50BD">
        <w:rPr>
          <w:rFonts w:ascii="Verdana" w:hAnsi="Verdana"/>
          <w:sz w:val="20"/>
          <w:lang w:val="pt-BR"/>
        </w:rPr>
        <w:t xml:space="preserve"> dos </w:t>
      </w:r>
      <w:r w:rsidR="00802CCC" w:rsidRPr="002F50BD">
        <w:rPr>
          <w:rFonts w:ascii="Verdana" w:hAnsi="Verdana"/>
          <w:sz w:val="20"/>
          <w:lang w:val="pt-BR"/>
        </w:rPr>
        <w:t>referidos</w:t>
      </w:r>
      <w:r w:rsidR="004756C1" w:rsidRPr="002F50BD">
        <w:rPr>
          <w:rFonts w:ascii="Verdana" w:hAnsi="Verdana"/>
          <w:sz w:val="20"/>
          <w:lang w:val="pt-BR"/>
        </w:rPr>
        <w:t xml:space="preserve"> </w:t>
      </w:r>
      <w:r w:rsidR="000920B2" w:rsidRPr="002F50BD">
        <w:rPr>
          <w:rFonts w:ascii="Verdana" w:hAnsi="Verdana"/>
          <w:sz w:val="20"/>
          <w:lang w:val="pt-BR"/>
        </w:rPr>
        <w:t>imóveis</w:t>
      </w:r>
      <w:r w:rsidR="004756C1" w:rsidRPr="002F50BD">
        <w:rPr>
          <w:rFonts w:ascii="Verdana" w:hAnsi="Verdana"/>
          <w:sz w:val="20"/>
          <w:lang w:val="pt-BR"/>
        </w:rPr>
        <w:t>,</w:t>
      </w:r>
      <w:r w:rsidRPr="002F50BD">
        <w:rPr>
          <w:rFonts w:ascii="Verdana" w:hAnsi="Verdana"/>
          <w:sz w:val="20"/>
          <w:lang w:val="pt-BR"/>
        </w:rPr>
        <w:t xml:space="preserve"> no </w:t>
      </w:r>
      <w:r w:rsidR="004756C1" w:rsidRPr="002F50BD">
        <w:rPr>
          <w:rFonts w:ascii="Verdana" w:hAnsi="Verdana"/>
          <w:sz w:val="20"/>
          <w:lang w:val="pt-BR"/>
        </w:rPr>
        <w:t>marco</w:t>
      </w:r>
      <w:r w:rsidRPr="002F50BD">
        <w:rPr>
          <w:rFonts w:ascii="Verdana" w:hAnsi="Verdana"/>
          <w:sz w:val="20"/>
          <w:lang w:val="pt-BR"/>
        </w:rPr>
        <w:t xml:space="preserve"> das leis</w:t>
      </w:r>
      <w:r w:rsidR="004756C1" w:rsidRPr="002F50BD">
        <w:rPr>
          <w:rFonts w:ascii="Verdana" w:hAnsi="Verdana"/>
          <w:sz w:val="20"/>
          <w:lang w:val="pt-BR"/>
        </w:rPr>
        <w:t xml:space="preserve"> vigentes,</w:t>
      </w:r>
      <w:r w:rsidRPr="002F50BD">
        <w:rPr>
          <w:rFonts w:ascii="Verdana" w:hAnsi="Verdana"/>
          <w:sz w:val="20"/>
          <w:lang w:val="pt-BR"/>
        </w:rPr>
        <w:t xml:space="preserve"> sem </w:t>
      </w:r>
      <w:r w:rsidR="004756C1" w:rsidRPr="002F50BD">
        <w:rPr>
          <w:rFonts w:ascii="Verdana" w:hAnsi="Verdana"/>
          <w:sz w:val="20"/>
          <w:lang w:val="pt-BR"/>
        </w:rPr>
        <w:t>c</w:t>
      </w:r>
      <w:r w:rsidR="00B76BEF" w:rsidRPr="002F50BD">
        <w:rPr>
          <w:rFonts w:ascii="Verdana" w:hAnsi="Verdana"/>
          <w:sz w:val="20"/>
          <w:lang w:val="pt-BR"/>
        </w:rPr>
        <w:t>o</w:t>
      </w:r>
      <w:r w:rsidR="004756C1" w:rsidRPr="002F50BD">
        <w:rPr>
          <w:rFonts w:ascii="Verdana" w:hAnsi="Verdana"/>
          <w:sz w:val="20"/>
          <w:lang w:val="pt-BR"/>
        </w:rPr>
        <w:t>brir</w:t>
      </w:r>
      <w:r w:rsidRPr="002F50BD">
        <w:rPr>
          <w:rFonts w:ascii="Verdana" w:hAnsi="Verdana"/>
          <w:sz w:val="20"/>
          <w:lang w:val="pt-BR"/>
        </w:rPr>
        <w:t xml:space="preserve"> as </w:t>
      </w:r>
      <w:r w:rsidR="004756C1" w:rsidRPr="002F50BD">
        <w:rPr>
          <w:rFonts w:ascii="Verdana" w:hAnsi="Verdana"/>
          <w:sz w:val="20"/>
          <w:lang w:val="pt-BR"/>
        </w:rPr>
        <w:t>la</w:t>
      </w:r>
      <w:r w:rsidR="00B76BEF" w:rsidRPr="002F50BD">
        <w:rPr>
          <w:rFonts w:ascii="Verdana" w:hAnsi="Verdana"/>
          <w:sz w:val="20"/>
          <w:lang w:val="pt-BR"/>
        </w:rPr>
        <w:t>c</w:t>
      </w:r>
      <w:r w:rsidR="004756C1" w:rsidRPr="002F50BD">
        <w:rPr>
          <w:rFonts w:ascii="Verdana" w:hAnsi="Verdana"/>
          <w:sz w:val="20"/>
          <w:lang w:val="pt-BR"/>
        </w:rPr>
        <w:t xml:space="preserve">unas mencionadas, </w:t>
      </w:r>
      <w:r w:rsidRPr="002F50BD">
        <w:rPr>
          <w:rFonts w:ascii="Verdana" w:hAnsi="Verdana"/>
          <w:sz w:val="20"/>
          <w:lang w:val="pt-BR"/>
        </w:rPr>
        <w:t>pode</w:t>
      </w:r>
      <w:r w:rsidR="004756C1" w:rsidRPr="002F50BD">
        <w:rPr>
          <w:rFonts w:ascii="Verdana" w:hAnsi="Verdana"/>
          <w:sz w:val="20"/>
          <w:lang w:val="pt-BR"/>
        </w:rPr>
        <w:t xml:space="preserve"> ser </w:t>
      </w:r>
      <w:r w:rsidR="00B76BEF" w:rsidRPr="002F50BD">
        <w:rPr>
          <w:rFonts w:ascii="Verdana" w:hAnsi="Verdana"/>
          <w:sz w:val="20"/>
          <w:lang w:val="pt-BR"/>
        </w:rPr>
        <w:t>ineficaz</w:t>
      </w:r>
      <w:r w:rsidR="004756C1" w:rsidRPr="002F50BD">
        <w:rPr>
          <w:rFonts w:ascii="Verdana" w:hAnsi="Verdana"/>
          <w:sz w:val="20"/>
          <w:lang w:val="pt-BR"/>
        </w:rPr>
        <w:t>,</w:t>
      </w:r>
      <w:r w:rsidRPr="002F50BD">
        <w:rPr>
          <w:rFonts w:ascii="Verdana" w:hAnsi="Verdana"/>
          <w:sz w:val="20"/>
          <w:lang w:val="pt-BR"/>
        </w:rPr>
        <w:t xml:space="preserve"> </w:t>
      </w:r>
      <w:r w:rsidR="00B76BEF" w:rsidRPr="002F50BD">
        <w:rPr>
          <w:rFonts w:ascii="Verdana" w:hAnsi="Verdana"/>
          <w:sz w:val="20"/>
          <w:lang w:val="pt-BR"/>
        </w:rPr>
        <w:t xml:space="preserve">pois </w:t>
      </w:r>
      <w:r w:rsidRPr="002F50BD">
        <w:rPr>
          <w:rFonts w:ascii="Verdana" w:hAnsi="Verdana"/>
          <w:sz w:val="20"/>
          <w:lang w:val="pt-BR"/>
        </w:rPr>
        <w:t xml:space="preserve">os </w:t>
      </w:r>
      <w:r w:rsidR="004756C1" w:rsidRPr="002F50BD">
        <w:rPr>
          <w:rFonts w:ascii="Verdana" w:hAnsi="Verdana"/>
          <w:sz w:val="20"/>
          <w:lang w:val="pt-BR"/>
        </w:rPr>
        <w:t xml:space="preserve">legisladores </w:t>
      </w:r>
      <w:r w:rsidRPr="002F50BD">
        <w:rPr>
          <w:rFonts w:ascii="Verdana" w:hAnsi="Verdana"/>
          <w:sz w:val="20"/>
          <w:lang w:val="pt-BR"/>
        </w:rPr>
        <w:t>poderão</w:t>
      </w:r>
      <w:r w:rsidR="004756C1" w:rsidRPr="002F50BD">
        <w:rPr>
          <w:rFonts w:ascii="Verdana" w:hAnsi="Verdana"/>
          <w:sz w:val="20"/>
          <w:lang w:val="pt-BR"/>
        </w:rPr>
        <w:t xml:space="preserve"> utilizar</w:t>
      </w:r>
      <w:r w:rsidRPr="002F50BD">
        <w:rPr>
          <w:rFonts w:ascii="Verdana" w:hAnsi="Verdana"/>
          <w:sz w:val="20"/>
          <w:lang w:val="pt-BR"/>
        </w:rPr>
        <w:t xml:space="preserve"> os mesm</w:t>
      </w:r>
      <w:r w:rsidR="004756C1" w:rsidRPr="002F50BD">
        <w:rPr>
          <w:rFonts w:ascii="Verdana" w:hAnsi="Verdana"/>
          <w:sz w:val="20"/>
          <w:lang w:val="pt-BR"/>
        </w:rPr>
        <w:t>os argumentos,</w:t>
      </w:r>
      <w:r w:rsidRPr="002F50BD">
        <w:rPr>
          <w:rFonts w:ascii="Verdana" w:hAnsi="Verdana"/>
          <w:sz w:val="20"/>
          <w:lang w:val="pt-BR"/>
        </w:rPr>
        <w:t xml:space="preserve"> </w:t>
      </w:r>
      <w:r w:rsidR="00B76BEF" w:rsidRPr="002F50BD">
        <w:rPr>
          <w:rFonts w:ascii="Verdana" w:hAnsi="Verdana"/>
          <w:sz w:val="20"/>
          <w:lang w:val="pt-BR"/>
        </w:rPr>
        <w:t xml:space="preserve">com </w:t>
      </w:r>
      <w:r w:rsidR="004756C1" w:rsidRPr="002F50BD">
        <w:rPr>
          <w:rFonts w:ascii="Verdana" w:hAnsi="Verdana"/>
          <w:sz w:val="20"/>
          <w:lang w:val="pt-BR"/>
        </w:rPr>
        <w:t xml:space="preserve">base </w:t>
      </w:r>
      <w:r w:rsidR="00B76BEF" w:rsidRPr="002F50BD">
        <w:rPr>
          <w:rFonts w:ascii="Verdana" w:hAnsi="Verdana"/>
          <w:sz w:val="20"/>
          <w:lang w:val="pt-BR"/>
        </w:rPr>
        <w:t xml:space="preserve">em </w:t>
      </w:r>
      <w:r w:rsidR="004756C1" w:rsidRPr="002F50BD">
        <w:rPr>
          <w:rFonts w:ascii="Verdana" w:hAnsi="Verdana"/>
          <w:sz w:val="20"/>
          <w:lang w:val="pt-BR"/>
        </w:rPr>
        <w:t xml:space="preserve">normas </w:t>
      </w:r>
      <w:r w:rsidRPr="002F50BD">
        <w:rPr>
          <w:rFonts w:ascii="Verdana" w:hAnsi="Verdana"/>
          <w:sz w:val="20"/>
          <w:lang w:val="pt-BR"/>
        </w:rPr>
        <w:t>constitucionais</w:t>
      </w:r>
      <w:r w:rsidR="004756C1" w:rsidRPr="002F50BD">
        <w:rPr>
          <w:rFonts w:ascii="Verdana" w:hAnsi="Verdana"/>
          <w:sz w:val="20"/>
          <w:lang w:val="pt-BR"/>
        </w:rPr>
        <w:t xml:space="preserve">, para </w:t>
      </w:r>
      <w:r w:rsidR="004E0A85">
        <w:rPr>
          <w:rFonts w:ascii="Verdana" w:hAnsi="Verdana"/>
          <w:sz w:val="20"/>
          <w:lang w:val="pt-BR"/>
        </w:rPr>
        <w:t>rejeitar</w:t>
      </w:r>
      <w:r w:rsidR="004756C1" w:rsidRPr="002F50BD">
        <w:rPr>
          <w:rFonts w:ascii="Verdana" w:hAnsi="Verdana"/>
          <w:sz w:val="20"/>
          <w:lang w:val="pt-BR"/>
        </w:rPr>
        <w:t xml:space="preserve"> </w:t>
      </w:r>
      <w:r w:rsidRPr="002F50BD">
        <w:rPr>
          <w:rFonts w:ascii="Verdana" w:hAnsi="Verdana"/>
          <w:sz w:val="20"/>
          <w:lang w:val="pt-BR"/>
        </w:rPr>
        <w:t>nova</w:t>
      </w:r>
      <w:r w:rsidR="004756C1" w:rsidRPr="002F50BD">
        <w:rPr>
          <w:rFonts w:ascii="Verdana" w:hAnsi="Verdana"/>
          <w:sz w:val="20"/>
          <w:lang w:val="pt-BR"/>
        </w:rPr>
        <w:t>mente</w:t>
      </w:r>
      <w:r w:rsidRPr="002F50BD">
        <w:rPr>
          <w:rFonts w:ascii="Verdana" w:hAnsi="Verdana"/>
          <w:sz w:val="20"/>
          <w:lang w:val="pt-BR"/>
        </w:rPr>
        <w:t xml:space="preserve"> a </w:t>
      </w:r>
      <w:r w:rsidR="00DB51F0" w:rsidRPr="002F50BD">
        <w:rPr>
          <w:rFonts w:ascii="Verdana" w:hAnsi="Verdana"/>
          <w:sz w:val="20"/>
          <w:lang w:val="pt-BR"/>
        </w:rPr>
        <w:t>expropriação</w:t>
      </w:r>
      <w:r w:rsidR="004756C1" w:rsidRPr="002F50BD">
        <w:rPr>
          <w:rFonts w:ascii="Verdana" w:hAnsi="Verdana"/>
          <w:sz w:val="20"/>
          <w:lang w:val="pt-BR"/>
        </w:rPr>
        <w:t xml:space="preserve">, </w:t>
      </w:r>
      <w:r w:rsidRPr="002F50BD">
        <w:rPr>
          <w:rFonts w:ascii="Verdana" w:hAnsi="Verdana"/>
          <w:sz w:val="20"/>
          <w:lang w:val="pt-BR"/>
        </w:rPr>
        <w:t xml:space="preserve">ainda que com essa </w:t>
      </w:r>
      <w:r w:rsidR="004756C1" w:rsidRPr="002F50BD">
        <w:rPr>
          <w:rFonts w:ascii="Verdana" w:hAnsi="Verdana"/>
          <w:sz w:val="20"/>
          <w:lang w:val="pt-BR"/>
        </w:rPr>
        <w:t xml:space="preserve">eventual </w:t>
      </w:r>
      <w:r w:rsidRPr="002F50BD">
        <w:rPr>
          <w:rFonts w:ascii="Verdana" w:hAnsi="Verdana"/>
          <w:sz w:val="20"/>
          <w:lang w:val="pt-BR"/>
        </w:rPr>
        <w:t>decisão</w:t>
      </w:r>
      <w:r w:rsidR="004756C1" w:rsidRPr="002F50BD">
        <w:rPr>
          <w:rFonts w:ascii="Verdana" w:hAnsi="Verdana"/>
          <w:sz w:val="20"/>
          <w:lang w:val="pt-BR"/>
        </w:rPr>
        <w:t xml:space="preserve"> se re</w:t>
      </w:r>
      <w:r w:rsidR="00794692" w:rsidRPr="002F50BD">
        <w:rPr>
          <w:rFonts w:ascii="Verdana" w:hAnsi="Verdana"/>
          <w:sz w:val="20"/>
          <w:lang w:val="pt-BR"/>
        </w:rPr>
        <w:t>produzam</w:t>
      </w:r>
      <w:r w:rsidRPr="002F50BD">
        <w:rPr>
          <w:rFonts w:ascii="Verdana" w:hAnsi="Verdana"/>
          <w:sz w:val="20"/>
          <w:lang w:val="pt-BR"/>
        </w:rPr>
        <w:t xml:space="preserve"> as </w:t>
      </w:r>
      <w:r w:rsidR="004756C1" w:rsidRPr="002F50BD">
        <w:rPr>
          <w:rFonts w:ascii="Verdana" w:hAnsi="Verdana"/>
          <w:sz w:val="20"/>
          <w:lang w:val="pt-BR"/>
        </w:rPr>
        <w:t xml:space="preserve">inequidades </w:t>
      </w:r>
      <w:r w:rsidR="004076AD" w:rsidRPr="002F50BD">
        <w:rPr>
          <w:rFonts w:ascii="Verdana" w:hAnsi="Verdana"/>
          <w:sz w:val="20"/>
          <w:lang w:val="pt-BR"/>
        </w:rPr>
        <w:t>existentes</w:t>
      </w:r>
      <w:r w:rsidRPr="002F50BD">
        <w:rPr>
          <w:rFonts w:ascii="Verdana" w:hAnsi="Verdana"/>
          <w:sz w:val="20"/>
          <w:lang w:val="pt-BR"/>
        </w:rPr>
        <w:t xml:space="preserve"> e a lei </w:t>
      </w:r>
      <w:r w:rsidR="00CE1AC8" w:rsidRPr="002F50BD">
        <w:rPr>
          <w:rFonts w:ascii="Verdana" w:hAnsi="Verdana"/>
          <w:sz w:val="20"/>
          <w:lang w:val="pt-BR"/>
        </w:rPr>
        <w:t>colida</w:t>
      </w:r>
      <w:r w:rsidR="00B76BEF" w:rsidRPr="002F50BD">
        <w:rPr>
          <w:rFonts w:ascii="Verdana" w:hAnsi="Verdana"/>
          <w:sz w:val="20"/>
          <w:lang w:val="pt-BR"/>
        </w:rPr>
        <w:t xml:space="preserve"> </w:t>
      </w:r>
      <w:r w:rsidRPr="002F50BD">
        <w:rPr>
          <w:rFonts w:ascii="Verdana" w:hAnsi="Verdana"/>
          <w:sz w:val="20"/>
          <w:lang w:val="pt-BR"/>
        </w:rPr>
        <w:t>nova</w:t>
      </w:r>
      <w:r w:rsidR="004756C1" w:rsidRPr="002F50BD">
        <w:rPr>
          <w:rFonts w:ascii="Verdana" w:hAnsi="Verdana"/>
          <w:sz w:val="20"/>
          <w:lang w:val="pt-BR"/>
        </w:rPr>
        <w:t>mente</w:t>
      </w:r>
      <w:r w:rsidRPr="002F50BD">
        <w:rPr>
          <w:rFonts w:ascii="Verdana" w:hAnsi="Verdana"/>
          <w:sz w:val="20"/>
          <w:lang w:val="pt-BR"/>
        </w:rPr>
        <w:t xml:space="preserve"> com a justiça</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22</w:t>
      </w:r>
      <w:r w:rsidR="004756C1" w:rsidRPr="002F50BD">
        <w:rPr>
          <w:rFonts w:ascii="Verdana" w:hAnsi="Verdana"/>
          <w:sz w:val="20"/>
          <w:lang w:val="pt-BR"/>
        </w:rPr>
        <w:t>.</w:t>
      </w:r>
      <w:r w:rsidR="004756C1" w:rsidRPr="002F50BD">
        <w:rPr>
          <w:rFonts w:ascii="Verdana" w:hAnsi="Verdana"/>
          <w:sz w:val="20"/>
          <w:lang w:val="pt-BR"/>
        </w:rPr>
        <w:tab/>
      </w:r>
      <w:r w:rsidR="00B76BEF" w:rsidRPr="002F50BD">
        <w:rPr>
          <w:rFonts w:ascii="Verdana" w:hAnsi="Verdana"/>
          <w:sz w:val="20"/>
          <w:lang w:val="pt-BR"/>
        </w:rPr>
        <w:t xml:space="preserve">Em virtude dos </w:t>
      </w:r>
      <w:r w:rsidR="004756C1" w:rsidRPr="002F50BD">
        <w:rPr>
          <w:rFonts w:ascii="Verdana" w:hAnsi="Verdana"/>
          <w:sz w:val="20"/>
          <w:lang w:val="pt-BR"/>
        </w:rPr>
        <w:t xml:space="preserve">fundamentos </w:t>
      </w:r>
      <w:r w:rsidR="0089298C" w:rsidRPr="002F50BD">
        <w:rPr>
          <w:rFonts w:ascii="Verdana" w:hAnsi="Verdana"/>
          <w:sz w:val="20"/>
          <w:lang w:val="pt-BR"/>
        </w:rPr>
        <w:t>express</w:t>
      </w:r>
      <w:r w:rsidR="004756C1" w:rsidRPr="002F50BD">
        <w:rPr>
          <w:rFonts w:ascii="Verdana" w:hAnsi="Verdana"/>
          <w:sz w:val="20"/>
          <w:lang w:val="pt-BR"/>
        </w:rPr>
        <w:t>os</w:t>
      </w:r>
      <w:r w:rsidR="00CE1AC8" w:rsidRPr="002F50BD">
        <w:rPr>
          <w:rFonts w:ascii="Verdana" w:hAnsi="Verdana"/>
          <w:sz w:val="20"/>
          <w:lang w:val="pt-BR"/>
        </w:rPr>
        <w:t>,</w:t>
      </w:r>
      <w:r w:rsidR="004756C1" w:rsidRPr="002F50BD">
        <w:rPr>
          <w:rFonts w:ascii="Verdana" w:hAnsi="Verdana"/>
          <w:sz w:val="20"/>
          <w:lang w:val="pt-BR"/>
        </w:rPr>
        <w:t xml:space="preserve"> </w:t>
      </w:r>
      <w:r w:rsidR="00B76BEF" w:rsidRPr="002F50BD">
        <w:rPr>
          <w:rFonts w:ascii="Verdana" w:hAnsi="Verdana"/>
          <w:sz w:val="20"/>
          <w:lang w:val="pt-BR"/>
        </w:rPr>
        <w:t xml:space="preserve">discordo </w:t>
      </w:r>
      <w:r w:rsidR="0089298C" w:rsidRPr="002F50BD">
        <w:rPr>
          <w:rFonts w:ascii="Verdana" w:hAnsi="Verdana"/>
          <w:sz w:val="20"/>
          <w:lang w:val="pt-BR"/>
        </w:rPr>
        <w:t>da sentença quan</w:t>
      </w:r>
      <w:r w:rsidR="00B76BEF" w:rsidRPr="002F50BD">
        <w:rPr>
          <w:rFonts w:ascii="Verdana" w:hAnsi="Verdana"/>
          <w:sz w:val="20"/>
          <w:lang w:val="pt-BR"/>
        </w:rPr>
        <w:t>d</w:t>
      </w:r>
      <w:r w:rsidR="0089298C" w:rsidRPr="002F50BD">
        <w:rPr>
          <w:rFonts w:ascii="Verdana" w:hAnsi="Verdana"/>
          <w:sz w:val="20"/>
          <w:lang w:val="pt-BR"/>
        </w:rPr>
        <w:t xml:space="preserve">o </w:t>
      </w:r>
      <w:r w:rsidR="004756C1" w:rsidRPr="002F50BD">
        <w:rPr>
          <w:rFonts w:ascii="Verdana" w:hAnsi="Verdana"/>
          <w:sz w:val="20"/>
          <w:lang w:val="pt-BR"/>
        </w:rPr>
        <w:t>declara que</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89298C" w:rsidRPr="002F50BD">
        <w:rPr>
          <w:rFonts w:ascii="Verdana" w:hAnsi="Verdana"/>
          <w:sz w:val="20"/>
          <w:lang w:val="pt-BR"/>
        </w:rPr>
        <w:t>violou</w:t>
      </w:r>
      <w:r w:rsidR="004756C1" w:rsidRPr="002F50BD">
        <w:rPr>
          <w:rFonts w:ascii="Verdana" w:hAnsi="Verdana"/>
          <w:sz w:val="20"/>
          <w:lang w:val="pt-BR"/>
        </w:rPr>
        <w:t>,</w:t>
      </w:r>
      <w:r w:rsidR="0089298C" w:rsidRPr="002F50BD">
        <w:rPr>
          <w:rFonts w:ascii="Verdana" w:hAnsi="Verdana"/>
          <w:sz w:val="20"/>
          <w:lang w:val="pt-BR"/>
        </w:rPr>
        <w:t xml:space="preserve"> em </w:t>
      </w:r>
      <w:r w:rsidR="00B76BEF" w:rsidRPr="002F50BD">
        <w:rPr>
          <w:rFonts w:ascii="Verdana" w:hAnsi="Verdana"/>
          <w:sz w:val="20"/>
          <w:lang w:val="pt-BR"/>
        </w:rPr>
        <w:t xml:space="preserve">detrimento </w:t>
      </w:r>
      <w:r w:rsidR="0089298C" w:rsidRPr="002F50BD">
        <w:rPr>
          <w:rFonts w:ascii="Verdana" w:hAnsi="Verdana"/>
          <w:sz w:val="20"/>
          <w:lang w:val="pt-BR"/>
        </w:rPr>
        <w:t xml:space="preserve">da comunidade </w:t>
      </w:r>
      <w:r w:rsidR="004756C1" w:rsidRPr="002F50BD">
        <w:rPr>
          <w:rFonts w:ascii="Verdana" w:hAnsi="Verdana"/>
          <w:sz w:val="20"/>
          <w:lang w:val="pt-BR"/>
        </w:rPr>
        <w:t xml:space="preserve">Yakye Axa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CE1AC8" w:rsidRPr="002F50BD">
        <w:rPr>
          <w:rFonts w:ascii="Verdana" w:hAnsi="Verdana"/>
          <w:sz w:val="20"/>
          <w:lang w:val="pt-BR"/>
        </w:rPr>
        <w:t>,</w:t>
      </w:r>
      <w:r w:rsidR="0089298C" w:rsidRPr="002F50BD">
        <w:rPr>
          <w:rFonts w:ascii="Verdana" w:hAnsi="Verdana"/>
          <w:sz w:val="20"/>
          <w:lang w:val="pt-BR"/>
        </w:rPr>
        <w:t xml:space="preserve"> o direito à propriedade</w:t>
      </w:r>
      <w:r w:rsidR="004756C1" w:rsidRPr="002F50BD">
        <w:rPr>
          <w:rFonts w:ascii="Verdana" w:hAnsi="Verdana"/>
          <w:sz w:val="20"/>
          <w:lang w:val="pt-BR"/>
        </w:rPr>
        <w:t xml:space="preserve">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21</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BE346D" w:rsidRPr="002F50BD">
        <w:rPr>
          <w:rFonts w:ascii="Verdana" w:hAnsi="Verdana"/>
          <w:sz w:val="20"/>
          <w:lang w:val="pt-BR"/>
        </w:rPr>
        <w:t xml:space="preserve">. As </w:t>
      </w:r>
      <w:r w:rsidR="0089298C" w:rsidRPr="002F50BD">
        <w:rPr>
          <w:rFonts w:ascii="Verdana" w:hAnsi="Verdana"/>
          <w:sz w:val="20"/>
          <w:lang w:val="pt-BR"/>
        </w:rPr>
        <w:t>gestões</w:t>
      </w:r>
      <w:r w:rsidR="004756C1" w:rsidRPr="002F50BD">
        <w:rPr>
          <w:rFonts w:ascii="Verdana" w:hAnsi="Verdana"/>
          <w:sz w:val="20"/>
          <w:lang w:val="pt-BR"/>
        </w:rPr>
        <w:t xml:space="preserve"> para </w:t>
      </w:r>
      <w:r w:rsidR="0089298C" w:rsidRPr="002F50BD">
        <w:rPr>
          <w:rFonts w:ascii="Verdana" w:hAnsi="Verdana"/>
          <w:sz w:val="20"/>
          <w:lang w:val="pt-BR"/>
        </w:rPr>
        <w:t>garantir o direito</w:t>
      </w:r>
      <w:r w:rsidR="004756C1" w:rsidRPr="002F50BD">
        <w:rPr>
          <w:rFonts w:ascii="Verdana" w:hAnsi="Verdana"/>
          <w:sz w:val="20"/>
          <w:lang w:val="pt-BR"/>
        </w:rPr>
        <w:t xml:space="preserve"> de </w:t>
      </w:r>
      <w:r w:rsidR="0089298C" w:rsidRPr="002F50BD">
        <w:rPr>
          <w:rFonts w:ascii="Verdana" w:hAnsi="Verdana"/>
          <w:sz w:val="20"/>
          <w:lang w:val="pt-BR"/>
        </w:rPr>
        <w:t xml:space="preserve">propriedade da Comunidade </w:t>
      </w:r>
      <w:r w:rsidR="004756C1" w:rsidRPr="002F50BD">
        <w:rPr>
          <w:rFonts w:ascii="Verdana" w:hAnsi="Verdana"/>
          <w:sz w:val="20"/>
          <w:lang w:val="pt-BR"/>
        </w:rPr>
        <w:t>Yakye Axa</w:t>
      </w:r>
      <w:r w:rsidR="006C4819" w:rsidRPr="002F50BD">
        <w:rPr>
          <w:rFonts w:ascii="Verdana" w:hAnsi="Verdana"/>
          <w:sz w:val="20"/>
          <w:lang w:val="pt-BR"/>
        </w:rPr>
        <w:t xml:space="preserve"> não foram </w:t>
      </w:r>
      <w:r w:rsidR="0089298C" w:rsidRPr="002F50BD">
        <w:rPr>
          <w:rFonts w:ascii="Verdana" w:hAnsi="Verdana"/>
          <w:sz w:val="20"/>
          <w:lang w:val="pt-BR"/>
        </w:rPr>
        <w:t>efetiv</w:t>
      </w:r>
      <w:r w:rsidR="004756C1" w:rsidRPr="002F50BD">
        <w:rPr>
          <w:rFonts w:ascii="Verdana" w:hAnsi="Verdana"/>
          <w:sz w:val="20"/>
          <w:lang w:val="pt-BR"/>
        </w:rPr>
        <w:t xml:space="preserve">as </w:t>
      </w:r>
      <w:r w:rsidR="0089298C" w:rsidRPr="002F50BD">
        <w:rPr>
          <w:rFonts w:ascii="Verdana" w:hAnsi="Verdana"/>
          <w:sz w:val="20"/>
          <w:lang w:val="pt-BR"/>
        </w:rPr>
        <w:t>devido</w:t>
      </w:r>
      <w:r w:rsidR="004756C1" w:rsidRPr="002F50BD">
        <w:rPr>
          <w:rFonts w:ascii="Verdana" w:hAnsi="Verdana"/>
          <w:sz w:val="20"/>
          <w:lang w:val="pt-BR"/>
        </w:rPr>
        <w:t xml:space="preserve"> a </w:t>
      </w:r>
      <w:r w:rsidR="0089298C" w:rsidRPr="002F50BD">
        <w:rPr>
          <w:rFonts w:ascii="Verdana" w:hAnsi="Verdana"/>
          <w:sz w:val="20"/>
          <w:lang w:val="pt-BR"/>
        </w:rPr>
        <w:t>vazio</w:t>
      </w:r>
      <w:r w:rsidR="004756C1" w:rsidRPr="002F50BD">
        <w:rPr>
          <w:rFonts w:ascii="Verdana" w:hAnsi="Verdana"/>
          <w:sz w:val="20"/>
          <w:lang w:val="pt-BR"/>
        </w:rPr>
        <w:t>s normativos</w:t>
      </w:r>
      <w:r w:rsidR="0089298C" w:rsidRPr="002F50BD">
        <w:rPr>
          <w:rFonts w:ascii="Verdana" w:hAnsi="Verdana"/>
          <w:sz w:val="20"/>
          <w:lang w:val="pt-BR"/>
        </w:rPr>
        <w:t xml:space="preserve"> no direito</w:t>
      </w:r>
      <w:r w:rsidR="004756C1" w:rsidRPr="002F50BD">
        <w:rPr>
          <w:rFonts w:ascii="Verdana" w:hAnsi="Verdana"/>
          <w:sz w:val="20"/>
          <w:lang w:val="pt-BR"/>
        </w:rPr>
        <w:t xml:space="preserve"> interno</w:t>
      </w:r>
      <w:r w:rsidR="0089298C" w:rsidRPr="002F50BD">
        <w:rPr>
          <w:rFonts w:ascii="Verdana" w:hAnsi="Verdana"/>
          <w:sz w:val="20"/>
          <w:lang w:val="pt-BR"/>
        </w:rPr>
        <w:t xml:space="preserve"> e</w:t>
      </w:r>
      <w:r w:rsidR="004756C1" w:rsidRPr="002F50BD">
        <w:rPr>
          <w:rFonts w:ascii="Verdana" w:hAnsi="Verdana"/>
          <w:sz w:val="20"/>
          <w:lang w:val="pt-BR"/>
        </w:rPr>
        <w:t xml:space="preserve"> por </w:t>
      </w:r>
      <w:r w:rsidR="00B76BEF" w:rsidRPr="002F50BD">
        <w:rPr>
          <w:rFonts w:ascii="Verdana" w:hAnsi="Verdana"/>
          <w:sz w:val="20"/>
          <w:lang w:val="pt-BR"/>
        </w:rPr>
        <w:t xml:space="preserve">desacertos </w:t>
      </w:r>
      <w:r w:rsidR="0089298C" w:rsidRPr="002F50BD">
        <w:rPr>
          <w:rFonts w:ascii="Verdana" w:hAnsi="Verdana"/>
          <w:sz w:val="20"/>
          <w:lang w:val="pt-BR"/>
        </w:rPr>
        <w:t>nos procedimento</w:t>
      </w:r>
      <w:r w:rsidR="004756C1" w:rsidRPr="002F50BD">
        <w:rPr>
          <w:rFonts w:ascii="Verdana" w:hAnsi="Verdana"/>
          <w:sz w:val="20"/>
          <w:lang w:val="pt-BR"/>
        </w:rPr>
        <w:t>s utilizados</w:t>
      </w:r>
      <w:r w:rsidR="006E1DE6" w:rsidRPr="002F50BD">
        <w:rPr>
          <w:rFonts w:ascii="Verdana" w:hAnsi="Verdana"/>
          <w:sz w:val="20"/>
          <w:lang w:val="pt-BR"/>
        </w:rPr>
        <w:t>,</w:t>
      </w:r>
      <w:r w:rsidR="004756C1" w:rsidRPr="002F50BD">
        <w:rPr>
          <w:rFonts w:ascii="Verdana" w:hAnsi="Verdana"/>
          <w:sz w:val="20"/>
          <w:lang w:val="pt-BR"/>
        </w:rPr>
        <w:t xml:space="preserve"> particularmente</w:t>
      </w:r>
      <w:r w:rsidR="006E1DE6" w:rsidRPr="002F50BD">
        <w:rPr>
          <w:rFonts w:ascii="Verdana" w:hAnsi="Verdana"/>
          <w:sz w:val="20"/>
          <w:lang w:val="pt-BR"/>
        </w:rPr>
        <w:t>,</w:t>
      </w:r>
      <w:r w:rsidR="0089298C" w:rsidRPr="002F50BD">
        <w:rPr>
          <w:rFonts w:ascii="Verdana" w:hAnsi="Verdana"/>
          <w:sz w:val="20"/>
          <w:lang w:val="pt-BR"/>
        </w:rPr>
        <w:t xml:space="preserve"> na </w:t>
      </w:r>
      <w:r w:rsidR="00C247F1" w:rsidRPr="002F50BD">
        <w:rPr>
          <w:rFonts w:ascii="Verdana" w:hAnsi="Verdana"/>
          <w:sz w:val="20"/>
          <w:lang w:val="pt-BR"/>
        </w:rPr>
        <w:t>insistência</w:t>
      </w:r>
      <w:r w:rsidR="0089298C" w:rsidRPr="002F50BD">
        <w:rPr>
          <w:rFonts w:ascii="Verdana" w:hAnsi="Verdana"/>
          <w:sz w:val="20"/>
          <w:lang w:val="pt-BR"/>
        </w:rPr>
        <w:t xml:space="preserve"> na </w:t>
      </w:r>
      <w:r w:rsidR="004756C1" w:rsidRPr="002F50BD">
        <w:rPr>
          <w:rFonts w:ascii="Verdana" w:hAnsi="Verdana"/>
          <w:sz w:val="20"/>
          <w:lang w:val="pt-BR"/>
        </w:rPr>
        <w:t>reivindica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 </w:t>
      </w:r>
      <w:r w:rsidR="00B76BEF" w:rsidRPr="002F50BD">
        <w:rPr>
          <w:rFonts w:ascii="Verdana" w:hAnsi="Verdana"/>
          <w:sz w:val="20"/>
          <w:lang w:val="pt-BR"/>
        </w:rPr>
        <w:t xml:space="preserve">único </w:t>
      </w:r>
      <w:r w:rsidR="0089298C" w:rsidRPr="002F50BD">
        <w:rPr>
          <w:rFonts w:ascii="Verdana" w:hAnsi="Verdana"/>
          <w:sz w:val="20"/>
          <w:lang w:val="pt-BR"/>
        </w:rPr>
        <w:t>espaço</w:t>
      </w:r>
      <w:r w:rsidR="004756C1" w:rsidRPr="002F50BD">
        <w:rPr>
          <w:rFonts w:ascii="Verdana" w:hAnsi="Verdana"/>
          <w:sz w:val="20"/>
          <w:lang w:val="pt-BR"/>
        </w:rPr>
        <w:t xml:space="preserve"> </w:t>
      </w:r>
      <w:r w:rsidR="0089298C" w:rsidRPr="002F50BD">
        <w:rPr>
          <w:rFonts w:ascii="Verdana" w:hAnsi="Verdana"/>
          <w:sz w:val="20"/>
          <w:lang w:val="pt-BR"/>
        </w:rPr>
        <w:t>do território</w:t>
      </w:r>
      <w:r w:rsidR="004756C1" w:rsidRPr="002F50BD">
        <w:rPr>
          <w:rFonts w:ascii="Verdana" w:hAnsi="Verdana"/>
          <w:sz w:val="20"/>
          <w:lang w:val="pt-BR"/>
        </w:rPr>
        <w:t xml:space="preserve"> tradicional;</w:t>
      </w:r>
      <w:r w:rsidR="0089298C" w:rsidRPr="002F50BD">
        <w:rPr>
          <w:rFonts w:ascii="Verdana" w:hAnsi="Verdana"/>
          <w:sz w:val="20"/>
          <w:lang w:val="pt-BR"/>
        </w:rPr>
        <w:t xml:space="preserve"> neste ponto</w:t>
      </w:r>
      <w:r w:rsidR="006E1DE6" w:rsidRPr="002F50BD">
        <w:rPr>
          <w:rFonts w:ascii="Verdana" w:hAnsi="Verdana"/>
          <w:sz w:val="20"/>
          <w:lang w:val="pt-BR"/>
        </w:rPr>
        <w:t>,</w:t>
      </w:r>
      <w:r w:rsidR="0089298C" w:rsidRPr="002F50BD">
        <w:rPr>
          <w:rFonts w:ascii="Verdana" w:hAnsi="Verdana"/>
          <w:sz w:val="20"/>
          <w:lang w:val="pt-BR"/>
        </w:rPr>
        <w:t xml:space="preserve"> deve</w:t>
      </w:r>
      <w:r w:rsidR="006E1DE6" w:rsidRPr="002F50BD">
        <w:rPr>
          <w:rFonts w:ascii="Verdana" w:hAnsi="Verdana"/>
          <w:sz w:val="20"/>
          <w:lang w:val="pt-BR"/>
        </w:rPr>
        <w:t>-se</w:t>
      </w:r>
      <w:r w:rsidR="0089298C" w:rsidRPr="002F50BD">
        <w:rPr>
          <w:rFonts w:ascii="Verdana" w:hAnsi="Verdana"/>
          <w:sz w:val="20"/>
          <w:lang w:val="pt-BR"/>
        </w:rPr>
        <w:t xml:space="preserve"> </w:t>
      </w:r>
      <w:r w:rsidR="00B76BEF" w:rsidRPr="002F50BD">
        <w:rPr>
          <w:rFonts w:ascii="Verdana" w:hAnsi="Verdana"/>
          <w:sz w:val="20"/>
          <w:lang w:val="pt-BR"/>
        </w:rPr>
        <w:t>ter</w:t>
      </w:r>
      <w:r w:rsidR="004756C1" w:rsidRPr="002F50BD">
        <w:rPr>
          <w:rFonts w:ascii="Verdana" w:hAnsi="Verdana"/>
          <w:sz w:val="20"/>
          <w:lang w:val="pt-BR"/>
        </w:rPr>
        <w:t xml:space="preserve"> presente que </w:t>
      </w:r>
      <w:r w:rsidR="0089298C" w:rsidRPr="002F50BD">
        <w:rPr>
          <w:rFonts w:ascii="Verdana" w:hAnsi="Verdana"/>
          <w:sz w:val="20"/>
          <w:lang w:val="pt-BR"/>
        </w:rPr>
        <w:t xml:space="preserve">do </w:t>
      </w:r>
      <w:r w:rsidR="004756C1" w:rsidRPr="002F50BD">
        <w:rPr>
          <w:rFonts w:ascii="Verdana" w:hAnsi="Verdana"/>
          <w:sz w:val="20"/>
          <w:lang w:val="pt-BR"/>
        </w:rPr>
        <w:t xml:space="preserve">conjunto de </w:t>
      </w:r>
      <w:r w:rsidR="0089298C" w:rsidRPr="002F50BD">
        <w:rPr>
          <w:rFonts w:ascii="Verdana" w:hAnsi="Verdana"/>
          <w:sz w:val="20"/>
          <w:lang w:val="pt-BR"/>
        </w:rPr>
        <w:t>testemunho</w:t>
      </w:r>
      <w:r w:rsidR="004756C1" w:rsidRPr="002F50BD">
        <w:rPr>
          <w:rFonts w:ascii="Verdana" w:hAnsi="Verdana"/>
          <w:sz w:val="20"/>
          <w:lang w:val="pt-BR"/>
        </w:rPr>
        <w:t>s resulta que</w:t>
      </w:r>
      <w:r w:rsidR="0089298C" w:rsidRPr="002F50BD">
        <w:rPr>
          <w:rFonts w:ascii="Verdana" w:hAnsi="Verdana"/>
          <w:sz w:val="20"/>
          <w:lang w:val="pt-BR"/>
        </w:rPr>
        <w:t xml:space="preserve"> em algumas</w:t>
      </w:r>
      <w:r w:rsidR="004756C1" w:rsidRPr="002F50BD">
        <w:rPr>
          <w:rFonts w:ascii="Verdana" w:hAnsi="Verdana"/>
          <w:sz w:val="20"/>
          <w:lang w:val="pt-BR"/>
        </w:rPr>
        <w:t xml:space="preserve"> oportunidades</w:t>
      </w:r>
      <w:r w:rsidR="0089298C" w:rsidRPr="002F50BD">
        <w:rPr>
          <w:rFonts w:ascii="Verdana" w:hAnsi="Verdana"/>
          <w:sz w:val="20"/>
          <w:lang w:val="pt-BR"/>
        </w:rPr>
        <w:t xml:space="preserve"> o </w:t>
      </w:r>
      <w:r w:rsidR="004756C1" w:rsidRPr="002F50BD">
        <w:rPr>
          <w:rFonts w:ascii="Verdana" w:hAnsi="Verdana"/>
          <w:sz w:val="20"/>
          <w:lang w:val="pt-BR"/>
        </w:rPr>
        <w:t>Estado n</w:t>
      </w:r>
      <w:r w:rsidR="00B76BEF" w:rsidRPr="002F50BD">
        <w:rPr>
          <w:rFonts w:ascii="Verdana" w:hAnsi="Verdana"/>
          <w:sz w:val="20"/>
          <w:lang w:val="pt-BR"/>
        </w:rPr>
        <w:t>ã</w:t>
      </w:r>
      <w:r w:rsidR="004756C1" w:rsidRPr="002F50BD">
        <w:rPr>
          <w:rFonts w:ascii="Verdana" w:hAnsi="Verdana"/>
          <w:sz w:val="20"/>
          <w:lang w:val="pt-BR"/>
        </w:rPr>
        <w:t>o consult</w:t>
      </w:r>
      <w:r w:rsidR="00B76BEF" w:rsidRPr="002F50BD">
        <w:rPr>
          <w:rFonts w:ascii="Verdana" w:hAnsi="Verdana"/>
          <w:sz w:val="20"/>
          <w:lang w:val="pt-BR"/>
        </w:rPr>
        <w:t xml:space="preserve">ou </w:t>
      </w:r>
      <w:r w:rsidR="0089298C" w:rsidRPr="002F50BD">
        <w:rPr>
          <w:rFonts w:ascii="Verdana" w:hAnsi="Verdana"/>
          <w:sz w:val="20"/>
          <w:lang w:val="pt-BR"/>
        </w:rPr>
        <w:t xml:space="preserve">a Comunidade ao </w:t>
      </w:r>
      <w:r w:rsidR="00B76BEF" w:rsidRPr="002F50BD">
        <w:rPr>
          <w:rFonts w:ascii="Verdana" w:hAnsi="Verdana"/>
          <w:sz w:val="20"/>
          <w:lang w:val="pt-BR"/>
        </w:rPr>
        <w:t xml:space="preserve">gerir </w:t>
      </w:r>
      <w:r w:rsidR="0089298C" w:rsidRPr="002F50BD">
        <w:rPr>
          <w:rFonts w:ascii="Verdana" w:hAnsi="Verdana"/>
          <w:sz w:val="20"/>
          <w:lang w:val="pt-BR"/>
        </w:rPr>
        <w:t xml:space="preserve">a </w:t>
      </w:r>
      <w:r w:rsidR="004756C1" w:rsidRPr="002F50BD">
        <w:rPr>
          <w:rFonts w:ascii="Verdana" w:hAnsi="Verdana"/>
          <w:sz w:val="20"/>
          <w:lang w:val="pt-BR"/>
        </w:rPr>
        <w:t xml:space="preserve">compra de </w:t>
      </w:r>
      <w:r w:rsidR="0089298C" w:rsidRPr="002F50BD">
        <w:rPr>
          <w:rFonts w:ascii="Verdana" w:hAnsi="Verdana"/>
          <w:sz w:val="20"/>
          <w:lang w:val="pt-BR"/>
        </w:rPr>
        <w:t>terra</w:t>
      </w:r>
      <w:r w:rsidR="004756C1" w:rsidRPr="002F50BD">
        <w:rPr>
          <w:rFonts w:ascii="Verdana" w:hAnsi="Verdana"/>
          <w:sz w:val="20"/>
          <w:lang w:val="pt-BR"/>
        </w:rPr>
        <w:t>s para</w:t>
      </w:r>
      <w:r w:rsidR="0089298C" w:rsidRPr="002F50BD">
        <w:rPr>
          <w:rFonts w:ascii="Verdana" w:hAnsi="Verdana"/>
          <w:sz w:val="20"/>
          <w:lang w:val="pt-BR"/>
        </w:rPr>
        <w:t xml:space="preserve"> a </w:t>
      </w:r>
      <w:r w:rsidR="004756C1" w:rsidRPr="002F50BD">
        <w:rPr>
          <w:rFonts w:ascii="Verdana" w:hAnsi="Verdana"/>
          <w:sz w:val="20"/>
          <w:lang w:val="pt-BR"/>
        </w:rPr>
        <w:t>Comu</w:t>
      </w:r>
      <w:r w:rsidR="00AB454A" w:rsidRPr="002F50BD">
        <w:rPr>
          <w:rFonts w:ascii="Verdana" w:hAnsi="Verdana"/>
          <w:sz w:val="20"/>
          <w:lang w:val="pt-BR"/>
        </w:rPr>
        <w:t xml:space="preserve">nidade, </w:t>
      </w:r>
      <w:r w:rsidR="0089298C" w:rsidRPr="002F50BD">
        <w:rPr>
          <w:rFonts w:ascii="Verdana" w:hAnsi="Verdana"/>
          <w:sz w:val="20"/>
          <w:lang w:val="pt-BR"/>
        </w:rPr>
        <w:t>mas em outra</w:t>
      </w:r>
      <w:r w:rsidR="004756C1" w:rsidRPr="002F50BD">
        <w:rPr>
          <w:rFonts w:ascii="Verdana" w:hAnsi="Verdana"/>
          <w:sz w:val="20"/>
          <w:lang w:val="pt-BR"/>
        </w:rPr>
        <w:t>s</w:t>
      </w:r>
      <w:r w:rsidR="0089298C" w:rsidRPr="002F50BD">
        <w:rPr>
          <w:rFonts w:ascii="Verdana" w:hAnsi="Verdana"/>
          <w:sz w:val="20"/>
          <w:lang w:val="pt-BR"/>
        </w:rPr>
        <w:t xml:space="preserve"> efetuou a </w:t>
      </w:r>
      <w:r w:rsidR="004756C1" w:rsidRPr="002F50BD">
        <w:rPr>
          <w:rFonts w:ascii="Verdana" w:hAnsi="Verdana"/>
          <w:sz w:val="20"/>
          <w:lang w:val="pt-BR"/>
        </w:rPr>
        <w:t>consulta</w:t>
      </w:r>
      <w:r w:rsidR="00B76BEF" w:rsidRPr="002F50BD">
        <w:rPr>
          <w:rFonts w:ascii="Verdana" w:hAnsi="Verdana"/>
          <w:sz w:val="20"/>
          <w:lang w:val="pt-BR"/>
        </w:rPr>
        <w:t>,</w:t>
      </w:r>
      <w:r w:rsidR="004756C1" w:rsidRPr="002F50BD">
        <w:rPr>
          <w:rFonts w:ascii="Verdana" w:hAnsi="Verdana"/>
          <w:sz w:val="20"/>
          <w:lang w:val="pt-BR"/>
        </w:rPr>
        <w:t xml:space="preserve"> </w:t>
      </w:r>
      <w:r w:rsidR="00B76BEF" w:rsidRPr="002F50BD">
        <w:rPr>
          <w:rFonts w:ascii="Verdana" w:hAnsi="Verdana"/>
          <w:sz w:val="20"/>
          <w:lang w:val="pt-BR"/>
        </w:rPr>
        <w:t xml:space="preserve">sem contudo alcançar </w:t>
      </w:r>
      <w:r w:rsidR="0089298C" w:rsidRPr="002F50BD">
        <w:rPr>
          <w:rFonts w:ascii="Verdana" w:hAnsi="Verdana"/>
          <w:sz w:val="20"/>
          <w:lang w:val="pt-BR"/>
        </w:rPr>
        <w:t xml:space="preserve">o acordo </w:t>
      </w:r>
      <w:r w:rsidR="006E1DE6" w:rsidRPr="002F50BD">
        <w:rPr>
          <w:rFonts w:ascii="Verdana" w:hAnsi="Verdana"/>
          <w:sz w:val="20"/>
          <w:lang w:val="pt-BR"/>
        </w:rPr>
        <w:t xml:space="preserve">com </w:t>
      </w:r>
      <w:r w:rsidR="0089298C" w:rsidRPr="002F50BD">
        <w:rPr>
          <w:rFonts w:ascii="Verdana" w:hAnsi="Verdana"/>
          <w:sz w:val="20"/>
          <w:lang w:val="pt-BR"/>
        </w:rPr>
        <w:t xml:space="preserve">a Comunidade </w:t>
      </w:r>
      <w:r w:rsidR="004756C1" w:rsidRPr="002F50BD">
        <w:rPr>
          <w:rFonts w:ascii="Verdana" w:hAnsi="Verdana"/>
          <w:sz w:val="20"/>
          <w:lang w:val="pt-BR"/>
        </w:rPr>
        <w:t xml:space="preserve">que </w:t>
      </w:r>
      <w:r w:rsidR="0089298C" w:rsidRPr="002F50BD">
        <w:rPr>
          <w:rFonts w:ascii="Verdana" w:hAnsi="Verdana"/>
          <w:sz w:val="20"/>
          <w:lang w:val="pt-BR"/>
        </w:rPr>
        <w:lastRenderedPageBreak/>
        <w:t xml:space="preserve">insistiu na </w:t>
      </w:r>
      <w:r w:rsidR="00367FD1" w:rsidRPr="002F50BD">
        <w:rPr>
          <w:rFonts w:ascii="Verdana" w:hAnsi="Verdana"/>
          <w:sz w:val="20"/>
          <w:lang w:val="pt-BR"/>
        </w:rPr>
        <w:t>aquisição</w:t>
      </w:r>
      <w:r w:rsidR="004756C1" w:rsidRPr="002F50BD">
        <w:rPr>
          <w:rFonts w:ascii="Verdana" w:hAnsi="Verdana"/>
          <w:sz w:val="20"/>
          <w:lang w:val="pt-BR"/>
        </w:rPr>
        <w:t xml:space="preserve"> de Loma Verde,</w:t>
      </w:r>
      <w:r w:rsidR="0089298C" w:rsidRPr="002F50BD">
        <w:rPr>
          <w:rFonts w:ascii="Verdana" w:hAnsi="Verdana"/>
          <w:sz w:val="20"/>
          <w:lang w:val="pt-BR"/>
        </w:rPr>
        <w:t xml:space="preserve"> o que </w:t>
      </w:r>
      <w:r w:rsidR="00B76BEF" w:rsidRPr="002F50BD">
        <w:rPr>
          <w:rFonts w:ascii="Verdana" w:hAnsi="Verdana"/>
          <w:sz w:val="20"/>
          <w:lang w:val="pt-BR"/>
        </w:rPr>
        <w:t xml:space="preserve">propõe </w:t>
      </w:r>
      <w:r w:rsidR="0089298C" w:rsidRPr="002F50BD">
        <w:rPr>
          <w:rFonts w:ascii="Verdana" w:hAnsi="Verdana"/>
          <w:sz w:val="20"/>
          <w:lang w:val="pt-BR"/>
        </w:rPr>
        <w:t xml:space="preserve">a necessidade </w:t>
      </w:r>
      <w:r w:rsidR="004756C1" w:rsidRPr="002F50BD">
        <w:rPr>
          <w:rFonts w:ascii="Verdana" w:hAnsi="Verdana"/>
          <w:sz w:val="20"/>
          <w:lang w:val="pt-BR"/>
        </w:rPr>
        <w:t xml:space="preserve">de diferenciar, </w:t>
      </w:r>
      <w:r w:rsidR="00B76BEF" w:rsidRPr="002F50BD">
        <w:rPr>
          <w:rFonts w:ascii="Verdana" w:hAnsi="Verdana"/>
          <w:sz w:val="20"/>
          <w:lang w:val="pt-BR"/>
        </w:rPr>
        <w:t xml:space="preserve">no âmbito </w:t>
      </w:r>
      <w:r w:rsidR="004756C1" w:rsidRPr="002F50BD">
        <w:rPr>
          <w:rFonts w:ascii="Verdana" w:hAnsi="Verdana"/>
          <w:sz w:val="20"/>
          <w:lang w:val="pt-BR"/>
        </w:rPr>
        <w:t>normativo,</w:t>
      </w:r>
      <w:r w:rsidR="0089298C" w:rsidRPr="002F50BD">
        <w:rPr>
          <w:rFonts w:ascii="Verdana" w:hAnsi="Verdana"/>
          <w:sz w:val="20"/>
          <w:lang w:val="pt-BR"/>
        </w:rPr>
        <w:t xml:space="preserve"> a </w:t>
      </w:r>
      <w:r w:rsidR="004756C1" w:rsidRPr="002F50BD">
        <w:rPr>
          <w:rFonts w:ascii="Verdana" w:hAnsi="Verdana"/>
          <w:sz w:val="20"/>
          <w:lang w:val="pt-BR"/>
        </w:rPr>
        <w:t xml:space="preserve">consulta </w:t>
      </w:r>
      <w:r w:rsidR="0089298C" w:rsidRPr="002F50BD">
        <w:rPr>
          <w:rFonts w:ascii="Verdana" w:hAnsi="Verdana"/>
          <w:sz w:val="20"/>
          <w:lang w:val="pt-BR"/>
        </w:rPr>
        <w:t xml:space="preserve">do </w:t>
      </w:r>
      <w:r w:rsidR="004756C1" w:rsidRPr="002F50BD">
        <w:rPr>
          <w:rFonts w:ascii="Verdana" w:hAnsi="Verdana"/>
          <w:sz w:val="20"/>
          <w:lang w:val="pt-BR"/>
        </w:rPr>
        <w:t>consenso.</w:t>
      </w:r>
    </w:p>
    <w:p w:rsidR="004756C1" w:rsidRPr="002F50BD" w:rsidRDefault="004756C1">
      <w:pPr>
        <w:ind w:firstLine="36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23</w:t>
      </w:r>
      <w:r w:rsidR="004756C1" w:rsidRPr="002F50BD">
        <w:rPr>
          <w:rFonts w:ascii="Verdana" w:hAnsi="Verdana"/>
          <w:sz w:val="20"/>
          <w:lang w:val="pt-BR"/>
        </w:rPr>
        <w:t>.</w:t>
      </w:r>
      <w:r w:rsidR="004756C1" w:rsidRPr="002F50BD">
        <w:rPr>
          <w:rFonts w:ascii="Verdana" w:hAnsi="Verdana"/>
          <w:sz w:val="20"/>
          <w:lang w:val="pt-BR"/>
        </w:rPr>
        <w:tab/>
        <w:t>Dada</w:t>
      </w:r>
      <w:r w:rsidR="0089298C" w:rsidRPr="002F50BD">
        <w:rPr>
          <w:rFonts w:ascii="Verdana" w:hAnsi="Verdana"/>
          <w:sz w:val="20"/>
          <w:lang w:val="pt-BR"/>
        </w:rPr>
        <w:t xml:space="preserve"> </w:t>
      </w:r>
      <w:r w:rsidR="00B76BEF" w:rsidRPr="002F50BD">
        <w:rPr>
          <w:rFonts w:ascii="Verdana" w:hAnsi="Verdana"/>
          <w:sz w:val="20"/>
          <w:lang w:val="pt-BR"/>
        </w:rPr>
        <w:t xml:space="preserve">a demora </w:t>
      </w:r>
      <w:r w:rsidR="0089298C" w:rsidRPr="002F50BD">
        <w:rPr>
          <w:rFonts w:ascii="Verdana" w:hAnsi="Verdana"/>
          <w:sz w:val="20"/>
          <w:lang w:val="pt-BR"/>
        </w:rPr>
        <w:t>das gestões</w:t>
      </w:r>
      <w:r w:rsidR="003A3219" w:rsidRPr="002F50BD">
        <w:rPr>
          <w:rFonts w:ascii="Verdana" w:hAnsi="Verdana"/>
          <w:sz w:val="20"/>
          <w:lang w:val="pt-BR"/>
        </w:rPr>
        <w:t>,</w:t>
      </w:r>
      <w:r w:rsidR="0089298C" w:rsidRPr="002F50BD">
        <w:rPr>
          <w:rFonts w:ascii="Verdana" w:hAnsi="Verdana"/>
          <w:sz w:val="20"/>
          <w:lang w:val="pt-BR"/>
        </w:rPr>
        <w:t xml:space="preserve"> o </w:t>
      </w:r>
      <w:r w:rsidR="00B76BEF" w:rsidRPr="002F50BD">
        <w:rPr>
          <w:rFonts w:ascii="Verdana" w:hAnsi="Verdana"/>
          <w:sz w:val="20"/>
          <w:lang w:val="pt-BR"/>
        </w:rPr>
        <w:t>Estado do</w:t>
      </w:r>
      <w:r w:rsidR="004756C1" w:rsidRPr="002F50BD">
        <w:rPr>
          <w:rFonts w:ascii="Verdana" w:hAnsi="Verdana"/>
          <w:sz w:val="20"/>
          <w:lang w:val="pt-BR"/>
        </w:rPr>
        <w:t xml:space="preserve"> </w:t>
      </w:r>
      <w:r w:rsidR="0089298C" w:rsidRPr="002F50BD">
        <w:rPr>
          <w:rFonts w:ascii="Verdana" w:hAnsi="Verdana"/>
          <w:sz w:val="20"/>
          <w:lang w:val="pt-BR"/>
        </w:rPr>
        <w:t>Paraguai deve satisfazer</w:t>
      </w:r>
      <w:r w:rsidR="006E1DE6" w:rsidRPr="002F50BD">
        <w:rPr>
          <w:rFonts w:ascii="Verdana" w:hAnsi="Verdana"/>
          <w:sz w:val="20"/>
          <w:lang w:val="pt-BR"/>
        </w:rPr>
        <w:t>,</w:t>
      </w:r>
      <w:r w:rsidR="0089298C" w:rsidRPr="002F50BD">
        <w:rPr>
          <w:rFonts w:ascii="Verdana" w:hAnsi="Verdana"/>
          <w:sz w:val="20"/>
          <w:lang w:val="pt-BR"/>
        </w:rPr>
        <w:t xml:space="preserve"> em um prazo</w:t>
      </w:r>
      <w:r w:rsidR="004756C1" w:rsidRPr="002F50BD">
        <w:rPr>
          <w:rFonts w:ascii="Verdana" w:hAnsi="Verdana"/>
          <w:sz w:val="20"/>
          <w:lang w:val="pt-BR"/>
        </w:rPr>
        <w:t xml:space="preserve"> </w:t>
      </w:r>
      <w:r w:rsidR="0089298C" w:rsidRPr="002F50BD">
        <w:rPr>
          <w:rFonts w:ascii="Verdana" w:hAnsi="Verdana"/>
          <w:sz w:val="20"/>
          <w:lang w:val="pt-BR"/>
        </w:rPr>
        <w:t>razoável</w:t>
      </w:r>
      <w:r w:rsidR="006E1DE6" w:rsidRPr="002F50BD">
        <w:rPr>
          <w:rFonts w:ascii="Verdana" w:hAnsi="Verdana"/>
          <w:sz w:val="20"/>
          <w:lang w:val="pt-BR"/>
        </w:rPr>
        <w:t>,</w:t>
      </w:r>
      <w:r w:rsidR="0089298C" w:rsidRPr="002F50BD">
        <w:rPr>
          <w:rFonts w:ascii="Verdana" w:hAnsi="Verdana"/>
          <w:sz w:val="20"/>
          <w:lang w:val="pt-BR"/>
        </w:rPr>
        <w:t xml:space="preserve"> o direito à propriedade</w:t>
      </w:r>
      <w:r w:rsidR="004756C1" w:rsidRPr="002F50BD">
        <w:rPr>
          <w:rFonts w:ascii="Verdana" w:hAnsi="Verdana"/>
          <w:sz w:val="20"/>
          <w:lang w:val="pt-BR"/>
        </w:rPr>
        <w:t xml:space="preserve"> </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da terra</w:t>
      </w:r>
      <w:r w:rsidR="004756C1" w:rsidRPr="002F50BD">
        <w:rPr>
          <w:rFonts w:ascii="Verdana" w:hAnsi="Verdana"/>
          <w:sz w:val="20"/>
          <w:lang w:val="pt-BR"/>
        </w:rPr>
        <w:t xml:space="preserve"> demandada</w:t>
      </w:r>
      <w:r w:rsidR="0089298C" w:rsidRPr="002F50BD">
        <w:rPr>
          <w:rFonts w:ascii="Verdana" w:hAnsi="Verdana"/>
          <w:sz w:val="20"/>
          <w:lang w:val="pt-BR"/>
        </w:rPr>
        <w:t xml:space="preserve"> pela comunidade </w:t>
      </w:r>
      <w:r w:rsidR="004756C1" w:rsidRPr="002F50BD">
        <w:rPr>
          <w:rFonts w:ascii="Verdana" w:hAnsi="Verdana"/>
          <w:sz w:val="20"/>
          <w:lang w:val="pt-BR"/>
        </w:rPr>
        <w:t>Yakye Axa</w:t>
      </w:r>
      <w:r w:rsidR="00D95E71" w:rsidRPr="002F50BD">
        <w:rPr>
          <w:rFonts w:ascii="Verdana" w:hAnsi="Verdana"/>
          <w:sz w:val="20"/>
          <w:lang w:val="pt-BR"/>
        </w:rPr>
        <w:t xml:space="preserve">. O </w:t>
      </w:r>
      <w:r w:rsidR="0089298C" w:rsidRPr="002F50BD">
        <w:rPr>
          <w:rFonts w:ascii="Verdana" w:hAnsi="Verdana"/>
          <w:sz w:val="20"/>
          <w:lang w:val="pt-BR"/>
        </w:rPr>
        <w:t>Imóvel</w:t>
      </w:r>
      <w:r w:rsidR="004756C1" w:rsidRPr="002F50BD">
        <w:rPr>
          <w:rFonts w:ascii="Verdana" w:hAnsi="Verdana"/>
          <w:sz w:val="20"/>
          <w:lang w:val="pt-BR"/>
        </w:rPr>
        <w:t xml:space="preserve"> destinado</w:t>
      </w:r>
      <w:r w:rsidR="0089298C" w:rsidRPr="002F50BD">
        <w:rPr>
          <w:rFonts w:ascii="Verdana" w:hAnsi="Verdana"/>
          <w:sz w:val="20"/>
          <w:lang w:val="pt-BR"/>
        </w:rPr>
        <w:t xml:space="preserve"> à comunidade deve </w:t>
      </w:r>
      <w:r w:rsidR="004756C1" w:rsidRPr="002F50BD">
        <w:rPr>
          <w:rFonts w:ascii="Verdana" w:hAnsi="Verdana"/>
          <w:sz w:val="20"/>
          <w:lang w:val="pt-BR"/>
        </w:rPr>
        <w:t>estar situado</w:t>
      </w:r>
      <w:r w:rsidR="0089298C" w:rsidRPr="002F50BD">
        <w:rPr>
          <w:rFonts w:ascii="Verdana" w:hAnsi="Verdana"/>
          <w:sz w:val="20"/>
          <w:lang w:val="pt-BR"/>
        </w:rPr>
        <w:t xml:space="preserve"> no território</w:t>
      </w:r>
      <w:r w:rsidR="004756C1" w:rsidRPr="002F50BD">
        <w:rPr>
          <w:rFonts w:ascii="Verdana" w:hAnsi="Verdana"/>
          <w:sz w:val="20"/>
          <w:lang w:val="pt-BR"/>
        </w:rPr>
        <w:t xml:space="preserve"> ancestral</w:t>
      </w:r>
      <w:r w:rsidR="0089298C" w:rsidRPr="002F50BD">
        <w:rPr>
          <w:rFonts w:ascii="Verdana" w:hAnsi="Verdana"/>
          <w:sz w:val="20"/>
          <w:lang w:val="pt-BR"/>
        </w:rPr>
        <w:t xml:space="preserve"> d</w:t>
      </w:r>
      <w:r w:rsidR="003A3219" w:rsidRPr="002F50BD">
        <w:rPr>
          <w:rFonts w:ascii="Verdana" w:hAnsi="Verdana"/>
          <w:sz w:val="20"/>
          <w:lang w:val="pt-BR"/>
        </w:rPr>
        <w:t xml:space="preserve">o grupo </w:t>
      </w:r>
      <w:r w:rsidR="004756C1" w:rsidRPr="002F50BD">
        <w:rPr>
          <w:rFonts w:ascii="Verdana" w:hAnsi="Verdana"/>
          <w:sz w:val="20"/>
          <w:lang w:val="pt-BR"/>
        </w:rPr>
        <w:t xml:space="preserve">Chanawatsan </w:t>
      </w:r>
      <w:r w:rsidR="0089298C" w:rsidRPr="002F50BD">
        <w:rPr>
          <w:rFonts w:ascii="Verdana" w:hAnsi="Verdana"/>
          <w:sz w:val="20"/>
          <w:lang w:val="pt-BR"/>
        </w:rPr>
        <w:t xml:space="preserve">do </w:t>
      </w:r>
      <w:r w:rsidR="0039684E" w:rsidRPr="002F50BD">
        <w:rPr>
          <w:rFonts w:ascii="Verdana" w:hAnsi="Verdana"/>
          <w:sz w:val="20"/>
          <w:lang w:val="pt-BR"/>
        </w:rPr>
        <w:t>Povo Enxet-Lengua</w:t>
      </w:r>
      <w:r w:rsidR="0089298C" w:rsidRPr="002F50BD">
        <w:rPr>
          <w:rFonts w:ascii="Verdana" w:hAnsi="Verdana"/>
          <w:sz w:val="20"/>
          <w:lang w:val="pt-BR"/>
        </w:rPr>
        <w:t xml:space="preserve"> e ter a extensão</w:t>
      </w:r>
      <w:r w:rsidR="004756C1" w:rsidRPr="002F50BD">
        <w:rPr>
          <w:rFonts w:ascii="Verdana" w:hAnsi="Verdana"/>
          <w:sz w:val="20"/>
          <w:lang w:val="pt-BR"/>
        </w:rPr>
        <w:t xml:space="preserve"> suficiente para que</w:t>
      </w:r>
      <w:r w:rsidR="0089298C" w:rsidRPr="002F50BD">
        <w:rPr>
          <w:rFonts w:ascii="Verdana" w:hAnsi="Verdana"/>
          <w:sz w:val="20"/>
          <w:lang w:val="pt-BR"/>
        </w:rPr>
        <w:t xml:space="preserve"> a comunidade possa</w:t>
      </w:r>
      <w:r w:rsidR="004756C1" w:rsidRPr="002F50BD">
        <w:rPr>
          <w:rFonts w:ascii="Verdana" w:hAnsi="Verdana"/>
          <w:sz w:val="20"/>
          <w:lang w:val="pt-BR"/>
        </w:rPr>
        <w:t xml:space="preserve"> preservar</w:t>
      </w:r>
      <w:r w:rsidR="0089298C" w:rsidRPr="002F50BD">
        <w:rPr>
          <w:rFonts w:ascii="Verdana" w:hAnsi="Verdana"/>
          <w:sz w:val="20"/>
          <w:lang w:val="pt-BR"/>
        </w:rPr>
        <w:t xml:space="preserve"> e desenvolver</w:t>
      </w:r>
      <w:r w:rsidR="004756C1" w:rsidRPr="002F50BD">
        <w:rPr>
          <w:rFonts w:ascii="Verdana" w:hAnsi="Verdana"/>
          <w:sz w:val="20"/>
          <w:lang w:val="pt-BR"/>
        </w:rPr>
        <w:t xml:space="preserve"> </w:t>
      </w:r>
      <w:r w:rsidR="0089298C" w:rsidRPr="002F50BD">
        <w:rPr>
          <w:rFonts w:ascii="Verdana" w:hAnsi="Verdana"/>
          <w:sz w:val="20"/>
          <w:lang w:val="pt-BR"/>
        </w:rPr>
        <w:t xml:space="preserve">sua identidade </w:t>
      </w:r>
      <w:r w:rsidR="004756C1" w:rsidRPr="002F50BD">
        <w:rPr>
          <w:rFonts w:ascii="Verdana" w:hAnsi="Verdana"/>
          <w:sz w:val="20"/>
          <w:lang w:val="pt-BR"/>
        </w:rPr>
        <w:t>étnica.</w:t>
      </w:r>
      <w:r w:rsidR="0089298C" w:rsidRPr="002F50BD">
        <w:rPr>
          <w:rFonts w:ascii="Verdana" w:hAnsi="Verdana"/>
          <w:sz w:val="20"/>
          <w:lang w:val="pt-BR"/>
        </w:rPr>
        <w:t xml:space="preserve"> </w:t>
      </w:r>
      <w:r w:rsidR="006E1DE6" w:rsidRPr="002F50BD">
        <w:rPr>
          <w:rFonts w:ascii="Verdana" w:hAnsi="Verdana"/>
          <w:sz w:val="20"/>
          <w:lang w:val="pt-BR"/>
        </w:rPr>
        <w:t>Na</w:t>
      </w:r>
      <w:r w:rsidR="003A3219" w:rsidRPr="002F50BD">
        <w:rPr>
          <w:rFonts w:ascii="Verdana" w:hAnsi="Verdana"/>
          <w:sz w:val="20"/>
          <w:lang w:val="pt-BR"/>
        </w:rPr>
        <w:t xml:space="preserve"> </w:t>
      </w:r>
      <w:r w:rsidR="004756C1" w:rsidRPr="002F50BD">
        <w:rPr>
          <w:rFonts w:ascii="Verdana" w:hAnsi="Verdana"/>
          <w:sz w:val="20"/>
          <w:lang w:val="pt-BR"/>
        </w:rPr>
        <w:t>aplica</w:t>
      </w:r>
      <w:r w:rsidR="0089298C" w:rsidRPr="002F50BD">
        <w:rPr>
          <w:rFonts w:ascii="Verdana" w:hAnsi="Verdana"/>
          <w:sz w:val="20"/>
          <w:lang w:val="pt-BR"/>
        </w:rPr>
        <w:t xml:space="preserve">ção desta </w:t>
      </w:r>
      <w:r w:rsidR="004756C1" w:rsidRPr="002F50BD">
        <w:rPr>
          <w:rFonts w:ascii="Verdana" w:hAnsi="Verdana"/>
          <w:sz w:val="20"/>
          <w:lang w:val="pt-BR"/>
        </w:rPr>
        <w:t xml:space="preserve">medida </w:t>
      </w:r>
      <w:r w:rsidR="0089298C" w:rsidRPr="002F50BD">
        <w:rPr>
          <w:rFonts w:ascii="Verdana" w:hAnsi="Verdana"/>
          <w:sz w:val="20"/>
          <w:lang w:val="pt-BR"/>
        </w:rPr>
        <w:t>dever</w:t>
      </w:r>
      <w:r w:rsidR="006E1DE6" w:rsidRPr="002F50BD">
        <w:rPr>
          <w:rFonts w:ascii="Verdana" w:hAnsi="Verdana"/>
          <w:sz w:val="20"/>
          <w:lang w:val="pt-BR"/>
        </w:rPr>
        <w:t>-se-</w:t>
      </w:r>
      <w:r w:rsidR="004756C1" w:rsidRPr="002F50BD">
        <w:rPr>
          <w:rFonts w:ascii="Verdana" w:hAnsi="Verdana"/>
          <w:sz w:val="20"/>
          <w:lang w:val="pt-BR"/>
        </w:rPr>
        <w:t>á tomar</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ção os princípio</w:t>
      </w:r>
      <w:r w:rsidR="004756C1" w:rsidRPr="002F50BD">
        <w:rPr>
          <w:rFonts w:ascii="Verdana" w:hAnsi="Verdana"/>
          <w:sz w:val="20"/>
          <w:lang w:val="pt-BR"/>
        </w:rPr>
        <w:t>s de universalidad</w:t>
      </w:r>
      <w:r w:rsidR="003A3219" w:rsidRPr="002F50BD">
        <w:rPr>
          <w:rFonts w:ascii="Verdana" w:hAnsi="Verdana"/>
          <w:sz w:val="20"/>
          <w:lang w:val="pt-BR"/>
        </w:rPr>
        <w:t>e</w:t>
      </w:r>
      <w:r w:rsidR="004756C1" w:rsidRPr="002F50BD">
        <w:rPr>
          <w:rFonts w:ascii="Verdana" w:hAnsi="Verdana"/>
          <w:sz w:val="20"/>
          <w:lang w:val="pt-BR"/>
        </w:rPr>
        <w:t>, indivisibilidad</w:t>
      </w:r>
      <w:r w:rsidR="003A3219" w:rsidRPr="002F50BD">
        <w:rPr>
          <w:rFonts w:ascii="Verdana" w:hAnsi="Verdana"/>
          <w:sz w:val="20"/>
          <w:lang w:val="pt-BR"/>
        </w:rPr>
        <w:t>e</w:t>
      </w:r>
      <w:r w:rsidR="004756C1" w:rsidRPr="002F50BD">
        <w:rPr>
          <w:rFonts w:ascii="Verdana" w:hAnsi="Verdana"/>
          <w:sz w:val="20"/>
          <w:lang w:val="pt-BR"/>
        </w:rPr>
        <w:t xml:space="preserve"> e inter</w:t>
      </w:r>
      <w:r w:rsidR="0089298C" w:rsidRPr="002F50BD">
        <w:rPr>
          <w:rFonts w:ascii="Verdana" w:hAnsi="Verdana"/>
          <w:sz w:val="20"/>
          <w:lang w:val="pt-BR"/>
        </w:rPr>
        <w:t>dependência</w:t>
      </w:r>
      <w:r w:rsidR="004756C1" w:rsidRPr="002F50BD">
        <w:rPr>
          <w:rFonts w:ascii="Verdana" w:hAnsi="Verdana"/>
          <w:sz w:val="20"/>
          <w:lang w:val="pt-BR"/>
        </w:rPr>
        <w:t>.</w:t>
      </w:r>
    </w:p>
    <w:p w:rsidR="004756C1" w:rsidRPr="002F50BD" w:rsidRDefault="004756C1">
      <w:pPr>
        <w:ind w:firstLine="708"/>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24</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D</w:t>
      </w:r>
      <w:r w:rsidR="003A3219" w:rsidRPr="002F50BD">
        <w:rPr>
          <w:rFonts w:ascii="Verdana" w:hAnsi="Verdana"/>
          <w:sz w:val="20"/>
          <w:lang w:val="pt-BR"/>
        </w:rPr>
        <w:t>a</w:t>
      </w:r>
      <w:r w:rsidR="0089298C" w:rsidRPr="002F50BD">
        <w:rPr>
          <w:rFonts w:ascii="Verdana" w:hAnsi="Verdana"/>
          <w:sz w:val="20"/>
          <w:lang w:val="pt-BR"/>
        </w:rPr>
        <w:t xml:space="preserve"> análise</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 xml:space="preserve">caso </w:t>
      </w:r>
      <w:r w:rsidR="0089298C" w:rsidRPr="002F50BD">
        <w:rPr>
          <w:rFonts w:ascii="Verdana" w:hAnsi="Verdana"/>
          <w:sz w:val="20"/>
          <w:lang w:val="pt-BR"/>
        </w:rPr>
        <w:t>decorre</w:t>
      </w:r>
      <w:r w:rsidR="004756C1" w:rsidRPr="002F50BD">
        <w:rPr>
          <w:rFonts w:ascii="Verdana" w:hAnsi="Verdana"/>
          <w:sz w:val="20"/>
          <w:lang w:val="pt-BR"/>
        </w:rPr>
        <w:t xml:space="preserve"> que n</w:t>
      </w:r>
      <w:r w:rsidR="003A3219"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existem</w:t>
      </w:r>
      <w:r w:rsidR="004756C1" w:rsidRPr="002F50BD">
        <w:rPr>
          <w:rFonts w:ascii="Verdana" w:hAnsi="Verdana"/>
          <w:sz w:val="20"/>
          <w:lang w:val="pt-BR"/>
        </w:rPr>
        <w:t xml:space="preserve"> </w:t>
      </w:r>
      <w:r w:rsidR="0089298C" w:rsidRPr="002F50BD">
        <w:rPr>
          <w:rFonts w:ascii="Verdana" w:hAnsi="Verdana"/>
          <w:sz w:val="20"/>
          <w:lang w:val="pt-BR"/>
        </w:rPr>
        <w:t>atual</w:t>
      </w:r>
      <w:r w:rsidR="004756C1" w:rsidRPr="002F50BD">
        <w:rPr>
          <w:rFonts w:ascii="Verdana" w:hAnsi="Verdana"/>
          <w:sz w:val="20"/>
          <w:lang w:val="pt-BR"/>
        </w:rPr>
        <w:t>mente disposi</w:t>
      </w:r>
      <w:r w:rsidR="0089298C" w:rsidRPr="002F50BD">
        <w:rPr>
          <w:rFonts w:ascii="Verdana" w:hAnsi="Verdana"/>
          <w:sz w:val="20"/>
          <w:lang w:val="pt-BR"/>
        </w:rPr>
        <w:t>ções no direito</w:t>
      </w:r>
      <w:r w:rsidR="004756C1" w:rsidRPr="002F50BD">
        <w:rPr>
          <w:rFonts w:ascii="Verdana" w:hAnsi="Verdana"/>
          <w:sz w:val="20"/>
          <w:lang w:val="pt-BR"/>
        </w:rPr>
        <w:t xml:space="preserve"> interno que </w:t>
      </w:r>
      <w:r w:rsidR="0089298C" w:rsidRPr="002F50BD">
        <w:rPr>
          <w:rFonts w:ascii="Verdana" w:hAnsi="Verdana"/>
          <w:sz w:val="20"/>
          <w:lang w:val="pt-BR"/>
        </w:rPr>
        <w:t xml:space="preserve">permitam a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 xml:space="preserve">s, </w:t>
      </w:r>
      <w:r w:rsidR="006E1DE6" w:rsidRPr="002F50BD">
        <w:rPr>
          <w:rFonts w:ascii="Verdana" w:hAnsi="Verdana"/>
          <w:sz w:val="20"/>
          <w:lang w:val="pt-BR"/>
        </w:rPr>
        <w:t xml:space="preserve">as quais, </w:t>
      </w:r>
      <w:r w:rsidR="004756C1" w:rsidRPr="002F50BD">
        <w:rPr>
          <w:rFonts w:ascii="Verdana" w:hAnsi="Verdana"/>
          <w:sz w:val="20"/>
          <w:lang w:val="pt-BR"/>
        </w:rPr>
        <w:t>pertencendo</w:t>
      </w:r>
      <w:r w:rsidR="0089298C" w:rsidRPr="002F50BD">
        <w:rPr>
          <w:rFonts w:ascii="Verdana" w:hAnsi="Verdana"/>
          <w:sz w:val="20"/>
          <w:lang w:val="pt-BR"/>
        </w:rPr>
        <w:t xml:space="preserve"> ao </w:t>
      </w:r>
      <w:r w:rsidR="001A0CDE" w:rsidRPr="002F50BD">
        <w:rPr>
          <w:rFonts w:ascii="Verdana" w:hAnsi="Verdana"/>
          <w:i/>
          <w:sz w:val="20"/>
          <w:lang w:val="pt-BR"/>
        </w:rPr>
        <w:t>habitat</w:t>
      </w:r>
      <w:r w:rsidR="004756C1" w:rsidRPr="002F50BD">
        <w:rPr>
          <w:rFonts w:ascii="Verdana" w:hAnsi="Verdana"/>
          <w:sz w:val="20"/>
          <w:lang w:val="pt-BR"/>
        </w:rPr>
        <w:t xml:space="preserve"> tradicional</w:t>
      </w:r>
      <w:r w:rsidR="0089298C" w:rsidRPr="002F50BD">
        <w:rPr>
          <w:rFonts w:ascii="Verdana" w:hAnsi="Verdana"/>
          <w:sz w:val="20"/>
          <w:lang w:val="pt-BR"/>
        </w:rPr>
        <w:t xml:space="preserve"> dos povo</w:t>
      </w:r>
      <w:r w:rsidR="004756C1" w:rsidRPr="002F50BD">
        <w:rPr>
          <w:rFonts w:ascii="Verdana" w:hAnsi="Verdana"/>
          <w:sz w:val="20"/>
          <w:lang w:val="pt-BR"/>
        </w:rPr>
        <w:t>s indígenas</w:t>
      </w:r>
      <w:r w:rsidR="006E1DE6" w:rsidRPr="002F50BD">
        <w:rPr>
          <w:rFonts w:ascii="Verdana" w:hAnsi="Verdana"/>
          <w:sz w:val="20"/>
          <w:lang w:val="pt-BR"/>
        </w:rPr>
        <w:t>,</w:t>
      </w:r>
      <w:r w:rsidR="004756C1" w:rsidRPr="002F50BD">
        <w:rPr>
          <w:rFonts w:ascii="Verdana" w:hAnsi="Verdana"/>
          <w:sz w:val="20"/>
          <w:lang w:val="pt-BR"/>
        </w:rPr>
        <w:t xml:space="preserve"> n</w:t>
      </w:r>
      <w:r w:rsidR="003A3219" w:rsidRPr="002F50BD">
        <w:rPr>
          <w:rFonts w:ascii="Verdana" w:hAnsi="Verdana"/>
          <w:sz w:val="20"/>
          <w:lang w:val="pt-BR"/>
        </w:rPr>
        <w:t>ã</w:t>
      </w:r>
      <w:r w:rsidR="004756C1" w:rsidRPr="002F50BD">
        <w:rPr>
          <w:rFonts w:ascii="Verdana" w:hAnsi="Verdana"/>
          <w:sz w:val="20"/>
          <w:lang w:val="pt-BR"/>
        </w:rPr>
        <w:t xml:space="preserve">o se </w:t>
      </w:r>
      <w:r w:rsidR="0089298C" w:rsidRPr="002F50BD">
        <w:rPr>
          <w:rFonts w:ascii="Verdana" w:hAnsi="Verdana"/>
          <w:sz w:val="20"/>
          <w:lang w:val="pt-BR"/>
        </w:rPr>
        <w:t>encontrem</w:t>
      </w:r>
      <w:r w:rsidR="004756C1" w:rsidRPr="002F50BD">
        <w:rPr>
          <w:rFonts w:ascii="Verdana" w:hAnsi="Verdana"/>
          <w:sz w:val="20"/>
          <w:lang w:val="pt-BR"/>
        </w:rPr>
        <w:t xml:space="preserve"> ocupadas </w:t>
      </w:r>
      <w:r w:rsidR="0089298C" w:rsidRPr="002F50BD">
        <w:rPr>
          <w:rFonts w:ascii="Verdana" w:hAnsi="Verdana"/>
          <w:sz w:val="20"/>
          <w:lang w:val="pt-BR"/>
        </w:rPr>
        <w:t>atual</w:t>
      </w:r>
      <w:r w:rsidR="004756C1" w:rsidRPr="002F50BD">
        <w:rPr>
          <w:rFonts w:ascii="Verdana" w:hAnsi="Verdana"/>
          <w:sz w:val="20"/>
          <w:lang w:val="pt-BR"/>
        </w:rPr>
        <w:t xml:space="preserve">mente por </w:t>
      </w:r>
      <w:r w:rsidR="003A3219" w:rsidRPr="002F50BD">
        <w:rPr>
          <w:rFonts w:ascii="Verdana" w:hAnsi="Verdana"/>
          <w:sz w:val="20"/>
          <w:lang w:val="pt-BR"/>
        </w:rPr>
        <w:t>estes</w:t>
      </w:r>
      <w:r w:rsidR="004756C1" w:rsidRPr="002F50BD">
        <w:rPr>
          <w:rFonts w:ascii="Verdana" w:hAnsi="Verdana"/>
          <w:sz w:val="20"/>
          <w:lang w:val="pt-BR"/>
        </w:rPr>
        <w:t xml:space="preserve">, </w:t>
      </w:r>
      <w:r w:rsidR="003A3219" w:rsidRPr="002F50BD">
        <w:rPr>
          <w:rFonts w:ascii="Verdana" w:hAnsi="Verdana"/>
          <w:sz w:val="20"/>
          <w:lang w:val="pt-BR"/>
        </w:rPr>
        <w:t xml:space="preserve">exceto por </w:t>
      </w:r>
      <w:r w:rsidR="004756C1" w:rsidRPr="002F50BD">
        <w:rPr>
          <w:rFonts w:ascii="Verdana" w:hAnsi="Verdana"/>
          <w:sz w:val="20"/>
          <w:lang w:val="pt-BR"/>
        </w:rPr>
        <w:t>convic</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legislador</w:t>
      </w:r>
      <w:r w:rsidR="0089298C" w:rsidRPr="002F50BD">
        <w:rPr>
          <w:rFonts w:ascii="Verdana" w:hAnsi="Verdana"/>
          <w:sz w:val="20"/>
          <w:lang w:val="pt-BR"/>
        </w:rPr>
        <w:t xml:space="preserve"> da procedência</w:t>
      </w:r>
      <w:r w:rsidR="004756C1" w:rsidRPr="002F50BD">
        <w:rPr>
          <w:rFonts w:ascii="Verdana" w:hAnsi="Verdana"/>
          <w:sz w:val="20"/>
          <w:lang w:val="pt-BR"/>
        </w:rPr>
        <w:t xml:space="preserve"> </w:t>
      </w:r>
      <w:r w:rsidR="0089298C" w:rsidRPr="002F50BD">
        <w:rPr>
          <w:rFonts w:ascii="Verdana" w:hAnsi="Verdana"/>
          <w:sz w:val="20"/>
          <w:lang w:val="pt-BR"/>
        </w:rPr>
        <w:t xml:space="preserve">dessa </w:t>
      </w:r>
      <w:r w:rsidR="004756C1" w:rsidRPr="002F50BD">
        <w:rPr>
          <w:rFonts w:ascii="Verdana" w:hAnsi="Verdana"/>
          <w:sz w:val="20"/>
          <w:lang w:val="pt-BR"/>
        </w:rPr>
        <w:t>medida</w:t>
      </w:r>
      <w:r w:rsidR="0089298C" w:rsidRPr="002F50BD">
        <w:rPr>
          <w:rFonts w:ascii="Verdana" w:hAnsi="Verdana"/>
          <w:sz w:val="20"/>
          <w:lang w:val="pt-BR"/>
        </w:rPr>
        <w:t xml:space="preserve"> em </w:t>
      </w:r>
      <w:r w:rsidR="004756C1" w:rsidRPr="002F50BD">
        <w:rPr>
          <w:rFonts w:ascii="Verdana" w:hAnsi="Verdana"/>
          <w:sz w:val="20"/>
          <w:lang w:val="pt-BR"/>
        </w:rPr>
        <w:t>casos determinados;</w:t>
      </w:r>
      <w:r w:rsidR="0089298C" w:rsidRPr="002F50BD">
        <w:rPr>
          <w:rFonts w:ascii="Verdana" w:hAnsi="Verdana"/>
          <w:sz w:val="20"/>
          <w:lang w:val="pt-BR"/>
        </w:rPr>
        <w:t xml:space="preserve"> </w:t>
      </w:r>
      <w:r w:rsidR="003A3219" w:rsidRPr="002F50BD">
        <w:rPr>
          <w:rFonts w:ascii="Verdana" w:hAnsi="Verdana"/>
          <w:sz w:val="20"/>
          <w:lang w:val="pt-BR"/>
        </w:rPr>
        <w:t xml:space="preserve">se </w:t>
      </w:r>
      <w:r w:rsidR="0089298C" w:rsidRPr="002F50BD">
        <w:rPr>
          <w:rFonts w:ascii="Verdana" w:hAnsi="Verdana"/>
          <w:sz w:val="20"/>
          <w:lang w:val="pt-BR"/>
        </w:rPr>
        <w:t>o direito à terra</w:t>
      </w:r>
      <w:r w:rsidR="004756C1" w:rsidRPr="002F50BD">
        <w:rPr>
          <w:rFonts w:ascii="Verdana" w:hAnsi="Verdana"/>
          <w:sz w:val="20"/>
          <w:lang w:val="pt-BR"/>
        </w:rPr>
        <w:t xml:space="preserve"> ancestral</w:t>
      </w:r>
      <w:r w:rsidR="0089298C" w:rsidRPr="002F50BD">
        <w:rPr>
          <w:rFonts w:ascii="Verdana" w:hAnsi="Verdana"/>
          <w:sz w:val="20"/>
          <w:lang w:val="pt-BR"/>
        </w:rPr>
        <w:t xml:space="preserve"> </w:t>
      </w:r>
      <w:r w:rsidR="003A3219" w:rsidRPr="002F50BD">
        <w:rPr>
          <w:rFonts w:ascii="Verdana" w:hAnsi="Verdana"/>
          <w:sz w:val="20"/>
          <w:lang w:val="pt-BR"/>
        </w:rPr>
        <w:t xml:space="preserve">não vai </w:t>
      </w:r>
      <w:r w:rsidR="0089298C" w:rsidRPr="002F50BD">
        <w:rPr>
          <w:rFonts w:ascii="Verdana" w:hAnsi="Verdana"/>
          <w:sz w:val="20"/>
          <w:lang w:val="pt-BR"/>
        </w:rPr>
        <w:t>acompanh</w:t>
      </w:r>
      <w:r w:rsidR="004756C1" w:rsidRPr="002F50BD">
        <w:rPr>
          <w:rFonts w:ascii="Verdana" w:hAnsi="Verdana"/>
          <w:sz w:val="20"/>
          <w:lang w:val="pt-BR"/>
        </w:rPr>
        <w:t>ado</w:t>
      </w:r>
      <w:r w:rsidR="0089298C" w:rsidRPr="002F50BD">
        <w:rPr>
          <w:rFonts w:ascii="Verdana" w:hAnsi="Verdana"/>
          <w:sz w:val="20"/>
          <w:lang w:val="pt-BR"/>
        </w:rPr>
        <w:t xml:space="preserve"> </w:t>
      </w:r>
      <w:r w:rsidR="006E1DE6" w:rsidRPr="002F50BD">
        <w:rPr>
          <w:rFonts w:ascii="Verdana" w:hAnsi="Verdana"/>
          <w:sz w:val="20"/>
          <w:lang w:val="pt-BR"/>
        </w:rPr>
        <w:t>d</w:t>
      </w:r>
      <w:r w:rsidR="0089298C" w:rsidRPr="002F50BD">
        <w:rPr>
          <w:rFonts w:ascii="Verdana" w:hAnsi="Verdana"/>
          <w:sz w:val="20"/>
          <w:lang w:val="pt-BR"/>
        </w:rPr>
        <w:t xml:space="preserve">a </w:t>
      </w:r>
      <w:r w:rsidR="00A50140" w:rsidRPr="002F50BD">
        <w:rPr>
          <w:rFonts w:ascii="Verdana" w:hAnsi="Verdana"/>
          <w:sz w:val="20"/>
          <w:lang w:val="pt-BR"/>
        </w:rPr>
        <w:t>posse</w:t>
      </w:r>
      <w:r w:rsidR="004756C1" w:rsidRPr="002F50BD">
        <w:rPr>
          <w:rFonts w:ascii="Verdana" w:hAnsi="Verdana"/>
          <w:sz w:val="20"/>
          <w:lang w:val="pt-BR"/>
        </w:rPr>
        <w:t xml:space="preserve"> </w:t>
      </w:r>
      <w:r w:rsidR="0089298C" w:rsidRPr="002F50BD">
        <w:rPr>
          <w:rFonts w:ascii="Verdana" w:hAnsi="Verdana"/>
          <w:sz w:val="20"/>
          <w:lang w:val="pt-BR"/>
        </w:rPr>
        <w:t>do imóvel</w:t>
      </w:r>
      <w:r w:rsidR="004756C1" w:rsidRPr="002F50BD">
        <w:rPr>
          <w:rFonts w:ascii="Verdana" w:hAnsi="Verdana"/>
          <w:sz w:val="20"/>
          <w:lang w:val="pt-BR"/>
        </w:rPr>
        <w:t xml:space="preserve"> reivindicado </w:t>
      </w:r>
      <w:r w:rsidR="0089298C" w:rsidRPr="002F50BD">
        <w:rPr>
          <w:rFonts w:ascii="Verdana" w:hAnsi="Verdana"/>
          <w:sz w:val="20"/>
          <w:lang w:val="pt-BR"/>
        </w:rPr>
        <w:t xml:space="preserve">não possui </w:t>
      </w:r>
      <w:r w:rsidR="004756C1" w:rsidRPr="002F50BD">
        <w:rPr>
          <w:rFonts w:ascii="Verdana" w:hAnsi="Verdana"/>
          <w:sz w:val="20"/>
          <w:lang w:val="pt-BR"/>
        </w:rPr>
        <w:t>re</w:t>
      </w:r>
      <w:r w:rsidR="0089298C" w:rsidRPr="002F50BD">
        <w:rPr>
          <w:rFonts w:ascii="Verdana" w:hAnsi="Verdana"/>
          <w:sz w:val="20"/>
          <w:lang w:val="pt-BR"/>
        </w:rPr>
        <w:t>conhecimento no direito</w:t>
      </w:r>
      <w:r w:rsidR="004756C1" w:rsidRPr="002F50BD">
        <w:rPr>
          <w:rFonts w:ascii="Verdana" w:hAnsi="Verdana"/>
          <w:sz w:val="20"/>
          <w:lang w:val="pt-BR"/>
        </w:rPr>
        <w:t xml:space="preserve"> interno</w:t>
      </w:r>
      <w:r w:rsidR="003A3219" w:rsidRPr="002F50BD">
        <w:rPr>
          <w:rFonts w:ascii="Verdana" w:hAnsi="Verdana"/>
          <w:sz w:val="20"/>
          <w:lang w:val="pt-BR"/>
        </w:rPr>
        <w:t>.</w:t>
      </w:r>
      <w:r w:rsidR="004756C1" w:rsidRPr="002F50BD">
        <w:rPr>
          <w:rStyle w:val="FootnoteReference"/>
          <w:rFonts w:ascii="Verdana" w:hAnsi="Verdana"/>
        </w:rPr>
        <w:footnoteReference w:id="247"/>
      </w:r>
      <w:r w:rsidR="004756C1" w:rsidRPr="002F50BD">
        <w:rPr>
          <w:rFonts w:ascii="Verdana" w:hAnsi="Verdana"/>
          <w:sz w:val="20"/>
          <w:lang w:val="pt-BR"/>
        </w:rPr>
        <w:t xml:space="preserve"> Tam</w:t>
      </w:r>
      <w:r w:rsidR="0089298C" w:rsidRPr="002F50BD">
        <w:rPr>
          <w:rFonts w:ascii="Verdana" w:hAnsi="Verdana"/>
          <w:sz w:val="20"/>
          <w:lang w:val="pt-BR"/>
        </w:rPr>
        <w:t>pouco existem</w:t>
      </w:r>
      <w:r w:rsidR="004756C1" w:rsidRPr="002F50BD">
        <w:rPr>
          <w:rFonts w:ascii="Verdana" w:hAnsi="Verdana"/>
          <w:sz w:val="20"/>
          <w:lang w:val="pt-BR"/>
        </w:rPr>
        <w:t xml:space="preserve"> instrumentos jurídicos </w:t>
      </w:r>
      <w:r w:rsidR="0089298C" w:rsidRPr="002F50BD">
        <w:rPr>
          <w:rFonts w:ascii="Verdana" w:hAnsi="Verdana"/>
          <w:sz w:val="20"/>
          <w:lang w:val="pt-BR"/>
        </w:rPr>
        <w:t>idôneos</w:t>
      </w:r>
      <w:r w:rsidR="004756C1" w:rsidRPr="002F50BD">
        <w:rPr>
          <w:rFonts w:ascii="Verdana" w:hAnsi="Verdana"/>
          <w:sz w:val="20"/>
          <w:lang w:val="pt-BR"/>
        </w:rPr>
        <w:t xml:space="preserve"> para</w:t>
      </w:r>
      <w:r w:rsidR="0089298C" w:rsidRPr="002F50BD">
        <w:rPr>
          <w:rFonts w:ascii="Verdana" w:hAnsi="Verdana"/>
          <w:sz w:val="20"/>
          <w:lang w:val="pt-BR"/>
        </w:rPr>
        <w:t xml:space="preserve"> a </w:t>
      </w:r>
      <w:r w:rsidR="004756C1" w:rsidRPr="002F50BD">
        <w:rPr>
          <w:rFonts w:ascii="Verdana" w:hAnsi="Verdana"/>
          <w:sz w:val="20"/>
          <w:lang w:val="pt-BR"/>
        </w:rPr>
        <w:t>recupera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 de indígenas invadid</w:t>
      </w:r>
      <w:r w:rsidR="003A3219" w:rsidRPr="002F50BD">
        <w:rPr>
          <w:rFonts w:ascii="Verdana" w:hAnsi="Verdana"/>
          <w:sz w:val="20"/>
          <w:lang w:val="pt-BR"/>
        </w:rPr>
        <w:t>a</w:t>
      </w:r>
      <w:r w:rsidR="004756C1" w:rsidRPr="002F50BD">
        <w:rPr>
          <w:rFonts w:ascii="Verdana" w:hAnsi="Verdana"/>
          <w:sz w:val="20"/>
          <w:lang w:val="pt-BR"/>
        </w:rPr>
        <w:t xml:space="preserve">s </w:t>
      </w:r>
      <w:r w:rsidR="0089298C" w:rsidRPr="002F50BD">
        <w:rPr>
          <w:rFonts w:ascii="Verdana" w:hAnsi="Verdana"/>
          <w:sz w:val="20"/>
          <w:lang w:val="pt-BR"/>
        </w:rPr>
        <w:t>atual</w:t>
      </w:r>
      <w:r w:rsidR="004756C1" w:rsidRPr="002F50BD">
        <w:rPr>
          <w:rFonts w:ascii="Verdana" w:hAnsi="Verdana"/>
          <w:sz w:val="20"/>
          <w:lang w:val="pt-BR"/>
        </w:rPr>
        <w:t xml:space="preserve">mente por </w:t>
      </w:r>
      <w:r w:rsidR="0089298C" w:rsidRPr="002F50BD">
        <w:rPr>
          <w:rFonts w:ascii="Verdana" w:hAnsi="Verdana"/>
          <w:sz w:val="20"/>
          <w:lang w:val="pt-BR"/>
        </w:rPr>
        <w:t>terceiro</w:t>
      </w:r>
      <w:r w:rsidR="004756C1" w:rsidRPr="002F50BD">
        <w:rPr>
          <w:rFonts w:ascii="Verdana" w:hAnsi="Verdana"/>
          <w:sz w:val="20"/>
          <w:lang w:val="pt-BR"/>
        </w:rPr>
        <w:t>s</w:t>
      </w:r>
      <w:r w:rsidR="00AB454A" w:rsidRPr="002F50BD">
        <w:rPr>
          <w:rFonts w:ascii="Verdana" w:hAnsi="Verdana"/>
          <w:sz w:val="20"/>
          <w:lang w:val="pt-BR"/>
        </w:rPr>
        <w:t>. Em consequência</w:t>
      </w:r>
      <w:r w:rsidR="003A3219" w:rsidRPr="002F50BD">
        <w:rPr>
          <w:rFonts w:ascii="Verdana" w:hAnsi="Verdana"/>
          <w:sz w:val="20"/>
          <w:lang w:val="pt-BR"/>
        </w:rPr>
        <w:t>,</w:t>
      </w:r>
      <w:r w:rsidR="0089298C" w:rsidRPr="002F50BD">
        <w:rPr>
          <w:rFonts w:ascii="Verdana" w:hAnsi="Verdana"/>
          <w:sz w:val="20"/>
          <w:lang w:val="pt-BR"/>
        </w:rPr>
        <w:t xml:space="preserve"> o </w:t>
      </w:r>
      <w:r w:rsidR="004756C1" w:rsidRPr="002F50BD">
        <w:rPr>
          <w:rFonts w:ascii="Verdana" w:hAnsi="Verdana"/>
          <w:sz w:val="20"/>
          <w:lang w:val="pt-BR"/>
        </w:rPr>
        <w:t xml:space="preserve">Estado </w:t>
      </w:r>
      <w:r w:rsidR="003A3219" w:rsidRPr="002F50BD">
        <w:rPr>
          <w:rFonts w:ascii="Verdana" w:hAnsi="Verdana"/>
          <w:sz w:val="20"/>
          <w:lang w:val="pt-BR"/>
        </w:rPr>
        <w:t>p</w:t>
      </w:r>
      <w:r w:rsidR="0089298C" w:rsidRPr="002F50BD">
        <w:rPr>
          <w:rFonts w:ascii="Verdana" w:hAnsi="Verdana"/>
          <w:sz w:val="20"/>
          <w:lang w:val="pt-BR"/>
        </w:rPr>
        <w:t>araguai</w:t>
      </w:r>
      <w:r w:rsidR="004756C1" w:rsidRPr="002F50BD">
        <w:rPr>
          <w:rFonts w:ascii="Verdana" w:hAnsi="Verdana"/>
          <w:sz w:val="20"/>
          <w:lang w:val="pt-BR"/>
        </w:rPr>
        <w:t xml:space="preserve">o está </w:t>
      </w:r>
      <w:r w:rsidR="0089298C" w:rsidRPr="002F50BD">
        <w:rPr>
          <w:rFonts w:ascii="Verdana" w:hAnsi="Verdana"/>
          <w:sz w:val="20"/>
          <w:lang w:val="pt-BR"/>
        </w:rPr>
        <w:t>obrigad</w:t>
      </w:r>
      <w:r w:rsidR="004756C1" w:rsidRPr="002F50BD">
        <w:rPr>
          <w:rFonts w:ascii="Verdana" w:hAnsi="Verdana"/>
          <w:sz w:val="20"/>
          <w:lang w:val="pt-BR"/>
        </w:rPr>
        <w:t xml:space="preserve">o a </w:t>
      </w:r>
      <w:r w:rsidR="0089298C" w:rsidRPr="002F50BD">
        <w:rPr>
          <w:rFonts w:ascii="Verdana" w:hAnsi="Verdana"/>
          <w:sz w:val="20"/>
          <w:lang w:val="pt-BR"/>
        </w:rPr>
        <w:t>adot</w:t>
      </w:r>
      <w:r w:rsidR="004756C1" w:rsidRPr="002F50BD">
        <w:rPr>
          <w:rFonts w:ascii="Verdana" w:hAnsi="Verdana"/>
          <w:sz w:val="20"/>
          <w:lang w:val="pt-BR"/>
        </w:rPr>
        <w:t xml:space="preserve">ar medidas </w:t>
      </w:r>
      <w:r w:rsidR="0089298C" w:rsidRPr="002F50BD">
        <w:rPr>
          <w:rFonts w:ascii="Verdana" w:hAnsi="Verdana"/>
          <w:sz w:val="20"/>
          <w:lang w:val="pt-BR"/>
        </w:rPr>
        <w:t>especiais</w:t>
      </w:r>
      <w:r w:rsidR="004756C1" w:rsidRPr="002F50BD">
        <w:rPr>
          <w:rFonts w:ascii="Verdana" w:hAnsi="Verdana"/>
          <w:sz w:val="20"/>
          <w:lang w:val="pt-BR"/>
        </w:rPr>
        <w:t xml:space="preserve"> para </w:t>
      </w:r>
      <w:r w:rsidR="0089298C" w:rsidRPr="002F50BD">
        <w:rPr>
          <w:rFonts w:ascii="Verdana" w:hAnsi="Verdana"/>
          <w:sz w:val="20"/>
          <w:lang w:val="pt-BR"/>
        </w:rPr>
        <w:t>garantir aos povo</w:t>
      </w:r>
      <w:r w:rsidR="004756C1" w:rsidRPr="002F50BD">
        <w:rPr>
          <w:rFonts w:ascii="Verdana" w:hAnsi="Verdana"/>
          <w:sz w:val="20"/>
          <w:lang w:val="pt-BR"/>
        </w:rPr>
        <w:t>s indígenas</w:t>
      </w:r>
      <w:r w:rsidR="0089298C" w:rsidRPr="002F50BD">
        <w:rPr>
          <w:rFonts w:ascii="Verdana" w:hAnsi="Verdana"/>
          <w:sz w:val="20"/>
          <w:lang w:val="pt-BR"/>
        </w:rPr>
        <w:t xml:space="preserve"> o</w:t>
      </w:r>
      <w:r w:rsidR="00385366" w:rsidRPr="002F50BD">
        <w:rPr>
          <w:rFonts w:ascii="Verdana" w:hAnsi="Verdana"/>
          <w:sz w:val="20"/>
          <w:lang w:val="pt-BR"/>
        </w:rPr>
        <w:t xml:space="preserve"> gozo </w:t>
      </w:r>
      <w:r w:rsidR="0089298C" w:rsidRPr="002F50BD">
        <w:rPr>
          <w:rFonts w:ascii="Verdana" w:hAnsi="Verdana"/>
          <w:sz w:val="20"/>
          <w:lang w:val="pt-BR"/>
        </w:rPr>
        <w:t>efetiv</w:t>
      </w:r>
      <w:r w:rsidR="004756C1" w:rsidRPr="002F50BD">
        <w:rPr>
          <w:rFonts w:ascii="Verdana" w:hAnsi="Verdana"/>
          <w:sz w:val="20"/>
          <w:lang w:val="pt-BR"/>
        </w:rPr>
        <w:t>o</w:t>
      </w:r>
      <w:r w:rsidR="0089298C" w:rsidRPr="002F50BD">
        <w:rPr>
          <w:rFonts w:ascii="Verdana" w:hAnsi="Verdana"/>
          <w:sz w:val="20"/>
          <w:lang w:val="pt-BR"/>
        </w:rPr>
        <w:t xml:space="preserve"> dos direito</w:t>
      </w:r>
      <w:r w:rsidR="004756C1" w:rsidRPr="002F50BD">
        <w:rPr>
          <w:rFonts w:ascii="Verdana" w:hAnsi="Verdana"/>
          <w:sz w:val="20"/>
          <w:lang w:val="pt-BR"/>
        </w:rPr>
        <w:t xml:space="preserve">s humanos </w:t>
      </w:r>
      <w:r w:rsidR="0089298C" w:rsidRPr="002F50BD">
        <w:rPr>
          <w:rFonts w:ascii="Verdana" w:hAnsi="Verdana"/>
          <w:sz w:val="20"/>
          <w:lang w:val="pt-BR"/>
        </w:rPr>
        <w:t>fundamentais</w:t>
      </w:r>
      <w:r w:rsidR="004756C1" w:rsidRPr="002F50BD">
        <w:rPr>
          <w:rFonts w:ascii="Verdana" w:hAnsi="Verdana"/>
          <w:sz w:val="20"/>
          <w:lang w:val="pt-BR"/>
        </w:rPr>
        <w:t>, consagrados</w:t>
      </w:r>
      <w:r w:rsidR="0089298C" w:rsidRPr="002F50BD">
        <w:rPr>
          <w:rFonts w:ascii="Verdana" w:hAnsi="Verdana"/>
          <w:sz w:val="20"/>
          <w:lang w:val="pt-BR"/>
        </w:rPr>
        <w:t xml:space="preserve"> nos artigo</w:t>
      </w:r>
      <w:r w:rsidR="004756C1" w:rsidRPr="002F50BD">
        <w:rPr>
          <w:rFonts w:ascii="Verdana" w:hAnsi="Verdana"/>
          <w:sz w:val="20"/>
          <w:lang w:val="pt-BR"/>
        </w:rPr>
        <w:t xml:space="preserve">s </w:t>
      </w:r>
      <w:r w:rsidRPr="002F50BD">
        <w:rPr>
          <w:rFonts w:ascii="Verdana" w:hAnsi="Verdana"/>
          <w:sz w:val="20"/>
          <w:lang w:val="pt-BR"/>
        </w:rPr>
        <w:t>63</w:t>
      </w:r>
      <w:r w:rsidR="0089298C" w:rsidRPr="002F50BD">
        <w:rPr>
          <w:rFonts w:ascii="Verdana" w:hAnsi="Verdana"/>
          <w:sz w:val="20"/>
          <w:lang w:val="pt-BR"/>
        </w:rPr>
        <w:t xml:space="preserve"> e </w:t>
      </w:r>
      <w:r w:rsidRPr="002F50BD">
        <w:rPr>
          <w:rFonts w:ascii="Verdana" w:hAnsi="Verdana"/>
          <w:sz w:val="20"/>
          <w:lang w:val="pt-BR"/>
        </w:rPr>
        <w:t>64</w:t>
      </w:r>
      <w:r w:rsidR="0089298C" w:rsidRPr="002F50BD">
        <w:rPr>
          <w:rFonts w:ascii="Verdana" w:hAnsi="Verdana"/>
          <w:sz w:val="20"/>
          <w:lang w:val="pt-BR"/>
        </w:rPr>
        <w:t xml:space="preserve"> da Constituição</w:t>
      </w:r>
      <w:r w:rsidR="004756C1" w:rsidRPr="002F50BD">
        <w:rPr>
          <w:rFonts w:ascii="Verdana" w:hAnsi="Verdana"/>
          <w:sz w:val="20"/>
          <w:lang w:val="pt-BR"/>
        </w:rPr>
        <w:t xml:space="preserve"> Nacional, conforme</w:t>
      </w:r>
      <w:r w:rsidR="0089298C" w:rsidRPr="002F50BD">
        <w:rPr>
          <w:rFonts w:ascii="Verdana" w:hAnsi="Verdana"/>
          <w:sz w:val="20"/>
          <w:lang w:val="pt-BR"/>
        </w:rPr>
        <w:t xml:space="preserve"> o estabelecid</w:t>
      </w:r>
      <w:r w:rsidR="004756C1" w:rsidRPr="002F50BD">
        <w:rPr>
          <w:rFonts w:ascii="Verdana" w:hAnsi="Verdana"/>
          <w:sz w:val="20"/>
          <w:lang w:val="pt-BR"/>
        </w:rPr>
        <w:t>o</w:t>
      </w:r>
      <w:r w:rsidR="0089298C" w:rsidRPr="002F50BD">
        <w:rPr>
          <w:rFonts w:ascii="Verdana" w:hAnsi="Verdana"/>
          <w:sz w:val="20"/>
          <w:lang w:val="pt-BR"/>
        </w:rPr>
        <w:t xml:space="preserve"> no </w:t>
      </w:r>
      <w:r w:rsidR="003A3219"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2</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p>
    <w:p w:rsidR="004756C1" w:rsidRPr="002F50BD" w:rsidRDefault="004756C1">
      <w:pPr>
        <w:ind w:hanging="540"/>
        <w:jc w:val="both"/>
        <w:rPr>
          <w:rFonts w:ascii="Verdana" w:hAnsi="Verdana"/>
          <w:sz w:val="20"/>
          <w:lang w:val="pt-BR"/>
        </w:rPr>
      </w:pPr>
      <w:r w:rsidRPr="002F50BD">
        <w:rPr>
          <w:rFonts w:ascii="Verdana" w:hAnsi="Verdana"/>
          <w:sz w:val="20"/>
          <w:lang w:val="pt-BR"/>
        </w:rPr>
        <w:tab/>
      </w:r>
    </w:p>
    <w:p w:rsidR="004756C1" w:rsidRPr="002F50BD" w:rsidRDefault="0089298C">
      <w:pPr>
        <w:ind w:left="720" w:right="584"/>
        <w:jc w:val="both"/>
        <w:rPr>
          <w:rFonts w:ascii="Verdana" w:hAnsi="Verdana"/>
          <w:sz w:val="16"/>
          <w:lang w:val="pt-BR"/>
        </w:rPr>
      </w:pPr>
      <w:r w:rsidRPr="002F50BD">
        <w:rPr>
          <w:rFonts w:ascii="Verdana" w:hAnsi="Verdana"/>
          <w:sz w:val="16"/>
          <w:lang w:val="pt-BR"/>
        </w:rPr>
        <w:t>Dever</w:t>
      </w:r>
      <w:r w:rsidR="004756C1" w:rsidRPr="002F50BD">
        <w:rPr>
          <w:rFonts w:ascii="Verdana" w:hAnsi="Verdana"/>
          <w:sz w:val="16"/>
          <w:lang w:val="pt-BR"/>
        </w:rPr>
        <w:t xml:space="preserve"> de </w:t>
      </w:r>
      <w:r w:rsidRPr="002F50BD">
        <w:rPr>
          <w:rFonts w:ascii="Verdana" w:hAnsi="Verdana"/>
          <w:sz w:val="16"/>
          <w:lang w:val="pt-BR"/>
        </w:rPr>
        <w:t>Adot</w:t>
      </w:r>
      <w:r w:rsidR="004756C1" w:rsidRPr="002F50BD">
        <w:rPr>
          <w:rFonts w:ascii="Verdana" w:hAnsi="Verdana"/>
          <w:sz w:val="16"/>
          <w:lang w:val="pt-BR"/>
        </w:rPr>
        <w:t>ar Disposi</w:t>
      </w:r>
      <w:r w:rsidRPr="002F50BD">
        <w:rPr>
          <w:rFonts w:ascii="Verdana" w:hAnsi="Verdana"/>
          <w:sz w:val="16"/>
          <w:lang w:val="pt-BR"/>
        </w:rPr>
        <w:t>ções</w:t>
      </w:r>
      <w:r w:rsidR="004756C1" w:rsidRPr="002F50BD">
        <w:rPr>
          <w:rFonts w:ascii="Verdana" w:hAnsi="Verdana"/>
          <w:sz w:val="16"/>
          <w:lang w:val="pt-BR"/>
        </w:rPr>
        <w:t xml:space="preserve"> de </w:t>
      </w:r>
      <w:r w:rsidRPr="002F50BD">
        <w:rPr>
          <w:rFonts w:ascii="Verdana" w:hAnsi="Verdana"/>
          <w:sz w:val="16"/>
          <w:lang w:val="pt-BR"/>
        </w:rPr>
        <w:t>Direito</w:t>
      </w:r>
      <w:r w:rsidR="004756C1" w:rsidRPr="002F50BD">
        <w:rPr>
          <w:rFonts w:ascii="Verdana" w:hAnsi="Verdana"/>
          <w:sz w:val="16"/>
          <w:lang w:val="pt-BR"/>
        </w:rPr>
        <w:t xml:space="preserve"> Interno</w:t>
      </w:r>
    </w:p>
    <w:p w:rsidR="004756C1" w:rsidRPr="002F50BD" w:rsidRDefault="004756C1">
      <w:pPr>
        <w:ind w:left="720" w:right="584"/>
        <w:jc w:val="both"/>
        <w:rPr>
          <w:rFonts w:ascii="Verdana" w:hAnsi="Verdana"/>
          <w:sz w:val="16"/>
          <w:lang w:val="pt-BR"/>
        </w:rPr>
      </w:pPr>
    </w:p>
    <w:p w:rsidR="004756C1" w:rsidRPr="002F50BD" w:rsidRDefault="003A3219">
      <w:pPr>
        <w:ind w:left="720" w:right="584"/>
        <w:jc w:val="both"/>
        <w:rPr>
          <w:rFonts w:ascii="Verdana" w:hAnsi="Verdana"/>
          <w:sz w:val="16"/>
          <w:lang w:val="pt-BR"/>
        </w:rPr>
      </w:pPr>
      <w:r w:rsidRPr="002F50BD">
        <w:rPr>
          <w:rFonts w:ascii="Verdana" w:hAnsi="Verdana"/>
          <w:sz w:val="16"/>
          <w:lang w:val="pt-BR"/>
        </w:rPr>
        <w:t xml:space="preserve">Se o exercício dos direitos e liberdades mencionados no artigo </w:t>
      </w:r>
      <w:r w:rsidR="00063B47" w:rsidRPr="002F50BD">
        <w:rPr>
          <w:rFonts w:ascii="Verdana" w:hAnsi="Verdana"/>
          <w:sz w:val="16"/>
          <w:lang w:val="pt-BR"/>
        </w:rPr>
        <w:t>1</w:t>
      </w:r>
      <w:r w:rsidRPr="002F50BD">
        <w:rPr>
          <w:rFonts w:ascii="Verdana" w:hAnsi="Verdana"/>
          <w:sz w:val="16"/>
          <w:lang w:val="pt-BR"/>
        </w:rPr>
        <w:t xml:space="preserve"> ainda não estiver garantido por disposições legislativas ou de outra natureza, os Estados Partes comprometem-se a adotar, de acordo com as suas normas constitucionais e com as disposições desta Convenção, as medidas legislativas ou de outra natureza que forem necessárias para tornar efetivos tais direitos e liberdades.</w:t>
      </w:r>
    </w:p>
    <w:p w:rsidR="004756C1" w:rsidRPr="002F50BD" w:rsidRDefault="004756C1">
      <w:pPr>
        <w:ind w:left="708" w:hanging="540"/>
        <w:jc w:val="both"/>
        <w:rPr>
          <w:rFonts w:ascii="Verdana" w:hAnsi="Verdana"/>
          <w:sz w:val="20"/>
          <w:lang w:val="pt-BR"/>
        </w:rPr>
      </w:pPr>
    </w:p>
    <w:p w:rsidR="004756C1" w:rsidRPr="002F50BD" w:rsidRDefault="0089298C">
      <w:pPr>
        <w:jc w:val="both"/>
        <w:rPr>
          <w:rFonts w:ascii="Verdana" w:hAnsi="Verdana"/>
          <w:sz w:val="20"/>
          <w:lang w:val="pt-BR"/>
        </w:rPr>
      </w:pPr>
      <w:r w:rsidRPr="002F50BD">
        <w:rPr>
          <w:rFonts w:ascii="Verdana" w:hAnsi="Verdana"/>
          <w:sz w:val="20"/>
          <w:lang w:val="pt-BR"/>
        </w:rPr>
        <w:t xml:space="preserve">No cumprimento desta obrigação o </w:t>
      </w:r>
      <w:r w:rsidR="004756C1" w:rsidRPr="002F50BD">
        <w:rPr>
          <w:rFonts w:ascii="Verdana" w:hAnsi="Verdana"/>
          <w:sz w:val="20"/>
          <w:lang w:val="pt-BR"/>
        </w:rPr>
        <w:t xml:space="preserve">Estado </w:t>
      </w:r>
      <w:r w:rsidR="003A3219"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w:t>
      </w:r>
      <w:r w:rsidRPr="002F50BD">
        <w:rPr>
          <w:rFonts w:ascii="Verdana" w:hAnsi="Verdana"/>
          <w:sz w:val="20"/>
          <w:lang w:val="pt-BR"/>
        </w:rPr>
        <w:t xml:space="preserve"> deve ter em conta o artigo</w:t>
      </w:r>
      <w:r w:rsidR="004756C1" w:rsidRPr="002F50BD">
        <w:rPr>
          <w:rFonts w:ascii="Verdana" w:hAnsi="Verdana"/>
          <w:sz w:val="20"/>
          <w:lang w:val="pt-BR"/>
        </w:rPr>
        <w:t xml:space="preserve"> </w:t>
      </w:r>
      <w:r w:rsidR="00063B47" w:rsidRPr="002F50BD">
        <w:rPr>
          <w:rFonts w:ascii="Verdana" w:hAnsi="Verdana"/>
          <w:sz w:val="20"/>
          <w:lang w:val="pt-BR"/>
        </w:rPr>
        <w:t>14</w:t>
      </w:r>
      <w:r w:rsidR="004756C1" w:rsidRPr="002F50BD">
        <w:rPr>
          <w:rFonts w:ascii="Verdana" w:hAnsi="Verdana"/>
          <w:sz w:val="20"/>
          <w:lang w:val="pt-BR"/>
        </w:rPr>
        <w:t xml:space="preserve"> </w:t>
      </w:r>
      <w:r w:rsidR="00CF451D" w:rsidRPr="00CF451D">
        <w:rPr>
          <w:rFonts w:ascii="Verdana" w:hAnsi="Verdana"/>
          <w:sz w:val="20"/>
          <w:lang w:val="pt-BR"/>
        </w:rPr>
        <w:t>(</w:t>
      </w:r>
      <w:r w:rsidR="00063B47" w:rsidRPr="002F50BD">
        <w:rPr>
          <w:rFonts w:ascii="Verdana" w:hAnsi="Verdana"/>
          <w:sz w:val="20"/>
          <w:lang w:val="pt-BR"/>
        </w:rPr>
        <w:t>3</w:t>
      </w:r>
      <w:r w:rsidR="00CF451D" w:rsidRPr="00CF451D">
        <w:rPr>
          <w:rFonts w:ascii="Verdana" w:hAnsi="Verdana"/>
          <w:sz w:val="20"/>
          <w:lang w:val="pt-BR"/>
        </w:rPr>
        <w:t>)</w:t>
      </w:r>
      <w:r w:rsidR="004756C1" w:rsidRPr="002F50BD">
        <w:rPr>
          <w:rFonts w:ascii="Verdana" w:hAnsi="Verdana"/>
          <w:sz w:val="20"/>
          <w:lang w:val="pt-BR"/>
        </w:rPr>
        <w:t xml:space="preserve"> </w:t>
      </w:r>
      <w:r w:rsidRPr="002F50BD">
        <w:rPr>
          <w:rFonts w:ascii="Verdana" w:hAnsi="Verdana"/>
          <w:sz w:val="20"/>
          <w:lang w:val="pt-BR"/>
        </w:rPr>
        <w:t>d</w:t>
      </w:r>
      <w:r w:rsidR="003A3219" w:rsidRPr="002F50BD">
        <w:rPr>
          <w:rFonts w:ascii="Verdana" w:hAnsi="Verdana"/>
          <w:sz w:val="20"/>
          <w:lang w:val="pt-BR"/>
        </w:rPr>
        <w:t xml:space="preserve">a Convenção </w:t>
      </w:r>
      <w:r w:rsidR="00063B47" w:rsidRPr="002F50BD">
        <w:rPr>
          <w:rFonts w:ascii="Verdana" w:hAnsi="Verdana"/>
          <w:sz w:val="20"/>
          <w:lang w:val="pt-BR"/>
        </w:rPr>
        <w:t>169</w:t>
      </w:r>
      <w:r w:rsidR="004756C1" w:rsidRPr="002F50BD">
        <w:rPr>
          <w:rFonts w:ascii="Verdana" w:hAnsi="Verdana"/>
          <w:sz w:val="20"/>
          <w:lang w:val="pt-BR"/>
        </w:rPr>
        <w:t xml:space="preserve"> sobre </w:t>
      </w:r>
      <w:r w:rsidRPr="002F50BD">
        <w:rPr>
          <w:rFonts w:ascii="Verdana" w:hAnsi="Verdana"/>
          <w:sz w:val="20"/>
          <w:lang w:val="pt-BR"/>
        </w:rPr>
        <w:t>Povo</w:t>
      </w:r>
      <w:r w:rsidR="004756C1" w:rsidRPr="002F50BD">
        <w:rPr>
          <w:rFonts w:ascii="Verdana" w:hAnsi="Verdana"/>
          <w:sz w:val="20"/>
          <w:lang w:val="pt-BR"/>
        </w:rPr>
        <w:t>s Indígenas</w:t>
      </w:r>
      <w:r w:rsidRPr="002F50BD">
        <w:rPr>
          <w:rFonts w:ascii="Verdana" w:hAnsi="Verdana"/>
          <w:sz w:val="20"/>
          <w:lang w:val="pt-BR"/>
        </w:rPr>
        <w:t xml:space="preserve"> e </w:t>
      </w:r>
      <w:r w:rsidR="003A3219" w:rsidRPr="002F50BD">
        <w:rPr>
          <w:rFonts w:ascii="Verdana" w:hAnsi="Verdana"/>
          <w:sz w:val="20"/>
          <w:lang w:val="pt-BR"/>
        </w:rPr>
        <w:t>Tribais</w:t>
      </w:r>
      <w:r w:rsidRPr="002F50BD">
        <w:rPr>
          <w:rFonts w:ascii="Verdana" w:hAnsi="Verdana"/>
          <w:sz w:val="20"/>
          <w:lang w:val="pt-BR"/>
        </w:rPr>
        <w:t xml:space="preserve"> em </w:t>
      </w:r>
      <w:r w:rsidR="004756C1" w:rsidRPr="002F50BD">
        <w:rPr>
          <w:rFonts w:ascii="Verdana" w:hAnsi="Verdana"/>
          <w:sz w:val="20"/>
          <w:lang w:val="pt-BR"/>
        </w:rPr>
        <w:t xml:space="preserve">Países </w:t>
      </w:r>
      <w:r w:rsidRPr="002F50BD">
        <w:rPr>
          <w:rFonts w:ascii="Verdana" w:hAnsi="Verdana"/>
          <w:sz w:val="20"/>
          <w:lang w:val="pt-BR"/>
        </w:rPr>
        <w:t>Independente</w:t>
      </w:r>
      <w:r w:rsidR="004756C1" w:rsidRPr="002F50BD">
        <w:rPr>
          <w:rFonts w:ascii="Verdana" w:hAnsi="Verdana"/>
          <w:sz w:val="20"/>
          <w:lang w:val="pt-BR"/>
        </w:rPr>
        <w:t xml:space="preserve">s, que </w:t>
      </w:r>
      <w:r w:rsidRPr="002F50BD">
        <w:rPr>
          <w:rFonts w:ascii="Verdana" w:hAnsi="Verdana"/>
          <w:sz w:val="20"/>
          <w:lang w:val="pt-BR"/>
        </w:rPr>
        <w:t xml:space="preserve">estabelece a necessidade </w:t>
      </w:r>
      <w:r w:rsidR="004756C1" w:rsidRPr="002F50BD">
        <w:rPr>
          <w:rFonts w:ascii="Verdana" w:hAnsi="Verdana"/>
          <w:sz w:val="20"/>
          <w:lang w:val="pt-BR"/>
        </w:rPr>
        <w:t xml:space="preserve">de instituir </w:t>
      </w:r>
      <w:r w:rsidRPr="002F50BD">
        <w:rPr>
          <w:rFonts w:ascii="Verdana" w:hAnsi="Verdana"/>
          <w:sz w:val="20"/>
          <w:lang w:val="pt-BR"/>
        </w:rPr>
        <w:t>procedimento</w:t>
      </w:r>
      <w:r w:rsidR="004756C1" w:rsidRPr="002F50BD">
        <w:rPr>
          <w:rFonts w:ascii="Verdana" w:hAnsi="Verdana"/>
          <w:sz w:val="20"/>
          <w:lang w:val="pt-BR"/>
        </w:rPr>
        <w:t xml:space="preserve">s </w:t>
      </w:r>
      <w:r w:rsidRPr="002F50BD">
        <w:rPr>
          <w:rFonts w:ascii="Verdana" w:hAnsi="Verdana"/>
          <w:sz w:val="20"/>
          <w:lang w:val="pt-BR"/>
        </w:rPr>
        <w:t>adequad</w:t>
      </w:r>
      <w:r w:rsidR="004756C1" w:rsidRPr="002F50BD">
        <w:rPr>
          <w:rFonts w:ascii="Verdana" w:hAnsi="Verdana"/>
          <w:sz w:val="20"/>
          <w:lang w:val="pt-BR"/>
        </w:rPr>
        <w:t>os</w:t>
      </w:r>
      <w:r w:rsidRPr="002F50BD">
        <w:rPr>
          <w:rFonts w:ascii="Verdana" w:hAnsi="Verdana"/>
          <w:sz w:val="20"/>
          <w:lang w:val="pt-BR"/>
        </w:rPr>
        <w:t xml:space="preserve"> no </w:t>
      </w:r>
      <w:r w:rsidR="004756C1" w:rsidRPr="002F50BD">
        <w:rPr>
          <w:rFonts w:ascii="Verdana" w:hAnsi="Verdana"/>
          <w:sz w:val="20"/>
          <w:lang w:val="pt-BR"/>
        </w:rPr>
        <w:t xml:space="preserve">marco </w:t>
      </w:r>
      <w:r w:rsidRPr="002F50BD">
        <w:rPr>
          <w:rFonts w:ascii="Verdana" w:hAnsi="Verdana"/>
          <w:sz w:val="20"/>
          <w:lang w:val="pt-BR"/>
        </w:rPr>
        <w:t xml:space="preserve">do </w:t>
      </w:r>
      <w:r w:rsidR="004756C1" w:rsidRPr="002F50BD">
        <w:rPr>
          <w:rFonts w:ascii="Verdana" w:hAnsi="Verdana"/>
          <w:sz w:val="20"/>
          <w:lang w:val="pt-BR"/>
        </w:rPr>
        <w:t>sistema jurídico nacional para solucionar</w:t>
      </w:r>
      <w:r w:rsidRPr="002F50BD">
        <w:rPr>
          <w:rFonts w:ascii="Verdana" w:hAnsi="Verdana"/>
          <w:sz w:val="20"/>
          <w:lang w:val="pt-BR"/>
        </w:rPr>
        <w:t xml:space="preserve"> as </w:t>
      </w:r>
      <w:r w:rsidR="004756C1" w:rsidRPr="002F50BD">
        <w:rPr>
          <w:rFonts w:ascii="Verdana" w:hAnsi="Verdana"/>
          <w:sz w:val="20"/>
          <w:lang w:val="pt-BR"/>
        </w:rPr>
        <w:t>reivindica</w:t>
      </w:r>
      <w:r w:rsidRPr="002F50BD">
        <w:rPr>
          <w:rFonts w:ascii="Verdana" w:hAnsi="Verdana"/>
          <w:sz w:val="20"/>
          <w:lang w:val="pt-BR"/>
        </w:rPr>
        <w:t>ções</w:t>
      </w:r>
      <w:r w:rsidR="004756C1" w:rsidRPr="002F50BD">
        <w:rPr>
          <w:rFonts w:ascii="Verdana" w:hAnsi="Verdana"/>
          <w:sz w:val="20"/>
          <w:lang w:val="pt-BR"/>
        </w:rPr>
        <w:t xml:space="preserve"> de </w:t>
      </w:r>
      <w:r w:rsidRPr="002F50BD">
        <w:rPr>
          <w:rFonts w:ascii="Verdana" w:hAnsi="Verdana"/>
          <w:sz w:val="20"/>
          <w:lang w:val="pt-BR"/>
        </w:rPr>
        <w:t>terra</w:t>
      </w:r>
      <w:r w:rsidR="004756C1" w:rsidRPr="002F50BD">
        <w:rPr>
          <w:rFonts w:ascii="Verdana" w:hAnsi="Verdana"/>
          <w:sz w:val="20"/>
          <w:lang w:val="pt-BR"/>
        </w:rPr>
        <w:t>s formuladas</w:t>
      </w:r>
      <w:r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Pr="002F50BD">
        <w:rPr>
          <w:rFonts w:ascii="Verdana" w:hAnsi="Verdana"/>
          <w:sz w:val="20"/>
          <w:lang w:val="pt-BR"/>
        </w:rPr>
        <w:t>povo</w:t>
      </w:r>
      <w:r w:rsidR="004756C1" w:rsidRPr="002F50BD">
        <w:rPr>
          <w:rFonts w:ascii="Verdana" w:hAnsi="Verdana"/>
          <w:sz w:val="20"/>
          <w:lang w:val="pt-BR"/>
        </w:rPr>
        <w:t xml:space="preserve">s </w:t>
      </w:r>
      <w:r w:rsidRPr="002F50BD">
        <w:rPr>
          <w:rFonts w:ascii="Verdana" w:hAnsi="Verdana"/>
          <w:sz w:val="20"/>
          <w:lang w:val="pt-BR"/>
        </w:rPr>
        <w:t>interessad</w:t>
      </w:r>
      <w:r w:rsidR="004756C1" w:rsidRPr="002F50BD">
        <w:rPr>
          <w:rFonts w:ascii="Verdana" w:hAnsi="Verdana"/>
          <w:sz w:val="20"/>
          <w:lang w:val="pt-BR"/>
        </w:rPr>
        <w:t>os</w:t>
      </w:r>
      <w:r w:rsidR="001A0CDE" w:rsidRPr="002F50BD">
        <w:rPr>
          <w:rFonts w:ascii="Verdana" w:hAnsi="Verdana"/>
          <w:sz w:val="20"/>
          <w:lang w:val="pt-BR"/>
        </w:rPr>
        <w:t>. Est</w:t>
      </w:r>
      <w:r w:rsidRPr="002F50BD">
        <w:rPr>
          <w:rFonts w:ascii="Verdana" w:hAnsi="Verdana"/>
          <w:sz w:val="20"/>
          <w:lang w:val="pt-BR"/>
        </w:rPr>
        <w:t xml:space="preserve">es são os </w:t>
      </w:r>
      <w:r w:rsidR="004756C1" w:rsidRPr="002F50BD">
        <w:rPr>
          <w:rFonts w:ascii="Verdana" w:hAnsi="Verdana"/>
          <w:sz w:val="20"/>
          <w:lang w:val="pt-BR"/>
        </w:rPr>
        <w:t>fundamentos de m</w:t>
      </w:r>
      <w:r w:rsidR="003A3219" w:rsidRPr="002F50BD">
        <w:rPr>
          <w:rFonts w:ascii="Verdana" w:hAnsi="Verdana"/>
          <w:sz w:val="20"/>
          <w:lang w:val="pt-BR"/>
        </w:rPr>
        <w:t>eu</w:t>
      </w:r>
      <w:r w:rsidR="004756C1" w:rsidRPr="002F50BD">
        <w:rPr>
          <w:rFonts w:ascii="Verdana" w:hAnsi="Verdana"/>
          <w:sz w:val="20"/>
          <w:lang w:val="pt-BR"/>
        </w:rPr>
        <w:t xml:space="preserve"> voto parcialmente </w:t>
      </w:r>
      <w:r w:rsidRPr="002F50BD">
        <w:rPr>
          <w:rFonts w:ascii="Verdana" w:hAnsi="Verdana"/>
          <w:sz w:val="20"/>
          <w:lang w:val="pt-BR"/>
        </w:rPr>
        <w:t xml:space="preserve">concordante com o ponto </w:t>
      </w:r>
      <w:r w:rsidR="004756C1" w:rsidRPr="002F50BD">
        <w:rPr>
          <w:rFonts w:ascii="Verdana" w:hAnsi="Verdana"/>
          <w:sz w:val="20"/>
          <w:lang w:val="pt-BR"/>
        </w:rPr>
        <w:t xml:space="preserve">resolutivo </w:t>
      </w:r>
      <w:r w:rsidRPr="002F50BD">
        <w:rPr>
          <w:rFonts w:ascii="Verdana" w:hAnsi="Verdana"/>
          <w:sz w:val="20"/>
          <w:lang w:val="pt-BR"/>
        </w:rPr>
        <w:t>primeiro da Sentença</w:t>
      </w:r>
      <w:r w:rsidR="004756C1" w:rsidRPr="002F50BD">
        <w:rPr>
          <w:rFonts w:ascii="Verdana" w:hAnsi="Verdana"/>
          <w:sz w:val="20"/>
          <w:lang w:val="pt-BR"/>
        </w:rPr>
        <w:t>.</w:t>
      </w:r>
    </w:p>
    <w:p w:rsidR="004756C1" w:rsidRPr="002F50BD" w:rsidRDefault="004756C1">
      <w:pPr>
        <w:ind w:hanging="540"/>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25</w:t>
      </w:r>
      <w:r w:rsidR="004756C1" w:rsidRPr="002F50BD">
        <w:rPr>
          <w:rFonts w:ascii="Verdana" w:hAnsi="Verdana"/>
          <w:sz w:val="20"/>
          <w:lang w:val="pt-BR"/>
        </w:rPr>
        <w:t>.</w:t>
      </w:r>
      <w:r w:rsidR="004756C1" w:rsidRPr="002F50BD">
        <w:rPr>
          <w:rFonts w:ascii="Verdana" w:hAnsi="Verdana"/>
          <w:sz w:val="20"/>
          <w:lang w:val="pt-BR"/>
        </w:rPr>
        <w:tab/>
      </w:r>
      <w:r w:rsidR="00F46680" w:rsidRPr="002F50BD">
        <w:rPr>
          <w:rFonts w:ascii="Verdana" w:hAnsi="Verdana"/>
          <w:sz w:val="20"/>
          <w:lang w:val="pt-BR"/>
        </w:rPr>
        <w:t xml:space="preserve">Quanto </w:t>
      </w:r>
      <w:r w:rsidR="0089298C" w:rsidRPr="002F50BD">
        <w:rPr>
          <w:rFonts w:ascii="Verdana" w:hAnsi="Verdana"/>
          <w:sz w:val="20"/>
          <w:lang w:val="pt-BR"/>
        </w:rPr>
        <w:t xml:space="preserve">à </w:t>
      </w:r>
      <w:r w:rsidR="004756C1" w:rsidRPr="002F50BD">
        <w:rPr>
          <w:rFonts w:ascii="Verdana" w:hAnsi="Verdana"/>
          <w:sz w:val="20"/>
          <w:lang w:val="pt-BR"/>
        </w:rPr>
        <w:t>alegada 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3A3219"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CF451D" w:rsidRPr="00CF451D">
        <w:rPr>
          <w:rFonts w:ascii="Verdana" w:hAnsi="Verdana"/>
          <w:sz w:val="20"/>
          <w:lang w:val="pt-BR"/>
        </w:rPr>
        <w:t>(</w:t>
      </w:r>
      <w:r w:rsidR="0089298C" w:rsidRPr="002F50BD">
        <w:rPr>
          <w:rFonts w:ascii="Verdana" w:hAnsi="Verdana"/>
          <w:sz w:val="20"/>
          <w:lang w:val="pt-BR"/>
        </w:rPr>
        <w:t xml:space="preserve">Direito à </w:t>
      </w:r>
      <w:r w:rsidR="004756C1" w:rsidRPr="002F50BD">
        <w:rPr>
          <w:rFonts w:ascii="Verdana" w:hAnsi="Verdana"/>
          <w:sz w:val="20"/>
          <w:lang w:val="pt-BR"/>
        </w:rPr>
        <w:t>Vida</w:t>
      </w:r>
      <w:r w:rsidR="00CF451D" w:rsidRPr="00CF451D">
        <w:rPr>
          <w:rFonts w:ascii="Verdana" w:hAnsi="Verdana"/>
          <w:sz w:val="20"/>
          <w:lang w:val="pt-BR"/>
        </w:rPr>
        <w:t>)</w:t>
      </w:r>
      <w:r w:rsidR="0089298C" w:rsidRPr="002F50BD">
        <w:rPr>
          <w:rFonts w:ascii="Verdana" w:hAnsi="Verdana"/>
          <w:sz w:val="20"/>
          <w:lang w:val="pt-BR"/>
        </w:rPr>
        <w:t xml:space="preserve"> a </w:t>
      </w:r>
      <w:r w:rsidR="004756C1" w:rsidRPr="002F50BD">
        <w:rPr>
          <w:rFonts w:ascii="Verdana" w:hAnsi="Verdana"/>
          <w:sz w:val="20"/>
          <w:lang w:val="pt-BR"/>
        </w:rPr>
        <w:t>demanda</w:t>
      </w:r>
      <w:r w:rsidR="0089298C" w:rsidRPr="002F50BD">
        <w:rPr>
          <w:rFonts w:ascii="Verdana" w:hAnsi="Verdana"/>
          <w:sz w:val="20"/>
          <w:lang w:val="pt-BR"/>
        </w:rPr>
        <w:t xml:space="preserve"> da Comissão</w:t>
      </w:r>
      <w:r w:rsidR="004756C1" w:rsidRPr="002F50BD">
        <w:rPr>
          <w:rFonts w:ascii="Verdana" w:hAnsi="Verdana"/>
          <w:sz w:val="20"/>
          <w:lang w:val="pt-BR"/>
        </w:rPr>
        <w:t xml:space="preserve"> Interamericana afirma que</w:t>
      </w:r>
      <w:r w:rsidR="0089298C" w:rsidRPr="002F50BD">
        <w:rPr>
          <w:rFonts w:ascii="Verdana" w:hAnsi="Verdana"/>
          <w:sz w:val="20"/>
          <w:lang w:val="pt-BR"/>
        </w:rPr>
        <w:t xml:space="preserve"> o </w:t>
      </w:r>
      <w:r w:rsidR="004756C1" w:rsidRPr="002F50BD">
        <w:rPr>
          <w:rFonts w:ascii="Verdana" w:hAnsi="Verdana"/>
          <w:sz w:val="20"/>
          <w:lang w:val="pt-BR"/>
        </w:rPr>
        <w:t>Estado d</w:t>
      </w:r>
      <w:r w:rsidR="003A3219"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Paraguai</w:t>
      </w:r>
      <w:r w:rsidR="004756C1" w:rsidRPr="002F50BD">
        <w:rPr>
          <w:rFonts w:ascii="Verdana" w:hAnsi="Verdana"/>
          <w:sz w:val="20"/>
          <w:lang w:val="pt-BR"/>
        </w:rPr>
        <w:t xml:space="preserve"> </w:t>
      </w:r>
      <w:r w:rsidR="0089298C" w:rsidRPr="002F50BD">
        <w:rPr>
          <w:rFonts w:ascii="Verdana" w:hAnsi="Verdana"/>
          <w:sz w:val="20"/>
          <w:lang w:val="pt-BR"/>
        </w:rPr>
        <w:t>descumpriu</w:t>
      </w:r>
      <w:r w:rsidR="004756C1" w:rsidRPr="002F50BD">
        <w:rPr>
          <w:rFonts w:ascii="Verdana" w:hAnsi="Verdana"/>
          <w:sz w:val="20"/>
          <w:lang w:val="pt-BR"/>
        </w:rPr>
        <w:t>,</w:t>
      </w:r>
      <w:r w:rsidR="0089298C" w:rsidRPr="002F50BD">
        <w:rPr>
          <w:rFonts w:ascii="Verdana" w:hAnsi="Verdana"/>
          <w:sz w:val="20"/>
          <w:lang w:val="pt-BR"/>
        </w:rPr>
        <w:t xml:space="preserve"> em </w:t>
      </w:r>
      <w:r w:rsidR="003A3219" w:rsidRPr="002F50BD">
        <w:rPr>
          <w:rFonts w:ascii="Verdana" w:hAnsi="Verdana"/>
          <w:sz w:val="20"/>
          <w:lang w:val="pt-BR"/>
        </w:rPr>
        <w:t xml:space="preserve">detrimento </w:t>
      </w:r>
      <w:r w:rsidR="0089298C" w:rsidRPr="002F50BD">
        <w:rPr>
          <w:rFonts w:ascii="Verdana" w:hAnsi="Verdana"/>
          <w:sz w:val="20"/>
          <w:lang w:val="pt-BR"/>
        </w:rPr>
        <w:t xml:space="preserve">da Comunidade </w:t>
      </w:r>
      <w:r w:rsidR="004756C1" w:rsidRPr="002F50BD">
        <w:rPr>
          <w:rFonts w:ascii="Verdana" w:hAnsi="Verdana"/>
          <w:sz w:val="20"/>
          <w:lang w:val="pt-BR"/>
        </w:rPr>
        <w:t xml:space="preserve">Yakye Axa, </w:t>
      </w:r>
      <w:r w:rsidR="0089298C" w:rsidRPr="002F50BD">
        <w:rPr>
          <w:rFonts w:ascii="Verdana" w:hAnsi="Verdana"/>
          <w:sz w:val="20"/>
          <w:lang w:val="pt-BR"/>
        </w:rPr>
        <w:t>a obrigação</w:t>
      </w:r>
      <w:r w:rsidR="004756C1" w:rsidRPr="002F50BD">
        <w:rPr>
          <w:rFonts w:ascii="Verdana" w:hAnsi="Verdana"/>
          <w:sz w:val="20"/>
          <w:lang w:val="pt-BR"/>
        </w:rPr>
        <w:t xml:space="preserve"> de </w:t>
      </w:r>
      <w:r w:rsidR="0089298C" w:rsidRPr="002F50BD">
        <w:rPr>
          <w:rFonts w:ascii="Verdana" w:hAnsi="Verdana"/>
          <w:sz w:val="20"/>
          <w:lang w:val="pt-BR"/>
        </w:rPr>
        <w:t xml:space="preserve">garantir o direito à </w:t>
      </w:r>
      <w:r w:rsidR="004756C1" w:rsidRPr="002F50BD">
        <w:rPr>
          <w:rFonts w:ascii="Verdana" w:hAnsi="Verdana"/>
          <w:sz w:val="20"/>
          <w:lang w:val="pt-BR"/>
        </w:rPr>
        <w:t>vida consagrado</w:t>
      </w:r>
      <w:r w:rsidR="0089298C" w:rsidRPr="002F50BD">
        <w:rPr>
          <w:rFonts w:ascii="Verdana" w:hAnsi="Verdana"/>
          <w:sz w:val="20"/>
          <w:lang w:val="pt-BR"/>
        </w:rPr>
        <w:t xml:space="preserve"> no artigo</w:t>
      </w:r>
      <w:r w:rsidR="004756C1" w:rsidRPr="002F50BD">
        <w:rPr>
          <w:rFonts w:ascii="Verdana" w:hAnsi="Verdana"/>
          <w:sz w:val="20"/>
          <w:lang w:val="pt-BR"/>
        </w:rPr>
        <w:t xml:space="preserve"> </w:t>
      </w:r>
      <w:r w:rsidRPr="002F50BD">
        <w:rPr>
          <w:rFonts w:ascii="Verdana" w:hAnsi="Verdana"/>
          <w:sz w:val="20"/>
          <w:lang w:val="pt-BR"/>
        </w:rPr>
        <w:t>4</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89298C" w:rsidRPr="002F50BD">
        <w:rPr>
          <w:rFonts w:ascii="Verdana" w:hAnsi="Verdana"/>
          <w:sz w:val="20"/>
          <w:lang w:val="pt-BR"/>
        </w:rPr>
        <w:t xml:space="preserve"> em prejuízo</w:t>
      </w:r>
      <w:r w:rsidR="004756C1" w:rsidRPr="002F50BD">
        <w:rPr>
          <w:rFonts w:ascii="Verdana" w:hAnsi="Verdana"/>
          <w:sz w:val="20"/>
          <w:lang w:val="pt-BR"/>
        </w:rPr>
        <w:t xml:space="preserve"> de </w:t>
      </w:r>
      <w:r w:rsidR="0089298C" w:rsidRPr="002F50BD">
        <w:rPr>
          <w:rFonts w:ascii="Verdana" w:hAnsi="Verdana"/>
          <w:sz w:val="20"/>
          <w:lang w:val="pt-BR"/>
        </w:rPr>
        <w:t>oito</w:t>
      </w:r>
      <w:r w:rsidR="004756C1" w:rsidRPr="002F50BD">
        <w:rPr>
          <w:rFonts w:ascii="Verdana" w:hAnsi="Verdana"/>
          <w:sz w:val="20"/>
          <w:lang w:val="pt-BR"/>
        </w:rPr>
        <w:t xml:space="preserve"> indígenas </w:t>
      </w:r>
      <w:r w:rsidR="003A3219" w:rsidRPr="002F50BD">
        <w:rPr>
          <w:rFonts w:ascii="Verdana" w:hAnsi="Verdana"/>
          <w:sz w:val="20"/>
          <w:lang w:val="pt-BR"/>
        </w:rPr>
        <w:t xml:space="preserve">da comunidade </w:t>
      </w:r>
      <w:r w:rsidR="0089298C" w:rsidRPr="002F50BD">
        <w:rPr>
          <w:rFonts w:ascii="Verdana" w:hAnsi="Verdana"/>
          <w:sz w:val="20"/>
          <w:lang w:val="pt-BR"/>
        </w:rPr>
        <w:t>falecid</w:t>
      </w:r>
      <w:r w:rsidR="004756C1" w:rsidRPr="002F50BD">
        <w:rPr>
          <w:rFonts w:ascii="Verdana" w:hAnsi="Verdana"/>
          <w:sz w:val="20"/>
          <w:lang w:val="pt-BR"/>
        </w:rPr>
        <w:t>os</w:t>
      </w:r>
      <w:r w:rsidR="001158E7"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devidamente</w:t>
      </w:r>
      <w:r w:rsidR="004756C1" w:rsidRPr="002F50BD">
        <w:rPr>
          <w:rFonts w:ascii="Verdana" w:hAnsi="Verdana"/>
          <w:sz w:val="20"/>
          <w:lang w:val="pt-BR"/>
        </w:rPr>
        <w:t xml:space="preserve"> identificados</w:t>
      </w:r>
      <w:r w:rsidR="00AB454A" w:rsidRPr="002F50BD">
        <w:rPr>
          <w:rFonts w:ascii="Verdana" w:hAnsi="Verdana"/>
          <w:sz w:val="20"/>
          <w:lang w:val="pt-BR"/>
        </w:rPr>
        <w:t xml:space="preserve">, </w:t>
      </w:r>
      <w:r w:rsidR="0089298C" w:rsidRPr="002F50BD">
        <w:rPr>
          <w:rFonts w:ascii="Verdana" w:hAnsi="Verdana"/>
          <w:sz w:val="20"/>
          <w:lang w:val="pt-BR"/>
        </w:rPr>
        <w:t>e</w:t>
      </w:r>
      <w:r w:rsidR="004756C1" w:rsidRPr="002F50BD">
        <w:rPr>
          <w:rFonts w:ascii="Verdana" w:hAnsi="Verdana"/>
          <w:sz w:val="20"/>
          <w:lang w:val="pt-BR"/>
        </w:rPr>
        <w:t xml:space="preserve"> que</w:t>
      </w:r>
      <w:r w:rsidR="0089298C" w:rsidRPr="002F50BD">
        <w:rPr>
          <w:rFonts w:ascii="Verdana" w:hAnsi="Verdana"/>
          <w:sz w:val="20"/>
          <w:lang w:val="pt-BR"/>
        </w:rPr>
        <w:t xml:space="preserve"> o </w:t>
      </w:r>
      <w:r w:rsidR="004756C1" w:rsidRPr="002F50BD">
        <w:rPr>
          <w:rFonts w:ascii="Verdana" w:hAnsi="Verdana"/>
          <w:sz w:val="20"/>
          <w:lang w:val="pt-BR"/>
        </w:rPr>
        <w:t>Estado “coloc</w:t>
      </w:r>
      <w:r w:rsidR="003A3219" w:rsidRPr="002F50BD">
        <w:rPr>
          <w:rFonts w:ascii="Verdana" w:hAnsi="Verdana"/>
          <w:sz w:val="20"/>
          <w:lang w:val="pt-BR"/>
        </w:rPr>
        <w:t>ou</w:t>
      </w:r>
      <w:r w:rsidR="0089298C" w:rsidRPr="002F50BD">
        <w:rPr>
          <w:rFonts w:ascii="Verdana" w:hAnsi="Verdana"/>
          <w:sz w:val="20"/>
          <w:lang w:val="pt-BR"/>
        </w:rPr>
        <w:t xml:space="preserve"> em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risco</w:t>
      </w:r>
      <w:r w:rsidR="004756C1" w:rsidRPr="002F50BD">
        <w:rPr>
          <w:rFonts w:ascii="Verdana" w:hAnsi="Verdana"/>
          <w:sz w:val="20"/>
          <w:lang w:val="pt-BR"/>
        </w:rPr>
        <w:t xml:space="preserve"> permanente todos</w:t>
      </w:r>
      <w:r w:rsidR="0089298C" w:rsidRPr="002F50BD">
        <w:rPr>
          <w:rFonts w:ascii="Verdana" w:hAnsi="Verdana"/>
          <w:sz w:val="20"/>
          <w:lang w:val="pt-BR"/>
        </w:rPr>
        <w:t xml:space="preserve"> os membro</w:t>
      </w:r>
      <w:r w:rsidR="004756C1" w:rsidRPr="002F50BD">
        <w:rPr>
          <w:rFonts w:ascii="Verdana" w:hAnsi="Verdana"/>
          <w:sz w:val="20"/>
          <w:lang w:val="pt-BR"/>
        </w:rPr>
        <w:t>s</w:t>
      </w:r>
      <w:r w:rsidR="0089298C" w:rsidRPr="002F50BD">
        <w:rPr>
          <w:rFonts w:ascii="Verdana" w:hAnsi="Verdana"/>
          <w:sz w:val="20"/>
          <w:lang w:val="pt-BR"/>
        </w:rPr>
        <w:t xml:space="preserve"> da </w:t>
      </w:r>
      <w:r w:rsidR="004756C1" w:rsidRPr="002F50BD">
        <w:rPr>
          <w:rFonts w:ascii="Verdana" w:hAnsi="Verdana"/>
          <w:sz w:val="20"/>
          <w:lang w:val="pt-BR"/>
        </w:rPr>
        <w:t>comunidad</w:t>
      </w:r>
      <w:r w:rsidR="003A3219" w:rsidRPr="002F50BD">
        <w:rPr>
          <w:rFonts w:ascii="Verdana" w:hAnsi="Verdana"/>
          <w:sz w:val="20"/>
          <w:lang w:val="pt-BR"/>
        </w:rPr>
        <w:t>e</w:t>
      </w:r>
      <w:r w:rsidR="004756C1" w:rsidRPr="002F50BD">
        <w:rPr>
          <w:rFonts w:ascii="Verdana" w:hAnsi="Verdana"/>
          <w:sz w:val="20"/>
          <w:lang w:val="pt-BR"/>
        </w:rPr>
        <w:t xml:space="preserve">”, </w:t>
      </w:r>
      <w:r w:rsidR="003A3219" w:rsidRPr="002F50BD">
        <w:rPr>
          <w:rFonts w:ascii="Verdana" w:hAnsi="Verdana"/>
          <w:sz w:val="20"/>
          <w:lang w:val="pt-BR"/>
        </w:rPr>
        <w:t xml:space="preserve">afetando o </w:t>
      </w:r>
      <w:r w:rsidR="00E72F67" w:rsidRPr="002F50BD">
        <w:rPr>
          <w:rFonts w:ascii="Verdana" w:hAnsi="Verdana"/>
          <w:sz w:val="20"/>
          <w:lang w:val="pt-BR"/>
        </w:rPr>
        <w:t>desfrute</w:t>
      </w:r>
      <w:r w:rsidR="0089298C" w:rsidRPr="002F50BD">
        <w:rPr>
          <w:rFonts w:ascii="Verdana" w:hAnsi="Verdana"/>
          <w:sz w:val="20"/>
          <w:lang w:val="pt-BR"/>
        </w:rPr>
        <w:t xml:space="preserve"> e</w:t>
      </w:r>
      <w:r w:rsidR="00385366" w:rsidRPr="002F50BD">
        <w:rPr>
          <w:rFonts w:ascii="Verdana" w:hAnsi="Verdana"/>
          <w:sz w:val="20"/>
          <w:lang w:val="pt-BR"/>
        </w:rPr>
        <w:t xml:space="preserve"> gozo </w:t>
      </w:r>
      <w:r w:rsidR="004756C1" w:rsidRPr="002F50BD">
        <w:rPr>
          <w:rFonts w:ascii="Verdana" w:hAnsi="Verdana"/>
          <w:sz w:val="20"/>
          <w:lang w:val="pt-BR"/>
        </w:rPr>
        <w:t xml:space="preserve">de </w:t>
      </w:r>
      <w:r w:rsidR="0089298C" w:rsidRPr="002F50BD">
        <w:rPr>
          <w:rFonts w:ascii="Verdana" w:hAnsi="Verdana"/>
          <w:sz w:val="20"/>
          <w:lang w:val="pt-BR"/>
        </w:rPr>
        <w:t>seus direitos</w:t>
      </w:r>
      <w:r w:rsidR="004756C1" w:rsidRPr="002F50BD">
        <w:rPr>
          <w:rFonts w:ascii="Verdana" w:hAnsi="Verdana"/>
          <w:sz w:val="20"/>
          <w:lang w:val="pt-BR"/>
        </w:rPr>
        <w:t xml:space="preserve"> humanos </w:t>
      </w:r>
      <w:r w:rsidR="0089298C" w:rsidRPr="002F50BD">
        <w:rPr>
          <w:rFonts w:ascii="Verdana" w:hAnsi="Verdana"/>
          <w:sz w:val="20"/>
          <w:lang w:val="pt-BR"/>
        </w:rPr>
        <w:t xml:space="preserve">fundamentais </w:t>
      </w:r>
      <w:r w:rsidR="003A3219" w:rsidRPr="002F50BD">
        <w:rPr>
          <w:rFonts w:ascii="Verdana" w:hAnsi="Verdana"/>
          <w:sz w:val="20"/>
          <w:lang w:val="pt-BR"/>
        </w:rPr>
        <w:t>no caso da permanência da</w:t>
      </w:r>
      <w:r w:rsidR="0089298C" w:rsidRPr="002F50BD">
        <w:rPr>
          <w:rFonts w:ascii="Verdana" w:hAnsi="Verdana"/>
          <w:sz w:val="20"/>
          <w:lang w:val="pt-BR"/>
        </w:rPr>
        <w:t xml:space="preserve">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vulnerabilidade da comunidade</w:t>
      </w:r>
      <w:r w:rsidR="003A3219" w:rsidRPr="002F50BD">
        <w:rPr>
          <w:rFonts w:ascii="Verdana" w:hAnsi="Verdana"/>
          <w:sz w:val="20"/>
          <w:lang w:val="pt-BR"/>
        </w:rPr>
        <w:t>.</w:t>
      </w:r>
      <w:r w:rsidR="004756C1" w:rsidRPr="002F50BD">
        <w:rPr>
          <w:rStyle w:val="FootnoteReference"/>
          <w:rFonts w:ascii="Verdana" w:hAnsi="Verdana"/>
        </w:rPr>
        <w:footnoteReference w:id="248"/>
      </w:r>
      <w:r w:rsidR="00D95E71" w:rsidRPr="002F50BD">
        <w:rPr>
          <w:rFonts w:ascii="Verdana" w:hAnsi="Verdana"/>
          <w:sz w:val="20"/>
          <w:lang w:val="pt-BR"/>
        </w:rPr>
        <w:t xml:space="preserve"> O </w:t>
      </w:r>
      <w:r w:rsidR="004756C1" w:rsidRPr="002F50BD">
        <w:rPr>
          <w:rFonts w:ascii="Verdana" w:hAnsi="Verdana"/>
          <w:sz w:val="20"/>
          <w:lang w:val="pt-BR"/>
        </w:rPr>
        <w:t xml:space="preserve">referido </w:t>
      </w:r>
      <w:r w:rsidR="0089298C" w:rsidRPr="002F50BD">
        <w:rPr>
          <w:rFonts w:ascii="Verdana" w:hAnsi="Verdana"/>
          <w:sz w:val="20"/>
          <w:lang w:val="pt-BR"/>
        </w:rPr>
        <w:t>artigo</w:t>
      </w:r>
      <w:r w:rsidR="004756C1" w:rsidRPr="002F50BD">
        <w:rPr>
          <w:rFonts w:ascii="Verdana" w:hAnsi="Verdana"/>
          <w:sz w:val="20"/>
          <w:lang w:val="pt-BR"/>
        </w:rPr>
        <w:t xml:space="preserve"> </w:t>
      </w:r>
      <w:r w:rsidRPr="002F50BD">
        <w:rPr>
          <w:rFonts w:ascii="Verdana" w:hAnsi="Verdana"/>
          <w:sz w:val="20"/>
          <w:lang w:val="pt-BR"/>
        </w:rPr>
        <w:t>4</w:t>
      </w:r>
      <w:r w:rsidR="004756C1" w:rsidRPr="002F50BD">
        <w:rPr>
          <w:rFonts w:ascii="Verdana" w:hAnsi="Verdana"/>
          <w:sz w:val="20"/>
          <w:lang w:val="pt-BR"/>
        </w:rPr>
        <w:t xml:space="preserve"> </w:t>
      </w:r>
      <w:r w:rsidR="00CF451D" w:rsidRPr="00CF451D">
        <w:rPr>
          <w:rFonts w:ascii="Verdana" w:hAnsi="Verdana"/>
          <w:sz w:val="20"/>
          <w:lang w:val="pt-BR"/>
        </w:rPr>
        <w:t>(</w:t>
      </w:r>
      <w:r w:rsidRPr="002F50BD">
        <w:rPr>
          <w:rFonts w:ascii="Verdana" w:hAnsi="Verdana"/>
          <w:sz w:val="20"/>
          <w:lang w:val="pt-BR"/>
        </w:rPr>
        <w:t>1</w:t>
      </w:r>
      <w:r w:rsidR="00CF451D" w:rsidRPr="00CF451D">
        <w:rPr>
          <w:rFonts w:ascii="Verdana" w:hAnsi="Verdana"/>
          <w:sz w:val="20"/>
          <w:lang w:val="pt-BR"/>
        </w:rPr>
        <w:t>)</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FE08B7">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w:t>
      </w:r>
    </w:p>
    <w:p w:rsidR="004756C1" w:rsidRPr="002F50BD" w:rsidRDefault="004756C1">
      <w:pPr>
        <w:ind w:left="720"/>
        <w:jc w:val="both"/>
        <w:rPr>
          <w:rFonts w:ascii="Verdana" w:hAnsi="Verdana"/>
          <w:sz w:val="20"/>
          <w:lang w:val="pt-BR"/>
        </w:rPr>
      </w:pPr>
    </w:p>
    <w:p w:rsidR="003A3219" w:rsidRPr="002F50BD" w:rsidRDefault="003A3219" w:rsidP="003A3219">
      <w:pPr>
        <w:ind w:left="720" w:right="584"/>
        <w:jc w:val="both"/>
        <w:rPr>
          <w:rFonts w:ascii="Verdana" w:hAnsi="Verdana"/>
          <w:sz w:val="16"/>
          <w:lang w:val="pt-BR"/>
        </w:rPr>
      </w:pPr>
      <w:r w:rsidRPr="002F50BD">
        <w:rPr>
          <w:rFonts w:ascii="Verdana" w:hAnsi="Verdana"/>
          <w:sz w:val="16"/>
          <w:lang w:val="pt-BR"/>
        </w:rPr>
        <w:t xml:space="preserve">Toda pessoa tem o direito de que se respeite sua vida. Esse direito deve ser protegido pela lei e, em geral, desde o momento da concepção. </w:t>
      </w:r>
    </w:p>
    <w:p w:rsidR="004756C1" w:rsidRPr="002F50BD" w:rsidRDefault="003A3219" w:rsidP="003A3219">
      <w:pPr>
        <w:ind w:left="720" w:right="584"/>
        <w:jc w:val="both"/>
        <w:rPr>
          <w:rFonts w:ascii="Verdana" w:hAnsi="Verdana"/>
          <w:sz w:val="16"/>
          <w:lang w:val="pt-BR"/>
        </w:rPr>
      </w:pPr>
      <w:r w:rsidRPr="002F50BD">
        <w:rPr>
          <w:rFonts w:ascii="Verdana" w:hAnsi="Verdana"/>
          <w:sz w:val="16"/>
          <w:lang w:val="pt-BR"/>
        </w:rPr>
        <w:lastRenderedPageBreak/>
        <w:t>Ninguém pode ser privado da vida arbitrariamente.</w:t>
      </w:r>
    </w:p>
    <w:p w:rsidR="004756C1" w:rsidRPr="002F50BD" w:rsidRDefault="00FE08B7">
      <w:pPr>
        <w:jc w:val="both"/>
        <w:rPr>
          <w:rFonts w:ascii="Verdana" w:hAnsi="Verdana"/>
          <w:sz w:val="20"/>
          <w:lang w:val="pt-BR"/>
        </w:rPr>
      </w:pPr>
      <w:r>
        <w:rPr>
          <w:rFonts w:ascii="Verdana" w:hAnsi="Verdana"/>
          <w:sz w:val="20"/>
          <w:lang w:val="pt-BR"/>
        </w:rPr>
        <w:t xml:space="preserve">   </w:t>
      </w:r>
      <w:r w:rsidR="004756C1" w:rsidRPr="002F50BD">
        <w:rPr>
          <w:rFonts w:ascii="Verdana" w:hAnsi="Verdana"/>
          <w:sz w:val="20"/>
          <w:lang w:val="pt-BR"/>
        </w:rPr>
        <w:t xml:space="preserve"> </w:t>
      </w:r>
    </w:p>
    <w:p w:rsidR="004756C1" w:rsidRPr="002F50BD" w:rsidRDefault="00063B47">
      <w:pPr>
        <w:jc w:val="both"/>
        <w:rPr>
          <w:rFonts w:ascii="Verdana" w:hAnsi="Verdana"/>
          <w:sz w:val="20"/>
          <w:lang w:val="pt-BR"/>
        </w:rPr>
      </w:pPr>
      <w:r w:rsidRPr="002F50BD">
        <w:rPr>
          <w:rFonts w:ascii="Verdana" w:hAnsi="Verdana"/>
          <w:sz w:val="20"/>
          <w:lang w:val="pt-BR"/>
        </w:rPr>
        <w:t>26</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4756C1" w:rsidRPr="002F50BD">
        <w:rPr>
          <w:rFonts w:ascii="Verdana" w:hAnsi="Verdana"/>
          <w:sz w:val="20"/>
          <w:lang w:val="pt-BR"/>
        </w:rPr>
        <w:t>demanda indica que</w:t>
      </w:r>
      <w:r w:rsidR="0089298C" w:rsidRPr="002F50BD">
        <w:rPr>
          <w:rFonts w:ascii="Verdana" w:hAnsi="Verdana"/>
          <w:sz w:val="20"/>
          <w:lang w:val="pt-BR"/>
        </w:rPr>
        <w:t xml:space="preserve"> a </w:t>
      </w:r>
      <w:r w:rsidR="004756C1" w:rsidRPr="002F50BD">
        <w:rPr>
          <w:rFonts w:ascii="Verdana" w:hAnsi="Verdana"/>
          <w:sz w:val="20"/>
          <w:lang w:val="pt-BR"/>
        </w:rPr>
        <w:t xml:space="preserve">H. Corte Interamericana </w:t>
      </w:r>
      <w:r w:rsidR="0089298C" w:rsidRPr="002F50BD">
        <w:rPr>
          <w:rFonts w:ascii="Verdana" w:hAnsi="Verdana"/>
          <w:sz w:val="20"/>
          <w:lang w:val="pt-BR"/>
        </w:rPr>
        <w:t>estabeleceu</w:t>
      </w:r>
      <w:r w:rsidR="004756C1" w:rsidRPr="002F50BD">
        <w:rPr>
          <w:rFonts w:ascii="Verdana" w:hAnsi="Verdana"/>
          <w:sz w:val="20"/>
          <w:lang w:val="pt-BR"/>
        </w:rPr>
        <w:t xml:space="preserve"> que</w:t>
      </w:r>
      <w:r w:rsidR="0089298C" w:rsidRPr="002F50BD">
        <w:rPr>
          <w:rFonts w:ascii="Verdana" w:hAnsi="Verdana"/>
          <w:sz w:val="20"/>
          <w:lang w:val="pt-BR"/>
        </w:rPr>
        <w:t xml:space="preserve"> o direito à </w:t>
      </w:r>
      <w:r w:rsidR="004756C1" w:rsidRPr="002F50BD">
        <w:rPr>
          <w:rFonts w:ascii="Verdana" w:hAnsi="Verdana"/>
          <w:sz w:val="20"/>
          <w:lang w:val="pt-BR"/>
        </w:rPr>
        <w:t xml:space="preserve">vida </w:t>
      </w:r>
      <w:r w:rsidR="0089298C" w:rsidRPr="002F50BD">
        <w:rPr>
          <w:rFonts w:ascii="Verdana" w:hAnsi="Verdana"/>
          <w:sz w:val="20"/>
          <w:lang w:val="pt-BR"/>
        </w:rPr>
        <w:t>é um direito</w:t>
      </w:r>
      <w:r w:rsidR="004756C1" w:rsidRPr="002F50BD">
        <w:rPr>
          <w:rFonts w:ascii="Verdana" w:hAnsi="Verdana"/>
          <w:sz w:val="20"/>
          <w:lang w:val="pt-BR"/>
        </w:rPr>
        <w:t xml:space="preserve"> humano fundamental, </w:t>
      </w:r>
      <w:r w:rsidR="0089298C" w:rsidRPr="002F50BD">
        <w:rPr>
          <w:rFonts w:ascii="Verdana" w:hAnsi="Verdana"/>
          <w:sz w:val="20"/>
          <w:lang w:val="pt-BR"/>
        </w:rPr>
        <w:t>essencial</w:t>
      </w:r>
      <w:r w:rsidR="004756C1" w:rsidRPr="002F50BD">
        <w:rPr>
          <w:rFonts w:ascii="Verdana" w:hAnsi="Verdana"/>
          <w:sz w:val="20"/>
          <w:lang w:val="pt-BR"/>
        </w:rPr>
        <w:t xml:space="preserve"> para</w:t>
      </w:r>
      <w:r w:rsidR="0089298C" w:rsidRPr="002F50BD">
        <w:rPr>
          <w:rFonts w:ascii="Verdana" w:hAnsi="Verdana"/>
          <w:sz w:val="20"/>
          <w:lang w:val="pt-BR"/>
        </w:rPr>
        <w:t xml:space="preserve"> o exercício dos demais</w:t>
      </w:r>
      <w:r w:rsidR="004756C1" w:rsidRPr="002F50BD">
        <w:rPr>
          <w:rFonts w:ascii="Verdana" w:hAnsi="Verdana"/>
          <w:sz w:val="20"/>
          <w:lang w:val="pt-BR"/>
        </w:rPr>
        <w:t xml:space="preserve"> </w:t>
      </w:r>
      <w:r w:rsidR="0089298C" w:rsidRPr="002F50BD">
        <w:rPr>
          <w:rFonts w:ascii="Verdana" w:hAnsi="Verdana"/>
          <w:sz w:val="20"/>
          <w:lang w:val="pt-BR"/>
        </w:rPr>
        <w:t>direito</w:t>
      </w:r>
      <w:r w:rsidR="004756C1" w:rsidRPr="002F50BD">
        <w:rPr>
          <w:rFonts w:ascii="Verdana" w:hAnsi="Verdana"/>
          <w:sz w:val="20"/>
          <w:lang w:val="pt-BR"/>
        </w:rPr>
        <w:t>s humanos</w:t>
      </w:r>
      <w:r w:rsidR="0089298C" w:rsidRPr="002F50BD">
        <w:rPr>
          <w:rFonts w:ascii="Verdana" w:hAnsi="Verdana"/>
          <w:sz w:val="20"/>
          <w:lang w:val="pt-BR"/>
        </w:rPr>
        <w:t>, e</w:t>
      </w:r>
      <w:r w:rsidR="004756C1" w:rsidRPr="002F50BD">
        <w:rPr>
          <w:rFonts w:ascii="Verdana" w:hAnsi="Verdana"/>
          <w:sz w:val="20"/>
          <w:lang w:val="pt-BR"/>
        </w:rPr>
        <w:t xml:space="preserve"> que</w:t>
      </w:r>
      <w:r w:rsidR="0089298C" w:rsidRPr="002F50BD">
        <w:rPr>
          <w:rFonts w:ascii="Verdana" w:hAnsi="Verdana"/>
          <w:sz w:val="20"/>
          <w:lang w:val="pt-BR"/>
        </w:rPr>
        <w:t xml:space="preserve"> o mesm</w:t>
      </w:r>
      <w:r w:rsidR="004756C1" w:rsidRPr="002F50BD">
        <w:rPr>
          <w:rFonts w:ascii="Verdana" w:hAnsi="Verdana"/>
          <w:sz w:val="20"/>
          <w:lang w:val="pt-BR"/>
        </w:rPr>
        <w:t>o n</w:t>
      </w:r>
      <w:r w:rsidR="005F39FC" w:rsidRPr="002F50BD">
        <w:rPr>
          <w:rFonts w:ascii="Verdana" w:hAnsi="Verdana"/>
          <w:sz w:val="20"/>
          <w:lang w:val="pt-BR"/>
        </w:rPr>
        <w:t>ã</w:t>
      </w:r>
      <w:r w:rsidR="004756C1" w:rsidRPr="002F50BD">
        <w:rPr>
          <w:rFonts w:ascii="Verdana" w:hAnsi="Verdana"/>
          <w:sz w:val="20"/>
          <w:lang w:val="pt-BR"/>
        </w:rPr>
        <w:t>o compr</w:t>
      </w:r>
      <w:r w:rsidR="005F39FC" w:rsidRPr="002F50BD">
        <w:rPr>
          <w:rFonts w:ascii="Verdana" w:hAnsi="Verdana"/>
          <w:sz w:val="20"/>
          <w:lang w:val="pt-BR"/>
        </w:rPr>
        <w:t>e</w:t>
      </w:r>
      <w:r w:rsidR="004756C1" w:rsidRPr="002F50BD">
        <w:rPr>
          <w:rFonts w:ascii="Verdana" w:hAnsi="Verdana"/>
          <w:sz w:val="20"/>
          <w:lang w:val="pt-BR"/>
        </w:rPr>
        <w:t xml:space="preserve">ende </w:t>
      </w:r>
      <w:r w:rsidR="005F39FC" w:rsidRPr="002F50BD">
        <w:rPr>
          <w:rFonts w:ascii="Verdana" w:hAnsi="Verdana"/>
          <w:sz w:val="20"/>
          <w:lang w:val="pt-BR"/>
        </w:rPr>
        <w:t xml:space="preserve">apenas </w:t>
      </w:r>
      <w:r w:rsidR="0089298C" w:rsidRPr="002F50BD">
        <w:rPr>
          <w:rFonts w:ascii="Verdana" w:hAnsi="Verdana"/>
          <w:sz w:val="20"/>
          <w:lang w:val="pt-BR"/>
        </w:rPr>
        <w:t>o direito</w:t>
      </w:r>
      <w:r w:rsidR="004756C1" w:rsidRPr="002F50BD">
        <w:rPr>
          <w:rFonts w:ascii="Verdana" w:hAnsi="Verdana"/>
          <w:sz w:val="20"/>
          <w:lang w:val="pt-BR"/>
        </w:rPr>
        <w:t xml:space="preserve"> de todo ser humano de n</w:t>
      </w:r>
      <w:r w:rsidR="005F39FC" w:rsidRPr="002F50BD">
        <w:rPr>
          <w:rFonts w:ascii="Verdana" w:hAnsi="Verdana"/>
          <w:sz w:val="20"/>
          <w:lang w:val="pt-BR"/>
        </w:rPr>
        <w:t>ã</w:t>
      </w:r>
      <w:r w:rsidR="004756C1" w:rsidRPr="002F50BD">
        <w:rPr>
          <w:rFonts w:ascii="Verdana" w:hAnsi="Verdana"/>
          <w:sz w:val="20"/>
          <w:lang w:val="pt-BR"/>
        </w:rPr>
        <w:t xml:space="preserve">o ser privado </w:t>
      </w:r>
      <w:r w:rsidR="00F55DCA" w:rsidRPr="002F50BD">
        <w:rPr>
          <w:rFonts w:ascii="Verdana" w:hAnsi="Verdana"/>
          <w:sz w:val="20"/>
          <w:lang w:val="pt-BR"/>
        </w:rPr>
        <w:t>arbitrariam</w:t>
      </w:r>
      <w:r w:rsidR="004756C1" w:rsidRPr="002F50BD">
        <w:rPr>
          <w:rFonts w:ascii="Verdana" w:hAnsi="Verdana"/>
          <w:sz w:val="20"/>
          <w:lang w:val="pt-BR"/>
        </w:rPr>
        <w:t>ente</w:t>
      </w:r>
      <w:r w:rsidR="0089298C" w:rsidRPr="002F50BD">
        <w:rPr>
          <w:rFonts w:ascii="Verdana" w:hAnsi="Verdana"/>
          <w:sz w:val="20"/>
          <w:lang w:val="pt-BR"/>
        </w:rPr>
        <w:t xml:space="preserve"> da </w:t>
      </w:r>
      <w:r w:rsidR="004756C1" w:rsidRPr="002F50BD">
        <w:rPr>
          <w:rFonts w:ascii="Verdana" w:hAnsi="Verdana"/>
          <w:sz w:val="20"/>
          <w:lang w:val="pt-BR"/>
        </w:rPr>
        <w:t>vida,</w:t>
      </w:r>
      <w:r w:rsidR="0089298C" w:rsidRPr="002F50BD">
        <w:rPr>
          <w:rFonts w:ascii="Verdana" w:hAnsi="Verdana"/>
          <w:sz w:val="20"/>
          <w:lang w:val="pt-BR"/>
        </w:rPr>
        <w:t xml:space="preserve"> mas também o direito</w:t>
      </w:r>
      <w:r w:rsidR="004756C1" w:rsidRPr="002F50BD">
        <w:rPr>
          <w:rFonts w:ascii="Verdana" w:hAnsi="Verdana"/>
          <w:sz w:val="20"/>
          <w:lang w:val="pt-BR"/>
        </w:rPr>
        <w:t xml:space="preserve"> a que n</w:t>
      </w:r>
      <w:r w:rsidR="005F39FC" w:rsidRPr="002F50BD">
        <w:rPr>
          <w:rFonts w:ascii="Verdana" w:hAnsi="Verdana"/>
          <w:sz w:val="20"/>
          <w:lang w:val="pt-BR"/>
        </w:rPr>
        <w:t>ã</w:t>
      </w:r>
      <w:r w:rsidR="004756C1" w:rsidRPr="002F50BD">
        <w:rPr>
          <w:rFonts w:ascii="Verdana" w:hAnsi="Verdana"/>
          <w:sz w:val="20"/>
          <w:lang w:val="pt-BR"/>
        </w:rPr>
        <w:t>o se l</w:t>
      </w:r>
      <w:r w:rsidR="005F39FC" w:rsidRPr="002F50BD">
        <w:rPr>
          <w:rFonts w:ascii="Verdana" w:hAnsi="Verdana"/>
          <w:sz w:val="20"/>
          <w:lang w:val="pt-BR"/>
        </w:rPr>
        <w:t>h</w:t>
      </w:r>
      <w:r w:rsidR="004756C1" w:rsidRPr="002F50BD">
        <w:rPr>
          <w:rFonts w:ascii="Verdana" w:hAnsi="Verdana"/>
          <w:sz w:val="20"/>
          <w:lang w:val="pt-BR"/>
        </w:rPr>
        <w:t xml:space="preserve">e </w:t>
      </w:r>
      <w:r w:rsidR="004A71D0" w:rsidRPr="002F50BD">
        <w:rPr>
          <w:rFonts w:ascii="Verdana" w:hAnsi="Verdana"/>
          <w:sz w:val="20"/>
          <w:lang w:val="pt-BR"/>
        </w:rPr>
        <w:t>impeça</w:t>
      </w:r>
      <w:r w:rsidR="0089298C" w:rsidRPr="002F50BD">
        <w:rPr>
          <w:rFonts w:ascii="Verdana" w:hAnsi="Verdana"/>
          <w:sz w:val="20"/>
          <w:lang w:val="pt-BR"/>
        </w:rPr>
        <w:t xml:space="preserve"> o acesso às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que </w:t>
      </w:r>
      <w:r w:rsidR="0031730D" w:rsidRPr="002F50BD">
        <w:rPr>
          <w:rFonts w:ascii="Verdana" w:hAnsi="Verdana"/>
          <w:sz w:val="20"/>
          <w:lang w:val="pt-BR"/>
        </w:rPr>
        <w:t>garantam</w:t>
      </w:r>
      <w:r w:rsidR="0089298C" w:rsidRPr="002F50BD">
        <w:rPr>
          <w:rFonts w:ascii="Verdana" w:hAnsi="Verdana"/>
          <w:sz w:val="20"/>
          <w:lang w:val="pt-BR"/>
        </w:rPr>
        <w:t xml:space="preserve"> uma existência</w:t>
      </w:r>
      <w:r w:rsidR="004756C1" w:rsidRPr="002F50BD">
        <w:rPr>
          <w:rFonts w:ascii="Verdana" w:hAnsi="Verdana"/>
          <w:sz w:val="20"/>
          <w:lang w:val="pt-BR"/>
        </w:rPr>
        <w:t xml:space="preserve"> digna. Sobre este </w:t>
      </w:r>
      <w:r w:rsidR="0089298C" w:rsidRPr="002F50BD">
        <w:rPr>
          <w:rFonts w:ascii="Verdana" w:hAnsi="Verdana"/>
          <w:sz w:val="20"/>
          <w:lang w:val="pt-BR"/>
        </w:rPr>
        <w:t>direito</w:t>
      </w:r>
      <w:r w:rsidR="004756C1" w:rsidRPr="002F50BD">
        <w:rPr>
          <w:rFonts w:ascii="Verdana" w:hAnsi="Verdana"/>
          <w:sz w:val="20"/>
          <w:lang w:val="pt-BR"/>
        </w:rPr>
        <w:t xml:space="preserve"> </w:t>
      </w:r>
      <w:r w:rsidR="0089298C" w:rsidRPr="002F50BD">
        <w:rPr>
          <w:rFonts w:ascii="Verdana" w:hAnsi="Verdana"/>
          <w:sz w:val="20"/>
          <w:lang w:val="pt-BR"/>
        </w:rPr>
        <w:t>certa</w:t>
      </w:r>
      <w:r w:rsidR="004756C1" w:rsidRPr="002F50BD">
        <w:rPr>
          <w:rFonts w:ascii="Verdana" w:hAnsi="Verdana"/>
          <w:sz w:val="20"/>
          <w:lang w:val="pt-BR"/>
        </w:rPr>
        <w:t>mente</w:t>
      </w:r>
      <w:r w:rsidR="0089298C" w:rsidRPr="002F50BD">
        <w:rPr>
          <w:rFonts w:ascii="Verdana" w:hAnsi="Verdana"/>
          <w:sz w:val="20"/>
          <w:lang w:val="pt-BR"/>
        </w:rPr>
        <w:t xml:space="preserve"> a </w:t>
      </w:r>
      <w:r w:rsidR="004756C1" w:rsidRPr="002F50BD">
        <w:rPr>
          <w:rFonts w:ascii="Verdana" w:hAnsi="Verdana"/>
          <w:sz w:val="20"/>
          <w:lang w:val="pt-BR"/>
        </w:rPr>
        <w:t xml:space="preserve">Corte </w:t>
      </w:r>
      <w:r w:rsidR="005F39FC" w:rsidRPr="002F50BD">
        <w:rPr>
          <w:rFonts w:ascii="Verdana" w:hAnsi="Verdana"/>
          <w:sz w:val="20"/>
          <w:lang w:val="pt-BR"/>
        </w:rPr>
        <w:t>afirmou</w:t>
      </w:r>
      <w:r w:rsidR="004756C1" w:rsidRPr="002F50BD">
        <w:rPr>
          <w:rFonts w:ascii="Verdana" w:hAnsi="Verdana"/>
          <w:sz w:val="20"/>
          <w:lang w:val="pt-BR"/>
        </w:rPr>
        <w:t>:</w:t>
      </w:r>
    </w:p>
    <w:p w:rsidR="004756C1" w:rsidRPr="002F50BD" w:rsidRDefault="004756C1">
      <w:pPr>
        <w:jc w:val="both"/>
        <w:rPr>
          <w:rFonts w:ascii="Verdana" w:hAnsi="Verdana"/>
          <w:sz w:val="20"/>
          <w:lang w:val="pt-BR"/>
        </w:rPr>
      </w:pPr>
    </w:p>
    <w:p w:rsidR="004756C1" w:rsidRPr="002F50BD" w:rsidRDefault="004756C1">
      <w:pPr>
        <w:pStyle w:val="BodyText"/>
        <w:rPr>
          <w:rFonts w:ascii="Verdana" w:hAnsi="Verdana"/>
          <w:sz w:val="20"/>
          <w:lang w:val="pt-BR"/>
        </w:rPr>
      </w:pPr>
      <w:r w:rsidRPr="002F50BD">
        <w:rPr>
          <w:rFonts w:ascii="Verdana" w:hAnsi="Verdana"/>
          <w:sz w:val="20"/>
          <w:lang w:val="pt-BR"/>
        </w:rPr>
        <w:t>E</w:t>
      </w:r>
      <w:r w:rsidR="005F39FC"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razão</w:t>
      </w:r>
      <w:r w:rsidRPr="002F50BD">
        <w:rPr>
          <w:rFonts w:ascii="Verdana" w:hAnsi="Verdana"/>
          <w:sz w:val="20"/>
          <w:lang w:val="pt-BR"/>
        </w:rPr>
        <w:t xml:space="preserve"> </w:t>
      </w:r>
      <w:r w:rsidR="0089298C" w:rsidRPr="002F50BD">
        <w:rPr>
          <w:rFonts w:ascii="Verdana" w:hAnsi="Verdana"/>
          <w:sz w:val="20"/>
          <w:lang w:val="pt-BR"/>
        </w:rPr>
        <w:t>do caráter</w:t>
      </w:r>
      <w:r w:rsidRPr="002F50BD">
        <w:rPr>
          <w:rFonts w:ascii="Verdana" w:hAnsi="Verdana"/>
          <w:sz w:val="20"/>
          <w:lang w:val="pt-BR"/>
        </w:rPr>
        <w:t xml:space="preserve"> fundamental </w:t>
      </w:r>
      <w:r w:rsidR="0089298C" w:rsidRPr="002F50BD">
        <w:rPr>
          <w:rFonts w:ascii="Verdana" w:hAnsi="Verdana"/>
          <w:sz w:val="20"/>
          <w:lang w:val="pt-BR"/>
        </w:rPr>
        <w:t xml:space="preserve">do direito à </w:t>
      </w:r>
      <w:r w:rsidRPr="002F50BD">
        <w:rPr>
          <w:rFonts w:ascii="Verdana" w:hAnsi="Verdana"/>
          <w:sz w:val="20"/>
          <w:lang w:val="pt-BR"/>
        </w:rPr>
        <w:t xml:space="preserve">vida, </w:t>
      </w:r>
      <w:r w:rsidR="00AB454A" w:rsidRPr="002F50BD">
        <w:rPr>
          <w:rFonts w:ascii="Verdana" w:hAnsi="Verdana"/>
          <w:sz w:val="20"/>
          <w:lang w:val="pt-BR"/>
        </w:rPr>
        <w:t>não são</w:t>
      </w:r>
      <w:r w:rsidR="0089298C" w:rsidRPr="002F50BD">
        <w:rPr>
          <w:rFonts w:ascii="Verdana" w:hAnsi="Verdana"/>
          <w:sz w:val="20"/>
          <w:lang w:val="pt-BR"/>
        </w:rPr>
        <w:t xml:space="preserve"> </w:t>
      </w:r>
      <w:r w:rsidR="005F39FC" w:rsidRPr="002F50BD">
        <w:rPr>
          <w:rFonts w:ascii="Verdana" w:hAnsi="Verdana"/>
          <w:sz w:val="20"/>
          <w:lang w:val="pt-BR"/>
        </w:rPr>
        <w:t>admissívei</w:t>
      </w:r>
      <w:r w:rsidRPr="002F50BD">
        <w:rPr>
          <w:rFonts w:ascii="Verdana" w:hAnsi="Verdana"/>
          <w:sz w:val="20"/>
          <w:lang w:val="pt-BR"/>
        </w:rPr>
        <w:t xml:space="preserve">s enfoques </w:t>
      </w:r>
      <w:r w:rsidR="0089298C" w:rsidRPr="002F50BD">
        <w:rPr>
          <w:rFonts w:ascii="Verdana" w:hAnsi="Verdana"/>
          <w:sz w:val="20"/>
          <w:lang w:val="pt-BR"/>
        </w:rPr>
        <w:t>restritiv</w:t>
      </w:r>
      <w:r w:rsidRPr="002F50BD">
        <w:rPr>
          <w:rFonts w:ascii="Verdana" w:hAnsi="Verdana"/>
          <w:sz w:val="20"/>
          <w:lang w:val="pt-BR"/>
        </w:rPr>
        <w:t xml:space="preserve">os </w:t>
      </w:r>
      <w:r w:rsidR="0089298C" w:rsidRPr="002F50BD">
        <w:rPr>
          <w:rFonts w:ascii="Verdana" w:hAnsi="Verdana"/>
          <w:sz w:val="20"/>
          <w:lang w:val="pt-BR"/>
        </w:rPr>
        <w:t>do mesm</w:t>
      </w:r>
      <w:r w:rsidRPr="002F50BD">
        <w:rPr>
          <w:rFonts w:ascii="Verdana" w:hAnsi="Verdana"/>
          <w:sz w:val="20"/>
          <w:lang w:val="pt-BR"/>
        </w:rPr>
        <w:t>o</w:t>
      </w:r>
      <w:r w:rsidR="00CD7100" w:rsidRPr="002F50BD">
        <w:rPr>
          <w:rFonts w:ascii="Verdana" w:hAnsi="Verdana"/>
          <w:sz w:val="20"/>
          <w:lang w:val="pt-BR"/>
        </w:rPr>
        <w:t>. Em</w:t>
      </w:r>
      <w:r w:rsidR="0089298C" w:rsidRPr="002F50BD">
        <w:rPr>
          <w:rFonts w:ascii="Verdana" w:hAnsi="Verdana"/>
          <w:sz w:val="20"/>
          <w:lang w:val="pt-BR"/>
        </w:rPr>
        <w:t xml:space="preserve"> </w:t>
      </w:r>
      <w:r w:rsidR="00AB454A" w:rsidRPr="002F50BD">
        <w:rPr>
          <w:rFonts w:ascii="Verdana" w:hAnsi="Verdana"/>
          <w:sz w:val="20"/>
          <w:lang w:val="pt-BR"/>
        </w:rPr>
        <w:t>essência</w:t>
      </w:r>
      <w:r w:rsidRPr="002F50BD">
        <w:rPr>
          <w:rFonts w:ascii="Verdana" w:hAnsi="Verdana"/>
          <w:sz w:val="20"/>
          <w:lang w:val="pt-BR"/>
        </w:rPr>
        <w:t>,</w:t>
      </w:r>
      <w:r w:rsidR="0089298C" w:rsidRPr="002F50BD">
        <w:rPr>
          <w:rFonts w:ascii="Verdana" w:hAnsi="Verdana"/>
          <w:sz w:val="20"/>
          <w:lang w:val="pt-BR"/>
        </w:rPr>
        <w:t xml:space="preserve"> o direito</w:t>
      </w:r>
      <w:r w:rsidRPr="002F50BD">
        <w:rPr>
          <w:rFonts w:ascii="Verdana" w:hAnsi="Verdana"/>
          <w:sz w:val="20"/>
          <w:lang w:val="pt-BR"/>
        </w:rPr>
        <w:t xml:space="preserve"> fundamental</w:t>
      </w:r>
      <w:r w:rsidR="0089298C" w:rsidRPr="002F50BD">
        <w:rPr>
          <w:rFonts w:ascii="Verdana" w:hAnsi="Verdana"/>
          <w:sz w:val="20"/>
          <w:lang w:val="pt-BR"/>
        </w:rPr>
        <w:t xml:space="preserve"> à </w:t>
      </w:r>
      <w:r w:rsidRPr="002F50BD">
        <w:rPr>
          <w:rFonts w:ascii="Verdana" w:hAnsi="Verdana"/>
          <w:sz w:val="20"/>
          <w:lang w:val="pt-BR"/>
        </w:rPr>
        <w:t>vida compre</w:t>
      </w:r>
      <w:r w:rsidR="005F39FC" w:rsidRPr="002F50BD">
        <w:rPr>
          <w:rFonts w:ascii="Verdana" w:hAnsi="Verdana"/>
          <w:sz w:val="20"/>
          <w:lang w:val="pt-BR"/>
        </w:rPr>
        <w:t>e</w:t>
      </w:r>
      <w:r w:rsidRPr="002F50BD">
        <w:rPr>
          <w:rFonts w:ascii="Verdana" w:hAnsi="Verdana"/>
          <w:sz w:val="20"/>
          <w:lang w:val="pt-BR"/>
        </w:rPr>
        <w:t>nde,</w:t>
      </w:r>
      <w:r w:rsidR="00AB454A" w:rsidRPr="002F50BD">
        <w:rPr>
          <w:rFonts w:ascii="Verdana" w:hAnsi="Verdana"/>
          <w:sz w:val="20"/>
          <w:lang w:val="pt-BR"/>
        </w:rPr>
        <w:t xml:space="preserve"> não apenas</w:t>
      </w:r>
      <w:r w:rsidR="0089298C" w:rsidRPr="002F50BD">
        <w:rPr>
          <w:rFonts w:ascii="Verdana" w:hAnsi="Verdana"/>
          <w:sz w:val="20"/>
          <w:lang w:val="pt-BR"/>
        </w:rPr>
        <w:t xml:space="preserve"> o direito</w:t>
      </w:r>
      <w:r w:rsidRPr="002F50BD">
        <w:rPr>
          <w:rFonts w:ascii="Verdana" w:hAnsi="Verdana"/>
          <w:sz w:val="20"/>
          <w:lang w:val="pt-BR"/>
        </w:rPr>
        <w:t xml:space="preserve"> de todo ser humano de </w:t>
      </w:r>
      <w:r w:rsidR="005F39FC" w:rsidRPr="002F50BD">
        <w:rPr>
          <w:rFonts w:ascii="Verdana" w:hAnsi="Verdana"/>
          <w:sz w:val="20"/>
          <w:lang w:val="pt-BR"/>
        </w:rPr>
        <w:t>não ser privado</w:t>
      </w:r>
      <w:r w:rsidR="0089298C" w:rsidRPr="002F50BD">
        <w:rPr>
          <w:rFonts w:ascii="Verdana" w:hAnsi="Verdana"/>
          <w:sz w:val="20"/>
          <w:lang w:val="pt-BR"/>
        </w:rPr>
        <w:t xml:space="preserve"> da </w:t>
      </w:r>
      <w:r w:rsidRPr="002F50BD">
        <w:rPr>
          <w:rFonts w:ascii="Verdana" w:hAnsi="Verdana"/>
          <w:sz w:val="20"/>
          <w:lang w:val="pt-BR"/>
        </w:rPr>
        <w:t xml:space="preserve">vida </w:t>
      </w:r>
      <w:r w:rsidR="00F55DCA" w:rsidRPr="002F50BD">
        <w:rPr>
          <w:rFonts w:ascii="Verdana" w:hAnsi="Verdana"/>
          <w:sz w:val="20"/>
          <w:lang w:val="pt-BR"/>
        </w:rPr>
        <w:t>arbitrariam</w:t>
      </w:r>
      <w:r w:rsidRPr="002F50BD">
        <w:rPr>
          <w:rFonts w:ascii="Verdana" w:hAnsi="Verdana"/>
          <w:sz w:val="20"/>
          <w:lang w:val="pt-BR"/>
        </w:rPr>
        <w:t>ente,</w:t>
      </w:r>
      <w:r w:rsidR="0089298C" w:rsidRPr="002F50BD">
        <w:rPr>
          <w:rFonts w:ascii="Verdana" w:hAnsi="Verdana"/>
          <w:sz w:val="20"/>
          <w:lang w:val="pt-BR"/>
        </w:rPr>
        <w:t xml:space="preserve"> mas também o direito</w:t>
      </w:r>
      <w:r w:rsidRPr="002F50BD">
        <w:rPr>
          <w:rFonts w:ascii="Verdana" w:hAnsi="Verdana"/>
          <w:sz w:val="20"/>
          <w:lang w:val="pt-BR"/>
        </w:rPr>
        <w:t xml:space="preserve"> a que </w:t>
      </w:r>
      <w:r w:rsidR="005F39FC" w:rsidRPr="002F50BD">
        <w:rPr>
          <w:rFonts w:ascii="Verdana" w:hAnsi="Verdana"/>
          <w:sz w:val="20"/>
          <w:lang w:val="pt-BR"/>
        </w:rPr>
        <w:t xml:space="preserve">não </w:t>
      </w:r>
      <w:r w:rsidR="003F4284" w:rsidRPr="002F50BD">
        <w:rPr>
          <w:rFonts w:ascii="Verdana" w:hAnsi="Verdana"/>
          <w:sz w:val="20"/>
          <w:lang w:val="pt-BR"/>
        </w:rPr>
        <w:t xml:space="preserve">se lhe </w:t>
      </w:r>
      <w:r w:rsidR="005F39FC" w:rsidRPr="002F50BD">
        <w:rPr>
          <w:rFonts w:ascii="Verdana" w:hAnsi="Verdana"/>
          <w:sz w:val="20"/>
          <w:lang w:val="pt-BR"/>
        </w:rPr>
        <w:t>impeça</w:t>
      </w:r>
      <w:r w:rsidR="0089298C" w:rsidRPr="002F50BD">
        <w:rPr>
          <w:rFonts w:ascii="Verdana" w:hAnsi="Verdana"/>
          <w:sz w:val="20"/>
          <w:lang w:val="pt-BR"/>
        </w:rPr>
        <w:t xml:space="preserve"> </w:t>
      </w:r>
      <w:r w:rsidR="003F4284" w:rsidRPr="002F50BD">
        <w:rPr>
          <w:rFonts w:ascii="Verdana" w:hAnsi="Verdana"/>
          <w:sz w:val="20"/>
          <w:lang w:val="pt-BR"/>
        </w:rPr>
        <w:t>de ter</w:t>
      </w:r>
      <w:r w:rsidR="0089298C" w:rsidRPr="002F50BD">
        <w:rPr>
          <w:rFonts w:ascii="Verdana" w:hAnsi="Verdana"/>
          <w:sz w:val="20"/>
          <w:lang w:val="pt-BR"/>
        </w:rPr>
        <w:t xml:space="preserve"> acesso às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que l</w:t>
      </w:r>
      <w:r w:rsidR="005F39FC" w:rsidRPr="002F50BD">
        <w:rPr>
          <w:rFonts w:ascii="Verdana" w:hAnsi="Verdana"/>
          <w:sz w:val="20"/>
          <w:lang w:val="pt-BR"/>
        </w:rPr>
        <w:t>h</w:t>
      </w:r>
      <w:r w:rsidRPr="002F50BD">
        <w:rPr>
          <w:rFonts w:ascii="Verdana" w:hAnsi="Verdana"/>
          <w:sz w:val="20"/>
          <w:lang w:val="pt-BR"/>
        </w:rPr>
        <w:t xml:space="preserve">e </w:t>
      </w:r>
      <w:r w:rsidR="0031730D" w:rsidRPr="002F50BD">
        <w:rPr>
          <w:rFonts w:ascii="Verdana" w:hAnsi="Verdana"/>
          <w:sz w:val="20"/>
          <w:lang w:val="pt-BR"/>
        </w:rPr>
        <w:t>garantam</w:t>
      </w:r>
      <w:r w:rsidR="0089298C" w:rsidRPr="002F50BD">
        <w:rPr>
          <w:rFonts w:ascii="Verdana" w:hAnsi="Verdana"/>
          <w:sz w:val="20"/>
          <w:lang w:val="pt-BR"/>
        </w:rPr>
        <w:t xml:space="preserve"> uma existência</w:t>
      </w:r>
      <w:r w:rsidRPr="002F50BD">
        <w:rPr>
          <w:rFonts w:ascii="Verdana" w:hAnsi="Verdana"/>
          <w:sz w:val="20"/>
          <w:lang w:val="pt-BR"/>
        </w:rPr>
        <w:t xml:space="preserve"> digna</w:t>
      </w:r>
      <w:r w:rsidR="00DB51F0" w:rsidRPr="002F50BD">
        <w:rPr>
          <w:rFonts w:ascii="Verdana" w:hAnsi="Verdana"/>
          <w:sz w:val="20"/>
          <w:lang w:val="pt-BR"/>
        </w:rPr>
        <w:t xml:space="preserve">. Os </w:t>
      </w:r>
      <w:r w:rsidRPr="002F50BD">
        <w:rPr>
          <w:rFonts w:ascii="Verdana" w:hAnsi="Verdana"/>
          <w:sz w:val="20"/>
          <w:lang w:val="pt-BR"/>
        </w:rPr>
        <w:t xml:space="preserve">Estados </w:t>
      </w:r>
      <w:r w:rsidR="004A71D0" w:rsidRPr="002F50BD">
        <w:rPr>
          <w:rFonts w:ascii="Verdana" w:hAnsi="Verdana"/>
          <w:sz w:val="20"/>
          <w:lang w:val="pt-BR"/>
        </w:rPr>
        <w:t>têm a</w:t>
      </w:r>
      <w:r w:rsidR="0089298C" w:rsidRPr="002F50BD">
        <w:rPr>
          <w:rFonts w:ascii="Verdana" w:hAnsi="Verdana"/>
          <w:sz w:val="20"/>
          <w:lang w:val="pt-BR"/>
        </w:rPr>
        <w:t xml:space="preserve"> obrigação</w:t>
      </w:r>
      <w:r w:rsidRPr="002F50BD">
        <w:rPr>
          <w:rFonts w:ascii="Verdana" w:hAnsi="Verdana"/>
          <w:sz w:val="20"/>
          <w:lang w:val="pt-BR"/>
        </w:rPr>
        <w:t xml:space="preserve"> de </w:t>
      </w:r>
      <w:r w:rsidR="0089298C" w:rsidRPr="002F50BD">
        <w:rPr>
          <w:rFonts w:ascii="Verdana" w:hAnsi="Verdana"/>
          <w:sz w:val="20"/>
          <w:lang w:val="pt-BR"/>
        </w:rPr>
        <w:t xml:space="preserve">garantir a criação das </w:t>
      </w:r>
      <w:r w:rsidRPr="002F50BD">
        <w:rPr>
          <w:rFonts w:ascii="Verdana" w:hAnsi="Verdana"/>
          <w:sz w:val="20"/>
          <w:lang w:val="pt-BR"/>
        </w:rPr>
        <w:t>condi</w:t>
      </w:r>
      <w:r w:rsidR="0089298C" w:rsidRPr="002F50BD">
        <w:rPr>
          <w:rFonts w:ascii="Verdana" w:hAnsi="Verdana"/>
          <w:sz w:val="20"/>
          <w:lang w:val="pt-BR"/>
        </w:rPr>
        <w:t>ções</w:t>
      </w:r>
      <w:r w:rsidRPr="002F50BD">
        <w:rPr>
          <w:rFonts w:ascii="Verdana" w:hAnsi="Verdana"/>
          <w:sz w:val="20"/>
          <w:lang w:val="pt-BR"/>
        </w:rPr>
        <w:t xml:space="preserve"> </w:t>
      </w:r>
      <w:r w:rsidR="003F4284" w:rsidRPr="002F50BD">
        <w:rPr>
          <w:rFonts w:ascii="Verdana" w:hAnsi="Verdana"/>
          <w:sz w:val="20"/>
          <w:lang w:val="pt-BR"/>
        </w:rPr>
        <w:t>necessárias</w:t>
      </w:r>
      <w:r w:rsidRPr="002F50BD">
        <w:rPr>
          <w:rFonts w:ascii="Verdana" w:hAnsi="Verdana"/>
          <w:sz w:val="20"/>
          <w:lang w:val="pt-BR"/>
        </w:rPr>
        <w:t xml:space="preserve"> para que n</w:t>
      </w:r>
      <w:r w:rsidR="005F39FC" w:rsidRPr="002F50BD">
        <w:rPr>
          <w:rFonts w:ascii="Verdana" w:hAnsi="Verdana"/>
          <w:sz w:val="20"/>
          <w:lang w:val="pt-BR"/>
        </w:rPr>
        <w:t>ã</w:t>
      </w:r>
      <w:r w:rsidRPr="002F50BD">
        <w:rPr>
          <w:rFonts w:ascii="Verdana" w:hAnsi="Verdana"/>
          <w:sz w:val="20"/>
          <w:lang w:val="pt-BR"/>
        </w:rPr>
        <w:t xml:space="preserve">o se </w:t>
      </w:r>
      <w:r w:rsidR="00794692" w:rsidRPr="002F50BD">
        <w:rPr>
          <w:rFonts w:ascii="Verdana" w:hAnsi="Verdana"/>
          <w:sz w:val="20"/>
          <w:lang w:val="pt-BR"/>
        </w:rPr>
        <w:t>produzam</w:t>
      </w:r>
      <w:r w:rsidRPr="002F50BD">
        <w:rPr>
          <w:rFonts w:ascii="Verdana" w:hAnsi="Verdana"/>
          <w:sz w:val="20"/>
          <w:lang w:val="pt-BR"/>
        </w:rPr>
        <w:t xml:space="preserve"> viola</w:t>
      </w:r>
      <w:r w:rsidR="0089298C" w:rsidRPr="002F50BD">
        <w:rPr>
          <w:rFonts w:ascii="Verdana" w:hAnsi="Verdana"/>
          <w:sz w:val="20"/>
          <w:lang w:val="pt-BR"/>
        </w:rPr>
        <w:t>ções desse direito</w:t>
      </w:r>
      <w:r w:rsidRPr="002F50BD">
        <w:rPr>
          <w:rFonts w:ascii="Verdana" w:hAnsi="Verdana"/>
          <w:sz w:val="20"/>
          <w:lang w:val="pt-BR"/>
        </w:rPr>
        <w:t xml:space="preserve"> básico</w:t>
      </w:r>
      <w:r w:rsidR="0089298C" w:rsidRPr="002F50BD">
        <w:rPr>
          <w:rFonts w:ascii="Verdana" w:hAnsi="Verdana"/>
          <w:sz w:val="20"/>
          <w:lang w:val="pt-BR"/>
        </w:rPr>
        <w:t xml:space="preserve"> e, em </w:t>
      </w:r>
      <w:r w:rsidRPr="002F50BD">
        <w:rPr>
          <w:rFonts w:ascii="Verdana" w:hAnsi="Verdana"/>
          <w:sz w:val="20"/>
          <w:lang w:val="pt-BR"/>
        </w:rPr>
        <w:t>particular,</w:t>
      </w:r>
      <w:r w:rsidR="0089298C" w:rsidRPr="002F50BD">
        <w:rPr>
          <w:rFonts w:ascii="Verdana" w:hAnsi="Verdana"/>
          <w:sz w:val="20"/>
          <w:lang w:val="pt-BR"/>
        </w:rPr>
        <w:t xml:space="preserve"> o dever</w:t>
      </w:r>
      <w:r w:rsidRPr="002F50BD">
        <w:rPr>
          <w:rFonts w:ascii="Verdana" w:hAnsi="Verdana"/>
          <w:sz w:val="20"/>
          <w:lang w:val="pt-BR"/>
        </w:rPr>
        <w:t xml:space="preserve"> de impedir que </w:t>
      </w:r>
      <w:r w:rsidR="0089298C" w:rsidRPr="002F50BD">
        <w:rPr>
          <w:rFonts w:ascii="Verdana" w:hAnsi="Verdana"/>
          <w:sz w:val="20"/>
          <w:lang w:val="pt-BR"/>
        </w:rPr>
        <w:t>seus agentes</w:t>
      </w:r>
      <w:r w:rsidRPr="002F50BD">
        <w:rPr>
          <w:rFonts w:ascii="Verdana" w:hAnsi="Verdana"/>
          <w:sz w:val="20"/>
          <w:lang w:val="pt-BR"/>
        </w:rPr>
        <w:t xml:space="preserve"> </w:t>
      </w:r>
      <w:r w:rsidR="00794692" w:rsidRPr="002F50BD">
        <w:rPr>
          <w:rFonts w:ascii="Verdana" w:hAnsi="Verdana"/>
          <w:sz w:val="20"/>
          <w:lang w:val="pt-BR"/>
        </w:rPr>
        <w:t>atentem</w:t>
      </w:r>
      <w:r w:rsidRPr="002F50BD">
        <w:rPr>
          <w:rFonts w:ascii="Verdana" w:hAnsi="Verdana"/>
          <w:sz w:val="20"/>
          <w:lang w:val="pt-BR"/>
        </w:rPr>
        <w:t xml:space="preserve"> contra </w:t>
      </w:r>
      <w:r w:rsidR="005F39FC" w:rsidRPr="002F50BD">
        <w:rPr>
          <w:rFonts w:ascii="Verdana" w:hAnsi="Verdana"/>
          <w:sz w:val="20"/>
          <w:lang w:val="pt-BR"/>
        </w:rPr>
        <w:t>ele.</w:t>
      </w:r>
      <w:r w:rsidRPr="002F50BD">
        <w:rPr>
          <w:rStyle w:val="FootnoteReference"/>
          <w:rFonts w:ascii="Verdana" w:hAnsi="Verdana"/>
        </w:rPr>
        <w:footnoteReference w:id="249"/>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27</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 de modo que compr</w:t>
      </w:r>
      <w:r w:rsidR="005F39FC" w:rsidRPr="002F50BD">
        <w:rPr>
          <w:rFonts w:ascii="Verdana" w:hAnsi="Verdana"/>
          <w:sz w:val="20"/>
          <w:lang w:val="pt-BR"/>
        </w:rPr>
        <w:t>e</w:t>
      </w:r>
      <w:r w:rsidR="004756C1" w:rsidRPr="002F50BD">
        <w:rPr>
          <w:rFonts w:ascii="Verdana" w:hAnsi="Verdana"/>
          <w:sz w:val="20"/>
          <w:lang w:val="pt-BR"/>
        </w:rPr>
        <w:t xml:space="preserve">enda medidas positivas de </w:t>
      </w:r>
      <w:r w:rsidR="0089298C" w:rsidRPr="002F50BD">
        <w:rPr>
          <w:rFonts w:ascii="Verdana" w:hAnsi="Verdana"/>
          <w:sz w:val="20"/>
          <w:lang w:val="pt-BR"/>
        </w:rPr>
        <w:t>proteção</w:t>
      </w:r>
      <w:r w:rsidR="004756C1" w:rsidRPr="002F50BD">
        <w:rPr>
          <w:rFonts w:ascii="Verdana" w:hAnsi="Verdana"/>
          <w:sz w:val="20"/>
          <w:lang w:val="pt-BR"/>
        </w:rPr>
        <w:t xml:space="preserve"> para que</w:t>
      </w:r>
      <w:r w:rsidR="0089298C" w:rsidRPr="002F50BD">
        <w:rPr>
          <w:rFonts w:ascii="Verdana" w:hAnsi="Verdana"/>
          <w:sz w:val="20"/>
          <w:lang w:val="pt-BR"/>
        </w:rPr>
        <w:t xml:space="preserve"> os </w:t>
      </w:r>
      <w:r w:rsidR="004756C1" w:rsidRPr="002F50BD">
        <w:rPr>
          <w:rFonts w:ascii="Verdana" w:hAnsi="Verdana"/>
          <w:sz w:val="20"/>
          <w:lang w:val="pt-BR"/>
        </w:rPr>
        <w:t xml:space="preserve">indígenas </w:t>
      </w:r>
      <w:r w:rsidR="00E72F67" w:rsidRPr="002F50BD">
        <w:rPr>
          <w:rFonts w:ascii="Verdana" w:hAnsi="Verdana"/>
          <w:sz w:val="20"/>
          <w:lang w:val="pt-BR"/>
        </w:rPr>
        <w:t>desfrute</w:t>
      </w:r>
      <w:r w:rsidR="005F39FC" w:rsidRPr="002F50BD">
        <w:rPr>
          <w:rFonts w:ascii="Verdana" w:hAnsi="Verdana"/>
          <w:sz w:val="20"/>
          <w:lang w:val="pt-BR"/>
        </w:rPr>
        <w:t>m</w:t>
      </w:r>
      <w:r w:rsidR="004756C1" w:rsidRPr="002F50BD">
        <w:rPr>
          <w:rFonts w:ascii="Verdana" w:hAnsi="Verdana"/>
          <w:sz w:val="20"/>
          <w:lang w:val="pt-BR"/>
        </w:rPr>
        <w:t xml:space="preserve"> </w:t>
      </w:r>
      <w:r w:rsidR="0089298C" w:rsidRPr="002F50BD">
        <w:rPr>
          <w:rFonts w:ascii="Verdana" w:hAnsi="Verdana"/>
          <w:sz w:val="20"/>
          <w:lang w:val="pt-BR"/>
        </w:rPr>
        <w:t>do direito</w:t>
      </w:r>
      <w:r w:rsidR="004756C1" w:rsidRPr="002F50BD">
        <w:rPr>
          <w:rFonts w:ascii="Verdana" w:hAnsi="Verdana"/>
          <w:sz w:val="20"/>
          <w:lang w:val="pt-BR"/>
        </w:rPr>
        <w:t xml:space="preserve"> a </w:t>
      </w:r>
      <w:r w:rsidR="0089298C" w:rsidRPr="002F50BD">
        <w:rPr>
          <w:rFonts w:ascii="Verdana" w:hAnsi="Verdana"/>
          <w:sz w:val="20"/>
          <w:lang w:val="pt-BR"/>
        </w:rPr>
        <w:t xml:space="preserve">viver com dignidade tem </w:t>
      </w:r>
      <w:r w:rsidR="00BD774C" w:rsidRPr="002F50BD">
        <w:rPr>
          <w:rFonts w:ascii="Verdana" w:hAnsi="Verdana"/>
          <w:sz w:val="20"/>
          <w:lang w:val="pt-BR"/>
        </w:rPr>
        <w:t xml:space="preserve">apoio </w:t>
      </w:r>
      <w:r w:rsidR="0089298C" w:rsidRPr="002F50BD">
        <w:rPr>
          <w:rFonts w:ascii="Verdana" w:hAnsi="Verdana"/>
          <w:sz w:val="20"/>
          <w:lang w:val="pt-BR"/>
        </w:rPr>
        <w:t xml:space="preserve">na doutrina e na jurisprudência </w:t>
      </w:r>
      <w:r w:rsidR="004756C1" w:rsidRPr="002F50BD">
        <w:rPr>
          <w:rFonts w:ascii="Verdana" w:hAnsi="Verdana"/>
          <w:sz w:val="20"/>
          <w:lang w:val="pt-BR"/>
        </w:rPr>
        <w:t>internacional</w:t>
      </w:r>
      <w:r w:rsidR="0089298C" w:rsidRPr="002F50BD">
        <w:rPr>
          <w:rFonts w:ascii="Verdana" w:hAnsi="Verdana"/>
          <w:sz w:val="20"/>
          <w:lang w:val="pt-BR"/>
        </w:rPr>
        <w:t xml:space="preserve"> e</w:t>
      </w:r>
      <w:r w:rsidR="004756C1" w:rsidRPr="002F50BD">
        <w:rPr>
          <w:rFonts w:ascii="Verdana" w:hAnsi="Verdana"/>
          <w:sz w:val="20"/>
          <w:lang w:val="pt-BR"/>
        </w:rPr>
        <w:t xml:space="preserve"> </w:t>
      </w:r>
      <w:r w:rsidR="0089298C" w:rsidRPr="002F50BD">
        <w:rPr>
          <w:rFonts w:ascii="Verdana" w:hAnsi="Verdana"/>
          <w:sz w:val="20"/>
          <w:lang w:val="pt-BR"/>
        </w:rPr>
        <w:t>supõe</w:t>
      </w:r>
      <w:r w:rsidR="005F39FC" w:rsidRPr="002F50BD">
        <w:rPr>
          <w:rFonts w:ascii="Verdana" w:hAnsi="Verdana"/>
          <w:sz w:val="20"/>
          <w:lang w:val="pt-BR"/>
        </w:rPr>
        <w:t xml:space="preserve"> </w:t>
      </w:r>
      <w:r w:rsidR="0089298C" w:rsidRPr="002F50BD">
        <w:rPr>
          <w:rFonts w:ascii="Verdana" w:hAnsi="Verdana"/>
          <w:sz w:val="20"/>
          <w:lang w:val="pt-BR"/>
        </w:rPr>
        <w:t>novo</w:t>
      </w:r>
      <w:r w:rsidR="004756C1" w:rsidRPr="002F50BD">
        <w:rPr>
          <w:rFonts w:ascii="Verdana" w:hAnsi="Verdana"/>
          <w:sz w:val="20"/>
          <w:lang w:val="pt-BR"/>
        </w:rPr>
        <w:t>s</w:t>
      </w:r>
      <w:r w:rsidR="0089298C" w:rsidRPr="002F50BD">
        <w:rPr>
          <w:rFonts w:ascii="Verdana" w:hAnsi="Verdana"/>
          <w:sz w:val="20"/>
          <w:lang w:val="pt-BR"/>
        </w:rPr>
        <w:t xml:space="preserve"> avanço</w:t>
      </w:r>
      <w:r w:rsidR="004756C1" w:rsidRPr="002F50BD">
        <w:rPr>
          <w:rFonts w:ascii="Verdana" w:hAnsi="Verdana"/>
          <w:sz w:val="20"/>
          <w:lang w:val="pt-BR"/>
        </w:rPr>
        <w:t>s</w:t>
      </w:r>
      <w:r w:rsidR="0089298C" w:rsidRPr="002F50BD">
        <w:rPr>
          <w:rFonts w:ascii="Verdana" w:hAnsi="Verdana"/>
          <w:sz w:val="20"/>
          <w:lang w:val="pt-BR"/>
        </w:rPr>
        <w:t xml:space="preserve"> no </w:t>
      </w:r>
      <w:r w:rsidR="00CF451D">
        <w:rPr>
          <w:rFonts w:ascii="Verdana" w:hAnsi="Verdana"/>
          <w:sz w:val="20"/>
          <w:lang w:val="pt-BR"/>
        </w:rPr>
        <w:t>Direito Internacional dos Direitos Humanos</w:t>
      </w:r>
      <w:r w:rsidR="004756C1" w:rsidRPr="002F50BD">
        <w:rPr>
          <w:rFonts w:ascii="Verdana" w:hAnsi="Verdana"/>
          <w:sz w:val="20"/>
          <w:lang w:val="pt-BR"/>
        </w:rPr>
        <w:t>.</w:t>
      </w:r>
    </w:p>
    <w:p w:rsidR="004756C1" w:rsidRPr="002F50BD" w:rsidRDefault="0089298C">
      <w:pPr>
        <w:jc w:val="both"/>
        <w:rPr>
          <w:rFonts w:ascii="Verdana" w:hAnsi="Verdana"/>
          <w:sz w:val="20"/>
          <w:lang w:val="pt-BR"/>
        </w:rPr>
      </w:pPr>
      <w:r w:rsidRPr="002F50BD">
        <w:rPr>
          <w:rFonts w:ascii="Verdana" w:hAnsi="Verdana"/>
          <w:sz w:val="20"/>
          <w:lang w:val="pt-BR"/>
        </w:rPr>
        <w:cr/>
        <w:t xml:space="preserve">A </w:t>
      </w:r>
      <w:r w:rsidR="004756C1" w:rsidRPr="002F50BD">
        <w:rPr>
          <w:rFonts w:ascii="Verdana" w:hAnsi="Verdana"/>
          <w:sz w:val="20"/>
          <w:lang w:val="pt-BR"/>
        </w:rPr>
        <w:t xml:space="preserve">Corte Interamericana </w:t>
      </w:r>
      <w:r w:rsidR="004076AD" w:rsidRPr="002F50BD">
        <w:rPr>
          <w:rFonts w:ascii="Verdana" w:hAnsi="Verdana"/>
          <w:sz w:val="20"/>
          <w:lang w:val="pt-BR"/>
        </w:rPr>
        <w:t>indicou</w:t>
      </w:r>
      <w:r w:rsidR="004756C1" w:rsidRPr="002F50BD">
        <w:rPr>
          <w:rFonts w:ascii="Verdana" w:hAnsi="Verdana"/>
          <w:sz w:val="20"/>
          <w:lang w:val="pt-BR"/>
        </w:rPr>
        <w:t xml:space="preserve"> que</w:t>
      </w:r>
      <w:r w:rsidRPr="002F50BD">
        <w:rPr>
          <w:rFonts w:ascii="Verdana" w:hAnsi="Verdana"/>
          <w:sz w:val="20"/>
          <w:lang w:val="pt-BR"/>
        </w:rPr>
        <w:t xml:space="preserve"> o dever</w:t>
      </w:r>
      <w:r w:rsidR="004756C1" w:rsidRPr="002F50BD">
        <w:rPr>
          <w:rFonts w:ascii="Verdana" w:hAnsi="Verdana"/>
          <w:sz w:val="20"/>
          <w:lang w:val="pt-BR"/>
        </w:rPr>
        <w:t xml:space="preserve"> </w:t>
      </w:r>
      <w:r w:rsidRPr="002F50BD">
        <w:rPr>
          <w:rFonts w:ascii="Verdana" w:hAnsi="Verdana"/>
          <w:sz w:val="20"/>
          <w:lang w:val="pt-BR"/>
        </w:rPr>
        <w:t xml:space="preserve">do </w:t>
      </w:r>
      <w:r w:rsidR="004756C1" w:rsidRPr="002F50BD">
        <w:rPr>
          <w:rFonts w:ascii="Verdana" w:hAnsi="Verdana"/>
          <w:sz w:val="20"/>
          <w:lang w:val="pt-BR"/>
        </w:rPr>
        <w:t>Estado de tomar medidas positivas</w:t>
      </w:r>
      <w:r w:rsidRPr="002F50BD">
        <w:rPr>
          <w:rFonts w:ascii="Verdana" w:hAnsi="Verdana"/>
          <w:sz w:val="20"/>
          <w:lang w:val="pt-BR"/>
        </w:rPr>
        <w:t xml:space="preserve"> deve </w:t>
      </w:r>
      <w:r w:rsidR="004756C1" w:rsidRPr="002F50BD">
        <w:rPr>
          <w:rFonts w:ascii="Verdana" w:hAnsi="Verdana"/>
          <w:sz w:val="20"/>
          <w:lang w:val="pt-BR"/>
        </w:rPr>
        <w:t>priorizar</w:t>
      </w:r>
      <w:r w:rsidR="005F39FC" w:rsidRPr="002F50BD">
        <w:rPr>
          <w:rFonts w:ascii="Verdana" w:hAnsi="Verdana"/>
          <w:sz w:val="20"/>
          <w:lang w:val="pt-BR"/>
        </w:rPr>
        <w:t>-</w:t>
      </w:r>
      <w:r w:rsidR="004756C1" w:rsidRPr="002F50BD">
        <w:rPr>
          <w:rFonts w:ascii="Verdana" w:hAnsi="Verdana"/>
          <w:sz w:val="20"/>
          <w:lang w:val="pt-BR"/>
        </w:rPr>
        <w:t>se precisamente</w:t>
      </w:r>
      <w:r w:rsidRPr="002F50BD">
        <w:rPr>
          <w:rFonts w:ascii="Verdana" w:hAnsi="Verdana"/>
          <w:sz w:val="20"/>
          <w:lang w:val="pt-BR"/>
        </w:rPr>
        <w:t xml:space="preserve"> em </w:t>
      </w:r>
      <w:r w:rsidR="004756C1" w:rsidRPr="002F50BD">
        <w:rPr>
          <w:rFonts w:ascii="Verdana" w:hAnsi="Verdana"/>
          <w:sz w:val="20"/>
          <w:lang w:val="pt-BR"/>
        </w:rPr>
        <w:t>rela</w:t>
      </w:r>
      <w:r w:rsidRPr="002F50BD">
        <w:rPr>
          <w:rFonts w:ascii="Verdana" w:hAnsi="Verdana"/>
          <w:sz w:val="20"/>
          <w:lang w:val="pt-BR"/>
        </w:rPr>
        <w:t xml:space="preserve">ção </w:t>
      </w:r>
      <w:r w:rsidR="005F39FC" w:rsidRPr="002F50BD">
        <w:rPr>
          <w:rFonts w:ascii="Verdana" w:hAnsi="Verdana"/>
          <w:sz w:val="20"/>
          <w:lang w:val="pt-BR"/>
        </w:rPr>
        <w:t xml:space="preserve">à </w:t>
      </w:r>
      <w:r w:rsidRPr="002F50BD">
        <w:rPr>
          <w:rFonts w:ascii="Verdana" w:hAnsi="Verdana"/>
          <w:sz w:val="20"/>
          <w:lang w:val="pt-BR"/>
        </w:rPr>
        <w:t xml:space="preserve">proteção da </w:t>
      </w:r>
      <w:r w:rsidR="004756C1" w:rsidRPr="002F50BD">
        <w:rPr>
          <w:rFonts w:ascii="Verdana" w:hAnsi="Verdana"/>
          <w:sz w:val="20"/>
          <w:lang w:val="pt-BR"/>
        </w:rPr>
        <w:t xml:space="preserve">vida de </w:t>
      </w:r>
      <w:r w:rsidRPr="002F50BD">
        <w:rPr>
          <w:rFonts w:ascii="Verdana" w:hAnsi="Verdana"/>
          <w:sz w:val="20"/>
          <w:lang w:val="pt-BR"/>
        </w:rPr>
        <w:t>pessoa</w:t>
      </w:r>
      <w:r w:rsidR="004756C1" w:rsidRPr="002F50BD">
        <w:rPr>
          <w:rFonts w:ascii="Verdana" w:hAnsi="Verdana"/>
          <w:sz w:val="20"/>
          <w:lang w:val="pt-BR"/>
        </w:rPr>
        <w:t xml:space="preserve">s </w:t>
      </w:r>
      <w:r w:rsidRPr="002F50BD">
        <w:rPr>
          <w:rFonts w:ascii="Verdana" w:hAnsi="Verdana"/>
          <w:sz w:val="20"/>
          <w:lang w:val="pt-BR"/>
        </w:rPr>
        <w:t>mais vulneráveis</w:t>
      </w:r>
      <w:r w:rsidR="004756C1" w:rsidRPr="002F50BD">
        <w:rPr>
          <w:rFonts w:ascii="Verdana" w:hAnsi="Verdana"/>
          <w:sz w:val="20"/>
          <w:lang w:val="pt-BR"/>
        </w:rPr>
        <w:t xml:space="preserve"> como</w:t>
      </w:r>
      <w:r w:rsidRPr="002F50BD">
        <w:rPr>
          <w:rFonts w:ascii="Verdana" w:hAnsi="Verdana"/>
          <w:sz w:val="20"/>
          <w:lang w:val="pt-BR"/>
        </w:rPr>
        <w:t xml:space="preserve"> são os </w:t>
      </w:r>
      <w:r w:rsidR="004756C1" w:rsidRPr="002F50BD">
        <w:rPr>
          <w:rFonts w:ascii="Verdana" w:hAnsi="Verdana"/>
          <w:sz w:val="20"/>
          <w:lang w:val="pt-BR"/>
        </w:rPr>
        <w:t>indígenas</w:t>
      </w:r>
      <w:r w:rsidR="001A0CDE" w:rsidRPr="002F50BD">
        <w:rPr>
          <w:rFonts w:ascii="Verdana" w:hAnsi="Verdana"/>
          <w:sz w:val="20"/>
          <w:lang w:val="pt-BR"/>
        </w:rPr>
        <w:t>. Est</w:t>
      </w:r>
      <w:r w:rsidR="004756C1" w:rsidRPr="002F50BD">
        <w:rPr>
          <w:rFonts w:ascii="Verdana" w:hAnsi="Verdana"/>
          <w:sz w:val="20"/>
          <w:lang w:val="pt-BR"/>
        </w:rPr>
        <w:t xml:space="preserve">a </w:t>
      </w:r>
      <w:r w:rsidR="005F39FC" w:rsidRPr="002F50BD">
        <w:rPr>
          <w:rFonts w:ascii="Verdana" w:hAnsi="Verdana"/>
          <w:sz w:val="20"/>
          <w:lang w:val="pt-BR"/>
        </w:rPr>
        <w:t xml:space="preserve">concepção </w:t>
      </w:r>
      <w:r w:rsidRPr="002F50BD">
        <w:rPr>
          <w:rFonts w:ascii="Verdana" w:hAnsi="Verdana"/>
          <w:sz w:val="20"/>
          <w:lang w:val="pt-BR"/>
        </w:rPr>
        <w:t xml:space="preserve">do direito à </w:t>
      </w:r>
      <w:r w:rsidR="004756C1" w:rsidRPr="002F50BD">
        <w:rPr>
          <w:rFonts w:ascii="Verdana" w:hAnsi="Verdana"/>
          <w:sz w:val="20"/>
          <w:lang w:val="pt-BR"/>
        </w:rPr>
        <w:t>vida, referida a comunidades indígenas</w:t>
      </w:r>
      <w:r w:rsidRPr="002F50BD">
        <w:rPr>
          <w:rFonts w:ascii="Verdana" w:hAnsi="Verdana"/>
          <w:sz w:val="20"/>
          <w:lang w:val="pt-BR"/>
        </w:rPr>
        <w:t xml:space="preserve"> em </w:t>
      </w:r>
      <w:r w:rsidR="004756C1" w:rsidRPr="002F50BD">
        <w:rPr>
          <w:rFonts w:ascii="Verdana" w:hAnsi="Verdana"/>
          <w:sz w:val="20"/>
          <w:lang w:val="pt-BR"/>
        </w:rPr>
        <w:t>situa</w:t>
      </w:r>
      <w:r w:rsidRPr="002F50BD">
        <w:rPr>
          <w:rFonts w:ascii="Verdana" w:hAnsi="Verdana"/>
          <w:sz w:val="20"/>
          <w:lang w:val="pt-BR"/>
        </w:rPr>
        <w:t>ção</w:t>
      </w:r>
      <w:r w:rsidR="004756C1" w:rsidRPr="002F50BD">
        <w:rPr>
          <w:rFonts w:ascii="Verdana" w:hAnsi="Verdana"/>
          <w:sz w:val="20"/>
          <w:lang w:val="pt-BR"/>
        </w:rPr>
        <w:t xml:space="preserve"> de </w:t>
      </w:r>
      <w:r w:rsidR="00CD2AE8" w:rsidRPr="002F50BD">
        <w:rPr>
          <w:rFonts w:ascii="Verdana" w:hAnsi="Verdana"/>
          <w:sz w:val="20"/>
          <w:lang w:val="pt-BR"/>
        </w:rPr>
        <w:t>indigência</w:t>
      </w:r>
      <w:r w:rsidR="004756C1" w:rsidRPr="002F50BD">
        <w:rPr>
          <w:rFonts w:ascii="Verdana" w:hAnsi="Verdana"/>
          <w:sz w:val="20"/>
          <w:lang w:val="pt-BR"/>
        </w:rPr>
        <w:t xml:space="preserve">, que </w:t>
      </w:r>
      <w:r w:rsidRPr="002F50BD">
        <w:rPr>
          <w:rFonts w:ascii="Verdana" w:hAnsi="Verdana"/>
          <w:sz w:val="20"/>
          <w:lang w:val="pt-BR"/>
        </w:rPr>
        <w:t>pode</w:t>
      </w:r>
      <w:r w:rsidR="004756C1" w:rsidRPr="002F50BD">
        <w:rPr>
          <w:rFonts w:ascii="Verdana" w:hAnsi="Verdana"/>
          <w:sz w:val="20"/>
          <w:lang w:val="pt-BR"/>
        </w:rPr>
        <w:t xml:space="preserve"> </w:t>
      </w:r>
      <w:r w:rsidRPr="002F50BD">
        <w:rPr>
          <w:rFonts w:ascii="Verdana" w:hAnsi="Verdana"/>
          <w:sz w:val="20"/>
          <w:lang w:val="pt-BR"/>
        </w:rPr>
        <w:t>expressa</w:t>
      </w:r>
      <w:r w:rsidR="004756C1" w:rsidRPr="002F50BD">
        <w:rPr>
          <w:rFonts w:ascii="Verdana" w:hAnsi="Verdana"/>
          <w:sz w:val="20"/>
          <w:lang w:val="pt-BR"/>
        </w:rPr>
        <w:t>r</w:t>
      </w:r>
      <w:r w:rsidR="005F39FC" w:rsidRPr="002F50BD">
        <w:rPr>
          <w:rFonts w:ascii="Verdana" w:hAnsi="Verdana"/>
          <w:sz w:val="20"/>
          <w:lang w:val="pt-BR"/>
        </w:rPr>
        <w:t>-</w:t>
      </w:r>
      <w:r w:rsidR="004756C1" w:rsidRPr="002F50BD">
        <w:rPr>
          <w:rFonts w:ascii="Verdana" w:hAnsi="Verdana"/>
          <w:sz w:val="20"/>
          <w:lang w:val="pt-BR"/>
        </w:rPr>
        <w:t>se</w:t>
      </w:r>
      <w:r w:rsidRPr="002F50BD">
        <w:rPr>
          <w:rFonts w:ascii="Verdana" w:hAnsi="Verdana"/>
          <w:sz w:val="20"/>
          <w:lang w:val="pt-BR"/>
        </w:rPr>
        <w:t xml:space="preserve"> em </w:t>
      </w:r>
      <w:r w:rsidR="004756C1" w:rsidRPr="002F50BD">
        <w:rPr>
          <w:rFonts w:ascii="Verdana" w:hAnsi="Verdana"/>
          <w:sz w:val="20"/>
          <w:lang w:val="pt-BR"/>
        </w:rPr>
        <w:t>mortalidad</w:t>
      </w:r>
      <w:r w:rsidR="005F39FC" w:rsidRPr="002F50BD">
        <w:rPr>
          <w:rFonts w:ascii="Verdana" w:hAnsi="Verdana"/>
          <w:sz w:val="20"/>
          <w:lang w:val="pt-BR"/>
        </w:rPr>
        <w:t>e</w:t>
      </w:r>
      <w:r w:rsidR="004756C1" w:rsidRPr="002F50BD">
        <w:rPr>
          <w:rFonts w:ascii="Verdana" w:hAnsi="Verdana"/>
          <w:sz w:val="20"/>
          <w:lang w:val="pt-BR"/>
        </w:rPr>
        <w:t xml:space="preserve"> evit</w:t>
      </w:r>
      <w:r w:rsidR="00B0045F" w:rsidRPr="002F50BD">
        <w:rPr>
          <w:rFonts w:ascii="Verdana" w:hAnsi="Verdana"/>
          <w:sz w:val="20"/>
          <w:lang w:val="pt-BR"/>
        </w:rPr>
        <w:t>ável</w:t>
      </w:r>
      <w:r w:rsidR="004756C1" w:rsidRPr="002F50BD">
        <w:rPr>
          <w:rFonts w:ascii="Verdana" w:hAnsi="Verdana"/>
          <w:sz w:val="20"/>
          <w:lang w:val="pt-BR"/>
        </w:rPr>
        <w:t xml:space="preserve">, </w:t>
      </w:r>
      <w:r w:rsidR="005F39FC" w:rsidRPr="002F50BD">
        <w:rPr>
          <w:rFonts w:ascii="Verdana" w:hAnsi="Verdana"/>
          <w:sz w:val="20"/>
          <w:lang w:val="pt-BR"/>
        </w:rPr>
        <w:t xml:space="preserve">propõe </w:t>
      </w:r>
      <w:r w:rsidRPr="002F50BD">
        <w:rPr>
          <w:rFonts w:ascii="Verdana" w:hAnsi="Verdana"/>
          <w:sz w:val="20"/>
          <w:lang w:val="pt-BR"/>
        </w:rPr>
        <w:t>a obrigação</w:t>
      </w:r>
      <w:r w:rsidR="004756C1" w:rsidRPr="002F50BD">
        <w:rPr>
          <w:rFonts w:ascii="Verdana" w:hAnsi="Verdana"/>
          <w:sz w:val="20"/>
          <w:lang w:val="pt-BR"/>
        </w:rPr>
        <w:t xml:space="preserve"> de proporcionar </w:t>
      </w:r>
      <w:r w:rsidRPr="002F50BD">
        <w:rPr>
          <w:rFonts w:ascii="Verdana" w:hAnsi="Verdana"/>
          <w:sz w:val="20"/>
          <w:lang w:val="pt-BR"/>
        </w:rPr>
        <w:t>proteção</w:t>
      </w:r>
      <w:r w:rsidR="004756C1" w:rsidRPr="002F50BD">
        <w:rPr>
          <w:rFonts w:ascii="Verdana" w:hAnsi="Verdana"/>
          <w:sz w:val="20"/>
          <w:lang w:val="pt-BR"/>
        </w:rPr>
        <w:t xml:space="preserve"> social</w:t>
      </w:r>
      <w:r w:rsidRPr="002F50BD">
        <w:rPr>
          <w:rFonts w:ascii="Verdana" w:hAnsi="Verdana"/>
          <w:sz w:val="20"/>
          <w:lang w:val="pt-BR"/>
        </w:rPr>
        <w:t xml:space="preserve"> e </w:t>
      </w:r>
      <w:r w:rsidR="004756C1" w:rsidRPr="002F50BD">
        <w:rPr>
          <w:rFonts w:ascii="Verdana" w:hAnsi="Verdana"/>
          <w:sz w:val="20"/>
          <w:lang w:val="pt-BR"/>
        </w:rPr>
        <w:t>de erradicar</w:t>
      </w:r>
      <w:r w:rsidRPr="002F50BD">
        <w:rPr>
          <w:rFonts w:ascii="Verdana" w:hAnsi="Verdana"/>
          <w:sz w:val="20"/>
          <w:lang w:val="pt-BR"/>
        </w:rPr>
        <w:t xml:space="preserve"> a </w:t>
      </w:r>
      <w:r w:rsidR="004756C1" w:rsidRPr="002F50BD">
        <w:rPr>
          <w:rFonts w:ascii="Verdana" w:hAnsi="Verdana"/>
          <w:sz w:val="20"/>
          <w:lang w:val="pt-BR"/>
        </w:rPr>
        <w:t>pobreza extrema. Por su</w:t>
      </w:r>
      <w:r w:rsidR="005F39FC" w:rsidRPr="002F50BD">
        <w:rPr>
          <w:rFonts w:ascii="Verdana" w:hAnsi="Verdana"/>
          <w:sz w:val="20"/>
          <w:lang w:val="pt-BR"/>
        </w:rPr>
        <w:t>a</w:t>
      </w:r>
      <w:r w:rsidR="004756C1" w:rsidRPr="002F50BD">
        <w:rPr>
          <w:rFonts w:ascii="Verdana" w:hAnsi="Verdana"/>
          <w:sz w:val="20"/>
          <w:lang w:val="pt-BR"/>
        </w:rPr>
        <w:t xml:space="preserve"> condi</w:t>
      </w:r>
      <w:r w:rsidRPr="002F50BD">
        <w:rPr>
          <w:rFonts w:ascii="Verdana" w:hAnsi="Verdana"/>
          <w:sz w:val="20"/>
          <w:lang w:val="pt-BR"/>
        </w:rPr>
        <w:t>ção</w:t>
      </w:r>
      <w:r w:rsidR="004756C1" w:rsidRPr="002F50BD">
        <w:rPr>
          <w:rFonts w:ascii="Verdana" w:hAnsi="Verdana"/>
          <w:sz w:val="20"/>
          <w:lang w:val="pt-BR"/>
        </w:rPr>
        <w:t xml:space="preserve"> de </w:t>
      </w:r>
      <w:r w:rsidRPr="002F50BD">
        <w:rPr>
          <w:rFonts w:ascii="Verdana" w:hAnsi="Verdana"/>
          <w:sz w:val="20"/>
          <w:lang w:val="pt-BR"/>
        </w:rPr>
        <w:t>afeta</w:t>
      </w:r>
      <w:r w:rsidR="005F39FC" w:rsidRPr="002F50BD">
        <w:rPr>
          <w:rFonts w:ascii="Verdana" w:hAnsi="Verdana"/>
          <w:sz w:val="20"/>
          <w:lang w:val="pt-BR"/>
        </w:rPr>
        <w:t>dos</w:t>
      </w:r>
      <w:r w:rsidR="004756C1" w:rsidRPr="002F50BD">
        <w:rPr>
          <w:rFonts w:ascii="Verdana" w:hAnsi="Verdana"/>
          <w:sz w:val="20"/>
          <w:lang w:val="pt-BR"/>
        </w:rPr>
        <w:t xml:space="preserve"> por severas priva</w:t>
      </w:r>
      <w:r w:rsidRPr="002F50BD">
        <w:rPr>
          <w:rFonts w:ascii="Verdana" w:hAnsi="Verdana"/>
          <w:sz w:val="20"/>
          <w:lang w:val="pt-BR"/>
        </w:rPr>
        <w:t>ções</w:t>
      </w:r>
      <w:r w:rsidR="00BD774C" w:rsidRPr="002F50BD">
        <w:rPr>
          <w:rFonts w:ascii="Verdana" w:hAnsi="Verdana"/>
          <w:sz w:val="20"/>
          <w:lang w:val="pt-BR"/>
        </w:rPr>
        <w:t>,</w:t>
      </w:r>
      <w:r w:rsidR="00FE08B7">
        <w:rPr>
          <w:rFonts w:ascii="Verdana" w:hAnsi="Verdana"/>
          <w:sz w:val="20"/>
          <w:lang w:val="pt-BR"/>
        </w:rPr>
        <w:t xml:space="preserve"> </w:t>
      </w:r>
      <w:r w:rsidR="004756C1" w:rsidRPr="002F50BD">
        <w:rPr>
          <w:rFonts w:ascii="Verdana" w:hAnsi="Verdana"/>
          <w:sz w:val="20"/>
          <w:lang w:val="pt-BR"/>
        </w:rPr>
        <w:t xml:space="preserve">estas comunidades indígenas </w:t>
      </w:r>
      <w:r w:rsidR="004A71D0" w:rsidRPr="002F50BD">
        <w:rPr>
          <w:rFonts w:ascii="Verdana" w:hAnsi="Verdana"/>
          <w:sz w:val="20"/>
          <w:lang w:val="pt-BR"/>
        </w:rPr>
        <w:t>carecem</w:t>
      </w:r>
      <w:r w:rsidR="004756C1" w:rsidRPr="002F50BD">
        <w:rPr>
          <w:rFonts w:ascii="Verdana" w:hAnsi="Verdana"/>
          <w:sz w:val="20"/>
          <w:lang w:val="pt-BR"/>
        </w:rPr>
        <w:t xml:space="preserve"> de </w:t>
      </w:r>
      <w:r w:rsidRPr="002F50BD">
        <w:rPr>
          <w:rFonts w:ascii="Verdana" w:hAnsi="Verdana"/>
          <w:sz w:val="20"/>
          <w:lang w:val="pt-BR"/>
        </w:rPr>
        <w:t>estratégia</w:t>
      </w:r>
      <w:r w:rsidR="004756C1" w:rsidRPr="002F50BD">
        <w:rPr>
          <w:rFonts w:ascii="Verdana" w:hAnsi="Verdana"/>
          <w:sz w:val="20"/>
          <w:lang w:val="pt-BR"/>
        </w:rPr>
        <w:t>s que</w:t>
      </w:r>
      <w:r w:rsidRPr="002F50BD">
        <w:rPr>
          <w:rFonts w:ascii="Verdana" w:hAnsi="Verdana"/>
          <w:sz w:val="20"/>
          <w:lang w:val="pt-BR"/>
        </w:rPr>
        <w:t xml:space="preserve"> lhes </w:t>
      </w:r>
      <w:r w:rsidR="004756C1" w:rsidRPr="002F50BD">
        <w:rPr>
          <w:rFonts w:ascii="Verdana" w:hAnsi="Verdana"/>
          <w:sz w:val="20"/>
          <w:lang w:val="pt-BR"/>
        </w:rPr>
        <w:t>permita</w:t>
      </w:r>
      <w:r w:rsidR="005F39FC" w:rsidRPr="002F50BD">
        <w:rPr>
          <w:rFonts w:ascii="Verdana" w:hAnsi="Verdana"/>
          <w:sz w:val="20"/>
          <w:lang w:val="pt-BR"/>
        </w:rPr>
        <w:t>m</w:t>
      </w:r>
      <w:r w:rsidR="004756C1" w:rsidRPr="002F50BD">
        <w:rPr>
          <w:rFonts w:ascii="Verdana" w:hAnsi="Verdana"/>
          <w:sz w:val="20"/>
          <w:lang w:val="pt-BR"/>
        </w:rPr>
        <w:t xml:space="preserve"> enfrentar </w:t>
      </w:r>
      <w:r w:rsidRPr="002F50BD">
        <w:rPr>
          <w:rFonts w:ascii="Verdana" w:hAnsi="Verdana"/>
          <w:sz w:val="20"/>
          <w:lang w:val="pt-BR"/>
        </w:rPr>
        <w:t>adequad</w:t>
      </w:r>
      <w:r w:rsidR="004756C1" w:rsidRPr="002F50BD">
        <w:rPr>
          <w:rFonts w:ascii="Verdana" w:hAnsi="Verdana"/>
          <w:sz w:val="20"/>
          <w:lang w:val="pt-BR"/>
        </w:rPr>
        <w:t>amente</w:t>
      </w:r>
      <w:r w:rsidRPr="002F50BD">
        <w:rPr>
          <w:rFonts w:ascii="Verdana" w:hAnsi="Verdana"/>
          <w:sz w:val="20"/>
          <w:lang w:val="pt-BR"/>
        </w:rPr>
        <w:t xml:space="preserve"> os risco</w:t>
      </w:r>
      <w:r w:rsidR="004756C1" w:rsidRPr="002F50BD">
        <w:rPr>
          <w:rFonts w:ascii="Verdana" w:hAnsi="Verdana"/>
          <w:sz w:val="20"/>
          <w:lang w:val="pt-BR"/>
        </w:rPr>
        <w:t>s</w:t>
      </w:r>
      <w:r w:rsidRPr="002F50BD">
        <w:rPr>
          <w:rFonts w:ascii="Verdana" w:hAnsi="Verdana"/>
          <w:sz w:val="20"/>
          <w:lang w:val="pt-BR"/>
        </w:rPr>
        <w:t xml:space="preserve"> aos </w:t>
      </w:r>
      <w:r w:rsidR="004756C1" w:rsidRPr="002F50BD">
        <w:rPr>
          <w:rFonts w:ascii="Verdana" w:hAnsi="Verdana"/>
          <w:sz w:val="20"/>
          <w:lang w:val="pt-BR"/>
        </w:rPr>
        <w:t>qu</w:t>
      </w:r>
      <w:r w:rsidR="005F39FC" w:rsidRPr="002F50BD">
        <w:rPr>
          <w:rFonts w:ascii="Verdana" w:hAnsi="Verdana"/>
          <w:sz w:val="20"/>
          <w:lang w:val="pt-BR"/>
        </w:rPr>
        <w:t>ais</w:t>
      </w:r>
      <w:r w:rsidRPr="002F50BD">
        <w:rPr>
          <w:rFonts w:ascii="Verdana" w:hAnsi="Verdana"/>
          <w:sz w:val="20"/>
          <w:lang w:val="pt-BR"/>
        </w:rPr>
        <w:t xml:space="preserve"> estão expost</w:t>
      </w:r>
      <w:r w:rsidR="004756C1" w:rsidRPr="002F50BD">
        <w:rPr>
          <w:rFonts w:ascii="Verdana" w:hAnsi="Verdana"/>
          <w:sz w:val="20"/>
          <w:lang w:val="pt-BR"/>
        </w:rPr>
        <w:t xml:space="preserve">os, de modo que </w:t>
      </w:r>
      <w:r w:rsidR="00AB454A" w:rsidRPr="002F50BD">
        <w:rPr>
          <w:rFonts w:ascii="Verdana" w:hAnsi="Verdana"/>
          <w:sz w:val="20"/>
          <w:lang w:val="pt-BR"/>
        </w:rPr>
        <w:t>possam</w:t>
      </w:r>
      <w:r w:rsidR="004756C1" w:rsidRPr="002F50BD">
        <w:rPr>
          <w:rFonts w:ascii="Verdana" w:hAnsi="Verdana"/>
          <w:sz w:val="20"/>
          <w:lang w:val="pt-BR"/>
        </w:rPr>
        <w:t xml:space="preserve"> aprove</w:t>
      </w:r>
      <w:r w:rsidR="005F39FC" w:rsidRPr="002F50BD">
        <w:rPr>
          <w:rFonts w:ascii="Verdana" w:hAnsi="Verdana"/>
          <w:sz w:val="20"/>
          <w:lang w:val="pt-BR"/>
        </w:rPr>
        <w:t>it</w:t>
      </w:r>
      <w:r w:rsidR="004756C1" w:rsidRPr="002F50BD">
        <w:rPr>
          <w:rFonts w:ascii="Verdana" w:hAnsi="Verdana"/>
          <w:sz w:val="20"/>
          <w:lang w:val="pt-BR"/>
        </w:rPr>
        <w:t>ar</w:t>
      </w:r>
      <w:r w:rsidRPr="002F50BD">
        <w:rPr>
          <w:rFonts w:ascii="Verdana" w:hAnsi="Verdana"/>
          <w:sz w:val="20"/>
          <w:lang w:val="pt-BR"/>
        </w:rPr>
        <w:t xml:space="preserve"> as </w:t>
      </w:r>
      <w:r w:rsidR="004756C1" w:rsidRPr="002F50BD">
        <w:rPr>
          <w:rFonts w:ascii="Verdana" w:hAnsi="Verdana"/>
          <w:sz w:val="20"/>
          <w:lang w:val="pt-BR"/>
        </w:rPr>
        <w:t xml:space="preserve">oportunidades de </w:t>
      </w:r>
      <w:r w:rsidRPr="002F50BD">
        <w:rPr>
          <w:rFonts w:ascii="Verdana" w:hAnsi="Verdana"/>
          <w:sz w:val="20"/>
          <w:lang w:val="pt-BR"/>
        </w:rPr>
        <w:t>melhor</w:t>
      </w:r>
      <w:r w:rsidR="004756C1" w:rsidRPr="002F50BD">
        <w:rPr>
          <w:rFonts w:ascii="Verdana" w:hAnsi="Verdana"/>
          <w:sz w:val="20"/>
          <w:lang w:val="pt-BR"/>
        </w:rPr>
        <w:t>a</w:t>
      </w:r>
      <w:r w:rsidRPr="002F50BD">
        <w:rPr>
          <w:rFonts w:ascii="Verdana" w:hAnsi="Verdana"/>
          <w:sz w:val="20"/>
          <w:lang w:val="pt-BR"/>
        </w:rPr>
        <w:t xml:space="preserve"> das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de vida que se</w:t>
      </w:r>
      <w:r w:rsidRPr="002F50BD">
        <w:rPr>
          <w:rFonts w:ascii="Verdana" w:hAnsi="Verdana"/>
          <w:sz w:val="20"/>
          <w:lang w:val="pt-BR"/>
        </w:rPr>
        <w:t xml:space="preserve"> lhes </w:t>
      </w:r>
      <w:r w:rsidR="005F39FC" w:rsidRPr="002F50BD">
        <w:rPr>
          <w:rFonts w:ascii="Verdana" w:hAnsi="Verdana"/>
          <w:sz w:val="20"/>
          <w:lang w:val="pt-BR"/>
        </w:rPr>
        <w:t>a</w:t>
      </w:r>
      <w:r w:rsidR="004756C1" w:rsidRPr="002F50BD">
        <w:rPr>
          <w:rFonts w:ascii="Verdana" w:hAnsi="Verdana"/>
          <w:sz w:val="20"/>
          <w:lang w:val="pt-BR"/>
        </w:rPr>
        <w:t>presente</w:t>
      </w:r>
      <w:r w:rsidR="005F39FC" w:rsidRPr="002F50BD">
        <w:rPr>
          <w:rFonts w:ascii="Verdana" w:hAnsi="Verdana"/>
          <w:sz w:val="20"/>
          <w:lang w:val="pt-BR"/>
        </w:rPr>
        <w:t>m</w:t>
      </w:r>
      <w:r w:rsidRPr="002F50BD">
        <w:rPr>
          <w:rFonts w:ascii="Verdana" w:hAnsi="Verdana"/>
          <w:sz w:val="20"/>
          <w:lang w:val="pt-BR"/>
        </w:rPr>
        <w:t xml:space="preserve"> e </w:t>
      </w:r>
      <w:r w:rsidR="005F39FC" w:rsidRPr="002F50BD">
        <w:rPr>
          <w:rFonts w:ascii="Verdana" w:hAnsi="Verdana"/>
          <w:sz w:val="20"/>
          <w:lang w:val="pt-BR"/>
        </w:rPr>
        <w:t xml:space="preserve">alcançar </w:t>
      </w:r>
      <w:r w:rsidR="004756C1" w:rsidRPr="002F50BD">
        <w:rPr>
          <w:rFonts w:ascii="Verdana" w:hAnsi="Verdana"/>
          <w:sz w:val="20"/>
          <w:lang w:val="pt-BR"/>
        </w:rPr>
        <w:t>condi</w:t>
      </w:r>
      <w:r w:rsidRPr="002F50BD">
        <w:rPr>
          <w:rFonts w:ascii="Verdana" w:hAnsi="Verdana"/>
          <w:sz w:val="20"/>
          <w:lang w:val="pt-BR"/>
        </w:rPr>
        <w:t>ções</w:t>
      </w:r>
      <w:r w:rsidR="004756C1" w:rsidRPr="002F50BD">
        <w:rPr>
          <w:rFonts w:ascii="Verdana" w:hAnsi="Verdana"/>
          <w:sz w:val="20"/>
          <w:lang w:val="pt-BR"/>
        </w:rPr>
        <w:t xml:space="preserve"> mínimas de </w:t>
      </w:r>
      <w:r w:rsidRPr="002F50BD">
        <w:rPr>
          <w:rFonts w:ascii="Verdana" w:hAnsi="Verdana"/>
          <w:sz w:val="20"/>
          <w:lang w:val="pt-BR"/>
        </w:rPr>
        <w:t xml:space="preserve">qualidade </w:t>
      </w:r>
      <w:r w:rsidR="004756C1" w:rsidRPr="002F50BD">
        <w:rPr>
          <w:rFonts w:ascii="Verdana" w:hAnsi="Verdana"/>
          <w:sz w:val="20"/>
          <w:lang w:val="pt-BR"/>
        </w:rPr>
        <w:t>de vida</w:t>
      </w:r>
      <w:r w:rsidR="005F39FC" w:rsidRPr="002F50BD">
        <w:rPr>
          <w:rFonts w:ascii="Verdana" w:hAnsi="Verdana"/>
          <w:sz w:val="20"/>
          <w:lang w:val="pt-BR"/>
        </w:rPr>
        <w:t>.</w:t>
      </w:r>
      <w:r w:rsidR="004756C1" w:rsidRPr="002F50BD">
        <w:rPr>
          <w:rStyle w:val="FootnoteReference"/>
          <w:rFonts w:ascii="Verdana" w:hAnsi="Verdana"/>
        </w:rPr>
        <w:footnoteReference w:id="250"/>
      </w:r>
      <w:r w:rsidRPr="002F50BD">
        <w:rPr>
          <w:rFonts w:ascii="Verdana" w:hAnsi="Verdana"/>
          <w:sz w:val="20"/>
          <w:lang w:val="pt-BR"/>
        </w:rPr>
        <w:t xml:space="preserve"> </w:t>
      </w:r>
      <w:r w:rsidR="00CE1AC8" w:rsidRPr="002F50BD">
        <w:rPr>
          <w:rFonts w:ascii="Verdana" w:hAnsi="Verdana"/>
          <w:sz w:val="20"/>
          <w:lang w:val="pt-BR"/>
        </w:rPr>
        <w:t>A</w:t>
      </w:r>
      <w:r w:rsidR="005F39FC" w:rsidRPr="002F50BD">
        <w:rPr>
          <w:rFonts w:ascii="Verdana" w:hAnsi="Verdana"/>
          <w:sz w:val="20"/>
          <w:lang w:val="pt-BR"/>
        </w:rPr>
        <w:t xml:space="preserve"> meu </w:t>
      </w:r>
      <w:r w:rsidRPr="002F50BD">
        <w:rPr>
          <w:rFonts w:ascii="Verdana" w:hAnsi="Verdana"/>
          <w:sz w:val="20"/>
          <w:lang w:val="pt-BR"/>
        </w:rPr>
        <w:t>juízo</w:t>
      </w:r>
      <w:r w:rsidR="004756C1" w:rsidRPr="002F50BD">
        <w:rPr>
          <w:rFonts w:ascii="Verdana" w:hAnsi="Verdana"/>
          <w:sz w:val="20"/>
          <w:lang w:val="pt-BR"/>
        </w:rPr>
        <w:t>,</w:t>
      </w:r>
      <w:r w:rsidRPr="002F50BD">
        <w:rPr>
          <w:rFonts w:ascii="Verdana" w:hAnsi="Verdana"/>
          <w:sz w:val="20"/>
          <w:lang w:val="pt-BR"/>
        </w:rPr>
        <w:t xml:space="preserve"> a responsabilidade </w:t>
      </w:r>
      <w:r w:rsidR="004756C1" w:rsidRPr="002F50BD">
        <w:rPr>
          <w:rFonts w:ascii="Verdana" w:hAnsi="Verdana"/>
          <w:sz w:val="20"/>
          <w:lang w:val="pt-BR"/>
        </w:rPr>
        <w:t xml:space="preserve">internacional </w:t>
      </w:r>
      <w:r w:rsidRPr="002F50BD">
        <w:rPr>
          <w:rFonts w:ascii="Verdana" w:hAnsi="Verdana"/>
          <w:sz w:val="20"/>
          <w:lang w:val="pt-BR"/>
        </w:rPr>
        <w:t xml:space="preserve">do </w:t>
      </w:r>
      <w:r w:rsidR="004756C1" w:rsidRPr="002F50BD">
        <w:rPr>
          <w:rFonts w:ascii="Verdana" w:hAnsi="Verdana"/>
          <w:sz w:val="20"/>
          <w:lang w:val="pt-BR"/>
        </w:rPr>
        <w:t xml:space="preserve">Estado </w:t>
      </w:r>
      <w:r w:rsidR="005F39FC" w:rsidRPr="002F50BD">
        <w:rPr>
          <w:rFonts w:ascii="Verdana" w:hAnsi="Verdana"/>
          <w:sz w:val="20"/>
          <w:lang w:val="pt-BR"/>
        </w:rPr>
        <w:t>p</w:t>
      </w:r>
      <w:r w:rsidRPr="002F50BD">
        <w:rPr>
          <w:rFonts w:ascii="Verdana" w:hAnsi="Verdana"/>
          <w:sz w:val="20"/>
          <w:lang w:val="pt-BR"/>
        </w:rPr>
        <w:t>araguai</w:t>
      </w:r>
      <w:r w:rsidR="004756C1" w:rsidRPr="002F50BD">
        <w:rPr>
          <w:rFonts w:ascii="Verdana" w:hAnsi="Verdana"/>
          <w:sz w:val="20"/>
          <w:lang w:val="pt-BR"/>
        </w:rPr>
        <w:t>o</w:t>
      </w:r>
      <w:r w:rsidRPr="002F50BD">
        <w:rPr>
          <w:rFonts w:ascii="Verdana" w:hAnsi="Verdana"/>
          <w:sz w:val="20"/>
          <w:lang w:val="pt-BR"/>
        </w:rPr>
        <w:t xml:space="preserve"> no </w:t>
      </w:r>
      <w:r w:rsidR="004756C1" w:rsidRPr="002F50BD">
        <w:rPr>
          <w:rFonts w:ascii="Verdana" w:hAnsi="Verdana"/>
          <w:sz w:val="20"/>
          <w:lang w:val="pt-BR"/>
        </w:rPr>
        <w:t xml:space="preserve">caso de </w:t>
      </w:r>
      <w:r w:rsidRPr="002F50BD">
        <w:rPr>
          <w:rFonts w:ascii="Verdana" w:hAnsi="Verdana"/>
          <w:sz w:val="20"/>
          <w:lang w:val="pt-BR"/>
        </w:rPr>
        <w:t>morte</w:t>
      </w:r>
      <w:r w:rsidR="004756C1" w:rsidRPr="002F50BD">
        <w:rPr>
          <w:rFonts w:ascii="Verdana" w:hAnsi="Verdana"/>
          <w:sz w:val="20"/>
          <w:lang w:val="pt-BR"/>
        </w:rPr>
        <w:t>s evit</w:t>
      </w:r>
      <w:r w:rsidRPr="002F50BD">
        <w:rPr>
          <w:rFonts w:ascii="Verdana" w:hAnsi="Verdana"/>
          <w:sz w:val="20"/>
          <w:lang w:val="pt-BR"/>
        </w:rPr>
        <w:t xml:space="preserve">áveis dos </w:t>
      </w:r>
      <w:r w:rsidR="004756C1" w:rsidRPr="002F50BD">
        <w:rPr>
          <w:rFonts w:ascii="Verdana" w:hAnsi="Verdana"/>
          <w:sz w:val="20"/>
          <w:lang w:val="pt-BR"/>
        </w:rPr>
        <w:t>indígenas de Yakye Axa, que</w:t>
      </w:r>
      <w:r w:rsidRPr="002F50BD">
        <w:rPr>
          <w:rFonts w:ascii="Verdana" w:hAnsi="Verdana"/>
          <w:sz w:val="20"/>
          <w:lang w:val="pt-BR"/>
        </w:rPr>
        <w:t xml:space="preserve"> deve </w:t>
      </w:r>
      <w:r w:rsidR="004756C1" w:rsidRPr="002F50BD">
        <w:rPr>
          <w:rFonts w:ascii="Verdana" w:hAnsi="Verdana"/>
          <w:sz w:val="20"/>
          <w:lang w:val="pt-BR"/>
        </w:rPr>
        <w:t>ser comparti</w:t>
      </w:r>
      <w:r w:rsidR="005F39FC" w:rsidRPr="002F50BD">
        <w:rPr>
          <w:rFonts w:ascii="Verdana" w:hAnsi="Verdana"/>
          <w:sz w:val="20"/>
          <w:lang w:val="pt-BR"/>
        </w:rPr>
        <w:t>lha</w:t>
      </w:r>
      <w:r w:rsidR="004756C1" w:rsidRPr="002F50BD">
        <w:rPr>
          <w:rFonts w:ascii="Verdana" w:hAnsi="Verdana"/>
          <w:sz w:val="20"/>
          <w:lang w:val="pt-BR"/>
        </w:rPr>
        <w:t>da</w:t>
      </w:r>
      <w:r w:rsidRPr="002F50BD">
        <w:rPr>
          <w:rFonts w:ascii="Verdana" w:hAnsi="Verdana"/>
          <w:sz w:val="20"/>
          <w:lang w:val="pt-BR"/>
        </w:rPr>
        <w:t xml:space="preserve"> com outros</w:t>
      </w:r>
      <w:r w:rsidR="004756C1" w:rsidRPr="002F50BD">
        <w:rPr>
          <w:rFonts w:ascii="Verdana" w:hAnsi="Verdana"/>
          <w:sz w:val="20"/>
          <w:lang w:val="pt-BR"/>
        </w:rPr>
        <w:t xml:space="preserve"> </w:t>
      </w:r>
      <w:r w:rsidR="004076AD" w:rsidRPr="002F50BD">
        <w:rPr>
          <w:rFonts w:ascii="Verdana" w:hAnsi="Verdana"/>
          <w:sz w:val="20"/>
          <w:lang w:val="pt-BR"/>
        </w:rPr>
        <w:t>ator</w:t>
      </w:r>
      <w:r w:rsidR="004756C1" w:rsidRPr="002F50BD">
        <w:rPr>
          <w:rFonts w:ascii="Verdana" w:hAnsi="Verdana"/>
          <w:sz w:val="20"/>
          <w:lang w:val="pt-BR"/>
        </w:rPr>
        <w:t xml:space="preserve">es </w:t>
      </w:r>
      <w:r w:rsidR="004076AD" w:rsidRPr="002F50BD">
        <w:rPr>
          <w:rFonts w:ascii="Verdana" w:hAnsi="Verdana"/>
          <w:sz w:val="20"/>
          <w:lang w:val="pt-BR"/>
        </w:rPr>
        <w:t>envolvido</w:t>
      </w:r>
      <w:r w:rsidR="004756C1" w:rsidRPr="002F50BD">
        <w:rPr>
          <w:rFonts w:ascii="Verdana" w:hAnsi="Verdana"/>
          <w:sz w:val="20"/>
          <w:lang w:val="pt-BR"/>
        </w:rPr>
        <w:t xml:space="preserve">s como </w:t>
      </w:r>
      <w:r w:rsidR="005F39FC" w:rsidRPr="002F50BD">
        <w:rPr>
          <w:rFonts w:ascii="Verdana" w:hAnsi="Verdana"/>
          <w:sz w:val="20"/>
          <w:lang w:val="pt-BR"/>
        </w:rPr>
        <w:t>explicarei</w:t>
      </w:r>
      <w:r w:rsidR="004756C1" w:rsidRPr="002F50BD">
        <w:rPr>
          <w:rFonts w:ascii="Verdana" w:hAnsi="Verdana"/>
          <w:sz w:val="20"/>
          <w:lang w:val="pt-BR"/>
        </w:rPr>
        <w:t>,</w:t>
      </w:r>
      <w:r w:rsidRPr="002F50BD">
        <w:rPr>
          <w:rFonts w:ascii="Verdana" w:hAnsi="Verdana"/>
          <w:sz w:val="20"/>
          <w:lang w:val="pt-BR"/>
        </w:rPr>
        <w:t xml:space="preserve"> é a </w:t>
      </w:r>
      <w:r w:rsidR="004756C1" w:rsidRPr="002F50BD">
        <w:rPr>
          <w:rFonts w:ascii="Verdana" w:hAnsi="Verdana"/>
          <w:sz w:val="20"/>
          <w:lang w:val="pt-BR"/>
        </w:rPr>
        <w:t>que se origina</w:t>
      </w:r>
      <w:r w:rsidRPr="002F50BD">
        <w:rPr>
          <w:rFonts w:ascii="Verdana" w:hAnsi="Verdana"/>
          <w:sz w:val="20"/>
          <w:lang w:val="pt-BR"/>
        </w:rPr>
        <w:t xml:space="preserve"> na </w:t>
      </w:r>
      <w:r w:rsidR="004756C1" w:rsidRPr="002F50BD">
        <w:rPr>
          <w:rFonts w:ascii="Verdana" w:hAnsi="Verdana"/>
          <w:sz w:val="20"/>
          <w:lang w:val="pt-BR"/>
        </w:rPr>
        <w:t>extrema pobreza, agravada</w:t>
      </w:r>
      <w:r w:rsidRPr="002F50BD">
        <w:rPr>
          <w:rFonts w:ascii="Verdana" w:hAnsi="Verdana"/>
          <w:sz w:val="20"/>
          <w:lang w:val="pt-BR"/>
        </w:rPr>
        <w:t xml:space="preserve"> pelo </w:t>
      </w:r>
      <w:r w:rsidR="00AB454A" w:rsidRPr="002F50BD">
        <w:rPr>
          <w:rFonts w:ascii="Verdana" w:hAnsi="Verdana"/>
          <w:sz w:val="20"/>
          <w:lang w:val="pt-BR"/>
        </w:rPr>
        <w:t>assentamento</w:t>
      </w:r>
      <w:r w:rsidR="004756C1" w:rsidRPr="002F50BD">
        <w:rPr>
          <w:rFonts w:ascii="Verdana" w:hAnsi="Verdana"/>
          <w:sz w:val="20"/>
          <w:lang w:val="pt-BR"/>
        </w:rPr>
        <w:t xml:space="preserve"> prec</w:t>
      </w:r>
      <w:r w:rsidR="005F39FC" w:rsidRPr="002F50BD">
        <w:rPr>
          <w:rFonts w:ascii="Verdana" w:hAnsi="Verdana"/>
          <w:sz w:val="20"/>
          <w:lang w:val="pt-BR"/>
        </w:rPr>
        <w:t>á</w:t>
      </w:r>
      <w:r w:rsidR="004756C1" w:rsidRPr="002F50BD">
        <w:rPr>
          <w:rFonts w:ascii="Verdana" w:hAnsi="Verdana"/>
          <w:sz w:val="20"/>
          <w:lang w:val="pt-BR"/>
        </w:rPr>
        <w:t>rio</w:t>
      </w:r>
      <w:r w:rsidRPr="002F50BD">
        <w:rPr>
          <w:rFonts w:ascii="Verdana" w:hAnsi="Verdana"/>
          <w:sz w:val="20"/>
          <w:lang w:val="pt-BR"/>
        </w:rPr>
        <w:t xml:space="preserve"> da comunidad</w:t>
      </w:r>
      <w:r w:rsidR="005F39FC" w:rsidRPr="002F50BD">
        <w:rPr>
          <w:rFonts w:ascii="Verdana" w:hAnsi="Verdana"/>
          <w:sz w:val="20"/>
          <w:lang w:val="pt-BR"/>
        </w:rPr>
        <w:t>e à margem da rodovia</w:t>
      </w:r>
      <w:r w:rsidR="004756C1" w:rsidRPr="002F50BD">
        <w:rPr>
          <w:rFonts w:ascii="Verdana" w:hAnsi="Verdana"/>
          <w:sz w:val="20"/>
          <w:lang w:val="pt-BR"/>
        </w:rPr>
        <w:t>,</w:t>
      </w:r>
      <w:r w:rsidRPr="002F50BD">
        <w:rPr>
          <w:rFonts w:ascii="Verdana" w:hAnsi="Verdana"/>
          <w:sz w:val="20"/>
          <w:lang w:val="pt-BR"/>
        </w:rPr>
        <w:t xml:space="preserve"> fato </w:t>
      </w:r>
      <w:r w:rsidR="004756C1" w:rsidRPr="002F50BD">
        <w:rPr>
          <w:rFonts w:ascii="Verdana" w:hAnsi="Verdana"/>
          <w:sz w:val="20"/>
          <w:lang w:val="pt-BR"/>
        </w:rPr>
        <w:t>n</w:t>
      </w:r>
      <w:r w:rsidR="005F39FC" w:rsidRPr="002F50BD">
        <w:rPr>
          <w:rFonts w:ascii="Verdana" w:hAnsi="Verdana"/>
          <w:sz w:val="20"/>
          <w:lang w:val="pt-BR"/>
        </w:rPr>
        <w:t>ã</w:t>
      </w:r>
      <w:r w:rsidR="004756C1" w:rsidRPr="002F50BD">
        <w:rPr>
          <w:rFonts w:ascii="Verdana" w:hAnsi="Verdana"/>
          <w:sz w:val="20"/>
          <w:lang w:val="pt-BR"/>
        </w:rPr>
        <w:t xml:space="preserve">o </w:t>
      </w:r>
      <w:r w:rsidRPr="002F50BD">
        <w:rPr>
          <w:rFonts w:ascii="Verdana" w:hAnsi="Verdana"/>
          <w:sz w:val="20"/>
          <w:lang w:val="pt-BR"/>
        </w:rPr>
        <w:t xml:space="preserve">imputável ao </w:t>
      </w:r>
      <w:r w:rsidR="004756C1" w:rsidRPr="002F50BD">
        <w:rPr>
          <w:rFonts w:ascii="Verdana" w:hAnsi="Verdana"/>
          <w:sz w:val="20"/>
          <w:lang w:val="pt-BR"/>
        </w:rPr>
        <w:t>Estado.</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28</w:t>
      </w:r>
      <w:r w:rsidR="004756C1" w:rsidRPr="002F50BD">
        <w:rPr>
          <w:rFonts w:ascii="Verdana" w:hAnsi="Verdana"/>
          <w:sz w:val="20"/>
          <w:lang w:val="pt-BR"/>
        </w:rPr>
        <w:t>.</w:t>
      </w:r>
      <w:r w:rsidR="004756C1" w:rsidRPr="002F50BD">
        <w:rPr>
          <w:rFonts w:ascii="Verdana" w:hAnsi="Verdana"/>
          <w:sz w:val="20"/>
          <w:lang w:val="pt-BR"/>
        </w:rPr>
        <w:tab/>
      </w:r>
      <w:r w:rsidR="005F39FC" w:rsidRPr="002F50BD">
        <w:rPr>
          <w:rFonts w:ascii="Verdana" w:hAnsi="Verdana"/>
          <w:sz w:val="20"/>
          <w:lang w:val="pt-BR"/>
        </w:rPr>
        <w:t xml:space="preserve"> O</w:t>
      </w:r>
      <w:r w:rsidR="0089298C" w:rsidRPr="002F50BD">
        <w:rPr>
          <w:rFonts w:ascii="Verdana" w:hAnsi="Verdana"/>
          <w:sz w:val="20"/>
          <w:lang w:val="pt-BR"/>
        </w:rPr>
        <w:t xml:space="preserve"> direito à </w:t>
      </w:r>
      <w:r w:rsidR="004756C1" w:rsidRPr="002F50BD">
        <w:rPr>
          <w:rFonts w:ascii="Verdana" w:hAnsi="Verdana"/>
          <w:sz w:val="20"/>
          <w:lang w:val="pt-BR"/>
        </w:rPr>
        <w:t>vida está consagrado</w:t>
      </w:r>
      <w:r w:rsidR="0089298C" w:rsidRPr="002F50BD">
        <w:rPr>
          <w:rFonts w:ascii="Verdana" w:hAnsi="Verdana"/>
          <w:sz w:val="20"/>
          <w:lang w:val="pt-BR"/>
        </w:rPr>
        <w:t xml:space="preserve"> em </w:t>
      </w:r>
      <w:r w:rsidR="004756C1" w:rsidRPr="002F50BD">
        <w:rPr>
          <w:rFonts w:ascii="Verdana" w:hAnsi="Verdana"/>
          <w:sz w:val="20"/>
          <w:lang w:val="pt-BR"/>
        </w:rPr>
        <w:t>diversos instrumentos</w:t>
      </w:r>
      <w:r w:rsidR="0089298C" w:rsidRPr="002F50BD">
        <w:rPr>
          <w:rFonts w:ascii="Verdana" w:hAnsi="Verdana"/>
          <w:sz w:val="20"/>
          <w:lang w:val="pt-BR"/>
        </w:rPr>
        <w:t xml:space="preserve"> e</w:t>
      </w:r>
      <w:r w:rsidR="00BD774C" w:rsidRPr="002F50BD">
        <w:rPr>
          <w:rFonts w:ascii="Verdana" w:hAnsi="Verdana"/>
          <w:sz w:val="20"/>
          <w:lang w:val="pt-BR"/>
        </w:rPr>
        <w:t>,</w:t>
      </w:r>
      <w:r w:rsidR="004756C1" w:rsidRPr="002F50BD">
        <w:rPr>
          <w:rFonts w:ascii="Verdana" w:hAnsi="Verdana"/>
          <w:sz w:val="20"/>
          <w:lang w:val="pt-BR"/>
        </w:rPr>
        <w:t xml:space="preserve"> conforme </w:t>
      </w:r>
      <w:r w:rsidR="0089298C" w:rsidRPr="002F50BD">
        <w:rPr>
          <w:rFonts w:ascii="Verdana" w:hAnsi="Verdana"/>
          <w:sz w:val="20"/>
          <w:lang w:val="pt-BR"/>
        </w:rPr>
        <w:t>ele</w:t>
      </w:r>
      <w:r w:rsidR="004756C1" w:rsidRPr="002F50BD">
        <w:rPr>
          <w:rFonts w:ascii="Verdana" w:hAnsi="Verdana"/>
          <w:sz w:val="20"/>
          <w:lang w:val="pt-BR"/>
        </w:rPr>
        <w:t>s</w:t>
      </w:r>
      <w:r w:rsidR="00BD774C" w:rsidRPr="002F50BD">
        <w:rPr>
          <w:rFonts w:ascii="Verdana" w:hAnsi="Verdana"/>
          <w:sz w:val="20"/>
          <w:lang w:val="pt-BR"/>
        </w:rPr>
        <w:t>,</w:t>
      </w:r>
      <w:r w:rsidR="0089298C" w:rsidRPr="002F50BD">
        <w:rPr>
          <w:rFonts w:ascii="Verdana" w:hAnsi="Verdana"/>
          <w:sz w:val="20"/>
          <w:lang w:val="pt-BR"/>
        </w:rPr>
        <w:t xml:space="preserve"> a existência</w:t>
      </w:r>
      <w:r w:rsidR="004756C1" w:rsidRPr="002F50BD">
        <w:rPr>
          <w:rFonts w:ascii="Verdana" w:hAnsi="Verdana"/>
          <w:sz w:val="20"/>
          <w:lang w:val="pt-BR"/>
        </w:rPr>
        <w:t xml:space="preserve"> de pobreza extrema,</w:t>
      </w:r>
      <w:r w:rsidR="0089298C" w:rsidRPr="002F50BD">
        <w:rPr>
          <w:rFonts w:ascii="Verdana" w:hAnsi="Verdana"/>
          <w:sz w:val="20"/>
          <w:lang w:val="pt-BR"/>
        </w:rPr>
        <w:t xml:space="preserve"> com tendência</w:t>
      </w:r>
      <w:r w:rsidR="004756C1" w:rsidRPr="002F50BD">
        <w:rPr>
          <w:rFonts w:ascii="Verdana" w:hAnsi="Verdana"/>
          <w:sz w:val="20"/>
          <w:lang w:val="pt-BR"/>
        </w:rPr>
        <w:t xml:space="preserve"> </w:t>
      </w:r>
      <w:r w:rsidR="0089298C" w:rsidRPr="002F50BD">
        <w:rPr>
          <w:rFonts w:ascii="Verdana" w:hAnsi="Verdana"/>
          <w:sz w:val="20"/>
          <w:lang w:val="pt-BR"/>
        </w:rPr>
        <w:t xml:space="preserve">crescente no </w:t>
      </w:r>
      <w:r w:rsidR="004756C1" w:rsidRPr="002F50BD">
        <w:rPr>
          <w:rFonts w:ascii="Verdana" w:hAnsi="Verdana"/>
          <w:sz w:val="20"/>
          <w:lang w:val="pt-BR"/>
        </w:rPr>
        <w:t xml:space="preserve">país, significa </w:t>
      </w:r>
      <w:r w:rsidR="00691D45" w:rsidRPr="002F50BD">
        <w:rPr>
          <w:rFonts w:ascii="Verdana" w:hAnsi="Verdana"/>
          <w:sz w:val="20"/>
          <w:lang w:val="pt-BR"/>
        </w:rPr>
        <w:t xml:space="preserve">a </w:t>
      </w:r>
      <w:r w:rsidR="004756C1" w:rsidRPr="002F50BD">
        <w:rPr>
          <w:rFonts w:ascii="Verdana" w:hAnsi="Verdana"/>
          <w:sz w:val="20"/>
          <w:lang w:val="pt-BR"/>
        </w:rPr>
        <w:t>nega</w:t>
      </w:r>
      <w:r w:rsidR="0089298C" w:rsidRPr="002F50BD">
        <w:rPr>
          <w:rFonts w:ascii="Verdana" w:hAnsi="Verdana"/>
          <w:sz w:val="20"/>
          <w:lang w:val="pt-BR"/>
        </w:rPr>
        <w:t>ção dos 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sociais e culturais</w:t>
      </w:r>
      <w:r w:rsidR="004756C1" w:rsidRPr="002F50BD">
        <w:rPr>
          <w:rFonts w:ascii="Verdana" w:hAnsi="Verdana"/>
          <w:sz w:val="20"/>
          <w:lang w:val="pt-BR"/>
        </w:rPr>
        <w:t>, compre</w:t>
      </w:r>
      <w:r w:rsidR="00691D45" w:rsidRPr="002F50BD">
        <w:rPr>
          <w:rFonts w:ascii="Verdana" w:hAnsi="Verdana"/>
          <w:sz w:val="20"/>
          <w:lang w:val="pt-BR"/>
        </w:rPr>
        <w:t>e</w:t>
      </w:r>
      <w:r w:rsidR="004756C1" w:rsidRPr="002F50BD">
        <w:rPr>
          <w:rFonts w:ascii="Verdana" w:hAnsi="Verdana"/>
          <w:sz w:val="20"/>
          <w:lang w:val="pt-BR"/>
        </w:rPr>
        <w:t>ndendo</w:t>
      </w:r>
      <w:r w:rsidR="0089298C" w:rsidRPr="002F50BD">
        <w:rPr>
          <w:rFonts w:ascii="Verdana" w:hAnsi="Verdana"/>
          <w:sz w:val="20"/>
          <w:lang w:val="pt-BR"/>
        </w:rPr>
        <w:t xml:space="preserve"> os direito</w:t>
      </w:r>
      <w:r w:rsidR="004756C1" w:rsidRPr="002F50BD">
        <w:rPr>
          <w:rFonts w:ascii="Verdana" w:hAnsi="Verdana"/>
          <w:sz w:val="20"/>
          <w:lang w:val="pt-BR"/>
        </w:rPr>
        <w:t>s a</w:t>
      </w:r>
      <w:r w:rsidR="0089298C" w:rsidRPr="002F50BD">
        <w:rPr>
          <w:rFonts w:ascii="Verdana" w:hAnsi="Verdana"/>
          <w:sz w:val="20"/>
          <w:lang w:val="pt-BR"/>
        </w:rPr>
        <w:t xml:space="preserve"> uma </w:t>
      </w:r>
      <w:r w:rsidR="004756C1" w:rsidRPr="002F50BD">
        <w:rPr>
          <w:rFonts w:ascii="Verdana" w:hAnsi="Verdana"/>
          <w:sz w:val="20"/>
          <w:lang w:val="pt-BR"/>
        </w:rPr>
        <w:t>alimenta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adequad</w:t>
      </w:r>
      <w:r w:rsidR="004756C1" w:rsidRPr="002F50BD">
        <w:rPr>
          <w:rFonts w:ascii="Verdana" w:hAnsi="Verdana"/>
          <w:sz w:val="20"/>
          <w:lang w:val="pt-BR"/>
        </w:rPr>
        <w:t>a,</w:t>
      </w:r>
      <w:r w:rsidR="0089298C" w:rsidRPr="002F50BD">
        <w:rPr>
          <w:rFonts w:ascii="Verdana" w:hAnsi="Verdana"/>
          <w:sz w:val="20"/>
          <w:lang w:val="pt-BR"/>
        </w:rPr>
        <w:t xml:space="preserve"> à saúde</w:t>
      </w:r>
      <w:r w:rsidR="004756C1" w:rsidRPr="002F50BD">
        <w:rPr>
          <w:rFonts w:ascii="Verdana" w:hAnsi="Verdana"/>
          <w:sz w:val="20"/>
          <w:lang w:val="pt-BR"/>
        </w:rPr>
        <w:t>,</w:t>
      </w:r>
      <w:r w:rsidR="0089298C" w:rsidRPr="002F50BD">
        <w:rPr>
          <w:rFonts w:ascii="Verdana" w:hAnsi="Verdana"/>
          <w:sz w:val="20"/>
          <w:lang w:val="pt-BR"/>
        </w:rPr>
        <w:t xml:space="preserve"> à </w:t>
      </w:r>
      <w:r w:rsidR="004756C1" w:rsidRPr="002F50BD">
        <w:rPr>
          <w:rFonts w:ascii="Verdana" w:hAnsi="Verdana"/>
          <w:sz w:val="20"/>
          <w:lang w:val="pt-BR"/>
        </w:rPr>
        <w:t>alimenta</w:t>
      </w:r>
      <w:r w:rsidR="0089298C" w:rsidRPr="002F50BD">
        <w:rPr>
          <w:rFonts w:ascii="Verdana" w:hAnsi="Verdana"/>
          <w:sz w:val="20"/>
          <w:lang w:val="pt-BR"/>
        </w:rPr>
        <w:t>ção e ao trabalho</w:t>
      </w:r>
      <w:r w:rsidR="00691D45" w:rsidRPr="002F50BD">
        <w:rPr>
          <w:rFonts w:ascii="Verdana" w:hAnsi="Verdana"/>
          <w:sz w:val="20"/>
          <w:lang w:val="pt-BR"/>
        </w:rPr>
        <w:t>.</w:t>
      </w:r>
      <w:r w:rsidR="004756C1" w:rsidRPr="002F50BD">
        <w:rPr>
          <w:rStyle w:val="FootnoteReference"/>
          <w:rFonts w:ascii="Verdana" w:hAnsi="Verdana"/>
        </w:rPr>
        <w:footnoteReference w:id="251"/>
      </w:r>
      <w:r w:rsidR="00BE346D" w:rsidRPr="002F50BD">
        <w:rPr>
          <w:rFonts w:ascii="Verdana" w:hAnsi="Verdana"/>
          <w:sz w:val="20"/>
          <w:lang w:val="pt-BR"/>
        </w:rPr>
        <w:t xml:space="preserve"> A </w:t>
      </w:r>
      <w:r w:rsidR="0089298C" w:rsidRPr="002F50BD">
        <w:rPr>
          <w:rFonts w:ascii="Verdana" w:hAnsi="Verdana"/>
          <w:sz w:val="20"/>
          <w:lang w:val="pt-BR"/>
        </w:rPr>
        <w:t>Comissão</w:t>
      </w:r>
      <w:r w:rsidR="004756C1" w:rsidRPr="002F50BD">
        <w:rPr>
          <w:rFonts w:ascii="Verdana" w:hAnsi="Verdana"/>
          <w:sz w:val="20"/>
          <w:lang w:val="pt-BR"/>
        </w:rPr>
        <w:t xml:space="preserve"> de </w:t>
      </w:r>
      <w:r w:rsidR="0089298C" w:rsidRPr="002F50BD">
        <w:rPr>
          <w:rFonts w:ascii="Verdana" w:hAnsi="Verdana"/>
          <w:sz w:val="20"/>
          <w:lang w:val="pt-BR"/>
        </w:rPr>
        <w:lastRenderedPageBreak/>
        <w:t>Direito</w:t>
      </w:r>
      <w:r w:rsidR="004756C1" w:rsidRPr="002F50BD">
        <w:rPr>
          <w:rFonts w:ascii="Verdana" w:hAnsi="Verdana"/>
          <w:sz w:val="20"/>
          <w:lang w:val="pt-BR"/>
        </w:rPr>
        <w:t>s Humanos</w:t>
      </w:r>
      <w:r w:rsidR="0089298C" w:rsidRPr="002F50BD">
        <w:rPr>
          <w:rFonts w:ascii="Verdana" w:hAnsi="Verdana"/>
          <w:sz w:val="20"/>
          <w:lang w:val="pt-BR"/>
        </w:rPr>
        <w:t xml:space="preserve"> das </w:t>
      </w:r>
      <w:r w:rsidR="004756C1" w:rsidRPr="002F50BD">
        <w:rPr>
          <w:rFonts w:ascii="Verdana" w:hAnsi="Verdana"/>
          <w:sz w:val="20"/>
          <w:lang w:val="pt-BR"/>
        </w:rPr>
        <w:t>Na</w:t>
      </w:r>
      <w:r w:rsidR="0089298C" w:rsidRPr="002F50BD">
        <w:rPr>
          <w:rFonts w:ascii="Verdana" w:hAnsi="Verdana"/>
          <w:sz w:val="20"/>
          <w:lang w:val="pt-BR"/>
        </w:rPr>
        <w:t>ções</w:t>
      </w:r>
      <w:r w:rsidR="004756C1" w:rsidRPr="002F50BD">
        <w:rPr>
          <w:rFonts w:ascii="Verdana" w:hAnsi="Verdana"/>
          <w:sz w:val="20"/>
          <w:lang w:val="pt-BR"/>
        </w:rPr>
        <w:t xml:space="preserve"> Unidas re</w:t>
      </w:r>
      <w:r w:rsidR="0089298C" w:rsidRPr="002F50BD">
        <w:rPr>
          <w:rFonts w:ascii="Verdana" w:hAnsi="Verdana"/>
          <w:sz w:val="20"/>
          <w:lang w:val="pt-BR"/>
        </w:rPr>
        <w:t>conheceu</w:t>
      </w:r>
      <w:r w:rsidR="004756C1" w:rsidRPr="002F50BD">
        <w:rPr>
          <w:rFonts w:ascii="Verdana" w:hAnsi="Verdana"/>
          <w:sz w:val="20"/>
          <w:lang w:val="pt-BR"/>
        </w:rPr>
        <w:t xml:space="preserve"> que</w:t>
      </w:r>
      <w:r w:rsidR="0089298C" w:rsidRPr="002F50BD">
        <w:rPr>
          <w:rFonts w:ascii="Verdana" w:hAnsi="Verdana"/>
          <w:sz w:val="20"/>
          <w:lang w:val="pt-BR"/>
        </w:rPr>
        <w:t xml:space="preserve"> a </w:t>
      </w:r>
      <w:r w:rsidR="004756C1" w:rsidRPr="002F50BD">
        <w:rPr>
          <w:rFonts w:ascii="Verdana" w:hAnsi="Verdana"/>
          <w:sz w:val="20"/>
          <w:lang w:val="pt-BR"/>
        </w:rPr>
        <w:t>pobreza extrema atenta contra</w:t>
      </w:r>
      <w:r w:rsidR="0089298C" w:rsidRPr="002F50BD">
        <w:rPr>
          <w:rFonts w:ascii="Verdana" w:hAnsi="Verdana"/>
          <w:sz w:val="20"/>
          <w:lang w:val="pt-BR"/>
        </w:rPr>
        <w:t xml:space="preserve"> 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vida</w:t>
      </w:r>
      <w:r w:rsidR="0089298C" w:rsidRPr="002F50BD">
        <w:rPr>
          <w:rFonts w:ascii="Verdana" w:hAnsi="Verdana"/>
          <w:sz w:val="20"/>
          <w:lang w:val="pt-BR"/>
        </w:rPr>
        <w:t xml:space="preserve"> e determinou os direito</w:t>
      </w:r>
      <w:r w:rsidR="004756C1" w:rsidRPr="002F50BD">
        <w:rPr>
          <w:rFonts w:ascii="Verdana" w:hAnsi="Verdana"/>
          <w:sz w:val="20"/>
          <w:lang w:val="pt-BR"/>
        </w:rPr>
        <w:t>s humanos que</w:t>
      </w:r>
      <w:r w:rsidR="0089298C" w:rsidRPr="002F50BD">
        <w:rPr>
          <w:rFonts w:ascii="Verdana" w:hAnsi="Verdana"/>
          <w:sz w:val="20"/>
          <w:lang w:val="pt-BR"/>
        </w:rPr>
        <w:t xml:space="preserve"> são essenciais</w:t>
      </w:r>
      <w:r w:rsidR="004756C1" w:rsidRPr="002F50BD">
        <w:rPr>
          <w:rFonts w:ascii="Verdana" w:hAnsi="Verdana"/>
          <w:sz w:val="20"/>
          <w:lang w:val="pt-BR"/>
        </w:rPr>
        <w:t xml:space="preserve"> para</w:t>
      </w:r>
      <w:r w:rsidR="0089298C" w:rsidRPr="002F50BD">
        <w:rPr>
          <w:rFonts w:ascii="Verdana" w:hAnsi="Verdana"/>
          <w:sz w:val="20"/>
          <w:lang w:val="pt-BR"/>
        </w:rPr>
        <w:t xml:space="preserve"> a proteção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 xml:space="preserve">vida </w:t>
      </w:r>
      <w:r w:rsidR="00CF451D" w:rsidRPr="00CF451D">
        <w:rPr>
          <w:rFonts w:ascii="Verdana" w:hAnsi="Verdana"/>
          <w:sz w:val="20"/>
          <w:lang w:val="pt-BR"/>
        </w:rPr>
        <w:t>(</w:t>
      </w:r>
      <w:r w:rsidR="004756C1" w:rsidRPr="002F50BD">
        <w:rPr>
          <w:rFonts w:ascii="Verdana" w:hAnsi="Verdana"/>
          <w:sz w:val="20"/>
          <w:lang w:val="pt-BR"/>
        </w:rPr>
        <w:t>alimenta</w:t>
      </w:r>
      <w:r w:rsidR="0089298C" w:rsidRPr="002F50BD">
        <w:rPr>
          <w:rFonts w:ascii="Verdana" w:hAnsi="Verdana"/>
          <w:sz w:val="20"/>
          <w:lang w:val="pt-BR"/>
        </w:rPr>
        <w:t>ção</w:t>
      </w:r>
      <w:r w:rsidR="004756C1" w:rsidRPr="002F50BD">
        <w:rPr>
          <w:rFonts w:ascii="Verdana" w:hAnsi="Verdana"/>
          <w:sz w:val="20"/>
          <w:lang w:val="pt-BR"/>
        </w:rPr>
        <w:t>,</w:t>
      </w:r>
      <w:r w:rsidR="00AB454A" w:rsidRPr="002F50BD">
        <w:rPr>
          <w:rFonts w:ascii="Verdana" w:hAnsi="Verdana"/>
          <w:sz w:val="20"/>
          <w:lang w:val="pt-BR"/>
        </w:rPr>
        <w:t xml:space="preserve"> água </w:t>
      </w:r>
      <w:r w:rsidR="004756C1" w:rsidRPr="002F50BD">
        <w:rPr>
          <w:rFonts w:ascii="Verdana" w:hAnsi="Verdana"/>
          <w:sz w:val="20"/>
          <w:lang w:val="pt-BR"/>
        </w:rPr>
        <w:t>pot</w:t>
      </w:r>
      <w:r w:rsidR="00B0045F" w:rsidRPr="002F50BD">
        <w:rPr>
          <w:rFonts w:ascii="Verdana" w:hAnsi="Verdana"/>
          <w:sz w:val="20"/>
          <w:lang w:val="pt-BR"/>
        </w:rPr>
        <w:t>ável</w:t>
      </w:r>
      <w:r w:rsidR="004756C1" w:rsidRPr="002F50BD">
        <w:rPr>
          <w:rFonts w:ascii="Verdana" w:hAnsi="Verdana"/>
          <w:sz w:val="20"/>
          <w:lang w:val="pt-BR"/>
        </w:rPr>
        <w:t xml:space="preserve">, </w:t>
      </w:r>
      <w:r w:rsidR="0089298C" w:rsidRPr="002F50BD">
        <w:rPr>
          <w:rFonts w:ascii="Verdana" w:hAnsi="Verdana"/>
          <w:sz w:val="20"/>
          <w:lang w:val="pt-BR"/>
        </w:rPr>
        <w:t>saúde</w:t>
      </w:r>
      <w:r w:rsidR="00CF451D" w:rsidRPr="00CF451D">
        <w:rPr>
          <w:rFonts w:ascii="Verdana" w:hAnsi="Verdana"/>
          <w:sz w:val="20"/>
          <w:lang w:val="pt-BR"/>
        </w:rPr>
        <w:t>)</w:t>
      </w:r>
      <w:r w:rsidR="00691D45" w:rsidRPr="002F50BD">
        <w:rPr>
          <w:rFonts w:ascii="Verdana" w:hAnsi="Verdana"/>
          <w:sz w:val="20"/>
          <w:lang w:val="pt-BR"/>
        </w:rPr>
        <w:t>.</w:t>
      </w:r>
      <w:r w:rsidR="004756C1" w:rsidRPr="002F50BD">
        <w:rPr>
          <w:rStyle w:val="FootnoteReference"/>
          <w:rFonts w:ascii="Verdana" w:hAnsi="Verdana"/>
        </w:rPr>
        <w:footnoteReference w:id="252"/>
      </w:r>
      <w:r w:rsidR="004756C1" w:rsidRPr="002F50BD">
        <w:rPr>
          <w:rFonts w:ascii="Verdana" w:hAnsi="Verdana"/>
          <w:sz w:val="20"/>
          <w:lang w:val="pt-BR"/>
        </w:rPr>
        <w:t xml:space="preserve"> </w:t>
      </w:r>
      <w:r w:rsidR="004076AD" w:rsidRPr="002F50BD">
        <w:rPr>
          <w:rFonts w:ascii="Verdana" w:hAnsi="Verdana"/>
          <w:sz w:val="20"/>
          <w:lang w:val="pt-BR"/>
        </w:rPr>
        <w:t>Por sua vez</w:t>
      </w:r>
      <w:r w:rsidR="00691D45" w:rsidRPr="002F50BD">
        <w:rPr>
          <w:rFonts w:ascii="Verdana" w:hAnsi="Verdana"/>
          <w:sz w:val="20"/>
          <w:lang w:val="pt-BR"/>
        </w:rPr>
        <w:t>,</w:t>
      </w:r>
      <w:r w:rsidR="0089298C" w:rsidRPr="002F50BD">
        <w:rPr>
          <w:rFonts w:ascii="Verdana" w:hAnsi="Verdana"/>
          <w:sz w:val="20"/>
          <w:lang w:val="pt-BR"/>
        </w:rPr>
        <w:t xml:space="preserve"> a Conferência</w:t>
      </w:r>
      <w:r w:rsidR="004756C1" w:rsidRPr="002F50BD">
        <w:rPr>
          <w:rFonts w:ascii="Verdana" w:hAnsi="Verdana"/>
          <w:sz w:val="20"/>
          <w:lang w:val="pt-BR"/>
        </w:rPr>
        <w:t xml:space="preserve"> Mundial de </w:t>
      </w:r>
      <w:r w:rsidR="0089298C" w:rsidRPr="002F50BD">
        <w:rPr>
          <w:rFonts w:ascii="Verdana" w:hAnsi="Verdana"/>
          <w:sz w:val="20"/>
          <w:lang w:val="pt-BR"/>
        </w:rPr>
        <w:t>Direito</w:t>
      </w:r>
      <w:r w:rsidR="004756C1" w:rsidRPr="002F50BD">
        <w:rPr>
          <w:rFonts w:ascii="Verdana" w:hAnsi="Verdana"/>
          <w:sz w:val="20"/>
          <w:lang w:val="pt-BR"/>
        </w:rPr>
        <w:t>s Humanos, celebrada</w:t>
      </w:r>
      <w:r w:rsidR="0089298C" w:rsidRPr="002F50BD">
        <w:rPr>
          <w:rFonts w:ascii="Verdana" w:hAnsi="Verdana"/>
          <w:sz w:val="20"/>
          <w:lang w:val="pt-BR"/>
        </w:rPr>
        <w:t xml:space="preserve"> em </w:t>
      </w:r>
      <w:r w:rsidR="004756C1" w:rsidRPr="002F50BD">
        <w:rPr>
          <w:rFonts w:ascii="Verdana" w:hAnsi="Verdana"/>
          <w:sz w:val="20"/>
          <w:lang w:val="pt-BR"/>
        </w:rPr>
        <w:t>Viena</w:t>
      </w:r>
      <w:r w:rsidR="0089298C" w:rsidRPr="002F50BD">
        <w:rPr>
          <w:rFonts w:ascii="Verdana" w:hAnsi="Verdana"/>
          <w:sz w:val="20"/>
          <w:lang w:val="pt-BR"/>
        </w:rPr>
        <w:t xml:space="preserve"> em </w:t>
      </w:r>
      <w:r w:rsidRPr="002F50BD">
        <w:rPr>
          <w:rFonts w:ascii="Verdana" w:hAnsi="Verdana"/>
          <w:sz w:val="20"/>
          <w:lang w:val="pt-BR"/>
        </w:rPr>
        <w:t>1993</w:t>
      </w:r>
      <w:r w:rsidR="004756C1" w:rsidRPr="002F50BD">
        <w:rPr>
          <w:rFonts w:ascii="Verdana" w:hAnsi="Verdana"/>
          <w:sz w:val="20"/>
          <w:lang w:val="pt-BR"/>
        </w:rPr>
        <w:t xml:space="preserve">, </w:t>
      </w:r>
      <w:r w:rsidR="0089298C" w:rsidRPr="002F50BD">
        <w:rPr>
          <w:rFonts w:ascii="Verdana" w:hAnsi="Verdana"/>
          <w:sz w:val="20"/>
          <w:lang w:val="pt-BR"/>
        </w:rPr>
        <w:t>considerou</w:t>
      </w:r>
      <w:r w:rsidR="004756C1" w:rsidRPr="002F50BD">
        <w:rPr>
          <w:rFonts w:ascii="Verdana" w:hAnsi="Verdana"/>
          <w:sz w:val="20"/>
          <w:lang w:val="pt-BR"/>
        </w:rPr>
        <w:t xml:space="preserve"> que</w:t>
      </w:r>
      <w:r w:rsidR="0089298C" w:rsidRPr="002F50BD">
        <w:rPr>
          <w:rFonts w:ascii="Verdana" w:hAnsi="Verdana"/>
          <w:sz w:val="20"/>
          <w:lang w:val="pt-BR"/>
        </w:rPr>
        <w:t xml:space="preserve"> a </w:t>
      </w:r>
      <w:r w:rsidR="004756C1" w:rsidRPr="002F50BD">
        <w:rPr>
          <w:rFonts w:ascii="Verdana" w:hAnsi="Verdana"/>
          <w:sz w:val="20"/>
          <w:lang w:val="pt-BR"/>
        </w:rPr>
        <w:t xml:space="preserve">pobreza extrema </w:t>
      </w:r>
      <w:r w:rsidR="0089298C" w:rsidRPr="002F50BD">
        <w:rPr>
          <w:rFonts w:ascii="Verdana" w:hAnsi="Verdana"/>
          <w:sz w:val="20"/>
          <w:lang w:val="pt-BR"/>
        </w:rPr>
        <w:t xml:space="preserve">constitui um </w:t>
      </w:r>
      <w:r w:rsidR="004756C1" w:rsidRPr="002F50BD">
        <w:rPr>
          <w:rFonts w:ascii="Verdana" w:hAnsi="Verdana"/>
          <w:sz w:val="20"/>
          <w:lang w:val="pt-BR"/>
        </w:rPr>
        <w:t>atentado contra</w:t>
      </w:r>
      <w:r w:rsidR="0089298C" w:rsidRPr="002F50BD">
        <w:rPr>
          <w:rFonts w:ascii="Verdana" w:hAnsi="Verdana"/>
          <w:sz w:val="20"/>
          <w:lang w:val="pt-BR"/>
        </w:rPr>
        <w:t xml:space="preserve"> a dignidade </w:t>
      </w:r>
      <w:r w:rsidR="004756C1" w:rsidRPr="002F50BD">
        <w:rPr>
          <w:rFonts w:ascii="Verdana" w:hAnsi="Verdana"/>
          <w:sz w:val="20"/>
          <w:lang w:val="pt-BR"/>
        </w:rPr>
        <w:t>humana.</w:t>
      </w:r>
      <w:r w:rsidR="0089298C" w:rsidRPr="002F50BD">
        <w:rPr>
          <w:rFonts w:ascii="Verdana" w:hAnsi="Verdana"/>
          <w:sz w:val="20"/>
          <w:lang w:val="pt-BR"/>
        </w:rPr>
        <w:t xml:space="preserve"> </w:t>
      </w:r>
      <w:r w:rsidR="00691D45" w:rsidRPr="002F50BD">
        <w:rPr>
          <w:rFonts w:ascii="Verdana" w:hAnsi="Verdana"/>
          <w:sz w:val="20"/>
          <w:lang w:val="pt-BR"/>
        </w:rPr>
        <w:t>N</w:t>
      </w:r>
      <w:r w:rsidR="0089298C" w:rsidRPr="002F50BD">
        <w:rPr>
          <w:rFonts w:ascii="Verdana" w:hAnsi="Verdana"/>
          <w:sz w:val="20"/>
          <w:lang w:val="pt-BR"/>
        </w:rPr>
        <w:t xml:space="preserve">o </w:t>
      </w:r>
      <w:r w:rsidR="004756C1" w:rsidRPr="002F50BD">
        <w:rPr>
          <w:rFonts w:ascii="Verdana" w:hAnsi="Verdana"/>
          <w:sz w:val="20"/>
          <w:lang w:val="pt-BR"/>
        </w:rPr>
        <w:t>caso</w:t>
      </w:r>
      <w:r w:rsidR="0089298C" w:rsidRPr="002F50BD">
        <w:rPr>
          <w:rFonts w:ascii="Verdana" w:hAnsi="Verdana"/>
          <w:sz w:val="20"/>
          <w:lang w:val="pt-BR"/>
        </w:rPr>
        <w:t xml:space="preserve"> das </w:t>
      </w:r>
      <w:r w:rsidR="004756C1" w:rsidRPr="002F50BD">
        <w:rPr>
          <w:rFonts w:ascii="Verdana" w:hAnsi="Verdana"/>
          <w:sz w:val="20"/>
          <w:lang w:val="pt-BR"/>
        </w:rPr>
        <w:t>comunidades indígenas,</w:t>
      </w:r>
      <w:r w:rsidR="0089298C" w:rsidRPr="002F50BD">
        <w:rPr>
          <w:rFonts w:ascii="Verdana" w:hAnsi="Verdana"/>
          <w:sz w:val="20"/>
          <w:lang w:val="pt-BR"/>
        </w:rPr>
        <w:t xml:space="preserve"> em </w:t>
      </w:r>
      <w:r w:rsidR="004756C1" w:rsidRPr="002F50BD">
        <w:rPr>
          <w:rFonts w:ascii="Verdana" w:hAnsi="Verdana"/>
          <w:sz w:val="20"/>
          <w:lang w:val="pt-BR"/>
        </w:rPr>
        <w:t>especial</w:t>
      </w:r>
      <w:r w:rsidR="0089298C" w:rsidRPr="002F50BD">
        <w:rPr>
          <w:rFonts w:ascii="Verdana" w:hAnsi="Verdana"/>
          <w:sz w:val="20"/>
          <w:lang w:val="pt-BR"/>
        </w:rPr>
        <w:t xml:space="preserve"> as afeta</w:t>
      </w:r>
      <w:r w:rsidR="004756C1" w:rsidRPr="002F50BD">
        <w:rPr>
          <w:rFonts w:ascii="Verdana" w:hAnsi="Verdana"/>
          <w:sz w:val="20"/>
          <w:lang w:val="pt-BR"/>
        </w:rPr>
        <w:t>das</w:t>
      </w:r>
      <w:r w:rsidR="0089298C" w:rsidRPr="002F50BD">
        <w:rPr>
          <w:rFonts w:ascii="Verdana" w:hAnsi="Verdana"/>
          <w:sz w:val="20"/>
          <w:lang w:val="pt-BR"/>
        </w:rPr>
        <w:t xml:space="preserve"> pela </w:t>
      </w:r>
      <w:r w:rsidR="004756C1" w:rsidRPr="002F50BD">
        <w:rPr>
          <w:rFonts w:ascii="Verdana" w:hAnsi="Verdana"/>
          <w:sz w:val="20"/>
          <w:lang w:val="pt-BR"/>
        </w:rPr>
        <w:t>pobreza dura,</w:t>
      </w:r>
      <w:r w:rsidR="0089298C" w:rsidRPr="002F50BD">
        <w:rPr>
          <w:rFonts w:ascii="Verdana" w:hAnsi="Verdana"/>
          <w:sz w:val="20"/>
          <w:lang w:val="pt-BR"/>
        </w:rPr>
        <w:t xml:space="preserve"> a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de pobreza extrema implica</w:t>
      </w:r>
      <w:r w:rsidR="0089298C" w:rsidRPr="002F50BD">
        <w:rPr>
          <w:rFonts w:ascii="Verdana" w:hAnsi="Verdana"/>
          <w:sz w:val="20"/>
          <w:lang w:val="pt-BR"/>
        </w:rPr>
        <w:t xml:space="preserve"> </w:t>
      </w:r>
      <w:r w:rsidR="00BD774C" w:rsidRPr="002F50BD">
        <w:rPr>
          <w:rFonts w:ascii="Verdana" w:hAnsi="Verdana"/>
          <w:sz w:val="20"/>
          <w:lang w:val="pt-BR"/>
        </w:rPr>
        <w:t>n</w:t>
      </w:r>
      <w:r w:rsidR="0089298C" w:rsidRPr="002F50BD">
        <w:rPr>
          <w:rFonts w:ascii="Verdana" w:hAnsi="Verdana"/>
          <w:sz w:val="20"/>
          <w:lang w:val="pt-BR"/>
        </w:rPr>
        <w:t xml:space="preserve">a </w:t>
      </w:r>
      <w:r w:rsidR="004756C1" w:rsidRPr="002F50BD">
        <w:rPr>
          <w:rFonts w:ascii="Verdana" w:hAnsi="Verdana"/>
          <w:sz w:val="20"/>
          <w:lang w:val="pt-BR"/>
        </w:rPr>
        <w:t>denega</w:t>
      </w:r>
      <w:r w:rsidR="0089298C" w:rsidRPr="002F50BD">
        <w:rPr>
          <w:rFonts w:ascii="Verdana" w:hAnsi="Verdana"/>
          <w:sz w:val="20"/>
          <w:lang w:val="pt-BR"/>
        </w:rPr>
        <w:t>ção</w:t>
      </w:r>
      <w:r w:rsidR="004756C1" w:rsidRPr="002F50BD">
        <w:rPr>
          <w:rFonts w:ascii="Verdana" w:hAnsi="Verdana"/>
          <w:sz w:val="20"/>
          <w:lang w:val="pt-BR"/>
        </w:rPr>
        <w:t xml:space="preserve"> sistemática</w:t>
      </w:r>
      <w:r w:rsidR="0089298C" w:rsidRPr="002F50BD">
        <w:rPr>
          <w:rFonts w:ascii="Verdana" w:hAnsi="Verdana"/>
          <w:sz w:val="20"/>
          <w:lang w:val="pt-BR"/>
        </w:rPr>
        <w:t xml:space="preserve"> da possibilidade </w:t>
      </w:r>
      <w:r w:rsidR="004756C1" w:rsidRPr="002F50BD">
        <w:rPr>
          <w:rFonts w:ascii="Verdana" w:hAnsi="Verdana"/>
          <w:sz w:val="20"/>
          <w:lang w:val="pt-BR"/>
        </w:rPr>
        <w:t>de gozar</w:t>
      </w:r>
      <w:r w:rsidR="0089298C" w:rsidRPr="002F50BD">
        <w:rPr>
          <w:rFonts w:ascii="Verdana" w:hAnsi="Verdana"/>
          <w:sz w:val="20"/>
          <w:lang w:val="pt-BR"/>
        </w:rPr>
        <w:t xml:space="preserve"> dos direito</w:t>
      </w:r>
      <w:r w:rsidR="004756C1" w:rsidRPr="002F50BD">
        <w:rPr>
          <w:rFonts w:ascii="Verdana" w:hAnsi="Verdana"/>
          <w:sz w:val="20"/>
          <w:lang w:val="pt-BR"/>
        </w:rPr>
        <w:t xml:space="preserve">s </w:t>
      </w:r>
      <w:r w:rsidR="00AB454A" w:rsidRPr="002F50BD">
        <w:rPr>
          <w:rFonts w:ascii="Verdana" w:hAnsi="Verdana"/>
          <w:sz w:val="20"/>
          <w:lang w:val="pt-BR"/>
        </w:rPr>
        <w:t>inerente</w:t>
      </w:r>
      <w:r w:rsidR="004756C1" w:rsidRPr="002F50BD">
        <w:rPr>
          <w:rFonts w:ascii="Verdana" w:hAnsi="Verdana"/>
          <w:sz w:val="20"/>
          <w:lang w:val="pt-BR"/>
        </w:rPr>
        <w:t>s</w:t>
      </w:r>
      <w:r w:rsidR="0089298C" w:rsidRPr="002F50BD">
        <w:rPr>
          <w:rFonts w:ascii="Verdana" w:hAnsi="Verdana"/>
          <w:sz w:val="20"/>
          <w:lang w:val="pt-BR"/>
        </w:rPr>
        <w:t xml:space="preserve"> ao </w:t>
      </w:r>
      <w:r w:rsidR="004756C1" w:rsidRPr="002F50BD">
        <w:rPr>
          <w:rFonts w:ascii="Verdana" w:hAnsi="Verdana"/>
          <w:sz w:val="20"/>
          <w:lang w:val="pt-BR"/>
        </w:rPr>
        <w:t>ser humano</w:t>
      </w:r>
      <w:r w:rsidR="00691D45" w:rsidRPr="002F50BD">
        <w:rPr>
          <w:rFonts w:ascii="Verdana" w:hAnsi="Verdana"/>
          <w:sz w:val="20"/>
          <w:lang w:val="pt-BR"/>
        </w:rPr>
        <w:t>.</w:t>
      </w:r>
      <w:r w:rsidR="004756C1" w:rsidRPr="002F50BD">
        <w:rPr>
          <w:rStyle w:val="FootnoteReference"/>
          <w:rFonts w:ascii="Verdana" w:hAnsi="Verdana"/>
        </w:rPr>
        <w:footnoteReference w:id="253"/>
      </w:r>
      <w:r w:rsidR="00BE346D" w:rsidRPr="002F50BD">
        <w:rPr>
          <w:rFonts w:ascii="Verdana" w:hAnsi="Verdana"/>
          <w:sz w:val="20"/>
          <w:lang w:val="pt-BR"/>
        </w:rPr>
        <w:t xml:space="preserve"> A </w:t>
      </w:r>
      <w:r w:rsidR="0089298C" w:rsidRPr="002F50BD">
        <w:rPr>
          <w:rFonts w:ascii="Verdana" w:hAnsi="Verdana"/>
          <w:sz w:val="20"/>
          <w:lang w:val="pt-BR"/>
        </w:rPr>
        <w:t xml:space="preserve">Comunidade </w:t>
      </w:r>
      <w:r w:rsidR="004756C1" w:rsidRPr="002F50BD">
        <w:rPr>
          <w:rFonts w:ascii="Verdana" w:hAnsi="Verdana"/>
          <w:sz w:val="20"/>
          <w:lang w:val="pt-BR"/>
        </w:rPr>
        <w:t xml:space="preserve">Yakye Axa </w:t>
      </w:r>
      <w:r w:rsidR="0089298C" w:rsidRPr="002F50BD">
        <w:rPr>
          <w:rFonts w:ascii="Verdana" w:hAnsi="Verdana"/>
          <w:sz w:val="20"/>
          <w:lang w:val="pt-BR"/>
        </w:rPr>
        <w:t>certa</w:t>
      </w:r>
      <w:r w:rsidR="004756C1" w:rsidRPr="002F50BD">
        <w:rPr>
          <w:rFonts w:ascii="Verdana" w:hAnsi="Verdana"/>
          <w:sz w:val="20"/>
          <w:lang w:val="pt-BR"/>
        </w:rPr>
        <w:t xml:space="preserve">mente está </w:t>
      </w:r>
      <w:r w:rsidR="0089298C" w:rsidRPr="002F50BD">
        <w:rPr>
          <w:rFonts w:ascii="Verdana" w:hAnsi="Verdana"/>
          <w:sz w:val="20"/>
          <w:lang w:val="pt-BR"/>
        </w:rPr>
        <w:t>afeta</w:t>
      </w:r>
      <w:r w:rsidR="004756C1" w:rsidRPr="002F50BD">
        <w:rPr>
          <w:rFonts w:ascii="Verdana" w:hAnsi="Verdana"/>
          <w:sz w:val="20"/>
          <w:lang w:val="pt-BR"/>
        </w:rPr>
        <w:t>da</w:t>
      </w:r>
      <w:r w:rsidR="0089298C" w:rsidRPr="002F50BD">
        <w:rPr>
          <w:rFonts w:ascii="Verdana" w:hAnsi="Verdana"/>
          <w:sz w:val="20"/>
          <w:lang w:val="pt-BR"/>
        </w:rPr>
        <w:t xml:space="preserve"> pela </w:t>
      </w:r>
      <w:r w:rsidR="004756C1" w:rsidRPr="002F50BD">
        <w:rPr>
          <w:rFonts w:ascii="Verdana" w:hAnsi="Verdana"/>
          <w:sz w:val="20"/>
          <w:lang w:val="pt-BR"/>
        </w:rPr>
        <w:t xml:space="preserve">extrema pobreza, conforme </w:t>
      </w:r>
      <w:r w:rsidR="0089298C" w:rsidRPr="002F50BD">
        <w:rPr>
          <w:rFonts w:ascii="Verdana" w:hAnsi="Verdana"/>
          <w:sz w:val="20"/>
          <w:lang w:val="pt-BR"/>
        </w:rPr>
        <w:t>os testemunho</w:t>
      </w:r>
      <w:r w:rsidR="004756C1" w:rsidRPr="002F50BD">
        <w:rPr>
          <w:rFonts w:ascii="Verdana" w:hAnsi="Verdana"/>
          <w:sz w:val="20"/>
          <w:lang w:val="pt-BR"/>
        </w:rPr>
        <w:t xml:space="preserve">s </w:t>
      </w:r>
      <w:r w:rsidR="00691D45" w:rsidRPr="002F50BD">
        <w:rPr>
          <w:rFonts w:ascii="Verdana" w:hAnsi="Verdana"/>
          <w:sz w:val="20"/>
          <w:lang w:val="pt-BR"/>
        </w:rPr>
        <w:t xml:space="preserve">prestados </w:t>
      </w:r>
      <w:r w:rsidR="004756C1" w:rsidRPr="002F50BD">
        <w:rPr>
          <w:rFonts w:ascii="Verdana" w:hAnsi="Verdana"/>
          <w:sz w:val="20"/>
          <w:lang w:val="pt-BR"/>
        </w:rPr>
        <w:t xml:space="preserve">por </w:t>
      </w:r>
      <w:r w:rsidR="0089298C" w:rsidRPr="002F50BD">
        <w:rPr>
          <w:rFonts w:ascii="Verdana" w:hAnsi="Verdana"/>
          <w:sz w:val="20"/>
          <w:lang w:val="pt-BR"/>
        </w:rPr>
        <w:t>testemunha</w:t>
      </w:r>
      <w:r w:rsidR="004756C1" w:rsidRPr="002F50BD">
        <w:rPr>
          <w:rFonts w:ascii="Verdana" w:hAnsi="Verdana"/>
          <w:sz w:val="20"/>
          <w:lang w:val="pt-BR"/>
        </w:rPr>
        <w:t>s</w:t>
      </w:r>
      <w:r w:rsidR="0089298C" w:rsidRPr="002F50BD">
        <w:rPr>
          <w:rFonts w:ascii="Verdana" w:hAnsi="Verdana"/>
          <w:sz w:val="20"/>
          <w:lang w:val="pt-BR"/>
        </w:rPr>
        <w:t xml:space="preserve"> e </w:t>
      </w:r>
      <w:r w:rsidR="004756C1" w:rsidRPr="002F50BD">
        <w:rPr>
          <w:rFonts w:ascii="Verdana" w:hAnsi="Verdana"/>
          <w:sz w:val="20"/>
          <w:lang w:val="pt-BR"/>
        </w:rPr>
        <w:t>peritos</w:t>
      </w:r>
      <w:r w:rsidR="00691D45" w:rsidRPr="002F50BD">
        <w:rPr>
          <w:rFonts w:ascii="Verdana" w:hAnsi="Verdana"/>
          <w:sz w:val="20"/>
          <w:lang w:val="pt-BR"/>
        </w:rPr>
        <w:t>.</w:t>
      </w:r>
      <w:r w:rsidR="004756C1" w:rsidRPr="002F50BD">
        <w:rPr>
          <w:rStyle w:val="FootnoteReference"/>
          <w:rFonts w:ascii="Verdana" w:hAnsi="Verdana"/>
        </w:rPr>
        <w:footnoteReference w:id="254"/>
      </w:r>
    </w:p>
    <w:p w:rsidR="004756C1" w:rsidRPr="002F50BD" w:rsidRDefault="004756C1">
      <w:pPr>
        <w:jc w:val="both"/>
        <w:rPr>
          <w:rFonts w:ascii="Verdana" w:hAnsi="Verdana"/>
          <w:sz w:val="20"/>
          <w:lang w:val="pt-BR"/>
        </w:rPr>
      </w:pPr>
    </w:p>
    <w:p w:rsidR="004756C1" w:rsidRPr="002F50BD" w:rsidRDefault="00063B47">
      <w:pPr>
        <w:pStyle w:val="BodyText"/>
        <w:rPr>
          <w:rFonts w:ascii="Verdana" w:hAnsi="Verdana"/>
          <w:sz w:val="20"/>
          <w:lang w:val="pt-BR"/>
        </w:rPr>
      </w:pPr>
      <w:r w:rsidRPr="002F50BD">
        <w:rPr>
          <w:rFonts w:ascii="Verdana" w:hAnsi="Verdana"/>
          <w:sz w:val="20"/>
          <w:lang w:val="pt-BR"/>
        </w:rPr>
        <w:t>29</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As </w:t>
      </w:r>
      <w:r w:rsidR="004756C1" w:rsidRPr="002F50BD">
        <w:rPr>
          <w:rFonts w:ascii="Verdana" w:hAnsi="Verdana"/>
          <w:sz w:val="20"/>
          <w:lang w:val="pt-BR"/>
        </w:rPr>
        <w:t>interven</w:t>
      </w:r>
      <w:r w:rsidR="0089298C" w:rsidRPr="002F50BD">
        <w:rPr>
          <w:rFonts w:ascii="Verdana" w:hAnsi="Verdana"/>
          <w:sz w:val="20"/>
          <w:lang w:val="pt-BR"/>
        </w:rPr>
        <w:t>ções</w:t>
      </w:r>
      <w:r w:rsidR="004756C1" w:rsidRPr="002F50BD">
        <w:rPr>
          <w:rFonts w:ascii="Verdana" w:hAnsi="Verdana"/>
          <w:sz w:val="20"/>
          <w:lang w:val="pt-BR"/>
        </w:rPr>
        <w:t xml:space="preserve"> </w:t>
      </w:r>
      <w:r w:rsidR="00691D45" w:rsidRPr="002F50BD">
        <w:rPr>
          <w:rFonts w:ascii="Verdana" w:hAnsi="Verdana"/>
          <w:sz w:val="20"/>
          <w:lang w:val="pt-BR"/>
        </w:rPr>
        <w:t>feitas pel</w:t>
      </w:r>
      <w:r w:rsidR="00AB454A" w:rsidRPr="002F50BD">
        <w:rPr>
          <w:rFonts w:ascii="Verdana" w:hAnsi="Verdana"/>
          <w:sz w:val="20"/>
          <w:lang w:val="pt-BR"/>
        </w:rPr>
        <w:t xml:space="preserve">o </w:t>
      </w:r>
      <w:r w:rsidR="004756C1" w:rsidRPr="002F50BD">
        <w:rPr>
          <w:rFonts w:ascii="Verdana" w:hAnsi="Verdana"/>
          <w:sz w:val="20"/>
          <w:lang w:val="pt-BR"/>
        </w:rPr>
        <w:t xml:space="preserve">Estado </w:t>
      </w:r>
      <w:r w:rsidR="0089298C" w:rsidRPr="002F50BD">
        <w:rPr>
          <w:rFonts w:ascii="Verdana" w:hAnsi="Verdana"/>
          <w:sz w:val="20"/>
          <w:lang w:val="pt-BR"/>
        </w:rPr>
        <w:t>devem</w:t>
      </w:r>
      <w:r w:rsidR="004756C1" w:rsidRPr="002F50BD">
        <w:rPr>
          <w:rFonts w:ascii="Verdana" w:hAnsi="Verdana"/>
          <w:sz w:val="20"/>
          <w:lang w:val="pt-BR"/>
        </w:rPr>
        <w:t xml:space="preserve"> prevenir, mitigar</w:t>
      </w:r>
      <w:r w:rsidR="0089298C" w:rsidRPr="002F50BD">
        <w:rPr>
          <w:rFonts w:ascii="Verdana" w:hAnsi="Verdana"/>
          <w:sz w:val="20"/>
          <w:lang w:val="pt-BR"/>
        </w:rPr>
        <w:t xml:space="preserve"> e </w:t>
      </w:r>
      <w:r w:rsidR="004756C1" w:rsidRPr="002F50BD">
        <w:rPr>
          <w:rFonts w:ascii="Verdana" w:hAnsi="Verdana"/>
          <w:sz w:val="20"/>
          <w:lang w:val="pt-BR"/>
        </w:rPr>
        <w:t>superar</w:t>
      </w:r>
      <w:r w:rsidR="0089298C" w:rsidRPr="002F50BD">
        <w:rPr>
          <w:rFonts w:ascii="Verdana" w:hAnsi="Verdana"/>
          <w:sz w:val="20"/>
          <w:lang w:val="pt-BR"/>
        </w:rPr>
        <w:t xml:space="preserve"> os risco</w:t>
      </w:r>
      <w:r w:rsidR="004756C1" w:rsidRPr="002F50BD">
        <w:rPr>
          <w:rFonts w:ascii="Verdana" w:hAnsi="Verdana"/>
          <w:sz w:val="20"/>
          <w:lang w:val="pt-BR"/>
        </w:rPr>
        <w:t>s,</w:t>
      </w:r>
      <w:r w:rsidR="0089298C" w:rsidRPr="002F50BD">
        <w:rPr>
          <w:rFonts w:ascii="Verdana" w:hAnsi="Verdana"/>
          <w:sz w:val="20"/>
          <w:lang w:val="pt-BR"/>
        </w:rPr>
        <w:t xml:space="preserve"> tais </w:t>
      </w:r>
      <w:r w:rsidR="004756C1" w:rsidRPr="002F50BD">
        <w:rPr>
          <w:rFonts w:ascii="Verdana" w:hAnsi="Verdana"/>
          <w:sz w:val="20"/>
          <w:lang w:val="pt-BR"/>
        </w:rPr>
        <w:t>como desnutri</w:t>
      </w:r>
      <w:r w:rsidR="0089298C" w:rsidRPr="002F50BD">
        <w:rPr>
          <w:rFonts w:ascii="Verdana" w:hAnsi="Verdana"/>
          <w:sz w:val="20"/>
          <w:lang w:val="pt-BR"/>
        </w:rPr>
        <w:t>ção</w:t>
      </w:r>
      <w:r w:rsidR="004756C1" w:rsidRPr="002F50BD">
        <w:rPr>
          <w:rFonts w:ascii="Verdana" w:hAnsi="Verdana"/>
          <w:sz w:val="20"/>
          <w:lang w:val="pt-BR"/>
        </w:rPr>
        <w:t>, preval</w:t>
      </w:r>
      <w:r w:rsidR="00691D45" w:rsidRPr="002F50BD">
        <w:rPr>
          <w:rFonts w:ascii="Verdana" w:hAnsi="Verdana"/>
          <w:sz w:val="20"/>
          <w:lang w:val="pt-BR"/>
        </w:rPr>
        <w:t>ê</w:t>
      </w:r>
      <w:r w:rsidR="004756C1" w:rsidRPr="002F50BD">
        <w:rPr>
          <w:rFonts w:ascii="Verdana" w:hAnsi="Verdana"/>
          <w:sz w:val="20"/>
          <w:lang w:val="pt-BR"/>
        </w:rPr>
        <w:t>ncia de anemia, morbilidad</w:t>
      </w:r>
      <w:r w:rsidR="00691D45" w:rsidRPr="002F50BD">
        <w:rPr>
          <w:rFonts w:ascii="Verdana" w:hAnsi="Verdana"/>
          <w:sz w:val="20"/>
          <w:lang w:val="pt-BR"/>
        </w:rPr>
        <w:t>e</w:t>
      </w:r>
      <w:r w:rsidR="0089298C" w:rsidRPr="002F50BD">
        <w:rPr>
          <w:rFonts w:ascii="Verdana" w:hAnsi="Verdana"/>
          <w:sz w:val="20"/>
          <w:lang w:val="pt-BR"/>
        </w:rPr>
        <w:t xml:space="preserve"> e </w:t>
      </w:r>
      <w:r w:rsidR="004756C1" w:rsidRPr="002F50BD">
        <w:rPr>
          <w:rFonts w:ascii="Verdana" w:hAnsi="Verdana"/>
          <w:sz w:val="20"/>
          <w:lang w:val="pt-BR"/>
        </w:rPr>
        <w:t>mortalidad</w:t>
      </w:r>
      <w:r w:rsidR="00691D45" w:rsidRPr="002F50BD">
        <w:rPr>
          <w:rFonts w:ascii="Verdana" w:hAnsi="Verdana"/>
          <w:sz w:val="20"/>
          <w:lang w:val="pt-BR"/>
        </w:rPr>
        <w:t>e</w:t>
      </w:r>
      <w:r w:rsidR="004756C1" w:rsidRPr="002F50BD">
        <w:rPr>
          <w:rFonts w:ascii="Verdana" w:hAnsi="Verdana"/>
          <w:sz w:val="20"/>
          <w:lang w:val="pt-BR"/>
        </w:rPr>
        <w:t>, cr</w:t>
      </w:r>
      <w:r w:rsidR="00691D45" w:rsidRPr="002F50BD">
        <w:rPr>
          <w:rFonts w:ascii="Verdana" w:hAnsi="Verdana"/>
          <w:sz w:val="20"/>
          <w:lang w:val="pt-BR"/>
        </w:rPr>
        <w:t>i</w:t>
      </w:r>
      <w:r w:rsidR="004756C1" w:rsidRPr="002F50BD">
        <w:rPr>
          <w:rFonts w:ascii="Verdana" w:hAnsi="Verdana"/>
          <w:sz w:val="20"/>
          <w:lang w:val="pt-BR"/>
        </w:rPr>
        <w:t>ando</w:t>
      </w:r>
      <w:r w:rsidR="0089298C" w:rsidRPr="002F50BD">
        <w:rPr>
          <w:rFonts w:ascii="Verdana" w:hAnsi="Verdana"/>
          <w:sz w:val="20"/>
          <w:lang w:val="pt-BR"/>
        </w:rPr>
        <w:t xml:space="preserv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mínimas</w:t>
      </w:r>
      <w:r w:rsidR="0089298C" w:rsidRPr="002F50BD">
        <w:rPr>
          <w:rFonts w:ascii="Verdana" w:hAnsi="Verdana"/>
          <w:sz w:val="20"/>
          <w:lang w:val="pt-BR"/>
        </w:rPr>
        <w:t xml:space="preserve"> em matéria </w:t>
      </w:r>
      <w:r w:rsidR="004756C1" w:rsidRPr="002F50BD">
        <w:rPr>
          <w:rFonts w:ascii="Verdana" w:hAnsi="Verdana"/>
          <w:sz w:val="20"/>
          <w:lang w:val="pt-BR"/>
        </w:rPr>
        <w:t xml:space="preserve">de </w:t>
      </w:r>
      <w:r w:rsidR="0089298C" w:rsidRPr="002F50BD">
        <w:rPr>
          <w:rFonts w:ascii="Verdana" w:hAnsi="Verdana"/>
          <w:sz w:val="20"/>
          <w:lang w:val="pt-BR"/>
        </w:rPr>
        <w:t xml:space="preserve">assistência </w:t>
      </w:r>
      <w:r w:rsidR="00CE1AC8" w:rsidRPr="002F50BD">
        <w:rPr>
          <w:rFonts w:ascii="Verdana" w:hAnsi="Verdana"/>
          <w:sz w:val="20"/>
          <w:lang w:val="pt-BR"/>
        </w:rPr>
        <w:t>à</w:t>
      </w:r>
      <w:r w:rsidR="0089298C" w:rsidRPr="002F50BD">
        <w:rPr>
          <w:rFonts w:ascii="Verdana" w:hAnsi="Verdana"/>
          <w:sz w:val="20"/>
          <w:lang w:val="pt-BR"/>
        </w:rPr>
        <w:t xml:space="preserve"> saúde</w:t>
      </w:r>
      <w:r w:rsidR="004756C1" w:rsidRPr="002F50BD">
        <w:rPr>
          <w:rFonts w:ascii="Verdana" w:hAnsi="Verdana"/>
          <w:sz w:val="20"/>
          <w:lang w:val="pt-BR"/>
        </w:rPr>
        <w:t>, nutri</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adequad</w:t>
      </w:r>
      <w:r w:rsidR="004756C1" w:rsidRPr="002F50BD">
        <w:rPr>
          <w:rFonts w:ascii="Verdana" w:hAnsi="Verdana"/>
          <w:sz w:val="20"/>
          <w:lang w:val="pt-BR"/>
        </w:rPr>
        <w:t>a, educa</w:t>
      </w:r>
      <w:r w:rsidR="0089298C" w:rsidRPr="002F50BD">
        <w:rPr>
          <w:rFonts w:ascii="Verdana" w:hAnsi="Verdana"/>
          <w:sz w:val="20"/>
          <w:lang w:val="pt-BR"/>
        </w:rPr>
        <w:t>ção</w:t>
      </w:r>
      <w:r w:rsidR="004756C1" w:rsidRPr="002F50BD">
        <w:rPr>
          <w:rFonts w:ascii="Verdana" w:hAnsi="Verdana"/>
          <w:sz w:val="20"/>
          <w:lang w:val="pt-BR"/>
        </w:rPr>
        <w:t>, forma</w:t>
      </w:r>
      <w:r w:rsidR="0089298C" w:rsidRPr="002F50BD">
        <w:rPr>
          <w:rFonts w:ascii="Verdana" w:hAnsi="Verdana"/>
          <w:sz w:val="20"/>
          <w:lang w:val="pt-BR"/>
        </w:rPr>
        <w:t>ção</w:t>
      </w:r>
      <w:r w:rsidR="004756C1" w:rsidRPr="002F50BD">
        <w:rPr>
          <w:rFonts w:ascii="Verdana" w:hAnsi="Verdana"/>
          <w:sz w:val="20"/>
          <w:lang w:val="pt-BR"/>
        </w:rPr>
        <w:t xml:space="preserve"> para</w:t>
      </w:r>
      <w:r w:rsidR="0089298C" w:rsidRPr="002F50BD">
        <w:rPr>
          <w:rFonts w:ascii="Verdana" w:hAnsi="Verdana"/>
          <w:sz w:val="20"/>
          <w:lang w:val="pt-BR"/>
        </w:rPr>
        <w:t xml:space="preserve"> o trabalho e</w:t>
      </w:r>
      <w:r w:rsidR="004756C1" w:rsidRPr="002F50BD">
        <w:rPr>
          <w:rFonts w:ascii="Verdana" w:hAnsi="Verdana"/>
          <w:sz w:val="20"/>
          <w:lang w:val="pt-BR"/>
        </w:rPr>
        <w:t xml:space="preserve"> gera</w:t>
      </w:r>
      <w:r w:rsidR="0089298C" w:rsidRPr="002F50BD">
        <w:rPr>
          <w:rFonts w:ascii="Verdana" w:hAnsi="Verdana"/>
          <w:sz w:val="20"/>
          <w:lang w:val="pt-BR"/>
        </w:rPr>
        <w:t>ção</w:t>
      </w:r>
      <w:r w:rsidR="004756C1" w:rsidRPr="002F50BD">
        <w:rPr>
          <w:rFonts w:ascii="Verdana" w:hAnsi="Verdana"/>
          <w:sz w:val="20"/>
          <w:lang w:val="pt-BR"/>
        </w:rPr>
        <w:t xml:space="preserve"> de </w:t>
      </w:r>
      <w:r w:rsidR="00CE1AC8" w:rsidRPr="002F50BD">
        <w:rPr>
          <w:rFonts w:ascii="Verdana" w:hAnsi="Verdana"/>
          <w:sz w:val="20"/>
          <w:lang w:val="pt-BR"/>
        </w:rPr>
        <w:t>renda</w:t>
      </w:r>
      <w:r w:rsidR="0089298C" w:rsidRPr="002F50BD">
        <w:rPr>
          <w:rFonts w:ascii="Verdana" w:hAnsi="Verdana"/>
          <w:sz w:val="20"/>
          <w:lang w:val="pt-BR"/>
        </w:rPr>
        <w:t xml:space="preserve">. </w:t>
      </w:r>
      <w:r w:rsidR="00691D45" w:rsidRPr="002F50BD">
        <w:rPr>
          <w:rFonts w:ascii="Verdana" w:hAnsi="Verdana"/>
          <w:sz w:val="20"/>
          <w:lang w:val="pt-BR"/>
        </w:rPr>
        <w:t>P</w:t>
      </w:r>
      <w:r w:rsidR="0089298C" w:rsidRPr="002F50BD">
        <w:rPr>
          <w:rFonts w:ascii="Verdana" w:hAnsi="Verdana"/>
          <w:sz w:val="20"/>
          <w:lang w:val="pt-BR"/>
        </w:rPr>
        <w:t>or sua vez</w:t>
      </w:r>
      <w:r w:rsidR="00691D45" w:rsidRPr="002F50BD">
        <w:rPr>
          <w:rFonts w:ascii="Verdana" w:hAnsi="Verdana"/>
          <w:sz w:val="20"/>
          <w:lang w:val="pt-BR"/>
        </w:rPr>
        <w:t>,</w:t>
      </w:r>
      <w:r w:rsidR="0089298C" w:rsidRPr="002F50BD">
        <w:rPr>
          <w:rFonts w:ascii="Verdana" w:hAnsi="Verdana"/>
          <w:sz w:val="20"/>
          <w:lang w:val="pt-BR"/>
        </w:rPr>
        <w:t xml:space="preserve"> os fato</w:t>
      </w:r>
      <w:r w:rsidR="004756C1" w:rsidRPr="002F50BD">
        <w:rPr>
          <w:rFonts w:ascii="Verdana" w:hAnsi="Verdana"/>
          <w:sz w:val="20"/>
          <w:lang w:val="pt-BR"/>
        </w:rPr>
        <w:t xml:space="preserve">res protetores que </w:t>
      </w:r>
      <w:r w:rsidR="0089298C" w:rsidRPr="002F50BD">
        <w:rPr>
          <w:rFonts w:ascii="Verdana" w:hAnsi="Verdana"/>
          <w:sz w:val="20"/>
          <w:lang w:val="pt-BR"/>
        </w:rPr>
        <w:t>devem</w:t>
      </w:r>
      <w:r w:rsidR="004756C1" w:rsidRPr="002F50BD">
        <w:rPr>
          <w:rFonts w:ascii="Verdana" w:hAnsi="Verdana"/>
          <w:sz w:val="20"/>
          <w:lang w:val="pt-BR"/>
        </w:rPr>
        <w:t xml:space="preserve"> ser </w:t>
      </w:r>
      <w:r w:rsidR="0089298C" w:rsidRPr="002F50BD">
        <w:rPr>
          <w:rFonts w:ascii="Verdana" w:hAnsi="Verdana"/>
          <w:sz w:val="20"/>
          <w:lang w:val="pt-BR"/>
        </w:rPr>
        <w:t>garantid</w:t>
      </w:r>
      <w:r w:rsidR="004756C1" w:rsidRPr="002F50BD">
        <w:rPr>
          <w:rFonts w:ascii="Verdana" w:hAnsi="Verdana"/>
          <w:sz w:val="20"/>
          <w:lang w:val="pt-BR"/>
        </w:rPr>
        <w:t>os</w:t>
      </w:r>
      <w:r w:rsidR="0089298C" w:rsidRPr="002F50BD">
        <w:rPr>
          <w:rFonts w:ascii="Verdana" w:hAnsi="Verdana"/>
          <w:sz w:val="20"/>
          <w:lang w:val="pt-BR"/>
        </w:rPr>
        <w:t xml:space="preserve"> pelo </w:t>
      </w:r>
      <w:r w:rsidR="004756C1" w:rsidRPr="002F50BD">
        <w:rPr>
          <w:rFonts w:ascii="Verdana" w:hAnsi="Verdana"/>
          <w:sz w:val="20"/>
          <w:lang w:val="pt-BR"/>
        </w:rPr>
        <w:t xml:space="preserve">Estado, </w:t>
      </w:r>
      <w:r w:rsidR="00691D45" w:rsidRPr="002F50BD">
        <w:rPr>
          <w:rFonts w:ascii="Verdana" w:hAnsi="Verdana"/>
          <w:sz w:val="20"/>
          <w:lang w:val="pt-BR"/>
        </w:rPr>
        <w:t xml:space="preserve">incluindo </w:t>
      </w:r>
      <w:r w:rsidR="0089298C" w:rsidRPr="002F50BD">
        <w:rPr>
          <w:rFonts w:ascii="Verdana" w:hAnsi="Verdana"/>
          <w:sz w:val="20"/>
          <w:lang w:val="pt-BR"/>
        </w:rPr>
        <w:t>serviço</w:t>
      </w:r>
      <w:r w:rsidR="004756C1" w:rsidRPr="002F50BD">
        <w:rPr>
          <w:rFonts w:ascii="Verdana" w:hAnsi="Verdana"/>
          <w:sz w:val="20"/>
          <w:lang w:val="pt-BR"/>
        </w:rPr>
        <w:t>s médicos, condi</w:t>
      </w:r>
      <w:r w:rsidR="0089298C" w:rsidRPr="002F50BD">
        <w:rPr>
          <w:rFonts w:ascii="Verdana" w:hAnsi="Verdana"/>
          <w:sz w:val="20"/>
          <w:lang w:val="pt-BR"/>
        </w:rPr>
        <w:t>ções</w:t>
      </w:r>
      <w:r w:rsidR="004756C1" w:rsidRPr="002F50BD">
        <w:rPr>
          <w:rFonts w:ascii="Verdana" w:hAnsi="Verdana"/>
          <w:sz w:val="20"/>
          <w:lang w:val="pt-BR"/>
        </w:rPr>
        <w:t xml:space="preserve"> para auto</w:t>
      </w:r>
      <w:r w:rsidR="00691D45" w:rsidRPr="002F50BD">
        <w:rPr>
          <w:rFonts w:ascii="Verdana" w:hAnsi="Verdana"/>
          <w:sz w:val="20"/>
          <w:lang w:val="pt-BR"/>
        </w:rPr>
        <w:t>p</w:t>
      </w:r>
      <w:r w:rsidR="0089298C" w:rsidRPr="002F50BD">
        <w:rPr>
          <w:rFonts w:ascii="Verdana" w:hAnsi="Verdana"/>
          <w:sz w:val="20"/>
          <w:lang w:val="pt-BR"/>
        </w:rPr>
        <w:t>rodução</w:t>
      </w:r>
      <w:r w:rsidR="004756C1" w:rsidRPr="002F50BD">
        <w:rPr>
          <w:rFonts w:ascii="Verdana" w:hAnsi="Verdana"/>
          <w:sz w:val="20"/>
          <w:lang w:val="pt-BR"/>
        </w:rPr>
        <w:t xml:space="preserve"> de alimentos e integra</w:t>
      </w:r>
      <w:r w:rsidR="0089298C" w:rsidRPr="002F50BD">
        <w:rPr>
          <w:rFonts w:ascii="Verdana" w:hAnsi="Verdana"/>
          <w:sz w:val="20"/>
          <w:lang w:val="pt-BR"/>
        </w:rPr>
        <w:t>ção</w:t>
      </w:r>
      <w:r w:rsidR="004756C1" w:rsidRPr="002F50BD">
        <w:rPr>
          <w:rFonts w:ascii="Verdana" w:hAnsi="Verdana"/>
          <w:sz w:val="20"/>
          <w:lang w:val="pt-BR"/>
        </w:rPr>
        <w:t xml:space="preserve"> a redes </w:t>
      </w:r>
      <w:r w:rsidR="004076AD" w:rsidRPr="002F50BD">
        <w:rPr>
          <w:rFonts w:ascii="Verdana" w:hAnsi="Verdana"/>
          <w:sz w:val="20"/>
          <w:lang w:val="pt-BR"/>
        </w:rPr>
        <w:t>comunitári</w:t>
      </w:r>
      <w:r w:rsidR="004756C1" w:rsidRPr="002F50BD">
        <w:rPr>
          <w:rFonts w:ascii="Verdana" w:hAnsi="Verdana"/>
          <w:sz w:val="20"/>
          <w:lang w:val="pt-BR"/>
        </w:rPr>
        <w:t xml:space="preserve">as que </w:t>
      </w:r>
      <w:r w:rsidR="0089298C" w:rsidRPr="002F50BD">
        <w:rPr>
          <w:rFonts w:ascii="Verdana" w:hAnsi="Verdana"/>
          <w:sz w:val="20"/>
          <w:lang w:val="pt-BR"/>
        </w:rPr>
        <w:t xml:space="preserve">permitam uma </w:t>
      </w:r>
      <w:r w:rsidR="004756C1" w:rsidRPr="002F50BD">
        <w:rPr>
          <w:rFonts w:ascii="Verdana" w:hAnsi="Verdana"/>
          <w:sz w:val="20"/>
          <w:lang w:val="pt-BR"/>
        </w:rPr>
        <w:t>autosufici</w:t>
      </w:r>
      <w:r w:rsidR="00691D45" w:rsidRPr="002F50BD">
        <w:rPr>
          <w:rFonts w:ascii="Verdana" w:hAnsi="Verdana"/>
          <w:sz w:val="20"/>
          <w:lang w:val="pt-BR"/>
        </w:rPr>
        <w:t>ê</w:t>
      </w:r>
      <w:r w:rsidR="004756C1" w:rsidRPr="002F50BD">
        <w:rPr>
          <w:rFonts w:ascii="Verdana" w:hAnsi="Verdana"/>
          <w:sz w:val="20"/>
          <w:lang w:val="pt-BR"/>
        </w:rPr>
        <w:t xml:space="preserve">ncia mínima, </w:t>
      </w:r>
      <w:r w:rsidR="00AB454A" w:rsidRPr="002F50BD">
        <w:rPr>
          <w:rFonts w:ascii="Verdana" w:hAnsi="Verdana"/>
          <w:sz w:val="20"/>
          <w:lang w:val="pt-BR"/>
        </w:rPr>
        <w:t>requer</w:t>
      </w:r>
      <w:r w:rsidR="00691D45" w:rsidRPr="002F50BD">
        <w:rPr>
          <w:rFonts w:ascii="Verdana" w:hAnsi="Verdana"/>
          <w:sz w:val="20"/>
          <w:lang w:val="pt-BR"/>
        </w:rPr>
        <w:t xml:space="preserve">em </w:t>
      </w:r>
      <w:r w:rsidR="004756C1" w:rsidRPr="002F50BD">
        <w:rPr>
          <w:rFonts w:ascii="Verdana" w:hAnsi="Verdana"/>
          <w:sz w:val="20"/>
          <w:lang w:val="pt-BR"/>
        </w:rPr>
        <w:t>condi</w:t>
      </w:r>
      <w:r w:rsidR="0089298C" w:rsidRPr="002F50BD">
        <w:rPr>
          <w:rFonts w:ascii="Verdana" w:hAnsi="Verdana"/>
          <w:sz w:val="20"/>
          <w:lang w:val="pt-BR"/>
        </w:rPr>
        <w:t>ções</w:t>
      </w:r>
      <w:r w:rsidR="00691D45" w:rsidRPr="002F50BD">
        <w:rPr>
          <w:rFonts w:ascii="Verdana" w:hAnsi="Verdana"/>
          <w:sz w:val="20"/>
          <w:lang w:val="pt-BR"/>
        </w:rPr>
        <w:t xml:space="preserve"> b</w:t>
      </w:r>
      <w:r w:rsidR="004756C1" w:rsidRPr="002F50BD">
        <w:rPr>
          <w:rFonts w:ascii="Verdana" w:hAnsi="Verdana"/>
          <w:sz w:val="20"/>
          <w:lang w:val="pt-BR"/>
        </w:rPr>
        <w:t>ásicas relativ</w:t>
      </w:r>
      <w:r w:rsidR="00691D45" w:rsidRPr="002F50BD">
        <w:rPr>
          <w:rFonts w:ascii="Verdana" w:hAnsi="Verdana"/>
          <w:sz w:val="20"/>
          <w:lang w:val="pt-BR"/>
        </w:rPr>
        <w:t>as</w:t>
      </w:r>
      <w:r w:rsidR="004756C1" w:rsidRPr="002F50BD">
        <w:rPr>
          <w:rFonts w:ascii="Verdana" w:hAnsi="Verdana"/>
          <w:sz w:val="20"/>
          <w:lang w:val="pt-BR"/>
        </w:rPr>
        <w:t xml:space="preserve"> a</w:t>
      </w:r>
      <w:r w:rsidR="00691D45" w:rsidRPr="002F50BD">
        <w:rPr>
          <w:rFonts w:ascii="Verdana" w:hAnsi="Verdana"/>
          <w:sz w:val="20"/>
          <w:lang w:val="pt-BR"/>
        </w:rPr>
        <w:t>o</w:t>
      </w:r>
      <w:r w:rsidR="004756C1" w:rsidRPr="002F50BD">
        <w:rPr>
          <w:rFonts w:ascii="Verdana" w:hAnsi="Verdana"/>
          <w:sz w:val="20"/>
          <w:lang w:val="pt-BR"/>
        </w:rPr>
        <w:t xml:space="preserve"> </w:t>
      </w:r>
      <w:r w:rsidR="00AB454A" w:rsidRPr="002F50BD">
        <w:rPr>
          <w:rFonts w:ascii="Verdana" w:hAnsi="Verdana"/>
          <w:sz w:val="20"/>
          <w:lang w:val="pt-BR"/>
        </w:rPr>
        <w:t>assentamento</w:t>
      </w:r>
      <w:r w:rsidR="0089298C" w:rsidRPr="002F50BD">
        <w:rPr>
          <w:rFonts w:ascii="Verdana" w:hAnsi="Verdana"/>
          <w:sz w:val="20"/>
          <w:lang w:val="pt-BR"/>
        </w:rPr>
        <w:t xml:space="preserve"> dos </w:t>
      </w:r>
      <w:r w:rsidR="004756C1" w:rsidRPr="002F50BD">
        <w:rPr>
          <w:rFonts w:ascii="Verdana" w:hAnsi="Verdana"/>
          <w:sz w:val="20"/>
          <w:lang w:val="pt-BR"/>
        </w:rPr>
        <w:t>indígenas que con</w:t>
      </w:r>
      <w:r w:rsidR="0089298C" w:rsidRPr="002F50BD">
        <w:rPr>
          <w:rFonts w:ascii="Verdana" w:hAnsi="Verdana"/>
          <w:sz w:val="20"/>
          <w:lang w:val="pt-BR"/>
        </w:rPr>
        <w:t xml:space="preserve">formam o </w:t>
      </w:r>
      <w:r w:rsidR="004756C1" w:rsidRPr="002F50BD">
        <w:rPr>
          <w:rFonts w:ascii="Verdana" w:hAnsi="Verdana"/>
          <w:sz w:val="20"/>
          <w:lang w:val="pt-BR"/>
        </w:rPr>
        <w:t>grupo objet</w:t>
      </w:r>
      <w:r w:rsidR="00B73CB1" w:rsidRPr="002F50BD">
        <w:rPr>
          <w:rFonts w:ascii="Verdana" w:hAnsi="Verdana"/>
          <w:sz w:val="20"/>
          <w:lang w:val="pt-BR"/>
        </w:rPr>
        <w:t>o</w:t>
      </w:r>
      <w:r w:rsidR="0089298C" w:rsidRPr="002F50BD">
        <w:rPr>
          <w:rFonts w:ascii="Verdana" w:hAnsi="Verdana"/>
          <w:sz w:val="20"/>
          <w:lang w:val="pt-BR"/>
        </w:rPr>
        <w:t xml:space="preserve"> das </w:t>
      </w:r>
      <w:r w:rsidR="004756C1" w:rsidRPr="002F50BD">
        <w:rPr>
          <w:rFonts w:ascii="Verdana" w:hAnsi="Verdana"/>
          <w:sz w:val="20"/>
          <w:lang w:val="pt-BR"/>
        </w:rPr>
        <w:t>presta</w:t>
      </w:r>
      <w:r w:rsidR="0089298C" w:rsidRPr="002F50BD">
        <w:rPr>
          <w:rFonts w:ascii="Verdana" w:hAnsi="Verdana"/>
          <w:sz w:val="20"/>
          <w:lang w:val="pt-BR"/>
        </w:rPr>
        <w:t>ções</w:t>
      </w:r>
      <w:r w:rsidR="004756C1" w:rsidRPr="002F50BD">
        <w:rPr>
          <w:rFonts w:ascii="Verdana" w:hAnsi="Verdana"/>
          <w:sz w:val="20"/>
          <w:lang w:val="pt-BR"/>
        </w:rPr>
        <w:t>;</w:t>
      </w:r>
      <w:r w:rsidR="0089298C" w:rsidRPr="002F50BD">
        <w:rPr>
          <w:rFonts w:ascii="Verdana" w:hAnsi="Verdana"/>
          <w:sz w:val="20"/>
          <w:lang w:val="pt-BR"/>
        </w:rPr>
        <w:t xml:space="preserve"> o </w:t>
      </w:r>
      <w:r w:rsidR="00691D45" w:rsidRPr="002F50BD">
        <w:rPr>
          <w:rFonts w:ascii="Verdana" w:hAnsi="Verdana"/>
          <w:sz w:val="20"/>
          <w:lang w:val="pt-BR"/>
        </w:rPr>
        <w:t>tamanh</w:t>
      </w:r>
      <w:r w:rsidR="004756C1" w:rsidRPr="002F50BD">
        <w:rPr>
          <w:rFonts w:ascii="Verdana" w:hAnsi="Verdana"/>
          <w:sz w:val="20"/>
          <w:lang w:val="pt-BR"/>
        </w:rPr>
        <w:t xml:space="preserve">o </w:t>
      </w:r>
      <w:r w:rsidR="0089298C" w:rsidRPr="002F50BD">
        <w:rPr>
          <w:rFonts w:ascii="Verdana" w:hAnsi="Verdana"/>
          <w:sz w:val="20"/>
          <w:lang w:val="pt-BR"/>
        </w:rPr>
        <w:t xml:space="preserve">do </w:t>
      </w:r>
      <w:r w:rsidR="004756C1" w:rsidRPr="002F50BD">
        <w:rPr>
          <w:rFonts w:ascii="Verdana" w:hAnsi="Verdana"/>
          <w:sz w:val="20"/>
          <w:lang w:val="pt-BR"/>
        </w:rPr>
        <w:t>grupo</w:t>
      </w:r>
      <w:r w:rsidR="0089298C" w:rsidRPr="002F50BD">
        <w:rPr>
          <w:rFonts w:ascii="Verdana" w:hAnsi="Verdana"/>
          <w:sz w:val="20"/>
          <w:lang w:val="pt-BR"/>
        </w:rPr>
        <w:t xml:space="preserve"> deve </w:t>
      </w:r>
      <w:r w:rsidR="004756C1" w:rsidRPr="002F50BD">
        <w:rPr>
          <w:rFonts w:ascii="Verdana" w:hAnsi="Verdana"/>
          <w:sz w:val="20"/>
          <w:lang w:val="pt-BR"/>
        </w:rPr>
        <w:t>ser tal que permita</w:t>
      </w:r>
      <w:r w:rsidR="0089298C" w:rsidRPr="002F50BD">
        <w:rPr>
          <w:rFonts w:ascii="Verdana" w:hAnsi="Verdana"/>
          <w:sz w:val="20"/>
          <w:lang w:val="pt-BR"/>
        </w:rPr>
        <w:t xml:space="preserve"> a </w:t>
      </w:r>
      <w:r w:rsidR="004756C1" w:rsidRPr="002F50BD">
        <w:rPr>
          <w:rFonts w:ascii="Verdana" w:hAnsi="Verdana"/>
          <w:sz w:val="20"/>
          <w:lang w:val="pt-BR"/>
        </w:rPr>
        <w:t>autosufici</w:t>
      </w:r>
      <w:r w:rsidR="00691D45" w:rsidRPr="002F50BD">
        <w:rPr>
          <w:rFonts w:ascii="Verdana" w:hAnsi="Verdana"/>
          <w:sz w:val="20"/>
          <w:lang w:val="pt-BR"/>
        </w:rPr>
        <w:t>ê</w:t>
      </w:r>
      <w:r w:rsidR="004756C1" w:rsidRPr="002F50BD">
        <w:rPr>
          <w:rFonts w:ascii="Verdana" w:hAnsi="Verdana"/>
          <w:sz w:val="20"/>
          <w:lang w:val="pt-BR"/>
        </w:rPr>
        <w:t>ncia socio</w:t>
      </w:r>
      <w:r w:rsidR="004076AD" w:rsidRPr="002F50BD">
        <w:rPr>
          <w:rFonts w:ascii="Verdana" w:hAnsi="Verdana"/>
          <w:sz w:val="20"/>
          <w:lang w:val="pt-BR"/>
        </w:rPr>
        <w:t>comunitári</w:t>
      </w:r>
      <w:r w:rsidR="004756C1" w:rsidRPr="002F50BD">
        <w:rPr>
          <w:rFonts w:ascii="Verdana" w:hAnsi="Verdana"/>
          <w:sz w:val="20"/>
          <w:lang w:val="pt-BR"/>
        </w:rPr>
        <w:t>a</w:t>
      </w:r>
      <w:r w:rsidR="0089298C" w:rsidRPr="002F50BD">
        <w:rPr>
          <w:rFonts w:ascii="Verdana" w:hAnsi="Verdana"/>
          <w:sz w:val="20"/>
          <w:lang w:val="pt-BR"/>
        </w:rPr>
        <w:t xml:space="preserve"> e a qualidade do </w:t>
      </w:r>
      <w:r w:rsidR="004756C1" w:rsidRPr="002F50BD">
        <w:rPr>
          <w:rFonts w:ascii="Verdana" w:hAnsi="Verdana"/>
          <w:sz w:val="20"/>
          <w:lang w:val="pt-BR"/>
        </w:rPr>
        <w:t>terreno</w:t>
      </w:r>
      <w:r w:rsidR="0089298C" w:rsidRPr="002F50BD">
        <w:rPr>
          <w:rFonts w:ascii="Verdana" w:hAnsi="Verdana"/>
          <w:sz w:val="20"/>
          <w:lang w:val="pt-BR"/>
        </w:rPr>
        <w:t xml:space="preserve"> deve </w:t>
      </w:r>
      <w:r w:rsidR="004756C1" w:rsidRPr="002F50BD">
        <w:rPr>
          <w:rFonts w:ascii="Verdana" w:hAnsi="Verdana"/>
          <w:sz w:val="20"/>
          <w:lang w:val="pt-BR"/>
        </w:rPr>
        <w:t xml:space="preserve">ser </w:t>
      </w:r>
      <w:r w:rsidR="0089298C" w:rsidRPr="002F50BD">
        <w:rPr>
          <w:rFonts w:ascii="Verdana" w:hAnsi="Verdana"/>
          <w:sz w:val="20"/>
          <w:lang w:val="pt-BR"/>
        </w:rPr>
        <w:t>adequad</w:t>
      </w:r>
      <w:r w:rsidR="004756C1" w:rsidRPr="002F50BD">
        <w:rPr>
          <w:rFonts w:ascii="Verdana" w:hAnsi="Verdana"/>
          <w:sz w:val="20"/>
          <w:lang w:val="pt-BR"/>
        </w:rPr>
        <w:t>a</w:t>
      </w:r>
      <w:r w:rsidR="0089298C" w:rsidRPr="002F50BD">
        <w:rPr>
          <w:rFonts w:ascii="Verdana" w:hAnsi="Verdana"/>
          <w:sz w:val="20"/>
          <w:lang w:val="pt-BR"/>
        </w:rPr>
        <w:t xml:space="preserve"> à </w:t>
      </w:r>
      <w:r w:rsidR="004756C1" w:rsidRPr="002F50BD">
        <w:rPr>
          <w:rFonts w:ascii="Verdana" w:hAnsi="Verdana"/>
          <w:sz w:val="20"/>
          <w:lang w:val="pt-BR"/>
        </w:rPr>
        <w:t>preven</w:t>
      </w:r>
      <w:r w:rsidR="0089298C" w:rsidRPr="002F50BD">
        <w:rPr>
          <w:rFonts w:ascii="Verdana" w:hAnsi="Verdana"/>
          <w:sz w:val="20"/>
          <w:lang w:val="pt-BR"/>
        </w:rPr>
        <w:t>ção</w:t>
      </w:r>
      <w:r w:rsidR="004756C1" w:rsidRPr="002F50BD">
        <w:rPr>
          <w:rFonts w:ascii="Verdana" w:hAnsi="Verdana"/>
          <w:sz w:val="20"/>
          <w:lang w:val="pt-BR"/>
        </w:rPr>
        <w:t>, mitiga</w:t>
      </w:r>
      <w:r w:rsidR="0089298C" w:rsidRPr="002F50BD">
        <w:rPr>
          <w:rFonts w:ascii="Verdana" w:hAnsi="Verdana"/>
          <w:sz w:val="20"/>
          <w:lang w:val="pt-BR"/>
        </w:rPr>
        <w:t xml:space="preserve">ção e </w:t>
      </w:r>
      <w:r w:rsidR="004756C1" w:rsidRPr="002F50BD">
        <w:rPr>
          <w:rFonts w:ascii="Verdana" w:hAnsi="Verdana"/>
          <w:sz w:val="20"/>
          <w:lang w:val="pt-BR"/>
        </w:rPr>
        <w:t>supera</w:t>
      </w:r>
      <w:r w:rsidR="0089298C" w:rsidRPr="002F50BD">
        <w:rPr>
          <w:rFonts w:ascii="Verdana" w:hAnsi="Verdana"/>
          <w:sz w:val="20"/>
          <w:lang w:val="pt-BR"/>
        </w:rPr>
        <w:t>ção dos risco</w:t>
      </w:r>
      <w:r w:rsidR="004756C1" w:rsidRPr="002F50BD">
        <w:rPr>
          <w:rFonts w:ascii="Verdana" w:hAnsi="Verdana"/>
          <w:sz w:val="20"/>
          <w:lang w:val="pt-BR"/>
        </w:rPr>
        <w:t>s.</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30</w:t>
      </w:r>
      <w:r w:rsidR="004756C1" w:rsidRPr="002F50BD">
        <w:rPr>
          <w:rFonts w:ascii="Verdana" w:hAnsi="Verdana"/>
          <w:sz w:val="20"/>
          <w:lang w:val="pt-BR"/>
        </w:rPr>
        <w:t>.</w:t>
      </w:r>
      <w:r w:rsidR="004756C1" w:rsidRPr="002F50BD">
        <w:rPr>
          <w:rFonts w:ascii="Verdana" w:hAnsi="Verdana"/>
          <w:sz w:val="20"/>
          <w:lang w:val="pt-BR"/>
        </w:rPr>
        <w:tab/>
      </w:r>
      <w:r w:rsidR="00691D45" w:rsidRPr="002F50BD">
        <w:rPr>
          <w:rFonts w:ascii="Verdana" w:hAnsi="Verdana"/>
          <w:sz w:val="20"/>
          <w:lang w:val="pt-BR"/>
        </w:rPr>
        <w:t>N</w:t>
      </w:r>
      <w:r w:rsidR="0089298C" w:rsidRPr="002F50BD">
        <w:rPr>
          <w:rFonts w:ascii="Verdana" w:hAnsi="Verdana"/>
          <w:sz w:val="20"/>
          <w:lang w:val="pt-BR"/>
        </w:rPr>
        <w:t xml:space="preserve">as </w:t>
      </w:r>
      <w:r w:rsidR="004756C1" w:rsidRPr="002F50BD">
        <w:rPr>
          <w:rFonts w:ascii="Verdana" w:hAnsi="Verdana"/>
          <w:sz w:val="20"/>
          <w:lang w:val="pt-BR"/>
        </w:rPr>
        <w:t>interven</w:t>
      </w:r>
      <w:r w:rsidR="0089298C" w:rsidRPr="002F50BD">
        <w:rPr>
          <w:rFonts w:ascii="Verdana" w:hAnsi="Verdana"/>
          <w:sz w:val="20"/>
          <w:lang w:val="pt-BR"/>
        </w:rPr>
        <w:t>ções em questão</w:t>
      </w:r>
      <w:r w:rsidR="00211F33" w:rsidRPr="002F50BD">
        <w:rPr>
          <w:rFonts w:ascii="Verdana" w:hAnsi="Verdana"/>
          <w:sz w:val="20"/>
          <w:lang w:val="pt-BR"/>
        </w:rPr>
        <w:t>,</w:t>
      </w:r>
      <w:r w:rsidR="0089298C" w:rsidRPr="002F50BD">
        <w:rPr>
          <w:rFonts w:ascii="Verdana" w:hAnsi="Verdana"/>
          <w:sz w:val="20"/>
          <w:lang w:val="pt-BR"/>
        </w:rPr>
        <w:t xml:space="preserve"> deve</w:t>
      </w:r>
      <w:r w:rsidR="00691D45"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ter</w:t>
      </w:r>
      <w:r w:rsidR="0089298C" w:rsidRPr="002F50BD">
        <w:rPr>
          <w:rFonts w:ascii="Verdana" w:hAnsi="Verdana"/>
          <w:sz w:val="20"/>
          <w:lang w:val="pt-BR"/>
        </w:rPr>
        <w:t xml:space="preserve"> em conta </w:t>
      </w:r>
      <w:r w:rsidR="004756C1" w:rsidRPr="002F50BD">
        <w:rPr>
          <w:rFonts w:ascii="Verdana" w:hAnsi="Verdana"/>
          <w:sz w:val="20"/>
          <w:lang w:val="pt-BR"/>
        </w:rPr>
        <w:t>que, conforme</w:t>
      </w:r>
      <w:r w:rsidR="0089298C" w:rsidRPr="002F50BD">
        <w:rPr>
          <w:rFonts w:ascii="Verdana" w:hAnsi="Verdana"/>
          <w:sz w:val="20"/>
          <w:lang w:val="pt-BR"/>
        </w:rPr>
        <w:t xml:space="preserve"> </w:t>
      </w:r>
      <w:r w:rsidR="00691D45" w:rsidRPr="002F50BD">
        <w:rPr>
          <w:rFonts w:ascii="Verdana" w:hAnsi="Verdana"/>
          <w:sz w:val="20"/>
          <w:lang w:val="pt-BR"/>
        </w:rPr>
        <w:t>a</w:t>
      </w:r>
      <w:r w:rsidR="0089298C" w:rsidRPr="002F50BD">
        <w:rPr>
          <w:rFonts w:ascii="Verdana" w:hAnsi="Verdana"/>
          <w:sz w:val="20"/>
          <w:lang w:val="pt-BR"/>
        </w:rPr>
        <w:t xml:space="preserve"> </w:t>
      </w:r>
      <w:r w:rsidR="004756C1" w:rsidRPr="002F50BD">
        <w:rPr>
          <w:rFonts w:ascii="Verdana" w:hAnsi="Verdana"/>
          <w:sz w:val="20"/>
          <w:lang w:val="pt-BR"/>
        </w:rPr>
        <w:t>Declara</w:t>
      </w:r>
      <w:r w:rsidR="0089298C" w:rsidRPr="002F50BD">
        <w:rPr>
          <w:rFonts w:ascii="Verdana" w:hAnsi="Verdana"/>
          <w:sz w:val="20"/>
          <w:lang w:val="pt-BR"/>
        </w:rPr>
        <w:t xml:space="preserve">ção e </w:t>
      </w:r>
      <w:r w:rsidR="004756C1" w:rsidRPr="002F50BD">
        <w:rPr>
          <w:rFonts w:ascii="Verdana" w:hAnsi="Verdana"/>
          <w:sz w:val="20"/>
          <w:lang w:val="pt-BR"/>
        </w:rPr>
        <w:t xml:space="preserve">Programa de </w:t>
      </w:r>
      <w:r w:rsidR="004076AD" w:rsidRPr="002F50BD">
        <w:rPr>
          <w:rFonts w:ascii="Verdana" w:hAnsi="Verdana"/>
          <w:sz w:val="20"/>
          <w:lang w:val="pt-BR"/>
        </w:rPr>
        <w:t>Ação</w:t>
      </w:r>
      <w:r w:rsidR="004756C1" w:rsidRPr="002F50BD">
        <w:rPr>
          <w:rFonts w:ascii="Verdana" w:hAnsi="Verdana"/>
          <w:sz w:val="20"/>
          <w:lang w:val="pt-BR"/>
        </w:rPr>
        <w:t xml:space="preserve"> de Viena </w:t>
      </w:r>
      <w:r w:rsidR="00CF451D" w:rsidRPr="00CF451D">
        <w:rPr>
          <w:rFonts w:ascii="Verdana" w:hAnsi="Verdana"/>
          <w:sz w:val="20"/>
          <w:lang w:val="pt-BR"/>
        </w:rPr>
        <w:t>(</w:t>
      </w:r>
      <w:r w:rsidRPr="002F50BD">
        <w:rPr>
          <w:rFonts w:ascii="Verdana" w:hAnsi="Verdana"/>
          <w:sz w:val="20"/>
          <w:lang w:val="pt-BR"/>
        </w:rPr>
        <w:t>1993</w:t>
      </w:r>
      <w:r w:rsidR="00CF451D" w:rsidRPr="00CF451D">
        <w:rPr>
          <w:rFonts w:ascii="Verdana" w:hAnsi="Verdana"/>
          <w:sz w:val="20"/>
          <w:lang w:val="pt-BR"/>
        </w:rPr>
        <w:t>)</w:t>
      </w:r>
      <w:r w:rsidR="004756C1" w:rsidRPr="002F50BD">
        <w:rPr>
          <w:rFonts w:ascii="Verdana" w:hAnsi="Verdana"/>
          <w:sz w:val="20"/>
          <w:lang w:val="pt-BR"/>
        </w:rPr>
        <w:t>,</w:t>
      </w:r>
      <w:r w:rsidR="0089298C" w:rsidRPr="002F50BD">
        <w:rPr>
          <w:rFonts w:ascii="Verdana" w:hAnsi="Verdana"/>
          <w:sz w:val="20"/>
          <w:lang w:val="pt-BR"/>
        </w:rPr>
        <w:t xml:space="preserve"> na Conferência</w:t>
      </w:r>
      <w:r w:rsidR="004756C1" w:rsidRPr="002F50BD">
        <w:rPr>
          <w:rFonts w:ascii="Verdana" w:hAnsi="Verdana"/>
          <w:sz w:val="20"/>
          <w:lang w:val="pt-BR"/>
        </w:rPr>
        <w:t xml:space="preserve"> Mundial de </w:t>
      </w:r>
      <w:r w:rsidR="0089298C" w:rsidRPr="002F50BD">
        <w:rPr>
          <w:rFonts w:ascii="Verdana" w:hAnsi="Verdana"/>
          <w:sz w:val="20"/>
          <w:lang w:val="pt-BR"/>
        </w:rPr>
        <w:t>Direito</w:t>
      </w:r>
      <w:r w:rsidR="004756C1" w:rsidRPr="002F50BD">
        <w:rPr>
          <w:rFonts w:ascii="Verdana" w:hAnsi="Verdana"/>
          <w:sz w:val="20"/>
          <w:lang w:val="pt-BR"/>
        </w:rPr>
        <w:t>s Humanos, se indica que todos</w:t>
      </w:r>
      <w:r w:rsidR="0089298C" w:rsidRPr="002F50BD">
        <w:rPr>
          <w:rFonts w:ascii="Verdana" w:hAnsi="Verdana"/>
          <w:sz w:val="20"/>
          <w:lang w:val="pt-BR"/>
        </w:rPr>
        <w:t xml:space="preserve"> os direito</w:t>
      </w:r>
      <w:r w:rsidR="004756C1" w:rsidRPr="002F50BD">
        <w:rPr>
          <w:rFonts w:ascii="Verdana" w:hAnsi="Verdana"/>
          <w:sz w:val="20"/>
          <w:lang w:val="pt-BR"/>
        </w:rPr>
        <w:t>s humanos</w:t>
      </w:r>
      <w:r w:rsidR="0089298C" w:rsidRPr="002F50BD">
        <w:rPr>
          <w:rFonts w:ascii="Verdana" w:hAnsi="Verdana"/>
          <w:sz w:val="20"/>
          <w:lang w:val="pt-BR"/>
        </w:rPr>
        <w:t xml:space="preserve"> são universais</w:t>
      </w:r>
      <w:r w:rsidR="004756C1" w:rsidRPr="002F50BD">
        <w:rPr>
          <w:rFonts w:ascii="Verdana" w:hAnsi="Verdana"/>
          <w:sz w:val="20"/>
          <w:lang w:val="pt-BR"/>
        </w:rPr>
        <w:t>, indivis</w:t>
      </w:r>
      <w:r w:rsidR="0089298C" w:rsidRPr="002F50BD">
        <w:rPr>
          <w:rFonts w:ascii="Verdana" w:hAnsi="Verdana"/>
          <w:sz w:val="20"/>
          <w:lang w:val="pt-BR"/>
        </w:rPr>
        <w:t xml:space="preserve">íveis </w:t>
      </w:r>
      <w:r w:rsidR="004756C1" w:rsidRPr="002F50BD">
        <w:rPr>
          <w:rFonts w:ascii="Verdana" w:hAnsi="Verdana"/>
          <w:sz w:val="20"/>
          <w:lang w:val="pt-BR"/>
        </w:rPr>
        <w:t>e interde</w:t>
      </w:r>
      <w:r w:rsidR="0089298C" w:rsidRPr="002F50BD">
        <w:rPr>
          <w:rFonts w:ascii="Verdana" w:hAnsi="Verdana"/>
          <w:sz w:val="20"/>
          <w:lang w:val="pt-BR"/>
        </w:rPr>
        <w:t>pendente</w:t>
      </w:r>
      <w:r w:rsidR="004756C1" w:rsidRPr="002F50BD">
        <w:rPr>
          <w:rFonts w:ascii="Verdana" w:hAnsi="Verdana"/>
          <w:sz w:val="20"/>
          <w:lang w:val="pt-BR"/>
        </w:rPr>
        <w:t>s</w:t>
      </w:r>
      <w:r w:rsidR="0089298C" w:rsidRPr="002F50BD">
        <w:rPr>
          <w:rFonts w:ascii="Verdana" w:hAnsi="Verdana"/>
          <w:sz w:val="20"/>
          <w:lang w:val="pt-BR"/>
        </w:rPr>
        <w:t xml:space="preserve"> e estão </w:t>
      </w:r>
      <w:r w:rsidR="004756C1" w:rsidRPr="002F50BD">
        <w:rPr>
          <w:rFonts w:ascii="Verdana" w:hAnsi="Verdana"/>
          <w:sz w:val="20"/>
          <w:lang w:val="pt-BR"/>
        </w:rPr>
        <w:t>relacionados entre s</w:t>
      </w:r>
      <w:r w:rsidR="00691D45" w:rsidRPr="002F50BD">
        <w:rPr>
          <w:rFonts w:ascii="Verdana" w:hAnsi="Verdana"/>
          <w:sz w:val="20"/>
          <w:lang w:val="pt-BR"/>
        </w:rPr>
        <w:t>i.</w:t>
      </w:r>
      <w:r w:rsidR="004756C1" w:rsidRPr="002F50BD">
        <w:rPr>
          <w:rStyle w:val="FootnoteReference"/>
          <w:rFonts w:ascii="Verdana" w:hAnsi="Verdana"/>
        </w:rPr>
        <w:footnoteReference w:id="255"/>
      </w:r>
      <w:r w:rsidR="004756C1" w:rsidRPr="002F50BD">
        <w:rPr>
          <w:rFonts w:ascii="Verdana" w:hAnsi="Verdana"/>
          <w:sz w:val="20"/>
          <w:lang w:val="pt-BR"/>
        </w:rPr>
        <w:t xml:space="preserve"> Considero que,</w:t>
      </w:r>
      <w:r w:rsidR="0089298C" w:rsidRPr="002F50BD">
        <w:rPr>
          <w:rFonts w:ascii="Verdana" w:hAnsi="Verdana"/>
          <w:sz w:val="20"/>
          <w:lang w:val="pt-BR"/>
        </w:rPr>
        <w:t xml:space="preserve"> à </w:t>
      </w:r>
      <w:r w:rsidR="004756C1" w:rsidRPr="002F50BD">
        <w:rPr>
          <w:rFonts w:ascii="Verdana" w:hAnsi="Verdana"/>
          <w:sz w:val="20"/>
          <w:lang w:val="pt-BR"/>
        </w:rPr>
        <w:t xml:space="preserve">luz </w:t>
      </w:r>
      <w:r w:rsidR="0089298C" w:rsidRPr="002F50BD">
        <w:rPr>
          <w:rFonts w:ascii="Verdana" w:hAnsi="Verdana"/>
          <w:sz w:val="20"/>
          <w:lang w:val="pt-BR"/>
        </w:rPr>
        <w:t>destes princípio</w:t>
      </w:r>
      <w:r w:rsidR="004756C1" w:rsidRPr="002F50BD">
        <w:rPr>
          <w:rFonts w:ascii="Verdana" w:hAnsi="Verdana"/>
          <w:sz w:val="20"/>
          <w:lang w:val="pt-BR"/>
        </w:rPr>
        <w:t>s, n</w:t>
      </w:r>
      <w:r w:rsidR="00691D45" w:rsidRPr="002F50BD">
        <w:rPr>
          <w:rFonts w:ascii="Verdana" w:hAnsi="Verdana"/>
          <w:sz w:val="20"/>
          <w:lang w:val="pt-BR"/>
        </w:rPr>
        <w:t>ã</w:t>
      </w:r>
      <w:r w:rsidR="004756C1" w:rsidRPr="002F50BD">
        <w:rPr>
          <w:rFonts w:ascii="Verdana" w:hAnsi="Verdana"/>
          <w:sz w:val="20"/>
          <w:lang w:val="pt-BR"/>
        </w:rPr>
        <w:t xml:space="preserve">o se trata de proteger </w:t>
      </w:r>
      <w:r w:rsidR="00AB454A" w:rsidRPr="002F50BD">
        <w:rPr>
          <w:rFonts w:ascii="Verdana" w:hAnsi="Verdana"/>
          <w:sz w:val="20"/>
          <w:lang w:val="pt-BR"/>
        </w:rPr>
        <w:t>um dos</w:t>
      </w:r>
      <w:r w:rsidR="0089298C" w:rsidRPr="002F50BD">
        <w:rPr>
          <w:rFonts w:ascii="Verdana" w:hAnsi="Verdana"/>
          <w:sz w:val="20"/>
          <w:lang w:val="pt-BR"/>
        </w:rPr>
        <w:t xml:space="preserve"> direito</w:t>
      </w:r>
      <w:r w:rsidR="004756C1" w:rsidRPr="002F50BD">
        <w:rPr>
          <w:rFonts w:ascii="Verdana" w:hAnsi="Verdana"/>
          <w:sz w:val="20"/>
          <w:lang w:val="pt-BR"/>
        </w:rPr>
        <w:t>s humanos incorporados</w:t>
      </w:r>
      <w:r w:rsidR="0089298C" w:rsidRPr="002F50BD">
        <w:rPr>
          <w:rFonts w:ascii="Verdana" w:hAnsi="Verdana"/>
          <w:sz w:val="20"/>
          <w:lang w:val="pt-BR"/>
        </w:rPr>
        <w:t xml:space="preserve"> ao </w:t>
      </w:r>
      <w:r w:rsidR="004756C1" w:rsidRPr="002F50BD">
        <w:rPr>
          <w:rFonts w:ascii="Verdana" w:hAnsi="Verdana"/>
          <w:sz w:val="20"/>
          <w:lang w:val="pt-BR"/>
        </w:rPr>
        <w:t xml:space="preserve">Sistema Interamericano </w:t>
      </w:r>
      <w:r w:rsidR="00211F33" w:rsidRPr="002F50BD">
        <w:rPr>
          <w:rFonts w:ascii="Verdana" w:hAnsi="Verdana"/>
          <w:sz w:val="20"/>
          <w:lang w:val="pt-BR"/>
        </w:rPr>
        <w:t>à custa</w:t>
      </w:r>
      <w:r w:rsidR="00691D45" w:rsidRPr="002F50BD">
        <w:rPr>
          <w:rFonts w:ascii="Verdana" w:hAnsi="Verdana"/>
          <w:sz w:val="20"/>
          <w:lang w:val="pt-BR"/>
        </w:rPr>
        <w:t xml:space="preserve"> </w:t>
      </w:r>
      <w:r w:rsidR="004756C1" w:rsidRPr="002F50BD">
        <w:rPr>
          <w:rFonts w:ascii="Verdana" w:hAnsi="Verdana"/>
          <w:sz w:val="20"/>
          <w:lang w:val="pt-BR"/>
        </w:rPr>
        <w:t>de</w:t>
      </w:r>
      <w:r w:rsidR="0089298C" w:rsidRPr="002F50BD">
        <w:rPr>
          <w:rFonts w:ascii="Verdana" w:hAnsi="Verdana"/>
          <w:sz w:val="20"/>
          <w:lang w:val="pt-BR"/>
        </w:rPr>
        <w:t xml:space="preserve"> outro ou outros</w:t>
      </w:r>
      <w:r w:rsidR="004756C1" w:rsidRPr="002F50BD">
        <w:rPr>
          <w:rFonts w:ascii="Verdana" w:hAnsi="Verdana"/>
          <w:sz w:val="20"/>
          <w:lang w:val="pt-BR"/>
        </w:rPr>
        <w:t xml:space="preserve"> </w:t>
      </w:r>
      <w:r w:rsidR="0089298C" w:rsidRPr="002F50BD">
        <w:rPr>
          <w:rFonts w:ascii="Verdana" w:hAnsi="Verdana"/>
          <w:sz w:val="20"/>
          <w:lang w:val="pt-BR"/>
        </w:rPr>
        <w:t>destes direito</w:t>
      </w:r>
      <w:r w:rsidR="004756C1" w:rsidRPr="002F50BD">
        <w:rPr>
          <w:rFonts w:ascii="Verdana" w:hAnsi="Verdana"/>
          <w:sz w:val="20"/>
          <w:lang w:val="pt-BR"/>
        </w:rPr>
        <w:t>s,</w:t>
      </w:r>
      <w:r w:rsidR="0089298C" w:rsidRPr="002F50BD">
        <w:rPr>
          <w:rFonts w:ascii="Verdana" w:hAnsi="Verdana"/>
          <w:sz w:val="20"/>
          <w:lang w:val="pt-BR"/>
        </w:rPr>
        <w:t xml:space="preserve"> nem </w:t>
      </w:r>
      <w:r w:rsidR="004756C1" w:rsidRPr="002F50BD">
        <w:rPr>
          <w:rFonts w:ascii="Verdana" w:hAnsi="Verdana"/>
          <w:sz w:val="20"/>
          <w:lang w:val="pt-BR"/>
        </w:rPr>
        <w:t xml:space="preserve">de proteger </w:t>
      </w:r>
      <w:r w:rsidR="0089298C" w:rsidRPr="002F50BD">
        <w:rPr>
          <w:rFonts w:ascii="Verdana" w:hAnsi="Verdana"/>
          <w:sz w:val="20"/>
          <w:lang w:val="pt-BR"/>
        </w:rPr>
        <w:t xml:space="preserve">alguns </w:t>
      </w:r>
      <w:r w:rsidR="004756C1" w:rsidRPr="002F50BD">
        <w:rPr>
          <w:rFonts w:ascii="Verdana" w:hAnsi="Verdana"/>
          <w:sz w:val="20"/>
          <w:lang w:val="pt-BR"/>
        </w:rPr>
        <w:t>rec</w:t>
      </w:r>
      <w:r w:rsidR="00691D45" w:rsidRPr="002F50BD">
        <w:rPr>
          <w:rFonts w:ascii="Verdana" w:hAnsi="Verdana"/>
          <w:sz w:val="20"/>
          <w:lang w:val="pt-BR"/>
        </w:rPr>
        <w:t>o</w:t>
      </w:r>
      <w:r w:rsidR="004756C1" w:rsidRPr="002F50BD">
        <w:rPr>
          <w:rFonts w:ascii="Verdana" w:hAnsi="Verdana"/>
          <w:sz w:val="20"/>
          <w:lang w:val="pt-BR"/>
        </w:rPr>
        <w:t>rrentes de modo a provocar</w:t>
      </w:r>
      <w:r w:rsidR="0089298C" w:rsidRPr="002F50BD">
        <w:rPr>
          <w:rFonts w:ascii="Verdana" w:hAnsi="Verdana"/>
          <w:sz w:val="20"/>
          <w:lang w:val="pt-BR"/>
        </w:rPr>
        <w:t xml:space="preserve"> a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destes direito</w:t>
      </w:r>
      <w:r w:rsidR="004756C1" w:rsidRPr="002F50BD">
        <w:rPr>
          <w:rFonts w:ascii="Verdana" w:hAnsi="Verdana"/>
          <w:sz w:val="20"/>
          <w:lang w:val="pt-BR"/>
        </w:rPr>
        <w:t xml:space="preserve">s de </w:t>
      </w:r>
      <w:r w:rsidR="0089298C" w:rsidRPr="002F50BD">
        <w:rPr>
          <w:rFonts w:ascii="Verdana" w:hAnsi="Verdana"/>
          <w:sz w:val="20"/>
          <w:lang w:val="pt-BR"/>
        </w:rPr>
        <w:t>outros</w:t>
      </w:r>
      <w:r w:rsidR="004756C1" w:rsidRPr="002F50BD">
        <w:rPr>
          <w:rFonts w:ascii="Verdana" w:hAnsi="Verdana"/>
          <w:sz w:val="20"/>
          <w:lang w:val="pt-BR"/>
        </w:rPr>
        <w:t xml:space="preserve"> igualmente amparados</w:t>
      </w:r>
      <w:r w:rsidR="0089298C" w:rsidRPr="002F50BD">
        <w:rPr>
          <w:rFonts w:ascii="Verdana" w:hAnsi="Verdana"/>
          <w:sz w:val="20"/>
          <w:lang w:val="pt-BR"/>
        </w:rPr>
        <w:t xml:space="preserve"> pela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w:t>
      </w:r>
      <w:r w:rsidR="0089298C" w:rsidRPr="002F50BD">
        <w:rPr>
          <w:rFonts w:ascii="Verdana" w:hAnsi="Verdana"/>
          <w:sz w:val="20"/>
          <w:lang w:val="pt-BR"/>
        </w:rPr>
        <w:t xml:space="preserve"> </w:t>
      </w:r>
      <w:r w:rsidR="00691D45" w:rsidRPr="002F50BD">
        <w:rPr>
          <w:rFonts w:ascii="Verdana" w:hAnsi="Verdana"/>
          <w:sz w:val="20"/>
          <w:lang w:val="pt-BR"/>
        </w:rPr>
        <w:t>N</w:t>
      </w:r>
      <w:r w:rsidR="00FB33DD" w:rsidRPr="002F50BD">
        <w:rPr>
          <w:rFonts w:ascii="Verdana" w:hAnsi="Verdana"/>
          <w:sz w:val="20"/>
          <w:lang w:val="pt-BR"/>
        </w:rPr>
        <w:t>esse</w:t>
      </w:r>
      <w:r w:rsidR="0089298C" w:rsidRPr="002F50BD">
        <w:rPr>
          <w:rFonts w:ascii="Verdana" w:hAnsi="Verdana"/>
          <w:sz w:val="20"/>
          <w:lang w:val="pt-BR"/>
        </w:rPr>
        <w:t xml:space="preserve"> </w:t>
      </w:r>
      <w:r w:rsidR="004756C1" w:rsidRPr="002F50BD">
        <w:rPr>
          <w:rFonts w:ascii="Verdana" w:hAnsi="Verdana"/>
          <w:sz w:val="20"/>
          <w:lang w:val="pt-BR"/>
        </w:rPr>
        <w:t>marco</w:t>
      </w:r>
      <w:r w:rsidR="00211F33" w:rsidRPr="002F50BD">
        <w:rPr>
          <w:rFonts w:ascii="Verdana" w:hAnsi="Verdana"/>
          <w:sz w:val="20"/>
          <w:lang w:val="pt-BR"/>
        </w:rPr>
        <w:t>,</w:t>
      </w:r>
      <w:r w:rsidR="0089298C" w:rsidRPr="002F50BD">
        <w:rPr>
          <w:rFonts w:ascii="Verdana" w:hAnsi="Verdana"/>
          <w:sz w:val="20"/>
          <w:lang w:val="pt-BR"/>
        </w:rPr>
        <w:t xml:space="preserve"> deve</w:t>
      </w:r>
      <w:r w:rsidR="00211F33" w:rsidRPr="002F50BD">
        <w:rPr>
          <w:rFonts w:ascii="Verdana" w:hAnsi="Verdana"/>
          <w:sz w:val="20"/>
          <w:lang w:val="pt-BR"/>
        </w:rPr>
        <w:t>-se</w:t>
      </w:r>
      <w:r w:rsidR="0089298C" w:rsidRPr="002F50BD">
        <w:rPr>
          <w:rFonts w:ascii="Verdana" w:hAnsi="Verdana"/>
          <w:sz w:val="20"/>
          <w:lang w:val="pt-BR"/>
        </w:rPr>
        <w:t xml:space="preserve"> </w:t>
      </w:r>
      <w:r w:rsidR="00691D45" w:rsidRPr="002F50BD">
        <w:rPr>
          <w:rFonts w:ascii="Verdana" w:hAnsi="Verdana"/>
          <w:sz w:val="20"/>
          <w:lang w:val="pt-BR"/>
        </w:rPr>
        <w:t>considerar</w:t>
      </w:r>
      <w:r w:rsidR="004756C1" w:rsidRPr="002F50BD">
        <w:rPr>
          <w:rFonts w:ascii="Verdana" w:hAnsi="Verdana"/>
          <w:sz w:val="20"/>
          <w:lang w:val="pt-BR"/>
        </w:rPr>
        <w:t xml:space="preserve"> axiomático que </w:t>
      </w:r>
      <w:r w:rsidR="0089298C" w:rsidRPr="002F50BD">
        <w:rPr>
          <w:rFonts w:ascii="Verdana" w:hAnsi="Verdana"/>
          <w:sz w:val="20"/>
          <w:lang w:val="pt-BR"/>
        </w:rPr>
        <w:t>nenhuma</w:t>
      </w:r>
      <w:r w:rsidR="004756C1" w:rsidRPr="002F50BD">
        <w:rPr>
          <w:rFonts w:ascii="Verdana" w:hAnsi="Verdana"/>
          <w:sz w:val="20"/>
          <w:lang w:val="pt-BR"/>
        </w:rPr>
        <w:t xml:space="preserve"> </w:t>
      </w:r>
      <w:r w:rsidR="0089298C" w:rsidRPr="002F50BD">
        <w:rPr>
          <w:rFonts w:ascii="Verdana" w:hAnsi="Verdana"/>
          <w:sz w:val="20"/>
          <w:lang w:val="pt-BR"/>
        </w:rPr>
        <w:t xml:space="preserve">assistência </w:t>
      </w:r>
      <w:r w:rsidR="004756C1" w:rsidRPr="002F50BD">
        <w:rPr>
          <w:rFonts w:ascii="Verdana" w:hAnsi="Verdana"/>
          <w:sz w:val="20"/>
          <w:lang w:val="pt-BR"/>
        </w:rPr>
        <w:t xml:space="preserve">prestada a </w:t>
      </w:r>
      <w:r w:rsidR="0089298C" w:rsidRPr="002F50BD">
        <w:rPr>
          <w:rFonts w:ascii="Verdana" w:hAnsi="Verdana"/>
          <w:sz w:val="20"/>
          <w:lang w:val="pt-BR"/>
        </w:rPr>
        <w:t>pequeno</w:t>
      </w:r>
      <w:r w:rsidR="004756C1" w:rsidRPr="002F50BD">
        <w:rPr>
          <w:rFonts w:ascii="Verdana" w:hAnsi="Verdana"/>
          <w:sz w:val="20"/>
          <w:lang w:val="pt-BR"/>
        </w:rPr>
        <w:t>s grupos dispersos</w:t>
      </w:r>
      <w:r w:rsidR="0089298C" w:rsidRPr="002F50BD">
        <w:rPr>
          <w:rFonts w:ascii="Verdana" w:hAnsi="Verdana"/>
          <w:sz w:val="20"/>
          <w:lang w:val="pt-BR"/>
        </w:rPr>
        <w:t xml:space="preserve"> e/ou </w:t>
      </w:r>
      <w:r w:rsidR="00E7595C" w:rsidRPr="002F50BD">
        <w:rPr>
          <w:rFonts w:ascii="Verdana" w:hAnsi="Verdana"/>
          <w:sz w:val="20"/>
          <w:lang w:val="pt-BR"/>
        </w:rPr>
        <w:t>assentad</w:t>
      </w:r>
      <w:r w:rsidR="004756C1" w:rsidRPr="002F50BD">
        <w:rPr>
          <w:rFonts w:ascii="Verdana" w:hAnsi="Verdana"/>
          <w:sz w:val="20"/>
          <w:lang w:val="pt-BR"/>
        </w:rPr>
        <w:t>os</w:t>
      </w:r>
      <w:r w:rsidR="0089298C" w:rsidRPr="002F50BD">
        <w:rPr>
          <w:rFonts w:ascii="Verdana" w:hAnsi="Verdana"/>
          <w:sz w:val="20"/>
          <w:lang w:val="pt-BR"/>
        </w:rPr>
        <w:t xml:space="preserve"> em </w:t>
      </w:r>
      <w:r w:rsidR="00691D45" w:rsidRPr="002F50BD">
        <w:rPr>
          <w:rFonts w:ascii="Verdana" w:hAnsi="Verdana"/>
          <w:sz w:val="20"/>
          <w:lang w:val="pt-BR"/>
        </w:rPr>
        <w:t>terrenos precá</w:t>
      </w:r>
      <w:r w:rsidR="004756C1" w:rsidRPr="002F50BD">
        <w:rPr>
          <w:rFonts w:ascii="Verdana" w:hAnsi="Verdana"/>
          <w:sz w:val="20"/>
          <w:lang w:val="pt-BR"/>
        </w:rPr>
        <w:t xml:space="preserve">rios </w:t>
      </w:r>
      <w:r w:rsidR="00475EBB" w:rsidRPr="002F50BD">
        <w:rPr>
          <w:rFonts w:ascii="Verdana" w:hAnsi="Verdana"/>
          <w:sz w:val="20"/>
          <w:lang w:val="pt-BR"/>
        </w:rPr>
        <w:t xml:space="preserve">pode </w:t>
      </w:r>
      <w:r w:rsidR="0089298C" w:rsidRPr="002F50BD">
        <w:rPr>
          <w:rFonts w:ascii="Verdana" w:hAnsi="Verdana"/>
          <w:sz w:val="20"/>
          <w:lang w:val="pt-BR"/>
        </w:rPr>
        <w:t xml:space="preserve">criar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que </w:t>
      </w:r>
      <w:r w:rsidR="0031730D" w:rsidRPr="002F50BD">
        <w:rPr>
          <w:rFonts w:ascii="Verdana" w:hAnsi="Verdana"/>
          <w:sz w:val="20"/>
          <w:lang w:val="pt-BR"/>
        </w:rPr>
        <w:t>garantam</w:t>
      </w:r>
      <w:r w:rsidR="0089298C" w:rsidRPr="002F50BD">
        <w:rPr>
          <w:rFonts w:ascii="Verdana" w:hAnsi="Verdana"/>
          <w:sz w:val="20"/>
          <w:lang w:val="pt-BR"/>
        </w:rPr>
        <w:t xml:space="preserve"> uma existência</w:t>
      </w:r>
      <w:r w:rsidR="004756C1" w:rsidRPr="002F50BD">
        <w:rPr>
          <w:rFonts w:ascii="Verdana" w:hAnsi="Verdana"/>
          <w:sz w:val="20"/>
          <w:lang w:val="pt-BR"/>
        </w:rPr>
        <w:t xml:space="preserve"> digna</w:t>
      </w:r>
      <w:r w:rsidR="00691D45" w:rsidRPr="002F50BD">
        <w:rPr>
          <w:rFonts w:ascii="Verdana" w:hAnsi="Verdana"/>
          <w:sz w:val="20"/>
          <w:lang w:val="pt-BR"/>
        </w:rPr>
        <w:t>.</w:t>
      </w:r>
      <w:r w:rsidR="004756C1" w:rsidRPr="002F50BD">
        <w:rPr>
          <w:rStyle w:val="FootnoteReference"/>
          <w:rFonts w:ascii="Verdana" w:hAnsi="Verdana"/>
        </w:rPr>
        <w:footnoteReference w:id="256"/>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31</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A </w:t>
      </w:r>
      <w:r w:rsidR="00C247F1" w:rsidRPr="002F50BD">
        <w:rPr>
          <w:rFonts w:ascii="Verdana" w:hAnsi="Verdana"/>
          <w:sz w:val="20"/>
          <w:lang w:val="pt-BR"/>
        </w:rPr>
        <w:t>insistência</w:t>
      </w:r>
      <w:r w:rsidR="0089298C" w:rsidRPr="002F50BD">
        <w:rPr>
          <w:rFonts w:ascii="Verdana" w:hAnsi="Verdana"/>
          <w:sz w:val="20"/>
          <w:lang w:val="pt-BR"/>
        </w:rPr>
        <w:t xml:space="preserve"> </w:t>
      </w:r>
      <w:r w:rsidR="00691D45" w:rsidRPr="002F50BD">
        <w:rPr>
          <w:rFonts w:ascii="Verdana" w:hAnsi="Verdana"/>
          <w:sz w:val="20"/>
          <w:lang w:val="pt-BR"/>
        </w:rPr>
        <w:t>na</w:t>
      </w:r>
      <w:r w:rsidR="0089298C" w:rsidRPr="002F50BD">
        <w:rPr>
          <w:rFonts w:ascii="Verdana" w:hAnsi="Verdana"/>
          <w:sz w:val="20"/>
          <w:lang w:val="pt-BR"/>
        </w:rPr>
        <w:t xml:space="preserve"> </w:t>
      </w:r>
      <w:r w:rsidR="004076AD" w:rsidRPr="002F50BD">
        <w:rPr>
          <w:rFonts w:ascii="Verdana" w:hAnsi="Verdana"/>
          <w:sz w:val="20"/>
          <w:lang w:val="pt-BR"/>
        </w:rPr>
        <w:t>provisão</w:t>
      </w:r>
      <w:r w:rsidR="004756C1" w:rsidRPr="002F50BD">
        <w:rPr>
          <w:rFonts w:ascii="Verdana" w:hAnsi="Verdana"/>
          <w:sz w:val="20"/>
          <w:lang w:val="pt-BR"/>
        </w:rPr>
        <w:t xml:space="preserve"> de alimentos</w:t>
      </w:r>
      <w:r w:rsidR="0089298C" w:rsidRPr="002F50BD">
        <w:rPr>
          <w:rFonts w:ascii="Verdana" w:hAnsi="Verdana"/>
          <w:sz w:val="20"/>
          <w:lang w:val="pt-BR"/>
        </w:rPr>
        <w:t xml:space="preserve"> aos </w:t>
      </w:r>
      <w:r w:rsidR="004756C1" w:rsidRPr="002F50BD">
        <w:rPr>
          <w:rFonts w:ascii="Verdana" w:hAnsi="Verdana"/>
          <w:sz w:val="20"/>
          <w:lang w:val="pt-BR"/>
        </w:rPr>
        <w:t>indígenas,</w:t>
      </w:r>
      <w:r w:rsidR="0089298C" w:rsidRPr="002F50BD">
        <w:rPr>
          <w:rFonts w:ascii="Verdana" w:hAnsi="Verdana"/>
          <w:sz w:val="20"/>
          <w:lang w:val="pt-BR"/>
        </w:rPr>
        <w:t xml:space="preserve"> sem </w:t>
      </w:r>
      <w:r w:rsidR="00691D45" w:rsidRPr="002F50BD">
        <w:rPr>
          <w:rFonts w:ascii="Verdana" w:hAnsi="Verdana"/>
          <w:sz w:val="20"/>
          <w:lang w:val="pt-BR"/>
        </w:rPr>
        <w:t>prazo</w:t>
      </w:r>
      <w:r w:rsidR="0089298C" w:rsidRPr="002F50BD">
        <w:rPr>
          <w:rFonts w:ascii="Verdana" w:hAnsi="Verdana"/>
          <w:sz w:val="20"/>
          <w:lang w:val="pt-BR"/>
        </w:rPr>
        <w:t xml:space="preserve">, e sem </w:t>
      </w:r>
      <w:r w:rsidR="004756C1" w:rsidRPr="002F50BD">
        <w:rPr>
          <w:rFonts w:ascii="Verdana" w:hAnsi="Verdana"/>
          <w:sz w:val="20"/>
          <w:lang w:val="pt-BR"/>
        </w:rPr>
        <w:t xml:space="preserve">que se </w:t>
      </w:r>
      <w:r w:rsidR="00691D45" w:rsidRPr="002F50BD">
        <w:rPr>
          <w:rFonts w:ascii="Verdana" w:hAnsi="Verdana"/>
          <w:sz w:val="20"/>
          <w:lang w:val="pt-BR"/>
        </w:rPr>
        <w:t xml:space="preserve">reúnam </w:t>
      </w:r>
      <w:r w:rsidR="0089298C" w:rsidRPr="002F50BD">
        <w:rPr>
          <w:rFonts w:ascii="Verdana" w:hAnsi="Verdana"/>
          <w:sz w:val="20"/>
          <w:lang w:val="pt-BR"/>
        </w:rPr>
        <w:t xml:space="preserve">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w:t>
      </w:r>
      <w:r w:rsidR="00691D45" w:rsidRPr="002F50BD">
        <w:rPr>
          <w:rFonts w:ascii="Verdana" w:hAnsi="Verdana"/>
          <w:sz w:val="20"/>
          <w:lang w:val="pt-BR"/>
        </w:rPr>
        <w:t xml:space="preserve">indicadas </w:t>
      </w:r>
      <w:r w:rsidR="0089298C" w:rsidRPr="002F50BD">
        <w:rPr>
          <w:rFonts w:ascii="Verdana" w:hAnsi="Verdana"/>
          <w:sz w:val="20"/>
          <w:lang w:val="pt-BR"/>
        </w:rPr>
        <w:t>no parágrafo</w:t>
      </w:r>
      <w:r w:rsidR="004756C1" w:rsidRPr="002F50BD">
        <w:rPr>
          <w:rFonts w:ascii="Verdana" w:hAnsi="Verdana"/>
          <w:sz w:val="20"/>
          <w:lang w:val="pt-BR"/>
        </w:rPr>
        <w:t xml:space="preserve"> anterior </w:t>
      </w:r>
      <w:r w:rsidR="0089298C" w:rsidRPr="002F50BD">
        <w:rPr>
          <w:rFonts w:ascii="Verdana" w:hAnsi="Verdana"/>
          <w:sz w:val="20"/>
          <w:lang w:val="pt-BR"/>
        </w:rPr>
        <w:t>pode</w:t>
      </w:r>
      <w:r w:rsidR="004756C1" w:rsidRPr="002F50BD">
        <w:rPr>
          <w:rFonts w:ascii="Verdana" w:hAnsi="Verdana"/>
          <w:sz w:val="20"/>
          <w:lang w:val="pt-BR"/>
        </w:rPr>
        <w:t xml:space="preserve"> </w:t>
      </w:r>
      <w:r w:rsidR="00691D45" w:rsidRPr="002F50BD">
        <w:rPr>
          <w:rFonts w:ascii="Verdana" w:hAnsi="Verdana"/>
          <w:sz w:val="20"/>
          <w:lang w:val="pt-BR"/>
        </w:rPr>
        <w:t xml:space="preserve">criar </w:t>
      </w:r>
      <w:r w:rsidR="0089298C" w:rsidRPr="002F50BD">
        <w:rPr>
          <w:rFonts w:ascii="Verdana" w:hAnsi="Verdana"/>
          <w:sz w:val="20"/>
          <w:lang w:val="pt-BR"/>
        </w:rPr>
        <w:t xml:space="preserve">um </w:t>
      </w:r>
      <w:r w:rsidR="004756C1" w:rsidRPr="002F50BD">
        <w:rPr>
          <w:rFonts w:ascii="Verdana" w:hAnsi="Verdana"/>
          <w:sz w:val="20"/>
          <w:lang w:val="pt-BR"/>
        </w:rPr>
        <w:t>despropósito</w:t>
      </w:r>
      <w:r w:rsidR="0089298C" w:rsidRPr="002F50BD">
        <w:rPr>
          <w:rFonts w:ascii="Verdana" w:hAnsi="Verdana"/>
          <w:sz w:val="20"/>
          <w:lang w:val="pt-BR"/>
        </w:rPr>
        <w:t xml:space="preserve"> ao </w:t>
      </w:r>
      <w:r w:rsidR="004756C1" w:rsidRPr="002F50BD">
        <w:rPr>
          <w:rFonts w:ascii="Verdana" w:hAnsi="Verdana"/>
          <w:sz w:val="20"/>
          <w:lang w:val="pt-BR"/>
        </w:rPr>
        <w:t xml:space="preserve">gerar </w:t>
      </w:r>
      <w:r w:rsidR="0089298C" w:rsidRPr="002F50BD">
        <w:rPr>
          <w:rFonts w:ascii="Verdana" w:hAnsi="Verdana"/>
          <w:sz w:val="20"/>
          <w:lang w:val="pt-BR"/>
        </w:rPr>
        <w:t xml:space="preserve">dependência e </w:t>
      </w:r>
      <w:r w:rsidR="004756C1" w:rsidRPr="002F50BD">
        <w:rPr>
          <w:rFonts w:ascii="Verdana" w:hAnsi="Verdana"/>
          <w:sz w:val="20"/>
          <w:lang w:val="pt-BR"/>
        </w:rPr>
        <w:t>debilitar</w:t>
      </w:r>
      <w:r w:rsidR="0089298C" w:rsidRPr="002F50BD">
        <w:rPr>
          <w:rFonts w:ascii="Verdana" w:hAnsi="Verdana"/>
          <w:sz w:val="20"/>
          <w:lang w:val="pt-BR"/>
        </w:rPr>
        <w:t xml:space="preserve"> os </w:t>
      </w:r>
      <w:r w:rsidR="004756C1" w:rsidRPr="002F50BD">
        <w:rPr>
          <w:rFonts w:ascii="Verdana" w:hAnsi="Verdana"/>
          <w:sz w:val="20"/>
          <w:lang w:val="pt-BR"/>
        </w:rPr>
        <w:t xml:space="preserve">mecanismos de </w:t>
      </w:r>
      <w:r w:rsidR="0089298C" w:rsidRPr="002F50BD">
        <w:rPr>
          <w:rFonts w:ascii="Verdana" w:hAnsi="Verdana"/>
          <w:sz w:val="20"/>
          <w:lang w:val="pt-BR"/>
        </w:rPr>
        <w:t>proteção</w:t>
      </w:r>
      <w:r w:rsidR="004756C1" w:rsidRPr="002F50BD">
        <w:rPr>
          <w:rFonts w:ascii="Verdana" w:hAnsi="Verdana"/>
          <w:sz w:val="20"/>
          <w:lang w:val="pt-BR"/>
        </w:rPr>
        <w:t xml:space="preserve"> social </w:t>
      </w:r>
      <w:r w:rsidR="0089298C" w:rsidRPr="002F50BD">
        <w:rPr>
          <w:rFonts w:ascii="Verdana" w:hAnsi="Verdana"/>
          <w:sz w:val="20"/>
          <w:lang w:val="pt-BR"/>
        </w:rPr>
        <w:t>próprio</w:t>
      </w:r>
      <w:r w:rsidR="004756C1" w:rsidRPr="002F50BD">
        <w:rPr>
          <w:rFonts w:ascii="Verdana" w:hAnsi="Verdana"/>
          <w:sz w:val="20"/>
          <w:lang w:val="pt-BR"/>
        </w:rPr>
        <w:t>s.</w:t>
      </w:r>
      <w:r w:rsidR="0089298C" w:rsidRPr="002F50BD">
        <w:rPr>
          <w:rFonts w:ascii="Verdana" w:hAnsi="Verdana"/>
          <w:sz w:val="20"/>
          <w:lang w:val="pt-BR"/>
        </w:rPr>
        <w:t xml:space="preserve"> </w:t>
      </w:r>
      <w:r w:rsidR="00691D45" w:rsidRPr="002F50BD">
        <w:rPr>
          <w:rFonts w:ascii="Verdana" w:hAnsi="Verdana"/>
          <w:sz w:val="20"/>
          <w:lang w:val="pt-BR"/>
        </w:rPr>
        <w:t>D</w:t>
      </w:r>
      <w:r w:rsidR="0089298C" w:rsidRPr="002F50BD">
        <w:rPr>
          <w:rFonts w:ascii="Verdana" w:hAnsi="Verdana"/>
          <w:sz w:val="20"/>
          <w:lang w:val="pt-BR"/>
        </w:rPr>
        <w:t>eve</w:t>
      </w:r>
      <w:r w:rsidR="00691D45"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ter</w:t>
      </w:r>
      <w:r w:rsidR="0089298C" w:rsidRPr="002F50BD">
        <w:rPr>
          <w:rFonts w:ascii="Verdana" w:hAnsi="Verdana"/>
          <w:sz w:val="20"/>
          <w:lang w:val="pt-BR"/>
        </w:rPr>
        <w:t xml:space="preserve"> em conta também</w:t>
      </w:r>
      <w:r w:rsidR="004756C1" w:rsidRPr="002F50BD">
        <w:rPr>
          <w:rFonts w:ascii="Verdana" w:hAnsi="Verdana"/>
          <w:sz w:val="20"/>
          <w:lang w:val="pt-BR"/>
        </w:rPr>
        <w:t xml:space="preserve"> que</w:t>
      </w:r>
      <w:r w:rsidR="0089298C" w:rsidRPr="002F50BD">
        <w:rPr>
          <w:rFonts w:ascii="Verdana" w:hAnsi="Verdana"/>
          <w:sz w:val="20"/>
          <w:lang w:val="pt-BR"/>
        </w:rPr>
        <w:t xml:space="preserve"> o acesso</w:t>
      </w:r>
      <w:r w:rsidR="004756C1" w:rsidRPr="002F50BD">
        <w:rPr>
          <w:rFonts w:ascii="Verdana" w:hAnsi="Verdana"/>
          <w:sz w:val="20"/>
          <w:lang w:val="pt-BR"/>
        </w:rPr>
        <w:t xml:space="preserve"> a </w:t>
      </w:r>
      <w:r w:rsidR="0089298C" w:rsidRPr="002F50BD">
        <w:rPr>
          <w:rFonts w:ascii="Verdana" w:hAnsi="Verdana"/>
          <w:sz w:val="20"/>
          <w:lang w:val="pt-BR"/>
        </w:rPr>
        <w:t>terra</w:t>
      </w:r>
      <w:r w:rsidR="004756C1" w:rsidRPr="002F50BD">
        <w:rPr>
          <w:rFonts w:ascii="Verdana" w:hAnsi="Verdana"/>
          <w:sz w:val="20"/>
          <w:lang w:val="pt-BR"/>
        </w:rPr>
        <w:t>s aptas</w:t>
      </w:r>
      <w:r w:rsidR="0089298C" w:rsidRPr="002F50BD">
        <w:rPr>
          <w:rFonts w:ascii="Verdana" w:hAnsi="Verdana"/>
          <w:sz w:val="20"/>
          <w:lang w:val="pt-BR"/>
        </w:rPr>
        <w:t xml:space="preserve"> é uma </w:t>
      </w:r>
      <w:r w:rsidR="004756C1" w:rsidRPr="002F50BD">
        <w:rPr>
          <w:rFonts w:ascii="Verdana" w:hAnsi="Verdana"/>
          <w:sz w:val="20"/>
          <w:lang w:val="pt-BR"/>
        </w:rPr>
        <w:t>condi</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necessári</w:t>
      </w:r>
      <w:r w:rsidR="004756C1" w:rsidRPr="002F50BD">
        <w:rPr>
          <w:rFonts w:ascii="Verdana" w:hAnsi="Verdana"/>
          <w:sz w:val="20"/>
          <w:lang w:val="pt-BR"/>
        </w:rPr>
        <w:t>a</w:t>
      </w:r>
      <w:r w:rsidR="00211F33"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mas</w:t>
      </w:r>
      <w:r w:rsidR="004756C1" w:rsidRPr="002F50BD">
        <w:rPr>
          <w:rFonts w:ascii="Verdana" w:hAnsi="Verdana"/>
          <w:sz w:val="20"/>
          <w:lang w:val="pt-BR"/>
        </w:rPr>
        <w:t xml:space="preserve"> </w:t>
      </w:r>
      <w:r w:rsidR="004756C1" w:rsidRPr="002F50BD">
        <w:rPr>
          <w:rFonts w:ascii="Verdana" w:hAnsi="Verdana"/>
          <w:sz w:val="20"/>
          <w:lang w:val="pt-BR"/>
        </w:rPr>
        <w:lastRenderedPageBreak/>
        <w:t>n</w:t>
      </w:r>
      <w:r w:rsidR="00691D45" w:rsidRPr="002F50BD">
        <w:rPr>
          <w:rFonts w:ascii="Verdana" w:hAnsi="Verdana"/>
          <w:sz w:val="20"/>
          <w:lang w:val="pt-BR"/>
        </w:rPr>
        <w:t>ã</w:t>
      </w:r>
      <w:r w:rsidR="004756C1" w:rsidRPr="002F50BD">
        <w:rPr>
          <w:rFonts w:ascii="Verdana" w:hAnsi="Verdana"/>
          <w:sz w:val="20"/>
          <w:lang w:val="pt-BR"/>
        </w:rPr>
        <w:t xml:space="preserve">o suficiente para </w:t>
      </w:r>
      <w:r w:rsidR="0089298C" w:rsidRPr="002F50BD">
        <w:rPr>
          <w:rFonts w:ascii="Verdana" w:hAnsi="Verdana"/>
          <w:sz w:val="20"/>
          <w:lang w:val="pt-BR"/>
        </w:rPr>
        <w:t xml:space="preserve">criar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que </w:t>
      </w:r>
      <w:r w:rsidR="0031730D" w:rsidRPr="002F50BD">
        <w:rPr>
          <w:rFonts w:ascii="Verdana" w:hAnsi="Verdana"/>
          <w:sz w:val="20"/>
          <w:lang w:val="pt-BR"/>
        </w:rPr>
        <w:t>garantam</w:t>
      </w:r>
      <w:r w:rsidR="0089298C" w:rsidRPr="002F50BD">
        <w:rPr>
          <w:rFonts w:ascii="Verdana" w:hAnsi="Verdana"/>
          <w:sz w:val="20"/>
          <w:lang w:val="pt-BR"/>
        </w:rPr>
        <w:t xml:space="preserve"> uma </w:t>
      </w:r>
      <w:r w:rsidR="004756C1" w:rsidRPr="002F50BD">
        <w:rPr>
          <w:rFonts w:ascii="Verdana" w:hAnsi="Verdana"/>
          <w:sz w:val="20"/>
          <w:lang w:val="pt-BR"/>
        </w:rPr>
        <w:t>vida digna</w:t>
      </w:r>
      <w:r w:rsidR="00691D45" w:rsidRPr="002F50BD">
        <w:rPr>
          <w:rFonts w:ascii="Verdana" w:hAnsi="Verdana"/>
          <w:sz w:val="20"/>
          <w:lang w:val="pt-BR"/>
        </w:rPr>
        <w:t>.</w:t>
      </w:r>
      <w:r w:rsidR="004756C1" w:rsidRPr="002F50BD">
        <w:rPr>
          <w:rStyle w:val="FootnoteReference"/>
          <w:rFonts w:ascii="Verdana" w:hAnsi="Verdana"/>
        </w:rPr>
        <w:footnoteReference w:id="257"/>
      </w:r>
      <w:r w:rsidR="0089298C" w:rsidRPr="002F50BD">
        <w:rPr>
          <w:rFonts w:ascii="Verdana" w:hAnsi="Verdana"/>
          <w:sz w:val="20"/>
          <w:lang w:val="pt-BR"/>
        </w:rPr>
        <w:t xml:space="preserve"> </w:t>
      </w:r>
      <w:r w:rsidR="00691D45" w:rsidRPr="002F50BD">
        <w:rPr>
          <w:rFonts w:ascii="Verdana" w:hAnsi="Verdana"/>
          <w:sz w:val="20"/>
          <w:lang w:val="pt-BR"/>
        </w:rPr>
        <w:t>N</w:t>
      </w:r>
      <w:r w:rsidR="00FB33DD" w:rsidRPr="002F50BD">
        <w:rPr>
          <w:rFonts w:ascii="Verdana" w:hAnsi="Verdana"/>
          <w:sz w:val="20"/>
          <w:lang w:val="pt-BR"/>
        </w:rPr>
        <w:t>essa</w:t>
      </w:r>
      <w:r w:rsidR="0089298C" w:rsidRPr="002F50BD">
        <w:rPr>
          <w:rFonts w:ascii="Verdana" w:hAnsi="Verdana"/>
          <w:sz w:val="20"/>
          <w:lang w:val="pt-BR"/>
        </w:rPr>
        <w:t xml:space="preserve"> </w:t>
      </w:r>
      <w:r w:rsidR="004756C1" w:rsidRPr="002F50BD">
        <w:rPr>
          <w:rFonts w:ascii="Verdana" w:hAnsi="Verdana"/>
          <w:sz w:val="20"/>
          <w:lang w:val="pt-BR"/>
        </w:rPr>
        <w:t>medida</w:t>
      </w:r>
      <w:r w:rsidR="00211F33"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dever</w:t>
      </w:r>
      <w:r w:rsidR="00211F33" w:rsidRPr="002F50BD">
        <w:rPr>
          <w:rFonts w:ascii="Verdana" w:hAnsi="Verdana"/>
          <w:sz w:val="20"/>
          <w:lang w:val="pt-BR"/>
        </w:rPr>
        <w:t>-se-</w:t>
      </w:r>
      <w:r w:rsidR="004756C1" w:rsidRPr="002F50BD">
        <w:rPr>
          <w:rFonts w:ascii="Verdana" w:hAnsi="Verdana"/>
          <w:sz w:val="20"/>
          <w:lang w:val="pt-BR"/>
        </w:rPr>
        <w:t xml:space="preserve">á </w:t>
      </w:r>
      <w:r w:rsidR="00691D45" w:rsidRPr="002F50BD">
        <w:rPr>
          <w:rFonts w:ascii="Verdana" w:hAnsi="Verdana"/>
          <w:sz w:val="20"/>
          <w:lang w:val="pt-BR"/>
        </w:rPr>
        <w:t xml:space="preserve">ter o </w:t>
      </w:r>
      <w:r w:rsidR="004756C1" w:rsidRPr="002F50BD">
        <w:rPr>
          <w:rFonts w:ascii="Verdana" w:hAnsi="Verdana"/>
          <w:sz w:val="20"/>
          <w:lang w:val="pt-BR"/>
        </w:rPr>
        <w:t>cuidado de n</w:t>
      </w:r>
      <w:r w:rsidR="00691D45"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empregar</w:t>
      </w:r>
      <w:r w:rsidR="004756C1" w:rsidRPr="002F50BD">
        <w:rPr>
          <w:rFonts w:ascii="Verdana" w:hAnsi="Verdana"/>
          <w:sz w:val="20"/>
          <w:lang w:val="pt-BR"/>
        </w:rPr>
        <w:t xml:space="preserve"> </w:t>
      </w:r>
      <w:r w:rsidR="0089298C" w:rsidRPr="002F50BD">
        <w:rPr>
          <w:rFonts w:ascii="Verdana" w:hAnsi="Verdana"/>
          <w:sz w:val="20"/>
          <w:lang w:val="pt-BR"/>
        </w:rPr>
        <w:t xml:space="preserve">grande </w:t>
      </w:r>
      <w:r w:rsidR="004756C1" w:rsidRPr="002F50BD">
        <w:rPr>
          <w:rFonts w:ascii="Verdana" w:hAnsi="Verdana"/>
          <w:sz w:val="20"/>
          <w:lang w:val="pt-BR"/>
        </w:rPr>
        <w:t>parte</w:t>
      </w:r>
      <w:r w:rsidR="0089298C" w:rsidRPr="002F50BD">
        <w:rPr>
          <w:rFonts w:ascii="Verdana" w:hAnsi="Verdana"/>
          <w:sz w:val="20"/>
          <w:lang w:val="pt-BR"/>
        </w:rPr>
        <w:t xml:space="preserve"> dos </w:t>
      </w:r>
      <w:r w:rsidR="004756C1" w:rsidRPr="002F50BD">
        <w:rPr>
          <w:rFonts w:ascii="Verdana" w:hAnsi="Verdana"/>
          <w:sz w:val="20"/>
          <w:lang w:val="pt-BR"/>
        </w:rPr>
        <w:t xml:space="preserve">recursos </w:t>
      </w:r>
      <w:r w:rsidR="0089298C" w:rsidRPr="002F50BD">
        <w:rPr>
          <w:rFonts w:ascii="Verdana" w:hAnsi="Verdana"/>
          <w:sz w:val="20"/>
          <w:lang w:val="pt-BR"/>
        </w:rPr>
        <w:t>financeiro</w:t>
      </w:r>
      <w:r w:rsidR="004756C1" w:rsidRPr="002F50BD">
        <w:rPr>
          <w:rFonts w:ascii="Verdana" w:hAnsi="Verdana"/>
          <w:sz w:val="20"/>
          <w:lang w:val="pt-BR"/>
        </w:rPr>
        <w:t xml:space="preserve">s </w:t>
      </w:r>
      <w:r w:rsidR="004076AD" w:rsidRPr="002F50BD">
        <w:rPr>
          <w:rFonts w:ascii="Verdana" w:hAnsi="Verdana"/>
          <w:sz w:val="20"/>
          <w:lang w:val="pt-BR"/>
        </w:rPr>
        <w:t>existentes</w:t>
      </w:r>
      <w:r w:rsidR="0089298C" w:rsidRPr="002F50BD">
        <w:rPr>
          <w:rFonts w:ascii="Verdana" w:hAnsi="Verdana"/>
          <w:sz w:val="20"/>
          <w:lang w:val="pt-BR"/>
        </w:rPr>
        <w:t xml:space="preserve"> em </w:t>
      </w:r>
      <w:r w:rsidR="004756C1" w:rsidRPr="002F50BD">
        <w:rPr>
          <w:rFonts w:ascii="Verdana" w:hAnsi="Verdana"/>
          <w:sz w:val="20"/>
          <w:lang w:val="pt-BR"/>
        </w:rPr>
        <w:t xml:space="preserve">compra de </w:t>
      </w:r>
      <w:r w:rsidR="0089298C" w:rsidRPr="002F50BD">
        <w:rPr>
          <w:rFonts w:ascii="Verdana" w:hAnsi="Verdana"/>
          <w:sz w:val="20"/>
          <w:lang w:val="pt-BR"/>
        </w:rPr>
        <w:t>terra</w:t>
      </w:r>
      <w:r w:rsidR="004756C1" w:rsidRPr="002F50BD">
        <w:rPr>
          <w:rFonts w:ascii="Verdana" w:hAnsi="Verdana"/>
          <w:sz w:val="20"/>
          <w:lang w:val="pt-BR"/>
        </w:rPr>
        <w:t>s o</w:t>
      </w:r>
      <w:r w:rsidR="00691D45" w:rsidRPr="002F50BD">
        <w:rPr>
          <w:rFonts w:ascii="Verdana" w:hAnsi="Verdana"/>
          <w:sz w:val="20"/>
          <w:lang w:val="pt-BR"/>
        </w:rPr>
        <w:t>u no</w:t>
      </w:r>
      <w:r w:rsidR="004756C1" w:rsidRPr="002F50BD">
        <w:rPr>
          <w:rFonts w:ascii="Verdana" w:hAnsi="Verdana"/>
          <w:sz w:val="20"/>
          <w:lang w:val="pt-BR"/>
        </w:rPr>
        <w:t xml:space="preserve"> </w:t>
      </w:r>
      <w:r w:rsidR="0089298C" w:rsidRPr="002F50BD">
        <w:rPr>
          <w:rFonts w:ascii="Verdana" w:hAnsi="Verdana"/>
          <w:sz w:val="20"/>
          <w:lang w:val="pt-BR"/>
        </w:rPr>
        <w:t>pagamento</w:t>
      </w:r>
      <w:r w:rsidR="004756C1" w:rsidRPr="002F50BD">
        <w:rPr>
          <w:rFonts w:ascii="Verdana" w:hAnsi="Verdana"/>
          <w:sz w:val="20"/>
          <w:lang w:val="pt-BR"/>
        </w:rPr>
        <w:t xml:space="preserve"> de </w:t>
      </w:r>
      <w:r w:rsidR="0089298C" w:rsidRPr="002F50BD">
        <w:rPr>
          <w:rFonts w:ascii="Verdana" w:hAnsi="Verdana"/>
          <w:sz w:val="20"/>
          <w:lang w:val="pt-BR"/>
        </w:rPr>
        <w:t>indenizações</w:t>
      </w:r>
      <w:r w:rsidR="004756C1" w:rsidRPr="002F50BD">
        <w:rPr>
          <w:rFonts w:ascii="Verdana" w:hAnsi="Verdana"/>
          <w:sz w:val="20"/>
          <w:lang w:val="pt-BR"/>
        </w:rPr>
        <w:t xml:space="preserve"> por </w:t>
      </w:r>
      <w:r w:rsidR="00DB51F0" w:rsidRPr="002F50BD">
        <w:rPr>
          <w:rFonts w:ascii="Verdana" w:hAnsi="Verdana"/>
          <w:sz w:val="20"/>
          <w:lang w:val="pt-BR"/>
        </w:rPr>
        <w:t>expropriação</w:t>
      </w:r>
      <w:r w:rsidR="004756C1" w:rsidRPr="002F50BD">
        <w:rPr>
          <w:rFonts w:ascii="Verdana" w:hAnsi="Verdana"/>
          <w:sz w:val="20"/>
          <w:lang w:val="pt-BR"/>
        </w:rPr>
        <w:t xml:space="preserve"> de </w:t>
      </w:r>
      <w:r w:rsidR="0089298C" w:rsidRPr="002F50BD">
        <w:rPr>
          <w:rFonts w:ascii="Verdana" w:hAnsi="Verdana"/>
          <w:sz w:val="20"/>
          <w:lang w:val="pt-BR"/>
        </w:rPr>
        <w:t>terra</w:t>
      </w:r>
      <w:r w:rsidR="004756C1" w:rsidRPr="002F50BD">
        <w:rPr>
          <w:rFonts w:ascii="Verdana" w:hAnsi="Verdana"/>
          <w:sz w:val="20"/>
          <w:lang w:val="pt-BR"/>
        </w:rPr>
        <w:t>s.</w:t>
      </w:r>
      <w:r w:rsidR="00FE08B7">
        <w:rPr>
          <w:rFonts w:ascii="Verdana" w:hAnsi="Verdana"/>
          <w:sz w:val="20"/>
          <w:lang w:val="pt-BR"/>
        </w:rPr>
        <w:t xml:space="preserve">     </w:t>
      </w:r>
      <w:r w:rsidR="004756C1"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ind w:right="-6"/>
        <w:jc w:val="both"/>
        <w:rPr>
          <w:rFonts w:ascii="Verdana" w:hAnsi="Verdana"/>
          <w:sz w:val="20"/>
          <w:lang w:val="pt-BR"/>
        </w:rPr>
      </w:pPr>
      <w:r w:rsidRPr="002F50BD">
        <w:rPr>
          <w:rFonts w:ascii="Verdana" w:hAnsi="Verdana"/>
          <w:sz w:val="20"/>
          <w:lang w:val="pt-BR"/>
        </w:rPr>
        <w:t>32</w:t>
      </w:r>
      <w:r w:rsidR="004756C1" w:rsidRPr="002F50BD">
        <w:rPr>
          <w:rFonts w:ascii="Verdana" w:hAnsi="Verdana"/>
          <w:sz w:val="20"/>
          <w:lang w:val="pt-BR"/>
        </w:rPr>
        <w:t>.</w:t>
      </w:r>
      <w:r w:rsidR="004756C1" w:rsidRPr="002F50BD">
        <w:rPr>
          <w:rFonts w:ascii="Verdana" w:hAnsi="Verdana"/>
          <w:sz w:val="20"/>
          <w:lang w:val="pt-BR"/>
        </w:rPr>
        <w:tab/>
      </w:r>
      <w:r w:rsidR="00FB33DD" w:rsidRPr="002F50BD">
        <w:rPr>
          <w:rFonts w:ascii="Verdana" w:hAnsi="Verdana"/>
          <w:sz w:val="20"/>
          <w:lang w:val="pt-BR"/>
        </w:rPr>
        <w:t xml:space="preserve">O </w:t>
      </w:r>
      <w:r w:rsidR="0089298C" w:rsidRPr="002F50BD">
        <w:rPr>
          <w:rFonts w:ascii="Verdana" w:hAnsi="Verdana"/>
          <w:sz w:val="20"/>
          <w:lang w:val="pt-BR"/>
        </w:rPr>
        <w:t>dever</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Estado de tomar medidas positivas para proteger</w:t>
      </w:r>
      <w:r w:rsidR="0089298C" w:rsidRPr="002F50BD">
        <w:rPr>
          <w:rFonts w:ascii="Verdana" w:hAnsi="Verdana"/>
          <w:sz w:val="20"/>
          <w:lang w:val="pt-BR"/>
        </w:rPr>
        <w:t xml:space="preserve"> o direito à </w:t>
      </w:r>
      <w:r w:rsidR="004756C1" w:rsidRPr="002F50BD">
        <w:rPr>
          <w:rFonts w:ascii="Verdana" w:hAnsi="Verdana"/>
          <w:sz w:val="20"/>
          <w:lang w:val="pt-BR"/>
        </w:rPr>
        <w:t>vida,</w:t>
      </w:r>
      <w:r w:rsidR="0089298C" w:rsidRPr="002F50BD">
        <w:rPr>
          <w:rFonts w:ascii="Verdana" w:hAnsi="Verdana"/>
          <w:sz w:val="20"/>
          <w:lang w:val="pt-BR"/>
        </w:rPr>
        <w:t xml:space="preserve"> ainda</w:t>
      </w:r>
      <w:r w:rsidR="004756C1" w:rsidRPr="002F50BD">
        <w:rPr>
          <w:rFonts w:ascii="Verdana" w:hAnsi="Verdana"/>
          <w:sz w:val="20"/>
          <w:lang w:val="pt-BR"/>
        </w:rPr>
        <w:t xml:space="preserve"> </w:t>
      </w:r>
      <w:r w:rsidR="0089298C" w:rsidRPr="002F50BD">
        <w:rPr>
          <w:rFonts w:ascii="Verdana" w:hAnsi="Verdana"/>
          <w:sz w:val="20"/>
          <w:lang w:val="pt-BR"/>
        </w:rPr>
        <w:t>quando</w:t>
      </w:r>
      <w:r w:rsidR="004756C1" w:rsidRPr="002F50BD">
        <w:rPr>
          <w:rFonts w:ascii="Verdana" w:hAnsi="Verdana"/>
          <w:sz w:val="20"/>
          <w:lang w:val="pt-BR"/>
        </w:rPr>
        <w:t xml:space="preserve"> </w:t>
      </w:r>
      <w:r w:rsidR="00691D45" w:rsidRPr="002F50BD">
        <w:rPr>
          <w:rFonts w:ascii="Verdana" w:hAnsi="Verdana"/>
          <w:sz w:val="20"/>
          <w:lang w:val="pt-BR"/>
        </w:rPr>
        <w:t xml:space="preserve">inclua </w:t>
      </w:r>
      <w:r w:rsidR="004756C1" w:rsidRPr="002F50BD">
        <w:rPr>
          <w:rFonts w:ascii="Verdana" w:hAnsi="Verdana"/>
          <w:sz w:val="20"/>
          <w:lang w:val="pt-BR"/>
        </w:rPr>
        <w:t>presta</w:t>
      </w:r>
      <w:r w:rsidR="0089298C" w:rsidRPr="002F50BD">
        <w:rPr>
          <w:rFonts w:ascii="Verdana" w:hAnsi="Verdana"/>
          <w:sz w:val="20"/>
          <w:lang w:val="pt-BR"/>
        </w:rPr>
        <w:t>ções</w:t>
      </w:r>
      <w:r w:rsidR="004756C1" w:rsidRPr="002F50BD">
        <w:rPr>
          <w:rFonts w:ascii="Verdana" w:hAnsi="Verdana"/>
          <w:sz w:val="20"/>
          <w:lang w:val="pt-BR"/>
        </w:rPr>
        <w:t xml:space="preserve"> que </w:t>
      </w:r>
      <w:r w:rsidR="00691D45" w:rsidRPr="002F50BD">
        <w:rPr>
          <w:rFonts w:ascii="Verdana" w:hAnsi="Verdana"/>
          <w:sz w:val="20"/>
          <w:lang w:val="pt-BR"/>
        </w:rPr>
        <w:t xml:space="preserve">ponha </w:t>
      </w:r>
      <w:r w:rsidR="00CE1AC8" w:rsidRPr="002F50BD">
        <w:rPr>
          <w:rFonts w:ascii="Verdana" w:hAnsi="Verdana"/>
          <w:sz w:val="20"/>
          <w:lang w:val="pt-BR"/>
        </w:rPr>
        <w:t>à</w:t>
      </w:r>
      <w:r w:rsidR="004756C1" w:rsidRPr="002F50BD">
        <w:rPr>
          <w:rFonts w:ascii="Verdana" w:hAnsi="Verdana"/>
          <w:sz w:val="20"/>
          <w:lang w:val="pt-BR"/>
        </w:rPr>
        <w:t xml:space="preserve"> disposi</w:t>
      </w:r>
      <w:r w:rsidR="0089298C" w:rsidRPr="002F50BD">
        <w:rPr>
          <w:rFonts w:ascii="Verdana" w:hAnsi="Verdana"/>
          <w:sz w:val="20"/>
          <w:lang w:val="pt-BR"/>
        </w:rPr>
        <w:t>ção</w:t>
      </w:r>
      <w:r w:rsidR="004756C1" w:rsidRPr="002F50BD">
        <w:rPr>
          <w:rFonts w:ascii="Verdana" w:hAnsi="Verdana"/>
          <w:sz w:val="20"/>
          <w:lang w:val="pt-BR"/>
        </w:rPr>
        <w:t xml:space="preserve"> de </w:t>
      </w:r>
      <w:r w:rsidR="00691D45" w:rsidRPr="002F50BD">
        <w:rPr>
          <w:rFonts w:ascii="Verdana" w:hAnsi="Verdana"/>
          <w:sz w:val="20"/>
          <w:lang w:val="pt-BR"/>
        </w:rPr>
        <w:t xml:space="preserve">povos </w:t>
      </w:r>
      <w:r w:rsidR="0089298C" w:rsidRPr="002F50BD">
        <w:rPr>
          <w:rFonts w:ascii="Verdana" w:hAnsi="Verdana"/>
          <w:sz w:val="20"/>
          <w:lang w:val="pt-BR"/>
        </w:rPr>
        <w:t>vulneráveis</w:t>
      </w:r>
      <w:r w:rsidR="004756C1" w:rsidRPr="002F50BD">
        <w:rPr>
          <w:rFonts w:ascii="Verdana" w:hAnsi="Verdana"/>
          <w:sz w:val="20"/>
          <w:lang w:val="pt-BR"/>
        </w:rPr>
        <w:t xml:space="preserve"> p</w:t>
      </w:r>
      <w:r w:rsidR="00691D45" w:rsidRPr="002F50BD">
        <w:rPr>
          <w:rFonts w:ascii="Verdana" w:hAnsi="Verdana"/>
          <w:sz w:val="20"/>
          <w:lang w:val="pt-BR"/>
        </w:rPr>
        <w:t>r</w:t>
      </w:r>
      <w:r w:rsidR="004756C1" w:rsidRPr="002F50BD">
        <w:rPr>
          <w:rFonts w:ascii="Verdana" w:hAnsi="Verdana"/>
          <w:sz w:val="20"/>
          <w:lang w:val="pt-BR"/>
        </w:rPr>
        <w:t>ostrad</w:t>
      </w:r>
      <w:r w:rsidR="00691D45" w:rsidRPr="002F50BD">
        <w:rPr>
          <w:rFonts w:ascii="Verdana" w:hAnsi="Verdana"/>
          <w:sz w:val="20"/>
          <w:lang w:val="pt-BR"/>
        </w:rPr>
        <w:t>o</w:t>
      </w:r>
      <w:r w:rsidR="004756C1" w:rsidRPr="002F50BD">
        <w:rPr>
          <w:rFonts w:ascii="Verdana" w:hAnsi="Verdana"/>
          <w:sz w:val="20"/>
          <w:lang w:val="pt-BR"/>
        </w:rPr>
        <w:t>s</w:t>
      </w:r>
      <w:r w:rsidR="0089298C" w:rsidRPr="002F50BD">
        <w:rPr>
          <w:rFonts w:ascii="Verdana" w:hAnsi="Verdana"/>
          <w:sz w:val="20"/>
          <w:lang w:val="pt-BR"/>
        </w:rPr>
        <w:t xml:space="preserve"> em </w:t>
      </w:r>
      <w:r w:rsidR="004756C1" w:rsidRPr="002F50BD">
        <w:rPr>
          <w:rFonts w:ascii="Verdana" w:hAnsi="Verdana"/>
          <w:sz w:val="20"/>
          <w:lang w:val="pt-BR"/>
        </w:rPr>
        <w:t xml:space="preserve">extrema pobreza, </w:t>
      </w:r>
      <w:r w:rsidR="00AB454A" w:rsidRPr="002F50BD">
        <w:rPr>
          <w:rFonts w:ascii="Verdana" w:hAnsi="Verdana"/>
          <w:sz w:val="20"/>
          <w:lang w:val="pt-BR"/>
        </w:rPr>
        <w:t>não pode</w:t>
      </w:r>
      <w:r w:rsidR="004756C1" w:rsidRPr="002F50BD">
        <w:rPr>
          <w:rFonts w:ascii="Verdana" w:hAnsi="Verdana"/>
          <w:sz w:val="20"/>
          <w:lang w:val="pt-BR"/>
        </w:rPr>
        <w:t xml:space="preserve"> </w:t>
      </w:r>
      <w:r w:rsidR="00691D45" w:rsidRPr="002F50BD">
        <w:rPr>
          <w:rFonts w:ascii="Verdana" w:hAnsi="Verdana"/>
          <w:sz w:val="20"/>
          <w:lang w:val="pt-BR"/>
        </w:rPr>
        <w:t>se limitar</w:t>
      </w:r>
      <w:r w:rsidR="004756C1" w:rsidRPr="002F50BD">
        <w:rPr>
          <w:rFonts w:ascii="Verdana" w:hAnsi="Verdana"/>
          <w:sz w:val="20"/>
          <w:lang w:val="pt-BR"/>
        </w:rPr>
        <w:t xml:space="preserve"> a</w:t>
      </w:r>
      <w:r w:rsidR="0089298C" w:rsidRPr="002F50BD">
        <w:rPr>
          <w:rFonts w:ascii="Verdana" w:hAnsi="Verdana"/>
          <w:sz w:val="20"/>
          <w:lang w:val="pt-BR"/>
        </w:rPr>
        <w:t xml:space="preserve"> ela</w:t>
      </w:r>
      <w:r w:rsidR="004756C1" w:rsidRPr="002F50BD">
        <w:rPr>
          <w:rFonts w:ascii="Verdana" w:hAnsi="Verdana"/>
          <w:sz w:val="20"/>
          <w:lang w:val="pt-BR"/>
        </w:rPr>
        <w:t>s</w:t>
      </w:r>
      <w:r w:rsidR="0089298C" w:rsidRPr="002F50BD">
        <w:rPr>
          <w:rFonts w:ascii="Verdana" w:hAnsi="Verdana"/>
          <w:sz w:val="20"/>
          <w:lang w:val="pt-BR"/>
        </w:rPr>
        <w:t>,</w:t>
      </w:r>
      <w:r w:rsidR="004076AD" w:rsidRPr="002F50BD">
        <w:rPr>
          <w:rFonts w:ascii="Verdana" w:hAnsi="Verdana"/>
          <w:sz w:val="20"/>
          <w:lang w:val="pt-BR"/>
        </w:rPr>
        <w:t xml:space="preserve"> já </w:t>
      </w:r>
      <w:r w:rsidR="004756C1" w:rsidRPr="002F50BD">
        <w:rPr>
          <w:rFonts w:ascii="Verdana" w:hAnsi="Verdana"/>
          <w:sz w:val="20"/>
          <w:lang w:val="pt-BR"/>
        </w:rPr>
        <w:t>que</w:t>
      </w:r>
      <w:r w:rsidR="0089298C" w:rsidRPr="002F50BD">
        <w:rPr>
          <w:rFonts w:ascii="Verdana" w:hAnsi="Verdana"/>
          <w:sz w:val="20"/>
          <w:lang w:val="pt-BR"/>
        </w:rPr>
        <w:t xml:space="preserve"> a assistência</w:t>
      </w:r>
      <w:r w:rsidR="00211F33" w:rsidRPr="002F50BD">
        <w:rPr>
          <w:rFonts w:ascii="Verdana" w:hAnsi="Verdana"/>
          <w:sz w:val="20"/>
          <w:lang w:val="pt-BR"/>
        </w:rPr>
        <w:t>,</w:t>
      </w:r>
      <w:r w:rsidR="0089298C" w:rsidRPr="002F50BD">
        <w:rPr>
          <w:rFonts w:ascii="Verdana" w:hAnsi="Verdana"/>
          <w:sz w:val="20"/>
          <w:lang w:val="pt-BR"/>
        </w:rPr>
        <w:t xml:space="preserve"> em questão</w:t>
      </w:r>
      <w:r w:rsidR="00211F33" w:rsidRPr="002F50BD">
        <w:rPr>
          <w:rFonts w:ascii="Verdana" w:hAnsi="Verdana"/>
          <w:sz w:val="20"/>
          <w:lang w:val="pt-BR"/>
        </w:rPr>
        <w:t>,</w:t>
      </w:r>
      <w:r w:rsidR="0089298C" w:rsidRPr="002F50BD">
        <w:rPr>
          <w:rFonts w:ascii="Verdana" w:hAnsi="Verdana"/>
          <w:sz w:val="20"/>
          <w:lang w:val="pt-BR"/>
        </w:rPr>
        <w:t xml:space="preserve"> ao </w:t>
      </w:r>
      <w:r w:rsidR="004756C1" w:rsidRPr="002F50BD">
        <w:rPr>
          <w:rFonts w:ascii="Verdana" w:hAnsi="Verdana"/>
          <w:sz w:val="20"/>
          <w:lang w:val="pt-BR"/>
        </w:rPr>
        <w:t>n</w:t>
      </w:r>
      <w:r w:rsidR="00691D45" w:rsidRPr="002F50BD">
        <w:rPr>
          <w:rFonts w:ascii="Verdana" w:hAnsi="Verdana"/>
          <w:sz w:val="20"/>
          <w:lang w:val="pt-BR"/>
        </w:rPr>
        <w:t>ã</w:t>
      </w:r>
      <w:r w:rsidR="004756C1" w:rsidRPr="002F50BD">
        <w:rPr>
          <w:rFonts w:ascii="Verdana" w:hAnsi="Verdana"/>
          <w:sz w:val="20"/>
          <w:lang w:val="pt-BR"/>
        </w:rPr>
        <w:t>o atacar</w:t>
      </w:r>
      <w:r w:rsidR="0089298C" w:rsidRPr="002F50BD">
        <w:rPr>
          <w:rFonts w:ascii="Verdana" w:hAnsi="Verdana"/>
          <w:sz w:val="20"/>
          <w:lang w:val="pt-BR"/>
        </w:rPr>
        <w:t xml:space="preserve"> os fato</w:t>
      </w:r>
      <w:r w:rsidR="004756C1" w:rsidRPr="002F50BD">
        <w:rPr>
          <w:rFonts w:ascii="Verdana" w:hAnsi="Verdana"/>
          <w:sz w:val="20"/>
          <w:lang w:val="pt-BR"/>
        </w:rPr>
        <w:t xml:space="preserve">res </w:t>
      </w:r>
      <w:r w:rsidR="0089298C" w:rsidRPr="002F50BD">
        <w:rPr>
          <w:rFonts w:ascii="Verdana" w:hAnsi="Verdana"/>
          <w:sz w:val="20"/>
          <w:lang w:val="pt-BR"/>
        </w:rPr>
        <w:t>produto</w:t>
      </w:r>
      <w:r w:rsidR="004756C1" w:rsidRPr="002F50BD">
        <w:rPr>
          <w:rFonts w:ascii="Verdana" w:hAnsi="Verdana"/>
          <w:sz w:val="20"/>
          <w:lang w:val="pt-BR"/>
        </w:rPr>
        <w:t>res de pobreza</w:t>
      </w:r>
      <w:r w:rsidR="00211F33" w:rsidRPr="002F50BD">
        <w:rPr>
          <w:rFonts w:ascii="Verdana" w:hAnsi="Verdana"/>
          <w:sz w:val="20"/>
          <w:lang w:val="pt-BR"/>
        </w:rPr>
        <w:t>,</w:t>
      </w:r>
      <w:r w:rsidR="0089298C" w:rsidRPr="002F50BD">
        <w:rPr>
          <w:rFonts w:ascii="Verdana" w:hAnsi="Verdana"/>
          <w:sz w:val="20"/>
          <w:lang w:val="pt-BR"/>
        </w:rPr>
        <w:t xml:space="preserve"> em geral, e</w:t>
      </w:r>
      <w:r w:rsidR="004756C1" w:rsidRPr="002F50BD">
        <w:rPr>
          <w:rFonts w:ascii="Verdana" w:hAnsi="Verdana"/>
          <w:sz w:val="20"/>
          <w:lang w:val="pt-BR"/>
        </w:rPr>
        <w:t xml:space="preserve"> de pobreza extrema</w:t>
      </w:r>
      <w:r w:rsidR="00211F33" w:rsidRPr="002F50BD">
        <w:rPr>
          <w:rFonts w:ascii="Verdana" w:hAnsi="Verdana"/>
          <w:sz w:val="20"/>
          <w:lang w:val="pt-BR"/>
        </w:rPr>
        <w:t>,</w:t>
      </w:r>
      <w:r w:rsidR="0089298C" w:rsidRPr="002F50BD">
        <w:rPr>
          <w:rFonts w:ascii="Verdana" w:hAnsi="Verdana"/>
          <w:sz w:val="20"/>
          <w:lang w:val="pt-BR"/>
        </w:rPr>
        <w:t xml:space="preserve"> em </w:t>
      </w:r>
      <w:r w:rsidR="004756C1" w:rsidRPr="002F50BD">
        <w:rPr>
          <w:rFonts w:ascii="Verdana" w:hAnsi="Verdana"/>
          <w:sz w:val="20"/>
          <w:lang w:val="pt-BR"/>
        </w:rPr>
        <w:t xml:space="preserve">especial, </w:t>
      </w:r>
      <w:r w:rsidR="00AB454A" w:rsidRPr="002F50BD">
        <w:rPr>
          <w:rFonts w:ascii="Verdana" w:hAnsi="Verdana"/>
          <w:sz w:val="20"/>
          <w:lang w:val="pt-BR"/>
        </w:rPr>
        <w:t xml:space="preserve">não </w:t>
      </w:r>
      <w:r w:rsidR="00475EBB" w:rsidRPr="002F50BD">
        <w:rPr>
          <w:rFonts w:ascii="Verdana" w:hAnsi="Verdana"/>
          <w:sz w:val="20"/>
          <w:lang w:val="pt-BR"/>
        </w:rPr>
        <w:t xml:space="preserve">pode </w:t>
      </w:r>
      <w:r w:rsidR="0089298C" w:rsidRPr="002F50BD">
        <w:rPr>
          <w:rFonts w:ascii="Verdana" w:hAnsi="Verdana"/>
          <w:sz w:val="20"/>
          <w:lang w:val="pt-BR"/>
        </w:rPr>
        <w:t xml:space="preserve">criar as </w:t>
      </w:r>
      <w:r w:rsidR="004756C1" w:rsidRPr="002F50BD">
        <w:rPr>
          <w:rFonts w:ascii="Verdana" w:hAnsi="Verdana"/>
          <w:sz w:val="20"/>
          <w:lang w:val="pt-BR"/>
        </w:rPr>
        <w:t>referidas condi</w:t>
      </w:r>
      <w:r w:rsidR="0089298C" w:rsidRPr="002F50BD">
        <w:rPr>
          <w:rFonts w:ascii="Verdana" w:hAnsi="Verdana"/>
          <w:sz w:val="20"/>
          <w:lang w:val="pt-BR"/>
        </w:rPr>
        <w:t>ções</w:t>
      </w:r>
      <w:r w:rsidR="004756C1" w:rsidRPr="002F50BD">
        <w:rPr>
          <w:rFonts w:ascii="Verdana" w:hAnsi="Verdana"/>
          <w:sz w:val="20"/>
          <w:lang w:val="pt-BR"/>
        </w:rPr>
        <w:t xml:space="preserve"> para</w:t>
      </w:r>
      <w:r w:rsidR="0089298C" w:rsidRPr="002F50BD">
        <w:rPr>
          <w:rFonts w:ascii="Verdana" w:hAnsi="Verdana"/>
          <w:sz w:val="20"/>
          <w:lang w:val="pt-BR"/>
        </w:rPr>
        <w:t xml:space="preserve"> uma </w:t>
      </w:r>
      <w:r w:rsidR="004756C1" w:rsidRPr="002F50BD">
        <w:rPr>
          <w:rFonts w:ascii="Verdana" w:hAnsi="Verdana"/>
          <w:sz w:val="20"/>
          <w:lang w:val="pt-BR"/>
        </w:rPr>
        <w:t>vida digna</w:t>
      </w:r>
      <w:r w:rsidR="004076AD" w:rsidRPr="002F50BD">
        <w:rPr>
          <w:rFonts w:ascii="Verdana" w:hAnsi="Verdana"/>
          <w:sz w:val="20"/>
          <w:lang w:val="pt-BR"/>
        </w:rPr>
        <w:t>. Neste</w:t>
      </w:r>
      <w:r w:rsidR="0089298C" w:rsidRPr="002F50BD">
        <w:rPr>
          <w:rFonts w:ascii="Verdana" w:hAnsi="Verdana"/>
          <w:sz w:val="20"/>
          <w:lang w:val="pt-BR"/>
        </w:rPr>
        <w:t xml:space="preserve"> ponto</w:t>
      </w:r>
      <w:r w:rsidR="00211F33" w:rsidRPr="002F50BD">
        <w:rPr>
          <w:rFonts w:ascii="Verdana" w:hAnsi="Verdana"/>
          <w:sz w:val="20"/>
          <w:lang w:val="pt-BR"/>
        </w:rPr>
        <w:t>,</w:t>
      </w:r>
      <w:r w:rsidR="0089298C" w:rsidRPr="002F50BD">
        <w:rPr>
          <w:rFonts w:ascii="Verdana" w:hAnsi="Verdana"/>
          <w:sz w:val="20"/>
          <w:lang w:val="pt-BR"/>
        </w:rPr>
        <w:t xml:space="preserve"> deve</w:t>
      </w:r>
      <w:r w:rsidR="00211F33" w:rsidRPr="002F50BD">
        <w:rPr>
          <w:rFonts w:ascii="Verdana" w:hAnsi="Verdana"/>
          <w:sz w:val="20"/>
          <w:lang w:val="pt-BR"/>
        </w:rPr>
        <w:t>-se</w:t>
      </w:r>
      <w:r w:rsidR="0089298C" w:rsidRPr="002F50BD">
        <w:rPr>
          <w:rFonts w:ascii="Verdana" w:hAnsi="Verdana"/>
          <w:sz w:val="20"/>
          <w:lang w:val="pt-BR"/>
        </w:rPr>
        <w:t xml:space="preserve"> </w:t>
      </w:r>
      <w:r w:rsidR="00691D45" w:rsidRPr="002F50BD">
        <w:rPr>
          <w:rFonts w:ascii="Verdana" w:hAnsi="Verdana"/>
          <w:sz w:val="20"/>
          <w:lang w:val="pt-BR"/>
        </w:rPr>
        <w:t>tomar</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ção</w:t>
      </w:r>
      <w:r w:rsidR="004756C1" w:rsidRPr="002F50BD">
        <w:rPr>
          <w:rFonts w:ascii="Verdana" w:hAnsi="Verdana"/>
          <w:sz w:val="20"/>
          <w:lang w:val="pt-BR"/>
        </w:rPr>
        <w:t xml:space="preserve"> o </w:t>
      </w:r>
      <w:r w:rsidR="0089298C" w:rsidRPr="002F50BD">
        <w:rPr>
          <w:rFonts w:ascii="Verdana" w:hAnsi="Verdana"/>
          <w:sz w:val="20"/>
          <w:lang w:val="pt-BR"/>
        </w:rPr>
        <w:t xml:space="preserve">indicado pela </w:t>
      </w:r>
      <w:r w:rsidR="004756C1" w:rsidRPr="002F50BD">
        <w:rPr>
          <w:rFonts w:ascii="Verdana" w:hAnsi="Verdana"/>
          <w:sz w:val="20"/>
          <w:lang w:val="pt-BR"/>
        </w:rPr>
        <w:t>Corte Interamericana</w:t>
      </w:r>
      <w:r w:rsidR="0089298C" w:rsidRPr="002F50BD">
        <w:rPr>
          <w:rFonts w:ascii="Verdana" w:hAnsi="Verdana"/>
          <w:sz w:val="20"/>
          <w:lang w:val="pt-BR"/>
        </w:rPr>
        <w:t xml:space="preserve"> no </w:t>
      </w:r>
      <w:r w:rsidR="004756C1" w:rsidRPr="002F50BD">
        <w:rPr>
          <w:rFonts w:ascii="Verdana" w:hAnsi="Verdana"/>
          <w:sz w:val="20"/>
          <w:lang w:val="pt-BR"/>
        </w:rPr>
        <w:t xml:space="preserve">sentido </w:t>
      </w:r>
      <w:r w:rsidR="00691D45" w:rsidRPr="002F50BD">
        <w:rPr>
          <w:rFonts w:ascii="Verdana" w:hAnsi="Verdana"/>
          <w:sz w:val="20"/>
          <w:lang w:val="pt-BR"/>
        </w:rPr>
        <w:t xml:space="preserve">de </w:t>
      </w:r>
      <w:r w:rsidR="004756C1" w:rsidRPr="002F50BD">
        <w:rPr>
          <w:rFonts w:ascii="Verdana" w:hAnsi="Verdana"/>
          <w:sz w:val="20"/>
          <w:lang w:val="pt-BR"/>
        </w:rPr>
        <w:t>que</w:t>
      </w:r>
      <w:r w:rsidR="0089298C" w:rsidRPr="002F50BD">
        <w:rPr>
          <w:rFonts w:ascii="Verdana" w:hAnsi="Verdana"/>
          <w:sz w:val="20"/>
          <w:lang w:val="pt-BR"/>
        </w:rPr>
        <w:t xml:space="preserve"> a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de</w:t>
      </w:r>
      <w:r w:rsidR="0089298C" w:rsidRPr="002F50BD">
        <w:rPr>
          <w:rFonts w:ascii="Verdana" w:hAnsi="Verdana"/>
          <w:sz w:val="20"/>
          <w:lang w:val="pt-BR"/>
        </w:rPr>
        <w:t xml:space="preserve"> um </w:t>
      </w:r>
      <w:r w:rsidR="004756C1" w:rsidRPr="002F50BD">
        <w:rPr>
          <w:rFonts w:ascii="Verdana" w:hAnsi="Verdana"/>
          <w:sz w:val="20"/>
          <w:lang w:val="pt-BR"/>
        </w:rPr>
        <w:t xml:space="preserve">instrumento internacional de </w:t>
      </w:r>
      <w:r w:rsidR="0089298C" w:rsidRPr="002F50BD">
        <w:rPr>
          <w:rFonts w:ascii="Verdana" w:hAnsi="Verdana"/>
          <w:sz w:val="20"/>
          <w:lang w:val="pt-BR"/>
        </w:rPr>
        <w:t xml:space="preserve">proteção deve </w:t>
      </w:r>
      <w:r w:rsidR="004756C1" w:rsidRPr="002F50BD">
        <w:rPr>
          <w:rFonts w:ascii="Verdana" w:hAnsi="Verdana"/>
          <w:sz w:val="20"/>
          <w:lang w:val="pt-BR"/>
        </w:rPr>
        <w:t>“</w:t>
      </w:r>
      <w:r w:rsidR="0089298C" w:rsidRPr="002F50BD">
        <w:rPr>
          <w:rFonts w:ascii="Verdana" w:hAnsi="Verdana"/>
          <w:sz w:val="20"/>
          <w:lang w:val="pt-BR"/>
        </w:rPr>
        <w:t>acompanh</w:t>
      </w:r>
      <w:r w:rsidR="004756C1" w:rsidRPr="002F50BD">
        <w:rPr>
          <w:rFonts w:ascii="Verdana" w:hAnsi="Verdana"/>
          <w:sz w:val="20"/>
          <w:lang w:val="pt-BR"/>
        </w:rPr>
        <w:t>ar</w:t>
      </w:r>
      <w:r w:rsidR="0089298C" w:rsidRPr="002F50BD">
        <w:rPr>
          <w:rFonts w:ascii="Verdana" w:hAnsi="Verdana"/>
          <w:sz w:val="20"/>
          <w:lang w:val="pt-BR"/>
        </w:rPr>
        <w:t xml:space="preserve"> a </w:t>
      </w:r>
      <w:r w:rsidR="004756C1" w:rsidRPr="002F50BD">
        <w:rPr>
          <w:rFonts w:ascii="Verdana" w:hAnsi="Verdana"/>
          <w:sz w:val="20"/>
          <w:lang w:val="pt-BR"/>
        </w:rPr>
        <w:t>evolu</w:t>
      </w:r>
      <w:r w:rsidR="0089298C" w:rsidRPr="002F50BD">
        <w:rPr>
          <w:rFonts w:ascii="Verdana" w:hAnsi="Verdana"/>
          <w:sz w:val="20"/>
          <w:lang w:val="pt-BR"/>
        </w:rPr>
        <w:t>ção dos tempo</w:t>
      </w:r>
      <w:r w:rsidR="004756C1" w:rsidRPr="002F50BD">
        <w:rPr>
          <w:rFonts w:ascii="Verdana" w:hAnsi="Verdana"/>
          <w:sz w:val="20"/>
          <w:lang w:val="pt-BR"/>
        </w:rPr>
        <w:t>s</w:t>
      </w:r>
      <w:r w:rsidR="0089298C" w:rsidRPr="002F50BD">
        <w:rPr>
          <w:rFonts w:ascii="Verdana" w:hAnsi="Verdana"/>
          <w:sz w:val="20"/>
          <w:lang w:val="pt-BR"/>
        </w:rPr>
        <w:t xml:space="preserve"> 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 </w:t>
      </w:r>
      <w:r w:rsidR="0089298C" w:rsidRPr="002F50BD">
        <w:rPr>
          <w:rFonts w:ascii="Verdana" w:hAnsi="Verdana"/>
          <w:sz w:val="20"/>
          <w:lang w:val="pt-BR"/>
        </w:rPr>
        <w:t>atuais</w:t>
      </w:r>
      <w:r w:rsidR="004756C1" w:rsidRPr="002F50BD">
        <w:rPr>
          <w:rFonts w:ascii="Verdana" w:hAnsi="Verdana"/>
          <w:sz w:val="20"/>
          <w:lang w:val="pt-BR"/>
        </w:rPr>
        <w:t>”</w:t>
      </w:r>
      <w:r w:rsidR="00BE346D" w:rsidRPr="002F50BD">
        <w:rPr>
          <w:rFonts w:ascii="Verdana" w:hAnsi="Verdana"/>
          <w:sz w:val="20"/>
          <w:lang w:val="pt-BR"/>
        </w:rPr>
        <w:t xml:space="preserve">. A </w:t>
      </w:r>
      <w:r w:rsidR="004756C1" w:rsidRPr="002F50BD">
        <w:rPr>
          <w:rFonts w:ascii="Verdana" w:hAnsi="Verdana"/>
          <w:sz w:val="20"/>
          <w:lang w:val="pt-BR"/>
        </w:rPr>
        <w:t xml:space="preserve">Corte </w:t>
      </w:r>
      <w:r w:rsidR="004076AD" w:rsidRPr="002F50BD">
        <w:rPr>
          <w:rFonts w:ascii="Verdana" w:hAnsi="Verdana"/>
          <w:sz w:val="20"/>
          <w:lang w:val="pt-BR"/>
        </w:rPr>
        <w:t>indicou</w:t>
      </w:r>
      <w:r w:rsidR="004756C1" w:rsidRPr="002F50BD">
        <w:rPr>
          <w:rFonts w:ascii="Verdana" w:hAnsi="Verdana"/>
          <w:sz w:val="20"/>
          <w:lang w:val="pt-BR"/>
        </w:rPr>
        <w:t xml:space="preserve"> </w:t>
      </w:r>
      <w:r w:rsidR="0089298C" w:rsidRPr="002F50BD">
        <w:rPr>
          <w:rFonts w:ascii="Verdana" w:hAnsi="Verdana"/>
          <w:sz w:val="20"/>
          <w:lang w:val="pt-BR"/>
        </w:rPr>
        <w:t>também</w:t>
      </w:r>
      <w:r w:rsidR="004756C1" w:rsidRPr="002F50BD">
        <w:rPr>
          <w:rFonts w:ascii="Verdana" w:hAnsi="Verdana"/>
          <w:sz w:val="20"/>
          <w:lang w:val="pt-BR"/>
        </w:rPr>
        <w:t xml:space="preserve"> que</w:t>
      </w:r>
      <w:r w:rsidR="0089298C" w:rsidRPr="002F50BD">
        <w:rPr>
          <w:rFonts w:ascii="Verdana" w:hAnsi="Verdana"/>
          <w:sz w:val="20"/>
          <w:lang w:val="pt-BR"/>
        </w:rPr>
        <w:t xml:space="preserve"> essa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evolutiva,</w:t>
      </w:r>
      <w:r w:rsidR="0089298C" w:rsidRPr="002F50BD">
        <w:rPr>
          <w:rFonts w:ascii="Verdana" w:hAnsi="Verdana"/>
          <w:sz w:val="20"/>
          <w:lang w:val="pt-BR"/>
        </w:rPr>
        <w:t xml:space="preserve"> em concordância com as regras</w:t>
      </w:r>
      <w:r w:rsidR="004756C1" w:rsidRPr="002F50BD">
        <w:rPr>
          <w:rFonts w:ascii="Verdana" w:hAnsi="Verdana"/>
          <w:sz w:val="20"/>
          <w:lang w:val="pt-BR"/>
        </w:rPr>
        <w:t xml:space="preserve"> </w:t>
      </w:r>
      <w:r w:rsidR="0089298C" w:rsidRPr="002F50BD">
        <w:rPr>
          <w:rFonts w:ascii="Verdana" w:hAnsi="Verdana"/>
          <w:sz w:val="20"/>
          <w:lang w:val="pt-BR"/>
        </w:rPr>
        <w:t xml:space="preserve">gerais </w:t>
      </w:r>
      <w:r w:rsidR="004756C1" w:rsidRPr="002F50BD">
        <w:rPr>
          <w:rFonts w:ascii="Verdana" w:hAnsi="Verdana"/>
          <w:sz w:val="20"/>
          <w:lang w:val="pt-BR"/>
        </w:rPr>
        <w:t>de interpreta</w:t>
      </w:r>
      <w:r w:rsidR="0089298C" w:rsidRPr="002F50BD">
        <w:rPr>
          <w:rFonts w:ascii="Verdana" w:hAnsi="Verdana"/>
          <w:sz w:val="20"/>
          <w:lang w:val="pt-BR"/>
        </w:rPr>
        <w:t xml:space="preserve">ção dos </w:t>
      </w:r>
      <w:r w:rsidR="004756C1" w:rsidRPr="002F50BD">
        <w:rPr>
          <w:rFonts w:ascii="Verdana" w:hAnsi="Verdana"/>
          <w:sz w:val="20"/>
          <w:lang w:val="pt-BR"/>
        </w:rPr>
        <w:t xml:space="preserve">tratados, </w:t>
      </w:r>
      <w:r w:rsidR="00691D45" w:rsidRPr="002F50BD">
        <w:rPr>
          <w:rFonts w:ascii="Verdana" w:hAnsi="Verdana"/>
          <w:sz w:val="20"/>
          <w:lang w:val="pt-BR"/>
        </w:rPr>
        <w:t xml:space="preserve">contribuiu </w:t>
      </w:r>
      <w:r w:rsidR="0089298C" w:rsidRPr="002F50BD">
        <w:rPr>
          <w:rFonts w:ascii="Verdana" w:hAnsi="Verdana"/>
          <w:sz w:val="20"/>
          <w:lang w:val="pt-BR"/>
        </w:rPr>
        <w:t xml:space="preserve">em </w:t>
      </w:r>
      <w:r w:rsidR="004756C1" w:rsidRPr="002F50BD">
        <w:rPr>
          <w:rFonts w:ascii="Verdana" w:hAnsi="Verdana"/>
          <w:sz w:val="20"/>
          <w:lang w:val="pt-BR"/>
        </w:rPr>
        <w:t>medida importante</w:t>
      </w:r>
      <w:r w:rsidR="0089298C" w:rsidRPr="002F50BD">
        <w:rPr>
          <w:rFonts w:ascii="Verdana" w:hAnsi="Verdana"/>
          <w:sz w:val="20"/>
          <w:lang w:val="pt-BR"/>
        </w:rPr>
        <w:t xml:space="preserve"> </w:t>
      </w:r>
      <w:r w:rsidR="00691D45" w:rsidRPr="002F50BD">
        <w:rPr>
          <w:rFonts w:ascii="Verdana" w:hAnsi="Verdana"/>
          <w:sz w:val="20"/>
          <w:lang w:val="pt-BR"/>
        </w:rPr>
        <w:t xml:space="preserve">para </w:t>
      </w:r>
      <w:r w:rsidR="0089298C" w:rsidRPr="002F50BD">
        <w:rPr>
          <w:rFonts w:ascii="Verdana" w:hAnsi="Verdana"/>
          <w:sz w:val="20"/>
          <w:lang w:val="pt-BR"/>
        </w:rPr>
        <w:t>os avanço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CF451D">
        <w:rPr>
          <w:rFonts w:ascii="Verdana" w:hAnsi="Verdana"/>
          <w:sz w:val="20"/>
          <w:lang w:val="pt-BR"/>
        </w:rPr>
        <w:t>Direito Internacional dos Direitos Humanos</w:t>
      </w:r>
      <w:r w:rsidR="00691D45" w:rsidRPr="002F50BD">
        <w:rPr>
          <w:rFonts w:ascii="Verdana" w:hAnsi="Verdana"/>
          <w:sz w:val="20"/>
          <w:lang w:val="pt-BR"/>
        </w:rPr>
        <w:t>.</w:t>
      </w:r>
      <w:r w:rsidR="004756C1" w:rsidRPr="002F50BD">
        <w:rPr>
          <w:rStyle w:val="FootnoteReference"/>
          <w:rFonts w:ascii="Verdana" w:hAnsi="Verdana"/>
        </w:rPr>
        <w:footnoteReference w:id="258"/>
      </w:r>
    </w:p>
    <w:p w:rsidR="004756C1" w:rsidRPr="002F50BD" w:rsidRDefault="004756C1">
      <w:pPr>
        <w:ind w:right="-6"/>
        <w:jc w:val="both"/>
        <w:rPr>
          <w:rFonts w:ascii="Verdana" w:hAnsi="Verdana"/>
          <w:sz w:val="20"/>
          <w:lang w:val="pt-BR"/>
        </w:rPr>
      </w:pPr>
    </w:p>
    <w:p w:rsidR="004756C1" w:rsidRPr="002F50BD" w:rsidRDefault="00063B47">
      <w:pPr>
        <w:ind w:right="-6"/>
        <w:jc w:val="both"/>
        <w:rPr>
          <w:rFonts w:ascii="Verdana" w:hAnsi="Verdana"/>
          <w:sz w:val="20"/>
          <w:lang w:val="pt-BR"/>
        </w:rPr>
      </w:pPr>
      <w:r w:rsidRPr="002F50BD">
        <w:rPr>
          <w:rFonts w:ascii="Verdana" w:hAnsi="Verdana"/>
          <w:sz w:val="20"/>
          <w:lang w:val="pt-BR"/>
        </w:rPr>
        <w:t>33</w:t>
      </w:r>
      <w:r w:rsidR="004756C1" w:rsidRPr="002F50BD">
        <w:rPr>
          <w:rFonts w:ascii="Verdana" w:hAnsi="Verdana"/>
          <w:sz w:val="20"/>
          <w:lang w:val="pt-BR"/>
        </w:rPr>
        <w:t>.</w:t>
      </w:r>
      <w:r w:rsidR="004756C1" w:rsidRPr="002F50BD">
        <w:rPr>
          <w:rFonts w:ascii="Verdana" w:hAnsi="Verdana"/>
          <w:sz w:val="20"/>
          <w:lang w:val="pt-BR"/>
        </w:rPr>
        <w:tab/>
      </w:r>
      <w:r w:rsidR="00CE1AC8" w:rsidRPr="002F50BD">
        <w:rPr>
          <w:rFonts w:ascii="Verdana" w:hAnsi="Verdana"/>
          <w:sz w:val="20"/>
          <w:lang w:val="pt-BR"/>
        </w:rPr>
        <w:t>A</w:t>
      </w:r>
      <w:r w:rsidR="00691D45" w:rsidRPr="002F50BD">
        <w:rPr>
          <w:rFonts w:ascii="Verdana" w:hAnsi="Verdana"/>
          <w:sz w:val="20"/>
          <w:lang w:val="pt-BR"/>
        </w:rPr>
        <w:t xml:space="preserve"> meu </w:t>
      </w:r>
      <w:r w:rsidR="0089298C" w:rsidRPr="002F50BD">
        <w:rPr>
          <w:rFonts w:ascii="Verdana" w:hAnsi="Verdana"/>
          <w:sz w:val="20"/>
          <w:lang w:val="pt-BR"/>
        </w:rPr>
        <w:t>juízo</w:t>
      </w:r>
      <w:r w:rsidR="004756C1" w:rsidRPr="002F50BD">
        <w:rPr>
          <w:rFonts w:ascii="Verdana" w:hAnsi="Verdana"/>
          <w:sz w:val="20"/>
          <w:lang w:val="pt-BR"/>
        </w:rPr>
        <w:t>,</w:t>
      </w:r>
      <w:r w:rsidR="0089298C" w:rsidRPr="002F50BD">
        <w:rPr>
          <w:rFonts w:ascii="Verdana" w:hAnsi="Verdana"/>
          <w:sz w:val="20"/>
          <w:lang w:val="pt-BR"/>
        </w:rPr>
        <w:t xml:space="preserve"> na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evolutiva </w:t>
      </w:r>
      <w:r w:rsidR="0089298C" w:rsidRPr="002F50BD">
        <w:rPr>
          <w:rFonts w:ascii="Verdana" w:hAnsi="Verdana"/>
          <w:sz w:val="20"/>
          <w:lang w:val="pt-BR"/>
        </w:rPr>
        <w:t xml:space="preserve">do direito à </w:t>
      </w:r>
      <w:r w:rsidR="004756C1" w:rsidRPr="002F50BD">
        <w:rPr>
          <w:rFonts w:ascii="Verdana" w:hAnsi="Verdana"/>
          <w:sz w:val="20"/>
          <w:lang w:val="pt-BR"/>
        </w:rPr>
        <w:t>vida consagrada</w:t>
      </w:r>
      <w:r w:rsidR="0089298C" w:rsidRPr="002F50BD">
        <w:rPr>
          <w:rFonts w:ascii="Verdana" w:hAnsi="Verdana"/>
          <w:sz w:val="20"/>
          <w:lang w:val="pt-BR"/>
        </w:rPr>
        <w:t xml:space="preserve"> pela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691D45" w:rsidRPr="002F50BD">
        <w:rPr>
          <w:rFonts w:ascii="Verdana" w:hAnsi="Verdana"/>
          <w:sz w:val="20"/>
          <w:lang w:val="pt-BR"/>
        </w:rPr>
        <w:t xml:space="preserve"> </w:t>
      </w:r>
      <w:r w:rsidR="0089298C" w:rsidRPr="002F50BD">
        <w:rPr>
          <w:rFonts w:ascii="Verdana" w:hAnsi="Verdana"/>
          <w:sz w:val="20"/>
          <w:lang w:val="pt-BR"/>
        </w:rPr>
        <w:t>deve</w:t>
      </w:r>
      <w:r w:rsidR="00211F33" w:rsidRPr="002F50BD">
        <w:rPr>
          <w:rFonts w:ascii="Verdana" w:hAnsi="Verdana"/>
          <w:sz w:val="20"/>
          <w:lang w:val="pt-BR"/>
        </w:rPr>
        <w:t>-se</w:t>
      </w:r>
      <w:r w:rsidR="0089298C" w:rsidRPr="002F50BD">
        <w:rPr>
          <w:rFonts w:ascii="Verdana" w:hAnsi="Verdana"/>
          <w:sz w:val="20"/>
          <w:lang w:val="pt-BR"/>
        </w:rPr>
        <w:t xml:space="preserve"> </w:t>
      </w:r>
      <w:r w:rsidR="00691D45" w:rsidRPr="002F50BD">
        <w:rPr>
          <w:rFonts w:ascii="Verdana" w:hAnsi="Verdana"/>
          <w:sz w:val="20"/>
          <w:lang w:val="pt-BR"/>
        </w:rPr>
        <w:t>levar</w:t>
      </w:r>
      <w:r w:rsidR="0089298C" w:rsidRPr="002F50BD">
        <w:rPr>
          <w:rFonts w:ascii="Verdana" w:hAnsi="Verdana"/>
          <w:sz w:val="20"/>
          <w:lang w:val="pt-BR"/>
        </w:rPr>
        <w:t xml:space="preserve"> em </w:t>
      </w:r>
      <w:r w:rsidR="004756C1" w:rsidRPr="002F50BD">
        <w:rPr>
          <w:rFonts w:ascii="Verdana" w:hAnsi="Verdana"/>
          <w:sz w:val="20"/>
          <w:lang w:val="pt-BR"/>
        </w:rPr>
        <w:t>considera</w:t>
      </w:r>
      <w:r w:rsidR="0089298C" w:rsidRPr="002F50BD">
        <w:rPr>
          <w:rFonts w:ascii="Verdana" w:hAnsi="Verdana"/>
          <w:sz w:val="20"/>
          <w:lang w:val="pt-BR"/>
        </w:rPr>
        <w:t xml:space="preserve">ção a </w:t>
      </w:r>
      <w:r w:rsidR="004756C1" w:rsidRPr="002F50BD">
        <w:rPr>
          <w:rFonts w:ascii="Verdana" w:hAnsi="Verdana"/>
          <w:sz w:val="20"/>
          <w:lang w:val="pt-BR"/>
        </w:rPr>
        <w:t>situa</w:t>
      </w:r>
      <w:r w:rsidR="0089298C" w:rsidRPr="002F50BD">
        <w:rPr>
          <w:rFonts w:ascii="Verdana" w:hAnsi="Verdana"/>
          <w:sz w:val="20"/>
          <w:lang w:val="pt-BR"/>
        </w:rPr>
        <w:t>ção</w:t>
      </w:r>
      <w:r w:rsidR="004756C1" w:rsidRPr="002F50BD">
        <w:rPr>
          <w:rFonts w:ascii="Verdana" w:hAnsi="Verdana"/>
          <w:sz w:val="20"/>
          <w:lang w:val="pt-BR"/>
        </w:rPr>
        <w:t xml:space="preserve"> socio</w:t>
      </w:r>
      <w:r w:rsidR="0089298C" w:rsidRPr="002F50BD">
        <w:rPr>
          <w:rFonts w:ascii="Verdana" w:hAnsi="Verdana"/>
          <w:sz w:val="20"/>
          <w:lang w:val="pt-BR"/>
        </w:rPr>
        <w:t>econômic</w:t>
      </w:r>
      <w:r w:rsidR="004756C1" w:rsidRPr="002F50BD">
        <w:rPr>
          <w:rFonts w:ascii="Verdana" w:hAnsi="Verdana"/>
          <w:sz w:val="20"/>
          <w:lang w:val="pt-BR"/>
        </w:rPr>
        <w:t xml:space="preserve">a </w:t>
      </w:r>
      <w:r w:rsidR="0089298C" w:rsidRPr="002F50BD">
        <w:rPr>
          <w:rFonts w:ascii="Verdana" w:hAnsi="Verdana"/>
          <w:sz w:val="20"/>
          <w:lang w:val="pt-BR"/>
        </w:rPr>
        <w:t xml:space="preserve">do Paraguai e da maioria dos </w:t>
      </w:r>
      <w:r w:rsidR="004756C1" w:rsidRPr="002F50BD">
        <w:rPr>
          <w:rFonts w:ascii="Verdana" w:hAnsi="Verdana"/>
          <w:sz w:val="20"/>
          <w:lang w:val="pt-BR"/>
        </w:rPr>
        <w:t>países latinoamericanos, marcada</w:t>
      </w:r>
      <w:r w:rsidR="0089298C" w:rsidRPr="002F50BD">
        <w:rPr>
          <w:rFonts w:ascii="Verdana" w:hAnsi="Verdana"/>
          <w:sz w:val="20"/>
          <w:lang w:val="pt-BR"/>
        </w:rPr>
        <w:t xml:space="preserve"> pelo </w:t>
      </w:r>
      <w:r w:rsidR="004756C1" w:rsidRPr="002F50BD">
        <w:rPr>
          <w:rFonts w:ascii="Verdana" w:hAnsi="Verdana"/>
          <w:sz w:val="20"/>
          <w:lang w:val="pt-BR"/>
        </w:rPr>
        <w:t>cre</w:t>
      </w:r>
      <w:r w:rsidR="00691D45" w:rsidRPr="002F50BD">
        <w:rPr>
          <w:rFonts w:ascii="Verdana" w:hAnsi="Verdana"/>
          <w:sz w:val="20"/>
          <w:lang w:val="pt-BR"/>
        </w:rPr>
        <w:t>s</w:t>
      </w:r>
      <w:r w:rsidR="004756C1" w:rsidRPr="002F50BD">
        <w:rPr>
          <w:rFonts w:ascii="Verdana" w:hAnsi="Verdana"/>
          <w:sz w:val="20"/>
          <w:lang w:val="pt-BR"/>
        </w:rPr>
        <w:t>cimento</w:t>
      </w:r>
      <w:r w:rsidR="0089298C" w:rsidRPr="002F50BD">
        <w:rPr>
          <w:rFonts w:ascii="Verdana" w:hAnsi="Verdana"/>
          <w:sz w:val="20"/>
          <w:lang w:val="pt-BR"/>
        </w:rPr>
        <w:t xml:space="preserve"> da </w:t>
      </w:r>
      <w:r w:rsidR="004756C1" w:rsidRPr="002F50BD">
        <w:rPr>
          <w:rFonts w:ascii="Verdana" w:hAnsi="Verdana"/>
          <w:sz w:val="20"/>
          <w:lang w:val="pt-BR"/>
        </w:rPr>
        <w:t>pobreza extrema,</w:t>
      </w:r>
      <w:r w:rsidR="0089298C" w:rsidRPr="002F50BD">
        <w:rPr>
          <w:rFonts w:ascii="Verdana" w:hAnsi="Verdana"/>
          <w:sz w:val="20"/>
          <w:lang w:val="pt-BR"/>
        </w:rPr>
        <w:t xml:space="preserve"> em termo</w:t>
      </w:r>
      <w:r w:rsidR="004756C1" w:rsidRPr="002F50BD">
        <w:rPr>
          <w:rFonts w:ascii="Verdana" w:hAnsi="Verdana"/>
          <w:sz w:val="20"/>
          <w:lang w:val="pt-BR"/>
        </w:rPr>
        <w:t>s absolutos</w:t>
      </w:r>
      <w:r w:rsidR="0089298C" w:rsidRPr="002F50BD">
        <w:rPr>
          <w:rFonts w:ascii="Verdana" w:hAnsi="Verdana"/>
          <w:sz w:val="20"/>
          <w:lang w:val="pt-BR"/>
        </w:rPr>
        <w:t xml:space="preserve"> e </w:t>
      </w:r>
      <w:r w:rsidR="004756C1" w:rsidRPr="002F50BD">
        <w:rPr>
          <w:rFonts w:ascii="Verdana" w:hAnsi="Verdana"/>
          <w:sz w:val="20"/>
          <w:lang w:val="pt-BR"/>
        </w:rPr>
        <w:t>relativos,</w:t>
      </w:r>
      <w:r w:rsidR="004076AD" w:rsidRPr="002F50BD">
        <w:rPr>
          <w:rFonts w:ascii="Verdana" w:hAnsi="Verdana"/>
          <w:sz w:val="20"/>
          <w:lang w:val="pt-BR"/>
        </w:rPr>
        <w:t xml:space="preserve"> apesar </w:t>
      </w:r>
      <w:r w:rsidR="0089298C" w:rsidRPr="002F50BD">
        <w:rPr>
          <w:rFonts w:ascii="Verdana" w:hAnsi="Verdana"/>
          <w:sz w:val="20"/>
          <w:lang w:val="pt-BR"/>
        </w:rPr>
        <w:t xml:space="preserve">da </w:t>
      </w:r>
      <w:r w:rsidR="004756C1" w:rsidRPr="002F50BD">
        <w:rPr>
          <w:rFonts w:ascii="Verdana" w:hAnsi="Verdana"/>
          <w:sz w:val="20"/>
          <w:lang w:val="pt-BR"/>
        </w:rPr>
        <w:t>implementa</w:t>
      </w:r>
      <w:r w:rsidR="0089298C" w:rsidRPr="002F50BD">
        <w:rPr>
          <w:rFonts w:ascii="Verdana" w:hAnsi="Verdana"/>
          <w:sz w:val="20"/>
          <w:lang w:val="pt-BR"/>
        </w:rPr>
        <w:t>ção</w:t>
      </w:r>
      <w:r w:rsidR="004756C1" w:rsidRPr="002F50BD">
        <w:rPr>
          <w:rFonts w:ascii="Verdana" w:hAnsi="Verdana"/>
          <w:sz w:val="20"/>
          <w:lang w:val="pt-BR"/>
        </w:rPr>
        <w:t xml:space="preserve"> de políticas de </w:t>
      </w:r>
      <w:r w:rsidR="0089298C" w:rsidRPr="002F50BD">
        <w:rPr>
          <w:rFonts w:ascii="Verdana" w:hAnsi="Verdana"/>
          <w:sz w:val="20"/>
          <w:lang w:val="pt-BR"/>
        </w:rPr>
        <w:t>proteção</w:t>
      </w:r>
      <w:r w:rsidR="004756C1" w:rsidRPr="002F50BD">
        <w:rPr>
          <w:rFonts w:ascii="Verdana" w:hAnsi="Verdana"/>
          <w:sz w:val="20"/>
          <w:lang w:val="pt-BR"/>
        </w:rPr>
        <w:t xml:space="preserve"> social.</w:t>
      </w:r>
      <w:r w:rsidR="0089298C" w:rsidRPr="002F50BD">
        <w:rPr>
          <w:rFonts w:ascii="Verdana" w:hAnsi="Verdana"/>
          <w:sz w:val="20"/>
          <w:lang w:val="pt-BR"/>
        </w:rPr>
        <w:t xml:space="preserve"> </w:t>
      </w:r>
      <w:r w:rsidR="00691D45" w:rsidRPr="002F50BD">
        <w:rPr>
          <w:rFonts w:ascii="Verdana" w:hAnsi="Verdana"/>
          <w:sz w:val="20"/>
          <w:lang w:val="pt-BR"/>
        </w:rPr>
        <w:t>N</w:t>
      </w:r>
      <w:r w:rsidR="0089298C" w:rsidRPr="002F50BD">
        <w:rPr>
          <w:rFonts w:ascii="Verdana" w:hAnsi="Verdana"/>
          <w:sz w:val="20"/>
          <w:lang w:val="pt-BR"/>
        </w:rPr>
        <w:t xml:space="preserve">a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vida</w:t>
      </w:r>
      <w:r w:rsidR="000B0AB0" w:rsidRPr="002F50BD">
        <w:rPr>
          <w:rFonts w:ascii="Verdana" w:hAnsi="Verdana"/>
          <w:sz w:val="20"/>
          <w:lang w:val="pt-BR"/>
        </w:rPr>
        <w:t>,</w:t>
      </w:r>
      <w:r w:rsidR="004756C1" w:rsidRPr="002F50BD">
        <w:rPr>
          <w:rFonts w:ascii="Verdana" w:hAnsi="Verdana"/>
          <w:sz w:val="20"/>
          <w:lang w:val="pt-BR"/>
        </w:rPr>
        <w:t xml:space="preserve"> n</w:t>
      </w:r>
      <w:r w:rsidR="00691D45" w:rsidRPr="002F50BD">
        <w:rPr>
          <w:rFonts w:ascii="Verdana" w:hAnsi="Verdana"/>
          <w:sz w:val="20"/>
          <w:lang w:val="pt-BR"/>
        </w:rPr>
        <w:t>ã</w:t>
      </w:r>
      <w:r w:rsidR="004756C1" w:rsidRPr="002F50BD">
        <w:rPr>
          <w:rFonts w:ascii="Verdana" w:hAnsi="Verdana"/>
          <w:sz w:val="20"/>
          <w:lang w:val="pt-BR"/>
        </w:rPr>
        <w:t xml:space="preserve">o se trata </w:t>
      </w:r>
      <w:r w:rsidR="00691D45" w:rsidRPr="002F50BD">
        <w:rPr>
          <w:rFonts w:ascii="Verdana" w:hAnsi="Verdana"/>
          <w:sz w:val="20"/>
          <w:lang w:val="pt-BR"/>
        </w:rPr>
        <w:t xml:space="preserve">apenas </w:t>
      </w:r>
      <w:r w:rsidR="004756C1" w:rsidRPr="002F50BD">
        <w:rPr>
          <w:rFonts w:ascii="Verdana" w:hAnsi="Verdana"/>
          <w:sz w:val="20"/>
          <w:lang w:val="pt-BR"/>
        </w:rPr>
        <w:t>de observar</w:t>
      </w:r>
      <w:r w:rsidR="0089298C" w:rsidRPr="002F50BD">
        <w:rPr>
          <w:rFonts w:ascii="Verdana" w:hAnsi="Verdana"/>
          <w:sz w:val="20"/>
          <w:lang w:val="pt-BR"/>
        </w:rPr>
        <w:t xml:space="preserve"> o cumprimento</w:t>
      </w:r>
      <w:r w:rsidR="004756C1" w:rsidRPr="002F50BD">
        <w:rPr>
          <w:rFonts w:ascii="Verdana" w:hAnsi="Verdana"/>
          <w:sz w:val="20"/>
          <w:lang w:val="pt-BR"/>
        </w:rPr>
        <w:t xml:space="preserve">, por parte </w:t>
      </w:r>
      <w:r w:rsidR="0089298C" w:rsidRPr="002F50BD">
        <w:rPr>
          <w:rFonts w:ascii="Verdana" w:hAnsi="Verdana"/>
          <w:sz w:val="20"/>
          <w:lang w:val="pt-BR"/>
        </w:rPr>
        <w:t xml:space="preserve">do </w:t>
      </w:r>
      <w:r w:rsidR="004756C1" w:rsidRPr="002F50BD">
        <w:rPr>
          <w:rFonts w:ascii="Verdana" w:hAnsi="Verdana"/>
          <w:sz w:val="20"/>
          <w:lang w:val="pt-BR"/>
        </w:rPr>
        <w:t>Estado, de presta</w:t>
      </w:r>
      <w:r w:rsidR="0089298C" w:rsidRPr="002F50BD">
        <w:rPr>
          <w:rFonts w:ascii="Verdana" w:hAnsi="Verdana"/>
          <w:sz w:val="20"/>
          <w:lang w:val="pt-BR"/>
        </w:rPr>
        <w:t>ções</w:t>
      </w:r>
      <w:r w:rsidR="00AB454A" w:rsidRPr="002F50BD">
        <w:rPr>
          <w:rFonts w:ascii="Verdana" w:hAnsi="Verdana"/>
          <w:sz w:val="20"/>
          <w:lang w:val="pt-BR"/>
        </w:rPr>
        <w:t xml:space="preserve"> própria</w:t>
      </w:r>
      <w:r w:rsidR="004756C1" w:rsidRPr="002F50BD">
        <w:rPr>
          <w:rFonts w:ascii="Verdana" w:hAnsi="Verdana"/>
          <w:sz w:val="20"/>
          <w:lang w:val="pt-BR"/>
        </w:rPr>
        <w:t xml:space="preserve">s de </w:t>
      </w:r>
      <w:r w:rsidR="0089298C" w:rsidRPr="002F50BD">
        <w:rPr>
          <w:rFonts w:ascii="Verdana" w:hAnsi="Verdana"/>
          <w:sz w:val="20"/>
          <w:lang w:val="pt-BR"/>
        </w:rPr>
        <w:t>proteção</w:t>
      </w:r>
      <w:r w:rsidR="004756C1" w:rsidRPr="002F50BD">
        <w:rPr>
          <w:rFonts w:ascii="Verdana" w:hAnsi="Verdana"/>
          <w:sz w:val="20"/>
          <w:lang w:val="pt-BR"/>
        </w:rPr>
        <w:t xml:space="preserve"> social, que </w:t>
      </w:r>
      <w:r w:rsidR="0031730D" w:rsidRPr="002F50BD">
        <w:rPr>
          <w:rFonts w:ascii="Verdana" w:hAnsi="Verdana"/>
          <w:sz w:val="20"/>
          <w:lang w:val="pt-BR"/>
        </w:rPr>
        <w:t>garantam</w:t>
      </w:r>
      <w:r w:rsidR="004756C1" w:rsidRPr="002F50BD">
        <w:rPr>
          <w:rFonts w:ascii="Verdana" w:hAnsi="Verdana"/>
          <w:sz w:val="20"/>
          <w:lang w:val="pt-BR"/>
        </w:rPr>
        <w:t xml:space="preserve"> tempora</w:t>
      </w:r>
      <w:r w:rsidR="00691D45" w:rsidRPr="002F50BD">
        <w:rPr>
          <w:rFonts w:ascii="Verdana" w:hAnsi="Verdana"/>
          <w:sz w:val="20"/>
          <w:lang w:val="pt-BR"/>
        </w:rPr>
        <w:t>riamente</w:t>
      </w:r>
      <w:r w:rsidR="004756C1" w:rsidRPr="002F50BD">
        <w:rPr>
          <w:rFonts w:ascii="Verdana" w:hAnsi="Verdana"/>
          <w:sz w:val="20"/>
          <w:lang w:val="pt-BR"/>
        </w:rPr>
        <w:t xml:space="preserve"> condi</w:t>
      </w:r>
      <w:r w:rsidR="0089298C" w:rsidRPr="002F50BD">
        <w:rPr>
          <w:rFonts w:ascii="Verdana" w:hAnsi="Verdana"/>
          <w:sz w:val="20"/>
          <w:lang w:val="pt-BR"/>
        </w:rPr>
        <w:t>ções</w:t>
      </w:r>
      <w:r w:rsidR="004756C1" w:rsidRPr="002F50BD">
        <w:rPr>
          <w:rFonts w:ascii="Verdana" w:hAnsi="Verdana"/>
          <w:sz w:val="20"/>
          <w:lang w:val="pt-BR"/>
        </w:rPr>
        <w:t xml:space="preserve"> de vida mínimas,</w:t>
      </w:r>
      <w:r w:rsidR="0089298C" w:rsidRPr="002F50BD">
        <w:rPr>
          <w:rFonts w:ascii="Verdana" w:hAnsi="Verdana"/>
          <w:sz w:val="20"/>
          <w:lang w:val="pt-BR"/>
        </w:rPr>
        <w:t xml:space="preserve"> sem </w:t>
      </w:r>
      <w:r w:rsidR="000B0AB0" w:rsidRPr="002F50BD">
        <w:rPr>
          <w:rFonts w:ascii="Verdana" w:hAnsi="Verdana"/>
          <w:sz w:val="20"/>
          <w:lang w:val="pt-BR"/>
        </w:rPr>
        <w:t xml:space="preserve">enfrentar </w:t>
      </w:r>
      <w:r w:rsidR="00CE1AC8" w:rsidRPr="002F50BD">
        <w:rPr>
          <w:rFonts w:ascii="Verdana" w:hAnsi="Verdana"/>
          <w:sz w:val="20"/>
          <w:lang w:val="pt-BR"/>
        </w:rPr>
        <w:t>a</w:t>
      </w:r>
      <w:r w:rsidR="0089298C" w:rsidRPr="002F50BD">
        <w:rPr>
          <w:rFonts w:ascii="Verdana" w:hAnsi="Verdana"/>
          <w:sz w:val="20"/>
          <w:lang w:val="pt-BR"/>
        </w:rPr>
        <w:t xml:space="preserve">s </w:t>
      </w:r>
      <w:r w:rsidR="004756C1" w:rsidRPr="002F50BD">
        <w:rPr>
          <w:rFonts w:ascii="Verdana" w:hAnsi="Verdana"/>
          <w:sz w:val="20"/>
          <w:lang w:val="pt-BR"/>
        </w:rPr>
        <w:t xml:space="preserve">causas que </w:t>
      </w:r>
      <w:r w:rsidR="00691D45" w:rsidRPr="002F50BD">
        <w:rPr>
          <w:rFonts w:ascii="Verdana" w:hAnsi="Verdana"/>
          <w:sz w:val="20"/>
          <w:lang w:val="pt-BR"/>
        </w:rPr>
        <w:t xml:space="preserve">subjacem </w:t>
      </w:r>
      <w:r w:rsidR="0089298C" w:rsidRPr="002F50BD">
        <w:rPr>
          <w:rFonts w:ascii="Verdana" w:hAnsi="Verdana"/>
          <w:sz w:val="20"/>
          <w:lang w:val="pt-BR"/>
        </w:rPr>
        <w:t>à produção</w:t>
      </w:r>
      <w:r w:rsidR="004756C1" w:rsidRPr="002F50BD">
        <w:rPr>
          <w:rFonts w:ascii="Verdana" w:hAnsi="Verdana"/>
          <w:sz w:val="20"/>
          <w:lang w:val="pt-BR"/>
        </w:rPr>
        <w:t xml:space="preserve"> de pobreza, que reprodu</w:t>
      </w:r>
      <w:r w:rsidR="00691D45" w:rsidRPr="002F50BD">
        <w:rPr>
          <w:rFonts w:ascii="Verdana" w:hAnsi="Verdana"/>
          <w:sz w:val="20"/>
          <w:lang w:val="pt-BR"/>
        </w:rPr>
        <w:t>zem</w:t>
      </w:r>
      <w:r w:rsidR="004756C1" w:rsidRPr="002F50BD">
        <w:rPr>
          <w:rFonts w:ascii="Verdana" w:hAnsi="Verdana"/>
          <w:sz w:val="20"/>
          <w:lang w:val="pt-BR"/>
        </w:rPr>
        <w:t xml:space="preserve"> </w:t>
      </w:r>
      <w:r w:rsidR="00313394" w:rsidRPr="002F50BD">
        <w:rPr>
          <w:rFonts w:ascii="Verdana" w:hAnsi="Verdana"/>
          <w:sz w:val="20"/>
          <w:lang w:val="pt-BR"/>
        </w:rPr>
        <w:t>suas condições</w:t>
      </w:r>
      <w:r w:rsidR="0089298C" w:rsidRPr="002F50BD">
        <w:rPr>
          <w:rFonts w:ascii="Verdana" w:hAnsi="Verdana"/>
          <w:sz w:val="20"/>
          <w:lang w:val="pt-BR"/>
        </w:rPr>
        <w:t xml:space="preserve"> e </w:t>
      </w:r>
      <w:r w:rsidR="004756C1" w:rsidRPr="002F50BD">
        <w:rPr>
          <w:rFonts w:ascii="Verdana" w:hAnsi="Verdana"/>
          <w:sz w:val="20"/>
          <w:lang w:val="pt-BR"/>
        </w:rPr>
        <w:t>produ</w:t>
      </w:r>
      <w:r w:rsidR="00691D45" w:rsidRPr="002F50BD">
        <w:rPr>
          <w:rFonts w:ascii="Verdana" w:hAnsi="Verdana"/>
          <w:sz w:val="20"/>
          <w:lang w:val="pt-BR"/>
        </w:rPr>
        <w:t>zem</w:t>
      </w:r>
      <w:r w:rsidR="004756C1" w:rsidRPr="002F50BD">
        <w:rPr>
          <w:rFonts w:ascii="Verdana" w:hAnsi="Verdana"/>
          <w:sz w:val="20"/>
          <w:lang w:val="pt-BR"/>
        </w:rPr>
        <w:t xml:space="preserve"> </w:t>
      </w:r>
      <w:r w:rsidR="0089298C" w:rsidRPr="002F50BD">
        <w:rPr>
          <w:rFonts w:ascii="Verdana" w:hAnsi="Verdana"/>
          <w:sz w:val="20"/>
          <w:lang w:val="pt-BR"/>
        </w:rPr>
        <w:t>novo</w:t>
      </w:r>
      <w:r w:rsidR="004756C1" w:rsidRPr="002F50BD">
        <w:rPr>
          <w:rFonts w:ascii="Verdana" w:hAnsi="Verdana"/>
          <w:sz w:val="20"/>
          <w:lang w:val="pt-BR"/>
        </w:rPr>
        <w:t>s pobres, tal como se discute</w:t>
      </w:r>
      <w:r w:rsidR="0089298C" w:rsidRPr="002F50BD">
        <w:rPr>
          <w:rFonts w:ascii="Verdana" w:hAnsi="Verdana"/>
          <w:sz w:val="20"/>
          <w:lang w:val="pt-BR"/>
        </w:rPr>
        <w:t xml:space="preserve"> no </w:t>
      </w:r>
      <w:r w:rsidR="00691D45" w:rsidRPr="002F50BD">
        <w:rPr>
          <w:rFonts w:ascii="Verdana" w:hAnsi="Verdana"/>
          <w:sz w:val="20"/>
          <w:lang w:val="pt-BR"/>
        </w:rPr>
        <w:t xml:space="preserve">âmbito </w:t>
      </w:r>
      <w:r w:rsidR="0089298C" w:rsidRPr="002F50BD">
        <w:rPr>
          <w:rFonts w:ascii="Verdana" w:hAnsi="Verdana"/>
          <w:sz w:val="20"/>
          <w:lang w:val="pt-BR"/>
        </w:rPr>
        <w:t xml:space="preserve">das </w:t>
      </w:r>
      <w:r w:rsidR="004756C1" w:rsidRPr="002F50BD">
        <w:rPr>
          <w:rFonts w:ascii="Verdana" w:hAnsi="Verdana"/>
          <w:sz w:val="20"/>
          <w:lang w:val="pt-BR"/>
        </w:rPr>
        <w:t>Na</w:t>
      </w:r>
      <w:r w:rsidR="0089298C" w:rsidRPr="002F50BD">
        <w:rPr>
          <w:rFonts w:ascii="Verdana" w:hAnsi="Verdana"/>
          <w:sz w:val="20"/>
          <w:lang w:val="pt-BR"/>
        </w:rPr>
        <w:t>ções</w:t>
      </w:r>
      <w:r w:rsidR="004756C1" w:rsidRPr="002F50BD">
        <w:rPr>
          <w:rFonts w:ascii="Verdana" w:hAnsi="Verdana"/>
          <w:sz w:val="20"/>
          <w:lang w:val="pt-BR"/>
        </w:rPr>
        <w:t xml:space="preserve"> Unidas</w:t>
      </w:r>
      <w:r w:rsidR="00691D45" w:rsidRPr="002F50BD">
        <w:rPr>
          <w:rFonts w:ascii="Verdana" w:hAnsi="Verdana"/>
          <w:sz w:val="20"/>
          <w:lang w:val="pt-BR"/>
        </w:rPr>
        <w:t>.</w:t>
      </w:r>
      <w:r w:rsidR="004756C1" w:rsidRPr="002F50BD">
        <w:rPr>
          <w:rStyle w:val="FootnoteReference"/>
          <w:rFonts w:ascii="Verdana" w:hAnsi="Verdana"/>
        </w:rPr>
        <w:footnoteReference w:id="259"/>
      </w:r>
      <w:r w:rsidR="004756C1" w:rsidRPr="002F50BD">
        <w:rPr>
          <w:rFonts w:ascii="Verdana" w:hAnsi="Verdana"/>
          <w:sz w:val="20"/>
          <w:lang w:val="pt-BR"/>
        </w:rPr>
        <w:t xml:space="preserve"> </w:t>
      </w:r>
      <w:r w:rsidR="00691D45" w:rsidRPr="002F50BD">
        <w:rPr>
          <w:rFonts w:ascii="Verdana" w:hAnsi="Verdana"/>
          <w:sz w:val="20"/>
          <w:lang w:val="pt-BR"/>
        </w:rPr>
        <w:t xml:space="preserve">Isso propõe </w:t>
      </w:r>
      <w:r w:rsidR="0089298C" w:rsidRPr="002F50BD">
        <w:rPr>
          <w:rFonts w:ascii="Verdana" w:hAnsi="Verdana"/>
          <w:sz w:val="20"/>
          <w:lang w:val="pt-BR"/>
        </w:rPr>
        <w:t xml:space="preserve">a necessidade </w:t>
      </w:r>
      <w:r w:rsidR="004756C1" w:rsidRPr="002F50BD">
        <w:rPr>
          <w:rFonts w:ascii="Verdana" w:hAnsi="Verdana"/>
          <w:sz w:val="20"/>
          <w:lang w:val="pt-BR"/>
        </w:rPr>
        <w:t>de vincular</w:t>
      </w:r>
      <w:r w:rsidR="0089298C" w:rsidRPr="002F50BD">
        <w:rPr>
          <w:rFonts w:ascii="Verdana" w:hAnsi="Verdana"/>
          <w:sz w:val="20"/>
          <w:lang w:val="pt-BR"/>
        </w:rPr>
        <w:t xml:space="preserve"> as </w:t>
      </w:r>
      <w:r w:rsidR="004756C1" w:rsidRPr="002F50BD">
        <w:rPr>
          <w:rFonts w:ascii="Verdana" w:hAnsi="Verdana"/>
          <w:sz w:val="20"/>
          <w:lang w:val="pt-BR"/>
        </w:rPr>
        <w:t>medidas de erradica</w:t>
      </w:r>
      <w:r w:rsidR="0089298C" w:rsidRPr="002F50BD">
        <w:rPr>
          <w:rFonts w:ascii="Verdana" w:hAnsi="Verdana"/>
          <w:sz w:val="20"/>
          <w:lang w:val="pt-BR"/>
        </w:rPr>
        <w:t xml:space="preserve">ção da </w:t>
      </w:r>
      <w:r w:rsidR="004756C1" w:rsidRPr="002F50BD">
        <w:rPr>
          <w:rFonts w:ascii="Verdana" w:hAnsi="Verdana"/>
          <w:sz w:val="20"/>
          <w:lang w:val="pt-BR"/>
        </w:rPr>
        <w:t xml:space="preserve">pobreza </w:t>
      </w:r>
      <w:r w:rsidR="00B50425" w:rsidRPr="002F50BD">
        <w:rPr>
          <w:rFonts w:ascii="Verdana" w:hAnsi="Verdana"/>
          <w:sz w:val="20"/>
          <w:lang w:val="pt-BR"/>
        </w:rPr>
        <w:t>a</w:t>
      </w:r>
      <w:r w:rsidR="0089298C" w:rsidRPr="002F50BD">
        <w:rPr>
          <w:rFonts w:ascii="Verdana" w:hAnsi="Verdana"/>
          <w:sz w:val="20"/>
          <w:lang w:val="pt-BR"/>
        </w:rPr>
        <w:t xml:space="preserve">o </w:t>
      </w:r>
      <w:r w:rsidR="004756C1" w:rsidRPr="002F50BD">
        <w:rPr>
          <w:rFonts w:ascii="Verdana" w:hAnsi="Verdana"/>
          <w:sz w:val="20"/>
          <w:lang w:val="pt-BR"/>
        </w:rPr>
        <w:t xml:space="preserve">conjunto de </w:t>
      </w:r>
      <w:r w:rsidR="0089298C" w:rsidRPr="002F50BD">
        <w:rPr>
          <w:rFonts w:ascii="Verdana" w:hAnsi="Verdana"/>
          <w:sz w:val="20"/>
          <w:lang w:val="pt-BR"/>
        </w:rPr>
        <w:t>fenômeno</w:t>
      </w:r>
      <w:r w:rsidR="004756C1" w:rsidRPr="002F50BD">
        <w:rPr>
          <w:rFonts w:ascii="Verdana" w:hAnsi="Verdana"/>
          <w:sz w:val="20"/>
          <w:lang w:val="pt-BR"/>
        </w:rPr>
        <w:t>s que</w:t>
      </w:r>
      <w:r w:rsidR="0089298C" w:rsidRPr="002F50BD">
        <w:rPr>
          <w:rFonts w:ascii="Verdana" w:hAnsi="Verdana"/>
          <w:sz w:val="20"/>
          <w:lang w:val="pt-BR"/>
        </w:rPr>
        <w:t xml:space="preserve"> a </w:t>
      </w:r>
      <w:r w:rsidR="004756C1" w:rsidRPr="002F50BD">
        <w:rPr>
          <w:rFonts w:ascii="Verdana" w:hAnsi="Verdana"/>
          <w:sz w:val="20"/>
          <w:lang w:val="pt-BR"/>
        </w:rPr>
        <w:t>origina</w:t>
      </w:r>
      <w:r w:rsidR="00691D45" w:rsidRPr="002F50BD">
        <w:rPr>
          <w:rFonts w:ascii="Verdana" w:hAnsi="Verdana"/>
          <w:sz w:val="20"/>
          <w:lang w:val="pt-BR"/>
        </w:rPr>
        <w:t>m</w:t>
      </w:r>
      <w:r w:rsidR="004756C1" w:rsidRPr="002F50BD">
        <w:rPr>
          <w:rFonts w:ascii="Verdana" w:hAnsi="Verdana"/>
          <w:sz w:val="20"/>
          <w:lang w:val="pt-BR"/>
        </w:rPr>
        <w:t xml:space="preserve">, </w:t>
      </w:r>
      <w:r w:rsidR="00CE1AC8" w:rsidRPr="002F50BD">
        <w:rPr>
          <w:rFonts w:ascii="Verdana" w:hAnsi="Verdana"/>
          <w:sz w:val="20"/>
          <w:lang w:val="pt-BR"/>
        </w:rPr>
        <w:t>levando</w:t>
      </w:r>
      <w:r w:rsidR="0089298C" w:rsidRPr="002F50BD">
        <w:rPr>
          <w:rFonts w:ascii="Verdana" w:hAnsi="Verdana"/>
          <w:sz w:val="20"/>
          <w:lang w:val="pt-BR"/>
        </w:rPr>
        <w:t xml:space="preserve"> em conta a </w:t>
      </w:r>
      <w:r w:rsidR="00691D45" w:rsidRPr="002F50BD">
        <w:rPr>
          <w:rFonts w:ascii="Verdana" w:hAnsi="Verdana"/>
          <w:sz w:val="20"/>
          <w:lang w:val="pt-BR"/>
        </w:rPr>
        <w:t>incidê</w:t>
      </w:r>
      <w:r w:rsidR="004756C1" w:rsidRPr="002F50BD">
        <w:rPr>
          <w:rFonts w:ascii="Verdana" w:hAnsi="Verdana"/>
          <w:sz w:val="20"/>
          <w:lang w:val="pt-BR"/>
        </w:rPr>
        <w:t>ncia</w:t>
      </w:r>
      <w:r w:rsidR="0089298C" w:rsidRPr="002F50BD">
        <w:rPr>
          <w:rFonts w:ascii="Verdana" w:hAnsi="Verdana"/>
          <w:sz w:val="20"/>
          <w:lang w:val="pt-BR"/>
        </w:rPr>
        <w:t xml:space="preserve"> das decisões</w:t>
      </w:r>
      <w:r w:rsidR="00691D45" w:rsidRPr="002F50BD">
        <w:rPr>
          <w:rFonts w:ascii="Verdana" w:hAnsi="Verdana"/>
          <w:sz w:val="20"/>
          <w:lang w:val="pt-BR"/>
        </w:rPr>
        <w:t xml:space="preserve"> que se tomam no âmbito de Estados</w:t>
      </w:r>
      <w:r w:rsidR="004756C1" w:rsidRPr="002F50BD">
        <w:rPr>
          <w:rFonts w:ascii="Verdana" w:hAnsi="Verdana"/>
          <w:sz w:val="20"/>
          <w:lang w:val="pt-BR"/>
        </w:rPr>
        <w:t xml:space="preserve">, de </w:t>
      </w:r>
      <w:r w:rsidR="0089298C" w:rsidRPr="002F50BD">
        <w:rPr>
          <w:rFonts w:ascii="Verdana" w:hAnsi="Verdana"/>
          <w:sz w:val="20"/>
          <w:lang w:val="pt-BR"/>
        </w:rPr>
        <w:t>órgão</w:t>
      </w:r>
      <w:r w:rsidR="004756C1" w:rsidRPr="002F50BD">
        <w:rPr>
          <w:rFonts w:ascii="Verdana" w:hAnsi="Verdana"/>
          <w:sz w:val="20"/>
          <w:lang w:val="pt-BR"/>
        </w:rPr>
        <w:t>s multi</w:t>
      </w:r>
      <w:r w:rsidR="0089298C" w:rsidRPr="002F50BD">
        <w:rPr>
          <w:rFonts w:ascii="Verdana" w:hAnsi="Verdana"/>
          <w:sz w:val="20"/>
          <w:lang w:val="pt-BR"/>
        </w:rPr>
        <w:t xml:space="preserve">nacionais e </w:t>
      </w:r>
      <w:r w:rsidR="004756C1" w:rsidRPr="002F50BD">
        <w:rPr>
          <w:rFonts w:ascii="Verdana" w:hAnsi="Verdana"/>
          <w:sz w:val="20"/>
          <w:lang w:val="pt-BR"/>
        </w:rPr>
        <w:t>multilaterales</w:t>
      </w:r>
      <w:r w:rsidR="00691D45" w:rsidRPr="002F50BD">
        <w:rPr>
          <w:rFonts w:ascii="Verdana" w:hAnsi="Verdana"/>
          <w:sz w:val="20"/>
          <w:lang w:val="pt-BR"/>
        </w:rPr>
        <w:t>;</w:t>
      </w:r>
      <w:r w:rsidR="004756C1" w:rsidRPr="002F50BD">
        <w:rPr>
          <w:rStyle w:val="FootnoteReference"/>
          <w:rFonts w:ascii="Verdana" w:hAnsi="Verdana"/>
        </w:rPr>
        <w:footnoteReference w:id="260"/>
      </w:r>
      <w:r w:rsidR="0089298C" w:rsidRPr="002F50BD">
        <w:rPr>
          <w:rFonts w:ascii="Verdana" w:hAnsi="Verdana"/>
          <w:sz w:val="20"/>
          <w:lang w:val="pt-BR"/>
        </w:rPr>
        <w:t xml:space="preserve"> na </w:t>
      </w:r>
      <w:r w:rsidR="004756C1" w:rsidRPr="002F50BD">
        <w:rPr>
          <w:rFonts w:ascii="Verdana" w:hAnsi="Verdana"/>
          <w:sz w:val="20"/>
          <w:lang w:val="pt-BR"/>
        </w:rPr>
        <w:t>re</w:t>
      </w:r>
      <w:r w:rsidR="0089298C" w:rsidRPr="002F50BD">
        <w:rPr>
          <w:rFonts w:ascii="Verdana" w:hAnsi="Verdana"/>
          <w:sz w:val="20"/>
          <w:lang w:val="pt-BR"/>
        </w:rPr>
        <w:t xml:space="preserve">produção das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pobreza </w:t>
      </w:r>
      <w:r w:rsidR="0089298C" w:rsidRPr="002F50BD">
        <w:rPr>
          <w:rFonts w:ascii="Verdana" w:hAnsi="Verdana"/>
          <w:sz w:val="20"/>
          <w:lang w:val="pt-BR"/>
        </w:rPr>
        <w:t>existem</w:t>
      </w:r>
      <w:r w:rsidR="004756C1" w:rsidRPr="002F50BD">
        <w:rPr>
          <w:rFonts w:ascii="Verdana" w:hAnsi="Verdana"/>
          <w:sz w:val="20"/>
          <w:lang w:val="pt-BR"/>
        </w:rPr>
        <w:t xml:space="preserve"> responsabilidades de </w:t>
      </w:r>
      <w:r w:rsidR="004076AD" w:rsidRPr="002F50BD">
        <w:rPr>
          <w:rFonts w:ascii="Verdana" w:hAnsi="Verdana"/>
          <w:sz w:val="20"/>
          <w:lang w:val="pt-BR"/>
        </w:rPr>
        <w:t>ator</w:t>
      </w:r>
      <w:r w:rsidR="004756C1" w:rsidRPr="002F50BD">
        <w:rPr>
          <w:rFonts w:ascii="Verdana" w:hAnsi="Verdana"/>
          <w:sz w:val="20"/>
          <w:lang w:val="pt-BR"/>
        </w:rPr>
        <w:t xml:space="preserve">es e </w:t>
      </w:r>
      <w:r w:rsidR="0089298C" w:rsidRPr="002F50BD">
        <w:rPr>
          <w:rFonts w:ascii="Verdana" w:hAnsi="Verdana"/>
          <w:sz w:val="20"/>
          <w:lang w:val="pt-BR"/>
        </w:rPr>
        <w:t>instituições</w:t>
      </w:r>
      <w:r w:rsidR="004756C1" w:rsidRPr="002F50BD">
        <w:rPr>
          <w:rFonts w:ascii="Verdana" w:hAnsi="Verdana"/>
          <w:sz w:val="20"/>
          <w:lang w:val="pt-BR"/>
        </w:rPr>
        <w:t xml:space="preserve"> </w:t>
      </w:r>
      <w:r w:rsidR="0089298C" w:rsidRPr="002F50BD">
        <w:rPr>
          <w:rFonts w:ascii="Verdana" w:hAnsi="Verdana"/>
          <w:sz w:val="20"/>
          <w:lang w:val="pt-BR"/>
        </w:rPr>
        <w:t>internacionais e nacionais</w:t>
      </w:r>
      <w:r w:rsidR="004756C1" w:rsidRPr="002F50BD">
        <w:rPr>
          <w:rFonts w:ascii="Verdana" w:hAnsi="Verdana"/>
          <w:sz w:val="20"/>
          <w:lang w:val="pt-BR"/>
        </w:rPr>
        <w:t xml:space="preserve"> comprometidas. </w:t>
      </w:r>
    </w:p>
    <w:p w:rsidR="004756C1" w:rsidRPr="002F50BD" w:rsidRDefault="004756C1">
      <w:pPr>
        <w:ind w:right="-6"/>
        <w:jc w:val="both"/>
        <w:rPr>
          <w:rFonts w:ascii="Verdana" w:hAnsi="Verdana"/>
          <w:sz w:val="20"/>
          <w:lang w:val="pt-BR"/>
        </w:rPr>
      </w:pPr>
    </w:p>
    <w:p w:rsidR="004756C1" w:rsidRPr="002F50BD" w:rsidRDefault="00063B47">
      <w:pPr>
        <w:ind w:right="-6"/>
        <w:jc w:val="both"/>
        <w:rPr>
          <w:rFonts w:ascii="Verdana" w:hAnsi="Verdana"/>
          <w:sz w:val="20"/>
          <w:lang w:val="pt-BR"/>
        </w:rPr>
      </w:pPr>
      <w:r w:rsidRPr="002F50BD">
        <w:rPr>
          <w:rFonts w:ascii="Verdana" w:hAnsi="Verdana"/>
          <w:sz w:val="20"/>
          <w:lang w:val="pt-BR"/>
        </w:rPr>
        <w:t>34</w:t>
      </w:r>
      <w:r w:rsidR="004756C1" w:rsidRPr="002F50BD">
        <w:rPr>
          <w:rFonts w:ascii="Verdana" w:hAnsi="Verdana"/>
          <w:sz w:val="20"/>
          <w:lang w:val="pt-BR"/>
        </w:rPr>
        <w:t>.</w:t>
      </w:r>
      <w:r w:rsidR="004756C1" w:rsidRPr="002F50BD">
        <w:rPr>
          <w:rFonts w:ascii="Verdana" w:hAnsi="Verdana"/>
          <w:sz w:val="20"/>
          <w:lang w:val="pt-BR"/>
        </w:rPr>
        <w:tab/>
      </w:r>
      <w:r w:rsidR="0089298C" w:rsidRPr="002F50BD">
        <w:rPr>
          <w:rFonts w:ascii="Verdana" w:hAnsi="Verdana"/>
          <w:sz w:val="20"/>
          <w:lang w:val="pt-BR"/>
        </w:rPr>
        <w:t>Neste</w:t>
      </w:r>
      <w:r w:rsidR="004756C1" w:rsidRPr="002F50BD">
        <w:rPr>
          <w:rFonts w:ascii="Verdana" w:hAnsi="Verdana"/>
          <w:sz w:val="20"/>
          <w:lang w:val="pt-BR"/>
        </w:rPr>
        <w:t xml:space="preserve"> contexto</w:t>
      </w:r>
      <w:r w:rsidR="00B50425" w:rsidRPr="002F50BD">
        <w:rPr>
          <w:rFonts w:ascii="Verdana" w:hAnsi="Verdana"/>
          <w:sz w:val="20"/>
          <w:lang w:val="pt-BR"/>
        </w:rPr>
        <w:t>,</w:t>
      </w:r>
      <w:r w:rsidR="0089298C" w:rsidRPr="002F50BD">
        <w:rPr>
          <w:rFonts w:ascii="Verdana" w:hAnsi="Verdana"/>
          <w:sz w:val="20"/>
          <w:lang w:val="pt-BR"/>
        </w:rPr>
        <w:t xml:space="preserve"> a capacidade </w:t>
      </w:r>
      <w:r w:rsidR="004756C1" w:rsidRPr="002F50BD">
        <w:rPr>
          <w:rFonts w:ascii="Verdana" w:hAnsi="Verdana"/>
          <w:sz w:val="20"/>
          <w:lang w:val="pt-BR"/>
        </w:rPr>
        <w:t>de interven</w:t>
      </w:r>
      <w:r w:rsidR="0089298C" w:rsidRPr="002F50BD">
        <w:rPr>
          <w:rFonts w:ascii="Verdana" w:hAnsi="Verdana"/>
          <w:sz w:val="20"/>
          <w:lang w:val="pt-BR"/>
        </w:rPr>
        <w:t xml:space="preserve">ção dos </w:t>
      </w:r>
      <w:r w:rsidR="004756C1" w:rsidRPr="002F50BD">
        <w:rPr>
          <w:rFonts w:ascii="Verdana" w:hAnsi="Verdana"/>
          <w:sz w:val="20"/>
          <w:lang w:val="pt-BR"/>
        </w:rPr>
        <w:t>Estados</w:t>
      </w:r>
      <w:r w:rsidR="0089298C" w:rsidRPr="002F50BD">
        <w:rPr>
          <w:rFonts w:ascii="Verdana" w:hAnsi="Verdana"/>
          <w:sz w:val="20"/>
          <w:lang w:val="pt-BR"/>
        </w:rPr>
        <w:t xml:space="preserve"> dos </w:t>
      </w:r>
      <w:r w:rsidR="004756C1" w:rsidRPr="002F50BD">
        <w:rPr>
          <w:rFonts w:ascii="Verdana" w:hAnsi="Verdana"/>
          <w:sz w:val="20"/>
          <w:lang w:val="pt-BR"/>
        </w:rPr>
        <w:t>países</w:t>
      </w:r>
      <w:r w:rsidR="0089298C" w:rsidRPr="002F50BD">
        <w:rPr>
          <w:rFonts w:ascii="Verdana" w:hAnsi="Verdana"/>
          <w:sz w:val="20"/>
          <w:lang w:val="pt-BR"/>
        </w:rPr>
        <w:t xml:space="preserve"> em desenvolvimento</w:t>
      </w:r>
      <w:r w:rsidR="004756C1" w:rsidRPr="002F50BD">
        <w:rPr>
          <w:rFonts w:ascii="Verdana" w:hAnsi="Verdana"/>
          <w:sz w:val="20"/>
          <w:lang w:val="pt-BR"/>
        </w:rPr>
        <w:t>, entre</w:t>
      </w:r>
      <w:r w:rsidR="0089298C" w:rsidRPr="002F50BD">
        <w:rPr>
          <w:rFonts w:ascii="Verdana" w:hAnsi="Verdana"/>
          <w:sz w:val="20"/>
          <w:lang w:val="pt-BR"/>
        </w:rPr>
        <w:t xml:space="preserve"> ele</w:t>
      </w:r>
      <w:r w:rsidR="004756C1" w:rsidRPr="002F50BD">
        <w:rPr>
          <w:rFonts w:ascii="Verdana" w:hAnsi="Verdana"/>
          <w:sz w:val="20"/>
          <w:lang w:val="pt-BR"/>
        </w:rPr>
        <w:t>s</w:t>
      </w:r>
      <w:r w:rsidR="0089298C" w:rsidRPr="002F50BD">
        <w:rPr>
          <w:rFonts w:ascii="Verdana" w:hAnsi="Verdana"/>
          <w:sz w:val="20"/>
          <w:lang w:val="pt-BR"/>
        </w:rPr>
        <w:t xml:space="preserve"> o Paraguai, e a </w:t>
      </w:r>
      <w:r w:rsidR="004756C1" w:rsidRPr="002F50BD">
        <w:rPr>
          <w:rFonts w:ascii="Verdana" w:hAnsi="Verdana"/>
          <w:sz w:val="20"/>
          <w:lang w:val="pt-BR"/>
        </w:rPr>
        <w:t>aplica</w:t>
      </w:r>
      <w:r w:rsidR="0089298C" w:rsidRPr="002F50BD">
        <w:rPr>
          <w:rFonts w:ascii="Verdana" w:hAnsi="Verdana"/>
          <w:sz w:val="20"/>
          <w:lang w:val="pt-BR"/>
        </w:rPr>
        <w:t xml:space="preserve">ção das </w:t>
      </w:r>
      <w:r w:rsidR="004756C1" w:rsidRPr="002F50BD">
        <w:rPr>
          <w:rFonts w:ascii="Verdana" w:hAnsi="Verdana"/>
          <w:sz w:val="20"/>
          <w:lang w:val="pt-BR"/>
        </w:rPr>
        <w:t xml:space="preserve">normas </w:t>
      </w:r>
      <w:r w:rsidR="0089298C" w:rsidRPr="002F50BD">
        <w:rPr>
          <w:rFonts w:ascii="Verdana" w:hAnsi="Verdana"/>
          <w:sz w:val="20"/>
          <w:lang w:val="pt-BR"/>
        </w:rPr>
        <w:t>internacionais</w:t>
      </w:r>
      <w:r w:rsidR="004756C1" w:rsidRPr="002F50BD">
        <w:rPr>
          <w:rFonts w:ascii="Verdana" w:hAnsi="Verdana"/>
          <w:sz w:val="20"/>
          <w:lang w:val="pt-BR"/>
        </w:rPr>
        <w:t xml:space="preserve"> referidas</w:t>
      </w:r>
      <w:r w:rsidR="0089298C" w:rsidRPr="002F50BD">
        <w:rPr>
          <w:rFonts w:ascii="Verdana" w:hAnsi="Verdana"/>
          <w:sz w:val="20"/>
          <w:lang w:val="pt-BR"/>
        </w:rPr>
        <w:t xml:space="preserve"> à </w:t>
      </w:r>
      <w:r w:rsidR="004756C1" w:rsidRPr="002F50BD">
        <w:rPr>
          <w:rFonts w:ascii="Verdana" w:hAnsi="Verdana"/>
          <w:sz w:val="20"/>
          <w:lang w:val="pt-BR"/>
        </w:rPr>
        <w:t>pobreza extrema n</w:t>
      </w:r>
      <w:r w:rsidR="00691D45" w:rsidRPr="002F50BD">
        <w:rPr>
          <w:rFonts w:ascii="Verdana" w:hAnsi="Verdana"/>
          <w:sz w:val="20"/>
          <w:lang w:val="pt-BR"/>
        </w:rPr>
        <w:t>ã</w:t>
      </w:r>
      <w:r w:rsidR="004756C1" w:rsidRPr="002F50BD">
        <w:rPr>
          <w:rFonts w:ascii="Verdana" w:hAnsi="Verdana"/>
          <w:sz w:val="20"/>
          <w:lang w:val="pt-BR"/>
        </w:rPr>
        <w:t xml:space="preserve">o </w:t>
      </w:r>
      <w:r w:rsidR="0089298C" w:rsidRPr="002F50BD">
        <w:rPr>
          <w:rFonts w:ascii="Verdana" w:hAnsi="Verdana"/>
          <w:sz w:val="20"/>
          <w:lang w:val="pt-BR"/>
        </w:rPr>
        <w:t>constitui uma questão</w:t>
      </w:r>
      <w:r w:rsidR="004756C1" w:rsidRPr="002F50BD">
        <w:rPr>
          <w:rFonts w:ascii="Verdana" w:hAnsi="Verdana"/>
          <w:sz w:val="20"/>
          <w:lang w:val="pt-BR"/>
        </w:rPr>
        <w:t xml:space="preserve"> jurídica que </w:t>
      </w:r>
      <w:r w:rsidR="00691D45" w:rsidRPr="002F50BD">
        <w:rPr>
          <w:rFonts w:ascii="Verdana" w:hAnsi="Verdana"/>
          <w:sz w:val="20"/>
          <w:lang w:val="pt-BR"/>
        </w:rPr>
        <w:t xml:space="preserve">envolva apenas </w:t>
      </w:r>
      <w:r w:rsidR="0089298C" w:rsidRPr="002F50BD">
        <w:rPr>
          <w:rFonts w:ascii="Verdana" w:hAnsi="Verdana"/>
          <w:sz w:val="20"/>
          <w:lang w:val="pt-BR"/>
        </w:rPr>
        <w:t xml:space="preserve">o </w:t>
      </w:r>
      <w:r w:rsidR="004756C1" w:rsidRPr="002F50BD">
        <w:rPr>
          <w:rFonts w:ascii="Verdana" w:hAnsi="Verdana"/>
          <w:sz w:val="20"/>
          <w:lang w:val="pt-BR"/>
        </w:rPr>
        <w:t>Estado, que</w:t>
      </w:r>
      <w:r w:rsidR="0089298C" w:rsidRPr="002F50BD">
        <w:rPr>
          <w:rFonts w:ascii="Verdana" w:hAnsi="Verdana"/>
          <w:sz w:val="20"/>
          <w:lang w:val="pt-BR"/>
        </w:rPr>
        <w:t xml:space="preserve"> com frequência</w:t>
      </w:r>
      <w:r w:rsidR="004756C1" w:rsidRPr="002F50BD">
        <w:rPr>
          <w:rFonts w:ascii="Verdana" w:hAnsi="Verdana"/>
          <w:sz w:val="20"/>
          <w:lang w:val="pt-BR"/>
        </w:rPr>
        <w:t xml:space="preserve"> está condicionado, tanto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4756C1" w:rsidRPr="002F50BD">
        <w:rPr>
          <w:rFonts w:ascii="Verdana" w:hAnsi="Verdana"/>
          <w:sz w:val="20"/>
          <w:lang w:val="pt-BR"/>
        </w:rPr>
        <w:t xml:space="preserve">limitados recursos </w:t>
      </w:r>
      <w:r w:rsidR="0089298C" w:rsidRPr="002F50BD">
        <w:rPr>
          <w:rFonts w:ascii="Verdana" w:hAnsi="Verdana"/>
          <w:sz w:val="20"/>
          <w:lang w:val="pt-BR"/>
        </w:rPr>
        <w:t>financeiro</w:t>
      </w:r>
      <w:r w:rsidR="004756C1" w:rsidRPr="002F50BD">
        <w:rPr>
          <w:rFonts w:ascii="Verdana" w:hAnsi="Verdana"/>
          <w:sz w:val="20"/>
          <w:lang w:val="pt-BR"/>
        </w:rPr>
        <w:t xml:space="preserve">s de que </w:t>
      </w:r>
      <w:r w:rsidR="0089298C" w:rsidRPr="002F50BD">
        <w:rPr>
          <w:rFonts w:ascii="Verdana" w:hAnsi="Verdana"/>
          <w:sz w:val="20"/>
          <w:lang w:val="pt-BR"/>
        </w:rPr>
        <w:t>dispõe</w:t>
      </w:r>
      <w:r w:rsidR="004756C1" w:rsidRPr="002F50BD">
        <w:rPr>
          <w:rFonts w:ascii="Verdana" w:hAnsi="Verdana"/>
          <w:sz w:val="20"/>
          <w:lang w:val="pt-BR"/>
        </w:rPr>
        <w:t>, como</w:t>
      </w:r>
      <w:r w:rsidR="0089298C" w:rsidRPr="002F50BD">
        <w:rPr>
          <w:rFonts w:ascii="Verdana" w:hAnsi="Verdana"/>
          <w:sz w:val="20"/>
          <w:lang w:val="pt-BR"/>
        </w:rPr>
        <w:t xml:space="preserve"> </w:t>
      </w:r>
      <w:r w:rsidR="00367FD1" w:rsidRPr="002F50BD">
        <w:rPr>
          <w:rFonts w:ascii="Verdana" w:hAnsi="Verdana"/>
          <w:sz w:val="20"/>
          <w:lang w:val="pt-BR"/>
        </w:rPr>
        <w:t>pelos</w:t>
      </w:r>
      <w:r w:rsidR="00AB6727" w:rsidRPr="002F50BD">
        <w:rPr>
          <w:rFonts w:ascii="Verdana" w:hAnsi="Verdana"/>
          <w:sz w:val="20"/>
          <w:lang w:val="pt-BR"/>
        </w:rPr>
        <w:t xml:space="preserve"> </w:t>
      </w:r>
      <w:r w:rsidR="0089298C" w:rsidRPr="002F50BD">
        <w:rPr>
          <w:rFonts w:ascii="Verdana" w:hAnsi="Verdana"/>
          <w:sz w:val="20"/>
          <w:lang w:val="pt-BR"/>
        </w:rPr>
        <w:t>fato</w:t>
      </w:r>
      <w:r w:rsidR="004756C1" w:rsidRPr="002F50BD">
        <w:rPr>
          <w:rFonts w:ascii="Verdana" w:hAnsi="Verdana"/>
          <w:sz w:val="20"/>
          <w:lang w:val="pt-BR"/>
        </w:rPr>
        <w:t xml:space="preserve">res </w:t>
      </w:r>
      <w:r w:rsidR="00AB454A" w:rsidRPr="002F50BD">
        <w:rPr>
          <w:rFonts w:ascii="Verdana" w:hAnsi="Verdana"/>
          <w:sz w:val="20"/>
          <w:lang w:val="pt-BR"/>
        </w:rPr>
        <w:t>estruturais</w:t>
      </w:r>
      <w:r w:rsidR="004756C1" w:rsidRPr="002F50BD">
        <w:rPr>
          <w:rFonts w:ascii="Verdana" w:hAnsi="Verdana"/>
          <w:sz w:val="20"/>
          <w:lang w:val="pt-BR"/>
        </w:rPr>
        <w:t xml:space="preserve"> ligados</w:t>
      </w:r>
      <w:r w:rsidR="0089298C" w:rsidRPr="002F50BD">
        <w:rPr>
          <w:rFonts w:ascii="Verdana" w:hAnsi="Verdana"/>
          <w:sz w:val="20"/>
          <w:lang w:val="pt-BR"/>
        </w:rPr>
        <w:t xml:space="preserve"> ao </w:t>
      </w:r>
      <w:r w:rsidR="004756C1" w:rsidRPr="002F50BD">
        <w:rPr>
          <w:rFonts w:ascii="Verdana" w:hAnsi="Verdana"/>
          <w:sz w:val="20"/>
          <w:lang w:val="pt-BR"/>
        </w:rPr>
        <w:t>“</w:t>
      </w:r>
      <w:r w:rsidR="0089298C" w:rsidRPr="002F50BD">
        <w:rPr>
          <w:rFonts w:ascii="Verdana" w:hAnsi="Verdana"/>
          <w:sz w:val="20"/>
          <w:lang w:val="pt-BR"/>
        </w:rPr>
        <w:t>processo</w:t>
      </w:r>
      <w:r w:rsidR="004756C1" w:rsidRPr="002F50BD">
        <w:rPr>
          <w:rFonts w:ascii="Verdana" w:hAnsi="Verdana"/>
          <w:sz w:val="20"/>
          <w:lang w:val="pt-BR"/>
        </w:rPr>
        <w:t xml:space="preserve"> de ajuste”, que </w:t>
      </w:r>
      <w:r w:rsidR="00691D45" w:rsidRPr="002F50BD">
        <w:rPr>
          <w:rFonts w:ascii="Verdana" w:hAnsi="Verdana"/>
          <w:sz w:val="20"/>
          <w:lang w:val="pt-BR"/>
        </w:rPr>
        <w:t xml:space="preserve">ultrapassam </w:t>
      </w:r>
      <w:r w:rsidR="0089298C" w:rsidRPr="002F50BD">
        <w:rPr>
          <w:rFonts w:ascii="Verdana" w:hAnsi="Verdana"/>
          <w:sz w:val="20"/>
          <w:lang w:val="pt-BR"/>
        </w:rPr>
        <w:t xml:space="preserve">o </w:t>
      </w:r>
      <w:r w:rsidR="00D95E71" w:rsidRPr="002F50BD">
        <w:rPr>
          <w:rFonts w:ascii="Verdana" w:hAnsi="Verdana"/>
          <w:sz w:val="20"/>
          <w:lang w:val="pt-BR"/>
        </w:rPr>
        <w:t xml:space="preserve">domínio </w:t>
      </w:r>
      <w:r w:rsidR="0089298C" w:rsidRPr="002F50BD">
        <w:rPr>
          <w:rFonts w:ascii="Verdana" w:hAnsi="Verdana"/>
          <w:sz w:val="20"/>
          <w:lang w:val="pt-BR"/>
        </w:rPr>
        <w:t xml:space="preserve">do </w:t>
      </w:r>
      <w:r w:rsidR="004756C1" w:rsidRPr="002F50BD">
        <w:rPr>
          <w:rFonts w:ascii="Verdana" w:hAnsi="Verdana"/>
          <w:sz w:val="20"/>
          <w:lang w:val="pt-BR"/>
        </w:rPr>
        <w:t>Estado d</w:t>
      </w:r>
      <w:r w:rsidR="00691D45"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Paraguai</w:t>
      </w:r>
      <w:r w:rsidR="004756C1" w:rsidRPr="002F50BD">
        <w:rPr>
          <w:rFonts w:ascii="Verdana" w:hAnsi="Verdana"/>
          <w:sz w:val="20"/>
          <w:lang w:val="pt-BR"/>
        </w:rPr>
        <w:t xml:space="preserve"> considerado </w:t>
      </w:r>
      <w:r w:rsidR="0089298C" w:rsidRPr="002F50BD">
        <w:rPr>
          <w:rFonts w:ascii="Verdana" w:hAnsi="Verdana"/>
          <w:sz w:val="20"/>
          <w:lang w:val="pt-BR"/>
        </w:rPr>
        <w:lastRenderedPageBreak/>
        <w:t>isoladamente</w:t>
      </w:r>
      <w:r w:rsidR="004756C1" w:rsidRPr="002F50BD">
        <w:rPr>
          <w:rFonts w:ascii="Verdana" w:hAnsi="Verdana"/>
          <w:sz w:val="20"/>
          <w:lang w:val="pt-BR"/>
        </w:rPr>
        <w:t xml:space="preserve">, tal como se </w:t>
      </w:r>
      <w:r w:rsidR="0089298C" w:rsidRPr="002F50BD">
        <w:rPr>
          <w:rFonts w:ascii="Verdana" w:hAnsi="Verdana"/>
          <w:sz w:val="20"/>
          <w:lang w:val="pt-BR"/>
        </w:rPr>
        <w:t xml:space="preserve">afirma na </w:t>
      </w:r>
      <w:r w:rsidR="004756C1" w:rsidRPr="002F50BD">
        <w:rPr>
          <w:rFonts w:ascii="Verdana" w:hAnsi="Verdana"/>
          <w:sz w:val="20"/>
          <w:lang w:val="pt-BR"/>
        </w:rPr>
        <w:t>Contesta</w:t>
      </w:r>
      <w:r w:rsidR="0089298C" w:rsidRPr="002F50BD">
        <w:rPr>
          <w:rFonts w:ascii="Verdana" w:hAnsi="Verdana"/>
          <w:sz w:val="20"/>
          <w:lang w:val="pt-BR"/>
        </w:rPr>
        <w:t xml:space="preserve">ção da </w:t>
      </w:r>
      <w:r w:rsidR="004756C1" w:rsidRPr="002F50BD">
        <w:rPr>
          <w:rFonts w:ascii="Verdana" w:hAnsi="Verdana"/>
          <w:sz w:val="20"/>
          <w:lang w:val="pt-BR"/>
        </w:rPr>
        <w:t xml:space="preserve">Demanda </w:t>
      </w:r>
      <w:r w:rsidR="00CF451D" w:rsidRPr="00CF451D">
        <w:rPr>
          <w:rFonts w:ascii="Verdana" w:hAnsi="Verdana"/>
          <w:sz w:val="20"/>
          <w:lang w:val="pt-BR"/>
        </w:rPr>
        <w:t>(</w:t>
      </w:r>
      <w:r w:rsidR="0089298C" w:rsidRPr="002F50BD">
        <w:rPr>
          <w:rFonts w:ascii="Verdana" w:hAnsi="Verdana"/>
          <w:sz w:val="20"/>
          <w:lang w:val="pt-BR"/>
        </w:rPr>
        <w:t>par.</w:t>
      </w:r>
      <w:r w:rsidR="004756C1" w:rsidRPr="002F50BD">
        <w:rPr>
          <w:rFonts w:ascii="Verdana" w:hAnsi="Verdana"/>
          <w:sz w:val="20"/>
          <w:lang w:val="pt-BR"/>
        </w:rPr>
        <w:t xml:space="preserve"> </w:t>
      </w:r>
      <w:r w:rsidRPr="002F50BD">
        <w:rPr>
          <w:rFonts w:ascii="Verdana" w:hAnsi="Verdana"/>
          <w:sz w:val="20"/>
          <w:lang w:val="pt-BR"/>
        </w:rPr>
        <w:t>185</w:t>
      </w:r>
      <w:r w:rsidR="00CF451D" w:rsidRPr="00CF451D">
        <w:rPr>
          <w:rFonts w:ascii="Verdana" w:hAnsi="Verdana"/>
          <w:sz w:val="20"/>
          <w:lang w:val="pt-BR"/>
        </w:rPr>
        <w:t>)</w:t>
      </w:r>
      <w:r w:rsidR="00E13112" w:rsidRPr="002F50BD">
        <w:rPr>
          <w:rFonts w:ascii="Verdana" w:hAnsi="Verdana"/>
          <w:sz w:val="20"/>
          <w:lang w:val="pt-BR"/>
        </w:rPr>
        <w:t>.</w:t>
      </w:r>
      <w:r w:rsidR="004756C1" w:rsidRPr="002F50BD">
        <w:rPr>
          <w:rStyle w:val="FootnoteReference"/>
          <w:rFonts w:ascii="Verdana" w:hAnsi="Verdana"/>
        </w:rPr>
        <w:footnoteReference w:id="261"/>
      </w:r>
      <w:r w:rsidR="00AB454A" w:rsidRPr="002F50BD">
        <w:rPr>
          <w:rFonts w:ascii="Verdana" w:hAnsi="Verdana"/>
          <w:sz w:val="20"/>
          <w:lang w:val="pt-BR"/>
        </w:rPr>
        <w:t xml:space="preserve"> A </w:t>
      </w:r>
      <w:r w:rsidR="0089298C" w:rsidRPr="002F50BD">
        <w:rPr>
          <w:rFonts w:ascii="Verdana" w:hAnsi="Verdana"/>
          <w:sz w:val="20"/>
          <w:lang w:val="pt-BR"/>
        </w:rPr>
        <w:t xml:space="preserve">responsabilidade </w:t>
      </w:r>
      <w:r w:rsidR="004756C1" w:rsidRPr="002F50BD">
        <w:rPr>
          <w:rFonts w:ascii="Verdana" w:hAnsi="Verdana"/>
          <w:sz w:val="20"/>
          <w:lang w:val="pt-BR"/>
        </w:rPr>
        <w:t>internacional n</w:t>
      </w:r>
      <w:r w:rsidR="00E13112" w:rsidRPr="002F50BD">
        <w:rPr>
          <w:rFonts w:ascii="Verdana" w:hAnsi="Verdana"/>
          <w:sz w:val="20"/>
          <w:lang w:val="pt-BR"/>
        </w:rPr>
        <w:t>ã</w:t>
      </w:r>
      <w:r w:rsidR="004756C1" w:rsidRPr="002F50BD">
        <w:rPr>
          <w:rFonts w:ascii="Verdana" w:hAnsi="Verdana"/>
          <w:sz w:val="20"/>
          <w:lang w:val="pt-BR"/>
        </w:rPr>
        <w:t>o se limita</w:t>
      </w:r>
      <w:r w:rsidR="0089298C" w:rsidRPr="002F50BD">
        <w:rPr>
          <w:rFonts w:ascii="Verdana" w:hAnsi="Verdana"/>
          <w:sz w:val="20"/>
          <w:lang w:val="pt-BR"/>
        </w:rPr>
        <w:t xml:space="preserve"> ao direito à assistência </w:t>
      </w:r>
      <w:r w:rsidR="004756C1" w:rsidRPr="002F50BD">
        <w:rPr>
          <w:rFonts w:ascii="Verdana" w:hAnsi="Verdana"/>
          <w:sz w:val="20"/>
          <w:lang w:val="pt-BR"/>
        </w:rPr>
        <w:t>internacional</w:t>
      </w:r>
      <w:r w:rsidR="00FE08B7">
        <w:rPr>
          <w:rFonts w:ascii="Verdana" w:hAnsi="Verdana"/>
          <w:sz w:val="20"/>
          <w:lang w:val="pt-BR"/>
        </w:rPr>
        <w:t xml:space="preserve"> </w:t>
      </w:r>
      <w:r w:rsidR="0089298C" w:rsidRPr="002F50BD">
        <w:rPr>
          <w:rFonts w:ascii="Verdana" w:hAnsi="Verdana"/>
          <w:sz w:val="20"/>
          <w:lang w:val="pt-BR"/>
        </w:rPr>
        <w:t xml:space="preserve">no </w:t>
      </w:r>
      <w:r w:rsidR="004756C1" w:rsidRPr="002F50BD">
        <w:rPr>
          <w:rFonts w:ascii="Verdana" w:hAnsi="Verdana"/>
          <w:sz w:val="20"/>
          <w:lang w:val="pt-BR"/>
        </w:rPr>
        <w:t xml:space="preserve">caso </w:t>
      </w:r>
      <w:r w:rsidR="00B50425" w:rsidRPr="002F50BD">
        <w:rPr>
          <w:rFonts w:ascii="Verdana" w:hAnsi="Verdana"/>
          <w:sz w:val="20"/>
          <w:lang w:val="pt-BR"/>
        </w:rPr>
        <w:t>em</w:t>
      </w:r>
      <w:r w:rsidR="00E13112" w:rsidRPr="002F50BD">
        <w:rPr>
          <w:rFonts w:ascii="Verdana" w:hAnsi="Verdana"/>
          <w:sz w:val="20"/>
          <w:lang w:val="pt-BR"/>
        </w:rPr>
        <w:t xml:space="preserve"> </w:t>
      </w:r>
      <w:r w:rsidR="004756C1" w:rsidRPr="002F50BD">
        <w:rPr>
          <w:rFonts w:ascii="Verdana" w:hAnsi="Verdana"/>
          <w:sz w:val="20"/>
          <w:lang w:val="pt-BR"/>
        </w:rPr>
        <w:t>que</w:t>
      </w:r>
      <w:r w:rsidR="0089298C" w:rsidRPr="002F50BD">
        <w:rPr>
          <w:rFonts w:ascii="Verdana" w:hAnsi="Verdana"/>
          <w:sz w:val="20"/>
          <w:lang w:val="pt-BR"/>
        </w:rPr>
        <w:t xml:space="preserve"> um </w:t>
      </w:r>
      <w:r w:rsidR="004756C1" w:rsidRPr="002F50BD">
        <w:rPr>
          <w:rFonts w:ascii="Verdana" w:hAnsi="Verdana"/>
          <w:sz w:val="20"/>
          <w:lang w:val="pt-BR"/>
        </w:rPr>
        <w:t>Estado Parte n</w:t>
      </w:r>
      <w:r w:rsidR="00E13112" w:rsidRPr="002F50BD">
        <w:rPr>
          <w:rFonts w:ascii="Verdana" w:hAnsi="Verdana"/>
          <w:sz w:val="20"/>
          <w:lang w:val="pt-BR"/>
        </w:rPr>
        <w:t>ã</w:t>
      </w:r>
      <w:r w:rsidR="004756C1" w:rsidRPr="002F50BD">
        <w:rPr>
          <w:rFonts w:ascii="Verdana" w:hAnsi="Verdana"/>
          <w:sz w:val="20"/>
          <w:lang w:val="pt-BR"/>
        </w:rPr>
        <w:t xml:space="preserve">o </w:t>
      </w:r>
      <w:r w:rsidR="00E13112" w:rsidRPr="002F50BD">
        <w:rPr>
          <w:rFonts w:ascii="Verdana" w:hAnsi="Verdana"/>
          <w:sz w:val="20"/>
          <w:lang w:val="pt-BR"/>
        </w:rPr>
        <w:t xml:space="preserve">possa </w:t>
      </w:r>
      <w:r w:rsidR="0089298C" w:rsidRPr="002F50BD">
        <w:rPr>
          <w:rFonts w:ascii="Verdana" w:hAnsi="Verdana"/>
          <w:sz w:val="20"/>
          <w:lang w:val="pt-BR"/>
        </w:rPr>
        <w:t>alcança</w:t>
      </w:r>
      <w:r w:rsidR="004756C1" w:rsidRPr="002F50BD">
        <w:rPr>
          <w:rFonts w:ascii="Verdana" w:hAnsi="Verdana"/>
          <w:sz w:val="20"/>
          <w:lang w:val="pt-BR"/>
        </w:rPr>
        <w:t>r por</w:t>
      </w:r>
      <w:r w:rsidR="0089298C" w:rsidRPr="002F50BD">
        <w:rPr>
          <w:rFonts w:ascii="Verdana" w:hAnsi="Verdana"/>
          <w:sz w:val="20"/>
          <w:lang w:val="pt-BR"/>
        </w:rPr>
        <w:t xml:space="preserve"> s</w:t>
      </w:r>
      <w:r w:rsidR="00E13112" w:rsidRPr="002F50BD">
        <w:rPr>
          <w:rFonts w:ascii="Verdana" w:hAnsi="Verdana"/>
          <w:sz w:val="20"/>
          <w:lang w:val="pt-BR"/>
        </w:rPr>
        <w:t>i</w:t>
      </w:r>
      <w:r w:rsidR="0089298C" w:rsidRPr="002F50BD">
        <w:rPr>
          <w:rFonts w:ascii="Verdana" w:hAnsi="Verdana"/>
          <w:sz w:val="20"/>
          <w:lang w:val="pt-BR"/>
        </w:rPr>
        <w:t xml:space="preserve"> mesm</w:t>
      </w:r>
      <w:r w:rsidR="004756C1" w:rsidRPr="002F50BD">
        <w:rPr>
          <w:rFonts w:ascii="Verdana" w:hAnsi="Verdana"/>
          <w:sz w:val="20"/>
          <w:lang w:val="pt-BR"/>
        </w:rPr>
        <w:t>o</w:t>
      </w:r>
      <w:r w:rsidR="0089298C" w:rsidRPr="002F50BD">
        <w:rPr>
          <w:rFonts w:ascii="Verdana" w:hAnsi="Verdana"/>
          <w:sz w:val="20"/>
          <w:lang w:val="pt-BR"/>
        </w:rPr>
        <w:t xml:space="preserve"> o </w:t>
      </w:r>
      <w:r w:rsidR="004756C1" w:rsidRPr="002F50BD">
        <w:rPr>
          <w:rFonts w:ascii="Verdana" w:hAnsi="Verdana"/>
          <w:sz w:val="20"/>
          <w:lang w:val="pt-BR"/>
        </w:rPr>
        <w:t xml:space="preserve">modelo </w:t>
      </w:r>
      <w:r w:rsidR="0089298C" w:rsidRPr="002F50BD">
        <w:rPr>
          <w:rFonts w:ascii="Verdana" w:hAnsi="Verdana"/>
          <w:sz w:val="20"/>
          <w:lang w:val="pt-BR"/>
        </w:rPr>
        <w:t>estabelecid</w:t>
      </w:r>
      <w:r w:rsidR="004756C1" w:rsidRPr="002F50BD">
        <w:rPr>
          <w:rFonts w:ascii="Verdana" w:hAnsi="Verdana"/>
          <w:sz w:val="20"/>
          <w:lang w:val="pt-BR"/>
        </w:rPr>
        <w:t>o</w:t>
      </w:r>
      <w:r w:rsidR="0089298C" w:rsidRPr="002F50BD">
        <w:rPr>
          <w:rFonts w:ascii="Verdana" w:hAnsi="Verdana"/>
          <w:sz w:val="20"/>
          <w:lang w:val="pt-BR"/>
        </w:rPr>
        <w:t xml:space="preserve"> pelo </w:t>
      </w:r>
      <w:r w:rsidR="004756C1" w:rsidRPr="002F50BD">
        <w:rPr>
          <w:rFonts w:ascii="Verdana" w:hAnsi="Verdana"/>
          <w:sz w:val="20"/>
          <w:lang w:val="pt-BR"/>
        </w:rPr>
        <w:t>P</w:t>
      </w:r>
      <w:r w:rsidR="0089298C" w:rsidRPr="002F50BD">
        <w:rPr>
          <w:rFonts w:ascii="Verdana" w:hAnsi="Verdana"/>
          <w:sz w:val="20"/>
          <w:lang w:val="pt-BR"/>
        </w:rPr>
        <w:t>a</w:t>
      </w:r>
      <w:r w:rsidR="00E13112" w:rsidRPr="002F50BD">
        <w:rPr>
          <w:rFonts w:ascii="Verdana" w:hAnsi="Verdana"/>
          <w:sz w:val="20"/>
          <w:lang w:val="pt-BR"/>
        </w:rPr>
        <w:t>c</w:t>
      </w:r>
      <w:r w:rsidR="0089298C" w:rsidRPr="002F50BD">
        <w:rPr>
          <w:rFonts w:ascii="Verdana" w:hAnsi="Verdana"/>
          <w:sz w:val="20"/>
          <w:lang w:val="pt-BR"/>
        </w:rPr>
        <w:t>to,</w:t>
      </w:r>
      <w:r w:rsidR="004756C1" w:rsidRPr="002F50BD">
        <w:rPr>
          <w:rFonts w:ascii="Verdana" w:hAnsi="Verdana"/>
          <w:sz w:val="20"/>
          <w:lang w:val="pt-BR"/>
        </w:rPr>
        <w:t xml:space="preserve"> consagrado</w:t>
      </w:r>
      <w:r w:rsidR="0089298C" w:rsidRPr="002F50BD">
        <w:rPr>
          <w:rFonts w:ascii="Verdana" w:hAnsi="Verdana"/>
          <w:sz w:val="20"/>
          <w:lang w:val="pt-BR"/>
        </w:rPr>
        <w:t xml:space="preserve"> pelo </w:t>
      </w:r>
      <w:r w:rsidR="004756C1" w:rsidRPr="002F50BD">
        <w:rPr>
          <w:rFonts w:ascii="Verdana" w:hAnsi="Verdana"/>
          <w:sz w:val="20"/>
          <w:lang w:val="pt-BR"/>
        </w:rPr>
        <w:t xml:space="preserve">Pacto Internacional de </w:t>
      </w:r>
      <w:r w:rsidR="0089298C" w:rsidRPr="002F50BD">
        <w:rPr>
          <w:rFonts w:ascii="Verdana" w:hAnsi="Verdana"/>
          <w:sz w:val="20"/>
          <w:lang w:val="pt-BR"/>
        </w:rPr>
        <w:t>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Sociais e Culturais</w:t>
      </w:r>
      <w:r w:rsidR="00E13112" w:rsidRPr="002F50BD">
        <w:rPr>
          <w:rFonts w:ascii="Verdana" w:hAnsi="Verdana"/>
          <w:sz w:val="20"/>
          <w:lang w:val="pt-BR"/>
        </w:rPr>
        <w:t>.</w:t>
      </w:r>
      <w:r w:rsidR="004756C1" w:rsidRPr="002F50BD">
        <w:rPr>
          <w:rStyle w:val="FootnoteReference"/>
          <w:rFonts w:ascii="Verdana" w:hAnsi="Verdana"/>
        </w:rPr>
        <w:footnoteReference w:id="262"/>
      </w:r>
      <w:r w:rsidR="004756C1" w:rsidRPr="002F50BD">
        <w:rPr>
          <w:rFonts w:ascii="Verdana" w:hAnsi="Verdana"/>
          <w:sz w:val="20"/>
          <w:lang w:val="pt-BR"/>
        </w:rPr>
        <w:t xml:space="preserve"> </w:t>
      </w:r>
    </w:p>
    <w:p w:rsidR="004756C1" w:rsidRPr="002F50BD" w:rsidRDefault="004756C1">
      <w:pPr>
        <w:ind w:right="-6"/>
        <w:jc w:val="both"/>
        <w:rPr>
          <w:rFonts w:ascii="Verdana" w:hAnsi="Verdana"/>
          <w:sz w:val="20"/>
          <w:lang w:val="pt-BR"/>
        </w:rPr>
      </w:pPr>
    </w:p>
    <w:p w:rsidR="004756C1" w:rsidRPr="002F50BD" w:rsidRDefault="00063B47">
      <w:pPr>
        <w:ind w:right="-6"/>
        <w:jc w:val="both"/>
        <w:rPr>
          <w:rFonts w:ascii="Verdana" w:hAnsi="Verdana"/>
          <w:sz w:val="20"/>
          <w:lang w:val="pt-BR"/>
        </w:rPr>
      </w:pPr>
      <w:r w:rsidRPr="002F50BD">
        <w:rPr>
          <w:rFonts w:ascii="Verdana" w:hAnsi="Verdana"/>
          <w:sz w:val="20"/>
          <w:lang w:val="pt-BR"/>
        </w:rPr>
        <w:t>35</w:t>
      </w:r>
      <w:r w:rsidR="004756C1" w:rsidRPr="002F50BD">
        <w:rPr>
          <w:rFonts w:ascii="Verdana" w:hAnsi="Verdana"/>
          <w:sz w:val="20"/>
          <w:lang w:val="pt-BR"/>
        </w:rPr>
        <w:t>.</w:t>
      </w:r>
      <w:r w:rsidR="004756C1" w:rsidRPr="002F50BD">
        <w:rPr>
          <w:rFonts w:ascii="Verdana" w:hAnsi="Verdana"/>
          <w:sz w:val="20"/>
          <w:lang w:val="pt-BR"/>
        </w:rPr>
        <w:tab/>
      </w:r>
      <w:r w:rsidR="00E13112" w:rsidRPr="002F50BD">
        <w:rPr>
          <w:rFonts w:ascii="Verdana" w:hAnsi="Verdana"/>
          <w:sz w:val="20"/>
          <w:lang w:val="pt-BR"/>
        </w:rPr>
        <w:t>N</w:t>
      </w:r>
      <w:r w:rsidR="004756C1" w:rsidRPr="002F50BD">
        <w:rPr>
          <w:rFonts w:ascii="Verdana" w:hAnsi="Verdana"/>
          <w:sz w:val="20"/>
          <w:lang w:val="pt-BR"/>
        </w:rPr>
        <w:t xml:space="preserve">esta </w:t>
      </w:r>
      <w:r w:rsidR="008B1D76" w:rsidRPr="002F50BD">
        <w:rPr>
          <w:rFonts w:ascii="Verdana" w:hAnsi="Verdana"/>
          <w:sz w:val="20"/>
          <w:lang w:val="pt-BR"/>
        </w:rPr>
        <w:t>visão</w:t>
      </w:r>
      <w:r w:rsidR="00B50425" w:rsidRPr="002F50BD">
        <w:rPr>
          <w:rFonts w:ascii="Verdana" w:hAnsi="Verdana"/>
          <w:sz w:val="20"/>
          <w:lang w:val="pt-BR"/>
        </w:rPr>
        <w:t>,</w:t>
      </w:r>
      <w:r w:rsidR="00E13112" w:rsidRPr="002F50BD">
        <w:rPr>
          <w:rFonts w:ascii="Verdana" w:hAnsi="Verdana"/>
          <w:sz w:val="20"/>
          <w:lang w:val="pt-BR"/>
        </w:rPr>
        <w:t xml:space="preserve"> o aprofundamento </w:t>
      </w:r>
      <w:r w:rsidR="0089298C" w:rsidRPr="002F50BD">
        <w:rPr>
          <w:rFonts w:ascii="Verdana" w:hAnsi="Verdana"/>
          <w:sz w:val="20"/>
          <w:lang w:val="pt-BR"/>
        </w:rPr>
        <w:t xml:space="preserve">da </w:t>
      </w:r>
      <w:r w:rsidR="004756C1" w:rsidRPr="002F50BD">
        <w:rPr>
          <w:rFonts w:ascii="Verdana" w:hAnsi="Verdana"/>
          <w:sz w:val="20"/>
          <w:lang w:val="pt-BR"/>
        </w:rPr>
        <w:t>pobreza</w:t>
      </w:r>
      <w:r w:rsidR="0089298C" w:rsidRPr="002F50BD">
        <w:rPr>
          <w:rFonts w:ascii="Verdana" w:hAnsi="Verdana"/>
          <w:sz w:val="20"/>
          <w:lang w:val="pt-BR"/>
        </w:rPr>
        <w:t xml:space="preserve"> é um </w:t>
      </w:r>
      <w:r w:rsidR="004756C1" w:rsidRPr="002F50BD">
        <w:rPr>
          <w:rFonts w:ascii="Verdana" w:hAnsi="Verdana"/>
          <w:sz w:val="20"/>
          <w:lang w:val="pt-BR"/>
        </w:rPr>
        <w:t xml:space="preserve">resultado de </w:t>
      </w:r>
      <w:r w:rsidR="0089298C" w:rsidRPr="002F50BD">
        <w:rPr>
          <w:rFonts w:ascii="Verdana" w:hAnsi="Verdana"/>
          <w:sz w:val="20"/>
          <w:lang w:val="pt-BR"/>
        </w:rPr>
        <w:t>decisões</w:t>
      </w:r>
      <w:r w:rsidR="004756C1" w:rsidRPr="002F50BD">
        <w:rPr>
          <w:rFonts w:ascii="Verdana" w:hAnsi="Verdana"/>
          <w:sz w:val="20"/>
          <w:lang w:val="pt-BR"/>
        </w:rPr>
        <w:t xml:space="preserve">, </w:t>
      </w:r>
      <w:r w:rsidR="0089298C" w:rsidRPr="002F50BD">
        <w:rPr>
          <w:rFonts w:ascii="Verdana" w:hAnsi="Verdana"/>
          <w:sz w:val="20"/>
          <w:lang w:val="pt-BR"/>
        </w:rPr>
        <w:t>basicamente</w:t>
      </w:r>
      <w:r w:rsidR="004756C1" w:rsidRPr="002F50BD">
        <w:rPr>
          <w:rFonts w:ascii="Verdana" w:hAnsi="Verdana"/>
          <w:sz w:val="20"/>
          <w:lang w:val="pt-BR"/>
        </w:rPr>
        <w:t xml:space="preserve"> de </w:t>
      </w:r>
      <w:r w:rsidR="0089298C" w:rsidRPr="002F50BD">
        <w:rPr>
          <w:rFonts w:ascii="Verdana" w:hAnsi="Verdana"/>
          <w:sz w:val="20"/>
          <w:lang w:val="pt-BR"/>
        </w:rPr>
        <w:t>natureza</w:t>
      </w:r>
      <w:r w:rsidR="004756C1" w:rsidRPr="002F50BD">
        <w:rPr>
          <w:rFonts w:ascii="Verdana" w:hAnsi="Verdana"/>
          <w:sz w:val="20"/>
          <w:lang w:val="pt-BR"/>
        </w:rPr>
        <w:t xml:space="preserve"> </w:t>
      </w:r>
      <w:r w:rsidR="0089298C" w:rsidRPr="002F50BD">
        <w:rPr>
          <w:rFonts w:ascii="Verdana" w:hAnsi="Verdana"/>
          <w:sz w:val="20"/>
          <w:lang w:val="pt-BR"/>
        </w:rPr>
        <w:t>econômic</w:t>
      </w:r>
      <w:r w:rsidR="004756C1" w:rsidRPr="002F50BD">
        <w:rPr>
          <w:rFonts w:ascii="Verdana" w:hAnsi="Verdana"/>
          <w:sz w:val="20"/>
          <w:lang w:val="pt-BR"/>
        </w:rPr>
        <w:t>a</w:t>
      </w:r>
      <w:r w:rsidR="0089298C" w:rsidRPr="002F50BD">
        <w:rPr>
          <w:rFonts w:ascii="Verdana" w:hAnsi="Verdana"/>
          <w:sz w:val="20"/>
          <w:lang w:val="pt-BR"/>
        </w:rPr>
        <w:t xml:space="preserve"> e financeira</w:t>
      </w:r>
      <w:r w:rsidR="004756C1" w:rsidRPr="002F50BD">
        <w:rPr>
          <w:rFonts w:ascii="Verdana" w:hAnsi="Verdana"/>
          <w:sz w:val="20"/>
          <w:lang w:val="pt-BR"/>
        </w:rPr>
        <w:t xml:space="preserve">, tomadas por </w:t>
      </w:r>
      <w:r w:rsidR="004076AD" w:rsidRPr="002F50BD">
        <w:rPr>
          <w:rFonts w:ascii="Verdana" w:hAnsi="Verdana"/>
          <w:sz w:val="20"/>
          <w:lang w:val="pt-BR"/>
        </w:rPr>
        <w:t>ator</w:t>
      </w:r>
      <w:r w:rsidR="004756C1" w:rsidRPr="002F50BD">
        <w:rPr>
          <w:rFonts w:ascii="Verdana" w:hAnsi="Verdana"/>
          <w:sz w:val="20"/>
          <w:lang w:val="pt-BR"/>
        </w:rPr>
        <w:t xml:space="preserve">es privados </w:t>
      </w:r>
      <w:r w:rsidR="00E13112" w:rsidRPr="002F50BD">
        <w:rPr>
          <w:rFonts w:ascii="Verdana" w:hAnsi="Verdana"/>
          <w:sz w:val="20"/>
          <w:lang w:val="pt-BR"/>
        </w:rPr>
        <w:t xml:space="preserve">em conjunto </w:t>
      </w:r>
      <w:r w:rsidR="0089298C" w:rsidRPr="002F50BD">
        <w:rPr>
          <w:rFonts w:ascii="Verdana" w:hAnsi="Verdana"/>
          <w:sz w:val="20"/>
          <w:lang w:val="pt-BR"/>
        </w:rPr>
        <w:t xml:space="preserve">com </w:t>
      </w:r>
      <w:r w:rsidR="004076AD" w:rsidRPr="002F50BD">
        <w:rPr>
          <w:rFonts w:ascii="Verdana" w:hAnsi="Verdana"/>
          <w:sz w:val="20"/>
          <w:lang w:val="pt-BR"/>
        </w:rPr>
        <w:t>ator</w:t>
      </w:r>
      <w:r w:rsidR="004756C1" w:rsidRPr="002F50BD">
        <w:rPr>
          <w:rFonts w:ascii="Verdana" w:hAnsi="Verdana"/>
          <w:sz w:val="20"/>
          <w:lang w:val="pt-BR"/>
        </w:rPr>
        <w:t xml:space="preserve">es públicos que </w:t>
      </w:r>
      <w:r w:rsidR="0089298C" w:rsidRPr="002F50BD">
        <w:rPr>
          <w:rFonts w:ascii="Verdana" w:hAnsi="Verdana"/>
          <w:sz w:val="20"/>
          <w:lang w:val="pt-BR"/>
        </w:rPr>
        <w:t>têm</w:t>
      </w:r>
      <w:r w:rsidR="004756C1" w:rsidRPr="002F50BD">
        <w:rPr>
          <w:rFonts w:ascii="Verdana" w:hAnsi="Verdana"/>
          <w:sz w:val="20"/>
          <w:lang w:val="pt-BR"/>
        </w:rPr>
        <w:t xml:space="preserve"> </w:t>
      </w:r>
      <w:r w:rsidR="0089298C" w:rsidRPr="002F50BD">
        <w:rPr>
          <w:rFonts w:ascii="Verdana" w:hAnsi="Verdana"/>
          <w:sz w:val="20"/>
          <w:lang w:val="pt-BR"/>
        </w:rPr>
        <w:t>muito</w:t>
      </w:r>
      <w:r w:rsidR="004756C1" w:rsidRPr="002F50BD">
        <w:rPr>
          <w:rFonts w:ascii="Verdana" w:hAnsi="Verdana"/>
          <w:sz w:val="20"/>
          <w:lang w:val="pt-BR"/>
        </w:rPr>
        <w:t xml:space="preserve"> </w:t>
      </w:r>
      <w:r w:rsidR="0089298C" w:rsidRPr="002F50BD">
        <w:rPr>
          <w:rFonts w:ascii="Verdana" w:hAnsi="Verdana"/>
          <w:sz w:val="20"/>
          <w:lang w:val="pt-BR"/>
        </w:rPr>
        <w:t xml:space="preserve">mais </w:t>
      </w:r>
      <w:r w:rsidR="004756C1" w:rsidRPr="002F50BD">
        <w:rPr>
          <w:rFonts w:ascii="Verdana" w:hAnsi="Verdana"/>
          <w:sz w:val="20"/>
          <w:lang w:val="pt-BR"/>
        </w:rPr>
        <w:t>poder que</w:t>
      </w:r>
      <w:r w:rsidR="0089298C" w:rsidRPr="002F50BD">
        <w:rPr>
          <w:rFonts w:ascii="Verdana" w:hAnsi="Verdana"/>
          <w:sz w:val="20"/>
          <w:lang w:val="pt-BR"/>
        </w:rPr>
        <w:t xml:space="preserve"> os </w:t>
      </w:r>
      <w:r w:rsidR="004756C1" w:rsidRPr="002F50BD">
        <w:rPr>
          <w:rFonts w:ascii="Verdana" w:hAnsi="Verdana"/>
          <w:sz w:val="20"/>
          <w:lang w:val="pt-BR"/>
        </w:rPr>
        <w:t>Estados</w:t>
      </w:r>
      <w:r w:rsidR="0089298C" w:rsidRPr="002F50BD">
        <w:rPr>
          <w:rFonts w:ascii="Verdana" w:hAnsi="Verdana"/>
          <w:sz w:val="20"/>
          <w:lang w:val="pt-BR"/>
        </w:rPr>
        <w:t xml:space="preserve"> dos </w:t>
      </w:r>
      <w:r w:rsidR="004756C1" w:rsidRPr="002F50BD">
        <w:rPr>
          <w:rFonts w:ascii="Verdana" w:hAnsi="Verdana"/>
          <w:sz w:val="20"/>
          <w:lang w:val="pt-BR"/>
        </w:rPr>
        <w:t>países</w:t>
      </w:r>
      <w:r w:rsidR="0089298C" w:rsidRPr="002F50BD">
        <w:rPr>
          <w:rFonts w:ascii="Verdana" w:hAnsi="Verdana"/>
          <w:sz w:val="20"/>
          <w:lang w:val="pt-BR"/>
        </w:rPr>
        <w:t xml:space="preserve"> em desenvolvimento</w:t>
      </w:r>
      <w:r w:rsidR="004756C1" w:rsidRPr="002F50BD">
        <w:rPr>
          <w:rFonts w:ascii="Verdana" w:hAnsi="Verdana"/>
          <w:sz w:val="20"/>
          <w:lang w:val="pt-BR"/>
        </w:rPr>
        <w:t>.</w:t>
      </w:r>
      <w:r w:rsidR="0089298C" w:rsidRPr="002F50BD">
        <w:rPr>
          <w:rFonts w:ascii="Verdana" w:hAnsi="Verdana"/>
          <w:sz w:val="20"/>
          <w:lang w:val="pt-BR"/>
        </w:rPr>
        <w:t xml:space="preserve"> </w:t>
      </w:r>
      <w:r w:rsidR="00E13112" w:rsidRPr="002F50BD">
        <w:rPr>
          <w:rFonts w:ascii="Verdana" w:hAnsi="Verdana"/>
          <w:sz w:val="20"/>
          <w:lang w:val="pt-BR"/>
        </w:rPr>
        <w:t>N</w:t>
      </w:r>
      <w:r w:rsidR="00FB33DD" w:rsidRPr="002F50BD">
        <w:rPr>
          <w:rFonts w:ascii="Verdana" w:hAnsi="Verdana"/>
          <w:sz w:val="20"/>
          <w:lang w:val="pt-BR"/>
        </w:rPr>
        <w:t>esse</w:t>
      </w:r>
      <w:r w:rsidR="0089298C" w:rsidRPr="002F50BD">
        <w:rPr>
          <w:rFonts w:ascii="Verdana" w:hAnsi="Verdana"/>
          <w:sz w:val="20"/>
          <w:lang w:val="pt-BR"/>
        </w:rPr>
        <w:t xml:space="preserve"> </w:t>
      </w:r>
      <w:r w:rsidR="00E13112" w:rsidRPr="002F50BD">
        <w:rPr>
          <w:rFonts w:ascii="Verdana" w:hAnsi="Verdana"/>
          <w:sz w:val="20"/>
          <w:lang w:val="pt-BR"/>
        </w:rPr>
        <w:t>âmbito</w:t>
      </w:r>
      <w:r w:rsidR="00B50425" w:rsidRPr="002F50BD">
        <w:rPr>
          <w:rFonts w:ascii="Verdana" w:hAnsi="Verdana"/>
          <w:sz w:val="20"/>
          <w:lang w:val="pt-BR"/>
        </w:rPr>
        <w:t>,</w:t>
      </w:r>
      <w:r w:rsidR="00E13112" w:rsidRPr="002F50BD">
        <w:rPr>
          <w:rFonts w:ascii="Verdana" w:hAnsi="Verdana"/>
          <w:sz w:val="20"/>
          <w:lang w:val="pt-BR"/>
        </w:rPr>
        <w:t xml:space="preserve"> analisa</w:t>
      </w:r>
      <w:r w:rsidR="00B50425" w:rsidRPr="002F50BD">
        <w:rPr>
          <w:rFonts w:ascii="Verdana" w:hAnsi="Verdana"/>
          <w:sz w:val="20"/>
          <w:lang w:val="pt-BR"/>
        </w:rPr>
        <w:t>-se</w:t>
      </w:r>
      <w:r w:rsidR="00E13112" w:rsidRPr="002F50BD">
        <w:rPr>
          <w:rFonts w:ascii="Verdana" w:hAnsi="Verdana"/>
          <w:sz w:val="20"/>
          <w:lang w:val="pt-BR"/>
        </w:rPr>
        <w:t xml:space="preserve"> </w:t>
      </w:r>
      <w:r w:rsidR="0089298C" w:rsidRPr="002F50BD">
        <w:rPr>
          <w:rFonts w:ascii="Verdana" w:hAnsi="Verdana"/>
          <w:sz w:val="20"/>
          <w:lang w:val="pt-BR"/>
        </w:rPr>
        <w:t xml:space="preserve">a </w:t>
      </w:r>
      <w:r w:rsidR="004756C1" w:rsidRPr="002F50BD">
        <w:rPr>
          <w:rFonts w:ascii="Verdana" w:hAnsi="Verdana"/>
          <w:sz w:val="20"/>
          <w:lang w:val="pt-BR"/>
        </w:rPr>
        <w:t>responsabilidade</w:t>
      </w:r>
      <w:r w:rsidR="0089298C" w:rsidRPr="002F50BD">
        <w:rPr>
          <w:rFonts w:ascii="Verdana" w:hAnsi="Verdana"/>
          <w:sz w:val="20"/>
          <w:lang w:val="pt-BR"/>
        </w:rPr>
        <w:t xml:space="preserve"> das </w:t>
      </w:r>
      <w:r w:rsidR="004756C1" w:rsidRPr="002F50BD">
        <w:rPr>
          <w:rFonts w:ascii="Verdana" w:hAnsi="Verdana"/>
          <w:sz w:val="20"/>
          <w:lang w:val="pt-BR"/>
        </w:rPr>
        <w:t>empresas trans</w:t>
      </w:r>
      <w:r w:rsidR="0089298C" w:rsidRPr="002F50BD">
        <w:rPr>
          <w:rFonts w:ascii="Verdana" w:hAnsi="Verdana"/>
          <w:sz w:val="20"/>
          <w:lang w:val="pt-BR"/>
        </w:rPr>
        <w:t>nacionais</w:t>
      </w:r>
      <w:r w:rsidR="004756C1" w:rsidRPr="002F50BD">
        <w:rPr>
          <w:rFonts w:ascii="Verdana" w:hAnsi="Verdana"/>
          <w:sz w:val="20"/>
          <w:lang w:val="pt-BR"/>
        </w:rPr>
        <w:t xml:space="preserve"> </w:t>
      </w:r>
      <w:r w:rsidR="0089298C" w:rsidRPr="002F50BD">
        <w:rPr>
          <w:rFonts w:ascii="Verdana" w:hAnsi="Verdana"/>
          <w:sz w:val="20"/>
          <w:lang w:val="pt-BR"/>
        </w:rPr>
        <w:t xml:space="preserve">e dos </w:t>
      </w:r>
      <w:r w:rsidR="004756C1" w:rsidRPr="002F50BD">
        <w:rPr>
          <w:rFonts w:ascii="Verdana" w:hAnsi="Verdana"/>
          <w:sz w:val="20"/>
          <w:lang w:val="pt-BR"/>
        </w:rPr>
        <w:t>organismos multilatera</w:t>
      </w:r>
      <w:r w:rsidR="00E13112" w:rsidRPr="002F50BD">
        <w:rPr>
          <w:rFonts w:ascii="Verdana" w:hAnsi="Verdana"/>
          <w:sz w:val="20"/>
          <w:lang w:val="pt-BR"/>
        </w:rPr>
        <w:t>i</w:t>
      </w:r>
      <w:r w:rsidR="004756C1" w:rsidRPr="002F50BD">
        <w:rPr>
          <w:rFonts w:ascii="Verdana" w:hAnsi="Verdana"/>
          <w:sz w:val="20"/>
          <w:lang w:val="pt-BR"/>
        </w:rPr>
        <w:t>s</w:t>
      </w:r>
      <w:r w:rsidR="0089298C" w:rsidRPr="002F50BD">
        <w:rPr>
          <w:rFonts w:ascii="Verdana" w:hAnsi="Verdana"/>
          <w:sz w:val="20"/>
          <w:lang w:val="pt-BR"/>
        </w:rPr>
        <w:t xml:space="preserve"> nas </w:t>
      </w:r>
      <w:r w:rsidR="004756C1" w:rsidRPr="002F50BD">
        <w:rPr>
          <w:rFonts w:ascii="Verdana" w:hAnsi="Verdana"/>
          <w:sz w:val="20"/>
          <w:lang w:val="pt-BR"/>
        </w:rPr>
        <w:t>viola</w:t>
      </w:r>
      <w:r w:rsidR="0089298C" w:rsidRPr="002F50BD">
        <w:rPr>
          <w:rFonts w:ascii="Verdana" w:hAnsi="Verdana"/>
          <w:sz w:val="20"/>
          <w:lang w:val="pt-BR"/>
        </w:rPr>
        <w:t>ções dos direito</w:t>
      </w:r>
      <w:r w:rsidR="004756C1" w:rsidRPr="002F50BD">
        <w:rPr>
          <w:rFonts w:ascii="Verdana" w:hAnsi="Verdana"/>
          <w:sz w:val="20"/>
          <w:lang w:val="pt-BR"/>
        </w:rPr>
        <w:t xml:space="preserve">s </w:t>
      </w:r>
      <w:r w:rsidR="0089298C" w:rsidRPr="002F50BD">
        <w:rPr>
          <w:rFonts w:ascii="Verdana" w:hAnsi="Verdana"/>
          <w:sz w:val="20"/>
          <w:lang w:val="pt-BR"/>
        </w:rPr>
        <w:t>econômic</w:t>
      </w:r>
      <w:r w:rsidR="004756C1" w:rsidRPr="002F50BD">
        <w:rPr>
          <w:rFonts w:ascii="Verdana" w:hAnsi="Verdana"/>
          <w:sz w:val="20"/>
          <w:lang w:val="pt-BR"/>
        </w:rPr>
        <w:t xml:space="preserve">os, </w:t>
      </w:r>
      <w:r w:rsidR="0089298C" w:rsidRPr="002F50BD">
        <w:rPr>
          <w:rFonts w:ascii="Verdana" w:hAnsi="Verdana"/>
          <w:sz w:val="20"/>
          <w:lang w:val="pt-BR"/>
        </w:rPr>
        <w:t>sociais e culturais</w:t>
      </w:r>
      <w:r w:rsidR="004756C1" w:rsidRPr="002F50BD">
        <w:rPr>
          <w:rFonts w:ascii="Verdana" w:hAnsi="Verdana"/>
          <w:sz w:val="20"/>
          <w:lang w:val="pt-BR"/>
        </w:rPr>
        <w:t xml:space="preserve">; </w:t>
      </w:r>
      <w:r w:rsidR="0089298C" w:rsidRPr="002F50BD">
        <w:rPr>
          <w:rFonts w:ascii="Verdana" w:hAnsi="Verdana"/>
          <w:sz w:val="20"/>
          <w:lang w:val="pt-BR"/>
        </w:rPr>
        <w:t>assim</w:t>
      </w:r>
      <w:r w:rsidR="004756C1" w:rsidRPr="002F50BD">
        <w:rPr>
          <w:rFonts w:ascii="Verdana" w:hAnsi="Verdana"/>
          <w:sz w:val="20"/>
          <w:lang w:val="pt-BR"/>
        </w:rPr>
        <w:t>,</w:t>
      </w:r>
      <w:r w:rsidR="0089298C" w:rsidRPr="002F50BD">
        <w:rPr>
          <w:rFonts w:ascii="Verdana" w:hAnsi="Verdana"/>
          <w:sz w:val="20"/>
          <w:lang w:val="pt-BR"/>
        </w:rPr>
        <w:t xml:space="preserve"> a Comissão</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s Humanos</w:t>
      </w:r>
      <w:r w:rsidR="00B50425" w:rsidRPr="002F50BD">
        <w:rPr>
          <w:rFonts w:ascii="Verdana" w:hAnsi="Verdana"/>
          <w:sz w:val="20"/>
          <w:lang w:val="pt-BR"/>
        </w:rPr>
        <w:t>,</w:t>
      </w:r>
      <w:r w:rsidR="0089298C" w:rsidRPr="002F50BD">
        <w:rPr>
          <w:rFonts w:ascii="Verdana" w:hAnsi="Verdana"/>
          <w:sz w:val="20"/>
          <w:lang w:val="pt-BR"/>
        </w:rPr>
        <w:t xml:space="preserve"> </w:t>
      </w:r>
      <w:r w:rsidR="00B50425" w:rsidRPr="002F50BD">
        <w:rPr>
          <w:rFonts w:ascii="Verdana" w:hAnsi="Verdana"/>
          <w:sz w:val="20"/>
          <w:lang w:val="pt-BR"/>
        </w:rPr>
        <w:t>n</w:t>
      </w:r>
      <w:r w:rsidR="0089298C" w:rsidRPr="002F50BD">
        <w:rPr>
          <w:rFonts w:ascii="Verdana" w:hAnsi="Verdana"/>
          <w:sz w:val="20"/>
          <w:lang w:val="pt-BR"/>
        </w:rPr>
        <w:t xml:space="preserve">o </w:t>
      </w:r>
      <w:r w:rsidR="00E13112" w:rsidRPr="002F50BD">
        <w:rPr>
          <w:rFonts w:ascii="Verdana" w:hAnsi="Verdana"/>
          <w:sz w:val="20"/>
          <w:lang w:val="pt-BR"/>
        </w:rPr>
        <w:t xml:space="preserve">momento </w:t>
      </w:r>
      <w:r w:rsidR="004756C1" w:rsidRPr="002F50BD">
        <w:rPr>
          <w:rFonts w:ascii="Verdana" w:hAnsi="Verdana"/>
          <w:sz w:val="20"/>
          <w:lang w:val="pt-BR"/>
        </w:rPr>
        <w:t>de re</w:t>
      </w:r>
      <w:r w:rsidR="0089298C" w:rsidRPr="002F50BD">
        <w:rPr>
          <w:rFonts w:ascii="Verdana" w:hAnsi="Verdana"/>
          <w:sz w:val="20"/>
          <w:lang w:val="pt-BR"/>
        </w:rPr>
        <w:t>conhecer</w:t>
      </w:r>
      <w:r w:rsidR="004756C1" w:rsidRPr="002F50BD">
        <w:rPr>
          <w:rFonts w:ascii="Verdana" w:hAnsi="Verdana"/>
          <w:sz w:val="20"/>
          <w:lang w:val="pt-BR"/>
        </w:rPr>
        <w:t xml:space="preserve"> que</w:t>
      </w:r>
      <w:r w:rsidR="0089298C" w:rsidRPr="002F50BD">
        <w:rPr>
          <w:rFonts w:ascii="Verdana" w:hAnsi="Verdana"/>
          <w:sz w:val="20"/>
          <w:lang w:val="pt-BR"/>
        </w:rPr>
        <w:t xml:space="preserve"> a </w:t>
      </w:r>
      <w:r w:rsidR="004756C1" w:rsidRPr="002F50BD">
        <w:rPr>
          <w:rFonts w:ascii="Verdana" w:hAnsi="Verdana"/>
          <w:sz w:val="20"/>
          <w:lang w:val="pt-BR"/>
        </w:rPr>
        <w:t>pobreza atenta contra</w:t>
      </w:r>
      <w:r w:rsidR="0089298C" w:rsidRPr="002F50BD">
        <w:rPr>
          <w:rFonts w:ascii="Verdana" w:hAnsi="Verdana"/>
          <w:sz w:val="20"/>
          <w:lang w:val="pt-BR"/>
        </w:rPr>
        <w:t xml:space="preserve"> o direito</w:t>
      </w:r>
      <w:r w:rsidR="004756C1" w:rsidRPr="002F50BD">
        <w:rPr>
          <w:rFonts w:ascii="Verdana" w:hAnsi="Verdana"/>
          <w:sz w:val="20"/>
          <w:lang w:val="pt-BR"/>
        </w:rPr>
        <w:t xml:space="preserve"> fundamental</w:t>
      </w:r>
      <w:r w:rsidR="0089298C" w:rsidRPr="002F50BD">
        <w:rPr>
          <w:rFonts w:ascii="Verdana" w:hAnsi="Verdana"/>
          <w:sz w:val="20"/>
          <w:lang w:val="pt-BR"/>
        </w:rPr>
        <w:t xml:space="preserve"> à </w:t>
      </w:r>
      <w:r w:rsidR="004756C1" w:rsidRPr="002F50BD">
        <w:rPr>
          <w:rFonts w:ascii="Verdana" w:hAnsi="Verdana"/>
          <w:sz w:val="20"/>
          <w:lang w:val="pt-BR"/>
        </w:rPr>
        <w:t>vida</w:t>
      </w:r>
      <w:r w:rsidR="00B50425" w:rsidRPr="002F50BD">
        <w:rPr>
          <w:rFonts w:ascii="Verdana" w:hAnsi="Verdana"/>
          <w:sz w:val="20"/>
          <w:lang w:val="pt-BR"/>
        </w:rPr>
        <w:t>,</w:t>
      </w:r>
      <w:r w:rsidR="004756C1" w:rsidRPr="002F50BD">
        <w:rPr>
          <w:rFonts w:ascii="Verdana" w:hAnsi="Verdana"/>
          <w:sz w:val="20"/>
          <w:lang w:val="pt-BR"/>
        </w:rPr>
        <w:t xml:space="preserve"> </w:t>
      </w:r>
      <w:r w:rsidR="0089298C" w:rsidRPr="002F50BD">
        <w:rPr>
          <w:rFonts w:ascii="Verdana" w:hAnsi="Verdana"/>
          <w:sz w:val="20"/>
          <w:lang w:val="pt-BR"/>
        </w:rPr>
        <w:t>pediu</w:t>
      </w:r>
      <w:r w:rsidR="004756C1" w:rsidRPr="002F50BD">
        <w:rPr>
          <w:rFonts w:ascii="Verdana" w:hAnsi="Verdana"/>
          <w:sz w:val="20"/>
          <w:lang w:val="pt-BR"/>
        </w:rPr>
        <w:t xml:space="preserve"> que se examin</w:t>
      </w:r>
      <w:r w:rsidR="00E13112" w:rsidRPr="002F50BD">
        <w:rPr>
          <w:rFonts w:ascii="Verdana" w:hAnsi="Verdana"/>
          <w:sz w:val="20"/>
          <w:lang w:val="pt-BR"/>
        </w:rPr>
        <w:t>em</w:t>
      </w:r>
      <w:r w:rsidR="0089298C" w:rsidRPr="002F50BD">
        <w:rPr>
          <w:rFonts w:ascii="Verdana" w:hAnsi="Verdana"/>
          <w:sz w:val="20"/>
          <w:lang w:val="pt-BR"/>
        </w:rPr>
        <w:t xml:space="preserve"> as </w:t>
      </w:r>
      <w:r w:rsidR="004756C1" w:rsidRPr="002F50BD">
        <w:rPr>
          <w:rFonts w:ascii="Verdana" w:hAnsi="Verdana"/>
          <w:sz w:val="20"/>
          <w:lang w:val="pt-BR"/>
        </w:rPr>
        <w:t xml:space="preserve">políticas </w:t>
      </w:r>
      <w:r w:rsidR="0089298C" w:rsidRPr="002F50BD">
        <w:rPr>
          <w:rFonts w:ascii="Verdana" w:hAnsi="Verdana"/>
          <w:sz w:val="20"/>
          <w:lang w:val="pt-BR"/>
        </w:rPr>
        <w:t xml:space="preserve">do </w:t>
      </w:r>
      <w:r w:rsidR="004756C1" w:rsidRPr="002F50BD">
        <w:rPr>
          <w:rFonts w:ascii="Verdana" w:hAnsi="Verdana"/>
          <w:sz w:val="20"/>
          <w:lang w:val="pt-BR"/>
        </w:rPr>
        <w:t>Banco Mundial,</w:t>
      </w:r>
      <w:r w:rsidR="0089298C" w:rsidRPr="002F50BD">
        <w:rPr>
          <w:rFonts w:ascii="Verdana" w:hAnsi="Verdana"/>
          <w:sz w:val="20"/>
          <w:lang w:val="pt-BR"/>
        </w:rPr>
        <w:t xml:space="preserve"> da </w:t>
      </w:r>
      <w:r w:rsidR="004756C1" w:rsidRPr="002F50BD">
        <w:rPr>
          <w:rFonts w:ascii="Verdana" w:hAnsi="Verdana"/>
          <w:sz w:val="20"/>
          <w:lang w:val="pt-BR"/>
        </w:rPr>
        <w:t>Organiza</w:t>
      </w:r>
      <w:r w:rsidR="0089298C" w:rsidRPr="002F50BD">
        <w:rPr>
          <w:rFonts w:ascii="Verdana" w:hAnsi="Verdana"/>
          <w:sz w:val="20"/>
          <w:lang w:val="pt-BR"/>
        </w:rPr>
        <w:t>ção</w:t>
      </w:r>
      <w:r w:rsidR="004756C1" w:rsidRPr="002F50BD">
        <w:rPr>
          <w:rFonts w:ascii="Verdana" w:hAnsi="Verdana"/>
          <w:sz w:val="20"/>
          <w:lang w:val="pt-BR"/>
        </w:rPr>
        <w:t xml:space="preserve"> Mundial de Com</w:t>
      </w:r>
      <w:r w:rsidR="00E13112" w:rsidRPr="002F50BD">
        <w:rPr>
          <w:rFonts w:ascii="Verdana" w:hAnsi="Verdana"/>
          <w:sz w:val="20"/>
          <w:lang w:val="pt-BR"/>
        </w:rPr>
        <w:t>é</w:t>
      </w:r>
      <w:r w:rsidR="004756C1" w:rsidRPr="002F50BD">
        <w:rPr>
          <w:rFonts w:ascii="Verdana" w:hAnsi="Verdana"/>
          <w:sz w:val="20"/>
          <w:lang w:val="pt-BR"/>
        </w:rPr>
        <w:t xml:space="preserve">rcio, </w:t>
      </w:r>
      <w:r w:rsidR="0089298C" w:rsidRPr="002F50BD">
        <w:rPr>
          <w:rFonts w:ascii="Verdana" w:hAnsi="Verdana"/>
          <w:sz w:val="20"/>
          <w:lang w:val="pt-BR"/>
        </w:rPr>
        <w:t xml:space="preserve">do </w:t>
      </w:r>
      <w:r w:rsidR="00E13112" w:rsidRPr="002F50BD">
        <w:rPr>
          <w:rFonts w:ascii="Verdana" w:hAnsi="Verdana"/>
          <w:sz w:val="20"/>
          <w:lang w:val="pt-BR"/>
        </w:rPr>
        <w:t xml:space="preserve">Fundo </w:t>
      </w:r>
      <w:r w:rsidR="004756C1" w:rsidRPr="002F50BD">
        <w:rPr>
          <w:rFonts w:ascii="Verdana" w:hAnsi="Verdana"/>
          <w:sz w:val="20"/>
          <w:lang w:val="pt-BR"/>
        </w:rPr>
        <w:t>Monet</w:t>
      </w:r>
      <w:r w:rsidR="00E13112" w:rsidRPr="002F50BD">
        <w:rPr>
          <w:rFonts w:ascii="Verdana" w:hAnsi="Verdana"/>
          <w:sz w:val="20"/>
          <w:lang w:val="pt-BR"/>
        </w:rPr>
        <w:t>á</w:t>
      </w:r>
      <w:r w:rsidR="004756C1" w:rsidRPr="002F50BD">
        <w:rPr>
          <w:rFonts w:ascii="Verdana" w:hAnsi="Verdana"/>
          <w:sz w:val="20"/>
          <w:lang w:val="pt-BR"/>
        </w:rPr>
        <w:t>rio Internacional</w:t>
      </w:r>
      <w:r w:rsidR="0089298C" w:rsidRPr="002F50BD">
        <w:rPr>
          <w:rFonts w:ascii="Verdana" w:hAnsi="Verdana"/>
          <w:sz w:val="20"/>
          <w:lang w:val="pt-BR"/>
        </w:rPr>
        <w:t xml:space="preserve"> e</w:t>
      </w:r>
      <w:r w:rsidR="004756C1" w:rsidRPr="002F50BD">
        <w:rPr>
          <w:rFonts w:ascii="Verdana" w:hAnsi="Verdana"/>
          <w:sz w:val="20"/>
          <w:lang w:val="pt-BR"/>
        </w:rPr>
        <w:t xml:space="preserve"> de </w:t>
      </w:r>
      <w:r w:rsidR="0089298C" w:rsidRPr="002F50BD">
        <w:rPr>
          <w:rFonts w:ascii="Verdana" w:hAnsi="Verdana"/>
          <w:sz w:val="20"/>
          <w:lang w:val="pt-BR"/>
        </w:rPr>
        <w:t>outros</w:t>
      </w:r>
      <w:r w:rsidR="004756C1" w:rsidRPr="002F50BD">
        <w:rPr>
          <w:rFonts w:ascii="Verdana" w:hAnsi="Verdana"/>
          <w:sz w:val="20"/>
          <w:lang w:val="pt-BR"/>
        </w:rPr>
        <w:t xml:space="preserve"> organismos </w:t>
      </w:r>
      <w:r w:rsidR="0089298C" w:rsidRPr="002F50BD">
        <w:rPr>
          <w:rFonts w:ascii="Verdana" w:hAnsi="Verdana"/>
          <w:sz w:val="20"/>
          <w:lang w:val="pt-BR"/>
        </w:rPr>
        <w:t>internacionais</w:t>
      </w:r>
      <w:r w:rsidR="00E13112" w:rsidRPr="002F50BD">
        <w:rPr>
          <w:rFonts w:ascii="Verdana" w:hAnsi="Verdana"/>
          <w:sz w:val="20"/>
          <w:lang w:val="pt-BR"/>
        </w:rPr>
        <w:t>.</w:t>
      </w:r>
      <w:r w:rsidR="004756C1" w:rsidRPr="002F50BD">
        <w:rPr>
          <w:rStyle w:val="FootnoteReference"/>
          <w:rFonts w:ascii="Verdana" w:hAnsi="Verdana"/>
        </w:rPr>
        <w:footnoteReference w:id="263"/>
      </w:r>
      <w:r w:rsidR="00FE08B7">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szCs w:val="26"/>
          <w:lang w:val="pt-BR"/>
        </w:rPr>
      </w:pPr>
      <w:r w:rsidRPr="002F50BD">
        <w:rPr>
          <w:rFonts w:ascii="Verdana" w:hAnsi="Verdana"/>
          <w:sz w:val="20"/>
          <w:lang w:val="pt-BR"/>
        </w:rPr>
        <w:t>36</w:t>
      </w:r>
      <w:r w:rsidR="004756C1" w:rsidRPr="002F50BD">
        <w:rPr>
          <w:rFonts w:ascii="Verdana" w:hAnsi="Verdana"/>
          <w:sz w:val="20"/>
          <w:lang w:val="pt-BR"/>
        </w:rPr>
        <w:t>.</w:t>
      </w:r>
      <w:r w:rsidR="004756C1" w:rsidRPr="002F50BD">
        <w:rPr>
          <w:rFonts w:ascii="Verdana" w:hAnsi="Verdana"/>
          <w:sz w:val="20"/>
          <w:lang w:val="pt-BR"/>
        </w:rPr>
        <w:tab/>
      </w:r>
      <w:r w:rsidR="00E13112" w:rsidRPr="002F50BD">
        <w:rPr>
          <w:rFonts w:ascii="Verdana" w:hAnsi="Verdana"/>
          <w:sz w:val="20"/>
          <w:lang w:val="pt-BR"/>
        </w:rPr>
        <w:t>N</w:t>
      </w:r>
      <w:r w:rsidR="0089298C" w:rsidRPr="002F50BD">
        <w:rPr>
          <w:rFonts w:ascii="Verdana" w:hAnsi="Verdana"/>
          <w:sz w:val="20"/>
          <w:lang w:val="pt-BR"/>
        </w:rPr>
        <w:t>os avanço</w:t>
      </w:r>
      <w:r w:rsidR="004756C1" w:rsidRPr="002F50BD">
        <w:rPr>
          <w:rFonts w:ascii="Verdana" w:hAnsi="Verdana"/>
          <w:sz w:val="20"/>
          <w:lang w:val="pt-BR"/>
        </w:rPr>
        <w:t xml:space="preserve">s </w:t>
      </w:r>
      <w:r w:rsidR="0089298C" w:rsidRPr="002F50BD">
        <w:rPr>
          <w:rFonts w:ascii="Verdana" w:hAnsi="Verdana"/>
          <w:sz w:val="20"/>
          <w:lang w:val="pt-BR"/>
        </w:rPr>
        <w:t xml:space="preserve">do </w:t>
      </w:r>
      <w:r w:rsidR="00CF451D">
        <w:rPr>
          <w:rFonts w:ascii="Verdana" w:hAnsi="Verdana"/>
          <w:sz w:val="20"/>
          <w:lang w:val="pt-BR"/>
        </w:rPr>
        <w:t>Direito Internacional dos Direitos Humanos</w:t>
      </w:r>
      <w:r w:rsidR="004756C1" w:rsidRPr="002F50BD">
        <w:rPr>
          <w:rFonts w:ascii="Verdana" w:hAnsi="Verdana"/>
          <w:sz w:val="20"/>
          <w:lang w:val="pt-BR"/>
        </w:rPr>
        <w:t xml:space="preserve"> se </w:t>
      </w:r>
      <w:r w:rsidR="0089298C" w:rsidRPr="002F50BD">
        <w:rPr>
          <w:rFonts w:ascii="Verdana" w:hAnsi="Verdana"/>
          <w:sz w:val="20"/>
          <w:lang w:val="pt-BR"/>
        </w:rPr>
        <w:t xml:space="preserve">requer </w:t>
      </w:r>
      <w:r w:rsidR="004756C1" w:rsidRPr="002F50BD">
        <w:rPr>
          <w:rFonts w:ascii="Verdana" w:hAnsi="Verdana"/>
          <w:sz w:val="20"/>
          <w:lang w:val="pt-BR"/>
        </w:rPr>
        <w:t>que</w:t>
      </w:r>
      <w:r w:rsidR="0089298C" w:rsidRPr="002F50BD">
        <w:rPr>
          <w:rFonts w:ascii="Verdana" w:hAnsi="Verdana"/>
          <w:sz w:val="20"/>
          <w:lang w:val="pt-BR"/>
        </w:rPr>
        <w:t xml:space="preserve"> a comunidade </w:t>
      </w:r>
      <w:r w:rsidR="004756C1" w:rsidRPr="002F50BD">
        <w:rPr>
          <w:rFonts w:ascii="Verdana" w:hAnsi="Verdana"/>
          <w:sz w:val="20"/>
          <w:lang w:val="pt-BR"/>
        </w:rPr>
        <w:t xml:space="preserve">internacional </w:t>
      </w:r>
      <w:r w:rsidR="00E13112" w:rsidRPr="002F50BD">
        <w:rPr>
          <w:rFonts w:ascii="Verdana" w:hAnsi="Verdana"/>
          <w:sz w:val="20"/>
          <w:lang w:val="pt-BR"/>
        </w:rPr>
        <w:t xml:space="preserve">assuma </w:t>
      </w:r>
      <w:r w:rsidR="004756C1" w:rsidRPr="002F50BD">
        <w:rPr>
          <w:rFonts w:ascii="Verdana" w:hAnsi="Verdana"/>
          <w:sz w:val="20"/>
          <w:lang w:val="pt-BR"/>
        </w:rPr>
        <w:t>que</w:t>
      </w:r>
      <w:r w:rsidR="0089298C" w:rsidRPr="002F50BD">
        <w:rPr>
          <w:rFonts w:ascii="Verdana" w:hAnsi="Verdana"/>
          <w:sz w:val="20"/>
          <w:lang w:val="pt-BR"/>
        </w:rPr>
        <w:t xml:space="preserve"> a </w:t>
      </w:r>
      <w:r w:rsidR="004756C1" w:rsidRPr="002F50BD">
        <w:rPr>
          <w:rFonts w:ascii="Verdana" w:hAnsi="Verdana"/>
          <w:sz w:val="20"/>
          <w:lang w:val="pt-BR"/>
        </w:rPr>
        <w:t>pobreza</w:t>
      </w:r>
      <w:r w:rsidR="0089298C" w:rsidRPr="002F50BD">
        <w:rPr>
          <w:rFonts w:ascii="Verdana" w:hAnsi="Verdana"/>
          <w:sz w:val="20"/>
          <w:lang w:val="pt-BR"/>
        </w:rPr>
        <w:t>, e</w:t>
      </w:r>
      <w:r w:rsidR="004756C1" w:rsidRPr="002F50BD">
        <w:rPr>
          <w:rFonts w:ascii="Verdana" w:hAnsi="Verdana"/>
          <w:sz w:val="20"/>
          <w:lang w:val="pt-BR"/>
        </w:rPr>
        <w:t xml:space="preserve"> particularmente</w:t>
      </w:r>
      <w:r w:rsidR="0089298C" w:rsidRPr="002F50BD">
        <w:rPr>
          <w:rFonts w:ascii="Verdana" w:hAnsi="Verdana"/>
          <w:sz w:val="20"/>
          <w:lang w:val="pt-BR"/>
        </w:rPr>
        <w:t xml:space="preserve"> a </w:t>
      </w:r>
      <w:r w:rsidR="004756C1" w:rsidRPr="002F50BD">
        <w:rPr>
          <w:rFonts w:ascii="Verdana" w:hAnsi="Verdana"/>
          <w:sz w:val="20"/>
          <w:lang w:val="pt-BR"/>
        </w:rPr>
        <w:t>pobreza extrema,</w:t>
      </w:r>
      <w:r w:rsidR="0089298C" w:rsidRPr="002F50BD">
        <w:rPr>
          <w:rFonts w:ascii="Verdana" w:hAnsi="Verdana"/>
          <w:sz w:val="20"/>
          <w:lang w:val="pt-BR"/>
        </w:rPr>
        <w:t xml:space="preserve"> é uma </w:t>
      </w:r>
      <w:r w:rsidR="004756C1" w:rsidRPr="002F50BD">
        <w:rPr>
          <w:rFonts w:ascii="Verdana" w:hAnsi="Verdana"/>
          <w:sz w:val="20"/>
          <w:lang w:val="pt-BR"/>
        </w:rPr>
        <w:t>forma de nega</w:t>
      </w:r>
      <w:r w:rsidR="0089298C" w:rsidRPr="002F50BD">
        <w:rPr>
          <w:rFonts w:ascii="Verdana" w:hAnsi="Verdana"/>
          <w:sz w:val="20"/>
          <w:lang w:val="pt-BR"/>
        </w:rPr>
        <w:t>ção</w:t>
      </w:r>
      <w:r w:rsidR="004756C1" w:rsidRPr="002F50BD">
        <w:rPr>
          <w:rFonts w:ascii="Verdana" w:hAnsi="Verdana"/>
          <w:sz w:val="20"/>
          <w:lang w:val="pt-BR"/>
        </w:rPr>
        <w:t xml:space="preserve"> de todos</w:t>
      </w:r>
      <w:r w:rsidR="0089298C" w:rsidRPr="002F50BD">
        <w:rPr>
          <w:rFonts w:ascii="Verdana" w:hAnsi="Verdana"/>
          <w:sz w:val="20"/>
          <w:lang w:val="pt-BR"/>
        </w:rPr>
        <w:t xml:space="preserve"> os direito</w:t>
      </w:r>
      <w:r w:rsidR="004756C1" w:rsidRPr="002F50BD">
        <w:rPr>
          <w:rFonts w:ascii="Verdana" w:hAnsi="Verdana"/>
          <w:sz w:val="20"/>
          <w:lang w:val="pt-BR"/>
        </w:rPr>
        <w:t xml:space="preserve">s humanos, </w:t>
      </w:r>
      <w:r w:rsidR="0089298C" w:rsidRPr="002F50BD">
        <w:rPr>
          <w:rFonts w:ascii="Verdana" w:hAnsi="Verdana"/>
          <w:sz w:val="20"/>
          <w:lang w:val="pt-BR"/>
        </w:rPr>
        <w:t>civis</w:t>
      </w:r>
      <w:r w:rsidR="004756C1" w:rsidRPr="002F50BD">
        <w:rPr>
          <w:rFonts w:ascii="Verdana" w:hAnsi="Verdana"/>
          <w:sz w:val="20"/>
          <w:lang w:val="pt-BR"/>
        </w:rPr>
        <w:t xml:space="preserve">, políticos, </w:t>
      </w:r>
      <w:r w:rsidR="0089298C" w:rsidRPr="002F50BD">
        <w:rPr>
          <w:rFonts w:ascii="Verdana" w:hAnsi="Verdana"/>
          <w:sz w:val="20"/>
          <w:lang w:val="pt-BR"/>
        </w:rPr>
        <w:t>econômic</w:t>
      </w:r>
      <w:r w:rsidR="004756C1" w:rsidRPr="002F50BD">
        <w:rPr>
          <w:rFonts w:ascii="Verdana" w:hAnsi="Verdana"/>
          <w:sz w:val="20"/>
          <w:lang w:val="pt-BR"/>
        </w:rPr>
        <w:t>os</w:t>
      </w:r>
      <w:r w:rsidR="0089298C" w:rsidRPr="002F50BD">
        <w:rPr>
          <w:rFonts w:ascii="Verdana" w:hAnsi="Verdana"/>
          <w:sz w:val="20"/>
          <w:lang w:val="pt-BR"/>
        </w:rPr>
        <w:t xml:space="preserve"> e culturais, e</w:t>
      </w:r>
      <w:r w:rsidR="004756C1" w:rsidRPr="002F50BD">
        <w:rPr>
          <w:rFonts w:ascii="Verdana" w:hAnsi="Verdana"/>
          <w:sz w:val="20"/>
          <w:lang w:val="pt-BR"/>
        </w:rPr>
        <w:t xml:space="preserve"> </w:t>
      </w:r>
      <w:r w:rsidR="00E13112" w:rsidRPr="002F50BD">
        <w:rPr>
          <w:rFonts w:ascii="Verdana" w:hAnsi="Verdana"/>
          <w:sz w:val="20"/>
          <w:lang w:val="pt-BR"/>
        </w:rPr>
        <w:t xml:space="preserve">atue em </w:t>
      </w:r>
      <w:r w:rsidR="0089298C" w:rsidRPr="002F50BD">
        <w:rPr>
          <w:rFonts w:ascii="Verdana" w:hAnsi="Verdana"/>
          <w:sz w:val="20"/>
          <w:lang w:val="pt-BR"/>
        </w:rPr>
        <w:t>consequência</w:t>
      </w:r>
      <w:r w:rsidR="004756C1" w:rsidRPr="002F50BD">
        <w:rPr>
          <w:rFonts w:ascii="Verdana" w:hAnsi="Verdana"/>
          <w:sz w:val="20"/>
          <w:lang w:val="pt-BR"/>
        </w:rPr>
        <w:t>, de modo a facilitar</w:t>
      </w:r>
      <w:r w:rsidR="0089298C" w:rsidRPr="002F50BD">
        <w:rPr>
          <w:rFonts w:ascii="Verdana" w:hAnsi="Verdana"/>
          <w:sz w:val="20"/>
          <w:lang w:val="pt-BR"/>
        </w:rPr>
        <w:t xml:space="preserve"> a </w:t>
      </w:r>
      <w:r w:rsidR="004756C1" w:rsidRPr="002F50BD">
        <w:rPr>
          <w:rFonts w:ascii="Verdana" w:hAnsi="Verdana"/>
          <w:sz w:val="20"/>
          <w:lang w:val="pt-BR"/>
        </w:rPr>
        <w:t>identifica</w:t>
      </w:r>
      <w:r w:rsidR="0089298C" w:rsidRPr="002F50BD">
        <w:rPr>
          <w:rFonts w:ascii="Verdana" w:hAnsi="Verdana"/>
          <w:sz w:val="20"/>
          <w:lang w:val="pt-BR"/>
        </w:rPr>
        <w:t>ção</w:t>
      </w:r>
      <w:r w:rsidR="004756C1" w:rsidRPr="002F50BD">
        <w:rPr>
          <w:rFonts w:ascii="Verdana" w:hAnsi="Verdana"/>
          <w:sz w:val="20"/>
          <w:lang w:val="pt-BR"/>
        </w:rPr>
        <w:t xml:space="preserve"> d</w:t>
      </w:r>
      <w:r w:rsidR="00E13112" w:rsidRPr="002F50BD">
        <w:rPr>
          <w:rFonts w:ascii="Verdana" w:hAnsi="Verdana"/>
          <w:sz w:val="20"/>
          <w:lang w:val="pt-BR"/>
        </w:rPr>
        <w:t>os</w:t>
      </w:r>
      <w:r w:rsidR="004756C1" w:rsidRPr="002F50BD">
        <w:rPr>
          <w:rFonts w:ascii="Verdana" w:hAnsi="Verdana"/>
          <w:sz w:val="20"/>
          <w:lang w:val="pt-BR"/>
        </w:rPr>
        <w:t xml:space="preserve"> perpetradores sobre</w:t>
      </w:r>
      <w:r w:rsidR="0089298C" w:rsidRPr="002F50BD">
        <w:rPr>
          <w:rFonts w:ascii="Verdana" w:hAnsi="Verdana"/>
          <w:sz w:val="20"/>
          <w:lang w:val="pt-BR"/>
        </w:rPr>
        <w:t xml:space="preserve"> os quais</w:t>
      </w:r>
      <w:r w:rsidR="00E13112" w:rsidRPr="002F50BD">
        <w:rPr>
          <w:rFonts w:ascii="Verdana" w:hAnsi="Verdana"/>
          <w:sz w:val="20"/>
          <w:lang w:val="pt-BR"/>
        </w:rPr>
        <w:t xml:space="preserve"> recai</w:t>
      </w:r>
      <w:r w:rsidR="0089298C" w:rsidRPr="002F50BD">
        <w:rPr>
          <w:rFonts w:ascii="Verdana" w:hAnsi="Verdana"/>
          <w:sz w:val="20"/>
          <w:lang w:val="pt-BR"/>
        </w:rPr>
        <w:t xml:space="preserve"> a responsabilidade </w:t>
      </w:r>
      <w:r w:rsidR="004756C1" w:rsidRPr="002F50BD">
        <w:rPr>
          <w:rFonts w:ascii="Verdana" w:hAnsi="Verdana"/>
          <w:sz w:val="20"/>
          <w:lang w:val="pt-BR"/>
        </w:rPr>
        <w:t>internacional</w:t>
      </w:r>
      <w:r w:rsidR="00D95E71" w:rsidRPr="002F50BD">
        <w:rPr>
          <w:rFonts w:ascii="Verdana" w:hAnsi="Verdana"/>
          <w:sz w:val="20"/>
          <w:lang w:val="pt-BR"/>
        </w:rPr>
        <w:t xml:space="preserve">. O </w:t>
      </w:r>
      <w:r w:rsidR="004756C1" w:rsidRPr="002F50BD">
        <w:rPr>
          <w:rFonts w:ascii="Verdana" w:hAnsi="Verdana"/>
          <w:sz w:val="20"/>
          <w:lang w:val="pt-BR"/>
        </w:rPr>
        <w:t>sistema de cre</w:t>
      </w:r>
      <w:r w:rsidR="00E13112" w:rsidRPr="002F50BD">
        <w:rPr>
          <w:rFonts w:ascii="Verdana" w:hAnsi="Verdana"/>
          <w:sz w:val="20"/>
          <w:lang w:val="pt-BR"/>
        </w:rPr>
        <w:t>s</w:t>
      </w:r>
      <w:r w:rsidR="004756C1" w:rsidRPr="002F50BD">
        <w:rPr>
          <w:rFonts w:ascii="Verdana" w:hAnsi="Verdana"/>
          <w:sz w:val="20"/>
          <w:lang w:val="pt-BR"/>
        </w:rPr>
        <w:t xml:space="preserve">cimento </w:t>
      </w:r>
      <w:r w:rsidR="0089298C" w:rsidRPr="002F50BD">
        <w:rPr>
          <w:rFonts w:ascii="Verdana" w:hAnsi="Verdana"/>
          <w:sz w:val="20"/>
          <w:lang w:val="pt-BR"/>
        </w:rPr>
        <w:t>econômic</w:t>
      </w:r>
      <w:r w:rsidR="004756C1" w:rsidRPr="002F50BD">
        <w:rPr>
          <w:rFonts w:ascii="Verdana" w:hAnsi="Verdana"/>
          <w:sz w:val="20"/>
          <w:lang w:val="pt-BR"/>
        </w:rPr>
        <w:t>o ligad</w:t>
      </w:r>
      <w:r w:rsidR="00E13112" w:rsidRPr="002F50BD">
        <w:rPr>
          <w:rFonts w:ascii="Verdana" w:hAnsi="Verdana"/>
          <w:sz w:val="20"/>
          <w:lang w:val="pt-BR"/>
        </w:rPr>
        <w:t>o</w:t>
      </w:r>
      <w:r w:rsidR="004756C1" w:rsidRPr="002F50BD">
        <w:rPr>
          <w:rFonts w:ascii="Verdana" w:hAnsi="Verdana"/>
          <w:sz w:val="20"/>
          <w:lang w:val="pt-BR"/>
        </w:rPr>
        <w:t xml:space="preserve"> a</w:t>
      </w:r>
      <w:r w:rsidR="0089298C" w:rsidRPr="002F50BD">
        <w:rPr>
          <w:rFonts w:ascii="Verdana" w:hAnsi="Verdana"/>
          <w:sz w:val="20"/>
          <w:lang w:val="pt-BR"/>
        </w:rPr>
        <w:t xml:space="preserve"> uma </w:t>
      </w:r>
      <w:r w:rsidR="004756C1" w:rsidRPr="002F50BD">
        <w:rPr>
          <w:rFonts w:ascii="Verdana" w:hAnsi="Verdana"/>
          <w:sz w:val="20"/>
          <w:lang w:val="pt-BR"/>
        </w:rPr>
        <w:t>forma de globaliza</w:t>
      </w:r>
      <w:r w:rsidR="0089298C" w:rsidRPr="002F50BD">
        <w:rPr>
          <w:rFonts w:ascii="Verdana" w:hAnsi="Verdana"/>
          <w:sz w:val="20"/>
          <w:lang w:val="pt-BR"/>
        </w:rPr>
        <w:t>ção</w:t>
      </w:r>
      <w:r w:rsidR="004756C1" w:rsidRPr="002F50BD">
        <w:rPr>
          <w:rFonts w:ascii="Verdana" w:hAnsi="Verdana"/>
          <w:sz w:val="20"/>
          <w:lang w:val="pt-BR"/>
        </w:rPr>
        <w:t xml:space="preserve"> que empobrece </w:t>
      </w:r>
      <w:r w:rsidR="0089298C" w:rsidRPr="002F50BD">
        <w:rPr>
          <w:rFonts w:ascii="Verdana" w:hAnsi="Verdana"/>
          <w:sz w:val="20"/>
          <w:lang w:val="pt-BR"/>
        </w:rPr>
        <w:t>crescente</w:t>
      </w:r>
      <w:r w:rsidR="004756C1" w:rsidRPr="002F50BD">
        <w:rPr>
          <w:rFonts w:ascii="Verdana" w:hAnsi="Verdana"/>
          <w:sz w:val="20"/>
          <w:lang w:val="pt-BR"/>
        </w:rPr>
        <w:t xml:space="preserve">s </w:t>
      </w:r>
      <w:r w:rsidR="0089298C" w:rsidRPr="002F50BD">
        <w:rPr>
          <w:rFonts w:ascii="Verdana" w:hAnsi="Verdana"/>
          <w:sz w:val="20"/>
          <w:lang w:val="pt-BR"/>
        </w:rPr>
        <w:t>setores</w:t>
      </w:r>
      <w:r w:rsidR="004756C1" w:rsidRPr="002F50BD">
        <w:rPr>
          <w:rFonts w:ascii="Verdana" w:hAnsi="Verdana"/>
          <w:sz w:val="20"/>
          <w:lang w:val="pt-BR"/>
        </w:rPr>
        <w:t xml:space="preserve"> </w:t>
      </w:r>
      <w:r w:rsidR="0089298C" w:rsidRPr="002F50BD">
        <w:rPr>
          <w:rFonts w:ascii="Verdana" w:hAnsi="Verdana"/>
          <w:sz w:val="20"/>
          <w:lang w:val="pt-BR"/>
        </w:rPr>
        <w:t xml:space="preserve">constitui uma </w:t>
      </w:r>
      <w:r w:rsidR="004756C1" w:rsidRPr="002F50BD">
        <w:rPr>
          <w:rFonts w:ascii="Verdana" w:hAnsi="Verdana"/>
          <w:sz w:val="20"/>
          <w:lang w:val="pt-BR"/>
        </w:rPr>
        <w:t>forma “</w:t>
      </w:r>
      <w:r w:rsidR="0089298C" w:rsidRPr="002F50BD">
        <w:rPr>
          <w:rFonts w:ascii="Verdana" w:hAnsi="Verdana"/>
          <w:sz w:val="20"/>
          <w:lang w:val="pt-BR"/>
        </w:rPr>
        <w:t>massiva</w:t>
      </w:r>
      <w:r w:rsidR="004756C1" w:rsidRPr="002F50BD">
        <w:rPr>
          <w:rFonts w:ascii="Verdana" w:hAnsi="Verdana"/>
          <w:sz w:val="20"/>
          <w:lang w:val="pt-BR"/>
        </w:rPr>
        <w:t>, flagrante</w:t>
      </w:r>
      <w:r w:rsidR="0089298C" w:rsidRPr="002F50BD">
        <w:rPr>
          <w:rFonts w:ascii="Verdana" w:hAnsi="Verdana"/>
          <w:sz w:val="20"/>
          <w:lang w:val="pt-BR"/>
        </w:rPr>
        <w:t xml:space="preserve"> e </w:t>
      </w:r>
      <w:r w:rsidR="004756C1" w:rsidRPr="002F50BD">
        <w:rPr>
          <w:rFonts w:ascii="Verdana" w:hAnsi="Verdana"/>
          <w:sz w:val="20"/>
          <w:lang w:val="pt-BR"/>
        </w:rPr>
        <w:t xml:space="preserve">sistemática </w:t>
      </w:r>
      <w:r w:rsidR="00E13112" w:rsidRPr="002F50BD">
        <w:rPr>
          <w:rFonts w:ascii="Verdana" w:hAnsi="Verdana"/>
          <w:sz w:val="20"/>
          <w:lang w:val="pt-BR"/>
        </w:rPr>
        <w:t xml:space="preserve">de </w:t>
      </w:r>
      <w:r w:rsidR="004756C1" w:rsidRPr="002F50BD">
        <w:rPr>
          <w:rFonts w:ascii="Verdana" w:hAnsi="Verdana"/>
          <w:sz w:val="20"/>
          <w:lang w:val="pt-BR"/>
        </w:rPr>
        <w:t>viola</w:t>
      </w:r>
      <w:r w:rsidR="0089298C" w:rsidRPr="002F50BD">
        <w:rPr>
          <w:rFonts w:ascii="Verdana" w:hAnsi="Verdana"/>
          <w:sz w:val="20"/>
          <w:lang w:val="pt-BR"/>
        </w:rPr>
        <w:t>ção</w:t>
      </w:r>
      <w:r w:rsidR="004756C1" w:rsidRPr="002F50BD">
        <w:rPr>
          <w:rFonts w:ascii="Verdana" w:hAnsi="Verdana"/>
          <w:sz w:val="20"/>
          <w:lang w:val="pt-BR"/>
        </w:rPr>
        <w:t xml:space="preserve"> de </w:t>
      </w:r>
      <w:r w:rsidR="0089298C" w:rsidRPr="002F50BD">
        <w:rPr>
          <w:rFonts w:ascii="Verdana" w:hAnsi="Verdana"/>
          <w:sz w:val="20"/>
          <w:lang w:val="pt-BR"/>
        </w:rPr>
        <w:t>direito</w:t>
      </w:r>
      <w:r w:rsidR="004756C1" w:rsidRPr="002F50BD">
        <w:rPr>
          <w:rFonts w:ascii="Verdana" w:hAnsi="Verdana"/>
          <w:sz w:val="20"/>
          <w:lang w:val="pt-BR"/>
        </w:rPr>
        <w:t>s humanos”</w:t>
      </w:r>
      <w:r w:rsidR="00E13112" w:rsidRPr="002F50BD">
        <w:rPr>
          <w:rFonts w:ascii="Verdana" w:hAnsi="Verdana"/>
          <w:sz w:val="20"/>
          <w:lang w:val="pt-BR"/>
        </w:rPr>
        <w:t>,</w:t>
      </w:r>
      <w:r w:rsidR="004756C1" w:rsidRPr="002F50BD">
        <w:rPr>
          <w:rStyle w:val="FootnoteReference"/>
          <w:rFonts w:ascii="Verdana" w:hAnsi="Verdana"/>
        </w:rPr>
        <w:footnoteReference w:id="264"/>
      </w:r>
      <w:r w:rsidR="0089298C" w:rsidRPr="002F50BD">
        <w:rPr>
          <w:rFonts w:ascii="Verdana" w:hAnsi="Verdana"/>
          <w:sz w:val="20"/>
          <w:lang w:val="pt-BR"/>
        </w:rPr>
        <w:t xml:space="preserve"> em um </w:t>
      </w:r>
      <w:r w:rsidR="004756C1" w:rsidRPr="002F50BD">
        <w:rPr>
          <w:rFonts w:ascii="Verdana" w:hAnsi="Verdana"/>
          <w:sz w:val="20"/>
          <w:lang w:val="pt-BR"/>
        </w:rPr>
        <w:t xml:space="preserve">mundo </w:t>
      </w:r>
      <w:r w:rsidR="0089298C" w:rsidRPr="002F50BD">
        <w:rPr>
          <w:rFonts w:ascii="Verdana" w:hAnsi="Verdana"/>
          <w:sz w:val="20"/>
          <w:lang w:val="pt-BR"/>
        </w:rPr>
        <w:t>crescente</w:t>
      </w:r>
      <w:r w:rsidR="004756C1" w:rsidRPr="002F50BD">
        <w:rPr>
          <w:rFonts w:ascii="Verdana" w:hAnsi="Verdana"/>
          <w:sz w:val="20"/>
          <w:lang w:val="pt-BR"/>
        </w:rPr>
        <w:t>mente interde</w:t>
      </w:r>
      <w:r w:rsidR="0089298C" w:rsidRPr="002F50BD">
        <w:rPr>
          <w:rFonts w:ascii="Verdana" w:hAnsi="Verdana"/>
          <w:sz w:val="20"/>
          <w:lang w:val="pt-BR"/>
        </w:rPr>
        <w:t>pendente</w:t>
      </w:r>
      <w:r w:rsidR="004076AD" w:rsidRPr="002F50BD">
        <w:rPr>
          <w:rFonts w:ascii="Verdana" w:hAnsi="Verdana"/>
          <w:sz w:val="20"/>
          <w:lang w:val="pt-BR"/>
        </w:rPr>
        <w:t>. Nesta</w:t>
      </w:r>
      <w:r w:rsidR="0089298C" w:rsidRPr="002F50BD">
        <w:rPr>
          <w:rFonts w:ascii="Verdana" w:hAnsi="Verdana"/>
          <w:sz w:val="20"/>
          <w:lang w:val="pt-BR"/>
        </w:rPr>
        <w:t xml:space="preserve"> </w:t>
      </w:r>
      <w:r w:rsidR="004756C1" w:rsidRPr="002F50BD">
        <w:rPr>
          <w:rFonts w:ascii="Verdana" w:hAnsi="Verdana"/>
          <w:sz w:val="20"/>
          <w:lang w:val="pt-BR"/>
        </w:rPr>
        <w:t>interpreta</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 xml:space="preserve">do direito à </w:t>
      </w:r>
      <w:r w:rsidR="004756C1" w:rsidRPr="002F50BD">
        <w:rPr>
          <w:rFonts w:ascii="Verdana" w:hAnsi="Verdana"/>
          <w:sz w:val="20"/>
          <w:lang w:val="pt-BR"/>
        </w:rPr>
        <w:t xml:space="preserve">vida que </w:t>
      </w:r>
      <w:r w:rsidR="0089298C" w:rsidRPr="002F50BD">
        <w:rPr>
          <w:rFonts w:ascii="Verdana" w:hAnsi="Verdana"/>
          <w:sz w:val="20"/>
          <w:lang w:val="pt-BR"/>
        </w:rPr>
        <w:t>acompanh</w:t>
      </w:r>
      <w:r w:rsidR="004756C1" w:rsidRPr="002F50BD">
        <w:rPr>
          <w:rFonts w:ascii="Verdana" w:hAnsi="Verdana"/>
          <w:sz w:val="20"/>
          <w:lang w:val="pt-BR"/>
        </w:rPr>
        <w:t>e</w:t>
      </w:r>
      <w:r w:rsidR="0089298C" w:rsidRPr="002F50BD">
        <w:rPr>
          <w:rFonts w:ascii="Verdana" w:hAnsi="Verdana"/>
          <w:sz w:val="20"/>
          <w:lang w:val="pt-BR"/>
        </w:rPr>
        <w:t xml:space="preserve"> a </w:t>
      </w:r>
      <w:r w:rsidR="004756C1" w:rsidRPr="002F50BD">
        <w:rPr>
          <w:rFonts w:ascii="Verdana" w:hAnsi="Verdana"/>
          <w:sz w:val="20"/>
          <w:lang w:val="pt-BR"/>
        </w:rPr>
        <w:t>evolu</w:t>
      </w:r>
      <w:r w:rsidR="0089298C" w:rsidRPr="002F50BD">
        <w:rPr>
          <w:rFonts w:ascii="Verdana" w:hAnsi="Verdana"/>
          <w:sz w:val="20"/>
          <w:lang w:val="pt-BR"/>
        </w:rPr>
        <w:t>ção dos tempo</w:t>
      </w:r>
      <w:r w:rsidR="004756C1" w:rsidRPr="002F50BD">
        <w:rPr>
          <w:rFonts w:ascii="Verdana" w:hAnsi="Verdana"/>
          <w:sz w:val="20"/>
          <w:lang w:val="pt-BR"/>
        </w:rPr>
        <w:t>s</w:t>
      </w:r>
      <w:r w:rsidR="0089298C" w:rsidRPr="002F50BD">
        <w:rPr>
          <w:rFonts w:ascii="Verdana" w:hAnsi="Verdana"/>
          <w:sz w:val="20"/>
          <w:lang w:val="pt-BR"/>
        </w:rPr>
        <w:t xml:space="preserve"> e as </w:t>
      </w:r>
      <w:r w:rsidR="004756C1" w:rsidRPr="002F50BD">
        <w:rPr>
          <w:rFonts w:ascii="Verdana" w:hAnsi="Verdana"/>
          <w:sz w:val="20"/>
          <w:lang w:val="pt-BR"/>
        </w:rPr>
        <w:t>condi</w:t>
      </w:r>
      <w:r w:rsidR="0089298C" w:rsidRPr="002F50BD">
        <w:rPr>
          <w:rFonts w:ascii="Verdana" w:hAnsi="Verdana"/>
          <w:sz w:val="20"/>
          <w:lang w:val="pt-BR"/>
        </w:rPr>
        <w:t>ções</w:t>
      </w:r>
      <w:r w:rsidR="004756C1" w:rsidRPr="002F50BD">
        <w:rPr>
          <w:rFonts w:ascii="Verdana" w:hAnsi="Verdana"/>
          <w:sz w:val="20"/>
          <w:lang w:val="pt-BR"/>
        </w:rPr>
        <w:t xml:space="preserve"> de vida </w:t>
      </w:r>
      <w:r w:rsidR="0089298C" w:rsidRPr="002F50BD">
        <w:rPr>
          <w:rFonts w:ascii="Verdana" w:hAnsi="Verdana"/>
          <w:sz w:val="20"/>
          <w:lang w:val="pt-BR"/>
        </w:rPr>
        <w:t>atuais deve</w:t>
      </w:r>
      <w:r w:rsidR="00B50425" w:rsidRPr="002F50BD">
        <w:rPr>
          <w:rFonts w:ascii="Verdana" w:hAnsi="Verdana"/>
          <w:sz w:val="20"/>
          <w:lang w:val="pt-BR"/>
        </w:rPr>
        <w:t>-se</w:t>
      </w:r>
      <w:r w:rsidR="0089298C" w:rsidRPr="002F50BD">
        <w:rPr>
          <w:rFonts w:ascii="Verdana" w:hAnsi="Verdana"/>
          <w:sz w:val="20"/>
          <w:lang w:val="pt-BR"/>
        </w:rPr>
        <w:t xml:space="preserve"> </w:t>
      </w:r>
      <w:r w:rsidR="004756C1" w:rsidRPr="002F50BD">
        <w:rPr>
          <w:rFonts w:ascii="Verdana" w:hAnsi="Verdana"/>
          <w:sz w:val="20"/>
          <w:lang w:val="pt-BR"/>
        </w:rPr>
        <w:t xml:space="preserve">prestar </w:t>
      </w:r>
      <w:r w:rsidR="0089298C" w:rsidRPr="002F50BD">
        <w:rPr>
          <w:rFonts w:ascii="Verdana" w:hAnsi="Verdana"/>
          <w:sz w:val="20"/>
          <w:lang w:val="pt-BR"/>
        </w:rPr>
        <w:t>atenção</w:t>
      </w:r>
      <w:r w:rsidR="004756C1" w:rsidRPr="002F50BD">
        <w:rPr>
          <w:rFonts w:ascii="Verdana" w:hAnsi="Verdana"/>
          <w:sz w:val="20"/>
          <w:lang w:val="pt-BR"/>
        </w:rPr>
        <w:t xml:space="preserve"> </w:t>
      </w:r>
      <w:r w:rsidR="00B50425" w:rsidRPr="002F50BD">
        <w:rPr>
          <w:rFonts w:ascii="Verdana" w:hAnsi="Verdana"/>
          <w:sz w:val="20"/>
          <w:lang w:val="pt-BR"/>
        </w:rPr>
        <w:t>n</w:t>
      </w:r>
      <w:r w:rsidR="004756C1" w:rsidRPr="002F50BD">
        <w:rPr>
          <w:rFonts w:ascii="Verdana" w:hAnsi="Verdana"/>
          <w:sz w:val="20"/>
          <w:lang w:val="pt-BR"/>
        </w:rPr>
        <w:t>a</w:t>
      </w:r>
      <w:r w:rsidR="00B50425" w:rsidRPr="002F50BD">
        <w:rPr>
          <w:rFonts w:ascii="Verdana" w:hAnsi="Verdana"/>
          <w:sz w:val="20"/>
          <w:lang w:val="pt-BR"/>
        </w:rPr>
        <w:t>s</w:t>
      </w:r>
      <w:r w:rsidR="004756C1" w:rsidRPr="002F50BD">
        <w:rPr>
          <w:rFonts w:ascii="Verdana" w:hAnsi="Verdana"/>
          <w:sz w:val="20"/>
          <w:lang w:val="pt-BR"/>
        </w:rPr>
        <w:t xml:space="preserve"> causas </w:t>
      </w:r>
      <w:r w:rsidR="0089298C" w:rsidRPr="002F50BD">
        <w:rPr>
          <w:rFonts w:ascii="Verdana" w:hAnsi="Verdana"/>
          <w:sz w:val="20"/>
          <w:lang w:val="pt-BR"/>
        </w:rPr>
        <w:t>produto</w:t>
      </w:r>
      <w:r w:rsidR="004756C1" w:rsidRPr="002F50BD">
        <w:rPr>
          <w:rFonts w:ascii="Verdana" w:hAnsi="Verdana"/>
          <w:sz w:val="20"/>
          <w:lang w:val="pt-BR"/>
        </w:rPr>
        <w:t>ras de pobreza extrema</w:t>
      </w:r>
      <w:r w:rsidR="0089298C" w:rsidRPr="002F50BD">
        <w:rPr>
          <w:rFonts w:ascii="Verdana" w:hAnsi="Verdana"/>
          <w:sz w:val="20"/>
          <w:lang w:val="pt-BR"/>
        </w:rPr>
        <w:t xml:space="preserve"> e </w:t>
      </w:r>
      <w:r w:rsidR="00B50425" w:rsidRPr="002F50BD">
        <w:rPr>
          <w:rFonts w:ascii="Verdana" w:hAnsi="Verdana"/>
          <w:sz w:val="20"/>
          <w:lang w:val="pt-BR"/>
        </w:rPr>
        <w:lastRenderedPageBreak/>
        <w:t>n</w:t>
      </w:r>
      <w:r w:rsidR="0089298C" w:rsidRPr="002F50BD">
        <w:rPr>
          <w:rFonts w:ascii="Verdana" w:hAnsi="Verdana"/>
          <w:sz w:val="20"/>
          <w:lang w:val="pt-BR"/>
        </w:rPr>
        <w:t xml:space="preserve">os </w:t>
      </w:r>
      <w:r w:rsidR="004756C1" w:rsidRPr="002F50BD">
        <w:rPr>
          <w:rFonts w:ascii="Verdana" w:hAnsi="Verdana"/>
          <w:sz w:val="20"/>
          <w:lang w:val="pt-BR"/>
        </w:rPr>
        <w:t>perpetradores que</w:t>
      </w:r>
      <w:r w:rsidR="0089298C" w:rsidRPr="002F50BD">
        <w:rPr>
          <w:rFonts w:ascii="Verdana" w:hAnsi="Verdana"/>
          <w:sz w:val="20"/>
          <w:lang w:val="pt-BR"/>
        </w:rPr>
        <w:t xml:space="preserve"> estão </w:t>
      </w:r>
      <w:r w:rsidR="00E13112" w:rsidRPr="002F50BD">
        <w:rPr>
          <w:rFonts w:ascii="Verdana" w:hAnsi="Verdana"/>
          <w:sz w:val="20"/>
          <w:lang w:val="pt-BR"/>
        </w:rPr>
        <w:t>a</w:t>
      </w:r>
      <w:r w:rsidR="004756C1" w:rsidRPr="002F50BD">
        <w:rPr>
          <w:rFonts w:ascii="Verdana" w:hAnsi="Verdana"/>
          <w:sz w:val="20"/>
          <w:lang w:val="pt-BR"/>
        </w:rPr>
        <w:t xml:space="preserve">trás </w:t>
      </w:r>
      <w:r w:rsidR="004076AD" w:rsidRPr="002F50BD">
        <w:rPr>
          <w:rFonts w:ascii="Verdana" w:hAnsi="Verdana"/>
          <w:sz w:val="20"/>
          <w:lang w:val="pt-BR"/>
        </w:rPr>
        <w:t>delas. Nesta</w:t>
      </w:r>
      <w:r w:rsidR="0089298C" w:rsidRPr="002F50BD">
        <w:rPr>
          <w:rFonts w:ascii="Verdana" w:hAnsi="Verdana"/>
          <w:sz w:val="20"/>
          <w:lang w:val="pt-BR"/>
        </w:rPr>
        <w:t xml:space="preserve"> </w:t>
      </w:r>
      <w:r w:rsidR="004756C1" w:rsidRPr="002F50BD">
        <w:rPr>
          <w:rFonts w:ascii="Verdana" w:hAnsi="Verdana"/>
          <w:sz w:val="20"/>
          <w:lang w:val="pt-BR"/>
        </w:rPr>
        <w:t>perspectiva</w:t>
      </w:r>
      <w:r w:rsidR="00B50425" w:rsidRPr="002F50BD">
        <w:rPr>
          <w:rFonts w:ascii="Verdana" w:hAnsi="Verdana"/>
          <w:sz w:val="20"/>
          <w:lang w:val="pt-BR"/>
        </w:rPr>
        <w:t>,</w:t>
      </w:r>
      <w:r w:rsidR="004756C1" w:rsidRPr="002F50BD">
        <w:rPr>
          <w:rFonts w:ascii="Verdana" w:hAnsi="Verdana"/>
          <w:sz w:val="20"/>
          <w:lang w:val="pt-BR"/>
        </w:rPr>
        <w:t xml:space="preserve"> n</w:t>
      </w:r>
      <w:r w:rsidR="00E13112" w:rsidRPr="002F50BD">
        <w:rPr>
          <w:rFonts w:ascii="Verdana" w:hAnsi="Verdana"/>
          <w:sz w:val="20"/>
          <w:lang w:val="pt-BR"/>
        </w:rPr>
        <w:t>ã</w:t>
      </w:r>
      <w:r w:rsidR="004756C1" w:rsidRPr="002F50BD">
        <w:rPr>
          <w:rFonts w:ascii="Verdana" w:hAnsi="Verdana"/>
          <w:sz w:val="20"/>
          <w:lang w:val="pt-BR"/>
        </w:rPr>
        <w:t>o ces</w:t>
      </w:r>
      <w:r w:rsidR="00E13112" w:rsidRPr="002F50BD">
        <w:rPr>
          <w:rFonts w:ascii="Verdana" w:hAnsi="Verdana"/>
          <w:sz w:val="20"/>
          <w:lang w:val="pt-BR"/>
        </w:rPr>
        <w:t xml:space="preserve">sam </w:t>
      </w:r>
      <w:r w:rsidR="0089298C" w:rsidRPr="002F50BD">
        <w:rPr>
          <w:rFonts w:ascii="Verdana" w:hAnsi="Verdana"/>
          <w:sz w:val="20"/>
          <w:lang w:val="pt-BR"/>
        </w:rPr>
        <w:t xml:space="preserve">as </w:t>
      </w:r>
      <w:r w:rsidR="004756C1" w:rsidRPr="002F50BD">
        <w:rPr>
          <w:rFonts w:ascii="Verdana" w:hAnsi="Verdana"/>
          <w:sz w:val="20"/>
          <w:lang w:val="pt-BR"/>
        </w:rPr>
        <w:t xml:space="preserve">responsabilidades </w:t>
      </w:r>
      <w:r w:rsidR="0089298C" w:rsidRPr="002F50BD">
        <w:rPr>
          <w:rFonts w:ascii="Verdana" w:hAnsi="Verdana"/>
          <w:sz w:val="20"/>
          <w:lang w:val="pt-BR"/>
        </w:rPr>
        <w:t>internacionais</w:t>
      </w:r>
      <w:r w:rsidR="004756C1" w:rsidRPr="002F50BD">
        <w:rPr>
          <w:rFonts w:ascii="Verdana" w:hAnsi="Verdana"/>
          <w:sz w:val="20"/>
          <w:lang w:val="pt-BR"/>
        </w:rPr>
        <w:t xml:space="preserve"> </w:t>
      </w:r>
      <w:r w:rsidR="0089298C" w:rsidRPr="002F50BD">
        <w:rPr>
          <w:rFonts w:ascii="Verdana" w:hAnsi="Verdana"/>
          <w:sz w:val="20"/>
          <w:lang w:val="pt-BR"/>
        </w:rPr>
        <w:t xml:space="preserve">do </w:t>
      </w:r>
      <w:r w:rsidR="004756C1" w:rsidRPr="002F50BD">
        <w:rPr>
          <w:rFonts w:ascii="Verdana" w:hAnsi="Verdana"/>
          <w:sz w:val="20"/>
          <w:lang w:val="pt-BR"/>
        </w:rPr>
        <w:t>Estado d</w:t>
      </w:r>
      <w:r w:rsidR="00E13112" w:rsidRPr="002F50BD">
        <w:rPr>
          <w:rFonts w:ascii="Verdana" w:hAnsi="Verdana"/>
          <w:sz w:val="20"/>
          <w:lang w:val="pt-BR"/>
        </w:rPr>
        <w:t>o</w:t>
      </w:r>
      <w:r w:rsidR="004756C1" w:rsidRPr="002F50BD">
        <w:rPr>
          <w:rFonts w:ascii="Verdana" w:hAnsi="Verdana"/>
          <w:sz w:val="20"/>
          <w:lang w:val="pt-BR"/>
        </w:rPr>
        <w:t xml:space="preserve"> </w:t>
      </w:r>
      <w:r w:rsidR="0089298C" w:rsidRPr="002F50BD">
        <w:rPr>
          <w:rFonts w:ascii="Verdana" w:hAnsi="Verdana"/>
          <w:sz w:val="20"/>
          <w:lang w:val="pt-BR"/>
        </w:rPr>
        <w:t>Paraguai e dos outros</w:t>
      </w:r>
      <w:r w:rsidR="00E13112" w:rsidRPr="002F50BD">
        <w:rPr>
          <w:rFonts w:ascii="Verdana" w:hAnsi="Verdana"/>
          <w:sz w:val="20"/>
          <w:lang w:val="pt-BR"/>
        </w:rPr>
        <w:t xml:space="preserve"> Estados Signatá</w:t>
      </w:r>
      <w:r w:rsidR="004756C1" w:rsidRPr="002F50BD">
        <w:rPr>
          <w:rFonts w:ascii="Verdana" w:hAnsi="Verdana"/>
          <w:sz w:val="20"/>
          <w:lang w:val="pt-BR"/>
        </w:rPr>
        <w:t>rios</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 </w:t>
      </w:r>
      <w:r w:rsidR="0089298C" w:rsidRPr="002F50BD">
        <w:rPr>
          <w:rFonts w:ascii="Verdana" w:hAnsi="Verdana"/>
          <w:sz w:val="20"/>
          <w:lang w:val="pt-BR"/>
        </w:rPr>
        <w:t>mas as mesm</w:t>
      </w:r>
      <w:r w:rsidR="004756C1" w:rsidRPr="002F50BD">
        <w:rPr>
          <w:rFonts w:ascii="Verdana" w:hAnsi="Verdana"/>
          <w:sz w:val="20"/>
          <w:lang w:val="pt-BR"/>
        </w:rPr>
        <w:t>as</w:t>
      </w:r>
      <w:r w:rsidR="0089298C" w:rsidRPr="002F50BD">
        <w:rPr>
          <w:rFonts w:ascii="Verdana" w:hAnsi="Verdana"/>
          <w:sz w:val="20"/>
          <w:lang w:val="pt-BR"/>
        </w:rPr>
        <w:t xml:space="preserve"> são </w:t>
      </w:r>
      <w:r w:rsidR="004756C1" w:rsidRPr="002F50BD">
        <w:rPr>
          <w:rFonts w:ascii="Verdana" w:hAnsi="Verdana"/>
          <w:sz w:val="20"/>
          <w:lang w:val="pt-BR"/>
        </w:rPr>
        <w:t>comparti</w:t>
      </w:r>
      <w:r w:rsidR="00E13112" w:rsidRPr="002F50BD">
        <w:rPr>
          <w:rFonts w:ascii="Verdana" w:hAnsi="Verdana"/>
          <w:sz w:val="20"/>
          <w:lang w:val="pt-BR"/>
        </w:rPr>
        <w:t>lha</w:t>
      </w:r>
      <w:r w:rsidR="004756C1" w:rsidRPr="002F50BD">
        <w:rPr>
          <w:rFonts w:ascii="Verdana" w:hAnsi="Verdana"/>
          <w:sz w:val="20"/>
          <w:lang w:val="pt-BR"/>
        </w:rPr>
        <w:t>das</w:t>
      </w:r>
      <w:r w:rsidR="0089298C" w:rsidRPr="002F50BD">
        <w:rPr>
          <w:rFonts w:ascii="Verdana" w:hAnsi="Verdana"/>
          <w:sz w:val="20"/>
          <w:lang w:val="pt-BR"/>
        </w:rPr>
        <w:t xml:space="preserve"> com a Comunidade </w:t>
      </w:r>
      <w:r w:rsidR="004756C1" w:rsidRPr="002F50BD">
        <w:rPr>
          <w:rFonts w:ascii="Verdana" w:hAnsi="Verdana"/>
          <w:sz w:val="20"/>
          <w:lang w:val="pt-BR"/>
        </w:rPr>
        <w:t xml:space="preserve">Internacional que </w:t>
      </w:r>
      <w:r w:rsidR="0089298C" w:rsidRPr="002F50BD">
        <w:rPr>
          <w:rFonts w:ascii="Verdana" w:hAnsi="Verdana"/>
          <w:sz w:val="20"/>
          <w:lang w:val="pt-BR"/>
        </w:rPr>
        <w:t>requer novo</w:t>
      </w:r>
      <w:r w:rsidR="004756C1" w:rsidRPr="002F50BD">
        <w:rPr>
          <w:rFonts w:ascii="Verdana" w:hAnsi="Verdana"/>
          <w:sz w:val="20"/>
          <w:lang w:val="pt-BR"/>
        </w:rPr>
        <w:t>s instrumentos</w:t>
      </w:r>
      <w:r w:rsidR="004756C1" w:rsidRPr="002F50BD">
        <w:rPr>
          <w:rFonts w:ascii="Verdana" w:hAnsi="Verdana"/>
          <w:sz w:val="20"/>
          <w:szCs w:val="26"/>
          <w:lang w:val="pt-BR"/>
        </w:rPr>
        <w:t>.</w:t>
      </w:r>
    </w:p>
    <w:p w:rsidR="004756C1" w:rsidRPr="002F50BD" w:rsidRDefault="004756C1">
      <w:pPr>
        <w:jc w:val="both"/>
        <w:rPr>
          <w:rFonts w:ascii="Verdana" w:hAnsi="Verdana"/>
          <w:sz w:val="20"/>
          <w:szCs w:val="26"/>
          <w:lang w:val="pt-BR"/>
        </w:rPr>
      </w:pPr>
    </w:p>
    <w:p w:rsidR="004756C1" w:rsidRPr="002F50BD" w:rsidRDefault="00063B47">
      <w:pPr>
        <w:jc w:val="both"/>
        <w:rPr>
          <w:rFonts w:ascii="Verdana" w:hAnsi="Verdana"/>
          <w:sz w:val="20"/>
          <w:lang w:val="pt-BR"/>
        </w:rPr>
      </w:pPr>
      <w:r w:rsidRPr="002F50BD">
        <w:rPr>
          <w:rFonts w:ascii="Verdana" w:hAnsi="Verdana"/>
          <w:sz w:val="20"/>
          <w:szCs w:val="26"/>
          <w:lang w:val="pt-BR"/>
        </w:rPr>
        <w:t>37</w:t>
      </w:r>
      <w:r w:rsidR="004756C1" w:rsidRPr="002F50BD">
        <w:rPr>
          <w:rFonts w:ascii="Verdana" w:hAnsi="Verdana"/>
          <w:sz w:val="20"/>
          <w:szCs w:val="26"/>
          <w:lang w:val="pt-BR"/>
        </w:rPr>
        <w:t>.</w:t>
      </w:r>
      <w:r w:rsidR="004756C1" w:rsidRPr="002F50BD">
        <w:rPr>
          <w:rFonts w:ascii="Verdana" w:hAnsi="Verdana"/>
          <w:sz w:val="20"/>
          <w:szCs w:val="26"/>
          <w:lang w:val="pt-BR"/>
        </w:rPr>
        <w:tab/>
      </w:r>
      <w:r w:rsidR="004756C1" w:rsidRPr="002F50BD">
        <w:rPr>
          <w:rFonts w:ascii="Verdana" w:hAnsi="Verdana"/>
          <w:sz w:val="20"/>
          <w:lang w:val="pt-BR"/>
        </w:rPr>
        <w:t>De</w:t>
      </w:r>
      <w:r w:rsidR="00E13112" w:rsidRPr="002F50BD">
        <w:rPr>
          <w:rFonts w:ascii="Verdana" w:hAnsi="Verdana"/>
          <w:sz w:val="20"/>
          <w:lang w:val="pt-BR"/>
        </w:rPr>
        <w:t xml:space="preserve">ve ser levado em consideração, além das </w:t>
      </w:r>
      <w:r w:rsidR="004756C1" w:rsidRPr="002F50BD">
        <w:rPr>
          <w:rFonts w:ascii="Verdana" w:hAnsi="Verdana"/>
          <w:sz w:val="20"/>
          <w:lang w:val="pt-BR"/>
        </w:rPr>
        <w:t>considera</w:t>
      </w:r>
      <w:r w:rsidR="0089298C" w:rsidRPr="002F50BD">
        <w:rPr>
          <w:rFonts w:ascii="Verdana" w:hAnsi="Verdana"/>
          <w:sz w:val="20"/>
          <w:lang w:val="pt-BR"/>
        </w:rPr>
        <w:t>ções</w:t>
      </w:r>
      <w:r w:rsidR="004756C1" w:rsidRPr="002F50BD">
        <w:rPr>
          <w:rFonts w:ascii="Verdana" w:hAnsi="Verdana"/>
          <w:sz w:val="20"/>
          <w:lang w:val="pt-BR"/>
        </w:rPr>
        <w:t xml:space="preserve"> </w:t>
      </w:r>
      <w:r w:rsidR="00E13112" w:rsidRPr="002F50BD">
        <w:rPr>
          <w:rFonts w:ascii="Verdana" w:hAnsi="Verdana"/>
          <w:sz w:val="20"/>
          <w:lang w:val="pt-BR"/>
        </w:rPr>
        <w:t xml:space="preserve">propostas </w:t>
      </w:r>
      <w:r w:rsidR="0089298C" w:rsidRPr="002F50BD">
        <w:rPr>
          <w:rFonts w:ascii="Verdana" w:hAnsi="Verdana"/>
          <w:sz w:val="20"/>
          <w:lang w:val="pt-BR"/>
        </w:rPr>
        <w:t>nos parágrafo</w:t>
      </w:r>
      <w:r w:rsidR="004756C1" w:rsidRPr="002F50BD">
        <w:rPr>
          <w:rFonts w:ascii="Verdana" w:hAnsi="Verdana"/>
          <w:sz w:val="20"/>
          <w:lang w:val="pt-BR"/>
        </w:rPr>
        <w:t>s precedentes, que</w:t>
      </w:r>
      <w:r w:rsidR="0089298C" w:rsidRPr="002F50BD">
        <w:rPr>
          <w:rFonts w:ascii="Verdana" w:hAnsi="Verdana"/>
          <w:sz w:val="20"/>
          <w:lang w:val="pt-BR"/>
        </w:rPr>
        <w:t xml:space="preserve"> o artigo</w:t>
      </w:r>
      <w:r w:rsidR="004756C1" w:rsidRPr="002F50BD">
        <w:rPr>
          <w:rFonts w:ascii="Verdana" w:hAnsi="Verdana"/>
          <w:sz w:val="20"/>
          <w:lang w:val="pt-BR"/>
        </w:rPr>
        <w:t xml:space="preserve"> </w:t>
      </w:r>
      <w:r w:rsidRPr="002F50BD">
        <w:rPr>
          <w:rFonts w:ascii="Verdana" w:hAnsi="Verdana"/>
          <w:sz w:val="20"/>
          <w:lang w:val="pt-BR"/>
        </w:rPr>
        <w:t>46</w:t>
      </w:r>
      <w:r w:rsidR="004756C1" w:rsidRPr="002F50BD">
        <w:rPr>
          <w:rFonts w:ascii="Verdana" w:hAnsi="Verdana"/>
          <w:sz w:val="20"/>
          <w:lang w:val="pt-BR"/>
        </w:rPr>
        <w:t>.</w:t>
      </w:r>
      <w:r w:rsidRPr="002F50BD">
        <w:rPr>
          <w:rFonts w:ascii="Verdana" w:hAnsi="Verdana"/>
          <w:sz w:val="20"/>
          <w:lang w:val="pt-BR"/>
        </w:rPr>
        <w:t>1</w:t>
      </w:r>
      <w:r w:rsidR="004756C1" w:rsidRPr="002F50BD">
        <w:rPr>
          <w:rFonts w:ascii="Verdana" w:hAnsi="Verdana"/>
          <w:sz w:val="20"/>
          <w:lang w:val="pt-BR"/>
        </w:rPr>
        <w:t>.a</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w:t>
      </w:r>
      <w:r w:rsidR="0089298C" w:rsidRPr="002F50BD">
        <w:rPr>
          <w:rFonts w:ascii="Verdana" w:hAnsi="Verdana"/>
          <w:sz w:val="20"/>
          <w:lang w:val="pt-BR"/>
        </w:rPr>
        <w:t>estabelece</w:t>
      </w:r>
      <w:r w:rsidR="004756C1" w:rsidRPr="002F50BD">
        <w:rPr>
          <w:rFonts w:ascii="Verdana" w:hAnsi="Verdana"/>
          <w:sz w:val="20"/>
          <w:lang w:val="pt-BR"/>
        </w:rPr>
        <w:t xml:space="preserve"> que para que</w:t>
      </w:r>
      <w:r w:rsidR="0089298C" w:rsidRPr="002F50BD">
        <w:rPr>
          <w:rFonts w:ascii="Verdana" w:hAnsi="Verdana"/>
          <w:sz w:val="20"/>
          <w:lang w:val="pt-BR"/>
        </w:rPr>
        <w:t xml:space="preserve"> uma </w:t>
      </w:r>
      <w:r w:rsidR="004756C1" w:rsidRPr="002F50BD">
        <w:rPr>
          <w:rFonts w:ascii="Verdana" w:hAnsi="Verdana"/>
          <w:sz w:val="20"/>
          <w:lang w:val="pt-BR"/>
        </w:rPr>
        <w:t>peti</w:t>
      </w:r>
      <w:r w:rsidR="0089298C" w:rsidRPr="002F50BD">
        <w:rPr>
          <w:rFonts w:ascii="Verdana" w:hAnsi="Verdana"/>
          <w:sz w:val="20"/>
          <w:lang w:val="pt-BR"/>
        </w:rPr>
        <w:t>ção</w:t>
      </w:r>
      <w:r w:rsidR="004756C1" w:rsidRPr="002F50BD">
        <w:rPr>
          <w:rFonts w:ascii="Verdana" w:hAnsi="Verdana"/>
          <w:sz w:val="20"/>
          <w:lang w:val="pt-BR"/>
        </w:rPr>
        <w:t xml:space="preserve"> o</w:t>
      </w:r>
      <w:r w:rsidR="00E13112" w:rsidRPr="002F50BD">
        <w:rPr>
          <w:rFonts w:ascii="Verdana" w:hAnsi="Verdana"/>
          <w:sz w:val="20"/>
          <w:lang w:val="pt-BR"/>
        </w:rPr>
        <w:t>u</w:t>
      </w:r>
      <w:r w:rsidR="004756C1" w:rsidRPr="002F50BD">
        <w:rPr>
          <w:rFonts w:ascii="Verdana" w:hAnsi="Verdana"/>
          <w:sz w:val="20"/>
          <w:lang w:val="pt-BR"/>
        </w:rPr>
        <w:t xml:space="preserve"> comunica</w:t>
      </w:r>
      <w:r w:rsidR="0089298C" w:rsidRPr="002F50BD">
        <w:rPr>
          <w:rFonts w:ascii="Verdana" w:hAnsi="Verdana"/>
          <w:sz w:val="20"/>
          <w:lang w:val="pt-BR"/>
        </w:rPr>
        <w:t>ção apresentada à Comissão</w:t>
      </w:r>
      <w:r w:rsidR="004756C1" w:rsidRPr="002F50BD">
        <w:rPr>
          <w:rFonts w:ascii="Verdana" w:hAnsi="Verdana"/>
          <w:sz w:val="20"/>
          <w:lang w:val="pt-BR"/>
        </w:rPr>
        <w:t xml:space="preserve"> Interamericana de </w:t>
      </w:r>
      <w:r w:rsidR="0089298C" w:rsidRPr="002F50BD">
        <w:rPr>
          <w:rFonts w:ascii="Verdana" w:hAnsi="Verdana"/>
          <w:sz w:val="20"/>
          <w:lang w:val="pt-BR"/>
        </w:rPr>
        <w:t xml:space="preserve">acordo </w:t>
      </w:r>
      <w:r w:rsidR="00E13112" w:rsidRPr="002F50BD">
        <w:rPr>
          <w:rFonts w:ascii="Verdana" w:hAnsi="Verdana"/>
          <w:sz w:val="20"/>
          <w:lang w:val="pt-BR"/>
        </w:rPr>
        <w:t xml:space="preserve">com </w:t>
      </w:r>
      <w:r w:rsidR="0089298C" w:rsidRPr="002F50BD">
        <w:rPr>
          <w:rFonts w:ascii="Verdana" w:hAnsi="Verdana"/>
          <w:sz w:val="20"/>
          <w:lang w:val="pt-BR"/>
        </w:rPr>
        <w:t>os artigo</w:t>
      </w:r>
      <w:r w:rsidR="004756C1" w:rsidRPr="002F50BD">
        <w:rPr>
          <w:rFonts w:ascii="Verdana" w:hAnsi="Verdana"/>
          <w:sz w:val="20"/>
          <w:lang w:val="pt-BR"/>
        </w:rPr>
        <w:t xml:space="preserve">s </w:t>
      </w:r>
      <w:r w:rsidRPr="002F50BD">
        <w:rPr>
          <w:rFonts w:ascii="Verdana" w:hAnsi="Verdana"/>
          <w:sz w:val="20"/>
          <w:lang w:val="pt-BR"/>
        </w:rPr>
        <w:t>44</w:t>
      </w:r>
      <w:r w:rsidR="004756C1" w:rsidRPr="002F50BD">
        <w:rPr>
          <w:rFonts w:ascii="Verdana" w:hAnsi="Verdana"/>
          <w:sz w:val="20"/>
          <w:lang w:val="pt-BR"/>
        </w:rPr>
        <w:t xml:space="preserve"> </w:t>
      </w:r>
      <w:r w:rsidR="00E13112" w:rsidRPr="002F50BD">
        <w:rPr>
          <w:rFonts w:ascii="Verdana" w:hAnsi="Verdana"/>
          <w:sz w:val="20"/>
          <w:lang w:val="pt-BR"/>
        </w:rPr>
        <w:t>ou</w:t>
      </w:r>
      <w:r w:rsidR="004756C1" w:rsidRPr="002F50BD">
        <w:rPr>
          <w:rFonts w:ascii="Verdana" w:hAnsi="Verdana"/>
          <w:sz w:val="20"/>
          <w:lang w:val="pt-BR"/>
        </w:rPr>
        <w:t xml:space="preserve"> </w:t>
      </w:r>
      <w:r w:rsidRPr="002F50BD">
        <w:rPr>
          <w:rFonts w:ascii="Verdana" w:hAnsi="Verdana"/>
          <w:sz w:val="20"/>
          <w:lang w:val="pt-BR"/>
        </w:rPr>
        <w:t>45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resulte </w:t>
      </w:r>
      <w:r w:rsidR="0089298C" w:rsidRPr="002F50BD">
        <w:rPr>
          <w:rFonts w:ascii="Verdana" w:hAnsi="Verdana"/>
          <w:sz w:val="20"/>
          <w:lang w:val="pt-BR"/>
        </w:rPr>
        <w:t>admissível</w:t>
      </w:r>
      <w:r w:rsidR="004756C1" w:rsidRPr="002F50BD">
        <w:rPr>
          <w:rFonts w:ascii="Verdana" w:hAnsi="Verdana"/>
          <w:sz w:val="20"/>
          <w:lang w:val="pt-BR"/>
        </w:rPr>
        <w:t>,</w:t>
      </w:r>
      <w:r w:rsidR="0089298C" w:rsidRPr="002F50BD">
        <w:rPr>
          <w:rFonts w:ascii="Verdana" w:hAnsi="Verdana"/>
          <w:sz w:val="20"/>
          <w:lang w:val="pt-BR"/>
        </w:rPr>
        <w:t xml:space="preserve"> é necessári</w:t>
      </w:r>
      <w:r w:rsidR="004756C1" w:rsidRPr="002F50BD">
        <w:rPr>
          <w:rFonts w:ascii="Verdana" w:hAnsi="Verdana"/>
          <w:sz w:val="20"/>
          <w:lang w:val="pt-BR"/>
        </w:rPr>
        <w:t xml:space="preserve">o que se </w:t>
      </w:r>
      <w:r w:rsidR="0089298C" w:rsidRPr="002F50BD">
        <w:rPr>
          <w:rFonts w:ascii="Verdana" w:hAnsi="Verdana"/>
          <w:sz w:val="20"/>
          <w:lang w:val="pt-BR"/>
        </w:rPr>
        <w:t>tenha</w:t>
      </w:r>
      <w:r w:rsidR="004756C1" w:rsidRPr="002F50BD">
        <w:rPr>
          <w:rFonts w:ascii="Verdana" w:hAnsi="Verdana"/>
          <w:sz w:val="20"/>
          <w:lang w:val="pt-BR"/>
        </w:rPr>
        <w:t xml:space="preserve"> </w:t>
      </w:r>
      <w:r w:rsidR="0089298C" w:rsidRPr="002F50BD">
        <w:rPr>
          <w:rFonts w:ascii="Verdana" w:hAnsi="Verdana"/>
          <w:sz w:val="20"/>
          <w:lang w:val="pt-BR"/>
        </w:rPr>
        <w:t>interpost</w:t>
      </w:r>
      <w:r w:rsidR="004756C1" w:rsidRPr="002F50BD">
        <w:rPr>
          <w:rFonts w:ascii="Verdana" w:hAnsi="Verdana"/>
          <w:sz w:val="20"/>
          <w:lang w:val="pt-BR"/>
        </w:rPr>
        <w:t>o</w:t>
      </w:r>
      <w:r w:rsidR="0089298C" w:rsidRPr="002F50BD">
        <w:rPr>
          <w:rFonts w:ascii="Verdana" w:hAnsi="Verdana"/>
          <w:sz w:val="20"/>
          <w:lang w:val="pt-BR"/>
        </w:rPr>
        <w:t xml:space="preserve"> e esgotado os </w:t>
      </w:r>
      <w:r w:rsidR="004756C1" w:rsidRPr="002F50BD">
        <w:rPr>
          <w:rFonts w:ascii="Verdana" w:hAnsi="Verdana"/>
          <w:sz w:val="20"/>
          <w:lang w:val="pt-BR"/>
        </w:rPr>
        <w:t>recursos</w:t>
      </w:r>
      <w:r w:rsidR="0089298C" w:rsidRPr="002F50BD">
        <w:rPr>
          <w:rFonts w:ascii="Verdana" w:hAnsi="Verdana"/>
          <w:sz w:val="20"/>
          <w:lang w:val="pt-BR"/>
        </w:rPr>
        <w:t xml:space="preserve"> da jurisdição</w:t>
      </w:r>
      <w:r w:rsidR="004756C1" w:rsidRPr="002F50BD">
        <w:rPr>
          <w:rFonts w:ascii="Verdana" w:hAnsi="Verdana"/>
          <w:sz w:val="20"/>
          <w:lang w:val="pt-BR"/>
        </w:rPr>
        <w:t xml:space="preserve"> interna, </w:t>
      </w:r>
      <w:r w:rsidR="00CD2AE8" w:rsidRPr="002F50BD">
        <w:rPr>
          <w:rFonts w:ascii="Verdana" w:hAnsi="Verdana"/>
          <w:sz w:val="20"/>
          <w:lang w:val="pt-BR"/>
        </w:rPr>
        <w:t>circunstância</w:t>
      </w:r>
      <w:r w:rsidR="004756C1" w:rsidRPr="002F50BD">
        <w:rPr>
          <w:rFonts w:ascii="Verdana" w:hAnsi="Verdana"/>
          <w:sz w:val="20"/>
          <w:lang w:val="pt-BR"/>
        </w:rPr>
        <w:t>s que n</w:t>
      </w:r>
      <w:r w:rsidR="00E13112" w:rsidRPr="002F50BD">
        <w:rPr>
          <w:rFonts w:ascii="Verdana" w:hAnsi="Verdana"/>
          <w:sz w:val="20"/>
          <w:lang w:val="pt-BR"/>
        </w:rPr>
        <w:t>ã</w:t>
      </w:r>
      <w:r w:rsidR="004756C1" w:rsidRPr="002F50BD">
        <w:rPr>
          <w:rFonts w:ascii="Verdana" w:hAnsi="Verdana"/>
          <w:sz w:val="20"/>
          <w:lang w:val="pt-BR"/>
        </w:rPr>
        <w:t>o</w:t>
      </w:r>
      <w:r w:rsidR="00E13112" w:rsidRPr="002F50BD">
        <w:rPr>
          <w:rFonts w:ascii="Verdana" w:hAnsi="Verdana"/>
          <w:sz w:val="20"/>
          <w:lang w:val="pt-BR"/>
        </w:rPr>
        <w:t xml:space="preserve"> </w:t>
      </w:r>
      <w:r w:rsidR="00B50425" w:rsidRPr="002F50BD">
        <w:rPr>
          <w:rFonts w:ascii="Verdana" w:hAnsi="Verdana"/>
          <w:sz w:val="20"/>
          <w:lang w:val="pt-BR"/>
        </w:rPr>
        <w:t>ocorreram</w:t>
      </w:r>
      <w:r w:rsidR="00E13112" w:rsidRPr="002F50BD">
        <w:rPr>
          <w:rFonts w:ascii="Verdana" w:hAnsi="Verdana"/>
          <w:sz w:val="20"/>
          <w:lang w:val="pt-BR"/>
        </w:rPr>
        <w:t xml:space="preserve"> </w:t>
      </w:r>
      <w:r w:rsidR="0089298C" w:rsidRPr="002F50BD">
        <w:rPr>
          <w:rFonts w:ascii="Verdana" w:hAnsi="Verdana"/>
          <w:sz w:val="20"/>
          <w:lang w:val="pt-BR"/>
        </w:rPr>
        <w:t xml:space="preserve">no </w:t>
      </w:r>
      <w:r w:rsidR="004756C1" w:rsidRPr="002F50BD">
        <w:rPr>
          <w:rFonts w:ascii="Verdana" w:hAnsi="Verdana"/>
          <w:sz w:val="20"/>
          <w:lang w:val="pt-BR"/>
        </w:rPr>
        <w:t>presente caso.</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r w:rsidRPr="002F50BD">
        <w:rPr>
          <w:rFonts w:ascii="Verdana" w:hAnsi="Verdana"/>
          <w:sz w:val="20"/>
          <w:lang w:val="pt-BR"/>
        </w:rPr>
        <w:t>E</w:t>
      </w:r>
      <w:r w:rsidR="00E13112" w:rsidRPr="002F50BD">
        <w:rPr>
          <w:rFonts w:ascii="Verdana" w:hAnsi="Verdana"/>
          <w:sz w:val="20"/>
          <w:lang w:val="pt-BR"/>
        </w:rPr>
        <w:t>m</w:t>
      </w:r>
      <w:r w:rsidRPr="002F50BD">
        <w:rPr>
          <w:rFonts w:ascii="Verdana" w:hAnsi="Verdana"/>
          <w:sz w:val="20"/>
          <w:lang w:val="pt-BR"/>
        </w:rPr>
        <w:t xml:space="preserve"> rela</w:t>
      </w:r>
      <w:r w:rsidR="0089298C" w:rsidRPr="002F50BD">
        <w:rPr>
          <w:rFonts w:ascii="Verdana" w:hAnsi="Verdana"/>
          <w:sz w:val="20"/>
          <w:lang w:val="pt-BR"/>
        </w:rPr>
        <w:t xml:space="preserve">ção aos </w:t>
      </w:r>
      <w:r w:rsidRPr="002F50BD">
        <w:rPr>
          <w:rFonts w:ascii="Verdana" w:hAnsi="Verdana"/>
          <w:sz w:val="20"/>
          <w:lang w:val="pt-BR"/>
        </w:rPr>
        <w:t xml:space="preserve">indígenas </w:t>
      </w:r>
      <w:r w:rsidR="0089298C" w:rsidRPr="002F50BD">
        <w:rPr>
          <w:rFonts w:ascii="Verdana" w:hAnsi="Verdana"/>
          <w:sz w:val="20"/>
          <w:lang w:val="pt-BR"/>
        </w:rPr>
        <w:t>falecid</w:t>
      </w:r>
      <w:r w:rsidRPr="002F50BD">
        <w:rPr>
          <w:rFonts w:ascii="Verdana" w:hAnsi="Verdana"/>
          <w:sz w:val="20"/>
          <w:lang w:val="pt-BR"/>
        </w:rPr>
        <w:t>os</w:t>
      </w:r>
      <w:r w:rsidR="00B50425" w:rsidRPr="002F50BD">
        <w:rPr>
          <w:rFonts w:ascii="Verdana" w:hAnsi="Verdana"/>
          <w:sz w:val="20"/>
          <w:lang w:val="pt-BR"/>
        </w:rPr>
        <w:t>,</w:t>
      </w:r>
      <w:r w:rsidR="0089298C" w:rsidRPr="002F50BD">
        <w:rPr>
          <w:rFonts w:ascii="Verdana" w:hAnsi="Verdana"/>
          <w:sz w:val="20"/>
          <w:lang w:val="pt-BR"/>
        </w:rPr>
        <w:t xml:space="preserve"> deve</w:t>
      </w:r>
      <w:r w:rsidR="00CE1AC8" w:rsidRPr="002F50BD">
        <w:rPr>
          <w:rFonts w:ascii="Verdana" w:hAnsi="Verdana"/>
          <w:sz w:val="20"/>
          <w:lang w:val="pt-BR"/>
        </w:rPr>
        <w:t>-se</w:t>
      </w:r>
      <w:r w:rsidR="00E13112" w:rsidRPr="002F50BD">
        <w:rPr>
          <w:rFonts w:ascii="Verdana" w:hAnsi="Verdana"/>
          <w:sz w:val="20"/>
          <w:lang w:val="pt-BR"/>
        </w:rPr>
        <w:t xml:space="preserve"> destacar </w:t>
      </w:r>
      <w:r w:rsidRPr="002F50BD">
        <w:rPr>
          <w:rFonts w:ascii="Verdana" w:hAnsi="Verdana"/>
          <w:sz w:val="20"/>
          <w:lang w:val="pt-BR"/>
        </w:rPr>
        <w:t>que</w:t>
      </w:r>
      <w:r w:rsidR="00CE6AFD" w:rsidRPr="002F50BD">
        <w:rPr>
          <w:rFonts w:ascii="Verdana" w:hAnsi="Verdana"/>
          <w:sz w:val="20"/>
          <w:lang w:val="pt-BR"/>
        </w:rPr>
        <w:t>,</w:t>
      </w:r>
      <w:r w:rsidRPr="002F50BD">
        <w:rPr>
          <w:rFonts w:ascii="Verdana" w:hAnsi="Verdana"/>
          <w:sz w:val="20"/>
          <w:lang w:val="pt-BR"/>
        </w:rPr>
        <w:t xml:space="preserve"> </w:t>
      </w:r>
      <w:r w:rsidR="00E13112" w:rsidRPr="002F50BD">
        <w:rPr>
          <w:rFonts w:ascii="Verdana" w:hAnsi="Verdana"/>
          <w:sz w:val="20"/>
          <w:lang w:val="pt-BR"/>
        </w:rPr>
        <w:t>caso se argumenta</w:t>
      </w:r>
      <w:r w:rsidR="00CE1AC8" w:rsidRPr="002F50BD">
        <w:rPr>
          <w:rFonts w:ascii="Verdana" w:hAnsi="Verdana"/>
          <w:sz w:val="20"/>
          <w:lang w:val="pt-BR"/>
        </w:rPr>
        <w:t>sse</w:t>
      </w:r>
      <w:r w:rsidR="00E13112" w:rsidRPr="002F50BD">
        <w:rPr>
          <w:rFonts w:ascii="Verdana" w:hAnsi="Verdana"/>
          <w:sz w:val="20"/>
          <w:lang w:val="pt-BR"/>
        </w:rPr>
        <w:t xml:space="preserve"> </w:t>
      </w:r>
      <w:r w:rsidRPr="002F50BD">
        <w:rPr>
          <w:rFonts w:ascii="Verdana" w:hAnsi="Verdana"/>
          <w:sz w:val="20"/>
          <w:lang w:val="pt-BR"/>
        </w:rPr>
        <w:t>oportunamente,</w:t>
      </w:r>
      <w:r w:rsidR="0089298C" w:rsidRPr="002F50BD">
        <w:rPr>
          <w:rFonts w:ascii="Verdana" w:hAnsi="Verdana"/>
          <w:sz w:val="20"/>
          <w:lang w:val="pt-BR"/>
        </w:rPr>
        <w:t xml:space="preserve"> no âmbito</w:t>
      </w:r>
      <w:r w:rsidRPr="002F50BD">
        <w:rPr>
          <w:rFonts w:ascii="Verdana" w:hAnsi="Verdana"/>
          <w:sz w:val="20"/>
          <w:lang w:val="pt-BR"/>
        </w:rPr>
        <w:t xml:space="preserve"> </w:t>
      </w:r>
      <w:r w:rsidR="0089298C" w:rsidRPr="002F50BD">
        <w:rPr>
          <w:rFonts w:ascii="Verdana" w:hAnsi="Verdana"/>
          <w:sz w:val="20"/>
          <w:lang w:val="pt-BR"/>
        </w:rPr>
        <w:t>submetido ao direito</w:t>
      </w:r>
      <w:r w:rsidRPr="002F50BD">
        <w:rPr>
          <w:rFonts w:ascii="Verdana" w:hAnsi="Verdana"/>
          <w:sz w:val="20"/>
          <w:lang w:val="pt-BR"/>
        </w:rPr>
        <w:t xml:space="preserve"> interno, </w:t>
      </w:r>
      <w:r w:rsidR="0089298C" w:rsidRPr="002F50BD">
        <w:rPr>
          <w:rFonts w:ascii="Verdana" w:hAnsi="Verdana"/>
          <w:sz w:val="20"/>
          <w:lang w:val="pt-BR"/>
        </w:rPr>
        <w:t xml:space="preserve">denúncias </w:t>
      </w:r>
      <w:r w:rsidRPr="002F50BD">
        <w:rPr>
          <w:rFonts w:ascii="Verdana" w:hAnsi="Verdana"/>
          <w:sz w:val="20"/>
          <w:lang w:val="pt-BR"/>
        </w:rPr>
        <w:t xml:space="preserve">sobre </w:t>
      </w:r>
      <w:r w:rsidR="0089298C" w:rsidRPr="002F50BD">
        <w:rPr>
          <w:rFonts w:ascii="Verdana" w:hAnsi="Verdana"/>
          <w:sz w:val="20"/>
          <w:lang w:val="pt-BR"/>
        </w:rPr>
        <w:t>eventuais</w:t>
      </w:r>
      <w:r w:rsidRPr="002F50BD">
        <w:rPr>
          <w:rFonts w:ascii="Verdana" w:hAnsi="Verdana"/>
          <w:sz w:val="20"/>
          <w:lang w:val="pt-BR"/>
        </w:rPr>
        <w:t xml:space="preserve"> </w:t>
      </w:r>
      <w:r w:rsidR="00B756DC" w:rsidRPr="002F50BD">
        <w:rPr>
          <w:rFonts w:ascii="Verdana" w:hAnsi="Verdana"/>
          <w:sz w:val="20"/>
          <w:lang w:val="pt-BR"/>
        </w:rPr>
        <w:t>negligência</w:t>
      </w:r>
      <w:r w:rsidRPr="002F50BD">
        <w:rPr>
          <w:rFonts w:ascii="Verdana" w:hAnsi="Verdana"/>
          <w:sz w:val="20"/>
          <w:lang w:val="pt-BR"/>
        </w:rPr>
        <w:t>s que po</w:t>
      </w:r>
      <w:r w:rsidR="0089298C" w:rsidRPr="002F50BD">
        <w:rPr>
          <w:rFonts w:ascii="Verdana" w:hAnsi="Verdana"/>
          <w:sz w:val="20"/>
          <w:lang w:val="pt-BR"/>
        </w:rPr>
        <w:t>dia</w:t>
      </w:r>
      <w:r w:rsidR="00E13112" w:rsidRPr="002F50BD">
        <w:rPr>
          <w:rFonts w:ascii="Verdana" w:hAnsi="Verdana"/>
          <w:sz w:val="20"/>
          <w:lang w:val="pt-BR"/>
        </w:rPr>
        <w:t>m</w:t>
      </w:r>
      <w:r w:rsidRPr="002F50BD">
        <w:rPr>
          <w:rFonts w:ascii="Verdana" w:hAnsi="Verdana"/>
          <w:sz w:val="20"/>
          <w:lang w:val="pt-BR"/>
        </w:rPr>
        <w:t xml:space="preserve"> </w:t>
      </w:r>
      <w:r w:rsidR="0089298C" w:rsidRPr="002F50BD">
        <w:rPr>
          <w:rFonts w:ascii="Verdana" w:hAnsi="Verdana"/>
          <w:sz w:val="20"/>
          <w:lang w:val="pt-BR"/>
        </w:rPr>
        <w:t>conduzir</w:t>
      </w:r>
      <w:r w:rsidRPr="002F50BD">
        <w:rPr>
          <w:rFonts w:ascii="Verdana" w:hAnsi="Verdana"/>
          <w:sz w:val="20"/>
          <w:lang w:val="pt-BR"/>
        </w:rPr>
        <w:t xml:space="preserve"> a </w:t>
      </w:r>
      <w:r w:rsidR="0089298C" w:rsidRPr="002F50BD">
        <w:rPr>
          <w:rFonts w:ascii="Verdana" w:hAnsi="Verdana"/>
          <w:sz w:val="20"/>
          <w:lang w:val="pt-BR"/>
        </w:rPr>
        <w:t>morte</w:t>
      </w:r>
      <w:r w:rsidRPr="002F50BD">
        <w:rPr>
          <w:rFonts w:ascii="Verdana" w:hAnsi="Verdana"/>
          <w:sz w:val="20"/>
          <w:lang w:val="pt-BR"/>
        </w:rPr>
        <w:t>s evit</w:t>
      </w:r>
      <w:r w:rsidR="0089298C" w:rsidRPr="002F50BD">
        <w:rPr>
          <w:rFonts w:ascii="Verdana" w:hAnsi="Verdana"/>
          <w:sz w:val="20"/>
          <w:lang w:val="pt-BR"/>
        </w:rPr>
        <w:t>áveis</w:t>
      </w:r>
      <w:r w:rsidR="00CE1AC8" w:rsidRPr="002F50BD">
        <w:rPr>
          <w:rFonts w:ascii="Verdana" w:hAnsi="Verdana"/>
          <w:sz w:val="20"/>
          <w:lang w:val="pt-BR"/>
        </w:rPr>
        <w:t>,</w:t>
      </w:r>
      <w:r w:rsidR="0089298C" w:rsidRPr="002F50BD">
        <w:rPr>
          <w:rFonts w:ascii="Verdana" w:hAnsi="Verdana"/>
          <w:sz w:val="20"/>
          <w:lang w:val="pt-BR"/>
        </w:rPr>
        <w:t xml:space="preserve"> </w:t>
      </w:r>
      <w:r w:rsidR="00E13112" w:rsidRPr="002F50BD">
        <w:rPr>
          <w:rFonts w:ascii="Verdana" w:hAnsi="Verdana"/>
          <w:sz w:val="20"/>
          <w:lang w:val="pt-BR"/>
        </w:rPr>
        <w:t>teria</w:t>
      </w:r>
      <w:r w:rsidR="00CE6AFD" w:rsidRPr="002F50BD">
        <w:rPr>
          <w:rFonts w:ascii="Verdana" w:hAnsi="Verdana"/>
          <w:sz w:val="20"/>
          <w:lang w:val="pt-BR"/>
        </w:rPr>
        <w:t xml:space="preserve"> sido possível</w:t>
      </w:r>
      <w:r w:rsidRPr="002F50BD">
        <w:rPr>
          <w:rFonts w:ascii="Verdana" w:hAnsi="Verdana"/>
          <w:sz w:val="20"/>
          <w:lang w:val="pt-BR"/>
        </w:rPr>
        <w:t xml:space="preserve"> remediar o</w:t>
      </w:r>
      <w:r w:rsidR="00E13112" w:rsidRPr="002F50BD">
        <w:rPr>
          <w:rFonts w:ascii="Verdana" w:hAnsi="Verdana"/>
          <w:sz w:val="20"/>
          <w:lang w:val="pt-BR"/>
        </w:rPr>
        <w:t>u</w:t>
      </w:r>
      <w:r w:rsidR="00CE6AFD" w:rsidRPr="002F50BD">
        <w:rPr>
          <w:rFonts w:ascii="Verdana" w:hAnsi="Verdana"/>
          <w:sz w:val="20"/>
          <w:lang w:val="pt-BR"/>
        </w:rPr>
        <w:t>,</w:t>
      </w:r>
      <w:r w:rsidRPr="002F50BD">
        <w:rPr>
          <w:rFonts w:ascii="Verdana" w:hAnsi="Verdana"/>
          <w:sz w:val="20"/>
          <w:lang w:val="pt-BR"/>
        </w:rPr>
        <w:t xml:space="preserve"> </w:t>
      </w:r>
      <w:r w:rsidR="00E13112" w:rsidRPr="002F50BD">
        <w:rPr>
          <w:rFonts w:ascii="Verdana" w:hAnsi="Verdana"/>
          <w:sz w:val="20"/>
          <w:lang w:val="pt-BR"/>
        </w:rPr>
        <w:t xml:space="preserve">ao </w:t>
      </w:r>
      <w:r w:rsidRPr="002F50BD">
        <w:rPr>
          <w:rFonts w:ascii="Verdana" w:hAnsi="Verdana"/>
          <w:sz w:val="20"/>
          <w:lang w:val="pt-BR"/>
        </w:rPr>
        <w:t>menos</w:t>
      </w:r>
      <w:r w:rsidR="00CE6AFD" w:rsidRPr="002F50BD">
        <w:rPr>
          <w:rFonts w:ascii="Verdana" w:hAnsi="Verdana"/>
          <w:sz w:val="20"/>
          <w:lang w:val="pt-BR"/>
        </w:rPr>
        <w:t>,</w:t>
      </w:r>
      <w:r w:rsidRPr="002F50BD">
        <w:rPr>
          <w:rFonts w:ascii="Verdana" w:hAnsi="Verdana"/>
          <w:sz w:val="20"/>
          <w:lang w:val="pt-BR"/>
        </w:rPr>
        <w:t xml:space="preserve"> atenuar</w:t>
      </w:r>
      <w:r w:rsidR="0089298C" w:rsidRPr="002F50BD">
        <w:rPr>
          <w:rFonts w:ascii="Verdana" w:hAnsi="Verdana"/>
          <w:sz w:val="20"/>
          <w:lang w:val="pt-BR"/>
        </w:rPr>
        <w:t xml:space="preserve"> os </w:t>
      </w:r>
      <w:r w:rsidRPr="002F50BD">
        <w:rPr>
          <w:rFonts w:ascii="Verdana" w:hAnsi="Verdana"/>
          <w:sz w:val="20"/>
          <w:lang w:val="pt-BR"/>
        </w:rPr>
        <w:t xml:space="preserve">males de </w:t>
      </w:r>
      <w:r w:rsidR="0089298C" w:rsidRPr="002F50BD">
        <w:rPr>
          <w:rFonts w:ascii="Verdana" w:hAnsi="Verdana"/>
          <w:sz w:val="20"/>
          <w:lang w:val="pt-BR"/>
        </w:rPr>
        <w:t>saúde em questão</w:t>
      </w:r>
      <w:r w:rsidRPr="002F50BD">
        <w:rPr>
          <w:rFonts w:ascii="Verdana" w:hAnsi="Verdana"/>
          <w:sz w:val="20"/>
          <w:lang w:val="pt-BR"/>
        </w:rPr>
        <w:t>;</w:t>
      </w:r>
      <w:r w:rsidR="0089298C" w:rsidRPr="002F50BD">
        <w:rPr>
          <w:rFonts w:ascii="Verdana" w:hAnsi="Verdana"/>
          <w:sz w:val="20"/>
          <w:lang w:val="pt-BR"/>
        </w:rPr>
        <w:t xml:space="preserve"> essa</w:t>
      </w:r>
      <w:r w:rsidR="006603BE" w:rsidRPr="002F50BD">
        <w:rPr>
          <w:rFonts w:ascii="Verdana" w:hAnsi="Verdana"/>
          <w:sz w:val="20"/>
          <w:lang w:val="pt-BR"/>
        </w:rPr>
        <w:t xml:space="preserve"> via </w:t>
      </w:r>
      <w:r w:rsidR="00E13112" w:rsidRPr="002F50BD">
        <w:rPr>
          <w:rFonts w:ascii="Verdana" w:hAnsi="Verdana"/>
          <w:sz w:val="20"/>
          <w:lang w:val="pt-BR"/>
        </w:rPr>
        <w:t xml:space="preserve">teria </w:t>
      </w:r>
      <w:r w:rsidRPr="002F50BD">
        <w:rPr>
          <w:rFonts w:ascii="Verdana" w:hAnsi="Verdana"/>
          <w:sz w:val="20"/>
          <w:lang w:val="pt-BR"/>
        </w:rPr>
        <w:t>permitido investigar viola</w:t>
      </w:r>
      <w:r w:rsidR="0089298C" w:rsidRPr="002F50BD">
        <w:rPr>
          <w:rFonts w:ascii="Verdana" w:hAnsi="Verdana"/>
          <w:sz w:val="20"/>
          <w:lang w:val="pt-BR"/>
        </w:rPr>
        <w:t xml:space="preserve">ções ao direito à </w:t>
      </w:r>
      <w:r w:rsidRPr="002F50BD">
        <w:rPr>
          <w:rFonts w:ascii="Verdana" w:hAnsi="Verdana"/>
          <w:sz w:val="20"/>
          <w:lang w:val="pt-BR"/>
        </w:rPr>
        <w:t xml:space="preserve">vida, </w:t>
      </w:r>
      <w:r w:rsidR="00E13112" w:rsidRPr="002F50BD">
        <w:rPr>
          <w:rFonts w:ascii="Verdana" w:hAnsi="Verdana"/>
          <w:sz w:val="20"/>
          <w:lang w:val="pt-BR"/>
        </w:rPr>
        <w:t xml:space="preserve">punir </w:t>
      </w:r>
      <w:r w:rsidR="0089298C" w:rsidRPr="002F50BD">
        <w:rPr>
          <w:rFonts w:ascii="Verdana" w:hAnsi="Verdana"/>
          <w:sz w:val="20"/>
          <w:lang w:val="pt-BR"/>
        </w:rPr>
        <w:t xml:space="preserve">os responsáveis e </w:t>
      </w:r>
      <w:r w:rsidR="00E13112" w:rsidRPr="002F50BD">
        <w:rPr>
          <w:rFonts w:ascii="Verdana" w:hAnsi="Verdana"/>
          <w:sz w:val="20"/>
          <w:lang w:val="pt-BR"/>
        </w:rPr>
        <w:t>conceder</w:t>
      </w:r>
      <w:r w:rsidRPr="002F50BD">
        <w:rPr>
          <w:rFonts w:ascii="Verdana" w:hAnsi="Verdana"/>
          <w:sz w:val="20"/>
          <w:lang w:val="pt-BR"/>
        </w:rPr>
        <w:t xml:space="preserve"> repara</w:t>
      </w:r>
      <w:r w:rsidR="0089298C" w:rsidRPr="002F50BD">
        <w:rPr>
          <w:rFonts w:ascii="Verdana" w:hAnsi="Verdana"/>
          <w:sz w:val="20"/>
          <w:lang w:val="pt-BR"/>
        </w:rPr>
        <w:t xml:space="preserve">ção aos </w:t>
      </w:r>
      <w:r w:rsidR="009F308E" w:rsidRPr="002F50BD">
        <w:rPr>
          <w:rFonts w:ascii="Verdana" w:hAnsi="Verdana"/>
          <w:sz w:val="20"/>
          <w:lang w:val="pt-BR"/>
        </w:rPr>
        <w:t>familiares</w:t>
      </w:r>
      <w:r w:rsidR="0089298C" w:rsidRPr="002F50BD">
        <w:rPr>
          <w:rFonts w:ascii="Verdana" w:hAnsi="Verdana"/>
          <w:sz w:val="20"/>
          <w:lang w:val="pt-BR"/>
        </w:rPr>
        <w:t xml:space="preserve"> das vítima</w:t>
      </w:r>
      <w:r w:rsidRPr="002F50BD">
        <w:rPr>
          <w:rFonts w:ascii="Verdana" w:hAnsi="Verdana"/>
          <w:sz w:val="20"/>
          <w:lang w:val="pt-BR"/>
        </w:rPr>
        <w:t>s</w:t>
      </w:r>
      <w:r w:rsidR="00BE346D" w:rsidRPr="002F50BD">
        <w:rPr>
          <w:rFonts w:ascii="Verdana" w:hAnsi="Verdana"/>
          <w:sz w:val="20"/>
          <w:lang w:val="pt-BR"/>
        </w:rPr>
        <w:t xml:space="preserve">. A </w:t>
      </w:r>
      <w:r w:rsidRPr="002F50BD">
        <w:rPr>
          <w:rFonts w:ascii="Verdana" w:hAnsi="Verdana"/>
          <w:sz w:val="20"/>
          <w:lang w:val="pt-BR"/>
        </w:rPr>
        <w:t>falta de repara</w:t>
      </w:r>
      <w:r w:rsidR="0089298C" w:rsidRPr="002F50BD">
        <w:rPr>
          <w:rFonts w:ascii="Verdana" w:hAnsi="Verdana"/>
          <w:sz w:val="20"/>
          <w:lang w:val="pt-BR"/>
        </w:rPr>
        <w:t>ção</w:t>
      </w:r>
      <w:r w:rsidRPr="002F50BD">
        <w:rPr>
          <w:rFonts w:ascii="Verdana" w:hAnsi="Verdana"/>
          <w:sz w:val="20"/>
          <w:lang w:val="pt-BR"/>
        </w:rPr>
        <w:t xml:space="preserve">, </w:t>
      </w:r>
      <w:r w:rsidR="0089298C" w:rsidRPr="002F50BD">
        <w:rPr>
          <w:rFonts w:ascii="Verdana" w:hAnsi="Verdana"/>
          <w:sz w:val="20"/>
          <w:lang w:val="pt-BR"/>
        </w:rPr>
        <w:t xml:space="preserve">em </w:t>
      </w:r>
      <w:r w:rsidRPr="002F50BD">
        <w:rPr>
          <w:rFonts w:ascii="Verdana" w:hAnsi="Verdana"/>
          <w:sz w:val="20"/>
          <w:lang w:val="pt-BR"/>
        </w:rPr>
        <w:t xml:space="preserve">casos </w:t>
      </w:r>
      <w:r w:rsidR="0089298C" w:rsidRPr="002F50BD">
        <w:rPr>
          <w:rFonts w:ascii="Verdana" w:hAnsi="Verdana"/>
          <w:sz w:val="20"/>
          <w:lang w:val="pt-BR"/>
        </w:rPr>
        <w:t>provad</w:t>
      </w:r>
      <w:r w:rsidRPr="002F50BD">
        <w:rPr>
          <w:rFonts w:ascii="Verdana" w:hAnsi="Verdana"/>
          <w:sz w:val="20"/>
          <w:lang w:val="pt-BR"/>
        </w:rPr>
        <w:t xml:space="preserve">os de </w:t>
      </w:r>
      <w:r w:rsidR="00B756DC" w:rsidRPr="002F50BD">
        <w:rPr>
          <w:rFonts w:ascii="Verdana" w:hAnsi="Verdana"/>
          <w:sz w:val="20"/>
          <w:lang w:val="pt-BR"/>
        </w:rPr>
        <w:t>negligência</w:t>
      </w:r>
      <w:r w:rsidRPr="002F50BD">
        <w:rPr>
          <w:rFonts w:ascii="Verdana" w:hAnsi="Verdana"/>
          <w:sz w:val="20"/>
          <w:lang w:val="pt-BR"/>
        </w:rPr>
        <w:t xml:space="preserve">s de agentes </w:t>
      </w:r>
      <w:r w:rsidR="0089298C" w:rsidRPr="002F50BD">
        <w:rPr>
          <w:rFonts w:ascii="Verdana" w:hAnsi="Verdana"/>
          <w:sz w:val="20"/>
          <w:lang w:val="pt-BR"/>
        </w:rPr>
        <w:t xml:space="preserve">do </w:t>
      </w:r>
      <w:r w:rsidR="00E13112" w:rsidRPr="002F50BD">
        <w:rPr>
          <w:rFonts w:ascii="Verdana" w:hAnsi="Verdana"/>
          <w:sz w:val="20"/>
          <w:lang w:val="pt-BR"/>
        </w:rPr>
        <w:t>E</w:t>
      </w:r>
      <w:r w:rsidRPr="002F50BD">
        <w:rPr>
          <w:rFonts w:ascii="Verdana" w:hAnsi="Verdana"/>
          <w:sz w:val="20"/>
          <w:lang w:val="pt-BR"/>
        </w:rPr>
        <w:t xml:space="preserve">stado, </w:t>
      </w:r>
      <w:r w:rsidR="0089298C" w:rsidRPr="002F50BD">
        <w:rPr>
          <w:rFonts w:ascii="Verdana" w:hAnsi="Verdana"/>
          <w:sz w:val="20"/>
          <w:lang w:val="pt-BR"/>
        </w:rPr>
        <w:t>poderia</w:t>
      </w:r>
      <w:r w:rsidRPr="002F50BD">
        <w:rPr>
          <w:rFonts w:ascii="Verdana" w:hAnsi="Verdana"/>
          <w:sz w:val="20"/>
          <w:lang w:val="pt-BR"/>
        </w:rPr>
        <w:t xml:space="preserve"> </w:t>
      </w:r>
      <w:r w:rsidR="0089298C" w:rsidRPr="002F50BD">
        <w:rPr>
          <w:rFonts w:ascii="Verdana" w:hAnsi="Verdana"/>
          <w:sz w:val="20"/>
          <w:lang w:val="pt-BR"/>
        </w:rPr>
        <w:t>ter</w:t>
      </w:r>
      <w:r w:rsidRPr="002F50BD">
        <w:rPr>
          <w:rFonts w:ascii="Verdana" w:hAnsi="Verdana"/>
          <w:sz w:val="20"/>
          <w:lang w:val="pt-BR"/>
        </w:rPr>
        <w:t xml:space="preserve"> originado</w:t>
      </w:r>
      <w:r w:rsidR="0089298C" w:rsidRPr="002F50BD">
        <w:rPr>
          <w:rFonts w:ascii="Verdana" w:hAnsi="Verdana"/>
          <w:sz w:val="20"/>
          <w:lang w:val="pt-BR"/>
        </w:rPr>
        <w:t xml:space="preserve"> a responsabilidade </w:t>
      </w:r>
      <w:r w:rsidRPr="002F50BD">
        <w:rPr>
          <w:rFonts w:ascii="Verdana" w:hAnsi="Verdana"/>
          <w:sz w:val="20"/>
          <w:lang w:val="pt-BR"/>
        </w:rPr>
        <w:t xml:space="preserve">interna </w:t>
      </w:r>
      <w:r w:rsidR="0089298C" w:rsidRPr="002F50BD">
        <w:rPr>
          <w:rFonts w:ascii="Verdana" w:hAnsi="Verdana"/>
          <w:sz w:val="20"/>
          <w:lang w:val="pt-BR"/>
        </w:rPr>
        <w:t xml:space="preserve">do </w:t>
      </w:r>
      <w:r w:rsidRPr="002F50BD">
        <w:rPr>
          <w:rFonts w:ascii="Verdana" w:hAnsi="Verdana"/>
          <w:sz w:val="20"/>
          <w:lang w:val="pt-BR"/>
        </w:rPr>
        <w:t>Estado d</w:t>
      </w:r>
      <w:r w:rsidR="00E13112" w:rsidRPr="002F50BD">
        <w:rPr>
          <w:rFonts w:ascii="Verdana" w:hAnsi="Verdana"/>
          <w:sz w:val="20"/>
          <w:lang w:val="pt-BR"/>
        </w:rPr>
        <w:t>o</w:t>
      </w:r>
      <w:r w:rsidRPr="002F50BD">
        <w:rPr>
          <w:rFonts w:ascii="Verdana" w:hAnsi="Verdana"/>
          <w:sz w:val="20"/>
          <w:lang w:val="pt-BR"/>
        </w:rPr>
        <w:t xml:space="preserve"> </w:t>
      </w:r>
      <w:r w:rsidR="0089298C" w:rsidRPr="002F50BD">
        <w:rPr>
          <w:rFonts w:ascii="Verdana" w:hAnsi="Verdana"/>
          <w:sz w:val="20"/>
          <w:lang w:val="pt-BR"/>
        </w:rPr>
        <w:t>Paraguai</w:t>
      </w:r>
      <w:r w:rsidRPr="002F50BD">
        <w:rPr>
          <w:rFonts w:ascii="Verdana" w:hAnsi="Verdana"/>
          <w:sz w:val="20"/>
          <w:lang w:val="pt-BR"/>
        </w:rPr>
        <w:t xml:space="preserve">. </w:t>
      </w:r>
    </w:p>
    <w:p w:rsidR="004756C1" w:rsidRPr="002F50BD" w:rsidRDefault="004756C1">
      <w:pPr>
        <w:jc w:val="both"/>
        <w:rPr>
          <w:rFonts w:ascii="Verdana" w:hAnsi="Verdana"/>
          <w:sz w:val="20"/>
          <w:lang w:val="pt-BR"/>
        </w:rPr>
      </w:pPr>
    </w:p>
    <w:p w:rsidR="004756C1" w:rsidRPr="002F50BD" w:rsidRDefault="00063B47">
      <w:pPr>
        <w:jc w:val="both"/>
        <w:rPr>
          <w:rFonts w:ascii="Verdana" w:hAnsi="Verdana"/>
          <w:sz w:val="20"/>
          <w:lang w:val="pt-BR"/>
        </w:rPr>
      </w:pPr>
      <w:r w:rsidRPr="002F50BD">
        <w:rPr>
          <w:rFonts w:ascii="Verdana" w:hAnsi="Verdana"/>
          <w:sz w:val="20"/>
          <w:lang w:val="pt-BR"/>
        </w:rPr>
        <w:t>38</w:t>
      </w:r>
      <w:r w:rsidR="004756C1" w:rsidRPr="002F50BD">
        <w:rPr>
          <w:rFonts w:ascii="Verdana" w:hAnsi="Verdana"/>
          <w:sz w:val="20"/>
          <w:lang w:val="pt-BR"/>
        </w:rPr>
        <w:t>.</w:t>
      </w:r>
      <w:r w:rsidR="004756C1" w:rsidRPr="002F50BD">
        <w:rPr>
          <w:rFonts w:ascii="Verdana" w:hAnsi="Verdana"/>
          <w:sz w:val="20"/>
          <w:lang w:val="pt-BR"/>
        </w:rPr>
        <w:tab/>
      </w:r>
      <w:r w:rsidR="00F46680" w:rsidRPr="002F50BD">
        <w:rPr>
          <w:rFonts w:ascii="Verdana" w:hAnsi="Verdana"/>
          <w:sz w:val="20"/>
          <w:lang w:val="pt-BR"/>
        </w:rPr>
        <w:t xml:space="preserve">Quanto </w:t>
      </w:r>
      <w:r w:rsidR="0089298C" w:rsidRPr="002F50BD">
        <w:rPr>
          <w:rFonts w:ascii="Verdana" w:hAnsi="Verdana"/>
          <w:sz w:val="20"/>
          <w:lang w:val="pt-BR"/>
        </w:rPr>
        <w:t xml:space="preserve">à </w:t>
      </w:r>
      <w:r w:rsidR="004756C1" w:rsidRPr="002F50BD">
        <w:rPr>
          <w:rFonts w:ascii="Verdana" w:hAnsi="Verdana"/>
          <w:sz w:val="20"/>
          <w:lang w:val="pt-BR"/>
        </w:rPr>
        <w:t>alegada viola</w:t>
      </w:r>
      <w:r w:rsidR="0089298C" w:rsidRPr="002F50BD">
        <w:rPr>
          <w:rFonts w:ascii="Verdana" w:hAnsi="Verdana"/>
          <w:sz w:val="20"/>
          <w:lang w:val="pt-BR"/>
        </w:rPr>
        <w:t>ção dos artigo</w:t>
      </w:r>
      <w:r w:rsidR="004756C1" w:rsidRPr="002F50BD">
        <w:rPr>
          <w:rFonts w:ascii="Verdana" w:hAnsi="Verdana"/>
          <w:sz w:val="20"/>
          <w:lang w:val="pt-BR"/>
        </w:rPr>
        <w:t xml:space="preserve">s </w:t>
      </w:r>
      <w:r w:rsidRPr="002F50BD">
        <w:rPr>
          <w:rFonts w:ascii="Verdana" w:hAnsi="Verdana"/>
          <w:sz w:val="20"/>
          <w:lang w:val="pt-BR"/>
        </w:rPr>
        <w:t>8</w:t>
      </w:r>
      <w:r w:rsidR="0089298C" w:rsidRPr="002F50BD">
        <w:rPr>
          <w:rFonts w:ascii="Verdana" w:hAnsi="Verdana"/>
          <w:sz w:val="20"/>
          <w:lang w:val="pt-BR"/>
        </w:rPr>
        <w:t xml:space="preserve"> e </w:t>
      </w:r>
      <w:r w:rsidRPr="002F50BD">
        <w:rPr>
          <w:rFonts w:ascii="Verdana" w:hAnsi="Verdana"/>
          <w:sz w:val="20"/>
          <w:lang w:val="pt-BR"/>
        </w:rPr>
        <w:t>25</w:t>
      </w:r>
      <w:r w:rsidR="0089298C" w:rsidRPr="002F50BD">
        <w:rPr>
          <w:rFonts w:ascii="Verdana" w:hAnsi="Verdana"/>
          <w:sz w:val="20"/>
          <w:lang w:val="pt-BR"/>
        </w:rPr>
        <w:t xml:space="preserve"> da </w:t>
      </w:r>
      <w:r w:rsidR="004756C1" w:rsidRPr="002F50BD">
        <w:rPr>
          <w:rFonts w:ascii="Verdana" w:hAnsi="Verdana"/>
          <w:sz w:val="20"/>
          <w:lang w:val="pt-BR"/>
        </w:rPr>
        <w:t>Conven</w:t>
      </w:r>
      <w:r w:rsidR="0089298C" w:rsidRPr="002F50BD">
        <w:rPr>
          <w:rFonts w:ascii="Verdana" w:hAnsi="Verdana"/>
          <w:sz w:val="20"/>
          <w:lang w:val="pt-BR"/>
        </w:rPr>
        <w:t>ção</w:t>
      </w:r>
      <w:r w:rsidR="004756C1" w:rsidRPr="002F50BD">
        <w:rPr>
          <w:rFonts w:ascii="Verdana" w:hAnsi="Verdana"/>
          <w:sz w:val="20"/>
          <w:lang w:val="pt-BR"/>
        </w:rPr>
        <w:t xml:space="preserve"> Americana</w:t>
      </w:r>
      <w:r w:rsidR="00E13112" w:rsidRPr="002F50BD">
        <w:rPr>
          <w:rFonts w:ascii="Verdana" w:hAnsi="Verdana"/>
          <w:sz w:val="20"/>
          <w:lang w:val="pt-BR"/>
        </w:rPr>
        <w:t xml:space="preserve"> </w:t>
      </w:r>
      <w:r w:rsidR="00CF451D" w:rsidRPr="00CF451D">
        <w:rPr>
          <w:rFonts w:ascii="Verdana" w:hAnsi="Verdana"/>
          <w:sz w:val="20"/>
          <w:lang w:val="pt-BR"/>
        </w:rPr>
        <w:t>(</w:t>
      </w:r>
      <w:r w:rsidR="0089298C" w:rsidRPr="002F50BD">
        <w:rPr>
          <w:rFonts w:ascii="Verdana" w:hAnsi="Verdana"/>
          <w:sz w:val="20"/>
          <w:lang w:val="pt-BR"/>
        </w:rPr>
        <w:t>Garantias</w:t>
      </w:r>
      <w:r w:rsidR="004756C1" w:rsidRPr="002F50BD">
        <w:rPr>
          <w:rFonts w:ascii="Verdana" w:hAnsi="Verdana"/>
          <w:sz w:val="20"/>
          <w:lang w:val="pt-BR"/>
        </w:rPr>
        <w:t xml:space="preserve"> </w:t>
      </w:r>
      <w:r w:rsidR="0089298C" w:rsidRPr="002F50BD">
        <w:rPr>
          <w:rFonts w:ascii="Verdana" w:hAnsi="Verdana"/>
          <w:sz w:val="20"/>
          <w:lang w:val="pt-BR"/>
        </w:rPr>
        <w:t>Judiciais e Proteção</w:t>
      </w:r>
      <w:r w:rsidR="004756C1" w:rsidRPr="002F50BD">
        <w:rPr>
          <w:rFonts w:ascii="Verdana" w:hAnsi="Verdana"/>
          <w:sz w:val="20"/>
          <w:lang w:val="pt-BR"/>
        </w:rPr>
        <w:t xml:space="preserve"> Judicial</w:t>
      </w:r>
      <w:r w:rsidR="00CF451D" w:rsidRPr="00CF451D">
        <w:rPr>
          <w:rFonts w:ascii="Verdana" w:hAnsi="Verdana"/>
          <w:sz w:val="20"/>
          <w:lang w:val="pt-BR"/>
        </w:rPr>
        <w:t>)</w:t>
      </w:r>
      <w:r w:rsidR="0089298C" w:rsidRPr="002F50BD">
        <w:rPr>
          <w:rFonts w:ascii="Verdana" w:hAnsi="Verdana"/>
          <w:sz w:val="20"/>
          <w:lang w:val="pt-BR"/>
        </w:rPr>
        <w:t xml:space="preserve"> e </w:t>
      </w:r>
      <w:r w:rsidR="004756C1" w:rsidRPr="002F50BD">
        <w:rPr>
          <w:rFonts w:ascii="Verdana" w:hAnsi="Verdana"/>
          <w:sz w:val="20"/>
          <w:lang w:val="pt-BR"/>
        </w:rPr>
        <w:t>ma</w:t>
      </w:r>
      <w:r w:rsidR="00E13112" w:rsidRPr="002F50BD">
        <w:rPr>
          <w:rFonts w:ascii="Verdana" w:hAnsi="Verdana"/>
          <w:sz w:val="20"/>
          <w:lang w:val="pt-BR"/>
        </w:rPr>
        <w:t>i</w:t>
      </w:r>
      <w:r w:rsidR="004756C1" w:rsidRPr="002F50BD">
        <w:rPr>
          <w:rFonts w:ascii="Verdana" w:hAnsi="Verdana"/>
          <w:sz w:val="20"/>
          <w:lang w:val="pt-BR"/>
        </w:rPr>
        <w:t xml:space="preserve">s </w:t>
      </w:r>
      <w:r w:rsidR="0089298C" w:rsidRPr="002F50BD">
        <w:rPr>
          <w:rFonts w:ascii="Verdana" w:hAnsi="Verdana"/>
          <w:sz w:val="20"/>
          <w:lang w:val="pt-BR"/>
        </w:rPr>
        <w:t xml:space="preserve">especificamente em </w:t>
      </w:r>
      <w:r w:rsidR="004756C1" w:rsidRPr="002F50BD">
        <w:rPr>
          <w:rFonts w:ascii="Verdana" w:hAnsi="Verdana"/>
          <w:sz w:val="20"/>
          <w:lang w:val="pt-BR"/>
        </w:rPr>
        <w:t>rela</w:t>
      </w:r>
      <w:r w:rsidR="0089298C" w:rsidRPr="002F50BD">
        <w:rPr>
          <w:rFonts w:ascii="Verdana" w:hAnsi="Verdana"/>
          <w:sz w:val="20"/>
          <w:lang w:val="pt-BR"/>
        </w:rPr>
        <w:t>ção ao procedimento</w:t>
      </w:r>
      <w:r w:rsidR="004756C1" w:rsidRPr="002F50BD">
        <w:rPr>
          <w:rFonts w:ascii="Verdana" w:hAnsi="Verdana"/>
          <w:sz w:val="20"/>
          <w:lang w:val="pt-BR"/>
        </w:rPr>
        <w:t xml:space="preserve"> instaurado</w:t>
      </w:r>
      <w:r w:rsidR="00AB454A" w:rsidRPr="002F50BD">
        <w:rPr>
          <w:rFonts w:ascii="Verdana" w:hAnsi="Verdana"/>
          <w:sz w:val="20"/>
          <w:lang w:val="pt-BR"/>
        </w:rPr>
        <w:t xml:space="preserve"> contra </w:t>
      </w:r>
      <w:r w:rsidR="0089298C" w:rsidRPr="002F50BD">
        <w:rPr>
          <w:rFonts w:ascii="Verdana" w:hAnsi="Verdana"/>
          <w:sz w:val="20"/>
          <w:lang w:val="pt-BR"/>
        </w:rPr>
        <w:t>os membro</w:t>
      </w:r>
      <w:r w:rsidR="004756C1" w:rsidRPr="002F50BD">
        <w:rPr>
          <w:rFonts w:ascii="Verdana" w:hAnsi="Verdana"/>
          <w:sz w:val="20"/>
          <w:lang w:val="pt-BR"/>
        </w:rPr>
        <w:t>s</w:t>
      </w:r>
      <w:r w:rsidR="0089298C" w:rsidRPr="002F50BD">
        <w:rPr>
          <w:rFonts w:ascii="Verdana" w:hAnsi="Verdana"/>
          <w:sz w:val="20"/>
          <w:lang w:val="pt-BR"/>
        </w:rPr>
        <w:t xml:space="preserve"> da Comunidade</w:t>
      </w:r>
      <w:r w:rsidR="00E13112" w:rsidRPr="002F50BD">
        <w:rPr>
          <w:rFonts w:ascii="Verdana" w:hAnsi="Verdana"/>
          <w:sz w:val="20"/>
          <w:lang w:val="pt-BR"/>
        </w:rPr>
        <w:t>,</w:t>
      </w:r>
      <w:r w:rsidR="0089298C" w:rsidRPr="002F50BD">
        <w:rPr>
          <w:rFonts w:ascii="Verdana" w:hAnsi="Verdana"/>
          <w:sz w:val="20"/>
          <w:lang w:val="pt-BR"/>
        </w:rPr>
        <w:t xml:space="preserve"> </w:t>
      </w:r>
      <w:r w:rsidR="00E13112" w:rsidRPr="002F50BD">
        <w:rPr>
          <w:rFonts w:ascii="Verdana" w:hAnsi="Verdana"/>
          <w:sz w:val="20"/>
          <w:lang w:val="pt-BR"/>
        </w:rPr>
        <w:t xml:space="preserve">considero </w:t>
      </w:r>
      <w:r w:rsidR="004756C1" w:rsidRPr="002F50BD">
        <w:rPr>
          <w:rFonts w:ascii="Verdana" w:hAnsi="Verdana"/>
          <w:sz w:val="20"/>
          <w:lang w:val="pt-BR"/>
        </w:rPr>
        <w:t>que</w:t>
      </w:r>
      <w:r w:rsidR="0089298C" w:rsidRPr="002F50BD">
        <w:rPr>
          <w:rFonts w:ascii="Verdana" w:hAnsi="Verdana"/>
          <w:sz w:val="20"/>
          <w:lang w:val="pt-BR"/>
        </w:rPr>
        <w:t xml:space="preserve"> os </w:t>
      </w:r>
      <w:r w:rsidR="00CE6AFD" w:rsidRPr="002F50BD">
        <w:rPr>
          <w:rFonts w:ascii="Verdana" w:hAnsi="Verdana"/>
          <w:sz w:val="20"/>
          <w:lang w:val="pt-BR"/>
        </w:rPr>
        <w:t xml:space="preserve">prejuízos </w:t>
      </w:r>
      <w:r w:rsidR="0089298C" w:rsidRPr="002F50BD">
        <w:rPr>
          <w:rFonts w:ascii="Verdana" w:hAnsi="Verdana"/>
          <w:sz w:val="20"/>
          <w:lang w:val="pt-BR"/>
        </w:rPr>
        <w:t xml:space="preserve">à Comunidade </w:t>
      </w:r>
      <w:r w:rsidR="004756C1" w:rsidRPr="002F50BD">
        <w:rPr>
          <w:rFonts w:ascii="Verdana" w:hAnsi="Verdana"/>
          <w:sz w:val="20"/>
          <w:lang w:val="pt-BR"/>
        </w:rPr>
        <w:t>ligados</w:t>
      </w:r>
      <w:r w:rsidR="0089298C" w:rsidRPr="002F50BD">
        <w:rPr>
          <w:rFonts w:ascii="Verdana" w:hAnsi="Verdana"/>
          <w:sz w:val="20"/>
          <w:lang w:val="pt-BR"/>
        </w:rPr>
        <w:t xml:space="preserve"> à </w:t>
      </w:r>
      <w:r w:rsidR="004756C1" w:rsidRPr="002F50BD">
        <w:rPr>
          <w:rFonts w:ascii="Verdana" w:hAnsi="Verdana"/>
          <w:sz w:val="20"/>
          <w:lang w:val="pt-BR"/>
        </w:rPr>
        <w:t>viola</w:t>
      </w:r>
      <w:r w:rsidR="0089298C" w:rsidRPr="002F50BD">
        <w:rPr>
          <w:rFonts w:ascii="Verdana" w:hAnsi="Verdana"/>
          <w:sz w:val="20"/>
          <w:lang w:val="pt-BR"/>
        </w:rPr>
        <w:t>ção das garantias</w:t>
      </w:r>
      <w:r w:rsidR="004756C1" w:rsidRPr="002F50BD">
        <w:rPr>
          <w:rFonts w:ascii="Verdana" w:hAnsi="Verdana"/>
          <w:sz w:val="20"/>
          <w:lang w:val="pt-BR"/>
        </w:rPr>
        <w:t xml:space="preserve"> </w:t>
      </w:r>
      <w:r w:rsidR="0089298C" w:rsidRPr="002F50BD">
        <w:rPr>
          <w:rFonts w:ascii="Verdana" w:hAnsi="Verdana"/>
          <w:sz w:val="20"/>
          <w:lang w:val="pt-BR"/>
        </w:rPr>
        <w:t>processuais</w:t>
      </w:r>
      <w:r w:rsidR="004756C1" w:rsidRPr="002F50BD">
        <w:rPr>
          <w:rFonts w:ascii="Verdana" w:hAnsi="Verdana"/>
          <w:sz w:val="20"/>
          <w:lang w:val="pt-BR"/>
        </w:rPr>
        <w:t xml:space="preserve"> </w:t>
      </w:r>
      <w:r w:rsidR="0089298C" w:rsidRPr="002F50BD">
        <w:rPr>
          <w:rFonts w:ascii="Verdana" w:hAnsi="Verdana"/>
          <w:sz w:val="20"/>
          <w:lang w:val="pt-BR"/>
        </w:rPr>
        <w:t>devidas</w:t>
      </w:r>
      <w:r w:rsidR="004756C1" w:rsidRPr="002F50BD">
        <w:rPr>
          <w:rFonts w:ascii="Verdana" w:hAnsi="Verdana"/>
          <w:sz w:val="20"/>
          <w:lang w:val="pt-BR"/>
        </w:rPr>
        <w:t>, originados</w:t>
      </w:r>
      <w:r w:rsidR="0089298C" w:rsidRPr="002F50BD">
        <w:rPr>
          <w:rFonts w:ascii="Verdana" w:hAnsi="Verdana"/>
          <w:sz w:val="20"/>
          <w:lang w:val="pt-BR"/>
        </w:rPr>
        <w:t xml:space="preserve"> nos primeiro</w:t>
      </w:r>
      <w:r w:rsidR="004756C1" w:rsidRPr="002F50BD">
        <w:rPr>
          <w:rFonts w:ascii="Verdana" w:hAnsi="Verdana"/>
          <w:sz w:val="20"/>
          <w:lang w:val="pt-BR"/>
        </w:rPr>
        <w:t xml:space="preserve">s </w:t>
      </w:r>
      <w:r w:rsidR="0089298C" w:rsidRPr="002F50BD">
        <w:rPr>
          <w:rFonts w:ascii="Verdana" w:hAnsi="Verdana"/>
          <w:sz w:val="20"/>
          <w:lang w:val="pt-BR"/>
        </w:rPr>
        <w:t>passos</w:t>
      </w:r>
      <w:r w:rsidR="004756C1" w:rsidRPr="002F50BD">
        <w:rPr>
          <w:rFonts w:ascii="Verdana" w:hAnsi="Verdana"/>
          <w:sz w:val="20"/>
          <w:lang w:val="pt-BR"/>
        </w:rPr>
        <w:t xml:space="preserve"> </w:t>
      </w:r>
      <w:r w:rsidR="0089298C" w:rsidRPr="002F50BD">
        <w:rPr>
          <w:rFonts w:ascii="Verdana" w:hAnsi="Verdana"/>
          <w:sz w:val="20"/>
          <w:lang w:val="pt-BR"/>
        </w:rPr>
        <w:t>processuais</w:t>
      </w:r>
      <w:r w:rsidR="004756C1" w:rsidRPr="002F50BD">
        <w:rPr>
          <w:rFonts w:ascii="Verdana" w:hAnsi="Verdana"/>
          <w:sz w:val="20"/>
          <w:lang w:val="pt-BR"/>
        </w:rPr>
        <w:t>,</w:t>
      </w:r>
      <w:r w:rsidR="0089298C" w:rsidRPr="002F50BD">
        <w:rPr>
          <w:rFonts w:ascii="Verdana" w:hAnsi="Verdana"/>
          <w:sz w:val="20"/>
          <w:lang w:val="pt-BR"/>
        </w:rPr>
        <w:t xml:space="preserve"> na Primeira</w:t>
      </w:r>
      <w:r w:rsidR="004756C1" w:rsidRPr="002F50BD">
        <w:rPr>
          <w:rFonts w:ascii="Verdana" w:hAnsi="Verdana"/>
          <w:sz w:val="20"/>
          <w:lang w:val="pt-BR"/>
        </w:rPr>
        <w:t xml:space="preserve"> </w:t>
      </w:r>
      <w:r w:rsidR="0089298C" w:rsidRPr="002F50BD">
        <w:rPr>
          <w:rFonts w:ascii="Verdana" w:hAnsi="Verdana"/>
          <w:sz w:val="20"/>
          <w:lang w:val="pt-BR"/>
        </w:rPr>
        <w:t>Instância</w:t>
      </w:r>
      <w:r w:rsidR="004756C1" w:rsidRPr="002F50BD">
        <w:rPr>
          <w:rFonts w:ascii="Verdana" w:hAnsi="Verdana"/>
          <w:sz w:val="20"/>
          <w:lang w:val="pt-BR"/>
        </w:rPr>
        <w:t xml:space="preserve">, </w:t>
      </w:r>
      <w:r w:rsidR="00E13112" w:rsidRPr="002F50BD">
        <w:rPr>
          <w:rFonts w:ascii="Verdana" w:hAnsi="Verdana"/>
          <w:sz w:val="20"/>
          <w:lang w:val="pt-BR"/>
        </w:rPr>
        <w:t xml:space="preserve">poderiam </w:t>
      </w:r>
      <w:r w:rsidR="0089298C" w:rsidRPr="002F50BD">
        <w:rPr>
          <w:rFonts w:ascii="Verdana" w:hAnsi="Verdana"/>
          <w:sz w:val="20"/>
          <w:lang w:val="pt-BR"/>
        </w:rPr>
        <w:t>ter</w:t>
      </w:r>
      <w:r w:rsidR="004756C1" w:rsidRPr="002F50BD">
        <w:rPr>
          <w:rFonts w:ascii="Verdana" w:hAnsi="Verdana"/>
          <w:sz w:val="20"/>
          <w:lang w:val="pt-BR"/>
        </w:rPr>
        <w:t xml:space="preserve"> sido reparados</w:t>
      </w:r>
      <w:r w:rsidR="0089298C" w:rsidRPr="002F50BD">
        <w:rPr>
          <w:rFonts w:ascii="Verdana" w:hAnsi="Verdana"/>
          <w:sz w:val="20"/>
          <w:lang w:val="pt-BR"/>
        </w:rPr>
        <w:t xml:space="preserve"> em outra</w:t>
      </w:r>
      <w:r w:rsidR="004756C1" w:rsidRPr="002F50BD">
        <w:rPr>
          <w:rFonts w:ascii="Verdana" w:hAnsi="Verdana"/>
          <w:sz w:val="20"/>
          <w:lang w:val="pt-BR"/>
        </w:rPr>
        <w:t xml:space="preserve">s etapas </w:t>
      </w:r>
      <w:r w:rsidR="0089298C" w:rsidRPr="002F50BD">
        <w:rPr>
          <w:rFonts w:ascii="Verdana" w:hAnsi="Verdana"/>
          <w:sz w:val="20"/>
          <w:lang w:val="pt-BR"/>
        </w:rPr>
        <w:t>do mesm</w:t>
      </w:r>
      <w:r w:rsidR="004756C1" w:rsidRPr="002F50BD">
        <w:rPr>
          <w:rFonts w:ascii="Verdana" w:hAnsi="Verdana"/>
          <w:sz w:val="20"/>
          <w:lang w:val="pt-BR"/>
        </w:rPr>
        <w:t xml:space="preserve">o </w:t>
      </w:r>
      <w:r w:rsidR="0089298C" w:rsidRPr="002F50BD">
        <w:rPr>
          <w:rFonts w:ascii="Verdana" w:hAnsi="Verdana"/>
          <w:sz w:val="20"/>
          <w:lang w:val="pt-BR"/>
        </w:rPr>
        <w:t>processo no direito</w:t>
      </w:r>
      <w:r w:rsidR="004756C1" w:rsidRPr="002F50BD">
        <w:rPr>
          <w:rFonts w:ascii="Verdana" w:hAnsi="Verdana"/>
          <w:sz w:val="20"/>
          <w:lang w:val="pt-BR"/>
        </w:rPr>
        <w:t xml:space="preserve"> interno.</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p>
    <w:p w:rsidR="004756C1" w:rsidRPr="002F50BD" w:rsidRDefault="004756C1">
      <w:pPr>
        <w:jc w:val="right"/>
        <w:rPr>
          <w:rFonts w:ascii="Verdana" w:hAnsi="Verdana"/>
          <w:sz w:val="20"/>
          <w:lang w:val="pt-BR"/>
        </w:rPr>
      </w:pPr>
      <w:r w:rsidRPr="002F50BD">
        <w:rPr>
          <w:rFonts w:ascii="Verdana" w:hAnsi="Verdana"/>
          <w:sz w:val="20"/>
          <w:lang w:val="pt-BR"/>
        </w:rPr>
        <w:t>Ramón Fogel Pedroso</w:t>
      </w:r>
    </w:p>
    <w:p w:rsidR="004756C1" w:rsidRPr="002F50BD" w:rsidRDefault="0089298C">
      <w:pPr>
        <w:ind w:right="404"/>
        <w:jc w:val="right"/>
        <w:rPr>
          <w:rFonts w:ascii="Verdana" w:hAnsi="Verdana"/>
          <w:i/>
          <w:sz w:val="20"/>
          <w:lang w:val="pt-BR"/>
        </w:rPr>
      </w:pPr>
      <w:r w:rsidRPr="002F50BD">
        <w:rPr>
          <w:rFonts w:ascii="Verdana" w:hAnsi="Verdana"/>
          <w:sz w:val="20"/>
          <w:lang w:val="pt-BR"/>
        </w:rPr>
        <w:t>Juiz</w:t>
      </w:r>
      <w:r w:rsidR="004756C1" w:rsidRPr="002F50BD">
        <w:rPr>
          <w:rFonts w:ascii="Verdana" w:hAnsi="Verdana"/>
          <w:sz w:val="20"/>
          <w:lang w:val="pt-BR"/>
        </w:rPr>
        <w:t xml:space="preserve"> </w:t>
      </w:r>
      <w:r w:rsidR="004756C1" w:rsidRPr="002F50BD">
        <w:rPr>
          <w:rFonts w:ascii="Verdana" w:hAnsi="Verdana"/>
          <w:i/>
          <w:sz w:val="20"/>
          <w:lang w:val="pt-BR"/>
        </w:rPr>
        <w:t>ad hoc</w:t>
      </w: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lang w:val="pt-BR"/>
        </w:rPr>
      </w:pPr>
    </w:p>
    <w:p w:rsidR="004756C1" w:rsidRPr="002F50BD" w:rsidRDefault="004756C1">
      <w:pPr>
        <w:jc w:val="both"/>
        <w:rPr>
          <w:rFonts w:ascii="Verdana" w:hAnsi="Verdana"/>
          <w:sz w:val="20"/>
        </w:rPr>
      </w:pPr>
      <w:r w:rsidRPr="002F50BD">
        <w:rPr>
          <w:rFonts w:ascii="Verdana" w:hAnsi="Verdana"/>
          <w:sz w:val="20"/>
        </w:rPr>
        <w:t>Pablo Saavedra Alessandri</w:t>
      </w:r>
    </w:p>
    <w:p w:rsidR="004756C1" w:rsidRPr="002F50BD" w:rsidRDefault="004756C1">
      <w:pPr>
        <w:jc w:val="both"/>
        <w:rPr>
          <w:rFonts w:ascii="Verdana" w:hAnsi="Verdana"/>
          <w:sz w:val="20"/>
        </w:rPr>
      </w:pPr>
      <w:r w:rsidRPr="002F50BD">
        <w:rPr>
          <w:rFonts w:ascii="Verdana" w:hAnsi="Verdana"/>
          <w:sz w:val="20"/>
        </w:rPr>
        <w:tab/>
      </w:r>
      <w:r w:rsidR="00FE08B7">
        <w:rPr>
          <w:rFonts w:ascii="Verdana" w:hAnsi="Verdana"/>
          <w:sz w:val="20"/>
        </w:rPr>
        <w:t xml:space="preserve"> </w:t>
      </w:r>
      <w:r w:rsidR="0089298C" w:rsidRPr="002F50BD">
        <w:rPr>
          <w:rFonts w:ascii="Verdana" w:hAnsi="Verdana"/>
          <w:sz w:val="20"/>
        </w:rPr>
        <w:t>Secretário</w:t>
      </w:r>
    </w:p>
    <w:p w:rsidR="004756C1" w:rsidRPr="002F50BD" w:rsidRDefault="004756C1">
      <w:pPr>
        <w:rPr>
          <w:rFonts w:ascii="Verdana" w:hAnsi="Verdana"/>
          <w:sz w:val="20"/>
        </w:rPr>
      </w:pPr>
    </w:p>
    <w:sectPr w:rsidR="004756C1" w:rsidRPr="002F50BD" w:rsidSect="008078C2">
      <w:headerReference w:type="even" r:id="rId21"/>
      <w:headerReference w:type="default" r:id="rId22"/>
      <w:footerReference w:type="even" r:id="rId23"/>
      <w:footerReference w:type="default" r:id="rId24"/>
      <w:footnotePr>
        <w:numRestart w:val="eachSect"/>
      </w:footnotePr>
      <w:pgSz w:w="12240" w:h="15840"/>
      <w:pgMar w:top="1440" w:right="1800" w:bottom="1440" w:left="180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EA" w:rsidRDefault="00DF42EA">
      <w:r>
        <w:separator/>
      </w:r>
    </w:p>
  </w:endnote>
  <w:endnote w:type="continuationSeparator" w:id="0">
    <w:p w:rsidR="00DF42EA" w:rsidRDefault="00DF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pple Chancery">
    <w:charset w:val="00"/>
    <w:family w:val="auto"/>
    <w:pitch w:val="variable"/>
    <w:sig w:usb0="03000000" w:usb1="00000000" w:usb2="00000000" w:usb3="00000000" w:csb0="00000001" w:csb1="00000000"/>
  </w:font>
  <w:font w:name="Bradley Hand ITC TT-Bold">
    <w:charset w:val="00"/>
    <w:family w:val="auto"/>
    <w:pitch w:val="variable"/>
    <w:sig w:usb0="800000FF" w:usb1="5000204A" w:usb2="00000000" w:usb3="00000000" w:csb0="00000111" w:csb1="00000000"/>
  </w:font>
  <w:font w:name="Lucida Grande">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51D" w:rsidRDefault="00CF45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51D" w:rsidRDefault="00CF45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Footer"/>
      <w:framePr w:wrap="around" w:vAnchor="text" w:hAnchor="margin" w:xAlign="right" w:y="1"/>
      <w:ind w:right="360"/>
      <w:rPr>
        <w:rStyle w:val="PageNumber"/>
      </w:rPr>
    </w:pPr>
  </w:p>
  <w:p w:rsidR="00CF451D" w:rsidRDefault="00CF45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EA" w:rsidRDefault="00DF42EA">
      <w:r>
        <w:separator/>
      </w:r>
    </w:p>
  </w:footnote>
  <w:footnote w:type="continuationSeparator" w:id="0">
    <w:p w:rsidR="00DF42EA" w:rsidRDefault="00DF42EA">
      <w:r>
        <w:continuationSeparator/>
      </w:r>
    </w:p>
  </w:footnote>
  <w:footnote w:id="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A presente Sentença é proferida de acordo com os termos do Regulamento aprovado pela Corte Interamericana de Direitos Humanos em seu XLIX Período Ordinário de Sessões, mediante Resolução de 24 de novembro de 2000, o qual entrou em vigor em 1º de junho de 2001, e segundo a reforma parcial aprovada pela Corte em seu LXI Período Ordinário de Sessões, mediante Resolução de 25 de novembro de 2003, vigente desde 1º de janeiro de 2004.</w:t>
      </w:r>
    </w:p>
    <w:p w:rsidR="00CF451D" w:rsidRPr="002F50BD" w:rsidRDefault="00CF451D">
      <w:pPr>
        <w:pStyle w:val="FootnoteText"/>
        <w:jc w:val="both"/>
        <w:rPr>
          <w:rFonts w:ascii="Verdana" w:hAnsi="Verdana"/>
          <w:sz w:val="16"/>
          <w:szCs w:val="16"/>
          <w:lang w:val="pt-BR"/>
        </w:rPr>
      </w:pPr>
    </w:p>
  </w:footnote>
  <w:footnote w:id="2">
    <w:p w:rsidR="00CF451D" w:rsidRPr="002F50BD" w:rsidRDefault="00CF451D">
      <w:pPr>
        <w:pStyle w:val="FootnoteText"/>
        <w:jc w:val="both"/>
        <w:rPr>
          <w:rFonts w:ascii="Verdana" w:hAnsi="Verdana"/>
          <w:color w:val="000000"/>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Sentença de 11 de março de 2005. Série C Nº 123</w:t>
      </w:r>
      <w:r w:rsidRPr="002F50BD">
        <w:rPr>
          <w:rFonts w:ascii="Verdana" w:hAnsi="Verdana"/>
          <w:i/>
          <w:color w:val="000000"/>
          <w:sz w:val="16"/>
          <w:szCs w:val="16"/>
          <w:lang w:val="pt-BR"/>
        </w:rPr>
        <w:t xml:space="preserve">, </w:t>
      </w:r>
      <w:r w:rsidRPr="002F50BD">
        <w:rPr>
          <w:rFonts w:ascii="Verdana" w:hAnsi="Verdana"/>
          <w:color w:val="000000"/>
          <w:sz w:val="16"/>
          <w:szCs w:val="16"/>
          <w:lang w:val="pt-BR"/>
        </w:rPr>
        <w:t>par. 41;</w:t>
      </w:r>
      <w:r w:rsidRPr="002F50BD">
        <w:rPr>
          <w:rFonts w:ascii="Verdana" w:hAnsi="Verdana"/>
          <w:b/>
          <w:i/>
          <w:sz w:val="16"/>
          <w:szCs w:val="16"/>
          <w:lang w:val="pt-BR"/>
        </w:rPr>
        <w:t xml:space="preserve"> </w:t>
      </w:r>
      <w:r w:rsidRPr="002F50BD">
        <w:rPr>
          <w:rFonts w:ascii="Verdana" w:hAnsi="Verdana"/>
          <w:i/>
          <w:sz w:val="16"/>
          <w:szCs w:val="16"/>
          <w:lang w:val="pt-BR"/>
        </w:rPr>
        <w:t xml:space="preserve">Caso das Irmãs Serrano Cruz. </w:t>
      </w:r>
      <w:r w:rsidRPr="002F50BD">
        <w:rPr>
          <w:rFonts w:ascii="Verdana" w:hAnsi="Verdana"/>
          <w:sz w:val="16"/>
          <w:szCs w:val="16"/>
          <w:lang w:val="pt-BR"/>
        </w:rPr>
        <w:t>Sentença de 1</w:t>
      </w:r>
      <w:r>
        <w:rPr>
          <w:rFonts w:ascii="Verdana" w:hAnsi="Verdana"/>
          <w:sz w:val="16"/>
          <w:szCs w:val="16"/>
          <w:lang w:val="pt-BR"/>
        </w:rPr>
        <w:t xml:space="preserve">º </w:t>
      </w:r>
      <w:r w:rsidRPr="002F50BD">
        <w:rPr>
          <w:rFonts w:ascii="Verdana" w:hAnsi="Verdana"/>
          <w:sz w:val="16"/>
          <w:szCs w:val="16"/>
          <w:lang w:val="pt-BR"/>
        </w:rPr>
        <w:t>de março de 2005. Série C Nº 120,</w:t>
      </w:r>
      <w:r w:rsidRPr="002F50BD">
        <w:rPr>
          <w:rFonts w:ascii="Verdana" w:hAnsi="Verdana"/>
          <w:i/>
          <w:color w:val="000000"/>
          <w:sz w:val="16"/>
          <w:szCs w:val="16"/>
          <w:lang w:val="pt-BR"/>
        </w:rPr>
        <w:t xml:space="preserve"> </w:t>
      </w:r>
      <w:r w:rsidRPr="002F50BD">
        <w:rPr>
          <w:rFonts w:ascii="Verdana" w:hAnsi="Verdana"/>
          <w:color w:val="000000"/>
          <w:sz w:val="16"/>
          <w:szCs w:val="16"/>
          <w:lang w:val="pt-BR"/>
        </w:rPr>
        <w:t xml:space="preserve">par. 31, e </w:t>
      </w:r>
      <w:r w:rsidRPr="002F50BD">
        <w:rPr>
          <w:rFonts w:ascii="Verdana" w:hAnsi="Verdana"/>
          <w:i/>
          <w:color w:val="000000"/>
          <w:sz w:val="16"/>
          <w:szCs w:val="16"/>
          <w:lang w:val="pt-BR"/>
        </w:rPr>
        <w:t>Caso Lori Berenson Mejía.</w:t>
      </w:r>
      <w:r w:rsidRPr="002F50BD">
        <w:rPr>
          <w:rFonts w:ascii="Verdana" w:hAnsi="Verdana"/>
          <w:b/>
          <w:i/>
          <w:color w:val="000000"/>
          <w:sz w:val="16"/>
          <w:szCs w:val="16"/>
          <w:lang w:val="pt-BR"/>
        </w:rPr>
        <w:t xml:space="preserve"> </w:t>
      </w:r>
      <w:r w:rsidRPr="002F50BD">
        <w:rPr>
          <w:rFonts w:ascii="Verdana" w:hAnsi="Verdana"/>
          <w:color w:val="000000"/>
          <w:sz w:val="16"/>
          <w:szCs w:val="16"/>
          <w:lang w:val="pt-BR"/>
        </w:rPr>
        <w:t>Sentença de 25 de novembro de 2004. Série C Nº 119, par. 62.</w:t>
      </w:r>
    </w:p>
    <w:p w:rsidR="00CF451D" w:rsidRPr="002F50BD" w:rsidRDefault="00CF451D">
      <w:pPr>
        <w:pStyle w:val="FootnoteText"/>
        <w:jc w:val="both"/>
        <w:rPr>
          <w:rFonts w:ascii="Verdana" w:hAnsi="Verdana"/>
          <w:sz w:val="16"/>
          <w:szCs w:val="16"/>
          <w:lang w:val="pt-BR"/>
        </w:rPr>
      </w:pPr>
    </w:p>
  </w:footnote>
  <w:footnote w:id="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das Irmãs Serrano Cruz</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 </w:t>
      </w:r>
      <w:r w:rsidRPr="002F50BD">
        <w:rPr>
          <w:rFonts w:ascii="Verdana" w:hAnsi="Verdana"/>
          <w:color w:val="000000"/>
          <w:sz w:val="16"/>
          <w:szCs w:val="16"/>
          <w:lang w:val="pt-BR"/>
        </w:rPr>
        <w:t>par. 32;</w:t>
      </w:r>
      <w:r w:rsidRPr="002F50BD">
        <w:rPr>
          <w:rFonts w:ascii="Verdana" w:hAnsi="Verdana"/>
          <w:b/>
          <w:color w:val="003366"/>
          <w:sz w:val="16"/>
          <w:szCs w:val="16"/>
          <w:lang w:val="pt-BR"/>
        </w:rPr>
        <w:t xml:space="preserve"> </w:t>
      </w:r>
      <w:r w:rsidRPr="002F50BD">
        <w:rPr>
          <w:rFonts w:ascii="Verdana" w:hAnsi="Verdana"/>
          <w:i/>
          <w:sz w:val="16"/>
          <w:szCs w:val="16"/>
          <w:lang w:val="pt-BR"/>
        </w:rPr>
        <w:t xml:space="preserve">Caso Lori Berenson Mejía,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 xml:space="preserve">par. 63; e </w:t>
      </w:r>
      <w:r w:rsidRPr="002F50BD">
        <w:rPr>
          <w:rFonts w:ascii="Verdana" w:hAnsi="Verdana"/>
          <w:i/>
          <w:sz w:val="16"/>
          <w:szCs w:val="16"/>
          <w:lang w:val="pt-BR"/>
        </w:rPr>
        <w:t>Caso Molina Theissen</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art. 63.1 Convenção Americana sobre Direitos Humanos</w:t>
      </w:r>
      <w:r w:rsidRPr="00CF451D">
        <w:rPr>
          <w:rFonts w:ascii="Verdana" w:hAnsi="Verdana"/>
          <w:sz w:val="16"/>
          <w:szCs w:val="16"/>
          <w:lang w:val="pt-BR"/>
        </w:rPr>
        <w:t>)</w:t>
      </w:r>
      <w:r w:rsidRPr="002F50BD">
        <w:rPr>
          <w:rFonts w:ascii="Verdana" w:hAnsi="Verdana"/>
          <w:sz w:val="16"/>
          <w:szCs w:val="16"/>
          <w:lang w:val="pt-BR"/>
        </w:rPr>
        <w:t xml:space="preserve">. Sentença de 3 de julho de 2004. Série C Nº 108, par. 22. </w:t>
      </w:r>
    </w:p>
    <w:p w:rsidR="00CF451D" w:rsidRPr="002F50BD" w:rsidRDefault="00CF451D">
      <w:pPr>
        <w:pStyle w:val="FootnoteText"/>
        <w:jc w:val="both"/>
        <w:rPr>
          <w:rFonts w:ascii="Verdana" w:hAnsi="Verdana"/>
          <w:sz w:val="16"/>
          <w:szCs w:val="16"/>
          <w:lang w:val="pt-BR"/>
        </w:rPr>
      </w:pPr>
    </w:p>
  </w:footnote>
  <w:footnote w:id="4">
    <w:p w:rsidR="00CF451D" w:rsidRPr="002F50BD" w:rsidRDefault="00CF451D">
      <w:pPr>
        <w:pStyle w:val="FootnoteText"/>
        <w:jc w:val="both"/>
        <w:rPr>
          <w:rFonts w:ascii="Verdana" w:hAnsi="Verdana"/>
          <w:color w:val="000000"/>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i/>
          <w:color w:val="000000"/>
          <w:sz w:val="16"/>
          <w:szCs w:val="16"/>
          <w:lang w:val="pt-BR"/>
        </w:rPr>
        <w:t xml:space="preserve"> </w:t>
      </w:r>
      <w:r w:rsidRPr="002F50BD">
        <w:rPr>
          <w:rFonts w:ascii="Verdana" w:hAnsi="Verdana"/>
          <w:color w:val="000000"/>
          <w:sz w:val="16"/>
          <w:szCs w:val="16"/>
          <w:lang w:val="pt-BR"/>
        </w:rPr>
        <w:t xml:space="preserve">par. 42; Caso </w:t>
      </w:r>
      <w:r w:rsidRPr="002F50BD">
        <w:rPr>
          <w:rFonts w:ascii="Verdana" w:hAnsi="Verdana"/>
          <w:i/>
          <w:color w:val="000000"/>
          <w:sz w:val="16"/>
          <w:szCs w:val="16"/>
          <w:lang w:val="pt-BR"/>
        </w:rPr>
        <w:t xml:space="preserve">Irmãs Serrano Cruz, </w:t>
      </w:r>
      <w:r w:rsidRPr="002F50BD">
        <w:rPr>
          <w:rFonts w:ascii="Verdana" w:hAnsi="Verdana"/>
          <w:color w:val="000000"/>
          <w:sz w:val="16"/>
          <w:szCs w:val="16"/>
          <w:lang w:val="pt-BR"/>
        </w:rPr>
        <w:t>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33, e</w:t>
      </w:r>
      <w:r w:rsidRPr="002F50BD">
        <w:rPr>
          <w:rFonts w:ascii="Verdana" w:hAnsi="Verdana"/>
          <w:i/>
          <w:color w:val="000000"/>
          <w:sz w:val="16"/>
          <w:szCs w:val="16"/>
          <w:lang w:val="pt-BR"/>
        </w:rPr>
        <w:t xml:space="preserve"> Caso Lori Berenson Mejía, </w:t>
      </w:r>
      <w:r w:rsidRPr="002F50BD">
        <w:rPr>
          <w:rFonts w:ascii="Verdana" w:hAnsi="Verdana"/>
          <w:color w:val="000000"/>
          <w:sz w:val="16"/>
          <w:szCs w:val="16"/>
          <w:lang w:val="pt-BR"/>
        </w:rPr>
        <w:t>nota 2</w:t>
      </w:r>
      <w:r w:rsidRPr="002F50BD">
        <w:rPr>
          <w:rFonts w:ascii="Verdana" w:hAnsi="Verdana"/>
          <w:i/>
          <w:color w:val="000000"/>
          <w:sz w:val="16"/>
          <w:szCs w:val="16"/>
          <w:lang w:val="pt-BR"/>
        </w:rPr>
        <w:t xml:space="preserve"> supra, </w:t>
      </w:r>
      <w:r w:rsidRPr="002F50BD">
        <w:rPr>
          <w:rFonts w:ascii="Verdana" w:hAnsi="Verdana"/>
          <w:color w:val="000000"/>
          <w:sz w:val="16"/>
          <w:szCs w:val="16"/>
          <w:lang w:val="pt-BR"/>
        </w:rPr>
        <w:t>par. 64.</w:t>
      </w:r>
    </w:p>
    <w:p w:rsidR="00CF451D" w:rsidRPr="002F50BD" w:rsidRDefault="00CF451D">
      <w:pPr>
        <w:pStyle w:val="FootnoteText"/>
        <w:jc w:val="both"/>
        <w:rPr>
          <w:rFonts w:ascii="Verdana" w:hAnsi="Verdana"/>
          <w:sz w:val="16"/>
          <w:szCs w:val="16"/>
          <w:lang w:val="pt-BR"/>
        </w:rPr>
      </w:pPr>
    </w:p>
  </w:footnote>
  <w:footnote w:id="5">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expediente de anexos à demanda, anexos 1 a 37, folhas 1 a 1552.</w:t>
      </w:r>
    </w:p>
    <w:p w:rsidR="00CF451D" w:rsidRPr="002F50BD" w:rsidRDefault="00CF451D">
      <w:pPr>
        <w:pStyle w:val="FootnoteText"/>
        <w:jc w:val="both"/>
        <w:rPr>
          <w:rFonts w:ascii="Verdana" w:hAnsi="Verdana"/>
          <w:b/>
          <w:sz w:val="16"/>
          <w:szCs w:val="16"/>
          <w:lang w:val="pt-BR"/>
        </w:rPr>
      </w:pPr>
    </w:p>
  </w:footnote>
  <w:footnote w:id="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expediente de anexos ao escrito de petições e argumentos, anexos 1 a 10, folhas 1555 a 3568 e expediente de anexos às alegações finais escritas, folhas 480 a 783. </w:t>
      </w:r>
    </w:p>
    <w:p w:rsidR="00CF451D" w:rsidRPr="002F50BD" w:rsidRDefault="00CF451D">
      <w:pPr>
        <w:pStyle w:val="FootnoteText"/>
        <w:jc w:val="both"/>
        <w:rPr>
          <w:rFonts w:ascii="Verdana" w:hAnsi="Verdana"/>
          <w:sz w:val="16"/>
          <w:szCs w:val="16"/>
          <w:lang w:val="pt-BR"/>
        </w:rPr>
      </w:pPr>
    </w:p>
  </w:footnote>
  <w:footnote w:id="7">
    <w:p w:rsidR="00CF451D" w:rsidRPr="002F50BD" w:rsidRDefault="00CF451D">
      <w:pPr>
        <w:tabs>
          <w:tab w:val="left" w:pos="720"/>
        </w:tabs>
        <w:ind w:right="4"/>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i/>
          <w:sz w:val="16"/>
          <w:szCs w:val="16"/>
          <w:lang w:val="pt-BR"/>
        </w:rPr>
        <w:tab/>
        <w:t xml:space="preserve">Cf. </w:t>
      </w:r>
      <w:r w:rsidRPr="002F50BD">
        <w:rPr>
          <w:rFonts w:ascii="Verdana" w:hAnsi="Verdana"/>
          <w:sz w:val="16"/>
          <w:szCs w:val="16"/>
          <w:lang w:val="pt-BR"/>
        </w:rPr>
        <w:t>expediente</w:t>
      </w:r>
      <w:r w:rsidRPr="002F50BD">
        <w:rPr>
          <w:rFonts w:ascii="Verdana" w:hAnsi="Verdana"/>
          <w:i/>
          <w:sz w:val="16"/>
          <w:szCs w:val="16"/>
          <w:lang w:val="pt-BR"/>
        </w:rPr>
        <w:t xml:space="preserve"> </w:t>
      </w:r>
      <w:r w:rsidRPr="002F50BD">
        <w:rPr>
          <w:rFonts w:ascii="Verdana" w:hAnsi="Verdana"/>
          <w:sz w:val="16"/>
          <w:szCs w:val="16"/>
          <w:lang w:val="pt-BR"/>
        </w:rPr>
        <w:t>de anexos ao escrito de contestação da demanda, anexos 1 a 14, folhas 3569 a 3751; expediente de documentos apresentados durante a audiência pública celebrada nos dias 4 e 5 de março de 2005, folhas 396 a 479; expediente de tramitação do mérito e eventuais, reparações e custas, Tomo IV, folhas 887 a 897 e 905 a 907;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w:t>
      </w:r>
      <w:r w:rsidRPr="002F50BD">
        <w:rPr>
          <w:rFonts w:ascii="Verdana" w:hAnsi="Verdana"/>
          <w:sz w:val="16"/>
          <w:szCs w:val="16"/>
          <w:lang w:val="es-AR"/>
        </w:rPr>
        <w:t>Paraguai, 2002, e livro intitulado “</w:t>
      </w:r>
      <w:r w:rsidRPr="002F50BD">
        <w:rPr>
          <w:rFonts w:ascii="Verdana" w:hAnsi="Verdana"/>
          <w:i/>
          <w:sz w:val="16"/>
          <w:szCs w:val="16"/>
          <w:lang w:val="es-AR"/>
        </w:rPr>
        <w:t xml:space="preserve">II Censo Nacional Indígena de población y viviendas </w:t>
      </w:r>
      <w:r w:rsidRPr="002F50BD">
        <w:rPr>
          <w:rFonts w:ascii="Verdana" w:hAnsi="Verdana"/>
          <w:sz w:val="16"/>
          <w:szCs w:val="16"/>
          <w:lang w:val="es-AR"/>
        </w:rPr>
        <w:t>2002</w:t>
      </w:r>
      <w:r w:rsidRPr="002F50BD">
        <w:rPr>
          <w:rFonts w:ascii="Verdana" w:hAnsi="Verdana"/>
          <w:i/>
          <w:sz w:val="16"/>
          <w:szCs w:val="16"/>
          <w:lang w:val="es-AR"/>
        </w:rPr>
        <w:t xml:space="preserve">. Pueblos Indígenas del Paraguay. </w:t>
      </w:r>
      <w:r w:rsidRPr="002F50BD">
        <w:rPr>
          <w:rFonts w:ascii="Verdana" w:hAnsi="Verdana"/>
          <w:i/>
          <w:sz w:val="16"/>
          <w:szCs w:val="16"/>
          <w:lang w:val="pt-BR"/>
        </w:rPr>
        <w:t>Resultados finales</w:t>
      </w:r>
      <w:r w:rsidRPr="002F50BD">
        <w:rPr>
          <w:rFonts w:ascii="Verdana" w:hAnsi="Verdana"/>
          <w:sz w:val="16"/>
          <w:szCs w:val="16"/>
          <w:lang w:val="pt-BR"/>
        </w:rPr>
        <w:t>”, Presidência da República, Secretaria Técnica de Planejamento. Paraguai, 2002.</w:t>
      </w:r>
    </w:p>
    <w:p w:rsidR="00CF451D" w:rsidRPr="002F50BD" w:rsidRDefault="00CF451D">
      <w:pPr>
        <w:pStyle w:val="FootnoteText"/>
        <w:jc w:val="both"/>
        <w:rPr>
          <w:rFonts w:ascii="Verdana" w:hAnsi="Verdana"/>
          <w:i/>
          <w:sz w:val="16"/>
          <w:szCs w:val="16"/>
          <w:lang w:val="pt-BR"/>
        </w:rPr>
      </w:pPr>
    </w:p>
  </w:footnote>
  <w:footnote w:id="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expediente de anexos apresentados pelo perito Bartomeu Melia i Lliteres durante a audiência pública celebrada nos dias 4 e 5 de março de 2005, folhas 1 a 395.</w:t>
      </w:r>
    </w:p>
    <w:p w:rsidR="00CF451D" w:rsidRPr="002F50BD" w:rsidRDefault="00CF451D">
      <w:pPr>
        <w:pStyle w:val="FootnoteText"/>
        <w:jc w:val="both"/>
        <w:rPr>
          <w:rFonts w:ascii="Verdana" w:hAnsi="Verdana"/>
          <w:sz w:val="16"/>
          <w:szCs w:val="16"/>
          <w:lang w:val="pt-BR"/>
        </w:rPr>
      </w:pPr>
    </w:p>
  </w:footnote>
  <w:footnote w:id="9">
    <w:p w:rsidR="00CF451D" w:rsidRPr="002F50BD" w:rsidRDefault="00CF451D">
      <w:pPr>
        <w:pStyle w:val="FootnoteText"/>
        <w:jc w:val="both"/>
        <w:rPr>
          <w:rFonts w:ascii="Verdana" w:hAnsi="Verdana"/>
          <w:color w:val="000000"/>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Caesar</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46; </w:t>
      </w:r>
      <w:r w:rsidRPr="002F50BD">
        <w:rPr>
          <w:rFonts w:ascii="Verdana" w:hAnsi="Verdana"/>
          <w:i/>
          <w:color w:val="000000"/>
          <w:sz w:val="16"/>
          <w:szCs w:val="16"/>
          <w:lang w:val="pt-BR"/>
        </w:rPr>
        <w:t>Caso das Irmãs Serrano Cruz</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37, e </w:t>
      </w:r>
      <w:r w:rsidRPr="002F50BD">
        <w:rPr>
          <w:rFonts w:ascii="Verdana" w:hAnsi="Verdana"/>
          <w:i/>
          <w:color w:val="000000"/>
          <w:sz w:val="16"/>
          <w:szCs w:val="16"/>
          <w:lang w:val="pt-BR"/>
        </w:rPr>
        <w:t>Caso Lori Berenson Mejía</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 </w:t>
      </w:r>
      <w:r w:rsidRPr="002F50BD">
        <w:rPr>
          <w:rFonts w:ascii="Verdana" w:hAnsi="Verdana"/>
          <w:color w:val="000000"/>
          <w:sz w:val="16"/>
          <w:szCs w:val="16"/>
          <w:lang w:val="pt-BR"/>
        </w:rPr>
        <w:t>par. 77.</w:t>
      </w:r>
    </w:p>
    <w:p w:rsidR="00CF451D" w:rsidRPr="002F50BD" w:rsidRDefault="00CF451D">
      <w:pPr>
        <w:pStyle w:val="FootnoteText"/>
        <w:jc w:val="both"/>
        <w:rPr>
          <w:rFonts w:ascii="Verdana" w:hAnsi="Verdana"/>
          <w:sz w:val="16"/>
          <w:szCs w:val="16"/>
          <w:lang w:val="pt-BR"/>
        </w:rPr>
      </w:pPr>
    </w:p>
  </w:footnote>
  <w:footnote w:id="1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de la Cruz Flores</w:t>
      </w:r>
      <w:r w:rsidRPr="002F50BD">
        <w:rPr>
          <w:rFonts w:ascii="Verdana" w:hAnsi="Verdana"/>
          <w:sz w:val="16"/>
          <w:szCs w:val="16"/>
          <w:lang w:val="pt-BR"/>
        </w:rPr>
        <w:t xml:space="preserve">. Sentença de 18 de novembro de 2004. Série C Nº 115, par. 58; </w:t>
      </w:r>
      <w:r w:rsidRPr="002F50BD">
        <w:rPr>
          <w:rFonts w:ascii="Verdana" w:hAnsi="Verdana"/>
          <w:i/>
          <w:sz w:val="16"/>
          <w:szCs w:val="16"/>
          <w:lang w:val="pt-BR"/>
        </w:rPr>
        <w:t>Caso</w:t>
      </w:r>
      <w:r w:rsidRPr="002F50BD">
        <w:rPr>
          <w:rFonts w:ascii="Verdana" w:hAnsi="Verdana"/>
          <w:sz w:val="16"/>
          <w:szCs w:val="16"/>
          <w:lang w:val="pt-BR"/>
        </w:rPr>
        <w:t xml:space="preserve"> </w:t>
      </w:r>
      <w:r w:rsidRPr="002F50BD">
        <w:rPr>
          <w:rFonts w:ascii="Verdana" w:hAnsi="Verdana"/>
          <w:i/>
          <w:sz w:val="16"/>
          <w:szCs w:val="16"/>
          <w:lang w:val="pt-BR"/>
        </w:rPr>
        <w:t>Myrna Mack Chang</w:t>
      </w:r>
      <w:r w:rsidRPr="002F50BD">
        <w:rPr>
          <w:rFonts w:ascii="Verdana" w:hAnsi="Verdana"/>
          <w:sz w:val="16"/>
          <w:szCs w:val="16"/>
          <w:lang w:val="pt-BR"/>
        </w:rPr>
        <w:t xml:space="preserve">. Sentença de 25 de novembro de 2003. Série C Nº 101, par. 128; e </w:t>
      </w:r>
      <w:r w:rsidRPr="002F50BD">
        <w:rPr>
          <w:rFonts w:ascii="Verdana" w:hAnsi="Verdana"/>
          <w:i/>
          <w:sz w:val="16"/>
          <w:szCs w:val="16"/>
          <w:lang w:val="pt-BR"/>
        </w:rPr>
        <w:t>Caso Bulacio</w:t>
      </w:r>
      <w:r w:rsidRPr="002F50BD">
        <w:rPr>
          <w:rFonts w:ascii="Verdana" w:hAnsi="Verdana"/>
          <w:sz w:val="16"/>
          <w:szCs w:val="16"/>
          <w:lang w:val="pt-BR"/>
        </w:rPr>
        <w:t>. Sentença de 18 de setembro de 2003. Série C Nº 100, par. 57.</w:t>
      </w:r>
    </w:p>
    <w:p w:rsidR="00CF451D" w:rsidRPr="002F50BD" w:rsidRDefault="00CF451D">
      <w:pPr>
        <w:pStyle w:val="FootnoteText"/>
        <w:jc w:val="both"/>
        <w:rPr>
          <w:rFonts w:ascii="Verdana" w:hAnsi="Verdana"/>
          <w:sz w:val="16"/>
          <w:szCs w:val="16"/>
          <w:lang w:val="pt-BR"/>
        </w:rPr>
      </w:pPr>
    </w:p>
  </w:footnote>
  <w:footnote w:id="1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Caesar</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47; </w:t>
      </w:r>
      <w:r w:rsidRPr="002F50BD">
        <w:rPr>
          <w:rFonts w:ascii="Verdana" w:hAnsi="Verdana"/>
          <w:i/>
          <w:color w:val="000000"/>
          <w:sz w:val="16"/>
          <w:szCs w:val="16"/>
          <w:lang w:val="pt-BR"/>
        </w:rPr>
        <w:t xml:space="preserve">Caso das Irmãs Serrano Cruz, </w:t>
      </w:r>
      <w:r w:rsidRPr="002F50BD">
        <w:rPr>
          <w:rFonts w:ascii="Verdana" w:hAnsi="Verdana"/>
          <w:color w:val="000000"/>
          <w:sz w:val="16"/>
          <w:szCs w:val="16"/>
          <w:lang w:val="pt-BR"/>
        </w:rPr>
        <w:t>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40; e </w:t>
      </w:r>
      <w:r w:rsidRPr="002F50BD">
        <w:rPr>
          <w:rFonts w:ascii="Verdana" w:hAnsi="Verdana"/>
          <w:sz w:val="16"/>
          <w:szCs w:val="16"/>
          <w:lang w:val="pt-BR"/>
        </w:rPr>
        <w:t xml:space="preserve">Caso </w:t>
      </w:r>
      <w:r w:rsidRPr="002F50BD">
        <w:rPr>
          <w:rFonts w:ascii="Verdana" w:hAnsi="Verdana"/>
          <w:i/>
          <w:sz w:val="16"/>
          <w:szCs w:val="16"/>
          <w:lang w:val="pt-BR"/>
        </w:rPr>
        <w:t xml:space="preserve">Lori Berenson Mejía,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78.</w:t>
      </w:r>
    </w:p>
    <w:p w:rsidR="00CF451D" w:rsidRPr="002F50BD" w:rsidRDefault="00CF451D">
      <w:pPr>
        <w:pStyle w:val="FootnoteText"/>
        <w:jc w:val="both"/>
        <w:rPr>
          <w:rFonts w:ascii="Verdana" w:hAnsi="Verdana"/>
          <w:sz w:val="16"/>
          <w:szCs w:val="16"/>
          <w:lang w:val="pt-BR"/>
        </w:rPr>
      </w:pPr>
    </w:p>
  </w:footnote>
  <w:footnote w:id="1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das Irmãs Serrano Cruz</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43; </w:t>
      </w:r>
      <w:r w:rsidRPr="002F50BD">
        <w:rPr>
          <w:rFonts w:ascii="Verdana" w:hAnsi="Verdana"/>
          <w:i/>
          <w:sz w:val="16"/>
          <w:szCs w:val="16"/>
          <w:lang w:val="pt-BR"/>
        </w:rPr>
        <w:t xml:space="preserve">Caso Lori Berenson Mejía,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80, e </w:t>
      </w:r>
      <w:r w:rsidRPr="002F50BD">
        <w:rPr>
          <w:rFonts w:ascii="Verdana" w:hAnsi="Verdana"/>
          <w:i/>
          <w:color w:val="000000"/>
          <w:sz w:val="16"/>
          <w:szCs w:val="16"/>
          <w:lang w:val="pt-BR"/>
        </w:rPr>
        <w:t xml:space="preserve">Caso de la Cruz Flores, </w:t>
      </w:r>
      <w:r w:rsidRPr="002F50BD">
        <w:rPr>
          <w:rFonts w:ascii="Verdana" w:hAnsi="Verdana"/>
          <w:color w:val="000000"/>
          <w:sz w:val="16"/>
          <w:szCs w:val="16"/>
          <w:lang w:val="pt-BR"/>
        </w:rPr>
        <w:t>nota 10</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70</w:t>
      </w:r>
      <w:r w:rsidRPr="002F50BD">
        <w:rPr>
          <w:rFonts w:ascii="Verdana" w:hAnsi="Verdana"/>
          <w:sz w:val="16"/>
          <w:szCs w:val="16"/>
          <w:lang w:val="pt-BR"/>
        </w:rPr>
        <w:t>.</w:t>
      </w:r>
    </w:p>
    <w:p w:rsidR="00CF451D" w:rsidRPr="002F50BD" w:rsidRDefault="00CF451D">
      <w:pPr>
        <w:pStyle w:val="FootnoteText"/>
        <w:jc w:val="both"/>
        <w:rPr>
          <w:rFonts w:ascii="Verdana" w:hAnsi="Verdana"/>
          <w:i/>
          <w:sz w:val="16"/>
          <w:szCs w:val="16"/>
          <w:lang w:val="pt-BR"/>
        </w:rPr>
      </w:pPr>
    </w:p>
  </w:footnote>
  <w:footnote w:id="1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Caesar</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47, </w:t>
      </w:r>
      <w:r w:rsidRPr="002F50BD">
        <w:rPr>
          <w:rFonts w:ascii="Verdana" w:hAnsi="Verdana"/>
          <w:i/>
          <w:color w:val="000000"/>
          <w:sz w:val="16"/>
          <w:szCs w:val="16"/>
          <w:lang w:val="pt-BR"/>
        </w:rPr>
        <w:t xml:space="preserve">Caso das Irmãs Serrano Cruz, </w:t>
      </w:r>
      <w:r w:rsidRPr="002F50BD">
        <w:rPr>
          <w:rFonts w:ascii="Verdana" w:hAnsi="Verdana"/>
          <w:color w:val="000000"/>
          <w:sz w:val="16"/>
          <w:szCs w:val="16"/>
          <w:lang w:val="pt-BR"/>
        </w:rPr>
        <w:t>nota 2</w:t>
      </w:r>
      <w:r w:rsidRPr="002F50BD">
        <w:rPr>
          <w:rFonts w:ascii="Verdana" w:hAnsi="Verdana"/>
          <w:i/>
          <w:color w:val="000000"/>
          <w:sz w:val="16"/>
          <w:szCs w:val="16"/>
          <w:lang w:val="pt-BR"/>
        </w:rPr>
        <w:t xml:space="preserve"> supra, </w:t>
      </w:r>
      <w:r w:rsidRPr="002F50BD">
        <w:rPr>
          <w:rFonts w:ascii="Verdana" w:hAnsi="Verdana"/>
          <w:color w:val="000000"/>
          <w:sz w:val="16"/>
          <w:szCs w:val="16"/>
          <w:lang w:val="pt-BR"/>
        </w:rPr>
        <w:t>par.</w:t>
      </w:r>
      <w:r w:rsidRPr="002F50BD">
        <w:rPr>
          <w:rFonts w:ascii="Verdana" w:hAnsi="Verdana"/>
          <w:i/>
          <w:color w:val="000000"/>
          <w:sz w:val="16"/>
          <w:szCs w:val="16"/>
          <w:lang w:val="pt-BR"/>
        </w:rPr>
        <w:t xml:space="preserve"> </w:t>
      </w:r>
      <w:r w:rsidRPr="002F50BD">
        <w:rPr>
          <w:rFonts w:ascii="Verdana" w:hAnsi="Verdana"/>
          <w:color w:val="000000"/>
          <w:sz w:val="16"/>
          <w:szCs w:val="16"/>
          <w:lang w:val="pt-BR"/>
        </w:rPr>
        <w:t>45, e</w:t>
      </w:r>
      <w:r w:rsidRPr="002F50BD">
        <w:rPr>
          <w:rFonts w:ascii="Verdana" w:hAnsi="Verdana"/>
          <w:i/>
          <w:color w:val="000000"/>
          <w:sz w:val="16"/>
          <w:szCs w:val="16"/>
          <w:lang w:val="pt-BR"/>
        </w:rPr>
        <w:t xml:space="preserve"> </w:t>
      </w:r>
      <w:r w:rsidRPr="002F50BD">
        <w:rPr>
          <w:rFonts w:ascii="Verdana" w:hAnsi="Verdana"/>
          <w:i/>
          <w:sz w:val="16"/>
          <w:szCs w:val="16"/>
          <w:lang w:val="pt-BR"/>
        </w:rPr>
        <w:t xml:space="preserve">Caso Lori Berenson Mejía,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78.</w:t>
      </w:r>
    </w:p>
    <w:p w:rsidR="00CF451D" w:rsidRPr="002F50BD" w:rsidRDefault="00CF451D">
      <w:pPr>
        <w:pStyle w:val="FootnoteText"/>
        <w:jc w:val="both"/>
        <w:rPr>
          <w:rFonts w:ascii="Verdana" w:hAnsi="Verdana"/>
          <w:sz w:val="16"/>
          <w:szCs w:val="16"/>
          <w:lang w:val="pt-BR"/>
        </w:rPr>
      </w:pPr>
    </w:p>
  </w:footnote>
  <w:footnote w:id="1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i/>
          <w:sz w:val="16"/>
          <w:szCs w:val="16"/>
          <w:lang w:val="pt-BR"/>
        </w:rPr>
        <w:t xml:space="preserve"> </w:t>
      </w:r>
      <w:r w:rsidRPr="002F50BD">
        <w:rPr>
          <w:rFonts w:ascii="Verdana" w:hAnsi="Verdana"/>
          <w:i/>
          <w:sz w:val="16"/>
          <w:szCs w:val="16"/>
          <w:lang w:val="pt-BR"/>
        </w:rPr>
        <w:tab/>
        <w:t xml:space="preserve">Cf. </w:t>
      </w:r>
      <w:r w:rsidRPr="002F50BD">
        <w:rPr>
          <w:rFonts w:ascii="Verdana" w:hAnsi="Verdana"/>
          <w:i/>
          <w:color w:val="000000"/>
          <w:sz w:val="16"/>
          <w:szCs w:val="16"/>
          <w:lang w:val="pt-BR"/>
        </w:rPr>
        <w:t>Caso das Irmãs Serrano Cruz,</w:t>
      </w:r>
      <w:r w:rsidRPr="002F50BD">
        <w:rPr>
          <w:rFonts w:ascii="Verdana" w:hAnsi="Verdana"/>
          <w:color w:val="000000"/>
          <w:sz w:val="16"/>
          <w:szCs w:val="16"/>
          <w:lang w:val="pt-BR"/>
        </w:rPr>
        <w:t xml:space="preserve"> nota 2 supra, par. 46; </w:t>
      </w:r>
      <w:r w:rsidRPr="002F50BD">
        <w:rPr>
          <w:rFonts w:ascii="Verdana" w:hAnsi="Verdana"/>
          <w:i/>
          <w:sz w:val="16"/>
          <w:szCs w:val="16"/>
          <w:lang w:val="pt-BR"/>
        </w:rPr>
        <w:t xml:space="preserve">Caso Lori Berenson Mejía,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87, e</w:t>
      </w:r>
      <w:r w:rsidRPr="002F50BD">
        <w:rPr>
          <w:rFonts w:ascii="Verdana" w:hAnsi="Verdana"/>
          <w:i/>
          <w:sz w:val="16"/>
          <w:szCs w:val="16"/>
          <w:lang w:val="pt-BR"/>
        </w:rPr>
        <w:t xml:space="preserve"> Caso Carpio Nicolle e outros</w:t>
      </w:r>
      <w:r w:rsidRPr="002F50BD">
        <w:rPr>
          <w:rFonts w:ascii="Verdana" w:hAnsi="Verdana"/>
          <w:sz w:val="16"/>
          <w:szCs w:val="16"/>
          <w:lang w:val="pt-BR"/>
        </w:rPr>
        <w:t>. Sentença de 22 de novembro. 2004. Série C. nº 117, par. 75.</w:t>
      </w:r>
    </w:p>
    <w:p w:rsidR="00CF451D" w:rsidRPr="002F50BD" w:rsidRDefault="00CF451D">
      <w:pPr>
        <w:pStyle w:val="FootnoteText"/>
        <w:jc w:val="both"/>
        <w:rPr>
          <w:rFonts w:ascii="Verdana" w:hAnsi="Verdana"/>
          <w:sz w:val="16"/>
          <w:szCs w:val="16"/>
          <w:lang w:val="pt-BR"/>
        </w:rPr>
      </w:pPr>
    </w:p>
  </w:footnote>
  <w:footnote w:id="1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livro intitulado “</w:t>
      </w:r>
      <w:r w:rsidRPr="002F50BD">
        <w:rPr>
          <w:rFonts w:ascii="Verdana" w:hAnsi="Verdana"/>
          <w:i/>
          <w:sz w:val="16"/>
          <w:szCs w:val="16"/>
          <w:lang w:val="pt-BR"/>
        </w:rPr>
        <w:t xml:space="preserve">II Censo Nacional Indígena de población y viviendas </w:t>
      </w:r>
      <w:r w:rsidRPr="002F50BD">
        <w:rPr>
          <w:rFonts w:ascii="Verdana" w:hAnsi="Verdana"/>
          <w:sz w:val="16"/>
          <w:szCs w:val="16"/>
          <w:lang w:val="pt-BR"/>
        </w:rPr>
        <w:t>2002</w:t>
      </w:r>
      <w:r w:rsidRPr="002F50BD">
        <w:rPr>
          <w:rFonts w:ascii="Verdana" w:hAnsi="Verdana"/>
          <w:i/>
          <w:sz w:val="16"/>
          <w:szCs w:val="16"/>
          <w:lang w:val="pt-BR"/>
        </w:rPr>
        <w:t>. Pueblos Indígenas del Paraguay. Resultados finales</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páginas 22 e 658</w:t>
      </w:r>
      <w:r w:rsidRPr="00CF451D">
        <w:rPr>
          <w:rFonts w:ascii="Verdana" w:hAnsi="Verdana"/>
          <w:sz w:val="16"/>
          <w:szCs w:val="16"/>
          <w:lang w:val="pt-BR"/>
        </w:rPr>
        <w:t>)</w:t>
      </w:r>
      <w:r w:rsidRPr="002F50BD">
        <w:rPr>
          <w:rFonts w:ascii="Verdana" w:hAnsi="Verdana"/>
          <w:sz w:val="16"/>
          <w:szCs w:val="16"/>
          <w:lang w:val="pt-BR"/>
        </w:rPr>
        <w:t>;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 testemunho do senhor Esteban López prestado perante a Corte Interamericana durante a audiência pública celebrada no dia 4 de março de 2005; testemunho do senhor Tomás Galeano prestado perante a Corte Interamericana durante a audiência pública celebrada no dia 4 de março de 2005; testemunho da senhora Inocencia Gómez prestado perante a Corte Interamericana durante a audiência pública celebrada no dia 4 de março de 2005, e perícia do senhor Bartomeu Melia i Lliteres prestada perante a Corte Interamericana celebrada no dia 4 de março de 2005.</w:t>
      </w:r>
    </w:p>
    <w:p w:rsidR="00CF451D" w:rsidRPr="002F50BD" w:rsidRDefault="00CF451D">
      <w:pPr>
        <w:pStyle w:val="FootnoteText"/>
        <w:jc w:val="both"/>
        <w:rPr>
          <w:rFonts w:ascii="Verdana" w:hAnsi="Verdana"/>
          <w:sz w:val="16"/>
          <w:szCs w:val="16"/>
          <w:lang w:val="pt-BR"/>
        </w:rPr>
      </w:pPr>
    </w:p>
  </w:footnote>
  <w:footnote w:id="1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es-AR"/>
        </w:rPr>
        <w:tab/>
      </w:r>
      <w:r w:rsidRPr="002F50BD">
        <w:rPr>
          <w:rFonts w:ascii="Verdana" w:hAnsi="Verdana"/>
          <w:i/>
          <w:sz w:val="16"/>
          <w:szCs w:val="16"/>
          <w:lang w:val="es-AR"/>
        </w:rPr>
        <w:t xml:space="preserve">Cf. </w:t>
      </w:r>
      <w:r w:rsidRPr="002F50BD">
        <w:rPr>
          <w:rFonts w:ascii="Verdana" w:hAnsi="Verdana"/>
          <w:sz w:val="16"/>
          <w:szCs w:val="16"/>
          <w:lang w:val="es-AR"/>
        </w:rPr>
        <w:t>livro intitulado “</w:t>
      </w:r>
      <w:r w:rsidRPr="002F50BD">
        <w:rPr>
          <w:rFonts w:ascii="Verdana" w:hAnsi="Verdana"/>
          <w:i/>
          <w:sz w:val="16"/>
          <w:szCs w:val="16"/>
          <w:lang w:val="es-AR"/>
        </w:rPr>
        <w:t xml:space="preserve">II Censo Nacional Indígena de población y viviendas </w:t>
      </w:r>
      <w:r w:rsidRPr="002F50BD">
        <w:rPr>
          <w:rFonts w:ascii="Verdana" w:hAnsi="Verdana"/>
          <w:sz w:val="16"/>
          <w:szCs w:val="16"/>
          <w:lang w:val="es-AR"/>
        </w:rPr>
        <w:t>2002</w:t>
      </w:r>
      <w:r w:rsidRPr="002F50BD">
        <w:rPr>
          <w:rFonts w:ascii="Verdana" w:hAnsi="Verdana"/>
          <w:i/>
          <w:sz w:val="16"/>
          <w:szCs w:val="16"/>
          <w:lang w:val="es-AR"/>
        </w:rPr>
        <w:t>. Pueblos Indígenas del Paraguay. Resultados finales</w:t>
      </w:r>
      <w:r w:rsidRPr="002F50BD">
        <w:rPr>
          <w:rFonts w:ascii="Verdana" w:hAnsi="Verdana"/>
          <w:sz w:val="16"/>
          <w:szCs w:val="16"/>
          <w:lang w:val="es-AR"/>
        </w:rPr>
        <w:t xml:space="preserve">”, Presidência da República, Secretaria Técnica de Planejamento. </w:t>
      </w:r>
      <w:r w:rsidRPr="00CF451D">
        <w:rPr>
          <w:rFonts w:ascii="Verdana" w:hAnsi="Verdana"/>
          <w:sz w:val="16"/>
          <w:szCs w:val="16"/>
          <w:lang w:val="pt-BR"/>
        </w:rPr>
        <w:t>Paraguai, 2002 (expediente de documentos apresentados durante a audiência pública celebrada nos dias 4 e 5 de março de 2005, página 22); artigo intitulado “</w:t>
      </w:r>
      <w:r w:rsidRPr="00CF451D">
        <w:rPr>
          <w:rFonts w:ascii="Verdana" w:hAnsi="Verdana"/>
          <w:i/>
          <w:sz w:val="16"/>
          <w:szCs w:val="16"/>
          <w:lang w:val="pt-BR"/>
        </w:rPr>
        <w:t xml:space="preserve">Las lenguas indígenas en el Paraguai. </w:t>
      </w:r>
      <w:r w:rsidRPr="002F50BD">
        <w:rPr>
          <w:rFonts w:ascii="Verdana" w:hAnsi="Verdana"/>
          <w:i/>
          <w:sz w:val="16"/>
          <w:szCs w:val="16"/>
          <w:lang w:val="pt-BR"/>
        </w:rPr>
        <w:t xml:space="preserve">Una visão desde el Censo </w:t>
      </w:r>
      <w:r w:rsidRPr="002F50BD">
        <w:rPr>
          <w:rFonts w:ascii="Verdana" w:hAnsi="Verdana"/>
          <w:sz w:val="16"/>
          <w:szCs w:val="16"/>
          <w:lang w:val="pt-BR"/>
        </w:rPr>
        <w:t xml:space="preserve">2002”. Bartomeu Meliá i Lliteres. </w:t>
      </w:r>
      <w:r w:rsidRPr="00CF451D">
        <w:rPr>
          <w:rFonts w:ascii="Verdana" w:hAnsi="Verdana"/>
          <w:sz w:val="16"/>
          <w:szCs w:val="16"/>
          <w:lang w:val="pt-BR"/>
        </w:rPr>
        <w:t>(</w:t>
      </w:r>
      <w:r w:rsidRPr="002F50BD">
        <w:rPr>
          <w:rFonts w:ascii="Verdana" w:hAnsi="Verdana"/>
          <w:sz w:val="16"/>
          <w:szCs w:val="16"/>
          <w:lang w:val="pt-BR"/>
        </w:rPr>
        <w:t>documentos apresentados durante a celebração da audiência pública celebrada nos dias 4 e 5 de março de 2005, folha 07</w:t>
      </w:r>
      <w:r w:rsidRPr="00CF451D">
        <w:rPr>
          <w:rFonts w:ascii="Verdana" w:hAnsi="Verdana"/>
          <w:sz w:val="16"/>
          <w:szCs w:val="16"/>
          <w:lang w:val="pt-BR"/>
        </w:rPr>
        <w:t>)</w:t>
      </w:r>
      <w:r w:rsidRPr="002F50BD">
        <w:rPr>
          <w:rFonts w:ascii="Verdana" w:hAnsi="Verdana"/>
          <w:sz w:val="16"/>
          <w:szCs w:val="16"/>
          <w:lang w:val="pt-BR"/>
        </w:rPr>
        <w:t xml:space="preserve">, e 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w:t>
      </w:r>
      <w:r>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1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dicionário Enxet Sur. Rascunho Inicial, Inverno 2001. Igreja Anglicana paraguaia.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4 d</w:t>
      </w:r>
      <w:r w:rsidRPr="00CF451D">
        <w:rPr>
          <w:rFonts w:ascii="Verdana" w:hAnsi="Verdana"/>
          <w:sz w:val="16"/>
          <w:szCs w:val="16"/>
          <w:lang w:val="pt-BR"/>
        </w:rPr>
        <w:t>)</w:t>
      </w:r>
      <w:r w:rsidRPr="002F50BD">
        <w:rPr>
          <w:rFonts w:ascii="Verdana" w:hAnsi="Verdana"/>
          <w:sz w:val="16"/>
          <w:szCs w:val="16"/>
          <w:lang w:val="pt-BR"/>
        </w:rPr>
        <w:t>, folhas 1889 a 1903</w:t>
      </w:r>
      <w:r w:rsidRPr="00CF451D">
        <w:rPr>
          <w:rFonts w:ascii="Verdana" w:hAnsi="Verdana"/>
          <w:sz w:val="16"/>
          <w:szCs w:val="16"/>
          <w:lang w:val="pt-BR"/>
        </w:rPr>
        <w:t>)</w:t>
      </w:r>
      <w:r w:rsidRPr="002F50BD">
        <w:rPr>
          <w:rFonts w:ascii="Verdana" w:hAnsi="Verdana"/>
          <w:sz w:val="16"/>
          <w:szCs w:val="16"/>
          <w:lang w:val="pt-BR"/>
        </w:rPr>
        <w:t xml:space="preserve">; 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testemunho do senhor Esteban López prestado perante a Corte Interamericana durante a audiência pública celebrada no dia 4 de março de 2005, e testemunho do senhor Stephen William Kidd prestado perante a Corte Interamericana durante a audiência pública celebrada no dia 4 de março de 2005.</w:t>
      </w:r>
    </w:p>
    <w:p w:rsidR="00CF451D" w:rsidRPr="002F50BD" w:rsidRDefault="00CF451D">
      <w:pPr>
        <w:pStyle w:val="FootnoteText"/>
        <w:jc w:val="both"/>
        <w:rPr>
          <w:rFonts w:ascii="Verdana" w:hAnsi="Verdana"/>
          <w:sz w:val="16"/>
          <w:szCs w:val="16"/>
          <w:lang w:val="pt-BR"/>
        </w:rPr>
      </w:pPr>
    </w:p>
  </w:footnote>
  <w:footnote w:id="1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e perícia de Bartomeu Meliá i Lliteres prestada perante a Corte Interamericana durante a audiência pública celebrada no dia 4 de abril de 2005.</w:t>
      </w:r>
    </w:p>
    <w:p w:rsidR="00CF451D" w:rsidRPr="002F50BD" w:rsidRDefault="00CF451D">
      <w:pPr>
        <w:pStyle w:val="FootnoteText"/>
        <w:jc w:val="both"/>
        <w:rPr>
          <w:rFonts w:ascii="Verdana" w:hAnsi="Verdana"/>
          <w:sz w:val="16"/>
          <w:szCs w:val="16"/>
          <w:lang w:val="pt-BR"/>
        </w:rPr>
      </w:pPr>
    </w:p>
  </w:footnote>
  <w:footnote w:id="1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dicionário Enxet Sur. Rascunho Inicial, Inverno 2001. Igreja Anglicana paraguaia.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4.d, folhas 1889 a 1903</w:t>
      </w:r>
      <w:r w:rsidRPr="00CF451D">
        <w:rPr>
          <w:rFonts w:ascii="Verdana" w:hAnsi="Verdana"/>
          <w:sz w:val="16"/>
          <w:szCs w:val="16"/>
          <w:lang w:val="pt-BR"/>
        </w:rPr>
        <w:t>)</w:t>
      </w:r>
      <w:r w:rsidRPr="002F50BD">
        <w:rPr>
          <w:rFonts w:ascii="Verdana" w:hAnsi="Verdana"/>
          <w:sz w:val="16"/>
          <w:szCs w:val="16"/>
          <w:lang w:val="pt-BR"/>
        </w:rPr>
        <w:t>, e testemunho do senhor Esteban López prestado perante a Corte Interamericana durante a audiência pública celebrada no dia 4 de março de 2005.</w:t>
      </w:r>
    </w:p>
    <w:p w:rsidR="00CF451D" w:rsidRPr="002F50BD" w:rsidRDefault="00CF451D">
      <w:pPr>
        <w:pStyle w:val="FootnoteText"/>
        <w:jc w:val="both"/>
        <w:rPr>
          <w:rFonts w:ascii="Verdana" w:hAnsi="Verdana"/>
          <w:sz w:val="16"/>
          <w:szCs w:val="16"/>
          <w:lang w:val="pt-BR"/>
        </w:rPr>
      </w:pPr>
    </w:p>
  </w:footnote>
  <w:footnote w:id="2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2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e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xml:space="preserve">, 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testemunho do senhor Esteban López prestado perante a Corte Interamericana durante a audiência pública celebrada em 4 de março de 2005; testemunho do senhor Tomás Galeano prestado perante a Corte Interamericana durante a audiência pública celebrada em 4 de março de 2005, e testemunho da senhora Inocencia Gómez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2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xml:space="preserve">; testemunho do senhor Stephen William Kidd prestado perante a Corte Interamericana durante a audiência pública celebrada em 4 de março de 2005, e 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senhor Tomás Galeano de 5 de outubro de 1993 dirigida ao presidente do Instituto de Bem Estar Rural </w:t>
      </w:r>
      <w:r w:rsidRPr="00CF451D">
        <w:rPr>
          <w:rFonts w:ascii="Verdana" w:hAnsi="Verdana"/>
          <w:sz w:val="16"/>
          <w:szCs w:val="16"/>
          <w:lang w:val="pt-BR"/>
        </w:rPr>
        <w:t>(</w:t>
      </w:r>
      <w:r w:rsidRPr="002F50BD">
        <w:rPr>
          <w:rFonts w:ascii="Verdana" w:hAnsi="Verdana"/>
          <w:sz w:val="16"/>
          <w:szCs w:val="16"/>
          <w:lang w:val="pt-BR"/>
        </w:rPr>
        <w:t>expediente de anexos da demanda, anexo 4, folhas 488 a 496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censo da Comunidade indígena Yakye Axa </w:t>
      </w:r>
      <w:r w:rsidRPr="00CF451D">
        <w:rPr>
          <w:rFonts w:ascii="Verdana" w:hAnsi="Verdana"/>
          <w:sz w:val="16"/>
          <w:szCs w:val="16"/>
          <w:lang w:val="pt-BR"/>
        </w:rPr>
        <w:t>(</w:t>
      </w:r>
      <w:r w:rsidRPr="002F50BD">
        <w:rPr>
          <w:rFonts w:ascii="Verdana" w:hAnsi="Verdana"/>
          <w:sz w:val="16"/>
          <w:szCs w:val="16"/>
          <w:lang w:val="pt-BR"/>
        </w:rPr>
        <w:t>expediente de anexos à demanda, anexo 5, folhas 1250 a 1257</w:t>
      </w:r>
      <w:r w:rsidRPr="00CF451D">
        <w:rPr>
          <w:rFonts w:ascii="Verdana" w:hAnsi="Verdana"/>
          <w:sz w:val="16"/>
          <w:szCs w:val="16"/>
          <w:lang w:val="pt-BR"/>
        </w:rPr>
        <w:t>)</w:t>
      </w:r>
      <w:r w:rsidRPr="002F50BD">
        <w:rPr>
          <w:rFonts w:ascii="Verdana" w:hAnsi="Verdana"/>
          <w:sz w:val="16"/>
          <w:szCs w:val="16"/>
          <w:lang w:val="pt-BR"/>
        </w:rPr>
        <w:t>, e livro intitulado “</w:t>
      </w:r>
      <w:r w:rsidRPr="002F50BD">
        <w:rPr>
          <w:rFonts w:ascii="Verdana" w:hAnsi="Verdana"/>
          <w:i/>
          <w:sz w:val="16"/>
          <w:szCs w:val="16"/>
          <w:lang w:val="pt-BR"/>
        </w:rPr>
        <w:t xml:space="preserve">II Censo Nacional Indígena de población y viviendas </w:t>
      </w:r>
      <w:r w:rsidRPr="002F50BD">
        <w:rPr>
          <w:rFonts w:ascii="Verdana" w:hAnsi="Verdana"/>
          <w:sz w:val="16"/>
          <w:szCs w:val="16"/>
          <w:lang w:val="pt-BR"/>
        </w:rPr>
        <w:t>2002</w:t>
      </w:r>
      <w:r w:rsidRPr="002F50BD">
        <w:rPr>
          <w:rFonts w:ascii="Verdana" w:hAnsi="Verdana"/>
          <w:i/>
          <w:sz w:val="16"/>
          <w:szCs w:val="16"/>
          <w:lang w:val="pt-BR"/>
        </w:rPr>
        <w:t>. Pueblos Indígenas del Paraguay. Resultados finales</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página 658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censo da Comunidade indígena Yakye Axa </w:t>
      </w:r>
      <w:r w:rsidRPr="00CF451D">
        <w:rPr>
          <w:rFonts w:ascii="Verdana" w:hAnsi="Verdana"/>
          <w:sz w:val="16"/>
          <w:szCs w:val="16"/>
          <w:lang w:val="pt-BR"/>
        </w:rPr>
        <w:t>(</w:t>
      </w:r>
      <w:r w:rsidRPr="002F50BD">
        <w:rPr>
          <w:rFonts w:ascii="Verdana" w:hAnsi="Verdana"/>
          <w:sz w:val="16"/>
          <w:szCs w:val="16"/>
          <w:lang w:val="pt-BR"/>
        </w:rPr>
        <w:t>expediente de anexos à demanda, anexo 5, folhas 1250 a 1257</w:t>
      </w:r>
      <w:r w:rsidRPr="00CF451D">
        <w:rPr>
          <w:rFonts w:ascii="Verdana" w:hAnsi="Verdana"/>
          <w:sz w:val="16"/>
          <w:szCs w:val="16"/>
          <w:lang w:val="pt-BR"/>
        </w:rPr>
        <w:t>)</w:t>
      </w:r>
      <w:r w:rsidRPr="002F50BD">
        <w:rPr>
          <w:rFonts w:ascii="Verdana" w:hAnsi="Verdana"/>
          <w:sz w:val="16"/>
          <w:szCs w:val="16"/>
          <w:lang w:val="pt-BR"/>
        </w:rPr>
        <w:t>, livro intitulado “</w:t>
      </w:r>
      <w:r w:rsidRPr="002F50BD">
        <w:rPr>
          <w:rFonts w:ascii="Verdana" w:hAnsi="Verdana"/>
          <w:i/>
          <w:sz w:val="16"/>
          <w:szCs w:val="16"/>
          <w:lang w:val="pt-BR"/>
        </w:rPr>
        <w:t xml:space="preserve">II Censo Nacional Indígena de población y viviendas </w:t>
      </w:r>
      <w:r w:rsidRPr="002F50BD">
        <w:rPr>
          <w:rFonts w:ascii="Verdana" w:hAnsi="Verdana"/>
          <w:sz w:val="16"/>
          <w:szCs w:val="16"/>
          <w:lang w:val="pt-BR"/>
        </w:rPr>
        <w:t>2002</w:t>
      </w:r>
      <w:r w:rsidRPr="002F50BD">
        <w:rPr>
          <w:rFonts w:ascii="Verdana" w:hAnsi="Verdana"/>
          <w:i/>
          <w:sz w:val="16"/>
          <w:szCs w:val="16"/>
          <w:lang w:val="pt-BR"/>
        </w:rPr>
        <w:t>. Pueblos Indígenas del Paraguay. Resultados finales</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página 658</w:t>
      </w:r>
      <w:r w:rsidRPr="00CF451D">
        <w:rPr>
          <w:rFonts w:ascii="Verdana" w:hAnsi="Verdana"/>
          <w:sz w:val="16"/>
          <w:szCs w:val="16"/>
          <w:lang w:val="pt-BR"/>
        </w:rPr>
        <w:t>)</w:t>
      </w:r>
      <w:r w:rsidRPr="002F50BD">
        <w:rPr>
          <w:rFonts w:ascii="Verdana" w:hAnsi="Verdana"/>
          <w:sz w:val="16"/>
          <w:szCs w:val="16"/>
          <w:lang w:val="pt-BR"/>
        </w:rPr>
        <w:t>;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 testemunho do senhor Estavan López prestado perante a Corte Interamericana durante a audiência pública celebrada no dia 4 de março de 2005; testemunho da senhora Inocencia Gómez prestado perante a Corte Interamericana durante a audiência pública celebrada no dia 4 de março de 2005, e declaração do senhor Albino Fernández prestada perante agente dotado de fé pública no dia 10 de fevereiro de 2005.</w:t>
      </w:r>
    </w:p>
    <w:p w:rsidR="00CF451D" w:rsidRPr="002F50BD" w:rsidRDefault="00CF451D">
      <w:pPr>
        <w:pStyle w:val="FootnoteText"/>
        <w:jc w:val="both"/>
        <w:rPr>
          <w:rFonts w:ascii="Verdana" w:hAnsi="Verdana"/>
          <w:sz w:val="16"/>
          <w:szCs w:val="16"/>
          <w:lang w:val="pt-BR"/>
        </w:rPr>
      </w:pPr>
    </w:p>
  </w:footnote>
  <w:footnote w:id="2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censo da Comunidade indígena Yakye Axa </w:t>
      </w:r>
      <w:r w:rsidRPr="00CF451D">
        <w:rPr>
          <w:rFonts w:ascii="Verdana" w:hAnsi="Verdana"/>
          <w:sz w:val="16"/>
          <w:szCs w:val="16"/>
          <w:lang w:val="pt-BR"/>
        </w:rPr>
        <w:t>(</w:t>
      </w:r>
      <w:r w:rsidRPr="002F50BD">
        <w:rPr>
          <w:rFonts w:ascii="Verdana" w:hAnsi="Verdana"/>
          <w:sz w:val="16"/>
          <w:szCs w:val="16"/>
          <w:lang w:val="pt-BR"/>
        </w:rPr>
        <w:t>expediente de anexos à demanda, anexo 5, folhas 1250 a 1257</w:t>
      </w:r>
      <w:r w:rsidRPr="00CF451D">
        <w:rPr>
          <w:rFonts w:ascii="Verdana" w:hAnsi="Verdana"/>
          <w:sz w:val="16"/>
          <w:szCs w:val="16"/>
          <w:lang w:val="pt-BR"/>
        </w:rPr>
        <w:t>)</w:t>
      </w:r>
      <w:r w:rsidRPr="002F50BD">
        <w:rPr>
          <w:rFonts w:ascii="Verdana" w:hAnsi="Verdana"/>
          <w:sz w:val="16"/>
          <w:szCs w:val="16"/>
          <w:lang w:val="pt-BR"/>
        </w:rPr>
        <w:t>, e livro intitulado “</w:t>
      </w:r>
      <w:r w:rsidRPr="002F50BD">
        <w:rPr>
          <w:rFonts w:ascii="Verdana" w:hAnsi="Verdana"/>
          <w:i/>
          <w:sz w:val="16"/>
          <w:szCs w:val="16"/>
          <w:lang w:val="pt-BR"/>
        </w:rPr>
        <w:t xml:space="preserve">II Censo Nacional Indígena de población y viviendas </w:t>
      </w:r>
      <w:r w:rsidRPr="002F50BD">
        <w:rPr>
          <w:rFonts w:ascii="Verdana" w:hAnsi="Verdana"/>
          <w:sz w:val="16"/>
          <w:szCs w:val="16"/>
          <w:lang w:val="pt-BR"/>
        </w:rPr>
        <w:t>2002</w:t>
      </w:r>
      <w:r w:rsidRPr="002F50BD">
        <w:rPr>
          <w:rFonts w:ascii="Verdana" w:hAnsi="Verdana"/>
          <w:i/>
          <w:sz w:val="16"/>
          <w:szCs w:val="16"/>
          <w:lang w:val="pt-BR"/>
        </w:rPr>
        <w:t>. Pueblos Indígenas del Paraguay. Resultados finales</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página 658</w:t>
      </w:r>
      <w:r w:rsidRPr="00CF451D">
        <w:rPr>
          <w:rFonts w:ascii="Verdana" w:hAnsi="Verdana"/>
          <w:sz w:val="16"/>
          <w:szCs w:val="16"/>
          <w:lang w:val="pt-BR"/>
        </w:rPr>
        <w:t>)</w:t>
      </w:r>
      <w:r w:rsidRPr="002F50BD">
        <w:rPr>
          <w:rFonts w:ascii="Verdana" w:hAnsi="Verdana"/>
          <w:sz w:val="16"/>
          <w:szCs w:val="16"/>
          <w:lang w:val="pt-BR"/>
        </w:rPr>
        <w:t>, e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w:t>
      </w:r>
      <w:r>
        <w:rPr>
          <w:rFonts w:ascii="Verdana" w:hAnsi="Verdana"/>
          <w:sz w:val="16"/>
          <w:szCs w:val="16"/>
          <w:lang w:val="pt-BR"/>
        </w:rPr>
        <w:t xml:space="preserve"> </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2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censo da Comunidade indígena Yakye Axa </w:t>
      </w:r>
      <w:r w:rsidRPr="00CF451D">
        <w:rPr>
          <w:rFonts w:ascii="Verdana" w:hAnsi="Verdana"/>
          <w:sz w:val="16"/>
          <w:szCs w:val="16"/>
          <w:lang w:val="pt-BR"/>
        </w:rPr>
        <w:t>(</w:t>
      </w:r>
      <w:r w:rsidRPr="002F50BD">
        <w:rPr>
          <w:rFonts w:ascii="Verdana" w:hAnsi="Verdana"/>
          <w:sz w:val="16"/>
          <w:szCs w:val="16"/>
          <w:lang w:val="pt-BR"/>
        </w:rPr>
        <w:t>expediente de anexos à demanda, anexo 5, folhas 1250 a 1257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3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w:t>
      </w:r>
      <w:r w:rsidRPr="002F50BD">
        <w:rPr>
          <w:rFonts w:ascii="Verdana" w:hAnsi="Verdana"/>
          <w:sz w:val="16"/>
          <w:szCs w:val="16"/>
          <w:lang w:val="pt-BR"/>
        </w:rPr>
        <w:t xml:space="preserve">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 testemunho do senhor Estavam López prestado perante a Corte Interamericana durante a audiência pública celebrada no dia 4 de março de 2005; testemunho do senhor Tomás Galeano prestado perante a Corte Interamericana durante a audiência pública celebrada no dia 4 de março de 2005, e testemunho da senhora Inocencia Gómez prestado perante a Corte Interamericana durante a audiência pública celebrada no dia 4 de março de 2005.</w:t>
      </w:r>
    </w:p>
    <w:p w:rsidR="00CF451D" w:rsidRPr="002F50BD" w:rsidRDefault="00CF451D">
      <w:pPr>
        <w:pStyle w:val="FootnoteText"/>
        <w:jc w:val="both"/>
        <w:rPr>
          <w:rFonts w:ascii="Verdana" w:hAnsi="Verdana"/>
          <w:sz w:val="16"/>
          <w:szCs w:val="16"/>
          <w:lang w:val="pt-BR"/>
        </w:rPr>
      </w:pPr>
    </w:p>
  </w:footnote>
  <w:footnote w:id="3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declaração do senhor Alberto Braunstein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700 a 712</w:t>
      </w:r>
      <w:r w:rsidRPr="00CF451D">
        <w:rPr>
          <w:rFonts w:ascii="Verdana" w:hAnsi="Verdana"/>
          <w:sz w:val="16"/>
          <w:szCs w:val="16"/>
          <w:lang w:val="pt-BR"/>
        </w:rPr>
        <w:t>)</w:t>
      </w:r>
      <w:r w:rsidRPr="002F50BD">
        <w:rPr>
          <w:rFonts w:ascii="Verdana" w:hAnsi="Verdana"/>
          <w:sz w:val="16"/>
          <w:szCs w:val="16"/>
          <w:lang w:val="pt-BR"/>
        </w:rPr>
        <w:t>, e testemunho do senhor Stephen William Kidd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testemunho do senhor Tomás Galeano prestado perante a Corte Interamericana durante a audiência pública celebrada em 4 de março de 2005; testemunho do senhor Stephen William Kidd prestado perante a Corte Interamericana durante a audiência pública celebrada em 4 de março de 2005, e perícia do senhor Bartomeu Melia i Lliteres prestada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e testemunho do senhor Stephen William Kidd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xml:space="preserve">; relatório de avaliação do programa “La Herencia” elaborado pela Igreja Anglicana paraguaia, 1985/1986 </w:t>
      </w:r>
      <w:r w:rsidRPr="00CF451D">
        <w:rPr>
          <w:rFonts w:ascii="Verdana" w:hAnsi="Verdana"/>
          <w:sz w:val="16"/>
          <w:szCs w:val="16"/>
          <w:lang w:val="pt-BR"/>
        </w:rPr>
        <w:t>(</w:t>
      </w:r>
      <w:r w:rsidRPr="002F50BD">
        <w:rPr>
          <w:rFonts w:ascii="Verdana" w:hAnsi="Verdana"/>
          <w:sz w:val="16"/>
          <w:szCs w:val="16"/>
          <w:lang w:val="pt-BR"/>
        </w:rPr>
        <w:t>expediente de anexos à demanda, anexo 33, folhas 1488 a 1486</w:t>
      </w:r>
      <w:r w:rsidRPr="00CF451D">
        <w:rPr>
          <w:rFonts w:ascii="Verdana" w:hAnsi="Verdana"/>
          <w:sz w:val="16"/>
          <w:szCs w:val="16"/>
          <w:lang w:val="pt-BR"/>
        </w:rPr>
        <w:t>)</w:t>
      </w:r>
      <w:r w:rsidRPr="002F50BD">
        <w:rPr>
          <w:rFonts w:ascii="Verdana" w:hAnsi="Verdana"/>
          <w:sz w:val="16"/>
          <w:szCs w:val="16"/>
          <w:lang w:val="pt-BR"/>
        </w:rPr>
        <w:t>, e testemunho do senhor Stephen William Kidd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relatório de avaliação do programa “</w:t>
      </w:r>
      <w:r w:rsidRPr="002F50BD">
        <w:rPr>
          <w:rFonts w:ascii="Verdana" w:hAnsi="Verdana"/>
          <w:i/>
          <w:sz w:val="16"/>
          <w:szCs w:val="16"/>
          <w:lang w:val="pt-BR"/>
        </w:rPr>
        <w:t>La Herencia</w:t>
      </w:r>
      <w:r w:rsidRPr="002F50BD">
        <w:rPr>
          <w:rFonts w:ascii="Verdana" w:hAnsi="Verdana"/>
          <w:sz w:val="16"/>
          <w:szCs w:val="16"/>
          <w:lang w:val="pt-BR"/>
        </w:rPr>
        <w:t xml:space="preserve">” elaborado pela Igreja Anglicana paraguaia, 1985/1986 </w:t>
      </w:r>
      <w:r w:rsidRPr="00CF451D">
        <w:rPr>
          <w:rFonts w:ascii="Verdana" w:hAnsi="Verdana"/>
          <w:sz w:val="16"/>
          <w:szCs w:val="16"/>
          <w:lang w:val="pt-BR"/>
        </w:rPr>
        <w:t>(</w:t>
      </w:r>
      <w:r w:rsidRPr="002F50BD">
        <w:rPr>
          <w:rFonts w:ascii="Verdana" w:hAnsi="Verdana"/>
          <w:sz w:val="16"/>
          <w:szCs w:val="16"/>
          <w:lang w:val="pt-BR"/>
        </w:rPr>
        <w:t>expediente de anexos à demanda, anexo 33, folhas 1488 a 1486</w:t>
      </w:r>
      <w:r w:rsidRPr="00CF451D">
        <w:rPr>
          <w:rFonts w:ascii="Verdana" w:hAnsi="Verdana"/>
          <w:sz w:val="16"/>
          <w:szCs w:val="16"/>
          <w:lang w:val="pt-BR"/>
        </w:rPr>
        <w:t>)</w:t>
      </w:r>
      <w:r w:rsidRPr="002F50BD">
        <w:rPr>
          <w:rFonts w:ascii="Verdana" w:hAnsi="Verdana"/>
          <w:sz w:val="16"/>
          <w:szCs w:val="16"/>
          <w:lang w:val="pt-BR"/>
        </w:rPr>
        <w:t>, e testemunho do senhor Stephen William Kidd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w:t>
      </w:r>
      <w:r>
        <w:rPr>
          <w:rFonts w:ascii="Verdana" w:hAnsi="Verdana"/>
          <w:sz w:val="16"/>
          <w:szCs w:val="16"/>
          <w:lang w:val="pt-BR"/>
        </w:rPr>
        <w:t xml:space="preserve"> </w:t>
      </w:r>
      <w:r w:rsidRPr="002F50BD">
        <w:rPr>
          <w:rFonts w:ascii="Verdana" w:hAnsi="Verdana"/>
          <w:sz w:val="16"/>
          <w:szCs w:val="16"/>
          <w:lang w:val="pt-BR"/>
        </w:rPr>
        <w:t>Centro de Estudos Antropológicos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9, folhas 1272 a 1277</w:t>
      </w:r>
      <w:r w:rsidRPr="00CF451D">
        <w:rPr>
          <w:rFonts w:ascii="Verdana" w:hAnsi="Verdana"/>
          <w:sz w:val="16"/>
          <w:szCs w:val="16"/>
          <w:lang w:val="pt-BR"/>
        </w:rPr>
        <w:t>)</w:t>
      </w:r>
      <w:r w:rsidRPr="002F50BD">
        <w:rPr>
          <w:rFonts w:ascii="Verdana" w:hAnsi="Verdana"/>
          <w:sz w:val="16"/>
          <w:szCs w:val="16"/>
          <w:lang w:val="pt-BR"/>
        </w:rPr>
        <w:t>; testemunho do senhor Stephen William Kidd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e testemunho do senhor Esteban López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3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em 15 de agosto de 1993 pelos membros da Comunidade indígena Yakye Axa perante o Instituto Paraguaio do Indígena </w:t>
      </w:r>
      <w:r w:rsidRPr="00CF451D">
        <w:rPr>
          <w:rFonts w:ascii="Verdana" w:hAnsi="Verdana"/>
          <w:sz w:val="16"/>
          <w:szCs w:val="16"/>
          <w:lang w:val="pt-BR"/>
        </w:rPr>
        <w:t>(</w:t>
      </w:r>
      <w:r w:rsidRPr="002F50BD">
        <w:rPr>
          <w:rFonts w:ascii="Verdana" w:hAnsi="Verdana"/>
          <w:sz w:val="16"/>
          <w:szCs w:val="16"/>
          <w:lang w:val="pt-BR"/>
        </w:rPr>
        <w:t>expediente de anexos à demanda, anexo 15, folhas 1332 a 1334</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3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334/96 emitida pelo Presidente do Conselho Diretivo do Instituto Paraguaio do Indígena em 18 de setembro de 1996 </w:t>
      </w:r>
      <w:r w:rsidRPr="00CF451D">
        <w:rPr>
          <w:rFonts w:ascii="Verdana" w:hAnsi="Verdana"/>
          <w:sz w:val="16"/>
          <w:szCs w:val="16"/>
          <w:lang w:val="pt-BR"/>
        </w:rPr>
        <w:t>(</w:t>
      </w:r>
      <w:r w:rsidRPr="002F50BD">
        <w:rPr>
          <w:rFonts w:ascii="Verdana" w:hAnsi="Verdana"/>
          <w:sz w:val="16"/>
          <w:szCs w:val="16"/>
          <w:lang w:val="pt-BR"/>
        </w:rPr>
        <w:t>expediente de anexos à demanda, anexo 15, folhas 1335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de “comissão de funcionário para realização de personalidade jurídica” apresentada pela Comunidade indígena Yakye Axa perante o Instituto Paraguaio do Indígena em 21 de maio de 1998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 3617</w:t>
      </w:r>
      <w:r w:rsidRPr="00CF451D">
        <w:rPr>
          <w:rFonts w:ascii="Verdana" w:hAnsi="Verdana"/>
          <w:sz w:val="16"/>
          <w:szCs w:val="16"/>
          <w:lang w:val="pt-BR"/>
        </w:rPr>
        <w:t>)</w:t>
      </w:r>
      <w:r w:rsidRPr="002F50BD">
        <w:rPr>
          <w:rFonts w:ascii="Verdana" w:hAnsi="Verdana"/>
          <w:sz w:val="16"/>
          <w:szCs w:val="16"/>
          <w:lang w:val="pt-BR"/>
        </w:rPr>
        <w:t xml:space="preserve">, e nota de recibo nº 76 do sistema de expedientes do Instituto Paraguaio do Indígena de 25 de maio de 1998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 3616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pelo senhor Esteban López perante o Instituto Paraguaio do Indígena em 5 de novembro de 1999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 3620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pelo senhor Esteban López perante o Instituto Paraguaio do Indígena em 3 de fevereiro de 2000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 3629</w:t>
      </w:r>
      <w:r w:rsidRPr="00CF451D">
        <w:rPr>
          <w:rFonts w:ascii="Verdana" w:hAnsi="Verdana"/>
          <w:sz w:val="16"/>
          <w:szCs w:val="16"/>
          <w:lang w:val="pt-BR"/>
        </w:rPr>
        <w:t>)</w:t>
      </w:r>
      <w:r w:rsidRPr="002F50BD">
        <w:rPr>
          <w:rFonts w:ascii="Verdana" w:hAnsi="Verdana"/>
          <w:sz w:val="16"/>
          <w:szCs w:val="16"/>
          <w:lang w:val="pt-BR"/>
        </w:rPr>
        <w:t xml:space="preserve">; solicitação apresentada pelos senhores Esteban López e Tomás Galeano perante o Instituto Paraguaio do Indígena em 24 de março de 2000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folhas 3632 a 3639</w:t>
      </w:r>
      <w:r w:rsidRPr="00CF451D">
        <w:rPr>
          <w:rFonts w:ascii="Verdana" w:hAnsi="Verdana"/>
          <w:sz w:val="16"/>
          <w:szCs w:val="16"/>
          <w:lang w:val="pt-BR"/>
        </w:rPr>
        <w:t>)</w:t>
      </w:r>
      <w:r w:rsidRPr="002F50BD">
        <w:rPr>
          <w:rFonts w:ascii="Verdana" w:hAnsi="Verdana"/>
          <w:sz w:val="16"/>
          <w:szCs w:val="16"/>
          <w:lang w:val="pt-BR"/>
        </w:rPr>
        <w:t xml:space="preserve">, e solicitação apresentada pela senhora Mirta Pereira Giménez perante o Instituto Paraguaio do Indígena em 20 de outubro de 2000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 3631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18/2001 emitida pelo Conselho Diretivo do Instituto Paraguaio do Indígena em 10 de maio de 2001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folhas 3645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304 emitido pela Direção Geral de Assessoria Jurídica do Ministério de Educação e Cultura de Paraguai em 25 de outubro de 2001 </w:t>
      </w:r>
      <w:r w:rsidRPr="00CF451D">
        <w:rPr>
          <w:rFonts w:ascii="Verdana" w:hAnsi="Verdana"/>
          <w:sz w:val="16"/>
          <w:szCs w:val="16"/>
          <w:lang w:val="pt-BR"/>
        </w:rPr>
        <w:t>(</w:t>
      </w:r>
      <w:r w:rsidRPr="002F50BD">
        <w:rPr>
          <w:rFonts w:ascii="Verdana" w:hAnsi="Verdana"/>
          <w:sz w:val="16"/>
          <w:szCs w:val="16"/>
          <w:lang w:val="pt-BR"/>
        </w:rPr>
        <w:t>expediente de anexos à contestação da demanda, anexo 10, folhas 3647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decreto Presidencial nº 15.628 emitido em 10 de dezembro de 2001 </w:t>
      </w:r>
      <w:r w:rsidRPr="00CF451D">
        <w:rPr>
          <w:rFonts w:ascii="Verdana" w:hAnsi="Verdana"/>
          <w:sz w:val="16"/>
          <w:szCs w:val="16"/>
          <w:lang w:val="pt-BR"/>
        </w:rPr>
        <w:t>(</w:t>
      </w:r>
      <w:r w:rsidRPr="002F50BD">
        <w:rPr>
          <w:rFonts w:ascii="Verdana" w:hAnsi="Verdana"/>
          <w:sz w:val="16"/>
          <w:szCs w:val="16"/>
          <w:lang w:val="pt-BR"/>
        </w:rPr>
        <w:t>expediente de anexos à demanda, anexo 15, folha 1336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lei nº 854/63 que estabelece o Estatuto Agrário de 29 de março de 1963, e declaração do senhor Enrique Castillo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647 a 664</w:t>
      </w:r>
      <w:r w:rsidRPr="00CF451D">
        <w:rPr>
          <w:rFonts w:ascii="Verdana" w:hAnsi="Verdana"/>
          <w:sz w:val="16"/>
          <w:szCs w:val="16"/>
          <w:lang w:val="pt-BR"/>
        </w:rPr>
        <w:t>)</w:t>
      </w:r>
      <w:r w:rsidRPr="002F50BD">
        <w:rPr>
          <w:rFonts w:ascii="Verdana" w:hAnsi="Verdana"/>
          <w:sz w:val="16"/>
          <w:szCs w:val="16"/>
          <w:lang w:val="pt-BR"/>
        </w:rPr>
        <w:t>.</w:t>
      </w:r>
      <w:r>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4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lei nº 904/81 que estabelece o Estatuto das Comunidades Indígenas de 18 de dezembro de 1981 e declaração do senhor Enrique Castillo prestada perante agente dotado de fé pública em 11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647 a 664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4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pelo senhor Tomás Galeano perante o Instituto de Bem Estar Rural em 5 de outubro de 1993 </w:t>
      </w:r>
      <w:r w:rsidRPr="00CF451D">
        <w:rPr>
          <w:rFonts w:ascii="Verdana" w:hAnsi="Verdana"/>
          <w:sz w:val="16"/>
          <w:szCs w:val="16"/>
          <w:lang w:val="pt-BR"/>
        </w:rPr>
        <w:t>(</w:t>
      </w:r>
      <w:r w:rsidRPr="002F50BD">
        <w:rPr>
          <w:rFonts w:ascii="Verdana" w:hAnsi="Verdana"/>
          <w:sz w:val="16"/>
          <w:szCs w:val="16"/>
          <w:lang w:val="pt-BR"/>
        </w:rPr>
        <w:t>expediente de anexos à demanda, anexo 4, folhas 488 a 496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r w:rsidRPr="002F50BD">
        <w:rPr>
          <w:rFonts w:ascii="Verdana" w:hAnsi="Verdana"/>
          <w:sz w:val="16"/>
          <w:szCs w:val="16"/>
          <w:lang w:val="pt-BR"/>
        </w:rPr>
        <w:t xml:space="preserve"> </w:t>
      </w:r>
    </w:p>
  </w:footnote>
  <w:footnote w:id="49">
    <w:p w:rsidR="00CF451D" w:rsidRPr="002F50BD" w:rsidRDefault="00CF451D">
      <w:pPr>
        <w:pStyle w:val="Heading1"/>
        <w:jc w:val="both"/>
        <w:rPr>
          <w:sz w:val="16"/>
          <w:szCs w:val="16"/>
          <w:lang w:val="pt-BR"/>
        </w:rPr>
      </w:pPr>
      <w:r w:rsidRPr="002F50BD">
        <w:rPr>
          <w:rStyle w:val="FootnoteReference"/>
          <w:sz w:val="16"/>
          <w:szCs w:val="16"/>
        </w:rPr>
        <w:footnoteRef/>
      </w:r>
      <w:r w:rsidRPr="002F50BD">
        <w:rPr>
          <w:sz w:val="16"/>
          <w:szCs w:val="16"/>
          <w:lang w:val="pt-BR"/>
        </w:rPr>
        <w:tab/>
      </w:r>
      <w:r w:rsidRPr="002F50BD">
        <w:rPr>
          <w:i/>
          <w:sz w:val="16"/>
          <w:szCs w:val="16"/>
          <w:lang w:val="pt-BR"/>
        </w:rPr>
        <w:t xml:space="preserve">Cf. </w:t>
      </w:r>
      <w:r w:rsidRPr="002F50BD">
        <w:rPr>
          <w:sz w:val="16"/>
          <w:szCs w:val="16"/>
          <w:lang w:val="pt-BR"/>
        </w:rPr>
        <w:t>comunicação nº 16</w:t>
      </w:r>
      <w:r>
        <w:rPr>
          <w:sz w:val="16"/>
          <w:szCs w:val="16"/>
          <w:lang w:val="pt-BR"/>
        </w:rPr>
        <w:t xml:space="preserve"> </w:t>
      </w:r>
      <w:r w:rsidRPr="002F50BD">
        <w:rPr>
          <w:sz w:val="16"/>
          <w:szCs w:val="16"/>
          <w:lang w:val="pt-BR"/>
        </w:rPr>
        <w:t xml:space="preserve">do Presidente do Instituto de Bem Estar Rural dirigida ao Presidente do Instituto Paraguaio do Indígena em 3 de março </w:t>
      </w:r>
      <w:r w:rsidRPr="00CF451D">
        <w:rPr>
          <w:sz w:val="16"/>
          <w:szCs w:val="16"/>
          <w:lang w:val="pt-BR"/>
        </w:rPr>
        <w:t>(</w:t>
      </w:r>
      <w:r w:rsidRPr="002F50BD">
        <w:rPr>
          <w:sz w:val="16"/>
          <w:szCs w:val="16"/>
          <w:lang w:val="pt-BR"/>
        </w:rPr>
        <w:t>expediente de anexos à demanda, anexo 4, folha 507</w:t>
      </w:r>
      <w:r w:rsidRPr="00CF451D">
        <w:rPr>
          <w:sz w:val="16"/>
          <w:szCs w:val="16"/>
          <w:lang w:val="pt-BR"/>
        </w:rPr>
        <w:t>)</w:t>
      </w:r>
      <w:r w:rsidRPr="002F50BD">
        <w:rPr>
          <w:sz w:val="16"/>
          <w:szCs w:val="16"/>
          <w:lang w:val="pt-BR"/>
        </w:rPr>
        <w:t>.</w:t>
      </w:r>
    </w:p>
    <w:p w:rsidR="00CF451D" w:rsidRPr="002F50BD" w:rsidRDefault="00CF451D">
      <w:pPr>
        <w:jc w:val="both"/>
        <w:rPr>
          <w:rFonts w:ascii="Verdana" w:hAnsi="Verdana"/>
          <w:sz w:val="16"/>
          <w:szCs w:val="16"/>
          <w:lang w:val="pt-BR"/>
        </w:rPr>
      </w:pPr>
    </w:p>
  </w:footnote>
  <w:footnote w:id="5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nº 281 do Secretário Geral do Instituto de Bem Estar Rural dirigida ao Presidente do Instituto Paraguaio do Indígena em 23 de junho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 527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5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nº 141 do Secretário Geral do Instituto de Bem Estar Rural dirigida ao Presidente do Instituto Paraguaio do Indígena em 30 de abril de 1996 </w:t>
      </w:r>
      <w:r w:rsidRPr="00CF451D">
        <w:rPr>
          <w:rFonts w:ascii="Verdana" w:hAnsi="Verdana"/>
          <w:sz w:val="16"/>
          <w:szCs w:val="16"/>
          <w:lang w:val="pt-BR"/>
        </w:rPr>
        <w:t>(</w:t>
      </w:r>
      <w:r w:rsidRPr="002F50BD">
        <w:rPr>
          <w:rFonts w:ascii="Verdana" w:hAnsi="Verdana"/>
          <w:sz w:val="16"/>
          <w:szCs w:val="16"/>
          <w:lang w:val="pt-BR"/>
        </w:rPr>
        <w:t>expediente de anexos à demanda, anexo 4, folha 548</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5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pela Comunidade Yakye Axa perante o Presidente do Instituto de Bem Estar Rural em 22 de dezembro de 1993 </w:t>
      </w:r>
      <w:r w:rsidRPr="00CF451D">
        <w:rPr>
          <w:rFonts w:ascii="Verdana" w:hAnsi="Verdana"/>
          <w:sz w:val="16"/>
          <w:szCs w:val="16"/>
          <w:lang w:val="pt-BR"/>
        </w:rPr>
        <w:t>(</w:t>
      </w:r>
      <w:r w:rsidRPr="002F50BD">
        <w:rPr>
          <w:rFonts w:ascii="Verdana" w:hAnsi="Verdana"/>
          <w:sz w:val="16"/>
          <w:szCs w:val="16"/>
          <w:lang w:val="pt-BR"/>
        </w:rPr>
        <w:t>expediente de anexos da demanda, anexo 4, folhas 500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5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solicitação apresentada pela Comunidade Yakye Axa perante o Presidente do Instituto de Bem Estar Rural em 17 de março de 1994</w:t>
      </w:r>
      <w:r w:rsidRPr="002F50BD">
        <w:rPr>
          <w:rFonts w:ascii="Verdana" w:hAnsi="Verdana"/>
          <w:b/>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4, folhas 508</w:t>
      </w:r>
      <w:r w:rsidRPr="00CF451D">
        <w:rPr>
          <w:rFonts w:ascii="Verdana" w:hAnsi="Verdana"/>
          <w:sz w:val="16"/>
          <w:szCs w:val="16"/>
          <w:lang w:val="pt-BR"/>
        </w:rPr>
        <w:t>)</w:t>
      </w:r>
      <w:r w:rsidRPr="002F50BD">
        <w:rPr>
          <w:rFonts w:ascii="Verdana" w:hAnsi="Verdana"/>
          <w:sz w:val="16"/>
          <w:szCs w:val="16"/>
          <w:lang w:val="pt-BR"/>
        </w:rPr>
        <w:t xml:space="preserve">; solicitação apresentada pela Comunidade Yakye Axa perante o Presidente do Instituto de Bem Estar Rural em 4 de abril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folhas 524</w:t>
      </w:r>
      <w:r w:rsidRPr="00CF451D">
        <w:rPr>
          <w:rFonts w:ascii="Verdana" w:hAnsi="Verdana"/>
          <w:sz w:val="16"/>
          <w:szCs w:val="16"/>
          <w:lang w:val="pt-BR"/>
        </w:rPr>
        <w:t>)</w:t>
      </w:r>
      <w:r w:rsidRPr="002F50BD">
        <w:rPr>
          <w:rFonts w:ascii="Verdana" w:hAnsi="Verdana"/>
          <w:sz w:val="16"/>
          <w:szCs w:val="16"/>
          <w:lang w:val="pt-BR"/>
        </w:rPr>
        <w:t xml:space="preserve">; solicitação apresentada pela Comunidade Yakye Axa perante o Presidente do Instituto de Bem Estar Rural em 20 de outubro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folhas 535</w:t>
      </w:r>
      <w:r w:rsidRPr="00CF451D">
        <w:rPr>
          <w:rFonts w:ascii="Verdana" w:hAnsi="Verdana"/>
          <w:sz w:val="16"/>
          <w:szCs w:val="16"/>
          <w:lang w:val="pt-BR"/>
        </w:rPr>
        <w:t>)</w:t>
      </w:r>
      <w:r w:rsidRPr="002F50BD">
        <w:rPr>
          <w:rFonts w:ascii="Verdana" w:hAnsi="Verdana"/>
          <w:sz w:val="16"/>
          <w:szCs w:val="16"/>
          <w:lang w:val="pt-BR"/>
        </w:rPr>
        <w:t xml:space="preserve">, e solicitação apresentada pela Comunidade Yakye Axa perante o Presidente do Instituto de Bem Estar Rural em 7 de novembro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folhas 538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jc w:val="both"/>
        <w:rPr>
          <w:rFonts w:ascii="Verdana" w:hAnsi="Verdana"/>
          <w:sz w:val="16"/>
          <w:szCs w:val="16"/>
          <w:lang w:val="pt-BR"/>
        </w:rPr>
      </w:pPr>
    </w:p>
  </w:footnote>
  <w:footnote w:id="5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221 da Divisão de Campos Comunais e Assuntos Coletivos do Instituto de Bem Estar Rural em 7 de abril de 1994 </w:t>
      </w:r>
      <w:r w:rsidRPr="00CF451D">
        <w:rPr>
          <w:rFonts w:ascii="Verdana" w:hAnsi="Verdana"/>
          <w:sz w:val="16"/>
          <w:szCs w:val="16"/>
          <w:lang w:val="pt-BR"/>
        </w:rPr>
        <w:t>(</w:t>
      </w:r>
      <w:r w:rsidRPr="002F50BD">
        <w:rPr>
          <w:rFonts w:ascii="Verdana" w:hAnsi="Verdana"/>
          <w:sz w:val="16"/>
          <w:szCs w:val="16"/>
          <w:lang w:val="pt-BR"/>
        </w:rPr>
        <w:t>expediente de anexos à demanda, anexo 4, folha 510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5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solicitação apresentada pela Comunidade Yakye Axa perante o Presidente do Instituto de Bem Estar Rural em 8 de fevereiro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 516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56">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1825 emitido pela Assessoria Jurídica do Instituto de Bem Estar Rural em 9 de maio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 526</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jc w:val="both"/>
        <w:rPr>
          <w:rFonts w:ascii="Verdana" w:hAnsi="Verdana"/>
          <w:sz w:val="16"/>
          <w:szCs w:val="16"/>
          <w:lang w:val="pt-BR"/>
        </w:rPr>
      </w:pPr>
    </w:p>
  </w:footnote>
  <w:footnote w:id="5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4516 emitido pela Assessoria Jurídica do Instituto de Bem Estar Rural em 6 de julho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 531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5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P.C nº 605/95 dirigida pelo Presidente do Instituto Paraguaio do Indígena ao Presidente do Instituto de Bem Estar Rural em 11 de dezembro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 534</w:t>
      </w:r>
      <w:r w:rsidRPr="00CF451D">
        <w:rPr>
          <w:rFonts w:ascii="Verdana" w:hAnsi="Verdana"/>
          <w:sz w:val="16"/>
          <w:szCs w:val="16"/>
          <w:lang w:val="pt-BR"/>
        </w:rPr>
        <w:t>)</w:t>
      </w:r>
      <w:r w:rsidRPr="002F50BD">
        <w:rPr>
          <w:rFonts w:ascii="Verdana" w:hAnsi="Verdana"/>
          <w:sz w:val="16"/>
          <w:szCs w:val="16"/>
          <w:lang w:val="pt-BR"/>
        </w:rPr>
        <w:t>.</w:t>
      </w:r>
      <w:r w:rsidRPr="002F50BD">
        <w:rPr>
          <w:rFonts w:ascii="Verdana" w:hAnsi="Verdana"/>
          <w:b/>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5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S.G. nº 187 dirigida pelo Secretário Geral do Instituto de Bem Estar Rural ao senhor Oscar Carissimo Netto em 27 de maio de 1996 </w:t>
      </w:r>
      <w:r w:rsidRPr="00CF451D">
        <w:rPr>
          <w:rFonts w:ascii="Verdana" w:hAnsi="Verdana"/>
          <w:sz w:val="16"/>
          <w:szCs w:val="16"/>
          <w:lang w:val="pt-BR"/>
        </w:rPr>
        <w:t>(</w:t>
      </w:r>
      <w:r w:rsidRPr="002F50BD">
        <w:rPr>
          <w:rFonts w:ascii="Verdana" w:hAnsi="Verdana"/>
          <w:sz w:val="16"/>
          <w:szCs w:val="16"/>
          <w:lang w:val="pt-BR"/>
        </w:rPr>
        <w:t>expediente de anexos à demanda, anexo 4, folha 547</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6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senhor Carlos Sacco Rodríguez, advogado da empresa Torocay S.A., dirigida ao Secretário Geral do Instituto de Bem Estar Rural em 13 de junho de 1996 </w:t>
      </w:r>
      <w:r w:rsidRPr="00CF451D">
        <w:rPr>
          <w:rFonts w:ascii="Verdana" w:hAnsi="Verdana"/>
          <w:sz w:val="16"/>
          <w:szCs w:val="16"/>
          <w:lang w:val="pt-BR"/>
        </w:rPr>
        <w:t>(</w:t>
      </w:r>
      <w:r w:rsidRPr="002F50BD">
        <w:rPr>
          <w:rFonts w:ascii="Verdana" w:hAnsi="Verdana"/>
          <w:sz w:val="16"/>
          <w:szCs w:val="16"/>
          <w:lang w:val="pt-BR"/>
        </w:rPr>
        <w:t>expediente de anexos à demanda, anexo 4, folha 549</w:t>
      </w:r>
      <w:r w:rsidRPr="00CF451D">
        <w:rPr>
          <w:rFonts w:ascii="Verdana" w:hAnsi="Verdana"/>
          <w:sz w:val="16"/>
          <w:szCs w:val="16"/>
          <w:lang w:val="pt-BR"/>
        </w:rPr>
        <w:t>)</w:t>
      </w:r>
      <w:r w:rsidRPr="002F50BD">
        <w:rPr>
          <w:rFonts w:ascii="Verdana" w:hAnsi="Verdana"/>
          <w:sz w:val="16"/>
          <w:szCs w:val="16"/>
          <w:lang w:val="pt-BR"/>
        </w:rPr>
        <w:t>.</w:t>
      </w:r>
    </w:p>
  </w:footnote>
  <w:footnote w:id="61">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694 emitida pelo Presidente do Instituto de Bem Estar Rural em 25 de julho de 1996 </w:t>
      </w:r>
      <w:r w:rsidRPr="00CF451D">
        <w:rPr>
          <w:rFonts w:ascii="Verdana" w:hAnsi="Verdana"/>
          <w:sz w:val="16"/>
          <w:szCs w:val="16"/>
          <w:lang w:val="pt-BR"/>
        </w:rPr>
        <w:t>(</w:t>
      </w:r>
      <w:r w:rsidRPr="002F50BD">
        <w:rPr>
          <w:rFonts w:ascii="Verdana" w:hAnsi="Verdana"/>
          <w:sz w:val="16"/>
          <w:szCs w:val="16"/>
          <w:lang w:val="pt-BR"/>
        </w:rPr>
        <w:t>expediente de anexos à demanda, anexo 4, folha 555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6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sobre inspeção ocular apresentado pelos senhores Román R. León Silva, funcionário comissionado do Instituto de Bem Estar Rural, e Claudio I. </w:t>
      </w:r>
      <w:r w:rsidRPr="002F50BD">
        <w:rPr>
          <w:rFonts w:ascii="Verdana" w:hAnsi="Verdana"/>
          <w:sz w:val="16"/>
          <w:szCs w:val="16"/>
          <w:lang w:val="pt-BR"/>
        </w:rPr>
        <w:t xml:space="preserve">Miltos A., funcionário comissionado do Instituto Paraguaio do Indígena ao Presidente do Instituto de Bem Estar Rural em 15 de outubro de 1995 </w:t>
      </w:r>
      <w:r w:rsidRPr="00CF451D">
        <w:rPr>
          <w:rFonts w:ascii="Verdana" w:hAnsi="Verdana"/>
          <w:sz w:val="16"/>
          <w:szCs w:val="16"/>
          <w:lang w:val="pt-BR"/>
        </w:rPr>
        <w:t>(</w:t>
      </w:r>
      <w:r w:rsidRPr="002F50BD">
        <w:rPr>
          <w:rFonts w:ascii="Verdana" w:hAnsi="Verdana"/>
          <w:sz w:val="16"/>
          <w:szCs w:val="16"/>
          <w:lang w:val="pt-BR"/>
        </w:rPr>
        <w:t>expediente de anexos à demanda, anexo 4, folhas 556 a 579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6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nota S.G. nº 210</w:t>
      </w:r>
      <w:r>
        <w:rPr>
          <w:rFonts w:ascii="Verdana" w:hAnsi="Verdana"/>
          <w:sz w:val="16"/>
          <w:szCs w:val="16"/>
          <w:lang w:val="pt-BR"/>
        </w:rPr>
        <w:t xml:space="preserve"> </w:t>
      </w:r>
      <w:r w:rsidRPr="002F50BD">
        <w:rPr>
          <w:rFonts w:ascii="Verdana" w:hAnsi="Verdana"/>
          <w:sz w:val="16"/>
          <w:szCs w:val="16"/>
          <w:lang w:val="pt-BR"/>
        </w:rPr>
        <w:t xml:space="preserve">do Secretário Geral do Instituto de Bem Estar Rural dirigida ao Presidente do Instituto Paraguaio do Indígena em 24 de abril de 1997 </w:t>
      </w:r>
      <w:r w:rsidRPr="00CF451D">
        <w:rPr>
          <w:rFonts w:ascii="Verdana" w:hAnsi="Verdana"/>
          <w:sz w:val="16"/>
          <w:szCs w:val="16"/>
          <w:lang w:val="pt-BR"/>
        </w:rPr>
        <w:t>(</w:t>
      </w:r>
      <w:r w:rsidRPr="002F50BD">
        <w:rPr>
          <w:rFonts w:ascii="Verdana" w:hAnsi="Verdana"/>
          <w:sz w:val="16"/>
          <w:szCs w:val="16"/>
          <w:lang w:val="pt-BR"/>
        </w:rPr>
        <w:t>expediente de anexos à demanda, anexo 4, folha 639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6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P.C. nº 298 do Presidente do Instituto Paraguaio do Indígena dirigida à organização não governamental Tierraviva em 28 de maio de 1997 </w:t>
      </w:r>
      <w:r w:rsidRPr="00CF451D">
        <w:rPr>
          <w:rFonts w:ascii="Verdana" w:hAnsi="Verdana"/>
          <w:sz w:val="16"/>
          <w:szCs w:val="16"/>
          <w:lang w:val="pt-BR"/>
        </w:rPr>
        <w:t>(</w:t>
      </w:r>
      <w:r w:rsidRPr="002F50BD">
        <w:rPr>
          <w:rFonts w:ascii="Verdana" w:hAnsi="Verdana"/>
          <w:sz w:val="16"/>
          <w:szCs w:val="16"/>
          <w:lang w:val="pt-BR"/>
        </w:rPr>
        <w:t>expediente de anexos à demanda, anexo 4, folha 642</w:t>
      </w:r>
      <w:r w:rsidRPr="00CF451D">
        <w:rPr>
          <w:rFonts w:ascii="Verdana" w:hAnsi="Verdana"/>
          <w:sz w:val="16"/>
          <w:szCs w:val="16"/>
          <w:lang w:val="pt-BR"/>
        </w:rPr>
        <w:t>)</w:t>
      </w:r>
      <w:r w:rsidRPr="002F50BD">
        <w:rPr>
          <w:rFonts w:ascii="Verdana" w:hAnsi="Verdana"/>
          <w:sz w:val="16"/>
          <w:szCs w:val="16"/>
          <w:lang w:val="pt-BR"/>
        </w:rPr>
        <w:t>.</w:t>
      </w:r>
    </w:p>
  </w:footnote>
  <w:footnote w:id="6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nota P.C. nº 299 do Presidente do Instituto Paraguaio do Indígena dirigida ao Centro de Estudos Antropológico da Universidade Católica “</w:t>
      </w:r>
      <w:r w:rsidRPr="002F50BD">
        <w:rPr>
          <w:rFonts w:ascii="Verdana" w:hAnsi="Verdana"/>
          <w:i/>
          <w:sz w:val="16"/>
          <w:szCs w:val="16"/>
          <w:lang w:val="pt-BR"/>
        </w:rPr>
        <w:t>Nuestra Señora de la Asunción</w:t>
      </w:r>
      <w:r w:rsidRPr="002F50BD">
        <w:rPr>
          <w:rFonts w:ascii="Verdana" w:hAnsi="Verdana"/>
          <w:sz w:val="16"/>
          <w:szCs w:val="16"/>
          <w:lang w:val="pt-BR"/>
        </w:rPr>
        <w:t xml:space="preserve">” em 28 de maio de 1997 </w:t>
      </w:r>
      <w:r w:rsidRPr="00CF451D">
        <w:rPr>
          <w:rFonts w:ascii="Verdana" w:hAnsi="Verdana"/>
          <w:sz w:val="16"/>
          <w:szCs w:val="16"/>
          <w:lang w:val="pt-BR"/>
        </w:rPr>
        <w:t>(</w:t>
      </w:r>
      <w:r w:rsidRPr="002F50BD">
        <w:rPr>
          <w:rFonts w:ascii="Verdana" w:hAnsi="Verdana"/>
          <w:sz w:val="16"/>
          <w:szCs w:val="16"/>
          <w:lang w:val="pt-BR"/>
        </w:rPr>
        <w:t>expediente de anexos à demanda, anexo 4, folhas 643</w:t>
      </w:r>
      <w:r w:rsidRPr="00CF451D">
        <w:rPr>
          <w:rFonts w:ascii="Verdana" w:hAnsi="Verdana"/>
          <w:sz w:val="16"/>
          <w:szCs w:val="16"/>
          <w:lang w:val="pt-BR"/>
        </w:rPr>
        <w:t>)</w:t>
      </w:r>
      <w:r w:rsidRPr="002F50BD">
        <w:rPr>
          <w:rFonts w:ascii="Verdana" w:hAnsi="Verdana"/>
          <w:sz w:val="16"/>
          <w:szCs w:val="16"/>
          <w:lang w:val="pt-BR"/>
        </w:rPr>
        <w:t>.</w:t>
      </w:r>
    </w:p>
  </w:footnote>
  <w:footnote w:id="66">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senhor Esteban López dirigida ao Presidente do Instituto Paraguaio do Indígena em 3 de junho de 1997 </w:t>
      </w:r>
      <w:r w:rsidRPr="00CF451D">
        <w:rPr>
          <w:rFonts w:ascii="Verdana" w:hAnsi="Verdana"/>
          <w:sz w:val="16"/>
          <w:szCs w:val="16"/>
          <w:lang w:val="pt-BR"/>
        </w:rPr>
        <w:t>(</w:t>
      </w:r>
      <w:r w:rsidRPr="002F50BD">
        <w:rPr>
          <w:rFonts w:ascii="Verdana" w:hAnsi="Verdana"/>
          <w:sz w:val="16"/>
          <w:szCs w:val="16"/>
          <w:lang w:val="pt-BR"/>
        </w:rPr>
        <w:t>expediente de anexos à demanda, anexo 4, folha 644</w:t>
      </w:r>
      <w:r w:rsidRPr="00CF451D">
        <w:rPr>
          <w:rFonts w:ascii="Verdana" w:hAnsi="Verdana"/>
          <w:sz w:val="16"/>
          <w:szCs w:val="16"/>
          <w:lang w:val="pt-BR"/>
        </w:rPr>
        <w:t>)</w:t>
      </w:r>
      <w:r w:rsidRPr="002F50BD">
        <w:rPr>
          <w:rFonts w:ascii="Verdana" w:hAnsi="Verdana"/>
          <w:sz w:val="16"/>
          <w:szCs w:val="16"/>
          <w:lang w:val="pt-BR"/>
        </w:rPr>
        <w:t>.</w:t>
      </w:r>
    </w:p>
  </w:footnote>
  <w:footnote w:id="67">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pericial sobre a localização da </w:t>
      </w:r>
      <w:r w:rsidRPr="002F50BD">
        <w:rPr>
          <w:rFonts w:ascii="Verdana" w:hAnsi="Verdana"/>
          <w:i/>
          <w:sz w:val="16"/>
          <w:szCs w:val="16"/>
          <w:lang w:val="pt-BR"/>
        </w:rPr>
        <w:t>Estancia Loma Verde</w:t>
      </w:r>
      <w:r w:rsidRPr="002F50BD">
        <w:rPr>
          <w:rFonts w:ascii="Verdana" w:hAnsi="Verdana"/>
          <w:sz w:val="16"/>
          <w:szCs w:val="16"/>
          <w:lang w:val="pt-BR"/>
        </w:rPr>
        <w:t xml:space="preserve"> assinado pelo senhor Humberto Ricardo Gómez </w:t>
      </w:r>
      <w:r w:rsidRPr="00CF451D">
        <w:rPr>
          <w:rFonts w:ascii="Verdana" w:hAnsi="Verdana"/>
          <w:sz w:val="16"/>
          <w:szCs w:val="16"/>
          <w:lang w:val="pt-BR"/>
        </w:rPr>
        <w:t>(</w:t>
      </w:r>
      <w:r w:rsidRPr="002F50BD">
        <w:rPr>
          <w:rFonts w:ascii="Verdana" w:hAnsi="Verdana"/>
          <w:sz w:val="16"/>
          <w:szCs w:val="16"/>
          <w:lang w:val="pt-BR"/>
        </w:rPr>
        <w:t>expediente de anexos à demanda, anexo 4, folhas 649 a 651</w:t>
      </w:r>
      <w:r w:rsidRPr="00CF451D">
        <w:rPr>
          <w:rFonts w:ascii="Verdana" w:hAnsi="Verdana"/>
          <w:sz w:val="16"/>
          <w:szCs w:val="16"/>
          <w:lang w:val="pt-BR"/>
        </w:rPr>
        <w:t>)</w:t>
      </w:r>
      <w:r w:rsidRPr="002F50BD">
        <w:rPr>
          <w:rFonts w:ascii="Verdana" w:hAnsi="Verdana"/>
          <w:sz w:val="16"/>
          <w:szCs w:val="16"/>
          <w:lang w:val="pt-BR"/>
        </w:rPr>
        <w:t xml:space="preserve">; relatório pericial sobre a localização da </w:t>
      </w:r>
      <w:r w:rsidRPr="002F50BD">
        <w:rPr>
          <w:rFonts w:ascii="Verdana" w:hAnsi="Verdana"/>
          <w:i/>
          <w:sz w:val="16"/>
          <w:szCs w:val="16"/>
          <w:lang w:val="pt-BR"/>
        </w:rPr>
        <w:t>Estancia Esperanza</w:t>
      </w:r>
      <w:r w:rsidRPr="002F50BD">
        <w:rPr>
          <w:rFonts w:ascii="Verdana" w:hAnsi="Verdana"/>
          <w:sz w:val="16"/>
          <w:szCs w:val="16"/>
          <w:lang w:val="pt-BR"/>
        </w:rPr>
        <w:t xml:space="preserve"> assinado pelo senhor Humberto Ricardo Gómez </w:t>
      </w:r>
      <w:r w:rsidRPr="00CF451D">
        <w:rPr>
          <w:rFonts w:ascii="Verdana" w:hAnsi="Verdana"/>
          <w:sz w:val="16"/>
          <w:szCs w:val="16"/>
          <w:lang w:val="pt-BR"/>
        </w:rPr>
        <w:t>(</w:t>
      </w:r>
      <w:r w:rsidRPr="002F50BD">
        <w:rPr>
          <w:rFonts w:ascii="Verdana" w:hAnsi="Verdana"/>
          <w:sz w:val="16"/>
          <w:szCs w:val="16"/>
          <w:lang w:val="pt-BR"/>
        </w:rPr>
        <w:t>expediente de anexos à demanda, folhas 652 a 653</w:t>
      </w:r>
      <w:r w:rsidRPr="00CF451D">
        <w:rPr>
          <w:rFonts w:ascii="Verdana" w:hAnsi="Verdana"/>
          <w:sz w:val="16"/>
          <w:szCs w:val="16"/>
          <w:lang w:val="pt-BR"/>
        </w:rPr>
        <w:t>)</w:t>
      </w:r>
      <w:r w:rsidRPr="002F50BD">
        <w:rPr>
          <w:rFonts w:ascii="Verdana" w:hAnsi="Verdana"/>
          <w:sz w:val="16"/>
          <w:szCs w:val="16"/>
          <w:lang w:val="pt-BR"/>
        </w:rPr>
        <w:t xml:space="preserve">, e relatório pericial sobre a localização da Estancia La Sirena assinado pelo senhor Humberto Ricardo Gómez </w:t>
      </w:r>
      <w:r w:rsidRPr="00CF451D">
        <w:rPr>
          <w:rFonts w:ascii="Verdana" w:hAnsi="Verdana"/>
          <w:sz w:val="16"/>
          <w:szCs w:val="16"/>
          <w:lang w:val="pt-BR"/>
        </w:rPr>
        <w:t>(</w:t>
      </w:r>
      <w:r w:rsidRPr="002F50BD">
        <w:rPr>
          <w:rFonts w:ascii="Verdana" w:hAnsi="Verdana"/>
          <w:sz w:val="16"/>
          <w:szCs w:val="16"/>
          <w:lang w:val="pt-BR"/>
        </w:rPr>
        <w:t>expediente de anexos à demanda, anexo 4, folhas 654 a 656</w:t>
      </w:r>
      <w:r w:rsidRPr="00CF451D">
        <w:rPr>
          <w:rFonts w:ascii="Verdana" w:hAnsi="Verdana"/>
          <w:sz w:val="16"/>
          <w:szCs w:val="16"/>
          <w:lang w:val="pt-BR"/>
        </w:rPr>
        <w:t>)</w:t>
      </w:r>
      <w:r w:rsidRPr="002F50BD">
        <w:rPr>
          <w:rFonts w:ascii="Verdana" w:hAnsi="Verdana"/>
          <w:sz w:val="16"/>
          <w:szCs w:val="16"/>
          <w:lang w:val="pt-BR"/>
        </w:rPr>
        <w:t xml:space="preserve">. </w:t>
      </w:r>
    </w:p>
  </w:footnote>
  <w:footnote w:id="68">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comunicação do Secretário do Centro de Estudos Antropológicos da Universidade “</w:t>
      </w:r>
      <w:r w:rsidRPr="002F50BD">
        <w:rPr>
          <w:rFonts w:ascii="Verdana" w:hAnsi="Verdana"/>
          <w:i/>
          <w:sz w:val="16"/>
          <w:szCs w:val="16"/>
          <w:lang w:val="pt-BR"/>
        </w:rPr>
        <w:t>Nuestra Señora de la Asunción</w:t>
      </w:r>
      <w:r w:rsidRPr="002F50BD">
        <w:rPr>
          <w:rFonts w:ascii="Verdana" w:hAnsi="Verdana"/>
          <w:sz w:val="16"/>
          <w:szCs w:val="16"/>
          <w:lang w:val="pt-BR"/>
        </w:rPr>
        <w:t xml:space="preserve">” dirigida ao Presidente do Instituto Paraguaio do Indígena em 16 de dezembro de 1997 </w:t>
      </w:r>
      <w:r w:rsidRPr="00CF451D">
        <w:rPr>
          <w:rFonts w:ascii="Verdana" w:hAnsi="Verdana"/>
          <w:sz w:val="16"/>
          <w:szCs w:val="16"/>
          <w:lang w:val="pt-BR"/>
        </w:rPr>
        <w:t>(</w:t>
      </w:r>
      <w:r w:rsidRPr="002F50BD">
        <w:rPr>
          <w:rFonts w:ascii="Verdana" w:hAnsi="Verdana"/>
          <w:sz w:val="16"/>
          <w:szCs w:val="16"/>
          <w:lang w:val="pt-BR"/>
        </w:rPr>
        <w:t>expediente de anexos à demanda, anexo 4, folha 678</w:t>
      </w:r>
      <w:r w:rsidRPr="00CF451D">
        <w:rPr>
          <w:rFonts w:ascii="Verdana" w:hAnsi="Verdana"/>
          <w:sz w:val="16"/>
          <w:szCs w:val="16"/>
          <w:lang w:val="pt-BR"/>
        </w:rPr>
        <w:t>)</w:t>
      </w:r>
      <w:r w:rsidRPr="002F50BD">
        <w:rPr>
          <w:rFonts w:ascii="Verdana" w:hAnsi="Verdana"/>
          <w:sz w:val="16"/>
          <w:szCs w:val="16"/>
          <w:lang w:val="pt-BR"/>
        </w:rPr>
        <w:t xml:space="preserve">, e relatório antropológico sobre a Comunidade Yakye Axa </w:t>
      </w:r>
      <w:r w:rsidRPr="00CF451D">
        <w:rPr>
          <w:rFonts w:ascii="Verdana" w:hAnsi="Verdana"/>
          <w:sz w:val="16"/>
          <w:szCs w:val="16"/>
          <w:lang w:val="pt-BR"/>
        </w:rPr>
        <w:t>(</w:t>
      </w:r>
      <w:r w:rsidRPr="002F50BD">
        <w:rPr>
          <w:rFonts w:ascii="Verdana" w:hAnsi="Verdana"/>
          <w:sz w:val="16"/>
          <w:szCs w:val="16"/>
          <w:lang w:val="pt-BR"/>
        </w:rPr>
        <w:t>Loma Verde</w:t>
      </w:r>
      <w:r w:rsidRPr="00CF451D">
        <w:rPr>
          <w:rFonts w:ascii="Verdana" w:hAnsi="Verdana"/>
          <w:sz w:val="16"/>
          <w:szCs w:val="16"/>
          <w:lang w:val="pt-BR"/>
        </w:rPr>
        <w:t>)</w:t>
      </w:r>
      <w:r w:rsidRPr="002F50BD">
        <w:rPr>
          <w:rFonts w:ascii="Verdana" w:hAnsi="Verdana"/>
          <w:sz w:val="16"/>
          <w:szCs w:val="16"/>
          <w:lang w:val="pt-BR"/>
        </w:rPr>
        <w:t xml:space="preserve"> do Povo Enxet-Lengua, elaborado por Miguel Chase-Sardi, Coordenador do Centro de Estudos Antropológicos da Universidade “</w:t>
      </w:r>
      <w:r w:rsidRPr="002F50BD">
        <w:rPr>
          <w:rFonts w:ascii="Verdana" w:hAnsi="Verdana"/>
          <w:i/>
          <w:sz w:val="16"/>
          <w:szCs w:val="16"/>
          <w:lang w:val="pt-BR"/>
        </w:rPr>
        <w:t>Nuestra Señora de la Asunción</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4, folhas 679 a 683</w:t>
      </w:r>
      <w:r w:rsidRPr="00CF451D">
        <w:rPr>
          <w:rFonts w:ascii="Verdana" w:hAnsi="Verdana"/>
          <w:sz w:val="16"/>
          <w:szCs w:val="16"/>
          <w:lang w:val="pt-BR"/>
        </w:rPr>
        <w:t>)</w:t>
      </w:r>
      <w:r w:rsidRPr="002F50BD">
        <w:rPr>
          <w:rFonts w:ascii="Verdana" w:hAnsi="Verdana"/>
          <w:sz w:val="16"/>
          <w:szCs w:val="16"/>
          <w:lang w:val="pt-BR"/>
        </w:rPr>
        <w:t>.</w:t>
      </w:r>
    </w:p>
  </w:footnote>
  <w:footnote w:id="69">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representante legal das empresas Florida Agricultural Corporation, Livestock Capital Group Inc. </w:t>
      </w:r>
      <w:r w:rsidRPr="002F50BD">
        <w:rPr>
          <w:rFonts w:ascii="Verdana" w:hAnsi="Verdana"/>
          <w:sz w:val="16"/>
          <w:szCs w:val="16"/>
          <w:lang w:val="pt-BR"/>
        </w:rPr>
        <w:t xml:space="preserve">e Agricultural Development Inc., dirigida ao Presidente do Instituto Paraguaio do Indígena em 13 de abril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756 a 777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7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apresentado pelo representante legal das empresas Florida Agricultural Corporation, Livestock Capital Group Inc. </w:t>
      </w:r>
      <w:r w:rsidRPr="002F50BD">
        <w:rPr>
          <w:rFonts w:ascii="Verdana" w:hAnsi="Verdana"/>
          <w:sz w:val="16"/>
          <w:szCs w:val="16"/>
          <w:lang w:val="pt-BR"/>
        </w:rPr>
        <w:t xml:space="preserve">e Agricultural Development Inc., ao Instituto Paraguaio do Indígena em 22 de abril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785 a 786</w:t>
      </w:r>
      <w:r w:rsidRPr="00CF451D">
        <w:rPr>
          <w:rFonts w:ascii="Verdana" w:hAnsi="Verdana"/>
          <w:sz w:val="16"/>
          <w:szCs w:val="16"/>
          <w:lang w:val="pt-BR"/>
        </w:rPr>
        <w:t>)</w:t>
      </w:r>
      <w:r w:rsidRPr="002F50BD">
        <w:rPr>
          <w:rFonts w:ascii="Verdana" w:hAnsi="Verdana"/>
          <w:sz w:val="16"/>
          <w:szCs w:val="16"/>
          <w:lang w:val="pt-BR"/>
        </w:rPr>
        <w:t xml:space="preserve"> e escrito apresentado pelo representante legal das empresas Florida Agricultural Corporation, Livestock Capital Group Inc. e Agricultural Development Inc., ao Presidente do Instituto Paraguaio do Indígena em 28 de abril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791 a 793</w:t>
      </w:r>
      <w:r w:rsidRPr="00CF451D">
        <w:rPr>
          <w:rFonts w:ascii="Verdana" w:hAnsi="Verdana"/>
          <w:sz w:val="16"/>
          <w:szCs w:val="16"/>
          <w:lang w:val="pt-BR"/>
        </w:rPr>
        <w:t>)</w:t>
      </w:r>
      <w:r w:rsidRPr="002F50BD">
        <w:rPr>
          <w:rFonts w:ascii="Verdana" w:hAnsi="Verdana"/>
          <w:sz w:val="16"/>
          <w:szCs w:val="16"/>
          <w:lang w:val="pt-BR"/>
        </w:rPr>
        <w:t>.</w:t>
      </w:r>
    </w:p>
  </w:footnote>
  <w:footnote w:id="71">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52/98 emitido pela Direção Jurídica do Instituto Paraguaio do Indígena em 21 de maio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799 e 800</w:t>
      </w:r>
      <w:r w:rsidRPr="00CF451D">
        <w:rPr>
          <w:rFonts w:ascii="Verdana" w:hAnsi="Verdana"/>
          <w:sz w:val="16"/>
          <w:szCs w:val="16"/>
          <w:lang w:val="pt-BR"/>
        </w:rPr>
        <w:t>)</w:t>
      </w:r>
      <w:r w:rsidRPr="002F50BD">
        <w:rPr>
          <w:rFonts w:ascii="Verdana" w:hAnsi="Verdana"/>
          <w:sz w:val="16"/>
          <w:szCs w:val="16"/>
          <w:lang w:val="pt-BR"/>
        </w:rPr>
        <w:t>.</w:t>
      </w:r>
    </w:p>
  </w:footnote>
  <w:footnote w:id="72">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S.G. nº 5/98 da Secretaria Geral do Instituto Paraguaio do Indígena dirigida ao Presidente do Instituto de Bem Estar Rural em 26 de maio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 802</w:t>
      </w:r>
      <w:r w:rsidRPr="00CF451D">
        <w:rPr>
          <w:rFonts w:ascii="Verdana" w:hAnsi="Verdana"/>
          <w:sz w:val="16"/>
          <w:szCs w:val="16"/>
          <w:lang w:val="pt-BR"/>
        </w:rPr>
        <w:t>)</w:t>
      </w:r>
      <w:r w:rsidRPr="002F50BD">
        <w:rPr>
          <w:rFonts w:ascii="Verdana" w:hAnsi="Verdana"/>
          <w:sz w:val="16"/>
          <w:szCs w:val="16"/>
          <w:lang w:val="pt-BR"/>
        </w:rPr>
        <w:t>.</w:t>
      </w:r>
    </w:p>
  </w:footnote>
  <w:footnote w:id="73">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1031 emitido pela Assessoria Jurídica do Instituto de Bem Estar Rural em 3 de julho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 822</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7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755 emitida pelo Conselho do Instituto de Bem Estar Rural em 8 de setembro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826, 827 e 829</w:t>
      </w:r>
      <w:r w:rsidRPr="00CF451D">
        <w:rPr>
          <w:rFonts w:ascii="Verdana" w:hAnsi="Verdana"/>
          <w:sz w:val="16"/>
          <w:szCs w:val="16"/>
          <w:lang w:val="pt-BR"/>
        </w:rPr>
        <w:t>)</w:t>
      </w:r>
      <w:r w:rsidRPr="002F50BD">
        <w:rPr>
          <w:rFonts w:ascii="Verdana" w:hAnsi="Verdana"/>
          <w:sz w:val="16"/>
          <w:szCs w:val="16"/>
          <w:lang w:val="pt-BR"/>
        </w:rPr>
        <w:t>.</w:t>
      </w:r>
    </w:p>
  </w:footnote>
  <w:footnote w:id="7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00F8225E">
        <w:rPr>
          <w:rFonts w:ascii="Verdana" w:hAnsi="Verdana"/>
          <w:sz w:val="16"/>
          <w:szCs w:val="16"/>
          <w:lang w:val="pt-BR"/>
        </w:rPr>
        <w:t>nota A</w:t>
      </w:r>
      <w:r w:rsidRPr="002F50BD">
        <w:rPr>
          <w:rFonts w:ascii="Verdana" w:hAnsi="Verdana"/>
          <w:sz w:val="16"/>
          <w:szCs w:val="16"/>
          <w:lang w:val="pt-BR"/>
        </w:rPr>
        <w:t xml:space="preserve"> nº 323 do Presidente do Instituto de Bem Estar Rural dirigida ao Presidente do Instituto Paraguaio do Indígena em 28 de setembro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 834</w:t>
      </w:r>
      <w:r w:rsidRPr="00CF451D">
        <w:rPr>
          <w:rFonts w:ascii="Verdana" w:hAnsi="Verdana"/>
          <w:sz w:val="16"/>
          <w:szCs w:val="16"/>
          <w:lang w:val="pt-BR"/>
        </w:rPr>
        <w:t>)</w:t>
      </w:r>
      <w:r w:rsidRPr="002F50BD">
        <w:rPr>
          <w:rFonts w:ascii="Verdana" w:hAnsi="Verdana"/>
          <w:sz w:val="16"/>
          <w:szCs w:val="16"/>
          <w:lang w:val="pt-BR"/>
        </w:rPr>
        <w:t>.</w:t>
      </w:r>
    </w:p>
  </w:footnote>
  <w:footnote w:id="76">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122 emitido pela Direção Jurídica do Instituto Paraguaio do Indígena em 26 de outubro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 838</w:t>
      </w:r>
      <w:r w:rsidRPr="00CF451D">
        <w:rPr>
          <w:rFonts w:ascii="Verdana" w:hAnsi="Verdana"/>
          <w:sz w:val="16"/>
          <w:szCs w:val="16"/>
          <w:lang w:val="pt-BR"/>
        </w:rPr>
        <w:t>)</w:t>
      </w:r>
      <w:r w:rsidRPr="002F50BD">
        <w:rPr>
          <w:rFonts w:ascii="Verdana" w:hAnsi="Verdana"/>
          <w:sz w:val="16"/>
          <w:szCs w:val="16"/>
          <w:lang w:val="pt-BR"/>
        </w:rPr>
        <w:t>.</w:t>
      </w:r>
    </w:p>
  </w:footnote>
  <w:footnote w:id="77">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de inspeção ocular elaborado pelos senhores Emilio Caballero e Andrés Chemehi, membros do Conselho Diretivo do Instituto Paraguaio do Indígena em 9 de fevereiro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864 a 874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r>
        <w:rPr>
          <w:rFonts w:ascii="Verdana" w:hAnsi="Verdana"/>
          <w:sz w:val="16"/>
          <w:szCs w:val="16"/>
          <w:lang w:val="pt-BR"/>
        </w:rPr>
        <w:t xml:space="preserve"> </w:t>
      </w:r>
    </w:p>
  </w:footnote>
  <w:footnote w:id="7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escrito de recusação apresentado pelo representante das empresas Florida Agricultural</w:t>
      </w:r>
      <w:r>
        <w:rPr>
          <w:rFonts w:ascii="Verdana" w:hAnsi="Verdana"/>
          <w:sz w:val="16"/>
          <w:szCs w:val="16"/>
          <w:lang w:val="pt-BR"/>
        </w:rPr>
        <w:t xml:space="preserve"> </w:t>
      </w:r>
      <w:r w:rsidRPr="002F50BD">
        <w:rPr>
          <w:rFonts w:ascii="Verdana" w:hAnsi="Verdana"/>
          <w:sz w:val="16"/>
          <w:szCs w:val="16"/>
          <w:lang w:val="pt-BR"/>
        </w:rPr>
        <w:t xml:space="preserve">Corporation, Livestock Capital Group Inc. e Agricultural Development Inc. </w:t>
      </w:r>
      <w:r w:rsidRPr="002F50BD">
        <w:rPr>
          <w:rFonts w:ascii="Verdana" w:hAnsi="Verdana"/>
          <w:sz w:val="16"/>
          <w:szCs w:val="16"/>
          <w:lang w:val="pt-BR"/>
        </w:rPr>
        <w:t xml:space="preserve">contra o senhor Emilio Caballero, membro do Conselho Diretivo do Instituto Paraguaio do Indígena, abril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958 a 968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7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representante das empresas Florida Agricultural Corporation, Livestock Capital Group Inc. </w:t>
      </w:r>
      <w:r w:rsidRPr="002F50BD">
        <w:rPr>
          <w:rFonts w:ascii="Verdana" w:hAnsi="Verdana"/>
          <w:sz w:val="16"/>
          <w:szCs w:val="16"/>
          <w:lang w:val="pt-BR"/>
        </w:rPr>
        <w:t xml:space="preserve">e Agricultural Development Inc., dirigida ao Presidente do Instituto Paraguaio do Indígena em 26 de novembro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848 a 856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8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33 emitido pela Assessoria Jurídica do Instituto Paraguaio do Indígena em 18 de agosto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1092 a 1096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8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P.C. nº 500/99 da Presidenta do Instituto Paraguaio do Indígena dirigida ao representante das empresas Florida Agricultural Corporation, Livestock Capital Group Inc. </w:t>
      </w:r>
      <w:r w:rsidRPr="002F50BD">
        <w:rPr>
          <w:rFonts w:ascii="Verdana" w:hAnsi="Verdana"/>
          <w:sz w:val="16"/>
          <w:szCs w:val="16"/>
          <w:lang w:val="pt-BR"/>
        </w:rPr>
        <w:t xml:space="preserve">e Agricultural Development Inc., em 29 de dezembro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1117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8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do representante das empresas Florida Agricultural Corporation, Livestock Capital Group Inc. </w:t>
      </w:r>
      <w:r w:rsidRPr="002F50BD">
        <w:rPr>
          <w:rFonts w:ascii="Verdana" w:hAnsi="Verdana"/>
          <w:sz w:val="16"/>
          <w:szCs w:val="16"/>
          <w:lang w:val="pt-BR"/>
        </w:rPr>
        <w:t xml:space="preserve">e Agricultural Development Inc., dirigido ao Presidente do Instituto Paraguaio do Indígena em 7 de outubro de 1999 </w:t>
      </w:r>
      <w:r w:rsidRPr="00CF451D">
        <w:rPr>
          <w:rFonts w:ascii="Verdana" w:hAnsi="Verdana"/>
          <w:sz w:val="16"/>
          <w:szCs w:val="16"/>
          <w:lang w:val="pt-BR"/>
        </w:rPr>
        <w:t>(</w:t>
      </w:r>
      <w:r w:rsidRPr="002F50BD">
        <w:rPr>
          <w:rFonts w:ascii="Verdana" w:hAnsi="Verdana"/>
          <w:sz w:val="16"/>
          <w:szCs w:val="16"/>
          <w:lang w:val="pt-BR"/>
        </w:rPr>
        <w:t>expediente de anexos, anexo 4, folhas 1114 a 1115</w:t>
      </w:r>
      <w:r w:rsidRPr="00CF451D">
        <w:rPr>
          <w:rFonts w:ascii="Verdana" w:hAnsi="Verdana"/>
          <w:sz w:val="16"/>
          <w:szCs w:val="16"/>
          <w:lang w:val="pt-BR"/>
        </w:rPr>
        <w:t>)</w:t>
      </w:r>
      <w:r w:rsidRPr="002F50BD">
        <w:rPr>
          <w:rFonts w:ascii="Verdana" w:hAnsi="Verdana"/>
          <w:sz w:val="16"/>
          <w:szCs w:val="16"/>
          <w:lang w:val="pt-BR"/>
        </w:rPr>
        <w:t xml:space="preserve">; escrito do representante das empresas Florida Agricultural Corporation, Livestock Capital Group Inc. e Agricultural Development Inc., dirigido ao Presidente do Instituto Paraguaio do Indígena em 22 de setembro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1106 a 1111</w:t>
      </w:r>
      <w:r w:rsidRPr="00CF451D">
        <w:rPr>
          <w:rFonts w:ascii="Verdana" w:hAnsi="Verdana"/>
          <w:sz w:val="16"/>
          <w:szCs w:val="16"/>
          <w:lang w:val="pt-BR"/>
        </w:rPr>
        <w:t>)</w:t>
      </w:r>
      <w:r w:rsidRPr="002F50BD">
        <w:rPr>
          <w:rFonts w:ascii="Verdana" w:hAnsi="Verdana"/>
          <w:sz w:val="16"/>
          <w:szCs w:val="16"/>
          <w:lang w:val="pt-BR"/>
        </w:rPr>
        <w:t xml:space="preserve">; escrito do representante das empresas Florida Agricultural Corporation, Livestock Capital Group Inc. e Agricultural Development Inc., dirigido ao Presidente do Instituto Paraguaio do Indígena em 8 de setembro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1102 a 1103</w:t>
      </w:r>
      <w:r w:rsidRPr="00CF451D">
        <w:rPr>
          <w:rFonts w:ascii="Verdana" w:hAnsi="Verdana"/>
          <w:sz w:val="16"/>
          <w:szCs w:val="16"/>
          <w:lang w:val="pt-BR"/>
        </w:rPr>
        <w:t>)</w:t>
      </w:r>
      <w:r w:rsidRPr="002F50BD">
        <w:rPr>
          <w:rFonts w:ascii="Verdana" w:hAnsi="Verdana"/>
          <w:sz w:val="16"/>
          <w:szCs w:val="16"/>
          <w:lang w:val="pt-BR"/>
        </w:rPr>
        <w:t xml:space="preserve">; escrito do representante das empresas Florida Agricultural Corporation, Livestock Capital Group Inc. e Agricultural Development Inc., dirigido ao Presidente do Instituto Paraguaio do Indígena em 23 de agosto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 1099</w:t>
      </w:r>
      <w:r w:rsidRPr="00CF451D">
        <w:rPr>
          <w:rFonts w:ascii="Verdana" w:hAnsi="Verdana"/>
          <w:sz w:val="16"/>
          <w:szCs w:val="16"/>
          <w:lang w:val="pt-BR"/>
        </w:rPr>
        <w:t>)</w:t>
      </w:r>
      <w:r w:rsidRPr="002F50BD">
        <w:rPr>
          <w:rFonts w:ascii="Verdana" w:hAnsi="Verdana"/>
          <w:sz w:val="16"/>
          <w:szCs w:val="16"/>
          <w:lang w:val="pt-BR"/>
        </w:rPr>
        <w:t xml:space="preserve">; escrito do representante das empresas Florida Agricultural Corporation, Livestock Capital Group Inc. e Agricultural Development Inc., dirigido à Presidenta do Instituto Paraguaio do Indígena em 29 de fevereiro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899 a 900</w:t>
      </w:r>
      <w:r w:rsidRPr="00CF451D">
        <w:rPr>
          <w:rFonts w:ascii="Verdana" w:hAnsi="Verdana"/>
          <w:sz w:val="16"/>
          <w:szCs w:val="16"/>
          <w:lang w:val="pt-BR"/>
        </w:rPr>
        <w:t>)</w:t>
      </w:r>
      <w:r w:rsidRPr="002F50BD">
        <w:rPr>
          <w:rFonts w:ascii="Verdana" w:hAnsi="Verdana"/>
          <w:sz w:val="16"/>
          <w:szCs w:val="16"/>
          <w:lang w:val="pt-BR"/>
        </w:rPr>
        <w:t xml:space="preserve">; escrito do representante das empresas Florida Agricultural Corporation, Livestock Capital Group Inc. e Agricultural Development Inc., dirigido à Presidenta do Instituto Paraguaio do Indígena em 3 de dezembro de 1999 </w:t>
      </w:r>
      <w:r w:rsidRPr="00CF451D">
        <w:rPr>
          <w:rFonts w:ascii="Verdana" w:hAnsi="Verdana"/>
          <w:sz w:val="16"/>
          <w:szCs w:val="16"/>
          <w:lang w:val="pt-BR"/>
        </w:rPr>
        <w:t>(</w:t>
      </w:r>
      <w:r w:rsidRPr="002F50BD">
        <w:rPr>
          <w:rFonts w:ascii="Verdana" w:hAnsi="Verdana"/>
          <w:sz w:val="16"/>
          <w:szCs w:val="16"/>
          <w:lang w:val="pt-BR"/>
        </w:rPr>
        <w:t>expediente de anexos à demanda, anexo 4, folhas 888 a 896</w:t>
      </w:r>
      <w:r w:rsidRPr="00CF451D">
        <w:rPr>
          <w:rFonts w:ascii="Verdana" w:hAnsi="Verdana"/>
          <w:sz w:val="16"/>
          <w:szCs w:val="16"/>
          <w:lang w:val="pt-BR"/>
        </w:rPr>
        <w:t>)</w:t>
      </w:r>
      <w:r w:rsidRPr="002F50BD">
        <w:rPr>
          <w:rFonts w:ascii="Verdana" w:hAnsi="Verdana"/>
          <w:sz w:val="16"/>
          <w:szCs w:val="16"/>
          <w:lang w:val="pt-BR"/>
        </w:rPr>
        <w:t xml:space="preserve">, e escrito do representante das empresas Florida Agricultural Corporation, Livestock Capital Group Inc. e Agricultural Development Inc., dirigido ao Conselho do Instituto Paraguaio do Indígena em 28 de março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913 a 914</w:t>
      </w:r>
      <w:r w:rsidRPr="00CF451D">
        <w:rPr>
          <w:rFonts w:ascii="Verdana" w:hAnsi="Verdana"/>
          <w:sz w:val="16"/>
          <w:szCs w:val="16"/>
          <w:lang w:val="pt-BR"/>
        </w:rPr>
        <w:t>)</w:t>
      </w:r>
      <w:r w:rsidRPr="002F50BD">
        <w:rPr>
          <w:rFonts w:ascii="Verdana" w:hAnsi="Verdana"/>
          <w:sz w:val="16"/>
          <w:szCs w:val="16"/>
          <w:lang w:val="pt-BR"/>
        </w:rPr>
        <w:t xml:space="preserve">. </w:t>
      </w:r>
    </w:p>
  </w:footnote>
  <w:footnote w:id="83">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da Comunidade Yakye Axa dirigida à Presidenta do Instituto Paraguaio do Indígena em 12 de abril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921 a 930</w:t>
      </w:r>
      <w:r w:rsidRPr="00CF451D">
        <w:rPr>
          <w:rFonts w:ascii="Verdana" w:hAnsi="Verdana"/>
          <w:sz w:val="16"/>
          <w:szCs w:val="16"/>
          <w:lang w:val="pt-BR"/>
        </w:rPr>
        <w:t>)</w:t>
      </w:r>
      <w:r w:rsidRPr="002F50BD">
        <w:rPr>
          <w:rFonts w:ascii="Verdana" w:hAnsi="Verdana"/>
          <w:sz w:val="16"/>
          <w:szCs w:val="16"/>
          <w:lang w:val="pt-BR"/>
        </w:rPr>
        <w:t>.</w:t>
      </w:r>
    </w:p>
  </w:footnote>
  <w:footnote w:id="84">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P.C. nº 348/00 da Presidenta do Instituto Paraguaio do Indígena dirigida ao Presidente do Instituto de Bem Estar Rural em 23 de maio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1126</w:t>
      </w:r>
      <w:r w:rsidRPr="00CF451D">
        <w:rPr>
          <w:rFonts w:ascii="Verdana" w:hAnsi="Verdana"/>
          <w:sz w:val="16"/>
          <w:szCs w:val="16"/>
          <w:lang w:val="pt-BR"/>
        </w:rPr>
        <w:t>)</w:t>
      </w:r>
      <w:r w:rsidRPr="002F50BD">
        <w:rPr>
          <w:rFonts w:ascii="Verdana" w:hAnsi="Verdana"/>
          <w:sz w:val="16"/>
          <w:szCs w:val="16"/>
          <w:lang w:val="pt-BR"/>
        </w:rPr>
        <w:t>.</w:t>
      </w:r>
    </w:p>
  </w:footnote>
  <w:footnote w:id="8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737 emitido pela </w:t>
      </w:r>
      <w:r w:rsidR="00F8225E">
        <w:rPr>
          <w:rFonts w:ascii="Verdana" w:hAnsi="Verdana"/>
          <w:sz w:val="16"/>
          <w:szCs w:val="16"/>
          <w:lang w:val="pt-BR"/>
        </w:rPr>
        <w:t>Assessoria Jurídica</w:t>
      </w:r>
      <w:r w:rsidRPr="002F50BD">
        <w:rPr>
          <w:rFonts w:ascii="Verdana" w:hAnsi="Verdana"/>
          <w:sz w:val="16"/>
          <w:szCs w:val="16"/>
          <w:lang w:val="pt-BR"/>
        </w:rPr>
        <w:t xml:space="preserve"> do Instituto de Bem Estar Rural em 5 de junho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 1127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8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S.G. nº 269 do Secretário Geral do Instituto de Bem Estar Rural dirigida à Secretaria Geral do Instituto Paraguaio do Indígena em 9 de junho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 1132</w:t>
      </w:r>
      <w:r w:rsidRPr="00CF451D">
        <w:rPr>
          <w:rFonts w:ascii="Verdana" w:hAnsi="Verdana"/>
          <w:sz w:val="16"/>
          <w:szCs w:val="16"/>
          <w:lang w:val="pt-BR"/>
        </w:rPr>
        <w:t>)</w:t>
      </w:r>
      <w:r w:rsidRPr="002F50BD">
        <w:rPr>
          <w:rFonts w:ascii="Verdana" w:hAnsi="Verdana"/>
          <w:sz w:val="16"/>
          <w:szCs w:val="16"/>
          <w:lang w:val="pt-BR"/>
        </w:rPr>
        <w:t>.</w:t>
      </w:r>
    </w:p>
  </w:footnote>
  <w:footnote w:id="87">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da Comunidade Yakye Axa dirigida à Presidenta do Instituto Paraguaio do Indígena em 14 de junho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 1133</w:t>
      </w:r>
      <w:r w:rsidRPr="00CF451D">
        <w:rPr>
          <w:rFonts w:ascii="Verdana" w:hAnsi="Verdana"/>
          <w:sz w:val="16"/>
          <w:szCs w:val="16"/>
          <w:lang w:val="pt-BR"/>
        </w:rPr>
        <w:t>)</w:t>
      </w:r>
      <w:r w:rsidRPr="002F50BD">
        <w:rPr>
          <w:rFonts w:ascii="Verdana" w:hAnsi="Verdana"/>
          <w:sz w:val="16"/>
          <w:szCs w:val="16"/>
          <w:lang w:val="pt-BR"/>
        </w:rPr>
        <w:t>.</w:t>
      </w:r>
    </w:p>
  </w:footnote>
  <w:footnote w:id="88">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P.C. nº 363/00 emitida pela Presidenta do Instituto Paraguaio do Indígena em 8 de agosto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1138 a 1143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8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P.C. nº 407/00 emitida pela Presidenta do Instituto Paraguaio do Indígena em 28 de agosto de 2000 </w:t>
      </w:r>
      <w:r w:rsidRPr="00CF451D">
        <w:rPr>
          <w:rFonts w:ascii="Verdana" w:hAnsi="Verdana"/>
          <w:sz w:val="16"/>
          <w:szCs w:val="16"/>
          <w:lang w:val="pt-BR"/>
        </w:rPr>
        <w:t>(</w:t>
      </w:r>
      <w:r w:rsidRPr="002F50BD">
        <w:rPr>
          <w:rFonts w:ascii="Verdana" w:hAnsi="Verdana"/>
          <w:sz w:val="16"/>
          <w:szCs w:val="16"/>
          <w:lang w:val="pt-BR"/>
        </w:rPr>
        <w:t>expediente de anexos à demanda, anexo 4,</w:t>
      </w:r>
      <w:r>
        <w:rPr>
          <w:rFonts w:ascii="Verdana" w:hAnsi="Verdana"/>
          <w:sz w:val="16"/>
          <w:szCs w:val="16"/>
          <w:lang w:val="pt-BR"/>
        </w:rPr>
        <w:t xml:space="preserve"> </w:t>
      </w:r>
      <w:r w:rsidRPr="002F50BD">
        <w:rPr>
          <w:rFonts w:ascii="Verdana" w:hAnsi="Verdana"/>
          <w:sz w:val="16"/>
          <w:szCs w:val="16"/>
          <w:lang w:val="pt-BR"/>
        </w:rPr>
        <w:t>folhas 1157 a 1160</w:t>
      </w:r>
      <w:r w:rsidRPr="00CF451D">
        <w:rPr>
          <w:rFonts w:ascii="Verdana" w:hAnsi="Verdana"/>
          <w:sz w:val="16"/>
          <w:szCs w:val="16"/>
          <w:lang w:val="pt-BR"/>
        </w:rPr>
        <w:t>)</w:t>
      </w:r>
      <w:r w:rsidRPr="002F50BD">
        <w:rPr>
          <w:rFonts w:ascii="Verdana" w:hAnsi="Verdana"/>
          <w:sz w:val="16"/>
          <w:szCs w:val="16"/>
          <w:lang w:val="pt-BR"/>
        </w:rPr>
        <w:t>.</w:t>
      </w:r>
    </w:p>
  </w:footnote>
  <w:footnote w:id="90">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37/2000 emitida pelo Conselho Diretivo do Instituto Paraguaio do Indígena em 13 de setembro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folhas 1164 a 1165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9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1350 emitido pela </w:t>
      </w:r>
      <w:r w:rsidR="00F8225E">
        <w:rPr>
          <w:rFonts w:ascii="Verdana" w:hAnsi="Verdana"/>
          <w:sz w:val="16"/>
          <w:szCs w:val="16"/>
          <w:lang w:val="pt-BR"/>
        </w:rPr>
        <w:t>Assessoria Jurídica</w:t>
      </w:r>
      <w:r w:rsidRPr="002F50BD">
        <w:rPr>
          <w:rFonts w:ascii="Verdana" w:hAnsi="Verdana"/>
          <w:sz w:val="16"/>
          <w:szCs w:val="16"/>
          <w:lang w:val="pt-BR"/>
        </w:rPr>
        <w:t xml:space="preserve"> do Instituto de Bem Estar Rural em 10 de outubro de 2000 </w:t>
      </w:r>
      <w:r w:rsidRPr="00CF451D">
        <w:rPr>
          <w:rFonts w:ascii="Verdana" w:hAnsi="Verdana"/>
          <w:sz w:val="16"/>
          <w:szCs w:val="16"/>
          <w:lang w:val="pt-BR"/>
        </w:rPr>
        <w:t>(</w:t>
      </w:r>
      <w:r w:rsidRPr="002F50BD">
        <w:rPr>
          <w:rFonts w:ascii="Verdana" w:hAnsi="Verdana"/>
          <w:sz w:val="16"/>
          <w:szCs w:val="16"/>
          <w:lang w:val="pt-BR"/>
        </w:rPr>
        <w:t>expediente de anexos à demanda, anexo 4, folha 1166</w:t>
      </w:r>
      <w:r w:rsidRPr="00CF451D">
        <w:rPr>
          <w:rFonts w:ascii="Verdana" w:hAnsi="Verdana"/>
          <w:sz w:val="16"/>
          <w:szCs w:val="16"/>
          <w:lang w:val="pt-BR"/>
        </w:rPr>
        <w:t>)</w:t>
      </w:r>
      <w:r w:rsidRPr="002F50BD">
        <w:rPr>
          <w:rFonts w:ascii="Verdana" w:hAnsi="Verdana"/>
          <w:sz w:val="16"/>
          <w:szCs w:val="16"/>
          <w:lang w:val="pt-BR"/>
        </w:rPr>
        <w:t>.</w:t>
      </w:r>
    </w:p>
  </w:footnote>
  <w:footnote w:id="92">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P.C. nº 802/001 emitida pela Presidenta do Instituto Paraguaio do Indígena em 3 de outubro de 2001 </w:t>
      </w:r>
      <w:r w:rsidRPr="00CF451D">
        <w:rPr>
          <w:rFonts w:ascii="Verdana" w:hAnsi="Verdana"/>
          <w:sz w:val="16"/>
          <w:szCs w:val="16"/>
          <w:lang w:val="pt-BR"/>
        </w:rPr>
        <w:t>(</w:t>
      </w:r>
      <w:r w:rsidRPr="002F50BD">
        <w:rPr>
          <w:rFonts w:ascii="Verdana" w:hAnsi="Verdana"/>
          <w:sz w:val="16"/>
          <w:szCs w:val="16"/>
          <w:lang w:val="pt-BR"/>
        </w:rPr>
        <w:t>expediente de anexos da demanda, anexo 4, folha 1235</w:t>
      </w:r>
      <w:r w:rsidRPr="00CF451D">
        <w:rPr>
          <w:rFonts w:ascii="Verdana" w:hAnsi="Verdana"/>
          <w:sz w:val="16"/>
          <w:szCs w:val="16"/>
          <w:lang w:val="pt-BR"/>
        </w:rPr>
        <w:t>)</w:t>
      </w:r>
      <w:r w:rsidRPr="002F50BD">
        <w:rPr>
          <w:rFonts w:ascii="Verdana" w:hAnsi="Verdana"/>
          <w:sz w:val="16"/>
          <w:szCs w:val="16"/>
          <w:lang w:val="pt-BR"/>
        </w:rPr>
        <w:t>.</w:t>
      </w:r>
    </w:p>
  </w:footnote>
  <w:footnote w:id="93">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sobre a viagem realizada à Comunidade indígena Yakye Axa de 30 de outubro de 2001 </w:t>
      </w:r>
      <w:r w:rsidRPr="00CF451D">
        <w:rPr>
          <w:rFonts w:ascii="Verdana" w:hAnsi="Verdana"/>
          <w:sz w:val="16"/>
          <w:szCs w:val="16"/>
          <w:lang w:val="pt-BR"/>
        </w:rPr>
        <w:t>(</w:t>
      </w:r>
      <w:r w:rsidRPr="002F50BD">
        <w:rPr>
          <w:rFonts w:ascii="Verdana" w:hAnsi="Verdana"/>
          <w:sz w:val="16"/>
          <w:szCs w:val="16"/>
          <w:lang w:val="pt-BR"/>
        </w:rPr>
        <w:t>expediente de anexos à demanda, anexo 4, folha 1236</w:t>
      </w:r>
      <w:r w:rsidRPr="00CF451D">
        <w:rPr>
          <w:rFonts w:ascii="Verdana" w:hAnsi="Verdana"/>
          <w:sz w:val="16"/>
          <w:szCs w:val="16"/>
          <w:lang w:val="pt-BR"/>
        </w:rPr>
        <w:t>)</w:t>
      </w:r>
      <w:r w:rsidRPr="002F50BD">
        <w:rPr>
          <w:rFonts w:ascii="Verdana" w:hAnsi="Verdana"/>
          <w:sz w:val="16"/>
          <w:szCs w:val="16"/>
          <w:lang w:val="pt-BR"/>
        </w:rPr>
        <w:t xml:space="preserve">, e comunicação apresentada pelos senhores Tomás Galeano e Esteban López, líderes da Comunidade Yakye Axa, perante o Instituto Paraguaio do Indígena em 18 de outubro de 2001 </w:t>
      </w:r>
      <w:r w:rsidRPr="00CF451D">
        <w:rPr>
          <w:rFonts w:ascii="Verdana" w:hAnsi="Verdana"/>
          <w:sz w:val="16"/>
          <w:szCs w:val="16"/>
          <w:lang w:val="pt-BR"/>
        </w:rPr>
        <w:t>(</w:t>
      </w:r>
      <w:r w:rsidRPr="002F50BD">
        <w:rPr>
          <w:rFonts w:ascii="Verdana" w:hAnsi="Verdana"/>
          <w:sz w:val="16"/>
          <w:szCs w:val="16"/>
          <w:lang w:val="pt-BR"/>
        </w:rPr>
        <w:t>expediente de anexos à demanda, anexo 4, folha 1238</w:t>
      </w:r>
      <w:r w:rsidRPr="00CF451D">
        <w:rPr>
          <w:rFonts w:ascii="Verdana" w:hAnsi="Verdana"/>
          <w:sz w:val="16"/>
          <w:szCs w:val="16"/>
          <w:lang w:val="pt-BR"/>
        </w:rPr>
        <w:t>)</w:t>
      </w:r>
      <w:r w:rsidRPr="002F50BD">
        <w:rPr>
          <w:rFonts w:ascii="Verdana" w:hAnsi="Verdana"/>
          <w:sz w:val="16"/>
          <w:szCs w:val="16"/>
          <w:lang w:val="pt-BR"/>
        </w:rPr>
        <w:t>.</w:t>
      </w:r>
    </w:p>
  </w:footnote>
  <w:footnote w:id="94">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49/2001 emitida pelo Conselho Diretivo do Instituto Paraguaio do Indígena em 2 de novembro de 2001 </w:t>
      </w:r>
      <w:r w:rsidRPr="00CF451D">
        <w:rPr>
          <w:rFonts w:ascii="Verdana" w:hAnsi="Verdana"/>
          <w:sz w:val="16"/>
          <w:szCs w:val="16"/>
          <w:lang w:val="pt-BR"/>
        </w:rPr>
        <w:t>(</w:t>
      </w:r>
      <w:r w:rsidRPr="002F50BD">
        <w:rPr>
          <w:rFonts w:ascii="Verdana" w:hAnsi="Verdana"/>
          <w:sz w:val="16"/>
          <w:szCs w:val="16"/>
          <w:lang w:val="pt-BR"/>
        </w:rPr>
        <w:t>expediente de anexos à demanda, anexo 4, folha 1240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9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1025 emitido pela </w:t>
      </w:r>
      <w:r w:rsidR="00F8225E">
        <w:rPr>
          <w:rFonts w:ascii="Verdana" w:hAnsi="Verdana"/>
          <w:sz w:val="16"/>
          <w:szCs w:val="16"/>
          <w:lang w:val="pt-BR"/>
        </w:rPr>
        <w:t>Assessoria Jurídica</w:t>
      </w:r>
      <w:r w:rsidRPr="002F50BD">
        <w:rPr>
          <w:rFonts w:ascii="Verdana" w:hAnsi="Verdana"/>
          <w:sz w:val="16"/>
          <w:szCs w:val="16"/>
          <w:lang w:val="pt-BR"/>
        </w:rPr>
        <w:t xml:space="preserve"> do Instituto de Bem Estar Rural em 15 de novembro de 2001 </w:t>
      </w:r>
      <w:r w:rsidRPr="00CF451D">
        <w:rPr>
          <w:rFonts w:ascii="Verdana" w:hAnsi="Verdana"/>
          <w:sz w:val="16"/>
          <w:szCs w:val="16"/>
          <w:lang w:val="pt-BR"/>
        </w:rPr>
        <w:t>(</w:t>
      </w:r>
      <w:r w:rsidRPr="002F50BD">
        <w:rPr>
          <w:rFonts w:ascii="Verdana" w:hAnsi="Verdana"/>
          <w:sz w:val="16"/>
          <w:szCs w:val="16"/>
          <w:lang w:val="pt-BR"/>
        </w:rPr>
        <w:t>expediente de anexos à demanda, anexo 4, folha 1243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9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ofício emitido pelo Secretário Geral do Instituto de Bem Estar Rural em 14 de dezembro de 2001 </w:t>
      </w:r>
      <w:r w:rsidRPr="00CF451D">
        <w:rPr>
          <w:rFonts w:ascii="Verdana" w:hAnsi="Verdana"/>
          <w:sz w:val="16"/>
          <w:szCs w:val="16"/>
          <w:lang w:val="pt-BR"/>
        </w:rPr>
        <w:t>(</w:t>
      </w:r>
      <w:r w:rsidRPr="002F50BD">
        <w:rPr>
          <w:rFonts w:ascii="Verdana" w:hAnsi="Verdana"/>
          <w:sz w:val="16"/>
          <w:szCs w:val="16"/>
          <w:lang w:val="pt-BR"/>
        </w:rPr>
        <w:t>expediente de anexos à demanda, anexo 4, folha 1247</w:t>
      </w:r>
      <w:r w:rsidRPr="00CF451D">
        <w:rPr>
          <w:rFonts w:ascii="Verdana" w:hAnsi="Verdana"/>
          <w:sz w:val="16"/>
          <w:szCs w:val="16"/>
          <w:lang w:val="pt-BR"/>
        </w:rPr>
        <w:t>)</w:t>
      </w:r>
      <w:r w:rsidRPr="002F50BD">
        <w:rPr>
          <w:rFonts w:ascii="Verdana" w:hAnsi="Verdana"/>
          <w:sz w:val="16"/>
          <w:szCs w:val="16"/>
          <w:lang w:val="pt-BR"/>
        </w:rPr>
        <w:t>.</w:t>
      </w:r>
    </w:p>
  </w:footnote>
  <w:footnote w:id="97">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comunicação dos senhores Tomás Galeano e Esteban López, líderes da Comunidade indígena Yakye Axa, dirigida ao Presidente da Câmara de Deputados em 14 de setembro de 2000</w:t>
      </w:r>
      <w:r>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anexos à demanda, anexo 4,</w:t>
      </w:r>
      <w:r>
        <w:rPr>
          <w:rFonts w:ascii="Verdana" w:hAnsi="Verdana"/>
          <w:sz w:val="16"/>
          <w:szCs w:val="16"/>
          <w:lang w:val="pt-BR"/>
        </w:rPr>
        <w:t xml:space="preserve"> </w:t>
      </w:r>
      <w:r w:rsidRPr="002F50BD">
        <w:rPr>
          <w:rFonts w:ascii="Verdana" w:hAnsi="Verdana"/>
          <w:sz w:val="16"/>
          <w:szCs w:val="16"/>
          <w:lang w:val="pt-BR"/>
        </w:rPr>
        <w:t>folhas 1317 a 1326</w:t>
      </w:r>
      <w:r w:rsidRPr="00CF451D">
        <w:rPr>
          <w:rFonts w:ascii="Verdana" w:hAnsi="Verdana"/>
          <w:sz w:val="16"/>
          <w:szCs w:val="16"/>
          <w:lang w:val="pt-BR"/>
        </w:rPr>
        <w:t>)</w:t>
      </w:r>
      <w:r w:rsidRPr="002F50BD">
        <w:rPr>
          <w:rFonts w:ascii="Verdana" w:hAnsi="Verdana"/>
          <w:sz w:val="16"/>
          <w:szCs w:val="16"/>
          <w:lang w:val="pt-BR"/>
        </w:rPr>
        <w:t>.</w:t>
      </w:r>
    </w:p>
  </w:footnote>
  <w:footnote w:id="98">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dos deputados Sonia de León e Rafael Filizzola Serra dirigida ao Deputado Cándido Vera Bejarano, Presidente da Câmara de Deputados, em 14 de setembro de 2000 </w:t>
      </w:r>
      <w:r w:rsidRPr="00CF451D">
        <w:rPr>
          <w:rFonts w:ascii="Verdana" w:hAnsi="Verdana"/>
          <w:sz w:val="16"/>
          <w:szCs w:val="16"/>
          <w:lang w:val="pt-BR"/>
        </w:rPr>
        <w:t>(</w:t>
      </w:r>
      <w:r w:rsidRPr="002F50BD">
        <w:rPr>
          <w:rFonts w:ascii="Verdana" w:hAnsi="Verdana"/>
          <w:sz w:val="16"/>
          <w:szCs w:val="16"/>
          <w:lang w:val="pt-BR"/>
        </w:rPr>
        <w:t>expediente de anexos à demanda, anexo 13, folhas 1315 a 1316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9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nota D.C.DD.HH.N0 03/00 da Comissão de Direitos Humanos e Assuntos Indígenas do Congresso Nacional dirigida à Câmara de Deputados em 1 de novembro de 2000 </w:t>
      </w:r>
      <w:r w:rsidRPr="00CF451D">
        <w:rPr>
          <w:rFonts w:ascii="Verdana" w:hAnsi="Verdana"/>
          <w:sz w:val="16"/>
          <w:szCs w:val="16"/>
          <w:lang w:val="pt-BR"/>
        </w:rPr>
        <w:t>(</w:t>
      </w:r>
      <w:r w:rsidRPr="002F50BD">
        <w:rPr>
          <w:rFonts w:ascii="Verdana" w:hAnsi="Verdana"/>
          <w:sz w:val="16"/>
          <w:szCs w:val="16"/>
          <w:lang w:val="pt-BR"/>
        </w:rPr>
        <w:t>expediente de anexos à demanda, anexo 16, folha 1337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CBR/365 emitido pela Comissão de Bem Estar Rural do Congresso Nacional em 8 de novembro de 2000 </w:t>
      </w:r>
      <w:r w:rsidRPr="00CF451D">
        <w:rPr>
          <w:rFonts w:ascii="Verdana" w:hAnsi="Verdana"/>
          <w:sz w:val="16"/>
          <w:szCs w:val="16"/>
          <w:lang w:val="pt-BR"/>
        </w:rPr>
        <w:t>(</w:t>
      </w:r>
      <w:r w:rsidRPr="002F50BD">
        <w:rPr>
          <w:rFonts w:ascii="Verdana" w:hAnsi="Verdana"/>
          <w:sz w:val="16"/>
          <w:szCs w:val="16"/>
          <w:lang w:val="pt-BR"/>
        </w:rPr>
        <w:t>expediente de anexos à demanda, anexo 17, folha 1338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dos deputados Rafael Filizzola Serra e Sonia de León dirigida ao Presidente da Câmara de Deputados em 16 de novembro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folha 3163</w:t>
      </w:r>
      <w:r w:rsidRPr="00CF451D">
        <w:rPr>
          <w:rFonts w:ascii="Verdana" w:hAnsi="Verdana"/>
          <w:sz w:val="16"/>
          <w:szCs w:val="16"/>
          <w:lang w:val="pt-BR"/>
        </w:rPr>
        <w:t>)</w:t>
      </w:r>
      <w:r w:rsidRPr="002F50BD">
        <w:rPr>
          <w:rFonts w:ascii="Verdana" w:hAnsi="Verdana"/>
          <w:sz w:val="16"/>
          <w:szCs w:val="16"/>
          <w:lang w:val="pt-BR"/>
        </w:rPr>
        <w:t>.</w:t>
      </w:r>
    </w:p>
  </w:footnote>
  <w:footnote w:id="102">
    <w:p w:rsidR="00CF451D" w:rsidRPr="002F50BD" w:rsidRDefault="00CF451D">
      <w:pPr>
        <w:pStyle w:val="FootnoteText"/>
        <w:jc w:val="both"/>
        <w:rPr>
          <w:rFonts w:ascii="Verdana" w:hAnsi="Verdana"/>
          <w:sz w:val="16"/>
          <w:szCs w:val="16"/>
          <w:lang w:val="pt-BR"/>
        </w:rPr>
      </w:pPr>
    </w:p>
    <w:p w:rsidR="00CF451D" w:rsidRPr="002F50BD" w:rsidRDefault="00CF451D">
      <w:pPr>
        <w:pStyle w:val="BodyText"/>
        <w:tabs>
          <w:tab w:val="left" w:pos="720"/>
          <w:tab w:val="left" w:pos="7290"/>
        </w:tabs>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nº 544 emitida pela Câmara de Deputados do Congresso Nacional em 28 de novembro de 2000 </w:t>
      </w:r>
      <w:r w:rsidRPr="00CF451D">
        <w:rPr>
          <w:rFonts w:ascii="Verdana" w:hAnsi="Verdana"/>
          <w:sz w:val="16"/>
          <w:szCs w:val="16"/>
          <w:lang w:val="pt-BR"/>
        </w:rPr>
        <w:t>(</w:t>
      </w:r>
      <w:r w:rsidRPr="002F50BD">
        <w:rPr>
          <w:rFonts w:ascii="Verdana" w:hAnsi="Verdana"/>
          <w:sz w:val="16"/>
          <w:szCs w:val="16"/>
          <w:lang w:val="pt-BR"/>
        </w:rPr>
        <w:t>expediente de anexos à demanda, anexo 18, folha 1339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r w:rsidRPr="002F50BD">
        <w:rPr>
          <w:rFonts w:ascii="Verdana" w:hAnsi="Verdana"/>
          <w:sz w:val="16"/>
          <w:szCs w:val="16"/>
          <w:lang w:val="pt-BR"/>
        </w:rPr>
        <w:t xml:space="preserve"> </w:t>
      </w:r>
    </w:p>
  </w:footnote>
  <w:footnote w:id="10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nº 639 do Presidente da República do Paraguai, Luis Ángel González Macchi, dirigida ao Congresso Nacional em 30 de janeiro de 2002 </w:t>
      </w:r>
      <w:r w:rsidRPr="00CF451D">
        <w:rPr>
          <w:rFonts w:ascii="Verdana" w:hAnsi="Verdana"/>
          <w:sz w:val="16"/>
          <w:szCs w:val="16"/>
          <w:lang w:val="pt-BR"/>
        </w:rPr>
        <w:t>(</w:t>
      </w:r>
      <w:r w:rsidRPr="002F50BD">
        <w:rPr>
          <w:rFonts w:ascii="Verdana" w:hAnsi="Verdana"/>
          <w:sz w:val="16"/>
          <w:szCs w:val="16"/>
          <w:lang w:val="pt-BR"/>
        </w:rPr>
        <w:t>expediente de anexos à demanda, anexo 14, folhas 1327 a 1331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parecer nº 40 2001/2002 emitido pela Comissão de Reforma Agrária e Bem Estar Rural da Câmara de Senadores em 19 de junho de 2002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folha 3088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diário de sessões da Câmara de Senadores do Congresso Nacional de 27 de junho de 2002 </w:t>
      </w:r>
      <w:r w:rsidRPr="00CF451D">
        <w:rPr>
          <w:rFonts w:ascii="Verdana" w:hAnsi="Verdana"/>
          <w:sz w:val="16"/>
          <w:szCs w:val="16"/>
          <w:lang w:val="pt-BR"/>
        </w:rPr>
        <w:t>(</w:t>
      </w:r>
      <w:r w:rsidRPr="002F50BD">
        <w:rPr>
          <w:rFonts w:ascii="Verdana" w:hAnsi="Verdana"/>
          <w:sz w:val="16"/>
          <w:szCs w:val="16"/>
          <w:lang w:val="pt-BR"/>
        </w:rPr>
        <w:t>expediente da prova para melhor resolver apresentada pelo Estado, folhas 3135 a 3145</w:t>
      </w:r>
      <w:r w:rsidRPr="00CF451D">
        <w:rPr>
          <w:rFonts w:ascii="Verdana" w:hAnsi="Verdana"/>
          <w:sz w:val="16"/>
          <w:szCs w:val="16"/>
          <w:lang w:val="pt-BR"/>
        </w:rPr>
        <w:t>)</w:t>
      </w:r>
      <w:r w:rsidRPr="002F50BD">
        <w:rPr>
          <w:rFonts w:ascii="Verdana" w:hAnsi="Verdana"/>
          <w:sz w:val="16"/>
          <w:szCs w:val="16"/>
          <w:lang w:val="pt-BR"/>
        </w:rPr>
        <w:t xml:space="preserve">, e resolução nº 1.066 emitida pela Câmara de Senadores do Congresso Nacional em 27 de junho de 2002 </w:t>
      </w:r>
      <w:r w:rsidRPr="00CF451D">
        <w:rPr>
          <w:rFonts w:ascii="Verdana" w:hAnsi="Verdana"/>
          <w:sz w:val="16"/>
          <w:szCs w:val="16"/>
          <w:lang w:val="pt-BR"/>
        </w:rPr>
        <w:t>(</w:t>
      </w:r>
      <w:r w:rsidRPr="002F50BD">
        <w:rPr>
          <w:rFonts w:ascii="Verdana" w:hAnsi="Verdana"/>
          <w:sz w:val="16"/>
          <w:szCs w:val="16"/>
          <w:lang w:val="pt-BR"/>
        </w:rPr>
        <w:t>expediente de anexos à demanda, anexo 19, folha 1340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projeto de lei aprovado pela Câmara de Senadores do Congresso Nacional em 30 de outubro de 2003 </w:t>
      </w:r>
      <w:r w:rsidRPr="00CF451D">
        <w:rPr>
          <w:rFonts w:ascii="Verdana" w:hAnsi="Verdana"/>
          <w:sz w:val="16"/>
          <w:szCs w:val="16"/>
          <w:lang w:val="pt-BR"/>
        </w:rPr>
        <w:t>(</w:t>
      </w:r>
      <w:r w:rsidRPr="002F50BD">
        <w:rPr>
          <w:rFonts w:ascii="Verdana" w:hAnsi="Verdana"/>
          <w:sz w:val="16"/>
          <w:szCs w:val="16"/>
          <w:lang w:val="pt-BR"/>
        </w:rPr>
        <w:t>expediente de mérito e eventuais reparações e custas, Tomo IV, folhas 896 a 897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de Direitos Humanos durante a audiência pública celebrada no dia 4 de março de 2005, e testemunho do senhor Rodrigo Villagra prestado perante a Corte Interamericana de Direitos Humanos durante a audiência pública celebrada no dia 4 de março de 2005.</w:t>
      </w:r>
    </w:p>
    <w:p w:rsidR="00CF451D" w:rsidRPr="002F50BD" w:rsidRDefault="00CF451D">
      <w:pPr>
        <w:pStyle w:val="FootnoteText"/>
        <w:jc w:val="both"/>
        <w:rPr>
          <w:rFonts w:ascii="Verdana" w:hAnsi="Verdana"/>
          <w:sz w:val="16"/>
          <w:szCs w:val="16"/>
          <w:lang w:val="pt-BR"/>
        </w:rPr>
      </w:pPr>
    </w:p>
  </w:footnote>
  <w:footnote w:id="10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lei nº 2425 sancionada pelo Congresso Nacional em 9 de agosto de 2004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 folha 1091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0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de interposição da ação de amparo constitucional apresentado pela Comunidade indígena Yakye Axa em 3 de março de 1997 </w:t>
      </w:r>
      <w:r w:rsidRPr="00CF451D">
        <w:rPr>
          <w:rFonts w:ascii="Verdana" w:hAnsi="Verdana"/>
          <w:sz w:val="16"/>
          <w:szCs w:val="16"/>
          <w:lang w:val="pt-BR"/>
        </w:rPr>
        <w:t>(</w:t>
      </w:r>
      <w:r w:rsidRPr="002F50BD">
        <w:rPr>
          <w:rFonts w:ascii="Verdana" w:hAnsi="Verdana"/>
          <w:sz w:val="16"/>
          <w:szCs w:val="16"/>
          <w:lang w:val="pt-BR"/>
        </w:rPr>
        <w:t>expediente de anexos à demanda, anexo 20, folhas 1341 a 1343</w:t>
      </w:r>
      <w:r w:rsidRPr="00CF451D">
        <w:rPr>
          <w:rFonts w:ascii="Verdana" w:hAnsi="Verdana"/>
          <w:sz w:val="16"/>
          <w:szCs w:val="16"/>
          <w:lang w:val="pt-BR"/>
        </w:rPr>
        <w:t>)</w:t>
      </w:r>
      <w:r w:rsidRPr="002F50BD">
        <w:rPr>
          <w:rFonts w:ascii="Verdana" w:hAnsi="Verdana"/>
          <w:sz w:val="16"/>
          <w:szCs w:val="16"/>
          <w:lang w:val="pt-BR"/>
        </w:rPr>
        <w:t>.</w:t>
      </w:r>
    </w:p>
  </w:footnote>
  <w:footnote w:id="110">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sentença nº 275 emitida pelo Juizado de Primeira Instância Civil e Comercial, Décimo Turno, Secretaria nº 19 em 17 de abril de 1997 </w:t>
      </w:r>
      <w:r w:rsidRPr="00CF451D">
        <w:rPr>
          <w:rFonts w:ascii="Verdana" w:hAnsi="Verdana"/>
          <w:sz w:val="16"/>
          <w:szCs w:val="16"/>
          <w:lang w:val="pt-BR"/>
        </w:rPr>
        <w:t>(</w:t>
      </w:r>
      <w:r w:rsidRPr="002F50BD">
        <w:rPr>
          <w:rFonts w:ascii="Verdana" w:hAnsi="Verdana"/>
          <w:sz w:val="16"/>
          <w:szCs w:val="16"/>
          <w:lang w:val="pt-BR"/>
        </w:rPr>
        <w:t>expediente de anexos à demanda, anexo 10, folhas 1281 a 1287</w:t>
      </w:r>
      <w:r w:rsidRPr="00CF451D">
        <w:rPr>
          <w:rFonts w:ascii="Verdana" w:hAnsi="Verdana"/>
          <w:sz w:val="16"/>
          <w:szCs w:val="16"/>
          <w:lang w:val="pt-BR"/>
        </w:rPr>
        <w:t>)</w:t>
      </w:r>
      <w:r w:rsidRPr="002F50BD">
        <w:rPr>
          <w:rFonts w:ascii="Verdana" w:hAnsi="Verdana"/>
          <w:sz w:val="16"/>
          <w:szCs w:val="16"/>
          <w:lang w:val="pt-BR"/>
        </w:rPr>
        <w:t>.</w:t>
      </w:r>
    </w:p>
  </w:footnote>
  <w:footnote w:id="111">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acordo e sentença nº 30 emitida pelo Tribunal de Apelação Civil e Comercial, Quinta Sala em 28 de maio de 1997 </w:t>
      </w:r>
      <w:r w:rsidRPr="00CF451D">
        <w:rPr>
          <w:rFonts w:ascii="Verdana" w:hAnsi="Verdana"/>
          <w:sz w:val="16"/>
          <w:szCs w:val="16"/>
          <w:lang w:val="pt-BR"/>
        </w:rPr>
        <w:t>(</w:t>
      </w:r>
      <w:r w:rsidRPr="002F50BD">
        <w:rPr>
          <w:rFonts w:ascii="Verdana" w:hAnsi="Verdana"/>
          <w:sz w:val="16"/>
          <w:szCs w:val="16"/>
          <w:lang w:val="pt-BR"/>
        </w:rPr>
        <w:t>expediente de anexos à demanda, anexo 10, folhas 1288 a 1289</w:t>
      </w:r>
      <w:r w:rsidRPr="00CF451D">
        <w:rPr>
          <w:rFonts w:ascii="Verdana" w:hAnsi="Verdana"/>
          <w:sz w:val="16"/>
          <w:szCs w:val="16"/>
          <w:lang w:val="pt-BR"/>
        </w:rPr>
        <w:t>)</w:t>
      </w:r>
      <w:r w:rsidRPr="002F50BD">
        <w:rPr>
          <w:rFonts w:ascii="Verdana" w:hAnsi="Verdana"/>
          <w:sz w:val="16"/>
          <w:szCs w:val="16"/>
          <w:lang w:val="pt-BR"/>
        </w:rPr>
        <w:t>.</w:t>
      </w:r>
    </w:p>
  </w:footnote>
  <w:footnote w:id="112">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acordo e sentença nº 365 emitida pela Corte Suprema de Justiça do Paraguai em 1 de julho de 1999 </w:t>
      </w:r>
      <w:r w:rsidRPr="00CF451D">
        <w:rPr>
          <w:rFonts w:ascii="Verdana" w:hAnsi="Verdana"/>
          <w:sz w:val="16"/>
          <w:szCs w:val="16"/>
          <w:lang w:val="pt-BR"/>
        </w:rPr>
        <w:t>(</w:t>
      </w:r>
      <w:r w:rsidRPr="002F50BD">
        <w:rPr>
          <w:rFonts w:ascii="Verdana" w:hAnsi="Verdana"/>
          <w:sz w:val="16"/>
          <w:szCs w:val="16"/>
          <w:lang w:val="pt-BR"/>
        </w:rPr>
        <w:t>expediente de anexos à demanda, anexo 22, folhas 1348 a 1350</w:t>
      </w:r>
      <w:r w:rsidRPr="00CF451D">
        <w:rPr>
          <w:rFonts w:ascii="Verdana" w:hAnsi="Verdana"/>
          <w:sz w:val="16"/>
          <w:szCs w:val="16"/>
          <w:lang w:val="pt-BR"/>
        </w:rPr>
        <w:t>)</w:t>
      </w:r>
      <w:r w:rsidRPr="002F50BD">
        <w:rPr>
          <w:rFonts w:ascii="Verdana" w:hAnsi="Verdana"/>
          <w:sz w:val="16"/>
          <w:szCs w:val="16"/>
          <w:lang w:val="pt-BR"/>
        </w:rPr>
        <w:t>.</w:t>
      </w:r>
    </w:p>
  </w:footnote>
  <w:footnote w:id="113">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pedido de medida de não inovação e registro da lide apresentado pela Comunidade Yakye Axa perante o Juizado de Primeira Instância Civil, Comercial, Trabalhista e Tutelar do Menor de Concepción em 13 de outubro de 1997 </w:t>
      </w:r>
      <w:r w:rsidRPr="00CF451D">
        <w:rPr>
          <w:rFonts w:ascii="Verdana" w:hAnsi="Verdana"/>
          <w:sz w:val="16"/>
          <w:szCs w:val="16"/>
          <w:lang w:val="pt-BR"/>
        </w:rPr>
        <w:t>(</w:t>
      </w:r>
      <w:r w:rsidRPr="002F50BD">
        <w:rPr>
          <w:rFonts w:ascii="Verdana" w:hAnsi="Verdana"/>
          <w:sz w:val="16"/>
          <w:szCs w:val="16"/>
          <w:lang w:val="pt-BR"/>
        </w:rPr>
        <w:t>expediente de anexos à demanda, anexo 23, folhas 1351 a 1353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14">
    <w:p w:rsidR="00CF451D" w:rsidRPr="002F50BD" w:rsidRDefault="00CF451D">
      <w:pPr>
        <w:pStyle w:val="BodyText"/>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interlocutória nº 413 emitida pelo Juizado de Primeira Instância Civil, Comercial, Trabalhista e Tutelar do Menor de Concepción em 26 de novembro de 1997 </w:t>
      </w:r>
      <w:r w:rsidRPr="00CF451D">
        <w:rPr>
          <w:rFonts w:ascii="Verdana" w:hAnsi="Verdana"/>
          <w:sz w:val="16"/>
          <w:szCs w:val="16"/>
          <w:lang w:val="pt-BR"/>
        </w:rPr>
        <w:t>(</w:t>
      </w:r>
      <w:r w:rsidRPr="002F50BD">
        <w:rPr>
          <w:rFonts w:ascii="Verdana" w:hAnsi="Verdana"/>
          <w:sz w:val="16"/>
          <w:szCs w:val="16"/>
          <w:lang w:val="pt-BR"/>
        </w:rPr>
        <w:t>expediente de anexos à demanda, anexo 23, folha 1354</w:t>
      </w:r>
      <w:r w:rsidRPr="00CF451D">
        <w:rPr>
          <w:rFonts w:ascii="Verdana" w:hAnsi="Verdana"/>
          <w:sz w:val="16"/>
          <w:szCs w:val="16"/>
          <w:lang w:val="pt-BR"/>
        </w:rPr>
        <w:t>)</w:t>
      </w:r>
      <w:r w:rsidRPr="002F50BD">
        <w:rPr>
          <w:rFonts w:ascii="Verdana" w:hAnsi="Verdana"/>
          <w:sz w:val="16"/>
          <w:szCs w:val="16"/>
          <w:lang w:val="pt-BR"/>
        </w:rPr>
        <w:t xml:space="preserve">. </w:t>
      </w:r>
    </w:p>
  </w:footnote>
  <w:footnote w:id="11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interlocutória nº 173 emitida pelo Juizado de Primeira Instância Civil, Comercial, Trabalhista e Tutelar do Menor de Concepción em 27 de abril de 1998 </w:t>
      </w:r>
      <w:r w:rsidRPr="00CF451D">
        <w:rPr>
          <w:rFonts w:ascii="Verdana" w:hAnsi="Verdana"/>
          <w:sz w:val="16"/>
          <w:szCs w:val="16"/>
          <w:lang w:val="pt-BR"/>
        </w:rPr>
        <w:t>(</w:t>
      </w:r>
      <w:r w:rsidRPr="002F50BD">
        <w:rPr>
          <w:rFonts w:ascii="Verdana" w:hAnsi="Verdana"/>
          <w:sz w:val="16"/>
          <w:szCs w:val="16"/>
          <w:lang w:val="pt-BR"/>
        </w:rPr>
        <w:t>expediente de anexos à demanda, anexo 23, folhas 1358 a 1363</w:t>
      </w:r>
      <w:r w:rsidRPr="00CF451D">
        <w:rPr>
          <w:rFonts w:ascii="Verdana" w:hAnsi="Verdana"/>
          <w:sz w:val="16"/>
          <w:szCs w:val="16"/>
          <w:lang w:val="pt-BR"/>
        </w:rPr>
        <w:t>)</w:t>
      </w:r>
      <w:r w:rsidRPr="002F50BD">
        <w:rPr>
          <w:rFonts w:ascii="Verdana" w:hAnsi="Verdana"/>
          <w:sz w:val="16"/>
          <w:szCs w:val="16"/>
          <w:lang w:val="pt-BR"/>
        </w:rPr>
        <w:t>.</w:t>
      </w:r>
    </w:p>
  </w:footnote>
  <w:footnote w:id="116">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de fundamentação do recurso de apelação apresentado pela Comunidade indígena Yakye Axa em 13 de maio de 1998 </w:t>
      </w:r>
      <w:r w:rsidRPr="00CF451D">
        <w:rPr>
          <w:rFonts w:ascii="Verdana" w:hAnsi="Verdana"/>
          <w:sz w:val="16"/>
          <w:szCs w:val="16"/>
          <w:lang w:val="pt-BR"/>
        </w:rPr>
        <w:t>(</w:t>
      </w:r>
      <w:r w:rsidRPr="002F50BD">
        <w:rPr>
          <w:rFonts w:ascii="Verdana" w:hAnsi="Verdana"/>
          <w:sz w:val="16"/>
          <w:szCs w:val="16"/>
          <w:lang w:val="pt-BR"/>
        </w:rPr>
        <w:t>expediente de anexos à demanda, anexo 23, folhas 1364 a 1367</w:t>
      </w:r>
      <w:r w:rsidRPr="00CF451D">
        <w:rPr>
          <w:rFonts w:ascii="Verdana" w:hAnsi="Verdana"/>
          <w:sz w:val="16"/>
          <w:szCs w:val="16"/>
          <w:lang w:val="pt-BR"/>
        </w:rPr>
        <w:t>)</w:t>
      </w:r>
      <w:r w:rsidRPr="002F50BD">
        <w:rPr>
          <w:rFonts w:ascii="Verdana" w:hAnsi="Verdana"/>
          <w:sz w:val="16"/>
          <w:szCs w:val="16"/>
          <w:lang w:val="pt-BR"/>
        </w:rPr>
        <w:t>.</w:t>
      </w:r>
    </w:p>
  </w:footnote>
  <w:footnote w:id="117">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interlocutória nº 78 emitida pelo Tribunal de Apelação Civil, Comercial, Trabalhista, Criminal, Correcional e Tutelar do Menor de Concepción em 9 de junho de 1998 </w:t>
      </w:r>
      <w:r w:rsidRPr="00CF451D">
        <w:rPr>
          <w:rFonts w:ascii="Verdana" w:hAnsi="Verdana"/>
          <w:sz w:val="16"/>
          <w:szCs w:val="16"/>
          <w:lang w:val="pt-BR"/>
        </w:rPr>
        <w:t>(</w:t>
      </w:r>
      <w:r w:rsidRPr="002F50BD">
        <w:rPr>
          <w:rFonts w:ascii="Verdana" w:hAnsi="Verdana"/>
          <w:sz w:val="16"/>
          <w:szCs w:val="16"/>
          <w:lang w:val="pt-BR"/>
        </w:rPr>
        <w:t>expediente de anexos à demanda, anexo 23, folhas 1369 a 1374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1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de ação de inconstitucionalidade interposto pela Comunidade Yakye Axa perante a Corte Suprema de Justiça do Paraguai em 29 de junho de 1998 </w:t>
      </w:r>
      <w:r w:rsidRPr="00CF451D">
        <w:rPr>
          <w:rFonts w:ascii="Verdana" w:hAnsi="Verdana"/>
          <w:sz w:val="16"/>
          <w:szCs w:val="16"/>
          <w:lang w:val="pt-BR"/>
        </w:rPr>
        <w:t>(</w:t>
      </w:r>
      <w:r w:rsidRPr="002F50BD">
        <w:rPr>
          <w:rFonts w:ascii="Verdana" w:hAnsi="Verdana"/>
          <w:sz w:val="16"/>
          <w:szCs w:val="16"/>
          <w:lang w:val="pt-BR"/>
        </w:rPr>
        <w:t>expediente de anexos à demanda, anexo 23, folhas 1375 a 1378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1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denúncia de fatos novos, formulação de manifestações e solicitação de medida judicial de urgência apresentada pela Comunidade Yakye Axa perante a Corte Suprema de Justiça em 9 de março de 1999 </w:t>
      </w:r>
      <w:r w:rsidRPr="00CF451D">
        <w:rPr>
          <w:rFonts w:ascii="Verdana" w:hAnsi="Verdana"/>
          <w:sz w:val="16"/>
          <w:szCs w:val="16"/>
          <w:lang w:val="pt-BR"/>
        </w:rPr>
        <w:t>(</w:t>
      </w:r>
      <w:r w:rsidRPr="002F50BD">
        <w:rPr>
          <w:rFonts w:ascii="Verdana" w:hAnsi="Verdana"/>
          <w:sz w:val="16"/>
          <w:szCs w:val="16"/>
          <w:lang w:val="pt-BR"/>
        </w:rPr>
        <w:t>expediente de anexos à demanda, anexo 23, folhas 1379 a 1381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2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interlocutória nº 795 emitida pela Corte Suprema de Justiça do Paraguai em 28 de junho de 1999 </w:t>
      </w:r>
      <w:r w:rsidRPr="00CF451D">
        <w:rPr>
          <w:rFonts w:ascii="Verdana" w:hAnsi="Verdana"/>
          <w:sz w:val="16"/>
          <w:szCs w:val="16"/>
          <w:lang w:val="pt-BR"/>
        </w:rPr>
        <w:t>(</w:t>
      </w:r>
      <w:r w:rsidRPr="002F50BD">
        <w:rPr>
          <w:rFonts w:ascii="Verdana" w:hAnsi="Verdana"/>
          <w:sz w:val="16"/>
          <w:szCs w:val="16"/>
          <w:lang w:val="pt-BR"/>
        </w:rPr>
        <w:t>expediente de anexos à demanda, anexo 25, folhas 1383 a 1384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2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interlocutória nº 375 emitida pela Corte Suprema de Justiça do Paraguai em 10 de abril de 2000 </w:t>
      </w:r>
      <w:r w:rsidRPr="00CF451D">
        <w:rPr>
          <w:rFonts w:ascii="Verdana" w:hAnsi="Verdana"/>
          <w:sz w:val="16"/>
          <w:szCs w:val="16"/>
          <w:lang w:val="pt-BR"/>
        </w:rPr>
        <w:t>(</w:t>
      </w:r>
      <w:r w:rsidRPr="002F50BD">
        <w:rPr>
          <w:rFonts w:ascii="Verdana" w:hAnsi="Verdana"/>
          <w:sz w:val="16"/>
          <w:szCs w:val="16"/>
          <w:lang w:val="pt-BR"/>
        </w:rPr>
        <w:t>expediente de anexos à demanda, anexo 24, folha 1382</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22">
    <w:p w:rsidR="00CF451D" w:rsidRPr="002F50BD" w:rsidRDefault="00CF451D">
      <w:pPr>
        <w:spacing w:after="120"/>
        <w:jc w:val="both"/>
        <w:rPr>
          <w:rFonts w:ascii="Verdana" w:hAnsi="Verdana"/>
          <w:sz w:val="16"/>
          <w:szCs w:val="16"/>
          <w:u w:val="single"/>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escrito de pedido de medidas cautelares de não inovação e registro da lide apresentado pelo Instituto Paraguaio do Indígena em 24 de abril de 2002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 folhas 807 a 811</w:t>
      </w:r>
      <w:r w:rsidRPr="00CF451D">
        <w:rPr>
          <w:rFonts w:ascii="Verdana" w:hAnsi="Verdana"/>
          <w:sz w:val="16"/>
          <w:szCs w:val="16"/>
          <w:lang w:val="pt-BR"/>
        </w:rPr>
        <w:t>)</w:t>
      </w:r>
      <w:r w:rsidRPr="002F50BD">
        <w:rPr>
          <w:rFonts w:ascii="Verdana" w:hAnsi="Verdana"/>
          <w:sz w:val="16"/>
          <w:szCs w:val="16"/>
          <w:lang w:val="pt-BR"/>
        </w:rPr>
        <w:t>.</w:t>
      </w:r>
    </w:p>
  </w:footnote>
  <w:footnote w:id="12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decreto de medidas cautelares emitido pelo Juiz de Primeira Instância Civil e Comercial do Terceiro Turno em 13 de maio de 2002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 folha 815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2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certidão de notificação do levantamento das medidas cautelares de não inovação e registro da lide emitida pelo Juiz de Primeira Instância Civil e Comercial do Terceiro Turno em 23 de agosto de 2002</w:t>
      </w:r>
      <w:r>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 folhas 936</w:t>
      </w:r>
      <w:r w:rsidRPr="00CF451D">
        <w:rPr>
          <w:rFonts w:ascii="Verdana" w:hAnsi="Verdana"/>
          <w:sz w:val="16"/>
          <w:szCs w:val="16"/>
          <w:lang w:val="pt-BR"/>
        </w:rPr>
        <w:t>)</w:t>
      </w:r>
      <w:r w:rsidRPr="002F50BD">
        <w:rPr>
          <w:rFonts w:ascii="Verdana" w:hAnsi="Verdana"/>
          <w:sz w:val="16"/>
          <w:szCs w:val="16"/>
          <w:lang w:val="pt-BR"/>
        </w:rPr>
        <w:t>.</w:t>
      </w:r>
    </w:p>
  </w:footnote>
  <w:footnote w:id="12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denúncia de desflorestamento apresentada pela Comunidade Yakye Axa em 11 de março de 1999 </w:t>
      </w:r>
      <w:r w:rsidRPr="00CF451D">
        <w:rPr>
          <w:rFonts w:ascii="Verdana" w:hAnsi="Verdana"/>
          <w:sz w:val="16"/>
          <w:szCs w:val="16"/>
          <w:lang w:val="pt-BR"/>
        </w:rPr>
        <w:t>(</w:t>
      </w:r>
      <w:r w:rsidRPr="002F50BD">
        <w:rPr>
          <w:rFonts w:ascii="Verdana" w:hAnsi="Verdana"/>
          <w:sz w:val="16"/>
          <w:szCs w:val="16"/>
          <w:lang w:val="pt-BR"/>
        </w:rPr>
        <w:t>expediente de anexos à demanda, anexo 26, folhas 1385 a 1387</w:t>
      </w:r>
      <w:r w:rsidRPr="00CF451D">
        <w:rPr>
          <w:rFonts w:ascii="Verdana" w:hAnsi="Verdana"/>
          <w:sz w:val="16"/>
          <w:szCs w:val="16"/>
          <w:lang w:val="pt-BR"/>
        </w:rPr>
        <w:t>)</w:t>
      </w:r>
      <w:r w:rsidRPr="002F50BD">
        <w:rPr>
          <w:rFonts w:ascii="Verdana" w:hAnsi="Verdana"/>
          <w:sz w:val="16"/>
          <w:szCs w:val="16"/>
          <w:lang w:val="pt-BR"/>
        </w:rPr>
        <w:t>.</w:t>
      </w:r>
    </w:p>
  </w:footnote>
  <w:footnote w:id="126">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sobre a viagem realizada à Comunidade Yakye Axa elaborado pelo Ministério Público em 18 de março de 1999 </w:t>
      </w:r>
      <w:r w:rsidRPr="00CF451D">
        <w:rPr>
          <w:rFonts w:ascii="Verdana" w:hAnsi="Verdana"/>
          <w:sz w:val="16"/>
          <w:szCs w:val="16"/>
          <w:lang w:val="pt-BR"/>
        </w:rPr>
        <w:t>(</w:t>
      </w:r>
      <w:r w:rsidRPr="002F50BD">
        <w:rPr>
          <w:rFonts w:ascii="Verdana" w:hAnsi="Verdana"/>
          <w:sz w:val="16"/>
          <w:szCs w:val="16"/>
          <w:lang w:val="pt-BR"/>
        </w:rPr>
        <w:t>expediente de anexos à demanda, anexo 27, folha 1388</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12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sobre o suposto desmatamento e tráfico de toras cometido em detrimento do </w:t>
      </w:r>
      <w:r w:rsidRPr="002F50BD">
        <w:rPr>
          <w:rFonts w:ascii="Verdana" w:hAnsi="Verdana"/>
          <w:i/>
          <w:sz w:val="16"/>
          <w:szCs w:val="16"/>
          <w:lang w:val="pt-BR"/>
        </w:rPr>
        <w:t>habitat</w:t>
      </w:r>
      <w:r w:rsidRPr="002F50BD">
        <w:rPr>
          <w:rFonts w:ascii="Verdana" w:hAnsi="Verdana"/>
          <w:sz w:val="16"/>
          <w:szCs w:val="16"/>
          <w:lang w:val="pt-BR"/>
        </w:rPr>
        <w:t xml:space="preserve"> da Comunidade Yakye Axa elaborado pelo Ministério Público em 16 de março de 1999 </w:t>
      </w:r>
      <w:r w:rsidRPr="00CF451D">
        <w:rPr>
          <w:rFonts w:ascii="Verdana" w:hAnsi="Verdana"/>
          <w:sz w:val="16"/>
          <w:szCs w:val="16"/>
          <w:lang w:val="pt-BR"/>
        </w:rPr>
        <w:t>(</w:t>
      </w:r>
      <w:r w:rsidRPr="002F50BD">
        <w:rPr>
          <w:rFonts w:ascii="Verdana" w:hAnsi="Verdana"/>
          <w:sz w:val="16"/>
          <w:szCs w:val="16"/>
          <w:lang w:val="pt-BR"/>
        </w:rPr>
        <w:t>expediente de anexos à demanda, anexo 28, folhas 1389 a 1390</w:t>
      </w:r>
      <w:r w:rsidRPr="00CF451D">
        <w:rPr>
          <w:rFonts w:ascii="Verdana" w:hAnsi="Verdana"/>
          <w:sz w:val="16"/>
          <w:szCs w:val="16"/>
          <w:lang w:val="pt-BR"/>
        </w:rPr>
        <w:t>)</w:t>
      </w:r>
      <w:r w:rsidRPr="002F50BD">
        <w:rPr>
          <w:rFonts w:ascii="Verdana" w:hAnsi="Verdana"/>
          <w:sz w:val="16"/>
          <w:szCs w:val="16"/>
          <w:lang w:val="pt-BR"/>
        </w:rPr>
        <w:t>.</w:t>
      </w:r>
    </w:p>
  </w:footnote>
  <w:footnote w:id="128">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do representante de Florida Agricultural Corporation, Livestock Capital Group Inc. </w:t>
      </w:r>
      <w:r w:rsidRPr="002F50BD">
        <w:rPr>
          <w:rFonts w:ascii="Verdana" w:hAnsi="Verdana"/>
          <w:sz w:val="16"/>
          <w:szCs w:val="16"/>
          <w:lang w:val="pt-BR"/>
        </w:rPr>
        <w:t xml:space="preserve">e Agricultural Development Inc., dirigida ao Instituto Paraguaio do Indígena em 22 de abril de 1998 </w:t>
      </w:r>
      <w:r w:rsidRPr="00CF451D">
        <w:rPr>
          <w:rFonts w:ascii="Verdana" w:hAnsi="Verdana"/>
          <w:sz w:val="16"/>
          <w:szCs w:val="16"/>
          <w:lang w:val="pt-BR"/>
        </w:rPr>
        <w:t>(</w:t>
      </w:r>
      <w:r w:rsidRPr="002F50BD">
        <w:rPr>
          <w:rFonts w:ascii="Verdana" w:hAnsi="Verdana"/>
          <w:sz w:val="16"/>
          <w:szCs w:val="16"/>
          <w:lang w:val="pt-BR"/>
        </w:rPr>
        <w:t>expediente de anexos à demanda, anexo 4, folhas 785 a 786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2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denúncia apresentada pelo representante de Livestock Capital Group Inc., perante o Juiz de Primeira Instância Criminal e Correcional do Menor da Circunscrição Judicial de Concepción contra os membros da Comunidade Yakye Axa em 16 de março de 1999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folhas 1323 a 1330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002829BB">
        <w:rPr>
          <w:rFonts w:ascii="Verdana" w:hAnsi="Verdana"/>
          <w:sz w:val="16"/>
          <w:szCs w:val="16"/>
          <w:lang w:val="pt-BR"/>
        </w:rPr>
        <w:t xml:space="preserve">decisão </w:t>
      </w:r>
      <w:r w:rsidRPr="002F50BD">
        <w:rPr>
          <w:rFonts w:ascii="Verdana" w:hAnsi="Verdana"/>
          <w:sz w:val="16"/>
          <w:szCs w:val="16"/>
          <w:lang w:val="pt-BR"/>
        </w:rPr>
        <w:t>emitida pelo Juiz de Primeira Instância Criminal e Correcional do Menor da Circunscrição Judicial de Concepción em 17 de março de 1999</w:t>
      </w:r>
      <w:r>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folhas 1336 a 1337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queixa criminal apresentada pelo representante de Livestock Capital Group Inc., perante o Juiz de Primeira Instância Criminal e Correcional do Menor da Circunscrição Judicial de Concepción em 22 de março de 1999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folhas 1439 a 1446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002829BB">
        <w:rPr>
          <w:rFonts w:ascii="Verdana" w:hAnsi="Verdana"/>
          <w:sz w:val="16"/>
          <w:szCs w:val="16"/>
          <w:lang w:val="pt-BR"/>
        </w:rPr>
        <w:t>decisão</w:t>
      </w:r>
      <w:r w:rsidRPr="002F50BD">
        <w:rPr>
          <w:rFonts w:ascii="Verdana" w:hAnsi="Verdana"/>
          <w:sz w:val="16"/>
          <w:szCs w:val="16"/>
          <w:lang w:val="pt-BR"/>
        </w:rPr>
        <w:t xml:space="preserve"> emitida pelo Juiz de Primeira Instância Criminal e Correcional do Menor da Circunscrição Judicial de Concepción em 22 de março de 1999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 1447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notificação de 8 de abril de 1999 dirigida aos senhores Basilio Fernández, Artemio Roa e Marcos Vera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 1457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atas de declaração informativa prestada em 28 de abril de 1999 pelos senhores Tomás Galeano e Esteba López perante o Juiz de Primeira Instância Criminal e Correcional do Menor da Circunscrição Judicial de Concepción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1473 a 1481 e 1485 a 1489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pedido de intervenção do representante legal </w:t>
      </w:r>
      <w:r w:rsidRPr="00CF451D">
        <w:rPr>
          <w:rFonts w:ascii="Verdana" w:hAnsi="Verdana"/>
          <w:sz w:val="16"/>
          <w:szCs w:val="16"/>
          <w:lang w:val="pt-BR"/>
        </w:rPr>
        <w:t>(</w:t>
      </w:r>
      <w:r w:rsidRPr="002F50BD">
        <w:rPr>
          <w:rFonts w:ascii="Verdana" w:hAnsi="Verdana"/>
          <w:sz w:val="16"/>
          <w:szCs w:val="16"/>
          <w:lang w:val="pt-BR"/>
        </w:rPr>
        <w:t>convencional</w:t>
      </w:r>
      <w:r w:rsidRPr="00CF451D">
        <w:rPr>
          <w:rFonts w:ascii="Verdana" w:hAnsi="Verdana"/>
          <w:sz w:val="16"/>
          <w:szCs w:val="16"/>
          <w:lang w:val="pt-BR"/>
        </w:rPr>
        <w:t>)</w:t>
      </w:r>
      <w:r w:rsidRPr="002F50BD">
        <w:rPr>
          <w:rFonts w:ascii="Verdana" w:hAnsi="Verdana"/>
          <w:sz w:val="16"/>
          <w:szCs w:val="16"/>
          <w:lang w:val="pt-BR"/>
        </w:rPr>
        <w:t xml:space="preserve"> da Comunidade e cópia de atuações de 3 de maio de 1999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1495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de 5 de maio de 1999 do Juiz de Primeira Instância Criminal e Correcional do Menor da Circunscrição Judicial de Concepción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1496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de 5 de maio de 1999 do Juiz de Primeira Instância Criminal e Correcional do Menor da Circunscrição Judicial de Concepción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1503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comprovantes de notificação com data de 17 de junho de 1999 aos senhores Daniel Ciriaco, Pedro García, Raimundo Galarza, César Chávez Fernández, Daniel González, Pablino Chávez, Juan Torales, Alejandro Álvarez, Clarita Galarza, Celso Flores, Venancio Flores, Silvio Ramón, Marciano Solano, Basilio Martínez, Albino Fernández, Marcial Chico Ávalos, Anuncio Gómez, Cirilo Gómez, Marcos Yegros, Zacarias Flores, Dionisio Flores e Elias Ávalos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1502 a 1579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3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denúncia apresentada em 21 de julho de 2000 pelo senhor Daniel Sosa, advogado do denunciante particular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fs. 1702 a 1705</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do Juiz Penal de Liquidação e Sentença de Concepción em 21 de julho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 1706</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ata de inspeção ocular realizada pelo Juiz Penal de Liquidação e Sentença de Concepción em 24 de julho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 folhas 1709 a 1710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emitida pelo Juiz Penal de Liquidação e Sentença de Concepción em 30 de agosto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1784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pedido de intervenção e fotocópias autenticadas apresentado pelo senhor Oscar Ayala Amarilla em 5 de setembro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1798</w:t>
      </w:r>
      <w:r w:rsidRPr="00CF451D">
        <w:rPr>
          <w:rFonts w:ascii="Verdana" w:hAnsi="Verdana"/>
          <w:sz w:val="16"/>
          <w:szCs w:val="16"/>
          <w:lang w:val="pt-BR"/>
        </w:rPr>
        <w:t>)</w:t>
      </w:r>
      <w:r w:rsidRPr="002F50BD">
        <w:rPr>
          <w:rFonts w:ascii="Verdana" w:hAnsi="Verdana"/>
          <w:sz w:val="16"/>
          <w:szCs w:val="16"/>
          <w:lang w:val="pt-BR"/>
        </w:rPr>
        <w:t>, e reiteração de pedido de intervenção e fotocópias autenticadas apresentado pelo senhor Oscar Ayala Amarilla em 11</w:t>
      </w:r>
      <w:r>
        <w:rPr>
          <w:rFonts w:ascii="Verdana" w:hAnsi="Verdana"/>
          <w:sz w:val="16"/>
          <w:szCs w:val="16"/>
          <w:lang w:val="pt-BR"/>
        </w:rPr>
        <w:t xml:space="preserve"> </w:t>
      </w:r>
      <w:r w:rsidRPr="002F50BD">
        <w:rPr>
          <w:rFonts w:ascii="Verdana" w:hAnsi="Verdana"/>
          <w:sz w:val="16"/>
          <w:szCs w:val="16"/>
          <w:lang w:val="pt-BR"/>
        </w:rPr>
        <w:t xml:space="preserve">de setembro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1801</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resolução emitida pelo Juiz Penal de Liquidação e Sentença de Concepción em 11 de setembro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1797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recurso de apelação apresentado pelo senhor Oscar Ayala Amarilla de 15 de setembro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1817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do Juiz Penal de Liquidação e Sentença de Concepción em 18 de setembro de 2000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1818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decisão do pelo Juiz Penal de Liquidação e Sentença de Concepción em 29 de agosto de 2001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1933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4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pedido de intervenção legal apresentado por funcionários do Instituto Paraguaio do Indígena em 14 de setembro de 2001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folhas 1952 a 1953</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14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decisão do Juiz Penal de Liquidação e Sentença de Concepción em 14 de setembro de 2001</w:t>
      </w:r>
      <w:r>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1954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5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decisão do Juiz Penal de Liquidação e Sentença de Concepción de 18 o setembro de 2001</w:t>
      </w:r>
      <w:r>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1956</w:t>
      </w:r>
      <w:r w:rsidRPr="00CF451D">
        <w:rPr>
          <w:rFonts w:ascii="Verdana" w:hAnsi="Verdana"/>
          <w:sz w:val="16"/>
          <w:szCs w:val="16"/>
          <w:lang w:val="pt-BR"/>
        </w:rPr>
        <w:t>)</w:t>
      </w:r>
      <w:r w:rsidRPr="002F50BD">
        <w:rPr>
          <w:rFonts w:ascii="Verdana" w:hAnsi="Verdana"/>
          <w:sz w:val="16"/>
          <w:szCs w:val="16"/>
          <w:lang w:val="pt-BR"/>
        </w:rPr>
        <w:t xml:space="preserve">; escrito de reconsideração e reposição de decisão e apelação em subsídio apresentado pelo Instituto Paraguaio do Indígena em 19 de setembro de 2001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folhas 2000 a 2001</w:t>
      </w:r>
      <w:r w:rsidRPr="00CF451D">
        <w:rPr>
          <w:rFonts w:ascii="Verdana" w:hAnsi="Verdana"/>
          <w:sz w:val="16"/>
          <w:szCs w:val="16"/>
          <w:lang w:val="pt-BR"/>
        </w:rPr>
        <w:t>)</w:t>
      </w:r>
      <w:r w:rsidRPr="002F50BD">
        <w:rPr>
          <w:rFonts w:ascii="Verdana" w:hAnsi="Verdana"/>
          <w:sz w:val="16"/>
          <w:szCs w:val="16"/>
          <w:lang w:val="pt-BR"/>
        </w:rPr>
        <w:t xml:space="preserve">, e decisão do Juiz Penal de Liquidação e Sentença de Concepción de 19 de setembro de 2001 </w:t>
      </w:r>
      <w:r w:rsidRPr="00CF451D">
        <w:rPr>
          <w:rFonts w:ascii="Verdana" w:hAnsi="Verdana"/>
          <w:sz w:val="16"/>
          <w:szCs w:val="16"/>
          <w:lang w:val="pt-BR"/>
        </w:rPr>
        <w:t>(</w:t>
      </w:r>
      <w:r w:rsidRPr="002F50BD">
        <w:rPr>
          <w:rFonts w:ascii="Verdana" w:hAnsi="Verdana"/>
          <w:sz w:val="16"/>
          <w:szCs w:val="16"/>
          <w:lang w:val="pt-BR"/>
        </w:rPr>
        <w:t>expediente de prova para melhor resolver apresentada pelo Estado, Tomo III, folha 2002</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5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comunicação sobre medidas cautelares dirigida pela Comissão Interamericana ao Estado em 26 de setembro de 2001 </w:t>
      </w:r>
      <w:r w:rsidRPr="00CF451D">
        <w:rPr>
          <w:rFonts w:ascii="Verdana" w:hAnsi="Verdana"/>
          <w:sz w:val="16"/>
          <w:szCs w:val="16"/>
          <w:lang w:val="pt-BR"/>
        </w:rPr>
        <w:t>(</w:t>
      </w:r>
      <w:r w:rsidRPr="002F50BD">
        <w:rPr>
          <w:rFonts w:ascii="Verdana" w:hAnsi="Verdana"/>
          <w:sz w:val="16"/>
          <w:szCs w:val="16"/>
          <w:lang w:val="pt-BR"/>
        </w:rPr>
        <w:t>expediente de anexos à demanda, anexo 3, folhas 408 a 410</w:t>
      </w:r>
      <w:r w:rsidRPr="00CF451D">
        <w:rPr>
          <w:rFonts w:ascii="Verdana" w:hAnsi="Verdana"/>
          <w:sz w:val="16"/>
          <w:szCs w:val="16"/>
          <w:lang w:val="pt-BR"/>
        </w:rPr>
        <w:t>)</w:t>
      </w:r>
      <w:r w:rsidRPr="002F50BD">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15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testemunho do senhor Esteban López prestado perante a Corte Interamericana durante a audiência pública celebrada em 4 de março de 2005; testemunho da senhora Inocencia Gómez prestado perante a Corte Interamericana durante a audiência pública celebrada em 4 de março de 2005, e declaração do senhor Albino Fernández prestada perante agente dotado de fé pública em 10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 637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5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e testemunho do senhor Stephen William Kidd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5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e perícia do senhor Pablo Balmaceda prestada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5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 e testemunho da senhora Inocencia Gómez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56">
    <w:p w:rsidR="00CF451D" w:rsidRPr="002F50BD" w:rsidRDefault="00CF451D">
      <w:pPr>
        <w:pStyle w:val="FootnoteText"/>
        <w:jc w:val="both"/>
        <w:rPr>
          <w:rFonts w:ascii="Verdana" w:hAnsi="Verdana"/>
          <w:sz w:val="16"/>
          <w:szCs w:val="16"/>
          <w:u w:val="single"/>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 e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w:t>
      </w:r>
      <w:r w:rsidRPr="002F50BD">
        <w:rPr>
          <w:rFonts w:ascii="Verdana" w:hAnsi="Verdana"/>
          <w:sz w:val="16"/>
          <w:szCs w:val="16"/>
          <w:lang w:val="pt-BR"/>
        </w:rPr>
        <w:t xml:space="preserve">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5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comprovantes de compra e entrega de alimentos à Comunidade Yakye Axa </w:t>
      </w:r>
      <w:r w:rsidRPr="00CF451D">
        <w:rPr>
          <w:rFonts w:ascii="Verdana" w:hAnsi="Verdana"/>
          <w:sz w:val="16"/>
          <w:szCs w:val="16"/>
          <w:lang w:val="pt-BR"/>
        </w:rPr>
        <w:t>(</w:t>
      </w:r>
      <w:r w:rsidRPr="002F50BD">
        <w:rPr>
          <w:rFonts w:ascii="Verdana" w:hAnsi="Verdana"/>
          <w:sz w:val="16"/>
          <w:szCs w:val="16"/>
          <w:lang w:val="pt-BR"/>
        </w:rPr>
        <w:t>expediente de anexos à demanda, anexo 3, folhas 144 a 179</w:t>
      </w:r>
      <w:r w:rsidRPr="00CF451D">
        <w:rPr>
          <w:rFonts w:ascii="Verdana" w:hAnsi="Verdana"/>
          <w:sz w:val="16"/>
          <w:szCs w:val="16"/>
          <w:lang w:val="pt-BR"/>
        </w:rPr>
        <w:t>)</w:t>
      </w:r>
      <w:r w:rsidRPr="002F50BD">
        <w:rPr>
          <w:rFonts w:ascii="Verdana" w:hAnsi="Verdana"/>
          <w:sz w:val="16"/>
          <w:szCs w:val="16"/>
          <w:lang w:val="pt-BR"/>
        </w:rPr>
        <w:t xml:space="preserve">; comprovantes de compra e entrega de alimentos à Comunidade Yakye Axa por parte dos representantes </w:t>
      </w:r>
      <w:r w:rsidRPr="00CF451D">
        <w:rPr>
          <w:rFonts w:ascii="Verdana" w:hAnsi="Verdana"/>
          <w:sz w:val="16"/>
          <w:szCs w:val="16"/>
          <w:lang w:val="pt-BR"/>
        </w:rPr>
        <w:t>(</w:t>
      </w:r>
      <w:r w:rsidRPr="002F50BD">
        <w:rPr>
          <w:rFonts w:ascii="Verdana" w:hAnsi="Verdana"/>
          <w:sz w:val="16"/>
          <w:szCs w:val="16"/>
          <w:lang w:val="pt-BR"/>
        </w:rPr>
        <w:t>expediente de anexos às alegações finais escritas, folhas 480 a 783</w:t>
      </w:r>
      <w:r w:rsidRPr="00CF451D">
        <w:rPr>
          <w:rFonts w:ascii="Verdana" w:hAnsi="Verdana"/>
          <w:sz w:val="16"/>
          <w:szCs w:val="16"/>
          <w:lang w:val="pt-BR"/>
        </w:rPr>
        <w:t>)</w:t>
      </w:r>
      <w:r w:rsidRPr="002F50BD">
        <w:rPr>
          <w:rFonts w:ascii="Verdana" w:hAnsi="Verdana"/>
          <w:sz w:val="16"/>
          <w:szCs w:val="16"/>
          <w:lang w:val="pt-BR"/>
        </w:rPr>
        <w:t>; testemunho do senhor Esteban López prestado perante a Corte Interamericana durante a audiência pública celebrada em 4 de março de 2005, testemunho da senhora Inocencia Gómez prestado perante a Corte Interamericana durante a audiência pública celebrada em 4 de março de 2005, e perícia do senhor Pablo Balmaceda prestada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5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perícia do senhor Pablo Balmaceda prestada perante a Corte Interamericana durante a audiência pública celebrada em 4 de março de 2005; 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e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5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perícia do senhor Pablo Balmaceda prestada perante a Corte Interamericana durante a audiência pública celebrada em 4 de março de 2005; 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e testemunho da senhora Inocencia Gómez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6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e perícia de Pablo Balmaceda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6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e perícia do senhor Pablo Balmaceda prestada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6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perícia do senhor Pablo Balmaceda prestada perante a Corte Interamericana durante a audiência pública celebrada em 4 de março de 2005, e livro intitulado “</w:t>
      </w:r>
      <w:r w:rsidRPr="002F50BD">
        <w:rPr>
          <w:rFonts w:ascii="Verdana" w:hAnsi="Verdana"/>
          <w:i/>
          <w:sz w:val="16"/>
          <w:szCs w:val="16"/>
          <w:lang w:val="pt-BR"/>
        </w:rPr>
        <w:t>Atlas de las Comunidades Indígenas en el Paraguay</w:t>
      </w:r>
      <w:r w:rsidRPr="002F50BD">
        <w:rPr>
          <w:rFonts w:ascii="Verdana" w:hAnsi="Verdana"/>
          <w:sz w:val="16"/>
          <w:szCs w:val="16"/>
          <w:lang w:val="pt-BR"/>
        </w:rPr>
        <w:t xml:space="preserve">”, Presidência da República, Secretaria Técnica de Planejamento. Paraguai, 2002 </w:t>
      </w:r>
      <w:r w:rsidRPr="00CF451D">
        <w:rPr>
          <w:rFonts w:ascii="Verdana" w:hAnsi="Verdana"/>
          <w:sz w:val="16"/>
          <w:szCs w:val="16"/>
          <w:lang w:val="pt-BR"/>
        </w:rPr>
        <w:t>(</w:t>
      </w:r>
      <w:r w:rsidRPr="002F50BD">
        <w:rPr>
          <w:rFonts w:ascii="Verdana" w:hAnsi="Verdana"/>
          <w:sz w:val="16"/>
          <w:szCs w:val="16"/>
          <w:lang w:val="pt-BR"/>
        </w:rPr>
        <w:t>expediente de documentos apresentados durante a audiência pública celebrada nos dias 4 e 5 de março de 2005, Tomo II, páginas 404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declaração do senhor Albino Fernández prestada perante agente dotado de fé pública em 10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 637</w:t>
      </w:r>
      <w:r w:rsidRPr="00CF451D">
        <w:rPr>
          <w:rFonts w:ascii="Verdana" w:hAnsi="Verdana"/>
          <w:sz w:val="16"/>
          <w:szCs w:val="16"/>
          <w:lang w:val="pt-BR"/>
        </w:rPr>
        <w:t>)</w:t>
      </w:r>
      <w:r w:rsidRPr="002F50BD">
        <w:rPr>
          <w:rFonts w:ascii="Verdana" w:hAnsi="Verdana"/>
          <w:sz w:val="16"/>
          <w:szCs w:val="16"/>
          <w:lang w:val="pt-BR"/>
        </w:rPr>
        <w:t>, e testemunho da senhora Inocencia Gómez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6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decreto Presidencial nº 3789 de 23 de junho de 1999 </w:t>
      </w:r>
      <w:r w:rsidRPr="00CF451D">
        <w:rPr>
          <w:rFonts w:ascii="Verdana" w:hAnsi="Verdana"/>
          <w:sz w:val="16"/>
          <w:szCs w:val="16"/>
          <w:lang w:val="pt-BR"/>
        </w:rPr>
        <w:t>(</w:t>
      </w:r>
      <w:r w:rsidRPr="002F50BD">
        <w:rPr>
          <w:rFonts w:ascii="Verdana" w:hAnsi="Verdana"/>
          <w:sz w:val="16"/>
          <w:szCs w:val="16"/>
          <w:lang w:val="pt-BR"/>
        </w:rPr>
        <w:t>expediente de anexos à demanda, anexo 10, folhas 1278 a 1280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testemunho do senhor Esteban López prestado perante a Corte Interamericana durante a audiência pública celebrada em 4 de março de 2005, e declaração do senhor Oscar Centurión prestada perante agente dotado de fé pública em 22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folhas 781 a 787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elaborado pelos senhores Claudio Miltos e Augusto Ortigoza, funcionários do Instituto Paraguaio do Indígena, em 25 de fevereiro de 2000 </w:t>
      </w:r>
      <w:r w:rsidRPr="00CF451D">
        <w:rPr>
          <w:rFonts w:ascii="Verdana" w:hAnsi="Verdana"/>
          <w:sz w:val="16"/>
          <w:szCs w:val="16"/>
          <w:lang w:val="pt-BR"/>
        </w:rPr>
        <w:t>(</w:t>
      </w:r>
      <w:r w:rsidRPr="002F50BD">
        <w:rPr>
          <w:rFonts w:ascii="Verdana" w:hAnsi="Verdana"/>
          <w:sz w:val="16"/>
          <w:szCs w:val="16"/>
          <w:lang w:val="pt-BR"/>
        </w:rPr>
        <w:t>expediente de anexos à demanda, anexo 3, folhas 188 a 190</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elaborado pelo senhor Claudio Miltos, funcionário do Instituto Paraguaio do Indígena, em 30 de março de 2000 </w:t>
      </w:r>
      <w:r w:rsidRPr="00CF451D">
        <w:rPr>
          <w:rFonts w:ascii="Verdana" w:hAnsi="Verdana"/>
          <w:sz w:val="16"/>
          <w:szCs w:val="16"/>
          <w:lang w:val="pt-BR"/>
        </w:rPr>
        <w:t>(</w:t>
      </w:r>
      <w:r w:rsidRPr="002F50BD">
        <w:rPr>
          <w:rFonts w:ascii="Verdana" w:hAnsi="Verdana"/>
          <w:sz w:val="16"/>
          <w:szCs w:val="16"/>
          <w:lang w:val="pt-BR"/>
        </w:rPr>
        <w:t>expediente de anexos à demanda, anexo 3, folhas 180 a 184</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comprovantes de compra e entrega de alimentos à Comunidade Yakye Axa </w:t>
      </w:r>
      <w:r w:rsidRPr="00CF451D">
        <w:rPr>
          <w:rFonts w:ascii="Verdana" w:hAnsi="Verdana"/>
          <w:sz w:val="16"/>
          <w:szCs w:val="16"/>
          <w:lang w:val="pt-BR"/>
        </w:rPr>
        <w:t>(</w:t>
      </w:r>
      <w:r w:rsidRPr="002F50BD">
        <w:rPr>
          <w:rFonts w:ascii="Verdana" w:hAnsi="Verdana"/>
          <w:sz w:val="16"/>
          <w:szCs w:val="16"/>
          <w:lang w:val="pt-BR"/>
        </w:rPr>
        <w:t>expediente de anexos à demanda, anexo 3, folhas 144 a 179</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6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relatório elaborado pelo Ministério de Saúde Pública e do Bem Estar Social sobre visita à Comunidade Yakye Axa e a atenção médica prestada em 2 de agosto de 2000 </w:t>
      </w:r>
      <w:r w:rsidRPr="00CF451D">
        <w:rPr>
          <w:rFonts w:ascii="Verdana" w:hAnsi="Verdana"/>
          <w:sz w:val="16"/>
          <w:szCs w:val="16"/>
          <w:lang w:val="pt-BR"/>
        </w:rPr>
        <w:t>(</w:t>
      </w:r>
      <w:r w:rsidRPr="002F50BD">
        <w:rPr>
          <w:rFonts w:ascii="Verdana" w:hAnsi="Verdana"/>
          <w:sz w:val="16"/>
          <w:szCs w:val="16"/>
          <w:lang w:val="pt-BR"/>
        </w:rPr>
        <w:t>expediente de anexos à demanda, anexo 3, folhas 147 a 148</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7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7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perícia do senhor Pablo Balmaceda prestada perante a Corte Interamericana durante a audiência pública celebrada em 4 de março de 2005, e cópias de faturas relativas à compra de alimentos e medicamentos para a Comunidade Yakye Axa </w:t>
      </w:r>
      <w:r w:rsidRPr="00CF451D">
        <w:rPr>
          <w:rFonts w:ascii="Verdana" w:hAnsi="Verdana"/>
          <w:sz w:val="16"/>
          <w:szCs w:val="16"/>
          <w:lang w:val="pt-BR"/>
        </w:rPr>
        <w:t>(</w:t>
      </w:r>
      <w:r w:rsidRPr="002F50BD">
        <w:rPr>
          <w:rFonts w:ascii="Verdana" w:hAnsi="Verdana"/>
          <w:sz w:val="16"/>
          <w:szCs w:val="16"/>
          <w:lang w:val="pt-BR"/>
        </w:rPr>
        <w:t>expediente de anexos às alegações finais escritas dos representantes, folhas 480 a 783</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7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testemunho do senhor Esteban López prestado perante a Corte Interamericana durante a audiência pública celebrada em 4 de março de 2005; testemunho do senhor Tomás Galeano prestado perante a Corte Interamericana durante a audiência pública celebrada em 4 de março de 2005, e testemunho da senhora Inocencia Gómez prestado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7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testemunho do senhor Esteban López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e declaração do senhor Albino Fernández prestada perante agente dotado de fé pública em 10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 637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7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testemunho do senhor Esteban López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declaração do senhor Albino Fernández prestada perante agente dotado de fé pública em 10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 637</w:t>
      </w:r>
      <w:r w:rsidRPr="00CF451D">
        <w:rPr>
          <w:rFonts w:ascii="Verdana" w:hAnsi="Verdana"/>
          <w:sz w:val="16"/>
          <w:szCs w:val="16"/>
          <w:lang w:val="pt-BR"/>
        </w:rPr>
        <w:t>)</w:t>
      </w:r>
      <w:r w:rsidRPr="002F50BD">
        <w:rPr>
          <w:rFonts w:ascii="Verdana" w:hAnsi="Verdana"/>
          <w:sz w:val="16"/>
          <w:szCs w:val="16"/>
          <w:lang w:val="pt-BR"/>
        </w:rPr>
        <w:t xml:space="preserve">, relatório médico sanitário da Comunidade Yakye Axa elaborado pelo senhor Pablo Balmaceda </w:t>
      </w:r>
      <w:r w:rsidRPr="00CF451D">
        <w:rPr>
          <w:rFonts w:ascii="Verdana" w:hAnsi="Verdana"/>
          <w:sz w:val="16"/>
          <w:szCs w:val="16"/>
          <w:lang w:val="pt-BR"/>
        </w:rPr>
        <w:t>(</w:t>
      </w:r>
      <w:r w:rsidRPr="002F50BD">
        <w:rPr>
          <w:rFonts w:ascii="Verdana" w:hAnsi="Verdana"/>
          <w:sz w:val="16"/>
          <w:szCs w:val="16"/>
          <w:lang w:val="pt-BR"/>
        </w:rPr>
        <w:t>expediente de anexos ao escrito de petições e argumentos, anexo 1, folhas 1555 a 1563</w:t>
      </w:r>
      <w:r w:rsidRPr="00CF451D">
        <w:rPr>
          <w:rFonts w:ascii="Verdana" w:hAnsi="Verdana"/>
          <w:sz w:val="16"/>
          <w:szCs w:val="16"/>
          <w:lang w:val="pt-BR"/>
        </w:rPr>
        <w:t>)</w:t>
      </w:r>
      <w:r w:rsidRPr="002F50BD">
        <w:rPr>
          <w:rFonts w:ascii="Verdana" w:hAnsi="Verdana"/>
          <w:sz w:val="16"/>
          <w:szCs w:val="16"/>
          <w:lang w:val="pt-BR"/>
        </w:rPr>
        <w:t>, e perícia do senhor Pablo Balmaceda prestada perante a Corte Interamericana durante a audiência pública celebrada em 4 de março de 2005.</w:t>
      </w:r>
    </w:p>
    <w:p w:rsidR="00CF451D" w:rsidRPr="002F50BD" w:rsidRDefault="00CF451D">
      <w:pPr>
        <w:pStyle w:val="FootnoteText"/>
        <w:jc w:val="both"/>
        <w:rPr>
          <w:rFonts w:ascii="Verdana" w:hAnsi="Verdana"/>
          <w:sz w:val="16"/>
          <w:szCs w:val="16"/>
          <w:lang w:val="pt-BR"/>
        </w:rPr>
      </w:pPr>
    </w:p>
  </w:footnote>
  <w:footnote w:id="17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testemunho do senhor Esteban López prestado perante a Corte Interamericana durante a audiência pública celebrada em 4 de março de 2005; testemunho do senhor Tomás Galeano prestado perante a Corte Interamericana durante a audiência pública celebrada em 4 de março de 2005; testemunho da senhora Inocencia Gómez prestado perante a Corte Interamericana durante a audiência pública celebrada em 4 de março de 2005, e declaração do senhor Albino Fernández prestada perante agente dotado de fé pública em 10 de fevereiro de 2005 </w:t>
      </w:r>
      <w:r w:rsidRPr="00CF451D">
        <w:rPr>
          <w:rFonts w:ascii="Verdana" w:hAnsi="Verdana"/>
          <w:sz w:val="16"/>
          <w:szCs w:val="16"/>
          <w:lang w:val="pt-BR"/>
        </w:rPr>
        <w:t>(</w:t>
      </w:r>
      <w:r w:rsidRPr="002F50BD">
        <w:rPr>
          <w:rFonts w:ascii="Verdana" w:hAnsi="Verdana"/>
          <w:sz w:val="16"/>
          <w:szCs w:val="16"/>
          <w:lang w:val="pt-BR"/>
        </w:rPr>
        <w:t>expediente sobre o mérito e as eventuais reparações e custas, Tomo III, folha 637</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7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 </w:t>
      </w:r>
      <w:r w:rsidRPr="002F50BD">
        <w:rPr>
          <w:rFonts w:ascii="Verdana" w:hAnsi="Verdana"/>
          <w:sz w:val="16"/>
          <w:szCs w:val="16"/>
          <w:lang w:val="pt-BR"/>
        </w:rPr>
        <w:t xml:space="preserve">Sentença de 31 de agosto de 2001. Série C Nº 79, par. 113; </w:t>
      </w:r>
      <w:r w:rsidRPr="002F50BD">
        <w:rPr>
          <w:rFonts w:ascii="Verdana" w:hAnsi="Verdana"/>
          <w:i/>
          <w:sz w:val="16"/>
          <w:szCs w:val="16"/>
          <w:lang w:val="pt-BR"/>
        </w:rPr>
        <w:t>Caso Ivcher Bronstein</w:t>
      </w:r>
      <w:r w:rsidRPr="002F50BD">
        <w:rPr>
          <w:rFonts w:ascii="Verdana" w:hAnsi="Verdana"/>
          <w:sz w:val="16"/>
          <w:szCs w:val="16"/>
          <w:lang w:val="pt-BR"/>
        </w:rPr>
        <w:t xml:space="preserve">. Sentença de 6 de fevereiro de 2001. Série C Nº 74, par. 136, e </w:t>
      </w:r>
      <w:r w:rsidRPr="002F50BD">
        <w:rPr>
          <w:rFonts w:ascii="Verdana" w:hAnsi="Verdana"/>
          <w:i/>
          <w:sz w:val="16"/>
          <w:szCs w:val="16"/>
          <w:lang w:val="pt-BR"/>
        </w:rPr>
        <w:t>Caso Cantoral Benavides</w:t>
      </w:r>
      <w:r w:rsidRPr="002F50BD">
        <w:rPr>
          <w:rFonts w:ascii="Verdana" w:hAnsi="Verdana"/>
          <w:sz w:val="16"/>
          <w:szCs w:val="16"/>
          <w:lang w:val="pt-BR"/>
        </w:rPr>
        <w:t>. Sentença de 18 de agosto de 2000. Série C Nº 69, par. 164.</w:t>
      </w:r>
    </w:p>
    <w:p w:rsidR="00CF451D" w:rsidRPr="002F50BD" w:rsidRDefault="00CF451D">
      <w:pPr>
        <w:pStyle w:val="FootnoteText"/>
        <w:jc w:val="both"/>
        <w:rPr>
          <w:rFonts w:ascii="Verdana" w:hAnsi="Verdana"/>
          <w:sz w:val="16"/>
          <w:szCs w:val="16"/>
          <w:lang w:val="pt-BR"/>
        </w:rPr>
      </w:pPr>
    </w:p>
  </w:footnote>
  <w:footnote w:id="17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76;</w:t>
      </w:r>
      <w:r w:rsidRPr="002F50BD">
        <w:rPr>
          <w:rFonts w:ascii="Verdana" w:hAnsi="Verdana"/>
          <w:i/>
          <w:sz w:val="16"/>
          <w:szCs w:val="16"/>
          <w:lang w:val="pt-BR"/>
        </w:rPr>
        <w:t xml:space="preserve"> </w:t>
      </w:r>
      <w:r w:rsidRPr="002F50BD">
        <w:rPr>
          <w:rFonts w:ascii="Verdana" w:hAnsi="Verdana"/>
          <w:i/>
          <w:color w:val="000000"/>
          <w:sz w:val="16"/>
          <w:szCs w:val="16"/>
          <w:lang w:val="pt-BR"/>
        </w:rPr>
        <w:t xml:space="preserve">Caso </w:t>
      </w:r>
      <w:r w:rsidRPr="002F50BD">
        <w:rPr>
          <w:rFonts w:ascii="Verdana" w:hAnsi="Verdana"/>
          <w:color w:val="000000"/>
          <w:sz w:val="16"/>
          <w:szCs w:val="16"/>
          <w:lang w:val="pt-BR"/>
        </w:rPr>
        <w:t>19</w:t>
      </w:r>
      <w:r w:rsidRPr="002F50BD">
        <w:rPr>
          <w:rFonts w:ascii="Verdana" w:hAnsi="Verdana"/>
          <w:i/>
          <w:color w:val="000000"/>
          <w:sz w:val="16"/>
          <w:szCs w:val="16"/>
          <w:lang w:val="pt-BR"/>
        </w:rPr>
        <w:t xml:space="preserve"> Comerciantes</w:t>
      </w:r>
      <w:r w:rsidRPr="002F50BD">
        <w:rPr>
          <w:rFonts w:ascii="Verdana" w:hAnsi="Verdana"/>
          <w:color w:val="000000"/>
          <w:sz w:val="16"/>
          <w:szCs w:val="16"/>
          <w:lang w:val="pt-BR"/>
        </w:rPr>
        <w:t xml:space="preserve">. </w:t>
      </w:r>
      <w:r w:rsidRPr="002F50BD">
        <w:rPr>
          <w:rFonts w:ascii="Verdana" w:hAnsi="Verdana"/>
          <w:sz w:val="16"/>
          <w:szCs w:val="16"/>
          <w:lang w:val="pt-BR"/>
        </w:rPr>
        <w:t xml:space="preserve">Sentença de 5 de julho de 2004. Série C Nº 109, par. 194, e </w:t>
      </w:r>
      <w:r w:rsidRPr="002F50BD">
        <w:rPr>
          <w:rFonts w:ascii="Verdana" w:hAnsi="Verdana"/>
          <w:i/>
          <w:sz w:val="16"/>
          <w:szCs w:val="16"/>
          <w:lang w:val="pt-BR"/>
        </w:rPr>
        <w:t xml:space="preserve">Caso Las Palmeras. </w:t>
      </w:r>
      <w:r w:rsidRPr="002F50BD">
        <w:rPr>
          <w:rFonts w:ascii="Verdana" w:hAnsi="Verdana"/>
          <w:sz w:val="16"/>
          <w:szCs w:val="16"/>
          <w:lang w:val="pt-BR"/>
        </w:rPr>
        <w:t>Sentença de 6 de dezembro de 2001. Série C Nº 90,</w:t>
      </w:r>
      <w:r w:rsidRPr="002F50BD">
        <w:rPr>
          <w:rFonts w:ascii="Verdana" w:hAnsi="Verdana"/>
          <w:i/>
          <w:sz w:val="16"/>
          <w:szCs w:val="16"/>
          <w:lang w:val="pt-BR"/>
        </w:rPr>
        <w:t xml:space="preserve"> </w:t>
      </w:r>
      <w:r w:rsidRPr="002F50BD">
        <w:rPr>
          <w:rFonts w:ascii="Verdana" w:hAnsi="Verdana"/>
          <w:sz w:val="16"/>
          <w:szCs w:val="16"/>
          <w:lang w:val="pt-BR"/>
        </w:rPr>
        <w:t>par. 60.</w:t>
      </w:r>
    </w:p>
    <w:p w:rsidR="00CF451D" w:rsidRPr="002F50BD" w:rsidRDefault="00CF451D">
      <w:pPr>
        <w:pStyle w:val="FootnoteText"/>
        <w:jc w:val="both"/>
        <w:rPr>
          <w:rFonts w:ascii="Verdana" w:hAnsi="Verdana"/>
          <w:sz w:val="16"/>
          <w:szCs w:val="16"/>
          <w:lang w:val="pt-BR"/>
        </w:rPr>
      </w:pPr>
    </w:p>
  </w:footnote>
  <w:footnote w:id="17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Baena Ricardo</w:t>
      </w:r>
      <w:r w:rsidRPr="002F50BD">
        <w:rPr>
          <w:rFonts w:ascii="Verdana" w:hAnsi="Verdana"/>
          <w:sz w:val="16"/>
          <w:szCs w:val="16"/>
          <w:lang w:val="pt-BR"/>
        </w:rPr>
        <w:t>. Sentença de 2 de fevereiro de 2001. Série C Nº 72, par. 127.</w:t>
      </w:r>
    </w:p>
  </w:footnote>
  <w:footnote w:id="179">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i/>
          <w:color w:val="000000"/>
          <w:sz w:val="16"/>
          <w:szCs w:val="16"/>
          <w:lang w:val="pt-BR"/>
        </w:rPr>
        <w:t>Caso das Irmãs Serrano Cruz</w:t>
      </w:r>
      <w:r w:rsidRPr="002F50BD">
        <w:rPr>
          <w:rFonts w:ascii="Verdana" w:hAnsi="Verdana"/>
          <w:color w:val="000000"/>
          <w:sz w:val="16"/>
          <w:szCs w:val="16"/>
          <w:lang w:val="pt-BR"/>
        </w:rPr>
        <w:t>, 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par. 67; </w:t>
      </w:r>
      <w:r w:rsidRPr="002F50BD">
        <w:rPr>
          <w:rFonts w:ascii="Verdana" w:hAnsi="Verdana"/>
          <w:i/>
          <w:sz w:val="16"/>
          <w:szCs w:val="16"/>
          <w:lang w:val="pt-BR"/>
        </w:rPr>
        <w:t>Caso Tibi</w:t>
      </w:r>
      <w:r w:rsidRPr="002F50BD">
        <w:rPr>
          <w:rFonts w:ascii="Verdana" w:hAnsi="Verdana"/>
          <w:sz w:val="16"/>
          <w:szCs w:val="16"/>
          <w:lang w:val="pt-BR"/>
        </w:rPr>
        <w:t>. Sentença de 7 de setembro de 2004. Série C Nº 114,</w:t>
      </w:r>
      <w:r w:rsidRPr="002F50BD">
        <w:rPr>
          <w:rFonts w:ascii="Verdana" w:hAnsi="Verdana"/>
          <w:i/>
          <w:sz w:val="16"/>
          <w:szCs w:val="16"/>
          <w:lang w:val="pt-BR"/>
        </w:rPr>
        <w:t xml:space="preserve"> </w:t>
      </w:r>
      <w:r w:rsidRPr="002F50BD">
        <w:rPr>
          <w:rFonts w:ascii="Verdana" w:hAnsi="Verdana"/>
          <w:sz w:val="16"/>
          <w:szCs w:val="16"/>
          <w:lang w:val="pt-BR"/>
        </w:rPr>
        <w:t xml:space="preserve">par. 175, e </w:t>
      </w:r>
      <w:r w:rsidRPr="002F50BD">
        <w:rPr>
          <w:rFonts w:ascii="Verdana" w:hAnsi="Verdana"/>
          <w:i/>
          <w:sz w:val="16"/>
          <w:szCs w:val="16"/>
          <w:lang w:val="pt-BR"/>
        </w:rPr>
        <w:t>Caso Ricardo Canese</w:t>
      </w:r>
      <w:r w:rsidRPr="002F50BD">
        <w:rPr>
          <w:rFonts w:ascii="Verdana" w:hAnsi="Verdana"/>
          <w:sz w:val="16"/>
          <w:szCs w:val="16"/>
          <w:lang w:val="pt-BR"/>
        </w:rPr>
        <w:t>. Sentença de 31 de agosto de 2004. Série C Nº 111, par. 141.</w:t>
      </w:r>
      <w:r>
        <w:rPr>
          <w:rFonts w:ascii="Verdana" w:hAnsi="Verdana"/>
          <w:sz w:val="16"/>
          <w:szCs w:val="16"/>
          <w:lang w:val="pt-BR"/>
        </w:rPr>
        <w:t xml:space="preserve"> </w:t>
      </w:r>
    </w:p>
    <w:p w:rsidR="00CF451D" w:rsidRPr="002F50BD" w:rsidRDefault="00CF451D">
      <w:pPr>
        <w:pStyle w:val="FootnoteText"/>
        <w:jc w:val="both"/>
        <w:rPr>
          <w:rFonts w:ascii="Verdana" w:hAnsi="Verdana"/>
          <w:sz w:val="16"/>
          <w:szCs w:val="16"/>
          <w:lang w:val="pt-BR"/>
        </w:rPr>
      </w:pPr>
    </w:p>
  </w:footnote>
  <w:footnote w:id="18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color w:val="000000"/>
          <w:sz w:val="16"/>
          <w:szCs w:val="16"/>
          <w:lang w:val="pt-BR"/>
        </w:rPr>
        <w:t>nota 2</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w:t>
      </w:r>
      <w:r w:rsidRPr="002F50BD">
        <w:rPr>
          <w:rFonts w:ascii="Verdana" w:hAnsi="Verdana"/>
          <w:sz w:val="16"/>
          <w:szCs w:val="16"/>
          <w:lang w:val="pt-BR"/>
        </w:rPr>
        <w:t>par. 69;</w:t>
      </w:r>
      <w:r w:rsidRPr="002F50BD">
        <w:rPr>
          <w:rFonts w:ascii="Verdana" w:hAnsi="Verdana"/>
          <w:i/>
          <w:sz w:val="16"/>
          <w:szCs w:val="16"/>
          <w:lang w:val="pt-BR"/>
        </w:rPr>
        <w:t xml:space="preserve"> Caso Ricardo Canese</w:t>
      </w:r>
      <w:r w:rsidRPr="002F50BD">
        <w:rPr>
          <w:rFonts w:ascii="Verdana" w:hAnsi="Verdana"/>
          <w:sz w:val="16"/>
          <w:szCs w:val="16"/>
          <w:lang w:val="pt-BR"/>
        </w:rPr>
        <w:t xml:space="preserve">, </w:t>
      </w:r>
      <w:r w:rsidRPr="002F50BD">
        <w:rPr>
          <w:rFonts w:ascii="Verdana" w:hAnsi="Verdana"/>
          <w:color w:val="000000"/>
          <w:sz w:val="16"/>
          <w:szCs w:val="16"/>
          <w:lang w:val="pt-BR"/>
        </w:rPr>
        <w:t>nota 179</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w:t>
      </w:r>
      <w:r w:rsidRPr="002F50BD">
        <w:rPr>
          <w:rFonts w:ascii="Verdana" w:hAnsi="Verdana"/>
          <w:sz w:val="16"/>
          <w:szCs w:val="16"/>
          <w:lang w:val="pt-BR"/>
        </w:rPr>
        <w:t xml:space="preserve">par. 142, e </w:t>
      </w:r>
      <w:r w:rsidRPr="002F50BD">
        <w:rPr>
          <w:rFonts w:ascii="Verdana" w:hAnsi="Verdana"/>
          <w:i/>
          <w:color w:val="000000"/>
          <w:sz w:val="16"/>
          <w:szCs w:val="16"/>
          <w:lang w:val="pt-BR"/>
        </w:rPr>
        <w:t xml:space="preserve">Caso </w:t>
      </w:r>
      <w:r w:rsidRPr="002F50BD">
        <w:rPr>
          <w:rFonts w:ascii="Verdana" w:hAnsi="Verdana"/>
          <w:color w:val="000000"/>
          <w:sz w:val="16"/>
          <w:szCs w:val="16"/>
          <w:lang w:val="pt-BR"/>
        </w:rPr>
        <w:t>19</w:t>
      </w:r>
      <w:r w:rsidRPr="002F50BD">
        <w:rPr>
          <w:rFonts w:ascii="Verdana" w:hAnsi="Verdana"/>
          <w:i/>
          <w:color w:val="000000"/>
          <w:sz w:val="16"/>
          <w:szCs w:val="16"/>
          <w:lang w:val="pt-BR"/>
        </w:rPr>
        <w:t xml:space="preserve"> Comerciantes</w:t>
      </w:r>
      <w:r w:rsidRPr="002F50BD">
        <w:rPr>
          <w:rFonts w:ascii="Verdana" w:hAnsi="Verdana"/>
          <w:color w:val="000000"/>
          <w:sz w:val="16"/>
          <w:szCs w:val="16"/>
          <w:lang w:val="pt-BR"/>
        </w:rPr>
        <w:t>, nota 177</w:t>
      </w:r>
      <w:r w:rsidRPr="002F50BD">
        <w:rPr>
          <w:rFonts w:ascii="Verdana" w:hAnsi="Verdana"/>
          <w:i/>
          <w:color w:val="000000"/>
          <w:sz w:val="16"/>
          <w:szCs w:val="16"/>
          <w:lang w:val="pt-BR"/>
        </w:rPr>
        <w:t xml:space="preserve"> supra,</w:t>
      </w:r>
      <w:r w:rsidRPr="002F50BD">
        <w:rPr>
          <w:rFonts w:ascii="Verdana" w:hAnsi="Verdana"/>
          <w:color w:val="000000"/>
          <w:sz w:val="16"/>
          <w:szCs w:val="16"/>
          <w:lang w:val="pt-BR"/>
        </w:rPr>
        <w:t xml:space="preserve"> </w:t>
      </w:r>
      <w:r w:rsidRPr="002F50BD">
        <w:rPr>
          <w:rFonts w:ascii="Verdana" w:hAnsi="Verdana"/>
          <w:sz w:val="16"/>
          <w:szCs w:val="16"/>
          <w:lang w:val="pt-BR"/>
        </w:rPr>
        <w:t>par. 191.</w:t>
      </w:r>
    </w:p>
    <w:p w:rsidR="00CF451D" w:rsidRPr="002F50BD" w:rsidRDefault="00CF451D">
      <w:pPr>
        <w:pStyle w:val="FootnoteText"/>
        <w:jc w:val="both"/>
        <w:rPr>
          <w:rFonts w:ascii="Verdana" w:hAnsi="Verdana"/>
          <w:sz w:val="16"/>
          <w:szCs w:val="16"/>
          <w:lang w:val="pt-BR"/>
        </w:rPr>
      </w:pPr>
    </w:p>
  </w:footnote>
  <w:footnote w:id="18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das Irmãs Serrano Cruz</w:t>
      </w:r>
      <w:r w:rsidRPr="002F50BD">
        <w:rPr>
          <w:rFonts w:ascii="Verdana" w:hAnsi="Verdana"/>
          <w:sz w:val="16"/>
          <w:szCs w:val="16"/>
          <w:lang w:val="pt-BR"/>
        </w:rPr>
        <w:t xml:space="preserve">. </w:t>
      </w:r>
      <w:r w:rsidRPr="002F50BD">
        <w:rPr>
          <w:rFonts w:ascii="Verdana" w:hAnsi="Verdana"/>
          <w:i/>
          <w:sz w:val="16"/>
          <w:szCs w:val="16"/>
          <w:lang w:val="pt-BR"/>
        </w:rPr>
        <w:t>Exceções Preliminares</w:t>
      </w:r>
      <w:r w:rsidRPr="002F50BD">
        <w:rPr>
          <w:rFonts w:ascii="Verdana" w:hAnsi="Verdana"/>
          <w:sz w:val="16"/>
          <w:szCs w:val="16"/>
          <w:lang w:val="pt-BR"/>
        </w:rPr>
        <w:t xml:space="preserve">. Sentença de 23 de novembro de 2004. Série C Nº 118, par. 135; </w:t>
      </w:r>
      <w:r w:rsidRPr="002F50BD">
        <w:rPr>
          <w:rFonts w:ascii="Verdana" w:hAnsi="Verdana"/>
          <w:i/>
          <w:sz w:val="16"/>
          <w:szCs w:val="16"/>
          <w:lang w:val="pt-BR"/>
        </w:rPr>
        <w:t>Caso Tibi</w:t>
      </w:r>
      <w:r w:rsidRPr="002F50BD">
        <w:rPr>
          <w:rFonts w:ascii="Verdana" w:hAnsi="Verdana"/>
          <w:sz w:val="16"/>
          <w:szCs w:val="16"/>
          <w:lang w:val="pt-BR"/>
        </w:rPr>
        <w:t>, nota 179</w:t>
      </w:r>
      <w:r w:rsidRPr="002F50BD">
        <w:rPr>
          <w:rFonts w:ascii="Verdana" w:hAnsi="Verdana"/>
          <w:i/>
          <w:sz w:val="16"/>
          <w:szCs w:val="16"/>
          <w:lang w:val="pt-BR"/>
        </w:rPr>
        <w:t xml:space="preserve"> supra,</w:t>
      </w:r>
      <w:r w:rsidRPr="002F50BD">
        <w:rPr>
          <w:rFonts w:ascii="Verdana" w:hAnsi="Verdana"/>
          <w:sz w:val="16"/>
          <w:szCs w:val="16"/>
          <w:lang w:val="pt-BR"/>
        </w:rPr>
        <w:t xml:space="preserve"> párr. 49, e </w:t>
      </w:r>
      <w:r w:rsidRPr="002F50BD">
        <w:rPr>
          <w:rFonts w:ascii="Verdana" w:hAnsi="Verdana"/>
          <w:i/>
          <w:sz w:val="16"/>
          <w:szCs w:val="16"/>
          <w:lang w:val="pt-BR"/>
        </w:rPr>
        <w:t>Caso Herrera Ulloa</w:t>
      </w:r>
      <w:r w:rsidRPr="002F50BD">
        <w:rPr>
          <w:rFonts w:ascii="Verdana" w:hAnsi="Verdana"/>
          <w:sz w:val="16"/>
          <w:szCs w:val="16"/>
          <w:lang w:val="pt-BR"/>
        </w:rPr>
        <w:t>. Sentença de 2 de julho de</w:t>
      </w:r>
      <w:r>
        <w:rPr>
          <w:rFonts w:ascii="Verdana" w:hAnsi="Verdana"/>
          <w:sz w:val="16"/>
          <w:szCs w:val="16"/>
          <w:lang w:val="pt-BR"/>
        </w:rPr>
        <w:t xml:space="preserve"> </w:t>
      </w:r>
      <w:r w:rsidRPr="002F50BD">
        <w:rPr>
          <w:rFonts w:ascii="Verdana" w:hAnsi="Verdana"/>
          <w:sz w:val="16"/>
          <w:szCs w:val="16"/>
          <w:lang w:val="pt-BR"/>
        </w:rPr>
        <w:t>2004. Série C Nº 107, párr. 81.</w:t>
      </w:r>
    </w:p>
    <w:p w:rsidR="00CF451D" w:rsidRPr="002F50BD" w:rsidRDefault="00CF451D">
      <w:pPr>
        <w:pStyle w:val="FootnoteText"/>
        <w:jc w:val="both"/>
        <w:rPr>
          <w:rFonts w:ascii="Verdana" w:hAnsi="Verdana"/>
          <w:sz w:val="16"/>
          <w:szCs w:val="16"/>
          <w:lang w:val="pt-BR"/>
        </w:rPr>
      </w:pPr>
    </w:p>
  </w:footnote>
  <w:footnote w:id="18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w:t>
      </w:r>
      <w:r w:rsidRPr="002F50BD">
        <w:rPr>
          <w:rFonts w:ascii="Verdana" w:hAnsi="Verdana"/>
          <w:sz w:val="16"/>
          <w:szCs w:val="16"/>
          <w:lang w:val="pt-BR"/>
        </w:rPr>
        <w:t xml:space="preserve">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135; </w:t>
      </w:r>
      <w:r w:rsidRPr="002F50BD">
        <w:rPr>
          <w:rFonts w:ascii="Verdana" w:hAnsi="Verdana"/>
          <w:i/>
          <w:sz w:val="16"/>
          <w:szCs w:val="16"/>
          <w:lang w:val="pt-BR"/>
        </w:rPr>
        <w:t>Caso Ivcher Bronstein</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135,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Villagrán Morales e outros</w:t>
      </w:r>
      <w:r w:rsidRPr="00CF451D">
        <w:rPr>
          <w:rFonts w:ascii="Verdana" w:hAnsi="Verdana"/>
          <w:sz w:val="16"/>
          <w:szCs w:val="16"/>
          <w:lang w:val="pt-BR"/>
        </w:rPr>
        <w:t>)</w:t>
      </w:r>
      <w:r w:rsidRPr="002F50BD">
        <w:rPr>
          <w:rFonts w:ascii="Verdana" w:hAnsi="Verdana"/>
          <w:i/>
          <w:sz w:val="16"/>
          <w:szCs w:val="16"/>
          <w:lang w:val="pt-BR"/>
        </w:rPr>
        <w:t>.</w:t>
      </w:r>
      <w:r>
        <w:rPr>
          <w:rFonts w:ascii="Verdana" w:hAnsi="Verdana"/>
          <w:sz w:val="16"/>
          <w:szCs w:val="16"/>
          <w:lang w:val="pt-BR"/>
        </w:rPr>
        <w:t xml:space="preserve"> </w:t>
      </w:r>
      <w:r w:rsidRPr="002F50BD">
        <w:rPr>
          <w:rFonts w:ascii="Verdana" w:hAnsi="Verdana"/>
          <w:sz w:val="16"/>
          <w:szCs w:val="16"/>
          <w:lang w:val="pt-BR"/>
        </w:rPr>
        <w:t xml:space="preserve">Sentença de 19 de novembro de 1999. Série C Nº 63, par. 237. </w:t>
      </w:r>
    </w:p>
    <w:p w:rsidR="00CF451D" w:rsidRPr="002F50BD" w:rsidRDefault="00CF451D">
      <w:pPr>
        <w:pStyle w:val="FootnoteText"/>
        <w:jc w:val="both"/>
        <w:rPr>
          <w:rFonts w:ascii="Verdana" w:hAnsi="Verdana"/>
          <w:sz w:val="16"/>
          <w:szCs w:val="16"/>
          <w:lang w:val="pt-BR"/>
        </w:rPr>
      </w:pPr>
    </w:p>
  </w:footnote>
  <w:footnote w:id="18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Caesar</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93.</w:t>
      </w:r>
    </w:p>
    <w:p w:rsidR="00CF451D" w:rsidRPr="002F50BD" w:rsidRDefault="00CF451D">
      <w:pPr>
        <w:pStyle w:val="FootnoteText"/>
        <w:jc w:val="both"/>
        <w:rPr>
          <w:rFonts w:ascii="Verdana" w:hAnsi="Verdana"/>
          <w:sz w:val="16"/>
          <w:szCs w:val="16"/>
          <w:lang w:val="pt-BR"/>
        </w:rPr>
      </w:pPr>
    </w:p>
  </w:footnote>
  <w:footnote w:id="184">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Lori Berenson</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132; </w:t>
      </w:r>
      <w:r w:rsidRPr="002F50BD">
        <w:rPr>
          <w:rFonts w:ascii="Verdana" w:hAnsi="Verdana"/>
          <w:i/>
          <w:sz w:val="16"/>
          <w:szCs w:val="16"/>
          <w:lang w:val="pt-BR"/>
        </w:rPr>
        <w:t>Caso Herrera Ulloa</w:t>
      </w:r>
      <w:r w:rsidRPr="002F50BD">
        <w:rPr>
          <w:rFonts w:ascii="Verdana" w:hAnsi="Verdana"/>
          <w:sz w:val="16"/>
          <w:szCs w:val="16"/>
          <w:lang w:val="pt-BR"/>
        </w:rPr>
        <w:t>, nota 181</w:t>
      </w:r>
      <w:r w:rsidRPr="002F50BD">
        <w:rPr>
          <w:rFonts w:ascii="Verdana" w:hAnsi="Verdana"/>
          <w:i/>
          <w:sz w:val="16"/>
          <w:szCs w:val="16"/>
          <w:lang w:val="pt-BR"/>
        </w:rPr>
        <w:t xml:space="preserve"> supra,</w:t>
      </w:r>
      <w:r w:rsidRPr="002F50BD">
        <w:rPr>
          <w:rFonts w:ascii="Verdana" w:hAnsi="Verdana"/>
          <w:sz w:val="16"/>
          <w:szCs w:val="16"/>
          <w:lang w:val="pt-BR"/>
        </w:rPr>
        <w:t xml:space="preserve"> par. 147, e </w:t>
      </w:r>
      <w:r w:rsidRPr="002F50BD">
        <w:rPr>
          <w:rFonts w:ascii="Verdana" w:hAnsi="Verdana"/>
          <w:i/>
          <w:noProof/>
          <w:sz w:val="16"/>
          <w:szCs w:val="16"/>
          <w:lang w:val="pt-BR"/>
        </w:rPr>
        <w:t>Caso Maritza Urrutia</w:t>
      </w:r>
      <w:r w:rsidRPr="002F50BD">
        <w:rPr>
          <w:rFonts w:ascii="Verdana" w:hAnsi="Verdana"/>
          <w:noProof/>
          <w:sz w:val="16"/>
          <w:szCs w:val="16"/>
          <w:lang w:val="pt-BR"/>
        </w:rPr>
        <w:t>. Sentença de 27 de novembro de 2003. Série C Nº 103, par. 118.</w:t>
      </w:r>
    </w:p>
    <w:p w:rsidR="00CF451D" w:rsidRPr="002F50BD" w:rsidRDefault="00CF451D">
      <w:pPr>
        <w:pStyle w:val="FootnoteText"/>
        <w:jc w:val="both"/>
        <w:rPr>
          <w:rFonts w:ascii="Verdana" w:hAnsi="Verdana"/>
          <w:sz w:val="16"/>
          <w:szCs w:val="16"/>
          <w:lang w:val="pt-BR"/>
        </w:rPr>
      </w:pPr>
    </w:p>
  </w:footnote>
  <w:footnote w:id="185">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noProof/>
          <w:sz w:val="16"/>
          <w:szCs w:val="16"/>
          <w:lang w:val="pt-BR"/>
        </w:rPr>
        <w:t xml:space="preserve">Cf. </w:t>
      </w:r>
      <w:r w:rsidRPr="002F50BD">
        <w:rPr>
          <w:rFonts w:ascii="Verdana" w:hAnsi="Verdana"/>
          <w:i/>
          <w:sz w:val="16"/>
          <w:szCs w:val="16"/>
          <w:lang w:val="pt-BR"/>
        </w:rPr>
        <w:t>Caso Lori Berenson</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132; </w:t>
      </w:r>
      <w:r w:rsidRPr="002F50BD">
        <w:rPr>
          <w:rFonts w:ascii="Verdana" w:hAnsi="Verdana"/>
          <w:i/>
          <w:sz w:val="16"/>
          <w:szCs w:val="16"/>
          <w:lang w:val="pt-BR"/>
        </w:rPr>
        <w:t>Caso Herrera Ulloa</w:t>
      </w:r>
      <w:r w:rsidRPr="002F50BD">
        <w:rPr>
          <w:rFonts w:ascii="Verdana" w:hAnsi="Verdana"/>
          <w:sz w:val="16"/>
          <w:szCs w:val="16"/>
          <w:lang w:val="pt-BR"/>
        </w:rPr>
        <w:t>, nota 181</w:t>
      </w:r>
      <w:r w:rsidRPr="002F50BD">
        <w:rPr>
          <w:rFonts w:ascii="Verdana" w:hAnsi="Verdana"/>
          <w:i/>
          <w:sz w:val="16"/>
          <w:szCs w:val="16"/>
          <w:lang w:val="pt-BR"/>
        </w:rPr>
        <w:t xml:space="preserve"> supra,</w:t>
      </w:r>
      <w:r w:rsidRPr="002F50BD">
        <w:rPr>
          <w:rFonts w:ascii="Verdana" w:hAnsi="Verdana"/>
          <w:sz w:val="16"/>
          <w:szCs w:val="16"/>
          <w:lang w:val="pt-BR"/>
        </w:rPr>
        <w:t xml:space="preserve"> par. 147, e </w:t>
      </w:r>
      <w:r w:rsidRPr="002F50BD">
        <w:rPr>
          <w:rFonts w:ascii="Verdana" w:hAnsi="Verdana"/>
          <w:i/>
          <w:noProof/>
          <w:sz w:val="16"/>
          <w:szCs w:val="16"/>
          <w:lang w:val="pt-BR"/>
        </w:rPr>
        <w:t>Caso Maritza Urrutia</w:t>
      </w:r>
      <w:r w:rsidRPr="002F50BD">
        <w:rPr>
          <w:rFonts w:ascii="Verdana" w:hAnsi="Verdana"/>
          <w:noProof/>
          <w:sz w:val="16"/>
          <w:szCs w:val="16"/>
          <w:lang w:val="pt-BR"/>
        </w:rPr>
        <w:t>, nota 184</w:t>
      </w:r>
      <w:r w:rsidRPr="002F50BD">
        <w:rPr>
          <w:rFonts w:ascii="Verdana" w:hAnsi="Verdana"/>
          <w:i/>
          <w:noProof/>
          <w:sz w:val="16"/>
          <w:szCs w:val="16"/>
          <w:lang w:val="pt-BR"/>
        </w:rPr>
        <w:t xml:space="preserve"> supra,</w:t>
      </w:r>
      <w:r w:rsidRPr="002F50BD">
        <w:rPr>
          <w:rFonts w:ascii="Verdana" w:hAnsi="Verdana"/>
          <w:noProof/>
          <w:sz w:val="16"/>
          <w:szCs w:val="16"/>
          <w:lang w:val="pt-BR"/>
        </w:rPr>
        <w:t xml:space="preserve"> par. 118.</w:t>
      </w:r>
    </w:p>
    <w:p w:rsidR="00CF451D" w:rsidRPr="002F50BD" w:rsidRDefault="00CF451D">
      <w:pPr>
        <w:pStyle w:val="FootnoteText"/>
        <w:jc w:val="both"/>
        <w:rPr>
          <w:rFonts w:ascii="Verdana" w:hAnsi="Verdana"/>
          <w:sz w:val="16"/>
          <w:szCs w:val="16"/>
          <w:lang w:val="pt-BR"/>
        </w:rPr>
      </w:pPr>
    </w:p>
  </w:footnote>
  <w:footnote w:id="18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Lori Berenson</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133; </w:t>
      </w:r>
      <w:r w:rsidRPr="002F50BD">
        <w:rPr>
          <w:rFonts w:ascii="Verdana" w:hAnsi="Verdana"/>
          <w:i/>
          <w:sz w:val="16"/>
          <w:szCs w:val="16"/>
          <w:lang w:val="pt-BR"/>
        </w:rPr>
        <w:t>Caso Herrera Ulloa</w:t>
      </w:r>
      <w:r w:rsidRPr="002F50BD">
        <w:rPr>
          <w:rFonts w:ascii="Verdana" w:hAnsi="Verdana"/>
          <w:sz w:val="16"/>
          <w:szCs w:val="16"/>
          <w:lang w:val="pt-BR"/>
        </w:rPr>
        <w:t>, nota 181</w:t>
      </w:r>
      <w:r w:rsidRPr="002F50BD">
        <w:rPr>
          <w:rFonts w:ascii="Verdana" w:hAnsi="Verdana"/>
          <w:i/>
          <w:sz w:val="16"/>
          <w:szCs w:val="16"/>
          <w:lang w:val="pt-BR"/>
        </w:rPr>
        <w:t xml:space="preserve"> supra,</w:t>
      </w:r>
      <w:r w:rsidRPr="002F50BD">
        <w:rPr>
          <w:rFonts w:ascii="Verdana" w:hAnsi="Verdana"/>
          <w:sz w:val="16"/>
          <w:szCs w:val="16"/>
          <w:lang w:val="pt-BR"/>
        </w:rPr>
        <w:t xml:space="preserve"> par. 146, e </w:t>
      </w:r>
      <w:r w:rsidRPr="002F50BD">
        <w:rPr>
          <w:rFonts w:ascii="Verdana" w:hAnsi="Verdana"/>
          <w:i/>
          <w:noProof/>
          <w:sz w:val="16"/>
          <w:szCs w:val="16"/>
          <w:lang w:val="pt-BR"/>
        </w:rPr>
        <w:t>Caso Myrna Mack Chang</w:t>
      </w:r>
      <w:r w:rsidRPr="002F50BD">
        <w:rPr>
          <w:rFonts w:ascii="Verdana" w:hAnsi="Verdana"/>
          <w:noProof/>
          <w:sz w:val="16"/>
          <w:szCs w:val="16"/>
          <w:lang w:val="pt-BR"/>
        </w:rPr>
        <w:t>, nota 10</w:t>
      </w:r>
      <w:r w:rsidRPr="002F50BD">
        <w:rPr>
          <w:rFonts w:ascii="Verdana" w:hAnsi="Verdana"/>
          <w:i/>
          <w:noProof/>
          <w:sz w:val="16"/>
          <w:szCs w:val="16"/>
          <w:lang w:val="pt-BR"/>
        </w:rPr>
        <w:t xml:space="preserve"> supra,</w:t>
      </w:r>
      <w:r w:rsidRPr="002F50BD">
        <w:rPr>
          <w:rFonts w:ascii="Verdana" w:hAnsi="Verdana"/>
          <w:noProof/>
          <w:sz w:val="16"/>
          <w:szCs w:val="16"/>
          <w:lang w:val="pt-BR"/>
        </w:rPr>
        <w:t xml:space="preserve"> par. 200</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18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es-AR"/>
        </w:rPr>
        <w:tab/>
      </w:r>
      <w:r w:rsidRPr="002F50BD">
        <w:rPr>
          <w:rFonts w:ascii="Verdana" w:hAnsi="Verdana"/>
          <w:i/>
          <w:sz w:val="16"/>
          <w:szCs w:val="16"/>
          <w:lang w:val="es-AR"/>
        </w:rPr>
        <w:t>Cf. Caso Lori Berenson</w:t>
      </w:r>
      <w:r w:rsidRPr="002F50BD">
        <w:rPr>
          <w:rFonts w:ascii="Verdana" w:hAnsi="Verdana"/>
          <w:sz w:val="16"/>
          <w:szCs w:val="16"/>
          <w:lang w:val="es-AR"/>
        </w:rPr>
        <w:t>, nota 2</w:t>
      </w:r>
      <w:r w:rsidRPr="002F50BD">
        <w:rPr>
          <w:rFonts w:ascii="Verdana" w:hAnsi="Verdana"/>
          <w:i/>
          <w:sz w:val="16"/>
          <w:szCs w:val="16"/>
          <w:lang w:val="es-AR"/>
        </w:rPr>
        <w:t xml:space="preserve"> supra,</w:t>
      </w:r>
      <w:r w:rsidRPr="002F50BD">
        <w:rPr>
          <w:rFonts w:ascii="Verdana" w:hAnsi="Verdana"/>
          <w:sz w:val="16"/>
          <w:szCs w:val="16"/>
          <w:lang w:val="es-AR"/>
        </w:rPr>
        <w:t xml:space="preserve"> par. 133; </w:t>
      </w:r>
      <w:r w:rsidRPr="002F50BD">
        <w:rPr>
          <w:rFonts w:ascii="Verdana" w:hAnsi="Verdana"/>
          <w:i/>
          <w:sz w:val="16"/>
          <w:szCs w:val="16"/>
          <w:lang w:val="es-AR"/>
        </w:rPr>
        <w:t>Caso Juan Humberto Sánchez</w:t>
      </w:r>
      <w:r w:rsidRPr="002F50BD">
        <w:rPr>
          <w:rFonts w:ascii="Verdana" w:hAnsi="Verdana"/>
          <w:sz w:val="16"/>
          <w:szCs w:val="16"/>
          <w:lang w:val="es-AR"/>
        </w:rPr>
        <w:t xml:space="preserve">. </w:t>
      </w:r>
      <w:r w:rsidRPr="002F50BD">
        <w:rPr>
          <w:rFonts w:ascii="Verdana" w:hAnsi="Verdana"/>
          <w:sz w:val="16"/>
          <w:szCs w:val="16"/>
          <w:lang w:val="pt-BR"/>
        </w:rPr>
        <w:t>Sentença de 7 de junho</w:t>
      </w:r>
      <w:r>
        <w:rPr>
          <w:rFonts w:ascii="Verdana" w:hAnsi="Verdana"/>
          <w:sz w:val="16"/>
          <w:szCs w:val="16"/>
          <w:lang w:val="pt-BR"/>
        </w:rPr>
        <w:t xml:space="preserve"> </w:t>
      </w:r>
      <w:r w:rsidRPr="002F50BD">
        <w:rPr>
          <w:rFonts w:ascii="Verdana" w:hAnsi="Verdana"/>
          <w:sz w:val="16"/>
          <w:szCs w:val="16"/>
          <w:lang w:val="pt-BR"/>
        </w:rPr>
        <w:t xml:space="preserve">de 2003. Série C Nº 99, par. 120, e </w:t>
      </w:r>
      <w:r w:rsidRPr="002F50BD">
        <w:rPr>
          <w:rFonts w:ascii="Verdana" w:hAnsi="Verdana"/>
          <w:i/>
          <w:sz w:val="16"/>
          <w:szCs w:val="16"/>
          <w:lang w:val="pt-BR"/>
        </w:rPr>
        <w:t>Caso Bámaca Velásquez</w:t>
      </w:r>
      <w:r w:rsidRPr="002F50BD">
        <w:rPr>
          <w:rFonts w:ascii="Verdana" w:hAnsi="Verdana"/>
          <w:sz w:val="16"/>
          <w:szCs w:val="16"/>
          <w:lang w:val="pt-BR"/>
        </w:rPr>
        <w:t>, Sentença de 25 de novembro de 2000. Série C Nº 70, par. 189.</w:t>
      </w:r>
    </w:p>
    <w:p w:rsidR="00CF451D" w:rsidRPr="002F50BD" w:rsidRDefault="00CF451D">
      <w:pPr>
        <w:pStyle w:val="FootnoteText"/>
        <w:jc w:val="both"/>
        <w:rPr>
          <w:rFonts w:ascii="Verdana" w:hAnsi="Verdana"/>
          <w:sz w:val="16"/>
          <w:szCs w:val="16"/>
          <w:lang w:val="pt-BR"/>
        </w:rPr>
      </w:pPr>
    </w:p>
  </w:footnote>
  <w:footnote w:id="18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Tibi</w:t>
      </w:r>
      <w:r w:rsidRPr="002F50BD">
        <w:rPr>
          <w:rFonts w:ascii="Verdana" w:hAnsi="Verdana"/>
          <w:sz w:val="16"/>
          <w:szCs w:val="16"/>
          <w:lang w:val="pt-BR"/>
        </w:rPr>
        <w:t>,</w:t>
      </w:r>
      <w:r w:rsidRPr="002F50BD">
        <w:rPr>
          <w:rFonts w:ascii="Verdana" w:hAnsi="Verdana"/>
          <w:i/>
          <w:sz w:val="16"/>
          <w:szCs w:val="16"/>
          <w:lang w:val="pt-BR"/>
        </w:rPr>
        <w:t xml:space="preserve"> </w:t>
      </w:r>
      <w:r w:rsidRPr="002F50BD">
        <w:rPr>
          <w:rFonts w:ascii="Verdana" w:hAnsi="Verdana"/>
          <w:sz w:val="16"/>
          <w:szCs w:val="16"/>
          <w:lang w:val="pt-BR"/>
        </w:rPr>
        <w:t>nota 179</w:t>
      </w:r>
      <w:r w:rsidRPr="002F50BD">
        <w:rPr>
          <w:rFonts w:ascii="Verdana" w:hAnsi="Verdana"/>
          <w:i/>
          <w:sz w:val="16"/>
          <w:szCs w:val="16"/>
          <w:lang w:val="pt-BR"/>
        </w:rPr>
        <w:t xml:space="preserve"> supra,</w:t>
      </w:r>
      <w:r w:rsidRPr="002F50BD">
        <w:rPr>
          <w:rFonts w:ascii="Verdana" w:hAnsi="Verdana"/>
          <w:sz w:val="16"/>
          <w:szCs w:val="16"/>
          <w:lang w:val="pt-BR"/>
        </w:rPr>
        <w:t xml:space="preserve"> par. 194. </w:t>
      </w:r>
    </w:p>
    <w:p w:rsidR="00CF451D" w:rsidRPr="002F50BD" w:rsidRDefault="00CF451D">
      <w:pPr>
        <w:pStyle w:val="FootnoteText"/>
        <w:jc w:val="both"/>
        <w:rPr>
          <w:rFonts w:ascii="Verdana" w:hAnsi="Verdana"/>
          <w:sz w:val="16"/>
          <w:szCs w:val="16"/>
          <w:lang w:val="pt-BR"/>
        </w:rPr>
      </w:pPr>
    </w:p>
  </w:footnote>
  <w:footnote w:id="18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Lori Berenson</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184, e </w:t>
      </w:r>
      <w:r w:rsidRPr="002F50BD">
        <w:rPr>
          <w:rFonts w:ascii="Verdana" w:hAnsi="Verdana"/>
          <w:i/>
          <w:sz w:val="16"/>
          <w:szCs w:val="16"/>
          <w:lang w:val="pt-BR"/>
        </w:rPr>
        <w:t>Caso Castillo Petruzzi e outros</w:t>
      </w:r>
      <w:r w:rsidRPr="002F50BD">
        <w:rPr>
          <w:rFonts w:ascii="Verdana" w:hAnsi="Verdana"/>
          <w:sz w:val="16"/>
          <w:szCs w:val="16"/>
          <w:lang w:val="pt-BR"/>
        </w:rPr>
        <w:t>. Sentença de 30 de maio de 1999. Série C Nº 52, par. 154</w:t>
      </w:r>
    </w:p>
    <w:p w:rsidR="00CF451D" w:rsidRPr="002F50BD" w:rsidRDefault="00CF451D">
      <w:pPr>
        <w:pStyle w:val="FootnoteText"/>
        <w:jc w:val="both"/>
        <w:rPr>
          <w:rFonts w:ascii="Verdana" w:hAnsi="Verdana"/>
          <w:sz w:val="16"/>
          <w:szCs w:val="16"/>
          <w:lang w:val="pt-BR"/>
        </w:rPr>
      </w:pPr>
    </w:p>
  </w:footnote>
  <w:footnote w:id="19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Lori Berenson</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185; </w:t>
      </w:r>
      <w:r w:rsidRPr="002F50BD">
        <w:rPr>
          <w:rFonts w:ascii="Verdana" w:hAnsi="Verdana"/>
          <w:i/>
          <w:sz w:val="16"/>
          <w:szCs w:val="16"/>
          <w:lang w:val="pt-BR"/>
        </w:rPr>
        <w:t>Caso Ricardo Canese</w:t>
      </w:r>
      <w:r w:rsidRPr="002F50BD">
        <w:rPr>
          <w:rFonts w:ascii="Verdana" w:hAnsi="Verdana"/>
          <w:sz w:val="16"/>
          <w:szCs w:val="16"/>
          <w:lang w:val="pt-BR"/>
        </w:rPr>
        <w:t>, nota 179</w:t>
      </w:r>
      <w:r w:rsidRPr="002F50BD">
        <w:rPr>
          <w:rFonts w:ascii="Verdana" w:hAnsi="Verdana"/>
          <w:i/>
          <w:sz w:val="16"/>
          <w:szCs w:val="16"/>
          <w:lang w:val="pt-BR"/>
        </w:rPr>
        <w:t xml:space="preserve"> supra,</w:t>
      </w:r>
      <w:r w:rsidRPr="002F50BD">
        <w:rPr>
          <w:rFonts w:ascii="Verdana" w:hAnsi="Verdana"/>
          <w:sz w:val="16"/>
          <w:szCs w:val="16"/>
          <w:lang w:val="pt-BR"/>
        </w:rPr>
        <w:t xml:space="preserve"> par. 166, e </w:t>
      </w:r>
      <w:r w:rsidRPr="002F50BD">
        <w:rPr>
          <w:rFonts w:ascii="Verdana" w:hAnsi="Verdana"/>
          <w:i/>
          <w:sz w:val="16"/>
          <w:szCs w:val="16"/>
          <w:lang w:val="pt-BR"/>
        </w:rPr>
        <w:t>Caso Castillo Petruzzi e outros</w:t>
      </w:r>
      <w:r w:rsidRPr="002F50BD">
        <w:rPr>
          <w:rFonts w:ascii="Verdana" w:hAnsi="Verdana"/>
          <w:sz w:val="16"/>
          <w:szCs w:val="16"/>
          <w:lang w:val="pt-BR"/>
        </w:rPr>
        <w:t>, nota 189</w:t>
      </w:r>
      <w:r w:rsidRPr="002F50BD">
        <w:rPr>
          <w:rFonts w:ascii="Verdana" w:hAnsi="Verdana"/>
          <w:i/>
          <w:sz w:val="16"/>
          <w:szCs w:val="16"/>
          <w:lang w:val="pt-BR"/>
        </w:rPr>
        <w:t xml:space="preserve"> supra,</w:t>
      </w:r>
      <w:r w:rsidRPr="002F50BD">
        <w:rPr>
          <w:rFonts w:ascii="Verdana" w:hAnsi="Verdana"/>
          <w:sz w:val="16"/>
          <w:szCs w:val="16"/>
          <w:lang w:val="pt-BR"/>
        </w:rPr>
        <w:t xml:space="preserve"> par. 155.</w:t>
      </w:r>
    </w:p>
    <w:p w:rsidR="00CF451D" w:rsidRPr="002F50BD" w:rsidRDefault="00CF451D">
      <w:pPr>
        <w:pStyle w:val="FootnoteText"/>
        <w:jc w:val="both"/>
        <w:rPr>
          <w:rFonts w:ascii="Verdana" w:hAnsi="Verdana"/>
          <w:sz w:val="16"/>
          <w:szCs w:val="16"/>
          <w:lang w:val="pt-BR"/>
        </w:rPr>
      </w:pPr>
    </w:p>
  </w:footnote>
  <w:footnote w:id="19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148.</w:t>
      </w:r>
    </w:p>
  </w:footnote>
  <w:footnote w:id="192">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dos Irmãos Gómez Paquiyauri</w:t>
      </w:r>
      <w:r w:rsidRPr="002F50BD">
        <w:rPr>
          <w:rFonts w:ascii="Verdana" w:hAnsi="Verdana"/>
          <w:sz w:val="16"/>
          <w:szCs w:val="16"/>
          <w:lang w:val="pt-BR"/>
        </w:rPr>
        <w:t xml:space="preserve">. Sentença de 8 de julho de 2004. Série C Nº 110, párr. 165; </w:t>
      </w:r>
      <w:r w:rsidRPr="002F50BD">
        <w:rPr>
          <w:rFonts w:ascii="Verdana" w:hAnsi="Verdana"/>
          <w:i/>
          <w:sz w:val="16"/>
          <w:szCs w:val="16"/>
          <w:lang w:val="pt-BR"/>
        </w:rPr>
        <w:t xml:space="preserve">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146;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Villagrán Morales e outros</w:t>
      </w:r>
      <w:r w:rsidRPr="00CF451D">
        <w:rPr>
          <w:rFonts w:ascii="Verdana" w:hAnsi="Verdana"/>
          <w:sz w:val="16"/>
          <w:szCs w:val="16"/>
          <w:lang w:val="pt-BR"/>
        </w:rPr>
        <w:t>)</w:t>
      </w:r>
      <w:r w:rsidRPr="002F50BD">
        <w:rPr>
          <w:rFonts w:ascii="Verdana" w:hAnsi="Verdana"/>
          <w:i/>
          <w:sz w:val="16"/>
          <w:szCs w:val="16"/>
          <w:lang w:val="pt-BR"/>
        </w:rPr>
        <w:t xml:space="preserve">, </w:t>
      </w:r>
      <w:r w:rsidRPr="002F50BD">
        <w:rPr>
          <w:rFonts w:ascii="Verdana" w:hAnsi="Verdana"/>
          <w:sz w:val="16"/>
          <w:szCs w:val="16"/>
          <w:lang w:val="pt-BR"/>
        </w:rPr>
        <w:t>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 193, e o </w:t>
      </w:r>
      <w:r w:rsidRPr="002F50BD">
        <w:rPr>
          <w:rFonts w:ascii="Verdana" w:hAnsi="Verdana"/>
          <w:i/>
          <w:sz w:val="16"/>
          <w:szCs w:val="16"/>
          <w:lang w:val="pt-BR"/>
        </w:rPr>
        <w:t>Direito à Informação sobre a Assistência Consular no Marco das Garantias do Devido Processo Legal</w:t>
      </w:r>
      <w:r w:rsidRPr="002F50BD">
        <w:rPr>
          <w:rFonts w:ascii="Verdana" w:hAnsi="Verdana"/>
          <w:sz w:val="16"/>
          <w:szCs w:val="16"/>
          <w:lang w:val="pt-BR"/>
        </w:rPr>
        <w:t>. Parecer Consultivo OC-16/97 de 14 de novembro de 1997. Série A Nº 16, par. 114.</w:t>
      </w:r>
    </w:p>
    <w:p w:rsidR="00CF451D" w:rsidRPr="002F50BD" w:rsidRDefault="00CF451D">
      <w:pPr>
        <w:pStyle w:val="FootnoteText"/>
        <w:jc w:val="both"/>
        <w:rPr>
          <w:rFonts w:ascii="Verdana" w:hAnsi="Verdana"/>
          <w:sz w:val="16"/>
          <w:szCs w:val="16"/>
          <w:lang w:val="pt-BR"/>
        </w:rPr>
      </w:pPr>
    </w:p>
  </w:footnote>
  <w:footnote w:id="19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en-GB"/>
        </w:rPr>
        <w:tab/>
      </w:r>
      <w:r w:rsidRPr="002F50BD">
        <w:rPr>
          <w:rFonts w:ascii="Verdana" w:hAnsi="Verdana"/>
          <w:i/>
          <w:sz w:val="16"/>
          <w:szCs w:val="16"/>
          <w:lang w:val="en-GB"/>
        </w:rPr>
        <w:t xml:space="preserve">Cf. </w:t>
      </w:r>
      <w:r w:rsidRPr="002F50BD">
        <w:rPr>
          <w:rFonts w:ascii="Verdana" w:hAnsi="Verdana"/>
          <w:i/>
          <w:sz w:val="16"/>
          <w:szCs w:val="16"/>
          <w:lang w:val="en-US"/>
        </w:rPr>
        <w:t xml:space="preserve">Eur. Court H.R., </w:t>
      </w:r>
      <w:r w:rsidRPr="002F50BD">
        <w:rPr>
          <w:rFonts w:ascii="Verdana" w:hAnsi="Verdana"/>
          <w:i/>
          <w:sz w:val="16"/>
          <w:szCs w:val="16"/>
          <w:lang w:val="en-GB"/>
        </w:rPr>
        <w:t xml:space="preserve">Tyrer v. </w:t>
      </w:r>
      <w:proofErr w:type="gramStart"/>
      <w:r w:rsidRPr="002F50BD">
        <w:rPr>
          <w:rFonts w:ascii="Verdana" w:hAnsi="Verdana"/>
          <w:i/>
          <w:sz w:val="16"/>
          <w:szCs w:val="16"/>
          <w:lang w:val="en-GB"/>
        </w:rPr>
        <w:t>The United Kingdom</w:t>
      </w:r>
      <w:r w:rsidRPr="002F50BD">
        <w:rPr>
          <w:rFonts w:ascii="Verdana" w:hAnsi="Verdana"/>
          <w:i/>
          <w:sz w:val="16"/>
          <w:szCs w:val="16"/>
          <w:lang w:val="en-US"/>
        </w:rPr>
        <w:t xml:space="preserve">, </w:t>
      </w:r>
      <w:r w:rsidRPr="002F50BD">
        <w:rPr>
          <w:rFonts w:ascii="Verdana" w:hAnsi="Verdana"/>
          <w:sz w:val="16"/>
          <w:szCs w:val="16"/>
          <w:lang w:val="en-GB"/>
        </w:rPr>
        <w:t xml:space="preserve">5856/72, </w:t>
      </w:r>
      <w:r w:rsidRPr="002F50BD">
        <w:rPr>
          <w:rFonts w:ascii="Verdana" w:hAnsi="Verdana"/>
          <w:sz w:val="16"/>
          <w:szCs w:val="16"/>
          <w:lang w:val="en-US"/>
        </w:rPr>
        <w:t>judgment of 25 April 1978</w:t>
      </w:r>
      <w:r w:rsidRPr="002F50BD">
        <w:rPr>
          <w:rFonts w:ascii="Verdana" w:hAnsi="Verdana"/>
          <w:i/>
          <w:sz w:val="16"/>
          <w:szCs w:val="16"/>
          <w:lang w:val="en-US"/>
        </w:rPr>
        <w:t>.</w:t>
      </w:r>
      <w:proofErr w:type="gramEnd"/>
      <w:r w:rsidRPr="002F50BD">
        <w:rPr>
          <w:rFonts w:ascii="Verdana" w:hAnsi="Verdana"/>
          <w:i/>
          <w:sz w:val="16"/>
          <w:szCs w:val="16"/>
          <w:lang w:val="en-US"/>
        </w:rPr>
        <w:t xml:space="preserve"> </w:t>
      </w:r>
      <w:r w:rsidRPr="002F50BD">
        <w:rPr>
          <w:rFonts w:ascii="Verdana" w:hAnsi="Verdana"/>
          <w:sz w:val="16"/>
          <w:szCs w:val="16"/>
          <w:lang w:val="pt-BR"/>
        </w:rPr>
        <w:t>Series A nº A26, par. 31.</w:t>
      </w:r>
    </w:p>
    <w:p w:rsidR="00CF451D" w:rsidRPr="002F50BD" w:rsidRDefault="00CF451D">
      <w:pPr>
        <w:pStyle w:val="FootnoteText"/>
        <w:jc w:val="both"/>
        <w:rPr>
          <w:rFonts w:ascii="Verdana" w:hAnsi="Verdana"/>
          <w:sz w:val="16"/>
          <w:szCs w:val="16"/>
          <w:lang w:val="pt-BR"/>
        </w:rPr>
      </w:pPr>
    </w:p>
  </w:footnote>
  <w:footnote w:id="19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i/>
          <w:sz w:val="16"/>
          <w:szCs w:val="16"/>
          <w:lang w:val="pt-BR"/>
        </w:rPr>
        <w:tab/>
        <w:t xml:space="preserve">Cf. Caso Tibi, </w:t>
      </w:r>
      <w:r w:rsidRPr="002F50BD">
        <w:rPr>
          <w:rFonts w:ascii="Verdana" w:hAnsi="Verdana"/>
          <w:sz w:val="16"/>
          <w:szCs w:val="16"/>
          <w:lang w:val="pt-BR"/>
        </w:rPr>
        <w:t>nota 179</w:t>
      </w:r>
      <w:r w:rsidRPr="002F50BD">
        <w:rPr>
          <w:rFonts w:ascii="Verdana" w:hAnsi="Verdana"/>
          <w:i/>
          <w:sz w:val="16"/>
          <w:szCs w:val="16"/>
          <w:lang w:val="pt-BR"/>
        </w:rPr>
        <w:t xml:space="preserve"> supra,</w:t>
      </w:r>
      <w:r w:rsidRPr="002F50BD">
        <w:rPr>
          <w:rFonts w:ascii="Verdana" w:hAnsi="Verdana"/>
          <w:sz w:val="16"/>
          <w:szCs w:val="16"/>
          <w:lang w:val="pt-BR"/>
        </w:rPr>
        <w:t xml:space="preserve"> par. 144; </w:t>
      </w:r>
      <w:r w:rsidRPr="002F50BD">
        <w:rPr>
          <w:rFonts w:ascii="Verdana" w:hAnsi="Verdana"/>
          <w:i/>
          <w:sz w:val="16"/>
          <w:szCs w:val="16"/>
          <w:lang w:val="pt-BR"/>
        </w:rPr>
        <w:t>Caso dos Irmãos Gómez Paquiyauri</w:t>
      </w:r>
      <w:r w:rsidRPr="002F50BD">
        <w:rPr>
          <w:rFonts w:ascii="Verdana" w:hAnsi="Verdana"/>
          <w:sz w:val="16"/>
          <w:szCs w:val="16"/>
          <w:lang w:val="pt-BR"/>
        </w:rPr>
        <w:t>, nota 192</w:t>
      </w:r>
      <w:r w:rsidRPr="002F50BD">
        <w:rPr>
          <w:rFonts w:ascii="Verdana" w:hAnsi="Verdana"/>
          <w:i/>
          <w:sz w:val="16"/>
          <w:szCs w:val="16"/>
          <w:lang w:val="pt-BR"/>
        </w:rPr>
        <w:t xml:space="preserve"> supra,</w:t>
      </w:r>
      <w:r w:rsidRPr="002F50BD">
        <w:rPr>
          <w:rFonts w:ascii="Verdana" w:hAnsi="Verdana"/>
          <w:sz w:val="16"/>
          <w:szCs w:val="16"/>
          <w:lang w:val="pt-BR"/>
        </w:rPr>
        <w:t xml:space="preserve"> párr. </w:t>
      </w:r>
      <w:r w:rsidRPr="002F50BD">
        <w:rPr>
          <w:rFonts w:ascii="Verdana" w:hAnsi="Verdana"/>
          <w:sz w:val="16"/>
          <w:szCs w:val="16"/>
          <w:lang w:val="pt-BR"/>
        </w:rPr>
        <w:t xml:space="preserve">164;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Villagrán Morales e outros</w:t>
      </w:r>
      <w:r w:rsidRPr="00CF451D">
        <w:rPr>
          <w:rFonts w:ascii="Verdana" w:hAnsi="Verdana"/>
          <w:sz w:val="16"/>
          <w:szCs w:val="16"/>
          <w:lang w:val="pt-BR"/>
        </w:rPr>
        <w:t>)</w:t>
      </w:r>
      <w:r w:rsidRPr="002F50BD">
        <w:rPr>
          <w:rFonts w:ascii="Verdana" w:hAnsi="Verdana"/>
          <w:sz w:val="16"/>
          <w:szCs w:val="16"/>
          <w:lang w:val="pt-BR"/>
        </w:rPr>
        <w:t>, 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párrs. 192 e 193; e</w:t>
      </w:r>
      <w:r>
        <w:rPr>
          <w:rFonts w:ascii="Verdana" w:hAnsi="Verdana"/>
          <w:sz w:val="16"/>
          <w:szCs w:val="16"/>
          <w:lang w:val="pt-BR"/>
        </w:rPr>
        <w:t xml:space="preserve"> </w:t>
      </w:r>
      <w:r w:rsidRPr="002F50BD">
        <w:rPr>
          <w:rFonts w:ascii="Verdana" w:hAnsi="Verdana"/>
          <w:sz w:val="16"/>
          <w:szCs w:val="16"/>
          <w:lang w:val="pt-BR"/>
        </w:rPr>
        <w:t xml:space="preserve">o </w:t>
      </w:r>
      <w:r w:rsidRPr="002F50BD">
        <w:rPr>
          <w:rFonts w:ascii="Verdana" w:hAnsi="Verdana"/>
          <w:i/>
          <w:sz w:val="16"/>
          <w:szCs w:val="16"/>
          <w:lang w:val="pt-BR"/>
        </w:rPr>
        <w:t>Direito à Informação sobre a Assistência Consular no Marco de</w:t>
      </w:r>
      <w:r>
        <w:rPr>
          <w:rFonts w:ascii="Verdana" w:hAnsi="Verdana"/>
          <w:i/>
          <w:sz w:val="16"/>
          <w:szCs w:val="16"/>
          <w:lang w:val="pt-BR"/>
        </w:rPr>
        <w:t xml:space="preserve"> </w:t>
      </w:r>
      <w:r w:rsidRPr="002F50BD">
        <w:rPr>
          <w:rFonts w:ascii="Verdana" w:hAnsi="Verdana"/>
          <w:i/>
          <w:sz w:val="16"/>
          <w:szCs w:val="16"/>
          <w:lang w:val="pt-BR"/>
        </w:rPr>
        <w:t>as Garantias do Devido Processo Legal</w:t>
      </w:r>
      <w:r w:rsidRPr="002F50BD">
        <w:rPr>
          <w:rFonts w:ascii="Verdana" w:hAnsi="Verdana"/>
          <w:sz w:val="16"/>
          <w:szCs w:val="16"/>
          <w:lang w:val="pt-BR"/>
        </w:rPr>
        <w:t>, nota 191</w:t>
      </w:r>
      <w:r w:rsidRPr="002F50BD">
        <w:rPr>
          <w:rFonts w:ascii="Verdana" w:hAnsi="Verdana"/>
          <w:i/>
          <w:sz w:val="16"/>
          <w:szCs w:val="16"/>
          <w:lang w:val="pt-BR"/>
        </w:rPr>
        <w:t xml:space="preserve"> supra,</w:t>
      </w:r>
      <w:r w:rsidRPr="002F50BD">
        <w:rPr>
          <w:rFonts w:ascii="Verdana" w:hAnsi="Verdana"/>
          <w:sz w:val="16"/>
          <w:szCs w:val="16"/>
          <w:lang w:val="pt-BR"/>
        </w:rPr>
        <w:t xml:space="preserve"> par. 113.</w:t>
      </w:r>
    </w:p>
  </w:footnote>
  <w:footnote w:id="195">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Condição Jurídica e Direitos dos Migrantes Indocumentados</w:t>
      </w:r>
      <w:r w:rsidRPr="002F50BD">
        <w:rPr>
          <w:rFonts w:ascii="Verdana" w:hAnsi="Verdana"/>
          <w:sz w:val="16"/>
          <w:szCs w:val="16"/>
          <w:lang w:val="pt-BR"/>
        </w:rPr>
        <w:t>. Parecer Consultivo OC-18/03</w:t>
      </w:r>
      <w:r>
        <w:rPr>
          <w:rFonts w:ascii="Verdana" w:hAnsi="Verdana"/>
          <w:sz w:val="16"/>
          <w:szCs w:val="16"/>
          <w:lang w:val="pt-BR"/>
        </w:rPr>
        <w:t xml:space="preserve"> </w:t>
      </w:r>
      <w:r w:rsidRPr="002F50BD">
        <w:rPr>
          <w:rFonts w:ascii="Verdana" w:hAnsi="Verdana"/>
          <w:sz w:val="16"/>
          <w:szCs w:val="16"/>
          <w:lang w:val="pt-BR"/>
        </w:rPr>
        <w:t xml:space="preserve">de 17 de Setembro de 2003. Série A Nº 18, par. 120, e </w:t>
      </w:r>
      <w:r w:rsidRPr="002F50BD">
        <w:rPr>
          <w:rFonts w:ascii="Verdana" w:hAnsi="Verdana"/>
          <w:i/>
          <w:sz w:val="16"/>
          <w:szCs w:val="16"/>
          <w:lang w:val="pt-BR"/>
        </w:rPr>
        <w:t>Cf. O Direito à Informação sobre a Assistência Consular no Marco das Garantias do Devido Processo Legal</w:t>
      </w:r>
      <w:r w:rsidRPr="002F50BD">
        <w:rPr>
          <w:rFonts w:ascii="Verdana" w:hAnsi="Verdana"/>
          <w:sz w:val="16"/>
          <w:szCs w:val="16"/>
          <w:lang w:val="pt-BR"/>
        </w:rPr>
        <w:t>, nota 191</w:t>
      </w:r>
      <w:r w:rsidRPr="002F50BD">
        <w:rPr>
          <w:rFonts w:ascii="Verdana" w:hAnsi="Verdana"/>
          <w:i/>
          <w:sz w:val="16"/>
          <w:szCs w:val="16"/>
          <w:lang w:val="pt-BR"/>
        </w:rPr>
        <w:t xml:space="preserve"> supra,</w:t>
      </w:r>
      <w:r w:rsidRPr="002F50BD">
        <w:rPr>
          <w:rFonts w:ascii="Verdana" w:hAnsi="Verdana"/>
          <w:sz w:val="16"/>
          <w:szCs w:val="16"/>
          <w:lang w:val="pt-BR"/>
        </w:rPr>
        <w:t xml:space="preserve"> par. 115. </w:t>
      </w:r>
    </w:p>
  </w:footnote>
  <w:footnote w:id="196">
    <w:p w:rsidR="00CF451D" w:rsidRPr="002F50BD" w:rsidRDefault="00CF451D">
      <w:pPr>
        <w:pStyle w:val="FootnoteText"/>
        <w:jc w:val="both"/>
        <w:rPr>
          <w:rFonts w:ascii="Verdana" w:hAnsi="Verdana"/>
          <w:sz w:val="16"/>
          <w:szCs w:val="16"/>
          <w:lang w:val="pt-BR"/>
        </w:rPr>
      </w:pPr>
    </w:p>
    <w:p w:rsidR="00CF451D" w:rsidRPr="002F50BD" w:rsidRDefault="00CF4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do Massacre Plan de Sánchez</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art. 63.1 Convenção Americana sobre Direitos</w:t>
      </w:r>
      <w:r>
        <w:rPr>
          <w:rFonts w:ascii="Verdana" w:hAnsi="Verdana"/>
          <w:sz w:val="16"/>
          <w:szCs w:val="16"/>
          <w:lang w:val="pt-BR"/>
        </w:rPr>
        <w:t xml:space="preserve"> </w:t>
      </w:r>
      <w:r w:rsidRPr="002F50BD">
        <w:rPr>
          <w:rFonts w:ascii="Verdana" w:hAnsi="Verdana"/>
          <w:sz w:val="16"/>
          <w:szCs w:val="16"/>
          <w:lang w:val="pt-BR"/>
        </w:rPr>
        <w:t>Humanos</w:t>
      </w:r>
      <w:r w:rsidRPr="00CF451D">
        <w:rPr>
          <w:rFonts w:ascii="Verdana" w:hAnsi="Verdana"/>
          <w:sz w:val="16"/>
          <w:szCs w:val="16"/>
          <w:lang w:val="pt-BR"/>
        </w:rPr>
        <w:t>)</w:t>
      </w:r>
      <w:r w:rsidRPr="002F50BD">
        <w:rPr>
          <w:rFonts w:ascii="Verdana" w:hAnsi="Verdana"/>
          <w:sz w:val="16"/>
          <w:szCs w:val="16"/>
          <w:lang w:val="pt-BR"/>
        </w:rPr>
        <w:t>.</w:t>
      </w:r>
      <w:r w:rsidRPr="002F50BD">
        <w:rPr>
          <w:rFonts w:ascii="Verdana" w:hAnsi="Verdana"/>
          <w:b/>
          <w:i/>
          <w:sz w:val="16"/>
          <w:szCs w:val="16"/>
          <w:lang w:val="pt-BR"/>
        </w:rPr>
        <w:t xml:space="preserve"> </w:t>
      </w:r>
      <w:r w:rsidRPr="002F50BD">
        <w:rPr>
          <w:rFonts w:ascii="Verdana" w:hAnsi="Verdana"/>
          <w:sz w:val="16"/>
          <w:szCs w:val="16"/>
          <w:lang w:val="pt-BR"/>
        </w:rPr>
        <w:t xml:space="preserve">Sentença de 19 de novembro 2004. Série C Nº 116, par. 85, e </w:t>
      </w:r>
      <w:r w:rsidRPr="002F50BD">
        <w:rPr>
          <w:rFonts w:ascii="Verdana" w:hAnsi="Verdana"/>
          <w:i/>
          <w:sz w:val="16"/>
          <w:szCs w:val="16"/>
          <w:lang w:val="pt-BR"/>
        </w:rPr>
        <w:t xml:space="preserve">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149.</w:t>
      </w:r>
    </w:p>
    <w:p w:rsidR="00CF451D" w:rsidRPr="002F50BD" w:rsidRDefault="00CF451D">
      <w:pPr>
        <w:pStyle w:val="FootnoteText"/>
        <w:jc w:val="both"/>
        <w:rPr>
          <w:rFonts w:ascii="Verdana" w:hAnsi="Verdana"/>
          <w:sz w:val="16"/>
          <w:szCs w:val="16"/>
          <w:lang w:val="pt-BR"/>
        </w:rPr>
      </w:pPr>
    </w:p>
  </w:footnote>
  <w:footnote w:id="19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Cf. </w:t>
      </w:r>
      <w:r w:rsidRPr="002F50BD">
        <w:rPr>
          <w:rFonts w:ascii="Verdana" w:hAnsi="Verdana"/>
          <w:i/>
          <w:sz w:val="16"/>
          <w:szCs w:val="16"/>
          <w:lang w:val="pt-BR"/>
        </w:rPr>
        <w:t xml:space="preserve">Caso da Comunidade Mayagna </w:t>
      </w:r>
      <w:r w:rsidRPr="00CF451D">
        <w:rPr>
          <w:rFonts w:ascii="Verdana" w:hAnsi="Verdana"/>
          <w:sz w:val="16"/>
          <w:szCs w:val="16"/>
          <w:lang w:val="pt-BR"/>
        </w:rPr>
        <w:t>(</w:t>
      </w:r>
      <w:r w:rsidRPr="002F50BD">
        <w:rPr>
          <w:rFonts w:ascii="Verdana" w:hAnsi="Verdana"/>
          <w:i/>
          <w:sz w:val="16"/>
          <w:szCs w:val="16"/>
          <w:lang w:val="pt-BR"/>
        </w:rPr>
        <w:t>Sumo</w:t>
      </w:r>
      <w:r w:rsidRPr="00CF451D">
        <w:rPr>
          <w:rFonts w:ascii="Verdana" w:hAnsi="Verdana"/>
          <w:sz w:val="16"/>
          <w:szCs w:val="16"/>
          <w:lang w:val="pt-BR"/>
        </w:rPr>
        <w:t>)</w:t>
      </w:r>
      <w:r w:rsidRPr="002F50BD">
        <w:rPr>
          <w:rFonts w:ascii="Verdana" w:hAnsi="Verdana"/>
          <w:i/>
          <w:sz w:val="16"/>
          <w:szCs w:val="16"/>
          <w:lang w:val="pt-BR"/>
        </w:rPr>
        <w:t xml:space="preserve"> Awas Tingni</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144, e</w:t>
      </w:r>
      <w:r w:rsidRPr="002F50BD">
        <w:rPr>
          <w:rFonts w:ascii="Verdana" w:hAnsi="Verdana"/>
          <w:i/>
          <w:sz w:val="16"/>
          <w:szCs w:val="16"/>
          <w:lang w:val="pt-BR"/>
        </w:rPr>
        <w:t xml:space="preserve"> Caso Ivcher Bronstein, </w:t>
      </w:r>
      <w:r w:rsidRPr="002F50BD">
        <w:rPr>
          <w:rFonts w:ascii="Verdana" w:hAnsi="Verdana"/>
          <w:sz w:val="16"/>
          <w:szCs w:val="16"/>
          <w:lang w:val="pt-BR"/>
        </w:rPr>
        <w:t>nota 176</w:t>
      </w:r>
      <w:r w:rsidRPr="002F50BD">
        <w:rPr>
          <w:rFonts w:ascii="Verdana" w:hAnsi="Verdana"/>
          <w:i/>
          <w:sz w:val="16"/>
          <w:szCs w:val="16"/>
          <w:lang w:val="pt-BR"/>
        </w:rPr>
        <w:t xml:space="preserve"> supra, </w:t>
      </w:r>
      <w:r w:rsidRPr="002F50BD">
        <w:rPr>
          <w:rFonts w:ascii="Verdana" w:hAnsi="Verdana"/>
          <w:sz w:val="16"/>
          <w:szCs w:val="16"/>
          <w:lang w:val="pt-BR"/>
        </w:rPr>
        <w:t>par. 122.</w:t>
      </w:r>
    </w:p>
    <w:p w:rsidR="00CF451D" w:rsidRPr="002F50BD" w:rsidRDefault="00CF451D">
      <w:pPr>
        <w:pStyle w:val="FootnoteText"/>
        <w:jc w:val="both"/>
        <w:rPr>
          <w:rFonts w:ascii="Verdana" w:hAnsi="Verdana"/>
          <w:sz w:val="16"/>
          <w:szCs w:val="16"/>
          <w:lang w:val="pt-BR"/>
        </w:rPr>
      </w:pPr>
    </w:p>
  </w:footnote>
  <w:footnote w:id="19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CF451D">
        <w:rPr>
          <w:rFonts w:ascii="Verdana" w:hAnsi="Verdana"/>
          <w:sz w:val="16"/>
          <w:szCs w:val="16"/>
          <w:lang w:val="pt-BR"/>
        </w:rPr>
        <w:t>(</w:t>
      </w:r>
      <w:r w:rsidRPr="002F50BD">
        <w:rPr>
          <w:rFonts w:ascii="Verdana" w:hAnsi="Verdana"/>
          <w:i/>
          <w:sz w:val="16"/>
          <w:szCs w:val="16"/>
          <w:lang w:val="pt-BR"/>
        </w:rPr>
        <w:t>mutatis mutandi</w:t>
      </w:r>
      <w:r w:rsidRPr="00CF451D">
        <w:rPr>
          <w:rFonts w:ascii="Verdana" w:hAnsi="Verdana"/>
          <w:sz w:val="16"/>
          <w:szCs w:val="16"/>
          <w:lang w:val="pt-BR"/>
        </w:rPr>
        <w:t>)</w:t>
      </w:r>
      <w:r w:rsidRPr="002F50BD">
        <w:rPr>
          <w:rFonts w:ascii="Verdana" w:hAnsi="Verdana"/>
          <w:sz w:val="16"/>
          <w:szCs w:val="16"/>
          <w:lang w:val="pt-BR"/>
        </w:rPr>
        <w:t xml:space="preserve"> </w:t>
      </w:r>
      <w:r w:rsidRPr="002F50BD">
        <w:rPr>
          <w:rFonts w:ascii="Verdana" w:hAnsi="Verdana"/>
          <w:i/>
          <w:sz w:val="16"/>
          <w:szCs w:val="16"/>
          <w:lang w:val="pt-BR"/>
        </w:rPr>
        <w:t xml:space="preserve">Caso Ricardo Canese, </w:t>
      </w:r>
      <w:r w:rsidRPr="002F50BD">
        <w:rPr>
          <w:rFonts w:ascii="Verdana" w:hAnsi="Verdana"/>
          <w:sz w:val="16"/>
          <w:szCs w:val="16"/>
          <w:lang w:val="pt-BR"/>
        </w:rPr>
        <w:t>nota 179</w:t>
      </w:r>
      <w:r w:rsidRPr="002F50BD">
        <w:rPr>
          <w:rFonts w:ascii="Verdana" w:hAnsi="Verdana"/>
          <w:i/>
          <w:sz w:val="16"/>
          <w:szCs w:val="16"/>
          <w:lang w:val="pt-BR"/>
        </w:rPr>
        <w:t xml:space="preserve"> supra,</w:t>
      </w:r>
      <w:r w:rsidRPr="002F50BD">
        <w:rPr>
          <w:rFonts w:ascii="Verdana" w:hAnsi="Verdana"/>
          <w:sz w:val="16"/>
          <w:szCs w:val="16"/>
          <w:lang w:val="pt-BR"/>
        </w:rPr>
        <w:t xml:space="preserve"> par. </w:t>
      </w:r>
      <w:r w:rsidRPr="002F50BD">
        <w:rPr>
          <w:rFonts w:ascii="Verdana" w:hAnsi="Verdana"/>
          <w:sz w:val="16"/>
          <w:szCs w:val="16"/>
          <w:lang w:val="pt-BR"/>
        </w:rPr>
        <w:t xml:space="preserve">96; </w:t>
      </w:r>
      <w:r w:rsidRPr="002F50BD">
        <w:rPr>
          <w:rFonts w:ascii="Verdana" w:hAnsi="Verdana"/>
          <w:i/>
          <w:sz w:val="16"/>
          <w:szCs w:val="16"/>
          <w:lang w:val="pt-BR"/>
        </w:rPr>
        <w:t xml:space="preserve">Caso Herrera Ulloa, </w:t>
      </w:r>
      <w:r w:rsidRPr="002F50BD">
        <w:rPr>
          <w:rFonts w:ascii="Verdana" w:hAnsi="Verdana"/>
          <w:sz w:val="16"/>
          <w:szCs w:val="16"/>
          <w:lang w:val="pt-BR"/>
        </w:rPr>
        <w:t>nota 181</w:t>
      </w:r>
      <w:r w:rsidRPr="002F50BD">
        <w:rPr>
          <w:rFonts w:ascii="Verdana" w:hAnsi="Verdana"/>
          <w:i/>
          <w:sz w:val="16"/>
          <w:szCs w:val="16"/>
          <w:lang w:val="pt-BR"/>
        </w:rPr>
        <w:t xml:space="preserve"> supra,</w:t>
      </w:r>
      <w:r w:rsidRPr="002F50BD">
        <w:rPr>
          <w:rFonts w:ascii="Verdana" w:hAnsi="Verdana"/>
          <w:sz w:val="16"/>
          <w:szCs w:val="16"/>
          <w:lang w:val="pt-BR"/>
        </w:rPr>
        <w:t xml:space="preserve"> párr. 127, e </w:t>
      </w:r>
      <w:r w:rsidRPr="002F50BD">
        <w:rPr>
          <w:rFonts w:ascii="Verdana" w:hAnsi="Verdana"/>
          <w:i/>
          <w:sz w:val="16"/>
          <w:szCs w:val="16"/>
          <w:lang w:val="pt-BR"/>
        </w:rPr>
        <w:t xml:space="preserve">Caso Ivcher Bronstein, </w:t>
      </w:r>
      <w:r w:rsidRPr="002F50BD">
        <w:rPr>
          <w:rFonts w:ascii="Verdana" w:hAnsi="Verdana"/>
          <w:sz w:val="16"/>
          <w:szCs w:val="16"/>
          <w:lang w:val="pt-BR"/>
        </w:rPr>
        <w:t>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párr. 155.</w:t>
      </w:r>
    </w:p>
  </w:footnote>
  <w:footnote w:id="199">
    <w:p w:rsidR="00CF451D" w:rsidRPr="002F50BD" w:rsidRDefault="00CF451D">
      <w:pPr>
        <w:pStyle w:val="FootnoteText"/>
        <w:jc w:val="both"/>
        <w:rPr>
          <w:rFonts w:ascii="Verdana" w:hAnsi="Verdana"/>
          <w:sz w:val="16"/>
          <w:szCs w:val="16"/>
          <w:lang w:val="pt-BR"/>
        </w:rPr>
      </w:pPr>
    </w:p>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Juan Humberto Sánchez, </w:t>
      </w:r>
      <w:r w:rsidRPr="002F50BD">
        <w:rPr>
          <w:rFonts w:ascii="Verdana" w:hAnsi="Verdana"/>
          <w:sz w:val="16"/>
          <w:szCs w:val="16"/>
          <w:lang w:val="pt-BR"/>
        </w:rPr>
        <w:t>nota 187</w:t>
      </w:r>
      <w:r w:rsidRPr="002F50BD">
        <w:rPr>
          <w:rFonts w:ascii="Verdana" w:hAnsi="Verdana"/>
          <w:i/>
          <w:sz w:val="16"/>
          <w:szCs w:val="16"/>
          <w:lang w:val="pt-BR"/>
        </w:rPr>
        <w:t xml:space="preserve"> supra,</w:t>
      </w:r>
      <w:r w:rsidRPr="002F50BD">
        <w:rPr>
          <w:rFonts w:ascii="Verdana" w:hAnsi="Verdana"/>
          <w:sz w:val="16"/>
          <w:szCs w:val="16"/>
          <w:lang w:val="pt-BR"/>
        </w:rPr>
        <w:t xml:space="preserve"> par. 142; </w:t>
      </w:r>
      <w:r w:rsidRPr="002F50BD">
        <w:rPr>
          <w:rFonts w:ascii="Verdana" w:hAnsi="Verdana"/>
          <w:i/>
          <w:sz w:val="16"/>
          <w:szCs w:val="16"/>
          <w:lang w:val="pt-BR"/>
        </w:rPr>
        <w:t>Caso Ivcher Bronstein</w:t>
      </w:r>
      <w:r w:rsidRPr="002F50BD">
        <w:rPr>
          <w:rFonts w:ascii="Verdana" w:hAnsi="Verdana"/>
          <w:sz w:val="16"/>
          <w:szCs w:val="16"/>
          <w:lang w:val="pt-BR"/>
        </w:rPr>
        <w:t>, nota 176</w:t>
      </w:r>
      <w:r w:rsidRPr="002F50BD">
        <w:rPr>
          <w:rFonts w:ascii="Verdana" w:hAnsi="Verdana"/>
          <w:i/>
          <w:sz w:val="16"/>
          <w:szCs w:val="16"/>
          <w:lang w:val="pt-BR"/>
        </w:rPr>
        <w:t xml:space="preserve"> supra,</w:t>
      </w:r>
      <w:r w:rsidRPr="002F50BD">
        <w:rPr>
          <w:rFonts w:ascii="Verdana" w:hAnsi="Verdana"/>
          <w:sz w:val="16"/>
          <w:szCs w:val="16"/>
          <w:lang w:val="pt-BR"/>
        </w:rPr>
        <w:t xml:space="preserve"> par. 168, e </w:t>
      </w:r>
      <w:r w:rsidRPr="002F50BD">
        <w:rPr>
          <w:rFonts w:ascii="Verdana" w:hAnsi="Verdana"/>
          <w:i/>
          <w:sz w:val="16"/>
          <w:szCs w:val="16"/>
          <w:lang w:val="pt-BR"/>
        </w:rPr>
        <w:t>Caso do Tribunal Constitucional.</w:t>
      </w:r>
      <w:r w:rsidRPr="002F50BD">
        <w:rPr>
          <w:rFonts w:ascii="Verdana" w:hAnsi="Verdana"/>
          <w:sz w:val="16"/>
          <w:szCs w:val="16"/>
          <w:lang w:val="pt-BR"/>
        </w:rPr>
        <w:t xml:space="preserve"> Sentença de 31 de janeiro de 2001. Série C Nº 71, par. 109. </w:t>
      </w:r>
    </w:p>
    <w:p w:rsidR="00CF451D" w:rsidRPr="002F50BD" w:rsidRDefault="00CF451D">
      <w:pPr>
        <w:pStyle w:val="FootnoteText"/>
        <w:jc w:val="both"/>
        <w:rPr>
          <w:rFonts w:ascii="Verdana" w:hAnsi="Verdana"/>
          <w:sz w:val="16"/>
          <w:szCs w:val="16"/>
          <w:lang w:val="pt-BR"/>
        </w:rPr>
      </w:pPr>
    </w:p>
  </w:footnote>
  <w:footnote w:id="20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"Instituto de Reeducação do Menor". </w:t>
      </w:r>
      <w:r w:rsidRPr="002F50BD">
        <w:rPr>
          <w:rFonts w:ascii="Verdana" w:hAnsi="Verdana"/>
          <w:sz w:val="16"/>
          <w:szCs w:val="16"/>
          <w:lang w:val="pt-BR"/>
        </w:rPr>
        <w:t xml:space="preserve">Sentença de 2 de setembro de 2004. Série C Nº 112, par. 156; </w:t>
      </w:r>
      <w:r w:rsidRPr="002F50BD">
        <w:rPr>
          <w:rFonts w:ascii="Verdana" w:hAnsi="Verdana"/>
          <w:i/>
          <w:sz w:val="16"/>
          <w:szCs w:val="16"/>
          <w:lang w:val="pt-BR"/>
        </w:rPr>
        <w:t>Caso dos Irmãos Gómez Paquiyauri</w:t>
      </w:r>
      <w:r w:rsidRPr="002F50BD">
        <w:rPr>
          <w:rFonts w:ascii="Verdana" w:hAnsi="Verdana"/>
          <w:sz w:val="16"/>
          <w:szCs w:val="16"/>
          <w:lang w:val="pt-BR"/>
        </w:rPr>
        <w:t>, nota 192</w:t>
      </w:r>
      <w:r w:rsidRPr="002F50BD">
        <w:rPr>
          <w:rFonts w:ascii="Verdana" w:hAnsi="Verdana"/>
          <w:i/>
          <w:sz w:val="16"/>
          <w:szCs w:val="16"/>
          <w:lang w:val="pt-BR"/>
        </w:rPr>
        <w:t xml:space="preserve"> supra,</w:t>
      </w:r>
      <w:r w:rsidRPr="002F50BD">
        <w:rPr>
          <w:rFonts w:ascii="Verdana" w:hAnsi="Verdana"/>
          <w:sz w:val="16"/>
          <w:szCs w:val="16"/>
          <w:lang w:val="pt-BR"/>
        </w:rPr>
        <w:t xml:space="preserve"> par. 128; </w:t>
      </w:r>
      <w:r w:rsidRPr="002F50BD">
        <w:rPr>
          <w:rFonts w:ascii="Verdana" w:hAnsi="Verdana"/>
          <w:i/>
          <w:sz w:val="16"/>
          <w:szCs w:val="16"/>
          <w:lang w:val="pt-BR"/>
        </w:rPr>
        <w:t xml:space="preserve">Caso Myrna Mack Chang, </w:t>
      </w:r>
      <w:r w:rsidRPr="002F50BD">
        <w:rPr>
          <w:rFonts w:ascii="Verdana" w:hAnsi="Verdana"/>
          <w:sz w:val="16"/>
          <w:szCs w:val="16"/>
          <w:lang w:val="pt-BR"/>
        </w:rPr>
        <w:t>nota 10</w:t>
      </w:r>
      <w:r w:rsidRPr="002F50BD">
        <w:rPr>
          <w:rFonts w:ascii="Verdana" w:hAnsi="Verdana"/>
          <w:i/>
          <w:sz w:val="16"/>
          <w:szCs w:val="16"/>
          <w:lang w:val="pt-BR"/>
        </w:rPr>
        <w:t xml:space="preserve"> supra,</w:t>
      </w:r>
      <w:r w:rsidRPr="002F50BD">
        <w:rPr>
          <w:rFonts w:ascii="Verdana" w:hAnsi="Verdana"/>
          <w:sz w:val="16"/>
          <w:szCs w:val="16"/>
          <w:lang w:val="pt-BR"/>
        </w:rPr>
        <w:t xml:space="preserve"> par. 152,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Villagrán Morales e outros</w:t>
      </w:r>
      <w:r w:rsidRPr="00CF451D">
        <w:rPr>
          <w:rFonts w:ascii="Verdana" w:hAnsi="Verdana"/>
          <w:sz w:val="16"/>
          <w:szCs w:val="16"/>
          <w:lang w:val="pt-BR"/>
        </w:rPr>
        <w:t>)</w:t>
      </w:r>
      <w:r w:rsidRPr="002F50BD">
        <w:rPr>
          <w:rFonts w:ascii="Verdana" w:hAnsi="Verdana"/>
          <w:sz w:val="16"/>
          <w:szCs w:val="16"/>
          <w:lang w:val="pt-BR"/>
        </w:rPr>
        <w:t>, 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 144.</w:t>
      </w:r>
    </w:p>
    <w:p w:rsidR="00CF451D" w:rsidRPr="002F50BD" w:rsidRDefault="00CF451D">
      <w:pPr>
        <w:pStyle w:val="FootnoteText"/>
        <w:jc w:val="both"/>
        <w:rPr>
          <w:rFonts w:ascii="Verdana" w:hAnsi="Verdana"/>
          <w:sz w:val="16"/>
          <w:szCs w:val="16"/>
          <w:lang w:val="pt-BR"/>
        </w:rPr>
      </w:pPr>
    </w:p>
  </w:footnote>
  <w:footnote w:id="201">
    <w:p w:rsidR="00CF451D" w:rsidRPr="002F50BD" w:rsidRDefault="00CF451D">
      <w:pPr>
        <w:pStyle w:val="FootnoteText"/>
        <w:jc w:val="both"/>
        <w:rPr>
          <w:rFonts w:ascii="Verdana" w:hAnsi="Verdana"/>
          <w:i/>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"Instituto de Reeducação do Menor", </w:t>
      </w:r>
      <w:r w:rsidRPr="002F50BD">
        <w:rPr>
          <w:rFonts w:ascii="Verdana" w:hAnsi="Verdana"/>
          <w:sz w:val="16"/>
          <w:szCs w:val="16"/>
          <w:lang w:val="pt-BR"/>
        </w:rPr>
        <w:t>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156; </w:t>
      </w:r>
      <w:r w:rsidRPr="002F50BD">
        <w:rPr>
          <w:rFonts w:ascii="Verdana" w:hAnsi="Verdana"/>
          <w:i/>
          <w:sz w:val="16"/>
          <w:szCs w:val="16"/>
          <w:lang w:val="pt-BR"/>
        </w:rPr>
        <w:t>Caso dos Irmãos Gómez Paquiyauri</w:t>
      </w:r>
      <w:r w:rsidRPr="002F50BD">
        <w:rPr>
          <w:rFonts w:ascii="Verdana" w:hAnsi="Verdana"/>
          <w:sz w:val="16"/>
          <w:szCs w:val="16"/>
          <w:lang w:val="pt-BR"/>
        </w:rPr>
        <w:t>, nota 192</w:t>
      </w:r>
      <w:r w:rsidRPr="002F50BD">
        <w:rPr>
          <w:rFonts w:ascii="Verdana" w:hAnsi="Verdana"/>
          <w:i/>
          <w:sz w:val="16"/>
          <w:szCs w:val="16"/>
          <w:lang w:val="pt-BR"/>
        </w:rPr>
        <w:t xml:space="preserve"> supra,</w:t>
      </w:r>
      <w:r w:rsidRPr="002F50BD">
        <w:rPr>
          <w:rFonts w:ascii="Verdana" w:hAnsi="Verdana"/>
          <w:sz w:val="16"/>
          <w:szCs w:val="16"/>
          <w:lang w:val="pt-BR"/>
        </w:rPr>
        <w:t xml:space="preserve"> par. 128;</w:t>
      </w:r>
      <w:r w:rsidRPr="002F50BD">
        <w:rPr>
          <w:rFonts w:ascii="Verdana" w:hAnsi="Verdana"/>
          <w:i/>
          <w:sz w:val="16"/>
          <w:szCs w:val="16"/>
          <w:lang w:val="pt-BR"/>
        </w:rPr>
        <w:t xml:space="preserve"> Caso Myrna Mack Chang, </w:t>
      </w:r>
      <w:r w:rsidRPr="002F50BD">
        <w:rPr>
          <w:rFonts w:ascii="Verdana" w:hAnsi="Verdana"/>
          <w:sz w:val="16"/>
          <w:szCs w:val="16"/>
          <w:lang w:val="pt-BR"/>
        </w:rPr>
        <w:t>nota 10</w:t>
      </w:r>
      <w:r w:rsidRPr="002F50BD">
        <w:rPr>
          <w:rFonts w:ascii="Verdana" w:hAnsi="Verdana"/>
          <w:i/>
          <w:sz w:val="16"/>
          <w:szCs w:val="16"/>
          <w:lang w:val="pt-BR"/>
        </w:rPr>
        <w:t xml:space="preserve"> supra,</w:t>
      </w:r>
      <w:r w:rsidRPr="002F50BD">
        <w:rPr>
          <w:rFonts w:ascii="Verdana" w:hAnsi="Verdana"/>
          <w:sz w:val="16"/>
          <w:szCs w:val="16"/>
          <w:lang w:val="pt-BR"/>
        </w:rPr>
        <w:t xml:space="preserve"> par. 152,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Villagrán Morales e outros</w:t>
      </w:r>
      <w:r w:rsidRPr="00CF451D">
        <w:rPr>
          <w:rFonts w:ascii="Verdana" w:hAnsi="Verdana"/>
          <w:sz w:val="16"/>
          <w:szCs w:val="16"/>
          <w:lang w:val="pt-BR"/>
        </w:rPr>
        <w:t>)</w:t>
      </w:r>
      <w:r w:rsidRPr="002F50BD">
        <w:rPr>
          <w:rFonts w:ascii="Verdana" w:hAnsi="Verdana"/>
          <w:sz w:val="16"/>
          <w:szCs w:val="16"/>
          <w:lang w:val="pt-BR"/>
        </w:rPr>
        <w:t>, 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 144.</w:t>
      </w:r>
    </w:p>
    <w:p w:rsidR="00CF451D" w:rsidRPr="002F50BD" w:rsidRDefault="00CF451D">
      <w:pPr>
        <w:pStyle w:val="FootnoteText"/>
        <w:jc w:val="both"/>
        <w:rPr>
          <w:rFonts w:ascii="Verdana" w:hAnsi="Verdana"/>
          <w:sz w:val="16"/>
          <w:szCs w:val="16"/>
          <w:lang w:val="pt-BR"/>
        </w:rPr>
      </w:pPr>
    </w:p>
  </w:footnote>
  <w:footnote w:id="20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"Instituto de Reeducação do Menor"</w:t>
      </w:r>
      <w:r w:rsidRPr="002F50BD">
        <w:rPr>
          <w:rFonts w:ascii="Verdana" w:hAnsi="Verdana"/>
          <w:sz w:val="16"/>
          <w:szCs w:val="16"/>
          <w:lang w:val="pt-BR"/>
        </w:rPr>
        <w:t>, 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156; </w:t>
      </w:r>
      <w:r w:rsidRPr="002F50BD">
        <w:rPr>
          <w:rFonts w:ascii="Verdana" w:hAnsi="Verdana"/>
          <w:i/>
          <w:sz w:val="16"/>
          <w:szCs w:val="16"/>
          <w:lang w:val="pt-BR"/>
        </w:rPr>
        <w:t>Caso dos Irmãos Gómez Paquiyauri</w:t>
      </w:r>
      <w:r w:rsidRPr="002F50BD">
        <w:rPr>
          <w:rFonts w:ascii="Verdana" w:hAnsi="Verdana"/>
          <w:sz w:val="16"/>
          <w:szCs w:val="16"/>
          <w:lang w:val="pt-BR"/>
        </w:rPr>
        <w:t>, nota 192</w:t>
      </w:r>
      <w:r w:rsidRPr="002F50BD">
        <w:rPr>
          <w:rFonts w:ascii="Verdana" w:hAnsi="Verdana"/>
          <w:i/>
          <w:sz w:val="16"/>
          <w:szCs w:val="16"/>
          <w:lang w:val="pt-BR"/>
        </w:rPr>
        <w:t xml:space="preserve"> supra,</w:t>
      </w:r>
      <w:r w:rsidRPr="002F50BD">
        <w:rPr>
          <w:rFonts w:ascii="Verdana" w:hAnsi="Verdana"/>
          <w:sz w:val="16"/>
          <w:szCs w:val="16"/>
          <w:lang w:val="pt-BR"/>
        </w:rPr>
        <w:t xml:space="preserve"> par. 128;</w:t>
      </w:r>
      <w:r w:rsidRPr="002F50BD">
        <w:rPr>
          <w:rFonts w:ascii="Verdana" w:hAnsi="Verdana"/>
          <w:i/>
          <w:sz w:val="16"/>
          <w:szCs w:val="16"/>
          <w:lang w:val="pt-BR"/>
        </w:rPr>
        <w:t xml:space="preserve"> Caso Myrna Mack Chang, </w:t>
      </w:r>
      <w:r w:rsidRPr="002F50BD">
        <w:rPr>
          <w:rFonts w:ascii="Verdana" w:hAnsi="Verdana"/>
          <w:sz w:val="16"/>
          <w:szCs w:val="16"/>
          <w:lang w:val="pt-BR"/>
        </w:rPr>
        <w:t>nota 10</w:t>
      </w:r>
      <w:r w:rsidRPr="002F50BD">
        <w:rPr>
          <w:rFonts w:ascii="Verdana" w:hAnsi="Verdana"/>
          <w:i/>
          <w:sz w:val="16"/>
          <w:szCs w:val="16"/>
          <w:lang w:val="pt-BR"/>
        </w:rPr>
        <w:t xml:space="preserve"> supra,</w:t>
      </w:r>
      <w:r w:rsidRPr="002F50BD">
        <w:rPr>
          <w:rFonts w:ascii="Verdana" w:hAnsi="Verdana"/>
          <w:sz w:val="16"/>
          <w:szCs w:val="16"/>
          <w:lang w:val="pt-BR"/>
        </w:rPr>
        <w:t xml:space="preserve"> par. 152,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Villagrán Morales e outros</w:t>
      </w:r>
      <w:r w:rsidRPr="00CF451D">
        <w:rPr>
          <w:rFonts w:ascii="Verdana" w:hAnsi="Verdana"/>
          <w:sz w:val="16"/>
          <w:szCs w:val="16"/>
          <w:lang w:val="pt-BR"/>
        </w:rPr>
        <w:t>)</w:t>
      </w:r>
      <w:r w:rsidRPr="002F50BD">
        <w:rPr>
          <w:rFonts w:ascii="Verdana" w:hAnsi="Verdana"/>
          <w:sz w:val="16"/>
          <w:szCs w:val="16"/>
          <w:lang w:val="pt-BR"/>
        </w:rPr>
        <w:t>, 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 144.</w:t>
      </w:r>
    </w:p>
    <w:p w:rsidR="00CF451D" w:rsidRPr="002F50BD" w:rsidRDefault="00CF451D">
      <w:pPr>
        <w:pStyle w:val="FootnoteText"/>
        <w:jc w:val="both"/>
        <w:rPr>
          <w:rFonts w:ascii="Verdana" w:hAnsi="Verdana"/>
          <w:sz w:val="16"/>
          <w:szCs w:val="16"/>
          <w:lang w:val="pt-BR"/>
        </w:rPr>
      </w:pPr>
    </w:p>
  </w:footnote>
  <w:footnote w:id="20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"Instituto de Reeducação do Menor", </w:t>
      </w:r>
      <w:r w:rsidRPr="002F50BD">
        <w:rPr>
          <w:rFonts w:ascii="Verdana" w:hAnsi="Verdana"/>
          <w:sz w:val="16"/>
          <w:szCs w:val="16"/>
          <w:lang w:val="pt-BR"/>
        </w:rPr>
        <w:t>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159.</w:t>
      </w:r>
    </w:p>
    <w:p w:rsidR="00CF451D" w:rsidRPr="002F50BD" w:rsidRDefault="00CF451D">
      <w:pPr>
        <w:pStyle w:val="FootnoteText"/>
        <w:jc w:val="both"/>
        <w:rPr>
          <w:rFonts w:ascii="Verdana" w:hAnsi="Verdana"/>
          <w:sz w:val="16"/>
          <w:szCs w:val="16"/>
          <w:lang w:val="pt-BR"/>
        </w:rPr>
      </w:pPr>
    </w:p>
  </w:footnote>
  <w:footnote w:id="20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O Paraguai ratificou o Protocolo Adicional à Convenção Americana sobre Direitos Humanos em matéria de Direitos Econômicos, Sociais e Culturais em 3 de junho de 1997. O Protocolo entrou em vigência internacional em 16 de novembro de 1999.</w:t>
      </w:r>
    </w:p>
    <w:p w:rsidR="00CF451D" w:rsidRPr="002F50BD" w:rsidRDefault="00CF451D">
      <w:pPr>
        <w:pStyle w:val="FootnoteText"/>
        <w:jc w:val="both"/>
        <w:rPr>
          <w:rFonts w:ascii="Verdana" w:hAnsi="Verdana"/>
          <w:sz w:val="16"/>
          <w:szCs w:val="16"/>
          <w:lang w:val="pt-BR"/>
        </w:rPr>
      </w:pPr>
      <w:r w:rsidRPr="002F50BD">
        <w:rPr>
          <w:rFonts w:ascii="Verdana" w:hAnsi="Verdana"/>
          <w:sz w:val="16"/>
          <w:szCs w:val="16"/>
          <w:lang w:val="pt-BR"/>
        </w:rPr>
        <w:t xml:space="preserve"> </w:t>
      </w:r>
    </w:p>
  </w:footnote>
  <w:footnote w:id="20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UN. Doc. E/C.12/2000/4. O direito de desfrutar do mais alto nível possível de saúde </w:t>
      </w:r>
      <w:r w:rsidRPr="00CF451D">
        <w:rPr>
          <w:rFonts w:ascii="Verdana" w:hAnsi="Verdana"/>
          <w:sz w:val="16"/>
          <w:szCs w:val="16"/>
          <w:lang w:val="pt-BR"/>
        </w:rPr>
        <w:t>(</w:t>
      </w:r>
      <w:r w:rsidRPr="002F50BD">
        <w:rPr>
          <w:rFonts w:ascii="Verdana" w:hAnsi="Verdana"/>
          <w:sz w:val="16"/>
          <w:szCs w:val="16"/>
          <w:lang w:val="pt-BR"/>
        </w:rPr>
        <w:t>artigo 12 do Pacto Internacional de Direitos Econômicos, Sociais e Culturais</w:t>
      </w:r>
      <w:r w:rsidRPr="00CF451D">
        <w:rPr>
          <w:rFonts w:ascii="Verdana" w:hAnsi="Verdana"/>
          <w:sz w:val="16"/>
          <w:szCs w:val="16"/>
          <w:lang w:val="pt-BR"/>
        </w:rPr>
        <w:t>)</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22º período de sessões, 2000</w:t>
      </w:r>
      <w:r w:rsidRPr="00CF451D">
        <w:rPr>
          <w:rFonts w:ascii="Verdana" w:hAnsi="Verdana"/>
          <w:sz w:val="16"/>
          <w:szCs w:val="16"/>
          <w:lang w:val="pt-BR"/>
        </w:rPr>
        <w:t>)</w:t>
      </w:r>
      <w:r w:rsidRPr="002F50BD">
        <w:rPr>
          <w:rFonts w:ascii="Verdana" w:hAnsi="Verdana"/>
          <w:sz w:val="16"/>
          <w:szCs w:val="16"/>
          <w:lang w:val="pt-BR"/>
        </w:rPr>
        <w:t>, par. 27.</w:t>
      </w:r>
    </w:p>
    <w:p w:rsidR="00CF451D" w:rsidRPr="002F50BD" w:rsidRDefault="00CF451D">
      <w:pPr>
        <w:pStyle w:val="FootnoteText"/>
        <w:jc w:val="both"/>
        <w:rPr>
          <w:rFonts w:ascii="Verdana" w:hAnsi="Verdana"/>
          <w:sz w:val="16"/>
          <w:szCs w:val="16"/>
          <w:lang w:val="pt-BR"/>
        </w:rPr>
      </w:pPr>
    </w:p>
  </w:footnote>
  <w:footnote w:id="20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U.N. Doc. E/C.12/1999/5. O direito a uma alimentação adequada </w:t>
      </w:r>
      <w:r w:rsidRPr="00CF451D">
        <w:rPr>
          <w:rFonts w:ascii="Verdana" w:hAnsi="Verdana"/>
          <w:sz w:val="16"/>
          <w:szCs w:val="16"/>
          <w:lang w:val="pt-BR"/>
        </w:rPr>
        <w:t>(</w:t>
      </w:r>
      <w:r w:rsidRPr="002F50BD">
        <w:rPr>
          <w:rFonts w:ascii="Verdana" w:hAnsi="Verdana"/>
          <w:sz w:val="16"/>
          <w:szCs w:val="16"/>
          <w:lang w:val="pt-BR"/>
        </w:rPr>
        <w:t>art. 11</w:t>
      </w:r>
      <w:r w:rsidRPr="00CF451D">
        <w:rPr>
          <w:rFonts w:ascii="Verdana" w:hAnsi="Verdana"/>
          <w:sz w:val="16"/>
          <w:szCs w:val="16"/>
          <w:lang w:val="pt-BR"/>
        </w:rPr>
        <w:t>)</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20º período de sessões, 1999</w:t>
      </w:r>
      <w:r w:rsidRPr="00CF451D">
        <w:rPr>
          <w:rFonts w:ascii="Verdana" w:hAnsi="Verdana"/>
          <w:sz w:val="16"/>
          <w:szCs w:val="16"/>
          <w:lang w:val="pt-BR"/>
        </w:rPr>
        <w:t>)</w:t>
      </w:r>
      <w:r w:rsidRPr="002F50BD">
        <w:rPr>
          <w:rFonts w:ascii="Verdana" w:hAnsi="Verdana"/>
          <w:sz w:val="16"/>
          <w:szCs w:val="16"/>
          <w:lang w:val="pt-BR"/>
        </w:rPr>
        <w:t xml:space="preserve">, par. 13, e U.N. Doc. HRI/GEN/1/Rev.7 at 117. O direito à água </w:t>
      </w:r>
      <w:r w:rsidRPr="00CF451D">
        <w:rPr>
          <w:rFonts w:ascii="Verdana" w:hAnsi="Verdana"/>
          <w:sz w:val="16"/>
          <w:szCs w:val="16"/>
          <w:lang w:val="pt-BR"/>
        </w:rPr>
        <w:t>(</w:t>
      </w:r>
      <w:r w:rsidRPr="002F50BD">
        <w:rPr>
          <w:rFonts w:ascii="Verdana" w:hAnsi="Verdana"/>
          <w:sz w:val="16"/>
          <w:szCs w:val="16"/>
          <w:lang w:val="pt-BR"/>
        </w:rPr>
        <w:t>artigos 11 e 12 do Pacto Internacional de Direitos Econômicos, Sociais e Culturais</w:t>
      </w:r>
      <w:r w:rsidRPr="00CF451D">
        <w:rPr>
          <w:rFonts w:ascii="Verdana" w:hAnsi="Verdana"/>
          <w:sz w:val="16"/>
          <w:szCs w:val="16"/>
          <w:lang w:val="pt-BR"/>
        </w:rPr>
        <w:t>)</w:t>
      </w:r>
      <w:r w:rsidRPr="002F50BD">
        <w:rPr>
          <w:rFonts w:ascii="Verdana" w:hAnsi="Verdana"/>
          <w:sz w:val="16"/>
          <w:szCs w:val="16"/>
          <w:lang w:val="pt-BR"/>
        </w:rPr>
        <w:t xml:space="preserve">, </w:t>
      </w:r>
      <w:r w:rsidRPr="00CF451D">
        <w:rPr>
          <w:rFonts w:ascii="Verdana" w:hAnsi="Verdana"/>
          <w:sz w:val="16"/>
          <w:szCs w:val="16"/>
          <w:lang w:val="pt-BR"/>
        </w:rPr>
        <w:t>(</w:t>
      </w:r>
      <w:r w:rsidRPr="002F50BD">
        <w:rPr>
          <w:rFonts w:ascii="Verdana" w:hAnsi="Verdana"/>
          <w:sz w:val="16"/>
          <w:szCs w:val="16"/>
          <w:lang w:val="pt-BR"/>
        </w:rPr>
        <w:t>29º período de sessões 2002</w:t>
      </w:r>
      <w:r w:rsidRPr="00CF451D">
        <w:rPr>
          <w:rFonts w:ascii="Verdana" w:hAnsi="Verdana"/>
          <w:sz w:val="16"/>
          <w:szCs w:val="16"/>
          <w:lang w:val="pt-BR"/>
        </w:rPr>
        <w:t>)</w:t>
      </w:r>
      <w:r w:rsidRPr="002F50BD">
        <w:rPr>
          <w:rFonts w:ascii="Verdana" w:hAnsi="Verdana"/>
          <w:sz w:val="16"/>
          <w:szCs w:val="16"/>
          <w:lang w:val="pt-BR"/>
        </w:rPr>
        <w:t>, par. 16.</w:t>
      </w:r>
    </w:p>
  </w:footnote>
  <w:footnote w:id="20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"Instituto de Reeducação do Menor", </w:t>
      </w:r>
      <w:r w:rsidRPr="002F50BD">
        <w:rPr>
          <w:rFonts w:ascii="Verdana" w:hAnsi="Verdana"/>
          <w:sz w:val="16"/>
          <w:szCs w:val="16"/>
          <w:lang w:val="pt-BR"/>
        </w:rPr>
        <w:t>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160; </w:t>
      </w:r>
      <w:r w:rsidRPr="002F50BD">
        <w:rPr>
          <w:rFonts w:ascii="Verdana" w:hAnsi="Verdana"/>
          <w:i/>
          <w:sz w:val="16"/>
          <w:szCs w:val="16"/>
          <w:lang w:val="pt-BR"/>
        </w:rPr>
        <w:t>Caso dos Irmãos Gómez Paquiyauri</w:t>
      </w:r>
      <w:r w:rsidRPr="002F50BD">
        <w:rPr>
          <w:rFonts w:ascii="Verdana" w:hAnsi="Verdana"/>
          <w:sz w:val="16"/>
          <w:szCs w:val="16"/>
          <w:lang w:val="pt-BR"/>
        </w:rPr>
        <w:t>, nota 192</w:t>
      </w:r>
      <w:r w:rsidRPr="002F50BD">
        <w:rPr>
          <w:rFonts w:ascii="Verdana" w:hAnsi="Verdana"/>
          <w:i/>
          <w:sz w:val="16"/>
          <w:szCs w:val="16"/>
          <w:lang w:val="pt-BR"/>
        </w:rPr>
        <w:t xml:space="preserve"> supra,</w:t>
      </w:r>
      <w:r w:rsidRPr="002F50BD">
        <w:rPr>
          <w:rFonts w:ascii="Verdana" w:hAnsi="Verdana"/>
          <w:sz w:val="16"/>
          <w:szCs w:val="16"/>
          <w:lang w:val="pt-BR"/>
        </w:rPr>
        <w:t xml:space="preserve"> pars. 124, 163-164, e 171; </w:t>
      </w:r>
      <w:r w:rsidRPr="002F50BD">
        <w:rPr>
          <w:rFonts w:ascii="Verdana" w:hAnsi="Verdana"/>
          <w:i/>
          <w:sz w:val="16"/>
          <w:szCs w:val="16"/>
          <w:lang w:val="pt-BR"/>
        </w:rPr>
        <w:t>Caso Bulacio</w:t>
      </w:r>
      <w:r w:rsidRPr="002F50BD">
        <w:rPr>
          <w:rFonts w:ascii="Verdana" w:hAnsi="Verdana"/>
          <w:sz w:val="16"/>
          <w:szCs w:val="16"/>
          <w:lang w:val="pt-BR"/>
        </w:rPr>
        <w:t>, nota 10</w:t>
      </w:r>
      <w:r w:rsidRPr="002F50BD">
        <w:rPr>
          <w:rFonts w:ascii="Verdana" w:hAnsi="Verdana"/>
          <w:i/>
          <w:sz w:val="16"/>
          <w:szCs w:val="16"/>
          <w:lang w:val="pt-BR"/>
        </w:rPr>
        <w:t xml:space="preserve"> supra,</w:t>
      </w:r>
      <w:r w:rsidRPr="002F50BD">
        <w:rPr>
          <w:rFonts w:ascii="Verdana" w:hAnsi="Verdana"/>
          <w:sz w:val="16"/>
          <w:szCs w:val="16"/>
          <w:lang w:val="pt-BR"/>
        </w:rPr>
        <w:t xml:space="preserve"> pars. 126 e 134;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Villagrán Morales e outros</w:t>
      </w:r>
      <w:r w:rsidRPr="00CF451D">
        <w:rPr>
          <w:rFonts w:ascii="Verdana" w:hAnsi="Verdana"/>
          <w:sz w:val="16"/>
          <w:szCs w:val="16"/>
          <w:lang w:val="pt-BR"/>
        </w:rPr>
        <w:t>)</w:t>
      </w:r>
      <w:r w:rsidRPr="002F50BD">
        <w:rPr>
          <w:rFonts w:ascii="Verdana" w:hAnsi="Verdana"/>
          <w:i/>
          <w:sz w:val="16"/>
          <w:szCs w:val="16"/>
          <w:lang w:val="pt-BR"/>
        </w:rPr>
        <w:t xml:space="preserve">, </w:t>
      </w:r>
      <w:r w:rsidRPr="002F50BD">
        <w:rPr>
          <w:rFonts w:ascii="Verdana" w:hAnsi="Verdana"/>
          <w:sz w:val="16"/>
          <w:szCs w:val="16"/>
          <w:lang w:val="pt-BR"/>
        </w:rPr>
        <w:t>nota 182</w:t>
      </w:r>
      <w:r w:rsidRPr="002F50BD">
        <w:rPr>
          <w:rFonts w:ascii="Verdana" w:hAnsi="Verdana"/>
          <w:i/>
          <w:sz w:val="16"/>
          <w:szCs w:val="16"/>
          <w:lang w:val="pt-BR"/>
        </w:rPr>
        <w:t xml:space="preserve"> supra,</w:t>
      </w:r>
      <w:r w:rsidRPr="002F50BD">
        <w:rPr>
          <w:rFonts w:ascii="Verdana" w:hAnsi="Verdana"/>
          <w:sz w:val="16"/>
          <w:szCs w:val="16"/>
          <w:lang w:val="pt-BR"/>
        </w:rPr>
        <w:t xml:space="preserve"> pars. 146 e 191. No mesmo sentido, </w:t>
      </w:r>
      <w:r w:rsidRPr="002F50BD">
        <w:rPr>
          <w:rFonts w:ascii="Verdana" w:hAnsi="Verdana"/>
          <w:i/>
          <w:sz w:val="16"/>
          <w:szCs w:val="16"/>
          <w:lang w:val="pt-BR"/>
        </w:rPr>
        <w:t xml:space="preserve">Cf. Condição Jurídica e Direitos Humanos da Criança. </w:t>
      </w:r>
      <w:r w:rsidRPr="002F50BD">
        <w:rPr>
          <w:rFonts w:ascii="Verdana" w:hAnsi="Verdana"/>
          <w:sz w:val="16"/>
          <w:szCs w:val="16"/>
          <w:lang w:val="pt-BR"/>
        </w:rPr>
        <w:t>Parecer Consultivo OC-17/02 de 28 de agosto de 2002. Série A Nº 17, pars. 56 e 60.</w:t>
      </w:r>
    </w:p>
    <w:p w:rsidR="00CF451D" w:rsidRPr="002F50BD" w:rsidRDefault="00CF451D">
      <w:pPr>
        <w:pStyle w:val="FootnoteText"/>
        <w:jc w:val="both"/>
        <w:rPr>
          <w:rFonts w:ascii="Verdana" w:hAnsi="Verdana"/>
          <w:sz w:val="16"/>
          <w:szCs w:val="16"/>
          <w:lang w:val="pt-BR"/>
        </w:rPr>
      </w:pPr>
    </w:p>
  </w:footnote>
  <w:footnote w:id="20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"Instituto de Reeducação do Menor", </w:t>
      </w:r>
      <w:r w:rsidRPr="002F50BD">
        <w:rPr>
          <w:rFonts w:ascii="Verdana" w:hAnsi="Verdana"/>
          <w:sz w:val="16"/>
          <w:szCs w:val="16"/>
          <w:lang w:val="pt-BR"/>
        </w:rPr>
        <w:t>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160;</w:t>
      </w:r>
      <w:r w:rsidRPr="002F50BD">
        <w:rPr>
          <w:rFonts w:ascii="Verdana" w:hAnsi="Verdana"/>
          <w:i/>
          <w:sz w:val="16"/>
          <w:szCs w:val="16"/>
          <w:lang w:val="pt-BR"/>
        </w:rPr>
        <w:t xml:space="preserve"> Condição Jurídica e Direitos Humanos da Criança, </w:t>
      </w:r>
      <w:r w:rsidRPr="002F50BD">
        <w:rPr>
          <w:rFonts w:ascii="Verdana" w:hAnsi="Verdana"/>
          <w:sz w:val="16"/>
          <w:szCs w:val="16"/>
          <w:lang w:val="pt-BR"/>
        </w:rPr>
        <w:t>nota 207</w:t>
      </w:r>
      <w:r w:rsidRPr="002F50BD">
        <w:rPr>
          <w:rFonts w:ascii="Verdana" w:hAnsi="Verdana"/>
          <w:i/>
          <w:sz w:val="16"/>
          <w:szCs w:val="16"/>
          <w:lang w:val="pt-BR"/>
        </w:rPr>
        <w:t xml:space="preserve"> supra, </w:t>
      </w:r>
      <w:r w:rsidRPr="002F50BD">
        <w:rPr>
          <w:rFonts w:ascii="Verdana" w:hAnsi="Verdana"/>
          <w:sz w:val="16"/>
          <w:szCs w:val="16"/>
          <w:lang w:val="pt-BR"/>
        </w:rPr>
        <w:t xml:space="preserve">pars. 80-81, 84, e 86-88, e </w:t>
      </w:r>
      <w:r w:rsidRPr="002F50BD">
        <w:rPr>
          <w:rFonts w:ascii="Verdana" w:hAnsi="Verdana"/>
          <w:i/>
          <w:sz w:val="16"/>
          <w:szCs w:val="16"/>
          <w:lang w:val="pt-BR"/>
        </w:rPr>
        <w:t xml:space="preserve">Caso das “Crianças de Rua” </w:t>
      </w:r>
      <w:r w:rsidRPr="00CF451D">
        <w:rPr>
          <w:rFonts w:ascii="Verdana" w:hAnsi="Verdana"/>
          <w:sz w:val="16"/>
          <w:szCs w:val="16"/>
          <w:lang w:val="pt-BR"/>
        </w:rPr>
        <w:t>(</w:t>
      </w:r>
      <w:r w:rsidRPr="002F50BD">
        <w:rPr>
          <w:rFonts w:ascii="Verdana" w:hAnsi="Verdana"/>
          <w:i/>
          <w:sz w:val="16"/>
          <w:szCs w:val="16"/>
          <w:lang w:val="pt-BR"/>
        </w:rPr>
        <w:t>Villagrán Morales e outros</w:t>
      </w:r>
      <w:r w:rsidRPr="00CF451D">
        <w:rPr>
          <w:rFonts w:ascii="Verdana" w:hAnsi="Verdana"/>
          <w:sz w:val="16"/>
          <w:szCs w:val="16"/>
          <w:lang w:val="pt-BR"/>
        </w:rPr>
        <w:t>)</w:t>
      </w:r>
      <w:r w:rsidRPr="002F50BD">
        <w:rPr>
          <w:rFonts w:ascii="Verdana" w:hAnsi="Verdana"/>
          <w:i/>
          <w:sz w:val="16"/>
          <w:szCs w:val="16"/>
          <w:lang w:val="pt-BR"/>
        </w:rPr>
        <w:t xml:space="preserve">, </w:t>
      </w:r>
      <w:r w:rsidRPr="002F50BD">
        <w:rPr>
          <w:rFonts w:ascii="Verdana" w:hAnsi="Verdana"/>
          <w:sz w:val="16"/>
          <w:szCs w:val="16"/>
          <w:lang w:val="pt-BR"/>
        </w:rPr>
        <w:t>nota 182</w:t>
      </w:r>
      <w:r w:rsidRPr="002F50BD">
        <w:rPr>
          <w:rFonts w:ascii="Verdana" w:hAnsi="Verdana"/>
          <w:i/>
          <w:sz w:val="16"/>
          <w:szCs w:val="16"/>
          <w:lang w:val="pt-BR"/>
        </w:rPr>
        <w:t xml:space="preserve"> supra, </w:t>
      </w:r>
      <w:r w:rsidRPr="002F50BD">
        <w:rPr>
          <w:rFonts w:ascii="Verdana" w:hAnsi="Verdana"/>
          <w:sz w:val="16"/>
          <w:szCs w:val="16"/>
          <w:lang w:val="pt-BR"/>
        </w:rPr>
        <w:t>par. 196.</w:t>
      </w:r>
    </w:p>
    <w:p w:rsidR="00CF451D" w:rsidRPr="002F50BD" w:rsidRDefault="00CF451D">
      <w:pPr>
        <w:pStyle w:val="FootnoteText"/>
        <w:jc w:val="both"/>
        <w:rPr>
          <w:rFonts w:ascii="Verdana" w:hAnsi="Verdana"/>
          <w:sz w:val="16"/>
          <w:szCs w:val="16"/>
          <w:lang w:val="pt-BR"/>
        </w:rPr>
      </w:pPr>
    </w:p>
  </w:footnote>
  <w:footnote w:id="20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par. 120</w:t>
      </w:r>
      <w:r w:rsidRPr="002F50BD">
        <w:rPr>
          <w:rFonts w:ascii="Verdana" w:hAnsi="Verdana"/>
          <w:i/>
          <w:sz w:val="16"/>
          <w:szCs w:val="16"/>
          <w:lang w:val="pt-BR"/>
        </w:rPr>
        <w:t>; Caso Huilca Tecse.</w:t>
      </w:r>
      <w:r>
        <w:rPr>
          <w:rFonts w:ascii="Verdana" w:hAnsi="Verdana"/>
          <w:i/>
          <w:sz w:val="16"/>
          <w:szCs w:val="16"/>
          <w:lang w:val="pt-BR"/>
        </w:rPr>
        <w:t xml:space="preserve"> </w:t>
      </w:r>
      <w:r w:rsidRPr="002F50BD">
        <w:rPr>
          <w:rFonts w:ascii="Verdana" w:hAnsi="Verdana"/>
          <w:sz w:val="16"/>
          <w:szCs w:val="16"/>
          <w:lang w:val="pt-BR"/>
        </w:rPr>
        <w:t>Sentença de 3 de março de 2005</w:t>
      </w:r>
      <w:r w:rsidRPr="002F50BD">
        <w:rPr>
          <w:rFonts w:ascii="Verdana" w:hAnsi="Verdana"/>
          <w:i/>
          <w:sz w:val="16"/>
          <w:szCs w:val="16"/>
          <w:lang w:val="pt-BR"/>
        </w:rPr>
        <w:t xml:space="preserve">. </w:t>
      </w:r>
      <w:r w:rsidRPr="002F50BD">
        <w:rPr>
          <w:rFonts w:ascii="Verdana" w:hAnsi="Verdana"/>
          <w:sz w:val="16"/>
          <w:szCs w:val="16"/>
          <w:lang w:val="pt-BR"/>
        </w:rPr>
        <w:t xml:space="preserve">Série C Nº 121, par. 86,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133. </w:t>
      </w:r>
    </w:p>
    <w:p w:rsidR="00CF451D" w:rsidRPr="002F50BD" w:rsidRDefault="00CF451D">
      <w:pPr>
        <w:pStyle w:val="FootnoteText"/>
        <w:jc w:val="both"/>
        <w:rPr>
          <w:rFonts w:ascii="Verdana" w:hAnsi="Verdana"/>
          <w:sz w:val="16"/>
          <w:szCs w:val="16"/>
          <w:lang w:val="pt-BR"/>
        </w:rPr>
      </w:pPr>
    </w:p>
  </w:footnote>
  <w:footnote w:id="21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Caesar</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121; </w:t>
      </w:r>
      <w:r w:rsidRPr="002F50BD">
        <w:rPr>
          <w:rFonts w:ascii="Verdana" w:hAnsi="Verdana"/>
          <w:i/>
          <w:sz w:val="16"/>
          <w:szCs w:val="16"/>
          <w:lang w:val="pt-BR"/>
        </w:rPr>
        <w:t>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87,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134.</w:t>
      </w:r>
    </w:p>
    <w:p w:rsidR="00CF451D" w:rsidRPr="002F50BD" w:rsidRDefault="00CF451D">
      <w:pPr>
        <w:pStyle w:val="FootnoteText"/>
        <w:jc w:val="both"/>
        <w:rPr>
          <w:rFonts w:ascii="Verdana" w:hAnsi="Verdana"/>
          <w:sz w:val="16"/>
          <w:szCs w:val="16"/>
          <w:lang w:val="pt-BR"/>
        </w:rPr>
      </w:pPr>
    </w:p>
  </w:footnote>
  <w:footnote w:id="21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122;</w:t>
      </w:r>
      <w:r w:rsidRPr="002F50BD">
        <w:rPr>
          <w:rFonts w:ascii="Verdana" w:hAnsi="Verdana"/>
          <w:i/>
          <w:sz w:val="16"/>
          <w:szCs w:val="16"/>
          <w:lang w:val="pt-BR"/>
        </w:rPr>
        <w:t xml:space="preserve">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88,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135. </w:t>
      </w:r>
    </w:p>
    <w:p w:rsidR="00CF451D" w:rsidRPr="002F50BD" w:rsidRDefault="00CF451D">
      <w:pPr>
        <w:pStyle w:val="FootnoteText"/>
        <w:jc w:val="both"/>
        <w:rPr>
          <w:rFonts w:ascii="Verdana" w:hAnsi="Verdana"/>
          <w:sz w:val="16"/>
          <w:szCs w:val="16"/>
          <w:lang w:val="pt-BR"/>
        </w:rPr>
      </w:pPr>
    </w:p>
  </w:footnote>
  <w:footnote w:id="21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122;</w:t>
      </w:r>
      <w:r w:rsidRPr="002F50BD">
        <w:rPr>
          <w:rFonts w:ascii="Verdana" w:hAnsi="Verdana"/>
          <w:i/>
          <w:sz w:val="16"/>
          <w:szCs w:val="16"/>
          <w:lang w:val="pt-BR"/>
        </w:rPr>
        <w:t xml:space="preserve">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88,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135.</w:t>
      </w:r>
    </w:p>
    <w:p w:rsidR="00CF451D" w:rsidRPr="002F50BD" w:rsidRDefault="00CF451D">
      <w:pPr>
        <w:pStyle w:val="FootnoteText"/>
        <w:jc w:val="both"/>
        <w:rPr>
          <w:rFonts w:ascii="Verdana" w:hAnsi="Verdana"/>
          <w:sz w:val="16"/>
          <w:szCs w:val="16"/>
          <w:lang w:val="pt-BR"/>
        </w:rPr>
      </w:pPr>
    </w:p>
  </w:footnote>
  <w:footnote w:id="21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123;</w:t>
      </w:r>
      <w:r w:rsidRPr="002F50BD">
        <w:rPr>
          <w:rFonts w:ascii="Verdana" w:hAnsi="Verdana"/>
          <w:i/>
          <w:sz w:val="16"/>
          <w:szCs w:val="16"/>
          <w:lang w:val="pt-BR"/>
        </w:rPr>
        <w:t xml:space="preserve">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89,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136.</w:t>
      </w:r>
    </w:p>
    <w:p w:rsidR="00CF451D" w:rsidRPr="002F50BD" w:rsidRDefault="00CF451D">
      <w:pPr>
        <w:pStyle w:val="FootnoteText"/>
        <w:jc w:val="both"/>
        <w:rPr>
          <w:rFonts w:ascii="Verdana" w:hAnsi="Verdana"/>
          <w:sz w:val="16"/>
          <w:szCs w:val="16"/>
          <w:lang w:val="pt-BR"/>
        </w:rPr>
      </w:pPr>
      <w:r w:rsidRPr="002F50BD">
        <w:rPr>
          <w:rFonts w:ascii="Verdana" w:hAnsi="Verdana"/>
          <w:sz w:val="16"/>
          <w:szCs w:val="16"/>
          <w:lang w:val="pt-BR"/>
        </w:rPr>
        <w:t xml:space="preserve"> </w:t>
      </w:r>
    </w:p>
  </w:footnote>
  <w:footnote w:id="21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do Massacre Plan de Sánchez. Reparações,</w:t>
      </w:r>
      <w:r w:rsidRPr="002F50BD">
        <w:rPr>
          <w:rFonts w:ascii="Verdana" w:hAnsi="Verdana"/>
          <w:sz w:val="16"/>
          <w:szCs w:val="16"/>
          <w:lang w:val="pt-BR"/>
        </w:rPr>
        <w:t xml:space="preserve"> </w:t>
      </w:r>
      <w:r w:rsidRPr="002F50BD">
        <w:rPr>
          <w:rFonts w:ascii="Verdana" w:hAnsi="Verdana"/>
          <w:noProof/>
          <w:sz w:val="16"/>
          <w:szCs w:val="16"/>
          <w:lang w:val="pt-BR"/>
        </w:rPr>
        <w:t>nota 196</w:t>
      </w:r>
      <w:r w:rsidRPr="002F50BD">
        <w:rPr>
          <w:rFonts w:ascii="Verdana" w:hAnsi="Verdana"/>
          <w:i/>
          <w:noProof/>
          <w:sz w:val="16"/>
          <w:szCs w:val="16"/>
          <w:lang w:val="pt-BR"/>
        </w:rPr>
        <w:t xml:space="preserve"> supra,</w:t>
      </w:r>
      <w:r w:rsidRPr="002F50BD">
        <w:rPr>
          <w:rFonts w:ascii="Verdana" w:hAnsi="Verdana"/>
          <w:noProof/>
          <w:sz w:val="16"/>
          <w:szCs w:val="16"/>
          <w:lang w:val="pt-BR"/>
        </w:rPr>
        <w:t xml:space="preserve"> </w:t>
      </w:r>
      <w:r w:rsidRPr="002F50BD">
        <w:rPr>
          <w:rFonts w:ascii="Verdana" w:hAnsi="Verdana"/>
          <w:sz w:val="16"/>
          <w:szCs w:val="16"/>
          <w:lang w:val="pt-BR"/>
        </w:rPr>
        <w:t>par. 86.</w:t>
      </w:r>
    </w:p>
    <w:p w:rsidR="00CF451D" w:rsidRPr="002F50BD" w:rsidRDefault="00CF451D">
      <w:pPr>
        <w:pStyle w:val="FootnoteText"/>
        <w:ind w:firstLine="720"/>
        <w:jc w:val="both"/>
        <w:rPr>
          <w:rFonts w:ascii="Verdana" w:hAnsi="Verdana"/>
          <w:sz w:val="16"/>
          <w:szCs w:val="16"/>
          <w:lang w:val="pt-BR"/>
        </w:rPr>
      </w:pPr>
      <w:r w:rsidRPr="002F50BD">
        <w:rPr>
          <w:rFonts w:ascii="Verdana" w:hAnsi="Verdana"/>
          <w:sz w:val="16"/>
          <w:szCs w:val="16"/>
          <w:lang w:val="pt-BR"/>
        </w:rPr>
        <w:t xml:space="preserve"> </w:t>
      </w:r>
    </w:p>
  </w:footnote>
  <w:footnote w:id="21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93; </w:t>
      </w:r>
      <w:r w:rsidRPr="002F50BD">
        <w:rPr>
          <w:rFonts w:ascii="Verdana" w:hAnsi="Verdana"/>
          <w:i/>
          <w:sz w:val="16"/>
          <w:szCs w:val="16"/>
          <w:lang w:val="pt-BR"/>
        </w:rPr>
        <w:t xml:space="preserve">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150, e</w:t>
      </w:r>
      <w:r w:rsidRPr="002F50BD">
        <w:rPr>
          <w:rFonts w:ascii="Verdana" w:hAnsi="Verdana"/>
          <w:i/>
          <w:sz w:val="16"/>
          <w:szCs w:val="16"/>
          <w:lang w:val="pt-BR"/>
        </w:rPr>
        <w:t xml:space="preserve"> Caso “Instituto de Reeducação do Menor”</w:t>
      </w:r>
      <w:r w:rsidRPr="002F50BD">
        <w:rPr>
          <w:rFonts w:ascii="Verdana" w:hAnsi="Verdana"/>
          <w:sz w:val="16"/>
          <w:szCs w:val="16"/>
          <w:lang w:val="pt-BR"/>
        </w:rPr>
        <w:t>, nota 200</w:t>
      </w:r>
      <w:r w:rsidRPr="002F50BD">
        <w:rPr>
          <w:rFonts w:ascii="Verdana" w:hAnsi="Verdana"/>
          <w:i/>
          <w:sz w:val="16"/>
          <w:szCs w:val="16"/>
          <w:lang w:val="pt-BR"/>
        </w:rPr>
        <w:t xml:space="preserve"> supra,</w:t>
      </w:r>
      <w:r w:rsidRPr="002F50BD">
        <w:rPr>
          <w:rFonts w:ascii="Verdana" w:hAnsi="Verdana"/>
          <w:sz w:val="16"/>
          <w:szCs w:val="16"/>
          <w:lang w:val="pt-BR"/>
        </w:rPr>
        <w:t xml:space="preserve"> par. 283</w:t>
      </w:r>
      <w:r w:rsidRPr="002F50BD">
        <w:rPr>
          <w:rFonts w:ascii="Verdana" w:hAnsi="Verdana"/>
          <w:color w:val="000000"/>
          <w:sz w:val="16"/>
          <w:szCs w:val="16"/>
          <w:lang w:val="pt-BR"/>
        </w:rPr>
        <w:t>.</w:t>
      </w:r>
    </w:p>
    <w:p w:rsidR="00CF451D" w:rsidRPr="002F50BD" w:rsidRDefault="00CF451D">
      <w:pPr>
        <w:pStyle w:val="FootnoteText"/>
        <w:jc w:val="both"/>
        <w:rPr>
          <w:rFonts w:ascii="Verdana" w:hAnsi="Verdana"/>
          <w:sz w:val="16"/>
          <w:szCs w:val="16"/>
          <w:lang w:val="pt-BR"/>
        </w:rPr>
      </w:pPr>
    </w:p>
  </w:footnote>
  <w:footnote w:id="216">
    <w:p w:rsidR="00CF451D" w:rsidRPr="002F50BD" w:rsidRDefault="00CF451D">
      <w:pPr>
        <w:pStyle w:val="FootnoteText"/>
        <w:jc w:val="both"/>
        <w:rPr>
          <w:rFonts w:ascii="Verdana" w:hAnsi="Verdana"/>
          <w:i/>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par. 152.</w:t>
      </w:r>
    </w:p>
    <w:p w:rsidR="00CF451D" w:rsidRPr="002F50BD" w:rsidRDefault="00CF451D">
      <w:pPr>
        <w:pStyle w:val="FootnoteText"/>
        <w:jc w:val="both"/>
        <w:rPr>
          <w:rFonts w:ascii="Verdana" w:hAnsi="Verdana"/>
          <w:sz w:val="16"/>
          <w:szCs w:val="16"/>
          <w:lang w:val="pt-BR"/>
        </w:rPr>
      </w:pPr>
    </w:p>
  </w:footnote>
  <w:footnote w:id="21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125;</w:t>
      </w:r>
      <w:r w:rsidRPr="002F50BD">
        <w:rPr>
          <w:rFonts w:ascii="Verdana" w:hAnsi="Verdana"/>
          <w:i/>
          <w:sz w:val="16"/>
          <w:szCs w:val="16"/>
          <w:lang w:val="pt-BR"/>
        </w:rPr>
        <w:t xml:space="preserve">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96,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156.</w:t>
      </w:r>
    </w:p>
    <w:p w:rsidR="00CF451D" w:rsidRPr="002F50BD" w:rsidRDefault="00CF451D">
      <w:pPr>
        <w:pStyle w:val="FootnoteText"/>
        <w:jc w:val="both"/>
        <w:rPr>
          <w:rFonts w:ascii="Verdana" w:hAnsi="Verdana"/>
          <w:sz w:val="16"/>
          <w:szCs w:val="16"/>
          <w:lang w:val="pt-BR"/>
        </w:rPr>
      </w:pPr>
    </w:p>
  </w:footnote>
  <w:footnote w:id="218">
    <w:p w:rsidR="00CF451D" w:rsidRPr="002F50BD" w:rsidRDefault="00CF451D">
      <w:pPr>
        <w:pStyle w:val="FootnoteText"/>
        <w:jc w:val="both"/>
        <w:rPr>
          <w:rFonts w:ascii="Verdana" w:hAnsi="Verdana"/>
          <w:i/>
          <w:sz w:val="16"/>
          <w:szCs w:val="16"/>
          <w:lang w:val="pt-BR"/>
        </w:rPr>
      </w:pPr>
      <w:r w:rsidRPr="002F50BD">
        <w:rPr>
          <w:rStyle w:val="FootnoteReference"/>
          <w:rFonts w:ascii="Verdana" w:hAnsi="Verdana"/>
          <w:i/>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Caesar,</w:t>
      </w:r>
      <w:r w:rsidRPr="002F50BD">
        <w:rPr>
          <w:rFonts w:ascii="Verdana" w:hAnsi="Verdana"/>
          <w:sz w:val="16"/>
          <w:szCs w:val="16"/>
          <w:lang w:val="pt-BR"/>
        </w:rPr>
        <w:t xml:space="preserve">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126; </w:t>
      </w:r>
      <w:r w:rsidRPr="002F50BD">
        <w:rPr>
          <w:rFonts w:ascii="Verdana" w:hAnsi="Verdana"/>
          <w:i/>
          <w:sz w:val="16"/>
          <w:szCs w:val="16"/>
          <w:lang w:val="pt-BR"/>
        </w:rPr>
        <w:t>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97,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157.</w:t>
      </w:r>
    </w:p>
    <w:p w:rsidR="00CF451D" w:rsidRPr="002F50BD" w:rsidRDefault="00CF451D">
      <w:pPr>
        <w:pStyle w:val="FootnoteText"/>
        <w:jc w:val="both"/>
        <w:rPr>
          <w:rFonts w:ascii="Verdana" w:hAnsi="Verdana"/>
          <w:sz w:val="16"/>
          <w:szCs w:val="16"/>
          <w:lang w:val="pt-BR"/>
        </w:rPr>
      </w:pPr>
    </w:p>
  </w:footnote>
  <w:footnote w:id="21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Caesar,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129;</w:t>
      </w:r>
      <w:r w:rsidRPr="002F50BD">
        <w:rPr>
          <w:rFonts w:ascii="Verdana" w:hAnsi="Verdana"/>
          <w:i/>
          <w:sz w:val="16"/>
          <w:szCs w:val="16"/>
          <w:lang w:val="pt-BR"/>
        </w:rPr>
        <w:t xml:space="preserve">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102, e </w:t>
      </w:r>
      <w:r w:rsidRPr="002F50BD">
        <w:rPr>
          <w:rFonts w:ascii="Verdana" w:hAnsi="Verdana"/>
          <w:i/>
          <w:sz w:val="16"/>
          <w:szCs w:val="16"/>
          <w:lang w:val="pt-BR"/>
        </w:rPr>
        <w:t>Caso das Irmãs Serrano Cruz</w:t>
      </w:r>
      <w:r w:rsidRPr="002F50BD">
        <w:rPr>
          <w:rFonts w:ascii="Verdana" w:hAnsi="Verdana"/>
          <w:sz w:val="16"/>
          <w:szCs w:val="16"/>
          <w:lang w:val="pt-BR"/>
        </w:rPr>
        <w:t>, 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165.</w:t>
      </w:r>
    </w:p>
    <w:p w:rsidR="00CF451D" w:rsidRPr="002F50BD" w:rsidRDefault="00CF451D">
      <w:pPr>
        <w:pStyle w:val="FootnoteText"/>
        <w:jc w:val="both"/>
        <w:rPr>
          <w:rFonts w:ascii="Verdana" w:hAnsi="Verdana"/>
          <w:sz w:val="16"/>
          <w:szCs w:val="16"/>
          <w:lang w:val="pt-BR"/>
        </w:rPr>
      </w:pPr>
    </w:p>
  </w:footnote>
  <w:footnote w:id="22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111; </w:t>
      </w:r>
      <w:r w:rsidRPr="002F50BD">
        <w:rPr>
          <w:rFonts w:ascii="Verdana" w:hAnsi="Verdana"/>
          <w:i/>
          <w:sz w:val="16"/>
          <w:szCs w:val="16"/>
          <w:lang w:val="pt-BR"/>
        </w:rPr>
        <w:t xml:space="preserve">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194, e</w:t>
      </w:r>
      <w:r w:rsidRPr="002F50BD">
        <w:rPr>
          <w:rFonts w:ascii="Verdana" w:hAnsi="Verdana"/>
          <w:i/>
          <w:sz w:val="16"/>
          <w:szCs w:val="16"/>
          <w:lang w:val="pt-BR"/>
        </w:rPr>
        <w:t xml:space="preserve"> Caso Carpio Nicolle e outros</w:t>
      </w:r>
      <w:r w:rsidRPr="002F50BD">
        <w:rPr>
          <w:rFonts w:ascii="Verdana" w:hAnsi="Verdana"/>
          <w:sz w:val="16"/>
          <w:szCs w:val="16"/>
          <w:lang w:val="pt-BR"/>
        </w:rPr>
        <w:t>, nota 14</w:t>
      </w:r>
      <w:r w:rsidRPr="002F50BD">
        <w:rPr>
          <w:rFonts w:ascii="Verdana" w:hAnsi="Verdana"/>
          <w:i/>
          <w:sz w:val="16"/>
          <w:szCs w:val="16"/>
          <w:lang w:val="pt-BR"/>
        </w:rPr>
        <w:t xml:space="preserve"> supra,</w:t>
      </w:r>
      <w:r w:rsidRPr="002F50BD">
        <w:rPr>
          <w:rFonts w:ascii="Verdana" w:hAnsi="Verdana"/>
          <w:sz w:val="16"/>
          <w:szCs w:val="16"/>
          <w:lang w:val="pt-BR"/>
        </w:rPr>
        <w:t xml:space="preserve"> par. 136.</w:t>
      </w:r>
    </w:p>
    <w:p w:rsidR="00CF451D" w:rsidRPr="002F50BD" w:rsidRDefault="00CF451D">
      <w:pPr>
        <w:pStyle w:val="FootnoteText"/>
        <w:jc w:val="both"/>
        <w:rPr>
          <w:rFonts w:ascii="Verdana" w:hAnsi="Verdana"/>
          <w:i/>
          <w:sz w:val="16"/>
          <w:szCs w:val="16"/>
          <w:lang w:val="pt-BR"/>
        </w:rPr>
      </w:pPr>
    </w:p>
  </w:footnote>
  <w:footnote w:id="22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Cf. Caso do Massacre Plan de Sánchez</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nota 196</w:t>
      </w:r>
      <w:r w:rsidRPr="002F50BD">
        <w:rPr>
          <w:rFonts w:ascii="Verdana" w:hAnsi="Verdana"/>
          <w:i/>
          <w:sz w:val="16"/>
          <w:szCs w:val="16"/>
          <w:lang w:val="pt-BR"/>
        </w:rPr>
        <w:t xml:space="preserve"> supra, </w:t>
      </w:r>
      <w:r w:rsidRPr="002F50BD">
        <w:rPr>
          <w:rFonts w:ascii="Verdana" w:hAnsi="Verdana"/>
          <w:sz w:val="16"/>
          <w:szCs w:val="16"/>
          <w:lang w:val="pt-BR"/>
        </w:rPr>
        <w:t>par. 100.</w:t>
      </w:r>
    </w:p>
    <w:p w:rsidR="00CF451D" w:rsidRPr="002F50BD" w:rsidRDefault="00CF451D">
      <w:pPr>
        <w:pStyle w:val="FootnoteText"/>
        <w:jc w:val="both"/>
        <w:rPr>
          <w:rFonts w:ascii="Verdana" w:hAnsi="Verdana"/>
          <w:sz w:val="16"/>
          <w:szCs w:val="16"/>
          <w:lang w:val="pt-BR"/>
        </w:rPr>
      </w:pPr>
    </w:p>
  </w:footnote>
  <w:footnote w:id="222">
    <w:p w:rsidR="00CF451D" w:rsidRPr="002F50BD" w:rsidRDefault="00CF451D">
      <w:pPr>
        <w:pStyle w:val="FootnoteText"/>
        <w:jc w:val="both"/>
        <w:rPr>
          <w:rFonts w:ascii="Verdana" w:hAnsi="Verdana"/>
          <w:i/>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 xml:space="preserve">par. 194, e </w:t>
      </w:r>
      <w:r w:rsidRPr="002F50BD">
        <w:rPr>
          <w:rFonts w:ascii="Verdana" w:hAnsi="Verdana"/>
          <w:i/>
          <w:sz w:val="16"/>
          <w:szCs w:val="16"/>
          <w:lang w:val="pt-BR"/>
        </w:rPr>
        <w:t>Caso do Massacre Plan de Sánchez</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nota 196</w:t>
      </w:r>
      <w:r w:rsidRPr="002F50BD">
        <w:rPr>
          <w:rFonts w:ascii="Verdana" w:hAnsi="Verdana"/>
          <w:i/>
          <w:sz w:val="16"/>
          <w:szCs w:val="16"/>
          <w:lang w:val="pt-BR"/>
        </w:rPr>
        <w:t xml:space="preserve"> supra,</w:t>
      </w:r>
      <w:r w:rsidRPr="002F50BD">
        <w:rPr>
          <w:rFonts w:ascii="Verdana" w:hAnsi="Verdana"/>
          <w:sz w:val="16"/>
          <w:szCs w:val="16"/>
          <w:lang w:val="pt-BR"/>
        </w:rPr>
        <w:t xml:space="preserve"> par. 100.</w:t>
      </w:r>
    </w:p>
    <w:p w:rsidR="00CF451D" w:rsidRPr="002F50BD" w:rsidRDefault="00CF451D">
      <w:pPr>
        <w:pStyle w:val="FootnoteText"/>
        <w:jc w:val="both"/>
        <w:rPr>
          <w:rFonts w:ascii="Verdana" w:hAnsi="Verdana"/>
          <w:i/>
          <w:sz w:val="16"/>
          <w:szCs w:val="16"/>
          <w:lang w:val="pt-BR"/>
        </w:rPr>
      </w:pPr>
    </w:p>
  </w:footnote>
  <w:footnote w:id="223">
    <w:p w:rsidR="00CF451D" w:rsidRPr="002F50BD" w:rsidRDefault="00CF451D">
      <w:pPr>
        <w:pStyle w:val="FootnoteText"/>
        <w:jc w:val="both"/>
        <w:rPr>
          <w:rFonts w:ascii="Verdana" w:hAnsi="Verdana"/>
          <w:i/>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par. 194;</w:t>
      </w:r>
      <w:r w:rsidRPr="002F50BD">
        <w:rPr>
          <w:rFonts w:ascii="Verdana" w:hAnsi="Verdana"/>
          <w:i/>
          <w:sz w:val="16"/>
          <w:szCs w:val="16"/>
          <w:lang w:val="pt-BR"/>
        </w:rPr>
        <w:t xml:space="preserve"> Caso do Massacre Plan de Sánchez</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nota 196</w:t>
      </w:r>
      <w:r w:rsidRPr="002F50BD">
        <w:rPr>
          <w:rFonts w:ascii="Verdana" w:hAnsi="Verdana"/>
          <w:i/>
          <w:sz w:val="16"/>
          <w:szCs w:val="16"/>
          <w:lang w:val="pt-BR"/>
        </w:rPr>
        <w:t xml:space="preserve"> supra,</w:t>
      </w:r>
      <w:r w:rsidRPr="002F50BD">
        <w:rPr>
          <w:rFonts w:ascii="Verdana" w:hAnsi="Verdana"/>
          <w:sz w:val="16"/>
          <w:szCs w:val="16"/>
          <w:lang w:val="pt-BR"/>
        </w:rPr>
        <w:t xml:space="preserve"> par. 100, e </w:t>
      </w:r>
      <w:r w:rsidRPr="002F50BD">
        <w:rPr>
          <w:rFonts w:ascii="Verdana" w:hAnsi="Verdana"/>
          <w:i/>
          <w:sz w:val="16"/>
          <w:szCs w:val="16"/>
          <w:lang w:val="pt-BR"/>
        </w:rPr>
        <w:t>Caso Myrna Mack Chang</w:t>
      </w:r>
      <w:r w:rsidRPr="002F50BD">
        <w:rPr>
          <w:rFonts w:ascii="Verdana" w:hAnsi="Verdana"/>
          <w:sz w:val="16"/>
          <w:szCs w:val="16"/>
          <w:lang w:val="pt-BR"/>
        </w:rPr>
        <w:t>, nota 10</w:t>
      </w:r>
      <w:r w:rsidRPr="002F50BD">
        <w:rPr>
          <w:rFonts w:ascii="Verdana" w:hAnsi="Verdana"/>
          <w:i/>
          <w:sz w:val="16"/>
          <w:szCs w:val="16"/>
          <w:lang w:val="pt-BR"/>
        </w:rPr>
        <w:t xml:space="preserve"> supra,</w:t>
      </w:r>
      <w:r w:rsidRPr="002F50BD">
        <w:rPr>
          <w:rFonts w:ascii="Verdana" w:hAnsi="Verdana"/>
          <w:sz w:val="16"/>
          <w:szCs w:val="16"/>
          <w:lang w:val="pt-BR"/>
        </w:rPr>
        <w:t xml:space="preserve"> par. 278.</w:t>
      </w:r>
    </w:p>
  </w:footnote>
  <w:footnote w:id="224">
    <w:p w:rsidR="00CF451D" w:rsidRPr="002F50BD" w:rsidRDefault="00CF451D">
      <w:pPr>
        <w:jc w:val="both"/>
        <w:rPr>
          <w:rFonts w:ascii="Verdana" w:hAnsi="Verdana"/>
          <w:sz w:val="16"/>
          <w:szCs w:val="16"/>
          <w:lang w:val="pt-BR"/>
        </w:rPr>
      </w:pPr>
    </w:p>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Cf. Caso Huilca Tecse</w:t>
      </w:r>
      <w:r w:rsidRPr="002F50BD">
        <w:rPr>
          <w:rFonts w:ascii="Verdana" w:hAnsi="Verdana"/>
          <w:sz w:val="16"/>
          <w:szCs w:val="16"/>
          <w:lang w:val="pt-BR"/>
        </w:rPr>
        <w:t>, nota 209</w:t>
      </w:r>
      <w:r w:rsidRPr="002F50BD">
        <w:rPr>
          <w:rFonts w:ascii="Verdana" w:hAnsi="Verdana"/>
          <w:i/>
          <w:sz w:val="16"/>
          <w:szCs w:val="16"/>
          <w:lang w:val="pt-BR"/>
        </w:rPr>
        <w:t xml:space="preserve"> supra,</w:t>
      </w:r>
      <w:r w:rsidRPr="002F50BD">
        <w:rPr>
          <w:rFonts w:ascii="Verdana" w:hAnsi="Verdana"/>
          <w:sz w:val="16"/>
          <w:szCs w:val="16"/>
          <w:lang w:val="pt-BR"/>
        </w:rPr>
        <w:t xml:space="preserve"> par. 96; </w:t>
      </w:r>
      <w:r w:rsidRPr="002F50BD">
        <w:rPr>
          <w:rFonts w:ascii="Verdana" w:hAnsi="Verdana"/>
          <w:i/>
          <w:sz w:val="16"/>
          <w:szCs w:val="16"/>
          <w:lang w:val="pt-BR"/>
        </w:rPr>
        <w:t xml:space="preserve">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 xml:space="preserve">par. 194, e </w:t>
      </w:r>
      <w:r w:rsidRPr="002F50BD">
        <w:rPr>
          <w:rFonts w:ascii="Verdana" w:hAnsi="Verdana"/>
          <w:i/>
          <w:sz w:val="16"/>
          <w:szCs w:val="16"/>
          <w:lang w:val="pt-BR"/>
        </w:rPr>
        <w:t xml:space="preserve">Caso Lori Berenson Mejía, </w:t>
      </w:r>
      <w:r w:rsidRPr="002F50BD">
        <w:rPr>
          <w:rFonts w:ascii="Verdana" w:hAnsi="Verdana"/>
          <w:sz w:val="16"/>
          <w:szCs w:val="16"/>
          <w:lang w:val="pt-BR"/>
        </w:rPr>
        <w:t>nota 2</w:t>
      </w:r>
      <w:r w:rsidRPr="002F50BD">
        <w:rPr>
          <w:rFonts w:ascii="Verdana" w:hAnsi="Verdana"/>
          <w:i/>
          <w:sz w:val="16"/>
          <w:szCs w:val="16"/>
          <w:lang w:val="pt-BR"/>
        </w:rPr>
        <w:t xml:space="preserve"> supra,</w:t>
      </w:r>
      <w:r w:rsidRPr="002F50BD">
        <w:rPr>
          <w:rFonts w:ascii="Verdana" w:hAnsi="Verdana"/>
          <w:sz w:val="16"/>
          <w:szCs w:val="16"/>
          <w:lang w:val="pt-BR"/>
        </w:rPr>
        <w:t xml:space="preserve"> par. 240.</w:t>
      </w:r>
    </w:p>
    <w:p w:rsidR="00CF451D" w:rsidRPr="002F50BD" w:rsidRDefault="00CF451D">
      <w:pPr>
        <w:pStyle w:val="FootnoteText"/>
        <w:jc w:val="both"/>
        <w:rPr>
          <w:rFonts w:ascii="Verdana" w:hAnsi="Verdana"/>
          <w:sz w:val="16"/>
          <w:szCs w:val="16"/>
          <w:lang w:val="pt-BR"/>
        </w:rPr>
      </w:pPr>
    </w:p>
  </w:footnote>
  <w:footnote w:id="225">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r>
      <w:r w:rsidRPr="002F50BD">
        <w:rPr>
          <w:rFonts w:ascii="Verdana" w:hAnsi="Verdana"/>
          <w:i/>
          <w:sz w:val="16"/>
          <w:szCs w:val="16"/>
          <w:lang w:val="pt-BR"/>
        </w:rPr>
        <w:t xml:space="preserve">Cf. Caso das Irmãs Serrano Cruz, </w:t>
      </w:r>
      <w:r w:rsidRPr="002F50BD">
        <w:rPr>
          <w:rFonts w:ascii="Verdana" w:hAnsi="Verdana"/>
          <w:sz w:val="16"/>
          <w:szCs w:val="16"/>
          <w:lang w:val="pt-BR"/>
        </w:rPr>
        <w:t>nota 2</w:t>
      </w:r>
      <w:r w:rsidRPr="002F50BD">
        <w:rPr>
          <w:rFonts w:ascii="Verdana" w:hAnsi="Verdana"/>
          <w:i/>
          <w:sz w:val="16"/>
          <w:szCs w:val="16"/>
          <w:lang w:val="pt-BR"/>
        </w:rPr>
        <w:t xml:space="preserve"> supra, </w:t>
      </w:r>
      <w:r w:rsidRPr="002F50BD">
        <w:rPr>
          <w:rFonts w:ascii="Verdana" w:hAnsi="Verdana"/>
          <w:sz w:val="16"/>
          <w:szCs w:val="16"/>
          <w:lang w:val="pt-BR"/>
        </w:rPr>
        <w:t>par. 205;</w:t>
      </w:r>
      <w:r w:rsidRPr="002F50BD">
        <w:rPr>
          <w:rFonts w:ascii="Verdana" w:hAnsi="Verdana"/>
          <w:i/>
          <w:sz w:val="16"/>
          <w:szCs w:val="16"/>
          <w:lang w:val="pt-BR"/>
        </w:rPr>
        <w:t xml:space="preserve"> Caso Carpio Nicolle e outros</w:t>
      </w:r>
      <w:r w:rsidRPr="002F50BD">
        <w:rPr>
          <w:rFonts w:ascii="Verdana" w:hAnsi="Verdana"/>
          <w:sz w:val="16"/>
          <w:szCs w:val="16"/>
          <w:lang w:val="pt-BR"/>
        </w:rPr>
        <w:t>, nota 14</w:t>
      </w:r>
      <w:r w:rsidRPr="002F50BD">
        <w:rPr>
          <w:rFonts w:ascii="Verdana" w:hAnsi="Verdana"/>
          <w:i/>
          <w:sz w:val="16"/>
          <w:szCs w:val="16"/>
          <w:lang w:val="pt-BR"/>
        </w:rPr>
        <w:t xml:space="preserve"> supra,</w:t>
      </w:r>
      <w:r w:rsidRPr="002F50BD">
        <w:rPr>
          <w:rFonts w:ascii="Verdana" w:hAnsi="Verdana"/>
          <w:sz w:val="16"/>
          <w:szCs w:val="16"/>
          <w:lang w:val="pt-BR"/>
        </w:rPr>
        <w:t xml:space="preserve"> par. 143, e </w:t>
      </w:r>
      <w:r w:rsidRPr="002F50BD">
        <w:rPr>
          <w:rFonts w:ascii="Verdana" w:hAnsi="Verdana"/>
          <w:i/>
          <w:sz w:val="16"/>
          <w:szCs w:val="16"/>
          <w:lang w:val="pt-BR"/>
        </w:rPr>
        <w:t>Caso do Massacre Plan de Sánchez</w:t>
      </w:r>
      <w:r w:rsidRPr="002F50BD">
        <w:rPr>
          <w:rFonts w:ascii="Verdana" w:hAnsi="Verdana"/>
          <w:sz w:val="16"/>
          <w:szCs w:val="16"/>
          <w:lang w:val="pt-BR"/>
        </w:rPr>
        <w:t xml:space="preserve">. </w:t>
      </w:r>
      <w:r w:rsidRPr="002F50BD">
        <w:rPr>
          <w:rFonts w:ascii="Verdana" w:hAnsi="Verdana"/>
          <w:i/>
          <w:sz w:val="16"/>
          <w:szCs w:val="16"/>
          <w:lang w:val="pt-BR"/>
        </w:rPr>
        <w:t>Reparações</w:t>
      </w:r>
      <w:r w:rsidRPr="002F50BD">
        <w:rPr>
          <w:rFonts w:ascii="Verdana" w:hAnsi="Verdana"/>
          <w:sz w:val="16"/>
          <w:szCs w:val="16"/>
          <w:lang w:val="pt-BR"/>
        </w:rPr>
        <w:t>, nota 196</w:t>
      </w:r>
      <w:r w:rsidRPr="002F50BD">
        <w:rPr>
          <w:rFonts w:ascii="Verdana" w:hAnsi="Verdana"/>
          <w:i/>
          <w:sz w:val="16"/>
          <w:szCs w:val="16"/>
          <w:lang w:val="pt-BR"/>
        </w:rPr>
        <w:t xml:space="preserve"> supra,</w:t>
      </w:r>
      <w:r w:rsidRPr="002F50BD">
        <w:rPr>
          <w:rFonts w:ascii="Verdana" w:hAnsi="Verdana"/>
          <w:sz w:val="16"/>
          <w:szCs w:val="16"/>
          <w:lang w:val="pt-BR"/>
        </w:rPr>
        <w:t xml:space="preserve"> par. 115.</w:t>
      </w:r>
    </w:p>
    <w:p w:rsidR="00CF451D" w:rsidRPr="002F50BD" w:rsidRDefault="00CF451D">
      <w:pPr>
        <w:pStyle w:val="FootnoteText"/>
        <w:jc w:val="both"/>
        <w:rPr>
          <w:rFonts w:ascii="Verdana" w:hAnsi="Verdana"/>
          <w:sz w:val="16"/>
          <w:szCs w:val="16"/>
          <w:lang w:val="pt-BR"/>
        </w:rPr>
      </w:pPr>
    </w:p>
  </w:footnote>
  <w:footnote w:id="226">
    <w:p w:rsidR="00CF451D" w:rsidRPr="002F50BD" w:rsidRDefault="00CF451D">
      <w:pPr>
        <w:pStyle w:val="FootnoteText"/>
        <w:jc w:val="both"/>
        <w:rPr>
          <w:rFonts w:ascii="Verdana" w:hAnsi="Verdana"/>
          <w:iCs/>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Caso “</w:t>
      </w:r>
      <w:r w:rsidRPr="002F50BD">
        <w:rPr>
          <w:rFonts w:ascii="Verdana" w:hAnsi="Verdana"/>
          <w:i/>
          <w:iCs/>
          <w:sz w:val="16"/>
          <w:szCs w:val="16"/>
          <w:lang w:val="pt-BR"/>
        </w:rPr>
        <w:t>Villagrán Morales e outros</w:t>
      </w:r>
      <w:r w:rsidRPr="002F50BD">
        <w:rPr>
          <w:rFonts w:ascii="Verdana" w:hAnsi="Verdana"/>
          <w:iCs/>
          <w:sz w:val="16"/>
          <w:szCs w:val="16"/>
          <w:lang w:val="pt-BR"/>
        </w:rPr>
        <w:t xml:space="preserve"> </w:t>
      </w:r>
      <w:r w:rsidRPr="00CF451D">
        <w:rPr>
          <w:rFonts w:ascii="Verdana" w:hAnsi="Verdana"/>
          <w:iCs/>
          <w:sz w:val="16"/>
          <w:szCs w:val="16"/>
          <w:lang w:val="pt-BR"/>
        </w:rPr>
        <w:t>(</w:t>
      </w:r>
      <w:r w:rsidRPr="002F50BD">
        <w:rPr>
          <w:rFonts w:ascii="Verdana" w:hAnsi="Verdana"/>
          <w:iCs/>
          <w:sz w:val="16"/>
          <w:szCs w:val="16"/>
          <w:lang w:val="pt-BR"/>
        </w:rPr>
        <w:t>Crianças de Rua</w:t>
      </w:r>
      <w:r w:rsidRPr="00CF451D">
        <w:rPr>
          <w:rFonts w:ascii="Verdana" w:hAnsi="Verdana"/>
          <w:iCs/>
          <w:sz w:val="16"/>
          <w:szCs w:val="16"/>
          <w:lang w:val="pt-BR"/>
        </w:rPr>
        <w:t>)</w:t>
      </w:r>
      <w:r w:rsidRPr="002F50BD">
        <w:rPr>
          <w:rFonts w:ascii="Verdana" w:hAnsi="Verdana"/>
          <w:iCs/>
          <w:sz w:val="16"/>
          <w:szCs w:val="16"/>
          <w:lang w:val="pt-BR"/>
        </w:rPr>
        <w:t xml:space="preserve"> Vs. Guatemala. Voto Concordante dos Juízes A.A. Cancado Trindade e A. Abreu Burelli.</w:t>
      </w:r>
    </w:p>
    <w:p w:rsidR="00CF451D" w:rsidRPr="002F50BD" w:rsidRDefault="00CF451D">
      <w:pPr>
        <w:pStyle w:val="FootnoteText"/>
        <w:jc w:val="both"/>
        <w:rPr>
          <w:rFonts w:ascii="Verdana" w:hAnsi="Verdana"/>
          <w:i/>
          <w:iCs/>
          <w:sz w:val="16"/>
          <w:szCs w:val="16"/>
          <w:lang w:val="pt-BR"/>
        </w:rPr>
      </w:pPr>
    </w:p>
  </w:footnote>
  <w:footnote w:id="227">
    <w:p w:rsidR="00CF451D" w:rsidRPr="002F50BD" w:rsidRDefault="00CF451D">
      <w:pPr>
        <w:pStyle w:val="FootnoteText"/>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Idem.</w:t>
      </w:r>
    </w:p>
    <w:p w:rsidR="00CF451D" w:rsidRPr="002F50BD" w:rsidRDefault="00CF451D">
      <w:pPr>
        <w:pStyle w:val="FootnoteText"/>
        <w:rPr>
          <w:rFonts w:ascii="Verdana" w:hAnsi="Verdana"/>
          <w:sz w:val="16"/>
          <w:szCs w:val="16"/>
          <w:lang w:val="pt-BR"/>
        </w:rPr>
      </w:pPr>
    </w:p>
  </w:footnote>
  <w:footnote w:id="228">
    <w:p w:rsidR="00CF451D" w:rsidRPr="002F50BD" w:rsidRDefault="00CF451D">
      <w:pPr>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i/>
          <w:sz w:val="16"/>
          <w:szCs w:val="16"/>
          <w:lang w:val="pt-BR"/>
        </w:rPr>
        <w:t xml:space="preserve">Cf. </w:t>
      </w:r>
      <w:r w:rsidRPr="002F50BD">
        <w:rPr>
          <w:rFonts w:ascii="Verdana" w:hAnsi="Verdana"/>
          <w:sz w:val="16"/>
          <w:szCs w:val="16"/>
          <w:lang w:val="pt-BR"/>
        </w:rPr>
        <w:t xml:space="preserve">Preâmbulo da Declaração Universal da UNESCO sobre a diversidade cultural. </w:t>
      </w:r>
    </w:p>
    <w:p w:rsidR="00CF451D" w:rsidRPr="002F50BD" w:rsidRDefault="00CF451D">
      <w:pPr>
        <w:pStyle w:val="FootnoteText"/>
        <w:jc w:val="both"/>
        <w:rPr>
          <w:rFonts w:ascii="Verdana" w:hAnsi="Verdana"/>
          <w:sz w:val="16"/>
          <w:szCs w:val="16"/>
          <w:lang w:val="pt-BR"/>
        </w:rPr>
      </w:pPr>
    </w:p>
  </w:footnote>
  <w:footnote w:id="22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Art. 32 da Convenção Americana. </w:t>
      </w:r>
    </w:p>
  </w:footnote>
  <w:footnote w:id="230">
    <w:p w:rsidR="00CF451D" w:rsidRPr="002F50BD" w:rsidRDefault="00CF451D">
      <w:pPr>
        <w:pStyle w:val="BodyText"/>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r>
      <w:r w:rsidRPr="002F50BD">
        <w:rPr>
          <w:rFonts w:ascii="Verdana" w:hAnsi="Verdana"/>
          <w:sz w:val="16"/>
          <w:szCs w:val="16"/>
          <w:lang w:val="pt-BR"/>
        </w:rPr>
        <w:t xml:space="preserve">Sobre os demais seis mortos, relacionados a seguir, poderia existir algum tipo de dúvida a respeito da causa de sua morte: </w:t>
      </w:r>
      <w:r w:rsidRPr="002F50BD">
        <w:rPr>
          <w:rFonts w:ascii="Verdana" w:hAnsi="Verdana"/>
          <w:b/>
          <w:sz w:val="16"/>
          <w:szCs w:val="16"/>
          <w:lang w:val="pt-BR"/>
        </w:rPr>
        <w:t>1</w:t>
      </w:r>
      <w:r w:rsidRPr="00CF451D">
        <w:rPr>
          <w:rFonts w:ascii="Verdana" w:hAnsi="Verdana"/>
          <w:b/>
          <w:sz w:val="16"/>
          <w:szCs w:val="16"/>
          <w:lang w:val="pt-BR"/>
        </w:rPr>
        <w:t>)</w:t>
      </w:r>
      <w:r w:rsidRPr="002F50BD">
        <w:rPr>
          <w:rFonts w:ascii="Verdana" w:hAnsi="Verdana"/>
          <w:sz w:val="16"/>
          <w:szCs w:val="16"/>
          <w:lang w:val="pt-BR"/>
        </w:rPr>
        <w:t xml:space="preserve"> Hilario Gómez </w:t>
      </w:r>
      <w:r w:rsidRPr="00CF451D">
        <w:rPr>
          <w:rFonts w:ascii="Verdana" w:hAnsi="Verdana"/>
          <w:sz w:val="16"/>
          <w:szCs w:val="16"/>
          <w:lang w:val="pt-BR"/>
        </w:rPr>
        <w:t>(</w:t>
      </w:r>
      <w:r w:rsidRPr="002F50BD">
        <w:rPr>
          <w:rFonts w:ascii="Verdana" w:hAnsi="Verdana"/>
          <w:sz w:val="16"/>
          <w:szCs w:val="16"/>
          <w:lang w:val="pt-BR"/>
        </w:rPr>
        <w:t>20 anos</w:t>
      </w:r>
      <w:r w:rsidRPr="00CF451D">
        <w:rPr>
          <w:rFonts w:ascii="Verdana" w:hAnsi="Verdana"/>
          <w:sz w:val="16"/>
          <w:szCs w:val="16"/>
          <w:lang w:val="pt-BR"/>
        </w:rPr>
        <w:t>)</w:t>
      </w:r>
      <w:r w:rsidRPr="002F50BD">
        <w:rPr>
          <w:rFonts w:ascii="Verdana" w:hAnsi="Verdana"/>
          <w:sz w:val="16"/>
          <w:szCs w:val="16"/>
          <w:lang w:val="pt-BR"/>
        </w:rPr>
        <w:t xml:space="preserve">: morreu em 7 de março de 2005 por convulsões associadas a uma lesão neurológica congênita, sem ter recebido assistência médica antes de sua morte; </w:t>
      </w:r>
      <w:r w:rsidRPr="002F50BD">
        <w:rPr>
          <w:rFonts w:ascii="Verdana" w:hAnsi="Verdana"/>
          <w:b/>
          <w:sz w:val="16"/>
          <w:szCs w:val="16"/>
          <w:lang w:val="pt-BR"/>
        </w:rPr>
        <w:t>2</w:t>
      </w:r>
      <w:r w:rsidRPr="00CF451D">
        <w:rPr>
          <w:rFonts w:ascii="Verdana" w:hAnsi="Verdana"/>
          <w:b/>
          <w:sz w:val="16"/>
          <w:szCs w:val="16"/>
          <w:lang w:val="pt-BR"/>
        </w:rPr>
        <w:t>)</w:t>
      </w:r>
      <w:r w:rsidRPr="002F50BD">
        <w:rPr>
          <w:rFonts w:ascii="Verdana" w:hAnsi="Verdana"/>
          <w:sz w:val="16"/>
          <w:szCs w:val="16"/>
          <w:lang w:val="pt-BR"/>
        </w:rPr>
        <w:t xml:space="preserve"> Mauro Fernández Gómez </w:t>
      </w:r>
      <w:r w:rsidRPr="00CF451D">
        <w:rPr>
          <w:rFonts w:ascii="Verdana" w:hAnsi="Verdana"/>
          <w:sz w:val="16"/>
          <w:szCs w:val="16"/>
          <w:lang w:val="pt-BR"/>
        </w:rPr>
        <w:t>(</w:t>
      </w:r>
      <w:r w:rsidRPr="002F50BD">
        <w:rPr>
          <w:rFonts w:ascii="Verdana" w:hAnsi="Verdana"/>
          <w:sz w:val="16"/>
          <w:szCs w:val="16"/>
          <w:lang w:val="pt-BR"/>
        </w:rPr>
        <w:t>1 ano</w:t>
      </w:r>
      <w:r w:rsidRPr="00CF451D">
        <w:rPr>
          <w:rFonts w:ascii="Verdana" w:hAnsi="Verdana"/>
          <w:sz w:val="16"/>
          <w:szCs w:val="16"/>
          <w:lang w:val="pt-BR"/>
        </w:rPr>
        <w:t>)</w:t>
      </w:r>
      <w:r w:rsidRPr="002F50BD">
        <w:rPr>
          <w:rFonts w:ascii="Verdana" w:hAnsi="Verdana"/>
          <w:sz w:val="16"/>
          <w:szCs w:val="16"/>
          <w:lang w:val="pt-BR"/>
        </w:rPr>
        <w:t xml:space="preserve">: morreu em 20 de janeiro de 1998 de meningite, sem ter recebido atenção médica hospitalar antes de sua morte. Recebeu alta depois de 22 dias de internação com diagnóstico de meningite com sequelas e sem possibilidade de cura; </w:t>
      </w:r>
      <w:r w:rsidRPr="002F50BD">
        <w:rPr>
          <w:rFonts w:ascii="Verdana" w:hAnsi="Verdana"/>
          <w:b/>
          <w:sz w:val="16"/>
          <w:szCs w:val="16"/>
          <w:lang w:val="pt-BR"/>
        </w:rPr>
        <w:t>3</w:t>
      </w:r>
      <w:r w:rsidRPr="00CF451D">
        <w:rPr>
          <w:rFonts w:ascii="Verdana" w:hAnsi="Verdana"/>
          <w:b/>
          <w:sz w:val="16"/>
          <w:szCs w:val="16"/>
          <w:lang w:val="pt-BR"/>
        </w:rPr>
        <w:t>)</w:t>
      </w:r>
      <w:r w:rsidRPr="002F50BD">
        <w:rPr>
          <w:rFonts w:ascii="Verdana" w:hAnsi="Verdana"/>
          <w:sz w:val="16"/>
          <w:szCs w:val="16"/>
          <w:lang w:val="pt-BR"/>
        </w:rPr>
        <w:t xml:space="preserve"> N/N Sosa Chávez </w:t>
      </w:r>
      <w:r w:rsidRPr="00CF451D">
        <w:rPr>
          <w:rFonts w:ascii="Verdana" w:hAnsi="Verdana"/>
          <w:sz w:val="16"/>
          <w:szCs w:val="16"/>
          <w:lang w:val="pt-BR"/>
        </w:rPr>
        <w:t>(</w:t>
      </w:r>
      <w:r w:rsidRPr="002F50BD">
        <w:rPr>
          <w:rFonts w:ascii="Verdana" w:hAnsi="Verdana"/>
          <w:sz w:val="16"/>
          <w:szCs w:val="16"/>
          <w:lang w:val="pt-BR"/>
        </w:rPr>
        <w:t>un mês de vida</w:t>
      </w:r>
      <w:r w:rsidRPr="00CF451D">
        <w:rPr>
          <w:rFonts w:ascii="Verdana" w:hAnsi="Verdana"/>
          <w:sz w:val="16"/>
          <w:szCs w:val="16"/>
          <w:lang w:val="pt-BR"/>
        </w:rPr>
        <w:t>)</w:t>
      </w:r>
      <w:r w:rsidRPr="002F50BD">
        <w:rPr>
          <w:rFonts w:ascii="Verdana" w:hAnsi="Verdana"/>
          <w:sz w:val="16"/>
          <w:szCs w:val="16"/>
          <w:lang w:val="pt-BR"/>
        </w:rPr>
        <w:t xml:space="preserve"> morreu no mês de agosto de 1998 de tétano. Foi atendido no Hospital regional de Concepción e recebeu alta com o diagnóstico de tétano; </w:t>
      </w:r>
      <w:r w:rsidRPr="002F50BD">
        <w:rPr>
          <w:rFonts w:ascii="Verdana" w:hAnsi="Verdana"/>
          <w:b/>
          <w:sz w:val="16"/>
          <w:szCs w:val="16"/>
          <w:lang w:val="pt-BR"/>
        </w:rPr>
        <w:t>4</w:t>
      </w:r>
      <w:r w:rsidRPr="00CF451D">
        <w:rPr>
          <w:rFonts w:ascii="Verdana" w:hAnsi="Verdana"/>
          <w:b/>
          <w:sz w:val="16"/>
          <w:szCs w:val="16"/>
          <w:lang w:val="pt-BR"/>
        </w:rPr>
        <w:t>)</w:t>
      </w:r>
      <w:r w:rsidRPr="002F50BD">
        <w:rPr>
          <w:rFonts w:ascii="Verdana" w:hAnsi="Verdana"/>
          <w:sz w:val="16"/>
          <w:szCs w:val="16"/>
          <w:lang w:val="pt-BR"/>
        </w:rPr>
        <w:t xml:space="preserve"> Santiago Gómez </w:t>
      </w:r>
      <w:r w:rsidRPr="00CF451D">
        <w:rPr>
          <w:rFonts w:ascii="Verdana" w:hAnsi="Verdana"/>
          <w:sz w:val="16"/>
          <w:szCs w:val="16"/>
          <w:lang w:val="pt-BR"/>
        </w:rPr>
        <w:t>(</w:t>
      </w:r>
      <w:r w:rsidRPr="002F50BD">
        <w:rPr>
          <w:rFonts w:ascii="Verdana" w:hAnsi="Verdana"/>
          <w:sz w:val="16"/>
          <w:szCs w:val="16"/>
          <w:lang w:val="pt-BR"/>
        </w:rPr>
        <w:t>78 anos</w:t>
      </w:r>
      <w:r w:rsidRPr="00CF451D">
        <w:rPr>
          <w:rFonts w:ascii="Verdana" w:hAnsi="Verdana"/>
          <w:sz w:val="16"/>
          <w:szCs w:val="16"/>
          <w:lang w:val="pt-BR"/>
        </w:rPr>
        <w:t>)</w:t>
      </w:r>
      <w:r w:rsidRPr="002F50BD">
        <w:rPr>
          <w:rFonts w:ascii="Verdana" w:hAnsi="Verdana"/>
          <w:sz w:val="16"/>
          <w:szCs w:val="16"/>
          <w:lang w:val="pt-BR"/>
        </w:rPr>
        <w:t xml:space="preserve"> morreu entre 30 de junho e 7 de julho de 2002 por afogamento, sem ter recebido assistência médica antes de sua morte; </w:t>
      </w:r>
      <w:r w:rsidRPr="002F50BD">
        <w:rPr>
          <w:rFonts w:ascii="Verdana" w:hAnsi="Verdana"/>
          <w:b/>
          <w:sz w:val="16"/>
          <w:szCs w:val="16"/>
          <w:lang w:val="pt-BR"/>
        </w:rPr>
        <w:t>5</w:t>
      </w:r>
      <w:r w:rsidRPr="00CF451D">
        <w:rPr>
          <w:rFonts w:ascii="Verdana" w:hAnsi="Verdana"/>
          <w:b/>
          <w:sz w:val="16"/>
          <w:szCs w:val="16"/>
          <w:lang w:val="pt-BR"/>
        </w:rPr>
        <w:t>)</w:t>
      </w:r>
      <w:r w:rsidRPr="002F50BD">
        <w:rPr>
          <w:rFonts w:ascii="Verdana" w:hAnsi="Verdana"/>
          <w:sz w:val="16"/>
          <w:szCs w:val="16"/>
          <w:lang w:val="pt-BR"/>
        </w:rPr>
        <w:t xml:space="preserve"> Ignacio Torales </w:t>
      </w:r>
      <w:r w:rsidRPr="00CF451D">
        <w:rPr>
          <w:rFonts w:ascii="Verdana" w:hAnsi="Verdana"/>
          <w:sz w:val="16"/>
          <w:szCs w:val="16"/>
          <w:lang w:val="pt-BR"/>
        </w:rPr>
        <w:t>(</w:t>
      </w:r>
      <w:r w:rsidRPr="002F50BD">
        <w:rPr>
          <w:rFonts w:ascii="Verdana" w:hAnsi="Verdana"/>
          <w:sz w:val="16"/>
          <w:szCs w:val="16"/>
          <w:lang w:val="pt-BR"/>
        </w:rPr>
        <w:t>68 anos</w:t>
      </w:r>
      <w:r w:rsidRPr="00CF451D">
        <w:rPr>
          <w:rFonts w:ascii="Verdana" w:hAnsi="Verdana"/>
          <w:sz w:val="16"/>
          <w:szCs w:val="16"/>
          <w:lang w:val="pt-BR"/>
        </w:rPr>
        <w:t>)</w:t>
      </w:r>
      <w:r w:rsidRPr="002F50BD">
        <w:rPr>
          <w:rFonts w:ascii="Verdana" w:hAnsi="Verdana"/>
          <w:sz w:val="16"/>
          <w:szCs w:val="16"/>
          <w:lang w:val="pt-BR"/>
        </w:rPr>
        <w:t xml:space="preserve"> morreu em 2 de janeiro de 2003 por insuficiência mitral - insuficiência cardíaca congestiva crônica, - sem ter recebido assistência médica antes de sua morte; e </w:t>
      </w:r>
      <w:r w:rsidRPr="002F50BD">
        <w:rPr>
          <w:rFonts w:ascii="Verdana" w:hAnsi="Verdana"/>
          <w:b/>
          <w:sz w:val="16"/>
          <w:szCs w:val="16"/>
          <w:lang w:val="pt-BR"/>
        </w:rPr>
        <w:t>6</w:t>
      </w:r>
      <w:r w:rsidRPr="00CF451D">
        <w:rPr>
          <w:rFonts w:ascii="Verdana" w:hAnsi="Verdana"/>
          <w:b/>
          <w:sz w:val="16"/>
          <w:szCs w:val="16"/>
          <w:lang w:val="pt-BR"/>
        </w:rPr>
        <w:t>)</w:t>
      </w:r>
      <w:r w:rsidRPr="002F50BD">
        <w:rPr>
          <w:rFonts w:ascii="Verdana" w:hAnsi="Verdana"/>
          <w:sz w:val="16"/>
          <w:szCs w:val="16"/>
          <w:lang w:val="pt-BR"/>
        </w:rPr>
        <w:t xml:space="preserve"> Severa Benítez Alvarenga </w:t>
      </w:r>
      <w:r w:rsidRPr="00CF451D">
        <w:rPr>
          <w:rFonts w:ascii="Verdana" w:hAnsi="Verdana"/>
          <w:sz w:val="16"/>
          <w:szCs w:val="16"/>
          <w:lang w:val="pt-BR"/>
        </w:rPr>
        <w:t>(</w:t>
      </w:r>
      <w:r w:rsidRPr="002F50BD">
        <w:rPr>
          <w:rFonts w:ascii="Verdana" w:hAnsi="Verdana"/>
          <w:sz w:val="16"/>
          <w:szCs w:val="16"/>
          <w:lang w:val="pt-BR"/>
        </w:rPr>
        <w:t>80 anos</w:t>
      </w:r>
      <w:r w:rsidRPr="00CF451D">
        <w:rPr>
          <w:rFonts w:ascii="Verdana" w:hAnsi="Verdana"/>
          <w:sz w:val="16"/>
          <w:szCs w:val="16"/>
          <w:lang w:val="pt-BR"/>
        </w:rPr>
        <w:t>)</w:t>
      </w:r>
      <w:r w:rsidRPr="002F50BD">
        <w:rPr>
          <w:rFonts w:ascii="Verdana" w:hAnsi="Verdana"/>
          <w:sz w:val="16"/>
          <w:szCs w:val="16"/>
          <w:lang w:val="pt-BR"/>
        </w:rPr>
        <w:t xml:space="preserve"> morreu em 5 de janeiro de 2003 de arritmia - insuficiência cardíaca congestiva crônica – tendo sido examinada pelo médico Pablo Balmaceda antes de sua morte.</w:t>
      </w:r>
    </w:p>
    <w:p w:rsidR="00CF451D" w:rsidRPr="002F50BD" w:rsidRDefault="00CF451D">
      <w:pPr>
        <w:pStyle w:val="FootnoteText"/>
        <w:rPr>
          <w:rFonts w:ascii="Verdana" w:hAnsi="Verdana"/>
          <w:sz w:val="16"/>
          <w:szCs w:val="16"/>
          <w:lang w:val="pt-BR"/>
        </w:rPr>
      </w:pPr>
    </w:p>
  </w:footnote>
  <w:footnote w:id="23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Como consta na gravação e transcrição da audiência pública perante esta Corte, celebrada nos dias 4 e 5 de março de 2005, na sede do Tribunal em San José de Costa Rica, - que repousam nos arquivos da Corte.</w:t>
      </w:r>
    </w:p>
  </w:footnote>
  <w:footnote w:id="23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O Censo Indígena de 2002 registra 28 residências com 147 pessoas e entende como residência aquela destinada a servir de alojamento a lares particulares; o Censo considera como lar todas as pessoas que vivem juntas sob o mesmo teto e compartilham os gastos de alimentação </w:t>
      </w:r>
      <w:r w:rsidRPr="00CF451D">
        <w:rPr>
          <w:rFonts w:ascii="Verdana" w:hAnsi="Verdana"/>
          <w:sz w:val="16"/>
          <w:szCs w:val="16"/>
          <w:lang w:val="pt-BR"/>
        </w:rPr>
        <w:t>(</w:t>
      </w:r>
      <w:r w:rsidRPr="002F50BD">
        <w:rPr>
          <w:rFonts w:ascii="Verdana" w:hAnsi="Verdana"/>
          <w:sz w:val="16"/>
          <w:szCs w:val="16"/>
          <w:lang w:val="pt-BR"/>
        </w:rPr>
        <w:t>panela comum</w:t>
      </w:r>
      <w:r w:rsidRPr="00CF451D">
        <w:rPr>
          <w:rFonts w:ascii="Verdana" w:hAnsi="Verdana"/>
          <w:sz w:val="16"/>
          <w:szCs w:val="16"/>
          <w:lang w:val="pt-BR"/>
        </w:rPr>
        <w:t>)</w:t>
      </w:r>
      <w:r w:rsidRPr="002F50BD">
        <w:rPr>
          <w:rFonts w:ascii="Verdana" w:hAnsi="Verdana"/>
          <w:sz w:val="16"/>
          <w:szCs w:val="16"/>
          <w:lang w:val="pt-BR"/>
        </w:rPr>
        <w:t>.</w:t>
      </w:r>
    </w:p>
    <w:p w:rsidR="00CF451D" w:rsidRPr="002F50BD" w:rsidRDefault="00CF451D">
      <w:pPr>
        <w:pStyle w:val="FootnoteText"/>
        <w:jc w:val="both"/>
        <w:rPr>
          <w:rFonts w:ascii="Verdana" w:hAnsi="Verdana"/>
          <w:sz w:val="16"/>
          <w:szCs w:val="16"/>
          <w:lang w:val="pt-BR"/>
        </w:rPr>
      </w:pPr>
    </w:p>
  </w:footnote>
  <w:footnote w:id="23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Apresentação Autônoma dos Representantes das Vítimas perante a Corte Interamericana de Direitos Humanos. Antecedentes históricos da Comunidade Yakye Axa. </w:t>
      </w:r>
    </w:p>
    <w:p w:rsidR="00CF451D" w:rsidRPr="002F50BD" w:rsidRDefault="00CF451D">
      <w:pPr>
        <w:pStyle w:val="FootnoteText"/>
        <w:jc w:val="both"/>
        <w:rPr>
          <w:rFonts w:ascii="Verdana" w:hAnsi="Verdana"/>
          <w:sz w:val="16"/>
          <w:szCs w:val="16"/>
          <w:lang w:val="pt-BR"/>
        </w:rPr>
      </w:pPr>
    </w:p>
  </w:footnote>
  <w:footnote w:id="23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A colônia El Estribo conta com 27.741 hectares e em 2002 contava com 266 lares ou residências - Censo Nacional Indígena 2002.</w:t>
      </w:r>
    </w:p>
    <w:p w:rsidR="00CF451D" w:rsidRPr="002F50BD" w:rsidRDefault="00CF451D">
      <w:pPr>
        <w:pStyle w:val="FootnoteText"/>
        <w:jc w:val="both"/>
        <w:rPr>
          <w:rFonts w:ascii="Verdana" w:hAnsi="Verdana"/>
          <w:sz w:val="16"/>
          <w:szCs w:val="16"/>
          <w:lang w:val="pt-BR"/>
        </w:rPr>
      </w:pPr>
    </w:p>
  </w:footnote>
  <w:footnote w:id="23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No direito interno, o investimento de recursos públicos para a construção de obras de infraestrutura sanitária à beira da rodovia.</w:t>
      </w:r>
    </w:p>
    <w:p w:rsidR="00CF451D" w:rsidRPr="002F50BD" w:rsidRDefault="00CF451D">
      <w:pPr>
        <w:pStyle w:val="FootnoteText"/>
        <w:jc w:val="both"/>
        <w:rPr>
          <w:rFonts w:ascii="Verdana" w:hAnsi="Verdana"/>
          <w:sz w:val="16"/>
          <w:szCs w:val="16"/>
          <w:lang w:val="pt-BR"/>
        </w:rPr>
      </w:pPr>
    </w:p>
  </w:footnote>
  <w:footnote w:id="23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Artigos 8, 9 e 16 da Lei 904/81.</w:t>
      </w:r>
    </w:p>
    <w:p w:rsidR="00CF451D" w:rsidRPr="002F50BD" w:rsidRDefault="00CF451D">
      <w:pPr>
        <w:pStyle w:val="FootnoteText"/>
        <w:jc w:val="both"/>
        <w:rPr>
          <w:rFonts w:ascii="Verdana" w:hAnsi="Verdana"/>
          <w:sz w:val="16"/>
          <w:szCs w:val="16"/>
          <w:lang w:val="pt-BR"/>
        </w:rPr>
      </w:pPr>
    </w:p>
  </w:footnote>
  <w:footnote w:id="23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Demanda da Comissão, par. 178. Os fatores protetores aludem a serviços médicos, criação de condições físicas para a autoprodução de alimentos, serviços de educação, etc. Conforme o direito interno, a utilização de recursos financeiros públicos para a construção de um sistema de água potável ou de infraestrutura de outro tipo, à margem de uma rodovia e numa faixa de domínio, implica a comissão do delito de malversação. </w:t>
      </w:r>
    </w:p>
    <w:p w:rsidR="00CF451D" w:rsidRPr="002F50BD" w:rsidRDefault="00CF451D">
      <w:pPr>
        <w:pStyle w:val="FootnoteText"/>
        <w:jc w:val="both"/>
        <w:rPr>
          <w:rFonts w:ascii="Verdana" w:hAnsi="Verdana"/>
          <w:sz w:val="16"/>
          <w:szCs w:val="16"/>
          <w:lang w:val="pt-BR"/>
        </w:rPr>
      </w:pPr>
    </w:p>
  </w:footnote>
  <w:footnote w:id="23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Demanda da Comissão, par.192.</w:t>
      </w:r>
    </w:p>
    <w:p w:rsidR="00CF451D" w:rsidRPr="002F50BD" w:rsidRDefault="00CF451D">
      <w:pPr>
        <w:pStyle w:val="FootnoteText"/>
        <w:jc w:val="both"/>
        <w:rPr>
          <w:rFonts w:ascii="Verdana" w:hAnsi="Verdana"/>
          <w:sz w:val="16"/>
          <w:szCs w:val="16"/>
          <w:lang w:val="pt-BR"/>
        </w:rPr>
      </w:pPr>
    </w:p>
  </w:footnote>
  <w:footnote w:id="23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Contestação da demanda, par. 166 a 170, 189.</w:t>
      </w:r>
    </w:p>
    <w:p w:rsidR="00CF451D" w:rsidRPr="002F50BD" w:rsidRDefault="00CF451D">
      <w:pPr>
        <w:pStyle w:val="FootnoteText"/>
        <w:jc w:val="both"/>
        <w:rPr>
          <w:rFonts w:ascii="Verdana" w:hAnsi="Verdana"/>
          <w:sz w:val="16"/>
          <w:szCs w:val="16"/>
          <w:lang w:val="pt-BR"/>
        </w:rPr>
      </w:pPr>
    </w:p>
  </w:footnote>
  <w:footnote w:id="24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Parecer Consultivo OC - 16/99 - o Direito à Informação sobre a Assistência Consular no marco das Garantias do Devido Processo Penal, par. 113. Voto fundamentado concordante do Juiz Sergio García Ramírez à Sentença de Mérito e Reparações do Caso da Comunidade Mayagna </w:t>
      </w:r>
      <w:r w:rsidRPr="00CF451D">
        <w:rPr>
          <w:rFonts w:ascii="Verdana" w:hAnsi="Verdana"/>
          <w:sz w:val="16"/>
          <w:szCs w:val="16"/>
          <w:lang w:val="pt-BR"/>
        </w:rPr>
        <w:t>(</w:t>
      </w:r>
      <w:r w:rsidRPr="002F50BD">
        <w:rPr>
          <w:rFonts w:ascii="Verdana" w:hAnsi="Verdana"/>
          <w:sz w:val="16"/>
          <w:szCs w:val="16"/>
          <w:lang w:val="pt-BR"/>
        </w:rPr>
        <w:t>Sumo</w:t>
      </w:r>
      <w:r w:rsidRPr="00CF451D">
        <w:rPr>
          <w:rFonts w:ascii="Verdana" w:hAnsi="Verdana"/>
          <w:sz w:val="16"/>
          <w:szCs w:val="16"/>
          <w:lang w:val="pt-BR"/>
        </w:rPr>
        <w:t>)</w:t>
      </w:r>
      <w:r w:rsidRPr="002F50BD">
        <w:rPr>
          <w:rFonts w:ascii="Verdana" w:hAnsi="Verdana"/>
          <w:sz w:val="16"/>
          <w:szCs w:val="16"/>
          <w:lang w:val="pt-BR"/>
        </w:rPr>
        <w:t xml:space="preserve"> Awas Tingni.</w:t>
      </w:r>
    </w:p>
    <w:p w:rsidR="00CF451D" w:rsidRPr="002F50BD" w:rsidRDefault="00CF451D">
      <w:pPr>
        <w:pStyle w:val="FootnoteText"/>
        <w:jc w:val="both"/>
        <w:rPr>
          <w:rFonts w:ascii="Verdana" w:hAnsi="Verdana"/>
          <w:sz w:val="16"/>
          <w:szCs w:val="16"/>
          <w:lang w:val="pt-BR"/>
        </w:rPr>
      </w:pPr>
    </w:p>
  </w:footnote>
  <w:footnote w:id="24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Artigo 29. Normas de Interpretação. Convenção Americana sobre Direitos Humanos; Demanda da Comissão Interamericana no presente caso, par. 136; Corte IDH. Caso Cinco Pensionistas. Sentença de 28 de Fevereiro de 2003, par.103</w:t>
      </w:r>
    </w:p>
    <w:p w:rsidR="00CF451D" w:rsidRPr="002F50BD" w:rsidRDefault="00CF451D">
      <w:pPr>
        <w:pStyle w:val="FootnoteText"/>
        <w:jc w:val="both"/>
        <w:rPr>
          <w:rFonts w:ascii="Verdana" w:hAnsi="Verdana"/>
          <w:sz w:val="16"/>
          <w:szCs w:val="16"/>
          <w:lang w:val="pt-BR"/>
        </w:rPr>
      </w:pPr>
    </w:p>
  </w:footnote>
  <w:footnote w:id="24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Convenção Nº 169 sobre povos indígenas e tribais em países independentes, adotada durante a 76ª Conferência Internacional de Trabalho, celebrada em Genebra em 7 de junho de 1969, ratificada pela Lei</w:t>
      </w:r>
      <w:r>
        <w:rPr>
          <w:rFonts w:ascii="Verdana" w:hAnsi="Verdana"/>
          <w:sz w:val="16"/>
          <w:szCs w:val="16"/>
          <w:lang w:val="pt-BR"/>
        </w:rPr>
        <w:t xml:space="preserve"> </w:t>
      </w:r>
      <w:r w:rsidRPr="002F50BD">
        <w:rPr>
          <w:rFonts w:ascii="Verdana" w:hAnsi="Verdana"/>
          <w:sz w:val="16"/>
          <w:szCs w:val="16"/>
          <w:lang w:val="pt-BR"/>
        </w:rPr>
        <w:t>234/93.</w:t>
      </w:r>
    </w:p>
    <w:p w:rsidR="00CF451D" w:rsidRPr="002F50BD" w:rsidRDefault="00CF451D">
      <w:pPr>
        <w:pStyle w:val="FootnoteText"/>
        <w:jc w:val="both"/>
        <w:rPr>
          <w:rFonts w:ascii="Verdana" w:hAnsi="Verdana"/>
          <w:sz w:val="16"/>
          <w:szCs w:val="16"/>
          <w:lang w:val="pt-BR"/>
        </w:rPr>
      </w:pPr>
    </w:p>
  </w:footnote>
  <w:footnote w:id="24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A Lei 854/63 foi derrogada pela Lei 1863/02.</w:t>
      </w:r>
    </w:p>
    <w:p w:rsidR="00CF451D" w:rsidRPr="002F50BD" w:rsidRDefault="00CF451D">
      <w:pPr>
        <w:pStyle w:val="FootnoteText"/>
        <w:jc w:val="both"/>
        <w:rPr>
          <w:rFonts w:ascii="Verdana" w:hAnsi="Verdana"/>
          <w:smallCaps/>
          <w:sz w:val="16"/>
          <w:szCs w:val="16"/>
          <w:lang w:val="pt-BR"/>
        </w:rPr>
      </w:pPr>
    </w:p>
  </w:footnote>
  <w:footnote w:id="24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Contestação da Demanda, par.148. </w:t>
      </w:r>
    </w:p>
    <w:p w:rsidR="00CF451D" w:rsidRPr="002F50BD" w:rsidRDefault="00CF451D">
      <w:pPr>
        <w:pStyle w:val="FootnoteText"/>
        <w:jc w:val="both"/>
        <w:rPr>
          <w:rFonts w:ascii="Verdana" w:hAnsi="Verdana"/>
          <w:sz w:val="16"/>
          <w:szCs w:val="16"/>
          <w:lang w:val="pt-BR"/>
        </w:rPr>
      </w:pPr>
    </w:p>
  </w:footnote>
  <w:footnote w:id="24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Nota de Deputados proponentes com data de entrada 17 de novembro de 2000, expediente 3886, folha 2.</w:t>
      </w:r>
    </w:p>
    <w:p w:rsidR="00CF451D" w:rsidRPr="002F50BD" w:rsidRDefault="00CF451D">
      <w:pPr>
        <w:pStyle w:val="FootnoteText"/>
        <w:jc w:val="both"/>
        <w:rPr>
          <w:rFonts w:ascii="Verdana" w:hAnsi="Verdana"/>
          <w:sz w:val="16"/>
          <w:szCs w:val="16"/>
          <w:lang w:val="pt-BR"/>
        </w:rPr>
      </w:pPr>
    </w:p>
  </w:footnote>
  <w:footnote w:id="24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Minuta da Sessão Ordinário da Câmara de Senadores de 27 de Junho de 2002. O pagamento da justa indenização, pela expropriação de uma fazenda com instalações modernas, proposta no direito interno e no artigo 21 </w:t>
      </w:r>
      <w:r w:rsidRPr="00CF451D">
        <w:rPr>
          <w:rFonts w:ascii="Verdana" w:hAnsi="Verdana"/>
          <w:sz w:val="16"/>
          <w:szCs w:val="16"/>
          <w:lang w:val="pt-BR"/>
        </w:rPr>
        <w:t>(</w:t>
      </w:r>
      <w:r w:rsidRPr="002F50BD">
        <w:rPr>
          <w:rFonts w:ascii="Verdana" w:hAnsi="Verdana"/>
          <w:sz w:val="16"/>
          <w:szCs w:val="16"/>
          <w:lang w:val="pt-BR"/>
        </w:rPr>
        <w:t>2</w:t>
      </w:r>
      <w:r w:rsidRPr="00CF451D">
        <w:rPr>
          <w:rFonts w:ascii="Verdana" w:hAnsi="Verdana"/>
          <w:sz w:val="16"/>
          <w:szCs w:val="16"/>
          <w:lang w:val="pt-BR"/>
        </w:rPr>
        <w:t>)</w:t>
      </w:r>
      <w:r w:rsidRPr="002F50BD">
        <w:rPr>
          <w:rFonts w:ascii="Verdana" w:hAnsi="Verdana"/>
          <w:sz w:val="16"/>
          <w:szCs w:val="16"/>
          <w:lang w:val="pt-BR"/>
        </w:rPr>
        <w:t xml:space="preserve"> da Convenção Americana, certamente limitará as possibilidades do Estado de intervir protegendo os direitos de outras comunidades indígenas amparadas.</w:t>
      </w:r>
    </w:p>
    <w:p w:rsidR="00CF451D" w:rsidRPr="002F50BD" w:rsidRDefault="00CF451D">
      <w:pPr>
        <w:pStyle w:val="FootnoteText"/>
        <w:jc w:val="both"/>
        <w:rPr>
          <w:rFonts w:ascii="Verdana" w:hAnsi="Verdana"/>
          <w:sz w:val="16"/>
          <w:szCs w:val="16"/>
          <w:lang w:val="pt-BR"/>
        </w:rPr>
      </w:pPr>
    </w:p>
  </w:footnote>
  <w:footnote w:id="24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Contestação à Demanda, par. 152.</w:t>
      </w:r>
    </w:p>
    <w:p w:rsidR="00CF451D" w:rsidRPr="002F50BD" w:rsidRDefault="00CF451D">
      <w:pPr>
        <w:pStyle w:val="FootnoteText"/>
        <w:jc w:val="both"/>
        <w:rPr>
          <w:rFonts w:ascii="Verdana" w:hAnsi="Verdana"/>
          <w:sz w:val="16"/>
          <w:szCs w:val="16"/>
          <w:lang w:val="pt-BR"/>
        </w:rPr>
      </w:pPr>
    </w:p>
  </w:footnote>
  <w:footnote w:id="24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Demanda da Comissão Interamericana. Petitório dos escritos principais. Doc. Resumo, par.2. </w:t>
      </w:r>
    </w:p>
    <w:p w:rsidR="00CF451D" w:rsidRPr="002F50BD" w:rsidRDefault="00CF451D">
      <w:pPr>
        <w:pStyle w:val="FootnoteText"/>
        <w:jc w:val="both"/>
        <w:rPr>
          <w:rFonts w:ascii="Verdana" w:hAnsi="Verdana"/>
          <w:sz w:val="16"/>
          <w:szCs w:val="16"/>
          <w:lang w:val="pt-BR"/>
        </w:rPr>
      </w:pPr>
    </w:p>
  </w:footnote>
  <w:footnote w:id="249">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Corte IDH. </w:t>
      </w:r>
      <w:r w:rsidRPr="002F50BD">
        <w:rPr>
          <w:rFonts w:ascii="Verdana" w:hAnsi="Verdana"/>
          <w:sz w:val="16"/>
          <w:szCs w:val="16"/>
          <w:lang w:val="pt-BR"/>
        </w:rPr>
        <w:t xml:space="preserve">Caso Villagrán Morales e outros </w:t>
      </w:r>
      <w:r w:rsidRPr="00CF451D">
        <w:rPr>
          <w:rFonts w:ascii="Verdana" w:hAnsi="Verdana"/>
          <w:sz w:val="16"/>
          <w:szCs w:val="16"/>
          <w:lang w:val="pt-BR"/>
        </w:rPr>
        <w:t>(</w:t>
      </w:r>
      <w:r w:rsidRPr="002F50BD">
        <w:rPr>
          <w:rFonts w:ascii="Verdana" w:hAnsi="Verdana"/>
          <w:sz w:val="16"/>
          <w:szCs w:val="16"/>
          <w:lang w:val="pt-BR"/>
        </w:rPr>
        <w:t>Casos das “Crianças de Rua”</w:t>
      </w:r>
      <w:r w:rsidRPr="00CF451D">
        <w:rPr>
          <w:rFonts w:ascii="Verdana" w:hAnsi="Verdana"/>
          <w:sz w:val="16"/>
          <w:szCs w:val="16"/>
          <w:lang w:val="pt-BR"/>
        </w:rPr>
        <w:t>)</w:t>
      </w:r>
      <w:r w:rsidRPr="002F50BD">
        <w:rPr>
          <w:rFonts w:ascii="Verdana" w:hAnsi="Verdana"/>
          <w:sz w:val="16"/>
          <w:szCs w:val="16"/>
          <w:lang w:val="pt-BR"/>
        </w:rPr>
        <w:t>, Sentença de 19 de novembro de 1999, par. 144.</w:t>
      </w:r>
    </w:p>
    <w:p w:rsidR="00CF451D" w:rsidRPr="002F50BD" w:rsidRDefault="00CF451D">
      <w:pPr>
        <w:pStyle w:val="FootnoteText"/>
        <w:jc w:val="both"/>
        <w:rPr>
          <w:rFonts w:ascii="Verdana" w:hAnsi="Verdana"/>
          <w:sz w:val="16"/>
          <w:szCs w:val="16"/>
          <w:lang w:val="pt-BR"/>
        </w:rPr>
      </w:pPr>
    </w:p>
  </w:footnote>
  <w:footnote w:id="25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Corte Interamericana de Direitos Humanos. Voto concordante conjunto dos juízes Antonio Augusto Cançado Trindade e Alirio Abreu Burelli, caso Villagrán Morales e outros </w:t>
      </w:r>
      <w:r w:rsidRPr="00CF451D">
        <w:rPr>
          <w:rFonts w:ascii="Verdana" w:hAnsi="Verdana"/>
          <w:sz w:val="16"/>
          <w:szCs w:val="16"/>
          <w:lang w:val="pt-BR"/>
        </w:rPr>
        <w:t>(</w:t>
      </w:r>
      <w:r w:rsidRPr="002F50BD">
        <w:rPr>
          <w:rFonts w:ascii="Verdana" w:hAnsi="Verdana"/>
          <w:sz w:val="16"/>
          <w:szCs w:val="16"/>
          <w:lang w:val="pt-BR"/>
        </w:rPr>
        <w:t>Caso das “Crianças de Rua”</w:t>
      </w:r>
      <w:r w:rsidRPr="00CF451D">
        <w:rPr>
          <w:rFonts w:ascii="Verdana" w:hAnsi="Verdana"/>
          <w:sz w:val="16"/>
          <w:szCs w:val="16"/>
          <w:lang w:val="pt-BR"/>
        </w:rPr>
        <w:t>)</w:t>
      </w:r>
      <w:r w:rsidRPr="002F50BD">
        <w:rPr>
          <w:rFonts w:ascii="Verdana" w:hAnsi="Verdana"/>
          <w:sz w:val="16"/>
          <w:szCs w:val="16"/>
          <w:lang w:val="pt-BR"/>
        </w:rPr>
        <w:t>, par. 4.</w:t>
      </w:r>
    </w:p>
    <w:p w:rsidR="00CF451D" w:rsidRPr="002F50BD" w:rsidRDefault="00CF451D">
      <w:pPr>
        <w:pStyle w:val="FootnoteText"/>
        <w:jc w:val="both"/>
        <w:rPr>
          <w:rFonts w:ascii="Verdana" w:hAnsi="Verdana"/>
          <w:sz w:val="16"/>
          <w:szCs w:val="16"/>
          <w:lang w:val="pt-BR"/>
        </w:rPr>
      </w:pPr>
    </w:p>
  </w:footnote>
  <w:footnote w:id="25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Protocolo Adicional à Convenção Americana sobre Direitos Humanos em matéria de Direitos Econômicos, Sociais e Culturais “Protocolo de San Salvador”. A Comissão de Direitos Humanos das Nações Unidas afirmou que as situações de extrema pobreza afetam todos os direitos humanos, os civis, culturais, econômicos e políticos, assim como o direito ao desenvolvimento, que têm a pessoa humana como sujeito central. E/CN.4/1995/101 par. 83. </w:t>
      </w:r>
    </w:p>
    <w:p w:rsidR="00CF451D" w:rsidRPr="002F50BD" w:rsidRDefault="00CF451D">
      <w:pPr>
        <w:pStyle w:val="FootnoteText"/>
        <w:jc w:val="both"/>
        <w:rPr>
          <w:rFonts w:ascii="Verdana" w:hAnsi="Verdana"/>
          <w:sz w:val="16"/>
          <w:szCs w:val="16"/>
          <w:lang w:val="pt-BR"/>
        </w:rPr>
      </w:pPr>
    </w:p>
  </w:footnote>
  <w:footnote w:id="25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E/CN.4/ Sub 2/200425.</w:t>
      </w:r>
    </w:p>
    <w:p w:rsidR="00CF451D" w:rsidRPr="002F50BD" w:rsidRDefault="00CF451D">
      <w:pPr>
        <w:pStyle w:val="FootnoteText"/>
        <w:jc w:val="both"/>
        <w:rPr>
          <w:rFonts w:ascii="Verdana" w:hAnsi="Verdana"/>
          <w:sz w:val="16"/>
          <w:szCs w:val="16"/>
          <w:lang w:val="pt-BR"/>
        </w:rPr>
      </w:pPr>
    </w:p>
  </w:footnote>
  <w:footnote w:id="25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E/CN.4/ Sub 2/2004/44.</w:t>
      </w:r>
    </w:p>
    <w:p w:rsidR="00CF451D" w:rsidRPr="002F50BD" w:rsidRDefault="00CF451D">
      <w:pPr>
        <w:pStyle w:val="FootnoteText"/>
        <w:jc w:val="both"/>
        <w:rPr>
          <w:rFonts w:ascii="Verdana" w:hAnsi="Verdana"/>
          <w:sz w:val="16"/>
          <w:szCs w:val="16"/>
          <w:lang w:val="pt-BR"/>
        </w:rPr>
      </w:pPr>
    </w:p>
  </w:footnote>
  <w:footnote w:id="254">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Caso da Comunidade Yakye Axa Audiência Pública celebrada em 3 e 4 de Março de 2005 na Sede da Corte. </w:t>
      </w:r>
    </w:p>
    <w:p w:rsidR="00CF451D" w:rsidRPr="002F50BD" w:rsidRDefault="00CF451D">
      <w:pPr>
        <w:pStyle w:val="FootnoteText"/>
        <w:jc w:val="both"/>
        <w:rPr>
          <w:rFonts w:ascii="Verdana" w:hAnsi="Verdana"/>
          <w:sz w:val="16"/>
          <w:szCs w:val="16"/>
          <w:lang w:val="pt-BR"/>
        </w:rPr>
      </w:pPr>
    </w:p>
  </w:footnote>
  <w:footnote w:id="255">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O princípio de indivisibilidade impede alcançar melhoras em um dos direitos humanos à custa</w:t>
      </w:r>
      <w:r>
        <w:rPr>
          <w:rFonts w:ascii="Verdana" w:hAnsi="Verdana"/>
          <w:sz w:val="16"/>
          <w:szCs w:val="16"/>
          <w:lang w:val="pt-BR"/>
        </w:rPr>
        <w:t xml:space="preserve"> </w:t>
      </w:r>
      <w:r w:rsidRPr="002F50BD">
        <w:rPr>
          <w:rFonts w:ascii="Verdana" w:hAnsi="Verdana"/>
          <w:sz w:val="16"/>
          <w:szCs w:val="16"/>
          <w:lang w:val="pt-BR"/>
        </w:rPr>
        <w:t>de outro, enquanto o princípio de interdependência sugere que as melhoras na realização</w:t>
      </w:r>
      <w:r>
        <w:rPr>
          <w:rFonts w:ascii="Verdana" w:hAnsi="Verdana"/>
          <w:sz w:val="16"/>
          <w:szCs w:val="16"/>
          <w:lang w:val="pt-BR"/>
        </w:rPr>
        <w:t xml:space="preserve"> </w:t>
      </w:r>
      <w:r w:rsidRPr="002F50BD">
        <w:rPr>
          <w:rFonts w:ascii="Verdana" w:hAnsi="Verdana"/>
          <w:sz w:val="16"/>
          <w:szCs w:val="16"/>
          <w:lang w:val="pt-BR"/>
        </w:rPr>
        <w:t>de qualquer direito humano depende da realização de todos ou, ao menos, de alguns. E/CN.4/ Sub 2/2004/25.</w:t>
      </w:r>
    </w:p>
    <w:p w:rsidR="00CF451D" w:rsidRPr="002F50BD" w:rsidRDefault="00CF451D">
      <w:pPr>
        <w:pStyle w:val="FootnoteText"/>
        <w:jc w:val="both"/>
        <w:rPr>
          <w:rFonts w:ascii="Verdana" w:hAnsi="Verdana"/>
          <w:sz w:val="16"/>
          <w:szCs w:val="16"/>
          <w:lang w:val="pt-BR"/>
        </w:rPr>
      </w:pPr>
    </w:p>
  </w:footnote>
  <w:footnote w:id="256">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A Lei 904/81 estabelece que os grupos indígenas separados de suas comunidades que se reagrupem devem ter uma quantidade mínima de 20 famílias.</w:t>
      </w:r>
    </w:p>
    <w:p w:rsidR="00CF451D" w:rsidRPr="002F50BD" w:rsidRDefault="00CF451D">
      <w:pPr>
        <w:pStyle w:val="FootnoteText"/>
        <w:jc w:val="both"/>
        <w:rPr>
          <w:rFonts w:ascii="Verdana" w:hAnsi="Verdana"/>
          <w:sz w:val="16"/>
          <w:szCs w:val="16"/>
          <w:lang w:val="pt-BR"/>
        </w:rPr>
      </w:pPr>
    </w:p>
  </w:footnote>
  <w:footnote w:id="257">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Deve-se levar em consideração que, de fato, já existem comunidades indígenas as quais, apesar de ter acesso a terras adequadas em qualidade e tamanho, se encontram em extrema pobreza devido à falta de intervenções adequadas.</w:t>
      </w:r>
    </w:p>
    <w:p w:rsidR="00CF451D" w:rsidRPr="002F50BD" w:rsidRDefault="00CF451D">
      <w:pPr>
        <w:pStyle w:val="FootnoteText"/>
        <w:jc w:val="both"/>
        <w:rPr>
          <w:rFonts w:ascii="Verdana" w:hAnsi="Verdana"/>
          <w:sz w:val="16"/>
          <w:szCs w:val="16"/>
          <w:lang w:val="pt-BR"/>
        </w:rPr>
      </w:pPr>
    </w:p>
  </w:footnote>
  <w:footnote w:id="258">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Corte Interamericana de Direitos Humanos. </w:t>
      </w:r>
      <w:r w:rsidRPr="002F50BD">
        <w:rPr>
          <w:rFonts w:ascii="Verdana" w:hAnsi="Verdana"/>
          <w:sz w:val="16"/>
          <w:szCs w:val="16"/>
          <w:lang w:val="pt-BR"/>
        </w:rPr>
        <w:t xml:space="preserve">Caso Villagrán Morales e outros </w:t>
      </w:r>
      <w:r w:rsidRPr="00CF451D">
        <w:rPr>
          <w:rFonts w:ascii="Verdana" w:hAnsi="Verdana"/>
          <w:sz w:val="16"/>
          <w:szCs w:val="16"/>
          <w:lang w:val="pt-BR"/>
        </w:rPr>
        <w:t>(</w:t>
      </w:r>
      <w:r w:rsidRPr="002F50BD">
        <w:rPr>
          <w:rFonts w:ascii="Verdana" w:hAnsi="Verdana"/>
          <w:sz w:val="16"/>
          <w:szCs w:val="16"/>
          <w:lang w:val="pt-BR"/>
        </w:rPr>
        <w:t>Casos das “Crianças de Rua”</w:t>
      </w:r>
      <w:r w:rsidRPr="00CF451D">
        <w:rPr>
          <w:rFonts w:ascii="Verdana" w:hAnsi="Verdana"/>
          <w:sz w:val="16"/>
          <w:szCs w:val="16"/>
          <w:lang w:val="pt-BR"/>
        </w:rPr>
        <w:t>)</w:t>
      </w:r>
      <w:r w:rsidRPr="002F50BD">
        <w:rPr>
          <w:rFonts w:ascii="Verdana" w:hAnsi="Verdana"/>
          <w:sz w:val="16"/>
          <w:szCs w:val="16"/>
          <w:lang w:val="pt-BR"/>
        </w:rPr>
        <w:t xml:space="preserve"> Sentença de 19 de Novembro de 1999, par. 193, e Corte Interamericana de Direitos Humanos, o Direito à Informação sobre a Assistência Consular no marco das Garantias do Devido Processo Penal - Parecer Consultivo OC – 16/99, par. 114.</w:t>
      </w:r>
    </w:p>
    <w:p w:rsidR="00CF451D" w:rsidRPr="002F50BD" w:rsidRDefault="00CF451D">
      <w:pPr>
        <w:pStyle w:val="FootnoteText"/>
        <w:jc w:val="both"/>
        <w:rPr>
          <w:rFonts w:ascii="Verdana" w:hAnsi="Verdana"/>
          <w:sz w:val="16"/>
          <w:szCs w:val="16"/>
          <w:lang w:val="pt-BR"/>
        </w:rPr>
      </w:pPr>
    </w:p>
  </w:footnote>
  <w:footnote w:id="259">
    <w:p w:rsidR="00CF451D" w:rsidRPr="002F50BD" w:rsidRDefault="00CF451D" w:rsidP="00E13112">
      <w:pPr>
        <w:pStyle w:val="Heading5"/>
        <w:ind w:left="0"/>
        <w:jc w:val="both"/>
        <w:rPr>
          <w:b w:val="0"/>
          <w:i/>
          <w:caps/>
          <w:sz w:val="16"/>
          <w:szCs w:val="16"/>
          <w:lang w:val="en-GB"/>
        </w:rPr>
      </w:pPr>
      <w:r w:rsidRPr="002F50BD">
        <w:rPr>
          <w:rStyle w:val="FootnoteReference"/>
          <w:b w:val="0"/>
          <w:sz w:val="16"/>
          <w:szCs w:val="16"/>
        </w:rPr>
        <w:footnoteRef/>
      </w:r>
      <w:r w:rsidRPr="002F50BD">
        <w:rPr>
          <w:b w:val="0"/>
          <w:sz w:val="16"/>
          <w:szCs w:val="16"/>
          <w:lang w:val="en-GB"/>
        </w:rPr>
        <w:tab/>
        <w:t xml:space="preserve"> </w:t>
      </w:r>
      <w:r w:rsidRPr="002F50BD">
        <w:rPr>
          <w:b w:val="0"/>
          <w:i/>
          <w:sz w:val="16"/>
          <w:szCs w:val="16"/>
          <w:lang w:val="en-GB"/>
        </w:rPr>
        <w:t xml:space="preserve">UNESCO, </w:t>
      </w:r>
      <w:r w:rsidRPr="002F50BD">
        <w:rPr>
          <w:b w:val="0"/>
          <w:sz w:val="16"/>
          <w:szCs w:val="16"/>
          <w:lang w:val="en-GB"/>
        </w:rPr>
        <w:t>Poverty as a violation of Human Rights. 2004,</w:t>
      </w:r>
      <w:r>
        <w:rPr>
          <w:b w:val="0"/>
          <w:sz w:val="16"/>
          <w:szCs w:val="16"/>
          <w:lang w:val="en-GB"/>
        </w:rPr>
        <w:t xml:space="preserve"> </w:t>
      </w:r>
      <w:r w:rsidRPr="002F50BD">
        <w:rPr>
          <w:b w:val="0"/>
          <w:i/>
          <w:sz w:val="16"/>
          <w:szCs w:val="16"/>
          <w:lang w:val="en-GB"/>
        </w:rPr>
        <w:t>by José Bengoa, Member of the United Nations Sub-Commission for the protection and promotion of human rights, Chairman of the United Nations working group on extreme poverty.</w:t>
      </w:r>
    </w:p>
    <w:p w:rsidR="00CF451D" w:rsidRPr="002F50BD" w:rsidRDefault="00CF451D">
      <w:pPr>
        <w:pStyle w:val="FootnoteText"/>
        <w:jc w:val="both"/>
        <w:rPr>
          <w:rFonts w:ascii="Verdana" w:hAnsi="Verdana"/>
          <w:sz w:val="16"/>
          <w:szCs w:val="16"/>
          <w:lang w:val="en-GB"/>
        </w:rPr>
      </w:pPr>
    </w:p>
  </w:footnote>
  <w:footnote w:id="260">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E/CN.4/ Sub 2/2004/44 par. 11, 17 e 19.</w:t>
      </w:r>
    </w:p>
    <w:p w:rsidR="00CF451D" w:rsidRPr="002F50BD" w:rsidRDefault="00CF451D">
      <w:pPr>
        <w:pStyle w:val="FootnoteText"/>
        <w:jc w:val="both"/>
        <w:rPr>
          <w:rFonts w:ascii="Verdana" w:hAnsi="Verdana"/>
          <w:sz w:val="16"/>
          <w:szCs w:val="16"/>
          <w:lang w:val="pt-BR"/>
        </w:rPr>
      </w:pPr>
    </w:p>
  </w:footnote>
  <w:footnote w:id="261">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Corte Interamericana de Direitos Humanos. Voto concordante conjunto dos juízes Antônio Augusto Cançado Trindade e Alirio Abreu Burelli, caso Villagrán Morales e outros </w:t>
      </w:r>
      <w:r w:rsidRPr="00CF451D">
        <w:rPr>
          <w:rFonts w:ascii="Verdana" w:hAnsi="Verdana"/>
          <w:sz w:val="16"/>
          <w:szCs w:val="16"/>
          <w:lang w:val="pt-BR"/>
        </w:rPr>
        <w:t>(</w:t>
      </w:r>
      <w:r w:rsidRPr="002F50BD">
        <w:rPr>
          <w:rFonts w:ascii="Verdana" w:hAnsi="Verdana"/>
          <w:sz w:val="16"/>
          <w:szCs w:val="16"/>
          <w:lang w:val="pt-BR"/>
        </w:rPr>
        <w:t>Caso das “Crianças de Rua”</w:t>
      </w:r>
      <w:r w:rsidRPr="00CF451D">
        <w:rPr>
          <w:rFonts w:ascii="Verdana" w:hAnsi="Verdana"/>
          <w:sz w:val="16"/>
          <w:szCs w:val="16"/>
          <w:lang w:val="pt-BR"/>
        </w:rPr>
        <w:t>)</w:t>
      </w:r>
      <w:r w:rsidRPr="002F50BD">
        <w:rPr>
          <w:rFonts w:ascii="Verdana" w:hAnsi="Verdana"/>
          <w:sz w:val="16"/>
          <w:szCs w:val="16"/>
          <w:lang w:val="pt-BR"/>
        </w:rPr>
        <w:t xml:space="preserve">, par. 6. Tendo em conta que a conduta dos Estados, sobretudo dos pequenos, ante as empresas transnacionais que controlam os mercados está marcada pela debilidade, a comunidade internacional em seu conjunto deve assumir que a responsabilidade é compartilhada pelos atores envolvidos. E/CN.4/Sub 2/2004/44, par.19 e 20. </w:t>
      </w:r>
    </w:p>
    <w:p w:rsidR="00CF451D" w:rsidRPr="002F50BD" w:rsidRDefault="00CF451D">
      <w:pPr>
        <w:pStyle w:val="FootnoteText"/>
        <w:jc w:val="both"/>
        <w:rPr>
          <w:rFonts w:ascii="Verdana" w:hAnsi="Verdana"/>
          <w:sz w:val="16"/>
          <w:szCs w:val="16"/>
          <w:lang w:val="pt-BR"/>
        </w:rPr>
      </w:pPr>
    </w:p>
  </w:footnote>
  <w:footnote w:id="262">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ab/>
        <w:t xml:space="preserve">São pertinentes os artigos 2 e 11 do Pacto. </w:t>
      </w:r>
      <w:r w:rsidRPr="002F50BD">
        <w:rPr>
          <w:rFonts w:ascii="Verdana" w:hAnsi="Verdana"/>
          <w:sz w:val="16"/>
          <w:szCs w:val="16"/>
          <w:lang w:val="pt-BR"/>
        </w:rPr>
        <w:t>O artigo menciona “a assistência e cooperação internacional, enquanto o artigo 11 estabelece que os Estados Partes no presente Pacto, reconhecendo o direito fundamental de toda pessoa de estar protegida contra a fome, adotarão, individualmente e mediante cooperação internacional, as medidas… que se façam necessárias… para assegurar uma repartição eq</w:t>
      </w:r>
      <w:r w:rsidR="003F3630">
        <w:rPr>
          <w:rFonts w:ascii="Verdana" w:hAnsi="Verdana"/>
          <w:sz w:val="16"/>
          <w:szCs w:val="16"/>
          <w:lang w:val="pt-BR"/>
        </w:rPr>
        <w:t>u</w:t>
      </w:r>
      <w:r w:rsidRPr="002F50BD">
        <w:rPr>
          <w:rFonts w:ascii="Verdana" w:hAnsi="Verdana"/>
          <w:sz w:val="16"/>
          <w:szCs w:val="16"/>
          <w:lang w:val="pt-BR"/>
        </w:rPr>
        <w:t>itativa dos recursos alimentícios mundiais … levando-se em conta os problemas tanto dos países importadores quanto dos exportadores de gêneros alimentícios.” E/CN.4/1995/101. par. 64.</w:t>
      </w:r>
    </w:p>
    <w:p w:rsidR="00CF451D" w:rsidRPr="002F50BD" w:rsidRDefault="00CF451D">
      <w:pPr>
        <w:pStyle w:val="FootnoteText"/>
        <w:jc w:val="both"/>
        <w:rPr>
          <w:rFonts w:ascii="Verdana" w:hAnsi="Verdana"/>
          <w:sz w:val="16"/>
          <w:szCs w:val="16"/>
          <w:lang w:val="pt-BR"/>
        </w:rPr>
      </w:pPr>
    </w:p>
  </w:footnote>
  <w:footnote w:id="263">
    <w:p w:rsidR="00CF451D" w:rsidRPr="002F50BD" w:rsidRDefault="00CF451D">
      <w:pPr>
        <w:pStyle w:val="FootnoteText"/>
        <w:jc w:val="both"/>
        <w:rPr>
          <w:rFonts w:ascii="Verdana" w:hAnsi="Verdana"/>
          <w:sz w:val="16"/>
          <w:szCs w:val="16"/>
          <w:lang w:val="pt-BR"/>
        </w:rPr>
      </w:pPr>
      <w:r w:rsidRPr="002F50BD">
        <w:rPr>
          <w:rStyle w:val="FootnoteReference"/>
          <w:rFonts w:ascii="Verdana" w:hAnsi="Verdana"/>
          <w:sz w:val="16"/>
          <w:szCs w:val="16"/>
        </w:rPr>
        <w:footnoteRef/>
      </w:r>
      <w:r w:rsidRPr="002F50BD">
        <w:rPr>
          <w:rFonts w:ascii="Verdana" w:hAnsi="Verdana"/>
          <w:sz w:val="16"/>
          <w:szCs w:val="16"/>
          <w:lang w:val="pt-BR"/>
        </w:rPr>
        <w:t xml:space="preserve"> </w:t>
      </w:r>
      <w:r w:rsidRPr="002F50BD">
        <w:rPr>
          <w:rFonts w:ascii="Verdana" w:hAnsi="Verdana"/>
          <w:sz w:val="16"/>
          <w:szCs w:val="16"/>
          <w:lang w:val="pt-BR"/>
        </w:rPr>
        <w:tab/>
        <w:t xml:space="preserve">E/CN.4/Sub 2/2004/25. Além disso, o Comitê de Direitos Econômicos, Sociais e Culturais das Nações Unidas indicou em foros internacionais que os Direitos de Propriedade Intelectual, tal como foram adotados no Acordo sobre Aspectos dos Direitos de Propriedade Intelectual </w:t>
      </w:r>
      <w:r w:rsidRPr="00CF451D">
        <w:rPr>
          <w:rFonts w:ascii="Verdana" w:hAnsi="Verdana"/>
          <w:sz w:val="16"/>
          <w:szCs w:val="16"/>
          <w:lang w:val="pt-BR"/>
        </w:rPr>
        <w:t>(</w:t>
      </w:r>
      <w:r w:rsidRPr="002F50BD">
        <w:rPr>
          <w:rFonts w:ascii="Verdana" w:hAnsi="Verdana"/>
          <w:sz w:val="16"/>
          <w:szCs w:val="16"/>
          <w:lang w:val="pt-BR"/>
        </w:rPr>
        <w:t>ADPIC</w:t>
      </w:r>
      <w:r w:rsidRPr="00CF451D">
        <w:rPr>
          <w:rFonts w:ascii="Verdana" w:hAnsi="Verdana"/>
          <w:sz w:val="16"/>
          <w:szCs w:val="16"/>
          <w:lang w:val="pt-BR"/>
        </w:rPr>
        <w:t>)</w:t>
      </w:r>
      <w:r w:rsidRPr="002F50BD">
        <w:rPr>
          <w:rFonts w:ascii="Verdana" w:hAnsi="Verdana"/>
          <w:sz w:val="16"/>
          <w:szCs w:val="16"/>
          <w:lang w:val="pt-BR"/>
        </w:rPr>
        <w:t xml:space="preserve"> da Organização Mundial de Comércio, contradizem convênios, convenções e tratados de direitos Humanos. E/CN.4/Sub 2/204/44 par. 11, 17, e 19. O Foro Social realizado no âmbito da Comissão de Direitos Humanos das Nações Unidas, realizado em 2004, destacou a necessidade crescente de incluir uma dimensão dos direitos humanos nas decisões econômicas internacionais, tais como as relativas ao pagamento da dívida, o intercâmbio comercial e os tratados de livre comércio, como uma forma de impedir a produção de pobreza. </w:t>
      </w:r>
    </w:p>
    <w:p w:rsidR="00CF451D" w:rsidRPr="002F50BD" w:rsidRDefault="00CF451D">
      <w:pPr>
        <w:pStyle w:val="FootnoteText"/>
        <w:jc w:val="both"/>
        <w:rPr>
          <w:rFonts w:ascii="Verdana" w:hAnsi="Verdana"/>
          <w:sz w:val="16"/>
          <w:szCs w:val="16"/>
          <w:lang w:val="pt-BR"/>
        </w:rPr>
      </w:pPr>
    </w:p>
  </w:footnote>
  <w:footnote w:id="264">
    <w:p w:rsidR="00CF451D" w:rsidRPr="002F50BD" w:rsidRDefault="00CF451D">
      <w:pPr>
        <w:pStyle w:val="FootnoteText"/>
        <w:jc w:val="both"/>
        <w:rPr>
          <w:rFonts w:ascii="Verdana" w:hAnsi="Verdana"/>
          <w:sz w:val="16"/>
          <w:szCs w:val="16"/>
          <w:lang w:val="en-GB"/>
        </w:rPr>
      </w:pPr>
      <w:r w:rsidRPr="002F50BD">
        <w:rPr>
          <w:rStyle w:val="FootnoteReference"/>
          <w:rFonts w:ascii="Verdana" w:hAnsi="Verdana"/>
          <w:sz w:val="16"/>
          <w:szCs w:val="16"/>
        </w:rPr>
        <w:footnoteRef/>
      </w:r>
      <w:r w:rsidRPr="002F50BD">
        <w:rPr>
          <w:rFonts w:ascii="Verdana" w:hAnsi="Verdana"/>
          <w:sz w:val="16"/>
          <w:szCs w:val="16"/>
          <w:lang w:val="en-GB"/>
        </w:rPr>
        <w:tab/>
      </w:r>
      <w:r w:rsidRPr="002F50BD">
        <w:rPr>
          <w:rFonts w:ascii="Verdana" w:hAnsi="Verdana"/>
          <w:sz w:val="16"/>
          <w:szCs w:val="16"/>
          <w:lang w:val="en-US"/>
        </w:rPr>
        <w:t xml:space="preserve">International Conference on Poverty and Social Exclusion, held in San Jose, Costa Rica, in January 1997; </w:t>
      </w:r>
      <w:r w:rsidRPr="002F50BD">
        <w:rPr>
          <w:rFonts w:ascii="Verdana" w:hAnsi="Verdana"/>
          <w:i/>
          <w:sz w:val="16"/>
          <w:szCs w:val="16"/>
          <w:lang w:val="en-US"/>
        </w:rPr>
        <w:t xml:space="preserve">Geral Assembly Resolution </w:t>
      </w:r>
      <w:r w:rsidRPr="00CF451D">
        <w:rPr>
          <w:rFonts w:ascii="Verdana" w:hAnsi="Verdana"/>
          <w:sz w:val="16"/>
          <w:szCs w:val="16"/>
          <w:lang w:val="en-US"/>
        </w:rPr>
        <w:t>(</w:t>
      </w:r>
      <w:r w:rsidRPr="002F50BD">
        <w:rPr>
          <w:rFonts w:ascii="Verdana" w:hAnsi="Verdana"/>
          <w:i/>
          <w:sz w:val="16"/>
          <w:szCs w:val="16"/>
          <w:lang w:val="en-US"/>
        </w:rPr>
        <w:t>A/RES/</w:t>
      </w:r>
      <w:r w:rsidRPr="002F50BD">
        <w:rPr>
          <w:rFonts w:ascii="Verdana" w:hAnsi="Verdana"/>
          <w:sz w:val="16"/>
          <w:szCs w:val="16"/>
          <w:lang w:val="en-US"/>
        </w:rPr>
        <w:t>55</w:t>
      </w:r>
      <w:r w:rsidRPr="002F50BD">
        <w:rPr>
          <w:rFonts w:ascii="Verdana" w:hAnsi="Verdana"/>
          <w:i/>
          <w:sz w:val="16"/>
          <w:szCs w:val="16"/>
          <w:lang w:val="en-US"/>
        </w:rPr>
        <w:t>/</w:t>
      </w:r>
      <w:r w:rsidRPr="002F50BD">
        <w:rPr>
          <w:rFonts w:ascii="Verdana" w:hAnsi="Verdana"/>
          <w:sz w:val="16"/>
          <w:szCs w:val="16"/>
          <w:lang w:val="en-US"/>
        </w:rPr>
        <w:t>106</w:t>
      </w:r>
      <w:r w:rsidRPr="00CF451D">
        <w:rPr>
          <w:rFonts w:ascii="Verdana" w:hAnsi="Verdana"/>
          <w:sz w:val="16"/>
          <w:szCs w:val="16"/>
          <w:lang w:val="en-US"/>
        </w:rPr>
        <w:t>)</w:t>
      </w:r>
      <w:r w:rsidRPr="002F50BD">
        <w:rPr>
          <w:rFonts w:ascii="Verdana" w:hAnsi="Verdana"/>
          <w:i/>
          <w:sz w:val="16"/>
          <w:szCs w:val="16"/>
          <w:lang w:val="en-US"/>
        </w:rPr>
        <w:t xml:space="preserve"> of </w:t>
      </w:r>
      <w:r w:rsidRPr="002F50BD">
        <w:rPr>
          <w:rFonts w:ascii="Verdana" w:hAnsi="Verdana"/>
          <w:sz w:val="16"/>
          <w:szCs w:val="16"/>
          <w:lang w:val="en-US"/>
        </w:rPr>
        <w:t>14</w:t>
      </w:r>
      <w:r w:rsidRPr="002F50BD">
        <w:rPr>
          <w:rFonts w:ascii="Verdana" w:hAnsi="Verdana"/>
          <w:i/>
          <w:sz w:val="16"/>
          <w:szCs w:val="16"/>
          <w:lang w:val="en-US"/>
        </w:rPr>
        <w:t xml:space="preserve"> March </w:t>
      </w:r>
      <w:r w:rsidRPr="002F50BD">
        <w:rPr>
          <w:rFonts w:ascii="Verdana" w:hAnsi="Verdana"/>
          <w:sz w:val="16"/>
          <w:szCs w:val="16"/>
          <w:lang w:val="en-US"/>
        </w:rPr>
        <w:t>2001</w:t>
      </w:r>
      <w:r w:rsidRPr="002F50BD">
        <w:rPr>
          <w:rFonts w:ascii="Verdana" w:hAnsi="Verdana"/>
          <w:i/>
          <w:sz w:val="16"/>
          <w:szCs w:val="16"/>
          <w:lang w:val="en-US"/>
        </w:rPr>
        <w:t>,</w:t>
      </w:r>
      <w:r w:rsidRPr="002F50BD">
        <w:rPr>
          <w:rFonts w:ascii="Verdana" w:hAnsi="Verdana"/>
          <w:sz w:val="16"/>
          <w:szCs w:val="16"/>
          <w:lang w:val="en-US"/>
        </w:rPr>
        <w:t xml:space="preserve"> Resolutions of the Commission on Human Rights and the Geral Assembly of the United Nations state that both poverty and social exclusion are a “violation of human dignity”. Paragraph 1;</w:t>
      </w:r>
      <w:r>
        <w:rPr>
          <w:rFonts w:ascii="Verdana" w:hAnsi="Verdana"/>
          <w:sz w:val="16"/>
          <w:szCs w:val="16"/>
          <w:lang w:val="en-US"/>
        </w:rPr>
        <w:t xml:space="preserve"> </w:t>
      </w:r>
      <w:r w:rsidRPr="002F50BD">
        <w:rPr>
          <w:rFonts w:ascii="Verdana" w:hAnsi="Verdana"/>
          <w:sz w:val="16"/>
          <w:szCs w:val="16"/>
          <w:lang w:val="en-US"/>
        </w:rPr>
        <w:t xml:space="preserve">E/CN.4/Sub.2/1996/13, </w:t>
      </w:r>
      <w:r w:rsidRPr="002F50BD">
        <w:rPr>
          <w:rFonts w:ascii="Verdana" w:hAnsi="Verdana"/>
          <w:i/>
          <w:sz w:val="16"/>
          <w:szCs w:val="16"/>
          <w:lang w:val="en-US"/>
        </w:rPr>
        <w:t xml:space="preserve">Final report on human rights and extreme poverty, submitted by the Special Rapporteur, Mr. Leandro Despouy; </w:t>
      </w:r>
      <w:r w:rsidRPr="002F50BD">
        <w:rPr>
          <w:rFonts w:ascii="Verdana" w:hAnsi="Verdana"/>
          <w:sz w:val="16"/>
          <w:szCs w:val="16"/>
          <w:lang w:val="en-US"/>
        </w:rPr>
        <w:t xml:space="preserve">UNDP, </w:t>
      </w:r>
      <w:r w:rsidRPr="002F50BD">
        <w:rPr>
          <w:rFonts w:ascii="Verdana" w:hAnsi="Verdana"/>
          <w:i/>
          <w:sz w:val="16"/>
          <w:szCs w:val="16"/>
          <w:lang w:val="en-US"/>
        </w:rPr>
        <w:t>Poverty reduction and human rights, a practice note</w:t>
      </w:r>
      <w:r w:rsidRPr="002F50BD">
        <w:rPr>
          <w:rFonts w:ascii="Verdana" w:hAnsi="Verdana"/>
          <w:sz w:val="16"/>
          <w:szCs w:val="16"/>
          <w:lang w:val="en-US"/>
        </w:rPr>
        <w:t xml:space="preserve"> </w:t>
      </w:r>
      <w:r w:rsidRPr="00CF451D">
        <w:rPr>
          <w:rFonts w:ascii="Verdana" w:hAnsi="Verdana"/>
          <w:sz w:val="16"/>
          <w:szCs w:val="16"/>
          <w:lang w:val="en-US"/>
        </w:rPr>
        <w:t>(</w:t>
      </w:r>
      <w:r w:rsidRPr="002F50BD">
        <w:rPr>
          <w:rFonts w:ascii="Verdana" w:hAnsi="Verdana"/>
          <w:sz w:val="16"/>
          <w:szCs w:val="16"/>
          <w:lang w:val="en-US"/>
        </w:rPr>
        <w:t>March 2003</w:t>
      </w:r>
      <w:r w:rsidRPr="00CF451D">
        <w:rPr>
          <w:rFonts w:ascii="Verdana" w:hAnsi="Verdana"/>
          <w:sz w:val="16"/>
          <w:szCs w:val="16"/>
          <w:lang w:val="en-US"/>
        </w:rPr>
        <w:t>)</w:t>
      </w:r>
      <w:r w:rsidRPr="002F50BD">
        <w:rPr>
          <w:rFonts w:ascii="Verdana" w:hAnsi="Verdana"/>
          <w:sz w:val="16"/>
          <w:szCs w:val="16"/>
          <w:lang w:val="en-US"/>
        </w:rPr>
        <w:t xml:space="preserve">.; J. Bengoa, </w:t>
      </w:r>
      <w:r w:rsidRPr="002F50BD">
        <w:rPr>
          <w:rFonts w:ascii="Verdana" w:hAnsi="Verdana"/>
          <w:i/>
          <w:sz w:val="16"/>
          <w:szCs w:val="16"/>
          <w:lang w:val="en-US"/>
        </w:rPr>
        <w:t xml:space="preserve">Implementation of existing human rights norms and standards in the context of the fight against extreme poverty </w:t>
      </w:r>
      <w:r w:rsidRPr="00CF451D">
        <w:rPr>
          <w:rFonts w:ascii="Verdana" w:hAnsi="Verdana"/>
          <w:sz w:val="16"/>
          <w:szCs w:val="16"/>
          <w:lang w:val="en-US"/>
        </w:rPr>
        <w:t>(</w:t>
      </w:r>
      <w:r w:rsidRPr="002F50BD">
        <w:rPr>
          <w:rFonts w:ascii="Verdana" w:hAnsi="Verdana"/>
          <w:sz w:val="16"/>
          <w:szCs w:val="16"/>
          <w:lang w:val="en-US"/>
        </w:rPr>
        <w:t>E/CN.4/Sub.2/2003/17.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Pr="00063B47">
      <w:rPr>
        <w:rStyle w:val="PageNumber"/>
        <w:noProof/>
      </w:rPr>
      <w:t>3</w:t>
    </w:r>
    <w:r>
      <w:rPr>
        <w:rStyle w:val="PageNumber"/>
      </w:rPr>
      <w:fldChar w:fldCharType="end"/>
    </w:r>
  </w:p>
  <w:p w:rsidR="00CF451D" w:rsidRDefault="00CF4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Pr="006531B6" w:rsidRDefault="00CF451D">
    <w:pPr>
      <w:pStyle w:val="Header"/>
      <w:framePr w:wrap="around" w:vAnchor="text" w:hAnchor="margin" w:xAlign="center" w:y="1"/>
      <w:rPr>
        <w:rStyle w:val="PageNumber"/>
        <w:rFonts w:ascii="Verdana" w:hAnsi="Verdana"/>
        <w:sz w:val="16"/>
      </w:rPr>
    </w:pPr>
    <w:r w:rsidRPr="006531B6">
      <w:rPr>
        <w:rStyle w:val="PageNumber"/>
        <w:sz w:val="16"/>
      </w:rPr>
      <w:fldChar w:fldCharType="begin"/>
    </w:r>
    <w:r w:rsidRPr="006531B6">
      <w:rPr>
        <w:rStyle w:val="PageNumber"/>
        <w:rFonts w:ascii="Verdana" w:hAnsi="Verdana"/>
        <w:sz w:val="16"/>
      </w:rPr>
      <w:instrText xml:space="preserve">PAGE  </w:instrText>
    </w:r>
    <w:r w:rsidRPr="006531B6">
      <w:rPr>
        <w:rStyle w:val="PageNumber"/>
        <w:sz w:val="16"/>
      </w:rPr>
      <w:fldChar w:fldCharType="separate"/>
    </w:r>
    <w:r w:rsidR="001B74F8">
      <w:rPr>
        <w:rStyle w:val="PageNumber"/>
        <w:rFonts w:ascii="Verdana" w:hAnsi="Verdana"/>
        <w:noProof/>
        <w:sz w:val="16"/>
      </w:rPr>
      <w:t>6</w:t>
    </w:r>
    <w:r w:rsidRPr="006531B6">
      <w:rPr>
        <w:rStyle w:val="PageNumber"/>
        <w:sz w:val="16"/>
      </w:rPr>
      <w:fldChar w:fldCharType="end"/>
    </w:r>
  </w:p>
  <w:p w:rsidR="00CF451D" w:rsidRDefault="00CF451D">
    <w:pPr>
      <w:pStyle w:val="Header"/>
      <w:framePr w:wrap="around" w:vAnchor="text" w:hAnchor="page" w:x="5842" w:y="7"/>
      <w:rPr>
        <w:rStyle w:val="PageNumber"/>
        <w:rFonts w:ascii="Verdana" w:hAnsi="Verdana"/>
        <w:sz w:val="18"/>
      </w:rPr>
    </w:pPr>
  </w:p>
  <w:p w:rsidR="00CF451D" w:rsidRPr="00014194" w:rsidRDefault="00CF451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Default="00CF45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1D" w:rsidRDefault="00CF45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D" w:rsidRPr="002F5B13" w:rsidRDefault="00CF451D">
    <w:pPr>
      <w:pStyle w:val="Header"/>
      <w:framePr w:wrap="around" w:vAnchor="text" w:hAnchor="page" w:x="5842" w:y="-14"/>
      <w:rPr>
        <w:rStyle w:val="PageNumber"/>
        <w:rFonts w:ascii="Verdana" w:hAnsi="Verdana"/>
        <w:sz w:val="16"/>
      </w:rPr>
    </w:pPr>
    <w:r w:rsidRPr="002F5B13">
      <w:rPr>
        <w:rStyle w:val="PageNumber"/>
        <w:sz w:val="16"/>
      </w:rPr>
      <w:fldChar w:fldCharType="begin"/>
    </w:r>
    <w:r w:rsidRPr="002F5B13">
      <w:rPr>
        <w:rStyle w:val="PageNumber"/>
        <w:rFonts w:ascii="Verdana" w:hAnsi="Verdana"/>
        <w:sz w:val="16"/>
      </w:rPr>
      <w:instrText xml:space="preserve">PAGE  </w:instrText>
    </w:r>
    <w:r w:rsidRPr="002F5B13">
      <w:rPr>
        <w:rStyle w:val="PageNumber"/>
        <w:sz w:val="16"/>
      </w:rPr>
      <w:fldChar w:fldCharType="separate"/>
    </w:r>
    <w:r w:rsidR="001B74F8">
      <w:rPr>
        <w:rStyle w:val="PageNumber"/>
        <w:rFonts w:ascii="Verdana" w:hAnsi="Verdana"/>
        <w:noProof/>
        <w:sz w:val="16"/>
      </w:rPr>
      <w:t>13</w:t>
    </w:r>
    <w:r w:rsidRPr="002F5B13">
      <w:rPr>
        <w:rStyle w:val="PageNumber"/>
        <w:sz w:val="16"/>
      </w:rPr>
      <w:fldChar w:fldCharType="end"/>
    </w:r>
  </w:p>
  <w:p w:rsidR="00CF451D" w:rsidRDefault="00CF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42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236217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C2739"/>
    <w:multiLevelType w:val="hybridMultilevel"/>
    <w:tmpl w:val="4D4CEF4A"/>
    <w:lvl w:ilvl="0" w:tplc="C6BE0018">
      <w:start w:val="1"/>
      <w:numFmt w:val="upperLetter"/>
      <w:lvlText w:val="%1)"/>
      <w:lvlJc w:val="left"/>
      <w:pPr>
        <w:tabs>
          <w:tab w:val="num" w:pos="720"/>
        </w:tabs>
        <w:ind w:left="720" w:hanging="360"/>
      </w:pPr>
      <w:rPr>
        <w:rFonts w:hint="default"/>
      </w:rPr>
    </w:lvl>
    <w:lvl w:ilvl="1" w:tplc="FD98783A" w:tentative="1">
      <w:start w:val="1"/>
      <w:numFmt w:val="lowerLetter"/>
      <w:lvlText w:val="%2."/>
      <w:lvlJc w:val="left"/>
      <w:pPr>
        <w:tabs>
          <w:tab w:val="num" w:pos="1440"/>
        </w:tabs>
        <w:ind w:left="1440" w:hanging="360"/>
      </w:pPr>
    </w:lvl>
    <w:lvl w:ilvl="2" w:tplc="B2B2CB94" w:tentative="1">
      <w:start w:val="1"/>
      <w:numFmt w:val="lowerRoman"/>
      <w:lvlText w:val="%3."/>
      <w:lvlJc w:val="right"/>
      <w:pPr>
        <w:tabs>
          <w:tab w:val="num" w:pos="2160"/>
        </w:tabs>
        <w:ind w:left="2160" w:hanging="180"/>
      </w:pPr>
    </w:lvl>
    <w:lvl w:ilvl="3" w:tplc="70668E62" w:tentative="1">
      <w:start w:val="1"/>
      <w:numFmt w:val="decimal"/>
      <w:lvlText w:val="%4."/>
      <w:lvlJc w:val="left"/>
      <w:pPr>
        <w:tabs>
          <w:tab w:val="num" w:pos="2880"/>
        </w:tabs>
        <w:ind w:left="2880" w:hanging="360"/>
      </w:pPr>
    </w:lvl>
    <w:lvl w:ilvl="4" w:tplc="D73A76EE" w:tentative="1">
      <w:start w:val="1"/>
      <w:numFmt w:val="lowerLetter"/>
      <w:lvlText w:val="%5."/>
      <w:lvlJc w:val="left"/>
      <w:pPr>
        <w:tabs>
          <w:tab w:val="num" w:pos="3600"/>
        </w:tabs>
        <w:ind w:left="3600" w:hanging="360"/>
      </w:pPr>
    </w:lvl>
    <w:lvl w:ilvl="5" w:tplc="1AB60E0C" w:tentative="1">
      <w:start w:val="1"/>
      <w:numFmt w:val="lowerRoman"/>
      <w:lvlText w:val="%6."/>
      <w:lvlJc w:val="right"/>
      <w:pPr>
        <w:tabs>
          <w:tab w:val="num" w:pos="4320"/>
        </w:tabs>
        <w:ind w:left="4320" w:hanging="180"/>
      </w:pPr>
    </w:lvl>
    <w:lvl w:ilvl="6" w:tplc="54747704" w:tentative="1">
      <w:start w:val="1"/>
      <w:numFmt w:val="decimal"/>
      <w:lvlText w:val="%7."/>
      <w:lvlJc w:val="left"/>
      <w:pPr>
        <w:tabs>
          <w:tab w:val="num" w:pos="5040"/>
        </w:tabs>
        <w:ind w:left="5040" w:hanging="360"/>
      </w:pPr>
    </w:lvl>
    <w:lvl w:ilvl="7" w:tplc="762ABD86" w:tentative="1">
      <w:start w:val="1"/>
      <w:numFmt w:val="lowerLetter"/>
      <w:lvlText w:val="%8."/>
      <w:lvlJc w:val="left"/>
      <w:pPr>
        <w:tabs>
          <w:tab w:val="num" w:pos="5760"/>
        </w:tabs>
        <w:ind w:left="5760" w:hanging="360"/>
      </w:pPr>
    </w:lvl>
    <w:lvl w:ilvl="8" w:tplc="4ADC2B72" w:tentative="1">
      <w:start w:val="1"/>
      <w:numFmt w:val="lowerRoman"/>
      <w:lvlText w:val="%9."/>
      <w:lvlJc w:val="right"/>
      <w:pPr>
        <w:tabs>
          <w:tab w:val="num" w:pos="6480"/>
        </w:tabs>
        <w:ind w:left="6480" w:hanging="180"/>
      </w:pPr>
    </w:lvl>
  </w:abstractNum>
  <w:abstractNum w:abstractNumId="3">
    <w:nsid w:val="09EB3B5F"/>
    <w:multiLevelType w:val="hybridMultilevel"/>
    <w:tmpl w:val="CA28E896"/>
    <w:lvl w:ilvl="0" w:tplc="EEAAC22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BD1877"/>
    <w:multiLevelType w:val="hybridMultilevel"/>
    <w:tmpl w:val="8A86AE40"/>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BBA0DBE"/>
    <w:multiLevelType w:val="hybridMultilevel"/>
    <w:tmpl w:val="CE62FBD2"/>
    <w:lvl w:ilvl="0" w:tplc="D1388696">
      <w:start w:val="1"/>
      <w:numFmt w:val="lowerLetter"/>
      <w:lvlText w:val="%1)"/>
      <w:lvlJc w:val="left"/>
      <w:pPr>
        <w:tabs>
          <w:tab w:val="num" w:pos="630"/>
        </w:tabs>
        <w:ind w:left="270" w:firstLine="0"/>
      </w:pPr>
      <w:rPr>
        <w:rFonts w:hint="default"/>
      </w:r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6">
    <w:nsid w:val="0C7C1ED7"/>
    <w:multiLevelType w:val="hybridMultilevel"/>
    <w:tmpl w:val="A1165440"/>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D8A186A"/>
    <w:multiLevelType w:val="hybridMultilevel"/>
    <w:tmpl w:val="9FDEB656"/>
    <w:lvl w:ilvl="0" w:tplc="D91CA350">
      <w:start w:val="1"/>
      <w:numFmt w:val="decimal"/>
      <w:lvlText w:val="%1."/>
      <w:lvlJc w:val="left"/>
      <w:pPr>
        <w:tabs>
          <w:tab w:val="num" w:pos="720"/>
        </w:tabs>
        <w:ind w:left="720" w:hanging="360"/>
      </w:pPr>
      <w:rPr>
        <w:rFont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6531F6C"/>
    <w:multiLevelType w:val="hybridMultilevel"/>
    <w:tmpl w:val="541E8452"/>
    <w:lvl w:ilvl="0" w:tplc="44480886">
      <w:start w:val="1"/>
      <w:numFmt w:val="lowerLetter"/>
      <w:lvlText w:val="%1)"/>
      <w:lvlJc w:val="left"/>
      <w:pPr>
        <w:tabs>
          <w:tab w:val="num" w:pos="720"/>
        </w:tabs>
        <w:ind w:left="360" w:firstLine="0"/>
      </w:pPr>
      <w:rPr>
        <w:rFonts w:hint="default"/>
      </w:rPr>
    </w:lvl>
    <w:lvl w:ilvl="1" w:tplc="70002192" w:tentative="1">
      <w:start w:val="1"/>
      <w:numFmt w:val="lowerLetter"/>
      <w:lvlText w:val="%2."/>
      <w:lvlJc w:val="left"/>
      <w:pPr>
        <w:tabs>
          <w:tab w:val="num" w:pos="1440"/>
        </w:tabs>
        <w:ind w:left="1440" w:hanging="360"/>
      </w:pPr>
    </w:lvl>
    <w:lvl w:ilvl="2" w:tplc="4424A5FE" w:tentative="1">
      <w:start w:val="1"/>
      <w:numFmt w:val="lowerRoman"/>
      <w:lvlText w:val="%3."/>
      <w:lvlJc w:val="right"/>
      <w:pPr>
        <w:tabs>
          <w:tab w:val="num" w:pos="2160"/>
        </w:tabs>
        <w:ind w:left="2160" w:hanging="180"/>
      </w:pPr>
    </w:lvl>
    <w:lvl w:ilvl="3" w:tplc="8F30A770" w:tentative="1">
      <w:start w:val="1"/>
      <w:numFmt w:val="decimal"/>
      <w:lvlText w:val="%4."/>
      <w:lvlJc w:val="left"/>
      <w:pPr>
        <w:tabs>
          <w:tab w:val="num" w:pos="2880"/>
        </w:tabs>
        <w:ind w:left="2880" w:hanging="360"/>
      </w:pPr>
    </w:lvl>
    <w:lvl w:ilvl="4" w:tplc="18B07606" w:tentative="1">
      <w:start w:val="1"/>
      <w:numFmt w:val="lowerLetter"/>
      <w:lvlText w:val="%5."/>
      <w:lvlJc w:val="left"/>
      <w:pPr>
        <w:tabs>
          <w:tab w:val="num" w:pos="3600"/>
        </w:tabs>
        <w:ind w:left="3600" w:hanging="360"/>
      </w:pPr>
    </w:lvl>
    <w:lvl w:ilvl="5" w:tplc="30BC150E" w:tentative="1">
      <w:start w:val="1"/>
      <w:numFmt w:val="lowerRoman"/>
      <w:lvlText w:val="%6."/>
      <w:lvlJc w:val="right"/>
      <w:pPr>
        <w:tabs>
          <w:tab w:val="num" w:pos="4320"/>
        </w:tabs>
        <w:ind w:left="4320" w:hanging="180"/>
      </w:pPr>
    </w:lvl>
    <w:lvl w:ilvl="6" w:tplc="FDB0CB24" w:tentative="1">
      <w:start w:val="1"/>
      <w:numFmt w:val="decimal"/>
      <w:lvlText w:val="%7."/>
      <w:lvlJc w:val="left"/>
      <w:pPr>
        <w:tabs>
          <w:tab w:val="num" w:pos="5040"/>
        </w:tabs>
        <w:ind w:left="5040" w:hanging="360"/>
      </w:pPr>
    </w:lvl>
    <w:lvl w:ilvl="7" w:tplc="C41E30B8" w:tentative="1">
      <w:start w:val="1"/>
      <w:numFmt w:val="lowerLetter"/>
      <w:lvlText w:val="%8."/>
      <w:lvlJc w:val="left"/>
      <w:pPr>
        <w:tabs>
          <w:tab w:val="num" w:pos="5760"/>
        </w:tabs>
        <w:ind w:left="5760" w:hanging="360"/>
      </w:pPr>
    </w:lvl>
    <w:lvl w:ilvl="8" w:tplc="85E2CE4E" w:tentative="1">
      <w:start w:val="1"/>
      <w:numFmt w:val="lowerRoman"/>
      <w:lvlText w:val="%9."/>
      <w:lvlJc w:val="right"/>
      <w:pPr>
        <w:tabs>
          <w:tab w:val="num" w:pos="6480"/>
        </w:tabs>
        <w:ind w:left="6480" w:hanging="180"/>
      </w:pPr>
    </w:lvl>
  </w:abstractNum>
  <w:abstractNum w:abstractNumId="9">
    <w:nsid w:val="1B025789"/>
    <w:multiLevelType w:val="hybridMultilevel"/>
    <w:tmpl w:val="FEB653FE"/>
    <w:lvl w:ilvl="0" w:tplc="6EA0AE7C">
      <w:start w:val="179"/>
      <w:numFmt w:val="decimal"/>
      <w:lvlText w:val="%1."/>
      <w:lvlJc w:val="left"/>
      <w:pPr>
        <w:tabs>
          <w:tab w:val="num" w:pos="0"/>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B956109"/>
    <w:multiLevelType w:val="hybridMultilevel"/>
    <w:tmpl w:val="413C06CC"/>
    <w:lvl w:ilvl="0" w:tplc="9C8A557A">
      <w:start w:val="234"/>
      <w:numFmt w:val="decimal"/>
      <w:lvlText w:val="%1."/>
      <w:lvlJc w:val="left"/>
      <w:pPr>
        <w:tabs>
          <w:tab w:val="num" w:pos="0"/>
        </w:tabs>
        <w:ind w:left="0" w:firstLine="0"/>
      </w:pPr>
      <w:rPr>
        <w:rFonts w:hint="default"/>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B9F4E2A"/>
    <w:multiLevelType w:val="hybridMultilevel"/>
    <w:tmpl w:val="0F42AE60"/>
    <w:lvl w:ilvl="0" w:tplc="7814EC78">
      <w:start w:val="51"/>
      <w:numFmt w:val="decimal"/>
      <w:lvlText w:val="%1."/>
      <w:lvlJc w:val="left"/>
      <w:pPr>
        <w:tabs>
          <w:tab w:val="num" w:pos="0"/>
        </w:tabs>
        <w:ind w:left="0" w:firstLine="0"/>
      </w:pPr>
      <w:rPr>
        <w:rFonts w:hint="default"/>
      </w:rPr>
    </w:lvl>
    <w:lvl w:ilvl="1" w:tplc="6AFE7614">
      <w:start w:val="51"/>
      <w:numFmt w:val="decimal"/>
      <w:lvlText w:val="%2."/>
      <w:lvlJc w:val="left"/>
      <w:pPr>
        <w:tabs>
          <w:tab w:val="num" w:pos="0"/>
        </w:tabs>
        <w:ind w:left="0" w:firstLine="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C7B4C34"/>
    <w:multiLevelType w:val="hybridMultilevel"/>
    <w:tmpl w:val="43E40B8E"/>
    <w:lvl w:ilvl="0" w:tplc="00190409">
      <w:start w:val="9"/>
      <w:numFmt w:val="lowerLetter"/>
      <w:lvlText w:val="%1."/>
      <w:lvlJc w:val="left"/>
      <w:pPr>
        <w:tabs>
          <w:tab w:val="num" w:pos="720"/>
        </w:tabs>
        <w:ind w:left="720" w:hanging="360"/>
      </w:pPr>
      <w:rPr>
        <w:rFonts w:hint="default"/>
      </w:rPr>
    </w:lvl>
    <w:lvl w:ilvl="1" w:tplc="D69AAC6A">
      <w:start w:val="2"/>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FA9534F"/>
    <w:multiLevelType w:val="hybridMultilevel"/>
    <w:tmpl w:val="AB5EE572"/>
    <w:lvl w:ilvl="0" w:tplc="FFFFFFFF">
      <w:start w:val="1"/>
      <w:numFmt w:val="lowerLetter"/>
      <w:lvlText w:val="%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A62440"/>
    <w:multiLevelType w:val="hybridMultilevel"/>
    <w:tmpl w:val="C78CC352"/>
    <w:lvl w:ilvl="0" w:tplc="0C0A0017">
      <w:start w:val="1"/>
      <w:numFmt w:val="lowerLetter"/>
      <w:lvlText w:val="%1)"/>
      <w:lvlJc w:val="left"/>
      <w:pPr>
        <w:tabs>
          <w:tab w:val="num" w:pos="720"/>
        </w:tabs>
        <w:ind w:left="36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CE5E8E"/>
    <w:multiLevelType w:val="hybridMultilevel"/>
    <w:tmpl w:val="72500474"/>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BB750D4"/>
    <w:multiLevelType w:val="hybridMultilevel"/>
    <w:tmpl w:val="9B1AAE56"/>
    <w:lvl w:ilvl="0" w:tplc="D1388696">
      <w:start w:val="1"/>
      <w:numFmt w:val="upperLetter"/>
      <w:pStyle w:val="Heading9"/>
      <w:lvlText w:val="%1)"/>
      <w:lvlJc w:val="left"/>
      <w:pPr>
        <w:tabs>
          <w:tab w:val="num" w:pos="1080"/>
        </w:tabs>
        <w:ind w:left="1080" w:hanging="360"/>
      </w:pPr>
      <w:rPr>
        <w:rFonts w:ascii="Garamond" w:hAnsi="Garamond" w:hint="default"/>
        <w:b w:val="0"/>
        <w:i/>
        <w:sz w:val="24"/>
      </w:rPr>
    </w:lvl>
    <w:lvl w:ilvl="1" w:tplc="00190409">
      <w:numFmt w:val="none"/>
      <w:lvlText w:val=""/>
      <w:lvlJc w:val="left"/>
      <w:pPr>
        <w:tabs>
          <w:tab w:val="num" w:pos="360"/>
        </w:tabs>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2ED903B0"/>
    <w:multiLevelType w:val="hybridMultilevel"/>
    <w:tmpl w:val="6078535C"/>
    <w:lvl w:ilvl="0" w:tplc="D1388696">
      <w:start w:val="1"/>
      <w:numFmt w:val="lowerLetter"/>
      <w:lvlText w:val="%1)"/>
      <w:lvlJc w:val="left"/>
      <w:pPr>
        <w:tabs>
          <w:tab w:val="num" w:pos="720"/>
        </w:tabs>
        <w:ind w:left="360" w:firstLine="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62791E"/>
    <w:multiLevelType w:val="hybridMultilevel"/>
    <w:tmpl w:val="82708EBE"/>
    <w:lvl w:ilvl="0" w:tplc="0409000F">
      <w:start w:val="1"/>
      <w:numFmt w:val="lowerLetter"/>
      <w:lvlText w:val="%1)"/>
      <w:lvlJc w:val="left"/>
      <w:pPr>
        <w:tabs>
          <w:tab w:val="num" w:pos="720"/>
        </w:tabs>
        <w:ind w:left="360" w:firstLine="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F74DD3"/>
    <w:multiLevelType w:val="hybridMultilevel"/>
    <w:tmpl w:val="8E54B460"/>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5AB230F"/>
    <w:multiLevelType w:val="hybridMultilevel"/>
    <w:tmpl w:val="BF106894"/>
    <w:lvl w:ilvl="0" w:tplc="80265CEE">
      <w:start w:val="205"/>
      <w:numFmt w:val="decimal"/>
      <w:lvlText w:val="%1."/>
      <w:lvlJc w:val="left"/>
      <w:pPr>
        <w:tabs>
          <w:tab w:val="num" w:pos="0"/>
        </w:tabs>
        <w:ind w:left="0" w:firstLine="0"/>
      </w:pPr>
      <w:rPr>
        <w:rFonts w:hint="default"/>
        <w:i w:val="0"/>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67318D0"/>
    <w:multiLevelType w:val="hybridMultilevel"/>
    <w:tmpl w:val="43347340"/>
    <w:lvl w:ilvl="0" w:tplc="F0380944">
      <w:start w:val="5"/>
      <w:numFmt w:val="lowerLetter"/>
      <w:lvlText w:val="%1)"/>
      <w:lvlJc w:val="left"/>
      <w:pPr>
        <w:tabs>
          <w:tab w:val="num" w:pos="1120"/>
        </w:tabs>
        <w:ind w:left="1120" w:hanging="400"/>
      </w:pPr>
      <w:rPr>
        <w:rFonts w:eastAsia="Times New Roman"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3C9315AE"/>
    <w:multiLevelType w:val="hybridMultilevel"/>
    <w:tmpl w:val="F6D2864A"/>
    <w:lvl w:ilvl="0" w:tplc="69BA9D70">
      <w:start w:val="222"/>
      <w:numFmt w:val="decimal"/>
      <w:lvlText w:val="%1."/>
      <w:lvlJc w:val="left"/>
      <w:pPr>
        <w:tabs>
          <w:tab w:val="num" w:pos="0"/>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2445DB8"/>
    <w:multiLevelType w:val="hybridMultilevel"/>
    <w:tmpl w:val="5EB6C5FC"/>
    <w:lvl w:ilvl="0" w:tplc="5AC84240">
      <w:start w:val="1"/>
      <w:numFmt w:val="lowerLetter"/>
      <w:lvlText w:val="%1)"/>
      <w:lvlJc w:val="left"/>
      <w:pPr>
        <w:tabs>
          <w:tab w:val="num" w:pos="720"/>
        </w:tabs>
        <w:ind w:left="36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0B4485"/>
    <w:multiLevelType w:val="hybridMultilevel"/>
    <w:tmpl w:val="AEB0049C"/>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61E341D"/>
    <w:multiLevelType w:val="hybridMultilevel"/>
    <w:tmpl w:val="D1FEBC20"/>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73B72EC"/>
    <w:multiLevelType w:val="hybridMultilevel"/>
    <w:tmpl w:val="72F6B93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7">
    <w:nsid w:val="52845B89"/>
    <w:multiLevelType w:val="hybridMultilevel"/>
    <w:tmpl w:val="1722E1F2"/>
    <w:lvl w:ilvl="0" w:tplc="5B4A960E">
      <w:start w:val="1"/>
      <w:numFmt w:val="decimal"/>
      <w:lvlText w:val="%1."/>
      <w:lvlJc w:val="left"/>
      <w:pPr>
        <w:tabs>
          <w:tab w:val="num" w:pos="1080"/>
        </w:tabs>
        <w:ind w:left="576" w:firstLine="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532A316E"/>
    <w:multiLevelType w:val="hybridMultilevel"/>
    <w:tmpl w:val="340E7C50"/>
    <w:lvl w:ilvl="0" w:tplc="23508E14">
      <w:start w:val="185"/>
      <w:numFmt w:val="decimal"/>
      <w:lvlText w:val="%1."/>
      <w:lvlJc w:val="left"/>
      <w:pPr>
        <w:tabs>
          <w:tab w:val="num" w:pos="0"/>
        </w:tabs>
        <w:ind w:left="0" w:firstLine="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5020639"/>
    <w:multiLevelType w:val="hybridMultilevel"/>
    <w:tmpl w:val="F0FCBD9C"/>
    <w:lvl w:ilvl="0" w:tplc="000F0409">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5F60897"/>
    <w:multiLevelType w:val="hybridMultilevel"/>
    <w:tmpl w:val="E9B09276"/>
    <w:lvl w:ilvl="0" w:tplc="F2AE20DC">
      <w:start w:val="190"/>
      <w:numFmt w:val="decimal"/>
      <w:lvlText w:val="%1."/>
      <w:lvlJc w:val="left"/>
      <w:pPr>
        <w:tabs>
          <w:tab w:val="num" w:pos="0"/>
        </w:tabs>
        <w:ind w:left="0" w:firstLine="0"/>
      </w:pPr>
      <w:rPr>
        <w:rFonts w:ascii="Verdana" w:hAnsi="Verdana" w:hint="default"/>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920B7C"/>
    <w:multiLevelType w:val="hybridMultilevel"/>
    <w:tmpl w:val="0072769E"/>
    <w:lvl w:ilvl="0" w:tplc="B4B2B55A">
      <w:start w:val="1"/>
      <w:numFmt w:val="decimal"/>
      <w:lvlText w:val="%1."/>
      <w:lvlJc w:val="left"/>
      <w:pPr>
        <w:tabs>
          <w:tab w:val="num" w:pos="720"/>
        </w:tabs>
        <w:ind w:left="720" w:hanging="360"/>
      </w:pPr>
      <w:rPr>
        <w:rFonts w:hint="default"/>
      </w:rPr>
    </w:lvl>
    <w:lvl w:ilvl="1" w:tplc="A294746A"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19D1C9C"/>
    <w:multiLevelType w:val="hybridMultilevel"/>
    <w:tmpl w:val="9FE800A2"/>
    <w:lvl w:ilvl="0" w:tplc="0C0A0017">
      <w:start w:val="1"/>
      <w:numFmt w:val="lowerLetter"/>
      <w:lvlText w:val="%1)"/>
      <w:lvlJc w:val="left"/>
      <w:pPr>
        <w:tabs>
          <w:tab w:val="num" w:pos="720"/>
        </w:tabs>
        <w:ind w:left="36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7D0B3F"/>
    <w:multiLevelType w:val="hybridMultilevel"/>
    <w:tmpl w:val="7464A9F6"/>
    <w:lvl w:ilvl="0" w:tplc="A8D0C2E0">
      <w:start w:val="52"/>
      <w:numFmt w:val="decimal"/>
      <w:lvlText w:val="%1."/>
      <w:lvlJc w:val="left"/>
      <w:pPr>
        <w:tabs>
          <w:tab w:val="num" w:pos="0"/>
        </w:tabs>
        <w:ind w:left="0" w:firstLine="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FA845A1"/>
    <w:multiLevelType w:val="hybridMultilevel"/>
    <w:tmpl w:val="1EC6FFDE"/>
    <w:lvl w:ilvl="0" w:tplc="5F749478">
      <w:start w:val="66"/>
      <w:numFmt w:val="decimal"/>
      <w:lvlText w:val="%1."/>
      <w:lvlJc w:val="left"/>
      <w:pPr>
        <w:tabs>
          <w:tab w:val="num" w:pos="0"/>
        </w:tabs>
        <w:ind w:left="0" w:firstLine="0"/>
      </w:pPr>
      <w:rPr>
        <w:rFonts w:hint="default"/>
        <w:b w:val="0"/>
        <w:i w:val="0"/>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7210D0A"/>
    <w:multiLevelType w:val="hybridMultilevel"/>
    <w:tmpl w:val="C4A2F8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77666F"/>
    <w:multiLevelType w:val="hybridMultilevel"/>
    <w:tmpl w:val="25A0D756"/>
    <w:lvl w:ilvl="0" w:tplc="F8640B1E">
      <w:start w:val="1"/>
      <w:numFmt w:val="lowerLetter"/>
      <w:lvlText w:val="%1)"/>
      <w:lvlJc w:val="left"/>
      <w:pPr>
        <w:tabs>
          <w:tab w:val="num" w:pos="1080"/>
        </w:tabs>
        <w:ind w:left="1080" w:hanging="360"/>
      </w:pPr>
      <w:rPr>
        <w:rFonts w:hint="default"/>
      </w:rPr>
    </w:lvl>
    <w:lvl w:ilvl="1" w:tplc="B6CEA5E4">
      <w:start w:val="64"/>
      <w:numFmt w:val="decimal"/>
      <w:lvlText w:val="%2."/>
      <w:lvlJc w:val="left"/>
      <w:pPr>
        <w:tabs>
          <w:tab w:val="num" w:pos="0"/>
        </w:tabs>
        <w:ind w:left="0" w:firstLine="0"/>
      </w:pPr>
      <w:rPr>
        <w:rFonts w:ascii="Verdana" w:hAnsi="Verdana" w:hint="default"/>
        <w:b w:val="0"/>
        <w:i w:val="0"/>
        <w:sz w:val="2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nsid w:val="79992D03"/>
    <w:multiLevelType w:val="hybridMultilevel"/>
    <w:tmpl w:val="27A8BE82"/>
    <w:lvl w:ilvl="0" w:tplc="D1388696">
      <w:start w:val="1"/>
      <w:numFmt w:val="lowerLetter"/>
      <w:lvlText w:val="%1)"/>
      <w:lvlJc w:val="left"/>
      <w:pPr>
        <w:tabs>
          <w:tab w:val="num" w:pos="720"/>
        </w:tabs>
        <w:ind w:left="36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B5F3633"/>
    <w:multiLevelType w:val="hybridMultilevel"/>
    <w:tmpl w:val="75E416E6"/>
    <w:lvl w:ilvl="0" w:tplc="D13886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EDB6C41"/>
    <w:multiLevelType w:val="hybridMultilevel"/>
    <w:tmpl w:val="8DDE1B9E"/>
    <w:lvl w:ilvl="0" w:tplc="000F0409">
      <w:start w:val="1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38"/>
  </w:num>
  <w:num w:numId="4">
    <w:abstractNumId w:val="27"/>
  </w:num>
  <w:num w:numId="5">
    <w:abstractNumId w:val="7"/>
  </w:num>
  <w:num w:numId="6">
    <w:abstractNumId w:val="31"/>
  </w:num>
  <w:num w:numId="7">
    <w:abstractNumId w:val="19"/>
  </w:num>
  <w:num w:numId="8">
    <w:abstractNumId w:val="37"/>
  </w:num>
  <w:num w:numId="9">
    <w:abstractNumId w:val="15"/>
  </w:num>
  <w:num w:numId="10">
    <w:abstractNumId w:val="6"/>
  </w:num>
  <w:num w:numId="11">
    <w:abstractNumId w:val="23"/>
  </w:num>
  <w:num w:numId="12">
    <w:abstractNumId w:val="24"/>
  </w:num>
  <w:num w:numId="13">
    <w:abstractNumId w:val="5"/>
  </w:num>
  <w:num w:numId="14">
    <w:abstractNumId w:val="18"/>
  </w:num>
  <w:num w:numId="15">
    <w:abstractNumId w:val="2"/>
  </w:num>
  <w:num w:numId="16">
    <w:abstractNumId w:val="4"/>
  </w:num>
  <w:num w:numId="17">
    <w:abstractNumId w:val="8"/>
  </w:num>
  <w:num w:numId="18">
    <w:abstractNumId w:val="13"/>
  </w:num>
  <w:num w:numId="19">
    <w:abstractNumId w:val="32"/>
  </w:num>
  <w:num w:numId="20">
    <w:abstractNumId w:val="29"/>
  </w:num>
  <w:num w:numId="21">
    <w:abstractNumId w:val="25"/>
  </w:num>
  <w:num w:numId="22">
    <w:abstractNumId w:val="14"/>
  </w:num>
  <w:num w:numId="23">
    <w:abstractNumId w:val="36"/>
  </w:num>
  <w:num w:numId="24">
    <w:abstractNumId w:val="17"/>
  </w:num>
  <w:num w:numId="25">
    <w:abstractNumId w:val="21"/>
  </w:num>
  <w:num w:numId="26">
    <w:abstractNumId w:val="33"/>
  </w:num>
  <w:num w:numId="27">
    <w:abstractNumId w:val="11"/>
  </w:num>
  <w:num w:numId="28">
    <w:abstractNumId w:val="34"/>
  </w:num>
  <w:num w:numId="29">
    <w:abstractNumId w:val="9"/>
  </w:num>
  <w:num w:numId="30">
    <w:abstractNumId w:val="28"/>
  </w:num>
  <w:num w:numId="31">
    <w:abstractNumId w:val="30"/>
  </w:num>
  <w:num w:numId="32">
    <w:abstractNumId w:val="20"/>
  </w:num>
  <w:num w:numId="33">
    <w:abstractNumId w:val="22"/>
  </w:num>
  <w:num w:numId="34">
    <w:abstractNumId w:val="10"/>
  </w:num>
  <w:num w:numId="35">
    <w:abstractNumId w:val="26"/>
  </w:num>
  <w:num w:numId="36">
    <w:abstractNumId w:val="12"/>
  </w:num>
  <w:num w:numId="37">
    <w:abstractNumId w:val="39"/>
  </w:num>
  <w:num w:numId="38">
    <w:abstractNumId w:val="35"/>
  </w:num>
  <w:num w:numId="39">
    <w:abstractNumId w:val="3"/>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D8"/>
    <w:rsid w:val="000001D6"/>
    <w:rsid w:val="000052B9"/>
    <w:rsid w:val="000069AA"/>
    <w:rsid w:val="00010AFB"/>
    <w:rsid w:val="00014595"/>
    <w:rsid w:val="00015F8F"/>
    <w:rsid w:val="000248F6"/>
    <w:rsid w:val="000421E8"/>
    <w:rsid w:val="000454CF"/>
    <w:rsid w:val="00047325"/>
    <w:rsid w:val="00047B98"/>
    <w:rsid w:val="00060B3A"/>
    <w:rsid w:val="00063B47"/>
    <w:rsid w:val="0007510F"/>
    <w:rsid w:val="0008699C"/>
    <w:rsid w:val="000871A4"/>
    <w:rsid w:val="000920B2"/>
    <w:rsid w:val="000939CC"/>
    <w:rsid w:val="000A2B14"/>
    <w:rsid w:val="000A7E90"/>
    <w:rsid w:val="000B0611"/>
    <w:rsid w:val="000B0AB0"/>
    <w:rsid w:val="000B1A1B"/>
    <w:rsid w:val="000B1C40"/>
    <w:rsid w:val="000B407F"/>
    <w:rsid w:val="000C1039"/>
    <w:rsid w:val="000C4697"/>
    <w:rsid w:val="000D47E3"/>
    <w:rsid w:val="000E13E6"/>
    <w:rsid w:val="000F196F"/>
    <w:rsid w:val="000F2A3D"/>
    <w:rsid w:val="001051F4"/>
    <w:rsid w:val="001058BE"/>
    <w:rsid w:val="0010746C"/>
    <w:rsid w:val="00112A24"/>
    <w:rsid w:val="001158E7"/>
    <w:rsid w:val="00117654"/>
    <w:rsid w:val="00120872"/>
    <w:rsid w:val="001224CE"/>
    <w:rsid w:val="00124F36"/>
    <w:rsid w:val="00127D40"/>
    <w:rsid w:val="00131A52"/>
    <w:rsid w:val="00132EC9"/>
    <w:rsid w:val="001331B0"/>
    <w:rsid w:val="00152C8C"/>
    <w:rsid w:val="001732CB"/>
    <w:rsid w:val="00175B8D"/>
    <w:rsid w:val="00180286"/>
    <w:rsid w:val="00182875"/>
    <w:rsid w:val="00187773"/>
    <w:rsid w:val="001902F5"/>
    <w:rsid w:val="00191E95"/>
    <w:rsid w:val="00194CF3"/>
    <w:rsid w:val="00195105"/>
    <w:rsid w:val="001A0CDE"/>
    <w:rsid w:val="001A249E"/>
    <w:rsid w:val="001A4AD3"/>
    <w:rsid w:val="001A4D2B"/>
    <w:rsid w:val="001A7245"/>
    <w:rsid w:val="001B03F5"/>
    <w:rsid w:val="001B690B"/>
    <w:rsid w:val="001B6C94"/>
    <w:rsid w:val="001B74F8"/>
    <w:rsid w:val="001B7C98"/>
    <w:rsid w:val="001C362C"/>
    <w:rsid w:val="001C4F0E"/>
    <w:rsid w:val="001C609B"/>
    <w:rsid w:val="001D10A4"/>
    <w:rsid w:val="001D237D"/>
    <w:rsid w:val="001D5366"/>
    <w:rsid w:val="001D6D75"/>
    <w:rsid w:val="001E030F"/>
    <w:rsid w:val="001E7A01"/>
    <w:rsid w:val="001F21AC"/>
    <w:rsid w:val="001F242A"/>
    <w:rsid w:val="001F2CCB"/>
    <w:rsid w:val="00211F33"/>
    <w:rsid w:val="002141AF"/>
    <w:rsid w:val="00215E4C"/>
    <w:rsid w:val="00221F9E"/>
    <w:rsid w:val="0022481E"/>
    <w:rsid w:val="00230E08"/>
    <w:rsid w:val="0023200A"/>
    <w:rsid w:val="00233F2D"/>
    <w:rsid w:val="0024245D"/>
    <w:rsid w:val="00242683"/>
    <w:rsid w:val="00243D2E"/>
    <w:rsid w:val="0024462C"/>
    <w:rsid w:val="0025003E"/>
    <w:rsid w:val="00250677"/>
    <w:rsid w:val="0025579C"/>
    <w:rsid w:val="002576EC"/>
    <w:rsid w:val="00266225"/>
    <w:rsid w:val="0028028C"/>
    <w:rsid w:val="002829BB"/>
    <w:rsid w:val="002A2565"/>
    <w:rsid w:val="002B7B0C"/>
    <w:rsid w:val="002C07CC"/>
    <w:rsid w:val="002C18B3"/>
    <w:rsid w:val="002D02D4"/>
    <w:rsid w:val="002D5D95"/>
    <w:rsid w:val="002D617B"/>
    <w:rsid w:val="002E48ED"/>
    <w:rsid w:val="002F036E"/>
    <w:rsid w:val="002F2071"/>
    <w:rsid w:val="002F50BD"/>
    <w:rsid w:val="002F6C64"/>
    <w:rsid w:val="003004F8"/>
    <w:rsid w:val="00300AB5"/>
    <w:rsid w:val="00305725"/>
    <w:rsid w:val="00310B98"/>
    <w:rsid w:val="00313394"/>
    <w:rsid w:val="0031730D"/>
    <w:rsid w:val="0031735A"/>
    <w:rsid w:val="00324068"/>
    <w:rsid w:val="00337AC0"/>
    <w:rsid w:val="00355882"/>
    <w:rsid w:val="003568E9"/>
    <w:rsid w:val="0036181C"/>
    <w:rsid w:val="0036490F"/>
    <w:rsid w:val="003674A1"/>
    <w:rsid w:val="00367FD1"/>
    <w:rsid w:val="00385366"/>
    <w:rsid w:val="003876AA"/>
    <w:rsid w:val="00390060"/>
    <w:rsid w:val="00392598"/>
    <w:rsid w:val="0039684E"/>
    <w:rsid w:val="003A02AA"/>
    <w:rsid w:val="003A3219"/>
    <w:rsid w:val="003B0F61"/>
    <w:rsid w:val="003B53E2"/>
    <w:rsid w:val="003B5645"/>
    <w:rsid w:val="003B5E71"/>
    <w:rsid w:val="003B6EB8"/>
    <w:rsid w:val="003B734C"/>
    <w:rsid w:val="003D1C97"/>
    <w:rsid w:val="003D30EB"/>
    <w:rsid w:val="003D5A53"/>
    <w:rsid w:val="003D6409"/>
    <w:rsid w:val="003E7986"/>
    <w:rsid w:val="003F0E15"/>
    <w:rsid w:val="003F15BE"/>
    <w:rsid w:val="003F3630"/>
    <w:rsid w:val="003F4284"/>
    <w:rsid w:val="003F61C3"/>
    <w:rsid w:val="003F646C"/>
    <w:rsid w:val="003F6B42"/>
    <w:rsid w:val="00401F3A"/>
    <w:rsid w:val="00406481"/>
    <w:rsid w:val="004076AD"/>
    <w:rsid w:val="00414ED5"/>
    <w:rsid w:val="00424CBF"/>
    <w:rsid w:val="004339FD"/>
    <w:rsid w:val="00442F7A"/>
    <w:rsid w:val="004453F6"/>
    <w:rsid w:val="0044556F"/>
    <w:rsid w:val="004466B1"/>
    <w:rsid w:val="00447C3F"/>
    <w:rsid w:val="00452B62"/>
    <w:rsid w:val="004574D2"/>
    <w:rsid w:val="004612C7"/>
    <w:rsid w:val="00471B52"/>
    <w:rsid w:val="004720A7"/>
    <w:rsid w:val="004756C1"/>
    <w:rsid w:val="00475EBB"/>
    <w:rsid w:val="00480B4C"/>
    <w:rsid w:val="004826A8"/>
    <w:rsid w:val="004869DB"/>
    <w:rsid w:val="00493846"/>
    <w:rsid w:val="00494189"/>
    <w:rsid w:val="0049664C"/>
    <w:rsid w:val="004A23F8"/>
    <w:rsid w:val="004A38DE"/>
    <w:rsid w:val="004A5981"/>
    <w:rsid w:val="004A6BCD"/>
    <w:rsid w:val="004A71D0"/>
    <w:rsid w:val="004A77DB"/>
    <w:rsid w:val="004B0453"/>
    <w:rsid w:val="004B0CA7"/>
    <w:rsid w:val="004B3E38"/>
    <w:rsid w:val="004B4702"/>
    <w:rsid w:val="004C7A2A"/>
    <w:rsid w:val="004D555D"/>
    <w:rsid w:val="004D784A"/>
    <w:rsid w:val="004E0A85"/>
    <w:rsid w:val="004E4EC3"/>
    <w:rsid w:val="004E4F21"/>
    <w:rsid w:val="004F244B"/>
    <w:rsid w:val="004F64EE"/>
    <w:rsid w:val="00500579"/>
    <w:rsid w:val="00500DEF"/>
    <w:rsid w:val="005064FB"/>
    <w:rsid w:val="00511F8A"/>
    <w:rsid w:val="005127F2"/>
    <w:rsid w:val="00525DAF"/>
    <w:rsid w:val="0052705C"/>
    <w:rsid w:val="005303CF"/>
    <w:rsid w:val="00535F9A"/>
    <w:rsid w:val="00542EE5"/>
    <w:rsid w:val="00545F7B"/>
    <w:rsid w:val="00546E27"/>
    <w:rsid w:val="00551A45"/>
    <w:rsid w:val="00553DF2"/>
    <w:rsid w:val="00561706"/>
    <w:rsid w:val="00562C0D"/>
    <w:rsid w:val="00565B3F"/>
    <w:rsid w:val="00571527"/>
    <w:rsid w:val="005742A4"/>
    <w:rsid w:val="00591998"/>
    <w:rsid w:val="00594A58"/>
    <w:rsid w:val="00596798"/>
    <w:rsid w:val="005A282A"/>
    <w:rsid w:val="005A2AF3"/>
    <w:rsid w:val="005A3A53"/>
    <w:rsid w:val="005A6089"/>
    <w:rsid w:val="005A6BC7"/>
    <w:rsid w:val="005A762F"/>
    <w:rsid w:val="005B16C0"/>
    <w:rsid w:val="005B22C9"/>
    <w:rsid w:val="005B6718"/>
    <w:rsid w:val="005C4682"/>
    <w:rsid w:val="005C6466"/>
    <w:rsid w:val="005D1589"/>
    <w:rsid w:val="005D4A0C"/>
    <w:rsid w:val="005D5717"/>
    <w:rsid w:val="005E517B"/>
    <w:rsid w:val="005E7CEA"/>
    <w:rsid w:val="005F10C4"/>
    <w:rsid w:val="005F39FC"/>
    <w:rsid w:val="00605AE7"/>
    <w:rsid w:val="00610017"/>
    <w:rsid w:val="006227D6"/>
    <w:rsid w:val="006227D8"/>
    <w:rsid w:val="006242D3"/>
    <w:rsid w:val="00626F06"/>
    <w:rsid w:val="0063607A"/>
    <w:rsid w:val="00646293"/>
    <w:rsid w:val="00647C86"/>
    <w:rsid w:val="00650A25"/>
    <w:rsid w:val="006533F0"/>
    <w:rsid w:val="00655901"/>
    <w:rsid w:val="0065690E"/>
    <w:rsid w:val="006603BE"/>
    <w:rsid w:val="006621A7"/>
    <w:rsid w:val="00673A61"/>
    <w:rsid w:val="0067662E"/>
    <w:rsid w:val="00681D91"/>
    <w:rsid w:val="006845C2"/>
    <w:rsid w:val="00691920"/>
    <w:rsid w:val="00691D45"/>
    <w:rsid w:val="006971F1"/>
    <w:rsid w:val="00697AFE"/>
    <w:rsid w:val="006A0A44"/>
    <w:rsid w:val="006B05AB"/>
    <w:rsid w:val="006B3A73"/>
    <w:rsid w:val="006B4F85"/>
    <w:rsid w:val="006C28AB"/>
    <w:rsid w:val="006C3A8C"/>
    <w:rsid w:val="006C4368"/>
    <w:rsid w:val="006C4819"/>
    <w:rsid w:val="006D28A8"/>
    <w:rsid w:val="006E1DE6"/>
    <w:rsid w:val="006E2B9F"/>
    <w:rsid w:val="006F10B2"/>
    <w:rsid w:val="006F2023"/>
    <w:rsid w:val="006F3519"/>
    <w:rsid w:val="006F3796"/>
    <w:rsid w:val="006F56A7"/>
    <w:rsid w:val="0070394C"/>
    <w:rsid w:val="007043AA"/>
    <w:rsid w:val="007064FE"/>
    <w:rsid w:val="00706D89"/>
    <w:rsid w:val="007221D9"/>
    <w:rsid w:val="00726D81"/>
    <w:rsid w:val="007330C0"/>
    <w:rsid w:val="00754117"/>
    <w:rsid w:val="0075425F"/>
    <w:rsid w:val="007565F2"/>
    <w:rsid w:val="00764557"/>
    <w:rsid w:val="007801FA"/>
    <w:rsid w:val="0078412B"/>
    <w:rsid w:val="00785C83"/>
    <w:rsid w:val="00787481"/>
    <w:rsid w:val="00791223"/>
    <w:rsid w:val="00794692"/>
    <w:rsid w:val="007A341D"/>
    <w:rsid w:val="007A35BB"/>
    <w:rsid w:val="007B4699"/>
    <w:rsid w:val="007B6499"/>
    <w:rsid w:val="007B7C05"/>
    <w:rsid w:val="007C2B73"/>
    <w:rsid w:val="007C6FF4"/>
    <w:rsid w:val="007D16B9"/>
    <w:rsid w:val="007D266B"/>
    <w:rsid w:val="007D2B4E"/>
    <w:rsid w:val="007E1B5D"/>
    <w:rsid w:val="007F0C83"/>
    <w:rsid w:val="007F4725"/>
    <w:rsid w:val="00802650"/>
    <w:rsid w:val="00802CCC"/>
    <w:rsid w:val="008078C2"/>
    <w:rsid w:val="00811967"/>
    <w:rsid w:val="00823310"/>
    <w:rsid w:val="008323C6"/>
    <w:rsid w:val="008332CB"/>
    <w:rsid w:val="00840E59"/>
    <w:rsid w:val="00842134"/>
    <w:rsid w:val="00843EF5"/>
    <w:rsid w:val="008531E3"/>
    <w:rsid w:val="00865A38"/>
    <w:rsid w:val="008664AA"/>
    <w:rsid w:val="0087251E"/>
    <w:rsid w:val="0088214E"/>
    <w:rsid w:val="00882D16"/>
    <w:rsid w:val="0088662B"/>
    <w:rsid w:val="008871A5"/>
    <w:rsid w:val="008874B4"/>
    <w:rsid w:val="0089298C"/>
    <w:rsid w:val="008A1C23"/>
    <w:rsid w:val="008A571B"/>
    <w:rsid w:val="008A62A6"/>
    <w:rsid w:val="008B1D76"/>
    <w:rsid w:val="008C25F4"/>
    <w:rsid w:val="008C29C9"/>
    <w:rsid w:val="008C58CB"/>
    <w:rsid w:val="008D2544"/>
    <w:rsid w:val="008F0F71"/>
    <w:rsid w:val="008F2C1A"/>
    <w:rsid w:val="008F3DAF"/>
    <w:rsid w:val="00902B44"/>
    <w:rsid w:val="00904A14"/>
    <w:rsid w:val="0090792C"/>
    <w:rsid w:val="00911F05"/>
    <w:rsid w:val="00911F24"/>
    <w:rsid w:val="009121B8"/>
    <w:rsid w:val="00914F6C"/>
    <w:rsid w:val="009154F5"/>
    <w:rsid w:val="0091562E"/>
    <w:rsid w:val="0092602F"/>
    <w:rsid w:val="009338FD"/>
    <w:rsid w:val="00937400"/>
    <w:rsid w:val="00941AED"/>
    <w:rsid w:val="00945538"/>
    <w:rsid w:val="00945F5E"/>
    <w:rsid w:val="0095109B"/>
    <w:rsid w:val="00951B61"/>
    <w:rsid w:val="00957343"/>
    <w:rsid w:val="00972D6E"/>
    <w:rsid w:val="00974F07"/>
    <w:rsid w:val="00977CDD"/>
    <w:rsid w:val="00977F38"/>
    <w:rsid w:val="00980154"/>
    <w:rsid w:val="00982FA1"/>
    <w:rsid w:val="00982FAF"/>
    <w:rsid w:val="00983CE3"/>
    <w:rsid w:val="0099023E"/>
    <w:rsid w:val="00996FA1"/>
    <w:rsid w:val="009A1371"/>
    <w:rsid w:val="009A276B"/>
    <w:rsid w:val="009A2948"/>
    <w:rsid w:val="009A3094"/>
    <w:rsid w:val="009A4073"/>
    <w:rsid w:val="009B11AD"/>
    <w:rsid w:val="009B31FB"/>
    <w:rsid w:val="009C1566"/>
    <w:rsid w:val="009C5015"/>
    <w:rsid w:val="009C74A1"/>
    <w:rsid w:val="009C7C74"/>
    <w:rsid w:val="009D3156"/>
    <w:rsid w:val="009D3DE1"/>
    <w:rsid w:val="009E37CD"/>
    <w:rsid w:val="009E775D"/>
    <w:rsid w:val="009F11EB"/>
    <w:rsid w:val="009F308E"/>
    <w:rsid w:val="009F6EEA"/>
    <w:rsid w:val="00A00E13"/>
    <w:rsid w:val="00A079B2"/>
    <w:rsid w:val="00A12CD8"/>
    <w:rsid w:val="00A1447F"/>
    <w:rsid w:val="00A157C9"/>
    <w:rsid w:val="00A17F53"/>
    <w:rsid w:val="00A23E23"/>
    <w:rsid w:val="00A25859"/>
    <w:rsid w:val="00A34AAE"/>
    <w:rsid w:val="00A4549B"/>
    <w:rsid w:val="00A46C2A"/>
    <w:rsid w:val="00A50140"/>
    <w:rsid w:val="00A55DB7"/>
    <w:rsid w:val="00A57EC8"/>
    <w:rsid w:val="00A64278"/>
    <w:rsid w:val="00A70831"/>
    <w:rsid w:val="00A71135"/>
    <w:rsid w:val="00A74658"/>
    <w:rsid w:val="00A76090"/>
    <w:rsid w:val="00A77D90"/>
    <w:rsid w:val="00A8072E"/>
    <w:rsid w:val="00A8411C"/>
    <w:rsid w:val="00A8604E"/>
    <w:rsid w:val="00A90BED"/>
    <w:rsid w:val="00A93AB9"/>
    <w:rsid w:val="00A94B1E"/>
    <w:rsid w:val="00A953E1"/>
    <w:rsid w:val="00AB454A"/>
    <w:rsid w:val="00AB58EB"/>
    <w:rsid w:val="00AB6727"/>
    <w:rsid w:val="00AD23C8"/>
    <w:rsid w:val="00AE379B"/>
    <w:rsid w:val="00AE4DEA"/>
    <w:rsid w:val="00AE5FE8"/>
    <w:rsid w:val="00AE6BB3"/>
    <w:rsid w:val="00AF2A3A"/>
    <w:rsid w:val="00AF2B8E"/>
    <w:rsid w:val="00AF37AB"/>
    <w:rsid w:val="00AF713C"/>
    <w:rsid w:val="00B0045F"/>
    <w:rsid w:val="00B017F0"/>
    <w:rsid w:val="00B03EA8"/>
    <w:rsid w:val="00B05976"/>
    <w:rsid w:val="00B07129"/>
    <w:rsid w:val="00B1341D"/>
    <w:rsid w:val="00B15E89"/>
    <w:rsid w:val="00B20FE3"/>
    <w:rsid w:val="00B47255"/>
    <w:rsid w:val="00B47525"/>
    <w:rsid w:val="00B50425"/>
    <w:rsid w:val="00B6352C"/>
    <w:rsid w:val="00B65799"/>
    <w:rsid w:val="00B73CB1"/>
    <w:rsid w:val="00B756DC"/>
    <w:rsid w:val="00B76BEF"/>
    <w:rsid w:val="00B76C95"/>
    <w:rsid w:val="00B80921"/>
    <w:rsid w:val="00B814B3"/>
    <w:rsid w:val="00B82211"/>
    <w:rsid w:val="00B84081"/>
    <w:rsid w:val="00B861C7"/>
    <w:rsid w:val="00B92052"/>
    <w:rsid w:val="00B9255D"/>
    <w:rsid w:val="00B92AD6"/>
    <w:rsid w:val="00B938C8"/>
    <w:rsid w:val="00B94555"/>
    <w:rsid w:val="00BA7E13"/>
    <w:rsid w:val="00BB4CA1"/>
    <w:rsid w:val="00BC3C8E"/>
    <w:rsid w:val="00BC5C21"/>
    <w:rsid w:val="00BD5B55"/>
    <w:rsid w:val="00BD774C"/>
    <w:rsid w:val="00BE346D"/>
    <w:rsid w:val="00BE46ED"/>
    <w:rsid w:val="00C03ED8"/>
    <w:rsid w:val="00C04D11"/>
    <w:rsid w:val="00C137B2"/>
    <w:rsid w:val="00C13D34"/>
    <w:rsid w:val="00C1503E"/>
    <w:rsid w:val="00C17676"/>
    <w:rsid w:val="00C247F1"/>
    <w:rsid w:val="00C25DFB"/>
    <w:rsid w:val="00C43A01"/>
    <w:rsid w:val="00C44CE3"/>
    <w:rsid w:val="00C631F4"/>
    <w:rsid w:val="00C63586"/>
    <w:rsid w:val="00C6723D"/>
    <w:rsid w:val="00C747CE"/>
    <w:rsid w:val="00C76C86"/>
    <w:rsid w:val="00C80766"/>
    <w:rsid w:val="00C8165F"/>
    <w:rsid w:val="00C82E6A"/>
    <w:rsid w:val="00C837AF"/>
    <w:rsid w:val="00C84CDE"/>
    <w:rsid w:val="00C92AA3"/>
    <w:rsid w:val="00C9620F"/>
    <w:rsid w:val="00CA0A54"/>
    <w:rsid w:val="00CA221D"/>
    <w:rsid w:val="00CA42F5"/>
    <w:rsid w:val="00CA4C95"/>
    <w:rsid w:val="00CA5630"/>
    <w:rsid w:val="00CB0D30"/>
    <w:rsid w:val="00CB1183"/>
    <w:rsid w:val="00CB205C"/>
    <w:rsid w:val="00CB4218"/>
    <w:rsid w:val="00CB4243"/>
    <w:rsid w:val="00CC31B6"/>
    <w:rsid w:val="00CD17CA"/>
    <w:rsid w:val="00CD2AE8"/>
    <w:rsid w:val="00CD2DC3"/>
    <w:rsid w:val="00CD3DEB"/>
    <w:rsid w:val="00CD7100"/>
    <w:rsid w:val="00CE0857"/>
    <w:rsid w:val="00CE1AC8"/>
    <w:rsid w:val="00CE4FA3"/>
    <w:rsid w:val="00CE698C"/>
    <w:rsid w:val="00CE6AFD"/>
    <w:rsid w:val="00CF0F4B"/>
    <w:rsid w:val="00CF451D"/>
    <w:rsid w:val="00CF4BA6"/>
    <w:rsid w:val="00CF76D3"/>
    <w:rsid w:val="00D13D88"/>
    <w:rsid w:val="00D2119D"/>
    <w:rsid w:val="00D2291C"/>
    <w:rsid w:val="00D26AAF"/>
    <w:rsid w:val="00D30178"/>
    <w:rsid w:val="00D3346E"/>
    <w:rsid w:val="00D3773B"/>
    <w:rsid w:val="00D432E7"/>
    <w:rsid w:val="00D51287"/>
    <w:rsid w:val="00D62478"/>
    <w:rsid w:val="00D65D40"/>
    <w:rsid w:val="00D67007"/>
    <w:rsid w:val="00D70CD3"/>
    <w:rsid w:val="00D75E00"/>
    <w:rsid w:val="00D90AD9"/>
    <w:rsid w:val="00D91C0F"/>
    <w:rsid w:val="00D933FE"/>
    <w:rsid w:val="00D95E71"/>
    <w:rsid w:val="00DA1591"/>
    <w:rsid w:val="00DB020A"/>
    <w:rsid w:val="00DB2867"/>
    <w:rsid w:val="00DB3660"/>
    <w:rsid w:val="00DB51F0"/>
    <w:rsid w:val="00DB67CC"/>
    <w:rsid w:val="00DC0F25"/>
    <w:rsid w:val="00DD2E3D"/>
    <w:rsid w:val="00DD5EE2"/>
    <w:rsid w:val="00DE5248"/>
    <w:rsid w:val="00DF0BF6"/>
    <w:rsid w:val="00DF19F4"/>
    <w:rsid w:val="00DF42EA"/>
    <w:rsid w:val="00DF5F1A"/>
    <w:rsid w:val="00E0019F"/>
    <w:rsid w:val="00E0494A"/>
    <w:rsid w:val="00E0567F"/>
    <w:rsid w:val="00E10DBB"/>
    <w:rsid w:val="00E12922"/>
    <w:rsid w:val="00E13112"/>
    <w:rsid w:val="00E14FF1"/>
    <w:rsid w:val="00E16947"/>
    <w:rsid w:val="00E1782A"/>
    <w:rsid w:val="00E208D9"/>
    <w:rsid w:val="00E20EA9"/>
    <w:rsid w:val="00E221FD"/>
    <w:rsid w:val="00E25B7D"/>
    <w:rsid w:val="00E350FB"/>
    <w:rsid w:val="00E403A1"/>
    <w:rsid w:val="00E45396"/>
    <w:rsid w:val="00E46BA3"/>
    <w:rsid w:val="00E50F4A"/>
    <w:rsid w:val="00E57D41"/>
    <w:rsid w:val="00E64CE8"/>
    <w:rsid w:val="00E6530C"/>
    <w:rsid w:val="00E72F67"/>
    <w:rsid w:val="00E7595C"/>
    <w:rsid w:val="00E801FF"/>
    <w:rsid w:val="00E8414F"/>
    <w:rsid w:val="00E84553"/>
    <w:rsid w:val="00E873DC"/>
    <w:rsid w:val="00E921D8"/>
    <w:rsid w:val="00E93476"/>
    <w:rsid w:val="00EA4390"/>
    <w:rsid w:val="00EA706C"/>
    <w:rsid w:val="00EA7AB9"/>
    <w:rsid w:val="00EB07FE"/>
    <w:rsid w:val="00EB4E18"/>
    <w:rsid w:val="00EB7CEE"/>
    <w:rsid w:val="00EC01DE"/>
    <w:rsid w:val="00EC31B9"/>
    <w:rsid w:val="00EC33C7"/>
    <w:rsid w:val="00EC3962"/>
    <w:rsid w:val="00EC5F20"/>
    <w:rsid w:val="00EF5257"/>
    <w:rsid w:val="00EF58EB"/>
    <w:rsid w:val="00EF6986"/>
    <w:rsid w:val="00F023F7"/>
    <w:rsid w:val="00F03773"/>
    <w:rsid w:val="00F04F59"/>
    <w:rsid w:val="00F05796"/>
    <w:rsid w:val="00F07905"/>
    <w:rsid w:val="00F130FD"/>
    <w:rsid w:val="00F155D1"/>
    <w:rsid w:val="00F2473F"/>
    <w:rsid w:val="00F424BB"/>
    <w:rsid w:val="00F46680"/>
    <w:rsid w:val="00F47C94"/>
    <w:rsid w:val="00F51B9E"/>
    <w:rsid w:val="00F51FB3"/>
    <w:rsid w:val="00F55DCA"/>
    <w:rsid w:val="00F57DCA"/>
    <w:rsid w:val="00F6299E"/>
    <w:rsid w:val="00F664FC"/>
    <w:rsid w:val="00F705D1"/>
    <w:rsid w:val="00F76AC5"/>
    <w:rsid w:val="00F8225E"/>
    <w:rsid w:val="00F82B7B"/>
    <w:rsid w:val="00F8433D"/>
    <w:rsid w:val="00F8611F"/>
    <w:rsid w:val="00F86365"/>
    <w:rsid w:val="00F902E1"/>
    <w:rsid w:val="00F93E5E"/>
    <w:rsid w:val="00F94696"/>
    <w:rsid w:val="00F96203"/>
    <w:rsid w:val="00FA354C"/>
    <w:rsid w:val="00FB1F42"/>
    <w:rsid w:val="00FB33DD"/>
    <w:rsid w:val="00FB6010"/>
    <w:rsid w:val="00FB76B4"/>
    <w:rsid w:val="00FB7C9C"/>
    <w:rsid w:val="00FC43AF"/>
    <w:rsid w:val="00FC6B22"/>
    <w:rsid w:val="00FD1BB9"/>
    <w:rsid w:val="00FD26B7"/>
    <w:rsid w:val="00FD2C38"/>
    <w:rsid w:val="00FD6E32"/>
    <w:rsid w:val="00FE08B7"/>
    <w:rsid w:val="00FE0E3C"/>
    <w:rsid w:val="00FE7CEF"/>
    <w:rsid w:val="00FF35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8C2"/>
    <w:rPr>
      <w:rFonts w:ascii="Times" w:eastAsia="Times" w:hAnsi="Times"/>
      <w:sz w:val="24"/>
      <w:lang w:val="es-ES_tradnl" w:eastAsia="en-US"/>
    </w:rPr>
  </w:style>
  <w:style w:type="paragraph" w:styleId="Heading1">
    <w:name w:val="heading 1"/>
    <w:basedOn w:val="Normal"/>
    <w:next w:val="Normal"/>
    <w:qFormat/>
    <w:rsid w:val="008078C2"/>
    <w:pPr>
      <w:keepNext/>
      <w:outlineLvl w:val="0"/>
    </w:pPr>
    <w:rPr>
      <w:rFonts w:ascii="Verdana" w:hAnsi="Verdana"/>
      <w:sz w:val="28"/>
    </w:rPr>
  </w:style>
  <w:style w:type="paragraph" w:styleId="Heading2">
    <w:name w:val="heading 2"/>
    <w:basedOn w:val="Normal"/>
    <w:next w:val="Normal"/>
    <w:qFormat/>
    <w:rsid w:val="008078C2"/>
    <w:pPr>
      <w:keepNext/>
      <w:jc w:val="center"/>
      <w:outlineLvl w:val="1"/>
    </w:pPr>
    <w:rPr>
      <w:rFonts w:ascii="Garamond" w:hAnsi="Garamond"/>
      <w:b/>
      <w:smallCaps/>
    </w:rPr>
  </w:style>
  <w:style w:type="paragraph" w:styleId="Heading3">
    <w:name w:val="heading 3"/>
    <w:basedOn w:val="Normal"/>
    <w:next w:val="Normal"/>
    <w:qFormat/>
    <w:rsid w:val="008078C2"/>
    <w:pPr>
      <w:keepNext/>
      <w:jc w:val="both"/>
      <w:outlineLvl w:val="2"/>
    </w:pPr>
    <w:rPr>
      <w:rFonts w:ascii="Verdana" w:hAnsi="Verdana"/>
      <w:i/>
      <w:sz w:val="20"/>
    </w:rPr>
  </w:style>
  <w:style w:type="paragraph" w:styleId="Heading4">
    <w:name w:val="heading 4"/>
    <w:basedOn w:val="Normal"/>
    <w:next w:val="Normal"/>
    <w:qFormat/>
    <w:rsid w:val="008078C2"/>
    <w:pPr>
      <w:keepNext/>
      <w:spacing w:line="360" w:lineRule="auto"/>
      <w:jc w:val="center"/>
      <w:outlineLvl w:val="3"/>
    </w:pPr>
    <w:rPr>
      <w:rFonts w:ascii="Verdana" w:hAnsi="Verdana"/>
      <w:b/>
      <w:smallCaps/>
      <w:sz w:val="20"/>
    </w:rPr>
  </w:style>
  <w:style w:type="paragraph" w:styleId="Heading5">
    <w:name w:val="heading 5"/>
    <w:basedOn w:val="Normal"/>
    <w:next w:val="Normal"/>
    <w:qFormat/>
    <w:rsid w:val="008078C2"/>
    <w:pPr>
      <w:keepNext/>
      <w:ind w:left="630"/>
      <w:jc w:val="center"/>
      <w:outlineLvl w:val="4"/>
    </w:pPr>
    <w:rPr>
      <w:rFonts w:ascii="Verdana" w:hAnsi="Verdana"/>
      <w:b/>
      <w:sz w:val="20"/>
    </w:rPr>
  </w:style>
  <w:style w:type="paragraph" w:styleId="Heading6">
    <w:name w:val="heading 6"/>
    <w:basedOn w:val="Normal"/>
    <w:next w:val="Normal"/>
    <w:qFormat/>
    <w:rsid w:val="008078C2"/>
    <w:pPr>
      <w:keepNext/>
      <w:jc w:val="both"/>
      <w:outlineLvl w:val="5"/>
    </w:pPr>
    <w:rPr>
      <w:rFonts w:ascii="Verdana" w:hAnsi="Verdana"/>
      <w:b/>
      <w:sz w:val="20"/>
    </w:rPr>
  </w:style>
  <w:style w:type="paragraph" w:styleId="Heading7">
    <w:name w:val="heading 7"/>
    <w:basedOn w:val="Normal"/>
    <w:next w:val="Normal"/>
    <w:qFormat/>
    <w:rsid w:val="008078C2"/>
    <w:pPr>
      <w:keepNext/>
      <w:jc w:val="both"/>
      <w:outlineLvl w:val="6"/>
    </w:pPr>
    <w:rPr>
      <w:rFonts w:ascii="Verdana" w:hAnsi="Verdana"/>
      <w:i/>
      <w:sz w:val="22"/>
    </w:rPr>
  </w:style>
  <w:style w:type="paragraph" w:styleId="Heading8">
    <w:name w:val="heading 8"/>
    <w:basedOn w:val="Normal"/>
    <w:next w:val="Normal"/>
    <w:qFormat/>
    <w:rsid w:val="008078C2"/>
    <w:pPr>
      <w:keepNext/>
      <w:jc w:val="center"/>
      <w:outlineLvl w:val="7"/>
    </w:pPr>
    <w:rPr>
      <w:rFonts w:ascii="Garamond" w:hAnsi="Garamond"/>
      <w:b/>
      <w:sz w:val="22"/>
    </w:rPr>
  </w:style>
  <w:style w:type="paragraph" w:styleId="Heading9">
    <w:name w:val="heading 9"/>
    <w:basedOn w:val="Normal"/>
    <w:next w:val="Normal"/>
    <w:qFormat/>
    <w:rsid w:val="008078C2"/>
    <w:pPr>
      <w:keepNext/>
      <w:numPr>
        <w:numId w:val="1"/>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8C2"/>
    <w:rPr>
      <w:sz w:val="20"/>
      <w:vertAlign w:val="superscript"/>
    </w:rPr>
  </w:style>
  <w:style w:type="paragraph" w:customStyle="1" w:styleId="Textoindependiente1">
    <w:name w:val="Texto independiente1"/>
    <w:basedOn w:val="Normal"/>
    <w:rsid w:val="008078C2"/>
    <w:pPr>
      <w:jc w:val="both"/>
    </w:pPr>
    <w:rPr>
      <w:rFonts w:ascii="Verdana" w:hAnsi="Verdana"/>
      <w:sz w:val="28"/>
    </w:rPr>
  </w:style>
  <w:style w:type="paragraph" w:styleId="List2">
    <w:name w:val="List 2"/>
    <w:basedOn w:val="Normal"/>
    <w:rsid w:val="008078C2"/>
    <w:pPr>
      <w:ind w:left="720" w:hanging="360"/>
    </w:pPr>
    <w:rPr>
      <w:rFonts w:ascii="Univers" w:eastAsia="Times New Roman" w:hAnsi="Univers"/>
      <w:sz w:val="22"/>
    </w:rPr>
  </w:style>
  <w:style w:type="paragraph" w:styleId="BodyText2">
    <w:name w:val="Body Text 2"/>
    <w:basedOn w:val="Normal"/>
    <w:rsid w:val="008078C2"/>
    <w:pPr>
      <w:widowControl w:val="0"/>
      <w:jc w:val="both"/>
    </w:pPr>
    <w:rPr>
      <w:rFonts w:ascii="Garamond" w:eastAsia="Times New Roman" w:hAnsi="Garamond"/>
    </w:rPr>
  </w:style>
  <w:style w:type="paragraph" w:styleId="BodyTextIndent">
    <w:name w:val="Body Text Indent"/>
    <w:basedOn w:val="Normal"/>
    <w:rsid w:val="008078C2"/>
    <w:pPr>
      <w:ind w:firstLine="720"/>
      <w:jc w:val="both"/>
    </w:pPr>
    <w:rPr>
      <w:rFonts w:ascii="Garamond" w:hAnsi="Garamond"/>
      <w:lang w:val="es-ES"/>
    </w:rPr>
  </w:style>
  <w:style w:type="paragraph" w:styleId="BodyTextIndent3">
    <w:name w:val="Body Text Indent 3"/>
    <w:basedOn w:val="Normal"/>
    <w:rsid w:val="008078C2"/>
    <w:pPr>
      <w:ind w:left="720"/>
      <w:jc w:val="both"/>
    </w:pPr>
    <w:rPr>
      <w:rFonts w:ascii="Univers" w:eastAsia="Times New Roman" w:hAnsi="Univers"/>
      <w:sz w:val="22"/>
      <w:lang w:val="es-CL"/>
    </w:rPr>
  </w:style>
  <w:style w:type="paragraph" w:styleId="BodyText3">
    <w:name w:val="Body Text 3"/>
    <w:basedOn w:val="Normal"/>
    <w:rsid w:val="008078C2"/>
    <w:pPr>
      <w:jc w:val="both"/>
    </w:pPr>
    <w:rPr>
      <w:rFonts w:ascii="Garamond" w:hAnsi="Garamond"/>
      <w:u w:val="single"/>
    </w:rPr>
  </w:style>
  <w:style w:type="paragraph" w:styleId="FootnoteText">
    <w:name w:val="footnote text"/>
    <w:aliases w:val="Footnote Text Char Char Char Char Char,Footnote Text Char Char Char Char"/>
    <w:basedOn w:val="Normal"/>
    <w:semiHidden/>
    <w:rsid w:val="008078C2"/>
  </w:style>
  <w:style w:type="paragraph" w:customStyle="1" w:styleId="Sangra2detindependiente1">
    <w:name w:val="Sangría 2 de t. independiente1"/>
    <w:basedOn w:val="Normal"/>
    <w:rsid w:val="008078C2"/>
    <w:pPr>
      <w:ind w:left="1440"/>
      <w:jc w:val="both"/>
    </w:pPr>
    <w:rPr>
      <w:rFonts w:ascii="Garamond" w:eastAsia="Times New Roman" w:hAnsi="Garamond"/>
      <w:u w:val="single"/>
    </w:rPr>
  </w:style>
  <w:style w:type="paragraph" w:styleId="Title">
    <w:name w:val="Title"/>
    <w:basedOn w:val="Normal"/>
    <w:qFormat/>
    <w:rsid w:val="008078C2"/>
    <w:pPr>
      <w:jc w:val="center"/>
    </w:pPr>
    <w:rPr>
      <w:rFonts w:ascii="Verdana" w:hAnsi="Verdana"/>
      <w:b/>
      <w:smallCaps/>
      <w:sz w:val="22"/>
    </w:rPr>
  </w:style>
  <w:style w:type="paragraph" w:customStyle="1" w:styleId="Sangradetindependiente">
    <w:name w:val="SangrÌa de t. independiente"/>
    <w:basedOn w:val="Normal"/>
    <w:rsid w:val="008078C2"/>
    <w:pPr>
      <w:spacing w:line="360" w:lineRule="atLeast"/>
    </w:pPr>
    <w:rPr>
      <w:rFonts w:ascii="Arial" w:eastAsia="Times New Roman" w:hAnsi="Arial"/>
    </w:rPr>
  </w:style>
  <w:style w:type="character" w:styleId="PageNumber">
    <w:name w:val="page number"/>
    <w:basedOn w:val="DefaultParagraphFont"/>
    <w:rsid w:val="008078C2"/>
  </w:style>
  <w:style w:type="paragraph" w:styleId="Header">
    <w:name w:val="header"/>
    <w:basedOn w:val="Normal"/>
    <w:rsid w:val="008078C2"/>
    <w:pPr>
      <w:tabs>
        <w:tab w:val="center" w:pos="4320"/>
        <w:tab w:val="right" w:pos="8640"/>
      </w:tabs>
    </w:pPr>
  </w:style>
  <w:style w:type="paragraph" w:styleId="Footer">
    <w:name w:val="footer"/>
    <w:basedOn w:val="Normal"/>
    <w:rsid w:val="008078C2"/>
    <w:pPr>
      <w:tabs>
        <w:tab w:val="center" w:pos="4320"/>
        <w:tab w:val="right" w:pos="8640"/>
      </w:tabs>
    </w:pPr>
  </w:style>
  <w:style w:type="paragraph" w:styleId="BodyText">
    <w:name w:val="Body Text"/>
    <w:basedOn w:val="Normal"/>
    <w:rsid w:val="008078C2"/>
    <w:pPr>
      <w:widowControl w:val="0"/>
      <w:jc w:val="both"/>
    </w:pPr>
    <w:rPr>
      <w:rFonts w:ascii="Times New Roman" w:eastAsia="Times New Roman" w:hAnsi="Times New Roman"/>
      <w:lang w:val="es-ES"/>
    </w:rPr>
  </w:style>
  <w:style w:type="paragraph" w:styleId="BlockText">
    <w:name w:val="Block Text"/>
    <w:basedOn w:val="Normal"/>
    <w:rsid w:val="008078C2"/>
    <w:pPr>
      <w:spacing w:line="360" w:lineRule="auto"/>
      <w:ind w:left="720" w:right="720"/>
      <w:jc w:val="both"/>
    </w:pPr>
    <w:rPr>
      <w:rFonts w:ascii="Verdana" w:hAnsi="Verdana"/>
      <w:sz w:val="16"/>
    </w:rPr>
  </w:style>
  <w:style w:type="paragraph" w:styleId="NormalWeb">
    <w:name w:val="Normal (Web)"/>
    <w:basedOn w:val="Normal"/>
    <w:rsid w:val="008078C2"/>
    <w:pPr>
      <w:spacing w:before="100" w:beforeAutospacing="1" w:after="100" w:afterAutospacing="1"/>
    </w:pPr>
    <w:rPr>
      <w:rFonts w:ascii="Arial Unicode MS" w:eastAsia="Arial Unicode MS" w:hAnsi="Arial Unicode MS"/>
      <w:lang w:val="es-ES"/>
    </w:rPr>
  </w:style>
  <w:style w:type="character" w:styleId="Emphasis">
    <w:name w:val="Emphasis"/>
    <w:qFormat/>
    <w:rsid w:val="008078C2"/>
    <w:rPr>
      <w:i/>
    </w:rPr>
  </w:style>
  <w:style w:type="paragraph" w:customStyle="1" w:styleId="Lneadereferencia">
    <w:name w:val="Línea de referencia"/>
    <w:basedOn w:val="BodyText2"/>
    <w:rsid w:val="008078C2"/>
    <w:pPr>
      <w:widowControl/>
    </w:pPr>
    <w:rPr>
      <w:lang w:val="en-US"/>
    </w:rPr>
  </w:style>
  <w:style w:type="paragraph" w:customStyle="1" w:styleId="Sangra2detindependiente">
    <w:name w:val="Sangr’a 2 de t. independiente"/>
    <w:basedOn w:val="Normal"/>
    <w:rsid w:val="008078C2"/>
    <w:pPr>
      <w:overflowPunct w:val="0"/>
      <w:autoSpaceDE w:val="0"/>
      <w:autoSpaceDN w:val="0"/>
      <w:adjustRightInd w:val="0"/>
      <w:spacing w:line="360" w:lineRule="atLeast"/>
      <w:ind w:firstLine="709"/>
      <w:jc w:val="both"/>
      <w:textAlignment w:val="baseline"/>
    </w:pPr>
    <w:rPr>
      <w:rFonts w:ascii="Arial" w:eastAsia="Times New Roman" w:hAnsi="Arial"/>
    </w:rPr>
  </w:style>
  <w:style w:type="paragraph" w:styleId="BodyTextIndent2">
    <w:name w:val="Body Text Indent 2"/>
    <w:basedOn w:val="Normal"/>
    <w:rsid w:val="008078C2"/>
    <w:pPr>
      <w:spacing w:line="360" w:lineRule="atLeast"/>
      <w:ind w:firstLine="709"/>
      <w:jc w:val="both"/>
    </w:pPr>
    <w:rPr>
      <w:rFonts w:ascii="Arial" w:eastAsia="Times New Roman" w:hAnsi="Arial"/>
    </w:rPr>
  </w:style>
  <w:style w:type="paragraph" w:customStyle="1" w:styleId="Sangradetindependiente2">
    <w:name w:val="Sangría de t. independiente2"/>
    <w:basedOn w:val="Normal"/>
    <w:rsid w:val="008078C2"/>
    <w:pPr>
      <w:spacing w:line="360" w:lineRule="atLeast"/>
    </w:pPr>
    <w:rPr>
      <w:rFonts w:ascii="Arial" w:eastAsia="Times New Roman" w:hAnsi="Arial"/>
    </w:rPr>
  </w:style>
  <w:style w:type="paragraph" w:styleId="ListBullet">
    <w:name w:val="List Bullet"/>
    <w:basedOn w:val="Normal"/>
    <w:autoRedefine/>
    <w:rsid w:val="008078C2"/>
    <w:pPr>
      <w:numPr>
        <w:numId w:val="2"/>
      </w:numPr>
    </w:pPr>
    <w:rPr>
      <w:rFonts w:ascii="Garamond" w:hAnsi="Garamond"/>
    </w:rPr>
  </w:style>
  <w:style w:type="paragraph" w:customStyle="1" w:styleId="Sangradetindependiente0">
    <w:name w:val="Sangr’a de t. independiente"/>
    <w:basedOn w:val="Normal"/>
    <w:rsid w:val="008078C2"/>
    <w:pPr>
      <w:jc w:val="both"/>
    </w:pPr>
    <w:rPr>
      <w:rFonts w:ascii="Times New Roman" w:eastAsia="Times New Roman" w:hAnsi="Times New Roman"/>
    </w:rPr>
  </w:style>
  <w:style w:type="character" w:customStyle="1" w:styleId="1">
    <w:name w:val="1"/>
    <w:rsid w:val="008078C2"/>
    <w:rPr>
      <w:rFonts w:ascii="Baskerville Old Face" w:hAnsi="Baskerville Old Face"/>
      <w:sz w:val="28"/>
    </w:rPr>
  </w:style>
  <w:style w:type="paragraph" w:customStyle="1" w:styleId="Remissivo91">
    <w:name w:val="Remissivo 91"/>
    <w:basedOn w:val="Normal"/>
    <w:rsid w:val="008078C2"/>
    <w:pPr>
      <w:jc w:val="center"/>
    </w:pPr>
    <w:rPr>
      <w:rFonts w:ascii="Apple Chancery" w:eastAsia="Times New Roman" w:hAnsi="Apple Chancery"/>
      <w:b/>
    </w:rPr>
  </w:style>
  <w:style w:type="paragraph" w:customStyle="1" w:styleId="Sangradetindependiente20">
    <w:name w:val="SangrÌa de t. independiente2"/>
    <w:basedOn w:val="Normal"/>
    <w:rsid w:val="008078C2"/>
    <w:pPr>
      <w:spacing w:line="360" w:lineRule="atLeast"/>
    </w:pPr>
    <w:rPr>
      <w:rFonts w:ascii="Arial" w:eastAsia="Times New Roman" w:hAnsi="Arial"/>
    </w:rPr>
  </w:style>
  <w:style w:type="character" w:customStyle="1" w:styleId="hit1">
    <w:name w:val="hit1"/>
    <w:rsid w:val="008078C2"/>
    <w:rPr>
      <w:color w:val="FF0000"/>
    </w:rPr>
  </w:style>
  <w:style w:type="paragraph" w:customStyle="1" w:styleId="Legenda1">
    <w:name w:val="Legenda1"/>
    <w:basedOn w:val="Normal"/>
    <w:rsid w:val="008078C2"/>
    <w:pPr>
      <w:jc w:val="center"/>
    </w:pPr>
    <w:rPr>
      <w:rFonts w:ascii="Bradley Hand ITC TT-Bold" w:eastAsia="Times New Roman" w:hAnsi="Bradley Hand ITC TT-Bold"/>
      <w:b/>
      <w:sz w:val="28"/>
    </w:rPr>
  </w:style>
  <w:style w:type="character" w:styleId="Hyperlink">
    <w:name w:val="Hyperlink"/>
    <w:rsid w:val="008078C2"/>
    <w:rPr>
      <w:color w:val="0000FF"/>
      <w:u w:val="single"/>
    </w:rPr>
  </w:style>
  <w:style w:type="paragraph" w:styleId="NormalIndent">
    <w:name w:val="Normal Indent"/>
    <w:basedOn w:val="Normal"/>
    <w:rsid w:val="008078C2"/>
    <w:pPr>
      <w:jc w:val="center"/>
    </w:pPr>
    <w:rPr>
      <w:rFonts w:ascii="Apple Chancery" w:eastAsia="Times New Roman" w:hAnsi="Apple Chancery"/>
      <w:b/>
    </w:rPr>
  </w:style>
  <w:style w:type="paragraph" w:customStyle="1" w:styleId="Textodenotaalpie">
    <w:name w:val="Texto de nota al pie"/>
    <w:basedOn w:val="Normal"/>
    <w:rsid w:val="008078C2"/>
    <w:pPr>
      <w:widowControl w:val="0"/>
      <w:autoSpaceDE w:val="0"/>
      <w:autoSpaceDN w:val="0"/>
      <w:adjustRightInd w:val="0"/>
    </w:pPr>
    <w:rPr>
      <w:rFonts w:ascii="Courier New" w:eastAsia="Times New Roman" w:hAnsi="Courier New"/>
    </w:rPr>
  </w:style>
  <w:style w:type="paragraph" w:customStyle="1" w:styleId="APPENDIX">
    <w:name w:val="APPENDIX"/>
    <w:rsid w:val="008078C2"/>
    <w:pPr>
      <w:widowControl w:val="0"/>
      <w:tabs>
        <w:tab w:val="left" w:pos="0"/>
        <w:tab w:val="left" w:pos="720"/>
        <w:tab w:val="left" w:pos="1200"/>
        <w:tab w:val="left" w:pos="1680"/>
        <w:tab w:val="right" w:pos="2280"/>
        <w:tab w:val="left" w:pos="2520"/>
        <w:tab w:val="left" w:pos="4320"/>
        <w:tab w:val="left" w:pos="6240"/>
        <w:tab w:val="right" w:pos="8760"/>
        <w:tab w:val="left" w:pos="9360"/>
      </w:tabs>
      <w:suppressAutoHyphens/>
      <w:autoSpaceDE w:val="0"/>
      <w:autoSpaceDN w:val="0"/>
      <w:adjustRightInd w:val="0"/>
      <w:spacing w:line="240" w:lineRule="atLeast"/>
      <w:jc w:val="both"/>
    </w:pPr>
    <w:rPr>
      <w:rFonts w:ascii="Courier New" w:hAnsi="Courier New" w:cs="Courier New"/>
      <w:spacing w:val="-3"/>
      <w:sz w:val="24"/>
      <w:szCs w:val="24"/>
      <w:lang w:val="en-US" w:eastAsia="es-ES"/>
    </w:rPr>
  </w:style>
  <w:style w:type="paragraph" w:styleId="BalloonText">
    <w:name w:val="Balloon Text"/>
    <w:basedOn w:val="Normal"/>
    <w:semiHidden/>
    <w:rsid w:val="008078C2"/>
    <w:rPr>
      <w:rFonts w:ascii="Lucida Grande" w:hAnsi="Lucida Grande"/>
      <w:sz w:val="18"/>
      <w:szCs w:val="18"/>
    </w:rPr>
  </w:style>
  <w:style w:type="paragraph" w:customStyle="1" w:styleId="Textoindependiente2">
    <w:name w:val="Texto independiente2"/>
    <w:basedOn w:val="Normal"/>
    <w:rsid w:val="008078C2"/>
    <w:pPr>
      <w:widowControl w:val="0"/>
      <w:jc w:val="both"/>
    </w:pPr>
    <w:rPr>
      <w:rFonts w:ascii="New York" w:eastAsia="Times New Roman" w:hAnsi="New York"/>
    </w:rPr>
  </w:style>
  <w:style w:type="paragraph" w:customStyle="1" w:styleId="sq">
    <w:name w:val="sq"/>
    <w:basedOn w:val="Normal"/>
    <w:rsid w:val="008078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pPr>
    <w:rPr>
      <w:rFonts w:ascii="Garamond" w:eastAsia="Times New Roman" w:hAnsi="Garamond"/>
      <w:lang w:val="en-US"/>
    </w:rPr>
  </w:style>
  <w:style w:type="paragraph" w:customStyle="1" w:styleId="Lneadereferencia0">
    <w:name w:val="LÌnea de referencia"/>
    <w:basedOn w:val="BodyText"/>
    <w:rsid w:val="008078C2"/>
    <w:pPr>
      <w:widowControl/>
    </w:pPr>
    <w:rPr>
      <w:rFonts w:ascii="Garamond" w:hAnsi="Garamond"/>
      <w:lang w:val="es-ES_tradnl" w:eastAsia="es-ES"/>
    </w:rPr>
  </w:style>
  <w:style w:type="paragraph" w:styleId="CommentText">
    <w:name w:val="annotation text"/>
    <w:basedOn w:val="Normal"/>
    <w:link w:val="CommentTextChar"/>
    <w:semiHidden/>
    <w:rsid w:val="008078C2"/>
    <w:pPr>
      <w:jc w:val="both"/>
    </w:pPr>
    <w:rPr>
      <w:rFonts w:ascii="Times New Roman" w:eastAsia="Times New Roman" w:hAnsi="Times New Roman"/>
      <w:sz w:val="20"/>
      <w:lang w:val="es-ES" w:eastAsia="es-ES"/>
    </w:rPr>
  </w:style>
  <w:style w:type="paragraph" w:customStyle="1" w:styleId="Init1">
    <w:name w:val="Init 1"/>
    <w:basedOn w:val="Normal"/>
    <w:rsid w:val="008078C2"/>
    <w:pPr>
      <w:tabs>
        <w:tab w:val="left" w:pos="600"/>
        <w:tab w:val="left" w:pos="1200"/>
        <w:tab w:val="left" w:pos="1800"/>
        <w:tab w:val="left" w:pos="4320"/>
        <w:tab w:val="left" w:pos="6240"/>
        <w:tab w:val="right" w:pos="8760"/>
      </w:tabs>
      <w:spacing w:line="240" w:lineRule="atLeast"/>
      <w:jc w:val="both"/>
    </w:pPr>
    <w:rPr>
      <w:rFonts w:ascii="Courier" w:eastAsia="Times New Roman" w:hAnsi="Courier"/>
      <w:sz w:val="16"/>
      <w:lang w:val="en-US" w:eastAsia="es-ES"/>
    </w:rPr>
  </w:style>
  <w:style w:type="character" w:customStyle="1" w:styleId="footnoteref">
    <w:name w:val="footnote ref"/>
    <w:rsid w:val="008078C2"/>
  </w:style>
  <w:style w:type="paragraph" w:customStyle="1" w:styleId="Sangradetindependie">
    <w:name w:val="SangrÃa de t. independie"/>
    <w:basedOn w:val="Normal"/>
    <w:rsid w:val="008078C2"/>
    <w:pPr>
      <w:spacing w:line="360" w:lineRule="atLeast"/>
      <w:jc w:val="both"/>
    </w:pPr>
    <w:rPr>
      <w:rFonts w:ascii="Garamond" w:eastAsia="Times New Roman" w:hAnsi="Garamond"/>
      <w:sz w:val="16"/>
      <w:lang w:val="en-US" w:eastAsia="es-ES"/>
    </w:rPr>
  </w:style>
  <w:style w:type="paragraph" w:styleId="TOC1">
    <w:name w:val="toc 1"/>
    <w:basedOn w:val="Normal"/>
    <w:next w:val="Normal"/>
    <w:autoRedefine/>
    <w:rsid w:val="008078C2"/>
    <w:rPr>
      <w:rFonts w:ascii="Verdana" w:hAnsi="Verdana"/>
      <w:sz w:val="16"/>
      <w:lang w:eastAsia="es-ES"/>
    </w:rPr>
  </w:style>
  <w:style w:type="paragraph" w:styleId="TOC2">
    <w:name w:val="toc 2"/>
    <w:basedOn w:val="Normal"/>
    <w:next w:val="Normal"/>
    <w:autoRedefine/>
    <w:rsid w:val="008078C2"/>
    <w:pPr>
      <w:ind w:left="240"/>
    </w:pPr>
    <w:rPr>
      <w:rFonts w:ascii="Verdana" w:hAnsi="Verdana"/>
      <w:sz w:val="16"/>
      <w:lang w:eastAsia="es-ES"/>
    </w:rPr>
  </w:style>
  <w:style w:type="paragraph" w:styleId="TOC3">
    <w:name w:val="toc 3"/>
    <w:basedOn w:val="Normal"/>
    <w:next w:val="Normal"/>
    <w:autoRedefine/>
    <w:rsid w:val="008078C2"/>
    <w:pPr>
      <w:ind w:left="480"/>
    </w:pPr>
    <w:rPr>
      <w:rFonts w:ascii="Verdana" w:hAnsi="Verdana"/>
      <w:sz w:val="16"/>
      <w:lang w:eastAsia="es-ES"/>
    </w:rPr>
  </w:style>
  <w:style w:type="paragraph" w:styleId="TOC4">
    <w:name w:val="toc 4"/>
    <w:basedOn w:val="Normal"/>
    <w:next w:val="Normal"/>
    <w:autoRedefine/>
    <w:rsid w:val="008078C2"/>
    <w:pPr>
      <w:ind w:left="720"/>
    </w:pPr>
    <w:rPr>
      <w:rFonts w:ascii="Verdana" w:hAnsi="Verdana"/>
      <w:sz w:val="16"/>
      <w:lang w:eastAsia="es-ES"/>
    </w:rPr>
  </w:style>
  <w:style w:type="paragraph" w:styleId="TOC5">
    <w:name w:val="toc 5"/>
    <w:basedOn w:val="Normal"/>
    <w:next w:val="Normal"/>
    <w:autoRedefine/>
    <w:rsid w:val="008078C2"/>
    <w:pPr>
      <w:ind w:left="960"/>
    </w:pPr>
    <w:rPr>
      <w:rFonts w:ascii="Verdana" w:hAnsi="Verdana"/>
      <w:sz w:val="16"/>
      <w:lang w:eastAsia="es-ES"/>
    </w:rPr>
  </w:style>
  <w:style w:type="paragraph" w:styleId="TOC6">
    <w:name w:val="toc 6"/>
    <w:basedOn w:val="Normal"/>
    <w:next w:val="Normal"/>
    <w:autoRedefine/>
    <w:rsid w:val="008078C2"/>
    <w:pPr>
      <w:ind w:left="1200"/>
    </w:pPr>
    <w:rPr>
      <w:rFonts w:ascii="Verdana" w:hAnsi="Verdana"/>
      <w:sz w:val="16"/>
      <w:lang w:eastAsia="es-ES"/>
    </w:rPr>
  </w:style>
  <w:style w:type="paragraph" w:styleId="TOC7">
    <w:name w:val="toc 7"/>
    <w:basedOn w:val="Normal"/>
    <w:next w:val="Normal"/>
    <w:autoRedefine/>
    <w:rsid w:val="008078C2"/>
    <w:pPr>
      <w:ind w:left="1440"/>
    </w:pPr>
    <w:rPr>
      <w:rFonts w:ascii="Verdana" w:hAnsi="Verdana"/>
      <w:sz w:val="16"/>
      <w:lang w:eastAsia="es-ES"/>
    </w:rPr>
  </w:style>
  <w:style w:type="paragraph" w:styleId="TOC8">
    <w:name w:val="toc 8"/>
    <w:basedOn w:val="Normal"/>
    <w:next w:val="Normal"/>
    <w:autoRedefine/>
    <w:rsid w:val="008078C2"/>
    <w:pPr>
      <w:ind w:left="1680"/>
    </w:pPr>
    <w:rPr>
      <w:rFonts w:ascii="Verdana" w:hAnsi="Verdana"/>
      <w:sz w:val="16"/>
      <w:lang w:eastAsia="es-ES"/>
    </w:rPr>
  </w:style>
  <w:style w:type="paragraph" w:styleId="TOC9">
    <w:name w:val="toc 9"/>
    <w:basedOn w:val="Normal"/>
    <w:next w:val="Normal"/>
    <w:autoRedefine/>
    <w:rsid w:val="008078C2"/>
    <w:pPr>
      <w:ind w:left="1920"/>
    </w:pPr>
    <w:rPr>
      <w:rFonts w:ascii="Verdana" w:hAnsi="Verdana"/>
      <w:sz w:val="16"/>
      <w:lang w:eastAsia="es-ES"/>
    </w:rPr>
  </w:style>
  <w:style w:type="character" w:styleId="Strong">
    <w:name w:val="Strong"/>
    <w:qFormat/>
    <w:rsid w:val="008078C2"/>
    <w:rPr>
      <w:b/>
    </w:rPr>
  </w:style>
  <w:style w:type="paragraph" w:customStyle="1" w:styleId="Textonotapie2">
    <w:name w:val="Texto nota pie2"/>
    <w:basedOn w:val="Normal"/>
    <w:rsid w:val="008078C2"/>
    <w:rPr>
      <w:rFonts w:ascii="Times New Roman" w:eastAsia="Times New Roman" w:hAnsi="Times New Roman"/>
      <w:sz w:val="20"/>
      <w:lang w:eastAsia="es-ES"/>
    </w:rPr>
  </w:style>
  <w:style w:type="paragraph" w:customStyle="1" w:styleId="Recuodecorpodetexto1">
    <w:name w:val="Recuo de corpo de texto1"/>
    <w:basedOn w:val="Normal"/>
    <w:rsid w:val="008078C2"/>
    <w:pPr>
      <w:spacing w:line="360" w:lineRule="atLeast"/>
      <w:ind w:left="360"/>
      <w:jc w:val="both"/>
    </w:pPr>
    <w:rPr>
      <w:rFonts w:ascii="Verdana" w:eastAsia="Times New Roman" w:hAnsi="Verdana"/>
      <w:sz w:val="22"/>
      <w:lang w:eastAsia="es-ES"/>
    </w:rPr>
  </w:style>
  <w:style w:type="paragraph" w:customStyle="1" w:styleId="Sangradetindependiente1">
    <w:name w:val="Sangría de t. independiente"/>
    <w:basedOn w:val="Normal"/>
    <w:rsid w:val="008078C2"/>
    <w:pPr>
      <w:jc w:val="both"/>
    </w:pPr>
    <w:rPr>
      <w:rFonts w:ascii="Helvetica" w:eastAsia="Times New Roman" w:hAnsi="Helvetica"/>
      <w:sz w:val="18"/>
      <w:lang w:eastAsia="es-ES"/>
    </w:rPr>
  </w:style>
  <w:style w:type="paragraph" w:styleId="Subtitle">
    <w:name w:val="Subtitle"/>
    <w:basedOn w:val="Normal"/>
    <w:qFormat/>
    <w:rsid w:val="008078C2"/>
    <w:pPr>
      <w:spacing w:line="360" w:lineRule="auto"/>
      <w:jc w:val="center"/>
    </w:pPr>
    <w:rPr>
      <w:rFonts w:ascii="Garamond" w:eastAsia="Times New Roman" w:hAnsi="Garamond"/>
      <w:i/>
      <w:sz w:val="16"/>
      <w:lang w:val="es-CR" w:eastAsia="es-ES"/>
    </w:rPr>
  </w:style>
  <w:style w:type="paragraph" w:customStyle="1" w:styleId="Textodebloque1">
    <w:name w:val="Texto de bloque1"/>
    <w:basedOn w:val="Normal"/>
    <w:rsid w:val="008078C2"/>
    <w:pPr>
      <w:widowControl w:val="0"/>
      <w:tabs>
        <w:tab w:val="left" w:pos="0"/>
      </w:tabs>
      <w:spacing w:line="360" w:lineRule="atLeast"/>
      <w:ind w:left="720" w:right="720"/>
      <w:jc w:val="both"/>
    </w:pPr>
    <w:rPr>
      <w:rFonts w:ascii="Garamond" w:eastAsia="Times New Roman" w:hAnsi="Garamond"/>
      <w:sz w:val="20"/>
      <w:lang w:eastAsia="es-ES"/>
    </w:rPr>
  </w:style>
  <w:style w:type="character" w:customStyle="1" w:styleId="Refdenotaalpie1">
    <w:name w:val="Ref. de nota al pie1"/>
    <w:rsid w:val="008078C2"/>
    <w:rPr>
      <w:sz w:val="20"/>
      <w:vertAlign w:val="superscript"/>
    </w:rPr>
  </w:style>
  <w:style w:type="paragraph" w:customStyle="1" w:styleId="Textonotapie1">
    <w:name w:val="Texto nota pie1"/>
    <w:basedOn w:val="Normal"/>
    <w:rsid w:val="008078C2"/>
    <w:pPr>
      <w:widowControl w:val="0"/>
    </w:pPr>
    <w:rPr>
      <w:rFonts w:ascii="Garamond" w:eastAsia="Times New Roman" w:hAnsi="Garamond"/>
      <w:sz w:val="20"/>
      <w:lang w:eastAsia="es-ES"/>
    </w:rPr>
  </w:style>
  <w:style w:type="paragraph" w:customStyle="1" w:styleId="negritamayuscula">
    <w:name w:val="negrita mayuscula"/>
    <w:basedOn w:val="Normal"/>
    <w:rsid w:val="008078C2"/>
    <w:pPr>
      <w:widowControl w:val="0"/>
      <w:tabs>
        <w:tab w:val="left" w:pos="1120"/>
      </w:tabs>
      <w:spacing w:line="360" w:lineRule="atLeast"/>
      <w:jc w:val="both"/>
    </w:pPr>
    <w:rPr>
      <w:rFonts w:ascii="Garamond" w:eastAsia="Times New Roman" w:hAnsi="Garamond"/>
      <w:sz w:val="16"/>
    </w:rPr>
  </w:style>
  <w:style w:type="table" w:styleId="TableGrid">
    <w:name w:val="Table Grid"/>
    <w:basedOn w:val="TableNormal"/>
    <w:rsid w:val="0080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775D"/>
    <w:rPr>
      <w:sz w:val="16"/>
      <w:szCs w:val="16"/>
    </w:rPr>
  </w:style>
  <w:style w:type="paragraph" w:styleId="CommentSubject">
    <w:name w:val="annotation subject"/>
    <w:basedOn w:val="CommentText"/>
    <w:next w:val="CommentText"/>
    <w:link w:val="CommentSubjectChar"/>
    <w:rsid w:val="009E775D"/>
    <w:pPr>
      <w:jc w:val="left"/>
    </w:pPr>
    <w:rPr>
      <w:rFonts w:ascii="Times" w:eastAsia="Times" w:hAnsi="Times"/>
      <w:b/>
      <w:bCs/>
      <w:lang w:val="es-ES_tradnl" w:eastAsia="en-US"/>
    </w:rPr>
  </w:style>
  <w:style w:type="character" w:customStyle="1" w:styleId="CommentTextChar">
    <w:name w:val="Comment Text Char"/>
    <w:link w:val="CommentText"/>
    <w:semiHidden/>
    <w:rsid w:val="009E775D"/>
    <w:rPr>
      <w:lang w:val="es-ES" w:eastAsia="es-ES"/>
    </w:rPr>
  </w:style>
  <w:style w:type="character" w:customStyle="1" w:styleId="CommentSubjectChar">
    <w:name w:val="Comment Subject Char"/>
    <w:link w:val="CommentSubject"/>
    <w:rsid w:val="009E775D"/>
    <w:rPr>
      <w:rFonts w:ascii="Times" w:eastAsia="Times" w:hAnsi="Times"/>
      <w:b/>
      <w:bCs/>
      <w:lang w:val="es-ES_tradnl" w:eastAsia="en-US"/>
    </w:rPr>
  </w:style>
  <w:style w:type="paragraph" w:styleId="Revision">
    <w:name w:val="Revision"/>
    <w:hidden/>
    <w:uiPriority w:val="99"/>
    <w:semiHidden/>
    <w:rsid w:val="004A5981"/>
    <w:rPr>
      <w:rFonts w:ascii="Times" w:eastAsia="Times" w:hAnsi="Times"/>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8C2"/>
    <w:rPr>
      <w:rFonts w:ascii="Times" w:eastAsia="Times" w:hAnsi="Times"/>
      <w:sz w:val="24"/>
      <w:lang w:val="es-ES_tradnl" w:eastAsia="en-US"/>
    </w:rPr>
  </w:style>
  <w:style w:type="paragraph" w:styleId="Heading1">
    <w:name w:val="heading 1"/>
    <w:basedOn w:val="Normal"/>
    <w:next w:val="Normal"/>
    <w:qFormat/>
    <w:rsid w:val="008078C2"/>
    <w:pPr>
      <w:keepNext/>
      <w:outlineLvl w:val="0"/>
    </w:pPr>
    <w:rPr>
      <w:rFonts w:ascii="Verdana" w:hAnsi="Verdana"/>
      <w:sz w:val="28"/>
    </w:rPr>
  </w:style>
  <w:style w:type="paragraph" w:styleId="Heading2">
    <w:name w:val="heading 2"/>
    <w:basedOn w:val="Normal"/>
    <w:next w:val="Normal"/>
    <w:qFormat/>
    <w:rsid w:val="008078C2"/>
    <w:pPr>
      <w:keepNext/>
      <w:jc w:val="center"/>
      <w:outlineLvl w:val="1"/>
    </w:pPr>
    <w:rPr>
      <w:rFonts w:ascii="Garamond" w:hAnsi="Garamond"/>
      <w:b/>
      <w:smallCaps/>
    </w:rPr>
  </w:style>
  <w:style w:type="paragraph" w:styleId="Heading3">
    <w:name w:val="heading 3"/>
    <w:basedOn w:val="Normal"/>
    <w:next w:val="Normal"/>
    <w:qFormat/>
    <w:rsid w:val="008078C2"/>
    <w:pPr>
      <w:keepNext/>
      <w:jc w:val="both"/>
      <w:outlineLvl w:val="2"/>
    </w:pPr>
    <w:rPr>
      <w:rFonts w:ascii="Verdana" w:hAnsi="Verdana"/>
      <w:i/>
      <w:sz w:val="20"/>
    </w:rPr>
  </w:style>
  <w:style w:type="paragraph" w:styleId="Heading4">
    <w:name w:val="heading 4"/>
    <w:basedOn w:val="Normal"/>
    <w:next w:val="Normal"/>
    <w:qFormat/>
    <w:rsid w:val="008078C2"/>
    <w:pPr>
      <w:keepNext/>
      <w:spacing w:line="360" w:lineRule="auto"/>
      <w:jc w:val="center"/>
      <w:outlineLvl w:val="3"/>
    </w:pPr>
    <w:rPr>
      <w:rFonts w:ascii="Verdana" w:hAnsi="Verdana"/>
      <w:b/>
      <w:smallCaps/>
      <w:sz w:val="20"/>
    </w:rPr>
  </w:style>
  <w:style w:type="paragraph" w:styleId="Heading5">
    <w:name w:val="heading 5"/>
    <w:basedOn w:val="Normal"/>
    <w:next w:val="Normal"/>
    <w:qFormat/>
    <w:rsid w:val="008078C2"/>
    <w:pPr>
      <w:keepNext/>
      <w:ind w:left="630"/>
      <w:jc w:val="center"/>
      <w:outlineLvl w:val="4"/>
    </w:pPr>
    <w:rPr>
      <w:rFonts w:ascii="Verdana" w:hAnsi="Verdana"/>
      <w:b/>
      <w:sz w:val="20"/>
    </w:rPr>
  </w:style>
  <w:style w:type="paragraph" w:styleId="Heading6">
    <w:name w:val="heading 6"/>
    <w:basedOn w:val="Normal"/>
    <w:next w:val="Normal"/>
    <w:qFormat/>
    <w:rsid w:val="008078C2"/>
    <w:pPr>
      <w:keepNext/>
      <w:jc w:val="both"/>
      <w:outlineLvl w:val="5"/>
    </w:pPr>
    <w:rPr>
      <w:rFonts w:ascii="Verdana" w:hAnsi="Verdana"/>
      <w:b/>
      <w:sz w:val="20"/>
    </w:rPr>
  </w:style>
  <w:style w:type="paragraph" w:styleId="Heading7">
    <w:name w:val="heading 7"/>
    <w:basedOn w:val="Normal"/>
    <w:next w:val="Normal"/>
    <w:qFormat/>
    <w:rsid w:val="008078C2"/>
    <w:pPr>
      <w:keepNext/>
      <w:jc w:val="both"/>
      <w:outlineLvl w:val="6"/>
    </w:pPr>
    <w:rPr>
      <w:rFonts w:ascii="Verdana" w:hAnsi="Verdana"/>
      <w:i/>
      <w:sz w:val="22"/>
    </w:rPr>
  </w:style>
  <w:style w:type="paragraph" w:styleId="Heading8">
    <w:name w:val="heading 8"/>
    <w:basedOn w:val="Normal"/>
    <w:next w:val="Normal"/>
    <w:qFormat/>
    <w:rsid w:val="008078C2"/>
    <w:pPr>
      <w:keepNext/>
      <w:jc w:val="center"/>
      <w:outlineLvl w:val="7"/>
    </w:pPr>
    <w:rPr>
      <w:rFonts w:ascii="Garamond" w:hAnsi="Garamond"/>
      <w:b/>
      <w:sz w:val="22"/>
    </w:rPr>
  </w:style>
  <w:style w:type="paragraph" w:styleId="Heading9">
    <w:name w:val="heading 9"/>
    <w:basedOn w:val="Normal"/>
    <w:next w:val="Normal"/>
    <w:qFormat/>
    <w:rsid w:val="008078C2"/>
    <w:pPr>
      <w:keepNext/>
      <w:numPr>
        <w:numId w:val="1"/>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8C2"/>
    <w:rPr>
      <w:sz w:val="20"/>
      <w:vertAlign w:val="superscript"/>
    </w:rPr>
  </w:style>
  <w:style w:type="paragraph" w:customStyle="1" w:styleId="Textoindependiente1">
    <w:name w:val="Texto independiente1"/>
    <w:basedOn w:val="Normal"/>
    <w:rsid w:val="008078C2"/>
    <w:pPr>
      <w:jc w:val="both"/>
    </w:pPr>
    <w:rPr>
      <w:rFonts w:ascii="Verdana" w:hAnsi="Verdana"/>
      <w:sz w:val="28"/>
    </w:rPr>
  </w:style>
  <w:style w:type="paragraph" w:styleId="List2">
    <w:name w:val="List 2"/>
    <w:basedOn w:val="Normal"/>
    <w:rsid w:val="008078C2"/>
    <w:pPr>
      <w:ind w:left="720" w:hanging="360"/>
    </w:pPr>
    <w:rPr>
      <w:rFonts w:ascii="Univers" w:eastAsia="Times New Roman" w:hAnsi="Univers"/>
      <w:sz w:val="22"/>
    </w:rPr>
  </w:style>
  <w:style w:type="paragraph" w:styleId="BodyText2">
    <w:name w:val="Body Text 2"/>
    <w:basedOn w:val="Normal"/>
    <w:rsid w:val="008078C2"/>
    <w:pPr>
      <w:widowControl w:val="0"/>
      <w:jc w:val="both"/>
    </w:pPr>
    <w:rPr>
      <w:rFonts w:ascii="Garamond" w:eastAsia="Times New Roman" w:hAnsi="Garamond"/>
    </w:rPr>
  </w:style>
  <w:style w:type="paragraph" w:styleId="BodyTextIndent">
    <w:name w:val="Body Text Indent"/>
    <w:basedOn w:val="Normal"/>
    <w:rsid w:val="008078C2"/>
    <w:pPr>
      <w:ind w:firstLine="720"/>
      <w:jc w:val="both"/>
    </w:pPr>
    <w:rPr>
      <w:rFonts w:ascii="Garamond" w:hAnsi="Garamond"/>
      <w:lang w:val="es-ES"/>
    </w:rPr>
  </w:style>
  <w:style w:type="paragraph" w:styleId="BodyTextIndent3">
    <w:name w:val="Body Text Indent 3"/>
    <w:basedOn w:val="Normal"/>
    <w:rsid w:val="008078C2"/>
    <w:pPr>
      <w:ind w:left="720"/>
      <w:jc w:val="both"/>
    </w:pPr>
    <w:rPr>
      <w:rFonts w:ascii="Univers" w:eastAsia="Times New Roman" w:hAnsi="Univers"/>
      <w:sz w:val="22"/>
      <w:lang w:val="es-CL"/>
    </w:rPr>
  </w:style>
  <w:style w:type="paragraph" w:styleId="BodyText3">
    <w:name w:val="Body Text 3"/>
    <w:basedOn w:val="Normal"/>
    <w:rsid w:val="008078C2"/>
    <w:pPr>
      <w:jc w:val="both"/>
    </w:pPr>
    <w:rPr>
      <w:rFonts w:ascii="Garamond" w:hAnsi="Garamond"/>
      <w:u w:val="single"/>
    </w:rPr>
  </w:style>
  <w:style w:type="paragraph" w:styleId="FootnoteText">
    <w:name w:val="footnote text"/>
    <w:aliases w:val="Footnote Text Char Char Char Char Char,Footnote Text Char Char Char Char"/>
    <w:basedOn w:val="Normal"/>
    <w:semiHidden/>
    <w:rsid w:val="008078C2"/>
  </w:style>
  <w:style w:type="paragraph" w:customStyle="1" w:styleId="Sangra2detindependiente1">
    <w:name w:val="Sangría 2 de t. independiente1"/>
    <w:basedOn w:val="Normal"/>
    <w:rsid w:val="008078C2"/>
    <w:pPr>
      <w:ind w:left="1440"/>
      <w:jc w:val="both"/>
    </w:pPr>
    <w:rPr>
      <w:rFonts w:ascii="Garamond" w:eastAsia="Times New Roman" w:hAnsi="Garamond"/>
      <w:u w:val="single"/>
    </w:rPr>
  </w:style>
  <w:style w:type="paragraph" w:styleId="Title">
    <w:name w:val="Title"/>
    <w:basedOn w:val="Normal"/>
    <w:qFormat/>
    <w:rsid w:val="008078C2"/>
    <w:pPr>
      <w:jc w:val="center"/>
    </w:pPr>
    <w:rPr>
      <w:rFonts w:ascii="Verdana" w:hAnsi="Verdana"/>
      <w:b/>
      <w:smallCaps/>
      <w:sz w:val="22"/>
    </w:rPr>
  </w:style>
  <w:style w:type="paragraph" w:customStyle="1" w:styleId="Sangradetindependiente">
    <w:name w:val="SangrÌa de t. independiente"/>
    <w:basedOn w:val="Normal"/>
    <w:rsid w:val="008078C2"/>
    <w:pPr>
      <w:spacing w:line="360" w:lineRule="atLeast"/>
    </w:pPr>
    <w:rPr>
      <w:rFonts w:ascii="Arial" w:eastAsia="Times New Roman" w:hAnsi="Arial"/>
    </w:rPr>
  </w:style>
  <w:style w:type="character" w:styleId="PageNumber">
    <w:name w:val="page number"/>
    <w:basedOn w:val="DefaultParagraphFont"/>
    <w:rsid w:val="008078C2"/>
  </w:style>
  <w:style w:type="paragraph" w:styleId="Header">
    <w:name w:val="header"/>
    <w:basedOn w:val="Normal"/>
    <w:rsid w:val="008078C2"/>
    <w:pPr>
      <w:tabs>
        <w:tab w:val="center" w:pos="4320"/>
        <w:tab w:val="right" w:pos="8640"/>
      </w:tabs>
    </w:pPr>
  </w:style>
  <w:style w:type="paragraph" w:styleId="Footer">
    <w:name w:val="footer"/>
    <w:basedOn w:val="Normal"/>
    <w:rsid w:val="008078C2"/>
    <w:pPr>
      <w:tabs>
        <w:tab w:val="center" w:pos="4320"/>
        <w:tab w:val="right" w:pos="8640"/>
      </w:tabs>
    </w:pPr>
  </w:style>
  <w:style w:type="paragraph" w:styleId="BodyText">
    <w:name w:val="Body Text"/>
    <w:basedOn w:val="Normal"/>
    <w:rsid w:val="008078C2"/>
    <w:pPr>
      <w:widowControl w:val="0"/>
      <w:jc w:val="both"/>
    </w:pPr>
    <w:rPr>
      <w:rFonts w:ascii="Times New Roman" w:eastAsia="Times New Roman" w:hAnsi="Times New Roman"/>
      <w:lang w:val="es-ES"/>
    </w:rPr>
  </w:style>
  <w:style w:type="paragraph" w:styleId="BlockText">
    <w:name w:val="Block Text"/>
    <w:basedOn w:val="Normal"/>
    <w:rsid w:val="008078C2"/>
    <w:pPr>
      <w:spacing w:line="360" w:lineRule="auto"/>
      <w:ind w:left="720" w:right="720"/>
      <w:jc w:val="both"/>
    </w:pPr>
    <w:rPr>
      <w:rFonts w:ascii="Verdana" w:hAnsi="Verdana"/>
      <w:sz w:val="16"/>
    </w:rPr>
  </w:style>
  <w:style w:type="paragraph" w:styleId="NormalWeb">
    <w:name w:val="Normal (Web)"/>
    <w:basedOn w:val="Normal"/>
    <w:rsid w:val="008078C2"/>
    <w:pPr>
      <w:spacing w:before="100" w:beforeAutospacing="1" w:after="100" w:afterAutospacing="1"/>
    </w:pPr>
    <w:rPr>
      <w:rFonts w:ascii="Arial Unicode MS" w:eastAsia="Arial Unicode MS" w:hAnsi="Arial Unicode MS"/>
      <w:lang w:val="es-ES"/>
    </w:rPr>
  </w:style>
  <w:style w:type="character" w:styleId="Emphasis">
    <w:name w:val="Emphasis"/>
    <w:qFormat/>
    <w:rsid w:val="008078C2"/>
    <w:rPr>
      <w:i/>
    </w:rPr>
  </w:style>
  <w:style w:type="paragraph" w:customStyle="1" w:styleId="Lneadereferencia">
    <w:name w:val="Línea de referencia"/>
    <w:basedOn w:val="BodyText2"/>
    <w:rsid w:val="008078C2"/>
    <w:pPr>
      <w:widowControl/>
    </w:pPr>
    <w:rPr>
      <w:lang w:val="en-US"/>
    </w:rPr>
  </w:style>
  <w:style w:type="paragraph" w:customStyle="1" w:styleId="Sangra2detindependiente">
    <w:name w:val="Sangr’a 2 de t. independiente"/>
    <w:basedOn w:val="Normal"/>
    <w:rsid w:val="008078C2"/>
    <w:pPr>
      <w:overflowPunct w:val="0"/>
      <w:autoSpaceDE w:val="0"/>
      <w:autoSpaceDN w:val="0"/>
      <w:adjustRightInd w:val="0"/>
      <w:spacing w:line="360" w:lineRule="atLeast"/>
      <w:ind w:firstLine="709"/>
      <w:jc w:val="both"/>
      <w:textAlignment w:val="baseline"/>
    </w:pPr>
    <w:rPr>
      <w:rFonts w:ascii="Arial" w:eastAsia="Times New Roman" w:hAnsi="Arial"/>
    </w:rPr>
  </w:style>
  <w:style w:type="paragraph" w:styleId="BodyTextIndent2">
    <w:name w:val="Body Text Indent 2"/>
    <w:basedOn w:val="Normal"/>
    <w:rsid w:val="008078C2"/>
    <w:pPr>
      <w:spacing w:line="360" w:lineRule="atLeast"/>
      <w:ind w:firstLine="709"/>
      <w:jc w:val="both"/>
    </w:pPr>
    <w:rPr>
      <w:rFonts w:ascii="Arial" w:eastAsia="Times New Roman" w:hAnsi="Arial"/>
    </w:rPr>
  </w:style>
  <w:style w:type="paragraph" w:customStyle="1" w:styleId="Sangradetindependiente2">
    <w:name w:val="Sangría de t. independiente2"/>
    <w:basedOn w:val="Normal"/>
    <w:rsid w:val="008078C2"/>
    <w:pPr>
      <w:spacing w:line="360" w:lineRule="atLeast"/>
    </w:pPr>
    <w:rPr>
      <w:rFonts w:ascii="Arial" w:eastAsia="Times New Roman" w:hAnsi="Arial"/>
    </w:rPr>
  </w:style>
  <w:style w:type="paragraph" w:styleId="ListBullet">
    <w:name w:val="List Bullet"/>
    <w:basedOn w:val="Normal"/>
    <w:autoRedefine/>
    <w:rsid w:val="008078C2"/>
    <w:pPr>
      <w:numPr>
        <w:numId w:val="2"/>
      </w:numPr>
    </w:pPr>
    <w:rPr>
      <w:rFonts w:ascii="Garamond" w:hAnsi="Garamond"/>
    </w:rPr>
  </w:style>
  <w:style w:type="paragraph" w:customStyle="1" w:styleId="Sangradetindependiente0">
    <w:name w:val="Sangr’a de t. independiente"/>
    <w:basedOn w:val="Normal"/>
    <w:rsid w:val="008078C2"/>
    <w:pPr>
      <w:jc w:val="both"/>
    </w:pPr>
    <w:rPr>
      <w:rFonts w:ascii="Times New Roman" w:eastAsia="Times New Roman" w:hAnsi="Times New Roman"/>
    </w:rPr>
  </w:style>
  <w:style w:type="character" w:customStyle="1" w:styleId="1">
    <w:name w:val="1"/>
    <w:rsid w:val="008078C2"/>
    <w:rPr>
      <w:rFonts w:ascii="Baskerville Old Face" w:hAnsi="Baskerville Old Face"/>
      <w:sz w:val="28"/>
    </w:rPr>
  </w:style>
  <w:style w:type="paragraph" w:customStyle="1" w:styleId="Remissivo91">
    <w:name w:val="Remissivo 91"/>
    <w:basedOn w:val="Normal"/>
    <w:rsid w:val="008078C2"/>
    <w:pPr>
      <w:jc w:val="center"/>
    </w:pPr>
    <w:rPr>
      <w:rFonts w:ascii="Apple Chancery" w:eastAsia="Times New Roman" w:hAnsi="Apple Chancery"/>
      <w:b/>
    </w:rPr>
  </w:style>
  <w:style w:type="paragraph" w:customStyle="1" w:styleId="Sangradetindependiente20">
    <w:name w:val="SangrÌa de t. independiente2"/>
    <w:basedOn w:val="Normal"/>
    <w:rsid w:val="008078C2"/>
    <w:pPr>
      <w:spacing w:line="360" w:lineRule="atLeast"/>
    </w:pPr>
    <w:rPr>
      <w:rFonts w:ascii="Arial" w:eastAsia="Times New Roman" w:hAnsi="Arial"/>
    </w:rPr>
  </w:style>
  <w:style w:type="character" w:customStyle="1" w:styleId="hit1">
    <w:name w:val="hit1"/>
    <w:rsid w:val="008078C2"/>
    <w:rPr>
      <w:color w:val="FF0000"/>
    </w:rPr>
  </w:style>
  <w:style w:type="paragraph" w:customStyle="1" w:styleId="Legenda1">
    <w:name w:val="Legenda1"/>
    <w:basedOn w:val="Normal"/>
    <w:rsid w:val="008078C2"/>
    <w:pPr>
      <w:jc w:val="center"/>
    </w:pPr>
    <w:rPr>
      <w:rFonts w:ascii="Bradley Hand ITC TT-Bold" w:eastAsia="Times New Roman" w:hAnsi="Bradley Hand ITC TT-Bold"/>
      <w:b/>
      <w:sz w:val="28"/>
    </w:rPr>
  </w:style>
  <w:style w:type="character" w:styleId="Hyperlink">
    <w:name w:val="Hyperlink"/>
    <w:rsid w:val="008078C2"/>
    <w:rPr>
      <w:color w:val="0000FF"/>
      <w:u w:val="single"/>
    </w:rPr>
  </w:style>
  <w:style w:type="paragraph" w:styleId="NormalIndent">
    <w:name w:val="Normal Indent"/>
    <w:basedOn w:val="Normal"/>
    <w:rsid w:val="008078C2"/>
    <w:pPr>
      <w:jc w:val="center"/>
    </w:pPr>
    <w:rPr>
      <w:rFonts w:ascii="Apple Chancery" w:eastAsia="Times New Roman" w:hAnsi="Apple Chancery"/>
      <w:b/>
    </w:rPr>
  </w:style>
  <w:style w:type="paragraph" w:customStyle="1" w:styleId="Textodenotaalpie">
    <w:name w:val="Texto de nota al pie"/>
    <w:basedOn w:val="Normal"/>
    <w:rsid w:val="008078C2"/>
    <w:pPr>
      <w:widowControl w:val="0"/>
      <w:autoSpaceDE w:val="0"/>
      <w:autoSpaceDN w:val="0"/>
      <w:adjustRightInd w:val="0"/>
    </w:pPr>
    <w:rPr>
      <w:rFonts w:ascii="Courier New" w:eastAsia="Times New Roman" w:hAnsi="Courier New"/>
    </w:rPr>
  </w:style>
  <w:style w:type="paragraph" w:customStyle="1" w:styleId="APPENDIX">
    <w:name w:val="APPENDIX"/>
    <w:rsid w:val="008078C2"/>
    <w:pPr>
      <w:widowControl w:val="0"/>
      <w:tabs>
        <w:tab w:val="left" w:pos="0"/>
        <w:tab w:val="left" w:pos="720"/>
        <w:tab w:val="left" w:pos="1200"/>
        <w:tab w:val="left" w:pos="1680"/>
        <w:tab w:val="right" w:pos="2280"/>
        <w:tab w:val="left" w:pos="2520"/>
        <w:tab w:val="left" w:pos="4320"/>
        <w:tab w:val="left" w:pos="6240"/>
        <w:tab w:val="right" w:pos="8760"/>
        <w:tab w:val="left" w:pos="9360"/>
      </w:tabs>
      <w:suppressAutoHyphens/>
      <w:autoSpaceDE w:val="0"/>
      <w:autoSpaceDN w:val="0"/>
      <w:adjustRightInd w:val="0"/>
      <w:spacing w:line="240" w:lineRule="atLeast"/>
      <w:jc w:val="both"/>
    </w:pPr>
    <w:rPr>
      <w:rFonts w:ascii="Courier New" w:hAnsi="Courier New" w:cs="Courier New"/>
      <w:spacing w:val="-3"/>
      <w:sz w:val="24"/>
      <w:szCs w:val="24"/>
      <w:lang w:val="en-US" w:eastAsia="es-ES"/>
    </w:rPr>
  </w:style>
  <w:style w:type="paragraph" w:styleId="BalloonText">
    <w:name w:val="Balloon Text"/>
    <w:basedOn w:val="Normal"/>
    <w:semiHidden/>
    <w:rsid w:val="008078C2"/>
    <w:rPr>
      <w:rFonts w:ascii="Lucida Grande" w:hAnsi="Lucida Grande"/>
      <w:sz w:val="18"/>
      <w:szCs w:val="18"/>
    </w:rPr>
  </w:style>
  <w:style w:type="paragraph" w:customStyle="1" w:styleId="Textoindependiente2">
    <w:name w:val="Texto independiente2"/>
    <w:basedOn w:val="Normal"/>
    <w:rsid w:val="008078C2"/>
    <w:pPr>
      <w:widowControl w:val="0"/>
      <w:jc w:val="both"/>
    </w:pPr>
    <w:rPr>
      <w:rFonts w:ascii="New York" w:eastAsia="Times New Roman" w:hAnsi="New York"/>
    </w:rPr>
  </w:style>
  <w:style w:type="paragraph" w:customStyle="1" w:styleId="sq">
    <w:name w:val="sq"/>
    <w:basedOn w:val="Normal"/>
    <w:rsid w:val="008078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pPr>
    <w:rPr>
      <w:rFonts w:ascii="Garamond" w:eastAsia="Times New Roman" w:hAnsi="Garamond"/>
      <w:lang w:val="en-US"/>
    </w:rPr>
  </w:style>
  <w:style w:type="paragraph" w:customStyle="1" w:styleId="Lneadereferencia0">
    <w:name w:val="LÌnea de referencia"/>
    <w:basedOn w:val="BodyText"/>
    <w:rsid w:val="008078C2"/>
    <w:pPr>
      <w:widowControl/>
    </w:pPr>
    <w:rPr>
      <w:rFonts w:ascii="Garamond" w:hAnsi="Garamond"/>
      <w:lang w:val="es-ES_tradnl" w:eastAsia="es-ES"/>
    </w:rPr>
  </w:style>
  <w:style w:type="paragraph" w:styleId="CommentText">
    <w:name w:val="annotation text"/>
    <w:basedOn w:val="Normal"/>
    <w:link w:val="CommentTextChar"/>
    <w:semiHidden/>
    <w:rsid w:val="008078C2"/>
    <w:pPr>
      <w:jc w:val="both"/>
    </w:pPr>
    <w:rPr>
      <w:rFonts w:ascii="Times New Roman" w:eastAsia="Times New Roman" w:hAnsi="Times New Roman"/>
      <w:sz w:val="20"/>
      <w:lang w:val="es-ES" w:eastAsia="es-ES"/>
    </w:rPr>
  </w:style>
  <w:style w:type="paragraph" w:customStyle="1" w:styleId="Init1">
    <w:name w:val="Init 1"/>
    <w:basedOn w:val="Normal"/>
    <w:rsid w:val="008078C2"/>
    <w:pPr>
      <w:tabs>
        <w:tab w:val="left" w:pos="600"/>
        <w:tab w:val="left" w:pos="1200"/>
        <w:tab w:val="left" w:pos="1800"/>
        <w:tab w:val="left" w:pos="4320"/>
        <w:tab w:val="left" w:pos="6240"/>
        <w:tab w:val="right" w:pos="8760"/>
      </w:tabs>
      <w:spacing w:line="240" w:lineRule="atLeast"/>
      <w:jc w:val="both"/>
    </w:pPr>
    <w:rPr>
      <w:rFonts w:ascii="Courier" w:eastAsia="Times New Roman" w:hAnsi="Courier"/>
      <w:sz w:val="16"/>
      <w:lang w:val="en-US" w:eastAsia="es-ES"/>
    </w:rPr>
  </w:style>
  <w:style w:type="character" w:customStyle="1" w:styleId="footnoteref">
    <w:name w:val="footnote ref"/>
    <w:rsid w:val="008078C2"/>
  </w:style>
  <w:style w:type="paragraph" w:customStyle="1" w:styleId="Sangradetindependie">
    <w:name w:val="SangrÃa de t. independie"/>
    <w:basedOn w:val="Normal"/>
    <w:rsid w:val="008078C2"/>
    <w:pPr>
      <w:spacing w:line="360" w:lineRule="atLeast"/>
      <w:jc w:val="both"/>
    </w:pPr>
    <w:rPr>
      <w:rFonts w:ascii="Garamond" w:eastAsia="Times New Roman" w:hAnsi="Garamond"/>
      <w:sz w:val="16"/>
      <w:lang w:val="en-US" w:eastAsia="es-ES"/>
    </w:rPr>
  </w:style>
  <w:style w:type="paragraph" w:styleId="TOC1">
    <w:name w:val="toc 1"/>
    <w:basedOn w:val="Normal"/>
    <w:next w:val="Normal"/>
    <w:autoRedefine/>
    <w:rsid w:val="008078C2"/>
    <w:rPr>
      <w:rFonts w:ascii="Verdana" w:hAnsi="Verdana"/>
      <w:sz w:val="16"/>
      <w:lang w:eastAsia="es-ES"/>
    </w:rPr>
  </w:style>
  <w:style w:type="paragraph" w:styleId="TOC2">
    <w:name w:val="toc 2"/>
    <w:basedOn w:val="Normal"/>
    <w:next w:val="Normal"/>
    <w:autoRedefine/>
    <w:rsid w:val="008078C2"/>
    <w:pPr>
      <w:ind w:left="240"/>
    </w:pPr>
    <w:rPr>
      <w:rFonts w:ascii="Verdana" w:hAnsi="Verdana"/>
      <w:sz w:val="16"/>
      <w:lang w:eastAsia="es-ES"/>
    </w:rPr>
  </w:style>
  <w:style w:type="paragraph" w:styleId="TOC3">
    <w:name w:val="toc 3"/>
    <w:basedOn w:val="Normal"/>
    <w:next w:val="Normal"/>
    <w:autoRedefine/>
    <w:rsid w:val="008078C2"/>
    <w:pPr>
      <w:ind w:left="480"/>
    </w:pPr>
    <w:rPr>
      <w:rFonts w:ascii="Verdana" w:hAnsi="Verdana"/>
      <w:sz w:val="16"/>
      <w:lang w:eastAsia="es-ES"/>
    </w:rPr>
  </w:style>
  <w:style w:type="paragraph" w:styleId="TOC4">
    <w:name w:val="toc 4"/>
    <w:basedOn w:val="Normal"/>
    <w:next w:val="Normal"/>
    <w:autoRedefine/>
    <w:rsid w:val="008078C2"/>
    <w:pPr>
      <w:ind w:left="720"/>
    </w:pPr>
    <w:rPr>
      <w:rFonts w:ascii="Verdana" w:hAnsi="Verdana"/>
      <w:sz w:val="16"/>
      <w:lang w:eastAsia="es-ES"/>
    </w:rPr>
  </w:style>
  <w:style w:type="paragraph" w:styleId="TOC5">
    <w:name w:val="toc 5"/>
    <w:basedOn w:val="Normal"/>
    <w:next w:val="Normal"/>
    <w:autoRedefine/>
    <w:rsid w:val="008078C2"/>
    <w:pPr>
      <w:ind w:left="960"/>
    </w:pPr>
    <w:rPr>
      <w:rFonts w:ascii="Verdana" w:hAnsi="Verdana"/>
      <w:sz w:val="16"/>
      <w:lang w:eastAsia="es-ES"/>
    </w:rPr>
  </w:style>
  <w:style w:type="paragraph" w:styleId="TOC6">
    <w:name w:val="toc 6"/>
    <w:basedOn w:val="Normal"/>
    <w:next w:val="Normal"/>
    <w:autoRedefine/>
    <w:rsid w:val="008078C2"/>
    <w:pPr>
      <w:ind w:left="1200"/>
    </w:pPr>
    <w:rPr>
      <w:rFonts w:ascii="Verdana" w:hAnsi="Verdana"/>
      <w:sz w:val="16"/>
      <w:lang w:eastAsia="es-ES"/>
    </w:rPr>
  </w:style>
  <w:style w:type="paragraph" w:styleId="TOC7">
    <w:name w:val="toc 7"/>
    <w:basedOn w:val="Normal"/>
    <w:next w:val="Normal"/>
    <w:autoRedefine/>
    <w:rsid w:val="008078C2"/>
    <w:pPr>
      <w:ind w:left="1440"/>
    </w:pPr>
    <w:rPr>
      <w:rFonts w:ascii="Verdana" w:hAnsi="Verdana"/>
      <w:sz w:val="16"/>
      <w:lang w:eastAsia="es-ES"/>
    </w:rPr>
  </w:style>
  <w:style w:type="paragraph" w:styleId="TOC8">
    <w:name w:val="toc 8"/>
    <w:basedOn w:val="Normal"/>
    <w:next w:val="Normal"/>
    <w:autoRedefine/>
    <w:rsid w:val="008078C2"/>
    <w:pPr>
      <w:ind w:left="1680"/>
    </w:pPr>
    <w:rPr>
      <w:rFonts w:ascii="Verdana" w:hAnsi="Verdana"/>
      <w:sz w:val="16"/>
      <w:lang w:eastAsia="es-ES"/>
    </w:rPr>
  </w:style>
  <w:style w:type="paragraph" w:styleId="TOC9">
    <w:name w:val="toc 9"/>
    <w:basedOn w:val="Normal"/>
    <w:next w:val="Normal"/>
    <w:autoRedefine/>
    <w:rsid w:val="008078C2"/>
    <w:pPr>
      <w:ind w:left="1920"/>
    </w:pPr>
    <w:rPr>
      <w:rFonts w:ascii="Verdana" w:hAnsi="Verdana"/>
      <w:sz w:val="16"/>
      <w:lang w:eastAsia="es-ES"/>
    </w:rPr>
  </w:style>
  <w:style w:type="character" w:styleId="Strong">
    <w:name w:val="Strong"/>
    <w:qFormat/>
    <w:rsid w:val="008078C2"/>
    <w:rPr>
      <w:b/>
    </w:rPr>
  </w:style>
  <w:style w:type="paragraph" w:customStyle="1" w:styleId="Textonotapie2">
    <w:name w:val="Texto nota pie2"/>
    <w:basedOn w:val="Normal"/>
    <w:rsid w:val="008078C2"/>
    <w:rPr>
      <w:rFonts w:ascii="Times New Roman" w:eastAsia="Times New Roman" w:hAnsi="Times New Roman"/>
      <w:sz w:val="20"/>
      <w:lang w:eastAsia="es-ES"/>
    </w:rPr>
  </w:style>
  <w:style w:type="paragraph" w:customStyle="1" w:styleId="Recuodecorpodetexto1">
    <w:name w:val="Recuo de corpo de texto1"/>
    <w:basedOn w:val="Normal"/>
    <w:rsid w:val="008078C2"/>
    <w:pPr>
      <w:spacing w:line="360" w:lineRule="atLeast"/>
      <w:ind w:left="360"/>
      <w:jc w:val="both"/>
    </w:pPr>
    <w:rPr>
      <w:rFonts w:ascii="Verdana" w:eastAsia="Times New Roman" w:hAnsi="Verdana"/>
      <w:sz w:val="22"/>
      <w:lang w:eastAsia="es-ES"/>
    </w:rPr>
  </w:style>
  <w:style w:type="paragraph" w:customStyle="1" w:styleId="Sangradetindependiente1">
    <w:name w:val="Sangría de t. independiente"/>
    <w:basedOn w:val="Normal"/>
    <w:rsid w:val="008078C2"/>
    <w:pPr>
      <w:jc w:val="both"/>
    </w:pPr>
    <w:rPr>
      <w:rFonts w:ascii="Helvetica" w:eastAsia="Times New Roman" w:hAnsi="Helvetica"/>
      <w:sz w:val="18"/>
      <w:lang w:eastAsia="es-ES"/>
    </w:rPr>
  </w:style>
  <w:style w:type="paragraph" w:styleId="Subtitle">
    <w:name w:val="Subtitle"/>
    <w:basedOn w:val="Normal"/>
    <w:qFormat/>
    <w:rsid w:val="008078C2"/>
    <w:pPr>
      <w:spacing w:line="360" w:lineRule="auto"/>
      <w:jc w:val="center"/>
    </w:pPr>
    <w:rPr>
      <w:rFonts w:ascii="Garamond" w:eastAsia="Times New Roman" w:hAnsi="Garamond"/>
      <w:i/>
      <w:sz w:val="16"/>
      <w:lang w:val="es-CR" w:eastAsia="es-ES"/>
    </w:rPr>
  </w:style>
  <w:style w:type="paragraph" w:customStyle="1" w:styleId="Textodebloque1">
    <w:name w:val="Texto de bloque1"/>
    <w:basedOn w:val="Normal"/>
    <w:rsid w:val="008078C2"/>
    <w:pPr>
      <w:widowControl w:val="0"/>
      <w:tabs>
        <w:tab w:val="left" w:pos="0"/>
      </w:tabs>
      <w:spacing w:line="360" w:lineRule="atLeast"/>
      <w:ind w:left="720" w:right="720"/>
      <w:jc w:val="both"/>
    </w:pPr>
    <w:rPr>
      <w:rFonts w:ascii="Garamond" w:eastAsia="Times New Roman" w:hAnsi="Garamond"/>
      <w:sz w:val="20"/>
      <w:lang w:eastAsia="es-ES"/>
    </w:rPr>
  </w:style>
  <w:style w:type="character" w:customStyle="1" w:styleId="Refdenotaalpie1">
    <w:name w:val="Ref. de nota al pie1"/>
    <w:rsid w:val="008078C2"/>
    <w:rPr>
      <w:sz w:val="20"/>
      <w:vertAlign w:val="superscript"/>
    </w:rPr>
  </w:style>
  <w:style w:type="paragraph" w:customStyle="1" w:styleId="Textonotapie1">
    <w:name w:val="Texto nota pie1"/>
    <w:basedOn w:val="Normal"/>
    <w:rsid w:val="008078C2"/>
    <w:pPr>
      <w:widowControl w:val="0"/>
    </w:pPr>
    <w:rPr>
      <w:rFonts w:ascii="Garamond" w:eastAsia="Times New Roman" w:hAnsi="Garamond"/>
      <w:sz w:val="20"/>
      <w:lang w:eastAsia="es-ES"/>
    </w:rPr>
  </w:style>
  <w:style w:type="paragraph" w:customStyle="1" w:styleId="negritamayuscula">
    <w:name w:val="negrita mayuscula"/>
    <w:basedOn w:val="Normal"/>
    <w:rsid w:val="008078C2"/>
    <w:pPr>
      <w:widowControl w:val="0"/>
      <w:tabs>
        <w:tab w:val="left" w:pos="1120"/>
      </w:tabs>
      <w:spacing w:line="360" w:lineRule="atLeast"/>
      <w:jc w:val="both"/>
    </w:pPr>
    <w:rPr>
      <w:rFonts w:ascii="Garamond" w:eastAsia="Times New Roman" w:hAnsi="Garamond"/>
      <w:sz w:val="16"/>
    </w:rPr>
  </w:style>
  <w:style w:type="table" w:styleId="TableGrid">
    <w:name w:val="Table Grid"/>
    <w:basedOn w:val="TableNormal"/>
    <w:rsid w:val="0080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775D"/>
    <w:rPr>
      <w:sz w:val="16"/>
      <w:szCs w:val="16"/>
    </w:rPr>
  </w:style>
  <w:style w:type="paragraph" w:styleId="CommentSubject">
    <w:name w:val="annotation subject"/>
    <w:basedOn w:val="CommentText"/>
    <w:next w:val="CommentText"/>
    <w:link w:val="CommentSubjectChar"/>
    <w:rsid w:val="009E775D"/>
    <w:pPr>
      <w:jc w:val="left"/>
    </w:pPr>
    <w:rPr>
      <w:rFonts w:ascii="Times" w:eastAsia="Times" w:hAnsi="Times"/>
      <w:b/>
      <w:bCs/>
      <w:lang w:val="es-ES_tradnl" w:eastAsia="en-US"/>
    </w:rPr>
  </w:style>
  <w:style w:type="character" w:customStyle="1" w:styleId="CommentTextChar">
    <w:name w:val="Comment Text Char"/>
    <w:link w:val="CommentText"/>
    <w:semiHidden/>
    <w:rsid w:val="009E775D"/>
    <w:rPr>
      <w:lang w:val="es-ES" w:eastAsia="es-ES"/>
    </w:rPr>
  </w:style>
  <w:style w:type="character" w:customStyle="1" w:styleId="CommentSubjectChar">
    <w:name w:val="Comment Subject Char"/>
    <w:link w:val="CommentSubject"/>
    <w:rsid w:val="009E775D"/>
    <w:rPr>
      <w:rFonts w:ascii="Times" w:eastAsia="Times" w:hAnsi="Times"/>
      <w:b/>
      <w:bCs/>
      <w:lang w:val="es-ES_tradnl" w:eastAsia="en-US"/>
    </w:rPr>
  </w:style>
  <w:style w:type="paragraph" w:styleId="Revision">
    <w:name w:val="Revision"/>
    <w:hidden/>
    <w:uiPriority w:val="99"/>
    <w:semiHidden/>
    <w:rsid w:val="004A5981"/>
    <w:rPr>
      <w:rFonts w:ascii="Times" w:eastAsia="Times" w:hAnsi="Times"/>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arlosGaio\Loireth%20Calvo\Escritorio\Macintosh%20HD:\Users\anteriores_al_80\leyes\ley_852_63.ht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CarlosGaio\Loireth%20Calvo\Escritorio\Macintosh%20HD:\Users\anteriores_al_80\leyes\ley_852_63.ht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CarlosGaio\Loireth%20Calvo\Escritorio\Macintosh%20HD:\Users\oswaldoruiz\Documents\Microsoft%20User%20Data\Saved%20Attachments\Ley_852_6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arlosGaio\Loireth%20Calvo\Escritorio\Macintosh%20HD:\Users\anteriores_al_80\leyes\ley_852_63.htm"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file:///C:\Users\CarlosGaio\Loireth%20Calvo\Escritorio\Macintosh%20HD:\Users\anteriores_al_80\leyes\ley_852_63.htm" TargetMode="External"/><Relationship Id="rId23" Type="http://schemas.openxmlformats.org/officeDocument/2006/relationships/footer" Target="footer3.xml"/><Relationship Id="rId10" Type="http://schemas.openxmlformats.org/officeDocument/2006/relationships/hyperlink" Target="file:///C:\Users\CarlosGaio\Loireth%20Calvo\Escritorio\Macintosh%20HD:\Users\anteriores_al_80\leyes\ley_852_63.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CarlosGaio\Loireth%20Calvo\Escritorio\Macintosh%20HD:\Users\anteriores_al_80\leyes\ley_852_63.ht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8B8E-BF84-4BBE-B065-8FCFCFFFAC88}">
  <ds:schemaRefs>
    <ds:schemaRef ds:uri="http://schemas.openxmlformats.org/officeDocument/2006/bibliography"/>
  </ds:schemaRefs>
</ds:datastoreItem>
</file>

<file path=customXml/itemProps2.xml><?xml version="1.0" encoding="utf-8"?>
<ds:datastoreItem xmlns:ds="http://schemas.openxmlformats.org/officeDocument/2006/customXml" ds:itemID="{43E94F71-D3D2-4192-B108-0C22A56E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53672</Words>
  <Characters>305931</Characters>
  <Application>Microsoft Office Word</Application>
  <DocSecurity>0</DocSecurity>
  <Lines>2549</Lines>
  <Paragraphs>717</Paragraphs>
  <ScaleCrop>false</ScaleCrop>
  <HeadingPairs>
    <vt:vector size="2" baseType="variant">
      <vt:variant>
        <vt:lpstr>Title</vt:lpstr>
      </vt:variant>
      <vt:variant>
        <vt:i4>1</vt:i4>
      </vt:variant>
    </vt:vector>
  </HeadingPairs>
  <TitlesOfParts>
    <vt:vector size="1" baseType="lpstr">
      <vt:lpstr>CORTE INTERAMERICANA DE DERECHOS HUMANOS</vt:lpstr>
    </vt:vector>
  </TitlesOfParts>
  <Company/>
  <LinksUpToDate>false</LinksUpToDate>
  <CharactersWithSpaces>358886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INTERAMERICANA DE DERECHOS HUMANOS</dc:title>
  <dc:creator>Corte IDH</dc:creator>
  <cp:lastModifiedBy>Patricia Calderon</cp:lastModifiedBy>
  <cp:revision>3</cp:revision>
  <cp:lastPrinted>2018-10-31T17:04:00Z</cp:lastPrinted>
  <dcterms:created xsi:type="dcterms:W3CDTF">2018-10-31T17:04:00Z</dcterms:created>
  <dcterms:modified xsi:type="dcterms:W3CDTF">2018-10-31T17:05:00Z</dcterms:modified>
</cp:coreProperties>
</file>